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style1.xml" ContentType="application/vnd.ms-office.chartstyle+xml"/>
  <Override PartName="/word/charts/style2.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925B87F">
      <w:pPr>
        <w:widowControl/>
        <w:snapToGrid w:val="0"/>
        <w:ind w:firstLine="0" w:firstLineChars="0"/>
        <w:rPr>
          <w:rFonts w:cs="Times New Roman"/>
          <w:b/>
          <w:kern w:val="0"/>
          <w:sz w:val="52"/>
          <w:szCs w:val="52"/>
          <w:highlight w:val="yellow"/>
        </w:rPr>
      </w:pPr>
      <w:bookmarkStart w:id="421" w:name="_GoBack"/>
      <w:bookmarkEnd w:id="421"/>
    </w:p>
    <w:p w14:paraId="3EB3661F">
      <w:pPr>
        <w:widowControl/>
        <w:snapToGrid w:val="0"/>
        <w:ind w:firstLine="0" w:firstLineChars="0"/>
        <w:rPr>
          <w:rFonts w:cs="Times New Roman"/>
          <w:b/>
          <w:kern w:val="0"/>
          <w:sz w:val="44"/>
          <w:szCs w:val="44"/>
          <w:highlight w:val="yellow"/>
        </w:rPr>
      </w:pPr>
    </w:p>
    <w:p w14:paraId="19021E82">
      <w:pPr>
        <w:widowControl/>
        <w:snapToGrid w:val="0"/>
        <w:ind w:firstLine="0" w:firstLineChars="0"/>
        <w:jc w:val="center"/>
        <w:rPr>
          <w:rFonts w:hint="eastAsia" w:cs="Times New Roman"/>
          <w:b/>
          <w:kern w:val="0"/>
          <w:sz w:val="44"/>
          <w:szCs w:val="44"/>
          <w:lang w:val="zh-CN"/>
        </w:rPr>
      </w:pPr>
      <w:r>
        <w:rPr>
          <w:rFonts w:hint="eastAsia" w:cs="Times New Roman"/>
          <w:b/>
          <w:kern w:val="0"/>
          <w:sz w:val="44"/>
          <w:szCs w:val="44"/>
          <w:lang w:val="zh-CN"/>
        </w:rPr>
        <w:t>湖南鑫钰兴科技有限公司20000吨/年高氯酸钠、20000吨/年高氯酸钾等新建项目</w:t>
      </w:r>
    </w:p>
    <w:p w14:paraId="16CED745">
      <w:pPr>
        <w:widowControl/>
        <w:snapToGrid w:val="0"/>
        <w:ind w:firstLine="0" w:firstLineChars="0"/>
        <w:jc w:val="center"/>
        <w:rPr>
          <w:rFonts w:cs="Times New Roman"/>
          <w:b/>
          <w:kern w:val="0"/>
          <w:sz w:val="52"/>
          <w:szCs w:val="52"/>
        </w:rPr>
      </w:pPr>
      <w:r>
        <w:rPr>
          <w:rFonts w:cs="Times New Roman"/>
          <w:b/>
          <w:kern w:val="0"/>
          <w:sz w:val="52"/>
          <w:szCs w:val="52"/>
        </w:rPr>
        <w:t>环境影响报告书</w:t>
      </w:r>
    </w:p>
    <w:p w14:paraId="66C143CF">
      <w:pPr>
        <w:widowControl/>
        <w:snapToGrid w:val="0"/>
        <w:ind w:firstLine="0" w:firstLineChars="0"/>
        <w:jc w:val="center"/>
        <w:rPr>
          <w:rFonts w:cs="Times New Roman"/>
          <w:b/>
          <w:kern w:val="0"/>
          <w:sz w:val="44"/>
          <w:szCs w:val="44"/>
        </w:rPr>
      </w:pPr>
      <w:r>
        <w:rPr>
          <w:rFonts w:cs="Times New Roman"/>
          <w:b/>
          <w:kern w:val="0"/>
          <w:sz w:val="44"/>
          <w:szCs w:val="44"/>
        </w:rPr>
        <w:t>（</w:t>
      </w:r>
      <w:r>
        <w:rPr>
          <w:rFonts w:hint="eastAsia" w:cs="Times New Roman"/>
          <w:b/>
          <w:kern w:val="0"/>
          <w:sz w:val="44"/>
          <w:szCs w:val="44"/>
        </w:rPr>
        <w:t>送审稿</w:t>
      </w:r>
      <w:r>
        <w:rPr>
          <w:rFonts w:cs="Times New Roman"/>
          <w:b/>
          <w:kern w:val="0"/>
          <w:sz w:val="44"/>
          <w:szCs w:val="44"/>
        </w:rPr>
        <w:t>）</w:t>
      </w:r>
    </w:p>
    <w:p w14:paraId="4AAB5656">
      <w:pPr>
        <w:widowControl/>
        <w:snapToGrid w:val="0"/>
        <w:ind w:firstLine="0" w:firstLineChars="0"/>
        <w:rPr>
          <w:rFonts w:cs="Times New Roman"/>
          <w:b/>
          <w:kern w:val="0"/>
          <w:sz w:val="44"/>
          <w:szCs w:val="44"/>
          <w:highlight w:val="yellow"/>
        </w:rPr>
      </w:pPr>
    </w:p>
    <w:p w14:paraId="1E316736">
      <w:pPr>
        <w:widowControl/>
        <w:snapToGrid w:val="0"/>
        <w:ind w:firstLine="0" w:firstLineChars="0"/>
        <w:rPr>
          <w:rFonts w:cs="Times New Roman"/>
          <w:b/>
          <w:kern w:val="0"/>
          <w:sz w:val="44"/>
          <w:szCs w:val="44"/>
          <w:highlight w:val="yellow"/>
        </w:rPr>
      </w:pPr>
    </w:p>
    <w:p w14:paraId="0E77C0F4">
      <w:pPr>
        <w:widowControl/>
        <w:snapToGrid w:val="0"/>
        <w:ind w:firstLine="0" w:firstLineChars="0"/>
        <w:rPr>
          <w:rFonts w:cs="Times New Roman"/>
          <w:b/>
          <w:kern w:val="0"/>
          <w:sz w:val="44"/>
          <w:szCs w:val="44"/>
          <w:highlight w:val="yellow"/>
        </w:rPr>
      </w:pPr>
    </w:p>
    <w:p w14:paraId="2941E5CB">
      <w:pPr>
        <w:widowControl/>
        <w:snapToGrid w:val="0"/>
        <w:ind w:firstLine="0" w:firstLineChars="0"/>
        <w:rPr>
          <w:rFonts w:cs="Times New Roman"/>
          <w:b/>
          <w:kern w:val="0"/>
          <w:sz w:val="44"/>
          <w:szCs w:val="44"/>
          <w:highlight w:val="yellow"/>
        </w:rPr>
      </w:pPr>
    </w:p>
    <w:p w14:paraId="1A9C5272">
      <w:pPr>
        <w:widowControl/>
        <w:snapToGrid w:val="0"/>
        <w:ind w:firstLine="0" w:firstLineChars="0"/>
        <w:rPr>
          <w:rFonts w:cs="Times New Roman"/>
          <w:b/>
          <w:kern w:val="0"/>
          <w:sz w:val="44"/>
          <w:szCs w:val="44"/>
          <w:highlight w:val="yellow"/>
        </w:rPr>
      </w:pPr>
    </w:p>
    <w:p w14:paraId="503171E9">
      <w:pPr>
        <w:widowControl/>
        <w:snapToGrid w:val="0"/>
        <w:ind w:firstLine="0" w:firstLineChars="0"/>
        <w:rPr>
          <w:rFonts w:cs="Times New Roman"/>
          <w:b/>
          <w:kern w:val="0"/>
          <w:sz w:val="44"/>
          <w:szCs w:val="44"/>
          <w:highlight w:val="yellow"/>
        </w:rPr>
      </w:pPr>
    </w:p>
    <w:p w14:paraId="511996D1">
      <w:pPr>
        <w:widowControl/>
        <w:snapToGrid w:val="0"/>
        <w:ind w:firstLine="0" w:firstLineChars="0"/>
        <w:rPr>
          <w:rFonts w:cs="Times New Roman"/>
          <w:b/>
          <w:kern w:val="0"/>
          <w:sz w:val="44"/>
          <w:szCs w:val="44"/>
          <w:highlight w:val="yellow"/>
        </w:rPr>
      </w:pPr>
    </w:p>
    <w:p w14:paraId="04F62671">
      <w:pPr>
        <w:widowControl/>
        <w:snapToGrid w:val="0"/>
        <w:ind w:firstLine="0" w:firstLineChars="0"/>
        <w:jc w:val="center"/>
        <w:rPr>
          <w:rFonts w:cs="Times New Roman"/>
          <w:b/>
          <w:kern w:val="0"/>
          <w:sz w:val="36"/>
          <w:szCs w:val="36"/>
        </w:rPr>
      </w:pPr>
      <w:r>
        <w:rPr>
          <w:rFonts w:cs="Times New Roman"/>
          <w:b/>
          <w:kern w:val="0"/>
          <w:sz w:val="36"/>
          <w:szCs w:val="36"/>
        </w:rPr>
        <w:t>建设单位：</w:t>
      </w:r>
      <w:r>
        <w:rPr>
          <w:rFonts w:hint="eastAsia" w:cs="Times New Roman"/>
          <w:b/>
          <w:kern w:val="0"/>
          <w:sz w:val="36"/>
          <w:szCs w:val="36"/>
          <w:lang w:val="zh-CN"/>
        </w:rPr>
        <w:t>湖南鑫钰兴科技有限公司</w:t>
      </w:r>
    </w:p>
    <w:p w14:paraId="417F1D83">
      <w:pPr>
        <w:widowControl/>
        <w:snapToGrid w:val="0"/>
        <w:ind w:firstLine="0" w:firstLineChars="0"/>
        <w:jc w:val="center"/>
        <w:rPr>
          <w:rFonts w:cs="Times New Roman"/>
          <w:b/>
          <w:kern w:val="0"/>
          <w:sz w:val="36"/>
          <w:szCs w:val="36"/>
        </w:rPr>
      </w:pPr>
      <w:r>
        <w:rPr>
          <w:rFonts w:cs="Times New Roman"/>
          <w:b/>
          <w:kern w:val="0"/>
          <w:sz w:val="36"/>
          <w:szCs w:val="36"/>
        </w:rPr>
        <w:t>环评单位：湖南省博科环境工程有限公司</w:t>
      </w:r>
    </w:p>
    <w:p w14:paraId="522CCFFF">
      <w:pPr>
        <w:widowControl/>
        <w:snapToGrid w:val="0"/>
        <w:ind w:firstLine="0" w:firstLineChars="0"/>
        <w:jc w:val="center"/>
        <w:rPr>
          <w:rFonts w:cs="Times New Roman"/>
          <w:b/>
          <w:kern w:val="0"/>
          <w:sz w:val="36"/>
          <w:szCs w:val="36"/>
        </w:rPr>
      </w:pPr>
      <w:r>
        <w:rPr>
          <w:rFonts w:cs="Times New Roman"/>
          <w:b/>
          <w:kern w:val="0"/>
          <w:sz w:val="36"/>
          <w:szCs w:val="36"/>
        </w:rPr>
        <w:t>202</w:t>
      </w:r>
      <w:r>
        <w:rPr>
          <w:rFonts w:hint="eastAsia" w:cs="Times New Roman"/>
          <w:b/>
          <w:kern w:val="0"/>
          <w:sz w:val="36"/>
          <w:szCs w:val="36"/>
          <w:lang w:val="en-US" w:eastAsia="zh-CN"/>
        </w:rPr>
        <w:t>4</w:t>
      </w:r>
      <w:r>
        <w:rPr>
          <w:rFonts w:cs="Times New Roman"/>
          <w:b/>
          <w:kern w:val="0"/>
          <w:sz w:val="36"/>
          <w:szCs w:val="36"/>
        </w:rPr>
        <w:t>年</w:t>
      </w:r>
      <w:r>
        <w:rPr>
          <w:rFonts w:hint="eastAsia" w:cs="Times New Roman"/>
          <w:b/>
          <w:kern w:val="0"/>
          <w:sz w:val="36"/>
          <w:szCs w:val="36"/>
          <w:lang w:val="en-US" w:eastAsia="zh-CN"/>
        </w:rPr>
        <w:t>6</w:t>
      </w:r>
      <w:r>
        <w:rPr>
          <w:rFonts w:cs="Times New Roman"/>
          <w:b/>
          <w:kern w:val="0"/>
          <w:sz w:val="36"/>
          <w:szCs w:val="36"/>
        </w:rPr>
        <w:t>月</w:t>
      </w:r>
    </w:p>
    <w:p w14:paraId="400AAC02">
      <w:pPr>
        <w:pStyle w:val="24"/>
        <w:tabs>
          <w:tab w:val="right" w:leader="dot" w:pos="8306"/>
          <w:tab w:val="clear" w:pos="8364"/>
        </w:tabs>
        <w:adjustRightInd w:val="0"/>
        <w:snapToGrid w:val="0"/>
        <w:ind w:firstLine="281" w:firstLineChars="100"/>
        <w:jc w:val="both"/>
        <w:rPr>
          <w:rFonts w:ascii="Times New Roman" w:hAnsi="Times New Roman" w:cs="Times New Roman"/>
          <w:highlight w:val="yellow"/>
        </w:rPr>
        <w:sectPr>
          <w:headerReference r:id="rId5" w:type="default"/>
          <w:footerReference r:id="rId6" w:type="default"/>
          <w:pgSz w:w="11906" w:h="16838"/>
          <w:pgMar w:top="1440" w:right="1746" w:bottom="1440" w:left="1746" w:header="851" w:footer="992" w:gutter="0"/>
          <w:pgBorders>
            <w:top w:val="none" w:sz="0" w:space="0"/>
            <w:left w:val="none" w:sz="0" w:space="0"/>
            <w:bottom w:val="none" w:sz="0" w:space="0"/>
            <w:right w:val="none" w:sz="0" w:space="0"/>
          </w:pgBorders>
          <w:pgNumType w:start="1"/>
          <w:cols w:space="720" w:num="1"/>
          <w:docGrid w:type="lines" w:linePitch="312" w:charSpace="0"/>
        </w:sectPr>
      </w:pPr>
    </w:p>
    <w:p w14:paraId="1D638181">
      <w:pPr>
        <w:pStyle w:val="24"/>
        <w:adjustRightInd w:val="0"/>
        <w:snapToGrid w:val="0"/>
        <w:spacing w:line="240" w:lineRule="auto"/>
        <w:jc w:val="center"/>
        <w:rPr>
          <w:rFonts w:ascii="Times New Roman" w:hAnsi="Times New Roman" w:cs="Times New Roman"/>
          <w:sz w:val="32"/>
        </w:rPr>
      </w:pPr>
      <w:r>
        <w:drawing>
          <wp:inline distT="0" distB="0" distL="114300" distR="114300">
            <wp:extent cx="6946265" cy="4937125"/>
            <wp:effectExtent l="0" t="0" r="15875" b="6985"/>
            <wp:docPr id="3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7"/>
                    <pic:cNvPicPr>
                      <a:picLocks noChangeAspect="1"/>
                    </pic:cNvPicPr>
                  </pic:nvPicPr>
                  <pic:blipFill>
                    <a:blip r:embed="rId15"/>
                    <a:stretch>
                      <a:fillRect/>
                    </a:stretch>
                  </pic:blipFill>
                  <pic:spPr>
                    <a:xfrm rot="16200000">
                      <a:off x="0" y="0"/>
                      <a:ext cx="6946265" cy="4937125"/>
                    </a:xfrm>
                    <a:prstGeom prst="rect">
                      <a:avLst/>
                    </a:prstGeom>
                    <a:noFill/>
                    <a:ln>
                      <a:noFill/>
                    </a:ln>
                  </pic:spPr>
                </pic:pic>
              </a:graphicData>
            </a:graphic>
          </wp:inline>
        </w:drawing>
      </w:r>
    </w:p>
    <w:p w14:paraId="44135520">
      <w:pPr>
        <w:pStyle w:val="26"/>
        <w:ind w:left="0" w:leftChars="0"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78120" cy="7534275"/>
            <wp:effectExtent l="0" t="0" r="17780" b="9525"/>
            <wp:docPr id="21"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6"/>
                    <pic:cNvPicPr>
                      <a:picLocks noChangeAspect="1"/>
                    </pic:cNvPicPr>
                  </pic:nvPicPr>
                  <pic:blipFill>
                    <a:blip r:embed="rId16"/>
                    <a:stretch>
                      <a:fillRect/>
                    </a:stretch>
                  </pic:blipFill>
                  <pic:spPr>
                    <a:xfrm>
                      <a:off x="0" y="0"/>
                      <a:ext cx="5278120" cy="7534275"/>
                    </a:xfrm>
                    <a:prstGeom prst="rect">
                      <a:avLst/>
                    </a:prstGeom>
                    <a:noFill/>
                    <a:ln>
                      <a:noFill/>
                    </a:ln>
                  </pic:spPr>
                </pic:pic>
              </a:graphicData>
            </a:graphic>
          </wp:inline>
        </w:drawing>
      </w:r>
    </w:p>
    <w:p w14:paraId="662FEB12">
      <w:pPr>
        <w:pStyle w:val="26"/>
        <w:ind w:left="0" w:leftChars="0" w:firstLine="0" w:firstLineChars="0"/>
        <w:rPr>
          <w:rFonts w:ascii="Times New Roman" w:hAnsi="Times New Roman" w:cs="Times New Roman"/>
        </w:rPr>
      </w:pPr>
    </w:p>
    <w:p w14:paraId="31A906F3">
      <w:pPr>
        <w:pStyle w:val="26"/>
        <w:ind w:left="0" w:leftChars="0" w:firstLine="0" w:firstLineChars="0"/>
        <w:sectPr>
          <w:headerReference r:id="rId7" w:type="default"/>
          <w:footerReference r:id="rId8" w:type="default"/>
          <w:pgSz w:w="11906" w:h="16838"/>
          <w:pgMar w:top="1440" w:right="1797" w:bottom="1440" w:left="1797" w:header="851" w:footer="992" w:gutter="0"/>
          <w:pgBorders>
            <w:top w:val="none" w:sz="0" w:space="0"/>
            <w:left w:val="none" w:sz="0" w:space="0"/>
            <w:bottom w:val="none" w:sz="0" w:space="0"/>
            <w:right w:val="none" w:sz="0" w:space="0"/>
          </w:pgBorders>
          <w:pgNumType w:fmt="lowerRoman"/>
          <w:cols w:space="720" w:num="1"/>
          <w:docGrid w:type="lines" w:linePitch="312" w:charSpace="0"/>
        </w:sectPr>
      </w:pPr>
      <w:r>
        <w:rPr>
          <w:rFonts w:ascii="Times New Roman" w:hAnsi="Times New Roman" w:cs="Times New Roman"/>
        </w:rPr>
        <w:drawing>
          <wp:inline distT="0" distB="0" distL="114300" distR="114300">
            <wp:extent cx="5273040" cy="7475855"/>
            <wp:effectExtent l="0" t="0" r="3810" b="10795"/>
            <wp:docPr id="19"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7"/>
                    <pic:cNvPicPr>
                      <a:picLocks noChangeAspect="1"/>
                    </pic:cNvPicPr>
                  </pic:nvPicPr>
                  <pic:blipFill>
                    <a:blip r:embed="rId17"/>
                    <a:stretch>
                      <a:fillRect/>
                    </a:stretch>
                  </pic:blipFill>
                  <pic:spPr>
                    <a:xfrm>
                      <a:off x="0" y="0"/>
                      <a:ext cx="5273040" cy="7475855"/>
                    </a:xfrm>
                    <a:prstGeom prst="rect">
                      <a:avLst/>
                    </a:prstGeom>
                    <a:noFill/>
                    <a:ln>
                      <a:noFill/>
                    </a:ln>
                  </pic:spPr>
                </pic:pic>
              </a:graphicData>
            </a:graphic>
          </wp:inline>
        </w:drawing>
      </w:r>
    </w:p>
    <w:p w14:paraId="3A6176F8">
      <w:pPr>
        <w:pStyle w:val="24"/>
        <w:adjustRightInd w:val="0"/>
        <w:snapToGrid w:val="0"/>
        <w:spacing w:line="240" w:lineRule="auto"/>
        <w:jc w:val="center"/>
        <w:rPr>
          <w:rFonts w:ascii="Times New Roman" w:hAnsi="Times New Roman" w:cs="Times New Roman"/>
          <w:sz w:val="40"/>
          <w:szCs w:val="36"/>
        </w:rPr>
      </w:pPr>
      <w:r>
        <w:rPr>
          <w:rFonts w:ascii="Times New Roman" w:hAnsi="Times New Roman" w:cs="Times New Roman"/>
          <w:sz w:val="40"/>
          <w:szCs w:val="36"/>
        </w:rPr>
        <w:t>目  录</w:t>
      </w:r>
    </w:p>
    <w:p w14:paraId="7FDF3C5E"/>
    <w:p w14:paraId="09F0073C">
      <w:pPr>
        <w:pStyle w:val="24"/>
        <w:keepNext w:val="0"/>
        <w:keepLines w:val="0"/>
        <w:pageBreakBefore w:val="0"/>
        <w:tabs>
          <w:tab w:val="right" w:leader="dot" w:pos="8306"/>
          <w:tab w:val="clear" w:pos="8364"/>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44"/>
        </w:rPr>
        <w:t xml:space="preserve">1 </w:t>
      </w:r>
      <w:r>
        <w:rPr>
          <w:rFonts w:hint="eastAsia" w:ascii="Times New Roman" w:hAnsi="Times New Roman" w:cs="Times New Roman"/>
          <w:caps w:val="0"/>
        </w:rPr>
        <w:t>概  述</w:t>
      </w:r>
      <w:r>
        <w:rPr>
          <w:rFonts w:ascii="Times New Roman" w:hAnsi="Times New Roman" w:cs="Times New Roman"/>
          <w:caps w:val="0"/>
        </w:rPr>
        <w:tab/>
      </w:r>
      <w:r>
        <w:rPr>
          <w:rFonts w:ascii="Times New Roman" w:hAnsi="Times New Roman" w:cs="Times New Roman"/>
          <w:caps w:val="0"/>
        </w:rPr>
        <w:t>1</w:t>
      </w:r>
    </w:p>
    <w:p w14:paraId="46AB4F47">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1.1 </w:t>
      </w:r>
      <w:r>
        <w:rPr>
          <w:rFonts w:hint="eastAsia" w:ascii="Times New Roman" w:hAnsi="Times New Roman" w:cs="Times New Roman"/>
          <w:caps w:val="0"/>
        </w:rPr>
        <w:t>项目由来</w:t>
      </w:r>
      <w:r>
        <w:rPr>
          <w:rFonts w:ascii="Times New Roman" w:hAnsi="Times New Roman" w:cs="Times New Roman"/>
          <w:caps w:val="0"/>
        </w:rPr>
        <w:tab/>
      </w:r>
      <w:r>
        <w:rPr>
          <w:rFonts w:ascii="Times New Roman" w:hAnsi="Times New Roman" w:cs="Times New Roman"/>
          <w:caps w:val="0"/>
        </w:rPr>
        <w:t>1</w:t>
      </w:r>
    </w:p>
    <w:p w14:paraId="3B6DB55E">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1.2 </w:t>
      </w:r>
      <w:r>
        <w:rPr>
          <w:rFonts w:hint="eastAsia" w:ascii="Times New Roman" w:hAnsi="Times New Roman" w:cs="Times New Roman"/>
          <w:caps w:val="0"/>
        </w:rPr>
        <w:t>评价目的及工作过程概述</w:t>
      </w:r>
      <w:r>
        <w:rPr>
          <w:rFonts w:ascii="Times New Roman" w:hAnsi="Times New Roman" w:cs="Times New Roman"/>
          <w:caps w:val="0"/>
        </w:rPr>
        <w:tab/>
      </w:r>
      <w:r>
        <w:rPr>
          <w:rFonts w:ascii="Times New Roman" w:hAnsi="Times New Roman" w:cs="Times New Roman"/>
          <w:caps w:val="0"/>
        </w:rPr>
        <w:t>2</w:t>
      </w:r>
    </w:p>
    <w:p w14:paraId="14DB13C6">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1.3 </w:t>
      </w:r>
      <w:r>
        <w:rPr>
          <w:rFonts w:hint="eastAsia" w:ascii="Times New Roman" w:hAnsi="Times New Roman" w:cs="Times New Roman"/>
          <w:caps w:val="0"/>
        </w:rPr>
        <w:t>主要关注的环境问题</w:t>
      </w:r>
      <w:r>
        <w:rPr>
          <w:rFonts w:ascii="Times New Roman" w:hAnsi="Times New Roman" w:cs="Times New Roman"/>
          <w:caps w:val="0"/>
        </w:rPr>
        <w:tab/>
      </w:r>
      <w:r>
        <w:rPr>
          <w:rFonts w:ascii="Times New Roman" w:hAnsi="Times New Roman" w:cs="Times New Roman"/>
          <w:caps w:val="0"/>
        </w:rPr>
        <w:t>3</w:t>
      </w:r>
    </w:p>
    <w:p w14:paraId="53BABEC4">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1.4 </w:t>
      </w:r>
      <w:r>
        <w:rPr>
          <w:rFonts w:hint="eastAsia" w:ascii="Times New Roman" w:hAnsi="Times New Roman" w:cs="Times New Roman"/>
          <w:caps w:val="0"/>
        </w:rPr>
        <w:t>分析判定相关情况</w:t>
      </w:r>
      <w:r>
        <w:rPr>
          <w:rFonts w:ascii="Times New Roman" w:hAnsi="Times New Roman" w:cs="Times New Roman"/>
          <w:caps w:val="0"/>
        </w:rPr>
        <w:tab/>
      </w:r>
      <w:r>
        <w:rPr>
          <w:rFonts w:ascii="Times New Roman" w:hAnsi="Times New Roman" w:cs="Times New Roman"/>
          <w:caps w:val="0"/>
        </w:rPr>
        <w:t>4</w:t>
      </w:r>
    </w:p>
    <w:p w14:paraId="5B341E8B">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1.5 </w:t>
      </w:r>
      <w:r>
        <w:rPr>
          <w:rFonts w:hint="eastAsia" w:ascii="Times New Roman" w:hAnsi="Times New Roman" w:cs="Times New Roman"/>
          <w:caps w:val="0"/>
        </w:rPr>
        <w:t>环境影响评价结论概要</w:t>
      </w:r>
      <w:r>
        <w:rPr>
          <w:rFonts w:ascii="Times New Roman" w:hAnsi="Times New Roman" w:cs="Times New Roman"/>
          <w:caps w:val="0"/>
        </w:rPr>
        <w:tab/>
      </w:r>
      <w:r>
        <w:rPr>
          <w:rFonts w:ascii="Times New Roman" w:hAnsi="Times New Roman" w:cs="Times New Roman"/>
          <w:caps w:val="0"/>
        </w:rPr>
        <w:t>20</w:t>
      </w:r>
    </w:p>
    <w:p w14:paraId="53033C0D">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1.6 </w:t>
      </w:r>
      <w:r>
        <w:rPr>
          <w:rFonts w:hint="eastAsia" w:ascii="Times New Roman" w:hAnsi="Times New Roman" w:cs="Times New Roman"/>
          <w:caps w:val="0"/>
        </w:rPr>
        <w:t>综合结论</w:t>
      </w:r>
      <w:r>
        <w:rPr>
          <w:rFonts w:ascii="Times New Roman" w:hAnsi="Times New Roman" w:cs="Times New Roman"/>
          <w:caps w:val="0"/>
        </w:rPr>
        <w:tab/>
      </w:r>
      <w:r>
        <w:rPr>
          <w:rFonts w:ascii="Times New Roman" w:hAnsi="Times New Roman" w:cs="Times New Roman"/>
          <w:caps w:val="0"/>
        </w:rPr>
        <w:t>22</w:t>
      </w:r>
    </w:p>
    <w:p w14:paraId="7E3A43C4">
      <w:pPr>
        <w:pStyle w:val="24"/>
        <w:keepNext w:val="0"/>
        <w:keepLines w:val="0"/>
        <w:pageBreakBefore w:val="0"/>
        <w:tabs>
          <w:tab w:val="right" w:leader="dot" w:pos="8306"/>
          <w:tab w:val="clear" w:pos="8364"/>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44"/>
        </w:rPr>
        <w:t xml:space="preserve">2 </w:t>
      </w:r>
      <w:r>
        <w:rPr>
          <w:rFonts w:hint="eastAsia" w:ascii="Times New Roman" w:hAnsi="Times New Roman" w:cs="Times New Roman"/>
          <w:caps w:val="0"/>
        </w:rPr>
        <w:t>总  则</w:t>
      </w:r>
      <w:r>
        <w:rPr>
          <w:rFonts w:ascii="Times New Roman" w:hAnsi="Times New Roman" w:cs="Times New Roman"/>
          <w:caps w:val="0"/>
        </w:rPr>
        <w:tab/>
      </w:r>
      <w:r>
        <w:rPr>
          <w:rFonts w:ascii="Times New Roman" w:hAnsi="Times New Roman" w:cs="Times New Roman"/>
          <w:caps w:val="0"/>
        </w:rPr>
        <w:t>23</w:t>
      </w:r>
    </w:p>
    <w:p w14:paraId="6637D6B7">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2.1 </w:t>
      </w:r>
      <w:r>
        <w:rPr>
          <w:rFonts w:hint="eastAsia" w:ascii="Times New Roman" w:hAnsi="Times New Roman" w:cs="Times New Roman"/>
          <w:caps w:val="0"/>
        </w:rPr>
        <w:t>编制依据</w:t>
      </w:r>
      <w:r>
        <w:rPr>
          <w:rFonts w:ascii="Times New Roman" w:hAnsi="Times New Roman" w:cs="Times New Roman"/>
          <w:caps w:val="0"/>
        </w:rPr>
        <w:tab/>
      </w:r>
      <w:r>
        <w:rPr>
          <w:rFonts w:ascii="Times New Roman" w:hAnsi="Times New Roman" w:cs="Times New Roman"/>
          <w:caps w:val="0"/>
        </w:rPr>
        <w:t>23</w:t>
      </w:r>
    </w:p>
    <w:p w14:paraId="52D4A0AB">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2.2 </w:t>
      </w:r>
      <w:r>
        <w:rPr>
          <w:rFonts w:hint="eastAsia" w:ascii="Times New Roman" w:hAnsi="Times New Roman" w:cs="Times New Roman"/>
          <w:caps w:val="0"/>
        </w:rPr>
        <w:t>各环境要素功能区划及相关标准</w:t>
      </w:r>
      <w:r>
        <w:rPr>
          <w:rFonts w:ascii="Times New Roman" w:hAnsi="Times New Roman" w:cs="Times New Roman"/>
          <w:caps w:val="0"/>
        </w:rPr>
        <w:tab/>
      </w:r>
      <w:r>
        <w:rPr>
          <w:rFonts w:ascii="Times New Roman" w:hAnsi="Times New Roman" w:cs="Times New Roman"/>
          <w:caps w:val="0"/>
        </w:rPr>
        <w:t>25</w:t>
      </w:r>
    </w:p>
    <w:p w14:paraId="4118DB80">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2.3 </w:t>
      </w:r>
      <w:r>
        <w:rPr>
          <w:rFonts w:hint="eastAsia" w:ascii="Times New Roman" w:hAnsi="Times New Roman" w:cs="Times New Roman"/>
          <w:caps w:val="0"/>
        </w:rPr>
        <w:t>评价因子</w:t>
      </w:r>
      <w:r>
        <w:rPr>
          <w:rFonts w:ascii="Times New Roman" w:hAnsi="Times New Roman" w:cs="Times New Roman"/>
          <w:caps w:val="0"/>
        </w:rPr>
        <w:tab/>
      </w:r>
      <w:r>
        <w:rPr>
          <w:rFonts w:ascii="Times New Roman" w:hAnsi="Times New Roman" w:cs="Times New Roman"/>
          <w:caps w:val="0"/>
        </w:rPr>
        <w:t>31</w:t>
      </w:r>
    </w:p>
    <w:p w14:paraId="606A27C1">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2.4 </w:t>
      </w:r>
      <w:r>
        <w:rPr>
          <w:rFonts w:hint="eastAsia" w:ascii="Times New Roman" w:hAnsi="Times New Roman" w:cs="Times New Roman"/>
          <w:caps w:val="0"/>
        </w:rPr>
        <w:t>评价工作等级及评价范围</w:t>
      </w:r>
      <w:r>
        <w:rPr>
          <w:rFonts w:ascii="Times New Roman" w:hAnsi="Times New Roman" w:cs="Times New Roman"/>
          <w:caps w:val="0"/>
        </w:rPr>
        <w:tab/>
      </w:r>
      <w:r>
        <w:rPr>
          <w:rFonts w:ascii="Times New Roman" w:hAnsi="Times New Roman" w:cs="Times New Roman"/>
          <w:caps w:val="0"/>
        </w:rPr>
        <w:t>32</w:t>
      </w:r>
    </w:p>
    <w:p w14:paraId="5FB891EB">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2.5 </w:t>
      </w:r>
      <w:r>
        <w:rPr>
          <w:rFonts w:hint="eastAsia" w:ascii="Times New Roman" w:hAnsi="Times New Roman" w:cs="Times New Roman"/>
          <w:caps w:val="0"/>
        </w:rPr>
        <w:t>评价重点</w:t>
      </w:r>
      <w:r>
        <w:rPr>
          <w:rFonts w:ascii="Times New Roman" w:hAnsi="Times New Roman" w:cs="Times New Roman"/>
          <w:caps w:val="0"/>
        </w:rPr>
        <w:tab/>
      </w:r>
      <w:r>
        <w:rPr>
          <w:rFonts w:ascii="Times New Roman" w:hAnsi="Times New Roman" w:cs="Times New Roman"/>
          <w:caps w:val="0"/>
        </w:rPr>
        <w:t>40</w:t>
      </w:r>
    </w:p>
    <w:p w14:paraId="7DE627E9">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2.6 </w:t>
      </w:r>
      <w:r>
        <w:rPr>
          <w:rFonts w:hint="eastAsia" w:ascii="Times New Roman" w:hAnsi="Times New Roman" w:cs="Times New Roman"/>
          <w:caps w:val="0"/>
        </w:rPr>
        <w:t>主要环境保护目标</w:t>
      </w:r>
      <w:r>
        <w:rPr>
          <w:rFonts w:ascii="Times New Roman" w:hAnsi="Times New Roman" w:cs="Times New Roman"/>
          <w:caps w:val="0"/>
        </w:rPr>
        <w:tab/>
      </w:r>
      <w:r>
        <w:rPr>
          <w:rFonts w:ascii="Times New Roman" w:hAnsi="Times New Roman" w:cs="Times New Roman"/>
          <w:caps w:val="0"/>
        </w:rPr>
        <w:t>41</w:t>
      </w:r>
    </w:p>
    <w:p w14:paraId="103280C6">
      <w:pPr>
        <w:pStyle w:val="24"/>
        <w:keepNext w:val="0"/>
        <w:keepLines w:val="0"/>
        <w:pageBreakBefore w:val="0"/>
        <w:tabs>
          <w:tab w:val="right" w:leader="dot" w:pos="8306"/>
          <w:tab w:val="clear" w:pos="8364"/>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44"/>
        </w:rPr>
        <w:t xml:space="preserve">3 </w:t>
      </w:r>
      <w:r>
        <w:rPr>
          <w:rFonts w:hint="eastAsia" w:ascii="Times New Roman" w:hAnsi="Times New Roman" w:cs="Times New Roman"/>
          <w:caps w:val="0"/>
        </w:rPr>
        <w:t>建设项目工程分析</w:t>
      </w:r>
      <w:r>
        <w:rPr>
          <w:rFonts w:ascii="Times New Roman" w:hAnsi="Times New Roman" w:cs="Times New Roman"/>
          <w:caps w:val="0"/>
        </w:rPr>
        <w:tab/>
      </w:r>
      <w:r>
        <w:rPr>
          <w:rFonts w:ascii="Times New Roman" w:hAnsi="Times New Roman" w:cs="Times New Roman"/>
          <w:caps w:val="0"/>
        </w:rPr>
        <w:t>43</w:t>
      </w:r>
    </w:p>
    <w:p w14:paraId="742ECC4B">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3.1 </w:t>
      </w:r>
      <w:r>
        <w:rPr>
          <w:rFonts w:hint="eastAsia" w:ascii="Times New Roman" w:hAnsi="Times New Roman" w:cs="Times New Roman"/>
          <w:caps w:val="0"/>
        </w:rPr>
        <w:t>建设项目概况</w:t>
      </w:r>
      <w:r>
        <w:rPr>
          <w:rFonts w:ascii="Times New Roman" w:hAnsi="Times New Roman" w:cs="Times New Roman"/>
          <w:caps w:val="0"/>
        </w:rPr>
        <w:tab/>
      </w:r>
      <w:r>
        <w:rPr>
          <w:rFonts w:ascii="Times New Roman" w:hAnsi="Times New Roman" w:cs="Times New Roman"/>
          <w:caps w:val="0"/>
        </w:rPr>
        <w:t>43</w:t>
      </w:r>
    </w:p>
    <w:p w14:paraId="0CD5BF1E">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3.2 </w:t>
      </w:r>
      <w:r>
        <w:rPr>
          <w:rFonts w:hint="eastAsia" w:ascii="Times New Roman" w:hAnsi="Times New Roman" w:cs="Times New Roman"/>
          <w:caps w:val="0"/>
        </w:rPr>
        <w:t>主要设备</w:t>
      </w:r>
      <w:r>
        <w:rPr>
          <w:rFonts w:ascii="Times New Roman" w:hAnsi="Times New Roman" w:cs="Times New Roman"/>
          <w:caps w:val="0"/>
        </w:rPr>
        <w:tab/>
      </w:r>
      <w:r>
        <w:rPr>
          <w:rFonts w:ascii="Times New Roman" w:hAnsi="Times New Roman" w:cs="Times New Roman"/>
          <w:caps w:val="0"/>
        </w:rPr>
        <w:t>52</w:t>
      </w:r>
    </w:p>
    <w:p w14:paraId="52A07044">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3.3 </w:t>
      </w:r>
      <w:r>
        <w:rPr>
          <w:rFonts w:hint="eastAsia" w:ascii="Times New Roman" w:hAnsi="Times New Roman" w:cs="Times New Roman"/>
          <w:caps w:val="0"/>
        </w:rPr>
        <w:t>主要原辅材料及能源消耗</w:t>
      </w:r>
      <w:r>
        <w:rPr>
          <w:rFonts w:ascii="Times New Roman" w:hAnsi="Times New Roman" w:cs="Times New Roman"/>
          <w:caps w:val="0"/>
        </w:rPr>
        <w:tab/>
      </w:r>
      <w:r>
        <w:rPr>
          <w:rFonts w:ascii="Times New Roman" w:hAnsi="Times New Roman" w:cs="Times New Roman"/>
          <w:caps w:val="0"/>
        </w:rPr>
        <w:t>56</w:t>
      </w:r>
    </w:p>
    <w:p w14:paraId="24C13A36">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3.4 </w:t>
      </w:r>
      <w:r>
        <w:rPr>
          <w:rFonts w:hint="eastAsia" w:ascii="Times New Roman" w:hAnsi="Times New Roman" w:cs="Times New Roman"/>
          <w:caps w:val="0"/>
        </w:rPr>
        <w:t>工艺路线及产污环节分析</w:t>
      </w:r>
      <w:r>
        <w:rPr>
          <w:rFonts w:ascii="Times New Roman" w:hAnsi="Times New Roman" w:cs="Times New Roman"/>
          <w:caps w:val="0"/>
        </w:rPr>
        <w:tab/>
      </w:r>
      <w:r>
        <w:rPr>
          <w:rFonts w:ascii="Times New Roman" w:hAnsi="Times New Roman" w:cs="Times New Roman"/>
          <w:caps w:val="0"/>
        </w:rPr>
        <w:t>76</w:t>
      </w:r>
    </w:p>
    <w:p w14:paraId="03B82D65">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3.5 </w:t>
      </w:r>
      <w:r>
        <w:rPr>
          <w:rFonts w:hint="eastAsia" w:ascii="Times New Roman" w:hAnsi="Times New Roman" w:cs="Times New Roman"/>
          <w:caps w:val="0"/>
        </w:rPr>
        <w:t>施工期污染源强</w:t>
      </w:r>
      <w:r>
        <w:rPr>
          <w:rFonts w:ascii="Times New Roman" w:hAnsi="Times New Roman" w:cs="Times New Roman"/>
          <w:caps w:val="0"/>
        </w:rPr>
        <w:tab/>
      </w:r>
      <w:r>
        <w:rPr>
          <w:rFonts w:ascii="Times New Roman" w:hAnsi="Times New Roman" w:cs="Times New Roman"/>
          <w:caps w:val="0"/>
        </w:rPr>
        <w:t>96</w:t>
      </w:r>
    </w:p>
    <w:p w14:paraId="523F887F">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3.6 </w:t>
      </w:r>
      <w:r>
        <w:rPr>
          <w:rFonts w:hint="eastAsia" w:ascii="Times New Roman" w:hAnsi="Times New Roman" w:cs="Times New Roman"/>
          <w:caps w:val="0"/>
        </w:rPr>
        <w:t>营运期污染源源强核算及拟建环保设施分析</w:t>
      </w:r>
      <w:r>
        <w:rPr>
          <w:rFonts w:ascii="Times New Roman" w:hAnsi="Times New Roman" w:cs="Times New Roman"/>
          <w:caps w:val="0"/>
        </w:rPr>
        <w:tab/>
      </w:r>
      <w:r>
        <w:rPr>
          <w:rFonts w:ascii="Times New Roman" w:hAnsi="Times New Roman" w:cs="Times New Roman"/>
          <w:caps w:val="0"/>
        </w:rPr>
        <w:t>100</w:t>
      </w:r>
    </w:p>
    <w:p w14:paraId="79D775E4">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3.7 </w:t>
      </w:r>
      <w:r>
        <w:rPr>
          <w:rFonts w:hint="eastAsia" w:ascii="Times New Roman" w:hAnsi="Times New Roman" w:cs="Times New Roman"/>
          <w:caps w:val="0"/>
        </w:rPr>
        <w:t>总量控制指标和清洁生产分析</w:t>
      </w:r>
      <w:r>
        <w:rPr>
          <w:rFonts w:ascii="Times New Roman" w:hAnsi="Times New Roman" w:cs="Times New Roman"/>
          <w:caps w:val="0"/>
        </w:rPr>
        <w:tab/>
      </w:r>
      <w:r>
        <w:rPr>
          <w:rFonts w:ascii="Times New Roman" w:hAnsi="Times New Roman" w:cs="Times New Roman"/>
          <w:caps w:val="0"/>
        </w:rPr>
        <w:t>122</w:t>
      </w:r>
    </w:p>
    <w:p w14:paraId="42254A40">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3.8 </w:t>
      </w:r>
      <w:r>
        <w:rPr>
          <w:rFonts w:hint="eastAsia" w:ascii="Times New Roman" w:hAnsi="Times New Roman" w:cs="Times New Roman"/>
          <w:caps w:val="0"/>
        </w:rPr>
        <w:t>非正常工况及事故排放情况下的污染源强分析</w:t>
      </w:r>
      <w:r>
        <w:rPr>
          <w:rFonts w:ascii="Times New Roman" w:hAnsi="Times New Roman" w:cs="Times New Roman"/>
          <w:caps w:val="0"/>
        </w:rPr>
        <w:tab/>
      </w:r>
      <w:r>
        <w:rPr>
          <w:rFonts w:ascii="Times New Roman" w:hAnsi="Times New Roman" w:cs="Times New Roman"/>
          <w:caps w:val="0"/>
        </w:rPr>
        <w:t>131</w:t>
      </w:r>
    </w:p>
    <w:p w14:paraId="003B9898">
      <w:pPr>
        <w:pStyle w:val="24"/>
        <w:keepNext w:val="0"/>
        <w:keepLines w:val="0"/>
        <w:pageBreakBefore w:val="0"/>
        <w:tabs>
          <w:tab w:val="right" w:leader="dot" w:pos="8306"/>
          <w:tab w:val="clear" w:pos="8364"/>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44"/>
        </w:rPr>
        <w:t xml:space="preserve">4 </w:t>
      </w:r>
      <w:r>
        <w:rPr>
          <w:rFonts w:hint="eastAsia" w:ascii="Times New Roman" w:hAnsi="Times New Roman" w:cs="Times New Roman"/>
          <w:caps w:val="0"/>
        </w:rPr>
        <w:t>建设项目周边环境概况</w:t>
      </w:r>
      <w:r>
        <w:rPr>
          <w:rFonts w:ascii="Times New Roman" w:hAnsi="Times New Roman" w:cs="Times New Roman"/>
          <w:caps w:val="0"/>
        </w:rPr>
        <w:tab/>
      </w:r>
      <w:r>
        <w:rPr>
          <w:rFonts w:ascii="Times New Roman" w:hAnsi="Times New Roman" w:cs="Times New Roman"/>
          <w:caps w:val="0"/>
        </w:rPr>
        <w:t>136</w:t>
      </w:r>
    </w:p>
    <w:p w14:paraId="3A4EA6D5">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4.1 </w:t>
      </w:r>
      <w:r>
        <w:rPr>
          <w:rFonts w:hint="eastAsia" w:ascii="Times New Roman" w:hAnsi="Times New Roman" w:cs="Times New Roman"/>
          <w:caps w:val="0"/>
        </w:rPr>
        <w:t>自然环境概况</w:t>
      </w:r>
      <w:r>
        <w:rPr>
          <w:rFonts w:ascii="Times New Roman" w:hAnsi="Times New Roman" w:cs="Times New Roman"/>
          <w:caps w:val="0"/>
        </w:rPr>
        <w:tab/>
      </w:r>
      <w:r>
        <w:rPr>
          <w:rFonts w:ascii="Times New Roman" w:hAnsi="Times New Roman" w:cs="Times New Roman"/>
          <w:caps w:val="0"/>
        </w:rPr>
        <w:t>136</w:t>
      </w:r>
    </w:p>
    <w:p w14:paraId="7355861B">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4.2 </w:t>
      </w:r>
      <w:r>
        <w:rPr>
          <w:rFonts w:hint="eastAsia" w:ascii="Times New Roman" w:hAnsi="Times New Roman" w:cs="Times New Roman"/>
          <w:caps w:val="0"/>
        </w:rPr>
        <w:t>松木经济开发区简介</w:t>
      </w:r>
      <w:r>
        <w:rPr>
          <w:rFonts w:ascii="Times New Roman" w:hAnsi="Times New Roman" w:cs="Times New Roman"/>
          <w:caps w:val="0"/>
        </w:rPr>
        <w:tab/>
      </w:r>
      <w:r>
        <w:rPr>
          <w:rFonts w:ascii="Times New Roman" w:hAnsi="Times New Roman" w:cs="Times New Roman"/>
          <w:caps w:val="0"/>
        </w:rPr>
        <w:t>138</w:t>
      </w:r>
    </w:p>
    <w:p w14:paraId="69B1E366">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4.3 </w:t>
      </w:r>
      <w:r>
        <w:rPr>
          <w:rFonts w:hint="eastAsia" w:ascii="Times New Roman" w:hAnsi="Times New Roman" w:cs="Times New Roman"/>
          <w:caps w:val="0"/>
        </w:rPr>
        <w:t>区域污染源调查</w:t>
      </w:r>
      <w:r>
        <w:rPr>
          <w:rFonts w:ascii="Times New Roman" w:hAnsi="Times New Roman" w:cs="Times New Roman"/>
          <w:caps w:val="0"/>
        </w:rPr>
        <w:tab/>
      </w:r>
      <w:r>
        <w:rPr>
          <w:rFonts w:ascii="Times New Roman" w:hAnsi="Times New Roman" w:cs="Times New Roman"/>
          <w:caps w:val="0"/>
        </w:rPr>
        <w:t>145</w:t>
      </w:r>
    </w:p>
    <w:p w14:paraId="454B2054">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4.4 </w:t>
      </w:r>
      <w:r>
        <w:rPr>
          <w:rFonts w:hint="eastAsia" w:ascii="Times New Roman" w:hAnsi="Times New Roman" w:cs="Times New Roman"/>
          <w:caps w:val="0"/>
        </w:rPr>
        <w:t>松木经开区近几年环境质量改善工作及成效</w:t>
      </w:r>
      <w:r>
        <w:rPr>
          <w:rFonts w:ascii="Times New Roman" w:hAnsi="Times New Roman" w:cs="Times New Roman"/>
          <w:caps w:val="0"/>
        </w:rPr>
        <w:tab/>
      </w:r>
      <w:r>
        <w:rPr>
          <w:rFonts w:ascii="Times New Roman" w:hAnsi="Times New Roman" w:cs="Times New Roman"/>
          <w:caps w:val="0"/>
        </w:rPr>
        <w:t>166</w:t>
      </w:r>
    </w:p>
    <w:p w14:paraId="5CAA0C11">
      <w:pPr>
        <w:pStyle w:val="24"/>
        <w:keepNext w:val="0"/>
        <w:keepLines w:val="0"/>
        <w:pageBreakBefore w:val="0"/>
        <w:tabs>
          <w:tab w:val="right" w:leader="dot" w:pos="8306"/>
          <w:tab w:val="clear" w:pos="8364"/>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44"/>
        </w:rPr>
        <w:t xml:space="preserve">5 </w:t>
      </w:r>
      <w:r>
        <w:rPr>
          <w:rFonts w:hint="eastAsia" w:ascii="Times New Roman" w:hAnsi="Times New Roman" w:cs="Times New Roman"/>
          <w:caps w:val="0"/>
        </w:rPr>
        <w:t>环境质量现状调查与评价</w:t>
      </w:r>
      <w:r>
        <w:rPr>
          <w:rFonts w:ascii="Times New Roman" w:hAnsi="Times New Roman" w:cs="Times New Roman"/>
          <w:caps w:val="0"/>
        </w:rPr>
        <w:tab/>
      </w:r>
      <w:r>
        <w:rPr>
          <w:rFonts w:ascii="Times New Roman" w:hAnsi="Times New Roman" w:cs="Times New Roman"/>
          <w:caps w:val="0"/>
        </w:rPr>
        <w:t>170</w:t>
      </w:r>
    </w:p>
    <w:p w14:paraId="0C85F45D">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5.1 </w:t>
      </w:r>
      <w:r>
        <w:rPr>
          <w:rFonts w:hint="eastAsia" w:ascii="Times New Roman" w:hAnsi="Times New Roman" w:cs="Times New Roman"/>
          <w:caps w:val="0"/>
        </w:rPr>
        <w:t>环境空气环境质量现状调查与评价</w:t>
      </w:r>
      <w:r>
        <w:rPr>
          <w:rFonts w:ascii="Times New Roman" w:hAnsi="Times New Roman" w:cs="Times New Roman"/>
          <w:caps w:val="0"/>
        </w:rPr>
        <w:tab/>
      </w:r>
      <w:r>
        <w:rPr>
          <w:rFonts w:ascii="Times New Roman" w:hAnsi="Times New Roman" w:cs="Times New Roman"/>
          <w:caps w:val="0"/>
        </w:rPr>
        <w:t>170</w:t>
      </w:r>
    </w:p>
    <w:p w14:paraId="23CD77C1">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5.2 </w:t>
      </w:r>
      <w:r>
        <w:rPr>
          <w:rFonts w:hint="eastAsia" w:ascii="Times New Roman" w:hAnsi="Times New Roman" w:cs="Times New Roman"/>
          <w:caps w:val="0"/>
        </w:rPr>
        <w:t>地表水环境质量现状调查与评价</w:t>
      </w:r>
      <w:r>
        <w:rPr>
          <w:rFonts w:ascii="Times New Roman" w:hAnsi="Times New Roman" w:cs="Times New Roman"/>
          <w:caps w:val="0"/>
        </w:rPr>
        <w:tab/>
      </w:r>
      <w:r>
        <w:rPr>
          <w:rFonts w:ascii="Times New Roman" w:hAnsi="Times New Roman" w:cs="Times New Roman"/>
          <w:caps w:val="0"/>
        </w:rPr>
        <w:t>172</w:t>
      </w:r>
    </w:p>
    <w:p w14:paraId="4969B7B3">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5.3 </w:t>
      </w:r>
      <w:r>
        <w:rPr>
          <w:rFonts w:hint="eastAsia" w:ascii="Times New Roman" w:hAnsi="Times New Roman" w:cs="Times New Roman"/>
          <w:caps w:val="0"/>
        </w:rPr>
        <w:t>声环境质量现状调查与评价</w:t>
      </w:r>
      <w:r>
        <w:rPr>
          <w:rFonts w:ascii="Times New Roman" w:hAnsi="Times New Roman" w:cs="Times New Roman"/>
          <w:caps w:val="0"/>
        </w:rPr>
        <w:tab/>
      </w:r>
      <w:r>
        <w:rPr>
          <w:rFonts w:ascii="Times New Roman" w:hAnsi="Times New Roman" w:cs="Times New Roman"/>
          <w:caps w:val="0"/>
        </w:rPr>
        <w:t>178</w:t>
      </w:r>
    </w:p>
    <w:p w14:paraId="4BE5C42B">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5.4 </w:t>
      </w:r>
      <w:r>
        <w:rPr>
          <w:rFonts w:hint="eastAsia" w:ascii="Times New Roman" w:hAnsi="Times New Roman" w:cs="Times New Roman"/>
          <w:caps w:val="0"/>
        </w:rPr>
        <w:t>地下水环境质量现状调查与评价</w:t>
      </w:r>
      <w:r>
        <w:rPr>
          <w:rFonts w:ascii="Times New Roman" w:hAnsi="Times New Roman" w:cs="Times New Roman"/>
          <w:caps w:val="0"/>
        </w:rPr>
        <w:tab/>
      </w:r>
      <w:r>
        <w:rPr>
          <w:rFonts w:ascii="Times New Roman" w:hAnsi="Times New Roman" w:cs="Times New Roman"/>
          <w:caps w:val="0"/>
        </w:rPr>
        <w:t>180</w:t>
      </w:r>
    </w:p>
    <w:p w14:paraId="2D785DF6">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5.5 </w:t>
      </w:r>
      <w:r>
        <w:rPr>
          <w:rFonts w:hint="eastAsia" w:ascii="Times New Roman" w:hAnsi="Times New Roman" w:cs="Times New Roman"/>
          <w:caps w:val="0"/>
        </w:rPr>
        <w:t>土壤环境质量现状调查与评价</w:t>
      </w:r>
      <w:r>
        <w:rPr>
          <w:rFonts w:ascii="Times New Roman" w:hAnsi="Times New Roman" w:cs="Times New Roman"/>
          <w:caps w:val="0"/>
        </w:rPr>
        <w:tab/>
      </w:r>
      <w:r>
        <w:rPr>
          <w:rFonts w:ascii="Times New Roman" w:hAnsi="Times New Roman" w:cs="Times New Roman"/>
          <w:caps w:val="0"/>
        </w:rPr>
        <w:t>193</w:t>
      </w:r>
    </w:p>
    <w:p w14:paraId="05B63E77">
      <w:pPr>
        <w:pStyle w:val="24"/>
        <w:keepNext w:val="0"/>
        <w:keepLines w:val="0"/>
        <w:pageBreakBefore w:val="0"/>
        <w:tabs>
          <w:tab w:val="right" w:leader="dot" w:pos="8306"/>
          <w:tab w:val="clear" w:pos="8364"/>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44"/>
        </w:rPr>
        <w:t xml:space="preserve">6 </w:t>
      </w:r>
      <w:r>
        <w:rPr>
          <w:rFonts w:hint="eastAsia" w:ascii="Times New Roman" w:hAnsi="Times New Roman" w:cs="Times New Roman"/>
          <w:caps w:val="0"/>
        </w:rPr>
        <w:t>施工期环境影响分析</w:t>
      </w:r>
      <w:r>
        <w:rPr>
          <w:rFonts w:ascii="Times New Roman" w:hAnsi="Times New Roman" w:cs="Times New Roman"/>
          <w:caps w:val="0"/>
        </w:rPr>
        <w:tab/>
      </w:r>
      <w:r>
        <w:rPr>
          <w:rFonts w:ascii="Times New Roman" w:hAnsi="Times New Roman" w:cs="Times New Roman"/>
          <w:caps w:val="0"/>
        </w:rPr>
        <w:t>199</w:t>
      </w:r>
    </w:p>
    <w:p w14:paraId="2918A0B0">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6.1 </w:t>
      </w:r>
      <w:r>
        <w:rPr>
          <w:rFonts w:hint="eastAsia" w:ascii="Times New Roman" w:hAnsi="Times New Roman" w:cs="Times New Roman"/>
          <w:caps w:val="0"/>
        </w:rPr>
        <w:t>施工期废气影响分析</w:t>
      </w:r>
      <w:r>
        <w:rPr>
          <w:rFonts w:ascii="Times New Roman" w:hAnsi="Times New Roman" w:cs="Times New Roman"/>
          <w:caps w:val="0"/>
        </w:rPr>
        <w:tab/>
      </w:r>
      <w:r>
        <w:rPr>
          <w:rFonts w:ascii="Times New Roman" w:hAnsi="Times New Roman" w:cs="Times New Roman"/>
          <w:caps w:val="0"/>
        </w:rPr>
        <w:t>199</w:t>
      </w:r>
    </w:p>
    <w:p w14:paraId="1640297E">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6.2 </w:t>
      </w:r>
      <w:r>
        <w:rPr>
          <w:rFonts w:hint="eastAsia" w:ascii="Times New Roman" w:hAnsi="Times New Roman" w:cs="Times New Roman"/>
          <w:caps w:val="0"/>
        </w:rPr>
        <w:t>施工期废水影响分析</w:t>
      </w:r>
      <w:r>
        <w:rPr>
          <w:rFonts w:ascii="Times New Roman" w:hAnsi="Times New Roman" w:cs="Times New Roman"/>
          <w:caps w:val="0"/>
        </w:rPr>
        <w:tab/>
      </w:r>
      <w:r>
        <w:rPr>
          <w:rFonts w:ascii="Times New Roman" w:hAnsi="Times New Roman" w:cs="Times New Roman"/>
          <w:caps w:val="0"/>
        </w:rPr>
        <w:t>200</w:t>
      </w:r>
    </w:p>
    <w:p w14:paraId="0A0BE3B0">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6.3 </w:t>
      </w:r>
      <w:r>
        <w:rPr>
          <w:rFonts w:hint="eastAsia" w:ascii="Times New Roman" w:hAnsi="Times New Roman" w:cs="Times New Roman"/>
          <w:caps w:val="0"/>
        </w:rPr>
        <w:t>施工期噪声影响分析</w:t>
      </w:r>
      <w:r>
        <w:rPr>
          <w:rFonts w:ascii="Times New Roman" w:hAnsi="Times New Roman" w:cs="Times New Roman"/>
          <w:caps w:val="0"/>
        </w:rPr>
        <w:tab/>
      </w:r>
      <w:r>
        <w:rPr>
          <w:rFonts w:ascii="Times New Roman" w:hAnsi="Times New Roman" w:cs="Times New Roman"/>
          <w:caps w:val="0"/>
        </w:rPr>
        <w:t>200</w:t>
      </w:r>
    </w:p>
    <w:p w14:paraId="228330B1">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6.4 </w:t>
      </w:r>
      <w:r>
        <w:rPr>
          <w:rFonts w:hint="eastAsia" w:ascii="Times New Roman" w:hAnsi="Times New Roman" w:cs="Times New Roman"/>
          <w:caps w:val="0"/>
        </w:rPr>
        <w:t>施工期固体废物影响分析</w:t>
      </w:r>
      <w:r>
        <w:rPr>
          <w:rFonts w:ascii="Times New Roman" w:hAnsi="Times New Roman" w:cs="Times New Roman"/>
          <w:caps w:val="0"/>
        </w:rPr>
        <w:tab/>
      </w:r>
      <w:r>
        <w:rPr>
          <w:rFonts w:ascii="Times New Roman" w:hAnsi="Times New Roman" w:cs="Times New Roman"/>
          <w:caps w:val="0"/>
        </w:rPr>
        <w:t>202</w:t>
      </w:r>
    </w:p>
    <w:p w14:paraId="08771A3C">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6.5 </w:t>
      </w:r>
      <w:r>
        <w:rPr>
          <w:rFonts w:hint="eastAsia" w:ascii="Times New Roman" w:hAnsi="Times New Roman" w:cs="Times New Roman"/>
          <w:caps w:val="0"/>
        </w:rPr>
        <w:t>施工期土壤环境影响分析</w:t>
      </w:r>
      <w:r>
        <w:rPr>
          <w:rFonts w:ascii="Times New Roman" w:hAnsi="Times New Roman" w:cs="Times New Roman"/>
          <w:caps w:val="0"/>
        </w:rPr>
        <w:tab/>
      </w:r>
      <w:r>
        <w:rPr>
          <w:rFonts w:ascii="Times New Roman" w:hAnsi="Times New Roman" w:cs="Times New Roman"/>
          <w:caps w:val="0"/>
        </w:rPr>
        <w:t>202</w:t>
      </w:r>
    </w:p>
    <w:p w14:paraId="07DAE540">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6.6 </w:t>
      </w:r>
      <w:r>
        <w:rPr>
          <w:rFonts w:hint="eastAsia" w:ascii="Times New Roman" w:hAnsi="Times New Roman" w:cs="Times New Roman"/>
          <w:caps w:val="0"/>
        </w:rPr>
        <w:t>施工期生态影响分析</w:t>
      </w:r>
      <w:r>
        <w:rPr>
          <w:rFonts w:ascii="Times New Roman" w:hAnsi="Times New Roman" w:cs="Times New Roman"/>
          <w:caps w:val="0"/>
        </w:rPr>
        <w:tab/>
      </w:r>
      <w:r>
        <w:rPr>
          <w:rFonts w:ascii="Times New Roman" w:hAnsi="Times New Roman" w:cs="Times New Roman"/>
          <w:caps w:val="0"/>
        </w:rPr>
        <w:t>203</w:t>
      </w:r>
    </w:p>
    <w:p w14:paraId="30000A02">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6.7 </w:t>
      </w:r>
      <w:r>
        <w:rPr>
          <w:rFonts w:hint="eastAsia" w:ascii="Times New Roman" w:hAnsi="Times New Roman" w:cs="Times New Roman"/>
          <w:caps w:val="0"/>
        </w:rPr>
        <w:t>小结</w:t>
      </w:r>
      <w:r>
        <w:rPr>
          <w:rFonts w:ascii="Times New Roman" w:hAnsi="Times New Roman" w:cs="Times New Roman"/>
          <w:caps w:val="0"/>
        </w:rPr>
        <w:tab/>
      </w:r>
      <w:r>
        <w:rPr>
          <w:rFonts w:ascii="Times New Roman" w:hAnsi="Times New Roman" w:cs="Times New Roman"/>
          <w:caps w:val="0"/>
        </w:rPr>
        <w:t>203</w:t>
      </w:r>
    </w:p>
    <w:p w14:paraId="377FA4BE">
      <w:pPr>
        <w:pStyle w:val="24"/>
        <w:keepNext w:val="0"/>
        <w:keepLines w:val="0"/>
        <w:pageBreakBefore w:val="0"/>
        <w:tabs>
          <w:tab w:val="right" w:leader="dot" w:pos="8306"/>
          <w:tab w:val="clear" w:pos="8364"/>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44"/>
        </w:rPr>
        <w:t xml:space="preserve">7 </w:t>
      </w:r>
      <w:r>
        <w:rPr>
          <w:rFonts w:hint="eastAsia" w:ascii="Times New Roman" w:hAnsi="Times New Roman" w:cs="Times New Roman"/>
          <w:caps w:val="0"/>
        </w:rPr>
        <w:t>营运期环境影响预测与评价</w:t>
      </w:r>
      <w:r>
        <w:rPr>
          <w:rFonts w:ascii="Times New Roman" w:hAnsi="Times New Roman" w:cs="Times New Roman"/>
          <w:caps w:val="0"/>
        </w:rPr>
        <w:tab/>
      </w:r>
      <w:r>
        <w:rPr>
          <w:rFonts w:ascii="Times New Roman" w:hAnsi="Times New Roman" w:cs="Times New Roman"/>
          <w:caps w:val="0"/>
        </w:rPr>
        <w:t>204</w:t>
      </w:r>
    </w:p>
    <w:p w14:paraId="79B6F595">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7.1 </w:t>
      </w:r>
      <w:r>
        <w:rPr>
          <w:rFonts w:ascii="Times New Roman" w:hAnsi="Times New Roman" w:cs="Times New Roman"/>
          <w:caps w:val="0"/>
        </w:rPr>
        <w:t>水环境影响预测与评价</w:t>
      </w:r>
      <w:r>
        <w:rPr>
          <w:rFonts w:ascii="Times New Roman" w:hAnsi="Times New Roman" w:cs="Times New Roman"/>
          <w:caps w:val="0"/>
        </w:rPr>
        <w:tab/>
      </w:r>
      <w:r>
        <w:rPr>
          <w:rFonts w:ascii="Times New Roman" w:hAnsi="Times New Roman" w:cs="Times New Roman"/>
          <w:caps w:val="0"/>
        </w:rPr>
        <w:t>204</w:t>
      </w:r>
    </w:p>
    <w:p w14:paraId="1E3CB556">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7.2 </w:t>
      </w:r>
      <w:r>
        <w:rPr>
          <w:rFonts w:ascii="Times New Roman" w:hAnsi="Times New Roman" w:cs="Times New Roman"/>
          <w:caps w:val="0"/>
        </w:rPr>
        <w:t>大气环境影响预测与评价</w:t>
      </w:r>
      <w:r>
        <w:rPr>
          <w:rFonts w:ascii="Times New Roman" w:hAnsi="Times New Roman" w:cs="Times New Roman"/>
          <w:caps w:val="0"/>
        </w:rPr>
        <w:tab/>
      </w:r>
      <w:r>
        <w:rPr>
          <w:rFonts w:ascii="Times New Roman" w:hAnsi="Times New Roman" w:cs="Times New Roman"/>
          <w:caps w:val="0"/>
        </w:rPr>
        <w:t>214</w:t>
      </w:r>
    </w:p>
    <w:p w14:paraId="2F30D287">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7.3 </w:t>
      </w:r>
      <w:r>
        <w:rPr>
          <w:rFonts w:ascii="Times New Roman" w:hAnsi="Times New Roman" w:cs="Times New Roman"/>
          <w:caps w:val="0"/>
        </w:rPr>
        <w:t>声环境影响预测与评价</w:t>
      </w:r>
      <w:r>
        <w:rPr>
          <w:rFonts w:ascii="Times New Roman" w:hAnsi="Times New Roman" w:cs="Times New Roman"/>
          <w:caps w:val="0"/>
        </w:rPr>
        <w:tab/>
      </w:r>
      <w:r>
        <w:rPr>
          <w:rFonts w:ascii="Times New Roman" w:hAnsi="Times New Roman" w:cs="Times New Roman"/>
          <w:caps w:val="0"/>
        </w:rPr>
        <w:t>262</w:t>
      </w:r>
    </w:p>
    <w:p w14:paraId="361C0791">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7.4 </w:t>
      </w:r>
      <w:r>
        <w:rPr>
          <w:rFonts w:ascii="Times New Roman" w:hAnsi="Times New Roman" w:cs="Times New Roman"/>
          <w:caps w:val="0"/>
        </w:rPr>
        <w:t>固体废物处理处置影响分析</w:t>
      </w:r>
      <w:r>
        <w:rPr>
          <w:rFonts w:ascii="Times New Roman" w:hAnsi="Times New Roman" w:cs="Times New Roman"/>
          <w:caps w:val="0"/>
        </w:rPr>
        <w:tab/>
      </w:r>
      <w:r>
        <w:rPr>
          <w:rFonts w:ascii="Times New Roman" w:hAnsi="Times New Roman" w:cs="Times New Roman"/>
          <w:caps w:val="0"/>
        </w:rPr>
        <w:t>266</w:t>
      </w:r>
    </w:p>
    <w:p w14:paraId="5DE0CABF">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7.5 </w:t>
      </w:r>
      <w:r>
        <w:rPr>
          <w:rFonts w:ascii="Times New Roman" w:hAnsi="Times New Roman" w:cs="Times New Roman"/>
          <w:caps w:val="0"/>
        </w:rPr>
        <w:t>土壤环境影响</w:t>
      </w:r>
      <w:r>
        <w:rPr>
          <w:rFonts w:hint="eastAsia" w:ascii="Times New Roman" w:hAnsi="Times New Roman" w:cs="Times New Roman"/>
          <w:caps w:val="0"/>
        </w:rPr>
        <w:t>预测与评价</w:t>
      </w:r>
      <w:r>
        <w:rPr>
          <w:rFonts w:ascii="Times New Roman" w:hAnsi="Times New Roman" w:cs="Times New Roman"/>
          <w:caps w:val="0"/>
        </w:rPr>
        <w:tab/>
      </w:r>
      <w:r>
        <w:rPr>
          <w:rFonts w:ascii="Times New Roman" w:hAnsi="Times New Roman" w:cs="Times New Roman"/>
          <w:caps w:val="0"/>
        </w:rPr>
        <w:t>267</w:t>
      </w:r>
    </w:p>
    <w:p w14:paraId="1EF1DBC4">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7.6 </w:t>
      </w:r>
      <w:r>
        <w:rPr>
          <w:rFonts w:ascii="Times New Roman" w:hAnsi="Times New Roman" w:cs="Times New Roman"/>
          <w:caps w:val="0"/>
        </w:rPr>
        <w:t>生态环境影响分析</w:t>
      </w:r>
      <w:r>
        <w:rPr>
          <w:rFonts w:ascii="Times New Roman" w:hAnsi="Times New Roman" w:cs="Times New Roman"/>
          <w:caps w:val="0"/>
        </w:rPr>
        <w:tab/>
      </w:r>
      <w:r>
        <w:rPr>
          <w:rFonts w:ascii="Times New Roman" w:hAnsi="Times New Roman" w:cs="Times New Roman"/>
          <w:caps w:val="0"/>
        </w:rPr>
        <w:t>274</w:t>
      </w:r>
    </w:p>
    <w:p w14:paraId="69D21528">
      <w:pPr>
        <w:pStyle w:val="24"/>
        <w:keepNext w:val="0"/>
        <w:keepLines w:val="0"/>
        <w:pageBreakBefore w:val="0"/>
        <w:tabs>
          <w:tab w:val="right" w:leader="dot" w:pos="8306"/>
          <w:tab w:val="clear" w:pos="8364"/>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44"/>
        </w:rPr>
        <w:t xml:space="preserve">8 </w:t>
      </w:r>
      <w:r>
        <w:rPr>
          <w:rFonts w:hint="eastAsia" w:ascii="Times New Roman" w:hAnsi="Times New Roman" w:cs="Times New Roman"/>
          <w:caps w:val="0"/>
        </w:rPr>
        <w:t>环境风险评价</w:t>
      </w:r>
      <w:r>
        <w:rPr>
          <w:rFonts w:ascii="Times New Roman" w:hAnsi="Times New Roman" w:cs="Times New Roman"/>
          <w:caps w:val="0"/>
        </w:rPr>
        <w:tab/>
      </w:r>
      <w:r>
        <w:rPr>
          <w:rFonts w:ascii="Times New Roman" w:hAnsi="Times New Roman" w:cs="Times New Roman"/>
          <w:caps w:val="0"/>
        </w:rPr>
        <w:t>276</w:t>
      </w:r>
    </w:p>
    <w:p w14:paraId="7FB2E212">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8.1 </w:t>
      </w:r>
      <w:r>
        <w:rPr>
          <w:rFonts w:hint="eastAsia" w:ascii="Times New Roman" w:hAnsi="Times New Roman" w:cs="Times New Roman"/>
          <w:caps w:val="0"/>
        </w:rPr>
        <w:t>环境风险评价等级和主要评价内容</w:t>
      </w:r>
      <w:r>
        <w:rPr>
          <w:rFonts w:ascii="Times New Roman" w:hAnsi="Times New Roman" w:cs="Times New Roman"/>
          <w:caps w:val="0"/>
        </w:rPr>
        <w:tab/>
      </w:r>
      <w:r>
        <w:rPr>
          <w:rFonts w:ascii="Times New Roman" w:hAnsi="Times New Roman" w:cs="Times New Roman"/>
          <w:caps w:val="0"/>
        </w:rPr>
        <w:t>276</w:t>
      </w:r>
    </w:p>
    <w:p w14:paraId="22908F4F">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8.2 </w:t>
      </w:r>
      <w:r>
        <w:rPr>
          <w:rFonts w:hint="eastAsia" w:ascii="Times New Roman" w:hAnsi="Times New Roman" w:cs="Times New Roman"/>
          <w:caps w:val="0"/>
        </w:rPr>
        <w:t>风险识别</w:t>
      </w:r>
      <w:r>
        <w:rPr>
          <w:rFonts w:ascii="Times New Roman" w:hAnsi="Times New Roman" w:cs="Times New Roman"/>
          <w:caps w:val="0"/>
        </w:rPr>
        <w:tab/>
      </w:r>
      <w:r>
        <w:rPr>
          <w:rFonts w:ascii="Times New Roman" w:hAnsi="Times New Roman" w:cs="Times New Roman"/>
          <w:caps w:val="0"/>
        </w:rPr>
        <w:t>282</w:t>
      </w:r>
    </w:p>
    <w:p w14:paraId="57DE801A">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8.3 </w:t>
      </w:r>
      <w:r>
        <w:rPr>
          <w:rFonts w:hint="eastAsia" w:ascii="Times New Roman" w:hAnsi="Times New Roman" w:cs="Times New Roman"/>
          <w:caps w:val="0"/>
        </w:rPr>
        <w:t>风险事故情形分析</w:t>
      </w:r>
      <w:r>
        <w:rPr>
          <w:rFonts w:ascii="Times New Roman" w:hAnsi="Times New Roman" w:cs="Times New Roman"/>
          <w:caps w:val="0"/>
        </w:rPr>
        <w:tab/>
      </w:r>
      <w:r>
        <w:rPr>
          <w:rFonts w:ascii="Times New Roman" w:hAnsi="Times New Roman" w:cs="Times New Roman"/>
          <w:caps w:val="0"/>
        </w:rPr>
        <w:t>288</w:t>
      </w:r>
    </w:p>
    <w:p w14:paraId="5A6CF0D4">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8.4 </w:t>
      </w:r>
      <w:r>
        <w:rPr>
          <w:rFonts w:hint="eastAsia" w:ascii="Times New Roman" w:hAnsi="Times New Roman" w:cs="Times New Roman"/>
          <w:caps w:val="0"/>
        </w:rPr>
        <w:t>风险预测与评价</w:t>
      </w:r>
      <w:r>
        <w:rPr>
          <w:rFonts w:ascii="Times New Roman" w:hAnsi="Times New Roman" w:cs="Times New Roman"/>
          <w:caps w:val="0"/>
        </w:rPr>
        <w:tab/>
      </w:r>
      <w:r>
        <w:rPr>
          <w:rFonts w:ascii="Times New Roman" w:hAnsi="Times New Roman" w:cs="Times New Roman"/>
          <w:caps w:val="0"/>
        </w:rPr>
        <w:t>292</w:t>
      </w:r>
    </w:p>
    <w:p w14:paraId="0BD9A7FF">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8.5 </w:t>
      </w:r>
      <w:r>
        <w:rPr>
          <w:rFonts w:hint="eastAsia" w:ascii="Times New Roman" w:hAnsi="Times New Roman" w:cs="Times New Roman"/>
          <w:caps w:val="0"/>
        </w:rPr>
        <w:t>环境风险管理</w:t>
      </w:r>
      <w:r>
        <w:rPr>
          <w:rFonts w:ascii="Times New Roman" w:hAnsi="Times New Roman" w:cs="Times New Roman"/>
          <w:caps w:val="0"/>
        </w:rPr>
        <w:tab/>
      </w:r>
      <w:r>
        <w:rPr>
          <w:rFonts w:ascii="Times New Roman" w:hAnsi="Times New Roman" w:cs="Times New Roman"/>
          <w:caps w:val="0"/>
        </w:rPr>
        <w:t>303</w:t>
      </w:r>
    </w:p>
    <w:p w14:paraId="3861AAFA">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8.6 </w:t>
      </w:r>
      <w:r>
        <w:rPr>
          <w:rFonts w:hint="eastAsia" w:ascii="Times New Roman" w:hAnsi="Times New Roman" w:cs="Times New Roman"/>
          <w:caps w:val="0"/>
        </w:rPr>
        <w:t>环境应急预案</w:t>
      </w:r>
      <w:r>
        <w:rPr>
          <w:rFonts w:ascii="Times New Roman" w:hAnsi="Times New Roman" w:cs="Times New Roman"/>
          <w:caps w:val="0"/>
        </w:rPr>
        <w:tab/>
      </w:r>
      <w:r>
        <w:rPr>
          <w:rFonts w:ascii="Times New Roman" w:hAnsi="Times New Roman" w:cs="Times New Roman"/>
          <w:caps w:val="0"/>
        </w:rPr>
        <w:t>308</w:t>
      </w:r>
    </w:p>
    <w:p w14:paraId="2501045A">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8.7 </w:t>
      </w:r>
      <w:r>
        <w:rPr>
          <w:rFonts w:hint="eastAsia" w:ascii="Times New Roman" w:hAnsi="Times New Roman" w:cs="Times New Roman"/>
          <w:caps w:val="0"/>
        </w:rPr>
        <w:t>小结</w:t>
      </w:r>
      <w:r>
        <w:rPr>
          <w:rFonts w:ascii="Times New Roman" w:hAnsi="Times New Roman" w:cs="Times New Roman"/>
          <w:caps w:val="0"/>
        </w:rPr>
        <w:tab/>
      </w:r>
      <w:r>
        <w:rPr>
          <w:rFonts w:ascii="Times New Roman" w:hAnsi="Times New Roman" w:cs="Times New Roman"/>
          <w:caps w:val="0"/>
        </w:rPr>
        <w:t>320</w:t>
      </w:r>
    </w:p>
    <w:p w14:paraId="24C45083">
      <w:pPr>
        <w:pStyle w:val="24"/>
        <w:keepNext w:val="0"/>
        <w:keepLines w:val="0"/>
        <w:pageBreakBefore w:val="0"/>
        <w:tabs>
          <w:tab w:val="right" w:leader="dot" w:pos="8306"/>
          <w:tab w:val="clear" w:pos="8364"/>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44"/>
        </w:rPr>
        <w:t xml:space="preserve">9 </w:t>
      </w:r>
      <w:r>
        <w:rPr>
          <w:rFonts w:hint="eastAsia" w:ascii="Times New Roman" w:hAnsi="Times New Roman" w:cs="Times New Roman"/>
          <w:caps w:val="0"/>
        </w:rPr>
        <w:t>污染防治措施的经济技术可行性分析</w:t>
      </w:r>
      <w:r>
        <w:rPr>
          <w:rFonts w:ascii="Times New Roman" w:hAnsi="Times New Roman" w:cs="Times New Roman"/>
          <w:caps w:val="0"/>
        </w:rPr>
        <w:tab/>
      </w:r>
      <w:r>
        <w:rPr>
          <w:rFonts w:ascii="Times New Roman" w:hAnsi="Times New Roman" w:cs="Times New Roman"/>
          <w:caps w:val="0"/>
        </w:rPr>
        <w:t>322</w:t>
      </w:r>
    </w:p>
    <w:p w14:paraId="10BE0B4E">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9.1 </w:t>
      </w:r>
      <w:r>
        <w:rPr>
          <w:rFonts w:hint="eastAsia" w:ascii="Times New Roman" w:hAnsi="Times New Roman" w:cs="Times New Roman"/>
          <w:caps w:val="0"/>
        </w:rPr>
        <w:t>废水处理措施可行性分析</w:t>
      </w:r>
      <w:r>
        <w:rPr>
          <w:rFonts w:ascii="Times New Roman" w:hAnsi="Times New Roman" w:cs="Times New Roman"/>
          <w:caps w:val="0"/>
        </w:rPr>
        <w:tab/>
      </w:r>
      <w:r>
        <w:rPr>
          <w:rFonts w:ascii="Times New Roman" w:hAnsi="Times New Roman" w:cs="Times New Roman"/>
          <w:caps w:val="0"/>
        </w:rPr>
        <w:t>322</w:t>
      </w:r>
    </w:p>
    <w:p w14:paraId="4C437537">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9.2 </w:t>
      </w:r>
      <w:r>
        <w:rPr>
          <w:rFonts w:hint="eastAsia" w:ascii="Times New Roman" w:hAnsi="Times New Roman" w:cs="Times New Roman"/>
          <w:caps w:val="0"/>
        </w:rPr>
        <w:t>废气处理措施可行性分析</w:t>
      </w:r>
      <w:r>
        <w:rPr>
          <w:rFonts w:ascii="Times New Roman" w:hAnsi="Times New Roman" w:cs="Times New Roman"/>
          <w:caps w:val="0"/>
        </w:rPr>
        <w:tab/>
      </w:r>
      <w:r>
        <w:rPr>
          <w:rFonts w:ascii="Times New Roman" w:hAnsi="Times New Roman" w:cs="Times New Roman"/>
          <w:caps w:val="0"/>
        </w:rPr>
        <w:t>327</w:t>
      </w:r>
    </w:p>
    <w:p w14:paraId="0618CB1A">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9.3 </w:t>
      </w:r>
      <w:r>
        <w:rPr>
          <w:rFonts w:hint="eastAsia" w:ascii="Times New Roman" w:hAnsi="Times New Roman" w:cs="Times New Roman"/>
          <w:caps w:val="0"/>
        </w:rPr>
        <w:t>噪声防治措施的经济技术可行性分析</w:t>
      </w:r>
      <w:r>
        <w:rPr>
          <w:rFonts w:ascii="Times New Roman" w:hAnsi="Times New Roman" w:cs="Times New Roman"/>
          <w:caps w:val="0"/>
        </w:rPr>
        <w:tab/>
      </w:r>
      <w:r>
        <w:rPr>
          <w:rFonts w:ascii="Times New Roman" w:hAnsi="Times New Roman" w:cs="Times New Roman"/>
          <w:caps w:val="0"/>
        </w:rPr>
        <w:t>330</w:t>
      </w:r>
    </w:p>
    <w:p w14:paraId="3398AE73">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9.4 </w:t>
      </w:r>
      <w:r>
        <w:rPr>
          <w:rFonts w:hint="eastAsia" w:ascii="Times New Roman" w:hAnsi="Times New Roman" w:cs="Times New Roman"/>
          <w:caps w:val="0"/>
        </w:rPr>
        <w:t>固体废物防治措施的经济技术可行性分析</w:t>
      </w:r>
      <w:r>
        <w:rPr>
          <w:rFonts w:ascii="Times New Roman" w:hAnsi="Times New Roman" w:cs="Times New Roman"/>
          <w:caps w:val="0"/>
        </w:rPr>
        <w:tab/>
      </w:r>
      <w:r>
        <w:rPr>
          <w:rFonts w:ascii="Times New Roman" w:hAnsi="Times New Roman" w:cs="Times New Roman"/>
          <w:caps w:val="0"/>
        </w:rPr>
        <w:t>331</w:t>
      </w:r>
    </w:p>
    <w:p w14:paraId="2A87BE69">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9.5 </w:t>
      </w:r>
      <w:r>
        <w:rPr>
          <w:rFonts w:hint="eastAsia" w:ascii="Times New Roman" w:hAnsi="Times New Roman" w:cs="Times New Roman"/>
          <w:caps w:val="0"/>
        </w:rPr>
        <w:t>地下水和土壤污染防治对策可行性分析</w:t>
      </w:r>
      <w:r>
        <w:rPr>
          <w:rFonts w:ascii="Times New Roman" w:hAnsi="Times New Roman" w:cs="Times New Roman"/>
          <w:caps w:val="0"/>
        </w:rPr>
        <w:tab/>
      </w:r>
      <w:r>
        <w:rPr>
          <w:rFonts w:ascii="Times New Roman" w:hAnsi="Times New Roman" w:cs="Times New Roman"/>
          <w:caps w:val="0"/>
        </w:rPr>
        <w:t>333</w:t>
      </w:r>
    </w:p>
    <w:p w14:paraId="2C881BF9">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9.6 </w:t>
      </w:r>
      <w:r>
        <w:rPr>
          <w:rFonts w:hint="eastAsia" w:ascii="Times New Roman" w:hAnsi="Times New Roman" w:cs="Times New Roman"/>
          <w:caps w:val="0"/>
        </w:rPr>
        <w:t>小结</w:t>
      </w:r>
      <w:r>
        <w:rPr>
          <w:rFonts w:ascii="Times New Roman" w:hAnsi="Times New Roman" w:cs="Times New Roman"/>
          <w:caps w:val="0"/>
        </w:rPr>
        <w:tab/>
      </w:r>
      <w:r>
        <w:rPr>
          <w:rFonts w:ascii="Times New Roman" w:hAnsi="Times New Roman" w:cs="Times New Roman"/>
          <w:caps w:val="0"/>
        </w:rPr>
        <w:t>336</w:t>
      </w:r>
    </w:p>
    <w:p w14:paraId="0D321F60">
      <w:pPr>
        <w:pStyle w:val="24"/>
        <w:keepNext w:val="0"/>
        <w:keepLines w:val="0"/>
        <w:pageBreakBefore w:val="0"/>
        <w:tabs>
          <w:tab w:val="right" w:leader="dot" w:pos="8306"/>
          <w:tab w:val="clear" w:pos="8364"/>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44"/>
        </w:rPr>
        <w:t xml:space="preserve">10 </w:t>
      </w:r>
      <w:r>
        <w:rPr>
          <w:rFonts w:hint="eastAsia" w:ascii="Times New Roman" w:hAnsi="Times New Roman" w:cs="Times New Roman"/>
          <w:caps w:val="0"/>
        </w:rPr>
        <w:t>环境影响经济损益分析</w:t>
      </w:r>
      <w:r>
        <w:rPr>
          <w:rFonts w:ascii="Times New Roman" w:hAnsi="Times New Roman" w:cs="Times New Roman"/>
          <w:caps w:val="0"/>
        </w:rPr>
        <w:tab/>
      </w:r>
      <w:r>
        <w:rPr>
          <w:rFonts w:ascii="Times New Roman" w:hAnsi="Times New Roman" w:cs="Times New Roman"/>
          <w:caps w:val="0"/>
        </w:rPr>
        <w:t>337</w:t>
      </w:r>
    </w:p>
    <w:p w14:paraId="052AAAC1">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10.1 </w:t>
      </w:r>
      <w:r>
        <w:rPr>
          <w:rFonts w:hint="eastAsia" w:ascii="Times New Roman" w:hAnsi="Times New Roman" w:cs="Times New Roman"/>
          <w:caps w:val="0"/>
        </w:rPr>
        <w:t>环境保护措施投资</w:t>
      </w:r>
      <w:r>
        <w:rPr>
          <w:rFonts w:ascii="Times New Roman" w:hAnsi="Times New Roman" w:cs="Times New Roman"/>
          <w:caps w:val="0"/>
        </w:rPr>
        <w:tab/>
      </w:r>
      <w:r>
        <w:rPr>
          <w:rFonts w:ascii="Times New Roman" w:hAnsi="Times New Roman" w:cs="Times New Roman"/>
          <w:caps w:val="0"/>
        </w:rPr>
        <w:t>337</w:t>
      </w:r>
    </w:p>
    <w:p w14:paraId="7BCAFDBA">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10.2 </w:t>
      </w:r>
      <w:r>
        <w:rPr>
          <w:rFonts w:hint="eastAsia" w:ascii="Times New Roman" w:hAnsi="Times New Roman" w:cs="Times New Roman"/>
          <w:caps w:val="0"/>
        </w:rPr>
        <w:t>环境影响损失</w:t>
      </w:r>
      <w:r>
        <w:rPr>
          <w:rFonts w:ascii="Times New Roman" w:hAnsi="Times New Roman" w:cs="Times New Roman"/>
          <w:caps w:val="0"/>
        </w:rPr>
        <w:tab/>
      </w:r>
      <w:r>
        <w:rPr>
          <w:rFonts w:ascii="Times New Roman" w:hAnsi="Times New Roman" w:cs="Times New Roman"/>
          <w:caps w:val="0"/>
        </w:rPr>
        <w:t>338</w:t>
      </w:r>
    </w:p>
    <w:p w14:paraId="4FF77ED3">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10.3 </w:t>
      </w:r>
      <w:r>
        <w:rPr>
          <w:rFonts w:hint="eastAsia" w:ascii="Times New Roman" w:hAnsi="Times New Roman" w:cs="Times New Roman"/>
          <w:caps w:val="0"/>
        </w:rPr>
        <w:t>社会经济效益分析</w:t>
      </w:r>
      <w:r>
        <w:rPr>
          <w:rFonts w:ascii="Times New Roman" w:hAnsi="Times New Roman" w:cs="Times New Roman"/>
          <w:caps w:val="0"/>
        </w:rPr>
        <w:tab/>
      </w:r>
      <w:r>
        <w:rPr>
          <w:rFonts w:ascii="Times New Roman" w:hAnsi="Times New Roman" w:cs="Times New Roman"/>
          <w:caps w:val="0"/>
        </w:rPr>
        <w:t>338</w:t>
      </w:r>
    </w:p>
    <w:p w14:paraId="32285767">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10.4 </w:t>
      </w:r>
      <w:r>
        <w:rPr>
          <w:rFonts w:hint="eastAsia" w:ascii="Times New Roman" w:hAnsi="Times New Roman" w:cs="Times New Roman"/>
          <w:caps w:val="0"/>
        </w:rPr>
        <w:t>小结</w:t>
      </w:r>
      <w:r>
        <w:rPr>
          <w:rFonts w:ascii="Times New Roman" w:hAnsi="Times New Roman" w:cs="Times New Roman"/>
          <w:caps w:val="0"/>
        </w:rPr>
        <w:tab/>
      </w:r>
      <w:r>
        <w:rPr>
          <w:rFonts w:ascii="Times New Roman" w:hAnsi="Times New Roman" w:cs="Times New Roman"/>
          <w:caps w:val="0"/>
        </w:rPr>
        <w:t>339</w:t>
      </w:r>
    </w:p>
    <w:p w14:paraId="6D6FF8BC">
      <w:pPr>
        <w:pStyle w:val="24"/>
        <w:keepNext w:val="0"/>
        <w:keepLines w:val="0"/>
        <w:pageBreakBefore w:val="0"/>
        <w:tabs>
          <w:tab w:val="right" w:leader="dot" w:pos="8306"/>
          <w:tab w:val="clear" w:pos="8364"/>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44"/>
        </w:rPr>
        <w:t xml:space="preserve">11 </w:t>
      </w:r>
      <w:r>
        <w:rPr>
          <w:rFonts w:hint="eastAsia" w:ascii="Times New Roman" w:hAnsi="Times New Roman" w:cs="Times New Roman"/>
          <w:caps w:val="0"/>
        </w:rPr>
        <w:t>环境管理与环境监测计划</w:t>
      </w:r>
      <w:r>
        <w:rPr>
          <w:rFonts w:ascii="Times New Roman" w:hAnsi="Times New Roman" w:cs="Times New Roman"/>
          <w:caps w:val="0"/>
        </w:rPr>
        <w:tab/>
      </w:r>
      <w:r>
        <w:rPr>
          <w:rFonts w:ascii="Times New Roman" w:hAnsi="Times New Roman" w:cs="Times New Roman"/>
          <w:caps w:val="0"/>
        </w:rPr>
        <w:t>340</w:t>
      </w:r>
    </w:p>
    <w:p w14:paraId="2342D0C1">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11.1 </w:t>
      </w:r>
      <w:r>
        <w:rPr>
          <w:rFonts w:hint="eastAsia" w:ascii="Times New Roman" w:hAnsi="Times New Roman" w:cs="Times New Roman"/>
          <w:caps w:val="0"/>
        </w:rPr>
        <w:t>环境管理</w:t>
      </w:r>
      <w:r>
        <w:rPr>
          <w:rFonts w:ascii="Times New Roman" w:hAnsi="Times New Roman" w:cs="Times New Roman"/>
          <w:caps w:val="0"/>
        </w:rPr>
        <w:tab/>
      </w:r>
      <w:r>
        <w:rPr>
          <w:rFonts w:ascii="Times New Roman" w:hAnsi="Times New Roman" w:cs="Times New Roman"/>
          <w:caps w:val="0"/>
        </w:rPr>
        <w:t>340</w:t>
      </w:r>
    </w:p>
    <w:p w14:paraId="45E80C69">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11.2 </w:t>
      </w:r>
      <w:r>
        <w:rPr>
          <w:rFonts w:hint="eastAsia" w:ascii="Times New Roman" w:hAnsi="Times New Roman" w:cs="Times New Roman"/>
          <w:caps w:val="0"/>
        </w:rPr>
        <w:t>环境管理措施</w:t>
      </w:r>
      <w:r>
        <w:rPr>
          <w:rFonts w:ascii="Times New Roman" w:hAnsi="Times New Roman" w:cs="Times New Roman"/>
          <w:caps w:val="0"/>
        </w:rPr>
        <w:tab/>
      </w:r>
      <w:r>
        <w:rPr>
          <w:rFonts w:ascii="Times New Roman" w:hAnsi="Times New Roman" w:cs="Times New Roman"/>
          <w:caps w:val="0"/>
        </w:rPr>
        <w:t>341</w:t>
      </w:r>
    </w:p>
    <w:p w14:paraId="307F1F9B">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11.3 </w:t>
      </w:r>
      <w:r>
        <w:rPr>
          <w:rFonts w:hint="eastAsia" w:ascii="Times New Roman" w:hAnsi="Times New Roman" w:cs="Times New Roman"/>
          <w:caps w:val="0"/>
        </w:rPr>
        <w:t>环境监测计划</w:t>
      </w:r>
      <w:r>
        <w:rPr>
          <w:rFonts w:ascii="Times New Roman" w:hAnsi="Times New Roman" w:cs="Times New Roman"/>
          <w:caps w:val="0"/>
        </w:rPr>
        <w:tab/>
      </w:r>
      <w:r>
        <w:rPr>
          <w:rFonts w:ascii="Times New Roman" w:hAnsi="Times New Roman" w:cs="Times New Roman"/>
          <w:caps w:val="0"/>
        </w:rPr>
        <w:t>344</w:t>
      </w:r>
    </w:p>
    <w:p w14:paraId="751D71AC">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11.4 </w:t>
      </w:r>
      <w:r>
        <w:rPr>
          <w:rFonts w:hint="eastAsia" w:ascii="Times New Roman" w:hAnsi="Times New Roman" w:cs="Times New Roman"/>
          <w:caps w:val="0"/>
        </w:rPr>
        <w:t>污染物排放管理要求</w:t>
      </w:r>
      <w:r>
        <w:rPr>
          <w:rFonts w:ascii="Times New Roman" w:hAnsi="Times New Roman" w:cs="Times New Roman"/>
          <w:caps w:val="0"/>
        </w:rPr>
        <w:tab/>
      </w:r>
      <w:r>
        <w:rPr>
          <w:rFonts w:ascii="Times New Roman" w:hAnsi="Times New Roman" w:cs="Times New Roman"/>
          <w:caps w:val="0"/>
        </w:rPr>
        <w:t>346</w:t>
      </w:r>
    </w:p>
    <w:p w14:paraId="1F8F8FF9">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11.5 </w:t>
      </w:r>
      <w:r>
        <w:rPr>
          <w:rFonts w:hint="eastAsia" w:ascii="Times New Roman" w:hAnsi="Times New Roman" w:cs="Times New Roman"/>
          <w:caps w:val="0"/>
        </w:rPr>
        <w:t>小结</w:t>
      </w:r>
      <w:r>
        <w:rPr>
          <w:rFonts w:ascii="Times New Roman" w:hAnsi="Times New Roman" w:cs="Times New Roman"/>
          <w:caps w:val="0"/>
        </w:rPr>
        <w:tab/>
      </w:r>
      <w:r>
        <w:rPr>
          <w:rFonts w:ascii="Times New Roman" w:hAnsi="Times New Roman" w:cs="Times New Roman"/>
          <w:caps w:val="0"/>
        </w:rPr>
        <w:t>348</w:t>
      </w:r>
    </w:p>
    <w:p w14:paraId="14E94906">
      <w:pPr>
        <w:pStyle w:val="24"/>
        <w:keepNext w:val="0"/>
        <w:keepLines w:val="0"/>
        <w:pageBreakBefore w:val="0"/>
        <w:tabs>
          <w:tab w:val="right" w:leader="dot" w:pos="8306"/>
          <w:tab w:val="clear" w:pos="8364"/>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44"/>
        </w:rPr>
        <w:t xml:space="preserve">12 </w:t>
      </w:r>
      <w:r>
        <w:rPr>
          <w:rFonts w:hint="eastAsia" w:ascii="Times New Roman" w:hAnsi="Times New Roman" w:cs="Times New Roman"/>
          <w:caps w:val="0"/>
        </w:rPr>
        <w:t>结  论</w:t>
      </w:r>
      <w:r>
        <w:rPr>
          <w:rFonts w:ascii="Times New Roman" w:hAnsi="Times New Roman" w:cs="Times New Roman"/>
          <w:caps w:val="0"/>
        </w:rPr>
        <w:tab/>
      </w:r>
      <w:r>
        <w:rPr>
          <w:rFonts w:ascii="Times New Roman" w:hAnsi="Times New Roman" w:cs="Times New Roman"/>
          <w:caps w:val="0"/>
        </w:rPr>
        <w:t>349</w:t>
      </w:r>
    </w:p>
    <w:p w14:paraId="665A8771">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12.1 </w:t>
      </w:r>
      <w:r>
        <w:rPr>
          <w:rFonts w:hint="eastAsia" w:ascii="Times New Roman" w:hAnsi="Times New Roman" w:cs="Times New Roman"/>
          <w:caps w:val="0"/>
        </w:rPr>
        <w:t>建设项目概况及污染源分析结论</w:t>
      </w:r>
      <w:r>
        <w:rPr>
          <w:rFonts w:ascii="Times New Roman" w:hAnsi="Times New Roman" w:cs="Times New Roman"/>
          <w:caps w:val="0"/>
        </w:rPr>
        <w:tab/>
      </w:r>
      <w:r>
        <w:rPr>
          <w:rFonts w:ascii="Times New Roman" w:hAnsi="Times New Roman" w:cs="Times New Roman"/>
          <w:caps w:val="0"/>
        </w:rPr>
        <w:t>349</w:t>
      </w:r>
    </w:p>
    <w:p w14:paraId="47AB9C1D">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12.2 </w:t>
      </w:r>
      <w:r>
        <w:rPr>
          <w:rFonts w:hint="eastAsia" w:ascii="Times New Roman" w:hAnsi="Times New Roman" w:cs="Times New Roman"/>
          <w:caps w:val="0"/>
        </w:rPr>
        <w:t>环境质量现状调查与评价结论</w:t>
      </w:r>
      <w:r>
        <w:rPr>
          <w:rFonts w:ascii="Times New Roman" w:hAnsi="Times New Roman" w:cs="Times New Roman"/>
          <w:caps w:val="0"/>
        </w:rPr>
        <w:tab/>
      </w:r>
      <w:r>
        <w:rPr>
          <w:rFonts w:ascii="Times New Roman" w:hAnsi="Times New Roman" w:cs="Times New Roman"/>
          <w:caps w:val="0"/>
        </w:rPr>
        <w:t>351</w:t>
      </w:r>
    </w:p>
    <w:p w14:paraId="5841C64F">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12.3 </w:t>
      </w:r>
      <w:r>
        <w:rPr>
          <w:rFonts w:hint="eastAsia" w:ascii="Times New Roman" w:hAnsi="Times New Roman" w:cs="Times New Roman"/>
          <w:caps w:val="0"/>
        </w:rPr>
        <w:t>环境影响预测与评价结论</w:t>
      </w:r>
      <w:r>
        <w:rPr>
          <w:rFonts w:ascii="Times New Roman" w:hAnsi="Times New Roman" w:cs="Times New Roman"/>
          <w:caps w:val="0"/>
        </w:rPr>
        <w:tab/>
      </w:r>
      <w:r>
        <w:rPr>
          <w:rFonts w:ascii="Times New Roman" w:hAnsi="Times New Roman" w:cs="Times New Roman"/>
          <w:caps w:val="0"/>
        </w:rPr>
        <w:t>352</w:t>
      </w:r>
    </w:p>
    <w:p w14:paraId="6F66E58E">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12.4 </w:t>
      </w:r>
      <w:r>
        <w:rPr>
          <w:rFonts w:hint="eastAsia" w:ascii="Times New Roman" w:hAnsi="Times New Roman" w:cs="Times New Roman"/>
          <w:caps w:val="0"/>
        </w:rPr>
        <w:t>环境风险评价结论</w:t>
      </w:r>
      <w:r>
        <w:rPr>
          <w:rFonts w:ascii="Times New Roman" w:hAnsi="Times New Roman" w:cs="Times New Roman"/>
          <w:caps w:val="0"/>
        </w:rPr>
        <w:tab/>
      </w:r>
      <w:r>
        <w:rPr>
          <w:rFonts w:ascii="Times New Roman" w:hAnsi="Times New Roman" w:cs="Times New Roman"/>
          <w:caps w:val="0"/>
        </w:rPr>
        <w:t>353</w:t>
      </w:r>
    </w:p>
    <w:p w14:paraId="6894C86E">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12.5 </w:t>
      </w:r>
      <w:r>
        <w:rPr>
          <w:rFonts w:hint="eastAsia" w:ascii="Times New Roman" w:hAnsi="Times New Roman" w:cs="Times New Roman"/>
          <w:caps w:val="0"/>
        </w:rPr>
        <w:t>总量控制结论</w:t>
      </w:r>
      <w:r>
        <w:rPr>
          <w:rFonts w:ascii="Times New Roman" w:hAnsi="Times New Roman" w:cs="Times New Roman"/>
          <w:caps w:val="0"/>
        </w:rPr>
        <w:tab/>
      </w:r>
      <w:r>
        <w:rPr>
          <w:rFonts w:ascii="Times New Roman" w:hAnsi="Times New Roman" w:cs="Times New Roman"/>
          <w:caps w:val="0"/>
        </w:rPr>
        <w:t>354</w:t>
      </w:r>
    </w:p>
    <w:p w14:paraId="25A6FA62">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12.6 </w:t>
      </w:r>
      <w:r>
        <w:rPr>
          <w:rFonts w:hint="eastAsia" w:ascii="Times New Roman" w:hAnsi="Times New Roman" w:cs="Times New Roman"/>
          <w:caps w:val="0"/>
        </w:rPr>
        <w:t>环保法规相符性分析结论</w:t>
      </w:r>
      <w:r>
        <w:rPr>
          <w:rFonts w:ascii="Times New Roman" w:hAnsi="Times New Roman" w:cs="Times New Roman"/>
          <w:caps w:val="0"/>
        </w:rPr>
        <w:tab/>
      </w:r>
      <w:r>
        <w:rPr>
          <w:rFonts w:ascii="Times New Roman" w:hAnsi="Times New Roman" w:cs="Times New Roman"/>
          <w:caps w:val="0"/>
        </w:rPr>
        <w:t>354</w:t>
      </w:r>
    </w:p>
    <w:p w14:paraId="3D02F558">
      <w:pPr>
        <w:pStyle w:val="27"/>
        <w:keepNext w:val="0"/>
        <w:keepLines w:val="0"/>
        <w:pageBreakBefore w:val="0"/>
        <w:tabs>
          <w:tab w:val="right" w:leader="dot" w:pos="8306"/>
        </w:tabs>
        <w:kinsoku/>
        <w:wordWrap/>
        <w:overflowPunct/>
        <w:topLinePunct w:val="0"/>
        <w:autoSpaceDE/>
        <w:autoSpaceDN/>
        <w:bidi w:val="0"/>
        <w:spacing w:line="360" w:lineRule="auto"/>
        <w:textAlignment w:val="auto"/>
        <w:rPr>
          <w:rFonts w:ascii="Times New Roman" w:hAnsi="Times New Roman" w:cs="Times New Roman"/>
          <w:caps w:val="0"/>
        </w:rPr>
      </w:pPr>
      <w:r>
        <w:rPr>
          <w:rFonts w:hint="default" w:ascii="Times New Roman" w:hAnsi="Times New Roman" w:eastAsia="宋体" w:cs="Times New Roman"/>
          <w:bCs/>
          <w:caps w:val="0"/>
          <w:szCs w:val="32"/>
        </w:rPr>
        <w:t xml:space="preserve">12.7 </w:t>
      </w:r>
      <w:r>
        <w:rPr>
          <w:rFonts w:hint="eastAsia" w:ascii="Times New Roman" w:hAnsi="Times New Roman" w:cs="Times New Roman"/>
          <w:caps w:val="0"/>
        </w:rPr>
        <w:t>公众参与结论</w:t>
      </w:r>
      <w:r>
        <w:rPr>
          <w:rFonts w:ascii="Times New Roman" w:hAnsi="Times New Roman" w:cs="Times New Roman"/>
          <w:caps w:val="0"/>
        </w:rPr>
        <w:tab/>
      </w:r>
      <w:r>
        <w:rPr>
          <w:rFonts w:ascii="Times New Roman" w:hAnsi="Times New Roman" w:cs="Times New Roman"/>
          <w:caps w:val="0"/>
        </w:rPr>
        <w:t>354</w:t>
      </w:r>
    </w:p>
    <w:p w14:paraId="09330A81">
      <w:pPr>
        <w:pStyle w:val="27"/>
        <w:keepNext w:val="0"/>
        <w:keepLines w:val="0"/>
        <w:pageBreakBefore w:val="0"/>
        <w:tabs>
          <w:tab w:val="right" w:leader="dot" w:pos="8306"/>
        </w:tabs>
        <w:kinsoku/>
        <w:wordWrap/>
        <w:overflowPunct/>
        <w:topLinePunct w:val="0"/>
        <w:autoSpaceDE/>
        <w:autoSpaceDN/>
        <w:bidi w:val="0"/>
        <w:spacing w:line="360" w:lineRule="auto"/>
        <w:textAlignment w:val="auto"/>
      </w:pPr>
      <w:r>
        <w:rPr>
          <w:rFonts w:hint="default" w:ascii="Times New Roman" w:hAnsi="Times New Roman" w:eastAsia="宋体" w:cs="Times New Roman"/>
          <w:bCs/>
          <w:caps w:val="0"/>
          <w:szCs w:val="32"/>
        </w:rPr>
        <w:t xml:space="preserve">12.8 </w:t>
      </w:r>
      <w:r>
        <w:rPr>
          <w:rFonts w:hint="eastAsia" w:ascii="Times New Roman" w:hAnsi="Times New Roman" w:cs="Times New Roman"/>
          <w:caps w:val="0"/>
        </w:rPr>
        <w:t>综合结论</w:t>
      </w:r>
      <w:r>
        <w:rPr>
          <w:rFonts w:ascii="Times New Roman" w:hAnsi="Times New Roman" w:cs="Times New Roman"/>
          <w:caps w:val="0"/>
        </w:rPr>
        <w:tab/>
      </w:r>
      <w:r>
        <w:rPr>
          <w:rFonts w:ascii="Times New Roman" w:hAnsi="Times New Roman" w:cs="Times New Roman"/>
          <w:caps w:val="0"/>
        </w:rPr>
        <w:t>355</w:t>
      </w:r>
    </w:p>
    <w:p w14:paraId="65B1EA53">
      <w:pPr>
        <w:ind w:firstLine="0" w:firstLineChars="0"/>
      </w:pPr>
    </w:p>
    <w:p w14:paraId="7A4BF023">
      <w:pPr>
        <w:ind w:firstLine="0" w:firstLineChars="0"/>
        <w:sectPr>
          <w:headerReference r:id="rId9" w:type="default"/>
          <w:footerReference r:id="rId10"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2A50DC95">
      <w:pPr>
        <w:ind w:firstLine="0" w:firstLineChars="0"/>
        <w:rPr>
          <w:rFonts w:hint="eastAsia"/>
        </w:rPr>
      </w:pPr>
      <w:r>
        <w:rPr>
          <w:rFonts w:hint="eastAsia"/>
        </w:rPr>
        <w:t>附图</w:t>
      </w:r>
    </w:p>
    <w:p w14:paraId="11C51382">
      <w:pPr>
        <w:ind w:firstLine="0" w:firstLineChars="0"/>
        <w:rPr>
          <w:rFonts w:hint="eastAsia"/>
        </w:rPr>
      </w:pPr>
      <w:r>
        <w:rPr>
          <w:rFonts w:hint="eastAsia"/>
        </w:rPr>
        <w:t>附图1 项目地理位置图</w:t>
      </w:r>
    </w:p>
    <w:p w14:paraId="05CBD56D">
      <w:pPr>
        <w:ind w:firstLine="0" w:firstLineChars="0"/>
        <w:rPr>
          <w:rFonts w:hint="eastAsia"/>
        </w:rPr>
      </w:pPr>
      <w:r>
        <w:rPr>
          <w:rFonts w:hint="eastAsia"/>
        </w:rPr>
        <w:t>附图2 项目评价范围图</w:t>
      </w:r>
    </w:p>
    <w:p w14:paraId="20ED0695">
      <w:pPr>
        <w:ind w:firstLine="0" w:firstLineChars="0"/>
        <w:rPr>
          <w:rFonts w:hint="eastAsia"/>
        </w:rPr>
      </w:pPr>
      <w:r>
        <w:rPr>
          <w:rFonts w:hint="eastAsia"/>
        </w:rPr>
        <w:t>附图3 项目总平面布置及应急疏散路线图</w:t>
      </w:r>
    </w:p>
    <w:p w14:paraId="19A6A153">
      <w:pPr>
        <w:ind w:firstLine="0" w:firstLineChars="0"/>
        <w:rPr>
          <w:rFonts w:hint="eastAsia"/>
        </w:rPr>
      </w:pPr>
      <w:r>
        <w:rPr>
          <w:rFonts w:hint="eastAsia"/>
        </w:rPr>
        <w:t>附图4 项目雨污分流管网图</w:t>
      </w:r>
    </w:p>
    <w:p w14:paraId="4FDC0C48">
      <w:pPr>
        <w:ind w:firstLine="0" w:firstLineChars="0"/>
        <w:rPr>
          <w:rFonts w:hint="eastAsia"/>
        </w:rPr>
      </w:pPr>
      <w:r>
        <w:rPr>
          <w:rFonts w:hint="eastAsia"/>
        </w:rPr>
        <w:t>附图5 环境质量现状监测布点图</w:t>
      </w:r>
    </w:p>
    <w:p w14:paraId="5D62E750">
      <w:pPr>
        <w:ind w:firstLine="0" w:firstLineChars="0"/>
        <w:rPr>
          <w:rFonts w:hint="eastAsia"/>
        </w:rPr>
      </w:pPr>
      <w:r>
        <w:rPr>
          <w:rFonts w:hint="eastAsia"/>
        </w:rPr>
        <w:t>附图6 项目风险单元分布图</w:t>
      </w:r>
    </w:p>
    <w:p w14:paraId="36872DC8">
      <w:pPr>
        <w:ind w:firstLine="0" w:firstLineChars="0"/>
        <w:rPr>
          <w:rFonts w:hint="eastAsia"/>
        </w:rPr>
      </w:pPr>
      <w:r>
        <w:rPr>
          <w:rFonts w:hint="eastAsia"/>
        </w:rPr>
        <w:t>附图7 项目分区防渗图</w:t>
      </w:r>
    </w:p>
    <w:p w14:paraId="3BF458F8">
      <w:pPr>
        <w:ind w:firstLine="0" w:firstLineChars="0"/>
        <w:rPr>
          <w:rFonts w:hint="eastAsia"/>
        </w:rPr>
      </w:pPr>
      <w:r>
        <w:rPr>
          <w:rFonts w:hint="eastAsia"/>
        </w:rPr>
        <w:t>附图8 环境敏感点分布图</w:t>
      </w:r>
    </w:p>
    <w:p w14:paraId="514A8309">
      <w:pPr>
        <w:ind w:firstLine="0" w:firstLineChars="0"/>
        <w:rPr>
          <w:rFonts w:hint="eastAsia"/>
        </w:rPr>
      </w:pPr>
      <w:r>
        <w:rPr>
          <w:rFonts w:hint="eastAsia"/>
        </w:rPr>
        <w:t>附图9 与园区土地利用规划关系图</w:t>
      </w:r>
    </w:p>
    <w:p w14:paraId="54F9C561">
      <w:pPr>
        <w:ind w:firstLine="0" w:firstLineChars="0"/>
        <w:rPr>
          <w:rFonts w:hint="eastAsia"/>
        </w:rPr>
      </w:pPr>
      <w:r>
        <w:rPr>
          <w:rFonts w:hint="eastAsia"/>
        </w:rPr>
        <w:t>附图10 与松木经开区规划位置关系图</w:t>
      </w:r>
    </w:p>
    <w:p w14:paraId="32E73B12">
      <w:pPr>
        <w:ind w:firstLine="0" w:firstLineChars="0"/>
        <w:rPr>
          <w:rFonts w:hint="eastAsia"/>
        </w:rPr>
      </w:pPr>
      <w:r>
        <w:rPr>
          <w:rFonts w:hint="eastAsia"/>
        </w:rPr>
        <w:t>附图11 与松木经开区规划的化工片区的位置关系图</w:t>
      </w:r>
    </w:p>
    <w:p w14:paraId="1F61BA74">
      <w:pPr>
        <w:ind w:firstLine="0" w:firstLineChars="0"/>
        <w:rPr>
          <w:rFonts w:hint="eastAsia"/>
        </w:rPr>
      </w:pPr>
      <w:r>
        <w:rPr>
          <w:rFonts w:hint="eastAsia"/>
        </w:rPr>
        <w:t>附图12 与湘江岸线 1km 范围的位置关系图</w:t>
      </w:r>
    </w:p>
    <w:p w14:paraId="7A3B5B79">
      <w:pPr>
        <w:ind w:firstLine="0" w:firstLineChars="0"/>
        <w:rPr>
          <w:rFonts w:hint="eastAsia"/>
        </w:rPr>
      </w:pPr>
      <w:r>
        <w:rPr>
          <w:rFonts w:hint="eastAsia"/>
        </w:rPr>
        <w:t>附图13 运营期地下水监测井布点图</w:t>
      </w:r>
    </w:p>
    <w:p w14:paraId="7BF88477">
      <w:pPr>
        <w:ind w:firstLine="0" w:firstLineChars="0"/>
        <w:rPr>
          <w:rFonts w:hint="eastAsia"/>
        </w:rPr>
      </w:pPr>
    </w:p>
    <w:p w14:paraId="5EE1919F">
      <w:pPr>
        <w:ind w:firstLine="0" w:firstLineChars="0"/>
        <w:rPr>
          <w:rFonts w:hint="eastAsia"/>
        </w:rPr>
      </w:pPr>
      <w:r>
        <w:rPr>
          <w:rFonts w:hint="eastAsia"/>
        </w:rPr>
        <w:t>附件</w:t>
      </w:r>
    </w:p>
    <w:p w14:paraId="589462C2">
      <w:pPr>
        <w:ind w:firstLine="0" w:firstLineChars="0"/>
        <w:rPr>
          <w:rFonts w:hint="eastAsia"/>
        </w:rPr>
      </w:pPr>
      <w:r>
        <w:rPr>
          <w:rFonts w:hint="eastAsia"/>
        </w:rPr>
        <w:t>附件1 项目备案证明</w:t>
      </w:r>
    </w:p>
    <w:p w14:paraId="4E96A190">
      <w:pPr>
        <w:ind w:firstLine="0" w:firstLineChars="0"/>
        <w:rPr>
          <w:rFonts w:hint="eastAsia"/>
        </w:rPr>
      </w:pPr>
      <w:r>
        <w:rPr>
          <w:rFonts w:hint="eastAsia"/>
        </w:rPr>
        <w:t>附件2 企业营业执照</w:t>
      </w:r>
    </w:p>
    <w:p w14:paraId="534C2291">
      <w:pPr>
        <w:ind w:firstLine="0" w:firstLineChars="0"/>
        <w:rPr>
          <w:rFonts w:hint="eastAsia"/>
        </w:rPr>
      </w:pPr>
      <w:r>
        <w:rPr>
          <w:rFonts w:hint="eastAsia"/>
        </w:rPr>
        <w:t>附件3 园区规划环评审查意见</w:t>
      </w:r>
    </w:p>
    <w:p w14:paraId="558BD776">
      <w:pPr>
        <w:ind w:firstLine="0" w:firstLineChars="0"/>
        <w:rPr>
          <w:rFonts w:hint="eastAsia"/>
        </w:rPr>
      </w:pPr>
      <w:r>
        <w:rPr>
          <w:rFonts w:hint="eastAsia"/>
        </w:rPr>
        <w:t>附件4 环境质量现状监测报告</w:t>
      </w:r>
    </w:p>
    <w:p w14:paraId="16F634F8">
      <w:pPr>
        <w:ind w:firstLine="0" w:firstLineChars="0"/>
        <w:rPr>
          <w:rFonts w:hint="default" w:eastAsia="宋体"/>
          <w:lang w:val="en-US" w:eastAsia="zh-CN"/>
        </w:rPr>
      </w:pPr>
      <w:r>
        <w:rPr>
          <w:rFonts w:hint="eastAsia"/>
          <w:lang w:val="en-US" w:eastAsia="zh-CN"/>
        </w:rPr>
        <w:t>附件5 资料真实性承诺函</w:t>
      </w:r>
    </w:p>
    <w:p w14:paraId="55A23A43">
      <w:pPr>
        <w:ind w:firstLine="0" w:firstLineChars="0"/>
        <w:sectPr>
          <w:footerReference r:id="rId11"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238AAB3C">
      <w:pPr>
        <w:pStyle w:val="2"/>
        <w:spacing w:before="0" w:beforeLines="0" w:after="0" w:afterLines="0"/>
      </w:pPr>
      <w:bookmarkStart w:id="0" w:name="_Toc21607"/>
      <w:bookmarkStart w:id="1" w:name="_Toc29531"/>
      <w:bookmarkStart w:id="2" w:name="_Toc24531"/>
      <w:r>
        <w:rPr>
          <w:rFonts w:hint="eastAsia"/>
        </w:rPr>
        <w:t>概  述</w:t>
      </w:r>
      <w:bookmarkEnd w:id="0"/>
      <w:bookmarkEnd w:id="1"/>
      <w:bookmarkEnd w:id="2"/>
    </w:p>
    <w:p w14:paraId="1084A3DD">
      <w:pPr>
        <w:pStyle w:val="3"/>
      </w:pPr>
      <w:bookmarkStart w:id="3" w:name="_Toc26535"/>
      <w:bookmarkStart w:id="4" w:name="_Toc19288"/>
      <w:bookmarkStart w:id="5" w:name="_Toc19604"/>
      <w:r>
        <w:rPr>
          <w:rFonts w:hint="eastAsia"/>
        </w:rPr>
        <w:t>项目由来</w:t>
      </w:r>
      <w:bookmarkEnd w:id="3"/>
      <w:bookmarkEnd w:id="4"/>
      <w:bookmarkEnd w:id="5"/>
    </w:p>
    <w:p w14:paraId="7CC9F058">
      <w:pPr>
        <w:ind w:firstLine="480"/>
      </w:pPr>
      <w:r>
        <w:rPr>
          <w:rFonts w:hint="eastAsia"/>
        </w:rPr>
        <w:t>湖南鑫钰兴科技有限公司成立于2023年6月，主要从事非食用盐加工；化工产品销售等业务。</w:t>
      </w:r>
    </w:p>
    <w:p w14:paraId="69FDA993">
      <w:pPr>
        <w:ind w:firstLine="480"/>
      </w:pPr>
      <w:r>
        <w:t>高氯酸钠、高氯酸钾以其独特的稳定性高氧化性能，广泛应用于烟花爆竹，特别是出口烟花的制造。我国烟花爆竹行业为世界闻名。当前，世界上能生产花炮的国家有三十多个，其中中国、美国、德国、意大利、西班牙、日本等国家的产量占世界总产量的绝大部分，由于国外劳动力成本相对较高，而与发达国家相比，我国具有劳动力成本低的特点，导致世界上花炮的生产逐渐向国内集中，有着良好的发展前景。同时高氯酸钠、高氯酸钾也是一种非常重要的无机产品，是安全火柴、气象火箭、民用引火煤氧化剂、汽车安全气囊等</w:t>
      </w:r>
      <w:r>
        <w:rPr>
          <w:rFonts w:hint="eastAsia"/>
          <w:lang w:eastAsia="zh-CN"/>
        </w:rPr>
        <w:t>必需的</w:t>
      </w:r>
      <w:r>
        <w:t>原料之一。</w:t>
      </w:r>
    </w:p>
    <w:p w14:paraId="1F338376">
      <w:pPr>
        <w:ind w:firstLine="480"/>
      </w:pPr>
      <w:r>
        <w:t>中国是烟花生产和消费大国，近年来，为控制燃放烟花带来的空气污染及安全风险，各地方政府加大烟花管理力度，烟花鞭炮企业也通过不断改进，使产品更加安全环保。中国每年春节期间烟花、炮竹的消费量仍保持在较大规模的上升需求，制造烟花所用的高氯酸钠、高氯酸钾消费量相对较大，高氯酸钠、高氯酸钾供需关系趋紧。高氯酸钠、高氯酸钾等化工产品可用于烟花、火药工业、医药工业无机工业、水处理、航空航天业、汽车制造业、钠电池、新能源车、钠储能等，作为辅助原料广泛用于各行各业，未来市场存在发展空间。</w:t>
      </w:r>
    </w:p>
    <w:p w14:paraId="2F9AA141">
      <w:pPr>
        <w:ind w:firstLine="480"/>
        <w:rPr>
          <w:rFonts w:hint="eastAsia"/>
        </w:rPr>
      </w:pPr>
      <w:r>
        <w:rPr>
          <w:rFonts w:hint="eastAsia"/>
        </w:rPr>
        <w:t>高氯酸锂在世界范围内市场主要分布在北美、欧洲和亚洲三个大洲。其中，北美和欧洲市场规模相对较大，而亚洲市场规模则近年来呈现快速增长的趋势。随着中国经济的迅速发展，高科技和新能源产业日益兴盛。其中，锂盐和锂电池产业是发展最快的产业之一，而高氯酸锂是锂电池中必不可少的重要组分之一。因此，中国高氯酸锂市场规模也呈现出不断增长的趋势。</w:t>
      </w:r>
    </w:p>
    <w:p w14:paraId="36E5C9F0">
      <w:pPr>
        <w:ind w:firstLine="480"/>
      </w:pPr>
      <w:r>
        <w:rPr>
          <w:rFonts w:hint="eastAsia"/>
        </w:rPr>
        <w:t>高氯酸锂的主要应用领域是锂电池、光电子和飞行器等高科技领域。随着智能手机、笔记本电脑、平板电脑等数字产品的普及和电动汽车、储能电池等新兴产业的发展，锂电池市场需求迅猛增长，这将带动高氯酸锂市场的增长。此外，高氯酸锂在核能工业中也有广泛的应用，随着中国核电行业的不断发展，高氯酸锂的应用前景也将更加广阔。</w:t>
      </w:r>
    </w:p>
    <w:p w14:paraId="66924E50">
      <w:pPr>
        <w:bidi w:val="0"/>
      </w:pPr>
      <w:r>
        <w:t>在此背景下，湖南鑫钰</w:t>
      </w:r>
      <w:r>
        <w:rPr>
          <w:rFonts w:hint="eastAsia"/>
        </w:rPr>
        <w:t>兴</w:t>
      </w:r>
      <w:r>
        <w:t>科技有限公司拟</w:t>
      </w:r>
      <w:r>
        <w:rPr>
          <w:rFonts w:hint="eastAsia"/>
        </w:rPr>
        <w:t>在</w:t>
      </w:r>
      <w:r>
        <w:t>衡阳市松木经济开发区</w:t>
      </w:r>
      <w:r>
        <w:rPr>
          <w:rFonts w:hint="eastAsia"/>
        </w:rPr>
        <w:t>金山水泥</w:t>
      </w:r>
      <w:r>
        <w:t>公司</w:t>
      </w:r>
      <w:r>
        <w:rPr>
          <w:rFonts w:hint="eastAsia"/>
        </w:rPr>
        <w:t>南侧，</w:t>
      </w:r>
      <w:r>
        <w:t>新安路和松枫路交汇的地块</w:t>
      </w:r>
      <w:r>
        <w:rPr>
          <w:rFonts w:hint="eastAsia"/>
        </w:rPr>
        <w:t>（厂区中心坐标：东经112.6360045°，北纬26.9696386°）</w:t>
      </w:r>
      <w:r>
        <w:t>建设</w:t>
      </w:r>
      <w:r>
        <w:rPr>
          <w:rFonts w:hint="eastAsia"/>
        </w:rPr>
        <w:t>20000吨/年高氯酸钠、20000吨/年高氯酸钾等新建项目，项目东厂界距离湘江最近处约1.6公里，位于松木经济开发区的化工片区内。</w:t>
      </w:r>
    </w:p>
    <w:p w14:paraId="3A4451D7">
      <w:pPr>
        <w:ind w:firstLine="480"/>
      </w:pPr>
      <w:r>
        <w:t>根据《中华人民共和国环境影响评价法》（2018年修正）、《</w:t>
      </w:r>
      <w:r>
        <w:rPr>
          <w:rFonts w:hint="eastAsia"/>
          <w:lang w:eastAsia="zh-CN"/>
        </w:rPr>
        <w:t>建设项目环境保护管理条例</w:t>
      </w:r>
      <w:r>
        <w:t>》（国务院682号令，2017年修正）、《建设项目环境影响评价分类管理名录》（2021年版）的要求，本项目属于“二十三、化学原料和化学制品制造—261基础化学原料制造（除单纯混合和分装外的）”应编制环境影响报告书。受</w:t>
      </w:r>
      <w:r>
        <w:rPr>
          <w:rFonts w:hint="eastAsia"/>
        </w:rPr>
        <w:t>湖南鑫钰兴科技有限公司</w:t>
      </w:r>
      <w:r>
        <w:t>的委托，我单位（湖南省博科环境工程有限公司）承担该项目环评报告书编制工作。根据环评技术导则和环保主管部门对本项目评价工作的要求，评价单位将通过资料收集和咨询，对项目所在区域环境质量进行评价，并在工程分析的基础上，完成《</w:t>
      </w:r>
      <w:r>
        <w:rPr>
          <w:rFonts w:hint="eastAsia"/>
          <w:lang w:eastAsia="zh-CN"/>
        </w:rPr>
        <w:t>20000吨/年高氯酸钠、20000吨/年高氯酸钾等新建项目</w:t>
      </w:r>
      <w:r>
        <w:t>环境影响报告书》，明确项目各污染源排放源强及排放特征，预测对环境可能造成的影响程度和范围，提出切实可行的污染防治措施，为</w:t>
      </w:r>
      <w:r>
        <w:rPr>
          <w:rFonts w:hint="eastAsia"/>
          <w:lang w:eastAsia="zh-CN"/>
        </w:rPr>
        <w:t>生态环境部</w:t>
      </w:r>
      <w:r>
        <w:t>门管理提供科学依据。</w:t>
      </w:r>
    </w:p>
    <w:p w14:paraId="460BAD55">
      <w:pPr>
        <w:pStyle w:val="3"/>
      </w:pPr>
      <w:bookmarkStart w:id="6" w:name="_Toc31389"/>
      <w:bookmarkStart w:id="7" w:name="_Toc20159"/>
      <w:bookmarkStart w:id="8" w:name="_Toc10876"/>
      <w:r>
        <w:rPr>
          <w:rFonts w:hint="eastAsia"/>
        </w:rPr>
        <w:t>评价目的及工作过程概述</w:t>
      </w:r>
      <w:bookmarkEnd w:id="6"/>
      <w:bookmarkEnd w:id="7"/>
      <w:bookmarkEnd w:id="8"/>
    </w:p>
    <w:p w14:paraId="4BAEF493">
      <w:pPr>
        <w:ind w:firstLine="480"/>
      </w:pPr>
      <w:r>
        <w:rPr>
          <w:rFonts w:hint="eastAsia"/>
        </w:rPr>
        <w:t>1、评价目的</w:t>
      </w:r>
    </w:p>
    <w:p w14:paraId="0602DC7E">
      <w:pPr>
        <w:ind w:firstLine="480"/>
      </w:pPr>
      <w:r>
        <w:rPr>
          <w:rFonts w:hint="eastAsia"/>
        </w:rPr>
        <w:t>通过对拟建项目的环境影响评价，论证其建设的环境可行性，为环境保护主管部门的决策提供技术依据。具体评价目的如下：</w:t>
      </w:r>
    </w:p>
    <w:p w14:paraId="3B53D86F">
      <w:pPr>
        <w:ind w:firstLine="480"/>
      </w:pPr>
      <w:r>
        <w:rPr>
          <w:rFonts w:hint="eastAsia"/>
        </w:rPr>
        <w:t>（1）调查评价范围内的环境质量现状。</w:t>
      </w:r>
    </w:p>
    <w:p w14:paraId="1E66EABA">
      <w:pPr>
        <w:ind w:firstLine="480"/>
      </w:pPr>
      <w:r>
        <w:rPr>
          <w:rFonts w:hint="eastAsia"/>
        </w:rPr>
        <w:t>（2）分析拟建项目的建设基本情况和环境影响因素，估算污染源强，并进行各环境要素的定量或定性的影响预测。</w:t>
      </w:r>
    </w:p>
    <w:p w14:paraId="63B788F3">
      <w:pPr>
        <w:ind w:firstLine="480"/>
      </w:pPr>
      <w:r>
        <w:rPr>
          <w:rFonts w:hint="eastAsia"/>
        </w:rPr>
        <w:t>（3）分析论项目拟采取的环境保护措施的可行性，并提出切实可行的污染防治措施和建议。</w:t>
      </w:r>
    </w:p>
    <w:p w14:paraId="72DF6D60">
      <w:pPr>
        <w:ind w:firstLine="480"/>
      </w:pPr>
      <w:r>
        <w:rPr>
          <w:rFonts w:hint="eastAsia"/>
        </w:rPr>
        <w:t>（4）从环境影响、法规相符性、环保工程可行性等方面进行综合评价，对项目是否可行做出明确的结论，为环境保护主管部门的决策提供科学依据。</w:t>
      </w:r>
    </w:p>
    <w:p w14:paraId="37400C28">
      <w:pPr>
        <w:ind w:firstLine="480"/>
      </w:pPr>
      <w:r>
        <w:rPr>
          <w:rFonts w:hint="eastAsia"/>
        </w:rPr>
        <w:t>2、工作过程</w:t>
      </w:r>
    </w:p>
    <w:p w14:paraId="5D55F5B7">
      <w:pPr>
        <w:ind w:firstLine="480"/>
      </w:pPr>
      <w:r>
        <w:rPr>
          <w:rFonts w:hint="eastAsia"/>
        </w:rPr>
        <w:t>本项目环境影响评价工作严格按照相关技术导则与标准规定的程序开展，在接受委托后</w:t>
      </w:r>
      <w:r>
        <w:rPr>
          <w:rFonts w:hint="eastAsia"/>
          <w:lang w:eastAsia="zh-CN"/>
        </w:rPr>
        <w:t>：</w:t>
      </w:r>
      <w:r>
        <w:rPr>
          <w:rFonts w:hint="eastAsia"/>
          <w:lang w:val="en-US" w:eastAsia="zh-CN"/>
        </w:rPr>
        <w:t>第一</w:t>
      </w:r>
      <w:r>
        <w:rPr>
          <w:rFonts w:hint="eastAsia"/>
        </w:rPr>
        <w:t>，项目组研究项目相关可研及设计资料、有关环境保护的法律法规、政策、标准、相关规划及其他技术文件等；第二，进行初步的工程分析，识别环境影响和评价因子，明确评价重点和敏感目标，确定评价工作等级、范围和标准，并制定工作方案；第三，进行详细工程分析和正式的环境现状调查、监测等；第四，进行各要素、各专题分析、预测与评价；第五，提出环保措施，并进行论证，给出污染物排放清单，得出评价结论；编制出《环境影响报告书》。在上述工作期间，建设单位还按照相关要求开展公众参与的公示、调查工作。见图1.2-1。</w:t>
      </w:r>
    </w:p>
    <w:p w14:paraId="64511F0A">
      <w:pPr>
        <w:ind w:firstLine="0" w:firstLineChars="0"/>
        <w:jc w:val="center"/>
      </w:pPr>
      <w:r>
        <w:object>
          <v:shape id="_x0000_i1025" o:spt="75" type="#_x0000_t75" style="height:457.1pt;width:333.25pt;" o:ole="t" filled="f" o:preferrelative="t" stroked="f" coordsize="21600,21600">
            <v:path/>
            <v:fill on="f" focussize="0,0"/>
            <v:stroke on="f"/>
            <v:imagedata r:id="rId19" o:title=""/>
            <o:lock v:ext="edit" aspectratio="t"/>
            <w10:wrap type="none"/>
            <w10:anchorlock/>
          </v:shape>
          <o:OLEObject Type="Embed" ProgID="Visio.Drawing.11" ShapeID="_x0000_i1025" DrawAspect="Content" ObjectID="_1468075725" r:id="rId18">
            <o:LockedField>false</o:LockedField>
          </o:OLEObject>
        </w:object>
      </w:r>
    </w:p>
    <w:p w14:paraId="35398F2E">
      <w:pPr>
        <w:pStyle w:val="42"/>
        <w:rPr>
          <w:rFonts w:hint="default"/>
        </w:rPr>
      </w:pPr>
      <w:r>
        <w:t>环评工作程序示意图</w:t>
      </w:r>
    </w:p>
    <w:p w14:paraId="7BAAE25F">
      <w:pPr>
        <w:spacing w:line="240" w:lineRule="auto"/>
        <w:rPr>
          <w:rFonts w:hint="default"/>
        </w:rPr>
      </w:pPr>
    </w:p>
    <w:p w14:paraId="38B10F41">
      <w:pPr>
        <w:pStyle w:val="3"/>
      </w:pPr>
      <w:bookmarkStart w:id="9" w:name="_Toc3802"/>
      <w:bookmarkStart w:id="10" w:name="_Toc15767"/>
      <w:bookmarkStart w:id="11" w:name="_Toc29353"/>
      <w:r>
        <w:rPr>
          <w:rFonts w:hint="eastAsia"/>
        </w:rPr>
        <w:t>主要关注的环境问题</w:t>
      </w:r>
      <w:bookmarkEnd w:id="9"/>
      <w:bookmarkEnd w:id="10"/>
      <w:bookmarkEnd w:id="11"/>
    </w:p>
    <w:p w14:paraId="0235505E">
      <w:pPr>
        <w:ind w:firstLine="480"/>
      </w:pPr>
      <w:r>
        <w:t>1、项目与园区公用工程的依托关系，包括供水、排水、供汽、供电等；</w:t>
      </w:r>
    </w:p>
    <w:p w14:paraId="524E2040">
      <w:pPr>
        <w:ind w:firstLine="480"/>
      </w:pPr>
      <w:r>
        <w:t>2、在环境影响评价阶段，从项目建设到生产，关注施工期的污染影响和治理措施，营运期重点关注项目的大气污染物、水污染物和噪声的达标排放情况、固体废物是否能得到合理处置；</w:t>
      </w:r>
    </w:p>
    <w:p w14:paraId="2678B129">
      <w:pPr>
        <w:ind w:firstLine="480"/>
      </w:pPr>
      <w:r>
        <w:t>3、在环境污染防治措施可行性论证阶段，关注项目拟采取的污染防治措施是否满足污染物的治理要求，做到达标排放，分析经济、技术方面可行性；加强废水处理设施规模及工艺的合理性和可行性分析，确保废水满足依托的园区污水处理厂进水水质标准；重点关注生产中有机废气、废水、固废收集及处置措施的可行性和有效性，减少污染物的外排量；</w:t>
      </w:r>
    </w:p>
    <w:p w14:paraId="64B87D62">
      <w:pPr>
        <w:ind w:firstLine="480"/>
      </w:pPr>
      <w:r>
        <w:t>4、环境风险方面，重点关注项目主要风险源，分析营运期发生环境风险事故对周围环境的影响程度和应急预案、风险防范措施的可行性。</w:t>
      </w:r>
    </w:p>
    <w:p w14:paraId="009D7284">
      <w:pPr>
        <w:pStyle w:val="3"/>
      </w:pPr>
      <w:bookmarkStart w:id="12" w:name="_Toc13140"/>
      <w:bookmarkStart w:id="13" w:name="_Toc24263"/>
      <w:bookmarkStart w:id="14" w:name="_Toc15521"/>
      <w:r>
        <w:rPr>
          <w:rFonts w:hint="eastAsia"/>
        </w:rPr>
        <w:t>分析判定相关情况</w:t>
      </w:r>
      <w:bookmarkEnd w:id="12"/>
      <w:bookmarkEnd w:id="13"/>
      <w:bookmarkEnd w:id="14"/>
    </w:p>
    <w:p w14:paraId="3AB4C4AA">
      <w:pPr>
        <w:pStyle w:val="4"/>
      </w:pPr>
      <w:bookmarkStart w:id="15" w:name="_Toc24260"/>
      <w:r>
        <w:rPr>
          <w:rFonts w:hint="eastAsia"/>
        </w:rPr>
        <w:t>产业政策相符性分析</w:t>
      </w:r>
      <w:bookmarkEnd w:id="15"/>
    </w:p>
    <w:p w14:paraId="7CFC19D5">
      <w:pPr>
        <w:pStyle w:val="5"/>
      </w:pPr>
      <w:bookmarkStart w:id="16" w:name="_Toc21670"/>
      <w:r>
        <w:rPr>
          <w:rFonts w:hint="eastAsia"/>
        </w:rPr>
        <w:t>与《产业结构调整指导目录（</w:t>
      </w:r>
      <w:r>
        <w:rPr>
          <w:rFonts w:hint="eastAsia"/>
          <w:lang w:val="en-US" w:eastAsia="zh-CN"/>
        </w:rPr>
        <w:t>2024</w:t>
      </w:r>
      <w:r>
        <w:rPr>
          <w:rFonts w:hint="eastAsia"/>
        </w:rPr>
        <w:t>年本）》相符性分析</w:t>
      </w:r>
      <w:bookmarkEnd w:id="16"/>
    </w:p>
    <w:p w14:paraId="4EF050FC">
      <w:pPr>
        <w:ind w:firstLine="480"/>
        <w:rPr>
          <w:rFonts w:hint="eastAsia"/>
        </w:rPr>
      </w:pPr>
      <w:r>
        <w:rPr>
          <w:rFonts w:hint="eastAsia"/>
        </w:rPr>
        <w:t>根据《产业结构调整指导目录（20</w:t>
      </w:r>
      <w:r>
        <w:rPr>
          <w:rFonts w:hint="eastAsia"/>
          <w:lang w:val="en-US" w:eastAsia="zh-CN"/>
        </w:rPr>
        <w:t>24</w:t>
      </w:r>
      <w:r>
        <w:rPr>
          <w:rFonts w:hint="eastAsia"/>
        </w:rPr>
        <w:t>年本）》，本项目属于无机盐制造</w:t>
      </w:r>
      <w:r>
        <w:rPr>
          <w:rFonts w:hint="eastAsia"/>
          <w:lang w:eastAsia="zh-CN"/>
        </w:rPr>
        <w:t>。</w:t>
      </w:r>
      <w:r>
        <w:rPr>
          <w:rFonts w:hint="eastAsia"/>
          <w:lang w:val="en-US" w:eastAsia="zh-CN"/>
        </w:rPr>
        <w:t>产品氯酸钠、氯酸钾、高氯酸钠、高氯酸钾、高氯酸锂均不属于禁止、限制、鼓励类产品，属于允许类；高氯酸钠、高氯酸钾生产装置</w:t>
      </w:r>
      <w:r>
        <w:rPr>
          <w:rFonts w:hint="eastAsia"/>
        </w:rPr>
        <w:t>既不属于鼓励类项目，也不属于限制类、淘汰类项目</w:t>
      </w:r>
      <w:r>
        <w:rPr>
          <w:rFonts w:hint="eastAsia"/>
          <w:lang w:eastAsia="zh-CN"/>
        </w:rPr>
        <w:t>；</w:t>
      </w:r>
      <w:r>
        <w:rPr>
          <w:rFonts w:hint="eastAsia"/>
          <w:lang w:val="en-US" w:eastAsia="zh-CN"/>
        </w:rPr>
        <w:t>氯酸钠生产装置产能高于1万吨/年，不属于淘汰类生产装置。综上，</w:t>
      </w:r>
      <w:r>
        <w:rPr>
          <w:rFonts w:hint="eastAsia"/>
        </w:rPr>
        <w:t>本项目属于国家允许类项目。因此本项目《产业结构调整指导目录（2024年本）》相关产业政策要求。</w:t>
      </w:r>
    </w:p>
    <w:p w14:paraId="542FF249">
      <w:pPr>
        <w:pStyle w:val="5"/>
        <w:rPr>
          <w:rFonts w:hint="eastAsia"/>
          <w:lang w:val="en-US" w:eastAsia="zh-CN"/>
        </w:rPr>
      </w:pPr>
      <w:r>
        <w:rPr>
          <w:rFonts w:hint="eastAsia"/>
          <w:lang w:val="en-US" w:eastAsia="zh-CN"/>
        </w:rPr>
        <w:t>与</w:t>
      </w:r>
      <w:r>
        <w:rPr>
          <w:rFonts w:hint="eastAsia"/>
          <w:lang w:eastAsia="zh-CN"/>
        </w:rPr>
        <w:t>《</w:t>
      </w:r>
      <w:r>
        <w:rPr>
          <w:rFonts w:hint="eastAsia"/>
        </w:rPr>
        <w:t>环境保护综合名录（2021 年版）》</w:t>
      </w:r>
      <w:r>
        <w:rPr>
          <w:rFonts w:hint="eastAsia"/>
          <w:lang w:val="en-US" w:eastAsia="zh-CN"/>
        </w:rPr>
        <w:t>相符性分析</w:t>
      </w:r>
    </w:p>
    <w:p w14:paraId="629BC4A6">
      <w:pPr>
        <w:bidi w:val="0"/>
        <w:rPr>
          <w:rFonts w:hint="eastAsia"/>
        </w:rPr>
      </w:pPr>
      <w:r>
        <w:rPr>
          <w:rFonts w:hint="eastAsia"/>
        </w:rPr>
        <w:t>根据</w:t>
      </w:r>
      <w:r>
        <w:rPr>
          <w:rFonts w:hint="eastAsia"/>
          <w:lang w:eastAsia="zh-CN"/>
        </w:rPr>
        <w:t>生态环境部</w:t>
      </w:r>
      <w:r>
        <w:rPr>
          <w:rFonts w:hint="eastAsia"/>
        </w:rPr>
        <w:t>发布的《环境保护综合名录（2021 年版）》所涉及的“高污染、高环境风险”产品名录（2021 年版），共涉及6 个行业的141 种“双高”产品</w:t>
      </w:r>
      <w:r>
        <w:rPr>
          <w:rFonts w:hint="eastAsia"/>
          <w:lang w:eastAsia="zh-CN"/>
        </w:rPr>
        <w:t>。</w:t>
      </w:r>
      <w:r>
        <w:rPr>
          <w:rFonts w:hint="eastAsia"/>
        </w:rPr>
        <w:t>本项目所生产的氯酸钠、氯酸钾、高氯酸钾生产属于高环境风险产品，但不属于高污染产品；高氯酸钠、高氯酸锂生产不在高环境风险和高污染产品名录内，因此</w:t>
      </w:r>
      <w:r>
        <w:rPr>
          <w:rFonts w:hint="eastAsia"/>
          <w:lang w:val="en-US" w:eastAsia="zh-CN"/>
        </w:rPr>
        <w:t>本项目</w:t>
      </w:r>
      <w:r>
        <w:rPr>
          <w:rFonts w:hint="eastAsia"/>
        </w:rPr>
        <w:t>不属于“双高”</w:t>
      </w:r>
      <w:r>
        <w:rPr>
          <w:rFonts w:hint="eastAsia"/>
          <w:lang w:val="en-US" w:eastAsia="zh-CN"/>
        </w:rPr>
        <w:t>项目</w:t>
      </w:r>
      <w:r>
        <w:rPr>
          <w:rFonts w:hint="eastAsia"/>
        </w:rPr>
        <w:t>。</w:t>
      </w:r>
    </w:p>
    <w:p w14:paraId="6A8F40CB">
      <w:pPr>
        <w:pStyle w:val="5"/>
      </w:pPr>
      <w:bookmarkStart w:id="17" w:name="_Toc2255"/>
      <w:r>
        <w:rPr>
          <w:rFonts w:hint="eastAsia"/>
        </w:rPr>
        <w:t>与《湖南省长江经济带发展负面清单实施细则（试行）》（2022年版）相符性分析</w:t>
      </w:r>
      <w:bookmarkEnd w:id="17"/>
    </w:p>
    <w:p w14:paraId="281B1457">
      <w:pPr>
        <w:pStyle w:val="43"/>
        <w:rPr>
          <w:rFonts w:hint="default"/>
        </w:rPr>
      </w:pPr>
      <w:r>
        <w:t>本项目与《湖南省长江经济带发展负面清单实施细则（试行）》相符性分析</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76"/>
        <w:gridCol w:w="3174"/>
        <w:gridCol w:w="1272"/>
      </w:tblGrid>
      <w:tr w14:paraId="2241B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391" w:type="pct"/>
            <w:vAlign w:val="center"/>
          </w:tcPr>
          <w:p w14:paraId="217E2D1C">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相关条文</w:t>
            </w:r>
          </w:p>
        </w:tc>
        <w:tc>
          <w:tcPr>
            <w:tcW w:w="1862" w:type="pct"/>
            <w:vAlign w:val="center"/>
          </w:tcPr>
          <w:p w14:paraId="5F4D07BC">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本项目情况</w:t>
            </w:r>
          </w:p>
        </w:tc>
        <w:tc>
          <w:tcPr>
            <w:tcW w:w="746" w:type="pct"/>
            <w:vAlign w:val="center"/>
          </w:tcPr>
          <w:p w14:paraId="25793131">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相符性</w:t>
            </w:r>
          </w:p>
        </w:tc>
      </w:tr>
      <w:tr w14:paraId="3376C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trPr>
        <w:tc>
          <w:tcPr>
            <w:tcW w:w="2391" w:type="pct"/>
            <w:vAlign w:val="center"/>
          </w:tcPr>
          <w:p w14:paraId="24B6785C">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第九条、禁止在水产种质资源保护区的岸线和河段范围内新建排污口、实施非法围垦河道和围湖造田造地等投资建设项目</w:t>
            </w:r>
          </w:p>
        </w:tc>
        <w:tc>
          <w:tcPr>
            <w:tcW w:w="1862" w:type="pct"/>
            <w:vAlign w:val="center"/>
          </w:tcPr>
          <w:p w14:paraId="63B90FBF">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本项目生产期间，生产废水（含初期雨水）经混凝沉淀+砂滤处理后全部回用，非生产期间，初期雨水经</w:t>
            </w:r>
            <w:r>
              <w:rPr>
                <w:rFonts w:hint="eastAsia" w:cs="Times New Roman"/>
                <w:kern w:val="0"/>
                <w:sz w:val="21"/>
                <w:szCs w:val="21"/>
                <w:lang w:eastAsia="zh-CN"/>
              </w:rPr>
              <w:t>混凝沉淀+砂滤+树脂离子交换</w:t>
            </w:r>
            <w:r>
              <w:rPr>
                <w:rFonts w:hint="eastAsia" w:cs="Times New Roman"/>
                <w:kern w:val="0"/>
                <w:sz w:val="21"/>
                <w:szCs w:val="21"/>
              </w:rPr>
              <w:t>处理后达标排入松木污水处理厂处理，不直接排放，不新增排污口。</w:t>
            </w:r>
          </w:p>
        </w:tc>
        <w:tc>
          <w:tcPr>
            <w:tcW w:w="746" w:type="pct"/>
            <w:vAlign w:val="center"/>
          </w:tcPr>
          <w:p w14:paraId="59205911">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符合</w:t>
            </w:r>
          </w:p>
        </w:tc>
      </w:tr>
      <w:tr w14:paraId="4C5E1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1" w:type="pct"/>
            <w:vAlign w:val="center"/>
          </w:tcPr>
          <w:p w14:paraId="108C17AE">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第十五条、禁止在长江湖南段和洞庭湖、湘江、资江、沅江、澧水干流岸线一公里范围内新建、扩建化工园区和化工项目。禁止在长江湖南段岸线三公里范围内和湘江、资江、沅江、澧水岸线一公里范围内新建、改建、扩建尾矿库、冶炼渣库和磷石膏库，以提升安全、生态环境保护水平为目</w:t>
            </w:r>
            <w:r>
              <w:rPr>
                <w:rFonts w:hint="eastAsia" w:cs="Times New Roman"/>
                <w:kern w:val="0"/>
                <w:sz w:val="21"/>
                <w:szCs w:val="21"/>
                <w:lang w:eastAsia="zh-CN"/>
              </w:rPr>
              <w:t>的</w:t>
            </w:r>
            <w:r>
              <w:rPr>
                <w:rFonts w:hint="eastAsia" w:cs="Times New Roman"/>
                <w:kern w:val="0"/>
                <w:sz w:val="21"/>
                <w:szCs w:val="21"/>
              </w:rPr>
              <w:t>改建除外</w:t>
            </w:r>
          </w:p>
        </w:tc>
        <w:tc>
          <w:tcPr>
            <w:tcW w:w="1862" w:type="pct"/>
            <w:vAlign w:val="center"/>
          </w:tcPr>
          <w:p w14:paraId="44B1FB86">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本项目位于松木经开区，属于合规化工园区，厂界东侧距离湘江最近约为1.6km。</w:t>
            </w:r>
          </w:p>
        </w:tc>
        <w:tc>
          <w:tcPr>
            <w:tcW w:w="746" w:type="pct"/>
            <w:vMerge w:val="restart"/>
            <w:vAlign w:val="center"/>
          </w:tcPr>
          <w:p w14:paraId="7CFF564B">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符合</w:t>
            </w:r>
          </w:p>
        </w:tc>
      </w:tr>
      <w:tr w14:paraId="02840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1" w:type="pct"/>
            <w:vAlign w:val="center"/>
          </w:tcPr>
          <w:p w14:paraId="692D5743">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第十六条、禁止在合规园区外新建、扩建钢铁、石化、化工、焦化、建材、有色、制浆造纸等高污染项目。高污染项目严格按照生态环境部《环境保护综合名录（2021年版）》有关要求执行</w:t>
            </w:r>
          </w:p>
        </w:tc>
        <w:tc>
          <w:tcPr>
            <w:tcW w:w="1862" w:type="pct"/>
            <w:vAlign w:val="center"/>
          </w:tcPr>
          <w:p w14:paraId="37E39236">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根据《环境保护综合名录（2021年版）》，</w:t>
            </w:r>
            <w:r>
              <w:rPr>
                <w:rFonts w:hint="eastAsia" w:cs="Times New Roman"/>
                <w:kern w:val="0"/>
                <w:sz w:val="21"/>
                <w:szCs w:val="21"/>
                <w:lang w:val="en-US" w:eastAsia="zh-CN"/>
              </w:rPr>
              <w:t>氯酸钠、氯酸钾、</w:t>
            </w:r>
            <w:r>
              <w:rPr>
                <w:rFonts w:hint="eastAsia" w:cs="Times New Roman"/>
                <w:kern w:val="0"/>
                <w:sz w:val="21"/>
                <w:szCs w:val="21"/>
              </w:rPr>
              <w:t>高氯酸钾生产属于高环境风险产品，但不属于高污染产品；高氯酸钠</w:t>
            </w:r>
            <w:r>
              <w:rPr>
                <w:rFonts w:hint="eastAsia" w:cs="Times New Roman"/>
                <w:kern w:val="0"/>
                <w:sz w:val="21"/>
                <w:szCs w:val="21"/>
                <w:lang w:eastAsia="zh-CN"/>
              </w:rPr>
              <w:t>、</w:t>
            </w:r>
            <w:r>
              <w:rPr>
                <w:rFonts w:hint="eastAsia" w:cs="Times New Roman"/>
                <w:kern w:val="0"/>
                <w:sz w:val="21"/>
                <w:szCs w:val="21"/>
                <w:lang w:val="en-US" w:eastAsia="zh-CN"/>
              </w:rPr>
              <w:t>高氯酸锂</w:t>
            </w:r>
            <w:r>
              <w:rPr>
                <w:rFonts w:hint="eastAsia" w:cs="Times New Roman"/>
                <w:kern w:val="0"/>
                <w:sz w:val="21"/>
                <w:szCs w:val="21"/>
              </w:rPr>
              <w:t>生产不在高环境风险和高污染产品名录内，因此不属于高污染项目。</w:t>
            </w:r>
          </w:p>
        </w:tc>
        <w:tc>
          <w:tcPr>
            <w:tcW w:w="746" w:type="pct"/>
            <w:vMerge w:val="continue"/>
            <w:vAlign w:val="center"/>
          </w:tcPr>
          <w:p w14:paraId="628EDB97">
            <w:pPr>
              <w:snapToGrid w:val="0"/>
              <w:spacing w:line="240" w:lineRule="auto"/>
              <w:ind w:firstLine="0" w:firstLineChars="0"/>
              <w:jc w:val="center"/>
              <w:textAlignment w:val="baseline"/>
              <w:rPr>
                <w:rFonts w:cs="Times New Roman"/>
                <w:kern w:val="0"/>
                <w:sz w:val="21"/>
                <w:szCs w:val="21"/>
              </w:rPr>
            </w:pPr>
          </w:p>
        </w:tc>
      </w:tr>
      <w:tr w14:paraId="2D615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1" w:type="pct"/>
            <w:vAlign w:val="center"/>
          </w:tcPr>
          <w:p w14:paraId="6E61151C">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第十七条、禁止新建、扩建不符合国家石化、现代煤化工等产业布局规划的项目。未通过认定的化工园区，不得新建、改扩建化工项目（安全、环保、节能和智能化改造项目除外）</w:t>
            </w:r>
          </w:p>
        </w:tc>
        <w:tc>
          <w:tcPr>
            <w:tcW w:w="1862" w:type="pct"/>
            <w:vAlign w:val="center"/>
          </w:tcPr>
          <w:p w14:paraId="6FCF05C7">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本项目位于松木经开区，属于</w:t>
            </w:r>
            <w:r>
              <w:rPr>
                <w:rFonts w:hint="eastAsia" w:cs="Times New Roman"/>
                <w:kern w:val="0"/>
                <w:sz w:val="21"/>
                <w:szCs w:val="21"/>
              </w:rPr>
              <w:t>已通过认定的化工片区内。</w:t>
            </w:r>
          </w:p>
        </w:tc>
        <w:tc>
          <w:tcPr>
            <w:tcW w:w="746" w:type="pct"/>
            <w:vAlign w:val="center"/>
          </w:tcPr>
          <w:p w14:paraId="090C9F5E">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符合</w:t>
            </w:r>
          </w:p>
        </w:tc>
      </w:tr>
      <w:tr w14:paraId="794FD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1" w:type="pct"/>
            <w:vAlign w:val="center"/>
          </w:tcPr>
          <w:p w14:paraId="2D0FC191">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第十八条、禁止新建、扩建法律法规和相关政策明令禁止的落后产能项目；对不符合要求的落后产能存量项目依法依规退出。禁止新建、扩建不符合国家产能置换要求的严重过剩产能行业（钢铁、水泥、电解铝、平板玻璃、船舶等行业）的项目。对确有必要新建、扩建的，必须严格执行产能置换实施办法，实施减量或等量置换，依法依规办理有关手续。禁止新建、扩建不符合要求的高耗能高排放项目</w:t>
            </w:r>
          </w:p>
        </w:tc>
        <w:tc>
          <w:tcPr>
            <w:tcW w:w="1862" w:type="pct"/>
            <w:vAlign w:val="center"/>
          </w:tcPr>
          <w:p w14:paraId="79A3C2F8">
            <w:pPr>
              <w:snapToGrid w:val="0"/>
              <w:spacing w:line="240" w:lineRule="auto"/>
              <w:ind w:firstLine="0" w:firstLineChars="0"/>
              <w:jc w:val="center"/>
              <w:textAlignment w:val="baseline"/>
              <w:rPr>
                <w:rFonts w:cs="Times New Roman"/>
                <w:kern w:val="0"/>
                <w:sz w:val="21"/>
                <w:szCs w:val="21"/>
              </w:rPr>
            </w:pPr>
            <w:r>
              <w:rPr>
                <w:rStyle w:val="66"/>
              </w:rPr>
              <w:t>本项目</w:t>
            </w:r>
            <w:r>
              <w:rPr>
                <w:rStyle w:val="66"/>
                <w:rFonts w:hint="eastAsia"/>
                <w:lang w:val="en-US" w:eastAsia="zh-CN"/>
              </w:rPr>
              <w:t>为无机盐制造项目，产品为高氯酸钠、高氯酸钾，</w:t>
            </w:r>
            <w:r>
              <w:rPr>
                <w:rStyle w:val="66"/>
              </w:rPr>
              <w:t>不属于明令禁止的落后产能项目，也不属于严重过剩</w:t>
            </w:r>
            <w:r>
              <w:rPr>
                <w:rStyle w:val="66"/>
                <w:rFonts w:hint="eastAsia"/>
                <w:lang w:val="en-US" w:eastAsia="zh-CN"/>
              </w:rPr>
              <w:t>产能行业。</w:t>
            </w:r>
          </w:p>
        </w:tc>
        <w:tc>
          <w:tcPr>
            <w:tcW w:w="746" w:type="pct"/>
            <w:vAlign w:val="center"/>
          </w:tcPr>
          <w:p w14:paraId="1CCFE322">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符合</w:t>
            </w:r>
          </w:p>
        </w:tc>
      </w:tr>
    </w:tbl>
    <w:p w14:paraId="22E876B1">
      <w:pPr>
        <w:spacing w:line="240" w:lineRule="auto"/>
        <w:ind w:firstLine="480"/>
        <w:rPr>
          <w:rFonts w:hint="eastAsia"/>
        </w:rPr>
      </w:pPr>
    </w:p>
    <w:p w14:paraId="53964461">
      <w:pPr>
        <w:ind w:firstLine="480"/>
      </w:pPr>
      <w:r>
        <w:rPr>
          <w:rFonts w:hint="eastAsia"/>
        </w:rPr>
        <w:t>因此，本项目建设符合《湖南省长江经济带发展负面清单实施细则（试行）》（2022年版）相关要求。</w:t>
      </w:r>
    </w:p>
    <w:p w14:paraId="48756E23">
      <w:pPr>
        <w:pStyle w:val="5"/>
      </w:pPr>
      <w:bookmarkStart w:id="18" w:name="_Toc27352"/>
      <w:r>
        <w:rPr>
          <w:rFonts w:hint="eastAsia"/>
        </w:rPr>
        <w:t>与其他产业政策的相符性分析</w:t>
      </w:r>
      <w:bookmarkEnd w:id="18"/>
    </w:p>
    <w:p w14:paraId="05663457">
      <w:pPr>
        <w:ind w:firstLine="480"/>
      </w:pPr>
      <w:r>
        <w:rPr>
          <w:rFonts w:hint="eastAsia"/>
        </w:rPr>
        <w:t>本项目主要生产设备、工艺、产品等也均未列入中华人民共和国工业和信息化部制定的《部分工业行业淘汰落后生产工艺装备和产品指导目录（2010年本）》，本项目不属于《禁止用地项目目录（2012年本）》、《限制用地项目目录（2012年本）》禁止项目，符合国家和地方产业政策。</w:t>
      </w:r>
    </w:p>
    <w:p w14:paraId="37D54255">
      <w:pPr>
        <w:pStyle w:val="4"/>
      </w:pPr>
      <w:bookmarkStart w:id="19" w:name="_Toc18789"/>
      <w:r>
        <w:rPr>
          <w:rFonts w:hint="eastAsia"/>
        </w:rPr>
        <w:t>与相关规划相符性分析</w:t>
      </w:r>
      <w:bookmarkEnd w:id="19"/>
    </w:p>
    <w:p w14:paraId="46499091">
      <w:pPr>
        <w:pStyle w:val="5"/>
      </w:pPr>
      <w:bookmarkStart w:id="20" w:name="_Toc24371"/>
      <w:r>
        <w:rPr>
          <w:rFonts w:hint="eastAsia"/>
        </w:rPr>
        <w:t>与</w:t>
      </w:r>
      <w:r>
        <w:rPr>
          <w:rFonts w:hint="eastAsia"/>
          <w:lang w:eastAsia="zh-CN"/>
        </w:rPr>
        <w:t>《</w:t>
      </w:r>
      <w:r>
        <w:rPr>
          <w:rFonts w:hint="eastAsia"/>
        </w:rPr>
        <w:t>湖南衡阳松木经济开发区扩区规划</w:t>
      </w:r>
      <w:r>
        <w:rPr>
          <w:rFonts w:hint="eastAsia"/>
          <w:lang w:eastAsia="zh-CN"/>
        </w:rPr>
        <w:t>》</w:t>
      </w:r>
      <w:r>
        <w:rPr>
          <w:rFonts w:hint="eastAsia"/>
        </w:rPr>
        <w:t>的相符性分析</w:t>
      </w:r>
      <w:bookmarkEnd w:id="20"/>
    </w:p>
    <w:p w14:paraId="0374663A">
      <w:pPr>
        <w:ind w:firstLine="480"/>
        <w:rPr>
          <w:rFonts w:hint="default" w:eastAsia="宋体"/>
          <w:lang w:val="en-US" w:eastAsia="zh-CN"/>
        </w:rPr>
      </w:pPr>
      <w:r>
        <w:rPr>
          <w:rFonts w:hint="eastAsia"/>
          <w:highlight w:val="none"/>
          <w:lang w:val="en-US" w:eastAsia="zh-CN"/>
        </w:rPr>
        <w:t>根据</w:t>
      </w:r>
      <w:r>
        <w:rPr>
          <w:rFonts w:hint="eastAsia"/>
          <w:highlight w:val="none"/>
        </w:rPr>
        <w:t>《湖南衡阳松木经济开发区扩区规划</w:t>
      </w:r>
      <w:r>
        <w:rPr>
          <w:rFonts w:hint="eastAsia"/>
          <w:highlight w:val="none"/>
          <w:lang w:val="en-US" w:eastAsia="zh-CN"/>
        </w:rPr>
        <w:t>环评</w:t>
      </w:r>
      <w:r>
        <w:rPr>
          <w:rFonts w:hint="eastAsia"/>
          <w:highlight w:val="none"/>
        </w:rPr>
        <w:t>》</w:t>
      </w:r>
      <w:r>
        <w:rPr>
          <w:rFonts w:hint="eastAsia"/>
          <w:lang w:eastAsia="zh-CN"/>
        </w:rPr>
        <w:t>，</w:t>
      </w:r>
      <w:r>
        <w:rPr>
          <w:rFonts w:hint="eastAsia"/>
          <w:lang w:val="en-US" w:eastAsia="zh-CN"/>
        </w:rPr>
        <w:t>松木园区产业定位为：</w:t>
      </w:r>
      <w:r>
        <w:rPr>
          <w:rFonts w:hint="eastAsia"/>
        </w:rPr>
        <w:t>以衡阳市丰富的盐卤资源和产业优势为依托，积极创新精细化工产业，优化提升新材料产业，根据定位“专而精”，加快传统优势产业转型升级。构建以高新</w:t>
      </w:r>
      <w:r>
        <w:rPr>
          <w:rFonts w:hint="eastAsia"/>
          <w:lang w:val="en-US" w:eastAsia="zh-CN"/>
        </w:rPr>
        <w:t>技术产业为主导</w:t>
      </w:r>
      <w:r>
        <w:rPr>
          <w:rFonts w:hint="eastAsia"/>
          <w:lang w:eastAsia="zh-CN"/>
        </w:rPr>
        <w:t>、</w:t>
      </w:r>
      <w:r>
        <w:rPr>
          <w:rFonts w:hint="eastAsia"/>
          <w:lang w:val="en-US" w:eastAsia="zh-CN"/>
        </w:rPr>
        <w:t>优势产业为基础，科技创新与产业发展相互促进、</w:t>
      </w:r>
      <w:r>
        <w:rPr>
          <w:rFonts w:hint="eastAsia"/>
        </w:rPr>
        <w:t>资源综合利用与环境保护有机统一的产业体系。以精细化工为主导产业，以精细化工延伸出的新材料为特色产业，形成“一主一特”的产业体系。具体各片区产业布局细化如</w:t>
      </w:r>
      <w:r>
        <w:rPr>
          <w:rFonts w:hint="eastAsia"/>
          <w:lang w:val="en-US" w:eastAsia="zh-CN"/>
        </w:rPr>
        <w:t>下：松木片区（沿江1km）：装备制造。松木化工片区：精细化工。松木片区（其他区域）：新材料、现代物流。江东片区：新材料。樟木片区：盐卤化工、新材料。</w:t>
      </w:r>
    </w:p>
    <w:p w14:paraId="7255F965">
      <w:pPr>
        <w:ind w:firstLine="480"/>
      </w:pPr>
      <w:r>
        <w:rPr>
          <w:rFonts w:hint="eastAsia"/>
          <w:b/>
          <w:bCs/>
          <w:lang w:val="en-US" w:eastAsia="zh-CN"/>
        </w:rPr>
        <w:t>相符性分析：</w:t>
      </w:r>
      <w:r>
        <w:rPr>
          <w:rFonts w:hint="eastAsia"/>
        </w:rPr>
        <w:t>本项目</w:t>
      </w:r>
      <w:r>
        <w:rPr>
          <w:rFonts w:hint="eastAsia"/>
          <w:lang w:val="en-US" w:eastAsia="zh-CN"/>
        </w:rPr>
        <w:t>位于松木化工片区，属于盐卤、精细化工行业，</w:t>
      </w:r>
      <w:r>
        <w:rPr>
          <w:rFonts w:hint="eastAsia"/>
        </w:rPr>
        <w:t>符合园区产业定位，不在</w:t>
      </w:r>
      <w:r>
        <w:rPr>
          <w:rFonts w:hint="eastAsia"/>
          <w:lang w:val="en-US" w:eastAsia="zh-CN"/>
        </w:rPr>
        <w:t>园区</w:t>
      </w:r>
      <w:r>
        <w:rPr>
          <w:rFonts w:hint="eastAsia"/>
        </w:rPr>
        <w:t>负面准入清单内，用地类型属于三类工业工地</w:t>
      </w:r>
      <w:r>
        <w:rPr>
          <w:rFonts w:hint="eastAsia"/>
          <w:lang w:eastAsia="zh-CN"/>
        </w:rPr>
        <w:t>。</w:t>
      </w:r>
      <w:r>
        <w:rPr>
          <w:rFonts w:hint="eastAsia"/>
        </w:rPr>
        <w:t>综上所述，项目建设符合松木经济开发区的总体规划。</w:t>
      </w:r>
    </w:p>
    <w:p w14:paraId="37230278">
      <w:pPr>
        <w:pStyle w:val="5"/>
        <w:rPr>
          <w:highlight w:val="none"/>
        </w:rPr>
      </w:pPr>
      <w:bookmarkStart w:id="21" w:name="_Toc2841"/>
      <w:r>
        <w:rPr>
          <w:rFonts w:hint="eastAsia"/>
          <w:highlight w:val="none"/>
        </w:rPr>
        <w:t>与《湖南省</w:t>
      </w:r>
      <w:r>
        <w:rPr>
          <w:rFonts w:hint="eastAsia"/>
          <w:highlight w:val="none"/>
          <w:lang w:val="en-US" w:eastAsia="zh-CN"/>
        </w:rPr>
        <w:t>自然</w:t>
      </w:r>
      <w:r>
        <w:rPr>
          <w:rFonts w:hint="eastAsia"/>
          <w:highlight w:val="none"/>
        </w:rPr>
        <w:t>资源厅关于衡阳松木经济开发区调区扩区用地审核意见的函》相符性分析</w:t>
      </w:r>
      <w:bookmarkEnd w:id="21"/>
    </w:p>
    <w:p w14:paraId="788FA4F3">
      <w:pPr>
        <w:ind w:firstLine="480"/>
        <w:rPr>
          <w:rFonts w:hint="eastAsia"/>
          <w:highlight w:val="none"/>
          <w:lang w:eastAsia="zh-CN"/>
        </w:rPr>
      </w:pPr>
      <w:r>
        <w:rPr>
          <w:rFonts w:hint="eastAsia"/>
          <w:highlight w:val="none"/>
        </w:rPr>
        <w:t>2024年2月，湖南省自然资源厅印发了《关于衡阳松木经济开发区调区扩区用地审核意见的函》，在[2022</w:t>
      </w:r>
      <w:r>
        <w:rPr>
          <w:rFonts w:hint="eastAsia"/>
          <w:highlight w:val="none"/>
          <w:lang w:val="en-US" w:eastAsia="zh-CN"/>
        </w:rPr>
        <w:t>]</w:t>
      </w:r>
      <w:r>
        <w:rPr>
          <w:rFonts w:hint="eastAsia"/>
          <w:highlight w:val="none"/>
        </w:rPr>
        <w:t>601号文核定范围的基础上，同意将426.25公顷依调区程序调出四至边界范围，将 299.74 公顷依扩区程序调入四至边界范围，调区扩区后园区总面积为1017.41公顷，共5个区块</w:t>
      </w:r>
      <w:r>
        <w:rPr>
          <w:rFonts w:hint="eastAsia"/>
          <w:highlight w:val="none"/>
          <w:lang w:eastAsia="zh-CN"/>
        </w:rPr>
        <w:t>。</w:t>
      </w:r>
    </w:p>
    <w:p w14:paraId="179FAF43">
      <w:pPr>
        <w:pStyle w:val="43"/>
        <w:rPr>
          <w:rFonts w:hint="default"/>
          <w:highlight w:val="none"/>
        </w:rPr>
      </w:pPr>
      <w:r>
        <w:rPr>
          <w:rFonts w:hint="eastAsia"/>
          <w:highlight w:val="none"/>
          <w:lang w:val="en-US" w:eastAsia="zh-CN"/>
        </w:rPr>
        <w:t>松木经开区调扩区后的四至范围</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0" w:type="dxa"/>
          <w:right w:w="15" w:type="dxa"/>
        </w:tblCellMar>
      </w:tblPr>
      <w:tblGrid>
        <w:gridCol w:w="549"/>
        <w:gridCol w:w="939"/>
        <w:gridCol w:w="767"/>
        <w:gridCol w:w="767"/>
        <w:gridCol w:w="815"/>
        <w:gridCol w:w="3459"/>
        <w:gridCol w:w="1037"/>
      </w:tblGrid>
      <w:tr w14:paraId="3F21A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0" w:type="dxa"/>
            <w:right w:w="15" w:type="dxa"/>
          </w:tblCellMar>
        </w:tblPrEx>
        <w:trPr>
          <w:trHeight w:val="510" w:hRule="atLeast"/>
          <w:tblHeader/>
          <w:jc w:val="center"/>
        </w:trPr>
        <w:tc>
          <w:tcPr>
            <w:tcW w:w="329" w:type="pct"/>
            <w:vAlign w:val="center"/>
          </w:tcPr>
          <w:p w14:paraId="041F3145">
            <w:pPr>
              <w:pStyle w:val="45"/>
              <w:rPr>
                <w:rFonts w:hint="default"/>
                <w:b/>
                <w:bCs/>
                <w:highlight w:val="none"/>
              </w:rPr>
            </w:pPr>
            <w:r>
              <w:rPr>
                <w:b/>
                <w:bCs/>
                <w:highlight w:val="none"/>
              </w:rPr>
              <w:t>园区名称</w:t>
            </w:r>
          </w:p>
        </w:tc>
        <w:tc>
          <w:tcPr>
            <w:tcW w:w="563" w:type="pct"/>
            <w:vAlign w:val="center"/>
          </w:tcPr>
          <w:p w14:paraId="4AA1CAB5">
            <w:pPr>
              <w:pStyle w:val="45"/>
              <w:rPr>
                <w:rFonts w:hint="default"/>
                <w:b/>
                <w:bCs/>
                <w:highlight w:val="none"/>
              </w:rPr>
            </w:pPr>
            <w:r>
              <w:rPr>
                <w:b/>
                <w:bCs/>
                <w:highlight w:val="none"/>
              </w:rPr>
              <w:t>核准面积（公顷）</w:t>
            </w:r>
          </w:p>
        </w:tc>
        <w:tc>
          <w:tcPr>
            <w:tcW w:w="460" w:type="pct"/>
            <w:vAlign w:val="center"/>
          </w:tcPr>
          <w:p w14:paraId="2455C6F1">
            <w:pPr>
              <w:pStyle w:val="45"/>
              <w:rPr>
                <w:rFonts w:hint="eastAsia" w:eastAsia="宋体"/>
                <w:b/>
                <w:bCs/>
                <w:highlight w:val="none"/>
                <w:lang w:val="en-US" w:eastAsia="zh-CN"/>
              </w:rPr>
            </w:pPr>
            <w:r>
              <w:rPr>
                <w:rFonts w:hint="eastAsia"/>
                <w:b/>
                <w:bCs/>
                <w:highlight w:val="none"/>
                <w:lang w:val="en-US" w:eastAsia="zh-CN"/>
              </w:rPr>
              <w:t>片区</w:t>
            </w:r>
          </w:p>
        </w:tc>
        <w:tc>
          <w:tcPr>
            <w:tcW w:w="460" w:type="pct"/>
            <w:vAlign w:val="center"/>
          </w:tcPr>
          <w:p w14:paraId="2BC482AA">
            <w:pPr>
              <w:pStyle w:val="45"/>
              <w:rPr>
                <w:rFonts w:hint="default"/>
                <w:b/>
                <w:bCs/>
                <w:highlight w:val="none"/>
              </w:rPr>
            </w:pPr>
            <w:r>
              <w:rPr>
                <w:b/>
                <w:bCs/>
                <w:highlight w:val="none"/>
              </w:rPr>
              <w:t>区块</w:t>
            </w:r>
          </w:p>
        </w:tc>
        <w:tc>
          <w:tcPr>
            <w:tcW w:w="489" w:type="pct"/>
            <w:vAlign w:val="center"/>
          </w:tcPr>
          <w:p w14:paraId="065459F9">
            <w:pPr>
              <w:pStyle w:val="45"/>
              <w:rPr>
                <w:rFonts w:hint="default"/>
                <w:b/>
                <w:bCs/>
                <w:highlight w:val="none"/>
              </w:rPr>
            </w:pPr>
            <w:r>
              <w:rPr>
                <w:b/>
                <w:bCs/>
                <w:highlight w:val="none"/>
              </w:rPr>
              <w:t>区块面积（公顷）</w:t>
            </w:r>
          </w:p>
        </w:tc>
        <w:tc>
          <w:tcPr>
            <w:tcW w:w="2075" w:type="pct"/>
            <w:vAlign w:val="center"/>
          </w:tcPr>
          <w:p w14:paraId="14434802">
            <w:pPr>
              <w:pStyle w:val="45"/>
              <w:rPr>
                <w:rFonts w:hint="default"/>
                <w:b/>
                <w:bCs/>
                <w:highlight w:val="none"/>
              </w:rPr>
            </w:pPr>
            <w:r>
              <w:rPr>
                <w:b/>
                <w:bCs/>
                <w:highlight w:val="none"/>
              </w:rPr>
              <w:t>四至范围</w:t>
            </w:r>
          </w:p>
        </w:tc>
        <w:tc>
          <w:tcPr>
            <w:tcW w:w="622" w:type="pct"/>
            <w:vAlign w:val="center"/>
          </w:tcPr>
          <w:p w14:paraId="7899CFE9">
            <w:pPr>
              <w:pStyle w:val="45"/>
              <w:rPr>
                <w:rFonts w:hint="default"/>
                <w:b/>
                <w:bCs/>
                <w:highlight w:val="none"/>
              </w:rPr>
            </w:pPr>
            <w:r>
              <w:rPr>
                <w:b/>
                <w:bCs/>
                <w:highlight w:val="none"/>
              </w:rPr>
              <w:t>本项目情况</w:t>
            </w:r>
          </w:p>
        </w:tc>
      </w:tr>
      <w:tr w14:paraId="79E33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0" w:type="dxa"/>
            <w:right w:w="15" w:type="dxa"/>
          </w:tblCellMar>
        </w:tblPrEx>
        <w:trPr>
          <w:trHeight w:val="510" w:hRule="atLeast"/>
          <w:jc w:val="center"/>
        </w:trPr>
        <w:tc>
          <w:tcPr>
            <w:tcW w:w="329" w:type="pct"/>
            <w:vMerge w:val="restart"/>
            <w:vAlign w:val="center"/>
          </w:tcPr>
          <w:p w14:paraId="6608BA22">
            <w:pPr>
              <w:pStyle w:val="45"/>
              <w:rPr>
                <w:rFonts w:hint="default"/>
                <w:highlight w:val="none"/>
              </w:rPr>
            </w:pPr>
            <w:r>
              <w:rPr>
                <w:highlight w:val="none"/>
              </w:rPr>
              <w:t>衡阳松木经济开发区</w:t>
            </w:r>
          </w:p>
        </w:tc>
        <w:tc>
          <w:tcPr>
            <w:tcW w:w="563" w:type="pct"/>
            <w:vMerge w:val="restart"/>
            <w:vAlign w:val="center"/>
          </w:tcPr>
          <w:p w14:paraId="3DC2E274">
            <w:pPr>
              <w:pStyle w:val="45"/>
              <w:rPr>
                <w:rFonts w:hint="default" w:eastAsia="宋体"/>
                <w:highlight w:val="none"/>
                <w:lang w:val="en-US" w:eastAsia="zh-CN"/>
              </w:rPr>
            </w:pPr>
            <w:r>
              <w:rPr>
                <w:rFonts w:hint="eastAsia"/>
                <w:highlight w:val="none"/>
                <w:lang w:val="en-US" w:eastAsia="zh-CN"/>
              </w:rPr>
              <w:t>1017.41</w:t>
            </w:r>
          </w:p>
        </w:tc>
        <w:tc>
          <w:tcPr>
            <w:tcW w:w="460" w:type="pct"/>
            <w:vMerge w:val="restart"/>
            <w:vAlign w:val="center"/>
          </w:tcPr>
          <w:p w14:paraId="750827E0">
            <w:pPr>
              <w:pStyle w:val="45"/>
              <w:rPr>
                <w:rFonts w:hint="eastAsia" w:eastAsia="宋体"/>
                <w:highlight w:val="none"/>
                <w:lang w:val="en-US" w:eastAsia="zh-CN"/>
              </w:rPr>
            </w:pPr>
            <w:r>
              <w:rPr>
                <w:rFonts w:hint="eastAsia"/>
                <w:highlight w:val="none"/>
                <w:lang w:val="en-US" w:eastAsia="zh-CN"/>
              </w:rPr>
              <w:t>松木片区</w:t>
            </w:r>
          </w:p>
        </w:tc>
        <w:tc>
          <w:tcPr>
            <w:tcW w:w="460" w:type="pct"/>
            <w:vAlign w:val="center"/>
          </w:tcPr>
          <w:p w14:paraId="2EA53D64">
            <w:pPr>
              <w:pStyle w:val="45"/>
              <w:rPr>
                <w:rFonts w:hint="default"/>
                <w:highlight w:val="none"/>
              </w:rPr>
            </w:pPr>
            <w:r>
              <w:rPr>
                <w:highlight w:val="none"/>
              </w:rPr>
              <w:t>区块一</w:t>
            </w:r>
          </w:p>
        </w:tc>
        <w:tc>
          <w:tcPr>
            <w:tcW w:w="489" w:type="pct"/>
            <w:vAlign w:val="center"/>
          </w:tcPr>
          <w:p w14:paraId="5DDF527E">
            <w:pPr>
              <w:pStyle w:val="45"/>
              <w:rPr>
                <w:rFonts w:hint="default" w:eastAsia="宋体"/>
                <w:highlight w:val="none"/>
                <w:lang w:val="en-US" w:eastAsia="zh-CN"/>
              </w:rPr>
            </w:pPr>
            <w:r>
              <w:rPr>
                <w:rFonts w:hint="eastAsia"/>
                <w:highlight w:val="none"/>
                <w:lang w:val="en-US" w:eastAsia="zh-CN"/>
              </w:rPr>
              <w:t>572.08</w:t>
            </w:r>
          </w:p>
        </w:tc>
        <w:tc>
          <w:tcPr>
            <w:tcW w:w="2075" w:type="pct"/>
            <w:vAlign w:val="center"/>
          </w:tcPr>
          <w:p w14:paraId="6A26D581">
            <w:pPr>
              <w:pStyle w:val="45"/>
              <w:rPr>
                <w:rFonts w:hint="default"/>
                <w:highlight w:val="none"/>
              </w:rPr>
            </w:pPr>
            <w:r>
              <w:rPr>
                <w:highlight w:val="none"/>
              </w:rPr>
              <w:t>东至</w:t>
            </w:r>
            <w:r>
              <w:rPr>
                <w:rFonts w:hint="eastAsia"/>
                <w:highlight w:val="none"/>
                <w:lang w:val="en-US" w:eastAsia="zh-CN"/>
              </w:rPr>
              <w:t>湘江北</w:t>
            </w:r>
            <w:r>
              <w:rPr>
                <w:highlight w:val="none"/>
              </w:rPr>
              <w:t>，南至</w:t>
            </w:r>
            <w:r>
              <w:rPr>
                <w:rFonts w:hint="eastAsia"/>
                <w:highlight w:val="none"/>
                <w:lang w:val="en-US" w:eastAsia="zh-CN"/>
              </w:rPr>
              <w:t>衡邵</w:t>
            </w:r>
            <w:r>
              <w:rPr>
                <w:highlight w:val="none"/>
              </w:rPr>
              <w:t>高速公路，西至G107国道，北至怀邵衡铁路以南150米处</w:t>
            </w:r>
          </w:p>
        </w:tc>
        <w:tc>
          <w:tcPr>
            <w:tcW w:w="622" w:type="pct"/>
            <w:vAlign w:val="center"/>
          </w:tcPr>
          <w:p w14:paraId="761A259E">
            <w:pPr>
              <w:pStyle w:val="45"/>
              <w:rPr>
                <w:rFonts w:hint="default"/>
                <w:highlight w:val="none"/>
              </w:rPr>
            </w:pPr>
            <w:r>
              <w:rPr>
                <w:highlight w:val="none"/>
              </w:rPr>
              <w:t>本项目位于区块一</w:t>
            </w:r>
          </w:p>
        </w:tc>
      </w:tr>
      <w:tr w14:paraId="5341B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0" w:type="dxa"/>
            <w:right w:w="15" w:type="dxa"/>
          </w:tblCellMar>
        </w:tblPrEx>
        <w:trPr>
          <w:trHeight w:val="510" w:hRule="atLeast"/>
          <w:jc w:val="center"/>
        </w:trPr>
        <w:tc>
          <w:tcPr>
            <w:tcW w:w="329" w:type="pct"/>
            <w:vMerge w:val="continue"/>
            <w:vAlign w:val="center"/>
          </w:tcPr>
          <w:p w14:paraId="727A180B">
            <w:pPr>
              <w:pStyle w:val="45"/>
              <w:rPr>
                <w:rFonts w:hint="default"/>
                <w:highlight w:val="none"/>
              </w:rPr>
            </w:pPr>
          </w:p>
        </w:tc>
        <w:tc>
          <w:tcPr>
            <w:tcW w:w="563" w:type="pct"/>
            <w:vMerge w:val="continue"/>
            <w:vAlign w:val="center"/>
          </w:tcPr>
          <w:p w14:paraId="683194B5">
            <w:pPr>
              <w:pStyle w:val="45"/>
              <w:rPr>
                <w:rFonts w:hint="default"/>
                <w:highlight w:val="none"/>
              </w:rPr>
            </w:pPr>
          </w:p>
        </w:tc>
        <w:tc>
          <w:tcPr>
            <w:tcW w:w="460" w:type="pct"/>
            <w:vMerge w:val="continue"/>
            <w:vAlign w:val="center"/>
          </w:tcPr>
          <w:p w14:paraId="1DB69DC8">
            <w:pPr>
              <w:pStyle w:val="45"/>
              <w:rPr>
                <w:highlight w:val="none"/>
              </w:rPr>
            </w:pPr>
          </w:p>
        </w:tc>
        <w:tc>
          <w:tcPr>
            <w:tcW w:w="460" w:type="pct"/>
            <w:vAlign w:val="center"/>
          </w:tcPr>
          <w:p w14:paraId="6CBE7EEC">
            <w:pPr>
              <w:pStyle w:val="45"/>
              <w:rPr>
                <w:rFonts w:hint="default"/>
                <w:highlight w:val="none"/>
              </w:rPr>
            </w:pPr>
            <w:r>
              <w:rPr>
                <w:highlight w:val="none"/>
              </w:rPr>
              <w:t>区块二</w:t>
            </w:r>
          </w:p>
        </w:tc>
        <w:tc>
          <w:tcPr>
            <w:tcW w:w="489" w:type="pct"/>
            <w:vAlign w:val="center"/>
          </w:tcPr>
          <w:p w14:paraId="478BC29E">
            <w:pPr>
              <w:pStyle w:val="45"/>
              <w:rPr>
                <w:rFonts w:hint="default" w:eastAsia="宋体"/>
                <w:highlight w:val="none"/>
                <w:lang w:val="en-US" w:eastAsia="zh-CN"/>
              </w:rPr>
            </w:pPr>
            <w:r>
              <w:rPr>
                <w:rFonts w:hint="eastAsia"/>
                <w:highlight w:val="none"/>
                <w:lang w:val="en-US" w:eastAsia="zh-CN"/>
              </w:rPr>
              <w:t>96.16</w:t>
            </w:r>
          </w:p>
        </w:tc>
        <w:tc>
          <w:tcPr>
            <w:tcW w:w="2075" w:type="pct"/>
            <w:vAlign w:val="center"/>
          </w:tcPr>
          <w:p w14:paraId="18CD67DE">
            <w:pPr>
              <w:pStyle w:val="45"/>
              <w:rPr>
                <w:rFonts w:hint="default" w:eastAsia="宋体"/>
                <w:highlight w:val="none"/>
                <w:lang w:val="en-US" w:eastAsia="zh-CN"/>
              </w:rPr>
            </w:pPr>
            <w:r>
              <w:rPr>
                <w:highlight w:val="none"/>
              </w:rPr>
              <w:t>东至</w:t>
            </w:r>
            <w:r>
              <w:rPr>
                <w:rFonts w:hint="eastAsia"/>
                <w:highlight w:val="none"/>
                <w:lang w:val="en-US" w:eastAsia="zh-CN"/>
              </w:rPr>
              <w:t>松木乡友谊村麻雀塘</w:t>
            </w:r>
            <w:r>
              <w:rPr>
                <w:highlight w:val="none"/>
              </w:rPr>
              <w:t>，南至</w:t>
            </w:r>
            <w:r>
              <w:rPr>
                <w:rFonts w:hint="eastAsia"/>
                <w:highlight w:val="none"/>
                <w:lang w:val="en-US" w:eastAsia="zh-CN"/>
              </w:rPr>
              <w:t>松木乡松梅村马史塘</w:t>
            </w:r>
            <w:r>
              <w:rPr>
                <w:highlight w:val="none"/>
              </w:rPr>
              <w:t>，西至</w:t>
            </w:r>
            <w:r>
              <w:rPr>
                <w:rFonts w:hint="eastAsia"/>
                <w:highlight w:val="none"/>
                <w:lang w:val="en-US" w:eastAsia="zh-CN"/>
              </w:rPr>
              <w:t>G107国道</w:t>
            </w:r>
            <w:r>
              <w:rPr>
                <w:highlight w:val="none"/>
              </w:rPr>
              <w:t>，北至</w:t>
            </w:r>
            <w:r>
              <w:rPr>
                <w:rFonts w:hint="eastAsia"/>
                <w:highlight w:val="none"/>
                <w:lang w:val="en-US" w:eastAsia="zh-CN"/>
              </w:rPr>
              <w:t>衡邵高速公路</w:t>
            </w:r>
          </w:p>
        </w:tc>
        <w:tc>
          <w:tcPr>
            <w:tcW w:w="622" w:type="pct"/>
            <w:vAlign w:val="center"/>
          </w:tcPr>
          <w:p w14:paraId="45AFD094">
            <w:pPr>
              <w:pStyle w:val="45"/>
              <w:rPr>
                <w:rFonts w:hint="default"/>
                <w:highlight w:val="none"/>
              </w:rPr>
            </w:pPr>
            <w:r>
              <w:rPr>
                <w:highlight w:val="none"/>
              </w:rPr>
              <w:t>/</w:t>
            </w:r>
          </w:p>
        </w:tc>
      </w:tr>
      <w:tr w14:paraId="43248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0" w:type="dxa"/>
            <w:right w:w="15" w:type="dxa"/>
          </w:tblCellMar>
        </w:tblPrEx>
        <w:trPr>
          <w:trHeight w:val="510" w:hRule="atLeast"/>
          <w:jc w:val="center"/>
        </w:trPr>
        <w:tc>
          <w:tcPr>
            <w:tcW w:w="329" w:type="pct"/>
            <w:vMerge w:val="continue"/>
            <w:vAlign w:val="center"/>
          </w:tcPr>
          <w:p w14:paraId="3B9A5729">
            <w:pPr>
              <w:pStyle w:val="45"/>
              <w:rPr>
                <w:rFonts w:hint="default"/>
                <w:highlight w:val="none"/>
              </w:rPr>
            </w:pPr>
          </w:p>
        </w:tc>
        <w:tc>
          <w:tcPr>
            <w:tcW w:w="563" w:type="pct"/>
            <w:vMerge w:val="continue"/>
            <w:vAlign w:val="center"/>
          </w:tcPr>
          <w:p w14:paraId="4128267D">
            <w:pPr>
              <w:pStyle w:val="45"/>
              <w:rPr>
                <w:rFonts w:hint="default"/>
                <w:highlight w:val="none"/>
              </w:rPr>
            </w:pPr>
          </w:p>
        </w:tc>
        <w:tc>
          <w:tcPr>
            <w:tcW w:w="460" w:type="pct"/>
            <w:vMerge w:val="restart"/>
            <w:vAlign w:val="center"/>
          </w:tcPr>
          <w:p w14:paraId="752B8C8D">
            <w:pPr>
              <w:pStyle w:val="45"/>
              <w:rPr>
                <w:rFonts w:hint="eastAsia" w:eastAsia="宋体"/>
                <w:highlight w:val="none"/>
                <w:lang w:val="en-US" w:eastAsia="zh-CN"/>
              </w:rPr>
            </w:pPr>
            <w:r>
              <w:rPr>
                <w:rFonts w:hint="eastAsia"/>
                <w:highlight w:val="none"/>
                <w:lang w:val="en-US" w:eastAsia="zh-CN"/>
              </w:rPr>
              <w:t>江东片区</w:t>
            </w:r>
          </w:p>
        </w:tc>
        <w:tc>
          <w:tcPr>
            <w:tcW w:w="460" w:type="pct"/>
            <w:vAlign w:val="center"/>
          </w:tcPr>
          <w:p w14:paraId="563ECEAE">
            <w:pPr>
              <w:pStyle w:val="45"/>
              <w:rPr>
                <w:rFonts w:hint="default"/>
                <w:highlight w:val="none"/>
              </w:rPr>
            </w:pPr>
            <w:r>
              <w:rPr>
                <w:highlight w:val="none"/>
              </w:rPr>
              <w:t>区块三</w:t>
            </w:r>
          </w:p>
        </w:tc>
        <w:tc>
          <w:tcPr>
            <w:tcW w:w="489" w:type="pct"/>
            <w:vAlign w:val="center"/>
          </w:tcPr>
          <w:p w14:paraId="6F853568">
            <w:pPr>
              <w:pStyle w:val="45"/>
              <w:rPr>
                <w:rFonts w:hint="default" w:eastAsia="宋体"/>
                <w:highlight w:val="none"/>
                <w:lang w:val="en-US" w:eastAsia="zh-CN"/>
              </w:rPr>
            </w:pPr>
            <w:r>
              <w:rPr>
                <w:rFonts w:hint="eastAsia"/>
                <w:highlight w:val="none"/>
                <w:lang w:val="en-US" w:eastAsia="zh-CN"/>
              </w:rPr>
              <w:t>37.35</w:t>
            </w:r>
          </w:p>
        </w:tc>
        <w:tc>
          <w:tcPr>
            <w:tcW w:w="2075" w:type="pct"/>
            <w:vAlign w:val="center"/>
          </w:tcPr>
          <w:p w14:paraId="055552D4">
            <w:pPr>
              <w:pStyle w:val="45"/>
              <w:rPr>
                <w:rFonts w:hint="default"/>
                <w:highlight w:val="none"/>
              </w:rPr>
            </w:pPr>
            <w:r>
              <w:rPr>
                <w:highlight w:val="none"/>
              </w:rPr>
              <w:t>东至东三环，南至京广铁路，西至双江路，北至北三环</w:t>
            </w:r>
          </w:p>
        </w:tc>
        <w:tc>
          <w:tcPr>
            <w:tcW w:w="622" w:type="pct"/>
            <w:vAlign w:val="center"/>
          </w:tcPr>
          <w:p w14:paraId="6A77F340">
            <w:pPr>
              <w:pStyle w:val="45"/>
              <w:rPr>
                <w:rFonts w:hint="default"/>
                <w:highlight w:val="none"/>
              </w:rPr>
            </w:pPr>
            <w:r>
              <w:rPr>
                <w:highlight w:val="none"/>
              </w:rPr>
              <w:t>/</w:t>
            </w:r>
          </w:p>
        </w:tc>
      </w:tr>
      <w:tr w14:paraId="52BD6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0" w:type="dxa"/>
            <w:right w:w="15" w:type="dxa"/>
          </w:tblCellMar>
        </w:tblPrEx>
        <w:trPr>
          <w:trHeight w:val="510" w:hRule="atLeast"/>
          <w:jc w:val="center"/>
        </w:trPr>
        <w:tc>
          <w:tcPr>
            <w:tcW w:w="329" w:type="pct"/>
            <w:vMerge w:val="continue"/>
            <w:vAlign w:val="center"/>
          </w:tcPr>
          <w:p w14:paraId="479BA371">
            <w:pPr>
              <w:pStyle w:val="45"/>
              <w:rPr>
                <w:rFonts w:hint="default"/>
                <w:highlight w:val="none"/>
              </w:rPr>
            </w:pPr>
          </w:p>
        </w:tc>
        <w:tc>
          <w:tcPr>
            <w:tcW w:w="563" w:type="pct"/>
            <w:vMerge w:val="continue"/>
            <w:vAlign w:val="center"/>
          </w:tcPr>
          <w:p w14:paraId="40BE706D">
            <w:pPr>
              <w:pStyle w:val="45"/>
              <w:rPr>
                <w:rFonts w:hint="default"/>
                <w:highlight w:val="none"/>
              </w:rPr>
            </w:pPr>
          </w:p>
        </w:tc>
        <w:tc>
          <w:tcPr>
            <w:tcW w:w="460" w:type="pct"/>
            <w:vMerge w:val="continue"/>
            <w:vAlign w:val="center"/>
          </w:tcPr>
          <w:p w14:paraId="2FB8159D">
            <w:pPr>
              <w:pStyle w:val="45"/>
              <w:rPr>
                <w:highlight w:val="none"/>
              </w:rPr>
            </w:pPr>
          </w:p>
        </w:tc>
        <w:tc>
          <w:tcPr>
            <w:tcW w:w="460" w:type="pct"/>
            <w:vAlign w:val="center"/>
          </w:tcPr>
          <w:p w14:paraId="12D8CCA5">
            <w:pPr>
              <w:pStyle w:val="45"/>
              <w:rPr>
                <w:rFonts w:hint="default"/>
                <w:highlight w:val="none"/>
              </w:rPr>
            </w:pPr>
            <w:r>
              <w:rPr>
                <w:highlight w:val="none"/>
              </w:rPr>
              <w:t>区块四</w:t>
            </w:r>
          </w:p>
        </w:tc>
        <w:tc>
          <w:tcPr>
            <w:tcW w:w="489" w:type="pct"/>
            <w:vAlign w:val="center"/>
          </w:tcPr>
          <w:p w14:paraId="75EFA85D">
            <w:pPr>
              <w:pStyle w:val="45"/>
              <w:rPr>
                <w:rFonts w:hint="default"/>
                <w:highlight w:val="none"/>
              </w:rPr>
            </w:pPr>
            <w:r>
              <w:rPr>
                <w:highlight w:val="none"/>
              </w:rPr>
              <w:t>12.08</w:t>
            </w:r>
          </w:p>
        </w:tc>
        <w:tc>
          <w:tcPr>
            <w:tcW w:w="2075" w:type="pct"/>
            <w:vAlign w:val="center"/>
          </w:tcPr>
          <w:p w14:paraId="141A6FA0">
            <w:pPr>
              <w:pStyle w:val="45"/>
              <w:rPr>
                <w:rFonts w:hint="default"/>
                <w:highlight w:val="none"/>
              </w:rPr>
            </w:pPr>
            <w:r>
              <w:rPr>
                <w:highlight w:val="none"/>
              </w:rPr>
              <w:t>东至广铁工务大修段，南至衡州大道以北510米处，西至狮山路，北至狮山路</w:t>
            </w:r>
          </w:p>
        </w:tc>
        <w:tc>
          <w:tcPr>
            <w:tcW w:w="622" w:type="pct"/>
            <w:vAlign w:val="center"/>
          </w:tcPr>
          <w:p w14:paraId="0EAD5BAA">
            <w:pPr>
              <w:pStyle w:val="45"/>
              <w:rPr>
                <w:rFonts w:hint="default"/>
                <w:highlight w:val="none"/>
              </w:rPr>
            </w:pPr>
            <w:r>
              <w:rPr>
                <w:highlight w:val="none"/>
              </w:rPr>
              <w:t>/</w:t>
            </w:r>
          </w:p>
        </w:tc>
      </w:tr>
      <w:tr w14:paraId="352BB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0" w:type="dxa"/>
            <w:right w:w="15" w:type="dxa"/>
          </w:tblCellMar>
        </w:tblPrEx>
        <w:trPr>
          <w:trHeight w:val="510" w:hRule="atLeast"/>
          <w:jc w:val="center"/>
        </w:trPr>
        <w:tc>
          <w:tcPr>
            <w:tcW w:w="329" w:type="pct"/>
            <w:vMerge w:val="continue"/>
            <w:vAlign w:val="center"/>
          </w:tcPr>
          <w:p w14:paraId="166C81D2">
            <w:pPr>
              <w:pStyle w:val="45"/>
              <w:rPr>
                <w:rFonts w:hint="default"/>
                <w:highlight w:val="none"/>
              </w:rPr>
            </w:pPr>
          </w:p>
        </w:tc>
        <w:tc>
          <w:tcPr>
            <w:tcW w:w="563" w:type="pct"/>
            <w:vMerge w:val="continue"/>
            <w:vAlign w:val="center"/>
          </w:tcPr>
          <w:p w14:paraId="743D260E">
            <w:pPr>
              <w:pStyle w:val="45"/>
              <w:rPr>
                <w:rFonts w:hint="default"/>
                <w:highlight w:val="none"/>
              </w:rPr>
            </w:pPr>
          </w:p>
        </w:tc>
        <w:tc>
          <w:tcPr>
            <w:tcW w:w="460" w:type="pct"/>
            <w:vAlign w:val="center"/>
          </w:tcPr>
          <w:p w14:paraId="65D781CA">
            <w:pPr>
              <w:pStyle w:val="45"/>
              <w:rPr>
                <w:rFonts w:hint="default"/>
                <w:highlight w:val="none"/>
                <w:lang w:val="en-US" w:eastAsia="zh-CN"/>
              </w:rPr>
            </w:pPr>
            <w:r>
              <w:rPr>
                <w:rFonts w:hint="eastAsia"/>
                <w:highlight w:val="none"/>
                <w:lang w:val="en-US" w:eastAsia="zh-CN"/>
              </w:rPr>
              <w:t>樟木片区</w:t>
            </w:r>
          </w:p>
        </w:tc>
        <w:tc>
          <w:tcPr>
            <w:tcW w:w="460" w:type="pct"/>
            <w:vAlign w:val="center"/>
          </w:tcPr>
          <w:p w14:paraId="1B83A797">
            <w:pPr>
              <w:pStyle w:val="45"/>
              <w:rPr>
                <w:rFonts w:hint="default" w:eastAsia="宋体"/>
                <w:highlight w:val="none"/>
                <w:lang w:val="en-US" w:eastAsia="zh-CN"/>
              </w:rPr>
            </w:pPr>
            <w:r>
              <w:rPr>
                <w:rFonts w:hint="eastAsia"/>
                <w:highlight w:val="none"/>
                <w:lang w:val="en-US" w:eastAsia="zh-CN"/>
              </w:rPr>
              <w:t>区块五</w:t>
            </w:r>
          </w:p>
        </w:tc>
        <w:tc>
          <w:tcPr>
            <w:tcW w:w="489" w:type="pct"/>
            <w:vAlign w:val="center"/>
          </w:tcPr>
          <w:p w14:paraId="5B791300">
            <w:pPr>
              <w:pStyle w:val="45"/>
              <w:rPr>
                <w:rFonts w:hint="default" w:eastAsia="宋体"/>
                <w:highlight w:val="none"/>
                <w:lang w:val="en-US" w:eastAsia="zh-CN"/>
              </w:rPr>
            </w:pPr>
            <w:r>
              <w:rPr>
                <w:rFonts w:hint="eastAsia"/>
                <w:highlight w:val="none"/>
                <w:lang w:val="en-US" w:eastAsia="zh-CN"/>
              </w:rPr>
              <w:t>299.74</w:t>
            </w:r>
          </w:p>
        </w:tc>
        <w:tc>
          <w:tcPr>
            <w:tcW w:w="2075" w:type="pct"/>
            <w:vAlign w:val="center"/>
          </w:tcPr>
          <w:p w14:paraId="29303022">
            <w:pPr>
              <w:pStyle w:val="45"/>
              <w:rPr>
                <w:highlight w:val="none"/>
              </w:rPr>
            </w:pPr>
            <w:r>
              <w:rPr>
                <w:rFonts w:hint="eastAsia"/>
                <w:highlight w:val="none"/>
              </w:rPr>
              <w:t xml:space="preserve">东至京广高铁，西至 Y097 </w:t>
            </w:r>
            <w:r>
              <w:rPr>
                <w:rFonts w:hint="eastAsia"/>
                <w:highlight w:val="none"/>
                <w:lang w:val="en-US" w:eastAsia="zh-CN"/>
              </w:rPr>
              <w:t>乡</w:t>
            </w:r>
            <w:r>
              <w:rPr>
                <w:rFonts w:hint="eastAsia"/>
                <w:highlight w:val="none"/>
              </w:rPr>
              <w:t>道，南至螺丝塘，北至永升村附近</w:t>
            </w:r>
          </w:p>
        </w:tc>
        <w:tc>
          <w:tcPr>
            <w:tcW w:w="622" w:type="pct"/>
            <w:vAlign w:val="center"/>
          </w:tcPr>
          <w:p w14:paraId="01468E94">
            <w:pPr>
              <w:pStyle w:val="45"/>
              <w:rPr>
                <w:rFonts w:hint="eastAsia" w:eastAsia="宋体"/>
                <w:highlight w:val="none"/>
                <w:lang w:val="en-US" w:eastAsia="zh-CN"/>
              </w:rPr>
            </w:pPr>
            <w:r>
              <w:rPr>
                <w:rFonts w:hint="eastAsia"/>
                <w:highlight w:val="none"/>
                <w:lang w:val="en-US" w:eastAsia="zh-CN"/>
              </w:rPr>
              <w:t>/</w:t>
            </w:r>
          </w:p>
        </w:tc>
      </w:tr>
    </w:tbl>
    <w:p w14:paraId="0DCF6DF9">
      <w:pPr>
        <w:spacing w:line="240" w:lineRule="auto"/>
        <w:ind w:firstLine="480"/>
        <w:rPr>
          <w:rFonts w:hint="eastAsia"/>
          <w:highlight w:val="none"/>
        </w:rPr>
      </w:pPr>
    </w:p>
    <w:p w14:paraId="02EAE30D">
      <w:pPr>
        <w:ind w:firstLine="480"/>
        <w:rPr>
          <w:rFonts w:hint="eastAsia"/>
          <w:highlight w:val="none"/>
        </w:rPr>
      </w:pPr>
      <w:r>
        <w:rPr>
          <w:rFonts w:hint="eastAsia"/>
          <w:highlight w:val="none"/>
        </w:rPr>
        <w:t>根据上表可知，本项目位于松木经开区核准范围的区块一内，与《湖南省自然资源厅关于衡阳松木经济开发区调区扩区用地审核意见的函》相符。</w:t>
      </w:r>
    </w:p>
    <w:p w14:paraId="42EB63F0">
      <w:pPr>
        <w:pStyle w:val="5"/>
        <w:rPr>
          <w:color w:val="auto"/>
        </w:rPr>
      </w:pPr>
      <w:bookmarkStart w:id="22" w:name="_Toc31331"/>
      <w:r>
        <w:rPr>
          <w:rFonts w:hint="eastAsia"/>
          <w:color w:val="auto"/>
        </w:rPr>
        <w:t>与《高氯酸盐生产企业专项治理指导意见（暂行）》相符性分析</w:t>
      </w:r>
      <w:bookmarkEnd w:id="22"/>
    </w:p>
    <w:p w14:paraId="7DF7E242">
      <w:pPr>
        <w:pStyle w:val="43"/>
        <w:ind w:firstLine="482"/>
        <w:rPr>
          <w:rFonts w:hint="eastAsia"/>
        </w:rPr>
      </w:pPr>
      <w:r>
        <w:rPr>
          <w:rFonts w:hint="eastAsia"/>
          <w:lang w:val="en-US" w:eastAsia="zh-CN"/>
        </w:rPr>
        <w:t>与</w:t>
      </w:r>
      <w:r>
        <w:rPr>
          <w:rFonts w:hint="eastAsia"/>
        </w:rPr>
        <w:t>《高氯酸盐生产企业专项治理指导意见（暂行）》</w:t>
      </w:r>
      <w:r>
        <w:rPr>
          <w:rFonts w:hint="eastAsia"/>
          <w:lang w:val="en-US" w:eastAsia="zh-CN"/>
        </w:rPr>
        <w:t>相符性分析</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427"/>
        <w:gridCol w:w="636"/>
        <w:gridCol w:w="3170"/>
        <w:gridCol w:w="3499"/>
        <w:gridCol w:w="787"/>
      </w:tblGrid>
      <w:tr w14:paraId="22674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90" w:hRule="atLeast"/>
          <w:tblHeader/>
        </w:trPr>
        <w:tc>
          <w:tcPr>
            <w:tcW w:w="250" w:type="pct"/>
            <w:shd w:val="clear" w:color="auto" w:fill="auto"/>
            <w:vAlign w:val="center"/>
          </w:tcPr>
          <w:p w14:paraId="4ED19181">
            <w:pPr>
              <w:pStyle w:val="45"/>
              <w:keepNext w:val="0"/>
              <w:keepLines w:val="0"/>
              <w:widowControl/>
              <w:suppressLineNumbers w:val="0"/>
              <w:jc w:val="center"/>
              <w:textAlignment w:val="center"/>
              <w:rPr>
                <w:rFonts w:hint="eastAsia"/>
                <w:b/>
                <w:bCs/>
              </w:rPr>
            </w:pPr>
            <w:r>
              <w:rPr>
                <w:rFonts w:hint="eastAsia"/>
                <w:b/>
                <w:bCs/>
                <w:lang w:val="en-US" w:eastAsia="zh-CN"/>
              </w:rPr>
              <w:t>序号</w:t>
            </w:r>
          </w:p>
        </w:tc>
        <w:tc>
          <w:tcPr>
            <w:tcW w:w="2233" w:type="pct"/>
            <w:gridSpan w:val="2"/>
            <w:shd w:val="clear" w:color="auto" w:fill="auto"/>
            <w:vAlign w:val="center"/>
          </w:tcPr>
          <w:p w14:paraId="12632EBE">
            <w:pPr>
              <w:pStyle w:val="45"/>
              <w:keepNext w:val="0"/>
              <w:keepLines w:val="0"/>
              <w:widowControl/>
              <w:suppressLineNumbers w:val="0"/>
              <w:jc w:val="center"/>
              <w:textAlignment w:val="center"/>
              <w:rPr>
                <w:rFonts w:hint="eastAsia"/>
                <w:b/>
                <w:bCs/>
              </w:rPr>
            </w:pPr>
            <w:r>
              <w:rPr>
                <w:rFonts w:hint="eastAsia"/>
                <w:b/>
                <w:bCs/>
                <w:lang w:val="en-US" w:eastAsia="zh-CN"/>
              </w:rPr>
              <w:t>管理要求</w:t>
            </w:r>
          </w:p>
        </w:tc>
        <w:tc>
          <w:tcPr>
            <w:tcW w:w="2053" w:type="pct"/>
            <w:shd w:val="clear" w:color="auto" w:fill="auto"/>
            <w:vAlign w:val="center"/>
          </w:tcPr>
          <w:p w14:paraId="13FB8980">
            <w:pPr>
              <w:pStyle w:val="45"/>
              <w:keepNext w:val="0"/>
              <w:keepLines w:val="0"/>
              <w:widowControl/>
              <w:suppressLineNumbers w:val="0"/>
              <w:jc w:val="center"/>
              <w:textAlignment w:val="center"/>
              <w:rPr>
                <w:rFonts w:hint="eastAsia"/>
                <w:b/>
                <w:bCs/>
              </w:rPr>
            </w:pPr>
            <w:r>
              <w:rPr>
                <w:rFonts w:hint="eastAsia"/>
                <w:b/>
                <w:bCs/>
                <w:lang w:val="en-US" w:eastAsia="zh-CN"/>
              </w:rPr>
              <w:t>本项目</w:t>
            </w:r>
          </w:p>
        </w:tc>
        <w:tc>
          <w:tcPr>
            <w:tcW w:w="462" w:type="pct"/>
            <w:shd w:val="clear" w:color="auto" w:fill="auto"/>
            <w:vAlign w:val="center"/>
          </w:tcPr>
          <w:p w14:paraId="0FD80E82">
            <w:pPr>
              <w:pStyle w:val="45"/>
              <w:keepNext w:val="0"/>
              <w:keepLines w:val="0"/>
              <w:widowControl/>
              <w:suppressLineNumbers w:val="0"/>
              <w:jc w:val="center"/>
              <w:textAlignment w:val="center"/>
              <w:rPr>
                <w:rFonts w:hint="default"/>
                <w:b/>
                <w:bCs/>
                <w:lang w:val="en-US" w:eastAsia="zh-CN"/>
              </w:rPr>
            </w:pPr>
            <w:r>
              <w:rPr>
                <w:rFonts w:hint="eastAsia"/>
                <w:b/>
                <w:bCs/>
                <w:lang w:val="en-US" w:eastAsia="zh-CN"/>
              </w:rPr>
              <w:t>相符性</w:t>
            </w:r>
          </w:p>
        </w:tc>
      </w:tr>
      <w:tr w14:paraId="59578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32" w:hRule="atLeast"/>
        </w:trPr>
        <w:tc>
          <w:tcPr>
            <w:tcW w:w="250" w:type="pct"/>
            <w:shd w:val="clear" w:color="auto" w:fill="auto"/>
            <w:vAlign w:val="center"/>
          </w:tcPr>
          <w:p w14:paraId="406D6AFF">
            <w:pPr>
              <w:pStyle w:val="45"/>
              <w:keepNext w:val="0"/>
              <w:keepLines w:val="0"/>
              <w:widowControl/>
              <w:suppressLineNumbers w:val="0"/>
              <w:jc w:val="center"/>
              <w:textAlignment w:val="center"/>
              <w:rPr>
                <w:rFonts w:hint="eastAsia"/>
              </w:rPr>
            </w:pPr>
            <w:r>
              <w:rPr>
                <w:rFonts w:hint="eastAsia"/>
                <w:lang w:val="en-US" w:eastAsia="zh-CN"/>
              </w:rPr>
              <w:t>1</w:t>
            </w:r>
          </w:p>
        </w:tc>
        <w:tc>
          <w:tcPr>
            <w:tcW w:w="373" w:type="pct"/>
            <w:shd w:val="clear" w:color="auto" w:fill="auto"/>
            <w:vAlign w:val="center"/>
          </w:tcPr>
          <w:p w14:paraId="4FA1DEEB">
            <w:pPr>
              <w:pStyle w:val="45"/>
              <w:keepNext w:val="0"/>
              <w:keepLines w:val="0"/>
              <w:widowControl/>
              <w:suppressLineNumbers w:val="0"/>
              <w:jc w:val="center"/>
              <w:textAlignment w:val="center"/>
            </w:pPr>
            <w:r>
              <w:rPr>
                <w:rFonts w:hint="eastAsia"/>
                <w:lang w:val="en-US" w:eastAsia="zh-CN"/>
              </w:rPr>
              <w:t>原材料</w:t>
            </w:r>
          </w:p>
        </w:tc>
        <w:tc>
          <w:tcPr>
            <w:tcW w:w="1859" w:type="pct"/>
            <w:shd w:val="clear" w:color="auto" w:fill="auto"/>
            <w:vAlign w:val="center"/>
          </w:tcPr>
          <w:p w14:paraId="5A87EAEB">
            <w:pPr>
              <w:pStyle w:val="45"/>
              <w:keepNext w:val="0"/>
              <w:keepLines w:val="0"/>
              <w:widowControl/>
              <w:suppressLineNumbers w:val="0"/>
              <w:jc w:val="center"/>
              <w:textAlignment w:val="center"/>
              <w:rPr>
                <w:rFonts w:hint="eastAsia"/>
              </w:rPr>
            </w:pPr>
            <w:r>
              <w:rPr>
                <w:rFonts w:hint="eastAsia"/>
                <w:lang w:val="en-US" w:eastAsia="zh-CN"/>
              </w:rPr>
              <w:t>1、做好高氯酸盐危害及分类管理培训。2、建立高氯酸盐物料平衡管理制度并建立相关管理台账。3、生产车间员工在离岗前做好个人卫生，避免将高氯酸盐带离所在区域。4、在余废料处置过程中，严禁乱排乱倒乱弃, 严格按照固体废物管理要求规范化处置。</w:t>
            </w:r>
          </w:p>
        </w:tc>
        <w:tc>
          <w:tcPr>
            <w:tcW w:w="2053" w:type="pct"/>
            <w:shd w:val="clear" w:color="auto" w:fill="auto"/>
            <w:vAlign w:val="center"/>
          </w:tcPr>
          <w:p w14:paraId="1E997E59">
            <w:pPr>
              <w:pStyle w:val="45"/>
              <w:rPr>
                <w:rFonts w:hint="default" w:eastAsia="宋体"/>
                <w:lang w:val="en-US" w:eastAsia="zh-CN"/>
              </w:rPr>
            </w:pPr>
            <w:r>
              <w:rPr>
                <w:rFonts w:hint="eastAsia"/>
                <w:lang w:val="en-US" w:eastAsia="zh-CN"/>
              </w:rPr>
              <w:t>1、本项目建成后将成立环保机构，建立健全相关环保管理制度，做好人员培训，建立相关台账，固体废物均严格按照相关要求规范化处置。2、项目电解和复分解车间（含包装）进出口设置风淋系统、车间内设置单独的换鞋换衣区，员工进出更衣在车间内完成，衣物在车间内清洗，其他人员进出需要更换鞋套，避免将高氯酸盐带出车间。</w:t>
            </w:r>
          </w:p>
        </w:tc>
        <w:tc>
          <w:tcPr>
            <w:tcW w:w="462" w:type="pct"/>
            <w:shd w:val="clear" w:color="auto" w:fill="auto"/>
            <w:vAlign w:val="center"/>
          </w:tcPr>
          <w:p w14:paraId="2073BB2E">
            <w:pPr>
              <w:pStyle w:val="45"/>
              <w:rPr>
                <w:rFonts w:hint="default"/>
                <w:lang w:val="en-US" w:eastAsia="zh-CN"/>
              </w:rPr>
            </w:pPr>
            <w:r>
              <w:rPr>
                <w:rFonts w:hint="eastAsia"/>
                <w:lang w:val="en-US" w:eastAsia="zh-CN"/>
              </w:rPr>
              <w:t>符合</w:t>
            </w:r>
          </w:p>
        </w:tc>
      </w:tr>
      <w:tr w14:paraId="05445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3" w:hRule="atLeast"/>
        </w:trPr>
        <w:tc>
          <w:tcPr>
            <w:tcW w:w="250" w:type="pct"/>
            <w:shd w:val="clear" w:color="auto" w:fill="auto"/>
            <w:vAlign w:val="center"/>
          </w:tcPr>
          <w:p w14:paraId="5C6C6721">
            <w:pPr>
              <w:pStyle w:val="45"/>
              <w:keepNext w:val="0"/>
              <w:keepLines w:val="0"/>
              <w:widowControl/>
              <w:suppressLineNumbers w:val="0"/>
              <w:jc w:val="center"/>
              <w:textAlignment w:val="center"/>
              <w:rPr>
                <w:rFonts w:hint="eastAsia"/>
              </w:rPr>
            </w:pPr>
            <w:r>
              <w:rPr>
                <w:rFonts w:hint="eastAsia"/>
                <w:lang w:val="en-US" w:eastAsia="zh-CN"/>
              </w:rPr>
              <w:t>2</w:t>
            </w:r>
          </w:p>
        </w:tc>
        <w:tc>
          <w:tcPr>
            <w:tcW w:w="373" w:type="pct"/>
            <w:shd w:val="clear" w:color="auto" w:fill="auto"/>
            <w:vAlign w:val="center"/>
          </w:tcPr>
          <w:p w14:paraId="2327EBFB">
            <w:pPr>
              <w:pStyle w:val="45"/>
              <w:keepNext w:val="0"/>
              <w:keepLines w:val="0"/>
              <w:widowControl/>
              <w:suppressLineNumbers w:val="0"/>
              <w:jc w:val="center"/>
              <w:textAlignment w:val="center"/>
              <w:rPr>
                <w:rFonts w:hint="eastAsia"/>
              </w:rPr>
            </w:pPr>
            <w:r>
              <w:rPr>
                <w:rFonts w:hint="eastAsia"/>
                <w:lang w:val="en-US" w:eastAsia="zh-CN"/>
              </w:rPr>
              <w:t>电解过程</w:t>
            </w:r>
          </w:p>
        </w:tc>
        <w:tc>
          <w:tcPr>
            <w:tcW w:w="1859" w:type="pct"/>
            <w:shd w:val="clear" w:color="auto" w:fill="auto"/>
            <w:vAlign w:val="center"/>
          </w:tcPr>
          <w:p w14:paraId="6E737546">
            <w:pPr>
              <w:pStyle w:val="45"/>
              <w:keepNext w:val="0"/>
              <w:keepLines w:val="0"/>
              <w:widowControl/>
              <w:suppressLineNumbers w:val="0"/>
              <w:jc w:val="center"/>
              <w:textAlignment w:val="center"/>
              <w:rPr>
                <w:rFonts w:hint="eastAsia"/>
              </w:rPr>
            </w:pPr>
            <w:r>
              <w:rPr>
                <w:rFonts w:hint="eastAsia"/>
                <w:lang w:val="en-US" w:eastAsia="zh-CN"/>
              </w:rPr>
              <w:t>1、电解母液及复分解母液应循环使用。2、电解车间设置废水收集沟，避免废弃电极清洗水、地面冲洗水等外溢。废水收集沟要做防渗处理。3、做好电解车间冷却水管与电解槽接口定期维护检修，防止高氯酸盐进入冷却水。定期清理电解槽上析出盐，防止掉落地面。4、电解车间地面应采取防渗、防漏和防腐措施，定期检测电解槽渗漏情况。</w:t>
            </w:r>
          </w:p>
        </w:tc>
        <w:tc>
          <w:tcPr>
            <w:tcW w:w="2053" w:type="pct"/>
            <w:shd w:val="clear" w:color="auto" w:fill="auto"/>
            <w:vAlign w:val="center"/>
          </w:tcPr>
          <w:p w14:paraId="30EB6473">
            <w:pPr>
              <w:pStyle w:val="45"/>
              <w:rPr>
                <w:rFonts w:hint="default" w:eastAsia="宋体"/>
                <w:lang w:val="en-US" w:eastAsia="zh-CN"/>
              </w:rPr>
            </w:pPr>
            <w:r>
              <w:rPr>
                <w:rFonts w:hint="eastAsia"/>
                <w:lang w:val="en-US" w:eastAsia="zh-CN"/>
              </w:rPr>
              <w:t>1、本项目生产母液全部循环回用与生产。2、电解车间内按要求设置废水收集沟，可防止各类废水外溢。3、企业按要求对冷却水系统进行检修，防止高氯酸盐进入冷却水。4、生产车间、废水站等采取严格且可行有效的防渗防漏措施，正常情况下，能够切断渗漏途径。</w:t>
            </w:r>
          </w:p>
        </w:tc>
        <w:tc>
          <w:tcPr>
            <w:tcW w:w="462" w:type="pct"/>
            <w:shd w:val="clear" w:color="auto" w:fill="auto"/>
            <w:vAlign w:val="center"/>
          </w:tcPr>
          <w:p w14:paraId="7FC8C3D6">
            <w:pPr>
              <w:pStyle w:val="45"/>
              <w:rPr>
                <w:rFonts w:hint="eastAsia"/>
              </w:rPr>
            </w:pPr>
            <w:r>
              <w:rPr>
                <w:rFonts w:hint="eastAsia"/>
                <w:lang w:val="en-US" w:eastAsia="zh-CN"/>
              </w:rPr>
              <w:t>符合</w:t>
            </w:r>
          </w:p>
        </w:tc>
      </w:tr>
      <w:tr w14:paraId="06349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250" w:type="pct"/>
            <w:shd w:val="clear" w:color="auto" w:fill="auto"/>
            <w:vAlign w:val="center"/>
          </w:tcPr>
          <w:p w14:paraId="2ECF7581">
            <w:pPr>
              <w:pStyle w:val="45"/>
              <w:keepNext w:val="0"/>
              <w:keepLines w:val="0"/>
              <w:widowControl/>
              <w:suppressLineNumbers w:val="0"/>
              <w:jc w:val="center"/>
              <w:textAlignment w:val="center"/>
              <w:rPr>
                <w:rFonts w:hint="eastAsia"/>
              </w:rPr>
            </w:pPr>
            <w:r>
              <w:rPr>
                <w:rFonts w:hint="eastAsia"/>
                <w:lang w:val="en-US" w:eastAsia="zh-CN"/>
              </w:rPr>
              <w:t>3</w:t>
            </w:r>
          </w:p>
        </w:tc>
        <w:tc>
          <w:tcPr>
            <w:tcW w:w="373" w:type="pct"/>
            <w:shd w:val="clear" w:color="auto" w:fill="auto"/>
            <w:vAlign w:val="center"/>
          </w:tcPr>
          <w:p w14:paraId="3EB3DB63">
            <w:pPr>
              <w:pStyle w:val="45"/>
              <w:keepNext w:val="0"/>
              <w:keepLines w:val="0"/>
              <w:widowControl/>
              <w:suppressLineNumbers w:val="0"/>
              <w:jc w:val="center"/>
              <w:textAlignment w:val="center"/>
              <w:rPr>
                <w:rFonts w:hint="eastAsia"/>
              </w:rPr>
            </w:pPr>
            <w:r>
              <w:rPr>
                <w:rFonts w:hint="eastAsia"/>
                <w:lang w:val="en-US" w:eastAsia="zh-CN"/>
              </w:rPr>
              <w:t>包装过程</w:t>
            </w:r>
          </w:p>
        </w:tc>
        <w:tc>
          <w:tcPr>
            <w:tcW w:w="1859" w:type="pct"/>
            <w:shd w:val="clear" w:color="auto" w:fill="auto"/>
            <w:vAlign w:val="center"/>
          </w:tcPr>
          <w:p w14:paraId="0ABB1D78">
            <w:pPr>
              <w:pStyle w:val="45"/>
              <w:keepNext w:val="0"/>
              <w:keepLines w:val="0"/>
              <w:widowControl/>
              <w:suppressLineNumbers w:val="0"/>
              <w:jc w:val="center"/>
              <w:textAlignment w:val="center"/>
              <w:rPr>
                <w:rFonts w:hint="eastAsia"/>
              </w:rPr>
            </w:pPr>
            <w:r>
              <w:rPr>
                <w:rFonts w:hint="eastAsia"/>
                <w:lang w:val="en-US" w:eastAsia="zh-CN"/>
              </w:rPr>
              <w:t>1、高氯酸盐烘干及破碎工段废气收集系统应稳定运行，包装车间地面应定期清扫，避免含高氯酸盐粉尘逸散。2、包装车间设置废水收集沟，避免冲洗水外溢。废水收集沟要做防渗处理。废水收集沟应设置沟沿，防止地表水流入。</w:t>
            </w:r>
          </w:p>
        </w:tc>
        <w:tc>
          <w:tcPr>
            <w:tcW w:w="2053" w:type="pct"/>
            <w:shd w:val="clear" w:color="auto" w:fill="auto"/>
            <w:vAlign w:val="center"/>
          </w:tcPr>
          <w:p w14:paraId="03E97B4E">
            <w:pPr>
              <w:pStyle w:val="45"/>
              <w:rPr>
                <w:rFonts w:hint="default" w:eastAsia="宋体"/>
                <w:lang w:val="en-US" w:eastAsia="zh-CN"/>
              </w:rPr>
            </w:pPr>
            <w:r>
              <w:rPr>
                <w:rFonts w:hint="eastAsia"/>
                <w:lang w:val="en-US" w:eastAsia="zh-CN"/>
              </w:rPr>
              <w:t>本项目包装区域定期清扫，厂房内设置有废水收集沟，厂房内设置废水收集池。</w:t>
            </w:r>
          </w:p>
        </w:tc>
        <w:tc>
          <w:tcPr>
            <w:tcW w:w="462" w:type="pct"/>
            <w:shd w:val="clear" w:color="auto" w:fill="auto"/>
            <w:vAlign w:val="center"/>
          </w:tcPr>
          <w:p w14:paraId="1241A232">
            <w:pPr>
              <w:pStyle w:val="45"/>
              <w:rPr>
                <w:rFonts w:hint="eastAsia"/>
              </w:rPr>
            </w:pPr>
            <w:r>
              <w:rPr>
                <w:rFonts w:hint="eastAsia"/>
                <w:lang w:val="en-US" w:eastAsia="zh-CN"/>
              </w:rPr>
              <w:t>符合</w:t>
            </w:r>
          </w:p>
        </w:tc>
      </w:tr>
      <w:tr w14:paraId="6EE0D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072" w:hRule="atLeast"/>
        </w:trPr>
        <w:tc>
          <w:tcPr>
            <w:tcW w:w="250" w:type="pct"/>
            <w:shd w:val="clear" w:color="auto" w:fill="auto"/>
            <w:vAlign w:val="center"/>
          </w:tcPr>
          <w:p w14:paraId="762A4D2C">
            <w:pPr>
              <w:pStyle w:val="45"/>
              <w:keepNext w:val="0"/>
              <w:keepLines w:val="0"/>
              <w:widowControl/>
              <w:suppressLineNumbers w:val="0"/>
              <w:jc w:val="center"/>
              <w:textAlignment w:val="center"/>
              <w:rPr>
                <w:rFonts w:hint="eastAsia"/>
              </w:rPr>
            </w:pPr>
            <w:r>
              <w:rPr>
                <w:rFonts w:hint="eastAsia"/>
                <w:lang w:val="en-US" w:eastAsia="zh-CN"/>
              </w:rPr>
              <w:t>4</w:t>
            </w:r>
          </w:p>
        </w:tc>
        <w:tc>
          <w:tcPr>
            <w:tcW w:w="373" w:type="pct"/>
            <w:shd w:val="clear" w:color="auto" w:fill="auto"/>
            <w:vAlign w:val="center"/>
          </w:tcPr>
          <w:p w14:paraId="10AA2E26">
            <w:pPr>
              <w:pStyle w:val="45"/>
              <w:keepNext w:val="0"/>
              <w:keepLines w:val="0"/>
              <w:widowControl/>
              <w:suppressLineNumbers w:val="0"/>
              <w:jc w:val="center"/>
              <w:textAlignment w:val="center"/>
              <w:rPr>
                <w:rFonts w:hint="eastAsia"/>
              </w:rPr>
            </w:pPr>
            <w:r>
              <w:rPr>
                <w:rFonts w:hint="eastAsia"/>
                <w:lang w:val="en-US" w:eastAsia="zh-CN"/>
              </w:rPr>
              <w:t>废水、冷却水收集处理</w:t>
            </w:r>
          </w:p>
        </w:tc>
        <w:tc>
          <w:tcPr>
            <w:tcW w:w="1859" w:type="pct"/>
            <w:shd w:val="clear" w:color="auto" w:fill="auto"/>
            <w:vAlign w:val="center"/>
          </w:tcPr>
          <w:p w14:paraId="624E9623">
            <w:pPr>
              <w:pStyle w:val="45"/>
              <w:keepNext w:val="0"/>
              <w:keepLines w:val="0"/>
              <w:widowControl/>
              <w:suppressLineNumbers w:val="0"/>
              <w:jc w:val="center"/>
              <w:textAlignment w:val="center"/>
              <w:rPr>
                <w:rFonts w:hint="eastAsia"/>
              </w:rPr>
            </w:pPr>
            <w:r>
              <w:rPr>
                <w:rFonts w:hint="eastAsia"/>
                <w:lang w:val="en-US" w:eastAsia="zh-CN"/>
              </w:rPr>
              <w:t>1、企业应根据规范建立废水收集池、事故应急池，并做好防雨防渗，废水处理后回用相关生产工序，实现零排放。废水收集池应设置池沿，防止地表水流入。2、压滤车间应单独设置废水收集系统，并防止滤布冲洗水、地面冲洗水外溢。3、冷却水和其他生产废水应通过管道分开收集，防止原材料及粉尘进入冷却水，冷却水应定期检测高氯酸盐浓度。4、厂区出口设置进出车辆清洗装置，轮胎清洗水应进入废水收集池处理，避免外排。</w:t>
            </w:r>
          </w:p>
        </w:tc>
        <w:tc>
          <w:tcPr>
            <w:tcW w:w="2053" w:type="pct"/>
            <w:shd w:val="clear" w:color="auto" w:fill="auto"/>
            <w:vAlign w:val="center"/>
          </w:tcPr>
          <w:p w14:paraId="0C1B83D0">
            <w:pPr>
              <w:pStyle w:val="45"/>
              <w:rPr>
                <w:rFonts w:hint="default" w:eastAsia="宋体"/>
                <w:lang w:val="en-US" w:eastAsia="zh-CN"/>
              </w:rPr>
            </w:pPr>
            <w:r>
              <w:rPr>
                <w:rFonts w:hint="eastAsia"/>
                <w:lang w:val="en-US" w:eastAsia="zh-CN"/>
              </w:rPr>
              <w:t>1、本项目设置有初期雨水池、事故应急池、废水处理池，并按相关要求进行防腐防渗；2、压滤车间废水单独收集，车间设置收集沟和收集池；3、冷却水为间接冷却，环评要求其定期按相关要求监测高氯酸根，如浓度较高，进入废水处理站处理后回用于生产补水；4、进出车辆要求清洗轮胎，清洗废水收集处理后回用于生产补水，不外排。因此，正常生产期间，除生活废水外其他废水全部回用于生产，能够实现零排放。</w:t>
            </w:r>
          </w:p>
        </w:tc>
        <w:tc>
          <w:tcPr>
            <w:tcW w:w="462" w:type="pct"/>
            <w:shd w:val="clear" w:color="auto" w:fill="auto"/>
            <w:vAlign w:val="center"/>
          </w:tcPr>
          <w:p w14:paraId="437DD7D1">
            <w:pPr>
              <w:pStyle w:val="45"/>
              <w:rPr>
                <w:rFonts w:hint="eastAsia"/>
              </w:rPr>
            </w:pPr>
            <w:r>
              <w:rPr>
                <w:rFonts w:hint="eastAsia"/>
                <w:lang w:val="en-US" w:eastAsia="zh-CN"/>
              </w:rPr>
              <w:t>符合</w:t>
            </w:r>
          </w:p>
        </w:tc>
      </w:tr>
      <w:tr w14:paraId="66639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94" w:hRule="atLeast"/>
        </w:trPr>
        <w:tc>
          <w:tcPr>
            <w:tcW w:w="250" w:type="pct"/>
            <w:shd w:val="clear" w:color="auto" w:fill="auto"/>
            <w:vAlign w:val="center"/>
          </w:tcPr>
          <w:p w14:paraId="646614A0">
            <w:pPr>
              <w:pStyle w:val="45"/>
              <w:keepNext w:val="0"/>
              <w:keepLines w:val="0"/>
              <w:widowControl/>
              <w:suppressLineNumbers w:val="0"/>
              <w:jc w:val="center"/>
              <w:textAlignment w:val="center"/>
              <w:rPr>
                <w:rFonts w:hint="eastAsia"/>
              </w:rPr>
            </w:pPr>
            <w:r>
              <w:rPr>
                <w:rFonts w:hint="eastAsia"/>
                <w:lang w:val="en-US" w:eastAsia="zh-CN"/>
              </w:rPr>
              <w:t>5</w:t>
            </w:r>
          </w:p>
        </w:tc>
        <w:tc>
          <w:tcPr>
            <w:tcW w:w="373" w:type="pct"/>
            <w:shd w:val="clear" w:color="auto" w:fill="auto"/>
            <w:vAlign w:val="center"/>
          </w:tcPr>
          <w:p w14:paraId="3C475CB2">
            <w:pPr>
              <w:pStyle w:val="45"/>
              <w:keepNext w:val="0"/>
              <w:keepLines w:val="0"/>
              <w:widowControl/>
              <w:suppressLineNumbers w:val="0"/>
              <w:jc w:val="center"/>
              <w:textAlignment w:val="center"/>
              <w:rPr>
                <w:rFonts w:hint="eastAsia"/>
              </w:rPr>
            </w:pPr>
            <w:r>
              <w:rPr>
                <w:rFonts w:hint="eastAsia"/>
                <w:lang w:val="en-US" w:eastAsia="zh-CN"/>
              </w:rPr>
              <w:t>雨水收集处理</w:t>
            </w:r>
          </w:p>
        </w:tc>
        <w:tc>
          <w:tcPr>
            <w:tcW w:w="1859" w:type="pct"/>
            <w:shd w:val="clear" w:color="auto" w:fill="auto"/>
            <w:vAlign w:val="center"/>
          </w:tcPr>
          <w:p w14:paraId="33A1EBA5">
            <w:pPr>
              <w:pStyle w:val="45"/>
              <w:keepNext w:val="0"/>
              <w:keepLines w:val="0"/>
              <w:widowControl/>
              <w:suppressLineNumbers w:val="0"/>
              <w:jc w:val="center"/>
              <w:textAlignment w:val="center"/>
              <w:rPr>
                <w:rFonts w:hint="eastAsia"/>
              </w:rPr>
            </w:pPr>
            <w:r>
              <w:rPr>
                <w:rFonts w:hint="eastAsia"/>
                <w:lang w:val="en-US" w:eastAsia="zh-CN"/>
              </w:rPr>
              <w:t>1、企业内部应做好雨污分流，严禁电解、包装等车间高浓度废水进入雨水系统。2、厂区要设置初期雨水收集设施，并按照降水深度30mm收集初期雨水。初期雨水经处理后回用，做到零排放。3、企业外排雨水应加强高氯酸盐监测，问题严重的要及时排查原因并进行整改。</w:t>
            </w:r>
          </w:p>
        </w:tc>
        <w:tc>
          <w:tcPr>
            <w:tcW w:w="2053" w:type="pct"/>
            <w:shd w:val="clear" w:color="auto" w:fill="auto"/>
            <w:vAlign w:val="center"/>
          </w:tcPr>
          <w:p w14:paraId="7B4A0AE0">
            <w:pPr>
              <w:pStyle w:val="45"/>
              <w:rPr>
                <w:rFonts w:hint="default" w:eastAsia="宋体"/>
                <w:lang w:val="en-US" w:eastAsia="zh-CN"/>
              </w:rPr>
            </w:pPr>
            <w:r>
              <w:rPr>
                <w:rFonts w:hint="eastAsia"/>
                <w:lang w:val="en-US" w:eastAsia="zh-CN"/>
              </w:rPr>
              <w:t>1、本项目实行雨污分流，电解和复分解车间地面清洗废水在车间内收集，经处理回用，不外排；2、厂区内设有初期雨水收集池，初期雨水按30mm收集，生产期间，初期雨水收集后经厂区废水站处理后回用于生产，非生产期间，初期雨水经废水站处理达标后排入园区污水处理厂。3、企业后期雨水排放需要按要求进行监控高氯酸盐，达标后方能外排。</w:t>
            </w:r>
          </w:p>
        </w:tc>
        <w:tc>
          <w:tcPr>
            <w:tcW w:w="462" w:type="pct"/>
            <w:shd w:val="clear" w:color="auto" w:fill="auto"/>
            <w:vAlign w:val="center"/>
          </w:tcPr>
          <w:p w14:paraId="71F13567">
            <w:pPr>
              <w:pStyle w:val="45"/>
              <w:rPr>
                <w:rFonts w:hint="eastAsia"/>
              </w:rPr>
            </w:pPr>
            <w:r>
              <w:rPr>
                <w:rFonts w:hint="eastAsia"/>
                <w:lang w:val="en-US" w:eastAsia="zh-CN"/>
              </w:rPr>
              <w:t>符合</w:t>
            </w:r>
          </w:p>
        </w:tc>
      </w:tr>
      <w:tr w14:paraId="5ECFD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6" w:hRule="atLeast"/>
        </w:trPr>
        <w:tc>
          <w:tcPr>
            <w:tcW w:w="250" w:type="pct"/>
            <w:shd w:val="clear" w:color="auto" w:fill="auto"/>
            <w:vAlign w:val="center"/>
          </w:tcPr>
          <w:p w14:paraId="434998BA">
            <w:pPr>
              <w:pStyle w:val="45"/>
              <w:keepNext w:val="0"/>
              <w:keepLines w:val="0"/>
              <w:widowControl/>
              <w:suppressLineNumbers w:val="0"/>
              <w:jc w:val="center"/>
              <w:textAlignment w:val="center"/>
              <w:rPr>
                <w:rFonts w:hint="eastAsia"/>
              </w:rPr>
            </w:pPr>
            <w:r>
              <w:rPr>
                <w:rFonts w:hint="eastAsia"/>
                <w:lang w:val="en-US" w:eastAsia="zh-CN"/>
              </w:rPr>
              <w:t>6</w:t>
            </w:r>
          </w:p>
        </w:tc>
        <w:tc>
          <w:tcPr>
            <w:tcW w:w="373" w:type="pct"/>
            <w:shd w:val="clear" w:color="auto" w:fill="auto"/>
            <w:vAlign w:val="center"/>
          </w:tcPr>
          <w:p w14:paraId="154A3FB8">
            <w:pPr>
              <w:pStyle w:val="45"/>
              <w:keepNext w:val="0"/>
              <w:keepLines w:val="0"/>
              <w:widowControl/>
              <w:suppressLineNumbers w:val="0"/>
              <w:jc w:val="center"/>
              <w:textAlignment w:val="center"/>
              <w:rPr>
                <w:rFonts w:hint="eastAsia"/>
              </w:rPr>
            </w:pPr>
            <w:r>
              <w:rPr>
                <w:rFonts w:hint="eastAsia"/>
                <w:lang w:val="en-US" w:eastAsia="zh-CN"/>
              </w:rPr>
              <w:t>涉高氯酸盐固体废物</w:t>
            </w:r>
          </w:p>
        </w:tc>
        <w:tc>
          <w:tcPr>
            <w:tcW w:w="1859" w:type="pct"/>
            <w:shd w:val="clear" w:color="auto" w:fill="auto"/>
            <w:vAlign w:val="center"/>
          </w:tcPr>
          <w:p w14:paraId="4852891B">
            <w:pPr>
              <w:pStyle w:val="45"/>
              <w:keepNext w:val="0"/>
              <w:keepLines w:val="0"/>
              <w:widowControl/>
              <w:suppressLineNumbers w:val="0"/>
              <w:jc w:val="center"/>
              <w:textAlignment w:val="center"/>
              <w:rPr>
                <w:rFonts w:hint="eastAsia"/>
              </w:rPr>
            </w:pPr>
            <w:r>
              <w:rPr>
                <w:rFonts w:hint="eastAsia"/>
                <w:lang w:val="en-US" w:eastAsia="zh-CN"/>
              </w:rPr>
              <w:t>1、电解车间废弃电极清洗后应集中储存。2、对含高氯酸盐生产固废、其他生产固废和生活垃圾分类管理，涉高氯酸盐固体废物应单独存储。3、单独设置防渗、防雨、防晒固废库房，用于暂存含高氯酸盐固体废物，并满足应急管理部门相关要求。</w:t>
            </w:r>
          </w:p>
        </w:tc>
        <w:tc>
          <w:tcPr>
            <w:tcW w:w="2053" w:type="pct"/>
            <w:shd w:val="clear" w:color="auto" w:fill="auto"/>
            <w:vAlign w:val="center"/>
          </w:tcPr>
          <w:p w14:paraId="60230A66">
            <w:pPr>
              <w:pStyle w:val="45"/>
              <w:rPr>
                <w:rFonts w:hint="default" w:eastAsia="宋体"/>
                <w:lang w:val="en-US" w:eastAsia="zh-CN"/>
              </w:rPr>
            </w:pPr>
            <w:r>
              <w:rPr>
                <w:rFonts w:hint="eastAsia"/>
                <w:lang w:val="en-US" w:eastAsia="zh-CN"/>
              </w:rPr>
              <w:t>1、电解车间废弃电极清洗后集中储存。2、涉及高氯酸盐的固废单独储存，避免交叉污染。3、本项固废暂存间、危废暂存间，固体废物分类收集后存，并严格执行防渗、防漏、防雨、防晒等相关要求。</w:t>
            </w:r>
          </w:p>
        </w:tc>
        <w:tc>
          <w:tcPr>
            <w:tcW w:w="462" w:type="pct"/>
            <w:shd w:val="clear" w:color="auto" w:fill="auto"/>
            <w:vAlign w:val="center"/>
          </w:tcPr>
          <w:p w14:paraId="21690335">
            <w:pPr>
              <w:pStyle w:val="45"/>
              <w:rPr>
                <w:rFonts w:hint="eastAsia"/>
              </w:rPr>
            </w:pPr>
            <w:r>
              <w:rPr>
                <w:rFonts w:hint="eastAsia"/>
                <w:lang w:val="en-US" w:eastAsia="zh-CN"/>
              </w:rPr>
              <w:t>符合</w:t>
            </w:r>
          </w:p>
        </w:tc>
      </w:tr>
      <w:tr w14:paraId="7E7A2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3" w:hRule="atLeast"/>
        </w:trPr>
        <w:tc>
          <w:tcPr>
            <w:tcW w:w="250" w:type="pct"/>
            <w:shd w:val="clear" w:color="auto" w:fill="auto"/>
            <w:vAlign w:val="center"/>
          </w:tcPr>
          <w:p w14:paraId="1B9B3293">
            <w:pPr>
              <w:pStyle w:val="45"/>
              <w:keepNext w:val="0"/>
              <w:keepLines w:val="0"/>
              <w:widowControl/>
              <w:suppressLineNumbers w:val="0"/>
              <w:jc w:val="center"/>
              <w:textAlignment w:val="center"/>
              <w:rPr>
                <w:rFonts w:hint="eastAsia"/>
              </w:rPr>
            </w:pPr>
            <w:r>
              <w:rPr>
                <w:rFonts w:hint="eastAsia"/>
                <w:lang w:val="en-US" w:eastAsia="zh-CN"/>
              </w:rPr>
              <w:t>7</w:t>
            </w:r>
          </w:p>
        </w:tc>
        <w:tc>
          <w:tcPr>
            <w:tcW w:w="373" w:type="pct"/>
            <w:shd w:val="clear" w:color="auto" w:fill="auto"/>
            <w:vAlign w:val="center"/>
          </w:tcPr>
          <w:p w14:paraId="0C32AE04">
            <w:pPr>
              <w:pStyle w:val="45"/>
              <w:keepNext w:val="0"/>
              <w:keepLines w:val="0"/>
              <w:widowControl/>
              <w:suppressLineNumbers w:val="0"/>
              <w:jc w:val="center"/>
              <w:textAlignment w:val="center"/>
              <w:rPr>
                <w:rFonts w:hint="eastAsia"/>
              </w:rPr>
            </w:pPr>
            <w:r>
              <w:rPr>
                <w:rFonts w:hint="eastAsia"/>
                <w:lang w:val="en-US" w:eastAsia="zh-CN"/>
              </w:rPr>
              <w:t>监测监管</w:t>
            </w:r>
          </w:p>
        </w:tc>
        <w:tc>
          <w:tcPr>
            <w:tcW w:w="1859" w:type="pct"/>
            <w:shd w:val="clear" w:color="auto" w:fill="auto"/>
            <w:vAlign w:val="center"/>
          </w:tcPr>
          <w:p w14:paraId="458B25B2">
            <w:pPr>
              <w:pStyle w:val="45"/>
              <w:keepNext w:val="0"/>
              <w:keepLines w:val="0"/>
              <w:widowControl/>
              <w:suppressLineNumbers w:val="0"/>
              <w:jc w:val="center"/>
              <w:textAlignment w:val="center"/>
              <w:rPr>
                <w:rFonts w:hint="eastAsia"/>
              </w:rPr>
            </w:pPr>
            <w:r>
              <w:rPr>
                <w:rFonts w:hint="eastAsia"/>
                <w:lang w:val="en-US" w:eastAsia="zh-CN"/>
              </w:rPr>
              <w:t>1、企业应建立涉高氯酸盐风险管理制度、环境监测计划及应急处置措施，严格按照《排污许可证申请与核发技术规范 无机化学工业》（HJ 1035-2019）规定频次对企业外排雨水中高氯酸盐浓度进行监测。2、属地生态环境部门监督性监测每年不少于两次，同步对企业下游水体、周边山塘等进行监测。发现异常，要通知企业立即采取应急措施，消除异常情况。</w:t>
            </w:r>
          </w:p>
        </w:tc>
        <w:tc>
          <w:tcPr>
            <w:tcW w:w="2053" w:type="pct"/>
            <w:shd w:val="clear" w:color="auto" w:fill="auto"/>
            <w:vAlign w:val="center"/>
          </w:tcPr>
          <w:p w14:paraId="5771790F">
            <w:pPr>
              <w:pStyle w:val="45"/>
              <w:rPr>
                <w:rFonts w:hint="default" w:eastAsia="宋体"/>
                <w:lang w:val="en-US" w:eastAsia="zh-CN"/>
              </w:rPr>
            </w:pPr>
            <w:r>
              <w:rPr>
                <w:rFonts w:hint="eastAsia"/>
                <w:lang w:val="en-US" w:eastAsia="zh-CN"/>
              </w:rPr>
              <w:t>项目建成后建立健全相关环境管理制度及并编制应急预案并按要求申请排污许可证，厂区后期雨水排口、生活污水排口、非生产期间废水排口的监测因子中包含高氯酸根。</w:t>
            </w:r>
          </w:p>
        </w:tc>
        <w:tc>
          <w:tcPr>
            <w:tcW w:w="462" w:type="pct"/>
            <w:shd w:val="clear" w:color="auto" w:fill="auto"/>
            <w:vAlign w:val="center"/>
          </w:tcPr>
          <w:p w14:paraId="681B85EE">
            <w:pPr>
              <w:pStyle w:val="45"/>
              <w:rPr>
                <w:rFonts w:hint="eastAsia"/>
              </w:rPr>
            </w:pPr>
            <w:r>
              <w:rPr>
                <w:rFonts w:hint="eastAsia"/>
                <w:lang w:val="en-US" w:eastAsia="zh-CN"/>
              </w:rPr>
              <w:t>符合</w:t>
            </w:r>
          </w:p>
        </w:tc>
      </w:tr>
      <w:tr w14:paraId="69954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8" w:hRule="atLeast"/>
        </w:trPr>
        <w:tc>
          <w:tcPr>
            <w:tcW w:w="250" w:type="pct"/>
            <w:shd w:val="clear" w:color="auto" w:fill="auto"/>
            <w:vAlign w:val="center"/>
          </w:tcPr>
          <w:p w14:paraId="4F2CA1CE">
            <w:pPr>
              <w:pStyle w:val="45"/>
              <w:keepNext w:val="0"/>
              <w:keepLines w:val="0"/>
              <w:widowControl/>
              <w:suppressLineNumbers w:val="0"/>
              <w:jc w:val="center"/>
              <w:textAlignment w:val="center"/>
              <w:rPr>
                <w:rFonts w:hint="eastAsia"/>
              </w:rPr>
            </w:pPr>
            <w:r>
              <w:rPr>
                <w:rFonts w:hint="eastAsia"/>
                <w:lang w:val="en-US" w:eastAsia="zh-CN"/>
              </w:rPr>
              <w:t>8</w:t>
            </w:r>
          </w:p>
        </w:tc>
        <w:tc>
          <w:tcPr>
            <w:tcW w:w="373" w:type="pct"/>
            <w:shd w:val="clear" w:color="auto" w:fill="auto"/>
            <w:vAlign w:val="center"/>
          </w:tcPr>
          <w:p w14:paraId="75376F82">
            <w:pPr>
              <w:pStyle w:val="45"/>
              <w:keepNext w:val="0"/>
              <w:keepLines w:val="0"/>
              <w:widowControl/>
              <w:suppressLineNumbers w:val="0"/>
              <w:jc w:val="center"/>
              <w:textAlignment w:val="center"/>
              <w:rPr>
                <w:rFonts w:hint="eastAsia"/>
              </w:rPr>
            </w:pPr>
            <w:r>
              <w:rPr>
                <w:rFonts w:hint="eastAsia"/>
                <w:lang w:val="en-US" w:eastAsia="zh-CN"/>
              </w:rPr>
              <w:t>施工安全</w:t>
            </w:r>
          </w:p>
        </w:tc>
        <w:tc>
          <w:tcPr>
            <w:tcW w:w="1859" w:type="pct"/>
            <w:shd w:val="clear" w:color="auto" w:fill="auto"/>
            <w:vAlign w:val="center"/>
          </w:tcPr>
          <w:p w14:paraId="6083B998">
            <w:pPr>
              <w:pStyle w:val="45"/>
              <w:keepNext w:val="0"/>
              <w:keepLines w:val="0"/>
              <w:widowControl/>
              <w:suppressLineNumbers w:val="0"/>
              <w:jc w:val="center"/>
              <w:textAlignment w:val="center"/>
              <w:rPr>
                <w:rFonts w:hint="eastAsia"/>
              </w:rPr>
            </w:pPr>
            <w:r>
              <w:rPr>
                <w:rFonts w:hint="eastAsia"/>
                <w:lang w:val="en-US" w:eastAsia="zh-CN"/>
              </w:rPr>
              <w:t>1、施工时相关生产线应停止生产作业，清除施工区域内所有药物、含药半成品、在制品。2、施工过程涉及到动火、用电、切割、高空、有限空间等作业行为应严格按照危险作业制度要求进行管理。</w:t>
            </w:r>
          </w:p>
        </w:tc>
        <w:tc>
          <w:tcPr>
            <w:tcW w:w="2053" w:type="pct"/>
            <w:shd w:val="clear" w:color="auto" w:fill="auto"/>
            <w:vAlign w:val="center"/>
          </w:tcPr>
          <w:p w14:paraId="0DE0FF0F">
            <w:pPr>
              <w:pStyle w:val="45"/>
              <w:rPr>
                <w:rFonts w:hint="default" w:eastAsia="宋体"/>
                <w:lang w:val="en-US" w:eastAsia="zh-CN"/>
              </w:rPr>
            </w:pPr>
            <w:r>
              <w:rPr>
                <w:rFonts w:hint="eastAsia"/>
                <w:lang w:val="en-US" w:eastAsia="zh-CN"/>
              </w:rPr>
              <w:t>施工期间严格按照安全生产相关要求执行落实。</w:t>
            </w:r>
          </w:p>
        </w:tc>
        <w:tc>
          <w:tcPr>
            <w:tcW w:w="462" w:type="pct"/>
            <w:shd w:val="clear" w:color="auto" w:fill="auto"/>
            <w:vAlign w:val="center"/>
          </w:tcPr>
          <w:p w14:paraId="406D7CB9">
            <w:pPr>
              <w:pStyle w:val="45"/>
              <w:rPr>
                <w:rFonts w:hint="eastAsia"/>
              </w:rPr>
            </w:pPr>
            <w:r>
              <w:rPr>
                <w:rFonts w:hint="eastAsia"/>
                <w:lang w:val="en-US" w:eastAsia="zh-CN"/>
              </w:rPr>
              <w:t>符合</w:t>
            </w:r>
          </w:p>
        </w:tc>
      </w:tr>
    </w:tbl>
    <w:p w14:paraId="023CFE2A">
      <w:pPr>
        <w:ind w:firstLine="482"/>
        <w:rPr>
          <w:color w:val="FF0000"/>
        </w:rPr>
      </w:pPr>
    </w:p>
    <w:p w14:paraId="3D609740">
      <w:pPr>
        <w:pStyle w:val="5"/>
      </w:pPr>
      <w:bookmarkStart w:id="23" w:name="_Toc25288"/>
      <w:r>
        <w:rPr>
          <w:rFonts w:hint="eastAsia"/>
        </w:rPr>
        <w:t>与其他环境保护规划相符性分析</w:t>
      </w:r>
      <w:bookmarkEnd w:id="23"/>
    </w:p>
    <w:p w14:paraId="663781D4">
      <w:pPr>
        <w:pStyle w:val="6"/>
        <w:ind w:firstLine="482"/>
      </w:pPr>
      <w:bookmarkStart w:id="24" w:name="_Toc6467"/>
      <w:r>
        <w:rPr>
          <w:rFonts w:hint="eastAsia"/>
        </w:rPr>
        <w:t>与《湖南省“十四五”生态环境保护规划》相符性分析</w:t>
      </w:r>
      <w:bookmarkEnd w:id="24"/>
    </w:p>
    <w:p w14:paraId="7D6FA6CB">
      <w:pPr>
        <w:ind w:firstLine="480"/>
      </w:pPr>
      <w:r>
        <w:rPr>
          <w:rFonts w:hint="eastAsia"/>
        </w:rPr>
        <w:t>根据《湖南省“十四五”生态环境保护规划》：“......按照《湖南省沿江化工企业搬迁改造实施方案》要求，沿江岸线1公里范围内严禁新建、扩建化工园区、化工生产项目；严禁现有合规化工园区在沿江岸线1公里范围内靠江扩建......”；“加强其他涉气污染物治理，加强恶臭、有毒有害大气污染物防控”。</w:t>
      </w:r>
    </w:p>
    <w:p w14:paraId="500AEFE7">
      <w:pPr>
        <w:ind w:firstLine="482"/>
      </w:pPr>
      <w:r>
        <w:rPr>
          <w:rFonts w:hint="eastAsia"/>
          <w:b/>
          <w:bCs/>
        </w:rPr>
        <w:t>相符性分析：</w:t>
      </w:r>
      <w:r>
        <w:rPr>
          <w:rFonts w:hint="eastAsia"/>
        </w:rPr>
        <w:t>本项目位于松木经开区，属于合规化工园区，且本项目距离湘江最近约1.6km，不在沿江岸线一公里范围内。因此，本项目符合《湖南省“十四五”环境保护规划》相关要求。</w:t>
      </w:r>
    </w:p>
    <w:p w14:paraId="2477FED7">
      <w:pPr>
        <w:pStyle w:val="6"/>
        <w:ind w:firstLine="482"/>
      </w:pPr>
      <w:bookmarkStart w:id="25" w:name="_Toc12163"/>
      <w:r>
        <w:rPr>
          <w:rFonts w:hint="eastAsia"/>
        </w:rPr>
        <w:t>与《衡阳市“十四五”生态环境保护规划》相符性分析</w:t>
      </w:r>
      <w:bookmarkEnd w:id="25"/>
    </w:p>
    <w:p w14:paraId="5A1B75F4">
      <w:pPr>
        <w:ind w:firstLine="480"/>
      </w:pPr>
      <w:r>
        <w:rPr>
          <w:rFonts w:hint="eastAsia"/>
        </w:rPr>
        <w:t>根据《衡阳市“十四五”生态环境保护规划》：“......对全市湘江沿江1公里范围内已建成投产的化工企业且省直相关部门已同意保留的，原则上同意继续保留，严禁新建、扩建化工园区、化工生产项目......”；“......以钢铁、水泥、有色、化工、砖瓦、陶瓷等资源消耗大、能耗高、污染重的行业为重点，从技术工艺改造、原辅料替代、资源能源梯级利用等方面降低能耗和污染物排放......”</w:t>
      </w:r>
    </w:p>
    <w:p w14:paraId="06A7B5F4">
      <w:pPr>
        <w:ind w:firstLine="482"/>
      </w:pPr>
      <w:r>
        <w:rPr>
          <w:rFonts w:hint="eastAsia"/>
          <w:b/>
          <w:bCs/>
        </w:rPr>
        <w:t>相符性分析：</w:t>
      </w:r>
      <w:r>
        <w:rPr>
          <w:rFonts w:hint="eastAsia"/>
        </w:rPr>
        <w:t>本项目位于松木经开区，属于合规化工园区，且本项目距离湘江最近约1.6km，不在沿江岸线一公里范围内。因此，本项目符合《衡阳市“十四五”生态环境保护规划》相关要求。</w:t>
      </w:r>
    </w:p>
    <w:p w14:paraId="310A018C">
      <w:pPr>
        <w:pStyle w:val="5"/>
      </w:pPr>
      <w:bookmarkStart w:id="26" w:name="_Toc26016"/>
      <w:r>
        <w:rPr>
          <w:rFonts w:hint="eastAsia"/>
        </w:rPr>
        <w:t>与环境功能区划的相符性分析</w:t>
      </w:r>
      <w:bookmarkEnd w:id="26"/>
    </w:p>
    <w:p w14:paraId="35B8D49E">
      <w:pPr>
        <w:pStyle w:val="6"/>
        <w:ind w:firstLine="482"/>
      </w:pPr>
      <w:bookmarkStart w:id="27" w:name="_Toc9951"/>
      <w:r>
        <w:rPr>
          <w:rFonts w:hint="eastAsia"/>
        </w:rPr>
        <w:t>与地表水环境功能区划的相符性分析</w:t>
      </w:r>
      <w:bookmarkEnd w:id="27"/>
    </w:p>
    <w:p w14:paraId="1A21B7BC">
      <w:pPr>
        <w:ind w:firstLine="480"/>
      </w:pPr>
      <w:r>
        <w:rPr>
          <w:rFonts w:hint="eastAsia"/>
        </w:rPr>
        <w:t>项目周边的地表水体主要是项目东面约1.6km的湘江。根据《湖南省主要地表水系水环境功能区划》（DB43/023-2005），蒸水口至大浦镇师塘村上游6000m湘江段执行《地表水环境质量标准》（GB3838-2002）中的Ⅲ类标。</w:t>
      </w:r>
    </w:p>
    <w:p w14:paraId="5839D34A">
      <w:pPr>
        <w:ind w:firstLine="482"/>
      </w:pPr>
      <w:r>
        <w:rPr>
          <w:rFonts w:hint="eastAsia"/>
          <w:b/>
          <w:bCs/>
        </w:rPr>
        <w:t>相符性分析：</w:t>
      </w:r>
      <w:r>
        <w:rPr>
          <w:rFonts w:hint="eastAsia"/>
        </w:rPr>
        <w:t>由工程分析可知，正常生产期间，项目生产废水、初期雨水均经处理后回用于生产，不外排；非生产期间</w:t>
      </w:r>
      <w:r>
        <w:rPr>
          <w:rFonts w:hint="eastAsia"/>
          <w:lang w:eastAsia="zh-CN"/>
        </w:rPr>
        <w:t>，</w:t>
      </w:r>
      <w:r>
        <w:rPr>
          <w:rFonts w:hint="eastAsia"/>
        </w:rPr>
        <w:t>多余的初期雨水经处理达标后排入松木污水处理厂处理；生活污水经厂内化粪池预处理达标后再排入松木污水处理厂深度处理达标后排入湘江</w:t>
      </w:r>
      <w:r>
        <w:rPr>
          <w:rFonts w:hint="eastAsia"/>
          <w:lang w:eastAsia="zh-CN"/>
        </w:rPr>
        <w:t>。</w:t>
      </w:r>
      <w:r>
        <w:rPr>
          <w:rFonts w:hint="eastAsia"/>
        </w:rPr>
        <w:t>因此，从区域水体环境容量角度分析，本项目的建设满足区域水功能区划的相关要求。</w:t>
      </w:r>
    </w:p>
    <w:p w14:paraId="3FC0E349">
      <w:pPr>
        <w:pStyle w:val="6"/>
        <w:ind w:firstLine="482"/>
      </w:pPr>
      <w:bookmarkStart w:id="28" w:name="_Toc3535"/>
      <w:r>
        <w:rPr>
          <w:rFonts w:hint="eastAsia"/>
        </w:rPr>
        <w:t>与大气环境功能区划的符合性分析</w:t>
      </w:r>
      <w:bookmarkEnd w:id="28"/>
    </w:p>
    <w:p w14:paraId="534B593F">
      <w:pPr>
        <w:ind w:firstLine="480"/>
      </w:pPr>
      <w:r>
        <w:rPr>
          <w:rFonts w:hint="eastAsia"/>
        </w:rPr>
        <w:t>本项目所在区域属于环境空气质量二类功能区。</w:t>
      </w:r>
    </w:p>
    <w:p w14:paraId="32D9FDDC">
      <w:pPr>
        <w:snapToGrid w:val="0"/>
        <w:ind w:firstLine="482" w:firstLineChars="0"/>
        <w:contextualSpacing/>
        <w:rPr>
          <w:rFonts w:cs="Times New Roman"/>
          <w:kern w:val="24"/>
        </w:rPr>
      </w:pPr>
      <w:r>
        <w:rPr>
          <w:rFonts w:cs="Times New Roman"/>
          <w:b/>
          <w:kern w:val="24"/>
        </w:rPr>
        <w:t>相符性分析：</w:t>
      </w:r>
      <w:r>
        <w:rPr>
          <w:rFonts w:cs="Times New Roman"/>
          <w:kern w:val="24"/>
        </w:rPr>
        <w:t>本项目</w:t>
      </w:r>
      <w:r>
        <w:rPr>
          <w:rFonts w:hint="eastAsia" w:cs="Times New Roman"/>
          <w:kern w:val="24"/>
        </w:rPr>
        <w:t>电解反应主要形成氯酸根、高氯酸根</w:t>
      </w:r>
      <w:r>
        <w:rPr>
          <w:rFonts w:cs="Times New Roman"/>
          <w:kern w:val="24"/>
        </w:rPr>
        <w:t>，</w:t>
      </w:r>
      <w:r>
        <w:rPr>
          <w:rFonts w:hint="eastAsia" w:cs="Times New Roman"/>
          <w:kern w:val="24"/>
        </w:rPr>
        <w:t>HCl、Cl</w:t>
      </w:r>
      <w:r>
        <w:rPr>
          <w:rFonts w:hint="eastAsia" w:cs="Times New Roman"/>
          <w:kern w:val="24"/>
          <w:vertAlign w:val="subscript"/>
        </w:rPr>
        <w:t>2</w:t>
      </w:r>
      <w:r>
        <w:rPr>
          <w:rFonts w:cs="Times New Roman"/>
          <w:kern w:val="24"/>
        </w:rPr>
        <w:t>排放量</w:t>
      </w:r>
      <w:r>
        <w:rPr>
          <w:rFonts w:hint="eastAsia" w:cs="Times New Roman"/>
          <w:kern w:val="24"/>
        </w:rPr>
        <w:t>极</w:t>
      </w:r>
      <w:r>
        <w:rPr>
          <w:rFonts w:cs="Times New Roman"/>
          <w:kern w:val="24"/>
        </w:rPr>
        <w:t>少，本项目营运期各废气污染物在采取严格的污染防治后可满足达标排放的要求，且由大气环境影响评价结果可知，正常工况下，本项目外排废气污染物符合相关排放标</w:t>
      </w:r>
      <w:r>
        <w:rPr>
          <w:rFonts w:hint="eastAsia" w:cs="Times New Roman"/>
          <w:kern w:val="24"/>
        </w:rPr>
        <w:t>准，对环境空气质量的影响较小。</w:t>
      </w:r>
    </w:p>
    <w:p w14:paraId="0829F2F5">
      <w:pPr>
        <w:pStyle w:val="4"/>
      </w:pPr>
      <w:bookmarkStart w:id="29" w:name="_Toc6313"/>
      <w:r>
        <w:rPr>
          <w:rFonts w:hint="eastAsia"/>
        </w:rPr>
        <w:t>与其他相关政策法规相符性分析</w:t>
      </w:r>
      <w:bookmarkEnd w:id="29"/>
    </w:p>
    <w:p w14:paraId="4D4E080B">
      <w:pPr>
        <w:pStyle w:val="5"/>
      </w:pPr>
      <w:bookmarkStart w:id="30" w:name="_Toc14857"/>
      <w:r>
        <w:rPr>
          <w:rFonts w:hint="eastAsia"/>
        </w:rPr>
        <w:t>与《中华人民共和国长江保护法》相关要求相符性分析</w:t>
      </w:r>
      <w:bookmarkEnd w:id="30"/>
    </w:p>
    <w:p w14:paraId="25F81D91">
      <w:pPr>
        <w:ind w:firstLine="480"/>
      </w:pPr>
      <w:r>
        <w:rPr>
          <w:rFonts w:hint="eastAsia"/>
        </w:rPr>
        <w:t>根据《中华人民共和国长江保护法》：“第二十六条：国家对长江流域河湖岸线实施特殊管制。国家长江流域协调机制统筹协调国务院自然资源、水行政、生态环境、住房和城乡建设、农业农村、交通运输、林业和草原等部门和长江流域省级人民政府划定河湖岸线保护范围，制定河湖岸线保护规划，严格控制岸线开发建设，促进岸线合理高效利用。</w:t>
      </w:r>
    </w:p>
    <w:p w14:paraId="15BF5152">
      <w:pPr>
        <w:ind w:firstLine="480"/>
      </w:pPr>
      <w:r>
        <w:rPr>
          <w:rFonts w:hint="eastAsia"/>
        </w:rPr>
        <w:t>禁止在长江干支流岸线一公里范围内新建、扩建化工园区和化工项目。</w:t>
      </w:r>
    </w:p>
    <w:p w14:paraId="0949E8EA">
      <w:pPr>
        <w:ind w:firstLine="480"/>
      </w:pPr>
      <w:r>
        <w:rPr>
          <w:rFonts w:hint="eastAsia"/>
        </w:rPr>
        <w:t>禁止在长江干流岸线三公里范围内和重要支流岸线一公里范围内新建、改建、扩建尾矿库；但是以提升安全、生态环境保护水平为目</w:t>
      </w:r>
      <w:r>
        <w:rPr>
          <w:rFonts w:hint="eastAsia"/>
          <w:lang w:eastAsia="zh-CN"/>
        </w:rPr>
        <w:t>的</w:t>
      </w:r>
      <w:r>
        <w:rPr>
          <w:rFonts w:hint="eastAsia"/>
        </w:rPr>
        <w:t>改建除外”。</w:t>
      </w:r>
    </w:p>
    <w:p w14:paraId="485C52AD">
      <w:pPr>
        <w:ind w:firstLine="482"/>
      </w:pPr>
      <w:r>
        <w:rPr>
          <w:rFonts w:hint="eastAsia"/>
          <w:b/>
          <w:bCs/>
        </w:rPr>
        <w:t>相符性分析：</w:t>
      </w:r>
      <w:r>
        <w:rPr>
          <w:rFonts w:hint="eastAsia"/>
        </w:rPr>
        <w:t>本项目位于松木经开区，属于合规化工园区，且本项目距离湘江最近约1.6km，不在长江重要支流岸线一公里范围内。因此，本项目符合《中华人民共和国长江保护法》相关要求。</w:t>
      </w:r>
    </w:p>
    <w:p w14:paraId="17CBCBF8">
      <w:pPr>
        <w:pStyle w:val="5"/>
      </w:pPr>
      <w:bookmarkStart w:id="31" w:name="_Toc19791"/>
      <w:r>
        <w:rPr>
          <w:rFonts w:hint="eastAsia"/>
        </w:rPr>
        <w:t>与湖南省发展和改革委员会关于印发《湖南省“两高”项目管理目录》的通知相符性分析</w:t>
      </w:r>
      <w:bookmarkEnd w:id="31"/>
    </w:p>
    <w:p w14:paraId="60110EF0">
      <w:pPr>
        <w:pStyle w:val="26"/>
        <w:ind w:firstLine="480"/>
      </w:pPr>
      <w:r>
        <w:t>本项目是</w:t>
      </w:r>
      <w:r>
        <w:rPr>
          <w:rFonts w:hint="eastAsia"/>
        </w:rPr>
        <w:t>主要生产高氯酸钠、高氯酸钾</w:t>
      </w:r>
      <w:r>
        <w:t>，</w:t>
      </w:r>
      <w:r>
        <w:rPr>
          <w:rFonts w:hint="eastAsia"/>
        </w:rPr>
        <w:t>不属于</w:t>
      </w:r>
      <w:r>
        <w:t>《湖南省“两高”项目管理目录》</w:t>
      </w:r>
      <w:r>
        <w:rPr>
          <w:rFonts w:hint="eastAsia"/>
        </w:rPr>
        <w:t>列明的“两高”项目，本项目建设与该通知不冲突。</w:t>
      </w:r>
    </w:p>
    <w:p w14:paraId="32239162">
      <w:pPr>
        <w:pStyle w:val="5"/>
      </w:pPr>
      <w:bookmarkStart w:id="32" w:name="_Toc13752"/>
      <w:r>
        <w:t>与《关于加强高耗能、高排放建设项目生态环境源头防控的指导意见》（环环评〔2021〕45号）相符性分析</w:t>
      </w:r>
      <w:bookmarkEnd w:id="32"/>
    </w:p>
    <w:p w14:paraId="39525526">
      <w:pPr>
        <w:snapToGrid w:val="0"/>
        <w:ind w:firstLine="482" w:firstLineChars="0"/>
        <w:contextualSpacing/>
        <w:rPr>
          <w:rFonts w:cs="Times New Roman"/>
          <w:kern w:val="24"/>
        </w:rPr>
      </w:pPr>
      <w:r>
        <w:rPr>
          <w:rFonts w:cs="Times New Roman"/>
          <w:kern w:val="24"/>
        </w:rPr>
        <w:t>根据《关于加强高耗能、高排放建设项目生态环境源头防控的指导意见》（环环评〔2021〕45号）：“严把建设项目环境准入关。新建、改建、扩建“两高”项目须符合生态环境保护法律法规和相关法定规划，满足重点污染物排放总量控制、碳排放达峰目标、生态环境准入清单、相关规划环评和相应行业建设项目环境准入条件、环评文件审批原则要求。石化、现代煤化工项目应纳入国家产业规划。新建、扩建石化、化工、焦化、有色金属冶炼、平板玻璃项目应布设在依法合规设立并经规划环评的产业园区。各级生态环境部门和行政审批部门要严格把关，对于不符合相关法律法规的，依法不予审批......”；“落实区域削减要求。新建“两高”项目应按照《关于加强重点行业建设项目区域削减措施监督管理的通知》要求，依据区域环境质量改善目标，制定配套区域污染物削减方案，采取有效的污染物区域削减措施，腾出足够的环境容量。国家大气污染防治重点区域(以下称重点区域)内新建耗煤项目还应严格按规定采取煤炭消费减量替代措施，不得使用高污染燃料作为煤炭减量替代措施.....”；“提升清洁生产和污染防治水平。新建、扩建“两高”项目应采用先进适用的工艺技术和装备，单位产品物耗、能耗、水耗等达到清洁生产先进水平，依法制定并严格落实防治土壤与地下水污染的措施。国家或地方已出台超低排放要求的“两高”行业建设项目应满足超低排放要求。鼓励使用清洁燃料，重点区域建设项目原则上不新建燃煤自备锅炉。鼓励重点区域高炉-转炉长流程钢铁企业转型为电炉短流程企业。大宗物料优先采用铁路、管道或水路运输，短途接驳优先使用新能源车辆运输....”。</w:t>
      </w:r>
    </w:p>
    <w:p w14:paraId="1617CBC7">
      <w:pPr>
        <w:widowControl/>
        <w:adjustRightInd/>
        <w:ind w:firstLine="482"/>
        <w:rPr>
          <w:rFonts w:eastAsia="仿宋 .瑨:.." w:cs="Times New Roman"/>
          <w:kern w:val="0"/>
        </w:rPr>
      </w:pPr>
      <w:r>
        <w:rPr>
          <w:rFonts w:cs="Times New Roman"/>
          <w:b/>
          <w:bCs/>
          <w:kern w:val="24"/>
        </w:rPr>
        <w:t>相符性分析</w:t>
      </w:r>
      <w:r>
        <w:rPr>
          <w:rFonts w:cs="Times New Roman"/>
          <w:kern w:val="24"/>
        </w:rPr>
        <w:t>：（1）</w:t>
      </w:r>
      <w:r>
        <w:rPr>
          <w:rFonts w:cs="Times New Roman"/>
        </w:rPr>
        <w:t>本项目</w:t>
      </w:r>
      <w:r>
        <w:rPr>
          <w:rFonts w:cs="Times New Roman"/>
          <w:kern w:val="0"/>
        </w:rPr>
        <w:t>与</w:t>
      </w:r>
      <w:r>
        <w:rPr>
          <w:rFonts w:hint="eastAsia" w:cs="Times New Roman"/>
          <w:kern w:val="0"/>
        </w:rPr>
        <w:t>松木经开区</w:t>
      </w:r>
      <w:r>
        <w:rPr>
          <w:rFonts w:cs="Times New Roman"/>
          <w:kern w:val="0"/>
        </w:rPr>
        <w:t>产业定位相符</w:t>
      </w:r>
      <w:r>
        <w:rPr>
          <w:rFonts w:cs="Times New Roman"/>
        </w:rPr>
        <w:t>，符合园区产业定位及“三线一单”要求，不属于园区禁止和限制引入的企业；（2）</w:t>
      </w:r>
      <w:r>
        <w:rPr>
          <w:rFonts w:cs="Times New Roman"/>
          <w:kern w:val="24"/>
        </w:rPr>
        <w:t>本项目营运期各废气污染物在采取严格的污染防治后可满足达标排放的要求；（3）</w:t>
      </w:r>
      <w:r>
        <w:rPr>
          <w:rFonts w:hint="eastAsia" w:cs="Times New Roman"/>
          <w:kern w:val="0"/>
        </w:rPr>
        <w:t>正常生产期间，项目生产废水、初期雨水均经处理后回用于生产，不外排；非生产期间，多余的初期雨水经处理达标后排入松木污水处理厂处理；生活污水经厂内化粪池预处理达标后再排入松木污水处理厂深度处理达标后排入湘江</w:t>
      </w:r>
      <w:r>
        <w:rPr>
          <w:rFonts w:cs="Times New Roman"/>
          <w:kern w:val="0"/>
        </w:rPr>
        <w:t>；（4）本项目</w:t>
      </w:r>
      <w:r>
        <w:rPr>
          <w:rFonts w:hint="eastAsia" w:cs="Times New Roman"/>
          <w:kern w:val="0"/>
        </w:rPr>
        <w:t>不属于</w:t>
      </w:r>
      <w:r>
        <w:rPr>
          <w:rFonts w:cs="Times New Roman"/>
          <w:kern w:val="0"/>
        </w:rPr>
        <w:t>《湖南省“两高”项目管理目录》</w:t>
      </w:r>
      <w:r>
        <w:rPr>
          <w:rFonts w:hint="eastAsia" w:cs="Times New Roman"/>
          <w:kern w:val="0"/>
        </w:rPr>
        <w:t>列明的“两高”项目。</w:t>
      </w:r>
    </w:p>
    <w:p w14:paraId="478085BA">
      <w:pPr>
        <w:snapToGrid w:val="0"/>
        <w:ind w:firstLine="482" w:firstLineChars="0"/>
        <w:contextualSpacing/>
        <w:rPr>
          <w:rFonts w:cs="Times New Roman"/>
          <w:kern w:val="24"/>
        </w:rPr>
      </w:pPr>
      <w:r>
        <w:rPr>
          <w:rFonts w:cs="Times New Roman"/>
        </w:rPr>
        <w:t>综上所述，本项目</w:t>
      </w:r>
      <w:r>
        <w:rPr>
          <w:rFonts w:cs="Times New Roman"/>
          <w:kern w:val="24"/>
        </w:rPr>
        <w:t>不属于依法不予审批的项目类型</w:t>
      </w:r>
      <w:r>
        <w:rPr>
          <w:rFonts w:hint="eastAsia" w:cs="Times New Roman"/>
          <w:kern w:val="24"/>
        </w:rPr>
        <w:t>，不属于“两高项目”</w:t>
      </w:r>
      <w:r>
        <w:rPr>
          <w:rFonts w:cs="Times New Roman"/>
          <w:kern w:val="24"/>
        </w:rPr>
        <w:t>，污染物均能做到达标排放，能耗物耗均低于国</w:t>
      </w:r>
      <w:r>
        <w:rPr>
          <w:rFonts w:cs="Times New Roman"/>
        </w:rPr>
        <w:t>家标准要求</w:t>
      </w:r>
      <w:r>
        <w:rPr>
          <w:rFonts w:cs="Times New Roman"/>
          <w:kern w:val="24"/>
        </w:rPr>
        <w:t>，因此符合《关于加强高耗能、高排放建设项目生态环境源头防控的指导意见》（环环评〔2021〕45号）要求。</w:t>
      </w:r>
    </w:p>
    <w:p w14:paraId="1A49162F">
      <w:pPr>
        <w:pStyle w:val="5"/>
      </w:pPr>
      <w:bookmarkStart w:id="33" w:name="_Toc15487"/>
      <w:r>
        <w:t>与《关于加强重点行业建设项目区域削减措施监督管理的通知》（环办环评〔2020〕36号）</w:t>
      </w:r>
      <w:bookmarkEnd w:id="33"/>
    </w:p>
    <w:p w14:paraId="7A299C1A">
      <w:pPr>
        <w:snapToGrid w:val="0"/>
        <w:ind w:firstLine="482" w:firstLineChars="0"/>
        <w:contextualSpacing/>
        <w:rPr>
          <w:rFonts w:cs="Times New Roman"/>
          <w:kern w:val="24"/>
        </w:rPr>
      </w:pPr>
      <w:r>
        <w:rPr>
          <w:rFonts w:cs="Times New Roman"/>
          <w:kern w:val="24"/>
        </w:rPr>
        <w:t>根据《关于加强重点行业建设项目区域削减措施监督管理的通知》（环办环评〔2020〕36号）：</w:t>
      </w:r>
      <w:r>
        <w:rPr>
          <w:rFonts w:hint="eastAsia" w:cs="Times New Roman"/>
          <w:kern w:val="24"/>
        </w:rPr>
        <w:t>“</w:t>
      </w:r>
      <w:r>
        <w:rPr>
          <w:rFonts w:cs="Times New Roman"/>
          <w:kern w:val="24"/>
        </w:rPr>
        <w:t>严格区域削减要求。建设项目应满足区域、流域控制单元环境质量改善目标管理要求。所在区域、流域控制单元环境质量未达到国家或者地方环境质量标准的，建设项目应提出有效的区域削减方案，主要污染物实行区域倍量削减，确保项目投产后区域环境质量有改善。所在区域、流域控制单元环境质量达到国家或者地方环境质量标准的，原则上建设项目主要污染物实行区域等量削减，确保项目投产后区域环境质量不恶化”；“区域削减措施原则上应与建设项目位于同一地级市或市级行政区域内同一流域。地级市行政区域内削减量不足时，可来源于省级行政区域或省级行政区域内的同一流域。</w:t>
      </w:r>
      <w:r>
        <w:rPr>
          <w:rFonts w:hint="eastAsia" w:cs="Times New Roman"/>
          <w:kern w:val="24"/>
        </w:rPr>
        <w:t>”</w:t>
      </w:r>
    </w:p>
    <w:p w14:paraId="4A4D123A">
      <w:pPr>
        <w:snapToGrid w:val="0"/>
        <w:ind w:firstLine="482" w:firstLineChars="0"/>
        <w:contextualSpacing/>
        <w:rPr>
          <w:rFonts w:cs="Times New Roman"/>
          <w:b/>
          <w:bCs/>
          <w:kern w:val="0"/>
        </w:rPr>
      </w:pPr>
      <w:r>
        <w:rPr>
          <w:rFonts w:cs="Times New Roman"/>
          <w:kern w:val="24"/>
        </w:rPr>
        <w:t>相符性分析：</w:t>
      </w:r>
      <w:r>
        <w:rPr>
          <w:rFonts w:hint="eastAsia" w:cs="Times New Roman"/>
          <w:kern w:val="24"/>
        </w:rPr>
        <w:t>正常生产期间，项目生产废水、初期雨水均经处理后回用于生产，不外排；非生产期间，多余的初期雨水经处理达标后排入松木污水处理厂处理；生活污水经厂内化粪池预处理达标后再排入松木污水处理厂深度处理达标后排入湘江。</w:t>
      </w:r>
      <w:r>
        <w:rPr>
          <w:rFonts w:hint="eastAsia" w:cs="Times New Roman"/>
          <w:kern w:val="24"/>
          <w:lang w:val="en-US" w:eastAsia="zh-CN"/>
        </w:rPr>
        <w:t>项目所在区域、流域环境质量为达标区</w:t>
      </w:r>
      <w:r>
        <w:rPr>
          <w:rFonts w:hint="eastAsia" w:cs="Times New Roman"/>
          <w:kern w:val="24"/>
          <w:lang w:eastAsia="zh-CN"/>
        </w:rPr>
        <w:t>。</w:t>
      </w:r>
      <w:r>
        <w:rPr>
          <w:rFonts w:hint="eastAsia" w:cs="Times New Roman"/>
          <w:kern w:val="24"/>
          <w:lang w:val="en-US" w:eastAsia="zh-CN"/>
        </w:rPr>
        <w:t>综上，本项目符合</w:t>
      </w:r>
      <w:r>
        <w:rPr>
          <w:rFonts w:cs="Times New Roman"/>
          <w:kern w:val="24"/>
        </w:rPr>
        <w:t>《关于加强重点行业建设项目区域削减措施监督管理的通知》（环办环评〔2020〕36号）</w:t>
      </w:r>
      <w:r>
        <w:rPr>
          <w:rFonts w:hint="eastAsia" w:cs="Times New Roman"/>
          <w:kern w:val="24"/>
          <w:lang w:val="en-US" w:eastAsia="zh-CN"/>
        </w:rPr>
        <w:t>相关要求</w:t>
      </w:r>
      <w:r>
        <w:rPr>
          <w:rFonts w:cs="Times New Roman"/>
          <w:kern w:val="24"/>
        </w:rPr>
        <w:t>。</w:t>
      </w:r>
    </w:p>
    <w:p w14:paraId="1210EA09">
      <w:pPr>
        <w:pStyle w:val="5"/>
      </w:pPr>
      <w:bookmarkStart w:id="34" w:name="_Toc13333"/>
      <w:r>
        <w:rPr>
          <w:rFonts w:hint="eastAsia"/>
        </w:rPr>
        <w:t>与《湖南省环境保护条例》相符性分析</w:t>
      </w:r>
      <w:bookmarkEnd w:id="34"/>
    </w:p>
    <w:p w14:paraId="3FEC4EEA">
      <w:pPr>
        <w:ind w:firstLine="480"/>
      </w:pPr>
      <w:r>
        <w:rPr>
          <w:rFonts w:hint="eastAsia"/>
        </w:rPr>
        <w:t>根据《湖南省环境保护条例》：“（1）鼓励发展环境保护产业，对资源的综合利用和防治污染的技术改造项目实行优惠政策。（2）一切单位和个人必须执行国家和本省的环境质量标准和污染物排放标准。本省的污染物排放标准严于国家标准的，执行本省标准。（3）禁止在风景名胜区、自然保护区、森林公园、城市规划确定的居民区和饮用水源地以及其他需要特别保护的区域内，兴建污染和破坏环境的工程、设施。（4）按水域功能区划保护湘江、资江、沅江、澧水和洞庭湖及其它水域，使水质符合规定用途的水质标准。”</w:t>
      </w:r>
    </w:p>
    <w:p w14:paraId="6B8B972F">
      <w:pPr>
        <w:ind w:firstLine="482"/>
      </w:pPr>
      <w:r>
        <w:rPr>
          <w:rFonts w:hint="eastAsia"/>
          <w:b/>
          <w:bCs/>
        </w:rPr>
        <w:t>相符性分析：</w:t>
      </w:r>
      <w:r>
        <w:rPr>
          <w:rFonts w:hint="eastAsia"/>
        </w:rPr>
        <w:t>本项目位于松木经开区，属于合规化工园区，项目建设完成后污染物经过处理后可以达到国家和地方相应排放标准。因此，本项目符合《湖南省环境保护条例》相关要求。</w:t>
      </w:r>
    </w:p>
    <w:p w14:paraId="277AFEE6">
      <w:pPr>
        <w:pStyle w:val="5"/>
      </w:pPr>
      <w:bookmarkStart w:id="35" w:name="_Toc1479"/>
      <w:r>
        <w:rPr>
          <w:rFonts w:hint="eastAsia"/>
        </w:rPr>
        <w:t>与《湖南省湘江保护条例》（2023年修订）相符性分析</w:t>
      </w:r>
      <w:bookmarkEnd w:id="35"/>
    </w:p>
    <w:p w14:paraId="3BAAFF1E">
      <w:pPr>
        <w:ind w:firstLine="480"/>
      </w:pPr>
      <w:r>
        <w:rPr>
          <w:rFonts w:hint="eastAsia"/>
        </w:rPr>
        <w:t>根据《湖南省湘江保护条例》（2023年修订）：“（1）禁止在湘江流域饮用水水源一级保护区内设置排污口（渠），禁止新建、改建、扩建与供水设施和保护水源无关的建设项目；已经设置排污口（渠）、建成与供水设施和保护水源无关的建设项目，县级以上人民政府应当在省人民政府规定期限内组织拆除或者关闭。禁止在湘江流域饮用水水源一级保护区内从事网箱养殖、旅游、游泳、垂钓或者其他可能污染饮用水水体的活动。（2）禁止在湘江流域饮用水水源二级保护区内设置排污口（渠），禁止新建、改建、扩建排放污染物的建设项目；已经设置排污口（渠）、建成排放污染物的建设项目，县级以上人民政府应当在省人民政府规定期限内组织拆除或者关闭。（3）禁止在湘江干流岸线一公里范围内新建、扩建化工园区和化工项目。禁止在湘江干流岸线一公里范围内新建、改建、扩建尾矿库；但以提升安全、生态环境保护水平为目</w:t>
      </w:r>
      <w:r>
        <w:rPr>
          <w:rFonts w:hint="eastAsia"/>
          <w:lang w:eastAsia="zh-CN"/>
        </w:rPr>
        <w:t>的</w:t>
      </w:r>
      <w:r>
        <w:rPr>
          <w:rFonts w:hint="eastAsia"/>
        </w:rPr>
        <w:t>改建除外。”</w:t>
      </w:r>
    </w:p>
    <w:p w14:paraId="63F07F20">
      <w:pPr>
        <w:ind w:firstLine="482"/>
      </w:pPr>
      <w:r>
        <w:rPr>
          <w:b/>
          <w:bCs/>
        </w:rPr>
        <w:t>相符性分析：</w:t>
      </w:r>
      <w:r>
        <w:t>本项目位于松木经开区，属于合规化工园区，</w:t>
      </w:r>
      <w:r>
        <w:rPr>
          <w:rFonts w:hint="eastAsia"/>
        </w:rPr>
        <w:t>项目建设完成后污染物经过处理后可以达到国家和地方相应排放标准。</w:t>
      </w:r>
      <w:r>
        <w:t>本项目距离湘江最近约1.6km，</w:t>
      </w:r>
      <w:r>
        <w:rPr>
          <w:rFonts w:hint="eastAsia"/>
        </w:rPr>
        <w:t>不在湘江沿岸1公里范围内</w:t>
      </w:r>
      <w:r>
        <w:t>。</w:t>
      </w:r>
      <w:r>
        <w:rPr>
          <w:rFonts w:hint="eastAsia"/>
        </w:rPr>
        <w:t>因此，本项目符合《湖南省湘江保护条例》（2023年修订）相关要求。</w:t>
      </w:r>
    </w:p>
    <w:p w14:paraId="4269BED7">
      <w:pPr>
        <w:pStyle w:val="5"/>
      </w:pPr>
      <w:bookmarkStart w:id="36" w:name="_Toc4804"/>
      <w:r>
        <w:rPr>
          <w:rFonts w:hint="eastAsia"/>
        </w:rPr>
        <w:t>与《湖南衡阳松木经济开发区调区扩区规划环境影响报告书》（湘环评函〔2024〕20号）的相符性分析</w:t>
      </w:r>
      <w:bookmarkEnd w:id="36"/>
    </w:p>
    <w:p w14:paraId="636B5C79">
      <w:pPr>
        <w:bidi w:val="0"/>
      </w:pPr>
      <w:r>
        <w:rPr>
          <w:rFonts w:hint="eastAsia"/>
        </w:rPr>
        <w:t>根据《湖南衡阳松木经济开发区调区扩区规划环境影响报告书》（湘环评函〔2024〕20号）：“园区在下一步开发建设过程中应严格执行《长江保护法》对沿江1公里范围内新建、扩建化工园区和化工项目的禁止性要求。……园区产业引进应遵循相关法律法规及政策，落实园区生态分区环境管控要求，执行《报告书》提出的产业定位和产业生态环境准入清单。”</w:t>
      </w:r>
    </w:p>
    <w:p w14:paraId="07FFA513">
      <w:pPr>
        <w:pStyle w:val="43"/>
        <w:rPr>
          <w:rFonts w:hint="default"/>
          <w:highlight w:val="none"/>
        </w:rPr>
      </w:pPr>
      <w:r>
        <w:rPr>
          <w:highlight w:val="none"/>
        </w:rPr>
        <w:t>与园区调扩区环评中的环境准入行业清单比较</w:t>
      </w:r>
    </w:p>
    <w:tbl>
      <w:tblPr>
        <w:tblStyle w:val="32"/>
        <w:tblW w:w="802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28"/>
        <w:gridCol w:w="825"/>
        <w:gridCol w:w="4530"/>
        <w:gridCol w:w="2142"/>
      </w:tblGrid>
      <w:tr w14:paraId="61D2A4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5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64CB83">
            <w:pPr>
              <w:pStyle w:val="45"/>
              <w:bidi w:val="0"/>
              <w:rPr>
                <w:rFonts w:hint="eastAsia"/>
                <w:b/>
                <w:bCs/>
              </w:rPr>
            </w:pPr>
            <w:r>
              <w:rPr>
                <w:rFonts w:hint="eastAsia"/>
                <w:b/>
                <w:bCs/>
                <w:lang w:val="en-US" w:eastAsia="zh-CN"/>
              </w:rPr>
              <w:t>区域</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F24D1E">
            <w:pPr>
              <w:pStyle w:val="45"/>
              <w:bidi w:val="0"/>
              <w:rPr>
                <w:rFonts w:hint="eastAsia"/>
                <w:b/>
                <w:bCs/>
              </w:rPr>
            </w:pPr>
            <w:r>
              <w:rPr>
                <w:rFonts w:hint="eastAsia"/>
                <w:b/>
                <w:bCs/>
                <w:lang w:val="en-US" w:eastAsia="zh-CN"/>
              </w:rPr>
              <w:t>类别</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C4C1D">
            <w:pPr>
              <w:pStyle w:val="45"/>
              <w:bidi w:val="0"/>
              <w:rPr>
                <w:rFonts w:hint="eastAsia"/>
                <w:b/>
                <w:bCs/>
              </w:rPr>
            </w:pPr>
            <w:r>
              <w:rPr>
                <w:rFonts w:hint="eastAsia"/>
                <w:b/>
                <w:bCs/>
                <w:lang w:val="en-US" w:eastAsia="zh-CN"/>
              </w:rPr>
              <w:t>行业类别</w:t>
            </w:r>
          </w:p>
        </w:tc>
        <w:tc>
          <w:tcPr>
            <w:tcW w:w="21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F70262">
            <w:pPr>
              <w:pStyle w:val="45"/>
              <w:bidi w:val="0"/>
              <w:rPr>
                <w:rFonts w:hint="eastAsia"/>
                <w:b/>
                <w:bCs/>
              </w:rPr>
            </w:pPr>
            <w:r>
              <w:rPr>
                <w:rFonts w:hint="eastAsia"/>
                <w:b/>
                <w:bCs/>
                <w:lang w:val="en-US" w:eastAsia="zh-CN"/>
              </w:rPr>
              <w:t>本项目情况</w:t>
            </w:r>
          </w:p>
        </w:tc>
      </w:tr>
      <w:tr w14:paraId="441AA7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5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E5405D8">
            <w:pPr>
              <w:pStyle w:val="45"/>
              <w:bidi w:val="0"/>
              <w:rPr>
                <w:rFonts w:hint="eastAsia"/>
              </w:rPr>
            </w:pPr>
            <w:r>
              <w:rPr>
                <w:rFonts w:hint="eastAsia"/>
                <w:lang w:val="en-US" w:eastAsia="zh-CN"/>
              </w:rPr>
              <w:t>松木化工片区</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35AF09">
            <w:pPr>
              <w:pStyle w:val="45"/>
              <w:bidi w:val="0"/>
              <w:rPr>
                <w:rFonts w:hint="eastAsia"/>
              </w:rPr>
            </w:pPr>
            <w:r>
              <w:rPr>
                <w:rFonts w:hint="eastAsia"/>
                <w:lang w:val="en-US" w:eastAsia="zh-CN"/>
              </w:rPr>
              <w:t>主导类</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0151B1">
            <w:pPr>
              <w:pStyle w:val="45"/>
              <w:bidi w:val="0"/>
              <w:rPr>
                <w:rFonts w:hint="eastAsia"/>
              </w:rPr>
            </w:pPr>
            <w:r>
              <w:rPr>
                <w:rFonts w:hint="eastAsia"/>
                <w:lang w:val="en-US" w:eastAsia="zh-CN"/>
              </w:rPr>
              <w:t>发展精细化工（盐卤）产业。发展污染物排放相对较小、无明显恶臭异味、环境风险可控的产业。重点发展C2613无机盐制造、C2614有机化学原料制造、C2619其他基础化学原料制造。</w:t>
            </w:r>
          </w:p>
        </w:tc>
        <w:tc>
          <w:tcPr>
            <w:tcW w:w="21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A2AA7F">
            <w:pPr>
              <w:pStyle w:val="45"/>
              <w:bidi w:val="0"/>
              <w:rPr>
                <w:rFonts w:hint="default" w:eastAsia="宋体"/>
                <w:lang w:val="en-US" w:eastAsia="zh-CN"/>
              </w:rPr>
            </w:pPr>
            <w:r>
              <w:rPr>
                <w:rFonts w:hint="eastAsia"/>
                <w:lang w:val="en-US" w:eastAsia="zh-CN"/>
              </w:rPr>
              <w:t>本项目在该区域内，属于精细化工（盐卤）产业，符合区域发展定位。项目正常生产期间污染物排放小，无明显恶臭异味，环境风险可控。</w:t>
            </w:r>
          </w:p>
        </w:tc>
      </w:tr>
      <w:tr w14:paraId="402CB5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09621A">
            <w:pPr>
              <w:pStyle w:val="45"/>
              <w:bidi w:val="0"/>
              <w:rPr>
                <w:rFonts w:hint="eastAsia"/>
              </w:rPr>
            </w:pP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978FE4">
            <w:pPr>
              <w:pStyle w:val="45"/>
              <w:bidi w:val="0"/>
              <w:rPr>
                <w:rFonts w:hint="eastAsia"/>
              </w:rPr>
            </w:pPr>
            <w:r>
              <w:rPr>
                <w:rFonts w:hint="eastAsia"/>
                <w:lang w:val="en-US" w:eastAsia="zh-CN"/>
              </w:rPr>
              <w:t>限制类</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36C381">
            <w:pPr>
              <w:pStyle w:val="45"/>
              <w:bidi w:val="0"/>
              <w:rPr>
                <w:rFonts w:hint="eastAsia"/>
              </w:rPr>
            </w:pPr>
            <w:r>
              <w:rPr>
                <w:rFonts w:hint="eastAsia"/>
                <w:lang w:val="en-US" w:eastAsia="zh-CN"/>
              </w:rPr>
              <w:t>属于《产业结构调整指导目录（2024年本）》限制类工艺和设备的项目。</w:t>
            </w:r>
          </w:p>
        </w:tc>
        <w:tc>
          <w:tcPr>
            <w:tcW w:w="21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51DDD2">
            <w:pPr>
              <w:pStyle w:val="45"/>
              <w:bidi w:val="0"/>
              <w:rPr>
                <w:rFonts w:hint="default" w:eastAsia="宋体"/>
                <w:lang w:val="en-US" w:eastAsia="zh-CN"/>
              </w:rPr>
            </w:pPr>
            <w:r>
              <w:rPr>
                <w:rFonts w:hint="eastAsia"/>
                <w:lang w:val="en-US" w:eastAsia="zh-CN"/>
              </w:rPr>
              <w:t>本项目不含《产业结构调整指导目录（2024年本）》限制类工艺和设备。</w:t>
            </w:r>
          </w:p>
        </w:tc>
      </w:tr>
      <w:tr w14:paraId="22C780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70" w:hRule="atLeast"/>
        </w:trPr>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7F9A05">
            <w:pPr>
              <w:pStyle w:val="45"/>
              <w:bidi w:val="0"/>
              <w:rPr>
                <w:rFonts w:hint="eastAsia"/>
              </w:rPr>
            </w:pP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4290CE">
            <w:pPr>
              <w:pStyle w:val="45"/>
              <w:bidi w:val="0"/>
              <w:rPr>
                <w:rFonts w:hint="eastAsia"/>
              </w:rPr>
            </w:pPr>
            <w:r>
              <w:rPr>
                <w:rFonts w:hint="eastAsia"/>
                <w:lang w:val="en-US" w:eastAsia="zh-CN"/>
              </w:rPr>
              <w:t>禁止类</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C24C3A">
            <w:pPr>
              <w:pStyle w:val="45"/>
              <w:bidi w:val="0"/>
              <w:rPr>
                <w:rFonts w:hint="eastAsia"/>
                <w:lang w:val="en-US" w:eastAsia="zh-CN"/>
              </w:rPr>
            </w:pPr>
            <w:r>
              <w:rPr>
                <w:rFonts w:hint="eastAsia"/>
                <w:lang w:val="en-US" w:eastAsia="zh-CN"/>
              </w:rPr>
              <w:t>1、禁止引进《限期淘汰产生严重污染环境的工业固体废物的落后生产工艺设备名录》及《产业结构调整指导目录（2024年本）》淘汰类工艺和设备的项目。</w:t>
            </w:r>
          </w:p>
          <w:p w14:paraId="4EF75ABB">
            <w:pPr>
              <w:pStyle w:val="45"/>
              <w:bidi w:val="0"/>
              <w:rPr>
                <w:rFonts w:hint="eastAsia"/>
              </w:rPr>
            </w:pPr>
            <w:r>
              <w:rPr>
                <w:rFonts w:hint="eastAsia"/>
                <w:lang w:val="en-US" w:eastAsia="zh-CN"/>
              </w:rPr>
              <w:t>2、化工产业中单纯混合或分装除外的农药制造C263；炸药、火工及焰火产品制造C267；化学纤维制造业C28；医药制造业中的兽用药品制造C275；制革和毛皮鞣制（C191、C193）；化学制浆和造纸C222；炼油、炼焦工业（C251、C252）；食品工业的禽畜初加工（包括屠宰）C135；味精、发酵酿造C146。</w:t>
            </w:r>
          </w:p>
        </w:tc>
        <w:tc>
          <w:tcPr>
            <w:tcW w:w="21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4663A">
            <w:pPr>
              <w:pStyle w:val="45"/>
              <w:bidi w:val="0"/>
              <w:rPr>
                <w:rFonts w:hint="default" w:eastAsia="宋体"/>
                <w:lang w:val="en-US" w:eastAsia="zh-CN"/>
              </w:rPr>
            </w:pPr>
            <w:r>
              <w:rPr>
                <w:rFonts w:hint="eastAsia"/>
                <w:lang w:val="en-US" w:eastAsia="zh-CN"/>
              </w:rPr>
              <w:t>本项目不含引进《限期淘汰产生严重污染环境的工业固体废物的落后生产工艺设备名录》及《产业结构调整指导目录（2024年本）》淘汰类工艺和设备，行业类别为C2619其他基础化学原料制造。</w:t>
            </w:r>
          </w:p>
        </w:tc>
      </w:tr>
      <w:tr w14:paraId="79C51E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90" w:hRule="atLeast"/>
        </w:trPr>
        <w:tc>
          <w:tcPr>
            <w:tcW w:w="5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63BEF8E">
            <w:pPr>
              <w:pStyle w:val="45"/>
              <w:bidi w:val="0"/>
              <w:rPr>
                <w:rFonts w:hint="eastAsia"/>
              </w:rPr>
            </w:pPr>
            <w:r>
              <w:rPr>
                <w:rFonts w:hint="eastAsia"/>
                <w:lang w:val="en-US" w:eastAsia="zh-CN"/>
              </w:rPr>
              <w:t>松木片区沿江1km区域</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00E832">
            <w:pPr>
              <w:pStyle w:val="45"/>
              <w:bidi w:val="0"/>
              <w:rPr>
                <w:rFonts w:hint="eastAsia"/>
              </w:rPr>
            </w:pPr>
            <w:r>
              <w:rPr>
                <w:rFonts w:hint="eastAsia"/>
                <w:lang w:val="en-US" w:eastAsia="zh-CN"/>
              </w:rPr>
              <w:t>主导类</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EBCD34">
            <w:pPr>
              <w:pStyle w:val="45"/>
              <w:bidi w:val="0"/>
              <w:rPr>
                <w:rFonts w:hint="eastAsia"/>
              </w:rPr>
            </w:pPr>
            <w:r>
              <w:rPr>
                <w:rFonts w:hint="eastAsia"/>
                <w:lang w:val="en-US" w:eastAsia="zh-CN"/>
              </w:rPr>
              <w:t>发展装备制造产业。重点发展C344泵、阀门、压缩机及类似机械制造、C345轴承、齿轮和传动部件制造、C348通用零部件制造、C351采矿、冶金、建筑专用设备制造、C381电机制造、C343物料搬运设备制造、C359环保、邮政、社会公共服务及其他专用设备制造、C372城市轨道交通设备制造。</w:t>
            </w:r>
          </w:p>
        </w:tc>
        <w:tc>
          <w:tcPr>
            <w:tcW w:w="214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46B45D3">
            <w:pPr>
              <w:pStyle w:val="45"/>
              <w:bidi w:val="0"/>
              <w:rPr>
                <w:rFonts w:hint="eastAsia"/>
              </w:rPr>
            </w:pPr>
            <w:r>
              <w:rPr>
                <w:rFonts w:hint="eastAsia"/>
                <w:lang w:val="en-US" w:eastAsia="zh-CN"/>
              </w:rPr>
              <w:t>本项目东厂界距湘江1.6km，不在该区域</w:t>
            </w:r>
          </w:p>
        </w:tc>
      </w:tr>
      <w:tr w14:paraId="56027F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9EAD54">
            <w:pPr>
              <w:pStyle w:val="45"/>
              <w:bidi w:val="0"/>
              <w:rPr>
                <w:rFonts w:hint="eastAsia"/>
              </w:rPr>
            </w:pP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71FB5">
            <w:pPr>
              <w:pStyle w:val="45"/>
              <w:bidi w:val="0"/>
              <w:rPr>
                <w:rFonts w:hint="eastAsia"/>
              </w:rPr>
            </w:pPr>
            <w:r>
              <w:rPr>
                <w:rFonts w:hint="eastAsia"/>
                <w:lang w:val="en-US" w:eastAsia="zh-CN"/>
              </w:rPr>
              <w:t>限制类</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5EF59D">
            <w:pPr>
              <w:pStyle w:val="45"/>
              <w:bidi w:val="0"/>
              <w:rPr>
                <w:rFonts w:hint="eastAsia"/>
              </w:rPr>
            </w:pPr>
            <w:r>
              <w:rPr>
                <w:rFonts w:hint="eastAsia"/>
                <w:lang w:val="en-US" w:eastAsia="zh-CN"/>
              </w:rPr>
              <w:t>属于《产业结构调整指导目录（2024年本）》限制类工艺和设备的项目。</w:t>
            </w:r>
          </w:p>
        </w:tc>
        <w:tc>
          <w:tcPr>
            <w:tcW w:w="21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7635C6">
            <w:pPr>
              <w:pStyle w:val="45"/>
              <w:bidi w:val="0"/>
              <w:rPr>
                <w:rFonts w:hint="eastAsia"/>
              </w:rPr>
            </w:pPr>
          </w:p>
        </w:tc>
      </w:tr>
      <w:tr w14:paraId="50E598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90" w:hRule="atLeast"/>
        </w:trPr>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80D80D">
            <w:pPr>
              <w:pStyle w:val="45"/>
              <w:bidi w:val="0"/>
              <w:rPr>
                <w:rFonts w:hint="eastAsia"/>
              </w:rPr>
            </w:pP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D9A0BE">
            <w:pPr>
              <w:pStyle w:val="45"/>
              <w:bidi w:val="0"/>
              <w:rPr>
                <w:rFonts w:hint="eastAsia"/>
              </w:rPr>
            </w:pPr>
            <w:r>
              <w:rPr>
                <w:rFonts w:hint="eastAsia"/>
                <w:lang w:val="en-US" w:eastAsia="zh-CN"/>
              </w:rPr>
              <w:t>禁止类</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C94F33">
            <w:pPr>
              <w:pStyle w:val="45"/>
              <w:bidi w:val="0"/>
              <w:rPr>
                <w:rFonts w:hint="eastAsia"/>
              </w:rPr>
            </w:pPr>
            <w:r>
              <w:rPr>
                <w:rFonts w:hint="eastAsia"/>
                <w:lang w:val="en-US" w:eastAsia="zh-CN"/>
              </w:rPr>
              <w:t>1、禁止引进《限期淘汰产生严重污染环境的工业固体废物的落后生产工艺设备名录》及《产业结构调整指导目录（2024年本）》淘汰类工艺和设备的项目。 2、沿江1km范围内严格执行《长江保护法》、《长江经济带发展负面清单指南（试行）》、《湖南省长江经济带发展负面清单实施细则（试行）》等相关法规政策要求。</w:t>
            </w:r>
          </w:p>
        </w:tc>
        <w:tc>
          <w:tcPr>
            <w:tcW w:w="21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F84BAF">
            <w:pPr>
              <w:pStyle w:val="45"/>
              <w:bidi w:val="0"/>
              <w:rPr>
                <w:rFonts w:hint="eastAsia"/>
              </w:rPr>
            </w:pPr>
          </w:p>
        </w:tc>
      </w:tr>
      <w:tr w14:paraId="07B94D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50" w:hRule="atLeast"/>
        </w:trPr>
        <w:tc>
          <w:tcPr>
            <w:tcW w:w="5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C269550">
            <w:pPr>
              <w:pStyle w:val="45"/>
              <w:bidi w:val="0"/>
              <w:rPr>
                <w:rFonts w:hint="eastAsia"/>
              </w:rPr>
            </w:pPr>
            <w:r>
              <w:rPr>
                <w:rFonts w:hint="eastAsia"/>
                <w:lang w:val="en-US" w:eastAsia="zh-CN"/>
              </w:rPr>
              <w:t>松木片区（其余区域）</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28ECF6">
            <w:pPr>
              <w:pStyle w:val="45"/>
              <w:bidi w:val="0"/>
              <w:rPr>
                <w:rFonts w:hint="eastAsia"/>
              </w:rPr>
            </w:pPr>
            <w:r>
              <w:rPr>
                <w:rFonts w:hint="eastAsia"/>
                <w:lang w:val="en-US" w:eastAsia="zh-CN"/>
              </w:rPr>
              <w:t>主导类</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908843">
            <w:pPr>
              <w:pStyle w:val="45"/>
              <w:bidi w:val="0"/>
              <w:rPr>
                <w:rFonts w:hint="eastAsia"/>
              </w:rPr>
            </w:pPr>
            <w:r>
              <w:rPr>
                <w:rFonts w:hint="eastAsia"/>
                <w:lang w:val="en-US" w:eastAsia="zh-CN"/>
              </w:rPr>
              <w:t>发展新材料、现代物流产业。重点发展C306玻璃纤维和玻璃纤维增强塑料制品制造、C3240有色金属合金制造、C384电池制造、C398电子元件及电子专用材料制造及按国家和省相关政策不需要进入化工园区的新材料产业。</w:t>
            </w:r>
          </w:p>
        </w:tc>
        <w:tc>
          <w:tcPr>
            <w:tcW w:w="214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36759E7">
            <w:pPr>
              <w:pStyle w:val="45"/>
              <w:bidi w:val="0"/>
              <w:rPr>
                <w:rFonts w:hint="eastAsia"/>
              </w:rPr>
            </w:pPr>
            <w:r>
              <w:rPr>
                <w:rFonts w:hint="eastAsia"/>
                <w:lang w:val="en-US" w:eastAsia="zh-CN"/>
              </w:rPr>
              <w:t>本项目不在该区域</w:t>
            </w:r>
          </w:p>
        </w:tc>
      </w:tr>
      <w:tr w14:paraId="6D211D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71F6ED">
            <w:pPr>
              <w:pStyle w:val="45"/>
              <w:bidi w:val="0"/>
              <w:rPr>
                <w:rFonts w:hint="eastAsia"/>
              </w:rPr>
            </w:pP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0394BC">
            <w:pPr>
              <w:pStyle w:val="45"/>
              <w:bidi w:val="0"/>
              <w:rPr>
                <w:rFonts w:hint="eastAsia"/>
              </w:rPr>
            </w:pPr>
            <w:r>
              <w:rPr>
                <w:rFonts w:hint="eastAsia"/>
                <w:lang w:val="en-US" w:eastAsia="zh-CN"/>
              </w:rPr>
              <w:t>限制类</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4B1298">
            <w:pPr>
              <w:pStyle w:val="45"/>
              <w:bidi w:val="0"/>
              <w:rPr>
                <w:rFonts w:hint="eastAsia"/>
              </w:rPr>
            </w:pPr>
            <w:r>
              <w:rPr>
                <w:rFonts w:hint="eastAsia"/>
                <w:lang w:val="en-US" w:eastAsia="zh-CN"/>
              </w:rPr>
              <w:t>属于《产业结构调整指导目录（2024年本）》限制类工艺和设备的项目</w:t>
            </w:r>
          </w:p>
        </w:tc>
        <w:tc>
          <w:tcPr>
            <w:tcW w:w="21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C288AD">
            <w:pPr>
              <w:pStyle w:val="45"/>
              <w:bidi w:val="0"/>
              <w:rPr>
                <w:rFonts w:hint="eastAsia"/>
              </w:rPr>
            </w:pPr>
          </w:p>
        </w:tc>
      </w:tr>
      <w:tr w14:paraId="66D996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0" w:hRule="atLeast"/>
        </w:trPr>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A6DABA">
            <w:pPr>
              <w:pStyle w:val="45"/>
              <w:bidi w:val="0"/>
              <w:rPr>
                <w:rFonts w:hint="eastAsia"/>
              </w:rPr>
            </w:pP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F7A3F1">
            <w:pPr>
              <w:pStyle w:val="45"/>
              <w:bidi w:val="0"/>
              <w:rPr>
                <w:rFonts w:hint="eastAsia"/>
              </w:rPr>
            </w:pPr>
            <w:r>
              <w:rPr>
                <w:rFonts w:hint="eastAsia"/>
                <w:lang w:val="en-US" w:eastAsia="zh-CN"/>
              </w:rPr>
              <w:t>禁止类</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37CB44">
            <w:pPr>
              <w:pStyle w:val="45"/>
              <w:bidi w:val="0"/>
              <w:rPr>
                <w:rFonts w:hint="eastAsia"/>
                <w:lang w:val="en-US" w:eastAsia="zh-CN"/>
              </w:rPr>
            </w:pPr>
            <w:r>
              <w:rPr>
                <w:rFonts w:hint="eastAsia"/>
                <w:lang w:val="en-US" w:eastAsia="zh-CN"/>
              </w:rPr>
              <w:t>1、禁止引进《限期淘汰产生严重污染环境的工业固体废物的落后生产工艺设备名录》及《产业结构调整指导目录（2024年本）》淘汰类工艺和设备的项目。</w:t>
            </w:r>
          </w:p>
          <w:p w14:paraId="0B3C7931">
            <w:pPr>
              <w:pStyle w:val="45"/>
              <w:bidi w:val="0"/>
              <w:rPr>
                <w:rFonts w:hint="eastAsia"/>
              </w:rPr>
            </w:pPr>
            <w:r>
              <w:rPr>
                <w:rFonts w:hint="eastAsia"/>
                <w:lang w:val="en-US" w:eastAsia="zh-CN"/>
              </w:rPr>
              <w:t>2、C26化学原料和化学制品制造业(不包括 C267炸药、火工及焰火产品制造、C268 日用化学产品制造和单纯物理分离、混合、提纯及分装的项目)、C3041平板玻璃制造（光伏玻璃除外）、以矿石为原料黑色金属冶炼和有色金属冶炼项目。</w:t>
            </w:r>
          </w:p>
        </w:tc>
        <w:tc>
          <w:tcPr>
            <w:tcW w:w="21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24E2B0">
            <w:pPr>
              <w:pStyle w:val="45"/>
              <w:bidi w:val="0"/>
              <w:rPr>
                <w:rFonts w:hint="eastAsia"/>
              </w:rPr>
            </w:pPr>
          </w:p>
        </w:tc>
      </w:tr>
      <w:tr w14:paraId="05A956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5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6CCE5E6">
            <w:pPr>
              <w:pStyle w:val="45"/>
              <w:bidi w:val="0"/>
              <w:rPr>
                <w:rFonts w:hint="eastAsia"/>
              </w:rPr>
            </w:pPr>
            <w:r>
              <w:rPr>
                <w:rFonts w:hint="eastAsia"/>
                <w:lang w:val="en-US" w:eastAsia="zh-CN"/>
              </w:rPr>
              <w:t>樟木化工片区</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0C80F9">
            <w:pPr>
              <w:pStyle w:val="45"/>
              <w:bidi w:val="0"/>
              <w:rPr>
                <w:rFonts w:hint="eastAsia"/>
              </w:rPr>
            </w:pPr>
            <w:r>
              <w:rPr>
                <w:rFonts w:hint="eastAsia"/>
                <w:lang w:val="en-US" w:eastAsia="zh-CN"/>
              </w:rPr>
              <w:t>主导类</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AF0491">
            <w:pPr>
              <w:pStyle w:val="45"/>
              <w:bidi w:val="0"/>
              <w:rPr>
                <w:rFonts w:hint="eastAsia"/>
              </w:rPr>
            </w:pPr>
            <w:r>
              <w:rPr>
                <w:rFonts w:hint="eastAsia"/>
                <w:lang w:val="en-US" w:eastAsia="zh-CN"/>
              </w:rPr>
              <w:t>重点发展盐卤化工，以及盐卤化工下游以电子化学品、高分子材料、聚氯乙烯及工程塑料、先进储能材料为主的新材料产业。</w:t>
            </w:r>
          </w:p>
        </w:tc>
        <w:tc>
          <w:tcPr>
            <w:tcW w:w="214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82B657A">
            <w:pPr>
              <w:pStyle w:val="45"/>
              <w:bidi w:val="0"/>
              <w:rPr>
                <w:rFonts w:hint="eastAsia"/>
              </w:rPr>
            </w:pPr>
            <w:r>
              <w:rPr>
                <w:rFonts w:hint="eastAsia"/>
                <w:lang w:val="en-US" w:eastAsia="zh-CN"/>
              </w:rPr>
              <w:t>本项目不在该区域</w:t>
            </w:r>
          </w:p>
        </w:tc>
      </w:tr>
      <w:tr w14:paraId="40F270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E54A84">
            <w:pPr>
              <w:pStyle w:val="45"/>
              <w:bidi w:val="0"/>
              <w:rPr>
                <w:rFonts w:hint="eastAsia"/>
              </w:rPr>
            </w:pP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9E4FC9">
            <w:pPr>
              <w:pStyle w:val="45"/>
              <w:bidi w:val="0"/>
              <w:rPr>
                <w:rFonts w:hint="eastAsia"/>
              </w:rPr>
            </w:pPr>
            <w:r>
              <w:rPr>
                <w:rFonts w:hint="eastAsia"/>
                <w:lang w:val="en-US" w:eastAsia="zh-CN"/>
              </w:rPr>
              <w:t>限制类</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72A855">
            <w:pPr>
              <w:pStyle w:val="45"/>
              <w:bidi w:val="0"/>
              <w:rPr>
                <w:rFonts w:hint="eastAsia"/>
              </w:rPr>
            </w:pPr>
            <w:r>
              <w:rPr>
                <w:rFonts w:hint="eastAsia"/>
                <w:lang w:val="en-US" w:eastAsia="zh-CN"/>
              </w:rPr>
              <w:t>属于《产业结构调整指导目录（2024年本）》限制类工艺和设备的项目</w:t>
            </w:r>
          </w:p>
        </w:tc>
        <w:tc>
          <w:tcPr>
            <w:tcW w:w="21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5CE96C">
            <w:pPr>
              <w:pStyle w:val="45"/>
              <w:bidi w:val="0"/>
              <w:rPr>
                <w:rFonts w:hint="eastAsia"/>
              </w:rPr>
            </w:pPr>
          </w:p>
        </w:tc>
      </w:tr>
      <w:tr w14:paraId="331B8B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0" w:hRule="atLeast"/>
        </w:trPr>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148AF5">
            <w:pPr>
              <w:pStyle w:val="45"/>
              <w:bidi w:val="0"/>
              <w:rPr>
                <w:rFonts w:hint="eastAsia"/>
              </w:rPr>
            </w:pP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898E7E">
            <w:pPr>
              <w:pStyle w:val="45"/>
              <w:bidi w:val="0"/>
              <w:rPr>
                <w:rFonts w:hint="eastAsia"/>
              </w:rPr>
            </w:pPr>
            <w:r>
              <w:rPr>
                <w:rFonts w:hint="eastAsia"/>
                <w:lang w:val="en-US" w:eastAsia="zh-CN"/>
              </w:rPr>
              <w:t>禁止类</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A72A8D">
            <w:pPr>
              <w:pStyle w:val="45"/>
              <w:bidi w:val="0"/>
              <w:rPr>
                <w:rFonts w:hint="eastAsia"/>
                <w:lang w:val="en-US" w:eastAsia="zh-CN"/>
              </w:rPr>
            </w:pPr>
            <w:r>
              <w:rPr>
                <w:rFonts w:hint="eastAsia"/>
                <w:lang w:val="en-US" w:eastAsia="zh-CN"/>
              </w:rPr>
              <w:t>1、禁止引进《限期淘汰产生严重污染环境的工业固体废物的落后生产工艺设备名录》及《产业结构调整指导目录（2024年本）》淘汰类工艺和设备的项目。</w:t>
            </w:r>
          </w:p>
          <w:p w14:paraId="01AA7EE3">
            <w:pPr>
              <w:pStyle w:val="45"/>
              <w:bidi w:val="0"/>
              <w:rPr>
                <w:rFonts w:hint="eastAsia"/>
                <w:lang w:val="en-US" w:eastAsia="zh-CN"/>
              </w:rPr>
            </w:pPr>
            <w:r>
              <w:rPr>
                <w:rFonts w:hint="eastAsia"/>
                <w:lang w:val="en-US" w:eastAsia="zh-CN"/>
              </w:rPr>
              <w:t>2、以含锌工业固体废物为主要原料生产氧化锌、次氧化锌、硫酸锌的项目。</w:t>
            </w:r>
          </w:p>
          <w:p w14:paraId="067CB65F">
            <w:pPr>
              <w:pStyle w:val="45"/>
              <w:bidi w:val="0"/>
              <w:rPr>
                <w:rFonts w:hint="eastAsia"/>
                <w:lang w:val="en-US" w:eastAsia="zh-CN"/>
              </w:rPr>
            </w:pPr>
            <w:r>
              <w:rPr>
                <w:rFonts w:hint="eastAsia"/>
                <w:lang w:val="en-US" w:eastAsia="zh-CN"/>
              </w:rPr>
              <w:t>3、以废杂有色金属（金属状态的废料，包括各类烟尘、渣、泥等有色金属二次资源）为原料生产有色金属及其合金的项目。</w:t>
            </w:r>
          </w:p>
          <w:p w14:paraId="5FFE3BF8">
            <w:pPr>
              <w:pStyle w:val="45"/>
              <w:bidi w:val="0"/>
              <w:rPr>
                <w:rFonts w:hint="eastAsia"/>
              </w:rPr>
            </w:pPr>
            <w:r>
              <w:rPr>
                <w:rFonts w:hint="eastAsia"/>
                <w:lang w:val="en-US" w:eastAsia="zh-CN"/>
              </w:rPr>
              <w:t>4、以矿石为原料的有色金属冶炼项目。</w:t>
            </w:r>
          </w:p>
        </w:tc>
        <w:tc>
          <w:tcPr>
            <w:tcW w:w="21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2CEF43">
            <w:pPr>
              <w:pStyle w:val="45"/>
              <w:bidi w:val="0"/>
              <w:rPr>
                <w:rFonts w:hint="eastAsia"/>
              </w:rPr>
            </w:pPr>
          </w:p>
        </w:tc>
      </w:tr>
      <w:tr w14:paraId="0196C7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5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F0B47C7">
            <w:pPr>
              <w:pStyle w:val="45"/>
              <w:bidi w:val="0"/>
              <w:rPr>
                <w:rFonts w:hint="eastAsia"/>
              </w:rPr>
            </w:pPr>
            <w:r>
              <w:rPr>
                <w:rFonts w:hint="eastAsia"/>
                <w:lang w:val="en-US" w:eastAsia="zh-CN"/>
              </w:rPr>
              <w:t>江东片区</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618A01">
            <w:pPr>
              <w:pStyle w:val="45"/>
              <w:bidi w:val="0"/>
              <w:rPr>
                <w:rFonts w:hint="eastAsia"/>
              </w:rPr>
            </w:pPr>
            <w:r>
              <w:rPr>
                <w:rFonts w:hint="eastAsia"/>
                <w:lang w:val="en-US" w:eastAsia="zh-CN"/>
              </w:rPr>
              <w:t>主导类</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BE3DB4">
            <w:pPr>
              <w:pStyle w:val="45"/>
              <w:bidi w:val="0"/>
              <w:rPr>
                <w:rFonts w:hint="eastAsia"/>
              </w:rPr>
            </w:pPr>
            <w:r>
              <w:rPr>
                <w:rFonts w:hint="eastAsia"/>
                <w:lang w:val="en-US" w:eastAsia="zh-CN"/>
              </w:rPr>
              <w:t>片区已开发完全，建有湖南省湘衡盐化有限责任公司。重点发展B1030采盐，C1494盐加工。</w:t>
            </w:r>
          </w:p>
        </w:tc>
        <w:tc>
          <w:tcPr>
            <w:tcW w:w="214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6AD646D">
            <w:pPr>
              <w:pStyle w:val="45"/>
              <w:bidi w:val="0"/>
              <w:rPr>
                <w:rFonts w:hint="eastAsia"/>
              </w:rPr>
            </w:pPr>
            <w:r>
              <w:rPr>
                <w:rFonts w:hint="eastAsia"/>
                <w:lang w:val="en-US" w:eastAsia="zh-CN"/>
              </w:rPr>
              <w:t>本项目不在该区域</w:t>
            </w:r>
          </w:p>
        </w:tc>
      </w:tr>
      <w:tr w14:paraId="00723F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4CDBF0">
            <w:pPr>
              <w:pStyle w:val="45"/>
              <w:bidi w:val="0"/>
              <w:rPr>
                <w:rFonts w:hint="eastAsia"/>
              </w:rPr>
            </w:pP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1DD02B">
            <w:pPr>
              <w:pStyle w:val="45"/>
              <w:bidi w:val="0"/>
              <w:rPr>
                <w:rFonts w:hint="eastAsia"/>
              </w:rPr>
            </w:pPr>
            <w:r>
              <w:rPr>
                <w:rFonts w:hint="eastAsia"/>
                <w:lang w:val="en-US" w:eastAsia="zh-CN"/>
              </w:rPr>
              <w:t>限制类</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E2B535">
            <w:pPr>
              <w:pStyle w:val="45"/>
              <w:bidi w:val="0"/>
              <w:rPr>
                <w:rFonts w:hint="eastAsia"/>
              </w:rPr>
            </w:pPr>
            <w:r>
              <w:rPr>
                <w:rFonts w:hint="eastAsia"/>
                <w:lang w:val="en-US" w:eastAsia="zh-CN"/>
              </w:rPr>
              <w:t>属于《产业结构调整指导目录（2024年本）》限制类工艺和设备的项目</w:t>
            </w:r>
          </w:p>
        </w:tc>
        <w:tc>
          <w:tcPr>
            <w:tcW w:w="21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8043E9">
            <w:pPr>
              <w:pStyle w:val="45"/>
              <w:bidi w:val="0"/>
              <w:rPr>
                <w:rFonts w:hint="eastAsia"/>
              </w:rPr>
            </w:pPr>
          </w:p>
        </w:tc>
      </w:tr>
      <w:tr w14:paraId="7A6A6C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5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58A612">
            <w:pPr>
              <w:pStyle w:val="45"/>
              <w:bidi w:val="0"/>
              <w:rPr>
                <w:rFonts w:hint="eastAsia"/>
              </w:rPr>
            </w:pP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889905">
            <w:pPr>
              <w:pStyle w:val="45"/>
              <w:bidi w:val="0"/>
              <w:rPr>
                <w:rFonts w:hint="eastAsia"/>
              </w:rPr>
            </w:pPr>
            <w:r>
              <w:rPr>
                <w:rFonts w:hint="eastAsia"/>
                <w:lang w:val="en-US" w:eastAsia="zh-CN"/>
              </w:rPr>
              <w:t>禁止类</w:t>
            </w:r>
          </w:p>
        </w:tc>
        <w:tc>
          <w:tcPr>
            <w:tcW w:w="45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D59ADE">
            <w:pPr>
              <w:pStyle w:val="45"/>
              <w:bidi w:val="0"/>
              <w:rPr>
                <w:rFonts w:hint="eastAsia"/>
              </w:rPr>
            </w:pPr>
            <w:r>
              <w:rPr>
                <w:rFonts w:hint="eastAsia"/>
                <w:lang w:val="en-US" w:eastAsia="zh-CN"/>
              </w:rPr>
              <w:t>禁止建设《限期淘汰产生严重污染环境的工业固体废物的落后生产工艺设备名录》及《产业结构调整指导目录（2024年本）》淘汰类工艺和设备的项目。</w:t>
            </w:r>
          </w:p>
        </w:tc>
        <w:tc>
          <w:tcPr>
            <w:tcW w:w="21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043905">
            <w:pPr>
              <w:pStyle w:val="45"/>
              <w:bidi w:val="0"/>
              <w:rPr>
                <w:rFonts w:hint="eastAsia"/>
              </w:rPr>
            </w:pPr>
          </w:p>
        </w:tc>
      </w:tr>
    </w:tbl>
    <w:p w14:paraId="018FE781">
      <w:pPr>
        <w:pStyle w:val="45"/>
        <w:bidi w:val="0"/>
        <w:jc w:val="both"/>
      </w:pPr>
    </w:p>
    <w:p w14:paraId="7CE818A6">
      <w:pPr>
        <w:ind w:firstLine="482"/>
        <w:rPr>
          <w:highlight w:val="none"/>
        </w:rPr>
      </w:pPr>
      <w:r>
        <w:rPr>
          <w:rFonts w:hint="eastAsia"/>
          <w:b/>
          <w:bCs/>
          <w:highlight w:val="none"/>
        </w:rPr>
        <w:t>相符性分析：</w:t>
      </w:r>
      <w:r>
        <w:rPr>
          <w:rFonts w:hint="eastAsia"/>
          <w:highlight w:val="none"/>
        </w:rPr>
        <w:t>本项目东距湘江岸线1.6km，不在湘江1km范围内；本项目不涉及重金属，生产过程无工艺废水外排。本项目属于化工项目，位于园区规划的化工片区，用地性质属于三类工业用地，符合开发区产业定位，符合园区的产业布局规划和用地规划。本项目符合园区产业定位、用地规划，符合国家产业政策，不属于负面清单中的名目，并严格按照要求建设污染防治设施，执行“三同时”制度，满足《湖南衡阳松木经济开发区调区扩区规划环境影响报告书》的要求。因此本项目建设符合松木经济开发区的产业定位和用地规划。</w:t>
      </w:r>
    </w:p>
    <w:p w14:paraId="3471F5FF">
      <w:pPr>
        <w:pStyle w:val="5"/>
      </w:pPr>
      <w:bookmarkStart w:id="37" w:name="_Toc20112"/>
      <w:r>
        <w:rPr>
          <w:rFonts w:hint="eastAsia"/>
        </w:rPr>
        <w:t>与“三线一单”相符性分析</w:t>
      </w:r>
      <w:bookmarkEnd w:id="37"/>
    </w:p>
    <w:p w14:paraId="0A765955">
      <w:pPr>
        <w:ind w:firstLine="480"/>
      </w:pPr>
      <w:r>
        <w:t>根据湖南省人民政府《关于印发&lt;湖南省生态保护红线&gt;的通知》（湘政发[2018]20 号），对照2020 年11 月湖南省生态环境厅发布的《湖南省“三线一单”生态环境总体管控要求暨省级以上产业园区生态环境准入清单》及2020 年12 月衡阳市人民政府发布的《衡阳市人民政府关于实施“三线一单”生态环境分区管控的意见》</w:t>
      </w:r>
      <w:r>
        <w:rPr>
          <w:rFonts w:hint="eastAsia"/>
        </w:rPr>
        <w:t>，本项目与“三线一单”相符性分析如下：</w:t>
      </w:r>
    </w:p>
    <w:p w14:paraId="5B21CF92">
      <w:pPr>
        <w:pStyle w:val="6"/>
        <w:ind w:firstLine="482"/>
      </w:pPr>
      <w:bookmarkStart w:id="38" w:name="_Toc31715"/>
      <w:r>
        <w:rPr>
          <w:rFonts w:hint="eastAsia"/>
        </w:rPr>
        <w:t>与生态保护红线相符性分析</w:t>
      </w:r>
      <w:bookmarkEnd w:id="38"/>
    </w:p>
    <w:p w14:paraId="58988773">
      <w:pPr>
        <w:ind w:firstLine="480"/>
      </w:pPr>
      <w:r>
        <w:rPr>
          <w:rFonts w:hint="eastAsia"/>
        </w:rPr>
        <w:t>本项目所在区域为工业用地，不涉及重点生态功能区、生态敏感区、生态脆弱区、禁止开发区以及其他未列入上述范围、但具有重要生态功能或生态环境敏感、脆弱的区域，不属于生态红线管控区，符合生态红线区域保护规划。</w:t>
      </w:r>
    </w:p>
    <w:p w14:paraId="0351E14C">
      <w:pPr>
        <w:pStyle w:val="6"/>
        <w:ind w:firstLine="482"/>
      </w:pPr>
      <w:bookmarkStart w:id="39" w:name="_Toc4782"/>
      <w:r>
        <w:rPr>
          <w:rFonts w:hint="eastAsia"/>
        </w:rPr>
        <w:t>与环境质量底线相符性分析</w:t>
      </w:r>
      <w:bookmarkEnd w:id="39"/>
    </w:p>
    <w:p w14:paraId="06A3650C">
      <w:pPr>
        <w:ind w:firstLine="480"/>
      </w:pPr>
      <w:r>
        <w:rPr>
          <w:rFonts w:hint="eastAsia"/>
        </w:rPr>
        <w:t>本项目所在区域环境空气属于《环境空气质量标准》（GB3095-2012）中二类功能区，地表水环境功能属于《地表水环境质量标准》（GB3838-2002）中Ⅲ类功能区，声环境属于《声环境质量标准》（GB3096-2008）中3类、4a类功能区。本项目产生的三废均能有效处理，采取相应治理措施后可达标排放。因此本项目建设不会对当地环境质量底线造成冲击。</w:t>
      </w:r>
    </w:p>
    <w:p w14:paraId="7BF8B7AF">
      <w:pPr>
        <w:pStyle w:val="6"/>
        <w:ind w:firstLine="482"/>
      </w:pPr>
      <w:bookmarkStart w:id="40" w:name="_Toc9203"/>
      <w:r>
        <w:rPr>
          <w:rFonts w:hint="eastAsia"/>
        </w:rPr>
        <w:t>与资源利用上线相符性分析</w:t>
      </w:r>
      <w:bookmarkEnd w:id="40"/>
    </w:p>
    <w:p w14:paraId="1A654CD1">
      <w:pPr>
        <w:ind w:firstLine="480"/>
      </w:pPr>
      <w:r>
        <w:rPr>
          <w:rFonts w:hint="eastAsia"/>
        </w:rPr>
        <w:t>本项目生产过程中所用的资源主要为水、电，项目用水由市政管网供给，项目用电由当地电网供电，不会超过当地资源利用量，符合资源利用上线要求。</w:t>
      </w:r>
    </w:p>
    <w:p w14:paraId="77498D24">
      <w:pPr>
        <w:pStyle w:val="6"/>
        <w:ind w:firstLine="482"/>
      </w:pPr>
      <w:bookmarkStart w:id="41" w:name="_Toc6502"/>
      <w:r>
        <w:rPr>
          <w:rFonts w:hint="eastAsia"/>
        </w:rPr>
        <w:t>与生态环境准入清单相符性分析</w:t>
      </w:r>
      <w:bookmarkEnd w:id="41"/>
    </w:p>
    <w:p w14:paraId="70AA74C7">
      <w:pPr>
        <w:pStyle w:val="43"/>
        <w:rPr>
          <w:rFonts w:hint="default"/>
        </w:rPr>
      </w:pPr>
      <w:r>
        <w:rPr>
          <w:rFonts w:hint="default"/>
        </w:rPr>
        <w:t>与生态环境准入清单相符性分析</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5"/>
        <w:gridCol w:w="4620"/>
        <w:gridCol w:w="2250"/>
        <w:gridCol w:w="757"/>
      </w:tblGrid>
      <w:tr w14:paraId="4221A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525" w:type="pct"/>
            <w:vAlign w:val="center"/>
          </w:tcPr>
          <w:p w14:paraId="3DC43C15">
            <w:pPr>
              <w:pStyle w:val="45"/>
              <w:rPr>
                <w:rFonts w:hint="default"/>
                <w:b/>
                <w:bCs/>
              </w:rPr>
            </w:pPr>
            <w:r>
              <w:rPr>
                <w:b/>
                <w:bCs/>
              </w:rPr>
              <w:t>管控维度</w:t>
            </w:r>
          </w:p>
        </w:tc>
        <w:tc>
          <w:tcPr>
            <w:tcW w:w="2710" w:type="pct"/>
            <w:vAlign w:val="center"/>
          </w:tcPr>
          <w:p w14:paraId="33E6FA3A">
            <w:pPr>
              <w:pStyle w:val="45"/>
              <w:rPr>
                <w:rFonts w:hint="default"/>
                <w:b/>
                <w:bCs/>
              </w:rPr>
            </w:pPr>
            <w:r>
              <w:rPr>
                <w:b/>
                <w:bCs/>
              </w:rPr>
              <w:t>管控要求</w:t>
            </w:r>
          </w:p>
        </w:tc>
        <w:tc>
          <w:tcPr>
            <w:tcW w:w="1320" w:type="pct"/>
            <w:vAlign w:val="center"/>
          </w:tcPr>
          <w:p w14:paraId="02E09625">
            <w:pPr>
              <w:pStyle w:val="45"/>
              <w:rPr>
                <w:rFonts w:hint="default"/>
                <w:b/>
                <w:bCs/>
              </w:rPr>
            </w:pPr>
            <w:r>
              <w:rPr>
                <w:b/>
                <w:bCs/>
              </w:rPr>
              <w:t>本项目情况</w:t>
            </w:r>
          </w:p>
        </w:tc>
        <w:tc>
          <w:tcPr>
            <w:tcW w:w="444" w:type="pct"/>
            <w:vAlign w:val="center"/>
          </w:tcPr>
          <w:p w14:paraId="7A73B6B7">
            <w:pPr>
              <w:pStyle w:val="45"/>
              <w:rPr>
                <w:rFonts w:hint="default"/>
                <w:b/>
                <w:bCs/>
              </w:rPr>
            </w:pPr>
            <w:r>
              <w:rPr>
                <w:b/>
                <w:bCs/>
              </w:rPr>
              <w:t>相符性</w:t>
            </w:r>
          </w:p>
        </w:tc>
      </w:tr>
      <w:tr w14:paraId="1BBDD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pct"/>
            <w:vMerge w:val="restart"/>
            <w:vAlign w:val="center"/>
          </w:tcPr>
          <w:p w14:paraId="59750C96">
            <w:pPr>
              <w:pStyle w:val="45"/>
              <w:rPr>
                <w:rFonts w:hint="default"/>
              </w:rPr>
            </w:pPr>
            <w:r>
              <w:t>空间布局约束</w:t>
            </w:r>
          </w:p>
        </w:tc>
        <w:tc>
          <w:tcPr>
            <w:tcW w:w="2710" w:type="pct"/>
            <w:vAlign w:val="center"/>
          </w:tcPr>
          <w:p w14:paraId="33A44511">
            <w:pPr>
              <w:pStyle w:val="45"/>
              <w:rPr>
                <w:rFonts w:hint="default"/>
              </w:rPr>
            </w:pPr>
            <w:r>
              <w:t>规划布局：园区在下一步开发建设过程中应执行《长江保护法》的要求，禁止在湘江岸线1公里范围内（片区一）新建、扩建化工园区和化工项目。对于湘江岸线1公里范围区域不再作为化工片区规划和后续开发，根据《关于发布湖南省沿江1公里范围内化工生产企业搬迁改造名单的公告》，本片区内已存在的化工企业，鼓励搬迁类的应于2025年底完成搬迁改造任务，保留类的不再在原址扩产能，并应采取更加严格的安全环保措施，园区管理机构应予以严格监管，确保湘江水质安全。湘江岸线1公里范围内（片区一）不再布设三类工业用地，在空间规划中予以落实，化工片区（片区二）应严格边界管控，并与片区三相互协调形成合理布局，减少对经开区西部安置区、公租房、商业职业学院等目标的影响及对主导风向下风向城区的影响。</w:t>
            </w:r>
          </w:p>
        </w:tc>
        <w:tc>
          <w:tcPr>
            <w:tcW w:w="1320" w:type="pct"/>
            <w:vAlign w:val="center"/>
          </w:tcPr>
          <w:p w14:paraId="7E4A52EE">
            <w:pPr>
              <w:pStyle w:val="45"/>
              <w:rPr>
                <w:rFonts w:hint="default"/>
              </w:rPr>
            </w:pPr>
            <w:r>
              <w:t>本项目不在湘江岸线1公里范围内，在园区规划的三类工业用地内</w:t>
            </w:r>
          </w:p>
        </w:tc>
        <w:tc>
          <w:tcPr>
            <w:tcW w:w="444" w:type="pct"/>
            <w:vAlign w:val="center"/>
          </w:tcPr>
          <w:p w14:paraId="30D25591">
            <w:pPr>
              <w:pStyle w:val="45"/>
              <w:rPr>
                <w:rFonts w:hint="default"/>
              </w:rPr>
            </w:pPr>
            <w:r>
              <w:t>相符</w:t>
            </w:r>
          </w:p>
        </w:tc>
      </w:tr>
      <w:tr w14:paraId="72C7E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pct"/>
            <w:vMerge w:val="continue"/>
            <w:vAlign w:val="center"/>
          </w:tcPr>
          <w:p w14:paraId="60B38281">
            <w:pPr>
              <w:pStyle w:val="45"/>
              <w:rPr>
                <w:rFonts w:hint="default"/>
              </w:rPr>
            </w:pPr>
          </w:p>
        </w:tc>
        <w:tc>
          <w:tcPr>
            <w:tcW w:w="2710" w:type="pct"/>
            <w:vAlign w:val="center"/>
          </w:tcPr>
          <w:p w14:paraId="31195A6C">
            <w:pPr>
              <w:pStyle w:val="45"/>
              <w:rPr>
                <w:rFonts w:hint="default"/>
              </w:rPr>
            </w:pPr>
            <w:r>
              <w:t>周边控规。落实拆迁安置计划。落实报告书中提出的相关隔离带等要求，园区管委会与地方政府应共同做好控规，确保化工片区南侧边界外1km范围不新建居民区、学校、医院等环境敏感建筑或生态敏感区。杜绝在规划的工业用地上新增环境敏感目标，确保园区开发过程中的居民拆迁安置到位，防止发生居民再次安置和次生环境问题，对于具体项目环评设置防护距离和拆迁要求的，要确保予以落实。</w:t>
            </w:r>
          </w:p>
        </w:tc>
        <w:tc>
          <w:tcPr>
            <w:tcW w:w="1320" w:type="pct"/>
            <w:vAlign w:val="center"/>
          </w:tcPr>
          <w:p w14:paraId="10444CDD">
            <w:pPr>
              <w:pStyle w:val="45"/>
              <w:rPr>
                <w:rFonts w:hint="default"/>
                <w:color w:val="FF0000"/>
              </w:rPr>
            </w:pPr>
            <w:r>
              <w:rPr>
                <w:rFonts w:hint="eastAsia"/>
              </w:rPr>
              <w:t>根据预测结果，本项目不需要设置防护距离</w:t>
            </w:r>
          </w:p>
        </w:tc>
        <w:tc>
          <w:tcPr>
            <w:tcW w:w="444" w:type="pct"/>
            <w:vAlign w:val="center"/>
          </w:tcPr>
          <w:p w14:paraId="61CC64CD">
            <w:pPr>
              <w:pStyle w:val="45"/>
              <w:rPr>
                <w:rFonts w:hint="default"/>
              </w:rPr>
            </w:pPr>
            <w:r>
              <w:t>相符</w:t>
            </w:r>
          </w:p>
        </w:tc>
      </w:tr>
      <w:tr w14:paraId="4FA68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pct"/>
            <w:vMerge w:val="continue"/>
            <w:vAlign w:val="center"/>
          </w:tcPr>
          <w:p w14:paraId="5463027E">
            <w:pPr>
              <w:pStyle w:val="45"/>
              <w:rPr>
                <w:rFonts w:hint="default"/>
              </w:rPr>
            </w:pPr>
          </w:p>
        </w:tc>
        <w:tc>
          <w:tcPr>
            <w:tcW w:w="2710" w:type="pct"/>
            <w:vAlign w:val="center"/>
          </w:tcPr>
          <w:p w14:paraId="728B4320">
            <w:pPr>
              <w:pStyle w:val="45"/>
              <w:rPr>
                <w:rFonts w:hint="default"/>
              </w:rPr>
            </w:pPr>
            <w:r>
              <w:t>产业准入：园区产业引进应严格遵循《长江保护法》、《长江经济带发展负面清单》、《湘江保护条例》等法律法规及相关政策的要求，落实“三线一单”环境准入要求及《报告书》提出的准入条件，严格限制以“零排放”为名新引进实际存在重金属排放（包括随废气排放）或突发情形下排放重金属的产业项目，片区三应严格限制引入重点气型污染排放企业。</w:t>
            </w:r>
          </w:p>
        </w:tc>
        <w:tc>
          <w:tcPr>
            <w:tcW w:w="1320" w:type="pct"/>
            <w:vAlign w:val="center"/>
          </w:tcPr>
          <w:p w14:paraId="1AADD315">
            <w:pPr>
              <w:pStyle w:val="45"/>
              <w:rPr>
                <w:rFonts w:hint="default"/>
              </w:rPr>
            </w:pPr>
            <w:r>
              <w:t>本项目不涉及重金属排放；项目不在片区三内。</w:t>
            </w:r>
          </w:p>
        </w:tc>
        <w:tc>
          <w:tcPr>
            <w:tcW w:w="444" w:type="pct"/>
            <w:vAlign w:val="center"/>
          </w:tcPr>
          <w:p w14:paraId="61817BFD">
            <w:pPr>
              <w:pStyle w:val="45"/>
              <w:rPr>
                <w:rFonts w:hint="default"/>
              </w:rPr>
            </w:pPr>
            <w:r>
              <w:t>相符</w:t>
            </w:r>
          </w:p>
        </w:tc>
      </w:tr>
      <w:tr w14:paraId="3934E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pct"/>
            <w:vMerge w:val="restart"/>
            <w:vAlign w:val="center"/>
          </w:tcPr>
          <w:p w14:paraId="227A78CB">
            <w:pPr>
              <w:pStyle w:val="45"/>
              <w:rPr>
                <w:rFonts w:hint="default"/>
              </w:rPr>
            </w:pPr>
            <w:r>
              <w:t>污染物排放管控</w:t>
            </w:r>
          </w:p>
        </w:tc>
        <w:tc>
          <w:tcPr>
            <w:tcW w:w="2710" w:type="pct"/>
            <w:vAlign w:val="center"/>
          </w:tcPr>
          <w:p w14:paraId="28E86755">
            <w:pPr>
              <w:pStyle w:val="45"/>
              <w:rPr>
                <w:rFonts w:hint="default"/>
              </w:rPr>
            </w:pPr>
            <w:r>
              <w:t>1.废水：完善园区污水管网及集中处理设施建设，实行雨污分流，确保园区各片区生产生活废水应收尽收，集中纳入污水处理厂处理，园区不得超污水处理厂处理能力引进废水排放项目。</w:t>
            </w:r>
          </w:p>
        </w:tc>
        <w:tc>
          <w:tcPr>
            <w:tcW w:w="1320" w:type="pct"/>
            <w:vAlign w:val="center"/>
          </w:tcPr>
          <w:p w14:paraId="548571AA">
            <w:pPr>
              <w:pStyle w:val="45"/>
              <w:rPr>
                <w:rFonts w:hint="default"/>
              </w:rPr>
            </w:pPr>
            <w:r>
              <w:t>本项目不涉及一类污染物</w:t>
            </w:r>
            <w:r>
              <w:rPr>
                <w:rFonts w:hint="eastAsia"/>
                <w:lang w:val="en-US" w:eastAsia="zh-CN"/>
              </w:rPr>
              <w:t>和重金属排放，外排污水</w:t>
            </w:r>
            <w:r>
              <w:t>未超出污水处理厂处理能力</w:t>
            </w:r>
          </w:p>
        </w:tc>
        <w:tc>
          <w:tcPr>
            <w:tcW w:w="444" w:type="pct"/>
            <w:vAlign w:val="center"/>
          </w:tcPr>
          <w:p w14:paraId="1A2ACE42">
            <w:pPr>
              <w:pStyle w:val="45"/>
              <w:rPr>
                <w:rFonts w:hint="default"/>
              </w:rPr>
            </w:pPr>
            <w:r>
              <w:t>相符</w:t>
            </w:r>
          </w:p>
        </w:tc>
      </w:tr>
      <w:tr w14:paraId="62C98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pct"/>
            <w:vMerge w:val="continue"/>
            <w:vAlign w:val="center"/>
          </w:tcPr>
          <w:p w14:paraId="4CFEDFB1">
            <w:pPr>
              <w:pStyle w:val="45"/>
              <w:rPr>
                <w:rFonts w:hint="default"/>
              </w:rPr>
            </w:pPr>
          </w:p>
        </w:tc>
        <w:tc>
          <w:tcPr>
            <w:tcW w:w="2710" w:type="pct"/>
            <w:vAlign w:val="center"/>
          </w:tcPr>
          <w:p w14:paraId="631ED433">
            <w:pPr>
              <w:pStyle w:val="45"/>
              <w:rPr>
                <w:rFonts w:hint="default"/>
              </w:rPr>
            </w:pPr>
            <w:r>
              <w:t>2.废气：园区应推进清洁能源改造，现有使用高污染燃料的燃烧设施应改用清洁能源，完善污染防控措施。根据区域环境质量改善目标，加大对有毒有害气体和恶臭等突出环境问题的整治力度，重点控制涉氯排放企业氯气、氯化氢等特征污染物的无组织排放，加强对VOCs排放的治理，对排放长期无法达标的企业实行限期整改或关停。</w:t>
            </w:r>
          </w:p>
        </w:tc>
        <w:tc>
          <w:tcPr>
            <w:tcW w:w="1320" w:type="pct"/>
            <w:vAlign w:val="center"/>
          </w:tcPr>
          <w:p w14:paraId="71B31243">
            <w:pPr>
              <w:pStyle w:val="45"/>
              <w:rPr>
                <w:rFonts w:hint="default"/>
              </w:rPr>
            </w:pPr>
            <w:r>
              <w:t>本项目不新建燃煤锅炉；对各废气产生节点应收尽收，减少无组织排放；不涉及挥发性有机物</w:t>
            </w:r>
          </w:p>
        </w:tc>
        <w:tc>
          <w:tcPr>
            <w:tcW w:w="444" w:type="pct"/>
            <w:vAlign w:val="center"/>
          </w:tcPr>
          <w:p w14:paraId="22C3882F">
            <w:pPr>
              <w:pStyle w:val="45"/>
              <w:rPr>
                <w:rFonts w:hint="default"/>
              </w:rPr>
            </w:pPr>
            <w:r>
              <w:t>相符</w:t>
            </w:r>
          </w:p>
        </w:tc>
      </w:tr>
      <w:tr w14:paraId="77667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pct"/>
            <w:vMerge w:val="continue"/>
            <w:vAlign w:val="center"/>
          </w:tcPr>
          <w:p w14:paraId="3DD05735">
            <w:pPr>
              <w:pStyle w:val="45"/>
              <w:rPr>
                <w:rFonts w:hint="default"/>
              </w:rPr>
            </w:pPr>
          </w:p>
        </w:tc>
        <w:tc>
          <w:tcPr>
            <w:tcW w:w="2710" w:type="pct"/>
            <w:vAlign w:val="center"/>
          </w:tcPr>
          <w:p w14:paraId="605FD74C">
            <w:pPr>
              <w:pStyle w:val="45"/>
              <w:rPr>
                <w:rFonts w:hint="default"/>
              </w:rPr>
            </w:pPr>
            <w:r>
              <w:t>3.固废：做好工业固体废物和生活垃圾的分类收集、转运、综合利用和无害化处理，建立完善的固废管理体系。对危险固废应严格按照国家有关规定综合利用或妥善处置，对危险废物产生企业和经营单位，应强化日常环境监管。</w:t>
            </w:r>
          </w:p>
        </w:tc>
        <w:tc>
          <w:tcPr>
            <w:tcW w:w="1320" w:type="pct"/>
            <w:vAlign w:val="center"/>
          </w:tcPr>
          <w:p w14:paraId="513798EC">
            <w:pPr>
              <w:pStyle w:val="45"/>
              <w:rPr>
                <w:rFonts w:hint="default"/>
              </w:rPr>
            </w:pPr>
            <w:r>
              <w:t>本项目固废将设置符合相关贮存标准的一般固废和危废暂存间，且将妥善处置，不会对环境产生二次污染</w:t>
            </w:r>
          </w:p>
        </w:tc>
        <w:tc>
          <w:tcPr>
            <w:tcW w:w="444" w:type="pct"/>
            <w:vAlign w:val="center"/>
          </w:tcPr>
          <w:p w14:paraId="6004C81A">
            <w:pPr>
              <w:pStyle w:val="45"/>
              <w:rPr>
                <w:rFonts w:hint="default"/>
              </w:rPr>
            </w:pPr>
            <w:r>
              <w:t>相符</w:t>
            </w:r>
          </w:p>
        </w:tc>
      </w:tr>
      <w:tr w14:paraId="3BB37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pct"/>
            <w:vMerge w:val="restart"/>
            <w:vAlign w:val="center"/>
          </w:tcPr>
          <w:p w14:paraId="6D60E123">
            <w:pPr>
              <w:pStyle w:val="45"/>
              <w:rPr>
                <w:rFonts w:hint="default"/>
              </w:rPr>
            </w:pPr>
            <w:r>
              <w:t>环境风险防控</w:t>
            </w:r>
          </w:p>
        </w:tc>
        <w:tc>
          <w:tcPr>
            <w:tcW w:w="2710" w:type="pct"/>
            <w:vAlign w:val="center"/>
          </w:tcPr>
          <w:p w14:paraId="43971390">
            <w:pPr>
              <w:pStyle w:val="45"/>
              <w:rPr>
                <w:rFonts w:hint="default"/>
              </w:rPr>
            </w:pPr>
            <w:r>
              <w:t>1.完善监测体系，监控环境质量变化状况。加强对园区周边土壤环境和纳污水体重金属浓度的跟踪监测，加强对涉重金属排放企业以及“重金属零排放”企业，特别是涉铊排放企业的监督性监测，完善对重点排放企业的在线监测设施，严防相关企业废水偷排漏排，或利用降雨等条件非法排放，依据后续监测结果强化污染溯源分析。加强对涉氯排放企业的监督性监测，重点监控无组织排放超标情况。合理布局小微站，并涵盖氯气、氯化氢等特征污染物监测，加强对周边空气质量监测和污染溯源分析，通过充分、客观的监测数据回应周边群众投诉。</w:t>
            </w:r>
          </w:p>
        </w:tc>
        <w:tc>
          <w:tcPr>
            <w:tcW w:w="1320" w:type="pct"/>
            <w:vAlign w:val="center"/>
          </w:tcPr>
          <w:p w14:paraId="633C49CE">
            <w:pPr>
              <w:pStyle w:val="45"/>
              <w:rPr>
                <w:rFonts w:hint="default"/>
              </w:rPr>
            </w:pPr>
            <w:r>
              <w:t>本项目按相关要求设置雨水收集处理系统；本项目虽有涉氯废气排放，但排放浓度较低</w:t>
            </w:r>
          </w:p>
        </w:tc>
        <w:tc>
          <w:tcPr>
            <w:tcW w:w="444" w:type="pct"/>
            <w:vAlign w:val="center"/>
          </w:tcPr>
          <w:p w14:paraId="2FB21B46">
            <w:pPr>
              <w:pStyle w:val="45"/>
              <w:rPr>
                <w:rFonts w:hint="default"/>
              </w:rPr>
            </w:pPr>
            <w:r>
              <w:t>相符</w:t>
            </w:r>
          </w:p>
        </w:tc>
      </w:tr>
      <w:tr w14:paraId="4014E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pct"/>
            <w:vMerge w:val="continue"/>
            <w:vAlign w:val="center"/>
          </w:tcPr>
          <w:p w14:paraId="3C01BDE4">
            <w:pPr>
              <w:pStyle w:val="45"/>
              <w:rPr>
                <w:rFonts w:hint="default"/>
              </w:rPr>
            </w:pPr>
          </w:p>
        </w:tc>
        <w:tc>
          <w:tcPr>
            <w:tcW w:w="2710" w:type="pct"/>
            <w:vAlign w:val="center"/>
          </w:tcPr>
          <w:p w14:paraId="2B67418E">
            <w:pPr>
              <w:pStyle w:val="45"/>
              <w:rPr>
                <w:rFonts w:hint="default"/>
              </w:rPr>
            </w:pPr>
            <w:r>
              <w:t>2.强化风险管控，严防园区环境事故。建立健全园区环境风险管理工作长效机制，加强园区环境风险防控、预警和应急体系建设。落实环境风险防控措施，及时完成园区环境应急预案的修订和备案工作及推动重点污染企业环境应急预案编制和备案工作，加强应急救援队伍、装备和设施建设，储备必要的应急物资，有计划地组织应急培训和演练，全面提升园区风险防控和事故应急处置能力。化工片区应建设公共的事故水池、应急截流沟等环境风险设施，完善单元-企业-园区“三级”环境风险防范和企业-园区-地方政府“三级”环境风险应急体系管控要求，重点强化湘江岸线1公里的环境风险防控。</w:t>
            </w:r>
          </w:p>
        </w:tc>
        <w:tc>
          <w:tcPr>
            <w:tcW w:w="1320" w:type="pct"/>
            <w:vAlign w:val="center"/>
          </w:tcPr>
          <w:p w14:paraId="7D1020CF">
            <w:pPr>
              <w:pStyle w:val="45"/>
              <w:rPr>
                <w:rFonts w:hint="default"/>
              </w:rPr>
            </w:pPr>
            <w:r>
              <w:t>园区已经制定了相关的应急预案，严防环境风险事故发生，企业将按相关要求编制应急预案。</w:t>
            </w:r>
          </w:p>
        </w:tc>
        <w:tc>
          <w:tcPr>
            <w:tcW w:w="444" w:type="pct"/>
            <w:vAlign w:val="center"/>
          </w:tcPr>
          <w:p w14:paraId="3598F286">
            <w:pPr>
              <w:pStyle w:val="45"/>
              <w:rPr>
                <w:rFonts w:hint="default"/>
              </w:rPr>
            </w:pPr>
          </w:p>
        </w:tc>
      </w:tr>
      <w:tr w14:paraId="11CCB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pct"/>
            <w:vMerge w:val="restart"/>
            <w:vAlign w:val="center"/>
          </w:tcPr>
          <w:p w14:paraId="122EDEC4">
            <w:pPr>
              <w:pStyle w:val="45"/>
              <w:rPr>
                <w:rFonts w:hint="default"/>
              </w:rPr>
            </w:pPr>
            <w:r>
              <w:t>资源开发效率要求</w:t>
            </w:r>
          </w:p>
        </w:tc>
        <w:tc>
          <w:tcPr>
            <w:tcW w:w="2710" w:type="pct"/>
            <w:vAlign w:val="center"/>
          </w:tcPr>
          <w:p w14:paraId="25EBF0F9">
            <w:pPr>
              <w:pStyle w:val="45"/>
              <w:rPr>
                <w:rFonts w:hint="default"/>
              </w:rPr>
            </w:pPr>
            <w:r>
              <w:t>1.能源：新建项目必须使用清洁能源，扩区范围限制新批燃煤设施，现有园区燃煤装置燃煤含硫率在1%以下。提高能源支撑保障能力、加快转变能源发展方式、推进能源结构调整、促进节能减排，在园区新建燃气热电联产机组，推广天然气利用，提高清洁能源消费比例，到2025年园区年综合能源消费量当量值控制为90.2298万吨标煤，单位GDP能耗当量值控制为0.390吨标煤/万元；</w:t>
            </w:r>
          </w:p>
        </w:tc>
        <w:tc>
          <w:tcPr>
            <w:tcW w:w="1320" w:type="pct"/>
            <w:vAlign w:val="center"/>
          </w:tcPr>
          <w:p w14:paraId="6BE6692F">
            <w:pPr>
              <w:pStyle w:val="45"/>
              <w:rPr>
                <w:rFonts w:hint="default"/>
              </w:rPr>
            </w:pPr>
            <w:r>
              <w:t>本项目不涉及燃煤设施，使用电能为清洁能源</w:t>
            </w:r>
          </w:p>
        </w:tc>
        <w:tc>
          <w:tcPr>
            <w:tcW w:w="444" w:type="pct"/>
            <w:vAlign w:val="center"/>
          </w:tcPr>
          <w:p w14:paraId="79E1DF0F">
            <w:pPr>
              <w:pStyle w:val="45"/>
              <w:rPr>
                <w:rFonts w:hint="default"/>
              </w:rPr>
            </w:pPr>
            <w:r>
              <w:t>相符</w:t>
            </w:r>
          </w:p>
        </w:tc>
      </w:tr>
      <w:tr w14:paraId="161CC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pct"/>
            <w:vMerge w:val="continue"/>
            <w:vAlign w:val="center"/>
          </w:tcPr>
          <w:p w14:paraId="155CA0CA">
            <w:pPr>
              <w:pStyle w:val="45"/>
              <w:rPr>
                <w:rFonts w:hint="default"/>
              </w:rPr>
            </w:pPr>
          </w:p>
        </w:tc>
        <w:tc>
          <w:tcPr>
            <w:tcW w:w="2710" w:type="pct"/>
            <w:vAlign w:val="center"/>
          </w:tcPr>
          <w:p w14:paraId="150C71B4">
            <w:pPr>
              <w:pStyle w:val="45"/>
              <w:rPr>
                <w:rFonts w:hint="default"/>
              </w:rPr>
            </w:pPr>
            <w:r>
              <w:t>2.水资源：强化工业节水，淘汰落后的用水技术、工艺、产品和设备，开展高耗水工业行业节水技术改造，开展水平衡测试和用水效率评估，大力推广工业水循环利用， 推进节水型企业、节水型工业园区建设。</w:t>
            </w:r>
          </w:p>
        </w:tc>
        <w:tc>
          <w:tcPr>
            <w:tcW w:w="1320" w:type="pct"/>
            <w:vAlign w:val="center"/>
          </w:tcPr>
          <w:p w14:paraId="295B37F8">
            <w:pPr>
              <w:pStyle w:val="45"/>
              <w:rPr>
                <w:rFonts w:hint="default"/>
              </w:rPr>
            </w:pPr>
            <w:r>
              <w:t>本项目不使用淘汰落后的用水技术、工艺、产品和设备</w:t>
            </w:r>
          </w:p>
        </w:tc>
        <w:tc>
          <w:tcPr>
            <w:tcW w:w="444" w:type="pct"/>
            <w:vAlign w:val="center"/>
          </w:tcPr>
          <w:p w14:paraId="221F7B13">
            <w:pPr>
              <w:pStyle w:val="45"/>
              <w:rPr>
                <w:rFonts w:hint="default"/>
              </w:rPr>
            </w:pPr>
            <w:r>
              <w:t>相符</w:t>
            </w:r>
          </w:p>
        </w:tc>
      </w:tr>
      <w:tr w14:paraId="5A5B9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pct"/>
            <w:vMerge w:val="continue"/>
            <w:vAlign w:val="center"/>
          </w:tcPr>
          <w:p w14:paraId="4660C41A">
            <w:pPr>
              <w:pStyle w:val="45"/>
              <w:rPr>
                <w:rFonts w:hint="default"/>
              </w:rPr>
            </w:pPr>
          </w:p>
        </w:tc>
        <w:tc>
          <w:tcPr>
            <w:tcW w:w="2710" w:type="pct"/>
            <w:vAlign w:val="center"/>
          </w:tcPr>
          <w:p w14:paraId="277E219F">
            <w:pPr>
              <w:pStyle w:val="45"/>
              <w:rPr>
                <w:rFonts w:hint="default"/>
              </w:rPr>
            </w:pPr>
            <w:r>
              <w:t>3.土地资源：提高土地使用效率和节约集约程度，园区土地投资强度达到3000万元/公顷。严格执行土地使用标准，工业项目投 资强度执行《湖南省建设用地指标》（2020版）六等区域控制指标要求。</w:t>
            </w:r>
          </w:p>
        </w:tc>
        <w:tc>
          <w:tcPr>
            <w:tcW w:w="1320" w:type="pct"/>
            <w:vAlign w:val="center"/>
          </w:tcPr>
          <w:p w14:paraId="7EC5AB0D">
            <w:pPr>
              <w:pStyle w:val="45"/>
              <w:rPr>
                <w:rFonts w:hint="default"/>
                <w:color w:val="FF0000"/>
              </w:rPr>
            </w:pPr>
            <w:r>
              <w:t>本项目布局紧凑，满足节约集约要求</w:t>
            </w:r>
          </w:p>
        </w:tc>
        <w:tc>
          <w:tcPr>
            <w:tcW w:w="444" w:type="pct"/>
            <w:vAlign w:val="center"/>
          </w:tcPr>
          <w:p w14:paraId="631B3695">
            <w:pPr>
              <w:pStyle w:val="45"/>
              <w:rPr>
                <w:rFonts w:hint="default"/>
              </w:rPr>
            </w:pPr>
            <w:r>
              <w:t>相符</w:t>
            </w:r>
          </w:p>
        </w:tc>
      </w:tr>
    </w:tbl>
    <w:p w14:paraId="70A192FD">
      <w:pPr>
        <w:spacing w:line="240" w:lineRule="auto"/>
        <w:ind w:firstLine="0" w:firstLineChars="0"/>
      </w:pPr>
    </w:p>
    <w:p w14:paraId="4C8F628E">
      <w:pPr>
        <w:pStyle w:val="5"/>
        <w:rPr>
          <w:rFonts w:hint="eastAsia" w:ascii="Times New Roman" w:hAnsi="Times New Roman" w:eastAsia="宋体" w:cstheme="minorBidi"/>
          <w:b/>
          <w:bCs/>
          <w:kern w:val="2"/>
          <w:sz w:val="24"/>
          <w:szCs w:val="24"/>
          <w:lang w:val="en-US" w:eastAsia="zh-CN" w:bidi="ar-SA"/>
        </w:rPr>
      </w:pPr>
      <w:bookmarkStart w:id="42" w:name="_Toc32440"/>
      <w:r>
        <w:rPr>
          <w:rFonts w:hint="eastAsia" w:cstheme="minorBidi"/>
          <w:b/>
          <w:bCs/>
          <w:kern w:val="2"/>
          <w:sz w:val="24"/>
          <w:szCs w:val="24"/>
          <w:lang w:val="en-US" w:eastAsia="zh-CN" w:bidi="ar-SA"/>
        </w:rPr>
        <w:t>与《湖南衡阳松木经济开发区松木化工片区禁止、限制和控制目录(试行)》相符性分析</w:t>
      </w:r>
    </w:p>
    <w:p w14:paraId="1FB11420">
      <w:pPr>
        <w:ind w:left="480" w:leftChars="200" w:firstLine="0" w:firstLineChars="0"/>
        <w:rPr>
          <w:rFonts w:hint="eastAsia" w:cstheme="minorBidi"/>
          <w:b w:val="0"/>
          <w:bCs w:val="0"/>
          <w:kern w:val="2"/>
          <w:sz w:val="24"/>
          <w:szCs w:val="24"/>
          <w:lang w:val="en-US" w:eastAsia="zh-CN" w:bidi="ar-SA"/>
        </w:rPr>
      </w:pPr>
      <w:r>
        <w:rPr>
          <w:rFonts w:hint="eastAsia" w:cstheme="minorBidi"/>
          <w:b w:val="0"/>
          <w:bCs w:val="0"/>
          <w:kern w:val="2"/>
          <w:sz w:val="24"/>
          <w:szCs w:val="24"/>
          <w:lang w:val="en-US" w:eastAsia="zh-CN" w:bidi="ar-SA"/>
        </w:rPr>
        <w:t>根据《湖南衡阳松木经济开发区松木化工片区禁止、限制和控制目录(试行)》：</w:t>
      </w:r>
    </w:p>
    <w:p w14:paraId="247B4192">
      <w:pPr>
        <w:numPr>
          <w:ilvl w:val="0"/>
          <w:numId w:val="3"/>
        </w:numPr>
        <w:rPr>
          <w:rFonts w:hint="eastAsia" w:cstheme="minorBidi"/>
          <w:b w:val="0"/>
          <w:bCs w:val="0"/>
          <w:kern w:val="2"/>
          <w:sz w:val="24"/>
          <w:szCs w:val="24"/>
          <w:lang w:val="en-US" w:eastAsia="zh-CN" w:bidi="ar-SA"/>
        </w:rPr>
      </w:pPr>
      <w:r>
        <w:rPr>
          <w:rFonts w:hint="eastAsia" w:cstheme="minorBidi"/>
          <w:b w:val="0"/>
          <w:bCs w:val="0"/>
          <w:kern w:val="2"/>
          <w:sz w:val="24"/>
          <w:szCs w:val="24"/>
          <w:lang w:val="en-US" w:eastAsia="zh-CN" w:bidi="ar-SA"/>
        </w:rPr>
        <w:t>松木经开区建立化工行业安全准入和退出机制，在充分考虑松木化工片区产业链的安全性和科学性基础上，有选择地接纳化工企业入园；把符合安全生产标准、化工片区产业链安全和安全风险容量等要求，作为危险化学品企业准入的前置条件。行业安全准入分为禁止、限制和控制三类.。</w:t>
      </w:r>
    </w:p>
    <w:p w14:paraId="376AD788">
      <w:pPr>
        <w:numPr>
          <w:ilvl w:val="0"/>
          <w:numId w:val="3"/>
        </w:numPr>
        <w:rPr>
          <w:rFonts w:hint="eastAsia" w:cstheme="minorBidi"/>
          <w:b w:val="0"/>
          <w:bCs w:val="0"/>
          <w:kern w:val="2"/>
          <w:sz w:val="24"/>
          <w:szCs w:val="24"/>
          <w:lang w:val="en-US" w:eastAsia="zh-CN" w:bidi="ar-SA"/>
        </w:rPr>
      </w:pPr>
      <w:r>
        <w:rPr>
          <w:rFonts w:hint="eastAsia" w:cstheme="minorBidi"/>
          <w:b w:val="0"/>
          <w:bCs w:val="0"/>
          <w:kern w:val="2"/>
          <w:sz w:val="24"/>
          <w:szCs w:val="24"/>
          <w:lang w:val="en-US" w:eastAsia="zh-CN" w:bidi="ar-SA"/>
        </w:rPr>
        <w:t>松木化工片区严格禁止工艺设备设施落后的项目立项建设，严格限制本质安全水平低的项目建设，对不符合有关安全标准、安全保障能力差.职业危害严重、危及安全生产等落后的化工技术、工艺和装备，明令禁止使用并予以强制淘汰。生产工艺装置安全准入分为禁止、限制和控制三类。</w:t>
      </w:r>
    </w:p>
    <w:p w14:paraId="715418E3">
      <w:pPr>
        <w:numPr>
          <w:ilvl w:val="0"/>
          <w:numId w:val="3"/>
        </w:numPr>
        <w:rPr>
          <w:rFonts w:hint="eastAsia" w:cstheme="minorBidi"/>
          <w:b w:val="0"/>
          <w:bCs w:val="0"/>
          <w:kern w:val="2"/>
          <w:sz w:val="24"/>
          <w:szCs w:val="24"/>
          <w:lang w:val="en-US" w:eastAsia="zh-CN" w:bidi="ar-SA"/>
        </w:rPr>
      </w:pPr>
      <w:r>
        <w:rPr>
          <w:rFonts w:hint="eastAsia" w:cstheme="minorBidi"/>
          <w:b w:val="0"/>
          <w:bCs w:val="0"/>
          <w:kern w:val="2"/>
          <w:sz w:val="24"/>
          <w:szCs w:val="24"/>
          <w:lang w:val="en-US" w:eastAsia="zh-CN" w:bidi="ar-SA"/>
        </w:rPr>
        <w:t>危险化学品禁止目录所列危险化学品禁止在松木化工片区范围内生产、储存、经营、运输和使用。国家在特定行业有豁免规定的，从其规定。松木化工片区内单位确需使用符合国家标准的试剂形式的禁止危险化学品的，仅限于实验室、化验室或检验室使用，不得用于生产，并应按相关要求向所在辖区相应监管部门报备。</w:t>
      </w:r>
      <w:r>
        <w:rPr>
          <w:rFonts w:hint="eastAsia" w:cstheme="minorBidi"/>
          <w:b/>
          <w:bCs/>
          <w:kern w:val="2"/>
          <w:sz w:val="24"/>
          <w:szCs w:val="24"/>
          <w:lang w:val="en-US" w:eastAsia="zh-CN" w:bidi="ar-SA"/>
        </w:rPr>
        <w:t>危险化学品限制和控制目录所列危险化学品可在松木化工片区范围内生产、储存、经营、运输和使用，但要按易燃易爆类危险化学品和有毒有害类危险化学品两大类实行安全库存总量控制，新建、改建、扩建、技术改造项目遵循“等量削减替代”“以新带老”原则。</w:t>
      </w:r>
      <w:r>
        <w:rPr>
          <w:rFonts w:hint="eastAsia" w:cstheme="minorBidi"/>
          <w:b w:val="0"/>
          <w:bCs w:val="0"/>
          <w:kern w:val="2"/>
          <w:sz w:val="24"/>
          <w:szCs w:val="24"/>
          <w:lang w:val="en-US" w:eastAsia="zh-CN" w:bidi="ar-SA"/>
        </w:rPr>
        <w:t>未列入限制和控制目录的危险化学品在松木化工片区未使用或使用量极少，仅可以符合国家标准的试剂的形式进行流通。松木化工片区内单位确需生产、储存、经营、运输和使用未列入限制和控制目录的危险化学品的，应向所在辖区政府监管部门提出申请，申请程序遵照监管部门要求。</w:t>
      </w:r>
    </w:p>
    <w:p w14:paraId="32174899">
      <w:pPr>
        <w:ind w:left="0" w:leftChars="0" w:firstLine="482" w:firstLineChars="200"/>
        <w:rPr>
          <w:rFonts w:hint="default" w:cstheme="minorBidi"/>
          <w:b w:val="0"/>
          <w:bCs w:val="0"/>
          <w:kern w:val="2"/>
          <w:sz w:val="24"/>
          <w:szCs w:val="24"/>
          <w:lang w:val="en-US" w:eastAsia="zh-CN" w:bidi="ar-SA"/>
        </w:rPr>
      </w:pPr>
      <w:r>
        <w:rPr>
          <w:rFonts w:hint="eastAsia" w:cstheme="minorBidi"/>
          <w:b/>
          <w:bCs/>
          <w:kern w:val="2"/>
          <w:sz w:val="24"/>
          <w:szCs w:val="24"/>
          <w:lang w:val="en-US" w:eastAsia="zh-CN" w:bidi="ar-SA"/>
        </w:rPr>
        <w:t>相符性分析：</w:t>
      </w:r>
      <w:r>
        <w:rPr>
          <w:rFonts w:hint="eastAsia" w:cstheme="minorBidi"/>
          <w:b w:val="0"/>
          <w:bCs w:val="0"/>
          <w:kern w:val="2"/>
          <w:sz w:val="24"/>
          <w:szCs w:val="24"/>
          <w:lang w:val="en-US" w:eastAsia="zh-CN" w:bidi="ar-SA"/>
        </w:rPr>
        <w:t>本项目不属于文件目录要求中的禁止类，项目产品高氯酸钠、高氯酸钾及中间产物氯酸钠属于园区危险化学品限制和控制类，中间产物氯酸钠生产装置为高氯酸钠、高氯酸钾生产工艺装置中的一环，高氯酸钠、高氯酸钾生产装置不属于生产工艺装置限制和控制类；产品高氯酸钠、高氯酸钾及中间产物氯酸钠危险化学品限制和控制类，根据文件要求</w:t>
      </w:r>
      <w:r>
        <w:rPr>
          <w:rFonts w:hint="eastAsia" w:cstheme="minorBidi"/>
          <w:b/>
          <w:bCs/>
          <w:kern w:val="2"/>
          <w:sz w:val="24"/>
          <w:szCs w:val="24"/>
          <w:lang w:val="en-US" w:eastAsia="zh-CN" w:bidi="ar-SA"/>
        </w:rPr>
        <w:t>可在松木化工片区范围内生产、储存、经营、运输和使用，但要按易燃易爆类危险化学品和有毒有害类危险化学品两大类实行安全库存总量控制。</w:t>
      </w:r>
      <w:r>
        <w:rPr>
          <w:rFonts w:hint="eastAsia" w:cstheme="minorBidi"/>
          <w:b w:val="0"/>
          <w:bCs w:val="0"/>
          <w:kern w:val="2"/>
          <w:sz w:val="24"/>
          <w:szCs w:val="24"/>
          <w:lang w:val="en-US" w:eastAsia="zh-CN" w:bidi="ar-SA"/>
        </w:rPr>
        <w:t>综上，本项目符合《湖南衡阳松木经济开发区松木化工片区禁止、限制和控制目录(试行)》相关要求。</w:t>
      </w:r>
    </w:p>
    <w:p w14:paraId="65B48BE2">
      <w:pPr>
        <w:pStyle w:val="4"/>
      </w:pPr>
      <w:r>
        <w:rPr>
          <w:rFonts w:hint="eastAsia"/>
        </w:rPr>
        <w:t>选址合理性和平面布局合理性分析</w:t>
      </w:r>
      <w:bookmarkEnd w:id="42"/>
    </w:p>
    <w:p w14:paraId="2BD6902C">
      <w:pPr>
        <w:pStyle w:val="5"/>
      </w:pPr>
      <w:bookmarkStart w:id="43" w:name="_Toc31090"/>
      <w:r>
        <w:rPr>
          <w:rFonts w:hint="eastAsia"/>
        </w:rPr>
        <w:t>选址合理性分析</w:t>
      </w:r>
      <w:bookmarkEnd w:id="43"/>
    </w:p>
    <w:p w14:paraId="5DD829F2">
      <w:pPr>
        <w:ind w:firstLine="480"/>
      </w:pPr>
      <w:r>
        <w:rPr>
          <w:rFonts w:hint="eastAsia"/>
        </w:rPr>
        <w:t>本项目位于</w:t>
      </w:r>
      <w:r>
        <w:t>衡阳市松木经济开发区</w:t>
      </w:r>
      <w:r>
        <w:rPr>
          <w:rFonts w:hint="eastAsia"/>
        </w:rPr>
        <w:t>金山水泥</w:t>
      </w:r>
      <w:r>
        <w:t>公司</w:t>
      </w:r>
      <w:r>
        <w:rPr>
          <w:rFonts w:hint="eastAsia"/>
        </w:rPr>
        <w:t>南侧，</w:t>
      </w:r>
      <w:r>
        <w:t>新安路和松枫路交汇的地块</w:t>
      </w:r>
      <w:r>
        <w:rPr>
          <w:rFonts w:hint="eastAsia"/>
          <w:lang w:eastAsia="zh-CN"/>
        </w:rPr>
        <w:t>。</w:t>
      </w:r>
      <w:r>
        <w:rPr>
          <w:rFonts w:hint="eastAsia"/>
        </w:rPr>
        <w:t>目前松木经开区内道路、水、电、通讯、有线电视、网络、天然气、码头等基础设施日臻完善，具备了承接大型企业和大项目入园投资建设的条件。</w:t>
      </w:r>
    </w:p>
    <w:p w14:paraId="7F7191A2">
      <w:pPr>
        <w:ind w:firstLine="480"/>
      </w:pPr>
      <w:r>
        <w:rPr>
          <w:rFonts w:hint="eastAsia"/>
        </w:rPr>
        <w:t>本项目可充分利用工业园的道路、供水、供电、污水处理厂等基础设施。正常生产期间，项目生产废水、初期雨水均经处理后回用于生产，不外排；非生产期间，多余的初期雨水经处理达标后排入松木污水处理厂处理；生活污水经厂内化粪池预处理达标后再排入松木污水处理厂深度处理达标后排入湘江。废水入湘江排污口位于衡阳市城区自来水厂取水口下游4000米，有利于保护衡阳市城区自来水厂取水口水质。根据衡阳市松木工业园土地利用规划（2005-2020年），本项目所在地为精细化工、盐卤化工产业区，属三类工业用地，与本项目建设性质相符。</w:t>
      </w:r>
    </w:p>
    <w:p w14:paraId="0B1557D1">
      <w:pPr>
        <w:ind w:firstLine="480"/>
      </w:pPr>
      <w:r>
        <w:rPr>
          <w:rFonts w:hint="eastAsia"/>
        </w:rPr>
        <w:t>综上所述，本项目选址符合《衡阳市总体规划》及《衡阳市松木工业园总体规划》要求，选址合理可行。</w:t>
      </w:r>
    </w:p>
    <w:p w14:paraId="1030C99A">
      <w:pPr>
        <w:pStyle w:val="5"/>
      </w:pPr>
      <w:bookmarkStart w:id="44" w:name="_Toc22056"/>
      <w:r>
        <w:rPr>
          <w:rFonts w:hint="eastAsia"/>
        </w:rPr>
        <w:t>平面布局合理性分析</w:t>
      </w:r>
      <w:bookmarkEnd w:id="44"/>
    </w:p>
    <w:p w14:paraId="76E80564">
      <w:pPr>
        <w:ind w:firstLine="480"/>
      </w:pPr>
      <w:r>
        <w:rPr>
          <w:rFonts w:hint="eastAsia"/>
        </w:rPr>
        <w:t>本项目总平面布置将厂区和园区地块相结合，统筹规划，充分考虑园区已有配套设施情况来考虑厂区的布置合理性和分区管理的问题，充分考虑土地的地块形状和位置，从整个厂区的地理位置、风向以及与外围交通的便利性来进行合理布置。</w:t>
      </w:r>
    </w:p>
    <w:p w14:paraId="5E73C798">
      <w:pPr>
        <w:ind w:firstLine="480"/>
        <w:rPr>
          <w:rFonts w:hint="eastAsia"/>
          <w:lang w:val="en-US" w:eastAsia="zh-CN"/>
        </w:rPr>
      </w:pPr>
      <w:r>
        <w:rPr>
          <w:rFonts w:hint="eastAsia"/>
        </w:rPr>
        <w:t>厂区由西至东分隔为</w:t>
      </w:r>
      <w:r>
        <w:rPr>
          <w:rFonts w:hint="eastAsia"/>
          <w:lang w:val="en-US" w:eastAsia="zh-CN"/>
        </w:rPr>
        <w:t>四</w:t>
      </w:r>
      <w:r>
        <w:rPr>
          <w:rFonts w:hint="eastAsia"/>
        </w:rPr>
        <w:t>大部分，车间主出入口（人流出入口）位于西侧主干道，直通厂区外路。物流出口位于厂区东侧北部，直通场外道路。厂区东侧部分为仓储区，从南向北依次为原料仓库、成品仓库、事故应急池、初期雨水收集池、污水处理装置及污水处理池、罐区2、公用工程站等；厂区中部由西至东依次为电解车间、复分解联合车间</w:t>
      </w:r>
      <w:r>
        <w:rPr>
          <w:rFonts w:hint="eastAsia"/>
          <w:lang w:eastAsia="zh-CN"/>
        </w:rPr>
        <w:t>、</w:t>
      </w:r>
      <w:r>
        <w:rPr>
          <w:rFonts w:hint="eastAsia"/>
        </w:rPr>
        <w:t>罐区1、化盐车间等</w:t>
      </w:r>
      <w:r>
        <w:rPr>
          <w:rFonts w:hint="eastAsia"/>
          <w:lang w:eastAsia="zh-CN"/>
        </w:rPr>
        <w:t>；</w:t>
      </w:r>
      <w:r>
        <w:rPr>
          <w:rFonts w:hint="eastAsia"/>
          <w:lang w:val="en-US" w:eastAsia="zh-CN"/>
        </w:rPr>
        <w:t>厂区西侧部分为氢气回收压缩充装区。</w:t>
      </w:r>
    </w:p>
    <w:p w14:paraId="50A3BCA2">
      <w:pPr>
        <w:ind w:firstLine="480"/>
      </w:pPr>
      <w:r>
        <w:rPr>
          <w:rFonts w:hint="eastAsia"/>
        </w:rPr>
        <w:t>厂区道路环形布置，利于厂区安全和消防。道路的路面宽度为6m~8m，路面内缘转弯半径为 12m，路面上净空高度为 4.5m，道路纵坡度不大于6%。各生产区域在满足工艺流程需要的前提下，厂区平面布置使工艺管线短捷顺畅，全厂物流条件优越，功能分区合理、明确。</w:t>
      </w:r>
    </w:p>
    <w:p w14:paraId="3BAEF372">
      <w:pPr>
        <w:ind w:firstLine="480"/>
      </w:pPr>
      <w:r>
        <w:t>本项目总平面布局满足工艺、环保、消防和安全的要求，并充分考虑了生产和运输需要。物流、人流、车流通畅，装置之间布局合理。项目总平面布置功能分区明确，流程通畅，管线短捷，管理方便。</w:t>
      </w:r>
    </w:p>
    <w:p w14:paraId="2B644002">
      <w:pPr>
        <w:ind w:firstLine="480"/>
      </w:pPr>
      <w:r>
        <w:rPr>
          <w:lang w:val="en-GB"/>
        </w:rPr>
        <w:t>总体上看，本项目总平面布置较为合理，基本能够满足环保方面的要求。</w:t>
      </w:r>
    </w:p>
    <w:p w14:paraId="30C41258">
      <w:pPr>
        <w:pStyle w:val="4"/>
      </w:pPr>
      <w:bookmarkStart w:id="45" w:name="_Toc12935"/>
      <w:r>
        <w:rPr>
          <w:rFonts w:hint="eastAsia"/>
        </w:rPr>
        <w:t>判定小结</w:t>
      </w:r>
      <w:bookmarkEnd w:id="45"/>
    </w:p>
    <w:p w14:paraId="1AABB426">
      <w:pPr>
        <w:ind w:firstLine="480"/>
      </w:pPr>
      <w:r>
        <w:t>综上所述，本项目的建设符合相关产业政策、产业准入和环保准入要求，符合湖南省、衡阳市相关法律法规要求，符合湖南省、衡阳市</w:t>
      </w:r>
      <w:r>
        <w:rPr>
          <w:rFonts w:hint="eastAsia"/>
        </w:rPr>
        <w:t>环境保护</w:t>
      </w:r>
      <w:r>
        <w:t>的相关规定。</w:t>
      </w:r>
    </w:p>
    <w:p w14:paraId="6862F032">
      <w:pPr>
        <w:ind w:firstLine="480"/>
      </w:pPr>
      <w:r>
        <w:t>因此，从环保法规方面分析，本项目的建设和选址是合理合法的。</w:t>
      </w:r>
    </w:p>
    <w:p w14:paraId="2A1471C4">
      <w:pPr>
        <w:pStyle w:val="3"/>
      </w:pPr>
      <w:bookmarkStart w:id="46" w:name="_Toc25551"/>
      <w:bookmarkStart w:id="47" w:name="_Toc3159"/>
      <w:bookmarkStart w:id="48" w:name="_Toc31316"/>
      <w:r>
        <w:rPr>
          <w:rFonts w:hint="eastAsia"/>
        </w:rPr>
        <w:t>环境影响评价结论概要</w:t>
      </w:r>
      <w:bookmarkEnd w:id="46"/>
      <w:bookmarkEnd w:id="47"/>
      <w:bookmarkEnd w:id="48"/>
    </w:p>
    <w:p w14:paraId="37DF147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1、地表水环境影响评价结论</w:t>
      </w:r>
    </w:p>
    <w:p w14:paraId="072D83E6">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本项目主要废水有碱喷淋废水、真空冷凝水、电解槽清洗废水、膜酸洗废水、</w:t>
      </w:r>
      <w:r>
        <w:rPr>
          <w:rFonts w:hint="eastAsia"/>
          <w:color w:val="000000" w:themeColor="text1"/>
          <w:highlight w:val="none"/>
          <w:lang w:val="en-US" w:eastAsia="zh-CN"/>
          <w14:textFill>
            <w14:solidFill>
              <w14:schemeClr w14:val="tx1"/>
            </w14:solidFill>
          </w14:textFill>
        </w:rPr>
        <w:t>离子树脂清洗废水、</w:t>
      </w:r>
      <w:r>
        <w:rPr>
          <w:rFonts w:hint="eastAsia"/>
          <w:color w:val="000000" w:themeColor="text1"/>
          <w:highlight w:val="none"/>
          <w14:textFill>
            <w14:solidFill>
              <w14:schemeClr w14:val="tx1"/>
            </w14:solidFill>
          </w14:textFill>
        </w:rPr>
        <w:t>纯水制备排水、循环冷却排水、</w:t>
      </w:r>
      <w:r>
        <w:rPr>
          <w:rFonts w:hint="eastAsia"/>
          <w:color w:val="000000" w:themeColor="text1"/>
          <w:highlight w:val="none"/>
          <w:lang w:eastAsia="zh-CN"/>
          <w14:textFill>
            <w14:solidFill>
              <w14:schemeClr w14:val="tx1"/>
            </w14:solidFill>
          </w14:textFill>
        </w:rPr>
        <w:t>地面清洗废水、洗车废水、员工清洁废水</w:t>
      </w:r>
      <w:r>
        <w:rPr>
          <w:rFonts w:hint="eastAsia"/>
          <w:highlight w:val="none"/>
          <w:lang w:val="en-US" w:eastAsia="zh-CN"/>
        </w:rPr>
        <w:t>、</w:t>
      </w:r>
      <w:r>
        <w:rPr>
          <w:rFonts w:hint="eastAsia"/>
          <w:color w:val="000000" w:themeColor="text1"/>
          <w:highlight w:val="none"/>
          <w14:textFill>
            <w14:solidFill>
              <w14:schemeClr w14:val="tx1"/>
            </w14:solidFill>
          </w14:textFill>
        </w:rPr>
        <w:t>化验室废水、初期雨水、生活污水等。正常生产期间，碱喷淋废水、真空冷凝水、电解槽清洗废水、膜酸洗废水</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离子树脂清洗废水</w:t>
      </w:r>
      <w:r>
        <w:rPr>
          <w:rFonts w:hint="eastAsia"/>
          <w:color w:val="000000" w:themeColor="text1"/>
          <w:highlight w:val="none"/>
          <w14:textFill>
            <w14:solidFill>
              <w14:schemeClr w14:val="tx1"/>
            </w14:solidFill>
          </w14:textFill>
        </w:rPr>
        <w:t>等生产废水直接回用于生产，不外排；纯水制备排水、循环冷却排水、</w:t>
      </w:r>
      <w:r>
        <w:rPr>
          <w:rFonts w:hint="eastAsia"/>
          <w:color w:val="000000" w:themeColor="text1"/>
          <w:highlight w:val="none"/>
          <w:lang w:eastAsia="zh-CN"/>
          <w14:textFill>
            <w14:solidFill>
              <w14:schemeClr w14:val="tx1"/>
            </w14:solidFill>
          </w14:textFill>
        </w:rPr>
        <w:t>地面清洗废水、洗车废水、员工清洁废水</w:t>
      </w:r>
      <w:r>
        <w:rPr>
          <w:rFonts w:hint="eastAsia"/>
          <w:highlight w:val="none"/>
          <w:lang w:val="en-US" w:eastAsia="zh-CN"/>
        </w:rPr>
        <w:t>、</w:t>
      </w:r>
      <w:r>
        <w:rPr>
          <w:rFonts w:hint="eastAsia"/>
          <w:color w:val="000000" w:themeColor="text1"/>
          <w:highlight w:val="none"/>
          <w14:textFill>
            <w14:solidFill>
              <w14:schemeClr w14:val="tx1"/>
            </w14:solidFill>
          </w14:textFill>
        </w:rPr>
        <w:t>化验室废水、初期雨水等其他废水进入厂内废水经</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混凝沉淀+砂滤</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处理后回用于生产，不外排。非生产期间，初期雨水经</w:t>
      </w:r>
      <w:r>
        <w:rPr>
          <w:rFonts w:hint="eastAsia"/>
          <w:color w:val="000000" w:themeColor="text1"/>
          <w:highlight w:val="none"/>
          <w:lang w:eastAsia="zh-CN"/>
          <w14:textFill>
            <w14:solidFill>
              <w14:schemeClr w14:val="tx1"/>
            </w14:solidFill>
          </w14:textFill>
        </w:rPr>
        <w:t>“混凝沉淀+砂滤+离子树脂交换”</w:t>
      </w:r>
      <w:r>
        <w:rPr>
          <w:rFonts w:hint="eastAsia"/>
          <w:color w:val="000000" w:themeColor="text1"/>
          <w:highlight w:val="none"/>
          <w14:textFill>
            <w14:solidFill>
              <w14:schemeClr w14:val="tx1"/>
            </w14:solidFill>
          </w14:textFill>
        </w:rPr>
        <w:t>处理后达标排入松木污水处理厂进一步处理。生活污水经厂内化粪池预处理达标后通过园区污水管网排入松木污水处理厂进一步处理。综上</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本项目废水对地表水环境不会产生明显影响。</w:t>
      </w:r>
    </w:p>
    <w:p w14:paraId="17EBF5C0">
      <w:pPr>
        <w:ind w:firstLine="480"/>
        <w:rPr>
          <w:highlight w:val="none"/>
        </w:rPr>
      </w:pPr>
      <w:r>
        <w:rPr>
          <w:rFonts w:hint="eastAsia"/>
          <w:highlight w:val="none"/>
        </w:rPr>
        <w:t>2、大气环境影响预测分析结论</w:t>
      </w:r>
    </w:p>
    <w:p w14:paraId="303C381F">
      <w:pPr>
        <w:ind w:firstLine="480"/>
        <w:rPr>
          <w:highlight w:val="none"/>
        </w:rPr>
      </w:pPr>
      <w:r>
        <w:rPr>
          <w:rFonts w:hint="eastAsia"/>
          <w:highlight w:val="none"/>
        </w:rPr>
        <w:t>正常工况下，项目所排放的各大气污染物最大地面浓度贡献值以及叠加环境质量现状的预测值在各个环境敏感点以及网格内最大落地浓度点均满足环境标准要求，因此正常工况下本项目污染物排放对区域和主要环境敏感目标的环境空气影响均处于可接受范围内。非正常工况下，评价范围内颗粒物（TSP）、Cl</w:t>
      </w:r>
      <w:r>
        <w:rPr>
          <w:rFonts w:hint="eastAsia"/>
          <w:highlight w:val="none"/>
          <w:vertAlign w:val="subscript"/>
        </w:rPr>
        <w:t>2</w:t>
      </w:r>
      <w:r>
        <w:rPr>
          <w:rFonts w:hint="eastAsia"/>
          <w:highlight w:val="none"/>
        </w:rPr>
        <w:t>对各环境敏感点的最大小时浓度贡献值未超过相关标准要求，HCl对环境敏感点中松木村2的贡献值最大，超过相关标准要求；颗粒物（TSP）、Cl</w:t>
      </w:r>
      <w:r>
        <w:rPr>
          <w:rFonts w:hint="eastAsia"/>
          <w:highlight w:val="none"/>
          <w:vertAlign w:val="subscript"/>
        </w:rPr>
        <w:t>2</w:t>
      </w:r>
      <w:r>
        <w:rPr>
          <w:rFonts w:hint="eastAsia"/>
          <w:highlight w:val="none"/>
        </w:rPr>
        <w:t>、HCl对区域网格的最大小时浓度贡献值均超过相关标准要求。因此</w:t>
      </w:r>
      <w:r>
        <w:rPr>
          <w:rFonts w:hint="eastAsia"/>
          <w:highlight w:val="none"/>
          <w:lang w:eastAsia="zh-CN"/>
        </w:rPr>
        <w:t>，</w:t>
      </w:r>
      <w:r>
        <w:rPr>
          <w:rFonts w:hint="eastAsia"/>
          <w:highlight w:val="none"/>
        </w:rPr>
        <w:t>本环评要求项目定时检修废气处理设施，杜绝非正常排放，一旦发生非正常排放必须立即停产检修直至合格后方可恢复生产。</w:t>
      </w:r>
      <w:r>
        <w:rPr>
          <w:rFonts w:hint="eastAsia"/>
          <w:highlight w:val="none"/>
          <w:lang w:val="en-US" w:eastAsia="zh-CN"/>
        </w:rPr>
        <w:t>正常工况下，</w:t>
      </w:r>
      <w:r>
        <w:rPr>
          <w:rFonts w:hint="eastAsia"/>
          <w:highlight w:val="none"/>
        </w:rPr>
        <w:t>本项目厂界外无超标点，无需设置大气环境防护距离。</w:t>
      </w:r>
    </w:p>
    <w:p w14:paraId="4A946BB8">
      <w:pPr>
        <w:ind w:firstLine="480"/>
      </w:pPr>
      <w:r>
        <w:rPr>
          <w:rFonts w:hint="eastAsia"/>
        </w:rPr>
        <w:t>3、声环境影响评价结论</w:t>
      </w:r>
    </w:p>
    <w:p w14:paraId="20F1D055">
      <w:pPr>
        <w:ind w:firstLine="480"/>
      </w:pPr>
      <w:r>
        <w:rPr>
          <w:rFonts w:hint="eastAsia"/>
        </w:rPr>
        <w:t>在考虑车间及其它控制措施等对声源的削减作用，在主要声源同时排放噪声这种最严重影响情况下，本项目东、南厂界噪声预测值符合《工业企业厂界环境噪声排放标准》（GB12348-2008）4类标准要求，西、北厂界噪声预测值符合《工业企业厂界环境噪声排放标准》（GB12348-2008）3类标准要求，本项目不会对区域声环境质量带来较为明显的影响。</w:t>
      </w:r>
    </w:p>
    <w:p w14:paraId="586406E8">
      <w:pPr>
        <w:ind w:firstLine="480"/>
      </w:pPr>
      <w:r>
        <w:rPr>
          <w:rFonts w:hint="eastAsia"/>
        </w:rPr>
        <w:t>4、固体废物处理处置影响分析结论</w:t>
      </w:r>
    </w:p>
    <w:p w14:paraId="294A4548">
      <w:pPr>
        <w:ind w:firstLine="480"/>
      </w:pPr>
      <w:r>
        <w:rPr>
          <w:rFonts w:hint="eastAsia"/>
        </w:rPr>
        <w:t>项目固体废物主要包括一般工业固废（除杂滤渣、</w:t>
      </w:r>
      <w:r>
        <w:rPr>
          <w:rFonts w:hint="eastAsia"/>
          <w:lang w:eastAsia="zh-CN"/>
        </w:rPr>
        <w:t>废RO膜、废活性炭（纯水制备）</w:t>
      </w:r>
      <w:r>
        <w:rPr>
          <w:rFonts w:hint="eastAsia"/>
        </w:rPr>
        <w:t>、废电极材料、普通废包装、布袋除尘收集粉尘、废水站污泥等）、危险废物（除铬</w:t>
      </w:r>
      <w:r>
        <w:rPr>
          <w:rFonts w:hint="eastAsia"/>
          <w:lang w:val="en-US" w:eastAsia="zh-CN"/>
        </w:rPr>
        <w:t>滤渣</w:t>
      </w:r>
      <w:r>
        <w:rPr>
          <w:rFonts w:hint="eastAsia"/>
        </w:rPr>
        <w:t>、电解槽沉渣、危化品废包装、机修废物、化验室废物</w:t>
      </w:r>
      <w:r>
        <w:rPr>
          <w:rFonts w:hint="eastAsia"/>
          <w:lang w:eastAsia="zh-CN"/>
        </w:rPr>
        <w:t>、</w:t>
      </w:r>
      <w:r>
        <w:rPr>
          <w:rFonts w:hint="eastAsia"/>
          <w:lang w:val="en-US" w:eastAsia="zh-CN"/>
        </w:rPr>
        <w:t>废催化剂、废吸附剂</w:t>
      </w:r>
      <w:r>
        <w:rPr>
          <w:rFonts w:hint="eastAsia"/>
        </w:rPr>
        <w:t>等）和生活垃圾；一般工业固废中除杂滤渣、废水站污泥</w:t>
      </w:r>
      <w:r>
        <w:rPr>
          <w:rFonts w:hint="eastAsia"/>
          <w:lang w:eastAsia="zh-CN"/>
        </w:rPr>
        <w:t>、</w:t>
      </w:r>
      <w:r>
        <w:rPr>
          <w:rFonts w:hint="eastAsia"/>
          <w:lang w:val="en-US" w:eastAsia="zh-CN"/>
        </w:rPr>
        <w:t>普通废包装</w:t>
      </w:r>
      <w:r>
        <w:rPr>
          <w:rFonts w:hint="eastAsia"/>
        </w:rPr>
        <w:t>外售</w:t>
      </w:r>
      <w:r>
        <w:rPr>
          <w:rFonts w:hint="eastAsia"/>
          <w:lang w:val="en-US" w:eastAsia="zh-CN"/>
        </w:rPr>
        <w:t>综合利用</w:t>
      </w:r>
      <w:r>
        <w:rPr>
          <w:rFonts w:hint="eastAsia"/>
        </w:rPr>
        <w:t>，</w:t>
      </w:r>
      <w:r>
        <w:rPr>
          <w:rFonts w:hint="eastAsia"/>
          <w:lang w:eastAsia="zh-CN"/>
        </w:rPr>
        <w:t>废RO膜、废活性炭（纯水制备）</w:t>
      </w:r>
      <w:r>
        <w:rPr>
          <w:rFonts w:hint="eastAsia"/>
        </w:rPr>
        <w:t>、废电极材料交由供应商回收综合利用，布袋收集的粉尘回用于包装工序</w:t>
      </w:r>
      <w:r>
        <w:rPr>
          <w:rFonts w:hint="eastAsia"/>
          <w:lang w:val="en-US" w:eastAsia="zh-CN"/>
        </w:rPr>
        <w:t>；</w:t>
      </w:r>
      <w:r>
        <w:rPr>
          <w:rFonts w:hint="eastAsia"/>
        </w:rPr>
        <w:t>危险废物交由有资质单位处置。综上所述，固体废物妥善处置后对周围产生的环境影响较小。</w:t>
      </w:r>
    </w:p>
    <w:p w14:paraId="0F828D97">
      <w:pPr>
        <w:ind w:firstLine="480"/>
      </w:pPr>
      <w:r>
        <w:rPr>
          <w:rFonts w:hint="eastAsia"/>
        </w:rPr>
        <w:t>5、地下水和土壤环境影响分析结论</w:t>
      </w:r>
    </w:p>
    <w:p w14:paraId="587419BD">
      <w:pPr>
        <w:shd w:val="clear"/>
        <w:ind w:firstLine="480"/>
        <w:rPr>
          <w:highlight w:val="none"/>
        </w:rPr>
      </w:pPr>
      <w:r>
        <w:rPr>
          <w:rFonts w:hint="eastAsia"/>
          <w:highlight w:val="none"/>
        </w:rPr>
        <w:t>根据预测分析结果，在地下水防渗设施不健全，或事故性泄漏情况下，污染物持续渗入地下水，将对项目场区所在地及其下游地下水环境造成影响，致使地下水中特征污染物超标，超标范围随着泄漏时间的增加而增大，污染物浓度逐步降低。根据预测结果，除项目泄漏点及其下游一定范围以外地区，特征污染物能够满足《地下水环境质量标准》Ⅲ类标准限值要求，项目下游不存在地下水保护目标，因此在预测时间内不会影响到地下水安全，本项目建设将采取严格的地下水防渗体系，对地下水的污染影响较小，因此，项目的运营不会对地下水造成明显影响。</w:t>
      </w:r>
    </w:p>
    <w:p w14:paraId="270DBAD4">
      <w:pPr>
        <w:ind w:firstLine="480"/>
      </w:pPr>
      <w:r>
        <w:rPr>
          <w:rFonts w:hint="eastAsia"/>
        </w:rPr>
        <w:t>6、土壤环境影响分析结论</w:t>
      </w:r>
    </w:p>
    <w:p w14:paraId="69D34818">
      <w:pPr>
        <w:ind w:firstLine="480"/>
      </w:pPr>
      <w:r>
        <w:rPr>
          <w:rFonts w:hint="eastAsia"/>
        </w:rPr>
        <w:t>本项目实施后，对</w:t>
      </w:r>
      <w:r>
        <w:rPr>
          <w:rFonts w:hint="eastAsia"/>
          <w:lang w:val="en-US" w:eastAsia="zh-CN"/>
        </w:rPr>
        <w:t>生产</w:t>
      </w:r>
      <w:r>
        <w:rPr>
          <w:rFonts w:hint="eastAsia"/>
        </w:rPr>
        <w:t>车间</w:t>
      </w:r>
      <w:r>
        <w:rPr>
          <w:rFonts w:hint="eastAsia"/>
          <w:lang w:eastAsia="zh-CN"/>
        </w:rPr>
        <w:t>、</w:t>
      </w:r>
      <w:r>
        <w:rPr>
          <w:rFonts w:hint="eastAsia"/>
          <w:lang w:val="en-US" w:eastAsia="zh-CN"/>
        </w:rPr>
        <w:t>储罐、水池</w:t>
      </w:r>
      <w:r>
        <w:rPr>
          <w:rFonts w:hint="eastAsia"/>
        </w:rPr>
        <w:t>等区域的建设了严格的防腐防渗措施，同时根据要求对项目所使用的化学品储存区域进行防腐防渗，本项目对土壤污染的可能性较低，在采取了上述措施后，对土壤环境的影响在可接受程度之内。</w:t>
      </w:r>
    </w:p>
    <w:p w14:paraId="7D4826D8">
      <w:pPr>
        <w:ind w:firstLine="480"/>
      </w:pPr>
      <w:r>
        <w:rPr>
          <w:rFonts w:hint="eastAsia"/>
        </w:rPr>
        <w:t>7、生态环境影响分析结论</w:t>
      </w:r>
    </w:p>
    <w:p w14:paraId="6955D98E">
      <w:pPr>
        <w:ind w:firstLine="480"/>
      </w:pPr>
      <w:r>
        <w:rPr>
          <w:rFonts w:hint="eastAsia"/>
        </w:rPr>
        <w:t>本项目位于省级化工园区，建设地块已平整。类比分析可知，本项目营运期对周边环境和敏感点的生态环境影响不明显。</w:t>
      </w:r>
    </w:p>
    <w:p w14:paraId="4DFA1133">
      <w:pPr>
        <w:ind w:firstLine="480"/>
      </w:pPr>
      <w:r>
        <w:rPr>
          <w:rFonts w:hint="eastAsia"/>
        </w:rPr>
        <w:t>8、环境风险分析结论</w:t>
      </w:r>
    </w:p>
    <w:p w14:paraId="5E80E2DB">
      <w:pPr>
        <w:ind w:firstLine="480"/>
        <w:rPr>
          <w:rFonts w:hint="eastAsia" w:eastAsia="宋体"/>
          <w:lang w:eastAsia="zh-CN"/>
        </w:rPr>
      </w:pPr>
      <w:r>
        <w:rPr>
          <w:rFonts w:hint="eastAsia"/>
        </w:rPr>
        <w:t>根据风险识别和源项分析，本项目的环境风险分别有：各类化学品在生产储存、运输过程中的泄漏，废水、废气事故排放、火灾爆炸带来消防废水二次污染等。根据预测，建设单位在严格落实本报告书提出的现有风险防范措施建议和意见，并</w:t>
      </w:r>
      <w:r>
        <w:rPr>
          <w:rFonts w:hint="eastAsia"/>
          <w:lang w:val="en-US" w:eastAsia="zh-CN"/>
        </w:rPr>
        <w:t>编制</w:t>
      </w:r>
      <w:r>
        <w:rPr>
          <w:rFonts w:hint="eastAsia"/>
        </w:rPr>
        <w:t>完善风险事故应急预案的前提下，项目运营期的环境风险在可接受范围之</w:t>
      </w:r>
      <w:r>
        <w:rPr>
          <w:rFonts w:hint="eastAsia"/>
          <w:highlight w:val="none"/>
        </w:rPr>
        <w:t>内。</w:t>
      </w:r>
    </w:p>
    <w:p w14:paraId="76E4A1DC">
      <w:pPr>
        <w:pStyle w:val="3"/>
      </w:pPr>
      <w:bookmarkStart w:id="49" w:name="_Toc12001"/>
      <w:bookmarkStart w:id="50" w:name="_Toc26140"/>
      <w:bookmarkStart w:id="51" w:name="_Toc15466"/>
      <w:r>
        <w:rPr>
          <w:rFonts w:hint="eastAsia"/>
        </w:rPr>
        <w:t>综合结论</w:t>
      </w:r>
      <w:bookmarkEnd w:id="49"/>
      <w:bookmarkEnd w:id="50"/>
      <w:bookmarkEnd w:id="51"/>
    </w:p>
    <w:p w14:paraId="2563185B">
      <w:pPr>
        <w:ind w:firstLine="480"/>
      </w:pPr>
      <w:r>
        <w:t>本项目在贯彻落实国家和地方制定的有关环保法律、法规和实现本评价提出的各项环境保护措施和建议的前提下，确保各种治理设施正常运转和废气、废水、噪声等污染物达标排放，贯彻执行国家规定的“达标排放、总量控制”的原则，制定应急计划和落实环境风险防范措施，从环境保护角度出发，本项目的建设是可行的。</w:t>
      </w:r>
    </w:p>
    <w:p w14:paraId="28D527EF">
      <w:pPr>
        <w:ind w:firstLine="480"/>
        <w:rPr>
          <w:rFonts w:hint="eastAsia" w:eastAsia="宋体"/>
          <w:lang w:eastAsia="zh-CN"/>
        </w:rPr>
      </w:pPr>
    </w:p>
    <w:p w14:paraId="72FFBEE0">
      <w:pPr>
        <w:pStyle w:val="2"/>
        <w:spacing w:before="0" w:beforeLines="0" w:after="0" w:afterLines="0"/>
      </w:pPr>
      <w:bookmarkStart w:id="52" w:name="_Toc2423"/>
      <w:bookmarkStart w:id="53" w:name="_Toc3977"/>
      <w:bookmarkStart w:id="54" w:name="_Toc17740"/>
      <w:r>
        <w:rPr>
          <w:rFonts w:hint="eastAsia"/>
        </w:rPr>
        <w:t>总  则</w:t>
      </w:r>
      <w:bookmarkEnd w:id="52"/>
      <w:bookmarkEnd w:id="53"/>
      <w:bookmarkEnd w:id="54"/>
    </w:p>
    <w:p w14:paraId="64B2CF41">
      <w:pPr>
        <w:pStyle w:val="3"/>
      </w:pPr>
      <w:bookmarkStart w:id="55" w:name="_Toc28182"/>
      <w:bookmarkStart w:id="56" w:name="_Toc17746"/>
      <w:bookmarkStart w:id="57" w:name="_Toc7689"/>
      <w:r>
        <w:rPr>
          <w:rFonts w:hint="eastAsia"/>
        </w:rPr>
        <w:t>编制依据</w:t>
      </w:r>
      <w:bookmarkEnd w:id="55"/>
      <w:bookmarkEnd w:id="56"/>
      <w:bookmarkEnd w:id="57"/>
    </w:p>
    <w:p w14:paraId="4C78E71F">
      <w:pPr>
        <w:pStyle w:val="4"/>
      </w:pPr>
      <w:bookmarkStart w:id="58" w:name="_Toc22341"/>
      <w:r>
        <w:t>国家</w:t>
      </w:r>
      <w:r>
        <w:rPr>
          <w:rFonts w:hint="eastAsia"/>
        </w:rPr>
        <w:t>环保</w:t>
      </w:r>
      <w:r>
        <w:t>法律</w:t>
      </w:r>
      <w:r>
        <w:rPr>
          <w:rFonts w:hint="eastAsia"/>
        </w:rPr>
        <w:t>、</w:t>
      </w:r>
      <w:r>
        <w:t>法规</w:t>
      </w:r>
      <w:bookmarkEnd w:id="58"/>
    </w:p>
    <w:p w14:paraId="22E946C4">
      <w:pPr>
        <w:numPr>
          <w:ilvl w:val="0"/>
          <w:numId w:val="4"/>
        </w:numPr>
        <w:snapToGrid w:val="0"/>
        <w:ind w:left="0" w:firstLine="480"/>
        <w:rPr>
          <w:rFonts w:cs="Times New Roman"/>
          <w:kern w:val="0"/>
        </w:rPr>
      </w:pPr>
      <w:r>
        <w:rPr>
          <w:rFonts w:cs="Times New Roman"/>
          <w:kern w:val="0"/>
        </w:rPr>
        <w:t>《中华人民共和国环境保护法》（2015年1月1日起</w:t>
      </w:r>
      <w:r>
        <w:rPr>
          <w:rFonts w:hint="eastAsia" w:cs="Times New Roman"/>
          <w:kern w:val="0"/>
        </w:rPr>
        <w:t>施行</w:t>
      </w:r>
      <w:r>
        <w:rPr>
          <w:rFonts w:cs="Times New Roman"/>
          <w:kern w:val="0"/>
        </w:rPr>
        <w:t>）；</w:t>
      </w:r>
    </w:p>
    <w:p w14:paraId="0E5C473B">
      <w:pPr>
        <w:numPr>
          <w:ilvl w:val="0"/>
          <w:numId w:val="4"/>
        </w:numPr>
        <w:snapToGrid w:val="0"/>
        <w:ind w:left="0" w:firstLine="480"/>
        <w:rPr>
          <w:rFonts w:cs="Times New Roman"/>
          <w:kern w:val="0"/>
        </w:rPr>
      </w:pPr>
      <w:r>
        <w:rPr>
          <w:rFonts w:cs="Times New Roman"/>
          <w:kern w:val="0"/>
        </w:rPr>
        <w:t>《中华人民共和国噪声污染防治法》（20</w:t>
      </w:r>
      <w:r>
        <w:rPr>
          <w:rFonts w:hint="eastAsia" w:cs="Times New Roman"/>
          <w:kern w:val="0"/>
        </w:rPr>
        <w:t>22</w:t>
      </w:r>
      <w:r>
        <w:rPr>
          <w:rFonts w:cs="Times New Roman"/>
          <w:kern w:val="0"/>
        </w:rPr>
        <w:t>年</w:t>
      </w:r>
      <w:r>
        <w:rPr>
          <w:rFonts w:hint="eastAsia" w:cs="Times New Roman"/>
          <w:kern w:val="0"/>
        </w:rPr>
        <w:t>6</w:t>
      </w:r>
      <w:r>
        <w:rPr>
          <w:rFonts w:cs="Times New Roman"/>
          <w:kern w:val="0"/>
        </w:rPr>
        <w:t>月</w:t>
      </w:r>
      <w:r>
        <w:rPr>
          <w:rFonts w:hint="eastAsia" w:cs="Times New Roman"/>
          <w:kern w:val="0"/>
        </w:rPr>
        <w:t>5</w:t>
      </w:r>
      <w:r>
        <w:rPr>
          <w:rFonts w:cs="Times New Roman"/>
          <w:kern w:val="0"/>
        </w:rPr>
        <w:t>日</w:t>
      </w:r>
      <w:r>
        <w:rPr>
          <w:rFonts w:hint="eastAsia" w:cs="Times New Roman"/>
          <w:kern w:val="0"/>
        </w:rPr>
        <w:t>起施行</w:t>
      </w:r>
      <w:r>
        <w:rPr>
          <w:rFonts w:cs="Times New Roman"/>
          <w:kern w:val="0"/>
        </w:rPr>
        <w:t>）；</w:t>
      </w:r>
    </w:p>
    <w:p w14:paraId="3C1FD123">
      <w:pPr>
        <w:numPr>
          <w:ilvl w:val="0"/>
          <w:numId w:val="4"/>
        </w:numPr>
        <w:snapToGrid w:val="0"/>
        <w:ind w:left="0" w:firstLine="480"/>
        <w:rPr>
          <w:rFonts w:cs="Times New Roman"/>
          <w:kern w:val="0"/>
        </w:rPr>
      </w:pPr>
      <w:r>
        <w:rPr>
          <w:rFonts w:cs="Times New Roman"/>
          <w:kern w:val="0"/>
        </w:rPr>
        <w:t>《中华人民共和国固体废物污染环境防治法》（2020年</w:t>
      </w:r>
      <w:r>
        <w:rPr>
          <w:rFonts w:hint="eastAsia" w:cs="Times New Roman"/>
          <w:kern w:val="0"/>
        </w:rPr>
        <w:t>9</w:t>
      </w:r>
      <w:r>
        <w:rPr>
          <w:rFonts w:cs="Times New Roman"/>
          <w:kern w:val="0"/>
        </w:rPr>
        <w:t>月</w:t>
      </w:r>
      <w:r>
        <w:rPr>
          <w:rFonts w:hint="eastAsia" w:cs="Times New Roman"/>
          <w:kern w:val="0"/>
        </w:rPr>
        <w:t>1</w:t>
      </w:r>
      <w:r>
        <w:rPr>
          <w:rFonts w:cs="Times New Roman"/>
          <w:kern w:val="0"/>
        </w:rPr>
        <w:t>日起</w:t>
      </w:r>
      <w:r>
        <w:rPr>
          <w:rFonts w:hint="eastAsia" w:cs="Times New Roman"/>
          <w:kern w:val="0"/>
        </w:rPr>
        <w:t>施行</w:t>
      </w:r>
      <w:r>
        <w:rPr>
          <w:rFonts w:cs="Times New Roman"/>
          <w:kern w:val="0"/>
        </w:rPr>
        <w:t>）；</w:t>
      </w:r>
    </w:p>
    <w:p w14:paraId="4B0197AA">
      <w:pPr>
        <w:numPr>
          <w:ilvl w:val="0"/>
          <w:numId w:val="4"/>
        </w:numPr>
        <w:snapToGrid w:val="0"/>
        <w:ind w:left="0" w:firstLine="480"/>
        <w:rPr>
          <w:rFonts w:cs="Times New Roman"/>
          <w:kern w:val="0"/>
        </w:rPr>
      </w:pPr>
      <w:r>
        <w:rPr>
          <w:rFonts w:cs="Times New Roman"/>
          <w:kern w:val="0"/>
        </w:rPr>
        <w:t>《中华人民共和国大气污染防治法》（2018年10月26日修正）；</w:t>
      </w:r>
    </w:p>
    <w:p w14:paraId="18C959AD">
      <w:pPr>
        <w:numPr>
          <w:ilvl w:val="0"/>
          <w:numId w:val="4"/>
        </w:numPr>
        <w:snapToGrid w:val="0"/>
        <w:ind w:left="0" w:firstLine="480"/>
        <w:rPr>
          <w:rFonts w:cs="Times New Roman"/>
          <w:kern w:val="0"/>
        </w:rPr>
      </w:pPr>
      <w:r>
        <w:rPr>
          <w:rFonts w:cs="Times New Roman"/>
          <w:kern w:val="0"/>
        </w:rPr>
        <w:t>《中华人民共和国环境影响评价法》（2018年12月29日修正）；</w:t>
      </w:r>
    </w:p>
    <w:p w14:paraId="3349CAF7">
      <w:pPr>
        <w:numPr>
          <w:ilvl w:val="0"/>
          <w:numId w:val="4"/>
        </w:numPr>
        <w:snapToGrid w:val="0"/>
        <w:ind w:left="0" w:firstLine="480"/>
        <w:rPr>
          <w:rFonts w:cs="Times New Roman"/>
          <w:kern w:val="0"/>
        </w:rPr>
      </w:pPr>
      <w:r>
        <w:rPr>
          <w:rFonts w:cs="Times New Roman"/>
          <w:kern w:val="0"/>
        </w:rPr>
        <w:t>《中华人民共和国水污染防治法》（2018年1月1日起施行）；</w:t>
      </w:r>
    </w:p>
    <w:p w14:paraId="2F0034C7">
      <w:pPr>
        <w:numPr>
          <w:ilvl w:val="0"/>
          <w:numId w:val="4"/>
        </w:numPr>
        <w:snapToGrid w:val="0"/>
        <w:ind w:left="0" w:firstLine="480"/>
        <w:rPr>
          <w:rFonts w:cs="Times New Roman"/>
          <w:kern w:val="0"/>
        </w:rPr>
      </w:pPr>
      <w:r>
        <w:rPr>
          <w:rFonts w:cs="Times New Roman"/>
          <w:kern w:val="0"/>
        </w:rPr>
        <w:t>《中华人民共和国突发事件应对法》（2007年11月1日起施行）；</w:t>
      </w:r>
    </w:p>
    <w:p w14:paraId="67F260DA">
      <w:pPr>
        <w:numPr>
          <w:ilvl w:val="0"/>
          <w:numId w:val="4"/>
        </w:numPr>
        <w:snapToGrid w:val="0"/>
        <w:ind w:left="0" w:firstLine="480"/>
        <w:rPr>
          <w:rFonts w:cs="Times New Roman"/>
          <w:kern w:val="0"/>
        </w:rPr>
      </w:pPr>
      <w:r>
        <w:rPr>
          <w:rFonts w:cs="Times New Roman"/>
          <w:kern w:val="0"/>
        </w:rPr>
        <w:t>《中华人民共和国循环经济促进法》（2018年10月26日修正）；</w:t>
      </w:r>
    </w:p>
    <w:p w14:paraId="567E5631">
      <w:pPr>
        <w:numPr>
          <w:ilvl w:val="0"/>
          <w:numId w:val="4"/>
        </w:numPr>
        <w:snapToGrid w:val="0"/>
        <w:ind w:left="0" w:firstLine="480"/>
        <w:rPr>
          <w:rFonts w:cs="Times New Roman"/>
          <w:kern w:val="0"/>
        </w:rPr>
      </w:pPr>
      <w:r>
        <w:rPr>
          <w:rFonts w:cs="Times New Roman"/>
          <w:kern w:val="0"/>
        </w:rPr>
        <w:t>《中华人民共和国清洁生产促进法》（2012年7月1日起施行）；</w:t>
      </w:r>
    </w:p>
    <w:p w14:paraId="32517170">
      <w:pPr>
        <w:numPr>
          <w:ilvl w:val="0"/>
          <w:numId w:val="4"/>
        </w:numPr>
        <w:snapToGrid w:val="0"/>
        <w:ind w:left="0" w:firstLine="480"/>
        <w:rPr>
          <w:rFonts w:cs="Times New Roman"/>
          <w:kern w:val="0"/>
        </w:rPr>
      </w:pPr>
      <w:r>
        <w:rPr>
          <w:rFonts w:cs="Times New Roman"/>
          <w:kern w:val="0"/>
        </w:rPr>
        <w:t>《中华人民共和国水法》（2016年7月2日修改）；</w:t>
      </w:r>
    </w:p>
    <w:p w14:paraId="2EFBAB8C">
      <w:pPr>
        <w:numPr>
          <w:ilvl w:val="0"/>
          <w:numId w:val="4"/>
        </w:numPr>
        <w:snapToGrid w:val="0"/>
        <w:ind w:left="0" w:firstLine="480"/>
        <w:rPr>
          <w:rFonts w:cs="Times New Roman"/>
          <w:kern w:val="0"/>
        </w:rPr>
      </w:pPr>
      <w:r>
        <w:rPr>
          <w:rFonts w:hint="eastAsia" w:cs="Times New Roman"/>
          <w:kern w:val="0"/>
        </w:rPr>
        <w:t>《中华人民共和国长江保护法》（2020年12月26日）；</w:t>
      </w:r>
    </w:p>
    <w:p w14:paraId="10A5C8EE">
      <w:pPr>
        <w:numPr>
          <w:ilvl w:val="0"/>
          <w:numId w:val="4"/>
        </w:numPr>
        <w:snapToGrid w:val="0"/>
        <w:ind w:left="0" w:firstLine="480"/>
        <w:rPr>
          <w:rFonts w:cs="Times New Roman"/>
          <w:kern w:val="0"/>
        </w:rPr>
      </w:pPr>
      <w:r>
        <w:rPr>
          <w:rFonts w:cs="Times New Roman"/>
          <w:kern w:val="0"/>
        </w:rPr>
        <w:t>《水污染防治行动计划》（国发[2015]17号）；</w:t>
      </w:r>
    </w:p>
    <w:p w14:paraId="16A57C55">
      <w:pPr>
        <w:numPr>
          <w:ilvl w:val="0"/>
          <w:numId w:val="4"/>
        </w:numPr>
        <w:snapToGrid w:val="0"/>
        <w:ind w:left="0" w:firstLine="480" w:firstLineChars="0"/>
        <w:rPr>
          <w:rFonts w:cs="Times New Roman"/>
          <w:kern w:val="0"/>
        </w:rPr>
      </w:pPr>
      <w:r>
        <w:rPr>
          <w:rFonts w:cs="Times New Roman"/>
          <w:kern w:val="0"/>
        </w:rPr>
        <w:t>《土壤污染防治行动计划》（国发[2016]31号）；</w:t>
      </w:r>
    </w:p>
    <w:p w14:paraId="402E6BDF">
      <w:pPr>
        <w:numPr>
          <w:ilvl w:val="0"/>
          <w:numId w:val="4"/>
        </w:numPr>
        <w:snapToGrid w:val="0"/>
        <w:ind w:left="0" w:firstLine="480"/>
        <w:rPr>
          <w:rFonts w:cs="Times New Roman"/>
          <w:kern w:val="0"/>
        </w:rPr>
      </w:pPr>
      <w:r>
        <w:rPr>
          <w:rFonts w:cs="Times New Roman"/>
          <w:kern w:val="0"/>
        </w:rPr>
        <w:t>《建设项目环境保护管理条例》（国务院令第682号令，2017年10月1日起施行）；</w:t>
      </w:r>
    </w:p>
    <w:p w14:paraId="30460A69">
      <w:pPr>
        <w:numPr>
          <w:ilvl w:val="0"/>
          <w:numId w:val="4"/>
        </w:numPr>
        <w:snapToGrid w:val="0"/>
        <w:ind w:left="0" w:firstLine="480" w:firstLineChars="0"/>
        <w:rPr>
          <w:rFonts w:cs="Times New Roman"/>
          <w:kern w:val="0"/>
        </w:rPr>
      </w:pPr>
      <w:r>
        <w:rPr>
          <w:rFonts w:cs="Times New Roman"/>
          <w:kern w:val="0"/>
        </w:rPr>
        <w:t>《危险废物转移管理办法》（2022年1月1日起施行）；</w:t>
      </w:r>
    </w:p>
    <w:p w14:paraId="6DA4F281">
      <w:pPr>
        <w:numPr>
          <w:ilvl w:val="0"/>
          <w:numId w:val="4"/>
        </w:numPr>
        <w:snapToGrid w:val="0"/>
        <w:ind w:left="0" w:firstLine="480"/>
        <w:rPr>
          <w:rFonts w:cs="Times New Roman"/>
          <w:kern w:val="0"/>
        </w:rPr>
      </w:pPr>
      <w:r>
        <w:rPr>
          <w:rFonts w:cs="Times New Roman"/>
          <w:kern w:val="0"/>
        </w:rPr>
        <w:t>《环境影响评价公众参与办法》（2019年1月1日起施行）；</w:t>
      </w:r>
    </w:p>
    <w:p w14:paraId="659403E9">
      <w:pPr>
        <w:numPr>
          <w:ilvl w:val="0"/>
          <w:numId w:val="4"/>
        </w:numPr>
        <w:snapToGrid w:val="0"/>
        <w:ind w:left="0" w:firstLine="480"/>
        <w:rPr>
          <w:rFonts w:cs="Times New Roman"/>
          <w:kern w:val="0"/>
        </w:rPr>
      </w:pPr>
      <w:r>
        <w:rPr>
          <w:rFonts w:cs="Times New Roman"/>
          <w:kern w:val="0"/>
        </w:rPr>
        <w:t>《关于加强土壤污染防治工作的意见》（环发[2008]48号）；</w:t>
      </w:r>
    </w:p>
    <w:p w14:paraId="56A74242">
      <w:pPr>
        <w:numPr>
          <w:ilvl w:val="0"/>
          <w:numId w:val="4"/>
        </w:numPr>
        <w:snapToGrid w:val="0"/>
        <w:ind w:left="0" w:firstLine="480"/>
        <w:rPr>
          <w:rFonts w:cs="Times New Roman"/>
          <w:kern w:val="0"/>
        </w:rPr>
      </w:pPr>
      <w:r>
        <w:rPr>
          <w:rFonts w:cs="Times New Roman"/>
          <w:kern w:val="0"/>
        </w:rPr>
        <w:t>《关于进一步加强环境影响评价管理防范环境风险的通知》（环发[2012]77号）；</w:t>
      </w:r>
    </w:p>
    <w:p w14:paraId="3EC8EB6D">
      <w:pPr>
        <w:numPr>
          <w:ilvl w:val="0"/>
          <w:numId w:val="4"/>
        </w:numPr>
        <w:snapToGrid w:val="0"/>
        <w:ind w:left="0" w:firstLine="480"/>
        <w:rPr>
          <w:rFonts w:cs="Times New Roman"/>
          <w:kern w:val="0"/>
        </w:rPr>
      </w:pPr>
      <w:r>
        <w:rPr>
          <w:rFonts w:cs="Times New Roman"/>
          <w:kern w:val="0"/>
        </w:rPr>
        <w:t>《关于切实加强风险防范严格环境影响评价管理的通知》（环发[2012]98号）；</w:t>
      </w:r>
    </w:p>
    <w:p w14:paraId="15AC1F6C">
      <w:pPr>
        <w:numPr>
          <w:ilvl w:val="0"/>
          <w:numId w:val="4"/>
        </w:numPr>
        <w:snapToGrid w:val="0"/>
        <w:ind w:left="0" w:firstLine="480"/>
        <w:rPr>
          <w:rFonts w:cs="Times New Roman"/>
          <w:kern w:val="0"/>
        </w:rPr>
      </w:pPr>
      <w:r>
        <w:rPr>
          <w:rFonts w:cs="Times New Roman"/>
          <w:kern w:val="0"/>
        </w:rPr>
        <w:t>《关于切实加强环境影响评价监督管理工作的通知》（环办[2013]104号）；</w:t>
      </w:r>
    </w:p>
    <w:p w14:paraId="71AEF70E">
      <w:pPr>
        <w:numPr>
          <w:ilvl w:val="0"/>
          <w:numId w:val="4"/>
        </w:numPr>
        <w:snapToGrid w:val="0"/>
        <w:ind w:left="0" w:firstLine="480"/>
        <w:rPr>
          <w:rFonts w:cs="Times New Roman"/>
          <w:kern w:val="0"/>
        </w:rPr>
      </w:pPr>
      <w:r>
        <w:rPr>
          <w:rFonts w:cs="Times New Roman"/>
          <w:kern w:val="0"/>
        </w:rPr>
        <w:t>《长江经济带生态环境保护规划》（环规财[2017]88号）；</w:t>
      </w:r>
    </w:p>
    <w:p w14:paraId="31654517">
      <w:pPr>
        <w:numPr>
          <w:ilvl w:val="0"/>
          <w:numId w:val="4"/>
        </w:numPr>
        <w:snapToGrid w:val="0"/>
        <w:ind w:left="0" w:firstLine="480"/>
        <w:rPr>
          <w:rFonts w:cs="Times New Roman"/>
          <w:kern w:val="0"/>
        </w:rPr>
      </w:pPr>
      <w:r>
        <w:rPr>
          <w:rFonts w:cs="Times New Roman"/>
          <w:kern w:val="0"/>
        </w:rPr>
        <w:t>《突发环境事件应急管理办法》（</w:t>
      </w:r>
      <w:r>
        <w:rPr>
          <w:rFonts w:hint="eastAsia" w:cs="Times New Roman"/>
          <w:kern w:val="0"/>
          <w:lang w:eastAsia="zh-CN"/>
        </w:rPr>
        <w:t>生态环境部</w:t>
      </w:r>
      <w:r>
        <w:rPr>
          <w:rFonts w:cs="Times New Roman"/>
          <w:kern w:val="0"/>
        </w:rPr>
        <w:t>令第34号，2015年6月5日起施行）；</w:t>
      </w:r>
    </w:p>
    <w:p w14:paraId="77A6FD7E">
      <w:pPr>
        <w:numPr>
          <w:ilvl w:val="0"/>
          <w:numId w:val="4"/>
        </w:numPr>
        <w:snapToGrid w:val="0"/>
        <w:ind w:left="0" w:firstLine="480"/>
        <w:rPr>
          <w:rFonts w:cs="Times New Roman"/>
          <w:kern w:val="0"/>
        </w:rPr>
      </w:pPr>
      <w:r>
        <w:rPr>
          <w:rFonts w:cs="Times New Roman"/>
          <w:kern w:val="0"/>
        </w:rPr>
        <w:t>《国家危险废物名录》（2021年版）；</w:t>
      </w:r>
    </w:p>
    <w:p w14:paraId="4DFD19FA">
      <w:pPr>
        <w:numPr>
          <w:ilvl w:val="0"/>
          <w:numId w:val="4"/>
        </w:numPr>
        <w:snapToGrid w:val="0"/>
        <w:ind w:left="0" w:firstLine="480"/>
        <w:rPr>
          <w:rFonts w:cs="Times New Roman"/>
          <w:kern w:val="0"/>
        </w:rPr>
      </w:pPr>
      <w:r>
        <w:rPr>
          <w:rFonts w:cs="Times New Roman"/>
          <w:kern w:val="0"/>
        </w:rPr>
        <w:t>《建设项目环境影响评价分类管理名录》（2021年版）；</w:t>
      </w:r>
    </w:p>
    <w:p w14:paraId="11AD0A5C">
      <w:pPr>
        <w:numPr>
          <w:ilvl w:val="0"/>
          <w:numId w:val="4"/>
        </w:numPr>
        <w:snapToGrid w:val="0"/>
        <w:ind w:left="0" w:firstLine="480"/>
        <w:rPr>
          <w:rFonts w:cs="Times New Roman"/>
          <w:kern w:val="0"/>
        </w:rPr>
      </w:pPr>
      <w:r>
        <w:rPr>
          <w:rFonts w:cs="Times New Roman"/>
          <w:kern w:val="0"/>
        </w:rPr>
        <w:t>《产业结构调整指导目录》（20</w:t>
      </w:r>
      <w:r>
        <w:rPr>
          <w:rFonts w:hint="eastAsia" w:cs="Times New Roman"/>
          <w:kern w:val="0"/>
          <w:lang w:val="en-US" w:eastAsia="zh-CN"/>
        </w:rPr>
        <w:t>24</w:t>
      </w:r>
      <w:r>
        <w:rPr>
          <w:rFonts w:cs="Times New Roman"/>
          <w:kern w:val="0"/>
        </w:rPr>
        <w:t>年本）</w:t>
      </w:r>
      <w:r>
        <w:rPr>
          <w:rFonts w:hint="eastAsia" w:cs="Times New Roman"/>
          <w:kern w:val="0"/>
        </w:rPr>
        <w:t>；</w:t>
      </w:r>
    </w:p>
    <w:p w14:paraId="17B007B1">
      <w:pPr>
        <w:numPr>
          <w:ilvl w:val="0"/>
          <w:numId w:val="4"/>
        </w:numPr>
        <w:snapToGrid w:val="0"/>
        <w:ind w:left="0" w:firstLine="480"/>
        <w:rPr>
          <w:rFonts w:cs="Times New Roman"/>
          <w:kern w:val="0"/>
        </w:rPr>
      </w:pPr>
      <w:r>
        <w:rPr>
          <w:rFonts w:cs="Times New Roman"/>
          <w:kern w:val="0"/>
        </w:rPr>
        <w:t>《长江经济带生态环境保护规划》（环规财〔2017〕88号）</w:t>
      </w:r>
      <w:r>
        <w:rPr>
          <w:rFonts w:hint="eastAsia" w:cs="Times New Roman"/>
          <w:kern w:val="0"/>
        </w:rPr>
        <w:t>；</w:t>
      </w:r>
    </w:p>
    <w:p w14:paraId="5C772573">
      <w:pPr>
        <w:numPr>
          <w:ilvl w:val="0"/>
          <w:numId w:val="4"/>
        </w:numPr>
        <w:snapToGrid w:val="0"/>
        <w:ind w:left="0" w:firstLine="480"/>
        <w:rPr>
          <w:rFonts w:cs="Times New Roman"/>
          <w:color w:val="000000"/>
          <w:kern w:val="0"/>
        </w:rPr>
      </w:pPr>
      <w:r>
        <w:rPr>
          <w:rFonts w:cs="Times New Roman"/>
          <w:color w:val="000000"/>
          <w:kern w:val="0"/>
        </w:rPr>
        <w:t>《第四批国家级水产种质资源保护区》（农业部公告第1491号，2010年11月25日）。</w:t>
      </w:r>
    </w:p>
    <w:p w14:paraId="0FAF1BA7">
      <w:pPr>
        <w:pStyle w:val="4"/>
      </w:pPr>
      <w:bookmarkStart w:id="59" w:name="_Toc23274"/>
      <w:r>
        <w:rPr>
          <w:rFonts w:hint="eastAsia"/>
        </w:rPr>
        <w:t>地方性法规及规范性文件</w:t>
      </w:r>
      <w:bookmarkEnd w:id="59"/>
    </w:p>
    <w:p w14:paraId="4AB4E117">
      <w:pPr>
        <w:numPr>
          <w:ilvl w:val="0"/>
          <w:numId w:val="5"/>
        </w:numPr>
        <w:snapToGrid w:val="0"/>
        <w:ind w:left="0" w:firstLine="480"/>
        <w:rPr>
          <w:rFonts w:cs="Times New Roman"/>
          <w:kern w:val="0"/>
        </w:rPr>
      </w:pPr>
      <w:r>
        <w:rPr>
          <w:rFonts w:cs="Times New Roman"/>
          <w:kern w:val="0"/>
        </w:rPr>
        <w:t>《湖南省湘江流域水污染防治条例》；</w:t>
      </w:r>
    </w:p>
    <w:p w14:paraId="74D1B597">
      <w:pPr>
        <w:numPr>
          <w:ilvl w:val="0"/>
          <w:numId w:val="5"/>
        </w:numPr>
        <w:snapToGrid w:val="0"/>
        <w:ind w:left="0" w:firstLine="480"/>
        <w:rPr>
          <w:rFonts w:cs="Times New Roman"/>
          <w:kern w:val="0"/>
        </w:rPr>
      </w:pPr>
      <w:r>
        <w:rPr>
          <w:rFonts w:cs="Times New Roman"/>
          <w:kern w:val="0"/>
        </w:rPr>
        <w:t>《湖南省主要水系地表水环境功能区划》DB</w:t>
      </w:r>
      <w:r>
        <w:rPr>
          <w:rFonts w:hint="eastAsia" w:cs="Times New Roman"/>
          <w:kern w:val="0"/>
        </w:rPr>
        <w:t xml:space="preserve"> </w:t>
      </w:r>
      <w:r>
        <w:rPr>
          <w:rFonts w:cs="Times New Roman"/>
          <w:kern w:val="0"/>
        </w:rPr>
        <w:t>43/023-2005；</w:t>
      </w:r>
    </w:p>
    <w:p w14:paraId="55A3AC9E">
      <w:pPr>
        <w:numPr>
          <w:ilvl w:val="0"/>
          <w:numId w:val="5"/>
        </w:numPr>
        <w:snapToGrid w:val="0"/>
        <w:ind w:left="0" w:firstLine="480"/>
        <w:rPr>
          <w:rFonts w:cs="Times New Roman"/>
          <w:kern w:val="0"/>
        </w:rPr>
      </w:pPr>
      <w:r>
        <w:rPr>
          <w:rFonts w:cs="Times New Roman"/>
          <w:kern w:val="0"/>
        </w:rPr>
        <w:t>《湖南省人民政府关于进一步加强湘江流域水污染防治工作的通知》（湘政发[2004]19号）；</w:t>
      </w:r>
    </w:p>
    <w:p w14:paraId="536A29C3">
      <w:pPr>
        <w:numPr>
          <w:ilvl w:val="0"/>
          <w:numId w:val="5"/>
        </w:numPr>
        <w:snapToGrid w:val="0"/>
        <w:ind w:left="0" w:firstLine="480"/>
        <w:rPr>
          <w:rFonts w:cs="Times New Roman"/>
          <w:kern w:val="0"/>
        </w:rPr>
      </w:pPr>
      <w:r>
        <w:rPr>
          <w:rFonts w:cs="Times New Roman"/>
          <w:kern w:val="0"/>
          <w:szCs w:val="28"/>
        </w:rPr>
        <w:t>《湖南省环境保护条例》（2019年</w:t>
      </w:r>
      <w:r>
        <w:rPr>
          <w:rFonts w:hint="eastAsia" w:cs="Times New Roman"/>
          <w:kern w:val="0"/>
          <w:szCs w:val="28"/>
        </w:rPr>
        <w:t>9月28日</w:t>
      </w:r>
      <w:r>
        <w:rPr>
          <w:rFonts w:cs="Times New Roman"/>
          <w:kern w:val="0"/>
          <w:szCs w:val="28"/>
        </w:rPr>
        <w:t>修订）；</w:t>
      </w:r>
    </w:p>
    <w:p w14:paraId="3EA01E66">
      <w:pPr>
        <w:numPr>
          <w:ilvl w:val="0"/>
          <w:numId w:val="5"/>
        </w:numPr>
        <w:snapToGrid w:val="0"/>
        <w:ind w:left="0" w:firstLine="480"/>
        <w:rPr>
          <w:rFonts w:cs="Times New Roman"/>
          <w:kern w:val="0"/>
        </w:rPr>
      </w:pPr>
      <w:r>
        <w:rPr>
          <w:rFonts w:cs="Times New Roman"/>
          <w:kern w:val="0"/>
          <w:szCs w:val="28"/>
        </w:rPr>
        <w:t>《湖南省湘江保护条例》（</w:t>
      </w:r>
      <w:r>
        <w:rPr>
          <w:rFonts w:hint="eastAsia" w:cs="Times New Roman"/>
          <w:kern w:val="0"/>
          <w:szCs w:val="28"/>
        </w:rPr>
        <w:t>2023年5月31日</w:t>
      </w:r>
      <w:r>
        <w:rPr>
          <w:rFonts w:hint="eastAsia" w:cs="Times New Roman"/>
          <w:kern w:val="0"/>
          <w:szCs w:val="28"/>
          <w:lang w:val="en-US" w:eastAsia="zh-CN"/>
        </w:rPr>
        <w:t>修订</w:t>
      </w:r>
      <w:r>
        <w:rPr>
          <w:rFonts w:cs="Times New Roman"/>
          <w:kern w:val="0"/>
          <w:szCs w:val="28"/>
        </w:rPr>
        <w:t>）；</w:t>
      </w:r>
    </w:p>
    <w:p w14:paraId="7C433749">
      <w:pPr>
        <w:numPr>
          <w:ilvl w:val="0"/>
          <w:numId w:val="5"/>
        </w:numPr>
        <w:snapToGrid w:val="0"/>
        <w:ind w:left="0" w:firstLine="480"/>
        <w:rPr>
          <w:rFonts w:cs="Times New Roman"/>
          <w:kern w:val="0"/>
        </w:rPr>
      </w:pPr>
      <w:r>
        <w:rPr>
          <w:rFonts w:cs="Times New Roman"/>
          <w:kern w:val="0"/>
          <w:szCs w:val="28"/>
        </w:rPr>
        <w:t>《湖南省建设项目环境保护管理办法》（2007年10月1日起施行）</w:t>
      </w:r>
      <w:r>
        <w:rPr>
          <w:rFonts w:cs="Times New Roman"/>
          <w:kern w:val="0"/>
        </w:rPr>
        <w:t>；</w:t>
      </w:r>
    </w:p>
    <w:p w14:paraId="5A77A04F">
      <w:pPr>
        <w:numPr>
          <w:ilvl w:val="0"/>
          <w:numId w:val="5"/>
        </w:numPr>
        <w:snapToGrid w:val="0"/>
        <w:ind w:left="0" w:firstLine="480"/>
        <w:rPr>
          <w:rFonts w:cs="Times New Roman"/>
          <w:kern w:val="0"/>
        </w:rPr>
      </w:pPr>
      <w:r>
        <w:rPr>
          <w:rFonts w:cs="Times New Roman"/>
          <w:kern w:val="0"/>
        </w:rPr>
        <w:t>《湖南省长江经济带发展负面清单实施细则（试行）》</w:t>
      </w:r>
      <w:r>
        <w:rPr>
          <w:rFonts w:hint="eastAsia" w:cs="Times New Roman"/>
          <w:kern w:val="0"/>
        </w:rPr>
        <w:t>（2022年）</w:t>
      </w:r>
      <w:r>
        <w:rPr>
          <w:rFonts w:cs="Times New Roman"/>
          <w:kern w:val="0"/>
        </w:rPr>
        <w:t>；</w:t>
      </w:r>
    </w:p>
    <w:p w14:paraId="18DCFD03">
      <w:pPr>
        <w:numPr>
          <w:ilvl w:val="0"/>
          <w:numId w:val="5"/>
        </w:numPr>
        <w:snapToGrid w:val="0"/>
        <w:ind w:left="0" w:firstLine="480"/>
        <w:rPr>
          <w:rFonts w:cs="Times New Roman"/>
          <w:kern w:val="0"/>
        </w:rPr>
      </w:pPr>
      <w:r>
        <w:rPr>
          <w:rFonts w:cs="Times New Roman"/>
          <w:kern w:val="0"/>
          <w:szCs w:val="28"/>
        </w:rPr>
        <w:t>《湖南省</w:t>
      </w:r>
      <w:r>
        <w:rPr>
          <w:rFonts w:hint="eastAsia" w:cs="Times New Roman"/>
          <w:kern w:val="0"/>
          <w:szCs w:val="28"/>
        </w:rPr>
        <w:t>“</w:t>
      </w:r>
      <w:r>
        <w:rPr>
          <w:rFonts w:cs="Times New Roman"/>
          <w:kern w:val="0"/>
          <w:szCs w:val="28"/>
        </w:rPr>
        <w:t>三线一单</w:t>
      </w:r>
      <w:r>
        <w:rPr>
          <w:rFonts w:hint="eastAsia" w:cs="Times New Roman"/>
          <w:kern w:val="0"/>
          <w:szCs w:val="28"/>
        </w:rPr>
        <w:t>”</w:t>
      </w:r>
      <w:r>
        <w:rPr>
          <w:rFonts w:cs="Times New Roman"/>
          <w:kern w:val="0"/>
          <w:szCs w:val="28"/>
        </w:rPr>
        <w:t>生态环境总体管控要求暨省级以上产业园区生态环境准入清单》</w:t>
      </w:r>
      <w:r>
        <w:rPr>
          <w:rFonts w:hint="eastAsia" w:cs="Times New Roman"/>
          <w:kern w:val="0"/>
        </w:rPr>
        <w:t>；</w:t>
      </w:r>
    </w:p>
    <w:p w14:paraId="1C8095E2">
      <w:pPr>
        <w:numPr>
          <w:ilvl w:val="0"/>
          <w:numId w:val="5"/>
        </w:numPr>
        <w:snapToGrid w:val="0"/>
        <w:ind w:left="0" w:firstLine="480"/>
        <w:rPr>
          <w:rFonts w:cs="Times New Roman"/>
          <w:kern w:val="0"/>
        </w:rPr>
      </w:pPr>
      <w:r>
        <w:rPr>
          <w:rFonts w:hint="eastAsia" w:cs="Times New Roman"/>
          <w:kern w:val="0"/>
        </w:rPr>
        <w:t>《</w:t>
      </w:r>
      <w:r>
        <w:rPr>
          <w:rFonts w:cs="Times New Roman"/>
          <w:kern w:val="0"/>
        </w:rPr>
        <w:t>湖南省“十四五”生态环境保护规划</w:t>
      </w:r>
      <w:r>
        <w:rPr>
          <w:rFonts w:hint="eastAsia" w:cs="Times New Roman"/>
          <w:kern w:val="0"/>
        </w:rPr>
        <w:t>》（湘政办发〔2021〕61号）；</w:t>
      </w:r>
    </w:p>
    <w:p w14:paraId="45623532">
      <w:pPr>
        <w:numPr>
          <w:ilvl w:val="0"/>
          <w:numId w:val="5"/>
        </w:numPr>
        <w:snapToGrid w:val="0"/>
        <w:ind w:left="0" w:firstLine="480"/>
        <w:rPr>
          <w:rFonts w:cs="Times New Roman"/>
          <w:kern w:val="0"/>
        </w:rPr>
      </w:pPr>
      <w:r>
        <w:rPr>
          <w:rFonts w:cs="Times New Roman"/>
          <w:kern w:val="0"/>
        </w:rPr>
        <w:t>《衡阳市“十四五”生态环境保护规划》</w:t>
      </w:r>
      <w:r>
        <w:rPr>
          <w:rFonts w:hint="eastAsia" w:cs="Times New Roman"/>
          <w:kern w:val="0"/>
        </w:rPr>
        <w:t>；</w:t>
      </w:r>
    </w:p>
    <w:p w14:paraId="386B6668">
      <w:pPr>
        <w:numPr>
          <w:ilvl w:val="0"/>
          <w:numId w:val="5"/>
        </w:numPr>
        <w:snapToGrid w:val="0"/>
        <w:ind w:left="0" w:firstLine="480"/>
        <w:rPr>
          <w:rFonts w:cs="Times New Roman"/>
          <w:kern w:val="0"/>
        </w:rPr>
      </w:pPr>
      <w:r>
        <w:rPr>
          <w:rFonts w:hint="eastAsia" w:cs="Times New Roman"/>
          <w:kern w:val="0"/>
        </w:rPr>
        <w:t>《衡阳市“十四五”空气质量改善规划》</w:t>
      </w:r>
      <w:r>
        <w:rPr>
          <w:rFonts w:hint="eastAsia" w:cs="Times New Roman"/>
          <w:kern w:val="0"/>
          <w:lang w:eastAsia="zh-CN"/>
        </w:rPr>
        <w:t>；</w:t>
      </w:r>
    </w:p>
    <w:p w14:paraId="6CE28381">
      <w:pPr>
        <w:numPr>
          <w:ilvl w:val="0"/>
          <w:numId w:val="5"/>
        </w:numPr>
        <w:snapToGrid w:val="0"/>
        <w:ind w:left="0" w:firstLine="480"/>
        <w:rPr>
          <w:rFonts w:cs="Times New Roman"/>
          <w:kern w:val="0"/>
        </w:rPr>
      </w:pPr>
      <w:r>
        <w:rPr>
          <w:rFonts w:hint="eastAsia" w:cs="Times New Roman"/>
          <w:kern w:val="0"/>
        </w:rPr>
        <w:t>《湖南衡阳松木经济开发区总体规划（2023-2035年）》。</w:t>
      </w:r>
    </w:p>
    <w:p w14:paraId="5153F1B5">
      <w:pPr>
        <w:pStyle w:val="4"/>
      </w:pPr>
      <w:bookmarkStart w:id="60" w:name="_Toc5346"/>
      <w:r>
        <w:rPr>
          <w:rFonts w:hint="eastAsia"/>
        </w:rPr>
        <w:t>行业标准和技术规范</w:t>
      </w:r>
      <w:bookmarkEnd w:id="60"/>
    </w:p>
    <w:p w14:paraId="2D63803D">
      <w:pPr>
        <w:numPr>
          <w:ilvl w:val="0"/>
          <w:numId w:val="6"/>
        </w:numPr>
        <w:snapToGrid w:val="0"/>
        <w:ind w:left="0" w:firstLine="480"/>
        <w:rPr>
          <w:rFonts w:cs="Times New Roman"/>
          <w:kern w:val="0"/>
        </w:rPr>
      </w:pPr>
      <w:r>
        <w:rPr>
          <w:rFonts w:cs="Times New Roman"/>
          <w:kern w:val="0"/>
        </w:rPr>
        <w:t>《建设项目环境影响评价技术导则</w:t>
      </w:r>
      <w:r>
        <w:rPr>
          <w:rFonts w:hint="eastAsia" w:cs="Times New Roman"/>
          <w:kern w:val="0"/>
        </w:rPr>
        <w:t xml:space="preserve"> </w:t>
      </w:r>
      <w:r>
        <w:rPr>
          <w:rFonts w:cs="Times New Roman"/>
          <w:kern w:val="0"/>
        </w:rPr>
        <w:t>总纲》（HJ 2.1-2016）；</w:t>
      </w:r>
    </w:p>
    <w:p w14:paraId="31213AFC">
      <w:pPr>
        <w:numPr>
          <w:ilvl w:val="0"/>
          <w:numId w:val="6"/>
        </w:numPr>
        <w:snapToGrid w:val="0"/>
        <w:ind w:left="0" w:firstLine="480"/>
        <w:rPr>
          <w:rFonts w:cs="Times New Roman"/>
          <w:kern w:val="0"/>
        </w:rPr>
      </w:pPr>
      <w:r>
        <w:rPr>
          <w:rFonts w:cs="Times New Roman"/>
          <w:kern w:val="0"/>
        </w:rPr>
        <w:t>《环境影响评价技术导则</w:t>
      </w:r>
      <w:r>
        <w:rPr>
          <w:rFonts w:hint="eastAsia" w:cs="Times New Roman"/>
          <w:kern w:val="0"/>
        </w:rPr>
        <w:t xml:space="preserve"> </w:t>
      </w:r>
      <w:r>
        <w:rPr>
          <w:rFonts w:cs="Times New Roman"/>
          <w:kern w:val="0"/>
        </w:rPr>
        <w:t>地表水环境》（HJ 2.3-2018）；</w:t>
      </w:r>
    </w:p>
    <w:p w14:paraId="3360D2A0">
      <w:pPr>
        <w:numPr>
          <w:ilvl w:val="0"/>
          <w:numId w:val="6"/>
        </w:numPr>
        <w:snapToGrid w:val="0"/>
        <w:ind w:left="0" w:firstLine="480"/>
        <w:rPr>
          <w:rFonts w:cs="Times New Roman"/>
          <w:kern w:val="0"/>
        </w:rPr>
      </w:pPr>
      <w:r>
        <w:rPr>
          <w:rFonts w:cs="Times New Roman"/>
          <w:kern w:val="0"/>
        </w:rPr>
        <w:t>《环境影响评价技术导则</w:t>
      </w:r>
      <w:r>
        <w:rPr>
          <w:rFonts w:hint="eastAsia" w:cs="Times New Roman"/>
          <w:kern w:val="0"/>
        </w:rPr>
        <w:t xml:space="preserve"> </w:t>
      </w:r>
      <w:r>
        <w:rPr>
          <w:rFonts w:cs="Times New Roman"/>
          <w:kern w:val="0"/>
        </w:rPr>
        <w:t>大气环境》（HJ 2.2-2018）；</w:t>
      </w:r>
    </w:p>
    <w:p w14:paraId="5FF0BA33">
      <w:pPr>
        <w:numPr>
          <w:ilvl w:val="0"/>
          <w:numId w:val="6"/>
        </w:numPr>
        <w:snapToGrid w:val="0"/>
        <w:ind w:left="0" w:firstLine="480"/>
        <w:rPr>
          <w:rFonts w:cs="Times New Roman"/>
          <w:kern w:val="0"/>
        </w:rPr>
      </w:pPr>
      <w:r>
        <w:rPr>
          <w:rFonts w:cs="Times New Roman"/>
          <w:kern w:val="0"/>
        </w:rPr>
        <w:t>《环境影响评价技术导则</w:t>
      </w:r>
      <w:r>
        <w:rPr>
          <w:rFonts w:hint="eastAsia" w:cs="Times New Roman"/>
          <w:kern w:val="0"/>
        </w:rPr>
        <w:t xml:space="preserve"> </w:t>
      </w:r>
      <w:r>
        <w:rPr>
          <w:rFonts w:cs="Times New Roman"/>
          <w:kern w:val="0"/>
        </w:rPr>
        <w:t>声环境》（HJ 2.4-2021）；</w:t>
      </w:r>
    </w:p>
    <w:p w14:paraId="00E3A986">
      <w:pPr>
        <w:numPr>
          <w:ilvl w:val="0"/>
          <w:numId w:val="6"/>
        </w:numPr>
        <w:snapToGrid w:val="0"/>
        <w:ind w:left="0" w:firstLine="480"/>
        <w:rPr>
          <w:rFonts w:cs="Times New Roman"/>
          <w:kern w:val="0"/>
        </w:rPr>
      </w:pPr>
      <w:r>
        <w:rPr>
          <w:rFonts w:cs="Times New Roman"/>
          <w:kern w:val="0"/>
        </w:rPr>
        <w:t>《环境影响评价技术导则</w:t>
      </w:r>
      <w:r>
        <w:rPr>
          <w:rFonts w:hint="eastAsia" w:cs="Times New Roman"/>
          <w:kern w:val="0"/>
        </w:rPr>
        <w:t xml:space="preserve"> </w:t>
      </w:r>
      <w:r>
        <w:rPr>
          <w:rFonts w:cs="Times New Roman"/>
          <w:kern w:val="0"/>
        </w:rPr>
        <w:t>生态影响》（HJ 19-2022）；</w:t>
      </w:r>
    </w:p>
    <w:p w14:paraId="01942C1F">
      <w:pPr>
        <w:numPr>
          <w:ilvl w:val="0"/>
          <w:numId w:val="6"/>
        </w:numPr>
        <w:snapToGrid w:val="0"/>
        <w:ind w:left="0" w:firstLine="480"/>
        <w:rPr>
          <w:rFonts w:cs="Times New Roman"/>
          <w:kern w:val="0"/>
        </w:rPr>
      </w:pPr>
      <w:r>
        <w:rPr>
          <w:rFonts w:cs="Times New Roman"/>
          <w:kern w:val="0"/>
        </w:rPr>
        <w:t>《环境影响评价技术导则</w:t>
      </w:r>
      <w:r>
        <w:rPr>
          <w:rFonts w:hint="eastAsia" w:cs="Times New Roman"/>
          <w:kern w:val="0"/>
        </w:rPr>
        <w:t xml:space="preserve"> </w:t>
      </w:r>
      <w:r>
        <w:rPr>
          <w:rFonts w:cs="Times New Roman"/>
          <w:kern w:val="0"/>
        </w:rPr>
        <w:t>土壤环境（试行）》（HJ 964-2018）；</w:t>
      </w:r>
    </w:p>
    <w:p w14:paraId="175DF605">
      <w:pPr>
        <w:numPr>
          <w:ilvl w:val="0"/>
          <w:numId w:val="6"/>
        </w:numPr>
        <w:snapToGrid w:val="0"/>
        <w:ind w:left="0" w:firstLine="480"/>
        <w:rPr>
          <w:rFonts w:cs="Times New Roman"/>
          <w:kern w:val="0"/>
        </w:rPr>
      </w:pPr>
      <w:r>
        <w:rPr>
          <w:rFonts w:cs="Times New Roman"/>
          <w:kern w:val="0"/>
        </w:rPr>
        <w:t>《环境影响评价技术导则</w:t>
      </w:r>
      <w:r>
        <w:rPr>
          <w:rFonts w:hint="eastAsia" w:cs="Times New Roman"/>
          <w:kern w:val="0"/>
        </w:rPr>
        <w:t xml:space="preserve"> </w:t>
      </w:r>
      <w:r>
        <w:rPr>
          <w:rFonts w:cs="Times New Roman"/>
          <w:kern w:val="0"/>
        </w:rPr>
        <w:t>地下水环境》（HJ 610-2016）；</w:t>
      </w:r>
    </w:p>
    <w:p w14:paraId="15E0B8AB">
      <w:pPr>
        <w:numPr>
          <w:ilvl w:val="0"/>
          <w:numId w:val="6"/>
        </w:numPr>
        <w:snapToGrid w:val="0"/>
        <w:ind w:left="0" w:firstLine="480"/>
        <w:rPr>
          <w:rFonts w:cs="Times New Roman"/>
          <w:kern w:val="0"/>
        </w:rPr>
      </w:pPr>
      <w:r>
        <w:rPr>
          <w:rFonts w:cs="Times New Roman"/>
          <w:kern w:val="0"/>
        </w:rPr>
        <w:t>《建设项目环境风险评价技术导则》（HJ 169-2018）</w:t>
      </w:r>
      <w:r>
        <w:rPr>
          <w:rFonts w:hint="eastAsia" w:cs="Times New Roman"/>
          <w:kern w:val="0"/>
        </w:rPr>
        <w:t>；</w:t>
      </w:r>
    </w:p>
    <w:p w14:paraId="32EE2E3B">
      <w:pPr>
        <w:numPr>
          <w:ilvl w:val="0"/>
          <w:numId w:val="6"/>
        </w:numPr>
        <w:snapToGrid w:val="0"/>
        <w:ind w:left="0" w:firstLine="480"/>
        <w:rPr>
          <w:rFonts w:cs="Times New Roman"/>
          <w:color w:val="000000"/>
          <w:kern w:val="0"/>
        </w:rPr>
      </w:pPr>
      <w:r>
        <w:rPr>
          <w:rFonts w:hint="eastAsia" w:cs="Times New Roman"/>
          <w:color w:val="000000"/>
          <w:kern w:val="0"/>
        </w:rPr>
        <w:t>《建设项目危险废物环境影响评价指南》（公告2017 年第43 号）；</w:t>
      </w:r>
    </w:p>
    <w:p w14:paraId="6651979A">
      <w:pPr>
        <w:numPr>
          <w:ilvl w:val="0"/>
          <w:numId w:val="6"/>
        </w:numPr>
        <w:snapToGrid w:val="0"/>
        <w:ind w:left="0" w:firstLine="480"/>
        <w:rPr>
          <w:rFonts w:cs="Times New Roman"/>
          <w:color w:val="000000"/>
          <w:kern w:val="0"/>
        </w:rPr>
      </w:pPr>
      <w:r>
        <w:rPr>
          <w:rFonts w:hint="eastAsia" w:cs="Times New Roman"/>
          <w:color w:val="000000"/>
          <w:kern w:val="0"/>
        </w:rPr>
        <w:t>《危险化学品重大危险源辨识》（GB18218-2018）；</w:t>
      </w:r>
    </w:p>
    <w:p w14:paraId="6BB86155">
      <w:pPr>
        <w:numPr>
          <w:ilvl w:val="0"/>
          <w:numId w:val="6"/>
        </w:numPr>
        <w:snapToGrid w:val="0"/>
        <w:ind w:left="0" w:firstLine="480"/>
        <w:rPr>
          <w:rFonts w:cs="Times New Roman"/>
          <w:color w:val="000000"/>
          <w:kern w:val="0"/>
        </w:rPr>
      </w:pPr>
      <w:r>
        <w:rPr>
          <w:rFonts w:hint="eastAsia" w:cs="Times New Roman"/>
          <w:color w:val="000000"/>
          <w:kern w:val="0"/>
        </w:rPr>
        <w:t>《危险废物贮存污染控制标准》（GB 18597-2023）；</w:t>
      </w:r>
    </w:p>
    <w:p w14:paraId="137803B9">
      <w:pPr>
        <w:numPr>
          <w:ilvl w:val="0"/>
          <w:numId w:val="6"/>
        </w:numPr>
        <w:snapToGrid w:val="0"/>
        <w:ind w:left="0" w:firstLine="480" w:firstLineChars="0"/>
        <w:rPr>
          <w:rFonts w:cs="Times New Roman"/>
          <w:color w:val="000000"/>
          <w:kern w:val="0"/>
        </w:rPr>
      </w:pPr>
      <w:r>
        <w:rPr>
          <w:rFonts w:hint="eastAsia" w:cs="Times New Roman"/>
          <w:color w:val="000000"/>
          <w:kern w:val="0"/>
        </w:rPr>
        <w:t>《危险废物收集 贮存 运输技术规范》（HJ2025-2012）；</w:t>
      </w:r>
    </w:p>
    <w:p w14:paraId="6A8BDE0D">
      <w:pPr>
        <w:numPr>
          <w:ilvl w:val="0"/>
          <w:numId w:val="6"/>
        </w:numPr>
        <w:snapToGrid w:val="0"/>
        <w:ind w:left="0" w:firstLine="480"/>
        <w:rPr>
          <w:rFonts w:cs="Times New Roman"/>
          <w:color w:val="000000"/>
          <w:kern w:val="0"/>
        </w:rPr>
      </w:pPr>
      <w:r>
        <w:rPr>
          <w:rFonts w:hint="eastAsia" w:cs="Times New Roman"/>
          <w:color w:val="000000"/>
          <w:kern w:val="0"/>
        </w:rPr>
        <w:t>《一般工业固体废物贮存和填埋污染控制标准》（GB18599-2020）；</w:t>
      </w:r>
    </w:p>
    <w:p w14:paraId="56987A98">
      <w:pPr>
        <w:numPr>
          <w:ilvl w:val="0"/>
          <w:numId w:val="6"/>
        </w:numPr>
        <w:snapToGrid w:val="0"/>
        <w:ind w:left="0" w:firstLine="480"/>
        <w:rPr>
          <w:rFonts w:cs="Times New Roman"/>
          <w:color w:val="000000"/>
          <w:kern w:val="0"/>
        </w:rPr>
      </w:pPr>
      <w:r>
        <w:rPr>
          <w:rFonts w:hint="eastAsia" w:cs="Times New Roman"/>
          <w:color w:val="000000"/>
          <w:kern w:val="0"/>
        </w:rPr>
        <w:t>《一般固体废物分类与代码》（GB/T 39198-2020）；</w:t>
      </w:r>
    </w:p>
    <w:p w14:paraId="01BFE839">
      <w:pPr>
        <w:numPr>
          <w:ilvl w:val="0"/>
          <w:numId w:val="6"/>
        </w:numPr>
        <w:snapToGrid w:val="0"/>
        <w:ind w:left="0" w:firstLine="480"/>
        <w:rPr>
          <w:rFonts w:cs="Times New Roman"/>
          <w:color w:val="000000"/>
          <w:kern w:val="0"/>
        </w:rPr>
      </w:pPr>
      <w:r>
        <w:rPr>
          <w:rFonts w:cs="Times New Roman"/>
          <w:color w:val="000000"/>
          <w:kern w:val="0"/>
        </w:rPr>
        <w:t xml:space="preserve">《排污许可证申请与核发技术规范 </w:t>
      </w:r>
      <w:r>
        <w:rPr>
          <w:rFonts w:hint="eastAsia" w:cs="Times New Roman"/>
          <w:color w:val="000000"/>
          <w:kern w:val="0"/>
        </w:rPr>
        <w:t>总则</w:t>
      </w:r>
      <w:r>
        <w:rPr>
          <w:rFonts w:cs="Times New Roman"/>
          <w:color w:val="000000"/>
          <w:kern w:val="0"/>
        </w:rPr>
        <w:t>》（HJ</w:t>
      </w:r>
      <w:r>
        <w:rPr>
          <w:rFonts w:hint="eastAsia" w:cs="Times New Roman"/>
          <w:color w:val="000000"/>
          <w:kern w:val="0"/>
        </w:rPr>
        <w:t>942</w:t>
      </w:r>
      <w:r>
        <w:rPr>
          <w:rFonts w:cs="Times New Roman"/>
          <w:color w:val="000000"/>
          <w:kern w:val="0"/>
        </w:rPr>
        <w:t>-201</w:t>
      </w:r>
      <w:r>
        <w:rPr>
          <w:rFonts w:hint="eastAsia" w:cs="Times New Roman"/>
          <w:color w:val="000000"/>
          <w:kern w:val="0"/>
        </w:rPr>
        <w:t>8</w:t>
      </w:r>
      <w:r>
        <w:rPr>
          <w:rFonts w:cs="Times New Roman"/>
          <w:color w:val="000000"/>
          <w:kern w:val="0"/>
        </w:rPr>
        <w:t>）</w:t>
      </w:r>
      <w:r>
        <w:rPr>
          <w:rFonts w:hint="eastAsia" w:cs="Times New Roman"/>
          <w:color w:val="000000"/>
          <w:kern w:val="0"/>
        </w:rPr>
        <w:t>；</w:t>
      </w:r>
    </w:p>
    <w:p w14:paraId="7A728D57">
      <w:pPr>
        <w:numPr>
          <w:ilvl w:val="0"/>
          <w:numId w:val="6"/>
        </w:numPr>
        <w:snapToGrid w:val="0"/>
        <w:ind w:left="0" w:firstLine="480"/>
        <w:rPr>
          <w:rFonts w:cs="Times New Roman"/>
          <w:color w:val="000000"/>
          <w:kern w:val="0"/>
        </w:rPr>
      </w:pPr>
      <w:r>
        <w:rPr>
          <w:rFonts w:hint="eastAsia" w:cs="Times New Roman"/>
          <w:color w:val="000000"/>
          <w:kern w:val="0"/>
        </w:rPr>
        <w:t>《排污许可证申请与核发技术规范 无机化学工业》（HJ 1035—2019）；</w:t>
      </w:r>
    </w:p>
    <w:p w14:paraId="207957CA">
      <w:pPr>
        <w:numPr>
          <w:ilvl w:val="0"/>
          <w:numId w:val="6"/>
        </w:numPr>
        <w:snapToGrid w:val="0"/>
        <w:ind w:left="0" w:firstLine="480" w:firstLineChars="0"/>
        <w:rPr>
          <w:rFonts w:cs="Times New Roman"/>
          <w:color w:val="000000"/>
          <w:kern w:val="0"/>
        </w:rPr>
      </w:pPr>
      <w:r>
        <w:rPr>
          <w:rFonts w:hint="eastAsia" w:cs="Times New Roman"/>
          <w:color w:val="000000"/>
          <w:kern w:val="0"/>
        </w:rPr>
        <w:t>《排污单位环境管理台账及排污许可证执行报告技术规范总则（试行）》（HJ944-2018）；</w:t>
      </w:r>
    </w:p>
    <w:p w14:paraId="7293ACF7">
      <w:pPr>
        <w:numPr>
          <w:ilvl w:val="0"/>
          <w:numId w:val="6"/>
        </w:numPr>
        <w:snapToGrid w:val="0"/>
        <w:ind w:left="0" w:firstLine="480"/>
        <w:rPr>
          <w:rFonts w:cs="Times New Roman"/>
          <w:color w:val="000000"/>
          <w:kern w:val="0"/>
        </w:rPr>
      </w:pPr>
      <w:r>
        <w:rPr>
          <w:rFonts w:hint="eastAsia" w:cs="Times New Roman"/>
          <w:color w:val="000000"/>
          <w:kern w:val="0"/>
        </w:rPr>
        <w:t>《污染源源强核算技术指南 准则》（HJ884-2018）；</w:t>
      </w:r>
    </w:p>
    <w:p w14:paraId="79CD6C1A">
      <w:pPr>
        <w:numPr>
          <w:ilvl w:val="0"/>
          <w:numId w:val="6"/>
        </w:numPr>
        <w:snapToGrid w:val="0"/>
        <w:ind w:left="0" w:firstLine="480"/>
        <w:rPr>
          <w:rFonts w:cs="Times New Roman"/>
          <w:kern w:val="0"/>
        </w:rPr>
      </w:pPr>
      <w:r>
        <w:rPr>
          <w:rFonts w:cs="Times New Roman"/>
          <w:kern w:val="0"/>
        </w:rPr>
        <w:t>《地表水环境质量标准》（GB3838-2002）</w:t>
      </w:r>
      <w:r>
        <w:rPr>
          <w:rFonts w:hint="eastAsia" w:cs="Times New Roman"/>
          <w:kern w:val="0"/>
        </w:rPr>
        <w:t>；</w:t>
      </w:r>
    </w:p>
    <w:p w14:paraId="11D8546E">
      <w:pPr>
        <w:numPr>
          <w:ilvl w:val="0"/>
          <w:numId w:val="6"/>
        </w:numPr>
        <w:snapToGrid w:val="0"/>
        <w:ind w:left="0" w:firstLine="480"/>
        <w:rPr>
          <w:rFonts w:cs="Times New Roman"/>
          <w:kern w:val="0"/>
        </w:rPr>
      </w:pPr>
      <w:r>
        <w:rPr>
          <w:rFonts w:cs="Times New Roman"/>
          <w:kern w:val="0"/>
        </w:rPr>
        <w:t>《地下水质量标准》（GB/T14848-2017）</w:t>
      </w:r>
      <w:r>
        <w:rPr>
          <w:rFonts w:hint="eastAsia" w:cs="Times New Roman"/>
          <w:kern w:val="0"/>
        </w:rPr>
        <w:t>；</w:t>
      </w:r>
    </w:p>
    <w:p w14:paraId="2845B67B">
      <w:pPr>
        <w:numPr>
          <w:ilvl w:val="0"/>
          <w:numId w:val="6"/>
        </w:numPr>
        <w:snapToGrid w:val="0"/>
        <w:ind w:left="0" w:firstLine="480"/>
        <w:rPr>
          <w:rFonts w:cs="Times New Roman"/>
          <w:kern w:val="0"/>
        </w:rPr>
      </w:pPr>
      <w:r>
        <w:rPr>
          <w:rFonts w:cs="Times New Roman"/>
          <w:kern w:val="0"/>
        </w:rPr>
        <w:t>《环境空气质量标准》（GB3095-2012）</w:t>
      </w:r>
      <w:r>
        <w:rPr>
          <w:rFonts w:hint="eastAsia" w:cs="Times New Roman"/>
          <w:kern w:val="0"/>
        </w:rPr>
        <w:t>；</w:t>
      </w:r>
    </w:p>
    <w:p w14:paraId="7EE4A155">
      <w:pPr>
        <w:numPr>
          <w:ilvl w:val="0"/>
          <w:numId w:val="6"/>
        </w:numPr>
        <w:snapToGrid w:val="0"/>
        <w:ind w:left="0" w:firstLine="480"/>
      </w:pPr>
      <w:r>
        <w:rPr>
          <w:rFonts w:cs="Times New Roman"/>
          <w:kern w:val="0"/>
        </w:rPr>
        <w:t>《声环境质量标准》（GB3096-2008）</w:t>
      </w:r>
      <w:r>
        <w:rPr>
          <w:rFonts w:hint="eastAsia" w:cs="Times New Roman"/>
          <w:kern w:val="0"/>
        </w:rPr>
        <w:t>；</w:t>
      </w:r>
    </w:p>
    <w:p w14:paraId="15D705CA">
      <w:pPr>
        <w:numPr>
          <w:ilvl w:val="0"/>
          <w:numId w:val="6"/>
        </w:numPr>
        <w:snapToGrid w:val="0"/>
        <w:ind w:left="0" w:firstLine="480"/>
      </w:pPr>
      <w:r>
        <w:t>《土壤环境质量 建设用地土壤污染风险管控标准》（GB36600-2018）</w:t>
      </w:r>
      <w:r>
        <w:rPr>
          <w:rFonts w:hint="eastAsia"/>
        </w:rPr>
        <w:t>；</w:t>
      </w:r>
    </w:p>
    <w:p w14:paraId="4EA5E2CA">
      <w:pPr>
        <w:numPr>
          <w:ilvl w:val="0"/>
          <w:numId w:val="6"/>
        </w:numPr>
        <w:snapToGrid w:val="0"/>
        <w:ind w:left="0" w:firstLine="480"/>
      </w:pPr>
      <w:r>
        <w:rPr>
          <w:rFonts w:hint="eastAsia"/>
        </w:rPr>
        <w:t>《无机化学工业污染物排放标准》（GB31573-2015）；</w:t>
      </w:r>
    </w:p>
    <w:p w14:paraId="1AB8AE1C">
      <w:pPr>
        <w:numPr>
          <w:ilvl w:val="0"/>
          <w:numId w:val="6"/>
        </w:numPr>
        <w:snapToGrid w:val="0"/>
        <w:ind w:left="0" w:firstLine="480"/>
      </w:pPr>
      <w:r>
        <w:rPr>
          <w:rFonts w:hint="eastAsia"/>
        </w:rPr>
        <w:t>《污水综合排放标准》（GB8978-1996）；</w:t>
      </w:r>
    </w:p>
    <w:p w14:paraId="7910C419">
      <w:pPr>
        <w:numPr>
          <w:ilvl w:val="0"/>
          <w:numId w:val="6"/>
        </w:numPr>
        <w:snapToGrid w:val="0"/>
        <w:ind w:left="0" w:firstLine="480"/>
      </w:pPr>
      <w:r>
        <w:t>《城镇污水处理厂污染物排放标准》（GB18918-2002）</w:t>
      </w:r>
      <w:r>
        <w:rPr>
          <w:rFonts w:hint="eastAsia"/>
        </w:rPr>
        <w:t>；</w:t>
      </w:r>
    </w:p>
    <w:p w14:paraId="111CAEE3">
      <w:pPr>
        <w:numPr>
          <w:ilvl w:val="0"/>
          <w:numId w:val="6"/>
        </w:numPr>
        <w:snapToGrid w:val="0"/>
        <w:ind w:left="0" w:firstLine="480"/>
      </w:pPr>
      <w:r>
        <w:rPr>
          <w:rFonts w:hint="eastAsia"/>
        </w:rPr>
        <w:t>《建筑施工场界环境噪声排放标准》（GB12523-2011）；</w:t>
      </w:r>
    </w:p>
    <w:p w14:paraId="3608A451">
      <w:pPr>
        <w:numPr>
          <w:ilvl w:val="0"/>
          <w:numId w:val="6"/>
        </w:numPr>
        <w:snapToGrid w:val="0"/>
        <w:ind w:left="0" w:firstLine="480"/>
      </w:pPr>
      <w:r>
        <w:t>《工业企业厂界环境噪声排放标准》（GB12348-2008）</w:t>
      </w:r>
      <w:r>
        <w:rPr>
          <w:rFonts w:hint="eastAsia"/>
        </w:rPr>
        <w:t>。</w:t>
      </w:r>
    </w:p>
    <w:p w14:paraId="6E513596">
      <w:pPr>
        <w:pStyle w:val="4"/>
      </w:pPr>
      <w:bookmarkStart w:id="61" w:name="_Toc24432"/>
      <w:r>
        <w:rPr>
          <w:rFonts w:hint="eastAsia"/>
        </w:rPr>
        <w:t>其他相关依据</w:t>
      </w:r>
      <w:bookmarkEnd w:id="61"/>
    </w:p>
    <w:p w14:paraId="0D1D85F4">
      <w:pPr>
        <w:snapToGrid w:val="0"/>
        <w:ind w:left="480" w:leftChars="200" w:firstLine="0" w:firstLineChars="0"/>
        <w:rPr>
          <w:rFonts w:cs="Times New Roman"/>
          <w:kern w:val="0"/>
        </w:rPr>
      </w:pPr>
      <w:r>
        <w:rPr>
          <w:rFonts w:cs="Times New Roman"/>
          <w:kern w:val="0"/>
        </w:rPr>
        <w:t>建设单位提供的与项目建设相关工程资料。</w:t>
      </w:r>
    </w:p>
    <w:p w14:paraId="562F27A5">
      <w:pPr>
        <w:pStyle w:val="3"/>
      </w:pPr>
      <w:bookmarkStart w:id="62" w:name="_Toc1251"/>
      <w:bookmarkStart w:id="63" w:name="_Toc207"/>
      <w:bookmarkStart w:id="64" w:name="_Toc29164"/>
      <w:r>
        <w:rPr>
          <w:rFonts w:hint="eastAsia"/>
        </w:rPr>
        <w:t>各环境要素功能区划及相关标准</w:t>
      </w:r>
      <w:bookmarkEnd w:id="62"/>
      <w:bookmarkEnd w:id="63"/>
      <w:bookmarkEnd w:id="64"/>
    </w:p>
    <w:p w14:paraId="730D5385">
      <w:pPr>
        <w:pStyle w:val="4"/>
      </w:pPr>
      <w:bookmarkStart w:id="65" w:name="_Toc6730"/>
      <w:r>
        <w:rPr>
          <w:rFonts w:hint="eastAsia"/>
        </w:rPr>
        <w:t>环境空气质量功能区划及相关标准</w:t>
      </w:r>
      <w:bookmarkEnd w:id="65"/>
    </w:p>
    <w:p w14:paraId="1A140D22">
      <w:pPr>
        <w:pStyle w:val="6"/>
        <w:ind w:firstLine="482"/>
      </w:pPr>
      <w:bookmarkStart w:id="66" w:name="_Toc4869"/>
      <w:r>
        <w:rPr>
          <w:rFonts w:hint="eastAsia"/>
        </w:rPr>
        <w:t>环境功能区划及相关质量标准</w:t>
      </w:r>
      <w:bookmarkEnd w:id="66"/>
    </w:p>
    <w:p w14:paraId="6C5B7347">
      <w:pPr>
        <w:ind w:firstLine="480"/>
        <w:rPr>
          <w:rFonts w:ascii="宋体" w:hAnsi="宋体"/>
        </w:rPr>
      </w:pPr>
      <w:r>
        <w:rPr>
          <w:rFonts w:hint="eastAsia"/>
        </w:rPr>
        <w:t>本项目位于松木经济开发区，项目区域环境空气质量属于二类区。</w:t>
      </w:r>
      <w:r>
        <w:rPr>
          <w:rFonts w:hint="eastAsia" w:ascii="宋体" w:hAnsi="宋体"/>
        </w:rPr>
        <w:t>其</w:t>
      </w:r>
      <w:r>
        <w:rPr>
          <w:rFonts w:cs="Times New Roman"/>
          <w:bCs/>
          <w:szCs w:val="28"/>
        </w:rPr>
        <w:t>中，</w:t>
      </w:r>
      <w:r>
        <w:rPr>
          <w:rFonts w:cs="Times New Roman"/>
          <w:lang w:val="de-DE"/>
        </w:rPr>
        <w:t>SO</w:t>
      </w:r>
      <w:r>
        <w:rPr>
          <w:rFonts w:cs="Times New Roman"/>
          <w:vertAlign w:val="subscript"/>
          <w:lang w:val="de-DE"/>
        </w:rPr>
        <w:t>2</w:t>
      </w:r>
      <w:r>
        <w:rPr>
          <w:rFonts w:cs="Times New Roman"/>
          <w:lang w:val="de-DE"/>
        </w:rPr>
        <w:t>、NO</w:t>
      </w:r>
      <w:r>
        <w:rPr>
          <w:rFonts w:cs="Times New Roman"/>
          <w:vertAlign w:val="subscript"/>
          <w:lang w:val="de-DE"/>
        </w:rPr>
        <w:t>2</w:t>
      </w:r>
      <w:r>
        <w:rPr>
          <w:rFonts w:cs="Times New Roman"/>
          <w:lang w:val="de-DE"/>
        </w:rPr>
        <w:t>、PM</w:t>
      </w:r>
      <w:r>
        <w:rPr>
          <w:rFonts w:cs="Times New Roman"/>
          <w:vertAlign w:val="subscript"/>
          <w:lang w:val="de-DE"/>
        </w:rPr>
        <w:t>10</w:t>
      </w:r>
      <w:r>
        <w:rPr>
          <w:rFonts w:cs="Times New Roman"/>
          <w:lang w:val="de-DE"/>
        </w:rPr>
        <w:t>、PM</w:t>
      </w:r>
      <w:r>
        <w:rPr>
          <w:rFonts w:hint="eastAsia" w:cs="Times New Roman"/>
          <w:vertAlign w:val="subscript"/>
          <w:lang w:val="en-US" w:eastAsia="zh-CN"/>
        </w:rPr>
        <w:t>2.5</w:t>
      </w:r>
      <w:r>
        <w:rPr>
          <w:rFonts w:cs="Times New Roman"/>
          <w:lang w:val="de-DE"/>
        </w:rPr>
        <w:t>、</w:t>
      </w:r>
      <w:r>
        <w:rPr>
          <w:rFonts w:cs="Times New Roman"/>
        </w:rPr>
        <w:t>CO</w:t>
      </w:r>
      <w:r>
        <w:rPr>
          <w:rFonts w:hint="eastAsia" w:cs="Times New Roman"/>
          <w:lang w:eastAsia="zh-CN"/>
        </w:rPr>
        <w:t>、</w:t>
      </w:r>
      <w:r>
        <w:rPr>
          <w:rFonts w:hint="eastAsia" w:cs="Times New Roman"/>
          <w:lang w:val="en-US" w:eastAsia="zh-CN"/>
        </w:rPr>
        <w:t>TSP</w:t>
      </w:r>
      <w:r>
        <w:rPr>
          <w:rFonts w:cs="Times New Roman"/>
        </w:rPr>
        <w:t>执行《环境空气质量标准》（GB3095-2012）二级标准</w:t>
      </w:r>
      <w:r>
        <w:rPr>
          <w:rFonts w:hint="eastAsia" w:cs="Times New Roman"/>
        </w:rPr>
        <w:t>，</w:t>
      </w:r>
      <w:r>
        <w:rPr>
          <w:rFonts w:cs="Times New Roman"/>
        </w:rPr>
        <w:t>HCl、Cl</w:t>
      </w:r>
      <w:r>
        <w:rPr>
          <w:rFonts w:cs="Times New Roman"/>
          <w:vertAlign w:val="subscript"/>
        </w:rPr>
        <w:t>2</w:t>
      </w:r>
      <w:r>
        <w:rPr>
          <w:rFonts w:cs="Times New Roman"/>
        </w:rPr>
        <w:t>参照《环境影响评价技术导则 大气环境》（HJ</w:t>
      </w:r>
      <w:r>
        <w:rPr>
          <w:rFonts w:hint="eastAsia" w:cs="Times New Roman"/>
        </w:rPr>
        <w:t xml:space="preserve"> </w:t>
      </w:r>
      <w:r>
        <w:rPr>
          <w:rFonts w:cs="Times New Roman"/>
        </w:rPr>
        <w:t>2.2-2018）附录D中标准执行</w:t>
      </w:r>
      <w:r>
        <w:rPr>
          <w:rFonts w:hint="eastAsia" w:ascii="宋体" w:hAnsi="宋体"/>
        </w:rPr>
        <w:t>。具体标准限值详见下表。</w:t>
      </w:r>
    </w:p>
    <w:p w14:paraId="3A69AB84">
      <w:pPr>
        <w:pStyle w:val="43"/>
        <w:rPr>
          <w:rFonts w:hint="default"/>
        </w:rPr>
      </w:pPr>
      <w:r>
        <w:t>环境空气质量标准</w:t>
      </w:r>
    </w:p>
    <w:tbl>
      <w:tblPr>
        <w:tblStyle w:val="32"/>
        <w:tblW w:w="84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0"/>
        <w:gridCol w:w="1704"/>
        <w:gridCol w:w="2012"/>
        <w:gridCol w:w="3395"/>
      </w:tblGrid>
      <w:tr w14:paraId="7D037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360" w:type="dxa"/>
            <w:tcMar>
              <w:left w:w="57" w:type="dxa"/>
              <w:right w:w="57" w:type="dxa"/>
            </w:tcMar>
            <w:vAlign w:val="center"/>
          </w:tcPr>
          <w:p w14:paraId="0B29C4D2">
            <w:pPr>
              <w:widowControl/>
              <w:snapToGrid w:val="0"/>
              <w:spacing w:line="240" w:lineRule="auto"/>
              <w:ind w:firstLine="0" w:firstLineChars="0"/>
              <w:jc w:val="center"/>
              <w:rPr>
                <w:rFonts w:cs="Times New Roman"/>
                <w:b/>
                <w:bCs/>
                <w:kern w:val="0"/>
                <w:sz w:val="21"/>
                <w:szCs w:val="21"/>
              </w:rPr>
            </w:pPr>
            <w:r>
              <w:rPr>
                <w:rFonts w:cs="Times New Roman"/>
                <w:b/>
                <w:bCs/>
                <w:kern w:val="0"/>
                <w:sz w:val="21"/>
                <w:szCs w:val="21"/>
              </w:rPr>
              <w:t>污染物</w:t>
            </w:r>
          </w:p>
        </w:tc>
        <w:tc>
          <w:tcPr>
            <w:tcW w:w="1704" w:type="dxa"/>
            <w:vAlign w:val="center"/>
          </w:tcPr>
          <w:p w14:paraId="57BB5903">
            <w:pPr>
              <w:widowControl/>
              <w:snapToGrid w:val="0"/>
              <w:spacing w:line="240" w:lineRule="auto"/>
              <w:ind w:firstLine="0" w:firstLineChars="0"/>
              <w:jc w:val="center"/>
              <w:rPr>
                <w:rFonts w:cs="Times New Roman"/>
                <w:b/>
                <w:bCs/>
                <w:kern w:val="0"/>
                <w:sz w:val="21"/>
                <w:szCs w:val="21"/>
              </w:rPr>
            </w:pPr>
            <w:r>
              <w:rPr>
                <w:rFonts w:cs="Times New Roman"/>
                <w:b/>
                <w:bCs/>
                <w:kern w:val="0"/>
                <w:sz w:val="21"/>
                <w:szCs w:val="21"/>
              </w:rPr>
              <w:t>取值时间</w:t>
            </w:r>
          </w:p>
        </w:tc>
        <w:tc>
          <w:tcPr>
            <w:tcW w:w="2012" w:type="dxa"/>
            <w:vAlign w:val="center"/>
          </w:tcPr>
          <w:p w14:paraId="5BC714BD">
            <w:pPr>
              <w:widowControl/>
              <w:snapToGrid w:val="0"/>
              <w:spacing w:line="240" w:lineRule="auto"/>
              <w:ind w:firstLine="0" w:firstLineChars="0"/>
              <w:jc w:val="center"/>
              <w:rPr>
                <w:rFonts w:cs="Times New Roman"/>
                <w:b/>
                <w:bCs/>
                <w:kern w:val="0"/>
                <w:sz w:val="21"/>
                <w:szCs w:val="21"/>
              </w:rPr>
            </w:pPr>
            <w:r>
              <w:rPr>
                <w:rFonts w:cs="Times New Roman"/>
                <w:b/>
                <w:bCs/>
                <w:kern w:val="0"/>
                <w:sz w:val="21"/>
                <w:szCs w:val="21"/>
              </w:rPr>
              <w:t>浓度限值</w:t>
            </w:r>
          </w:p>
        </w:tc>
        <w:tc>
          <w:tcPr>
            <w:tcW w:w="3395" w:type="dxa"/>
            <w:vAlign w:val="center"/>
          </w:tcPr>
          <w:p w14:paraId="53B0BA74">
            <w:pPr>
              <w:widowControl/>
              <w:snapToGrid w:val="0"/>
              <w:spacing w:line="240" w:lineRule="auto"/>
              <w:ind w:firstLine="0" w:firstLineChars="0"/>
              <w:jc w:val="center"/>
              <w:rPr>
                <w:rFonts w:cs="Times New Roman"/>
                <w:b/>
                <w:bCs/>
                <w:kern w:val="0"/>
                <w:sz w:val="21"/>
                <w:szCs w:val="21"/>
              </w:rPr>
            </w:pPr>
            <w:r>
              <w:rPr>
                <w:rFonts w:cs="Times New Roman"/>
                <w:b/>
                <w:bCs/>
                <w:kern w:val="0"/>
                <w:sz w:val="21"/>
                <w:szCs w:val="21"/>
              </w:rPr>
              <w:t>执行标准</w:t>
            </w:r>
          </w:p>
        </w:tc>
      </w:tr>
      <w:tr w14:paraId="5EF0E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60" w:type="dxa"/>
            <w:vMerge w:val="restart"/>
            <w:tcMar>
              <w:left w:w="57" w:type="dxa"/>
              <w:right w:w="57" w:type="dxa"/>
            </w:tcMar>
            <w:vAlign w:val="center"/>
          </w:tcPr>
          <w:p w14:paraId="2594BC11">
            <w:pPr>
              <w:widowControl/>
              <w:snapToGrid w:val="0"/>
              <w:spacing w:line="240" w:lineRule="auto"/>
              <w:ind w:firstLine="0" w:firstLineChars="0"/>
              <w:jc w:val="center"/>
              <w:rPr>
                <w:rFonts w:cs="Times New Roman"/>
                <w:kern w:val="0"/>
                <w:sz w:val="21"/>
                <w:szCs w:val="21"/>
              </w:rPr>
            </w:pPr>
            <w:r>
              <w:rPr>
                <w:rFonts w:cs="Times New Roman"/>
                <w:kern w:val="0"/>
                <w:sz w:val="21"/>
                <w:szCs w:val="21"/>
              </w:rPr>
              <w:t>SO</w:t>
            </w:r>
            <w:r>
              <w:rPr>
                <w:rFonts w:cs="Times New Roman"/>
                <w:kern w:val="0"/>
                <w:sz w:val="21"/>
                <w:szCs w:val="21"/>
                <w:vertAlign w:val="subscript"/>
              </w:rPr>
              <w:t>2</w:t>
            </w:r>
          </w:p>
        </w:tc>
        <w:tc>
          <w:tcPr>
            <w:tcW w:w="1704" w:type="dxa"/>
            <w:vAlign w:val="center"/>
          </w:tcPr>
          <w:p w14:paraId="0CF67BCB">
            <w:pPr>
              <w:widowControl/>
              <w:snapToGrid w:val="0"/>
              <w:spacing w:line="240" w:lineRule="auto"/>
              <w:ind w:firstLine="0" w:firstLineChars="0"/>
              <w:jc w:val="center"/>
              <w:rPr>
                <w:rFonts w:cs="Times New Roman"/>
                <w:kern w:val="0"/>
                <w:sz w:val="21"/>
                <w:szCs w:val="21"/>
              </w:rPr>
            </w:pPr>
            <w:r>
              <w:rPr>
                <w:rFonts w:cs="Times New Roman"/>
                <w:kern w:val="0"/>
                <w:sz w:val="21"/>
                <w:szCs w:val="21"/>
              </w:rPr>
              <w:t>年平均</w:t>
            </w:r>
          </w:p>
        </w:tc>
        <w:tc>
          <w:tcPr>
            <w:tcW w:w="2012" w:type="dxa"/>
            <w:vAlign w:val="center"/>
          </w:tcPr>
          <w:p w14:paraId="6745CD2C">
            <w:pPr>
              <w:widowControl/>
              <w:snapToGrid w:val="0"/>
              <w:spacing w:line="240" w:lineRule="auto"/>
              <w:ind w:firstLine="0" w:firstLineChars="0"/>
              <w:jc w:val="center"/>
              <w:rPr>
                <w:rFonts w:cs="Times New Roman"/>
                <w:kern w:val="0"/>
                <w:sz w:val="21"/>
                <w:szCs w:val="21"/>
              </w:rPr>
            </w:pPr>
            <w:r>
              <w:rPr>
                <w:rFonts w:cs="Times New Roman"/>
                <w:kern w:val="0"/>
                <w:sz w:val="21"/>
                <w:szCs w:val="21"/>
              </w:rPr>
              <w:t>60μg/</w:t>
            </w:r>
            <w:r>
              <w:rPr>
                <w:rFonts w:cs="Times New Roman"/>
                <w:bCs/>
                <w:kern w:val="0"/>
                <w:sz w:val="21"/>
                <w:szCs w:val="21"/>
              </w:rPr>
              <w:t xml:space="preserve"> m</w:t>
            </w:r>
            <w:r>
              <w:rPr>
                <w:rFonts w:cs="Times New Roman"/>
                <w:bCs/>
                <w:kern w:val="0"/>
                <w:sz w:val="21"/>
                <w:szCs w:val="21"/>
                <w:vertAlign w:val="superscript"/>
              </w:rPr>
              <w:t>3</w:t>
            </w:r>
          </w:p>
        </w:tc>
        <w:tc>
          <w:tcPr>
            <w:tcW w:w="3395" w:type="dxa"/>
            <w:vMerge w:val="restart"/>
            <w:vAlign w:val="center"/>
          </w:tcPr>
          <w:p w14:paraId="59C2A6A4">
            <w:pPr>
              <w:widowControl/>
              <w:snapToGrid w:val="0"/>
              <w:spacing w:line="240" w:lineRule="auto"/>
              <w:ind w:firstLine="0" w:firstLineChars="0"/>
              <w:jc w:val="center"/>
              <w:rPr>
                <w:rFonts w:cs="Times New Roman"/>
                <w:kern w:val="0"/>
                <w:sz w:val="21"/>
                <w:szCs w:val="21"/>
              </w:rPr>
            </w:pPr>
            <w:r>
              <w:rPr>
                <w:rFonts w:cs="Times New Roman"/>
                <w:kern w:val="0"/>
                <w:sz w:val="21"/>
                <w:szCs w:val="21"/>
              </w:rPr>
              <w:t>《环境空气质量标准》</w:t>
            </w:r>
          </w:p>
          <w:p w14:paraId="792EE98E">
            <w:pPr>
              <w:widowControl/>
              <w:snapToGrid w:val="0"/>
              <w:spacing w:line="240" w:lineRule="auto"/>
              <w:ind w:firstLine="0" w:firstLineChars="0"/>
              <w:jc w:val="center"/>
              <w:rPr>
                <w:rFonts w:cs="Times New Roman"/>
                <w:kern w:val="0"/>
                <w:sz w:val="21"/>
                <w:szCs w:val="21"/>
              </w:rPr>
            </w:pPr>
            <w:r>
              <w:rPr>
                <w:rFonts w:cs="Times New Roman"/>
                <w:kern w:val="0"/>
                <w:sz w:val="21"/>
                <w:szCs w:val="21"/>
              </w:rPr>
              <w:t>（GB3095-2012）</w:t>
            </w:r>
          </w:p>
          <w:p w14:paraId="343C8631">
            <w:pPr>
              <w:widowControl/>
              <w:snapToGrid w:val="0"/>
              <w:spacing w:line="240" w:lineRule="auto"/>
              <w:ind w:firstLine="0" w:firstLineChars="0"/>
              <w:jc w:val="center"/>
              <w:rPr>
                <w:rFonts w:cs="Times New Roman"/>
                <w:kern w:val="0"/>
                <w:sz w:val="21"/>
                <w:szCs w:val="21"/>
              </w:rPr>
            </w:pPr>
            <w:r>
              <w:rPr>
                <w:rFonts w:cs="Times New Roman"/>
                <w:kern w:val="0"/>
                <w:sz w:val="21"/>
                <w:szCs w:val="21"/>
              </w:rPr>
              <w:t>二级标准</w:t>
            </w:r>
          </w:p>
        </w:tc>
      </w:tr>
      <w:tr w14:paraId="44BD5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60" w:type="dxa"/>
            <w:vMerge w:val="continue"/>
            <w:tcMar>
              <w:left w:w="57" w:type="dxa"/>
              <w:right w:w="57" w:type="dxa"/>
            </w:tcMar>
            <w:vAlign w:val="center"/>
          </w:tcPr>
          <w:p w14:paraId="6D96042E">
            <w:pPr>
              <w:widowControl/>
              <w:snapToGrid w:val="0"/>
              <w:spacing w:line="240" w:lineRule="auto"/>
              <w:ind w:firstLine="0" w:firstLineChars="0"/>
              <w:jc w:val="center"/>
              <w:rPr>
                <w:rFonts w:cs="Times New Roman"/>
                <w:kern w:val="0"/>
                <w:sz w:val="21"/>
                <w:szCs w:val="21"/>
              </w:rPr>
            </w:pPr>
          </w:p>
        </w:tc>
        <w:tc>
          <w:tcPr>
            <w:tcW w:w="1704" w:type="dxa"/>
            <w:vAlign w:val="center"/>
          </w:tcPr>
          <w:p w14:paraId="62C5EC40">
            <w:pPr>
              <w:widowControl/>
              <w:snapToGrid w:val="0"/>
              <w:spacing w:line="240" w:lineRule="auto"/>
              <w:ind w:firstLine="0" w:firstLineChars="0"/>
              <w:jc w:val="center"/>
              <w:rPr>
                <w:rFonts w:cs="Times New Roman"/>
                <w:kern w:val="0"/>
                <w:sz w:val="21"/>
                <w:szCs w:val="21"/>
              </w:rPr>
            </w:pPr>
            <w:r>
              <w:rPr>
                <w:rFonts w:cs="Times New Roman"/>
                <w:kern w:val="0"/>
                <w:sz w:val="21"/>
                <w:szCs w:val="21"/>
              </w:rPr>
              <w:t>24小时平均</w:t>
            </w:r>
          </w:p>
        </w:tc>
        <w:tc>
          <w:tcPr>
            <w:tcW w:w="2012" w:type="dxa"/>
            <w:vAlign w:val="center"/>
          </w:tcPr>
          <w:p w14:paraId="172DE095">
            <w:pPr>
              <w:widowControl/>
              <w:snapToGrid w:val="0"/>
              <w:spacing w:line="240" w:lineRule="auto"/>
              <w:ind w:firstLine="0" w:firstLineChars="0"/>
              <w:jc w:val="center"/>
              <w:rPr>
                <w:rFonts w:cs="Times New Roman"/>
                <w:kern w:val="0"/>
                <w:sz w:val="21"/>
                <w:szCs w:val="21"/>
              </w:rPr>
            </w:pPr>
            <w:r>
              <w:rPr>
                <w:rFonts w:cs="Times New Roman"/>
                <w:kern w:val="0"/>
                <w:sz w:val="21"/>
                <w:szCs w:val="21"/>
              </w:rPr>
              <w:t>150μg/</w:t>
            </w:r>
            <w:r>
              <w:rPr>
                <w:rFonts w:cs="Times New Roman"/>
                <w:bCs/>
                <w:kern w:val="0"/>
                <w:sz w:val="21"/>
                <w:szCs w:val="21"/>
              </w:rPr>
              <w:t xml:space="preserve"> m</w:t>
            </w:r>
            <w:r>
              <w:rPr>
                <w:rFonts w:cs="Times New Roman"/>
                <w:bCs/>
                <w:kern w:val="0"/>
                <w:sz w:val="21"/>
                <w:szCs w:val="21"/>
                <w:vertAlign w:val="superscript"/>
              </w:rPr>
              <w:t>3</w:t>
            </w:r>
          </w:p>
        </w:tc>
        <w:tc>
          <w:tcPr>
            <w:tcW w:w="3395" w:type="dxa"/>
            <w:vMerge w:val="continue"/>
            <w:vAlign w:val="center"/>
          </w:tcPr>
          <w:p w14:paraId="34D79ACD">
            <w:pPr>
              <w:widowControl/>
              <w:snapToGrid w:val="0"/>
              <w:spacing w:line="240" w:lineRule="auto"/>
              <w:ind w:firstLine="0" w:firstLineChars="0"/>
              <w:jc w:val="center"/>
              <w:rPr>
                <w:rFonts w:cs="Times New Roman"/>
                <w:kern w:val="0"/>
                <w:sz w:val="21"/>
                <w:szCs w:val="21"/>
              </w:rPr>
            </w:pPr>
          </w:p>
        </w:tc>
      </w:tr>
      <w:tr w14:paraId="7657D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60" w:type="dxa"/>
            <w:vMerge w:val="continue"/>
            <w:tcMar>
              <w:left w:w="57" w:type="dxa"/>
              <w:right w:w="57" w:type="dxa"/>
            </w:tcMar>
            <w:vAlign w:val="center"/>
          </w:tcPr>
          <w:p w14:paraId="6A88846F">
            <w:pPr>
              <w:widowControl/>
              <w:snapToGrid w:val="0"/>
              <w:spacing w:line="240" w:lineRule="auto"/>
              <w:ind w:firstLine="0" w:firstLineChars="0"/>
              <w:jc w:val="center"/>
              <w:rPr>
                <w:rFonts w:cs="Times New Roman"/>
                <w:kern w:val="0"/>
                <w:sz w:val="21"/>
                <w:szCs w:val="21"/>
              </w:rPr>
            </w:pPr>
          </w:p>
        </w:tc>
        <w:tc>
          <w:tcPr>
            <w:tcW w:w="1704" w:type="dxa"/>
            <w:vAlign w:val="center"/>
          </w:tcPr>
          <w:p w14:paraId="263BCADE">
            <w:pPr>
              <w:widowControl/>
              <w:snapToGrid w:val="0"/>
              <w:spacing w:line="240" w:lineRule="auto"/>
              <w:ind w:firstLine="0" w:firstLineChars="0"/>
              <w:jc w:val="center"/>
              <w:rPr>
                <w:rFonts w:cs="Times New Roman"/>
                <w:kern w:val="0"/>
                <w:sz w:val="21"/>
                <w:szCs w:val="21"/>
              </w:rPr>
            </w:pPr>
            <w:r>
              <w:rPr>
                <w:rFonts w:cs="Times New Roman"/>
                <w:kern w:val="0"/>
                <w:sz w:val="21"/>
                <w:szCs w:val="21"/>
              </w:rPr>
              <w:t>1小时平均</w:t>
            </w:r>
          </w:p>
        </w:tc>
        <w:tc>
          <w:tcPr>
            <w:tcW w:w="2012" w:type="dxa"/>
            <w:vAlign w:val="center"/>
          </w:tcPr>
          <w:p w14:paraId="0C3D5673">
            <w:pPr>
              <w:widowControl/>
              <w:snapToGrid w:val="0"/>
              <w:spacing w:line="240" w:lineRule="auto"/>
              <w:ind w:firstLine="0" w:firstLineChars="0"/>
              <w:jc w:val="center"/>
              <w:rPr>
                <w:rFonts w:cs="Times New Roman"/>
                <w:kern w:val="0"/>
                <w:sz w:val="21"/>
                <w:szCs w:val="21"/>
              </w:rPr>
            </w:pPr>
            <w:r>
              <w:rPr>
                <w:rFonts w:cs="Times New Roman"/>
                <w:kern w:val="0"/>
                <w:sz w:val="21"/>
                <w:szCs w:val="21"/>
              </w:rPr>
              <w:t>500μg/</w:t>
            </w:r>
            <w:r>
              <w:rPr>
                <w:rFonts w:cs="Times New Roman"/>
                <w:bCs/>
                <w:kern w:val="0"/>
                <w:sz w:val="21"/>
                <w:szCs w:val="21"/>
              </w:rPr>
              <w:t xml:space="preserve"> m</w:t>
            </w:r>
            <w:r>
              <w:rPr>
                <w:rFonts w:cs="Times New Roman"/>
                <w:bCs/>
                <w:kern w:val="0"/>
                <w:sz w:val="21"/>
                <w:szCs w:val="21"/>
                <w:vertAlign w:val="superscript"/>
              </w:rPr>
              <w:t>3</w:t>
            </w:r>
          </w:p>
        </w:tc>
        <w:tc>
          <w:tcPr>
            <w:tcW w:w="3395" w:type="dxa"/>
            <w:vMerge w:val="continue"/>
            <w:vAlign w:val="center"/>
          </w:tcPr>
          <w:p w14:paraId="2C33EEED">
            <w:pPr>
              <w:widowControl/>
              <w:snapToGrid w:val="0"/>
              <w:spacing w:line="240" w:lineRule="auto"/>
              <w:ind w:firstLine="0" w:firstLineChars="0"/>
              <w:jc w:val="center"/>
              <w:rPr>
                <w:rFonts w:cs="Times New Roman"/>
                <w:kern w:val="0"/>
                <w:sz w:val="21"/>
                <w:szCs w:val="21"/>
              </w:rPr>
            </w:pPr>
          </w:p>
        </w:tc>
      </w:tr>
      <w:tr w14:paraId="715EA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60" w:type="dxa"/>
            <w:vMerge w:val="restart"/>
            <w:tcMar>
              <w:left w:w="57" w:type="dxa"/>
              <w:right w:w="57" w:type="dxa"/>
            </w:tcMar>
            <w:vAlign w:val="center"/>
          </w:tcPr>
          <w:p w14:paraId="3D08FD83">
            <w:pPr>
              <w:widowControl/>
              <w:snapToGrid w:val="0"/>
              <w:spacing w:line="240" w:lineRule="auto"/>
              <w:ind w:firstLine="0" w:firstLineChars="0"/>
              <w:jc w:val="center"/>
              <w:rPr>
                <w:rFonts w:cs="Times New Roman"/>
                <w:kern w:val="0"/>
                <w:sz w:val="21"/>
                <w:szCs w:val="21"/>
              </w:rPr>
            </w:pPr>
            <w:r>
              <w:rPr>
                <w:rFonts w:cs="Times New Roman"/>
                <w:kern w:val="0"/>
                <w:sz w:val="21"/>
                <w:szCs w:val="21"/>
              </w:rPr>
              <w:t>NO</w:t>
            </w:r>
            <w:r>
              <w:rPr>
                <w:rFonts w:cs="Times New Roman"/>
                <w:kern w:val="0"/>
                <w:sz w:val="21"/>
                <w:szCs w:val="21"/>
                <w:vertAlign w:val="subscript"/>
              </w:rPr>
              <w:t>2</w:t>
            </w:r>
          </w:p>
        </w:tc>
        <w:tc>
          <w:tcPr>
            <w:tcW w:w="1704" w:type="dxa"/>
            <w:vAlign w:val="center"/>
          </w:tcPr>
          <w:p w14:paraId="5D4ADC01">
            <w:pPr>
              <w:widowControl/>
              <w:snapToGrid w:val="0"/>
              <w:spacing w:line="240" w:lineRule="auto"/>
              <w:ind w:firstLine="0" w:firstLineChars="0"/>
              <w:jc w:val="center"/>
              <w:rPr>
                <w:rFonts w:cs="Times New Roman"/>
                <w:kern w:val="0"/>
                <w:sz w:val="21"/>
                <w:szCs w:val="21"/>
              </w:rPr>
            </w:pPr>
            <w:r>
              <w:rPr>
                <w:rFonts w:cs="Times New Roman"/>
                <w:kern w:val="0"/>
                <w:sz w:val="21"/>
                <w:szCs w:val="21"/>
              </w:rPr>
              <w:t>年平均</w:t>
            </w:r>
          </w:p>
        </w:tc>
        <w:tc>
          <w:tcPr>
            <w:tcW w:w="2012" w:type="dxa"/>
            <w:vAlign w:val="center"/>
          </w:tcPr>
          <w:p w14:paraId="00F3AC4E">
            <w:pPr>
              <w:widowControl/>
              <w:snapToGrid w:val="0"/>
              <w:spacing w:line="240" w:lineRule="auto"/>
              <w:ind w:firstLine="0" w:firstLineChars="0"/>
              <w:jc w:val="center"/>
              <w:rPr>
                <w:rFonts w:cs="Times New Roman"/>
                <w:kern w:val="0"/>
                <w:sz w:val="21"/>
                <w:szCs w:val="21"/>
              </w:rPr>
            </w:pPr>
            <w:r>
              <w:rPr>
                <w:rFonts w:cs="Times New Roman"/>
                <w:kern w:val="0"/>
                <w:sz w:val="21"/>
                <w:szCs w:val="21"/>
              </w:rPr>
              <w:t>40μg/</w:t>
            </w:r>
            <w:r>
              <w:rPr>
                <w:rFonts w:cs="Times New Roman"/>
                <w:bCs/>
                <w:kern w:val="0"/>
                <w:sz w:val="21"/>
                <w:szCs w:val="21"/>
              </w:rPr>
              <w:t xml:space="preserve"> m</w:t>
            </w:r>
            <w:r>
              <w:rPr>
                <w:rFonts w:cs="Times New Roman"/>
                <w:bCs/>
                <w:kern w:val="0"/>
                <w:sz w:val="21"/>
                <w:szCs w:val="21"/>
                <w:vertAlign w:val="superscript"/>
              </w:rPr>
              <w:t>3</w:t>
            </w:r>
          </w:p>
        </w:tc>
        <w:tc>
          <w:tcPr>
            <w:tcW w:w="3395" w:type="dxa"/>
            <w:vMerge w:val="continue"/>
            <w:vAlign w:val="center"/>
          </w:tcPr>
          <w:p w14:paraId="380F0301">
            <w:pPr>
              <w:widowControl/>
              <w:snapToGrid w:val="0"/>
              <w:spacing w:line="240" w:lineRule="auto"/>
              <w:ind w:firstLine="0" w:firstLineChars="0"/>
              <w:jc w:val="center"/>
              <w:rPr>
                <w:rFonts w:cs="Times New Roman"/>
                <w:kern w:val="0"/>
                <w:sz w:val="21"/>
                <w:szCs w:val="21"/>
              </w:rPr>
            </w:pPr>
          </w:p>
        </w:tc>
      </w:tr>
      <w:tr w14:paraId="1CE5A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60" w:type="dxa"/>
            <w:vMerge w:val="continue"/>
            <w:tcMar>
              <w:left w:w="57" w:type="dxa"/>
              <w:right w:w="57" w:type="dxa"/>
            </w:tcMar>
            <w:vAlign w:val="center"/>
          </w:tcPr>
          <w:p w14:paraId="7840A0C5">
            <w:pPr>
              <w:widowControl/>
              <w:snapToGrid w:val="0"/>
              <w:spacing w:line="240" w:lineRule="auto"/>
              <w:ind w:firstLine="0" w:firstLineChars="0"/>
              <w:jc w:val="center"/>
              <w:rPr>
                <w:rFonts w:cs="Times New Roman"/>
                <w:kern w:val="0"/>
                <w:sz w:val="21"/>
                <w:szCs w:val="21"/>
              </w:rPr>
            </w:pPr>
          </w:p>
        </w:tc>
        <w:tc>
          <w:tcPr>
            <w:tcW w:w="1704" w:type="dxa"/>
            <w:vAlign w:val="center"/>
          </w:tcPr>
          <w:p w14:paraId="2C927A17">
            <w:pPr>
              <w:widowControl/>
              <w:snapToGrid w:val="0"/>
              <w:spacing w:line="240" w:lineRule="auto"/>
              <w:ind w:firstLine="0" w:firstLineChars="0"/>
              <w:jc w:val="center"/>
              <w:rPr>
                <w:rFonts w:cs="Times New Roman"/>
                <w:kern w:val="0"/>
                <w:sz w:val="21"/>
                <w:szCs w:val="21"/>
              </w:rPr>
            </w:pPr>
            <w:r>
              <w:rPr>
                <w:rFonts w:cs="Times New Roman"/>
                <w:kern w:val="0"/>
                <w:sz w:val="21"/>
                <w:szCs w:val="21"/>
              </w:rPr>
              <w:t>24小时平均</w:t>
            </w:r>
          </w:p>
        </w:tc>
        <w:tc>
          <w:tcPr>
            <w:tcW w:w="2012" w:type="dxa"/>
            <w:vAlign w:val="center"/>
          </w:tcPr>
          <w:p w14:paraId="2AE09219">
            <w:pPr>
              <w:widowControl/>
              <w:snapToGrid w:val="0"/>
              <w:spacing w:line="240" w:lineRule="auto"/>
              <w:ind w:firstLine="0" w:firstLineChars="0"/>
              <w:jc w:val="center"/>
              <w:rPr>
                <w:rFonts w:cs="Times New Roman"/>
                <w:kern w:val="0"/>
                <w:sz w:val="21"/>
                <w:szCs w:val="21"/>
              </w:rPr>
            </w:pPr>
            <w:r>
              <w:rPr>
                <w:rFonts w:cs="Times New Roman"/>
                <w:kern w:val="0"/>
                <w:sz w:val="21"/>
                <w:szCs w:val="21"/>
              </w:rPr>
              <w:t>80μg/</w:t>
            </w:r>
            <w:r>
              <w:rPr>
                <w:rFonts w:cs="Times New Roman"/>
                <w:bCs/>
                <w:kern w:val="0"/>
                <w:sz w:val="21"/>
                <w:szCs w:val="21"/>
              </w:rPr>
              <w:t xml:space="preserve"> m</w:t>
            </w:r>
            <w:r>
              <w:rPr>
                <w:rFonts w:cs="Times New Roman"/>
                <w:bCs/>
                <w:kern w:val="0"/>
                <w:sz w:val="21"/>
                <w:szCs w:val="21"/>
                <w:vertAlign w:val="superscript"/>
              </w:rPr>
              <w:t>3</w:t>
            </w:r>
          </w:p>
        </w:tc>
        <w:tc>
          <w:tcPr>
            <w:tcW w:w="3395" w:type="dxa"/>
            <w:vMerge w:val="continue"/>
            <w:vAlign w:val="center"/>
          </w:tcPr>
          <w:p w14:paraId="7AB20EBF">
            <w:pPr>
              <w:widowControl/>
              <w:snapToGrid w:val="0"/>
              <w:spacing w:line="240" w:lineRule="auto"/>
              <w:ind w:firstLine="0" w:firstLineChars="0"/>
              <w:jc w:val="center"/>
              <w:rPr>
                <w:rFonts w:cs="Times New Roman"/>
                <w:kern w:val="0"/>
                <w:sz w:val="21"/>
                <w:szCs w:val="21"/>
              </w:rPr>
            </w:pPr>
          </w:p>
        </w:tc>
      </w:tr>
      <w:tr w14:paraId="3A856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60" w:type="dxa"/>
            <w:vMerge w:val="continue"/>
            <w:tcMar>
              <w:left w:w="57" w:type="dxa"/>
              <w:right w:w="57" w:type="dxa"/>
            </w:tcMar>
            <w:vAlign w:val="center"/>
          </w:tcPr>
          <w:p w14:paraId="41A065F3">
            <w:pPr>
              <w:widowControl/>
              <w:snapToGrid w:val="0"/>
              <w:spacing w:line="240" w:lineRule="auto"/>
              <w:ind w:firstLine="0" w:firstLineChars="0"/>
              <w:jc w:val="center"/>
              <w:rPr>
                <w:rFonts w:cs="Times New Roman"/>
                <w:kern w:val="0"/>
                <w:sz w:val="21"/>
                <w:szCs w:val="21"/>
              </w:rPr>
            </w:pPr>
          </w:p>
        </w:tc>
        <w:tc>
          <w:tcPr>
            <w:tcW w:w="1704" w:type="dxa"/>
            <w:vAlign w:val="center"/>
          </w:tcPr>
          <w:p w14:paraId="6FDC84F0">
            <w:pPr>
              <w:widowControl/>
              <w:snapToGrid w:val="0"/>
              <w:spacing w:line="240" w:lineRule="auto"/>
              <w:ind w:firstLine="0" w:firstLineChars="0"/>
              <w:jc w:val="center"/>
              <w:rPr>
                <w:rFonts w:cs="Times New Roman"/>
                <w:kern w:val="0"/>
                <w:sz w:val="21"/>
                <w:szCs w:val="21"/>
              </w:rPr>
            </w:pPr>
            <w:r>
              <w:rPr>
                <w:rFonts w:cs="Times New Roman"/>
                <w:kern w:val="0"/>
                <w:sz w:val="21"/>
                <w:szCs w:val="21"/>
              </w:rPr>
              <w:t>1小时平均</w:t>
            </w:r>
          </w:p>
        </w:tc>
        <w:tc>
          <w:tcPr>
            <w:tcW w:w="2012" w:type="dxa"/>
            <w:vAlign w:val="center"/>
          </w:tcPr>
          <w:p w14:paraId="5ABB8924">
            <w:pPr>
              <w:widowControl/>
              <w:snapToGrid w:val="0"/>
              <w:spacing w:line="240" w:lineRule="auto"/>
              <w:ind w:firstLine="0" w:firstLineChars="0"/>
              <w:jc w:val="center"/>
              <w:rPr>
                <w:rFonts w:cs="Times New Roman"/>
                <w:kern w:val="0"/>
                <w:sz w:val="21"/>
                <w:szCs w:val="21"/>
              </w:rPr>
            </w:pPr>
            <w:r>
              <w:rPr>
                <w:rFonts w:cs="Times New Roman"/>
                <w:kern w:val="0"/>
                <w:sz w:val="21"/>
                <w:szCs w:val="21"/>
              </w:rPr>
              <w:t>200μg/</w:t>
            </w:r>
            <w:r>
              <w:rPr>
                <w:rFonts w:cs="Times New Roman"/>
                <w:bCs/>
                <w:kern w:val="0"/>
                <w:sz w:val="21"/>
                <w:szCs w:val="21"/>
              </w:rPr>
              <w:t xml:space="preserve"> m</w:t>
            </w:r>
            <w:r>
              <w:rPr>
                <w:rFonts w:cs="Times New Roman"/>
                <w:bCs/>
                <w:kern w:val="0"/>
                <w:sz w:val="21"/>
                <w:szCs w:val="21"/>
                <w:vertAlign w:val="superscript"/>
              </w:rPr>
              <w:t>3</w:t>
            </w:r>
          </w:p>
        </w:tc>
        <w:tc>
          <w:tcPr>
            <w:tcW w:w="3395" w:type="dxa"/>
            <w:vMerge w:val="continue"/>
            <w:vAlign w:val="center"/>
          </w:tcPr>
          <w:p w14:paraId="165A4608">
            <w:pPr>
              <w:widowControl/>
              <w:snapToGrid w:val="0"/>
              <w:spacing w:line="240" w:lineRule="auto"/>
              <w:ind w:firstLine="0" w:firstLineChars="0"/>
              <w:jc w:val="center"/>
              <w:rPr>
                <w:rFonts w:cs="Times New Roman"/>
                <w:kern w:val="0"/>
                <w:sz w:val="21"/>
                <w:szCs w:val="21"/>
              </w:rPr>
            </w:pPr>
          </w:p>
        </w:tc>
      </w:tr>
      <w:tr w14:paraId="51810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60" w:type="dxa"/>
            <w:vMerge w:val="restart"/>
            <w:tcMar>
              <w:left w:w="57" w:type="dxa"/>
              <w:right w:w="57" w:type="dxa"/>
            </w:tcMar>
            <w:vAlign w:val="center"/>
          </w:tcPr>
          <w:p w14:paraId="72487299">
            <w:pPr>
              <w:widowControl/>
              <w:snapToGrid w:val="0"/>
              <w:spacing w:line="240" w:lineRule="auto"/>
              <w:ind w:firstLine="0" w:firstLineChars="0"/>
              <w:jc w:val="center"/>
              <w:rPr>
                <w:rFonts w:cs="Times New Roman"/>
                <w:bCs/>
                <w:kern w:val="0"/>
                <w:sz w:val="21"/>
                <w:szCs w:val="21"/>
              </w:rPr>
            </w:pPr>
            <w:r>
              <w:rPr>
                <w:rFonts w:cs="Times New Roman"/>
                <w:bCs/>
                <w:kern w:val="0"/>
                <w:sz w:val="21"/>
                <w:szCs w:val="21"/>
              </w:rPr>
              <w:t>PM</w:t>
            </w:r>
            <w:r>
              <w:rPr>
                <w:rFonts w:cs="Times New Roman"/>
                <w:bCs/>
                <w:kern w:val="0"/>
                <w:sz w:val="21"/>
                <w:szCs w:val="21"/>
                <w:vertAlign w:val="subscript"/>
              </w:rPr>
              <w:t>10</w:t>
            </w:r>
          </w:p>
        </w:tc>
        <w:tc>
          <w:tcPr>
            <w:tcW w:w="1704" w:type="dxa"/>
            <w:vAlign w:val="center"/>
          </w:tcPr>
          <w:p w14:paraId="3BC10F90">
            <w:pPr>
              <w:widowControl/>
              <w:snapToGrid w:val="0"/>
              <w:spacing w:line="240" w:lineRule="auto"/>
              <w:ind w:firstLine="0" w:firstLineChars="0"/>
              <w:jc w:val="center"/>
              <w:rPr>
                <w:rFonts w:cs="Times New Roman"/>
                <w:kern w:val="0"/>
                <w:sz w:val="21"/>
                <w:szCs w:val="21"/>
              </w:rPr>
            </w:pPr>
            <w:r>
              <w:rPr>
                <w:rFonts w:cs="Times New Roman"/>
                <w:kern w:val="0"/>
                <w:sz w:val="21"/>
                <w:szCs w:val="21"/>
              </w:rPr>
              <w:t>年平均</w:t>
            </w:r>
          </w:p>
        </w:tc>
        <w:tc>
          <w:tcPr>
            <w:tcW w:w="2012" w:type="dxa"/>
            <w:vAlign w:val="center"/>
          </w:tcPr>
          <w:p w14:paraId="0A78317C">
            <w:pPr>
              <w:widowControl/>
              <w:snapToGrid w:val="0"/>
              <w:spacing w:line="240" w:lineRule="auto"/>
              <w:ind w:firstLine="0" w:firstLineChars="0"/>
              <w:jc w:val="center"/>
              <w:rPr>
                <w:rFonts w:cs="Times New Roman"/>
                <w:kern w:val="0"/>
                <w:sz w:val="21"/>
                <w:szCs w:val="21"/>
              </w:rPr>
            </w:pPr>
            <w:r>
              <w:rPr>
                <w:rFonts w:cs="Times New Roman"/>
                <w:kern w:val="0"/>
                <w:sz w:val="21"/>
                <w:szCs w:val="21"/>
              </w:rPr>
              <w:t>70μg/</w:t>
            </w:r>
            <w:r>
              <w:rPr>
                <w:rFonts w:cs="Times New Roman"/>
                <w:bCs/>
                <w:kern w:val="0"/>
                <w:sz w:val="21"/>
                <w:szCs w:val="21"/>
              </w:rPr>
              <w:t xml:space="preserve"> m</w:t>
            </w:r>
            <w:r>
              <w:rPr>
                <w:rFonts w:cs="Times New Roman"/>
                <w:bCs/>
                <w:kern w:val="0"/>
                <w:sz w:val="21"/>
                <w:szCs w:val="21"/>
                <w:vertAlign w:val="superscript"/>
              </w:rPr>
              <w:t>3</w:t>
            </w:r>
          </w:p>
        </w:tc>
        <w:tc>
          <w:tcPr>
            <w:tcW w:w="3395" w:type="dxa"/>
            <w:vMerge w:val="continue"/>
            <w:vAlign w:val="center"/>
          </w:tcPr>
          <w:p w14:paraId="630DC4D7">
            <w:pPr>
              <w:widowControl/>
              <w:snapToGrid w:val="0"/>
              <w:spacing w:line="240" w:lineRule="auto"/>
              <w:ind w:firstLine="0" w:firstLineChars="0"/>
              <w:jc w:val="center"/>
              <w:rPr>
                <w:rFonts w:cs="Times New Roman"/>
                <w:kern w:val="0"/>
                <w:sz w:val="21"/>
                <w:szCs w:val="21"/>
              </w:rPr>
            </w:pPr>
          </w:p>
        </w:tc>
      </w:tr>
      <w:tr w14:paraId="17BDC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60" w:type="dxa"/>
            <w:vMerge w:val="continue"/>
            <w:tcMar>
              <w:left w:w="57" w:type="dxa"/>
              <w:right w:w="57" w:type="dxa"/>
            </w:tcMar>
            <w:vAlign w:val="center"/>
          </w:tcPr>
          <w:p w14:paraId="440F08DF">
            <w:pPr>
              <w:widowControl/>
              <w:snapToGrid w:val="0"/>
              <w:spacing w:line="240" w:lineRule="auto"/>
              <w:ind w:firstLine="0" w:firstLineChars="0"/>
              <w:jc w:val="center"/>
              <w:rPr>
                <w:rFonts w:cs="Times New Roman"/>
                <w:bCs/>
                <w:kern w:val="0"/>
                <w:sz w:val="21"/>
                <w:szCs w:val="21"/>
              </w:rPr>
            </w:pPr>
          </w:p>
        </w:tc>
        <w:tc>
          <w:tcPr>
            <w:tcW w:w="1704" w:type="dxa"/>
            <w:vAlign w:val="center"/>
          </w:tcPr>
          <w:p w14:paraId="70362E23">
            <w:pPr>
              <w:widowControl/>
              <w:snapToGrid w:val="0"/>
              <w:spacing w:line="240" w:lineRule="auto"/>
              <w:ind w:firstLine="0" w:firstLineChars="0"/>
              <w:jc w:val="center"/>
              <w:rPr>
                <w:rFonts w:cs="Times New Roman"/>
                <w:kern w:val="0"/>
                <w:sz w:val="21"/>
                <w:szCs w:val="21"/>
              </w:rPr>
            </w:pPr>
            <w:r>
              <w:rPr>
                <w:rFonts w:cs="Times New Roman"/>
                <w:kern w:val="0"/>
                <w:sz w:val="21"/>
                <w:szCs w:val="21"/>
              </w:rPr>
              <w:t>24小时平均</w:t>
            </w:r>
          </w:p>
        </w:tc>
        <w:tc>
          <w:tcPr>
            <w:tcW w:w="2012" w:type="dxa"/>
            <w:vAlign w:val="center"/>
          </w:tcPr>
          <w:p w14:paraId="746A076C">
            <w:pPr>
              <w:widowControl/>
              <w:snapToGrid w:val="0"/>
              <w:spacing w:line="240" w:lineRule="auto"/>
              <w:ind w:firstLine="0" w:firstLineChars="0"/>
              <w:jc w:val="center"/>
              <w:rPr>
                <w:rFonts w:cs="Times New Roman"/>
                <w:kern w:val="0"/>
                <w:sz w:val="21"/>
                <w:szCs w:val="21"/>
              </w:rPr>
            </w:pPr>
            <w:r>
              <w:rPr>
                <w:rFonts w:cs="Times New Roman"/>
                <w:kern w:val="0"/>
                <w:sz w:val="21"/>
                <w:szCs w:val="21"/>
              </w:rPr>
              <w:t>150μg/</w:t>
            </w:r>
            <w:r>
              <w:rPr>
                <w:rFonts w:cs="Times New Roman"/>
                <w:bCs/>
                <w:kern w:val="0"/>
                <w:sz w:val="21"/>
                <w:szCs w:val="21"/>
              </w:rPr>
              <w:t xml:space="preserve"> m</w:t>
            </w:r>
            <w:r>
              <w:rPr>
                <w:rFonts w:cs="Times New Roman"/>
                <w:bCs/>
                <w:kern w:val="0"/>
                <w:sz w:val="21"/>
                <w:szCs w:val="21"/>
                <w:vertAlign w:val="superscript"/>
              </w:rPr>
              <w:t>3</w:t>
            </w:r>
          </w:p>
        </w:tc>
        <w:tc>
          <w:tcPr>
            <w:tcW w:w="3395" w:type="dxa"/>
            <w:vMerge w:val="continue"/>
            <w:vAlign w:val="center"/>
          </w:tcPr>
          <w:p w14:paraId="2CBC0CC1">
            <w:pPr>
              <w:widowControl/>
              <w:snapToGrid w:val="0"/>
              <w:spacing w:line="240" w:lineRule="auto"/>
              <w:ind w:firstLine="0" w:firstLineChars="0"/>
              <w:jc w:val="center"/>
              <w:rPr>
                <w:rFonts w:cs="Times New Roman"/>
                <w:kern w:val="0"/>
                <w:sz w:val="21"/>
                <w:szCs w:val="21"/>
              </w:rPr>
            </w:pPr>
          </w:p>
        </w:tc>
      </w:tr>
      <w:tr w14:paraId="50B38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60" w:type="dxa"/>
            <w:vMerge w:val="restart"/>
            <w:tcMar>
              <w:left w:w="57" w:type="dxa"/>
              <w:right w:w="57" w:type="dxa"/>
            </w:tcMar>
            <w:vAlign w:val="center"/>
          </w:tcPr>
          <w:p w14:paraId="2E883D75">
            <w:pPr>
              <w:widowControl/>
              <w:snapToGrid w:val="0"/>
              <w:spacing w:line="240" w:lineRule="auto"/>
              <w:ind w:firstLine="0" w:firstLineChars="0"/>
              <w:jc w:val="center"/>
              <w:rPr>
                <w:rFonts w:cs="Times New Roman"/>
                <w:bCs/>
                <w:kern w:val="0"/>
                <w:sz w:val="21"/>
                <w:szCs w:val="21"/>
              </w:rPr>
            </w:pPr>
            <w:r>
              <w:rPr>
                <w:rFonts w:cs="Times New Roman"/>
                <w:bCs/>
                <w:kern w:val="0"/>
                <w:sz w:val="21"/>
                <w:szCs w:val="21"/>
              </w:rPr>
              <w:t>PM</w:t>
            </w:r>
            <w:r>
              <w:rPr>
                <w:rFonts w:cs="Times New Roman"/>
                <w:bCs/>
                <w:kern w:val="0"/>
                <w:sz w:val="21"/>
                <w:szCs w:val="21"/>
                <w:vertAlign w:val="subscript"/>
              </w:rPr>
              <w:t>2.5</w:t>
            </w:r>
          </w:p>
        </w:tc>
        <w:tc>
          <w:tcPr>
            <w:tcW w:w="1704" w:type="dxa"/>
            <w:vAlign w:val="center"/>
          </w:tcPr>
          <w:p w14:paraId="2B98BF80">
            <w:pPr>
              <w:widowControl/>
              <w:snapToGrid w:val="0"/>
              <w:spacing w:line="240" w:lineRule="auto"/>
              <w:ind w:firstLine="0" w:firstLineChars="0"/>
              <w:jc w:val="center"/>
              <w:rPr>
                <w:rFonts w:cs="Times New Roman"/>
                <w:kern w:val="0"/>
                <w:sz w:val="21"/>
                <w:szCs w:val="21"/>
              </w:rPr>
            </w:pPr>
            <w:r>
              <w:rPr>
                <w:rFonts w:cs="Times New Roman"/>
                <w:kern w:val="0"/>
                <w:sz w:val="21"/>
                <w:szCs w:val="21"/>
              </w:rPr>
              <w:t>年平均</w:t>
            </w:r>
          </w:p>
        </w:tc>
        <w:tc>
          <w:tcPr>
            <w:tcW w:w="2012" w:type="dxa"/>
            <w:vAlign w:val="center"/>
          </w:tcPr>
          <w:p w14:paraId="26006122">
            <w:pPr>
              <w:widowControl/>
              <w:snapToGrid w:val="0"/>
              <w:spacing w:line="240" w:lineRule="auto"/>
              <w:ind w:firstLine="0" w:firstLineChars="0"/>
              <w:jc w:val="center"/>
              <w:rPr>
                <w:rFonts w:cs="Times New Roman"/>
                <w:kern w:val="0"/>
                <w:sz w:val="21"/>
                <w:szCs w:val="21"/>
              </w:rPr>
            </w:pPr>
            <w:r>
              <w:rPr>
                <w:rFonts w:cs="Times New Roman"/>
                <w:kern w:val="0"/>
                <w:sz w:val="21"/>
                <w:szCs w:val="21"/>
              </w:rPr>
              <w:t>35μg/</w:t>
            </w:r>
            <w:r>
              <w:rPr>
                <w:rFonts w:cs="Times New Roman"/>
                <w:bCs/>
                <w:kern w:val="0"/>
                <w:sz w:val="21"/>
                <w:szCs w:val="21"/>
              </w:rPr>
              <w:t xml:space="preserve"> m</w:t>
            </w:r>
            <w:r>
              <w:rPr>
                <w:rFonts w:cs="Times New Roman"/>
                <w:bCs/>
                <w:kern w:val="0"/>
                <w:sz w:val="21"/>
                <w:szCs w:val="21"/>
                <w:vertAlign w:val="superscript"/>
              </w:rPr>
              <w:t>3</w:t>
            </w:r>
          </w:p>
        </w:tc>
        <w:tc>
          <w:tcPr>
            <w:tcW w:w="3395" w:type="dxa"/>
            <w:vMerge w:val="continue"/>
            <w:vAlign w:val="center"/>
          </w:tcPr>
          <w:p w14:paraId="46C10BFE">
            <w:pPr>
              <w:widowControl/>
              <w:snapToGrid w:val="0"/>
              <w:spacing w:line="240" w:lineRule="auto"/>
              <w:ind w:firstLine="0" w:firstLineChars="0"/>
              <w:jc w:val="center"/>
              <w:rPr>
                <w:rFonts w:cs="Times New Roman"/>
                <w:kern w:val="0"/>
                <w:sz w:val="21"/>
                <w:szCs w:val="21"/>
              </w:rPr>
            </w:pPr>
          </w:p>
        </w:tc>
      </w:tr>
      <w:tr w14:paraId="2E8DF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60" w:type="dxa"/>
            <w:vMerge w:val="continue"/>
            <w:tcMar>
              <w:left w:w="57" w:type="dxa"/>
              <w:right w:w="57" w:type="dxa"/>
            </w:tcMar>
            <w:vAlign w:val="center"/>
          </w:tcPr>
          <w:p w14:paraId="4A3787CB">
            <w:pPr>
              <w:widowControl/>
              <w:snapToGrid w:val="0"/>
              <w:spacing w:line="240" w:lineRule="auto"/>
              <w:ind w:firstLine="0" w:firstLineChars="0"/>
              <w:jc w:val="center"/>
              <w:rPr>
                <w:rFonts w:cs="Times New Roman"/>
                <w:bCs/>
                <w:kern w:val="0"/>
                <w:sz w:val="21"/>
                <w:szCs w:val="21"/>
              </w:rPr>
            </w:pPr>
          </w:p>
        </w:tc>
        <w:tc>
          <w:tcPr>
            <w:tcW w:w="1704" w:type="dxa"/>
            <w:vAlign w:val="center"/>
          </w:tcPr>
          <w:p w14:paraId="08140A5A">
            <w:pPr>
              <w:widowControl/>
              <w:snapToGrid w:val="0"/>
              <w:spacing w:line="240" w:lineRule="auto"/>
              <w:ind w:firstLine="0" w:firstLineChars="0"/>
              <w:jc w:val="center"/>
              <w:rPr>
                <w:rFonts w:cs="Times New Roman"/>
                <w:kern w:val="0"/>
                <w:sz w:val="21"/>
                <w:szCs w:val="21"/>
              </w:rPr>
            </w:pPr>
            <w:r>
              <w:rPr>
                <w:rFonts w:cs="Times New Roman"/>
                <w:kern w:val="0"/>
                <w:sz w:val="21"/>
                <w:szCs w:val="21"/>
              </w:rPr>
              <w:t>24小时平均</w:t>
            </w:r>
          </w:p>
        </w:tc>
        <w:tc>
          <w:tcPr>
            <w:tcW w:w="2012" w:type="dxa"/>
            <w:vAlign w:val="center"/>
          </w:tcPr>
          <w:p w14:paraId="0D38B43D">
            <w:pPr>
              <w:widowControl/>
              <w:snapToGrid w:val="0"/>
              <w:spacing w:line="240" w:lineRule="auto"/>
              <w:ind w:firstLine="0" w:firstLineChars="0"/>
              <w:jc w:val="center"/>
              <w:rPr>
                <w:rFonts w:cs="Times New Roman"/>
                <w:kern w:val="0"/>
                <w:sz w:val="21"/>
                <w:szCs w:val="21"/>
              </w:rPr>
            </w:pPr>
            <w:r>
              <w:rPr>
                <w:rFonts w:cs="Times New Roman"/>
                <w:kern w:val="0"/>
                <w:sz w:val="21"/>
                <w:szCs w:val="21"/>
              </w:rPr>
              <w:t>75μg/</w:t>
            </w:r>
            <w:r>
              <w:rPr>
                <w:rFonts w:cs="Times New Roman"/>
                <w:bCs/>
                <w:kern w:val="0"/>
                <w:sz w:val="21"/>
                <w:szCs w:val="21"/>
              </w:rPr>
              <w:t xml:space="preserve"> m</w:t>
            </w:r>
            <w:r>
              <w:rPr>
                <w:rFonts w:cs="Times New Roman"/>
                <w:bCs/>
                <w:kern w:val="0"/>
                <w:sz w:val="21"/>
                <w:szCs w:val="21"/>
                <w:vertAlign w:val="superscript"/>
              </w:rPr>
              <w:t>3</w:t>
            </w:r>
          </w:p>
        </w:tc>
        <w:tc>
          <w:tcPr>
            <w:tcW w:w="3395" w:type="dxa"/>
            <w:vMerge w:val="continue"/>
            <w:vAlign w:val="center"/>
          </w:tcPr>
          <w:p w14:paraId="75906E84">
            <w:pPr>
              <w:widowControl/>
              <w:snapToGrid w:val="0"/>
              <w:spacing w:line="240" w:lineRule="auto"/>
              <w:ind w:firstLine="0" w:firstLineChars="0"/>
              <w:jc w:val="center"/>
              <w:rPr>
                <w:rFonts w:cs="Times New Roman"/>
                <w:kern w:val="0"/>
                <w:sz w:val="21"/>
                <w:szCs w:val="21"/>
              </w:rPr>
            </w:pPr>
          </w:p>
        </w:tc>
      </w:tr>
      <w:tr w14:paraId="28A99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360" w:type="dxa"/>
            <w:vMerge w:val="restart"/>
            <w:tcMar>
              <w:left w:w="57" w:type="dxa"/>
              <w:right w:w="57" w:type="dxa"/>
            </w:tcMar>
            <w:vAlign w:val="center"/>
          </w:tcPr>
          <w:p w14:paraId="514C8106">
            <w:pPr>
              <w:widowControl/>
              <w:snapToGrid w:val="0"/>
              <w:spacing w:line="240" w:lineRule="auto"/>
              <w:ind w:firstLine="0" w:firstLineChars="0"/>
              <w:jc w:val="center"/>
              <w:rPr>
                <w:rFonts w:hint="eastAsia" w:cs="Times New Roman"/>
                <w:bCs/>
                <w:kern w:val="0"/>
                <w:sz w:val="21"/>
                <w:szCs w:val="21"/>
                <w:lang w:val="en-US" w:eastAsia="zh-CN"/>
              </w:rPr>
            </w:pPr>
            <w:r>
              <w:rPr>
                <w:rFonts w:cs="Times New Roman"/>
                <w:bCs/>
                <w:kern w:val="0"/>
                <w:sz w:val="21"/>
                <w:szCs w:val="21"/>
              </w:rPr>
              <w:t>CO</w:t>
            </w:r>
          </w:p>
        </w:tc>
        <w:tc>
          <w:tcPr>
            <w:tcW w:w="1704" w:type="dxa"/>
            <w:vAlign w:val="center"/>
          </w:tcPr>
          <w:p w14:paraId="5C9501DD">
            <w:pPr>
              <w:widowControl/>
              <w:snapToGrid w:val="0"/>
              <w:spacing w:line="240" w:lineRule="auto"/>
              <w:ind w:firstLine="0" w:firstLineChars="0"/>
              <w:jc w:val="center"/>
              <w:rPr>
                <w:rFonts w:cs="Times New Roman"/>
                <w:kern w:val="0"/>
                <w:sz w:val="21"/>
                <w:szCs w:val="21"/>
              </w:rPr>
            </w:pPr>
            <w:r>
              <w:rPr>
                <w:rFonts w:cs="Times New Roman"/>
                <w:kern w:val="0"/>
                <w:sz w:val="21"/>
                <w:szCs w:val="21"/>
              </w:rPr>
              <w:t>24小时平均</w:t>
            </w:r>
          </w:p>
        </w:tc>
        <w:tc>
          <w:tcPr>
            <w:tcW w:w="2012" w:type="dxa"/>
            <w:vAlign w:val="center"/>
          </w:tcPr>
          <w:p w14:paraId="0BE5A5D4">
            <w:pPr>
              <w:widowControl/>
              <w:snapToGrid w:val="0"/>
              <w:spacing w:line="240" w:lineRule="auto"/>
              <w:ind w:firstLine="0" w:firstLineChars="0"/>
              <w:jc w:val="center"/>
              <w:rPr>
                <w:rFonts w:hint="default" w:cs="Times New Roman"/>
                <w:kern w:val="0"/>
                <w:sz w:val="21"/>
                <w:szCs w:val="21"/>
                <w:lang w:val="en-US"/>
              </w:rPr>
            </w:pPr>
            <w:r>
              <w:rPr>
                <w:rFonts w:cs="Times New Roman"/>
                <w:kern w:val="0"/>
                <w:sz w:val="21"/>
                <w:szCs w:val="21"/>
              </w:rPr>
              <w:t>4000μ</w:t>
            </w:r>
            <w:r>
              <w:rPr>
                <w:rFonts w:cs="Times New Roman"/>
                <w:bCs/>
                <w:kern w:val="0"/>
                <w:sz w:val="21"/>
                <w:szCs w:val="21"/>
              </w:rPr>
              <w:t>g/m</w:t>
            </w:r>
            <w:r>
              <w:rPr>
                <w:rFonts w:cs="Times New Roman"/>
                <w:bCs/>
                <w:kern w:val="0"/>
                <w:sz w:val="21"/>
                <w:szCs w:val="21"/>
                <w:vertAlign w:val="superscript"/>
              </w:rPr>
              <w:t>3</w:t>
            </w:r>
          </w:p>
        </w:tc>
        <w:tc>
          <w:tcPr>
            <w:tcW w:w="3395" w:type="dxa"/>
            <w:vMerge w:val="continue"/>
            <w:vAlign w:val="center"/>
          </w:tcPr>
          <w:p w14:paraId="0C0DEF6E">
            <w:pPr>
              <w:widowControl/>
              <w:snapToGrid w:val="0"/>
              <w:spacing w:line="240" w:lineRule="auto"/>
              <w:ind w:firstLine="0" w:firstLineChars="0"/>
              <w:jc w:val="center"/>
              <w:rPr>
                <w:rFonts w:cs="Times New Roman"/>
                <w:kern w:val="0"/>
                <w:sz w:val="21"/>
                <w:szCs w:val="21"/>
              </w:rPr>
            </w:pPr>
          </w:p>
        </w:tc>
      </w:tr>
      <w:tr w14:paraId="049E1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360" w:type="dxa"/>
            <w:vMerge w:val="continue"/>
            <w:tcMar>
              <w:left w:w="57" w:type="dxa"/>
              <w:right w:w="57" w:type="dxa"/>
            </w:tcMar>
            <w:vAlign w:val="center"/>
          </w:tcPr>
          <w:p w14:paraId="4708374D">
            <w:pPr>
              <w:widowControl/>
              <w:snapToGrid w:val="0"/>
              <w:spacing w:line="240" w:lineRule="auto"/>
              <w:ind w:firstLine="0" w:firstLineChars="0"/>
              <w:jc w:val="center"/>
              <w:rPr>
                <w:rFonts w:hint="eastAsia" w:cs="Times New Roman"/>
                <w:bCs/>
                <w:kern w:val="0"/>
                <w:sz w:val="21"/>
                <w:szCs w:val="21"/>
                <w:lang w:val="en-US" w:eastAsia="zh-CN"/>
              </w:rPr>
            </w:pPr>
          </w:p>
        </w:tc>
        <w:tc>
          <w:tcPr>
            <w:tcW w:w="1704" w:type="dxa"/>
            <w:vAlign w:val="center"/>
          </w:tcPr>
          <w:p w14:paraId="5827315B">
            <w:pPr>
              <w:widowControl/>
              <w:snapToGrid w:val="0"/>
              <w:spacing w:line="240" w:lineRule="auto"/>
              <w:ind w:firstLine="0" w:firstLineChars="0"/>
              <w:jc w:val="center"/>
              <w:rPr>
                <w:rFonts w:cs="Times New Roman"/>
                <w:kern w:val="0"/>
                <w:sz w:val="21"/>
                <w:szCs w:val="21"/>
              </w:rPr>
            </w:pPr>
            <w:r>
              <w:rPr>
                <w:rFonts w:cs="Times New Roman"/>
                <w:kern w:val="0"/>
                <w:sz w:val="21"/>
                <w:szCs w:val="21"/>
              </w:rPr>
              <w:t>1小时平均</w:t>
            </w:r>
          </w:p>
        </w:tc>
        <w:tc>
          <w:tcPr>
            <w:tcW w:w="2012" w:type="dxa"/>
            <w:vAlign w:val="center"/>
          </w:tcPr>
          <w:p w14:paraId="2F97B43F">
            <w:pPr>
              <w:widowControl/>
              <w:snapToGrid w:val="0"/>
              <w:spacing w:line="240" w:lineRule="auto"/>
              <w:ind w:firstLine="0" w:firstLineChars="0"/>
              <w:jc w:val="center"/>
              <w:rPr>
                <w:rFonts w:hint="default" w:cs="Times New Roman"/>
                <w:kern w:val="0"/>
                <w:sz w:val="21"/>
                <w:szCs w:val="21"/>
                <w:lang w:val="en-US"/>
              </w:rPr>
            </w:pPr>
            <w:r>
              <w:rPr>
                <w:rFonts w:cs="Times New Roman"/>
                <w:kern w:val="0"/>
                <w:sz w:val="21"/>
                <w:szCs w:val="21"/>
              </w:rPr>
              <w:t>10000μ</w:t>
            </w:r>
            <w:r>
              <w:rPr>
                <w:rFonts w:cs="Times New Roman"/>
                <w:bCs/>
                <w:kern w:val="0"/>
                <w:sz w:val="21"/>
                <w:szCs w:val="21"/>
              </w:rPr>
              <w:t>g/m</w:t>
            </w:r>
            <w:r>
              <w:rPr>
                <w:rFonts w:cs="Times New Roman"/>
                <w:bCs/>
                <w:kern w:val="0"/>
                <w:sz w:val="21"/>
                <w:szCs w:val="21"/>
                <w:vertAlign w:val="superscript"/>
              </w:rPr>
              <w:t>3</w:t>
            </w:r>
          </w:p>
        </w:tc>
        <w:tc>
          <w:tcPr>
            <w:tcW w:w="3395" w:type="dxa"/>
            <w:vMerge w:val="continue"/>
            <w:vAlign w:val="center"/>
          </w:tcPr>
          <w:p w14:paraId="36D9823C">
            <w:pPr>
              <w:widowControl/>
              <w:snapToGrid w:val="0"/>
              <w:spacing w:line="240" w:lineRule="auto"/>
              <w:ind w:firstLine="0" w:firstLineChars="0"/>
              <w:jc w:val="center"/>
              <w:rPr>
                <w:rFonts w:cs="Times New Roman"/>
                <w:kern w:val="0"/>
                <w:sz w:val="21"/>
                <w:szCs w:val="21"/>
              </w:rPr>
            </w:pPr>
          </w:p>
        </w:tc>
      </w:tr>
      <w:tr w14:paraId="0A087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60" w:type="dxa"/>
            <w:vMerge w:val="restart"/>
            <w:tcMar>
              <w:left w:w="57" w:type="dxa"/>
              <w:right w:w="57" w:type="dxa"/>
            </w:tcMar>
            <w:vAlign w:val="center"/>
          </w:tcPr>
          <w:p w14:paraId="0103EFD4">
            <w:pPr>
              <w:widowControl/>
              <w:snapToGrid w:val="0"/>
              <w:spacing w:line="240" w:lineRule="auto"/>
              <w:ind w:firstLine="0" w:firstLineChars="0"/>
              <w:jc w:val="center"/>
              <w:rPr>
                <w:rFonts w:cs="Times New Roman"/>
                <w:bCs/>
                <w:kern w:val="0"/>
                <w:sz w:val="21"/>
                <w:szCs w:val="21"/>
              </w:rPr>
            </w:pPr>
            <w:r>
              <w:rPr>
                <w:rFonts w:hint="eastAsia" w:cs="Times New Roman"/>
                <w:bCs/>
                <w:kern w:val="0"/>
                <w:sz w:val="21"/>
                <w:szCs w:val="21"/>
                <w:lang w:val="en-US" w:eastAsia="zh-CN"/>
              </w:rPr>
              <w:t>TSP</w:t>
            </w:r>
          </w:p>
        </w:tc>
        <w:tc>
          <w:tcPr>
            <w:tcW w:w="1704" w:type="dxa"/>
            <w:vAlign w:val="center"/>
          </w:tcPr>
          <w:p w14:paraId="7ACCC68A">
            <w:pPr>
              <w:widowControl/>
              <w:snapToGrid w:val="0"/>
              <w:spacing w:line="240" w:lineRule="auto"/>
              <w:ind w:firstLine="0" w:firstLineChars="0"/>
              <w:jc w:val="center"/>
              <w:rPr>
                <w:rFonts w:cs="Times New Roman"/>
                <w:kern w:val="0"/>
                <w:sz w:val="21"/>
                <w:szCs w:val="21"/>
              </w:rPr>
            </w:pPr>
            <w:r>
              <w:rPr>
                <w:rFonts w:cs="Times New Roman"/>
                <w:kern w:val="0"/>
                <w:sz w:val="21"/>
                <w:szCs w:val="21"/>
              </w:rPr>
              <w:t>年平均</w:t>
            </w:r>
          </w:p>
        </w:tc>
        <w:tc>
          <w:tcPr>
            <w:tcW w:w="2012" w:type="dxa"/>
            <w:vAlign w:val="center"/>
          </w:tcPr>
          <w:p w14:paraId="4576E66E">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lang w:val="en-US" w:eastAsia="zh-CN"/>
              </w:rPr>
              <w:t>200</w:t>
            </w:r>
            <w:r>
              <w:rPr>
                <w:rFonts w:cs="Times New Roman"/>
                <w:kern w:val="0"/>
                <w:sz w:val="21"/>
                <w:szCs w:val="21"/>
              </w:rPr>
              <w:t>μg/</w:t>
            </w:r>
            <w:r>
              <w:rPr>
                <w:rFonts w:cs="Times New Roman"/>
                <w:bCs/>
                <w:kern w:val="0"/>
                <w:sz w:val="21"/>
                <w:szCs w:val="21"/>
              </w:rPr>
              <w:t xml:space="preserve"> m</w:t>
            </w:r>
            <w:r>
              <w:rPr>
                <w:rFonts w:cs="Times New Roman"/>
                <w:bCs/>
                <w:kern w:val="0"/>
                <w:sz w:val="21"/>
                <w:szCs w:val="21"/>
                <w:vertAlign w:val="superscript"/>
              </w:rPr>
              <w:t>3</w:t>
            </w:r>
          </w:p>
        </w:tc>
        <w:tc>
          <w:tcPr>
            <w:tcW w:w="3395" w:type="dxa"/>
            <w:vMerge w:val="continue"/>
            <w:vAlign w:val="center"/>
          </w:tcPr>
          <w:p w14:paraId="2F673B23">
            <w:pPr>
              <w:widowControl/>
              <w:snapToGrid w:val="0"/>
              <w:spacing w:line="240" w:lineRule="auto"/>
              <w:ind w:firstLine="0" w:firstLineChars="0"/>
              <w:jc w:val="center"/>
              <w:rPr>
                <w:rFonts w:cs="Times New Roman"/>
                <w:kern w:val="0"/>
                <w:sz w:val="21"/>
                <w:szCs w:val="21"/>
              </w:rPr>
            </w:pPr>
          </w:p>
        </w:tc>
      </w:tr>
      <w:tr w14:paraId="1F813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60" w:type="dxa"/>
            <w:vMerge w:val="continue"/>
            <w:tcMar>
              <w:left w:w="57" w:type="dxa"/>
              <w:right w:w="57" w:type="dxa"/>
            </w:tcMar>
            <w:vAlign w:val="center"/>
          </w:tcPr>
          <w:p w14:paraId="22F4556B">
            <w:pPr>
              <w:widowControl/>
              <w:snapToGrid w:val="0"/>
              <w:spacing w:line="240" w:lineRule="auto"/>
              <w:ind w:firstLine="0" w:firstLineChars="0"/>
              <w:jc w:val="center"/>
              <w:rPr>
                <w:rFonts w:cs="Times New Roman"/>
                <w:bCs/>
                <w:kern w:val="0"/>
                <w:sz w:val="21"/>
                <w:szCs w:val="21"/>
              </w:rPr>
            </w:pPr>
          </w:p>
        </w:tc>
        <w:tc>
          <w:tcPr>
            <w:tcW w:w="1704" w:type="dxa"/>
            <w:vAlign w:val="center"/>
          </w:tcPr>
          <w:p w14:paraId="54AA853C">
            <w:pPr>
              <w:widowControl/>
              <w:snapToGrid w:val="0"/>
              <w:spacing w:line="240" w:lineRule="auto"/>
              <w:ind w:firstLine="0" w:firstLineChars="0"/>
              <w:jc w:val="center"/>
              <w:rPr>
                <w:rFonts w:cs="Times New Roman"/>
                <w:kern w:val="0"/>
                <w:sz w:val="21"/>
                <w:szCs w:val="21"/>
              </w:rPr>
            </w:pPr>
            <w:r>
              <w:rPr>
                <w:rFonts w:cs="Times New Roman"/>
                <w:kern w:val="0"/>
                <w:sz w:val="21"/>
                <w:szCs w:val="21"/>
              </w:rPr>
              <w:t>24小时平均</w:t>
            </w:r>
          </w:p>
        </w:tc>
        <w:tc>
          <w:tcPr>
            <w:tcW w:w="2012" w:type="dxa"/>
            <w:vAlign w:val="center"/>
          </w:tcPr>
          <w:p w14:paraId="50348222">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lang w:val="en-US" w:eastAsia="zh-CN"/>
              </w:rPr>
              <w:t>300</w:t>
            </w:r>
            <w:r>
              <w:rPr>
                <w:rFonts w:cs="Times New Roman"/>
                <w:kern w:val="0"/>
                <w:sz w:val="21"/>
                <w:szCs w:val="21"/>
              </w:rPr>
              <w:t>μg/</w:t>
            </w:r>
            <w:r>
              <w:rPr>
                <w:rFonts w:cs="Times New Roman"/>
                <w:bCs/>
                <w:kern w:val="0"/>
                <w:sz w:val="21"/>
                <w:szCs w:val="21"/>
              </w:rPr>
              <w:t xml:space="preserve"> m</w:t>
            </w:r>
            <w:r>
              <w:rPr>
                <w:rFonts w:cs="Times New Roman"/>
                <w:bCs/>
                <w:kern w:val="0"/>
                <w:sz w:val="21"/>
                <w:szCs w:val="21"/>
                <w:vertAlign w:val="superscript"/>
              </w:rPr>
              <w:t>3</w:t>
            </w:r>
          </w:p>
        </w:tc>
        <w:tc>
          <w:tcPr>
            <w:tcW w:w="3395" w:type="dxa"/>
            <w:vMerge w:val="continue"/>
            <w:vAlign w:val="center"/>
          </w:tcPr>
          <w:p w14:paraId="62AB881B">
            <w:pPr>
              <w:widowControl/>
              <w:snapToGrid w:val="0"/>
              <w:spacing w:line="240" w:lineRule="auto"/>
              <w:ind w:firstLine="0" w:firstLineChars="0"/>
              <w:jc w:val="center"/>
              <w:rPr>
                <w:rFonts w:cs="Times New Roman"/>
                <w:kern w:val="0"/>
                <w:sz w:val="21"/>
                <w:szCs w:val="21"/>
              </w:rPr>
            </w:pPr>
          </w:p>
        </w:tc>
      </w:tr>
      <w:tr w14:paraId="733AA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60" w:type="dxa"/>
            <w:vMerge w:val="restart"/>
            <w:tcMar>
              <w:left w:w="57" w:type="dxa"/>
              <w:right w:w="57" w:type="dxa"/>
            </w:tcMar>
            <w:vAlign w:val="center"/>
          </w:tcPr>
          <w:p w14:paraId="14CCF2D1">
            <w:pPr>
              <w:widowControl/>
              <w:snapToGrid w:val="0"/>
              <w:spacing w:line="240" w:lineRule="auto"/>
              <w:ind w:firstLine="0" w:firstLineChars="0"/>
              <w:jc w:val="center"/>
              <w:rPr>
                <w:rFonts w:cs="Times New Roman"/>
                <w:bCs/>
                <w:kern w:val="0"/>
                <w:sz w:val="21"/>
                <w:szCs w:val="21"/>
              </w:rPr>
            </w:pPr>
            <w:r>
              <w:rPr>
                <w:rFonts w:cs="Times New Roman"/>
                <w:kern w:val="0"/>
                <w:sz w:val="21"/>
                <w:szCs w:val="21"/>
              </w:rPr>
              <w:t>HCl</w:t>
            </w:r>
          </w:p>
        </w:tc>
        <w:tc>
          <w:tcPr>
            <w:tcW w:w="1704" w:type="dxa"/>
            <w:vAlign w:val="center"/>
          </w:tcPr>
          <w:p w14:paraId="55C92A0E">
            <w:pPr>
              <w:widowControl/>
              <w:snapToGrid w:val="0"/>
              <w:spacing w:line="240" w:lineRule="auto"/>
              <w:ind w:firstLine="0" w:firstLineChars="0"/>
              <w:jc w:val="center"/>
              <w:rPr>
                <w:rFonts w:cs="Times New Roman"/>
                <w:kern w:val="0"/>
                <w:sz w:val="21"/>
                <w:szCs w:val="21"/>
              </w:rPr>
            </w:pPr>
            <w:r>
              <w:rPr>
                <w:rFonts w:cs="Times New Roman"/>
                <w:kern w:val="0"/>
                <w:sz w:val="21"/>
                <w:szCs w:val="21"/>
              </w:rPr>
              <w:t>一次</w:t>
            </w:r>
          </w:p>
        </w:tc>
        <w:tc>
          <w:tcPr>
            <w:tcW w:w="2012" w:type="dxa"/>
            <w:vAlign w:val="center"/>
          </w:tcPr>
          <w:p w14:paraId="05949910">
            <w:pPr>
              <w:widowControl/>
              <w:snapToGrid w:val="0"/>
              <w:spacing w:line="240" w:lineRule="auto"/>
              <w:ind w:firstLine="0" w:firstLineChars="0"/>
              <w:jc w:val="center"/>
              <w:rPr>
                <w:rFonts w:cs="Times New Roman"/>
                <w:kern w:val="0"/>
                <w:sz w:val="21"/>
                <w:szCs w:val="21"/>
              </w:rPr>
            </w:pPr>
            <w:r>
              <w:rPr>
                <w:rFonts w:cs="Times New Roman"/>
                <w:kern w:val="0"/>
                <w:sz w:val="21"/>
                <w:szCs w:val="21"/>
              </w:rPr>
              <w:t>50μ</w:t>
            </w:r>
            <w:r>
              <w:rPr>
                <w:rFonts w:cs="Times New Roman"/>
                <w:bCs/>
                <w:kern w:val="0"/>
                <w:sz w:val="21"/>
                <w:szCs w:val="21"/>
              </w:rPr>
              <w:t>g/m</w:t>
            </w:r>
            <w:r>
              <w:rPr>
                <w:rFonts w:cs="Times New Roman"/>
                <w:bCs/>
                <w:kern w:val="0"/>
                <w:sz w:val="21"/>
                <w:szCs w:val="21"/>
                <w:vertAlign w:val="superscript"/>
              </w:rPr>
              <w:t>3</w:t>
            </w:r>
          </w:p>
        </w:tc>
        <w:tc>
          <w:tcPr>
            <w:tcW w:w="3395" w:type="dxa"/>
            <w:vMerge w:val="restart"/>
            <w:vAlign w:val="center"/>
          </w:tcPr>
          <w:p w14:paraId="44F68DD7">
            <w:pPr>
              <w:pStyle w:val="45"/>
              <w:rPr>
                <w:rFonts w:hint="default"/>
              </w:rPr>
            </w:pPr>
            <w:r>
              <w:t>《环境影响评价技术导则 大气环境》（HJ 2.2-2018）附录D</w:t>
            </w:r>
          </w:p>
        </w:tc>
      </w:tr>
      <w:tr w14:paraId="6C5A9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60" w:type="dxa"/>
            <w:vMerge w:val="continue"/>
            <w:tcMar>
              <w:left w:w="57" w:type="dxa"/>
              <w:right w:w="57" w:type="dxa"/>
            </w:tcMar>
            <w:vAlign w:val="center"/>
          </w:tcPr>
          <w:p w14:paraId="3D9E5A12">
            <w:pPr>
              <w:widowControl/>
              <w:snapToGrid w:val="0"/>
              <w:spacing w:line="240" w:lineRule="auto"/>
              <w:ind w:firstLine="0" w:firstLineChars="0"/>
              <w:jc w:val="center"/>
              <w:rPr>
                <w:rFonts w:cs="Times New Roman"/>
                <w:kern w:val="0"/>
                <w:sz w:val="21"/>
                <w:szCs w:val="21"/>
              </w:rPr>
            </w:pPr>
          </w:p>
        </w:tc>
        <w:tc>
          <w:tcPr>
            <w:tcW w:w="1704" w:type="dxa"/>
            <w:vAlign w:val="center"/>
          </w:tcPr>
          <w:p w14:paraId="053C1E2A">
            <w:pPr>
              <w:widowControl/>
              <w:snapToGrid w:val="0"/>
              <w:spacing w:line="240" w:lineRule="auto"/>
              <w:ind w:firstLine="0" w:firstLineChars="0"/>
              <w:jc w:val="center"/>
              <w:rPr>
                <w:rFonts w:cs="Times New Roman"/>
                <w:kern w:val="0"/>
                <w:sz w:val="21"/>
                <w:szCs w:val="21"/>
              </w:rPr>
            </w:pPr>
            <w:r>
              <w:rPr>
                <w:rFonts w:cs="Times New Roman"/>
                <w:kern w:val="0"/>
                <w:sz w:val="21"/>
                <w:szCs w:val="21"/>
              </w:rPr>
              <w:t>日平均</w:t>
            </w:r>
          </w:p>
        </w:tc>
        <w:tc>
          <w:tcPr>
            <w:tcW w:w="2012" w:type="dxa"/>
            <w:vAlign w:val="center"/>
          </w:tcPr>
          <w:p w14:paraId="56DB4D0E">
            <w:pPr>
              <w:widowControl/>
              <w:snapToGrid w:val="0"/>
              <w:spacing w:line="240" w:lineRule="auto"/>
              <w:ind w:firstLine="0" w:firstLineChars="0"/>
              <w:jc w:val="center"/>
              <w:rPr>
                <w:rFonts w:cs="Times New Roman"/>
                <w:kern w:val="0"/>
                <w:sz w:val="21"/>
                <w:szCs w:val="21"/>
              </w:rPr>
            </w:pPr>
            <w:r>
              <w:rPr>
                <w:rFonts w:cs="Times New Roman"/>
                <w:kern w:val="0"/>
                <w:sz w:val="21"/>
                <w:szCs w:val="21"/>
              </w:rPr>
              <w:t>15μ</w:t>
            </w:r>
            <w:r>
              <w:rPr>
                <w:rFonts w:cs="Times New Roman"/>
                <w:bCs/>
                <w:kern w:val="0"/>
                <w:sz w:val="21"/>
                <w:szCs w:val="21"/>
              </w:rPr>
              <w:t>g/m</w:t>
            </w:r>
            <w:r>
              <w:rPr>
                <w:rFonts w:cs="Times New Roman"/>
                <w:bCs/>
                <w:kern w:val="0"/>
                <w:sz w:val="21"/>
                <w:szCs w:val="21"/>
                <w:vertAlign w:val="superscript"/>
              </w:rPr>
              <w:t>3</w:t>
            </w:r>
          </w:p>
        </w:tc>
        <w:tc>
          <w:tcPr>
            <w:tcW w:w="3395" w:type="dxa"/>
            <w:vMerge w:val="continue"/>
            <w:vAlign w:val="center"/>
          </w:tcPr>
          <w:p w14:paraId="36A8B77A">
            <w:pPr>
              <w:widowControl/>
              <w:snapToGrid w:val="0"/>
              <w:spacing w:line="240" w:lineRule="auto"/>
              <w:ind w:firstLine="0" w:firstLineChars="0"/>
              <w:jc w:val="center"/>
              <w:rPr>
                <w:rFonts w:cs="Times New Roman"/>
                <w:kern w:val="0"/>
                <w:sz w:val="21"/>
                <w:szCs w:val="21"/>
              </w:rPr>
            </w:pPr>
          </w:p>
        </w:tc>
      </w:tr>
      <w:tr w14:paraId="0C411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60" w:type="dxa"/>
            <w:vMerge w:val="restart"/>
            <w:tcMar>
              <w:left w:w="57" w:type="dxa"/>
              <w:right w:w="57" w:type="dxa"/>
            </w:tcMar>
            <w:vAlign w:val="center"/>
          </w:tcPr>
          <w:p w14:paraId="71AD9E1E">
            <w:pPr>
              <w:widowControl/>
              <w:snapToGrid w:val="0"/>
              <w:spacing w:line="240" w:lineRule="auto"/>
              <w:ind w:firstLine="0" w:firstLineChars="0"/>
              <w:jc w:val="center"/>
              <w:rPr>
                <w:rFonts w:cs="Times New Roman"/>
                <w:bCs/>
                <w:kern w:val="0"/>
                <w:sz w:val="21"/>
                <w:szCs w:val="21"/>
              </w:rPr>
            </w:pPr>
            <w:r>
              <w:rPr>
                <w:rFonts w:cs="Times New Roman"/>
                <w:kern w:val="0"/>
                <w:sz w:val="21"/>
                <w:szCs w:val="21"/>
              </w:rPr>
              <w:t>Cl</w:t>
            </w:r>
            <w:r>
              <w:rPr>
                <w:rFonts w:cs="Times New Roman"/>
                <w:kern w:val="0"/>
                <w:sz w:val="21"/>
                <w:szCs w:val="21"/>
                <w:vertAlign w:val="subscript"/>
              </w:rPr>
              <w:t>2</w:t>
            </w:r>
          </w:p>
        </w:tc>
        <w:tc>
          <w:tcPr>
            <w:tcW w:w="1704" w:type="dxa"/>
            <w:vAlign w:val="center"/>
          </w:tcPr>
          <w:p w14:paraId="610E2B1D">
            <w:pPr>
              <w:widowControl/>
              <w:snapToGrid w:val="0"/>
              <w:spacing w:line="240" w:lineRule="auto"/>
              <w:ind w:firstLine="0" w:firstLineChars="0"/>
              <w:jc w:val="center"/>
              <w:rPr>
                <w:rFonts w:cs="Times New Roman"/>
                <w:kern w:val="0"/>
                <w:sz w:val="21"/>
                <w:szCs w:val="21"/>
              </w:rPr>
            </w:pPr>
            <w:r>
              <w:rPr>
                <w:rFonts w:cs="Times New Roman"/>
                <w:kern w:val="0"/>
                <w:sz w:val="21"/>
                <w:szCs w:val="21"/>
              </w:rPr>
              <w:t>一次</w:t>
            </w:r>
          </w:p>
        </w:tc>
        <w:tc>
          <w:tcPr>
            <w:tcW w:w="2012" w:type="dxa"/>
            <w:vAlign w:val="center"/>
          </w:tcPr>
          <w:p w14:paraId="53CD30AB">
            <w:pPr>
              <w:widowControl/>
              <w:snapToGrid w:val="0"/>
              <w:spacing w:line="240" w:lineRule="auto"/>
              <w:ind w:firstLine="0" w:firstLineChars="0"/>
              <w:jc w:val="center"/>
              <w:rPr>
                <w:rFonts w:cs="Times New Roman"/>
                <w:kern w:val="0"/>
                <w:sz w:val="21"/>
                <w:szCs w:val="21"/>
              </w:rPr>
            </w:pPr>
            <w:r>
              <w:rPr>
                <w:rFonts w:cs="Times New Roman"/>
                <w:kern w:val="0"/>
                <w:sz w:val="21"/>
                <w:szCs w:val="21"/>
              </w:rPr>
              <w:t>100μ</w:t>
            </w:r>
            <w:r>
              <w:rPr>
                <w:rFonts w:cs="Times New Roman"/>
                <w:bCs/>
                <w:kern w:val="0"/>
                <w:sz w:val="21"/>
                <w:szCs w:val="21"/>
              </w:rPr>
              <w:t>g/m</w:t>
            </w:r>
            <w:r>
              <w:rPr>
                <w:rFonts w:cs="Times New Roman"/>
                <w:bCs/>
                <w:kern w:val="0"/>
                <w:sz w:val="21"/>
                <w:szCs w:val="21"/>
                <w:vertAlign w:val="superscript"/>
              </w:rPr>
              <w:t>3</w:t>
            </w:r>
          </w:p>
        </w:tc>
        <w:tc>
          <w:tcPr>
            <w:tcW w:w="3395" w:type="dxa"/>
            <w:vMerge w:val="continue"/>
            <w:vAlign w:val="center"/>
          </w:tcPr>
          <w:p w14:paraId="764905A7">
            <w:pPr>
              <w:widowControl/>
              <w:snapToGrid w:val="0"/>
              <w:spacing w:line="240" w:lineRule="auto"/>
              <w:ind w:firstLine="0" w:firstLineChars="0"/>
              <w:jc w:val="center"/>
              <w:rPr>
                <w:rFonts w:cs="Times New Roman"/>
                <w:kern w:val="0"/>
                <w:sz w:val="21"/>
                <w:szCs w:val="21"/>
              </w:rPr>
            </w:pPr>
          </w:p>
        </w:tc>
      </w:tr>
      <w:tr w14:paraId="1FD36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60" w:type="dxa"/>
            <w:vMerge w:val="continue"/>
            <w:tcMar>
              <w:left w:w="57" w:type="dxa"/>
              <w:right w:w="57" w:type="dxa"/>
            </w:tcMar>
            <w:vAlign w:val="center"/>
          </w:tcPr>
          <w:p w14:paraId="1FDB12DF">
            <w:pPr>
              <w:widowControl/>
              <w:snapToGrid w:val="0"/>
              <w:spacing w:line="240" w:lineRule="auto"/>
              <w:ind w:firstLine="0" w:firstLineChars="0"/>
              <w:jc w:val="center"/>
              <w:rPr>
                <w:rFonts w:cs="Times New Roman"/>
                <w:kern w:val="0"/>
                <w:sz w:val="21"/>
                <w:szCs w:val="21"/>
              </w:rPr>
            </w:pPr>
          </w:p>
        </w:tc>
        <w:tc>
          <w:tcPr>
            <w:tcW w:w="1704" w:type="dxa"/>
            <w:vAlign w:val="center"/>
          </w:tcPr>
          <w:p w14:paraId="6F44A902">
            <w:pPr>
              <w:widowControl/>
              <w:snapToGrid w:val="0"/>
              <w:spacing w:line="240" w:lineRule="auto"/>
              <w:ind w:firstLine="0" w:firstLineChars="0"/>
              <w:jc w:val="center"/>
              <w:rPr>
                <w:rFonts w:cs="Times New Roman"/>
                <w:kern w:val="0"/>
                <w:sz w:val="21"/>
                <w:szCs w:val="21"/>
              </w:rPr>
            </w:pPr>
            <w:r>
              <w:rPr>
                <w:rFonts w:cs="Times New Roman"/>
                <w:kern w:val="0"/>
                <w:sz w:val="21"/>
                <w:szCs w:val="21"/>
              </w:rPr>
              <w:t>日平均</w:t>
            </w:r>
          </w:p>
        </w:tc>
        <w:tc>
          <w:tcPr>
            <w:tcW w:w="2012" w:type="dxa"/>
            <w:vAlign w:val="center"/>
          </w:tcPr>
          <w:p w14:paraId="2BC5BF77">
            <w:pPr>
              <w:widowControl/>
              <w:snapToGrid w:val="0"/>
              <w:spacing w:line="240" w:lineRule="auto"/>
              <w:ind w:firstLine="0" w:firstLineChars="0"/>
              <w:jc w:val="center"/>
              <w:rPr>
                <w:rFonts w:cs="Times New Roman"/>
                <w:kern w:val="0"/>
                <w:sz w:val="21"/>
                <w:szCs w:val="21"/>
              </w:rPr>
            </w:pPr>
            <w:r>
              <w:rPr>
                <w:rFonts w:cs="Times New Roman"/>
                <w:kern w:val="0"/>
                <w:sz w:val="21"/>
                <w:szCs w:val="21"/>
              </w:rPr>
              <w:t>30μ</w:t>
            </w:r>
            <w:r>
              <w:rPr>
                <w:rFonts w:cs="Times New Roman"/>
                <w:bCs/>
                <w:kern w:val="0"/>
                <w:sz w:val="21"/>
                <w:szCs w:val="21"/>
              </w:rPr>
              <w:t>g/m</w:t>
            </w:r>
            <w:r>
              <w:rPr>
                <w:rFonts w:cs="Times New Roman"/>
                <w:bCs/>
                <w:kern w:val="0"/>
                <w:sz w:val="21"/>
                <w:szCs w:val="21"/>
                <w:vertAlign w:val="superscript"/>
              </w:rPr>
              <w:t>3</w:t>
            </w:r>
          </w:p>
        </w:tc>
        <w:tc>
          <w:tcPr>
            <w:tcW w:w="3395" w:type="dxa"/>
            <w:vMerge w:val="continue"/>
            <w:vAlign w:val="center"/>
          </w:tcPr>
          <w:p w14:paraId="2BBE747D">
            <w:pPr>
              <w:widowControl/>
              <w:snapToGrid w:val="0"/>
              <w:spacing w:line="240" w:lineRule="auto"/>
              <w:ind w:firstLine="0" w:firstLineChars="0"/>
              <w:jc w:val="center"/>
              <w:rPr>
                <w:rFonts w:cs="Times New Roman"/>
                <w:kern w:val="0"/>
                <w:sz w:val="21"/>
                <w:szCs w:val="21"/>
              </w:rPr>
            </w:pPr>
          </w:p>
        </w:tc>
      </w:tr>
    </w:tbl>
    <w:p w14:paraId="675C6233">
      <w:pPr>
        <w:spacing w:line="240" w:lineRule="auto"/>
      </w:pPr>
      <w:bookmarkStart w:id="67" w:name="_Toc24448"/>
    </w:p>
    <w:p w14:paraId="4FE97F97">
      <w:pPr>
        <w:pStyle w:val="6"/>
        <w:ind w:firstLine="482"/>
      </w:pPr>
      <w:r>
        <w:rPr>
          <w:rFonts w:hint="eastAsia"/>
        </w:rPr>
        <w:t>污染物排放标准</w:t>
      </w:r>
      <w:bookmarkEnd w:id="67"/>
    </w:p>
    <w:p w14:paraId="16DC8449">
      <w:pPr>
        <w:ind w:firstLine="480"/>
      </w:pPr>
      <w:r>
        <w:rPr>
          <w:rFonts w:hint="eastAsia"/>
        </w:rPr>
        <w:t>本项目</w:t>
      </w:r>
      <w:r>
        <w:rPr>
          <w:rFonts w:hint="eastAsia"/>
          <w:lang w:val="en-US" w:eastAsia="zh-CN"/>
        </w:rPr>
        <w:t>氯酸钠、氯酸钾、高氯酸钠、高氯酸钾、高氯酸锂等</w:t>
      </w:r>
      <w:r>
        <w:rPr>
          <w:rFonts w:hint="eastAsia"/>
        </w:rPr>
        <w:t>产品均属于无机盐制造。因此，有组织排放氯气、氯化氢、颗粒物排放执行《无机化学工业污染物排放标准》（GB31573-2015）表3标准。氯化氢、氯气无组织排放执行《无机化学工业污染物排放标准》（GB31573-2015）表5标准；颗粒物无组织排放执行《大气污染物综合排放标准》（GB16297-1996）表2中的无组织排放的监控浓度限值。具体标准限值详见下表。</w:t>
      </w:r>
    </w:p>
    <w:p w14:paraId="4280C72C">
      <w:pPr>
        <w:pStyle w:val="43"/>
        <w:rPr>
          <w:rFonts w:hint="default"/>
        </w:rPr>
      </w:pPr>
      <w:r>
        <w:t>大气污染物排放限值</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9"/>
        <w:gridCol w:w="972"/>
        <w:gridCol w:w="1226"/>
        <w:gridCol w:w="1138"/>
        <w:gridCol w:w="4217"/>
      </w:tblGrid>
      <w:tr w14:paraId="12FC0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0" w:type="auto"/>
            <w:vAlign w:val="center"/>
          </w:tcPr>
          <w:p w14:paraId="32E98743">
            <w:pPr>
              <w:pStyle w:val="45"/>
              <w:rPr>
                <w:rFonts w:hint="default"/>
                <w:b/>
                <w:bCs/>
              </w:rPr>
            </w:pPr>
            <w:r>
              <w:rPr>
                <w:b/>
                <w:bCs/>
              </w:rPr>
              <w:t>排放形式</w:t>
            </w:r>
          </w:p>
        </w:tc>
        <w:tc>
          <w:tcPr>
            <w:tcW w:w="0" w:type="auto"/>
            <w:vAlign w:val="center"/>
          </w:tcPr>
          <w:p w14:paraId="62554A6B">
            <w:pPr>
              <w:pStyle w:val="45"/>
              <w:rPr>
                <w:rFonts w:hint="default"/>
                <w:b/>
                <w:bCs/>
              </w:rPr>
            </w:pPr>
            <w:r>
              <w:rPr>
                <w:b/>
                <w:bCs/>
              </w:rPr>
              <w:t>污染物项目</w:t>
            </w:r>
          </w:p>
        </w:tc>
        <w:tc>
          <w:tcPr>
            <w:tcW w:w="0" w:type="auto"/>
            <w:vAlign w:val="center"/>
          </w:tcPr>
          <w:p w14:paraId="578A8F8B">
            <w:pPr>
              <w:pStyle w:val="45"/>
              <w:rPr>
                <w:rFonts w:hint="default"/>
                <w:b/>
                <w:bCs/>
              </w:rPr>
            </w:pPr>
            <w:r>
              <w:rPr>
                <w:b/>
                <w:bCs/>
              </w:rPr>
              <w:t>排放速率 kg/h</w:t>
            </w:r>
          </w:p>
        </w:tc>
        <w:tc>
          <w:tcPr>
            <w:tcW w:w="0" w:type="auto"/>
            <w:vAlign w:val="center"/>
          </w:tcPr>
          <w:p w14:paraId="4A2D984D">
            <w:pPr>
              <w:pStyle w:val="45"/>
              <w:rPr>
                <w:rFonts w:hint="default"/>
                <w:b/>
                <w:bCs/>
              </w:rPr>
            </w:pPr>
            <w:r>
              <w:rPr>
                <w:b/>
                <w:bCs/>
              </w:rPr>
              <w:t>限值 mg/m</w:t>
            </w:r>
            <w:r>
              <w:rPr>
                <w:b/>
                <w:bCs/>
                <w:vertAlign w:val="superscript"/>
              </w:rPr>
              <w:t>3</w:t>
            </w:r>
          </w:p>
        </w:tc>
        <w:tc>
          <w:tcPr>
            <w:tcW w:w="0" w:type="auto"/>
            <w:vAlign w:val="center"/>
          </w:tcPr>
          <w:p w14:paraId="230F5F99">
            <w:pPr>
              <w:pStyle w:val="45"/>
              <w:rPr>
                <w:rFonts w:hint="default"/>
                <w:b/>
                <w:bCs/>
              </w:rPr>
            </w:pPr>
            <w:r>
              <w:rPr>
                <w:b/>
                <w:bCs/>
              </w:rPr>
              <w:t>标准来源</w:t>
            </w:r>
          </w:p>
        </w:tc>
      </w:tr>
      <w:tr w14:paraId="34D85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vAlign w:val="center"/>
          </w:tcPr>
          <w:p w14:paraId="690A9523">
            <w:pPr>
              <w:pStyle w:val="45"/>
              <w:rPr>
                <w:rFonts w:hint="default"/>
              </w:rPr>
            </w:pPr>
            <w:r>
              <w:t>有组织排放</w:t>
            </w:r>
          </w:p>
        </w:tc>
        <w:tc>
          <w:tcPr>
            <w:tcW w:w="0" w:type="auto"/>
            <w:vAlign w:val="center"/>
          </w:tcPr>
          <w:p w14:paraId="74EA8694">
            <w:pPr>
              <w:pStyle w:val="45"/>
              <w:rPr>
                <w:rFonts w:hint="default"/>
              </w:rPr>
            </w:pPr>
            <w:r>
              <w:t>氯气</w:t>
            </w:r>
          </w:p>
        </w:tc>
        <w:tc>
          <w:tcPr>
            <w:tcW w:w="0" w:type="auto"/>
            <w:vAlign w:val="center"/>
          </w:tcPr>
          <w:p w14:paraId="3053DC44">
            <w:pPr>
              <w:pStyle w:val="45"/>
              <w:rPr>
                <w:rFonts w:hint="default"/>
              </w:rPr>
            </w:pPr>
            <w:r>
              <w:t>/</w:t>
            </w:r>
          </w:p>
        </w:tc>
        <w:tc>
          <w:tcPr>
            <w:tcW w:w="0" w:type="auto"/>
            <w:vAlign w:val="center"/>
          </w:tcPr>
          <w:p w14:paraId="2B1AA39F">
            <w:pPr>
              <w:pStyle w:val="45"/>
              <w:rPr>
                <w:rFonts w:hint="default"/>
              </w:rPr>
            </w:pPr>
            <w:r>
              <w:t>8</w:t>
            </w:r>
          </w:p>
        </w:tc>
        <w:tc>
          <w:tcPr>
            <w:tcW w:w="0" w:type="auto"/>
            <w:vMerge w:val="restart"/>
            <w:vAlign w:val="center"/>
          </w:tcPr>
          <w:p w14:paraId="72FDA519">
            <w:pPr>
              <w:pStyle w:val="45"/>
              <w:rPr>
                <w:rFonts w:hint="default"/>
              </w:rPr>
            </w:pPr>
            <w:r>
              <w:t>《无机化学工业污染物排放标准》（GB31573-2015）表3</w:t>
            </w:r>
          </w:p>
        </w:tc>
      </w:tr>
      <w:tr w14:paraId="08F66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59475397">
            <w:pPr>
              <w:pStyle w:val="45"/>
              <w:rPr>
                <w:rFonts w:hint="default"/>
              </w:rPr>
            </w:pPr>
          </w:p>
        </w:tc>
        <w:tc>
          <w:tcPr>
            <w:tcW w:w="0" w:type="auto"/>
            <w:vAlign w:val="center"/>
          </w:tcPr>
          <w:p w14:paraId="6E6E5390">
            <w:pPr>
              <w:pStyle w:val="45"/>
              <w:rPr>
                <w:rFonts w:hint="default"/>
              </w:rPr>
            </w:pPr>
            <w:r>
              <w:t>氯化氢</w:t>
            </w:r>
          </w:p>
        </w:tc>
        <w:tc>
          <w:tcPr>
            <w:tcW w:w="0" w:type="auto"/>
            <w:vAlign w:val="center"/>
          </w:tcPr>
          <w:p w14:paraId="7CCAF844">
            <w:pPr>
              <w:pStyle w:val="45"/>
              <w:rPr>
                <w:rFonts w:hint="default"/>
              </w:rPr>
            </w:pPr>
            <w:r>
              <w:t>/</w:t>
            </w:r>
          </w:p>
        </w:tc>
        <w:tc>
          <w:tcPr>
            <w:tcW w:w="0" w:type="auto"/>
            <w:vAlign w:val="center"/>
          </w:tcPr>
          <w:p w14:paraId="71BFB93E">
            <w:pPr>
              <w:pStyle w:val="45"/>
              <w:rPr>
                <w:rFonts w:hint="default"/>
              </w:rPr>
            </w:pPr>
            <w:r>
              <w:t>20</w:t>
            </w:r>
          </w:p>
        </w:tc>
        <w:tc>
          <w:tcPr>
            <w:tcW w:w="0" w:type="auto"/>
            <w:vMerge w:val="continue"/>
            <w:vAlign w:val="center"/>
          </w:tcPr>
          <w:p w14:paraId="3F8F1123">
            <w:pPr>
              <w:pStyle w:val="45"/>
              <w:rPr>
                <w:rFonts w:hint="default"/>
              </w:rPr>
            </w:pPr>
          </w:p>
        </w:tc>
      </w:tr>
      <w:tr w14:paraId="40B91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50F731E5">
            <w:pPr>
              <w:pStyle w:val="45"/>
              <w:rPr>
                <w:rFonts w:hint="default"/>
              </w:rPr>
            </w:pPr>
          </w:p>
        </w:tc>
        <w:tc>
          <w:tcPr>
            <w:tcW w:w="0" w:type="auto"/>
            <w:vAlign w:val="center"/>
          </w:tcPr>
          <w:p w14:paraId="73CF7AF8">
            <w:pPr>
              <w:pStyle w:val="45"/>
              <w:rPr>
                <w:rFonts w:hint="default"/>
              </w:rPr>
            </w:pPr>
            <w:r>
              <w:t>颗粒物</w:t>
            </w:r>
          </w:p>
        </w:tc>
        <w:tc>
          <w:tcPr>
            <w:tcW w:w="0" w:type="auto"/>
            <w:vAlign w:val="center"/>
          </w:tcPr>
          <w:p w14:paraId="13DAD69C">
            <w:pPr>
              <w:pStyle w:val="45"/>
              <w:rPr>
                <w:rFonts w:hint="default"/>
              </w:rPr>
            </w:pPr>
            <w:r>
              <w:t>/</w:t>
            </w:r>
          </w:p>
        </w:tc>
        <w:tc>
          <w:tcPr>
            <w:tcW w:w="0" w:type="auto"/>
            <w:vAlign w:val="center"/>
          </w:tcPr>
          <w:p w14:paraId="5638CC35">
            <w:pPr>
              <w:pStyle w:val="45"/>
              <w:rPr>
                <w:rFonts w:hint="default"/>
              </w:rPr>
            </w:pPr>
            <w:r>
              <w:t>30</w:t>
            </w:r>
          </w:p>
        </w:tc>
        <w:tc>
          <w:tcPr>
            <w:tcW w:w="0" w:type="auto"/>
            <w:vMerge w:val="continue"/>
            <w:vAlign w:val="center"/>
          </w:tcPr>
          <w:p w14:paraId="19EDDEDC">
            <w:pPr>
              <w:pStyle w:val="45"/>
              <w:rPr>
                <w:rFonts w:hint="default"/>
              </w:rPr>
            </w:pPr>
          </w:p>
        </w:tc>
      </w:tr>
      <w:tr w14:paraId="4B3E4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vMerge w:val="restart"/>
            <w:vAlign w:val="center"/>
          </w:tcPr>
          <w:p w14:paraId="3A29A11E">
            <w:pPr>
              <w:pStyle w:val="45"/>
              <w:rPr>
                <w:rFonts w:hint="default"/>
              </w:rPr>
            </w:pPr>
            <w:r>
              <w:t>无组织排放</w:t>
            </w:r>
          </w:p>
        </w:tc>
        <w:tc>
          <w:tcPr>
            <w:tcW w:w="0" w:type="auto"/>
            <w:vAlign w:val="center"/>
          </w:tcPr>
          <w:p w14:paraId="00BA153E">
            <w:pPr>
              <w:pStyle w:val="45"/>
              <w:rPr>
                <w:rFonts w:hint="default"/>
              </w:rPr>
            </w:pPr>
            <w:r>
              <w:t>氯气</w:t>
            </w:r>
          </w:p>
        </w:tc>
        <w:tc>
          <w:tcPr>
            <w:tcW w:w="0" w:type="auto"/>
            <w:vAlign w:val="center"/>
          </w:tcPr>
          <w:p w14:paraId="0DDA95AF">
            <w:pPr>
              <w:pStyle w:val="45"/>
              <w:rPr>
                <w:rFonts w:hint="default"/>
              </w:rPr>
            </w:pPr>
            <w:r>
              <w:t>/</w:t>
            </w:r>
          </w:p>
        </w:tc>
        <w:tc>
          <w:tcPr>
            <w:tcW w:w="0" w:type="auto"/>
            <w:vAlign w:val="center"/>
          </w:tcPr>
          <w:p w14:paraId="68CFB0A5">
            <w:pPr>
              <w:pStyle w:val="45"/>
              <w:rPr>
                <w:rFonts w:hint="default"/>
              </w:rPr>
            </w:pPr>
            <w:r>
              <w:t>0.1</w:t>
            </w:r>
          </w:p>
        </w:tc>
        <w:tc>
          <w:tcPr>
            <w:tcW w:w="0" w:type="auto"/>
            <w:vMerge w:val="restart"/>
            <w:vAlign w:val="center"/>
          </w:tcPr>
          <w:p w14:paraId="26125D76">
            <w:pPr>
              <w:pStyle w:val="45"/>
              <w:rPr>
                <w:rFonts w:hint="default"/>
              </w:rPr>
            </w:pPr>
            <w:r>
              <w:rPr>
                <w:rFonts w:hint="default"/>
              </w:rPr>
              <w:t>《无机化学工业污染物排放标准》（GB31573-2015）表</w:t>
            </w:r>
            <w:r>
              <w:t>5</w:t>
            </w:r>
          </w:p>
        </w:tc>
      </w:tr>
      <w:tr w14:paraId="6D1CB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7445D562">
            <w:pPr>
              <w:pStyle w:val="45"/>
              <w:rPr>
                <w:rFonts w:hint="default"/>
              </w:rPr>
            </w:pPr>
          </w:p>
        </w:tc>
        <w:tc>
          <w:tcPr>
            <w:tcW w:w="0" w:type="auto"/>
            <w:vAlign w:val="center"/>
          </w:tcPr>
          <w:p w14:paraId="45B7D6E8">
            <w:pPr>
              <w:pStyle w:val="45"/>
              <w:rPr>
                <w:rFonts w:hint="default"/>
              </w:rPr>
            </w:pPr>
            <w:r>
              <w:t>氯化氢</w:t>
            </w:r>
          </w:p>
        </w:tc>
        <w:tc>
          <w:tcPr>
            <w:tcW w:w="0" w:type="auto"/>
            <w:vAlign w:val="center"/>
          </w:tcPr>
          <w:p w14:paraId="7552FEF1">
            <w:pPr>
              <w:pStyle w:val="45"/>
              <w:rPr>
                <w:rFonts w:hint="default"/>
              </w:rPr>
            </w:pPr>
            <w:r>
              <w:t>/</w:t>
            </w:r>
          </w:p>
        </w:tc>
        <w:tc>
          <w:tcPr>
            <w:tcW w:w="0" w:type="auto"/>
            <w:vAlign w:val="center"/>
          </w:tcPr>
          <w:p w14:paraId="6A680F1D">
            <w:pPr>
              <w:pStyle w:val="45"/>
              <w:rPr>
                <w:rFonts w:hint="default"/>
              </w:rPr>
            </w:pPr>
            <w:r>
              <w:t>0.05</w:t>
            </w:r>
          </w:p>
        </w:tc>
        <w:tc>
          <w:tcPr>
            <w:tcW w:w="0" w:type="auto"/>
            <w:vMerge w:val="continue"/>
            <w:vAlign w:val="center"/>
          </w:tcPr>
          <w:p w14:paraId="586D755F">
            <w:pPr>
              <w:pStyle w:val="45"/>
              <w:rPr>
                <w:rFonts w:hint="default"/>
              </w:rPr>
            </w:pPr>
          </w:p>
        </w:tc>
      </w:tr>
      <w:tr w14:paraId="30CCA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60D9ADCB">
            <w:pPr>
              <w:pStyle w:val="45"/>
              <w:rPr>
                <w:rFonts w:hint="default"/>
              </w:rPr>
            </w:pPr>
          </w:p>
        </w:tc>
        <w:tc>
          <w:tcPr>
            <w:tcW w:w="0" w:type="auto"/>
            <w:vAlign w:val="center"/>
          </w:tcPr>
          <w:p w14:paraId="049E433F">
            <w:pPr>
              <w:pStyle w:val="45"/>
              <w:rPr>
                <w:rFonts w:hint="default"/>
              </w:rPr>
            </w:pPr>
            <w:r>
              <w:t>颗粒物</w:t>
            </w:r>
          </w:p>
        </w:tc>
        <w:tc>
          <w:tcPr>
            <w:tcW w:w="0" w:type="auto"/>
            <w:vAlign w:val="center"/>
          </w:tcPr>
          <w:p w14:paraId="01AEF3FA">
            <w:pPr>
              <w:pStyle w:val="45"/>
              <w:rPr>
                <w:rFonts w:hint="default"/>
              </w:rPr>
            </w:pPr>
            <w:r>
              <w:t>/</w:t>
            </w:r>
          </w:p>
        </w:tc>
        <w:tc>
          <w:tcPr>
            <w:tcW w:w="0" w:type="auto"/>
            <w:vAlign w:val="center"/>
          </w:tcPr>
          <w:p w14:paraId="7B829483">
            <w:pPr>
              <w:pStyle w:val="45"/>
              <w:rPr>
                <w:rFonts w:hint="default"/>
              </w:rPr>
            </w:pPr>
            <w:r>
              <w:t>1.0</w:t>
            </w:r>
          </w:p>
        </w:tc>
        <w:tc>
          <w:tcPr>
            <w:tcW w:w="0" w:type="auto"/>
            <w:vAlign w:val="center"/>
          </w:tcPr>
          <w:p w14:paraId="4DB02472">
            <w:pPr>
              <w:pStyle w:val="45"/>
              <w:rPr>
                <w:rFonts w:hint="default"/>
              </w:rPr>
            </w:pPr>
            <w:r>
              <w:rPr>
                <w:rFonts w:hint="default"/>
              </w:rPr>
              <w:t>《大气污染物综合排放标准》（GB16297-1996）表2</w:t>
            </w:r>
          </w:p>
        </w:tc>
      </w:tr>
    </w:tbl>
    <w:p w14:paraId="1C7523DB">
      <w:pPr>
        <w:ind w:firstLine="0" w:firstLineChars="0"/>
      </w:pPr>
    </w:p>
    <w:p w14:paraId="732EEC94">
      <w:pPr>
        <w:pStyle w:val="4"/>
      </w:pPr>
      <w:bookmarkStart w:id="68" w:name="_Toc889"/>
      <w:r>
        <w:rPr>
          <w:rFonts w:hint="eastAsia"/>
        </w:rPr>
        <w:t>地表水环境功能区划及相关标准</w:t>
      </w:r>
      <w:bookmarkEnd w:id="68"/>
    </w:p>
    <w:p w14:paraId="4C912BA9">
      <w:pPr>
        <w:pStyle w:val="6"/>
        <w:ind w:firstLine="482"/>
      </w:pPr>
      <w:bookmarkStart w:id="69" w:name="_Toc13056"/>
      <w:r>
        <w:rPr>
          <w:rFonts w:hint="eastAsia"/>
        </w:rPr>
        <w:t>环境功能区划及相关质量标准</w:t>
      </w:r>
      <w:bookmarkEnd w:id="69"/>
    </w:p>
    <w:p w14:paraId="49AFA403">
      <w:pPr>
        <w:ind w:firstLine="480"/>
      </w:pPr>
      <w:r>
        <w:rPr>
          <w:rFonts w:hint="eastAsia"/>
        </w:rPr>
        <w:t>根据《湖南省主要地表水系水环境功能区划》（DB43/023-2005），蒸水口至大浦镇师塘村上游6000m共22.4km湘江段为工业用水区，执行《地表水环境质量标准》（GB3838-2002）中的Ⅲ类标准。环境功能水质标准限值详见下表。</w:t>
      </w:r>
    </w:p>
    <w:p w14:paraId="1E8D4D1D">
      <w:pPr>
        <w:pStyle w:val="43"/>
        <w:rPr>
          <w:rFonts w:hint="default"/>
        </w:rPr>
      </w:pPr>
      <w:r>
        <w:t>地表水环境质量标准（mg/L，pH无量纲）</w:t>
      </w:r>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1347"/>
        <w:gridCol w:w="838"/>
        <w:gridCol w:w="823"/>
        <w:gridCol w:w="785"/>
        <w:gridCol w:w="1362"/>
        <w:gridCol w:w="954"/>
        <w:gridCol w:w="785"/>
        <w:gridCol w:w="785"/>
      </w:tblGrid>
      <w:tr w14:paraId="6E6AA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92" w:type="dxa"/>
            <w:tcMar>
              <w:left w:w="57" w:type="dxa"/>
              <w:right w:w="57" w:type="dxa"/>
            </w:tcMar>
            <w:vAlign w:val="center"/>
          </w:tcPr>
          <w:p w14:paraId="32EF0045">
            <w:pPr>
              <w:pStyle w:val="45"/>
              <w:rPr>
                <w:rFonts w:hint="default"/>
                <w:b/>
                <w:bCs/>
              </w:rPr>
            </w:pPr>
            <w:r>
              <w:rPr>
                <w:b/>
                <w:bCs/>
              </w:rPr>
              <w:t>项目</w:t>
            </w:r>
          </w:p>
        </w:tc>
        <w:tc>
          <w:tcPr>
            <w:tcW w:w="1346" w:type="dxa"/>
            <w:vAlign w:val="center"/>
          </w:tcPr>
          <w:p w14:paraId="27F7F299">
            <w:pPr>
              <w:pStyle w:val="45"/>
              <w:rPr>
                <w:rFonts w:hint="default"/>
                <w:b/>
                <w:bCs/>
              </w:rPr>
            </w:pPr>
            <w:r>
              <w:rPr>
                <w:b/>
                <w:bCs/>
              </w:rPr>
              <w:t>pH</w:t>
            </w:r>
          </w:p>
        </w:tc>
        <w:tc>
          <w:tcPr>
            <w:tcW w:w="0" w:type="auto"/>
            <w:vAlign w:val="center"/>
          </w:tcPr>
          <w:p w14:paraId="2C942DD9">
            <w:pPr>
              <w:pStyle w:val="45"/>
              <w:rPr>
                <w:rFonts w:hint="default"/>
                <w:b/>
                <w:bCs/>
              </w:rPr>
            </w:pPr>
            <w:r>
              <w:rPr>
                <w:b/>
                <w:bCs/>
              </w:rPr>
              <w:t>COD</w:t>
            </w:r>
            <w:r>
              <w:rPr>
                <w:b/>
                <w:bCs/>
                <w:vertAlign w:val="subscript"/>
              </w:rPr>
              <w:t>cr</w:t>
            </w:r>
          </w:p>
        </w:tc>
        <w:tc>
          <w:tcPr>
            <w:tcW w:w="0" w:type="auto"/>
            <w:vAlign w:val="center"/>
          </w:tcPr>
          <w:p w14:paraId="1A967067">
            <w:pPr>
              <w:pStyle w:val="45"/>
              <w:rPr>
                <w:rFonts w:hint="default"/>
                <w:b/>
                <w:bCs/>
              </w:rPr>
            </w:pPr>
            <w:r>
              <w:rPr>
                <w:b/>
                <w:bCs/>
              </w:rPr>
              <w:t>BOD</w:t>
            </w:r>
            <w:r>
              <w:rPr>
                <w:b/>
                <w:bCs/>
                <w:vertAlign w:val="subscript"/>
              </w:rPr>
              <w:t>5</w:t>
            </w:r>
          </w:p>
        </w:tc>
        <w:tc>
          <w:tcPr>
            <w:tcW w:w="0" w:type="auto"/>
            <w:vAlign w:val="center"/>
          </w:tcPr>
          <w:p w14:paraId="613BD973">
            <w:pPr>
              <w:pStyle w:val="45"/>
              <w:rPr>
                <w:rFonts w:hint="default"/>
                <w:b/>
                <w:bCs/>
              </w:rPr>
            </w:pPr>
            <w:r>
              <w:rPr>
                <w:b/>
                <w:bCs/>
              </w:rPr>
              <w:t>溶解氧</w:t>
            </w:r>
          </w:p>
        </w:tc>
        <w:tc>
          <w:tcPr>
            <w:tcW w:w="0" w:type="auto"/>
            <w:vAlign w:val="center"/>
          </w:tcPr>
          <w:p w14:paraId="6C0841F0">
            <w:pPr>
              <w:pStyle w:val="45"/>
              <w:rPr>
                <w:rFonts w:hint="default"/>
                <w:b/>
                <w:bCs/>
              </w:rPr>
            </w:pPr>
            <w:r>
              <w:rPr>
                <w:b/>
                <w:bCs/>
              </w:rPr>
              <w:t>氨氮</w:t>
            </w:r>
          </w:p>
        </w:tc>
        <w:tc>
          <w:tcPr>
            <w:tcW w:w="0" w:type="auto"/>
            <w:vAlign w:val="center"/>
          </w:tcPr>
          <w:p w14:paraId="7A922D9C">
            <w:pPr>
              <w:pStyle w:val="45"/>
              <w:rPr>
                <w:rFonts w:hint="default"/>
                <w:b/>
                <w:bCs/>
              </w:rPr>
            </w:pPr>
            <w:r>
              <w:rPr>
                <w:b/>
                <w:bCs/>
              </w:rPr>
              <w:t>总磷</w:t>
            </w:r>
          </w:p>
        </w:tc>
        <w:tc>
          <w:tcPr>
            <w:tcW w:w="0" w:type="auto"/>
            <w:vAlign w:val="center"/>
          </w:tcPr>
          <w:p w14:paraId="7909C320">
            <w:pPr>
              <w:pStyle w:val="45"/>
              <w:rPr>
                <w:rFonts w:hint="default"/>
                <w:b/>
                <w:bCs/>
              </w:rPr>
            </w:pPr>
            <w:r>
              <w:rPr>
                <w:b/>
                <w:bCs/>
              </w:rPr>
              <w:t>六价铬</w:t>
            </w:r>
          </w:p>
        </w:tc>
        <w:tc>
          <w:tcPr>
            <w:tcW w:w="0" w:type="auto"/>
            <w:vAlign w:val="center"/>
          </w:tcPr>
          <w:p w14:paraId="066B8E61">
            <w:pPr>
              <w:pStyle w:val="45"/>
              <w:rPr>
                <w:rFonts w:hint="default"/>
                <w:b/>
                <w:bCs/>
              </w:rPr>
            </w:pPr>
            <w:r>
              <w:rPr>
                <w:b/>
                <w:bCs/>
              </w:rPr>
              <w:t>氰化物</w:t>
            </w:r>
          </w:p>
        </w:tc>
      </w:tr>
      <w:tr w14:paraId="46785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92" w:type="dxa"/>
            <w:tcMar>
              <w:left w:w="57" w:type="dxa"/>
              <w:right w:w="57" w:type="dxa"/>
            </w:tcMar>
            <w:vAlign w:val="center"/>
          </w:tcPr>
          <w:p w14:paraId="328B75C2">
            <w:pPr>
              <w:pStyle w:val="45"/>
              <w:rPr>
                <w:rFonts w:hint="default"/>
              </w:rPr>
            </w:pPr>
            <w:r>
              <w:t>III类</w:t>
            </w:r>
          </w:p>
        </w:tc>
        <w:tc>
          <w:tcPr>
            <w:tcW w:w="1346" w:type="dxa"/>
            <w:vAlign w:val="center"/>
          </w:tcPr>
          <w:p w14:paraId="258B8828">
            <w:pPr>
              <w:pStyle w:val="45"/>
              <w:rPr>
                <w:rFonts w:hint="default"/>
              </w:rPr>
            </w:pPr>
            <w:r>
              <w:t>6~9</w:t>
            </w:r>
          </w:p>
        </w:tc>
        <w:tc>
          <w:tcPr>
            <w:tcW w:w="0" w:type="auto"/>
            <w:vAlign w:val="center"/>
          </w:tcPr>
          <w:p w14:paraId="393B6702">
            <w:pPr>
              <w:pStyle w:val="45"/>
              <w:rPr>
                <w:rFonts w:hint="default"/>
              </w:rPr>
            </w:pPr>
            <w:r>
              <w:t>≤20</w:t>
            </w:r>
          </w:p>
        </w:tc>
        <w:tc>
          <w:tcPr>
            <w:tcW w:w="0" w:type="auto"/>
            <w:vAlign w:val="center"/>
          </w:tcPr>
          <w:p w14:paraId="3EE5D173">
            <w:pPr>
              <w:pStyle w:val="45"/>
              <w:rPr>
                <w:rFonts w:hint="default"/>
              </w:rPr>
            </w:pPr>
            <w:r>
              <w:t>≤4</w:t>
            </w:r>
          </w:p>
        </w:tc>
        <w:tc>
          <w:tcPr>
            <w:tcW w:w="0" w:type="auto"/>
            <w:vAlign w:val="center"/>
          </w:tcPr>
          <w:p w14:paraId="33026E04">
            <w:pPr>
              <w:pStyle w:val="45"/>
              <w:rPr>
                <w:rFonts w:hint="default"/>
              </w:rPr>
            </w:pPr>
            <w:r>
              <w:rPr>
                <w:rFonts w:hint="default"/>
              </w:rPr>
              <w:t>≥</w:t>
            </w:r>
            <w:r>
              <w:t>5</w:t>
            </w:r>
          </w:p>
        </w:tc>
        <w:tc>
          <w:tcPr>
            <w:tcW w:w="0" w:type="auto"/>
            <w:vAlign w:val="center"/>
          </w:tcPr>
          <w:p w14:paraId="15A07DD3">
            <w:pPr>
              <w:pStyle w:val="45"/>
              <w:rPr>
                <w:rFonts w:hint="default"/>
              </w:rPr>
            </w:pPr>
            <w:r>
              <w:t>≤1</w:t>
            </w:r>
          </w:p>
        </w:tc>
        <w:tc>
          <w:tcPr>
            <w:tcW w:w="0" w:type="auto"/>
            <w:vAlign w:val="center"/>
          </w:tcPr>
          <w:p w14:paraId="2D00204A">
            <w:pPr>
              <w:pStyle w:val="45"/>
              <w:rPr>
                <w:rFonts w:hint="default"/>
              </w:rPr>
            </w:pPr>
            <w:r>
              <w:t>≤0.2</w:t>
            </w:r>
          </w:p>
        </w:tc>
        <w:tc>
          <w:tcPr>
            <w:tcW w:w="0" w:type="auto"/>
            <w:vAlign w:val="center"/>
          </w:tcPr>
          <w:p w14:paraId="58270E70">
            <w:pPr>
              <w:pStyle w:val="45"/>
              <w:rPr>
                <w:rFonts w:hint="default"/>
              </w:rPr>
            </w:pPr>
            <w:r>
              <w:t>≤0.05</w:t>
            </w:r>
          </w:p>
        </w:tc>
        <w:tc>
          <w:tcPr>
            <w:tcW w:w="0" w:type="auto"/>
            <w:vAlign w:val="center"/>
          </w:tcPr>
          <w:p w14:paraId="33A91154">
            <w:pPr>
              <w:pStyle w:val="45"/>
              <w:rPr>
                <w:rFonts w:hint="default"/>
              </w:rPr>
            </w:pPr>
            <w:r>
              <w:t>≤0.2</w:t>
            </w:r>
          </w:p>
        </w:tc>
      </w:tr>
      <w:tr w14:paraId="7FC3E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92" w:type="dxa"/>
            <w:tcMar>
              <w:left w:w="57" w:type="dxa"/>
              <w:right w:w="57" w:type="dxa"/>
            </w:tcMar>
            <w:vAlign w:val="center"/>
          </w:tcPr>
          <w:p w14:paraId="0DE25DE5">
            <w:pPr>
              <w:pStyle w:val="45"/>
              <w:rPr>
                <w:rFonts w:hint="default"/>
                <w:b/>
                <w:bCs/>
              </w:rPr>
            </w:pPr>
            <w:r>
              <w:rPr>
                <w:b/>
                <w:bCs/>
              </w:rPr>
              <w:t>项目</w:t>
            </w:r>
          </w:p>
        </w:tc>
        <w:tc>
          <w:tcPr>
            <w:tcW w:w="1346" w:type="dxa"/>
            <w:vAlign w:val="center"/>
          </w:tcPr>
          <w:p w14:paraId="49CBB364">
            <w:pPr>
              <w:pStyle w:val="45"/>
              <w:rPr>
                <w:rFonts w:hint="default"/>
                <w:b/>
                <w:bCs/>
              </w:rPr>
            </w:pPr>
            <w:r>
              <w:rPr>
                <w:b/>
                <w:bCs/>
              </w:rPr>
              <w:t>阴离子表面活性剂</w:t>
            </w:r>
          </w:p>
        </w:tc>
        <w:tc>
          <w:tcPr>
            <w:tcW w:w="0" w:type="auto"/>
            <w:vAlign w:val="center"/>
          </w:tcPr>
          <w:p w14:paraId="397520C3">
            <w:pPr>
              <w:pStyle w:val="45"/>
              <w:rPr>
                <w:rFonts w:hint="default"/>
                <w:b/>
                <w:bCs/>
              </w:rPr>
            </w:pPr>
            <w:r>
              <w:rPr>
                <w:b/>
                <w:bCs/>
              </w:rPr>
              <w:t>石油类</w:t>
            </w:r>
          </w:p>
        </w:tc>
        <w:tc>
          <w:tcPr>
            <w:tcW w:w="0" w:type="auto"/>
            <w:vAlign w:val="center"/>
          </w:tcPr>
          <w:p w14:paraId="19EE9EAA">
            <w:pPr>
              <w:pStyle w:val="45"/>
              <w:rPr>
                <w:rFonts w:hint="default"/>
                <w:b/>
                <w:bCs/>
              </w:rPr>
            </w:pPr>
            <w:r>
              <w:rPr>
                <w:b/>
                <w:bCs/>
              </w:rPr>
              <w:t>硫化物</w:t>
            </w:r>
          </w:p>
        </w:tc>
        <w:tc>
          <w:tcPr>
            <w:tcW w:w="0" w:type="auto"/>
            <w:vAlign w:val="center"/>
          </w:tcPr>
          <w:p w14:paraId="109BB804">
            <w:pPr>
              <w:pStyle w:val="45"/>
              <w:rPr>
                <w:rFonts w:hint="default"/>
                <w:b/>
                <w:bCs/>
              </w:rPr>
            </w:pPr>
            <w:r>
              <w:rPr>
                <w:b/>
                <w:bCs/>
              </w:rPr>
              <w:t>氟化物</w:t>
            </w:r>
          </w:p>
        </w:tc>
        <w:tc>
          <w:tcPr>
            <w:tcW w:w="0" w:type="auto"/>
            <w:vAlign w:val="center"/>
          </w:tcPr>
          <w:p w14:paraId="3890FF58">
            <w:pPr>
              <w:pStyle w:val="45"/>
              <w:rPr>
                <w:rFonts w:hint="default"/>
                <w:b/>
                <w:bCs/>
              </w:rPr>
            </w:pPr>
            <w:r>
              <w:rPr>
                <w:b/>
                <w:bCs/>
              </w:rPr>
              <w:t>氯化物</w:t>
            </w:r>
          </w:p>
        </w:tc>
        <w:tc>
          <w:tcPr>
            <w:tcW w:w="0" w:type="auto"/>
            <w:vAlign w:val="center"/>
          </w:tcPr>
          <w:p w14:paraId="205698A4">
            <w:pPr>
              <w:pStyle w:val="45"/>
              <w:rPr>
                <w:rFonts w:hint="default"/>
                <w:b/>
                <w:bCs/>
              </w:rPr>
            </w:pPr>
            <w:r>
              <w:rPr>
                <w:b/>
                <w:bCs/>
              </w:rPr>
              <w:t>汞</w:t>
            </w:r>
          </w:p>
        </w:tc>
        <w:tc>
          <w:tcPr>
            <w:tcW w:w="0" w:type="auto"/>
            <w:vAlign w:val="center"/>
          </w:tcPr>
          <w:p w14:paraId="0185D410">
            <w:pPr>
              <w:pStyle w:val="45"/>
              <w:rPr>
                <w:rFonts w:hint="default"/>
                <w:b/>
                <w:bCs/>
              </w:rPr>
            </w:pPr>
            <w:r>
              <w:rPr>
                <w:b/>
                <w:bCs/>
              </w:rPr>
              <w:t>砷</w:t>
            </w:r>
          </w:p>
        </w:tc>
        <w:tc>
          <w:tcPr>
            <w:tcW w:w="0" w:type="auto"/>
            <w:vAlign w:val="center"/>
          </w:tcPr>
          <w:p w14:paraId="77139F10">
            <w:pPr>
              <w:pStyle w:val="45"/>
              <w:rPr>
                <w:rFonts w:hint="default"/>
                <w:b/>
                <w:bCs/>
              </w:rPr>
            </w:pPr>
            <w:r>
              <w:rPr>
                <w:b/>
                <w:bCs/>
              </w:rPr>
              <w:t>铅</w:t>
            </w:r>
          </w:p>
        </w:tc>
      </w:tr>
      <w:tr w14:paraId="0E0D1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92" w:type="dxa"/>
            <w:tcMar>
              <w:left w:w="57" w:type="dxa"/>
              <w:right w:w="57" w:type="dxa"/>
            </w:tcMar>
            <w:vAlign w:val="center"/>
          </w:tcPr>
          <w:p w14:paraId="0E6441D9">
            <w:pPr>
              <w:pStyle w:val="45"/>
              <w:rPr>
                <w:rFonts w:hint="default"/>
              </w:rPr>
            </w:pPr>
            <w:r>
              <w:t>III类</w:t>
            </w:r>
          </w:p>
        </w:tc>
        <w:tc>
          <w:tcPr>
            <w:tcW w:w="1346" w:type="dxa"/>
            <w:vAlign w:val="center"/>
          </w:tcPr>
          <w:p w14:paraId="6B437758">
            <w:pPr>
              <w:pStyle w:val="45"/>
              <w:rPr>
                <w:rFonts w:hint="default"/>
              </w:rPr>
            </w:pPr>
            <w:r>
              <w:t>≤0.2</w:t>
            </w:r>
          </w:p>
        </w:tc>
        <w:tc>
          <w:tcPr>
            <w:tcW w:w="0" w:type="auto"/>
            <w:vAlign w:val="center"/>
          </w:tcPr>
          <w:p w14:paraId="32752E20">
            <w:pPr>
              <w:pStyle w:val="45"/>
              <w:rPr>
                <w:rFonts w:hint="default"/>
              </w:rPr>
            </w:pPr>
            <w:r>
              <w:t>≤0.05</w:t>
            </w:r>
          </w:p>
        </w:tc>
        <w:tc>
          <w:tcPr>
            <w:tcW w:w="0" w:type="auto"/>
            <w:vAlign w:val="center"/>
          </w:tcPr>
          <w:p w14:paraId="771323FE">
            <w:pPr>
              <w:pStyle w:val="45"/>
              <w:rPr>
                <w:rFonts w:hint="default"/>
              </w:rPr>
            </w:pPr>
            <w:r>
              <w:t>≤0.2</w:t>
            </w:r>
          </w:p>
        </w:tc>
        <w:tc>
          <w:tcPr>
            <w:tcW w:w="0" w:type="auto"/>
            <w:vAlign w:val="center"/>
          </w:tcPr>
          <w:p w14:paraId="70C50DE5">
            <w:pPr>
              <w:pStyle w:val="45"/>
              <w:rPr>
                <w:rFonts w:hint="default"/>
              </w:rPr>
            </w:pPr>
            <w:r>
              <w:t>≤1</w:t>
            </w:r>
          </w:p>
        </w:tc>
        <w:tc>
          <w:tcPr>
            <w:tcW w:w="0" w:type="auto"/>
            <w:vAlign w:val="center"/>
          </w:tcPr>
          <w:p w14:paraId="2D5A9A7F">
            <w:pPr>
              <w:pStyle w:val="45"/>
              <w:rPr>
                <w:rFonts w:hint="default"/>
              </w:rPr>
            </w:pPr>
            <w:r>
              <w:t>≤250</w:t>
            </w:r>
          </w:p>
        </w:tc>
        <w:tc>
          <w:tcPr>
            <w:tcW w:w="0" w:type="auto"/>
            <w:vAlign w:val="center"/>
          </w:tcPr>
          <w:p w14:paraId="5FA65DC8">
            <w:pPr>
              <w:pStyle w:val="45"/>
              <w:rPr>
                <w:rFonts w:hint="default"/>
              </w:rPr>
            </w:pPr>
            <w:r>
              <w:t>≤0.0001</w:t>
            </w:r>
          </w:p>
        </w:tc>
        <w:tc>
          <w:tcPr>
            <w:tcW w:w="0" w:type="auto"/>
            <w:vAlign w:val="center"/>
          </w:tcPr>
          <w:p w14:paraId="00B8D8D6">
            <w:pPr>
              <w:pStyle w:val="45"/>
              <w:rPr>
                <w:rFonts w:hint="default"/>
              </w:rPr>
            </w:pPr>
            <w:r>
              <w:t>≤0.05</w:t>
            </w:r>
          </w:p>
        </w:tc>
        <w:tc>
          <w:tcPr>
            <w:tcW w:w="0" w:type="auto"/>
            <w:vAlign w:val="center"/>
          </w:tcPr>
          <w:p w14:paraId="0E4E64FE">
            <w:pPr>
              <w:pStyle w:val="45"/>
              <w:rPr>
                <w:rFonts w:hint="default"/>
              </w:rPr>
            </w:pPr>
            <w:r>
              <w:t>≤0.05</w:t>
            </w:r>
          </w:p>
        </w:tc>
      </w:tr>
      <w:tr w14:paraId="24DDE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92" w:type="dxa"/>
            <w:tcMar>
              <w:left w:w="57" w:type="dxa"/>
              <w:right w:w="57" w:type="dxa"/>
            </w:tcMar>
            <w:vAlign w:val="center"/>
          </w:tcPr>
          <w:p w14:paraId="5FC10448">
            <w:pPr>
              <w:pStyle w:val="45"/>
              <w:rPr>
                <w:rFonts w:hint="default"/>
                <w:b/>
                <w:bCs/>
              </w:rPr>
            </w:pPr>
            <w:r>
              <w:rPr>
                <w:b/>
                <w:bCs/>
              </w:rPr>
              <w:t>项目</w:t>
            </w:r>
          </w:p>
        </w:tc>
        <w:tc>
          <w:tcPr>
            <w:tcW w:w="1346" w:type="dxa"/>
            <w:vAlign w:val="center"/>
          </w:tcPr>
          <w:p w14:paraId="0DB84FE3">
            <w:pPr>
              <w:pStyle w:val="45"/>
              <w:rPr>
                <w:rFonts w:hint="default"/>
                <w:b/>
                <w:bCs/>
              </w:rPr>
            </w:pPr>
            <w:r>
              <w:rPr>
                <w:b/>
                <w:bCs/>
              </w:rPr>
              <w:t>镉</w:t>
            </w:r>
          </w:p>
        </w:tc>
        <w:tc>
          <w:tcPr>
            <w:tcW w:w="0" w:type="auto"/>
            <w:vAlign w:val="center"/>
          </w:tcPr>
          <w:p w14:paraId="1057E6F4">
            <w:pPr>
              <w:pStyle w:val="45"/>
              <w:rPr>
                <w:rFonts w:hint="default"/>
                <w:b/>
                <w:bCs/>
              </w:rPr>
            </w:pPr>
            <w:r>
              <w:rPr>
                <w:b/>
                <w:bCs/>
              </w:rPr>
              <w:t>铜</w:t>
            </w:r>
          </w:p>
        </w:tc>
        <w:tc>
          <w:tcPr>
            <w:tcW w:w="0" w:type="auto"/>
            <w:vAlign w:val="center"/>
          </w:tcPr>
          <w:p w14:paraId="0533F917">
            <w:pPr>
              <w:pStyle w:val="45"/>
              <w:rPr>
                <w:rFonts w:hint="default"/>
                <w:b/>
                <w:bCs/>
              </w:rPr>
            </w:pPr>
            <w:r>
              <w:rPr>
                <w:b/>
                <w:bCs/>
              </w:rPr>
              <w:t>锌</w:t>
            </w:r>
          </w:p>
        </w:tc>
        <w:tc>
          <w:tcPr>
            <w:tcW w:w="0" w:type="auto"/>
            <w:vAlign w:val="center"/>
          </w:tcPr>
          <w:p w14:paraId="26F2182B">
            <w:pPr>
              <w:pStyle w:val="45"/>
              <w:rPr>
                <w:rFonts w:hint="default"/>
                <w:b/>
                <w:bCs/>
              </w:rPr>
            </w:pPr>
            <w:r>
              <w:rPr>
                <w:b/>
                <w:bCs/>
              </w:rPr>
              <w:t>镍</w:t>
            </w:r>
          </w:p>
        </w:tc>
        <w:tc>
          <w:tcPr>
            <w:tcW w:w="0" w:type="auto"/>
            <w:vAlign w:val="center"/>
          </w:tcPr>
          <w:p w14:paraId="5AA1F276">
            <w:pPr>
              <w:pStyle w:val="45"/>
              <w:rPr>
                <w:rFonts w:hint="default"/>
                <w:b/>
                <w:bCs/>
              </w:rPr>
            </w:pPr>
            <w:r>
              <w:rPr>
                <w:b/>
                <w:bCs/>
              </w:rPr>
              <w:t>粪大肠菌群</w:t>
            </w:r>
          </w:p>
        </w:tc>
        <w:tc>
          <w:tcPr>
            <w:tcW w:w="0" w:type="auto"/>
            <w:vAlign w:val="center"/>
          </w:tcPr>
          <w:p w14:paraId="0FB6679D">
            <w:pPr>
              <w:pStyle w:val="45"/>
              <w:rPr>
                <w:rFonts w:hint="default"/>
                <w:b/>
                <w:bCs/>
              </w:rPr>
            </w:pPr>
            <w:r>
              <w:rPr>
                <w:b/>
                <w:bCs/>
              </w:rPr>
              <w:t>氯乙烯</w:t>
            </w:r>
          </w:p>
        </w:tc>
        <w:tc>
          <w:tcPr>
            <w:tcW w:w="0" w:type="auto"/>
            <w:vAlign w:val="center"/>
          </w:tcPr>
          <w:p w14:paraId="494BC8A5">
            <w:pPr>
              <w:pStyle w:val="45"/>
              <w:rPr>
                <w:rFonts w:hint="default"/>
                <w:b/>
                <w:bCs/>
              </w:rPr>
            </w:pPr>
            <w:r>
              <w:rPr>
                <w:b/>
                <w:bCs/>
              </w:rPr>
              <w:t>/</w:t>
            </w:r>
          </w:p>
        </w:tc>
        <w:tc>
          <w:tcPr>
            <w:tcW w:w="0" w:type="auto"/>
            <w:vAlign w:val="center"/>
          </w:tcPr>
          <w:p w14:paraId="7589AD88">
            <w:pPr>
              <w:pStyle w:val="45"/>
              <w:rPr>
                <w:rFonts w:hint="default"/>
                <w:b/>
                <w:bCs/>
              </w:rPr>
            </w:pPr>
            <w:r>
              <w:rPr>
                <w:b/>
                <w:bCs/>
              </w:rPr>
              <w:t>/</w:t>
            </w:r>
          </w:p>
        </w:tc>
      </w:tr>
      <w:tr w14:paraId="5C466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92" w:type="dxa"/>
            <w:tcMar>
              <w:left w:w="57" w:type="dxa"/>
              <w:right w:w="57" w:type="dxa"/>
            </w:tcMar>
            <w:vAlign w:val="center"/>
          </w:tcPr>
          <w:p w14:paraId="71E3CDD1">
            <w:pPr>
              <w:pStyle w:val="45"/>
              <w:rPr>
                <w:rFonts w:hint="default"/>
              </w:rPr>
            </w:pPr>
            <w:r>
              <w:t>III类</w:t>
            </w:r>
          </w:p>
        </w:tc>
        <w:tc>
          <w:tcPr>
            <w:tcW w:w="1346" w:type="dxa"/>
            <w:vAlign w:val="center"/>
          </w:tcPr>
          <w:p w14:paraId="50C2C6A7">
            <w:pPr>
              <w:pStyle w:val="45"/>
              <w:rPr>
                <w:rFonts w:hint="default"/>
              </w:rPr>
            </w:pPr>
            <w:r>
              <w:t>≤0.005</w:t>
            </w:r>
          </w:p>
        </w:tc>
        <w:tc>
          <w:tcPr>
            <w:tcW w:w="0" w:type="auto"/>
            <w:vAlign w:val="center"/>
          </w:tcPr>
          <w:p w14:paraId="026FD2BE">
            <w:pPr>
              <w:pStyle w:val="45"/>
              <w:rPr>
                <w:rFonts w:hint="default"/>
              </w:rPr>
            </w:pPr>
            <w:r>
              <w:t>≤1</w:t>
            </w:r>
          </w:p>
        </w:tc>
        <w:tc>
          <w:tcPr>
            <w:tcW w:w="0" w:type="auto"/>
            <w:vAlign w:val="center"/>
          </w:tcPr>
          <w:p w14:paraId="765ACFBF">
            <w:pPr>
              <w:pStyle w:val="45"/>
              <w:rPr>
                <w:rFonts w:hint="default"/>
              </w:rPr>
            </w:pPr>
            <w:r>
              <w:t>≤1</w:t>
            </w:r>
          </w:p>
        </w:tc>
        <w:tc>
          <w:tcPr>
            <w:tcW w:w="0" w:type="auto"/>
            <w:vAlign w:val="center"/>
          </w:tcPr>
          <w:p w14:paraId="5695A0AA">
            <w:pPr>
              <w:pStyle w:val="45"/>
              <w:rPr>
                <w:rFonts w:hint="default"/>
              </w:rPr>
            </w:pPr>
            <w:r>
              <w:t>0.02</w:t>
            </w:r>
          </w:p>
        </w:tc>
        <w:tc>
          <w:tcPr>
            <w:tcW w:w="0" w:type="auto"/>
            <w:vAlign w:val="center"/>
          </w:tcPr>
          <w:p w14:paraId="677578BC">
            <w:pPr>
              <w:pStyle w:val="45"/>
              <w:rPr>
                <w:rFonts w:hint="default"/>
              </w:rPr>
            </w:pPr>
            <w:r>
              <w:t>10000（个/L）</w:t>
            </w:r>
          </w:p>
        </w:tc>
        <w:tc>
          <w:tcPr>
            <w:tcW w:w="0" w:type="auto"/>
            <w:vAlign w:val="center"/>
          </w:tcPr>
          <w:p w14:paraId="16C5C172">
            <w:pPr>
              <w:pStyle w:val="45"/>
              <w:rPr>
                <w:rFonts w:hint="default"/>
              </w:rPr>
            </w:pPr>
            <w:r>
              <w:t>0.005</w:t>
            </w:r>
          </w:p>
        </w:tc>
        <w:tc>
          <w:tcPr>
            <w:tcW w:w="0" w:type="auto"/>
            <w:vAlign w:val="center"/>
          </w:tcPr>
          <w:p w14:paraId="6C1D4002">
            <w:pPr>
              <w:pStyle w:val="45"/>
              <w:rPr>
                <w:rFonts w:hint="default"/>
              </w:rPr>
            </w:pPr>
            <w:r>
              <w:t>/</w:t>
            </w:r>
          </w:p>
        </w:tc>
        <w:tc>
          <w:tcPr>
            <w:tcW w:w="0" w:type="auto"/>
            <w:vAlign w:val="center"/>
          </w:tcPr>
          <w:p w14:paraId="5E264108">
            <w:pPr>
              <w:pStyle w:val="45"/>
              <w:rPr>
                <w:rFonts w:hint="default"/>
              </w:rPr>
            </w:pPr>
            <w:r>
              <w:t>/</w:t>
            </w:r>
          </w:p>
        </w:tc>
      </w:tr>
    </w:tbl>
    <w:p w14:paraId="540F4568">
      <w:pPr>
        <w:spacing w:line="240" w:lineRule="auto"/>
        <w:ind w:firstLine="480"/>
      </w:pPr>
    </w:p>
    <w:p w14:paraId="12BC55F3">
      <w:pPr>
        <w:ind w:firstLine="480"/>
      </w:pPr>
      <w:r>
        <w:rPr>
          <w:rFonts w:hint="eastAsia"/>
        </w:rPr>
        <w:t>高氯酸盐环境质量标准参照国家卫健委发布《生活饮用水卫生标准》（GB 5749-2022），高氯酸盐标准限值为0.07 mg/L。</w:t>
      </w:r>
    </w:p>
    <w:p w14:paraId="06D8AC94">
      <w:pPr>
        <w:pStyle w:val="43"/>
        <w:rPr>
          <w:rFonts w:hint="default"/>
        </w:rPr>
      </w:pPr>
      <w:r>
        <w:rPr>
          <w:rFonts w:hint="default"/>
        </w:rPr>
        <w:t>《生活饮用水卫生标准》（GB 5749-2022）</w:t>
      </w:r>
      <w:r>
        <w:t>（摘录）</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4AA57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BBA9D7F">
            <w:pPr>
              <w:pStyle w:val="45"/>
              <w:rPr>
                <w:rFonts w:hint="default"/>
                <w:b/>
                <w:bCs/>
              </w:rPr>
            </w:pPr>
            <w:r>
              <w:rPr>
                <w:b/>
                <w:bCs/>
              </w:rPr>
              <w:t>指标</w:t>
            </w:r>
          </w:p>
        </w:tc>
        <w:tc>
          <w:tcPr>
            <w:tcW w:w="4261" w:type="dxa"/>
          </w:tcPr>
          <w:p w14:paraId="588C6DCD">
            <w:pPr>
              <w:pStyle w:val="45"/>
              <w:rPr>
                <w:rFonts w:hint="default"/>
                <w:b/>
                <w:bCs/>
              </w:rPr>
            </w:pPr>
            <w:r>
              <w:rPr>
                <w:b/>
                <w:bCs/>
              </w:rPr>
              <w:t>限值 mg/L</w:t>
            </w:r>
          </w:p>
        </w:tc>
      </w:tr>
      <w:tr w14:paraId="68FE6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41E7AB9C">
            <w:pPr>
              <w:pStyle w:val="45"/>
              <w:rPr>
                <w:rFonts w:hint="default"/>
              </w:rPr>
            </w:pPr>
            <w:r>
              <w:t>高氯酸盐</w:t>
            </w:r>
          </w:p>
        </w:tc>
        <w:tc>
          <w:tcPr>
            <w:tcW w:w="4261" w:type="dxa"/>
          </w:tcPr>
          <w:p w14:paraId="75D5BFFF">
            <w:pPr>
              <w:pStyle w:val="45"/>
              <w:rPr>
                <w:rFonts w:hint="default"/>
              </w:rPr>
            </w:pPr>
            <w:r>
              <w:t>0.07</w:t>
            </w:r>
          </w:p>
        </w:tc>
      </w:tr>
    </w:tbl>
    <w:p w14:paraId="7DCB1030">
      <w:pPr>
        <w:spacing w:line="240" w:lineRule="auto"/>
        <w:ind w:firstLine="480"/>
      </w:pPr>
      <w:bookmarkStart w:id="70" w:name="_Toc27399"/>
    </w:p>
    <w:p w14:paraId="095E8BF7">
      <w:pPr>
        <w:pStyle w:val="6"/>
        <w:ind w:firstLine="482"/>
      </w:pPr>
      <w:r>
        <w:rPr>
          <w:rFonts w:hint="eastAsia"/>
        </w:rPr>
        <w:t>水污染物排放标准</w:t>
      </w:r>
      <w:bookmarkEnd w:id="70"/>
    </w:p>
    <w:p w14:paraId="508DBF60">
      <w:pPr>
        <w:ind w:firstLine="480"/>
        <w:rPr>
          <w:rFonts w:hint="eastAsia"/>
        </w:rPr>
      </w:pPr>
      <w:r>
        <w:rPr>
          <w:rFonts w:hint="eastAsia"/>
        </w:rPr>
        <w:t>本项目主要废水有碱喷淋废水、真空冷凝水、电解槽清洗废水、膜酸洗废水、离子树脂清洗废水、纯水制备排水、循环冷却排水、地面清洗废水、洗车废水、员工清洁废水、化验室废水、初期雨水、生活污水等。正常生产期间，碱喷淋废水、真空冷凝水、电解槽清洗废水、膜酸洗废水、离子树脂清洗废水等生产废水直接回用于生产，不外排；纯水制备排水、循环冷却排水、地面清洗废水、洗车废水、员工清洁废水、化验室废水、初期雨水等其他废水进入厂内废水经“混凝沉淀+砂滤”处理后回用于生产，不外排。非生产期间，初期雨水经“混凝沉淀+砂滤+离子树脂交换”处理后达标排入松木污水处理厂进一步处理。生活污水经厂内化粪池预处理达标后通过园区污水管网排入松木污水处理厂进一步处理。</w:t>
      </w:r>
    </w:p>
    <w:p w14:paraId="32363815">
      <w:pPr>
        <w:ind w:firstLine="480"/>
        <w:rPr>
          <w:rFonts w:hint="default" w:eastAsia="宋体"/>
          <w:lang w:val="en-US" w:eastAsia="zh-CN"/>
        </w:rPr>
      </w:pPr>
      <w:r>
        <w:rPr>
          <w:rFonts w:hint="eastAsia"/>
        </w:rPr>
        <w:t>厂区</w:t>
      </w:r>
      <w:r>
        <w:rPr>
          <w:rFonts w:hint="eastAsia"/>
          <w:lang w:val="en-US" w:eastAsia="zh-CN"/>
        </w:rPr>
        <w:t>生产废水</w:t>
      </w:r>
      <w:r>
        <w:rPr>
          <w:rFonts w:hint="eastAsia"/>
        </w:rPr>
        <w:t>总排口污染物执行《无机化学工业污染物排放标准》（GB31573-2015）表1间接排放限值、《污水综合排放标准》（GB8978-1996）三级标准及松木污水处理厂纳管标准较严者</w:t>
      </w:r>
      <w:r>
        <w:rPr>
          <w:rFonts w:hint="eastAsia"/>
          <w:lang w:eastAsia="zh-CN"/>
        </w:rPr>
        <w:t>；</w:t>
      </w:r>
      <w:r>
        <w:rPr>
          <w:rFonts w:hint="eastAsia"/>
        </w:rPr>
        <w:t>高氯酸盐指标值</w:t>
      </w:r>
      <w:r>
        <w:rPr>
          <w:rFonts w:hint="eastAsia"/>
          <w:lang w:val="en-US" w:eastAsia="zh-CN"/>
        </w:rPr>
        <w:t>暂时</w:t>
      </w:r>
      <w:r>
        <w:rPr>
          <w:rFonts w:hint="eastAsia"/>
        </w:rPr>
        <w:t>参照《工业废水高氯酸盐污染物排放标准》（征求意见稿）执行</w:t>
      </w:r>
      <w:r>
        <w:rPr>
          <w:rFonts w:hint="eastAsia"/>
          <w:lang w:eastAsia="zh-CN"/>
        </w:rPr>
        <w:t>，</w:t>
      </w:r>
      <w:r>
        <w:rPr>
          <w:rFonts w:hint="eastAsia"/>
          <w:lang w:val="en-US" w:eastAsia="zh-CN"/>
        </w:rPr>
        <w:t>待正式发布后，排放标准以正式发布的版本为准。</w:t>
      </w:r>
    </w:p>
    <w:p w14:paraId="3DC27451">
      <w:pPr>
        <w:pStyle w:val="43"/>
        <w:rPr>
          <w:rFonts w:hint="default"/>
        </w:rPr>
      </w:pPr>
      <w:r>
        <w:t>水污染物排放标准（mg/L，pH无量纲）</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1559"/>
        <w:gridCol w:w="1365"/>
        <w:gridCol w:w="1200"/>
        <w:gridCol w:w="2075"/>
        <w:gridCol w:w="1089"/>
      </w:tblGrid>
      <w:tr w14:paraId="76581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trPr>
        <w:tc>
          <w:tcPr>
            <w:tcW w:w="1101" w:type="dxa"/>
            <w:vAlign w:val="center"/>
          </w:tcPr>
          <w:p w14:paraId="324AAC2E">
            <w:pPr>
              <w:pStyle w:val="45"/>
              <w:rPr>
                <w:rFonts w:hint="default"/>
                <w:b/>
                <w:bCs/>
              </w:rPr>
            </w:pPr>
            <w:r>
              <w:rPr>
                <w:rFonts w:hint="default"/>
                <w:b/>
                <w:bCs/>
              </w:rPr>
              <w:t>污染物项目</w:t>
            </w:r>
          </w:p>
        </w:tc>
        <w:tc>
          <w:tcPr>
            <w:tcW w:w="1559" w:type="dxa"/>
            <w:vAlign w:val="center"/>
          </w:tcPr>
          <w:p w14:paraId="6E08A8BE">
            <w:pPr>
              <w:pStyle w:val="45"/>
              <w:rPr>
                <w:rFonts w:hint="default"/>
                <w:b/>
                <w:bCs/>
              </w:rPr>
            </w:pPr>
            <w:r>
              <w:rPr>
                <w:b/>
                <w:bCs/>
              </w:rPr>
              <w:t>（GB31573-2015）表1间接排放标准</w:t>
            </w:r>
          </w:p>
        </w:tc>
        <w:tc>
          <w:tcPr>
            <w:tcW w:w="1365" w:type="dxa"/>
            <w:vAlign w:val="center"/>
          </w:tcPr>
          <w:p w14:paraId="6CCD8654">
            <w:pPr>
              <w:pStyle w:val="45"/>
              <w:rPr>
                <w:rFonts w:hint="default"/>
                <w:b/>
                <w:bCs/>
              </w:rPr>
            </w:pPr>
            <w:r>
              <w:rPr>
                <w:b/>
                <w:bCs/>
              </w:rPr>
              <w:t>（GB8978-1996）三级标准</w:t>
            </w:r>
          </w:p>
        </w:tc>
        <w:tc>
          <w:tcPr>
            <w:tcW w:w="1200" w:type="dxa"/>
            <w:vAlign w:val="center"/>
          </w:tcPr>
          <w:p w14:paraId="3AE1F1DE">
            <w:pPr>
              <w:pStyle w:val="45"/>
              <w:rPr>
                <w:rFonts w:hint="default"/>
                <w:b/>
                <w:bCs/>
              </w:rPr>
            </w:pPr>
            <w:r>
              <w:rPr>
                <w:b/>
                <w:bCs/>
              </w:rPr>
              <w:t>松木污水处理厂纳管标准</w:t>
            </w:r>
          </w:p>
        </w:tc>
        <w:tc>
          <w:tcPr>
            <w:tcW w:w="2075" w:type="dxa"/>
            <w:vAlign w:val="center"/>
          </w:tcPr>
          <w:p w14:paraId="1A8CD083">
            <w:pPr>
              <w:pStyle w:val="45"/>
              <w:rPr>
                <w:rFonts w:hint="default"/>
                <w:b/>
                <w:bCs/>
              </w:rPr>
            </w:pPr>
            <w:r>
              <w:rPr>
                <w:b/>
                <w:bCs/>
              </w:rPr>
              <w:t>参照《工业废水高氯酸盐污染物排放标准》（征求意见稿）标准</w:t>
            </w:r>
          </w:p>
        </w:tc>
        <w:tc>
          <w:tcPr>
            <w:tcW w:w="1089" w:type="dxa"/>
            <w:vAlign w:val="center"/>
          </w:tcPr>
          <w:p w14:paraId="1E775969">
            <w:pPr>
              <w:pStyle w:val="45"/>
              <w:rPr>
                <w:rFonts w:hint="default"/>
                <w:b/>
                <w:bCs/>
              </w:rPr>
            </w:pPr>
            <w:r>
              <w:rPr>
                <w:b/>
                <w:bCs/>
              </w:rPr>
              <w:t>本项目执行标准值</w:t>
            </w:r>
          </w:p>
        </w:tc>
      </w:tr>
      <w:tr w14:paraId="78717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101" w:type="dxa"/>
            <w:vAlign w:val="center"/>
          </w:tcPr>
          <w:p w14:paraId="6DDE6959">
            <w:pPr>
              <w:pStyle w:val="45"/>
              <w:rPr>
                <w:rFonts w:hint="default"/>
              </w:rPr>
            </w:pPr>
            <w:r>
              <w:t>pH</w:t>
            </w:r>
          </w:p>
        </w:tc>
        <w:tc>
          <w:tcPr>
            <w:tcW w:w="1559" w:type="dxa"/>
            <w:vAlign w:val="center"/>
          </w:tcPr>
          <w:p w14:paraId="45C360C3">
            <w:pPr>
              <w:pStyle w:val="45"/>
              <w:rPr>
                <w:rFonts w:hint="default"/>
              </w:rPr>
            </w:pPr>
            <w:r>
              <w:rPr>
                <w:rFonts w:hint="default"/>
              </w:rPr>
              <w:t>6~9</w:t>
            </w:r>
          </w:p>
        </w:tc>
        <w:tc>
          <w:tcPr>
            <w:tcW w:w="1365" w:type="dxa"/>
            <w:vAlign w:val="center"/>
          </w:tcPr>
          <w:p w14:paraId="74D61AE0">
            <w:pPr>
              <w:pStyle w:val="45"/>
              <w:rPr>
                <w:rFonts w:hint="default"/>
              </w:rPr>
            </w:pPr>
            <w:r>
              <w:t>6~9</w:t>
            </w:r>
          </w:p>
        </w:tc>
        <w:tc>
          <w:tcPr>
            <w:tcW w:w="1200" w:type="dxa"/>
            <w:vAlign w:val="center"/>
          </w:tcPr>
          <w:p w14:paraId="11502487">
            <w:pPr>
              <w:pStyle w:val="45"/>
              <w:rPr>
                <w:rFonts w:hint="default"/>
              </w:rPr>
            </w:pPr>
            <w:r>
              <w:rPr>
                <w:rFonts w:hint="default"/>
              </w:rPr>
              <w:t>6~9</w:t>
            </w:r>
          </w:p>
        </w:tc>
        <w:tc>
          <w:tcPr>
            <w:tcW w:w="2075" w:type="dxa"/>
            <w:vAlign w:val="center"/>
          </w:tcPr>
          <w:p w14:paraId="4E74504D">
            <w:pPr>
              <w:pStyle w:val="45"/>
              <w:rPr>
                <w:rFonts w:hint="default"/>
              </w:rPr>
            </w:pPr>
            <w:r>
              <w:t>/</w:t>
            </w:r>
          </w:p>
        </w:tc>
        <w:tc>
          <w:tcPr>
            <w:tcW w:w="1089" w:type="dxa"/>
            <w:vAlign w:val="center"/>
          </w:tcPr>
          <w:p w14:paraId="12422FC6">
            <w:pPr>
              <w:pStyle w:val="45"/>
              <w:rPr>
                <w:rFonts w:hint="default"/>
              </w:rPr>
            </w:pPr>
            <w:r>
              <w:rPr>
                <w:rFonts w:hint="default"/>
              </w:rPr>
              <w:t>6~9</w:t>
            </w:r>
          </w:p>
        </w:tc>
      </w:tr>
      <w:tr w14:paraId="7A76F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101" w:type="dxa"/>
            <w:vAlign w:val="center"/>
          </w:tcPr>
          <w:p w14:paraId="525E5C86">
            <w:pPr>
              <w:pStyle w:val="45"/>
              <w:rPr>
                <w:rFonts w:hint="default"/>
              </w:rPr>
            </w:pPr>
            <w:r>
              <w:t>COD</w:t>
            </w:r>
            <w:r>
              <w:rPr>
                <w:vertAlign w:val="subscript"/>
              </w:rPr>
              <w:t>cr</w:t>
            </w:r>
          </w:p>
        </w:tc>
        <w:tc>
          <w:tcPr>
            <w:tcW w:w="1559" w:type="dxa"/>
            <w:vAlign w:val="center"/>
          </w:tcPr>
          <w:p w14:paraId="7F1B824F">
            <w:pPr>
              <w:pStyle w:val="45"/>
              <w:rPr>
                <w:rFonts w:hint="default"/>
              </w:rPr>
            </w:pPr>
            <w:r>
              <w:t>200</w:t>
            </w:r>
          </w:p>
        </w:tc>
        <w:tc>
          <w:tcPr>
            <w:tcW w:w="1365" w:type="dxa"/>
            <w:vAlign w:val="center"/>
          </w:tcPr>
          <w:p w14:paraId="1D365372">
            <w:pPr>
              <w:pStyle w:val="45"/>
              <w:rPr>
                <w:rFonts w:hint="default"/>
              </w:rPr>
            </w:pPr>
            <w:r>
              <w:rPr>
                <w:rFonts w:hint="default"/>
              </w:rPr>
              <w:t>500</w:t>
            </w:r>
          </w:p>
        </w:tc>
        <w:tc>
          <w:tcPr>
            <w:tcW w:w="1200" w:type="dxa"/>
            <w:vAlign w:val="center"/>
          </w:tcPr>
          <w:p w14:paraId="7C25A8F6">
            <w:pPr>
              <w:pStyle w:val="45"/>
              <w:rPr>
                <w:rFonts w:hint="default"/>
              </w:rPr>
            </w:pPr>
            <w:r>
              <w:rPr>
                <w:rFonts w:hint="eastAsia"/>
                <w:lang w:val="en-US" w:eastAsia="zh-CN"/>
              </w:rPr>
              <w:t>3</w:t>
            </w:r>
            <w:r>
              <w:t>00</w:t>
            </w:r>
          </w:p>
        </w:tc>
        <w:tc>
          <w:tcPr>
            <w:tcW w:w="2075" w:type="dxa"/>
            <w:vAlign w:val="center"/>
          </w:tcPr>
          <w:p w14:paraId="6B68A04D">
            <w:pPr>
              <w:pStyle w:val="45"/>
              <w:rPr>
                <w:rFonts w:hint="default"/>
              </w:rPr>
            </w:pPr>
            <w:r>
              <w:t>/</w:t>
            </w:r>
          </w:p>
        </w:tc>
        <w:tc>
          <w:tcPr>
            <w:tcW w:w="1089" w:type="dxa"/>
            <w:vAlign w:val="center"/>
          </w:tcPr>
          <w:p w14:paraId="1DE62FEB">
            <w:pPr>
              <w:pStyle w:val="45"/>
              <w:rPr>
                <w:rFonts w:hint="default"/>
              </w:rPr>
            </w:pPr>
            <w:r>
              <w:t>200</w:t>
            </w:r>
          </w:p>
        </w:tc>
      </w:tr>
      <w:tr w14:paraId="2198C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101" w:type="dxa"/>
            <w:vAlign w:val="center"/>
          </w:tcPr>
          <w:p w14:paraId="1D91A4DA">
            <w:pPr>
              <w:pStyle w:val="45"/>
              <w:rPr>
                <w:rFonts w:hint="default"/>
              </w:rPr>
            </w:pPr>
            <w:r>
              <w:t>氨氮</w:t>
            </w:r>
          </w:p>
        </w:tc>
        <w:tc>
          <w:tcPr>
            <w:tcW w:w="1559" w:type="dxa"/>
            <w:vAlign w:val="center"/>
          </w:tcPr>
          <w:p w14:paraId="632D77ED">
            <w:pPr>
              <w:pStyle w:val="45"/>
              <w:rPr>
                <w:rFonts w:hint="default"/>
              </w:rPr>
            </w:pPr>
            <w:r>
              <w:t>40</w:t>
            </w:r>
          </w:p>
        </w:tc>
        <w:tc>
          <w:tcPr>
            <w:tcW w:w="1365" w:type="dxa"/>
            <w:vAlign w:val="center"/>
          </w:tcPr>
          <w:p w14:paraId="7722EC4B">
            <w:pPr>
              <w:pStyle w:val="45"/>
              <w:rPr>
                <w:rFonts w:hint="default"/>
              </w:rPr>
            </w:pPr>
            <w:r>
              <w:t>/</w:t>
            </w:r>
          </w:p>
        </w:tc>
        <w:tc>
          <w:tcPr>
            <w:tcW w:w="1200" w:type="dxa"/>
            <w:vAlign w:val="center"/>
          </w:tcPr>
          <w:p w14:paraId="173751AA">
            <w:pPr>
              <w:pStyle w:val="45"/>
              <w:rPr>
                <w:rFonts w:hint="default"/>
              </w:rPr>
            </w:pPr>
            <w:r>
              <w:t>35</w:t>
            </w:r>
          </w:p>
        </w:tc>
        <w:tc>
          <w:tcPr>
            <w:tcW w:w="2075" w:type="dxa"/>
            <w:vAlign w:val="center"/>
          </w:tcPr>
          <w:p w14:paraId="13D4E4BE">
            <w:pPr>
              <w:pStyle w:val="45"/>
              <w:rPr>
                <w:rFonts w:hint="default"/>
              </w:rPr>
            </w:pPr>
            <w:r>
              <w:t>/</w:t>
            </w:r>
          </w:p>
        </w:tc>
        <w:tc>
          <w:tcPr>
            <w:tcW w:w="1089" w:type="dxa"/>
            <w:vAlign w:val="center"/>
          </w:tcPr>
          <w:p w14:paraId="2823E094">
            <w:pPr>
              <w:pStyle w:val="45"/>
              <w:rPr>
                <w:rFonts w:hint="default"/>
              </w:rPr>
            </w:pPr>
            <w:r>
              <w:t>35</w:t>
            </w:r>
          </w:p>
        </w:tc>
      </w:tr>
      <w:tr w14:paraId="4B3B8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101" w:type="dxa"/>
            <w:vAlign w:val="center"/>
          </w:tcPr>
          <w:p w14:paraId="1EF8A041">
            <w:pPr>
              <w:pStyle w:val="45"/>
              <w:rPr>
                <w:rFonts w:hint="default"/>
              </w:rPr>
            </w:pPr>
            <w:r>
              <w:t>总氮</w:t>
            </w:r>
          </w:p>
        </w:tc>
        <w:tc>
          <w:tcPr>
            <w:tcW w:w="1559" w:type="dxa"/>
            <w:vAlign w:val="center"/>
          </w:tcPr>
          <w:p w14:paraId="2FED7386">
            <w:pPr>
              <w:pStyle w:val="45"/>
              <w:rPr>
                <w:rFonts w:hint="default"/>
              </w:rPr>
            </w:pPr>
            <w:r>
              <w:t>60</w:t>
            </w:r>
          </w:p>
        </w:tc>
        <w:tc>
          <w:tcPr>
            <w:tcW w:w="1365" w:type="dxa"/>
            <w:vAlign w:val="center"/>
          </w:tcPr>
          <w:p w14:paraId="4DB5DA31">
            <w:pPr>
              <w:pStyle w:val="45"/>
              <w:rPr>
                <w:rFonts w:hint="default"/>
              </w:rPr>
            </w:pPr>
            <w:r>
              <w:t>/</w:t>
            </w:r>
          </w:p>
        </w:tc>
        <w:tc>
          <w:tcPr>
            <w:tcW w:w="1200" w:type="dxa"/>
            <w:vAlign w:val="center"/>
          </w:tcPr>
          <w:p w14:paraId="59D0BC3F">
            <w:pPr>
              <w:pStyle w:val="45"/>
              <w:rPr>
                <w:rFonts w:hint="default"/>
              </w:rPr>
            </w:pPr>
            <w:r>
              <w:t>70</w:t>
            </w:r>
          </w:p>
        </w:tc>
        <w:tc>
          <w:tcPr>
            <w:tcW w:w="2075" w:type="dxa"/>
            <w:vAlign w:val="center"/>
          </w:tcPr>
          <w:p w14:paraId="39A1D6EB">
            <w:pPr>
              <w:pStyle w:val="45"/>
              <w:rPr>
                <w:rFonts w:hint="default"/>
              </w:rPr>
            </w:pPr>
            <w:r>
              <w:t>/</w:t>
            </w:r>
          </w:p>
        </w:tc>
        <w:tc>
          <w:tcPr>
            <w:tcW w:w="1089" w:type="dxa"/>
            <w:vAlign w:val="center"/>
          </w:tcPr>
          <w:p w14:paraId="4DD79D40">
            <w:pPr>
              <w:pStyle w:val="45"/>
              <w:rPr>
                <w:rFonts w:hint="default"/>
              </w:rPr>
            </w:pPr>
            <w:r>
              <w:t>60</w:t>
            </w:r>
          </w:p>
        </w:tc>
      </w:tr>
      <w:tr w14:paraId="7B904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101" w:type="dxa"/>
            <w:vAlign w:val="center"/>
          </w:tcPr>
          <w:p w14:paraId="432B5B95">
            <w:pPr>
              <w:pStyle w:val="45"/>
              <w:rPr>
                <w:rFonts w:hint="default"/>
              </w:rPr>
            </w:pPr>
            <w:r>
              <w:t>总磷</w:t>
            </w:r>
          </w:p>
        </w:tc>
        <w:tc>
          <w:tcPr>
            <w:tcW w:w="1559" w:type="dxa"/>
            <w:vAlign w:val="center"/>
          </w:tcPr>
          <w:p w14:paraId="02E3EB02">
            <w:pPr>
              <w:pStyle w:val="45"/>
              <w:rPr>
                <w:rFonts w:hint="default"/>
              </w:rPr>
            </w:pPr>
            <w:r>
              <w:t>2.0</w:t>
            </w:r>
          </w:p>
        </w:tc>
        <w:tc>
          <w:tcPr>
            <w:tcW w:w="1365" w:type="dxa"/>
            <w:vAlign w:val="center"/>
          </w:tcPr>
          <w:p w14:paraId="176FFE20">
            <w:pPr>
              <w:pStyle w:val="45"/>
              <w:rPr>
                <w:rFonts w:hint="default"/>
              </w:rPr>
            </w:pPr>
            <w:r>
              <w:t>/</w:t>
            </w:r>
          </w:p>
        </w:tc>
        <w:tc>
          <w:tcPr>
            <w:tcW w:w="1200" w:type="dxa"/>
            <w:vAlign w:val="center"/>
          </w:tcPr>
          <w:p w14:paraId="2EBD9E6C">
            <w:pPr>
              <w:pStyle w:val="45"/>
              <w:rPr>
                <w:rFonts w:hint="default"/>
              </w:rPr>
            </w:pPr>
            <w:r>
              <w:t>8.0</w:t>
            </w:r>
          </w:p>
        </w:tc>
        <w:tc>
          <w:tcPr>
            <w:tcW w:w="2075" w:type="dxa"/>
            <w:vAlign w:val="center"/>
          </w:tcPr>
          <w:p w14:paraId="1A8AA35B">
            <w:pPr>
              <w:pStyle w:val="45"/>
              <w:rPr>
                <w:rFonts w:hint="default"/>
              </w:rPr>
            </w:pPr>
            <w:r>
              <w:t>/</w:t>
            </w:r>
          </w:p>
        </w:tc>
        <w:tc>
          <w:tcPr>
            <w:tcW w:w="1089" w:type="dxa"/>
            <w:vAlign w:val="center"/>
          </w:tcPr>
          <w:p w14:paraId="20D82760">
            <w:pPr>
              <w:pStyle w:val="45"/>
              <w:rPr>
                <w:rFonts w:hint="default"/>
              </w:rPr>
            </w:pPr>
            <w:r>
              <w:t>2.0</w:t>
            </w:r>
          </w:p>
        </w:tc>
      </w:tr>
      <w:tr w14:paraId="60985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101" w:type="dxa"/>
            <w:vAlign w:val="center"/>
          </w:tcPr>
          <w:p w14:paraId="28EB4686">
            <w:pPr>
              <w:pStyle w:val="45"/>
              <w:rPr>
                <w:rFonts w:hint="default"/>
              </w:rPr>
            </w:pPr>
            <w:r>
              <w:t>SS</w:t>
            </w:r>
          </w:p>
        </w:tc>
        <w:tc>
          <w:tcPr>
            <w:tcW w:w="1559" w:type="dxa"/>
            <w:vAlign w:val="center"/>
          </w:tcPr>
          <w:p w14:paraId="5562D57A">
            <w:pPr>
              <w:pStyle w:val="45"/>
              <w:rPr>
                <w:rFonts w:hint="default"/>
              </w:rPr>
            </w:pPr>
            <w:r>
              <w:t>100</w:t>
            </w:r>
          </w:p>
        </w:tc>
        <w:tc>
          <w:tcPr>
            <w:tcW w:w="1365" w:type="dxa"/>
            <w:vAlign w:val="center"/>
          </w:tcPr>
          <w:p w14:paraId="09AE8D67">
            <w:pPr>
              <w:pStyle w:val="45"/>
              <w:rPr>
                <w:rFonts w:hint="default"/>
              </w:rPr>
            </w:pPr>
            <w:r>
              <w:rPr>
                <w:rFonts w:hint="default"/>
              </w:rPr>
              <w:t>400</w:t>
            </w:r>
          </w:p>
        </w:tc>
        <w:tc>
          <w:tcPr>
            <w:tcW w:w="1200" w:type="dxa"/>
            <w:vAlign w:val="center"/>
          </w:tcPr>
          <w:p w14:paraId="79D106F6">
            <w:pPr>
              <w:pStyle w:val="45"/>
              <w:rPr>
                <w:rFonts w:hint="default"/>
              </w:rPr>
            </w:pPr>
            <w:r>
              <w:t>400</w:t>
            </w:r>
          </w:p>
        </w:tc>
        <w:tc>
          <w:tcPr>
            <w:tcW w:w="2075" w:type="dxa"/>
            <w:vAlign w:val="center"/>
          </w:tcPr>
          <w:p w14:paraId="5F979CA3">
            <w:pPr>
              <w:pStyle w:val="45"/>
              <w:rPr>
                <w:rFonts w:hint="default"/>
              </w:rPr>
            </w:pPr>
            <w:r>
              <w:t>/</w:t>
            </w:r>
          </w:p>
        </w:tc>
        <w:tc>
          <w:tcPr>
            <w:tcW w:w="1089" w:type="dxa"/>
            <w:vAlign w:val="center"/>
          </w:tcPr>
          <w:p w14:paraId="6EF5D7B5">
            <w:pPr>
              <w:pStyle w:val="45"/>
              <w:rPr>
                <w:rFonts w:hint="default"/>
              </w:rPr>
            </w:pPr>
            <w:r>
              <w:t>100</w:t>
            </w:r>
          </w:p>
        </w:tc>
      </w:tr>
      <w:tr w14:paraId="3F4AB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101" w:type="dxa"/>
            <w:vAlign w:val="center"/>
          </w:tcPr>
          <w:p w14:paraId="64F7720F">
            <w:pPr>
              <w:pStyle w:val="45"/>
              <w:rPr>
                <w:rFonts w:hint="default"/>
              </w:rPr>
            </w:pPr>
            <w:r>
              <w:t>石油类</w:t>
            </w:r>
          </w:p>
        </w:tc>
        <w:tc>
          <w:tcPr>
            <w:tcW w:w="1559" w:type="dxa"/>
            <w:vAlign w:val="center"/>
          </w:tcPr>
          <w:p w14:paraId="5EE96ED7">
            <w:pPr>
              <w:pStyle w:val="45"/>
              <w:rPr>
                <w:rFonts w:hint="default"/>
              </w:rPr>
            </w:pPr>
            <w:r>
              <w:t>6.0</w:t>
            </w:r>
          </w:p>
        </w:tc>
        <w:tc>
          <w:tcPr>
            <w:tcW w:w="1365" w:type="dxa"/>
            <w:vAlign w:val="center"/>
          </w:tcPr>
          <w:p w14:paraId="49B0962A">
            <w:pPr>
              <w:pStyle w:val="45"/>
              <w:rPr>
                <w:rFonts w:hint="default"/>
              </w:rPr>
            </w:pPr>
            <w:r>
              <w:t>20</w:t>
            </w:r>
          </w:p>
        </w:tc>
        <w:tc>
          <w:tcPr>
            <w:tcW w:w="1200" w:type="dxa"/>
            <w:vAlign w:val="center"/>
          </w:tcPr>
          <w:p w14:paraId="7BA9269C">
            <w:pPr>
              <w:pStyle w:val="45"/>
              <w:rPr>
                <w:rFonts w:hint="default"/>
              </w:rPr>
            </w:pPr>
            <w:r>
              <w:t>10</w:t>
            </w:r>
          </w:p>
        </w:tc>
        <w:tc>
          <w:tcPr>
            <w:tcW w:w="2075" w:type="dxa"/>
            <w:vAlign w:val="center"/>
          </w:tcPr>
          <w:p w14:paraId="49F922B8">
            <w:pPr>
              <w:pStyle w:val="45"/>
              <w:rPr>
                <w:rFonts w:hint="default"/>
              </w:rPr>
            </w:pPr>
            <w:r>
              <w:t>/</w:t>
            </w:r>
          </w:p>
        </w:tc>
        <w:tc>
          <w:tcPr>
            <w:tcW w:w="1089" w:type="dxa"/>
            <w:vAlign w:val="center"/>
          </w:tcPr>
          <w:p w14:paraId="5328C4E8">
            <w:pPr>
              <w:pStyle w:val="45"/>
              <w:rPr>
                <w:rFonts w:hint="default"/>
              </w:rPr>
            </w:pPr>
            <w:r>
              <w:t>6.0</w:t>
            </w:r>
          </w:p>
        </w:tc>
      </w:tr>
      <w:tr w14:paraId="52D85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101" w:type="dxa"/>
            <w:vAlign w:val="center"/>
          </w:tcPr>
          <w:p w14:paraId="17CE184F">
            <w:pPr>
              <w:pStyle w:val="45"/>
              <w:rPr>
                <w:rFonts w:hint="default"/>
              </w:rPr>
            </w:pPr>
            <w:r>
              <w:t>高氯酸盐</w:t>
            </w:r>
          </w:p>
        </w:tc>
        <w:tc>
          <w:tcPr>
            <w:tcW w:w="1559" w:type="dxa"/>
            <w:vAlign w:val="center"/>
          </w:tcPr>
          <w:p w14:paraId="226C6DE7">
            <w:pPr>
              <w:pStyle w:val="45"/>
              <w:rPr>
                <w:rFonts w:hint="default"/>
              </w:rPr>
            </w:pPr>
            <w:r>
              <w:t>/</w:t>
            </w:r>
          </w:p>
        </w:tc>
        <w:tc>
          <w:tcPr>
            <w:tcW w:w="1365" w:type="dxa"/>
            <w:vAlign w:val="center"/>
          </w:tcPr>
          <w:p w14:paraId="6D28A9B2">
            <w:pPr>
              <w:pStyle w:val="45"/>
              <w:rPr>
                <w:rFonts w:hint="default"/>
              </w:rPr>
            </w:pPr>
            <w:r>
              <w:t>/</w:t>
            </w:r>
          </w:p>
        </w:tc>
        <w:tc>
          <w:tcPr>
            <w:tcW w:w="1200" w:type="dxa"/>
            <w:vAlign w:val="center"/>
          </w:tcPr>
          <w:p w14:paraId="3B1E7B90">
            <w:pPr>
              <w:pStyle w:val="45"/>
              <w:rPr>
                <w:rFonts w:hint="default"/>
              </w:rPr>
            </w:pPr>
            <w:r>
              <w:t>/</w:t>
            </w:r>
          </w:p>
        </w:tc>
        <w:tc>
          <w:tcPr>
            <w:tcW w:w="2075" w:type="dxa"/>
            <w:vAlign w:val="center"/>
          </w:tcPr>
          <w:p w14:paraId="2AF047F7">
            <w:pPr>
              <w:pStyle w:val="45"/>
              <w:rPr>
                <w:rFonts w:hint="default"/>
              </w:rPr>
            </w:pPr>
            <w:r>
              <w:t>1.0</w:t>
            </w:r>
          </w:p>
        </w:tc>
        <w:tc>
          <w:tcPr>
            <w:tcW w:w="1089" w:type="dxa"/>
            <w:vAlign w:val="center"/>
          </w:tcPr>
          <w:p w14:paraId="4CACA9AA">
            <w:pPr>
              <w:pStyle w:val="45"/>
              <w:rPr>
                <w:rFonts w:hint="default"/>
              </w:rPr>
            </w:pPr>
            <w:r>
              <w:t>1.0</w:t>
            </w:r>
          </w:p>
        </w:tc>
      </w:tr>
    </w:tbl>
    <w:p w14:paraId="666B31DB">
      <w:pPr>
        <w:spacing w:line="240" w:lineRule="auto"/>
        <w:ind w:firstLine="480"/>
      </w:pPr>
    </w:p>
    <w:p w14:paraId="5E772295">
      <w:pPr>
        <w:pStyle w:val="43"/>
        <w:rPr>
          <w:rFonts w:hint="default"/>
        </w:rPr>
      </w:pPr>
      <w:r>
        <w:t>单位产品基准排水量</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8"/>
        <w:gridCol w:w="1896"/>
        <w:gridCol w:w="1037"/>
        <w:gridCol w:w="2114"/>
        <w:gridCol w:w="2736"/>
      </w:tblGrid>
      <w:tr w14:paraId="13C50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jc w:val="center"/>
        </w:trPr>
        <w:tc>
          <w:tcPr>
            <w:tcW w:w="0" w:type="auto"/>
            <w:vAlign w:val="center"/>
          </w:tcPr>
          <w:p w14:paraId="740FE78D">
            <w:pPr>
              <w:pStyle w:val="45"/>
              <w:rPr>
                <w:rFonts w:hint="default"/>
                <w:b/>
                <w:bCs/>
              </w:rPr>
            </w:pPr>
            <w:r>
              <w:rPr>
                <w:b/>
                <w:bCs/>
              </w:rPr>
              <w:t>序号</w:t>
            </w:r>
          </w:p>
        </w:tc>
        <w:tc>
          <w:tcPr>
            <w:tcW w:w="0" w:type="auto"/>
            <w:vAlign w:val="center"/>
          </w:tcPr>
          <w:p w14:paraId="75798D37">
            <w:pPr>
              <w:pStyle w:val="45"/>
              <w:rPr>
                <w:rFonts w:hint="default"/>
                <w:b/>
                <w:bCs/>
              </w:rPr>
            </w:pPr>
            <w:r>
              <w:rPr>
                <w:b/>
                <w:bCs/>
              </w:rPr>
              <w:t>行业类别</w:t>
            </w:r>
          </w:p>
        </w:tc>
        <w:tc>
          <w:tcPr>
            <w:tcW w:w="0" w:type="auto"/>
            <w:vAlign w:val="center"/>
          </w:tcPr>
          <w:p w14:paraId="60F4B3D9">
            <w:pPr>
              <w:pStyle w:val="45"/>
              <w:rPr>
                <w:rFonts w:hint="default"/>
                <w:b/>
                <w:bCs/>
              </w:rPr>
            </w:pPr>
            <w:r>
              <w:rPr>
                <w:b/>
                <w:bCs/>
              </w:rPr>
              <w:t>单位</w:t>
            </w:r>
          </w:p>
        </w:tc>
        <w:tc>
          <w:tcPr>
            <w:tcW w:w="0" w:type="auto"/>
            <w:vAlign w:val="center"/>
          </w:tcPr>
          <w:p w14:paraId="21A57342">
            <w:pPr>
              <w:pStyle w:val="45"/>
              <w:rPr>
                <w:rFonts w:hint="default"/>
                <w:b/>
                <w:bCs/>
              </w:rPr>
            </w:pPr>
            <w:r>
              <w:rPr>
                <w:b/>
                <w:bCs/>
              </w:rPr>
              <w:t>单位产品基准排水量</w:t>
            </w:r>
          </w:p>
        </w:tc>
        <w:tc>
          <w:tcPr>
            <w:tcW w:w="0" w:type="auto"/>
            <w:vAlign w:val="center"/>
          </w:tcPr>
          <w:p w14:paraId="08BF23DA">
            <w:pPr>
              <w:pStyle w:val="45"/>
              <w:rPr>
                <w:rFonts w:hint="default"/>
                <w:b/>
                <w:bCs/>
              </w:rPr>
            </w:pPr>
            <w:r>
              <w:rPr>
                <w:b/>
                <w:bCs/>
              </w:rPr>
              <w:t>排水量计量位置</w:t>
            </w:r>
          </w:p>
        </w:tc>
      </w:tr>
      <w:tr w14:paraId="175A1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0" w:type="auto"/>
            <w:vAlign w:val="center"/>
          </w:tcPr>
          <w:p w14:paraId="617B1E40">
            <w:pPr>
              <w:pStyle w:val="45"/>
              <w:rPr>
                <w:rFonts w:hint="default"/>
              </w:rPr>
            </w:pPr>
            <w:r>
              <w:t>1</w:t>
            </w:r>
          </w:p>
        </w:tc>
        <w:tc>
          <w:tcPr>
            <w:tcW w:w="0" w:type="auto"/>
            <w:vAlign w:val="center"/>
          </w:tcPr>
          <w:p w14:paraId="37757C18">
            <w:pPr>
              <w:pStyle w:val="45"/>
              <w:rPr>
                <w:rFonts w:hint="default"/>
              </w:rPr>
            </w:pPr>
            <w:r>
              <w:t>高氯酸盐生产企业</w:t>
            </w:r>
          </w:p>
        </w:tc>
        <w:tc>
          <w:tcPr>
            <w:tcW w:w="0" w:type="auto"/>
            <w:vAlign w:val="center"/>
          </w:tcPr>
          <w:p w14:paraId="51EE819F">
            <w:pPr>
              <w:pStyle w:val="45"/>
              <w:rPr>
                <w:rFonts w:hint="default"/>
              </w:rPr>
            </w:pPr>
            <w:r>
              <w:t>m</w:t>
            </w:r>
            <w:r>
              <w:rPr>
                <w:vertAlign w:val="superscript"/>
              </w:rPr>
              <w:t>3</w:t>
            </w:r>
            <w:r>
              <w:t>/t产品</w:t>
            </w:r>
          </w:p>
        </w:tc>
        <w:tc>
          <w:tcPr>
            <w:tcW w:w="0" w:type="auto"/>
            <w:vAlign w:val="center"/>
          </w:tcPr>
          <w:p w14:paraId="3E503F4C">
            <w:pPr>
              <w:pStyle w:val="45"/>
              <w:rPr>
                <w:rFonts w:hint="default"/>
              </w:rPr>
            </w:pPr>
            <w:r>
              <w:t>2.0</w:t>
            </w:r>
          </w:p>
        </w:tc>
        <w:tc>
          <w:tcPr>
            <w:tcW w:w="0" w:type="auto"/>
            <w:vAlign w:val="center"/>
          </w:tcPr>
          <w:p w14:paraId="264F2CA9">
            <w:pPr>
              <w:pStyle w:val="45"/>
              <w:rPr>
                <w:rFonts w:hint="default"/>
              </w:rPr>
            </w:pPr>
            <w:r>
              <w:t>与污染物排放监控位置一致</w:t>
            </w:r>
          </w:p>
        </w:tc>
      </w:tr>
    </w:tbl>
    <w:p w14:paraId="3374DB6E">
      <w:pPr>
        <w:spacing w:line="240" w:lineRule="auto"/>
        <w:ind w:firstLine="0" w:firstLineChars="0"/>
      </w:pPr>
    </w:p>
    <w:p w14:paraId="14605199">
      <w:pPr>
        <w:pStyle w:val="4"/>
      </w:pPr>
      <w:bookmarkStart w:id="71" w:name="_Toc25680"/>
      <w:r>
        <w:rPr>
          <w:rFonts w:hint="eastAsia"/>
        </w:rPr>
        <w:t>地下水环境功能区划及相关标准</w:t>
      </w:r>
      <w:bookmarkEnd w:id="71"/>
    </w:p>
    <w:p w14:paraId="524F3365">
      <w:pPr>
        <w:ind w:firstLine="480"/>
        <w:rPr>
          <w:rFonts w:cs="Times New Roman"/>
          <w:szCs w:val="28"/>
        </w:rPr>
      </w:pPr>
      <w:r>
        <w:rPr>
          <w:rFonts w:hint="eastAsia"/>
        </w:rPr>
        <w:t>根据《地下水质量标准》（GB/T14848-2017）中关于地下水环境功能区划分的相关规定，结合项目区域环境特征和保护要求，建议执行《地下水质量标准》(GB/T14848-2017)中Ⅲ类标准。</w:t>
      </w:r>
      <w:r>
        <w:rPr>
          <w:rFonts w:hint="eastAsia" w:cs="Times New Roman"/>
          <w:szCs w:val="28"/>
        </w:rPr>
        <w:t>具体标准限值详见下表。</w:t>
      </w:r>
    </w:p>
    <w:p w14:paraId="0B264F17">
      <w:pPr>
        <w:pStyle w:val="43"/>
        <w:rPr>
          <w:rFonts w:hint="default"/>
        </w:rPr>
      </w:pPr>
      <w:r>
        <w:t>地下水环境质量标准（mg/L，pH无量纲）</w:t>
      </w:r>
    </w:p>
    <w:tbl>
      <w:tblPr>
        <w:tblStyle w:val="3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4"/>
        <w:gridCol w:w="1432"/>
        <w:gridCol w:w="1435"/>
        <w:gridCol w:w="1442"/>
        <w:gridCol w:w="1421"/>
        <w:gridCol w:w="1482"/>
      </w:tblGrid>
      <w:tr w14:paraId="17B5C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0" w:type="pct"/>
            <w:tcMar>
              <w:left w:w="57" w:type="dxa"/>
              <w:right w:w="57" w:type="dxa"/>
            </w:tcMar>
            <w:vAlign w:val="center"/>
          </w:tcPr>
          <w:p w14:paraId="4459A2B5">
            <w:pPr>
              <w:widowControl/>
              <w:adjustRightInd/>
              <w:spacing w:line="240" w:lineRule="auto"/>
              <w:ind w:firstLine="0" w:firstLineChars="0"/>
              <w:jc w:val="center"/>
              <w:rPr>
                <w:rFonts w:cs="Times New Roman"/>
                <w:b/>
                <w:bCs/>
                <w:kern w:val="0"/>
                <w:sz w:val="21"/>
                <w:szCs w:val="21"/>
              </w:rPr>
            </w:pPr>
            <w:r>
              <w:rPr>
                <w:rFonts w:cs="Times New Roman"/>
                <w:b/>
                <w:bCs/>
                <w:kern w:val="0"/>
                <w:sz w:val="21"/>
                <w:szCs w:val="21"/>
              </w:rPr>
              <w:t>项目</w:t>
            </w:r>
          </w:p>
        </w:tc>
        <w:tc>
          <w:tcPr>
            <w:tcW w:w="845" w:type="pct"/>
            <w:vAlign w:val="center"/>
          </w:tcPr>
          <w:p w14:paraId="1447B411">
            <w:pPr>
              <w:widowControl/>
              <w:adjustRightInd/>
              <w:spacing w:line="240" w:lineRule="auto"/>
              <w:ind w:firstLine="0" w:firstLineChars="0"/>
              <w:jc w:val="center"/>
              <w:rPr>
                <w:rFonts w:cs="Times New Roman"/>
                <w:b/>
                <w:bCs/>
                <w:kern w:val="0"/>
                <w:sz w:val="21"/>
                <w:szCs w:val="21"/>
              </w:rPr>
            </w:pPr>
            <w:r>
              <w:rPr>
                <w:rFonts w:cs="Times New Roman"/>
                <w:b/>
                <w:bCs/>
                <w:kern w:val="0"/>
                <w:sz w:val="21"/>
                <w:szCs w:val="21"/>
              </w:rPr>
              <w:t>pH</w:t>
            </w:r>
          </w:p>
        </w:tc>
        <w:tc>
          <w:tcPr>
            <w:tcW w:w="847" w:type="pct"/>
            <w:vAlign w:val="center"/>
          </w:tcPr>
          <w:p w14:paraId="38D8FF37">
            <w:pPr>
              <w:widowControl/>
              <w:adjustRightInd/>
              <w:spacing w:line="240" w:lineRule="auto"/>
              <w:ind w:firstLine="0" w:firstLineChars="0"/>
              <w:jc w:val="center"/>
              <w:rPr>
                <w:rFonts w:cs="Times New Roman"/>
                <w:b/>
                <w:bCs/>
                <w:kern w:val="0"/>
                <w:sz w:val="21"/>
                <w:szCs w:val="21"/>
              </w:rPr>
            </w:pPr>
            <w:r>
              <w:rPr>
                <w:rFonts w:cs="Times New Roman"/>
                <w:b/>
                <w:bCs/>
                <w:kern w:val="0"/>
                <w:sz w:val="21"/>
                <w:szCs w:val="21"/>
              </w:rPr>
              <w:t>COD</w:t>
            </w:r>
            <w:r>
              <w:rPr>
                <w:rFonts w:cs="Times New Roman"/>
                <w:b/>
                <w:bCs/>
                <w:kern w:val="0"/>
                <w:sz w:val="21"/>
                <w:szCs w:val="21"/>
                <w:vertAlign w:val="subscript"/>
              </w:rPr>
              <w:t>Mn</w:t>
            </w:r>
          </w:p>
        </w:tc>
        <w:tc>
          <w:tcPr>
            <w:tcW w:w="851" w:type="pct"/>
            <w:vAlign w:val="center"/>
          </w:tcPr>
          <w:p w14:paraId="2FD939DD">
            <w:pPr>
              <w:widowControl/>
              <w:adjustRightInd/>
              <w:spacing w:line="240" w:lineRule="auto"/>
              <w:ind w:firstLine="0" w:firstLineChars="0"/>
              <w:jc w:val="center"/>
              <w:rPr>
                <w:rFonts w:cs="Times New Roman"/>
                <w:b/>
                <w:bCs/>
                <w:kern w:val="0"/>
                <w:sz w:val="21"/>
                <w:szCs w:val="21"/>
              </w:rPr>
            </w:pPr>
            <w:r>
              <w:rPr>
                <w:rFonts w:cs="Times New Roman"/>
                <w:b/>
                <w:bCs/>
                <w:kern w:val="0"/>
                <w:sz w:val="21"/>
                <w:szCs w:val="21"/>
              </w:rPr>
              <w:t>氨氮</w:t>
            </w:r>
          </w:p>
        </w:tc>
        <w:tc>
          <w:tcPr>
            <w:tcW w:w="839" w:type="pct"/>
            <w:vAlign w:val="center"/>
          </w:tcPr>
          <w:p w14:paraId="7C22D838">
            <w:pPr>
              <w:widowControl/>
              <w:adjustRightInd/>
              <w:spacing w:line="240" w:lineRule="auto"/>
              <w:ind w:firstLine="0" w:firstLineChars="0"/>
              <w:jc w:val="center"/>
              <w:rPr>
                <w:rFonts w:cs="Times New Roman"/>
                <w:b/>
                <w:bCs/>
                <w:kern w:val="0"/>
                <w:sz w:val="21"/>
                <w:szCs w:val="21"/>
              </w:rPr>
            </w:pPr>
            <w:r>
              <w:rPr>
                <w:rFonts w:cs="Times New Roman"/>
                <w:b/>
                <w:bCs/>
                <w:kern w:val="0"/>
                <w:sz w:val="21"/>
                <w:szCs w:val="21"/>
              </w:rPr>
              <w:t>硫化物</w:t>
            </w:r>
          </w:p>
        </w:tc>
        <w:tc>
          <w:tcPr>
            <w:tcW w:w="875" w:type="pct"/>
            <w:vAlign w:val="center"/>
          </w:tcPr>
          <w:p w14:paraId="100B82EA">
            <w:pPr>
              <w:widowControl/>
              <w:adjustRightInd/>
              <w:spacing w:line="240" w:lineRule="auto"/>
              <w:ind w:firstLine="0" w:firstLineChars="0"/>
              <w:jc w:val="center"/>
              <w:rPr>
                <w:rFonts w:cs="Times New Roman"/>
                <w:b/>
                <w:bCs/>
                <w:kern w:val="0"/>
                <w:sz w:val="21"/>
                <w:szCs w:val="21"/>
              </w:rPr>
            </w:pPr>
            <w:r>
              <w:rPr>
                <w:rFonts w:hint="eastAsia" w:cs="Times New Roman"/>
                <w:b/>
                <w:bCs/>
                <w:kern w:val="0"/>
                <w:sz w:val="21"/>
                <w:szCs w:val="21"/>
              </w:rPr>
              <w:t>硫酸盐</w:t>
            </w:r>
          </w:p>
        </w:tc>
      </w:tr>
      <w:tr w14:paraId="690CD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0" w:type="pct"/>
            <w:tcMar>
              <w:left w:w="57" w:type="dxa"/>
              <w:right w:w="57" w:type="dxa"/>
            </w:tcMar>
            <w:vAlign w:val="center"/>
          </w:tcPr>
          <w:p w14:paraId="4C3976F8">
            <w:pPr>
              <w:widowControl/>
              <w:adjustRightInd/>
              <w:spacing w:line="240" w:lineRule="auto"/>
              <w:ind w:firstLine="0" w:firstLineChars="0"/>
              <w:jc w:val="center"/>
              <w:rPr>
                <w:rFonts w:cs="Times New Roman"/>
                <w:b/>
                <w:bCs/>
                <w:kern w:val="0"/>
                <w:sz w:val="21"/>
                <w:szCs w:val="21"/>
              </w:rPr>
            </w:pPr>
            <w:r>
              <w:rPr>
                <w:rFonts w:cs="Times New Roman"/>
                <w:b/>
                <w:bCs/>
                <w:kern w:val="0"/>
                <w:sz w:val="21"/>
                <w:szCs w:val="21"/>
              </w:rPr>
              <w:t>浓度限值</w:t>
            </w:r>
          </w:p>
        </w:tc>
        <w:tc>
          <w:tcPr>
            <w:tcW w:w="845" w:type="pct"/>
            <w:vAlign w:val="center"/>
          </w:tcPr>
          <w:p w14:paraId="19AFB369">
            <w:pPr>
              <w:widowControl/>
              <w:adjustRightInd/>
              <w:spacing w:line="240" w:lineRule="auto"/>
              <w:ind w:firstLine="0" w:firstLineChars="0"/>
              <w:jc w:val="center"/>
              <w:rPr>
                <w:rFonts w:cs="Times New Roman"/>
                <w:kern w:val="0"/>
                <w:sz w:val="21"/>
                <w:szCs w:val="21"/>
              </w:rPr>
            </w:pPr>
            <w:r>
              <w:rPr>
                <w:rFonts w:cs="Times New Roman"/>
                <w:kern w:val="0"/>
                <w:sz w:val="21"/>
                <w:szCs w:val="21"/>
              </w:rPr>
              <w:t>6.5~8.5</w:t>
            </w:r>
          </w:p>
        </w:tc>
        <w:tc>
          <w:tcPr>
            <w:tcW w:w="847" w:type="pct"/>
            <w:vAlign w:val="center"/>
          </w:tcPr>
          <w:p w14:paraId="31439BCE">
            <w:pPr>
              <w:widowControl/>
              <w:adjustRightInd/>
              <w:spacing w:line="240" w:lineRule="auto"/>
              <w:ind w:firstLine="0" w:firstLineChars="0"/>
              <w:jc w:val="center"/>
              <w:rPr>
                <w:rFonts w:cs="Times New Roman"/>
                <w:kern w:val="0"/>
                <w:sz w:val="21"/>
                <w:szCs w:val="21"/>
              </w:rPr>
            </w:pPr>
            <w:r>
              <w:rPr>
                <w:rFonts w:cs="Times New Roman"/>
                <w:kern w:val="0"/>
                <w:sz w:val="21"/>
                <w:szCs w:val="21"/>
              </w:rPr>
              <w:t>≤3.0</w:t>
            </w:r>
          </w:p>
        </w:tc>
        <w:tc>
          <w:tcPr>
            <w:tcW w:w="851" w:type="pct"/>
            <w:vAlign w:val="center"/>
          </w:tcPr>
          <w:p w14:paraId="31487A89">
            <w:pPr>
              <w:widowControl/>
              <w:adjustRightInd/>
              <w:spacing w:line="240" w:lineRule="auto"/>
              <w:ind w:firstLine="0" w:firstLineChars="0"/>
              <w:jc w:val="center"/>
              <w:rPr>
                <w:rFonts w:cs="Times New Roman"/>
                <w:kern w:val="0"/>
                <w:sz w:val="21"/>
                <w:szCs w:val="21"/>
              </w:rPr>
            </w:pPr>
            <w:r>
              <w:rPr>
                <w:rFonts w:cs="Times New Roman"/>
                <w:kern w:val="0"/>
                <w:sz w:val="21"/>
                <w:szCs w:val="21"/>
              </w:rPr>
              <w:t>≤0.5</w:t>
            </w:r>
          </w:p>
        </w:tc>
        <w:tc>
          <w:tcPr>
            <w:tcW w:w="839" w:type="pct"/>
            <w:vAlign w:val="center"/>
          </w:tcPr>
          <w:p w14:paraId="265A8023">
            <w:pPr>
              <w:widowControl/>
              <w:adjustRightInd/>
              <w:spacing w:line="240" w:lineRule="auto"/>
              <w:ind w:firstLine="0" w:firstLineChars="0"/>
              <w:jc w:val="center"/>
              <w:rPr>
                <w:rFonts w:cs="Times New Roman"/>
                <w:kern w:val="0"/>
                <w:sz w:val="21"/>
                <w:szCs w:val="21"/>
              </w:rPr>
            </w:pPr>
            <w:r>
              <w:rPr>
                <w:rFonts w:cs="Times New Roman"/>
                <w:kern w:val="0"/>
                <w:sz w:val="21"/>
                <w:szCs w:val="21"/>
              </w:rPr>
              <w:t>≤0.02</w:t>
            </w:r>
          </w:p>
        </w:tc>
        <w:tc>
          <w:tcPr>
            <w:tcW w:w="875" w:type="pct"/>
            <w:vAlign w:val="center"/>
          </w:tcPr>
          <w:p w14:paraId="788F8919">
            <w:pPr>
              <w:widowControl/>
              <w:adjustRightInd/>
              <w:spacing w:line="240" w:lineRule="auto"/>
              <w:ind w:firstLine="0" w:firstLineChars="0"/>
              <w:jc w:val="center"/>
              <w:rPr>
                <w:rFonts w:cs="Times New Roman"/>
                <w:kern w:val="0"/>
                <w:sz w:val="21"/>
                <w:szCs w:val="21"/>
              </w:rPr>
            </w:pPr>
            <w:r>
              <w:rPr>
                <w:rFonts w:cs="Times New Roman"/>
                <w:kern w:val="0"/>
                <w:sz w:val="21"/>
                <w:szCs w:val="21"/>
              </w:rPr>
              <w:t>≤</w:t>
            </w:r>
            <w:r>
              <w:rPr>
                <w:rFonts w:hint="eastAsia" w:cs="Times New Roman"/>
                <w:kern w:val="0"/>
                <w:sz w:val="21"/>
                <w:szCs w:val="21"/>
              </w:rPr>
              <w:t>250</w:t>
            </w:r>
          </w:p>
        </w:tc>
      </w:tr>
      <w:tr w14:paraId="66654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0" w:type="pct"/>
            <w:tcMar>
              <w:left w:w="57" w:type="dxa"/>
              <w:right w:w="57" w:type="dxa"/>
            </w:tcMar>
            <w:vAlign w:val="center"/>
          </w:tcPr>
          <w:p w14:paraId="634E0508">
            <w:pPr>
              <w:widowControl/>
              <w:adjustRightInd/>
              <w:spacing w:line="240" w:lineRule="auto"/>
              <w:ind w:firstLine="0" w:firstLineChars="0"/>
              <w:jc w:val="center"/>
              <w:rPr>
                <w:rFonts w:cs="Times New Roman"/>
                <w:b/>
                <w:bCs/>
                <w:kern w:val="0"/>
                <w:sz w:val="21"/>
                <w:szCs w:val="21"/>
              </w:rPr>
            </w:pPr>
            <w:r>
              <w:rPr>
                <w:rFonts w:cs="Times New Roman"/>
                <w:b/>
                <w:bCs/>
                <w:kern w:val="0"/>
                <w:sz w:val="21"/>
                <w:szCs w:val="21"/>
              </w:rPr>
              <w:t>项目</w:t>
            </w:r>
          </w:p>
        </w:tc>
        <w:tc>
          <w:tcPr>
            <w:tcW w:w="845" w:type="pct"/>
            <w:vAlign w:val="center"/>
          </w:tcPr>
          <w:p w14:paraId="3C61B04A">
            <w:pPr>
              <w:widowControl/>
              <w:adjustRightInd/>
              <w:spacing w:line="240" w:lineRule="auto"/>
              <w:ind w:firstLine="0" w:firstLineChars="0"/>
              <w:jc w:val="center"/>
              <w:rPr>
                <w:rFonts w:cs="Times New Roman"/>
                <w:b/>
                <w:bCs/>
                <w:kern w:val="0"/>
                <w:sz w:val="21"/>
                <w:szCs w:val="21"/>
              </w:rPr>
            </w:pPr>
            <w:r>
              <w:rPr>
                <w:rFonts w:cs="Times New Roman"/>
                <w:b/>
                <w:bCs/>
                <w:kern w:val="0"/>
                <w:sz w:val="21"/>
                <w:szCs w:val="21"/>
              </w:rPr>
              <w:t>氯化物</w:t>
            </w:r>
          </w:p>
        </w:tc>
        <w:tc>
          <w:tcPr>
            <w:tcW w:w="847" w:type="pct"/>
            <w:vAlign w:val="center"/>
          </w:tcPr>
          <w:p w14:paraId="2EF54D55">
            <w:pPr>
              <w:widowControl/>
              <w:adjustRightInd/>
              <w:spacing w:line="240" w:lineRule="auto"/>
              <w:ind w:firstLine="0" w:firstLineChars="0"/>
              <w:jc w:val="center"/>
              <w:rPr>
                <w:rFonts w:cs="Times New Roman"/>
                <w:b/>
                <w:bCs/>
                <w:kern w:val="0"/>
                <w:sz w:val="21"/>
                <w:szCs w:val="21"/>
              </w:rPr>
            </w:pPr>
            <w:r>
              <w:rPr>
                <w:rFonts w:hint="eastAsia" w:cs="Times New Roman"/>
                <w:b/>
                <w:bCs/>
                <w:kern w:val="0"/>
                <w:sz w:val="21"/>
                <w:szCs w:val="21"/>
              </w:rPr>
              <w:t>硝酸盐</w:t>
            </w:r>
          </w:p>
        </w:tc>
        <w:tc>
          <w:tcPr>
            <w:tcW w:w="851" w:type="pct"/>
            <w:vAlign w:val="center"/>
          </w:tcPr>
          <w:p w14:paraId="528B3672">
            <w:pPr>
              <w:widowControl/>
              <w:adjustRightInd/>
              <w:spacing w:line="240" w:lineRule="auto"/>
              <w:ind w:firstLine="0" w:firstLineChars="0"/>
              <w:jc w:val="center"/>
              <w:rPr>
                <w:rFonts w:cs="Times New Roman"/>
                <w:b/>
                <w:bCs/>
                <w:kern w:val="0"/>
                <w:sz w:val="21"/>
                <w:szCs w:val="21"/>
              </w:rPr>
            </w:pPr>
            <w:r>
              <w:rPr>
                <w:rFonts w:hint="eastAsia" w:cs="Times New Roman"/>
                <w:b/>
                <w:bCs/>
                <w:kern w:val="0"/>
                <w:sz w:val="21"/>
                <w:szCs w:val="21"/>
              </w:rPr>
              <w:t>亚</w:t>
            </w:r>
            <w:r>
              <w:rPr>
                <w:rFonts w:cs="Times New Roman"/>
                <w:b/>
                <w:bCs/>
                <w:kern w:val="0"/>
                <w:sz w:val="21"/>
                <w:szCs w:val="21"/>
              </w:rPr>
              <w:t>硝酸盐</w:t>
            </w:r>
          </w:p>
        </w:tc>
        <w:tc>
          <w:tcPr>
            <w:tcW w:w="839" w:type="pct"/>
            <w:vAlign w:val="center"/>
          </w:tcPr>
          <w:p w14:paraId="017106E5">
            <w:pPr>
              <w:widowControl/>
              <w:adjustRightInd/>
              <w:spacing w:line="240" w:lineRule="auto"/>
              <w:ind w:firstLine="0" w:firstLineChars="0"/>
              <w:jc w:val="center"/>
              <w:rPr>
                <w:rFonts w:cs="Times New Roman"/>
                <w:b/>
                <w:bCs/>
                <w:kern w:val="0"/>
                <w:sz w:val="21"/>
                <w:szCs w:val="21"/>
              </w:rPr>
            </w:pPr>
            <w:r>
              <w:rPr>
                <w:rFonts w:hint="eastAsia" w:cs="Times New Roman"/>
                <w:b/>
                <w:bCs/>
                <w:kern w:val="0"/>
                <w:sz w:val="21"/>
                <w:szCs w:val="21"/>
              </w:rPr>
              <w:t>总硬度</w:t>
            </w:r>
          </w:p>
        </w:tc>
        <w:tc>
          <w:tcPr>
            <w:tcW w:w="875" w:type="pct"/>
            <w:vAlign w:val="center"/>
          </w:tcPr>
          <w:p w14:paraId="2ABF90D4">
            <w:pPr>
              <w:widowControl/>
              <w:adjustRightInd/>
              <w:spacing w:line="240" w:lineRule="auto"/>
              <w:ind w:firstLine="0" w:firstLineChars="0"/>
              <w:jc w:val="center"/>
              <w:rPr>
                <w:rFonts w:cs="Times New Roman"/>
                <w:b/>
                <w:bCs/>
                <w:kern w:val="0"/>
                <w:sz w:val="21"/>
                <w:szCs w:val="21"/>
              </w:rPr>
            </w:pPr>
            <w:r>
              <w:rPr>
                <w:rFonts w:hint="eastAsia" w:cs="Times New Roman"/>
                <w:b/>
                <w:bCs/>
                <w:kern w:val="0"/>
                <w:sz w:val="21"/>
                <w:szCs w:val="21"/>
              </w:rPr>
              <w:t>溶解性总固体</w:t>
            </w:r>
          </w:p>
        </w:tc>
      </w:tr>
      <w:tr w14:paraId="653F3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0" w:type="pct"/>
            <w:tcMar>
              <w:left w:w="57" w:type="dxa"/>
              <w:right w:w="57" w:type="dxa"/>
            </w:tcMar>
            <w:vAlign w:val="center"/>
          </w:tcPr>
          <w:p w14:paraId="195EE439">
            <w:pPr>
              <w:widowControl/>
              <w:adjustRightInd/>
              <w:spacing w:line="240" w:lineRule="auto"/>
              <w:ind w:firstLine="0" w:firstLineChars="0"/>
              <w:jc w:val="center"/>
              <w:rPr>
                <w:rFonts w:cs="Times New Roman"/>
                <w:b/>
                <w:bCs/>
                <w:kern w:val="0"/>
                <w:sz w:val="21"/>
                <w:szCs w:val="21"/>
              </w:rPr>
            </w:pPr>
            <w:r>
              <w:rPr>
                <w:rFonts w:cs="Times New Roman"/>
                <w:b/>
                <w:bCs/>
                <w:kern w:val="0"/>
                <w:sz w:val="21"/>
                <w:szCs w:val="21"/>
              </w:rPr>
              <w:t>浓度限值</w:t>
            </w:r>
          </w:p>
        </w:tc>
        <w:tc>
          <w:tcPr>
            <w:tcW w:w="845" w:type="pct"/>
            <w:vAlign w:val="center"/>
          </w:tcPr>
          <w:p w14:paraId="0D1622B2">
            <w:pPr>
              <w:widowControl/>
              <w:adjustRightInd/>
              <w:spacing w:line="240" w:lineRule="auto"/>
              <w:ind w:firstLine="0" w:firstLineChars="0"/>
              <w:jc w:val="center"/>
              <w:rPr>
                <w:rFonts w:cs="Times New Roman"/>
                <w:kern w:val="0"/>
                <w:sz w:val="21"/>
                <w:szCs w:val="21"/>
              </w:rPr>
            </w:pPr>
            <w:r>
              <w:rPr>
                <w:rFonts w:cs="Times New Roman"/>
                <w:kern w:val="0"/>
                <w:sz w:val="21"/>
                <w:szCs w:val="21"/>
              </w:rPr>
              <w:t>≤2</w:t>
            </w:r>
            <w:r>
              <w:rPr>
                <w:rFonts w:hint="eastAsia" w:cs="Times New Roman"/>
                <w:kern w:val="0"/>
                <w:sz w:val="21"/>
                <w:szCs w:val="21"/>
              </w:rPr>
              <w:t>50</w:t>
            </w:r>
          </w:p>
        </w:tc>
        <w:tc>
          <w:tcPr>
            <w:tcW w:w="847" w:type="pct"/>
            <w:vAlign w:val="center"/>
          </w:tcPr>
          <w:p w14:paraId="1893F630">
            <w:pPr>
              <w:widowControl/>
              <w:adjustRightInd/>
              <w:spacing w:line="240" w:lineRule="auto"/>
              <w:ind w:firstLine="0" w:firstLineChars="0"/>
              <w:jc w:val="center"/>
              <w:rPr>
                <w:rFonts w:cs="Times New Roman"/>
                <w:kern w:val="0"/>
                <w:sz w:val="21"/>
                <w:szCs w:val="21"/>
              </w:rPr>
            </w:pPr>
            <w:r>
              <w:rPr>
                <w:rFonts w:cs="Times New Roman"/>
                <w:kern w:val="0"/>
                <w:sz w:val="21"/>
                <w:szCs w:val="21"/>
              </w:rPr>
              <w:t>≤</w:t>
            </w:r>
            <w:r>
              <w:rPr>
                <w:rFonts w:hint="eastAsia" w:cs="Times New Roman"/>
                <w:kern w:val="0"/>
                <w:sz w:val="21"/>
                <w:szCs w:val="21"/>
              </w:rPr>
              <w:t>20.0</w:t>
            </w:r>
          </w:p>
        </w:tc>
        <w:tc>
          <w:tcPr>
            <w:tcW w:w="851" w:type="pct"/>
            <w:vAlign w:val="center"/>
          </w:tcPr>
          <w:p w14:paraId="0C37FA79">
            <w:pPr>
              <w:widowControl/>
              <w:adjustRightInd/>
              <w:spacing w:line="240" w:lineRule="auto"/>
              <w:ind w:firstLine="0" w:firstLineChars="0"/>
              <w:jc w:val="center"/>
              <w:rPr>
                <w:rFonts w:cs="Times New Roman"/>
                <w:kern w:val="0"/>
                <w:sz w:val="21"/>
                <w:szCs w:val="21"/>
              </w:rPr>
            </w:pPr>
            <w:r>
              <w:rPr>
                <w:rFonts w:cs="Times New Roman"/>
                <w:kern w:val="0"/>
                <w:sz w:val="21"/>
                <w:szCs w:val="21"/>
              </w:rPr>
              <w:t>≤</w:t>
            </w:r>
            <w:r>
              <w:rPr>
                <w:rFonts w:hint="eastAsia" w:cs="Times New Roman"/>
                <w:kern w:val="0"/>
                <w:sz w:val="21"/>
                <w:szCs w:val="21"/>
              </w:rPr>
              <w:t>1.00</w:t>
            </w:r>
          </w:p>
        </w:tc>
        <w:tc>
          <w:tcPr>
            <w:tcW w:w="839" w:type="pct"/>
            <w:vAlign w:val="center"/>
          </w:tcPr>
          <w:p w14:paraId="7B96FF99">
            <w:pPr>
              <w:widowControl/>
              <w:adjustRightInd/>
              <w:spacing w:line="240" w:lineRule="auto"/>
              <w:ind w:firstLine="0" w:firstLineChars="0"/>
              <w:jc w:val="center"/>
              <w:rPr>
                <w:rFonts w:cs="Times New Roman"/>
                <w:kern w:val="0"/>
                <w:sz w:val="21"/>
                <w:szCs w:val="21"/>
              </w:rPr>
            </w:pPr>
            <w:r>
              <w:rPr>
                <w:rFonts w:cs="Times New Roman"/>
                <w:kern w:val="0"/>
                <w:sz w:val="21"/>
                <w:szCs w:val="21"/>
              </w:rPr>
              <w:t>≤</w:t>
            </w:r>
            <w:r>
              <w:rPr>
                <w:rFonts w:hint="eastAsia" w:cs="Times New Roman"/>
                <w:kern w:val="0"/>
                <w:sz w:val="21"/>
                <w:szCs w:val="21"/>
              </w:rPr>
              <w:t>450</w:t>
            </w:r>
          </w:p>
        </w:tc>
        <w:tc>
          <w:tcPr>
            <w:tcW w:w="875" w:type="pct"/>
            <w:vAlign w:val="center"/>
          </w:tcPr>
          <w:p w14:paraId="29DBBE09">
            <w:pPr>
              <w:widowControl/>
              <w:adjustRightInd/>
              <w:spacing w:line="240" w:lineRule="auto"/>
              <w:ind w:firstLine="0" w:firstLineChars="0"/>
              <w:jc w:val="center"/>
              <w:rPr>
                <w:rFonts w:cs="Times New Roman"/>
                <w:kern w:val="0"/>
                <w:sz w:val="21"/>
                <w:szCs w:val="21"/>
              </w:rPr>
            </w:pPr>
            <w:r>
              <w:rPr>
                <w:rFonts w:cs="Times New Roman"/>
                <w:kern w:val="0"/>
                <w:sz w:val="21"/>
                <w:szCs w:val="21"/>
              </w:rPr>
              <w:t>≤</w:t>
            </w:r>
            <w:r>
              <w:rPr>
                <w:rFonts w:hint="eastAsia" w:cs="Times New Roman"/>
                <w:kern w:val="0"/>
                <w:sz w:val="21"/>
                <w:szCs w:val="21"/>
              </w:rPr>
              <w:t>1000</w:t>
            </w:r>
          </w:p>
        </w:tc>
      </w:tr>
      <w:tr w14:paraId="1BB9B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0" w:type="pct"/>
            <w:tcMar>
              <w:left w:w="57" w:type="dxa"/>
              <w:right w:w="57" w:type="dxa"/>
            </w:tcMar>
            <w:vAlign w:val="center"/>
          </w:tcPr>
          <w:p w14:paraId="7703EE05">
            <w:pPr>
              <w:widowControl/>
              <w:adjustRightInd/>
              <w:spacing w:line="240" w:lineRule="auto"/>
              <w:ind w:firstLine="0" w:firstLineChars="0"/>
              <w:jc w:val="center"/>
              <w:rPr>
                <w:rFonts w:cs="Times New Roman"/>
                <w:b/>
                <w:bCs/>
                <w:kern w:val="0"/>
                <w:sz w:val="21"/>
                <w:szCs w:val="21"/>
              </w:rPr>
            </w:pPr>
            <w:r>
              <w:rPr>
                <w:rFonts w:cs="Times New Roman"/>
                <w:b/>
                <w:bCs/>
                <w:kern w:val="0"/>
                <w:sz w:val="21"/>
                <w:szCs w:val="21"/>
              </w:rPr>
              <w:t>项目</w:t>
            </w:r>
          </w:p>
        </w:tc>
        <w:tc>
          <w:tcPr>
            <w:tcW w:w="845" w:type="pct"/>
            <w:vAlign w:val="center"/>
          </w:tcPr>
          <w:p w14:paraId="20018976">
            <w:pPr>
              <w:widowControl/>
              <w:adjustRightInd/>
              <w:spacing w:line="240" w:lineRule="auto"/>
              <w:ind w:firstLine="0" w:firstLineChars="0"/>
              <w:jc w:val="center"/>
              <w:rPr>
                <w:rFonts w:cs="Times New Roman"/>
                <w:b/>
                <w:bCs/>
                <w:kern w:val="0"/>
                <w:sz w:val="21"/>
                <w:szCs w:val="21"/>
              </w:rPr>
            </w:pPr>
            <w:r>
              <w:rPr>
                <w:rFonts w:hint="eastAsia" w:cs="Times New Roman"/>
                <w:b/>
                <w:bCs/>
                <w:kern w:val="0"/>
                <w:sz w:val="21"/>
                <w:szCs w:val="21"/>
              </w:rPr>
              <w:t>挥发酚</w:t>
            </w:r>
          </w:p>
        </w:tc>
        <w:tc>
          <w:tcPr>
            <w:tcW w:w="847" w:type="pct"/>
            <w:vAlign w:val="center"/>
          </w:tcPr>
          <w:p w14:paraId="665C3AEB">
            <w:pPr>
              <w:widowControl/>
              <w:adjustRightInd/>
              <w:spacing w:line="240" w:lineRule="auto"/>
              <w:ind w:firstLine="0" w:firstLineChars="0"/>
              <w:jc w:val="center"/>
              <w:rPr>
                <w:rFonts w:cs="Times New Roman"/>
                <w:b/>
                <w:bCs/>
                <w:kern w:val="0"/>
                <w:sz w:val="21"/>
                <w:szCs w:val="21"/>
              </w:rPr>
            </w:pPr>
            <w:r>
              <w:rPr>
                <w:rFonts w:hint="eastAsia" w:cs="Times New Roman"/>
                <w:b/>
                <w:bCs/>
                <w:kern w:val="0"/>
                <w:sz w:val="21"/>
                <w:szCs w:val="21"/>
              </w:rPr>
              <w:t>K</w:t>
            </w:r>
            <w:r>
              <w:rPr>
                <w:rFonts w:hint="eastAsia" w:cs="Times New Roman"/>
                <w:b/>
                <w:bCs/>
                <w:kern w:val="0"/>
                <w:sz w:val="21"/>
                <w:szCs w:val="21"/>
                <w:vertAlign w:val="superscript"/>
              </w:rPr>
              <w:t>+</w:t>
            </w:r>
          </w:p>
        </w:tc>
        <w:tc>
          <w:tcPr>
            <w:tcW w:w="851" w:type="pct"/>
            <w:vAlign w:val="center"/>
          </w:tcPr>
          <w:p w14:paraId="3C59B283">
            <w:pPr>
              <w:widowControl/>
              <w:adjustRightInd/>
              <w:spacing w:line="240" w:lineRule="auto"/>
              <w:ind w:firstLine="0" w:firstLineChars="0"/>
              <w:jc w:val="center"/>
              <w:rPr>
                <w:rFonts w:cs="Times New Roman"/>
                <w:b/>
                <w:bCs/>
                <w:kern w:val="0"/>
                <w:sz w:val="21"/>
                <w:szCs w:val="21"/>
              </w:rPr>
            </w:pPr>
            <w:r>
              <w:rPr>
                <w:rFonts w:cs="Times New Roman"/>
                <w:b/>
                <w:bCs/>
                <w:kern w:val="0"/>
                <w:sz w:val="21"/>
                <w:szCs w:val="21"/>
              </w:rPr>
              <w:t>Na</w:t>
            </w:r>
            <w:r>
              <w:rPr>
                <w:rFonts w:cs="Times New Roman"/>
                <w:b/>
                <w:bCs/>
                <w:kern w:val="0"/>
                <w:sz w:val="21"/>
                <w:szCs w:val="21"/>
                <w:vertAlign w:val="superscript"/>
              </w:rPr>
              <w:t>+</w:t>
            </w:r>
          </w:p>
        </w:tc>
        <w:tc>
          <w:tcPr>
            <w:tcW w:w="839" w:type="pct"/>
            <w:vAlign w:val="center"/>
          </w:tcPr>
          <w:p w14:paraId="4FF994B7">
            <w:pPr>
              <w:widowControl/>
              <w:adjustRightInd/>
              <w:spacing w:line="240" w:lineRule="auto"/>
              <w:ind w:firstLine="0" w:firstLineChars="0"/>
              <w:jc w:val="center"/>
              <w:rPr>
                <w:rFonts w:cs="Times New Roman"/>
                <w:b/>
                <w:bCs/>
                <w:kern w:val="0"/>
                <w:sz w:val="21"/>
                <w:szCs w:val="21"/>
              </w:rPr>
            </w:pPr>
            <w:r>
              <w:rPr>
                <w:rFonts w:cs="Times New Roman"/>
                <w:b/>
                <w:bCs/>
                <w:kern w:val="0"/>
                <w:sz w:val="21"/>
                <w:szCs w:val="21"/>
              </w:rPr>
              <w:t>Ca</w:t>
            </w:r>
            <w:r>
              <w:rPr>
                <w:rFonts w:cs="Times New Roman"/>
                <w:b/>
                <w:bCs/>
                <w:kern w:val="0"/>
                <w:sz w:val="21"/>
                <w:szCs w:val="21"/>
                <w:vertAlign w:val="superscript"/>
              </w:rPr>
              <w:t>2+</w:t>
            </w:r>
          </w:p>
        </w:tc>
        <w:tc>
          <w:tcPr>
            <w:tcW w:w="875" w:type="pct"/>
            <w:vAlign w:val="center"/>
          </w:tcPr>
          <w:p w14:paraId="1AE10347">
            <w:pPr>
              <w:widowControl/>
              <w:adjustRightInd/>
              <w:spacing w:line="240" w:lineRule="auto"/>
              <w:ind w:firstLine="0" w:firstLineChars="0"/>
              <w:jc w:val="center"/>
              <w:rPr>
                <w:rFonts w:cs="Times New Roman"/>
                <w:b/>
                <w:bCs/>
                <w:kern w:val="0"/>
                <w:sz w:val="21"/>
                <w:szCs w:val="21"/>
              </w:rPr>
            </w:pPr>
            <w:r>
              <w:rPr>
                <w:rFonts w:cs="Times New Roman"/>
                <w:b/>
                <w:bCs/>
                <w:kern w:val="0"/>
                <w:sz w:val="21"/>
                <w:szCs w:val="21"/>
              </w:rPr>
              <w:t>Mg</w:t>
            </w:r>
            <w:r>
              <w:rPr>
                <w:rFonts w:cs="Times New Roman"/>
                <w:b/>
                <w:bCs/>
                <w:kern w:val="0"/>
                <w:sz w:val="21"/>
                <w:szCs w:val="21"/>
                <w:vertAlign w:val="superscript"/>
              </w:rPr>
              <w:t>2+</w:t>
            </w:r>
          </w:p>
        </w:tc>
      </w:tr>
      <w:tr w14:paraId="3B10B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0" w:type="pct"/>
            <w:tcMar>
              <w:left w:w="57" w:type="dxa"/>
              <w:right w:w="57" w:type="dxa"/>
            </w:tcMar>
            <w:vAlign w:val="center"/>
          </w:tcPr>
          <w:p w14:paraId="66C273C0">
            <w:pPr>
              <w:widowControl/>
              <w:adjustRightInd/>
              <w:spacing w:line="240" w:lineRule="auto"/>
              <w:ind w:firstLine="0" w:firstLineChars="0"/>
              <w:jc w:val="center"/>
              <w:rPr>
                <w:rFonts w:cs="Times New Roman"/>
                <w:b/>
                <w:bCs/>
                <w:kern w:val="0"/>
                <w:sz w:val="21"/>
                <w:szCs w:val="21"/>
              </w:rPr>
            </w:pPr>
            <w:r>
              <w:rPr>
                <w:rFonts w:cs="Times New Roman"/>
                <w:b/>
                <w:bCs/>
                <w:kern w:val="0"/>
                <w:sz w:val="21"/>
                <w:szCs w:val="21"/>
              </w:rPr>
              <w:t>浓度限值</w:t>
            </w:r>
          </w:p>
        </w:tc>
        <w:tc>
          <w:tcPr>
            <w:tcW w:w="845" w:type="pct"/>
            <w:vAlign w:val="center"/>
          </w:tcPr>
          <w:p w14:paraId="2D4AF93C">
            <w:pPr>
              <w:widowControl/>
              <w:adjustRightInd/>
              <w:spacing w:line="240" w:lineRule="auto"/>
              <w:ind w:firstLine="0" w:firstLineChars="0"/>
              <w:jc w:val="center"/>
              <w:rPr>
                <w:rFonts w:cs="Times New Roman"/>
                <w:kern w:val="0"/>
                <w:sz w:val="21"/>
                <w:szCs w:val="21"/>
              </w:rPr>
            </w:pPr>
            <w:r>
              <w:rPr>
                <w:rFonts w:cs="Times New Roman"/>
                <w:kern w:val="0"/>
                <w:sz w:val="21"/>
                <w:szCs w:val="21"/>
              </w:rPr>
              <w:t>≤</w:t>
            </w:r>
            <w:r>
              <w:rPr>
                <w:rFonts w:hint="eastAsia" w:cs="Times New Roman"/>
                <w:kern w:val="0"/>
                <w:sz w:val="21"/>
                <w:szCs w:val="21"/>
              </w:rPr>
              <w:t>0.002</w:t>
            </w:r>
          </w:p>
        </w:tc>
        <w:tc>
          <w:tcPr>
            <w:tcW w:w="847" w:type="pct"/>
            <w:vAlign w:val="center"/>
          </w:tcPr>
          <w:p w14:paraId="7523B3CB">
            <w:pPr>
              <w:widowControl/>
              <w:adjustRightInd/>
              <w:spacing w:line="240" w:lineRule="auto"/>
              <w:ind w:firstLine="0" w:firstLineChars="0"/>
              <w:jc w:val="center"/>
              <w:rPr>
                <w:rFonts w:cs="Times New Roman"/>
                <w:kern w:val="0"/>
                <w:sz w:val="21"/>
                <w:szCs w:val="21"/>
              </w:rPr>
            </w:pPr>
            <w:r>
              <w:rPr>
                <w:rFonts w:cs="Times New Roman"/>
                <w:kern w:val="0"/>
                <w:sz w:val="21"/>
                <w:szCs w:val="21"/>
              </w:rPr>
              <w:t>/</w:t>
            </w:r>
          </w:p>
        </w:tc>
        <w:tc>
          <w:tcPr>
            <w:tcW w:w="851" w:type="pct"/>
            <w:vAlign w:val="center"/>
          </w:tcPr>
          <w:p w14:paraId="7C474476">
            <w:pPr>
              <w:widowControl/>
              <w:adjustRightInd/>
              <w:spacing w:line="240" w:lineRule="auto"/>
              <w:ind w:firstLine="0" w:firstLineChars="0"/>
              <w:jc w:val="center"/>
              <w:rPr>
                <w:rFonts w:cs="Times New Roman"/>
                <w:kern w:val="0"/>
                <w:sz w:val="21"/>
                <w:szCs w:val="21"/>
              </w:rPr>
            </w:pPr>
            <w:r>
              <w:rPr>
                <w:rFonts w:cs="Times New Roman"/>
                <w:kern w:val="0"/>
                <w:sz w:val="21"/>
                <w:szCs w:val="21"/>
              </w:rPr>
              <w:t>/</w:t>
            </w:r>
          </w:p>
        </w:tc>
        <w:tc>
          <w:tcPr>
            <w:tcW w:w="839" w:type="pct"/>
            <w:vAlign w:val="center"/>
          </w:tcPr>
          <w:p w14:paraId="090A26CF">
            <w:pPr>
              <w:widowControl/>
              <w:adjustRightInd/>
              <w:spacing w:line="240" w:lineRule="auto"/>
              <w:ind w:firstLine="0" w:firstLineChars="0"/>
              <w:jc w:val="center"/>
              <w:rPr>
                <w:rFonts w:cs="Times New Roman"/>
                <w:kern w:val="0"/>
                <w:sz w:val="21"/>
                <w:szCs w:val="21"/>
              </w:rPr>
            </w:pPr>
            <w:r>
              <w:rPr>
                <w:rFonts w:cs="Times New Roman"/>
                <w:kern w:val="0"/>
                <w:sz w:val="21"/>
                <w:szCs w:val="21"/>
              </w:rPr>
              <w:t>/</w:t>
            </w:r>
          </w:p>
        </w:tc>
        <w:tc>
          <w:tcPr>
            <w:tcW w:w="875" w:type="pct"/>
            <w:vAlign w:val="center"/>
          </w:tcPr>
          <w:p w14:paraId="50C555DA">
            <w:pPr>
              <w:widowControl/>
              <w:adjustRightInd/>
              <w:spacing w:line="240" w:lineRule="auto"/>
              <w:ind w:firstLine="0" w:firstLineChars="0"/>
              <w:jc w:val="center"/>
              <w:rPr>
                <w:rFonts w:cs="Times New Roman"/>
                <w:kern w:val="0"/>
                <w:sz w:val="21"/>
                <w:szCs w:val="21"/>
              </w:rPr>
            </w:pPr>
            <w:r>
              <w:rPr>
                <w:rFonts w:cs="Times New Roman"/>
                <w:kern w:val="0"/>
                <w:sz w:val="21"/>
                <w:szCs w:val="21"/>
              </w:rPr>
              <w:t>/</w:t>
            </w:r>
          </w:p>
        </w:tc>
      </w:tr>
      <w:tr w14:paraId="4044B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0" w:type="pct"/>
            <w:tcMar>
              <w:left w:w="57" w:type="dxa"/>
              <w:right w:w="57" w:type="dxa"/>
            </w:tcMar>
            <w:vAlign w:val="center"/>
          </w:tcPr>
          <w:p w14:paraId="6E10CD36">
            <w:pPr>
              <w:widowControl/>
              <w:adjustRightInd/>
              <w:spacing w:line="240" w:lineRule="auto"/>
              <w:ind w:firstLine="0" w:firstLineChars="0"/>
              <w:jc w:val="center"/>
              <w:rPr>
                <w:rFonts w:cs="Times New Roman"/>
                <w:b/>
                <w:bCs/>
                <w:kern w:val="0"/>
                <w:sz w:val="21"/>
                <w:szCs w:val="21"/>
              </w:rPr>
            </w:pPr>
            <w:r>
              <w:rPr>
                <w:rFonts w:cs="Times New Roman"/>
                <w:b/>
                <w:bCs/>
                <w:kern w:val="0"/>
                <w:sz w:val="21"/>
                <w:szCs w:val="21"/>
              </w:rPr>
              <w:t>项目</w:t>
            </w:r>
          </w:p>
        </w:tc>
        <w:tc>
          <w:tcPr>
            <w:tcW w:w="845" w:type="pct"/>
            <w:vAlign w:val="center"/>
          </w:tcPr>
          <w:p w14:paraId="297F2C10">
            <w:pPr>
              <w:widowControl/>
              <w:adjustRightInd/>
              <w:spacing w:line="240" w:lineRule="auto"/>
              <w:ind w:firstLine="0" w:firstLineChars="0"/>
              <w:jc w:val="center"/>
              <w:rPr>
                <w:rFonts w:cs="Times New Roman"/>
                <w:b/>
                <w:bCs/>
                <w:kern w:val="0"/>
                <w:sz w:val="21"/>
                <w:szCs w:val="21"/>
              </w:rPr>
            </w:pPr>
            <w:r>
              <w:rPr>
                <w:rFonts w:cs="Times New Roman"/>
                <w:b/>
                <w:bCs/>
                <w:kern w:val="0"/>
                <w:sz w:val="21"/>
                <w:szCs w:val="21"/>
              </w:rPr>
              <w:t>CO</w:t>
            </w:r>
            <w:r>
              <w:rPr>
                <w:rFonts w:cs="Times New Roman"/>
                <w:b/>
                <w:bCs/>
                <w:kern w:val="0"/>
                <w:sz w:val="21"/>
                <w:szCs w:val="21"/>
                <w:vertAlign w:val="subscript"/>
              </w:rPr>
              <w:t>3</w:t>
            </w:r>
            <w:r>
              <w:rPr>
                <w:rFonts w:cs="Times New Roman"/>
                <w:b/>
                <w:bCs/>
                <w:kern w:val="0"/>
                <w:sz w:val="21"/>
                <w:szCs w:val="21"/>
                <w:vertAlign w:val="superscript"/>
              </w:rPr>
              <w:t>2-</w:t>
            </w:r>
          </w:p>
        </w:tc>
        <w:tc>
          <w:tcPr>
            <w:tcW w:w="847" w:type="pct"/>
            <w:vAlign w:val="center"/>
          </w:tcPr>
          <w:p w14:paraId="33DFF1E4">
            <w:pPr>
              <w:widowControl/>
              <w:adjustRightInd/>
              <w:spacing w:line="240" w:lineRule="auto"/>
              <w:ind w:firstLine="0" w:firstLineChars="0"/>
              <w:jc w:val="center"/>
              <w:rPr>
                <w:rFonts w:cs="Times New Roman"/>
                <w:b/>
                <w:bCs/>
                <w:kern w:val="0"/>
                <w:sz w:val="21"/>
                <w:szCs w:val="21"/>
              </w:rPr>
            </w:pPr>
            <w:r>
              <w:rPr>
                <w:rFonts w:cs="Times New Roman"/>
                <w:b/>
                <w:bCs/>
                <w:kern w:val="0"/>
                <w:sz w:val="21"/>
                <w:szCs w:val="21"/>
              </w:rPr>
              <w:t>HCO</w:t>
            </w:r>
            <w:r>
              <w:rPr>
                <w:rFonts w:cs="Times New Roman"/>
                <w:b/>
                <w:bCs/>
                <w:kern w:val="0"/>
                <w:sz w:val="21"/>
                <w:szCs w:val="21"/>
                <w:vertAlign w:val="subscript"/>
              </w:rPr>
              <w:t>3</w:t>
            </w:r>
            <w:r>
              <w:rPr>
                <w:rFonts w:cs="Times New Roman"/>
                <w:b/>
                <w:bCs/>
                <w:kern w:val="0"/>
                <w:sz w:val="21"/>
                <w:szCs w:val="21"/>
                <w:vertAlign w:val="superscript"/>
              </w:rPr>
              <w:t>-</w:t>
            </w:r>
          </w:p>
        </w:tc>
        <w:tc>
          <w:tcPr>
            <w:tcW w:w="851" w:type="pct"/>
            <w:vAlign w:val="center"/>
          </w:tcPr>
          <w:p w14:paraId="20A05908">
            <w:pPr>
              <w:widowControl/>
              <w:adjustRightInd/>
              <w:spacing w:line="240" w:lineRule="auto"/>
              <w:ind w:firstLine="0" w:firstLineChars="0"/>
              <w:jc w:val="center"/>
              <w:rPr>
                <w:rFonts w:cs="Times New Roman"/>
                <w:b/>
                <w:bCs/>
                <w:kern w:val="0"/>
                <w:sz w:val="21"/>
                <w:szCs w:val="21"/>
              </w:rPr>
            </w:pPr>
            <w:r>
              <w:rPr>
                <w:rFonts w:hint="eastAsia" w:cs="Times New Roman"/>
                <w:b/>
                <w:bCs/>
                <w:kern w:val="0"/>
                <w:sz w:val="21"/>
                <w:szCs w:val="21"/>
              </w:rPr>
              <w:t>Cl</w:t>
            </w:r>
            <w:r>
              <w:rPr>
                <w:rFonts w:hint="eastAsia" w:cs="Times New Roman"/>
                <w:b/>
                <w:bCs/>
                <w:kern w:val="0"/>
                <w:sz w:val="21"/>
                <w:szCs w:val="21"/>
                <w:vertAlign w:val="superscript"/>
              </w:rPr>
              <w:t>-</w:t>
            </w:r>
          </w:p>
        </w:tc>
        <w:tc>
          <w:tcPr>
            <w:tcW w:w="839" w:type="pct"/>
            <w:vAlign w:val="center"/>
          </w:tcPr>
          <w:p w14:paraId="59038E0F">
            <w:pPr>
              <w:widowControl/>
              <w:adjustRightInd/>
              <w:spacing w:line="240" w:lineRule="auto"/>
              <w:ind w:firstLine="0" w:firstLineChars="0"/>
              <w:jc w:val="center"/>
              <w:rPr>
                <w:rFonts w:cs="Times New Roman"/>
                <w:b/>
                <w:bCs/>
                <w:kern w:val="0"/>
                <w:sz w:val="21"/>
                <w:szCs w:val="21"/>
              </w:rPr>
            </w:pPr>
            <w:r>
              <w:rPr>
                <w:rFonts w:hint="eastAsia" w:cs="Times New Roman"/>
                <w:b/>
                <w:bCs/>
                <w:kern w:val="0"/>
                <w:sz w:val="21"/>
                <w:szCs w:val="21"/>
              </w:rPr>
              <w:t>SO</w:t>
            </w:r>
            <w:r>
              <w:rPr>
                <w:rFonts w:hint="eastAsia" w:cs="Times New Roman"/>
                <w:b/>
                <w:bCs/>
                <w:kern w:val="0"/>
                <w:sz w:val="21"/>
                <w:szCs w:val="21"/>
                <w:vertAlign w:val="subscript"/>
              </w:rPr>
              <w:t>4</w:t>
            </w:r>
            <w:r>
              <w:rPr>
                <w:rFonts w:hint="eastAsia" w:cs="Times New Roman"/>
                <w:b/>
                <w:bCs/>
                <w:kern w:val="0"/>
                <w:sz w:val="21"/>
                <w:szCs w:val="21"/>
                <w:vertAlign w:val="superscript"/>
              </w:rPr>
              <w:t>2-</w:t>
            </w:r>
          </w:p>
        </w:tc>
        <w:tc>
          <w:tcPr>
            <w:tcW w:w="875" w:type="pct"/>
            <w:vAlign w:val="center"/>
          </w:tcPr>
          <w:p w14:paraId="5F5E5B9C">
            <w:pPr>
              <w:widowControl/>
              <w:adjustRightInd/>
              <w:spacing w:line="240" w:lineRule="auto"/>
              <w:ind w:firstLine="0" w:firstLineChars="0"/>
              <w:jc w:val="center"/>
              <w:rPr>
                <w:rFonts w:cs="Times New Roman"/>
                <w:b/>
                <w:bCs/>
                <w:kern w:val="0"/>
                <w:sz w:val="21"/>
                <w:szCs w:val="21"/>
              </w:rPr>
            </w:pPr>
          </w:p>
        </w:tc>
      </w:tr>
      <w:tr w14:paraId="5DD90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0" w:type="pct"/>
            <w:tcMar>
              <w:left w:w="57" w:type="dxa"/>
              <w:right w:w="57" w:type="dxa"/>
            </w:tcMar>
            <w:vAlign w:val="center"/>
          </w:tcPr>
          <w:p w14:paraId="612EC610">
            <w:pPr>
              <w:widowControl/>
              <w:adjustRightInd/>
              <w:spacing w:line="240" w:lineRule="auto"/>
              <w:ind w:firstLine="0" w:firstLineChars="0"/>
              <w:jc w:val="center"/>
              <w:rPr>
                <w:rFonts w:cs="Times New Roman"/>
                <w:b/>
                <w:bCs/>
                <w:kern w:val="0"/>
                <w:sz w:val="21"/>
                <w:szCs w:val="21"/>
              </w:rPr>
            </w:pPr>
            <w:r>
              <w:rPr>
                <w:rFonts w:cs="Times New Roman"/>
                <w:b/>
                <w:bCs/>
                <w:kern w:val="0"/>
                <w:sz w:val="21"/>
                <w:szCs w:val="21"/>
              </w:rPr>
              <w:t>浓度限值</w:t>
            </w:r>
          </w:p>
        </w:tc>
        <w:tc>
          <w:tcPr>
            <w:tcW w:w="845" w:type="pct"/>
            <w:vAlign w:val="center"/>
          </w:tcPr>
          <w:p w14:paraId="4956859C">
            <w:pPr>
              <w:widowControl/>
              <w:adjustRightInd/>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847" w:type="pct"/>
            <w:vAlign w:val="center"/>
          </w:tcPr>
          <w:p w14:paraId="6192DA43">
            <w:pPr>
              <w:widowControl/>
              <w:adjustRightInd/>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851" w:type="pct"/>
            <w:vAlign w:val="center"/>
          </w:tcPr>
          <w:p w14:paraId="65A9270E">
            <w:pPr>
              <w:widowControl/>
              <w:adjustRightInd/>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839" w:type="pct"/>
            <w:vAlign w:val="center"/>
          </w:tcPr>
          <w:p w14:paraId="642790A3">
            <w:pPr>
              <w:widowControl/>
              <w:adjustRightInd/>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875" w:type="pct"/>
            <w:vAlign w:val="center"/>
          </w:tcPr>
          <w:p w14:paraId="193C97C5">
            <w:pPr>
              <w:widowControl/>
              <w:adjustRightInd/>
              <w:spacing w:line="240" w:lineRule="auto"/>
              <w:ind w:firstLine="0" w:firstLineChars="0"/>
              <w:jc w:val="center"/>
              <w:rPr>
                <w:rFonts w:cs="Times New Roman"/>
                <w:kern w:val="0"/>
                <w:sz w:val="21"/>
                <w:szCs w:val="21"/>
              </w:rPr>
            </w:pPr>
          </w:p>
        </w:tc>
      </w:tr>
    </w:tbl>
    <w:p w14:paraId="6FCBEEB6">
      <w:pPr>
        <w:bidi w:val="0"/>
      </w:pPr>
      <w:bookmarkStart w:id="72" w:name="_Toc29900"/>
    </w:p>
    <w:p w14:paraId="7263C711">
      <w:pPr>
        <w:pStyle w:val="4"/>
      </w:pPr>
      <w:r>
        <w:rPr>
          <w:rFonts w:hint="eastAsia"/>
        </w:rPr>
        <w:t>声环境功能区划及相关标准</w:t>
      </w:r>
      <w:bookmarkEnd w:id="72"/>
    </w:p>
    <w:p w14:paraId="00068F8A">
      <w:pPr>
        <w:pStyle w:val="6"/>
        <w:ind w:firstLine="482"/>
      </w:pPr>
      <w:bookmarkStart w:id="73" w:name="_Toc27905"/>
      <w:r>
        <w:rPr>
          <w:rFonts w:hint="eastAsia"/>
        </w:rPr>
        <w:t>声环境功能区划及</w:t>
      </w:r>
      <w:bookmarkEnd w:id="73"/>
      <w:r>
        <w:rPr>
          <w:rFonts w:hint="eastAsia"/>
        </w:rPr>
        <w:t>相关质量标准</w:t>
      </w:r>
    </w:p>
    <w:p w14:paraId="7DC5E372">
      <w:pPr>
        <w:ind w:firstLine="480"/>
      </w:pPr>
      <w:r>
        <w:rPr>
          <w:rFonts w:hint="eastAsia"/>
        </w:rPr>
        <w:t>根据《衡阳市中心城区声环境功能区划分（2019年版）》，项目区域为3类声环境功能区。项目东、南厂界紧邻主干道，为4a类声环境功能区。</w:t>
      </w:r>
    </w:p>
    <w:p w14:paraId="62052172">
      <w:pPr>
        <w:ind w:firstLine="480"/>
        <w:rPr>
          <w:rFonts w:cs="Times New Roman"/>
        </w:rPr>
      </w:pPr>
      <w:r>
        <w:rPr>
          <w:rFonts w:hint="eastAsia"/>
        </w:rPr>
        <w:t>因此，本项目西、北厂界执行</w:t>
      </w:r>
      <w:r>
        <w:rPr>
          <w:rFonts w:cs="Times New Roman"/>
        </w:rPr>
        <w:t>《声环境质量标准》（GB 3096-2008）</w:t>
      </w:r>
      <w:r>
        <w:rPr>
          <w:rFonts w:hint="eastAsia" w:cs="Times New Roman"/>
        </w:rPr>
        <w:t>3</w:t>
      </w:r>
      <w:r>
        <w:rPr>
          <w:rFonts w:cs="Times New Roman"/>
        </w:rPr>
        <w:t>类</w:t>
      </w:r>
      <w:r>
        <w:rPr>
          <w:rFonts w:hint="eastAsia" w:cs="Times New Roman"/>
        </w:rPr>
        <w:t>标准限值；</w:t>
      </w:r>
      <w:r>
        <w:rPr>
          <w:rFonts w:hint="eastAsia"/>
        </w:rPr>
        <w:t>东、南厂界执行</w:t>
      </w:r>
      <w:r>
        <w:rPr>
          <w:rFonts w:cs="Times New Roman"/>
        </w:rPr>
        <w:t>《声环境质量标准》（GB 3096-2008）</w:t>
      </w:r>
      <w:r>
        <w:rPr>
          <w:rFonts w:hint="eastAsia" w:cs="Times New Roman"/>
        </w:rPr>
        <w:t>4a</w:t>
      </w:r>
      <w:r>
        <w:rPr>
          <w:rFonts w:cs="Times New Roman"/>
        </w:rPr>
        <w:t>类</w:t>
      </w:r>
      <w:r>
        <w:rPr>
          <w:rFonts w:hint="eastAsia" w:cs="Times New Roman"/>
        </w:rPr>
        <w:t>标准限值。具体标准限值详见下表。</w:t>
      </w:r>
    </w:p>
    <w:p w14:paraId="26AAB9E9">
      <w:pPr>
        <w:pStyle w:val="43"/>
        <w:rPr>
          <w:rFonts w:hint="default"/>
        </w:rPr>
      </w:pPr>
      <w:r>
        <w:t>声环境质量标准</w:t>
      </w:r>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60"/>
        <w:gridCol w:w="792"/>
        <w:gridCol w:w="792"/>
        <w:gridCol w:w="4933"/>
      </w:tblGrid>
      <w:tr w14:paraId="3FC65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60" w:type="dxa"/>
            <w:vMerge w:val="restart"/>
            <w:tcMar>
              <w:left w:w="57" w:type="dxa"/>
              <w:right w:w="57" w:type="dxa"/>
            </w:tcMar>
            <w:vAlign w:val="center"/>
          </w:tcPr>
          <w:p w14:paraId="3110FD34">
            <w:pPr>
              <w:pStyle w:val="45"/>
              <w:rPr>
                <w:rFonts w:hint="default"/>
                <w:b/>
                <w:bCs/>
              </w:rPr>
            </w:pPr>
            <w:r>
              <w:rPr>
                <w:b/>
                <w:bCs/>
              </w:rPr>
              <w:t>类别</w:t>
            </w:r>
          </w:p>
        </w:tc>
        <w:tc>
          <w:tcPr>
            <w:tcW w:w="1584" w:type="dxa"/>
            <w:gridSpan w:val="2"/>
            <w:vAlign w:val="center"/>
          </w:tcPr>
          <w:p w14:paraId="15C4281C">
            <w:pPr>
              <w:pStyle w:val="45"/>
              <w:rPr>
                <w:rFonts w:hint="default"/>
                <w:b/>
                <w:bCs/>
              </w:rPr>
            </w:pPr>
            <w:r>
              <w:rPr>
                <w:b/>
                <w:bCs/>
              </w:rPr>
              <w:t>标准值dB(A)</w:t>
            </w:r>
          </w:p>
        </w:tc>
        <w:tc>
          <w:tcPr>
            <w:tcW w:w="4933" w:type="dxa"/>
            <w:vMerge w:val="restart"/>
            <w:vAlign w:val="center"/>
          </w:tcPr>
          <w:p w14:paraId="61469417">
            <w:pPr>
              <w:pStyle w:val="45"/>
              <w:rPr>
                <w:rFonts w:hint="default"/>
                <w:b/>
                <w:bCs/>
              </w:rPr>
            </w:pPr>
            <w:r>
              <w:rPr>
                <w:b/>
                <w:bCs/>
              </w:rPr>
              <w:t>执行标准</w:t>
            </w:r>
          </w:p>
        </w:tc>
      </w:tr>
      <w:tr w14:paraId="15EB7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60" w:type="dxa"/>
            <w:vMerge w:val="continue"/>
            <w:tcMar>
              <w:left w:w="57" w:type="dxa"/>
              <w:right w:w="57" w:type="dxa"/>
            </w:tcMar>
            <w:vAlign w:val="center"/>
          </w:tcPr>
          <w:p w14:paraId="518D8BB8">
            <w:pPr>
              <w:pStyle w:val="45"/>
              <w:rPr>
                <w:rFonts w:hint="default"/>
                <w:b/>
                <w:bCs/>
              </w:rPr>
            </w:pPr>
          </w:p>
        </w:tc>
        <w:tc>
          <w:tcPr>
            <w:tcW w:w="792" w:type="dxa"/>
            <w:vAlign w:val="center"/>
          </w:tcPr>
          <w:p w14:paraId="47C47238">
            <w:pPr>
              <w:pStyle w:val="45"/>
              <w:rPr>
                <w:rFonts w:hint="default"/>
                <w:b/>
                <w:bCs/>
              </w:rPr>
            </w:pPr>
            <w:r>
              <w:rPr>
                <w:b/>
                <w:bCs/>
              </w:rPr>
              <w:t>昼间</w:t>
            </w:r>
          </w:p>
        </w:tc>
        <w:tc>
          <w:tcPr>
            <w:tcW w:w="792" w:type="dxa"/>
            <w:vAlign w:val="center"/>
          </w:tcPr>
          <w:p w14:paraId="7E4C8817">
            <w:pPr>
              <w:pStyle w:val="45"/>
              <w:rPr>
                <w:rFonts w:hint="default"/>
                <w:b/>
                <w:bCs/>
              </w:rPr>
            </w:pPr>
            <w:r>
              <w:rPr>
                <w:b/>
                <w:bCs/>
              </w:rPr>
              <w:t>夜间</w:t>
            </w:r>
          </w:p>
        </w:tc>
        <w:tc>
          <w:tcPr>
            <w:tcW w:w="4933" w:type="dxa"/>
            <w:vMerge w:val="continue"/>
            <w:vAlign w:val="center"/>
          </w:tcPr>
          <w:p w14:paraId="1AD99E3B">
            <w:pPr>
              <w:pStyle w:val="45"/>
              <w:rPr>
                <w:rFonts w:hint="default"/>
                <w:b/>
                <w:bCs/>
              </w:rPr>
            </w:pPr>
          </w:p>
        </w:tc>
      </w:tr>
      <w:tr w14:paraId="45268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 w:hRule="atLeast"/>
          <w:jc w:val="center"/>
        </w:trPr>
        <w:tc>
          <w:tcPr>
            <w:tcW w:w="1960" w:type="dxa"/>
            <w:tcMar>
              <w:left w:w="57" w:type="dxa"/>
              <w:right w:w="57" w:type="dxa"/>
            </w:tcMar>
            <w:vAlign w:val="center"/>
          </w:tcPr>
          <w:p w14:paraId="2EFE37B3">
            <w:pPr>
              <w:pStyle w:val="45"/>
              <w:rPr>
                <w:rFonts w:hint="default"/>
              </w:rPr>
            </w:pPr>
            <w:r>
              <w:t>工业区</w:t>
            </w:r>
          </w:p>
        </w:tc>
        <w:tc>
          <w:tcPr>
            <w:tcW w:w="792" w:type="dxa"/>
            <w:vAlign w:val="center"/>
          </w:tcPr>
          <w:p w14:paraId="79C36ECD">
            <w:pPr>
              <w:pStyle w:val="45"/>
              <w:rPr>
                <w:rFonts w:hint="default"/>
              </w:rPr>
            </w:pPr>
            <w:r>
              <w:t>65</w:t>
            </w:r>
          </w:p>
        </w:tc>
        <w:tc>
          <w:tcPr>
            <w:tcW w:w="792" w:type="dxa"/>
            <w:vAlign w:val="center"/>
          </w:tcPr>
          <w:p w14:paraId="49DA4AA1">
            <w:pPr>
              <w:pStyle w:val="45"/>
              <w:rPr>
                <w:rFonts w:hint="default"/>
              </w:rPr>
            </w:pPr>
            <w:r>
              <w:t>55</w:t>
            </w:r>
          </w:p>
        </w:tc>
        <w:tc>
          <w:tcPr>
            <w:tcW w:w="4933" w:type="dxa"/>
            <w:vAlign w:val="center"/>
          </w:tcPr>
          <w:p w14:paraId="55900ACB">
            <w:pPr>
              <w:pStyle w:val="45"/>
              <w:rPr>
                <w:rFonts w:hint="default"/>
              </w:rPr>
            </w:pPr>
            <w:r>
              <w:t>《声环境质量标准》（GB3096-2008）3类标准</w:t>
            </w:r>
          </w:p>
        </w:tc>
      </w:tr>
      <w:tr w14:paraId="2661A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 w:hRule="atLeast"/>
          <w:jc w:val="center"/>
        </w:trPr>
        <w:tc>
          <w:tcPr>
            <w:tcW w:w="1960" w:type="dxa"/>
            <w:tcMar>
              <w:left w:w="57" w:type="dxa"/>
              <w:right w:w="57" w:type="dxa"/>
            </w:tcMar>
            <w:vAlign w:val="center"/>
          </w:tcPr>
          <w:p w14:paraId="596CF603">
            <w:pPr>
              <w:pStyle w:val="45"/>
              <w:rPr>
                <w:rFonts w:hint="default"/>
              </w:rPr>
            </w:pPr>
            <w:r>
              <w:t>交通干线两侧</w:t>
            </w:r>
          </w:p>
        </w:tc>
        <w:tc>
          <w:tcPr>
            <w:tcW w:w="792" w:type="dxa"/>
            <w:vAlign w:val="center"/>
          </w:tcPr>
          <w:p w14:paraId="27059457">
            <w:pPr>
              <w:pStyle w:val="45"/>
              <w:rPr>
                <w:rFonts w:hint="default"/>
              </w:rPr>
            </w:pPr>
            <w:r>
              <w:t>70</w:t>
            </w:r>
          </w:p>
        </w:tc>
        <w:tc>
          <w:tcPr>
            <w:tcW w:w="792" w:type="dxa"/>
            <w:vAlign w:val="center"/>
          </w:tcPr>
          <w:p w14:paraId="292989DB">
            <w:pPr>
              <w:pStyle w:val="45"/>
              <w:rPr>
                <w:rFonts w:hint="default"/>
              </w:rPr>
            </w:pPr>
            <w:r>
              <w:t>55</w:t>
            </w:r>
          </w:p>
        </w:tc>
        <w:tc>
          <w:tcPr>
            <w:tcW w:w="4933" w:type="dxa"/>
            <w:vAlign w:val="center"/>
          </w:tcPr>
          <w:p w14:paraId="7D27D0F0">
            <w:pPr>
              <w:pStyle w:val="45"/>
              <w:rPr>
                <w:rFonts w:hint="default"/>
              </w:rPr>
            </w:pPr>
            <w:r>
              <w:t>《声环境质量标准》（GB3096-2008）4a类标准</w:t>
            </w:r>
          </w:p>
        </w:tc>
      </w:tr>
    </w:tbl>
    <w:p w14:paraId="2851F9E5">
      <w:pPr>
        <w:spacing w:line="240" w:lineRule="auto"/>
        <w:ind w:firstLine="480"/>
      </w:pPr>
    </w:p>
    <w:p w14:paraId="067C0756">
      <w:pPr>
        <w:pStyle w:val="6"/>
        <w:ind w:firstLine="482"/>
      </w:pPr>
      <w:bookmarkStart w:id="74" w:name="_Toc27479"/>
      <w:r>
        <w:rPr>
          <w:rFonts w:hint="eastAsia"/>
        </w:rPr>
        <w:t>噪声排放标准</w:t>
      </w:r>
      <w:bookmarkEnd w:id="74"/>
    </w:p>
    <w:p w14:paraId="2A130D84">
      <w:pPr>
        <w:ind w:firstLine="480"/>
      </w:pPr>
      <w:r>
        <w:rPr>
          <w:rFonts w:hint="eastAsia"/>
        </w:rPr>
        <w:t>①施工期噪声执行《建筑施工场界环境噪声排放标准》（GB12523-2011）。</w:t>
      </w:r>
    </w:p>
    <w:p w14:paraId="7CD5802B">
      <w:pPr>
        <w:pStyle w:val="43"/>
        <w:rPr>
          <w:rFonts w:hint="default"/>
        </w:rPr>
      </w:pPr>
      <w:r>
        <w:t>建筑施工场界环境噪声排放标准  单位：dB(A)</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1"/>
        <w:gridCol w:w="4141"/>
      </w:tblGrid>
      <w:tr w14:paraId="338C9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8522" w:type="dxa"/>
            <w:gridSpan w:val="2"/>
            <w:vAlign w:val="center"/>
          </w:tcPr>
          <w:p w14:paraId="6380C5ED">
            <w:pPr>
              <w:widowControl/>
              <w:snapToGrid w:val="0"/>
              <w:spacing w:line="240" w:lineRule="auto"/>
              <w:ind w:firstLine="422" w:firstLineChars="0"/>
              <w:jc w:val="center"/>
              <w:rPr>
                <w:rFonts w:cs="Times New Roman"/>
                <w:b/>
                <w:kern w:val="0"/>
                <w:sz w:val="21"/>
                <w:szCs w:val="21"/>
              </w:rPr>
            </w:pPr>
            <w:r>
              <w:rPr>
                <w:rFonts w:cs="Times New Roman"/>
                <w:b/>
                <w:kern w:val="0"/>
                <w:sz w:val="21"/>
                <w:szCs w:val="21"/>
              </w:rPr>
              <w:t>噪声限值</w:t>
            </w:r>
          </w:p>
        </w:tc>
      </w:tr>
      <w:tr w14:paraId="0FCB1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4381" w:type="dxa"/>
            <w:vAlign w:val="center"/>
          </w:tcPr>
          <w:p w14:paraId="702AA195">
            <w:pPr>
              <w:widowControl/>
              <w:snapToGrid w:val="0"/>
              <w:spacing w:line="240" w:lineRule="auto"/>
              <w:ind w:firstLine="422" w:firstLineChars="0"/>
              <w:jc w:val="center"/>
              <w:rPr>
                <w:rFonts w:cs="Times New Roman"/>
                <w:b/>
                <w:kern w:val="0"/>
                <w:sz w:val="21"/>
                <w:szCs w:val="21"/>
              </w:rPr>
            </w:pPr>
            <w:r>
              <w:rPr>
                <w:rFonts w:cs="Times New Roman"/>
                <w:b/>
                <w:kern w:val="0"/>
                <w:sz w:val="21"/>
                <w:szCs w:val="21"/>
              </w:rPr>
              <w:t>昼间</w:t>
            </w:r>
          </w:p>
        </w:tc>
        <w:tc>
          <w:tcPr>
            <w:tcW w:w="4141" w:type="dxa"/>
            <w:vAlign w:val="center"/>
          </w:tcPr>
          <w:p w14:paraId="39890044">
            <w:pPr>
              <w:widowControl/>
              <w:snapToGrid w:val="0"/>
              <w:spacing w:line="240" w:lineRule="auto"/>
              <w:ind w:firstLine="422" w:firstLineChars="0"/>
              <w:jc w:val="center"/>
              <w:rPr>
                <w:rFonts w:cs="Times New Roman"/>
                <w:b/>
                <w:kern w:val="0"/>
                <w:sz w:val="21"/>
                <w:szCs w:val="21"/>
              </w:rPr>
            </w:pPr>
            <w:r>
              <w:rPr>
                <w:rFonts w:cs="Times New Roman"/>
                <w:b/>
                <w:kern w:val="0"/>
                <w:sz w:val="21"/>
                <w:szCs w:val="21"/>
              </w:rPr>
              <w:t>夜间</w:t>
            </w:r>
          </w:p>
        </w:tc>
      </w:tr>
      <w:tr w14:paraId="0D13C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381" w:type="dxa"/>
            <w:vAlign w:val="center"/>
          </w:tcPr>
          <w:p w14:paraId="5199A3F4">
            <w:pPr>
              <w:widowControl/>
              <w:snapToGrid w:val="0"/>
              <w:spacing w:line="240" w:lineRule="auto"/>
              <w:ind w:firstLineChars="0"/>
              <w:jc w:val="center"/>
              <w:rPr>
                <w:rFonts w:cs="Times New Roman"/>
                <w:kern w:val="0"/>
                <w:sz w:val="21"/>
                <w:szCs w:val="21"/>
              </w:rPr>
            </w:pPr>
            <w:r>
              <w:rPr>
                <w:rFonts w:cs="Times New Roman"/>
                <w:kern w:val="0"/>
                <w:sz w:val="21"/>
                <w:szCs w:val="21"/>
              </w:rPr>
              <w:t>70</w:t>
            </w:r>
          </w:p>
        </w:tc>
        <w:tc>
          <w:tcPr>
            <w:tcW w:w="4141" w:type="dxa"/>
            <w:vAlign w:val="center"/>
          </w:tcPr>
          <w:p w14:paraId="0CD473F4">
            <w:pPr>
              <w:widowControl/>
              <w:snapToGrid w:val="0"/>
              <w:spacing w:line="240" w:lineRule="auto"/>
              <w:ind w:firstLineChars="0"/>
              <w:jc w:val="center"/>
              <w:rPr>
                <w:rFonts w:cs="Times New Roman"/>
                <w:kern w:val="0"/>
                <w:sz w:val="21"/>
                <w:szCs w:val="21"/>
              </w:rPr>
            </w:pPr>
            <w:r>
              <w:rPr>
                <w:rFonts w:cs="Times New Roman"/>
                <w:kern w:val="0"/>
                <w:sz w:val="21"/>
                <w:szCs w:val="21"/>
              </w:rPr>
              <w:t>55</w:t>
            </w:r>
          </w:p>
        </w:tc>
      </w:tr>
    </w:tbl>
    <w:p w14:paraId="0519496B">
      <w:pPr>
        <w:spacing w:line="240" w:lineRule="auto"/>
        <w:ind w:firstLine="480"/>
      </w:pPr>
    </w:p>
    <w:p w14:paraId="00615A10">
      <w:pPr>
        <w:ind w:firstLine="480"/>
      </w:pPr>
      <w:r>
        <w:rPr>
          <w:rFonts w:hint="eastAsia"/>
        </w:rPr>
        <w:t>②项目运营期西、北厂界执行</w:t>
      </w:r>
      <w:r>
        <w:t>《工业企业厂界环境噪声排放标准》（GB12348-2008）</w:t>
      </w:r>
      <w:r>
        <w:rPr>
          <w:rFonts w:hint="eastAsia"/>
        </w:rPr>
        <w:t>3</w:t>
      </w:r>
      <w:r>
        <w:t>类</w:t>
      </w:r>
      <w:r>
        <w:rPr>
          <w:rFonts w:hint="eastAsia"/>
        </w:rPr>
        <w:t>标准，东、南厂界噪声执行</w:t>
      </w:r>
      <w:r>
        <w:t>《工业企业厂界环境噪声排放标准》（GB12348-2008）</w:t>
      </w:r>
      <w:r>
        <w:rPr>
          <w:rFonts w:hint="eastAsia"/>
        </w:rPr>
        <w:t>4</w:t>
      </w:r>
      <w:r>
        <w:t>类</w:t>
      </w:r>
      <w:r>
        <w:rPr>
          <w:rFonts w:hint="eastAsia"/>
        </w:rPr>
        <w:t>标准。具体见下表。</w:t>
      </w:r>
    </w:p>
    <w:p w14:paraId="7D0F4152">
      <w:pPr>
        <w:pStyle w:val="43"/>
        <w:rPr>
          <w:rFonts w:hint="default"/>
        </w:rPr>
      </w:pPr>
      <w:r>
        <w:t>工业企业厂界环境噪声排放标准  单位：dB(A)</w:t>
      </w:r>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25"/>
        <w:gridCol w:w="1256"/>
        <w:gridCol w:w="1257"/>
        <w:gridCol w:w="2933"/>
      </w:tblGrid>
      <w:tr w14:paraId="284C1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jc w:val="center"/>
        </w:trPr>
        <w:tc>
          <w:tcPr>
            <w:tcW w:w="3025" w:type="dxa"/>
            <w:vMerge w:val="restart"/>
            <w:tcMar>
              <w:left w:w="57" w:type="dxa"/>
              <w:right w:w="57" w:type="dxa"/>
            </w:tcMar>
            <w:vAlign w:val="center"/>
          </w:tcPr>
          <w:p w14:paraId="0DAEF6E2">
            <w:pPr>
              <w:widowControl/>
              <w:snapToGrid w:val="0"/>
              <w:spacing w:line="240" w:lineRule="auto"/>
              <w:ind w:firstLine="0" w:firstLineChars="0"/>
              <w:jc w:val="center"/>
              <w:rPr>
                <w:rFonts w:cs="Times New Roman"/>
                <w:b/>
                <w:kern w:val="0"/>
                <w:sz w:val="21"/>
                <w:szCs w:val="21"/>
              </w:rPr>
            </w:pPr>
            <w:r>
              <w:rPr>
                <w:rFonts w:cs="Times New Roman"/>
                <w:b/>
                <w:kern w:val="0"/>
                <w:sz w:val="21"/>
                <w:szCs w:val="21"/>
              </w:rPr>
              <w:t>类别</w:t>
            </w:r>
          </w:p>
        </w:tc>
        <w:tc>
          <w:tcPr>
            <w:tcW w:w="2513" w:type="dxa"/>
            <w:gridSpan w:val="2"/>
            <w:vAlign w:val="center"/>
          </w:tcPr>
          <w:p w14:paraId="075C42A8">
            <w:pPr>
              <w:widowControl/>
              <w:snapToGrid w:val="0"/>
              <w:spacing w:line="240" w:lineRule="auto"/>
              <w:ind w:firstLine="0" w:firstLineChars="0"/>
              <w:jc w:val="center"/>
              <w:rPr>
                <w:rFonts w:cs="Times New Roman"/>
                <w:b/>
                <w:kern w:val="0"/>
                <w:sz w:val="21"/>
                <w:szCs w:val="21"/>
              </w:rPr>
            </w:pPr>
            <w:r>
              <w:rPr>
                <w:rFonts w:cs="Times New Roman"/>
                <w:b/>
                <w:kern w:val="0"/>
                <w:sz w:val="21"/>
                <w:szCs w:val="21"/>
              </w:rPr>
              <w:t>噪声限值dB(A)</w:t>
            </w:r>
          </w:p>
        </w:tc>
        <w:tc>
          <w:tcPr>
            <w:tcW w:w="2933" w:type="dxa"/>
            <w:vMerge w:val="restart"/>
            <w:vAlign w:val="center"/>
          </w:tcPr>
          <w:p w14:paraId="71EF68A4">
            <w:pPr>
              <w:widowControl/>
              <w:snapToGrid w:val="0"/>
              <w:spacing w:line="240" w:lineRule="auto"/>
              <w:ind w:firstLine="0" w:firstLineChars="0"/>
              <w:jc w:val="center"/>
              <w:rPr>
                <w:rFonts w:cs="Times New Roman"/>
                <w:b/>
                <w:kern w:val="0"/>
                <w:sz w:val="21"/>
                <w:szCs w:val="21"/>
              </w:rPr>
            </w:pPr>
            <w:r>
              <w:rPr>
                <w:rFonts w:cs="Times New Roman"/>
                <w:b/>
                <w:kern w:val="0"/>
                <w:sz w:val="21"/>
                <w:szCs w:val="21"/>
              </w:rPr>
              <w:t>执行标准</w:t>
            </w:r>
          </w:p>
        </w:tc>
      </w:tr>
      <w:tr w14:paraId="4965F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jc w:val="center"/>
        </w:trPr>
        <w:tc>
          <w:tcPr>
            <w:tcW w:w="3025" w:type="dxa"/>
            <w:vMerge w:val="continue"/>
            <w:tcMar>
              <w:left w:w="57" w:type="dxa"/>
              <w:right w:w="57" w:type="dxa"/>
            </w:tcMar>
            <w:vAlign w:val="center"/>
          </w:tcPr>
          <w:p w14:paraId="0FA14634">
            <w:pPr>
              <w:widowControl/>
              <w:snapToGrid w:val="0"/>
              <w:spacing w:line="240" w:lineRule="auto"/>
              <w:ind w:firstLine="0" w:firstLineChars="0"/>
              <w:jc w:val="center"/>
              <w:rPr>
                <w:rFonts w:cs="Times New Roman"/>
                <w:kern w:val="0"/>
                <w:sz w:val="21"/>
                <w:szCs w:val="21"/>
              </w:rPr>
            </w:pPr>
          </w:p>
        </w:tc>
        <w:tc>
          <w:tcPr>
            <w:tcW w:w="1256" w:type="dxa"/>
            <w:vAlign w:val="center"/>
          </w:tcPr>
          <w:p w14:paraId="331CC226">
            <w:pPr>
              <w:widowControl/>
              <w:snapToGrid w:val="0"/>
              <w:spacing w:line="240" w:lineRule="auto"/>
              <w:ind w:firstLine="0" w:firstLineChars="0"/>
              <w:jc w:val="center"/>
              <w:rPr>
                <w:rFonts w:cs="Times New Roman"/>
                <w:b/>
                <w:kern w:val="0"/>
                <w:sz w:val="21"/>
                <w:szCs w:val="21"/>
              </w:rPr>
            </w:pPr>
            <w:r>
              <w:rPr>
                <w:rFonts w:cs="Times New Roman"/>
                <w:b/>
                <w:kern w:val="0"/>
                <w:sz w:val="21"/>
                <w:szCs w:val="21"/>
              </w:rPr>
              <w:t>昼间</w:t>
            </w:r>
          </w:p>
        </w:tc>
        <w:tc>
          <w:tcPr>
            <w:tcW w:w="1257" w:type="dxa"/>
            <w:vAlign w:val="center"/>
          </w:tcPr>
          <w:p w14:paraId="5D893CAC">
            <w:pPr>
              <w:widowControl/>
              <w:snapToGrid w:val="0"/>
              <w:spacing w:line="240" w:lineRule="auto"/>
              <w:ind w:firstLine="0" w:firstLineChars="0"/>
              <w:jc w:val="center"/>
              <w:rPr>
                <w:rFonts w:cs="Times New Roman"/>
                <w:b/>
                <w:kern w:val="0"/>
                <w:sz w:val="21"/>
                <w:szCs w:val="21"/>
              </w:rPr>
            </w:pPr>
            <w:r>
              <w:rPr>
                <w:rFonts w:cs="Times New Roman"/>
                <w:b/>
                <w:kern w:val="0"/>
                <w:sz w:val="21"/>
                <w:szCs w:val="21"/>
              </w:rPr>
              <w:t>夜间</w:t>
            </w:r>
          </w:p>
        </w:tc>
        <w:tc>
          <w:tcPr>
            <w:tcW w:w="2933" w:type="dxa"/>
            <w:vMerge w:val="continue"/>
            <w:vAlign w:val="center"/>
          </w:tcPr>
          <w:p w14:paraId="6F44C75A">
            <w:pPr>
              <w:widowControl/>
              <w:snapToGrid w:val="0"/>
              <w:spacing w:line="240" w:lineRule="auto"/>
              <w:ind w:firstLine="0" w:firstLineChars="0"/>
              <w:jc w:val="center"/>
              <w:rPr>
                <w:rFonts w:cs="Times New Roman"/>
                <w:kern w:val="0"/>
                <w:sz w:val="21"/>
                <w:szCs w:val="21"/>
              </w:rPr>
            </w:pPr>
          </w:p>
        </w:tc>
      </w:tr>
      <w:tr w14:paraId="32D60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025" w:type="dxa"/>
            <w:tcMar>
              <w:left w:w="57" w:type="dxa"/>
              <w:right w:w="57" w:type="dxa"/>
            </w:tcMar>
            <w:vAlign w:val="center"/>
          </w:tcPr>
          <w:p w14:paraId="0456DB30">
            <w:pPr>
              <w:widowControl/>
              <w:snapToGrid w:val="0"/>
              <w:spacing w:line="240" w:lineRule="auto"/>
              <w:ind w:firstLine="0" w:firstLineChars="0"/>
              <w:jc w:val="center"/>
              <w:rPr>
                <w:rFonts w:cs="Times New Roman"/>
                <w:kern w:val="0"/>
                <w:sz w:val="21"/>
                <w:szCs w:val="21"/>
              </w:rPr>
            </w:pPr>
            <w:r>
              <w:rPr>
                <w:rFonts w:cs="Times New Roman"/>
                <w:kern w:val="0"/>
                <w:sz w:val="21"/>
                <w:szCs w:val="21"/>
              </w:rPr>
              <w:t>工业区</w:t>
            </w:r>
          </w:p>
        </w:tc>
        <w:tc>
          <w:tcPr>
            <w:tcW w:w="1256" w:type="dxa"/>
            <w:vAlign w:val="center"/>
          </w:tcPr>
          <w:p w14:paraId="26BCAE67">
            <w:pPr>
              <w:widowControl/>
              <w:snapToGrid w:val="0"/>
              <w:spacing w:line="240" w:lineRule="auto"/>
              <w:ind w:firstLine="0" w:firstLineChars="0"/>
              <w:jc w:val="center"/>
              <w:rPr>
                <w:rFonts w:cs="Times New Roman"/>
                <w:kern w:val="0"/>
                <w:sz w:val="21"/>
                <w:szCs w:val="21"/>
              </w:rPr>
            </w:pPr>
            <w:r>
              <w:rPr>
                <w:rFonts w:cs="Times New Roman"/>
                <w:kern w:val="0"/>
                <w:sz w:val="21"/>
                <w:szCs w:val="21"/>
              </w:rPr>
              <w:t>65</w:t>
            </w:r>
          </w:p>
        </w:tc>
        <w:tc>
          <w:tcPr>
            <w:tcW w:w="1257" w:type="dxa"/>
            <w:vAlign w:val="center"/>
          </w:tcPr>
          <w:p w14:paraId="04892D94">
            <w:pPr>
              <w:widowControl/>
              <w:snapToGrid w:val="0"/>
              <w:spacing w:line="240" w:lineRule="auto"/>
              <w:ind w:firstLine="0" w:firstLineChars="0"/>
              <w:jc w:val="center"/>
              <w:rPr>
                <w:rFonts w:cs="Times New Roman"/>
                <w:kern w:val="0"/>
                <w:sz w:val="21"/>
                <w:szCs w:val="21"/>
              </w:rPr>
            </w:pPr>
            <w:r>
              <w:rPr>
                <w:rFonts w:cs="Times New Roman"/>
                <w:kern w:val="0"/>
                <w:sz w:val="21"/>
                <w:szCs w:val="21"/>
              </w:rPr>
              <w:t>55</w:t>
            </w:r>
          </w:p>
        </w:tc>
        <w:tc>
          <w:tcPr>
            <w:tcW w:w="2933" w:type="dxa"/>
            <w:vAlign w:val="center"/>
          </w:tcPr>
          <w:p w14:paraId="34A06D35">
            <w:pPr>
              <w:widowControl/>
              <w:snapToGrid w:val="0"/>
              <w:spacing w:line="240" w:lineRule="auto"/>
              <w:ind w:firstLine="0" w:firstLineChars="0"/>
              <w:jc w:val="center"/>
              <w:rPr>
                <w:rFonts w:cs="Times New Roman"/>
                <w:kern w:val="0"/>
                <w:sz w:val="21"/>
                <w:szCs w:val="21"/>
              </w:rPr>
            </w:pPr>
            <w:r>
              <w:rPr>
                <w:rFonts w:cs="Times New Roman"/>
                <w:kern w:val="0"/>
                <w:sz w:val="21"/>
                <w:szCs w:val="21"/>
              </w:rPr>
              <w:t>GB12348-2008  3类</w:t>
            </w:r>
          </w:p>
        </w:tc>
      </w:tr>
      <w:tr w14:paraId="1F7D6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025" w:type="dxa"/>
            <w:tcMar>
              <w:left w:w="57" w:type="dxa"/>
              <w:right w:w="57" w:type="dxa"/>
            </w:tcMar>
            <w:vAlign w:val="center"/>
          </w:tcPr>
          <w:p w14:paraId="3FC84315">
            <w:pPr>
              <w:widowControl/>
              <w:snapToGrid w:val="0"/>
              <w:spacing w:line="240" w:lineRule="auto"/>
              <w:ind w:firstLine="0" w:firstLineChars="0"/>
              <w:jc w:val="center"/>
              <w:rPr>
                <w:rFonts w:cs="Times New Roman"/>
                <w:kern w:val="0"/>
                <w:sz w:val="21"/>
                <w:szCs w:val="21"/>
              </w:rPr>
            </w:pPr>
            <w:r>
              <w:rPr>
                <w:rFonts w:cs="Times New Roman"/>
                <w:kern w:val="0"/>
                <w:sz w:val="21"/>
                <w:szCs w:val="21"/>
              </w:rPr>
              <w:t>交通干线两侧</w:t>
            </w:r>
          </w:p>
        </w:tc>
        <w:tc>
          <w:tcPr>
            <w:tcW w:w="1256" w:type="dxa"/>
            <w:vAlign w:val="center"/>
          </w:tcPr>
          <w:p w14:paraId="79988DA2">
            <w:pPr>
              <w:widowControl/>
              <w:snapToGrid w:val="0"/>
              <w:spacing w:line="240" w:lineRule="auto"/>
              <w:ind w:firstLine="0" w:firstLineChars="0"/>
              <w:jc w:val="center"/>
              <w:rPr>
                <w:rFonts w:cs="Times New Roman"/>
                <w:kern w:val="0"/>
                <w:sz w:val="21"/>
                <w:szCs w:val="21"/>
              </w:rPr>
            </w:pPr>
            <w:r>
              <w:rPr>
                <w:rFonts w:cs="Times New Roman"/>
                <w:kern w:val="0"/>
                <w:sz w:val="21"/>
                <w:szCs w:val="21"/>
              </w:rPr>
              <w:t>70</w:t>
            </w:r>
          </w:p>
        </w:tc>
        <w:tc>
          <w:tcPr>
            <w:tcW w:w="1257" w:type="dxa"/>
            <w:vAlign w:val="center"/>
          </w:tcPr>
          <w:p w14:paraId="5B3F9206">
            <w:pPr>
              <w:widowControl/>
              <w:snapToGrid w:val="0"/>
              <w:spacing w:line="240" w:lineRule="auto"/>
              <w:ind w:firstLine="0" w:firstLineChars="0"/>
              <w:jc w:val="center"/>
              <w:rPr>
                <w:rFonts w:cs="Times New Roman"/>
                <w:kern w:val="0"/>
                <w:sz w:val="21"/>
                <w:szCs w:val="21"/>
              </w:rPr>
            </w:pPr>
            <w:r>
              <w:rPr>
                <w:rFonts w:cs="Times New Roman"/>
                <w:kern w:val="0"/>
                <w:sz w:val="21"/>
                <w:szCs w:val="21"/>
              </w:rPr>
              <w:t>55</w:t>
            </w:r>
          </w:p>
        </w:tc>
        <w:tc>
          <w:tcPr>
            <w:tcW w:w="2933" w:type="dxa"/>
            <w:vAlign w:val="center"/>
          </w:tcPr>
          <w:p w14:paraId="041C7CB0">
            <w:pPr>
              <w:widowControl/>
              <w:snapToGrid w:val="0"/>
              <w:spacing w:line="240" w:lineRule="auto"/>
              <w:ind w:firstLine="0" w:firstLineChars="0"/>
              <w:jc w:val="center"/>
              <w:rPr>
                <w:rFonts w:cs="Times New Roman"/>
                <w:kern w:val="0"/>
                <w:sz w:val="21"/>
                <w:szCs w:val="21"/>
              </w:rPr>
            </w:pPr>
            <w:r>
              <w:rPr>
                <w:rFonts w:cs="Times New Roman"/>
                <w:kern w:val="0"/>
                <w:sz w:val="21"/>
                <w:szCs w:val="21"/>
              </w:rPr>
              <w:t>GB12348-2008  4类</w:t>
            </w:r>
          </w:p>
        </w:tc>
      </w:tr>
    </w:tbl>
    <w:p w14:paraId="51326DEC">
      <w:pPr>
        <w:spacing w:line="240" w:lineRule="auto"/>
        <w:ind w:firstLine="480"/>
      </w:pPr>
    </w:p>
    <w:p w14:paraId="28A7BAE1">
      <w:pPr>
        <w:pStyle w:val="4"/>
      </w:pPr>
      <w:bookmarkStart w:id="75" w:name="_Toc20384"/>
      <w:r>
        <w:rPr>
          <w:rFonts w:hint="eastAsia"/>
        </w:rPr>
        <w:t>土壤环境功能区划及相关标准</w:t>
      </w:r>
      <w:bookmarkEnd w:id="75"/>
    </w:p>
    <w:p w14:paraId="00889B95">
      <w:pPr>
        <w:ind w:firstLine="480"/>
      </w:pPr>
      <w:r>
        <w:rPr>
          <w:rFonts w:hint="eastAsia"/>
        </w:rPr>
        <w:t>本项目</w:t>
      </w:r>
      <w:r>
        <w:t>用地类型为建设用地，建设用地土壤环境质量标准执行《土壤环境质量 建设用地土壤污染风险管控标准》（GB36600-2018）</w:t>
      </w:r>
      <w:r>
        <w:rPr>
          <w:rFonts w:hint="eastAsia"/>
        </w:rPr>
        <w:t>。</w:t>
      </w:r>
    </w:p>
    <w:p w14:paraId="6E65841F">
      <w:pPr>
        <w:pStyle w:val="43"/>
        <w:rPr>
          <w:rFonts w:hint="default"/>
        </w:rPr>
      </w:pPr>
      <w:r>
        <w:t>《土壤环境质量 建设用地土壤污染风险管控标准》（基本项目）</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52"/>
        <w:gridCol w:w="2121"/>
        <w:gridCol w:w="1114"/>
        <w:gridCol w:w="2281"/>
        <w:gridCol w:w="2245"/>
      </w:tblGrid>
      <w:tr w14:paraId="48436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blHeader/>
          <w:jc w:val="center"/>
        </w:trPr>
        <w:tc>
          <w:tcPr>
            <w:tcW w:w="332" w:type="pct"/>
            <w:vMerge w:val="restart"/>
            <w:vAlign w:val="center"/>
          </w:tcPr>
          <w:p w14:paraId="2790D8C9">
            <w:pPr>
              <w:snapToGrid w:val="0"/>
              <w:spacing w:line="240" w:lineRule="auto"/>
              <w:ind w:firstLine="0" w:firstLineChars="0"/>
              <w:jc w:val="center"/>
              <w:rPr>
                <w:rFonts w:cs="Times New Roman"/>
                <w:b/>
                <w:bCs/>
                <w:kern w:val="0"/>
                <w:sz w:val="18"/>
                <w:szCs w:val="18"/>
              </w:rPr>
            </w:pPr>
            <w:r>
              <w:rPr>
                <w:rFonts w:cs="Times New Roman"/>
                <w:b/>
                <w:bCs/>
                <w:kern w:val="0"/>
                <w:sz w:val="18"/>
                <w:szCs w:val="18"/>
              </w:rPr>
              <w:t>序号</w:t>
            </w:r>
          </w:p>
        </w:tc>
        <w:tc>
          <w:tcPr>
            <w:tcW w:w="1276" w:type="pct"/>
            <w:vMerge w:val="restart"/>
            <w:vAlign w:val="center"/>
          </w:tcPr>
          <w:p w14:paraId="01BCCF59">
            <w:pPr>
              <w:snapToGrid w:val="0"/>
              <w:spacing w:line="240" w:lineRule="auto"/>
              <w:ind w:firstLine="0" w:firstLineChars="0"/>
              <w:jc w:val="center"/>
              <w:rPr>
                <w:rFonts w:cs="Times New Roman"/>
                <w:b/>
                <w:bCs/>
                <w:kern w:val="0"/>
                <w:sz w:val="18"/>
                <w:szCs w:val="18"/>
              </w:rPr>
            </w:pPr>
            <w:r>
              <w:rPr>
                <w:rFonts w:cs="Times New Roman"/>
                <w:b/>
                <w:bCs/>
                <w:kern w:val="0"/>
                <w:sz w:val="18"/>
                <w:szCs w:val="18"/>
              </w:rPr>
              <w:t>污染物项目</w:t>
            </w:r>
          </w:p>
        </w:tc>
        <w:tc>
          <w:tcPr>
            <w:tcW w:w="670" w:type="pct"/>
            <w:vMerge w:val="restart"/>
            <w:vAlign w:val="center"/>
          </w:tcPr>
          <w:p w14:paraId="32818FB2">
            <w:pPr>
              <w:snapToGrid w:val="0"/>
              <w:spacing w:line="240" w:lineRule="auto"/>
              <w:ind w:firstLine="0" w:firstLineChars="0"/>
              <w:jc w:val="center"/>
              <w:rPr>
                <w:rFonts w:cs="Times New Roman"/>
                <w:b/>
                <w:bCs/>
                <w:kern w:val="0"/>
                <w:sz w:val="18"/>
                <w:szCs w:val="18"/>
              </w:rPr>
            </w:pPr>
            <w:r>
              <w:rPr>
                <w:rFonts w:cs="Times New Roman"/>
                <w:b/>
                <w:bCs/>
                <w:kern w:val="0"/>
                <w:sz w:val="18"/>
                <w:szCs w:val="18"/>
              </w:rPr>
              <w:t>CAS编号</w:t>
            </w:r>
          </w:p>
        </w:tc>
        <w:tc>
          <w:tcPr>
            <w:tcW w:w="1372" w:type="pct"/>
            <w:vAlign w:val="center"/>
          </w:tcPr>
          <w:p w14:paraId="6B0DDD01">
            <w:pPr>
              <w:snapToGrid w:val="0"/>
              <w:spacing w:line="240" w:lineRule="auto"/>
              <w:ind w:firstLine="0" w:firstLineChars="0"/>
              <w:jc w:val="center"/>
              <w:rPr>
                <w:rFonts w:cs="Times New Roman"/>
                <w:b/>
                <w:bCs/>
                <w:kern w:val="0"/>
                <w:sz w:val="18"/>
                <w:szCs w:val="18"/>
              </w:rPr>
            </w:pPr>
            <w:r>
              <w:rPr>
                <w:rFonts w:cs="Times New Roman"/>
                <w:b/>
                <w:bCs/>
                <w:kern w:val="0"/>
                <w:sz w:val="18"/>
                <w:szCs w:val="18"/>
              </w:rPr>
              <w:t>筛选值</w:t>
            </w:r>
          </w:p>
        </w:tc>
        <w:tc>
          <w:tcPr>
            <w:tcW w:w="1346" w:type="pct"/>
            <w:vAlign w:val="center"/>
          </w:tcPr>
          <w:p w14:paraId="69ACF318">
            <w:pPr>
              <w:snapToGrid w:val="0"/>
              <w:spacing w:line="240" w:lineRule="auto"/>
              <w:ind w:firstLine="0" w:firstLineChars="0"/>
              <w:jc w:val="center"/>
              <w:rPr>
                <w:rFonts w:cs="Times New Roman"/>
                <w:b/>
                <w:bCs/>
                <w:kern w:val="0"/>
                <w:sz w:val="18"/>
                <w:szCs w:val="18"/>
              </w:rPr>
            </w:pPr>
            <w:r>
              <w:rPr>
                <w:rFonts w:cs="Times New Roman"/>
                <w:b/>
                <w:bCs/>
                <w:kern w:val="0"/>
                <w:sz w:val="18"/>
                <w:szCs w:val="18"/>
              </w:rPr>
              <w:t>管制值</w:t>
            </w:r>
          </w:p>
        </w:tc>
      </w:tr>
      <w:tr w14:paraId="7E127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blHeader/>
          <w:jc w:val="center"/>
        </w:trPr>
        <w:tc>
          <w:tcPr>
            <w:tcW w:w="332" w:type="pct"/>
            <w:vMerge w:val="continue"/>
            <w:vAlign w:val="center"/>
          </w:tcPr>
          <w:p w14:paraId="024A4B71">
            <w:pPr>
              <w:snapToGrid w:val="0"/>
              <w:spacing w:line="240" w:lineRule="auto"/>
              <w:ind w:firstLine="0" w:firstLineChars="0"/>
              <w:jc w:val="center"/>
              <w:rPr>
                <w:rFonts w:cs="Times New Roman"/>
                <w:b/>
                <w:bCs/>
                <w:kern w:val="0"/>
                <w:sz w:val="18"/>
                <w:szCs w:val="18"/>
              </w:rPr>
            </w:pPr>
          </w:p>
        </w:tc>
        <w:tc>
          <w:tcPr>
            <w:tcW w:w="1276" w:type="pct"/>
            <w:vMerge w:val="continue"/>
            <w:vAlign w:val="center"/>
          </w:tcPr>
          <w:p w14:paraId="639BB76A">
            <w:pPr>
              <w:snapToGrid w:val="0"/>
              <w:spacing w:line="240" w:lineRule="auto"/>
              <w:ind w:firstLine="0" w:firstLineChars="0"/>
              <w:jc w:val="center"/>
              <w:rPr>
                <w:rFonts w:cs="Times New Roman"/>
                <w:b/>
                <w:bCs/>
                <w:kern w:val="0"/>
                <w:sz w:val="18"/>
                <w:szCs w:val="18"/>
              </w:rPr>
            </w:pPr>
          </w:p>
        </w:tc>
        <w:tc>
          <w:tcPr>
            <w:tcW w:w="670" w:type="pct"/>
            <w:vMerge w:val="continue"/>
            <w:vAlign w:val="center"/>
          </w:tcPr>
          <w:p w14:paraId="18B825FC">
            <w:pPr>
              <w:snapToGrid w:val="0"/>
              <w:spacing w:line="240" w:lineRule="auto"/>
              <w:ind w:firstLine="0" w:firstLineChars="0"/>
              <w:jc w:val="center"/>
              <w:rPr>
                <w:rFonts w:cs="Times New Roman"/>
                <w:b/>
                <w:bCs/>
                <w:kern w:val="0"/>
                <w:sz w:val="18"/>
                <w:szCs w:val="18"/>
              </w:rPr>
            </w:pPr>
          </w:p>
        </w:tc>
        <w:tc>
          <w:tcPr>
            <w:tcW w:w="1372" w:type="pct"/>
            <w:vAlign w:val="center"/>
          </w:tcPr>
          <w:p w14:paraId="5668BE25">
            <w:pPr>
              <w:snapToGrid w:val="0"/>
              <w:spacing w:line="240" w:lineRule="auto"/>
              <w:ind w:firstLine="0" w:firstLineChars="0"/>
              <w:jc w:val="center"/>
              <w:rPr>
                <w:rFonts w:cs="Times New Roman"/>
                <w:b/>
                <w:bCs/>
                <w:kern w:val="0"/>
                <w:sz w:val="18"/>
                <w:szCs w:val="18"/>
              </w:rPr>
            </w:pPr>
            <w:r>
              <w:rPr>
                <w:rFonts w:cs="Times New Roman"/>
                <w:b/>
                <w:bCs/>
                <w:kern w:val="0"/>
                <w:sz w:val="18"/>
                <w:szCs w:val="18"/>
              </w:rPr>
              <w:t>第二类用地</w:t>
            </w:r>
          </w:p>
        </w:tc>
        <w:tc>
          <w:tcPr>
            <w:tcW w:w="1346" w:type="pct"/>
            <w:vAlign w:val="center"/>
          </w:tcPr>
          <w:p w14:paraId="6DBC9A0D">
            <w:pPr>
              <w:snapToGrid w:val="0"/>
              <w:spacing w:line="240" w:lineRule="auto"/>
              <w:ind w:firstLine="0" w:firstLineChars="0"/>
              <w:jc w:val="center"/>
              <w:rPr>
                <w:rFonts w:cs="Times New Roman"/>
                <w:b/>
                <w:bCs/>
                <w:kern w:val="0"/>
                <w:sz w:val="18"/>
                <w:szCs w:val="18"/>
              </w:rPr>
            </w:pPr>
            <w:r>
              <w:rPr>
                <w:rFonts w:cs="Times New Roman"/>
                <w:b/>
                <w:bCs/>
                <w:kern w:val="0"/>
                <w:sz w:val="18"/>
                <w:szCs w:val="18"/>
              </w:rPr>
              <w:t>第二类用地</w:t>
            </w:r>
          </w:p>
        </w:tc>
      </w:tr>
      <w:tr w14:paraId="4612B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000" w:type="pct"/>
            <w:gridSpan w:val="5"/>
            <w:vAlign w:val="center"/>
          </w:tcPr>
          <w:p w14:paraId="0EE9FE7F">
            <w:pPr>
              <w:snapToGrid w:val="0"/>
              <w:spacing w:line="240" w:lineRule="auto"/>
              <w:ind w:firstLine="0" w:firstLineChars="0"/>
              <w:jc w:val="center"/>
              <w:rPr>
                <w:rFonts w:cs="Times New Roman"/>
                <w:kern w:val="0"/>
                <w:sz w:val="18"/>
                <w:szCs w:val="18"/>
              </w:rPr>
            </w:pPr>
            <w:r>
              <w:rPr>
                <w:rFonts w:cs="Times New Roman"/>
                <w:kern w:val="0"/>
                <w:sz w:val="18"/>
                <w:szCs w:val="18"/>
              </w:rPr>
              <w:t>重金属和无机物</w:t>
            </w:r>
          </w:p>
        </w:tc>
      </w:tr>
      <w:tr w14:paraId="72E5E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64B2EC97">
            <w:pPr>
              <w:snapToGrid w:val="0"/>
              <w:spacing w:line="240" w:lineRule="auto"/>
              <w:ind w:firstLine="0" w:firstLineChars="0"/>
              <w:jc w:val="center"/>
              <w:rPr>
                <w:rFonts w:cs="Times New Roman"/>
                <w:kern w:val="0"/>
                <w:sz w:val="18"/>
                <w:szCs w:val="18"/>
              </w:rPr>
            </w:pPr>
            <w:r>
              <w:rPr>
                <w:rFonts w:cs="Times New Roman"/>
                <w:kern w:val="0"/>
                <w:sz w:val="18"/>
                <w:szCs w:val="18"/>
              </w:rPr>
              <w:t>1</w:t>
            </w:r>
          </w:p>
        </w:tc>
        <w:tc>
          <w:tcPr>
            <w:tcW w:w="1276" w:type="pct"/>
            <w:vAlign w:val="center"/>
          </w:tcPr>
          <w:p w14:paraId="0684001E">
            <w:pPr>
              <w:snapToGrid w:val="0"/>
              <w:spacing w:line="240" w:lineRule="auto"/>
              <w:ind w:firstLine="0" w:firstLineChars="0"/>
              <w:jc w:val="center"/>
              <w:rPr>
                <w:rFonts w:cs="Times New Roman"/>
                <w:kern w:val="0"/>
                <w:sz w:val="18"/>
                <w:szCs w:val="18"/>
              </w:rPr>
            </w:pPr>
            <w:r>
              <w:rPr>
                <w:rFonts w:cs="Times New Roman"/>
                <w:kern w:val="0"/>
                <w:sz w:val="18"/>
                <w:szCs w:val="18"/>
              </w:rPr>
              <w:t>砷</w:t>
            </w:r>
          </w:p>
        </w:tc>
        <w:tc>
          <w:tcPr>
            <w:tcW w:w="670" w:type="pct"/>
            <w:vAlign w:val="center"/>
          </w:tcPr>
          <w:p w14:paraId="09D1CDEB">
            <w:pPr>
              <w:snapToGrid w:val="0"/>
              <w:spacing w:line="240" w:lineRule="auto"/>
              <w:ind w:firstLine="0" w:firstLineChars="0"/>
              <w:jc w:val="center"/>
              <w:rPr>
                <w:rFonts w:cs="Times New Roman"/>
                <w:kern w:val="0"/>
                <w:sz w:val="18"/>
                <w:szCs w:val="18"/>
              </w:rPr>
            </w:pPr>
            <w:r>
              <w:rPr>
                <w:rFonts w:cs="Times New Roman"/>
                <w:kern w:val="0"/>
                <w:sz w:val="18"/>
                <w:szCs w:val="18"/>
              </w:rPr>
              <w:t>7440-38-2</w:t>
            </w:r>
          </w:p>
        </w:tc>
        <w:tc>
          <w:tcPr>
            <w:tcW w:w="1372" w:type="pct"/>
            <w:vAlign w:val="center"/>
          </w:tcPr>
          <w:p w14:paraId="63B6C28F">
            <w:pPr>
              <w:snapToGrid w:val="0"/>
              <w:spacing w:line="240" w:lineRule="auto"/>
              <w:ind w:firstLine="0" w:firstLineChars="0"/>
              <w:jc w:val="center"/>
              <w:rPr>
                <w:rFonts w:cs="Times New Roman"/>
                <w:kern w:val="0"/>
                <w:sz w:val="18"/>
                <w:szCs w:val="18"/>
              </w:rPr>
            </w:pPr>
            <w:r>
              <w:rPr>
                <w:rFonts w:cs="Times New Roman"/>
                <w:kern w:val="0"/>
                <w:sz w:val="18"/>
                <w:szCs w:val="18"/>
              </w:rPr>
              <w:t>60①</w:t>
            </w:r>
          </w:p>
        </w:tc>
        <w:tc>
          <w:tcPr>
            <w:tcW w:w="1346" w:type="pct"/>
            <w:vAlign w:val="center"/>
          </w:tcPr>
          <w:p w14:paraId="72D3A887">
            <w:pPr>
              <w:snapToGrid w:val="0"/>
              <w:spacing w:line="240" w:lineRule="auto"/>
              <w:ind w:firstLine="0" w:firstLineChars="0"/>
              <w:jc w:val="center"/>
              <w:rPr>
                <w:rFonts w:cs="Times New Roman"/>
                <w:kern w:val="0"/>
                <w:sz w:val="18"/>
                <w:szCs w:val="18"/>
              </w:rPr>
            </w:pPr>
            <w:r>
              <w:rPr>
                <w:rFonts w:cs="Times New Roman"/>
                <w:kern w:val="0"/>
                <w:sz w:val="18"/>
                <w:szCs w:val="18"/>
              </w:rPr>
              <w:t>140</w:t>
            </w:r>
          </w:p>
        </w:tc>
      </w:tr>
      <w:tr w14:paraId="558DF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18DB0B71">
            <w:pPr>
              <w:snapToGrid w:val="0"/>
              <w:spacing w:line="240" w:lineRule="auto"/>
              <w:ind w:firstLine="0" w:firstLineChars="0"/>
              <w:jc w:val="center"/>
              <w:rPr>
                <w:rFonts w:cs="Times New Roman"/>
                <w:kern w:val="0"/>
                <w:sz w:val="18"/>
                <w:szCs w:val="18"/>
              </w:rPr>
            </w:pPr>
            <w:r>
              <w:rPr>
                <w:rFonts w:cs="Times New Roman"/>
                <w:kern w:val="0"/>
                <w:sz w:val="18"/>
                <w:szCs w:val="18"/>
              </w:rPr>
              <w:t>2</w:t>
            </w:r>
          </w:p>
        </w:tc>
        <w:tc>
          <w:tcPr>
            <w:tcW w:w="1276" w:type="pct"/>
            <w:vAlign w:val="center"/>
          </w:tcPr>
          <w:p w14:paraId="6D34857F">
            <w:pPr>
              <w:snapToGrid w:val="0"/>
              <w:spacing w:line="240" w:lineRule="auto"/>
              <w:ind w:firstLine="0" w:firstLineChars="0"/>
              <w:jc w:val="center"/>
              <w:rPr>
                <w:rFonts w:cs="Times New Roman"/>
                <w:kern w:val="0"/>
                <w:sz w:val="18"/>
                <w:szCs w:val="18"/>
              </w:rPr>
            </w:pPr>
            <w:r>
              <w:rPr>
                <w:rFonts w:cs="Times New Roman"/>
                <w:kern w:val="0"/>
                <w:sz w:val="18"/>
                <w:szCs w:val="18"/>
              </w:rPr>
              <w:t>镉</w:t>
            </w:r>
          </w:p>
        </w:tc>
        <w:tc>
          <w:tcPr>
            <w:tcW w:w="670" w:type="pct"/>
            <w:vAlign w:val="center"/>
          </w:tcPr>
          <w:p w14:paraId="3D9F2FBC">
            <w:pPr>
              <w:snapToGrid w:val="0"/>
              <w:spacing w:line="240" w:lineRule="auto"/>
              <w:ind w:firstLine="0" w:firstLineChars="0"/>
              <w:jc w:val="center"/>
              <w:rPr>
                <w:rFonts w:cs="Times New Roman"/>
                <w:kern w:val="0"/>
                <w:sz w:val="18"/>
                <w:szCs w:val="18"/>
              </w:rPr>
            </w:pPr>
            <w:r>
              <w:rPr>
                <w:rFonts w:cs="Times New Roman"/>
                <w:kern w:val="0"/>
                <w:sz w:val="18"/>
                <w:szCs w:val="18"/>
              </w:rPr>
              <w:t>7440-43-9</w:t>
            </w:r>
          </w:p>
        </w:tc>
        <w:tc>
          <w:tcPr>
            <w:tcW w:w="1372" w:type="pct"/>
            <w:vAlign w:val="center"/>
          </w:tcPr>
          <w:p w14:paraId="397BAAC5">
            <w:pPr>
              <w:snapToGrid w:val="0"/>
              <w:spacing w:line="240" w:lineRule="auto"/>
              <w:ind w:firstLine="0" w:firstLineChars="0"/>
              <w:jc w:val="center"/>
              <w:rPr>
                <w:rFonts w:cs="Times New Roman"/>
                <w:kern w:val="0"/>
                <w:sz w:val="18"/>
                <w:szCs w:val="18"/>
              </w:rPr>
            </w:pPr>
            <w:r>
              <w:rPr>
                <w:rFonts w:cs="Times New Roman"/>
                <w:kern w:val="0"/>
                <w:sz w:val="18"/>
                <w:szCs w:val="18"/>
              </w:rPr>
              <w:t>65</w:t>
            </w:r>
          </w:p>
        </w:tc>
        <w:tc>
          <w:tcPr>
            <w:tcW w:w="1346" w:type="pct"/>
            <w:vAlign w:val="center"/>
          </w:tcPr>
          <w:p w14:paraId="4FD1BFA8">
            <w:pPr>
              <w:snapToGrid w:val="0"/>
              <w:spacing w:line="240" w:lineRule="auto"/>
              <w:ind w:firstLine="0" w:firstLineChars="0"/>
              <w:jc w:val="center"/>
              <w:rPr>
                <w:rFonts w:cs="Times New Roman"/>
                <w:kern w:val="0"/>
                <w:sz w:val="18"/>
                <w:szCs w:val="18"/>
              </w:rPr>
            </w:pPr>
            <w:r>
              <w:rPr>
                <w:rFonts w:cs="Times New Roman"/>
                <w:kern w:val="0"/>
                <w:sz w:val="18"/>
                <w:szCs w:val="18"/>
              </w:rPr>
              <w:t>172</w:t>
            </w:r>
          </w:p>
        </w:tc>
      </w:tr>
      <w:tr w14:paraId="623F7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1D3BB94F">
            <w:pPr>
              <w:snapToGrid w:val="0"/>
              <w:spacing w:line="240" w:lineRule="auto"/>
              <w:ind w:firstLine="0" w:firstLineChars="0"/>
              <w:jc w:val="center"/>
              <w:rPr>
                <w:rFonts w:cs="Times New Roman"/>
                <w:kern w:val="0"/>
                <w:sz w:val="18"/>
                <w:szCs w:val="18"/>
              </w:rPr>
            </w:pPr>
            <w:r>
              <w:rPr>
                <w:rFonts w:cs="Times New Roman"/>
                <w:kern w:val="0"/>
                <w:sz w:val="18"/>
                <w:szCs w:val="18"/>
              </w:rPr>
              <w:t>3</w:t>
            </w:r>
          </w:p>
        </w:tc>
        <w:tc>
          <w:tcPr>
            <w:tcW w:w="1276" w:type="pct"/>
            <w:vAlign w:val="center"/>
          </w:tcPr>
          <w:p w14:paraId="24CCF7D5">
            <w:pPr>
              <w:snapToGrid w:val="0"/>
              <w:spacing w:line="240" w:lineRule="auto"/>
              <w:ind w:firstLine="0" w:firstLineChars="0"/>
              <w:jc w:val="center"/>
              <w:rPr>
                <w:rFonts w:cs="Times New Roman"/>
                <w:kern w:val="0"/>
                <w:sz w:val="18"/>
                <w:szCs w:val="18"/>
              </w:rPr>
            </w:pPr>
            <w:r>
              <w:rPr>
                <w:rFonts w:cs="Times New Roman"/>
                <w:kern w:val="0"/>
                <w:sz w:val="18"/>
                <w:szCs w:val="18"/>
              </w:rPr>
              <w:t>镉（六价）</w:t>
            </w:r>
          </w:p>
        </w:tc>
        <w:tc>
          <w:tcPr>
            <w:tcW w:w="670" w:type="pct"/>
            <w:vAlign w:val="center"/>
          </w:tcPr>
          <w:p w14:paraId="41C8408F">
            <w:pPr>
              <w:snapToGrid w:val="0"/>
              <w:spacing w:line="240" w:lineRule="auto"/>
              <w:ind w:firstLine="0" w:firstLineChars="0"/>
              <w:jc w:val="center"/>
              <w:rPr>
                <w:rFonts w:cs="Times New Roman"/>
                <w:kern w:val="0"/>
                <w:sz w:val="18"/>
                <w:szCs w:val="18"/>
              </w:rPr>
            </w:pPr>
            <w:r>
              <w:rPr>
                <w:rFonts w:cs="Times New Roman"/>
                <w:kern w:val="0"/>
                <w:sz w:val="18"/>
                <w:szCs w:val="18"/>
              </w:rPr>
              <w:t>18540-29-9</w:t>
            </w:r>
          </w:p>
        </w:tc>
        <w:tc>
          <w:tcPr>
            <w:tcW w:w="1372" w:type="pct"/>
            <w:vAlign w:val="center"/>
          </w:tcPr>
          <w:p w14:paraId="070C2E6D">
            <w:pPr>
              <w:snapToGrid w:val="0"/>
              <w:spacing w:line="240" w:lineRule="auto"/>
              <w:ind w:firstLine="0" w:firstLineChars="0"/>
              <w:jc w:val="center"/>
              <w:rPr>
                <w:rFonts w:cs="Times New Roman"/>
                <w:kern w:val="0"/>
                <w:sz w:val="18"/>
                <w:szCs w:val="18"/>
              </w:rPr>
            </w:pPr>
            <w:r>
              <w:rPr>
                <w:rFonts w:cs="Times New Roman"/>
                <w:kern w:val="0"/>
                <w:sz w:val="18"/>
                <w:szCs w:val="18"/>
              </w:rPr>
              <w:t>5.7</w:t>
            </w:r>
          </w:p>
        </w:tc>
        <w:tc>
          <w:tcPr>
            <w:tcW w:w="1346" w:type="pct"/>
            <w:vAlign w:val="center"/>
          </w:tcPr>
          <w:p w14:paraId="66F400DD">
            <w:pPr>
              <w:snapToGrid w:val="0"/>
              <w:spacing w:line="240" w:lineRule="auto"/>
              <w:ind w:firstLine="0" w:firstLineChars="0"/>
              <w:jc w:val="center"/>
              <w:rPr>
                <w:rFonts w:cs="Times New Roman"/>
                <w:kern w:val="0"/>
                <w:sz w:val="18"/>
                <w:szCs w:val="18"/>
              </w:rPr>
            </w:pPr>
            <w:r>
              <w:rPr>
                <w:rFonts w:cs="Times New Roman"/>
                <w:kern w:val="0"/>
                <w:sz w:val="18"/>
                <w:szCs w:val="18"/>
              </w:rPr>
              <w:t>78</w:t>
            </w:r>
          </w:p>
        </w:tc>
      </w:tr>
      <w:tr w14:paraId="28D98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4FFFAF80">
            <w:pPr>
              <w:snapToGrid w:val="0"/>
              <w:spacing w:line="240" w:lineRule="auto"/>
              <w:ind w:firstLine="0" w:firstLineChars="0"/>
              <w:jc w:val="center"/>
              <w:rPr>
                <w:rFonts w:cs="Times New Roman"/>
                <w:kern w:val="0"/>
                <w:sz w:val="18"/>
                <w:szCs w:val="18"/>
              </w:rPr>
            </w:pPr>
            <w:r>
              <w:rPr>
                <w:rFonts w:cs="Times New Roman"/>
                <w:kern w:val="0"/>
                <w:sz w:val="18"/>
                <w:szCs w:val="18"/>
              </w:rPr>
              <w:t>4</w:t>
            </w:r>
          </w:p>
        </w:tc>
        <w:tc>
          <w:tcPr>
            <w:tcW w:w="1276" w:type="pct"/>
            <w:vAlign w:val="center"/>
          </w:tcPr>
          <w:p w14:paraId="22CD675F">
            <w:pPr>
              <w:snapToGrid w:val="0"/>
              <w:spacing w:line="240" w:lineRule="auto"/>
              <w:ind w:firstLine="0" w:firstLineChars="0"/>
              <w:jc w:val="center"/>
              <w:rPr>
                <w:rFonts w:cs="Times New Roman"/>
                <w:kern w:val="0"/>
                <w:sz w:val="18"/>
                <w:szCs w:val="18"/>
              </w:rPr>
            </w:pPr>
            <w:r>
              <w:rPr>
                <w:rFonts w:cs="Times New Roman"/>
                <w:kern w:val="0"/>
                <w:sz w:val="18"/>
                <w:szCs w:val="18"/>
              </w:rPr>
              <w:t>铜</w:t>
            </w:r>
          </w:p>
        </w:tc>
        <w:tc>
          <w:tcPr>
            <w:tcW w:w="670" w:type="pct"/>
            <w:vAlign w:val="center"/>
          </w:tcPr>
          <w:p w14:paraId="169B047E">
            <w:pPr>
              <w:snapToGrid w:val="0"/>
              <w:spacing w:line="240" w:lineRule="auto"/>
              <w:ind w:firstLine="0" w:firstLineChars="0"/>
              <w:jc w:val="center"/>
              <w:rPr>
                <w:rFonts w:cs="Times New Roman"/>
                <w:kern w:val="0"/>
                <w:sz w:val="18"/>
                <w:szCs w:val="18"/>
              </w:rPr>
            </w:pPr>
            <w:r>
              <w:rPr>
                <w:rFonts w:cs="Times New Roman"/>
                <w:kern w:val="0"/>
                <w:sz w:val="18"/>
                <w:szCs w:val="18"/>
              </w:rPr>
              <w:t>7440-50-8</w:t>
            </w:r>
          </w:p>
        </w:tc>
        <w:tc>
          <w:tcPr>
            <w:tcW w:w="1372" w:type="pct"/>
            <w:vAlign w:val="center"/>
          </w:tcPr>
          <w:p w14:paraId="4FB7F7E0">
            <w:pPr>
              <w:snapToGrid w:val="0"/>
              <w:spacing w:line="240" w:lineRule="auto"/>
              <w:ind w:firstLine="0" w:firstLineChars="0"/>
              <w:jc w:val="center"/>
              <w:rPr>
                <w:rFonts w:cs="Times New Roman"/>
                <w:kern w:val="0"/>
                <w:sz w:val="18"/>
                <w:szCs w:val="18"/>
              </w:rPr>
            </w:pPr>
            <w:r>
              <w:rPr>
                <w:rFonts w:cs="Times New Roman"/>
                <w:kern w:val="0"/>
                <w:sz w:val="18"/>
                <w:szCs w:val="18"/>
              </w:rPr>
              <w:t>18000</w:t>
            </w:r>
          </w:p>
        </w:tc>
        <w:tc>
          <w:tcPr>
            <w:tcW w:w="1346" w:type="pct"/>
            <w:vAlign w:val="center"/>
          </w:tcPr>
          <w:p w14:paraId="1E266CF2">
            <w:pPr>
              <w:snapToGrid w:val="0"/>
              <w:spacing w:line="240" w:lineRule="auto"/>
              <w:ind w:firstLine="0" w:firstLineChars="0"/>
              <w:jc w:val="center"/>
              <w:rPr>
                <w:rFonts w:cs="Times New Roman"/>
                <w:kern w:val="0"/>
                <w:sz w:val="18"/>
                <w:szCs w:val="18"/>
              </w:rPr>
            </w:pPr>
            <w:r>
              <w:rPr>
                <w:rFonts w:cs="Times New Roman"/>
                <w:kern w:val="0"/>
                <w:sz w:val="18"/>
                <w:szCs w:val="18"/>
              </w:rPr>
              <w:t>36000</w:t>
            </w:r>
          </w:p>
        </w:tc>
      </w:tr>
      <w:tr w14:paraId="1D17F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58EA0340">
            <w:pPr>
              <w:snapToGrid w:val="0"/>
              <w:spacing w:line="240" w:lineRule="auto"/>
              <w:ind w:firstLine="0" w:firstLineChars="0"/>
              <w:jc w:val="center"/>
              <w:rPr>
                <w:rFonts w:cs="Times New Roman"/>
                <w:kern w:val="0"/>
                <w:sz w:val="18"/>
                <w:szCs w:val="18"/>
              </w:rPr>
            </w:pPr>
            <w:r>
              <w:rPr>
                <w:rFonts w:cs="Times New Roman"/>
                <w:kern w:val="0"/>
                <w:sz w:val="18"/>
                <w:szCs w:val="18"/>
              </w:rPr>
              <w:t>5</w:t>
            </w:r>
          </w:p>
        </w:tc>
        <w:tc>
          <w:tcPr>
            <w:tcW w:w="1276" w:type="pct"/>
            <w:vAlign w:val="center"/>
          </w:tcPr>
          <w:p w14:paraId="6591A1E8">
            <w:pPr>
              <w:snapToGrid w:val="0"/>
              <w:spacing w:line="240" w:lineRule="auto"/>
              <w:ind w:firstLine="0" w:firstLineChars="0"/>
              <w:jc w:val="center"/>
              <w:rPr>
                <w:rFonts w:cs="Times New Roman"/>
                <w:kern w:val="0"/>
                <w:sz w:val="18"/>
                <w:szCs w:val="18"/>
              </w:rPr>
            </w:pPr>
            <w:r>
              <w:rPr>
                <w:rFonts w:cs="Times New Roman"/>
                <w:kern w:val="0"/>
                <w:sz w:val="18"/>
                <w:szCs w:val="18"/>
              </w:rPr>
              <w:t>铅</w:t>
            </w:r>
          </w:p>
        </w:tc>
        <w:tc>
          <w:tcPr>
            <w:tcW w:w="670" w:type="pct"/>
            <w:vAlign w:val="center"/>
          </w:tcPr>
          <w:p w14:paraId="4429A769">
            <w:pPr>
              <w:snapToGrid w:val="0"/>
              <w:spacing w:line="240" w:lineRule="auto"/>
              <w:ind w:firstLine="0" w:firstLineChars="0"/>
              <w:jc w:val="center"/>
              <w:rPr>
                <w:rFonts w:cs="Times New Roman"/>
                <w:kern w:val="0"/>
                <w:sz w:val="18"/>
                <w:szCs w:val="18"/>
              </w:rPr>
            </w:pPr>
            <w:r>
              <w:rPr>
                <w:rFonts w:cs="Times New Roman"/>
                <w:kern w:val="0"/>
                <w:sz w:val="18"/>
                <w:szCs w:val="18"/>
              </w:rPr>
              <w:t>7439-92-1</w:t>
            </w:r>
          </w:p>
        </w:tc>
        <w:tc>
          <w:tcPr>
            <w:tcW w:w="1372" w:type="pct"/>
            <w:vAlign w:val="center"/>
          </w:tcPr>
          <w:p w14:paraId="44045120">
            <w:pPr>
              <w:snapToGrid w:val="0"/>
              <w:spacing w:line="240" w:lineRule="auto"/>
              <w:ind w:firstLine="0" w:firstLineChars="0"/>
              <w:jc w:val="center"/>
              <w:rPr>
                <w:rFonts w:cs="Times New Roman"/>
                <w:kern w:val="0"/>
                <w:sz w:val="18"/>
                <w:szCs w:val="18"/>
              </w:rPr>
            </w:pPr>
            <w:r>
              <w:rPr>
                <w:rFonts w:cs="Times New Roman"/>
                <w:kern w:val="0"/>
                <w:sz w:val="18"/>
                <w:szCs w:val="18"/>
              </w:rPr>
              <w:t>800</w:t>
            </w:r>
          </w:p>
        </w:tc>
        <w:tc>
          <w:tcPr>
            <w:tcW w:w="1346" w:type="pct"/>
            <w:vAlign w:val="center"/>
          </w:tcPr>
          <w:p w14:paraId="12477B7D">
            <w:pPr>
              <w:snapToGrid w:val="0"/>
              <w:spacing w:line="240" w:lineRule="auto"/>
              <w:ind w:firstLine="0" w:firstLineChars="0"/>
              <w:jc w:val="center"/>
              <w:rPr>
                <w:rFonts w:cs="Times New Roman"/>
                <w:kern w:val="0"/>
                <w:sz w:val="18"/>
                <w:szCs w:val="18"/>
              </w:rPr>
            </w:pPr>
            <w:r>
              <w:rPr>
                <w:rFonts w:cs="Times New Roman"/>
                <w:kern w:val="0"/>
                <w:sz w:val="18"/>
                <w:szCs w:val="18"/>
              </w:rPr>
              <w:t>2500</w:t>
            </w:r>
          </w:p>
        </w:tc>
      </w:tr>
      <w:tr w14:paraId="1F122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6AE7EEDC">
            <w:pPr>
              <w:snapToGrid w:val="0"/>
              <w:spacing w:line="240" w:lineRule="auto"/>
              <w:ind w:firstLine="0" w:firstLineChars="0"/>
              <w:jc w:val="center"/>
              <w:rPr>
                <w:rFonts w:cs="Times New Roman"/>
                <w:kern w:val="0"/>
                <w:sz w:val="18"/>
                <w:szCs w:val="18"/>
              </w:rPr>
            </w:pPr>
            <w:r>
              <w:rPr>
                <w:rFonts w:cs="Times New Roman"/>
                <w:kern w:val="0"/>
                <w:sz w:val="18"/>
                <w:szCs w:val="18"/>
              </w:rPr>
              <w:t>6</w:t>
            </w:r>
          </w:p>
        </w:tc>
        <w:tc>
          <w:tcPr>
            <w:tcW w:w="1276" w:type="pct"/>
            <w:vAlign w:val="center"/>
          </w:tcPr>
          <w:p w14:paraId="5C34270B">
            <w:pPr>
              <w:snapToGrid w:val="0"/>
              <w:spacing w:line="240" w:lineRule="auto"/>
              <w:ind w:firstLine="0" w:firstLineChars="0"/>
              <w:jc w:val="center"/>
              <w:rPr>
                <w:rFonts w:cs="Times New Roman"/>
                <w:kern w:val="0"/>
                <w:sz w:val="18"/>
                <w:szCs w:val="18"/>
              </w:rPr>
            </w:pPr>
            <w:r>
              <w:rPr>
                <w:rFonts w:cs="Times New Roman"/>
                <w:kern w:val="0"/>
                <w:sz w:val="18"/>
                <w:szCs w:val="18"/>
              </w:rPr>
              <w:t>汞</w:t>
            </w:r>
          </w:p>
        </w:tc>
        <w:tc>
          <w:tcPr>
            <w:tcW w:w="670" w:type="pct"/>
            <w:vAlign w:val="center"/>
          </w:tcPr>
          <w:p w14:paraId="0DF73850">
            <w:pPr>
              <w:snapToGrid w:val="0"/>
              <w:spacing w:line="240" w:lineRule="auto"/>
              <w:ind w:firstLine="0" w:firstLineChars="0"/>
              <w:jc w:val="center"/>
              <w:rPr>
                <w:rFonts w:cs="Times New Roman"/>
                <w:kern w:val="0"/>
                <w:sz w:val="18"/>
                <w:szCs w:val="18"/>
              </w:rPr>
            </w:pPr>
            <w:r>
              <w:rPr>
                <w:rFonts w:cs="Times New Roman"/>
                <w:kern w:val="0"/>
                <w:sz w:val="18"/>
                <w:szCs w:val="18"/>
              </w:rPr>
              <w:t>7439-97-6</w:t>
            </w:r>
          </w:p>
        </w:tc>
        <w:tc>
          <w:tcPr>
            <w:tcW w:w="1372" w:type="pct"/>
            <w:vAlign w:val="center"/>
          </w:tcPr>
          <w:p w14:paraId="18895DDF">
            <w:pPr>
              <w:snapToGrid w:val="0"/>
              <w:spacing w:line="240" w:lineRule="auto"/>
              <w:ind w:firstLine="0" w:firstLineChars="0"/>
              <w:jc w:val="center"/>
              <w:rPr>
                <w:rFonts w:cs="Times New Roman"/>
                <w:kern w:val="0"/>
                <w:sz w:val="18"/>
                <w:szCs w:val="18"/>
              </w:rPr>
            </w:pPr>
            <w:r>
              <w:rPr>
                <w:rFonts w:cs="Times New Roman"/>
                <w:kern w:val="0"/>
                <w:sz w:val="18"/>
                <w:szCs w:val="18"/>
              </w:rPr>
              <w:t>38</w:t>
            </w:r>
          </w:p>
        </w:tc>
        <w:tc>
          <w:tcPr>
            <w:tcW w:w="1346" w:type="pct"/>
            <w:vAlign w:val="center"/>
          </w:tcPr>
          <w:p w14:paraId="5383CB8E">
            <w:pPr>
              <w:snapToGrid w:val="0"/>
              <w:spacing w:line="240" w:lineRule="auto"/>
              <w:ind w:firstLine="0" w:firstLineChars="0"/>
              <w:jc w:val="center"/>
              <w:rPr>
                <w:rFonts w:cs="Times New Roman"/>
                <w:kern w:val="0"/>
                <w:sz w:val="18"/>
                <w:szCs w:val="18"/>
              </w:rPr>
            </w:pPr>
            <w:r>
              <w:rPr>
                <w:rFonts w:cs="Times New Roman"/>
                <w:kern w:val="0"/>
                <w:sz w:val="18"/>
                <w:szCs w:val="18"/>
              </w:rPr>
              <w:t>82</w:t>
            </w:r>
          </w:p>
        </w:tc>
      </w:tr>
      <w:tr w14:paraId="7AF77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1280AB20">
            <w:pPr>
              <w:snapToGrid w:val="0"/>
              <w:spacing w:line="240" w:lineRule="auto"/>
              <w:ind w:firstLine="0" w:firstLineChars="0"/>
              <w:jc w:val="center"/>
              <w:rPr>
                <w:rFonts w:cs="Times New Roman"/>
                <w:kern w:val="0"/>
                <w:sz w:val="18"/>
                <w:szCs w:val="18"/>
              </w:rPr>
            </w:pPr>
            <w:r>
              <w:rPr>
                <w:rFonts w:cs="Times New Roman"/>
                <w:kern w:val="0"/>
                <w:sz w:val="18"/>
                <w:szCs w:val="18"/>
              </w:rPr>
              <w:t>7</w:t>
            </w:r>
          </w:p>
        </w:tc>
        <w:tc>
          <w:tcPr>
            <w:tcW w:w="1276" w:type="pct"/>
            <w:vAlign w:val="center"/>
          </w:tcPr>
          <w:p w14:paraId="7CB4C9A0">
            <w:pPr>
              <w:snapToGrid w:val="0"/>
              <w:spacing w:line="240" w:lineRule="auto"/>
              <w:ind w:firstLine="0" w:firstLineChars="0"/>
              <w:jc w:val="center"/>
              <w:rPr>
                <w:rFonts w:cs="Times New Roman"/>
                <w:kern w:val="0"/>
                <w:sz w:val="18"/>
                <w:szCs w:val="18"/>
              </w:rPr>
            </w:pPr>
            <w:r>
              <w:rPr>
                <w:rFonts w:cs="Times New Roman"/>
                <w:kern w:val="0"/>
                <w:sz w:val="18"/>
                <w:szCs w:val="18"/>
              </w:rPr>
              <w:t>镍</w:t>
            </w:r>
          </w:p>
        </w:tc>
        <w:tc>
          <w:tcPr>
            <w:tcW w:w="670" w:type="pct"/>
            <w:vAlign w:val="center"/>
          </w:tcPr>
          <w:p w14:paraId="4503A0C3">
            <w:pPr>
              <w:snapToGrid w:val="0"/>
              <w:spacing w:line="240" w:lineRule="auto"/>
              <w:ind w:firstLine="0" w:firstLineChars="0"/>
              <w:jc w:val="center"/>
              <w:rPr>
                <w:rFonts w:cs="Times New Roman"/>
                <w:kern w:val="0"/>
                <w:sz w:val="18"/>
                <w:szCs w:val="18"/>
              </w:rPr>
            </w:pPr>
            <w:r>
              <w:rPr>
                <w:rFonts w:cs="Times New Roman"/>
                <w:kern w:val="0"/>
                <w:sz w:val="18"/>
                <w:szCs w:val="18"/>
              </w:rPr>
              <w:t>7440-02-0</w:t>
            </w:r>
          </w:p>
        </w:tc>
        <w:tc>
          <w:tcPr>
            <w:tcW w:w="1372" w:type="pct"/>
            <w:vAlign w:val="center"/>
          </w:tcPr>
          <w:p w14:paraId="70C69544">
            <w:pPr>
              <w:snapToGrid w:val="0"/>
              <w:spacing w:line="240" w:lineRule="auto"/>
              <w:ind w:firstLine="0" w:firstLineChars="0"/>
              <w:jc w:val="center"/>
              <w:rPr>
                <w:rFonts w:cs="Times New Roman"/>
                <w:kern w:val="0"/>
                <w:sz w:val="18"/>
                <w:szCs w:val="18"/>
              </w:rPr>
            </w:pPr>
            <w:r>
              <w:rPr>
                <w:rFonts w:cs="Times New Roman"/>
                <w:kern w:val="0"/>
                <w:sz w:val="18"/>
                <w:szCs w:val="18"/>
              </w:rPr>
              <w:t>900</w:t>
            </w:r>
          </w:p>
        </w:tc>
        <w:tc>
          <w:tcPr>
            <w:tcW w:w="1346" w:type="pct"/>
            <w:vAlign w:val="center"/>
          </w:tcPr>
          <w:p w14:paraId="448EEC5A">
            <w:pPr>
              <w:snapToGrid w:val="0"/>
              <w:spacing w:line="240" w:lineRule="auto"/>
              <w:ind w:firstLine="0" w:firstLineChars="0"/>
              <w:jc w:val="center"/>
              <w:rPr>
                <w:rFonts w:cs="Times New Roman"/>
                <w:kern w:val="0"/>
                <w:sz w:val="18"/>
                <w:szCs w:val="18"/>
              </w:rPr>
            </w:pPr>
            <w:r>
              <w:rPr>
                <w:rFonts w:cs="Times New Roman"/>
                <w:kern w:val="0"/>
                <w:sz w:val="18"/>
                <w:szCs w:val="18"/>
              </w:rPr>
              <w:t>2000</w:t>
            </w:r>
          </w:p>
        </w:tc>
      </w:tr>
      <w:tr w14:paraId="39513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000" w:type="pct"/>
            <w:gridSpan w:val="5"/>
            <w:vAlign w:val="center"/>
          </w:tcPr>
          <w:p w14:paraId="68B7CB29">
            <w:pPr>
              <w:snapToGrid w:val="0"/>
              <w:spacing w:line="240" w:lineRule="auto"/>
              <w:ind w:firstLine="0" w:firstLineChars="0"/>
              <w:jc w:val="center"/>
              <w:rPr>
                <w:rFonts w:cs="Times New Roman"/>
                <w:kern w:val="0"/>
                <w:sz w:val="18"/>
                <w:szCs w:val="18"/>
              </w:rPr>
            </w:pPr>
            <w:r>
              <w:rPr>
                <w:rFonts w:cs="Times New Roman"/>
                <w:kern w:val="0"/>
                <w:sz w:val="18"/>
                <w:szCs w:val="18"/>
              </w:rPr>
              <w:t>挥发性有机物</w:t>
            </w:r>
          </w:p>
        </w:tc>
      </w:tr>
      <w:tr w14:paraId="53478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6659AE8A">
            <w:pPr>
              <w:snapToGrid w:val="0"/>
              <w:spacing w:line="240" w:lineRule="auto"/>
              <w:ind w:firstLine="0" w:firstLineChars="0"/>
              <w:jc w:val="center"/>
              <w:rPr>
                <w:rFonts w:cs="Times New Roman"/>
                <w:kern w:val="0"/>
                <w:sz w:val="18"/>
                <w:szCs w:val="18"/>
              </w:rPr>
            </w:pPr>
            <w:r>
              <w:rPr>
                <w:rFonts w:cs="Times New Roman"/>
                <w:kern w:val="0"/>
                <w:sz w:val="18"/>
                <w:szCs w:val="18"/>
              </w:rPr>
              <w:t>8</w:t>
            </w:r>
          </w:p>
        </w:tc>
        <w:tc>
          <w:tcPr>
            <w:tcW w:w="1276" w:type="pct"/>
            <w:vAlign w:val="center"/>
          </w:tcPr>
          <w:p w14:paraId="3129A1C0">
            <w:pPr>
              <w:snapToGrid w:val="0"/>
              <w:spacing w:line="240" w:lineRule="auto"/>
              <w:ind w:firstLine="0" w:firstLineChars="0"/>
              <w:jc w:val="center"/>
              <w:rPr>
                <w:rFonts w:cs="Times New Roman"/>
                <w:kern w:val="0"/>
                <w:sz w:val="18"/>
                <w:szCs w:val="18"/>
              </w:rPr>
            </w:pPr>
            <w:r>
              <w:rPr>
                <w:rFonts w:cs="Times New Roman"/>
                <w:kern w:val="0"/>
                <w:sz w:val="18"/>
                <w:szCs w:val="18"/>
              </w:rPr>
              <w:t>四氯化碳</w:t>
            </w:r>
          </w:p>
        </w:tc>
        <w:tc>
          <w:tcPr>
            <w:tcW w:w="670" w:type="pct"/>
            <w:vAlign w:val="center"/>
          </w:tcPr>
          <w:p w14:paraId="01363ADB">
            <w:pPr>
              <w:snapToGrid w:val="0"/>
              <w:spacing w:line="240" w:lineRule="auto"/>
              <w:ind w:firstLine="0" w:firstLineChars="0"/>
              <w:jc w:val="center"/>
              <w:rPr>
                <w:rFonts w:cs="Times New Roman"/>
                <w:kern w:val="0"/>
                <w:sz w:val="18"/>
                <w:szCs w:val="18"/>
              </w:rPr>
            </w:pPr>
            <w:r>
              <w:rPr>
                <w:rFonts w:cs="Times New Roman"/>
                <w:kern w:val="0"/>
                <w:sz w:val="18"/>
                <w:szCs w:val="18"/>
              </w:rPr>
              <w:t>56-23-5</w:t>
            </w:r>
          </w:p>
        </w:tc>
        <w:tc>
          <w:tcPr>
            <w:tcW w:w="1372" w:type="pct"/>
            <w:vAlign w:val="center"/>
          </w:tcPr>
          <w:p w14:paraId="7EBC4F29">
            <w:pPr>
              <w:snapToGrid w:val="0"/>
              <w:spacing w:line="240" w:lineRule="auto"/>
              <w:ind w:firstLine="0" w:firstLineChars="0"/>
              <w:jc w:val="center"/>
              <w:rPr>
                <w:rFonts w:cs="Times New Roman"/>
                <w:kern w:val="0"/>
                <w:sz w:val="18"/>
                <w:szCs w:val="18"/>
              </w:rPr>
            </w:pPr>
            <w:r>
              <w:rPr>
                <w:rFonts w:cs="Times New Roman"/>
                <w:kern w:val="0"/>
                <w:sz w:val="18"/>
                <w:szCs w:val="18"/>
              </w:rPr>
              <w:t>2.8</w:t>
            </w:r>
          </w:p>
        </w:tc>
        <w:tc>
          <w:tcPr>
            <w:tcW w:w="1346" w:type="pct"/>
            <w:vAlign w:val="center"/>
          </w:tcPr>
          <w:p w14:paraId="72D3A9AF">
            <w:pPr>
              <w:snapToGrid w:val="0"/>
              <w:spacing w:line="240" w:lineRule="auto"/>
              <w:ind w:firstLine="0" w:firstLineChars="0"/>
              <w:jc w:val="center"/>
              <w:rPr>
                <w:rFonts w:cs="Times New Roman"/>
                <w:kern w:val="0"/>
                <w:sz w:val="18"/>
                <w:szCs w:val="18"/>
              </w:rPr>
            </w:pPr>
            <w:r>
              <w:rPr>
                <w:rFonts w:cs="Times New Roman"/>
                <w:kern w:val="0"/>
                <w:sz w:val="18"/>
                <w:szCs w:val="18"/>
              </w:rPr>
              <w:t>36</w:t>
            </w:r>
          </w:p>
        </w:tc>
      </w:tr>
      <w:tr w14:paraId="4E3CE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078E9C5E">
            <w:pPr>
              <w:snapToGrid w:val="0"/>
              <w:spacing w:line="240" w:lineRule="auto"/>
              <w:ind w:firstLine="0" w:firstLineChars="0"/>
              <w:jc w:val="center"/>
              <w:rPr>
                <w:rFonts w:cs="Times New Roman"/>
                <w:kern w:val="0"/>
                <w:sz w:val="18"/>
                <w:szCs w:val="18"/>
              </w:rPr>
            </w:pPr>
            <w:r>
              <w:rPr>
                <w:rFonts w:cs="Times New Roman"/>
                <w:kern w:val="0"/>
                <w:sz w:val="18"/>
                <w:szCs w:val="18"/>
              </w:rPr>
              <w:t>9</w:t>
            </w:r>
          </w:p>
        </w:tc>
        <w:tc>
          <w:tcPr>
            <w:tcW w:w="1276" w:type="pct"/>
            <w:vAlign w:val="center"/>
          </w:tcPr>
          <w:p w14:paraId="73BA8A1C">
            <w:pPr>
              <w:snapToGrid w:val="0"/>
              <w:spacing w:line="240" w:lineRule="auto"/>
              <w:ind w:firstLine="0" w:firstLineChars="0"/>
              <w:jc w:val="center"/>
              <w:rPr>
                <w:rFonts w:cs="Times New Roman"/>
                <w:kern w:val="0"/>
                <w:sz w:val="18"/>
                <w:szCs w:val="18"/>
              </w:rPr>
            </w:pPr>
            <w:r>
              <w:rPr>
                <w:rFonts w:cs="Times New Roman"/>
                <w:kern w:val="0"/>
                <w:sz w:val="18"/>
                <w:szCs w:val="18"/>
              </w:rPr>
              <w:t>氯仿</w:t>
            </w:r>
          </w:p>
        </w:tc>
        <w:tc>
          <w:tcPr>
            <w:tcW w:w="670" w:type="pct"/>
            <w:vAlign w:val="center"/>
          </w:tcPr>
          <w:p w14:paraId="59855569">
            <w:pPr>
              <w:snapToGrid w:val="0"/>
              <w:spacing w:line="240" w:lineRule="auto"/>
              <w:ind w:firstLine="0" w:firstLineChars="0"/>
              <w:jc w:val="center"/>
              <w:rPr>
                <w:rFonts w:cs="Times New Roman"/>
                <w:kern w:val="0"/>
                <w:sz w:val="18"/>
                <w:szCs w:val="18"/>
              </w:rPr>
            </w:pPr>
            <w:r>
              <w:rPr>
                <w:rFonts w:cs="Times New Roman"/>
                <w:kern w:val="0"/>
                <w:sz w:val="18"/>
                <w:szCs w:val="18"/>
              </w:rPr>
              <w:t>67-66-3</w:t>
            </w:r>
          </w:p>
        </w:tc>
        <w:tc>
          <w:tcPr>
            <w:tcW w:w="1372" w:type="pct"/>
            <w:vAlign w:val="center"/>
          </w:tcPr>
          <w:p w14:paraId="0F9524D6">
            <w:pPr>
              <w:snapToGrid w:val="0"/>
              <w:spacing w:line="240" w:lineRule="auto"/>
              <w:ind w:firstLine="0" w:firstLineChars="0"/>
              <w:jc w:val="center"/>
              <w:rPr>
                <w:rFonts w:cs="Times New Roman"/>
                <w:kern w:val="0"/>
                <w:sz w:val="18"/>
                <w:szCs w:val="18"/>
              </w:rPr>
            </w:pPr>
            <w:r>
              <w:rPr>
                <w:rFonts w:cs="Times New Roman"/>
                <w:kern w:val="0"/>
                <w:sz w:val="18"/>
                <w:szCs w:val="18"/>
              </w:rPr>
              <w:t>0.9</w:t>
            </w:r>
          </w:p>
        </w:tc>
        <w:tc>
          <w:tcPr>
            <w:tcW w:w="1346" w:type="pct"/>
            <w:vAlign w:val="center"/>
          </w:tcPr>
          <w:p w14:paraId="04D9C444">
            <w:pPr>
              <w:snapToGrid w:val="0"/>
              <w:spacing w:line="240" w:lineRule="auto"/>
              <w:ind w:firstLine="0" w:firstLineChars="0"/>
              <w:jc w:val="center"/>
              <w:rPr>
                <w:rFonts w:cs="Times New Roman"/>
                <w:kern w:val="0"/>
                <w:sz w:val="18"/>
                <w:szCs w:val="18"/>
              </w:rPr>
            </w:pPr>
            <w:r>
              <w:rPr>
                <w:rFonts w:cs="Times New Roman"/>
                <w:kern w:val="0"/>
                <w:sz w:val="18"/>
                <w:szCs w:val="18"/>
              </w:rPr>
              <w:t>10</w:t>
            </w:r>
          </w:p>
        </w:tc>
      </w:tr>
      <w:tr w14:paraId="2F588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55B749AD">
            <w:pPr>
              <w:snapToGrid w:val="0"/>
              <w:spacing w:line="240" w:lineRule="auto"/>
              <w:ind w:firstLine="0" w:firstLineChars="0"/>
              <w:jc w:val="center"/>
              <w:rPr>
                <w:rFonts w:cs="Times New Roman"/>
                <w:kern w:val="0"/>
                <w:sz w:val="18"/>
                <w:szCs w:val="18"/>
              </w:rPr>
            </w:pPr>
            <w:r>
              <w:rPr>
                <w:rFonts w:cs="Times New Roman"/>
                <w:kern w:val="0"/>
                <w:sz w:val="18"/>
                <w:szCs w:val="18"/>
              </w:rPr>
              <w:t>10</w:t>
            </w:r>
          </w:p>
        </w:tc>
        <w:tc>
          <w:tcPr>
            <w:tcW w:w="1276" w:type="pct"/>
            <w:vAlign w:val="center"/>
          </w:tcPr>
          <w:p w14:paraId="396C48C3">
            <w:pPr>
              <w:snapToGrid w:val="0"/>
              <w:spacing w:line="240" w:lineRule="auto"/>
              <w:ind w:firstLine="0" w:firstLineChars="0"/>
              <w:jc w:val="center"/>
              <w:rPr>
                <w:rFonts w:cs="Times New Roman"/>
                <w:kern w:val="0"/>
                <w:sz w:val="18"/>
                <w:szCs w:val="18"/>
              </w:rPr>
            </w:pPr>
            <w:r>
              <w:rPr>
                <w:rFonts w:cs="Times New Roman"/>
                <w:kern w:val="0"/>
                <w:sz w:val="18"/>
                <w:szCs w:val="18"/>
              </w:rPr>
              <w:t>氯甲烷</w:t>
            </w:r>
          </w:p>
        </w:tc>
        <w:tc>
          <w:tcPr>
            <w:tcW w:w="670" w:type="pct"/>
            <w:vAlign w:val="center"/>
          </w:tcPr>
          <w:p w14:paraId="3FF6F026">
            <w:pPr>
              <w:snapToGrid w:val="0"/>
              <w:spacing w:line="240" w:lineRule="auto"/>
              <w:ind w:firstLine="0" w:firstLineChars="0"/>
              <w:jc w:val="center"/>
              <w:rPr>
                <w:rFonts w:cs="Times New Roman"/>
                <w:kern w:val="0"/>
                <w:sz w:val="18"/>
                <w:szCs w:val="18"/>
              </w:rPr>
            </w:pPr>
            <w:r>
              <w:rPr>
                <w:rFonts w:cs="Times New Roman"/>
                <w:kern w:val="0"/>
                <w:sz w:val="18"/>
                <w:szCs w:val="18"/>
              </w:rPr>
              <w:t>74-87-3</w:t>
            </w:r>
          </w:p>
        </w:tc>
        <w:tc>
          <w:tcPr>
            <w:tcW w:w="1372" w:type="pct"/>
            <w:vAlign w:val="center"/>
          </w:tcPr>
          <w:p w14:paraId="0833E294">
            <w:pPr>
              <w:snapToGrid w:val="0"/>
              <w:spacing w:line="240" w:lineRule="auto"/>
              <w:ind w:firstLine="0" w:firstLineChars="0"/>
              <w:jc w:val="center"/>
              <w:rPr>
                <w:rFonts w:cs="Times New Roman"/>
                <w:kern w:val="0"/>
                <w:sz w:val="18"/>
                <w:szCs w:val="18"/>
              </w:rPr>
            </w:pPr>
            <w:r>
              <w:rPr>
                <w:rFonts w:cs="Times New Roman"/>
                <w:kern w:val="0"/>
                <w:sz w:val="18"/>
                <w:szCs w:val="18"/>
              </w:rPr>
              <w:t>37</w:t>
            </w:r>
          </w:p>
        </w:tc>
        <w:tc>
          <w:tcPr>
            <w:tcW w:w="1346" w:type="pct"/>
            <w:vAlign w:val="center"/>
          </w:tcPr>
          <w:p w14:paraId="3BB66CC3">
            <w:pPr>
              <w:snapToGrid w:val="0"/>
              <w:spacing w:line="240" w:lineRule="auto"/>
              <w:ind w:firstLine="0" w:firstLineChars="0"/>
              <w:jc w:val="center"/>
              <w:rPr>
                <w:rFonts w:cs="Times New Roman"/>
                <w:kern w:val="0"/>
                <w:sz w:val="18"/>
                <w:szCs w:val="18"/>
              </w:rPr>
            </w:pPr>
            <w:r>
              <w:rPr>
                <w:rFonts w:cs="Times New Roman"/>
                <w:kern w:val="0"/>
                <w:sz w:val="18"/>
                <w:szCs w:val="18"/>
              </w:rPr>
              <w:t>120</w:t>
            </w:r>
          </w:p>
        </w:tc>
      </w:tr>
      <w:tr w14:paraId="5DE80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08125C22">
            <w:pPr>
              <w:snapToGrid w:val="0"/>
              <w:spacing w:line="240" w:lineRule="auto"/>
              <w:ind w:firstLine="0" w:firstLineChars="0"/>
              <w:jc w:val="center"/>
              <w:rPr>
                <w:rFonts w:cs="Times New Roman"/>
                <w:kern w:val="0"/>
                <w:sz w:val="18"/>
                <w:szCs w:val="18"/>
              </w:rPr>
            </w:pPr>
            <w:r>
              <w:rPr>
                <w:rFonts w:cs="Times New Roman"/>
                <w:kern w:val="0"/>
                <w:sz w:val="18"/>
                <w:szCs w:val="18"/>
              </w:rPr>
              <w:t>11</w:t>
            </w:r>
          </w:p>
        </w:tc>
        <w:tc>
          <w:tcPr>
            <w:tcW w:w="1276" w:type="pct"/>
            <w:vAlign w:val="center"/>
          </w:tcPr>
          <w:p w14:paraId="70EE3249">
            <w:pPr>
              <w:snapToGrid w:val="0"/>
              <w:spacing w:line="240" w:lineRule="auto"/>
              <w:ind w:firstLine="0" w:firstLineChars="0"/>
              <w:jc w:val="center"/>
              <w:rPr>
                <w:rFonts w:cs="Times New Roman"/>
                <w:kern w:val="0"/>
                <w:sz w:val="18"/>
                <w:szCs w:val="18"/>
              </w:rPr>
            </w:pPr>
            <w:r>
              <w:rPr>
                <w:rFonts w:cs="Times New Roman"/>
                <w:kern w:val="0"/>
                <w:sz w:val="18"/>
                <w:szCs w:val="18"/>
              </w:rPr>
              <w:t>1，1-二氯乙烷</w:t>
            </w:r>
          </w:p>
        </w:tc>
        <w:tc>
          <w:tcPr>
            <w:tcW w:w="670" w:type="pct"/>
            <w:vAlign w:val="center"/>
          </w:tcPr>
          <w:p w14:paraId="24D3A34F">
            <w:pPr>
              <w:snapToGrid w:val="0"/>
              <w:spacing w:line="240" w:lineRule="auto"/>
              <w:ind w:firstLine="0" w:firstLineChars="0"/>
              <w:jc w:val="center"/>
              <w:rPr>
                <w:rFonts w:cs="Times New Roman"/>
                <w:kern w:val="0"/>
                <w:sz w:val="18"/>
                <w:szCs w:val="18"/>
              </w:rPr>
            </w:pPr>
            <w:r>
              <w:rPr>
                <w:rFonts w:cs="Times New Roman"/>
                <w:kern w:val="0"/>
                <w:sz w:val="18"/>
                <w:szCs w:val="18"/>
              </w:rPr>
              <w:t>75-34-3</w:t>
            </w:r>
          </w:p>
        </w:tc>
        <w:tc>
          <w:tcPr>
            <w:tcW w:w="1372" w:type="pct"/>
            <w:vAlign w:val="center"/>
          </w:tcPr>
          <w:p w14:paraId="69818B83">
            <w:pPr>
              <w:snapToGrid w:val="0"/>
              <w:spacing w:line="240" w:lineRule="auto"/>
              <w:ind w:firstLine="0" w:firstLineChars="0"/>
              <w:jc w:val="center"/>
              <w:rPr>
                <w:rFonts w:cs="Times New Roman"/>
                <w:kern w:val="0"/>
                <w:sz w:val="18"/>
                <w:szCs w:val="18"/>
              </w:rPr>
            </w:pPr>
            <w:r>
              <w:rPr>
                <w:rFonts w:cs="Times New Roman"/>
                <w:kern w:val="0"/>
                <w:sz w:val="18"/>
                <w:szCs w:val="18"/>
              </w:rPr>
              <w:t>9</w:t>
            </w:r>
          </w:p>
        </w:tc>
        <w:tc>
          <w:tcPr>
            <w:tcW w:w="1346" w:type="pct"/>
            <w:vAlign w:val="center"/>
          </w:tcPr>
          <w:p w14:paraId="06BA4316">
            <w:pPr>
              <w:snapToGrid w:val="0"/>
              <w:spacing w:line="240" w:lineRule="auto"/>
              <w:ind w:firstLine="0" w:firstLineChars="0"/>
              <w:jc w:val="center"/>
              <w:rPr>
                <w:rFonts w:cs="Times New Roman"/>
                <w:kern w:val="0"/>
                <w:sz w:val="18"/>
                <w:szCs w:val="18"/>
              </w:rPr>
            </w:pPr>
            <w:r>
              <w:rPr>
                <w:rFonts w:cs="Times New Roman"/>
                <w:kern w:val="0"/>
                <w:sz w:val="18"/>
                <w:szCs w:val="18"/>
              </w:rPr>
              <w:t>100</w:t>
            </w:r>
          </w:p>
        </w:tc>
      </w:tr>
      <w:tr w14:paraId="68FE0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4B5D3BBC">
            <w:pPr>
              <w:snapToGrid w:val="0"/>
              <w:spacing w:line="240" w:lineRule="auto"/>
              <w:ind w:firstLine="0" w:firstLineChars="0"/>
              <w:jc w:val="center"/>
              <w:rPr>
                <w:rFonts w:cs="Times New Roman"/>
                <w:kern w:val="0"/>
                <w:sz w:val="18"/>
                <w:szCs w:val="18"/>
              </w:rPr>
            </w:pPr>
            <w:r>
              <w:rPr>
                <w:rFonts w:cs="Times New Roman"/>
                <w:kern w:val="0"/>
                <w:sz w:val="18"/>
                <w:szCs w:val="18"/>
              </w:rPr>
              <w:t>12</w:t>
            </w:r>
          </w:p>
        </w:tc>
        <w:tc>
          <w:tcPr>
            <w:tcW w:w="1276" w:type="pct"/>
            <w:vAlign w:val="center"/>
          </w:tcPr>
          <w:p w14:paraId="53038760">
            <w:pPr>
              <w:snapToGrid w:val="0"/>
              <w:spacing w:line="240" w:lineRule="auto"/>
              <w:ind w:firstLine="0" w:firstLineChars="0"/>
              <w:jc w:val="center"/>
              <w:rPr>
                <w:rFonts w:cs="Times New Roman"/>
                <w:kern w:val="0"/>
                <w:sz w:val="18"/>
                <w:szCs w:val="18"/>
              </w:rPr>
            </w:pPr>
            <w:r>
              <w:rPr>
                <w:rFonts w:cs="Times New Roman"/>
                <w:kern w:val="0"/>
                <w:sz w:val="18"/>
                <w:szCs w:val="18"/>
              </w:rPr>
              <w:t>1，2-二氯乙烷</w:t>
            </w:r>
          </w:p>
        </w:tc>
        <w:tc>
          <w:tcPr>
            <w:tcW w:w="670" w:type="pct"/>
            <w:vAlign w:val="center"/>
          </w:tcPr>
          <w:p w14:paraId="3C043E3F">
            <w:pPr>
              <w:snapToGrid w:val="0"/>
              <w:spacing w:line="240" w:lineRule="auto"/>
              <w:ind w:firstLine="0" w:firstLineChars="0"/>
              <w:jc w:val="center"/>
              <w:rPr>
                <w:rFonts w:cs="Times New Roman"/>
                <w:kern w:val="0"/>
                <w:sz w:val="18"/>
                <w:szCs w:val="18"/>
              </w:rPr>
            </w:pPr>
            <w:r>
              <w:rPr>
                <w:rFonts w:cs="Times New Roman"/>
                <w:kern w:val="0"/>
                <w:sz w:val="18"/>
                <w:szCs w:val="18"/>
              </w:rPr>
              <w:t>107-06-2</w:t>
            </w:r>
          </w:p>
        </w:tc>
        <w:tc>
          <w:tcPr>
            <w:tcW w:w="1372" w:type="pct"/>
            <w:vAlign w:val="center"/>
          </w:tcPr>
          <w:p w14:paraId="560FAEA9">
            <w:pPr>
              <w:snapToGrid w:val="0"/>
              <w:spacing w:line="240" w:lineRule="auto"/>
              <w:ind w:firstLine="0" w:firstLineChars="0"/>
              <w:jc w:val="center"/>
              <w:rPr>
                <w:rFonts w:cs="Times New Roman"/>
                <w:kern w:val="0"/>
                <w:sz w:val="18"/>
                <w:szCs w:val="18"/>
              </w:rPr>
            </w:pPr>
            <w:r>
              <w:rPr>
                <w:rFonts w:cs="Times New Roman"/>
                <w:kern w:val="0"/>
                <w:sz w:val="18"/>
                <w:szCs w:val="18"/>
              </w:rPr>
              <w:t>5</w:t>
            </w:r>
          </w:p>
        </w:tc>
        <w:tc>
          <w:tcPr>
            <w:tcW w:w="1346" w:type="pct"/>
            <w:vAlign w:val="center"/>
          </w:tcPr>
          <w:p w14:paraId="149E0238">
            <w:pPr>
              <w:snapToGrid w:val="0"/>
              <w:spacing w:line="240" w:lineRule="auto"/>
              <w:ind w:firstLine="0" w:firstLineChars="0"/>
              <w:jc w:val="center"/>
              <w:rPr>
                <w:rFonts w:cs="Times New Roman"/>
                <w:kern w:val="0"/>
                <w:sz w:val="18"/>
                <w:szCs w:val="18"/>
              </w:rPr>
            </w:pPr>
            <w:r>
              <w:rPr>
                <w:rFonts w:cs="Times New Roman"/>
                <w:kern w:val="0"/>
                <w:sz w:val="18"/>
                <w:szCs w:val="18"/>
              </w:rPr>
              <w:t>21</w:t>
            </w:r>
          </w:p>
        </w:tc>
      </w:tr>
      <w:tr w14:paraId="3B90B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7B9B2F58">
            <w:pPr>
              <w:snapToGrid w:val="0"/>
              <w:spacing w:line="240" w:lineRule="auto"/>
              <w:ind w:firstLine="0" w:firstLineChars="0"/>
              <w:jc w:val="center"/>
              <w:rPr>
                <w:rFonts w:cs="Times New Roman"/>
                <w:kern w:val="0"/>
                <w:sz w:val="18"/>
                <w:szCs w:val="18"/>
              </w:rPr>
            </w:pPr>
            <w:r>
              <w:rPr>
                <w:rFonts w:cs="Times New Roman"/>
                <w:kern w:val="0"/>
                <w:sz w:val="18"/>
                <w:szCs w:val="18"/>
              </w:rPr>
              <w:t>13</w:t>
            </w:r>
          </w:p>
        </w:tc>
        <w:tc>
          <w:tcPr>
            <w:tcW w:w="1276" w:type="pct"/>
            <w:vAlign w:val="center"/>
          </w:tcPr>
          <w:p w14:paraId="17B74D08">
            <w:pPr>
              <w:snapToGrid w:val="0"/>
              <w:spacing w:line="240" w:lineRule="auto"/>
              <w:ind w:firstLine="0" w:firstLineChars="0"/>
              <w:jc w:val="center"/>
              <w:rPr>
                <w:rFonts w:cs="Times New Roman"/>
                <w:kern w:val="0"/>
                <w:sz w:val="18"/>
                <w:szCs w:val="18"/>
              </w:rPr>
            </w:pPr>
            <w:r>
              <w:rPr>
                <w:rFonts w:cs="Times New Roman"/>
                <w:kern w:val="0"/>
                <w:sz w:val="18"/>
                <w:szCs w:val="18"/>
              </w:rPr>
              <w:t>1，1-二氯乙烯</w:t>
            </w:r>
          </w:p>
        </w:tc>
        <w:tc>
          <w:tcPr>
            <w:tcW w:w="670" w:type="pct"/>
            <w:vAlign w:val="center"/>
          </w:tcPr>
          <w:p w14:paraId="0E343309">
            <w:pPr>
              <w:snapToGrid w:val="0"/>
              <w:spacing w:line="240" w:lineRule="auto"/>
              <w:ind w:firstLine="0" w:firstLineChars="0"/>
              <w:jc w:val="center"/>
              <w:rPr>
                <w:rFonts w:cs="Times New Roman"/>
                <w:kern w:val="0"/>
                <w:sz w:val="18"/>
                <w:szCs w:val="18"/>
              </w:rPr>
            </w:pPr>
            <w:r>
              <w:rPr>
                <w:rFonts w:cs="Times New Roman"/>
                <w:kern w:val="0"/>
                <w:sz w:val="18"/>
                <w:szCs w:val="18"/>
              </w:rPr>
              <w:t>75-35-4</w:t>
            </w:r>
          </w:p>
        </w:tc>
        <w:tc>
          <w:tcPr>
            <w:tcW w:w="1372" w:type="pct"/>
            <w:vAlign w:val="center"/>
          </w:tcPr>
          <w:p w14:paraId="5D199AB3">
            <w:pPr>
              <w:snapToGrid w:val="0"/>
              <w:spacing w:line="240" w:lineRule="auto"/>
              <w:ind w:firstLine="0" w:firstLineChars="0"/>
              <w:jc w:val="center"/>
              <w:rPr>
                <w:rFonts w:cs="Times New Roman"/>
                <w:kern w:val="0"/>
                <w:sz w:val="18"/>
                <w:szCs w:val="18"/>
              </w:rPr>
            </w:pPr>
            <w:r>
              <w:rPr>
                <w:rFonts w:cs="Times New Roman"/>
                <w:kern w:val="0"/>
                <w:sz w:val="18"/>
                <w:szCs w:val="18"/>
              </w:rPr>
              <w:t>66</w:t>
            </w:r>
          </w:p>
        </w:tc>
        <w:tc>
          <w:tcPr>
            <w:tcW w:w="1346" w:type="pct"/>
            <w:vAlign w:val="center"/>
          </w:tcPr>
          <w:p w14:paraId="5014A92A">
            <w:pPr>
              <w:snapToGrid w:val="0"/>
              <w:spacing w:line="240" w:lineRule="auto"/>
              <w:ind w:firstLine="0" w:firstLineChars="0"/>
              <w:jc w:val="center"/>
              <w:rPr>
                <w:rFonts w:cs="Times New Roman"/>
                <w:kern w:val="0"/>
                <w:sz w:val="18"/>
                <w:szCs w:val="18"/>
              </w:rPr>
            </w:pPr>
            <w:r>
              <w:rPr>
                <w:rFonts w:cs="Times New Roman"/>
                <w:kern w:val="0"/>
                <w:sz w:val="18"/>
                <w:szCs w:val="18"/>
              </w:rPr>
              <w:t>200</w:t>
            </w:r>
          </w:p>
        </w:tc>
      </w:tr>
      <w:tr w14:paraId="53D98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3522AF35">
            <w:pPr>
              <w:snapToGrid w:val="0"/>
              <w:spacing w:line="240" w:lineRule="auto"/>
              <w:ind w:firstLine="0" w:firstLineChars="0"/>
              <w:jc w:val="center"/>
              <w:rPr>
                <w:rFonts w:cs="Times New Roman"/>
                <w:kern w:val="0"/>
                <w:sz w:val="18"/>
                <w:szCs w:val="18"/>
              </w:rPr>
            </w:pPr>
            <w:r>
              <w:rPr>
                <w:rFonts w:cs="Times New Roman"/>
                <w:kern w:val="0"/>
                <w:sz w:val="18"/>
                <w:szCs w:val="18"/>
              </w:rPr>
              <w:t>14</w:t>
            </w:r>
          </w:p>
        </w:tc>
        <w:tc>
          <w:tcPr>
            <w:tcW w:w="1276" w:type="pct"/>
            <w:vAlign w:val="center"/>
          </w:tcPr>
          <w:p w14:paraId="443A14A8">
            <w:pPr>
              <w:snapToGrid w:val="0"/>
              <w:spacing w:line="240" w:lineRule="auto"/>
              <w:ind w:firstLine="0" w:firstLineChars="0"/>
              <w:jc w:val="center"/>
              <w:rPr>
                <w:rFonts w:cs="Times New Roman"/>
                <w:kern w:val="0"/>
                <w:sz w:val="18"/>
                <w:szCs w:val="18"/>
              </w:rPr>
            </w:pPr>
            <w:r>
              <w:rPr>
                <w:rFonts w:cs="Times New Roman"/>
                <w:kern w:val="0"/>
                <w:sz w:val="18"/>
                <w:szCs w:val="18"/>
              </w:rPr>
              <w:t>顺-1，2-二氯乙烯</w:t>
            </w:r>
          </w:p>
        </w:tc>
        <w:tc>
          <w:tcPr>
            <w:tcW w:w="670" w:type="pct"/>
            <w:vAlign w:val="center"/>
          </w:tcPr>
          <w:p w14:paraId="7E81F3B3">
            <w:pPr>
              <w:snapToGrid w:val="0"/>
              <w:spacing w:line="240" w:lineRule="auto"/>
              <w:ind w:firstLine="0" w:firstLineChars="0"/>
              <w:jc w:val="center"/>
              <w:rPr>
                <w:rFonts w:cs="Times New Roman"/>
                <w:kern w:val="0"/>
                <w:sz w:val="18"/>
                <w:szCs w:val="18"/>
              </w:rPr>
            </w:pPr>
            <w:r>
              <w:rPr>
                <w:rFonts w:cs="Times New Roman"/>
                <w:kern w:val="0"/>
                <w:sz w:val="18"/>
                <w:szCs w:val="18"/>
              </w:rPr>
              <w:t>156-59-2</w:t>
            </w:r>
          </w:p>
        </w:tc>
        <w:tc>
          <w:tcPr>
            <w:tcW w:w="1372" w:type="pct"/>
            <w:vAlign w:val="center"/>
          </w:tcPr>
          <w:p w14:paraId="5F2A57A2">
            <w:pPr>
              <w:snapToGrid w:val="0"/>
              <w:spacing w:line="240" w:lineRule="auto"/>
              <w:ind w:firstLine="0" w:firstLineChars="0"/>
              <w:jc w:val="center"/>
              <w:rPr>
                <w:rFonts w:cs="Times New Roman"/>
                <w:kern w:val="0"/>
                <w:sz w:val="18"/>
                <w:szCs w:val="18"/>
              </w:rPr>
            </w:pPr>
            <w:r>
              <w:rPr>
                <w:rFonts w:cs="Times New Roman"/>
                <w:kern w:val="0"/>
                <w:sz w:val="18"/>
                <w:szCs w:val="18"/>
              </w:rPr>
              <w:t>596</w:t>
            </w:r>
          </w:p>
        </w:tc>
        <w:tc>
          <w:tcPr>
            <w:tcW w:w="1346" w:type="pct"/>
            <w:vAlign w:val="center"/>
          </w:tcPr>
          <w:p w14:paraId="73D61E16">
            <w:pPr>
              <w:snapToGrid w:val="0"/>
              <w:spacing w:line="240" w:lineRule="auto"/>
              <w:ind w:firstLine="0" w:firstLineChars="0"/>
              <w:jc w:val="center"/>
              <w:rPr>
                <w:rFonts w:cs="Times New Roman"/>
                <w:kern w:val="0"/>
                <w:sz w:val="18"/>
                <w:szCs w:val="18"/>
              </w:rPr>
            </w:pPr>
            <w:r>
              <w:rPr>
                <w:rFonts w:cs="Times New Roman"/>
                <w:kern w:val="0"/>
                <w:sz w:val="18"/>
                <w:szCs w:val="18"/>
              </w:rPr>
              <w:t>2000</w:t>
            </w:r>
          </w:p>
        </w:tc>
      </w:tr>
      <w:tr w14:paraId="612FE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25F82174">
            <w:pPr>
              <w:snapToGrid w:val="0"/>
              <w:spacing w:line="240" w:lineRule="auto"/>
              <w:ind w:firstLine="0" w:firstLineChars="0"/>
              <w:jc w:val="center"/>
              <w:rPr>
                <w:rFonts w:cs="Times New Roman"/>
                <w:kern w:val="0"/>
                <w:sz w:val="18"/>
                <w:szCs w:val="18"/>
              </w:rPr>
            </w:pPr>
            <w:r>
              <w:rPr>
                <w:rFonts w:cs="Times New Roman"/>
                <w:kern w:val="0"/>
                <w:sz w:val="18"/>
                <w:szCs w:val="18"/>
              </w:rPr>
              <w:t>15</w:t>
            </w:r>
          </w:p>
        </w:tc>
        <w:tc>
          <w:tcPr>
            <w:tcW w:w="1276" w:type="pct"/>
            <w:vAlign w:val="center"/>
          </w:tcPr>
          <w:p w14:paraId="32649439">
            <w:pPr>
              <w:snapToGrid w:val="0"/>
              <w:spacing w:line="240" w:lineRule="auto"/>
              <w:ind w:firstLine="0" w:firstLineChars="0"/>
              <w:jc w:val="center"/>
              <w:rPr>
                <w:rFonts w:cs="Times New Roman"/>
                <w:kern w:val="0"/>
                <w:sz w:val="18"/>
                <w:szCs w:val="18"/>
              </w:rPr>
            </w:pPr>
            <w:r>
              <w:rPr>
                <w:rFonts w:cs="Times New Roman"/>
                <w:kern w:val="0"/>
                <w:sz w:val="18"/>
                <w:szCs w:val="18"/>
              </w:rPr>
              <w:t>反-1，2-二氯乙烯</w:t>
            </w:r>
          </w:p>
        </w:tc>
        <w:tc>
          <w:tcPr>
            <w:tcW w:w="670" w:type="pct"/>
            <w:vAlign w:val="center"/>
          </w:tcPr>
          <w:p w14:paraId="4B0AF20B">
            <w:pPr>
              <w:snapToGrid w:val="0"/>
              <w:spacing w:line="240" w:lineRule="auto"/>
              <w:ind w:firstLine="0" w:firstLineChars="0"/>
              <w:jc w:val="center"/>
              <w:rPr>
                <w:rFonts w:cs="Times New Roman"/>
                <w:kern w:val="0"/>
                <w:sz w:val="18"/>
                <w:szCs w:val="18"/>
              </w:rPr>
            </w:pPr>
            <w:r>
              <w:rPr>
                <w:rFonts w:cs="Times New Roman"/>
                <w:kern w:val="0"/>
                <w:sz w:val="18"/>
                <w:szCs w:val="18"/>
              </w:rPr>
              <w:t>156-60-5</w:t>
            </w:r>
          </w:p>
        </w:tc>
        <w:tc>
          <w:tcPr>
            <w:tcW w:w="1372" w:type="pct"/>
            <w:vAlign w:val="center"/>
          </w:tcPr>
          <w:p w14:paraId="4C2633B5">
            <w:pPr>
              <w:snapToGrid w:val="0"/>
              <w:spacing w:line="240" w:lineRule="auto"/>
              <w:ind w:firstLine="0" w:firstLineChars="0"/>
              <w:jc w:val="center"/>
              <w:rPr>
                <w:rFonts w:cs="Times New Roman"/>
                <w:kern w:val="0"/>
                <w:sz w:val="18"/>
                <w:szCs w:val="18"/>
              </w:rPr>
            </w:pPr>
            <w:r>
              <w:rPr>
                <w:rFonts w:cs="Times New Roman"/>
                <w:kern w:val="0"/>
                <w:sz w:val="18"/>
                <w:szCs w:val="18"/>
              </w:rPr>
              <w:t>54</w:t>
            </w:r>
          </w:p>
        </w:tc>
        <w:tc>
          <w:tcPr>
            <w:tcW w:w="1346" w:type="pct"/>
            <w:vAlign w:val="center"/>
          </w:tcPr>
          <w:p w14:paraId="55FC8CDD">
            <w:pPr>
              <w:snapToGrid w:val="0"/>
              <w:spacing w:line="240" w:lineRule="auto"/>
              <w:ind w:firstLine="0" w:firstLineChars="0"/>
              <w:jc w:val="center"/>
              <w:rPr>
                <w:rFonts w:cs="Times New Roman"/>
                <w:kern w:val="0"/>
                <w:sz w:val="18"/>
                <w:szCs w:val="18"/>
              </w:rPr>
            </w:pPr>
            <w:r>
              <w:rPr>
                <w:rFonts w:cs="Times New Roman"/>
                <w:kern w:val="0"/>
                <w:sz w:val="18"/>
                <w:szCs w:val="18"/>
              </w:rPr>
              <w:t>163</w:t>
            </w:r>
          </w:p>
        </w:tc>
      </w:tr>
      <w:tr w14:paraId="2B23B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209BB38C">
            <w:pPr>
              <w:snapToGrid w:val="0"/>
              <w:spacing w:line="240" w:lineRule="auto"/>
              <w:ind w:firstLine="0" w:firstLineChars="0"/>
              <w:jc w:val="center"/>
              <w:rPr>
                <w:rFonts w:cs="Times New Roman"/>
                <w:kern w:val="0"/>
                <w:sz w:val="18"/>
                <w:szCs w:val="18"/>
              </w:rPr>
            </w:pPr>
            <w:r>
              <w:rPr>
                <w:rFonts w:cs="Times New Roman"/>
                <w:kern w:val="0"/>
                <w:sz w:val="18"/>
                <w:szCs w:val="18"/>
              </w:rPr>
              <w:t>16</w:t>
            </w:r>
          </w:p>
        </w:tc>
        <w:tc>
          <w:tcPr>
            <w:tcW w:w="1276" w:type="pct"/>
            <w:vAlign w:val="center"/>
          </w:tcPr>
          <w:p w14:paraId="5668DEF4">
            <w:pPr>
              <w:snapToGrid w:val="0"/>
              <w:spacing w:line="240" w:lineRule="auto"/>
              <w:ind w:firstLine="0" w:firstLineChars="0"/>
              <w:jc w:val="center"/>
              <w:rPr>
                <w:rFonts w:cs="Times New Roman"/>
                <w:kern w:val="0"/>
                <w:sz w:val="18"/>
                <w:szCs w:val="18"/>
              </w:rPr>
            </w:pPr>
            <w:r>
              <w:rPr>
                <w:rFonts w:cs="Times New Roman"/>
                <w:kern w:val="0"/>
                <w:sz w:val="18"/>
                <w:szCs w:val="18"/>
              </w:rPr>
              <w:t>二氯甲烷</w:t>
            </w:r>
          </w:p>
        </w:tc>
        <w:tc>
          <w:tcPr>
            <w:tcW w:w="670" w:type="pct"/>
            <w:vAlign w:val="center"/>
          </w:tcPr>
          <w:p w14:paraId="13BE2CC2">
            <w:pPr>
              <w:snapToGrid w:val="0"/>
              <w:spacing w:line="240" w:lineRule="auto"/>
              <w:ind w:firstLine="0" w:firstLineChars="0"/>
              <w:jc w:val="center"/>
              <w:rPr>
                <w:rFonts w:cs="Times New Roman"/>
                <w:kern w:val="0"/>
                <w:sz w:val="18"/>
                <w:szCs w:val="18"/>
              </w:rPr>
            </w:pPr>
            <w:r>
              <w:rPr>
                <w:rFonts w:cs="Times New Roman"/>
                <w:kern w:val="0"/>
                <w:sz w:val="18"/>
                <w:szCs w:val="18"/>
              </w:rPr>
              <w:t>75-09-2</w:t>
            </w:r>
          </w:p>
        </w:tc>
        <w:tc>
          <w:tcPr>
            <w:tcW w:w="1372" w:type="pct"/>
            <w:vAlign w:val="center"/>
          </w:tcPr>
          <w:p w14:paraId="240A4A46">
            <w:pPr>
              <w:snapToGrid w:val="0"/>
              <w:spacing w:line="240" w:lineRule="auto"/>
              <w:ind w:firstLine="0" w:firstLineChars="0"/>
              <w:jc w:val="center"/>
              <w:rPr>
                <w:rFonts w:cs="Times New Roman"/>
                <w:kern w:val="0"/>
                <w:sz w:val="18"/>
                <w:szCs w:val="18"/>
              </w:rPr>
            </w:pPr>
            <w:r>
              <w:rPr>
                <w:rFonts w:cs="Times New Roman"/>
                <w:kern w:val="0"/>
                <w:sz w:val="18"/>
                <w:szCs w:val="18"/>
              </w:rPr>
              <w:t>616</w:t>
            </w:r>
          </w:p>
        </w:tc>
        <w:tc>
          <w:tcPr>
            <w:tcW w:w="1346" w:type="pct"/>
            <w:vAlign w:val="center"/>
          </w:tcPr>
          <w:p w14:paraId="5B245FC7">
            <w:pPr>
              <w:snapToGrid w:val="0"/>
              <w:spacing w:line="240" w:lineRule="auto"/>
              <w:ind w:firstLine="0" w:firstLineChars="0"/>
              <w:jc w:val="center"/>
              <w:rPr>
                <w:rFonts w:cs="Times New Roman"/>
                <w:kern w:val="0"/>
                <w:sz w:val="18"/>
                <w:szCs w:val="18"/>
              </w:rPr>
            </w:pPr>
            <w:r>
              <w:rPr>
                <w:rFonts w:cs="Times New Roman"/>
                <w:kern w:val="0"/>
                <w:sz w:val="18"/>
                <w:szCs w:val="18"/>
              </w:rPr>
              <w:t>2000</w:t>
            </w:r>
          </w:p>
        </w:tc>
      </w:tr>
      <w:tr w14:paraId="2F395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403D40DF">
            <w:pPr>
              <w:snapToGrid w:val="0"/>
              <w:spacing w:line="240" w:lineRule="auto"/>
              <w:ind w:firstLine="0" w:firstLineChars="0"/>
              <w:jc w:val="center"/>
              <w:rPr>
                <w:rFonts w:cs="Times New Roman"/>
                <w:kern w:val="0"/>
                <w:sz w:val="18"/>
                <w:szCs w:val="18"/>
              </w:rPr>
            </w:pPr>
            <w:r>
              <w:rPr>
                <w:rFonts w:cs="Times New Roman"/>
                <w:kern w:val="0"/>
                <w:sz w:val="18"/>
                <w:szCs w:val="18"/>
              </w:rPr>
              <w:t>17</w:t>
            </w:r>
          </w:p>
        </w:tc>
        <w:tc>
          <w:tcPr>
            <w:tcW w:w="1276" w:type="pct"/>
            <w:vAlign w:val="center"/>
          </w:tcPr>
          <w:p w14:paraId="5C2C9BFD">
            <w:pPr>
              <w:snapToGrid w:val="0"/>
              <w:spacing w:line="240" w:lineRule="auto"/>
              <w:ind w:firstLine="0" w:firstLineChars="0"/>
              <w:jc w:val="center"/>
              <w:rPr>
                <w:rFonts w:cs="Times New Roman"/>
                <w:kern w:val="0"/>
                <w:sz w:val="18"/>
                <w:szCs w:val="18"/>
              </w:rPr>
            </w:pPr>
            <w:r>
              <w:rPr>
                <w:rFonts w:cs="Times New Roman"/>
                <w:kern w:val="0"/>
                <w:sz w:val="18"/>
                <w:szCs w:val="18"/>
              </w:rPr>
              <w:t>1，2-二氯丙烷</w:t>
            </w:r>
          </w:p>
        </w:tc>
        <w:tc>
          <w:tcPr>
            <w:tcW w:w="670" w:type="pct"/>
            <w:vAlign w:val="center"/>
          </w:tcPr>
          <w:p w14:paraId="34377ED3">
            <w:pPr>
              <w:snapToGrid w:val="0"/>
              <w:spacing w:line="240" w:lineRule="auto"/>
              <w:ind w:firstLine="0" w:firstLineChars="0"/>
              <w:jc w:val="center"/>
              <w:rPr>
                <w:rFonts w:cs="Times New Roman"/>
                <w:kern w:val="0"/>
                <w:sz w:val="18"/>
                <w:szCs w:val="18"/>
              </w:rPr>
            </w:pPr>
            <w:r>
              <w:rPr>
                <w:rFonts w:cs="Times New Roman"/>
                <w:kern w:val="0"/>
                <w:sz w:val="18"/>
                <w:szCs w:val="18"/>
              </w:rPr>
              <w:t>78-87-5</w:t>
            </w:r>
          </w:p>
        </w:tc>
        <w:tc>
          <w:tcPr>
            <w:tcW w:w="1372" w:type="pct"/>
            <w:vAlign w:val="center"/>
          </w:tcPr>
          <w:p w14:paraId="0EC13858">
            <w:pPr>
              <w:snapToGrid w:val="0"/>
              <w:spacing w:line="240" w:lineRule="auto"/>
              <w:ind w:firstLine="0" w:firstLineChars="0"/>
              <w:jc w:val="center"/>
              <w:rPr>
                <w:rFonts w:cs="Times New Roman"/>
                <w:kern w:val="0"/>
                <w:sz w:val="18"/>
                <w:szCs w:val="18"/>
              </w:rPr>
            </w:pPr>
            <w:r>
              <w:rPr>
                <w:rFonts w:cs="Times New Roman"/>
                <w:kern w:val="0"/>
                <w:sz w:val="18"/>
                <w:szCs w:val="18"/>
              </w:rPr>
              <w:t>5</w:t>
            </w:r>
          </w:p>
        </w:tc>
        <w:tc>
          <w:tcPr>
            <w:tcW w:w="1346" w:type="pct"/>
            <w:vAlign w:val="center"/>
          </w:tcPr>
          <w:p w14:paraId="06B6741B">
            <w:pPr>
              <w:snapToGrid w:val="0"/>
              <w:spacing w:line="240" w:lineRule="auto"/>
              <w:ind w:firstLine="0" w:firstLineChars="0"/>
              <w:jc w:val="center"/>
              <w:rPr>
                <w:rFonts w:cs="Times New Roman"/>
                <w:kern w:val="0"/>
                <w:sz w:val="18"/>
                <w:szCs w:val="18"/>
              </w:rPr>
            </w:pPr>
            <w:r>
              <w:rPr>
                <w:rFonts w:cs="Times New Roman"/>
                <w:kern w:val="0"/>
                <w:sz w:val="18"/>
                <w:szCs w:val="18"/>
              </w:rPr>
              <w:t>47</w:t>
            </w:r>
          </w:p>
        </w:tc>
      </w:tr>
      <w:tr w14:paraId="30FA6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7C6B8BA3">
            <w:pPr>
              <w:snapToGrid w:val="0"/>
              <w:spacing w:line="240" w:lineRule="auto"/>
              <w:ind w:firstLine="0" w:firstLineChars="0"/>
              <w:jc w:val="center"/>
              <w:rPr>
                <w:rFonts w:cs="Times New Roman"/>
                <w:kern w:val="0"/>
                <w:sz w:val="18"/>
                <w:szCs w:val="18"/>
              </w:rPr>
            </w:pPr>
            <w:r>
              <w:rPr>
                <w:rFonts w:cs="Times New Roman"/>
                <w:kern w:val="0"/>
                <w:sz w:val="18"/>
                <w:szCs w:val="18"/>
              </w:rPr>
              <w:t>18</w:t>
            </w:r>
          </w:p>
        </w:tc>
        <w:tc>
          <w:tcPr>
            <w:tcW w:w="1276" w:type="pct"/>
            <w:vAlign w:val="center"/>
          </w:tcPr>
          <w:p w14:paraId="76CB9228">
            <w:pPr>
              <w:snapToGrid w:val="0"/>
              <w:spacing w:line="240" w:lineRule="auto"/>
              <w:ind w:firstLine="0" w:firstLineChars="0"/>
              <w:jc w:val="center"/>
              <w:rPr>
                <w:rFonts w:cs="Times New Roman"/>
                <w:kern w:val="0"/>
                <w:sz w:val="18"/>
                <w:szCs w:val="18"/>
              </w:rPr>
            </w:pPr>
            <w:r>
              <w:rPr>
                <w:rFonts w:cs="Times New Roman"/>
                <w:kern w:val="0"/>
                <w:sz w:val="18"/>
                <w:szCs w:val="18"/>
              </w:rPr>
              <w:t>1，1，1，2-四氯乙烷</w:t>
            </w:r>
          </w:p>
        </w:tc>
        <w:tc>
          <w:tcPr>
            <w:tcW w:w="670" w:type="pct"/>
            <w:vAlign w:val="center"/>
          </w:tcPr>
          <w:p w14:paraId="305076D3">
            <w:pPr>
              <w:snapToGrid w:val="0"/>
              <w:spacing w:line="240" w:lineRule="auto"/>
              <w:ind w:firstLine="0" w:firstLineChars="0"/>
              <w:jc w:val="center"/>
              <w:rPr>
                <w:rFonts w:cs="Times New Roman"/>
                <w:kern w:val="0"/>
                <w:sz w:val="18"/>
                <w:szCs w:val="18"/>
              </w:rPr>
            </w:pPr>
            <w:r>
              <w:rPr>
                <w:rFonts w:cs="Times New Roman"/>
                <w:kern w:val="0"/>
                <w:sz w:val="18"/>
                <w:szCs w:val="18"/>
              </w:rPr>
              <w:t>630-20-6</w:t>
            </w:r>
          </w:p>
        </w:tc>
        <w:tc>
          <w:tcPr>
            <w:tcW w:w="1372" w:type="pct"/>
            <w:vAlign w:val="center"/>
          </w:tcPr>
          <w:p w14:paraId="0A447DAA">
            <w:pPr>
              <w:snapToGrid w:val="0"/>
              <w:spacing w:line="240" w:lineRule="auto"/>
              <w:ind w:firstLine="0" w:firstLineChars="0"/>
              <w:jc w:val="center"/>
              <w:rPr>
                <w:rFonts w:cs="Times New Roman"/>
                <w:kern w:val="0"/>
                <w:sz w:val="18"/>
                <w:szCs w:val="18"/>
              </w:rPr>
            </w:pPr>
            <w:r>
              <w:rPr>
                <w:rFonts w:cs="Times New Roman"/>
                <w:kern w:val="0"/>
                <w:sz w:val="18"/>
                <w:szCs w:val="18"/>
              </w:rPr>
              <w:t>10</w:t>
            </w:r>
          </w:p>
        </w:tc>
        <w:tc>
          <w:tcPr>
            <w:tcW w:w="1346" w:type="pct"/>
            <w:vAlign w:val="center"/>
          </w:tcPr>
          <w:p w14:paraId="6953475B">
            <w:pPr>
              <w:snapToGrid w:val="0"/>
              <w:spacing w:line="240" w:lineRule="auto"/>
              <w:ind w:firstLine="0" w:firstLineChars="0"/>
              <w:jc w:val="center"/>
              <w:rPr>
                <w:rFonts w:cs="Times New Roman"/>
                <w:kern w:val="0"/>
                <w:sz w:val="18"/>
                <w:szCs w:val="18"/>
              </w:rPr>
            </w:pPr>
            <w:r>
              <w:rPr>
                <w:rFonts w:cs="Times New Roman"/>
                <w:kern w:val="0"/>
                <w:sz w:val="18"/>
                <w:szCs w:val="18"/>
              </w:rPr>
              <w:t>100</w:t>
            </w:r>
          </w:p>
        </w:tc>
      </w:tr>
      <w:tr w14:paraId="225F5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38C97950">
            <w:pPr>
              <w:snapToGrid w:val="0"/>
              <w:spacing w:line="240" w:lineRule="auto"/>
              <w:ind w:firstLine="0" w:firstLineChars="0"/>
              <w:jc w:val="center"/>
              <w:rPr>
                <w:rFonts w:cs="Times New Roman"/>
                <w:kern w:val="0"/>
                <w:sz w:val="18"/>
                <w:szCs w:val="18"/>
              </w:rPr>
            </w:pPr>
            <w:r>
              <w:rPr>
                <w:rFonts w:cs="Times New Roman"/>
                <w:kern w:val="0"/>
                <w:sz w:val="18"/>
                <w:szCs w:val="18"/>
              </w:rPr>
              <w:t>19</w:t>
            </w:r>
          </w:p>
        </w:tc>
        <w:tc>
          <w:tcPr>
            <w:tcW w:w="1276" w:type="pct"/>
            <w:vAlign w:val="center"/>
          </w:tcPr>
          <w:p w14:paraId="3FAEC0FD">
            <w:pPr>
              <w:snapToGrid w:val="0"/>
              <w:spacing w:line="240" w:lineRule="auto"/>
              <w:ind w:firstLine="0" w:firstLineChars="0"/>
              <w:jc w:val="center"/>
              <w:rPr>
                <w:rFonts w:cs="Times New Roman"/>
                <w:kern w:val="0"/>
                <w:sz w:val="18"/>
                <w:szCs w:val="18"/>
              </w:rPr>
            </w:pPr>
            <w:r>
              <w:rPr>
                <w:rFonts w:cs="Times New Roman"/>
                <w:kern w:val="0"/>
                <w:sz w:val="18"/>
                <w:szCs w:val="18"/>
              </w:rPr>
              <w:t>1，1，2，2-四氯乙烷</w:t>
            </w:r>
          </w:p>
        </w:tc>
        <w:tc>
          <w:tcPr>
            <w:tcW w:w="670" w:type="pct"/>
            <w:vAlign w:val="center"/>
          </w:tcPr>
          <w:p w14:paraId="21A5ADE7">
            <w:pPr>
              <w:snapToGrid w:val="0"/>
              <w:spacing w:line="240" w:lineRule="auto"/>
              <w:ind w:firstLine="0" w:firstLineChars="0"/>
              <w:jc w:val="center"/>
              <w:rPr>
                <w:rFonts w:cs="Times New Roman"/>
                <w:kern w:val="0"/>
                <w:sz w:val="18"/>
                <w:szCs w:val="18"/>
              </w:rPr>
            </w:pPr>
            <w:r>
              <w:rPr>
                <w:rFonts w:cs="Times New Roman"/>
                <w:kern w:val="0"/>
                <w:sz w:val="18"/>
                <w:szCs w:val="18"/>
              </w:rPr>
              <w:t>79-34-5</w:t>
            </w:r>
          </w:p>
        </w:tc>
        <w:tc>
          <w:tcPr>
            <w:tcW w:w="1372" w:type="pct"/>
            <w:vAlign w:val="center"/>
          </w:tcPr>
          <w:p w14:paraId="733FB243">
            <w:pPr>
              <w:snapToGrid w:val="0"/>
              <w:spacing w:line="240" w:lineRule="auto"/>
              <w:ind w:firstLine="0" w:firstLineChars="0"/>
              <w:jc w:val="center"/>
              <w:rPr>
                <w:rFonts w:cs="Times New Roman"/>
                <w:kern w:val="0"/>
                <w:sz w:val="18"/>
                <w:szCs w:val="18"/>
              </w:rPr>
            </w:pPr>
            <w:r>
              <w:rPr>
                <w:rFonts w:cs="Times New Roman"/>
                <w:kern w:val="0"/>
                <w:sz w:val="18"/>
                <w:szCs w:val="18"/>
              </w:rPr>
              <w:t>6.8</w:t>
            </w:r>
          </w:p>
        </w:tc>
        <w:tc>
          <w:tcPr>
            <w:tcW w:w="1346" w:type="pct"/>
            <w:vAlign w:val="center"/>
          </w:tcPr>
          <w:p w14:paraId="64C8E5E9">
            <w:pPr>
              <w:snapToGrid w:val="0"/>
              <w:spacing w:line="240" w:lineRule="auto"/>
              <w:ind w:firstLine="0" w:firstLineChars="0"/>
              <w:jc w:val="center"/>
              <w:rPr>
                <w:rFonts w:cs="Times New Roman"/>
                <w:kern w:val="0"/>
                <w:sz w:val="18"/>
                <w:szCs w:val="18"/>
              </w:rPr>
            </w:pPr>
            <w:r>
              <w:rPr>
                <w:rFonts w:cs="Times New Roman"/>
                <w:kern w:val="0"/>
                <w:sz w:val="18"/>
                <w:szCs w:val="18"/>
              </w:rPr>
              <w:t>50</w:t>
            </w:r>
          </w:p>
        </w:tc>
      </w:tr>
      <w:tr w14:paraId="7C12F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55FDFEC6">
            <w:pPr>
              <w:snapToGrid w:val="0"/>
              <w:spacing w:line="240" w:lineRule="auto"/>
              <w:ind w:firstLine="0" w:firstLineChars="0"/>
              <w:jc w:val="center"/>
              <w:rPr>
                <w:rFonts w:cs="Times New Roman"/>
                <w:kern w:val="0"/>
                <w:sz w:val="18"/>
                <w:szCs w:val="18"/>
              </w:rPr>
            </w:pPr>
            <w:r>
              <w:rPr>
                <w:rFonts w:cs="Times New Roman"/>
                <w:kern w:val="0"/>
                <w:sz w:val="18"/>
                <w:szCs w:val="18"/>
              </w:rPr>
              <w:t>20</w:t>
            </w:r>
          </w:p>
        </w:tc>
        <w:tc>
          <w:tcPr>
            <w:tcW w:w="1276" w:type="pct"/>
            <w:vAlign w:val="center"/>
          </w:tcPr>
          <w:p w14:paraId="0DE1C123">
            <w:pPr>
              <w:snapToGrid w:val="0"/>
              <w:spacing w:line="240" w:lineRule="auto"/>
              <w:ind w:firstLine="0" w:firstLineChars="0"/>
              <w:jc w:val="center"/>
              <w:rPr>
                <w:rFonts w:cs="Times New Roman"/>
                <w:kern w:val="0"/>
                <w:sz w:val="18"/>
                <w:szCs w:val="18"/>
              </w:rPr>
            </w:pPr>
            <w:r>
              <w:rPr>
                <w:rFonts w:cs="Times New Roman"/>
                <w:kern w:val="0"/>
                <w:sz w:val="18"/>
                <w:szCs w:val="18"/>
              </w:rPr>
              <w:t>四氯乙烯</w:t>
            </w:r>
          </w:p>
        </w:tc>
        <w:tc>
          <w:tcPr>
            <w:tcW w:w="670" w:type="pct"/>
            <w:vAlign w:val="center"/>
          </w:tcPr>
          <w:p w14:paraId="1CFAE8C0">
            <w:pPr>
              <w:snapToGrid w:val="0"/>
              <w:spacing w:line="240" w:lineRule="auto"/>
              <w:ind w:firstLine="0" w:firstLineChars="0"/>
              <w:jc w:val="center"/>
              <w:rPr>
                <w:rFonts w:cs="Times New Roman"/>
                <w:kern w:val="0"/>
                <w:sz w:val="18"/>
                <w:szCs w:val="18"/>
              </w:rPr>
            </w:pPr>
            <w:r>
              <w:rPr>
                <w:rFonts w:cs="Times New Roman"/>
                <w:kern w:val="0"/>
                <w:sz w:val="18"/>
                <w:szCs w:val="18"/>
              </w:rPr>
              <w:t>127-18-4</w:t>
            </w:r>
          </w:p>
        </w:tc>
        <w:tc>
          <w:tcPr>
            <w:tcW w:w="1372" w:type="pct"/>
            <w:vAlign w:val="center"/>
          </w:tcPr>
          <w:p w14:paraId="7E98E76B">
            <w:pPr>
              <w:snapToGrid w:val="0"/>
              <w:spacing w:line="240" w:lineRule="auto"/>
              <w:ind w:firstLine="0" w:firstLineChars="0"/>
              <w:jc w:val="center"/>
              <w:rPr>
                <w:rFonts w:cs="Times New Roman"/>
                <w:kern w:val="0"/>
                <w:sz w:val="18"/>
                <w:szCs w:val="18"/>
              </w:rPr>
            </w:pPr>
            <w:r>
              <w:rPr>
                <w:rFonts w:cs="Times New Roman"/>
                <w:kern w:val="0"/>
                <w:sz w:val="18"/>
                <w:szCs w:val="18"/>
              </w:rPr>
              <w:t>53</w:t>
            </w:r>
          </w:p>
        </w:tc>
        <w:tc>
          <w:tcPr>
            <w:tcW w:w="1346" w:type="pct"/>
            <w:vAlign w:val="center"/>
          </w:tcPr>
          <w:p w14:paraId="5E5C36D4">
            <w:pPr>
              <w:snapToGrid w:val="0"/>
              <w:spacing w:line="240" w:lineRule="auto"/>
              <w:ind w:firstLine="0" w:firstLineChars="0"/>
              <w:jc w:val="center"/>
              <w:rPr>
                <w:rFonts w:cs="Times New Roman"/>
                <w:kern w:val="0"/>
                <w:sz w:val="18"/>
                <w:szCs w:val="18"/>
              </w:rPr>
            </w:pPr>
            <w:r>
              <w:rPr>
                <w:rFonts w:cs="Times New Roman"/>
                <w:kern w:val="0"/>
                <w:sz w:val="18"/>
                <w:szCs w:val="18"/>
              </w:rPr>
              <w:t>183</w:t>
            </w:r>
          </w:p>
        </w:tc>
      </w:tr>
      <w:tr w14:paraId="5133D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2BFAEC32">
            <w:pPr>
              <w:snapToGrid w:val="0"/>
              <w:spacing w:line="240" w:lineRule="auto"/>
              <w:ind w:firstLine="0" w:firstLineChars="0"/>
              <w:jc w:val="center"/>
              <w:rPr>
                <w:rFonts w:cs="Times New Roman"/>
                <w:kern w:val="0"/>
                <w:sz w:val="18"/>
                <w:szCs w:val="18"/>
              </w:rPr>
            </w:pPr>
            <w:r>
              <w:rPr>
                <w:rFonts w:cs="Times New Roman"/>
                <w:kern w:val="0"/>
                <w:sz w:val="18"/>
                <w:szCs w:val="18"/>
              </w:rPr>
              <w:t>21</w:t>
            </w:r>
          </w:p>
        </w:tc>
        <w:tc>
          <w:tcPr>
            <w:tcW w:w="1276" w:type="pct"/>
            <w:vAlign w:val="center"/>
          </w:tcPr>
          <w:p w14:paraId="0C2B4460">
            <w:pPr>
              <w:snapToGrid w:val="0"/>
              <w:spacing w:line="240" w:lineRule="auto"/>
              <w:ind w:firstLine="0" w:firstLineChars="0"/>
              <w:jc w:val="center"/>
              <w:rPr>
                <w:rFonts w:cs="Times New Roman"/>
                <w:kern w:val="0"/>
                <w:sz w:val="18"/>
                <w:szCs w:val="18"/>
              </w:rPr>
            </w:pPr>
            <w:r>
              <w:rPr>
                <w:rFonts w:cs="Times New Roman"/>
                <w:kern w:val="0"/>
                <w:sz w:val="18"/>
                <w:szCs w:val="18"/>
              </w:rPr>
              <w:t>1，1，1-三氯乙烷</w:t>
            </w:r>
          </w:p>
        </w:tc>
        <w:tc>
          <w:tcPr>
            <w:tcW w:w="670" w:type="pct"/>
            <w:vAlign w:val="center"/>
          </w:tcPr>
          <w:p w14:paraId="78B9D636">
            <w:pPr>
              <w:snapToGrid w:val="0"/>
              <w:spacing w:line="240" w:lineRule="auto"/>
              <w:ind w:firstLine="0" w:firstLineChars="0"/>
              <w:jc w:val="center"/>
              <w:rPr>
                <w:rFonts w:cs="Times New Roman"/>
                <w:kern w:val="0"/>
                <w:sz w:val="18"/>
                <w:szCs w:val="18"/>
              </w:rPr>
            </w:pPr>
            <w:r>
              <w:rPr>
                <w:rFonts w:cs="Times New Roman"/>
                <w:kern w:val="0"/>
                <w:sz w:val="18"/>
                <w:szCs w:val="18"/>
              </w:rPr>
              <w:t>71-55-6</w:t>
            </w:r>
          </w:p>
        </w:tc>
        <w:tc>
          <w:tcPr>
            <w:tcW w:w="1372" w:type="pct"/>
            <w:vAlign w:val="center"/>
          </w:tcPr>
          <w:p w14:paraId="39C77E89">
            <w:pPr>
              <w:snapToGrid w:val="0"/>
              <w:spacing w:line="240" w:lineRule="auto"/>
              <w:ind w:firstLine="0" w:firstLineChars="0"/>
              <w:jc w:val="center"/>
              <w:rPr>
                <w:rFonts w:cs="Times New Roman"/>
                <w:kern w:val="0"/>
                <w:sz w:val="18"/>
                <w:szCs w:val="18"/>
              </w:rPr>
            </w:pPr>
            <w:r>
              <w:rPr>
                <w:rFonts w:cs="Times New Roman"/>
                <w:kern w:val="0"/>
                <w:sz w:val="18"/>
                <w:szCs w:val="18"/>
              </w:rPr>
              <w:t>840</w:t>
            </w:r>
          </w:p>
        </w:tc>
        <w:tc>
          <w:tcPr>
            <w:tcW w:w="1346" w:type="pct"/>
            <w:vAlign w:val="center"/>
          </w:tcPr>
          <w:p w14:paraId="2829BE79">
            <w:pPr>
              <w:snapToGrid w:val="0"/>
              <w:spacing w:line="240" w:lineRule="auto"/>
              <w:ind w:firstLine="0" w:firstLineChars="0"/>
              <w:jc w:val="center"/>
              <w:rPr>
                <w:rFonts w:cs="Times New Roman"/>
                <w:kern w:val="0"/>
                <w:sz w:val="18"/>
                <w:szCs w:val="18"/>
              </w:rPr>
            </w:pPr>
            <w:r>
              <w:rPr>
                <w:rFonts w:cs="Times New Roman"/>
                <w:kern w:val="0"/>
                <w:sz w:val="18"/>
                <w:szCs w:val="18"/>
              </w:rPr>
              <w:t>840</w:t>
            </w:r>
          </w:p>
        </w:tc>
      </w:tr>
      <w:tr w14:paraId="3809C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41698485">
            <w:pPr>
              <w:snapToGrid w:val="0"/>
              <w:spacing w:line="240" w:lineRule="auto"/>
              <w:ind w:firstLine="0" w:firstLineChars="0"/>
              <w:jc w:val="center"/>
              <w:rPr>
                <w:rFonts w:cs="Times New Roman"/>
                <w:kern w:val="0"/>
                <w:sz w:val="18"/>
                <w:szCs w:val="18"/>
              </w:rPr>
            </w:pPr>
            <w:r>
              <w:rPr>
                <w:rFonts w:cs="Times New Roman"/>
                <w:kern w:val="0"/>
                <w:sz w:val="18"/>
                <w:szCs w:val="18"/>
              </w:rPr>
              <w:t>22</w:t>
            </w:r>
          </w:p>
        </w:tc>
        <w:tc>
          <w:tcPr>
            <w:tcW w:w="1276" w:type="pct"/>
            <w:vAlign w:val="center"/>
          </w:tcPr>
          <w:p w14:paraId="256E9C1F">
            <w:pPr>
              <w:snapToGrid w:val="0"/>
              <w:spacing w:line="240" w:lineRule="auto"/>
              <w:ind w:firstLine="0" w:firstLineChars="0"/>
              <w:jc w:val="center"/>
              <w:rPr>
                <w:rFonts w:cs="Times New Roman"/>
                <w:kern w:val="0"/>
                <w:sz w:val="18"/>
                <w:szCs w:val="18"/>
              </w:rPr>
            </w:pPr>
            <w:r>
              <w:rPr>
                <w:rFonts w:cs="Times New Roman"/>
                <w:kern w:val="0"/>
                <w:sz w:val="18"/>
                <w:szCs w:val="18"/>
              </w:rPr>
              <w:t>1，1，2-三氯乙烷</w:t>
            </w:r>
          </w:p>
        </w:tc>
        <w:tc>
          <w:tcPr>
            <w:tcW w:w="670" w:type="pct"/>
            <w:vAlign w:val="center"/>
          </w:tcPr>
          <w:p w14:paraId="55558BE5">
            <w:pPr>
              <w:snapToGrid w:val="0"/>
              <w:spacing w:line="240" w:lineRule="auto"/>
              <w:ind w:firstLine="0" w:firstLineChars="0"/>
              <w:jc w:val="center"/>
              <w:rPr>
                <w:rFonts w:cs="Times New Roman"/>
                <w:kern w:val="0"/>
                <w:sz w:val="18"/>
                <w:szCs w:val="18"/>
              </w:rPr>
            </w:pPr>
            <w:r>
              <w:rPr>
                <w:rFonts w:cs="Times New Roman"/>
                <w:kern w:val="0"/>
                <w:sz w:val="18"/>
                <w:szCs w:val="18"/>
              </w:rPr>
              <w:t>79-00-5</w:t>
            </w:r>
          </w:p>
        </w:tc>
        <w:tc>
          <w:tcPr>
            <w:tcW w:w="1372" w:type="pct"/>
            <w:vAlign w:val="center"/>
          </w:tcPr>
          <w:p w14:paraId="31B8C52E">
            <w:pPr>
              <w:snapToGrid w:val="0"/>
              <w:spacing w:line="240" w:lineRule="auto"/>
              <w:ind w:firstLine="0" w:firstLineChars="0"/>
              <w:jc w:val="center"/>
              <w:rPr>
                <w:rFonts w:cs="Times New Roman"/>
                <w:kern w:val="0"/>
                <w:sz w:val="18"/>
                <w:szCs w:val="18"/>
              </w:rPr>
            </w:pPr>
            <w:r>
              <w:rPr>
                <w:rFonts w:cs="Times New Roman"/>
                <w:kern w:val="0"/>
                <w:sz w:val="18"/>
                <w:szCs w:val="18"/>
              </w:rPr>
              <w:t>2.8</w:t>
            </w:r>
          </w:p>
        </w:tc>
        <w:tc>
          <w:tcPr>
            <w:tcW w:w="1346" w:type="pct"/>
            <w:vAlign w:val="center"/>
          </w:tcPr>
          <w:p w14:paraId="621B27C7">
            <w:pPr>
              <w:snapToGrid w:val="0"/>
              <w:spacing w:line="240" w:lineRule="auto"/>
              <w:ind w:firstLine="0" w:firstLineChars="0"/>
              <w:jc w:val="center"/>
              <w:rPr>
                <w:rFonts w:cs="Times New Roman"/>
                <w:kern w:val="0"/>
                <w:sz w:val="18"/>
                <w:szCs w:val="18"/>
              </w:rPr>
            </w:pPr>
            <w:r>
              <w:rPr>
                <w:rFonts w:cs="Times New Roman"/>
                <w:kern w:val="0"/>
                <w:sz w:val="18"/>
                <w:szCs w:val="18"/>
              </w:rPr>
              <w:t>15</w:t>
            </w:r>
          </w:p>
        </w:tc>
      </w:tr>
      <w:tr w14:paraId="73852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53AE2192">
            <w:pPr>
              <w:snapToGrid w:val="0"/>
              <w:spacing w:line="240" w:lineRule="auto"/>
              <w:ind w:firstLine="0" w:firstLineChars="0"/>
              <w:jc w:val="center"/>
              <w:rPr>
                <w:rFonts w:cs="Times New Roman"/>
                <w:kern w:val="0"/>
                <w:sz w:val="18"/>
                <w:szCs w:val="18"/>
              </w:rPr>
            </w:pPr>
            <w:r>
              <w:rPr>
                <w:rFonts w:cs="Times New Roman"/>
                <w:kern w:val="0"/>
                <w:sz w:val="18"/>
                <w:szCs w:val="18"/>
              </w:rPr>
              <w:t>23</w:t>
            </w:r>
          </w:p>
        </w:tc>
        <w:tc>
          <w:tcPr>
            <w:tcW w:w="1276" w:type="pct"/>
            <w:vAlign w:val="center"/>
          </w:tcPr>
          <w:p w14:paraId="7D710537">
            <w:pPr>
              <w:snapToGrid w:val="0"/>
              <w:spacing w:line="240" w:lineRule="auto"/>
              <w:ind w:firstLine="0" w:firstLineChars="0"/>
              <w:jc w:val="center"/>
              <w:rPr>
                <w:rFonts w:cs="Times New Roman"/>
                <w:kern w:val="0"/>
                <w:sz w:val="18"/>
                <w:szCs w:val="18"/>
              </w:rPr>
            </w:pPr>
            <w:r>
              <w:rPr>
                <w:rFonts w:cs="Times New Roman"/>
                <w:kern w:val="0"/>
                <w:sz w:val="18"/>
                <w:szCs w:val="18"/>
              </w:rPr>
              <w:t>三氯乙烯</w:t>
            </w:r>
          </w:p>
        </w:tc>
        <w:tc>
          <w:tcPr>
            <w:tcW w:w="670" w:type="pct"/>
            <w:vAlign w:val="center"/>
          </w:tcPr>
          <w:p w14:paraId="5069A854">
            <w:pPr>
              <w:snapToGrid w:val="0"/>
              <w:spacing w:line="240" w:lineRule="auto"/>
              <w:ind w:firstLine="0" w:firstLineChars="0"/>
              <w:jc w:val="center"/>
              <w:rPr>
                <w:rFonts w:cs="Times New Roman"/>
                <w:kern w:val="0"/>
                <w:sz w:val="18"/>
                <w:szCs w:val="18"/>
              </w:rPr>
            </w:pPr>
            <w:r>
              <w:rPr>
                <w:rFonts w:cs="Times New Roman"/>
                <w:kern w:val="0"/>
                <w:sz w:val="18"/>
                <w:szCs w:val="18"/>
              </w:rPr>
              <w:t>79-01-6</w:t>
            </w:r>
          </w:p>
        </w:tc>
        <w:tc>
          <w:tcPr>
            <w:tcW w:w="1372" w:type="pct"/>
            <w:vAlign w:val="center"/>
          </w:tcPr>
          <w:p w14:paraId="5E29137D">
            <w:pPr>
              <w:snapToGrid w:val="0"/>
              <w:spacing w:line="240" w:lineRule="auto"/>
              <w:ind w:firstLine="0" w:firstLineChars="0"/>
              <w:jc w:val="center"/>
              <w:rPr>
                <w:rFonts w:cs="Times New Roman"/>
                <w:kern w:val="0"/>
                <w:sz w:val="18"/>
                <w:szCs w:val="18"/>
              </w:rPr>
            </w:pPr>
            <w:r>
              <w:rPr>
                <w:rFonts w:cs="Times New Roman"/>
                <w:kern w:val="0"/>
                <w:sz w:val="18"/>
                <w:szCs w:val="18"/>
              </w:rPr>
              <w:t>2.8</w:t>
            </w:r>
          </w:p>
        </w:tc>
        <w:tc>
          <w:tcPr>
            <w:tcW w:w="1346" w:type="pct"/>
            <w:vAlign w:val="center"/>
          </w:tcPr>
          <w:p w14:paraId="37DE245E">
            <w:pPr>
              <w:snapToGrid w:val="0"/>
              <w:spacing w:line="240" w:lineRule="auto"/>
              <w:ind w:firstLine="0" w:firstLineChars="0"/>
              <w:jc w:val="center"/>
              <w:rPr>
                <w:rFonts w:cs="Times New Roman"/>
                <w:kern w:val="0"/>
                <w:sz w:val="18"/>
                <w:szCs w:val="18"/>
              </w:rPr>
            </w:pPr>
            <w:r>
              <w:rPr>
                <w:rFonts w:cs="Times New Roman"/>
                <w:kern w:val="0"/>
                <w:sz w:val="18"/>
                <w:szCs w:val="18"/>
              </w:rPr>
              <w:t>20</w:t>
            </w:r>
          </w:p>
        </w:tc>
      </w:tr>
      <w:tr w14:paraId="3E136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216417D2">
            <w:pPr>
              <w:snapToGrid w:val="0"/>
              <w:spacing w:line="240" w:lineRule="auto"/>
              <w:ind w:firstLine="0" w:firstLineChars="0"/>
              <w:jc w:val="center"/>
              <w:rPr>
                <w:rFonts w:cs="Times New Roman"/>
                <w:kern w:val="0"/>
                <w:sz w:val="18"/>
                <w:szCs w:val="18"/>
              </w:rPr>
            </w:pPr>
            <w:r>
              <w:rPr>
                <w:rFonts w:cs="Times New Roman"/>
                <w:kern w:val="0"/>
                <w:sz w:val="18"/>
                <w:szCs w:val="18"/>
              </w:rPr>
              <w:t>24</w:t>
            </w:r>
          </w:p>
        </w:tc>
        <w:tc>
          <w:tcPr>
            <w:tcW w:w="1276" w:type="pct"/>
            <w:vAlign w:val="center"/>
          </w:tcPr>
          <w:p w14:paraId="234E558B">
            <w:pPr>
              <w:snapToGrid w:val="0"/>
              <w:spacing w:line="240" w:lineRule="auto"/>
              <w:ind w:firstLine="0" w:firstLineChars="0"/>
              <w:jc w:val="center"/>
              <w:rPr>
                <w:rFonts w:cs="Times New Roman"/>
                <w:kern w:val="0"/>
                <w:sz w:val="18"/>
                <w:szCs w:val="18"/>
              </w:rPr>
            </w:pPr>
            <w:r>
              <w:rPr>
                <w:rFonts w:cs="Times New Roman"/>
                <w:kern w:val="0"/>
                <w:sz w:val="18"/>
                <w:szCs w:val="18"/>
              </w:rPr>
              <w:t>1，2，3-三氯丙烷</w:t>
            </w:r>
          </w:p>
        </w:tc>
        <w:tc>
          <w:tcPr>
            <w:tcW w:w="670" w:type="pct"/>
            <w:vAlign w:val="center"/>
          </w:tcPr>
          <w:p w14:paraId="3D2B6E1F">
            <w:pPr>
              <w:snapToGrid w:val="0"/>
              <w:spacing w:line="240" w:lineRule="auto"/>
              <w:ind w:firstLine="0" w:firstLineChars="0"/>
              <w:jc w:val="center"/>
              <w:rPr>
                <w:rFonts w:cs="Times New Roman"/>
                <w:kern w:val="0"/>
                <w:sz w:val="18"/>
                <w:szCs w:val="18"/>
              </w:rPr>
            </w:pPr>
            <w:r>
              <w:rPr>
                <w:rFonts w:cs="Times New Roman"/>
                <w:kern w:val="0"/>
                <w:sz w:val="18"/>
                <w:szCs w:val="18"/>
              </w:rPr>
              <w:t>96-18-4</w:t>
            </w:r>
          </w:p>
        </w:tc>
        <w:tc>
          <w:tcPr>
            <w:tcW w:w="1372" w:type="pct"/>
            <w:vAlign w:val="center"/>
          </w:tcPr>
          <w:p w14:paraId="40E11B24">
            <w:pPr>
              <w:snapToGrid w:val="0"/>
              <w:spacing w:line="240" w:lineRule="auto"/>
              <w:ind w:firstLine="0" w:firstLineChars="0"/>
              <w:jc w:val="center"/>
              <w:rPr>
                <w:rFonts w:cs="Times New Roman"/>
                <w:kern w:val="0"/>
                <w:sz w:val="18"/>
                <w:szCs w:val="18"/>
              </w:rPr>
            </w:pPr>
            <w:r>
              <w:rPr>
                <w:rFonts w:cs="Times New Roman"/>
                <w:kern w:val="0"/>
                <w:sz w:val="18"/>
                <w:szCs w:val="18"/>
              </w:rPr>
              <w:t>0.5</w:t>
            </w:r>
          </w:p>
        </w:tc>
        <w:tc>
          <w:tcPr>
            <w:tcW w:w="1346" w:type="pct"/>
            <w:vAlign w:val="center"/>
          </w:tcPr>
          <w:p w14:paraId="4662F0A9">
            <w:pPr>
              <w:snapToGrid w:val="0"/>
              <w:spacing w:line="240" w:lineRule="auto"/>
              <w:ind w:firstLine="0" w:firstLineChars="0"/>
              <w:jc w:val="center"/>
              <w:rPr>
                <w:rFonts w:cs="Times New Roman"/>
                <w:kern w:val="0"/>
                <w:sz w:val="18"/>
                <w:szCs w:val="18"/>
              </w:rPr>
            </w:pPr>
            <w:r>
              <w:rPr>
                <w:rFonts w:cs="Times New Roman"/>
                <w:kern w:val="0"/>
                <w:sz w:val="18"/>
                <w:szCs w:val="18"/>
              </w:rPr>
              <w:t>5</w:t>
            </w:r>
          </w:p>
        </w:tc>
      </w:tr>
      <w:tr w14:paraId="5E8DF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09B188F4">
            <w:pPr>
              <w:snapToGrid w:val="0"/>
              <w:spacing w:line="240" w:lineRule="auto"/>
              <w:ind w:firstLine="0" w:firstLineChars="0"/>
              <w:jc w:val="center"/>
              <w:rPr>
                <w:rFonts w:cs="Times New Roman"/>
                <w:kern w:val="0"/>
                <w:sz w:val="18"/>
                <w:szCs w:val="18"/>
              </w:rPr>
            </w:pPr>
            <w:r>
              <w:rPr>
                <w:rFonts w:cs="Times New Roman"/>
                <w:kern w:val="0"/>
                <w:sz w:val="18"/>
                <w:szCs w:val="18"/>
              </w:rPr>
              <w:t>25</w:t>
            </w:r>
          </w:p>
        </w:tc>
        <w:tc>
          <w:tcPr>
            <w:tcW w:w="1276" w:type="pct"/>
            <w:vAlign w:val="center"/>
          </w:tcPr>
          <w:p w14:paraId="4B1CDB09">
            <w:pPr>
              <w:snapToGrid w:val="0"/>
              <w:spacing w:line="240" w:lineRule="auto"/>
              <w:ind w:firstLine="0" w:firstLineChars="0"/>
              <w:jc w:val="center"/>
              <w:rPr>
                <w:rFonts w:cs="Times New Roman"/>
                <w:kern w:val="0"/>
                <w:sz w:val="18"/>
                <w:szCs w:val="18"/>
              </w:rPr>
            </w:pPr>
            <w:r>
              <w:rPr>
                <w:rFonts w:cs="Times New Roman"/>
                <w:kern w:val="0"/>
                <w:sz w:val="18"/>
                <w:szCs w:val="18"/>
              </w:rPr>
              <w:t>氯乙烯</w:t>
            </w:r>
          </w:p>
        </w:tc>
        <w:tc>
          <w:tcPr>
            <w:tcW w:w="670" w:type="pct"/>
            <w:vAlign w:val="center"/>
          </w:tcPr>
          <w:p w14:paraId="4CF8675B">
            <w:pPr>
              <w:snapToGrid w:val="0"/>
              <w:spacing w:line="240" w:lineRule="auto"/>
              <w:ind w:firstLine="0" w:firstLineChars="0"/>
              <w:jc w:val="center"/>
              <w:rPr>
                <w:rFonts w:cs="Times New Roman"/>
                <w:kern w:val="0"/>
                <w:sz w:val="18"/>
                <w:szCs w:val="18"/>
              </w:rPr>
            </w:pPr>
            <w:r>
              <w:rPr>
                <w:rFonts w:cs="Times New Roman"/>
                <w:kern w:val="0"/>
                <w:sz w:val="18"/>
                <w:szCs w:val="18"/>
              </w:rPr>
              <w:t>75-01-4</w:t>
            </w:r>
          </w:p>
        </w:tc>
        <w:tc>
          <w:tcPr>
            <w:tcW w:w="1372" w:type="pct"/>
            <w:vAlign w:val="center"/>
          </w:tcPr>
          <w:p w14:paraId="284CD40A">
            <w:pPr>
              <w:snapToGrid w:val="0"/>
              <w:spacing w:line="240" w:lineRule="auto"/>
              <w:ind w:firstLine="0" w:firstLineChars="0"/>
              <w:jc w:val="center"/>
              <w:rPr>
                <w:rFonts w:cs="Times New Roman"/>
                <w:kern w:val="0"/>
                <w:sz w:val="18"/>
                <w:szCs w:val="18"/>
              </w:rPr>
            </w:pPr>
            <w:r>
              <w:rPr>
                <w:rFonts w:cs="Times New Roman"/>
                <w:kern w:val="0"/>
                <w:sz w:val="18"/>
                <w:szCs w:val="18"/>
              </w:rPr>
              <w:t>0.43</w:t>
            </w:r>
          </w:p>
        </w:tc>
        <w:tc>
          <w:tcPr>
            <w:tcW w:w="1346" w:type="pct"/>
            <w:vAlign w:val="center"/>
          </w:tcPr>
          <w:p w14:paraId="424345F5">
            <w:pPr>
              <w:snapToGrid w:val="0"/>
              <w:spacing w:line="240" w:lineRule="auto"/>
              <w:ind w:firstLine="0" w:firstLineChars="0"/>
              <w:jc w:val="center"/>
              <w:rPr>
                <w:rFonts w:cs="Times New Roman"/>
                <w:kern w:val="0"/>
                <w:sz w:val="18"/>
                <w:szCs w:val="18"/>
              </w:rPr>
            </w:pPr>
            <w:r>
              <w:rPr>
                <w:rFonts w:cs="Times New Roman"/>
                <w:kern w:val="0"/>
                <w:sz w:val="18"/>
                <w:szCs w:val="18"/>
              </w:rPr>
              <w:t>4.3</w:t>
            </w:r>
          </w:p>
        </w:tc>
      </w:tr>
      <w:tr w14:paraId="0D0F8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7A04EEAD">
            <w:pPr>
              <w:snapToGrid w:val="0"/>
              <w:spacing w:line="240" w:lineRule="auto"/>
              <w:ind w:firstLine="0" w:firstLineChars="0"/>
              <w:jc w:val="center"/>
              <w:rPr>
                <w:rFonts w:cs="Times New Roman"/>
                <w:kern w:val="0"/>
                <w:sz w:val="18"/>
                <w:szCs w:val="18"/>
              </w:rPr>
            </w:pPr>
            <w:r>
              <w:rPr>
                <w:rFonts w:cs="Times New Roman"/>
                <w:kern w:val="0"/>
                <w:sz w:val="18"/>
                <w:szCs w:val="18"/>
              </w:rPr>
              <w:t>26</w:t>
            </w:r>
          </w:p>
        </w:tc>
        <w:tc>
          <w:tcPr>
            <w:tcW w:w="1276" w:type="pct"/>
            <w:vAlign w:val="center"/>
          </w:tcPr>
          <w:p w14:paraId="1B9981AF">
            <w:pPr>
              <w:snapToGrid w:val="0"/>
              <w:spacing w:line="240" w:lineRule="auto"/>
              <w:ind w:firstLine="0" w:firstLineChars="0"/>
              <w:jc w:val="center"/>
              <w:rPr>
                <w:rFonts w:cs="Times New Roman"/>
                <w:kern w:val="0"/>
                <w:sz w:val="18"/>
                <w:szCs w:val="18"/>
              </w:rPr>
            </w:pPr>
            <w:r>
              <w:rPr>
                <w:rFonts w:cs="Times New Roman"/>
                <w:kern w:val="0"/>
                <w:sz w:val="18"/>
                <w:szCs w:val="18"/>
              </w:rPr>
              <w:t>苯</w:t>
            </w:r>
          </w:p>
        </w:tc>
        <w:tc>
          <w:tcPr>
            <w:tcW w:w="670" w:type="pct"/>
            <w:vAlign w:val="center"/>
          </w:tcPr>
          <w:p w14:paraId="380CDF50">
            <w:pPr>
              <w:snapToGrid w:val="0"/>
              <w:spacing w:line="240" w:lineRule="auto"/>
              <w:ind w:firstLine="0" w:firstLineChars="0"/>
              <w:jc w:val="center"/>
              <w:rPr>
                <w:rFonts w:cs="Times New Roman"/>
                <w:kern w:val="0"/>
                <w:sz w:val="18"/>
                <w:szCs w:val="18"/>
              </w:rPr>
            </w:pPr>
            <w:r>
              <w:rPr>
                <w:rFonts w:cs="Times New Roman"/>
                <w:kern w:val="0"/>
                <w:sz w:val="18"/>
                <w:szCs w:val="18"/>
              </w:rPr>
              <w:t>71-43-2</w:t>
            </w:r>
          </w:p>
        </w:tc>
        <w:tc>
          <w:tcPr>
            <w:tcW w:w="1372" w:type="pct"/>
            <w:vAlign w:val="center"/>
          </w:tcPr>
          <w:p w14:paraId="22501AD5">
            <w:pPr>
              <w:snapToGrid w:val="0"/>
              <w:spacing w:line="240" w:lineRule="auto"/>
              <w:ind w:firstLine="0" w:firstLineChars="0"/>
              <w:jc w:val="center"/>
              <w:rPr>
                <w:rFonts w:cs="Times New Roman"/>
                <w:kern w:val="0"/>
                <w:sz w:val="18"/>
                <w:szCs w:val="18"/>
              </w:rPr>
            </w:pPr>
            <w:r>
              <w:rPr>
                <w:rFonts w:cs="Times New Roman"/>
                <w:kern w:val="0"/>
                <w:sz w:val="18"/>
                <w:szCs w:val="18"/>
              </w:rPr>
              <w:t>4</w:t>
            </w:r>
          </w:p>
        </w:tc>
        <w:tc>
          <w:tcPr>
            <w:tcW w:w="1346" w:type="pct"/>
            <w:vAlign w:val="center"/>
          </w:tcPr>
          <w:p w14:paraId="5F78DD73">
            <w:pPr>
              <w:snapToGrid w:val="0"/>
              <w:spacing w:line="240" w:lineRule="auto"/>
              <w:ind w:firstLine="0" w:firstLineChars="0"/>
              <w:jc w:val="center"/>
              <w:rPr>
                <w:rFonts w:cs="Times New Roman"/>
                <w:kern w:val="0"/>
                <w:sz w:val="18"/>
                <w:szCs w:val="18"/>
              </w:rPr>
            </w:pPr>
            <w:r>
              <w:rPr>
                <w:rFonts w:cs="Times New Roman"/>
                <w:kern w:val="0"/>
                <w:sz w:val="18"/>
                <w:szCs w:val="18"/>
              </w:rPr>
              <w:t>40</w:t>
            </w:r>
          </w:p>
        </w:tc>
      </w:tr>
      <w:tr w14:paraId="39DAE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1F4F86D9">
            <w:pPr>
              <w:snapToGrid w:val="0"/>
              <w:spacing w:line="240" w:lineRule="auto"/>
              <w:ind w:firstLine="0" w:firstLineChars="0"/>
              <w:jc w:val="center"/>
              <w:rPr>
                <w:rFonts w:cs="Times New Roman"/>
                <w:kern w:val="0"/>
                <w:sz w:val="18"/>
                <w:szCs w:val="18"/>
              </w:rPr>
            </w:pPr>
            <w:r>
              <w:rPr>
                <w:rFonts w:cs="Times New Roman"/>
                <w:kern w:val="0"/>
                <w:sz w:val="18"/>
                <w:szCs w:val="18"/>
              </w:rPr>
              <w:t>27</w:t>
            </w:r>
          </w:p>
        </w:tc>
        <w:tc>
          <w:tcPr>
            <w:tcW w:w="1276" w:type="pct"/>
            <w:vAlign w:val="center"/>
          </w:tcPr>
          <w:p w14:paraId="40A87F4F">
            <w:pPr>
              <w:snapToGrid w:val="0"/>
              <w:spacing w:line="240" w:lineRule="auto"/>
              <w:ind w:firstLine="0" w:firstLineChars="0"/>
              <w:jc w:val="center"/>
              <w:rPr>
                <w:rFonts w:cs="Times New Roman"/>
                <w:kern w:val="0"/>
                <w:sz w:val="18"/>
                <w:szCs w:val="18"/>
              </w:rPr>
            </w:pPr>
            <w:r>
              <w:rPr>
                <w:rFonts w:cs="Times New Roman"/>
                <w:kern w:val="0"/>
                <w:sz w:val="18"/>
                <w:szCs w:val="18"/>
              </w:rPr>
              <w:t>氯苯</w:t>
            </w:r>
          </w:p>
        </w:tc>
        <w:tc>
          <w:tcPr>
            <w:tcW w:w="670" w:type="pct"/>
            <w:vAlign w:val="center"/>
          </w:tcPr>
          <w:p w14:paraId="4F5C73A4">
            <w:pPr>
              <w:snapToGrid w:val="0"/>
              <w:spacing w:line="240" w:lineRule="auto"/>
              <w:ind w:firstLine="0" w:firstLineChars="0"/>
              <w:jc w:val="center"/>
              <w:rPr>
                <w:rFonts w:cs="Times New Roman"/>
                <w:kern w:val="0"/>
                <w:sz w:val="18"/>
                <w:szCs w:val="18"/>
              </w:rPr>
            </w:pPr>
            <w:r>
              <w:rPr>
                <w:rFonts w:cs="Times New Roman"/>
                <w:kern w:val="0"/>
                <w:sz w:val="18"/>
                <w:szCs w:val="18"/>
              </w:rPr>
              <w:t>108-90-7</w:t>
            </w:r>
          </w:p>
        </w:tc>
        <w:tc>
          <w:tcPr>
            <w:tcW w:w="1372" w:type="pct"/>
            <w:vAlign w:val="center"/>
          </w:tcPr>
          <w:p w14:paraId="77EDFAB6">
            <w:pPr>
              <w:snapToGrid w:val="0"/>
              <w:spacing w:line="240" w:lineRule="auto"/>
              <w:ind w:firstLine="0" w:firstLineChars="0"/>
              <w:jc w:val="center"/>
              <w:rPr>
                <w:rFonts w:cs="Times New Roman"/>
                <w:kern w:val="0"/>
                <w:sz w:val="18"/>
                <w:szCs w:val="18"/>
              </w:rPr>
            </w:pPr>
            <w:r>
              <w:rPr>
                <w:rFonts w:cs="Times New Roman"/>
                <w:kern w:val="0"/>
                <w:sz w:val="18"/>
                <w:szCs w:val="18"/>
              </w:rPr>
              <w:t>270</w:t>
            </w:r>
          </w:p>
        </w:tc>
        <w:tc>
          <w:tcPr>
            <w:tcW w:w="1346" w:type="pct"/>
            <w:vAlign w:val="center"/>
          </w:tcPr>
          <w:p w14:paraId="62F487D9">
            <w:pPr>
              <w:snapToGrid w:val="0"/>
              <w:spacing w:line="240" w:lineRule="auto"/>
              <w:ind w:firstLine="0" w:firstLineChars="0"/>
              <w:jc w:val="center"/>
              <w:rPr>
                <w:rFonts w:cs="Times New Roman"/>
                <w:kern w:val="0"/>
                <w:sz w:val="18"/>
                <w:szCs w:val="18"/>
              </w:rPr>
            </w:pPr>
            <w:r>
              <w:rPr>
                <w:rFonts w:cs="Times New Roman"/>
                <w:kern w:val="0"/>
                <w:sz w:val="18"/>
                <w:szCs w:val="18"/>
              </w:rPr>
              <w:t>1000</w:t>
            </w:r>
          </w:p>
        </w:tc>
      </w:tr>
      <w:tr w14:paraId="3E832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6AD42C35">
            <w:pPr>
              <w:snapToGrid w:val="0"/>
              <w:spacing w:line="240" w:lineRule="auto"/>
              <w:ind w:firstLine="0" w:firstLineChars="0"/>
              <w:jc w:val="center"/>
              <w:rPr>
                <w:rFonts w:cs="Times New Roman"/>
                <w:kern w:val="0"/>
                <w:sz w:val="18"/>
                <w:szCs w:val="18"/>
              </w:rPr>
            </w:pPr>
            <w:r>
              <w:rPr>
                <w:rFonts w:cs="Times New Roman"/>
                <w:kern w:val="0"/>
                <w:sz w:val="18"/>
                <w:szCs w:val="18"/>
              </w:rPr>
              <w:t>28</w:t>
            </w:r>
          </w:p>
        </w:tc>
        <w:tc>
          <w:tcPr>
            <w:tcW w:w="1276" w:type="pct"/>
            <w:vAlign w:val="center"/>
          </w:tcPr>
          <w:p w14:paraId="486ECB43">
            <w:pPr>
              <w:snapToGrid w:val="0"/>
              <w:spacing w:line="240" w:lineRule="auto"/>
              <w:ind w:firstLine="0" w:firstLineChars="0"/>
              <w:jc w:val="center"/>
              <w:rPr>
                <w:rFonts w:cs="Times New Roman"/>
                <w:kern w:val="0"/>
                <w:sz w:val="18"/>
                <w:szCs w:val="18"/>
              </w:rPr>
            </w:pPr>
            <w:r>
              <w:rPr>
                <w:rFonts w:cs="Times New Roman"/>
                <w:kern w:val="0"/>
                <w:sz w:val="18"/>
                <w:szCs w:val="18"/>
              </w:rPr>
              <w:t>1，2-二氯苯</w:t>
            </w:r>
          </w:p>
        </w:tc>
        <w:tc>
          <w:tcPr>
            <w:tcW w:w="670" w:type="pct"/>
            <w:vAlign w:val="center"/>
          </w:tcPr>
          <w:p w14:paraId="0CEC41D9">
            <w:pPr>
              <w:snapToGrid w:val="0"/>
              <w:spacing w:line="240" w:lineRule="auto"/>
              <w:ind w:firstLine="0" w:firstLineChars="0"/>
              <w:jc w:val="center"/>
              <w:rPr>
                <w:rFonts w:cs="Times New Roman"/>
                <w:kern w:val="0"/>
                <w:sz w:val="18"/>
                <w:szCs w:val="18"/>
              </w:rPr>
            </w:pPr>
            <w:r>
              <w:rPr>
                <w:rFonts w:cs="Times New Roman"/>
                <w:kern w:val="0"/>
                <w:sz w:val="18"/>
                <w:szCs w:val="18"/>
              </w:rPr>
              <w:t>95-50-1</w:t>
            </w:r>
          </w:p>
        </w:tc>
        <w:tc>
          <w:tcPr>
            <w:tcW w:w="1372" w:type="pct"/>
            <w:vAlign w:val="center"/>
          </w:tcPr>
          <w:p w14:paraId="22BE932A">
            <w:pPr>
              <w:snapToGrid w:val="0"/>
              <w:spacing w:line="240" w:lineRule="auto"/>
              <w:ind w:firstLine="0" w:firstLineChars="0"/>
              <w:jc w:val="center"/>
              <w:rPr>
                <w:rFonts w:cs="Times New Roman"/>
                <w:kern w:val="0"/>
                <w:sz w:val="18"/>
                <w:szCs w:val="18"/>
              </w:rPr>
            </w:pPr>
            <w:r>
              <w:rPr>
                <w:rFonts w:cs="Times New Roman"/>
                <w:kern w:val="0"/>
                <w:sz w:val="18"/>
                <w:szCs w:val="18"/>
              </w:rPr>
              <w:t>560</w:t>
            </w:r>
          </w:p>
        </w:tc>
        <w:tc>
          <w:tcPr>
            <w:tcW w:w="1346" w:type="pct"/>
            <w:vAlign w:val="center"/>
          </w:tcPr>
          <w:p w14:paraId="0A96A725">
            <w:pPr>
              <w:snapToGrid w:val="0"/>
              <w:spacing w:line="240" w:lineRule="auto"/>
              <w:ind w:firstLine="0" w:firstLineChars="0"/>
              <w:jc w:val="center"/>
              <w:rPr>
                <w:rFonts w:cs="Times New Roman"/>
                <w:kern w:val="0"/>
                <w:sz w:val="18"/>
                <w:szCs w:val="18"/>
              </w:rPr>
            </w:pPr>
            <w:r>
              <w:rPr>
                <w:rFonts w:cs="Times New Roman"/>
                <w:kern w:val="0"/>
                <w:sz w:val="18"/>
                <w:szCs w:val="18"/>
              </w:rPr>
              <w:t>560</w:t>
            </w:r>
          </w:p>
        </w:tc>
      </w:tr>
      <w:tr w14:paraId="0211D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722025D4">
            <w:pPr>
              <w:snapToGrid w:val="0"/>
              <w:spacing w:line="240" w:lineRule="auto"/>
              <w:ind w:firstLine="0" w:firstLineChars="0"/>
              <w:jc w:val="center"/>
              <w:rPr>
                <w:rFonts w:cs="Times New Roman"/>
                <w:kern w:val="0"/>
                <w:sz w:val="18"/>
                <w:szCs w:val="18"/>
              </w:rPr>
            </w:pPr>
            <w:r>
              <w:rPr>
                <w:rFonts w:cs="Times New Roman"/>
                <w:kern w:val="0"/>
                <w:sz w:val="18"/>
                <w:szCs w:val="18"/>
              </w:rPr>
              <w:t>29</w:t>
            </w:r>
          </w:p>
        </w:tc>
        <w:tc>
          <w:tcPr>
            <w:tcW w:w="1276" w:type="pct"/>
            <w:vAlign w:val="center"/>
          </w:tcPr>
          <w:p w14:paraId="7C2BF6FC">
            <w:pPr>
              <w:snapToGrid w:val="0"/>
              <w:spacing w:line="240" w:lineRule="auto"/>
              <w:ind w:firstLine="0" w:firstLineChars="0"/>
              <w:jc w:val="center"/>
              <w:rPr>
                <w:rFonts w:cs="Times New Roman"/>
                <w:kern w:val="0"/>
                <w:sz w:val="18"/>
                <w:szCs w:val="18"/>
              </w:rPr>
            </w:pPr>
            <w:r>
              <w:rPr>
                <w:rFonts w:cs="Times New Roman"/>
                <w:kern w:val="0"/>
                <w:sz w:val="18"/>
                <w:szCs w:val="18"/>
              </w:rPr>
              <w:t>1，4-二氯苯</w:t>
            </w:r>
          </w:p>
        </w:tc>
        <w:tc>
          <w:tcPr>
            <w:tcW w:w="670" w:type="pct"/>
            <w:vAlign w:val="center"/>
          </w:tcPr>
          <w:p w14:paraId="64D7F479">
            <w:pPr>
              <w:snapToGrid w:val="0"/>
              <w:spacing w:line="240" w:lineRule="auto"/>
              <w:ind w:firstLine="0" w:firstLineChars="0"/>
              <w:jc w:val="center"/>
              <w:rPr>
                <w:rFonts w:cs="Times New Roman"/>
                <w:kern w:val="0"/>
                <w:sz w:val="18"/>
                <w:szCs w:val="18"/>
              </w:rPr>
            </w:pPr>
            <w:r>
              <w:rPr>
                <w:rFonts w:cs="Times New Roman"/>
                <w:kern w:val="0"/>
                <w:sz w:val="18"/>
                <w:szCs w:val="18"/>
              </w:rPr>
              <w:t>106-46-7</w:t>
            </w:r>
          </w:p>
        </w:tc>
        <w:tc>
          <w:tcPr>
            <w:tcW w:w="1372" w:type="pct"/>
            <w:vAlign w:val="center"/>
          </w:tcPr>
          <w:p w14:paraId="339B3A9B">
            <w:pPr>
              <w:snapToGrid w:val="0"/>
              <w:spacing w:line="240" w:lineRule="auto"/>
              <w:ind w:firstLine="0" w:firstLineChars="0"/>
              <w:jc w:val="center"/>
              <w:rPr>
                <w:rFonts w:cs="Times New Roman"/>
                <w:kern w:val="0"/>
                <w:sz w:val="18"/>
                <w:szCs w:val="18"/>
              </w:rPr>
            </w:pPr>
            <w:r>
              <w:rPr>
                <w:rFonts w:cs="Times New Roman"/>
                <w:kern w:val="0"/>
                <w:sz w:val="18"/>
                <w:szCs w:val="18"/>
              </w:rPr>
              <w:t>20</w:t>
            </w:r>
          </w:p>
        </w:tc>
        <w:tc>
          <w:tcPr>
            <w:tcW w:w="1346" w:type="pct"/>
            <w:vAlign w:val="center"/>
          </w:tcPr>
          <w:p w14:paraId="23F39FB3">
            <w:pPr>
              <w:snapToGrid w:val="0"/>
              <w:spacing w:line="240" w:lineRule="auto"/>
              <w:ind w:firstLine="0" w:firstLineChars="0"/>
              <w:jc w:val="center"/>
              <w:rPr>
                <w:rFonts w:cs="Times New Roman"/>
                <w:kern w:val="0"/>
                <w:sz w:val="18"/>
                <w:szCs w:val="18"/>
              </w:rPr>
            </w:pPr>
            <w:r>
              <w:rPr>
                <w:rFonts w:cs="Times New Roman"/>
                <w:kern w:val="0"/>
                <w:sz w:val="18"/>
                <w:szCs w:val="18"/>
              </w:rPr>
              <w:t>200</w:t>
            </w:r>
          </w:p>
        </w:tc>
      </w:tr>
      <w:tr w14:paraId="361DA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588DFD3A">
            <w:pPr>
              <w:snapToGrid w:val="0"/>
              <w:spacing w:line="240" w:lineRule="auto"/>
              <w:ind w:firstLine="0" w:firstLineChars="0"/>
              <w:jc w:val="center"/>
              <w:rPr>
                <w:rFonts w:cs="Times New Roman"/>
                <w:kern w:val="0"/>
                <w:sz w:val="18"/>
                <w:szCs w:val="18"/>
              </w:rPr>
            </w:pPr>
            <w:r>
              <w:rPr>
                <w:rFonts w:cs="Times New Roman"/>
                <w:kern w:val="0"/>
                <w:sz w:val="18"/>
                <w:szCs w:val="18"/>
              </w:rPr>
              <w:t>30</w:t>
            </w:r>
          </w:p>
        </w:tc>
        <w:tc>
          <w:tcPr>
            <w:tcW w:w="1276" w:type="pct"/>
            <w:vAlign w:val="center"/>
          </w:tcPr>
          <w:p w14:paraId="55B51342">
            <w:pPr>
              <w:snapToGrid w:val="0"/>
              <w:spacing w:line="240" w:lineRule="auto"/>
              <w:ind w:firstLine="0" w:firstLineChars="0"/>
              <w:jc w:val="center"/>
              <w:rPr>
                <w:rFonts w:cs="Times New Roman"/>
                <w:kern w:val="0"/>
                <w:sz w:val="18"/>
                <w:szCs w:val="18"/>
              </w:rPr>
            </w:pPr>
            <w:r>
              <w:rPr>
                <w:rFonts w:cs="Times New Roman"/>
                <w:kern w:val="0"/>
                <w:sz w:val="18"/>
                <w:szCs w:val="18"/>
              </w:rPr>
              <w:t>乙苯</w:t>
            </w:r>
          </w:p>
        </w:tc>
        <w:tc>
          <w:tcPr>
            <w:tcW w:w="670" w:type="pct"/>
            <w:vAlign w:val="center"/>
          </w:tcPr>
          <w:p w14:paraId="66E2788C">
            <w:pPr>
              <w:snapToGrid w:val="0"/>
              <w:spacing w:line="240" w:lineRule="auto"/>
              <w:ind w:firstLine="0" w:firstLineChars="0"/>
              <w:jc w:val="center"/>
              <w:rPr>
                <w:rFonts w:cs="Times New Roman"/>
                <w:kern w:val="0"/>
                <w:sz w:val="18"/>
                <w:szCs w:val="18"/>
              </w:rPr>
            </w:pPr>
            <w:r>
              <w:rPr>
                <w:rFonts w:cs="Times New Roman"/>
                <w:kern w:val="0"/>
                <w:sz w:val="18"/>
                <w:szCs w:val="18"/>
              </w:rPr>
              <w:t>100-41-4</w:t>
            </w:r>
          </w:p>
        </w:tc>
        <w:tc>
          <w:tcPr>
            <w:tcW w:w="1372" w:type="pct"/>
            <w:vAlign w:val="center"/>
          </w:tcPr>
          <w:p w14:paraId="3EC45B9B">
            <w:pPr>
              <w:snapToGrid w:val="0"/>
              <w:spacing w:line="240" w:lineRule="auto"/>
              <w:ind w:firstLine="0" w:firstLineChars="0"/>
              <w:jc w:val="center"/>
              <w:rPr>
                <w:rFonts w:cs="Times New Roman"/>
                <w:kern w:val="0"/>
                <w:sz w:val="18"/>
                <w:szCs w:val="18"/>
              </w:rPr>
            </w:pPr>
            <w:r>
              <w:rPr>
                <w:rFonts w:cs="Times New Roman"/>
                <w:kern w:val="0"/>
                <w:sz w:val="18"/>
                <w:szCs w:val="18"/>
              </w:rPr>
              <w:t>28</w:t>
            </w:r>
          </w:p>
        </w:tc>
        <w:tc>
          <w:tcPr>
            <w:tcW w:w="1346" w:type="pct"/>
            <w:vAlign w:val="center"/>
          </w:tcPr>
          <w:p w14:paraId="12F1CEB7">
            <w:pPr>
              <w:snapToGrid w:val="0"/>
              <w:spacing w:line="240" w:lineRule="auto"/>
              <w:ind w:firstLine="0" w:firstLineChars="0"/>
              <w:jc w:val="center"/>
              <w:rPr>
                <w:rFonts w:cs="Times New Roman"/>
                <w:kern w:val="0"/>
                <w:sz w:val="18"/>
                <w:szCs w:val="18"/>
              </w:rPr>
            </w:pPr>
            <w:r>
              <w:rPr>
                <w:rFonts w:cs="Times New Roman"/>
                <w:kern w:val="0"/>
                <w:sz w:val="18"/>
                <w:szCs w:val="18"/>
              </w:rPr>
              <w:t>280</w:t>
            </w:r>
          </w:p>
        </w:tc>
      </w:tr>
      <w:tr w14:paraId="3B8A4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758A2937">
            <w:pPr>
              <w:snapToGrid w:val="0"/>
              <w:spacing w:line="240" w:lineRule="auto"/>
              <w:ind w:firstLine="0" w:firstLineChars="0"/>
              <w:jc w:val="center"/>
              <w:rPr>
                <w:rFonts w:cs="Times New Roman"/>
                <w:kern w:val="0"/>
                <w:sz w:val="18"/>
                <w:szCs w:val="18"/>
              </w:rPr>
            </w:pPr>
            <w:r>
              <w:rPr>
                <w:rFonts w:cs="Times New Roman"/>
                <w:kern w:val="0"/>
                <w:sz w:val="18"/>
                <w:szCs w:val="18"/>
              </w:rPr>
              <w:t>31</w:t>
            </w:r>
          </w:p>
        </w:tc>
        <w:tc>
          <w:tcPr>
            <w:tcW w:w="1276" w:type="pct"/>
            <w:vAlign w:val="center"/>
          </w:tcPr>
          <w:p w14:paraId="118157D8">
            <w:pPr>
              <w:snapToGrid w:val="0"/>
              <w:spacing w:line="240" w:lineRule="auto"/>
              <w:ind w:firstLine="0" w:firstLineChars="0"/>
              <w:jc w:val="center"/>
              <w:rPr>
                <w:rFonts w:cs="Times New Roman"/>
                <w:kern w:val="0"/>
                <w:sz w:val="18"/>
                <w:szCs w:val="18"/>
              </w:rPr>
            </w:pPr>
            <w:r>
              <w:rPr>
                <w:rFonts w:cs="Times New Roman"/>
                <w:kern w:val="0"/>
                <w:sz w:val="18"/>
                <w:szCs w:val="18"/>
              </w:rPr>
              <w:t>苯乙烯</w:t>
            </w:r>
          </w:p>
        </w:tc>
        <w:tc>
          <w:tcPr>
            <w:tcW w:w="670" w:type="pct"/>
            <w:vAlign w:val="center"/>
          </w:tcPr>
          <w:p w14:paraId="07C5F8BB">
            <w:pPr>
              <w:snapToGrid w:val="0"/>
              <w:spacing w:line="240" w:lineRule="auto"/>
              <w:ind w:firstLine="0" w:firstLineChars="0"/>
              <w:jc w:val="center"/>
              <w:rPr>
                <w:rFonts w:cs="Times New Roman"/>
                <w:kern w:val="0"/>
                <w:sz w:val="18"/>
                <w:szCs w:val="18"/>
              </w:rPr>
            </w:pPr>
            <w:r>
              <w:rPr>
                <w:rFonts w:cs="Times New Roman"/>
                <w:kern w:val="0"/>
                <w:sz w:val="18"/>
                <w:szCs w:val="18"/>
              </w:rPr>
              <w:t>100-42-5</w:t>
            </w:r>
          </w:p>
        </w:tc>
        <w:tc>
          <w:tcPr>
            <w:tcW w:w="1372" w:type="pct"/>
            <w:vAlign w:val="center"/>
          </w:tcPr>
          <w:p w14:paraId="264A5AB5">
            <w:pPr>
              <w:snapToGrid w:val="0"/>
              <w:spacing w:line="240" w:lineRule="auto"/>
              <w:ind w:firstLine="0" w:firstLineChars="0"/>
              <w:jc w:val="center"/>
              <w:rPr>
                <w:rFonts w:cs="Times New Roman"/>
                <w:kern w:val="0"/>
                <w:sz w:val="18"/>
                <w:szCs w:val="18"/>
              </w:rPr>
            </w:pPr>
            <w:r>
              <w:rPr>
                <w:rFonts w:cs="Times New Roman"/>
                <w:kern w:val="0"/>
                <w:sz w:val="18"/>
                <w:szCs w:val="18"/>
              </w:rPr>
              <w:t>1290</w:t>
            </w:r>
          </w:p>
        </w:tc>
        <w:tc>
          <w:tcPr>
            <w:tcW w:w="1346" w:type="pct"/>
            <w:vAlign w:val="center"/>
          </w:tcPr>
          <w:p w14:paraId="3D463951">
            <w:pPr>
              <w:snapToGrid w:val="0"/>
              <w:spacing w:line="240" w:lineRule="auto"/>
              <w:ind w:firstLine="0" w:firstLineChars="0"/>
              <w:jc w:val="center"/>
              <w:rPr>
                <w:rFonts w:cs="Times New Roman"/>
                <w:kern w:val="0"/>
                <w:sz w:val="18"/>
                <w:szCs w:val="18"/>
              </w:rPr>
            </w:pPr>
            <w:r>
              <w:rPr>
                <w:rFonts w:cs="Times New Roman"/>
                <w:kern w:val="0"/>
                <w:sz w:val="18"/>
                <w:szCs w:val="18"/>
              </w:rPr>
              <w:t>1290</w:t>
            </w:r>
          </w:p>
        </w:tc>
      </w:tr>
      <w:tr w14:paraId="114B6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7" w:hRule="atLeast"/>
          <w:jc w:val="center"/>
        </w:trPr>
        <w:tc>
          <w:tcPr>
            <w:tcW w:w="332" w:type="pct"/>
            <w:vAlign w:val="center"/>
          </w:tcPr>
          <w:p w14:paraId="3E6B612D">
            <w:pPr>
              <w:snapToGrid w:val="0"/>
              <w:spacing w:line="240" w:lineRule="auto"/>
              <w:ind w:firstLine="0" w:firstLineChars="0"/>
              <w:jc w:val="center"/>
              <w:rPr>
                <w:rFonts w:cs="Times New Roman"/>
                <w:kern w:val="0"/>
                <w:sz w:val="18"/>
                <w:szCs w:val="18"/>
              </w:rPr>
            </w:pPr>
            <w:r>
              <w:rPr>
                <w:rFonts w:cs="Times New Roman"/>
                <w:kern w:val="0"/>
                <w:sz w:val="18"/>
                <w:szCs w:val="18"/>
              </w:rPr>
              <w:t>32</w:t>
            </w:r>
          </w:p>
        </w:tc>
        <w:tc>
          <w:tcPr>
            <w:tcW w:w="1276" w:type="pct"/>
            <w:vAlign w:val="center"/>
          </w:tcPr>
          <w:p w14:paraId="51E66841">
            <w:pPr>
              <w:snapToGrid w:val="0"/>
              <w:spacing w:line="240" w:lineRule="auto"/>
              <w:ind w:firstLine="0" w:firstLineChars="0"/>
              <w:jc w:val="center"/>
              <w:rPr>
                <w:rFonts w:cs="Times New Roman"/>
                <w:kern w:val="0"/>
                <w:sz w:val="18"/>
                <w:szCs w:val="18"/>
              </w:rPr>
            </w:pPr>
            <w:r>
              <w:rPr>
                <w:rFonts w:cs="Times New Roman"/>
                <w:kern w:val="0"/>
                <w:sz w:val="18"/>
                <w:szCs w:val="18"/>
              </w:rPr>
              <w:t>甲苯</w:t>
            </w:r>
          </w:p>
        </w:tc>
        <w:tc>
          <w:tcPr>
            <w:tcW w:w="670" w:type="pct"/>
            <w:vAlign w:val="center"/>
          </w:tcPr>
          <w:p w14:paraId="7C72E119">
            <w:pPr>
              <w:snapToGrid w:val="0"/>
              <w:spacing w:line="240" w:lineRule="auto"/>
              <w:ind w:firstLine="0" w:firstLineChars="0"/>
              <w:jc w:val="center"/>
              <w:rPr>
                <w:rFonts w:cs="Times New Roman"/>
                <w:kern w:val="0"/>
                <w:sz w:val="18"/>
                <w:szCs w:val="18"/>
              </w:rPr>
            </w:pPr>
            <w:r>
              <w:rPr>
                <w:rFonts w:cs="Times New Roman"/>
                <w:kern w:val="0"/>
                <w:sz w:val="18"/>
                <w:szCs w:val="18"/>
              </w:rPr>
              <w:t>108-88-3</w:t>
            </w:r>
          </w:p>
        </w:tc>
        <w:tc>
          <w:tcPr>
            <w:tcW w:w="1372" w:type="pct"/>
            <w:vAlign w:val="center"/>
          </w:tcPr>
          <w:p w14:paraId="18874B6B">
            <w:pPr>
              <w:snapToGrid w:val="0"/>
              <w:spacing w:line="240" w:lineRule="auto"/>
              <w:ind w:firstLine="0" w:firstLineChars="0"/>
              <w:jc w:val="center"/>
              <w:rPr>
                <w:rFonts w:cs="Times New Roman"/>
                <w:kern w:val="0"/>
                <w:sz w:val="18"/>
                <w:szCs w:val="18"/>
              </w:rPr>
            </w:pPr>
            <w:r>
              <w:rPr>
                <w:rFonts w:cs="Times New Roman"/>
                <w:kern w:val="0"/>
                <w:sz w:val="18"/>
                <w:szCs w:val="18"/>
              </w:rPr>
              <w:t>1200</w:t>
            </w:r>
          </w:p>
        </w:tc>
        <w:tc>
          <w:tcPr>
            <w:tcW w:w="1346" w:type="pct"/>
            <w:vAlign w:val="center"/>
          </w:tcPr>
          <w:p w14:paraId="043C4803">
            <w:pPr>
              <w:snapToGrid w:val="0"/>
              <w:spacing w:line="240" w:lineRule="auto"/>
              <w:ind w:firstLine="0" w:firstLineChars="0"/>
              <w:jc w:val="center"/>
              <w:rPr>
                <w:rFonts w:cs="Times New Roman"/>
                <w:kern w:val="0"/>
                <w:sz w:val="18"/>
                <w:szCs w:val="18"/>
              </w:rPr>
            </w:pPr>
            <w:r>
              <w:rPr>
                <w:rFonts w:cs="Times New Roman"/>
                <w:kern w:val="0"/>
                <w:sz w:val="18"/>
                <w:szCs w:val="18"/>
              </w:rPr>
              <w:t>1200</w:t>
            </w:r>
          </w:p>
        </w:tc>
      </w:tr>
      <w:tr w14:paraId="7BB3B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49189D26">
            <w:pPr>
              <w:snapToGrid w:val="0"/>
              <w:spacing w:line="240" w:lineRule="auto"/>
              <w:ind w:firstLine="0" w:firstLineChars="0"/>
              <w:jc w:val="center"/>
              <w:rPr>
                <w:rFonts w:cs="Times New Roman"/>
                <w:kern w:val="0"/>
                <w:sz w:val="18"/>
                <w:szCs w:val="18"/>
              </w:rPr>
            </w:pPr>
            <w:r>
              <w:rPr>
                <w:rFonts w:cs="Times New Roman"/>
                <w:kern w:val="0"/>
                <w:sz w:val="18"/>
                <w:szCs w:val="18"/>
              </w:rPr>
              <w:t>33</w:t>
            </w:r>
          </w:p>
        </w:tc>
        <w:tc>
          <w:tcPr>
            <w:tcW w:w="1276" w:type="pct"/>
            <w:vAlign w:val="center"/>
          </w:tcPr>
          <w:p w14:paraId="12628310">
            <w:pPr>
              <w:snapToGrid w:val="0"/>
              <w:spacing w:line="240" w:lineRule="auto"/>
              <w:ind w:firstLine="0" w:firstLineChars="0"/>
              <w:jc w:val="center"/>
              <w:rPr>
                <w:rFonts w:cs="Times New Roman"/>
                <w:kern w:val="0"/>
                <w:sz w:val="18"/>
                <w:szCs w:val="18"/>
              </w:rPr>
            </w:pPr>
            <w:r>
              <w:rPr>
                <w:rFonts w:cs="Times New Roman"/>
                <w:kern w:val="0"/>
                <w:sz w:val="18"/>
                <w:szCs w:val="18"/>
              </w:rPr>
              <w:t>间二甲苯+对二甲苯</w:t>
            </w:r>
          </w:p>
        </w:tc>
        <w:tc>
          <w:tcPr>
            <w:tcW w:w="670" w:type="pct"/>
            <w:vAlign w:val="center"/>
          </w:tcPr>
          <w:p w14:paraId="77F66FDF">
            <w:pPr>
              <w:snapToGrid w:val="0"/>
              <w:spacing w:line="240" w:lineRule="auto"/>
              <w:ind w:firstLine="0" w:firstLineChars="0"/>
              <w:jc w:val="center"/>
              <w:rPr>
                <w:rFonts w:cs="Times New Roman"/>
                <w:kern w:val="0"/>
                <w:sz w:val="18"/>
                <w:szCs w:val="18"/>
              </w:rPr>
            </w:pPr>
            <w:r>
              <w:rPr>
                <w:rFonts w:cs="Times New Roman"/>
                <w:kern w:val="0"/>
                <w:sz w:val="18"/>
                <w:szCs w:val="18"/>
              </w:rPr>
              <w:t>108-38-3</w:t>
            </w:r>
          </w:p>
          <w:p w14:paraId="42A4B803">
            <w:pPr>
              <w:snapToGrid w:val="0"/>
              <w:spacing w:line="240" w:lineRule="auto"/>
              <w:ind w:firstLine="0" w:firstLineChars="0"/>
              <w:jc w:val="center"/>
              <w:rPr>
                <w:rFonts w:cs="Times New Roman"/>
                <w:kern w:val="0"/>
                <w:sz w:val="18"/>
                <w:szCs w:val="18"/>
              </w:rPr>
            </w:pPr>
            <w:r>
              <w:rPr>
                <w:rFonts w:cs="Times New Roman"/>
                <w:kern w:val="0"/>
                <w:sz w:val="18"/>
                <w:szCs w:val="18"/>
              </w:rPr>
              <w:t>106-42-3</w:t>
            </w:r>
          </w:p>
        </w:tc>
        <w:tc>
          <w:tcPr>
            <w:tcW w:w="1372" w:type="pct"/>
            <w:vAlign w:val="center"/>
          </w:tcPr>
          <w:p w14:paraId="6C354319">
            <w:pPr>
              <w:snapToGrid w:val="0"/>
              <w:spacing w:line="240" w:lineRule="auto"/>
              <w:ind w:firstLine="0" w:firstLineChars="0"/>
              <w:jc w:val="center"/>
              <w:rPr>
                <w:rFonts w:cs="Times New Roman"/>
                <w:kern w:val="0"/>
                <w:sz w:val="18"/>
                <w:szCs w:val="18"/>
              </w:rPr>
            </w:pPr>
            <w:r>
              <w:rPr>
                <w:rFonts w:cs="Times New Roman"/>
                <w:kern w:val="0"/>
                <w:sz w:val="18"/>
                <w:szCs w:val="18"/>
              </w:rPr>
              <w:t>570</w:t>
            </w:r>
          </w:p>
        </w:tc>
        <w:tc>
          <w:tcPr>
            <w:tcW w:w="1346" w:type="pct"/>
            <w:vAlign w:val="center"/>
          </w:tcPr>
          <w:p w14:paraId="724DC863">
            <w:pPr>
              <w:snapToGrid w:val="0"/>
              <w:spacing w:line="240" w:lineRule="auto"/>
              <w:ind w:firstLine="0" w:firstLineChars="0"/>
              <w:jc w:val="center"/>
              <w:rPr>
                <w:rFonts w:cs="Times New Roman"/>
                <w:kern w:val="0"/>
                <w:sz w:val="18"/>
                <w:szCs w:val="18"/>
              </w:rPr>
            </w:pPr>
            <w:r>
              <w:rPr>
                <w:rFonts w:cs="Times New Roman"/>
                <w:kern w:val="0"/>
                <w:sz w:val="18"/>
                <w:szCs w:val="18"/>
              </w:rPr>
              <w:t>570</w:t>
            </w:r>
          </w:p>
        </w:tc>
      </w:tr>
      <w:tr w14:paraId="65BE3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04DD058A">
            <w:pPr>
              <w:snapToGrid w:val="0"/>
              <w:spacing w:line="240" w:lineRule="auto"/>
              <w:ind w:firstLine="0" w:firstLineChars="0"/>
              <w:jc w:val="center"/>
              <w:rPr>
                <w:rFonts w:cs="Times New Roman"/>
                <w:kern w:val="0"/>
                <w:sz w:val="18"/>
                <w:szCs w:val="18"/>
              </w:rPr>
            </w:pPr>
            <w:r>
              <w:rPr>
                <w:rFonts w:cs="Times New Roman"/>
                <w:kern w:val="0"/>
                <w:sz w:val="18"/>
                <w:szCs w:val="18"/>
              </w:rPr>
              <w:t>34</w:t>
            </w:r>
          </w:p>
        </w:tc>
        <w:tc>
          <w:tcPr>
            <w:tcW w:w="1276" w:type="pct"/>
            <w:vAlign w:val="center"/>
          </w:tcPr>
          <w:p w14:paraId="4622202E">
            <w:pPr>
              <w:snapToGrid w:val="0"/>
              <w:spacing w:line="240" w:lineRule="auto"/>
              <w:ind w:firstLine="0" w:firstLineChars="0"/>
              <w:jc w:val="center"/>
              <w:rPr>
                <w:rFonts w:cs="Times New Roman"/>
                <w:kern w:val="0"/>
                <w:sz w:val="18"/>
                <w:szCs w:val="18"/>
              </w:rPr>
            </w:pPr>
            <w:r>
              <w:rPr>
                <w:rFonts w:cs="Times New Roman"/>
                <w:kern w:val="0"/>
                <w:sz w:val="18"/>
                <w:szCs w:val="18"/>
              </w:rPr>
              <w:t>邻二甲苯</w:t>
            </w:r>
          </w:p>
        </w:tc>
        <w:tc>
          <w:tcPr>
            <w:tcW w:w="670" w:type="pct"/>
            <w:vAlign w:val="center"/>
          </w:tcPr>
          <w:p w14:paraId="76D54BFC">
            <w:pPr>
              <w:snapToGrid w:val="0"/>
              <w:spacing w:line="240" w:lineRule="auto"/>
              <w:ind w:firstLine="0" w:firstLineChars="0"/>
              <w:jc w:val="center"/>
              <w:rPr>
                <w:rFonts w:cs="Times New Roman"/>
                <w:kern w:val="0"/>
                <w:sz w:val="18"/>
                <w:szCs w:val="18"/>
              </w:rPr>
            </w:pPr>
            <w:r>
              <w:rPr>
                <w:rFonts w:cs="Times New Roman"/>
                <w:kern w:val="0"/>
                <w:sz w:val="18"/>
                <w:szCs w:val="18"/>
              </w:rPr>
              <w:t>95-47-6</w:t>
            </w:r>
          </w:p>
        </w:tc>
        <w:tc>
          <w:tcPr>
            <w:tcW w:w="1372" w:type="pct"/>
            <w:vAlign w:val="center"/>
          </w:tcPr>
          <w:p w14:paraId="6A80B081">
            <w:pPr>
              <w:snapToGrid w:val="0"/>
              <w:spacing w:line="240" w:lineRule="auto"/>
              <w:ind w:firstLine="0" w:firstLineChars="0"/>
              <w:jc w:val="center"/>
              <w:rPr>
                <w:rFonts w:cs="Times New Roman"/>
                <w:kern w:val="0"/>
                <w:sz w:val="18"/>
                <w:szCs w:val="18"/>
              </w:rPr>
            </w:pPr>
            <w:r>
              <w:rPr>
                <w:rFonts w:cs="Times New Roman"/>
                <w:kern w:val="0"/>
                <w:sz w:val="18"/>
                <w:szCs w:val="18"/>
              </w:rPr>
              <w:t>640</w:t>
            </w:r>
          </w:p>
        </w:tc>
        <w:tc>
          <w:tcPr>
            <w:tcW w:w="1346" w:type="pct"/>
            <w:vAlign w:val="center"/>
          </w:tcPr>
          <w:p w14:paraId="39C62F00">
            <w:pPr>
              <w:snapToGrid w:val="0"/>
              <w:spacing w:line="240" w:lineRule="auto"/>
              <w:ind w:firstLine="0" w:firstLineChars="0"/>
              <w:jc w:val="center"/>
              <w:rPr>
                <w:rFonts w:cs="Times New Roman"/>
                <w:kern w:val="0"/>
                <w:sz w:val="18"/>
                <w:szCs w:val="18"/>
              </w:rPr>
            </w:pPr>
            <w:r>
              <w:rPr>
                <w:rFonts w:cs="Times New Roman"/>
                <w:kern w:val="0"/>
                <w:sz w:val="18"/>
                <w:szCs w:val="18"/>
              </w:rPr>
              <w:t>640</w:t>
            </w:r>
          </w:p>
        </w:tc>
      </w:tr>
      <w:tr w14:paraId="4CDAF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000" w:type="pct"/>
            <w:gridSpan w:val="5"/>
            <w:vAlign w:val="center"/>
          </w:tcPr>
          <w:p w14:paraId="43B91A8C">
            <w:pPr>
              <w:snapToGrid w:val="0"/>
              <w:spacing w:line="240" w:lineRule="auto"/>
              <w:ind w:firstLine="0" w:firstLineChars="0"/>
              <w:jc w:val="center"/>
              <w:rPr>
                <w:rFonts w:cs="Times New Roman"/>
                <w:kern w:val="0"/>
                <w:sz w:val="18"/>
                <w:szCs w:val="18"/>
              </w:rPr>
            </w:pPr>
            <w:r>
              <w:rPr>
                <w:rFonts w:cs="Times New Roman"/>
                <w:kern w:val="0"/>
                <w:sz w:val="18"/>
                <w:szCs w:val="18"/>
              </w:rPr>
              <w:t>半挥发性有机物</w:t>
            </w:r>
          </w:p>
        </w:tc>
      </w:tr>
      <w:tr w14:paraId="71CC0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23343E50">
            <w:pPr>
              <w:snapToGrid w:val="0"/>
              <w:spacing w:line="240" w:lineRule="auto"/>
              <w:ind w:firstLine="0" w:firstLineChars="0"/>
              <w:jc w:val="center"/>
              <w:rPr>
                <w:rFonts w:cs="Times New Roman"/>
                <w:kern w:val="0"/>
                <w:sz w:val="18"/>
                <w:szCs w:val="18"/>
              </w:rPr>
            </w:pPr>
            <w:r>
              <w:rPr>
                <w:rFonts w:cs="Times New Roman"/>
                <w:kern w:val="0"/>
                <w:sz w:val="18"/>
                <w:szCs w:val="18"/>
              </w:rPr>
              <w:t>35</w:t>
            </w:r>
          </w:p>
        </w:tc>
        <w:tc>
          <w:tcPr>
            <w:tcW w:w="1276" w:type="pct"/>
            <w:vAlign w:val="center"/>
          </w:tcPr>
          <w:p w14:paraId="4EE79CA0">
            <w:pPr>
              <w:snapToGrid w:val="0"/>
              <w:spacing w:line="240" w:lineRule="auto"/>
              <w:ind w:firstLine="0" w:firstLineChars="0"/>
              <w:jc w:val="center"/>
              <w:rPr>
                <w:rFonts w:cs="Times New Roman"/>
                <w:kern w:val="0"/>
                <w:sz w:val="18"/>
                <w:szCs w:val="18"/>
              </w:rPr>
            </w:pPr>
            <w:r>
              <w:rPr>
                <w:rFonts w:cs="Times New Roman"/>
                <w:kern w:val="0"/>
                <w:sz w:val="18"/>
                <w:szCs w:val="18"/>
              </w:rPr>
              <w:t>硝基苯</w:t>
            </w:r>
          </w:p>
        </w:tc>
        <w:tc>
          <w:tcPr>
            <w:tcW w:w="670" w:type="pct"/>
            <w:vAlign w:val="center"/>
          </w:tcPr>
          <w:p w14:paraId="668A7D55">
            <w:pPr>
              <w:snapToGrid w:val="0"/>
              <w:spacing w:line="240" w:lineRule="auto"/>
              <w:ind w:firstLine="0" w:firstLineChars="0"/>
              <w:jc w:val="center"/>
              <w:rPr>
                <w:rFonts w:cs="Times New Roman"/>
                <w:kern w:val="0"/>
                <w:sz w:val="18"/>
                <w:szCs w:val="18"/>
              </w:rPr>
            </w:pPr>
            <w:r>
              <w:rPr>
                <w:rFonts w:cs="Times New Roman"/>
                <w:kern w:val="0"/>
                <w:sz w:val="18"/>
                <w:szCs w:val="18"/>
              </w:rPr>
              <w:t>98-95-3</w:t>
            </w:r>
          </w:p>
        </w:tc>
        <w:tc>
          <w:tcPr>
            <w:tcW w:w="1372" w:type="pct"/>
            <w:vAlign w:val="center"/>
          </w:tcPr>
          <w:p w14:paraId="4F3BAF3D">
            <w:pPr>
              <w:snapToGrid w:val="0"/>
              <w:spacing w:line="240" w:lineRule="auto"/>
              <w:ind w:firstLine="0" w:firstLineChars="0"/>
              <w:jc w:val="center"/>
              <w:rPr>
                <w:rFonts w:cs="Times New Roman"/>
                <w:kern w:val="0"/>
                <w:sz w:val="18"/>
                <w:szCs w:val="18"/>
              </w:rPr>
            </w:pPr>
            <w:r>
              <w:rPr>
                <w:rFonts w:cs="Times New Roman"/>
                <w:kern w:val="0"/>
                <w:sz w:val="18"/>
                <w:szCs w:val="18"/>
              </w:rPr>
              <w:t>76</w:t>
            </w:r>
          </w:p>
        </w:tc>
        <w:tc>
          <w:tcPr>
            <w:tcW w:w="1346" w:type="pct"/>
            <w:vAlign w:val="center"/>
          </w:tcPr>
          <w:p w14:paraId="43923D8D">
            <w:pPr>
              <w:snapToGrid w:val="0"/>
              <w:spacing w:line="240" w:lineRule="auto"/>
              <w:ind w:firstLine="0" w:firstLineChars="0"/>
              <w:jc w:val="center"/>
              <w:rPr>
                <w:rFonts w:cs="Times New Roman"/>
                <w:kern w:val="0"/>
                <w:sz w:val="18"/>
                <w:szCs w:val="18"/>
              </w:rPr>
            </w:pPr>
            <w:r>
              <w:rPr>
                <w:rFonts w:cs="Times New Roman"/>
                <w:kern w:val="0"/>
                <w:sz w:val="18"/>
                <w:szCs w:val="18"/>
              </w:rPr>
              <w:t>760</w:t>
            </w:r>
          </w:p>
        </w:tc>
      </w:tr>
      <w:tr w14:paraId="37AEB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34C7C879">
            <w:pPr>
              <w:snapToGrid w:val="0"/>
              <w:spacing w:line="240" w:lineRule="auto"/>
              <w:ind w:firstLine="0" w:firstLineChars="0"/>
              <w:jc w:val="center"/>
              <w:rPr>
                <w:rFonts w:cs="Times New Roman"/>
                <w:kern w:val="0"/>
                <w:sz w:val="18"/>
                <w:szCs w:val="18"/>
              </w:rPr>
            </w:pPr>
            <w:r>
              <w:rPr>
                <w:rFonts w:cs="Times New Roman"/>
                <w:kern w:val="0"/>
                <w:sz w:val="18"/>
                <w:szCs w:val="18"/>
              </w:rPr>
              <w:t>36</w:t>
            </w:r>
          </w:p>
        </w:tc>
        <w:tc>
          <w:tcPr>
            <w:tcW w:w="1276" w:type="pct"/>
            <w:vAlign w:val="center"/>
          </w:tcPr>
          <w:p w14:paraId="38BDEC74">
            <w:pPr>
              <w:snapToGrid w:val="0"/>
              <w:spacing w:line="240" w:lineRule="auto"/>
              <w:ind w:firstLine="0" w:firstLineChars="0"/>
              <w:jc w:val="center"/>
              <w:rPr>
                <w:rFonts w:cs="Times New Roman"/>
                <w:kern w:val="0"/>
                <w:sz w:val="18"/>
                <w:szCs w:val="18"/>
              </w:rPr>
            </w:pPr>
            <w:r>
              <w:rPr>
                <w:rFonts w:cs="Times New Roman"/>
                <w:kern w:val="0"/>
                <w:sz w:val="18"/>
                <w:szCs w:val="18"/>
              </w:rPr>
              <w:t>苯胺</w:t>
            </w:r>
          </w:p>
        </w:tc>
        <w:tc>
          <w:tcPr>
            <w:tcW w:w="670" w:type="pct"/>
            <w:vAlign w:val="center"/>
          </w:tcPr>
          <w:p w14:paraId="1FBB824C">
            <w:pPr>
              <w:snapToGrid w:val="0"/>
              <w:spacing w:line="240" w:lineRule="auto"/>
              <w:ind w:firstLine="0" w:firstLineChars="0"/>
              <w:jc w:val="center"/>
              <w:rPr>
                <w:rFonts w:cs="Times New Roman"/>
                <w:kern w:val="0"/>
                <w:sz w:val="18"/>
                <w:szCs w:val="18"/>
              </w:rPr>
            </w:pPr>
            <w:r>
              <w:rPr>
                <w:rFonts w:cs="Times New Roman"/>
                <w:kern w:val="0"/>
                <w:sz w:val="18"/>
                <w:szCs w:val="18"/>
              </w:rPr>
              <w:t>62-53-3</w:t>
            </w:r>
          </w:p>
        </w:tc>
        <w:tc>
          <w:tcPr>
            <w:tcW w:w="1372" w:type="pct"/>
            <w:vAlign w:val="center"/>
          </w:tcPr>
          <w:p w14:paraId="3CCEDB32">
            <w:pPr>
              <w:snapToGrid w:val="0"/>
              <w:spacing w:line="240" w:lineRule="auto"/>
              <w:ind w:firstLine="0" w:firstLineChars="0"/>
              <w:jc w:val="center"/>
              <w:rPr>
                <w:rFonts w:cs="Times New Roman"/>
                <w:kern w:val="0"/>
                <w:sz w:val="18"/>
                <w:szCs w:val="18"/>
              </w:rPr>
            </w:pPr>
            <w:r>
              <w:rPr>
                <w:rFonts w:cs="Times New Roman"/>
                <w:kern w:val="0"/>
                <w:sz w:val="18"/>
                <w:szCs w:val="18"/>
              </w:rPr>
              <w:t>260</w:t>
            </w:r>
          </w:p>
        </w:tc>
        <w:tc>
          <w:tcPr>
            <w:tcW w:w="1346" w:type="pct"/>
            <w:vAlign w:val="center"/>
          </w:tcPr>
          <w:p w14:paraId="54BCE14F">
            <w:pPr>
              <w:snapToGrid w:val="0"/>
              <w:spacing w:line="240" w:lineRule="auto"/>
              <w:ind w:firstLine="0" w:firstLineChars="0"/>
              <w:jc w:val="center"/>
              <w:rPr>
                <w:rFonts w:cs="Times New Roman"/>
                <w:kern w:val="0"/>
                <w:sz w:val="18"/>
                <w:szCs w:val="18"/>
              </w:rPr>
            </w:pPr>
            <w:r>
              <w:rPr>
                <w:rFonts w:cs="Times New Roman"/>
                <w:kern w:val="0"/>
                <w:sz w:val="18"/>
                <w:szCs w:val="18"/>
              </w:rPr>
              <w:t>663</w:t>
            </w:r>
          </w:p>
        </w:tc>
      </w:tr>
      <w:tr w14:paraId="4CDFD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218F36CC">
            <w:pPr>
              <w:snapToGrid w:val="0"/>
              <w:spacing w:line="240" w:lineRule="auto"/>
              <w:ind w:firstLine="0" w:firstLineChars="0"/>
              <w:jc w:val="center"/>
              <w:rPr>
                <w:rFonts w:cs="Times New Roman"/>
                <w:kern w:val="0"/>
                <w:sz w:val="18"/>
                <w:szCs w:val="18"/>
              </w:rPr>
            </w:pPr>
            <w:r>
              <w:rPr>
                <w:rFonts w:cs="Times New Roman"/>
                <w:kern w:val="0"/>
                <w:sz w:val="18"/>
                <w:szCs w:val="18"/>
              </w:rPr>
              <w:t>37</w:t>
            </w:r>
          </w:p>
        </w:tc>
        <w:tc>
          <w:tcPr>
            <w:tcW w:w="1276" w:type="pct"/>
            <w:vAlign w:val="center"/>
          </w:tcPr>
          <w:p w14:paraId="36DA4C46">
            <w:pPr>
              <w:snapToGrid w:val="0"/>
              <w:spacing w:line="240" w:lineRule="auto"/>
              <w:ind w:firstLine="0" w:firstLineChars="0"/>
              <w:jc w:val="center"/>
              <w:rPr>
                <w:rFonts w:cs="Times New Roman"/>
                <w:kern w:val="0"/>
                <w:sz w:val="18"/>
                <w:szCs w:val="18"/>
              </w:rPr>
            </w:pPr>
            <w:r>
              <w:rPr>
                <w:rFonts w:cs="Times New Roman"/>
                <w:kern w:val="0"/>
                <w:sz w:val="18"/>
                <w:szCs w:val="18"/>
              </w:rPr>
              <w:t>2-氯酚</w:t>
            </w:r>
          </w:p>
        </w:tc>
        <w:tc>
          <w:tcPr>
            <w:tcW w:w="670" w:type="pct"/>
            <w:vAlign w:val="center"/>
          </w:tcPr>
          <w:p w14:paraId="50B86FCE">
            <w:pPr>
              <w:snapToGrid w:val="0"/>
              <w:spacing w:line="240" w:lineRule="auto"/>
              <w:ind w:firstLine="0" w:firstLineChars="0"/>
              <w:jc w:val="center"/>
              <w:rPr>
                <w:rFonts w:cs="Times New Roman"/>
                <w:kern w:val="0"/>
                <w:sz w:val="18"/>
                <w:szCs w:val="18"/>
              </w:rPr>
            </w:pPr>
            <w:r>
              <w:rPr>
                <w:rFonts w:cs="Times New Roman"/>
                <w:kern w:val="0"/>
                <w:sz w:val="18"/>
                <w:szCs w:val="18"/>
              </w:rPr>
              <w:t>95-57-8</w:t>
            </w:r>
          </w:p>
        </w:tc>
        <w:tc>
          <w:tcPr>
            <w:tcW w:w="1372" w:type="pct"/>
            <w:vAlign w:val="center"/>
          </w:tcPr>
          <w:p w14:paraId="5294A426">
            <w:pPr>
              <w:snapToGrid w:val="0"/>
              <w:spacing w:line="240" w:lineRule="auto"/>
              <w:ind w:firstLine="0" w:firstLineChars="0"/>
              <w:jc w:val="center"/>
              <w:rPr>
                <w:rFonts w:cs="Times New Roman"/>
                <w:kern w:val="0"/>
                <w:sz w:val="18"/>
                <w:szCs w:val="18"/>
              </w:rPr>
            </w:pPr>
            <w:r>
              <w:rPr>
                <w:rFonts w:cs="Times New Roman"/>
                <w:kern w:val="0"/>
                <w:sz w:val="18"/>
                <w:szCs w:val="18"/>
              </w:rPr>
              <w:t>2256</w:t>
            </w:r>
          </w:p>
        </w:tc>
        <w:tc>
          <w:tcPr>
            <w:tcW w:w="1346" w:type="pct"/>
            <w:vAlign w:val="center"/>
          </w:tcPr>
          <w:p w14:paraId="26ED8F93">
            <w:pPr>
              <w:snapToGrid w:val="0"/>
              <w:spacing w:line="240" w:lineRule="auto"/>
              <w:ind w:firstLine="0" w:firstLineChars="0"/>
              <w:jc w:val="center"/>
              <w:rPr>
                <w:rFonts w:cs="Times New Roman"/>
                <w:kern w:val="0"/>
                <w:sz w:val="18"/>
                <w:szCs w:val="18"/>
              </w:rPr>
            </w:pPr>
            <w:r>
              <w:rPr>
                <w:rFonts w:cs="Times New Roman"/>
                <w:kern w:val="0"/>
                <w:sz w:val="18"/>
                <w:szCs w:val="18"/>
              </w:rPr>
              <w:t>4500</w:t>
            </w:r>
          </w:p>
        </w:tc>
      </w:tr>
      <w:tr w14:paraId="51C88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0414A606">
            <w:pPr>
              <w:snapToGrid w:val="0"/>
              <w:spacing w:line="240" w:lineRule="auto"/>
              <w:ind w:firstLine="0" w:firstLineChars="0"/>
              <w:jc w:val="center"/>
              <w:rPr>
                <w:rFonts w:cs="Times New Roman"/>
                <w:kern w:val="0"/>
                <w:sz w:val="18"/>
                <w:szCs w:val="18"/>
              </w:rPr>
            </w:pPr>
            <w:r>
              <w:rPr>
                <w:rFonts w:cs="Times New Roman"/>
                <w:kern w:val="0"/>
                <w:sz w:val="18"/>
                <w:szCs w:val="18"/>
              </w:rPr>
              <w:t>38</w:t>
            </w:r>
          </w:p>
        </w:tc>
        <w:tc>
          <w:tcPr>
            <w:tcW w:w="1276" w:type="pct"/>
            <w:vAlign w:val="center"/>
          </w:tcPr>
          <w:p w14:paraId="0DE40C96">
            <w:pPr>
              <w:snapToGrid w:val="0"/>
              <w:spacing w:line="240" w:lineRule="auto"/>
              <w:ind w:firstLine="0" w:firstLineChars="0"/>
              <w:jc w:val="center"/>
              <w:rPr>
                <w:rFonts w:cs="Times New Roman"/>
                <w:kern w:val="0"/>
                <w:sz w:val="18"/>
                <w:szCs w:val="18"/>
              </w:rPr>
            </w:pPr>
            <w:r>
              <w:rPr>
                <w:rFonts w:cs="Times New Roman"/>
                <w:kern w:val="0"/>
                <w:sz w:val="18"/>
                <w:szCs w:val="18"/>
              </w:rPr>
              <w:t>苯并[a]蒽</w:t>
            </w:r>
          </w:p>
        </w:tc>
        <w:tc>
          <w:tcPr>
            <w:tcW w:w="670" w:type="pct"/>
            <w:vAlign w:val="center"/>
          </w:tcPr>
          <w:p w14:paraId="616185C1">
            <w:pPr>
              <w:snapToGrid w:val="0"/>
              <w:spacing w:line="240" w:lineRule="auto"/>
              <w:ind w:firstLine="0" w:firstLineChars="0"/>
              <w:jc w:val="center"/>
              <w:rPr>
                <w:rFonts w:cs="Times New Roman"/>
                <w:kern w:val="0"/>
                <w:sz w:val="18"/>
                <w:szCs w:val="18"/>
              </w:rPr>
            </w:pPr>
            <w:r>
              <w:rPr>
                <w:rFonts w:cs="Times New Roman"/>
                <w:kern w:val="0"/>
                <w:sz w:val="18"/>
                <w:szCs w:val="18"/>
              </w:rPr>
              <w:t>56-55-3</w:t>
            </w:r>
          </w:p>
        </w:tc>
        <w:tc>
          <w:tcPr>
            <w:tcW w:w="1372" w:type="pct"/>
            <w:vAlign w:val="center"/>
          </w:tcPr>
          <w:p w14:paraId="64F3CC39">
            <w:pPr>
              <w:snapToGrid w:val="0"/>
              <w:spacing w:line="240" w:lineRule="auto"/>
              <w:ind w:firstLine="0" w:firstLineChars="0"/>
              <w:jc w:val="center"/>
              <w:rPr>
                <w:rFonts w:cs="Times New Roman"/>
                <w:kern w:val="0"/>
                <w:sz w:val="18"/>
                <w:szCs w:val="18"/>
              </w:rPr>
            </w:pPr>
            <w:r>
              <w:rPr>
                <w:rFonts w:cs="Times New Roman"/>
                <w:kern w:val="0"/>
                <w:sz w:val="18"/>
                <w:szCs w:val="18"/>
              </w:rPr>
              <w:t>15</w:t>
            </w:r>
          </w:p>
        </w:tc>
        <w:tc>
          <w:tcPr>
            <w:tcW w:w="1346" w:type="pct"/>
            <w:vAlign w:val="center"/>
          </w:tcPr>
          <w:p w14:paraId="2D1C23F1">
            <w:pPr>
              <w:snapToGrid w:val="0"/>
              <w:spacing w:line="240" w:lineRule="auto"/>
              <w:ind w:firstLine="0" w:firstLineChars="0"/>
              <w:jc w:val="center"/>
              <w:rPr>
                <w:rFonts w:cs="Times New Roman"/>
                <w:kern w:val="0"/>
                <w:sz w:val="18"/>
                <w:szCs w:val="18"/>
              </w:rPr>
            </w:pPr>
            <w:r>
              <w:rPr>
                <w:rFonts w:cs="Times New Roman"/>
                <w:kern w:val="0"/>
                <w:sz w:val="18"/>
                <w:szCs w:val="18"/>
              </w:rPr>
              <w:t>151</w:t>
            </w:r>
          </w:p>
        </w:tc>
      </w:tr>
      <w:tr w14:paraId="2C8A0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3E82DB2F">
            <w:pPr>
              <w:snapToGrid w:val="0"/>
              <w:spacing w:line="240" w:lineRule="auto"/>
              <w:ind w:firstLine="0" w:firstLineChars="0"/>
              <w:jc w:val="center"/>
              <w:rPr>
                <w:rFonts w:cs="Times New Roman"/>
                <w:kern w:val="0"/>
                <w:sz w:val="18"/>
                <w:szCs w:val="18"/>
              </w:rPr>
            </w:pPr>
            <w:r>
              <w:rPr>
                <w:rFonts w:cs="Times New Roman"/>
                <w:kern w:val="0"/>
                <w:sz w:val="18"/>
                <w:szCs w:val="18"/>
              </w:rPr>
              <w:t>39</w:t>
            </w:r>
          </w:p>
        </w:tc>
        <w:tc>
          <w:tcPr>
            <w:tcW w:w="1276" w:type="pct"/>
            <w:vAlign w:val="center"/>
          </w:tcPr>
          <w:p w14:paraId="4012ED8E">
            <w:pPr>
              <w:snapToGrid w:val="0"/>
              <w:spacing w:line="240" w:lineRule="auto"/>
              <w:ind w:firstLine="0" w:firstLineChars="0"/>
              <w:jc w:val="center"/>
              <w:rPr>
                <w:rFonts w:cs="Times New Roman"/>
                <w:kern w:val="0"/>
                <w:sz w:val="18"/>
                <w:szCs w:val="18"/>
              </w:rPr>
            </w:pPr>
            <w:r>
              <w:rPr>
                <w:rFonts w:cs="Times New Roman"/>
                <w:kern w:val="0"/>
                <w:sz w:val="18"/>
                <w:szCs w:val="18"/>
              </w:rPr>
              <w:t>苯并[a]芘</w:t>
            </w:r>
          </w:p>
        </w:tc>
        <w:tc>
          <w:tcPr>
            <w:tcW w:w="670" w:type="pct"/>
            <w:vAlign w:val="center"/>
          </w:tcPr>
          <w:p w14:paraId="4DCC9D18">
            <w:pPr>
              <w:snapToGrid w:val="0"/>
              <w:spacing w:line="240" w:lineRule="auto"/>
              <w:ind w:firstLine="0" w:firstLineChars="0"/>
              <w:jc w:val="center"/>
              <w:rPr>
                <w:rFonts w:cs="Times New Roman"/>
                <w:kern w:val="0"/>
                <w:sz w:val="18"/>
                <w:szCs w:val="18"/>
              </w:rPr>
            </w:pPr>
            <w:r>
              <w:rPr>
                <w:rFonts w:cs="Times New Roman"/>
                <w:kern w:val="0"/>
                <w:sz w:val="18"/>
                <w:szCs w:val="18"/>
              </w:rPr>
              <w:t>50-32-8</w:t>
            </w:r>
          </w:p>
        </w:tc>
        <w:tc>
          <w:tcPr>
            <w:tcW w:w="1372" w:type="pct"/>
            <w:vAlign w:val="center"/>
          </w:tcPr>
          <w:p w14:paraId="518C6E19">
            <w:pPr>
              <w:snapToGrid w:val="0"/>
              <w:spacing w:line="240" w:lineRule="auto"/>
              <w:ind w:firstLine="0" w:firstLineChars="0"/>
              <w:jc w:val="center"/>
              <w:rPr>
                <w:rFonts w:cs="Times New Roman"/>
                <w:kern w:val="0"/>
                <w:sz w:val="18"/>
                <w:szCs w:val="18"/>
              </w:rPr>
            </w:pPr>
            <w:r>
              <w:rPr>
                <w:rFonts w:cs="Times New Roman"/>
                <w:kern w:val="0"/>
                <w:sz w:val="18"/>
                <w:szCs w:val="18"/>
              </w:rPr>
              <w:t>1. 5</w:t>
            </w:r>
          </w:p>
        </w:tc>
        <w:tc>
          <w:tcPr>
            <w:tcW w:w="1346" w:type="pct"/>
            <w:vAlign w:val="center"/>
          </w:tcPr>
          <w:p w14:paraId="112F504C">
            <w:pPr>
              <w:snapToGrid w:val="0"/>
              <w:spacing w:line="240" w:lineRule="auto"/>
              <w:ind w:firstLine="0" w:firstLineChars="0"/>
              <w:jc w:val="center"/>
              <w:rPr>
                <w:rFonts w:cs="Times New Roman"/>
                <w:kern w:val="0"/>
                <w:sz w:val="18"/>
                <w:szCs w:val="18"/>
              </w:rPr>
            </w:pPr>
            <w:r>
              <w:rPr>
                <w:rFonts w:cs="Times New Roman"/>
                <w:kern w:val="0"/>
                <w:sz w:val="18"/>
                <w:szCs w:val="18"/>
              </w:rPr>
              <w:t>15</w:t>
            </w:r>
          </w:p>
        </w:tc>
      </w:tr>
      <w:tr w14:paraId="15ABB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186EFD97">
            <w:pPr>
              <w:snapToGrid w:val="0"/>
              <w:spacing w:line="240" w:lineRule="auto"/>
              <w:ind w:firstLine="0" w:firstLineChars="0"/>
              <w:jc w:val="center"/>
              <w:rPr>
                <w:rFonts w:cs="Times New Roman"/>
                <w:kern w:val="0"/>
                <w:sz w:val="18"/>
                <w:szCs w:val="18"/>
              </w:rPr>
            </w:pPr>
            <w:r>
              <w:rPr>
                <w:rFonts w:cs="Times New Roman"/>
                <w:kern w:val="0"/>
                <w:sz w:val="18"/>
                <w:szCs w:val="18"/>
              </w:rPr>
              <w:t>40</w:t>
            </w:r>
          </w:p>
        </w:tc>
        <w:tc>
          <w:tcPr>
            <w:tcW w:w="1276" w:type="pct"/>
            <w:vAlign w:val="center"/>
          </w:tcPr>
          <w:p w14:paraId="13179EE3">
            <w:pPr>
              <w:snapToGrid w:val="0"/>
              <w:spacing w:line="240" w:lineRule="auto"/>
              <w:ind w:firstLine="0" w:firstLineChars="0"/>
              <w:jc w:val="center"/>
              <w:rPr>
                <w:rFonts w:cs="Times New Roman"/>
                <w:kern w:val="0"/>
                <w:sz w:val="18"/>
                <w:szCs w:val="18"/>
              </w:rPr>
            </w:pPr>
            <w:r>
              <w:rPr>
                <w:rFonts w:cs="Times New Roman"/>
                <w:kern w:val="0"/>
                <w:sz w:val="18"/>
                <w:szCs w:val="18"/>
              </w:rPr>
              <w:t>苯并[b]荧蒽</w:t>
            </w:r>
          </w:p>
        </w:tc>
        <w:tc>
          <w:tcPr>
            <w:tcW w:w="670" w:type="pct"/>
            <w:vAlign w:val="center"/>
          </w:tcPr>
          <w:p w14:paraId="5FB27BC5">
            <w:pPr>
              <w:snapToGrid w:val="0"/>
              <w:spacing w:line="240" w:lineRule="auto"/>
              <w:ind w:firstLine="0" w:firstLineChars="0"/>
              <w:jc w:val="center"/>
              <w:rPr>
                <w:rFonts w:cs="Times New Roman"/>
                <w:kern w:val="0"/>
                <w:sz w:val="18"/>
                <w:szCs w:val="18"/>
              </w:rPr>
            </w:pPr>
            <w:r>
              <w:rPr>
                <w:rFonts w:cs="Times New Roman"/>
                <w:kern w:val="0"/>
                <w:sz w:val="18"/>
                <w:szCs w:val="18"/>
              </w:rPr>
              <w:t>205-99-2</w:t>
            </w:r>
          </w:p>
        </w:tc>
        <w:tc>
          <w:tcPr>
            <w:tcW w:w="1372" w:type="pct"/>
            <w:vAlign w:val="center"/>
          </w:tcPr>
          <w:p w14:paraId="365CACF9">
            <w:pPr>
              <w:snapToGrid w:val="0"/>
              <w:spacing w:line="240" w:lineRule="auto"/>
              <w:ind w:firstLine="0" w:firstLineChars="0"/>
              <w:jc w:val="center"/>
              <w:rPr>
                <w:rFonts w:cs="Times New Roman"/>
                <w:kern w:val="0"/>
                <w:sz w:val="18"/>
                <w:szCs w:val="18"/>
              </w:rPr>
            </w:pPr>
            <w:r>
              <w:rPr>
                <w:rFonts w:cs="Times New Roman"/>
                <w:kern w:val="0"/>
                <w:sz w:val="18"/>
                <w:szCs w:val="18"/>
              </w:rPr>
              <w:t>15</w:t>
            </w:r>
          </w:p>
        </w:tc>
        <w:tc>
          <w:tcPr>
            <w:tcW w:w="1346" w:type="pct"/>
            <w:vAlign w:val="center"/>
          </w:tcPr>
          <w:p w14:paraId="502A77C5">
            <w:pPr>
              <w:snapToGrid w:val="0"/>
              <w:spacing w:line="240" w:lineRule="auto"/>
              <w:ind w:firstLine="0" w:firstLineChars="0"/>
              <w:jc w:val="center"/>
              <w:rPr>
                <w:rFonts w:cs="Times New Roman"/>
                <w:kern w:val="0"/>
                <w:sz w:val="18"/>
                <w:szCs w:val="18"/>
              </w:rPr>
            </w:pPr>
            <w:r>
              <w:rPr>
                <w:rFonts w:cs="Times New Roman"/>
                <w:kern w:val="0"/>
                <w:sz w:val="18"/>
                <w:szCs w:val="18"/>
              </w:rPr>
              <w:t>151</w:t>
            </w:r>
          </w:p>
        </w:tc>
      </w:tr>
      <w:tr w14:paraId="7736F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48109D47">
            <w:pPr>
              <w:snapToGrid w:val="0"/>
              <w:spacing w:line="240" w:lineRule="auto"/>
              <w:ind w:firstLine="0" w:firstLineChars="0"/>
              <w:jc w:val="center"/>
              <w:rPr>
                <w:rFonts w:cs="Times New Roman"/>
                <w:kern w:val="0"/>
                <w:sz w:val="18"/>
                <w:szCs w:val="18"/>
              </w:rPr>
            </w:pPr>
            <w:r>
              <w:rPr>
                <w:rFonts w:cs="Times New Roman"/>
                <w:kern w:val="0"/>
                <w:sz w:val="18"/>
                <w:szCs w:val="18"/>
              </w:rPr>
              <w:t>41</w:t>
            </w:r>
          </w:p>
        </w:tc>
        <w:tc>
          <w:tcPr>
            <w:tcW w:w="1276" w:type="pct"/>
            <w:vAlign w:val="center"/>
          </w:tcPr>
          <w:p w14:paraId="6606BD66">
            <w:pPr>
              <w:snapToGrid w:val="0"/>
              <w:spacing w:line="240" w:lineRule="auto"/>
              <w:ind w:firstLine="0" w:firstLineChars="0"/>
              <w:jc w:val="center"/>
              <w:rPr>
                <w:rFonts w:cs="Times New Roman"/>
                <w:kern w:val="0"/>
                <w:sz w:val="18"/>
                <w:szCs w:val="18"/>
              </w:rPr>
            </w:pPr>
            <w:r>
              <w:rPr>
                <w:rFonts w:cs="Times New Roman"/>
                <w:kern w:val="0"/>
                <w:sz w:val="18"/>
                <w:szCs w:val="18"/>
              </w:rPr>
              <w:t>苯并[k]荧蒽</w:t>
            </w:r>
          </w:p>
        </w:tc>
        <w:tc>
          <w:tcPr>
            <w:tcW w:w="670" w:type="pct"/>
            <w:vAlign w:val="center"/>
          </w:tcPr>
          <w:p w14:paraId="52EA076B">
            <w:pPr>
              <w:snapToGrid w:val="0"/>
              <w:spacing w:line="240" w:lineRule="auto"/>
              <w:ind w:firstLine="0" w:firstLineChars="0"/>
              <w:jc w:val="center"/>
              <w:rPr>
                <w:rFonts w:cs="Times New Roman"/>
                <w:kern w:val="0"/>
                <w:sz w:val="18"/>
                <w:szCs w:val="18"/>
              </w:rPr>
            </w:pPr>
            <w:r>
              <w:rPr>
                <w:rFonts w:cs="Times New Roman"/>
                <w:kern w:val="0"/>
                <w:sz w:val="18"/>
                <w:szCs w:val="18"/>
              </w:rPr>
              <w:t>207-08-9</w:t>
            </w:r>
          </w:p>
        </w:tc>
        <w:tc>
          <w:tcPr>
            <w:tcW w:w="1372" w:type="pct"/>
            <w:vAlign w:val="center"/>
          </w:tcPr>
          <w:p w14:paraId="70A11EE6">
            <w:pPr>
              <w:snapToGrid w:val="0"/>
              <w:spacing w:line="240" w:lineRule="auto"/>
              <w:ind w:firstLine="0" w:firstLineChars="0"/>
              <w:jc w:val="center"/>
              <w:rPr>
                <w:rFonts w:cs="Times New Roman"/>
                <w:kern w:val="0"/>
                <w:sz w:val="18"/>
                <w:szCs w:val="18"/>
              </w:rPr>
            </w:pPr>
            <w:r>
              <w:rPr>
                <w:rFonts w:cs="Times New Roman"/>
                <w:kern w:val="0"/>
                <w:sz w:val="18"/>
                <w:szCs w:val="18"/>
              </w:rPr>
              <w:t>151</w:t>
            </w:r>
          </w:p>
        </w:tc>
        <w:tc>
          <w:tcPr>
            <w:tcW w:w="1346" w:type="pct"/>
            <w:vAlign w:val="center"/>
          </w:tcPr>
          <w:p w14:paraId="290103C8">
            <w:pPr>
              <w:snapToGrid w:val="0"/>
              <w:spacing w:line="240" w:lineRule="auto"/>
              <w:ind w:firstLine="0" w:firstLineChars="0"/>
              <w:jc w:val="center"/>
              <w:rPr>
                <w:rFonts w:cs="Times New Roman"/>
                <w:kern w:val="0"/>
                <w:sz w:val="18"/>
                <w:szCs w:val="18"/>
              </w:rPr>
            </w:pPr>
            <w:r>
              <w:rPr>
                <w:rFonts w:cs="Times New Roman"/>
                <w:kern w:val="0"/>
                <w:sz w:val="18"/>
                <w:szCs w:val="18"/>
              </w:rPr>
              <w:t>1500</w:t>
            </w:r>
          </w:p>
        </w:tc>
      </w:tr>
      <w:tr w14:paraId="324F5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2C0AF3A3">
            <w:pPr>
              <w:snapToGrid w:val="0"/>
              <w:spacing w:line="240" w:lineRule="auto"/>
              <w:ind w:firstLine="0" w:firstLineChars="0"/>
              <w:jc w:val="center"/>
              <w:rPr>
                <w:rFonts w:cs="Times New Roman"/>
                <w:kern w:val="0"/>
                <w:sz w:val="18"/>
                <w:szCs w:val="18"/>
              </w:rPr>
            </w:pPr>
            <w:r>
              <w:rPr>
                <w:rFonts w:cs="Times New Roman"/>
                <w:kern w:val="0"/>
                <w:sz w:val="18"/>
                <w:szCs w:val="18"/>
              </w:rPr>
              <w:t>42</w:t>
            </w:r>
          </w:p>
        </w:tc>
        <w:tc>
          <w:tcPr>
            <w:tcW w:w="1276" w:type="pct"/>
            <w:vAlign w:val="center"/>
          </w:tcPr>
          <w:p w14:paraId="37F417DD">
            <w:pPr>
              <w:snapToGrid w:val="0"/>
              <w:spacing w:line="240" w:lineRule="auto"/>
              <w:ind w:firstLine="0" w:firstLineChars="0"/>
              <w:jc w:val="center"/>
              <w:rPr>
                <w:rFonts w:cs="Times New Roman"/>
                <w:kern w:val="0"/>
                <w:sz w:val="18"/>
                <w:szCs w:val="18"/>
              </w:rPr>
            </w:pPr>
            <w:r>
              <w:rPr>
                <w:rFonts w:cs="Times New Roman"/>
                <w:kern w:val="0"/>
                <w:sz w:val="18"/>
                <w:szCs w:val="18"/>
              </w:rPr>
              <w:t>䓛</w:t>
            </w:r>
          </w:p>
        </w:tc>
        <w:tc>
          <w:tcPr>
            <w:tcW w:w="670" w:type="pct"/>
            <w:vAlign w:val="center"/>
          </w:tcPr>
          <w:p w14:paraId="0D450284">
            <w:pPr>
              <w:snapToGrid w:val="0"/>
              <w:spacing w:line="240" w:lineRule="auto"/>
              <w:ind w:firstLine="0" w:firstLineChars="0"/>
              <w:jc w:val="center"/>
              <w:rPr>
                <w:rFonts w:cs="Times New Roman"/>
                <w:kern w:val="0"/>
                <w:sz w:val="18"/>
                <w:szCs w:val="18"/>
              </w:rPr>
            </w:pPr>
            <w:r>
              <w:rPr>
                <w:rFonts w:cs="Times New Roman"/>
                <w:kern w:val="0"/>
                <w:sz w:val="18"/>
                <w:szCs w:val="18"/>
              </w:rPr>
              <w:t>218-01-9</w:t>
            </w:r>
          </w:p>
        </w:tc>
        <w:tc>
          <w:tcPr>
            <w:tcW w:w="1372" w:type="pct"/>
            <w:vAlign w:val="center"/>
          </w:tcPr>
          <w:p w14:paraId="156D6D03">
            <w:pPr>
              <w:snapToGrid w:val="0"/>
              <w:spacing w:line="240" w:lineRule="auto"/>
              <w:ind w:firstLine="0" w:firstLineChars="0"/>
              <w:jc w:val="center"/>
              <w:rPr>
                <w:rFonts w:cs="Times New Roman"/>
                <w:kern w:val="0"/>
                <w:sz w:val="18"/>
                <w:szCs w:val="18"/>
              </w:rPr>
            </w:pPr>
            <w:r>
              <w:rPr>
                <w:rFonts w:cs="Times New Roman"/>
                <w:kern w:val="0"/>
                <w:sz w:val="18"/>
                <w:szCs w:val="18"/>
              </w:rPr>
              <w:t>1293</w:t>
            </w:r>
          </w:p>
        </w:tc>
        <w:tc>
          <w:tcPr>
            <w:tcW w:w="1346" w:type="pct"/>
            <w:vAlign w:val="center"/>
          </w:tcPr>
          <w:p w14:paraId="4DB0637C">
            <w:pPr>
              <w:snapToGrid w:val="0"/>
              <w:spacing w:line="240" w:lineRule="auto"/>
              <w:ind w:firstLine="0" w:firstLineChars="0"/>
              <w:jc w:val="center"/>
              <w:rPr>
                <w:rFonts w:cs="Times New Roman"/>
                <w:kern w:val="0"/>
                <w:sz w:val="18"/>
                <w:szCs w:val="18"/>
              </w:rPr>
            </w:pPr>
            <w:r>
              <w:rPr>
                <w:rFonts w:cs="Times New Roman"/>
                <w:kern w:val="0"/>
                <w:sz w:val="18"/>
                <w:szCs w:val="18"/>
              </w:rPr>
              <w:t>12900</w:t>
            </w:r>
          </w:p>
        </w:tc>
      </w:tr>
      <w:tr w14:paraId="37AB8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1D6BB55D">
            <w:pPr>
              <w:snapToGrid w:val="0"/>
              <w:spacing w:line="240" w:lineRule="auto"/>
              <w:ind w:firstLine="0" w:firstLineChars="0"/>
              <w:jc w:val="center"/>
              <w:rPr>
                <w:rFonts w:cs="Times New Roman"/>
                <w:kern w:val="0"/>
                <w:sz w:val="18"/>
                <w:szCs w:val="18"/>
              </w:rPr>
            </w:pPr>
            <w:r>
              <w:rPr>
                <w:rFonts w:cs="Times New Roman"/>
                <w:kern w:val="0"/>
                <w:sz w:val="18"/>
                <w:szCs w:val="18"/>
              </w:rPr>
              <w:t>43</w:t>
            </w:r>
          </w:p>
        </w:tc>
        <w:tc>
          <w:tcPr>
            <w:tcW w:w="1276" w:type="pct"/>
            <w:vAlign w:val="center"/>
          </w:tcPr>
          <w:p w14:paraId="2B8CD7B8">
            <w:pPr>
              <w:snapToGrid w:val="0"/>
              <w:spacing w:line="240" w:lineRule="auto"/>
              <w:ind w:firstLine="0" w:firstLineChars="0"/>
              <w:jc w:val="center"/>
              <w:rPr>
                <w:rFonts w:cs="Times New Roman"/>
                <w:kern w:val="0"/>
                <w:sz w:val="18"/>
                <w:szCs w:val="18"/>
              </w:rPr>
            </w:pPr>
            <w:r>
              <w:rPr>
                <w:rFonts w:cs="Times New Roman"/>
                <w:kern w:val="0"/>
                <w:sz w:val="18"/>
                <w:szCs w:val="18"/>
              </w:rPr>
              <w:t>二苯并[a,h]蒽</w:t>
            </w:r>
          </w:p>
        </w:tc>
        <w:tc>
          <w:tcPr>
            <w:tcW w:w="670" w:type="pct"/>
            <w:vAlign w:val="center"/>
          </w:tcPr>
          <w:p w14:paraId="507A81EF">
            <w:pPr>
              <w:snapToGrid w:val="0"/>
              <w:spacing w:line="240" w:lineRule="auto"/>
              <w:ind w:firstLine="0" w:firstLineChars="0"/>
              <w:jc w:val="center"/>
              <w:rPr>
                <w:rFonts w:cs="Times New Roman"/>
                <w:kern w:val="0"/>
                <w:sz w:val="18"/>
                <w:szCs w:val="18"/>
              </w:rPr>
            </w:pPr>
            <w:r>
              <w:rPr>
                <w:rFonts w:cs="Times New Roman"/>
                <w:kern w:val="0"/>
                <w:sz w:val="18"/>
                <w:szCs w:val="18"/>
              </w:rPr>
              <w:t>53-70-3</w:t>
            </w:r>
          </w:p>
        </w:tc>
        <w:tc>
          <w:tcPr>
            <w:tcW w:w="1372" w:type="pct"/>
            <w:vAlign w:val="center"/>
          </w:tcPr>
          <w:p w14:paraId="097F558B">
            <w:pPr>
              <w:snapToGrid w:val="0"/>
              <w:spacing w:line="240" w:lineRule="auto"/>
              <w:ind w:firstLine="0" w:firstLineChars="0"/>
              <w:jc w:val="center"/>
              <w:rPr>
                <w:rFonts w:cs="Times New Roman"/>
                <w:kern w:val="0"/>
                <w:sz w:val="18"/>
                <w:szCs w:val="18"/>
              </w:rPr>
            </w:pPr>
            <w:r>
              <w:rPr>
                <w:rFonts w:cs="Times New Roman"/>
                <w:kern w:val="0"/>
                <w:sz w:val="18"/>
                <w:szCs w:val="18"/>
              </w:rPr>
              <w:t>1.5</w:t>
            </w:r>
          </w:p>
        </w:tc>
        <w:tc>
          <w:tcPr>
            <w:tcW w:w="1346" w:type="pct"/>
            <w:vAlign w:val="center"/>
          </w:tcPr>
          <w:p w14:paraId="6760A364">
            <w:pPr>
              <w:snapToGrid w:val="0"/>
              <w:spacing w:line="240" w:lineRule="auto"/>
              <w:ind w:firstLine="0" w:firstLineChars="0"/>
              <w:jc w:val="center"/>
              <w:rPr>
                <w:rFonts w:cs="Times New Roman"/>
                <w:kern w:val="0"/>
                <w:sz w:val="18"/>
                <w:szCs w:val="18"/>
              </w:rPr>
            </w:pPr>
            <w:r>
              <w:rPr>
                <w:rFonts w:cs="Times New Roman"/>
                <w:kern w:val="0"/>
                <w:sz w:val="18"/>
                <w:szCs w:val="18"/>
              </w:rPr>
              <w:t>15</w:t>
            </w:r>
          </w:p>
        </w:tc>
      </w:tr>
      <w:tr w14:paraId="6E552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39640051">
            <w:pPr>
              <w:snapToGrid w:val="0"/>
              <w:spacing w:line="240" w:lineRule="auto"/>
              <w:ind w:firstLine="0" w:firstLineChars="0"/>
              <w:jc w:val="center"/>
              <w:rPr>
                <w:rFonts w:cs="Times New Roman"/>
                <w:kern w:val="0"/>
                <w:sz w:val="18"/>
                <w:szCs w:val="18"/>
              </w:rPr>
            </w:pPr>
            <w:r>
              <w:rPr>
                <w:rFonts w:cs="Times New Roman"/>
                <w:kern w:val="0"/>
                <w:sz w:val="18"/>
                <w:szCs w:val="18"/>
              </w:rPr>
              <w:t>44</w:t>
            </w:r>
          </w:p>
        </w:tc>
        <w:tc>
          <w:tcPr>
            <w:tcW w:w="1276" w:type="pct"/>
            <w:vAlign w:val="center"/>
          </w:tcPr>
          <w:p w14:paraId="123E0AE1">
            <w:pPr>
              <w:snapToGrid w:val="0"/>
              <w:spacing w:line="240" w:lineRule="auto"/>
              <w:ind w:firstLine="0" w:firstLineChars="0"/>
              <w:jc w:val="center"/>
              <w:rPr>
                <w:rFonts w:cs="Times New Roman"/>
                <w:kern w:val="0"/>
                <w:sz w:val="18"/>
                <w:szCs w:val="18"/>
              </w:rPr>
            </w:pPr>
            <w:r>
              <w:rPr>
                <w:rFonts w:cs="Times New Roman"/>
                <w:kern w:val="0"/>
                <w:sz w:val="18"/>
                <w:szCs w:val="18"/>
              </w:rPr>
              <w:t>茚并[1,2,3-cd]芘</w:t>
            </w:r>
          </w:p>
        </w:tc>
        <w:tc>
          <w:tcPr>
            <w:tcW w:w="670" w:type="pct"/>
            <w:vAlign w:val="center"/>
          </w:tcPr>
          <w:p w14:paraId="32F9A1CE">
            <w:pPr>
              <w:snapToGrid w:val="0"/>
              <w:spacing w:line="240" w:lineRule="auto"/>
              <w:ind w:firstLine="0" w:firstLineChars="0"/>
              <w:jc w:val="center"/>
              <w:rPr>
                <w:rFonts w:cs="Times New Roman"/>
                <w:kern w:val="0"/>
                <w:sz w:val="18"/>
                <w:szCs w:val="18"/>
              </w:rPr>
            </w:pPr>
            <w:r>
              <w:rPr>
                <w:rFonts w:cs="Times New Roman"/>
                <w:kern w:val="0"/>
                <w:sz w:val="18"/>
                <w:szCs w:val="18"/>
              </w:rPr>
              <w:t>193-39-5</w:t>
            </w:r>
          </w:p>
        </w:tc>
        <w:tc>
          <w:tcPr>
            <w:tcW w:w="1372" w:type="pct"/>
            <w:vAlign w:val="center"/>
          </w:tcPr>
          <w:p w14:paraId="7E786138">
            <w:pPr>
              <w:snapToGrid w:val="0"/>
              <w:spacing w:line="240" w:lineRule="auto"/>
              <w:ind w:firstLine="0" w:firstLineChars="0"/>
              <w:jc w:val="center"/>
              <w:rPr>
                <w:rFonts w:cs="Times New Roman"/>
                <w:kern w:val="0"/>
                <w:sz w:val="18"/>
                <w:szCs w:val="18"/>
              </w:rPr>
            </w:pPr>
            <w:r>
              <w:rPr>
                <w:rFonts w:cs="Times New Roman"/>
                <w:kern w:val="0"/>
                <w:sz w:val="18"/>
                <w:szCs w:val="18"/>
              </w:rPr>
              <w:t>15</w:t>
            </w:r>
          </w:p>
        </w:tc>
        <w:tc>
          <w:tcPr>
            <w:tcW w:w="1346" w:type="pct"/>
            <w:vAlign w:val="center"/>
          </w:tcPr>
          <w:p w14:paraId="2E2A68C6">
            <w:pPr>
              <w:snapToGrid w:val="0"/>
              <w:spacing w:line="240" w:lineRule="auto"/>
              <w:ind w:firstLine="0" w:firstLineChars="0"/>
              <w:jc w:val="center"/>
              <w:rPr>
                <w:rFonts w:cs="Times New Roman"/>
                <w:kern w:val="0"/>
                <w:sz w:val="18"/>
                <w:szCs w:val="18"/>
              </w:rPr>
            </w:pPr>
            <w:r>
              <w:rPr>
                <w:rFonts w:cs="Times New Roman"/>
                <w:kern w:val="0"/>
                <w:sz w:val="18"/>
                <w:szCs w:val="18"/>
              </w:rPr>
              <w:t>151</w:t>
            </w:r>
          </w:p>
        </w:tc>
      </w:tr>
      <w:tr w14:paraId="4FE7D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32" w:type="pct"/>
            <w:vAlign w:val="center"/>
          </w:tcPr>
          <w:p w14:paraId="3482D0F0">
            <w:pPr>
              <w:snapToGrid w:val="0"/>
              <w:spacing w:line="240" w:lineRule="auto"/>
              <w:ind w:firstLine="0" w:firstLineChars="0"/>
              <w:jc w:val="center"/>
              <w:rPr>
                <w:rFonts w:cs="Times New Roman"/>
                <w:kern w:val="0"/>
                <w:sz w:val="18"/>
                <w:szCs w:val="18"/>
              </w:rPr>
            </w:pPr>
            <w:r>
              <w:rPr>
                <w:rFonts w:cs="Times New Roman"/>
                <w:kern w:val="0"/>
                <w:sz w:val="18"/>
                <w:szCs w:val="18"/>
              </w:rPr>
              <w:t>45</w:t>
            </w:r>
          </w:p>
        </w:tc>
        <w:tc>
          <w:tcPr>
            <w:tcW w:w="1276" w:type="pct"/>
            <w:vAlign w:val="center"/>
          </w:tcPr>
          <w:p w14:paraId="27988345">
            <w:pPr>
              <w:snapToGrid w:val="0"/>
              <w:spacing w:line="240" w:lineRule="auto"/>
              <w:ind w:firstLine="0" w:firstLineChars="0"/>
              <w:jc w:val="center"/>
              <w:rPr>
                <w:rFonts w:cs="Times New Roman"/>
                <w:kern w:val="0"/>
                <w:sz w:val="18"/>
                <w:szCs w:val="18"/>
              </w:rPr>
            </w:pPr>
            <w:r>
              <w:rPr>
                <w:rFonts w:cs="Times New Roman"/>
                <w:kern w:val="0"/>
                <w:sz w:val="18"/>
                <w:szCs w:val="18"/>
              </w:rPr>
              <w:t>萘</w:t>
            </w:r>
          </w:p>
        </w:tc>
        <w:tc>
          <w:tcPr>
            <w:tcW w:w="670" w:type="pct"/>
            <w:vAlign w:val="center"/>
          </w:tcPr>
          <w:p w14:paraId="500B50D6">
            <w:pPr>
              <w:snapToGrid w:val="0"/>
              <w:spacing w:line="240" w:lineRule="auto"/>
              <w:ind w:firstLine="0" w:firstLineChars="0"/>
              <w:jc w:val="center"/>
              <w:rPr>
                <w:rFonts w:cs="Times New Roman"/>
                <w:kern w:val="0"/>
                <w:sz w:val="18"/>
                <w:szCs w:val="18"/>
              </w:rPr>
            </w:pPr>
            <w:r>
              <w:rPr>
                <w:rFonts w:cs="Times New Roman"/>
                <w:kern w:val="0"/>
                <w:sz w:val="18"/>
                <w:szCs w:val="18"/>
              </w:rPr>
              <w:t>91-20-3</w:t>
            </w:r>
          </w:p>
        </w:tc>
        <w:tc>
          <w:tcPr>
            <w:tcW w:w="1372" w:type="pct"/>
            <w:vAlign w:val="center"/>
          </w:tcPr>
          <w:p w14:paraId="1B907968">
            <w:pPr>
              <w:snapToGrid w:val="0"/>
              <w:spacing w:line="240" w:lineRule="auto"/>
              <w:ind w:firstLine="0" w:firstLineChars="0"/>
              <w:jc w:val="center"/>
              <w:rPr>
                <w:rFonts w:cs="Times New Roman"/>
                <w:kern w:val="0"/>
                <w:sz w:val="18"/>
                <w:szCs w:val="18"/>
              </w:rPr>
            </w:pPr>
            <w:r>
              <w:rPr>
                <w:rFonts w:cs="Times New Roman"/>
                <w:kern w:val="0"/>
                <w:sz w:val="18"/>
                <w:szCs w:val="18"/>
              </w:rPr>
              <w:t>70</w:t>
            </w:r>
          </w:p>
        </w:tc>
        <w:tc>
          <w:tcPr>
            <w:tcW w:w="1346" w:type="pct"/>
            <w:vAlign w:val="center"/>
          </w:tcPr>
          <w:p w14:paraId="215A8BB7">
            <w:pPr>
              <w:snapToGrid w:val="0"/>
              <w:spacing w:line="240" w:lineRule="auto"/>
              <w:ind w:firstLine="0" w:firstLineChars="0"/>
              <w:jc w:val="center"/>
              <w:rPr>
                <w:rFonts w:cs="Times New Roman"/>
                <w:kern w:val="0"/>
                <w:sz w:val="18"/>
                <w:szCs w:val="18"/>
              </w:rPr>
            </w:pPr>
            <w:r>
              <w:rPr>
                <w:rFonts w:cs="Times New Roman"/>
                <w:kern w:val="0"/>
                <w:sz w:val="18"/>
                <w:szCs w:val="18"/>
              </w:rPr>
              <w:t>700</w:t>
            </w:r>
          </w:p>
        </w:tc>
      </w:tr>
      <w:tr w14:paraId="2CC4E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000" w:type="pct"/>
            <w:gridSpan w:val="5"/>
            <w:vAlign w:val="center"/>
          </w:tcPr>
          <w:p w14:paraId="0D5E31BB">
            <w:pPr>
              <w:snapToGrid w:val="0"/>
              <w:spacing w:line="240" w:lineRule="auto"/>
              <w:ind w:left="540" w:hanging="540" w:hangingChars="300"/>
              <w:rPr>
                <w:rFonts w:cs="Times New Roman"/>
                <w:kern w:val="0"/>
                <w:sz w:val="18"/>
                <w:szCs w:val="18"/>
              </w:rPr>
            </w:pPr>
            <w:r>
              <w:rPr>
                <w:rFonts w:cs="Times New Roman"/>
                <w:kern w:val="0"/>
                <w:sz w:val="18"/>
                <w:szCs w:val="18"/>
              </w:rPr>
              <w:t>注：①具体地块土壤中污染物检测含量超过筛选值，但等于或者低于土壤环境背景值（见3.6）水平的，不纳入污染地块管理。土壤环境背景值可参见附录A。</w:t>
            </w:r>
          </w:p>
        </w:tc>
      </w:tr>
    </w:tbl>
    <w:p w14:paraId="1253C7E5">
      <w:pPr>
        <w:spacing w:line="240" w:lineRule="auto"/>
        <w:ind w:firstLine="0" w:firstLineChars="0"/>
      </w:pPr>
    </w:p>
    <w:p w14:paraId="5180C8CE">
      <w:pPr>
        <w:pStyle w:val="4"/>
      </w:pPr>
      <w:bookmarkStart w:id="76" w:name="_Toc2135"/>
      <w:r>
        <w:rPr>
          <w:rFonts w:hint="eastAsia"/>
        </w:rPr>
        <w:t>其他</w:t>
      </w:r>
      <w:bookmarkEnd w:id="76"/>
    </w:p>
    <w:p w14:paraId="1EEC5366">
      <w:pPr>
        <w:ind w:firstLine="480"/>
      </w:pPr>
      <w:r>
        <w:t>（1）</w:t>
      </w:r>
      <w:r>
        <w:rPr>
          <w:rFonts w:hint="eastAsia"/>
        </w:rPr>
        <w:t>《一般工业固体废物贮存和填埋污染控制标准》(GB 18599-2020)；</w:t>
      </w:r>
    </w:p>
    <w:p w14:paraId="6E8736AC">
      <w:pPr>
        <w:ind w:firstLine="480"/>
      </w:pPr>
      <w:r>
        <w:t>（</w:t>
      </w:r>
      <w:r>
        <w:rPr>
          <w:rFonts w:hint="eastAsia"/>
        </w:rPr>
        <w:t>2</w:t>
      </w:r>
      <w:r>
        <w:t>）</w:t>
      </w:r>
      <w:r>
        <w:rPr>
          <w:rFonts w:hint="eastAsia"/>
        </w:rPr>
        <w:t>《危险废物贮存污染控制标准》（GB18597-2023）。</w:t>
      </w:r>
    </w:p>
    <w:p w14:paraId="06F3D3D6">
      <w:pPr>
        <w:pStyle w:val="4"/>
      </w:pPr>
      <w:bookmarkStart w:id="77" w:name="_Toc25390"/>
      <w:r>
        <w:rPr>
          <w:rFonts w:hint="eastAsia"/>
        </w:rPr>
        <w:t>环境功能区划汇总</w:t>
      </w:r>
      <w:bookmarkEnd w:id="77"/>
    </w:p>
    <w:p w14:paraId="3C97A849">
      <w:pPr>
        <w:ind w:firstLine="480"/>
        <w:rPr>
          <w:rFonts w:cs="Times New Roman"/>
        </w:rPr>
      </w:pPr>
      <w:r>
        <w:rPr>
          <w:rFonts w:cs="Times New Roman"/>
        </w:rPr>
        <w:t>本项目所在区域所属环境功能区汇总见</w:t>
      </w:r>
      <w:r>
        <w:rPr>
          <w:rFonts w:hint="eastAsia" w:cs="Times New Roman"/>
        </w:rPr>
        <w:t>下表。</w:t>
      </w:r>
    </w:p>
    <w:p w14:paraId="5544AFAF">
      <w:pPr>
        <w:pStyle w:val="43"/>
        <w:rPr>
          <w:rFonts w:hint="default"/>
        </w:rPr>
      </w:pPr>
      <w:r>
        <w:t>项目所在区域环境功能区划汇总表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676"/>
        <w:gridCol w:w="2551"/>
        <w:gridCol w:w="1844"/>
        <w:gridCol w:w="3448"/>
      </w:tblGrid>
      <w:tr w14:paraId="1CA9560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blHeader/>
        </w:trPr>
        <w:tc>
          <w:tcPr>
            <w:tcW w:w="397" w:type="pct"/>
            <w:vAlign w:val="center"/>
          </w:tcPr>
          <w:p w14:paraId="324A9E1C">
            <w:pPr>
              <w:pStyle w:val="45"/>
              <w:rPr>
                <w:rFonts w:hint="default"/>
                <w:b/>
                <w:bCs/>
              </w:rPr>
            </w:pPr>
            <w:r>
              <w:rPr>
                <w:b/>
                <w:bCs/>
              </w:rPr>
              <w:t>序号</w:t>
            </w:r>
          </w:p>
        </w:tc>
        <w:tc>
          <w:tcPr>
            <w:tcW w:w="1497" w:type="pct"/>
            <w:vAlign w:val="center"/>
          </w:tcPr>
          <w:p w14:paraId="24B4E8BF">
            <w:pPr>
              <w:pStyle w:val="45"/>
              <w:rPr>
                <w:rFonts w:hint="default"/>
                <w:b/>
                <w:bCs/>
              </w:rPr>
            </w:pPr>
            <w:r>
              <w:rPr>
                <w:b/>
                <w:bCs/>
              </w:rPr>
              <w:t>功能区区划</w:t>
            </w:r>
          </w:p>
        </w:tc>
        <w:tc>
          <w:tcPr>
            <w:tcW w:w="1082" w:type="pct"/>
            <w:vAlign w:val="center"/>
          </w:tcPr>
          <w:p w14:paraId="10524D12">
            <w:pPr>
              <w:pStyle w:val="45"/>
              <w:rPr>
                <w:rFonts w:hint="default"/>
                <w:b/>
                <w:bCs/>
              </w:rPr>
            </w:pPr>
            <w:r>
              <w:rPr>
                <w:b/>
                <w:bCs/>
              </w:rPr>
              <w:t>所属类别</w:t>
            </w:r>
          </w:p>
        </w:tc>
        <w:tc>
          <w:tcPr>
            <w:tcW w:w="2024" w:type="pct"/>
            <w:vAlign w:val="center"/>
          </w:tcPr>
          <w:p w14:paraId="3F0A66FD">
            <w:pPr>
              <w:pStyle w:val="45"/>
              <w:rPr>
                <w:rFonts w:hint="default"/>
                <w:b/>
                <w:bCs/>
              </w:rPr>
            </w:pPr>
            <w:r>
              <w:rPr>
                <w:b/>
                <w:bCs/>
              </w:rPr>
              <w:t>执行标准</w:t>
            </w:r>
          </w:p>
        </w:tc>
      </w:tr>
      <w:tr w14:paraId="1B88F91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7" w:type="pct"/>
            <w:vAlign w:val="center"/>
          </w:tcPr>
          <w:p w14:paraId="37A0E9FC">
            <w:pPr>
              <w:pStyle w:val="45"/>
              <w:rPr>
                <w:rFonts w:hint="default"/>
              </w:rPr>
            </w:pPr>
            <w:r>
              <w:t>1</w:t>
            </w:r>
          </w:p>
        </w:tc>
        <w:tc>
          <w:tcPr>
            <w:tcW w:w="1497" w:type="pct"/>
            <w:vAlign w:val="center"/>
          </w:tcPr>
          <w:p w14:paraId="7CB45816">
            <w:pPr>
              <w:pStyle w:val="45"/>
              <w:rPr>
                <w:rFonts w:hint="default"/>
              </w:rPr>
            </w:pPr>
            <w:r>
              <w:t>地表水功能区</w:t>
            </w:r>
          </w:p>
        </w:tc>
        <w:tc>
          <w:tcPr>
            <w:tcW w:w="1082" w:type="pct"/>
            <w:vAlign w:val="center"/>
          </w:tcPr>
          <w:p w14:paraId="4D99D4E2">
            <w:pPr>
              <w:pStyle w:val="45"/>
              <w:rPr>
                <w:rFonts w:hint="default"/>
              </w:rPr>
            </w:pPr>
            <w:r>
              <w:t>工业用水区（III类）</w:t>
            </w:r>
          </w:p>
        </w:tc>
        <w:tc>
          <w:tcPr>
            <w:tcW w:w="2024" w:type="pct"/>
            <w:vAlign w:val="center"/>
          </w:tcPr>
          <w:p w14:paraId="1CD8E511">
            <w:pPr>
              <w:pStyle w:val="45"/>
              <w:rPr>
                <w:rFonts w:hint="default"/>
              </w:rPr>
            </w:pPr>
            <w:r>
              <w:t>《地表水环境质量标准》（GB3838-2002）III类标准</w:t>
            </w:r>
          </w:p>
        </w:tc>
      </w:tr>
      <w:tr w14:paraId="7761599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7" w:type="pct"/>
            <w:vAlign w:val="center"/>
          </w:tcPr>
          <w:p w14:paraId="70462CB4">
            <w:pPr>
              <w:pStyle w:val="45"/>
              <w:rPr>
                <w:rFonts w:hint="default"/>
              </w:rPr>
            </w:pPr>
            <w:r>
              <w:t>2</w:t>
            </w:r>
          </w:p>
        </w:tc>
        <w:tc>
          <w:tcPr>
            <w:tcW w:w="1497" w:type="pct"/>
            <w:vAlign w:val="center"/>
          </w:tcPr>
          <w:p w14:paraId="7818479E">
            <w:pPr>
              <w:pStyle w:val="45"/>
              <w:rPr>
                <w:rFonts w:hint="default"/>
              </w:rPr>
            </w:pPr>
            <w:r>
              <w:t>大气环境功能区</w:t>
            </w:r>
          </w:p>
        </w:tc>
        <w:tc>
          <w:tcPr>
            <w:tcW w:w="1082" w:type="pct"/>
            <w:vAlign w:val="center"/>
          </w:tcPr>
          <w:p w14:paraId="04DE991A">
            <w:pPr>
              <w:pStyle w:val="45"/>
              <w:rPr>
                <w:rFonts w:hint="default"/>
              </w:rPr>
            </w:pPr>
            <w:r>
              <w:t>二类区</w:t>
            </w:r>
          </w:p>
        </w:tc>
        <w:tc>
          <w:tcPr>
            <w:tcW w:w="2024" w:type="pct"/>
            <w:vAlign w:val="center"/>
          </w:tcPr>
          <w:p w14:paraId="18992550">
            <w:pPr>
              <w:pStyle w:val="45"/>
              <w:rPr>
                <w:rFonts w:hint="default"/>
              </w:rPr>
            </w:pPr>
            <w:r>
              <w:t>《环境空气质量标准》（GB3095-2012）二级标准</w:t>
            </w:r>
          </w:p>
        </w:tc>
      </w:tr>
      <w:tr w14:paraId="50ACCBC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7" w:type="pct"/>
            <w:vAlign w:val="center"/>
          </w:tcPr>
          <w:p w14:paraId="2B14ECB0">
            <w:pPr>
              <w:pStyle w:val="45"/>
              <w:rPr>
                <w:rFonts w:hint="default"/>
              </w:rPr>
            </w:pPr>
            <w:r>
              <w:t>3</w:t>
            </w:r>
          </w:p>
        </w:tc>
        <w:tc>
          <w:tcPr>
            <w:tcW w:w="1497" w:type="pct"/>
            <w:vAlign w:val="center"/>
          </w:tcPr>
          <w:p w14:paraId="52FE3BED">
            <w:pPr>
              <w:pStyle w:val="45"/>
              <w:rPr>
                <w:rFonts w:hint="default"/>
              </w:rPr>
            </w:pPr>
            <w:r>
              <w:t>环境噪声功能区</w:t>
            </w:r>
          </w:p>
        </w:tc>
        <w:tc>
          <w:tcPr>
            <w:tcW w:w="1082" w:type="pct"/>
            <w:vAlign w:val="center"/>
          </w:tcPr>
          <w:p w14:paraId="376516D6">
            <w:pPr>
              <w:pStyle w:val="45"/>
              <w:rPr>
                <w:rFonts w:hint="default"/>
              </w:rPr>
            </w:pPr>
            <w:r>
              <w:t>东、南厂界为4a区，西、北厂界为3类区</w:t>
            </w:r>
          </w:p>
        </w:tc>
        <w:tc>
          <w:tcPr>
            <w:tcW w:w="2024" w:type="pct"/>
            <w:vAlign w:val="center"/>
          </w:tcPr>
          <w:p w14:paraId="7FBCC129">
            <w:pPr>
              <w:pStyle w:val="45"/>
              <w:rPr>
                <w:rFonts w:hint="default"/>
              </w:rPr>
            </w:pPr>
            <w:r>
              <w:t>东、南厂界执行《声环境质量标准》（GB 3096-2008）4a类标准，西、北厂界执行《声环境质量标准》（GB 3096-2008）3类标准</w:t>
            </w:r>
          </w:p>
        </w:tc>
      </w:tr>
      <w:tr w14:paraId="6B7D4C6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7" w:type="pct"/>
            <w:vAlign w:val="center"/>
          </w:tcPr>
          <w:p w14:paraId="3C9BA26D">
            <w:pPr>
              <w:pStyle w:val="45"/>
              <w:rPr>
                <w:rFonts w:hint="default"/>
              </w:rPr>
            </w:pPr>
            <w:r>
              <w:t>4</w:t>
            </w:r>
          </w:p>
        </w:tc>
        <w:tc>
          <w:tcPr>
            <w:tcW w:w="1497" w:type="pct"/>
            <w:vAlign w:val="center"/>
          </w:tcPr>
          <w:p w14:paraId="3D22FA10">
            <w:pPr>
              <w:pStyle w:val="45"/>
              <w:rPr>
                <w:rFonts w:hint="default"/>
              </w:rPr>
            </w:pPr>
            <w:r>
              <w:t>地下水环境功能区</w:t>
            </w:r>
          </w:p>
        </w:tc>
        <w:tc>
          <w:tcPr>
            <w:tcW w:w="1082" w:type="pct"/>
            <w:vAlign w:val="center"/>
          </w:tcPr>
          <w:p w14:paraId="605714B9">
            <w:pPr>
              <w:pStyle w:val="45"/>
              <w:rPr>
                <w:rFonts w:hint="default"/>
              </w:rPr>
            </w:pPr>
            <w:r>
              <w:t>III类</w:t>
            </w:r>
          </w:p>
        </w:tc>
        <w:tc>
          <w:tcPr>
            <w:tcW w:w="2024" w:type="pct"/>
            <w:vAlign w:val="center"/>
          </w:tcPr>
          <w:p w14:paraId="2FF8C347">
            <w:pPr>
              <w:pStyle w:val="45"/>
              <w:rPr>
                <w:rFonts w:hint="default"/>
              </w:rPr>
            </w:pPr>
            <w:r>
              <w:t>《地下水质量标准》（GB/T14848-2017）中的III类水质标准</w:t>
            </w:r>
          </w:p>
        </w:tc>
      </w:tr>
      <w:tr w14:paraId="13E769D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7" w:type="pct"/>
            <w:vAlign w:val="center"/>
          </w:tcPr>
          <w:p w14:paraId="0F15CCFA">
            <w:pPr>
              <w:pStyle w:val="45"/>
              <w:rPr>
                <w:rFonts w:hint="default"/>
              </w:rPr>
            </w:pPr>
            <w:r>
              <w:t>5</w:t>
            </w:r>
          </w:p>
        </w:tc>
        <w:tc>
          <w:tcPr>
            <w:tcW w:w="1497" w:type="pct"/>
            <w:vAlign w:val="center"/>
          </w:tcPr>
          <w:p w14:paraId="00203C5E">
            <w:pPr>
              <w:pStyle w:val="45"/>
              <w:rPr>
                <w:rFonts w:hint="default"/>
              </w:rPr>
            </w:pPr>
            <w:r>
              <w:t>生态功能区</w:t>
            </w:r>
          </w:p>
        </w:tc>
        <w:tc>
          <w:tcPr>
            <w:tcW w:w="3106" w:type="pct"/>
            <w:gridSpan w:val="2"/>
            <w:vAlign w:val="center"/>
          </w:tcPr>
          <w:p w14:paraId="2AB3F5CD">
            <w:pPr>
              <w:pStyle w:val="45"/>
              <w:rPr>
                <w:rFonts w:hint="default"/>
              </w:rPr>
            </w:pPr>
            <w:r>
              <w:t>位于工业园，不涉及生态严格控制区</w:t>
            </w:r>
          </w:p>
        </w:tc>
      </w:tr>
      <w:tr w14:paraId="09D60C6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7" w:type="pct"/>
            <w:vAlign w:val="center"/>
          </w:tcPr>
          <w:p w14:paraId="012E1BF1">
            <w:pPr>
              <w:pStyle w:val="45"/>
              <w:rPr>
                <w:rFonts w:hint="default"/>
              </w:rPr>
            </w:pPr>
            <w:r>
              <w:t>6</w:t>
            </w:r>
          </w:p>
        </w:tc>
        <w:tc>
          <w:tcPr>
            <w:tcW w:w="1497" w:type="pct"/>
            <w:vAlign w:val="center"/>
          </w:tcPr>
          <w:p w14:paraId="5BC98575">
            <w:pPr>
              <w:pStyle w:val="45"/>
              <w:rPr>
                <w:rFonts w:hint="default"/>
              </w:rPr>
            </w:pPr>
            <w:r>
              <w:t>土壤功能区</w:t>
            </w:r>
          </w:p>
        </w:tc>
        <w:tc>
          <w:tcPr>
            <w:tcW w:w="1082" w:type="pct"/>
            <w:vAlign w:val="center"/>
          </w:tcPr>
          <w:p w14:paraId="3410CC54">
            <w:pPr>
              <w:pStyle w:val="45"/>
              <w:rPr>
                <w:rFonts w:hint="default"/>
              </w:rPr>
            </w:pPr>
            <w:r>
              <w:t>第二类建设用地</w:t>
            </w:r>
          </w:p>
        </w:tc>
        <w:tc>
          <w:tcPr>
            <w:tcW w:w="2024" w:type="pct"/>
            <w:vAlign w:val="center"/>
          </w:tcPr>
          <w:p w14:paraId="0E96DBC9">
            <w:pPr>
              <w:pStyle w:val="45"/>
              <w:rPr>
                <w:rFonts w:hint="default"/>
              </w:rPr>
            </w:pPr>
            <w:r>
              <w:t>《土壤环境质量 建设用地土壤污染风险管控标准》（GB36600-2018）第二类建设用地</w:t>
            </w:r>
          </w:p>
        </w:tc>
      </w:tr>
      <w:tr w14:paraId="4B01F8D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7" w:type="pct"/>
            <w:vAlign w:val="center"/>
          </w:tcPr>
          <w:p w14:paraId="660AA7B7">
            <w:pPr>
              <w:pStyle w:val="45"/>
              <w:rPr>
                <w:rFonts w:hint="default"/>
              </w:rPr>
            </w:pPr>
            <w:r>
              <w:t>7</w:t>
            </w:r>
          </w:p>
        </w:tc>
        <w:tc>
          <w:tcPr>
            <w:tcW w:w="1497" w:type="pct"/>
            <w:vAlign w:val="center"/>
          </w:tcPr>
          <w:p w14:paraId="7B06C17E">
            <w:pPr>
              <w:pStyle w:val="45"/>
              <w:rPr>
                <w:rFonts w:hint="default"/>
              </w:rPr>
            </w:pPr>
            <w:r>
              <w:t>是否基本农田保护区</w:t>
            </w:r>
          </w:p>
        </w:tc>
        <w:tc>
          <w:tcPr>
            <w:tcW w:w="3106" w:type="pct"/>
            <w:gridSpan w:val="2"/>
            <w:vAlign w:val="center"/>
          </w:tcPr>
          <w:p w14:paraId="42E9A998">
            <w:pPr>
              <w:pStyle w:val="45"/>
              <w:rPr>
                <w:rFonts w:hint="default"/>
              </w:rPr>
            </w:pPr>
            <w:r>
              <w:t>不涉及基本农田保护区</w:t>
            </w:r>
          </w:p>
        </w:tc>
      </w:tr>
      <w:tr w14:paraId="403FC2F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7" w:type="pct"/>
            <w:vAlign w:val="center"/>
          </w:tcPr>
          <w:p w14:paraId="0BDDC5A2">
            <w:pPr>
              <w:pStyle w:val="45"/>
              <w:rPr>
                <w:rFonts w:hint="default"/>
              </w:rPr>
            </w:pPr>
            <w:r>
              <w:t>8</w:t>
            </w:r>
          </w:p>
        </w:tc>
        <w:tc>
          <w:tcPr>
            <w:tcW w:w="1497" w:type="pct"/>
            <w:vAlign w:val="center"/>
          </w:tcPr>
          <w:p w14:paraId="3F9CA45B">
            <w:pPr>
              <w:pStyle w:val="45"/>
              <w:rPr>
                <w:rFonts w:hint="default"/>
              </w:rPr>
            </w:pPr>
            <w:r>
              <w:t>是否饮用水水源地保护区</w:t>
            </w:r>
          </w:p>
        </w:tc>
        <w:tc>
          <w:tcPr>
            <w:tcW w:w="3106" w:type="pct"/>
            <w:gridSpan w:val="2"/>
            <w:vAlign w:val="center"/>
          </w:tcPr>
          <w:p w14:paraId="5086E037">
            <w:pPr>
              <w:pStyle w:val="45"/>
              <w:rPr>
                <w:rFonts w:hint="default"/>
              </w:rPr>
            </w:pPr>
            <w:r>
              <w:t>不涉及饮用水水源地保护区</w:t>
            </w:r>
          </w:p>
        </w:tc>
      </w:tr>
      <w:tr w14:paraId="531D79D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7" w:type="pct"/>
            <w:vAlign w:val="center"/>
          </w:tcPr>
          <w:p w14:paraId="436273E9">
            <w:pPr>
              <w:pStyle w:val="45"/>
              <w:rPr>
                <w:rFonts w:hint="default"/>
              </w:rPr>
            </w:pPr>
            <w:r>
              <w:t>9</w:t>
            </w:r>
          </w:p>
        </w:tc>
        <w:tc>
          <w:tcPr>
            <w:tcW w:w="1497" w:type="pct"/>
            <w:vAlign w:val="center"/>
          </w:tcPr>
          <w:p w14:paraId="15D41C2B">
            <w:pPr>
              <w:pStyle w:val="45"/>
              <w:rPr>
                <w:rFonts w:hint="default"/>
              </w:rPr>
            </w:pPr>
            <w:r>
              <w:t>是否污水处理厂集水范围</w:t>
            </w:r>
          </w:p>
        </w:tc>
        <w:tc>
          <w:tcPr>
            <w:tcW w:w="3106" w:type="pct"/>
            <w:gridSpan w:val="2"/>
            <w:vAlign w:val="center"/>
          </w:tcPr>
          <w:p w14:paraId="5F3F2FFE">
            <w:pPr>
              <w:pStyle w:val="45"/>
              <w:rPr>
                <w:rFonts w:hint="default"/>
              </w:rPr>
            </w:pPr>
            <w:r>
              <w:t>本项目属于松木污水处理厂纳污范围</w:t>
            </w:r>
          </w:p>
        </w:tc>
      </w:tr>
      <w:tr w14:paraId="3B8C541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7" w:type="pct"/>
            <w:vAlign w:val="center"/>
          </w:tcPr>
          <w:p w14:paraId="7BF7F791">
            <w:pPr>
              <w:pStyle w:val="45"/>
              <w:rPr>
                <w:rFonts w:hint="default"/>
              </w:rPr>
            </w:pPr>
            <w:r>
              <w:t>10</w:t>
            </w:r>
          </w:p>
        </w:tc>
        <w:tc>
          <w:tcPr>
            <w:tcW w:w="1497" w:type="pct"/>
            <w:vAlign w:val="center"/>
          </w:tcPr>
          <w:p w14:paraId="4A1F94B8">
            <w:pPr>
              <w:pStyle w:val="45"/>
              <w:rPr>
                <w:rFonts w:hint="default"/>
              </w:rPr>
            </w:pPr>
            <w:r>
              <w:t>是否水库库区</w:t>
            </w:r>
          </w:p>
        </w:tc>
        <w:tc>
          <w:tcPr>
            <w:tcW w:w="3106" w:type="pct"/>
            <w:gridSpan w:val="2"/>
            <w:vAlign w:val="center"/>
          </w:tcPr>
          <w:p w14:paraId="1E4BD15F">
            <w:pPr>
              <w:pStyle w:val="45"/>
              <w:rPr>
                <w:rFonts w:hint="default"/>
              </w:rPr>
            </w:pPr>
            <w:r>
              <w:t>否</w:t>
            </w:r>
          </w:p>
        </w:tc>
      </w:tr>
    </w:tbl>
    <w:p w14:paraId="1C154A2D">
      <w:pPr>
        <w:spacing w:line="240" w:lineRule="auto"/>
        <w:ind w:firstLine="0" w:firstLineChars="0"/>
      </w:pPr>
    </w:p>
    <w:p w14:paraId="1B5C0C1C">
      <w:pPr>
        <w:pStyle w:val="3"/>
      </w:pPr>
      <w:bookmarkStart w:id="78" w:name="_Toc14987"/>
      <w:bookmarkStart w:id="79" w:name="_Toc25256"/>
      <w:bookmarkStart w:id="80" w:name="_Toc5576"/>
      <w:r>
        <w:rPr>
          <w:rFonts w:hint="eastAsia"/>
        </w:rPr>
        <w:t>评价因子</w:t>
      </w:r>
      <w:bookmarkEnd w:id="78"/>
      <w:bookmarkEnd w:id="79"/>
      <w:bookmarkEnd w:id="80"/>
    </w:p>
    <w:p w14:paraId="02B05CCA">
      <w:pPr>
        <w:pStyle w:val="4"/>
      </w:pPr>
      <w:bookmarkStart w:id="81" w:name="_Toc5996"/>
      <w:r>
        <w:rPr>
          <w:rFonts w:hint="eastAsia"/>
        </w:rPr>
        <w:t>环境影响因子识别</w:t>
      </w:r>
      <w:bookmarkEnd w:id="81"/>
    </w:p>
    <w:p w14:paraId="00998CE7">
      <w:pPr>
        <w:ind w:firstLine="480"/>
      </w:pPr>
      <w:r>
        <w:t>综合考虑项目的性质、工程特点、工程阶段（施工期、运营期）及其所处区域的环境特征，识别出可能对自然环境、社会环境和生活质量产生影响的因子，并确定其影响性质、类型、时间、范围和影响程度，为筛选评价因子及确定评价重点提供依据。</w:t>
      </w:r>
    </w:p>
    <w:p w14:paraId="7A3CB93B">
      <w:pPr>
        <w:ind w:firstLine="480"/>
      </w:pPr>
      <w:r>
        <w:t>根据</w:t>
      </w:r>
      <w:r>
        <w:rPr>
          <w:rFonts w:hint="eastAsia"/>
        </w:rPr>
        <w:t>本</w:t>
      </w:r>
      <w:r>
        <w:t>项目工程特点、环境特征以及工程对环境的影响性质与程度，对项目的环境影响要素进行识别，识别过程</w:t>
      </w:r>
      <w:r>
        <w:rPr>
          <w:rFonts w:hint="eastAsia"/>
        </w:rPr>
        <w:t>见下表。</w:t>
      </w:r>
    </w:p>
    <w:p w14:paraId="6A7C818D">
      <w:pPr>
        <w:pStyle w:val="43"/>
        <w:rPr>
          <w:rFonts w:hint="default"/>
        </w:rPr>
      </w:pPr>
      <w:r>
        <w:rPr>
          <w:rFonts w:hint="default"/>
        </w:rPr>
        <w:t>环境影响因子识别矩阵表</w:t>
      </w:r>
    </w:p>
    <w:tbl>
      <w:tblPr>
        <w:tblStyle w:val="32"/>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6" w:type="dxa"/>
          <w:bottom w:w="0" w:type="dxa"/>
          <w:right w:w="56" w:type="dxa"/>
        </w:tblCellMar>
      </w:tblPr>
      <w:tblGrid>
        <w:gridCol w:w="1152"/>
        <w:gridCol w:w="1685"/>
        <w:gridCol w:w="610"/>
        <w:gridCol w:w="637"/>
        <w:gridCol w:w="639"/>
        <w:gridCol w:w="638"/>
        <w:gridCol w:w="588"/>
        <w:gridCol w:w="639"/>
        <w:gridCol w:w="640"/>
        <w:gridCol w:w="588"/>
        <w:gridCol w:w="608"/>
      </w:tblGrid>
      <w:tr w14:paraId="4A468E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6" w:type="dxa"/>
            <w:bottom w:w="0" w:type="dxa"/>
            <w:right w:w="56" w:type="dxa"/>
          </w:tblCellMar>
        </w:tblPrEx>
        <w:trPr>
          <w:cantSplit/>
          <w:trHeight w:val="21" w:hRule="atLeast"/>
          <w:tblHeader/>
          <w:jc w:val="center"/>
        </w:trPr>
        <w:tc>
          <w:tcPr>
            <w:tcW w:w="2837" w:type="dxa"/>
            <w:gridSpan w:val="2"/>
            <w:vMerge w:val="restart"/>
            <w:tcBorders>
              <w:top w:val="single" w:color="auto" w:sz="4" w:space="0"/>
              <w:left w:val="single" w:color="auto" w:sz="4" w:space="0"/>
              <w:bottom w:val="single" w:color="auto" w:sz="6" w:space="0"/>
              <w:tl2br w:val="single" w:color="auto" w:sz="4" w:space="0"/>
            </w:tcBorders>
            <w:vAlign w:val="center"/>
          </w:tcPr>
          <w:p w14:paraId="354892DC">
            <w:pPr>
              <w:pStyle w:val="45"/>
              <w:jc w:val="right"/>
              <w:rPr>
                <w:rFonts w:hint="default"/>
                <w:b/>
                <w:bCs/>
              </w:rPr>
            </w:pPr>
            <w:r>
              <w:rPr>
                <w:b/>
                <w:bCs/>
              </w:rPr>
              <w:t>工程组成</w:t>
            </w:r>
          </w:p>
          <w:p w14:paraId="6B486E32">
            <w:pPr>
              <w:pStyle w:val="45"/>
              <w:jc w:val="left"/>
              <w:rPr>
                <w:rFonts w:hint="default"/>
                <w:b/>
                <w:bCs/>
              </w:rPr>
            </w:pPr>
            <w:r>
              <w:rPr>
                <w:b/>
                <w:bCs/>
              </w:rPr>
              <w:t>环境资源</w:t>
            </w:r>
          </w:p>
        </w:tc>
        <w:tc>
          <w:tcPr>
            <w:tcW w:w="1886" w:type="dxa"/>
            <w:gridSpan w:val="3"/>
            <w:tcBorders>
              <w:top w:val="single" w:color="auto" w:sz="4" w:space="0"/>
              <w:bottom w:val="single" w:color="auto" w:sz="6" w:space="0"/>
            </w:tcBorders>
            <w:vAlign w:val="center"/>
          </w:tcPr>
          <w:p w14:paraId="6C8F8ABA">
            <w:pPr>
              <w:pStyle w:val="45"/>
              <w:rPr>
                <w:rFonts w:hint="default"/>
                <w:b/>
                <w:bCs/>
              </w:rPr>
            </w:pPr>
            <w:r>
              <w:rPr>
                <w:b/>
                <w:bCs/>
              </w:rPr>
              <w:t>施工期</w:t>
            </w:r>
          </w:p>
        </w:tc>
        <w:tc>
          <w:tcPr>
            <w:tcW w:w="3701" w:type="dxa"/>
            <w:gridSpan w:val="6"/>
            <w:tcBorders>
              <w:top w:val="single" w:color="auto" w:sz="4" w:space="0"/>
              <w:bottom w:val="single" w:color="auto" w:sz="6" w:space="0"/>
              <w:right w:val="single" w:color="auto" w:sz="4" w:space="0"/>
            </w:tcBorders>
            <w:vAlign w:val="center"/>
          </w:tcPr>
          <w:p w14:paraId="28F8552A">
            <w:pPr>
              <w:pStyle w:val="45"/>
              <w:rPr>
                <w:rFonts w:hint="default"/>
                <w:b/>
                <w:bCs/>
              </w:rPr>
            </w:pPr>
            <w:r>
              <w:rPr>
                <w:b/>
                <w:bCs/>
              </w:rPr>
              <w:t>运营期</w:t>
            </w:r>
          </w:p>
        </w:tc>
      </w:tr>
      <w:tr w14:paraId="4922A7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6" w:type="dxa"/>
            <w:bottom w:w="0" w:type="dxa"/>
            <w:right w:w="56" w:type="dxa"/>
          </w:tblCellMar>
        </w:tblPrEx>
        <w:trPr>
          <w:cantSplit/>
          <w:trHeight w:val="21" w:hRule="atLeast"/>
          <w:tblHeader/>
          <w:jc w:val="center"/>
        </w:trPr>
        <w:tc>
          <w:tcPr>
            <w:tcW w:w="2837" w:type="dxa"/>
            <w:gridSpan w:val="2"/>
            <w:vMerge w:val="continue"/>
            <w:tcBorders>
              <w:top w:val="single" w:color="auto" w:sz="6" w:space="0"/>
              <w:left w:val="single" w:color="auto" w:sz="4" w:space="0"/>
              <w:bottom w:val="single" w:color="auto" w:sz="6" w:space="0"/>
            </w:tcBorders>
            <w:vAlign w:val="center"/>
          </w:tcPr>
          <w:p w14:paraId="23152B22">
            <w:pPr>
              <w:pStyle w:val="45"/>
              <w:rPr>
                <w:rFonts w:hint="default"/>
                <w:b/>
                <w:bCs/>
              </w:rPr>
            </w:pPr>
          </w:p>
        </w:tc>
        <w:tc>
          <w:tcPr>
            <w:tcW w:w="610" w:type="dxa"/>
            <w:tcBorders>
              <w:top w:val="single" w:color="auto" w:sz="6" w:space="0"/>
              <w:bottom w:val="single" w:color="auto" w:sz="6" w:space="0"/>
            </w:tcBorders>
            <w:vAlign w:val="center"/>
          </w:tcPr>
          <w:p w14:paraId="1A2FF19E">
            <w:pPr>
              <w:pStyle w:val="45"/>
              <w:rPr>
                <w:rFonts w:hint="default"/>
                <w:b/>
                <w:bCs/>
              </w:rPr>
            </w:pPr>
            <w:r>
              <w:rPr>
                <w:b/>
                <w:bCs/>
              </w:rPr>
              <w:t>占</w:t>
            </w:r>
          </w:p>
          <w:p w14:paraId="1FF09436">
            <w:pPr>
              <w:pStyle w:val="45"/>
              <w:rPr>
                <w:rFonts w:hint="default"/>
                <w:b/>
                <w:bCs/>
              </w:rPr>
            </w:pPr>
            <w:r>
              <w:rPr>
                <w:b/>
                <w:bCs/>
              </w:rPr>
              <w:t>地</w:t>
            </w:r>
          </w:p>
        </w:tc>
        <w:tc>
          <w:tcPr>
            <w:tcW w:w="637" w:type="dxa"/>
            <w:tcBorders>
              <w:top w:val="single" w:color="auto" w:sz="6" w:space="0"/>
              <w:bottom w:val="single" w:color="auto" w:sz="6" w:space="0"/>
            </w:tcBorders>
            <w:vAlign w:val="center"/>
          </w:tcPr>
          <w:p w14:paraId="1B81AC8A">
            <w:pPr>
              <w:pStyle w:val="45"/>
              <w:rPr>
                <w:rFonts w:hint="default"/>
                <w:b/>
                <w:bCs/>
              </w:rPr>
            </w:pPr>
            <w:r>
              <w:rPr>
                <w:b/>
                <w:bCs/>
              </w:rPr>
              <w:t>机械</w:t>
            </w:r>
          </w:p>
          <w:p w14:paraId="3D049B83">
            <w:pPr>
              <w:pStyle w:val="45"/>
              <w:rPr>
                <w:rFonts w:hint="default"/>
                <w:b/>
                <w:bCs/>
              </w:rPr>
            </w:pPr>
            <w:r>
              <w:rPr>
                <w:b/>
                <w:bCs/>
              </w:rPr>
              <w:t>施工</w:t>
            </w:r>
          </w:p>
        </w:tc>
        <w:tc>
          <w:tcPr>
            <w:tcW w:w="639" w:type="dxa"/>
            <w:tcBorders>
              <w:top w:val="single" w:color="auto" w:sz="6" w:space="0"/>
              <w:bottom w:val="single" w:color="auto" w:sz="6" w:space="0"/>
            </w:tcBorders>
            <w:vAlign w:val="center"/>
          </w:tcPr>
          <w:p w14:paraId="2F9C9EA9">
            <w:pPr>
              <w:pStyle w:val="45"/>
              <w:rPr>
                <w:rFonts w:hint="default"/>
                <w:b/>
                <w:bCs/>
              </w:rPr>
            </w:pPr>
            <w:r>
              <w:rPr>
                <w:b/>
                <w:bCs/>
              </w:rPr>
              <w:t>材料运输</w:t>
            </w:r>
          </w:p>
        </w:tc>
        <w:tc>
          <w:tcPr>
            <w:tcW w:w="638" w:type="dxa"/>
            <w:tcBorders>
              <w:top w:val="single" w:color="auto" w:sz="6" w:space="0"/>
              <w:bottom w:val="single" w:color="auto" w:sz="6" w:space="0"/>
            </w:tcBorders>
            <w:vAlign w:val="center"/>
          </w:tcPr>
          <w:p w14:paraId="074BFCD2">
            <w:pPr>
              <w:pStyle w:val="45"/>
              <w:rPr>
                <w:rFonts w:hint="default"/>
                <w:b/>
                <w:bCs/>
              </w:rPr>
            </w:pPr>
            <w:r>
              <w:rPr>
                <w:b/>
                <w:bCs/>
              </w:rPr>
              <w:t>原料</w:t>
            </w:r>
          </w:p>
          <w:p w14:paraId="00567823">
            <w:pPr>
              <w:pStyle w:val="45"/>
              <w:rPr>
                <w:rFonts w:hint="default"/>
                <w:b/>
                <w:bCs/>
              </w:rPr>
            </w:pPr>
            <w:r>
              <w:rPr>
                <w:b/>
                <w:bCs/>
              </w:rPr>
              <w:t>运输</w:t>
            </w:r>
          </w:p>
        </w:tc>
        <w:tc>
          <w:tcPr>
            <w:tcW w:w="588" w:type="dxa"/>
            <w:tcBorders>
              <w:top w:val="single" w:color="auto" w:sz="6" w:space="0"/>
              <w:bottom w:val="single" w:color="auto" w:sz="6" w:space="0"/>
            </w:tcBorders>
            <w:vAlign w:val="center"/>
          </w:tcPr>
          <w:p w14:paraId="21CFF8A7">
            <w:pPr>
              <w:pStyle w:val="45"/>
              <w:rPr>
                <w:rFonts w:hint="default"/>
                <w:b/>
                <w:bCs/>
              </w:rPr>
            </w:pPr>
            <w:r>
              <w:rPr>
                <w:b/>
                <w:bCs/>
              </w:rPr>
              <w:t>生产</w:t>
            </w:r>
          </w:p>
          <w:p w14:paraId="1CE27D0C">
            <w:pPr>
              <w:pStyle w:val="45"/>
              <w:rPr>
                <w:rFonts w:hint="default"/>
                <w:b/>
                <w:bCs/>
              </w:rPr>
            </w:pPr>
            <w:r>
              <w:rPr>
                <w:b/>
                <w:bCs/>
              </w:rPr>
              <w:t>噪声</w:t>
            </w:r>
          </w:p>
        </w:tc>
        <w:tc>
          <w:tcPr>
            <w:tcW w:w="639" w:type="dxa"/>
            <w:tcBorders>
              <w:top w:val="single" w:color="auto" w:sz="6" w:space="0"/>
              <w:bottom w:val="single" w:color="auto" w:sz="6" w:space="0"/>
            </w:tcBorders>
            <w:vAlign w:val="center"/>
          </w:tcPr>
          <w:p w14:paraId="34891563">
            <w:pPr>
              <w:pStyle w:val="45"/>
              <w:rPr>
                <w:rFonts w:hint="default"/>
                <w:b/>
                <w:bCs/>
              </w:rPr>
            </w:pPr>
            <w:r>
              <w:rPr>
                <w:b/>
                <w:bCs/>
              </w:rPr>
              <w:t>废水</w:t>
            </w:r>
          </w:p>
          <w:p w14:paraId="2B482F3B">
            <w:pPr>
              <w:pStyle w:val="45"/>
              <w:rPr>
                <w:rFonts w:hint="default"/>
                <w:b/>
                <w:bCs/>
              </w:rPr>
            </w:pPr>
            <w:r>
              <w:rPr>
                <w:b/>
                <w:bCs/>
              </w:rPr>
              <w:t>排放</w:t>
            </w:r>
          </w:p>
        </w:tc>
        <w:tc>
          <w:tcPr>
            <w:tcW w:w="640" w:type="dxa"/>
            <w:tcBorders>
              <w:top w:val="single" w:color="auto" w:sz="6" w:space="0"/>
              <w:bottom w:val="single" w:color="auto" w:sz="6" w:space="0"/>
            </w:tcBorders>
            <w:vAlign w:val="center"/>
          </w:tcPr>
          <w:p w14:paraId="296C7E70">
            <w:pPr>
              <w:pStyle w:val="45"/>
              <w:rPr>
                <w:rFonts w:hint="default"/>
                <w:b/>
                <w:bCs/>
              </w:rPr>
            </w:pPr>
            <w:r>
              <w:rPr>
                <w:b/>
                <w:bCs/>
              </w:rPr>
              <w:t>废气</w:t>
            </w:r>
          </w:p>
          <w:p w14:paraId="552DA263">
            <w:pPr>
              <w:pStyle w:val="45"/>
              <w:rPr>
                <w:rFonts w:hint="default"/>
                <w:b/>
                <w:bCs/>
              </w:rPr>
            </w:pPr>
            <w:r>
              <w:rPr>
                <w:b/>
                <w:bCs/>
              </w:rPr>
              <w:t>排放</w:t>
            </w:r>
          </w:p>
        </w:tc>
        <w:tc>
          <w:tcPr>
            <w:tcW w:w="588" w:type="dxa"/>
            <w:tcBorders>
              <w:top w:val="single" w:color="auto" w:sz="6" w:space="0"/>
              <w:bottom w:val="single" w:color="auto" w:sz="6" w:space="0"/>
            </w:tcBorders>
            <w:vAlign w:val="center"/>
          </w:tcPr>
          <w:p w14:paraId="6FC92F31">
            <w:pPr>
              <w:pStyle w:val="45"/>
              <w:rPr>
                <w:rFonts w:hint="default"/>
                <w:b/>
                <w:bCs/>
              </w:rPr>
            </w:pPr>
            <w:r>
              <w:rPr>
                <w:b/>
                <w:bCs/>
              </w:rPr>
              <w:t>固废</w:t>
            </w:r>
          </w:p>
          <w:p w14:paraId="186350A5">
            <w:pPr>
              <w:pStyle w:val="45"/>
              <w:rPr>
                <w:rFonts w:hint="default"/>
                <w:b/>
                <w:bCs/>
              </w:rPr>
            </w:pPr>
            <w:r>
              <w:rPr>
                <w:b/>
                <w:bCs/>
              </w:rPr>
              <w:t>堆存</w:t>
            </w:r>
          </w:p>
        </w:tc>
        <w:tc>
          <w:tcPr>
            <w:tcW w:w="608" w:type="dxa"/>
            <w:tcBorders>
              <w:top w:val="single" w:color="auto" w:sz="6" w:space="0"/>
              <w:bottom w:val="single" w:color="auto" w:sz="6" w:space="0"/>
              <w:right w:val="single" w:color="auto" w:sz="4" w:space="0"/>
            </w:tcBorders>
            <w:vAlign w:val="center"/>
          </w:tcPr>
          <w:p w14:paraId="5239AD4D">
            <w:pPr>
              <w:pStyle w:val="45"/>
              <w:rPr>
                <w:rFonts w:hint="default"/>
                <w:b/>
                <w:bCs/>
              </w:rPr>
            </w:pPr>
            <w:r>
              <w:rPr>
                <w:b/>
                <w:bCs/>
              </w:rPr>
              <w:t>事故</w:t>
            </w:r>
          </w:p>
          <w:p w14:paraId="1EB3E8A8">
            <w:pPr>
              <w:pStyle w:val="45"/>
              <w:rPr>
                <w:rFonts w:hint="default"/>
                <w:b/>
                <w:bCs/>
              </w:rPr>
            </w:pPr>
            <w:r>
              <w:rPr>
                <w:b/>
                <w:bCs/>
              </w:rPr>
              <w:t>风险</w:t>
            </w:r>
          </w:p>
        </w:tc>
      </w:tr>
      <w:tr w14:paraId="58BEB3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71" w:type="dxa"/>
            <w:bottom w:w="0" w:type="dxa"/>
            <w:right w:w="71" w:type="dxa"/>
          </w:tblCellMar>
        </w:tblPrEx>
        <w:trPr>
          <w:cantSplit/>
          <w:trHeight w:val="21" w:hRule="atLeast"/>
          <w:jc w:val="center"/>
        </w:trPr>
        <w:tc>
          <w:tcPr>
            <w:tcW w:w="1152" w:type="dxa"/>
            <w:vMerge w:val="restart"/>
            <w:tcBorders>
              <w:top w:val="single" w:color="auto" w:sz="6" w:space="0"/>
              <w:left w:val="single" w:color="auto" w:sz="4" w:space="0"/>
              <w:bottom w:val="single" w:color="auto" w:sz="6" w:space="0"/>
            </w:tcBorders>
            <w:vAlign w:val="center"/>
          </w:tcPr>
          <w:p w14:paraId="63935A86">
            <w:pPr>
              <w:pStyle w:val="45"/>
              <w:rPr>
                <w:rFonts w:hint="default"/>
              </w:rPr>
            </w:pPr>
            <w:r>
              <w:t>社会</w:t>
            </w:r>
          </w:p>
          <w:p w14:paraId="7BB78BF3">
            <w:pPr>
              <w:pStyle w:val="45"/>
              <w:rPr>
                <w:rFonts w:hint="default"/>
              </w:rPr>
            </w:pPr>
            <w:r>
              <w:t>发展</w:t>
            </w:r>
          </w:p>
        </w:tc>
        <w:tc>
          <w:tcPr>
            <w:tcW w:w="1685" w:type="dxa"/>
            <w:tcBorders>
              <w:top w:val="single" w:color="auto" w:sz="6" w:space="0"/>
              <w:bottom w:val="single" w:color="auto" w:sz="6" w:space="0"/>
            </w:tcBorders>
            <w:vAlign w:val="center"/>
          </w:tcPr>
          <w:p w14:paraId="328AD2C4">
            <w:pPr>
              <w:pStyle w:val="45"/>
              <w:rPr>
                <w:rFonts w:hint="default"/>
              </w:rPr>
            </w:pPr>
            <w:r>
              <w:t>劳动就业</w:t>
            </w:r>
          </w:p>
        </w:tc>
        <w:tc>
          <w:tcPr>
            <w:tcW w:w="610" w:type="dxa"/>
            <w:tcBorders>
              <w:top w:val="single" w:color="auto" w:sz="6" w:space="0"/>
              <w:bottom w:val="single" w:color="auto" w:sz="6" w:space="0"/>
            </w:tcBorders>
            <w:vAlign w:val="center"/>
          </w:tcPr>
          <w:p w14:paraId="297AF4D1">
            <w:pPr>
              <w:pStyle w:val="45"/>
              <w:rPr>
                <w:rFonts w:hint="default"/>
              </w:rPr>
            </w:pPr>
          </w:p>
        </w:tc>
        <w:tc>
          <w:tcPr>
            <w:tcW w:w="637" w:type="dxa"/>
            <w:tcBorders>
              <w:top w:val="single" w:color="auto" w:sz="6" w:space="0"/>
              <w:bottom w:val="single" w:color="auto" w:sz="6" w:space="0"/>
            </w:tcBorders>
            <w:vAlign w:val="center"/>
          </w:tcPr>
          <w:p w14:paraId="19D7B334">
            <w:pPr>
              <w:pStyle w:val="45"/>
              <w:rPr>
                <w:rFonts w:hint="default"/>
              </w:rPr>
            </w:pPr>
            <w:r>
              <w:t>△</w:t>
            </w:r>
          </w:p>
        </w:tc>
        <w:tc>
          <w:tcPr>
            <w:tcW w:w="639" w:type="dxa"/>
            <w:tcBorders>
              <w:top w:val="single" w:color="auto" w:sz="6" w:space="0"/>
              <w:bottom w:val="single" w:color="auto" w:sz="6" w:space="0"/>
            </w:tcBorders>
            <w:vAlign w:val="center"/>
          </w:tcPr>
          <w:p w14:paraId="26A2E137">
            <w:pPr>
              <w:pStyle w:val="45"/>
              <w:rPr>
                <w:rFonts w:hint="default"/>
              </w:rPr>
            </w:pPr>
            <w:r>
              <w:t>△</w:t>
            </w:r>
          </w:p>
        </w:tc>
        <w:tc>
          <w:tcPr>
            <w:tcW w:w="638" w:type="dxa"/>
            <w:tcBorders>
              <w:top w:val="single" w:color="auto" w:sz="6" w:space="0"/>
              <w:bottom w:val="single" w:color="auto" w:sz="6" w:space="0"/>
            </w:tcBorders>
            <w:vAlign w:val="center"/>
          </w:tcPr>
          <w:p w14:paraId="215CB342">
            <w:pPr>
              <w:pStyle w:val="45"/>
              <w:rPr>
                <w:rFonts w:hint="default"/>
              </w:rPr>
            </w:pPr>
            <w:r>
              <w:t>☆</w:t>
            </w:r>
          </w:p>
        </w:tc>
        <w:tc>
          <w:tcPr>
            <w:tcW w:w="588" w:type="dxa"/>
            <w:tcBorders>
              <w:top w:val="single" w:color="auto" w:sz="6" w:space="0"/>
              <w:bottom w:val="single" w:color="auto" w:sz="6" w:space="0"/>
            </w:tcBorders>
            <w:vAlign w:val="center"/>
          </w:tcPr>
          <w:p w14:paraId="00BF86CD">
            <w:pPr>
              <w:pStyle w:val="45"/>
              <w:rPr>
                <w:rFonts w:hint="default"/>
              </w:rPr>
            </w:pPr>
          </w:p>
        </w:tc>
        <w:tc>
          <w:tcPr>
            <w:tcW w:w="639" w:type="dxa"/>
            <w:tcBorders>
              <w:top w:val="single" w:color="auto" w:sz="6" w:space="0"/>
              <w:bottom w:val="single" w:color="auto" w:sz="6" w:space="0"/>
            </w:tcBorders>
            <w:vAlign w:val="center"/>
          </w:tcPr>
          <w:p w14:paraId="294F3A8B">
            <w:pPr>
              <w:pStyle w:val="45"/>
              <w:rPr>
                <w:rFonts w:hint="default"/>
              </w:rPr>
            </w:pPr>
          </w:p>
        </w:tc>
        <w:tc>
          <w:tcPr>
            <w:tcW w:w="640" w:type="dxa"/>
            <w:tcBorders>
              <w:top w:val="single" w:color="auto" w:sz="6" w:space="0"/>
              <w:bottom w:val="single" w:color="auto" w:sz="6" w:space="0"/>
            </w:tcBorders>
            <w:vAlign w:val="center"/>
          </w:tcPr>
          <w:p w14:paraId="55D8B042">
            <w:pPr>
              <w:pStyle w:val="45"/>
              <w:rPr>
                <w:rFonts w:hint="default"/>
              </w:rPr>
            </w:pPr>
          </w:p>
        </w:tc>
        <w:tc>
          <w:tcPr>
            <w:tcW w:w="588" w:type="dxa"/>
            <w:tcBorders>
              <w:top w:val="single" w:color="auto" w:sz="6" w:space="0"/>
              <w:bottom w:val="single" w:color="auto" w:sz="6" w:space="0"/>
            </w:tcBorders>
            <w:vAlign w:val="center"/>
          </w:tcPr>
          <w:p w14:paraId="748E75F5">
            <w:pPr>
              <w:pStyle w:val="45"/>
              <w:rPr>
                <w:rFonts w:hint="default"/>
              </w:rPr>
            </w:pPr>
          </w:p>
        </w:tc>
        <w:tc>
          <w:tcPr>
            <w:tcW w:w="608" w:type="dxa"/>
            <w:tcBorders>
              <w:top w:val="single" w:color="auto" w:sz="6" w:space="0"/>
              <w:bottom w:val="single" w:color="auto" w:sz="6" w:space="0"/>
              <w:right w:val="single" w:color="auto" w:sz="4" w:space="0"/>
            </w:tcBorders>
            <w:vAlign w:val="center"/>
          </w:tcPr>
          <w:p w14:paraId="053D1815">
            <w:pPr>
              <w:pStyle w:val="45"/>
              <w:rPr>
                <w:rFonts w:hint="default"/>
              </w:rPr>
            </w:pPr>
          </w:p>
        </w:tc>
      </w:tr>
      <w:tr w14:paraId="517D12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71" w:type="dxa"/>
            <w:bottom w:w="0" w:type="dxa"/>
            <w:right w:w="71" w:type="dxa"/>
          </w:tblCellMar>
        </w:tblPrEx>
        <w:trPr>
          <w:cantSplit/>
          <w:trHeight w:val="21" w:hRule="atLeast"/>
          <w:jc w:val="center"/>
        </w:trPr>
        <w:tc>
          <w:tcPr>
            <w:tcW w:w="1152" w:type="dxa"/>
            <w:vMerge w:val="continue"/>
            <w:tcBorders>
              <w:top w:val="single" w:color="auto" w:sz="6" w:space="0"/>
              <w:left w:val="single" w:color="auto" w:sz="4" w:space="0"/>
              <w:bottom w:val="single" w:color="auto" w:sz="6" w:space="0"/>
            </w:tcBorders>
            <w:vAlign w:val="center"/>
          </w:tcPr>
          <w:p w14:paraId="49014572">
            <w:pPr>
              <w:pStyle w:val="45"/>
              <w:rPr>
                <w:rFonts w:hint="default"/>
              </w:rPr>
            </w:pPr>
          </w:p>
        </w:tc>
        <w:tc>
          <w:tcPr>
            <w:tcW w:w="1685" w:type="dxa"/>
            <w:tcBorders>
              <w:top w:val="single" w:color="auto" w:sz="6" w:space="0"/>
              <w:bottom w:val="single" w:color="auto" w:sz="6" w:space="0"/>
            </w:tcBorders>
            <w:vAlign w:val="center"/>
          </w:tcPr>
          <w:p w14:paraId="0C92F8C3">
            <w:pPr>
              <w:pStyle w:val="45"/>
              <w:rPr>
                <w:rFonts w:hint="default"/>
              </w:rPr>
            </w:pPr>
            <w:r>
              <w:t>经济发展</w:t>
            </w:r>
          </w:p>
        </w:tc>
        <w:tc>
          <w:tcPr>
            <w:tcW w:w="610" w:type="dxa"/>
            <w:tcBorders>
              <w:top w:val="single" w:color="auto" w:sz="6" w:space="0"/>
              <w:bottom w:val="single" w:color="auto" w:sz="6" w:space="0"/>
            </w:tcBorders>
            <w:vAlign w:val="center"/>
          </w:tcPr>
          <w:p w14:paraId="7A247E23">
            <w:pPr>
              <w:pStyle w:val="45"/>
              <w:rPr>
                <w:rFonts w:hint="default"/>
              </w:rPr>
            </w:pPr>
          </w:p>
        </w:tc>
        <w:tc>
          <w:tcPr>
            <w:tcW w:w="637" w:type="dxa"/>
            <w:tcBorders>
              <w:top w:val="single" w:color="auto" w:sz="6" w:space="0"/>
              <w:bottom w:val="single" w:color="auto" w:sz="6" w:space="0"/>
            </w:tcBorders>
            <w:vAlign w:val="center"/>
          </w:tcPr>
          <w:p w14:paraId="3917063D">
            <w:pPr>
              <w:pStyle w:val="45"/>
              <w:rPr>
                <w:rFonts w:hint="default"/>
              </w:rPr>
            </w:pPr>
            <w:r>
              <w:t>△</w:t>
            </w:r>
          </w:p>
        </w:tc>
        <w:tc>
          <w:tcPr>
            <w:tcW w:w="639" w:type="dxa"/>
            <w:tcBorders>
              <w:top w:val="single" w:color="auto" w:sz="6" w:space="0"/>
              <w:bottom w:val="single" w:color="auto" w:sz="6" w:space="0"/>
            </w:tcBorders>
            <w:vAlign w:val="center"/>
          </w:tcPr>
          <w:p w14:paraId="1C0E51D8">
            <w:pPr>
              <w:pStyle w:val="45"/>
              <w:rPr>
                <w:rFonts w:hint="default"/>
              </w:rPr>
            </w:pPr>
            <w:r>
              <w:t>△</w:t>
            </w:r>
          </w:p>
        </w:tc>
        <w:tc>
          <w:tcPr>
            <w:tcW w:w="638" w:type="dxa"/>
            <w:tcBorders>
              <w:top w:val="single" w:color="auto" w:sz="6" w:space="0"/>
              <w:bottom w:val="single" w:color="auto" w:sz="6" w:space="0"/>
            </w:tcBorders>
            <w:vAlign w:val="center"/>
          </w:tcPr>
          <w:p w14:paraId="19E37227">
            <w:pPr>
              <w:pStyle w:val="45"/>
              <w:rPr>
                <w:rFonts w:hint="default"/>
              </w:rPr>
            </w:pPr>
            <w:r>
              <w:t>☆</w:t>
            </w:r>
          </w:p>
        </w:tc>
        <w:tc>
          <w:tcPr>
            <w:tcW w:w="588" w:type="dxa"/>
            <w:tcBorders>
              <w:top w:val="single" w:color="auto" w:sz="6" w:space="0"/>
              <w:bottom w:val="single" w:color="auto" w:sz="6" w:space="0"/>
            </w:tcBorders>
            <w:vAlign w:val="center"/>
          </w:tcPr>
          <w:p w14:paraId="5C1DD01F">
            <w:pPr>
              <w:pStyle w:val="45"/>
              <w:rPr>
                <w:rFonts w:hint="default"/>
              </w:rPr>
            </w:pPr>
          </w:p>
        </w:tc>
        <w:tc>
          <w:tcPr>
            <w:tcW w:w="639" w:type="dxa"/>
            <w:tcBorders>
              <w:top w:val="single" w:color="auto" w:sz="6" w:space="0"/>
              <w:bottom w:val="single" w:color="auto" w:sz="6" w:space="0"/>
            </w:tcBorders>
            <w:vAlign w:val="center"/>
          </w:tcPr>
          <w:p w14:paraId="09BB2641">
            <w:pPr>
              <w:pStyle w:val="45"/>
              <w:rPr>
                <w:rFonts w:hint="default"/>
              </w:rPr>
            </w:pPr>
          </w:p>
        </w:tc>
        <w:tc>
          <w:tcPr>
            <w:tcW w:w="640" w:type="dxa"/>
            <w:tcBorders>
              <w:top w:val="single" w:color="auto" w:sz="6" w:space="0"/>
              <w:bottom w:val="single" w:color="auto" w:sz="6" w:space="0"/>
            </w:tcBorders>
            <w:vAlign w:val="center"/>
          </w:tcPr>
          <w:p w14:paraId="45AAAD1C">
            <w:pPr>
              <w:pStyle w:val="45"/>
              <w:rPr>
                <w:rFonts w:hint="default"/>
              </w:rPr>
            </w:pPr>
          </w:p>
        </w:tc>
        <w:tc>
          <w:tcPr>
            <w:tcW w:w="588" w:type="dxa"/>
            <w:tcBorders>
              <w:top w:val="single" w:color="auto" w:sz="6" w:space="0"/>
              <w:bottom w:val="single" w:color="auto" w:sz="6" w:space="0"/>
            </w:tcBorders>
            <w:vAlign w:val="center"/>
          </w:tcPr>
          <w:p w14:paraId="794BDFFF">
            <w:pPr>
              <w:pStyle w:val="45"/>
              <w:rPr>
                <w:rFonts w:hint="default"/>
              </w:rPr>
            </w:pPr>
          </w:p>
        </w:tc>
        <w:tc>
          <w:tcPr>
            <w:tcW w:w="608" w:type="dxa"/>
            <w:tcBorders>
              <w:top w:val="single" w:color="auto" w:sz="6" w:space="0"/>
              <w:bottom w:val="single" w:color="auto" w:sz="6" w:space="0"/>
              <w:right w:val="single" w:color="auto" w:sz="4" w:space="0"/>
            </w:tcBorders>
            <w:vAlign w:val="center"/>
          </w:tcPr>
          <w:p w14:paraId="3CE21975">
            <w:pPr>
              <w:pStyle w:val="45"/>
              <w:rPr>
                <w:rFonts w:hint="default"/>
              </w:rPr>
            </w:pPr>
          </w:p>
        </w:tc>
      </w:tr>
      <w:tr w14:paraId="42B8EB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71" w:type="dxa"/>
            <w:bottom w:w="0" w:type="dxa"/>
            <w:right w:w="71" w:type="dxa"/>
          </w:tblCellMar>
        </w:tblPrEx>
        <w:trPr>
          <w:cantSplit/>
          <w:trHeight w:val="21" w:hRule="atLeast"/>
          <w:jc w:val="center"/>
        </w:trPr>
        <w:tc>
          <w:tcPr>
            <w:tcW w:w="1152" w:type="dxa"/>
            <w:vMerge w:val="continue"/>
            <w:tcBorders>
              <w:top w:val="single" w:color="auto" w:sz="6" w:space="0"/>
              <w:left w:val="single" w:color="auto" w:sz="4" w:space="0"/>
              <w:bottom w:val="single" w:color="auto" w:sz="6" w:space="0"/>
            </w:tcBorders>
            <w:vAlign w:val="center"/>
          </w:tcPr>
          <w:p w14:paraId="09E99A12">
            <w:pPr>
              <w:pStyle w:val="45"/>
              <w:rPr>
                <w:rFonts w:hint="default"/>
              </w:rPr>
            </w:pPr>
          </w:p>
        </w:tc>
        <w:tc>
          <w:tcPr>
            <w:tcW w:w="1685" w:type="dxa"/>
            <w:tcBorders>
              <w:top w:val="single" w:color="auto" w:sz="6" w:space="0"/>
              <w:bottom w:val="single" w:color="auto" w:sz="6" w:space="0"/>
            </w:tcBorders>
            <w:vAlign w:val="center"/>
          </w:tcPr>
          <w:p w14:paraId="63DDC435">
            <w:pPr>
              <w:pStyle w:val="45"/>
              <w:rPr>
                <w:rFonts w:hint="default"/>
              </w:rPr>
            </w:pPr>
            <w:r>
              <w:t>土地利用</w:t>
            </w:r>
          </w:p>
        </w:tc>
        <w:tc>
          <w:tcPr>
            <w:tcW w:w="610" w:type="dxa"/>
            <w:tcBorders>
              <w:top w:val="single" w:color="auto" w:sz="6" w:space="0"/>
              <w:bottom w:val="single" w:color="auto" w:sz="6" w:space="0"/>
            </w:tcBorders>
            <w:vAlign w:val="center"/>
          </w:tcPr>
          <w:p w14:paraId="6755F461">
            <w:pPr>
              <w:pStyle w:val="45"/>
              <w:rPr>
                <w:rFonts w:hint="default"/>
              </w:rPr>
            </w:pPr>
            <w:r>
              <w:t>☆</w:t>
            </w:r>
          </w:p>
        </w:tc>
        <w:tc>
          <w:tcPr>
            <w:tcW w:w="637" w:type="dxa"/>
            <w:tcBorders>
              <w:top w:val="single" w:color="auto" w:sz="6" w:space="0"/>
              <w:bottom w:val="single" w:color="auto" w:sz="6" w:space="0"/>
            </w:tcBorders>
            <w:vAlign w:val="center"/>
          </w:tcPr>
          <w:p w14:paraId="0E7D5435">
            <w:pPr>
              <w:pStyle w:val="45"/>
              <w:rPr>
                <w:rFonts w:hint="default"/>
              </w:rPr>
            </w:pPr>
          </w:p>
        </w:tc>
        <w:tc>
          <w:tcPr>
            <w:tcW w:w="639" w:type="dxa"/>
            <w:tcBorders>
              <w:top w:val="single" w:color="auto" w:sz="6" w:space="0"/>
              <w:bottom w:val="single" w:color="auto" w:sz="6" w:space="0"/>
            </w:tcBorders>
            <w:vAlign w:val="center"/>
          </w:tcPr>
          <w:p w14:paraId="10F460F8">
            <w:pPr>
              <w:pStyle w:val="45"/>
              <w:rPr>
                <w:rFonts w:hint="default"/>
              </w:rPr>
            </w:pPr>
          </w:p>
        </w:tc>
        <w:tc>
          <w:tcPr>
            <w:tcW w:w="638" w:type="dxa"/>
            <w:tcBorders>
              <w:top w:val="single" w:color="auto" w:sz="6" w:space="0"/>
              <w:bottom w:val="single" w:color="auto" w:sz="6" w:space="0"/>
            </w:tcBorders>
            <w:vAlign w:val="center"/>
          </w:tcPr>
          <w:p w14:paraId="5DA4D0E8">
            <w:pPr>
              <w:pStyle w:val="45"/>
              <w:rPr>
                <w:rFonts w:hint="default"/>
              </w:rPr>
            </w:pPr>
          </w:p>
        </w:tc>
        <w:tc>
          <w:tcPr>
            <w:tcW w:w="588" w:type="dxa"/>
            <w:tcBorders>
              <w:top w:val="single" w:color="auto" w:sz="6" w:space="0"/>
              <w:bottom w:val="single" w:color="auto" w:sz="6" w:space="0"/>
            </w:tcBorders>
            <w:vAlign w:val="center"/>
          </w:tcPr>
          <w:p w14:paraId="4ADD14BB">
            <w:pPr>
              <w:pStyle w:val="45"/>
              <w:rPr>
                <w:rFonts w:hint="default"/>
              </w:rPr>
            </w:pPr>
          </w:p>
        </w:tc>
        <w:tc>
          <w:tcPr>
            <w:tcW w:w="639" w:type="dxa"/>
            <w:tcBorders>
              <w:top w:val="single" w:color="auto" w:sz="6" w:space="0"/>
              <w:bottom w:val="single" w:color="auto" w:sz="6" w:space="0"/>
            </w:tcBorders>
            <w:vAlign w:val="center"/>
          </w:tcPr>
          <w:p w14:paraId="482AD191">
            <w:pPr>
              <w:pStyle w:val="45"/>
              <w:rPr>
                <w:rFonts w:hint="default"/>
              </w:rPr>
            </w:pPr>
          </w:p>
        </w:tc>
        <w:tc>
          <w:tcPr>
            <w:tcW w:w="640" w:type="dxa"/>
            <w:tcBorders>
              <w:top w:val="single" w:color="auto" w:sz="6" w:space="0"/>
              <w:bottom w:val="single" w:color="auto" w:sz="6" w:space="0"/>
            </w:tcBorders>
            <w:vAlign w:val="center"/>
          </w:tcPr>
          <w:p w14:paraId="1A1BF53B">
            <w:pPr>
              <w:pStyle w:val="45"/>
              <w:rPr>
                <w:rFonts w:hint="default"/>
              </w:rPr>
            </w:pPr>
          </w:p>
        </w:tc>
        <w:tc>
          <w:tcPr>
            <w:tcW w:w="588" w:type="dxa"/>
            <w:tcBorders>
              <w:top w:val="single" w:color="auto" w:sz="6" w:space="0"/>
              <w:bottom w:val="single" w:color="auto" w:sz="6" w:space="0"/>
            </w:tcBorders>
            <w:vAlign w:val="center"/>
          </w:tcPr>
          <w:p w14:paraId="417ACF00">
            <w:pPr>
              <w:pStyle w:val="45"/>
              <w:rPr>
                <w:rFonts w:hint="default"/>
              </w:rPr>
            </w:pPr>
            <w:r>
              <w:t>★</w:t>
            </w:r>
          </w:p>
        </w:tc>
        <w:tc>
          <w:tcPr>
            <w:tcW w:w="608" w:type="dxa"/>
            <w:tcBorders>
              <w:top w:val="single" w:color="auto" w:sz="6" w:space="0"/>
              <w:bottom w:val="single" w:color="auto" w:sz="6" w:space="0"/>
              <w:right w:val="single" w:color="auto" w:sz="4" w:space="0"/>
            </w:tcBorders>
            <w:vAlign w:val="center"/>
          </w:tcPr>
          <w:p w14:paraId="0DAD9190">
            <w:pPr>
              <w:pStyle w:val="45"/>
              <w:rPr>
                <w:rFonts w:hint="default"/>
              </w:rPr>
            </w:pPr>
          </w:p>
        </w:tc>
      </w:tr>
      <w:tr w14:paraId="11E1D9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71" w:type="dxa"/>
            <w:bottom w:w="0" w:type="dxa"/>
            <w:right w:w="71" w:type="dxa"/>
          </w:tblCellMar>
        </w:tblPrEx>
        <w:trPr>
          <w:cantSplit/>
          <w:trHeight w:val="21" w:hRule="atLeast"/>
          <w:jc w:val="center"/>
        </w:trPr>
        <w:tc>
          <w:tcPr>
            <w:tcW w:w="1152" w:type="dxa"/>
            <w:vMerge w:val="restart"/>
            <w:tcBorders>
              <w:top w:val="single" w:color="auto" w:sz="6" w:space="0"/>
              <w:left w:val="single" w:color="auto" w:sz="4" w:space="0"/>
              <w:bottom w:val="single" w:color="auto" w:sz="6" w:space="0"/>
            </w:tcBorders>
            <w:vAlign w:val="center"/>
          </w:tcPr>
          <w:p w14:paraId="4B069E53">
            <w:pPr>
              <w:pStyle w:val="45"/>
              <w:rPr>
                <w:rFonts w:hint="default"/>
              </w:rPr>
            </w:pPr>
            <w:r>
              <w:t>自然</w:t>
            </w:r>
          </w:p>
          <w:p w14:paraId="22FA9015">
            <w:pPr>
              <w:pStyle w:val="45"/>
              <w:rPr>
                <w:rFonts w:hint="default"/>
              </w:rPr>
            </w:pPr>
            <w:r>
              <w:t>资源</w:t>
            </w:r>
          </w:p>
        </w:tc>
        <w:tc>
          <w:tcPr>
            <w:tcW w:w="1685" w:type="dxa"/>
            <w:tcBorders>
              <w:top w:val="single" w:color="auto" w:sz="6" w:space="0"/>
              <w:bottom w:val="single" w:color="auto" w:sz="6" w:space="0"/>
            </w:tcBorders>
            <w:vAlign w:val="center"/>
          </w:tcPr>
          <w:p w14:paraId="4B0F5D84">
            <w:pPr>
              <w:pStyle w:val="45"/>
              <w:rPr>
                <w:rFonts w:hint="default"/>
              </w:rPr>
            </w:pPr>
            <w:r>
              <w:t>地表水体</w:t>
            </w:r>
          </w:p>
        </w:tc>
        <w:tc>
          <w:tcPr>
            <w:tcW w:w="610" w:type="dxa"/>
            <w:tcBorders>
              <w:top w:val="single" w:color="auto" w:sz="6" w:space="0"/>
              <w:bottom w:val="single" w:color="auto" w:sz="6" w:space="0"/>
            </w:tcBorders>
            <w:vAlign w:val="center"/>
          </w:tcPr>
          <w:p w14:paraId="27207134">
            <w:pPr>
              <w:pStyle w:val="45"/>
              <w:rPr>
                <w:rFonts w:hint="default"/>
              </w:rPr>
            </w:pPr>
            <w:r>
              <w:t>☆</w:t>
            </w:r>
          </w:p>
        </w:tc>
        <w:tc>
          <w:tcPr>
            <w:tcW w:w="637" w:type="dxa"/>
            <w:tcBorders>
              <w:top w:val="single" w:color="auto" w:sz="6" w:space="0"/>
              <w:bottom w:val="single" w:color="auto" w:sz="6" w:space="0"/>
            </w:tcBorders>
            <w:vAlign w:val="center"/>
          </w:tcPr>
          <w:p w14:paraId="1B9FB25F">
            <w:pPr>
              <w:pStyle w:val="45"/>
              <w:rPr>
                <w:rFonts w:hint="default"/>
              </w:rPr>
            </w:pPr>
            <w:r>
              <w:t>▲</w:t>
            </w:r>
          </w:p>
        </w:tc>
        <w:tc>
          <w:tcPr>
            <w:tcW w:w="639" w:type="dxa"/>
            <w:tcBorders>
              <w:top w:val="single" w:color="auto" w:sz="6" w:space="0"/>
              <w:bottom w:val="single" w:color="auto" w:sz="6" w:space="0"/>
            </w:tcBorders>
            <w:vAlign w:val="center"/>
          </w:tcPr>
          <w:p w14:paraId="2339BAE7">
            <w:pPr>
              <w:pStyle w:val="45"/>
              <w:rPr>
                <w:rFonts w:hint="default"/>
              </w:rPr>
            </w:pPr>
          </w:p>
        </w:tc>
        <w:tc>
          <w:tcPr>
            <w:tcW w:w="638" w:type="dxa"/>
            <w:tcBorders>
              <w:top w:val="single" w:color="auto" w:sz="6" w:space="0"/>
              <w:bottom w:val="single" w:color="auto" w:sz="6" w:space="0"/>
            </w:tcBorders>
            <w:vAlign w:val="center"/>
          </w:tcPr>
          <w:p w14:paraId="68678712">
            <w:pPr>
              <w:pStyle w:val="45"/>
              <w:rPr>
                <w:rFonts w:hint="default"/>
              </w:rPr>
            </w:pPr>
          </w:p>
        </w:tc>
        <w:tc>
          <w:tcPr>
            <w:tcW w:w="588" w:type="dxa"/>
            <w:tcBorders>
              <w:top w:val="single" w:color="auto" w:sz="6" w:space="0"/>
              <w:bottom w:val="single" w:color="auto" w:sz="6" w:space="0"/>
            </w:tcBorders>
            <w:vAlign w:val="center"/>
          </w:tcPr>
          <w:p w14:paraId="285C580B">
            <w:pPr>
              <w:pStyle w:val="45"/>
              <w:rPr>
                <w:rFonts w:hint="default"/>
              </w:rPr>
            </w:pPr>
          </w:p>
        </w:tc>
        <w:tc>
          <w:tcPr>
            <w:tcW w:w="639" w:type="dxa"/>
            <w:tcBorders>
              <w:top w:val="single" w:color="auto" w:sz="6" w:space="0"/>
              <w:bottom w:val="single" w:color="auto" w:sz="6" w:space="0"/>
            </w:tcBorders>
            <w:vAlign w:val="center"/>
          </w:tcPr>
          <w:p w14:paraId="456D8400">
            <w:pPr>
              <w:pStyle w:val="45"/>
              <w:rPr>
                <w:rFonts w:hint="default"/>
              </w:rPr>
            </w:pPr>
            <w:r>
              <w:t>★</w:t>
            </w:r>
          </w:p>
        </w:tc>
        <w:tc>
          <w:tcPr>
            <w:tcW w:w="640" w:type="dxa"/>
            <w:tcBorders>
              <w:top w:val="single" w:color="auto" w:sz="6" w:space="0"/>
              <w:bottom w:val="single" w:color="auto" w:sz="6" w:space="0"/>
            </w:tcBorders>
            <w:vAlign w:val="center"/>
          </w:tcPr>
          <w:p w14:paraId="6DB80C3A">
            <w:pPr>
              <w:pStyle w:val="45"/>
              <w:rPr>
                <w:rFonts w:hint="default"/>
              </w:rPr>
            </w:pPr>
          </w:p>
        </w:tc>
        <w:tc>
          <w:tcPr>
            <w:tcW w:w="588" w:type="dxa"/>
            <w:tcBorders>
              <w:top w:val="single" w:color="auto" w:sz="6" w:space="0"/>
              <w:bottom w:val="single" w:color="auto" w:sz="6" w:space="0"/>
            </w:tcBorders>
            <w:vAlign w:val="center"/>
          </w:tcPr>
          <w:p w14:paraId="6EAD4F93">
            <w:pPr>
              <w:pStyle w:val="45"/>
              <w:rPr>
                <w:rFonts w:hint="default"/>
              </w:rPr>
            </w:pPr>
          </w:p>
        </w:tc>
        <w:tc>
          <w:tcPr>
            <w:tcW w:w="608" w:type="dxa"/>
            <w:tcBorders>
              <w:top w:val="single" w:color="auto" w:sz="6" w:space="0"/>
              <w:bottom w:val="single" w:color="auto" w:sz="6" w:space="0"/>
              <w:right w:val="single" w:color="auto" w:sz="4" w:space="0"/>
            </w:tcBorders>
            <w:vAlign w:val="center"/>
          </w:tcPr>
          <w:p w14:paraId="33DF76CC">
            <w:pPr>
              <w:pStyle w:val="45"/>
              <w:rPr>
                <w:rFonts w:hint="default"/>
              </w:rPr>
            </w:pPr>
            <w:r>
              <w:t>★</w:t>
            </w:r>
          </w:p>
        </w:tc>
      </w:tr>
      <w:tr w14:paraId="2EEA3C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71" w:type="dxa"/>
            <w:bottom w:w="0" w:type="dxa"/>
            <w:right w:w="71" w:type="dxa"/>
          </w:tblCellMar>
        </w:tblPrEx>
        <w:trPr>
          <w:cantSplit/>
          <w:trHeight w:val="21" w:hRule="atLeast"/>
          <w:jc w:val="center"/>
        </w:trPr>
        <w:tc>
          <w:tcPr>
            <w:tcW w:w="1152" w:type="dxa"/>
            <w:vMerge w:val="continue"/>
            <w:tcBorders>
              <w:top w:val="single" w:color="auto" w:sz="6" w:space="0"/>
              <w:left w:val="single" w:color="auto" w:sz="4" w:space="0"/>
              <w:bottom w:val="single" w:color="auto" w:sz="6" w:space="0"/>
            </w:tcBorders>
            <w:vAlign w:val="center"/>
          </w:tcPr>
          <w:p w14:paraId="4408391E">
            <w:pPr>
              <w:pStyle w:val="45"/>
              <w:rPr>
                <w:rFonts w:hint="default"/>
              </w:rPr>
            </w:pPr>
          </w:p>
        </w:tc>
        <w:tc>
          <w:tcPr>
            <w:tcW w:w="1685" w:type="dxa"/>
            <w:tcBorders>
              <w:top w:val="single" w:color="auto" w:sz="6" w:space="0"/>
              <w:bottom w:val="single" w:color="auto" w:sz="6" w:space="0"/>
            </w:tcBorders>
            <w:vAlign w:val="center"/>
          </w:tcPr>
          <w:p w14:paraId="5793A40D">
            <w:pPr>
              <w:pStyle w:val="45"/>
              <w:rPr>
                <w:rFonts w:hint="default"/>
              </w:rPr>
            </w:pPr>
            <w:r>
              <w:t>植被生态</w:t>
            </w:r>
          </w:p>
        </w:tc>
        <w:tc>
          <w:tcPr>
            <w:tcW w:w="610" w:type="dxa"/>
            <w:tcBorders>
              <w:top w:val="single" w:color="auto" w:sz="6" w:space="0"/>
              <w:bottom w:val="single" w:color="auto" w:sz="6" w:space="0"/>
            </w:tcBorders>
            <w:vAlign w:val="center"/>
          </w:tcPr>
          <w:p w14:paraId="1FBF74DA">
            <w:pPr>
              <w:pStyle w:val="45"/>
              <w:rPr>
                <w:rFonts w:hint="default"/>
              </w:rPr>
            </w:pPr>
          </w:p>
        </w:tc>
        <w:tc>
          <w:tcPr>
            <w:tcW w:w="637" w:type="dxa"/>
            <w:tcBorders>
              <w:top w:val="single" w:color="auto" w:sz="6" w:space="0"/>
              <w:bottom w:val="single" w:color="auto" w:sz="6" w:space="0"/>
            </w:tcBorders>
            <w:vAlign w:val="center"/>
          </w:tcPr>
          <w:p w14:paraId="2496199B">
            <w:pPr>
              <w:pStyle w:val="45"/>
              <w:rPr>
                <w:rFonts w:hint="default"/>
              </w:rPr>
            </w:pPr>
            <w:r>
              <w:t>▲</w:t>
            </w:r>
          </w:p>
        </w:tc>
        <w:tc>
          <w:tcPr>
            <w:tcW w:w="639" w:type="dxa"/>
            <w:tcBorders>
              <w:top w:val="single" w:color="auto" w:sz="6" w:space="0"/>
              <w:bottom w:val="single" w:color="auto" w:sz="6" w:space="0"/>
            </w:tcBorders>
            <w:vAlign w:val="center"/>
          </w:tcPr>
          <w:p w14:paraId="44AA60DC">
            <w:pPr>
              <w:pStyle w:val="45"/>
              <w:rPr>
                <w:rFonts w:hint="default"/>
              </w:rPr>
            </w:pPr>
          </w:p>
        </w:tc>
        <w:tc>
          <w:tcPr>
            <w:tcW w:w="638" w:type="dxa"/>
            <w:tcBorders>
              <w:top w:val="single" w:color="auto" w:sz="6" w:space="0"/>
              <w:bottom w:val="single" w:color="auto" w:sz="6" w:space="0"/>
            </w:tcBorders>
            <w:vAlign w:val="center"/>
          </w:tcPr>
          <w:p w14:paraId="2BC7910F">
            <w:pPr>
              <w:pStyle w:val="45"/>
              <w:rPr>
                <w:rFonts w:hint="default"/>
              </w:rPr>
            </w:pPr>
          </w:p>
        </w:tc>
        <w:tc>
          <w:tcPr>
            <w:tcW w:w="588" w:type="dxa"/>
            <w:tcBorders>
              <w:top w:val="single" w:color="auto" w:sz="6" w:space="0"/>
              <w:bottom w:val="single" w:color="auto" w:sz="6" w:space="0"/>
            </w:tcBorders>
            <w:vAlign w:val="center"/>
          </w:tcPr>
          <w:p w14:paraId="5C1C1A01">
            <w:pPr>
              <w:pStyle w:val="45"/>
              <w:rPr>
                <w:rFonts w:hint="default"/>
              </w:rPr>
            </w:pPr>
          </w:p>
        </w:tc>
        <w:tc>
          <w:tcPr>
            <w:tcW w:w="639" w:type="dxa"/>
            <w:tcBorders>
              <w:top w:val="single" w:color="auto" w:sz="6" w:space="0"/>
              <w:bottom w:val="single" w:color="auto" w:sz="6" w:space="0"/>
            </w:tcBorders>
            <w:vAlign w:val="center"/>
          </w:tcPr>
          <w:p w14:paraId="515E0CE4">
            <w:pPr>
              <w:pStyle w:val="45"/>
              <w:rPr>
                <w:rFonts w:hint="default"/>
              </w:rPr>
            </w:pPr>
          </w:p>
        </w:tc>
        <w:tc>
          <w:tcPr>
            <w:tcW w:w="640" w:type="dxa"/>
            <w:tcBorders>
              <w:top w:val="single" w:color="auto" w:sz="6" w:space="0"/>
              <w:bottom w:val="single" w:color="auto" w:sz="6" w:space="0"/>
            </w:tcBorders>
            <w:vAlign w:val="center"/>
          </w:tcPr>
          <w:p w14:paraId="497957E7">
            <w:pPr>
              <w:pStyle w:val="45"/>
              <w:rPr>
                <w:rFonts w:hint="default"/>
              </w:rPr>
            </w:pPr>
          </w:p>
        </w:tc>
        <w:tc>
          <w:tcPr>
            <w:tcW w:w="588" w:type="dxa"/>
            <w:tcBorders>
              <w:top w:val="single" w:color="auto" w:sz="6" w:space="0"/>
              <w:bottom w:val="single" w:color="auto" w:sz="6" w:space="0"/>
            </w:tcBorders>
            <w:vAlign w:val="center"/>
          </w:tcPr>
          <w:p w14:paraId="3D5AAEB5">
            <w:pPr>
              <w:pStyle w:val="45"/>
              <w:rPr>
                <w:rFonts w:hint="default"/>
              </w:rPr>
            </w:pPr>
          </w:p>
        </w:tc>
        <w:tc>
          <w:tcPr>
            <w:tcW w:w="608" w:type="dxa"/>
            <w:tcBorders>
              <w:top w:val="single" w:color="auto" w:sz="6" w:space="0"/>
              <w:bottom w:val="single" w:color="auto" w:sz="6" w:space="0"/>
              <w:right w:val="single" w:color="auto" w:sz="4" w:space="0"/>
            </w:tcBorders>
            <w:vAlign w:val="center"/>
          </w:tcPr>
          <w:p w14:paraId="12AB5913">
            <w:pPr>
              <w:pStyle w:val="45"/>
              <w:rPr>
                <w:rFonts w:hint="default"/>
              </w:rPr>
            </w:pPr>
            <w:r>
              <w:t>★</w:t>
            </w:r>
          </w:p>
        </w:tc>
      </w:tr>
      <w:tr w14:paraId="55A7E2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71" w:type="dxa"/>
            <w:bottom w:w="0" w:type="dxa"/>
            <w:right w:w="71" w:type="dxa"/>
          </w:tblCellMar>
        </w:tblPrEx>
        <w:trPr>
          <w:cantSplit/>
          <w:trHeight w:val="21" w:hRule="atLeast"/>
          <w:jc w:val="center"/>
        </w:trPr>
        <w:tc>
          <w:tcPr>
            <w:tcW w:w="1152" w:type="dxa"/>
            <w:vMerge w:val="continue"/>
            <w:tcBorders>
              <w:top w:val="single" w:color="auto" w:sz="6" w:space="0"/>
              <w:left w:val="single" w:color="auto" w:sz="4" w:space="0"/>
              <w:bottom w:val="single" w:color="auto" w:sz="6" w:space="0"/>
            </w:tcBorders>
            <w:vAlign w:val="center"/>
          </w:tcPr>
          <w:p w14:paraId="7DBDB11A">
            <w:pPr>
              <w:pStyle w:val="45"/>
              <w:rPr>
                <w:rFonts w:hint="default"/>
              </w:rPr>
            </w:pPr>
          </w:p>
        </w:tc>
        <w:tc>
          <w:tcPr>
            <w:tcW w:w="1685" w:type="dxa"/>
            <w:tcBorders>
              <w:top w:val="single" w:color="auto" w:sz="6" w:space="0"/>
              <w:bottom w:val="single" w:color="auto" w:sz="6" w:space="0"/>
            </w:tcBorders>
            <w:vAlign w:val="center"/>
          </w:tcPr>
          <w:p w14:paraId="7556BF7E">
            <w:pPr>
              <w:pStyle w:val="45"/>
              <w:rPr>
                <w:rFonts w:hint="default"/>
              </w:rPr>
            </w:pPr>
            <w:r>
              <w:t>自然景观</w:t>
            </w:r>
          </w:p>
        </w:tc>
        <w:tc>
          <w:tcPr>
            <w:tcW w:w="610" w:type="dxa"/>
            <w:tcBorders>
              <w:top w:val="single" w:color="auto" w:sz="6" w:space="0"/>
              <w:bottom w:val="single" w:color="auto" w:sz="6" w:space="0"/>
            </w:tcBorders>
            <w:vAlign w:val="center"/>
          </w:tcPr>
          <w:p w14:paraId="274A56BC">
            <w:pPr>
              <w:pStyle w:val="45"/>
              <w:rPr>
                <w:rFonts w:hint="default"/>
              </w:rPr>
            </w:pPr>
          </w:p>
        </w:tc>
        <w:tc>
          <w:tcPr>
            <w:tcW w:w="637" w:type="dxa"/>
            <w:tcBorders>
              <w:top w:val="single" w:color="auto" w:sz="6" w:space="0"/>
              <w:bottom w:val="single" w:color="auto" w:sz="6" w:space="0"/>
            </w:tcBorders>
            <w:vAlign w:val="center"/>
          </w:tcPr>
          <w:p w14:paraId="47DDCD5A">
            <w:pPr>
              <w:pStyle w:val="45"/>
              <w:rPr>
                <w:rFonts w:hint="default"/>
              </w:rPr>
            </w:pPr>
            <w:r>
              <w:t>▲</w:t>
            </w:r>
          </w:p>
        </w:tc>
        <w:tc>
          <w:tcPr>
            <w:tcW w:w="639" w:type="dxa"/>
            <w:tcBorders>
              <w:top w:val="single" w:color="auto" w:sz="6" w:space="0"/>
              <w:bottom w:val="single" w:color="auto" w:sz="6" w:space="0"/>
            </w:tcBorders>
            <w:vAlign w:val="center"/>
          </w:tcPr>
          <w:p w14:paraId="62D383B0">
            <w:pPr>
              <w:pStyle w:val="45"/>
              <w:rPr>
                <w:rFonts w:hint="default"/>
              </w:rPr>
            </w:pPr>
          </w:p>
        </w:tc>
        <w:tc>
          <w:tcPr>
            <w:tcW w:w="638" w:type="dxa"/>
            <w:tcBorders>
              <w:top w:val="single" w:color="auto" w:sz="6" w:space="0"/>
              <w:bottom w:val="single" w:color="auto" w:sz="6" w:space="0"/>
            </w:tcBorders>
            <w:vAlign w:val="center"/>
          </w:tcPr>
          <w:p w14:paraId="1CC1D36C">
            <w:pPr>
              <w:pStyle w:val="45"/>
              <w:rPr>
                <w:rFonts w:hint="default"/>
              </w:rPr>
            </w:pPr>
          </w:p>
        </w:tc>
        <w:tc>
          <w:tcPr>
            <w:tcW w:w="588" w:type="dxa"/>
            <w:tcBorders>
              <w:top w:val="single" w:color="auto" w:sz="6" w:space="0"/>
              <w:bottom w:val="single" w:color="auto" w:sz="6" w:space="0"/>
            </w:tcBorders>
            <w:vAlign w:val="center"/>
          </w:tcPr>
          <w:p w14:paraId="6EC3E1B9">
            <w:pPr>
              <w:pStyle w:val="45"/>
              <w:rPr>
                <w:rFonts w:hint="default"/>
              </w:rPr>
            </w:pPr>
          </w:p>
        </w:tc>
        <w:tc>
          <w:tcPr>
            <w:tcW w:w="639" w:type="dxa"/>
            <w:tcBorders>
              <w:top w:val="single" w:color="auto" w:sz="6" w:space="0"/>
              <w:bottom w:val="single" w:color="auto" w:sz="6" w:space="0"/>
            </w:tcBorders>
            <w:vAlign w:val="center"/>
          </w:tcPr>
          <w:p w14:paraId="1971A59D">
            <w:pPr>
              <w:pStyle w:val="45"/>
              <w:rPr>
                <w:rFonts w:hint="default"/>
              </w:rPr>
            </w:pPr>
          </w:p>
        </w:tc>
        <w:tc>
          <w:tcPr>
            <w:tcW w:w="640" w:type="dxa"/>
            <w:tcBorders>
              <w:top w:val="single" w:color="auto" w:sz="6" w:space="0"/>
              <w:bottom w:val="single" w:color="auto" w:sz="6" w:space="0"/>
            </w:tcBorders>
            <w:vAlign w:val="center"/>
          </w:tcPr>
          <w:p w14:paraId="40B34008">
            <w:pPr>
              <w:pStyle w:val="45"/>
              <w:rPr>
                <w:rFonts w:hint="default"/>
              </w:rPr>
            </w:pPr>
          </w:p>
        </w:tc>
        <w:tc>
          <w:tcPr>
            <w:tcW w:w="588" w:type="dxa"/>
            <w:tcBorders>
              <w:top w:val="single" w:color="auto" w:sz="6" w:space="0"/>
              <w:bottom w:val="single" w:color="auto" w:sz="6" w:space="0"/>
            </w:tcBorders>
            <w:vAlign w:val="center"/>
          </w:tcPr>
          <w:p w14:paraId="5BF93339">
            <w:pPr>
              <w:pStyle w:val="45"/>
              <w:rPr>
                <w:rFonts w:hint="default"/>
              </w:rPr>
            </w:pPr>
          </w:p>
        </w:tc>
        <w:tc>
          <w:tcPr>
            <w:tcW w:w="608" w:type="dxa"/>
            <w:tcBorders>
              <w:top w:val="single" w:color="auto" w:sz="6" w:space="0"/>
              <w:bottom w:val="single" w:color="auto" w:sz="6" w:space="0"/>
              <w:right w:val="single" w:color="auto" w:sz="4" w:space="0"/>
            </w:tcBorders>
            <w:vAlign w:val="center"/>
          </w:tcPr>
          <w:p w14:paraId="3F73768D">
            <w:pPr>
              <w:pStyle w:val="45"/>
              <w:rPr>
                <w:rFonts w:hint="default"/>
              </w:rPr>
            </w:pPr>
          </w:p>
        </w:tc>
      </w:tr>
      <w:tr w14:paraId="60ECE7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71" w:type="dxa"/>
            <w:bottom w:w="0" w:type="dxa"/>
            <w:right w:w="71" w:type="dxa"/>
          </w:tblCellMar>
        </w:tblPrEx>
        <w:trPr>
          <w:cantSplit/>
          <w:trHeight w:val="21" w:hRule="atLeast"/>
          <w:jc w:val="center"/>
        </w:trPr>
        <w:tc>
          <w:tcPr>
            <w:tcW w:w="1152" w:type="dxa"/>
            <w:vMerge w:val="restart"/>
            <w:tcBorders>
              <w:top w:val="single" w:color="auto" w:sz="6" w:space="0"/>
              <w:left w:val="single" w:color="auto" w:sz="4" w:space="0"/>
              <w:bottom w:val="single" w:color="auto" w:sz="6" w:space="0"/>
            </w:tcBorders>
            <w:vAlign w:val="center"/>
          </w:tcPr>
          <w:p w14:paraId="464DE527">
            <w:pPr>
              <w:pStyle w:val="45"/>
              <w:rPr>
                <w:rFonts w:hint="default"/>
              </w:rPr>
            </w:pPr>
            <w:r>
              <w:t>生活</w:t>
            </w:r>
          </w:p>
          <w:p w14:paraId="351E3AF7">
            <w:pPr>
              <w:pStyle w:val="45"/>
              <w:rPr>
                <w:rFonts w:hint="default"/>
              </w:rPr>
            </w:pPr>
            <w:r>
              <w:t>质量</w:t>
            </w:r>
          </w:p>
        </w:tc>
        <w:tc>
          <w:tcPr>
            <w:tcW w:w="1685" w:type="dxa"/>
            <w:tcBorders>
              <w:top w:val="single" w:color="auto" w:sz="6" w:space="0"/>
              <w:bottom w:val="single" w:color="auto" w:sz="6" w:space="0"/>
            </w:tcBorders>
            <w:vAlign w:val="center"/>
          </w:tcPr>
          <w:p w14:paraId="5664FAA7">
            <w:pPr>
              <w:pStyle w:val="45"/>
              <w:rPr>
                <w:rFonts w:hint="default"/>
              </w:rPr>
            </w:pPr>
            <w:r>
              <w:t>空气质量</w:t>
            </w:r>
          </w:p>
        </w:tc>
        <w:tc>
          <w:tcPr>
            <w:tcW w:w="610" w:type="dxa"/>
            <w:tcBorders>
              <w:top w:val="single" w:color="auto" w:sz="6" w:space="0"/>
              <w:bottom w:val="single" w:color="auto" w:sz="6" w:space="0"/>
            </w:tcBorders>
            <w:vAlign w:val="center"/>
          </w:tcPr>
          <w:p w14:paraId="30699EF0">
            <w:pPr>
              <w:pStyle w:val="45"/>
              <w:rPr>
                <w:rFonts w:hint="default"/>
              </w:rPr>
            </w:pPr>
          </w:p>
        </w:tc>
        <w:tc>
          <w:tcPr>
            <w:tcW w:w="637" w:type="dxa"/>
            <w:tcBorders>
              <w:top w:val="single" w:color="auto" w:sz="6" w:space="0"/>
              <w:bottom w:val="single" w:color="auto" w:sz="6" w:space="0"/>
            </w:tcBorders>
            <w:vAlign w:val="center"/>
          </w:tcPr>
          <w:p w14:paraId="550DA0D7">
            <w:pPr>
              <w:pStyle w:val="45"/>
              <w:rPr>
                <w:rFonts w:hint="default"/>
              </w:rPr>
            </w:pPr>
            <w:r>
              <w:t>▲</w:t>
            </w:r>
          </w:p>
        </w:tc>
        <w:tc>
          <w:tcPr>
            <w:tcW w:w="639" w:type="dxa"/>
            <w:tcBorders>
              <w:top w:val="single" w:color="auto" w:sz="6" w:space="0"/>
              <w:bottom w:val="single" w:color="auto" w:sz="6" w:space="0"/>
            </w:tcBorders>
            <w:vAlign w:val="center"/>
          </w:tcPr>
          <w:p w14:paraId="7689A143">
            <w:pPr>
              <w:pStyle w:val="45"/>
              <w:rPr>
                <w:rFonts w:hint="default"/>
              </w:rPr>
            </w:pPr>
            <w:r>
              <w:t>▲</w:t>
            </w:r>
          </w:p>
        </w:tc>
        <w:tc>
          <w:tcPr>
            <w:tcW w:w="638" w:type="dxa"/>
            <w:tcBorders>
              <w:top w:val="single" w:color="auto" w:sz="6" w:space="0"/>
              <w:bottom w:val="single" w:color="auto" w:sz="6" w:space="0"/>
            </w:tcBorders>
            <w:vAlign w:val="center"/>
          </w:tcPr>
          <w:p w14:paraId="15166EC3">
            <w:pPr>
              <w:pStyle w:val="45"/>
              <w:rPr>
                <w:rFonts w:hint="default"/>
              </w:rPr>
            </w:pPr>
            <w:r>
              <w:t>▲</w:t>
            </w:r>
          </w:p>
        </w:tc>
        <w:tc>
          <w:tcPr>
            <w:tcW w:w="588" w:type="dxa"/>
            <w:tcBorders>
              <w:top w:val="single" w:color="auto" w:sz="6" w:space="0"/>
              <w:bottom w:val="single" w:color="auto" w:sz="6" w:space="0"/>
            </w:tcBorders>
            <w:vAlign w:val="center"/>
          </w:tcPr>
          <w:p w14:paraId="12273691">
            <w:pPr>
              <w:pStyle w:val="45"/>
              <w:rPr>
                <w:rFonts w:hint="default"/>
              </w:rPr>
            </w:pPr>
          </w:p>
        </w:tc>
        <w:tc>
          <w:tcPr>
            <w:tcW w:w="639" w:type="dxa"/>
            <w:tcBorders>
              <w:top w:val="single" w:color="auto" w:sz="6" w:space="0"/>
              <w:bottom w:val="single" w:color="auto" w:sz="6" w:space="0"/>
            </w:tcBorders>
            <w:vAlign w:val="center"/>
          </w:tcPr>
          <w:p w14:paraId="6A3C389A">
            <w:pPr>
              <w:pStyle w:val="45"/>
              <w:rPr>
                <w:rFonts w:hint="default"/>
              </w:rPr>
            </w:pPr>
          </w:p>
        </w:tc>
        <w:tc>
          <w:tcPr>
            <w:tcW w:w="640" w:type="dxa"/>
            <w:tcBorders>
              <w:top w:val="single" w:color="auto" w:sz="6" w:space="0"/>
              <w:bottom w:val="single" w:color="auto" w:sz="6" w:space="0"/>
            </w:tcBorders>
            <w:vAlign w:val="center"/>
          </w:tcPr>
          <w:p w14:paraId="51C96857">
            <w:pPr>
              <w:pStyle w:val="45"/>
              <w:rPr>
                <w:rFonts w:hint="default"/>
              </w:rPr>
            </w:pPr>
            <w:r>
              <w:t>★</w:t>
            </w:r>
          </w:p>
        </w:tc>
        <w:tc>
          <w:tcPr>
            <w:tcW w:w="588" w:type="dxa"/>
            <w:tcBorders>
              <w:top w:val="single" w:color="auto" w:sz="6" w:space="0"/>
              <w:bottom w:val="single" w:color="auto" w:sz="6" w:space="0"/>
            </w:tcBorders>
            <w:vAlign w:val="center"/>
          </w:tcPr>
          <w:p w14:paraId="3FD2219E">
            <w:pPr>
              <w:pStyle w:val="45"/>
              <w:rPr>
                <w:rFonts w:hint="default"/>
              </w:rPr>
            </w:pPr>
          </w:p>
        </w:tc>
        <w:tc>
          <w:tcPr>
            <w:tcW w:w="608" w:type="dxa"/>
            <w:tcBorders>
              <w:top w:val="single" w:color="auto" w:sz="6" w:space="0"/>
              <w:bottom w:val="single" w:color="auto" w:sz="6" w:space="0"/>
              <w:right w:val="single" w:color="auto" w:sz="4" w:space="0"/>
            </w:tcBorders>
            <w:vAlign w:val="center"/>
          </w:tcPr>
          <w:p w14:paraId="57C49630">
            <w:pPr>
              <w:pStyle w:val="45"/>
              <w:rPr>
                <w:rFonts w:hint="default"/>
              </w:rPr>
            </w:pPr>
            <w:r>
              <w:t>★</w:t>
            </w:r>
          </w:p>
        </w:tc>
      </w:tr>
      <w:tr w14:paraId="138CBB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71" w:type="dxa"/>
            <w:bottom w:w="0" w:type="dxa"/>
            <w:right w:w="71" w:type="dxa"/>
          </w:tblCellMar>
        </w:tblPrEx>
        <w:trPr>
          <w:cantSplit/>
          <w:trHeight w:val="21" w:hRule="atLeast"/>
          <w:jc w:val="center"/>
        </w:trPr>
        <w:tc>
          <w:tcPr>
            <w:tcW w:w="1152" w:type="dxa"/>
            <w:vMerge w:val="continue"/>
            <w:tcBorders>
              <w:top w:val="single" w:color="auto" w:sz="6" w:space="0"/>
              <w:left w:val="single" w:color="auto" w:sz="4" w:space="0"/>
              <w:bottom w:val="single" w:color="auto" w:sz="6" w:space="0"/>
            </w:tcBorders>
            <w:vAlign w:val="center"/>
          </w:tcPr>
          <w:p w14:paraId="2CF591C4">
            <w:pPr>
              <w:pStyle w:val="45"/>
              <w:rPr>
                <w:rFonts w:hint="default"/>
              </w:rPr>
            </w:pPr>
          </w:p>
        </w:tc>
        <w:tc>
          <w:tcPr>
            <w:tcW w:w="1685" w:type="dxa"/>
            <w:tcBorders>
              <w:top w:val="single" w:color="auto" w:sz="6" w:space="0"/>
              <w:bottom w:val="single" w:color="auto" w:sz="6" w:space="0"/>
            </w:tcBorders>
            <w:vAlign w:val="center"/>
          </w:tcPr>
          <w:p w14:paraId="680BDD52">
            <w:pPr>
              <w:pStyle w:val="45"/>
              <w:rPr>
                <w:rFonts w:hint="default"/>
              </w:rPr>
            </w:pPr>
            <w:r>
              <w:t>地表水质</w:t>
            </w:r>
          </w:p>
        </w:tc>
        <w:tc>
          <w:tcPr>
            <w:tcW w:w="610" w:type="dxa"/>
            <w:tcBorders>
              <w:top w:val="single" w:color="auto" w:sz="6" w:space="0"/>
              <w:bottom w:val="single" w:color="auto" w:sz="6" w:space="0"/>
            </w:tcBorders>
            <w:vAlign w:val="center"/>
          </w:tcPr>
          <w:p w14:paraId="38B023FB">
            <w:pPr>
              <w:pStyle w:val="45"/>
              <w:rPr>
                <w:rFonts w:hint="default"/>
              </w:rPr>
            </w:pPr>
          </w:p>
        </w:tc>
        <w:tc>
          <w:tcPr>
            <w:tcW w:w="637" w:type="dxa"/>
            <w:tcBorders>
              <w:top w:val="single" w:color="auto" w:sz="6" w:space="0"/>
              <w:bottom w:val="single" w:color="auto" w:sz="6" w:space="0"/>
            </w:tcBorders>
            <w:vAlign w:val="center"/>
          </w:tcPr>
          <w:p w14:paraId="257F2736">
            <w:pPr>
              <w:pStyle w:val="45"/>
              <w:rPr>
                <w:rFonts w:hint="default"/>
              </w:rPr>
            </w:pPr>
            <w:r>
              <w:t>▲</w:t>
            </w:r>
          </w:p>
        </w:tc>
        <w:tc>
          <w:tcPr>
            <w:tcW w:w="639" w:type="dxa"/>
            <w:tcBorders>
              <w:top w:val="single" w:color="auto" w:sz="6" w:space="0"/>
              <w:bottom w:val="single" w:color="auto" w:sz="6" w:space="0"/>
            </w:tcBorders>
            <w:vAlign w:val="center"/>
          </w:tcPr>
          <w:p w14:paraId="38437B54">
            <w:pPr>
              <w:pStyle w:val="45"/>
              <w:rPr>
                <w:rFonts w:hint="default"/>
              </w:rPr>
            </w:pPr>
          </w:p>
        </w:tc>
        <w:tc>
          <w:tcPr>
            <w:tcW w:w="638" w:type="dxa"/>
            <w:tcBorders>
              <w:top w:val="single" w:color="auto" w:sz="6" w:space="0"/>
              <w:bottom w:val="single" w:color="auto" w:sz="6" w:space="0"/>
            </w:tcBorders>
            <w:vAlign w:val="center"/>
          </w:tcPr>
          <w:p w14:paraId="00B67F79">
            <w:pPr>
              <w:pStyle w:val="45"/>
              <w:rPr>
                <w:rFonts w:hint="default"/>
              </w:rPr>
            </w:pPr>
          </w:p>
        </w:tc>
        <w:tc>
          <w:tcPr>
            <w:tcW w:w="588" w:type="dxa"/>
            <w:tcBorders>
              <w:top w:val="single" w:color="auto" w:sz="6" w:space="0"/>
              <w:bottom w:val="single" w:color="auto" w:sz="6" w:space="0"/>
            </w:tcBorders>
            <w:vAlign w:val="center"/>
          </w:tcPr>
          <w:p w14:paraId="51088D9E">
            <w:pPr>
              <w:pStyle w:val="45"/>
              <w:rPr>
                <w:rFonts w:hint="default"/>
              </w:rPr>
            </w:pPr>
          </w:p>
        </w:tc>
        <w:tc>
          <w:tcPr>
            <w:tcW w:w="639" w:type="dxa"/>
            <w:tcBorders>
              <w:top w:val="single" w:color="auto" w:sz="6" w:space="0"/>
              <w:bottom w:val="single" w:color="auto" w:sz="6" w:space="0"/>
            </w:tcBorders>
            <w:vAlign w:val="center"/>
          </w:tcPr>
          <w:p w14:paraId="6542E556">
            <w:pPr>
              <w:pStyle w:val="45"/>
              <w:rPr>
                <w:rFonts w:hint="default"/>
              </w:rPr>
            </w:pPr>
            <w:r>
              <w:t>★</w:t>
            </w:r>
          </w:p>
        </w:tc>
        <w:tc>
          <w:tcPr>
            <w:tcW w:w="640" w:type="dxa"/>
            <w:tcBorders>
              <w:top w:val="single" w:color="auto" w:sz="6" w:space="0"/>
              <w:bottom w:val="single" w:color="auto" w:sz="6" w:space="0"/>
            </w:tcBorders>
            <w:vAlign w:val="center"/>
          </w:tcPr>
          <w:p w14:paraId="2943F019">
            <w:pPr>
              <w:pStyle w:val="45"/>
              <w:rPr>
                <w:rFonts w:hint="default"/>
              </w:rPr>
            </w:pPr>
          </w:p>
        </w:tc>
        <w:tc>
          <w:tcPr>
            <w:tcW w:w="588" w:type="dxa"/>
            <w:tcBorders>
              <w:top w:val="single" w:color="auto" w:sz="6" w:space="0"/>
              <w:bottom w:val="single" w:color="auto" w:sz="6" w:space="0"/>
            </w:tcBorders>
            <w:vAlign w:val="center"/>
          </w:tcPr>
          <w:p w14:paraId="73698F0D">
            <w:pPr>
              <w:pStyle w:val="45"/>
              <w:rPr>
                <w:rFonts w:hint="default"/>
              </w:rPr>
            </w:pPr>
          </w:p>
        </w:tc>
        <w:tc>
          <w:tcPr>
            <w:tcW w:w="608" w:type="dxa"/>
            <w:tcBorders>
              <w:top w:val="single" w:color="auto" w:sz="6" w:space="0"/>
              <w:bottom w:val="single" w:color="auto" w:sz="6" w:space="0"/>
              <w:right w:val="single" w:color="auto" w:sz="4" w:space="0"/>
            </w:tcBorders>
            <w:vAlign w:val="center"/>
          </w:tcPr>
          <w:p w14:paraId="1473189A">
            <w:pPr>
              <w:pStyle w:val="45"/>
              <w:rPr>
                <w:rFonts w:hint="default"/>
              </w:rPr>
            </w:pPr>
            <w:r>
              <w:t>★</w:t>
            </w:r>
          </w:p>
        </w:tc>
      </w:tr>
      <w:tr w14:paraId="57DD3E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71" w:type="dxa"/>
            <w:bottom w:w="0" w:type="dxa"/>
            <w:right w:w="71" w:type="dxa"/>
          </w:tblCellMar>
        </w:tblPrEx>
        <w:trPr>
          <w:cantSplit/>
          <w:trHeight w:val="21" w:hRule="atLeast"/>
          <w:jc w:val="center"/>
        </w:trPr>
        <w:tc>
          <w:tcPr>
            <w:tcW w:w="1152" w:type="dxa"/>
            <w:vMerge w:val="continue"/>
            <w:tcBorders>
              <w:top w:val="single" w:color="auto" w:sz="6" w:space="0"/>
              <w:left w:val="single" w:color="auto" w:sz="4" w:space="0"/>
              <w:bottom w:val="single" w:color="auto" w:sz="6" w:space="0"/>
            </w:tcBorders>
            <w:vAlign w:val="center"/>
          </w:tcPr>
          <w:p w14:paraId="02E068DF">
            <w:pPr>
              <w:pStyle w:val="45"/>
              <w:rPr>
                <w:rFonts w:hint="default"/>
              </w:rPr>
            </w:pPr>
          </w:p>
        </w:tc>
        <w:tc>
          <w:tcPr>
            <w:tcW w:w="1685" w:type="dxa"/>
            <w:tcBorders>
              <w:top w:val="single" w:color="auto" w:sz="6" w:space="0"/>
              <w:bottom w:val="single" w:color="auto" w:sz="6" w:space="0"/>
            </w:tcBorders>
            <w:vAlign w:val="center"/>
          </w:tcPr>
          <w:p w14:paraId="6EAEAC66">
            <w:pPr>
              <w:pStyle w:val="45"/>
              <w:rPr>
                <w:rFonts w:hint="default"/>
              </w:rPr>
            </w:pPr>
            <w:r>
              <w:t>声学环境</w:t>
            </w:r>
          </w:p>
        </w:tc>
        <w:tc>
          <w:tcPr>
            <w:tcW w:w="610" w:type="dxa"/>
            <w:tcBorders>
              <w:top w:val="single" w:color="auto" w:sz="6" w:space="0"/>
              <w:bottom w:val="single" w:color="auto" w:sz="6" w:space="0"/>
            </w:tcBorders>
            <w:vAlign w:val="center"/>
          </w:tcPr>
          <w:p w14:paraId="584C6E1F">
            <w:pPr>
              <w:pStyle w:val="45"/>
              <w:rPr>
                <w:rFonts w:hint="default"/>
              </w:rPr>
            </w:pPr>
          </w:p>
        </w:tc>
        <w:tc>
          <w:tcPr>
            <w:tcW w:w="637" w:type="dxa"/>
            <w:tcBorders>
              <w:top w:val="single" w:color="auto" w:sz="6" w:space="0"/>
              <w:bottom w:val="single" w:color="auto" w:sz="6" w:space="0"/>
            </w:tcBorders>
            <w:vAlign w:val="center"/>
          </w:tcPr>
          <w:p w14:paraId="147C223F">
            <w:pPr>
              <w:pStyle w:val="45"/>
              <w:rPr>
                <w:rFonts w:hint="default"/>
              </w:rPr>
            </w:pPr>
            <w:r>
              <w:t>▲</w:t>
            </w:r>
          </w:p>
        </w:tc>
        <w:tc>
          <w:tcPr>
            <w:tcW w:w="639" w:type="dxa"/>
            <w:tcBorders>
              <w:top w:val="single" w:color="auto" w:sz="6" w:space="0"/>
              <w:bottom w:val="single" w:color="auto" w:sz="6" w:space="0"/>
            </w:tcBorders>
            <w:vAlign w:val="center"/>
          </w:tcPr>
          <w:p w14:paraId="75DE2EA9">
            <w:pPr>
              <w:pStyle w:val="45"/>
              <w:rPr>
                <w:rFonts w:hint="default"/>
              </w:rPr>
            </w:pPr>
            <w:r>
              <w:t>▲</w:t>
            </w:r>
          </w:p>
        </w:tc>
        <w:tc>
          <w:tcPr>
            <w:tcW w:w="638" w:type="dxa"/>
            <w:tcBorders>
              <w:top w:val="single" w:color="auto" w:sz="6" w:space="0"/>
              <w:bottom w:val="single" w:color="auto" w:sz="6" w:space="0"/>
            </w:tcBorders>
            <w:vAlign w:val="center"/>
          </w:tcPr>
          <w:p w14:paraId="0A864475">
            <w:pPr>
              <w:pStyle w:val="45"/>
              <w:rPr>
                <w:rFonts w:hint="default"/>
              </w:rPr>
            </w:pPr>
            <w:r>
              <w:t>▲</w:t>
            </w:r>
          </w:p>
        </w:tc>
        <w:tc>
          <w:tcPr>
            <w:tcW w:w="588" w:type="dxa"/>
            <w:tcBorders>
              <w:top w:val="single" w:color="auto" w:sz="6" w:space="0"/>
              <w:bottom w:val="single" w:color="auto" w:sz="6" w:space="0"/>
            </w:tcBorders>
            <w:vAlign w:val="center"/>
          </w:tcPr>
          <w:p w14:paraId="22AF9CDA">
            <w:pPr>
              <w:pStyle w:val="45"/>
              <w:rPr>
                <w:rFonts w:hint="default"/>
              </w:rPr>
            </w:pPr>
            <w:r>
              <w:t>★</w:t>
            </w:r>
          </w:p>
        </w:tc>
        <w:tc>
          <w:tcPr>
            <w:tcW w:w="639" w:type="dxa"/>
            <w:tcBorders>
              <w:top w:val="single" w:color="auto" w:sz="6" w:space="0"/>
              <w:bottom w:val="single" w:color="auto" w:sz="6" w:space="0"/>
            </w:tcBorders>
            <w:vAlign w:val="center"/>
          </w:tcPr>
          <w:p w14:paraId="6C08BF03">
            <w:pPr>
              <w:pStyle w:val="45"/>
              <w:rPr>
                <w:rFonts w:hint="default"/>
              </w:rPr>
            </w:pPr>
          </w:p>
        </w:tc>
        <w:tc>
          <w:tcPr>
            <w:tcW w:w="640" w:type="dxa"/>
            <w:tcBorders>
              <w:top w:val="single" w:color="auto" w:sz="6" w:space="0"/>
              <w:bottom w:val="single" w:color="auto" w:sz="6" w:space="0"/>
            </w:tcBorders>
            <w:vAlign w:val="center"/>
          </w:tcPr>
          <w:p w14:paraId="3037CE51">
            <w:pPr>
              <w:pStyle w:val="45"/>
              <w:rPr>
                <w:rFonts w:hint="default"/>
              </w:rPr>
            </w:pPr>
          </w:p>
        </w:tc>
        <w:tc>
          <w:tcPr>
            <w:tcW w:w="588" w:type="dxa"/>
            <w:tcBorders>
              <w:top w:val="single" w:color="auto" w:sz="6" w:space="0"/>
              <w:bottom w:val="single" w:color="auto" w:sz="6" w:space="0"/>
            </w:tcBorders>
            <w:vAlign w:val="center"/>
          </w:tcPr>
          <w:p w14:paraId="07D68046">
            <w:pPr>
              <w:pStyle w:val="45"/>
              <w:rPr>
                <w:rFonts w:hint="default"/>
              </w:rPr>
            </w:pPr>
          </w:p>
        </w:tc>
        <w:tc>
          <w:tcPr>
            <w:tcW w:w="608" w:type="dxa"/>
            <w:tcBorders>
              <w:top w:val="single" w:color="auto" w:sz="6" w:space="0"/>
              <w:bottom w:val="single" w:color="auto" w:sz="6" w:space="0"/>
              <w:right w:val="single" w:color="auto" w:sz="4" w:space="0"/>
            </w:tcBorders>
            <w:vAlign w:val="center"/>
          </w:tcPr>
          <w:p w14:paraId="39E04510">
            <w:pPr>
              <w:pStyle w:val="45"/>
              <w:rPr>
                <w:rFonts w:hint="default"/>
              </w:rPr>
            </w:pPr>
          </w:p>
        </w:tc>
      </w:tr>
      <w:tr w14:paraId="57B9B5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71" w:type="dxa"/>
            <w:bottom w:w="0" w:type="dxa"/>
            <w:right w:w="71" w:type="dxa"/>
          </w:tblCellMar>
        </w:tblPrEx>
        <w:trPr>
          <w:cantSplit/>
          <w:trHeight w:val="21" w:hRule="atLeast"/>
          <w:jc w:val="center"/>
        </w:trPr>
        <w:tc>
          <w:tcPr>
            <w:tcW w:w="1152" w:type="dxa"/>
            <w:vMerge w:val="continue"/>
            <w:tcBorders>
              <w:top w:val="single" w:color="auto" w:sz="6" w:space="0"/>
              <w:left w:val="single" w:color="auto" w:sz="4" w:space="0"/>
              <w:bottom w:val="single" w:color="auto" w:sz="6" w:space="0"/>
            </w:tcBorders>
            <w:vAlign w:val="center"/>
          </w:tcPr>
          <w:p w14:paraId="78FC9729">
            <w:pPr>
              <w:pStyle w:val="45"/>
              <w:rPr>
                <w:rFonts w:hint="default"/>
              </w:rPr>
            </w:pPr>
          </w:p>
        </w:tc>
        <w:tc>
          <w:tcPr>
            <w:tcW w:w="1685" w:type="dxa"/>
            <w:tcBorders>
              <w:top w:val="single" w:color="auto" w:sz="6" w:space="0"/>
              <w:bottom w:val="single" w:color="auto" w:sz="6" w:space="0"/>
            </w:tcBorders>
            <w:vAlign w:val="center"/>
          </w:tcPr>
          <w:p w14:paraId="07ACE20C">
            <w:pPr>
              <w:pStyle w:val="45"/>
              <w:rPr>
                <w:rFonts w:hint="default"/>
              </w:rPr>
            </w:pPr>
            <w:r>
              <w:t>居住条件</w:t>
            </w:r>
          </w:p>
        </w:tc>
        <w:tc>
          <w:tcPr>
            <w:tcW w:w="610" w:type="dxa"/>
            <w:tcBorders>
              <w:top w:val="single" w:color="auto" w:sz="6" w:space="0"/>
              <w:bottom w:val="single" w:color="auto" w:sz="6" w:space="0"/>
            </w:tcBorders>
            <w:vAlign w:val="center"/>
          </w:tcPr>
          <w:p w14:paraId="6127C3CD">
            <w:pPr>
              <w:pStyle w:val="45"/>
              <w:rPr>
                <w:rFonts w:hint="default"/>
              </w:rPr>
            </w:pPr>
          </w:p>
        </w:tc>
        <w:tc>
          <w:tcPr>
            <w:tcW w:w="637" w:type="dxa"/>
            <w:tcBorders>
              <w:top w:val="single" w:color="auto" w:sz="6" w:space="0"/>
              <w:bottom w:val="single" w:color="auto" w:sz="6" w:space="0"/>
            </w:tcBorders>
            <w:vAlign w:val="center"/>
          </w:tcPr>
          <w:p w14:paraId="45B0BAD2">
            <w:pPr>
              <w:pStyle w:val="45"/>
              <w:rPr>
                <w:rFonts w:hint="default"/>
              </w:rPr>
            </w:pPr>
            <w:r>
              <w:t>▲</w:t>
            </w:r>
          </w:p>
        </w:tc>
        <w:tc>
          <w:tcPr>
            <w:tcW w:w="639" w:type="dxa"/>
            <w:tcBorders>
              <w:top w:val="single" w:color="auto" w:sz="6" w:space="0"/>
              <w:bottom w:val="single" w:color="auto" w:sz="6" w:space="0"/>
            </w:tcBorders>
            <w:vAlign w:val="center"/>
          </w:tcPr>
          <w:p w14:paraId="19B75C78">
            <w:pPr>
              <w:pStyle w:val="45"/>
              <w:rPr>
                <w:rFonts w:hint="default"/>
              </w:rPr>
            </w:pPr>
          </w:p>
        </w:tc>
        <w:tc>
          <w:tcPr>
            <w:tcW w:w="638" w:type="dxa"/>
            <w:tcBorders>
              <w:top w:val="single" w:color="auto" w:sz="6" w:space="0"/>
              <w:bottom w:val="single" w:color="auto" w:sz="6" w:space="0"/>
            </w:tcBorders>
            <w:vAlign w:val="center"/>
          </w:tcPr>
          <w:p w14:paraId="12A9271F">
            <w:pPr>
              <w:pStyle w:val="45"/>
              <w:rPr>
                <w:rFonts w:hint="default"/>
              </w:rPr>
            </w:pPr>
          </w:p>
        </w:tc>
        <w:tc>
          <w:tcPr>
            <w:tcW w:w="588" w:type="dxa"/>
            <w:tcBorders>
              <w:top w:val="single" w:color="auto" w:sz="6" w:space="0"/>
              <w:bottom w:val="single" w:color="auto" w:sz="6" w:space="0"/>
            </w:tcBorders>
            <w:vAlign w:val="center"/>
          </w:tcPr>
          <w:p w14:paraId="36F94AC1">
            <w:pPr>
              <w:pStyle w:val="45"/>
              <w:rPr>
                <w:rFonts w:hint="default"/>
              </w:rPr>
            </w:pPr>
            <w:r>
              <w:t>★</w:t>
            </w:r>
          </w:p>
        </w:tc>
        <w:tc>
          <w:tcPr>
            <w:tcW w:w="639" w:type="dxa"/>
            <w:tcBorders>
              <w:top w:val="single" w:color="auto" w:sz="6" w:space="0"/>
              <w:bottom w:val="single" w:color="auto" w:sz="6" w:space="0"/>
            </w:tcBorders>
            <w:vAlign w:val="center"/>
          </w:tcPr>
          <w:p w14:paraId="74FF8E77">
            <w:pPr>
              <w:pStyle w:val="45"/>
              <w:rPr>
                <w:rFonts w:hint="default"/>
              </w:rPr>
            </w:pPr>
            <w:r>
              <w:t>★</w:t>
            </w:r>
          </w:p>
        </w:tc>
        <w:tc>
          <w:tcPr>
            <w:tcW w:w="640" w:type="dxa"/>
            <w:tcBorders>
              <w:top w:val="single" w:color="auto" w:sz="6" w:space="0"/>
              <w:bottom w:val="single" w:color="auto" w:sz="6" w:space="0"/>
            </w:tcBorders>
            <w:vAlign w:val="center"/>
          </w:tcPr>
          <w:p w14:paraId="7DDE5B2D">
            <w:pPr>
              <w:pStyle w:val="45"/>
              <w:rPr>
                <w:rFonts w:hint="default"/>
              </w:rPr>
            </w:pPr>
            <w:r>
              <w:t>★</w:t>
            </w:r>
          </w:p>
        </w:tc>
        <w:tc>
          <w:tcPr>
            <w:tcW w:w="588" w:type="dxa"/>
            <w:tcBorders>
              <w:top w:val="single" w:color="auto" w:sz="6" w:space="0"/>
              <w:bottom w:val="single" w:color="auto" w:sz="6" w:space="0"/>
            </w:tcBorders>
            <w:vAlign w:val="center"/>
          </w:tcPr>
          <w:p w14:paraId="157376AB">
            <w:pPr>
              <w:pStyle w:val="45"/>
              <w:rPr>
                <w:rFonts w:hint="default"/>
              </w:rPr>
            </w:pPr>
            <w:r>
              <w:t>★</w:t>
            </w:r>
          </w:p>
        </w:tc>
        <w:tc>
          <w:tcPr>
            <w:tcW w:w="608" w:type="dxa"/>
            <w:tcBorders>
              <w:top w:val="single" w:color="auto" w:sz="6" w:space="0"/>
              <w:bottom w:val="single" w:color="auto" w:sz="6" w:space="0"/>
              <w:right w:val="single" w:color="auto" w:sz="4" w:space="0"/>
            </w:tcBorders>
            <w:vAlign w:val="center"/>
          </w:tcPr>
          <w:p w14:paraId="1C1AC2AC">
            <w:pPr>
              <w:pStyle w:val="45"/>
              <w:rPr>
                <w:rFonts w:hint="default"/>
              </w:rPr>
            </w:pPr>
            <w:r>
              <w:t>★</w:t>
            </w:r>
          </w:p>
        </w:tc>
      </w:tr>
      <w:tr w14:paraId="0800E4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71" w:type="dxa"/>
            <w:bottom w:w="0" w:type="dxa"/>
            <w:right w:w="71" w:type="dxa"/>
          </w:tblCellMar>
        </w:tblPrEx>
        <w:trPr>
          <w:cantSplit/>
          <w:trHeight w:val="21" w:hRule="atLeast"/>
          <w:jc w:val="center"/>
        </w:trPr>
        <w:tc>
          <w:tcPr>
            <w:tcW w:w="1152" w:type="dxa"/>
            <w:vMerge w:val="continue"/>
            <w:tcBorders>
              <w:top w:val="single" w:color="auto" w:sz="6" w:space="0"/>
              <w:left w:val="single" w:color="auto" w:sz="4" w:space="0"/>
              <w:bottom w:val="single" w:color="auto" w:sz="4" w:space="0"/>
            </w:tcBorders>
            <w:vAlign w:val="center"/>
          </w:tcPr>
          <w:p w14:paraId="5379114E">
            <w:pPr>
              <w:pStyle w:val="45"/>
              <w:rPr>
                <w:rFonts w:hint="default"/>
              </w:rPr>
            </w:pPr>
          </w:p>
        </w:tc>
        <w:tc>
          <w:tcPr>
            <w:tcW w:w="1685" w:type="dxa"/>
            <w:tcBorders>
              <w:top w:val="single" w:color="auto" w:sz="6" w:space="0"/>
              <w:bottom w:val="single" w:color="auto" w:sz="4" w:space="0"/>
            </w:tcBorders>
            <w:vAlign w:val="center"/>
          </w:tcPr>
          <w:p w14:paraId="07499BD2">
            <w:pPr>
              <w:pStyle w:val="45"/>
              <w:rPr>
                <w:rFonts w:hint="default"/>
              </w:rPr>
            </w:pPr>
            <w:r>
              <w:t>经济收入</w:t>
            </w:r>
          </w:p>
        </w:tc>
        <w:tc>
          <w:tcPr>
            <w:tcW w:w="610" w:type="dxa"/>
            <w:tcBorders>
              <w:top w:val="single" w:color="auto" w:sz="6" w:space="0"/>
              <w:bottom w:val="single" w:color="auto" w:sz="4" w:space="0"/>
            </w:tcBorders>
            <w:vAlign w:val="center"/>
          </w:tcPr>
          <w:p w14:paraId="37BA5B9F">
            <w:pPr>
              <w:pStyle w:val="45"/>
              <w:rPr>
                <w:rFonts w:hint="default"/>
              </w:rPr>
            </w:pPr>
          </w:p>
        </w:tc>
        <w:tc>
          <w:tcPr>
            <w:tcW w:w="637" w:type="dxa"/>
            <w:tcBorders>
              <w:top w:val="single" w:color="auto" w:sz="6" w:space="0"/>
              <w:bottom w:val="single" w:color="auto" w:sz="4" w:space="0"/>
            </w:tcBorders>
            <w:vAlign w:val="center"/>
          </w:tcPr>
          <w:p w14:paraId="41A69D52">
            <w:pPr>
              <w:pStyle w:val="45"/>
              <w:rPr>
                <w:rFonts w:hint="default"/>
              </w:rPr>
            </w:pPr>
            <w:r>
              <w:t>△</w:t>
            </w:r>
          </w:p>
        </w:tc>
        <w:tc>
          <w:tcPr>
            <w:tcW w:w="639" w:type="dxa"/>
            <w:tcBorders>
              <w:top w:val="single" w:color="auto" w:sz="6" w:space="0"/>
              <w:bottom w:val="single" w:color="auto" w:sz="4" w:space="0"/>
            </w:tcBorders>
            <w:vAlign w:val="center"/>
          </w:tcPr>
          <w:p w14:paraId="68707E9E">
            <w:pPr>
              <w:pStyle w:val="45"/>
              <w:rPr>
                <w:rFonts w:hint="default"/>
              </w:rPr>
            </w:pPr>
          </w:p>
        </w:tc>
        <w:tc>
          <w:tcPr>
            <w:tcW w:w="638" w:type="dxa"/>
            <w:tcBorders>
              <w:top w:val="single" w:color="auto" w:sz="6" w:space="0"/>
              <w:bottom w:val="single" w:color="auto" w:sz="4" w:space="0"/>
            </w:tcBorders>
            <w:vAlign w:val="center"/>
          </w:tcPr>
          <w:p w14:paraId="28D771CB">
            <w:pPr>
              <w:pStyle w:val="45"/>
              <w:rPr>
                <w:rFonts w:hint="default"/>
              </w:rPr>
            </w:pPr>
            <w:r>
              <w:t>☆</w:t>
            </w:r>
          </w:p>
        </w:tc>
        <w:tc>
          <w:tcPr>
            <w:tcW w:w="588" w:type="dxa"/>
            <w:tcBorders>
              <w:top w:val="single" w:color="auto" w:sz="6" w:space="0"/>
              <w:bottom w:val="single" w:color="auto" w:sz="4" w:space="0"/>
            </w:tcBorders>
            <w:vAlign w:val="center"/>
          </w:tcPr>
          <w:p w14:paraId="614AE439">
            <w:pPr>
              <w:pStyle w:val="45"/>
              <w:rPr>
                <w:rFonts w:hint="default"/>
              </w:rPr>
            </w:pPr>
          </w:p>
        </w:tc>
        <w:tc>
          <w:tcPr>
            <w:tcW w:w="639" w:type="dxa"/>
            <w:tcBorders>
              <w:top w:val="single" w:color="auto" w:sz="6" w:space="0"/>
              <w:bottom w:val="single" w:color="auto" w:sz="4" w:space="0"/>
            </w:tcBorders>
            <w:vAlign w:val="center"/>
          </w:tcPr>
          <w:p w14:paraId="12E8E0C2">
            <w:pPr>
              <w:pStyle w:val="45"/>
              <w:rPr>
                <w:rFonts w:hint="default"/>
              </w:rPr>
            </w:pPr>
          </w:p>
        </w:tc>
        <w:tc>
          <w:tcPr>
            <w:tcW w:w="640" w:type="dxa"/>
            <w:tcBorders>
              <w:top w:val="single" w:color="auto" w:sz="6" w:space="0"/>
              <w:bottom w:val="single" w:color="auto" w:sz="4" w:space="0"/>
            </w:tcBorders>
            <w:vAlign w:val="center"/>
          </w:tcPr>
          <w:p w14:paraId="30AD405F">
            <w:pPr>
              <w:pStyle w:val="45"/>
              <w:rPr>
                <w:rFonts w:hint="default"/>
              </w:rPr>
            </w:pPr>
          </w:p>
        </w:tc>
        <w:tc>
          <w:tcPr>
            <w:tcW w:w="588" w:type="dxa"/>
            <w:tcBorders>
              <w:top w:val="single" w:color="auto" w:sz="6" w:space="0"/>
              <w:bottom w:val="single" w:color="auto" w:sz="4" w:space="0"/>
            </w:tcBorders>
            <w:vAlign w:val="center"/>
          </w:tcPr>
          <w:p w14:paraId="10CC319C">
            <w:pPr>
              <w:pStyle w:val="45"/>
              <w:rPr>
                <w:rFonts w:hint="default"/>
              </w:rPr>
            </w:pPr>
          </w:p>
        </w:tc>
        <w:tc>
          <w:tcPr>
            <w:tcW w:w="608" w:type="dxa"/>
            <w:tcBorders>
              <w:top w:val="single" w:color="auto" w:sz="6" w:space="0"/>
              <w:bottom w:val="single" w:color="auto" w:sz="4" w:space="0"/>
              <w:right w:val="single" w:color="auto" w:sz="4" w:space="0"/>
            </w:tcBorders>
            <w:vAlign w:val="center"/>
          </w:tcPr>
          <w:p w14:paraId="09324093">
            <w:pPr>
              <w:pStyle w:val="45"/>
              <w:rPr>
                <w:rFonts w:hint="default"/>
              </w:rPr>
            </w:pPr>
          </w:p>
        </w:tc>
      </w:tr>
    </w:tbl>
    <w:p w14:paraId="043BFA34">
      <w:pPr>
        <w:pStyle w:val="45"/>
        <w:ind w:firstLine="420" w:firstLineChars="200"/>
        <w:jc w:val="left"/>
        <w:rPr>
          <w:rFonts w:hint="default"/>
        </w:rPr>
      </w:pPr>
      <w:bookmarkStart w:id="82" w:name="_Toc4690"/>
      <w:bookmarkStart w:id="83" w:name="_Toc31481"/>
      <w:bookmarkStart w:id="84" w:name="_Toc25271"/>
      <w:r>
        <w:rPr>
          <w:rFonts w:hint="default"/>
        </w:rPr>
        <w:t>注：★/☆表示长期不利影响/有利影响；▲/△表示短期不利影响/有利影响；空格表示影响不明显或没影响。</w:t>
      </w:r>
      <w:bookmarkEnd w:id="82"/>
      <w:bookmarkEnd w:id="83"/>
      <w:bookmarkEnd w:id="84"/>
    </w:p>
    <w:p w14:paraId="4743B199">
      <w:pPr>
        <w:pStyle w:val="4"/>
      </w:pPr>
      <w:bookmarkStart w:id="85" w:name="_Toc30198"/>
      <w:r>
        <w:rPr>
          <w:rFonts w:hint="eastAsia"/>
        </w:rPr>
        <w:t>评价因子筛选</w:t>
      </w:r>
      <w:bookmarkEnd w:id="85"/>
    </w:p>
    <w:p w14:paraId="52F55AAA">
      <w:pPr>
        <w:ind w:firstLine="480"/>
      </w:pPr>
      <w:r>
        <w:rPr>
          <w:rFonts w:hint="eastAsia"/>
        </w:rPr>
        <w:t>根据本项目污染物的产生及排放情况，确定的本项目常规污染物和特征污染物，具体详见下表。</w:t>
      </w:r>
    </w:p>
    <w:p w14:paraId="30B7D336">
      <w:pPr>
        <w:pStyle w:val="43"/>
        <w:rPr>
          <w:rFonts w:hint="default"/>
        </w:rPr>
      </w:pPr>
      <w:r>
        <w:rPr>
          <w:rFonts w:hint="default"/>
        </w:rPr>
        <w:t>评价因子筛选表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7"/>
        <w:gridCol w:w="1754"/>
        <w:gridCol w:w="5528"/>
      </w:tblGrid>
      <w:tr w14:paraId="344A1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blHeader/>
        </w:trPr>
        <w:tc>
          <w:tcPr>
            <w:tcW w:w="726" w:type="pct"/>
            <w:vMerge w:val="restart"/>
            <w:vAlign w:val="center"/>
          </w:tcPr>
          <w:p w14:paraId="51C63C74">
            <w:pPr>
              <w:pStyle w:val="45"/>
              <w:rPr>
                <w:rFonts w:hint="default"/>
                <w:b/>
                <w:bCs/>
              </w:rPr>
            </w:pPr>
            <w:r>
              <w:rPr>
                <w:rFonts w:hint="default"/>
                <w:b/>
                <w:bCs/>
              </w:rPr>
              <w:t>环境要素</w:t>
            </w:r>
          </w:p>
        </w:tc>
        <w:tc>
          <w:tcPr>
            <w:tcW w:w="1029" w:type="pct"/>
            <w:vMerge w:val="restart"/>
            <w:vAlign w:val="center"/>
          </w:tcPr>
          <w:p w14:paraId="24E9F15C">
            <w:pPr>
              <w:pStyle w:val="45"/>
              <w:rPr>
                <w:rFonts w:hint="default"/>
                <w:b/>
                <w:bCs/>
              </w:rPr>
            </w:pPr>
            <w:r>
              <w:rPr>
                <w:rFonts w:hint="default"/>
                <w:b/>
                <w:bCs/>
              </w:rPr>
              <w:t>评价类别</w:t>
            </w:r>
          </w:p>
        </w:tc>
        <w:tc>
          <w:tcPr>
            <w:tcW w:w="3243" w:type="pct"/>
            <w:vMerge w:val="restart"/>
            <w:vAlign w:val="center"/>
          </w:tcPr>
          <w:p w14:paraId="18B99095">
            <w:pPr>
              <w:pStyle w:val="45"/>
              <w:rPr>
                <w:rFonts w:hint="default"/>
                <w:b/>
                <w:bCs/>
              </w:rPr>
            </w:pPr>
            <w:r>
              <w:rPr>
                <w:b/>
                <w:bCs/>
              </w:rPr>
              <w:t>现状</w:t>
            </w:r>
            <w:r>
              <w:rPr>
                <w:rFonts w:hint="default"/>
                <w:b/>
                <w:bCs/>
              </w:rPr>
              <w:t>评价因子</w:t>
            </w:r>
          </w:p>
        </w:tc>
      </w:tr>
      <w:tr w14:paraId="76464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blHeader/>
        </w:trPr>
        <w:tc>
          <w:tcPr>
            <w:tcW w:w="726" w:type="pct"/>
            <w:vMerge w:val="continue"/>
            <w:vAlign w:val="center"/>
          </w:tcPr>
          <w:p w14:paraId="5B0B3313">
            <w:pPr>
              <w:pStyle w:val="45"/>
              <w:rPr>
                <w:rFonts w:hint="default"/>
                <w:b/>
                <w:bCs/>
              </w:rPr>
            </w:pPr>
          </w:p>
        </w:tc>
        <w:tc>
          <w:tcPr>
            <w:tcW w:w="1029" w:type="pct"/>
            <w:vMerge w:val="continue"/>
            <w:vAlign w:val="center"/>
          </w:tcPr>
          <w:p w14:paraId="7A31D69A">
            <w:pPr>
              <w:pStyle w:val="45"/>
              <w:rPr>
                <w:rFonts w:hint="default"/>
                <w:b/>
                <w:bCs/>
              </w:rPr>
            </w:pPr>
          </w:p>
        </w:tc>
        <w:tc>
          <w:tcPr>
            <w:tcW w:w="3243" w:type="pct"/>
            <w:vMerge w:val="continue"/>
            <w:vAlign w:val="center"/>
          </w:tcPr>
          <w:p w14:paraId="6054C3B4">
            <w:pPr>
              <w:pStyle w:val="45"/>
              <w:rPr>
                <w:rFonts w:hint="default"/>
                <w:b/>
                <w:bCs/>
              </w:rPr>
            </w:pPr>
          </w:p>
        </w:tc>
      </w:tr>
      <w:tr w14:paraId="047CB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26" w:type="pct"/>
            <w:vMerge w:val="restart"/>
            <w:vAlign w:val="center"/>
          </w:tcPr>
          <w:p w14:paraId="0649421D">
            <w:pPr>
              <w:pStyle w:val="45"/>
              <w:rPr>
                <w:rFonts w:hint="default"/>
              </w:rPr>
            </w:pPr>
            <w:r>
              <w:rPr>
                <w:rFonts w:hint="default"/>
              </w:rPr>
              <w:t>大气</w:t>
            </w:r>
            <w:r>
              <w:t>环境</w:t>
            </w:r>
          </w:p>
        </w:tc>
        <w:tc>
          <w:tcPr>
            <w:tcW w:w="1029" w:type="pct"/>
            <w:vAlign w:val="center"/>
          </w:tcPr>
          <w:p w14:paraId="0DD06858">
            <w:pPr>
              <w:pStyle w:val="45"/>
              <w:rPr>
                <w:rFonts w:hint="default"/>
              </w:rPr>
            </w:pPr>
            <w:r>
              <w:rPr>
                <w:rFonts w:hint="default"/>
              </w:rPr>
              <w:t>现状评价</w:t>
            </w:r>
          </w:p>
        </w:tc>
        <w:tc>
          <w:tcPr>
            <w:tcW w:w="3243" w:type="pct"/>
            <w:vAlign w:val="center"/>
          </w:tcPr>
          <w:p w14:paraId="352F6E0A">
            <w:pPr>
              <w:pStyle w:val="45"/>
              <w:rPr>
                <w:rFonts w:hint="default"/>
              </w:rPr>
            </w:pPr>
            <w:r>
              <w:rPr>
                <w:rFonts w:hint="default"/>
              </w:rPr>
              <w:t>SO</w:t>
            </w:r>
            <w:r>
              <w:rPr>
                <w:rFonts w:hint="default"/>
                <w:vertAlign w:val="subscript"/>
              </w:rPr>
              <w:t>2</w:t>
            </w:r>
            <w:r>
              <w:rPr>
                <w:rFonts w:hint="default"/>
              </w:rPr>
              <w:t>、NO</w:t>
            </w:r>
            <w:r>
              <w:rPr>
                <w:vertAlign w:val="subscript"/>
              </w:rPr>
              <w:t>x</w:t>
            </w:r>
            <w:r>
              <w:rPr>
                <w:rFonts w:hint="default"/>
              </w:rPr>
              <w:t>、CO、</w:t>
            </w:r>
            <w:r>
              <w:t>O</w:t>
            </w:r>
            <w:r>
              <w:rPr>
                <w:vertAlign w:val="subscript"/>
              </w:rPr>
              <w:t>3</w:t>
            </w:r>
            <w:r>
              <w:rPr>
                <w:rFonts w:hint="default"/>
              </w:rPr>
              <w:t>、PM</w:t>
            </w:r>
            <w:r>
              <w:rPr>
                <w:rFonts w:hint="default"/>
                <w:vertAlign w:val="subscript"/>
              </w:rPr>
              <w:t>10</w:t>
            </w:r>
            <w:r>
              <w:rPr>
                <w:rFonts w:hint="default"/>
              </w:rPr>
              <w:t>、PM</w:t>
            </w:r>
            <w:r>
              <w:rPr>
                <w:rFonts w:hint="default"/>
                <w:vertAlign w:val="subscript"/>
              </w:rPr>
              <w:t>2.5</w:t>
            </w:r>
            <w:r>
              <w:t>、TSP、</w:t>
            </w:r>
            <w:r>
              <w:rPr>
                <w:rFonts w:hint="default"/>
              </w:rPr>
              <w:t>Cl</w:t>
            </w:r>
            <w:r>
              <w:rPr>
                <w:rFonts w:hint="default"/>
                <w:vertAlign w:val="subscript"/>
              </w:rPr>
              <w:t>2</w:t>
            </w:r>
            <w:r>
              <w:rPr>
                <w:rFonts w:hint="default"/>
              </w:rPr>
              <w:t>、</w:t>
            </w:r>
            <w:r>
              <w:t>HCl</w:t>
            </w:r>
          </w:p>
        </w:tc>
      </w:tr>
      <w:tr w14:paraId="33CF6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26" w:type="pct"/>
            <w:vMerge w:val="continue"/>
            <w:vAlign w:val="center"/>
          </w:tcPr>
          <w:p w14:paraId="383F7C16">
            <w:pPr>
              <w:pStyle w:val="45"/>
              <w:rPr>
                <w:rFonts w:hint="default"/>
              </w:rPr>
            </w:pPr>
          </w:p>
        </w:tc>
        <w:tc>
          <w:tcPr>
            <w:tcW w:w="1029" w:type="pct"/>
            <w:vAlign w:val="center"/>
          </w:tcPr>
          <w:p w14:paraId="7C1930ED">
            <w:pPr>
              <w:pStyle w:val="45"/>
              <w:rPr>
                <w:rFonts w:hint="default"/>
              </w:rPr>
            </w:pPr>
            <w:r>
              <w:rPr>
                <w:rFonts w:hint="default"/>
              </w:rPr>
              <w:t>污染源评价</w:t>
            </w:r>
          </w:p>
        </w:tc>
        <w:tc>
          <w:tcPr>
            <w:tcW w:w="3243" w:type="pct"/>
            <w:vAlign w:val="center"/>
          </w:tcPr>
          <w:p w14:paraId="142EF30C">
            <w:pPr>
              <w:pStyle w:val="45"/>
              <w:rPr>
                <w:rFonts w:hint="default"/>
              </w:rPr>
            </w:pPr>
            <w:r>
              <w:t>TSP、HCl、</w:t>
            </w:r>
            <w:r>
              <w:rPr>
                <w:rFonts w:hint="default"/>
              </w:rPr>
              <w:t>Cl</w:t>
            </w:r>
            <w:r>
              <w:rPr>
                <w:rFonts w:hint="default"/>
                <w:vertAlign w:val="subscript"/>
              </w:rPr>
              <w:t>2</w:t>
            </w:r>
          </w:p>
        </w:tc>
      </w:tr>
      <w:tr w14:paraId="3202E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26" w:type="pct"/>
            <w:vMerge w:val="continue"/>
            <w:vAlign w:val="center"/>
          </w:tcPr>
          <w:p w14:paraId="70EAB2F8">
            <w:pPr>
              <w:pStyle w:val="45"/>
              <w:rPr>
                <w:rFonts w:hint="default"/>
              </w:rPr>
            </w:pPr>
          </w:p>
        </w:tc>
        <w:tc>
          <w:tcPr>
            <w:tcW w:w="1029" w:type="pct"/>
            <w:vAlign w:val="center"/>
          </w:tcPr>
          <w:p w14:paraId="60BC7E47">
            <w:pPr>
              <w:pStyle w:val="45"/>
              <w:rPr>
                <w:rFonts w:hint="default"/>
              </w:rPr>
            </w:pPr>
            <w:r>
              <w:rPr>
                <w:rFonts w:hint="default"/>
              </w:rPr>
              <w:t>影响预测（分析）</w:t>
            </w:r>
          </w:p>
        </w:tc>
        <w:tc>
          <w:tcPr>
            <w:tcW w:w="3243" w:type="pct"/>
            <w:vAlign w:val="center"/>
          </w:tcPr>
          <w:p w14:paraId="2214A223">
            <w:pPr>
              <w:pStyle w:val="45"/>
              <w:rPr>
                <w:rFonts w:hint="default"/>
              </w:rPr>
            </w:pPr>
            <w:r>
              <w:t>TSP、HCl、</w:t>
            </w:r>
            <w:r>
              <w:rPr>
                <w:rFonts w:hint="default"/>
              </w:rPr>
              <w:t>Cl</w:t>
            </w:r>
            <w:r>
              <w:rPr>
                <w:rFonts w:hint="default"/>
                <w:vertAlign w:val="subscript"/>
              </w:rPr>
              <w:t>2</w:t>
            </w:r>
          </w:p>
        </w:tc>
      </w:tr>
      <w:tr w14:paraId="3BAC9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26" w:type="pct"/>
            <w:vMerge w:val="restart"/>
            <w:vAlign w:val="center"/>
          </w:tcPr>
          <w:p w14:paraId="35A8126F">
            <w:pPr>
              <w:pStyle w:val="45"/>
              <w:rPr>
                <w:rFonts w:hint="default"/>
              </w:rPr>
            </w:pPr>
            <w:r>
              <w:rPr>
                <w:rFonts w:hint="default"/>
              </w:rPr>
              <w:t>地表水</w:t>
            </w:r>
            <w:r>
              <w:t>环境</w:t>
            </w:r>
          </w:p>
        </w:tc>
        <w:tc>
          <w:tcPr>
            <w:tcW w:w="1029" w:type="pct"/>
            <w:vAlign w:val="center"/>
          </w:tcPr>
          <w:p w14:paraId="239E9AA5">
            <w:pPr>
              <w:pStyle w:val="45"/>
              <w:rPr>
                <w:rFonts w:hint="default"/>
              </w:rPr>
            </w:pPr>
            <w:r>
              <w:rPr>
                <w:rFonts w:hint="default"/>
              </w:rPr>
              <w:t>现状评价</w:t>
            </w:r>
          </w:p>
        </w:tc>
        <w:tc>
          <w:tcPr>
            <w:tcW w:w="3243" w:type="pct"/>
            <w:vAlign w:val="center"/>
          </w:tcPr>
          <w:p w14:paraId="11C9F238">
            <w:pPr>
              <w:pStyle w:val="45"/>
              <w:rPr>
                <w:rFonts w:hint="default"/>
              </w:rPr>
            </w:pPr>
            <w:r>
              <w:t>pH、溶解氧、COD</w:t>
            </w:r>
            <w:r>
              <w:rPr>
                <w:vertAlign w:val="subscript"/>
              </w:rPr>
              <w:t>cr</w:t>
            </w:r>
            <w:r>
              <w:t>、氨氮、BOD</w:t>
            </w:r>
            <w:r>
              <w:rPr>
                <w:vertAlign w:val="subscript"/>
              </w:rPr>
              <w:t>5</w:t>
            </w:r>
            <w:r>
              <w:t>、总磷、六价铬、氰化物、阴离子表面活性剂、石油类、硫化物、氟化物、氯化物、汞、砷、铅、镉、铜、锌、镍、粪大肠菌群、氯乙烯、高氯酸盐</w:t>
            </w:r>
          </w:p>
        </w:tc>
      </w:tr>
      <w:tr w14:paraId="1BF32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26" w:type="pct"/>
            <w:vMerge w:val="continue"/>
            <w:vAlign w:val="center"/>
          </w:tcPr>
          <w:p w14:paraId="5425BC10">
            <w:pPr>
              <w:pStyle w:val="45"/>
              <w:rPr>
                <w:rFonts w:hint="default"/>
              </w:rPr>
            </w:pPr>
          </w:p>
        </w:tc>
        <w:tc>
          <w:tcPr>
            <w:tcW w:w="1029" w:type="pct"/>
            <w:vAlign w:val="center"/>
          </w:tcPr>
          <w:p w14:paraId="3441C2F5">
            <w:pPr>
              <w:pStyle w:val="45"/>
              <w:rPr>
                <w:rFonts w:hint="default"/>
              </w:rPr>
            </w:pPr>
            <w:r>
              <w:rPr>
                <w:rFonts w:hint="default"/>
              </w:rPr>
              <w:t>污染源评价</w:t>
            </w:r>
          </w:p>
        </w:tc>
        <w:tc>
          <w:tcPr>
            <w:tcW w:w="3243" w:type="pct"/>
            <w:vAlign w:val="center"/>
          </w:tcPr>
          <w:p w14:paraId="348D3B3E">
            <w:pPr>
              <w:pStyle w:val="45"/>
              <w:rPr>
                <w:rFonts w:hint="default"/>
              </w:rPr>
            </w:pPr>
            <w:r>
              <w:t>pH值、CODcr、NH</w:t>
            </w:r>
            <w:r>
              <w:rPr>
                <w:vertAlign w:val="subscript"/>
              </w:rPr>
              <w:t>3</w:t>
            </w:r>
            <w:r>
              <w:t>-N、氯化物</w:t>
            </w:r>
          </w:p>
        </w:tc>
      </w:tr>
      <w:tr w14:paraId="2B20C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26" w:type="pct"/>
            <w:vMerge w:val="continue"/>
            <w:vAlign w:val="center"/>
          </w:tcPr>
          <w:p w14:paraId="4E0BB911">
            <w:pPr>
              <w:pStyle w:val="45"/>
              <w:rPr>
                <w:rFonts w:hint="default"/>
              </w:rPr>
            </w:pPr>
          </w:p>
        </w:tc>
        <w:tc>
          <w:tcPr>
            <w:tcW w:w="1029" w:type="pct"/>
            <w:vAlign w:val="center"/>
          </w:tcPr>
          <w:p w14:paraId="293BB132">
            <w:pPr>
              <w:pStyle w:val="45"/>
              <w:rPr>
                <w:rFonts w:hint="default"/>
              </w:rPr>
            </w:pPr>
            <w:r>
              <w:rPr>
                <w:rFonts w:hint="default"/>
              </w:rPr>
              <w:t>影响预测（分析）</w:t>
            </w:r>
          </w:p>
        </w:tc>
        <w:tc>
          <w:tcPr>
            <w:tcW w:w="3243" w:type="pct"/>
            <w:vAlign w:val="center"/>
          </w:tcPr>
          <w:p w14:paraId="299151F3">
            <w:pPr>
              <w:pStyle w:val="45"/>
              <w:rPr>
                <w:rFonts w:hint="default"/>
              </w:rPr>
            </w:pPr>
            <w:r>
              <w:t>/</w:t>
            </w:r>
          </w:p>
        </w:tc>
      </w:tr>
      <w:tr w14:paraId="44B96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26" w:type="pct"/>
            <w:vMerge w:val="restart"/>
            <w:vAlign w:val="center"/>
          </w:tcPr>
          <w:p w14:paraId="163BD7D0">
            <w:pPr>
              <w:pStyle w:val="45"/>
              <w:rPr>
                <w:rFonts w:hint="default"/>
              </w:rPr>
            </w:pPr>
            <w:r>
              <w:rPr>
                <w:rFonts w:hint="default"/>
              </w:rPr>
              <w:t>地下水</w:t>
            </w:r>
            <w:r>
              <w:t>环境</w:t>
            </w:r>
          </w:p>
        </w:tc>
        <w:tc>
          <w:tcPr>
            <w:tcW w:w="1029" w:type="pct"/>
            <w:vAlign w:val="center"/>
          </w:tcPr>
          <w:p w14:paraId="234F922B">
            <w:pPr>
              <w:pStyle w:val="45"/>
              <w:rPr>
                <w:rFonts w:hint="default"/>
              </w:rPr>
            </w:pPr>
            <w:r>
              <w:rPr>
                <w:rFonts w:hint="default"/>
              </w:rPr>
              <w:t>现状评价</w:t>
            </w:r>
          </w:p>
        </w:tc>
        <w:tc>
          <w:tcPr>
            <w:tcW w:w="3243" w:type="pct"/>
            <w:vAlign w:val="center"/>
          </w:tcPr>
          <w:p w14:paraId="1592D8E2">
            <w:pPr>
              <w:pStyle w:val="45"/>
              <w:rPr>
                <w:rFonts w:hint="default"/>
              </w:rPr>
            </w:pPr>
            <w:r>
              <w:rPr>
                <w:rFonts w:hint="default"/>
              </w:rPr>
              <w:t>K</w:t>
            </w:r>
            <w:r>
              <w:rPr>
                <w:rFonts w:hint="default"/>
                <w:vertAlign w:val="superscript"/>
              </w:rPr>
              <w:t>+</w:t>
            </w:r>
            <w:r>
              <w:rPr>
                <w:rFonts w:hint="default"/>
              </w:rPr>
              <w:t>、Na</w:t>
            </w:r>
            <w:r>
              <w:rPr>
                <w:rFonts w:hint="default"/>
                <w:vertAlign w:val="superscript"/>
              </w:rPr>
              <w:t>+</w:t>
            </w:r>
            <w:r>
              <w:rPr>
                <w:rFonts w:hint="default"/>
              </w:rPr>
              <w:t>、Ca</w:t>
            </w:r>
            <w:r>
              <w:rPr>
                <w:rFonts w:hint="default"/>
                <w:vertAlign w:val="superscript"/>
              </w:rPr>
              <w:t>2+</w:t>
            </w:r>
            <w:r>
              <w:rPr>
                <w:rFonts w:hint="default"/>
              </w:rPr>
              <w:t>、Mg</w:t>
            </w:r>
            <w:r>
              <w:rPr>
                <w:rFonts w:hint="default"/>
                <w:vertAlign w:val="superscript"/>
              </w:rPr>
              <w:t>2+</w:t>
            </w:r>
            <w:r>
              <w:rPr>
                <w:rFonts w:hint="default"/>
              </w:rPr>
              <w:t>、CO</w:t>
            </w:r>
            <w:r>
              <w:rPr>
                <w:rFonts w:hint="default"/>
                <w:vertAlign w:val="subscript"/>
              </w:rPr>
              <w:t>3</w:t>
            </w:r>
            <w:r>
              <w:rPr>
                <w:rFonts w:hint="default"/>
                <w:vertAlign w:val="superscript"/>
              </w:rPr>
              <w:t>2-</w:t>
            </w:r>
            <w:r>
              <w:rPr>
                <w:rFonts w:hint="default"/>
              </w:rPr>
              <w:t>、HCO</w:t>
            </w:r>
            <w:r>
              <w:rPr>
                <w:rFonts w:hint="default"/>
                <w:vertAlign w:val="subscript"/>
              </w:rPr>
              <w:t>3</w:t>
            </w:r>
            <w:r>
              <w:rPr>
                <w:rFonts w:hint="default"/>
                <w:vertAlign w:val="superscript"/>
              </w:rPr>
              <w:t>-</w:t>
            </w:r>
            <w:r>
              <w:rPr>
                <w:rFonts w:hint="default"/>
              </w:rPr>
              <w:t>、Cl</w:t>
            </w:r>
            <w:r>
              <w:rPr>
                <w:rFonts w:hint="default"/>
                <w:vertAlign w:val="superscript"/>
              </w:rPr>
              <w:t>-</w:t>
            </w:r>
            <w:r>
              <w:rPr>
                <w:rFonts w:hint="default"/>
              </w:rPr>
              <w:t>、SO</w:t>
            </w:r>
            <w:r>
              <w:rPr>
                <w:rFonts w:hint="default"/>
                <w:vertAlign w:val="subscript"/>
              </w:rPr>
              <w:t>4</w:t>
            </w:r>
            <w:r>
              <w:rPr>
                <w:rFonts w:hint="default"/>
                <w:vertAlign w:val="superscript"/>
              </w:rPr>
              <w:t>2-</w:t>
            </w:r>
            <w:r>
              <w:rPr>
                <w:rFonts w:hint="default"/>
              </w:rPr>
              <w:t>、pH、氨氮、高锰酸盐指数、硝酸盐、亚硝酸盐、总硬度、溶解性总固体、氯化物、硫酸盐、硫化物、挥发酚</w:t>
            </w:r>
            <w:r>
              <w:t>、高氯酸盐</w:t>
            </w:r>
          </w:p>
        </w:tc>
      </w:tr>
      <w:tr w14:paraId="75C47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26" w:type="pct"/>
            <w:vMerge w:val="continue"/>
            <w:vAlign w:val="center"/>
          </w:tcPr>
          <w:p w14:paraId="65014724">
            <w:pPr>
              <w:pStyle w:val="45"/>
              <w:rPr>
                <w:rFonts w:hint="default"/>
              </w:rPr>
            </w:pPr>
          </w:p>
        </w:tc>
        <w:tc>
          <w:tcPr>
            <w:tcW w:w="1029" w:type="pct"/>
            <w:vAlign w:val="center"/>
          </w:tcPr>
          <w:p w14:paraId="4F8818AC">
            <w:pPr>
              <w:pStyle w:val="45"/>
              <w:rPr>
                <w:rFonts w:hint="default"/>
              </w:rPr>
            </w:pPr>
            <w:r>
              <w:rPr>
                <w:rFonts w:hint="default"/>
              </w:rPr>
              <w:t>污染源评价</w:t>
            </w:r>
          </w:p>
        </w:tc>
        <w:tc>
          <w:tcPr>
            <w:tcW w:w="3243" w:type="pct"/>
            <w:vAlign w:val="center"/>
          </w:tcPr>
          <w:p w14:paraId="629A687E">
            <w:pPr>
              <w:pStyle w:val="45"/>
              <w:rPr>
                <w:rFonts w:hint="default"/>
              </w:rPr>
            </w:pPr>
            <w:r>
              <w:t>氯化物、六价铬、铅、钡</w:t>
            </w:r>
          </w:p>
        </w:tc>
      </w:tr>
      <w:tr w14:paraId="32E90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26" w:type="pct"/>
            <w:vMerge w:val="continue"/>
            <w:vAlign w:val="center"/>
          </w:tcPr>
          <w:p w14:paraId="2211747B">
            <w:pPr>
              <w:pStyle w:val="45"/>
              <w:rPr>
                <w:rFonts w:hint="default"/>
              </w:rPr>
            </w:pPr>
          </w:p>
        </w:tc>
        <w:tc>
          <w:tcPr>
            <w:tcW w:w="1029" w:type="pct"/>
            <w:vAlign w:val="center"/>
          </w:tcPr>
          <w:p w14:paraId="7B208F91">
            <w:pPr>
              <w:pStyle w:val="45"/>
              <w:rPr>
                <w:rFonts w:hint="default"/>
              </w:rPr>
            </w:pPr>
            <w:r>
              <w:rPr>
                <w:rFonts w:hint="default"/>
              </w:rPr>
              <w:t>影响预测（分析）</w:t>
            </w:r>
          </w:p>
        </w:tc>
        <w:tc>
          <w:tcPr>
            <w:tcW w:w="3243" w:type="pct"/>
            <w:vAlign w:val="center"/>
          </w:tcPr>
          <w:p w14:paraId="0799BD60">
            <w:pPr>
              <w:pStyle w:val="45"/>
              <w:rPr>
                <w:rFonts w:hint="default"/>
              </w:rPr>
            </w:pPr>
            <w:r>
              <w:t>氯化物</w:t>
            </w:r>
          </w:p>
        </w:tc>
      </w:tr>
      <w:tr w14:paraId="268C6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26" w:type="pct"/>
            <w:vMerge w:val="restart"/>
            <w:vAlign w:val="center"/>
          </w:tcPr>
          <w:p w14:paraId="3C532D7F">
            <w:pPr>
              <w:pStyle w:val="45"/>
              <w:rPr>
                <w:rFonts w:hint="default"/>
              </w:rPr>
            </w:pPr>
            <w:r>
              <w:rPr>
                <w:rFonts w:hint="default"/>
              </w:rPr>
              <w:t>声</w:t>
            </w:r>
            <w:r>
              <w:t>环境</w:t>
            </w:r>
          </w:p>
        </w:tc>
        <w:tc>
          <w:tcPr>
            <w:tcW w:w="1029" w:type="pct"/>
            <w:vAlign w:val="center"/>
          </w:tcPr>
          <w:p w14:paraId="0656610F">
            <w:pPr>
              <w:pStyle w:val="45"/>
              <w:rPr>
                <w:rFonts w:hint="default"/>
              </w:rPr>
            </w:pPr>
            <w:r>
              <w:rPr>
                <w:rFonts w:hint="default"/>
              </w:rPr>
              <w:t>现状评价</w:t>
            </w:r>
          </w:p>
        </w:tc>
        <w:tc>
          <w:tcPr>
            <w:tcW w:w="3243" w:type="pct"/>
            <w:vAlign w:val="center"/>
          </w:tcPr>
          <w:p w14:paraId="4BE85DDA">
            <w:pPr>
              <w:pStyle w:val="45"/>
              <w:rPr>
                <w:rFonts w:hint="default"/>
              </w:rPr>
            </w:pPr>
            <w:r>
              <w:rPr>
                <w:rFonts w:hint="default"/>
              </w:rPr>
              <w:t>等效连续A声级Leq（dB[A]）</w:t>
            </w:r>
          </w:p>
        </w:tc>
      </w:tr>
      <w:tr w14:paraId="29E63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26" w:type="pct"/>
            <w:vMerge w:val="continue"/>
            <w:vAlign w:val="center"/>
          </w:tcPr>
          <w:p w14:paraId="42886280">
            <w:pPr>
              <w:pStyle w:val="45"/>
              <w:rPr>
                <w:rFonts w:hint="default"/>
              </w:rPr>
            </w:pPr>
          </w:p>
        </w:tc>
        <w:tc>
          <w:tcPr>
            <w:tcW w:w="1029" w:type="pct"/>
            <w:vAlign w:val="center"/>
          </w:tcPr>
          <w:p w14:paraId="7604B3EF">
            <w:pPr>
              <w:pStyle w:val="45"/>
              <w:rPr>
                <w:rFonts w:hint="default"/>
              </w:rPr>
            </w:pPr>
            <w:r>
              <w:rPr>
                <w:rFonts w:hint="default"/>
              </w:rPr>
              <w:t>污染源评价</w:t>
            </w:r>
          </w:p>
        </w:tc>
        <w:tc>
          <w:tcPr>
            <w:tcW w:w="3243" w:type="pct"/>
            <w:vAlign w:val="center"/>
          </w:tcPr>
          <w:p w14:paraId="47A862D9">
            <w:pPr>
              <w:pStyle w:val="45"/>
              <w:rPr>
                <w:rFonts w:hint="default"/>
              </w:rPr>
            </w:pPr>
            <w:r>
              <w:rPr>
                <w:rFonts w:hint="default"/>
              </w:rPr>
              <w:t>等效连续A声级Leq（dB[A]）</w:t>
            </w:r>
          </w:p>
        </w:tc>
      </w:tr>
      <w:tr w14:paraId="0EBD0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26" w:type="pct"/>
            <w:vMerge w:val="continue"/>
            <w:vAlign w:val="center"/>
          </w:tcPr>
          <w:p w14:paraId="1EE0A328">
            <w:pPr>
              <w:pStyle w:val="45"/>
              <w:rPr>
                <w:rFonts w:hint="default"/>
              </w:rPr>
            </w:pPr>
          </w:p>
        </w:tc>
        <w:tc>
          <w:tcPr>
            <w:tcW w:w="1029" w:type="pct"/>
            <w:vAlign w:val="center"/>
          </w:tcPr>
          <w:p w14:paraId="0163231F">
            <w:pPr>
              <w:pStyle w:val="45"/>
              <w:rPr>
                <w:rFonts w:hint="default"/>
              </w:rPr>
            </w:pPr>
            <w:r>
              <w:rPr>
                <w:rFonts w:hint="default"/>
              </w:rPr>
              <w:t>影响分析</w:t>
            </w:r>
          </w:p>
        </w:tc>
        <w:tc>
          <w:tcPr>
            <w:tcW w:w="3243" w:type="pct"/>
            <w:vAlign w:val="center"/>
          </w:tcPr>
          <w:p w14:paraId="7004CB95">
            <w:pPr>
              <w:pStyle w:val="45"/>
              <w:rPr>
                <w:rFonts w:hint="default"/>
              </w:rPr>
            </w:pPr>
            <w:r>
              <w:rPr>
                <w:rFonts w:hint="default"/>
              </w:rPr>
              <w:t>等效连续A声级Leq（dB[A]）</w:t>
            </w:r>
          </w:p>
        </w:tc>
      </w:tr>
      <w:tr w14:paraId="25A5A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26" w:type="pct"/>
            <w:vMerge w:val="restart"/>
            <w:vAlign w:val="center"/>
          </w:tcPr>
          <w:p w14:paraId="7253B9C7">
            <w:pPr>
              <w:pStyle w:val="45"/>
              <w:rPr>
                <w:rFonts w:hint="default"/>
              </w:rPr>
            </w:pPr>
            <w:r>
              <w:rPr>
                <w:rFonts w:hint="default"/>
              </w:rPr>
              <w:t>固体</w:t>
            </w:r>
          </w:p>
          <w:p w14:paraId="1FF69549">
            <w:pPr>
              <w:pStyle w:val="45"/>
              <w:rPr>
                <w:rFonts w:hint="default"/>
              </w:rPr>
            </w:pPr>
            <w:r>
              <w:rPr>
                <w:rFonts w:hint="default"/>
              </w:rPr>
              <w:t>废物</w:t>
            </w:r>
          </w:p>
        </w:tc>
        <w:tc>
          <w:tcPr>
            <w:tcW w:w="1029" w:type="pct"/>
            <w:vAlign w:val="center"/>
          </w:tcPr>
          <w:p w14:paraId="51C160E7">
            <w:pPr>
              <w:pStyle w:val="45"/>
              <w:rPr>
                <w:rFonts w:hint="default"/>
              </w:rPr>
            </w:pPr>
            <w:r>
              <w:rPr>
                <w:rFonts w:hint="default"/>
              </w:rPr>
              <w:t>污染源评价</w:t>
            </w:r>
          </w:p>
        </w:tc>
        <w:tc>
          <w:tcPr>
            <w:tcW w:w="3243" w:type="pct"/>
            <w:vAlign w:val="center"/>
          </w:tcPr>
          <w:p w14:paraId="0EE3D9C2">
            <w:pPr>
              <w:pStyle w:val="45"/>
              <w:rPr>
                <w:rFonts w:hint="default"/>
              </w:rPr>
            </w:pPr>
            <w:r>
              <w:rPr>
                <w:rFonts w:hint="default"/>
              </w:rPr>
              <w:t>生活垃圾、一般工业固体废物、危险废物</w:t>
            </w:r>
          </w:p>
        </w:tc>
      </w:tr>
      <w:tr w14:paraId="38250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26" w:type="pct"/>
            <w:vMerge w:val="continue"/>
            <w:vAlign w:val="center"/>
          </w:tcPr>
          <w:p w14:paraId="236321E9">
            <w:pPr>
              <w:pStyle w:val="45"/>
              <w:rPr>
                <w:rFonts w:hint="default"/>
              </w:rPr>
            </w:pPr>
          </w:p>
        </w:tc>
        <w:tc>
          <w:tcPr>
            <w:tcW w:w="1029" w:type="pct"/>
            <w:vAlign w:val="center"/>
          </w:tcPr>
          <w:p w14:paraId="46BDE600">
            <w:pPr>
              <w:pStyle w:val="45"/>
              <w:rPr>
                <w:rFonts w:hint="default"/>
              </w:rPr>
            </w:pPr>
            <w:r>
              <w:rPr>
                <w:rFonts w:hint="default"/>
              </w:rPr>
              <w:t>影响分析</w:t>
            </w:r>
          </w:p>
        </w:tc>
        <w:tc>
          <w:tcPr>
            <w:tcW w:w="3243" w:type="pct"/>
            <w:vAlign w:val="center"/>
          </w:tcPr>
          <w:p w14:paraId="58BFD774">
            <w:pPr>
              <w:pStyle w:val="45"/>
              <w:rPr>
                <w:rFonts w:hint="default"/>
              </w:rPr>
            </w:pPr>
            <w:r>
              <w:rPr>
                <w:rFonts w:hint="default"/>
              </w:rPr>
              <w:t>生活垃圾、一般工业固体废物、危险废物</w:t>
            </w:r>
          </w:p>
        </w:tc>
      </w:tr>
      <w:tr w14:paraId="16A2E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26" w:type="pct"/>
            <w:vMerge w:val="restart"/>
            <w:vAlign w:val="center"/>
          </w:tcPr>
          <w:p w14:paraId="778629D3">
            <w:pPr>
              <w:pStyle w:val="45"/>
              <w:rPr>
                <w:rFonts w:hint="default"/>
              </w:rPr>
            </w:pPr>
            <w:r>
              <w:rPr>
                <w:rFonts w:hint="default"/>
              </w:rPr>
              <w:t>土壤</w:t>
            </w:r>
            <w:r>
              <w:t>环境</w:t>
            </w:r>
          </w:p>
        </w:tc>
        <w:tc>
          <w:tcPr>
            <w:tcW w:w="1029" w:type="pct"/>
            <w:vAlign w:val="center"/>
          </w:tcPr>
          <w:p w14:paraId="159985FD">
            <w:pPr>
              <w:pStyle w:val="45"/>
              <w:rPr>
                <w:rFonts w:hint="default"/>
              </w:rPr>
            </w:pPr>
            <w:r>
              <w:rPr>
                <w:rFonts w:hint="default"/>
              </w:rPr>
              <w:t>现状评价</w:t>
            </w:r>
          </w:p>
        </w:tc>
        <w:tc>
          <w:tcPr>
            <w:tcW w:w="3243" w:type="pct"/>
            <w:vAlign w:val="center"/>
          </w:tcPr>
          <w:p w14:paraId="79614584">
            <w:pPr>
              <w:pStyle w:val="45"/>
              <w:rPr>
                <w:rFonts w:hint="default"/>
              </w:rPr>
            </w:pPr>
            <w:r>
              <w:rPr>
                <w:rFonts w:hint="default"/>
              </w:rPr>
              <w:t>氯化物、砷、镉、六价铬、铜、铅、汞、镍、四氯甲烷、氯仿、氯甲烷、1,1-二氯乙烷、1,21-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w:t>
            </w:r>
          </w:p>
        </w:tc>
      </w:tr>
      <w:tr w14:paraId="7DD84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26" w:type="pct"/>
            <w:vMerge w:val="continue"/>
            <w:vAlign w:val="center"/>
          </w:tcPr>
          <w:p w14:paraId="0BE1E3CE">
            <w:pPr>
              <w:pStyle w:val="45"/>
              <w:rPr>
                <w:rFonts w:hint="default"/>
              </w:rPr>
            </w:pPr>
          </w:p>
        </w:tc>
        <w:tc>
          <w:tcPr>
            <w:tcW w:w="1029" w:type="pct"/>
            <w:vAlign w:val="center"/>
          </w:tcPr>
          <w:p w14:paraId="2E7C85CB">
            <w:pPr>
              <w:pStyle w:val="45"/>
              <w:rPr>
                <w:rFonts w:hint="default"/>
              </w:rPr>
            </w:pPr>
            <w:r>
              <w:rPr>
                <w:rFonts w:hint="default"/>
              </w:rPr>
              <w:t>污染源评价</w:t>
            </w:r>
          </w:p>
        </w:tc>
        <w:tc>
          <w:tcPr>
            <w:tcW w:w="3243" w:type="pct"/>
            <w:vAlign w:val="center"/>
          </w:tcPr>
          <w:p w14:paraId="0FD59D84">
            <w:pPr>
              <w:pStyle w:val="45"/>
              <w:rPr>
                <w:rFonts w:hint="default"/>
              </w:rPr>
            </w:pPr>
            <w:r>
              <w:t>氯化物、六价铬、铅、钡</w:t>
            </w:r>
          </w:p>
        </w:tc>
      </w:tr>
      <w:tr w14:paraId="6D568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26" w:type="pct"/>
            <w:vMerge w:val="continue"/>
            <w:vAlign w:val="center"/>
          </w:tcPr>
          <w:p w14:paraId="407F10AE">
            <w:pPr>
              <w:pStyle w:val="45"/>
              <w:rPr>
                <w:rFonts w:hint="default"/>
              </w:rPr>
            </w:pPr>
          </w:p>
        </w:tc>
        <w:tc>
          <w:tcPr>
            <w:tcW w:w="1029" w:type="pct"/>
            <w:vAlign w:val="center"/>
          </w:tcPr>
          <w:p w14:paraId="52632C68">
            <w:pPr>
              <w:pStyle w:val="45"/>
              <w:rPr>
                <w:rFonts w:hint="default"/>
              </w:rPr>
            </w:pPr>
            <w:r>
              <w:rPr>
                <w:rFonts w:hint="default"/>
              </w:rPr>
              <w:t>影响分析</w:t>
            </w:r>
          </w:p>
        </w:tc>
        <w:tc>
          <w:tcPr>
            <w:tcW w:w="3243" w:type="pct"/>
            <w:vAlign w:val="center"/>
          </w:tcPr>
          <w:p w14:paraId="6535E3C5">
            <w:pPr>
              <w:pStyle w:val="45"/>
              <w:rPr>
                <w:rFonts w:hint="default"/>
              </w:rPr>
            </w:pPr>
            <w:r>
              <w:t>氯化物</w:t>
            </w:r>
          </w:p>
        </w:tc>
      </w:tr>
    </w:tbl>
    <w:p w14:paraId="76685FBC">
      <w:pPr>
        <w:bidi w:val="0"/>
      </w:pPr>
      <w:bookmarkStart w:id="86" w:name="_Toc24707"/>
      <w:bookmarkStart w:id="87" w:name="_Toc3751"/>
      <w:bookmarkStart w:id="88" w:name="_Toc14101"/>
    </w:p>
    <w:p w14:paraId="31AD2470">
      <w:pPr>
        <w:pStyle w:val="3"/>
      </w:pPr>
      <w:r>
        <w:rPr>
          <w:rFonts w:hint="eastAsia"/>
        </w:rPr>
        <w:t>评价工作等级及评价范围</w:t>
      </w:r>
      <w:bookmarkEnd w:id="86"/>
      <w:bookmarkEnd w:id="87"/>
      <w:bookmarkEnd w:id="88"/>
    </w:p>
    <w:p w14:paraId="1BAB75E3">
      <w:pPr>
        <w:pStyle w:val="4"/>
      </w:pPr>
      <w:bookmarkStart w:id="89" w:name="_Toc22607"/>
      <w:r>
        <w:rPr>
          <w:rFonts w:hint="eastAsia"/>
        </w:rPr>
        <w:t>评价工作等级</w:t>
      </w:r>
      <w:bookmarkEnd w:id="89"/>
    </w:p>
    <w:p w14:paraId="45BA5019">
      <w:pPr>
        <w:pStyle w:val="6"/>
        <w:ind w:firstLine="482"/>
      </w:pPr>
      <w:bookmarkStart w:id="90" w:name="_Toc11458"/>
      <w:r>
        <w:rPr>
          <w:rFonts w:hint="eastAsia"/>
        </w:rPr>
        <w:t>大气环境影响评价等级</w:t>
      </w:r>
      <w:bookmarkEnd w:id="90"/>
    </w:p>
    <w:p w14:paraId="7C0D4F35">
      <w:pPr>
        <w:ind w:firstLine="480"/>
      </w:pPr>
      <w:r>
        <w:rPr>
          <w:rFonts w:hint="eastAsia"/>
        </w:rPr>
        <w:t>根据《环境评价技术导则大气环境》（HJ2.2-2018），根据项目污染源初步调查结果，分别计算项目排放主要污染物的最大地面空气质量浓度占标率P</w:t>
      </w:r>
      <w:r>
        <w:rPr>
          <w:rFonts w:hint="eastAsia"/>
          <w:vertAlign w:val="subscript"/>
        </w:rPr>
        <w:t>i</w:t>
      </w:r>
      <w:r>
        <w:rPr>
          <w:rFonts w:hint="eastAsia"/>
        </w:rPr>
        <w:t>（第i 个污染物，简称“最大浓度占标率”），及第i 个污染物的地面空气质量浓度达到标准值的10%时所对应的最远距离D</w:t>
      </w:r>
      <w:r>
        <w:rPr>
          <w:rFonts w:hint="eastAsia"/>
          <w:vertAlign w:val="subscript"/>
        </w:rPr>
        <w:t>10%</w:t>
      </w:r>
      <w:r>
        <w:rPr>
          <w:rFonts w:hint="eastAsia"/>
        </w:rPr>
        <w:t>。污染物的最大地面质量浓度占标率P</w:t>
      </w:r>
      <w:r>
        <w:rPr>
          <w:rFonts w:hint="eastAsia"/>
          <w:vertAlign w:val="subscript"/>
        </w:rPr>
        <w:t>i</w:t>
      </w:r>
      <w:r>
        <w:rPr>
          <w:rFonts w:hint="eastAsia"/>
        </w:rPr>
        <w:t xml:space="preserve"> 计算公式如下：</w:t>
      </w:r>
    </w:p>
    <w:p w14:paraId="6ABBFDD7">
      <w:pPr>
        <w:ind w:firstLine="480"/>
        <w:jc w:val="center"/>
      </w:pPr>
      <w:r>
        <w:rPr>
          <w:rFonts w:hint="eastAsia"/>
          <w:position w:val="-30"/>
        </w:rPr>
        <w:object>
          <v:shape id="_x0000_i1026" o:spt="75" type="#_x0000_t75" style="height:33.8pt;width:78pt;" o:ole="t" filled="f" o:preferrelative="t" stroked="f" coordsize="21600,21600">
            <v:path/>
            <v:fill on="f" focussize="0,0"/>
            <v:stroke on="f" joinstyle="miter"/>
            <v:imagedata r:id="rId21" o:title=""/>
            <o:lock v:ext="edit" aspectratio="t"/>
            <w10:wrap type="none"/>
            <w10:anchorlock/>
          </v:shape>
          <o:OLEObject Type="Embed" ProgID="Equation.KSEE3" ShapeID="_x0000_i1026" DrawAspect="Content" ObjectID="_1468075726" r:id="rId20">
            <o:LockedField>false</o:LockedField>
          </o:OLEObject>
        </w:object>
      </w:r>
    </w:p>
    <w:p w14:paraId="4D86A17E">
      <w:pPr>
        <w:ind w:firstLine="480"/>
      </w:pPr>
      <w:r>
        <w:rPr>
          <w:rFonts w:hint="eastAsia"/>
        </w:rPr>
        <w:t>式中：</w:t>
      </w:r>
    </w:p>
    <w:p w14:paraId="3917CB06">
      <w:pPr>
        <w:ind w:firstLine="480"/>
      </w:pPr>
      <w:r>
        <w:rPr>
          <w:rFonts w:hint="eastAsia"/>
        </w:rPr>
        <w:t>P</w:t>
      </w:r>
      <w:r>
        <w:rPr>
          <w:rFonts w:hint="eastAsia"/>
          <w:vertAlign w:val="subscript"/>
        </w:rPr>
        <w:t xml:space="preserve">i </w:t>
      </w:r>
      <w:r>
        <w:rPr>
          <w:rFonts w:hint="eastAsia"/>
        </w:rPr>
        <w:t>—— 第i个污染物的最大地面空气质量浓度占标率，%；</w:t>
      </w:r>
    </w:p>
    <w:p w14:paraId="10EC609A">
      <w:pPr>
        <w:ind w:firstLine="480"/>
      </w:pPr>
      <w:r>
        <w:rPr>
          <w:rFonts w:hint="eastAsia"/>
        </w:rPr>
        <w:t>C</w:t>
      </w:r>
      <w:r>
        <w:rPr>
          <w:rFonts w:hint="eastAsia"/>
          <w:vertAlign w:val="subscript"/>
        </w:rPr>
        <w:t xml:space="preserve">i </w:t>
      </w:r>
      <w:r>
        <w:rPr>
          <w:rFonts w:hint="eastAsia"/>
        </w:rPr>
        <w:t>—— 采用估算模型计算出的第i个污染物的最大1h地面空气质量浓度，</w:t>
      </w:r>
      <w:r>
        <w:rPr>
          <w:rFonts w:hint="default"/>
          <w:b w:val="0"/>
          <w:bCs w:val="0"/>
          <w:highlight w:val="none"/>
        </w:rPr>
        <w:t>μ</w:t>
      </w:r>
      <w:r>
        <w:rPr>
          <w:rFonts w:hint="eastAsia"/>
        </w:rPr>
        <w:t>g/m</w:t>
      </w:r>
      <w:r>
        <w:rPr>
          <w:rFonts w:hint="eastAsia"/>
          <w:vertAlign w:val="superscript"/>
        </w:rPr>
        <w:t>3</w:t>
      </w:r>
      <w:r>
        <w:rPr>
          <w:rFonts w:hint="eastAsia"/>
        </w:rPr>
        <w:t xml:space="preserve"> ；</w:t>
      </w:r>
    </w:p>
    <w:p w14:paraId="2AC95CAF">
      <w:pPr>
        <w:ind w:firstLine="480"/>
      </w:pPr>
      <w:r>
        <w:rPr>
          <w:rFonts w:hint="eastAsia"/>
        </w:rPr>
        <w:t>C</w:t>
      </w:r>
      <w:r>
        <w:rPr>
          <w:rFonts w:hint="eastAsia"/>
          <w:vertAlign w:val="subscript"/>
        </w:rPr>
        <w:t xml:space="preserve">0i </w:t>
      </w:r>
      <w:r>
        <w:rPr>
          <w:rFonts w:hint="eastAsia"/>
        </w:rPr>
        <w:t>—— 第i个污染物的环境空气质量浓度标准，</w:t>
      </w:r>
      <w:r>
        <w:rPr>
          <w:rFonts w:hint="default"/>
          <w:b w:val="0"/>
          <w:bCs w:val="0"/>
          <w:highlight w:val="none"/>
        </w:rPr>
        <w:t>μ</w:t>
      </w:r>
      <w:r>
        <w:rPr>
          <w:rFonts w:hint="eastAsia"/>
        </w:rPr>
        <w:t>g/m</w:t>
      </w:r>
      <w:r>
        <w:rPr>
          <w:rFonts w:hint="eastAsia"/>
          <w:vertAlign w:val="superscript"/>
        </w:rPr>
        <w:t>3</w:t>
      </w:r>
      <w:r>
        <w:rPr>
          <w:rFonts w:hint="eastAsia"/>
        </w:rPr>
        <w:t xml:space="preserve"> 。</w:t>
      </w:r>
    </w:p>
    <w:p w14:paraId="2070DB2B">
      <w:pPr>
        <w:ind w:firstLine="480"/>
      </w:pPr>
      <w:r>
        <w:rPr>
          <w:rFonts w:hint="eastAsia"/>
        </w:rPr>
        <w:t>C</w:t>
      </w:r>
      <w:r>
        <w:rPr>
          <w:rFonts w:hint="eastAsia"/>
          <w:vertAlign w:val="subscript"/>
        </w:rPr>
        <w:t xml:space="preserve">0i </w:t>
      </w:r>
      <w:r>
        <w:rPr>
          <w:rFonts w:hint="eastAsia"/>
        </w:rPr>
        <w:t>一般选用GB3095中1h平均质量浓度的二级浓度限值，如项目位于一类环境空气功能区，应选择相应的一级浓度限值；对该标准中未包含的污染物，使用导则附录中确定的各评价因子1h平均质量浓度限值。对仅有8h平均质量浓度限值、日平均质量浓度限值或年平均质量浓度限值的，可分别按2倍、3倍、6倍折算为1h平均质量浓度限值。</w:t>
      </w:r>
    </w:p>
    <w:p w14:paraId="346DB717">
      <w:pPr>
        <w:ind w:firstLine="480"/>
      </w:pPr>
      <w:r>
        <w:rPr>
          <w:rFonts w:hint="eastAsia"/>
        </w:rPr>
        <w:t>根据《环境评价技术导则大气环境》（HJ3.2-2018）“项目周边3km 半径范围内一半以上面积属于城市建成区或者规划区时，估算模式选择城市，否则选择农村”，本项目3km 半径范围内一半以上面积属于规划区，因此估算模式计算选项按照城市选取。</w:t>
      </w:r>
    </w:p>
    <w:p w14:paraId="41EA2647">
      <w:pPr>
        <w:keepNext/>
        <w:numPr>
          <w:ilvl w:val="5"/>
          <w:numId w:val="1"/>
        </w:numPr>
        <w:snapToGrid w:val="0"/>
        <w:spacing w:line="240" w:lineRule="auto"/>
        <w:ind w:firstLine="422"/>
        <w:jc w:val="center"/>
        <w:rPr>
          <w:b/>
          <w:bCs/>
          <w:sz w:val="21"/>
          <w:szCs w:val="21"/>
        </w:rPr>
      </w:pPr>
      <w:r>
        <w:rPr>
          <w:rFonts w:hint="eastAsia"/>
          <w:b/>
          <w:bCs/>
          <w:sz w:val="21"/>
          <w:szCs w:val="21"/>
        </w:rPr>
        <w:t>估算模型参数表</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9"/>
        <w:gridCol w:w="2839"/>
        <w:gridCol w:w="2841"/>
      </w:tblGrid>
      <w:tr w14:paraId="45831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3332" w:type="pct"/>
            <w:gridSpan w:val="2"/>
            <w:vAlign w:val="center"/>
          </w:tcPr>
          <w:p w14:paraId="3FC81CBF">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参数</w:t>
            </w:r>
          </w:p>
        </w:tc>
        <w:tc>
          <w:tcPr>
            <w:tcW w:w="1667" w:type="pct"/>
            <w:vAlign w:val="center"/>
          </w:tcPr>
          <w:p w14:paraId="64EE028C">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取值</w:t>
            </w:r>
          </w:p>
        </w:tc>
      </w:tr>
      <w:tr w14:paraId="59A6C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Merge w:val="restart"/>
            <w:vAlign w:val="center"/>
          </w:tcPr>
          <w:p w14:paraId="122697FC">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城市/农村选项</w:t>
            </w:r>
          </w:p>
        </w:tc>
        <w:tc>
          <w:tcPr>
            <w:tcW w:w="1666" w:type="pct"/>
            <w:vAlign w:val="center"/>
          </w:tcPr>
          <w:p w14:paraId="1E6A8861">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城市/农村</w:t>
            </w:r>
          </w:p>
        </w:tc>
        <w:tc>
          <w:tcPr>
            <w:tcW w:w="1667" w:type="pct"/>
            <w:vAlign w:val="center"/>
          </w:tcPr>
          <w:p w14:paraId="5E34C6A9">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城市</w:t>
            </w:r>
          </w:p>
        </w:tc>
      </w:tr>
      <w:tr w14:paraId="39A45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Merge w:val="continue"/>
            <w:vAlign w:val="center"/>
          </w:tcPr>
          <w:p w14:paraId="6E1AF2AE">
            <w:pPr>
              <w:snapToGrid w:val="0"/>
              <w:spacing w:line="240" w:lineRule="auto"/>
              <w:ind w:firstLine="0" w:firstLineChars="0"/>
              <w:jc w:val="center"/>
              <w:textAlignment w:val="baseline"/>
              <w:rPr>
                <w:rFonts w:cs="Times New Roman"/>
                <w:kern w:val="0"/>
                <w:sz w:val="21"/>
                <w:szCs w:val="21"/>
              </w:rPr>
            </w:pPr>
          </w:p>
        </w:tc>
        <w:tc>
          <w:tcPr>
            <w:tcW w:w="1666" w:type="pct"/>
            <w:vAlign w:val="center"/>
          </w:tcPr>
          <w:p w14:paraId="798C5442">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人口数（城市选项时）</w:t>
            </w:r>
          </w:p>
        </w:tc>
        <w:tc>
          <w:tcPr>
            <w:tcW w:w="1667" w:type="pct"/>
            <w:vAlign w:val="center"/>
          </w:tcPr>
          <w:p w14:paraId="2AA6185C">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1290715</w:t>
            </w:r>
          </w:p>
        </w:tc>
      </w:tr>
      <w:tr w14:paraId="76B2B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2" w:type="pct"/>
            <w:gridSpan w:val="2"/>
            <w:vAlign w:val="center"/>
          </w:tcPr>
          <w:p w14:paraId="6F969B9F">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最高环境温度/℃</w:t>
            </w:r>
          </w:p>
        </w:tc>
        <w:tc>
          <w:tcPr>
            <w:tcW w:w="1667" w:type="pct"/>
            <w:vAlign w:val="center"/>
          </w:tcPr>
          <w:p w14:paraId="6BEF01A5">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41.3℃</w:t>
            </w:r>
          </w:p>
        </w:tc>
      </w:tr>
      <w:tr w14:paraId="270B0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2" w:type="pct"/>
            <w:gridSpan w:val="2"/>
            <w:vAlign w:val="center"/>
          </w:tcPr>
          <w:p w14:paraId="1DA12D17">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最低环境温度/℃</w:t>
            </w:r>
          </w:p>
        </w:tc>
        <w:tc>
          <w:tcPr>
            <w:tcW w:w="1667" w:type="pct"/>
            <w:vAlign w:val="center"/>
          </w:tcPr>
          <w:p w14:paraId="4BC4DF04">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-4.8℃</w:t>
            </w:r>
          </w:p>
        </w:tc>
      </w:tr>
      <w:tr w14:paraId="1392F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2" w:type="pct"/>
            <w:gridSpan w:val="2"/>
            <w:vAlign w:val="center"/>
          </w:tcPr>
          <w:p w14:paraId="7B3CB6EE">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区域湿度条件</w:t>
            </w:r>
          </w:p>
        </w:tc>
        <w:tc>
          <w:tcPr>
            <w:tcW w:w="1667" w:type="pct"/>
            <w:vAlign w:val="center"/>
          </w:tcPr>
          <w:p w14:paraId="5A4A7766">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潮湿</w:t>
            </w:r>
          </w:p>
        </w:tc>
      </w:tr>
      <w:tr w14:paraId="01A47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Merge w:val="restart"/>
            <w:vAlign w:val="center"/>
          </w:tcPr>
          <w:p w14:paraId="42C5D21C">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是否考虑地形</w:t>
            </w:r>
          </w:p>
        </w:tc>
        <w:tc>
          <w:tcPr>
            <w:tcW w:w="1666" w:type="pct"/>
            <w:vAlign w:val="center"/>
          </w:tcPr>
          <w:p w14:paraId="2D9B06A0">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考虑地形</w:t>
            </w:r>
          </w:p>
        </w:tc>
        <w:tc>
          <w:tcPr>
            <w:tcW w:w="1667" w:type="pct"/>
            <w:vAlign w:val="center"/>
          </w:tcPr>
          <w:p w14:paraId="54AEF977">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是</w:t>
            </w:r>
          </w:p>
        </w:tc>
      </w:tr>
      <w:tr w14:paraId="7A98D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Merge w:val="continue"/>
            <w:vAlign w:val="center"/>
          </w:tcPr>
          <w:p w14:paraId="2C995C42">
            <w:pPr>
              <w:snapToGrid w:val="0"/>
              <w:spacing w:line="240" w:lineRule="auto"/>
              <w:ind w:firstLine="0" w:firstLineChars="0"/>
              <w:jc w:val="center"/>
              <w:textAlignment w:val="baseline"/>
              <w:rPr>
                <w:rFonts w:cs="Times New Roman"/>
                <w:kern w:val="0"/>
                <w:sz w:val="21"/>
                <w:szCs w:val="21"/>
              </w:rPr>
            </w:pPr>
          </w:p>
        </w:tc>
        <w:tc>
          <w:tcPr>
            <w:tcW w:w="1666" w:type="pct"/>
            <w:vAlign w:val="center"/>
          </w:tcPr>
          <w:p w14:paraId="6FA2C7AA">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地形数据分辨率/m</w:t>
            </w:r>
          </w:p>
        </w:tc>
        <w:tc>
          <w:tcPr>
            <w:tcW w:w="1667" w:type="pct"/>
            <w:vAlign w:val="center"/>
          </w:tcPr>
          <w:p w14:paraId="00D8A8C7">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90</w:t>
            </w:r>
          </w:p>
        </w:tc>
      </w:tr>
      <w:tr w14:paraId="1955B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Merge w:val="restart"/>
            <w:vAlign w:val="center"/>
          </w:tcPr>
          <w:p w14:paraId="69B0A057">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是否考虑岸线熏烟</w:t>
            </w:r>
          </w:p>
        </w:tc>
        <w:tc>
          <w:tcPr>
            <w:tcW w:w="1666" w:type="pct"/>
            <w:vAlign w:val="center"/>
          </w:tcPr>
          <w:p w14:paraId="4410FFD6">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考虑岸线熏烟</w:t>
            </w:r>
          </w:p>
        </w:tc>
        <w:tc>
          <w:tcPr>
            <w:tcW w:w="1667" w:type="pct"/>
            <w:vAlign w:val="center"/>
          </w:tcPr>
          <w:p w14:paraId="0BFE5D60">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否</w:t>
            </w:r>
          </w:p>
        </w:tc>
      </w:tr>
      <w:tr w14:paraId="0C87E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Merge w:val="continue"/>
            <w:vAlign w:val="center"/>
          </w:tcPr>
          <w:p w14:paraId="0E4D86C9">
            <w:pPr>
              <w:snapToGrid w:val="0"/>
              <w:spacing w:line="240" w:lineRule="auto"/>
              <w:ind w:firstLine="0" w:firstLineChars="0"/>
              <w:jc w:val="center"/>
              <w:textAlignment w:val="baseline"/>
              <w:rPr>
                <w:rFonts w:cs="Times New Roman"/>
                <w:kern w:val="0"/>
                <w:sz w:val="21"/>
                <w:szCs w:val="21"/>
              </w:rPr>
            </w:pPr>
          </w:p>
        </w:tc>
        <w:tc>
          <w:tcPr>
            <w:tcW w:w="1666" w:type="pct"/>
            <w:vAlign w:val="center"/>
          </w:tcPr>
          <w:p w14:paraId="7630E10D">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岸线距离/km</w:t>
            </w:r>
          </w:p>
        </w:tc>
        <w:tc>
          <w:tcPr>
            <w:tcW w:w="1667" w:type="pct"/>
            <w:vAlign w:val="center"/>
          </w:tcPr>
          <w:p w14:paraId="09043781">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w:t>
            </w:r>
          </w:p>
        </w:tc>
      </w:tr>
      <w:tr w14:paraId="5DF31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Merge w:val="continue"/>
            <w:vAlign w:val="center"/>
          </w:tcPr>
          <w:p w14:paraId="2D34E3B5">
            <w:pPr>
              <w:snapToGrid w:val="0"/>
              <w:spacing w:line="240" w:lineRule="auto"/>
              <w:ind w:firstLine="0" w:firstLineChars="0"/>
              <w:jc w:val="center"/>
              <w:textAlignment w:val="baseline"/>
              <w:rPr>
                <w:rFonts w:cs="Times New Roman"/>
                <w:kern w:val="0"/>
                <w:sz w:val="21"/>
                <w:szCs w:val="21"/>
              </w:rPr>
            </w:pPr>
          </w:p>
        </w:tc>
        <w:tc>
          <w:tcPr>
            <w:tcW w:w="1666" w:type="pct"/>
            <w:vAlign w:val="center"/>
          </w:tcPr>
          <w:p w14:paraId="5D6517DA">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岸线方向/°</w:t>
            </w:r>
          </w:p>
        </w:tc>
        <w:tc>
          <w:tcPr>
            <w:tcW w:w="1667" w:type="pct"/>
            <w:vAlign w:val="center"/>
          </w:tcPr>
          <w:p w14:paraId="5AB51FC4">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w:t>
            </w:r>
          </w:p>
        </w:tc>
      </w:tr>
    </w:tbl>
    <w:p w14:paraId="73112839">
      <w:pPr>
        <w:ind w:firstLine="480"/>
        <w:sectPr>
          <w:footerReference r:id="rId12"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14:paraId="29927F9C">
      <w:pPr>
        <w:keepNext/>
        <w:numPr>
          <w:ilvl w:val="5"/>
          <w:numId w:val="1"/>
        </w:numPr>
        <w:snapToGrid w:val="0"/>
        <w:spacing w:line="240" w:lineRule="auto"/>
        <w:ind w:firstLine="422"/>
        <w:jc w:val="center"/>
        <w:rPr>
          <w:b/>
          <w:bCs/>
          <w:color w:val="auto"/>
          <w:sz w:val="21"/>
          <w:szCs w:val="21"/>
        </w:rPr>
      </w:pPr>
      <w:r>
        <w:rPr>
          <w:rFonts w:hint="eastAsia"/>
          <w:b/>
          <w:bCs/>
          <w:color w:val="auto"/>
          <w:sz w:val="21"/>
          <w:szCs w:val="21"/>
        </w:rPr>
        <w:t>本工程主要废气污染源参数一览表</w:t>
      </w:r>
    </w:p>
    <w:tbl>
      <w:tblPr>
        <w:tblStyle w:val="32"/>
        <w:tblW w:w="4998" w:type="pct"/>
        <w:tblInd w:w="0" w:type="dxa"/>
        <w:tblLayout w:type="autofit"/>
        <w:tblCellMar>
          <w:top w:w="0" w:type="dxa"/>
          <w:left w:w="108" w:type="dxa"/>
          <w:bottom w:w="0" w:type="dxa"/>
          <w:right w:w="108" w:type="dxa"/>
        </w:tblCellMar>
      </w:tblPr>
      <w:tblGrid>
        <w:gridCol w:w="1080"/>
        <w:gridCol w:w="1922"/>
        <w:gridCol w:w="1185"/>
        <w:gridCol w:w="1194"/>
        <w:gridCol w:w="873"/>
        <w:gridCol w:w="865"/>
        <w:gridCol w:w="913"/>
        <w:gridCol w:w="865"/>
        <w:gridCol w:w="1174"/>
        <w:gridCol w:w="1398"/>
        <w:gridCol w:w="1398"/>
        <w:gridCol w:w="1301"/>
      </w:tblGrid>
      <w:tr w14:paraId="72AA54FF">
        <w:tblPrEx>
          <w:tblCellMar>
            <w:top w:w="0" w:type="dxa"/>
            <w:left w:w="108" w:type="dxa"/>
            <w:bottom w:w="0" w:type="dxa"/>
            <w:right w:w="108" w:type="dxa"/>
          </w:tblCellMar>
        </w:tblPrEx>
        <w:trPr>
          <w:trHeight w:val="170" w:hRule="atLeast"/>
          <w:tblHeader/>
        </w:trPr>
        <w:tc>
          <w:tcPr>
            <w:tcW w:w="38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BA58E">
            <w:pPr>
              <w:pStyle w:val="45"/>
              <w:rPr>
                <w:rFonts w:hint="default"/>
                <w:b/>
                <w:bCs/>
                <w:color w:val="auto"/>
              </w:rPr>
            </w:pPr>
            <w:r>
              <w:rPr>
                <w:b/>
                <w:bCs/>
                <w:color w:val="auto"/>
              </w:rPr>
              <w:t>类型</w:t>
            </w:r>
          </w:p>
        </w:tc>
        <w:tc>
          <w:tcPr>
            <w:tcW w:w="6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3246C75">
            <w:pPr>
              <w:pStyle w:val="45"/>
              <w:rPr>
                <w:rFonts w:hint="default"/>
                <w:b/>
                <w:bCs/>
                <w:color w:val="auto"/>
              </w:rPr>
            </w:pPr>
            <w:r>
              <w:rPr>
                <w:b/>
                <w:bCs/>
                <w:color w:val="auto"/>
              </w:rPr>
              <w:t>污染源名称</w:t>
            </w:r>
          </w:p>
        </w:tc>
        <w:tc>
          <w:tcPr>
            <w:tcW w:w="83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2BC8F86">
            <w:pPr>
              <w:pStyle w:val="45"/>
              <w:rPr>
                <w:rFonts w:hint="default"/>
                <w:b/>
                <w:bCs/>
                <w:color w:val="auto"/>
              </w:rPr>
            </w:pPr>
            <w:r>
              <w:rPr>
                <w:b/>
                <w:bCs/>
                <w:color w:val="auto"/>
              </w:rPr>
              <w:t>排气筒底部/面源中心坐标</w:t>
            </w:r>
          </w:p>
        </w:tc>
        <w:tc>
          <w:tcPr>
            <w:tcW w:w="30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499AA43">
            <w:pPr>
              <w:pStyle w:val="45"/>
              <w:rPr>
                <w:rFonts w:hint="default"/>
                <w:b/>
                <w:bCs/>
                <w:color w:val="auto"/>
              </w:rPr>
            </w:pPr>
            <w:r>
              <w:rPr>
                <w:b/>
                <w:bCs/>
                <w:color w:val="auto"/>
              </w:rPr>
              <w:t>海拔高度（</w:t>
            </w:r>
            <w:r>
              <w:rPr>
                <w:rFonts w:hint="default"/>
                <w:b/>
                <w:bCs/>
                <w:color w:val="auto"/>
              </w:rPr>
              <w:t>m</w:t>
            </w:r>
            <w:r>
              <w:rPr>
                <w:b/>
                <w:bCs/>
                <w:color w:val="auto"/>
              </w:rPr>
              <w:t>）</w:t>
            </w:r>
          </w:p>
        </w:tc>
        <w:tc>
          <w:tcPr>
            <w:tcW w:w="1346"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2D6766B">
            <w:pPr>
              <w:pStyle w:val="45"/>
              <w:rPr>
                <w:rFonts w:hint="default"/>
                <w:b/>
                <w:bCs/>
                <w:color w:val="auto"/>
              </w:rPr>
            </w:pPr>
            <w:r>
              <w:rPr>
                <w:b/>
                <w:bCs/>
                <w:color w:val="auto"/>
              </w:rPr>
              <w:t>排气筒参数</w:t>
            </w:r>
          </w:p>
        </w:tc>
        <w:tc>
          <w:tcPr>
            <w:tcW w:w="144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4D3D702">
            <w:pPr>
              <w:pStyle w:val="45"/>
              <w:rPr>
                <w:rFonts w:hint="default"/>
                <w:b/>
                <w:bCs/>
                <w:color w:val="auto"/>
              </w:rPr>
            </w:pPr>
            <w:r>
              <w:rPr>
                <w:b/>
                <w:bCs/>
                <w:color w:val="auto"/>
              </w:rPr>
              <w:t>污染物排放速率（</w:t>
            </w:r>
            <w:r>
              <w:rPr>
                <w:rFonts w:hint="default"/>
                <w:b/>
                <w:bCs/>
                <w:color w:val="auto"/>
              </w:rPr>
              <w:t>kg/h</w:t>
            </w:r>
            <w:r>
              <w:rPr>
                <w:b/>
                <w:bCs/>
                <w:color w:val="auto"/>
              </w:rPr>
              <w:t>）</w:t>
            </w:r>
          </w:p>
        </w:tc>
      </w:tr>
      <w:tr w14:paraId="3AA35071">
        <w:tblPrEx>
          <w:tblCellMar>
            <w:top w:w="0" w:type="dxa"/>
            <w:left w:w="108" w:type="dxa"/>
            <w:bottom w:w="0" w:type="dxa"/>
            <w:right w:w="108" w:type="dxa"/>
          </w:tblCellMar>
        </w:tblPrEx>
        <w:trPr>
          <w:trHeight w:val="170" w:hRule="atLeast"/>
          <w:tblHeader/>
        </w:trPr>
        <w:tc>
          <w:tcPr>
            <w:tcW w:w="3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8D8AB">
            <w:pPr>
              <w:pStyle w:val="45"/>
              <w:rPr>
                <w:rFonts w:hint="default"/>
                <w:b/>
                <w:bCs/>
                <w:color w:val="auto"/>
              </w:rPr>
            </w:pPr>
          </w:p>
        </w:tc>
        <w:tc>
          <w:tcPr>
            <w:tcW w:w="6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3D81C5">
            <w:pPr>
              <w:pStyle w:val="45"/>
              <w:rPr>
                <w:rFonts w:hint="default"/>
                <w:b/>
                <w:bCs/>
                <w:color w:val="auto"/>
              </w:rPr>
            </w:pPr>
          </w:p>
        </w:tc>
        <w:tc>
          <w:tcPr>
            <w:tcW w:w="4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8C523F">
            <w:pPr>
              <w:pStyle w:val="45"/>
              <w:rPr>
                <w:rFonts w:hint="default"/>
                <w:b/>
                <w:bCs/>
                <w:color w:val="auto"/>
              </w:rPr>
            </w:pPr>
            <w:r>
              <w:rPr>
                <w:b/>
                <w:bCs/>
                <w:color w:val="auto"/>
              </w:rPr>
              <w:t>X</w:t>
            </w:r>
          </w:p>
        </w:tc>
        <w:tc>
          <w:tcPr>
            <w:tcW w:w="4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70EB13">
            <w:pPr>
              <w:pStyle w:val="45"/>
              <w:rPr>
                <w:rFonts w:hint="default"/>
                <w:b/>
                <w:bCs/>
                <w:color w:val="auto"/>
              </w:rPr>
            </w:pPr>
            <w:r>
              <w:rPr>
                <w:b/>
                <w:bCs/>
                <w:color w:val="auto"/>
              </w:rPr>
              <w:t>Y</w:t>
            </w:r>
          </w:p>
        </w:tc>
        <w:tc>
          <w:tcPr>
            <w:tcW w:w="30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E52680">
            <w:pPr>
              <w:pStyle w:val="45"/>
              <w:rPr>
                <w:rFonts w:hint="default"/>
                <w:b/>
                <w:bCs/>
                <w:color w:val="auto"/>
              </w:rPr>
            </w:pPr>
          </w:p>
        </w:tc>
        <w:tc>
          <w:tcPr>
            <w:tcW w:w="3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239E4E">
            <w:pPr>
              <w:pStyle w:val="45"/>
              <w:rPr>
                <w:rFonts w:hint="default"/>
                <w:b/>
                <w:bCs/>
                <w:color w:val="auto"/>
              </w:rPr>
            </w:pPr>
            <w:r>
              <w:rPr>
                <w:b/>
                <w:bCs/>
                <w:color w:val="auto"/>
              </w:rPr>
              <w:t>高度（m)</w:t>
            </w:r>
          </w:p>
        </w:tc>
        <w:tc>
          <w:tcPr>
            <w:tcW w:w="3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4F094E">
            <w:pPr>
              <w:pStyle w:val="45"/>
              <w:rPr>
                <w:rFonts w:hint="default"/>
                <w:b/>
                <w:bCs/>
                <w:color w:val="auto"/>
              </w:rPr>
            </w:pPr>
            <w:r>
              <w:rPr>
                <w:b/>
                <w:bCs/>
                <w:color w:val="auto"/>
              </w:rPr>
              <w:t>内径（m)</w:t>
            </w:r>
          </w:p>
        </w:tc>
        <w:tc>
          <w:tcPr>
            <w:tcW w:w="3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E04656">
            <w:pPr>
              <w:pStyle w:val="45"/>
              <w:rPr>
                <w:rFonts w:hint="default"/>
                <w:b/>
                <w:bCs/>
                <w:color w:val="auto"/>
              </w:rPr>
            </w:pPr>
            <w:r>
              <w:rPr>
                <w:b/>
                <w:bCs/>
                <w:color w:val="auto"/>
              </w:rPr>
              <w:t>温度（℃）</w:t>
            </w:r>
          </w:p>
        </w:tc>
        <w:tc>
          <w:tcPr>
            <w:tcW w:w="4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05440C">
            <w:pPr>
              <w:pStyle w:val="45"/>
              <w:rPr>
                <w:rFonts w:hint="default"/>
                <w:b/>
                <w:bCs/>
                <w:color w:val="auto"/>
              </w:rPr>
            </w:pPr>
            <w:r>
              <w:rPr>
                <w:b/>
                <w:bCs/>
                <w:color w:val="auto"/>
              </w:rPr>
              <w:t>烟气量（m</w:t>
            </w:r>
            <w:r>
              <w:rPr>
                <w:b/>
                <w:bCs/>
                <w:color w:val="auto"/>
                <w:vertAlign w:val="superscript"/>
              </w:rPr>
              <w:t>3</w:t>
            </w:r>
            <w:r>
              <w:rPr>
                <w:b/>
                <w:bCs/>
                <w:color w:val="auto"/>
              </w:rPr>
              <w:t>/h)</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C02205">
            <w:pPr>
              <w:pStyle w:val="45"/>
              <w:rPr>
                <w:rFonts w:hint="default"/>
                <w:b/>
                <w:bCs/>
                <w:color w:val="auto"/>
              </w:rPr>
            </w:pPr>
            <w:r>
              <w:rPr>
                <w:b/>
                <w:bCs/>
                <w:color w:val="auto"/>
              </w:rPr>
              <w:t>氯气</w:t>
            </w:r>
          </w:p>
        </w:tc>
        <w:tc>
          <w:tcPr>
            <w:tcW w:w="4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D13F2">
            <w:pPr>
              <w:pStyle w:val="45"/>
              <w:rPr>
                <w:rFonts w:hint="default"/>
                <w:b/>
                <w:bCs/>
                <w:color w:val="auto"/>
              </w:rPr>
            </w:pPr>
            <w:r>
              <w:rPr>
                <w:b/>
                <w:bCs/>
                <w:color w:val="auto"/>
              </w:rPr>
              <w:t>氯化氢</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BE4CF">
            <w:pPr>
              <w:pStyle w:val="45"/>
              <w:rPr>
                <w:rFonts w:hint="default"/>
                <w:b/>
                <w:bCs/>
                <w:color w:val="auto"/>
              </w:rPr>
            </w:pPr>
            <w:r>
              <w:rPr>
                <w:b/>
                <w:bCs/>
                <w:color w:val="auto"/>
              </w:rPr>
              <w:t>颗粒物</w:t>
            </w:r>
          </w:p>
        </w:tc>
      </w:tr>
      <w:tr w14:paraId="2F3A7B59">
        <w:tblPrEx>
          <w:tblCellMar>
            <w:top w:w="0" w:type="dxa"/>
            <w:left w:w="108" w:type="dxa"/>
            <w:bottom w:w="0" w:type="dxa"/>
            <w:right w:w="108" w:type="dxa"/>
          </w:tblCellMar>
        </w:tblPrEx>
        <w:trPr>
          <w:trHeight w:val="17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6FAE9A">
            <w:pPr>
              <w:pStyle w:val="45"/>
              <w:bidi w:val="0"/>
              <w:rPr>
                <w:rFonts w:hint="default"/>
                <w:color w:val="auto"/>
              </w:rPr>
            </w:pPr>
            <w:r>
              <w:rPr>
                <w:rFonts w:hint="eastAsia"/>
                <w:color w:val="auto"/>
                <w:lang w:val="en-US" w:eastAsia="zh-CN"/>
              </w:rPr>
              <w:t>点源</w:t>
            </w:r>
          </w:p>
        </w:tc>
        <w:tc>
          <w:tcPr>
            <w:tcW w:w="19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9943E6">
            <w:pPr>
              <w:pStyle w:val="45"/>
              <w:bidi w:val="0"/>
              <w:rPr>
                <w:rFonts w:hint="default"/>
                <w:color w:val="auto"/>
              </w:rPr>
            </w:pPr>
            <w:r>
              <w:rPr>
                <w:rFonts w:hint="eastAsia"/>
                <w:color w:val="auto"/>
                <w:lang w:val="en-US" w:eastAsia="zh-CN"/>
              </w:rPr>
              <w:t>一次电解尾气</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11859">
            <w:pPr>
              <w:pStyle w:val="45"/>
              <w:bidi w:val="0"/>
              <w:rPr>
                <w:rFonts w:hint="default"/>
                <w:color w:val="auto"/>
              </w:rPr>
            </w:pPr>
            <w:r>
              <w:rPr>
                <w:rFonts w:hint="eastAsia"/>
                <w:color w:val="auto"/>
                <w:lang w:val="en-US" w:eastAsia="zh-CN"/>
              </w:rPr>
              <w:t>-14.4</w:t>
            </w:r>
          </w:p>
        </w:tc>
        <w:tc>
          <w:tcPr>
            <w:tcW w:w="11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FCDFB">
            <w:pPr>
              <w:pStyle w:val="45"/>
              <w:bidi w:val="0"/>
              <w:rPr>
                <w:rFonts w:hint="default"/>
                <w:color w:val="auto"/>
              </w:rPr>
            </w:pPr>
            <w:r>
              <w:rPr>
                <w:rFonts w:hint="eastAsia"/>
                <w:color w:val="auto"/>
                <w:lang w:val="en-US" w:eastAsia="zh-CN"/>
              </w:rPr>
              <w:t>-16</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3F381">
            <w:pPr>
              <w:pStyle w:val="45"/>
              <w:bidi w:val="0"/>
              <w:rPr>
                <w:rFonts w:hint="default"/>
                <w:color w:val="auto"/>
              </w:rPr>
            </w:pPr>
            <w:r>
              <w:rPr>
                <w:rFonts w:hint="eastAsia"/>
                <w:color w:val="auto"/>
                <w:lang w:val="en-US" w:eastAsia="zh-CN"/>
              </w:rPr>
              <w:t>59</w:t>
            </w:r>
          </w:p>
        </w:tc>
        <w:tc>
          <w:tcPr>
            <w:tcW w:w="8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952A9">
            <w:pPr>
              <w:pStyle w:val="45"/>
              <w:bidi w:val="0"/>
              <w:rPr>
                <w:rFonts w:hint="default"/>
                <w:color w:val="auto"/>
              </w:rPr>
            </w:pPr>
            <w:r>
              <w:rPr>
                <w:rFonts w:hint="default"/>
                <w:color w:val="auto"/>
                <w:lang w:val="en-US" w:eastAsia="zh-CN"/>
              </w:rPr>
              <w:t>25</w:t>
            </w:r>
          </w:p>
        </w:tc>
        <w:tc>
          <w:tcPr>
            <w:tcW w:w="9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196AC9">
            <w:pPr>
              <w:pStyle w:val="45"/>
              <w:bidi w:val="0"/>
              <w:rPr>
                <w:rFonts w:hint="default"/>
                <w:color w:val="auto"/>
              </w:rPr>
            </w:pPr>
            <w:r>
              <w:rPr>
                <w:rFonts w:hint="default"/>
                <w:color w:val="auto"/>
                <w:lang w:val="en-US" w:eastAsia="zh-CN"/>
              </w:rPr>
              <w:t>0.4</w:t>
            </w:r>
          </w:p>
        </w:tc>
        <w:tc>
          <w:tcPr>
            <w:tcW w:w="8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6DC315">
            <w:pPr>
              <w:pStyle w:val="45"/>
              <w:bidi w:val="0"/>
              <w:rPr>
                <w:rFonts w:hint="default"/>
                <w:color w:val="auto"/>
              </w:rPr>
            </w:pPr>
            <w:r>
              <w:rPr>
                <w:rFonts w:hint="default"/>
                <w:color w:val="auto"/>
                <w:lang w:val="en-US" w:eastAsia="zh-CN"/>
              </w:rPr>
              <w:t>25</w:t>
            </w:r>
          </w:p>
        </w:tc>
        <w:tc>
          <w:tcPr>
            <w:tcW w:w="11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5DF583">
            <w:pPr>
              <w:pStyle w:val="45"/>
              <w:bidi w:val="0"/>
              <w:rPr>
                <w:rFonts w:hint="default"/>
                <w:color w:val="auto"/>
              </w:rPr>
            </w:pPr>
            <w:r>
              <w:rPr>
                <w:rFonts w:hint="default"/>
                <w:color w:val="auto"/>
                <w:lang w:val="en-US" w:eastAsia="zh-CN"/>
              </w:rPr>
              <w:t>2000</w:t>
            </w:r>
          </w:p>
        </w:tc>
        <w:tc>
          <w:tcPr>
            <w:tcW w:w="13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08C376">
            <w:pPr>
              <w:pStyle w:val="45"/>
              <w:bidi w:val="0"/>
              <w:rPr>
                <w:rFonts w:hint="default"/>
                <w:color w:val="auto"/>
              </w:rPr>
            </w:pPr>
            <w:r>
              <w:rPr>
                <w:rFonts w:hint="eastAsia"/>
                <w:color w:val="auto"/>
                <w:lang w:val="en-US" w:eastAsia="zh-CN"/>
              </w:rPr>
              <w:t>0.0146</w:t>
            </w:r>
          </w:p>
        </w:tc>
        <w:tc>
          <w:tcPr>
            <w:tcW w:w="13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3E059">
            <w:pPr>
              <w:pStyle w:val="45"/>
              <w:bidi w:val="0"/>
              <w:rPr>
                <w:rFonts w:hint="default"/>
                <w:color w:val="auto"/>
              </w:rPr>
            </w:pPr>
            <w:r>
              <w:rPr>
                <w:rFonts w:hint="eastAsia"/>
                <w:color w:val="auto"/>
                <w:lang w:val="en-US" w:eastAsia="zh-CN"/>
              </w:rPr>
              <w:t>0.0151</w:t>
            </w:r>
          </w:p>
        </w:tc>
        <w:tc>
          <w:tcPr>
            <w:tcW w:w="13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4A6C85">
            <w:pPr>
              <w:pStyle w:val="45"/>
              <w:bidi w:val="0"/>
              <w:rPr>
                <w:rFonts w:hint="default"/>
                <w:color w:val="auto"/>
              </w:rPr>
            </w:pPr>
            <w:r>
              <w:rPr>
                <w:rFonts w:hint="eastAsia"/>
                <w:color w:val="auto"/>
                <w:lang w:val="en-US" w:eastAsia="zh-CN"/>
              </w:rPr>
              <w:t>/</w:t>
            </w:r>
          </w:p>
        </w:tc>
      </w:tr>
      <w:tr w14:paraId="3ED4F6FD">
        <w:tblPrEx>
          <w:tblCellMar>
            <w:top w:w="0" w:type="dxa"/>
            <w:left w:w="108" w:type="dxa"/>
            <w:bottom w:w="0" w:type="dxa"/>
            <w:right w:w="108" w:type="dxa"/>
          </w:tblCellMar>
        </w:tblPrEx>
        <w:trPr>
          <w:trHeight w:val="17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94F25">
            <w:pPr>
              <w:pStyle w:val="45"/>
              <w:bidi w:val="0"/>
              <w:rPr>
                <w:rFonts w:hint="default"/>
              </w:rPr>
            </w:pPr>
            <w:r>
              <w:rPr>
                <w:rFonts w:hint="eastAsia"/>
                <w:lang w:val="en-US" w:eastAsia="zh-CN"/>
              </w:rPr>
              <w:t>点源</w:t>
            </w:r>
          </w:p>
        </w:tc>
        <w:tc>
          <w:tcPr>
            <w:tcW w:w="1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FA861">
            <w:pPr>
              <w:pStyle w:val="45"/>
              <w:bidi w:val="0"/>
              <w:rPr>
                <w:rFonts w:hint="default"/>
              </w:rPr>
            </w:pPr>
            <w:r>
              <w:rPr>
                <w:rFonts w:hint="eastAsia"/>
                <w:lang w:val="en-US" w:eastAsia="zh-CN"/>
              </w:rPr>
              <w:t>除次钠尾气</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5AB2C">
            <w:pPr>
              <w:pStyle w:val="45"/>
              <w:bidi w:val="0"/>
              <w:rPr>
                <w:rFonts w:hint="default"/>
              </w:rPr>
            </w:pPr>
            <w:r>
              <w:rPr>
                <w:rFonts w:hint="eastAsia"/>
                <w:lang w:val="en-US" w:eastAsia="zh-CN"/>
              </w:rPr>
              <w:t>-14.4</w:t>
            </w:r>
          </w:p>
        </w:tc>
        <w:tc>
          <w:tcPr>
            <w:tcW w:w="11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6044DB">
            <w:pPr>
              <w:pStyle w:val="45"/>
              <w:bidi w:val="0"/>
              <w:rPr>
                <w:rFonts w:hint="default"/>
              </w:rPr>
            </w:pPr>
            <w:r>
              <w:rPr>
                <w:rFonts w:hint="eastAsia"/>
                <w:lang w:val="en-US" w:eastAsia="zh-CN"/>
              </w:rPr>
              <w:t>-22</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CA925A">
            <w:pPr>
              <w:pStyle w:val="45"/>
              <w:bidi w:val="0"/>
              <w:rPr>
                <w:rFonts w:hint="default"/>
              </w:rPr>
            </w:pPr>
            <w:r>
              <w:rPr>
                <w:rFonts w:hint="eastAsia"/>
                <w:lang w:val="en-US" w:eastAsia="zh-CN"/>
              </w:rPr>
              <w:t>60</w:t>
            </w:r>
          </w:p>
        </w:tc>
        <w:tc>
          <w:tcPr>
            <w:tcW w:w="8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C6E116">
            <w:pPr>
              <w:pStyle w:val="45"/>
              <w:bidi w:val="0"/>
              <w:rPr>
                <w:rFonts w:hint="default"/>
              </w:rPr>
            </w:pPr>
            <w:r>
              <w:rPr>
                <w:rFonts w:hint="default"/>
                <w:lang w:val="en-US" w:eastAsia="zh-CN"/>
              </w:rPr>
              <w:t>25</w:t>
            </w:r>
          </w:p>
        </w:tc>
        <w:tc>
          <w:tcPr>
            <w:tcW w:w="9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BC249">
            <w:pPr>
              <w:pStyle w:val="45"/>
              <w:bidi w:val="0"/>
              <w:rPr>
                <w:rFonts w:hint="default"/>
              </w:rPr>
            </w:pPr>
            <w:r>
              <w:rPr>
                <w:rFonts w:hint="default"/>
                <w:lang w:val="en-US" w:eastAsia="zh-CN"/>
              </w:rPr>
              <w:t>0.4</w:t>
            </w:r>
          </w:p>
        </w:tc>
        <w:tc>
          <w:tcPr>
            <w:tcW w:w="8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4A6F2">
            <w:pPr>
              <w:pStyle w:val="45"/>
              <w:bidi w:val="0"/>
              <w:rPr>
                <w:rFonts w:hint="default"/>
              </w:rPr>
            </w:pPr>
            <w:r>
              <w:rPr>
                <w:rFonts w:hint="default"/>
                <w:lang w:val="en-US" w:eastAsia="zh-CN"/>
              </w:rPr>
              <w:t>25</w:t>
            </w:r>
          </w:p>
        </w:tc>
        <w:tc>
          <w:tcPr>
            <w:tcW w:w="11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9FAE77">
            <w:pPr>
              <w:pStyle w:val="45"/>
              <w:bidi w:val="0"/>
              <w:rPr>
                <w:rFonts w:hint="default"/>
              </w:rPr>
            </w:pPr>
            <w:r>
              <w:rPr>
                <w:rFonts w:hint="default"/>
                <w:lang w:val="en-US" w:eastAsia="zh-CN"/>
              </w:rPr>
              <w:t>2000</w:t>
            </w:r>
          </w:p>
        </w:tc>
        <w:tc>
          <w:tcPr>
            <w:tcW w:w="13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1C479">
            <w:pPr>
              <w:pStyle w:val="45"/>
              <w:bidi w:val="0"/>
              <w:rPr>
                <w:rFonts w:hint="default"/>
              </w:rPr>
            </w:pPr>
            <w:r>
              <w:rPr>
                <w:rFonts w:hint="eastAsia"/>
                <w:lang w:val="en-US" w:eastAsia="zh-CN"/>
              </w:rPr>
              <w:t>0.001</w:t>
            </w:r>
          </w:p>
        </w:tc>
        <w:tc>
          <w:tcPr>
            <w:tcW w:w="13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261D6D">
            <w:pPr>
              <w:pStyle w:val="45"/>
              <w:bidi w:val="0"/>
              <w:rPr>
                <w:rFonts w:hint="default"/>
              </w:rPr>
            </w:pPr>
            <w:r>
              <w:rPr>
                <w:rFonts w:hint="eastAsia"/>
                <w:lang w:val="en-US" w:eastAsia="zh-CN"/>
              </w:rPr>
              <w:t>0.0011</w:t>
            </w:r>
          </w:p>
        </w:tc>
        <w:tc>
          <w:tcPr>
            <w:tcW w:w="13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3E1CD">
            <w:pPr>
              <w:pStyle w:val="45"/>
              <w:bidi w:val="0"/>
              <w:rPr>
                <w:rFonts w:hint="default"/>
              </w:rPr>
            </w:pPr>
            <w:r>
              <w:rPr>
                <w:rFonts w:hint="eastAsia"/>
                <w:lang w:val="en-US" w:eastAsia="zh-CN"/>
              </w:rPr>
              <w:t>/</w:t>
            </w:r>
          </w:p>
        </w:tc>
      </w:tr>
      <w:tr w14:paraId="7B2FA807">
        <w:tblPrEx>
          <w:tblCellMar>
            <w:top w:w="0" w:type="dxa"/>
            <w:left w:w="108" w:type="dxa"/>
            <w:bottom w:w="0" w:type="dxa"/>
            <w:right w:w="108" w:type="dxa"/>
          </w:tblCellMar>
        </w:tblPrEx>
        <w:trPr>
          <w:trHeight w:val="17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A040D7">
            <w:pPr>
              <w:pStyle w:val="45"/>
              <w:bidi w:val="0"/>
              <w:rPr>
                <w:rFonts w:hint="default"/>
              </w:rPr>
            </w:pPr>
            <w:r>
              <w:rPr>
                <w:rFonts w:hint="eastAsia"/>
                <w:lang w:val="en-US" w:eastAsia="zh-CN"/>
              </w:rPr>
              <w:t>点源</w:t>
            </w:r>
          </w:p>
        </w:tc>
        <w:tc>
          <w:tcPr>
            <w:tcW w:w="1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359CC">
            <w:pPr>
              <w:pStyle w:val="45"/>
              <w:bidi w:val="0"/>
              <w:rPr>
                <w:rFonts w:hint="default"/>
              </w:rPr>
            </w:pPr>
            <w:r>
              <w:rPr>
                <w:rFonts w:hint="eastAsia"/>
                <w:lang w:val="en-US" w:eastAsia="zh-CN"/>
              </w:rPr>
              <w:t>二次电解尾气1</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6CB8EE">
            <w:pPr>
              <w:pStyle w:val="45"/>
              <w:bidi w:val="0"/>
              <w:rPr>
                <w:rFonts w:hint="default"/>
              </w:rPr>
            </w:pPr>
            <w:r>
              <w:rPr>
                <w:rFonts w:hint="eastAsia"/>
                <w:lang w:val="en-US" w:eastAsia="zh-CN"/>
              </w:rPr>
              <w:t>-31.3</w:t>
            </w:r>
          </w:p>
        </w:tc>
        <w:tc>
          <w:tcPr>
            <w:tcW w:w="11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C1E84">
            <w:pPr>
              <w:pStyle w:val="45"/>
              <w:bidi w:val="0"/>
              <w:rPr>
                <w:rFonts w:hint="default"/>
              </w:rPr>
            </w:pPr>
            <w:r>
              <w:rPr>
                <w:rFonts w:hint="eastAsia"/>
                <w:lang w:val="en-US" w:eastAsia="zh-CN"/>
              </w:rPr>
              <w:t>-8.5</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8A4899">
            <w:pPr>
              <w:pStyle w:val="45"/>
              <w:bidi w:val="0"/>
              <w:rPr>
                <w:rFonts w:hint="default"/>
              </w:rPr>
            </w:pPr>
            <w:r>
              <w:rPr>
                <w:rFonts w:hint="eastAsia"/>
                <w:lang w:val="en-US" w:eastAsia="zh-CN"/>
              </w:rPr>
              <w:t>59</w:t>
            </w:r>
          </w:p>
        </w:tc>
        <w:tc>
          <w:tcPr>
            <w:tcW w:w="8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4FAF8">
            <w:pPr>
              <w:pStyle w:val="45"/>
              <w:bidi w:val="0"/>
              <w:rPr>
                <w:rFonts w:hint="default"/>
              </w:rPr>
            </w:pPr>
            <w:r>
              <w:rPr>
                <w:rFonts w:hint="default"/>
                <w:lang w:val="en-US" w:eastAsia="zh-CN"/>
              </w:rPr>
              <w:t>25</w:t>
            </w:r>
          </w:p>
        </w:tc>
        <w:tc>
          <w:tcPr>
            <w:tcW w:w="9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0BA1C7">
            <w:pPr>
              <w:pStyle w:val="45"/>
              <w:bidi w:val="0"/>
              <w:rPr>
                <w:rFonts w:hint="default"/>
              </w:rPr>
            </w:pPr>
            <w:r>
              <w:rPr>
                <w:rFonts w:hint="default"/>
                <w:lang w:val="en-US" w:eastAsia="zh-CN"/>
              </w:rPr>
              <w:t>0.4</w:t>
            </w:r>
          </w:p>
        </w:tc>
        <w:tc>
          <w:tcPr>
            <w:tcW w:w="8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110C50">
            <w:pPr>
              <w:pStyle w:val="45"/>
              <w:bidi w:val="0"/>
              <w:rPr>
                <w:rFonts w:hint="default"/>
              </w:rPr>
            </w:pPr>
            <w:r>
              <w:rPr>
                <w:rFonts w:hint="default"/>
                <w:lang w:val="en-US" w:eastAsia="zh-CN"/>
              </w:rPr>
              <w:t>25</w:t>
            </w:r>
          </w:p>
        </w:tc>
        <w:tc>
          <w:tcPr>
            <w:tcW w:w="11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176592">
            <w:pPr>
              <w:pStyle w:val="45"/>
              <w:bidi w:val="0"/>
              <w:rPr>
                <w:rFonts w:hint="default"/>
              </w:rPr>
            </w:pPr>
            <w:r>
              <w:rPr>
                <w:rFonts w:hint="default"/>
                <w:lang w:val="en-US" w:eastAsia="zh-CN"/>
              </w:rPr>
              <w:t>2000</w:t>
            </w:r>
          </w:p>
        </w:tc>
        <w:tc>
          <w:tcPr>
            <w:tcW w:w="13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E19DE">
            <w:pPr>
              <w:pStyle w:val="45"/>
              <w:bidi w:val="0"/>
              <w:rPr>
                <w:rFonts w:hint="default"/>
              </w:rPr>
            </w:pPr>
            <w:r>
              <w:rPr>
                <w:rFonts w:hint="eastAsia"/>
                <w:lang w:val="en-US" w:eastAsia="zh-CN"/>
              </w:rPr>
              <w:t>0.0104</w:t>
            </w:r>
          </w:p>
        </w:tc>
        <w:tc>
          <w:tcPr>
            <w:tcW w:w="13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17AA6">
            <w:pPr>
              <w:pStyle w:val="45"/>
              <w:bidi w:val="0"/>
              <w:rPr>
                <w:rFonts w:hint="default"/>
              </w:rPr>
            </w:pPr>
            <w:r>
              <w:rPr>
                <w:rFonts w:hint="eastAsia"/>
                <w:lang w:val="en-US" w:eastAsia="zh-CN"/>
              </w:rPr>
              <w:t>0.0121</w:t>
            </w:r>
          </w:p>
        </w:tc>
        <w:tc>
          <w:tcPr>
            <w:tcW w:w="13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AD5D4">
            <w:pPr>
              <w:pStyle w:val="45"/>
              <w:bidi w:val="0"/>
              <w:rPr>
                <w:rFonts w:hint="default"/>
              </w:rPr>
            </w:pPr>
            <w:r>
              <w:rPr>
                <w:rFonts w:hint="eastAsia"/>
                <w:lang w:val="en-US" w:eastAsia="zh-CN"/>
              </w:rPr>
              <w:t>/</w:t>
            </w:r>
          </w:p>
        </w:tc>
      </w:tr>
      <w:tr w14:paraId="56955F84">
        <w:tblPrEx>
          <w:tblCellMar>
            <w:top w:w="0" w:type="dxa"/>
            <w:left w:w="108" w:type="dxa"/>
            <w:bottom w:w="0" w:type="dxa"/>
            <w:right w:w="108" w:type="dxa"/>
          </w:tblCellMar>
        </w:tblPrEx>
        <w:trPr>
          <w:trHeight w:val="17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F4280">
            <w:pPr>
              <w:pStyle w:val="45"/>
              <w:bidi w:val="0"/>
              <w:rPr>
                <w:rFonts w:hint="default"/>
              </w:rPr>
            </w:pPr>
            <w:r>
              <w:rPr>
                <w:rFonts w:hint="eastAsia"/>
                <w:lang w:val="en-US" w:eastAsia="zh-CN"/>
              </w:rPr>
              <w:t>点源</w:t>
            </w:r>
          </w:p>
        </w:tc>
        <w:tc>
          <w:tcPr>
            <w:tcW w:w="1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E92DD">
            <w:pPr>
              <w:pStyle w:val="45"/>
              <w:bidi w:val="0"/>
              <w:rPr>
                <w:rFonts w:hint="default"/>
              </w:rPr>
            </w:pPr>
            <w:r>
              <w:rPr>
                <w:rFonts w:hint="eastAsia"/>
                <w:lang w:val="en-US" w:eastAsia="zh-CN"/>
              </w:rPr>
              <w:t>二次电解尾气2</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70B04">
            <w:pPr>
              <w:pStyle w:val="45"/>
              <w:bidi w:val="0"/>
              <w:rPr>
                <w:rFonts w:hint="default"/>
              </w:rPr>
            </w:pPr>
            <w:r>
              <w:rPr>
                <w:rFonts w:hint="eastAsia"/>
                <w:lang w:val="en-US" w:eastAsia="zh-CN"/>
              </w:rPr>
              <w:t>-39.4</w:t>
            </w:r>
          </w:p>
        </w:tc>
        <w:tc>
          <w:tcPr>
            <w:tcW w:w="11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A10BB1">
            <w:pPr>
              <w:pStyle w:val="45"/>
              <w:bidi w:val="0"/>
              <w:rPr>
                <w:rFonts w:hint="default"/>
              </w:rPr>
            </w:pPr>
            <w:r>
              <w:rPr>
                <w:rFonts w:hint="eastAsia"/>
                <w:lang w:val="en-US" w:eastAsia="zh-CN"/>
              </w:rPr>
              <w:t>-8.5</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41E52">
            <w:pPr>
              <w:pStyle w:val="45"/>
              <w:bidi w:val="0"/>
              <w:rPr>
                <w:rFonts w:hint="default"/>
              </w:rPr>
            </w:pPr>
            <w:r>
              <w:rPr>
                <w:rFonts w:hint="eastAsia"/>
                <w:lang w:val="en-US" w:eastAsia="zh-CN"/>
              </w:rPr>
              <w:t>59</w:t>
            </w:r>
          </w:p>
        </w:tc>
        <w:tc>
          <w:tcPr>
            <w:tcW w:w="8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54F04E">
            <w:pPr>
              <w:pStyle w:val="45"/>
              <w:bidi w:val="0"/>
              <w:rPr>
                <w:rFonts w:hint="default"/>
              </w:rPr>
            </w:pPr>
            <w:r>
              <w:rPr>
                <w:rFonts w:hint="default"/>
                <w:lang w:val="en-US" w:eastAsia="zh-CN"/>
              </w:rPr>
              <w:t>25</w:t>
            </w:r>
          </w:p>
        </w:tc>
        <w:tc>
          <w:tcPr>
            <w:tcW w:w="9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B711BF">
            <w:pPr>
              <w:pStyle w:val="45"/>
              <w:bidi w:val="0"/>
              <w:rPr>
                <w:rFonts w:hint="default"/>
              </w:rPr>
            </w:pPr>
            <w:r>
              <w:rPr>
                <w:rFonts w:hint="default"/>
                <w:lang w:val="en-US" w:eastAsia="zh-CN"/>
              </w:rPr>
              <w:t>0.4</w:t>
            </w:r>
          </w:p>
        </w:tc>
        <w:tc>
          <w:tcPr>
            <w:tcW w:w="8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D0F659">
            <w:pPr>
              <w:pStyle w:val="45"/>
              <w:bidi w:val="0"/>
              <w:rPr>
                <w:rFonts w:hint="default"/>
              </w:rPr>
            </w:pPr>
            <w:r>
              <w:rPr>
                <w:rFonts w:hint="default"/>
                <w:lang w:val="en-US" w:eastAsia="zh-CN"/>
              </w:rPr>
              <w:t>25</w:t>
            </w:r>
          </w:p>
        </w:tc>
        <w:tc>
          <w:tcPr>
            <w:tcW w:w="11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FBAD16">
            <w:pPr>
              <w:pStyle w:val="45"/>
              <w:bidi w:val="0"/>
              <w:rPr>
                <w:rFonts w:hint="default"/>
              </w:rPr>
            </w:pPr>
            <w:r>
              <w:rPr>
                <w:rFonts w:hint="default"/>
                <w:lang w:val="en-US" w:eastAsia="zh-CN"/>
              </w:rPr>
              <w:t>2000</w:t>
            </w:r>
          </w:p>
        </w:tc>
        <w:tc>
          <w:tcPr>
            <w:tcW w:w="13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0B6D5">
            <w:pPr>
              <w:pStyle w:val="45"/>
              <w:bidi w:val="0"/>
              <w:rPr>
                <w:rFonts w:hint="default"/>
              </w:rPr>
            </w:pPr>
            <w:r>
              <w:rPr>
                <w:rFonts w:hint="eastAsia"/>
                <w:lang w:val="en-US" w:eastAsia="zh-CN"/>
              </w:rPr>
              <w:t>0.0104</w:t>
            </w:r>
          </w:p>
        </w:tc>
        <w:tc>
          <w:tcPr>
            <w:tcW w:w="13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8E77A5">
            <w:pPr>
              <w:pStyle w:val="45"/>
              <w:bidi w:val="0"/>
              <w:rPr>
                <w:rFonts w:hint="default"/>
              </w:rPr>
            </w:pPr>
            <w:r>
              <w:rPr>
                <w:rFonts w:hint="eastAsia"/>
                <w:lang w:val="en-US" w:eastAsia="zh-CN"/>
              </w:rPr>
              <w:t>0.0121</w:t>
            </w:r>
          </w:p>
        </w:tc>
        <w:tc>
          <w:tcPr>
            <w:tcW w:w="13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A2515">
            <w:pPr>
              <w:pStyle w:val="45"/>
              <w:bidi w:val="0"/>
              <w:rPr>
                <w:rFonts w:hint="default"/>
              </w:rPr>
            </w:pPr>
            <w:r>
              <w:rPr>
                <w:rFonts w:hint="eastAsia"/>
                <w:lang w:val="en-US" w:eastAsia="zh-CN"/>
              </w:rPr>
              <w:t>/</w:t>
            </w:r>
          </w:p>
        </w:tc>
      </w:tr>
      <w:tr w14:paraId="6388ED38">
        <w:tblPrEx>
          <w:tblCellMar>
            <w:top w:w="0" w:type="dxa"/>
            <w:left w:w="108" w:type="dxa"/>
            <w:bottom w:w="0" w:type="dxa"/>
            <w:right w:w="108" w:type="dxa"/>
          </w:tblCellMar>
        </w:tblPrEx>
        <w:trPr>
          <w:trHeight w:val="17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E2B6F">
            <w:pPr>
              <w:pStyle w:val="45"/>
              <w:bidi w:val="0"/>
              <w:rPr>
                <w:rFonts w:hint="default"/>
              </w:rPr>
            </w:pPr>
            <w:r>
              <w:rPr>
                <w:rFonts w:hint="eastAsia"/>
                <w:lang w:val="en-US" w:eastAsia="zh-CN"/>
              </w:rPr>
              <w:t>点源</w:t>
            </w:r>
          </w:p>
        </w:tc>
        <w:tc>
          <w:tcPr>
            <w:tcW w:w="1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C0F77">
            <w:pPr>
              <w:pStyle w:val="45"/>
              <w:bidi w:val="0"/>
              <w:rPr>
                <w:rFonts w:hint="default"/>
              </w:rPr>
            </w:pPr>
            <w:r>
              <w:rPr>
                <w:rFonts w:hint="eastAsia"/>
                <w:lang w:val="en-US" w:eastAsia="zh-CN"/>
              </w:rPr>
              <w:t>复分解干燥粉尘1</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B2DE49">
            <w:pPr>
              <w:pStyle w:val="45"/>
              <w:bidi w:val="0"/>
              <w:rPr>
                <w:rFonts w:hint="default"/>
              </w:rPr>
            </w:pPr>
            <w:r>
              <w:rPr>
                <w:rFonts w:hint="eastAsia"/>
                <w:lang w:val="en-US" w:eastAsia="zh-CN"/>
              </w:rPr>
              <w:t>14.5</w:t>
            </w:r>
          </w:p>
        </w:tc>
        <w:tc>
          <w:tcPr>
            <w:tcW w:w="11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28808">
            <w:pPr>
              <w:pStyle w:val="45"/>
              <w:bidi w:val="0"/>
              <w:rPr>
                <w:rFonts w:hint="default"/>
              </w:rPr>
            </w:pPr>
            <w:r>
              <w:rPr>
                <w:rFonts w:hint="eastAsia"/>
                <w:lang w:val="en-US" w:eastAsia="zh-CN"/>
              </w:rPr>
              <w:t>-16.5</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C1DBA">
            <w:pPr>
              <w:pStyle w:val="45"/>
              <w:bidi w:val="0"/>
              <w:rPr>
                <w:rFonts w:hint="default"/>
              </w:rPr>
            </w:pPr>
            <w:r>
              <w:rPr>
                <w:rFonts w:hint="eastAsia"/>
                <w:lang w:val="en-US" w:eastAsia="zh-CN"/>
              </w:rPr>
              <w:t>60</w:t>
            </w:r>
          </w:p>
        </w:tc>
        <w:tc>
          <w:tcPr>
            <w:tcW w:w="8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A41B8A">
            <w:pPr>
              <w:pStyle w:val="45"/>
              <w:bidi w:val="0"/>
              <w:rPr>
                <w:rFonts w:hint="default"/>
              </w:rPr>
            </w:pPr>
            <w:r>
              <w:rPr>
                <w:rFonts w:hint="default"/>
                <w:lang w:val="en-US" w:eastAsia="zh-CN"/>
              </w:rPr>
              <w:t>15</w:t>
            </w:r>
          </w:p>
        </w:tc>
        <w:tc>
          <w:tcPr>
            <w:tcW w:w="9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D2D659">
            <w:pPr>
              <w:pStyle w:val="45"/>
              <w:bidi w:val="0"/>
              <w:rPr>
                <w:rFonts w:hint="default"/>
              </w:rPr>
            </w:pPr>
            <w:r>
              <w:rPr>
                <w:rFonts w:hint="default"/>
                <w:lang w:val="en-US" w:eastAsia="zh-CN"/>
              </w:rPr>
              <w:t>0.6</w:t>
            </w:r>
          </w:p>
        </w:tc>
        <w:tc>
          <w:tcPr>
            <w:tcW w:w="8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07D5AF">
            <w:pPr>
              <w:pStyle w:val="45"/>
              <w:bidi w:val="0"/>
              <w:rPr>
                <w:rFonts w:hint="default"/>
              </w:rPr>
            </w:pPr>
            <w:r>
              <w:rPr>
                <w:rFonts w:hint="default"/>
                <w:lang w:val="en-US" w:eastAsia="zh-CN"/>
              </w:rPr>
              <w:t>25</w:t>
            </w:r>
          </w:p>
        </w:tc>
        <w:tc>
          <w:tcPr>
            <w:tcW w:w="11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CE6010">
            <w:pPr>
              <w:pStyle w:val="45"/>
              <w:bidi w:val="0"/>
              <w:rPr>
                <w:rFonts w:hint="default"/>
              </w:rPr>
            </w:pPr>
            <w:r>
              <w:rPr>
                <w:rFonts w:hint="default"/>
                <w:lang w:val="en-US" w:eastAsia="zh-CN"/>
              </w:rPr>
              <w:t>8000</w:t>
            </w:r>
          </w:p>
        </w:tc>
        <w:tc>
          <w:tcPr>
            <w:tcW w:w="13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A4BE6">
            <w:pPr>
              <w:pStyle w:val="45"/>
              <w:bidi w:val="0"/>
              <w:rPr>
                <w:rFonts w:hint="default"/>
              </w:rPr>
            </w:pPr>
            <w:r>
              <w:rPr>
                <w:rFonts w:hint="eastAsia"/>
                <w:lang w:val="en-US" w:eastAsia="zh-CN"/>
              </w:rPr>
              <w:t>/</w:t>
            </w:r>
          </w:p>
        </w:tc>
        <w:tc>
          <w:tcPr>
            <w:tcW w:w="13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2C478">
            <w:pPr>
              <w:pStyle w:val="45"/>
              <w:bidi w:val="0"/>
              <w:rPr>
                <w:rFonts w:hint="default"/>
              </w:rPr>
            </w:pPr>
            <w:r>
              <w:rPr>
                <w:rFonts w:hint="eastAsia"/>
                <w:lang w:val="en-US" w:eastAsia="zh-CN"/>
              </w:rPr>
              <w:t>/</w:t>
            </w:r>
          </w:p>
        </w:tc>
        <w:tc>
          <w:tcPr>
            <w:tcW w:w="13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95768">
            <w:pPr>
              <w:pStyle w:val="45"/>
              <w:bidi w:val="0"/>
              <w:rPr>
                <w:rFonts w:hint="default"/>
              </w:rPr>
            </w:pPr>
            <w:r>
              <w:rPr>
                <w:rFonts w:hint="eastAsia"/>
                <w:lang w:val="en-US" w:eastAsia="zh-CN"/>
              </w:rPr>
              <w:t>0.1925</w:t>
            </w:r>
          </w:p>
        </w:tc>
      </w:tr>
      <w:tr w14:paraId="69917CA7">
        <w:tblPrEx>
          <w:tblCellMar>
            <w:top w:w="0" w:type="dxa"/>
            <w:left w:w="108" w:type="dxa"/>
            <w:bottom w:w="0" w:type="dxa"/>
            <w:right w:w="108" w:type="dxa"/>
          </w:tblCellMar>
        </w:tblPrEx>
        <w:trPr>
          <w:trHeight w:val="17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DB9FAB">
            <w:pPr>
              <w:pStyle w:val="45"/>
              <w:bidi w:val="0"/>
              <w:rPr>
                <w:rFonts w:hint="default"/>
              </w:rPr>
            </w:pPr>
            <w:r>
              <w:rPr>
                <w:rFonts w:hint="eastAsia"/>
                <w:lang w:val="en-US" w:eastAsia="zh-CN"/>
              </w:rPr>
              <w:t>点源</w:t>
            </w:r>
          </w:p>
        </w:tc>
        <w:tc>
          <w:tcPr>
            <w:tcW w:w="1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12F49D">
            <w:pPr>
              <w:pStyle w:val="45"/>
              <w:bidi w:val="0"/>
              <w:rPr>
                <w:rFonts w:hint="default"/>
              </w:rPr>
            </w:pPr>
            <w:r>
              <w:rPr>
                <w:rFonts w:hint="eastAsia"/>
                <w:lang w:val="en-US" w:eastAsia="zh-CN"/>
              </w:rPr>
              <w:t>复分解干燥粉尘2</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405C4">
            <w:pPr>
              <w:pStyle w:val="45"/>
              <w:bidi w:val="0"/>
              <w:rPr>
                <w:rFonts w:hint="default"/>
              </w:rPr>
            </w:pPr>
            <w:r>
              <w:rPr>
                <w:rFonts w:hint="eastAsia"/>
                <w:lang w:val="en-US" w:eastAsia="zh-CN"/>
              </w:rPr>
              <w:t>24.5</w:t>
            </w:r>
          </w:p>
        </w:tc>
        <w:tc>
          <w:tcPr>
            <w:tcW w:w="11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8670F7">
            <w:pPr>
              <w:pStyle w:val="45"/>
              <w:bidi w:val="0"/>
              <w:rPr>
                <w:rFonts w:hint="default"/>
              </w:rPr>
            </w:pPr>
            <w:r>
              <w:rPr>
                <w:rFonts w:hint="eastAsia"/>
                <w:lang w:val="en-US" w:eastAsia="zh-CN"/>
              </w:rPr>
              <w:t>-16.5</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9C7A7">
            <w:pPr>
              <w:pStyle w:val="45"/>
              <w:bidi w:val="0"/>
              <w:rPr>
                <w:rFonts w:hint="default"/>
              </w:rPr>
            </w:pPr>
            <w:r>
              <w:rPr>
                <w:rFonts w:hint="eastAsia"/>
                <w:lang w:val="en-US" w:eastAsia="zh-CN"/>
              </w:rPr>
              <w:t>60</w:t>
            </w:r>
          </w:p>
        </w:tc>
        <w:tc>
          <w:tcPr>
            <w:tcW w:w="8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7F96E8">
            <w:pPr>
              <w:pStyle w:val="45"/>
              <w:bidi w:val="0"/>
              <w:rPr>
                <w:rFonts w:hint="default"/>
              </w:rPr>
            </w:pPr>
            <w:r>
              <w:rPr>
                <w:rFonts w:hint="default"/>
                <w:lang w:val="en-US" w:eastAsia="zh-CN"/>
              </w:rPr>
              <w:t>15</w:t>
            </w:r>
          </w:p>
        </w:tc>
        <w:tc>
          <w:tcPr>
            <w:tcW w:w="9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FEAFD0">
            <w:pPr>
              <w:pStyle w:val="45"/>
              <w:bidi w:val="0"/>
              <w:rPr>
                <w:rFonts w:hint="default"/>
              </w:rPr>
            </w:pPr>
            <w:r>
              <w:rPr>
                <w:rFonts w:hint="default"/>
                <w:lang w:val="en-US" w:eastAsia="zh-CN"/>
              </w:rPr>
              <w:t>0.6</w:t>
            </w:r>
          </w:p>
        </w:tc>
        <w:tc>
          <w:tcPr>
            <w:tcW w:w="8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39B64">
            <w:pPr>
              <w:pStyle w:val="45"/>
              <w:bidi w:val="0"/>
              <w:rPr>
                <w:rFonts w:hint="default"/>
              </w:rPr>
            </w:pPr>
            <w:r>
              <w:rPr>
                <w:rFonts w:hint="default"/>
                <w:lang w:val="en-US" w:eastAsia="zh-CN"/>
              </w:rPr>
              <w:t>25</w:t>
            </w:r>
          </w:p>
        </w:tc>
        <w:tc>
          <w:tcPr>
            <w:tcW w:w="11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94DF88">
            <w:pPr>
              <w:pStyle w:val="45"/>
              <w:bidi w:val="0"/>
              <w:rPr>
                <w:rFonts w:hint="default"/>
              </w:rPr>
            </w:pPr>
            <w:r>
              <w:rPr>
                <w:rFonts w:hint="default"/>
                <w:lang w:val="en-US" w:eastAsia="zh-CN"/>
              </w:rPr>
              <w:t>8000</w:t>
            </w:r>
          </w:p>
        </w:tc>
        <w:tc>
          <w:tcPr>
            <w:tcW w:w="13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92221">
            <w:pPr>
              <w:pStyle w:val="45"/>
              <w:bidi w:val="0"/>
              <w:rPr>
                <w:rFonts w:hint="default"/>
              </w:rPr>
            </w:pPr>
            <w:r>
              <w:rPr>
                <w:rFonts w:hint="eastAsia"/>
                <w:lang w:val="en-US" w:eastAsia="zh-CN"/>
              </w:rPr>
              <w:t>/</w:t>
            </w:r>
          </w:p>
        </w:tc>
        <w:tc>
          <w:tcPr>
            <w:tcW w:w="13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315D9">
            <w:pPr>
              <w:pStyle w:val="45"/>
              <w:bidi w:val="0"/>
              <w:rPr>
                <w:rFonts w:hint="default"/>
              </w:rPr>
            </w:pPr>
            <w:r>
              <w:rPr>
                <w:rFonts w:hint="eastAsia"/>
                <w:lang w:val="en-US" w:eastAsia="zh-CN"/>
              </w:rPr>
              <w:t>/</w:t>
            </w:r>
          </w:p>
        </w:tc>
        <w:tc>
          <w:tcPr>
            <w:tcW w:w="13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A3E4A">
            <w:pPr>
              <w:pStyle w:val="45"/>
              <w:bidi w:val="0"/>
              <w:rPr>
                <w:rFonts w:hint="default"/>
              </w:rPr>
            </w:pPr>
            <w:r>
              <w:rPr>
                <w:rFonts w:hint="eastAsia"/>
                <w:lang w:val="en-US" w:eastAsia="zh-CN"/>
              </w:rPr>
              <w:t>0.1925</w:t>
            </w:r>
          </w:p>
        </w:tc>
      </w:tr>
      <w:tr w14:paraId="5E131940">
        <w:tblPrEx>
          <w:tblCellMar>
            <w:top w:w="0" w:type="dxa"/>
            <w:left w:w="108" w:type="dxa"/>
            <w:bottom w:w="0" w:type="dxa"/>
            <w:right w:w="108" w:type="dxa"/>
          </w:tblCellMar>
        </w:tblPrEx>
        <w:trPr>
          <w:trHeight w:val="17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531B8">
            <w:pPr>
              <w:pStyle w:val="45"/>
              <w:bidi w:val="0"/>
              <w:rPr>
                <w:rFonts w:hint="default"/>
              </w:rPr>
            </w:pPr>
            <w:r>
              <w:rPr>
                <w:rFonts w:hint="eastAsia"/>
                <w:lang w:val="en-US" w:eastAsia="zh-CN"/>
              </w:rPr>
              <w:t>点源</w:t>
            </w:r>
          </w:p>
        </w:tc>
        <w:tc>
          <w:tcPr>
            <w:tcW w:w="19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82ACEE">
            <w:pPr>
              <w:pStyle w:val="45"/>
              <w:bidi w:val="0"/>
              <w:rPr>
                <w:rFonts w:hint="default"/>
              </w:rPr>
            </w:pPr>
            <w:r>
              <w:rPr>
                <w:rFonts w:hint="eastAsia"/>
                <w:lang w:val="en-US" w:eastAsia="zh-CN"/>
              </w:rPr>
              <w:t>锂盐中和尾气</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9D8F4B">
            <w:pPr>
              <w:pStyle w:val="45"/>
              <w:bidi w:val="0"/>
              <w:rPr>
                <w:rFonts w:hint="default"/>
              </w:rPr>
            </w:pPr>
            <w:r>
              <w:rPr>
                <w:rFonts w:hint="eastAsia"/>
                <w:lang w:val="en-US" w:eastAsia="zh-CN"/>
              </w:rPr>
              <w:t>-49.4</w:t>
            </w:r>
          </w:p>
        </w:tc>
        <w:tc>
          <w:tcPr>
            <w:tcW w:w="11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E067A0">
            <w:pPr>
              <w:pStyle w:val="45"/>
              <w:bidi w:val="0"/>
              <w:rPr>
                <w:rFonts w:hint="default"/>
              </w:rPr>
            </w:pPr>
            <w:r>
              <w:rPr>
                <w:rFonts w:hint="eastAsia"/>
                <w:lang w:val="en-US" w:eastAsia="zh-CN"/>
              </w:rPr>
              <w:t>-18.5</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05D73">
            <w:pPr>
              <w:pStyle w:val="45"/>
              <w:bidi w:val="0"/>
              <w:rPr>
                <w:rFonts w:hint="default"/>
              </w:rPr>
            </w:pPr>
            <w:r>
              <w:rPr>
                <w:rFonts w:hint="eastAsia"/>
                <w:lang w:val="en-US" w:eastAsia="zh-CN"/>
              </w:rPr>
              <w:t>59</w:t>
            </w:r>
          </w:p>
        </w:tc>
        <w:tc>
          <w:tcPr>
            <w:tcW w:w="8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18D62D">
            <w:pPr>
              <w:pStyle w:val="45"/>
              <w:bidi w:val="0"/>
              <w:rPr>
                <w:rFonts w:hint="default"/>
              </w:rPr>
            </w:pPr>
            <w:r>
              <w:rPr>
                <w:rFonts w:hint="default"/>
                <w:lang w:val="en-US" w:eastAsia="zh-CN"/>
              </w:rPr>
              <w:t>15</w:t>
            </w:r>
          </w:p>
        </w:tc>
        <w:tc>
          <w:tcPr>
            <w:tcW w:w="9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E10D6">
            <w:pPr>
              <w:pStyle w:val="45"/>
              <w:bidi w:val="0"/>
            </w:pPr>
            <w:r>
              <w:rPr>
                <w:rFonts w:hint="default"/>
                <w:lang w:val="en-US" w:eastAsia="zh-CN"/>
              </w:rPr>
              <w:t>0.4</w:t>
            </w:r>
          </w:p>
        </w:tc>
        <w:tc>
          <w:tcPr>
            <w:tcW w:w="8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02B37">
            <w:pPr>
              <w:pStyle w:val="45"/>
              <w:bidi w:val="0"/>
            </w:pPr>
            <w:r>
              <w:rPr>
                <w:rFonts w:hint="default"/>
                <w:lang w:val="en-US" w:eastAsia="zh-CN"/>
              </w:rPr>
              <w:t>25</w:t>
            </w:r>
          </w:p>
        </w:tc>
        <w:tc>
          <w:tcPr>
            <w:tcW w:w="11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304D3">
            <w:pPr>
              <w:pStyle w:val="45"/>
              <w:bidi w:val="0"/>
            </w:pPr>
            <w:r>
              <w:rPr>
                <w:rFonts w:hint="default"/>
                <w:lang w:val="en-US" w:eastAsia="zh-CN"/>
              </w:rPr>
              <w:t>2000</w:t>
            </w:r>
          </w:p>
        </w:tc>
        <w:tc>
          <w:tcPr>
            <w:tcW w:w="13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8660E">
            <w:pPr>
              <w:pStyle w:val="45"/>
              <w:bidi w:val="0"/>
              <w:rPr>
                <w:rFonts w:hint="default"/>
              </w:rPr>
            </w:pPr>
            <w:r>
              <w:rPr>
                <w:rFonts w:hint="eastAsia"/>
                <w:lang w:val="en-US" w:eastAsia="zh-CN"/>
              </w:rPr>
              <w:t>/</w:t>
            </w:r>
          </w:p>
        </w:tc>
        <w:tc>
          <w:tcPr>
            <w:tcW w:w="13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71750">
            <w:pPr>
              <w:pStyle w:val="45"/>
              <w:bidi w:val="0"/>
              <w:rPr>
                <w:rFonts w:hint="default"/>
              </w:rPr>
            </w:pPr>
            <w:r>
              <w:rPr>
                <w:rFonts w:hint="eastAsia"/>
                <w:lang w:val="en-US" w:eastAsia="zh-CN"/>
              </w:rPr>
              <w:t>0.0144</w:t>
            </w:r>
          </w:p>
        </w:tc>
        <w:tc>
          <w:tcPr>
            <w:tcW w:w="13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8110D">
            <w:pPr>
              <w:pStyle w:val="45"/>
              <w:bidi w:val="0"/>
              <w:rPr>
                <w:rFonts w:hint="default"/>
              </w:rPr>
            </w:pPr>
            <w:r>
              <w:rPr>
                <w:rFonts w:hint="eastAsia"/>
                <w:lang w:val="en-US" w:eastAsia="zh-CN"/>
              </w:rPr>
              <w:t>/</w:t>
            </w:r>
          </w:p>
        </w:tc>
      </w:tr>
      <w:tr w14:paraId="26AE10AD">
        <w:tblPrEx>
          <w:tblCellMar>
            <w:top w:w="0" w:type="dxa"/>
            <w:left w:w="108" w:type="dxa"/>
            <w:bottom w:w="0" w:type="dxa"/>
            <w:right w:w="108" w:type="dxa"/>
          </w:tblCellMar>
        </w:tblPrEx>
        <w:trPr>
          <w:trHeight w:val="17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DEFC6F">
            <w:pPr>
              <w:pStyle w:val="45"/>
              <w:bidi w:val="0"/>
              <w:rPr>
                <w:rFonts w:hint="default"/>
              </w:rPr>
            </w:pPr>
            <w:r>
              <w:rPr>
                <w:rFonts w:hint="eastAsia"/>
                <w:lang w:val="en-US" w:eastAsia="zh-CN"/>
              </w:rPr>
              <w:t>面源</w:t>
            </w:r>
          </w:p>
        </w:tc>
        <w:tc>
          <w:tcPr>
            <w:tcW w:w="19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FC3972">
            <w:pPr>
              <w:pStyle w:val="45"/>
              <w:bidi w:val="0"/>
              <w:rPr>
                <w:rFonts w:hint="default"/>
              </w:rPr>
            </w:pPr>
            <w:r>
              <w:rPr>
                <w:rFonts w:hint="eastAsia"/>
                <w:lang w:val="en-US" w:eastAsia="zh-CN"/>
              </w:rPr>
              <w:t>电解区无组织氯气及氯化氢面源</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6F1ED2">
            <w:pPr>
              <w:pStyle w:val="45"/>
              <w:bidi w:val="0"/>
              <w:rPr>
                <w:rFonts w:hint="default"/>
              </w:rPr>
            </w:pPr>
            <w:r>
              <w:rPr>
                <w:rFonts w:hint="eastAsia"/>
                <w:lang w:val="en-US" w:eastAsia="zh-CN"/>
              </w:rPr>
              <w:t>-34</w:t>
            </w:r>
          </w:p>
        </w:tc>
        <w:tc>
          <w:tcPr>
            <w:tcW w:w="11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CB9E3">
            <w:pPr>
              <w:pStyle w:val="45"/>
              <w:bidi w:val="0"/>
              <w:rPr>
                <w:rFonts w:hint="default"/>
              </w:rPr>
            </w:pPr>
            <w:r>
              <w:rPr>
                <w:rFonts w:hint="eastAsia"/>
                <w:lang w:val="en-US" w:eastAsia="zh-CN"/>
              </w:rPr>
              <w:t>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BAE4D">
            <w:pPr>
              <w:pStyle w:val="45"/>
              <w:bidi w:val="0"/>
              <w:rPr>
                <w:rFonts w:hint="default"/>
              </w:rPr>
            </w:pPr>
            <w:r>
              <w:rPr>
                <w:rFonts w:hint="eastAsia"/>
                <w:lang w:val="en-US" w:eastAsia="zh-CN"/>
              </w:rPr>
              <w:t>60</w:t>
            </w:r>
          </w:p>
        </w:tc>
        <w:tc>
          <w:tcPr>
            <w:tcW w:w="3817"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BCA05">
            <w:pPr>
              <w:pStyle w:val="45"/>
              <w:bidi w:val="0"/>
              <w:rPr>
                <w:rFonts w:hint="default"/>
              </w:rPr>
            </w:pPr>
            <w:r>
              <w:rPr>
                <w:rFonts w:hint="eastAsia"/>
                <w:lang w:val="en-US" w:eastAsia="zh-CN"/>
              </w:rPr>
              <w:t>48m×61m×15m</w:t>
            </w:r>
          </w:p>
        </w:tc>
        <w:tc>
          <w:tcPr>
            <w:tcW w:w="13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EEC03">
            <w:pPr>
              <w:pStyle w:val="45"/>
              <w:bidi w:val="0"/>
              <w:rPr>
                <w:rFonts w:hint="default"/>
              </w:rPr>
            </w:pPr>
            <w:r>
              <w:rPr>
                <w:rFonts w:hint="eastAsia"/>
                <w:lang w:val="en-US" w:eastAsia="zh-CN"/>
              </w:rPr>
              <w:t>0.0008</w:t>
            </w:r>
          </w:p>
        </w:tc>
        <w:tc>
          <w:tcPr>
            <w:tcW w:w="13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E52641">
            <w:pPr>
              <w:pStyle w:val="45"/>
              <w:bidi w:val="0"/>
              <w:rPr>
                <w:rFonts w:hint="default"/>
              </w:rPr>
            </w:pPr>
            <w:r>
              <w:rPr>
                <w:rFonts w:hint="eastAsia"/>
                <w:lang w:val="en-US" w:eastAsia="zh-CN"/>
              </w:rPr>
              <w:t>0.0009</w:t>
            </w:r>
          </w:p>
        </w:tc>
        <w:tc>
          <w:tcPr>
            <w:tcW w:w="13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9477F3">
            <w:pPr>
              <w:pStyle w:val="45"/>
              <w:bidi w:val="0"/>
              <w:rPr>
                <w:rFonts w:hint="default"/>
              </w:rPr>
            </w:pPr>
            <w:r>
              <w:rPr>
                <w:rFonts w:hint="eastAsia"/>
                <w:lang w:val="en-US" w:eastAsia="zh-CN"/>
              </w:rPr>
              <w:t>/</w:t>
            </w:r>
          </w:p>
        </w:tc>
      </w:tr>
      <w:tr w14:paraId="3D55E40C">
        <w:tblPrEx>
          <w:tblCellMar>
            <w:top w:w="0" w:type="dxa"/>
            <w:left w:w="108" w:type="dxa"/>
            <w:bottom w:w="0" w:type="dxa"/>
            <w:right w:w="108" w:type="dxa"/>
          </w:tblCellMar>
        </w:tblPrEx>
        <w:trPr>
          <w:trHeight w:val="17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65E365">
            <w:pPr>
              <w:pStyle w:val="45"/>
              <w:bidi w:val="0"/>
              <w:rPr>
                <w:rFonts w:hint="default"/>
              </w:rPr>
            </w:pPr>
            <w:r>
              <w:rPr>
                <w:rFonts w:hint="eastAsia"/>
                <w:lang w:val="en-US" w:eastAsia="zh-CN"/>
              </w:rPr>
              <w:t>面源</w:t>
            </w:r>
          </w:p>
        </w:tc>
        <w:tc>
          <w:tcPr>
            <w:tcW w:w="19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7244D7">
            <w:pPr>
              <w:pStyle w:val="45"/>
              <w:bidi w:val="0"/>
              <w:rPr>
                <w:rFonts w:hint="default"/>
              </w:rPr>
            </w:pPr>
            <w:r>
              <w:rPr>
                <w:rFonts w:hint="eastAsia"/>
                <w:lang w:val="en-US" w:eastAsia="zh-CN"/>
              </w:rPr>
              <w:t>盐酸储罐大小呼吸面源</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66569">
            <w:pPr>
              <w:pStyle w:val="45"/>
              <w:bidi w:val="0"/>
              <w:rPr>
                <w:rFonts w:hint="default"/>
              </w:rPr>
            </w:pPr>
            <w:r>
              <w:rPr>
                <w:rFonts w:hint="eastAsia"/>
                <w:lang w:val="en-US" w:eastAsia="zh-CN"/>
              </w:rPr>
              <w:t>60</w:t>
            </w:r>
          </w:p>
        </w:tc>
        <w:tc>
          <w:tcPr>
            <w:tcW w:w="11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DCBF4">
            <w:pPr>
              <w:pStyle w:val="45"/>
              <w:bidi w:val="0"/>
              <w:rPr>
                <w:rFonts w:hint="default"/>
              </w:rPr>
            </w:pPr>
            <w:r>
              <w:rPr>
                <w:rFonts w:hint="eastAsia"/>
                <w:lang w:val="en-US" w:eastAsia="zh-CN"/>
              </w:rPr>
              <w:t>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725D53">
            <w:pPr>
              <w:pStyle w:val="45"/>
              <w:bidi w:val="0"/>
              <w:rPr>
                <w:rFonts w:hint="default"/>
              </w:rPr>
            </w:pPr>
            <w:r>
              <w:rPr>
                <w:rFonts w:hint="eastAsia"/>
                <w:lang w:val="en-US" w:eastAsia="zh-CN"/>
              </w:rPr>
              <w:t>60</w:t>
            </w:r>
          </w:p>
        </w:tc>
        <w:tc>
          <w:tcPr>
            <w:tcW w:w="3817"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2F9E4">
            <w:pPr>
              <w:pStyle w:val="45"/>
              <w:bidi w:val="0"/>
              <w:rPr>
                <w:rFonts w:hint="default"/>
              </w:rPr>
            </w:pPr>
            <w:r>
              <w:rPr>
                <w:rFonts w:hint="eastAsia"/>
                <w:lang w:val="en-US" w:eastAsia="zh-CN"/>
              </w:rPr>
              <w:t>φ4000mm×4000mm×4000mm</w:t>
            </w:r>
          </w:p>
        </w:tc>
        <w:tc>
          <w:tcPr>
            <w:tcW w:w="13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F7F06">
            <w:pPr>
              <w:pStyle w:val="45"/>
              <w:bidi w:val="0"/>
              <w:rPr>
                <w:rFonts w:hint="default"/>
              </w:rPr>
            </w:pPr>
            <w:r>
              <w:rPr>
                <w:rFonts w:hint="eastAsia"/>
                <w:lang w:val="en-US" w:eastAsia="zh-CN"/>
              </w:rPr>
              <w:t>/</w:t>
            </w:r>
          </w:p>
        </w:tc>
        <w:tc>
          <w:tcPr>
            <w:tcW w:w="13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CA808">
            <w:pPr>
              <w:pStyle w:val="45"/>
              <w:bidi w:val="0"/>
              <w:rPr>
                <w:rFonts w:hint="default"/>
              </w:rPr>
            </w:pPr>
            <w:r>
              <w:rPr>
                <w:rFonts w:hint="eastAsia"/>
                <w:lang w:val="en-US" w:eastAsia="zh-CN"/>
              </w:rPr>
              <w:t>0.000546</w:t>
            </w:r>
          </w:p>
        </w:tc>
        <w:tc>
          <w:tcPr>
            <w:tcW w:w="13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10FE70">
            <w:pPr>
              <w:pStyle w:val="45"/>
              <w:bidi w:val="0"/>
              <w:rPr>
                <w:rFonts w:hint="default"/>
              </w:rPr>
            </w:pPr>
            <w:r>
              <w:rPr>
                <w:rFonts w:hint="eastAsia"/>
                <w:lang w:val="en-US" w:eastAsia="zh-CN"/>
              </w:rPr>
              <w:t>/</w:t>
            </w:r>
          </w:p>
        </w:tc>
      </w:tr>
      <w:tr w14:paraId="2EFCC2A5">
        <w:tblPrEx>
          <w:tblCellMar>
            <w:top w:w="0" w:type="dxa"/>
            <w:left w:w="108" w:type="dxa"/>
            <w:bottom w:w="0" w:type="dxa"/>
            <w:right w:w="108" w:type="dxa"/>
          </w:tblCellMar>
        </w:tblPrEx>
        <w:trPr>
          <w:trHeight w:val="17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C3C98">
            <w:pPr>
              <w:pStyle w:val="45"/>
              <w:bidi w:val="0"/>
              <w:rPr>
                <w:rFonts w:hint="default"/>
              </w:rPr>
            </w:pPr>
            <w:r>
              <w:rPr>
                <w:rFonts w:hint="eastAsia"/>
                <w:lang w:val="en-US" w:eastAsia="zh-CN"/>
              </w:rPr>
              <w:t>面源</w:t>
            </w:r>
          </w:p>
        </w:tc>
        <w:tc>
          <w:tcPr>
            <w:tcW w:w="19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EAD2DD">
            <w:pPr>
              <w:pStyle w:val="45"/>
              <w:bidi w:val="0"/>
              <w:rPr>
                <w:rFonts w:hint="default"/>
              </w:rPr>
            </w:pPr>
            <w:r>
              <w:rPr>
                <w:rFonts w:hint="eastAsia"/>
                <w:lang w:val="en-US" w:eastAsia="zh-CN"/>
              </w:rPr>
              <w:t>复分解区干燥包装无组织粉尘面源</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ECF361">
            <w:pPr>
              <w:pStyle w:val="45"/>
              <w:bidi w:val="0"/>
              <w:rPr>
                <w:rFonts w:hint="default"/>
              </w:rPr>
            </w:pPr>
            <w:r>
              <w:rPr>
                <w:rFonts w:hint="eastAsia"/>
                <w:lang w:val="en-US" w:eastAsia="zh-CN"/>
              </w:rPr>
              <w:t>20</w:t>
            </w:r>
          </w:p>
        </w:tc>
        <w:tc>
          <w:tcPr>
            <w:tcW w:w="11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5D3BA2">
            <w:pPr>
              <w:pStyle w:val="45"/>
              <w:bidi w:val="0"/>
              <w:rPr>
                <w:rFonts w:hint="default"/>
              </w:rPr>
            </w:pPr>
            <w:r>
              <w:rPr>
                <w:rFonts w:hint="eastAsia"/>
                <w:lang w:val="en-US" w:eastAsia="zh-CN"/>
              </w:rPr>
              <w:t>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7CA39">
            <w:pPr>
              <w:pStyle w:val="45"/>
              <w:bidi w:val="0"/>
              <w:rPr>
                <w:rFonts w:hint="default"/>
              </w:rPr>
            </w:pPr>
            <w:r>
              <w:rPr>
                <w:rFonts w:hint="eastAsia"/>
                <w:lang w:val="en-US" w:eastAsia="zh-CN"/>
              </w:rPr>
              <w:t>60</w:t>
            </w:r>
          </w:p>
        </w:tc>
        <w:tc>
          <w:tcPr>
            <w:tcW w:w="3817"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FBDF2">
            <w:pPr>
              <w:pStyle w:val="45"/>
              <w:bidi w:val="0"/>
              <w:rPr>
                <w:rFonts w:hint="default"/>
              </w:rPr>
            </w:pPr>
            <w:r>
              <w:rPr>
                <w:rFonts w:hint="eastAsia"/>
                <w:lang w:val="en-US" w:eastAsia="zh-CN"/>
              </w:rPr>
              <w:t>46m×60m×15m</w:t>
            </w:r>
          </w:p>
        </w:tc>
        <w:tc>
          <w:tcPr>
            <w:tcW w:w="13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A4BD5">
            <w:pPr>
              <w:pStyle w:val="45"/>
              <w:bidi w:val="0"/>
              <w:rPr>
                <w:rFonts w:hint="default"/>
              </w:rPr>
            </w:pPr>
            <w:r>
              <w:rPr>
                <w:rFonts w:hint="eastAsia"/>
                <w:lang w:val="en-US" w:eastAsia="zh-CN"/>
              </w:rPr>
              <w:t>/</w:t>
            </w:r>
          </w:p>
        </w:tc>
        <w:tc>
          <w:tcPr>
            <w:tcW w:w="13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D10E1B">
            <w:pPr>
              <w:pStyle w:val="45"/>
              <w:bidi w:val="0"/>
              <w:rPr>
                <w:rFonts w:hint="default"/>
              </w:rPr>
            </w:pPr>
            <w:r>
              <w:rPr>
                <w:rFonts w:hint="eastAsia"/>
                <w:lang w:val="en-US" w:eastAsia="zh-CN"/>
              </w:rPr>
              <w:t>/</w:t>
            </w:r>
          </w:p>
        </w:tc>
        <w:tc>
          <w:tcPr>
            <w:tcW w:w="13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BBF89">
            <w:pPr>
              <w:pStyle w:val="45"/>
              <w:bidi w:val="0"/>
              <w:rPr>
                <w:rFonts w:hint="default"/>
              </w:rPr>
            </w:pPr>
            <w:r>
              <w:rPr>
                <w:rFonts w:hint="eastAsia"/>
                <w:lang w:val="en-US" w:eastAsia="zh-CN"/>
              </w:rPr>
              <w:t>0.3556</w:t>
            </w:r>
          </w:p>
        </w:tc>
      </w:tr>
      <w:tr w14:paraId="19B39928">
        <w:tblPrEx>
          <w:tblCellMar>
            <w:top w:w="0" w:type="dxa"/>
            <w:left w:w="108" w:type="dxa"/>
            <w:bottom w:w="0" w:type="dxa"/>
            <w:right w:w="108" w:type="dxa"/>
          </w:tblCellMar>
        </w:tblPrEx>
        <w:trPr>
          <w:trHeight w:val="17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9EA5F1">
            <w:pPr>
              <w:pStyle w:val="45"/>
              <w:bidi w:val="0"/>
            </w:pPr>
            <w:r>
              <w:rPr>
                <w:rFonts w:hint="eastAsia"/>
                <w:lang w:val="en-US" w:eastAsia="zh-CN"/>
              </w:rPr>
              <w:t>面源</w:t>
            </w:r>
          </w:p>
        </w:tc>
        <w:tc>
          <w:tcPr>
            <w:tcW w:w="19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A94C74">
            <w:pPr>
              <w:pStyle w:val="45"/>
              <w:bidi w:val="0"/>
            </w:pPr>
            <w:r>
              <w:rPr>
                <w:rFonts w:hint="eastAsia"/>
                <w:lang w:val="en-US" w:eastAsia="zh-CN"/>
              </w:rPr>
              <w:t>锂盐区干燥包装粉尘无组织面源</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DF43D">
            <w:pPr>
              <w:pStyle w:val="45"/>
              <w:bidi w:val="0"/>
            </w:pPr>
            <w:r>
              <w:rPr>
                <w:rFonts w:hint="eastAsia"/>
                <w:lang w:val="en-US" w:eastAsia="zh-CN"/>
              </w:rPr>
              <w:t>-44</w:t>
            </w:r>
          </w:p>
        </w:tc>
        <w:tc>
          <w:tcPr>
            <w:tcW w:w="11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AF0B8">
            <w:pPr>
              <w:pStyle w:val="45"/>
              <w:bidi w:val="0"/>
            </w:pPr>
            <w:r>
              <w:rPr>
                <w:rFonts w:hint="eastAsia"/>
                <w:lang w:val="en-US" w:eastAsia="zh-CN"/>
              </w:rPr>
              <w:t>-10</w:t>
            </w:r>
          </w:p>
        </w:tc>
        <w:tc>
          <w:tcPr>
            <w:tcW w:w="8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A1FE2">
            <w:pPr>
              <w:pStyle w:val="45"/>
              <w:bidi w:val="0"/>
            </w:pPr>
            <w:r>
              <w:rPr>
                <w:rFonts w:hint="eastAsia"/>
                <w:lang w:val="en-US" w:eastAsia="zh-CN"/>
              </w:rPr>
              <w:t>59</w:t>
            </w:r>
          </w:p>
        </w:tc>
        <w:tc>
          <w:tcPr>
            <w:tcW w:w="3817"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B4A8D1">
            <w:pPr>
              <w:pStyle w:val="45"/>
              <w:bidi w:val="0"/>
            </w:pPr>
            <w:r>
              <w:rPr>
                <w:rFonts w:hint="eastAsia"/>
                <w:lang w:val="en-US" w:eastAsia="zh-CN"/>
              </w:rPr>
              <w:t>15m×40m×15m</w:t>
            </w:r>
          </w:p>
        </w:tc>
        <w:tc>
          <w:tcPr>
            <w:tcW w:w="13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A42AC">
            <w:pPr>
              <w:pStyle w:val="45"/>
              <w:bidi w:val="0"/>
            </w:pPr>
            <w:r>
              <w:rPr>
                <w:rFonts w:hint="eastAsia"/>
                <w:lang w:val="en-US" w:eastAsia="zh-CN"/>
              </w:rPr>
              <w:t>/</w:t>
            </w:r>
          </w:p>
        </w:tc>
        <w:tc>
          <w:tcPr>
            <w:tcW w:w="13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783276">
            <w:pPr>
              <w:pStyle w:val="45"/>
              <w:bidi w:val="0"/>
            </w:pPr>
            <w:r>
              <w:rPr>
                <w:rFonts w:hint="eastAsia"/>
                <w:lang w:val="en-US" w:eastAsia="zh-CN"/>
              </w:rPr>
              <w:t>/</w:t>
            </w:r>
          </w:p>
        </w:tc>
        <w:tc>
          <w:tcPr>
            <w:tcW w:w="13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8CB0D">
            <w:pPr>
              <w:pStyle w:val="45"/>
              <w:bidi w:val="0"/>
            </w:pPr>
            <w:r>
              <w:rPr>
                <w:rFonts w:hint="eastAsia"/>
                <w:lang w:val="en-US" w:eastAsia="zh-CN"/>
              </w:rPr>
              <w:t>0.0083</w:t>
            </w:r>
          </w:p>
        </w:tc>
      </w:tr>
    </w:tbl>
    <w:p w14:paraId="4516C414">
      <w:pPr>
        <w:pStyle w:val="45"/>
        <w:jc w:val="left"/>
        <w:rPr>
          <w:rFonts w:hint="default"/>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t>备注：坐标以厂界中心为原点。</w:t>
      </w:r>
    </w:p>
    <w:p w14:paraId="1B258868">
      <w:pPr>
        <w:ind w:firstLine="480"/>
      </w:pPr>
      <w:r>
        <w:rPr>
          <w:rFonts w:hint="eastAsia"/>
        </w:rPr>
        <w:t>污染源估算模型计算结果如下。</w:t>
      </w:r>
    </w:p>
    <w:p w14:paraId="05E307FC">
      <w:pPr>
        <w:ind w:firstLine="0" w:firstLineChars="0"/>
        <w:jc w:val="left"/>
        <w:rPr>
          <w:rFonts w:cs="Times New Roman"/>
          <w:smallCaps/>
        </w:rPr>
      </w:pPr>
      <w:r>
        <w:drawing>
          <wp:inline distT="0" distB="0" distL="114300" distR="114300">
            <wp:extent cx="5266055" cy="3145155"/>
            <wp:effectExtent l="0" t="0" r="10795" b="17145"/>
            <wp:docPr id="78"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2"/>
                    <pic:cNvPicPr>
                      <a:picLocks noChangeAspect="1"/>
                    </pic:cNvPicPr>
                  </pic:nvPicPr>
                  <pic:blipFill>
                    <a:blip r:embed="rId22"/>
                    <a:stretch>
                      <a:fillRect/>
                    </a:stretch>
                  </pic:blipFill>
                  <pic:spPr>
                    <a:xfrm>
                      <a:off x="0" y="0"/>
                      <a:ext cx="5266055" cy="3145155"/>
                    </a:xfrm>
                    <a:prstGeom prst="rect">
                      <a:avLst/>
                    </a:prstGeom>
                    <a:noFill/>
                    <a:ln>
                      <a:noFill/>
                    </a:ln>
                  </pic:spPr>
                </pic:pic>
              </a:graphicData>
            </a:graphic>
          </wp:inline>
        </w:drawing>
      </w:r>
    </w:p>
    <w:p w14:paraId="38956188">
      <w:pPr>
        <w:pStyle w:val="42"/>
        <w:rPr>
          <w:rFonts w:hint="default"/>
        </w:rPr>
      </w:pPr>
      <w:r>
        <w:t>大气评价等级预测图</w:t>
      </w:r>
    </w:p>
    <w:p w14:paraId="2D95ED9A">
      <w:pPr>
        <w:spacing w:line="240" w:lineRule="auto"/>
        <w:ind w:firstLine="480"/>
      </w:pPr>
    </w:p>
    <w:p w14:paraId="49B47F6A">
      <w:pPr>
        <w:ind w:firstLine="480"/>
      </w:pPr>
      <w:r>
        <w:rPr>
          <w:rFonts w:hint="eastAsia"/>
        </w:rPr>
        <w:t>大气环境影响评价工作级别划分依据见下表。</w:t>
      </w:r>
    </w:p>
    <w:p w14:paraId="1C92C957">
      <w:pPr>
        <w:keepNext/>
        <w:numPr>
          <w:ilvl w:val="5"/>
          <w:numId w:val="1"/>
        </w:numPr>
        <w:snapToGrid w:val="0"/>
        <w:spacing w:line="240" w:lineRule="auto"/>
        <w:ind w:firstLine="422"/>
        <w:jc w:val="center"/>
        <w:rPr>
          <w:b/>
          <w:bCs/>
          <w:sz w:val="21"/>
          <w:szCs w:val="21"/>
        </w:rPr>
      </w:pPr>
      <w:r>
        <w:rPr>
          <w:rFonts w:hint="eastAsia"/>
          <w:b/>
          <w:bCs/>
          <w:sz w:val="21"/>
          <w:szCs w:val="21"/>
        </w:rPr>
        <w:t>大气环境影响评价工作级别判据</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65532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500" w:type="pct"/>
          </w:tcPr>
          <w:p w14:paraId="17334F81">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评价工作等级</w:t>
            </w:r>
          </w:p>
        </w:tc>
        <w:tc>
          <w:tcPr>
            <w:tcW w:w="2500" w:type="pct"/>
          </w:tcPr>
          <w:p w14:paraId="0C1A88BB">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评价工作分级判据</w:t>
            </w:r>
          </w:p>
        </w:tc>
      </w:tr>
      <w:tr w14:paraId="0F034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shd w:val="clear" w:color="auto" w:fill="E7E6E6" w:themeFill="background2"/>
          </w:tcPr>
          <w:p w14:paraId="0EA2EE00">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一级</w:t>
            </w:r>
          </w:p>
        </w:tc>
        <w:tc>
          <w:tcPr>
            <w:tcW w:w="2500" w:type="pct"/>
            <w:shd w:val="clear" w:color="auto" w:fill="E7E6E6" w:themeFill="background2"/>
          </w:tcPr>
          <w:p w14:paraId="43FD7883">
            <w:pPr>
              <w:pStyle w:val="45"/>
              <w:rPr>
                <w:rFonts w:hint="default"/>
              </w:rPr>
            </w:pPr>
            <w:r>
              <w:t>Pmax≥10%</w:t>
            </w:r>
          </w:p>
        </w:tc>
      </w:tr>
      <w:tr w14:paraId="72C18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14:paraId="6E9DC6BA">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二级</w:t>
            </w:r>
          </w:p>
        </w:tc>
        <w:tc>
          <w:tcPr>
            <w:tcW w:w="2500" w:type="pct"/>
          </w:tcPr>
          <w:p w14:paraId="5869E5BD">
            <w:pPr>
              <w:pStyle w:val="45"/>
              <w:rPr>
                <w:rFonts w:hint="default"/>
              </w:rPr>
            </w:pPr>
            <w:r>
              <w:t>1%≤Pmax＜10%</w:t>
            </w:r>
          </w:p>
        </w:tc>
      </w:tr>
      <w:tr w14:paraId="733A1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14:paraId="39EBEC3C">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三级</w:t>
            </w:r>
          </w:p>
        </w:tc>
        <w:tc>
          <w:tcPr>
            <w:tcW w:w="2500" w:type="pct"/>
          </w:tcPr>
          <w:p w14:paraId="10B551BE">
            <w:pPr>
              <w:pStyle w:val="45"/>
              <w:rPr>
                <w:rFonts w:hint="default"/>
              </w:rPr>
            </w:pPr>
            <w:r>
              <w:t>Pmax＜1%</w:t>
            </w:r>
          </w:p>
        </w:tc>
      </w:tr>
    </w:tbl>
    <w:p w14:paraId="13BF22E1">
      <w:pPr>
        <w:spacing w:line="240" w:lineRule="auto"/>
        <w:ind w:firstLine="480"/>
      </w:pPr>
    </w:p>
    <w:p w14:paraId="14869812">
      <w:pPr>
        <w:ind w:firstLine="480"/>
      </w:pPr>
      <w:r>
        <w:rPr>
          <w:rFonts w:cs="Times New Roman"/>
        </w:rPr>
        <w:t>根据预测结果以及《环境影响评价技术导则 大气环境》（HJ2.2-2018），</w:t>
      </w:r>
      <w:r>
        <w:rPr>
          <w:rFonts w:hint="eastAsia"/>
        </w:rPr>
        <w:t>本项目大气环境影响评级等级为一级。</w:t>
      </w:r>
    </w:p>
    <w:p w14:paraId="10C974CF">
      <w:pPr>
        <w:spacing w:line="240" w:lineRule="auto"/>
        <w:ind w:firstLine="480"/>
      </w:pPr>
    </w:p>
    <w:p w14:paraId="2A9220E7">
      <w:pPr>
        <w:pStyle w:val="6"/>
        <w:ind w:firstLine="482"/>
      </w:pPr>
      <w:bookmarkStart w:id="91" w:name="_Toc5460"/>
      <w:r>
        <w:rPr>
          <w:rFonts w:hint="eastAsia"/>
        </w:rPr>
        <w:t>地表水环境影响评价等级</w:t>
      </w:r>
      <w:bookmarkEnd w:id="91"/>
    </w:p>
    <w:p w14:paraId="3848A950">
      <w:pPr>
        <w:ind w:firstLine="480"/>
      </w:pPr>
      <w:r>
        <w:rPr>
          <w:rFonts w:hint="eastAsia"/>
        </w:rPr>
        <w:t>按照《环境影响评价技术导则地表水环境》(HJ2.3-2018)中规定水环境影响评价工作等级的划分，依据影响类型、排放方式、排放量、或影响情况、受纳水体环境质量现状、水环境保护目标等综合确定。直接排放建设项目评价等级分为一级、二级、三级A和三级B。间接排放建设项目评价等级为三级B。</w:t>
      </w:r>
    </w:p>
    <w:p w14:paraId="7FCEAF69">
      <w:pPr>
        <w:ind w:firstLine="480"/>
      </w:pPr>
      <w:r>
        <w:rPr>
          <w:rFonts w:hint="eastAsia"/>
        </w:rPr>
        <w:t>本项目地表水影响评价等级为“三级B”，根据《环境影响评价技术导则地表水环境》（HJ2.3-2018）导则中“第8.1.2 条”要求，确定本项目地表水环境影响评价内容为：主要调查污水处理设施废水稳定达标排放情况及依托可行性分析。</w:t>
      </w:r>
    </w:p>
    <w:p w14:paraId="79C307B5">
      <w:pPr>
        <w:keepNext/>
        <w:numPr>
          <w:ilvl w:val="5"/>
          <w:numId w:val="1"/>
        </w:numPr>
        <w:snapToGrid w:val="0"/>
        <w:spacing w:line="240" w:lineRule="auto"/>
        <w:ind w:firstLine="422"/>
        <w:jc w:val="center"/>
        <w:rPr>
          <w:b/>
          <w:bCs/>
          <w:sz w:val="21"/>
          <w:szCs w:val="21"/>
        </w:rPr>
      </w:pPr>
      <w:r>
        <w:rPr>
          <w:rFonts w:hint="eastAsia"/>
          <w:b/>
          <w:bCs/>
          <w:sz w:val="21"/>
          <w:szCs w:val="21"/>
        </w:rPr>
        <w:t>水污染影响型建设项目评价等级判定</w:t>
      </w:r>
    </w:p>
    <w:tbl>
      <w:tblPr>
        <w:tblStyle w:val="3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9"/>
        <w:gridCol w:w="1692"/>
        <w:gridCol w:w="5139"/>
      </w:tblGrid>
      <w:tr w14:paraId="6CA67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991" w:type="pct"/>
            <w:vMerge w:val="restart"/>
            <w:vAlign w:val="center"/>
          </w:tcPr>
          <w:p w14:paraId="6B1FB198">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评级等级</w:t>
            </w:r>
          </w:p>
        </w:tc>
        <w:tc>
          <w:tcPr>
            <w:tcW w:w="4008" w:type="pct"/>
            <w:gridSpan w:val="2"/>
            <w:vAlign w:val="center"/>
          </w:tcPr>
          <w:p w14:paraId="3C558554">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判定依据</w:t>
            </w:r>
          </w:p>
        </w:tc>
      </w:tr>
      <w:tr w14:paraId="63F7B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991" w:type="pct"/>
            <w:vMerge w:val="continue"/>
            <w:vAlign w:val="center"/>
          </w:tcPr>
          <w:p w14:paraId="71ACDC3C">
            <w:pPr>
              <w:snapToGrid w:val="0"/>
              <w:spacing w:line="240" w:lineRule="auto"/>
              <w:ind w:firstLine="0" w:firstLineChars="0"/>
              <w:jc w:val="center"/>
              <w:textAlignment w:val="baseline"/>
              <w:rPr>
                <w:rFonts w:cs="Times New Roman"/>
                <w:b/>
                <w:bCs/>
                <w:kern w:val="0"/>
                <w:sz w:val="21"/>
                <w:szCs w:val="21"/>
              </w:rPr>
            </w:pPr>
          </w:p>
        </w:tc>
        <w:tc>
          <w:tcPr>
            <w:tcW w:w="993" w:type="pct"/>
            <w:vAlign w:val="center"/>
          </w:tcPr>
          <w:p w14:paraId="563978FF">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排放方式</w:t>
            </w:r>
          </w:p>
        </w:tc>
        <w:tc>
          <w:tcPr>
            <w:tcW w:w="3015" w:type="pct"/>
            <w:vAlign w:val="center"/>
          </w:tcPr>
          <w:p w14:paraId="7BF9259E">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废水排放量Q/（m</w:t>
            </w:r>
            <w:r>
              <w:rPr>
                <w:rFonts w:hint="eastAsia" w:cs="Times New Roman"/>
                <w:b/>
                <w:bCs/>
                <w:kern w:val="0"/>
                <w:sz w:val="21"/>
                <w:szCs w:val="21"/>
                <w:vertAlign w:val="superscript"/>
              </w:rPr>
              <w:t>3</w:t>
            </w:r>
            <w:r>
              <w:rPr>
                <w:rFonts w:hint="eastAsia" w:cs="Times New Roman"/>
                <w:b/>
                <w:bCs/>
                <w:kern w:val="0"/>
                <w:sz w:val="21"/>
                <w:szCs w:val="21"/>
              </w:rPr>
              <w:t>/d）</w:t>
            </w:r>
          </w:p>
          <w:p w14:paraId="1E7832DD">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水污染物当量数 W/ （无量纲）</w:t>
            </w:r>
          </w:p>
        </w:tc>
      </w:tr>
      <w:tr w14:paraId="659FA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pct"/>
            <w:vAlign w:val="center"/>
          </w:tcPr>
          <w:p w14:paraId="613B409A">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一级</w:t>
            </w:r>
          </w:p>
        </w:tc>
        <w:tc>
          <w:tcPr>
            <w:tcW w:w="993" w:type="pct"/>
            <w:vAlign w:val="center"/>
          </w:tcPr>
          <w:p w14:paraId="1749A5B2">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直接排放</w:t>
            </w:r>
          </w:p>
        </w:tc>
        <w:tc>
          <w:tcPr>
            <w:tcW w:w="3015" w:type="pct"/>
            <w:vAlign w:val="center"/>
          </w:tcPr>
          <w:p w14:paraId="7AD653A6">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Q≥20000 或W≥600000</w:t>
            </w:r>
          </w:p>
        </w:tc>
      </w:tr>
      <w:tr w14:paraId="7D2F5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pct"/>
            <w:vAlign w:val="center"/>
          </w:tcPr>
          <w:p w14:paraId="4B20F44F">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二级</w:t>
            </w:r>
          </w:p>
        </w:tc>
        <w:tc>
          <w:tcPr>
            <w:tcW w:w="993" w:type="pct"/>
            <w:vAlign w:val="center"/>
          </w:tcPr>
          <w:p w14:paraId="0159F77F">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直接排放</w:t>
            </w:r>
          </w:p>
        </w:tc>
        <w:tc>
          <w:tcPr>
            <w:tcW w:w="3015" w:type="pct"/>
            <w:vAlign w:val="center"/>
          </w:tcPr>
          <w:p w14:paraId="7CF0B740">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其他</w:t>
            </w:r>
          </w:p>
        </w:tc>
      </w:tr>
      <w:tr w14:paraId="2E02E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pct"/>
            <w:vAlign w:val="center"/>
          </w:tcPr>
          <w:p w14:paraId="0F486EC3">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三级A</w:t>
            </w:r>
          </w:p>
        </w:tc>
        <w:tc>
          <w:tcPr>
            <w:tcW w:w="993" w:type="pct"/>
            <w:vAlign w:val="center"/>
          </w:tcPr>
          <w:p w14:paraId="205CC80F">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直接排放</w:t>
            </w:r>
          </w:p>
        </w:tc>
        <w:tc>
          <w:tcPr>
            <w:tcW w:w="3015" w:type="pct"/>
            <w:vAlign w:val="center"/>
          </w:tcPr>
          <w:p w14:paraId="718771B8">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Q＜200 或W＜6000</w:t>
            </w:r>
          </w:p>
        </w:tc>
      </w:tr>
      <w:tr w14:paraId="275A9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pct"/>
            <w:shd w:val="clear" w:color="auto" w:fill="E7E6E6" w:themeFill="background2"/>
            <w:vAlign w:val="center"/>
          </w:tcPr>
          <w:p w14:paraId="3ED5303C">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三级B</w:t>
            </w:r>
          </w:p>
        </w:tc>
        <w:tc>
          <w:tcPr>
            <w:tcW w:w="993" w:type="pct"/>
            <w:shd w:val="clear" w:color="auto" w:fill="E7E6E6" w:themeFill="background2"/>
            <w:vAlign w:val="center"/>
          </w:tcPr>
          <w:p w14:paraId="7BE21EBB">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间接排放</w:t>
            </w:r>
          </w:p>
        </w:tc>
        <w:tc>
          <w:tcPr>
            <w:tcW w:w="3015" w:type="pct"/>
            <w:shd w:val="clear" w:color="auto" w:fill="E7E6E6" w:themeFill="background2"/>
            <w:vAlign w:val="center"/>
          </w:tcPr>
          <w:p w14:paraId="69C65CD8">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w:t>
            </w:r>
          </w:p>
        </w:tc>
      </w:tr>
    </w:tbl>
    <w:p w14:paraId="318FCDA4">
      <w:pPr>
        <w:spacing w:line="240" w:lineRule="auto"/>
        <w:ind w:firstLine="480"/>
      </w:pPr>
    </w:p>
    <w:p w14:paraId="5D6C6809">
      <w:pPr>
        <w:pStyle w:val="6"/>
        <w:ind w:firstLine="482"/>
      </w:pPr>
      <w:bookmarkStart w:id="92" w:name="_Toc7569"/>
      <w:r>
        <w:rPr>
          <w:rFonts w:hint="eastAsia"/>
        </w:rPr>
        <w:t>地下水环境影响评价等级</w:t>
      </w:r>
      <w:bookmarkEnd w:id="92"/>
    </w:p>
    <w:p w14:paraId="43135C14">
      <w:pPr>
        <w:ind w:firstLine="480"/>
      </w:pPr>
      <w:r>
        <w:rPr>
          <w:rFonts w:hint="eastAsia"/>
        </w:rPr>
        <w:t>根据《环境影响评价技术导则 地下水环境》（HJ610-2016）附录A“地下水环境影响评价行业分类表”可知，本项目行业类别属“L 石化、化工”下的“85、基本化学原料制造；化学肥料制造；农药制造；涂料、染料、颜料、油墨及其类似产品制造；合成材料制造；专用化学品制造；炸药、火工及焰火产品制造；饲料添加剂、食品添加剂及水处理剂等制造项目”，所以确定地下水环境影响评价项目类别：I 类。</w:t>
      </w:r>
    </w:p>
    <w:p w14:paraId="2CF843AC">
      <w:pPr>
        <w:ind w:firstLine="480"/>
      </w:pPr>
      <w:r>
        <w:rPr>
          <w:rFonts w:hint="eastAsia"/>
        </w:rPr>
        <w:t>本项目位于松木经开区，区域地下水无饮用功能，项目地周边居民生活饮用水为自来水，不使用地下水，项目地地下水不属于生活供水水源地准保护区，不属于国家或地方设立的热水、矿泉水、温泉等特殊地下水资源保护区，不属于分散居民饮用水源，地下水敏感程度为“不敏感”。</w:t>
      </w:r>
    </w:p>
    <w:p w14:paraId="7E31AEC4">
      <w:pPr>
        <w:ind w:firstLine="480"/>
        <w:jc w:val="left"/>
        <w:rPr>
          <w:rFonts w:cs="Times New Roman"/>
          <w:smallCaps/>
        </w:rPr>
      </w:pPr>
      <w:r>
        <w:rPr>
          <w:rFonts w:hint="eastAsia" w:cs="Times New Roman"/>
          <w:smallCaps/>
        </w:rPr>
        <w:t>综上判定，本项目地下水评价等级为二级。</w:t>
      </w:r>
    </w:p>
    <w:p w14:paraId="722CD361">
      <w:pPr>
        <w:ind w:firstLine="480"/>
      </w:pPr>
      <w:r>
        <w:rPr>
          <w:rFonts w:hint="eastAsia"/>
        </w:rPr>
        <w:t>本项目地下水环境影响评价工作等级确定依据具体见下表。</w:t>
      </w:r>
    </w:p>
    <w:p w14:paraId="31DBBE77">
      <w:pPr>
        <w:keepNext/>
        <w:numPr>
          <w:ilvl w:val="5"/>
          <w:numId w:val="1"/>
        </w:numPr>
        <w:snapToGrid w:val="0"/>
        <w:spacing w:line="240" w:lineRule="auto"/>
        <w:ind w:firstLine="422"/>
        <w:jc w:val="center"/>
        <w:rPr>
          <w:b/>
          <w:bCs/>
          <w:sz w:val="21"/>
          <w:szCs w:val="21"/>
        </w:rPr>
      </w:pPr>
      <w:r>
        <w:rPr>
          <w:b/>
          <w:bCs/>
          <w:sz w:val="21"/>
          <w:szCs w:val="21"/>
        </w:rPr>
        <w:t>地下水环境敏感程度分级表</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7"/>
        <w:gridCol w:w="7422"/>
      </w:tblGrid>
      <w:tr w14:paraId="29660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44" w:type="pct"/>
            <w:vAlign w:val="center"/>
          </w:tcPr>
          <w:p w14:paraId="56720459">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敏感程度</w:t>
            </w:r>
          </w:p>
        </w:tc>
        <w:tc>
          <w:tcPr>
            <w:tcW w:w="4355" w:type="pct"/>
            <w:vAlign w:val="center"/>
          </w:tcPr>
          <w:p w14:paraId="746EE975">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地下水环境敏感特征</w:t>
            </w:r>
          </w:p>
        </w:tc>
      </w:tr>
      <w:tr w14:paraId="20182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pct"/>
            <w:vAlign w:val="center"/>
          </w:tcPr>
          <w:p w14:paraId="6F0219E7">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敏感</w:t>
            </w:r>
          </w:p>
        </w:tc>
        <w:tc>
          <w:tcPr>
            <w:tcW w:w="4355" w:type="pct"/>
            <w:vAlign w:val="center"/>
          </w:tcPr>
          <w:p w14:paraId="29ED39AE">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14:paraId="35CB5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pct"/>
            <w:vAlign w:val="center"/>
          </w:tcPr>
          <w:p w14:paraId="1863CB99">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较敏感</w:t>
            </w:r>
          </w:p>
        </w:tc>
        <w:tc>
          <w:tcPr>
            <w:tcW w:w="4355" w:type="pct"/>
            <w:vAlign w:val="center"/>
          </w:tcPr>
          <w:p w14:paraId="204F4D6A">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w:t>
            </w:r>
          </w:p>
        </w:tc>
      </w:tr>
      <w:tr w14:paraId="2D23E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pct"/>
            <w:shd w:val="clear" w:color="auto" w:fill="E7E6E6" w:themeFill="background2"/>
            <w:vAlign w:val="center"/>
          </w:tcPr>
          <w:p w14:paraId="5C07376E">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不敏感</w:t>
            </w:r>
          </w:p>
        </w:tc>
        <w:tc>
          <w:tcPr>
            <w:tcW w:w="4355" w:type="pct"/>
            <w:shd w:val="clear" w:color="auto" w:fill="E7E6E6" w:themeFill="background2"/>
            <w:vAlign w:val="center"/>
          </w:tcPr>
          <w:p w14:paraId="5AD8E875">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上述地区之外的其他地区。</w:t>
            </w:r>
          </w:p>
        </w:tc>
      </w:tr>
    </w:tbl>
    <w:p w14:paraId="7C291E6A">
      <w:pPr>
        <w:tabs>
          <w:tab w:val="left" w:pos="420"/>
        </w:tabs>
        <w:ind w:left="480" w:leftChars="200" w:firstLine="0" w:firstLineChars="0"/>
      </w:pPr>
    </w:p>
    <w:p w14:paraId="7198C8C5">
      <w:pPr>
        <w:keepNext/>
        <w:numPr>
          <w:ilvl w:val="5"/>
          <w:numId w:val="1"/>
        </w:numPr>
        <w:snapToGrid w:val="0"/>
        <w:spacing w:line="240" w:lineRule="auto"/>
        <w:ind w:firstLine="422"/>
        <w:jc w:val="center"/>
        <w:rPr>
          <w:b/>
          <w:bCs/>
          <w:sz w:val="21"/>
          <w:szCs w:val="21"/>
        </w:rPr>
      </w:pPr>
      <w:r>
        <w:rPr>
          <w:rFonts w:hint="eastAsia"/>
          <w:b/>
          <w:bCs/>
          <w:sz w:val="21"/>
          <w:szCs w:val="21"/>
        </w:rPr>
        <w:t>地下水环境影响评价工作等级分级表</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515"/>
        <w:gridCol w:w="2001"/>
        <w:gridCol w:w="2003"/>
        <w:gridCol w:w="2003"/>
      </w:tblGrid>
      <w:tr w14:paraId="5A9701B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0" w:hRule="atLeast"/>
          <w:tblHeader/>
        </w:trPr>
        <w:tc>
          <w:tcPr>
            <w:tcW w:w="2515" w:type="dxa"/>
            <w:tcBorders>
              <w:top w:val="single" w:color="auto" w:sz="4" w:space="0"/>
              <w:left w:val="single" w:color="auto" w:sz="4" w:space="0"/>
              <w:bottom w:val="single" w:color="auto" w:sz="4" w:space="0"/>
              <w:right w:val="single" w:color="auto" w:sz="6" w:space="0"/>
              <w:tl2br w:val="single" w:color="auto" w:sz="4" w:space="0"/>
            </w:tcBorders>
            <w:vAlign w:val="center"/>
          </w:tcPr>
          <w:p w14:paraId="66A8CD3E">
            <w:pPr>
              <w:snapToGrid w:val="0"/>
              <w:spacing w:line="240" w:lineRule="auto"/>
              <w:ind w:firstLine="0" w:firstLineChars="0"/>
              <w:jc w:val="right"/>
              <w:textAlignment w:val="baseline"/>
              <w:rPr>
                <w:rFonts w:cs="Times New Roman"/>
                <w:b/>
                <w:bCs/>
                <w:kern w:val="0"/>
                <w:sz w:val="21"/>
                <w:szCs w:val="21"/>
              </w:rPr>
            </w:pPr>
            <w:r>
              <w:rPr>
                <w:rFonts w:cs="Times New Roman"/>
                <w:b/>
                <w:bCs/>
                <w:kern w:val="0"/>
                <w:sz w:val="21"/>
                <w:szCs w:val="21"/>
              </w:rPr>
              <w:t>项目类别</w:t>
            </w:r>
          </w:p>
          <w:p w14:paraId="370F5ECA">
            <w:pPr>
              <w:snapToGrid w:val="0"/>
              <w:spacing w:line="240" w:lineRule="auto"/>
              <w:ind w:firstLine="0" w:firstLineChars="0"/>
              <w:jc w:val="left"/>
              <w:textAlignment w:val="baseline"/>
              <w:rPr>
                <w:rFonts w:cs="Times New Roman"/>
                <w:b/>
                <w:bCs/>
                <w:kern w:val="0"/>
                <w:sz w:val="21"/>
                <w:szCs w:val="21"/>
              </w:rPr>
            </w:pPr>
            <w:r>
              <w:rPr>
                <w:rFonts w:cs="Times New Roman"/>
                <w:b/>
                <w:bCs/>
                <w:kern w:val="0"/>
                <w:sz w:val="21"/>
                <w:szCs w:val="21"/>
              </w:rPr>
              <w:t>环境敏感程度</w:t>
            </w:r>
          </w:p>
        </w:tc>
        <w:tc>
          <w:tcPr>
            <w:tcW w:w="2001" w:type="dxa"/>
            <w:tcBorders>
              <w:top w:val="single" w:color="auto" w:sz="4" w:space="0"/>
              <w:left w:val="single" w:color="auto" w:sz="6" w:space="0"/>
              <w:bottom w:val="single" w:color="auto" w:sz="4" w:space="0"/>
              <w:right w:val="single" w:color="auto" w:sz="6" w:space="0"/>
            </w:tcBorders>
            <w:vAlign w:val="center"/>
          </w:tcPr>
          <w:p w14:paraId="3BE97470">
            <w:pPr>
              <w:snapToGrid w:val="0"/>
              <w:spacing w:line="240" w:lineRule="auto"/>
              <w:ind w:firstLine="0" w:firstLineChars="0"/>
              <w:jc w:val="center"/>
              <w:textAlignment w:val="baseline"/>
              <w:rPr>
                <w:rFonts w:cs="Times New Roman"/>
                <w:b/>
                <w:bCs/>
                <w:kern w:val="0"/>
                <w:sz w:val="21"/>
                <w:szCs w:val="21"/>
              </w:rPr>
            </w:pPr>
            <w:r>
              <w:rPr>
                <w:rFonts w:cs="Times New Roman"/>
                <w:b/>
                <w:bCs/>
                <w:kern w:val="0"/>
                <w:sz w:val="21"/>
                <w:szCs w:val="21"/>
              </w:rPr>
              <w:t>I类项目</w:t>
            </w:r>
          </w:p>
        </w:tc>
        <w:tc>
          <w:tcPr>
            <w:tcW w:w="2003" w:type="dxa"/>
            <w:tcBorders>
              <w:top w:val="single" w:color="auto" w:sz="4" w:space="0"/>
              <w:left w:val="single" w:color="auto" w:sz="6" w:space="0"/>
              <w:bottom w:val="single" w:color="auto" w:sz="4" w:space="0"/>
              <w:right w:val="single" w:color="auto" w:sz="6" w:space="0"/>
            </w:tcBorders>
            <w:vAlign w:val="center"/>
          </w:tcPr>
          <w:p w14:paraId="07A7865A">
            <w:pPr>
              <w:snapToGrid w:val="0"/>
              <w:spacing w:line="240" w:lineRule="auto"/>
              <w:ind w:firstLine="0" w:firstLineChars="0"/>
              <w:jc w:val="center"/>
              <w:textAlignment w:val="baseline"/>
              <w:rPr>
                <w:rFonts w:cs="Times New Roman"/>
                <w:b/>
                <w:bCs/>
                <w:kern w:val="0"/>
                <w:sz w:val="21"/>
                <w:szCs w:val="21"/>
              </w:rPr>
            </w:pPr>
            <w:r>
              <w:rPr>
                <w:rFonts w:cs="Times New Roman"/>
                <w:b/>
                <w:bCs/>
                <w:kern w:val="0"/>
                <w:sz w:val="21"/>
                <w:szCs w:val="21"/>
              </w:rPr>
              <w:t>II类项目</w:t>
            </w:r>
          </w:p>
        </w:tc>
        <w:tc>
          <w:tcPr>
            <w:tcW w:w="2003" w:type="dxa"/>
            <w:tcBorders>
              <w:top w:val="single" w:color="auto" w:sz="4" w:space="0"/>
              <w:left w:val="single" w:color="auto" w:sz="6" w:space="0"/>
              <w:bottom w:val="single" w:color="auto" w:sz="4" w:space="0"/>
              <w:right w:val="single" w:color="auto" w:sz="4" w:space="0"/>
            </w:tcBorders>
            <w:vAlign w:val="center"/>
          </w:tcPr>
          <w:p w14:paraId="7B7BE8E6">
            <w:pPr>
              <w:snapToGrid w:val="0"/>
              <w:spacing w:line="240" w:lineRule="auto"/>
              <w:ind w:firstLine="0" w:firstLineChars="0"/>
              <w:jc w:val="center"/>
              <w:textAlignment w:val="baseline"/>
              <w:rPr>
                <w:rFonts w:cs="Times New Roman"/>
                <w:b/>
                <w:bCs/>
                <w:kern w:val="0"/>
                <w:sz w:val="21"/>
                <w:szCs w:val="21"/>
              </w:rPr>
            </w:pPr>
            <w:r>
              <w:rPr>
                <w:rFonts w:cs="Times New Roman"/>
                <w:b/>
                <w:bCs/>
                <w:kern w:val="0"/>
                <w:sz w:val="21"/>
                <w:szCs w:val="21"/>
              </w:rPr>
              <w:t>III类项目</w:t>
            </w:r>
          </w:p>
        </w:tc>
      </w:tr>
      <w:tr w14:paraId="60B9F74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2515" w:type="dxa"/>
            <w:tcBorders>
              <w:top w:val="single" w:color="auto" w:sz="4" w:space="0"/>
              <w:left w:val="single" w:color="auto" w:sz="4" w:space="0"/>
              <w:bottom w:val="single" w:color="auto" w:sz="4" w:space="0"/>
              <w:right w:val="single" w:color="auto" w:sz="6" w:space="0"/>
            </w:tcBorders>
            <w:vAlign w:val="center"/>
          </w:tcPr>
          <w:p w14:paraId="373DB5CA">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敏感</w:t>
            </w:r>
          </w:p>
        </w:tc>
        <w:tc>
          <w:tcPr>
            <w:tcW w:w="2001" w:type="dxa"/>
            <w:tcBorders>
              <w:top w:val="single" w:color="auto" w:sz="4" w:space="0"/>
              <w:left w:val="single" w:color="auto" w:sz="6" w:space="0"/>
              <w:bottom w:val="single" w:color="auto" w:sz="4" w:space="0"/>
              <w:right w:val="single" w:color="auto" w:sz="6" w:space="0"/>
            </w:tcBorders>
            <w:vAlign w:val="center"/>
          </w:tcPr>
          <w:p w14:paraId="3C081827">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一</w:t>
            </w:r>
          </w:p>
        </w:tc>
        <w:tc>
          <w:tcPr>
            <w:tcW w:w="2003" w:type="dxa"/>
            <w:tcBorders>
              <w:top w:val="single" w:color="auto" w:sz="4" w:space="0"/>
              <w:left w:val="single" w:color="auto" w:sz="6" w:space="0"/>
              <w:bottom w:val="single" w:color="auto" w:sz="4" w:space="0"/>
              <w:right w:val="single" w:color="auto" w:sz="6" w:space="0"/>
            </w:tcBorders>
            <w:vAlign w:val="center"/>
          </w:tcPr>
          <w:p w14:paraId="72D964D5">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一</w:t>
            </w:r>
          </w:p>
        </w:tc>
        <w:tc>
          <w:tcPr>
            <w:tcW w:w="2003" w:type="dxa"/>
            <w:tcBorders>
              <w:top w:val="single" w:color="auto" w:sz="4" w:space="0"/>
              <w:left w:val="single" w:color="auto" w:sz="6" w:space="0"/>
              <w:bottom w:val="single" w:color="auto" w:sz="4" w:space="0"/>
              <w:right w:val="single" w:color="auto" w:sz="4" w:space="0"/>
            </w:tcBorders>
            <w:vAlign w:val="center"/>
          </w:tcPr>
          <w:p w14:paraId="3F041588">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二</w:t>
            </w:r>
          </w:p>
        </w:tc>
      </w:tr>
      <w:tr w14:paraId="507FBCA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2515" w:type="dxa"/>
            <w:tcBorders>
              <w:top w:val="single" w:color="auto" w:sz="4" w:space="0"/>
              <w:left w:val="single" w:color="auto" w:sz="4" w:space="0"/>
              <w:bottom w:val="single" w:color="auto" w:sz="4" w:space="0"/>
              <w:right w:val="single" w:color="auto" w:sz="6" w:space="0"/>
            </w:tcBorders>
            <w:vAlign w:val="center"/>
          </w:tcPr>
          <w:p w14:paraId="7F300A54">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较敏感</w:t>
            </w:r>
          </w:p>
        </w:tc>
        <w:tc>
          <w:tcPr>
            <w:tcW w:w="2001" w:type="dxa"/>
            <w:tcBorders>
              <w:top w:val="single" w:color="auto" w:sz="4" w:space="0"/>
              <w:left w:val="single" w:color="auto" w:sz="6" w:space="0"/>
              <w:bottom w:val="single" w:color="auto" w:sz="4" w:space="0"/>
              <w:right w:val="single" w:color="auto" w:sz="6" w:space="0"/>
            </w:tcBorders>
            <w:vAlign w:val="center"/>
          </w:tcPr>
          <w:p w14:paraId="64A32B69">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一</w:t>
            </w:r>
          </w:p>
        </w:tc>
        <w:tc>
          <w:tcPr>
            <w:tcW w:w="2003" w:type="dxa"/>
            <w:tcBorders>
              <w:top w:val="single" w:color="auto" w:sz="4" w:space="0"/>
              <w:left w:val="single" w:color="auto" w:sz="6" w:space="0"/>
              <w:bottom w:val="single" w:color="auto" w:sz="4" w:space="0"/>
              <w:right w:val="single" w:color="auto" w:sz="6" w:space="0"/>
            </w:tcBorders>
            <w:vAlign w:val="center"/>
          </w:tcPr>
          <w:p w14:paraId="00591068">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二</w:t>
            </w:r>
          </w:p>
        </w:tc>
        <w:tc>
          <w:tcPr>
            <w:tcW w:w="2003" w:type="dxa"/>
            <w:tcBorders>
              <w:top w:val="single" w:color="auto" w:sz="4" w:space="0"/>
              <w:left w:val="single" w:color="auto" w:sz="6" w:space="0"/>
              <w:bottom w:val="single" w:color="auto" w:sz="4" w:space="0"/>
              <w:right w:val="single" w:color="auto" w:sz="4" w:space="0"/>
            </w:tcBorders>
            <w:vAlign w:val="center"/>
          </w:tcPr>
          <w:p w14:paraId="36FD53E1">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三</w:t>
            </w:r>
          </w:p>
        </w:tc>
      </w:tr>
      <w:tr w14:paraId="1BB6504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2515" w:type="dxa"/>
            <w:tcBorders>
              <w:top w:val="single" w:color="auto" w:sz="4" w:space="0"/>
              <w:left w:val="single" w:color="auto" w:sz="4" w:space="0"/>
              <w:bottom w:val="single" w:color="auto" w:sz="4" w:space="0"/>
              <w:right w:val="single" w:color="auto" w:sz="6" w:space="0"/>
            </w:tcBorders>
            <w:shd w:val="clear" w:color="auto" w:fill="auto"/>
            <w:vAlign w:val="center"/>
          </w:tcPr>
          <w:p w14:paraId="39BCA578">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不敏感</w:t>
            </w:r>
          </w:p>
        </w:tc>
        <w:tc>
          <w:tcPr>
            <w:tcW w:w="2001" w:type="dxa"/>
            <w:tcBorders>
              <w:top w:val="single" w:color="auto" w:sz="4" w:space="0"/>
              <w:left w:val="single" w:color="auto" w:sz="6" w:space="0"/>
              <w:bottom w:val="single" w:color="auto" w:sz="4" w:space="0"/>
              <w:right w:val="single" w:color="auto" w:sz="6" w:space="0"/>
            </w:tcBorders>
            <w:shd w:val="clear" w:color="auto" w:fill="E7E6E6" w:themeFill="background2"/>
            <w:vAlign w:val="center"/>
          </w:tcPr>
          <w:p w14:paraId="7F2F5EC1">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shd w:val="clear" w:color="auto" w:fill="E7E6E6" w:themeFill="background2"/>
              </w:rPr>
              <w:t>二</w:t>
            </w:r>
          </w:p>
        </w:tc>
        <w:tc>
          <w:tcPr>
            <w:tcW w:w="2003" w:type="dxa"/>
            <w:tcBorders>
              <w:top w:val="single" w:color="auto" w:sz="4" w:space="0"/>
              <w:left w:val="single" w:color="auto" w:sz="6" w:space="0"/>
              <w:bottom w:val="single" w:color="auto" w:sz="4" w:space="0"/>
              <w:right w:val="single" w:color="auto" w:sz="6" w:space="0"/>
            </w:tcBorders>
            <w:shd w:val="clear" w:color="auto" w:fill="auto"/>
            <w:vAlign w:val="center"/>
          </w:tcPr>
          <w:p w14:paraId="2D2501A2">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三</w:t>
            </w:r>
          </w:p>
        </w:tc>
        <w:tc>
          <w:tcPr>
            <w:tcW w:w="2003" w:type="dxa"/>
            <w:tcBorders>
              <w:top w:val="single" w:color="auto" w:sz="4" w:space="0"/>
              <w:left w:val="single" w:color="auto" w:sz="6" w:space="0"/>
              <w:bottom w:val="single" w:color="auto" w:sz="4" w:space="0"/>
              <w:right w:val="single" w:color="auto" w:sz="4" w:space="0"/>
            </w:tcBorders>
            <w:vAlign w:val="center"/>
          </w:tcPr>
          <w:p w14:paraId="6AB6DDE1">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三</w:t>
            </w:r>
          </w:p>
        </w:tc>
      </w:tr>
    </w:tbl>
    <w:p w14:paraId="7DBB4FF1">
      <w:pPr>
        <w:ind w:firstLine="480"/>
      </w:pPr>
    </w:p>
    <w:p w14:paraId="5C1DA1E0">
      <w:pPr>
        <w:pStyle w:val="6"/>
        <w:ind w:firstLine="482"/>
      </w:pPr>
      <w:bookmarkStart w:id="93" w:name="_Toc9197"/>
      <w:r>
        <w:rPr>
          <w:rFonts w:hint="eastAsia"/>
        </w:rPr>
        <w:t>声环境影响评价等级</w:t>
      </w:r>
      <w:bookmarkEnd w:id="93"/>
    </w:p>
    <w:p w14:paraId="014491B3">
      <w:pPr>
        <w:ind w:firstLine="480"/>
      </w:pPr>
      <w:r>
        <w:rPr>
          <w:rFonts w:hint="eastAsia"/>
        </w:rPr>
        <w:t>根据《环境影响评价技术导则 声环境》（HJ2.4-2021）的相关要求，本项目所处的声环境功能区为GB3096 规定的3类、4类地区，判定本项目声环境评价工作等级为三级。本项目声环境影响评价工作等级判定见下表。</w:t>
      </w:r>
    </w:p>
    <w:p w14:paraId="3E162B1E">
      <w:pPr>
        <w:keepNext/>
        <w:numPr>
          <w:ilvl w:val="5"/>
          <w:numId w:val="1"/>
        </w:numPr>
        <w:snapToGrid w:val="0"/>
        <w:spacing w:line="240" w:lineRule="auto"/>
        <w:ind w:firstLine="422"/>
        <w:jc w:val="center"/>
        <w:rPr>
          <w:b/>
          <w:bCs/>
          <w:sz w:val="21"/>
          <w:szCs w:val="21"/>
        </w:rPr>
      </w:pPr>
      <w:r>
        <w:rPr>
          <w:rFonts w:hint="eastAsia"/>
          <w:b/>
          <w:bCs/>
          <w:sz w:val="21"/>
          <w:szCs w:val="21"/>
        </w:rPr>
        <w:t>声环境影响评价工作等级判定表</w:t>
      </w:r>
    </w:p>
    <w:tbl>
      <w:tblPr>
        <w:tblStyle w:val="3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5"/>
        <w:gridCol w:w="7235"/>
      </w:tblGrid>
      <w:tr w14:paraId="18213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54" w:type="pct"/>
            <w:vAlign w:val="center"/>
          </w:tcPr>
          <w:p w14:paraId="7723303F">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评价工作等级</w:t>
            </w:r>
          </w:p>
        </w:tc>
        <w:tc>
          <w:tcPr>
            <w:tcW w:w="4245" w:type="pct"/>
            <w:vAlign w:val="center"/>
          </w:tcPr>
          <w:p w14:paraId="7838E790">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评价工作分级判据</w:t>
            </w:r>
          </w:p>
        </w:tc>
      </w:tr>
      <w:tr w14:paraId="6667D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pct"/>
            <w:vAlign w:val="center"/>
          </w:tcPr>
          <w:p w14:paraId="0E667E59">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一级评价</w:t>
            </w:r>
          </w:p>
        </w:tc>
        <w:tc>
          <w:tcPr>
            <w:tcW w:w="4245" w:type="pct"/>
            <w:vAlign w:val="center"/>
          </w:tcPr>
          <w:p w14:paraId="62AEA970">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评价范围内有适用于GB 3096 规定的0类声环境功能区域，或建设项目建设前后评价范围内声环境保护目标噪声级增量达5dB(A)以上（不含5dB(A)），或受影响人口数量显著增加时</w:t>
            </w:r>
          </w:p>
        </w:tc>
      </w:tr>
      <w:tr w14:paraId="6A503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pct"/>
            <w:vAlign w:val="center"/>
          </w:tcPr>
          <w:p w14:paraId="26426D4F">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二级评价</w:t>
            </w:r>
          </w:p>
        </w:tc>
        <w:tc>
          <w:tcPr>
            <w:tcW w:w="4245" w:type="pct"/>
            <w:vAlign w:val="center"/>
          </w:tcPr>
          <w:p w14:paraId="696F2650">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建设项目所处的声环境功能区为GB3096 规定的1类、2类地区，或建设项目建设前后评价范围内声环境保护目标噪声级增量达3dB(A)～5dB(A)，或受噪声影响人口数量增加较多时</w:t>
            </w:r>
          </w:p>
        </w:tc>
      </w:tr>
      <w:tr w14:paraId="2BED3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pct"/>
            <w:shd w:val="clear" w:color="auto" w:fill="E7E6E6" w:themeFill="background2"/>
            <w:vAlign w:val="center"/>
          </w:tcPr>
          <w:p w14:paraId="187DEC8C">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三级评价</w:t>
            </w:r>
          </w:p>
        </w:tc>
        <w:tc>
          <w:tcPr>
            <w:tcW w:w="4245" w:type="pct"/>
            <w:shd w:val="clear" w:color="auto" w:fill="E7E6E6" w:themeFill="background2"/>
            <w:vAlign w:val="center"/>
          </w:tcPr>
          <w:p w14:paraId="59DB8CB6">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建设项目所处的声环境功能区为GB 3096 规定的3类、4类地区，或建设项目建设前后评价范围内声环境保护目标噪声级增量在3dB(A)以下（不含3dB(A)），且受影响人口数量变化不大时</w:t>
            </w:r>
          </w:p>
        </w:tc>
      </w:tr>
    </w:tbl>
    <w:p w14:paraId="53CD9616">
      <w:pPr>
        <w:spacing w:line="240" w:lineRule="auto"/>
        <w:ind w:firstLine="480"/>
      </w:pPr>
    </w:p>
    <w:p w14:paraId="38E2C450">
      <w:pPr>
        <w:pStyle w:val="6"/>
        <w:ind w:firstLine="482"/>
      </w:pPr>
      <w:bookmarkStart w:id="94" w:name="_Toc17616"/>
      <w:r>
        <w:rPr>
          <w:rFonts w:hint="eastAsia"/>
        </w:rPr>
        <w:t>土壤环境影响评价等级</w:t>
      </w:r>
      <w:bookmarkEnd w:id="94"/>
    </w:p>
    <w:p w14:paraId="21B3CE3A">
      <w:pPr>
        <w:ind w:firstLine="480"/>
      </w:pPr>
      <w:r>
        <w:rPr>
          <w:rFonts w:hint="eastAsia"/>
        </w:rPr>
        <w:t>根据《环境影响评价技术导则 土壤环境（试行）》（HJ964-2018）：本项目行业类别为“制造业-石油、化工-化学原料和化学制品制造”，土壤环境影响评价项目类别为“I类”；本项目占地面积小于5公顷，占地规模为小型；周边土壤均为工业园区建设用地，敏感程度为“不敏感”。综上判定，本项目土壤环境影响评价工作等级为二级。</w:t>
      </w:r>
    </w:p>
    <w:p w14:paraId="34331E15">
      <w:pPr>
        <w:ind w:firstLine="480"/>
      </w:pPr>
      <w:r>
        <w:t>本项目</w:t>
      </w:r>
      <w:r>
        <w:rPr>
          <w:rFonts w:hint="eastAsia"/>
        </w:rPr>
        <w:t>土壤</w:t>
      </w:r>
      <w:r>
        <w:t>环境</w:t>
      </w:r>
      <w:r>
        <w:rPr>
          <w:rFonts w:hint="eastAsia"/>
        </w:rPr>
        <w:t>影响</w:t>
      </w:r>
      <w:r>
        <w:t>评价工作等级确定依据具体见下表。</w:t>
      </w:r>
    </w:p>
    <w:p w14:paraId="6FFBD8DA">
      <w:pPr>
        <w:keepNext/>
        <w:numPr>
          <w:ilvl w:val="5"/>
          <w:numId w:val="1"/>
        </w:numPr>
        <w:snapToGrid w:val="0"/>
        <w:spacing w:line="240" w:lineRule="auto"/>
        <w:ind w:firstLine="422"/>
        <w:jc w:val="center"/>
        <w:rPr>
          <w:b/>
          <w:bCs/>
          <w:sz w:val="21"/>
          <w:szCs w:val="21"/>
        </w:rPr>
      </w:pPr>
      <w:r>
        <w:rPr>
          <w:rFonts w:hint="eastAsia"/>
          <w:b/>
          <w:bCs/>
          <w:sz w:val="21"/>
          <w:szCs w:val="21"/>
        </w:rPr>
        <w:t>占地规模类型判定表</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5FEF4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500" w:type="pct"/>
            <w:vAlign w:val="center"/>
          </w:tcPr>
          <w:p w14:paraId="524D2908">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占地规模</w:t>
            </w:r>
          </w:p>
        </w:tc>
        <w:tc>
          <w:tcPr>
            <w:tcW w:w="2500" w:type="pct"/>
            <w:vAlign w:val="center"/>
          </w:tcPr>
          <w:p w14:paraId="05F54305">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占地面积</w:t>
            </w:r>
          </w:p>
        </w:tc>
      </w:tr>
      <w:tr w14:paraId="45CF0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14:paraId="666C51D5">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大型</w:t>
            </w:r>
          </w:p>
        </w:tc>
        <w:tc>
          <w:tcPr>
            <w:tcW w:w="2500" w:type="pct"/>
            <w:vAlign w:val="center"/>
          </w:tcPr>
          <w:p w14:paraId="1BDD9E86">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w:t>
            </w:r>
            <w:r>
              <w:rPr>
                <w:rFonts w:hint="eastAsia" w:cs="Times New Roman"/>
                <w:kern w:val="0"/>
                <w:sz w:val="21"/>
                <w:szCs w:val="21"/>
              </w:rPr>
              <w:t xml:space="preserve"> 50hm</w:t>
            </w:r>
            <w:r>
              <w:rPr>
                <w:rFonts w:hint="eastAsia" w:cs="Times New Roman"/>
                <w:kern w:val="0"/>
                <w:sz w:val="21"/>
                <w:szCs w:val="21"/>
                <w:vertAlign w:val="superscript"/>
              </w:rPr>
              <w:t>2</w:t>
            </w:r>
          </w:p>
        </w:tc>
      </w:tr>
      <w:tr w14:paraId="762C9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14:paraId="26A8005F">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中型</w:t>
            </w:r>
          </w:p>
        </w:tc>
        <w:tc>
          <w:tcPr>
            <w:tcW w:w="2500" w:type="pct"/>
            <w:vAlign w:val="center"/>
          </w:tcPr>
          <w:p w14:paraId="2B325201">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5~50hm</w:t>
            </w:r>
            <w:r>
              <w:rPr>
                <w:rFonts w:hint="eastAsia" w:cs="Times New Roman"/>
                <w:kern w:val="0"/>
                <w:sz w:val="21"/>
                <w:szCs w:val="21"/>
                <w:vertAlign w:val="superscript"/>
              </w:rPr>
              <w:t>2</w:t>
            </w:r>
          </w:p>
        </w:tc>
      </w:tr>
      <w:tr w14:paraId="2C8AB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shd w:val="clear" w:color="auto" w:fill="E7E6E6" w:themeFill="background2"/>
            <w:vAlign w:val="center"/>
          </w:tcPr>
          <w:p w14:paraId="7AE76219">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小型</w:t>
            </w:r>
          </w:p>
        </w:tc>
        <w:tc>
          <w:tcPr>
            <w:tcW w:w="2500" w:type="pct"/>
            <w:shd w:val="clear" w:color="auto" w:fill="E7E6E6" w:themeFill="background2"/>
            <w:vAlign w:val="center"/>
          </w:tcPr>
          <w:p w14:paraId="60C0FE26">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w:t>
            </w:r>
            <w:r>
              <w:rPr>
                <w:rFonts w:hint="eastAsia" w:cs="Times New Roman"/>
                <w:kern w:val="0"/>
                <w:sz w:val="21"/>
                <w:szCs w:val="21"/>
              </w:rPr>
              <w:t xml:space="preserve"> 5hm</w:t>
            </w:r>
            <w:r>
              <w:rPr>
                <w:rFonts w:hint="eastAsia" w:cs="Times New Roman"/>
                <w:kern w:val="0"/>
                <w:sz w:val="21"/>
                <w:szCs w:val="21"/>
                <w:vertAlign w:val="superscript"/>
              </w:rPr>
              <w:t>2</w:t>
            </w:r>
          </w:p>
        </w:tc>
      </w:tr>
    </w:tbl>
    <w:p w14:paraId="72483791">
      <w:pPr>
        <w:spacing w:line="240" w:lineRule="auto"/>
        <w:ind w:firstLine="0" w:firstLineChars="0"/>
      </w:pPr>
    </w:p>
    <w:p w14:paraId="17CD065B">
      <w:pPr>
        <w:keepNext/>
        <w:numPr>
          <w:ilvl w:val="5"/>
          <w:numId w:val="1"/>
        </w:numPr>
        <w:snapToGrid w:val="0"/>
        <w:spacing w:line="240" w:lineRule="auto"/>
        <w:ind w:firstLine="422"/>
        <w:jc w:val="center"/>
        <w:rPr>
          <w:b/>
          <w:bCs/>
          <w:sz w:val="21"/>
          <w:szCs w:val="21"/>
        </w:rPr>
      </w:pPr>
      <w:r>
        <w:rPr>
          <w:rFonts w:hint="eastAsia"/>
          <w:b/>
          <w:bCs/>
          <w:sz w:val="21"/>
          <w:szCs w:val="21"/>
        </w:rPr>
        <w:t>土壤环境影响敏感程度分级表</w:t>
      </w:r>
    </w:p>
    <w:tbl>
      <w:tblPr>
        <w:tblStyle w:val="3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5"/>
        <w:gridCol w:w="7235"/>
      </w:tblGrid>
      <w:tr w14:paraId="68542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54" w:type="pct"/>
            <w:vAlign w:val="center"/>
          </w:tcPr>
          <w:p w14:paraId="1B53128A">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敏感程度</w:t>
            </w:r>
          </w:p>
        </w:tc>
        <w:tc>
          <w:tcPr>
            <w:tcW w:w="4245" w:type="pct"/>
            <w:vAlign w:val="center"/>
          </w:tcPr>
          <w:p w14:paraId="4AF76CB8">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判别依据</w:t>
            </w:r>
          </w:p>
        </w:tc>
      </w:tr>
      <w:tr w14:paraId="68BF0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pct"/>
            <w:vAlign w:val="center"/>
          </w:tcPr>
          <w:p w14:paraId="7F10DB87">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敏感</w:t>
            </w:r>
          </w:p>
        </w:tc>
        <w:tc>
          <w:tcPr>
            <w:tcW w:w="4245" w:type="pct"/>
            <w:vAlign w:val="center"/>
          </w:tcPr>
          <w:p w14:paraId="02CB077E">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建设项目周边存在耕地、园地、牧草地、饮用水水源地或居民区、学校、医院、疗养院、养老院等土壤环境敏感目标的</w:t>
            </w:r>
          </w:p>
        </w:tc>
      </w:tr>
      <w:tr w14:paraId="3584F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pct"/>
            <w:vAlign w:val="center"/>
          </w:tcPr>
          <w:p w14:paraId="7AF150D9">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较敏感</w:t>
            </w:r>
          </w:p>
        </w:tc>
        <w:tc>
          <w:tcPr>
            <w:tcW w:w="4245" w:type="pct"/>
            <w:vAlign w:val="center"/>
          </w:tcPr>
          <w:p w14:paraId="11AA1E57">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建设项目周边存在其他土壤环境敏感目标的</w:t>
            </w:r>
          </w:p>
        </w:tc>
      </w:tr>
      <w:tr w14:paraId="148D1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pct"/>
            <w:shd w:val="clear" w:color="auto" w:fill="E7E6E6" w:themeFill="background2"/>
            <w:vAlign w:val="center"/>
          </w:tcPr>
          <w:p w14:paraId="57221385">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不敏感</w:t>
            </w:r>
          </w:p>
        </w:tc>
        <w:tc>
          <w:tcPr>
            <w:tcW w:w="4245" w:type="pct"/>
            <w:shd w:val="clear" w:color="auto" w:fill="E7E6E6" w:themeFill="background2"/>
            <w:vAlign w:val="center"/>
          </w:tcPr>
          <w:p w14:paraId="349B8C0E">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其他情况</w:t>
            </w:r>
          </w:p>
        </w:tc>
      </w:tr>
    </w:tbl>
    <w:p w14:paraId="195C415F">
      <w:pPr>
        <w:ind w:firstLine="0" w:firstLineChars="0"/>
      </w:pPr>
    </w:p>
    <w:p w14:paraId="15C8BDFB">
      <w:pPr>
        <w:keepNext/>
        <w:numPr>
          <w:ilvl w:val="5"/>
          <w:numId w:val="1"/>
        </w:numPr>
        <w:snapToGrid w:val="0"/>
        <w:spacing w:line="240" w:lineRule="auto"/>
        <w:ind w:firstLine="422"/>
        <w:jc w:val="center"/>
        <w:rPr>
          <w:b/>
          <w:bCs/>
          <w:sz w:val="21"/>
          <w:szCs w:val="21"/>
        </w:rPr>
      </w:pPr>
      <w:r>
        <w:rPr>
          <w:rFonts w:hint="eastAsia"/>
          <w:b/>
          <w:bCs/>
          <w:sz w:val="21"/>
          <w:szCs w:val="21"/>
        </w:rPr>
        <w:t>土壤环境影响评价工作等级划分表</w:t>
      </w:r>
    </w:p>
    <w:tbl>
      <w:tblPr>
        <w:tblStyle w:val="3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7"/>
        <w:gridCol w:w="751"/>
        <w:gridCol w:w="751"/>
        <w:gridCol w:w="753"/>
        <w:gridCol w:w="751"/>
        <w:gridCol w:w="751"/>
        <w:gridCol w:w="753"/>
        <w:gridCol w:w="752"/>
        <w:gridCol w:w="752"/>
        <w:gridCol w:w="759"/>
      </w:tblGrid>
      <w:tr w14:paraId="52226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1025" w:type="pct"/>
            <w:vMerge w:val="restart"/>
            <w:shd w:val="clear" w:color="auto" w:fill="auto"/>
            <w:noWrap/>
            <w:vAlign w:val="center"/>
          </w:tcPr>
          <w:p w14:paraId="2CC58DB1">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敏感程度</w:t>
            </w:r>
          </w:p>
          <w:p w14:paraId="0E567083">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评价工作等级</w:t>
            </w:r>
          </w:p>
          <w:p w14:paraId="5D8566F7">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占地规模</w:t>
            </w:r>
          </w:p>
        </w:tc>
        <w:tc>
          <w:tcPr>
            <w:tcW w:w="1324" w:type="pct"/>
            <w:gridSpan w:val="3"/>
            <w:shd w:val="clear" w:color="auto" w:fill="auto"/>
            <w:noWrap/>
            <w:vAlign w:val="center"/>
          </w:tcPr>
          <w:p w14:paraId="44DA2961">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I类</w:t>
            </w:r>
          </w:p>
        </w:tc>
        <w:tc>
          <w:tcPr>
            <w:tcW w:w="1324" w:type="pct"/>
            <w:gridSpan w:val="3"/>
            <w:shd w:val="clear" w:color="auto" w:fill="auto"/>
            <w:noWrap/>
            <w:vAlign w:val="center"/>
          </w:tcPr>
          <w:p w14:paraId="41414098">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II类</w:t>
            </w:r>
          </w:p>
        </w:tc>
        <w:tc>
          <w:tcPr>
            <w:tcW w:w="1324" w:type="pct"/>
            <w:gridSpan w:val="3"/>
            <w:shd w:val="clear" w:color="auto" w:fill="auto"/>
            <w:noWrap/>
            <w:vAlign w:val="center"/>
          </w:tcPr>
          <w:p w14:paraId="466B10DD">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III类</w:t>
            </w:r>
          </w:p>
        </w:tc>
      </w:tr>
      <w:tr w14:paraId="66D8A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blHeader/>
        </w:trPr>
        <w:tc>
          <w:tcPr>
            <w:tcW w:w="1025" w:type="pct"/>
            <w:vMerge w:val="continue"/>
            <w:shd w:val="clear" w:color="auto" w:fill="auto"/>
            <w:noWrap/>
            <w:vAlign w:val="center"/>
          </w:tcPr>
          <w:p w14:paraId="67494553">
            <w:pPr>
              <w:snapToGrid w:val="0"/>
              <w:spacing w:line="240" w:lineRule="auto"/>
              <w:ind w:firstLine="0" w:firstLineChars="0"/>
              <w:jc w:val="center"/>
              <w:textAlignment w:val="baseline"/>
              <w:rPr>
                <w:rFonts w:cs="Times New Roman"/>
                <w:b/>
                <w:bCs/>
                <w:kern w:val="0"/>
                <w:sz w:val="21"/>
                <w:szCs w:val="21"/>
              </w:rPr>
            </w:pPr>
          </w:p>
        </w:tc>
        <w:tc>
          <w:tcPr>
            <w:tcW w:w="441" w:type="pct"/>
            <w:shd w:val="clear" w:color="auto" w:fill="auto"/>
            <w:noWrap/>
            <w:vAlign w:val="center"/>
          </w:tcPr>
          <w:p w14:paraId="25C0D045">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大</w:t>
            </w:r>
          </w:p>
        </w:tc>
        <w:tc>
          <w:tcPr>
            <w:tcW w:w="441" w:type="pct"/>
            <w:shd w:val="clear" w:color="auto" w:fill="auto"/>
            <w:noWrap/>
            <w:vAlign w:val="center"/>
          </w:tcPr>
          <w:p w14:paraId="3EEC72B8">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中</w:t>
            </w:r>
          </w:p>
        </w:tc>
        <w:tc>
          <w:tcPr>
            <w:tcW w:w="442" w:type="pct"/>
            <w:shd w:val="clear" w:color="auto" w:fill="auto"/>
            <w:noWrap/>
            <w:vAlign w:val="center"/>
          </w:tcPr>
          <w:p w14:paraId="282B114A">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小</w:t>
            </w:r>
          </w:p>
        </w:tc>
        <w:tc>
          <w:tcPr>
            <w:tcW w:w="441" w:type="pct"/>
            <w:shd w:val="clear" w:color="auto" w:fill="auto"/>
            <w:noWrap/>
            <w:vAlign w:val="center"/>
          </w:tcPr>
          <w:p w14:paraId="3910BEDC">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大</w:t>
            </w:r>
          </w:p>
        </w:tc>
        <w:tc>
          <w:tcPr>
            <w:tcW w:w="441" w:type="pct"/>
            <w:shd w:val="clear" w:color="auto" w:fill="auto"/>
            <w:noWrap/>
            <w:vAlign w:val="center"/>
          </w:tcPr>
          <w:p w14:paraId="5BCB7283">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中</w:t>
            </w:r>
          </w:p>
        </w:tc>
        <w:tc>
          <w:tcPr>
            <w:tcW w:w="442" w:type="pct"/>
            <w:shd w:val="clear" w:color="auto" w:fill="auto"/>
            <w:noWrap/>
            <w:vAlign w:val="center"/>
          </w:tcPr>
          <w:p w14:paraId="7DC0252B">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小</w:t>
            </w:r>
          </w:p>
        </w:tc>
        <w:tc>
          <w:tcPr>
            <w:tcW w:w="441" w:type="pct"/>
            <w:shd w:val="clear" w:color="auto" w:fill="auto"/>
            <w:noWrap/>
            <w:vAlign w:val="center"/>
          </w:tcPr>
          <w:p w14:paraId="68E7D0A1">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大</w:t>
            </w:r>
          </w:p>
        </w:tc>
        <w:tc>
          <w:tcPr>
            <w:tcW w:w="441" w:type="pct"/>
            <w:shd w:val="clear" w:color="auto" w:fill="auto"/>
            <w:noWrap/>
            <w:vAlign w:val="center"/>
          </w:tcPr>
          <w:p w14:paraId="36F4A056">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中</w:t>
            </w:r>
          </w:p>
        </w:tc>
        <w:tc>
          <w:tcPr>
            <w:tcW w:w="442" w:type="pct"/>
            <w:shd w:val="clear" w:color="auto" w:fill="auto"/>
            <w:noWrap/>
            <w:vAlign w:val="center"/>
          </w:tcPr>
          <w:p w14:paraId="0833E344">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小</w:t>
            </w:r>
          </w:p>
        </w:tc>
      </w:tr>
      <w:tr w14:paraId="45478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025" w:type="pct"/>
            <w:shd w:val="clear" w:color="auto" w:fill="auto"/>
            <w:noWrap/>
            <w:vAlign w:val="center"/>
          </w:tcPr>
          <w:p w14:paraId="1D16E316">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敏感</w:t>
            </w:r>
          </w:p>
        </w:tc>
        <w:tc>
          <w:tcPr>
            <w:tcW w:w="441" w:type="pct"/>
            <w:shd w:val="clear" w:color="auto" w:fill="auto"/>
            <w:noWrap/>
            <w:vAlign w:val="center"/>
          </w:tcPr>
          <w:p w14:paraId="0C52CD77">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一级</w:t>
            </w:r>
          </w:p>
        </w:tc>
        <w:tc>
          <w:tcPr>
            <w:tcW w:w="441" w:type="pct"/>
            <w:shd w:val="clear" w:color="auto" w:fill="auto"/>
            <w:noWrap/>
            <w:vAlign w:val="center"/>
          </w:tcPr>
          <w:p w14:paraId="7C226C19">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一级</w:t>
            </w:r>
          </w:p>
        </w:tc>
        <w:tc>
          <w:tcPr>
            <w:tcW w:w="442" w:type="pct"/>
            <w:shd w:val="clear" w:color="auto" w:fill="auto"/>
            <w:noWrap/>
            <w:vAlign w:val="center"/>
          </w:tcPr>
          <w:p w14:paraId="71BEEC3B">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一级</w:t>
            </w:r>
          </w:p>
        </w:tc>
        <w:tc>
          <w:tcPr>
            <w:tcW w:w="441" w:type="pct"/>
            <w:shd w:val="clear" w:color="auto" w:fill="auto"/>
            <w:noWrap/>
            <w:vAlign w:val="center"/>
          </w:tcPr>
          <w:p w14:paraId="7AB7B530">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二级</w:t>
            </w:r>
          </w:p>
        </w:tc>
        <w:tc>
          <w:tcPr>
            <w:tcW w:w="441" w:type="pct"/>
            <w:shd w:val="clear" w:color="auto" w:fill="auto"/>
            <w:noWrap/>
            <w:vAlign w:val="center"/>
          </w:tcPr>
          <w:p w14:paraId="1441C7A0">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二级</w:t>
            </w:r>
          </w:p>
        </w:tc>
        <w:tc>
          <w:tcPr>
            <w:tcW w:w="442" w:type="pct"/>
            <w:shd w:val="clear" w:color="auto" w:fill="auto"/>
            <w:noWrap/>
            <w:vAlign w:val="center"/>
          </w:tcPr>
          <w:p w14:paraId="7DB59B5C">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二级</w:t>
            </w:r>
          </w:p>
        </w:tc>
        <w:tc>
          <w:tcPr>
            <w:tcW w:w="441" w:type="pct"/>
            <w:shd w:val="clear" w:color="auto" w:fill="auto"/>
            <w:noWrap/>
            <w:vAlign w:val="center"/>
          </w:tcPr>
          <w:p w14:paraId="5E5B181B">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三级</w:t>
            </w:r>
          </w:p>
        </w:tc>
        <w:tc>
          <w:tcPr>
            <w:tcW w:w="441" w:type="pct"/>
            <w:shd w:val="clear" w:color="auto" w:fill="auto"/>
            <w:noWrap/>
            <w:vAlign w:val="center"/>
          </w:tcPr>
          <w:p w14:paraId="68BF647E">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三级</w:t>
            </w:r>
          </w:p>
        </w:tc>
        <w:tc>
          <w:tcPr>
            <w:tcW w:w="442" w:type="pct"/>
            <w:shd w:val="clear" w:color="auto" w:fill="auto"/>
            <w:noWrap/>
            <w:vAlign w:val="center"/>
          </w:tcPr>
          <w:p w14:paraId="6A9B26EA">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三级</w:t>
            </w:r>
          </w:p>
        </w:tc>
      </w:tr>
      <w:tr w14:paraId="3DAE9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025" w:type="pct"/>
            <w:shd w:val="clear" w:color="auto" w:fill="auto"/>
            <w:noWrap/>
            <w:vAlign w:val="center"/>
          </w:tcPr>
          <w:p w14:paraId="10BB03BF">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较敏感</w:t>
            </w:r>
          </w:p>
        </w:tc>
        <w:tc>
          <w:tcPr>
            <w:tcW w:w="441" w:type="pct"/>
            <w:shd w:val="clear" w:color="auto" w:fill="auto"/>
            <w:noWrap/>
            <w:vAlign w:val="center"/>
          </w:tcPr>
          <w:p w14:paraId="1ABC5388">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一级</w:t>
            </w:r>
          </w:p>
        </w:tc>
        <w:tc>
          <w:tcPr>
            <w:tcW w:w="441" w:type="pct"/>
            <w:shd w:val="clear" w:color="auto" w:fill="auto"/>
            <w:noWrap/>
            <w:vAlign w:val="center"/>
          </w:tcPr>
          <w:p w14:paraId="5C7DEB5D">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一级</w:t>
            </w:r>
          </w:p>
        </w:tc>
        <w:tc>
          <w:tcPr>
            <w:tcW w:w="442" w:type="pct"/>
            <w:shd w:val="clear" w:color="auto" w:fill="auto"/>
            <w:noWrap/>
            <w:vAlign w:val="center"/>
          </w:tcPr>
          <w:p w14:paraId="0D9C814D">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二级</w:t>
            </w:r>
          </w:p>
        </w:tc>
        <w:tc>
          <w:tcPr>
            <w:tcW w:w="441" w:type="pct"/>
            <w:shd w:val="clear" w:color="auto" w:fill="auto"/>
            <w:noWrap/>
            <w:vAlign w:val="center"/>
          </w:tcPr>
          <w:p w14:paraId="67C03143">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二级</w:t>
            </w:r>
          </w:p>
        </w:tc>
        <w:tc>
          <w:tcPr>
            <w:tcW w:w="441" w:type="pct"/>
            <w:shd w:val="clear" w:color="auto" w:fill="auto"/>
            <w:noWrap/>
            <w:vAlign w:val="center"/>
          </w:tcPr>
          <w:p w14:paraId="05E5260A">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二级</w:t>
            </w:r>
          </w:p>
        </w:tc>
        <w:tc>
          <w:tcPr>
            <w:tcW w:w="442" w:type="pct"/>
            <w:shd w:val="clear" w:color="auto" w:fill="auto"/>
            <w:noWrap/>
            <w:vAlign w:val="center"/>
          </w:tcPr>
          <w:p w14:paraId="0DE60280">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三级</w:t>
            </w:r>
          </w:p>
        </w:tc>
        <w:tc>
          <w:tcPr>
            <w:tcW w:w="441" w:type="pct"/>
            <w:shd w:val="clear" w:color="auto" w:fill="auto"/>
            <w:noWrap/>
            <w:vAlign w:val="center"/>
          </w:tcPr>
          <w:p w14:paraId="71E8596F">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三级</w:t>
            </w:r>
          </w:p>
        </w:tc>
        <w:tc>
          <w:tcPr>
            <w:tcW w:w="441" w:type="pct"/>
            <w:shd w:val="clear" w:color="auto" w:fill="auto"/>
            <w:noWrap/>
            <w:vAlign w:val="center"/>
          </w:tcPr>
          <w:p w14:paraId="7D717422">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三级</w:t>
            </w:r>
          </w:p>
        </w:tc>
        <w:tc>
          <w:tcPr>
            <w:tcW w:w="442" w:type="pct"/>
            <w:shd w:val="clear" w:color="auto" w:fill="auto"/>
            <w:noWrap/>
            <w:vAlign w:val="center"/>
          </w:tcPr>
          <w:p w14:paraId="46140242">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w:t>
            </w:r>
          </w:p>
        </w:tc>
      </w:tr>
      <w:tr w14:paraId="6D6B8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025" w:type="pct"/>
            <w:shd w:val="clear" w:color="auto" w:fill="auto"/>
            <w:noWrap/>
            <w:vAlign w:val="center"/>
          </w:tcPr>
          <w:p w14:paraId="1F69FD64">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不敏感</w:t>
            </w:r>
          </w:p>
        </w:tc>
        <w:tc>
          <w:tcPr>
            <w:tcW w:w="441" w:type="pct"/>
            <w:shd w:val="clear" w:color="auto" w:fill="auto"/>
            <w:noWrap/>
            <w:vAlign w:val="center"/>
          </w:tcPr>
          <w:p w14:paraId="443942CE">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一级</w:t>
            </w:r>
          </w:p>
        </w:tc>
        <w:tc>
          <w:tcPr>
            <w:tcW w:w="441" w:type="pct"/>
            <w:shd w:val="clear" w:color="auto" w:fill="auto"/>
            <w:noWrap/>
            <w:vAlign w:val="center"/>
          </w:tcPr>
          <w:p w14:paraId="57208AD4">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二级</w:t>
            </w:r>
          </w:p>
        </w:tc>
        <w:tc>
          <w:tcPr>
            <w:tcW w:w="442" w:type="pct"/>
            <w:shd w:val="clear" w:color="auto" w:fill="E7E6E6" w:themeFill="background2"/>
            <w:noWrap/>
            <w:vAlign w:val="center"/>
          </w:tcPr>
          <w:p w14:paraId="6BA27A39">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二级</w:t>
            </w:r>
          </w:p>
        </w:tc>
        <w:tc>
          <w:tcPr>
            <w:tcW w:w="441" w:type="pct"/>
            <w:shd w:val="clear" w:color="auto" w:fill="auto"/>
            <w:noWrap/>
            <w:vAlign w:val="center"/>
          </w:tcPr>
          <w:p w14:paraId="7B719BAC">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二级</w:t>
            </w:r>
          </w:p>
        </w:tc>
        <w:tc>
          <w:tcPr>
            <w:tcW w:w="441" w:type="pct"/>
            <w:shd w:val="clear" w:color="auto" w:fill="auto"/>
            <w:noWrap/>
            <w:vAlign w:val="center"/>
          </w:tcPr>
          <w:p w14:paraId="63282561">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三级</w:t>
            </w:r>
          </w:p>
        </w:tc>
        <w:tc>
          <w:tcPr>
            <w:tcW w:w="442" w:type="pct"/>
            <w:shd w:val="clear" w:color="auto" w:fill="auto"/>
            <w:noWrap/>
            <w:vAlign w:val="center"/>
          </w:tcPr>
          <w:p w14:paraId="7F20ED88">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三级</w:t>
            </w:r>
          </w:p>
        </w:tc>
        <w:tc>
          <w:tcPr>
            <w:tcW w:w="441" w:type="pct"/>
            <w:shd w:val="clear" w:color="auto" w:fill="auto"/>
            <w:noWrap/>
            <w:vAlign w:val="center"/>
          </w:tcPr>
          <w:p w14:paraId="174A439A">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三级</w:t>
            </w:r>
          </w:p>
        </w:tc>
        <w:tc>
          <w:tcPr>
            <w:tcW w:w="441" w:type="pct"/>
            <w:shd w:val="clear" w:color="auto" w:fill="auto"/>
            <w:noWrap/>
            <w:vAlign w:val="center"/>
          </w:tcPr>
          <w:p w14:paraId="2493901B">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w:t>
            </w:r>
          </w:p>
        </w:tc>
        <w:tc>
          <w:tcPr>
            <w:tcW w:w="442" w:type="pct"/>
            <w:shd w:val="clear" w:color="auto" w:fill="auto"/>
            <w:noWrap/>
            <w:vAlign w:val="center"/>
          </w:tcPr>
          <w:p w14:paraId="4C603032">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w:t>
            </w:r>
          </w:p>
        </w:tc>
      </w:tr>
      <w:tr w14:paraId="316DC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gridSpan w:val="10"/>
            <w:shd w:val="clear" w:color="auto" w:fill="auto"/>
            <w:noWrap/>
            <w:vAlign w:val="center"/>
          </w:tcPr>
          <w:p w14:paraId="38635AC0">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注：“-”表示可不开展土壤环境影响评价工作</w:t>
            </w:r>
          </w:p>
        </w:tc>
      </w:tr>
    </w:tbl>
    <w:p w14:paraId="2C629F70">
      <w:pPr>
        <w:spacing w:line="240" w:lineRule="auto"/>
        <w:ind w:firstLine="480"/>
      </w:pPr>
    </w:p>
    <w:p w14:paraId="4DE84008">
      <w:pPr>
        <w:pStyle w:val="6"/>
        <w:ind w:firstLine="482"/>
      </w:pPr>
      <w:bookmarkStart w:id="95" w:name="_Toc21167"/>
      <w:r>
        <w:rPr>
          <w:rFonts w:hint="eastAsia"/>
        </w:rPr>
        <w:t>生态环境影响评价等级</w:t>
      </w:r>
      <w:bookmarkEnd w:id="95"/>
    </w:p>
    <w:p w14:paraId="3B7B83DF">
      <w:pPr>
        <w:ind w:firstLine="480"/>
      </w:pPr>
      <w:r>
        <w:t>根据《环境影响评价技术导则—生态影响》（HJ 19—2022）相关规定“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p w14:paraId="7A8F9A7C">
      <w:pPr>
        <w:ind w:firstLine="480"/>
      </w:pPr>
      <w:r>
        <w:t>本</w:t>
      </w:r>
      <w:r>
        <w:rPr>
          <w:rFonts w:hint="eastAsia"/>
        </w:rPr>
        <w:t>项目位于松木经济开发区内，不涉及生态敏感区，符合园区规划环评要求，因此可不确定评价等级，直接进行生态影响简单分析。</w:t>
      </w:r>
    </w:p>
    <w:p w14:paraId="3C73C3FF">
      <w:pPr>
        <w:pStyle w:val="6"/>
        <w:ind w:firstLine="482"/>
      </w:pPr>
      <w:bookmarkStart w:id="96" w:name="_Toc29230"/>
      <w:r>
        <w:rPr>
          <w:rFonts w:hint="eastAsia"/>
        </w:rPr>
        <w:t>环境风险评价等级</w:t>
      </w:r>
      <w:bookmarkEnd w:id="96"/>
    </w:p>
    <w:p w14:paraId="00553487">
      <w:pPr>
        <w:ind w:firstLine="480"/>
      </w:pPr>
      <w:r>
        <w:rPr>
          <w:rFonts w:hint="eastAsia"/>
        </w:rPr>
        <w:t>根据《建设项目环境风险评价技术导则》(HJ169-2018)中评价工作等级划分依据，将环境风险评价工作等级划分为一、二、三级，划分依据见下表。</w:t>
      </w:r>
    </w:p>
    <w:p w14:paraId="243E1D96">
      <w:pPr>
        <w:pStyle w:val="43"/>
        <w:rPr>
          <w:rFonts w:hint="default"/>
        </w:rPr>
      </w:pPr>
      <w:r>
        <w:rPr>
          <w:rFonts w:hint="default"/>
        </w:rPr>
        <w:t>环境风险评价工作级别划分</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3"/>
        <w:gridCol w:w="1704"/>
        <w:gridCol w:w="1704"/>
        <w:gridCol w:w="1704"/>
        <w:gridCol w:w="1704"/>
      </w:tblGrid>
      <w:tr w14:paraId="6BE28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trPr>
        <w:tc>
          <w:tcPr>
            <w:tcW w:w="1703" w:type="dxa"/>
            <w:vAlign w:val="center"/>
          </w:tcPr>
          <w:p w14:paraId="4B019F7B">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环境风险潜势</w:t>
            </w:r>
          </w:p>
        </w:tc>
        <w:tc>
          <w:tcPr>
            <w:tcW w:w="1704" w:type="dxa"/>
            <w:vAlign w:val="center"/>
          </w:tcPr>
          <w:p w14:paraId="40C3CF2B">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IV、IV</w:t>
            </w:r>
            <w:r>
              <w:rPr>
                <w:rFonts w:hint="eastAsia" w:cs="Times New Roman"/>
                <w:b/>
                <w:bCs/>
                <w:kern w:val="0"/>
                <w:sz w:val="21"/>
                <w:szCs w:val="21"/>
                <w:vertAlign w:val="superscript"/>
              </w:rPr>
              <w:t>+</w:t>
            </w:r>
          </w:p>
        </w:tc>
        <w:tc>
          <w:tcPr>
            <w:tcW w:w="1704" w:type="dxa"/>
            <w:vAlign w:val="center"/>
          </w:tcPr>
          <w:p w14:paraId="4941E691">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III</w:t>
            </w:r>
          </w:p>
        </w:tc>
        <w:tc>
          <w:tcPr>
            <w:tcW w:w="1704" w:type="dxa"/>
            <w:vAlign w:val="center"/>
          </w:tcPr>
          <w:p w14:paraId="655B1566">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II</w:t>
            </w:r>
          </w:p>
        </w:tc>
        <w:tc>
          <w:tcPr>
            <w:tcW w:w="1704" w:type="dxa"/>
            <w:vAlign w:val="center"/>
          </w:tcPr>
          <w:p w14:paraId="37C9A820">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I</w:t>
            </w:r>
          </w:p>
        </w:tc>
      </w:tr>
      <w:tr w14:paraId="58672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3" w:type="dxa"/>
            <w:vAlign w:val="center"/>
          </w:tcPr>
          <w:p w14:paraId="15100A51">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评价工作等级</w:t>
            </w:r>
          </w:p>
        </w:tc>
        <w:tc>
          <w:tcPr>
            <w:tcW w:w="1704" w:type="dxa"/>
            <w:vAlign w:val="center"/>
          </w:tcPr>
          <w:p w14:paraId="598A2888">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一</w:t>
            </w:r>
          </w:p>
        </w:tc>
        <w:tc>
          <w:tcPr>
            <w:tcW w:w="1704" w:type="dxa"/>
            <w:vAlign w:val="center"/>
          </w:tcPr>
          <w:p w14:paraId="14B48DD3">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二</w:t>
            </w:r>
          </w:p>
        </w:tc>
        <w:tc>
          <w:tcPr>
            <w:tcW w:w="1704" w:type="dxa"/>
            <w:vAlign w:val="center"/>
          </w:tcPr>
          <w:p w14:paraId="7A279F36">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三</w:t>
            </w:r>
          </w:p>
        </w:tc>
        <w:tc>
          <w:tcPr>
            <w:tcW w:w="1704" w:type="dxa"/>
            <w:vAlign w:val="center"/>
          </w:tcPr>
          <w:p w14:paraId="7721C0D2">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简单分析</w:t>
            </w:r>
            <w:r>
              <w:rPr>
                <w:rFonts w:hint="eastAsia" w:cs="Times New Roman"/>
                <w:kern w:val="0"/>
                <w:sz w:val="21"/>
                <w:szCs w:val="21"/>
                <w:vertAlign w:val="superscript"/>
              </w:rPr>
              <w:t>a</w:t>
            </w:r>
          </w:p>
        </w:tc>
      </w:tr>
      <w:tr w14:paraId="55BD2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9" w:type="dxa"/>
            <w:gridSpan w:val="5"/>
            <w:vAlign w:val="center"/>
          </w:tcPr>
          <w:p w14:paraId="6B73BDD6">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vertAlign w:val="superscript"/>
              </w:rPr>
              <w:t xml:space="preserve">a  </w:t>
            </w:r>
            <w:r>
              <w:rPr>
                <w:rFonts w:hint="eastAsia" w:cs="Times New Roman"/>
                <w:kern w:val="0"/>
                <w:sz w:val="21"/>
                <w:szCs w:val="21"/>
              </w:rPr>
              <w:t>是相对于详细评价工作内容而言，在描述危险物质、环境影响途径、环境危害后果、风险防范措施等方面给出定性的说明。见附录A。</w:t>
            </w:r>
          </w:p>
        </w:tc>
      </w:tr>
    </w:tbl>
    <w:p w14:paraId="55881DFD">
      <w:pPr>
        <w:spacing w:line="240" w:lineRule="auto"/>
        <w:ind w:firstLine="480"/>
      </w:pPr>
    </w:p>
    <w:p w14:paraId="1959CF65">
      <w:pPr>
        <w:ind w:firstLine="480"/>
        <w:rPr>
          <w:color w:val="FF0000"/>
        </w:rPr>
      </w:pPr>
      <w:r>
        <w:t>根据《建设项目环境风险评价技术导则》(HJ169-2018)中环境风险潜势判定依据（</w:t>
      </w:r>
      <w:r>
        <w:rPr>
          <w:rFonts w:hint="eastAsia"/>
        </w:rPr>
        <w:t>具体</w:t>
      </w:r>
      <w:r>
        <w:t>判定过程见环境风险评价章节），</w:t>
      </w:r>
      <w:r>
        <w:rPr>
          <w:rFonts w:hint="eastAsia"/>
        </w:rPr>
        <w:t>本项目环境风险评价等级为一级</w:t>
      </w:r>
      <w:r>
        <w:t>。</w:t>
      </w:r>
    </w:p>
    <w:p w14:paraId="58DDCF37">
      <w:pPr>
        <w:pStyle w:val="4"/>
      </w:pPr>
      <w:bookmarkStart w:id="97" w:name="_Toc10319"/>
      <w:r>
        <w:rPr>
          <w:rFonts w:hint="eastAsia"/>
        </w:rPr>
        <w:t>评价范围</w:t>
      </w:r>
      <w:bookmarkEnd w:id="97"/>
    </w:p>
    <w:p w14:paraId="7F1B4F09">
      <w:pPr>
        <w:pStyle w:val="6"/>
        <w:ind w:firstLine="482"/>
      </w:pPr>
      <w:bookmarkStart w:id="98" w:name="_Toc14401"/>
      <w:r>
        <w:rPr>
          <w:rFonts w:hint="eastAsia"/>
        </w:rPr>
        <w:t>大气环境影响评价范围</w:t>
      </w:r>
      <w:bookmarkEnd w:id="98"/>
    </w:p>
    <w:p w14:paraId="34DF6972">
      <w:pPr>
        <w:ind w:firstLine="480"/>
      </w:pPr>
      <w:r>
        <w:t>大气环境影响评价范围为</w:t>
      </w:r>
      <w:r>
        <w:rPr>
          <w:rFonts w:hint="eastAsia"/>
          <w:lang w:val="en-US" w:eastAsia="zh-CN"/>
        </w:rPr>
        <w:t>厂界外延</w:t>
      </w:r>
      <w:r>
        <w:rPr>
          <w:rFonts w:hint="eastAsia"/>
          <w:kern w:val="24"/>
          <w:lang w:val="en-US" w:eastAsia="zh-CN"/>
        </w:rPr>
        <w:t>边长为</w:t>
      </w:r>
      <w:r>
        <w:rPr>
          <w:rFonts w:hint="eastAsia"/>
          <w:kern w:val="24"/>
        </w:rPr>
        <w:t xml:space="preserve">5km </w:t>
      </w:r>
      <w:r>
        <w:rPr>
          <w:kern w:val="24"/>
        </w:rPr>
        <w:t>的矩形范围内</w:t>
      </w:r>
      <w:r>
        <w:rPr>
          <w:rFonts w:hint="eastAsia"/>
        </w:rPr>
        <w:t>。</w:t>
      </w:r>
    </w:p>
    <w:p w14:paraId="62D7E217">
      <w:pPr>
        <w:pStyle w:val="6"/>
        <w:ind w:firstLine="482"/>
      </w:pPr>
      <w:bookmarkStart w:id="99" w:name="_Toc24795"/>
      <w:r>
        <w:rPr>
          <w:rFonts w:hint="eastAsia"/>
        </w:rPr>
        <w:t>地表水环境影响评价范围</w:t>
      </w:r>
      <w:bookmarkEnd w:id="99"/>
    </w:p>
    <w:p w14:paraId="42237559">
      <w:pPr>
        <w:ind w:firstLine="480"/>
      </w:pPr>
      <w:r>
        <w:rPr>
          <w:rFonts w:hint="eastAsia"/>
        </w:rPr>
        <w:t>地表水环境影响评价范围为</w:t>
      </w:r>
      <w:r>
        <w:rPr>
          <w:kern w:val="24"/>
        </w:rPr>
        <w:t>松木污水处理厂排污口上游500m至下游3000m</w:t>
      </w:r>
      <w:r>
        <w:rPr>
          <w:rFonts w:hint="eastAsia"/>
        </w:rPr>
        <w:t>。</w:t>
      </w:r>
    </w:p>
    <w:p w14:paraId="5ABE9B25">
      <w:pPr>
        <w:pStyle w:val="6"/>
        <w:ind w:firstLine="482"/>
      </w:pPr>
      <w:bookmarkStart w:id="100" w:name="_Toc20331"/>
      <w:r>
        <w:rPr>
          <w:rFonts w:hint="eastAsia"/>
        </w:rPr>
        <w:t>地下水环境影响评价范围</w:t>
      </w:r>
      <w:bookmarkEnd w:id="100"/>
    </w:p>
    <w:p w14:paraId="192C7039">
      <w:pPr>
        <w:ind w:firstLine="480"/>
      </w:pPr>
      <w:r>
        <w:t>根据《环境影响评价技术导则</w:t>
      </w:r>
      <w:r>
        <w:rPr>
          <w:rFonts w:hint="eastAsia"/>
        </w:rPr>
        <w:t xml:space="preserve"> </w:t>
      </w:r>
      <w:r>
        <w:t>地下水环境》（HJ610-2016），地下水环境影响调查评价范围可采用公式计算法、查表法和自定义法。</w:t>
      </w:r>
    </w:p>
    <w:p w14:paraId="7B566497">
      <w:pPr>
        <w:ind w:firstLine="480"/>
      </w:pPr>
      <w:r>
        <w:t>结合项目周边的区域地质条件、水文地质条件、地形地貌特征、地下水保护目标和敏感区域，地下水评价范围依据公式计算法可知</w:t>
      </w:r>
      <w:r>
        <w:rPr>
          <w:rFonts w:hint="eastAsia"/>
        </w:rPr>
        <w:t>，污染物水平迁移距离公式：</w:t>
      </w:r>
    </w:p>
    <w:p w14:paraId="72379B20">
      <w:pPr>
        <w:ind w:firstLine="0" w:firstLineChars="0"/>
        <w:jc w:val="center"/>
      </w:pPr>
      <w:r>
        <w:rPr>
          <w:position w:val="-12"/>
        </w:rPr>
        <w:object>
          <v:shape id="_x0000_i1027" o:spt="75" type="#_x0000_t75" style="height:18pt;width:88.9pt;" o:ole="t" filled="f" o:preferrelative="t" stroked="f" coordsize="21600,21600">
            <v:path/>
            <v:fill on="f" focussize="0,0"/>
            <v:stroke on="f" joinstyle="miter"/>
            <v:imagedata r:id="rId24" o:title=""/>
            <o:lock v:ext="edit" aspectratio="t"/>
            <w10:wrap type="none"/>
            <w10:anchorlock/>
          </v:shape>
          <o:OLEObject Type="Embed" ProgID="Equation.KSEE3" ShapeID="_x0000_i1027" DrawAspect="Content" ObjectID="_1468075727" r:id="rId23">
            <o:LockedField>false</o:LockedField>
          </o:OLEObject>
        </w:object>
      </w:r>
    </w:p>
    <w:p w14:paraId="5E2B0815">
      <w:pPr>
        <w:ind w:firstLine="480"/>
      </w:pPr>
      <w:r>
        <w:t>式中：</w:t>
      </w:r>
    </w:p>
    <w:p w14:paraId="267B757A">
      <w:pPr>
        <w:ind w:firstLine="480"/>
      </w:pPr>
      <w:r>
        <w:t xml:space="preserve">L——下游迁移距离，m； </w:t>
      </w:r>
    </w:p>
    <w:p w14:paraId="71839583">
      <w:pPr>
        <w:ind w:firstLine="480"/>
      </w:pPr>
      <w:r>
        <w:t xml:space="preserve">α——变化系数，α≥1，一般取2； </w:t>
      </w:r>
    </w:p>
    <w:p w14:paraId="1B0C7878">
      <w:pPr>
        <w:ind w:firstLine="480"/>
      </w:pPr>
      <w:r>
        <w:t>K——渗透系数，m/d</w:t>
      </w:r>
      <w:r>
        <w:rPr>
          <w:rFonts w:hint="eastAsia"/>
        </w:rPr>
        <w:t>，根据水文地质勘察结果，区域含水层为松散岩类孔隙水，渗透系数K取0.75</w:t>
      </w:r>
      <w:r>
        <w:t>；</w:t>
      </w:r>
    </w:p>
    <w:p w14:paraId="402C82FF">
      <w:pPr>
        <w:ind w:firstLine="480"/>
      </w:pPr>
      <w:r>
        <w:t>I——水力坡度，量纲为1</w:t>
      </w:r>
      <w:r>
        <w:rPr>
          <w:rFonts w:hint="eastAsia"/>
        </w:rPr>
        <w:t>，</w:t>
      </w:r>
      <w:r>
        <w:t>根据水文地质勘察数据，</w:t>
      </w:r>
      <w:r>
        <w:rPr>
          <w:rFonts w:hint="eastAsia"/>
        </w:rPr>
        <w:t>I</w:t>
      </w:r>
      <w:r>
        <w:t>为</w:t>
      </w:r>
      <w:r>
        <w:rPr>
          <w:rFonts w:hint="eastAsia"/>
        </w:rPr>
        <w:t>0.057</w:t>
      </w:r>
      <w:r>
        <w:t xml:space="preserve">； </w:t>
      </w:r>
    </w:p>
    <w:p w14:paraId="0DBBE336">
      <w:pPr>
        <w:ind w:firstLine="480"/>
      </w:pPr>
      <w:r>
        <w:t>T——质点迁移天数，取值不小于5000 d</w:t>
      </w:r>
      <w:r>
        <w:rPr>
          <w:rFonts w:hint="eastAsia"/>
        </w:rPr>
        <w:t>，取最低值5000d</w:t>
      </w:r>
      <w:r>
        <w:t xml:space="preserve">； </w:t>
      </w:r>
    </w:p>
    <w:p w14:paraId="34B07615">
      <w:pPr>
        <w:ind w:firstLine="480"/>
      </w:pPr>
      <w:r>
        <w:t>n</w:t>
      </w:r>
      <w:r>
        <w:rPr>
          <w:vertAlign w:val="subscript"/>
        </w:rPr>
        <w:t>e</w:t>
      </w:r>
      <w:r>
        <w:t>——有效孔隙度，量纲为1</w:t>
      </w:r>
      <w:r>
        <w:rPr>
          <w:rFonts w:hint="eastAsia"/>
        </w:rPr>
        <w:t>，取经验值0.35</w:t>
      </w:r>
      <w:r>
        <w:t>。</w:t>
      </w:r>
    </w:p>
    <w:p w14:paraId="1CF7B2AD">
      <w:pPr>
        <w:ind w:firstLine="480"/>
      </w:pPr>
      <w:r>
        <w:rPr>
          <w:rFonts w:hint="eastAsia"/>
        </w:rPr>
        <w:t>根据以上参数计算L=1221.4m。</w:t>
      </w:r>
    </w:p>
    <w:p w14:paraId="7A75EFC0">
      <w:pPr>
        <w:ind w:firstLine="480"/>
      </w:pPr>
      <w:r>
        <w:rPr>
          <w:rFonts w:hint="eastAsia"/>
        </w:rPr>
        <w:t>项目由于其主要涉及的为浅层地下水，故本项目地下水评价范围为：上游外延约700 m，下游外延至湘江，项目所在区域上下游及两侧总计约7.5km</w:t>
      </w:r>
      <w:r>
        <w:rPr>
          <w:rFonts w:hint="eastAsia"/>
          <w:vertAlign w:val="superscript"/>
        </w:rPr>
        <w:t>2</w:t>
      </w:r>
      <w:r>
        <w:rPr>
          <w:rFonts w:hint="eastAsia"/>
        </w:rPr>
        <w:t>范围内。</w:t>
      </w:r>
    </w:p>
    <w:p w14:paraId="675361F3">
      <w:pPr>
        <w:pStyle w:val="6"/>
        <w:ind w:firstLine="482"/>
      </w:pPr>
      <w:bookmarkStart w:id="101" w:name="_Toc13714"/>
      <w:r>
        <w:rPr>
          <w:rFonts w:hint="eastAsia"/>
        </w:rPr>
        <w:t>声环境影响评价范围</w:t>
      </w:r>
      <w:bookmarkEnd w:id="101"/>
    </w:p>
    <w:p w14:paraId="3719452D">
      <w:pPr>
        <w:ind w:firstLine="480"/>
      </w:pPr>
      <w:r>
        <w:rPr>
          <w:rFonts w:hint="eastAsia"/>
        </w:rPr>
        <w:t>根据《环境影响评价技术导则·声环境》（HJ2.4-2021），本项目声环境评价范围为</w:t>
      </w:r>
      <w:r>
        <w:rPr>
          <w:rFonts w:hint="default"/>
        </w:rPr>
        <w:t>项目厂区占地范围及厂界</w:t>
      </w:r>
      <w:r>
        <w:rPr>
          <w:rFonts w:hint="eastAsia"/>
          <w:lang w:val="en-US" w:eastAsia="zh-CN"/>
        </w:rPr>
        <w:t>外</w:t>
      </w:r>
      <w:r>
        <w:rPr>
          <w:rFonts w:hint="default"/>
        </w:rPr>
        <w:t>200m 的范围内</w:t>
      </w:r>
      <w:r>
        <w:rPr>
          <w:rFonts w:hint="eastAsia"/>
        </w:rPr>
        <w:t>。</w:t>
      </w:r>
    </w:p>
    <w:p w14:paraId="0FC374C5">
      <w:pPr>
        <w:pStyle w:val="6"/>
        <w:ind w:firstLine="482"/>
      </w:pPr>
      <w:bookmarkStart w:id="102" w:name="_Toc27850"/>
      <w:r>
        <w:rPr>
          <w:rFonts w:hint="eastAsia"/>
        </w:rPr>
        <w:t>土壤环境影响评价范围</w:t>
      </w:r>
      <w:bookmarkEnd w:id="102"/>
    </w:p>
    <w:p w14:paraId="64F47EAD">
      <w:pPr>
        <w:ind w:firstLine="480"/>
      </w:pPr>
      <w:r>
        <w:t>根据《环境影响评价技术导则—土壤环境</w:t>
      </w:r>
      <w:r>
        <w:rPr>
          <w:rFonts w:hint="eastAsia"/>
          <w:lang w:eastAsia="zh-CN"/>
        </w:rPr>
        <w:t>（试行）</w:t>
      </w:r>
      <w:r>
        <w:t>》（HJ964-2018）表5，本项目</w:t>
      </w:r>
      <w:r>
        <w:rPr>
          <w:rFonts w:hint="eastAsia"/>
        </w:rPr>
        <w:t>土壤</w:t>
      </w:r>
      <w:r>
        <w:t>现状调查范围为</w:t>
      </w:r>
      <w:r>
        <w:rPr>
          <w:rFonts w:hint="default"/>
        </w:rPr>
        <w:t>项目厂区占地范围及厂界</w:t>
      </w:r>
      <w:r>
        <w:rPr>
          <w:rFonts w:hint="eastAsia"/>
          <w:lang w:val="en-US" w:eastAsia="zh-CN"/>
        </w:rPr>
        <w:t>外</w:t>
      </w:r>
      <w:r>
        <w:rPr>
          <w:rFonts w:hint="default"/>
        </w:rPr>
        <w:t>200m 的范围内</w:t>
      </w:r>
      <w:r>
        <w:rPr>
          <w:rFonts w:hint="eastAsia"/>
        </w:rPr>
        <w:t>。</w:t>
      </w:r>
    </w:p>
    <w:p w14:paraId="29A38CA6">
      <w:pPr>
        <w:pStyle w:val="43"/>
        <w:rPr>
          <w:rFonts w:hint="default"/>
        </w:rPr>
      </w:pPr>
      <w:r>
        <w:t>土壤环境影响现状调查范围</w:t>
      </w:r>
    </w:p>
    <w:tbl>
      <w:tblPr>
        <w:tblStyle w:val="3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8"/>
        <w:gridCol w:w="2128"/>
        <w:gridCol w:w="2128"/>
        <w:gridCol w:w="2136"/>
      </w:tblGrid>
      <w:tr w14:paraId="7EB7F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9" w:type="pct"/>
            <w:vMerge w:val="restart"/>
            <w:vAlign w:val="center"/>
          </w:tcPr>
          <w:p w14:paraId="4172A399">
            <w:pPr>
              <w:pStyle w:val="45"/>
              <w:rPr>
                <w:rFonts w:hint="default"/>
                <w:b/>
                <w:bCs/>
              </w:rPr>
            </w:pPr>
            <w:r>
              <w:rPr>
                <w:b/>
                <w:bCs/>
              </w:rPr>
              <w:t>评价工作等级</w:t>
            </w:r>
          </w:p>
        </w:tc>
        <w:tc>
          <w:tcPr>
            <w:tcW w:w="1249" w:type="pct"/>
            <w:vMerge w:val="restart"/>
            <w:vAlign w:val="center"/>
          </w:tcPr>
          <w:p w14:paraId="29889389">
            <w:pPr>
              <w:pStyle w:val="45"/>
              <w:rPr>
                <w:rFonts w:hint="default"/>
                <w:b/>
                <w:bCs/>
              </w:rPr>
            </w:pPr>
            <w:r>
              <w:rPr>
                <w:b/>
                <w:bCs/>
              </w:rPr>
              <w:t>影响类型</w:t>
            </w:r>
          </w:p>
        </w:tc>
        <w:tc>
          <w:tcPr>
            <w:tcW w:w="2500" w:type="pct"/>
            <w:gridSpan w:val="2"/>
            <w:vAlign w:val="center"/>
          </w:tcPr>
          <w:p w14:paraId="0690F468">
            <w:pPr>
              <w:pStyle w:val="45"/>
              <w:rPr>
                <w:rFonts w:hint="default"/>
                <w:b/>
                <w:bCs/>
              </w:rPr>
            </w:pPr>
            <w:r>
              <w:rPr>
                <w:b/>
                <w:bCs/>
              </w:rPr>
              <w:t>调查范围</w:t>
            </w:r>
            <w:r>
              <w:rPr>
                <w:b/>
                <w:bCs/>
                <w:vertAlign w:val="superscript"/>
              </w:rPr>
              <w:t>a</w:t>
            </w:r>
          </w:p>
        </w:tc>
      </w:tr>
      <w:tr w14:paraId="1CFB1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9" w:type="pct"/>
            <w:vMerge w:val="continue"/>
            <w:vAlign w:val="center"/>
          </w:tcPr>
          <w:p w14:paraId="5464EBAC">
            <w:pPr>
              <w:pStyle w:val="45"/>
              <w:rPr>
                <w:rFonts w:hint="default"/>
                <w:b/>
                <w:bCs/>
              </w:rPr>
            </w:pPr>
          </w:p>
        </w:tc>
        <w:tc>
          <w:tcPr>
            <w:tcW w:w="1249" w:type="pct"/>
            <w:vMerge w:val="continue"/>
            <w:vAlign w:val="center"/>
          </w:tcPr>
          <w:p w14:paraId="43878719">
            <w:pPr>
              <w:pStyle w:val="45"/>
              <w:rPr>
                <w:rFonts w:hint="default"/>
                <w:b/>
                <w:bCs/>
              </w:rPr>
            </w:pPr>
          </w:p>
        </w:tc>
        <w:tc>
          <w:tcPr>
            <w:tcW w:w="1249" w:type="pct"/>
            <w:vAlign w:val="center"/>
          </w:tcPr>
          <w:p w14:paraId="67C413EB">
            <w:pPr>
              <w:pStyle w:val="45"/>
              <w:rPr>
                <w:rFonts w:hint="default"/>
                <w:b/>
                <w:bCs/>
              </w:rPr>
            </w:pPr>
            <w:r>
              <w:rPr>
                <w:b/>
                <w:bCs/>
              </w:rPr>
              <w:t>占地范围内</w:t>
            </w:r>
            <w:r>
              <w:rPr>
                <w:b/>
                <w:bCs/>
                <w:vertAlign w:val="superscript"/>
              </w:rPr>
              <w:t>b</w:t>
            </w:r>
          </w:p>
        </w:tc>
        <w:tc>
          <w:tcPr>
            <w:tcW w:w="1250" w:type="pct"/>
            <w:vAlign w:val="center"/>
          </w:tcPr>
          <w:p w14:paraId="28F40DFA">
            <w:pPr>
              <w:pStyle w:val="45"/>
              <w:rPr>
                <w:rFonts w:hint="default"/>
                <w:b/>
                <w:bCs/>
              </w:rPr>
            </w:pPr>
            <w:r>
              <w:rPr>
                <w:b/>
                <w:bCs/>
              </w:rPr>
              <w:t>占地范围外</w:t>
            </w:r>
          </w:p>
        </w:tc>
      </w:tr>
      <w:tr w14:paraId="149D4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Merge w:val="restart"/>
            <w:vAlign w:val="center"/>
          </w:tcPr>
          <w:p w14:paraId="3478EE0C">
            <w:pPr>
              <w:pStyle w:val="45"/>
              <w:rPr>
                <w:rFonts w:hint="default"/>
              </w:rPr>
            </w:pPr>
            <w:r>
              <w:t>一级</w:t>
            </w:r>
          </w:p>
        </w:tc>
        <w:tc>
          <w:tcPr>
            <w:tcW w:w="1249" w:type="pct"/>
            <w:vAlign w:val="center"/>
          </w:tcPr>
          <w:p w14:paraId="6AA6FB83">
            <w:pPr>
              <w:pStyle w:val="45"/>
              <w:rPr>
                <w:rFonts w:hint="default"/>
              </w:rPr>
            </w:pPr>
            <w:r>
              <w:t>生态影响型</w:t>
            </w:r>
          </w:p>
        </w:tc>
        <w:tc>
          <w:tcPr>
            <w:tcW w:w="1249" w:type="pct"/>
            <w:vMerge w:val="restart"/>
            <w:vAlign w:val="center"/>
          </w:tcPr>
          <w:p w14:paraId="456BCCC4">
            <w:pPr>
              <w:pStyle w:val="45"/>
              <w:rPr>
                <w:rFonts w:hint="default"/>
              </w:rPr>
            </w:pPr>
            <w:r>
              <w:t>全部</w:t>
            </w:r>
          </w:p>
        </w:tc>
        <w:tc>
          <w:tcPr>
            <w:tcW w:w="1250" w:type="pct"/>
            <w:vAlign w:val="center"/>
          </w:tcPr>
          <w:p w14:paraId="16384208">
            <w:pPr>
              <w:pStyle w:val="45"/>
              <w:rPr>
                <w:rFonts w:hint="default"/>
              </w:rPr>
            </w:pPr>
            <w:r>
              <w:t>5km范围内</w:t>
            </w:r>
          </w:p>
        </w:tc>
      </w:tr>
      <w:tr w14:paraId="34D00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Merge w:val="continue"/>
            <w:vAlign w:val="center"/>
          </w:tcPr>
          <w:p w14:paraId="33C480E2">
            <w:pPr>
              <w:pStyle w:val="45"/>
              <w:rPr>
                <w:rFonts w:hint="default"/>
              </w:rPr>
            </w:pPr>
          </w:p>
        </w:tc>
        <w:tc>
          <w:tcPr>
            <w:tcW w:w="1249" w:type="pct"/>
            <w:vAlign w:val="center"/>
          </w:tcPr>
          <w:p w14:paraId="2B1E1AD9">
            <w:pPr>
              <w:pStyle w:val="45"/>
              <w:rPr>
                <w:rFonts w:hint="default"/>
              </w:rPr>
            </w:pPr>
            <w:r>
              <w:t>污染影响型</w:t>
            </w:r>
          </w:p>
        </w:tc>
        <w:tc>
          <w:tcPr>
            <w:tcW w:w="1249" w:type="pct"/>
            <w:vMerge w:val="continue"/>
            <w:vAlign w:val="center"/>
          </w:tcPr>
          <w:p w14:paraId="2563B911">
            <w:pPr>
              <w:pStyle w:val="45"/>
              <w:rPr>
                <w:rFonts w:hint="default"/>
              </w:rPr>
            </w:pPr>
          </w:p>
        </w:tc>
        <w:tc>
          <w:tcPr>
            <w:tcW w:w="1250" w:type="pct"/>
            <w:vAlign w:val="center"/>
          </w:tcPr>
          <w:p w14:paraId="7DF6C6C2">
            <w:pPr>
              <w:pStyle w:val="45"/>
              <w:rPr>
                <w:rFonts w:hint="default"/>
              </w:rPr>
            </w:pPr>
            <w:r>
              <w:t>1km范围内</w:t>
            </w:r>
          </w:p>
        </w:tc>
      </w:tr>
      <w:tr w14:paraId="324BA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Merge w:val="restart"/>
            <w:vAlign w:val="center"/>
          </w:tcPr>
          <w:p w14:paraId="4BFA9FC1">
            <w:pPr>
              <w:pStyle w:val="45"/>
              <w:rPr>
                <w:rFonts w:hint="default"/>
              </w:rPr>
            </w:pPr>
            <w:r>
              <w:t>二级</w:t>
            </w:r>
          </w:p>
        </w:tc>
        <w:tc>
          <w:tcPr>
            <w:tcW w:w="1249" w:type="pct"/>
            <w:vAlign w:val="center"/>
          </w:tcPr>
          <w:p w14:paraId="7B5C04DF">
            <w:pPr>
              <w:pStyle w:val="45"/>
              <w:rPr>
                <w:rFonts w:hint="default"/>
              </w:rPr>
            </w:pPr>
            <w:r>
              <w:t>生态影响型</w:t>
            </w:r>
          </w:p>
        </w:tc>
        <w:tc>
          <w:tcPr>
            <w:tcW w:w="1249" w:type="pct"/>
            <w:vMerge w:val="continue"/>
            <w:vAlign w:val="center"/>
          </w:tcPr>
          <w:p w14:paraId="231DE625">
            <w:pPr>
              <w:pStyle w:val="45"/>
              <w:rPr>
                <w:rFonts w:hint="default"/>
              </w:rPr>
            </w:pPr>
          </w:p>
        </w:tc>
        <w:tc>
          <w:tcPr>
            <w:tcW w:w="1250" w:type="pct"/>
            <w:vAlign w:val="center"/>
          </w:tcPr>
          <w:p w14:paraId="6A94485B">
            <w:pPr>
              <w:pStyle w:val="45"/>
              <w:rPr>
                <w:rFonts w:hint="default"/>
              </w:rPr>
            </w:pPr>
            <w:r>
              <w:t>2km范围内</w:t>
            </w:r>
          </w:p>
        </w:tc>
      </w:tr>
      <w:tr w14:paraId="1F6FF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Merge w:val="continue"/>
            <w:vAlign w:val="center"/>
          </w:tcPr>
          <w:p w14:paraId="3C83750F">
            <w:pPr>
              <w:pStyle w:val="45"/>
              <w:rPr>
                <w:rFonts w:hint="default"/>
              </w:rPr>
            </w:pPr>
          </w:p>
        </w:tc>
        <w:tc>
          <w:tcPr>
            <w:tcW w:w="1249" w:type="pct"/>
            <w:shd w:val="clear" w:color="auto" w:fill="E7E6E6" w:themeFill="background2"/>
            <w:vAlign w:val="center"/>
          </w:tcPr>
          <w:p w14:paraId="73952116">
            <w:pPr>
              <w:pStyle w:val="45"/>
              <w:rPr>
                <w:rFonts w:hint="default"/>
              </w:rPr>
            </w:pPr>
            <w:r>
              <w:t>污染影响型</w:t>
            </w:r>
          </w:p>
        </w:tc>
        <w:tc>
          <w:tcPr>
            <w:tcW w:w="1249" w:type="pct"/>
            <w:vMerge w:val="continue"/>
            <w:shd w:val="clear" w:color="auto" w:fill="E7E6E6" w:themeFill="background2"/>
            <w:vAlign w:val="center"/>
          </w:tcPr>
          <w:p w14:paraId="71DB3006">
            <w:pPr>
              <w:pStyle w:val="45"/>
              <w:rPr>
                <w:rFonts w:hint="default"/>
              </w:rPr>
            </w:pPr>
          </w:p>
        </w:tc>
        <w:tc>
          <w:tcPr>
            <w:tcW w:w="1250" w:type="pct"/>
            <w:shd w:val="clear" w:color="auto" w:fill="E7E6E6" w:themeFill="background2"/>
            <w:vAlign w:val="center"/>
          </w:tcPr>
          <w:p w14:paraId="147A89E0">
            <w:pPr>
              <w:pStyle w:val="45"/>
              <w:rPr>
                <w:rFonts w:hint="default"/>
              </w:rPr>
            </w:pPr>
            <w:r>
              <w:t>0.2km范围内</w:t>
            </w:r>
          </w:p>
        </w:tc>
      </w:tr>
      <w:tr w14:paraId="5D0D8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Merge w:val="restart"/>
            <w:vAlign w:val="center"/>
          </w:tcPr>
          <w:p w14:paraId="160260BA">
            <w:pPr>
              <w:pStyle w:val="45"/>
              <w:rPr>
                <w:rFonts w:hint="default"/>
              </w:rPr>
            </w:pPr>
            <w:r>
              <w:t>三级</w:t>
            </w:r>
          </w:p>
        </w:tc>
        <w:tc>
          <w:tcPr>
            <w:tcW w:w="1249" w:type="pct"/>
            <w:vAlign w:val="center"/>
          </w:tcPr>
          <w:p w14:paraId="5E769609">
            <w:pPr>
              <w:pStyle w:val="45"/>
              <w:rPr>
                <w:rFonts w:hint="default"/>
              </w:rPr>
            </w:pPr>
            <w:r>
              <w:t>生态影响型</w:t>
            </w:r>
          </w:p>
        </w:tc>
        <w:tc>
          <w:tcPr>
            <w:tcW w:w="1249" w:type="pct"/>
            <w:vMerge w:val="continue"/>
            <w:vAlign w:val="center"/>
          </w:tcPr>
          <w:p w14:paraId="0B999C1B">
            <w:pPr>
              <w:pStyle w:val="45"/>
              <w:rPr>
                <w:rFonts w:hint="default"/>
              </w:rPr>
            </w:pPr>
          </w:p>
        </w:tc>
        <w:tc>
          <w:tcPr>
            <w:tcW w:w="1250" w:type="pct"/>
            <w:vAlign w:val="center"/>
          </w:tcPr>
          <w:p w14:paraId="588BC4C1">
            <w:pPr>
              <w:pStyle w:val="45"/>
              <w:rPr>
                <w:rFonts w:hint="default"/>
              </w:rPr>
            </w:pPr>
            <w:r>
              <w:t>1km范围内</w:t>
            </w:r>
          </w:p>
        </w:tc>
      </w:tr>
      <w:tr w14:paraId="48536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Merge w:val="continue"/>
            <w:vAlign w:val="center"/>
          </w:tcPr>
          <w:p w14:paraId="28D4395B">
            <w:pPr>
              <w:pStyle w:val="45"/>
              <w:rPr>
                <w:rFonts w:hint="default"/>
              </w:rPr>
            </w:pPr>
          </w:p>
        </w:tc>
        <w:tc>
          <w:tcPr>
            <w:tcW w:w="1249" w:type="pct"/>
            <w:vAlign w:val="center"/>
          </w:tcPr>
          <w:p w14:paraId="3A06E852">
            <w:pPr>
              <w:pStyle w:val="45"/>
              <w:rPr>
                <w:rFonts w:hint="default"/>
              </w:rPr>
            </w:pPr>
            <w:r>
              <w:t>污染影响型</w:t>
            </w:r>
          </w:p>
        </w:tc>
        <w:tc>
          <w:tcPr>
            <w:tcW w:w="1249" w:type="pct"/>
            <w:vMerge w:val="continue"/>
            <w:vAlign w:val="center"/>
          </w:tcPr>
          <w:p w14:paraId="23D0A683">
            <w:pPr>
              <w:pStyle w:val="45"/>
              <w:rPr>
                <w:rFonts w:hint="default"/>
              </w:rPr>
            </w:pPr>
          </w:p>
        </w:tc>
        <w:tc>
          <w:tcPr>
            <w:tcW w:w="1250" w:type="pct"/>
            <w:vAlign w:val="center"/>
          </w:tcPr>
          <w:p w14:paraId="4C333328">
            <w:pPr>
              <w:pStyle w:val="45"/>
              <w:rPr>
                <w:rFonts w:hint="default"/>
              </w:rPr>
            </w:pPr>
            <w:r>
              <w:t>0.05km范围内</w:t>
            </w:r>
          </w:p>
        </w:tc>
      </w:tr>
      <w:tr w14:paraId="01D5F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3F8B1E5F">
            <w:pPr>
              <w:pStyle w:val="45"/>
              <w:jc w:val="left"/>
              <w:rPr>
                <w:rFonts w:hint="default"/>
              </w:rPr>
            </w:pPr>
            <w:r>
              <w:rPr>
                <w:vertAlign w:val="superscript"/>
              </w:rPr>
              <w:t>a</w:t>
            </w:r>
            <w:r>
              <w:t xml:space="preserve">  涉及大气沉降途径影响的，可根据主导风向下风向的最大落地浓度点适当调整。</w:t>
            </w:r>
          </w:p>
          <w:p w14:paraId="71A4CE4E">
            <w:pPr>
              <w:pStyle w:val="45"/>
              <w:jc w:val="left"/>
              <w:rPr>
                <w:rFonts w:hint="default"/>
              </w:rPr>
            </w:pPr>
            <w:r>
              <w:rPr>
                <w:vertAlign w:val="superscript"/>
              </w:rPr>
              <w:t>b</w:t>
            </w:r>
            <w:r>
              <w:t xml:space="preserve">  矿山类项目指开采区与各场地的占地；改、扩建类的指现有工程与拟建工程的占地。</w:t>
            </w:r>
          </w:p>
        </w:tc>
      </w:tr>
    </w:tbl>
    <w:p w14:paraId="0CE75A46">
      <w:pPr>
        <w:ind w:firstLine="480"/>
      </w:pPr>
    </w:p>
    <w:p w14:paraId="3244F929">
      <w:pPr>
        <w:pStyle w:val="6"/>
        <w:ind w:firstLine="482"/>
      </w:pPr>
      <w:bookmarkStart w:id="103" w:name="_Toc19594"/>
      <w:r>
        <w:rPr>
          <w:rFonts w:hint="eastAsia"/>
        </w:rPr>
        <w:t>生态环境影响评价范围</w:t>
      </w:r>
      <w:bookmarkEnd w:id="103"/>
    </w:p>
    <w:p w14:paraId="563A147D">
      <w:pPr>
        <w:pStyle w:val="51"/>
        <w:ind w:firstLine="480"/>
      </w:pPr>
      <w:r>
        <w:rPr>
          <w:rFonts w:hint="eastAsia"/>
        </w:rPr>
        <w:t>根据</w:t>
      </w:r>
      <w:r>
        <w:t>《环境影响评价技术导则 生态影响》（HJ19-2022）</w:t>
      </w:r>
      <w:r>
        <w:rPr>
          <w:rFonts w:hint="eastAsia"/>
        </w:rPr>
        <w:t>，</w:t>
      </w:r>
      <w:r>
        <w:t>本</w:t>
      </w:r>
      <w:r>
        <w:rPr>
          <w:rFonts w:hint="eastAsia"/>
        </w:rPr>
        <w:t>项目位于松木经济开发区内，不涉及生态敏感区，符合园区规划环评要求，因此不确定评价等级，直接进行生态影响简单分析。</w:t>
      </w:r>
    </w:p>
    <w:p w14:paraId="68DB2081">
      <w:pPr>
        <w:pStyle w:val="6"/>
        <w:ind w:firstLine="482"/>
      </w:pPr>
      <w:bookmarkStart w:id="104" w:name="_Toc5574"/>
      <w:r>
        <w:rPr>
          <w:rFonts w:hint="eastAsia"/>
        </w:rPr>
        <w:t>环境风险评价范围</w:t>
      </w:r>
      <w:bookmarkEnd w:id="104"/>
    </w:p>
    <w:p w14:paraId="720CA2C3">
      <w:pPr>
        <w:ind w:firstLine="480"/>
      </w:pPr>
      <w:r>
        <w:t>根据《建设项目环境风险评价技术导则》(HJ169-2018)，评价范围确定如下。</w:t>
      </w:r>
    </w:p>
    <w:p w14:paraId="500C3F76">
      <w:pPr>
        <w:ind w:firstLine="480"/>
      </w:pPr>
      <w:r>
        <w:rPr>
          <w:rFonts w:hint="eastAsia"/>
        </w:rPr>
        <w:t>（1）大气风险评价范围设定为</w:t>
      </w:r>
      <w:r>
        <w:rPr>
          <w:rFonts w:hint="eastAsia"/>
          <w:kern w:val="24"/>
        </w:rPr>
        <w:t xml:space="preserve">距离项目边界5km </w:t>
      </w:r>
      <w:r>
        <w:rPr>
          <w:kern w:val="24"/>
        </w:rPr>
        <w:t>的</w:t>
      </w:r>
      <w:r>
        <w:rPr>
          <w:rFonts w:hint="eastAsia"/>
          <w:kern w:val="24"/>
          <w:lang w:val="en-US" w:eastAsia="zh-CN"/>
        </w:rPr>
        <w:t>圆形</w:t>
      </w:r>
      <w:r>
        <w:rPr>
          <w:kern w:val="24"/>
        </w:rPr>
        <w:t>范围内</w:t>
      </w:r>
      <w:r>
        <w:rPr>
          <w:rFonts w:hint="eastAsia"/>
        </w:rPr>
        <w:t>。</w:t>
      </w:r>
    </w:p>
    <w:p w14:paraId="6D47DDA8">
      <w:pPr>
        <w:ind w:firstLine="480"/>
      </w:pPr>
      <w:r>
        <w:rPr>
          <w:rFonts w:hint="eastAsia"/>
        </w:rPr>
        <w:t>（2）根据《建设项目环境风险评价技术导则》(HJ169-2018) 中要求，地表水环境风险评价范围参照《环境影响评价技术导则地表水》(HJ2.3-2018) 确定。本项目废水经处理后排入园区污水管网，因此不设置地表水风险评价范围。</w:t>
      </w:r>
    </w:p>
    <w:p w14:paraId="0698D33D">
      <w:pPr>
        <w:ind w:firstLine="480"/>
        <w:rPr>
          <w:color w:val="000000" w:themeColor="text1"/>
          <w14:textFill>
            <w14:solidFill>
              <w14:schemeClr w14:val="tx1"/>
            </w14:solidFill>
          </w14:textFill>
        </w:rPr>
      </w:pPr>
      <w:r>
        <w:rPr>
          <w:rFonts w:hint="eastAsia"/>
        </w:rPr>
        <w:t>（3）</w:t>
      </w:r>
      <w:r>
        <w:rPr>
          <w:rFonts w:hint="eastAsia"/>
          <w:color w:val="000000" w:themeColor="text1"/>
          <w14:textFill>
            <w14:solidFill>
              <w14:schemeClr w14:val="tx1"/>
            </w14:solidFill>
          </w14:textFill>
        </w:rPr>
        <w:t>根据《建设项目环境风险评价技术导则》(HJ169-2018) 中要求，参照《环境影响评价技术导则 地下水》(HJ610-2016) 确定，与本项目地下水评价范围保持一致。</w:t>
      </w:r>
    </w:p>
    <w:p w14:paraId="75FCDC8F">
      <w:pPr>
        <w:pStyle w:val="4"/>
      </w:pPr>
      <w:bookmarkStart w:id="105" w:name="_Toc22155"/>
      <w:r>
        <w:rPr>
          <w:rFonts w:hint="eastAsia"/>
        </w:rPr>
        <w:t>评价等级及评价范围汇总</w:t>
      </w:r>
      <w:bookmarkEnd w:id="105"/>
    </w:p>
    <w:p w14:paraId="10DA5DC7">
      <w:pPr>
        <w:pStyle w:val="43"/>
        <w:rPr>
          <w:rFonts w:hint="default"/>
        </w:rPr>
      </w:pPr>
      <w:r>
        <w:t>项目评价等级及评价范围汇总表</w:t>
      </w:r>
    </w:p>
    <w:tbl>
      <w:tblPr>
        <w:tblStyle w:val="3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4"/>
        <w:gridCol w:w="1260"/>
        <w:gridCol w:w="5756"/>
      </w:tblGrid>
      <w:tr w14:paraId="64DC6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trPr>
        <w:tc>
          <w:tcPr>
            <w:tcW w:w="883" w:type="pct"/>
            <w:vAlign w:val="center"/>
          </w:tcPr>
          <w:p w14:paraId="75CA0C9A">
            <w:pPr>
              <w:pStyle w:val="45"/>
              <w:rPr>
                <w:rFonts w:hint="default"/>
                <w:b/>
                <w:bCs/>
              </w:rPr>
            </w:pPr>
            <w:r>
              <w:rPr>
                <w:b/>
                <w:bCs/>
              </w:rPr>
              <w:t>评价项目</w:t>
            </w:r>
          </w:p>
        </w:tc>
        <w:tc>
          <w:tcPr>
            <w:tcW w:w="739" w:type="pct"/>
            <w:vAlign w:val="center"/>
          </w:tcPr>
          <w:p w14:paraId="06C0D1AF">
            <w:pPr>
              <w:pStyle w:val="45"/>
              <w:rPr>
                <w:rFonts w:hint="default"/>
                <w:b/>
                <w:bCs/>
              </w:rPr>
            </w:pPr>
            <w:r>
              <w:rPr>
                <w:b/>
                <w:bCs/>
              </w:rPr>
              <w:t>评价等级</w:t>
            </w:r>
          </w:p>
        </w:tc>
        <w:tc>
          <w:tcPr>
            <w:tcW w:w="3377" w:type="pct"/>
            <w:vAlign w:val="center"/>
          </w:tcPr>
          <w:p w14:paraId="0C3CD0A3">
            <w:pPr>
              <w:pStyle w:val="45"/>
              <w:rPr>
                <w:rFonts w:hint="default"/>
                <w:b/>
                <w:bCs/>
              </w:rPr>
            </w:pPr>
            <w:r>
              <w:rPr>
                <w:b/>
                <w:bCs/>
              </w:rPr>
              <w:t>评价范围</w:t>
            </w:r>
          </w:p>
        </w:tc>
      </w:tr>
      <w:tr w14:paraId="074F4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3" w:type="pct"/>
            <w:vAlign w:val="center"/>
          </w:tcPr>
          <w:p w14:paraId="2D1D4C73">
            <w:pPr>
              <w:pStyle w:val="45"/>
              <w:rPr>
                <w:rFonts w:hint="default"/>
              </w:rPr>
            </w:pPr>
            <w:r>
              <w:t>大气环境</w:t>
            </w:r>
          </w:p>
        </w:tc>
        <w:tc>
          <w:tcPr>
            <w:tcW w:w="739" w:type="pct"/>
            <w:vAlign w:val="center"/>
          </w:tcPr>
          <w:p w14:paraId="6E489CF1">
            <w:pPr>
              <w:pStyle w:val="45"/>
              <w:rPr>
                <w:rFonts w:hint="default"/>
              </w:rPr>
            </w:pPr>
            <w:r>
              <w:t>一级</w:t>
            </w:r>
          </w:p>
        </w:tc>
        <w:tc>
          <w:tcPr>
            <w:tcW w:w="3377" w:type="pct"/>
            <w:vAlign w:val="center"/>
          </w:tcPr>
          <w:p w14:paraId="55BAD271">
            <w:pPr>
              <w:pStyle w:val="45"/>
              <w:rPr>
                <w:rFonts w:hint="default"/>
              </w:rPr>
            </w:pPr>
            <w:r>
              <w:rPr>
                <w:rFonts w:hint="eastAsia"/>
                <w:lang w:val="en-US" w:eastAsia="zh-CN"/>
              </w:rPr>
              <w:t>厂界外延</w:t>
            </w:r>
            <w:r>
              <w:rPr>
                <w:rFonts w:hint="eastAsia"/>
                <w:kern w:val="24"/>
                <w:lang w:val="en-US" w:eastAsia="zh-CN"/>
              </w:rPr>
              <w:t>边长为</w:t>
            </w:r>
            <w:r>
              <w:rPr>
                <w:rFonts w:hint="eastAsia"/>
                <w:kern w:val="24"/>
              </w:rPr>
              <w:t xml:space="preserve">5km </w:t>
            </w:r>
            <w:r>
              <w:rPr>
                <w:kern w:val="24"/>
              </w:rPr>
              <w:t>的矩形范围内</w:t>
            </w:r>
          </w:p>
        </w:tc>
      </w:tr>
      <w:tr w14:paraId="0107A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3" w:type="pct"/>
            <w:vAlign w:val="center"/>
          </w:tcPr>
          <w:p w14:paraId="59A578D7">
            <w:pPr>
              <w:pStyle w:val="45"/>
              <w:rPr>
                <w:rFonts w:hint="default"/>
              </w:rPr>
            </w:pPr>
            <w:r>
              <w:t>地表水环境</w:t>
            </w:r>
          </w:p>
        </w:tc>
        <w:tc>
          <w:tcPr>
            <w:tcW w:w="739" w:type="pct"/>
            <w:vAlign w:val="center"/>
          </w:tcPr>
          <w:p w14:paraId="062310C7">
            <w:pPr>
              <w:pStyle w:val="45"/>
              <w:rPr>
                <w:rFonts w:hint="default"/>
              </w:rPr>
            </w:pPr>
            <w:r>
              <w:t>三级B</w:t>
            </w:r>
          </w:p>
        </w:tc>
        <w:tc>
          <w:tcPr>
            <w:tcW w:w="3377" w:type="pct"/>
            <w:vAlign w:val="center"/>
          </w:tcPr>
          <w:p w14:paraId="60A7888A">
            <w:pPr>
              <w:pStyle w:val="45"/>
              <w:rPr>
                <w:rFonts w:hint="default"/>
              </w:rPr>
            </w:pPr>
            <w:r>
              <w:rPr>
                <w:kern w:val="24"/>
              </w:rPr>
              <w:t>松木污水处理厂排污口上游500m至下游3000m</w:t>
            </w:r>
          </w:p>
        </w:tc>
      </w:tr>
      <w:tr w14:paraId="13E46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3" w:type="pct"/>
            <w:vAlign w:val="center"/>
          </w:tcPr>
          <w:p w14:paraId="78E5DEA9">
            <w:pPr>
              <w:pStyle w:val="45"/>
              <w:rPr>
                <w:rFonts w:hint="default"/>
              </w:rPr>
            </w:pPr>
            <w:r>
              <w:t>地下水环境</w:t>
            </w:r>
          </w:p>
        </w:tc>
        <w:tc>
          <w:tcPr>
            <w:tcW w:w="739" w:type="pct"/>
            <w:vAlign w:val="center"/>
          </w:tcPr>
          <w:p w14:paraId="763DAB65">
            <w:pPr>
              <w:pStyle w:val="45"/>
              <w:rPr>
                <w:rFonts w:hint="default"/>
              </w:rPr>
            </w:pPr>
            <w:r>
              <w:t>二级</w:t>
            </w:r>
          </w:p>
        </w:tc>
        <w:tc>
          <w:tcPr>
            <w:tcW w:w="3377" w:type="pct"/>
            <w:vAlign w:val="center"/>
          </w:tcPr>
          <w:p w14:paraId="6160AB5F">
            <w:pPr>
              <w:pStyle w:val="45"/>
              <w:rPr>
                <w:rFonts w:hint="default"/>
              </w:rPr>
            </w:pPr>
            <w:r>
              <w:t>项目所在区域上下游及两侧总计约7.5km</w:t>
            </w:r>
            <w:r>
              <w:rPr>
                <w:vertAlign w:val="superscript"/>
              </w:rPr>
              <w:t>2</w:t>
            </w:r>
            <w:r>
              <w:t>范围内</w:t>
            </w:r>
          </w:p>
        </w:tc>
      </w:tr>
      <w:tr w14:paraId="6689E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3" w:type="pct"/>
            <w:vAlign w:val="center"/>
          </w:tcPr>
          <w:p w14:paraId="512F54BD">
            <w:pPr>
              <w:pStyle w:val="45"/>
              <w:rPr>
                <w:rFonts w:hint="default"/>
              </w:rPr>
            </w:pPr>
            <w:r>
              <w:t>声环境</w:t>
            </w:r>
          </w:p>
        </w:tc>
        <w:tc>
          <w:tcPr>
            <w:tcW w:w="739" w:type="pct"/>
            <w:vAlign w:val="center"/>
          </w:tcPr>
          <w:p w14:paraId="4FA99E32">
            <w:pPr>
              <w:pStyle w:val="45"/>
              <w:rPr>
                <w:rFonts w:hint="default"/>
              </w:rPr>
            </w:pPr>
            <w:r>
              <w:t>三级</w:t>
            </w:r>
          </w:p>
        </w:tc>
        <w:tc>
          <w:tcPr>
            <w:tcW w:w="3377" w:type="pct"/>
            <w:vAlign w:val="center"/>
          </w:tcPr>
          <w:p w14:paraId="6FC26B1A">
            <w:pPr>
              <w:pStyle w:val="45"/>
              <w:rPr>
                <w:rFonts w:hint="default"/>
              </w:rPr>
            </w:pPr>
            <w:r>
              <w:rPr>
                <w:rFonts w:hint="default"/>
              </w:rPr>
              <w:t>项目厂区占地范围及厂界</w:t>
            </w:r>
            <w:r>
              <w:rPr>
                <w:rFonts w:hint="eastAsia"/>
                <w:lang w:val="en-US" w:eastAsia="zh-CN"/>
              </w:rPr>
              <w:t>外</w:t>
            </w:r>
            <w:r>
              <w:rPr>
                <w:rFonts w:hint="default"/>
              </w:rPr>
              <w:t>200m 的范围内</w:t>
            </w:r>
          </w:p>
        </w:tc>
      </w:tr>
      <w:tr w14:paraId="225A5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3" w:type="pct"/>
            <w:vAlign w:val="center"/>
          </w:tcPr>
          <w:p w14:paraId="39E9B8C5">
            <w:pPr>
              <w:pStyle w:val="45"/>
              <w:rPr>
                <w:rFonts w:hint="default"/>
              </w:rPr>
            </w:pPr>
            <w:r>
              <w:t>土壤环境</w:t>
            </w:r>
          </w:p>
        </w:tc>
        <w:tc>
          <w:tcPr>
            <w:tcW w:w="739" w:type="pct"/>
            <w:vAlign w:val="center"/>
          </w:tcPr>
          <w:p w14:paraId="0ECB235A">
            <w:pPr>
              <w:pStyle w:val="45"/>
              <w:rPr>
                <w:rFonts w:hint="default"/>
              </w:rPr>
            </w:pPr>
            <w:r>
              <w:t>二级</w:t>
            </w:r>
          </w:p>
        </w:tc>
        <w:tc>
          <w:tcPr>
            <w:tcW w:w="3377" w:type="pct"/>
            <w:vAlign w:val="center"/>
          </w:tcPr>
          <w:p w14:paraId="740BACE4">
            <w:pPr>
              <w:pStyle w:val="45"/>
              <w:rPr>
                <w:rFonts w:hint="default"/>
              </w:rPr>
            </w:pPr>
            <w:r>
              <w:rPr>
                <w:rFonts w:hint="default"/>
              </w:rPr>
              <w:t>项目厂区占地范围及厂界</w:t>
            </w:r>
            <w:r>
              <w:rPr>
                <w:rFonts w:hint="eastAsia"/>
                <w:lang w:val="en-US" w:eastAsia="zh-CN"/>
              </w:rPr>
              <w:t>外</w:t>
            </w:r>
            <w:r>
              <w:rPr>
                <w:rFonts w:hint="default"/>
              </w:rPr>
              <w:t>200m 的范围内</w:t>
            </w:r>
          </w:p>
        </w:tc>
      </w:tr>
      <w:tr w14:paraId="7BC95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3" w:type="pct"/>
            <w:vAlign w:val="center"/>
          </w:tcPr>
          <w:p w14:paraId="4DB9E328">
            <w:pPr>
              <w:pStyle w:val="45"/>
              <w:rPr>
                <w:rFonts w:hint="default"/>
              </w:rPr>
            </w:pPr>
            <w:r>
              <w:t>生态环境</w:t>
            </w:r>
          </w:p>
        </w:tc>
        <w:tc>
          <w:tcPr>
            <w:tcW w:w="739" w:type="pct"/>
            <w:vAlign w:val="center"/>
          </w:tcPr>
          <w:p w14:paraId="6BF1727D">
            <w:pPr>
              <w:pStyle w:val="45"/>
              <w:rPr>
                <w:rFonts w:hint="default"/>
              </w:rPr>
            </w:pPr>
            <w:r>
              <w:t>简单分析</w:t>
            </w:r>
          </w:p>
        </w:tc>
        <w:tc>
          <w:tcPr>
            <w:tcW w:w="3377" w:type="pct"/>
            <w:vAlign w:val="center"/>
          </w:tcPr>
          <w:p w14:paraId="4D13A6E5">
            <w:pPr>
              <w:pStyle w:val="45"/>
              <w:rPr>
                <w:rFonts w:hint="default"/>
              </w:rPr>
            </w:pPr>
            <w:r>
              <w:rPr>
                <w:rFonts w:hint="default"/>
              </w:rPr>
              <w:t>项目厂区占地范围</w:t>
            </w:r>
            <w:r>
              <w:rPr>
                <w:kern w:val="24"/>
                <w:lang w:val="zh-CN"/>
              </w:rPr>
              <w:t>内</w:t>
            </w:r>
          </w:p>
        </w:tc>
      </w:tr>
      <w:tr w14:paraId="588EA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83" w:type="pct"/>
            <w:vAlign w:val="center"/>
          </w:tcPr>
          <w:p w14:paraId="14F8EE42">
            <w:pPr>
              <w:pStyle w:val="45"/>
              <w:rPr>
                <w:rFonts w:hint="default"/>
              </w:rPr>
            </w:pPr>
            <w:r>
              <w:t>环境风险</w:t>
            </w:r>
          </w:p>
        </w:tc>
        <w:tc>
          <w:tcPr>
            <w:tcW w:w="739" w:type="pct"/>
            <w:vAlign w:val="center"/>
          </w:tcPr>
          <w:p w14:paraId="5500357A">
            <w:pPr>
              <w:pStyle w:val="45"/>
              <w:rPr>
                <w:rFonts w:hint="default"/>
              </w:rPr>
            </w:pPr>
            <w:r>
              <w:t>一级</w:t>
            </w:r>
          </w:p>
        </w:tc>
        <w:tc>
          <w:tcPr>
            <w:tcW w:w="3377" w:type="pct"/>
            <w:vAlign w:val="center"/>
          </w:tcPr>
          <w:p w14:paraId="32402DB5">
            <w:pPr>
              <w:pStyle w:val="45"/>
              <w:rPr>
                <w:rFonts w:hint="default"/>
              </w:rPr>
            </w:pPr>
            <w:r>
              <w:rPr>
                <w:rFonts w:hint="eastAsia"/>
                <w:kern w:val="24"/>
              </w:rPr>
              <w:t xml:space="preserve">距离项目边界5km </w:t>
            </w:r>
            <w:r>
              <w:rPr>
                <w:kern w:val="24"/>
              </w:rPr>
              <w:t>的</w:t>
            </w:r>
            <w:r>
              <w:rPr>
                <w:rFonts w:hint="eastAsia"/>
                <w:kern w:val="24"/>
                <w:lang w:val="en-US" w:eastAsia="zh-CN"/>
              </w:rPr>
              <w:t>圆形</w:t>
            </w:r>
            <w:r>
              <w:rPr>
                <w:kern w:val="24"/>
              </w:rPr>
              <w:t>范围内</w:t>
            </w:r>
          </w:p>
        </w:tc>
      </w:tr>
    </w:tbl>
    <w:p w14:paraId="29E3DB2A">
      <w:pPr>
        <w:spacing w:line="240" w:lineRule="auto"/>
        <w:ind w:firstLine="0" w:firstLineChars="0"/>
      </w:pPr>
    </w:p>
    <w:p w14:paraId="2AB2144B">
      <w:pPr>
        <w:pStyle w:val="3"/>
      </w:pPr>
      <w:bookmarkStart w:id="106" w:name="_Toc31999"/>
      <w:bookmarkStart w:id="107" w:name="_Toc4706"/>
      <w:bookmarkStart w:id="108" w:name="_Toc1504"/>
      <w:r>
        <w:rPr>
          <w:rFonts w:hint="eastAsia"/>
        </w:rPr>
        <w:t>评价重点</w:t>
      </w:r>
      <w:bookmarkEnd w:id="106"/>
      <w:bookmarkEnd w:id="107"/>
      <w:bookmarkEnd w:id="108"/>
    </w:p>
    <w:p w14:paraId="12A1A3BC">
      <w:pPr>
        <w:ind w:firstLine="480"/>
      </w:pPr>
      <w:r>
        <w:rPr>
          <w:rFonts w:hint="eastAsia"/>
        </w:rPr>
        <w:t>根据本目污染物排放特征及项目所在区域环境特点，确定本次评价的重点时段为运营期，评价重点内容为：</w:t>
      </w:r>
    </w:p>
    <w:p w14:paraId="0030AE2A">
      <w:pPr>
        <w:pStyle w:val="26"/>
        <w:ind w:firstLine="480"/>
      </w:pPr>
      <w:r>
        <w:rPr>
          <w:rFonts w:hint="eastAsia"/>
        </w:rPr>
        <w:t>（1）工程分析，结合工艺过程，对物料、水等进行平衡计算，并类比相似生产企业实际运行情况，分析生产过程中“三废”及噪声排放情况；</w:t>
      </w:r>
    </w:p>
    <w:p w14:paraId="4883F6B0">
      <w:pPr>
        <w:pStyle w:val="26"/>
        <w:ind w:firstLine="480"/>
      </w:pPr>
      <w:r>
        <w:rPr>
          <w:rFonts w:hint="eastAsia"/>
        </w:rPr>
        <w:t>（2）环境影响预测及评价，结合生产过程，重点分析各类水污染物、大气污染物排放对周围环境的影响；</w:t>
      </w:r>
    </w:p>
    <w:p w14:paraId="62FDDE73">
      <w:pPr>
        <w:pStyle w:val="26"/>
        <w:ind w:firstLine="480"/>
      </w:pPr>
      <w:r>
        <w:rPr>
          <w:rFonts w:hint="eastAsia"/>
        </w:rPr>
        <w:t>（3）环境保护措施及其可行性论证，根据项目污染物排放特征，对可研设计的治理措施可行性进行分析，并提出推荐方案，确保本项目各污染物达标排放；</w:t>
      </w:r>
    </w:p>
    <w:p w14:paraId="55AA92E9">
      <w:pPr>
        <w:ind w:firstLine="480"/>
      </w:pPr>
      <w:r>
        <w:rPr>
          <w:rFonts w:hint="eastAsia"/>
        </w:rPr>
        <w:t>（4）环境风险评价，结合生产工艺特点，分析确定本项目风险因素，预测风险发生时对环境造成的危害，提出环境风险防范措施；</w:t>
      </w:r>
    </w:p>
    <w:p w14:paraId="29CEDFB6">
      <w:pPr>
        <w:ind w:firstLine="480"/>
      </w:pPr>
      <w:r>
        <w:rPr>
          <w:rFonts w:hint="eastAsia"/>
        </w:rPr>
        <w:t>（5）项目建设与国家和地方环保政策、规划的相符性分析。</w:t>
      </w:r>
    </w:p>
    <w:p w14:paraId="4EF802EB">
      <w:pPr>
        <w:pStyle w:val="3"/>
      </w:pPr>
      <w:bookmarkStart w:id="109" w:name="_Toc10524"/>
      <w:bookmarkStart w:id="110" w:name="_Toc13687"/>
      <w:bookmarkStart w:id="111" w:name="_Toc21706"/>
      <w:r>
        <w:rPr>
          <w:rFonts w:hint="eastAsia"/>
        </w:rPr>
        <w:t>主要环境保护目标</w:t>
      </w:r>
      <w:bookmarkEnd w:id="109"/>
      <w:bookmarkEnd w:id="110"/>
      <w:bookmarkEnd w:id="111"/>
    </w:p>
    <w:p w14:paraId="755638C8">
      <w:pPr>
        <w:ind w:firstLine="480"/>
      </w:pPr>
      <w:r>
        <w:t>根据各环境要素的评价范围，结合相关资料及现场踏勘，本项目评价范围内主要环境保护敏感点</w:t>
      </w:r>
      <w:r>
        <w:rPr>
          <w:rFonts w:hint="eastAsia"/>
        </w:rPr>
        <w:t>如下。</w:t>
      </w:r>
    </w:p>
    <w:p w14:paraId="42D49FDB">
      <w:pPr>
        <w:pStyle w:val="43"/>
        <w:rPr>
          <w:rFonts w:hint="default"/>
        </w:rPr>
      </w:pPr>
      <w:r>
        <w:t>项目环境保护目标一览表</w:t>
      </w:r>
    </w:p>
    <w:tbl>
      <w:tblPr>
        <w:tblStyle w:val="32"/>
        <w:tblW w:w="5000" w:type="pct"/>
        <w:tblInd w:w="0" w:type="dxa"/>
        <w:tblLayout w:type="autofit"/>
        <w:tblCellMar>
          <w:top w:w="0" w:type="dxa"/>
          <w:left w:w="108" w:type="dxa"/>
          <w:bottom w:w="0" w:type="dxa"/>
          <w:right w:w="108" w:type="dxa"/>
        </w:tblCellMar>
      </w:tblPr>
      <w:tblGrid>
        <w:gridCol w:w="642"/>
        <w:gridCol w:w="431"/>
        <w:gridCol w:w="735"/>
        <w:gridCol w:w="1273"/>
        <w:gridCol w:w="1761"/>
        <w:gridCol w:w="714"/>
        <w:gridCol w:w="714"/>
        <w:gridCol w:w="803"/>
        <w:gridCol w:w="1449"/>
      </w:tblGrid>
      <w:tr w14:paraId="6578498E">
        <w:tblPrEx>
          <w:tblCellMar>
            <w:top w:w="0" w:type="dxa"/>
            <w:left w:w="108" w:type="dxa"/>
            <w:bottom w:w="0" w:type="dxa"/>
            <w:right w:w="108" w:type="dxa"/>
          </w:tblCellMar>
        </w:tblPrEx>
        <w:trPr>
          <w:trHeight w:val="170" w:hRule="atLeast"/>
          <w:tblHeader/>
        </w:trPr>
        <w:tc>
          <w:tcPr>
            <w:tcW w:w="3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AEDD529">
            <w:pPr>
              <w:pStyle w:val="45"/>
              <w:rPr>
                <w:rFonts w:hint="default"/>
                <w:b/>
                <w:bCs/>
              </w:rPr>
            </w:pPr>
            <w:r>
              <w:rPr>
                <w:b/>
                <w:bCs/>
              </w:rPr>
              <w:t>项目</w:t>
            </w:r>
          </w:p>
        </w:tc>
        <w:tc>
          <w:tcPr>
            <w:tcW w:w="684" w:type="pct"/>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0786434">
            <w:pPr>
              <w:pStyle w:val="45"/>
              <w:rPr>
                <w:rFonts w:hint="default"/>
                <w:b/>
                <w:bCs/>
              </w:rPr>
            </w:pPr>
            <w:r>
              <w:rPr>
                <w:b/>
                <w:bCs/>
              </w:rPr>
              <w:t>保护目标</w:t>
            </w:r>
          </w:p>
        </w:tc>
        <w:tc>
          <w:tcPr>
            <w:tcW w:w="74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B262AB2">
            <w:pPr>
              <w:pStyle w:val="45"/>
              <w:rPr>
                <w:rFonts w:hint="default"/>
                <w:b/>
                <w:bCs/>
              </w:rPr>
            </w:pPr>
            <w:r>
              <w:rPr>
                <w:b/>
                <w:bCs/>
              </w:rPr>
              <w:t>规模</w:t>
            </w:r>
          </w:p>
        </w:tc>
        <w:tc>
          <w:tcPr>
            <w:tcW w:w="103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579B247">
            <w:pPr>
              <w:pStyle w:val="45"/>
              <w:rPr>
                <w:rFonts w:hint="default"/>
                <w:b/>
                <w:bCs/>
              </w:rPr>
            </w:pPr>
            <w:r>
              <w:rPr>
                <w:b/>
                <w:bCs/>
              </w:rPr>
              <w:t>相对拟建工程厂界方位及距离</w:t>
            </w:r>
          </w:p>
        </w:tc>
        <w:tc>
          <w:tcPr>
            <w:tcW w:w="83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6EA07CA">
            <w:pPr>
              <w:pStyle w:val="45"/>
              <w:rPr>
                <w:rFonts w:hint="default"/>
                <w:b/>
                <w:bCs/>
              </w:rPr>
            </w:pPr>
            <w:r>
              <w:rPr>
                <w:b/>
                <w:bCs/>
              </w:rPr>
              <w:t>坐标（项目中心点为坐标原点）</w:t>
            </w:r>
          </w:p>
        </w:tc>
        <w:tc>
          <w:tcPr>
            <w:tcW w:w="47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F658B5E">
            <w:pPr>
              <w:pStyle w:val="45"/>
              <w:rPr>
                <w:rFonts w:hint="default"/>
                <w:b/>
                <w:bCs/>
              </w:rPr>
            </w:pPr>
            <w:r>
              <w:rPr>
                <w:b/>
                <w:bCs/>
              </w:rPr>
              <w:t>高程(m）</w:t>
            </w:r>
          </w:p>
        </w:tc>
        <w:tc>
          <w:tcPr>
            <w:tcW w:w="85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600A5EB">
            <w:pPr>
              <w:pStyle w:val="45"/>
              <w:rPr>
                <w:rFonts w:hint="default"/>
                <w:b/>
                <w:bCs/>
              </w:rPr>
            </w:pPr>
            <w:r>
              <w:rPr>
                <w:b/>
                <w:bCs/>
              </w:rPr>
              <w:t>环境功能及保护级别</w:t>
            </w:r>
          </w:p>
        </w:tc>
      </w:tr>
      <w:tr w14:paraId="473CA203">
        <w:tblPrEx>
          <w:tblCellMar>
            <w:top w:w="0" w:type="dxa"/>
            <w:left w:w="108" w:type="dxa"/>
            <w:bottom w:w="0" w:type="dxa"/>
            <w:right w:w="108" w:type="dxa"/>
          </w:tblCellMar>
        </w:tblPrEx>
        <w:trPr>
          <w:trHeight w:val="170" w:hRule="atLeast"/>
          <w:tblHeader/>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369643">
            <w:pPr>
              <w:pStyle w:val="45"/>
              <w:rPr>
                <w:rFonts w:hint="default"/>
                <w:b/>
                <w:bCs/>
              </w:rPr>
            </w:pPr>
          </w:p>
        </w:tc>
        <w:tc>
          <w:tcPr>
            <w:tcW w:w="684"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9ED763">
            <w:pPr>
              <w:pStyle w:val="45"/>
              <w:rPr>
                <w:rFonts w:hint="default"/>
                <w:b/>
                <w:bCs/>
              </w:rPr>
            </w:pPr>
          </w:p>
        </w:tc>
        <w:tc>
          <w:tcPr>
            <w:tcW w:w="74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EE2D3A">
            <w:pPr>
              <w:pStyle w:val="45"/>
              <w:rPr>
                <w:rFonts w:hint="default"/>
                <w:b/>
                <w:bCs/>
              </w:rPr>
            </w:pPr>
          </w:p>
        </w:tc>
        <w:tc>
          <w:tcPr>
            <w:tcW w:w="10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AED87A">
            <w:pPr>
              <w:pStyle w:val="45"/>
              <w:rPr>
                <w:rFonts w:hint="default"/>
                <w:b/>
                <w:bCs/>
              </w:rPr>
            </w:pP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6A91B6">
            <w:pPr>
              <w:pStyle w:val="45"/>
              <w:rPr>
                <w:rFonts w:hint="default"/>
                <w:b/>
                <w:bCs/>
              </w:rPr>
            </w:pPr>
            <w:r>
              <w:rPr>
                <w:rFonts w:hint="default"/>
                <w:b/>
                <w:bCs/>
              </w:rPr>
              <w:t>X</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8C7A98">
            <w:pPr>
              <w:pStyle w:val="45"/>
              <w:rPr>
                <w:rFonts w:hint="default"/>
                <w:b/>
                <w:bCs/>
              </w:rPr>
            </w:pPr>
            <w:r>
              <w:rPr>
                <w:rFonts w:hint="default"/>
                <w:b/>
                <w:bCs/>
              </w:rPr>
              <w:t>Y</w:t>
            </w:r>
          </w:p>
        </w:tc>
        <w:tc>
          <w:tcPr>
            <w:tcW w:w="4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586827">
            <w:pPr>
              <w:pStyle w:val="45"/>
              <w:rPr>
                <w:rFonts w:hint="default"/>
                <w:b/>
                <w:bCs/>
              </w:rPr>
            </w:pP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BC3C8A">
            <w:pPr>
              <w:pStyle w:val="45"/>
              <w:rPr>
                <w:rFonts w:hint="default"/>
                <w:b/>
                <w:bCs/>
              </w:rPr>
            </w:pPr>
          </w:p>
        </w:tc>
      </w:tr>
      <w:tr w14:paraId="639E0D75">
        <w:tblPrEx>
          <w:tblCellMar>
            <w:top w:w="0" w:type="dxa"/>
            <w:left w:w="108" w:type="dxa"/>
            <w:bottom w:w="0" w:type="dxa"/>
            <w:right w:w="108" w:type="dxa"/>
          </w:tblCellMar>
        </w:tblPrEx>
        <w:trPr>
          <w:trHeight w:val="170" w:hRule="atLeast"/>
        </w:trPr>
        <w:tc>
          <w:tcPr>
            <w:tcW w:w="3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B0C121F">
            <w:pPr>
              <w:pStyle w:val="45"/>
              <w:rPr>
                <w:rFonts w:hint="default"/>
              </w:rPr>
            </w:pPr>
            <w:r>
              <w:t>大气环境、环境风险</w:t>
            </w: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D014E00">
            <w:pPr>
              <w:pStyle w:val="45"/>
              <w:rPr>
                <w:rFonts w:hint="default"/>
              </w:rPr>
            </w:pPr>
            <w:r>
              <w:t>新安村</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C13559">
            <w:pPr>
              <w:pStyle w:val="45"/>
              <w:rPr>
                <w:rFonts w:hint="default"/>
              </w:rPr>
            </w:pPr>
            <w:r>
              <w:t>约</w:t>
            </w:r>
            <w:r>
              <w:rPr>
                <w:rFonts w:hint="default"/>
              </w:rPr>
              <w:t>180</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718588">
            <w:pPr>
              <w:pStyle w:val="45"/>
              <w:rPr>
                <w:rFonts w:hint="default"/>
              </w:rPr>
            </w:pPr>
            <w:r>
              <w:rPr>
                <w:rFonts w:hint="default"/>
              </w:rPr>
              <w:t>N</w:t>
            </w:r>
            <w:r>
              <w:t>，</w:t>
            </w:r>
            <w:r>
              <w:rPr>
                <w:rFonts w:hint="default"/>
              </w:rPr>
              <w:t>1.7~2.5km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E1D853">
            <w:pPr>
              <w:pStyle w:val="45"/>
              <w:rPr>
                <w:rFonts w:hint="default"/>
              </w:rPr>
            </w:pPr>
            <w:r>
              <w:t>313</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692C4B">
            <w:pPr>
              <w:pStyle w:val="45"/>
              <w:rPr>
                <w:rFonts w:hint="default"/>
              </w:rPr>
            </w:pPr>
            <w:r>
              <w:t>1987</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2E93A8">
            <w:pPr>
              <w:pStyle w:val="45"/>
              <w:rPr>
                <w:rFonts w:hint="default"/>
              </w:rPr>
            </w:pPr>
            <w:r>
              <w:t>67</w:t>
            </w:r>
          </w:p>
        </w:tc>
        <w:tc>
          <w:tcPr>
            <w:tcW w:w="85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20A1C5">
            <w:pPr>
              <w:pStyle w:val="45"/>
              <w:rPr>
                <w:rFonts w:hint="default"/>
              </w:rPr>
            </w:pPr>
            <w:r>
              <w:rPr>
                <w:rFonts w:hint="default"/>
              </w:rPr>
              <w:t>GB 3095-2012</w:t>
            </w:r>
            <w:r>
              <w:t>二级标准</w:t>
            </w:r>
          </w:p>
        </w:tc>
      </w:tr>
      <w:tr w14:paraId="66F52020">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E26D66">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0036B68">
            <w:pPr>
              <w:pStyle w:val="45"/>
              <w:rPr>
                <w:rFonts w:hint="default"/>
              </w:rPr>
            </w:pPr>
            <w:r>
              <w:t>松木村</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BB0D9C">
            <w:pPr>
              <w:pStyle w:val="45"/>
              <w:rPr>
                <w:rFonts w:hint="default"/>
              </w:rPr>
            </w:pPr>
            <w:r>
              <w:t>约</w:t>
            </w:r>
            <w:r>
              <w:rPr>
                <w:rFonts w:hint="default"/>
              </w:rPr>
              <w:t>70</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6899AE">
            <w:pPr>
              <w:pStyle w:val="45"/>
              <w:rPr>
                <w:rFonts w:hint="default"/>
              </w:rPr>
            </w:pPr>
            <w:r>
              <w:rPr>
                <w:rFonts w:hint="default"/>
              </w:rPr>
              <w:t>NW</w:t>
            </w:r>
            <w:r>
              <w:t>，</w:t>
            </w:r>
            <w:r>
              <w:rPr>
                <w:rFonts w:hint="default"/>
              </w:rPr>
              <w:t>1.8~3.0km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366144">
            <w:pPr>
              <w:pStyle w:val="45"/>
              <w:rPr>
                <w:rFonts w:hint="default"/>
              </w:rPr>
            </w:pPr>
            <w:r>
              <w:t>-1858</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301F41">
            <w:pPr>
              <w:pStyle w:val="45"/>
              <w:rPr>
                <w:rFonts w:hint="default"/>
              </w:rPr>
            </w:pPr>
            <w:r>
              <w:t>1736</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9E7EE3">
            <w:pPr>
              <w:pStyle w:val="45"/>
              <w:rPr>
                <w:rFonts w:hint="default"/>
              </w:rPr>
            </w:pPr>
            <w:r>
              <w:t>95.29</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0E2BB8">
            <w:pPr>
              <w:pStyle w:val="45"/>
              <w:rPr>
                <w:rFonts w:hint="default"/>
              </w:rPr>
            </w:pPr>
          </w:p>
        </w:tc>
      </w:tr>
      <w:tr w14:paraId="38134AAA">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3B1BB9">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711E66A">
            <w:pPr>
              <w:pStyle w:val="45"/>
              <w:rPr>
                <w:rFonts w:hint="default"/>
              </w:rPr>
            </w:pPr>
            <w:r>
              <w:t>金源小学</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9DFB28">
            <w:pPr>
              <w:pStyle w:val="45"/>
              <w:rPr>
                <w:rFonts w:hint="default"/>
              </w:rPr>
            </w:pPr>
            <w:r>
              <w:t>约</w:t>
            </w:r>
            <w:r>
              <w:rPr>
                <w:rFonts w:hint="default"/>
              </w:rPr>
              <w:t>300</w:t>
            </w:r>
            <w:r>
              <w:t>人</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2D76FF">
            <w:pPr>
              <w:pStyle w:val="45"/>
              <w:rPr>
                <w:rFonts w:hint="default"/>
              </w:rPr>
            </w:pPr>
            <w:r>
              <w:rPr>
                <w:rFonts w:hint="default"/>
              </w:rPr>
              <w:t>NW,2.2~2.5km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9799A9">
            <w:pPr>
              <w:pStyle w:val="45"/>
              <w:rPr>
                <w:rFonts w:hint="default"/>
              </w:rPr>
            </w:pPr>
            <w:r>
              <w:t>-2283</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48C6CB">
            <w:pPr>
              <w:pStyle w:val="45"/>
              <w:rPr>
                <w:rFonts w:hint="default"/>
              </w:rPr>
            </w:pPr>
            <w:r>
              <w:t>694</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D620F6">
            <w:pPr>
              <w:pStyle w:val="45"/>
              <w:rPr>
                <w:rFonts w:hint="default"/>
              </w:rPr>
            </w:pPr>
            <w:r>
              <w:t>93.73</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FD55DA">
            <w:pPr>
              <w:pStyle w:val="45"/>
              <w:rPr>
                <w:rFonts w:hint="default"/>
              </w:rPr>
            </w:pPr>
          </w:p>
        </w:tc>
      </w:tr>
      <w:tr w14:paraId="15031014">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B40A47">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953729E">
            <w:pPr>
              <w:pStyle w:val="45"/>
              <w:rPr>
                <w:rFonts w:hint="default"/>
              </w:rPr>
            </w:pPr>
            <w:r>
              <w:t>金源社区安置房</w:t>
            </w:r>
            <w:r>
              <w:rPr>
                <w:rFonts w:hint="default"/>
              </w:rPr>
              <w:t>2</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B5BE11">
            <w:pPr>
              <w:pStyle w:val="45"/>
              <w:rPr>
                <w:rFonts w:hint="default"/>
              </w:rPr>
            </w:pPr>
            <w:r>
              <w:t>约</w:t>
            </w:r>
            <w:r>
              <w:rPr>
                <w:rFonts w:hint="default"/>
              </w:rPr>
              <w:t>576</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E14A97">
            <w:pPr>
              <w:pStyle w:val="45"/>
              <w:rPr>
                <w:rFonts w:hint="default"/>
              </w:rPr>
            </w:pPr>
            <w:r>
              <w:rPr>
                <w:rFonts w:hint="default"/>
              </w:rPr>
              <w:t>NW,2.1~2.3km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DE0CC4">
            <w:pPr>
              <w:pStyle w:val="45"/>
              <w:rPr>
                <w:rFonts w:hint="default"/>
              </w:rPr>
            </w:pPr>
            <w:r>
              <w:t>-2031</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9F86EE">
            <w:pPr>
              <w:pStyle w:val="45"/>
              <w:rPr>
                <w:rFonts w:hint="default"/>
              </w:rPr>
            </w:pPr>
            <w:r>
              <w:t>824</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23EFA5">
            <w:pPr>
              <w:pStyle w:val="45"/>
              <w:rPr>
                <w:rFonts w:hint="default"/>
              </w:rPr>
            </w:pPr>
            <w:r>
              <w:t>75.09</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F8C364">
            <w:pPr>
              <w:pStyle w:val="45"/>
              <w:rPr>
                <w:rFonts w:hint="default"/>
              </w:rPr>
            </w:pPr>
          </w:p>
        </w:tc>
      </w:tr>
      <w:tr w14:paraId="0B3F42AA">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12A127">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C7C1FBF">
            <w:pPr>
              <w:pStyle w:val="45"/>
              <w:rPr>
                <w:rFonts w:hint="default"/>
              </w:rPr>
            </w:pPr>
            <w:r>
              <w:t>金源社区医院</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AD5B9D">
            <w:pPr>
              <w:pStyle w:val="45"/>
              <w:rPr>
                <w:rFonts w:hint="default"/>
              </w:rPr>
            </w:pPr>
            <w:r>
              <w:t>约</w:t>
            </w:r>
            <w:r>
              <w:rPr>
                <w:rFonts w:hint="default"/>
              </w:rPr>
              <w:t>200</w:t>
            </w:r>
            <w:r>
              <w:t>职工</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576300">
            <w:pPr>
              <w:pStyle w:val="45"/>
              <w:rPr>
                <w:rFonts w:hint="default"/>
              </w:rPr>
            </w:pPr>
            <w:r>
              <w:rPr>
                <w:rFonts w:hint="default"/>
              </w:rPr>
              <w:t>NW,1.9~2.1km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9600B8">
            <w:pPr>
              <w:pStyle w:val="45"/>
              <w:rPr>
                <w:rFonts w:hint="default"/>
              </w:rPr>
            </w:pPr>
            <w:r>
              <w:t>-1875</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EF491A">
            <w:pPr>
              <w:pStyle w:val="45"/>
              <w:rPr>
                <w:rFonts w:hint="default"/>
              </w:rPr>
            </w:pPr>
            <w:r>
              <w:t>738</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AE4605">
            <w:pPr>
              <w:pStyle w:val="45"/>
              <w:rPr>
                <w:rFonts w:hint="default"/>
              </w:rPr>
            </w:pPr>
            <w:r>
              <w:t>77.89</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EF41D4">
            <w:pPr>
              <w:pStyle w:val="45"/>
              <w:rPr>
                <w:rFonts w:hint="default"/>
              </w:rPr>
            </w:pPr>
          </w:p>
        </w:tc>
      </w:tr>
      <w:tr w14:paraId="54C88684">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177127">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CCAD12C">
            <w:pPr>
              <w:pStyle w:val="45"/>
              <w:rPr>
                <w:rFonts w:hint="default"/>
              </w:rPr>
            </w:pPr>
            <w:r>
              <w:t>金源社区安置房</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1EEBA0">
            <w:pPr>
              <w:pStyle w:val="45"/>
              <w:rPr>
                <w:rFonts w:hint="default"/>
              </w:rPr>
            </w:pPr>
            <w:r>
              <w:t>约</w:t>
            </w:r>
            <w:r>
              <w:rPr>
                <w:rFonts w:hint="default"/>
              </w:rPr>
              <w:t>220</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6F475C">
            <w:pPr>
              <w:pStyle w:val="45"/>
              <w:rPr>
                <w:rFonts w:hint="default"/>
              </w:rPr>
            </w:pPr>
            <w:r>
              <w:rPr>
                <w:rFonts w:hint="default"/>
              </w:rPr>
              <w:t>W,1.7~2.4km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088B95">
            <w:pPr>
              <w:pStyle w:val="45"/>
              <w:rPr>
                <w:rFonts w:hint="default"/>
              </w:rPr>
            </w:pPr>
            <w:r>
              <w:t>-2083</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BD236A">
            <w:pPr>
              <w:pStyle w:val="45"/>
              <w:rPr>
                <w:rFonts w:hint="default"/>
              </w:rPr>
            </w:pPr>
            <w:r>
              <w:t>356</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877727">
            <w:pPr>
              <w:pStyle w:val="45"/>
              <w:rPr>
                <w:rFonts w:hint="default"/>
              </w:rPr>
            </w:pPr>
            <w:r>
              <w:t>103.25</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BBB8C4">
            <w:pPr>
              <w:pStyle w:val="45"/>
              <w:rPr>
                <w:rFonts w:hint="default"/>
              </w:rPr>
            </w:pPr>
          </w:p>
        </w:tc>
      </w:tr>
      <w:tr w14:paraId="1EBC8599">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9FAE99">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0ED1822">
            <w:pPr>
              <w:pStyle w:val="45"/>
              <w:rPr>
                <w:rFonts w:hint="default"/>
              </w:rPr>
            </w:pPr>
            <w:r>
              <w:t>湖南工商职业学院</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CBDF70">
            <w:pPr>
              <w:pStyle w:val="45"/>
              <w:rPr>
                <w:rFonts w:hint="default"/>
              </w:rPr>
            </w:pPr>
            <w:r>
              <w:t>约</w:t>
            </w:r>
            <w:r>
              <w:rPr>
                <w:rFonts w:hint="default"/>
              </w:rPr>
              <w:t>2500</w:t>
            </w:r>
            <w:r>
              <w:t>人</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121E34">
            <w:pPr>
              <w:pStyle w:val="45"/>
              <w:rPr>
                <w:rFonts w:hint="default"/>
              </w:rPr>
            </w:pPr>
            <w:r>
              <w:rPr>
                <w:rFonts w:hint="default"/>
              </w:rPr>
              <w:t>W,1.8~2.4km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8A60D8">
            <w:pPr>
              <w:pStyle w:val="45"/>
              <w:rPr>
                <w:rFonts w:hint="default"/>
              </w:rPr>
            </w:pPr>
            <w:r>
              <w:t>-2214</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25A299">
            <w:pPr>
              <w:pStyle w:val="45"/>
              <w:rPr>
                <w:rFonts w:hint="default"/>
              </w:rPr>
            </w:pPr>
            <w:r>
              <w:t>87</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AC0270">
            <w:pPr>
              <w:pStyle w:val="45"/>
              <w:rPr>
                <w:rFonts w:hint="default"/>
              </w:rPr>
            </w:pPr>
            <w:r>
              <w:t>103.03</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343034">
            <w:pPr>
              <w:pStyle w:val="45"/>
              <w:rPr>
                <w:rFonts w:hint="default"/>
              </w:rPr>
            </w:pPr>
          </w:p>
        </w:tc>
      </w:tr>
      <w:tr w14:paraId="69012BD0">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9D6586">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6C59794">
            <w:pPr>
              <w:pStyle w:val="45"/>
              <w:rPr>
                <w:rFonts w:hint="default"/>
              </w:rPr>
            </w:pPr>
            <w:r>
              <w:t>园区管委会</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CD1CA9">
            <w:pPr>
              <w:pStyle w:val="45"/>
              <w:rPr>
                <w:rFonts w:hint="default"/>
              </w:rPr>
            </w:pPr>
            <w:r>
              <w:t>约</w:t>
            </w:r>
            <w:r>
              <w:rPr>
                <w:rFonts w:hint="default"/>
              </w:rPr>
              <w:t>150</w:t>
            </w:r>
            <w:r>
              <w:t>人</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6E7A80">
            <w:pPr>
              <w:pStyle w:val="45"/>
              <w:rPr>
                <w:rFonts w:hint="default"/>
              </w:rPr>
            </w:pPr>
            <w:r>
              <w:rPr>
                <w:rFonts w:hint="default"/>
              </w:rPr>
              <w:t>W,1.8~1.9km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6A2263">
            <w:pPr>
              <w:pStyle w:val="45"/>
              <w:rPr>
                <w:rFonts w:hint="default"/>
              </w:rPr>
            </w:pPr>
            <w:r>
              <w:t>-1884</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94C3DB">
            <w:pPr>
              <w:pStyle w:val="45"/>
              <w:rPr>
                <w:rFonts w:hint="default"/>
              </w:rPr>
            </w:pPr>
            <w:r>
              <w:t>-235</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C6AD4B">
            <w:pPr>
              <w:pStyle w:val="45"/>
              <w:rPr>
                <w:rFonts w:hint="default"/>
              </w:rPr>
            </w:pPr>
            <w:r>
              <w:t>80.74</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6842FA">
            <w:pPr>
              <w:pStyle w:val="45"/>
              <w:rPr>
                <w:rFonts w:hint="default"/>
              </w:rPr>
            </w:pPr>
          </w:p>
        </w:tc>
      </w:tr>
      <w:tr w14:paraId="15AE7FAA">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40A4D2">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B18CC34">
            <w:pPr>
              <w:pStyle w:val="45"/>
              <w:rPr>
                <w:rFonts w:hint="default"/>
              </w:rPr>
            </w:pPr>
            <w:r>
              <w:t>松木中学</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DDFDE6">
            <w:pPr>
              <w:pStyle w:val="45"/>
              <w:rPr>
                <w:rFonts w:hint="default"/>
              </w:rPr>
            </w:pPr>
            <w:r>
              <w:t>约</w:t>
            </w:r>
            <w:r>
              <w:rPr>
                <w:rFonts w:hint="default"/>
              </w:rPr>
              <w:t>400</w:t>
            </w:r>
            <w:r>
              <w:t>人</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8B1340">
            <w:pPr>
              <w:pStyle w:val="45"/>
              <w:rPr>
                <w:rFonts w:hint="default"/>
              </w:rPr>
            </w:pPr>
            <w:r>
              <w:rPr>
                <w:rFonts w:hint="default"/>
              </w:rPr>
              <w:t>W,2.2~2.4km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6EF94C">
            <w:pPr>
              <w:pStyle w:val="45"/>
              <w:rPr>
                <w:rFonts w:hint="default"/>
              </w:rPr>
            </w:pPr>
            <w:r>
              <w:t>-2352</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32864D">
            <w:pPr>
              <w:pStyle w:val="45"/>
              <w:rPr>
                <w:rFonts w:hint="default"/>
              </w:rPr>
            </w:pPr>
            <w:r>
              <w:t>-87</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CB1F7F">
            <w:pPr>
              <w:pStyle w:val="45"/>
              <w:rPr>
                <w:rFonts w:hint="default"/>
              </w:rPr>
            </w:pPr>
            <w:r>
              <w:t>93.92</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F07680">
            <w:pPr>
              <w:pStyle w:val="45"/>
              <w:rPr>
                <w:rFonts w:hint="default"/>
              </w:rPr>
            </w:pPr>
          </w:p>
        </w:tc>
      </w:tr>
      <w:tr w14:paraId="2D86C4BF">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1A96C0">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5D44FC9">
            <w:pPr>
              <w:pStyle w:val="45"/>
              <w:rPr>
                <w:rFonts w:hint="default"/>
              </w:rPr>
            </w:pPr>
            <w:r>
              <w:t>松木村</w:t>
            </w:r>
            <w:r>
              <w:rPr>
                <w:rFonts w:hint="default"/>
              </w:rPr>
              <w:t>2</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72C0FA">
            <w:pPr>
              <w:pStyle w:val="45"/>
              <w:rPr>
                <w:rFonts w:hint="default"/>
              </w:rPr>
            </w:pPr>
            <w:r>
              <w:t>约</w:t>
            </w:r>
            <w:r>
              <w:rPr>
                <w:rFonts w:hint="default"/>
              </w:rPr>
              <w:t>50</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189B40">
            <w:pPr>
              <w:pStyle w:val="45"/>
              <w:rPr>
                <w:rFonts w:hint="default"/>
              </w:rPr>
            </w:pPr>
            <w:r>
              <w:rPr>
                <w:rFonts w:hint="default"/>
              </w:rPr>
              <w:t>SW,1.9~2.5km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D52B53">
            <w:pPr>
              <w:pStyle w:val="45"/>
              <w:rPr>
                <w:rFonts w:hint="default"/>
              </w:rPr>
            </w:pPr>
            <w:r>
              <w:t>-2187</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E97B2C">
            <w:pPr>
              <w:pStyle w:val="45"/>
              <w:rPr>
                <w:rFonts w:hint="default"/>
              </w:rPr>
            </w:pPr>
            <w:r>
              <w:t>-356</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91DF5C">
            <w:pPr>
              <w:pStyle w:val="45"/>
              <w:rPr>
                <w:rFonts w:hint="default"/>
              </w:rPr>
            </w:pPr>
            <w:r>
              <w:t>89.34</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F4E0FF">
            <w:pPr>
              <w:pStyle w:val="45"/>
              <w:rPr>
                <w:rFonts w:hint="default"/>
              </w:rPr>
            </w:pPr>
          </w:p>
        </w:tc>
      </w:tr>
      <w:tr w14:paraId="1072F146">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14EE51">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9E32159">
            <w:pPr>
              <w:pStyle w:val="45"/>
              <w:rPr>
                <w:rFonts w:hint="default"/>
              </w:rPr>
            </w:pPr>
            <w:r>
              <w:t>园区安置房</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6327B4">
            <w:pPr>
              <w:pStyle w:val="45"/>
              <w:rPr>
                <w:rFonts w:hint="default"/>
              </w:rPr>
            </w:pPr>
            <w:r>
              <w:t>约</w:t>
            </w:r>
            <w:r>
              <w:rPr>
                <w:rFonts w:hint="default"/>
              </w:rPr>
              <w:t>1356</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654286">
            <w:pPr>
              <w:pStyle w:val="45"/>
              <w:rPr>
                <w:rFonts w:hint="default"/>
              </w:rPr>
            </w:pPr>
            <w:r>
              <w:rPr>
                <w:rFonts w:hint="default"/>
              </w:rPr>
              <w:t>SW,1.2~1.7km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667391">
            <w:pPr>
              <w:pStyle w:val="45"/>
              <w:rPr>
                <w:rFonts w:hint="default"/>
              </w:rPr>
            </w:pPr>
            <w:r>
              <w:t>-1441</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A77F70">
            <w:pPr>
              <w:pStyle w:val="45"/>
              <w:rPr>
                <w:rFonts w:hint="default"/>
              </w:rPr>
            </w:pPr>
            <w:r>
              <w:t>-261</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84735B">
            <w:pPr>
              <w:pStyle w:val="45"/>
              <w:rPr>
                <w:rFonts w:hint="default"/>
              </w:rPr>
            </w:pPr>
            <w:r>
              <w:t>84.87</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F1B330">
            <w:pPr>
              <w:pStyle w:val="45"/>
              <w:rPr>
                <w:rFonts w:hint="default"/>
              </w:rPr>
            </w:pPr>
          </w:p>
        </w:tc>
      </w:tr>
      <w:tr w14:paraId="2D0898E7">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061F2F">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B53446B">
            <w:pPr>
              <w:pStyle w:val="45"/>
              <w:rPr>
                <w:rFonts w:hint="default"/>
              </w:rPr>
            </w:pPr>
            <w:r>
              <w:t>友谊村</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B4F6F3">
            <w:pPr>
              <w:pStyle w:val="45"/>
              <w:rPr>
                <w:rFonts w:hint="default"/>
              </w:rPr>
            </w:pPr>
            <w:r>
              <w:t>约</w:t>
            </w:r>
            <w:r>
              <w:rPr>
                <w:rFonts w:hint="default"/>
              </w:rPr>
              <w:t>152</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13CF18">
            <w:pPr>
              <w:pStyle w:val="45"/>
              <w:rPr>
                <w:rFonts w:hint="default"/>
              </w:rPr>
            </w:pPr>
            <w:r>
              <w:rPr>
                <w:rFonts w:hint="default"/>
              </w:rPr>
              <w:t>S,0.8~2.4km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822A38">
            <w:pPr>
              <w:pStyle w:val="45"/>
              <w:rPr>
                <w:rFonts w:hint="default"/>
              </w:rPr>
            </w:pPr>
            <w:r>
              <w:t>26</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34B03A">
            <w:pPr>
              <w:pStyle w:val="45"/>
              <w:rPr>
                <w:rFonts w:hint="default"/>
              </w:rPr>
            </w:pPr>
            <w:r>
              <w:t>-1415</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98E0A3">
            <w:pPr>
              <w:pStyle w:val="45"/>
              <w:rPr>
                <w:rFonts w:hint="default"/>
              </w:rPr>
            </w:pPr>
            <w:r>
              <w:t>73.39</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ED0340">
            <w:pPr>
              <w:pStyle w:val="45"/>
              <w:rPr>
                <w:rFonts w:hint="default"/>
              </w:rPr>
            </w:pPr>
          </w:p>
        </w:tc>
      </w:tr>
      <w:tr w14:paraId="20D3705E">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3C6FAF">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F474E29">
            <w:pPr>
              <w:pStyle w:val="45"/>
              <w:rPr>
                <w:rFonts w:hint="default"/>
              </w:rPr>
            </w:pPr>
            <w:r>
              <w:t>龙谊村</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C58258">
            <w:pPr>
              <w:pStyle w:val="45"/>
              <w:rPr>
                <w:rFonts w:hint="default"/>
              </w:rPr>
            </w:pPr>
            <w:r>
              <w:t>约</w:t>
            </w:r>
            <w:r>
              <w:rPr>
                <w:rFonts w:hint="default"/>
              </w:rPr>
              <w:t>213</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3F720F">
            <w:pPr>
              <w:pStyle w:val="45"/>
              <w:rPr>
                <w:rFonts w:hint="default"/>
              </w:rPr>
            </w:pPr>
            <w:r>
              <w:rPr>
                <w:rFonts w:hint="default"/>
              </w:rPr>
              <w:t>SE,0.8~2.3km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ECD50D">
            <w:pPr>
              <w:pStyle w:val="45"/>
              <w:rPr>
                <w:rFonts w:hint="default"/>
              </w:rPr>
            </w:pPr>
            <w:r>
              <w:t>972</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C9B12E">
            <w:pPr>
              <w:pStyle w:val="45"/>
              <w:rPr>
                <w:rFonts w:hint="default"/>
              </w:rPr>
            </w:pPr>
            <w:r>
              <w:t>-1311</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7EF4CC">
            <w:pPr>
              <w:pStyle w:val="45"/>
              <w:rPr>
                <w:rFonts w:hint="default"/>
              </w:rPr>
            </w:pPr>
            <w:r>
              <w:t>62.26</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70CC31">
            <w:pPr>
              <w:pStyle w:val="45"/>
              <w:rPr>
                <w:rFonts w:hint="default"/>
              </w:rPr>
            </w:pPr>
          </w:p>
        </w:tc>
      </w:tr>
      <w:tr w14:paraId="3D952A18">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AFE43F">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DC47B2C">
            <w:pPr>
              <w:pStyle w:val="45"/>
              <w:rPr>
                <w:rFonts w:hint="default"/>
              </w:rPr>
            </w:pPr>
            <w:r>
              <w:t>友爱村</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FF3F04">
            <w:pPr>
              <w:pStyle w:val="45"/>
              <w:rPr>
                <w:rFonts w:hint="default"/>
              </w:rPr>
            </w:pPr>
            <w:r>
              <w:t>约</w:t>
            </w:r>
            <w:r>
              <w:rPr>
                <w:rFonts w:hint="default"/>
              </w:rPr>
              <w:t>2000</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FCFE05">
            <w:pPr>
              <w:pStyle w:val="45"/>
              <w:rPr>
                <w:rFonts w:hint="default"/>
              </w:rPr>
            </w:pPr>
            <w:r>
              <w:rPr>
                <w:rFonts w:hint="default"/>
              </w:rPr>
              <w:t>SE,2.3~2.9km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BB0E4A">
            <w:pPr>
              <w:pStyle w:val="45"/>
              <w:rPr>
                <w:rFonts w:hint="default"/>
              </w:rPr>
            </w:pPr>
            <w:r>
              <w:t>1128</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26CBD3">
            <w:pPr>
              <w:pStyle w:val="45"/>
              <w:rPr>
                <w:rFonts w:hint="default"/>
              </w:rPr>
            </w:pPr>
            <w:r>
              <w:t>-2170</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189E12">
            <w:pPr>
              <w:pStyle w:val="45"/>
              <w:rPr>
                <w:rFonts w:hint="default"/>
              </w:rPr>
            </w:pPr>
            <w:r>
              <w:t>54.78</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395BC2">
            <w:pPr>
              <w:pStyle w:val="45"/>
              <w:rPr>
                <w:rFonts w:hint="default"/>
              </w:rPr>
            </w:pPr>
          </w:p>
        </w:tc>
      </w:tr>
      <w:tr w14:paraId="55BA09B2">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6CCD45">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E9FB4C7">
            <w:pPr>
              <w:pStyle w:val="45"/>
              <w:rPr>
                <w:rFonts w:hint="default"/>
              </w:rPr>
            </w:pPr>
            <w:r>
              <w:t>江霞村</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470006">
            <w:pPr>
              <w:pStyle w:val="45"/>
              <w:rPr>
                <w:rFonts w:hint="default"/>
              </w:rPr>
            </w:pPr>
            <w:r>
              <w:t>约</w:t>
            </w:r>
            <w:r>
              <w:rPr>
                <w:rFonts w:hint="default"/>
              </w:rPr>
              <w:t>180</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500A9D">
            <w:pPr>
              <w:pStyle w:val="45"/>
              <w:rPr>
                <w:rFonts w:hint="default"/>
              </w:rPr>
            </w:pPr>
            <w:r>
              <w:rPr>
                <w:rFonts w:hint="default"/>
              </w:rPr>
              <w:t>SE,2.0~2.8km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7ECCDE">
            <w:pPr>
              <w:pStyle w:val="45"/>
              <w:rPr>
                <w:rFonts w:hint="default"/>
              </w:rPr>
            </w:pPr>
            <w:r>
              <w:t>1762</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0B7224">
            <w:pPr>
              <w:pStyle w:val="45"/>
              <w:rPr>
                <w:rFonts w:hint="default"/>
              </w:rPr>
            </w:pPr>
            <w:r>
              <w:t>-1484</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81611A">
            <w:pPr>
              <w:pStyle w:val="45"/>
              <w:rPr>
                <w:rFonts w:hint="default"/>
              </w:rPr>
            </w:pPr>
            <w:r>
              <w:t>59</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A8FAAF">
            <w:pPr>
              <w:pStyle w:val="45"/>
              <w:rPr>
                <w:rFonts w:hint="default"/>
              </w:rPr>
            </w:pPr>
          </w:p>
        </w:tc>
      </w:tr>
      <w:tr w14:paraId="616EF849">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5BF514">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2E148D5">
            <w:pPr>
              <w:pStyle w:val="45"/>
              <w:rPr>
                <w:rFonts w:hint="default"/>
              </w:rPr>
            </w:pPr>
            <w:r>
              <w:t>金兰村</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3D5407">
            <w:pPr>
              <w:pStyle w:val="45"/>
              <w:rPr>
                <w:rFonts w:hint="default"/>
              </w:rPr>
            </w:pPr>
            <w:r>
              <w:t>约</w:t>
            </w:r>
            <w:r>
              <w:rPr>
                <w:rFonts w:hint="default"/>
              </w:rPr>
              <w:t>50</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BB1621">
            <w:pPr>
              <w:pStyle w:val="45"/>
              <w:rPr>
                <w:rFonts w:hint="default"/>
              </w:rPr>
            </w:pPr>
            <w:r>
              <w:rPr>
                <w:rFonts w:hint="default"/>
              </w:rPr>
              <w:t>E,1.5~1.8km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AFE831">
            <w:pPr>
              <w:pStyle w:val="45"/>
              <w:rPr>
                <w:rFonts w:hint="default"/>
              </w:rPr>
            </w:pPr>
            <w:r>
              <w:t>1753</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2D261F">
            <w:pPr>
              <w:pStyle w:val="45"/>
              <w:rPr>
                <w:rFonts w:hint="default"/>
              </w:rPr>
            </w:pPr>
            <w:r>
              <w:t>-261</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78A27B">
            <w:pPr>
              <w:pStyle w:val="45"/>
              <w:rPr>
                <w:rFonts w:hint="default"/>
              </w:rPr>
            </w:pPr>
            <w:r>
              <w:t>58.88</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2580AE">
            <w:pPr>
              <w:pStyle w:val="45"/>
              <w:rPr>
                <w:rFonts w:hint="default"/>
              </w:rPr>
            </w:pPr>
          </w:p>
        </w:tc>
      </w:tr>
      <w:tr w14:paraId="12253A49">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7E56C5">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5934250">
            <w:pPr>
              <w:pStyle w:val="45"/>
              <w:rPr>
                <w:rFonts w:hint="default"/>
              </w:rPr>
            </w:pPr>
            <w:r>
              <w:t>大昌村</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39D670">
            <w:pPr>
              <w:pStyle w:val="45"/>
              <w:rPr>
                <w:rFonts w:hint="default"/>
              </w:rPr>
            </w:pPr>
            <w:r>
              <w:t>约</w:t>
            </w:r>
            <w:r>
              <w:rPr>
                <w:rFonts w:hint="default"/>
              </w:rPr>
              <w:t>330</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A2ACA6">
            <w:pPr>
              <w:pStyle w:val="45"/>
              <w:rPr>
                <w:rFonts w:hint="default"/>
              </w:rPr>
            </w:pPr>
            <w:r>
              <w:rPr>
                <w:rFonts w:hint="default"/>
              </w:rPr>
              <w:t>NE,2.5~3.5km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8B61F2">
            <w:pPr>
              <w:pStyle w:val="45"/>
              <w:rPr>
                <w:rFonts w:hint="default"/>
              </w:rPr>
            </w:pPr>
            <w:r>
              <w:t>1736</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F6AF38">
            <w:pPr>
              <w:pStyle w:val="45"/>
              <w:rPr>
                <w:rFonts w:hint="default"/>
              </w:rPr>
            </w:pPr>
            <w:r>
              <w:t>-200</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74865D">
            <w:pPr>
              <w:pStyle w:val="45"/>
              <w:rPr>
                <w:rFonts w:hint="default"/>
              </w:rPr>
            </w:pPr>
            <w:r>
              <w:t>58.37</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FD4830">
            <w:pPr>
              <w:pStyle w:val="45"/>
              <w:rPr>
                <w:rFonts w:hint="default"/>
              </w:rPr>
            </w:pPr>
          </w:p>
        </w:tc>
      </w:tr>
      <w:tr w14:paraId="0CA721B8">
        <w:tblPrEx>
          <w:tblCellMar>
            <w:top w:w="0" w:type="dxa"/>
            <w:left w:w="108" w:type="dxa"/>
            <w:bottom w:w="0" w:type="dxa"/>
            <w:right w:w="108" w:type="dxa"/>
          </w:tblCellMar>
        </w:tblPrEx>
        <w:trPr>
          <w:trHeight w:val="170" w:hRule="atLeast"/>
        </w:trPr>
        <w:tc>
          <w:tcPr>
            <w:tcW w:w="3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DC08128">
            <w:pPr>
              <w:pStyle w:val="45"/>
              <w:rPr>
                <w:rFonts w:hint="default"/>
              </w:rPr>
            </w:pPr>
            <w:r>
              <w:t>环境风险</w:t>
            </w: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07F86A4">
            <w:pPr>
              <w:pStyle w:val="45"/>
              <w:rPr>
                <w:rFonts w:hint="default"/>
              </w:rPr>
            </w:pPr>
            <w:r>
              <w:t>李坳村</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A02596">
            <w:pPr>
              <w:pStyle w:val="45"/>
              <w:rPr>
                <w:rFonts w:hint="default"/>
              </w:rPr>
            </w:pPr>
            <w:r>
              <w:t>约</w:t>
            </w:r>
            <w:r>
              <w:rPr>
                <w:rFonts w:hint="default"/>
              </w:rPr>
              <w:t>350</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959FA5">
            <w:pPr>
              <w:pStyle w:val="45"/>
              <w:rPr>
                <w:rFonts w:hint="default"/>
              </w:rPr>
            </w:pPr>
            <w:r>
              <w:rPr>
                <w:rFonts w:hint="default"/>
              </w:rPr>
              <w:t>N,4.5~5.0km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6DA08B">
            <w:pPr>
              <w:pStyle w:val="45"/>
              <w:rPr>
                <w:rFonts w:hint="default"/>
              </w:rPr>
            </w:pPr>
            <w:r>
              <w:t>-1168</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120FF2">
            <w:pPr>
              <w:pStyle w:val="45"/>
              <w:rPr>
                <w:rFonts w:hint="default"/>
              </w:rPr>
            </w:pPr>
            <w:r>
              <w:t>4622</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AE9B51">
            <w:pPr>
              <w:pStyle w:val="45"/>
              <w:rPr>
                <w:rFonts w:hint="default"/>
              </w:rPr>
            </w:pPr>
            <w:r>
              <w:t>53.61</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3956DD">
            <w:pPr>
              <w:pStyle w:val="45"/>
              <w:rPr>
                <w:rFonts w:hint="default"/>
              </w:rPr>
            </w:pPr>
          </w:p>
        </w:tc>
      </w:tr>
      <w:tr w14:paraId="297DCE10">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17340B">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5E9D96B">
            <w:pPr>
              <w:pStyle w:val="45"/>
              <w:rPr>
                <w:rFonts w:hint="default"/>
              </w:rPr>
            </w:pPr>
            <w:r>
              <w:t>塔兴村</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B7862C">
            <w:pPr>
              <w:pStyle w:val="45"/>
              <w:rPr>
                <w:rFonts w:hint="default"/>
              </w:rPr>
            </w:pPr>
            <w:r>
              <w:t>约</w:t>
            </w:r>
            <w:r>
              <w:rPr>
                <w:rFonts w:hint="default"/>
              </w:rPr>
              <w:t>180</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E63722">
            <w:pPr>
              <w:pStyle w:val="45"/>
              <w:rPr>
                <w:rFonts w:hint="default"/>
              </w:rPr>
            </w:pPr>
            <w:r>
              <w:rPr>
                <w:rFonts w:hint="default"/>
              </w:rPr>
              <w:t>N,3.3~5.0km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311F7B">
            <w:pPr>
              <w:pStyle w:val="45"/>
              <w:rPr>
                <w:rFonts w:hint="default"/>
              </w:rPr>
            </w:pPr>
            <w:r>
              <w:t>430</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FF6358">
            <w:pPr>
              <w:pStyle w:val="45"/>
              <w:rPr>
                <w:rFonts w:hint="default"/>
              </w:rPr>
            </w:pPr>
            <w:r>
              <w:t>3849</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78A17F">
            <w:pPr>
              <w:pStyle w:val="45"/>
              <w:rPr>
                <w:rFonts w:hint="default"/>
              </w:rPr>
            </w:pPr>
            <w:r>
              <w:t>66.69</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B063D1">
            <w:pPr>
              <w:pStyle w:val="45"/>
              <w:rPr>
                <w:rFonts w:hint="default"/>
              </w:rPr>
            </w:pPr>
          </w:p>
        </w:tc>
      </w:tr>
      <w:tr w14:paraId="430A1F02">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DC1537">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298F93B">
            <w:pPr>
              <w:pStyle w:val="45"/>
              <w:rPr>
                <w:rFonts w:hint="default"/>
              </w:rPr>
            </w:pPr>
            <w:r>
              <w:t>三里村</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07656D">
            <w:pPr>
              <w:pStyle w:val="45"/>
              <w:rPr>
                <w:rFonts w:hint="default"/>
              </w:rPr>
            </w:pPr>
            <w:r>
              <w:t>约</w:t>
            </w:r>
            <w:r>
              <w:rPr>
                <w:rFonts w:hint="default"/>
              </w:rPr>
              <w:t>80</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39E71B">
            <w:pPr>
              <w:pStyle w:val="45"/>
              <w:rPr>
                <w:rFonts w:hint="default"/>
              </w:rPr>
            </w:pPr>
            <w:r>
              <w:rPr>
                <w:rFonts w:hint="default"/>
              </w:rPr>
              <w:t>N,3.1~3.6km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A9B52C">
            <w:pPr>
              <w:pStyle w:val="45"/>
              <w:rPr>
                <w:rFonts w:hint="default"/>
              </w:rPr>
            </w:pPr>
            <w:r>
              <w:t>464</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52686D">
            <w:pPr>
              <w:pStyle w:val="45"/>
              <w:rPr>
                <w:rFonts w:hint="default"/>
              </w:rPr>
            </w:pPr>
            <w:r>
              <w:t>3007</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9D26A3">
            <w:pPr>
              <w:pStyle w:val="45"/>
              <w:rPr>
                <w:rFonts w:hint="default"/>
              </w:rPr>
            </w:pPr>
            <w:r>
              <w:t>55.95</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93A17A">
            <w:pPr>
              <w:pStyle w:val="45"/>
              <w:rPr>
                <w:rFonts w:hint="default"/>
              </w:rPr>
            </w:pPr>
          </w:p>
        </w:tc>
      </w:tr>
      <w:tr w14:paraId="0D80B3A1">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AE5A92">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46468C7">
            <w:pPr>
              <w:pStyle w:val="45"/>
              <w:rPr>
                <w:rFonts w:hint="default"/>
              </w:rPr>
            </w:pPr>
            <w:r>
              <w:t>古城村</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A5D11B">
            <w:pPr>
              <w:pStyle w:val="45"/>
              <w:rPr>
                <w:rFonts w:hint="default"/>
              </w:rPr>
            </w:pPr>
            <w:r>
              <w:t>约</w:t>
            </w:r>
            <w:r>
              <w:rPr>
                <w:rFonts w:hint="default"/>
              </w:rPr>
              <w:t>600</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034A51">
            <w:pPr>
              <w:pStyle w:val="45"/>
              <w:rPr>
                <w:rFonts w:hint="default"/>
              </w:rPr>
            </w:pPr>
            <w:r>
              <w:rPr>
                <w:rFonts w:hint="default"/>
              </w:rPr>
              <w:t>NE,3.6~5.0km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1899E7">
            <w:pPr>
              <w:pStyle w:val="45"/>
              <w:rPr>
                <w:rFonts w:hint="default"/>
              </w:rPr>
            </w:pPr>
            <w:r>
              <w:t>2697</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2F653D">
            <w:pPr>
              <w:pStyle w:val="45"/>
              <w:rPr>
                <w:rFonts w:hint="default"/>
              </w:rPr>
            </w:pPr>
            <w:r>
              <w:t>3402</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B49F6F">
            <w:pPr>
              <w:pStyle w:val="45"/>
              <w:rPr>
                <w:rFonts w:hint="default"/>
              </w:rPr>
            </w:pPr>
            <w:r>
              <w:t>68</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56BC93">
            <w:pPr>
              <w:pStyle w:val="45"/>
              <w:rPr>
                <w:rFonts w:hint="default"/>
              </w:rPr>
            </w:pPr>
          </w:p>
        </w:tc>
      </w:tr>
      <w:tr w14:paraId="19CA49AF">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C58569">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C6E3D53">
            <w:pPr>
              <w:pStyle w:val="45"/>
              <w:rPr>
                <w:rFonts w:hint="default"/>
              </w:rPr>
            </w:pPr>
            <w:r>
              <w:t>金甲村</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07ABE1">
            <w:pPr>
              <w:pStyle w:val="45"/>
              <w:rPr>
                <w:rFonts w:hint="default"/>
              </w:rPr>
            </w:pPr>
            <w:r>
              <w:t>约</w:t>
            </w:r>
            <w:r>
              <w:rPr>
                <w:rFonts w:hint="default"/>
              </w:rPr>
              <w:t>800</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C8B081">
            <w:pPr>
              <w:pStyle w:val="45"/>
              <w:rPr>
                <w:rFonts w:hint="default"/>
              </w:rPr>
            </w:pPr>
            <w:r>
              <w:rPr>
                <w:rFonts w:hint="default"/>
              </w:rPr>
              <w:t>E,2.8~5.0km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1990E4">
            <w:pPr>
              <w:pStyle w:val="45"/>
              <w:rPr>
                <w:rFonts w:hint="default"/>
              </w:rPr>
            </w:pPr>
            <w:r>
              <w:t>3866</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A6B65D">
            <w:pPr>
              <w:pStyle w:val="45"/>
              <w:rPr>
                <w:rFonts w:hint="default"/>
              </w:rPr>
            </w:pPr>
            <w:r>
              <w:t>945</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5E008F">
            <w:pPr>
              <w:pStyle w:val="45"/>
              <w:rPr>
                <w:rFonts w:hint="default"/>
              </w:rPr>
            </w:pPr>
            <w:r>
              <w:t>73.51</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8608AE">
            <w:pPr>
              <w:pStyle w:val="45"/>
              <w:rPr>
                <w:rFonts w:hint="default"/>
              </w:rPr>
            </w:pPr>
          </w:p>
        </w:tc>
      </w:tr>
      <w:tr w14:paraId="072B43BC">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374B30">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8A7006E">
            <w:pPr>
              <w:pStyle w:val="45"/>
              <w:rPr>
                <w:rFonts w:hint="default"/>
              </w:rPr>
            </w:pPr>
            <w:r>
              <w:t>藕塘村</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67FD92">
            <w:pPr>
              <w:pStyle w:val="45"/>
              <w:rPr>
                <w:rFonts w:hint="default"/>
              </w:rPr>
            </w:pPr>
            <w:r>
              <w:t>约</w:t>
            </w:r>
            <w:r>
              <w:rPr>
                <w:rFonts w:hint="default"/>
              </w:rPr>
              <w:t>1000</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C263BA">
            <w:pPr>
              <w:pStyle w:val="45"/>
              <w:rPr>
                <w:rFonts w:hint="default"/>
              </w:rPr>
            </w:pPr>
            <w:r>
              <w:rPr>
                <w:rFonts w:hint="default"/>
              </w:rPr>
              <w:t>SE,3.8~5.0km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148755">
            <w:pPr>
              <w:pStyle w:val="45"/>
              <w:rPr>
                <w:rFonts w:hint="default"/>
              </w:rPr>
            </w:pPr>
            <w:r>
              <w:t>3316</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6D82B1">
            <w:pPr>
              <w:pStyle w:val="45"/>
              <w:rPr>
                <w:rFonts w:hint="default"/>
              </w:rPr>
            </w:pPr>
            <w:r>
              <w:t>-2612</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AFCBE4">
            <w:pPr>
              <w:pStyle w:val="45"/>
              <w:rPr>
                <w:rFonts w:hint="default"/>
              </w:rPr>
            </w:pPr>
            <w:r>
              <w:t>106.26</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C14D3D">
            <w:pPr>
              <w:pStyle w:val="45"/>
              <w:rPr>
                <w:rFonts w:hint="default"/>
              </w:rPr>
            </w:pPr>
          </w:p>
        </w:tc>
      </w:tr>
      <w:tr w14:paraId="4014DB83">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856A17">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D729450">
            <w:pPr>
              <w:pStyle w:val="45"/>
              <w:rPr>
                <w:rFonts w:hint="default"/>
              </w:rPr>
            </w:pPr>
            <w:r>
              <w:t>友爱村</w:t>
            </w:r>
            <w:r>
              <w:rPr>
                <w:rFonts w:hint="default"/>
              </w:rPr>
              <w:t>2</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98CC61">
            <w:pPr>
              <w:pStyle w:val="45"/>
              <w:rPr>
                <w:rFonts w:hint="default"/>
              </w:rPr>
            </w:pPr>
            <w:r>
              <w:t>约</w:t>
            </w:r>
            <w:r>
              <w:rPr>
                <w:rFonts w:hint="default"/>
              </w:rPr>
              <w:t>300</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ED045C">
            <w:pPr>
              <w:pStyle w:val="45"/>
              <w:rPr>
                <w:rFonts w:hint="default"/>
              </w:rPr>
            </w:pPr>
            <w:r>
              <w:rPr>
                <w:rFonts w:hint="default"/>
              </w:rPr>
              <w:t>S,2.6~3.1km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E113C5">
            <w:pPr>
              <w:pStyle w:val="45"/>
              <w:rPr>
                <w:rFonts w:hint="default"/>
              </w:rPr>
            </w:pPr>
            <w:r>
              <w:t>412</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3313AB">
            <w:pPr>
              <w:pStyle w:val="45"/>
              <w:rPr>
                <w:rFonts w:hint="default"/>
              </w:rPr>
            </w:pPr>
            <w:r>
              <w:t>-2560</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464BB4">
            <w:pPr>
              <w:pStyle w:val="45"/>
              <w:rPr>
                <w:rFonts w:hint="default"/>
              </w:rPr>
            </w:pPr>
            <w:r>
              <w:t>54.42</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3FA4CB">
            <w:pPr>
              <w:pStyle w:val="45"/>
              <w:rPr>
                <w:rFonts w:hint="default"/>
              </w:rPr>
            </w:pPr>
          </w:p>
        </w:tc>
      </w:tr>
      <w:tr w14:paraId="5F8535E1">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747D5D">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6B2D6D2">
            <w:pPr>
              <w:pStyle w:val="45"/>
              <w:rPr>
                <w:rFonts w:hint="default"/>
              </w:rPr>
            </w:pPr>
            <w:r>
              <w:t>合江街道</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C11CC6">
            <w:pPr>
              <w:pStyle w:val="45"/>
              <w:rPr>
                <w:rFonts w:hint="default"/>
              </w:rPr>
            </w:pPr>
            <w:r>
              <w:t>约</w:t>
            </w:r>
            <w:r>
              <w:rPr>
                <w:rFonts w:hint="default"/>
              </w:rPr>
              <w:t>1210</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6391A7">
            <w:pPr>
              <w:pStyle w:val="45"/>
              <w:rPr>
                <w:rFonts w:hint="default"/>
              </w:rPr>
            </w:pPr>
            <w:r>
              <w:rPr>
                <w:rFonts w:hint="default"/>
              </w:rPr>
              <w:t>SW,2.5~5.0km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61E600">
            <w:pPr>
              <w:pStyle w:val="45"/>
              <w:rPr>
                <w:rFonts w:hint="default"/>
              </w:rPr>
            </w:pPr>
            <w:r>
              <w:t>-670</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82DD21">
            <w:pPr>
              <w:pStyle w:val="45"/>
              <w:rPr>
                <w:rFonts w:hint="default"/>
              </w:rPr>
            </w:pPr>
            <w:r>
              <w:t>-3522</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E2BE8B">
            <w:pPr>
              <w:pStyle w:val="45"/>
              <w:rPr>
                <w:rFonts w:hint="default"/>
              </w:rPr>
            </w:pPr>
            <w:r>
              <w:t>61.15</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84120C">
            <w:pPr>
              <w:pStyle w:val="45"/>
              <w:rPr>
                <w:rFonts w:hint="default"/>
              </w:rPr>
            </w:pPr>
          </w:p>
        </w:tc>
      </w:tr>
      <w:tr w14:paraId="4DF2FFF7">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EEE32D">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F0FA4AE">
            <w:pPr>
              <w:pStyle w:val="45"/>
              <w:rPr>
                <w:rFonts w:hint="default"/>
              </w:rPr>
            </w:pPr>
            <w:r>
              <w:t>畔湖路社区</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B851B0">
            <w:pPr>
              <w:pStyle w:val="45"/>
              <w:rPr>
                <w:rFonts w:hint="default"/>
              </w:rPr>
            </w:pPr>
            <w:r>
              <w:t>约</w:t>
            </w:r>
            <w:r>
              <w:rPr>
                <w:rFonts w:hint="default"/>
              </w:rPr>
              <w:t>110</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0FBE45">
            <w:pPr>
              <w:pStyle w:val="45"/>
              <w:rPr>
                <w:rFonts w:hint="default"/>
              </w:rPr>
            </w:pPr>
            <w:r>
              <w:rPr>
                <w:rFonts w:hint="default"/>
              </w:rPr>
              <w:t>SW,3.0~5.0km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9614A8">
            <w:pPr>
              <w:pStyle w:val="45"/>
              <w:rPr>
                <w:rFonts w:hint="default"/>
              </w:rPr>
            </w:pPr>
            <w:r>
              <w:t>-2388</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402F26">
            <w:pPr>
              <w:pStyle w:val="45"/>
              <w:rPr>
                <w:rFonts w:hint="default"/>
              </w:rPr>
            </w:pPr>
            <w:r>
              <w:t>-3179</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15D997">
            <w:pPr>
              <w:pStyle w:val="45"/>
              <w:rPr>
                <w:rFonts w:hint="default"/>
              </w:rPr>
            </w:pPr>
            <w:r>
              <w:t>82.96</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25940F">
            <w:pPr>
              <w:pStyle w:val="45"/>
              <w:rPr>
                <w:rFonts w:hint="default"/>
              </w:rPr>
            </w:pPr>
          </w:p>
        </w:tc>
      </w:tr>
      <w:tr w14:paraId="20015CB2">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F41435">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B6556C0">
            <w:pPr>
              <w:pStyle w:val="45"/>
              <w:rPr>
                <w:rFonts w:hint="default"/>
              </w:rPr>
            </w:pPr>
            <w:r>
              <w:t>黄沙湾街道</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C8C9FD">
            <w:pPr>
              <w:pStyle w:val="45"/>
              <w:rPr>
                <w:rFonts w:hint="default"/>
              </w:rPr>
            </w:pPr>
            <w:r>
              <w:t>约</w:t>
            </w:r>
            <w:r>
              <w:rPr>
                <w:rFonts w:hint="default"/>
              </w:rPr>
              <w:t>4000</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6F7A99">
            <w:pPr>
              <w:pStyle w:val="45"/>
              <w:rPr>
                <w:rFonts w:hint="default"/>
              </w:rPr>
            </w:pPr>
            <w:r>
              <w:rPr>
                <w:rFonts w:hint="default"/>
              </w:rPr>
              <w:t>SW,2.7~5.0km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AD1C53">
            <w:pPr>
              <w:pStyle w:val="45"/>
              <w:rPr>
                <w:rFonts w:hint="default"/>
              </w:rPr>
            </w:pPr>
            <w:r>
              <w:t>-3866</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44627A">
            <w:pPr>
              <w:pStyle w:val="45"/>
              <w:rPr>
                <w:rFonts w:hint="default"/>
              </w:rPr>
            </w:pPr>
            <w:r>
              <w:t>-1151</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1B236A">
            <w:pPr>
              <w:pStyle w:val="45"/>
              <w:rPr>
                <w:rFonts w:hint="default"/>
              </w:rPr>
            </w:pPr>
            <w:r>
              <w:t>63.48</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403218">
            <w:pPr>
              <w:pStyle w:val="45"/>
              <w:rPr>
                <w:rFonts w:hint="default"/>
              </w:rPr>
            </w:pPr>
          </w:p>
        </w:tc>
      </w:tr>
      <w:tr w14:paraId="61776441">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F70A79">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B105617">
            <w:pPr>
              <w:pStyle w:val="45"/>
              <w:rPr>
                <w:rFonts w:hint="default"/>
              </w:rPr>
            </w:pPr>
            <w:r>
              <w:t>灵官庙村</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DE16DA">
            <w:pPr>
              <w:pStyle w:val="45"/>
              <w:rPr>
                <w:rFonts w:hint="default"/>
              </w:rPr>
            </w:pPr>
            <w:r>
              <w:t>约</w:t>
            </w:r>
            <w:r>
              <w:rPr>
                <w:rFonts w:hint="default"/>
              </w:rPr>
              <w:t>616</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F9ABB2">
            <w:pPr>
              <w:pStyle w:val="45"/>
              <w:rPr>
                <w:rFonts w:hint="default"/>
              </w:rPr>
            </w:pPr>
            <w:r>
              <w:rPr>
                <w:rFonts w:hint="default"/>
              </w:rPr>
              <w:t>W,2.8~5.0km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86E456">
            <w:pPr>
              <w:pStyle w:val="45"/>
              <w:rPr>
                <w:rFonts w:hint="default"/>
              </w:rPr>
            </w:pPr>
            <w:r>
              <w:t>-3711</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6C7501">
            <w:pPr>
              <w:pStyle w:val="45"/>
              <w:rPr>
                <w:rFonts w:hint="default"/>
              </w:rPr>
            </w:pPr>
            <w:r>
              <w:t>1615</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FD06C9">
            <w:pPr>
              <w:pStyle w:val="45"/>
              <w:rPr>
                <w:rFonts w:hint="default"/>
              </w:rPr>
            </w:pPr>
            <w:r>
              <w:t>97.67</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EC6790">
            <w:pPr>
              <w:pStyle w:val="45"/>
              <w:rPr>
                <w:rFonts w:hint="default"/>
              </w:rPr>
            </w:pPr>
          </w:p>
        </w:tc>
      </w:tr>
      <w:tr w14:paraId="1C25303D">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47DB69">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88A9C9B">
            <w:pPr>
              <w:pStyle w:val="45"/>
              <w:rPr>
                <w:rFonts w:hint="default"/>
              </w:rPr>
            </w:pPr>
            <w:r>
              <w:t>环境生物学院</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9BE020">
            <w:pPr>
              <w:pStyle w:val="45"/>
              <w:rPr>
                <w:rFonts w:hint="default"/>
              </w:rPr>
            </w:pPr>
            <w:r>
              <w:t>约</w:t>
            </w:r>
            <w:r>
              <w:rPr>
                <w:rFonts w:hint="default"/>
              </w:rPr>
              <w:t>17000</w:t>
            </w:r>
            <w:r>
              <w:t>人</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5007DA">
            <w:pPr>
              <w:pStyle w:val="45"/>
              <w:rPr>
                <w:rFonts w:hint="default"/>
              </w:rPr>
            </w:pPr>
            <w:r>
              <w:rPr>
                <w:rFonts w:hint="default"/>
              </w:rPr>
              <w:t>NW,4.0~5.0km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C060C8">
            <w:pPr>
              <w:pStyle w:val="45"/>
              <w:rPr>
                <w:rFonts w:hint="default"/>
              </w:rPr>
            </w:pPr>
            <w:r>
              <w:t>-2801</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7846E5">
            <w:pPr>
              <w:pStyle w:val="45"/>
              <w:rPr>
                <w:rFonts w:hint="default"/>
              </w:rPr>
            </w:pPr>
            <w:r>
              <w:t>3316</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720B34">
            <w:pPr>
              <w:pStyle w:val="45"/>
              <w:rPr>
                <w:rFonts w:hint="default"/>
              </w:rPr>
            </w:pPr>
            <w:r>
              <w:t>78.91</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F46E45">
            <w:pPr>
              <w:pStyle w:val="45"/>
              <w:rPr>
                <w:rFonts w:hint="default"/>
              </w:rPr>
            </w:pPr>
          </w:p>
        </w:tc>
      </w:tr>
      <w:tr w14:paraId="1849BD90">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1114C1">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E4133E7">
            <w:pPr>
              <w:pStyle w:val="45"/>
              <w:rPr>
                <w:rFonts w:hint="default"/>
              </w:rPr>
            </w:pPr>
            <w:r>
              <w:t>梽木村</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A1CDF3">
            <w:pPr>
              <w:pStyle w:val="45"/>
              <w:rPr>
                <w:rFonts w:hint="default"/>
              </w:rPr>
            </w:pPr>
            <w:r>
              <w:t>约</w:t>
            </w:r>
            <w:r>
              <w:rPr>
                <w:rFonts w:hint="default"/>
              </w:rPr>
              <w:t>145</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9C6372">
            <w:pPr>
              <w:pStyle w:val="45"/>
              <w:rPr>
                <w:rFonts w:hint="default"/>
              </w:rPr>
            </w:pPr>
            <w:r>
              <w:rPr>
                <w:rFonts w:hint="default"/>
              </w:rPr>
              <w:t>NW,2.5~3.6km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7B0AB7">
            <w:pPr>
              <w:pStyle w:val="45"/>
              <w:rPr>
                <w:rFonts w:hint="default"/>
              </w:rPr>
            </w:pPr>
            <w:r>
              <w:t>-1340</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619193">
            <w:pPr>
              <w:pStyle w:val="45"/>
              <w:rPr>
                <w:rFonts w:hint="default"/>
              </w:rPr>
            </w:pPr>
            <w:r>
              <w:t>3247</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49620B">
            <w:pPr>
              <w:pStyle w:val="45"/>
              <w:rPr>
                <w:rFonts w:hint="default"/>
              </w:rPr>
            </w:pPr>
            <w:r>
              <w:t>68.3</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47B614">
            <w:pPr>
              <w:pStyle w:val="45"/>
              <w:rPr>
                <w:rFonts w:hint="default"/>
              </w:rPr>
            </w:pPr>
          </w:p>
        </w:tc>
      </w:tr>
      <w:tr w14:paraId="1D3A8065">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11AA99">
            <w:pPr>
              <w:pStyle w:val="45"/>
              <w:rPr>
                <w:rFonts w:hint="default"/>
              </w:rPr>
            </w:pP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50745B8">
            <w:pPr>
              <w:pStyle w:val="45"/>
              <w:rPr>
                <w:rFonts w:hint="default"/>
              </w:rPr>
            </w:pPr>
            <w:r>
              <w:t>梽木村</w:t>
            </w:r>
            <w:r>
              <w:rPr>
                <w:rFonts w:hint="default"/>
              </w:rPr>
              <w:t>2</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3314EF">
            <w:pPr>
              <w:pStyle w:val="45"/>
              <w:rPr>
                <w:rFonts w:hint="default"/>
              </w:rPr>
            </w:pPr>
            <w:r>
              <w:t>约</w:t>
            </w:r>
            <w:r>
              <w:rPr>
                <w:rFonts w:hint="default"/>
              </w:rPr>
              <w:t>155</w:t>
            </w:r>
            <w:r>
              <w:t>户</w:t>
            </w:r>
          </w:p>
        </w:tc>
        <w:tc>
          <w:tcPr>
            <w:tcW w:w="10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1B4AFB">
            <w:pPr>
              <w:pStyle w:val="45"/>
              <w:rPr>
                <w:rFonts w:hint="default"/>
              </w:rPr>
            </w:pPr>
            <w:r>
              <w:rPr>
                <w:rFonts w:hint="default"/>
              </w:rPr>
              <w:t>NW,3.3~4.3km</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9BECC7">
            <w:pPr>
              <w:pStyle w:val="45"/>
              <w:rPr>
                <w:rFonts w:hint="default"/>
              </w:rPr>
            </w:pPr>
            <w:r>
              <w:t>-928</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012694">
            <w:pPr>
              <w:pStyle w:val="45"/>
              <w:rPr>
                <w:rFonts w:hint="default"/>
              </w:rPr>
            </w:pPr>
            <w:r>
              <w:t>2560</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54325E">
            <w:pPr>
              <w:pStyle w:val="45"/>
              <w:rPr>
                <w:rFonts w:hint="default"/>
              </w:rPr>
            </w:pPr>
            <w:r>
              <w:t>98.53</w:t>
            </w:r>
          </w:p>
        </w:tc>
        <w:tc>
          <w:tcPr>
            <w:tcW w:w="8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1BB297">
            <w:pPr>
              <w:pStyle w:val="45"/>
              <w:rPr>
                <w:rFonts w:hint="default"/>
              </w:rPr>
            </w:pPr>
          </w:p>
        </w:tc>
      </w:tr>
      <w:tr w14:paraId="75F826F6">
        <w:tblPrEx>
          <w:tblCellMar>
            <w:top w:w="0" w:type="dxa"/>
            <w:left w:w="108" w:type="dxa"/>
            <w:bottom w:w="0" w:type="dxa"/>
            <w:right w:w="108" w:type="dxa"/>
          </w:tblCellMar>
        </w:tblPrEx>
        <w:trPr>
          <w:trHeight w:val="1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6C6C4D">
            <w:pPr>
              <w:pStyle w:val="45"/>
              <w:rPr>
                <w:rFonts w:hint="default"/>
              </w:rPr>
            </w:pPr>
            <w:r>
              <w:t>声环境</w:t>
            </w:r>
          </w:p>
        </w:tc>
        <w:tc>
          <w:tcPr>
            <w:tcW w:w="2464"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E28CC51">
            <w:pPr>
              <w:pStyle w:val="45"/>
              <w:rPr>
                <w:rFonts w:hint="default"/>
              </w:rPr>
            </w:pPr>
            <w:r>
              <w:t>本项目周边</w:t>
            </w:r>
            <w:r>
              <w:rPr>
                <w:rFonts w:hint="default"/>
              </w:rPr>
              <w:t>200m</w:t>
            </w:r>
            <w:r>
              <w:t>范围内无环境保护目标</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B96581">
            <w:pPr>
              <w:pStyle w:val="45"/>
              <w:rPr>
                <w:rFonts w:hint="default"/>
              </w:rPr>
            </w:pPr>
            <w:r>
              <w:rPr>
                <w:rFonts w:hint="default"/>
              </w:rPr>
              <w:t>/</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2A0E50">
            <w:pPr>
              <w:pStyle w:val="45"/>
              <w:rPr>
                <w:rFonts w:hint="default"/>
              </w:rPr>
            </w:pPr>
            <w:r>
              <w:rPr>
                <w:rFonts w:hint="default"/>
              </w:rPr>
              <w:t>/</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52D9E8">
            <w:pPr>
              <w:pStyle w:val="45"/>
              <w:rPr>
                <w:rFonts w:hint="default"/>
              </w:rPr>
            </w:pPr>
          </w:p>
        </w:tc>
        <w:tc>
          <w:tcPr>
            <w:tcW w:w="8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2BDF46">
            <w:pPr>
              <w:pStyle w:val="45"/>
              <w:rPr>
                <w:rFonts w:hint="default"/>
              </w:rPr>
            </w:pPr>
            <w:r>
              <w:rPr>
                <w:rFonts w:hint="default"/>
              </w:rPr>
              <w:t>GB 3096-20083</w:t>
            </w:r>
            <w:r>
              <w:t>类标准</w:t>
            </w:r>
          </w:p>
        </w:tc>
      </w:tr>
      <w:tr w14:paraId="0D184313">
        <w:tblPrEx>
          <w:tblCellMar>
            <w:top w:w="0" w:type="dxa"/>
            <w:left w:w="108" w:type="dxa"/>
            <w:bottom w:w="0" w:type="dxa"/>
            <w:right w:w="108" w:type="dxa"/>
          </w:tblCellMar>
        </w:tblPrEx>
        <w:trPr>
          <w:trHeight w:val="170" w:hRule="atLeast"/>
        </w:trPr>
        <w:tc>
          <w:tcPr>
            <w:tcW w:w="3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48440B9">
            <w:pPr>
              <w:pStyle w:val="45"/>
              <w:rPr>
                <w:rFonts w:hint="default"/>
              </w:rPr>
            </w:pPr>
            <w:r>
              <w:t>水环境</w:t>
            </w:r>
          </w:p>
        </w:tc>
        <w:tc>
          <w:tcPr>
            <w:tcW w:w="2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F4AB87">
            <w:pPr>
              <w:pStyle w:val="45"/>
              <w:rPr>
                <w:rFonts w:hint="default"/>
              </w:rPr>
            </w:pPr>
            <w:r>
              <w:t>湘江</w:t>
            </w:r>
          </w:p>
        </w:tc>
        <w:tc>
          <w:tcPr>
            <w:tcW w:w="221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A574935">
            <w:pPr>
              <w:pStyle w:val="45"/>
              <w:rPr>
                <w:rFonts w:hint="default"/>
              </w:rPr>
            </w:pPr>
            <w:r>
              <w:t>蒸水口至大浦镇师塘村上游</w:t>
            </w:r>
            <w:r>
              <w:rPr>
                <w:rFonts w:hint="default"/>
              </w:rPr>
              <w:t>6000m</w:t>
            </w:r>
            <w:r>
              <w:t>共</w:t>
            </w:r>
            <w:r>
              <w:rPr>
                <w:rFonts w:hint="default"/>
              </w:rPr>
              <w:t>22.4km</w:t>
            </w:r>
            <w:r>
              <w:t>湘江段</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9C4849">
            <w:pPr>
              <w:pStyle w:val="45"/>
              <w:rPr>
                <w:rFonts w:hint="default"/>
              </w:rPr>
            </w:pPr>
            <w:r>
              <w:rPr>
                <w:rFonts w:hint="default"/>
              </w:rPr>
              <w:t>/</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17AA14">
            <w:pPr>
              <w:pStyle w:val="45"/>
              <w:rPr>
                <w:rFonts w:hint="default"/>
              </w:rPr>
            </w:pPr>
            <w:r>
              <w:rPr>
                <w:rFonts w:hint="default"/>
              </w:rPr>
              <w:t>/</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17A92F">
            <w:pPr>
              <w:pStyle w:val="45"/>
              <w:rPr>
                <w:rFonts w:hint="default"/>
              </w:rPr>
            </w:pPr>
          </w:p>
        </w:tc>
        <w:tc>
          <w:tcPr>
            <w:tcW w:w="8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BBCDD4">
            <w:pPr>
              <w:pStyle w:val="45"/>
              <w:rPr>
                <w:rFonts w:hint="default"/>
              </w:rPr>
            </w:pPr>
            <w:r>
              <w:rPr>
                <w:rFonts w:hint="default"/>
              </w:rPr>
              <w:t>GB 3838-2002Ⅲ</w:t>
            </w:r>
            <w:r>
              <w:t>类标准</w:t>
            </w:r>
          </w:p>
        </w:tc>
      </w:tr>
      <w:tr w14:paraId="16B129F9">
        <w:tblPrEx>
          <w:tblCellMar>
            <w:top w:w="0" w:type="dxa"/>
            <w:left w:w="108" w:type="dxa"/>
            <w:bottom w:w="0" w:type="dxa"/>
            <w:right w:w="108" w:type="dxa"/>
          </w:tblCellMar>
        </w:tblPrEx>
        <w:trPr>
          <w:trHeight w:val="170"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501709">
            <w:pPr>
              <w:pStyle w:val="45"/>
              <w:rPr>
                <w:rFonts w:hint="default"/>
              </w:rPr>
            </w:pPr>
          </w:p>
        </w:tc>
        <w:tc>
          <w:tcPr>
            <w:tcW w:w="2464"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2940302">
            <w:pPr>
              <w:pStyle w:val="45"/>
              <w:rPr>
                <w:rFonts w:hint="default"/>
              </w:rPr>
            </w:pPr>
            <w:r>
              <w:t>评价范围内无地下水敏感目标，周边居民均使用自来水作为饮用水</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7DFC6C">
            <w:pPr>
              <w:pStyle w:val="45"/>
              <w:rPr>
                <w:rFonts w:hint="default"/>
              </w:rPr>
            </w:pPr>
            <w:r>
              <w:rPr>
                <w:rFonts w:hint="default"/>
              </w:rPr>
              <w:t>/</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613E2E">
            <w:pPr>
              <w:pStyle w:val="45"/>
              <w:rPr>
                <w:rFonts w:hint="default"/>
              </w:rPr>
            </w:pPr>
            <w:r>
              <w:rPr>
                <w:rFonts w:hint="default"/>
              </w:rPr>
              <w:t>/</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81B308">
            <w:pPr>
              <w:pStyle w:val="45"/>
              <w:rPr>
                <w:rFonts w:hint="default"/>
              </w:rPr>
            </w:pPr>
          </w:p>
        </w:tc>
        <w:tc>
          <w:tcPr>
            <w:tcW w:w="8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DD7570">
            <w:pPr>
              <w:pStyle w:val="45"/>
              <w:rPr>
                <w:rFonts w:hint="default"/>
              </w:rPr>
            </w:pPr>
            <w:r>
              <w:rPr>
                <w:rFonts w:hint="default"/>
              </w:rPr>
              <w:t>GB /T 14848-2017Ⅲ</w:t>
            </w:r>
            <w:r>
              <w:t>类标准</w:t>
            </w:r>
          </w:p>
        </w:tc>
      </w:tr>
      <w:tr w14:paraId="0F49C69F">
        <w:tblPrEx>
          <w:tblCellMar>
            <w:top w:w="0" w:type="dxa"/>
            <w:left w:w="108" w:type="dxa"/>
            <w:bottom w:w="0" w:type="dxa"/>
            <w:right w:w="108" w:type="dxa"/>
          </w:tblCellMar>
        </w:tblPrEx>
        <w:trPr>
          <w:trHeight w:val="1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622023">
            <w:pPr>
              <w:pStyle w:val="45"/>
              <w:rPr>
                <w:rFonts w:hint="default"/>
              </w:rPr>
            </w:pPr>
            <w:r>
              <w:t>土壤</w:t>
            </w:r>
          </w:p>
        </w:tc>
        <w:tc>
          <w:tcPr>
            <w:tcW w:w="2464"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CDFCDDF">
            <w:pPr>
              <w:pStyle w:val="45"/>
              <w:rPr>
                <w:rFonts w:hint="default"/>
              </w:rPr>
            </w:pPr>
            <w:r>
              <w:t>评价区域内土壤均属于工业用地，项目土壤评价范围内无土壤敏感目标</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EB99F3">
            <w:pPr>
              <w:pStyle w:val="45"/>
              <w:rPr>
                <w:rFonts w:hint="default"/>
              </w:rPr>
            </w:pPr>
            <w:r>
              <w:rPr>
                <w:rFonts w:hint="default"/>
              </w:rPr>
              <w:t>/</w:t>
            </w:r>
          </w:p>
        </w:tc>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4C6A0C">
            <w:pPr>
              <w:pStyle w:val="45"/>
              <w:rPr>
                <w:rFonts w:hint="default"/>
              </w:rPr>
            </w:pPr>
            <w:r>
              <w:rPr>
                <w:rFonts w:hint="default"/>
              </w:rPr>
              <w:t>/</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F4BF39">
            <w:pPr>
              <w:pStyle w:val="45"/>
              <w:rPr>
                <w:rFonts w:hint="default"/>
              </w:rPr>
            </w:pPr>
          </w:p>
        </w:tc>
        <w:tc>
          <w:tcPr>
            <w:tcW w:w="8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500F81">
            <w:pPr>
              <w:pStyle w:val="45"/>
              <w:rPr>
                <w:rFonts w:hint="default"/>
              </w:rPr>
            </w:pPr>
            <w:r>
              <w:rPr>
                <w:rFonts w:hint="default"/>
              </w:rPr>
              <w:t>GB 36600-2018</w:t>
            </w:r>
          </w:p>
        </w:tc>
      </w:tr>
    </w:tbl>
    <w:p w14:paraId="4C3F8A38">
      <w:pPr>
        <w:ind w:firstLine="0" w:firstLineChars="0"/>
      </w:pPr>
    </w:p>
    <w:p w14:paraId="6DAA6F09">
      <w:pPr>
        <w:pStyle w:val="2"/>
        <w:spacing w:before="0" w:beforeLines="0" w:after="0" w:afterLines="0"/>
      </w:pPr>
      <w:bookmarkStart w:id="112" w:name="_Toc30809"/>
      <w:bookmarkStart w:id="113" w:name="_Toc7073"/>
      <w:bookmarkStart w:id="114" w:name="_Toc22335"/>
      <w:r>
        <w:rPr>
          <w:rFonts w:hint="eastAsia"/>
        </w:rPr>
        <w:t>建设项目工程分析</w:t>
      </w:r>
      <w:bookmarkEnd w:id="112"/>
      <w:bookmarkEnd w:id="113"/>
      <w:bookmarkEnd w:id="114"/>
    </w:p>
    <w:p w14:paraId="03FEEE26">
      <w:pPr>
        <w:pStyle w:val="3"/>
      </w:pPr>
      <w:bookmarkStart w:id="115" w:name="_Toc9427"/>
      <w:bookmarkStart w:id="116" w:name="_Toc3430"/>
      <w:bookmarkStart w:id="117" w:name="_Toc4848"/>
      <w:r>
        <w:rPr>
          <w:rFonts w:hint="eastAsia"/>
        </w:rPr>
        <w:t>建设项目概况</w:t>
      </w:r>
      <w:bookmarkEnd w:id="115"/>
      <w:bookmarkEnd w:id="116"/>
      <w:bookmarkEnd w:id="117"/>
    </w:p>
    <w:p w14:paraId="55E549F3">
      <w:pPr>
        <w:pStyle w:val="4"/>
      </w:pPr>
      <w:bookmarkStart w:id="118" w:name="_Toc4716"/>
      <w:r>
        <w:rPr>
          <w:rFonts w:hint="eastAsia"/>
        </w:rPr>
        <w:t>项目基本情况</w:t>
      </w:r>
      <w:bookmarkEnd w:id="118"/>
    </w:p>
    <w:p w14:paraId="515DD22D">
      <w:pPr>
        <w:ind w:firstLine="480"/>
        <w:rPr>
          <w:rFonts w:hint="eastAsia" w:eastAsia="宋体"/>
          <w:lang w:eastAsia="zh-CN"/>
        </w:rPr>
      </w:pPr>
      <w:r>
        <w:t>项目名称：</w:t>
      </w:r>
      <w:r>
        <w:rPr>
          <w:rFonts w:hint="eastAsia"/>
        </w:rPr>
        <w:t>湖南鑫钰兴科技有限公司20000吨/年高氯酸钠、20000吨/年高氯酸钾等新建项目</w:t>
      </w:r>
    </w:p>
    <w:p w14:paraId="48C63BAB">
      <w:pPr>
        <w:ind w:firstLine="480"/>
      </w:pPr>
      <w:r>
        <w:t>建设单位：湖南鑫钰兴科技有限公司</w:t>
      </w:r>
    </w:p>
    <w:p w14:paraId="1342F7AE">
      <w:pPr>
        <w:ind w:firstLine="480"/>
      </w:pPr>
      <w:r>
        <w:t>项目地址：衡阳市松木经济开发区</w:t>
      </w:r>
      <w:r>
        <w:rPr>
          <w:rFonts w:hint="eastAsia"/>
        </w:rPr>
        <w:t>金山水泥</w:t>
      </w:r>
      <w:r>
        <w:t>公司</w:t>
      </w:r>
      <w:r>
        <w:rPr>
          <w:rFonts w:hint="eastAsia"/>
        </w:rPr>
        <w:t>南侧，</w:t>
      </w:r>
      <w:r>
        <w:t>新安路和松枫路交汇的地块（厂区中心坐标：东经112.6360045°，北纬26.9696386°）</w:t>
      </w:r>
    </w:p>
    <w:p w14:paraId="4B83A44E">
      <w:pPr>
        <w:ind w:firstLine="480"/>
      </w:pPr>
      <w:r>
        <w:t>投资额：4500万元，其中环保投资</w:t>
      </w:r>
      <w:r>
        <w:rPr>
          <w:rFonts w:hint="eastAsia"/>
          <w:lang w:val="en-US" w:eastAsia="zh-CN"/>
        </w:rPr>
        <w:t>550</w:t>
      </w:r>
      <w:r>
        <w:t>万</w:t>
      </w:r>
    </w:p>
    <w:p w14:paraId="4B56E537">
      <w:pPr>
        <w:ind w:firstLine="480"/>
      </w:pPr>
      <w:r>
        <w:t>项目性质：新建</w:t>
      </w:r>
    </w:p>
    <w:p w14:paraId="3A256829">
      <w:pPr>
        <w:pStyle w:val="4"/>
      </w:pPr>
      <w:r>
        <w:rPr>
          <w:rFonts w:hint="eastAsia"/>
        </w:rPr>
        <w:t>建设规模和产品方案</w:t>
      </w:r>
    </w:p>
    <w:p w14:paraId="521430B4">
      <w:pPr>
        <w:pStyle w:val="6"/>
        <w:ind w:firstLine="482"/>
      </w:pPr>
      <w:r>
        <w:rPr>
          <w:rFonts w:hint="eastAsia"/>
        </w:rPr>
        <w:t>建设内容及建设规模</w:t>
      </w:r>
    </w:p>
    <w:p w14:paraId="50CECD6A">
      <w:pPr>
        <w:ind w:firstLine="480"/>
        <w:rPr>
          <w:rFonts w:hint="default" w:eastAsia="宋体"/>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rPr>
        <w:t>本项目厂区用总地面积</w:t>
      </w:r>
      <w:r>
        <w:rPr>
          <w:rFonts w:hint="eastAsia"/>
          <w:lang w:val="en-US" w:eastAsia="zh-CN"/>
        </w:rPr>
        <w:t>29059.57</w:t>
      </w:r>
      <w:r>
        <w:rPr>
          <w:rFonts w:hint="eastAsia"/>
        </w:rPr>
        <w:t>m</w:t>
      </w:r>
      <w:r>
        <w:rPr>
          <w:rFonts w:hint="eastAsia"/>
          <w:vertAlign w:val="superscript"/>
        </w:rPr>
        <w:t>2</w:t>
      </w:r>
      <w:r>
        <w:rPr>
          <w:rFonts w:hint="eastAsia"/>
        </w:rPr>
        <w:t>，主要建、构筑占地面积为</w:t>
      </w:r>
      <w:r>
        <w:rPr>
          <w:rFonts w:hint="eastAsia"/>
          <w:lang w:val="en-US" w:eastAsia="zh-CN"/>
        </w:rPr>
        <w:t>11934.38</w:t>
      </w:r>
      <w:r>
        <w:rPr>
          <w:rFonts w:hint="eastAsia"/>
        </w:rPr>
        <w:t>m</w:t>
      </w:r>
      <w:r>
        <w:rPr>
          <w:rFonts w:hint="eastAsia"/>
          <w:vertAlign w:val="superscript"/>
        </w:rPr>
        <w:t>2</w:t>
      </w:r>
      <w:r>
        <w:rPr>
          <w:rFonts w:hint="eastAsia"/>
        </w:rPr>
        <w:t>，总建筑面积</w:t>
      </w:r>
      <w:r>
        <w:rPr>
          <w:rFonts w:hint="eastAsia"/>
          <w:lang w:val="en-US" w:eastAsia="zh-CN"/>
        </w:rPr>
        <w:t>11155</w:t>
      </w:r>
      <w:r>
        <w:rPr>
          <w:rFonts w:hint="eastAsia"/>
        </w:rPr>
        <w:t>m</w:t>
      </w:r>
      <w:r>
        <w:rPr>
          <w:rFonts w:hint="eastAsia"/>
          <w:vertAlign w:val="superscript"/>
        </w:rPr>
        <w:t>2</w:t>
      </w:r>
      <w:r>
        <w:rPr>
          <w:rFonts w:hint="eastAsia"/>
        </w:rPr>
        <w:t>。</w:t>
      </w:r>
      <w:r>
        <w:rPr>
          <w:rFonts w:hint="eastAsia"/>
          <w:b w:val="0"/>
          <w:bCs w:val="0"/>
          <w:lang w:val="en-US" w:eastAsia="zh-CN"/>
        </w:rPr>
        <w:t>本项目一次电解装置设计生产规模为2万吨/年氯酸钠，二次电解装置设计生产规模为2万吨/年高氯酸钠，复分解生产装置设计生产规模为2万吨/年氯酸钾或2万吨/年高氯酸钾，锂盐生产装置设计生产规模为600吨/年高氯酸锂；氢气回收系统设计回收规模1500</w:t>
      </w:r>
      <w:r>
        <w:rPr>
          <w:rFonts w:hint="eastAsia" w:cs="Times New Roman"/>
          <w:b w:val="0"/>
          <w:bCs w:val="0"/>
          <w:sz w:val="21"/>
          <w:szCs w:val="21"/>
          <w:highlight w:val="none"/>
          <w:lang w:val="en-US" w:eastAsia="zh-CN"/>
        </w:rPr>
        <w:t>Nm</w:t>
      </w:r>
      <w:r>
        <w:rPr>
          <w:rFonts w:hint="eastAsia" w:cs="Times New Roman"/>
          <w:b w:val="0"/>
          <w:bCs w:val="0"/>
          <w:sz w:val="21"/>
          <w:szCs w:val="21"/>
          <w:highlight w:val="none"/>
          <w:vertAlign w:val="superscript"/>
          <w:lang w:val="en-US" w:eastAsia="zh-CN"/>
        </w:rPr>
        <w:t>3</w:t>
      </w:r>
      <w:r>
        <w:rPr>
          <w:rFonts w:hint="eastAsia" w:cs="Times New Roman"/>
          <w:b w:val="0"/>
          <w:bCs w:val="0"/>
          <w:sz w:val="21"/>
          <w:szCs w:val="21"/>
          <w:highlight w:val="none"/>
          <w:lang w:val="en-US" w:eastAsia="zh-CN"/>
        </w:rPr>
        <w:t>/h</w:t>
      </w:r>
      <w:r>
        <w:rPr>
          <w:rFonts w:hint="eastAsia"/>
          <w:b w:val="0"/>
          <w:bCs w:val="0"/>
          <w:lang w:val="en-US" w:eastAsia="zh-CN"/>
        </w:rPr>
        <w:t>。</w:t>
      </w:r>
      <w:r>
        <w:rPr>
          <w:rFonts w:hint="eastAsia"/>
          <w:lang w:val="en-US" w:eastAsia="zh-CN"/>
        </w:rPr>
        <w:t>建设内容包括生产厂房、仓库等（</w:t>
      </w:r>
      <w:r>
        <w:rPr>
          <w:rFonts w:hint="eastAsia"/>
          <w:b/>
          <w:bCs/>
          <w:lang w:val="en-US" w:eastAsia="zh-CN"/>
        </w:rPr>
        <w:t>注：高氯酸钠、高氯酸钾、氯酸钾均以氯酸钠为中间产品进一步加工获得，因此企业会根据自己的市场需要来进行产品种类的调节，氯酸钠为控制各类产品的关键节点，本项目后续的产排污以产污最多的二次电解后生产高氯酸钾进行核算</w:t>
      </w:r>
      <w:r>
        <w:rPr>
          <w:rFonts w:hint="eastAsia"/>
          <w:lang w:val="en-US" w:eastAsia="zh-CN"/>
        </w:rPr>
        <w:t>）。</w:t>
      </w:r>
    </w:p>
    <w:p w14:paraId="4BB2436E">
      <w:pPr>
        <w:ind w:firstLine="480"/>
      </w:pPr>
      <w:r>
        <w:rPr>
          <w:rFonts w:hint="eastAsia"/>
        </w:rPr>
        <w:t>本项目主要建、构筑物情况如下表。</w:t>
      </w:r>
    </w:p>
    <w:p w14:paraId="03EF2137">
      <w:pPr>
        <w:pStyle w:val="43"/>
        <w:rPr>
          <w:rFonts w:hint="default"/>
        </w:rPr>
      </w:pPr>
      <w:r>
        <w:t>本项目主要建构筑物一览表</w:t>
      </w:r>
    </w:p>
    <w:tbl>
      <w:tblPr>
        <w:tblStyle w:val="32"/>
        <w:tblW w:w="4997" w:type="pct"/>
        <w:tblInd w:w="0" w:type="dxa"/>
        <w:tblLayout w:type="autofit"/>
        <w:tblCellMar>
          <w:top w:w="0" w:type="dxa"/>
          <w:left w:w="108" w:type="dxa"/>
          <w:bottom w:w="0" w:type="dxa"/>
          <w:right w:w="108" w:type="dxa"/>
        </w:tblCellMar>
      </w:tblPr>
      <w:tblGrid>
        <w:gridCol w:w="546"/>
        <w:gridCol w:w="1914"/>
        <w:gridCol w:w="1406"/>
        <w:gridCol w:w="1406"/>
        <w:gridCol w:w="1446"/>
        <w:gridCol w:w="800"/>
        <w:gridCol w:w="800"/>
        <w:gridCol w:w="800"/>
        <w:gridCol w:w="896"/>
        <w:gridCol w:w="1052"/>
        <w:gridCol w:w="3099"/>
      </w:tblGrid>
      <w:tr w14:paraId="3FE03786">
        <w:tblPrEx>
          <w:tblCellMar>
            <w:top w:w="0" w:type="dxa"/>
            <w:left w:w="108" w:type="dxa"/>
            <w:bottom w:w="0" w:type="dxa"/>
            <w:right w:w="108" w:type="dxa"/>
          </w:tblCellMar>
        </w:tblPrEx>
        <w:trPr>
          <w:trHeight w:val="170" w:hRule="atLeast"/>
          <w:tblHeader/>
        </w:trPr>
        <w:tc>
          <w:tcPr>
            <w:tcW w:w="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2D63D7">
            <w:pPr>
              <w:pStyle w:val="45"/>
              <w:rPr>
                <w:rFonts w:hint="default"/>
                <w:b/>
                <w:bCs/>
              </w:rPr>
            </w:pPr>
            <w:r>
              <w:rPr>
                <w:b/>
                <w:bCs/>
              </w:rPr>
              <w:t>序号</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E49090">
            <w:pPr>
              <w:pStyle w:val="45"/>
              <w:rPr>
                <w:rFonts w:hint="default"/>
                <w:b/>
                <w:bCs/>
              </w:rPr>
            </w:pPr>
            <w:r>
              <w:rPr>
                <w:b/>
                <w:bCs/>
              </w:rPr>
              <w:t>建筑物名称</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ABED71">
            <w:pPr>
              <w:pStyle w:val="45"/>
              <w:rPr>
                <w:rFonts w:hint="default"/>
                <w:b/>
                <w:bCs/>
              </w:rPr>
            </w:pPr>
            <w:r>
              <w:rPr>
                <w:b/>
                <w:bCs/>
              </w:rPr>
              <w:t>占地面积（</w:t>
            </w:r>
            <w:r>
              <w:rPr>
                <w:rFonts w:hint="default"/>
                <w:b/>
                <w:bCs/>
              </w:rPr>
              <w:t>m</w:t>
            </w:r>
            <w:r>
              <w:rPr>
                <w:rFonts w:hint="default"/>
                <w:b/>
                <w:bCs/>
                <w:vertAlign w:val="superscript"/>
              </w:rPr>
              <w:t>2</w:t>
            </w:r>
            <w:r>
              <w:rPr>
                <w:b/>
                <w:bCs/>
              </w:rPr>
              <w:t>）</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D85367">
            <w:pPr>
              <w:pStyle w:val="45"/>
              <w:rPr>
                <w:rFonts w:hint="default"/>
                <w:b/>
                <w:bCs/>
              </w:rPr>
            </w:pPr>
            <w:r>
              <w:rPr>
                <w:b/>
                <w:bCs/>
              </w:rPr>
              <w:t>建筑面积（</w:t>
            </w:r>
            <w:r>
              <w:rPr>
                <w:rFonts w:hint="default"/>
                <w:b/>
                <w:bCs/>
              </w:rPr>
              <w:t>m</w:t>
            </w:r>
            <w:r>
              <w:rPr>
                <w:rFonts w:hint="default"/>
                <w:b/>
                <w:bCs/>
                <w:vertAlign w:val="superscript"/>
              </w:rPr>
              <w:t>2</w:t>
            </w:r>
            <w:r>
              <w:rPr>
                <w:b/>
                <w:bCs/>
              </w:rPr>
              <w:t>）</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95BEB8">
            <w:pPr>
              <w:pStyle w:val="45"/>
              <w:rPr>
                <w:rFonts w:hint="default"/>
                <w:b/>
                <w:bCs/>
              </w:rPr>
            </w:pPr>
            <w:r>
              <w:rPr>
                <w:b/>
                <w:bCs/>
              </w:rPr>
              <w:t>计容面积（</w:t>
            </w:r>
            <w:r>
              <w:rPr>
                <w:rFonts w:hint="default"/>
                <w:b/>
                <w:bCs/>
              </w:rPr>
              <w:t>m</w:t>
            </w:r>
            <w:r>
              <w:rPr>
                <w:rFonts w:hint="default"/>
                <w:b/>
                <w:bCs/>
                <w:vertAlign w:val="superscript"/>
              </w:rPr>
              <w:t>2</w:t>
            </w:r>
            <w:r>
              <w:rPr>
                <w:b/>
                <w:bCs/>
              </w:rPr>
              <w:t>）</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D1EA60">
            <w:pPr>
              <w:pStyle w:val="45"/>
              <w:rPr>
                <w:rFonts w:hint="default"/>
                <w:b/>
                <w:bCs/>
              </w:rPr>
            </w:pPr>
            <w:r>
              <w:rPr>
                <w:b/>
                <w:bCs/>
              </w:rPr>
              <w:t>结构形式</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E8AD41">
            <w:pPr>
              <w:pStyle w:val="45"/>
              <w:rPr>
                <w:rFonts w:hint="default"/>
                <w:b/>
                <w:bCs/>
              </w:rPr>
            </w:pPr>
            <w:r>
              <w:rPr>
                <w:b/>
                <w:bCs/>
              </w:rPr>
              <w:t>火灾类别</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D94D80">
            <w:pPr>
              <w:pStyle w:val="45"/>
              <w:rPr>
                <w:rFonts w:hint="default"/>
                <w:b/>
                <w:bCs/>
              </w:rPr>
            </w:pPr>
            <w:r>
              <w:rPr>
                <w:b/>
                <w:bCs/>
              </w:rPr>
              <w:t>耐火等级</w:t>
            </w:r>
          </w:p>
        </w:tc>
        <w:tc>
          <w:tcPr>
            <w:tcW w:w="3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C9F917">
            <w:pPr>
              <w:pStyle w:val="45"/>
              <w:rPr>
                <w:rFonts w:hint="default"/>
                <w:b/>
                <w:bCs/>
              </w:rPr>
            </w:pPr>
            <w:r>
              <w:rPr>
                <w:b/>
                <w:bCs/>
              </w:rPr>
              <w:t>层数</w:t>
            </w: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B23B35">
            <w:pPr>
              <w:pStyle w:val="45"/>
              <w:rPr>
                <w:rFonts w:hint="default"/>
                <w:b/>
                <w:bCs/>
              </w:rPr>
            </w:pPr>
            <w:r>
              <w:rPr>
                <w:b/>
                <w:bCs/>
              </w:rPr>
              <w:t>高度（m）</w:t>
            </w:r>
          </w:p>
        </w:tc>
        <w:tc>
          <w:tcPr>
            <w:tcW w:w="10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6DFE28">
            <w:pPr>
              <w:pStyle w:val="45"/>
              <w:rPr>
                <w:rFonts w:hint="default"/>
                <w:b/>
                <w:bCs/>
              </w:rPr>
            </w:pPr>
            <w:r>
              <w:rPr>
                <w:b/>
                <w:bCs/>
              </w:rPr>
              <w:t>备注</w:t>
            </w:r>
          </w:p>
        </w:tc>
      </w:tr>
      <w:tr w14:paraId="5034A130">
        <w:tblPrEx>
          <w:tblCellMar>
            <w:top w:w="0" w:type="dxa"/>
            <w:left w:w="108" w:type="dxa"/>
            <w:bottom w:w="0" w:type="dxa"/>
            <w:right w:w="108" w:type="dxa"/>
          </w:tblCellMar>
        </w:tblPrEx>
        <w:trPr>
          <w:trHeight w:val="170" w:hRule="atLeast"/>
        </w:trPr>
        <w:tc>
          <w:tcPr>
            <w:tcW w:w="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CAD453">
            <w:pPr>
              <w:pStyle w:val="45"/>
              <w:rPr>
                <w:rFonts w:hint="default"/>
              </w:rPr>
            </w:pPr>
            <w:r>
              <w:rPr>
                <w:rFonts w:hint="default"/>
              </w:rPr>
              <w:t>1</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09110B">
            <w:pPr>
              <w:pStyle w:val="45"/>
              <w:rPr>
                <w:rFonts w:hint="default"/>
              </w:rPr>
            </w:pPr>
            <w:r>
              <w:t>化盐车间</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8E67EA">
            <w:pPr>
              <w:pStyle w:val="45"/>
              <w:rPr>
                <w:rFonts w:hint="default"/>
              </w:rPr>
            </w:pPr>
            <w:r>
              <w:rPr>
                <w:rFonts w:hint="default"/>
              </w:rPr>
              <w:t>450</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099DB0">
            <w:pPr>
              <w:pStyle w:val="45"/>
              <w:rPr>
                <w:rFonts w:hint="default"/>
              </w:rPr>
            </w:pPr>
            <w:r>
              <w:rPr>
                <w:rFonts w:hint="default"/>
              </w:rPr>
              <w:t>450</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5E59C6">
            <w:pPr>
              <w:pStyle w:val="45"/>
              <w:rPr>
                <w:rFonts w:hint="default"/>
              </w:rPr>
            </w:pPr>
            <w:r>
              <w:rPr>
                <w:rFonts w:hint="default"/>
              </w:rPr>
              <w:t>450</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4CF911">
            <w:pPr>
              <w:pStyle w:val="45"/>
              <w:rPr>
                <w:rFonts w:hint="default"/>
              </w:rPr>
            </w:pPr>
            <w:r>
              <w:t>钢结构</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49F8CC">
            <w:pPr>
              <w:pStyle w:val="45"/>
              <w:rPr>
                <w:rFonts w:hint="default"/>
              </w:rPr>
            </w:pPr>
            <w:r>
              <w:t>丁类</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61A7B7">
            <w:pPr>
              <w:pStyle w:val="45"/>
              <w:rPr>
                <w:rFonts w:hint="default"/>
              </w:rPr>
            </w:pPr>
            <w:r>
              <w:t>二级</w:t>
            </w:r>
          </w:p>
        </w:tc>
        <w:tc>
          <w:tcPr>
            <w:tcW w:w="3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9B80B4">
            <w:pPr>
              <w:pStyle w:val="45"/>
              <w:rPr>
                <w:rFonts w:hint="default"/>
              </w:rPr>
            </w:pPr>
            <w:r>
              <w:rPr>
                <w:rFonts w:hint="default"/>
              </w:rPr>
              <w:t>1</w:t>
            </w: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7C08A2">
            <w:pPr>
              <w:pStyle w:val="45"/>
              <w:rPr>
                <w:rFonts w:hint="default"/>
              </w:rPr>
            </w:pPr>
            <w:r>
              <w:rPr>
                <w:rFonts w:hint="default"/>
              </w:rPr>
              <w:t>8.15</w:t>
            </w:r>
          </w:p>
        </w:tc>
        <w:tc>
          <w:tcPr>
            <w:tcW w:w="10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A92C7E">
            <w:pPr>
              <w:pStyle w:val="45"/>
              <w:rPr>
                <w:rFonts w:hint="default"/>
              </w:rPr>
            </w:pPr>
          </w:p>
        </w:tc>
      </w:tr>
      <w:tr w14:paraId="2053DD33">
        <w:tblPrEx>
          <w:tblCellMar>
            <w:top w:w="0" w:type="dxa"/>
            <w:left w:w="108" w:type="dxa"/>
            <w:bottom w:w="0" w:type="dxa"/>
            <w:right w:w="108" w:type="dxa"/>
          </w:tblCellMar>
        </w:tblPrEx>
        <w:trPr>
          <w:trHeight w:val="170" w:hRule="atLeast"/>
        </w:trPr>
        <w:tc>
          <w:tcPr>
            <w:tcW w:w="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6BF5CF">
            <w:pPr>
              <w:pStyle w:val="45"/>
              <w:rPr>
                <w:rFonts w:hint="default"/>
              </w:rPr>
            </w:pPr>
            <w:r>
              <w:rPr>
                <w:rFonts w:hint="default"/>
              </w:rPr>
              <w:t>2</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EFF20C">
            <w:pPr>
              <w:pStyle w:val="45"/>
              <w:rPr>
                <w:rFonts w:hint="default"/>
              </w:rPr>
            </w:pPr>
            <w:r>
              <w:t>电解车间</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AB3F74">
            <w:pPr>
              <w:pStyle w:val="45"/>
              <w:rPr>
                <w:rFonts w:hint="default"/>
              </w:rPr>
            </w:pPr>
            <w:r>
              <w:rPr>
                <w:rFonts w:hint="default"/>
              </w:rPr>
              <w:t>2928</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732AE1">
            <w:pPr>
              <w:pStyle w:val="45"/>
              <w:rPr>
                <w:rFonts w:hint="default"/>
              </w:rPr>
            </w:pPr>
            <w:r>
              <w:rPr>
                <w:rFonts w:hint="default"/>
              </w:rPr>
              <w:t>2928</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4C21AD">
            <w:pPr>
              <w:pStyle w:val="45"/>
              <w:rPr>
                <w:rFonts w:hint="default"/>
              </w:rPr>
            </w:pPr>
            <w:r>
              <w:rPr>
                <w:rFonts w:hint="default"/>
              </w:rPr>
              <w:t>5856</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9C7483">
            <w:pPr>
              <w:pStyle w:val="45"/>
              <w:rPr>
                <w:rFonts w:hint="default"/>
              </w:rPr>
            </w:pPr>
            <w:r>
              <w:t>框架</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A81D1E">
            <w:pPr>
              <w:pStyle w:val="45"/>
              <w:rPr>
                <w:rFonts w:hint="default"/>
              </w:rPr>
            </w:pPr>
            <w:r>
              <w:t>甲类</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C40F19">
            <w:pPr>
              <w:pStyle w:val="45"/>
              <w:rPr>
                <w:rFonts w:hint="default"/>
              </w:rPr>
            </w:pPr>
            <w:r>
              <w:t>二级</w:t>
            </w:r>
          </w:p>
        </w:tc>
        <w:tc>
          <w:tcPr>
            <w:tcW w:w="3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328506">
            <w:pPr>
              <w:pStyle w:val="45"/>
              <w:rPr>
                <w:rFonts w:hint="default"/>
              </w:rPr>
            </w:pPr>
            <w:r>
              <w:rPr>
                <w:rFonts w:hint="default"/>
              </w:rPr>
              <w:t>1/</w:t>
            </w:r>
            <w:r>
              <w:t>局部</w:t>
            </w:r>
            <w:r>
              <w:rPr>
                <w:rFonts w:hint="default"/>
              </w:rPr>
              <w:t>2</w:t>
            </w:r>
            <w:r>
              <w:t>层</w:t>
            </w: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CB0828">
            <w:pPr>
              <w:pStyle w:val="45"/>
              <w:rPr>
                <w:rFonts w:hint="default"/>
              </w:rPr>
            </w:pPr>
            <w:r>
              <w:rPr>
                <w:rFonts w:hint="default"/>
              </w:rPr>
              <w:t>11.15</w:t>
            </w:r>
          </w:p>
        </w:tc>
        <w:tc>
          <w:tcPr>
            <w:tcW w:w="10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E58A87">
            <w:pPr>
              <w:pStyle w:val="45"/>
              <w:rPr>
                <w:rFonts w:hint="eastAsia" w:eastAsia="宋体"/>
                <w:lang w:val="en-US" w:eastAsia="zh-CN"/>
              </w:rPr>
            </w:pPr>
            <w:r>
              <w:rPr>
                <w:rFonts w:hint="eastAsia"/>
                <w:lang w:val="en-US" w:eastAsia="zh-CN"/>
              </w:rPr>
              <w:t>南面锂盐生产区约600</w:t>
            </w:r>
            <w:r>
              <w:t>m</w:t>
            </w:r>
            <w:r>
              <w:rPr>
                <w:rFonts w:hint="eastAsia"/>
                <w:vertAlign w:val="superscript"/>
                <w:lang w:val="en-US" w:eastAsia="zh-CN"/>
              </w:rPr>
              <w:t>2</w:t>
            </w:r>
          </w:p>
        </w:tc>
      </w:tr>
      <w:tr w14:paraId="63CCB209">
        <w:tblPrEx>
          <w:tblCellMar>
            <w:top w:w="0" w:type="dxa"/>
            <w:left w:w="108" w:type="dxa"/>
            <w:bottom w:w="0" w:type="dxa"/>
            <w:right w:w="108" w:type="dxa"/>
          </w:tblCellMar>
        </w:tblPrEx>
        <w:trPr>
          <w:trHeight w:val="170" w:hRule="atLeast"/>
        </w:trPr>
        <w:tc>
          <w:tcPr>
            <w:tcW w:w="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39C89B">
            <w:pPr>
              <w:pStyle w:val="45"/>
              <w:rPr>
                <w:rFonts w:hint="default"/>
              </w:rPr>
            </w:pPr>
            <w:r>
              <w:rPr>
                <w:rFonts w:hint="default"/>
              </w:rPr>
              <w:t>3</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DC571D">
            <w:pPr>
              <w:pStyle w:val="45"/>
              <w:rPr>
                <w:rFonts w:hint="default"/>
              </w:rPr>
            </w:pPr>
            <w:r>
              <w:t>复分解车间</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3E4CC1">
            <w:pPr>
              <w:pStyle w:val="45"/>
              <w:rPr>
                <w:rFonts w:hint="default"/>
              </w:rPr>
            </w:pPr>
            <w:r>
              <w:rPr>
                <w:rFonts w:hint="default"/>
              </w:rPr>
              <w:t>1380</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AB58F0">
            <w:pPr>
              <w:pStyle w:val="45"/>
              <w:rPr>
                <w:rFonts w:hint="default"/>
              </w:rPr>
            </w:pPr>
            <w:r>
              <w:rPr>
                <w:rFonts w:hint="default"/>
              </w:rPr>
              <w:t>2760</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CF8C81">
            <w:pPr>
              <w:pStyle w:val="45"/>
              <w:rPr>
                <w:rFonts w:hint="default"/>
              </w:rPr>
            </w:pPr>
            <w:r>
              <w:rPr>
                <w:rFonts w:hint="default"/>
              </w:rPr>
              <w:t>2760</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5971BD">
            <w:pPr>
              <w:pStyle w:val="45"/>
              <w:rPr>
                <w:rFonts w:hint="default"/>
              </w:rPr>
            </w:pPr>
            <w:r>
              <w:t>框架</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46225D">
            <w:pPr>
              <w:pStyle w:val="45"/>
              <w:rPr>
                <w:rFonts w:hint="default"/>
              </w:rPr>
            </w:pPr>
            <w:r>
              <w:t>甲类</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CF2DEE">
            <w:pPr>
              <w:pStyle w:val="45"/>
              <w:rPr>
                <w:rFonts w:hint="default"/>
              </w:rPr>
            </w:pPr>
            <w:r>
              <w:t>二级</w:t>
            </w:r>
          </w:p>
        </w:tc>
        <w:tc>
          <w:tcPr>
            <w:tcW w:w="3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4F8F2D">
            <w:pPr>
              <w:pStyle w:val="45"/>
              <w:rPr>
                <w:rFonts w:hint="default"/>
              </w:rPr>
            </w:pPr>
            <w:r>
              <w:rPr>
                <w:rFonts w:hint="default"/>
              </w:rPr>
              <w:t>2</w:t>
            </w: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B5BD95">
            <w:pPr>
              <w:pStyle w:val="45"/>
              <w:rPr>
                <w:rFonts w:hint="default"/>
              </w:rPr>
            </w:pPr>
            <w:r>
              <w:rPr>
                <w:rFonts w:hint="default"/>
              </w:rPr>
              <w:t>13.15</w:t>
            </w:r>
          </w:p>
        </w:tc>
        <w:tc>
          <w:tcPr>
            <w:tcW w:w="10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411575">
            <w:pPr>
              <w:pStyle w:val="45"/>
              <w:rPr>
                <w:rFonts w:hint="default"/>
              </w:rPr>
            </w:pPr>
          </w:p>
        </w:tc>
      </w:tr>
      <w:tr w14:paraId="613EF954">
        <w:tblPrEx>
          <w:tblCellMar>
            <w:top w:w="0" w:type="dxa"/>
            <w:left w:w="108" w:type="dxa"/>
            <w:bottom w:w="0" w:type="dxa"/>
            <w:right w:w="108" w:type="dxa"/>
          </w:tblCellMar>
        </w:tblPrEx>
        <w:trPr>
          <w:trHeight w:val="170" w:hRule="atLeast"/>
        </w:trPr>
        <w:tc>
          <w:tcPr>
            <w:tcW w:w="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C87794">
            <w:pPr>
              <w:pStyle w:val="45"/>
              <w:rPr>
                <w:rFonts w:hint="default"/>
              </w:rPr>
            </w:pPr>
            <w:r>
              <w:rPr>
                <w:rFonts w:hint="default"/>
              </w:rPr>
              <w:t>4</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0DF2AC">
            <w:pPr>
              <w:pStyle w:val="45"/>
              <w:rPr>
                <w:rFonts w:hint="default"/>
              </w:rPr>
            </w:pPr>
            <w:r>
              <w:t>原料仓库</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BC9C66">
            <w:pPr>
              <w:pStyle w:val="45"/>
              <w:rPr>
                <w:rFonts w:hint="default"/>
              </w:rPr>
            </w:pPr>
            <w:r>
              <w:rPr>
                <w:rFonts w:hint="default"/>
              </w:rPr>
              <w:t>240</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09E941">
            <w:pPr>
              <w:pStyle w:val="45"/>
              <w:rPr>
                <w:rFonts w:hint="default"/>
              </w:rPr>
            </w:pPr>
            <w:r>
              <w:rPr>
                <w:rFonts w:hint="default"/>
              </w:rPr>
              <w:t>240</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549849">
            <w:pPr>
              <w:pStyle w:val="45"/>
              <w:rPr>
                <w:rFonts w:hint="default"/>
              </w:rPr>
            </w:pPr>
            <w:r>
              <w:rPr>
                <w:rFonts w:hint="default"/>
              </w:rPr>
              <w:t>240</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21F643">
            <w:pPr>
              <w:pStyle w:val="45"/>
              <w:rPr>
                <w:rFonts w:hint="default"/>
              </w:rPr>
            </w:pPr>
            <w:r>
              <w:t>框架</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D933E0">
            <w:pPr>
              <w:pStyle w:val="45"/>
              <w:rPr>
                <w:rFonts w:hint="default"/>
              </w:rPr>
            </w:pPr>
            <w:r>
              <w:t>甲类</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11015D">
            <w:pPr>
              <w:pStyle w:val="45"/>
              <w:rPr>
                <w:rFonts w:hint="default"/>
              </w:rPr>
            </w:pPr>
            <w:r>
              <w:t>二级</w:t>
            </w:r>
          </w:p>
        </w:tc>
        <w:tc>
          <w:tcPr>
            <w:tcW w:w="3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372CEC">
            <w:pPr>
              <w:pStyle w:val="45"/>
              <w:rPr>
                <w:rFonts w:hint="default"/>
              </w:rPr>
            </w:pPr>
            <w:r>
              <w:rPr>
                <w:rFonts w:hint="default"/>
              </w:rPr>
              <w:t>1</w:t>
            </w: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3A6D26">
            <w:pPr>
              <w:pStyle w:val="45"/>
              <w:rPr>
                <w:rFonts w:hint="default"/>
              </w:rPr>
            </w:pPr>
            <w:r>
              <w:rPr>
                <w:rFonts w:hint="default"/>
              </w:rPr>
              <w:t>6.15</w:t>
            </w:r>
          </w:p>
        </w:tc>
        <w:tc>
          <w:tcPr>
            <w:tcW w:w="10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18536F">
            <w:pPr>
              <w:pStyle w:val="45"/>
              <w:rPr>
                <w:rFonts w:hint="default"/>
              </w:rPr>
            </w:pPr>
          </w:p>
        </w:tc>
      </w:tr>
      <w:tr w14:paraId="2DF7B3CD">
        <w:tblPrEx>
          <w:tblCellMar>
            <w:top w:w="0" w:type="dxa"/>
            <w:left w:w="108" w:type="dxa"/>
            <w:bottom w:w="0" w:type="dxa"/>
            <w:right w:w="108" w:type="dxa"/>
          </w:tblCellMar>
        </w:tblPrEx>
        <w:trPr>
          <w:trHeight w:val="170" w:hRule="atLeast"/>
        </w:trPr>
        <w:tc>
          <w:tcPr>
            <w:tcW w:w="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FADDB6">
            <w:pPr>
              <w:pStyle w:val="45"/>
              <w:rPr>
                <w:rFonts w:hint="default"/>
              </w:rPr>
            </w:pPr>
            <w:r>
              <w:rPr>
                <w:rFonts w:hint="default"/>
              </w:rPr>
              <w:t>5</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2A05A4">
            <w:pPr>
              <w:pStyle w:val="45"/>
              <w:rPr>
                <w:rFonts w:hint="default"/>
              </w:rPr>
            </w:pPr>
            <w:r>
              <w:t>成品仓库</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197858">
            <w:pPr>
              <w:pStyle w:val="45"/>
              <w:rPr>
                <w:rFonts w:hint="default"/>
              </w:rPr>
            </w:pPr>
            <w:r>
              <w:rPr>
                <w:rFonts w:hint="default"/>
              </w:rPr>
              <w:t>240</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7294E2">
            <w:pPr>
              <w:pStyle w:val="45"/>
              <w:rPr>
                <w:rFonts w:hint="default"/>
              </w:rPr>
            </w:pPr>
            <w:r>
              <w:rPr>
                <w:rFonts w:hint="default"/>
              </w:rPr>
              <w:t>240</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EDF1D0">
            <w:pPr>
              <w:pStyle w:val="45"/>
              <w:rPr>
                <w:rFonts w:hint="default"/>
              </w:rPr>
            </w:pPr>
            <w:r>
              <w:rPr>
                <w:rFonts w:hint="default"/>
              </w:rPr>
              <w:t>240</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DA80CF">
            <w:pPr>
              <w:pStyle w:val="45"/>
              <w:rPr>
                <w:rFonts w:hint="default"/>
              </w:rPr>
            </w:pPr>
            <w:r>
              <w:t>框架</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2E8A91">
            <w:pPr>
              <w:pStyle w:val="45"/>
              <w:rPr>
                <w:rFonts w:hint="default"/>
              </w:rPr>
            </w:pPr>
            <w:r>
              <w:t>甲类</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1A2A13">
            <w:pPr>
              <w:pStyle w:val="45"/>
              <w:rPr>
                <w:rFonts w:hint="default"/>
              </w:rPr>
            </w:pPr>
            <w:r>
              <w:t>二级</w:t>
            </w:r>
          </w:p>
        </w:tc>
        <w:tc>
          <w:tcPr>
            <w:tcW w:w="3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DEE3E0">
            <w:pPr>
              <w:pStyle w:val="45"/>
              <w:rPr>
                <w:rFonts w:hint="default"/>
              </w:rPr>
            </w:pPr>
            <w:r>
              <w:rPr>
                <w:rFonts w:hint="default"/>
              </w:rPr>
              <w:t>1</w:t>
            </w: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9C3F4E">
            <w:pPr>
              <w:pStyle w:val="45"/>
              <w:rPr>
                <w:rFonts w:hint="default"/>
              </w:rPr>
            </w:pPr>
            <w:r>
              <w:rPr>
                <w:rFonts w:hint="default"/>
              </w:rPr>
              <w:t>6.15</w:t>
            </w:r>
          </w:p>
        </w:tc>
        <w:tc>
          <w:tcPr>
            <w:tcW w:w="10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7DCA9A">
            <w:pPr>
              <w:pStyle w:val="45"/>
              <w:rPr>
                <w:rFonts w:hint="default"/>
              </w:rPr>
            </w:pPr>
          </w:p>
        </w:tc>
      </w:tr>
      <w:tr w14:paraId="3BA36065">
        <w:tblPrEx>
          <w:tblCellMar>
            <w:top w:w="0" w:type="dxa"/>
            <w:left w:w="108" w:type="dxa"/>
            <w:bottom w:w="0" w:type="dxa"/>
            <w:right w:w="108" w:type="dxa"/>
          </w:tblCellMar>
        </w:tblPrEx>
        <w:trPr>
          <w:trHeight w:val="170" w:hRule="atLeast"/>
        </w:trPr>
        <w:tc>
          <w:tcPr>
            <w:tcW w:w="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30F9EF">
            <w:pPr>
              <w:pStyle w:val="45"/>
              <w:rPr>
                <w:rFonts w:hint="default"/>
              </w:rPr>
            </w:pPr>
            <w:r>
              <w:rPr>
                <w:rFonts w:hint="default"/>
              </w:rPr>
              <w:t>6</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2EA1AF">
            <w:pPr>
              <w:pStyle w:val="45"/>
              <w:rPr>
                <w:rFonts w:hint="default"/>
              </w:rPr>
            </w:pPr>
            <w:r>
              <w:t>罐区1</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E95720">
            <w:pPr>
              <w:pStyle w:val="45"/>
              <w:rPr>
                <w:rFonts w:hint="default"/>
              </w:rPr>
            </w:pPr>
            <w:r>
              <w:rPr>
                <w:rFonts w:hint="default"/>
              </w:rPr>
              <w:t>1467.2</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F3978E">
            <w:pPr>
              <w:pStyle w:val="45"/>
              <w:rPr>
                <w:rFonts w:hint="default"/>
              </w:rPr>
            </w:pPr>
            <w:r>
              <w:rPr>
                <w:rFonts w:hint="default"/>
              </w:rPr>
              <w:t>/</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B39AA9">
            <w:pPr>
              <w:pStyle w:val="45"/>
              <w:rPr>
                <w:rFonts w:hint="default"/>
              </w:rPr>
            </w:pPr>
            <w:r>
              <w:rPr>
                <w:rFonts w:hint="default"/>
              </w:rPr>
              <w:t>1467.2</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2F8169">
            <w:pPr>
              <w:pStyle w:val="45"/>
              <w:rPr>
                <w:rFonts w:hint="default"/>
              </w:rPr>
            </w:pPr>
            <w:r>
              <w:t>钢砼</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78A789">
            <w:pPr>
              <w:pStyle w:val="45"/>
              <w:rPr>
                <w:rFonts w:hint="default"/>
              </w:rPr>
            </w:pPr>
            <w:r>
              <w:t>戊类</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0EF04F">
            <w:pPr>
              <w:pStyle w:val="45"/>
              <w:rPr>
                <w:rFonts w:hint="default"/>
              </w:rPr>
            </w:pPr>
            <w:r>
              <w:t>二级</w:t>
            </w:r>
          </w:p>
        </w:tc>
        <w:tc>
          <w:tcPr>
            <w:tcW w:w="3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9EE7BD">
            <w:pPr>
              <w:pStyle w:val="45"/>
              <w:rPr>
                <w:rFonts w:hint="default"/>
              </w:rPr>
            </w:pPr>
            <w:r>
              <w:rPr>
                <w:rFonts w:hint="default"/>
              </w:rPr>
              <w:t>/</w:t>
            </w: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49F8E9">
            <w:pPr>
              <w:pStyle w:val="45"/>
              <w:rPr>
                <w:rFonts w:hint="default"/>
              </w:rPr>
            </w:pPr>
            <w:r>
              <w:rPr>
                <w:rFonts w:hint="default"/>
              </w:rPr>
              <w:t>/</w:t>
            </w:r>
          </w:p>
        </w:tc>
        <w:tc>
          <w:tcPr>
            <w:tcW w:w="10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7DB4DA">
            <w:pPr>
              <w:pStyle w:val="45"/>
              <w:rPr>
                <w:rFonts w:hint="default"/>
              </w:rPr>
            </w:pPr>
          </w:p>
        </w:tc>
      </w:tr>
      <w:tr w14:paraId="38D18162">
        <w:tblPrEx>
          <w:tblCellMar>
            <w:top w:w="0" w:type="dxa"/>
            <w:left w:w="108" w:type="dxa"/>
            <w:bottom w:w="0" w:type="dxa"/>
            <w:right w:w="108" w:type="dxa"/>
          </w:tblCellMar>
        </w:tblPrEx>
        <w:trPr>
          <w:trHeight w:val="170" w:hRule="atLeast"/>
        </w:trPr>
        <w:tc>
          <w:tcPr>
            <w:tcW w:w="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F9D81D">
            <w:pPr>
              <w:pStyle w:val="45"/>
              <w:rPr>
                <w:rFonts w:hint="default"/>
              </w:rPr>
            </w:pPr>
            <w:r>
              <w:rPr>
                <w:rFonts w:hint="default"/>
              </w:rPr>
              <w:t>7</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BAE4B4">
            <w:pPr>
              <w:pStyle w:val="45"/>
              <w:rPr>
                <w:rFonts w:hint="default"/>
              </w:rPr>
            </w:pPr>
            <w:r>
              <w:t>罐区2</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AEE426">
            <w:pPr>
              <w:pStyle w:val="45"/>
              <w:rPr>
                <w:rFonts w:hint="default"/>
              </w:rPr>
            </w:pPr>
            <w:r>
              <w:rPr>
                <w:rFonts w:hint="default"/>
              </w:rPr>
              <w:t>306.18</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3F6550">
            <w:pPr>
              <w:pStyle w:val="45"/>
              <w:rPr>
                <w:rFonts w:hint="default"/>
              </w:rPr>
            </w:pPr>
            <w:r>
              <w:rPr>
                <w:rFonts w:hint="default"/>
              </w:rPr>
              <w:t>/</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CE02DA">
            <w:pPr>
              <w:pStyle w:val="45"/>
              <w:rPr>
                <w:rFonts w:hint="default"/>
              </w:rPr>
            </w:pPr>
            <w:r>
              <w:rPr>
                <w:rFonts w:hint="default"/>
              </w:rPr>
              <w:t>306.18</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F59129">
            <w:pPr>
              <w:pStyle w:val="45"/>
              <w:rPr>
                <w:rFonts w:hint="default"/>
              </w:rPr>
            </w:pPr>
            <w:r>
              <w:t>钢砼</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13B6AA">
            <w:pPr>
              <w:pStyle w:val="45"/>
              <w:rPr>
                <w:rFonts w:hint="default"/>
              </w:rPr>
            </w:pPr>
            <w:r>
              <w:t>戊类</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96D8D9">
            <w:pPr>
              <w:pStyle w:val="45"/>
              <w:rPr>
                <w:rFonts w:hint="default"/>
              </w:rPr>
            </w:pPr>
            <w:r>
              <w:t>二级</w:t>
            </w:r>
          </w:p>
        </w:tc>
        <w:tc>
          <w:tcPr>
            <w:tcW w:w="3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5086E9">
            <w:pPr>
              <w:pStyle w:val="45"/>
              <w:rPr>
                <w:rFonts w:hint="default"/>
              </w:rPr>
            </w:pPr>
            <w:r>
              <w:rPr>
                <w:rFonts w:hint="default"/>
              </w:rPr>
              <w:t>/</w:t>
            </w: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EB5569">
            <w:pPr>
              <w:pStyle w:val="45"/>
              <w:rPr>
                <w:rFonts w:hint="default"/>
              </w:rPr>
            </w:pPr>
            <w:r>
              <w:rPr>
                <w:rFonts w:hint="default"/>
              </w:rPr>
              <w:t>/</w:t>
            </w:r>
          </w:p>
        </w:tc>
        <w:tc>
          <w:tcPr>
            <w:tcW w:w="10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AA2F26">
            <w:pPr>
              <w:pStyle w:val="45"/>
              <w:rPr>
                <w:rFonts w:hint="default"/>
              </w:rPr>
            </w:pPr>
          </w:p>
        </w:tc>
      </w:tr>
      <w:tr w14:paraId="498A0DA2">
        <w:tblPrEx>
          <w:tblCellMar>
            <w:top w:w="0" w:type="dxa"/>
            <w:left w:w="108" w:type="dxa"/>
            <w:bottom w:w="0" w:type="dxa"/>
            <w:right w:w="108" w:type="dxa"/>
          </w:tblCellMar>
        </w:tblPrEx>
        <w:trPr>
          <w:trHeight w:val="170" w:hRule="atLeast"/>
        </w:trPr>
        <w:tc>
          <w:tcPr>
            <w:tcW w:w="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527807">
            <w:pPr>
              <w:pStyle w:val="45"/>
              <w:ind w:firstLine="0" w:firstLineChars="0"/>
              <w:rPr>
                <w:rFonts w:hint="default" w:ascii="Times New Roman" w:hAnsi="Times New Roman" w:eastAsia="宋体" w:cs="Times New Roman"/>
                <w:kern w:val="0"/>
                <w:sz w:val="21"/>
                <w:szCs w:val="21"/>
                <w:lang w:val="en-US" w:eastAsia="zh-CN" w:bidi="ar-SA"/>
              </w:rPr>
            </w:pPr>
            <w:r>
              <w:rPr>
                <w:rFonts w:hint="default"/>
              </w:rPr>
              <w:t>8</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989AD8">
            <w:pPr>
              <w:pStyle w:val="45"/>
              <w:rPr>
                <w:rFonts w:hint="default" w:eastAsia="宋体"/>
                <w:lang w:val="en-US" w:eastAsia="zh-CN"/>
              </w:rPr>
            </w:pPr>
            <w:r>
              <w:rPr>
                <w:rFonts w:hint="eastAsia"/>
                <w:lang w:val="en-US" w:eastAsia="zh-CN"/>
              </w:rPr>
              <w:t>氢气回收区</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C46027">
            <w:pPr>
              <w:pStyle w:val="45"/>
              <w:rPr>
                <w:rFonts w:hint="default" w:eastAsia="宋体"/>
                <w:lang w:val="en-US" w:eastAsia="zh-CN"/>
              </w:rPr>
            </w:pPr>
            <w:r>
              <w:rPr>
                <w:rFonts w:hint="eastAsia"/>
                <w:lang w:val="en-US" w:eastAsia="zh-CN"/>
              </w:rPr>
              <w:t>3600</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922B62">
            <w:pPr>
              <w:pStyle w:val="45"/>
              <w:rPr>
                <w:rFonts w:hint="eastAsia" w:eastAsia="宋体"/>
                <w:lang w:val="en-US" w:eastAsia="zh-CN"/>
              </w:rPr>
            </w:pPr>
            <w:r>
              <w:rPr>
                <w:rFonts w:hint="eastAsia"/>
                <w:lang w:val="en-US" w:eastAsia="zh-CN"/>
              </w:rPr>
              <w:t>/</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826FA8">
            <w:pPr>
              <w:pStyle w:val="45"/>
              <w:rPr>
                <w:rFonts w:hint="eastAsia" w:eastAsia="宋体"/>
                <w:lang w:val="en-US" w:eastAsia="zh-CN"/>
              </w:rPr>
            </w:pPr>
            <w:r>
              <w:rPr>
                <w:rFonts w:hint="eastAsia"/>
                <w:lang w:val="en-US" w:eastAsia="zh-CN"/>
              </w:rPr>
              <w:t>/</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9D729C">
            <w:pPr>
              <w:pStyle w:val="45"/>
            </w:pPr>
            <w:r>
              <w:t>钢砼</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AD3CC3">
            <w:pPr>
              <w:pStyle w:val="45"/>
              <w:ind w:firstLine="0" w:firstLineChars="0"/>
            </w:pPr>
            <w:r>
              <w:t>甲类</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676C66">
            <w:pPr>
              <w:pStyle w:val="45"/>
              <w:ind w:firstLine="0" w:firstLineChars="0"/>
            </w:pPr>
            <w:r>
              <w:t>二级</w:t>
            </w:r>
          </w:p>
        </w:tc>
        <w:tc>
          <w:tcPr>
            <w:tcW w:w="3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759CB3">
            <w:pPr>
              <w:pStyle w:val="45"/>
              <w:rPr>
                <w:rFonts w:hint="eastAsia" w:eastAsia="宋体"/>
                <w:lang w:val="en-US" w:eastAsia="zh-CN"/>
              </w:rPr>
            </w:pPr>
            <w:r>
              <w:rPr>
                <w:rFonts w:hint="eastAsia"/>
                <w:lang w:val="en-US" w:eastAsia="zh-CN"/>
              </w:rPr>
              <w:t>/</w:t>
            </w: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CE98BB">
            <w:pPr>
              <w:pStyle w:val="45"/>
              <w:rPr>
                <w:rFonts w:hint="eastAsia" w:eastAsia="宋体"/>
                <w:lang w:val="en-US" w:eastAsia="zh-CN"/>
              </w:rPr>
            </w:pPr>
            <w:r>
              <w:rPr>
                <w:rFonts w:hint="eastAsia"/>
                <w:lang w:val="en-US" w:eastAsia="zh-CN"/>
              </w:rPr>
              <w:t>/</w:t>
            </w:r>
          </w:p>
        </w:tc>
        <w:tc>
          <w:tcPr>
            <w:tcW w:w="10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BD9997">
            <w:pPr>
              <w:pStyle w:val="45"/>
              <w:rPr>
                <w:rFonts w:hint="default"/>
              </w:rPr>
            </w:pPr>
          </w:p>
        </w:tc>
      </w:tr>
      <w:tr w14:paraId="4C21F4FE">
        <w:tblPrEx>
          <w:tblCellMar>
            <w:top w:w="0" w:type="dxa"/>
            <w:left w:w="108" w:type="dxa"/>
            <w:bottom w:w="0" w:type="dxa"/>
            <w:right w:w="108" w:type="dxa"/>
          </w:tblCellMar>
        </w:tblPrEx>
        <w:trPr>
          <w:trHeight w:val="170" w:hRule="atLeast"/>
        </w:trPr>
        <w:tc>
          <w:tcPr>
            <w:tcW w:w="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7A46D5">
            <w:pPr>
              <w:pStyle w:val="45"/>
              <w:ind w:firstLine="0" w:firstLineChars="0"/>
              <w:rPr>
                <w:rFonts w:hint="default" w:ascii="Times New Roman" w:hAnsi="Times New Roman" w:eastAsia="宋体" w:cs="Times New Roman"/>
                <w:kern w:val="0"/>
                <w:sz w:val="21"/>
                <w:szCs w:val="21"/>
                <w:lang w:val="en-US" w:eastAsia="zh-CN" w:bidi="ar-SA"/>
              </w:rPr>
            </w:pPr>
            <w:r>
              <w:rPr>
                <w:rFonts w:hint="default"/>
              </w:rPr>
              <w:t>9</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91FFC4">
            <w:pPr>
              <w:pStyle w:val="45"/>
              <w:rPr>
                <w:rFonts w:hint="default"/>
              </w:rPr>
            </w:pPr>
            <w:r>
              <w:t>公用工程站</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9D524D">
            <w:pPr>
              <w:pStyle w:val="45"/>
              <w:rPr>
                <w:rFonts w:hint="default"/>
              </w:rPr>
            </w:pPr>
            <w:r>
              <w:rPr>
                <w:rFonts w:hint="default"/>
              </w:rPr>
              <w:t>801</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65F392">
            <w:pPr>
              <w:pStyle w:val="45"/>
              <w:rPr>
                <w:rFonts w:hint="default"/>
              </w:rPr>
            </w:pPr>
            <w:r>
              <w:rPr>
                <w:rFonts w:hint="default"/>
              </w:rPr>
              <w:t>901</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49C9A2">
            <w:pPr>
              <w:pStyle w:val="45"/>
              <w:rPr>
                <w:rFonts w:hint="default"/>
              </w:rPr>
            </w:pPr>
            <w:r>
              <w:rPr>
                <w:rFonts w:hint="default"/>
              </w:rPr>
              <w:t>801</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F71319">
            <w:pPr>
              <w:pStyle w:val="45"/>
              <w:rPr>
                <w:rFonts w:hint="default"/>
              </w:rPr>
            </w:pPr>
            <w:r>
              <w:t>砖混</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B89DF2">
            <w:pPr>
              <w:pStyle w:val="45"/>
              <w:rPr>
                <w:rFonts w:hint="default"/>
              </w:rPr>
            </w:pPr>
            <w:r>
              <w:t>丁类</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F310BF">
            <w:pPr>
              <w:pStyle w:val="45"/>
              <w:rPr>
                <w:rFonts w:hint="default"/>
              </w:rPr>
            </w:pPr>
            <w:r>
              <w:t>二级</w:t>
            </w:r>
          </w:p>
        </w:tc>
        <w:tc>
          <w:tcPr>
            <w:tcW w:w="3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495E37">
            <w:pPr>
              <w:pStyle w:val="45"/>
              <w:rPr>
                <w:rFonts w:hint="default"/>
              </w:rPr>
            </w:pPr>
            <w:r>
              <w:rPr>
                <w:rFonts w:hint="default"/>
              </w:rPr>
              <w:t>1</w:t>
            </w: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8E055B">
            <w:pPr>
              <w:pStyle w:val="45"/>
              <w:rPr>
                <w:rFonts w:hint="default"/>
              </w:rPr>
            </w:pPr>
            <w:r>
              <w:rPr>
                <w:rFonts w:hint="default"/>
              </w:rPr>
              <w:t>6.75</w:t>
            </w:r>
          </w:p>
        </w:tc>
        <w:tc>
          <w:tcPr>
            <w:tcW w:w="10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228A94">
            <w:pPr>
              <w:pStyle w:val="45"/>
              <w:rPr>
                <w:rFonts w:hint="default"/>
              </w:rPr>
            </w:pPr>
            <w:r>
              <w:t>含地下消防水池（有效容积570m</w:t>
            </w:r>
            <w:r>
              <w:rPr>
                <w:vertAlign w:val="superscript"/>
              </w:rPr>
              <w:t>3</w:t>
            </w:r>
            <w:r>
              <w:rPr>
                <w:rFonts w:hint="default"/>
              </w:rPr>
              <w:t>)</w:t>
            </w:r>
            <w:r>
              <w:t>、消防泵房</w:t>
            </w:r>
          </w:p>
        </w:tc>
      </w:tr>
      <w:tr w14:paraId="6E862EDE">
        <w:tblPrEx>
          <w:tblCellMar>
            <w:top w:w="0" w:type="dxa"/>
            <w:left w:w="108" w:type="dxa"/>
            <w:bottom w:w="0" w:type="dxa"/>
            <w:right w:w="108" w:type="dxa"/>
          </w:tblCellMar>
        </w:tblPrEx>
        <w:trPr>
          <w:trHeight w:val="170" w:hRule="atLeast"/>
        </w:trPr>
        <w:tc>
          <w:tcPr>
            <w:tcW w:w="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1727CF">
            <w:pPr>
              <w:pStyle w:val="45"/>
              <w:ind w:firstLine="0" w:firstLineChars="0"/>
              <w:rPr>
                <w:rFonts w:hint="default" w:ascii="Times New Roman" w:hAnsi="Times New Roman" w:eastAsia="宋体" w:cs="Times New Roman"/>
                <w:kern w:val="0"/>
                <w:sz w:val="21"/>
                <w:szCs w:val="21"/>
                <w:lang w:val="en-US" w:eastAsia="zh-CN" w:bidi="ar-SA"/>
              </w:rPr>
            </w:pPr>
            <w:r>
              <w:rPr>
                <w:rFonts w:hint="default"/>
              </w:rPr>
              <w:t>10</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B9F234">
            <w:pPr>
              <w:pStyle w:val="45"/>
              <w:rPr>
                <w:rFonts w:hint="default"/>
              </w:rPr>
            </w:pPr>
            <w:r>
              <w:t>纯水及循环水站</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07A611">
            <w:pPr>
              <w:pStyle w:val="45"/>
              <w:rPr>
                <w:rFonts w:hint="default"/>
              </w:rPr>
            </w:pPr>
            <w:r>
              <w:rPr>
                <w:rFonts w:hint="default"/>
              </w:rPr>
              <w:t>108</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BEC654">
            <w:pPr>
              <w:pStyle w:val="45"/>
              <w:rPr>
                <w:rFonts w:hint="default"/>
              </w:rPr>
            </w:pPr>
            <w:r>
              <w:rPr>
                <w:rFonts w:hint="default"/>
              </w:rPr>
              <w:t>/</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B27ABD">
            <w:pPr>
              <w:pStyle w:val="45"/>
              <w:rPr>
                <w:rFonts w:hint="default"/>
              </w:rPr>
            </w:pPr>
            <w:r>
              <w:rPr>
                <w:rFonts w:hint="default"/>
              </w:rPr>
              <w:t>108</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CD69CA">
            <w:pPr>
              <w:pStyle w:val="45"/>
              <w:rPr>
                <w:rFonts w:hint="default"/>
              </w:rPr>
            </w:pPr>
            <w:r>
              <w:t>钢砼</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35AE02">
            <w:pPr>
              <w:pStyle w:val="45"/>
              <w:rPr>
                <w:rFonts w:hint="default"/>
              </w:rPr>
            </w:pPr>
            <w:r>
              <w:rPr>
                <w:rFonts w:hint="default"/>
              </w:rPr>
              <w:t>/</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DB7527">
            <w:pPr>
              <w:pStyle w:val="45"/>
              <w:rPr>
                <w:rFonts w:hint="default"/>
              </w:rPr>
            </w:pPr>
            <w:r>
              <w:rPr>
                <w:rFonts w:hint="default"/>
              </w:rPr>
              <w:t>/</w:t>
            </w:r>
          </w:p>
        </w:tc>
        <w:tc>
          <w:tcPr>
            <w:tcW w:w="3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BC6C03">
            <w:pPr>
              <w:pStyle w:val="45"/>
              <w:rPr>
                <w:rFonts w:hint="default"/>
              </w:rPr>
            </w:pPr>
            <w:r>
              <w:rPr>
                <w:rFonts w:hint="default"/>
              </w:rPr>
              <w:t>/</w:t>
            </w: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8DE68D">
            <w:pPr>
              <w:pStyle w:val="45"/>
              <w:rPr>
                <w:rFonts w:hint="default"/>
              </w:rPr>
            </w:pPr>
            <w:r>
              <w:rPr>
                <w:rFonts w:hint="default"/>
              </w:rPr>
              <w:t>/</w:t>
            </w:r>
          </w:p>
        </w:tc>
        <w:tc>
          <w:tcPr>
            <w:tcW w:w="10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FF3ACF">
            <w:pPr>
              <w:pStyle w:val="45"/>
              <w:rPr>
                <w:rFonts w:hint="default"/>
              </w:rPr>
            </w:pPr>
          </w:p>
        </w:tc>
      </w:tr>
      <w:tr w14:paraId="66409101">
        <w:tblPrEx>
          <w:tblCellMar>
            <w:top w:w="0" w:type="dxa"/>
            <w:left w:w="108" w:type="dxa"/>
            <w:bottom w:w="0" w:type="dxa"/>
            <w:right w:w="108" w:type="dxa"/>
          </w:tblCellMar>
        </w:tblPrEx>
        <w:trPr>
          <w:trHeight w:val="170" w:hRule="atLeast"/>
        </w:trPr>
        <w:tc>
          <w:tcPr>
            <w:tcW w:w="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94614E">
            <w:pPr>
              <w:pStyle w:val="45"/>
              <w:ind w:firstLine="0" w:firstLineChars="0"/>
              <w:rPr>
                <w:rFonts w:hint="default" w:ascii="Times New Roman" w:hAnsi="Times New Roman" w:eastAsia="宋体" w:cs="Times New Roman"/>
                <w:kern w:val="0"/>
                <w:sz w:val="21"/>
                <w:szCs w:val="21"/>
                <w:lang w:val="en-US" w:eastAsia="zh-CN" w:bidi="ar-SA"/>
              </w:rPr>
            </w:pPr>
            <w:r>
              <w:rPr>
                <w:rFonts w:hint="default"/>
              </w:rPr>
              <w:t>11</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DE25CE">
            <w:pPr>
              <w:pStyle w:val="45"/>
              <w:rPr>
                <w:rFonts w:hint="default"/>
              </w:rPr>
            </w:pPr>
            <w:r>
              <w:t>门卫室</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B91100">
            <w:pPr>
              <w:pStyle w:val="45"/>
              <w:rPr>
                <w:rFonts w:hint="default"/>
              </w:rPr>
            </w:pPr>
            <w:r>
              <w:rPr>
                <w:rFonts w:hint="default"/>
              </w:rPr>
              <w:t>36</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98D004">
            <w:pPr>
              <w:pStyle w:val="45"/>
              <w:rPr>
                <w:rFonts w:hint="default"/>
              </w:rPr>
            </w:pPr>
            <w:r>
              <w:rPr>
                <w:rFonts w:hint="default"/>
              </w:rPr>
              <w:t>36</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B4CD29">
            <w:pPr>
              <w:pStyle w:val="45"/>
              <w:rPr>
                <w:rFonts w:hint="default"/>
              </w:rPr>
            </w:pPr>
            <w:r>
              <w:rPr>
                <w:rFonts w:hint="default"/>
              </w:rPr>
              <w:t>36</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2386E9">
            <w:pPr>
              <w:pStyle w:val="45"/>
              <w:rPr>
                <w:rFonts w:hint="default"/>
              </w:rPr>
            </w:pPr>
            <w:r>
              <w:t>砖混</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8A2626">
            <w:pPr>
              <w:pStyle w:val="45"/>
              <w:rPr>
                <w:rFonts w:hint="default"/>
              </w:rPr>
            </w:pPr>
            <w:r>
              <w:t>/</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7310E7">
            <w:pPr>
              <w:pStyle w:val="45"/>
              <w:rPr>
                <w:rFonts w:hint="default"/>
              </w:rPr>
            </w:pPr>
            <w:r>
              <w:t>二级</w:t>
            </w:r>
          </w:p>
        </w:tc>
        <w:tc>
          <w:tcPr>
            <w:tcW w:w="3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A571EE">
            <w:pPr>
              <w:pStyle w:val="45"/>
              <w:rPr>
                <w:rFonts w:hint="default"/>
              </w:rPr>
            </w:pPr>
            <w:r>
              <w:rPr>
                <w:rFonts w:hint="default"/>
              </w:rPr>
              <w:t>1</w:t>
            </w: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3EEEF7">
            <w:pPr>
              <w:pStyle w:val="45"/>
              <w:rPr>
                <w:rFonts w:hint="default"/>
              </w:rPr>
            </w:pPr>
            <w:r>
              <w:rPr>
                <w:rFonts w:hint="default"/>
              </w:rPr>
              <w:t>4.5</w:t>
            </w:r>
          </w:p>
        </w:tc>
        <w:tc>
          <w:tcPr>
            <w:tcW w:w="10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967F2C">
            <w:pPr>
              <w:pStyle w:val="45"/>
              <w:rPr>
                <w:rFonts w:hint="default"/>
              </w:rPr>
            </w:pPr>
            <w:r>
              <w:rPr>
                <w:rFonts w:hint="default"/>
              </w:rPr>
              <w:t xml:space="preserve">2 </w:t>
            </w:r>
            <w:r>
              <w:t>个</w:t>
            </w:r>
          </w:p>
        </w:tc>
      </w:tr>
      <w:tr w14:paraId="0F8FAD06">
        <w:tblPrEx>
          <w:tblCellMar>
            <w:top w:w="0" w:type="dxa"/>
            <w:left w:w="108" w:type="dxa"/>
            <w:bottom w:w="0" w:type="dxa"/>
            <w:right w:w="108" w:type="dxa"/>
          </w:tblCellMar>
        </w:tblPrEx>
        <w:trPr>
          <w:trHeight w:val="170" w:hRule="atLeast"/>
        </w:trPr>
        <w:tc>
          <w:tcPr>
            <w:tcW w:w="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AE3EA2">
            <w:pPr>
              <w:pStyle w:val="45"/>
              <w:ind w:firstLine="0" w:firstLineChars="0"/>
              <w:rPr>
                <w:rFonts w:hint="default" w:ascii="Times New Roman" w:hAnsi="Times New Roman" w:eastAsia="宋体" w:cs="Times New Roman"/>
                <w:kern w:val="0"/>
                <w:sz w:val="21"/>
                <w:szCs w:val="21"/>
                <w:lang w:val="en-US" w:eastAsia="zh-CN" w:bidi="ar-SA"/>
              </w:rPr>
            </w:pPr>
            <w:r>
              <w:rPr>
                <w:rFonts w:hint="default"/>
              </w:rPr>
              <w:t>12</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E61F18">
            <w:pPr>
              <w:pStyle w:val="45"/>
              <w:rPr>
                <w:rFonts w:hint="default"/>
              </w:rPr>
            </w:pPr>
            <w:r>
              <w:t>污水处理装置区及污水处理池</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03C5F1">
            <w:pPr>
              <w:pStyle w:val="45"/>
              <w:rPr>
                <w:rFonts w:hint="default"/>
              </w:rPr>
            </w:pPr>
            <w:r>
              <w:rPr>
                <w:rFonts w:hint="default"/>
              </w:rPr>
              <w:t>186</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CEF8CD">
            <w:pPr>
              <w:pStyle w:val="45"/>
              <w:rPr>
                <w:rFonts w:hint="default"/>
              </w:rPr>
            </w:pPr>
            <w:r>
              <w:rPr>
                <w:rFonts w:hint="default"/>
              </w:rPr>
              <w:t>/</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DE6EE4">
            <w:pPr>
              <w:pStyle w:val="45"/>
              <w:rPr>
                <w:rFonts w:hint="default"/>
              </w:rPr>
            </w:pPr>
            <w:r>
              <w:rPr>
                <w:rFonts w:hint="default"/>
              </w:rPr>
              <w:t>186</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AFF8C4">
            <w:pPr>
              <w:pStyle w:val="45"/>
              <w:rPr>
                <w:rFonts w:hint="default"/>
              </w:rPr>
            </w:pPr>
            <w:r>
              <w:t>钢砼</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64CEC5">
            <w:pPr>
              <w:pStyle w:val="45"/>
              <w:rPr>
                <w:rFonts w:hint="default"/>
              </w:rPr>
            </w:pPr>
            <w:r>
              <w:rPr>
                <w:rFonts w:hint="default"/>
              </w:rPr>
              <w:t>/</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B5F226">
            <w:pPr>
              <w:pStyle w:val="45"/>
              <w:rPr>
                <w:rFonts w:hint="default"/>
              </w:rPr>
            </w:pPr>
            <w:r>
              <w:rPr>
                <w:rFonts w:hint="default"/>
              </w:rPr>
              <w:t>/</w:t>
            </w:r>
          </w:p>
        </w:tc>
        <w:tc>
          <w:tcPr>
            <w:tcW w:w="3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6E3051">
            <w:pPr>
              <w:pStyle w:val="45"/>
              <w:rPr>
                <w:rFonts w:hint="default"/>
              </w:rPr>
            </w:pPr>
            <w:r>
              <w:rPr>
                <w:rFonts w:hint="default"/>
              </w:rPr>
              <w:t>/</w:t>
            </w: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3AA5EE">
            <w:pPr>
              <w:pStyle w:val="45"/>
              <w:rPr>
                <w:rFonts w:hint="default"/>
              </w:rPr>
            </w:pPr>
            <w:r>
              <w:rPr>
                <w:rFonts w:hint="default"/>
              </w:rPr>
              <w:t>/</w:t>
            </w:r>
          </w:p>
        </w:tc>
        <w:tc>
          <w:tcPr>
            <w:tcW w:w="10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C2ED23">
            <w:pPr>
              <w:pStyle w:val="45"/>
              <w:rPr>
                <w:rFonts w:hint="default"/>
              </w:rPr>
            </w:pPr>
            <w:r>
              <w:t>污水池有效容积约100m</w:t>
            </w:r>
            <w:r>
              <w:rPr>
                <w:vertAlign w:val="superscript"/>
              </w:rPr>
              <w:t>3</w:t>
            </w:r>
          </w:p>
        </w:tc>
      </w:tr>
      <w:tr w14:paraId="36EB9F8E">
        <w:tblPrEx>
          <w:tblCellMar>
            <w:top w:w="0" w:type="dxa"/>
            <w:left w:w="108" w:type="dxa"/>
            <w:bottom w:w="0" w:type="dxa"/>
            <w:right w:w="108" w:type="dxa"/>
          </w:tblCellMar>
        </w:tblPrEx>
        <w:trPr>
          <w:trHeight w:val="170" w:hRule="atLeast"/>
        </w:trPr>
        <w:tc>
          <w:tcPr>
            <w:tcW w:w="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B3D770">
            <w:pPr>
              <w:pStyle w:val="45"/>
              <w:ind w:firstLine="0" w:firstLineChars="0"/>
              <w:rPr>
                <w:rFonts w:hint="default" w:ascii="Times New Roman" w:hAnsi="Times New Roman" w:eastAsia="宋体" w:cs="Times New Roman"/>
                <w:kern w:val="0"/>
                <w:sz w:val="21"/>
                <w:szCs w:val="21"/>
                <w:lang w:val="en-US" w:eastAsia="zh-CN" w:bidi="ar-SA"/>
              </w:rPr>
            </w:pPr>
            <w:r>
              <w:rPr>
                <w:rFonts w:hint="default"/>
              </w:rPr>
              <w:t>13</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7F3B9B">
            <w:pPr>
              <w:pStyle w:val="45"/>
              <w:rPr>
                <w:rFonts w:hint="default"/>
              </w:rPr>
            </w:pPr>
            <w:r>
              <w:t>初期雨水池</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9B7750">
            <w:pPr>
              <w:pStyle w:val="45"/>
              <w:rPr>
                <w:rFonts w:hint="default"/>
              </w:rPr>
            </w:pPr>
            <w:r>
              <w:rPr>
                <w:rFonts w:hint="default"/>
              </w:rPr>
              <w:t>62</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014AF4">
            <w:pPr>
              <w:pStyle w:val="45"/>
              <w:rPr>
                <w:rFonts w:hint="default"/>
              </w:rPr>
            </w:pPr>
            <w:r>
              <w:rPr>
                <w:rFonts w:hint="default"/>
              </w:rPr>
              <w:t>/</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838D05">
            <w:pPr>
              <w:pStyle w:val="45"/>
              <w:rPr>
                <w:rFonts w:hint="default"/>
              </w:rPr>
            </w:pPr>
            <w:r>
              <w:rPr>
                <w:rFonts w:hint="default"/>
              </w:rPr>
              <w:t>62</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1900E7">
            <w:pPr>
              <w:pStyle w:val="45"/>
              <w:rPr>
                <w:rFonts w:hint="default"/>
              </w:rPr>
            </w:pPr>
            <w:r>
              <w:t>钢砼</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15FECB">
            <w:pPr>
              <w:pStyle w:val="45"/>
              <w:rPr>
                <w:rFonts w:hint="default"/>
              </w:rPr>
            </w:pPr>
            <w:r>
              <w:rPr>
                <w:rFonts w:hint="default"/>
              </w:rPr>
              <w:t>/</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DCFDBF">
            <w:pPr>
              <w:pStyle w:val="45"/>
              <w:rPr>
                <w:rFonts w:hint="default"/>
              </w:rPr>
            </w:pPr>
            <w:r>
              <w:rPr>
                <w:rFonts w:hint="default"/>
              </w:rPr>
              <w:t>/</w:t>
            </w:r>
          </w:p>
        </w:tc>
        <w:tc>
          <w:tcPr>
            <w:tcW w:w="3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290B07">
            <w:pPr>
              <w:pStyle w:val="45"/>
              <w:rPr>
                <w:rFonts w:hint="default"/>
              </w:rPr>
            </w:pPr>
            <w:r>
              <w:rPr>
                <w:rFonts w:hint="default"/>
              </w:rPr>
              <w:t>/</w:t>
            </w: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A3F2E1">
            <w:pPr>
              <w:pStyle w:val="45"/>
              <w:rPr>
                <w:rFonts w:hint="default"/>
              </w:rPr>
            </w:pPr>
            <w:r>
              <w:rPr>
                <w:rFonts w:hint="default"/>
              </w:rPr>
              <w:t>/</w:t>
            </w:r>
          </w:p>
        </w:tc>
        <w:tc>
          <w:tcPr>
            <w:tcW w:w="10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1DDF7E">
            <w:pPr>
              <w:pStyle w:val="45"/>
              <w:rPr>
                <w:rFonts w:hint="default"/>
              </w:rPr>
            </w:pPr>
            <w:r>
              <w:t>有效容积约250m</w:t>
            </w:r>
            <w:r>
              <w:rPr>
                <w:vertAlign w:val="superscript"/>
              </w:rPr>
              <w:t>3</w:t>
            </w:r>
          </w:p>
        </w:tc>
      </w:tr>
      <w:tr w14:paraId="0B5223D9">
        <w:tblPrEx>
          <w:tblCellMar>
            <w:top w:w="0" w:type="dxa"/>
            <w:left w:w="108" w:type="dxa"/>
            <w:bottom w:w="0" w:type="dxa"/>
            <w:right w:w="108" w:type="dxa"/>
          </w:tblCellMar>
        </w:tblPrEx>
        <w:trPr>
          <w:trHeight w:val="170" w:hRule="atLeast"/>
        </w:trPr>
        <w:tc>
          <w:tcPr>
            <w:tcW w:w="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0614C2">
            <w:pPr>
              <w:pStyle w:val="45"/>
              <w:rPr>
                <w:rFonts w:hint="default" w:eastAsia="宋体"/>
                <w:lang w:val="en-US" w:eastAsia="zh-CN"/>
              </w:rPr>
            </w:pPr>
            <w:r>
              <w:rPr>
                <w:rFonts w:hint="eastAsia"/>
                <w:lang w:val="en-US" w:eastAsia="zh-CN"/>
              </w:rPr>
              <w:t>14</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E0AC2E">
            <w:pPr>
              <w:pStyle w:val="45"/>
              <w:rPr>
                <w:rFonts w:hint="default"/>
              </w:rPr>
            </w:pPr>
            <w:r>
              <w:t>事故应急池</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C6C316">
            <w:pPr>
              <w:pStyle w:val="45"/>
              <w:rPr>
                <w:rFonts w:hint="default"/>
              </w:rPr>
            </w:pPr>
            <w:r>
              <w:rPr>
                <w:rFonts w:hint="default"/>
              </w:rPr>
              <w:t>130</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3A418E">
            <w:pPr>
              <w:pStyle w:val="45"/>
              <w:rPr>
                <w:rFonts w:hint="default"/>
              </w:rPr>
            </w:pP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FE44B5">
            <w:pPr>
              <w:pStyle w:val="45"/>
              <w:rPr>
                <w:rFonts w:hint="default"/>
              </w:rPr>
            </w:pPr>
            <w:r>
              <w:rPr>
                <w:rFonts w:hint="default"/>
              </w:rPr>
              <w:t>130</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FFAA3F">
            <w:pPr>
              <w:pStyle w:val="45"/>
              <w:rPr>
                <w:rFonts w:hint="default"/>
              </w:rPr>
            </w:pPr>
            <w:r>
              <w:t>钢砼</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8B2678">
            <w:pPr>
              <w:pStyle w:val="45"/>
              <w:rPr>
                <w:rFonts w:hint="default"/>
              </w:rPr>
            </w:pPr>
            <w:r>
              <w:rPr>
                <w:rFonts w:hint="default"/>
              </w:rPr>
              <w:t>/</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6E3A10">
            <w:pPr>
              <w:pStyle w:val="45"/>
              <w:rPr>
                <w:rFonts w:hint="default"/>
              </w:rPr>
            </w:pPr>
            <w:r>
              <w:rPr>
                <w:rFonts w:hint="default"/>
              </w:rPr>
              <w:t>/</w:t>
            </w:r>
          </w:p>
        </w:tc>
        <w:tc>
          <w:tcPr>
            <w:tcW w:w="3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4F2422">
            <w:pPr>
              <w:pStyle w:val="45"/>
              <w:rPr>
                <w:rFonts w:hint="default"/>
              </w:rPr>
            </w:pPr>
            <w:r>
              <w:rPr>
                <w:rFonts w:hint="default"/>
              </w:rPr>
              <w:t>/</w:t>
            </w: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2A0478">
            <w:pPr>
              <w:pStyle w:val="45"/>
              <w:rPr>
                <w:rFonts w:hint="default"/>
              </w:rPr>
            </w:pPr>
            <w:r>
              <w:rPr>
                <w:rFonts w:hint="default"/>
              </w:rPr>
              <w:t>/</w:t>
            </w:r>
          </w:p>
        </w:tc>
        <w:tc>
          <w:tcPr>
            <w:tcW w:w="10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6D0CCC">
            <w:pPr>
              <w:pStyle w:val="45"/>
              <w:rPr>
                <w:rFonts w:hint="default"/>
              </w:rPr>
            </w:pPr>
            <w:r>
              <w:t>有效容积约550m</w:t>
            </w:r>
            <w:r>
              <w:rPr>
                <w:vertAlign w:val="superscript"/>
              </w:rPr>
              <w:t>3</w:t>
            </w:r>
          </w:p>
        </w:tc>
      </w:tr>
      <w:tr w14:paraId="39B8DA52">
        <w:tblPrEx>
          <w:tblCellMar>
            <w:top w:w="0" w:type="dxa"/>
            <w:left w:w="108" w:type="dxa"/>
            <w:bottom w:w="0" w:type="dxa"/>
            <w:right w:w="108" w:type="dxa"/>
          </w:tblCellMar>
        </w:tblPrEx>
        <w:trPr>
          <w:trHeight w:val="170" w:hRule="atLeast"/>
        </w:trPr>
        <w:tc>
          <w:tcPr>
            <w:tcW w:w="1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203CB5">
            <w:pPr>
              <w:pStyle w:val="45"/>
              <w:rPr>
                <w:rFonts w:hint="default"/>
              </w:rPr>
            </w:pPr>
            <w:r>
              <w:t>合计</w:t>
            </w:r>
          </w:p>
        </w:tc>
        <w:tc>
          <w:tcPr>
            <w:tcW w:w="6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0CB14B">
            <w:pPr>
              <w:pStyle w:val="45"/>
              <w:rPr>
                <w:rFonts w:hint="default"/>
              </w:rPr>
            </w:pP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6D4F8C">
            <w:pPr>
              <w:pStyle w:val="45"/>
              <w:rPr>
                <w:rFonts w:hint="default"/>
                <w:b/>
                <w:bCs/>
              </w:rPr>
            </w:pPr>
            <w:r>
              <w:rPr>
                <w:rFonts w:hint="default"/>
                <w:b/>
                <w:bCs/>
              </w:rPr>
              <w:t>7956.38</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282AD4">
            <w:pPr>
              <w:pStyle w:val="45"/>
              <w:rPr>
                <w:rFonts w:hint="eastAsia" w:eastAsia="宋体"/>
                <w:b/>
                <w:bCs/>
                <w:lang w:eastAsia="zh-CN"/>
              </w:rPr>
            </w:pPr>
            <w:r>
              <w:rPr>
                <w:rFonts w:hint="eastAsia"/>
                <w:b/>
                <w:bCs/>
                <w:lang w:eastAsia="zh-CN"/>
              </w:rPr>
              <w:t>11155</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1C21D8">
            <w:pPr>
              <w:pStyle w:val="45"/>
              <w:rPr>
                <w:rFonts w:hint="default"/>
                <w:b/>
                <w:bCs/>
              </w:rPr>
            </w:pPr>
            <w:r>
              <w:rPr>
                <w:rFonts w:hint="default"/>
                <w:b/>
                <w:bCs/>
              </w:rPr>
              <w:t>12264.38</w:t>
            </w: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0549D8">
            <w:pPr>
              <w:pStyle w:val="45"/>
              <w:rPr>
                <w:rFonts w:hint="default"/>
              </w:rPr>
            </w:pP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37433B">
            <w:pPr>
              <w:pStyle w:val="45"/>
              <w:rPr>
                <w:rFonts w:hint="default"/>
              </w:rPr>
            </w:pPr>
          </w:p>
        </w:tc>
        <w:tc>
          <w:tcPr>
            <w:tcW w:w="2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5AE62C">
            <w:pPr>
              <w:pStyle w:val="45"/>
              <w:rPr>
                <w:rFonts w:hint="default"/>
              </w:rPr>
            </w:pPr>
          </w:p>
        </w:tc>
        <w:tc>
          <w:tcPr>
            <w:tcW w:w="3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842B4F">
            <w:pPr>
              <w:pStyle w:val="45"/>
              <w:rPr>
                <w:rFonts w:hint="default"/>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F1B791">
            <w:pPr>
              <w:pStyle w:val="45"/>
              <w:rPr>
                <w:rFonts w:hint="default"/>
              </w:rPr>
            </w:pPr>
          </w:p>
        </w:tc>
        <w:tc>
          <w:tcPr>
            <w:tcW w:w="10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C5275">
            <w:pPr>
              <w:pStyle w:val="45"/>
              <w:rPr>
                <w:rFonts w:hint="default"/>
              </w:rPr>
            </w:pPr>
          </w:p>
        </w:tc>
      </w:tr>
    </w:tbl>
    <w:p w14:paraId="10CA60C5">
      <w:pPr>
        <w:spacing w:line="240" w:lineRule="auto"/>
        <w:ind w:firstLine="0" w:firstLineChars="0"/>
      </w:pPr>
    </w:p>
    <w:p w14:paraId="27D79C3A">
      <w:pPr>
        <w:pStyle w:val="43"/>
        <w:rPr>
          <w:rFonts w:hint="default"/>
        </w:rPr>
      </w:pPr>
      <w:r>
        <w:t>罐区情况一览表</w:t>
      </w:r>
    </w:p>
    <w:tbl>
      <w:tblPr>
        <w:tblStyle w:val="32"/>
        <w:tblW w:w="4997" w:type="pct"/>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autofit"/>
        <w:tblCellMar>
          <w:top w:w="0" w:type="dxa"/>
          <w:left w:w="108" w:type="dxa"/>
          <w:bottom w:w="0" w:type="dxa"/>
          <w:right w:w="108" w:type="dxa"/>
        </w:tblCellMar>
      </w:tblPr>
      <w:tblGrid>
        <w:gridCol w:w="893"/>
        <w:gridCol w:w="2478"/>
        <w:gridCol w:w="2186"/>
        <w:gridCol w:w="3388"/>
        <w:gridCol w:w="1503"/>
        <w:gridCol w:w="1330"/>
        <w:gridCol w:w="1100"/>
        <w:gridCol w:w="1287"/>
      </w:tblGrid>
      <w:tr w14:paraId="330728AB">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170" w:hRule="atLeast"/>
          <w:tblHeader/>
        </w:trPr>
        <w:tc>
          <w:tcPr>
            <w:tcW w:w="315" w:type="pct"/>
            <w:shd w:val="clear" w:color="auto" w:fill="auto"/>
            <w:vAlign w:val="center"/>
          </w:tcPr>
          <w:p w14:paraId="69DF0F03">
            <w:pPr>
              <w:pStyle w:val="45"/>
              <w:rPr>
                <w:rFonts w:hint="default"/>
                <w:b/>
                <w:bCs/>
              </w:rPr>
            </w:pPr>
            <w:r>
              <w:rPr>
                <w:b/>
                <w:bCs/>
              </w:rPr>
              <w:t>序号</w:t>
            </w:r>
          </w:p>
        </w:tc>
        <w:tc>
          <w:tcPr>
            <w:tcW w:w="874" w:type="pct"/>
            <w:shd w:val="clear" w:color="auto" w:fill="auto"/>
            <w:vAlign w:val="center"/>
          </w:tcPr>
          <w:p w14:paraId="0CD8A3CF">
            <w:pPr>
              <w:pStyle w:val="45"/>
              <w:rPr>
                <w:rFonts w:hint="default"/>
                <w:b/>
                <w:bCs/>
              </w:rPr>
            </w:pPr>
            <w:r>
              <w:rPr>
                <w:b/>
                <w:bCs/>
              </w:rPr>
              <w:t>设备位号</w:t>
            </w:r>
          </w:p>
        </w:tc>
        <w:tc>
          <w:tcPr>
            <w:tcW w:w="771" w:type="pct"/>
            <w:shd w:val="clear" w:color="auto" w:fill="auto"/>
            <w:vAlign w:val="center"/>
          </w:tcPr>
          <w:p w14:paraId="0679121C">
            <w:pPr>
              <w:pStyle w:val="45"/>
              <w:rPr>
                <w:rFonts w:hint="default"/>
                <w:b/>
                <w:bCs/>
              </w:rPr>
            </w:pPr>
            <w:r>
              <w:rPr>
                <w:b/>
                <w:bCs/>
              </w:rPr>
              <w:t>物料名称</w:t>
            </w:r>
          </w:p>
        </w:tc>
        <w:tc>
          <w:tcPr>
            <w:tcW w:w="1195" w:type="pct"/>
            <w:shd w:val="clear" w:color="auto" w:fill="auto"/>
            <w:vAlign w:val="center"/>
          </w:tcPr>
          <w:p w14:paraId="77EB2902">
            <w:pPr>
              <w:pStyle w:val="45"/>
              <w:rPr>
                <w:rFonts w:hint="default"/>
                <w:b/>
                <w:bCs/>
              </w:rPr>
            </w:pPr>
            <w:r>
              <w:rPr>
                <w:b/>
                <w:bCs/>
              </w:rPr>
              <w:t>规格型号</w:t>
            </w:r>
          </w:p>
        </w:tc>
        <w:tc>
          <w:tcPr>
            <w:tcW w:w="530" w:type="pct"/>
            <w:shd w:val="clear" w:color="auto" w:fill="auto"/>
            <w:vAlign w:val="center"/>
          </w:tcPr>
          <w:p w14:paraId="1D4997C1">
            <w:pPr>
              <w:pStyle w:val="45"/>
              <w:rPr>
                <w:rFonts w:hint="default"/>
                <w:b/>
                <w:bCs/>
              </w:rPr>
            </w:pPr>
            <w:r>
              <w:rPr>
                <w:b/>
                <w:bCs/>
              </w:rPr>
              <w:t>容积（m</w:t>
            </w:r>
            <w:r>
              <w:rPr>
                <w:b/>
                <w:bCs/>
                <w:vertAlign w:val="superscript"/>
              </w:rPr>
              <w:t>3</w:t>
            </w:r>
            <w:r>
              <w:rPr>
                <w:b/>
                <w:bCs/>
              </w:rPr>
              <w:t>）</w:t>
            </w:r>
          </w:p>
        </w:tc>
        <w:tc>
          <w:tcPr>
            <w:tcW w:w="469" w:type="pct"/>
            <w:shd w:val="clear" w:color="auto" w:fill="auto"/>
            <w:vAlign w:val="center"/>
          </w:tcPr>
          <w:p w14:paraId="7289C078">
            <w:pPr>
              <w:pStyle w:val="45"/>
              <w:rPr>
                <w:rFonts w:hint="default"/>
                <w:b/>
                <w:bCs/>
              </w:rPr>
            </w:pPr>
            <w:r>
              <w:rPr>
                <w:b/>
                <w:bCs/>
              </w:rPr>
              <w:t>火灾类别</w:t>
            </w:r>
          </w:p>
        </w:tc>
        <w:tc>
          <w:tcPr>
            <w:tcW w:w="388" w:type="pct"/>
            <w:shd w:val="clear" w:color="auto" w:fill="auto"/>
            <w:vAlign w:val="center"/>
          </w:tcPr>
          <w:p w14:paraId="7877CECF">
            <w:pPr>
              <w:pStyle w:val="45"/>
              <w:rPr>
                <w:rFonts w:hint="default"/>
                <w:b/>
                <w:bCs/>
              </w:rPr>
            </w:pPr>
            <w:r>
              <w:rPr>
                <w:b/>
                <w:bCs/>
              </w:rPr>
              <w:t>材质</w:t>
            </w:r>
          </w:p>
        </w:tc>
        <w:tc>
          <w:tcPr>
            <w:tcW w:w="454" w:type="pct"/>
            <w:shd w:val="clear" w:color="auto" w:fill="auto"/>
            <w:vAlign w:val="center"/>
          </w:tcPr>
          <w:p w14:paraId="3528702A">
            <w:pPr>
              <w:pStyle w:val="45"/>
              <w:rPr>
                <w:rFonts w:hint="default"/>
                <w:b/>
                <w:bCs/>
              </w:rPr>
            </w:pPr>
            <w:r>
              <w:rPr>
                <w:b/>
                <w:bCs/>
              </w:rPr>
              <w:t>备注</w:t>
            </w:r>
          </w:p>
        </w:tc>
      </w:tr>
      <w:tr w14:paraId="5FA5305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170" w:hRule="atLeast"/>
        </w:trPr>
        <w:tc>
          <w:tcPr>
            <w:tcW w:w="315" w:type="pct"/>
            <w:shd w:val="clear" w:color="auto" w:fill="auto"/>
            <w:vAlign w:val="center"/>
          </w:tcPr>
          <w:p w14:paraId="78BE6CF9">
            <w:pPr>
              <w:pStyle w:val="45"/>
              <w:rPr>
                <w:rFonts w:hint="default"/>
              </w:rPr>
            </w:pPr>
            <w:r>
              <w:t>1</w:t>
            </w:r>
          </w:p>
        </w:tc>
        <w:tc>
          <w:tcPr>
            <w:tcW w:w="874" w:type="pct"/>
            <w:shd w:val="clear" w:color="auto" w:fill="auto"/>
            <w:vAlign w:val="center"/>
          </w:tcPr>
          <w:p w14:paraId="7D99C53A">
            <w:pPr>
              <w:pStyle w:val="45"/>
              <w:rPr>
                <w:rFonts w:hint="default"/>
              </w:rPr>
            </w:pPr>
            <w:r>
              <w:t>V0101~V0103</w:t>
            </w:r>
          </w:p>
        </w:tc>
        <w:tc>
          <w:tcPr>
            <w:tcW w:w="771" w:type="pct"/>
            <w:shd w:val="clear" w:color="auto" w:fill="auto"/>
            <w:vAlign w:val="center"/>
          </w:tcPr>
          <w:p w14:paraId="4D2241A0">
            <w:pPr>
              <w:pStyle w:val="45"/>
              <w:rPr>
                <w:rFonts w:hint="default"/>
              </w:rPr>
            </w:pPr>
            <w:r>
              <w:t>氯化钾溶液</w:t>
            </w:r>
          </w:p>
        </w:tc>
        <w:tc>
          <w:tcPr>
            <w:tcW w:w="1195" w:type="pct"/>
            <w:shd w:val="clear" w:color="auto" w:fill="auto"/>
            <w:vAlign w:val="center"/>
          </w:tcPr>
          <w:p w14:paraId="5C1E0957">
            <w:pPr>
              <w:pStyle w:val="45"/>
              <w:rPr>
                <w:rFonts w:hint="default"/>
              </w:rPr>
            </w:pPr>
            <w:r>
              <w:t>立式固定顶储罐 φ9000×10000</w:t>
            </w:r>
          </w:p>
        </w:tc>
        <w:tc>
          <w:tcPr>
            <w:tcW w:w="530" w:type="pct"/>
            <w:shd w:val="clear" w:color="auto" w:fill="auto"/>
            <w:vAlign w:val="center"/>
          </w:tcPr>
          <w:p w14:paraId="0B57C362">
            <w:pPr>
              <w:pStyle w:val="45"/>
              <w:rPr>
                <w:rFonts w:hint="default"/>
              </w:rPr>
            </w:pPr>
            <w:r>
              <w:t>500</w:t>
            </w:r>
          </w:p>
        </w:tc>
        <w:tc>
          <w:tcPr>
            <w:tcW w:w="469" w:type="pct"/>
            <w:shd w:val="clear" w:color="auto" w:fill="auto"/>
            <w:vAlign w:val="center"/>
          </w:tcPr>
          <w:p w14:paraId="0159A7B2">
            <w:pPr>
              <w:pStyle w:val="45"/>
              <w:rPr>
                <w:rFonts w:hint="default"/>
              </w:rPr>
            </w:pPr>
            <w:r>
              <w:t>戊类</w:t>
            </w:r>
          </w:p>
        </w:tc>
        <w:tc>
          <w:tcPr>
            <w:tcW w:w="388" w:type="pct"/>
            <w:shd w:val="clear" w:color="auto" w:fill="auto"/>
            <w:vAlign w:val="center"/>
          </w:tcPr>
          <w:p w14:paraId="25A57A83">
            <w:pPr>
              <w:pStyle w:val="45"/>
              <w:rPr>
                <w:rFonts w:hint="default"/>
              </w:rPr>
            </w:pPr>
            <w:r>
              <w:t>FRP</w:t>
            </w:r>
          </w:p>
        </w:tc>
        <w:tc>
          <w:tcPr>
            <w:tcW w:w="454" w:type="pct"/>
            <w:shd w:val="clear" w:color="auto" w:fill="auto"/>
            <w:vAlign w:val="center"/>
          </w:tcPr>
          <w:p w14:paraId="5360D5ED">
            <w:pPr>
              <w:pStyle w:val="45"/>
              <w:rPr>
                <w:rFonts w:hint="default"/>
              </w:rPr>
            </w:pPr>
            <w:r>
              <w:t>罐区1</w:t>
            </w:r>
          </w:p>
        </w:tc>
      </w:tr>
      <w:tr w14:paraId="46CEC540">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170" w:hRule="atLeast"/>
        </w:trPr>
        <w:tc>
          <w:tcPr>
            <w:tcW w:w="315" w:type="pct"/>
            <w:shd w:val="clear" w:color="auto" w:fill="auto"/>
            <w:vAlign w:val="center"/>
          </w:tcPr>
          <w:p w14:paraId="2A51A5EC">
            <w:pPr>
              <w:pStyle w:val="45"/>
              <w:rPr>
                <w:rFonts w:hint="default"/>
              </w:rPr>
            </w:pPr>
            <w:r>
              <w:t>2</w:t>
            </w:r>
          </w:p>
        </w:tc>
        <w:tc>
          <w:tcPr>
            <w:tcW w:w="874" w:type="pct"/>
            <w:shd w:val="clear" w:color="auto" w:fill="auto"/>
            <w:vAlign w:val="center"/>
          </w:tcPr>
          <w:p w14:paraId="1DF3D10D">
            <w:pPr>
              <w:pStyle w:val="45"/>
              <w:rPr>
                <w:rFonts w:hint="default"/>
              </w:rPr>
            </w:pPr>
            <w:r>
              <w:t>V0104~V0106</w:t>
            </w:r>
          </w:p>
        </w:tc>
        <w:tc>
          <w:tcPr>
            <w:tcW w:w="771" w:type="pct"/>
            <w:shd w:val="clear" w:color="auto" w:fill="auto"/>
            <w:vAlign w:val="center"/>
          </w:tcPr>
          <w:p w14:paraId="1FC8BB3E">
            <w:pPr>
              <w:pStyle w:val="45"/>
              <w:rPr>
                <w:rFonts w:hint="default"/>
              </w:rPr>
            </w:pPr>
            <w:r>
              <w:t>氯化钠溶液</w:t>
            </w:r>
          </w:p>
        </w:tc>
        <w:tc>
          <w:tcPr>
            <w:tcW w:w="1195" w:type="pct"/>
            <w:shd w:val="clear" w:color="auto" w:fill="auto"/>
            <w:vAlign w:val="center"/>
          </w:tcPr>
          <w:p w14:paraId="4FFCE81C">
            <w:pPr>
              <w:pStyle w:val="45"/>
              <w:rPr>
                <w:rFonts w:hint="default"/>
              </w:rPr>
            </w:pPr>
            <w:r>
              <w:t>立式固定顶储罐 φ9000×10000</w:t>
            </w:r>
          </w:p>
        </w:tc>
        <w:tc>
          <w:tcPr>
            <w:tcW w:w="530" w:type="pct"/>
            <w:shd w:val="clear" w:color="auto" w:fill="auto"/>
            <w:vAlign w:val="center"/>
          </w:tcPr>
          <w:p w14:paraId="73FE73ED">
            <w:pPr>
              <w:pStyle w:val="45"/>
              <w:rPr>
                <w:rFonts w:hint="default"/>
              </w:rPr>
            </w:pPr>
            <w:r>
              <w:t>500</w:t>
            </w:r>
          </w:p>
        </w:tc>
        <w:tc>
          <w:tcPr>
            <w:tcW w:w="469" w:type="pct"/>
            <w:shd w:val="clear" w:color="auto" w:fill="auto"/>
            <w:vAlign w:val="center"/>
          </w:tcPr>
          <w:p w14:paraId="431A3284">
            <w:pPr>
              <w:pStyle w:val="45"/>
              <w:rPr>
                <w:rFonts w:hint="default"/>
              </w:rPr>
            </w:pPr>
            <w:r>
              <w:t>戊类</w:t>
            </w:r>
          </w:p>
        </w:tc>
        <w:tc>
          <w:tcPr>
            <w:tcW w:w="388" w:type="pct"/>
            <w:shd w:val="clear" w:color="auto" w:fill="auto"/>
            <w:vAlign w:val="center"/>
          </w:tcPr>
          <w:p w14:paraId="72CC6AD3">
            <w:pPr>
              <w:pStyle w:val="45"/>
              <w:rPr>
                <w:rFonts w:hint="default"/>
              </w:rPr>
            </w:pPr>
            <w:r>
              <w:t>FRP</w:t>
            </w:r>
          </w:p>
        </w:tc>
        <w:tc>
          <w:tcPr>
            <w:tcW w:w="454" w:type="pct"/>
            <w:shd w:val="clear" w:color="auto" w:fill="auto"/>
            <w:vAlign w:val="center"/>
          </w:tcPr>
          <w:p w14:paraId="356C48F3">
            <w:pPr>
              <w:pStyle w:val="45"/>
              <w:rPr>
                <w:rFonts w:hint="default"/>
              </w:rPr>
            </w:pPr>
            <w:r>
              <w:t>罐区1</w:t>
            </w:r>
          </w:p>
        </w:tc>
      </w:tr>
      <w:tr w14:paraId="4903412B">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170" w:hRule="atLeast"/>
        </w:trPr>
        <w:tc>
          <w:tcPr>
            <w:tcW w:w="315" w:type="pct"/>
            <w:shd w:val="clear" w:color="auto" w:fill="auto"/>
            <w:vAlign w:val="center"/>
          </w:tcPr>
          <w:p w14:paraId="32347318">
            <w:pPr>
              <w:pStyle w:val="45"/>
              <w:rPr>
                <w:rFonts w:hint="default"/>
              </w:rPr>
            </w:pPr>
            <w:r>
              <w:t>3</w:t>
            </w:r>
          </w:p>
        </w:tc>
        <w:tc>
          <w:tcPr>
            <w:tcW w:w="874" w:type="pct"/>
            <w:shd w:val="clear" w:color="auto" w:fill="auto"/>
            <w:vAlign w:val="center"/>
          </w:tcPr>
          <w:p w14:paraId="6217D3AF">
            <w:pPr>
              <w:pStyle w:val="45"/>
              <w:rPr>
                <w:rFonts w:hint="default"/>
              </w:rPr>
            </w:pPr>
            <w:r>
              <w:t>V0107</w:t>
            </w:r>
          </w:p>
        </w:tc>
        <w:tc>
          <w:tcPr>
            <w:tcW w:w="771" w:type="pct"/>
            <w:shd w:val="clear" w:color="auto" w:fill="auto"/>
            <w:vAlign w:val="center"/>
          </w:tcPr>
          <w:p w14:paraId="7F0AF619">
            <w:pPr>
              <w:pStyle w:val="45"/>
              <w:rPr>
                <w:rFonts w:hint="default"/>
              </w:rPr>
            </w:pPr>
            <w:r>
              <w:t>氯酸钠溶液</w:t>
            </w:r>
          </w:p>
        </w:tc>
        <w:tc>
          <w:tcPr>
            <w:tcW w:w="1195" w:type="pct"/>
            <w:shd w:val="clear" w:color="auto" w:fill="auto"/>
            <w:vAlign w:val="center"/>
          </w:tcPr>
          <w:p w14:paraId="67357F7D">
            <w:pPr>
              <w:pStyle w:val="45"/>
              <w:rPr>
                <w:rFonts w:hint="default"/>
              </w:rPr>
            </w:pPr>
            <w:r>
              <w:t>立式固定顶储罐 φ6000×7000</w:t>
            </w:r>
          </w:p>
        </w:tc>
        <w:tc>
          <w:tcPr>
            <w:tcW w:w="530" w:type="pct"/>
            <w:shd w:val="clear" w:color="auto" w:fill="auto"/>
            <w:vAlign w:val="center"/>
          </w:tcPr>
          <w:p w14:paraId="6BA64FC3">
            <w:pPr>
              <w:pStyle w:val="45"/>
              <w:rPr>
                <w:rFonts w:hint="default"/>
              </w:rPr>
            </w:pPr>
            <w:r>
              <w:t>200</w:t>
            </w:r>
          </w:p>
        </w:tc>
        <w:tc>
          <w:tcPr>
            <w:tcW w:w="469" w:type="pct"/>
            <w:shd w:val="clear" w:color="auto" w:fill="auto"/>
            <w:vAlign w:val="center"/>
          </w:tcPr>
          <w:p w14:paraId="274B6AC8">
            <w:pPr>
              <w:pStyle w:val="45"/>
              <w:rPr>
                <w:rFonts w:hint="default"/>
              </w:rPr>
            </w:pPr>
            <w:r>
              <w:t>乙类</w:t>
            </w:r>
          </w:p>
        </w:tc>
        <w:tc>
          <w:tcPr>
            <w:tcW w:w="388" w:type="pct"/>
            <w:shd w:val="clear" w:color="auto" w:fill="auto"/>
            <w:vAlign w:val="center"/>
          </w:tcPr>
          <w:p w14:paraId="1E44AC01">
            <w:pPr>
              <w:pStyle w:val="45"/>
              <w:rPr>
                <w:rFonts w:hint="default"/>
              </w:rPr>
            </w:pPr>
            <w:r>
              <w:t>FRP</w:t>
            </w:r>
          </w:p>
        </w:tc>
        <w:tc>
          <w:tcPr>
            <w:tcW w:w="454" w:type="pct"/>
            <w:shd w:val="clear" w:color="auto" w:fill="auto"/>
            <w:vAlign w:val="center"/>
          </w:tcPr>
          <w:p w14:paraId="677E65C2">
            <w:pPr>
              <w:pStyle w:val="45"/>
              <w:rPr>
                <w:rFonts w:hint="default"/>
              </w:rPr>
            </w:pPr>
            <w:r>
              <w:t>罐区1</w:t>
            </w:r>
          </w:p>
        </w:tc>
      </w:tr>
      <w:tr w14:paraId="4AA3D29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170" w:hRule="atLeast"/>
        </w:trPr>
        <w:tc>
          <w:tcPr>
            <w:tcW w:w="315" w:type="pct"/>
            <w:shd w:val="clear" w:color="auto" w:fill="auto"/>
            <w:vAlign w:val="center"/>
          </w:tcPr>
          <w:p w14:paraId="5FCA332B">
            <w:pPr>
              <w:pStyle w:val="45"/>
              <w:rPr>
                <w:rFonts w:hint="default"/>
              </w:rPr>
            </w:pPr>
            <w:r>
              <w:t>4</w:t>
            </w:r>
          </w:p>
        </w:tc>
        <w:tc>
          <w:tcPr>
            <w:tcW w:w="874" w:type="pct"/>
            <w:shd w:val="clear" w:color="auto" w:fill="auto"/>
            <w:vAlign w:val="center"/>
          </w:tcPr>
          <w:p w14:paraId="08743BFC">
            <w:pPr>
              <w:pStyle w:val="45"/>
              <w:rPr>
                <w:rFonts w:hint="default"/>
              </w:rPr>
            </w:pPr>
            <w:r>
              <w:t>V0201</w:t>
            </w:r>
          </w:p>
        </w:tc>
        <w:tc>
          <w:tcPr>
            <w:tcW w:w="771" w:type="pct"/>
            <w:shd w:val="clear" w:color="auto" w:fill="auto"/>
            <w:vAlign w:val="center"/>
          </w:tcPr>
          <w:p w14:paraId="0D9BB7EE">
            <w:pPr>
              <w:pStyle w:val="45"/>
              <w:rPr>
                <w:rFonts w:hint="default"/>
              </w:rPr>
            </w:pPr>
            <w:r>
              <w:t>冷凝</w:t>
            </w:r>
            <w:r>
              <w:rPr>
                <w:rStyle w:val="37"/>
                <w:rFonts w:hint="eastAsia" w:cstheme="minorBidi"/>
                <w:kern w:val="2"/>
                <w:lang w:val="en-US" w:eastAsia="zh-CN"/>
              </w:rPr>
              <w:t>水</w:t>
            </w:r>
            <w:r>
              <w:t>罐</w:t>
            </w:r>
          </w:p>
        </w:tc>
        <w:tc>
          <w:tcPr>
            <w:tcW w:w="1195" w:type="pct"/>
            <w:shd w:val="clear" w:color="auto" w:fill="auto"/>
            <w:vAlign w:val="center"/>
          </w:tcPr>
          <w:p w14:paraId="178B66F0">
            <w:pPr>
              <w:pStyle w:val="45"/>
              <w:rPr>
                <w:rFonts w:hint="default"/>
              </w:rPr>
            </w:pPr>
            <w:r>
              <w:t>立式固定顶储罐 φ8000×10000</w:t>
            </w:r>
          </w:p>
        </w:tc>
        <w:tc>
          <w:tcPr>
            <w:tcW w:w="530" w:type="pct"/>
            <w:shd w:val="clear" w:color="auto" w:fill="auto"/>
            <w:vAlign w:val="center"/>
          </w:tcPr>
          <w:p w14:paraId="5657C8A8">
            <w:pPr>
              <w:pStyle w:val="45"/>
              <w:rPr>
                <w:rFonts w:hint="default"/>
              </w:rPr>
            </w:pPr>
            <w:r>
              <w:t>500</w:t>
            </w:r>
          </w:p>
        </w:tc>
        <w:tc>
          <w:tcPr>
            <w:tcW w:w="469" w:type="pct"/>
            <w:shd w:val="clear" w:color="auto" w:fill="auto"/>
            <w:vAlign w:val="center"/>
          </w:tcPr>
          <w:p w14:paraId="2CCB289A">
            <w:pPr>
              <w:pStyle w:val="45"/>
              <w:rPr>
                <w:rFonts w:hint="default"/>
              </w:rPr>
            </w:pPr>
            <w:r>
              <w:t>戊类</w:t>
            </w:r>
          </w:p>
        </w:tc>
        <w:tc>
          <w:tcPr>
            <w:tcW w:w="388" w:type="pct"/>
            <w:shd w:val="clear" w:color="auto" w:fill="auto"/>
            <w:vAlign w:val="center"/>
          </w:tcPr>
          <w:p w14:paraId="559D0BF2">
            <w:pPr>
              <w:pStyle w:val="45"/>
              <w:rPr>
                <w:rFonts w:hint="default"/>
              </w:rPr>
            </w:pPr>
            <w:r>
              <w:t>FRP</w:t>
            </w:r>
          </w:p>
        </w:tc>
        <w:tc>
          <w:tcPr>
            <w:tcW w:w="454" w:type="pct"/>
            <w:shd w:val="clear" w:color="auto" w:fill="auto"/>
            <w:vAlign w:val="center"/>
          </w:tcPr>
          <w:p w14:paraId="1A8BE4EA">
            <w:pPr>
              <w:pStyle w:val="45"/>
              <w:rPr>
                <w:rFonts w:hint="default"/>
              </w:rPr>
            </w:pPr>
            <w:r>
              <w:t>罐区2</w:t>
            </w:r>
          </w:p>
        </w:tc>
      </w:tr>
      <w:tr w14:paraId="4ACABA85">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170" w:hRule="atLeast"/>
        </w:trPr>
        <w:tc>
          <w:tcPr>
            <w:tcW w:w="315" w:type="pct"/>
            <w:shd w:val="clear" w:color="auto" w:fill="auto"/>
            <w:vAlign w:val="center"/>
          </w:tcPr>
          <w:p w14:paraId="4585505C">
            <w:pPr>
              <w:pStyle w:val="45"/>
              <w:rPr>
                <w:rFonts w:hint="default"/>
              </w:rPr>
            </w:pPr>
            <w:r>
              <w:t>5</w:t>
            </w:r>
          </w:p>
        </w:tc>
        <w:tc>
          <w:tcPr>
            <w:tcW w:w="874" w:type="pct"/>
            <w:shd w:val="clear" w:color="auto" w:fill="auto"/>
            <w:vAlign w:val="center"/>
          </w:tcPr>
          <w:p w14:paraId="38CC5C29">
            <w:pPr>
              <w:pStyle w:val="45"/>
              <w:rPr>
                <w:rFonts w:hint="default"/>
              </w:rPr>
            </w:pPr>
            <w:r>
              <w:t>V0202</w:t>
            </w:r>
          </w:p>
        </w:tc>
        <w:tc>
          <w:tcPr>
            <w:tcW w:w="771" w:type="pct"/>
            <w:shd w:val="clear" w:color="auto" w:fill="auto"/>
            <w:vAlign w:val="center"/>
          </w:tcPr>
          <w:p w14:paraId="30A6A9AE">
            <w:pPr>
              <w:pStyle w:val="45"/>
              <w:rPr>
                <w:rFonts w:hint="default"/>
              </w:rPr>
            </w:pPr>
            <w:r>
              <w:t>液碱</w:t>
            </w:r>
          </w:p>
        </w:tc>
        <w:tc>
          <w:tcPr>
            <w:tcW w:w="1195" w:type="pct"/>
            <w:shd w:val="clear" w:color="auto" w:fill="auto"/>
            <w:vAlign w:val="center"/>
          </w:tcPr>
          <w:p w14:paraId="5A333B66">
            <w:pPr>
              <w:pStyle w:val="45"/>
              <w:rPr>
                <w:rFonts w:hint="default"/>
              </w:rPr>
            </w:pPr>
            <w:r>
              <w:t>立式固定顶储罐 φ4000×4000</w:t>
            </w:r>
          </w:p>
        </w:tc>
        <w:tc>
          <w:tcPr>
            <w:tcW w:w="530" w:type="pct"/>
            <w:shd w:val="clear" w:color="auto" w:fill="auto"/>
            <w:vAlign w:val="center"/>
          </w:tcPr>
          <w:p w14:paraId="5D9F9CB3">
            <w:pPr>
              <w:pStyle w:val="45"/>
              <w:rPr>
                <w:rFonts w:hint="default"/>
              </w:rPr>
            </w:pPr>
            <w:r>
              <w:t>50</w:t>
            </w:r>
          </w:p>
        </w:tc>
        <w:tc>
          <w:tcPr>
            <w:tcW w:w="469" w:type="pct"/>
            <w:shd w:val="clear" w:color="auto" w:fill="auto"/>
            <w:vAlign w:val="center"/>
          </w:tcPr>
          <w:p w14:paraId="6B2EFED1">
            <w:pPr>
              <w:pStyle w:val="45"/>
              <w:rPr>
                <w:rFonts w:hint="default"/>
              </w:rPr>
            </w:pPr>
            <w:r>
              <w:t>丁类</w:t>
            </w:r>
          </w:p>
        </w:tc>
        <w:tc>
          <w:tcPr>
            <w:tcW w:w="388" w:type="pct"/>
            <w:shd w:val="clear" w:color="auto" w:fill="auto"/>
            <w:vAlign w:val="center"/>
          </w:tcPr>
          <w:p w14:paraId="33DA19AE">
            <w:pPr>
              <w:pStyle w:val="45"/>
              <w:rPr>
                <w:rFonts w:hint="default"/>
              </w:rPr>
            </w:pPr>
            <w:r>
              <w:t>FRP</w:t>
            </w:r>
          </w:p>
        </w:tc>
        <w:tc>
          <w:tcPr>
            <w:tcW w:w="454" w:type="pct"/>
            <w:shd w:val="clear" w:color="auto" w:fill="auto"/>
            <w:vAlign w:val="center"/>
          </w:tcPr>
          <w:p w14:paraId="3C574187">
            <w:pPr>
              <w:pStyle w:val="45"/>
              <w:rPr>
                <w:rFonts w:hint="default"/>
              </w:rPr>
            </w:pPr>
            <w:r>
              <w:t>罐区2</w:t>
            </w:r>
          </w:p>
        </w:tc>
      </w:tr>
      <w:tr w14:paraId="3D46EE0B">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170" w:hRule="atLeast"/>
        </w:trPr>
        <w:tc>
          <w:tcPr>
            <w:tcW w:w="315" w:type="pct"/>
            <w:shd w:val="clear" w:color="auto" w:fill="auto"/>
            <w:vAlign w:val="center"/>
          </w:tcPr>
          <w:p w14:paraId="2516E69C">
            <w:pPr>
              <w:pStyle w:val="45"/>
              <w:rPr>
                <w:rFonts w:hint="default"/>
              </w:rPr>
            </w:pPr>
            <w:r>
              <w:t>6</w:t>
            </w:r>
          </w:p>
        </w:tc>
        <w:tc>
          <w:tcPr>
            <w:tcW w:w="874" w:type="pct"/>
            <w:shd w:val="clear" w:color="auto" w:fill="auto"/>
            <w:vAlign w:val="center"/>
          </w:tcPr>
          <w:p w14:paraId="4EB064AB">
            <w:pPr>
              <w:pStyle w:val="45"/>
              <w:rPr>
                <w:rFonts w:hint="default"/>
              </w:rPr>
            </w:pPr>
            <w:r>
              <w:t>V0203</w:t>
            </w:r>
          </w:p>
        </w:tc>
        <w:tc>
          <w:tcPr>
            <w:tcW w:w="771" w:type="pct"/>
            <w:shd w:val="clear" w:color="auto" w:fill="auto"/>
            <w:vAlign w:val="center"/>
          </w:tcPr>
          <w:p w14:paraId="56585D0D">
            <w:pPr>
              <w:pStyle w:val="45"/>
              <w:rPr>
                <w:rFonts w:hint="default"/>
              </w:rPr>
            </w:pPr>
            <w:r>
              <w:t>盐酸(31%)</w:t>
            </w:r>
          </w:p>
        </w:tc>
        <w:tc>
          <w:tcPr>
            <w:tcW w:w="1195" w:type="pct"/>
            <w:shd w:val="clear" w:color="auto" w:fill="auto"/>
            <w:vAlign w:val="center"/>
          </w:tcPr>
          <w:p w14:paraId="6BF4BC6F">
            <w:pPr>
              <w:pStyle w:val="45"/>
              <w:rPr>
                <w:rFonts w:hint="default"/>
              </w:rPr>
            </w:pPr>
            <w:r>
              <w:t>立式固定顶储罐 φ4000×4000</w:t>
            </w:r>
          </w:p>
        </w:tc>
        <w:tc>
          <w:tcPr>
            <w:tcW w:w="530" w:type="pct"/>
            <w:shd w:val="clear" w:color="auto" w:fill="auto"/>
            <w:vAlign w:val="center"/>
          </w:tcPr>
          <w:p w14:paraId="0AE219F7">
            <w:pPr>
              <w:pStyle w:val="45"/>
              <w:rPr>
                <w:rFonts w:hint="default"/>
              </w:rPr>
            </w:pPr>
            <w:r>
              <w:t>50</w:t>
            </w:r>
          </w:p>
        </w:tc>
        <w:tc>
          <w:tcPr>
            <w:tcW w:w="469" w:type="pct"/>
            <w:shd w:val="clear" w:color="auto" w:fill="auto"/>
            <w:vAlign w:val="center"/>
          </w:tcPr>
          <w:p w14:paraId="3D979335">
            <w:pPr>
              <w:pStyle w:val="45"/>
              <w:rPr>
                <w:rFonts w:hint="default"/>
              </w:rPr>
            </w:pPr>
            <w:r>
              <w:t>丁类</w:t>
            </w:r>
          </w:p>
        </w:tc>
        <w:tc>
          <w:tcPr>
            <w:tcW w:w="388" w:type="pct"/>
            <w:shd w:val="clear" w:color="auto" w:fill="auto"/>
            <w:vAlign w:val="center"/>
          </w:tcPr>
          <w:p w14:paraId="4B1C7DF9">
            <w:pPr>
              <w:pStyle w:val="45"/>
              <w:rPr>
                <w:rFonts w:hint="default"/>
              </w:rPr>
            </w:pPr>
            <w:r>
              <w:t>FRP</w:t>
            </w:r>
          </w:p>
        </w:tc>
        <w:tc>
          <w:tcPr>
            <w:tcW w:w="454" w:type="pct"/>
            <w:shd w:val="clear" w:color="auto" w:fill="auto"/>
            <w:vAlign w:val="center"/>
          </w:tcPr>
          <w:p w14:paraId="31C0C319">
            <w:pPr>
              <w:pStyle w:val="45"/>
              <w:rPr>
                <w:rFonts w:hint="default"/>
              </w:rPr>
            </w:pPr>
            <w:r>
              <w:t>罐区2</w:t>
            </w:r>
          </w:p>
        </w:tc>
      </w:tr>
    </w:tbl>
    <w:p w14:paraId="1AFE907E">
      <w:pPr>
        <w:spacing w:line="240" w:lineRule="auto"/>
        <w:ind w:firstLine="480"/>
        <w:rPr>
          <w:rFonts w:hint="eastAsia"/>
        </w:rPr>
      </w:pPr>
    </w:p>
    <w:p w14:paraId="1E9A09E9">
      <w:pPr>
        <w:ind w:firstLine="480"/>
      </w:pPr>
      <w:r>
        <w:rPr>
          <w:rFonts w:hint="eastAsia"/>
        </w:rPr>
        <w:t>本项目主要建设内容及工程组成见下表。</w:t>
      </w:r>
    </w:p>
    <w:p w14:paraId="1B2DF528">
      <w:pPr>
        <w:pStyle w:val="43"/>
        <w:rPr>
          <w:rFonts w:hint="default"/>
        </w:rPr>
      </w:pPr>
      <w:r>
        <w:t>项目主要建设内容一览表</w:t>
      </w:r>
    </w:p>
    <w:tbl>
      <w:tblPr>
        <w:tblStyle w:val="32"/>
        <w:tblW w:w="4985" w:type="pct"/>
        <w:tblInd w:w="0" w:type="dxa"/>
        <w:tblLayout w:type="autofit"/>
        <w:tblCellMar>
          <w:top w:w="0" w:type="dxa"/>
          <w:left w:w="108" w:type="dxa"/>
          <w:bottom w:w="0" w:type="dxa"/>
          <w:right w:w="108" w:type="dxa"/>
        </w:tblCellMar>
      </w:tblPr>
      <w:tblGrid>
        <w:gridCol w:w="664"/>
        <w:gridCol w:w="665"/>
        <w:gridCol w:w="1697"/>
        <w:gridCol w:w="8871"/>
        <w:gridCol w:w="2234"/>
      </w:tblGrid>
      <w:tr w14:paraId="26B84BA1">
        <w:tblPrEx>
          <w:tblCellMar>
            <w:top w:w="0" w:type="dxa"/>
            <w:left w:w="108" w:type="dxa"/>
            <w:bottom w:w="0" w:type="dxa"/>
            <w:right w:w="108" w:type="dxa"/>
          </w:tblCellMar>
        </w:tblPrEx>
        <w:trPr>
          <w:trHeight w:val="461" w:hRule="atLeast"/>
          <w:tblHeader/>
        </w:trPr>
        <w:tc>
          <w:tcPr>
            <w:tcW w:w="2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13C5CE">
            <w:pPr>
              <w:pStyle w:val="45"/>
              <w:rPr>
                <w:rFonts w:hint="default"/>
                <w:b/>
                <w:bCs/>
              </w:rPr>
            </w:pPr>
            <w:r>
              <w:rPr>
                <w:b/>
                <w:bCs/>
              </w:rPr>
              <w:t>工程类别</w:t>
            </w:r>
          </w:p>
        </w:tc>
        <w:tc>
          <w:tcPr>
            <w:tcW w:w="8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836D445">
            <w:pPr>
              <w:pStyle w:val="45"/>
              <w:rPr>
                <w:rFonts w:hint="default"/>
                <w:b/>
                <w:bCs/>
              </w:rPr>
            </w:pPr>
            <w:r>
              <w:rPr>
                <w:b/>
                <w:bCs/>
              </w:rPr>
              <w:t>工程名称</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41E530">
            <w:pPr>
              <w:pStyle w:val="45"/>
              <w:rPr>
                <w:rFonts w:hint="default"/>
                <w:b/>
                <w:bCs/>
              </w:rPr>
            </w:pPr>
            <w:r>
              <w:rPr>
                <w:b/>
                <w:bCs/>
              </w:rPr>
              <w:t>工程内容</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AFC858">
            <w:pPr>
              <w:pStyle w:val="45"/>
              <w:rPr>
                <w:rFonts w:hint="default"/>
                <w:b/>
                <w:bCs/>
              </w:rPr>
            </w:pPr>
            <w:r>
              <w:rPr>
                <w:b/>
                <w:bCs/>
              </w:rPr>
              <w:t>备注</w:t>
            </w:r>
          </w:p>
        </w:tc>
      </w:tr>
      <w:tr w14:paraId="0221C8D8">
        <w:tblPrEx>
          <w:tblCellMar>
            <w:top w:w="0" w:type="dxa"/>
            <w:left w:w="108" w:type="dxa"/>
            <w:bottom w:w="0" w:type="dxa"/>
            <w:right w:w="108" w:type="dxa"/>
          </w:tblCellMar>
        </w:tblPrEx>
        <w:trPr>
          <w:trHeight w:val="461" w:hRule="atLeast"/>
        </w:trPr>
        <w:tc>
          <w:tcPr>
            <w:tcW w:w="23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CEE39B4">
            <w:pPr>
              <w:pStyle w:val="45"/>
              <w:rPr>
                <w:rFonts w:hint="default"/>
              </w:rPr>
            </w:pPr>
            <w:r>
              <w:t>主体工程</w:t>
            </w:r>
          </w:p>
        </w:tc>
        <w:tc>
          <w:tcPr>
            <w:tcW w:w="8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79F0910">
            <w:pPr>
              <w:pStyle w:val="45"/>
              <w:rPr>
                <w:rFonts w:hint="default"/>
              </w:rPr>
            </w:pPr>
            <w:r>
              <w:t>化盐车间</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7E5CBF">
            <w:pPr>
              <w:pStyle w:val="45"/>
              <w:rPr>
                <w:rFonts w:hint="default"/>
              </w:rPr>
            </w:pPr>
            <w:r>
              <w:t>地上一层，钢结构厂房，位于厂区西北侧，占地面积450平方米，工艺为将原料盐制成精盐水，装置由溶解、澄清、过滤和精滤部分组成。</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E3D129">
            <w:pPr>
              <w:pStyle w:val="45"/>
              <w:rPr>
                <w:rFonts w:hint="default"/>
              </w:rPr>
            </w:pPr>
          </w:p>
        </w:tc>
      </w:tr>
      <w:tr w14:paraId="4B1424AE">
        <w:tblPrEx>
          <w:tblCellMar>
            <w:top w:w="0" w:type="dxa"/>
            <w:left w:w="108" w:type="dxa"/>
            <w:bottom w:w="0" w:type="dxa"/>
            <w:right w:w="108" w:type="dxa"/>
          </w:tblCellMar>
        </w:tblPrEx>
        <w:trPr>
          <w:trHeight w:val="461"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C1A5FD">
            <w:pPr>
              <w:pStyle w:val="45"/>
              <w:rPr>
                <w:rFonts w:hint="default"/>
              </w:rPr>
            </w:pPr>
          </w:p>
        </w:tc>
        <w:tc>
          <w:tcPr>
            <w:tcW w:w="8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8C46D3D">
            <w:pPr>
              <w:pStyle w:val="45"/>
              <w:rPr>
                <w:rFonts w:hint="default"/>
              </w:rPr>
            </w:pPr>
            <w:r>
              <w:t>电解车间</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62360A">
            <w:pPr>
              <w:pStyle w:val="45"/>
              <w:rPr>
                <w:rFonts w:hint="default"/>
              </w:rPr>
            </w:pPr>
            <w:r>
              <w:t>框架结构厂房，占地面积2928平方米，整体一层局部两层。工艺为将原料氯化钠制成的精盐水电解生成氯酸钠、氯酸钠电解生成高氯酸钠</w:t>
            </w:r>
            <w:r>
              <w:rPr>
                <w:rFonts w:hint="eastAsia"/>
                <w:lang w:eastAsia="zh-CN"/>
              </w:rPr>
              <w:t>。</w:t>
            </w:r>
            <w:r>
              <w:rPr>
                <w:rFonts w:hint="eastAsia"/>
                <w:lang w:val="en-US" w:eastAsia="zh-CN"/>
              </w:rPr>
              <w:t>南面为锂盐生厂区面积约600平方米</w:t>
            </w:r>
            <w:r>
              <w:t>。</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F0BE89">
            <w:pPr>
              <w:pStyle w:val="45"/>
              <w:rPr>
                <w:rFonts w:hint="default"/>
              </w:rPr>
            </w:pPr>
          </w:p>
        </w:tc>
      </w:tr>
      <w:tr w14:paraId="072F6D7A">
        <w:tblPrEx>
          <w:tblCellMar>
            <w:top w:w="0" w:type="dxa"/>
            <w:left w:w="108" w:type="dxa"/>
            <w:bottom w:w="0" w:type="dxa"/>
            <w:right w:w="108" w:type="dxa"/>
          </w:tblCellMar>
        </w:tblPrEx>
        <w:trPr>
          <w:trHeight w:val="461"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74604F">
            <w:pPr>
              <w:pStyle w:val="45"/>
              <w:rPr>
                <w:rFonts w:hint="default"/>
              </w:rPr>
            </w:pPr>
          </w:p>
        </w:tc>
        <w:tc>
          <w:tcPr>
            <w:tcW w:w="8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A4F0347">
            <w:pPr>
              <w:pStyle w:val="45"/>
              <w:ind w:firstLine="0" w:firstLineChars="0"/>
              <w:rPr>
                <w:rFonts w:hint="default" w:ascii="Times New Roman" w:hAnsi="Times New Roman" w:eastAsia="宋体" w:cs="Times New Roman"/>
                <w:kern w:val="0"/>
                <w:sz w:val="21"/>
                <w:szCs w:val="21"/>
                <w:lang w:val="en-US" w:eastAsia="zh-CN" w:bidi="ar-SA"/>
              </w:rPr>
            </w:pPr>
            <w:r>
              <w:t>复分解联合车间</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269AD8">
            <w:pPr>
              <w:pStyle w:val="45"/>
              <w:ind w:firstLine="0" w:firstLineChars="0"/>
              <w:rPr>
                <w:rFonts w:hint="default" w:ascii="Times New Roman" w:hAnsi="Times New Roman" w:eastAsia="宋体" w:cs="Times New Roman"/>
                <w:kern w:val="0"/>
                <w:sz w:val="21"/>
                <w:szCs w:val="21"/>
                <w:lang w:val="en-US" w:eastAsia="zh-CN" w:bidi="ar-SA"/>
              </w:rPr>
            </w:pPr>
            <w:r>
              <w:t>框架结构厂房，占地面积</w:t>
            </w:r>
            <w:r>
              <w:rPr>
                <w:rFonts w:hint="default"/>
              </w:rPr>
              <w:t>1380</w:t>
            </w:r>
            <w:r>
              <w:t>平方米，建筑面积2760平方米，共两层。工艺为高氯酸钠和氯化钾复分解生产高氯酸钾</w:t>
            </w:r>
            <w:r>
              <w:rPr>
                <w:rFonts w:hint="eastAsia"/>
                <w:lang w:eastAsia="zh-CN"/>
              </w:rPr>
              <w:t>、</w:t>
            </w:r>
            <w:r>
              <w:rPr>
                <w:rFonts w:hint="eastAsia"/>
                <w:lang w:val="en-US" w:eastAsia="zh-CN"/>
              </w:rPr>
              <w:t>氯酸钠和氯化钾复分解生产氯酸钾</w:t>
            </w:r>
            <w:r>
              <w:t>。装置由结晶干燥工段、氯酸钠精制、复分解工段、低温真空蒸发浓缩、风冷结晶、干燥包装工段等部分组成。</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5EEF50">
            <w:pPr>
              <w:pStyle w:val="45"/>
              <w:rPr>
                <w:rFonts w:hint="default"/>
              </w:rPr>
            </w:pPr>
          </w:p>
        </w:tc>
      </w:tr>
      <w:tr w14:paraId="413B82F6">
        <w:tblPrEx>
          <w:tblCellMar>
            <w:top w:w="0" w:type="dxa"/>
            <w:left w:w="108" w:type="dxa"/>
            <w:bottom w:w="0" w:type="dxa"/>
            <w:right w:w="108" w:type="dxa"/>
          </w:tblCellMar>
        </w:tblPrEx>
        <w:trPr>
          <w:trHeight w:val="247"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E2A1DC">
            <w:pPr>
              <w:pStyle w:val="45"/>
              <w:rPr>
                <w:rFonts w:hint="default"/>
              </w:rPr>
            </w:pPr>
          </w:p>
        </w:tc>
        <w:tc>
          <w:tcPr>
            <w:tcW w:w="8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F287184">
            <w:pPr>
              <w:pStyle w:val="45"/>
              <w:rPr>
                <w:rFonts w:hint="default" w:eastAsia="宋体"/>
                <w:lang w:val="en-US" w:eastAsia="zh-CN"/>
              </w:rPr>
            </w:pPr>
            <w:r>
              <w:rPr>
                <w:rFonts w:hint="eastAsia"/>
                <w:lang w:val="en-US" w:eastAsia="zh-CN"/>
              </w:rPr>
              <w:t>氢气回收区</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F21481">
            <w:pPr>
              <w:pStyle w:val="45"/>
              <w:rPr>
                <w:rFonts w:hint="default" w:eastAsia="宋体"/>
                <w:lang w:val="en-US" w:eastAsia="zh-CN"/>
              </w:rPr>
            </w:pPr>
            <w:r>
              <w:rPr>
                <w:rFonts w:hint="eastAsia"/>
                <w:lang w:val="en-US" w:eastAsia="zh-CN"/>
              </w:rPr>
              <w:t>包括氢气装置区、氢气充装区、气柜等，占地面约3600平方米</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7725ED">
            <w:pPr>
              <w:pStyle w:val="45"/>
              <w:rPr>
                <w:rFonts w:hint="default"/>
              </w:rPr>
            </w:pPr>
          </w:p>
        </w:tc>
      </w:tr>
      <w:tr w14:paraId="0098729E">
        <w:tblPrEx>
          <w:tblCellMar>
            <w:top w:w="0" w:type="dxa"/>
            <w:left w:w="108" w:type="dxa"/>
            <w:bottom w:w="0" w:type="dxa"/>
            <w:right w:w="108" w:type="dxa"/>
          </w:tblCellMar>
        </w:tblPrEx>
        <w:trPr>
          <w:trHeight w:val="235" w:hRule="atLeast"/>
        </w:trPr>
        <w:tc>
          <w:tcPr>
            <w:tcW w:w="23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BD0FFC2">
            <w:pPr>
              <w:pStyle w:val="45"/>
              <w:rPr>
                <w:rFonts w:hint="default"/>
              </w:rPr>
            </w:pPr>
            <w:r>
              <w:t>储运工程</w:t>
            </w:r>
          </w:p>
        </w:tc>
        <w:tc>
          <w:tcPr>
            <w:tcW w:w="8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4EDA1CC">
            <w:pPr>
              <w:pStyle w:val="45"/>
              <w:rPr>
                <w:rFonts w:hint="default"/>
              </w:rPr>
            </w:pPr>
            <w:r>
              <w:t>原料仓库</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30E45D">
            <w:pPr>
              <w:pStyle w:val="45"/>
              <w:rPr>
                <w:rFonts w:hint="default"/>
              </w:rPr>
            </w:pPr>
            <w:r>
              <w:t>地上一层，框架结构，位于厂区东南侧，占地面积240平方米。</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6BAC57">
            <w:pPr>
              <w:pStyle w:val="45"/>
              <w:rPr>
                <w:rFonts w:hint="default"/>
              </w:rPr>
            </w:pPr>
          </w:p>
        </w:tc>
      </w:tr>
      <w:tr w14:paraId="3CCC7E3A">
        <w:tblPrEx>
          <w:tblCellMar>
            <w:top w:w="0" w:type="dxa"/>
            <w:left w:w="108" w:type="dxa"/>
            <w:bottom w:w="0" w:type="dxa"/>
            <w:right w:w="108" w:type="dxa"/>
          </w:tblCellMar>
        </w:tblPrEx>
        <w:trPr>
          <w:trHeight w:val="235"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E7F36A">
            <w:pPr>
              <w:pStyle w:val="45"/>
              <w:rPr>
                <w:rFonts w:hint="default"/>
              </w:rPr>
            </w:pPr>
          </w:p>
        </w:tc>
        <w:tc>
          <w:tcPr>
            <w:tcW w:w="8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2BC8B36">
            <w:pPr>
              <w:pStyle w:val="45"/>
              <w:rPr>
                <w:rFonts w:hint="default"/>
              </w:rPr>
            </w:pPr>
            <w:r>
              <w:t>成品仓库</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832784">
            <w:pPr>
              <w:pStyle w:val="45"/>
              <w:rPr>
                <w:rFonts w:hint="default"/>
              </w:rPr>
            </w:pPr>
            <w:r>
              <w:t>地上一层，框架结构，位于厂区东南侧，占地面积</w:t>
            </w:r>
            <w:r>
              <w:rPr>
                <w:rFonts w:hint="default"/>
              </w:rPr>
              <w:t>240</w:t>
            </w:r>
            <w:r>
              <w:t>平方米。</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D1784A">
            <w:pPr>
              <w:pStyle w:val="45"/>
              <w:rPr>
                <w:rFonts w:hint="default"/>
              </w:rPr>
            </w:pPr>
          </w:p>
        </w:tc>
      </w:tr>
      <w:tr w14:paraId="7BFEE61D">
        <w:tblPrEx>
          <w:tblCellMar>
            <w:top w:w="0" w:type="dxa"/>
            <w:left w:w="108" w:type="dxa"/>
            <w:bottom w:w="0" w:type="dxa"/>
            <w:right w:w="108" w:type="dxa"/>
          </w:tblCellMar>
        </w:tblPrEx>
        <w:trPr>
          <w:trHeight w:val="687"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118EC0">
            <w:pPr>
              <w:pStyle w:val="45"/>
              <w:rPr>
                <w:rFonts w:hint="default"/>
              </w:rPr>
            </w:pPr>
          </w:p>
        </w:tc>
        <w:tc>
          <w:tcPr>
            <w:tcW w:w="8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1F50BFE">
            <w:pPr>
              <w:pStyle w:val="45"/>
              <w:rPr>
                <w:rFonts w:hint="default"/>
              </w:rPr>
            </w:pPr>
            <w:r>
              <w:t>罐区</w:t>
            </w:r>
            <w:r>
              <w:rPr>
                <w:rFonts w:hint="default"/>
              </w:rPr>
              <w:t>1</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6F712D">
            <w:pPr>
              <w:pStyle w:val="45"/>
              <w:rPr>
                <w:rFonts w:hint="default"/>
              </w:rPr>
            </w:pPr>
            <w:r>
              <w:t>中间罐区，占地面积</w:t>
            </w:r>
            <w:r>
              <w:rPr>
                <w:rFonts w:hint="default"/>
              </w:rPr>
              <w:t>1467.2</w:t>
            </w:r>
            <w:r>
              <w:t>平方米，共设置7个储罐：氯化钾溶液储罐3个，容积500立方米；氯化钠溶液储罐3个，容积500立方米；氯酸钠溶液储罐1个，容积500立方米。储罐均采用FRP材质。</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B82C5A">
            <w:pPr>
              <w:pStyle w:val="45"/>
              <w:rPr>
                <w:rFonts w:hint="default"/>
              </w:rPr>
            </w:pPr>
          </w:p>
        </w:tc>
      </w:tr>
      <w:tr w14:paraId="59E400B2">
        <w:tblPrEx>
          <w:tblCellMar>
            <w:top w:w="0" w:type="dxa"/>
            <w:left w:w="108" w:type="dxa"/>
            <w:bottom w:w="0" w:type="dxa"/>
            <w:right w:w="108" w:type="dxa"/>
          </w:tblCellMar>
        </w:tblPrEx>
        <w:trPr>
          <w:trHeight w:val="687"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953835">
            <w:pPr>
              <w:pStyle w:val="45"/>
              <w:rPr>
                <w:rFonts w:hint="default"/>
              </w:rPr>
            </w:pPr>
          </w:p>
        </w:tc>
        <w:tc>
          <w:tcPr>
            <w:tcW w:w="8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856B308">
            <w:pPr>
              <w:pStyle w:val="45"/>
              <w:rPr>
                <w:rFonts w:hint="default"/>
              </w:rPr>
            </w:pPr>
            <w:r>
              <w:t>罐区</w:t>
            </w:r>
            <w:r>
              <w:rPr>
                <w:rFonts w:hint="default"/>
              </w:rPr>
              <w:t>2</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421422">
            <w:pPr>
              <w:pStyle w:val="45"/>
              <w:rPr>
                <w:rFonts w:hint="default"/>
              </w:rPr>
            </w:pPr>
            <w:r>
              <w:t>盐酸、液碱罐区，占地面积306.18平方米，共设置3个储罐：冷凝</w:t>
            </w:r>
            <w:r>
              <w:rPr>
                <w:rFonts w:hint="eastAsia"/>
                <w:lang w:val="en-US" w:eastAsia="zh-CN"/>
              </w:rPr>
              <w:t>水</w:t>
            </w:r>
            <w:r>
              <w:t>储罐1个，容积500立方米；液碱储罐1个，容积50立方米；31%盐酸储罐1个，容积200立方米。储罐均采用FRP材质。</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390321">
            <w:pPr>
              <w:pStyle w:val="45"/>
              <w:rPr>
                <w:rFonts w:hint="default"/>
              </w:rPr>
            </w:pPr>
          </w:p>
        </w:tc>
      </w:tr>
      <w:tr w14:paraId="598CFF29">
        <w:tblPrEx>
          <w:tblCellMar>
            <w:top w:w="0" w:type="dxa"/>
            <w:left w:w="108" w:type="dxa"/>
            <w:bottom w:w="0" w:type="dxa"/>
            <w:right w:w="108" w:type="dxa"/>
          </w:tblCellMar>
        </w:tblPrEx>
        <w:trPr>
          <w:trHeight w:val="235" w:hRule="atLeast"/>
        </w:trPr>
        <w:tc>
          <w:tcPr>
            <w:tcW w:w="23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3E179C6">
            <w:pPr>
              <w:pStyle w:val="45"/>
              <w:rPr>
                <w:rFonts w:hint="default"/>
              </w:rPr>
            </w:pPr>
            <w:r>
              <w:t>辅助工程</w:t>
            </w:r>
          </w:p>
        </w:tc>
        <w:tc>
          <w:tcPr>
            <w:tcW w:w="8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0EE1CE0">
            <w:pPr>
              <w:pStyle w:val="45"/>
              <w:rPr>
                <w:rFonts w:hint="default"/>
              </w:rPr>
            </w:pPr>
            <w:r>
              <w:t>门卫室</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1DA708">
            <w:pPr>
              <w:pStyle w:val="45"/>
              <w:rPr>
                <w:rFonts w:hint="default"/>
              </w:rPr>
            </w:pPr>
            <w:r>
              <w:rPr>
                <w:rFonts w:hint="default"/>
              </w:rPr>
              <w:t>2</w:t>
            </w:r>
            <w:r>
              <w:t>间，分别位于厂区南侧、东侧紧邻园区道路，占地面积</w:t>
            </w:r>
            <w:r>
              <w:rPr>
                <w:rFonts w:hint="default"/>
              </w:rPr>
              <w:t>36</w:t>
            </w:r>
            <w:r>
              <w:t>平方米。</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970104">
            <w:pPr>
              <w:pStyle w:val="45"/>
              <w:rPr>
                <w:rFonts w:hint="default"/>
              </w:rPr>
            </w:pPr>
          </w:p>
        </w:tc>
      </w:tr>
      <w:tr w14:paraId="17A3D993">
        <w:tblPrEx>
          <w:tblCellMar>
            <w:top w:w="0" w:type="dxa"/>
            <w:left w:w="108" w:type="dxa"/>
            <w:bottom w:w="0" w:type="dxa"/>
            <w:right w:w="108" w:type="dxa"/>
          </w:tblCellMar>
        </w:tblPrEx>
        <w:trPr>
          <w:trHeight w:val="461"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7BDF57">
            <w:pPr>
              <w:pStyle w:val="45"/>
              <w:rPr>
                <w:rFonts w:hint="default"/>
              </w:rPr>
            </w:pPr>
          </w:p>
        </w:tc>
        <w:tc>
          <w:tcPr>
            <w:tcW w:w="8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199DD35">
            <w:pPr>
              <w:pStyle w:val="45"/>
              <w:rPr>
                <w:rFonts w:hint="default"/>
              </w:rPr>
            </w:pPr>
            <w:r>
              <w:t>公用工程站</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649795">
            <w:pPr>
              <w:pStyle w:val="45"/>
              <w:rPr>
                <w:rFonts w:hint="default"/>
              </w:rPr>
            </w:pPr>
            <w:r>
              <w:t>位于厂区东北侧，占地面积</w:t>
            </w:r>
            <w:r>
              <w:rPr>
                <w:rFonts w:hint="default"/>
              </w:rPr>
              <w:t>801</w:t>
            </w:r>
            <w:r>
              <w:t>平方米，包含地下消防水池、消防泵房等。</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C5E262">
            <w:pPr>
              <w:pStyle w:val="45"/>
              <w:rPr>
                <w:rFonts w:hint="default"/>
              </w:rPr>
            </w:pPr>
            <w:r>
              <w:t>设有地下消防水池</w:t>
            </w:r>
            <w:r>
              <w:rPr>
                <w:rFonts w:hint="default"/>
              </w:rPr>
              <w:t>,</w:t>
            </w:r>
            <w:r>
              <w:t>有效容积约</w:t>
            </w:r>
            <w:r>
              <w:rPr>
                <w:rFonts w:hint="default"/>
              </w:rPr>
              <w:t>570</w:t>
            </w:r>
            <w:r>
              <w:t>立方米</w:t>
            </w:r>
          </w:p>
        </w:tc>
      </w:tr>
      <w:tr w14:paraId="1DCAAC55">
        <w:tblPrEx>
          <w:tblCellMar>
            <w:top w:w="0" w:type="dxa"/>
            <w:left w:w="108" w:type="dxa"/>
            <w:bottom w:w="0" w:type="dxa"/>
            <w:right w:w="108" w:type="dxa"/>
          </w:tblCellMar>
        </w:tblPrEx>
        <w:trPr>
          <w:trHeight w:val="235"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CA33A2">
            <w:pPr>
              <w:pStyle w:val="45"/>
              <w:rPr>
                <w:rFonts w:hint="default"/>
              </w:rPr>
            </w:pPr>
          </w:p>
        </w:tc>
        <w:tc>
          <w:tcPr>
            <w:tcW w:w="8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B3DB183">
            <w:pPr>
              <w:pStyle w:val="45"/>
              <w:rPr>
                <w:rFonts w:hint="default"/>
              </w:rPr>
            </w:pPr>
            <w:r>
              <w:t>纯水及循环水站</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BE4F9B">
            <w:pPr>
              <w:pStyle w:val="45"/>
              <w:rPr>
                <w:rFonts w:hint="default"/>
              </w:rPr>
            </w:pPr>
            <w:r>
              <w:t>1间，位于厂区北侧，占地面积108平方米。</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83B9BE">
            <w:pPr>
              <w:pStyle w:val="45"/>
              <w:rPr>
                <w:rFonts w:hint="default"/>
              </w:rPr>
            </w:pPr>
            <w:r>
              <w:t>纯水主要用氯酸钠精制</w:t>
            </w:r>
          </w:p>
        </w:tc>
      </w:tr>
      <w:tr w14:paraId="5B2DF8D9">
        <w:tblPrEx>
          <w:tblCellMar>
            <w:top w:w="0" w:type="dxa"/>
            <w:left w:w="108" w:type="dxa"/>
            <w:bottom w:w="0" w:type="dxa"/>
            <w:right w:w="108" w:type="dxa"/>
          </w:tblCellMar>
        </w:tblPrEx>
        <w:trPr>
          <w:trHeight w:val="235"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93972B">
            <w:pPr>
              <w:pStyle w:val="45"/>
              <w:rPr>
                <w:rFonts w:hint="default"/>
              </w:rPr>
            </w:pPr>
          </w:p>
        </w:tc>
        <w:tc>
          <w:tcPr>
            <w:tcW w:w="8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3B5F622">
            <w:pPr>
              <w:pStyle w:val="45"/>
              <w:rPr>
                <w:rFonts w:hint="default"/>
              </w:rPr>
            </w:pPr>
            <w:r>
              <w:t>废水处理站</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927B54">
            <w:pPr>
              <w:pStyle w:val="45"/>
              <w:rPr>
                <w:rFonts w:hint="default"/>
              </w:rPr>
            </w:pPr>
            <w:r>
              <w:t>位于厂区东侧，占地面积</w:t>
            </w:r>
            <w:r>
              <w:rPr>
                <w:rFonts w:hint="default"/>
              </w:rPr>
              <w:t>186</w:t>
            </w:r>
            <w:r>
              <w:t>平方米,设有废水池，废水池有效容积约100立方米</w:t>
            </w:r>
          </w:p>
        </w:tc>
        <w:tc>
          <w:tcPr>
            <w:tcW w:w="79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7A77DC2">
            <w:pPr>
              <w:pStyle w:val="45"/>
              <w:rPr>
                <w:rFonts w:hint="default"/>
              </w:rPr>
            </w:pPr>
            <w:r>
              <w:t>事故应急池、初期雨水收集池和废水池上部连通</w:t>
            </w:r>
          </w:p>
        </w:tc>
      </w:tr>
      <w:tr w14:paraId="5FF53F84">
        <w:tblPrEx>
          <w:tblCellMar>
            <w:top w:w="0" w:type="dxa"/>
            <w:left w:w="108" w:type="dxa"/>
            <w:bottom w:w="0" w:type="dxa"/>
            <w:right w:w="108" w:type="dxa"/>
          </w:tblCellMar>
        </w:tblPrEx>
        <w:trPr>
          <w:trHeight w:val="235"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B296A2">
            <w:pPr>
              <w:pStyle w:val="45"/>
              <w:rPr>
                <w:rFonts w:hint="default"/>
              </w:rPr>
            </w:pPr>
          </w:p>
        </w:tc>
        <w:tc>
          <w:tcPr>
            <w:tcW w:w="8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8B5B686">
            <w:pPr>
              <w:pStyle w:val="45"/>
              <w:rPr>
                <w:rFonts w:hint="default"/>
              </w:rPr>
            </w:pPr>
            <w:r>
              <w:t>初期雨水池</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6651D9">
            <w:pPr>
              <w:pStyle w:val="45"/>
              <w:rPr>
                <w:rFonts w:hint="default"/>
              </w:rPr>
            </w:pPr>
            <w:r>
              <w:t>位于厂区东侧，占地面积62平方米，有效容积约250立方米。</w:t>
            </w:r>
          </w:p>
        </w:tc>
        <w:tc>
          <w:tcPr>
            <w:tcW w:w="7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C47E0E">
            <w:pPr>
              <w:pStyle w:val="45"/>
              <w:rPr>
                <w:rFonts w:hint="default"/>
              </w:rPr>
            </w:pPr>
          </w:p>
        </w:tc>
      </w:tr>
      <w:tr w14:paraId="5E2CD40F">
        <w:tblPrEx>
          <w:tblCellMar>
            <w:top w:w="0" w:type="dxa"/>
            <w:left w:w="108" w:type="dxa"/>
            <w:bottom w:w="0" w:type="dxa"/>
            <w:right w:w="108" w:type="dxa"/>
          </w:tblCellMar>
        </w:tblPrEx>
        <w:trPr>
          <w:trHeight w:val="235"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CE5813">
            <w:pPr>
              <w:pStyle w:val="45"/>
              <w:rPr>
                <w:rFonts w:hint="default"/>
              </w:rPr>
            </w:pPr>
          </w:p>
        </w:tc>
        <w:tc>
          <w:tcPr>
            <w:tcW w:w="8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4C24B32">
            <w:pPr>
              <w:pStyle w:val="45"/>
              <w:rPr>
                <w:rFonts w:hint="default"/>
              </w:rPr>
            </w:pPr>
            <w:r>
              <w:t>事故应急池</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10CEAD">
            <w:pPr>
              <w:pStyle w:val="45"/>
              <w:rPr>
                <w:rFonts w:hint="default"/>
              </w:rPr>
            </w:pPr>
            <w:r>
              <w:t>位于厂区东侧，占地面积130平方米，有效容积约550立方米。</w:t>
            </w:r>
          </w:p>
        </w:tc>
        <w:tc>
          <w:tcPr>
            <w:tcW w:w="7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58250A">
            <w:pPr>
              <w:pStyle w:val="45"/>
              <w:rPr>
                <w:rFonts w:hint="default"/>
              </w:rPr>
            </w:pPr>
          </w:p>
        </w:tc>
      </w:tr>
      <w:tr w14:paraId="204D0E6F">
        <w:tblPrEx>
          <w:tblCellMar>
            <w:top w:w="0" w:type="dxa"/>
            <w:left w:w="108" w:type="dxa"/>
            <w:bottom w:w="0" w:type="dxa"/>
            <w:right w:w="108" w:type="dxa"/>
          </w:tblCellMar>
        </w:tblPrEx>
        <w:trPr>
          <w:trHeight w:val="461" w:hRule="atLeast"/>
        </w:trPr>
        <w:tc>
          <w:tcPr>
            <w:tcW w:w="23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0975DFD">
            <w:pPr>
              <w:pStyle w:val="45"/>
              <w:rPr>
                <w:rFonts w:hint="default"/>
              </w:rPr>
            </w:pPr>
            <w:r>
              <w:t>公用工程</w:t>
            </w:r>
          </w:p>
        </w:tc>
        <w:tc>
          <w:tcPr>
            <w:tcW w:w="23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275E3C">
            <w:pPr>
              <w:pStyle w:val="45"/>
              <w:rPr>
                <w:rFonts w:hint="default"/>
              </w:rPr>
            </w:pPr>
            <w:r>
              <w:t>给水</w:t>
            </w: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5A0EB4">
            <w:pPr>
              <w:pStyle w:val="45"/>
              <w:rPr>
                <w:rFonts w:hint="default"/>
              </w:rPr>
            </w:pPr>
            <w:r>
              <w:t>生</w:t>
            </w:r>
            <w:r>
              <w:rPr>
                <w:rFonts w:hint="eastAsia"/>
                <w:lang w:val="en-US" w:eastAsia="zh-CN"/>
              </w:rPr>
              <w:t>产</w:t>
            </w:r>
            <w:r>
              <w:t>、生活给水</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DC46F5">
            <w:pPr>
              <w:pStyle w:val="45"/>
              <w:rPr>
                <w:rFonts w:hint="default"/>
              </w:rPr>
            </w:pPr>
            <w:r>
              <w:t>生产、生活合用给水系统，由市政自来水作为给水水源，从园区市政自来水管上接入两根</w:t>
            </w:r>
            <w:r>
              <w:rPr>
                <w:rFonts w:hint="default"/>
              </w:rPr>
              <w:t xml:space="preserve">DN150 </w:t>
            </w:r>
            <w:r>
              <w:t>引入管供本项目生产、生活用水，引入管上设置水表及止回阀，供水压力约为</w:t>
            </w:r>
            <w:r>
              <w:rPr>
                <w:rFonts w:hint="default"/>
              </w:rPr>
              <w:t>0.3MPa</w:t>
            </w:r>
            <w:r>
              <w:t>。</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0D8335">
            <w:pPr>
              <w:pStyle w:val="45"/>
              <w:rPr>
                <w:rFonts w:hint="default"/>
              </w:rPr>
            </w:pPr>
          </w:p>
        </w:tc>
      </w:tr>
      <w:tr w14:paraId="438E9D39">
        <w:tblPrEx>
          <w:tblCellMar>
            <w:top w:w="0" w:type="dxa"/>
            <w:left w:w="108" w:type="dxa"/>
            <w:bottom w:w="0" w:type="dxa"/>
            <w:right w:w="108" w:type="dxa"/>
          </w:tblCellMar>
        </w:tblPrEx>
        <w:trPr>
          <w:trHeight w:val="235"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3E92F1">
            <w:pPr>
              <w:pStyle w:val="45"/>
              <w:rPr>
                <w:rFonts w:hint="default"/>
              </w:rPr>
            </w:pPr>
          </w:p>
        </w:tc>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000092">
            <w:pPr>
              <w:pStyle w:val="45"/>
              <w:rPr>
                <w:rFonts w:hint="default"/>
              </w:rPr>
            </w:pP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B65E72">
            <w:pPr>
              <w:pStyle w:val="45"/>
              <w:rPr>
                <w:rFonts w:hint="default"/>
              </w:rPr>
            </w:pPr>
            <w:r>
              <w:t>消防给水</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C6ED4A">
            <w:pPr>
              <w:pStyle w:val="45"/>
              <w:rPr>
                <w:rFonts w:hint="default"/>
              </w:rPr>
            </w:pPr>
            <w:r>
              <w:t>设置独立的消火栓系统给水管网，供水主管管径为DN200，沿厂区道路设置地上式室外消火栓</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2499A9">
            <w:pPr>
              <w:pStyle w:val="45"/>
              <w:rPr>
                <w:rFonts w:hint="default"/>
              </w:rPr>
            </w:pPr>
          </w:p>
        </w:tc>
      </w:tr>
      <w:tr w14:paraId="63E75237">
        <w:tblPrEx>
          <w:tblCellMar>
            <w:top w:w="0" w:type="dxa"/>
            <w:left w:w="108" w:type="dxa"/>
            <w:bottom w:w="0" w:type="dxa"/>
            <w:right w:w="108" w:type="dxa"/>
          </w:tblCellMar>
        </w:tblPrEx>
        <w:trPr>
          <w:trHeight w:val="235"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5F6074">
            <w:pPr>
              <w:pStyle w:val="45"/>
              <w:rPr>
                <w:rFonts w:hint="default"/>
              </w:rPr>
            </w:pPr>
          </w:p>
        </w:tc>
        <w:tc>
          <w:tcPr>
            <w:tcW w:w="23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ABCB5C6">
            <w:pPr>
              <w:pStyle w:val="45"/>
              <w:rPr>
                <w:rFonts w:hint="default"/>
              </w:rPr>
            </w:pPr>
            <w:r>
              <w:t>排水</w:t>
            </w: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D9DF47">
            <w:pPr>
              <w:pStyle w:val="45"/>
              <w:rPr>
                <w:rFonts w:hint="default"/>
              </w:rPr>
            </w:pPr>
            <w:r>
              <w:t>生活污水</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C9B72A">
            <w:pPr>
              <w:pStyle w:val="45"/>
              <w:rPr>
                <w:rFonts w:hint="default" w:eastAsia="宋体"/>
                <w:lang w:val="en-US" w:eastAsia="zh-CN"/>
              </w:rPr>
            </w:pPr>
            <w:r>
              <w:t>生活</w:t>
            </w:r>
            <w:r>
              <w:rPr>
                <w:rFonts w:hint="eastAsia"/>
                <w:lang w:val="en-US" w:eastAsia="zh-CN"/>
              </w:rPr>
              <w:t>污水</w:t>
            </w:r>
            <w:r>
              <w:t>经化粪池沉淀和生化处理后，经厂区排水管道排入园区</w:t>
            </w:r>
            <w:r>
              <w:rPr>
                <w:rFonts w:hint="eastAsia"/>
                <w:lang w:val="en-US" w:eastAsia="zh-CN"/>
              </w:rPr>
              <w:t>松木污水处理厂进一步处理</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E7ECF4">
            <w:pPr>
              <w:pStyle w:val="45"/>
              <w:rPr>
                <w:rFonts w:hint="default"/>
              </w:rPr>
            </w:pPr>
          </w:p>
        </w:tc>
      </w:tr>
      <w:tr w14:paraId="680450EA">
        <w:tblPrEx>
          <w:tblCellMar>
            <w:top w:w="0" w:type="dxa"/>
            <w:left w:w="108" w:type="dxa"/>
            <w:bottom w:w="0" w:type="dxa"/>
            <w:right w:w="108" w:type="dxa"/>
          </w:tblCellMar>
        </w:tblPrEx>
        <w:trPr>
          <w:trHeight w:val="235"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647349">
            <w:pPr>
              <w:pStyle w:val="45"/>
              <w:rPr>
                <w:rFonts w:hint="default"/>
              </w:rPr>
            </w:pPr>
          </w:p>
        </w:tc>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702CF1">
            <w:pPr>
              <w:pStyle w:val="45"/>
              <w:rPr>
                <w:rFonts w:hint="default"/>
              </w:rPr>
            </w:pP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090CC6">
            <w:pPr>
              <w:pStyle w:val="45"/>
              <w:rPr>
                <w:rFonts w:hint="default"/>
              </w:rPr>
            </w:pPr>
            <w:r>
              <w:t>生产废水</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716E2E">
            <w:pPr>
              <w:pStyle w:val="45"/>
              <w:rPr>
                <w:rFonts w:hint="default"/>
              </w:rPr>
            </w:pPr>
            <w:r>
              <w:rPr>
                <w:rFonts w:hint="eastAsia"/>
                <w:lang w:val="en-US" w:eastAsia="zh-CN"/>
              </w:rPr>
              <w:t>正常生产期间，</w:t>
            </w:r>
            <w:r>
              <w:t>生产废水及其他废水回用，不外排</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1D7B89">
            <w:pPr>
              <w:pStyle w:val="45"/>
              <w:rPr>
                <w:rFonts w:hint="default"/>
              </w:rPr>
            </w:pPr>
          </w:p>
        </w:tc>
      </w:tr>
      <w:tr w14:paraId="1DF792F7">
        <w:tblPrEx>
          <w:tblCellMar>
            <w:top w:w="0" w:type="dxa"/>
            <w:left w:w="108" w:type="dxa"/>
            <w:bottom w:w="0" w:type="dxa"/>
            <w:right w:w="108" w:type="dxa"/>
          </w:tblCellMar>
        </w:tblPrEx>
        <w:trPr>
          <w:trHeight w:val="1139"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DEFD79">
            <w:pPr>
              <w:pStyle w:val="45"/>
              <w:rPr>
                <w:rFonts w:hint="default"/>
              </w:rPr>
            </w:pPr>
          </w:p>
        </w:tc>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29E095">
            <w:pPr>
              <w:pStyle w:val="45"/>
              <w:rPr>
                <w:rFonts w:hint="default"/>
              </w:rPr>
            </w:pP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E98E5D">
            <w:pPr>
              <w:pStyle w:val="45"/>
              <w:rPr>
                <w:rFonts w:hint="default"/>
              </w:rPr>
            </w:pPr>
            <w:r>
              <w:t>初期雨水</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FDE57C">
            <w:pPr>
              <w:pStyle w:val="45"/>
              <w:rPr>
                <w:rFonts w:hint="eastAsia" w:eastAsia="宋体"/>
                <w:lang w:eastAsia="zh-CN"/>
              </w:rPr>
            </w:pPr>
            <w:r>
              <w:rPr>
                <w:rFonts w:hint="eastAsia"/>
              </w:rPr>
              <w:t>（1）屋面雨水单独设计排水系统，与地面雨水收集系统分开，同时对各池体上部加装雨棚，减少厂区初期雨水总量；（2）正常生产期间，初期雨水收集进入厂内废水站经</w:t>
            </w:r>
            <w:r>
              <w:rPr>
                <w:rFonts w:hint="eastAsia"/>
                <w:lang w:eastAsia="zh-CN"/>
              </w:rPr>
              <w:t>“</w:t>
            </w:r>
            <w:r>
              <w:rPr>
                <w:rFonts w:hint="eastAsia"/>
              </w:rPr>
              <w:t>混凝沉淀+砂滤</w:t>
            </w:r>
            <w:r>
              <w:rPr>
                <w:rFonts w:hint="eastAsia"/>
                <w:lang w:eastAsia="zh-CN"/>
              </w:rPr>
              <w:t>”</w:t>
            </w:r>
            <w:r>
              <w:rPr>
                <w:rFonts w:hint="eastAsia"/>
              </w:rPr>
              <w:t>处理后回用，不外排；非生产期间，初期雨水经</w:t>
            </w:r>
            <w:r>
              <w:rPr>
                <w:rFonts w:hint="eastAsia"/>
                <w:lang w:eastAsia="zh-CN"/>
              </w:rPr>
              <w:t>“混凝沉淀+砂滤+离子交换”</w:t>
            </w:r>
            <w:r>
              <w:rPr>
                <w:rFonts w:hint="eastAsia"/>
              </w:rPr>
              <w:t>处理后达标排入松木污水处理厂进一步处理；</w:t>
            </w:r>
            <w:r>
              <w:rPr>
                <w:rFonts w:hint="eastAsia"/>
                <w:lang w:val="en-US" w:eastAsia="zh-CN"/>
              </w:rPr>
              <w:t>离子交换树脂清洗</w:t>
            </w:r>
            <w:r>
              <w:rPr>
                <w:rFonts w:hint="eastAsia"/>
              </w:rPr>
              <w:t>废水主要含高氯酸盐，可回到生产工序，进入产品。</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DCAFD0">
            <w:pPr>
              <w:pStyle w:val="45"/>
              <w:rPr>
                <w:rFonts w:hint="default"/>
              </w:rPr>
            </w:pPr>
          </w:p>
        </w:tc>
      </w:tr>
      <w:tr w14:paraId="4A4DB7B3">
        <w:tblPrEx>
          <w:tblCellMar>
            <w:top w:w="0" w:type="dxa"/>
            <w:left w:w="108" w:type="dxa"/>
            <w:bottom w:w="0" w:type="dxa"/>
            <w:right w:w="108" w:type="dxa"/>
          </w:tblCellMar>
        </w:tblPrEx>
        <w:trPr>
          <w:trHeight w:val="235"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66E8AF">
            <w:pPr>
              <w:pStyle w:val="45"/>
              <w:rPr>
                <w:rFonts w:hint="default"/>
              </w:rPr>
            </w:pPr>
          </w:p>
        </w:tc>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214570">
            <w:pPr>
              <w:pStyle w:val="45"/>
              <w:rPr>
                <w:rFonts w:hint="default"/>
              </w:rPr>
            </w:pP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9FDCCB">
            <w:pPr>
              <w:pStyle w:val="45"/>
              <w:rPr>
                <w:rFonts w:hint="default"/>
              </w:rPr>
            </w:pPr>
            <w:r>
              <w:t>事故废水</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09F9BB">
            <w:pPr>
              <w:pStyle w:val="45"/>
              <w:rPr>
                <w:rFonts w:hint="default"/>
              </w:rPr>
            </w:pPr>
            <w:r>
              <w:t>事故废水收集至事故应急池后进入废水处理站处理</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D916A6">
            <w:pPr>
              <w:pStyle w:val="45"/>
              <w:rPr>
                <w:rFonts w:hint="default"/>
              </w:rPr>
            </w:pPr>
          </w:p>
        </w:tc>
      </w:tr>
      <w:tr w14:paraId="24B58700">
        <w:tblPrEx>
          <w:tblCellMar>
            <w:top w:w="0" w:type="dxa"/>
            <w:left w:w="108" w:type="dxa"/>
            <w:bottom w:w="0" w:type="dxa"/>
            <w:right w:w="108" w:type="dxa"/>
          </w:tblCellMar>
        </w:tblPrEx>
        <w:trPr>
          <w:trHeight w:val="235"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2D0253">
            <w:pPr>
              <w:pStyle w:val="45"/>
              <w:rPr>
                <w:rFonts w:hint="default"/>
              </w:rPr>
            </w:pPr>
          </w:p>
        </w:tc>
        <w:tc>
          <w:tcPr>
            <w:tcW w:w="8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F921D46">
            <w:pPr>
              <w:pStyle w:val="45"/>
              <w:rPr>
                <w:rFonts w:hint="default"/>
              </w:rPr>
            </w:pPr>
            <w:r>
              <w:t>供电</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99C0B8">
            <w:pPr>
              <w:pStyle w:val="45"/>
              <w:rPr>
                <w:rFonts w:hint="default"/>
              </w:rPr>
            </w:pPr>
            <w:r>
              <w:t>由临近变电站提供，厂区内设变配电室</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71012B">
            <w:pPr>
              <w:pStyle w:val="45"/>
              <w:rPr>
                <w:rFonts w:hint="default"/>
              </w:rPr>
            </w:pPr>
          </w:p>
        </w:tc>
      </w:tr>
      <w:tr w14:paraId="5EB7F4F5">
        <w:tblPrEx>
          <w:tblCellMar>
            <w:top w:w="0" w:type="dxa"/>
            <w:left w:w="108" w:type="dxa"/>
            <w:bottom w:w="0" w:type="dxa"/>
            <w:right w:w="108" w:type="dxa"/>
          </w:tblCellMar>
        </w:tblPrEx>
        <w:trPr>
          <w:trHeight w:val="461"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20B1FD">
            <w:pPr>
              <w:pStyle w:val="45"/>
              <w:rPr>
                <w:rFonts w:hint="default"/>
              </w:rPr>
            </w:pPr>
          </w:p>
        </w:tc>
        <w:tc>
          <w:tcPr>
            <w:tcW w:w="8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430EAB8">
            <w:pPr>
              <w:pStyle w:val="45"/>
              <w:rPr>
                <w:rFonts w:hint="default"/>
              </w:rPr>
            </w:pPr>
            <w:r>
              <w:t>供汽</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5C7AF1">
            <w:pPr>
              <w:pStyle w:val="45"/>
              <w:rPr>
                <w:rFonts w:hint="default"/>
              </w:rPr>
            </w:pPr>
            <w:r>
              <w:rPr>
                <w:rFonts w:hint="eastAsia"/>
              </w:rPr>
              <w:t>正常情况下，电解热可满足项目用热需求，无需使用园区蒸汽，</w:t>
            </w:r>
            <w:r>
              <w:rPr>
                <w:rFonts w:hint="eastAsia"/>
                <w:lang w:val="en-US" w:eastAsia="zh-CN"/>
              </w:rPr>
              <w:t>项目</w:t>
            </w:r>
            <w:r>
              <w:rPr>
                <w:rFonts w:hint="eastAsia"/>
              </w:rPr>
              <w:t>接入园区供热蒸汽作为备用热源，备用蒸汽由园区建滔（衡阳）实业有限公司热电联产项目供应</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AEEA5C">
            <w:pPr>
              <w:pStyle w:val="45"/>
              <w:rPr>
                <w:rFonts w:hint="default"/>
              </w:rPr>
            </w:pPr>
          </w:p>
        </w:tc>
      </w:tr>
      <w:tr w14:paraId="7CB61BC8">
        <w:tblPrEx>
          <w:tblCellMar>
            <w:top w:w="0" w:type="dxa"/>
            <w:left w:w="108" w:type="dxa"/>
            <w:bottom w:w="0" w:type="dxa"/>
            <w:right w:w="108" w:type="dxa"/>
          </w:tblCellMar>
        </w:tblPrEx>
        <w:trPr>
          <w:trHeight w:val="235" w:hRule="atLeast"/>
        </w:trPr>
        <w:tc>
          <w:tcPr>
            <w:tcW w:w="23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0828034">
            <w:pPr>
              <w:pStyle w:val="45"/>
              <w:rPr>
                <w:rFonts w:hint="default"/>
              </w:rPr>
            </w:pPr>
            <w:r>
              <w:t>环保工程</w:t>
            </w:r>
          </w:p>
        </w:tc>
        <w:tc>
          <w:tcPr>
            <w:tcW w:w="235" w:type="pct"/>
            <w:vMerge w:val="restart"/>
            <w:tcBorders>
              <w:top w:val="single" w:color="000000" w:sz="4" w:space="0"/>
              <w:left w:val="single" w:color="000000" w:sz="4" w:space="0"/>
              <w:right w:val="single" w:color="000000" w:sz="4" w:space="0"/>
            </w:tcBorders>
            <w:shd w:val="clear" w:color="auto" w:fill="auto"/>
            <w:vAlign w:val="center"/>
          </w:tcPr>
          <w:p w14:paraId="52A07126">
            <w:pPr>
              <w:pStyle w:val="45"/>
              <w:rPr>
                <w:rFonts w:hint="default"/>
              </w:rPr>
            </w:pPr>
            <w:r>
              <w:t>废水处理</w:t>
            </w: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26E70E">
            <w:pPr>
              <w:pStyle w:val="45"/>
              <w:rPr>
                <w:rFonts w:hint="default"/>
              </w:rPr>
            </w:pPr>
            <w:r>
              <w:t>生活污水</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0F16A7">
            <w:pPr>
              <w:pStyle w:val="45"/>
              <w:rPr>
                <w:rFonts w:hint="default"/>
              </w:rPr>
            </w:pPr>
            <w:r>
              <w:t>经过化粪池预处理后，排入园区污水管网，进入松木污水处理厂深度处理后排入湘江</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B7BC45">
            <w:pPr>
              <w:pStyle w:val="45"/>
              <w:rPr>
                <w:rFonts w:hint="default"/>
              </w:rPr>
            </w:pPr>
          </w:p>
        </w:tc>
      </w:tr>
      <w:tr w14:paraId="23641AC1">
        <w:tblPrEx>
          <w:tblCellMar>
            <w:top w:w="0" w:type="dxa"/>
            <w:left w:w="108" w:type="dxa"/>
            <w:bottom w:w="0" w:type="dxa"/>
            <w:right w:w="108" w:type="dxa"/>
          </w:tblCellMar>
        </w:tblPrEx>
        <w:trPr>
          <w:trHeight w:val="235"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E39E52">
            <w:pPr>
              <w:pStyle w:val="45"/>
              <w:rPr>
                <w:rFonts w:hint="default"/>
              </w:rPr>
            </w:pPr>
          </w:p>
        </w:tc>
        <w:tc>
          <w:tcPr>
            <w:tcW w:w="235" w:type="pct"/>
            <w:vMerge w:val="continue"/>
            <w:tcBorders>
              <w:left w:val="single" w:color="000000" w:sz="4" w:space="0"/>
              <w:right w:val="single" w:color="000000" w:sz="4" w:space="0"/>
            </w:tcBorders>
            <w:shd w:val="clear" w:color="auto" w:fill="auto"/>
            <w:vAlign w:val="center"/>
          </w:tcPr>
          <w:p w14:paraId="0909F3F0">
            <w:pPr>
              <w:pStyle w:val="45"/>
              <w:rPr>
                <w:rFonts w:hint="default"/>
              </w:rPr>
            </w:pP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25BA73">
            <w:pPr>
              <w:pStyle w:val="45"/>
              <w:rPr>
                <w:rFonts w:hint="default"/>
              </w:rPr>
            </w:pPr>
            <w:r>
              <w:t>生产废水</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B629EF">
            <w:pPr>
              <w:pStyle w:val="45"/>
              <w:rPr>
                <w:rFonts w:hint="default"/>
              </w:rPr>
            </w:pPr>
            <w:r>
              <w:t>生产废水</w:t>
            </w:r>
            <w:r>
              <w:rPr>
                <w:rFonts w:hint="eastAsia"/>
                <w:lang w:val="en-US" w:eastAsia="zh-CN"/>
              </w:rPr>
              <w:t>处理</w:t>
            </w:r>
            <w:r>
              <w:t>回用，不外排</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F4E8EA">
            <w:pPr>
              <w:pStyle w:val="45"/>
              <w:rPr>
                <w:rFonts w:hint="default"/>
              </w:rPr>
            </w:pPr>
          </w:p>
        </w:tc>
      </w:tr>
      <w:tr w14:paraId="20EAA571">
        <w:tblPrEx>
          <w:tblCellMar>
            <w:top w:w="0" w:type="dxa"/>
            <w:left w:w="108" w:type="dxa"/>
            <w:bottom w:w="0" w:type="dxa"/>
            <w:right w:w="108" w:type="dxa"/>
          </w:tblCellMar>
        </w:tblPrEx>
        <w:trPr>
          <w:trHeight w:val="235"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787CAE">
            <w:pPr>
              <w:pStyle w:val="45"/>
              <w:rPr>
                <w:rFonts w:hint="default"/>
              </w:rPr>
            </w:pPr>
          </w:p>
        </w:tc>
        <w:tc>
          <w:tcPr>
            <w:tcW w:w="235" w:type="pct"/>
            <w:vMerge w:val="continue"/>
            <w:tcBorders>
              <w:left w:val="single" w:color="000000" w:sz="4" w:space="0"/>
              <w:bottom w:val="single" w:color="000000" w:sz="4" w:space="0"/>
              <w:right w:val="single" w:color="000000" w:sz="4" w:space="0"/>
            </w:tcBorders>
            <w:shd w:val="clear" w:color="auto" w:fill="auto"/>
            <w:vAlign w:val="center"/>
          </w:tcPr>
          <w:p w14:paraId="42256F39">
            <w:pPr>
              <w:pStyle w:val="45"/>
              <w:rPr>
                <w:rFonts w:hint="default"/>
              </w:rPr>
            </w:pP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82399E">
            <w:pPr>
              <w:pStyle w:val="45"/>
              <w:rPr>
                <w:rFonts w:hint="eastAsia" w:eastAsia="宋体"/>
                <w:lang w:val="en-US" w:eastAsia="zh-CN"/>
              </w:rPr>
            </w:pPr>
            <w:r>
              <w:rPr>
                <w:rFonts w:hint="eastAsia"/>
                <w:lang w:val="en-US" w:eastAsia="zh-CN"/>
              </w:rPr>
              <w:t>初期雨水</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CCC8C7">
            <w:pPr>
              <w:pStyle w:val="45"/>
              <w:rPr>
                <w:rFonts w:hint="default" w:eastAsia="宋体"/>
                <w:lang w:val="en-US" w:eastAsia="zh-CN"/>
              </w:rPr>
            </w:pPr>
            <w:r>
              <w:rPr>
                <w:rFonts w:hint="eastAsia"/>
                <w:lang w:val="en-US" w:eastAsia="zh-CN"/>
              </w:rPr>
              <w:t>正常生产期间，初期雨水经处理回用，不外排；非生产期间，初期雨水经“混凝沉淀+砂滤+离子交换”处理后达标排入松木污水处理厂进一步处理</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71E0B7">
            <w:pPr>
              <w:pStyle w:val="45"/>
              <w:rPr>
                <w:rFonts w:hint="default"/>
              </w:rPr>
            </w:pPr>
          </w:p>
        </w:tc>
      </w:tr>
      <w:tr w14:paraId="6C4F1406">
        <w:tblPrEx>
          <w:tblCellMar>
            <w:top w:w="0" w:type="dxa"/>
            <w:left w:w="108" w:type="dxa"/>
            <w:bottom w:w="0" w:type="dxa"/>
            <w:right w:w="108" w:type="dxa"/>
          </w:tblCellMar>
        </w:tblPrEx>
        <w:trPr>
          <w:trHeight w:val="461"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36DD3B">
            <w:pPr>
              <w:pStyle w:val="45"/>
              <w:rPr>
                <w:rFonts w:hint="default"/>
              </w:rPr>
            </w:pPr>
          </w:p>
        </w:tc>
        <w:tc>
          <w:tcPr>
            <w:tcW w:w="23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D31213A">
            <w:pPr>
              <w:pStyle w:val="45"/>
              <w:rPr>
                <w:rFonts w:hint="default"/>
              </w:rPr>
            </w:pPr>
            <w:r>
              <w:t>废气处理</w:t>
            </w: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5AE051">
            <w:pPr>
              <w:pStyle w:val="45"/>
              <w:rPr>
                <w:rFonts w:hint="default"/>
              </w:rPr>
            </w:pPr>
            <w:r>
              <w:t>一次电解尾气</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7875A5">
            <w:pPr>
              <w:pStyle w:val="45"/>
              <w:rPr>
                <w:rFonts w:hint="default"/>
              </w:rPr>
            </w:pPr>
            <w:r>
              <w:rPr>
                <w:rFonts w:hint="default"/>
              </w:rPr>
              <w:t>（1）氢气未回收利用的情况下，一次电解尾气经过“盐水洗涤+一级碱洗+一级水洗”处理后通过25m高排气筒（DA001）达标排放；（2）氢气回收利用的情况下，一次电解尾气经“盐水洗涤+一级碱洗+一级水洗”</w:t>
            </w:r>
            <w:r>
              <w:rPr>
                <w:rFonts w:hint="eastAsia"/>
                <w:lang w:val="en-US" w:eastAsia="zh-CN"/>
              </w:rPr>
              <w:t>处理后，在经过氢气回收系统“深度</w:t>
            </w:r>
            <w:r>
              <w:rPr>
                <w:rFonts w:hint="default"/>
              </w:rPr>
              <w:t>脱氯</w:t>
            </w:r>
            <w:r>
              <w:rPr>
                <w:rFonts w:hint="eastAsia"/>
                <w:lang w:val="en-US" w:eastAsia="zh-CN"/>
              </w:rPr>
              <w:t>+</w:t>
            </w:r>
            <w:r>
              <w:rPr>
                <w:rFonts w:hint="default"/>
              </w:rPr>
              <w:t>钯催化脱氧</w:t>
            </w:r>
            <w:r>
              <w:rPr>
                <w:rFonts w:hint="eastAsia"/>
                <w:lang w:val="en-US" w:eastAsia="zh-CN"/>
              </w:rPr>
              <w:t>”</w:t>
            </w:r>
            <w:r>
              <w:rPr>
                <w:rFonts w:hint="default"/>
              </w:rPr>
              <w:t>，最后水洗降温进入变压吸附系统提纯，获得的高纯氢气直接充装。</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E47B23">
            <w:pPr>
              <w:pStyle w:val="45"/>
              <w:rPr>
                <w:rFonts w:hint="default" w:eastAsia="宋体"/>
                <w:lang w:val="en-US" w:eastAsia="zh-CN"/>
              </w:rPr>
            </w:pPr>
            <w:r>
              <w:t>1套处理装置，设置1个排气筒</w:t>
            </w:r>
            <w:r>
              <w:rPr>
                <w:rFonts w:hint="eastAsia"/>
                <w:lang w:eastAsia="zh-CN"/>
              </w:rPr>
              <w:t>，</w:t>
            </w:r>
            <w:r>
              <w:rPr>
                <w:rFonts w:hint="eastAsia"/>
                <w:lang w:val="en-US" w:eastAsia="zh-CN"/>
              </w:rPr>
              <w:t>设有氢气回收装置</w:t>
            </w:r>
          </w:p>
        </w:tc>
      </w:tr>
      <w:tr w14:paraId="0C69065F">
        <w:tblPrEx>
          <w:tblCellMar>
            <w:top w:w="0" w:type="dxa"/>
            <w:left w:w="108" w:type="dxa"/>
            <w:bottom w:w="0" w:type="dxa"/>
            <w:right w:w="108" w:type="dxa"/>
          </w:tblCellMar>
        </w:tblPrEx>
        <w:trPr>
          <w:trHeight w:val="461"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44F21A">
            <w:pPr>
              <w:pStyle w:val="45"/>
              <w:rPr>
                <w:rFonts w:hint="default"/>
              </w:rPr>
            </w:pPr>
          </w:p>
        </w:tc>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55A0E4">
            <w:pPr>
              <w:pStyle w:val="45"/>
              <w:rPr>
                <w:rFonts w:hint="default"/>
              </w:rPr>
            </w:pP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870122">
            <w:pPr>
              <w:pStyle w:val="45"/>
              <w:rPr>
                <w:rFonts w:hint="default"/>
              </w:rPr>
            </w:pPr>
            <w:r>
              <w:t>二次电解尾气</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0DF44F">
            <w:pPr>
              <w:pStyle w:val="45"/>
              <w:rPr>
                <w:rFonts w:hint="default"/>
              </w:rPr>
            </w:pPr>
            <w:r>
              <w:t>采用“一级碱洗+25m高排气筒”处理后达标排放</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2F9928">
            <w:pPr>
              <w:pStyle w:val="45"/>
              <w:rPr>
                <w:rFonts w:hint="default"/>
              </w:rPr>
            </w:pPr>
            <w:r>
              <w:t>2套处理装置，设置2个排气筒</w:t>
            </w:r>
          </w:p>
        </w:tc>
      </w:tr>
      <w:tr w14:paraId="1705F21F">
        <w:trPr>
          <w:trHeight w:val="461"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16215B">
            <w:pPr>
              <w:pStyle w:val="45"/>
              <w:rPr>
                <w:rFonts w:hint="default"/>
              </w:rPr>
            </w:pPr>
          </w:p>
        </w:tc>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4A8390">
            <w:pPr>
              <w:pStyle w:val="45"/>
              <w:rPr>
                <w:rFonts w:hint="default"/>
              </w:rPr>
            </w:pP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AAF91A">
            <w:pPr>
              <w:pStyle w:val="45"/>
              <w:rPr>
                <w:rFonts w:hint="default"/>
              </w:rPr>
            </w:pPr>
            <w:r>
              <w:t>除次钠尾气</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DA07F6">
            <w:pPr>
              <w:pStyle w:val="45"/>
              <w:rPr>
                <w:rFonts w:hint="default"/>
              </w:rPr>
            </w:pPr>
            <w:r>
              <w:t>采用“一级碱洗+25m高排气筒”处理后达标排放</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AC5EE5">
            <w:pPr>
              <w:pStyle w:val="45"/>
              <w:rPr>
                <w:rFonts w:hint="default"/>
              </w:rPr>
            </w:pPr>
            <w:r>
              <w:t>1套处理装置，设置1个排气筒</w:t>
            </w:r>
          </w:p>
        </w:tc>
      </w:tr>
      <w:tr w14:paraId="7B7388FF">
        <w:tblPrEx>
          <w:tblCellMar>
            <w:top w:w="0" w:type="dxa"/>
            <w:left w:w="108" w:type="dxa"/>
            <w:bottom w:w="0" w:type="dxa"/>
            <w:right w:w="108" w:type="dxa"/>
          </w:tblCellMar>
        </w:tblPrEx>
        <w:trPr>
          <w:trHeight w:val="235"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12A4D3">
            <w:pPr>
              <w:pStyle w:val="45"/>
              <w:rPr>
                <w:rFonts w:hint="default"/>
              </w:rPr>
            </w:pPr>
          </w:p>
        </w:tc>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72D235">
            <w:pPr>
              <w:pStyle w:val="45"/>
              <w:rPr>
                <w:rFonts w:hint="default"/>
              </w:rPr>
            </w:pP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D955C2">
            <w:pPr>
              <w:pStyle w:val="45"/>
              <w:rPr>
                <w:rFonts w:hint="default"/>
              </w:rPr>
            </w:pPr>
            <w:r>
              <w:rPr>
                <w:rFonts w:hint="eastAsia"/>
                <w:lang w:val="en-US" w:eastAsia="zh-CN"/>
              </w:rPr>
              <w:t>复分解</w:t>
            </w:r>
            <w:r>
              <w:t>干燥废气</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45198C">
            <w:pPr>
              <w:pStyle w:val="45"/>
              <w:rPr>
                <w:rFonts w:hint="default"/>
              </w:rPr>
            </w:pPr>
            <w:r>
              <w:t>采用“二次布袋除尘+15</w:t>
            </w:r>
            <w:r>
              <w:rPr>
                <w:rFonts w:hint="default"/>
              </w:rPr>
              <w:t>m</w:t>
            </w:r>
            <w:r>
              <w:t>高排气筒”处理后达标排放</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B7ED0F">
            <w:pPr>
              <w:pStyle w:val="45"/>
              <w:rPr>
                <w:rFonts w:hint="default"/>
              </w:rPr>
            </w:pPr>
            <w:r>
              <w:t>2套处理装置，设置2个排气筒</w:t>
            </w:r>
          </w:p>
        </w:tc>
      </w:tr>
      <w:tr w14:paraId="6AE974EB">
        <w:tblPrEx>
          <w:tblCellMar>
            <w:top w:w="0" w:type="dxa"/>
            <w:left w:w="108" w:type="dxa"/>
            <w:bottom w:w="0" w:type="dxa"/>
            <w:right w:w="108" w:type="dxa"/>
          </w:tblCellMar>
        </w:tblPrEx>
        <w:trPr>
          <w:trHeight w:val="235"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842AC4">
            <w:pPr>
              <w:pStyle w:val="45"/>
              <w:rPr>
                <w:rFonts w:hint="default"/>
              </w:rPr>
            </w:pPr>
          </w:p>
        </w:tc>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6040FC">
            <w:pPr>
              <w:pStyle w:val="45"/>
              <w:rPr>
                <w:rFonts w:hint="default"/>
              </w:rPr>
            </w:pP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599F04">
            <w:pPr>
              <w:pStyle w:val="45"/>
              <w:rPr>
                <w:rFonts w:hint="default" w:eastAsia="宋体"/>
                <w:lang w:val="en-US" w:eastAsia="zh-CN"/>
              </w:rPr>
            </w:pPr>
            <w:r>
              <w:rPr>
                <w:rFonts w:hint="eastAsia"/>
                <w:lang w:val="en-US" w:eastAsia="zh-CN"/>
              </w:rPr>
              <w:t>锂盐中和尾气</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9D443D">
            <w:pPr>
              <w:pStyle w:val="45"/>
            </w:pPr>
            <w:r>
              <w:t>采用“一级碱洗+</w:t>
            </w:r>
            <w:r>
              <w:rPr>
                <w:rFonts w:hint="eastAsia"/>
                <w:lang w:val="en-US" w:eastAsia="zh-CN"/>
              </w:rPr>
              <w:t>1</w:t>
            </w:r>
            <w:r>
              <w:t>5m高排气筒”处理后达标排放</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D000F7">
            <w:pPr>
              <w:pStyle w:val="45"/>
            </w:pPr>
            <w:r>
              <w:t>1套处理装置，设置1个排气筒</w:t>
            </w:r>
          </w:p>
        </w:tc>
      </w:tr>
      <w:tr w14:paraId="1DA5FEA6">
        <w:tblPrEx>
          <w:tblCellMar>
            <w:top w:w="0" w:type="dxa"/>
            <w:left w:w="108" w:type="dxa"/>
            <w:bottom w:w="0" w:type="dxa"/>
            <w:right w:w="108" w:type="dxa"/>
          </w:tblCellMar>
        </w:tblPrEx>
        <w:trPr>
          <w:trHeight w:val="687"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235327">
            <w:pPr>
              <w:pStyle w:val="45"/>
              <w:rPr>
                <w:rFonts w:hint="default"/>
              </w:rPr>
            </w:pPr>
          </w:p>
        </w:tc>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F23C25">
            <w:pPr>
              <w:pStyle w:val="45"/>
              <w:rPr>
                <w:rFonts w:hint="default"/>
              </w:rPr>
            </w:pP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545B92">
            <w:pPr>
              <w:pStyle w:val="45"/>
              <w:rPr>
                <w:rFonts w:hint="default"/>
              </w:rPr>
            </w:pPr>
            <w:r>
              <w:t>无组织废气</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35C204">
            <w:pPr>
              <w:pStyle w:val="45"/>
              <w:rPr>
                <w:rFonts w:hint="eastAsia" w:eastAsia="宋体"/>
                <w:lang w:eastAsia="zh-CN"/>
              </w:rPr>
            </w:pPr>
            <w:r>
              <w:t>无组织废气主要包括盐酸储罐大小呼吸、电解车间无组织废气、</w:t>
            </w:r>
            <w:r>
              <w:rPr>
                <w:rFonts w:hint="eastAsia"/>
                <w:lang w:val="en-US" w:eastAsia="zh-CN"/>
              </w:rPr>
              <w:t>干燥及包装</w:t>
            </w:r>
            <w:r>
              <w:t>无组织</w:t>
            </w:r>
            <w:r>
              <w:rPr>
                <w:rFonts w:hint="eastAsia"/>
                <w:lang w:val="en-US" w:eastAsia="zh-CN"/>
              </w:rPr>
              <w:t>粉尘</w:t>
            </w:r>
            <w:r>
              <w:t>。盐酸储罐大小呼吸碱封+通风后无组织排放，电解车间无组织废气、</w:t>
            </w:r>
            <w:r>
              <w:rPr>
                <w:rFonts w:hint="eastAsia"/>
                <w:lang w:val="en-US" w:eastAsia="zh-CN"/>
              </w:rPr>
              <w:t>干燥及</w:t>
            </w:r>
            <w:r>
              <w:t>包装无组织</w:t>
            </w:r>
            <w:r>
              <w:rPr>
                <w:rFonts w:hint="eastAsia"/>
                <w:lang w:val="en-US" w:eastAsia="zh-CN"/>
              </w:rPr>
              <w:t>粉尘</w:t>
            </w:r>
            <w:r>
              <w:t>加强通风后无组织排放</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B4E554">
            <w:pPr>
              <w:pStyle w:val="45"/>
              <w:rPr>
                <w:rFonts w:hint="default"/>
              </w:rPr>
            </w:pPr>
          </w:p>
        </w:tc>
      </w:tr>
      <w:tr w14:paraId="2FB05E92">
        <w:tblPrEx>
          <w:tblCellMar>
            <w:top w:w="0" w:type="dxa"/>
            <w:left w:w="108" w:type="dxa"/>
            <w:bottom w:w="0" w:type="dxa"/>
            <w:right w:w="108" w:type="dxa"/>
          </w:tblCellMar>
        </w:tblPrEx>
        <w:trPr>
          <w:trHeight w:val="235"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787A01">
            <w:pPr>
              <w:pStyle w:val="45"/>
              <w:rPr>
                <w:rFonts w:hint="default"/>
              </w:rPr>
            </w:pPr>
          </w:p>
        </w:tc>
        <w:tc>
          <w:tcPr>
            <w:tcW w:w="23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B85AA21">
            <w:pPr>
              <w:pStyle w:val="45"/>
              <w:rPr>
                <w:rFonts w:hint="default"/>
              </w:rPr>
            </w:pPr>
            <w:r>
              <w:t>固体废物</w:t>
            </w: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CE0537">
            <w:pPr>
              <w:pStyle w:val="45"/>
              <w:rPr>
                <w:rFonts w:hint="default"/>
              </w:rPr>
            </w:pPr>
            <w:r>
              <w:t>生活垃圾</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7783DC">
            <w:pPr>
              <w:pStyle w:val="45"/>
              <w:rPr>
                <w:rFonts w:hint="default"/>
              </w:rPr>
            </w:pPr>
            <w:r>
              <w:t>集中收集后由环卫部门统一清运处置</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E27FEA">
            <w:pPr>
              <w:pStyle w:val="45"/>
              <w:rPr>
                <w:rFonts w:hint="default"/>
              </w:rPr>
            </w:pPr>
          </w:p>
        </w:tc>
      </w:tr>
      <w:tr w14:paraId="452FA4BF">
        <w:tblPrEx>
          <w:tblCellMar>
            <w:top w:w="0" w:type="dxa"/>
            <w:left w:w="108" w:type="dxa"/>
            <w:bottom w:w="0" w:type="dxa"/>
            <w:right w:w="108" w:type="dxa"/>
          </w:tblCellMar>
        </w:tblPrEx>
        <w:trPr>
          <w:trHeight w:val="235"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AF2C7B">
            <w:pPr>
              <w:pStyle w:val="45"/>
              <w:rPr>
                <w:rFonts w:hint="default"/>
              </w:rPr>
            </w:pPr>
          </w:p>
        </w:tc>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77070D">
            <w:pPr>
              <w:pStyle w:val="45"/>
              <w:rPr>
                <w:rFonts w:hint="default"/>
              </w:rPr>
            </w:pP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EFA8B4">
            <w:pPr>
              <w:pStyle w:val="45"/>
              <w:rPr>
                <w:rFonts w:hint="default"/>
              </w:rPr>
            </w:pPr>
            <w:r>
              <w:t>一般固废</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DBDCBA">
            <w:pPr>
              <w:pStyle w:val="45"/>
              <w:rPr>
                <w:rFonts w:hint="default"/>
              </w:rPr>
            </w:pPr>
            <w:r>
              <w:t>暂存一般固废暂存间（80平方米)，收集后外售综合利用或厂家回收</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A5F10E">
            <w:pPr>
              <w:pStyle w:val="45"/>
              <w:rPr>
                <w:rFonts w:hint="default"/>
              </w:rPr>
            </w:pPr>
          </w:p>
        </w:tc>
      </w:tr>
      <w:tr w14:paraId="1B60143E">
        <w:tblPrEx>
          <w:tblCellMar>
            <w:top w:w="0" w:type="dxa"/>
            <w:left w:w="108" w:type="dxa"/>
            <w:bottom w:w="0" w:type="dxa"/>
            <w:right w:w="108" w:type="dxa"/>
          </w:tblCellMar>
        </w:tblPrEx>
        <w:trPr>
          <w:trHeight w:val="235"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AC5C41">
            <w:pPr>
              <w:pStyle w:val="45"/>
              <w:rPr>
                <w:rFonts w:hint="default"/>
              </w:rPr>
            </w:pPr>
          </w:p>
        </w:tc>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3189EA">
            <w:pPr>
              <w:pStyle w:val="45"/>
              <w:rPr>
                <w:rFonts w:hint="default"/>
              </w:rPr>
            </w:pP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C2DD67">
            <w:pPr>
              <w:pStyle w:val="45"/>
              <w:rPr>
                <w:rFonts w:hint="default"/>
              </w:rPr>
            </w:pPr>
            <w:r>
              <w:t>危险废物</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AEF9FE">
            <w:pPr>
              <w:pStyle w:val="45"/>
              <w:rPr>
                <w:rFonts w:hint="default"/>
              </w:rPr>
            </w:pPr>
            <w:r>
              <w:t>暂存危废暂存间(30平方米），分类收集后交有资质单位处置</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B3C2A8">
            <w:pPr>
              <w:pStyle w:val="45"/>
              <w:rPr>
                <w:rFonts w:hint="default"/>
              </w:rPr>
            </w:pPr>
          </w:p>
        </w:tc>
      </w:tr>
      <w:tr w14:paraId="5E18E52A">
        <w:tblPrEx>
          <w:tblCellMar>
            <w:top w:w="0" w:type="dxa"/>
            <w:left w:w="108" w:type="dxa"/>
            <w:bottom w:w="0" w:type="dxa"/>
            <w:right w:w="108" w:type="dxa"/>
          </w:tblCellMar>
        </w:tblPrEx>
        <w:trPr>
          <w:trHeight w:val="235"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EE12D5">
            <w:pPr>
              <w:pStyle w:val="45"/>
              <w:rPr>
                <w:rFonts w:hint="default"/>
              </w:rPr>
            </w:pPr>
          </w:p>
        </w:tc>
        <w:tc>
          <w:tcPr>
            <w:tcW w:w="8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905C3F8">
            <w:pPr>
              <w:pStyle w:val="45"/>
              <w:rPr>
                <w:rFonts w:hint="default"/>
              </w:rPr>
            </w:pPr>
            <w:r>
              <w:t>噪声</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F1B959">
            <w:pPr>
              <w:pStyle w:val="45"/>
              <w:rPr>
                <w:rFonts w:hint="default"/>
              </w:rPr>
            </w:pPr>
            <w:r>
              <w:rPr>
                <w:rFonts w:hint="eastAsia"/>
                <w:lang w:val="en-US" w:eastAsia="zh-CN"/>
              </w:rPr>
              <w:t>设</w:t>
            </w:r>
            <w:r>
              <w:t>备均采用设置隔声罩，安装消声器，基础减震，距离衰减等噪声防治措施</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23211E">
            <w:pPr>
              <w:pStyle w:val="45"/>
              <w:rPr>
                <w:rFonts w:hint="default"/>
              </w:rPr>
            </w:pPr>
          </w:p>
        </w:tc>
      </w:tr>
      <w:tr w14:paraId="77BF1A6D">
        <w:tblPrEx>
          <w:tblCellMar>
            <w:top w:w="0" w:type="dxa"/>
            <w:left w:w="108" w:type="dxa"/>
            <w:bottom w:w="0" w:type="dxa"/>
            <w:right w:w="108" w:type="dxa"/>
          </w:tblCellMar>
        </w:tblPrEx>
        <w:trPr>
          <w:trHeight w:val="461"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246BD3">
            <w:pPr>
              <w:pStyle w:val="45"/>
              <w:rPr>
                <w:rFonts w:hint="default"/>
              </w:rPr>
            </w:pPr>
          </w:p>
        </w:tc>
        <w:tc>
          <w:tcPr>
            <w:tcW w:w="8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6B817DB">
            <w:pPr>
              <w:pStyle w:val="45"/>
              <w:rPr>
                <w:rFonts w:hint="default" w:eastAsia="宋体"/>
                <w:lang w:val="en-US" w:eastAsia="zh-CN"/>
              </w:rPr>
            </w:pPr>
            <w:r>
              <w:rPr>
                <w:rFonts w:hint="eastAsia"/>
                <w:lang w:val="en-US" w:eastAsia="zh-CN"/>
              </w:rPr>
              <w:t>地下水、土壤</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48D3DE">
            <w:pPr>
              <w:pStyle w:val="45"/>
              <w:rPr>
                <w:rFonts w:hint="eastAsia"/>
                <w:lang w:val="en-US" w:eastAsia="zh-CN"/>
              </w:rPr>
            </w:pPr>
            <w:r>
              <w:rPr>
                <w:rFonts w:hint="eastAsia" w:cs="宋体"/>
                <w:color w:val="000000"/>
                <w:kern w:val="0"/>
                <w:sz w:val="21"/>
                <w:szCs w:val="21"/>
              </w:rPr>
              <w:t>废物暂存场、车间及其他区域进行地面防渗处理，防渗系数满足相应标准要求，</w:t>
            </w:r>
            <w:r>
              <w:rPr>
                <w:rFonts w:hint="default"/>
              </w:rPr>
              <w:t>厂区上游、厂区</w:t>
            </w:r>
            <w:r>
              <w:t>内</w:t>
            </w:r>
            <w:r>
              <w:rPr>
                <w:rFonts w:hint="default"/>
              </w:rPr>
              <w:t>、厂区</w:t>
            </w:r>
            <w:r>
              <w:t>下游</w:t>
            </w:r>
            <w:r>
              <w:rPr>
                <w:rFonts w:hint="eastAsia" w:cs="宋体"/>
                <w:color w:val="000000"/>
                <w:kern w:val="0"/>
                <w:sz w:val="21"/>
                <w:szCs w:val="21"/>
              </w:rPr>
              <w:t>各设置1个地下水监测井（共三个井）</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0B86FF">
            <w:pPr>
              <w:pStyle w:val="45"/>
              <w:rPr>
                <w:rFonts w:hint="default"/>
              </w:rPr>
            </w:pPr>
          </w:p>
        </w:tc>
      </w:tr>
      <w:tr w14:paraId="56EFED4A">
        <w:tblPrEx>
          <w:tblCellMar>
            <w:top w:w="0" w:type="dxa"/>
            <w:left w:w="108" w:type="dxa"/>
            <w:bottom w:w="0" w:type="dxa"/>
            <w:right w:w="108" w:type="dxa"/>
          </w:tblCellMar>
        </w:tblPrEx>
        <w:trPr>
          <w:trHeight w:val="235"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892890">
            <w:pPr>
              <w:pStyle w:val="45"/>
              <w:rPr>
                <w:rFonts w:hint="default"/>
              </w:rPr>
            </w:pPr>
          </w:p>
        </w:tc>
        <w:tc>
          <w:tcPr>
            <w:tcW w:w="23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7830D6A">
            <w:pPr>
              <w:pStyle w:val="45"/>
              <w:rPr>
                <w:rFonts w:hint="default"/>
              </w:rPr>
            </w:pPr>
            <w:r>
              <w:t>环境风险</w:t>
            </w: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51FBC6">
            <w:pPr>
              <w:pStyle w:val="45"/>
              <w:rPr>
                <w:rFonts w:hint="default"/>
              </w:rPr>
            </w:pPr>
            <w:r>
              <w:t>事故应急池</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B7CD8D">
            <w:pPr>
              <w:pStyle w:val="45"/>
              <w:rPr>
                <w:rFonts w:hint="default"/>
              </w:rPr>
            </w:pPr>
            <w:r>
              <w:t>位于厂区东侧，有效容积约550立方米</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841220">
            <w:pPr>
              <w:pStyle w:val="45"/>
              <w:rPr>
                <w:rFonts w:hint="default"/>
              </w:rPr>
            </w:pPr>
          </w:p>
        </w:tc>
      </w:tr>
      <w:tr w14:paraId="3662C43C">
        <w:tblPrEx>
          <w:tblCellMar>
            <w:top w:w="0" w:type="dxa"/>
            <w:left w:w="108" w:type="dxa"/>
            <w:bottom w:w="0" w:type="dxa"/>
            <w:right w:w="108" w:type="dxa"/>
          </w:tblCellMar>
        </w:tblPrEx>
        <w:trPr>
          <w:trHeight w:val="913"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C33582">
            <w:pPr>
              <w:pStyle w:val="45"/>
              <w:rPr>
                <w:rFonts w:hint="default"/>
              </w:rPr>
            </w:pPr>
          </w:p>
        </w:tc>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C46C95">
            <w:pPr>
              <w:pStyle w:val="45"/>
              <w:rPr>
                <w:rFonts w:hint="default"/>
              </w:rPr>
            </w:pP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5C1170">
            <w:pPr>
              <w:pStyle w:val="45"/>
              <w:rPr>
                <w:rFonts w:hint="default"/>
              </w:rPr>
            </w:pPr>
            <w:r>
              <w:t>防渗防漏措施</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A051EC">
            <w:pPr>
              <w:pStyle w:val="45"/>
              <w:rPr>
                <w:rFonts w:hint="eastAsia" w:eastAsia="宋体"/>
                <w:lang w:eastAsia="zh-CN"/>
              </w:rPr>
            </w:pPr>
            <w:r>
              <w:t>根据设计要求，厂区分级防渗，化盐车间、电解车间、复分解车间、废水处理站、储罐区、初期雨水收集池、事故应急池、危废暂存间、一般固废暂存间为重点防渗区；</w:t>
            </w:r>
            <w:r>
              <w:rPr>
                <w:rFonts w:hint="eastAsia"/>
              </w:rPr>
              <w:t>循环水站、消防水池、原辅料仓库、氢气回收区</w:t>
            </w:r>
            <w:r>
              <w:t>为一般防渗区，其他为简单防渗区</w:t>
            </w:r>
            <w:r>
              <w:rPr>
                <w:rFonts w:hint="eastAsia"/>
                <w:lang w:eastAsia="zh-CN"/>
              </w:rPr>
              <w:t>；</w:t>
            </w:r>
            <w:r>
              <w:t>各储罐按照</w:t>
            </w:r>
            <w:r>
              <w:rPr>
                <w:rFonts w:hint="default"/>
              </w:rPr>
              <w:t>“</w:t>
            </w:r>
            <w:r>
              <w:t>分区设围</w:t>
            </w:r>
            <w:r>
              <w:rPr>
                <w:rFonts w:hint="default"/>
              </w:rPr>
              <w:t>”</w:t>
            </w:r>
            <w:r>
              <w:t>原则，分别设置安全围堰，围堰可满足储罐泄漏时的收集暂存要求</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AA6A19">
            <w:pPr>
              <w:pStyle w:val="45"/>
              <w:rPr>
                <w:rFonts w:hint="default"/>
              </w:rPr>
            </w:pPr>
          </w:p>
        </w:tc>
      </w:tr>
      <w:tr w14:paraId="503AA6DD">
        <w:tblPrEx>
          <w:tblCellMar>
            <w:top w:w="0" w:type="dxa"/>
            <w:left w:w="108" w:type="dxa"/>
            <w:bottom w:w="0" w:type="dxa"/>
            <w:right w:w="108" w:type="dxa"/>
          </w:tblCellMar>
        </w:tblPrEx>
        <w:trPr>
          <w:trHeight w:val="235"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A2D2ED">
            <w:pPr>
              <w:pStyle w:val="45"/>
              <w:rPr>
                <w:rFonts w:hint="default"/>
              </w:rPr>
            </w:pPr>
          </w:p>
        </w:tc>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1E8706">
            <w:pPr>
              <w:pStyle w:val="45"/>
              <w:rPr>
                <w:rFonts w:hint="default"/>
              </w:rPr>
            </w:pP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7F27DB">
            <w:pPr>
              <w:pStyle w:val="45"/>
              <w:rPr>
                <w:rFonts w:hint="default"/>
              </w:rPr>
            </w:pPr>
            <w:r>
              <w:rPr>
                <w:rFonts w:hint="eastAsia"/>
                <w:lang w:val="en-US" w:eastAsia="zh-CN"/>
              </w:rPr>
              <w:t>废气事故排放</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0DE882">
            <w:pPr>
              <w:pStyle w:val="45"/>
              <w:rPr>
                <w:rFonts w:hint="default"/>
              </w:rPr>
            </w:pPr>
            <w:r>
              <w:rPr>
                <w:rFonts w:hint="eastAsia"/>
                <w:lang w:val="en-US" w:eastAsia="zh-CN"/>
              </w:rPr>
              <w:t>设置氯气、氯化氢、氢气报警系统</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8CAF7C">
            <w:pPr>
              <w:pStyle w:val="45"/>
              <w:rPr>
                <w:rFonts w:hint="default"/>
              </w:rPr>
            </w:pPr>
          </w:p>
        </w:tc>
      </w:tr>
      <w:tr w14:paraId="20E523EC">
        <w:tblPrEx>
          <w:tblCellMar>
            <w:top w:w="0" w:type="dxa"/>
            <w:left w:w="108" w:type="dxa"/>
            <w:bottom w:w="0" w:type="dxa"/>
            <w:right w:w="108" w:type="dxa"/>
          </w:tblCellMar>
        </w:tblPrEx>
        <w:trPr>
          <w:trHeight w:val="1591"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5DB9F2">
            <w:pPr>
              <w:pStyle w:val="45"/>
              <w:rPr>
                <w:rFonts w:hint="default"/>
              </w:rPr>
            </w:pPr>
          </w:p>
        </w:tc>
        <w:tc>
          <w:tcPr>
            <w:tcW w:w="8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D34E831">
            <w:pPr>
              <w:pStyle w:val="45"/>
            </w:pPr>
            <w:r>
              <w:rPr>
                <w:rFonts w:hint="eastAsia"/>
                <w:color w:val="auto"/>
                <w:lang w:val="en-US" w:eastAsia="zh-CN"/>
              </w:rPr>
              <w:t>环境管理</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19415F">
            <w:pPr>
              <w:pStyle w:val="45"/>
              <w:rPr>
                <w:rFonts w:hint="default"/>
                <w:lang w:val="en-US"/>
              </w:rPr>
            </w:pPr>
            <w:r>
              <w:rPr>
                <w:rFonts w:hint="eastAsia"/>
                <w:lang w:eastAsia="zh-CN"/>
              </w:rPr>
              <w:t>（</w:t>
            </w:r>
            <w:r>
              <w:rPr>
                <w:rFonts w:hint="eastAsia"/>
                <w:lang w:val="en-US" w:eastAsia="zh-CN"/>
              </w:rPr>
              <w:t>1</w:t>
            </w:r>
            <w:r>
              <w:rPr>
                <w:rFonts w:hint="eastAsia"/>
                <w:lang w:eastAsia="zh-CN"/>
              </w:rPr>
              <w:t>）</w:t>
            </w:r>
            <w:r>
              <w:rPr>
                <w:rFonts w:hint="eastAsia"/>
              </w:rPr>
              <w:t>生产车间必须设置更衣室、换鞋处，操作工人进出必须更换衣物和鞋子；同时外部人员进出要求使用一次性鞋套，设置专门的一次性废鞋套暂存桶，定期收集后，用废水站处理后的水清洗干净后作为固废处理。（2）车间工人的衣物清洗需在厂区设置专门的清洗场所，清洗后的废水进入废水站处理后回用于生产。（3）成品包装必须用有内衬的包装袋包装。（4）后期雨水设置排放池，需监测合格后方可排放。</w:t>
            </w:r>
            <w:r>
              <w:rPr>
                <w:rFonts w:hint="eastAsia" w:cs="宋体"/>
                <w:color w:val="000000"/>
                <w:kern w:val="0"/>
                <w:sz w:val="21"/>
                <w:szCs w:val="21"/>
                <w:lang w:eastAsia="zh-CN"/>
              </w:rPr>
              <w:t>（</w:t>
            </w:r>
            <w:r>
              <w:rPr>
                <w:rFonts w:hint="eastAsia" w:cs="宋体"/>
                <w:color w:val="000000"/>
                <w:kern w:val="0"/>
                <w:sz w:val="21"/>
                <w:szCs w:val="21"/>
                <w:lang w:val="en-US" w:eastAsia="zh-CN"/>
              </w:rPr>
              <w:t>5</w:t>
            </w:r>
            <w:r>
              <w:rPr>
                <w:rFonts w:hint="eastAsia" w:cs="宋体"/>
                <w:color w:val="000000"/>
                <w:kern w:val="0"/>
                <w:sz w:val="21"/>
                <w:szCs w:val="21"/>
                <w:lang w:eastAsia="zh-CN"/>
              </w:rPr>
              <w:t>）产品从仓库装车后，出厂前要进行车轮清洗。（</w:t>
            </w:r>
            <w:r>
              <w:rPr>
                <w:rFonts w:hint="eastAsia" w:cs="宋体"/>
                <w:color w:val="000000"/>
                <w:kern w:val="0"/>
                <w:sz w:val="21"/>
                <w:szCs w:val="21"/>
                <w:lang w:val="en-US" w:eastAsia="zh-CN"/>
              </w:rPr>
              <w:t>6</w:t>
            </w:r>
            <w:r>
              <w:rPr>
                <w:rFonts w:hint="eastAsia" w:cs="宋体"/>
                <w:color w:val="000000"/>
                <w:kern w:val="0"/>
                <w:sz w:val="21"/>
                <w:szCs w:val="21"/>
                <w:lang w:eastAsia="zh-CN"/>
              </w:rPr>
              <w:t>）</w:t>
            </w:r>
            <w:r>
              <w:rPr>
                <w:rFonts w:hint="eastAsia" w:cs="宋体"/>
                <w:color w:val="000000"/>
                <w:kern w:val="0"/>
                <w:sz w:val="21"/>
                <w:szCs w:val="21"/>
              </w:rPr>
              <w:t>开展日常管理，加强设备巡检，及时维修，配备环境例行监测设备执行营运期环境监测</w:t>
            </w:r>
            <w:r>
              <w:rPr>
                <w:rFonts w:hint="eastAsia" w:cs="宋体"/>
                <w:color w:val="000000"/>
                <w:kern w:val="0"/>
                <w:sz w:val="21"/>
                <w:szCs w:val="21"/>
                <w:lang w:eastAsia="zh-CN"/>
              </w:rPr>
              <w:t>。（</w:t>
            </w:r>
            <w:r>
              <w:rPr>
                <w:rFonts w:hint="eastAsia" w:cs="宋体"/>
                <w:color w:val="000000"/>
                <w:kern w:val="0"/>
                <w:sz w:val="21"/>
                <w:szCs w:val="21"/>
                <w:lang w:val="en-US" w:eastAsia="zh-CN"/>
              </w:rPr>
              <w:t>7</w:t>
            </w:r>
            <w:r>
              <w:rPr>
                <w:rFonts w:hint="eastAsia" w:cs="宋体"/>
                <w:color w:val="000000"/>
                <w:kern w:val="0"/>
                <w:sz w:val="21"/>
                <w:szCs w:val="21"/>
                <w:lang w:eastAsia="zh-CN"/>
              </w:rPr>
              <w:t>）</w:t>
            </w:r>
            <w:r>
              <w:rPr>
                <w:rFonts w:hint="eastAsia" w:cs="宋体"/>
                <w:color w:val="000000"/>
                <w:kern w:val="0"/>
                <w:sz w:val="21"/>
                <w:szCs w:val="21"/>
                <w:lang w:val="en-US" w:eastAsia="zh-CN"/>
              </w:rPr>
              <w:t>建立健全</w:t>
            </w:r>
            <w:r>
              <w:rPr>
                <w:rFonts w:hint="eastAsia" w:cs="宋体"/>
                <w:color w:val="000000"/>
                <w:kern w:val="0"/>
                <w:sz w:val="21"/>
                <w:szCs w:val="21"/>
              </w:rPr>
              <w:t>环境管理体系、制度、文件、机构设置、人员配置</w:t>
            </w:r>
            <w:r>
              <w:rPr>
                <w:rFonts w:hint="eastAsia" w:cs="宋体"/>
                <w:color w:val="000000"/>
                <w:kern w:val="0"/>
                <w:sz w:val="21"/>
                <w:szCs w:val="21"/>
                <w:lang w:val="en-US" w:eastAsia="zh-CN"/>
              </w:rPr>
              <w:t>等。</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3F8EF6">
            <w:pPr>
              <w:pStyle w:val="45"/>
              <w:rPr>
                <w:rFonts w:hint="default"/>
              </w:rPr>
            </w:pPr>
          </w:p>
        </w:tc>
      </w:tr>
      <w:tr w14:paraId="2FBF4407">
        <w:tblPrEx>
          <w:tblCellMar>
            <w:top w:w="0" w:type="dxa"/>
            <w:left w:w="108" w:type="dxa"/>
            <w:bottom w:w="0" w:type="dxa"/>
            <w:right w:w="108" w:type="dxa"/>
          </w:tblCellMar>
        </w:tblPrEx>
        <w:trPr>
          <w:trHeight w:val="243" w:hRule="atLeast"/>
        </w:trPr>
        <w:tc>
          <w:tcPr>
            <w:tcW w:w="2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A87BEE">
            <w:pPr>
              <w:pStyle w:val="45"/>
              <w:rPr>
                <w:rFonts w:hint="default"/>
              </w:rPr>
            </w:pPr>
          </w:p>
        </w:tc>
        <w:tc>
          <w:tcPr>
            <w:tcW w:w="8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8B8E3C6">
            <w:pPr>
              <w:pStyle w:val="45"/>
              <w:rPr>
                <w:rFonts w:hint="default"/>
              </w:rPr>
            </w:pPr>
            <w:r>
              <w:t>绿化</w:t>
            </w:r>
          </w:p>
        </w:tc>
        <w:tc>
          <w:tcPr>
            <w:tcW w:w="31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77D004">
            <w:pPr>
              <w:pStyle w:val="45"/>
              <w:rPr>
                <w:rFonts w:hint="default"/>
              </w:rPr>
            </w:pPr>
            <w:r>
              <w:t>绿化率10.42%</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1B4545">
            <w:pPr>
              <w:pStyle w:val="45"/>
              <w:rPr>
                <w:rFonts w:hint="default"/>
              </w:rPr>
            </w:pPr>
          </w:p>
        </w:tc>
      </w:tr>
    </w:tbl>
    <w:p w14:paraId="62706703">
      <w:pPr>
        <w:ind w:firstLine="0" w:firstLineChars="0"/>
      </w:pPr>
    </w:p>
    <w:p w14:paraId="6F52297A">
      <w:pPr>
        <w:ind w:firstLine="0" w:firstLineChars="0"/>
      </w:pPr>
    </w:p>
    <w:p w14:paraId="64CE2F10">
      <w:pPr>
        <w:ind w:firstLine="0" w:firstLineChars="0"/>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6CC0AC70">
      <w:pPr>
        <w:pStyle w:val="6"/>
        <w:ind w:firstLine="482"/>
        <w:rPr>
          <w:highlight w:val="none"/>
        </w:rPr>
      </w:pPr>
      <w:r>
        <w:rPr>
          <w:rFonts w:hint="eastAsia"/>
          <w:highlight w:val="none"/>
        </w:rPr>
        <w:t>产品方案</w:t>
      </w:r>
    </w:p>
    <w:p w14:paraId="49C11E10">
      <w:pPr>
        <w:ind w:firstLine="480"/>
        <w:rPr>
          <w:rFonts w:hint="default" w:eastAsia="宋体"/>
          <w:highlight w:val="none"/>
          <w:lang w:val="en-US" w:eastAsia="zh-CN"/>
        </w:rPr>
      </w:pPr>
      <w:r>
        <w:rPr>
          <w:rFonts w:hint="eastAsia"/>
          <w:highlight w:val="none"/>
        </w:rPr>
        <w:t>项目建成后，一次电解装置设计生产规模为2万吨/年氯酸钠，二次电解装置设计生产规模为2万吨/年高氯酸钠，复分解生产装置设计生产规模为2万吨/年氯酸钾或2万吨/年高氯酸钾，锂盐生产装置设计生产规模为600吨/年高氯酸锂；氢气回收系统设计回收规模1500Nm</w:t>
      </w:r>
      <w:r>
        <w:rPr>
          <w:rFonts w:hint="eastAsia"/>
          <w:highlight w:val="none"/>
          <w:vertAlign w:val="superscript"/>
        </w:rPr>
        <w:t>3</w:t>
      </w:r>
      <w:r>
        <w:rPr>
          <w:rFonts w:hint="eastAsia"/>
          <w:highlight w:val="none"/>
        </w:rPr>
        <w:t>/h。</w:t>
      </w:r>
    </w:p>
    <w:p w14:paraId="6A8E7960">
      <w:pPr>
        <w:pStyle w:val="43"/>
        <w:rPr>
          <w:rFonts w:hint="default"/>
        </w:rPr>
      </w:pPr>
      <w:r>
        <w:t>本项目产品方案一览表</w:t>
      </w:r>
    </w:p>
    <w:tbl>
      <w:tblPr>
        <w:tblStyle w:val="32"/>
        <w:tblW w:w="4984"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51"/>
        <w:gridCol w:w="1109"/>
        <w:gridCol w:w="1399"/>
        <w:gridCol w:w="1166"/>
        <w:gridCol w:w="683"/>
        <w:gridCol w:w="1550"/>
        <w:gridCol w:w="1309"/>
        <w:gridCol w:w="729"/>
      </w:tblGrid>
      <w:tr w14:paraId="51535E7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0" w:hRule="atLeast"/>
          <w:tblHeader/>
        </w:trPr>
        <w:tc>
          <w:tcPr>
            <w:tcW w:w="324" w:type="pct"/>
            <w:tcBorders>
              <w:top w:val="single" w:color="auto" w:sz="4" w:space="0"/>
              <w:left w:val="single" w:color="auto" w:sz="4" w:space="0"/>
              <w:bottom w:val="single" w:color="auto" w:sz="6" w:space="0"/>
              <w:right w:val="single" w:color="auto" w:sz="6" w:space="0"/>
            </w:tcBorders>
            <w:vAlign w:val="center"/>
          </w:tcPr>
          <w:p w14:paraId="064EC4D0">
            <w:pPr>
              <w:snapToGrid w:val="0"/>
              <w:spacing w:line="240" w:lineRule="auto"/>
              <w:ind w:firstLine="0" w:firstLineChars="0"/>
              <w:jc w:val="center"/>
              <w:rPr>
                <w:rFonts w:cs="Times New Roman"/>
                <w:b/>
                <w:bCs/>
                <w:sz w:val="21"/>
                <w:szCs w:val="21"/>
              </w:rPr>
            </w:pPr>
            <w:r>
              <w:rPr>
                <w:rFonts w:cs="Times New Roman"/>
                <w:b/>
                <w:bCs/>
                <w:sz w:val="21"/>
                <w:szCs w:val="21"/>
              </w:rPr>
              <w:t>序号</w:t>
            </w:r>
          </w:p>
        </w:tc>
        <w:tc>
          <w:tcPr>
            <w:tcW w:w="652" w:type="pct"/>
            <w:tcBorders>
              <w:top w:val="single" w:color="auto" w:sz="4" w:space="0"/>
              <w:left w:val="single" w:color="auto" w:sz="6" w:space="0"/>
              <w:bottom w:val="single" w:color="auto" w:sz="6" w:space="0"/>
              <w:right w:val="single" w:color="auto" w:sz="6" w:space="0"/>
            </w:tcBorders>
            <w:vAlign w:val="center"/>
          </w:tcPr>
          <w:p w14:paraId="766811C5">
            <w:pPr>
              <w:snapToGrid w:val="0"/>
              <w:spacing w:line="240" w:lineRule="auto"/>
              <w:ind w:firstLine="0" w:firstLineChars="0"/>
              <w:jc w:val="center"/>
              <w:rPr>
                <w:rFonts w:cs="Times New Roman"/>
                <w:b/>
                <w:bCs/>
                <w:sz w:val="21"/>
                <w:szCs w:val="21"/>
              </w:rPr>
            </w:pPr>
            <w:r>
              <w:rPr>
                <w:rFonts w:cs="Times New Roman"/>
                <w:b/>
                <w:bCs/>
                <w:sz w:val="21"/>
                <w:szCs w:val="21"/>
              </w:rPr>
              <w:t>产品</w:t>
            </w:r>
          </w:p>
        </w:tc>
        <w:tc>
          <w:tcPr>
            <w:tcW w:w="823" w:type="pct"/>
            <w:tcBorders>
              <w:top w:val="single" w:color="auto" w:sz="4" w:space="0"/>
              <w:left w:val="single" w:color="auto" w:sz="6" w:space="0"/>
              <w:bottom w:val="single" w:color="auto" w:sz="6" w:space="0"/>
              <w:right w:val="single" w:color="auto" w:sz="6" w:space="0"/>
            </w:tcBorders>
            <w:vAlign w:val="center"/>
          </w:tcPr>
          <w:p w14:paraId="52016A2F">
            <w:pPr>
              <w:snapToGrid w:val="0"/>
              <w:spacing w:line="240" w:lineRule="auto"/>
              <w:ind w:firstLine="0" w:firstLineChars="0"/>
              <w:jc w:val="center"/>
              <w:rPr>
                <w:rFonts w:cs="Times New Roman"/>
                <w:b/>
                <w:bCs/>
                <w:sz w:val="21"/>
                <w:szCs w:val="21"/>
              </w:rPr>
            </w:pPr>
            <w:r>
              <w:rPr>
                <w:rFonts w:cs="Times New Roman"/>
                <w:b/>
                <w:bCs/>
                <w:sz w:val="21"/>
                <w:szCs w:val="21"/>
              </w:rPr>
              <w:t>产量</w:t>
            </w:r>
            <w:r>
              <w:rPr>
                <w:rFonts w:hint="eastAsia" w:cs="Times New Roman"/>
                <w:b/>
                <w:bCs/>
                <w:sz w:val="21"/>
                <w:szCs w:val="21"/>
              </w:rPr>
              <w:t xml:space="preserve"> t/a</w:t>
            </w:r>
          </w:p>
        </w:tc>
        <w:tc>
          <w:tcPr>
            <w:tcW w:w="686" w:type="pct"/>
            <w:tcBorders>
              <w:top w:val="single" w:color="auto" w:sz="4" w:space="0"/>
              <w:left w:val="single" w:color="auto" w:sz="6" w:space="0"/>
              <w:bottom w:val="single" w:color="auto" w:sz="6" w:space="0"/>
              <w:right w:val="single" w:color="auto" w:sz="6" w:space="0"/>
            </w:tcBorders>
            <w:vAlign w:val="center"/>
          </w:tcPr>
          <w:p w14:paraId="1384E009">
            <w:pPr>
              <w:snapToGrid w:val="0"/>
              <w:spacing w:line="240" w:lineRule="auto"/>
              <w:ind w:firstLine="0" w:firstLineChars="0"/>
              <w:jc w:val="center"/>
              <w:rPr>
                <w:rFonts w:cs="Times New Roman"/>
                <w:b/>
                <w:bCs/>
                <w:sz w:val="21"/>
                <w:szCs w:val="21"/>
              </w:rPr>
            </w:pPr>
            <w:r>
              <w:rPr>
                <w:rFonts w:hint="eastAsia" w:cs="Times New Roman"/>
                <w:b/>
                <w:bCs/>
                <w:sz w:val="21"/>
                <w:szCs w:val="21"/>
              </w:rPr>
              <w:t>产品规格</w:t>
            </w:r>
          </w:p>
        </w:tc>
        <w:tc>
          <w:tcPr>
            <w:tcW w:w="401" w:type="pct"/>
            <w:tcBorders>
              <w:top w:val="single" w:color="auto" w:sz="4" w:space="0"/>
              <w:left w:val="single" w:color="auto" w:sz="6" w:space="0"/>
              <w:bottom w:val="single" w:color="auto" w:sz="6" w:space="0"/>
              <w:right w:val="single" w:color="auto" w:sz="6" w:space="0"/>
            </w:tcBorders>
            <w:vAlign w:val="center"/>
          </w:tcPr>
          <w:p w14:paraId="1B8F9BAC">
            <w:pPr>
              <w:snapToGrid w:val="0"/>
              <w:spacing w:line="240" w:lineRule="auto"/>
              <w:ind w:firstLine="0" w:firstLineChars="0"/>
              <w:jc w:val="center"/>
              <w:rPr>
                <w:rFonts w:cs="Times New Roman"/>
                <w:b/>
                <w:bCs/>
                <w:sz w:val="21"/>
                <w:szCs w:val="21"/>
              </w:rPr>
            </w:pPr>
            <w:r>
              <w:rPr>
                <w:rFonts w:cs="Times New Roman"/>
                <w:b/>
                <w:bCs/>
                <w:sz w:val="21"/>
                <w:szCs w:val="21"/>
              </w:rPr>
              <w:t>产品形态</w:t>
            </w:r>
          </w:p>
        </w:tc>
        <w:tc>
          <w:tcPr>
            <w:tcW w:w="912" w:type="pct"/>
            <w:tcBorders>
              <w:top w:val="single" w:color="auto" w:sz="4" w:space="0"/>
              <w:left w:val="single" w:color="auto" w:sz="6" w:space="0"/>
              <w:bottom w:val="single" w:color="auto" w:sz="6" w:space="0"/>
              <w:right w:val="single" w:color="auto" w:sz="4" w:space="0"/>
            </w:tcBorders>
            <w:vAlign w:val="center"/>
          </w:tcPr>
          <w:p w14:paraId="54A3B818">
            <w:pPr>
              <w:snapToGrid w:val="0"/>
              <w:spacing w:line="240" w:lineRule="auto"/>
              <w:ind w:firstLine="0" w:firstLineChars="0"/>
              <w:jc w:val="center"/>
              <w:rPr>
                <w:rFonts w:cs="Times New Roman"/>
                <w:b/>
                <w:bCs/>
                <w:sz w:val="21"/>
                <w:szCs w:val="21"/>
              </w:rPr>
            </w:pPr>
            <w:r>
              <w:rPr>
                <w:rFonts w:hint="eastAsia" w:cs="Times New Roman"/>
                <w:b/>
                <w:bCs/>
                <w:sz w:val="21"/>
                <w:szCs w:val="21"/>
              </w:rPr>
              <w:t>包装</w:t>
            </w:r>
            <w:r>
              <w:rPr>
                <w:rFonts w:cs="Times New Roman"/>
                <w:b/>
                <w:bCs/>
                <w:sz w:val="21"/>
                <w:szCs w:val="21"/>
              </w:rPr>
              <w:t>方式</w:t>
            </w:r>
          </w:p>
        </w:tc>
        <w:tc>
          <w:tcPr>
            <w:tcW w:w="770" w:type="pct"/>
            <w:tcBorders>
              <w:top w:val="single" w:color="auto" w:sz="4" w:space="0"/>
              <w:left w:val="single" w:color="auto" w:sz="6" w:space="0"/>
              <w:bottom w:val="single" w:color="auto" w:sz="6" w:space="0"/>
              <w:right w:val="single" w:color="auto" w:sz="4" w:space="0"/>
            </w:tcBorders>
            <w:vAlign w:val="center"/>
          </w:tcPr>
          <w:p w14:paraId="30507743">
            <w:pPr>
              <w:snapToGrid w:val="0"/>
              <w:spacing w:line="240" w:lineRule="auto"/>
              <w:ind w:firstLine="0" w:firstLineChars="0"/>
              <w:jc w:val="center"/>
              <w:rPr>
                <w:rFonts w:hint="default" w:eastAsia="宋体" w:cs="Times New Roman"/>
                <w:b/>
                <w:bCs/>
                <w:color w:val="auto"/>
                <w:sz w:val="21"/>
                <w:szCs w:val="21"/>
                <w:lang w:val="en-US" w:eastAsia="zh-CN"/>
              </w:rPr>
            </w:pPr>
            <w:r>
              <w:rPr>
                <w:rFonts w:hint="eastAsia" w:cs="Times New Roman"/>
                <w:b/>
                <w:bCs/>
                <w:color w:val="auto"/>
                <w:sz w:val="21"/>
                <w:szCs w:val="21"/>
                <w:lang w:val="en-US" w:eastAsia="zh-CN"/>
              </w:rPr>
              <w:t>最大储存量t</w:t>
            </w:r>
          </w:p>
        </w:tc>
        <w:tc>
          <w:tcPr>
            <w:tcW w:w="429" w:type="pct"/>
            <w:tcBorders>
              <w:top w:val="single" w:color="auto" w:sz="4" w:space="0"/>
              <w:left w:val="single" w:color="auto" w:sz="6" w:space="0"/>
              <w:bottom w:val="single" w:color="auto" w:sz="6" w:space="0"/>
              <w:right w:val="single" w:color="auto" w:sz="4" w:space="0"/>
            </w:tcBorders>
            <w:vAlign w:val="center"/>
          </w:tcPr>
          <w:p w14:paraId="7E854EFE">
            <w:pPr>
              <w:snapToGrid w:val="0"/>
              <w:spacing w:line="240" w:lineRule="auto"/>
              <w:ind w:firstLine="0" w:firstLineChars="0"/>
              <w:jc w:val="center"/>
              <w:rPr>
                <w:rFonts w:cs="Times New Roman"/>
                <w:b/>
                <w:bCs/>
                <w:sz w:val="21"/>
                <w:szCs w:val="21"/>
              </w:rPr>
            </w:pPr>
            <w:r>
              <w:rPr>
                <w:rFonts w:cs="Times New Roman"/>
                <w:b/>
                <w:bCs/>
                <w:sz w:val="21"/>
                <w:szCs w:val="21"/>
              </w:rPr>
              <w:t>备注</w:t>
            </w:r>
          </w:p>
        </w:tc>
      </w:tr>
      <w:tr w14:paraId="76E542C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75" w:hRule="atLeast"/>
        </w:trPr>
        <w:tc>
          <w:tcPr>
            <w:tcW w:w="324" w:type="pct"/>
            <w:tcBorders>
              <w:top w:val="single" w:color="auto" w:sz="6" w:space="0"/>
              <w:left w:val="single" w:color="auto" w:sz="4" w:space="0"/>
              <w:bottom w:val="single" w:color="auto" w:sz="6" w:space="0"/>
              <w:right w:val="single" w:color="auto" w:sz="6" w:space="0"/>
            </w:tcBorders>
            <w:vAlign w:val="center"/>
          </w:tcPr>
          <w:p w14:paraId="610CB997">
            <w:pPr>
              <w:snapToGrid w:val="0"/>
              <w:spacing w:line="240" w:lineRule="auto"/>
              <w:ind w:firstLine="0" w:firstLineChars="0"/>
              <w:jc w:val="center"/>
              <w:rPr>
                <w:rFonts w:cs="Times New Roman"/>
                <w:sz w:val="21"/>
                <w:szCs w:val="21"/>
              </w:rPr>
            </w:pPr>
            <w:r>
              <w:rPr>
                <w:rFonts w:cs="Times New Roman"/>
                <w:sz w:val="21"/>
                <w:szCs w:val="21"/>
              </w:rPr>
              <w:t>1</w:t>
            </w:r>
          </w:p>
        </w:tc>
        <w:tc>
          <w:tcPr>
            <w:tcW w:w="652" w:type="pct"/>
            <w:tcBorders>
              <w:top w:val="single" w:color="auto" w:sz="6" w:space="0"/>
              <w:left w:val="single" w:color="auto" w:sz="6" w:space="0"/>
              <w:bottom w:val="single" w:color="auto" w:sz="6" w:space="0"/>
              <w:right w:val="single" w:color="auto" w:sz="6" w:space="0"/>
            </w:tcBorders>
            <w:vAlign w:val="center"/>
          </w:tcPr>
          <w:p w14:paraId="2B865F3C">
            <w:pPr>
              <w:snapToGrid w:val="0"/>
              <w:spacing w:line="240" w:lineRule="auto"/>
              <w:ind w:firstLine="0" w:firstLineChars="0"/>
              <w:jc w:val="center"/>
              <w:rPr>
                <w:rFonts w:cs="Times New Roman"/>
                <w:sz w:val="21"/>
                <w:szCs w:val="21"/>
              </w:rPr>
            </w:pPr>
            <w:r>
              <w:rPr>
                <w:rFonts w:hint="eastAsia" w:cs="Times New Roman"/>
                <w:sz w:val="21"/>
                <w:szCs w:val="21"/>
              </w:rPr>
              <w:t>高氯酸钠</w:t>
            </w:r>
          </w:p>
        </w:tc>
        <w:tc>
          <w:tcPr>
            <w:tcW w:w="823" w:type="pct"/>
            <w:tcBorders>
              <w:top w:val="single" w:color="auto" w:sz="6" w:space="0"/>
              <w:left w:val="single" w:color="auto" w:sz="6" w:space="0"/>
              <w:bottom w:val="single" w:color="auto" w:sz="6" w:space="0"/>
              <w:right w:val="single" w:color="auto" w:sz="6" w:space="0"/>
            </w:tcBorders>
            <w:vAlign w:val="center"/>
          </w:tcPr>
          <w:p w14:paraId="7F5D2A4E">
            <w:pPr>
              <w:snapToGrid w:val="0"/>
              <w:spacing w:line="240" w:lineRule="auto"/>
              <w:ind w:firstLine="0" w:firstLineChars="0"/>
              <w:jc w:val="center"/>
              <w:rPr>
                <w:rFonts w:cs="Times New Roman"/>
                <w:sz w:val="21"/>
                <w:szCs w:val="21"/>
              </w:rPr>
            </w:pPr>
            <w:r>
              <w:rPr>
                <w:rFonts w:hint="eastAsia" w:cs="Times New Roman"/>
                <w:sz w:val="21"/>
                <w:szCs w:val="21"/>
                <w:lang w:val="en-US" w:eastAsia="zh-CN"/>
              </w:rPr>
              <w:t>2</w:t>
            </w:r>
            <w:r>
              <w:rPr>
                <w:rFonts w:hint="eastAsia" w:cs="Times New Roman"/>
                <w:sz w:val="21"/>
                <w:szCs w:val="21"/>
              </w:rPr>
              <w:t>0000</w:t>
            </w:r>
          </w:p>
        </w:tc>
        <w:tc>
          <w:tcPr>
            <w:tcW w:w="686" w:type="pct"/>
            <w:tcBorders>
              <w:top w:val="single" w:color="auto" w:sz="6" w:space="0"/>
              <w:left w:val="single" w:color="auto" w:sz="6" w:space="0"/>
              <w:bottom w:val="single" w:color="auto" w:sz="6" w:space="0"/>
              <w:right w:val="single" w:color="auto" w:sz="6" w:space="0"/>
            </w:tcBorders>
            <w:vAlign w:val="center"/>
          </w:tcPr>
          <w:p w14:paraId="03A0833D">
            <w:pPr>
              <w:snapToGrid w:val="0"/>
              <w:spacing w:line="240" w:lineRule="auto"/>
              <w:ind w:firstLine="0" w:firstLineChars="0"/>
              <w:jc w:val="center"/>
              <w:rPr>
                <w:rFonts w:cs="Times New Roman"/>
                <w:sz w:val="21"/>
                <w:szCs w:val="21"/>
              </w:rPr>
            </w:pPr>
            <w:r>
              <w:rPr>
                <w:rFonts w:hint="eastAsia" w:cs="Times New Roman"/>
                <w:sz w:val="21"/>
                <w:szCs w:val="21"/>
              </w:rPr>
              <w:t>99.5%</w:t>
            </w:r>
          </w:p>
        </w:tc>
        <w:tc>
          <w:tcPr>
            <w:tcW w:w="401" w:type="pct"/>
            <w:tcBorders>
              <w:top w:val="single" w:color="auto" w:sz="6" w:space="0"/>
              <w:left w:val="single" w:color="auto" w:sz="6" w:space="0"/>
              <w:bottom w:val="single" w:color="auto" w:sz="6" w:space="0"/>
              <w:right w:val="single" w:color="auto" w:sz="6" w:space="0"/>
            </w:tcBorders>
            <w:vAlign w:val="center"/>
          </w:tcPr>
          <w:p w14:paraId="02C36E26">
            <w:pPr>
              <w:snapToGrid w:val="0"/>
              <w:spacing w:line="240" w:lineRule="auto"/>
              <w:ind w:firstLine="0" w:firstLineChars="0"/>
              <w:jc w:val="center"/>
              <w:rPr>
                <w:rFonts w:cs="Times New Roman"/>
                <w:sz w:val="21"/>
                <w:szCs w:val="21"/>
              </w:rPr>
            </w:pPr>
            <w:r>
              <w:rPr>
                <w:rFonts w:hint="eastAsia" w:cs="Times New Roman"/>
                <w:sz w:val="21"/>
                <w:szCs w:val="21"/>
              </w:rPr>
              <w:t>固体</w:t>
            </w:r>
          </w:p>
        </w:tc>
        <w:tc>
          <w:tcPr>
            <w:tcW w:w="912" w:type="pct"/>
            <w:tcBorders>
              <w:top w:val="single" w:color="auto" w:sz="6" w:space="0"/>
              <w:left w:val="single" w:color="auto" w:sz="6" w:space="0"/>
              <w:bottom w:val="single" w:color="auto" w:sz="6" w:space="0"/>
              <w:right w:val="single" w:color="auto" w:sz="4" w:space="0"/>
            </w:tcBorders>
            <w:vAlign w:val="center"/>
          </w:tcPr>
          <w:p w14:paraId="3405C540">
            <w:pPr>
              <w:snapToGrid w:val="0"/>
              <w:spacing w:line="240" w:lineRule="auto"/>
              <w:ind w:firstLine="0" w:firstLineChars="0"/>
              <w:jc w:val="center"/>
              <w:rPr>
                <w:rFonts w:cs="Times New Roman"/>
                <w:sz w:val="21"/>
                <w:szCs w:val="21"/>
              </w:rPr>
            </w:pPr>
            <w:r>
              <w:rPr>
                <w:rFonts w:cs="Times New Roman"/>
                <w:sz w:val="21"/>
                <w:szCs w:val="21"/>
              </w:rPr>
              <w:t>袋装，25kg/袋</w:t>
            </w:r>
          </w:p>
        </w:tc>
        <w:tc>
          <w:tcPr>
            <w:tcW w:w="770" w:type="pct"/>
            <w:tcBorders>
              <w:top w:val="single" w:color="auto" w:sz="6" w:space="0"/>
              <w:left w:val="single" w:color="auto" w:sz="6" w:space="0"/>
              <w:bottom w:val="single" w:color="auto" w:sz="6" w:space="0"/>
              <w:right w:val="single" w:color="auto" w:sz="4" w:space="0"/>
            </w:tcBorders>
            <w:vAlign w:val="center"/>
          </w:tcPr>
          <w:p w14:paraId="505492B0">
            <w:pPr>
              <w:snapToGrid w:val="0"/>
              <w:spacing w:line="240" w:lineRule="auto"/>
              <w:ind w:firstLine="0" w:firstLineChars="0"/>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200</w:t>
            </w:r>
          </w:p>
        </w:tc>
        <w:tc>
          <w:tcPr>
            <w:tcW w:w="429" w:type="pct"/>
            <w:tcBorders>
              <w:top w:val="single" w:color="auto" w:sz="6" w:space="0"/>
              <w:left w:val="single" w:color="auto" w:sz="6" w:space="0"/>
              <w:bottom w:val="single" w:color="auto" w:sz="6" w:space="0"/>
              <w:right w:val="single" w:color="auto" w:sz="4" w:space="0"/>
            </w:tcBorders>
            <w:vAlign w:val="center"/>
          </w:tcPr>
          <w:p w14:paraId="0044C220">
            <w:pPr>
              <w:snapToGrid w:val="0"/>
              <w:spacing w:line="240" w:lineRule="auto"/>
              <w:ind w:firstLine="0" w:firstLineChars="0"/>
              <w:jc w:val="center"/>
              <w:rPr>
                <w:rFonts w:hint="eastAsia" w:eastAsia="宋体" w:cs="Times New Roman"/>
                <w:sz w:val="21"/>
                <w:szCs w:val="21"/>
                <w:lang w:val="en-US" w:eastAsia="zh-CN"/>
              </w:rPr>
            </w:pPr>
            <w:r>
              <w:rPr>
                <w:rFonts w:hint="eastAsia" w:cs="Times New Roman"/>
                <w:sz w:val="21"/>
                <w:szCs w:val="21"/>
                <w:lang w:val="en-US" w:eastAsia="zh-CN"/>
              </w:rPr>
              <w:t>一水</w:t>
            </w:r>
          </w:p>
        </w:tc>
      </w:tr>
      <w:tr w14:paraId="7F8C96D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75" w:hRule="atLeast"/>
        </w:trPr>
        <w:tc>
          <w:tcPr>
            <w:tcW w:w="324" w:type="pct"/>
            <w:tcBorders>
              <w:top w:val="single" w:color="auto" w:sz="6" w:space="0"/>
              <w:left w:val="single" w:color="auto" w:sz="4" w:space="0"/>
              <w:bottom w:val="single" w:color="auto" w:sz="6" w:space="0"/>
              <w:right w:val="single" w:color="auto" w:sz="6" w:space="0"/>
            </w:tcBorders>
            <w:vAlign w:val="center"/>
          </w:tcPr>
          <w:p w14:paraId="0DC44C6B">
            <w:pPr>
              <w:snapToGrid w:val="0"/>
              <w:spacing w:line="240" w:lineRule="auto"/>
              <w:ind w:firstLine="0" w:firstLineChars="0"/>
              <w:jc w:val="center"/>
              <w:rPr>
                <w:rFonts w:cs="Times New Roman"/>
                <w:sz w:val="21"/>
                <w:szCs w:val="21"/>
              </w:rPr>
            </w:pPr>
            <w:r>
              <w:rPr>
                <w:rFonts w:cs="Times New Roman"/>
                <w:sz w:val="21"/>
                <w:szCs w:val="21"/>
              </w:rPr>
              <w:t>2</w:t>
            </w:r>
          </w:p>
        </w:tc>
        <w:tc>
          <w:tcPr>
            <w:tcW w:w="652" w:type="pct"/>
            <w:tcBorders>
              <w:top w:val="single" w:color="auto" w:sz="6" w:space="0"/>
              <w:left w:val="single" w:color="auto" w:sz="6" w:space="0"/>
              <w:bottom w:val="single" w:color="auto" w:sz="6" w:space="0"/>
              <w:right w:val="single" w:color="auto" w:sz="6" w:space="0"/>
            </w:tcBorders>
            <w:vAlign w:val="center"/>
          </w:tcPr>
          <w:p w14:paraId="34E9EC51">
            <w:pPr>
              <w:snapToGrid w:val="0"/>
              <w:spacing w:line="240" w:lineRule="auto"/>
              <w:ind w:firstLine="0" w:firstLineChars="0"/>
              <w:jc w:val="center"/>
              <w:rPr>
                <w:rFonts w:cs="Times New Roman"/>
                <w:sz w:val="21"/>
                <w:szCs w:val="21"/>
              </w:rPr>
            </w:pPr>
            <w:r>
              <w:rPr>
                <w:rFonts w:hint="eastAsia" w:cs="Times New Roman"/>
                <w:sz w:val="21"/>
                <w:szCs w:val="21"/>
              </w:rPr>
              <w:t>高氯酸钾</w:t>
            </w:r>
          </w:p>
        </w:tc>
        <w:tc>
          <w:tcPr>
            <w:tcW w:w="823" w:type="pct"/>
            <w:tcBorders>
              <w:top w:val="single" w:color="auto" w:sz="6" w:space="0"/>
              <w:left w:val="single" w:color="auto" w:sz="6" w:space="0"/>
              <w:bottom w:val="single" w:color="auto" w:sz="6" w:space="0"/>
              <w:right w:val="single" w:color="auto" w:sz="6" w:space="0"/>
            </w:tcBorders>
            <w:vAlign w:val="center"/>
          </w:tcPr>
          <w:p w14:paraId="07C7B838">
            <w:pPr>
              <w:snapToGrid w:val="0"/>
              <w:spacing w:line="240" w:lineRule="auto"/>
              <w:ind w:firstLine="0" w:firstLineChars="0"/>
              <w:jc w:val="center"/>
              <w:rPr>
                <w:rFonts w:cs="Times New Roman"/>
                <w:sz w:val="21"/>
                <w:szCs w:val="21"/>
              </w:rPr>
            </w:pPr>
            <w:r>
              <w:rPr>
                <w:rFonts w:hint="eastAsia" w:cs="Times New Roman"/>
                <w:sz w:val="21"/>
                <w:szCs w:val="21"/>
                <w:lang w:val="en-US" w:eastAsia="zh-CN"/>
              </w:rPr>
              <w:t>2</w:t>
            </w:r>
            <w:r>
              <w:rPr>
                <w:rFonts w:hint="eastAsia" w:cs="Times New Roman"/>
                <w:sz w:val="21"/>
                <w:szCs w:val="21"/>
              </w:rPr>
              <w:t>0000</w:t>
            </w:r>
          </w:p>
        </w:tc>
        <w:tc>
          <w:tcPr>
            <w:tcW w:w="686" w:type="pct"/>
            <w:tcBorders>
              <w:top w:val="single" w:color="auto" w:sz="6" w:space="0"/>
              <w:left w:val="single" w:color="auto" w:sz="6" w:space="0"/>
              <w:bottom w:val="single" w:color="auto" w:sz="6" w:space="0"/>
              <w:right w:val="single" w:color="auto" w:sz="6" w:space="0"/>
            </w:tcBorders>
            <w:vAlign w:val="center"/>
          </w:tcPr>
          <w:p w14:paraId="4B34993D">
            <w:pPr>
              <w:snapToGrid w:val="0"/>
              <w:spacing w:line="240" w:lineRule="auto"/>
              <w:ind w:firstLine="0" w:firstLineChars="0"/>
              <w:jc w:val="center"/>
              <w:rPr>
                <w:rFonts w:cs="Times New Roman"/>
                <w:sz w:val="21"/>
                <w:szCs w:val="21"/>
              </w:rPr>
            </w:pPr>
            <w:r>
              <w:rPr>
                <w:rFonts w:hint="eastAsia" w:cs="Times New Roman"/>
                <w:sz w:val="21"/>
                <w:szCs w:val="21"/>
              </w:rPr>
              <w:t>99.5%</w:t>
            </w:r>
          </w:p>
        </w:tc>
        <w:tc>
          <w:tcPr>
            <w:tcW w:w="401" w:type="pct"/>
            <w:tcBorders>
              <w:top w:val="single" w:color="auto" w:sz="6" w:space="0"/>
              <w:left w:val="single" w:color="auto" w:sz="6" w:space="0"/>
              <w:bottom w:val="single" w:color="auto" w:sz="6" w:space="0"/>
              <w:right w:val="single" w:color="auto" w:sz="6" w:space="0"/>
            </w:tcBorders>
            <w:vAlign w:val="center"/>
          </w:tcPr>
          <w:p w14:paraId="627F2918">
            <w:pPr>
              <w:snapToGrid w:val="0"/>
              <w:spacing w:line="240" w:lineRule="auto"/>
              <w:ind w:firstLine="0" w:firstLineChars="0"/>
              <w:jc w:val="center"/>
              <w:rPr>
                <w:rFonts w:cs="Times New Roman"/>
                <w:sz w:val="21"/>
                <w:szCs w:val="21"/>
              </w:rPr>
            </w:pPr>
            <w:r>
              <w:rPr>
                <w:rFonts w:hint="eastAsia" w:cs="Times New Roman"/>
                <w:sz w:val="21"/>
                <w:szCs w:val="21"/>
              </w:rPr>
              <w:t>固体</w:t>
            </w:r>
          </w:p>
        </w:tc>
        <w:tc>
          <w:tcPr>
            <w:tcW w:w="912" w:type="pct"/>
            <w:tcBorders>
              <w:top w:val="single" w:color="auto" w:sz="6" w:space="0"/>
              <w:left w:val="single" w:color="auto" w:sz="6" w:space="0"/>
              <w:bottom w:val="single" w:color="auto" w:sz="6" w:space="0"/>
              <w:right w:val="single" w:color="auto" w:sz="4" w:space="0"/>
            </w:tcBorders>
            <w:vAlign w:val="center"/>
          </w:tcPr>
          <w:p w14:paraId="597B22BB">
            <w:pPr>
              <w:snapToGrid w:val="0"/>
              <w:spacing w:line="240" w:lineRule="auto"/>
              <w:ind w:firstLine="0" w:firstLineChars="0"/>
              <w:jc w:val="center"/>
              <w:rPr>
                <w:rFonts w:cs="Times New Roman"/>
                <w:sz w:val="21"/>
                <w:szCs w:val="21"/>
              </w:rPr>
            </w:pPr>
            <w:r>
              <w:rPr>
                <w:rFonts w:cs="Times New Roman"/>
                <w:sz w:val="21"/>
                <w:szCs w:val="21"/>
              </w:rPr>
              <w:t>袋装，25kg/袋</w:t>
            </w:r>
          </w:p>
        </w:tc>
        <w:tc>
          <w:tcPr>
            <w:tcW w:w="770" w:type="pct"/>
            <w:tcBorders>
              <w:top w:val="single" w:color="auto" w:sz="6" w:space="0"/>
              <w:left w:val="single" w:color="auto" w:sz="6" w:space="0"/>
              <w:bottom w:val="single" w:color="auto" w:sz="6" w:space="0"/>
              <w:right w:val="single" w:color="auto" w:sz="4" w:space="0"/>
            </w:tcBorders>
            <w:vAlign w:val="center"/>
          </w:tcPr>
          <w:p w14:paraId="0592FCAA">
            <w:pPr>
              <w:snapToGrid w:val="0"/>
              <w:spacing w:line="240" w:lineRule="auto"/>
              <w:ind w:firstLine="0" w:firstLineChars="0"/>
              <w:jc w:val="center"/>
              <w:rPr>
                <w:rFonts w:cs="Times New Roman"/>
                <w:color w:val="auto"/>
                <w:sz w:val="21"/>
                <w:szCs w:val="21"/>
              </w:rPr>
            </w:pPr>
            <w:r>
              <w:rPr>
                <w:rFonts w:hint="eastAsia" w:cs="Times New Roman"/>
                <w:color w:val="auto"/>
                <w:sz w:val="21"/>
                <w:szCs w:val="21"/>
                <w:lang w:val="en-US" w:eastAsia="zh-CN"/>
              </w:rPr>
              <w:t>200</w:t>
            </w:r>
          </w:p>
        </w:tc>
        <w:tc>
          <w:tcPr>
            <w:tcW w:w="429" w:type="pct"/>
            <w:tcBorders>
              <w:top w:val="single" w:color="auto" w:sz="6" w:space="0"/>
              <w:left w:val="single" w:color="auto" w:sz="6" w:space="0"/>
              <w:bottom w:val="single" w:color="auto" w:sz="6" w:space="0"/>
              <w:right w:val="single" w:color="auto" w:sz="4" w:space="0"/>
            </w:tcBorders>
            <w:vAlign w:val="center"/>
          </w:tcPr>
          <w:p w14:paraId="1C493AAB">
            <w:pPr>
              <w:snapToGrid w:val="0"/>
              <w:spacing w:line="240" w:lineRule="auto"/>
              <w:ind w:firstLine="0" w:firstLineChars="0"/>
              <w:jc w:val="center"/>
              <w:rPr>
                <w:rFonts w:cs="Times New Roman"/>
                <w:sz w:val="21"/>
                <w:szCs w:val="21"/>
              </w:rPr>
            </w:pPr>
          </w:p>
        </w:tc>
      </w:tr>
      <w:tr w14:paraId="00CF8DB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75" w:hRule="atLeast"/>
        </w:trPr>
        <w:tc>
          <w:tcPr>
            <w:tcW w:w="324" w:type="pct"/>
            <w:tcBorders>
              <w:top w:val="single" w:color="auto" w:sz="6" w:space="0"/>
              <w:left w:val="single" w:color="auto" w:sz="4" w:space="0"/>
              <w:bottom w:val="single" w:color="auto" w:sz="6" w:space="0"/>
              <w:right w:val="single" w:color="auto" w:sz="6" w:space="0"/>
            </w:tcBorders>
            <w:vAlign w:val="center"/>
          </w:tcPr>
          <w:p w14:paraId="176923D3">
            <w:pPr>
              <w:snapToGrid w:val="0"/>
              <w:spacing w:line="240" w:lineRule="auto"/>
              <w:ind w:firstLine="0" w:firstLineChars="0"/>
              <w:jc w:val="center"/>
              <w:rPr>
                <w:rFonts w:hint="eastAsia" w:eastAsia="宋体" w:cs="Times New Roman"/>
                <w:sz w:val="21"/>
                <w:szCs w:val="21"/>
                <w:lang w:val="en-US" w:eastAsia="zh-CN"/>
              </w:rPr>
            </w:pPr>
            <w:r>
              <w:rPr>
                <w:rFonts w:hint="eastAsia" w:cs="Times New Roman"/>
                <w:sz w:val="21"/>
                <w:szCs w:val="21"/>
                <w:lang w:val="en-US" w:eastAsia="zh-CN"/>
              </w:rPr>
              <w:t>3</w:t>
            </w:r>
          </w:p>
        </w:tc>
        <w:tc>
          <w:tcPr>
            <w:tcW w:w="652" w:type="pct"/>
            <w:tcBorders>
              <w:top w:val="single" w:color="auto" w:sz="6" w:space="0"/>
              <w:left w:val="single" w:color="auto" w:sz="6" w:space="0"/>
              <w:bottom w:val="single" w:color="auto" w:sz="6" w:space="0"/>
              <w:right w:val="single" w:color="auto" w:sz="6" w:space="0"/>
            </w:tcBorders>
            <w:vAlign w:val="center"/>
          </w:tcPr>
          <w:p w14:paraId="2A37F63D">
            <w:pPr>
              <w:snapToGrid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lang w:val="en-US" w:eastAsia="zh-CN"/>
              </w:rPr>
              <w:t>氯酸钠</w:t>
            </w:r>
          </w:p>
        </w:tc>
        <w:tc>
          <w:tcPr>
            <w:tcW w:w="823" w:type="pct"/>
            <w:tcBorders>
              <w:top w:val="single" w:color="auto" w:sz="6" w:space="0"/>
              <w:left w:val="single" w:color="auto" w:sz="6" w:space="0"/>
              <w:bottom w:val="single" w:color="auto" w:sz="6" w:space="0"/>
              <w:right w:val="single" w:color="auto" w:sz="6" w:space="0"/>
            </w:tcBorders>
            <w:vAlign w:val="center"/>
          </w:tcPr>
          <w:p w14:paraId="71A88847">
            <w:pPr>
              <w:snapToGrid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cs="Times New Roman"/>
                <w:sz w:val="21"/>
                <w:szCs w:val="21"/>
                <w:lang w:val="en-US" w:eastAsia="zh-CN"/>
              </w:rPr>
              <w:t>2</w:t>
            </w:r>
            <w:r>
              <w:rPr>
                <w:rFonts w:hint="eastAsia" w:cs="Times New Roman"/>
                <w:sz w:val="21"/>
                <w:szCs w:val="21"/>
              </w:rPr>
              <w:t>0000</w:t>
            </w:r>
          </w:p>
        </w:tc>
        <w:tc>
          <w:tcPr>
            <w:tcW w:w="686" w:type="pct"/>
            <w:tcBorders>
              <w:top w:val="single" w:color="auto" w:sz="6" w:space="0"/>
              <w:left w:val="single" w:color="auto" w:sz="6" w:space="0"/>
              <w:bottom w:val="single" w:color="auto" w:sz="6" w:space="0"/>
              <w:right w:val="single" w:color="auto" w:sz="6" w:space="0"/>
            </w:tcBorders>
            <w:vAlign w:val="center"/>
          </w:tcPr>
          <w:p w14:paraId="3D9CD788">
            <w:pPr>
              <w:snapToGrid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cs="Times New Roman"/>
                <w:sz w:val="21"/>
                <w:szCs w:val="21"/>
              </w:rPr>
              <w:t>99.5%</w:t>
            </w:r>
          </w:p>
        </w:tc>
        <w:tc>
          <w:tcPr>
            <w:tcW w:w="401" w:type="pct"/>
            <w:tcBorders>
              <w:top w:val="single" w:color="auto" w:sz="6" w:space="0"/>
              <w:left w:val="single" w:color="auto" w:sz="6" w:space="0"/>
              <w:bottom w:val="single" w:color="auto" w:sz="6" w:space="0"/>
              <w:right w:val="single" w:color="auto" w:sz="6" w:space="0"/>
            </w:tcBorders>
            <w:vAlign w:val="center"/>
          </w:tcPr>
          <w:p w14:paraId="45242779">
            <w:pPr>
              <w:snapToGrid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rPr>
              <w:t>固体</w:t>
            </w:r>
          </w:p>
        </w:tc>
        <w:tc>
          <w:tcPr>
            <w:tcW w:w="912" w:type="pct"/>
            <w:tcBorders>
              <w:top w:val="single" w:color="auto" w:sz="6" w:space="0"/>
              <w:left w:val="single" w:color="auto" w:sz="6" w:space="0"/>
              <w:bottom w:val="single" w:color="auto" w:sz="6" w:space="0"/>
              <w:right w:val="single" w:color="auto" w:sz="4" w:space="0"/>
            </w:tcBorders>
            <w:vAlign w:val="center"/>
          </w:tcPr>
          <w:p w14:paraId="20825447">
            <w:pPr>
              <w:snapToGrid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sz w:val="21"/>
                <w:szCs w:val="21"/>
              </w:rPr>
              <w:t>袋装，25kg/袋</w:t>
            </w:r>
          </w:p>
        </w:tc>
        <w:tc>
          <w:tcPr>
            <w:tcW w:w="770" w:type="pct"/>
            <w:tcBorders>
              <w:top w:val="single" w:color="auto" w:sz="6" w:space="0"/>
              <w:left w:val="single" w:color="auto" w:sz="6" w:space="0"/>
              <w:bottom w:val="single" w:color="auto" w:sz="6" w:space="0"/>
              <w:right w:val="single" w:color="auto" w:sz="4" w:space="0"/>
            </w:tcBorders>
            <w:vAlign w:val="center"/>
          </w:tcPr>
          <w:p w14:paraId="0B2747B0">
            <w:pPr>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200</w:t>
            </w:r>
          </w:p>
        </w:tc>
        <w:tc>
          <w:tcPr>
            <w:tcW w:w="429" w:type="pct"/>
            <w:tcBorders>
              <w:top w:val="single" w:color="auto" w:sz="6" w:space="0"/>
              <w:left w:val="single" w:color="auto" w:sz="6" w:space="0"/>
              <w:bottom w:val="single" w:color="auto" w:sz="6" w:space="0"/>
              <w:right w:val="single" w:color="auto" w:sz="4" w:space="0"/>
            </w:tcBorders>
            <w:vAlign w:val="center"/>
          </w:tcPr>
          <w:p w14:paraId="254ADE01">
            <w:pPr>
              <w:snapToGrid w:val="0"/>
              <w:spacing w:line="240" w:lineRule="auto"/>
              <w:ind w:firstLine="0" w:firstLineChars="0"/>
              <w:jc w:val="center"/>
              <w:rPr>
                <w:rFonts w:hint="default" w:eastAsia="宋体" w:cs="Times New Roman"/>
                <w:sz w:val="21"/>
                <w:szCs w:val="21"/>
                <w:lang w:val="en-US" w:eastAsia="zh-CN"/>
              </w:rPr>
            </w:pPr>
            <w:r>
              <w:rPr>
                <w:rFonts w:hint="eastAsia" w:cs="Times New Roman"/>
                <w:sz w:val="21"/>
                <w:szCs w:val="21"/>
                <w:lang w:val="en-US" w:eastAsia="zh-CN"/>
              </w:rPr>
              <w:t>中间产品</w:t>
            </w:r>
          </w:p>
        </w:tc>
      </w:tr>
      <w:tr w14:paraId="32C9FF1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75" w:hRule="atLeast"/>
        </w:trPr>
        <w:tc>
          <w:tcPr>
            <w:tcW w:w="324" w:type="pct"/>
            <w:tcBorders>
              <w:top w:val="single" w:color="auto" w:sz="6" w:space="0"/>
              <w:left w:val="single" w:color="auto" w:sz="4" w:space="0"/>
              <w:bottom w:val="single" w:color="auto" w:sz="6" w:space="0"/>
              <w:right w:val="single" w:color="auto" w:sz="6" w:space="0"/>
            </w:tcBorders>
            <w:vAlign w:val="center"/>
          </w:tcPr>
          <w:p w14:paraId="628066C0">
            <w:pPr>
              <w:snapToGrid w:val="0"/>
              <w:spacing w:line="240" w:lineRule="auto"/>
              <w:ind w:firstLine="0" w:firstLineChars="0"/>
              <w:jc w:val="center"/>
              <w:rPr>
                <w:rFonts w:hint="default" w:cs="Times New Roman"/>
                <w:sz w:val="21"/>
                <w:szCs w:val="21"/>
                <w:lang w:val="en-US" w:eastAsia="zh-CN"/>
              </w:rPr>
            </w:pPr>
            <w:r>
              <w:rPr>
                <w:rFonts w:hint="eastAsia" w:cs="Times New Roman"/>
                <w:sz w:val="21"/>
                <w:szCs w:val="21"/>
                <w:lang w:val="en-US" w:eastAsia="zh-CN"/>
              </w:rPr>
              <w:t>4</w:t>
            </w:r>
          </w:p>
        </w:tc>
        <w:tc>
          <w:tcPr>
            <w:tcW w:w="652" w:type="pct"/>
            <w:tcBorders>
              <w:top w:val="single" w:color="auto" w:sz="6" w:space="0"/>
              <w:left w:val="single" w:color="auto" w:sz="6" w:space="0"/>
              <w:bottom w:val="single" w:color="auto" w:sz="6" w:space="0"/>
              <w:right w:val="single" w:color="auto" w:sz="6" w:space="0"/>
            </w:tcBorders>
            <w:vAlign w:val="center"/>
          </w:tcPr>
          <w:p w14:paraId="4AD036CC">
            <w:pPr>
              <w:snapToGrid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lang w:val="en-US" w:eastAsia="zh-CN"/>
              </w:rPr>
              <w:t>氯酸钾</w:t>
            </w:r>
          </w:p>
        </w:tc>
        <w:tc>
          <w:tcPr>
            <w:tcW w:w="823" w:type="pct"/>
            <w:tcBorders>
              <w:top w:val="single" w:color="auto" w:sz="6" w:space="0"/>
              <w:left w:val="single" w:color="auto" w:sz="6" w:space="0"/>
              <w:bottom w:val="single" w:color="auto" w:sz="6" w:space="0"/>
              <w:right w:val="single" w:color="auto" w:sz="6" w:space="0"/>
            </w:tcBorders>
            <w:vAlign w:val="center"/>
          </w:tcPr>
          <w:p w14:paraId="0449DAD1">
            <w:pPr>
              <w:snapToGrid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lang w:val="en-US" w:eastAsia="zh-CN"/>
              </w:rPr>
              <w:t>2</w:t>
            </w:r>
            <w:r>
              <w:rPr>
                <w:rFonts w:hint="eastAsia" w:cs="Times New Roman"/>
                <w:sz w:val="21"/>
                <w:szCs w:val="21"/>
              </w:rPr>
              <w:t>0000</w:t>
            </w:r>
          </w:p>
        </w:tc>
        <w:tc>
          <w:tcPr>
            <w:tcW w:w="686" w:type="pct"/>
            <w:tcBorders>
              <w:top w:val="single" w:color="auto" w:sz="6" w:space="0"/>
              <w:left w:val="single" w:color="auto" w:sz="6" w:space="0"/>
              <w:bottom w:val="single" w:color="auto" w:sz="6" w:space="0"/>
              <w:right w:val="single" w:color="auto" w:sz="6" w:space="0"/>
            </w:tcBorders>
            <w:vAlign w:val="center"/>
          </w:tcPr>
          <w:p w14:paraId="4CD7BC0A">
            <w:pPr>
              <w:snapToGrid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rPr>
              <w:t>99.5%</w:t>
            </w:r>
          </w:p>
        </w:tc>
        <w:tc>
          <w:tcPr>
            <w:tcW w:w="401" w:type="pct"/>
            <w:tcBorders>
              <w:top w:val="single" w:color="auto" w:sz="6" w:space="0"/>
              <w:left w:val="single" w:color="auto" w:sz="6" w:space="0"/>
              <w:bottom w:val="single" w:color="auto" w:sz="6" w:space="0"/>
              <w:right w:val="single" w:color="auto" w:sz="6" w:space="0"/>
            </w:tcBorders>
            <w:vAlign w:val="center"/>
          </w:tcPr>
          <w:p w14:paraId="08895C77">
            <w:pPr>
              <w:snapToGrid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rPr>
              <w:t>固体</w:t>
            </w:r>
          </w:p>
        </w:tc>
        <w:tc>
          <w:tcPr>
            <w:tcW w:w="912" w:type="pct"/>
            <w:tcBorders>
              <w:top w:val="single" w:color="auto" w:sz="6" w:space="0"/>
              <w:left w:val="single" w:color="auto" w:sz="6" w:space="0"/>
              <w:bottom w:val="single" w:color="auto" w:sz="6" w:space="0"/>
              <w:right w:val="single" w:color="auto" w:sz="4" w:space="0"/>
            </w:tcBorders>
            <w:vAlign w:val="center"/>
          </w:tcPr>
          <w:p w14:paraId="081CE5AF">
            <w:pPr>
              <w:snapToGrid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sz w:val="21"/>
                <w:szCs w:val="21"/>
              </w:rPr>
              <w:t>袋装，25kg/袋</w:t>
            </w:r>
          </w:p>
        </w:tc>
        <w:tc>
          <w:tcPr>
            <w:tcW w:w="770" w:type="pct"/>
            <w:tcBorders>
              <w:top w:val="single" w:color="auto" w:sz="6" w:space="0"/>
              <w:left w:val="single" w:color="auto" w:sz="6" w:space="0"/>
              <w:bottom w:val="single" w:color="auto" w:sz="6" w:space="0"/>
              <w:right w:val="single" w:color="auto" w:sz="4" w:space="0"/>
            </w:tcBorders>
            <w:vAlign w:val="center"/>
          </w:tcPr>
          <w:p w14:paraId="216798DB">
            <w:pPr>
              <w:snapToGrid w:val="0"/>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200</w:t>
            </w:r>
          </w:p>
        </w:tc>
        <w:tc>
          <w:tcPr>
            <w:tcW w:w="429" w:type="pct"/>
            <w:tcBorders>
              <w:top w:val="single" w:color="auto" w:sz="6" w:space="0"/>
              <w:left w:val="single" w:color="auto" w:sz="6" w:space="0"/>
              <w:bottom w:val="single" w:color="auto" w:sz="6" w:space="0"/>
              <w:right w:val="single" w:color="auto" w:sz="4" w:space="0"/>
            </w:tcBorders>
            <w:vAlign w:val="center"/>
          </w:tcPr>
          <w:p w14:paraId="46326655">
            <w:pPr>
              <w:snapToGrid w:val="0"/>
              <w:spacing w:line="240" w:lineRule="auto"/>
              <w:ind w:firstLine="0" w:firstLineChars="0"/>
              <w:jc w:val="center"/>
              <w:rPr>
                <w:rFonts w:cs="Times New Roman"/>
                <w:sz w:val="21"/>
                <w:szCs w:val="21"/>
              </w:rPr>
            </w:pPr>
          </w:p>
        </w:tc>
      </w:tr>
      <w:tr w14:paraId="51FFBB8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75" w:hRule="atLeast"/>
        </w:trPr>
        <w:tc>
          <w:tcPr>
            <w:tcW w:w="324" w:type="pct"/>
            <w:tcBorders>
              <w:top w:val="single" w:color="auto" w:sz="6" w:space="0"/>
              <w:left w:val="single" w:color="auto" w:sz="4" w:space="0"/>
              <w:bottom w:val="single" w:color="auto" w:sz="6" w:space="0"/>
              <w:right w:val="single" w:color="auto" w:sz="6" w:space="0"/>
            </w:tcBorders>
            <w:vAlign w:val="center"/>
          </w:tcPr>
          <w:p w14:paraId="7DA0167B">
            <w:pPr>
              <w:snapToGrid w:val="0"/>
              <w:spacing w:line="240" w:lineRule="auto"/>
              <w:ind w:firstLine="0" w:firstLineChars="0"/>
              <w:jc w:val="center"/>
              <w:rPr>
                <w:rFonts w:hint="default" w:cs="Times New Roman"/>
                <w:sz w:val="21"/>
                <w:szCs w:val="21"/>
                <w:lang w:val="en-US" w:eastAsia="zh-CN"/>
              </w:rPr>
            </w:pPr>
            <w:r>
              <w:rPr>
                <w:rFonts w:hint="eastAsia" w:cs="Times New Roman"/>
                <w:sz w:val="21"/>
                <w:szCs w:val="21"/>
                <w:lang w:val="en-US" w:eastAsia="zh-CN"/>
              </w:rPr>
              <w:t>5</w:t>
            </w:r>
          </w:p>
        </w:tc>
        <w:tc>
          <w:tcPr>
            <w:tcW w:w="652" w:type="pct"/>
            <w:tcBorders>
              <w:top w:val="single" w:color="auto" w:sz="6" w:space="0"/>
              <w:left w:val="single" w:color="auto" w:sz="6" w:space="0"/>
              <w:bottom w:val="single" w:color="auto" w:sz="6" w:space="0"/>
              <w:right w:val="single" w:color="auto" w:sz="6" w:space="0"/>
            </w:tcBorders>
            <w:vAlign w:val="center"/>
          </w:tcPr>
          <w:p w14:paraId="16096243">
            <w:pPr>
              <w:snapToGrid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lang w:val="en-US" w:eastAsia="zh-CN"/>
              </w:rPr>
              <w:t>高氯酸锂</w:t>
            </w:r>
          </w:p>
        </w:tc>
        <w:tc>
          <w:tcPr>
            <w:tcW w:w="823" w:type="pct"/>
            <w:tcBorders>
              <w:top w:val="single" w:color="auto" w:sz="6" w:space="0"/>
              <w:left w:val="single" w:color="auto" w:sz="6" w:space="0"/>
              <w:bottom w:val="single" w:color="auto" w:sz="6" w:space="0"/>
              <w:right w:val="single" w:color="auto" w:sz="6" w:space="0"/>
            </w:tcBorders>
            <w:vAlign w:val="center"/>
          </w:tcPr>
          <w:p w14:paraId="08C8CFDA">
            <w:pPr>
              <w:snapToGrid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lang w:val="en-US" w:eastAsia="zh-CN"/>
              </w:rPr>
              <w:t>600</w:t>
            </w:r>
          </w:p>
        </w:tc>
        <w:tc>
          <w:tcPr>
            <w:tcW w:w="686" w:type="pct"/>
            <w:tcBorders>
              <w:top w:val="single" w:color="auto" w:sz="6" w:space="0"/>
              <w:left w:val="single" w:color="auto" w:sz="6" w:space="0"/>
              <w:bottom w:val="single" w:color="auto" w:sz="6" w:space="0"/>
              <w:right w:val="single" w:color="auto" w:sz="6" w:space="0"/>
            </w:tcBorders>
            <w:vAlign w:val="center"/>
          </w:tcPr>
          <w:p w14:paraId="50F7CD6E">
            <w:pPr>
              <w:snapToGrid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lang w:val="en-US" w:eastAsia="zh-CN"/>
              </w:rPr>
              <w:t>99.5%</w:t>
            </w:r>
          </w:p>
        </w:tc>
        <w:tc>
          <w:tcPr>
            <w:tcW w:w="401" w:type="pct"/>
            <w:tcBorders>
              <w:top w:val="single" w:color="auto" w:sz="6" w:space="0"/>
              <w:left w:val="single" w:color="auto" w:sz="6" w:space="0"/>
              <w:bottom w:val="single" w:color="auto" w:sz="6" w:space="0"/>
              <w:right w:val="single" w:color="auto" w:sz="6" w:space="0"/>
            </w:tcBorders>
            <w:vAlign w:val="center"/>
          </w:tcPr>
          <w:p w14:paraId="5E0C69EA">
            <w:pPr>
              <w:snapToGrid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cs="Times New Roman"/>
                <w:sz w:val="21"/>
                <w:szCs w:val="21"/>
              </w:rPr>
              <w:t>固体</w:t>
            </w:r>
          </w:p>
        </w:tc>
        <w:tc>
          <w:tcPr>
            <w:tcW w:w="912" w:type="pct"/>
            <w:tcBorders>
              <w:top w:val="single" w:color="auto" w:sz="6" w:space="0"/>
              <w:left w:val="single" w:color="auto" w:sz="6" w:space="0"/>
              <w:bottom w:val="single" w:color="auto" w:sz="6" w:space="0"/>
              <w:right w:val="single" w:color="auto" w:sz="4" w:space="0"/>
            </w:tcBorders>
            <w:vAlign w:val="center"/>
          </w:tcPr>
          <w:p w14:paraId="03131F4A">
            <w:pPr>
              <w:snapToGrid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cs="Times New Roman"/>
                <w:sz w:val="21"/>
                <w:szCs w:val="21"/>
              </w:rPr>
              <w:t>袋装，25kg/袋</w:t>
            </w:r>
          </w:p>
        </w:tc>
        <w:tc>
          <w:tcPr>
            <w:tcW w:w="770" w:type="pct"/>
            <w:tcBorders>
              <w:top w:val="single" w:color="auto" w:sz="6" w:space="0"/>
              <w:left w:val="single" w:color="auto" w:sz="6" w:space="0"/>
              <w:bottom w:val="single" w:color="auto" w:sz="6" w:space="0"/>
              <w:right w:val="single" w:color="auto" w:sz="4" w:space="0"/>
            </w:tcBorders>
            <w:vAlign w:val="center"/>
          </w:tcPr>
          <w:p w14:paraId="2B2865EB">
            <w:pPr>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20</w:t>
            </w:r>
          </w:p>
        </w:tc>
        <w:tc>
          <w:tcPr>
            <w:tcW w:w="429" w:type="pct"/>
            <w:tcBorders>
              <w:top w:val="single" w:color="auto" w:sz="6" w:space="0"/>
              <w:left w:val="single" w:color="auto" w:sz="6" w:space="0"/>
              <w:bottom w:val="single" w:color="auto" w:sz="6" w:space="0"/>
              <w:right w:val="single" w:color="auto" w:sz="4" w:space="0"/>
            </w:tcBorders>
            <w:vAlign w:val="center"/>
          </w:tcPr>
          <w:p w14:paraId="170E2944">
            <w:pPr>
              <w:snapToGrid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cs="Times New Roman"/>
                <w:sz w:val="21"/>
                <w:szCs w:val="21"/>
                <w:lang w:val="en-US" w:eastAsia="zh-CN"/>
              </w:rPr>
              <w:t>无水</w:t>
            </w:r>
          </w:p>
        </w:tc>
      </w:tr>
      <w:tr w14:paraId="3CA12A9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0" w:hRule="atLeast"/>
        </w:trPr>
        <w:tc>
          <w:tcPr>
            <w:tcW w:w="324" w:type="pct"/>
            <w:tcBorders>
              <w:top w:val="single" w:color="auto" w:sz="6" w:space="0"/>
              <w:left w:val="single" w:color="auto" w:sz="4" w:space="0"/>
              <w:bottom w:val="single" w:color="auto" w:sz="6" w:space="0"/>
              <w:right w:val="single" w:color="auto" w:sz="6" w:space="0"/>
            </w:tcBorders>
            <w:shd w:val="clear" w:color="auto" w:fill="auto"/>
            <w:vAlign w:val="center"/>
          </w:tcPr>
          <w:p w14:paraId="1515158A">
            <w:pPr>
              <w:snapToGrid w:val="0"/>
              <w:spacing w:line="240" w:lineRule="auto"/>
              <w:ind w:firstLine="0" w:firstLineChars="0"/>
              <w:jc w:val="center"/>
              <w:rPr>
                <w:rFonts w:hint="default" w:cs="Times New Roman"/>
                <w:sz w:val="21"/>
                <w:szCs w:val="21"/>
                <w:highlight w:val="none"/>
                <w:lang w:val="en-US" w:eastAsia="zh-CN"/>
              </w:rPr>
            </w:pPr>
            <w:r>
              <w:rPr>
                <w:rFonts w:hint="eastAsia" w:cs="Times New Roman"/>
                <w:sz w:val="21"/>
                <w:szCs w:val="21"/>
                <w:highlight w:val="none"/>
                <w:lang w:val="en-US" w:eastAsia="zh-CN"/>
              </w:rPr>
              <w:t>6</w:t>
            </w:r>
          </w:p>
        </w:tc>
        <w:tc>
          <w:tcPr>
            <w:tcW w:w="652" w:type="pct"/>
            <w:tcBorders>
              <w:top w:val="single" w:color="auto" w:sz="6" w:space="0"/>
              <w:left w:val="single" w:color="auto" w:sz="6" w:space="0"/>
              <w:bottom w:val="single" w:color="auto" w:sz="6" w:space="0"/>
              <w:right w:val="single" w:color="auto" w:sz="6" w:space="0"/>
            </w:tcBorders>
            <w:shd w:val="clear" w:color="auto" w:fill="auto"/>
            <w:vAlign w:val="center"/>
          </w:tcPr>
          <w:p w14:paraId="4066B884">
            <w:pPr>
              <w:snapToGrid w:val="0"/>
              <w:spacing w:line="240" w:lineRule="auto"/>
              <w:ind w:firstLine="0" w:firstLineChars="0"/>
              <w:jc w:val="center"/>
              <w:rPr>
                <w:rFonts w:hint="default" w:cs="Times New Roman"/>
                <w:sz w:val="21"/>
                <w:szCs w:val="21"/>
                <w:highlight w:val="none"/>
                <w:lang w:val="en-US" w:eastAsia="zh-CN"/>
              </w:rPr>
            </w:pPr>
            <w:r>
              <w:rPr>
                <w:rFonts w:hint="eastAsia" w:cs="Times New Roman"/>
                <w:sz w:val="21"/>
                <w:szCs w:val="21"/>
                <w:highlight w:val="none"/>
                <w:lang w:val="en-US" w:eastAsia="zh-CN"/>
              </w:rPr>
              <w:t>氢气</w:t>
            </w:r>
          </w:p>
        </w:tc>
        <w:tc>
          <w:tcPr>
            <w:tcW w:w="823" w:type="pct"/>
            <w:tcBorders>
              <w:top w:val="single" w:color="auto" w:sz="6" w:space="0"/>
              <w:left w:val="single" w:color="auto" w:sz="6" w:space="0"/>
              <w:bottom w:val="single" w:color="auto" w:sz="6" w:space="0"/>
              <w:right w:val="single" w:color="auto" w:sz="6" w:space="0"/>
            </w:tcBorders>
            <w:shd w:val="clear" w:color="auto" w:fill="auto"/>
            <w:vAlign w:val="center"/>
          </w:tcPr>
          <w:p w14:paraId="0BD63A3A">
            <w:pPr>
              <w:snapToGrid w:val="0"/>
              <w:spacing w:line="240" w:lineRule="auto"/>
              <w:ind w:firstLine="0" w:firstLineChars="0"/>
              <w:jc w:val="center"/>
              <w:rPr>
                <w:rFonts w:hint="default" w:cs="Times New Roman"/>
                <w:sz w:val="21"/>
                <w:szCs w:val="21"/>
                <w:highlight w:val="none"/>
                <w:lang w:val="en-US" w:eastAsia="zh-CN"/>
              </w:rPr>
            </w:pPr>
            <w:r>
              <w:rPr>
                <w:rFonts w:hint="eastAsia" w:cs="Times New Roman"/>
                <w:sz w:val="21"/>
                <w:szCs w:val="21"/>
                <w:highlight w:val="none"/>
                <w:lang w:val="en-US" w:eastAsia="zh-CN"/>
              </w:rPr>
              <w:t>1500</w:t>
            </w:r>
          </w:p>
          <w:p w14:paraId="38847D8A">
            <w:pPr>
              <w:snapToGrid w:val="0"/>
              <w:spacing w:line="240" w:lineRule="auto"/>
              <w:ind w:firstLine="0" w:firstLineChars="0"/>
              <w:jc w:val="center"/>
              <w:rPr>
                <w:rFonts w:hint="default" w:cs="Times New Roman"/>
                <w:sz w:val="21"/>
                <w:szCs w:val="21"/>
                <w:highlight w:val="none"/>
                <w:lang w:val="en-US" w:eastAsia="zh-CN"/>
              </w:rPr>
            </w:pPr>
            <w:r>
              <w:rPr>
                <w:rFonts w:hint="eastAsia" w:cs="Times New Roman"/>
                <w:sz w:val="21"/>
                <w:szCs w:val="21"/>
                <w:highlight w:val="none"/>
                <w:lang w:val="en-US" w:eastAsia="zh-CN"/>
              </w:rPr>
              <w:t>(2341Nm</w:t>
            </w:r>
            <w:r>
              <w:rPr>
                <w:rFonts w:hint="eastAsia" w:cs="Times New Roman"/>
                <w:sz w:val="21"/>
                <w:szCs w:val="21"/>
                <w:highlight w:val="none"/>
                <w:vertAlign w:val="superscript"/>
                <w:lang w:val="en-US" w:eastAsia="zh-CN"/>
              </w:rPr>
              <w:t>3</w:t>
            </w:r>
            <w:r>
              <w:rPr>
                <w:rFonts w:hint="eastAsia" w:cs="Times New Roman"/>
                <w:sz w:val="21"/>
                <w:szCs w:val="21"/>
                <w:highlight w:val="none"/>
                <w:lang w:val="en-US" w:eastAsia="zh-CN"/>
              </w:rPr>
              <w:t>/h)</w:t>
            </w:r>
          </w:p>
        </w:tc>
        <w:tc>
          <w:tcPr>
            <w:tcW w:w="686" w:type="pct"/>
            <w:tcBorders>
              <w:top w:val="single" w:color="auto" w:sz="6" w:space="0"/>
              <w:left w:val="single" w:color="auto" w:sz="6" w:space="0"/>
              <w:bottom w:val="single" w:color="auto" w:sz="6" w:space="0"/>
              <w:right w:val="single" w:color="auto" w:sz="6" w:space="0"/>
            </w:tcBorders>
            <w:shd w:val="clear" w:color="auto" w:fill="auto"/>
            <w:vAlign w:val="center"/>
          </w:tcPr>
          <w:p w14:paraId="37076049">
            <w:pPr>
              <w:snapToGrid w:val="0"/>
              <w:spacing w:line="240" w:lineRule="auto"/>
              <w:ind w:firstLine="0" w:firstLineChars="0"/>
              <w:jc w:val="center"/>
              <w:rPr>
                <w:rFonts w:hint="default" w:cs="Times New Roman"/>
                <w:sz w:val="21"/>
                <w:szCs w:val="21"/>
                <w:highlight w:val="none"/>
                <w:lang w:val="en-US" w:eastAsia="zh-CN"/>
              </w:rPr>
            </w:pPr>
            <w:r>
              <w:rPr>
                <w:rFonts w:hint="eastAsia" w:cs="Times New Roman"/>
                <w:sz w:val="21"/>
                <w:szCs w:val="21"/>
                <w:highlight w:val="none"/>
                <w:lang w:val="en-US" w:eastAsia="zh-CN"/>
              </w:rPr>
              <w:t>99.999%</w:t>
            </w:r>
          </w:p>
        </w:tc>
        <w:tc>
          <w:tcPr>
            <w:tcW w:w="401" w:type="pct"/>
            <w:tcBorders>
              <w:top w:val="single" w:color="auto" w:sz="6" w:space="0"/>
              <w:left w:val="single" w:color="auto" w:sz="6" w:space="0"/>
              <w:bottom w:val="single" w:color="auto" w:sz="6" w:space="0"/>
              <w:right w:val="single" w:color="auto" w:sz="6" w:space="0"/>
            </w:tcBorders>
            <w:shd w:val="clear" w:color="auto" w:fill="auto"/>
            <w:vAlign w:val="center"/>
          </w:tcPr>
          <w:p w14:paraId="2B706F42">
            <w:pPr>
              <w:snapToGrid w:val="0"/>
              <w:spacing w:line="240" w:lineRule="auto"/>
              <w:ind w:firstLine="0" w:firstLineChars="0"/>
              <w:jc w:val="center"/>
              <w:rPr>
                <w:rFonts w:hint="eastAsia" w:eastAsia="宋体" w:cs="Times New Roman"/>
                <w:sz w:val="21"/>
                <w:szCs w:val="21"/>
                <w:highlight w:val="none"/>
                <w:lang w:val="en-US" w:eastAsia="zh-CN"/>
              </w:rPr>
            </w:pPr>
            <w:r>
              <w:rPr>
                <w:rFonts w:hint="eastAsia" w:cs="Times New Roman"/>
                <w:sz w:val="21"/>
                <w:szCs w:val="21"/>
                <w:highlight w:val="none"/>
                <w:lang w:val="en-US" w:eastAsia="zh-CN"/>
              </w:rPr>
              <w:t>气体</w:t>
            </w:r>
          </w:p>
        </w:tc>
        <w:tc>
          <w:tcPr>
            <w:tcW w:w="912" w:type="pct"/>
            <w:tcBorders>
              <w:top w:val="single" w:color="auto" w:sz="6" w:space="0"/>
              <w:left w:val="single" w:color="auto" w:sz="6" w:space="0"/>
              <w:bottom w:val="single" w:color="auto" w:sz="6" w:space="0"/>
              <w:right w:val="single" w:color="auto" w:sz="4" w:space="0"/>
            </w:tcBorders>
            <w:shd w:val="clear" w:color="auto" w:fill="auto"/>
            <w:vAlign w:val="center"/>
          </w:tcPr>
          <w:p w14:paraId="6DB030C3">
            <w:pPr>
              <w:snapToGrid w:val="0"/>
              <w:spacing w:line="240" w:lineRule="auto"/>
              <w:ind w:firstLine="0" w:firstLineChars="0"/>
              <w:jc w:val="center"/>
              <w:rPr>
                <w:rFonts w:hint="eastAsia" w:eastAsia="宋体" w:cs="Times New Roman"/>
                <w:sz w:val="21"/>
                <w:szCs w:val="21"/>
                <w:highlight w:val="none"/>
                <w:lang w:val="en-US" w:eastAsia="zh-CN"/>
              </w:rPr>
            </w:pPr>
            <w:r>
              <w:rPr>
                <w:rFonts w:hint="eastAsia" w:cs="Times New Roman"/>
                <w:sz w:val="21"/>
                <w:szCs w:val="21"/>
                <w:highlight w:val="none"/>
                <w:lang w:val="en-US" w:eastAsia="zh-CN"/>
              </w:rPr>
              <w:t>/</w:t>
            </w:r>
          </w:p>
        </w:tc>
        <w:tc>
          <w:tcPr>
            <w:tcW w:w="770" w:type="pct"/>
            <w:tcBorders>
              <w:top w:val="single" w:color="auto" w:sz="6" w:space="0"/>
              <w:left w:val="single" w:color="auto" w:sz="6" w:space="0"/>
              <w:bottom w:val="single" w:color="auto" w:sz="6" w:space="0"/>
              <w:right w:val="single" w:color="auto" w:sz="4" w:space="0"/>
            </w:tcBorders>
            <w:shd w:val="clear" w:color="auto" w:fill="auto"/>
            <w:vAlign w:val="center"/>
          </w:tcPr>
          <w:p w14:paraId="5FB9F25E">
            <w:pPr>
              <w:snapToGrid w:val="0"/>
              <w:spacing w:line="24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0.178</w:t>
            </w:r>
          </w:p>
          <w:p w14:paraId="7B0A0CAE">
            <w:pPr>
              <w:snapToGrid w:val="0"/>
              <w:spacing w:line="24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 xml:space="preserve">(2000 </w:t>
            </w:r>
            <w:r>
              <w:rPr>
                <w:rFonts w:hint="eastAsia" w:cs="Times New Roman"/>
                <w:sz w:val="21"/>
                <w:szCs w:val="21"/>
                <w:highlight w:val="none"/>
                <w:lang w:val="en-US" w:eastAsia="zh-CN"/>
              </w:rPr>
              <w:t>Nm</w:t>
            </w:r>
            <w:r>
              <w:rPr>
                <w:rFonts w:hint="eastAsia" w:cs="Times New Roman"/>
                <w:sz w:val="21"/>
                <w:szCs w:val="21"/>
                <w:highlight w:val="none"/>
                <w:vertAlign w:val="superscript"/>
                <w:lang w:val="en-US" w:eastAsia="zh-CN"/>
              </w:rPr>
              <w:t>3</w:t>
            </w:r>
            <w:r>
              <w:rPr>
                <w:rFonts w:hint="eastAsia" w:cs="Times New Roman"/>
                <w:sz w:val="21"/>
                <w:szCs w:val="21"/>
                <w:highlight w:val="none"/>
                <w:vertAlign w:val="baseline"/>
                <w:lang w:val="en-US" w:eastAsia="zh-CN"/>
              </w:rPr>
              <w:t>)</w:t>
            </w:r>
          </w:p>
        </w:tc>
        <w:tc>
          <w:tcPr>
            <w:tcW w:w="429" w:type="pct"/>
            <w:tcBorders>
              <w:top w:val="single" w:color="auto" w:sz="6" w:space="0"/>
              <w:left w:val="single" w:color="auto" w:sz="6" w:space="0"/>
              <w:bottom w:val="single" w:color="auto" w:sz="6" w:space="0"/>
              <w:right w:val="single" w:color="auto" w:sz="4" w:space="0"/>
            </w:tcBorders>
            <w:shd w:val="clear" w:color="auto" w:fill="auto"/>
            <w:vAlign w:val="center"/>
          </w:tcPr>
          <w:p w14:paraId="290892F1">
            <w:pPr>
              <w:snapToGrid w:val="0"/>
              <w:spacing w:line="240" w:lineRule="auto"/>
              <w:ind w:firstLine="0" w:firstLineChars="0"/>
              <w:jc w:val="center"/>
              <w:rPr>
                <w:rFonts w:hint="default" w:cs="Times New Roman"/>
                <w:sz w:val="21"/>
                <w:szCs w:val="21"/>
                <w:highlight w:val="none"/>
                <w:lang w:val="en-US" w:eastAsia="zh-CN"/>
              </w:rPr>
            </w:pPr>
          </w:p>
        </w:tc>
      </w:tr>
    </w:tbl>
    <w:p w14:paraId="0556111D">
      <w:pPr>
        <w:spacing w:line="240" w:lineRule="auto"/>
        <w:ind w:firstLine="0" w:firstLineChars="0"/>
        <w:rPr>
          <w:rFonts w:hint="default" w:eastAsia="宋体"/>
          <w:b/>
          <w:bCs/>
          <w:sz w:val="22"/>
          <w:szCs w:val="22"/>
          <w:lang w:val="en-US" w:eastAsia="zh-CN"/>
        </w:rPr>
      </w:pPr>
      <w:r>
        <w:rPr>
          <w:rFonts w:hint="eastAsia"/>
          <w:b/>
          <w:bCs/>
          <w:sz w:val="22"/>
          <w:szCs w:val="22"/>
          <w:lang w:val="en-US" w:eastAsia="zh-CN"/>
        </w:rPr>
        <w:t>注：高氯酸钠、高氯酸钾、氯酸钾均以氯酸钠为中间产品进一步加工获得，因此企业会根据自己的市场需要来进行产品种类的调节，氯酸钠为控制各类产品的关键节点，本项目后续的产排污以产污最多的二次电解后生产高氯酸钾进行核算。</w:t>
      </w:r>
    </w:p>
    <w:p w14:paraId="69B57F1A">
      <w:pPr>
        <w:spacing w:line="240" w:lineRule="auto"/>
        <w:ind w:firstLine="0" w:firstLineChars="0"/>
      </w:pPr>
    </w:p>
    <w:p w14:paraId="42C357EF">
      <w:pPr>
        <w:ind w:firstLine="480"/>
      </w:pPr>
      <w:r>
        <w:rPr>
          <w:rFonts w:hint="eastAsia"/>
        </w:rPr>
        <w:t>产品质量标准如下：</w:t>
      </w:r>
    </w:p>
    <w:p w14:paraId="5CAA0217">
      <w:pPr>
        <w:ind w:firstLine="480"/>
      </w:pPr>
      <w:r>
        <w:rPr>
          <w:rFonts w:hint="eastAsia"/>
        </w:rPr>
        <w:t>高氯酸钠产品质量符合标准《工业高氯酸钠》（GB/T 23850-2009），本项目可生产II 型产品。</w:t>
      </w:r>
    </w:p>
    <w:p w14:paraId="2F76733D">
      <w:pPr>
        <w:pStyle w:val="43"/>
        <w:rPr>
          <w:rFonts w:hint="default"/>
        </w:rPr>
      </w:pPr>
      <w:r>
        <w:t>高氯酸钠质量标准（GB/T 23850-2009）</w:t>
      </w:r>
    </w:p>
    <w:tbl>
      <w:tblPr>
        <w:tblStyle w:val="32"/>
        <w:tblW w:w="498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2"/>
        <w:gridCol w:w="1055"/>
        <w:gridCol w:w="1060"/>
        <w:gridCol w:w="1055"/>
        <w:gridCol w:w="1064"/>
      </w:tblGrid>
      <w:tr w14:paraId="6C963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blHeader/>
        </w:trPr>
        <w:tc>
          <w:tcPr>
            <w:tcW w:w="2508" w:type="pct"/>
            <w:vMerge w:val="restart"/>
            <w:shd w:val="clear" w:color="auto" w:fill="auto"/>
            <w:vAlign w:val="center"/>
          </w:tcPr>
          <w:p w14:paraId="010A9456">
            <w:pPr>
              <w:pStyle w:val="45"/>
              <w:rPr>
                <w:rFonts w:hint="default"/>
                <w:b/>
                <w:bCs/>
              </w:rPr>
            </w:pPr>
            <w:r>
              <w:rPr>
                <w:b/>
                <w:bCs/>
              </w:rPr>
              <w:t>项目</w:t>
            </w:r>
          </w:p>
        </w:tc>
        <w:tc>
          <w:tcPr>
            <w:tcW w:w="2491" w:type="pct"/>
            <w:gridSpan w:val="4"/>
            <w:shd w:val="clear" w:color="auto" w:fill="auto"/>
            <w:vAlign w:val="center"/>
          </w:tcPr>
          <w:p w14:paraId="2787035E">
            <w:pPr>
              <w:pStyle w:val="45"/>
              <w:rPr>
                <w:rFonts w:hint="default"/>
                <w:b/>
                <w:bCs/>
              </w:rPr>
            </w:pPr>
            <w:r>
              <w:rPr>
                <w:b/>
                <w:bCs/>
              </w:rPr>
              <w:t>指标</w:t>
            </w:r>
          </w:p>
        </w:tc>
      </w:tr>
      <w:tr w14:paraId="1E5E5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blHeader/>
        </w:trPr>
        <w:tc>
          <w:tcPr>
            <w:tcW w:w="2508" w:type="pct"/>
            <w:vMerge w:val="continue"/>
            <w:shd w:val="clear" w:color="auto" w:fill="auto"/>
            <w:vAlign w:val="center"/>
          </w:tcPr>
          <w:p w14:paraId="6F53C3F8">
            <w:pPr>
              <w:pStyle w:val="45"/>
              <w:rPr>
                <w:rFonts w:hint="default"/>
                <w:b/>
                <w:bCs/>
              </w:rPr>
            </w:pPr>
          </w:p>
        </w:tc>
        <w:tc>
          <w:tcPr>
            <w:tcW w:w="1245" w:type="pct"/>
            <w:gridSpan w:val="2"/>
            <w:shd w:val="clear" w:color="auto" w:fill="auto"/>
            <w:vAlign w:val="center"/>
          </w:tcPr>
          <w:p w14:paraId="6AF1D2A7">
            <w:pPr>
              <w:pStyle w:val="45"/>
              <w:rPr>
                <w:rFonts w:hint="default"/>
                <w:b/>
                <w:bCs/>
              </w:rPr>
            </w:pPr>
            <w:r>
              <w:rPr>
                <w:b/>
                <w:bCs/>
              </w:rPr>
              <w:t>I型</w:t>
            </w:r>
          </w:p>
        </w:tc>
        <w:tc>
          <w:tcPr>
            <w:tcW w:w="1245" w:type="pct"/>
            <w:gridSpan w:val="2"/>
            <w:shd w:val="clear" w:color="auto" w:fill="auto"/>
            <w:vAlign w:val="center"/>
          </w:tcPr>
          <w:p w14:paraId="07AD9FCD">
            <w:pPr>
              <w:pStyle w:val="45"/>
              <w:rPr>
                <w:rFonts w:hint="default"/>
                <w:b/>
                <w:bCs/>
              </w:rPr>
            </w:pPr>
            <w:r>
              <w:rPr>
                <w:b/>
                <w:bCs/>
              </w:rPr>
              <w:t>II型</w:t>
            </w:r>
          </w:p>
        </w:tc>
      </w:tr>
      <w:tr w14:paraId="7A5E2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blHeader/>
        </w:trPr>
        <w:tc>
          <w:tcPr>
            <w:tcW w:w="2508" w:type="pct"/>
            <w:vMerge w:val="continue"/>
            <w:shd w:val="clear" w:color="auto" w:fill="auto"/>
            <w:vAlign w:val="center"/>
          </w:tcPr>
          <w:p w14:paraId="0881450B">
            <w:pPr>
              <w:pStyle w:val="45"/>
              <w:rPr>
                <w:rFonts w:hint="default"/>
                <w:b/>
                <w:bCs/>
              </w:rPr>
            </w:pPr>
          </w:p>
        </w:tc>
        <w:tc>
          <w:tcPr>
            <w:tcW w:w="621" w:type="pct"/>
            <w:shd w:val="clear" w:color="auto" w:fill="auto"/>
            <w:vAlign w:val="center"/>
          </w:tcPr>
          <w:p w14:paraId="41DF777E">
            <w:pPr>
              <w:pStyle w:val="45"/>
              <w:rPr>
                <w:rFonts w:hint="default"/>
                <w:b/>
                <w:bCs/>
              </w:rPr>
            </w:pPr>
            <w:r>
              <w:rPr>
                <w:b/>
                <w:bCs/>
              </w:rPr>
              <w:t>一等品</w:t>
            </w:r>
          </w:p>
        </w:tc>
        <w:tc>
          <w:tcPr>
            <w:tcW w:w="624" w:type="pct"/>
            <w:shd w:val="clear" w:color="auto" w:fill="auto"/>
            <w:vAlign w:val="center"/>
          </w:tcPr>
          <w:p w14:paraId="6C57B601">
            <w:pPr>
              <w:pStyle w:val="45"/>
              <w:rPr>
                <w:rFonts w:hint="default"/>
                <w:b/>
                <w:bCs/>
              </w:rPr>
            </w:pPr>
            <w:r>
              <w:rPr>
                <w:b/>
                <w:bCs/>
              </w:rPr>
              <w:t>合格品</w:t>
            </w:r>
          </w:p>
        </w:tc>
        <w:tc>
          <w:tcPr>
            <w:tcW w:w="621" w:type="pct"/>
            <w:shd w:val="clear" w:color="auto" w:fill="auto"/>
            <w:vAlign w:val="center"/>
          </w:tcPr>
          <w:p w14:paraId="6BB44300">
            <w:pPr>
              <w:pStyle w:val="45"/>
              <w:rPr>
                <w:rFonts w:hint="default"/>
                <w:b/>
                <w:bCs/>
              </w:rPr>
            </w:pPr>
            <w:r>
              <w:rPr>
                <w:b/>
                <w:bCs/>
              </w:rPr>
              <w:t>一等品</w:t>
            </w:r>
          </w:p>
        </w:tc>
        <w:tc>
          <w:tcPr>
            <w:tcW w:w="624" w:type="pct"/>
            <w:shd w:val="clear" w:color="auto" w:fill="auto"/>
            <w:vAlign w:val="center"/>
          </w:tcPr>
          <w:p w14:paraId="0C3FBE24">
            <w:pPr>
              <w:pStyle w:val="45"/>
              <w:rPr>
                <w:rFonts w:hint="default"/>
                <w:b/>
                <w:bCs/>
              </w:rPr>
            </w:pPr>
            <w:r>
              <w:rPr>
                <w:b/>
                <w:bCs/>
              </w:rPr>
              <w:t>合格品</w:t>
            </w:r>
          </w:p>
        </w:tc>
      </w:tr>
      <w:tr w14:paraId="78EAC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2508" w:type="pct"/>
            <w:shd w:val="clear" w:color="auto" w:fill="auto"/>
            <w:vAlign w:val="center"/>
          </w:tcPr>
          <w:p w14:paraId="0AB03798">
            <w:pPr>
              <w:pStyle w:val="45"/>
              <w:rPr>
                <w:rFonts w:hint="default"/>
              </w:rPr>
            </w:pPr>
            <w:r>
              <w:t>高氯酸钠（NaClO</w:t>
            </w:r>
            <w:r>
              <w:rPr>
                <w:vertAlign w:val="subscript"/>
              </w:rPr>
              <w:t>4</w:t>
            </w:r>
            <w:r>
              <w:t>·nH</w:t>
            </w:r>
            <w:r>
              <w:rPr>
                <w:vertAlign w:val="subscript"/>
              </w:rPr>
              <w:t>2</w:t>
            </w:r>
            <w:r>
              <w:t>O）w/%≥</w:t>
            </w:r>
          </w:p>
        </w:tc>
        <w:tc>
          <w:tcPr>
            <w:tcW w:w="621" w:type="pct"/>
            <w:shd w:val="clear" w:color="auto" w:fill="auto"/>
            <w:vAlign w:val="center"/>
          </w:tcPr>
          <w:p w14:paraId="16AC62B7">
            <w:pPr>
              <w:pStyle w:val="45"/>
              <w:rPr>
                <w:rFonts w:hint="default"/>
              </w:rPr>
            </w:pPr>
            <w:r>
              <w:t>99.3</w:t>
            </w:r>
          </w:p>
        </w:tc>
        <w:tc>
          <w:tcPr>
            <w:tcW w:w="624" w:type="pct"/>
            <w:shd w:val="clear" w:color="auto" w:fill="auto"/>
            <w:vAlign w:val="center"/>
          </w:tcPr>
          <w:p w14:paraId="44C3BD39">
            <w:pPr>
              <w:pStyle w:val="45"/>
              <w:rPr>
                <w:rFonts w:hint="default"/>
              </w:rPr>
            </w:pPr>
            <w:r>
              <w:t>99.0</w:t>
            </w:r>
          </w:p>
        </w:tc>
        <w:tc>
          <w:tcPr>
            <w:tcW w:w="621" w:type="pct"/>
            <w:shd w:val="clear" w:color="auto" w:fill="auto"/>
            <w:vAlign w:val="center"/>
          </w:tcPr>
          <w:p w14:paraId="11CB77B7">
            <w:pPr>
              <w:pStyle w:val="45"/>
              <w:rPr>
                <w:rFonts w:hint="default"/>
              </w:rPr>
            </w:pPr>
            <w:r>
              <w:t>98.0</w:t>
            </w:r>
          </w:p>
        </w:tc>
        <w:tc>
          <w:tcPr>
            <w:tcW w:w="624" w:type="pct"/>
            <w:shd w:val="clear" w:color="auto" w:fill="auto"/>
            <w:vAlign w:val="center"/>
          </w:tcPr>
          <w:p w14:paraId="2ED1B17D">
            <w:pPr>
              <w:pStyle w:val="45"/>
              <w:rPr>
                <w:rFonts w:hint="default"/>
              </w:rPr>
            </w:pPr>
            <w:r>
              <w:t>97.0</w:t>
            </w:r>
          </w:p>
        </w:tc>
      </w:tr>
      <w:tr w14:paraId="35375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2508" w:type="pct"/>
            <w:shd w:val="clear" w:color="auto" w:fill="auto"/>
            <w:vAlign w:val="center"/>
          </w:tcPr>
          <w:p w14:paraId="4F9B774F">
            <w:pPr>
              <w:pStyle w:val="45"/>
              <w:rPr>
                <w:rFonts w:hint="default"/>
              </w:rPr>
            </w:pPr>
            <w:r>
              <w:t>水不溶物w/%≦</w:t>
            </w:r>
          </w:p>
        </w:tc>
        <w:tc>
          <w:tcPr>
            <w:tcW w:w="621" w:type="pct"/>
            <w:shd w:val="clear" w:color="auto" w:fill="auto"/>
            <w:vAlign w:val="center"/>
          </w:tcPr>
          <w:p w14:paraId="0A1FB784">
            <w:pPr>
              <w:pStyle w:val="45"/>
              <w:rPr>
                <w:rFonts w:hint="default"/>
              </w:rPr>
            </w:pPr>
            <w:r>
              <w:t>0.03</w:t>
            </w:r>
          </w:p>
        </w:tc>
        <w:tc>
          <w:tcPr>
            <w:tcW w:w="624" w:type="pct"/>
            <w:shd w:val="clear" w:color="auto" w:fill="auto"/>
            <w:vAlign w:val="center"/>
          </w:tcPr>
          <w:p w14:paraId="64D29306">
            <w:pPr>
              <w:pStyle w:val="45"/>
              <w:rPr>
                <w:rFonts w:hint="default"/>
              </w:rPr>
            </w:pPr>
            <w:r>
              <w:t>0.05</w:t>
            </w:r>
          </w:p>
        </w:tc>
        <w:tc>
          <w:tcPr>
            <w:tcW w:w="621" w:type="pct"/>
            <w:shd w:val="clear" w:color="auto" w:fill="auto"/>
            <w:vAlign w:val="center"/>
          </w:tcPr>
          <w:p w14:paraId="76C6C154">
            <w:pPr>
              <w:pStyle w:val="45"/>
              <w:rPr>
                <w:rFonts w:hint="default"/>
              </w:rPr>
            </w:pPr>
            <w:r>
              <w:t>0.03</w:t>
            </w:r>
          </w:p>
        </w:tc>
        <w:tc>
          <w:tcPr>
            <w:tcW w:w="624" w:type="pct"/>
            <w:shd w:val="clear" w:color="auto" w:fill="auto"/>
            <w:vAlign w:val="center"/>
          </w:tcPr>
          <w:p w14:paraId="17780E32">
            <w:pPr>
              <w:pStyle w:val="45"/>
              <w:rPr>
                <w:rFonts w:hint="default"/>
              </w:rPr>
            </w:pPr>
            <w:r>
              <w:t>0.05</w:t>
            </w:r>
          </w:p>
        </w:tc>
      </w:tr>
      <w:tr w14:paraId="28D31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2508" w:type="pct"/>
            <w:shd w:val="clear" w:color="auto" w:fill="auto"/>
            <w:vAlign w:val="center"/>
          </w:tcPr>
          <w:p w14:paraId="15A422E7">
            <w:pPr>
              <w:pStyle w:val="45"/>
              <w:rPr>
                <w:rFonts w:hint="default"/>
              </w:rPr>
            </w:pPr>
            <w:r>
              <w:t>氯化物（以Cl计）w/%≦</w:t>
            </w:r>
          </w:p>
        </w:tc>
        <w:tc>
          <w:tcPr>
            <w:tcW w:w="621" w:type="pct"/>
            <w:shd w:val="clear" w:color="auto" w:fill="auto"/>
            <w:vAlign w:val="center"/>
          </w:tcPr>
          <w:p w14:paraId="4DECD4D3">
            <w:pPr>
              <w:pStyle w:val="45"/>
              <w:rPr>
                <w:rFonts w:hint="default"/>
              </w:rPr>
            </w:pPr>
            <w:r>
              <w:t>0.05</w:t>
            </w:r>
          </w:p>
        </w:tc>
        <w:tc>
          <w:tcPr>
            <w:tcW w:w="624" w:type="pct"/>
            <w:shd w:val="clear" w:color="auto" w:fill="auto"/>
            <w:vAlign w:val="center"/>
          </w:tcPr>
          <w:p w14:paraId="4F6871C8">
            <w:pPr>
              <w:pStyle w:val="45"/>
              <w:rPr>
                <w:rFonts w:hint="default"/>
              </w:rPr>
            </w:pPr>
            <w:r>
              <w:t>0.06</w:t>
            </w:r>
          </w:p>
        </w:tc>
        <w:tc>
          <w:tcPr>
            <w:tcW w:w="621" w:type="pct"/>
            <w:shd w:val="clear" w:color="auto" w:fill="auto"/>
            <w:vAlign w:val="center"/>
          </w:tcPr>
          <w:p w14:paraId="059BA08E">
            <w:pPr>
              <w:pStyle w:val="45"/>
              <w:rPr>
                <w:rFonts w:hint="default"/>
              </w:rPr>
            </w:pPr>
            <w:r>
              <w:t>0.05</w:t>
            </w:r>
          </w:p>
        </w:tc>
        <w:tc>
          <w:tcPr>
            <w:tcW w:w="624" w:type="pct"/>
            <w:shd w:val="clear" w:color="auto" w:fill="auto"/>
            <w:vAlign w:val="center"/>
          </w:tcPr>
          <w:p w14:paraId="3D8955A1">
            <w:pPr>
              <w:pStyle w:val="45"/>
              <w:rPr>
                <w:rFonts w:hint="default"/>
              </w:rPr>
            </w:pPr>
            <w:r>
              <w:t>0.06</w:t>
            </w:r>
          </w:p>
        </w:tc>
      </w:tr>
      <w:tr w14:paraId="14EC0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2508" w:type="pct"/>
            <w:shd w:val="clear" w:color="auto" w:fill="auto"/>
            <w:vAlign w:val="center"/>
          </w:tcPr>
          <w:p w14:paraId="6140CF0F">
            <w:pPr>
              <w:pStyle w:val="45"/>
              <w:rPr>
                <w:rFonts w:hint="default"/>
              </w:rPr>
            </w:pPr>
            <w:r>
              <w:t>氯酸盐（以Cl计）w/%≦</w:t>
            </w:r>
          </w:p>
        </w:tc>
        <w:tc>
          <w:tcPr>
            <w:tcW w:w="621" w:type="pct"/>
            <w:shd w:val="clear" w:color="auto" w:fill="auto"/>
            <w:vAlign w:val="center"/>
          </w:tcPr>
          <w:p w14:paraId="7A01378F">
            <w:pPr>
              <w:pStyle w:val="45"/>
              <w:rPr>
                <w:rFonts w:hint="default"/>
              </w:rPr>
            </w:pPr>
            <w:r>
              <w:t>0.15</w:t>
            </w:r>
          </w:p>
        </w:tc>
        <w:tc>
          <w:tcPr>
            <w:tcW w:w="624" w:type="pct"/>
            <w:shd w:val="clear" w:color="auto" w:fill="auto"/>
            <w:vAlign w:val="center"/>
          </w:tcPr>
          <w:p w14:paraId="61377DA0">
            <w:pPr>
              <w:pStyle w:val="45"/>
              <w:rPr>
                <w:rFonts w:hint="default"/>
              </w:rPr>
            </w:pPr>
            <w:r>
              <w:t>0.20</w:t>
            </w:r>
          </w:p>
        </w:tc>
        <w:tc>
          <w:tcPr>
            <w:tcW w:w="621" w:type="pct"/>
            <w:shd w:val="clear" w:color="auto" w:fill="auto"/>
            <w:vAlign w:val="center"/>
          </w:tcPr>
          <w:p w14:paraId="75994FA2">
            <w:pPr>
              <w:pStyle w:val="45"/>
              <w:rPr>
                <w:rFonts w:hint="default"/>
              </w:rPr>
            </w:pPr>
            <w:r>
              <w:t>0.15</w:t>
            </w:r>
          </w:p>
        </w:tc>
        <w:tc>
          <w:tcPr>
            <w:tcW w:w="624" w:type="pct"/>
            <w:shd w:val="clear" w:color="auto" w:fill="auto"/>
            <w:vAlign w:val="center"/>
          </w:tcPr>
          <w:p w14:paraId="03F7E5FD">
            <w:pPr>
              <w:pStyle w:val="45"/>
              <w:rPr>
                <w:rFonts w:hint="default"/>
              </w:rPr>
            </w:pPr>
            <w:r>
              <w:t>0.20</w:t>
            </w:r>
          </w:p>
        </w:tc>
      </w:tr>
      <w:tr w14:paraId="0BA8C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508" w:type="pct"/>
            <w:shd w:val="clear" w:color="auto" w:fill="auto"/>
            <w:vAlign w:val="center"/>
          </w:tcPr>
          <w:p w14:paraId="25543F87">
            <w:pPr>
              <w:pStyle w:val="45"/>
              <w:rPr>
                <w:rFonts w:hint="default"/>
              </w:rPr>
            </w:pPr>
            <w:r>
              <w:t>硫酸盐（以SO</w:t>
            </w:r>
            <w:r>
              <w:rPr>
                <w:vertAlign w:val="subscript"/>
              </w:rPr>
              <w:t>4</w:t>
            </w:r>
            <w:r>
              <w:t>计）w/%≦</w:t>
            </w:r>
          </w:p>
        </w:tc>
        <w:tc>
          <w:tcPr>
            <w:tcW w:w="621" w:type="pct"/>
            <w:shd w:val="clear" w:color="auto" w:fill="auto"/>
            <w:vAlign w:val="center"/>
          </w:tcPr>
          <w:p w14:paraId="1AD9A384">
            <w:pPr>
              <w:pStyle w:val="45"/>
              <w:rPr>
                <w:rFonts w:hint="default"/>
              </w:rPr>
            </w:pPr>
            <w:r>
              <w:t>0.03</w:t>
            </w:r>
          </w:p>
        </w:tc>
        <w:tc>
          <w:tcPr>
            <w:tcW w:w="624" w:type="pct"/>
            <w:shd w:val="clear" w:color="auto" w:fill="auto"/>
            <w:vAlign w:val="center"/>
          </w:tcPr>
          <w:p w14:paraId="6F2F93EB">
            <w:pPr>
              <w:pStyle w:val="45"/>
              <w:rPr>
                <w:rFonts w:hint="default"/>
              </w:rPr>
            </w:pPr>
            <w:r>
              <w:t>0.05</w:t>
            </w:r>
          </w:p>
        </w:tc>
        <w:tc>
          <w:tcPr>
            <w:tcW w:w="621" w:type="pct"/>
            <w:shd w:val="clear" w:color="auto" w:fill="auto"/>
            <w:vAlign w:val="center"/>
          </w:tcPr>
          <w:p w14:paraId="48479251">
            <w:pPr>
              <w:pStyle w:val="45"/>
              <w:rPr>
                <w:rFonts w:hint="default"/>
              </w:rPr>
            </w:pPr>
            <w:r>
              <w:t>0.03</w:t>
            </w:r>
          </w:p>
        </w:tc>
        <w:tc>
          <w:tcPr>
            <w:tcW w:w="624" w:type="pct"/>
            <w:shd w:val="clear" w:color="auto" w:fill="auto"/>
            <w:vAlign w:val="center"/>
          </w:tcPr>
          <w:p w14:paraId="2CD96090">
            <w:pPr>
              <w:pStyle w:val="45"/>
              <w:rPr>
                <w:rFonts w:hint="default"/>
              </w:rPr>
            </w:pPr>
            <w:r>
              <w:t>0.05</w:t>
            </w:r>
          </w:p>
        </w:tc>
      </w:tr>
      <w:tr w14:paraId="4E7A7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508" w:type="pct"/>
            <w:shd w:val="clear" w:color="auto" w:fill="auto"/>
            <w:vAlign w:val="center"/>
          </w:tcPr>
          <w:p w14:paraId="18FF8BFC">
            <w:pPr>
              <w:pStyle w:val="45"/>
              <w:rPr>
                <w:rFonts w:hint="default"/>
              </w:rPr>
            </w:pPr>
            <w:r>
              <w:t>铁（Fe）w/%≦</w:t>
            </w:r>
          </w:p>
        </w:tc>
        <w:tc>
          <w:tcPr>
            <w:tcW w:w="621" w:type="pct"/>
            <w:shd w:val="clear" w:color="auto" w:fill="auto"/>
            <w:vAlign w:val="center"/>
          </w:tcPr>
          <w:p w14:paraId="1B510D07">
            <w:pPr>
              <w:pStyle w:val="45"/>
              <w:rPr>
                <w:rFonts w:hint="default"/>
              </w:rPr>
            </w:pPr>
            <w:r>
              <w:t>0.003</w:t>
            </w:r>
          </w:p>
        </w:tc>
        <w:tc>
          <w:tcPr>
            <w:tcW w:w="624" w:type="pct"/>
            <w:shd w:val="clear" w:color="auto" w:fill="auto"/>
            <w:vAlign w:val="center"/>
          </w:tcPr>
          <w:p w14:paraId="2343C87B">
            <w:pPr>
              <w:pStyle w:val="45"/>
              <w:rPr>
                <w:rFonts w:hint="default"/>
              </w:rPr>
            </w:pPr>
            <w:r>
              <w:t>0.005</w:t>
            </w:r>
          </w:p>
        </w:tc>
        <w:tc>
          <w:tcPr>
            <w:tcW w:w="621" w:type="pct"/>
            <w:shd w:val="clear" w:color="auto" w:fill="auto"/>
            <w:vAlign w:val="center"/>
          </w:tcPr>
          <w:p w14:paraId="0CB1BAA7">
            <w:pPr>
              <w:pStyle w:val="45"/>
              <w:rPr>
                <w:rFonts w:hint="default"/>
              </w:rPr>
            </w:pPr>
            <w:r>
              <w:t>0.003</w:t>
            </w:r>
          </w:p>
        </w:tc>
        <w:tc>
          <w:tcPr>
            <w:tcW w:w="624" w:type="pct"/>
            <w:shd w:val="clear" w:color="auto" w:fill="auto"/>
            <w:vAlign w:val="center"/>
          </w:tcPr>
          <w:p w14:paraId="7018EF16">
            <w:pPr>
              <w:pStyle w:val="45"/>
              <w:rPr>
                <w:rFonts w:hint="default"/>
              </w:rPr>
            </w:pPr>
            <w:r>
              <w:t>0.005</w:t>
            </w:r>
          </w:p>
        </w:tc>
      </w:tr>
      <w:tr w14:paraId="116E7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508" w:type="pct"/>
            <w:shd w:val="clear" w:color="auto" w:fill="auto"/>
            <w:vAlign w:val="center"/>
          </w:tcPr>
          <w:p w14:paraId="3DC4E686">
            <w:pPr>
              <w:pStyle w:val="45"/>
              <w:rPr>
                <w:rFonts w:hint="default"/>
              </w:rPr>
            </w:pPr>
            <w:r>
              <w:t>水分w/%≦</w:t>
            </w:r>
          </w:p>
        </w:tc>
        <w:tc>
          <w:tcPr>
            <w:tcW w:w="621" w:type="pct"/>
            <w:shd w:val="clear" w:color="auto" w:fill="auto"/>
            <w:vAlign w:val="center"/>
          </w:tcPr>
          <w:p w14:paraId="79570411">
            <w:pPr>
              <w:pStyle w:val="45"/>
              <w:rPr>
                <w:rFonts w:hint="default"/>
              </w:rPr>
            </w:pPr>
            <w:r>
              <w:t>0.20</w:t>
            </w:r>
          </w:p>
        </w:tc>
        <w:tc>
          <w:tcPr>
            <w:tcW w:w="624" w:type="pct"/>
            <w:shd w:val="clear" w:color="auto" w:fill="auto"/>
            <w:vAlign w:val="center"/>
          </w:tcPr>
          <w:p w14:paraId="62571665">
            <w:pPr>
              <w:pStyle w:val="45"/>
              <w:rPr>
                <w:rFonts w:hint="default"/>
              </w:rPr>
            </w:pPr>
            <w:r>
              <w:t>0.30</w:t>
            </w:r>
          </w:p>
        </w:tc>
        <w:tc>
          <w:tcPr>
            <w:tcW w:w="621" w:type="pct"/>
            <w:shd w:val="clear" w:color="auto" w:fill="auto"/>
            <w:vAlign w:val="center"/>
          </w:tcPr>
          <w:p w14:paraId="7F1375F7">
            <w:pPr>
              <w:pStyle w:val="45"/>
              <w:rPr>
                <w:rFonts w:hint="default"/>
              </w:rPr>
            </w:pPr>
            <w:r>
              <w:t>-</w:t>
            </w:r>
          </w:p>
        </w:tc>
        <w:tc>
          <w:tcPr>
            <w:tcW w:w="624" w:type="pct"/>
            <w:shd w:val="clear" w:color="auto" w:fill="auto"/>
            <w:noWrap/>
            <w:vAlign w:val="center"/>
          </w:tcPr>
          <w:p w14:paraId="2FB4636F">
            <w:pPr>
              <w:pStyle w:val="45"/>
              <w:rPr>
                <w:rFonts w:hint="default"/>
              </w:rPr>
            </w:pPr>
            <w:r>
              <w:t>-</w:t>
            </w:r>
          </w:p>
        </w:tc>
      </w:tr>
      <w:tr w14:paraId="4FF07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5000" w:type="pct"/>
            <w:gridSpan w:val="5"/>
            <w:shd w:val="clear" w:color="auto" w:fill="auto"/>
            <w:vAlign w:val="center"/>
          </w:tcPr>
          <w:p w14:paraId="4E965424">
            <w:pPr>
              <w:pStyle w:val="45"/>
              <w:rPr>
                <w:rFonts w:hint="default"/>
              </w:rPr>
            </w:pPr>
            <w:r>
              <w:t>注：NaClO</w:t>
            </w:r>
            <w:r>
              <w:rPr>
                <w:vertAlign w:val="subscript"/>
              </w:rPr>
              <w:t>4</w:t>
            </w:r>
            <w:r>
              <w:t>·nH</w:t>
            </w:r>
            <w:r>
              <w:rPr>
                <w:vertAlign w:val="subscript"/>
              </w:rPr>
              <w:t>2</w:t>
            </w:r>
            <w:r>
              <w:t>O中n=0或1。</w:t>
            </w:r>
          </w:p>
        </w:tc>
      </w:tr>
    </w:tbl>
    <w:p w14:paraId="57AC8562">
      <w:pPr>
        <w:spacing w:line="240" w:lineRule="auto"/>
        <w:ind w:firstLine="0" w:firstLineChars="0"/>
      </w:pPr>
    </w:p>
    <w:p w14:paraId="65B567C4">
      <w:pPr>
        <w:ind w:firstLine="480"/>
      </w:pPr>
      <w:r>
        <w:rPr>
          <w:rFonts w:hint="eastAsia"/>
        </w:rPr>
        <w:t>高氯酸钾产品质量符合标准《工业高氯酸钾》（GB/T 35760-2017），本项目可生产I 型及II 型产品。</w:t>
      </w:r>
    </w:p>
    <w:p w14:paraId="73DEF608">
      <w:pPr>
        <w:pStyle w:val="43"/>
        <w:rPr>
          <w:rFonts w:hint="default"/>
        </w:rPr>
      </w:pPr>
      <w:r>
        <w:t>高氯酸钾质量标准（HG/T 3247-2017）</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5"/>
        <w:gridCol w:w="2782"/>
        <w:gridCol w:w="1689"/>
        <w:gridCol w:w="1675"/>
        <w:gridCol w:w="1583"/>
      </w:tblGrid>
      <w:tr w14:paraId="21747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677" w:type="dxa"/>
            <w:gridSpan w:val="2"/>
            <w:vMerge w:val="restart"/>
            <w:tcBorders>
              <w:tl2br w:val="nil"/>
              <w:tr2bl w:val="nil"/>
            </w:tcBorders>
            <w:shd w:val="clear" w:color="auto" w:fill="auto"/>
            <w:vAlign w:val="center"/>
          </w:tcPr>
          <w:p w14:paraId="709FC700">
            <w:pPr>
              <w:adjustRightInd/>
              <w:snapToGrid w:val="0"/>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项目</w:t>
            </w:r>
          </w:p>
        </w:tc>
        <w:tc>
          <w:tcPr>
            <w:tcW w:w="4947" w:type="dxa"/>
            <w:gridSpan w:val="3"/>
            <w:tcBorders>
              <w:tl2br w:val="nil"/>
              <w:tr2bl w:val="nil"/>
            </w:tcBorders>
            <w:shd w:val="clear" w:color="auto" w:fill="auto"/>
            <w:vAlign w:val="center"/>
          </w:tcPr>
          <w:p w14:paraId="29D4C9C6">
            <w:pPr>
              <w:adjustRightInd/>
              <w:snapToGrid w:val="0"/>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指标</w:t>
            </w:r>
          </w:p>
        </w:tc>
      </w:tr>
      <w:tr w14:paraId="0B55E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677" w:type="dxa"/>
            <w:gridSpan w:val="2"/>
            <w:vMerge w:val="continue"/>
            <w:tcBorders>
              <w:tl2br w:val="nil"/>
              <w:tr2bl w:val="nil"/>
            </w:tcBorders>
            <w:shd w:val="clear" w:color="auto" w:fill="auto"/>
          </w:tcPr>
          <w:p w14:paraId="782F30E0">
            <w:pPr>
              <w:adjustRightInd/>
              <w:snapToGrid w:val="0"/>
              <w:spacing w:line="240" w:lineRule="auto"/>
              <w:ind w:firstLine="0" w:firstLineChars="0"/>
              <w:jc w:val="center"/>
              <w:rPr>
                <w:rFonts w:cs="Times New Roman"/>
                <w:b/>
                <w:bCs/>
                <w:color w:val="000000"/>
                <w:kern w:val="0"/>
                <w:sz w:val="21"/>
                <w:szCs w:val="21"/>
              </w:rPr>
            </w:pPr>
          </w:p>
        </w:tc>
        <w:tc>
          <w:tcPr>
            <w:tcW w:w="1689" w:type="dxa"/>
            <w:vMerge w:val="restart"/>
            <w:tcBorders>
              <w:tl2br w:val="nil"/>
              <w:tr2bl w:val="nil"/>
            </w:tcBorders>
            <w:shd w:val="clear" w:color="auto" w:fill="auto"/>
          </w:tcPr>
          <w:p w14:paraId="4E9BBFD6">
            <w:pPr>
              <w:adjustRightInd/>
              <w:snapToGrid w:val="0"/>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Ⅰ类</w:t>
            </w:r>
          </w:p>
        </w:tc>
        <w:tc>
          <w:tcPr>
            <w:tcW w:w="3258" w:type="dxa"/>
            <w:gridSpan w:val="2"/>
            <w:tcBorders>
              <w:tl2br w:val="nil"/>
              <w:tr2bl w:val="nil"/>
            </w:tcBorders>
            <w:shd w:val="clear" w:color="auto" w:fill="auto"/>
          </w:tcPr>
          <w:p w14:paraId="2122D8EA">
            <w:pPr>
              <w:adjustRightInd/>
              <w:snapToGrid w:val="0"/>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Ⅱ类</w:t>
            </w:r>
          </w:p>
        </w:tc>
      </w:tr>
      <w:tr w14:paraId="00F48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677" w:type="dxa"/>
            <w:gridSpan w:val="2"/>
            <w:vMerge w:val="continue"/>
            <w:tcBorders>
              <w:tl2br w:val="nil"/>
              <w:tr2bl w:val="nil"/>
            </w:tcBorders>
            <w:shd w:val="clear" w:color="auto" w:fill="auto"/>
          </w:tcPr>
          <w:p w14:paraId="3C0B9A5A">
            <w:pPr>
              <w:adjustRightInd/>
              <w:snapToGrid w:val="0"/>
              <w:spacing w:line="240" w:lineRule="auto"/>
              <w:ind w:firstLine="0" w:firstLineChars="0"/>
              <w:jc w:val="center"/>
              <w:rPr>
                <w:rFonts w:cs="Times New Roman"/>
                <w:b/>
                <w:bCs/>
                <w:color w:val="000000"/>
                <w:kern w:val="0"/>
                <w:sz w:val="21"/>
                <w:szCs w:val="21"/>
              </w:rPr>
            </w:pPr>
          </w:p>
        </w:tc>
        <w:tc>
          <w:tcPr>
            <w:tcW w:w="1689" w:type="dxa"/>
            <w:vMerge w:val="continue"/>
            <w:tcBorders>
              <w:tl2br w:val="nil"/>
              <w:tr2bl w:val="nil"/>
            </w:tcBorders>
            <w:shd w:val="clear" w:color="auto" w:fill="auto"/>
          </w:tcPr>
          <w:p w14:paraId="7B5D102E">
            <w:pPr>
              <w:adjustRightInd/>
              <w:snapToGrid w:val="0"/>
              <w:spacing w:line="240" w:lineRule="auto"/>
              <w:ind w:firstLine="0" w:firstLineChars="0"/>
              <w:jc w:val="center"/>
              <w:rPr>
                <w:rFonts w:cs="Times New Roman"/>
                <w:b/>
                <w:bCs/>
                <w:color w:val="000000"/>
                <w:kern w:val="0"/>
                <w:sz w:val="21"/>
                <w:szCs w:val="21"/>
              </w:rPr>
            </w:pPr>
          </w:p>
        </w:tc>
        <w:tc>
          <w:tcPr>
            <w:tcW w:w="1675" w:type="dxa"/>
            <w:tcBorders>
              <w:tl2br w:val="nil"/>
              <w:tr2bl w:val="nil"/>
            </w:tcBorders>
            <w:shd w:val="clear" w:color="auto" w:fill="auto"/>
          </w:tcPr>
          <w:p w14:paraId="331D0271">
            <w:pPr>
              <w:adjustRightInd/>
              <w:snapToGrid w:val="0"/>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一等品</w:t>
            </w:r>
          </w:p>
        </w:tc>
        <w:tc>
          <w:tcPr>
            <w:tcW w:w="1583" w:type="dxa"/>
            <w:tcBorders>
              <w:tl2br w:val="nil"/>
              <w:tr2bl w:val="nil"/>
            </w:tcBorders>
            <w:shd w:val="clear" w:color="auto" w:fill="auto"/>
          </w:tcPr>
          <w:p w14:paraId="44A59C1D">
            <w:pPr>
              <w:adjustRightInd/>
              <w:snapToGrid w:val="0"/>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合格品</w:t>
            </w:r>
          </w:p>
        </w:tc>
      </w:tr>
      <w:tr w14:paraId="12B85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677" w:type="dxa"/>
            <w:gridSpan w:val="2"/>
            <w:tcBorders>
              <w:tl2br w:val="nil"/>
              <w:tr2bl w:val="nil"/>
            </w:tcBorders>
            <w:shd w:val="clear" w:color="auto" w:fill="auto"/>
          </w:tcPr>
          <w:p w14:paraId="424BFD80">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高氯酸钾（</w:t>
            </w:r>
            <w:r>
              <w:rPr>
                <w:rFonts w:cs="Times New Roman"/>
                <w:color w:val="000000"/>
                <w:kern w:val="0"/>
                <w:sz w:val="21"/>
                <w:szCs w:val="20"/>
              </w:rPr>
              <w:t>KClO</w:t>
            </w:r>
            <w:r>
              <w:rPr>
                <w:rFonts w:cs="Times New Roman"/>
                <w:color w:val="000000"/>
                <w:kern w:val="0"/>
                <w:sz w:val="21"/>
                <w:szCs w:val="21"/>
                <w:vertAlign w:val="subscript"/>
              </w:rPr>
              <w:t>4</w:t>
            </w:r>
            <w:r>
              <w:rPr>
                <w:rFonts w:cs="Times New Roman"/>
                <w:color w:val="000000"/>
                <w:kern w:val="0"/>
                <w:sz w:val="21"/>
                <w:szCs w:val="21"/>
              </w:rPr>
              <w:t>）w/%≧</w:t>
            </w:r>
          </w:p>
        </w:tc>
        <w:tc>
          <w:tcPr>
            <w:tcW w:w="1689" w:type="dxa"/>
            <w:tcBorders>
              <w:tl2br w:val="nil"/>
              <w:tr2bl w:val="nil"/>
            </w:tcBorders>
            <w:shd w:val="clear" w:color="auto" w:fill="auto"/>
          </w:tcPr>
          <w:p w14:paraId="50F0D293">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99.2</w:t>
            </w:r>
          </w:p>
        </w:tc>
        <w:tc>
          <w:tcPr>
            <w:tcW w:w="1675" w:type="dxa"/>
            <w:tcBorders>
              <w:tl2br w:val="nil"/>
              <w:tr2bl w:val="nil"/>
            </w:tcBorders>
            <w:shd w:val="clear" w:color="auto" w:fill="auto"/>
          </w:tcPr>
          <w:p w14:paraId="706EAE66">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99.0</w:t>
            </w:r>
          </w:p>
        </w:tc>
        <w:tc>
          <w:tcPr>
            <w:tcW w:w="1583" w:type="dxa"/>
            <w:tcBorders>
              <w:tl2br w:val="nil"/>
              <w:tr2bl w:val="nil"/>
            </w:tcBorders>
            <w:shd w:val="clear" w:color="auto" w:fill="auto"/>
          </w:tcPr>
          <w:p w14:paraId="4816A51E">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98.</w:t>
            </w:r>
            <w:r>
              <w:rPr>
                <w:rFonts w:hint="eastAsia" w:cs="Times New Roman"/>
                <w:color w:val="000000"/>
                <w:kern w:val="0"/>
                <w:sz w:val="21"/>
                <w:szCs w:val="21"/>
              </w:rPr>
              <w:t>5</w:t>
            </w:r>
          </w:p>
        </w:tc>
      </w:tr>
      <w:tr w14:paraId="756F2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677" w:type="dxa"/>
            <w:gridSpan w:val="2"/>
            <w:tcBorders>
              <w:tl2br w:val="nil"/>
              <w:tr2bl w:val="nil"/>
            </w:tcBorders>
            <w:shd w:val="clear" w:color="auto" w:fill="auto"/>
          </w:tcPr>
          <w:p w14:paraId="2CFE9B5F">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水分w/%≦</w:t>
            </w:r>
          </w:p>
        </w:tc>
        <w:tc>
          <w:tcPr>
            <w:tcW w:w="1689" w:type="dxa"/>
            <w:tcBorders>
              <w:tl2br w:val="nil"/>
              <w:tr2bl w:val="nil"/>
            </w:tcBorders>
            <w:shd w:val="clear" w:color="auto" w:fill="auto"/>
          </w:tcPr>
          <w:p w14:paraId="72894296">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0.02</w:t>
            </w:r>
          </w:p>
        </w:tc>
        <w:tc>
          <w:tcPr>
            <w:tcW w:w="1675" w:type="dxa"/>
            <w:tcBorders>
              <w:tl2br w:val="nil"/>
              <w:tr2bl w:val="nil"/>
            </w:tcBorders>
            <w:shd w:val="clear" w:color="auto" w:fill="auto"/>
          </w:tcPr>
          <w:p w14:paraId="30F1784F">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0.03</w:t>
            </w:r>
          </w:p>
        </w:tc>
        <w:tc>
          <w:tcPr>
            <w:tcW w:w="1583" w:type="dxa"/>
            <w:tcBorders>
              <w:tl2br w:val="nil"/>
              <w:tr2bl w:val="nil"/>
            </w:tcBorders>
            <w:shd w:val="clear" w:color="auto" w:fill="auto"/>
          </w:tcPr>
          <w:p w14:paraId="7A676696">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0.05</w:t>
            </w:r>
          </w:p>
        </w:tc>
      </w:tr>
      <w:tr w14:paraId="2490C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677" w:type="dxa"/>
            <w:gridSpan w:val="2"/>
            <w:tcBorders>
              <w:tl2br w:val="nil"/>
              <w:tr2bl w:val="nil"/>
            </w:tcBorders>
            <w:shd w:val="clear" w:color="auto" w:fill="auto"/>
          </w:tcPr>
          <w:p w14:paraId="4B4E6A52">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氯化物（以KCl计）w/%≦</w:t>
            </w:r>
          </w:p>
        </w:tc>
        <w:tc>
          <w:tcPr>
            <w:tcW w:w="1689" w:type="dxa"/>
            <w:tcBorders>
              <w:tl2br w:val="nil"/>
              <w:tr2bl w:val="nil"/>
            </w:tcBorders>
            <w:shd w:val="clear" w:color="auto" w:fill="auto"/>
          </w:tcPr>
          <w:p w14:paraId="53D5C5C0">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0.05</w:t>
            </w:r>
          </w:p>
        </w:tc>
        <w:tc>
          <w:tcPr>
            <w:tcW w:w="1675" w:type="dxa"/>
            <w:tcBorders>
              <w:tl2br w:val="nil"/>
              <w:tr2bl w:val="nil"/>
            </w:tcBorders>
            <w:shd w:val="clear" w:color="auto" w:fill="auto"/>
          </w:tcPr>
          <w:p w14:paraId="240B3BB3">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0.10</w:t>
            </w:r>
          </w:p>
        </w:tc>
        <w:tc>
          <w:tcPr>
            <w:tcW w:w="1583" w:type="dxa"/>
            <w:tcBorders>
              <w:tl2br w:val="nil"/>
              <w:tr2bl w:val="nil"/>
            </w:tcBorders>
            <w:shd w:val="clear" w:color="auto" w:fill="auto"/>
          </w:tcPr>
          <w:p w14:paraId="14C92508">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0.15</w:t>
            </w:r>
          </w:p>
        </w:tc>
      </w:tr>
      <w:tr w14:paraId="2DFC9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677" w:type="dxa"/>
            <w:gridSpan w:val="2"/>
            <w:tcBorders>
              <w:tl2br w:val="nil"/>
              <w:tr2bl w:val="nil"/>
            </w:tcBorders>
            <w:shd w:val="clear" w:color="auto" w:fill="auto"/>
          </w:tcPr>
          <w:p w14:paraId="32BCFE8F">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氯酸盐（以</w:t>
            </w:r>
            <w:r>
              <w:rPr>
                <w:rFonts w:cs="Times New Roman"/>
                <w:color w:val="000000"/>
                <w:kern w:val="0"/>
                <w:sz w:val="21"/>
                <w:szCs w:val="20"/>
              </w:rPr>
              <w:t>KClO</w:t>
            </w:r>
            <w:r>
              <w:rPr>
                <w:rFonts w:cs="Times New Roman"/>
                <w:color w:val="000000"/>
                <w:kern w:val="0"/>
                <w:sz w:val="21"/>
                <w:szCs w:val="20"/>
                <w:vertAlign w:val="subscript"/>
              </w:rPr>
              <w:t>3</w:t>
            </w:r>
            <w:r>
              <w:rPr>
                <w:rFonts w:cs="Times New Roman"/>
                <w:color w:val="000000"/>
                <w:kern w:val="0"/>
                <w:sz w:val="21"/>
                <w:szCs w:val="21"/>
              </w:rPr>
              <w:t>计）w/%≦</w:t>
            </w:r>
          </w:p>
        </w:tc>
        <w:tc>
          <w:tcPr>
            <w:tcW w:w="1689" w:type="dxa"/>
            <w:tcBorders>
              <w:tl2br w:val="nil"/>
              <w:tr2bl w:val="nil"/>
            </w:tcBorders>
            <w:shd w:val="clear" w:color="auto" w:fill="auto"/>
          </w:tcPr>
          <w:p w14:paraId="46BC8F14">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0.05</w:t>
            </w:r>
          </w:p>
        </w:tc>
        <w:tc>
          <w:tcPr>
            <w:tcW w:w="1675" w:type="dxa"/>
            <w:tcBorders>
              <w:tl2br w:val="nil"/>
              <w:tr2bl w:val="nil"/>
            </w:tcBorders>
            <w:shd w:val="clear" w:color="auto" w:fill="auto"/>
          </w:tcPr>
          <w:p w14:paraId="2378C552">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0.15</w:t>
            </w:r>
          </w:p>
        </w:tc>
        <w:tc>
          <w:tcPr>
            <w:tcW w:w="1583" w:type="dxa"/>
            <w:tcBorders>
              <w:tl2br w:val="nil"/>
              <w:tr2bl w:val="nil"/>
            </w:tcBorders>
            <w:shd w:val="clear" w:color="auto" w:fill="auto"/>
          </w:tcPr>
          <w:p w14:paraId="2F57C23B">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0.45</w:t>
            </w:r>
          </w:p>
        </w:tc>
      </w:tr>
      <w:tr w14:paraId="6C4D0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677" w:type="dxa"/>
            <w:gridSpan w:val="2"/>
            <w:tcBorders>
              <w:tl2br w:val="nil"/>
              <w:tr2bl w:val="nil"/>
            </w:tcBorders>
            <w:shd w:val="clear" w:color="auto" w:fill="auto"/>
          </w:tcPr>
          <w:p w14:paraId="537980D8">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次氯酸盐</w:t>
            </w:r>
          </w:p>
        </w:tc>
        <w:tc>
          <w:tcPr>
            <w:tcW w:w="1689" w:type="dxa"/>
            <w:tcBorders>
              <w:tl2br w:val="nil"/>
              <w:tr2bl w:val="nil"/>
            </w:tcBorders>
            <w:shd w:val="clear" w:color="auto" w:fill="auto"/>
          </w:tcPr>
          <w:p w14:paraId="6A5F5177">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通过试验</w:t>
            </w:r>
          </w:p>
        </w:tc>
        <w:tc>
          <w:tcPr>
            <w:tcW w:w="1675" w:type="dxa"/>
            <w:tcBorders>
              <w:tl2br w:val="nil"/>
              <w:tr2bl w:val="nil"/>
            </w:tcBorders>
            <w:shd w:val="clear" w:color="auto" w:fill="auto"/>
          </w:tcPr>
          <w:p w14:paraId="7C15D08D">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通过试验</w:t>
            </w:r>
          </w:p>
        </w:tc>
        <w:tc>
          <w:tcPr>
            <w:tcW w:w="1583" w:type="dxa"/>
            <w:tcBorders>
              <w:tl2br w:val="nil"/>
              <w:tr2bl w:val="nil"/>
            </w:tcBorders>
            <w:shd w:val="clear" w:color="auto" w:fill="auto"/>
          </w:tcPr>
          <w:p w14:paraId="01D79CBA">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通过试验</w:t>
            </w:r>
          </w:p>
        </w:tc>
      </w:tr>
      <w:tr w14:paraId="7DCE0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677" w:type="dxa"/>
            <w:gridSpan w:val="2"/>
            <w:tcBorders>
              <w:tl2br w:val="nil"/>
              <w:tr2bl w:val="nil"/>
            </w:tcBorders>
            <w:shd w:val="clear" w:color="auto" w:fill="auto"/>
          </w:tcPr>
          <w:p w14:paraId="6493E566">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溴酸盐（以</w:t>
            </w:r>
            <w:r>
              <w:rPr>
                <w:rFonts w:cs="Times New Roman"/>
                <w:color w:val="000000"/>
                <w:kern w:val="0"/>
                <w:sz w:val="21"/>
                <w:szCs w:val="20"/>
              </w:rPr>
              <w:t>KBrO</w:t>
            </w:r>
            <w:r>
              <w:rPr>
                <w:rFonts w:cs="Times New Roman"/>
                <w:color w:val="000000"/>
                <w:kern w:val="0"/>
                <w:sz w:val="21"/>
                <w:szCs w:val="20"/>
                <w:vertAlign w:val="subscript"/>
              </w:rPr>
              <w:t>3</w:t>
            </w:r>
            <w:r>
              <w:rPr>
                <w:rFonts w:cs="Times New Roman"/>
                <w:color w:val="000000"/>
                <w:kern w:val="0"/>
                <w:sz w:val="21"/>
                <w:szCs w:val="21"/>
              </w:rPr>
              <w:t>计）w/%≦</w:t>
            </w:r>
          </w:p>
        </w:tc>
        <w:tc>
          <w:tcPr>
            <w:tcW w:w="1689" w:type="dxa"/>
            <w:tcBorders>
              <w:tl2br w:val="nil"/>
              <w:tr2bl w:val="nil"/>
            </w:tcBorders>
            <w:shd w:val="clear" w:color="auto" w:fill="auto"/>
          </w:tcPr>
          <w:p w14:paraId="76647F2F">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0.02</w:t>
            </w:r>
          </w:p>
        </w:tc>
        <w:tc>
          <w:tcPr>
            <w:tcW w:w="1675" w:type="dxa"/>
            <w:tcBorders>
              <w:tl2br w:val="nil"/>
              <w:tr2bl w:val="nil"/>
            </w:tcBorders>
            <w:shd w:val="clear" w:color="auto" w:fill="auto"/>
          </w:tcPr>
          <w:p w14:paraId="5F11585F">
            <w:pPr>
              <w:adjustRightInd/>
              <w:spacing w:line="240" w:lineRule="auto"/>
              <w:ind w:firstLine="0" w:firstLineChars="0"/>
              <w:jc w:val="center"/>
              <w:rPr>
                <w:rFonts w:cs="Times New Roman"/>
                <w:color w:val="000000"/>
                <w:sz w:val="21"/>
                <w:szCs w:val="21"/>
              </w:rPr>
            </w:pPr>
            <w:r>
              <w:rPr>
                <w:rFonts w:cs="Times New Roman"/>
                <w:color w:val="000000"/>
                <w:sz w:val="21"/>
                <w:szCs w:val="21"/>
              </w:rPr>
              <w:t>-</w:t>
            </w:r>
          </w:p>
        </w:tc>
        <w:tc>
          <w:tcPr>
            <w:tcW w:w="1583" w:type="dxa"/>
            <w:tcBorders>
              <w:tl2br w:val="nil"/>
              <w:tr2bl w:val="nil"/>
            </w:tcBorders>
            <w:shd w:val="clear" w:color="auto" w:fill="auto"/>
          </w:tcPr>
          <w:p w14:paraId="369633EF">
            <w:pPr>
              <w:adjustRightInd/>
              <w:spacing w:line="240" w:lineRule="auto"/>
              <w:ind w:firstLine="0" w:firstLineChars="0"/>
              <w:jc w:val="center"/>
              <w:rPr>
                <w:rFonts w:cs="Times New Roman"/>
                <w:color w:val="000000"/>
                <w:sz w:val="21"/>
                <w:szCs w:val="21"/>
              </w:rPr>
            </w:pPr>
            <w:r>
              <w:rPr>
                <w:rFonts w:cs="Times New Roman"/>
                <w:color w:val="000000"/>
                <w:sz w:val="21"/>
                <w:szCs w:val="21"/>
              </w:rPr>
              <w:t>-</w:t>
            </w:r>
          </w:p>
        </w:tc>
      </w:tr>
      <w:tr w14:paraId="6EBB2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677" w:type="dxa"/>
            <w:gridSpan w:val="2"/>
            <w:tcBorders>
              <w:tl2br w:val="nil"/>
              <w:tr2bl w:val="nil"/>
            </w:tcBorders>
            <w:shd w:val="clear" w:color="auto" w:fill="auto"/>
          </w:tcPr>
          <w:p w14:paraId="7982AC69">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钠（以</w:t>
            </w:r>
            <w:r>
              <w:rPr>
                <w:rFonts w:cs="Times New Roman"/>
                <w:color w:val="000000"/>
                <w:kern w:val="0"/>
                <w:sz w:val="21"/>
                <w:szCs w:val="20"/>
              </w:rPr>
              <w:t>NaClO</w:t>
            </w:r>
            <w:r>
              <w:rPr>
                <w:rFonts w:cs="Times New Roman"/>
                <w:color w:val="000000"/>
                <w:kern w:val="0"/>
                <w:sz w:val="21"/>
                <w:szCs w:val="20"/>
                <w:vertAlign w:val="subscript"/>
              </w:rPr>
              <w:t>4</w:t>
            </w:r>
            <w:r>
              <w:rPr>
                <w:rFonts w:cs="Times New Roman"/>
                <w:color w:val="000000"/>
                <w:kern w:val="0"/>
                <w:sz w:val="21"/>
                <w:szCs w:val="21"/>
              </w:rPr>
              <w:t>计）w/%≦</w:t>
            </w:r>
          </w:p>
        </w:tc>
        <w:tc>
          <w:tcPr>
            <w:tcW w:w="1689" w:type="dxa"/>
            <w:tcBorders>
              <w:tl2br w:val="nil"/>
              <w:tr2bl w:val="nil"/>
            </w:tcBorders>
            <w:shd w:val="clear" w:color="auto" w:fill="auto"/>
          </w:tcPr>
          <w:p w14:paraId="5FCF3C28">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0.20</w:t>
            </w:r>
          </w:p>
        </w:tc>
        <w:tc>
          <w:tcPr>
            <w:tcW w:w="1675" w:type="dxa"/>
            <w:tcBorders>
              <w:tl2br w:val="nil"/>
              <w:tr2bl w:val="nil"/>
            </w:tcBorders>
            <w:shd w:val="clear" w:color="auto" w:fill="auto"/>
          </w:tcPr>
          <w:p w14:paraId="7BABFA94">
            <w:pPr>
              <w:adjustRightInd/>
              <w:spacing w:line="240" w:lineRule="auto"/>
              <w:ind w:firstLine="0" w:firstLineChars="0"/>
              <w:jc w:val="center"/>
              <w:rPr>
                <w:rFonts w:cs="Times New Roman"/>
                <w:color w:val="000000"/>
                <w:sz w:val="21"/>
                <w:szCs w:val="21"/>
              </w:rPr>
            </w:pPr>
            <w:r>
              <w:rPr>
                <w:rFonts w:cs="Times New Roman"/>
                <w:color w:val="000000"/>
                <w:sz w:val="21"/>
                <w:szCs w:val="21"/>
              </w:rPr>
              <w:t>-</w:t>
            </w:r>
          </w:p>
        </w:tc>
        <w:tc>
          <w:tcPr>
            <w:tcW w:w="1583" w:type="dxa"/>
            <w:tcBorders>
              <w:tl2br w:val="nil"/>
              <w:tr2bl w:val="nil"/>
            </w:tcBorders>
            <w:shd w:val="clear" w:color="auto" w:fill="auto"/>
          </w:tcPr>
          <w:p w14:paraId="537C9355">
            <w:pPr>
              <w:adjustRightInd/>
              <w:spacing w:line="240" w:lineRule="auto"/>
              <w:ind w:firstLine="0" w:firstLineChars="0"/>
              <w:jc w:val="center"/>
              <w:rPr>
                <w:rFonts w:cs="Times New Roman"/>
                <w:color w:val="000000"/>
                <w:sz w:val="21"/>
                <w:szCs w:val="21"/>
              </w:rPr>
            </w:pPr>
            <w:r>
              <w:rPr>
                <w:rFonts w:cs="Times New Roman"/>
                <w:color w:val="000000"/>
                <w:sz w:val="21"/>
                <w:szCs w:val="21"/>
              </w:rPr>
              <w:t>-</w:t>
            </w:r>
          </w:p>
        </w:tc>
      </w:tr>
      <w:tr w14:paraId="04BF9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677" w:type="dxa"/>
            <w:gridSpan w:val="2"/>
            <w:tcBorders>
              <w:tl2br w:val="nil"/>
              <w:tr2bl w:val="nil"/>
            </w:tcBorders>
            <w:shd w:val="clear" w:color="auto" w:fill="auto"/>
          </w:tcPr>
          <w:p w14:paraId="76012D79">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钙镁盐（以CaO和MgO计）w/%≦</w:t>
            </w:r>
          </w:p>
        </w:tc>
        <w:tc>
          <w:tcPr>
            <w:tcW w:w="1689" w:type="dxa"/>
            <w:tcBorders>
              <w:tl2br w:val="nil"/>
              <w:tr2bl w:val="nil"/>
            </w:tcBorders>
            <w:shd w:val="clear" w:color="auto" w:fill="auto"/>
          </w:tcPr>
          <w:p w14:paraId="104D4DA3">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0.20</w:t>
            </w:r>
          </w:p>
        </w:tc>
        <w:tc>
          <w:tcPr>
            <w:tcW w:w="1675" w:type="dxa"/>
            <w:tcBorders>
              <w:tl2br w:val="nil"/>
              <w:tr2bl w:val="nil"/>
            </w:tcBorders>
            <w:shd w:val="clear" w:color="auto" w:fill="auto"/>
          </w:tcPr>
          <w:p w14:paraId="7692224F">
            <w:pPr>
              <w:adjustRightInd/>
              <w:spacing w:line="240" w:lineRule="auto"/>
              <w:ind w:firstLine="0" w:firstLineChars="0"/>
              <w:jc w:val="center"/>
              <w:rPr>
                <w:rFonts w:cs="Times New Roman"/>
                <w:color w:val="000000"/>
                <w:sz w:val="21"/>
                <w:szCs w:val="21"/>
              </w:rPr>
            </w:pPr>
            <w:r>
              <w:rPr>
                <w:rFonts w:cs="Times New Roman"/>
                <w:color w:val="000000"/>
                <w:sz w:val="21"/>
                <w:szCs w:val="21"/>
              </w:rPr>
              <w:t>-</w:t>
            </w:r>
          </w:p>
        </w:tc>
        <w:tc>
          <w:tcPr>
            <w:tcW w:w="1583" w:type="dxa"/>
            <w:tcBorders>
              <w:tl2br w:val="nil"/>
              <w:tr2bl w:val="nil"/>
            </w:tcBorders>
            <w:shd w:val="clear" w:color="auto" w:fill="auto"/>
          </w:tcPr>
          <w:p w14:paraId="581B3DA3">
            <w:pPr>
              <w:adjustRightInd/>
              <w:spacing w:line="240" w:lineRule="auto"/>
              <w:ind w:firstLine="0" w:firstLineChars="0"/>
              <w:jc w:val="center"/>
              <w:rPr>
                <w:rFonts w:cs="Times New Roman"/>
                <w:color w:val="000000"/>
                <w:sz w:val="21"/>
                <w:szCs w:val="21"/>
              </w:rPr>
            </w:pPr>
            <w:r>
              <w:rPr>
                <w:rFonts w:cs="Times New Roman"/>
                <w:color w:val="000000"/>
                <w:sz w:val="21"/>
                <w:szCs w:val="21"/>
              </w:rPr>
              <w:t>-</w:t>
            </w:r>
          </w:p>
        </w:tc>
      </w:tr>
      <w:tr w14:paraId="287CC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677" w:type="dxa"/>
            <w:gridSpan w:val="2"/>
            <w:tcBorders>
              <w:tl2br w:val="nil"/>
              <w:tr2bl w:val="nil"/>
            </w:tcBorders>
            <w:shd w:val="clear" w:color="auto" w:fill="auto"/>
          </w:tcPr>
          <w:p w14:paraId="792FB01F">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水不溶物w/%≦</w:t>
            </w:r>
          </w:p>
        </w:tc>
        <w:tc>
          <w:tcPr>
            <w:tcW w:w="1689" w:type="dxa"/>
            <w:tcBorders>
              <w:tl2br w:val="nil"/>
              <w:tr2bl w:val="nil"/>
            </w:tcBorders>
            <w:shd w:val="clear" w:color="auto" w:fill="auto"/>
          </w:tcPr>
          <w:p w14:paraId="07E94D44">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0.01</w:t>
            </w:r>
          </w:p>
        </w:tc>
        <w:tc>
          <w:tcPr>
            <w:tcW w:w="1675" w:type="dxa"/>
            <w:tcBorders>
              <w:tl2br w:val="nil"/>
              <w:tr2bl w:val="nil"/>
            </w:tcBorders>
            <w:shd w:val="clear" w:color="auto" w:fill="auto"/>
          </w:tcPr>
          <w:p w14:paraId="0718A1EC">
            <w:pPr>
              <w:adjustRightInd/>
              <w:spacing w:line="240" w:lineRule="auto"/>
              <w:ind w:firstLine="0" w:firstLineChars="0"/>
              <w:jc w:val="center"/>
              <w:rPr>
                <w:rFonts w:cs="Times New Roman"/>
                <w:color w:val="000000"/>
                <w:sz w:val="21"/>
                <w:szCs w:val="21"/>
              </w:rPr>
            </w:pPr>
            <w:r>
              <w:rPr>
                <w:rFonts w:cs="Times New Roman"/>
                <w:color w:val="000000"/>
                <w:sz w:val="21"/>
                <w:szCs w:val="21"/>
              </w:rPr>
              <w:t>-</w:t>
            </w:r>
          </w:p>
        </w:tc>
        <w:tc>
          <w:tcPr>
            <w:tcW w:w="1583" w:type="dxa"/>
            <w:tcBorders>
              <w:tl2br w:val="nil"/>
              <w:tr2bl w:val="nil"/>
            </w:tcBorders>
            <w:shd w:val="clear" w:color="auto" w:fill="auto"/>
          </w:tcPr>
          <w:p w14:paraId="15D03943">
            <w:pPr>
              <w:adjustRightInd/>
              <w:spacing w:line="240" w:lineRule="auto"/>
              <w:ind w:firstLine="0" w:firstLineChars="0"/>
              <w:jc w:val="center"/>
              <w:rPr>
                <w:rFonts w:cs="Times New Roman"/>
                <w:color w:val="000000"/>
                <w:sz w:val="21"/>
                <w:szCs w:val="21"/>
              </w:rPr>
            </w:pPr>
            <w:r>
              <w:rPr>
                <w:rFonts w:cs="Times New Roman"/>
                <w:color w:val="000000"/>
                <w:sz w:val="21"/>
                <w:szCs w:val="21"/>
              </w:rPr>
              <w:t>-</w:t>
            </w:r>
          </w:p>
        </w:tc>
      </w:tr>
      <w:tr w14:paraId="6D289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677" w:type="dxa"/>
            <w:gridSpan w:val="2"/>
            <w:tcBorders>
              <w:tl2br w:val="nil"/>
              <w:tr2bl w:val="nil"/>
            </w:tcBorders>
            <w:shd w:val="clear" w:color="auto" w:fill="auto"/>
          </w:tcPr>
          <w:p w14:paraId="4A71A159">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铁（Fe）w/%≦</w:t>
            </w:r>
          </w:p>
        </w:tc>
        <w:tc>
          <w:tcPr>
            <w:tcW w:w="1689" w:type="dxa"/>
            <w:tcBorders>
              <w:tl2br w:val="nil"/>
              <w:tr2bl w:val="nil"/>
            </w:tcBorders>
            <w:shd w:val="clear" w:color="auto" w:fill="auto"/>
          </w:tcPr>
          <w:p w14:paraId="2BD05F1D">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0.002</w:t>
            </w:r>
          </w:p>
        </w:tc>
        <w:tc>
          <w:tcPr>
            <w:tcW w:w="1675" w:type="dxa"/>
            <w:tcBorders>
              <w:tl2br w:val="nil"/>
              <w:tr2bl w:val="nil"/>
            </w:tcBorders>
            <w:shd w:val="clear" w:color="auto" w:fill="auto"/>
          </w:tcPr>
          <w:p w14:paraId="6767867B">
            <w:pPr>
              <w:adjustRightInd/>
              <w:spacing w:line="240" w:lineRule="auto"/>
              <w:ind w:firstLine="0" w:firstLineChars="0"/>
              <w:jc w:val="center"/>
              <w:rPr>
                <w:rFonts w:cs="Times New Roman"/>
                <w:color w:val="000000"/>
                <w:sz w:val="21"/>
                <w:szCs w:val="21"/>
              </w:rPr>
            </w:pPr>
            <w:r>
              <w:rPr>
                <w:rFonts w:cs="Times New Roman"/>
                <w:color w:val="000000"/>
                <w:sz w:val="21"/>
                <w:szCs w:val="21"/>
              </w:rPr>
              <w:t>-</w:t>
            </w:r>
          </w:p>
        </w:tc>
        <w:tc>
          <w:tcPr>
            <w:tcW w:w="1583" w:type="dxa"/>
            <w:tcBorders>
              <w:tl2br w:val="nil"/>
              <w:tr2bl w:val="nil"/>
            </w:tcBorders>
            <w:shd w:val="clear" w:color="auto" w:fill="auto"/>
          </w:tcPr>
          <w:p w14:paraId="379BBBCD">
            <w:pPr>
              <w:adjustRightInd/>
              <w:spacing w:line="240" w:lineRule="auto"/>
              <w:ind w:firstLine="0" w:firstLineChars="0"/>
              <w:jc w:val="center"/>
              <w:rPr>
                <w:rFonts w:cs="Times New Roman"/>
                <w:color w:val="000000"/>
                <w:sz w:val="21"/>
                <w:szCs w:val="21"/>
              </w:rPr>
            </w:pPr>
            <w:r>
              <w:rPr>
                <w:rFonts w:cs="Times New Roman"/>
                <w:color w:val="000000"/>
                <w:sz w:val="21"/>
                <w:szCs w:val="21"/>
              </w:rPr>
              <w:t>-</w:t>
            </w:r>
          </w:p>
        </w:tc>
      </w:tr>
      <w:tr w14:paraId="021E1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677" w:type="dxa"/>
            <w:gridSpan w:val="2"/>
            <w:tcBorders>
              <w:tl2br w:val="nil"/>
              <w:tr2bl w:val="nil"/>
            </w:tcBorders>
            <w:shd w:val="clear" w:color="auto" w:fill="auto"/>
          </w:tcPr>
          <w:p w14:paraId="38EC22E9">
            <w:pPr>
              <w:adjustRightInd/>
              <w:snapToGrid w:val="0"/>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lang w:val="en-US" w:eastAsia="zh-CN"/>
              </w:rPr>
              <w:t>p</w:t>
            </w:r>
            <w:r>
              <w:rPr>
                <w:rFonts w:cs="Times New Roman"/>
                <w:color w:val="000000"/>
                <w:kern w:val="0"/>
                <w:sz w:val="21"/>
                <w:szCs w:val="21"/>
              </w:rPr>
              <w:t>H</w:t>
            </w:r>
          </w:p>
        </w:tc>
        <w:tc>
          <w:tcPr>
            <w:tcW w:w="1689" w:type="dxa"/>
            <w:tcBorders>
              <w:tl2br w:val="nil"/>
              <w:tr2bl w:val="nil"/>
            </w:tcBorders>
            <w:shd w:val="clear" w:color="auto" w:fill="auto"/>
          </w:tcPr>
          <w:p w14:paraId="568EDA3C">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7.0±1.5</w:t>
            </w:r>
          </w:p>
        </w:tc>
        <w:tc>
          <w:tcPr>
            <w:tcW w:w="1675" w:type="dxa"/>
            <w:tcBorders>
              <w:tl2br w:val="nil"/>
              <w:tr2bl w:val="nil"/>
            </w:tcBorders>
            <w:shd w:val="clear" w:color="auto" w:fill="auto"/>
          </w:tcPr>
          <w:p w14:paraId="721FD953">
            <w:pPr>
              <w:adjustRightInd/>
              <w:spacing w:line="240" w:lineRule="auto"/>
              <w:ind w:firstLine="0" w:firstLineChars="0"/>
              <w:jc w:val="center"/>
              <w:rPr>
                <w:rFonts w:cs="Times New Roman"/>
                <w:color w:val="000000"/>
                <w:sz w:val="21"/>
                <w:szCs w:val="21"/>
              </w:rPr>
            </w:pPr>
            <w:r>
              <w:rPr>
                <w:rFonts w:cs="Times New Roman"/>
                <w:color w:val="000000"/>
                <w:sz w:val="21"/>
                <w:szCs w:val="21"/>
              </w:rPr>
              <w:t>-</w:t>
            </w:r>
          </w:p>
        </w:tc>
        <w:tc>
          <w:tcPr>
            <w:tcW w:w="1583" w:type="dxa"/>
            <w:tcBorders>
              <w:tl2br w:val="nil"/>
              <w:tr2bl w:val="nil"/>
            </w:tcBorders>
            <w:shd w:val="clear" w:color="auto" w:fill="auto"/>
          </w:tcPr>
          <w:p w14:paraId="69E68CD6">
            <w:pPr>
              <w:adjustRightInd/>
              <w:spacing w:line="240" w:lineRule="auto"/>
              <w:ind w:firstLine="0" w:firstLineChars="0"/>
              <w:jc w:val="center"/>
              <w:rPr>
                <w:rFonts w:cs="Times New Roman"/>
                <w:color w:val="000000"/>
                <w:sz w:val="21"/>
                <w:szCs w:val="21"/>
              </w:rPr>
            </w:pPr>
            <w:r>
              <w:rPr>
                <w:rFonts w:cs="Times New Roman"/>
                <w:color w:val="000000"/>
                <w:sz w:val="21"/>
                <w:szCs w:val="21"/>
              </w:rPr>
              <w:t>-</w:t>
            </w:r>
          </w:p>
        </w:tc>
      </w:tr>
      <w:tr w14:paraId="7030D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895" w:type="dxa"/>
            <w:vMerge w:val="restart"/>
            <w:tcBorders>
              <w:tl2br w:val="nil"/>
              <w:tr2bl w:val="nil"/>
            </w:tcBorders>
            <w:shd w:val="clear" w:color="auto" w:fill="auto"/>
            <w:vAlign w:val="center"/>
          </w:tcPr>
          <w:p w14:paraId="519E6281">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粒度</w:t>
            </w:r>
          </w:p>
        </w:tc>
        <w:tc>
          <w:tcPr>
            <w:tcW w:w="2782" w:type="dxa"/>
            <w:tcBorders>
              <w:tl2br w:val="nil"/>
              <w:tr2bl w:val="nil"/>
            </w:tcBorders>
            <w:shd w:val="clear" w:color="auto" w:fill="auto"/>
          </w:tcPr>
          <w:p w14:paraId="6EFA8DBA">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通过425μ</w:t>
            </w:r>
            <w:r>
              <w:rPr>
                <w:rFonts w:cs="Times New Roman"/>
                <w:color w:val="000000"/>
                <w:kern w:val="0"/>
                <w:sz w:val="21"/>
              </w:rPr>
              <w:t>m</w:t>
            </w:r>
            <w:r>
              <w:rPr>
                <w:rFonts w:cs="Times New Roman"/>
                <w:color w:val="000000"/>
                <w:kern w:val="0"/>
                <w:sz w:val="21"/>
                <w:szCs w:val="21"/>
              </w:rPr>
              <w:t>试验筛</w:t>
            </w:r>
          </w:p>
        </w:tc>
        <w:tc>
          <w:tcPr>
            <w:tcW w:w="1689" w:type="dxa"/>
            <w:tcBorders>
              <w:tl2br w:val="nil"/>
              <w:tr2bl w:val="nil"/>
            </w:tcBorders>
            <w:shd w:val="clear" w:color="auto" w:fill="auto"/>
          </w:tcPr>
          <w:p w14:paraId="048AA3EF">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100</w:t>
            </w:r>
          </w:p>
        </w:tc>
        <w:tc>
          <w:tcPr>
            <w:tcW w:w="1675" w:type="dxa"/>
            <w:tcBorders>
              <w:tl2br w:val="nil"/>
              <w:tr2bl w:val="nil"/>
            </w:tcBorders>
            <w:shd w:val="clear" w:color="auto" w:fill="auto"/>
          </w:tcPr>
          <w:p w14:paraId="179E4574">
            <w:pPr>
              <w:adjustRightInd/>
              <w:spacing w:line="240" w:lineRule="auto"/>
              <w:ind w:firstLine="0" w:firstLineChars="0"/>
              <w:jc w:val="center"/>
              <w:rPr>
                <w:rFonts w:cs="Times New Roman"/>
                <w:color w:val="000000"/>
                <w:sz w:val="21"/>
                <w:szCs w:val="21"/>
              </w:rPr>
            </w:pPr>
            <w:r>
              <w:rPr>
                <w:rFonts w:cs="Times New Roman"/>
                <w:color w:val="000000"/>
                <w:sz w:val="21"/>
                <w:szCs w:val="21"/>
              </w:rPr>
              <w:t>-</w:t>
            </w:r>
          </w:p>
        </w:tc>
        <w:tc>
          <w:tcPr>
            <w:tcW w:w="1583" w:type="dxa"/>
            <w:tcBorders>
              <w:tl2br w:val="nil"/>
              <w:tr2bl w:val="nil"/>
            </w:tcBorders>
            <w:shd w:val="clear" w:color="auto" w:fill="auto"/>
          </w:tcPr>
          <w:p w14:paraId="71D13660">
            <w:pPr>
              <w:adjustRightInd/>
              <w:spacing w:line="240" w:lineRule="auto"/>
              <w:ind w:firstLine="0" w:firstLineChars="0"/>
              <w:jc w:val="center"/>
              <w:rPr>
                <w:rFonts w:cs="Times New Roman"/>
                <w:color w:val="000000"/>
                <w:sz w:val="21"/>
                <w:szCs w:val="21"/>
              </w:rPr>
            </w:pPr>
            <w:r>
              <w:rPr>
                <w:rFonts w:cs="Times New Roman"/>
                <w:color w:val="000000"/>
                <w:sz w:val="21"/>
                <w:szCs w:val="21"/>
              </w:rPr>
              <w:t>-</w:t>
            </w:r>
          </w:p>
        </w:tc>
      </w:tr>
      <w:tr w14:paraId="58E94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895" w:type="dxa"/>
            <w:vMerge w:val="continue"/>
            <w:tcBorders>
              <w:tl2br w:val="nil"/>
              <w:tr2bl w:val="nil"/>
            </w:tcBorders>
            <w:shd w:val="clear" w:color="auto" w:fill="auto"/>
          </w:tcPr>
          <w:p w14:paraId="3F27D130">
            <w:pPr>
              <w:adjustRightInd/>
              <w:snapToGrid w:val="0"/>
              <w:spacing w:line="240" w:lineRule="auto"/>
              <w:ind w:firstLine="0" w:firstLineChars="0"/>
              <w:jc w:val="center"/>
              <w:rPr>
                <w:rFonts w:cs="Times New Roman"/>
                <w:color w:val="000000"/>
                <w:kern w:val="0"/>
                <w:sz w:val="21"/>
                <w:szCs w:val="21"/>
              </w:rPr>
            </w:pPr>
          </w:p>
        </w:tc>
        <w:tc>
          <w:tcPr>
            <w:tcW w:w="2782" w:type="dxa"/>
            <w:tcBorders>
              <w:tl2br w:val="nil"/>
              <w:tr2bl w:val="nil"/>
            </w:tcBorders>
            <w:shd w:val="clear" w:color="auto" w:fill="auto"/>
          </w:tcPr>
          <w:p w14:paraId="7047A6F5">
            <w:pPr>
              <w:adjustRightInd/>
              <w:spacing w:line="240" w:lineRule="auto"/>
              <w:ind w:firstLine="0" w:firstLineChars="0"/>
              <w:jc w:val="center"/>
              <w:rPr>
                <w:rFonts w:cs="Times New Roman"/>
                <w:color w:val="000000"/>
                <w:sz w:val="21"/>
                <w:szCs w:val="21"/>
              </w:rPr>
            </w:pPr>
            <w:r>
              <w:rPr>
                <w:rFonts w:cs="Times New Roman"/>
                <w:color w:val="000000"/>
                <w:sz w:val="21"/>
                <w:szCs w:val="21"/>
              </w:rPr>
              <w:t>通过180μ</w:t>
            </w:r>
            <w:r>
              <w:rPr>
                <w:rFonts w:cs="Times New Roman"/>
                <w:color w:val="000000"/>
                <w:sz w:val="21"/>
              </w:rPr>
              <w:t>m</w:t>
            </w:r>
            <w:r>
              <w:rPr>
                <w:rFonts w:cs="Times New Roman"/>
                <w:color w:val="000000"/>
                <w:sz w:val="21"/>
                <w:szCs w:val="21"/>
              </w:rPr>
              <w:t>试验筛</w:t>
            </w:r>
          </w:p>
        </w:tc>
        <w:tc>
          <w:tcPr>
            <w:tcW w:w="1689" w:type="dxa"/>
            <w:tcBorders>
              <w:tl2br w:val="nil"/>
              <w:tr2bl w:val="nil"/>
            </w:tcBorders>
            <w:shd w:val="clear" w:color="auto" w:fill="auto"/>
          </w:tcPr>
          <w:p w14:paraId="3FC8C192">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99.9</w:t>
            </w:r>
          </w:p>
        </w:tc>
        <w:tc>
          <w:tcPr>
            <w:tcW w:w="1675" w:type="dxa"/>
            <w:tcBorders>
              <w:tl2br w:val="nil"/>
              <w:tr2bl w:val="nil"/>
            </w:tcBorders>
            <w:shd w:val="clear" w:color="auto" w:fill="auto"/>
          </w:tcPr>
          <w:p w14:paraId="67444BFE">
            <w:pPr>
              <w:adjustRightInd/>
              <w:spacing w:line="240" w:lineRule="auto"/>
              <w:ind w:firstLine="0" w:firstLineChars="0"/>
              <w:jc w:val="center"/>
              <w:rPr>
                <w:rFonts w:cs="Times New Roman"/>
                <w:color w:val="000000"/>
                <w:sz w:val="21"/>
                <w:szCs w:val="21"/>
              </w:rPr>
            </w:pPr>
            <w:r>
              <w:rPr>
                <w:rFonts w:cs="Times New Roman"/>
                <w:color w:val="000000"/>
                <w:sz w:val="21"/>
                <w:szCs w:val="21"/>
              </w:rPr>
              <w:t>-</w:t>
            </w:r>
          </w:p>
        </w:tc>
        <w:tc>
          <w:tcPr>
            <w:tcW w:w="1583" w:type="dxa"/>
            <w:tcBorders>
              <w:tl2br w:val="nil"/>
              <w:tr2bl w:val="nil"/>
            </w:tcBorders>
            <w:shd w:val="clear" w:color="auto" w:fill="auto"/>
          </w:tcPr>
          <w:p w14:paraId="722C71D9">
            <w:pPr>
              <w:adjustRightInd/>
              <w:spacing w:line="240" w:lineRule="auto"/>
              <w:ind w:firstLine="0" w:firstLineChars="0"/>
              <w:jc w:val="center"/>
              <w:rPr>
                <w:rFonts w:cs="Times New Roman"/>
                <w:color w:val="000000"/>
                <w:sz w:val="21"/>
                <w:szCs w:val="21"/>
              </w:rPr>
            </w:pPr>
            <w:r>
              <w:rPr>
                <w:rFonts w:cs="Times New Roman"/>
                <w:color w:val="000000"/>
                <w:sz w:val="21"/>
                <w:szCs w:val="21"/>
              </w:rPr>
              <w:t>-</w:t>
            </w:r>
          </w:p>
        </w:tc>
      </w:tr>
      <w:tr w14:paraId="2E200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895" w:type="dxa"/>
            <w:vMerge w:val="continue"/>
            <w:tcBorders>
              <w:tl2br w:val="nil"/>
              <w:tr2bl w:val="nil"/>
            </w:tcBorders>
            <w:shd w:val="clear" w:color="auto" w:fill="auto"/>
          </w:tcPr>
          <w:p w14:paraId="364759C2">
            <w:pPr>
              <w:adjustRightInd/>
              <w:snapToGrid w:val="0"/>
              <w:spacing w:line="240" w:lineRule="auto"/>
              <w:ind w:firstLine="0" w:firstLineChars="0"/>
              <w:jc w:val="center"/>
              <w:rPr>
                <w:rFonts w:cs="Times New Roman"/>
                <w:color w:val="000000"/>
                <w:kern w:val="0"/>
                <w:sz w:val="21"/>
                <w:szCs w:val="21"/>
              </w:rPr>
            </w:pPr>
          </w:p>
        </w:tc>
        <w:tc>
          <w:tcPr>
            <w:tcW w:w="2782" w:type="dxa"/>
            <w:tcBorders>
              <w:tl2br w:val="nil"/>
              <w:tr2bl w:val="nil"/>
            </w:tcBorders>
            <w:shd w:val="clear" w:color="auto" w:fill="auto"/>
          </w:tcPr>
          <w:p w14:paraId="3C308BC5">
            <w:pPr>
              <w:adjustRightInd/>
              <w:spacing w:line="240" w:lineRule="auto"/>
              <w:ind w:firstLine="0" w:firstLineChars="0"/>
              <w:jc w:val="center"/>
              <w:rPr>
                <w:rFonts w:cs="Times New Roman"/>
                <w:color w:val="000000"/>
                <w:sz w:val="21"/>
                <w:szCs w:val="21"/>
              </w:rPr>
            </w:pPr>
            <w:r>
              <w:rPr>
                <w:rFonts w:cs="Times New Roman"/>
                <w:color w:val="000000"/>
                <w:sz w:val="21"/>
                <w:szCs w:val="21"/>
              </w:rPr>
              <w:t>通过150μ</w:t>
            </w:r>
            <w:r>
              <w:rPr>
                <w:rFonts w:cs="Times New Roman"/>
                <w:color w:val="000000"/>
                <w:sz w:val="21"/>
              </w:rPr>
              <w:t>m</w:t>
            </w:r>
            <w:r>
              <w:rPr>
                <w:rFonts w:cs="Times New Roman"/>
                <w:color w:val="000000"/>
                <w:sz w:val="21"/>
                <w:szCs w:val="21"/>
              </w:rPr>
              <w:t>试验筛</w:t>
            </w:r>
          </w:p>
        </w:tc>
        <w:tc>
          <w:tcPr>
            <w:tcW w:w="1689" w:type="dxa"/>
            <w:tcBorders>
              <w:tl2br w:val="nil"/>
              <w:tr2bl w:val="nil"/>
            </w:tcBorders>
            <w:shd w:val="clear" w:color="auto" w:fill="auto"/>
          </w:tcPr>
          <w:p w14:paraId="1DB03DBD">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99.5</w:t>
            </w:r>
          </w:p>
        </w:tc>
        <w:tc>
          <w:tcPr>
            <w:tcW w:w="1675" w:type="dxa"/>
            <w:tcBorders>
              <w:tl2br w:val="nil"/>
              <w:tr2bl w:val="nil"/>
            </w:tcBorders>
            <w:shd w:val="clear" w:color="auto" w:fill="auto"/>
          </w:tcPr>
          <w:p w14:paraId="20E78CAB">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99.0</w:t>
            </w:r>
          </w:p>
        </w:tc>
        <w:tc>
          <w:tcPr>
            <w:tcW w:w="1583" w:type="dxa"/>
            <w:tcBorders>
              <w:tl2br w:val="nil"/>
              <w:tr2bl w:val="nil"/>
            </w:tcBorders>
            <w:shd w:val="clear" w:color="auto" w:fill="auto"/>
          </w:tcPr>
          <w:p w14:paraId="226002D7">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99.0</w:t>
            </w:r>
          </w:p>
        </w:tc>
      </w:tr>
      <w:tr w14:paraId="449FF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895" w:type="dxa"/>
            <w:vMerge w:val="continue"/>
            <w:tcBorders>
              <w:tl2br w:val="nil"/>
              <w:tr2bl w:val="nil"/>
            </w:tcBorders>
            <w:shd w:val="clear" w:color="auto" w:fill="auto"/>
          </w:tcPr>
          <w:p w14:paraId="59BD03B9">
            <w:pPr>
              <w:adjustRightInd/>
              <w:snapToGrid w:val="0"/>
              <w:spacing w:line="240" w:lineRule="auto"/>
              <w:ind w:firstLine="0" w:firstLineChars="0"/>
              <w:jc w:val="center"/>
              <w:rPr>
                <w:rFonts w:cs="Times New Roman"/>
                <w:color w:val="000000"/>
                <w:kern w:val="0"/>
                <w:sz w:val="21"/>
                <w:szCs w:val="21"/>
              </w:rPr>
            </w:pPr>
          </w:p>
        </w:tc>
        <w:tc>
          <w:tcPr>
            <w:tcW w:w="2782" w:type="dxa"/>
            <w:tcBorders>
              <w:tl2br w:val="nil"/>
              <w:tr2bl w:val="nil"/>
            </w:tcBorders>
            <w:shd w:val="clear" w:color="auto" w:fill="auto"/>
          </w:tcPr>
          <w:p w14:paraId="7013C8D0">
            <w:pPr>
              <w:adjustRightInd/>
              <w:spacing w:line="240" w:lineRule="auto"/>
              <w:ind w:firstLine="0" w:firstLineChars="0"/>
              <w:jc w:val="center"/>
              <w:rPr>
                <w:rFonts w:cs="Times New Roman"/>
                <w:color w:val="000000"/>
                <w:sz w:val="21"/>
                <w:szCs w:val="21"/>
              </w:rPr>
            </w:pPr>
            <w:r>
              <w:rPr>
                <w:rFonts w:cs="Times New Roman"/>
                <w:color w:val="000000"/>
                <w:sz w:val="21"/>
                <w:szCs w:val="21"/>
              </w:rPr>
              <w:t>通过75μ</w:t>
            </w:r>
            <w:r>
              <w:rPr>
                <w:rFonts w:cs="Times New Roman"/>
                <w:color w:val="000000"/>
                <w:sz w:val="21"/>
              </w:rPr>
              <w:t>m</w:t>
            </w:r>
            <w:r>
              <w:rPr>
                <w:rFonts w:cs="Times New Roman"/>
                <w:color w:val="000000"/>
                <w:sz w:val="21"/>
                <w:szCs w:val="21"/>
              </w:rPr>
              <w:t>试验筛</w:t>
            </w:r>
          </w:p>
        </w:tc>
        <w:tc>
          <w:tcPr>
            <w:tcW w:w="1689" w:type="dxa"/>
            <w:tcBorders>
              <w:tl2br w:val="nil"/>
              <w:tr2bl w:val="nil"/>
            </w:tcBorders>
            <w:shd w:val="clear" w:color="auto" w:fill="auto"/>
          </w:tcPr>
          <w:p w14:paraId="5FA02C79">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90.0</w:t>
            </w:r>
          </w:p>
        </w:tc>
        <w:tc>
          <w:tcPr>
            <w:tcW w:w="1675" w:type="dxa"/>
            <w:tcBorders>
              <w:tl2br w:val="nil"/>
              <w:tr2bl w:val="nil"/>
            </w:tcBorders>
            <w:shd w:val="clear" w:color="auto" w:fill="auto"/>
          </w:tcPr>
          <w:p w14:paraId="01EE4E0E">
            <w:pPr>
              <w:adjustRightInd/>
              <w:spacing w:line="240" w:lineRule="auto"/>
              <w:ind w:firstLine="0" w:firstLineChars="0"/>
              <w:jc w:val="center"/>
              <w:rPr>
                <w:rFonts w:cs="Times New Roman"/>
                <w:color w:val="000000"/>
                <w:sz w:val="21"/>
                <w:szCs w:val="21"/>
              </w:rPr>
            </w:pPr>
            <w:r>
              <w:rPr>
                <w:rFonts w:cs="Times New Roman"/>
                <w:color w:val="000000"/>
                <w:sz w:val="21"/>
                <w:szCs w:val="21"/>
              </w:rPr>
              <w:t>-</w:t>
            </w:r>
          </w:p>
        </w:tc>
        <w:tc>
          <w:tcPr>
            <w:tcW w:w="1583" w:type="dxa"/>
            <w:tcBorders>
              <w:tl2br w:val="nil"/>
              <w:tr2bl w:val="nil"/>
            </w:tcBorders>
            <w:shd w:val="clear" w:color="auto" w:fill="auto"/>
          </w:tcPr>
          <w:p w14:paraId="7F738956">
            <w:pPr>
              <w:adjustRightInd/>
              <w:spacing w:line="240" w:lineRule="auto"/>
              <w:ind w:firstLine="0" w:firstLineChars="0"/>
              <w:jc w:val="center"/>
              <w:rPr>
                <w:rFonts w:cs="Times New Roman"/>
                <w:color w:val="000000"/>
                <w:sz w:val="21"/>
                <w:szCs w:val="21"/>
              </w:rPr>
            </w:pPr>
            <w:r>
              <w:rPr>
                <w:rFonts w:cs="Times New Roman"/>
                <w:color w:val="000000"/>
                <w:sz w:val="21"/>
                <w:szCs w:val="21"/>
              </w:rPr>
              <w:t>-</w:t>
            </w:r>
          </w:p>
        </w:tc>
      </w:tr>
      <w:tr w14:paraId="408A0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677" w:type="dxa"/>
            <w:gridSpan w:val="2"/>
            <w:tcBorders>
              <w:tl2br w:val="nil"/>
              <w:tr2bl w:val="nil"/>
            </w:tcBorders>
            <w:shd w:val="clear" w:color="auto" w:fill="auto"/>
          </w:tcPr>
          <w:p w14:paraId="4ACD3494">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松散度（通过4.75m</w:t>
            </w:r>
            <w:r>
              <w:rPr>
                <w:rFonts w:cs="Times New Roman"/>
                <w:color w:val="000000"/>
                <w:kern w:val="0"/>
                <w:sz w:val="21"/>
              </w:rPr>
              <w:t>m</w:t>
            </w:r>
            <w:r>
              <w:rPr>
                <w:rFonts w:cs="Times New Roman"/>
                <w:color w:val="000000"/>
                <w:kern w:val="0"/>
                <w:sz w:val="21"/>
                <w:szCs w:val="21"/>
              </w:rPr>
              <w:t>试验筛）/%</w:t>
            </w:r>
          </w:p>
        </w:tc>
        <w:tc>
          <w:tcPr>
            <w:tcW w:w="4947" w:type="dxa"/>
            <w:gridSpan w:val="3"/>
            <w:tcBorders>
              <w:tl2br w:val="nil"/>
              <w:tr2bl w:val="nil"/>
            </w:tcBorders>
            <w:shd w:val="clear" w:color="auto" w:fill="auto"/>
          </w:tcPr>
          <w:p w14:paraId="65CA4C38">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90</w:t>
            </w:r>
          </w:p>
        </w:tc>
      </w:tr>
      <w:tr w14:paraId="5162E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8624" w:type="dxa"/>
            <w:gridSpan w:val="5"/>
            <w:tcBorders>
              <w:tl2br w:val="nil"/>
              <w:tr2bl w:val="nil"/>
            </w:tcBorders>
            <w:shd w:val="clear" w:color="auto" w:fill="auto"/>
          </w:tcPr>
          <w:p w14:paraId="680D79DF">
            <w:pPr>
              <w:adjustRightInd/>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注：松散度指标为加防结块剂产品控制项。</w:t>
            </w:r>
          </w:p>
        </w:tc>
      </w:tr>
    </w:tbl>
    <w:p w14:paraId="27452D7A">
      <w:pPr>
        <w:spacing w:line="240" w:lineRule="auto"/>
        <w:ind w:firstLine="0" w:firstLineChars="0"/>
      </w:pPr>
    </w:p>
    <w:p w14:paraId="366E555F">
      <w:pPr>
        <w:ind w:firstLine="480"/>
        <w:rPr>
          <w:rFonts w:hint="eastAsia"/>
          <w:lang w:val="en-US" w:eastAsia="zh-CN"/>
        </w:rPr>
      </w:pPr>
      <w:r>
        <w:rPr>
          <w:rFonts w:hint="eastAsia"/>
          <w:lang w:val="en-US" w:eastAsia="zh-CN"/>
        </w:rPr>
        <w:t>氯酸钠产品执行</w:t>
      </w:r>
      <w:r>
        <w:rPr>
          <w:rFonts w:hint="eastAsia"/>
        </w:rPr>
        <w:t>产品质量执行</w:t>
      </w:r>
      <w:r>
        <w:rPr>
          <w:rFonts w:hint="eastAsia"/>
          <w:lang w:val="en-US" w:eastAsia="zh-CN"/>
        </w:rPr>
        <w:t>《工业氯酸钠》（GB/T 1618-2018）。</w:t>
      </w:r>
    </w:p>
    <w:p w14:paraId="6B8BC8F9">
      <w:pPr>
        <w:pStyle w:val="43"/>
        <w:rPr>
          <w:rFonts w:hint="eastAsia"/>
        </w:rPr>
      </w:pPr>
      <w:r>
        <w:rPr>
          <w:rFonts w:hint="eastAsia"/>
          <w:lang w:val="en-US" w:eastAsia="zh-CN"/>
        </w:rPr>
        <w:t>氯酸钠质量标准</w:t>
      </w:r>
      <w:r>
        <w:rPr>
          <w:rFonts w:hint="eastAsia"/>
        </w:rPr>
        <w:t>（GB/T 1618-2018）</w:t>
      </w:r>
    </w:p>
    <w:tbl>
      <w:tblPr>
        <w:tblStyle w:val="32"/>
        <w:tblW w:w="498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8"/>
        <w:gridCol w:w="780"/>
        <w:gridCol w:w="787"/>
        <w:gridCol w:w="800"/>
        <w:gridCol w:w="787"/>
        <w:gridCol w:w="787"/>
        <w:gridCol w:w="816"/>
      </w:tblGrid>
      <w:tr w14:paraId="77EB1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blHeader/>
        </w:trPr>
        <w:tc>
          <w:tcPr>
            <w:tcW w:w="2200" w:type="pct"/>
            <w:vMerge w:val="restart"/>
            <w:shd w:val="clear" w:color="auto" w:fill="auto"/>
            <w:vAlign w:val="center"/>
          </w:tcPr>
          <w:p w14:paraId="4147015E">
            <w:pPr>
              <w:pStyle w:val="45"/>
              <w:rPr>
                <w:rFonts w:hint="default"/>
                <w:b/>
                <w:bCs/>
              </w:rPr>
            </w:pPr>
            <w:r>
              <w:rPr>
                <w:b/>
                <w:bCs/>
              </w:rPr>
              <w:t>项目</w:t>
            </w:r>
          </w:p>
        </w:tc>
        <w:tc>
          <w:tcPr>
            <w:tcW w:w="2799" w:type="pct"/>
            <w:gridSpan w:val="6"/>
            <w:shd w:val="clear" w:color="auto" w:fill="auto"/>
            <w:vAlign w:val="center"/>
          </w:tcPr>
          <w:p w14:paraId="2819710F">
            <w:pPr>
              <w:pStyle w:val="45"/>
              <w:rPr>
                <w:rFonts w:hint="default"/>
                <w:b/>
                <w:bCs/>
              </w:rPr>
            </w:pPr>
            <w:r>
              <w:rPr>
                <w:b/>
                <w:bCs/>
              </w:rPr>
              <w:t>指标</w:t>
            </w:r>
          </w:p>
        </w:tc>
      </w:tr>
      <w:tr w14:paraId="7699C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blHeader/>
        </w:trPr>
        <w:tc>
          <w:tcPr>
            <w:tcW w:w="2200" w:type="pct"/>
            <w:vMerge w:val="continue"/>
            <w:shd w:val="clear" w:color="auto" w:fill="auto"/>
            <w:vAlign w:val="center"/>
          </w:tcPr>
          <w:p w14:paraId="385A3BBF">
            <w:pPr>
              <w:pStyle w:val="45"/>
              <w:rPr>
                <w:rFonts w:hint="default"/>
                <w:b/>
                <w:bCs/>
              </w:rPr>
            </w:pPr>
          </w:p>
        </w:tc>
        <w:tc>
          <w:tcPr>
            <w:tcW w:w="1393" w:type="pct"/>
            <w:gridSpan w:val="3"/>
            <w:shd w:val="clear" w:color="auto" w:fill="auto"/>
            <w:vAlign w:val="center"/>
          </w:tcPr>
          <w:p w14:paraId="5FACA819">
            <w:pPr>
              <w:pStyle w:val="45"/>
              <w:rPr>
                <w:rFonts w:hint="default"/>
                <w:b/>
                <w:bCs/>
              </w:rPr>
            </w:pPr>
            <w:r>
              <w:rPr>
                <w:b/>
                <w:bCs/>
              </w:rPr>
              <w:t>I型</w:t>
            </w:r>
          </w:p>
        </w:tc>
        <w:tc>
          <w:tcPr>
            <w:tcW w:w="1406" w:type="pct"/>
            <w:gridSpan w:val="3"/>
            <w:shd w:val="clear" w:color="auto" w:fill="auto"/>
            <w:vAlign w:val="center"/>
          </w:tcPr>
          <w:p w14:paraId="47ED1D05">
            <w:pPr>
              <w:pStyle w:val="45"/>
              <w:rPr>
                <w:rFonts w:hint="default"/>
                <w:b/>
                <w:bCs/>
              </w:rPr>
            </w:pPr>
            <w:r>
              <w:rPr>
                <w:b/>
                <w:bCs/>
              </w:rPr>
              <w:t>II型</w:t>
            </w:r>
          </w:p>
        </w:tc>
      </w:tr>
      <w:tr w14:paraId="39D1A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blHeader/>
        </w:trPr>
        <w:tc>
          <w:tcPr>
            <w:tcW w:w="2200" w:type="pct"/>
            <w:vMerge w:val="continue"/>
            <w:shd w:val="clear" w:color="auto" w:fill="auto"/>
            <w:vAlign w:val="center"/>
          </w:tcPr>
          <w:p w14:paraId="4F7CD3E7">
            <w:pPr>
              <w:pStyle w:val="45"/>
              <w:rPr>
                <w:rFonts w:hint="default"/>
                <w:b/>
                <w:bCs/>
              </w:rPr>
            </w:pPr>
          </w:p>
        </w:tc>
        <w:tc>
          <w:tcPr>
            <w:tcW w:w="459" w:type="pct"/>
            <w:shd w:val="clear" w:color="auto" w:fill="auto"/>
            <w:vAlign w:val="center"/>
          </w:tcPr>
          <w:p w14:paraId="29D335EC">
            <w:pPr>
              <w:pStyle w:val="45"/>
              <w:rPr>
                <w:rFonts w:hint="default" w:eastAsia="宋体"/>
                <w:b/>
                <w:bCs/>
                <w:lang w:val="en-US" w:eastAsia="zh-CN"/>
              </w:rPr>
            </w:pPr>
            <w:r>
              <w:rPr>
                <w:rFonts w:hint="eastAsia"/>
                <w:b/>
                <w:bCs/>
                <w:lang w:val="en-US" w:eastAsia="zh-CN"/>
              </w:rPr>
              <w:t>优等品</w:t>
            </w:r>
          </w:p>
        </w:tc>
        <w:tc>
          <w:tcPr>
            <w:tcW w:w="463" w:type="pct"/>
            <w:shd w:val="clear" w:color="auto" w:fill="auto"/>
            <w:vAlign w:val="center"/>
          </w:tcPr>
          <w:p w14:paraId="4FEA57A5">
            <w:pPr>
              <w:pStyle w:val="45"/>
              <w:rPr>
                <w:rFonts w:hint="default"/>
                <w:b/>
                <w:bCs/>
              </w:rPr>
            </w:pPr>
            <w:r>
              <w:rPr>
                <w:b/>
                <w:bCs/>
              </w:rPr>
              <w:t>一等品</w:t>
            </w:r>
          </w:p>
        </w:tc>
        <w:tc>
          <w:tcPr>
            <w:tcW w:w="470" w:type="pct"/>
            <w:shd w:val="clear" w:color="auto" w:fill="auto"/>
            <w:vAlign w:val="center"/>
          </w:tcPr>
          <w:p w14:paraId="4DECB560">
            <w:pPr>
              <w:pStyle w:val="45"/>
              <w:rPr>
                <w:b/>
                <w:bCs/>
              </w:rPr>
            </w:pPr>
            <w:r>
              <w:rPr>
                <w:b/>
                <w:bCs/>
              </w:rPr>
              <w:t>合格品</w:t>
            </w:r>
          </w:p>
        </w:tc>
        <w:tc>
          <w:tcPr>
            <w:tcW w:w="463" w:type="pct"/>
            <w:shd w:val="clear" w:color="auto" w:fill="auto"/>
            <w:vAlign w:val="center"/>
          </w:tcPr>
          <w:p w14:paraId="7841F3F6">
            <w:pPr>
              <w:pStyle w:val="45"/>
              <w:ind w:firstLine="0" w:firstLineChars="0"/>
              <w:rPr>
                <w:rFonts w:hint="default"/>
                <w:b/>
                <w:bCs/>
              </w:rPr>
            </w:pPr>
            <w:r>
              <w:rPr>
                <w:rFonts w:hint="eastAsia"/>
                <w:b/>
                <w:bCs/>
                <w:lang w:val="en-US" w:eastAsia="zh-CN"/>
              </w:rPr>
              <w:t>优等品</w:t>
            </w:r>
          </w:p>
        </w:tc>
        <w:tc>
          <w:tcPr>
            <w:tcW w:w="463" w:type="pct"/>
            <w:shd w:val="clear" w:color="auto" w:fill="auto"/>
            <w:vAlign w:val="center"/>
          </w:tcPr>
          <w:p w14:paraId="709E89A3">
            <w:pPr>
              <w:pStyle w:val="45"/>
              <w:ind w:firstLine="0" w:firstLineChars="0"/>
              <w:rPr>
                <w:b/>
                <w:bCs/>
              </w:rPr>
            </w:pPr>
            <w:r>
              <w:rPr>
                <w:b/>
                <w:bCs/>
              </w:rPr>
              <w:t>一等品</w:t>
            </w:r>
          </w:p>
        </w:tc>
        <w:tc>
          <w:tcPr>
            <w:tcW w:w="480" w:type="pct"/>
            <w:shd w:val="clear" w:color="auto" w:fill="auto"/>
            <w:vAlign w:val="center"/>
          </w:tcPr>
          <w:p w14:paraId="1096EE41">
            <w:pPr>
              <w:pStyle w:val="45"/>
              <w:ind w:firstLine="0" w:firstLineChars="0"/>
              <w:rPr>
                <w:rFonts w:hint="default"/>
                <w:b/>
                <w:bCs/>
              </w:rPr>
            </w:pPr>
            <w:r>
              <w:rPr>
                <w:b/>
                <w:bCs/>
              </w:rPr>
              <w:t>合格品</w:t>
            </w:r>
          </w:p>
        </w:tc>
      </w:tr>
      <w:tr w14:paraId="13649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2200" w:type="pct"/>
            <w:shd w:val="clear" w:color="auto" w:fill="auto"/>
            <w:vAlign w:val="center"/>
          </w:tcPr>
          <w:p w14:paraId="6D05C42A">
            <w:pPr>
              <w:pStyle w:val="45"/>
              <w:rPr>
                <w:rFonts w:hint="default"/>
              </w:rPr>
            </w:pPr>
            <w:r>
              <w:t>氯酸钠（NaClO</w:t>
            </w:r>
            <w:r>
              <w:rPr>
                <w:rFonts w:hint="eastAsia"/>
                <w:vertAlign w:val="subscript"/>
                <w:lang w:val="en-US" w:eastAsia="zh-CN"/>
              </w:rPr>
              <w:t>3</w:t>
            </w:r>
            <w:r>
              <w:t>）</w:t>
            </w:r>
            <w:r>
              <w:rPr>
                <w:rFonts w:hint="eastAsia"/>
                <w:lang w:eastAsia="zh-CN"/>
              </w:rPr>
              <w:t>（</w:t>
            </w:r>
            <w:r>
              <w:rPr>
                <w:rFonts w:hint="eastAsia"/>
                <w:lang w:val="en-US" w:eastAsia="zh-CN"/>
              </w:rPr>
              <w:t>以干基计</w:t>
            </w:r>
            <w:r>
              <w:rPr>
                <w:rFonts w:hint="eastAsia"/>
                <w:lang w:eastAsia="zh-CN"/>
              </w:rPr>
              <w:t>）</w:t>
            </w:r>
            <w:r>
              <w:t>w/%≥</w:t>
            </w:r>
          </w:p>
        </w:tc>
        <w:tc>
          <w:tcPr>
            <w:tcW w:w="459" w:type="pct"/>
            <w:shd w:val="clear" w:color="auto" w:fill="auto"/>
            <w:vAlign w:val="center"/>
          </w:tcPr>
          <w:p w14:paraId="0C95C527">
            <w:pPr>
              <w:pStyle w:val="45"/>
              <w:rPr>
                <w:rFonts w:hint="default" w:eastAsia="宋体"/>
                <w:lang w:val="en-US" w:eastAsia="zh-CN"/>
              </w:rPr>
            </w:pPr>
            <w:r>
              <w:rPr>
                <w:rFonts w:hint="eastAsia"/>
                <w:lang w:val="en-US" w:eastAsia="zh-CN"/>
              </w:rPr>
              <w:t>99.5</w:t>
            </w:r>
          </w:p>
        </w:tc>
        <w:tc>
          <w:tcPr>
            <w:tcW w:w="463" w:type="pct"/>
            <w:shd w:val="clear" w:color="auto" w:fill="auto"/>
            <w:vAlign w:val="center"/>
          </w:tcPr>
          <w:p w14:paraId="550DE997">
            <w:pPr>
              <w:pStyle w:val="45"/>
              <w:rPr>
                <w:rFonts w:hint="default" w:eastAsia="宋体"/>
                <w:lang w:val="en-US" w:eastAsia="zh-CN"/>
              </w:rPr>
            </w:pPr>
            <w:r>
              <w:rPr>
                <w:rFonts w:hint="eastAsia"/>
                <w:lang w:val="en-US" w:eastAsia="zh-CN"/>
              </w:rPr>
              <w:t>99.0</w:t>
            </w:r>
          </w:p>
        </w:tc>
        <w:tc>
          <w:tcPr>
            <w:tcW w:w="470" w:type="pct"/>
            <w:shd w:val="clear" w:color="auto" w:fill="auto"/>
            <w:vAlign w:val="center"/>
          </w:tcPr>
          <w:p w14:paraId="59BCD092">
            <w:pPr>
              <w:pStyle w:val="45"/>
              <w:rPr>
                <w:rFonts w:hint="default" w:eastAsia="宋体"/>
                <w:lang w:val="en-US" w:eastAsia="zh-CN"/>
              </w:rPr>
            </w:pPr>
            <w:r>
              <w:rPr>
                <w:rFonts w:hint="eastAsia"/>
                <w:lang w:val="en-US" w:eastAsia="zh-CN"/>
              </w:rPr>
              <w:t>98.0</w:t>
            </w:r>
          </w:p>
        </w:tc>
        <w:tc>
          <w:tcPr>
            <w:tcW w:w="463" w:type="pct"/>
            <w:shd w:val="clear" w:color="auto" w:fill="auto"/>
            <w:vAlign w:val="center"/>
          </w:tcPr>
          <w:p w14:paraId="58FD26C0">
            <w:pPr>
              <w:pStyle w:val="45"/>
              <w:rPr>
                <w:rFonts w:hint="default" w:eastAsia="宋体"/>
                <w:lang w:val="en-US" w:eastAsia="zh-CN"/>
              </w:rPr>
            </w:pPr>
            <w:r>
              <w:rPr>
                <w:rFonts w:hint="eastAsia"/>
                <w:lang w:val="en-US" w:eastAsia="zh-CN"/>
              </w:rPr>
              <w:t>99.5</w:t>
            </w:r>
          </w:p>
        </w:tc>
        <w:tc>
          <w:tcPr>
            <w:tcW w:w="463" w:type="pct"/>
            <w:shd w:val="clear" w:color="auto" w:fill="auto"/>
            <w:vAlign w:val="center"/>
          </w:tcPr>
          <w:p w14:paraId="4E9F2399">
            <w:pPr>
              <w:pStyle w:val="45"/>
              <w:rPr>
                <w:rFonts w:hint="default" w:eastAsia="宋体"/>
                <w:lang w:val="en-US" w:eastAsia="zh-CN"/>
              </w:rPr>
            </w:pPr>
            <w:r>
              <w:rPr>
                <w:rFonts w:hint="eastAsia"/>
                <w:lang w:val="en-US" w:eastAsia="zh-CN"/>
              </w:rPr>
              <w:t>99.0</w:t>
            </w:r>
          </w:p>
        </w:tc>
        <w:tc>
          <w:tcPr>
            <w:tcW w:w="480" w:type="pct"/>
            <w:shd w:val="clear" w:color="auto" w:fill="auto"/>
            <w:vAlign w:val="center"/>
          </w:tcPr>
          <w:p w14:paraId="1B857ECB">
            <w:pPr>
              <w:pStyle w:val="45"/>
              <w:rPr>
                <w:rFonts w:hint="default" w:eastAsia="宋体"/>
                <w:lang w:val="en-US" w:eastAsia="zh-CN"/>
              </w:rPr>
            </w:pPr>
            <w:r>
              <w:rPr>
                <w:rFonts w:hint="eastAsia"/>
                <w:lang w:val="en-US" w:eastAsia="zh-CN"/>
              </w:rPr>
              <w:t>97.0</w:t>
            </w:r>
          </w:p>
        </w:tc>
      </w:tr>
      <w:tr w14:paraId="29607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2200" w:type="pct"/>
            <w:shd w:val="clear" w:color="auto" w:fill="auto"/>
            <w:vAlign w:val="center"/>
          </w:tcPr>
          <w:p w14:paraId="16AC8446">
            <w:pPr>
              <w:pStyle w:val="45"/>
            </w:pPr>
            <w:r>
              <w:t>水分w/%≦</w:t>
            </w:r>
          </w:p>
        </w:tc>
        <w:tc>
          <w:tcPr>
            <w:tcW w:w="459" w:type="pct"/>
            <w:shd w:val="clear" w:color="auto" w:fill="auto"/>
            <w:vAlign w:val="center"/>
          </w:tcPr>
          <w:p w14:paraId="3E59E5B5">
            <w:pPr>
              <w:pStyle w:val="45"/>
              <w:rPr>
                <w:rFonts w:hint="default" w:eastAsia="宋体"/>
                <w:lang w:val="en-US" w:eastAsia="zh-CN"/>
              </w:rPr>
            </w:pPr>
            <w:r>
              <w:rPr>
                <w:rFonts w:hint="eastAsia"/>
                <w:lang w:val="en-US" w:eastAsia="zh-CN"/>
              </w:rPr>
              <w:t>0.10</w:t>
            </w:r>
          </w:p>
        </w:tc>
        <w:tc>
          <w:tcPr>
            <w:tcW w:w="463" w:type="pct"/>
            <w:shd w:val="clear" w:color="auto" w:fill="auto"/>
            <w:vAlign w:val="center"/>
          </w:tcPr>
          <w:p w14:paraId="416BECD3">
            <w:pPr>
              <w:pStyle w:val="45"/>
              <w:rPr>
                <w:rFonts w:hint="default" w:eastAsia="宋体"/>
                <w:lang w:val="en-US" w:eastAsia="zh-CN"/>
              </w:rPr>
            </w:pPr>
            <w:r>
              <w:rPr>
                <w:rFonts w:hint="eastAsia"/>
                <w:lang w:val="en-US" w:eastAsia="zh-CN"/>
              </w:rPr>
              <w:t>0.30</w:t>
            </w:r>
          </w:p>
        </w:tc>
        <w:tc>
          <w:tcPr>
            <w:tcW w:w="470" w:type="pct"/>
            <w:shd w:val="clear" w:color="auto" w:fill="auto"/>
            <w:vAlign w:val="center"/>
          </w:tcPr>
          <w:p w14:paraId="633FA51E">
            <w:pPr>
              <w:pStyle w:val="45"/>
              <w:rPr>
                <w:rFonts w:hint="default" w:eastAsia="宋体"/>
                <w:lang w:val="en-US" w:eastAsia="zh-CN"/>
              </w:rPr>
            </w:pPr>
            <w:r>
              <w:rPr>
                <w:rFonts w:hint="eastAsia"/>
                <w:lang w:val="en-US" w:eastAsia="zh-CN"/>
              </w:rPr>
              <w:t>0.50</w:t>
            </w:r>
          </w:p>
        </w:tc>
        <w:tc>
          <w:tcPr>
            <w:tcW w:w="463" w:type="pct"/>
            <w:shd w:val="clear" w:color="auto" w:fill="auto"/>
            <w:vAlign w:val="center"/>
          </w:tcPr>
          <w:p w14:paraId="1AEE0562">
            <w:pPr>
              <w:pStyle w:val="45"/>
              <w:rPr>
                <w:rFonts w:hint="default" w:eastAsia="宋体"/>
                <w:lang w:val="en-US" w:eastAsia="zh-CN"/>
              </w:rPr>
            </w:pPr>
            <w:r>
              <w:rPr>
                <w:rFonts w:hint="eastAsia"/>
                <w:lang w:val="en-US" w:eastAsia="zh-CN"/>
              </w:rPr>
              <w:t>2.5</w:t>
            </w:r>
          </w:p>
        </w:tc>
        <w:tc>
          <w:tcPr>
            <w:tcW w:w="463" w:type="pct"/>
            <w:shd w:val="clear" w:color="auto" w:fill="auto"/>
            <w:vAlign w:val="center"/>
          </w:tcPr>
          <w:p w14:paraId="5879E9F8">
            <w:pPr>
              <w:pStyle w:val="45"/>
              <w:rPr>
                <w:rFonts w:hint="default" w:eastAsia="宋体"/>
                <w:lang w:val="en-US" w:eastAsia="zh-CN"/>
              </w:rPr>
            </w:pPr>
            <w:r>
              <w:rPr>
                <w:rFonts w:hint="eastAsia"/>
                <w:lang w:val="en-US" w:eastAsia="zh-CN"/>
              </w:rPr>
              <w:t>3.0</w:t>
            </w:r>
          </w:p>
        </w:tc>
        <w:tc>
          <w:tcPr>
            <w:tcW w:w="480" w:type="pct"/>
            <w:shd w:val="clear" w:color="auto" w:fill="auto"/>
            <w:vAlign w:val="center"/>
          </w:tcPr>
          <w:p w14:paraId="347E6814">
            <w:pPr>
              <w:pStyle w:val="45"/>
              <w:rPr>
                <w:rFonts w:hint="default" w:eastAsia="宋体"/>
                <w:lang w:val="en-US" w:eastAsia="zh-CN"/>
              </w:rPr>
            </w:pPr>
            <w:r>
              <w:rPr>
                <w:rFonts w:hint="eastAsia"/>
                <w:lang w:val="en-US" w:eastAsia="zh-CN"/>
              </w:rPr>
              <w:t>3.0</w:t>
            </w:r>
          </w:p>
        </w:tc>
      </w:tr>
      <w:tr w14:paraId="77EEB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2200" w:type="pct"/>
            <w:shd w:val="clear" w:color="auto" w:fill="auto"/>
            <w:vAlign w:val="center"/>
          </w:tcPr>
          <w:p w14:paraId="3E6A2B2F">
            <w:pPr>
              <w:pStyle w:val="45"/>
              <w:rPr>
                <w:rFonts w:hint="default"/>
              </w:rPr>
            </w:pPr>
            <w:r>
              <w:t>水不溶物w/%≦</w:t>
            </w:r>
          </w:p>
        </w:tc>
        <w:tc>
          <w:tcPr>
            <w:tcW w:w="459" w:type="pct"/>
            <w:shd w:val="clear" w:color="auto" w:fill="auto"/>
            <w:vAlign w:val="center"/>
          </w:tcPr>
          <w:p w14:paraId="4E3D5814">
            <w:pPr>
              <w:pStyle w:val="45"/>
              <w:rPr>
                <w:rFonts w:hint="default" w:eastAsia="宋体"/>
                <w:lang w:val="en-US" w:eastAsia="zh-CN"/>
              </w:rPr>
            </w:pPr>
            <w:r>
              <w:rPr>
                <w:rFonts w:hint="eastAsia"/>
                <w:lang w:val="en-US" w:eastAsia="zh-CN"/>
              </w:rPr>
              <w:t>0.01</w:t>
            </w:r>
          </w:p>
        </w:tc>
        <w:tc>
          <w:tcPr>
            <w:tcW w:w="463" w:type="pct"/>
            <w:shd w:val="clear" w:color="auto" w:fill="auto"/>
            <w:vAlign w:val="center"/>
          </w:tcPr>
          <w:p w14:paraId="039BB0A2">
            <w:pPr>
              <w:pStyle w:val="45"/>
              <w:rPr>
                <w:rFonts w:hint="default" w:eastAsia="宋体"/>
                <w:lang w:val="en-US" w:eastAsia="zh-CN"/>
              </w:rPr>
            </w:pPr>
            <w:r>
              <w:rPr>
                <w:rFonts w:hint="eastAsia"/>
                <w:lang w:val="en-US" w:eastAsia="zh-CN"/>
              </w:rPr>
              <w:t>0.02</w:t>
            </w:r>
          </w:p>
        </w:tc>
        <w:tc>
          <w:tcPr>
            <w:tcW w:w="470" w:type="pct"/>
            <w:shd w:val="clear" w:color="auto" w:fill="auto"/>
            <w:vAlign w:val="center"/>
          </w:tcPr>
          <w:p w14:paraId="2E191044">
            <w:pPr>
              <w:pStyle w:val="45"/>
              <w:rPr>
                <w:rFonts w:hint="default" w:eastAsia="宋体"/>
                <w:lang w:val="en-US" w:eastAsia="zh-CN"/>
              </w:rPr>
            </w:pPr>
            <w:r>
              <w:rPr>
                <w:rFonts w:hint="eastAsia"/>
                <w:lang w:val="en-US" w:eastAsia="zh-CN"/>
              </w:rPr>
              <w:t>0.03</w:t>
            </w:r>
          </w:p>
        </w:tc>
        <w:tc>
          <w:tcPr>
            <w:tcW w:w="463" w:type="pct"/>
            <w:shd w:val="clear" w:color="auto" w:fill="auto"/>
            <w:vAlign w:val="center"/>
          </w:tcPr>
          <w:p w14:paraId="5E4B07CF">
            <w:pPr>
              <w:pStyle w:val="45"/>
              <w:rPr>
                <w:rFonts w:hint="default" w:eastAsia="宋体"/>
                <w:lang w:val="en-US" w:eastAsia="zh-CN"/>
              </w:rPr>
            </w:pPr>
            <w:r>
              <w:rPr>
                <w:rFonts w:hint="eastAsia"/>
                <w:lang w:val="en-US" w:eastAsia="zh-CN"/>
              </w:rPr>
              <w:t>0.01</w:t>
            </w:r>
          </w:p>
        </w:tc>
        <w:tc>
          <w:tcPr>
            <w:tcW w:w="463" w:type="pct"/>
            <w:shd w:val="clear" w:color="auto" w:fill="auto"/>
            <w:vAlign w:val="center"/>
          </w:tcPr>
          <w:p w14:paraId="75056BF4">
            <w:pPr>
              <w:pStyle w:val="45"/>
              <w:rPr>
                <w:rFonts w:hint="default" w:eastAsia="宋体"/>
                <w:lang w:val="en-US" w:eastAsia="zh-CN"/>
              </w:rPr>
            </w:pPr>
            <w:r>
              <w:rPr>
                <w:rFonts w:hint="eastAsia"/>
                <w:lang w:val="en-US" w:eastAsia="zh-CN"/>
              </w:rPr>
              <w:t>0.02</w:t>
            </w:r>
          </w:p>
        </w:tc>
        <w:tc>
          <w:tcPr>
            <w:tcW w:w="480" w:type="pct"/>
            <w:shd w:val="clear" w:color="auto" w:fill="auto"/>
            <w:vAlign w:val="center"/>
          </w:tcPr>
          <w:p w14:paraId="2B457942">
            <w:pPr>
              <w:pStyle w:val="45"/>
              <w:rPr>
                <w:rFonts w:hint="default" w:eastAsia="宋体"/>
                <w:lang w:val="en-US" w:eastAsia="zh-CN"/>
              </w:rPr>
            </w:pPr>
            <w:r>
              <w:rPr>
                <w:rFonts w:hint="eastAsia"/>
                <w:lang w:val="en-US" w:eastAsia="zh-CN"/>
              </w:rPr>
              <w:t>0.03</w:t>
            </w:r>
          </w:p>
        </w:tc>
      </w:tr>
      <w:tr w14:paraId="03C2C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2200" w:type="pct"/>
            <w:shd w:val="clear" w:color="auto" w:fill="auto"/>
            <w:vAlign w:val="center"/>
          </w:tcPr>
          <w:p w14:paraId="4216E326">
            <w:pPr>
              <w:pStyle w:val="45"/>
              <w:rPr>
                <w:rFonts w:hint="default"/>
              </w:rPr>
            </w:pPr>
            <w:r>
              <w:t>氯化物（以Cl计）w/%≦</w:t>
            </w:r>
          </w:p>
        </w:tc>
        <w:tc>
          <w:tcPr>
            <w:tcW w:w="459" w:type="pct"/>
            <w:shd w:val="clear" w:color="auto" w:fill="auto"/>
            <w:vAlign w:val="center"/>
          </w:tcPr>
          <w:p w14:paraId="0208697F">
            <w:pPr>
              <w:pStyle w:val="45"/>
              <w:rPr>
                <w:rFonts w:hint="default" w:eastAsia="宋体"/>
                <w:lang w:val="en-US" w:eastAsia="zh-CN"/>
              </w:rPr>
            </w:pPr>
            <w:r>
              <w:rPr>
                <w:rFonts w:hint="eastAsia"/>
                <w:lang w:val="en-US" w:eastAsia="zh-CN"/>
              </w:rPr>
              <w:t>0.15</w:t>
            </w:r>
          </w:p>
        </w:tc>
        <w:tc>
          <w:tcPr>
            <w:tcW w:w="463" w:type="pct"/>
            <w:shd w:val="clear" w:color="auto" w:fill="auto"/>
            <w:vAlign w:val="center"/>
          </w:tcPr>
          <w:p w14:paraId="61C6A91F">
            <w:pPr>
              <w:pStyle w:val="45"/>
              <w:rPr>
                <w:rFonts w:hint="default" w:eastAsia="宋体"/>
                <w:lang w:val="en-US" w:eastAsia="zh-CN"/>
              </w:rPr>
            </w:pPr>
            <w:r>
              <w:rPr>
                <w:rFonts w:hint="eastAsia"/>
                <w:lang w:val="en-US" w:eastAsia="zh-CN"/>
              </w:rPr>
              <w:t>0.20</w:t>
            </w:r>
          </w:p>
        </w:tc>
        <w:tc>
          <w:tcPr>
            <w:tcW w:w="470" w:type="pct"/>
            <w:shd w:val="clear" w:color="auto" w:fill="auto"/>
            <w:vAlign w:val="center"/>
          </w:tcPr>
          <w:p w14:paraId="66BB383E">
            <w:pPr>
              <w:pStyle w:val="45"/>
              <w:rPr>
                <w:rFonts w:hint="default" w:eastAsia="宋体"/>
                <w:lang w:val="en-US" w:eastAsia="zh-CN"/>
              </w:rPr>
            </w:pPr>
            <w:r>
              <w:rPr>
                <w:rFonts w:hint="eastAsia"/>
                <w:lang w:val="en-US" w:eastAsia="zh-CN"/>
              </w:rPr>
              <w:t>0.30</w:t>
            </w:r>
          </w:p>
        </w:tc>
        <w:tc>
          <w:tcPr>
            <w:tcW w:w="463" w:type="pct"/>
            <w:shd w:val="clear" w:color="auto" w:fill="auto"/>
            <w:vAlign w:val="center"/>
          </w:tcPr>
          <w:p w14:paraId="4A4FE432">
            <w:pPr>
              <w:pStyle w:val="45"/>
              <w:rPr>
                <w:rFonts w:hint="default" w:eastAsia="宋体"/>
                <w:lang w:val="en-US" w:eastAsia="zh-CN"/>
              </w:rPr>
            </w:pPr>
            <w:r>
              <w:rPr>
                <w:rFonts w:hint="eastAsia"/>
                <w:lang w:val="en-US" w:eastAsia="zh-CN"/>
              </w:rPr>
              <w:t>0.15</w:t>
            </w:r>
          </w:p>
        </w:tc>
        <w:tc>
          <w:tcPr>
            <w:tcW w:w="463" w:type="pct"/>
            <w:shd w:val="clear" w:color="auto" w:fill="auto"/>
            <w:vAlign w:val="center"/>
          </w:tcPr>
          <w:p w14:paraId="1C1702C4">
            <w:pPr>
              <w:pStyle w:val="45"/>
              <w:rPr>
                <w:rFonts w:hint="default" w:eastAsia="宋体"/>
                <w:lang w:val="en-US" w:eastAsia="zh-CN"/>
              </w:rPr>
            </w:pPr>
            <w:r>
              <w:rPr>
                <w:rFonts w:hint="eastAsia"/>
                <w:lang w:val="en-US" w:eastAsia="zh-CN"/>
              </w:rPr>
              <w:t>0.20</w:t>
            </w:r>
          </w:p>
        </w:tc>
        <w:tc>
          <w:tcPr>
            <w:tcW w:w="480" w:type="pct"/>
            <w:shd w:val="clear" w:color="auto" w:fill="auto"/>
            <w:vAlign w:val="center"/>
          </w:tcPr>
          <w:p w14:paraId="40F61607">
            <w:pPr>
              <w:pStyle w:val="45"/>
              <w:rPr>
                <w:rFonts w:hint="default" w:eastAsia="宋体"/>
                <w:lang w:val="en-US" w:eastAsia="zh-CN"/>
              </w:rPr>
            </w:pPr>
            <w:r>
              <w:rPr>
                <w:rFonts w:hint="eastAsia"/>
                <w:lang w:val="en-US" w:eastAsia="zh-CN"/>
              </w:rPr>
              <w:t>0.30</w:t>
            </w:r>
          </w:p>
        </w:tc>
      </w:tr>
      <w:tr w14:paraId="7DDD3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200" w:type="pct"/>
            <w:shd w:val="clear" w:color="auto" w:fill="auto"/>
            <w:vAlign w:val="center"/>
          </w:tcPr>
          <w:p w14:paraId="7D9D7DFF">
            <w:pPr>
              <w:pStyle w:val="45"/>
              <w:rPr>
                <w:rFonts w:hint="default"/>
              </w:rPr>
            </w:pPr>
            <w:r>
              <w:t>硫酸盐（以SO</w:t>
            </w:r>
            <w:r>
              <w:rPr>
                <w:vertAlign w:val="subscript"/>
              </w:rPr>
              <w:t>4</w:t>
            </w:r>
            <w:r>
              <w:t>计）w/%≦</w:t>
            </w:r>
          </w:p>
        </w:tc>
        <w:tc>
          <w:tcPr>
            <w:tcW w:w="459" w:type="pct"/>
            <w:shd w:val="clear" w:color="auto" w:fill="auto"/>
            <w:vAlign w:val="center"/>
          </w:tcPr>
          <w:p w14:paraId="0DEE8AD2">
            <w:pPr>
              <w:pStyle w:val="45"/>
              <w:rPr>
                <w:rFonts w:hint="default" w:eastAsia="宋体"/>
                <w:lang w:val="en-US" w:eastAsia="zh-CN"/>
              </w:rPr>
            </w:pPr>
            <w:r>
              <w:rPr>
                <w:rFonts w:hint="eastAsia"/>
                <w:lang w:val="en-US" w:eastAsia="zh-CN"/>
              </w:rPr>
              <w:t>0.01</w:t>
            </w:r>
          </w:p>
        </w:tc>
        <w:tc>
          <w:tcPr>
            <w:tcW w:w="934" w:type="pct"/>
            <w:gridSpan w:val="2"/>
            <w:shd w:val="clear" w:color="auto" w:fill="auto"/>
            <w:vAlign w:val="center"/>
          </w:tcPr>
          <w:p w14:paraId="405EB62E">
            <w:pPr>
              <w:pStyle w:val="45"/>
            </w:pPr>
            <w:r>
              <w:rPr>
                <w:rFonts w:hint="eastAsia"/>
                <w:lang w:val="en-US" w:eastAsia="zh-CN"/>
              </w:rPr>
              <w:t>0.1</w:t>
            </w:r>
          </w:p>
        </w:tc>
        <w:tc>
          <w:tcPr>
            <w:tcW w:w="463" w:type="pct"/>
            <w:shd w:val="clear" w:color="auto" w:fill="auto"/>
            <w:vAlign w:val="center"/>
          </w:tcPr>
          <w:p w14:paraId="72D7CC67">
            <w:pPr>
              <w:pStyle w:val="45"/>
              <w:ind w:firstLine="0" w:firstLineChars="0"/>
              <w:rPr>
                <w:rFonts w:hint="default"/>
              </w:rPr>
            </w:pPr>
            <w:r>
              <w:rPr>
                <w:rFonts w:hint="eastAsia"/>
                <w:lang w:val="en-US" w:eastAsia="zh-CN"/>
              </w:rPr>
              <w:t>0.01</w:t>
            </w:r>
          </w:p>
        </w:tc>
        <w:tc>
          <w:tcPr>
            <w:tcW w:w="943" w:type="pct"/>
            <w:gridSpan w:val="2"/>
            <w:shd w:val="clear" w:color="auto" w:fill="auto"/>
            <w:vAlign w:val="center"/>
          </w:tcPr>
          <w:p w14:paraId="46D08FD4">
            <w:pPr>
              <w:pStyle w:val="45"/>
              <w:ind w:firstLine="0" w:firstLineChars="0"/>
              <w:rPr>
                <w:rFonts w:hint="default"/>
              </w:rPr>
            </w:pPr>
            <w:r>
              <w:rPr>
                <w:rFonts w:hint="eastAsia"/>
                <w:lang w:val="en-US" w:eastAsia="zh-CN"/>
              </w:rPr>
              <w:t>0.1</w:t>
            </w:r>
          </w:p>
        </w:tc>
      </w:tr>
      <w:tr w14:paraId="4C7FB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200" w:type="pct"/>
            <w:shd w:val="clear" w:color="auto" w:fill="auto"/>
            <w:vAlign w:val="center"/>
          </w:tcPr>
          <w:p w14:paraId="06A45996">
            <w:pPr>
              <w:pStyle w:val="45"/>
              <w:rPr>
                <w:rFonts w:hint="default"/>
              </w:rPr>
            </w:pPr>
            <w:r>
              <w:rPr>
                <w:rFonts w:hint="eastAsia"/>
                <w:lang w:val="en-US" w:eastAsia="zh-CN"/>
              </w:rPr>
              <w:t>铬</w:t>
            </w:r>
            <w:r>
              <w:t>酸盐（以</w:t>
            </w:r>
            <w:r>
              <w:rPr>
                <w:rFonts w:hint="eastAsia"/>
                <w:lang w:val="en-US" w:eastAsia="zh-CN"/>
              </w:rPr>
              <w:t>Cr</w:t>
            </w:r>
            <w:r>
              <w:t>O</w:t>
            </w:r>
            <w:r>
              <w:rPr>
                <w:vertAlign w:val="subscript"/>
              </w:rPr>
              <w:t>4</w:t>
            </w:r>
            <w:r>
              <w:t>计）w/%≦</w:t>
            </w:r>
          </w:p>
        </w:tc>
        <w:tc>
          <w:tcPr>
            <w:tcW w:w="459" w:type="pct"/>
            <w:shd w:val="clear" w:color="auto" w:fill="auto"/>
            <w:vAlign w:val="center"/>
          </w:tcPr>
          <w:p w14:paraId="21971E5A">
            <w:pPr>
              <w:pStyle w:val="45"/>
              <w:rPr>
                <w:rFonts w:hint="default" w:eastAsia="宋体"/>
                <w:lang w:val="en-US" w:eastAsia="zh-CN"/>
              </w:rPr>
            </w:pPr>
            <w:r>
              <w:rPr>
                <w:rFonts w:hint="eastAsia"/>
                <w:lang w:val="en-US" w:eastAsia="zh-CN"/>
              </w:rPr>
              <w:t>0.005</w:t>
            </w:r>
          </w:p>
        </w:tc>
        <w:tc>
          <w:tcPr>
            <w:tcW w:w="934" w:type="pct"/>
            <w:gridSpan w:val="2"/>
            <w:shd w:val="clear" w:color="auto" w:fill="auto"/>
            <w:vAlign w:val="center"/>
          </w:tcPr>
          <w:p w14:paraId="166E550C">
            <w:pPr>
              <w:pStyle w:val="45"/>
            </w:pPr>
            <w:r>
              <w:rPr>
                <w:rFonts w:hint="eastAsia"/>
                <w:lang w:val="en-US" w:eastAsia="zh-CN"/>
              </w:rPr>
              <w:t>0.01</w:t>
            </w:r>
          </w:p>
        </w:tc>
        <w:tc>
          <w:tcPr>
            <w:tcW w:w="463" w:type="pct"/>
            <w:shd w:val="clear" w:color="auto" w:fill="auto"/>
            <w:vAlign w:val="center"/>
          </w:tcPr>
          <w:p w14:paraId="1DA4A7CE">
            <w:pPr>
              <w:pStyle w:val="45"/>
              <w:ind w:firstLine="0" w:firstLineChars="0"/>
              <w:rPr>
                <w:rFonts w:hint="default"/>
              </w:rPr>
            </w:pPr>
            <w:r>
              <w:rPr>
                <w:rFonts w:hint="eastAsia"/>
                <w:lang w:val="en-US" w:eastAsia="zh-CN"/>
              </w:rPr>
              <w:t>0.005</w:t>
            </w:r>
          </w:p>
        </w:tc>
        <w:tc>
          <w:tcPr>
            <w:tcW w:w="943" w:type="pct"/>
            <w:gridSpan w:val="2"/>
            <w:shd w:val="clear" w:color="auto" w:fill="auto"/>
            <w:vAlign w:val="center"/>
          </w:tcPr>
          <w:p w14:paraId="7957DF7F">
            <w:pPr>
              <w:pStyle w:val="45"/>
              <w:ind w:firstLine="0" w:firstLineChars="0"/>
              <w:rPr>
                <w:rFonts w:hint="default"/>
              </w:rPr>
            </w:pPr>
            <w:r>
              <w:rPr>
                <w:rFonts w:hint="eastAsia"/>
                <w:lang w:val="en-US" w:eastAsia="zh-CN"/>
              </w:rPr>
              <w:t>0.01</w:t>
            </w:r>
          </w:p>
        </w:tc>
      </w:tr>
      <w:tr w14:paraId="7C1C0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200" w:type="pct"/>
            <w:shd w:val="clear" w:color="auto" w:fill="auto"/>
            <w:vAlign w:val="center"/>
          </w:tcPr>
          <w:p w14:paraId="6CF9E68E">
            <w:pPr>
              <w:pStyle w:val="45"/>
              <w:rPr>
                <w:rFonts w:hint="default"/>
              </w:rPr>
            </w:pPr>
            <w:r>
              <w:t>铁（Fe）w/%≦</w:t>
            </w:r>
          </w:p>
        </w:tc>
        <w:tc>
          <w:tcPr>
            <w:tcW w:w="459" w:type="pct"/>
            <w:shd w:val="clear" w:color="auto" w:fill="auto"/>
            <w:vAlign w:val="center"/>
          </w:tcPr>
          <w:p w14:paraId="7E9DE3FD">
            <w:pPr>
              <w:pStyle w:val="45"/>
              <w:rPr>
                <w:rFonts w:hint="default" w:eastAsia="宋体"/>
                <w:lang w:val="en-US" w:eastAsia="zh-CN"/>
              </w:rPr>
            </w:pPr>
            <w:r>
              <w:rPr>
                <w:rFonts w:hint="eastAsia"/>
                <w:lang w:val="en-US" w:eastAsia="zh-CN"/>
              </w:rPr>
              <w:t>0.005</w:t>
            </w:r>
          </w:p>
        </w:tc>
        <w:tc>
          <w:tcPr>
            <w:tcW w:w="934" w:type="pct"/>
            <w:gridSpan w:val="2"/>
            <w:shd w:val="clear" w:color="auto" w:fill="auto"/>
            <w:vAlign w:val="center"/>
          </w:tcPr>
          <w:p w14:paraId="7BC88A86">
            <w:pPr>
              <w:pStyle w:val="45"/>
            </w:pPr>
            <w:r>
              <w:rPr>
                <w:rFonts w:hint="eastAsia"/>
                <w:lang w:val="en-US" w:eastAsia="zh-CN"/>
              </w:rPr>
              <w:t>0.05</w:t>
            </w:r>
          </w:p>
        </w:tc>
        <w:tc>
          <w:tcPr>
            <w:tcW w:w="463" w:type="pct"/>
            <w:shd w:val="clear" w:color="auto" w:fill="auto"/>
            <w:vAlign w:val="center"/>
          </w:tcPr>
          <w:p w14:paraId="13BD6DFE">
            <w:pPr>
              <w:pStyle w:val="45"/>
              <w:ind w:firstLine="0" w:firstLineChars="0"/>
              <w:rPr>
                <w:rFonts w:hint="default"/>
              </w:rPr>
            </w:pPr>
            <w:r>
              <w:rPr>
                <w:rFonts w:hint="eastAsia"/>
                <w:lang w:val="en-US" w:eastAsia="zh-CN"/>
              </w:rPr>
              <w:t>0.005</w:t>
            </w:r>
          </w:p>
        </w:tc>
        <w:tc>
          <w:tcPr>
            <w:tcW w:w="943" w:type="pct"/>
            <w:gridSpan w:val="2"/>
            <w:shd w:val="clear" w:color="auto" w:fill="auto"/>
            <w:vAlign w:val="center"/>
          </w:tcPr>
          <w:p w14:paraId="3FBB5C12">
            <w:pPr>
              <w:pStyle w:val="45"/>
              <w:ind w:firstLine="0" w:firstLineChars="0"/>
              <w:rPr>
                <w:rFonts w:hint="default"/>
              </w:rPr>
            </w:pPr>
            <w:r>
              <w:rPr>
                <w:rFonts w:hint="eastAsia"/>
                <w:lang w:val="en-US" w:eastAsia="zh-CN"/>
              </w:rPr>
              <w:t>0.05</w:t>
            </w:r>
          </w:p>
        </w:tc>
      </w:tr>
    </w:tbl>
    <w:p w14:paraId="05790210">
      <w:pPr>
        <w:ind w:left="0" w:leftChars="0" w:firstLine="0" w:firstLineChars="0"/>
        <w:rPr>
          <w:rFonts w:hint="default"/>
          <w:lang w:val="en-US" w:eastAsia="zh-CN"/>
        </w:rPr>
      </w:pPr>
    </w:p>
    <w:p w14:paraId="3F78E62D">
      <w:pPr>
        <w:ind w:firstLine="480"/>
        <w:rPr>
          <w:rFonts w:hint="eastAsia"/>
          <w:lang w:val="en-US" w:eastAsia="zh-CN"/>
        </w:rPr>
      </w:pPr>
      <w:r>
        <w:rPr>
          <w:rFonts w:hint="eastAsia"/>
          <w:lang w:val="en-US" w:eastAsia="zh-CN"/>
        </w:rPr>
        <w:t>氯酸钾产品执行</w:t>
      </w:r>
      <w:r>
        <w:rPr>
          <w:rFonts w:hint="eastAsia"/>
        </w:rPr>
        <w:t>产品质量执行</w:t>
      </w:r>
      <w:r>
        <w:rPr>
          <w:rFonts w:hint="eastAsia"/>
          <w:lang w:val="en-US" w:eastAsia="zh-CN"/>
        </w:rPr>
        <w:t>《工业氯酸钾》（GB/T 752-2019）。</w:t>
      </w:r>
    </w:p>
    <w:p w14:paraId="66978659">
      <w:pPr>
        <w:pStyle w:val="43"/>
        <w:rPr>
          <w:rFonts w:hint="eastAsia"/>
        </w:rPr>
      </w:pPr>
      <w:r>
        <w:rPr>
          <w:rFonts w:hint="eastAsia"/>
          <w:lang w:val="en-US" w:eastAsia="zh-CN"/>
        </w:rPr>
        <w:t>氯酸钾质量标准</w:t>
      </w:r>
      <w:r>
        <w:rPr>
          <w:rFonts w:hint="eastAsia"/>
        </w:rPr>
        <w:t>（GB/T 752-2019）</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23"/>
        <w:gridCol w:w="1165"/>
        <w:gridCol w:w="1165"/>
        <w:gridCol w:w="1166"/>
      </w:tblGrid>
      <w:tr w14:paraId="20A61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blHeader/>
        </w:trPr>
        <w:tc>
          <w:tcPr>
            <w:tcW w:w="2948" w:type="pct"/>
            <w:vMerge w:val="restart"/>
            <w:shd w:val="clear" w:color="auto" w:fill="auto"/>
            <w:vAlign w:val="center"/>
          </w:tcPr>
          <w:p w14:paraId="45DD2940">
            <w:pPr>
              <w:pStyle w:val="45"/>
              <w:rPr>
                <w:rFonts w:hint="default"/>
                <w:b/>
                <w:bCs/>
              </w:rPr>
            </w:pPr>
            <w:r>
              <w:rPr>
                <w:b/>
                <w:bCs/>
              </w:rPr>
              <w:t>项目</w:t>
            </w:r>
          </w:p>
        </w:tc>
        <w:tc>
          <w:tcPr>
            <w:tcW w:w="2051" w:type="pct"/>
            <w:gridSpan w:val="3"/>
            <w:shd w:val="clear" w:color="auto" w:fill="auto"/>
            <w:vAlign w:val="center"/>
          </w:tcPr>
          <w:p w14:paraId="52248686">
            <w:pPr>
              <w:pStyle w:val="45"/>
              <w:rPr>
                <w:rFonts w:hint="eastAsia" w:eastAsia="宋体"/>
                <w:b/>
                <w:bCs/>
                <w:lang w:val="en-US" w:eastAsia="zh-CN"/>
              </w:rPr>
            </w:pPr>
            <w:r>
              <w:rPr>
                <w:rFonts w:hint="eastAsia"/>
                <w:b/>
                <w:bCs/>
                <w:lang w:val="en-US" w:eastAsia="zh-CN"/>
              </w:rPr>
              <w:t>指标</w:t>
            </w:r>
          </w:p>
        </w:tc>
      </w:tr>
      <w:tr w14:paraId="2EE3E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blHeader/>
        </w:trPr>
        <w:tc>
          <w:tcPr>
            <w:tcW w:w="2948" w:type="pct"/>
            <w:vMerge w:val="continue"/>
            <w:shd w:val="clear" w:color="auto" w:fill="auto"/>
            <w:vAlign w:val="center"/>
          </w:tcPr>
          <w:p w14:paraId="71CDC9B7">
            <w:pPr>
              <w:pStyle w:val="45"/>
              <w:rPr>
                <w:rFonts w:hint="default"/>
                <w:b/>
                <w:bCs/>
              </w:rPr>
            </w:pPr>
          </w:p>
        </w:tc>
        <w:tc>
          <w:tcPr>
            <w:tcW w:w="683" w:type="pct"/>
            <w:shd w:val="clear" w:color="auto" w:fill="auto"/>
            <w:vAlign w:val="center"/>
          </w:tcPr>
          <w:p w14:paraId="038A6F59">
            <w:pPr>
              <w:pStyle w:val="45"/>
              <w:bidi w:val="0"/>
              <w:rPr>
                <w:rFonts w:hint="default"/>
                <w:b/>
                <w:bCs/>
                <w:lang w:val="en-US" w:eastAsia="zh-CN"/>
              </w:rPr>
            </w:pPr>
            <w:r>
              <w:rPr>
                <w:rFonts w:hint="eastAsia"/>
                <w:b/>
                <w:bCs/>
                <w:lang w:val="en-US" w:eastAsia="zh-CN"/>
              </w:rPr>
              <w:t>I型</w:t>
            </w:r>
          </w:p>
        </w:tc>
        <w:tc>
          <w:tcPr>
            <w:tcW w:w="683" w:type="pct"/>
            <w:shd w:val="clear" w:color="auto" w:fill="auto"/>
            <w:vAlign w:val="center"/>
          </w:tcPr>
          <w:p w14:paraId="15E0AFEF">
            <w:pPr>
              <w:pStyle w:val="45"/>
              <w:bidi w:val="0"/>
              <w:rPr>
                <w:b/>
                <w:bCs/>
              </w:rPr>
            </w:pPr>
            <w:r>
              <w:rPr>
                <w:rFonts w:hint="eastAsia"/>
                <w:b/>
                <w:bCs/>
                <w:lang w:val="en-US" w:eastAsia="zh-CN"/>
              </w:rPr>
              <w:t>II型</w:t>
            </w:r>
          </w:p>
        </w:tc>
        <w:tc>
          <w:tcPr>
            <w:tcW w:w="684" w:type="pct"/>
            <w:shd w:val="clear" w:color="auto" w:fill="auto"/>
            <w:vAlign w:val="center"/>
          </w:tcPr>
          <w:p w14:paraId="76A58890">
            <w:pPr>
              <w:pStyle w:val="45"/>
              <w:bidi w:val="0"/>
              <w:rPr>
                <w:b/>
                <w:bCs/>
              </w:rPr>
            </w:pPr>
            <w:r>
              <w:rPr>
                <w:rFonts w:hint="eastAsia"/>
                <w:b/>
                <w:bCs/>
                <w:lang w:val="en-US" w:eastAsia="zh-CN"/>
              </w:rPr>
              <w:t>II型</w:t>
            </w:r>
          </w:p>
        </w:tc>
      </w:tr>
      <w:tr w14:paraId="20AE4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2948" w:type="pct"/>
            <w:shd w:val="clear" w:color="auto" w:fill="auto"/>
            <w:vAlign w:val="center"/>
          </w:tcPr>
          <w:p w14:paraId="000B575D">
            <w:pPr>
              <w:pStyle w:val="45"/>
              <w:rPr>
                <w:rFonts w:hint="eastAsia" w:eastAsia="宋体"/>
                <w:lang w:eastAsia="zh-CN"/>
              </w:rPr>
            </w:pPr>
            <w:r>
              <w:t>氯酸钠（</w:t>
            </w:r>
            <w:r>
              <w:rPr>
                <w:rFonts w:hint="eastAsia"/>
                <w:lang w:val="en-US" w:eastAsia="zh-CN"/>
              </w:rPr>
              <w:t>K</w:t>
            </w:r>
            <w:r>
              <w:t>ClO</w:t>
            </w:r>
            <w:r>
              <w:rPr>
                <w:rFonts w:hint="eastAsia"/>
                <w:vertAlign w:val="subscript"/>
                <w:lang w:val="en-US" w:eastAsia="zh-CN"/>
              </w:rPr>
              <w:t>3</w:t>
            </w:r>
            <w:r>
              <w:t>）</w:t>
            </w:r>
            <w:r>
              <w:rPr>
                <w:rFonts w:hint="eastAsia"/>
                <w:lang w:val="en-US" w:eastAsia="zh-CN"/>
              </w:rPr>
              <w:t>含量</w:t>
            </w:r>
            <w:r>
              <w:rPr>
                <w:rFonts w:hint="eastAsia"/>
                <w:lang w:eastAsia="zh-CN"/>
              </w:rPr>
              <w:t>（</w:t>
            </w:r>
            <w:r>
              <w:rPr>
                <w:rFonts w:hint="eastAsia"/>
                <w:lang w:val="en-US" w:eastAsia="zh-CN"/>
              </w:rPr>
              <w:t>质量分数</w:t>
            </w:r>
            <w:r>
              <w:rPr>
                <w:rFonts w:hint="eastAsia"/>
                <w:lang w:eastAsia="zh-CN"/>
              </w:rPr>
              <w:t>）</w:t>
            </w:r>
            <w:r>
              <w:t>w/%</w:t>
            </w:r>
            <w:r>
              <w:rPr>
                <w:rFonts w:hint="eastAsia"/>
                <w:lang w:val="en-US" w:eastAsia="zh-CN"/>
              </w:rPr>
              <w:t>≥</w:t>
            </w:r>
          </w:p>
        </w:tc>
        <w:tc>
          <w:tcPr>
            <w:tcW w:w="683" w:type="pct"/>
            <w:shd w:val="clear" w:color="auto" w:fill="auto"/>
            <w:vAlign w:val="center"/>
          </w:tcPr>
          <w:p w14:paraId="4E6A12E5">
            <w:pPr>
              <w:pStyle w:val="45"/>
              <w:rPr>
                <w:rFonts w:hint="default"/>
                <w:lang w:val="en-US" w:eastAsia="zh-CN"/>
              </w:rPr>
            </w:pPr>
            <w:r>
              <w:rPr>
                <w:rFonts w:hint="eastAsia"/>
                <w:lang w:val="en-US" w:eastAsia="zh-CN"/>
              </w:rPr>
              <w:t>99.5</w:t>
            </w:r>
          </w:p>
        </w:tc>
        <w:tc>
          <w:tcPr>
            <w:tcW w:w="683" w:type="pct"/>
            <w:shd w:val="clear" w:color="auto" w:fill="auto"/>
            <w:vAlign w:val="center"/>
          </w:tcPr>
          <w:p w14:paraId="3E47F680">
            <w:pPr>
              <w:pStyle w:val="45"/>
              <w:rPr>
                <w:rFonts w:hint="default"/>
                <w:lang w:val="en-US" w:eastAsia="zh-CN"/>
              </w:rPr>
            </w:pPr>
            <w:r>
              <w:rPr>
                <w:rFonts w:hint="eastAsia"/>
                <w:lang w:val="en-US" w:eastAsia="zh-CN"/>
              </w:rPr>
              <w:t>99.2</w:t>
            </w:r>
          </w:p>
        </w:tc>
        <w:tc>
          <w:tcPr>
            <w:tcW w:w="684" w:type="pct"/>
            <w:shd w:val="clear" w:color="auto" w:fill="auto"/>
            <w:vAlign w:val="center"/>
          </w:tcPr>
          <w:p w14:paraId="15B5DA79">
            <w:pPr>
              <w:pStyle w:val="45"/>
              <w:rPr>
                <w:rFonts w:hint="default"/>
                <w:lang w:val="en-US" w:eastAsia="zh-CN"/>
              </w:rPr>
            </w:pPr>
            <w:r>
              <w:rPr>
                <w:rFonts w:hint="eastAsia"/>
                <w:lang w:val="en-US" w:eastAsia="zh-CN"/>
              </w:rPr>
              <w:t>98.5</w:t>
            </w:r>
          </w:p>
        </w:tc>
      </w:tr>
      <w:tr w14:paraId="65A4F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2948" w:type="pct"/>
            <w:shd w:val="clear" w:color="auto" w:fill="auto"/>
            <w:vAlign w:val="center"/>
          </w:tcPr>
          <w:p w14:paraId="7FFA6B47">
            <w:pPr>
              <w:pStyle w:val="45"/>
            </w:pPr>
            <w:r>
              <w:t>水分</w:t>
            </w:r>
            <w:r>
              <w:rPr>
                <w:rFonts w:hint="eastAsia"/>
                <w:lang w:eastAsia="zh-CN"/>
              </w:rPr>
              <w:t>（</w:t>
            </w:r>
            <w:r>
              <w:rPr>
                <w:rFonts w:hint="eastAsia"/>
                <w:lang w:val="en-US" w:eastAsia="zh-CN"/>
              </w:rPr>
              <w:t>质量分数</w:t>
            </w:r>
            <w:r>
              <w:rPr>
                <w:rFonts w:hint="eastAsia"/>
                <w:lang w:eastAsia="zh-CN"/>
              </w:rPr>
              <w:t>）</w:t>
            </w:r>
            <w:r>
              <w:t>w/%≦</w:t>
            </w:r>
          </w:p>
        </w:tc>
        <w:tc>
          <w:tcPr>
            <w:tcW w:w="683" w:type="pct"/>
            <w:shd w:val="clear" w:color="auto" w:fill="auto"/>
            <w:vAlign w:val="center"/>
          </w:tcPr>
          <w:p w14:paraId="6836626E">
            <w:pPr>
              <w:pStyle w:val="45"/>
              <w:rPr>
                <w:rFonts w:hint="default"/>
                <w:lang w:val="en-US" w:eastAsia="zh-CN"/>
              </w:rPr>
            </w:pPr>
            <w:r>
              <w:rPr>
                <w:rFonts w:hint="eastAsia"/>
                <w:lang w:val="en-US" w:eastAsia="zh-CN"/>
              </w:rPr>
              <w:t>0.05</w:t>
            </w:r>
          </w:p>
        </w:tc>
        <w:tc>
          <w:tcPr>
            <w:tcW w:w="683" w:type="pct"/>
            <w:shd w:val="clear" w:color="auto" w:fill="auto"/>
            <w:vAlign w:val="center"/>
          </w:tcPr>
          <w:p w14:paraId="10F0F6DB">
            <w:pPr>
              <w:pStyle w:val="45"/>
              <w:rPr>
                <w:rFonts w:hint="default"/>
                <w:lang w:val="en-US" w:eastAsia="zh-CN"/>
              </w:rPr>
            </w:pPr>
            <w:r>
              <w:rPr>
                <w:rFonts w:hint="eastAsia"/>
                <w:lang w:val="en-US" w:eastAsia="zh-CN"/>
              </w:rPr>
              <w:t>0.10</w:t>
            </w:r>
          </w:p>
        </w:tc>
        <w:tc>
          <w:tcPr>
            <w:tcW w:w="684" w:type="pct"/>
            <w:shd w:val="clear" w:color="auto" w:fill="auto"/>
            <w:vAlign w:val="center"/>
          </w:tcPr>
          <w:p w14:paraId="56F75068">
            <w:pPr>
              <w:pStyle w:val="45"/>
              <w:rPr>
                <w:rFonts w:hint="default"/>
                <w:lang w:val="en-US" w:eastAsia="zh-CN"/>
              </w:rPr>
            </w:pPr>
            <w:r>
              <w:rPr>
                <w:rFonts w:hint="eastAsia"/>
                <w:lang w:val="en-US" w:eastAsia="zh-CN"/>
              </w:rPr>
              <w:t>0.10</w:t>
            </w:r>
          </w:p>
        </w:tc>
      </w:tr>
      <w:tr w14:paraId="66D6E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2948" w:type="pct"/>
            <w:shd w:val="clear" w:color="auto" w:fill="auto"/>
            <w:vAlign w:val="center"/>
          </w:tcPr>
          <w:p w14:paraId="458773D3">
            <w:pPr>
              <w:pStyle w:val="45"/>
              <w:rPr>
                <w:rFonts w:hint="default"/>
              </w:rPr>
            </w:pPr>
            <w:r>
              <w:t>水不溶物</w:t>
            </w:r>
            <w:r>
              <w:rPr>
                <w:rFonts w:hint="eastAsia"/>
                <w:lang w:val="en-US" w:eastAsia="zh-CN"/>
              </w:rPr>
              <w:t>含量（质量分数）</w:t>
            </w:r>
            <w:r>
              <w:t>w/%≦</w:t>
            </w:r>
          </w:p>
        </w:tc>
        <w:tc>
          <w:tcPr>
            <w:tcW w:w="683" w:type="pct"/>
            <w:shd w:val="clear" w:color="auto" w:fill="auto"/>
            <w:vAlign w:val="center"/>
          </w:tcPr>
          <w:p w14:paraId="1EB9E040">
            <w:pPr>
              <w:pStyle w:val="45"/>
              <w:rPr>
                <w:rFonts w:hint="default"/>
                <w:lang w:val="en-US" w:eastAsia="zh-CN"/>
              </w:rPr>
            </w:pPr>
            <w:r>
              <w:rPr>
                <w:rFonts w:hint="eastAsia"/>
                <w:lang w:val="en-US" w:eastAsia="zh-CN"/>
              </w:rPr>
              <w:t>0.02</w:t>
            </w:r>
          </w:p>
        </w:tc>
        <w:tc>
          <w:tcPr>
            <w:tcW w:w="683" w:type="pct"/>
            <w:shd w:val="clear" w:color="auto" w:fill="auto"/>
            <w:vAlign w:val="center"/>
          </w:tcPr>
          <w:p w14:paraId="101130A9">
            <w:pPr>
              <w:pStyle w:val="45"/>
              <w:rPr>
                <w:rFonts w:hint="default"/>
                <w:lang w:val="en-US" w:eastAsia="zh-CN"/>
              </w:rPr>
            </w:pPr>
            <w:r>
              <w:rPr>
                <w:rFonts w:hint="eastAsia"/>
                <w:lang w:val="en-US" w:eastAsia="zh-CN"/>
              </w:rPr>
              <w:t>0.10</w:t>
            </w:r>
          </w:p>
        </w:tc>
        <w:tc>
          <w:tcPr>
            <w:tcW w:w="684" w:type="pct"/>
            <w:shd w:val="clear" w:color="auto" w:fill="auto"/>
            <w:vAlign w:val="center"/>
          </w:tcPr>
          <w:p w14:paraId="3C1D47E4">
            <w:pPr>
              <w:pStyle w:val="45"/>
              <w:rPr>
                <w:rFonts w:hint="default"/>
                <w:lang w:val="en-US" w:eastAsia="zh-CN"/>
              </w:rPr>
            </w:pPr>
            <w:r>
              <w:rPr>
                <w:rFonts w:hint="eastAsia"/>
                <w:lang w:val="en-US" w:eastAsia="zh-CN"/>
              </w:rPr>
              <w:t>0.60</w:t>
            </w:r>
          </w:p>
        </w:tc>
      </w:tr>
      <w:tr w14:paraId="12834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2948" w:type="pct"/>
            <w:shd w:val="clear" w:color="auto" w:fill="auto"/>
            <w:vAlign w:val="center"/>
          </w:tcPr>
          <w:p w14:paraId="36806B0C">
            <w:pPr>
              <w:pStyle w:val="45"/>
              <w:rPr>
                <w:rFonts w:hint="default"/>
              </w:rPr>
            </w:pPr>
            <w:r>
              <w:t>氯化物（以</w:t>
            </w:r>
            <w:r>
              <w:rPr>
                <w:rFonts w:hint="eastAsia"/>
                <w:lang w:val="en-US" w:eastAsia="zh-CN"/>
              </w:rPr>
              <w:t>K</w:t>
            </w:r>
            <w:r>
              <w:t>Cl计）</w:t>
            </w:r>
            <w:r>
              <w:rPr>
                <w:rFonts w:hint="eastAsia"/>
                <w:lang w:val="en-US" w:eastAsia="zh-CN"/>
              </w:rPr>
              <w:t>含量（质量分数）</w:t>
            </w:r>
            <w:r>
              <w:t>w/%≦</w:t>
            </w:r>
          </w:p>
        </w:tc>
        <w:tc>
          <w:tcPr>
            <w:tcW w:w="683" w:type="pct"/>
            <w:shd w:val="clear" w:color="auto" w:fill="auto"/>
            <w:vAlign w:val="center"/>
          </w:tcPr>
          <w:p w14:paraId="1D533C6E">
            <w:pPr>
              <w:pStyle w:val="45"/>
              <w:rPr>
                <w:rFonts w:hint="default"/>
                <w:lang w:val="en-US" w:eastAsia="zh-CN"/>
              </w:rPr>
            </w:pPr>
            <w:r>
              <w:rPr>
                <w:rFonts w:hint="eastAsia"/>
                <w:lang w:val="en-US" w:eastAsia="zh-CN"/>
              </w:rPr>
              <w:t>0.04</w:t>
            </w:r>
          </w:p>
        </w:tc>
        <w:tc>
          <w:tcPr>
            <w:tcW w:w="683" w:type="pct"/>
            <w:shd w:val="clear" w:color="auto" w:fill="auto"/>
            <w:vAlign w:val="center"/>
          </w:tcPr>
          <w:p w14:paraId="326CD548">
            <w:pPr>
              <w:pStyle w:val="45"/>
              <w:rPr>
                <w:rFonts w:hint="default"/>
                <w:lang w:val="en-US" w:eastAsia="zh-CN"/>
              </w:rPr>
            </w:pPr>
            <w:r>
              <w:rPr>
                <w:rFonts w:hint="eastAsia"/>
                <w:lang w:val="en-US" w:eastAsia="zh-CN"/>
              </w:rPr>
              <w:t>0.06</w:t>
            </w:r>
          </w:p>
        </w:tc>
        <w:tc>
          <w:tcPr>
            <w:tcW w:w="684" w:type="pct"/>
            <w:shd w:val="clear" w:color="auto" w:fill="auto"/>
            <w:vAlign w:val="center"/>
          </w:tcPr>
          <w:p w14:paraId="0CBBC5E5">
            <w:pPr>
              <w:pStyle w:val="45"/>
              <w:rPr>
                <w:rFonts w:hint="default"/>
                <w:lang w:val="en-US" w:eastAsia="zh-CN"/>
              </w:rPr>
            </w:pPr>
            <w:r>
              <w:rPr>
                <w:rFonts w:hint="eastAsia"/>
                <w:lang w:val="en-US" w:eastAsia="zh-CN"/>
              </w:rPr>
              <w:t>0.15</w:t>
            </w:r>
          </w:p>
        </w:tc>
      </w:tr>
      <w:tr w14:paraId="3D401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948" w:type="pct"/>
            <w:shd w:val="clear" w:color="auto" w:fill="auto"/>
            <w:vAlign w:val="center"/>
          </w:tcPr>
          <w:p w14:paraId="4C52EA7C">
            <w:pPr>
              <w:pStyle w:val="45"/>
              <w:rPr>
                <w:rFonts w:hint="default"/>
              </w:rPr>
            </w:pPr>
            <w:r>
              <w:rPr>
                <w:rFonts w:cs="Times New Roman"/>
                <w:color w:val="000000"/>
                <w:kern w:val="0"/>
                <w:sz w:val="21"/>
                <w:szCs w:val="21"/>
              </w:rPr>
              <w:t>溴酸盐（以</w:t>
            </w:r>
            <w:r>
              <w:rPr>
                <w:rFonts w:cs="Times New Roman"/>
                <w:color w:val="000000"/>
                <w:kern w:val="0"/>
                <w:sz w:val="21"/>
                <w:szCs w:val="20"/>
              </w:rPr>
              <w:t>KBrO</w:t>
            </w:r>
            <w:r>
              <w:rPr>
                <w:rFonts w:cs="Times New Roman"/>
                <w:color w:val="000000"/>
                <w:kern w:val="0"/>
                <w:sz w:val="21"/>
                <w:szCs w:val="20"/>
                <w:vertAlign w:val="subscript"/>
              </w:rPr>
              <w:t>3</w:t>
            </w:r>
            <w:r>
              <w:rPr>
                <w:rFonts w:cs="Times New Roman"/>
                <w:color w:val="000000"/>
                <w:kern w:val="0"/>
                <w:sz w:val="21"/>
                <w:szCs w:val="21"/>
              </w:rPr>
              <w:t>计）</w:t>
            </w:r>
            <w:r>
              <w:rPr>
                <w:rFonts w:hint="eastAsia" w:cs="Times New Roman"/>
                <w:color w:val="000000"/>
                <w:kern w:val="0"/>
                <w:sz w:val="21"/>
                <w:szCs w:val="21"/>
                <w:lang w:val="en-US" w:eastAsia="zh-CN"/>
              </w:rPr>
              <w:t>含量</w:t>
            </w:r>
            <w:r>
              <w:rPr>
                <w:rFonts w:hint="eastAsia"/>
                <w:lang w:val="en-US" w:eastAsia="zh-CN"/>
              </w:rPr>
              <w:t>（质量分数）</w:t>
            </w:r>
            <w:r>
              <w:rPr>
                <w:rFonts w:cs="Times New Roman"/>
                <w:color w:val="000000"/>
                <w:kern w:val="0"/>
                <w:sz w:val="21"/>
                <w:szCs w:val="21"/>
              </w:rPr>
              <w:t>w/%≦</w:t>
            </w:r>
          </w:p>
        </w:tc>
        <w:tc>
          <w:tcPr>
            <w:tcW w:w="683" w:type="pct"/>
            <w:shd w:val="clear" w:color="auto" w:fill="auto"/>
            <w:vAlign w:val="center"/>
          </w:tcPr>
          <w:p w14:paraId="422F02EA">
            <w:pPr>
              <w:pStyle w:val="45"/>
              <w:ind w:firstLine="0" w:firstLineChars="0"/>
              <w:rPr>
                <w:rFonts w:hint="default"/>
                <w:lang w:val="en-US" w:eastAsia="zh-CN"/>
              </w:rPr>
            </w:pPr>
            <w:r>
              <w:rPr>
                <w:rFonts w:hint="eastAsia"/>
                <w:lang w:val="en-US" w:eastAsia="zh-CN"/>
              </w:rPr>
              <w:t>0.05</w:t>
            </w:r>
          </w:p>
        </w:tc>
        <w:tc>
          <w:tcPr>
            <w:tcW w:w="683" w:type="pct"/>
            <w:shd w:val="clear" w:color="auto" w:fill="auto"/>
            <w:vAlign w:val="center"/>
          </w:tcPr>
          <w:p w14:paraId="289D8E7F">
            <w:pPr>
              <w:pStyle w:val="45"/>
              <w:ind w:firstLine="0" w:firstLineChars="0"/>
              <w:rPr>
                <w:rFonts w:hint="default"/>
                <w:lang w:val="en-US" w:eastAsia="zh-CN"/>
              </w:rPr>
            </w:pPr>
            <w:r>
              <w:rPr>
                <w:rFonts w:hint="eastAsia"/>
                <w:lang w:val="en-US" w:eastAsia="zh-CN"/>
              </w:rPr>
              <w:t>0.15</w:t>
            </w:r>
          </w:p>
        </w:tc>
        <w:tc>
          <w:tcPr>
            <w:tcW w:w="684" w:type="pct"/>
            <w:shd w:val="clear" w:color="auto" w:fill="auto"/>
            <w:vAlign w:val="center"/>
          </w:tcPr>
          <w:p w14:paraId="02498D5D">
            <w:pPr>
              <w:pStyle w:val="45"/>
              <w:ind w:firstLine="0" w:firstLineChars="0"/>
              <w:rPr>
                <w:rFonts w:hint="default"/>
                <w:lang w:val="en-US" w:eastAsia="zh-CN"/>
              </w:rPr>
            </w:pPr>
            <w:r>
              <w:rPr>
                <w:rFonts w:hint="eastAsia"/>
                <w:lang w:val="en-US" w:eastAsia="zh-CN"/>
              </w:rPr>
              <w:t>0.20</w:t>
            </w:r>
          </w:p>
        </w:tc>
      </w:tr>
      <w:tr w14:paraId="25C33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948" w:type="pct"/>
            <w:shd w:val="clear" w:color="auto" w:fill="auto"/>
            <w:vAlign w:val="center"/>
          </w:tcPr>
          <w:p w14:paraId="5F3E332B">
            <w:pPr>
              <w:pStyle w:val="45"/>
              <w:rPr>
                <w:rFonts w:hint="eastAsia" w:eastAsia="宋体"/>
                <w:lang w:val="en-US" w:eastAsia="zh-CN"/>
              </w:rPr>
            </w:pPr>
            <w:r>
              <w:rPr>
                <w:rFonts w:hint="eastAsia"/>
                <w:lang w:val="en-US" w:eastAsia="zh-CN"/>
              </w:rPr>
              <w:t>次氯酸盐</w:t>
            </w:r>
          </w:p>
        </w:tc>
        <w:tc>
          <w:tcPr>
            <w:tcW w:w="2051" w:type="pct"/>
            <w:gridSpan w:val="3"/>
            <w:shd w:val="clear" w:color="auto" w:fill="auto"/>
            <w:vAlign w:val="center"/>
          </w:tcPr>
          <w:p w14:paraId="7BEEC1C0">
            <w:pPr>
              <w:pStyle w:val="45"/>
              <w:ind w:firstLine="0" w:firstLineChars="0"/>
              <w:rPr>
                <w:rFonts w:hint="default"/>
                <w:lang w:val="en-US" w:eastAsia="zh-CN"/>
              </w:rPr>
            </w:pPr>
            <w:r>
              <w:rPr>
                <w:rFonts w:hint="eastAsia"/>
                <w:lang w:val="en-US" w:eastAsia="zh-CN"/>
              </w:rPr>
              <w:t>通过试验</w:t>
            </w:r>
          </w:p>
        </w:tc>
      </w:tr>
      <w:tr w14:paraId="660BA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948" w:type="pct"/>
            <w:shd w:val="clear" w:color="auto" w:fill="auto"/>
            <w:vAlign w:val="center"/>
          </w:tcPr>
          <w:p w14:paraId="2C39ECC9">
            <w:pPr>
              <w:pStyle w:val="45"/>
              <w:rPr>
                <w:rFonts w:hint="eastAsia" w:eastAsia="宋体"/>
                <w:lang w:val="en-US" w:eastAsia="zh-CN"/>
              </w:rPr>
            </w:pPr>
            <w:r>
              <w:rPr>
                <w:rFonts w:hint="eastAsia"/>
                <w:lang w:val="en-US" w:eastAsia="zh-CN"/>
              </w:rPr>
              <w:t>亚氯酸盐</w:t>
            </w:r>
          </w:p>
        </w:tc>
        <w:tc>
          <w:tcPr>
            <w:tcW w:w="2051" w:type="pct"/>
            <w:gridSpan w:val="3"/>
            <w:shd w:val="clear" w:color="auto" w:fill="auto"/>
            <w:vAlign w:val="center"/>
          </w:tcPr>
          <w:p w14:paraId="6EC2F8AB">
            <w:pPr>
              <w:pStyle w:val="45"/>
              <w:bidi w:val="0"/>
              <w:rPr>
                <w:rFonts w:hint="eastAsia"/>
                <w:lang w:val="en-US" w:eastAsia="zh-CN"/>
              </w:rPr>
            </w:pPr>
            <w:r>
              <w:rPr>
                <w:rFonts w:hint="eastAsia"/>
                <w:lang w:val="en-US" w:eastAsia="zh-CN"/>
              </w:rPr>
              <w:t>通过试验</w:t>
            </w:r>
          </w:p>
        </w:tc>
      </w:tr>
      <w:tr w14:paraId="6C3A8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948" w:type="pct"/>
            <w:shd w:val="clear" w:color="auto" w:fill="auto"/>
            <w:vAlign w:val="center"/>
          </w:tcPr>
          <w:p w14:paraId="34F338C2">
            <w:pPr>
              <w:pStyle w:val="45"/>
              <w:rPr>
                <w:rFonts w:hint="default"/>
                <w:lang w:val="en-US" w:eastAsia="zh-CN"/>
              </w:rPr>
            </w:pPr>
            <w:r>
              <w:rPr>
                <w:rFonts w:hint="eastAsia"/>
                <w:lang w:val="en-US" w:eastAsia="zh-CN"/>
              </w:rPr>
              <w:t>重金属</w:t>
            </w:r>
          </w:p>
        </w:tc>
        <w:tc>
          <w:tcPr>
            <w:tcW w:w="2051" w:type="pct"/>
            <w:gridSpan w:val="3"/>
            <w:shd w:val="clear" w:color="auto" w:fill="auto"/>
            <w:vAlign w:val="center"/>
          </w:tcPr>
          <w:p w14:paraId="090DC44D">
            <w:pPr>
              <w:pStyle w:val="45"/>
              <w:bidi w:val="0"/>
              <w:rPr>
                <w:rFonts w:hint="eastAsia"/>
                <w:lang w:val="en-US" w:eastAsia="zh-CN"/>
              </w:rPr>
            </w:pPr>
            <w:r>
              <w:rPr>
                <w:rFonts w:hint="eastAsia"/>
                <w:lang w:val="en-US" w:eastAsia="zh-CN"/>
              </w:rPr>
              <w:t>通过试验</w:t>
            </w:r>
          </w:p>
        </w:tc>
      </w:tr>
      <w:tr w14:paraId="068EB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948" w:type="pct"/>
            <w:shd w:val="clear" w:color="auto" w:fill="auto"/>
            <w:vAlign w:val="center"/>
          </w:tcPr>
          <w:p w14:paraId="3AE6C791">
            <w:pPr>
              <w:pStyle w:val="45"/>
              <w:rPr>
                <w:rFonts w:hint="default"/>
                <w:lang w:val="en-US" w:eastAsia="zh-CN"/>
              </w:rPr>
            </w:pPr>
            <w:r>
              <w:rPr>
                <w:rFonts w:hint="eastAsia"/>
                <w:lang w:val="en-US" w:eastAsia="zh-CN"/>
              </w:rPr>
              <w:t>碱土金属</w:t>
            </w:r>
          </w:p>
        </w:tc>
        <w:tc>
          <w:tcPr>
            <w:tcW w:w="2051" w:type="pct"/>
            <w:gridSpan w:val="3"/>
            <w:shd w:val="clear" w:color="auto" w:fill="auto"/>
            <w:vAlign w:val="center"/>
          </w:tcPr>
          <w:p w14:paraId="5E45CC7B">
            <w:pPr>
              <w:pStyle w:val="45"/>
              <w:bidi w:val="0"/>
              <w:rPr>
                <w:rFonts w:hint="eastAsia"/>
                <w:lang w:val="en-US" w:eastAsia="zh-CN"/>
              </w:rPr>
            </w:pPr>
            <w:r>
              <w:rPr>
                <w:rFonts w:hint="eastAsia"/>
                <w:lang w:val="en-US" w:eastAsia="zh-CN"/>
              </w:rPr>
              <w:t>通过试验</w:t>
            </w:r>
          </w:p>
        </w:tc>
      </w:tr>
      <w:tr w14:paraId="6ADC6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948" w:type="pct"/>
            <w:shd w:val="clear" w:color="auto" w:fill="auto"/>
            <w:vAlign w:val="center"/>
          </w:tcPr>
          <w:p w14:paraId="499D9688">
            <w:pPr>
              <w:pStyle w:val="45"/>
              <w:rPr>
                <w:rFonts w:hint="eastAsia"/>
                <w:lang w:val="en-US" w:eastAsia="zh-CN"/>
              </w:rPr>
            </w:pPr>
            <w:r>
              <w:rPr>
                <w:rFonts w:hint="eastAsia" w:cs="Times New Roman"/>
                <w:color w:val="000000"/>
                <w:kern w:val="0"/>
                <w:sz w:val="21"/>
                <w:szCs w:val="21"/>
                <w:lang w:val="en-US" w:eastAsia="zh-CN"/>
              </w:rPr>
              <w:t>粒度</w:t>
            </w:r>
            <w:r>
              <w:rPr>
                <w:rFonts w:cs="Times New Roman"/>
                <w:color w:val="000000"/>
                <w:kern w:val="0"/>
                <w:sz w:val="21"/>
                <w:szCs w:val="21"/>
              </w:rPr>
              <w:t>（通过</w:t>
            </w:r>
            <w:r>
              <w:rPr>
                <w:rFonts w:hint="eastAsia" w:cs="Times New Roman"/>
                <w:color w:val="000000"/>
                <w:kern w:val="0"/>
                <w:sz w:val="21"/>
                <w:szCs w:val="21"/>
                <w:lang w:val="en-US" w:eastAsia="zh-CN"/>
              </w:rPr>
              <w:t>125</w:t>
            </w:r>
            <w:r>
              <w:rPr>
                <w:rFonts w:hint="default"/>
                <w:b w:val="0"/>
                <w:bCs w:val="0"/>
                <w:highlight w:val="none"/>
              </w:rPr>
              <w:t>μ</w:t>
            </w:r>
            <w:r>
              <w:rPr>
                <w:rFonts w:cs="Times New Roman"/>
                <w:color w:val="000000"/>
                <w:kern w:val="0"/>
                <w:sz w:val="21"/>
              </w:rPr>
              <w:t>m</w:t>
            </w:r>
            <w:r>
              <w:rPr>
                <w:rFonts w:cs="Times New Roman"/>
                <w:color w:val="000000"/>
                <w:kern w:val="0"/>
                <w:sz w:val="21"/>
                <w:szCs w:val="21"/>
              </w:rPr>
              <w:t>试验筛）</w:t>
            </w:r>
            <w:r>
              <w:rPr>
                <w:rFonts w:hint="eastAsia" w:cs="Times New Roman"/>
                <w:color w:val="000000"/>
                <w:kern w:val="0"/>
                <w:sz w:val="21"/>
                <w:szCs w:val="21"/>
                <w:lang w:eastAsia="zh-CN"/>
              </w:rPr>
              <w:t>（</w:t>
            </w:r>
            <w:r>
              <w:rPr>
                <w:rFonts w:hint="eastAsia" w:cs="Times New Roman"/>
                <w:color w:val="000000"/>
                <w:kern w:val="0"/>
                <w:sz w:val="21"/>
                <w:szCs w:val="21"/>
                <w:lang w:val="en-US" w:eastAsia="zh-CN"/>
              </w:rPr>
              <w:t>质量分数）</w:t>
            </w:r>
            <w:r>
              <w:rPr>
                <w:rFonts w:cs="Times New Roman"/>
                <w:color w:val="000000"/>
                <w:kern w:val="0"/>
                <w:sz w:val="21"/>
                <w:szCs w:val="21"/>
              </w:rPr>
              <w:t>/%</w:t>
            </w:r>
            <w:r>
              <w:rPr>
                <w:rFonts w:hint="eastAsia"/>
                <w:lang w:val="en-US" w:eastAsia="zh-CN"/>
              </w:rPr>
              <w:t>≥</w:t>
            </w:r>
          </w:p>
        </w:tc>
        <w:tc>
          <w:tcPr>
            <w:tcW w:w="683" w:type="pct"/>
            <w:shd w:val="clear" w:color="auto" w:fill="auto"/>
            <w:vAlign w:val="center"/>
          </w:tcPr>
          <w:p w14:paraId="4605FE80">
            <w:pPr>
              <w:pStyle w:val="45"/>
              <w:ind w:firstLine="0" w:firstLineChars="0"/>
              <w:rPr>
                <w:rFonts w:hint="default"/>
                <w:lang w:val="en-US" w:eastAsia="zh-CN"/>
              </w:rPr>
            </w:pPr>
            <w:r>
              <w:rPr>
                <w:rFonts w:hint="eastAsia"/>
                <w:lang w:val="en-US" w:eastAsia="zh-CN"/>
              </w:rPr>
              <w:t>99.5</w:t>
            </w:r>
          </w:p>
        </w:tc>
        <w:tc>
          <w:tcPr>
            <w:tcW w:w="1368" w:type="pct"/>
            <w:gridSpan w:val="2"/>
            <w:shd w:val="clear" w:color="auto" w:fill="auto"/>
            <w:vAlign w:val="center"/>
          </w:tcPr>
          <w:p w14:paraId="0DCA41D8">
            <w:pPr>
              <w:pStyle w:val="45"/>
              <w:ind w:firstLine="0" w:firstLineChars="0"/>
              <w:rPr>
                <w:rFonts w:hint="default"/>
                <w:lang w:val="en-US" w:eastAsia="zh-CN"/>
              </w:rPr>
            </w:pPr>
            <w:r>
              <w:rPr>
                <w:rFonts w:hint="eastAsia"/>
                <w:lang w:val="en-US" w:eastAsia="zh-CN"/>
              </w:rPr>
              <w:t>99.0</w:t>
            </w:r>
          </w:p>
        </w:tc>
      </w:tr>
      <w:tr w14:paraId="4FCC7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948" w:type="pct"/>
            <w:shd w:val="clear" w:color="auto" w:fill="auto"/>
            <w:vAlign w:val="center"/>
          </w:tcPr>
          <w:p w14:paraId="5E61A584">
            <w:pPr>
              <w:pStyle w:val="45"/>
              <w:rPr>
                <w:rFonts w:hint="eastAsia"/>
                <w:lang w:val="en-US" w:eastAsia="zh-CN"/>
              </w:rPr>
            </w:pPr>
            <w:r>
              <w:rPr>
                <w:rFonts w:cs="Times New Roman"/>
                <w:color w:val="000000"/>
                <w:kern w:val="0"/>
                <w:sz w:val="21"/>
                <w:szCs w:val="21"/>
              </w:rPr>
              <w:t>松散度（通过4.75m</w:t>
            </w:r>
            <w:r>
              <w:rPr>
                <w:rFonts w:cs="Times New Roman"/>
                <w:color w:val="000000"/>
                <w:kern w:val="0"/>
                <w:sz w:val="21"/>
              </w:rPr>
              <w:t>m</w:t>
            </w:r>
            <w:r>
              <w:rPr>
                <w:rFonts w:cs="Times New Roman"/>
                <w:color w:val="000000"/>
                <w:kern w:val="0"/>
                <w:sz w:val="21"/>
                <w:szCs w:val="21"/>
              </w:rPr>
              <w:t>试验筛）</w:t>
            </w:r>
            <w:r>
              <w:rPr>
                <w:rFonts w:hint="eastAsia" w:cs="Times New Roman"/>
                <w:color w:val="000000"/>
                <w:kern w:val="0"/>
                <w:sz w:val="21"/>
                <w:szCs w:val="21"/>
                <w:lang w:eastAsia="zh-CN"/>
              </w:rPr>
              <w:t>（</w:t>
            </w:r>
            <w:r>
              <w:rPr>
                <w:rFonts w:hint="eastAsia" w:cs="Times New Roman"/>
                <w:color w:val="000000"/>
                <w:kern w:val="0"/>
                <w:sz w:val="21"/>
                <w:szCs w:val="21"/>
                <w:lang w:val="en-US" w:eastAsia="zh-CN"/>
              </w:rPr>
              <w:t>质量分数）</w:t>
            </w:r>
            <w:r>
              <w:rPr>
                <w:rFonts w:cs="Times New Roman"/>
                <w:color w:val="000000"/>
                <w:kern w:val="0"/>
                <w:sz w:val="21"/>
                <w:szCs w:val="21"/>
              </w:rPr>
              <w:t>/%</w:t>
            </w:r>
            <w:r>
              <w:rPr>
                <w:rFonts w:hint="eastAsia"/>
                <w:lang w:val="en-US" w:eastAsia="zh-CN"/>
              </w:rPr>
              <w:t>≥</w:t>
            </w:r>
          </w:p>
        </w:tc>
        <w:tc>
          <w:tcPr>
            <w:tcW w:w="2051" w:type="pct"/>
            <w:gridSpan w:val="3"/>
            <w:shd w:val="clear" w:color="auto" w:fill="auto"/>
            <w:vAlign w:val="center"/>
          </w:tcPr>
          <w:p w14:paraId="6B89D93C">
            <w:pPr>
              <w:pStyle w:val="45"/>
              <w:ind w:firstLine="0" w:firstLineChars="0"/>
              <w:rPr>
                <w:rFonts w:hint="default"/>
                <w:lang w:val="en-US" w:eastAsia="zh-CN"/>
              </w:rPr>
            </w:pPr>
            <w:r>
              <w:rPr>
                <w:rFonts w:hint="eastAsia"/>
                <w:lang w:val="en-US" w:eastAsia="zh-CN"/>
              </w:rPr>
              <w:t>90</w:t>
            </w:r>
          </w:p>
        </w:tc>
      </w:tr>
    </w:tbl>
    <w:p w14:paraId="17DEAF07">
      <w:pPr>
        <w:ind w:left="0" w:leftChars="0" w:firstLine="0" w:firstLineChars="0"/>
        <w:rPr>
          <w:rFonts w:hint="default"/>
          <w:lang w:val="en-US" w:eastAsia="zh-CN"/>
        </w:rPr>
      </w:pPr>
    </w:p>
    <w:p w14:paraId="285151EF">
      <w:pPr>
        <w:ind w:firstLine="480"/>
        <w:rPr>
          <w:rFonts w:hint="eastAsia"/>
        </w:rPr>
      </w:pPr>
      <w:r>
        <w:rPr>
          <w:rFonts w:hint="eastAsia"/>
          <w:lang w:val="en-US" w:eastAsia="zh-CN"/>
        </w:rPr>
        <w:t>无水</w:t>
      </w:r>
      <w:r>
        <w:rPr>
          <w:rFonts w:hint="eastAsia"/>
        </w:rPr>
        <w:t>高氯酸</w:t>
      </w:r>
      <w:r>
        <w:rPr>
          <w:rFonts w:hint="eastAsia"/>
          <w:lang w:val="en-US" w:eastAsia="zh-CN"/>
        </w:rPr>
        <w:t>锂</w:t>
      </w:r>
      <w:r>
        <w:rPr>
          <w:rFonts w:hint="eastAsia"/>
        </w:rPr>
        <w:t>产品质量执行《无水高氯酸锂第1 部分：无水高氯酸锂技术要求》（GB/T23835.1-2009）。</w:t>
      </w:r>
    </w:p>
    <w:p w14:paraId="02BF3EA2">
      <w:pPr>
        <w:pStyle w:val="43"/>
        <w:rPr>
          <w:rFonts w:hint="eastAsia"/>
        </w:rPr>
      </w:pPr>
      <w:r>
        <w:rPr>
          <w:rFonts w:hint="eastAsia"/>
        </w:rPr>
        <w:t>无水高氯酸锂</w:t>
      </w:r>
      <w:r>
        <w:rPr>
          <w:rFonts w:hint="eastAsia"/>
          <w:lang w:val="en-US" w:eastAsia="zh-CN"/>
        </w:rPr>
        <w:t>质量标准</w:t>
      </w:r>
      <w:r>
        <w:rPr>
          <w:rFonts w:hint="eastAsia"/>
        </w:rPr>
        <w:t>（GB/T23835.1-2009）</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081CA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blHeader/>
        </w:trPr>
        <w:tc>
          <w:tcPr>
            <w:tcW w:w="2500" w:type="pct"/>
            <w:shd w:val="clear" w:color="auto" w:fill="auto"/>
            <w:vAlign w:val="center"/>
          </w:tcPr>
          <w:p w14:paraId="27DC9BAD">
            <w:pPr>
              <w:pStyle w:val="45"/>
              <w:ind w:firstLine="0" w:firstLineChars="0"/>
              <w:rPr>
                <w:rFonts w:hint="default" w:ascii="Times New Roman" w:hAnsi="Times New Roman" w:eastAsia="宋体" w:cs="Times New Roman"/>
                <w:b/>
                <w:bCs/>
                <w:kern w:val="0"/>
                <w:sz w:val="21"/>
                <w:szCs w:val="21"/>
                <w:lang w:val="en-US" w:eastAsia="zh-CN" w:bidi="ar-SA"/>
              </w:rPr>
            </w:pPr>
            <w:r>
              <w:rPr>
                <w:b/>
                <w:bCs/>
              </w:rPr>
              <w:t>项目</w:t>
            </w:r>
          </w:p>
        </w:tc>
        <w:tc>
          <w:tcPr>
            <w:tcW w:w="2500" w:type="pct"/>
            <w:shd w:val="clear" w:color="auto" w:fill="auto"/>
            <w:vAlign w:val="center"/>
          </w:tcPr>
          <w:p w14:paraId="796F68E9">
            <w:pPr>
              <w:pStyle w:val="45"/>
              <w:rPr>
                <w:b/>
                <w:bCs/>
              </w:rPr>
            </w:pPr>
            <w:r>
              <w:rPr>
                <w:b/>
                <w:bCs/>
              </w:rPr>
              <w:t>指标</w:t>
            </w:r>
          </w:p>
        </w:tc>
      </w:tr>
      <w:tr w14:paraId="79382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2500" w:type="pct"/>
            <w:shd w:val="clear" w:color="auto" w:fill="auto"/>
            <w:vAlign w:val="center"/>
          </w:tcPr>
          <w:p w14:paraId="34DDC80E">
            <w:pPr>
              <w:pStyle w:val="45"/>
              <w:ind w:firstLine="0" w:firstLineChars="0"/>
              <w:rPr>
                <w:rFonts w:hint="default" w:ascii="Times New Roman" w:hAnsi="Times New Roman" w:eastAsia="宋体" w:cs="Times New Roman"/>
                <w:kern w:val="0"/>
                <w:sz w:val="21"/>
                <w:szCs w:val="21"/>
                <w:lang w:val="en-US" w:eastAsia="zh-CN" w:bidi="ar-SA"/>
              </w:rPr>
            </w:pPr>
            <w:r>
              <w:t>高氯酸</w:t>
            </w:r>
            <w:r>
              <w:rPr>
                <w:rFonts w:hint="eastAsia"/>
                <w:lang w:val="en-US" w:eastAsia="zh-CN"/>
              </w:rPr>
              <w:t>锂</w:t>
            </w:r>
            <w:r>
              <w:t>（</w:t>
            </w:r>
            <w:r>
              <w:rPr>
                <w:rFonts w:hint="eastAsia"/>
                <w:lang w:val="en-US" w:eastAsia="zh-CN"/>
              </w:rPr>
              <w:t>Li</w:t>
            </w:r>
            <w:r>
              <w:t>ClO</w:t>
            </w:r>
            <w:r>
              <w:rPr>
                <w:vertAlign w:val="subscript"/>
              </w:rPr>
              <w:t>4</w:t>
            </w:r>
            <w:r>
              <w:t>）w/%≥</w:t>
            </w:r>
          </w:p>
        </w:tc>
        <w:tc>
          <w:tcPr>
            <w:tcW w:w="2500" w:type="pct"/>
            <w:shd w:val="clear" w:color="auto" w:fill="auto"/>
            <w:vAlign w:val="center"/>
          </w:tcPr>
          <w:p w14:paraId="21A1501A">
            <w:pPr>
              <w:pStyle w:val="45"/>
              <w:rPr>
                <w:rFonts w:hint="default" w:eastAsia="宋体"/>
                <w:lang w:val="en-US" w:eastAsia="zh-CN"/>
              </w:rPr>
            </w:pPr>
            <w:r>
              <w:rPr>
                <w:rFonts w:hint="eastAsia"/>
                <w:lang w:val="en-US" w:eastAsia="zh-CN"/>
              </w:rPr>
              <w:t>99.5</w:t>
            </w:r>
          </w:p>
        </w:tc>
      </w:tr>
      <w:tr w14:paraId="5E45E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2500" w:type="pct"/>
            <w:shd w:val="clear" w:color="auto" w:fill="auto"/>
            <w:vAlign w:val="center"/>
          </w:tcPr>
          <w:p w14:paraId="2AE9B219">
            <w:pPr>
              <w:pStyle w:val="45"/>
              <w:ind w:firstLine="0" w:firstLineChars="0"/>
              <w:rPr>
                <w:rFonts w:hint="default" w:ascii="Times New Roman" w:hAnsi="Times New Roman" w:eastAsia="宋体" w:cs="Times New Roman"/>
                <w:kern w:val="0"/>
                <w:sz w:val="21"/>
                <w:szCs w:val="21"/>
                <w:lang w:val="en-US" w:eastAsia="zh-CN" w:bidi="ar-SA"/>
              </w:rPr>
            </w:pPr>
            <w:r>
              <w:t>水分w/%</w:t>
            </w:r>
            <w:r>
              <w:rPr>
                <w:rFonts w:hint="eastAsia"/>
                <w:lang w:val="en-US" w:eastAsia="zh-CN"/>
              </w:rPr>
              <w:t>≤</w:t>
            </w:r>
          </w:p>
        </w:tc>
        <w:tc>
          <w:tcPr>
            <w:tcW w:w="2500" w:type="pct"/>
            <w:shd w:val="clear" w:color="auto" w:fill="auto"/>
            <w:vAlign w:val="center"/>
          </w:tcPr>
          <w:p w14:paraId="6C2B0659">
            <w:pPr>
              <w:pStyle w:val="45"/>
              <w:rPr>
                <w:rFonts w:hint="default" w:eastAsia="宋体"/>
                <w:lang w:val="en-US" w:eastAsia="zh-CN"/>
              </w:rPr>
            </w:pPr>
            <w:r>
              <w:rPr>
                <w:rFonts w:hint="eastAsia"/>
                <w:lang w:val="en-US" w:eastAsia="zh-CN"/>
              </w:rPr>
              <w:t>0.3</w:t>
            </w:r>
          </w:p>
        </w:tc>
      </w:tr>
      <w:tr w14:paraId="262DD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2500" w:type="pct"/>
            <w:shd w:val="clear" w:color="auto" w:fill="auto"/>
            <w:vAlign w:val="center"/>
          </w:tcPr>
          <w:p w14:paraId="6B751D4C">
            <w:pPr>
              <w:pStyle w:val="45"/>
              <w:ind w:firstLine="0" w:firstLineChars="0"/>
              <w:rPr>
                <w:rFonts w:hint="default" w:ascii="Times New Roman" w:hAnsi="Times New Roman" w:eastAsia="宋体" w:cs="Times New Roman"/>
                <w:kern w:val="0"/>
                <w:sz w:val="21"/>
                <w:szCs w:val="21"/>
                <w:lang w:val="en-US" w:eastAsia="zh-CN" w:bidi="ar-SA"/>
              </w:rPr>
            </w:pPr>
            <w:r>
              <w:t>水不溶物w/%</w:t>
            </w:r>
            <w:r>
              <w:rPr>
                <w:rFonts w:hint="eastAsia"/>
                <w:lang w:val="en-US" w:eastAsia="zh-CN"/>
              </w:rPr>
              <w:t>≤</w:t>
            </w:r>
          </w:p>
        </w:tc>
        <w:tc>
          <w:tcPr>
            <w:tcW w:w="2500" w:type="pct"/>
            <w:shd w:val="clear" w:color="auto" w:fill="auto"/>
            <w:vAlign w:val="center"/>
          </w:tcPr>
          <w:p w14:paraId="0130A749">
            <w:pPr>
              <w:pStyle w:val="45"/>
              <w:rPr>
                <w:rFonts w:hint="default" w:eastAsia="宋体"/>
                <w:lang w:val="en-US" w:eastAsia="zh-CN"/>
              </w:rPr>
            </w:pPr>
            <w:r>
              <w:rPr>
                <w:rFonts w:hint="eastAsia"/>
                <w:lang w:val="en-US" w:eastAsia="zh-CN"/>
              </w:rPr>
              <w:t>0.008</w:t>
            </w:r>
          </w:p>
        </w:tc>
      </w:tr>
      <w:tr w14:paraId="781BC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2500" w:type="pct"/>
            <w:shd w:val="clear" w:color="auto" w:fill="auto"/>
            <w:vAlign w:val="center"/>
          </w:tcPr>
          <w:p w14:paraId="1CA4C3FB">
            <w:pPr>
              <w:pStyle w:val="45"/>
              <w:rPr>
                <w:rFonts w:hint="default"/>
              </w:rPr>
            </w:pPr>
            <w:r>
              <w:t>氯化物（以Cl计）w/%</w:t>
            </w:r>
            <w:r>
              <w:rPr>
                <w:rFonts w:hint="eastAsia"/>
                <w:lang w:val="en-US" w:eastAsia="zh-CN"/>
              </w:rPr>
              <w:t>≤</w:t>
            </w:r>
          </w:p>
        </w:tc>
        <w:tc>
          <w:tcPr>
            <w:tcW w:w="2500" w:type="pct"/>
            <w:shd w:val="clear" w:color="auto" w:fill="auto"/>
            <w:vAlign w:val="center"/>
          </w:tcPr>
          <w:p w14:paraId="33B492D8">
            <w:pPr>
              <w:pStyle w:val="45"/>
              <w:rPr>
                <w:rFonts w:hint="default" w:eastAsia="宋体"/>
                <w:lang w:val="en-US" w:eastAsia="zh-CN"/>
              </w:rPr>
            </w:pPr>
            <w:r>
              <w:rPr>
                <w:rFonts w:hint="eastAsia"/>
                <w:lang w:val="en-US" w:eastAsia="zh-CN"/>
              </w:rPr>
              <w:t>0.002</w:t>
            </w:r>
          </w:p>
        </w:tc>
      </w:tr>
      <w:tr w14:paraId="3F277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500" w:type="pct"/>
            <w:shd w:val="clear" w:color="auto" w:fill="auto"/>
            <w:vAlign w:val="center"/>
          </w:tcPr>
          <w:p w14:paraId="3E34D030">
            <w:pPr>
              <w:pStyle w:val="45"/>
              <w:rPr>
                <w:rFonts w:hint="default"/>
              </w:rPr>
            </w:pPr>
            <w:r>
              <w:t>氯酸盐（以Cl计）w/%</w:t>
            </w:r>
            <w:r>
              <w:rPr>
                <w:rFonts w:hint="eastAsia"/>
                <w:lang w:val="en-US" w:eastAsia="zh-CN"/>
              </w:rPr>
              <w:t>≤</w:t>
            </w:r>
          </w:p>
        </w:tc>
        <w:tc>
          <w:tcPr>
            <w:tcW w:w="2500" w:type="pct"/>
            <w:shd w:val="clear" w:color="auto" w:fill="auto"/>
            <w:vAlign w:val="center"/>
          </w:tcPr>
          <w:p w14:paraId="1B496CC1">
            <w:pPr>
              <w:pStyle w:val="45"/>
              <w:rPr>
                <w:rFonts w:hint="default" w:eastAsia="宋体"/>
                <w:lang w:val="en-US" w:eastAsia="zh-CN"/>
              </w:rPr>
            </w:pPr>
            <w:r>
              <w:rPr>
                <w:rFonts w:hint="eastAsia"/>
                <w:lang w:val="en-US" w:eastAsia="zh-CN"/>
              </w:rPr>
              <w:t>0.01</w:t>
            </w:r>
          </w:p>
        </w:tc>
      </w:tr>
      <w:tr w14:paraId="35176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500" w:type="pct"/>
            <w:shd w:val="clear" w:color="auto" w:fill="auto"/>
            <w:noWrap/>
            <w:vAlign w:val="center"/>
          </w:tcPr>
          <w:p w14:paraId="273530AF">
            <w:pPr>
              <w:pStyle w:val="45"/>
              <w:rPr>
                <w:rFonts w:hint="default"/>
              </w:rPr>
            </w:pPr>
            <w:r>
              <w:t>硫酸盐（以SO</w:t>
            </w:r>
            <w:r>
              <w:rPr>
                <w:vertAlign w:val="subscript"/>
              </w:rPr>
              <w:t>4</w:t>
            </w:r>
            <w:r>
              <w:t>计）w/%</w:t>
            </w:r>
            <w:r>
              <w:rPr>
                <w:rFonts w:hint="eastAsia"/>
                <w:lang w:val="en-US" w:eastAsia="zh-CN"/>
              </w:rPr>
              <w:t>≤</w:t>
            </w:r>
          </w:p>
        </w:tc>
        <w:tc>
          <w:tcPr>
            <w:tcW w:w="2500" w:type="pct"/>
            <w:shd w:val="clear" w:color="auto" w:fill="auto"/>
            <w:noWrap/>
            <w:vAlign w:val="center"/>
          </w:tcPr>
          <w:p w14:paraId="37BAEAF1">
            <w:pPr>
              <w:pStyle w:val="45"/>
              <w:rPr>
                <w:rFonts w:hint="default" w:eastAsia="宋体"/>
                <w:lang w:val="en-US" w:eastAsia="zh-CN"/>
              </w:rPr>
            </w:pPr>
            <w:r>
              <w:rPr>
                <w:rFonts w:hint="eastAsia"/>
                <w:lang w:val="en-US" w:eastAsia="zh-CN"/>
              </w:rPr>
              <w:t>0.005</w:t>
            </w:r>
          </w:p>
        </w:tc>
      </w:tr>
      <w:tr w14:paraId="66F3E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500" w:type="pct"/>
            <w:shd w:val="clear" w:color="auto" w:fill="auto"/>
            <w:vAlign w:val="center"/>
          </w:tcPr>
          <w:p w14:paraId="5B8380D4">
            <w:pPr>
              <w:pStyle w:val="45"/>
            </w:pPr>
            <w:r>
              <w:rPr>
                <w:rFonts w:hint="eastAsia"/>
                <w:lang w:val="en-US" w:eastAsia="zh-CN"/>
              </w:rPr>
              <w:t>钾</w:t>
            </w:r>
            <w:r>
              <w:t>（</w:t>
            </w:r>
            <w:r>
              <w:rPr>
                <w:rFonts w:hint="eastAsia"/>
                <w:lang w:val="en-US" w:eastAsia="zh-CN"/>
              </w:rPr>
              <w:t>K</w:t>
            </w:r>
            <w:r>
              <w:t>）w/%</w:t>
            </w:r>
            <w:r>
              <w:rPr>
                <w:rFonts w:hint="eastAsia"/>
                <w:lang w:val="en-US" w:eastAsia="zh-CN"/>
              </w:rPr>
              <w:t>≤</w:t>
            </w:r>
          </w:p>
        </w:tc>
        <w:tc>
          <w:tcPr>
            <w:tcW w:w="2500" w:type="pct"/>
            <w:shd w:val="clear" w:color="auto" w:fill="auto"/>
            <w:vAlign w:val="center"/>
          </w:tcPr>
          <w:p w14:paraId="5E7A355B">
            <w:pPr>
              <w:pStyle w:val="45"/>
              <w:rPr>
                <w:rFonts w:hint="default" w:eastAsia="宋体"/>
                <w:lang w:val="en-US" w:eastAsia="zh-CN"/>
              </w:rPr>
            </w:pPr>
            <w:r>
              <w:rPr>
                <w:rFonts w:hint="eastAsia"/>
                <w:lang w:val="en-US" w:eastAsia="zh-CN"/>
              </w:rPr>
              <w:t>0.002</w:t>
            </w:r>
          </w:p>
        </w:tc>
      </w:tr>
      <w:tr w14:paraId="18479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500" w:type="pct"/>
            <w:shd w:val="clear" w:color="auto" w:fill="auto"/>
            <w:vAlign w:val="center"/>
          </w:tcPr>
          <w:p w14:paraId="78E447C2">
            <w:pPr>
              <w:pStyle w:val="45"/>
            </w:pPr>
            <w:r>
              <w:rPr>
                <w:rFonts w:hint="eastAsia"/>
                <w:lang w:val="en-US" w:eastAsia="zh-CN"/>
              </w:rPr>
              <w:t>钠</w:t>
            </w:r>
            <w:r>
              <w:t>（</w:t>
            </w:r>
            <w:r>
              <w:rPr>
                <w:rFonts w:hint="eastAsia"/>
                <w:lang w:val="en-US" w:eastAsia="zh-CN"/>
              </w:rPr>
              <w:t>Na</w:t>
            </w:r>
            <w:r>
              <w:t>）w/%</w:t>
            </w:r>
            <w:r>
              <w:rPr>
                <w:rFonts w:hint="eastAsia"/>
                <w:lang w:val="en-US" w:eastAsia="zh-CN"/>
              </w:rPr>
              <w:t>≤</w:t>
            </w:r>
          </w:p>
        </w:tc>
        <w:tc>
          <w:tcPr>
            <w:tcW w:w="2500" w:type="pct"/>
            <w:shd w:val="clear" w:color="auto" w:fill="auto"/>
            <w:vAlign w:val="center"/>
          </w:tcPr>
          <w:p w14:paraId="4533C02C">
            <w:pPr>
              <w:pStyle w:val="45"/>
              <w:rPr>
                <w:rFonts w:hint="default" w:eastAsia="宋体"/>
                <w:lang w:val="en-US" w:eastAsia="zh-CN"/>
              </w:rPr>
            </w:pPr>
            <w:r>
              <w:rPr>
                <w:rFonts w:hint="eastAsia"/>
                <w:lang w:val="en-US" w:eastAsia="zh-CN"/>
              </w:rPr>
              <w:t>0.002</w:t>
            </w:r>
          </w:p>
        </w:tc>
      </w:tr>
      <w:tr w14:paraId="7A3EA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500" w:type="pct"/>
            <w:shd w:val="clear" w:color="auto" w:fill="auto"/>
            <w:vAlign w:val="center"/>
          </w:tcPr>
          <w:p w14:paraId="6180BA2B">
            <w:pPr>
              <w:pStyle w:val="45"/>
              <w:rPr>
                <w:rFonts w:hint="default" w:eastAsia="宋体"/>
                <w:lang w:val="en-US" w:eastAsia="zh-CN"/>
              </w:rPr>
            </w:pPr>
            <w:r>
              <w:rPr>
                <w:rFonts w:hint="eastAsia"/>
                <w:lang w:val="en-US" w:eastAsia="zh-CN"/>
              </w:rPr>
              <w:t>钙</w:t>
            </w:r>
            <w:r>
              <w:t>（</w:t>
            </w:r>
            <w:r>
              <w:rPr>
                <w:rFonts w:hint="eastAsia"/>
                <w:lang w:val="en-US" w:eastAsia="zh-CN"/>
              </w:rPr>
              <w:t>Ca</w:t>
            </w:r>
            <w:r>
              <w:t>）w/%</w:t>
            </w:r>
            <w:r>
              <w:rPr>
                <w:rFonts w:hint="eastAsia"/>
                <w:lang w:val="en-US" w:eastAsia="zh-CN"/>
              </w:rPr>
              <w:t>≤</w:t>
            </w:r>
          </w:p>
        </w:tc>
        <w:tc>
          <w:tcPr>
            <w:tcW w:w="2500" w:type="pct"/>
            <w:shd w:val="clear" w:color="auto" w:fill="auto"/>
            <w:vAlign w:val="center"/>
          </w:tcPr>
          <w:p w14:paraId="506DCED7">
            <w:pPr>
              <w:pStyle w:val="45"/>
              <w:rPr>
                <w:rFonts w:hint="default" w:eastAsia="宋体"/>
                <w:lang w:val="en-US" w:eastAsia="zh-CN"/>
              </w:rPr>
            </w:pPr>
            <w:r>
              <w:rPr>
                <w:rFonts w:hint="eastAsia"/>
                <w:lang w:val="en-US" w:eastAsia="zh-CN"/>
              </w:rPr>
              <w:t>0.003</w:t>
            </w:r>
          </w:p>
        </w:tc>
      </w:tr>
      <w:tr w14:paraId="31791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500" w:type="pct"/>
            <w:shd w:val="clear" w:color="auto" w:fill="auto"/>
            <w:vAlign w:val="center"/>
          </w:tcPr>
          <w:p w14:paraId="6CAE1EAE">
            <w:pPr>
              <w:pStyle w:val="45"/>
            </w:pPr>
            <w:r>
              <w:t>铁（Fe）w/%</w:t>
            </w:r>
            <w:r>
              <w:rPr>
                <w:rFonts w:hint="eastAsia"/>
                <w:lang w:val="en-US" w:eastAsia="zh-CN"/>
              </w:rPr>
              <w:t>≤</w:t>
            </w:r>
          </w:p>
        </w:tc>
        <w:tc>
          <w:tcPr>
            <w:tcW w:w="2500" w:type="pct"/>
            <w:shd w:val="clear" w:color="auto" w:fill="auto"/>
            <w:vAlign w:val="center"/>
          </w:tcPr>
          <w:p w14:paraId="41F051DC">
            <w:pPr>
              <w:pStyle w:val="45"/>
              <w:rPr>
                <w:rFonts w:hint="default" w:eastAsia="宋体"/>
                <w:lang w:val="en-US" w:eastAsia="zh-CN"/>
              </w:rPr>
            </w:pPr>
            <w:r>
              <w:rPr>
                <w:rFonts w:hint="eastAsia"/>
                <w:lang w:val="en-US" w:eastAsia="zh-CN"/>
              </w:rPr>
              <w:t>0.0005</w:t>
            </w:r>
          </w:p>
        </w:tc>
      </w:tr>
      <w:tr w14:paraId="15DE8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500" w:type="pct"/>
            <w:shd w:val="clear" w:color="auto" w:fill="auto"/>
            <w:vAlign w:val="center"/>
          </w:tcPr>
          <w:p w14:paraId="3C0ECED4">
            <w:pPr>
              <w:pStyle w:val="45"/>
            </w:pPr>
            <w:r>
              <w:rPr>
                <w:rFonts w:hint="eastAsia"/>
                <w:lang w:val="en-US" w:eastAsia="zh-CN"/>
              </w:rPr>
              <w:t>铅</w:t>
            </w:r>
            <w:r>
              <w:t>（</w:t>
            </w:r>
            <w:r>
              <w:rPr>
                <w:rFonts w:hint="eastAsia"/>
                <w:lang w:val="en-US" w:eastAsia="zh-CN"/>
              </w:rPr>
              <w:t>Pb</w:t>
            </w:r>
            <w:r>
              <w:t>）w/%</w:t>
            </w:r>
            <w:r>
              <w:rPr>
                <w:rFonts w:hint="eastAsia"/>
                <w:lang w:val="en-US" w:eastAsia="zh-CN"/>
              </w:rPr>
              <w:t>≤</w:t>
            </w:r>
          </w:p>
        </w:tc>
        <w:tc>
          <w:tcPr>
            <w:tcW w:w="2500" w:type="pct"/>
            <w:shd w:val="clear" w:color="auto" w:fill="auto"/>
            <w:vAlign w:val="center"/>
          </w:tcPr>
          <w:p w14:paraId="4FDCCB76">
            <w:pPr>
              <w:pStyle w:val="45"/>
              <w:rPr>
                <w:rFonts w:hint="default" w:eastAsia="宋体"/>
                <w:lang w:val="en-US" w:eastAsia="zh-CN"/>
              </w:rPr>
            </w:pPr>
            <w:r>
              <w:rPr>
                <w:rFonts w:hint="eastAsia"/>
                <w:lang w:val="en-US" w:eastAsia="zh-CN"/>
              </w:rPr>
              <w:t>0.0002</w:t>
            </w:r>
          </w:p>
        </w:tc>
      </w:tr>
      <w:tr w14:paraId="13B15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500" w:type="pct"/>
            <w:shd w:val="clear" w:color="auto" w:fill="auto"/>
            <w:vAlign w:val="center"/>
          </w:tcPr>
          <w:p w14:paraId="395D6467">
            <w:pPr>
              <w:pStyle w:val="45"/>
            </w:pPr>
            <w:r>
              <w:rPr>
                <w:rFonts w:hint="eastAsia"/>
                <w:lang w:val="en-US" w:eastAsia="zh-CN"/>
              </w:rPr>
              <w:t>总氮</w:t>
            </w:r>
            <w:r>
              <w:t>（</w:t>
            </w:r>
            <w:r>
              <w:rPr>
                <w:rFonts w:hint="eastAsia"/>
                <w:lang w:val="en-US" w:eastAsia="zh-CN"/>
              </w:rPr>
              <w:t>N</w:t>
            </w:r>
            <w:r>
              <w:t>）w/%</w:t>
            </w:r>
            <w:r>
              <w:rPr>
                <w:rFonts w:hint="eastAsia"/>
                <w:lang w:val="en-US" w:eastAsia="zh-CN"/>
              </w:rPr>
              <w:t>≤</w:t>
            </w:r>
          </w:p>
        </w:tc>
        <w:tc>
          <w:tcPr>
            <w:tcW w:w="2500" w:type="pct"/>
            <w:shd w:val="clear" w:color="auto" w:fill="auto"/>
            <w:vAlign w:val="center"/>
          </w:tcPr>
          <w:p w14:paraId="0C3039CF">
            <w:pPr>
              <w:pStyle w:val="45"/>
              <w:rPr>
                <w:rFonts w:hint="default" w:eastAsia="宋体"/>
                <w:lang w:val="en-US" w:eastAsia="zh-CN"/>
              </w:rPr>
            </w:pPr>
            <w:r>
              <w:rPr>
                <w:rFonts w:hint="eastAsia"/>
                <w:lang w:val="en-US" w:eastAsia="zh-CN"/>
              </w:rPr>
              <w:t>0.003</w:t>
            </w:r>
          </w:p>
        </w:tc>
      </w:tr>
      <w:tr w14:paraId="0D997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2500" w:type="pct"/>
            <w:shd w:val="clear" w:color="auto" w:fill="auto"/>
            <w:vAlign w:val="center"/>
          </w:tcPr>
          <w:p w14:paraId="6E4C9FE3">
            <w:pPr>
              <w:pStyle w:val="45"/>
              <w:rPr>
                <w:rFonts w:hint="eastAsia" w:eastAsia="宋体"/>
                <w:lang w:val="en-US" w:eastAsia="zh-CN"/>
              </w:rPr>
            </w:pPr>
            <w:r>
              <w:rPr>
                <w:rFonts w:hint="eastAsia"/>
                <w:lang w:val="en-US" w:eastAsia="zh-CN"/>
              </w:rPr>
              <w:t>澄清度，透光率/%</w:t>
            </w:r>
            <w:r>
              <w:t>≥</w:t>
            </w:r>
          </w:p>
        </w:tc>
        <w:tc>
          <w:tcPr>
            <w:tcW w:w="2500" w:type="pct"/>
            <w:shd w:val="clear" w:color="auto" w:fill="auto"/>
            <w:vAlign w:val="center"/>
          </w:tcPr>
          <w:p w14:paraId="19004487">
            <w:pPr>
              <w:pStyle w:val="45"/>
              <w:rPr>
                <w:rFonts w:hint="default" w:eastAsia="宋体"/>
                <w:lang w:val="en-US" w:eastAsia="zh-CN"/>
              </w:rPr>
            </w:pPr>
            <w:r>
              <w:rPr>
                <w:rFonts w:hint="eastAsia"/>
                <w:lang w:val="en-US" w:eastAsia="zh-CN"/>
              </w:rPr>
              <w:t>90</w:t>
            </w:r>
          </w:p>
        </w:tc>
      </w:tr>
    </w:tbl>
    <w:p w14:paraId="3665B516">
      <w:pPr>
        <w:ind w:firstLine="480"/>
        <w:rPr>
          <w:rFonts w:hint="eastAsia"/>
          <w:lang w:val="en-US" w:eastAsia="zh-CN"/>
        </w:rPr>
      </w:pPr>
    </w:p>
    <w:p w14:paraId="7F73976C">
      <w:pPr>
        <w:ind w:firstLine="480"/>
        <w:rPr>
          <w:rFonts w:hint="eastAsia"/>
        </w:rPr>
      </w:pPr>
      <w:r>
        <w:rPr>
          <w:rFonts w:hint="eastAsia"/>
          <w:lang w:val="en-US" w:eastAsia="zh-CN"/>
        </w:rPr>
        <w:t>无水氯化锂</w:t>
      </w:r>
      <w:r>
        <w:rPr>
          <w:rFonts w:hint="eastAsia"/>
        </w:rPr>
        <w:t>产品质量执行《无水</w:t>
      </w:r>
      <w:r>
        <w:rPr>
          <w:rFonts w:hint="eastAsia"/>
          <w:lang w:val="en-US" w:eastAsia="zh-CN"/>
        </w:rPr>
        <w:t>氯化锂</w:t>
      </w:r>
      <w:r>
        <w:rPr>
          <w:rFonts w:hint="eastAsia"/>
        </w:rPr>
        <w:t>》（GB/T 10575-2007）。</w:t>
      </w:r>
    </w:p>
    <w:p w14:paraId="495C2696">
      <w:pPr>
        <w:pStyle w:val="43"/>
        <w:rPr>
          <w:rFonts w:hint="eastAsia"/>
        </w:rPr>
      </w:pPr>
      <w:r>
        <w:rPr>
          <w:rFonts w:hint="eastAsia"/>
          <w:lang w:val="en-US" w:eastAsia="zh-CN"/>
        </w:rPr>
        <w:t>无水氯化锂质量标准</w:t>
      </w:r>
      <w:r>
        <w:rPr>
          <w:rFonts w:hint="eastAsia"/>
        </w:rPr>
        <w:t>（GB/T 10575-2007）</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1058"/>
        <w:gridCol w:w="689"/>
        <w:gridCol w:w="689"/>
        <w:gridCol w:w="794"/>
        <w:gridCol w:w="751"/>
        <w:gridCol w:w="798"/>
        <w:gridCol w:w="689"/>
        <w:gridCol w:w="611"/>
        <w:gridCol w:w="781"/>
        <w:gridCol w:w="862"/>
      </w:tblGrid>
      <w:tr w14:paraId="4CF4E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blHeader/>
        </w:trPr>
        <w:tc>
          <w:tcPr>
            <w:tcW w:w="0" w:type="auto"/>
            <w:vMerge w:val="restart"/>
            <w:shd w:val="clear" w:color="auto" w:fill="auto"/>
            <w:vAlign w:val="center"/>
          </w:tcPr>
          <w:p w14:paraId="01E34ABD">
            <w:pPr>
              <w:pStyle w:val="45"/>
              <w:ind w:firstLine="0" w:firstLineChars="0"/>
              <w:rPr>
                <w:rFonts w:hint="default" w:ascii="Times New Roman" w:hAnsi="Times New Roman" w:eastAsia="宋体" w:cs="Times New Roman"/>
                <w:b/>
                <w:bCs/>
                <w:kern w:val="0"/>
                <w:sz w:val="21"/>
                <w:szCs w:val="21"/>
                <w:lang w:val="en-US" w:eastAsia="zh-CN" w:bidi="ar-SA"/>
              </w:rPr>
            </w:pPr>
            <w:r>
              <w:rPr>
                <w:rFonts w:hint="eastAsia" w:cs="Times New Roman"/>
                <w:b/>
                <w:bCs/>
                <w:kern w:val="0"/>
                <w:sz w:val="21"/>
                <w:szCs w:val="21"/>
                <w:lang w:val="en-US" w:eastAsia="zh-CN" w:bidi="ar-SA"/>
              </w:rPr>
              <w:t>牌号</w:t>
            </w:r>
          </w:p>
        </w:tc>
        <w:tc>
          <w:tcPr>
            <w:tcW w:w="0" w:type="auto"/>
            <w:vMerge w:val="restart"/>
            <w:shd w:val="clear" w:color="auto" w:fill="auto"/>
            <w:vAlign w:val="center"/>
          </w:tcPr>
          <w:p w14:paraId="5E435CAD">
            <w:pPr>
              <w:pStyle w:val="45"/>
              <w:rPr>
                <w:rFonts w:hint="eastAsia" w:eastAsia="宋体"/>
                <w:b/>
                <w:bCs/>
                <w:lang w:eastAsia="zh-CN"/>
              </w:rPr>
            </w:pPr>
            <w:r>
              <w:rPr>
                <w:rFonts w:hint="eastAsia"/>
                <w:b/>
                <w:bCs/>
                <w:lang w:val="en-US" w:eastAsia="zh-CN"/>
              </w:rPr>
              <w:t>Li</w:t>
            </w:r>
            <w:r>
              <w:rPr>
                <w:b/>
                <w:bCs/>
              </w:rPr>
              <w:t>Cl</w:t>
            </w:r>
            <w:r>
              <w:rPr>
                <w:rFonts w:hint="eastAsia"/>
                <w:b/>
                <w:bCs/>
                <w:lang w:eastAsia="zh-CN"/>
              </w:rPr>
              <w:t>（</w:t>
            </w:r>
            <w:r>
              <w:rPr>
                <w:rFonts w:hint="eastAsia"/>
                <w:b/>
                <w:bCs/>
                <w:lang w:val="en-US" w:eastAsia="zh-CN"/>
              </w:rPr>
              <w:t>质量分数</w:t>
            </w:r>
            <w:r>
              <w:rPr>
                <w:rFonts w:hint="eastAsia"/>
                <w:b/>
                <w:bCs/>
                <w:lang w:eastAsia="zh-CN"/>
              </w:rPr>
              <w:t>）</w:t>
            </w:r>
            <w:r>
              <w:rPr>
                <w:rFonts w:hint="eastAsia"/>
                <w:b/>
                <w:bCs/>
                <w:lang w:val="en-US" w:eastAsia="zh-CN"/>
              </w:rPr>
              <w:t>/%，不小于</w:t>
            </w:r>
          </w:p>
        </w:tc>
        <w:tc>
          <w:tcPr>
            <w:tcW w:w="0" w:type="auto"/>
            <w:gridSpan w:val="8"/>
            <w:shd w:val="clear" w:color="auto" w:fill="auto"/>
            <w:vAlign w:val="center"/>
          </w:tcPr>
          <w:p w14:paraId="041329D2">
            <w:pPr>
              <w:pStyle w:val="45"/>
              <w:rPr>
                <w:rFonts w:hint="eastAsia"/>
                <w:b/>
                <w:bCs/>
                <w:lang w:val="en-US" w:eastAsia="zh-CN"/>
              </w:rPr>
            </w:pPr>
            <w:r>
              <w:rPr>
                <w:rFonts w:hint="eastAsia"/>
                <w:b/>
                <w:bCs/>
                <w:lang w:val="en-US" w:eastAsia="zh-CN"/>
              </w:rPr>
              <w:t>杂质含量</w:t>
            </w:r>
            <w:r>
              <w:rPr>
                <w:rFonts w:hint="eastAsia"/>
                <w:b/>
                <w:bCs/>
                <w:lang w:eastAsia="zh-CN"/>
              </w:rPr>
              <w:t>（</w:t>
            </w:r>
            <w:r>
              <w:rPr>
                <w:rFonts w:hint="eastAsia"/>
                <w:b/>
                <w:bCs/>
                <w:lang w:val="en-US" w:eastAsia="zh-CN"/>
              </w:rPr>
              <w:t>质量分数</w:t>
            </w:r>
            <w:r>
              <w:rPr>
                <w:rFonts w:hint="eastAsia"/>
                <w:b/>
                <w:bCs/>
                <w:lang w:eastAsia="zh-CN"/>
              </w:rPr>
              <w:t>）</w:t>
            </w:r>
            <w:r>
              <w:rPr>
                <w:rFonts w:hint="eastAsia"/>
                <w:b/>
                <w:bCs/>
                <w:lang w:val="en-US" w:eastAsia="zh-CN"/>
              </w:rPr>
              <w:t>/%，不大于</w:t>
            </w:r>
          </w:p>
        </w:tc>
        <w:tc>
          <w:tcPr>
            <w:tcW w:w="0" w:type="auto"/>
            <w:vMerge w:val="restart"/>
            <w:shd w:val="clear" w:color="auto" w:fill="auto"/>
            <w:vAlign w:val="center"/>
          </w:tcPr>
          <w:p w14:paraId="32E22931">
            <w:pPr>
              <w:pStyle w:val="45"/>
              <w:rPr>
                <w:rFonts w:hint="eastAsia"/>
                <w:b/>
                <w:bCs/>
                <w:lang w:val="en-US" w:eastAsia="zh-CN"/>
              </w:rPr>
            </w:pPr>
            <w:r>
              <w:rPr>
                <w:rFonts w:hint="eastAsia"/>
                <w:b/>
                <w:bCs/>
                <w:lang w:val="en-US" w:eastAsia="zh-CN"/>
              </w:rPr>
              <w:t>白度/%，不小于</w:t>
            </w:r>
          </w:p>
        </w:tc>
      </w:tr>
      <w:tr w14:paraId="7D7EC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0" w:type="auto"/>
            <w:vMerge w:val="continue"/>
            <w:shd w:val="clear" w:color="auto" w:fill="auto"/>
            <w:vAlign w:val="center"/>
          </w:tcPr>
          <w:p w14:paraId="649FC77E">
            <w:pPr>
              <w:pStyle w:val="45"/>
              <w:ind w:firstLine="0" w:firstLineChars="0"/>
              <w:rPr>
                <w:rFonts w:hint="eastAsia"/>
                <w:b/>
                <w:bCs/>
                <w:lang w:val="en-US" w:eastAsia="zh-CN"/>
              </w:rPr>
            </w:pPr>
          </w:p>
        </w:tc>
        <w:tc>
          <w:tcPr>
            <w:tcW w:w="0" w:type="auto"/>
            <w:vMerge w:val="continue"/>
            <w:shd w:val="clear" w:color="auto" w:fill="auto"/>
            <w:vAlign w:val="center"/>
          </w:tcPr>
          <w:p w14:paraId="09DB0063">
            <w:pPr>
              <w:pStyle w:val="45"/>
              <w:rPr>
                <w:rFonts w:hint="eastAsia"/>
                <w:b/>
                <w:bCs/>
                <w:lang w:val="en-US" w:eastAsia="zh-CN"/>
              </w:rPr>
            </w:pPr>
          </w:p>
        </w:tc>
        <w:tc>
          <w:tcPr>
            <w:tcW w:w="0" w:type="auto"/>
            <w:shd w:val="clear" w:color="auto" w:fill="auto"/>
            <w:vAlign w:val="center"/>
          </w:tcPr>
          <w:p w14:paraId="1A02DDD7">
            <w:pPr>
              <w:pStyle w:val="45"/>
              <w:rPr>
                <w:rFonts w:hint="default"/>
                <w:b/>
                <w:bCs/>
                <w:lang w:val="en-US" w:eastAsia="zh-CN"/>
              </w:rPr>
            </w:pPr>
            <w:r>
              <w:rPr>
                <w:rFonts w:hint="eastAsia"/>
                <w:b/>
                <w:bCs/>
                <w:lang w:val="en-US" w:eastAsia="zh-CN"/>
              </w:rPr>
              <w:t>Na</w:t>
            </w:r>
          </w:p>
        </w:tc>
        <w:tc>
          <w:tcPr>
            <w:tcW w:w="0" w:type="auto"/>
            <w:shd w:val="clear" w:color="auto" w:fill="auto"/>
            <w:vAlign w:val="center"/>
          </w:tcPr>
          <w:p w14:paraId="1F35A35A">
            <w:pPr>
              <w:pStyle w:val="45"/>
              <w:rPr>
                <w:rFonts w:hint="default"/>
                <w:b/>
                <w:bCs/>
                <w:lang w:val="en-US" w:eastAsia="zh-CN"/>
              </w:rPr>
            </w:pPr>
            <w:r>
              <w:rPr>
                <w:rFonts w:hint="eastAsia"/>
                <w:b/>
                <w:bCs/>
                <w:lang w:val="en-US" w:eastAsia="zh-CN"/>
              </w:rPr>
              <w:t>K</w:t>
            </w:r>
          </w:p>
        </w:tc>
        <w:tc>
          <w:tcPr>
            <w:tcW w:w="0" w:type="auto"/>
            <w:shd w:val="clear" w:color="auto" w:fill="auto"/>
            <w:vAlign w:val="center"/>
          </w:tcPr>
          <w:p w14:paraId="79C442F6">
            <w:pPr>
              <w:pStyle w:val="45"/>
              <w:rPr>
                <w:rFonts w:hint="default"/>
                <w:b/>
                <w:bCs/>
                <w:lang w:val="en-US" w:eastAsia="zh-CN"/>
              </w:rPr>
            </w:pPr>
            <w:r>
              <w:rPr>
                <w:rFonts w:hint="eastAsia"/>
                <w:b/>
                <w:bCs/>
                <w:lang w:val="en-US" w:eastAsia="zh-CN"/>
              </w:rPr>
              <w:t>Fe</w:t>
            </w:r>
            <w:r>
              <w:rPr>
                <w:rFonts w:hint="eastAsia"/>
                <w:b/>
                <w:bCs/>
                <w:vertAlign w:val="subscript"/>
                <w:lang w:val="en-US" w:eastAsia="zh-CN"/>
              </w:rPr>
              <w:t>2</w:t>
            </w:r>
            <w:r>
              <w:rPr>
                <w:rFonts w:hint="eastAsia"/>
                <w:b/>
                <w:bCs/>
                <w:lang w:val="en-US" w:eastAsia="zh-CN"/>
              </w:rPr>
              <w:t>O</w:t>
            </w:r>
            <w:r>
              <w:rPr>
                <w:rFonts w:hint="eastAsia"/>
                <w:b/>
                <w:bCs/>
                <w:vertAlign w:val="subscript"/>
                <w:lang w:val="en-US" w:eastAsia="zh-CN"/>
              </w:rPr>
              <w:t>3</w:t>
            </w:r>
          </w:p>
        </w:tc>
        <w:tc>
          <w:tcPr>
            <w:tcW w:w="0" w:type="auto"/>
            <w:shd w:val="clear" w:color="auto" w:fill="auto"/>
            <w:vAlign w:val="center"/>
          </w:tcPr>
          <w:p w14:paraId="777363E5">
            <w:pPr>
              <w:pStyle w:val="45"/>
              <w:rPr>
                <w:rFonts w:hint="default"/>
                <w:b/>
                <w:bCs/>
                <w:lang w:val="en-US" w:eastAsia="zh-CN"/>
              </w:rPr>
            </w:pPr>
            <w:r>
              <w:rPr>
                <w:rFonts w:hint="eastAsia"/>
                <w:b/>
                <w:bCs/>
                <w:lang w:val="en-US" w:eastAsia="zh-CN"/>
              </w:rPr>
              <w:t>CaCl</w:t>
            </w:r>
            <w:r>
              <w:rPr>
                <w:rFonts w:hint="eastAsia"/>
                <w:b/>
                <w:bCs/>
                <w:vertAlign w:val="subscript"/>
                <w:lang w:val="en-US" w:eastAsia="zh-CN"/>
              </w:rPr>
              <w:t>2</w:t>
            </w:r>
          </w:p>
        </w:tc>
        <w:tc>
          <w:tcPr>
            <w:tcW w:w="0" w:type="auto"/>
            <w:shd w:val="clear" w:color="auto" w:fill="auto"/>
            <w:vAlign w:val="center"/>
          </w:tcPr>
          <w:p w14:paraId="71D64493">
            <w:pPr>
              <w:pStyle w:val="45"/>
              <w:rPr>
                <w:rFonts w:hint="default"/>
                <w:b/>
                <w:bCs/>
                <w:lang w:val="en-US" w:eastAsia="zh-CN"/>
              </w:rPr>
            </w:pPr>
            <w:r>
              <w:rPr>
                <w:rFonts w:hint="eastAsia"/>
                <w:b/>
                <w:bCs/>
                <w:lang w:val="en-US" w:eastAsia="zh-CN"/>
              </w:rPr>
              <w:t>MgCl</w:t>
            </w:r>
            <w:r>
              <w:rPr>
                <w:rFonts w:hint="eastAsia"/>
                <w:b/>
                <w:bCs/>
                <w:vertAlign w:val="subscript"/>
                <w:lang w:val="en-US" w:eastAsia="zh-CN"/>
              </w:rPr>
              <w:t>2</w:t>
            </w:r>
          </w:p>
        </w:tc>
        <w:tc>
          <w:tcPr>
            <w:tcW w:w="0" w:type="auto"/>
            <w:shd w:val="clear" w:color="auto" w:fill="auto"/>
            <w:vAlign w:val="center"/>
          </w:tcPr>
          <w:p w14:paraId="65E1668D">
            <w:pPr>
              <w:pStyle w:val="45"/>
              <w:rPr>
                <w:rFonts w:hint="default" w:eastAsia="宋体"/>
                <w:b/>
                <w:bCs/>
                <w:lang w:val="en-US" w:eastAsia="zh-CN"/>
              </w:rPr>
            </w:pPr>
            <w:r>
              <w:rPr>
                <w:b/>
                <w:bCs/>
              </w:rPr>
              <w:t>SO</w:t>
            </w:r>
            <w:r>
              <w:rPr>
                <w:b/>
                <w:bCs/>
                <w:vertAlign w:val="subscript"/>
              </w:rPr>
              <w:t>4</w:t>
            </w:r>
            <w:r>
              <w:rPr>
                <w:rFonts w:hint="eastAsia"/>
                <w:b/>
                <w:bCs/>
                <w:vertAlign w:val="superscript"/>
                <w:lang w:val="en-US" w:eastAsia="zh-CN"/>
              </w:rPr>
              <w:t>2-</w:t>
            </w:r>
          </w:p>
        </w:tc>
        <w:tc>
          <w:tcPr>
            <w:tcW w:w="0" w:type="auto"/>
            <w:shd w:val="clear" w:color="auto" w:fill="auto"/>
            <w:vAlign w:val="center"/>
          </w:tcPr>
          <w:p w14:paraId="5BC7AE28">
            <w:pPr>
              <w:pStyle w:val="45"/>
              <w:rPr>
                <w:rFonts w:hint="default"/>
                <w:b/>
                <w:bCs/>
                <w:lang w:val="en-US" w:eastAsia="zh-CN"/>
              </w:rPr>
            </w:pPr>
            <w:r>
              <w:rPr>
                <w:rFonts w:hint="eastAsia"/>
                <w:b/>
                <w:bCs/>
                <w:lang w:val="en-US" w:eastAsia="zh-CN"/>
              </w:rPr>
              <w:t>H</w:t>
            </w:r>
            <w:r>
              <w:rPr>
                <w:rFonts w:hint="eastAsia"/>
                <w:b/>
                <w:bCs/>
                <w:vertAlign w:val="subscript"/>
                <w:lang w:val="en-US" w:eastAsia="zh-CN"/>
              </w:rPr>
              <w:t>2</w:t>
            </w:r>
            <w:r>
              <w:rPr>
                <w:rFonts w:hint="eastAsia"/>
                <w:b/>
                <w:bCs/>
                <w:lang w:val="en-US" w:eastAsia="zh-CN"/>
              </w:rPr>
              <w:t>O</w:t>
            </w:r>
          </w:p>
        </w:tc>
        <w:tc>
          <w:tcPr>
            <w:tcW w:w="0" w:type="auto"/>
            <w:shd w:val="clear" w:color="auto" w:fill="auto"/>
            <w:vAlign w:val="center"/>
          </w:tcPr>
          <w:p w14:paraId="745D7E47">
            <w:pPr>
              <w:pStyle w:val="45"/>
              <w:rPr>
                <w:rFonts w:hint="default"/>
                <w:b/>
                <w:bCs/>
                <w:lang w:val="en-US" w:eastAsia="zh-CN"/>
              </w:rPr>
            </w:pPr>
            <w:r>
              <w:rPr>
                <w:rFonts w:hint="eastAsia"/>
                <w:b/>
                <w:bCs/>
                <w:lang w:val="en-US" w:eastAsia="zh-CN"/>
              </w:rPr>
              <w:t>盐酸不溶物</w:t>
            </w:r>
          </w:p>
        </w:tc>
        <w:tc>
          <w:tcPr>
            <w:tcW w:w="0" w:type="auto"/>
            <w:vMerge w:val="continue"/>
            <w:shd w:val="clear" w:color="auto" w:fill="auto"/>
            <w:vAlign w:val="center"/>
          </w:tcPr>
          <w:p w14:paraId="0E320BBC">
            <w:pPr>
              <w:pStyle w:val="45"/>
              <w:rPr>
                <w:rFonts w:hint="eastAsia"/>
                <w:b/>
                <w:bCs/>
                <w:lang w:val="en-US" w:eastAsia="zh-CN"/>
              </w:rPr>
            </w:pPr>
          </w:p>
        </w:tc>
      </w:tr>
      <w:tr w14:paraId="5A1AD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0" w:type="auto"/>
            <w:shd w:val="clear" w:color="auto" w:fill="auto"/>
            <w:vAlign w:val="center"/>
          </w:tcPr>
          <w:p w14:paraId="4A7F6942">
            <w:pPr>
              <w:pStyle w:val="45"/>
              <w:ind w:firstLine="0" w:firstLineChars="0"/>
              <w:rPr>
                <w:rFonts w:hint="default" w:ascii="Times New Roman" w:hAnsi="Times New Roman" w:eastAsia="宋体" w:cs="Times New Roman"/>
                <w:kern w:val="0"/>
                <w:sz w:val="21"/>
                <w:szCs w:val="21"/>
                <w:lang w:val="en-US" w:eastAsia="zh-CN" w:bidi="ar-SA"/>
              </w:rPr>
            </w:pPr>
            <w:r>
              <w:rPr>
                <w:rFonts w:hint="eastAsia"/>
                <w:lang w:val="en-US" w:eastAsia="zh-CN"/>
              </w:rPr>
              <w:t>Li</w:t>
            </w:r>
            <w:r>
              <w:t>Cl</w:t>
            </w:r>
            <w:r>
              <w:rPr>
                <w:rFonts w:hint="eastAsia"/>
                <w:lang w:val="en-US" w:eastAsia="zh-CN"/>
              </w:rPr>
              <w:t>-T</w:t>
            </w:r>
          </w:p>
        </w:tc>
        <w:tc>
          <w:tcPr>
            <w:tcW w:w="0" w:type="auto"/>
            <w:shd w:val="clear" w:color="auto" w:fill="auto"/>
            <w:vAlign w:val="center"/>
          </w:tcPr>
          <w:p w14:paraId="584914AB">
            <w:pPr>
              <w:pStyle w:val="45"/>
              <w:rPr>
                <w:rFonts w:hint="default" w:eastAsia="宋体"/>
                <w:lang w:val="en-US" w:eastAsia="zh-CN"/>
              </w:rPr>
            </w:pPr>
            <w:r>
              <w:rPr>
                <w:rFonts w:hint="eastAsia"/>
                <w:lang w:val="en-US" w:eastAsia="zh-CN"/>
              </w:rPr>
              <w:t>99.3</w:t>
            </w:r>
          </w:p>
        </w:tc>
        <w:tc>
          <w:tcPr>
            <w:tcW w:w="0" w:type="auto"/>
            <w:shd w:val="clear" w:color="auto" w:fill="auto"/>
            <w:vAlign w:val="center"/>
          </w:tcPr>
          <w:p w14:paraId="5A534E4C">
            <w:pPr>
              <w:pStyle w:val="45"/>
              <w:rPr>
                <w:rFonts w:hint="default"/>
                <w:lang w:val="en-US" w:eastAsia="zh-CN"/>
              </w:rPr>
            </w:pPr>
            <w:r>
              <w:rPr>
                <w:rFonts w:hint="eastAsia"/>
                <w:lang w:val="en-US" w:eastAsia="zh-CN"/>
              </w:rPr>
              <w:t>0.003</w:t>
            </w:r>
          </w:p>
        </w:tc>
        <w:tc>
          <w:tcPr>
            <w:tcW w:w="0" w:type="auto"/>
            <w:shd w:val="clear" w:color="auto" w:fill="auto"/>
            <w:vAlign w:val="center"/>
          </w:tcPr>
          <w:p w14:paraId="649D51FC">
            <w:pPr>
              <w:pStyle w:val="45"/>
              <w:rPr>
                <w:rFonts w:hint="default"/>
                <w:lang w:val="en-US" w:eastAsia="zh-CN"/>
              </w:rPr>
            </w:pPr>
            <w:r>
              <w:rPr>
                <w:rFonts w:hint="eastAsia"/>
                <w:lang w:val="en-US" w:eastAsia="zh-CN"/>
              </w:rPr>
              <w:t>0.001</w:t>
            </w:r>
          </w:p>
        </w:tc>
        <w:tc>
          <w:tcPr>
            <w:tcW w:w="0" w:type="auto"/>
            <w:shd w:val="clear" w:color="auto" w:fill="auto"/>
            <w:vAlign w:val="center"/>
          </w:tcPr>
          <w:p w14:paraId="40273757">
            <w:pPr>
              <w:pStyle w:val="45"/>
              <w:rPr>
                <w:rFonts w:hint="default"/>
                <w:lang w:val="en-US" w:eastAsia="zh-CN"/>
              </w:rPr>
            </w:pPr>
            <w:r>
              <w:rPr>
                <w:rFonts w:hint="eastAsia"/>
                <w:lang w:val="en-US" w:eastAsia="zh-CN"/>
              </w:rPr>
              <w:t>0.0015</w:t>
            </w:r>
          </w:p>
        </w:tc>
        <w:tc>
          <w:tcPr>
            <w:tcW w:w="0" w:type="auto"/>
            <w:shd w:val="clear" w:color="auto" w:fill="auto"/>
            <w:vAlign w:val="center"/>
          </w:tcPr>
          <w:p w14:paraId="358878A3">
            <w:pPr>
              <w:pStyle w:val="45"/>
              <w:rPr>
                <w:rFonts w:hint="default"/>
                <w:lang w:val="en-US" w:eastAsia="zh-CN"/>
              </w:rPr>
            </w:pPr>
            <w:r>
              <w:rPr>
                <w:rFonts w:hint="eastAsia"/>
                <w:lang w:val="en-US" w:eastAsia="zh-CN"/>
              </w:rPr>
              <w:t>0.01</w:t>
            </w:r>
          </w:p>
        </w:tc>
        <w:tc>
          <w:tcPr>
            <w:tcW w:w="0" w:type="auto"/>
            <w:shd w:val="clear" w:color="auto" w:fill="auto"/>
            <w:vAlign w:val="center"/>
          </w:tcPr>
          <w:p w14:paraId="6BE98A3B">
            <w:pPr>
              <w:pStyle w:val="45"/>
              <w:rPr>
                <w:rFonts w:hint="default"/>
                <w:lang w:val="en-US" w:eastAsia="zh-CN"/>
              </w:rPr>
            </w:pPr>
            <w:r>
              <w:rPr>
                <w:rFonts w:hint="eastAsia"/>
                <w:lang w:val="en-US" w:eastAsia="zh-CN"/>
              </w:rPr>
              <w:t>0.0024</w:t>
            </w:r>
          </w:p>
        </w:tc>
        <w:tc>
          <w:tcPr>
            <w:tcW w:w="0" w:type="auto"/>
            <w:shd w:val="clear" w:color="auto" w:fill="auto"/>
            <w:vAlign w:val="center"/>
          </w:tcPr>
          <w:p w14:paraId="79A73ADB">
            <w:pPr>
              <w:pStyle w:val="45"/>
              <w:rPr>
                <w:rFonts w:hint="default"/>
                <w:lang w:val="en-US" w:eastAsia="zh-CN"/>
              </w:rPr>
            </w:pPr>
            <w:r>
              <w:rPr>
                <w:rFonts w:hint="eastAsia"/>
                <w:lang w:val="en-US" w:eastAsia="zh-CN"/>
              </w:rPr>
              <w:t>0.002</w:t>
            </w:r>
          </w:p>
        </w:tc>
        <w:tc>
          <w:tcPr>
            <w:tcW w:w="0" w:type="auto"/>
            <w:shd w:val="clear" w:color="auto" w:fill="auto"/>
            <w:vAlign w:val="center"/>
          </w:tcPr>
          <w:p w14:paraId="72EE3560">
            <w:pPr>
              <w:pStyle w:val="45"/>
              <w:rPr>
                <w:rFonts w:hint="default"/>
                <w:lang w:val="en-US" w:eastAsia="zh-CN"/>
              </w:rPr>
            </w:pPr>
            <w:r>
              <w:rPr>
                <w:rFonts w:hint="eastAsia"/>
                <w:lang w:val="en-US" w:eastAsia="zh-CN"/>
              </w:rPr>
              <w:t>0.40</w:t>
            </w:r>
          </w:p>
        </w:tc>
        <w:tc>
          <w:tcPr>
            <w:tcW w:w="0" w:type="auto"/>
            <w:shd w:val="clear" w:color="auto" w:fill="auto"/>
            <w:vAlign w:val="center"/>
          </w:tcPr>
          <w:p w14:paraId="5981E441">
            <w:pPr>
              <w:pStyle w:val="45"/>
              <w:rPr>
                <w:rFonts w:hint="default"/>
                <w:lang w:val="en-US" w:eastAsia="zh-CN"/>
              </w:rPr>
            </w:pPr>
            <w:r>
              <w:rPr>
                <w:rFonts w:hint="eastAsia"/>
                <w:lang w:val="en-US" w:eastAsia="zh-CN"/>
              </w:rPr>
              <w:t>0.003</w:t>
            </w:r>
          </w:p>
        </w:tc>
        <w:tc>
          <w:tcPr>
            <w:tcW w:w="0" w:type="auto"/>
            <w:shd w:val="clear" w:color="auto" w:fill="auto"/>
            <w:vAlign w:val="center"/>
          </w:tcPr>
          <w:p w14:paraId="5E8324BD">
            <w:pPr>
              <w:pStyle w:val="45"/>
              <w:rPr>
                <w:rFonts w:hint="default"/>
                <w:lang w:val="en-US" w:eastAsia="zh-CN"/>
              </w:rPr>
            </w:pPr>
            <w:r>
              <w:rPr>
                <w:rFonts w:hint="eastAsia"/>
                <w:lang w:val="en-US" w:eastAsia="zh-CN"/>
              </w:rPr>
              <w:t>60</w:t>
            </w:r>
          </w:p>
        </w:tc>
      </w:tr>
      <w:tr w14:paraId="15518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0" w:type="auto"/>
            <w:shd w:val="clear" w:color="auto" w:fill="auto"/>
            <w:vAlign w:val="center"/>
          </w:tcPr>
          <w:p w14:paraId="6330199F">
            <w:pPr>
              <w:pStyle w:val="45"/>
              <w:bidi w:val="0"/>
              <w:rPr>
                <w:rFonts w:hint="default"/>
                <w:lang w:val="en-US" w:eastAsia="zh-CN"/>
              </w:rPr>
            </w:pPr>
            <w:r>
              <w:rPr>
                <w:rFonts w:hint="eastAsia"/>
                <w:lang w:val="en-US" w:eastAsia="zh-CN"/>
              </w:rPr>
              <w:t>Li</w:t>
            </w:r>
            <w:r>
              <w:t>Cl</w:t>
            </w:r>
            <w:r>
              <w:rPr>
                <w:rFonts w:hint="eastAsia"/>
                <w:lang w:val="en-US" w:eastAsia="zh-CN"/>
              </w:rPr>
              <w:t>-0</w:t>
            </w:r>
          </w:p>
        </w:tc>
        <w:tc>
          <w:tcPr>
            <w:tcW w:w="0" w:type="auto"/>
            <w:shd w:val="clear" w:color="auto" w:fill="auto"/>
            <w:vAlign w:val="center"/>
          </w:tcPr>
          <w:p w14:paraId="1CAA1E52">
            <w:pPr>
              <w:pStyle w:val="45"/>
              <w:rPr>
                <w:rFonts w:hint="default" w:eastAsia="宋体"/>
                <w:lang w:val="en-US" w:eastAsia="zh-CN"/>
              </w:rPr>
            </w:pPr>
            <w:r>
              <w:rPr>
                <w:rFonts w:hint="eastAsia"/>
                <w:lang w:val="en-US" w:eastAsia="zh-CN"/>
              </w:rPr>
              <w:t>99.3</w:t>
            </w:r>
          </w:p>
        </w:tc>
        <w:tc>
          <w:tcPr>
            <w:tcW w:w="0" w:type="auto"/>
            <w:gridSpan w:val="2"/>
            <w:shd w:val="clear" w:color="auto" w:fill="auto"/>
            <w:vAlign w:val="center"/>
          </w:tcPr>
          <w:p w14:paraId="01A765C0">
            <w:pPr>
              <w:pStyle w:val="45"/>
              <w:rPr>
                <w:rFonts w:hint="default"/>
                <w:lang w:val="en-US" w:eastAsia="zh-CN"/>
              </w:rPr>
            </w:pPr>
            <w:r>
              <w:rPr>
                <w:rFonts w:hint="eastAsia"/>
                <w:lang w:val="en-US" w:eastAsia="zh-CN"/>
              </w:rPr>
              <w:t>0.02</w:t>
            </w:r>
          </w:p>
        </w:tc>
        <w:tc>
          <w:tcPr>
            <w:tcW w:w="0" w:type="auto"/>
            <w:shd w:val="clear" w:color="auto" w:fill="auto"/>
            <w:vAlign w:val="center"/>
          </w:tcPr>
          <w:p w14:paraId="4DE1388B">
            <w:pPr>
              <w:pStyle w:val="45"/>
              <w:rPr>
                <w:rFonts w:hint="default"/>
                <w:lang w:val="en-US" w:eastAsia="zh-CN"/>
              </w:rPr>
            </w:pPr>
            <w:r>
              <w:rPr>
                <w:rFonts w:hint="eastAsia"/>
                <w:lang w:val="en-US" w:eastAsia="zh-CN"/>
              </w:rPr>
              <w:t>0.002</w:t>
            </w:r>
          </w:p>
        </w:tc>
        <w:tc>
          <w:tcPr>
            <w:tcW w:w="0" w:type="auto"/>
            <w:shd w:val="clear" w:color="auto" w:fill="auto"/>
            <w:vAlign w:val="center"/>
          </w:tcPr>
          <w:p w14:paraId="5B7C5CE1">
            <w:pPr>
              <w:pStyle w:val="45"/>
              <w:rPr>
                <w:rFonts w:hint="default"/>
                <w:lang w:val="en-US" w:eastAsia="zh-CN"/>
              </w:rPr>
            </w:pPr>
            <w:r>
              <w:rPr>
                <w:rFonts w:hint="eastAsia"/>
                <w:lang w:val="en-US" w:eastAsia="zh-CN"/>
              </w:rPr>
              <w:t>0.02</w:t>
            </w:r>
          </w:p>
        </w:tc>
        <w:tc>
          <w:tcPr>
            <w:tcW w:w="0" w:type="auto"/>
            <w:shd w:val="clear" w:color="auto" w:fill="auto"/>
            <w:vAlign w:val="center"/>
          </w:tcPr>
          <w:p w14:paraId="62A66BB8">
            <w:pPr>
              <w:pStyle w:val="45"/>
              <w:rPr>
                <w:rFonts w:hint="default"/>
                <w:lang w:val="en-US" w:eastAsia="zh-CN"/>
              </w:rPr>
            </w:pPr>
            <w:r>
              <w:rPr>
                <w:rFonts w:hint="eastAsia"/>
                <w:lang w:val="en-US" w:eastAsia="zh-CN"/>
              </w:rPr>
              <w:t>-</w:t>
            </w:r>
          </w:p>
        </w:tc>
        <w:tc>
          <w:tcPr>
            <w:tcW w:w="0" w:type="auto"/>
            <w:shd w:val="clear" w:color="auto" w:fill="auto"/>
            <w:vAlign w:val="center"/>
          </w:tcPr>
          <w:p w14:paraId="73A97A78">
            <w:pPr>
              <w:pStyle w:val="45"/>
              <w:rPr>
                <w:rFonts w:hint="default"/>
                <w:lang w:val="en-US" w:eastAsia="zh-CN"/>
              </w:rPr>
            </w:pPr>
            <w:r>
              <w:rPr>
                <w:rFonts w:hint="eastAsia"/>
                <w:lang w:val="en-US" w:eastAsia="zh-CN"/>
              </w:rPr>
              <w:t>0.003</w:t>
            </w:r>
          </w:p>
        </w:tc>
        <w:tc>
          <w:tcPr>
            <w:tcW w:w="0" w:type="auto"/>
            <w:shd w:val="clear" w:color="auto" w:fill="auto"/>
            <w:vAlign w:val="center"/>
          </w:tcPr>
          <w:p w14:paraId="7ED32FF4">
            <w:pPr>
              <w:pStyle w:val="45"/>
              <w:rPr>
                <w:rFonts w:hint="default"/>
                <w:lang w:val="en-US" w:eastAsia="zh-CN"/>
              </w:rPr>
            </w:pPr>
            <w:r>
              <w:rPr>
                <w:rFonts w:hint="eastAsia"/>
                <w:lang w:val="en-US" w:eastAsia="zh-CN"/>
              </w:rPr>
              <w:t>0.60</w:t>
            </w:r>
          </w:p>
        </w:tc>
        <w:tc>
          <w:tcPr>
            <w:tcW w:w="0" w:type="auto"/>
            <w:shd w:val="clear" w:color="auto" w:fill="auto"/>
            <w:vAlign w:val="center"/>
          </w:tcPr>
          <w:p w14:paraId="469D534B">
            <w:pPr>
              <w:pStyle w:val="45"/>
              <w:rPr>
                <w:rFonts w:hint="default"/>
                <w:lang w:val="en-US" w:eastAsia="zh-CN"/>
              </w:rPr>
            </w:pPr>
            <w:r>
              <w:rPr>
                <w:rFonts w:hint="eastAsia"/>
                <w:lang w:val="en-US" w:eastAsia="zh-CN"/>
              </w:rPr>
              <w:t>0.005</w:t>
            </w:r>
          </w:p>
        </w:tc>
        <w:tc>
          <w:tcPr>
            <w:tcW w:w="0" w:type="auto"/>
            <w:shd w:val="clear" w:color="auto" w:fill="auto"/>
            <w:vAlign w:val="center"/>
          </w:tcPr>
          <w:p w14:paraId="0E1461FC">
            <w:pPr>
              <w:pStyle w:val="45"/>
              <w:rPr>
                <w:rFonts w:hint="default"/>
                <w:lang w:val="en-US" w:eastAsia="zh-CN"/>
              </w:rPr>
            </w:pPr>
            <w:r>
              <w:rPr>
                <w:rFonts w:hint="eastAsia"/>
                <w:lang w:val="en-US" w:eastAsia="zh-CN"/>
              </w:rPr>
              <w:t>60</w:t>
            </w:r>
          </w:p>
        </w:tc>
      </w:tr>
      <w:tr w14:paraId="2511F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0" w:type="auto"/>
            <w:shd w:val="clear" w:color="auto" w:fill="auto"/>
            <w:vAlign w:val="center"/>
          </w:tcPr>
          <w:p w14:paraId="098A1072">
            <w:pPr>
              <w:pStyle w:val="45"/>
              <w:bidi w:val="0"/>
              <w:rPr>
                <w:rFonts w:hint="default"/>
                <w:lang w:val="en-US" w:eastAsia="zh-CN"/>
              </w:rPr>
            </w:pPr>
            <w:r>
              <w:rPr>
                <w:rFonts w:hint="eastAsia"/>
                <w:lang w:val="en-US" w:eastAsia="zh-CN"/>
              </w:rPr>
              <w:t>Li</w:t>
            </w:r>
            <w:r>
              <w:t>Cl</w:t>
            </w:r>
            <w:r>
              <w:rPr>
                <w:rFonts w:hint="eastAsia"/>
                <w:lang w:val="en-US" w:eastAsia="zh-CN"/>
              </w:rPr>
              <w:t>-1</w:t>
            </w:r>
          </w:p>
        </w:tc>
        <w:tc>
          <w:tcPr>
            <w:tcW w:w="0" w:type="auto"/>
            <w:shd w:val="clear" w:color="auto" w:fill="auto"/>
            <w:vAlign w:val="center"/>
          </w:tcPr>
          <w:p w14:paraId="1FD8F6B7">
            <w:pPr>
              <w:pStyle w:val="45"/>
              <w:rPr>
                <w:rFonts w:hint="default" w:eastAsia="宋体"/>
                <w:lang w:val="en-US" w:eastAsia="zh-CN"/>
              </w:rPr>
            </w:pPr>
            <w:r>
              <w:rPr>
                <w:rFonts w:hint="eastAsia"/>
                <w:lang w:val="en-US" w:eastAsia="zh-CN"/>
              </w:rPr>
              <w:t>99.0</w:t>
            </w:r>
          </w:p>
        </w:tc>
        <w:tc>
          <w:tcPr>
            <w:tcW w:w="0" w:type="auto"/>
            <w:gridSpan w:val="2"/>
            <w:shd w:val="clear" w:color="auto" w:fill="auto"/>
            <w:vAlign w:val="center"/>
          </w:tcPr>
          <w:p w14:paraId="750994C8">
            <w:pPr>
              <w:pStyle w:val="45"/>
              <w:rPr>
                <w:rFonts w:hint="default"/>
                <w:lang w:val="en-US" w:eastAsia="zh-CN"/>
              </w:rPr>
            </w:pPr>
            <w:r>
              <w:rPr>
                <w:rFonts w:hint="eastAsia"/>
                <w:lang w:val="en-US" w:eastAsia="zh-CN"/>
              </w:rPr>
              <w:t>0.25</w:t>
            </w:r>
          </w:p>
        </w:tc>
        <w:tc>
          <w:tcPr>
            <w:tcW w:w="0" w:type="auto"/>
            <w:shd w:val="clear" w:color="auto" w:fill="auto"/>
            <w:vAlign w:val="center"/>
          </w:tcPr>
          <w:p w14:paraId="1C7F5699">
            <w:pPr>
              <w:pStyle w:val="45"/>
              <w:rPr>
                <w:rFonts w:hint="default"/>
                <w:lang w:val="en-US" w:eastAsia="zh-CN"/>
              </w:rPr>
            </w:pPr>
            <w:r>
              <w:rPr>
                <w:rFonts w:hint="eastAsia"/>
                <w:lang w:val="en-US" w:eastAsia="zh-CN"/>
              </w:rPr>
              <w:t>0.002</w:t>
            </w:r>
          </w:p>
        </w:tc>
        <w:tc>
          <w:tcPr>
            <w:tcW w:w="0" w:type="auto"/>
            <w:shd w:val="clear" w:color="auto" w:fill="auto"/>
            <w:vAlign w:val="center"/>
          </w:tcPr>
          <w:p w14:paraId="328823EC">
            <w:pPr>
              <w:pStyle w:val="45"/>
              <w:rPr>
                <w:rFonts w:hint="default"/>
                <w:lang w:val="en-US" w:eastAsia="zh-CN"/>
              </w:rPr>
            </w:pPr>
            <w:r>
              <w:rPr>
                <w:rFonts w:hint="eastAsia"/>
                <w:lang w:val="en-US" w:eastAsia="zh-CN"/>
              </w:rPr>
              <w:t>0.02</w:t>
            </w:r>
          </w:p>
        </w:tc>
        <w:tc>
          <w:tcPr>
            <w:tcW w:w="0" w:type="auto"/>
            <w:shd w:val="clear" w:color="auto" w:fill="auto"/>
            <w:vAlign w:val="center"/>
          </w:tcPr>
          <w:p w14:paraId="6BBBAFC4">
            <w:pPr>
              <w:pStyle w:val="45"/>
              <w:rPr>
                <w:rFonts w:hint="default"/>
                <w:lang w:val="en-US" w:eastAsia="zh-CN"/>
              </w:rPr>
            </w:pPr>
            <w:r>
              <w:rPr>
                <w:rFonts w:hint="eastAsia"/>
                <w:lang w:val="en-US" w:eastAsia="zh-CN"/>
              </w:rPr>
              <w:t>-</w:t>
            </w:r>
          </w:p>
        </w:tc>
        <w:tc>
          <w:tcPr>
            <w:tcW w:w="0" w:type="auto"/>
            <w:shd w:val="clear" w:color="auto" w:fill="auto"/>
            <w:vAlign w:val="center"/>
          </w:tcPr>
          <w:p w14:paraId="52B94C50">
            <w:pPr>
              <w:pStyle w:val="45"/>
              <w:rPr>
                <w:rFonts w:hint="default"/>
                <w:lang w:val="en-US" w:eastAsia="zh-CN"/>
              </w:rPr>
            </w:pPr>
            <w:r>
              <w:rPr>
                <w:rFonts w:hint="eastAsia"/>
                <w:lang w:val="en-US" w:eastAsia="zh-CN"/>
              </w:rPr>
              <w:t>0.01</w:t>
            </w:r>
          </w:p>
        </w:tc>
        <w:tc>
          <w:tcPr>
            <w:tcW w:w="0" w:type="auto"/>
            <w:shd w:val="clear" w:color="auto" w:fill="auto"/>
            <w:vAlign w:val="center"/>
          </w:tcPr>
          <w:p w14:paraId="73B671A8">
            <w:pPr>
              <w:pStyle w:val="45"/>
              <w:rPr>
                <w:rFonts w:hint="default"/>
                <w:lang w:val="en-US" w:eastAsia="zh-CN"/>
              </w:rPr>
            </w:pPr>
            <w:r>
              <w:rPr>
                <w:rFonts w:hint="eastAsia"/>
                <w:lang w:val="en-US" w:eastAsia="zh-CN"/>
              </w:rPr>
              <w:t>0.80</w:t>
            </w:r>
          </w:p>
        </w:tc>
        <w:tc>
          <w:tcPr>
            <w:tcW w:w="0" w:type="auto"/>
            <w:shd w:val="clear" w:color="auto" w:fill="auto"/>
            <w:vAlign w:val="center"/>
          </w:tcPr>
          <w:p w14:paraId="75C61611">
            <w:pPr>
              <w:pStyle w:val="45"/>
              <w:rPr>
                <w:rFonts w:hint="default"/>
                <w:lang w:val="en-US" w:eastAsia="zh-CN"/>
              </w:rPr>
            </w:pPr>
            <w:r>
              <w:rPr>
                <w:rFonts w:hint="eastAsia"/>
                <w:lang w:val="en-US" w:eastAsia="zh-CN"/>
              </w:rPr>
              <w:t>0.01</w:t>
            </w:r>
          </w:p>
        </w:tc>
        <w:tc>
          <w:tcPr>
            <w:tcW w:w="0" w:type="auto"/>
            <w:shd w:val="clear" w:color="auto" w:fill="auto"/>
            <w:vAlign w:val="center"/>
          </w:tcPr>
          <w:p w14:paraId="65373B3D">
            <w:pPr>
              <w:pStyle w:val="45"/>
              <w:rPr>
                <w:rFonts w:hint="default"/>
                <w:lang w:val="en-US" w:eastAsia="zh-CN"/>
              </w:rPr>
            </w:pPr>
            <w:r>
              <w:rPr>
                <w:rFonts w:hint="eastAsia"/>
                <w:lang w:val="en-US" w:eastAsia="zh-CN"/>
              </w:rPr>
              <w:t>60</w:t>
            </w:r>
          </w:p>
        </w:tc>
      </w:tr>
    </w:tbl>
    <w:p w14:paraId="115E1AD4">
      <w:pPr>
        <w:ind w:left="0" w:leftChars="0" w:firstLine="0" w:firstLineChars="0"/>
        <w:rPr>
          <w:rFonts w:hint="eastAsia"/>
        </w:rPr>
      </w:pPr>
    </w:p>
    <w:p w14:paraId="5F608F44">
      <w:pPr>
        <w:ind w:firstLine="480"/>
        <w:rPr>
          <w:rFonts w:hint="eastAsia"/>
        </w:rPr>
      </w:pPr>
      <w:r>
        <w:rPr>
          <w:rFonts w:hint="eastAsia"/>
          <w:lang w:val="en-US" w:eastAsia="zh-CN"/>
        </w:rPr>
        <w:t>氢气</w:t>
      </w:r>
      <w:r>
        <w:rPr>
          <w:rFonts w:hint="eastAsia"/>
        </w:rPr>
        <w:t>产品质量执行《氢气 第2部分：纯氢、高纯氢和超纯氢》（GB/T 3634.2-2011）</w:t>
      </w:r>
      <w:r>
        <w:rPr>
          <w:rFonts w:hint="eastAsia"/>
          <w:lang w:val="en-US" w:eastAsia="zh-CN"/>
        </w:rPr>
        <w:t>中高纯氢的质量标准</w:t>
      </w:r>
      <w:r>
        <w:rPr>
          <w:rFonts w:hint="eastAsia"/>
        </w:rPr>
        <w:t>。</w:t>
      </w:r>
    </w:p>
    <w:p w14:paraId="4AFDEF85">
      <w:pPr>
        <w:pStyle w:val="43"/>
        <w:rPr>
          <w:rFonts w:hint="eastAsia"/>
        </w:rPr>
      </w:pPr>
      <w:r>
        <w:rPr>
          <w:rFonts w:hint="eastAsia"/>
          <w:lang w:val="en-US" w:eastAsia="zh-CN"/>
        </w:rPr>
        <w:t>氢气质量标准</w:t>
      </w:r>
      <w:r>
        <w:rPr>
          <w:rFonts w:hint="eastAsia"/>
        </w:rPr>
        <w:t>（GB/T 3634.2-2011）</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74"/>
        <w:gridCol w:w="449"/>
        <w:gridCol w:w="1165"/>
        <w:gridCol w:w="1165"/>
        <w:gridCol w:w="1166"/>
      </w:tblGrid>
      <w:tr w14:paraId="5C157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blHeader/>
          <w:jc w:val="center"/>
        </w:trPr>
        <w:tc>
          <w:tcPr>
            <w:tcW w:w="2948" w:type="pct"/>
            <w:gridSpan w:val="2"/>
            <w:vMerge w:val="restart"/>
            <w:shd w:val="clear" w:color="auto" w:fill="auto"/>
            <w:vAlign w:val="center"/>
          </w:tcPr>
          <w:p w14:paraId="6A77FD35">
            <w:pPr>
              <w:pStyle w:val="45"/>
              <w:jc w:val="center"/>
              <w:rPr>
                <w:rFonts w:hint="default"/>
                <w:b/>
                <w:bCs/>
              </w:rPr>
            </w:pPr>
            <w:r>
              <w:rPr>
                <w:b/>
                <w:bCs/>
              </w:rPr>
              <w:t>项目</w:t>
            </w:r>
          </w:p>
        </w:tc>
        <w:tc>
          <w:tcPr>
            <w:tcW w:w="2051" w:type="pct"/>
            <w:gridSpan w:val="3"/>
            <w:shd w:val="clear" w:color="auto" w:fill="auto"/>
            <w:vAlign w:val="center"/>
          </w:tcPr>
          <w:p w14:paraId="0B36D329">
            <w:pPr>
              <w:pStyle w:val="45"/>
              <w:jc w:val="center"/>
              <w:rPr>
                <w:rFonts w:hint="eastAsia" w:eastAsia="宋体"/>
                <w:b/>
                <w:bCs/>
                <w:lang w:val="en-US" w:eastAsia="zh-CN"/>
              </w:rPr>
            </w:pPr>
            <w:r>
              <w:rPr>
                <w:rFonts w:hint="eastAsia"/>
                <w:b/>
                <w:bCs/>
                <w:lang w:val="en-US" w:eastAsia="zh-CN"/>
              </w:rPr>
              <w:t>指标</w:t>
            </w:r>
          </w:p>
        </w:tc>
      </w:tr>
      <w:tr w14:paraId="565CF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blHeader/>
          <w:jc w:val="center"/>
        </w:trPr>
        <w:tc>
          <w:tcPr>
            <w:tcW w:w="2948" w:type="pct"/>
            <w:gridSpan w:val="2"/>
            <w:vMerge w:val="continue"/>
            <w:shd w:val="clear" w:color="auto" w:fill="auto"/>
            <w:vAlign w:val="center"/>
          </w:tcPr>
          <w:p w14:paraId="2E925FA1">
            <w:pPr>
              <w:pStyle w:val="45"/>
              <w:jc w:val="center"/>
              <w:rPr>
                <w:rFonts w:hint="default"/>
                <w:b/>
                <w:bCs/>
              </w:rPr>
            </w:pPr>
          </w:p>
        </w:tc>
        <w:tc>
          <w:tcPr>
            <w:tcW w:w="683" w:type="pct"/>
            <w:shd w:val="clear" w:color="auto" w:fill="auto"/>
            <w:vAlign w:val="center"/>
          </w:tcPr>
          <w:p w14:paraId="7BA359F6">
            <w:pPr>
              <w:pStyle w:val="45"/>
              <w:bidi w:val="0"/>
              <w:jc w:val="center"/>
              <w:rPr>
                <w:rFonts w:hint="default"/>
                <w:b/>
                <w:bCs/>
                <w:lang w:val="en-US" w:eastAsia="zh-CN"/>
              </w:rPr>
            </w:pPr>
            <w:r>
              <w:rPr>
                <w:rFonts w:hint="eastAsia"/>
                <w:b/>
                <w:bCs/>
                <w:lang w:val="en-US" w:eastAsia="zh-CN"/>
              </w:rPr>
              <w:t>纯氢</w:t>
            </w:r>
          </w:p>
        </w:tc>
        <w:tc>
          <w:tcPr>
            <w:tcW w:w="683" w:type="pct"/>
            <w:shd w:val="clear" w:color="auto" w:fill="auto"/>
            <w:vAlign w:val="center"/>
          </w:tcPr>
          <w:p w14:paraId="0C453546">
            <w:pPr>
              <w:pStyle w:val="45"/>
              <w:bidi w:val="0"/>
              <w:jc w:val="center"/>
              <w:rPr>
                <w:rFonts w:hint="default"/>
                <w:b/>
                <w:bCs/>
                <w:lang w:val="en-US"/>
              </w:rPr>
            </w:pPr>
            <w:r>
              <w:rPr>
                <w:rFonts w:hint="eastAsia"/>
                <w:b/>
                <w:bCs/>
                <w:lang w:val="en-US" w:eastAsia="zh-CN"/>
              </w:rPr>
              <w:t>高纯氢</w:t>
            </w:r>
          </w:p>
        </w:tc>
        <w:tc>
          <w:tcPr>
            <w:tcW w:w="684" w:type="pct"/>
            <w:shd w:val="clear" w:color="auto" w:fill="auto"/>
            <w:vAlign w:val="center"/>
          </w:tcPr>
          <w:p w14:paraId="5B162854">
            <w:pPr>
              <w:pStyle w:val="45"/>
              <w:bidi w:val="0"/>
              <w:jc w:val="center"/>
              <w:rPr>
                <w:b/>
                <w:bCs/>
              </w:rPr>
            </w:pPr>
            <w:r>
              <w:rPr>
                <w:rFonts w:hint="eastAsia"/>
                <w:b/>
                <w:bCs/>
                <w:lang w:val="en-US" w:eastAsia="zh-CN"/>
              </w:rPr>
              <w:t>I超纯氢</w:t>
            </w:r>
          </w:p>
        </w:tc>
      </w:tr>
      <w:tr w14:paraId="4F460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2684" w:type="pct"/>
            <w:tcBorders>
              <w:right w:val="nil"/>
            </w:tcBorders>
            <w:shd w:val="clear" w:color="auto" w:fill="auto"/>
            <w:vAlign w:val="center"/>
          </w:tcPr>
          <w:p w14:paraId="1B6DE89B">
            <w:pPr>
              <w:pStyle w:val="45"/>
              <w:jc w:val="center"/>
              <w:rPr>
                <w:rFonts w:hint="eastAsia" w:eastAsia="宋体"/>
                <w:lang w:eastAsia="zh-CN"/>
              </w:rPr>
            </w:pPr>
            <w:r>
              <w:rPr>
                <w:rFonts w:hint="eastAsia"/>
                <w:lang w:val="en-US" w:eastAsia="zh-CN"/>
              </w:rPr>
              <w:t>氢气</w:t>
            </w:r>
            <w:r>
              <w:t>（</w:t>
            </w:r>
            <w:r>
              <w:rPr>
                <w:rFonts w:hint="eastAsia"/>
                <w:lang w:val="en-US" w:eastAsia="zh-CN"/>
              </w:rPr>
              <w:t>H</w:t>
            </w:r>
            <w:r>
              <w:rPr>
                <w:rFonts w:hint="eastAsia"/>
                <w:vertAlign w:val="subscript"/>
                <w:lang w:val="en-US" w:eastAsia="zh-CN"/>
              </w:rPr>
              <w:t>2</w:t>
            </w:r>
            <w:r>
              <w:t>）</w:t>
            </w:r>
            <w:r>
              <w:rPr>
                <w:rFonts w:hint="eastAsia"/>
                <w:lang w:val="en-US" w:eastAsia="zh-CN"/>
              </w:rPr>
              <w:t>纯度</w:t>
            </w:r>
            <w:r>
              <w:rPr>
                <w:rFonts w:hint="eastAsia"/>
                <w:lang w:eastAsia="zh-CN"/>
              </w:rPr>
              <w:t>（</w:t>
            </w:r>
            <w:r>
              <w:rPr>
                <w:rFonts w:hint="eastAsia"/>
                <w:lang w:val="en-US" w:eastAsia="zh-CN"/>
              </w:rPr>
              <w:t>体积分数</w:t>
            </w:r>
            <w:r>
              <w:rPr>
                <w:rFonts w:hint="eastAsia"/>
                <w:lang w:eastAsia="zh-CN"/>
              </w:rPr>
              <w:t>）</w:t>
            </w:r>
            <w:r>
              <w:rPr>
                <w:rFonts w:hint="eastAsia"/>
                <w:lang w:val="en-US" w:eastAsia="zh-CN"/>
              </w:rPr>
              <w:t>/10</w:t>
            </w:r>
            <w:r>
              <w:rPr>
                <w:rFonts w:hint="eastAsia"/>
                <w:vertAlign w:val="superscript"/>
                <w:lang w:val="en-US" w:eastAsia="zh-CN"/>
              </w:rPr>
              <w:t>-2</w:t>
            </w:r>
          </w:p>
        </w:tc>
        <w:tc>
          <w:tcPr>
            <w:tcW w:w="263" w:type="pct"/>
            <w:tcBorders>
              <w:left w:val="nil"/>
            </w:tcBorders>
            <w:shd w:val="clear" w:color="auto" w:fill="auto"/>
            <w:vAlign w:val="center"/>
          </w:tcPr>
          <w:p w14:paraId="4F955405">
            <w:pPr>
              <w:pStyle w:val="45"/>
              <w:jc w:val="center"/>
              <w:rPr>
                <w:rFonts w:hint="eastAsia"/>
                <w:lang w:val="en-US" w:eastAsia="zh-CN"/>
              </w:rPr>
            </w:pPr>
            <w:r>
              <w:rPr>
                <w:rFonts w:hint="eastAsia"/>
                <w:lang w:val="en-US" w:eastAsia="zh-CN"/>
              </w:rPr>
              <w:t>≥</w:t>
            </w:r>
          </w:p>
        </w:tc>
        <w:tc>
          <w:tcPr>
            <w:tcW w:w="683" w:type="pct"/>
            <w:shd w:val="clear" w:color="auto" w:fill="auto"/>
            <w:vAlign w:val="center"/>
          </w:tcPr>
          <w:p w14:paraId="70426E0C">
            <w:pPr>
              <w:pStyle w:val="45"/>
              <w:jc w:val="center"/>
              <w:rPr>
                <w:rFonts w:hint="default"/>
                <w:lang w:val="en-US" w:eastAsia="zh-CN"/>
              </w:rPr>
            </w:pPr>
            <w:r>
              <w:rPr>
                <w:rFonts w:hint="eastAsia"/>
                <w:lang w:val="en-US" w:eastAsia="zh-CN"/>
              </w:rPr>
              <w:t>99.99</w:t>
            </w:r>
          </w:p>
        </w:tc>
        <w:tc>
          <w:tcPr>
            <w:tcW w:w="683" w:type="pct"/>
            <w:shd w:val="clear" w:color="auto" w:fill="auto"/>
            <w:vAlign w:val="center"/>
          </w:tcPr>
          <w:p w14:paraId="42E10B0D">
            <w:pPr>
              <w:pStyle w:val="45"/>
              <w:jc w:val="center"/>
              <w:rPr>
                <w:rFonts w:hint="default"/>
                <w:lang w:val="en-US" w:eastAsia="zh-CN"/>
              </w:rPr>
            </w:pPr>
            <w:r>
              <w:rPr>
                <w:rFonts w:hint="eastAsia"/>
                <w:lang w:val="en-US" w:eastAsia="zh-CN"/>
              </w:rPr>
              <w:t>99.999</w:t>
            </w:r>
          </w:p>
        </w:tc>
        <w:tc>
          <w:tcPr>
            <w:tcW w:w="684" w:type="pct"/>
            <w:shd w:val="clear" w:color="auto" w:fill="auto"/>
            <w:vAlign w:val="center"/>
          </w:tcPr>
          <w:p w14:paraId="38C1F91C">
            <w:pPr>
              <w:pStyle w:val="45"/>
              <w:jc w:val="center"/>
              <w:rPr>
                <w:rFonts w:hint="default"/>
                <w:lang w:val="en-US" w:eastAsia="zh-CN"/>
              </w:rPr>
            </w:pPr>
            <w:r>
              <w:rPr>
                <w:rFonts w:hint="eastAsia"/>
                <w:lang w:val="en-US" w:eastAsia="zh-CN"/>
              </w:rPr>
              <w:t>99.9999</w:t>
            </w:r>
          </w:p>
        </w:tc>
      </w:tr>
      <w:tr w14:paraId="78D50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jc w:val="center"/>
        </w:trPr>
        <w:tc>
          <w:tcPr>
            <w:tcW w:w="2684" w:type="pct"/>
            <w:tcBorders>
              <w:right w:val="nil"/>
            </w:tcBorders>
            <w:shd w:val="clear" w:color="auto" w:fill="auto"/>
            <w:vAlign w:val="center"/>
          </w:tcPr>
          <w:p w14:paraId="26A18F0E">
            <w:pPr>
              <w:pStyle w:val="45"/>
              <w:jc w:val="center"/>
              <w:rPr>
                <w:rFonts w:hint="default"/>
                <w:lang w:val="en-US"/>
              </w:rPr>
            </w:pPr>
            <w:r>
              <w:rPr>
                <w:rFonts w:hint="eastAsia"/>
                <w:lang w:val="en-US" w:eastAsia="zh-CN"/>
              </w:rPr>
              <w:t>氧气</w:t>
            </w:r>
            <w:r>
              <w:t>（</w:t>
            </w:r>
            <w:r>
              <w:rPr>
                <w:rFonts w:hint="eastAsia"/>
                <w:lang w:val="en-US" w:eastAsia="zh-CN"/>
              </w:rPr>
              <w:t>O</w:t>
            </w:r>
            <w:r>
              <w:rPr>
                <w:rFonts w:hint="eastAsia"/>
                <w:vertAlign w:val="subscript"/>
                <w:lang w:val="en-US" w:eastAsia="zh-CN"/>
              </w:rPr>
              <w:t>2</w:t>
            </w:r>
            <w:r>
              <w:t>）</w:t>
            </w:r>
            <w:r>
              <w:rPr>
                <w:rFonts w:hint="eastAsia"/>
                <w:lang w:val="en-US" w:eastAsia="zh-CN"/>
              </w:rPr>
              <w:t>含量</w:t>
            </w:r>
            <w:r>
              <w:rPr>
                <w:rFonts w:hint="eastAsia"/>
                <w:lang w:eastAsia="zh-CN"/>
              </w:rPr>
              <w:t>（</w:t>
            </w:r>
            <w:r>
              <w:rPr>
                <w:rFonts w:hint="eastAsia"/>
                <w:lang w:val="en-US" w:eastAsia="zh-CN"/>
              </w:rPr>
              <w:t>体积分数</w:t>
            </w:r>
            <w:r>
              <w:rPr>
                <w:rFonts w:hint="eastAsia"/>
                <w:lang w:eastAsia="zh-CN"/>
              </w:rPr>
              <w:t>）</w:t>
            </w:r>
            <w:r>
              <w:rPr>
                <w:rFonts w:hint="eastAsia"/>
                <w:lang w:val="en-US" w:eastAsia="zh-CN"/>
              </w:rPr>
              <w:t>/10</w:t>
            </w:r>
            <w:r>
              <w:rPr>
                <w:rFonts w:hint="eastAsia"/>
                <w:vertAlign w:val="superscript"/>
                <w:lang w:val="en-US" w:eastAsia="zh-CN"/>
              </w:rPr>
              <w:t>-6</w:t>
            </w:r>
          </w:p>
        </w:tc>
        <w:tc>
          <w:tcPr>
            <w:tcW w:w="263" w:type="pct"/>
            <w:tcBorders>
              <w:left w:val="nil"/>
            </w:tcBorders>
            <w:shd w:val="clear" w:color="auto" w:fill="auto"/>
            <w:vAlign w:val="center"/>
          </w:tcPr>
          <w:p w14:paraId="00DE4E82">
            <w:pPr>
              <w:pStyle w:val="45"/>
              <w:jc w:val="center"/>
            </w:pPr>
            <w:r>
              <w:t>≦</w:t>
            </w:r>
          </w:p>
        </w:tc>
        <w:tc>
          <w:tcPr>
            <w:tcW w:w="683" w:type="pct"/>
            <w:shd w:val="clear" w:color="auto" w:fill="auto"/>
            <w:vAlign w:val="center"/>
          </w:tcPr>
          <w:p w14:paraId="158527FA">
            <w:pPr>
              <w:pStyle w:val="45"/>
              <w:jc w:val="center"/>
              <w:rPr>
                <w:rFonts w:hint="default"/>
                <w:lang w:val="en-US" w:eastAsia="zh-CN"/>
              </w:rPr>
            </w:pPr>
            <w:r>
              <w:rPr>
                <w:rFonts w:hint="eastAsia"/>
                <w:lang w:val="en-US" w:eastAsia="zh-CN"/>
              </w:rPr>
              <w:t>5</w:t>
            </w:r>
          </w:p>
        </w:tc>
        <w:tc>
          <w:tcPr>
            <w:tcW w:w="683" w:type="pct"/>
            <w:shd w:val="clear" w:color="auto" w:fill="auto"/>
            <w:vAlign w:val="center"/>
          </w:tcPr>
          <w:p w14:paraId="5DC65F28">
            <w:pPr>
              <w:pStyle w:val="45"/>
              <w:jc w:val="center"/>
              <w:rPr>
                <w:rFonts w:hint="default"/>
                <w:lang w:val="en-US" w:eastAsia="zh-CN"/>
              </w:rPr>
            </w:pPr>
            <w:r>
              <w:rPr>
                <w:rFonts w:hint="eastAsia"/>
                <w:lang w:val="en-US" w:eastAsia="zh-CN"/>
              </w:rPr>
              <w:t>1</w:t>
            </w:r>
          </w:p>
        </w:tc>
        <w:tc>
          <w:tcPr>
            <w:tcW w:w="684" w:type="pct"/>
            <w:vMerge w:val="restart"/>
            <w:shd w:val="clear" w:color="auto" w:fill="auto"/>
            <w:vAlign w:val="center"/>
          </w:tcPr>
          <w:p w14:paraId="31524C22">
            <w:pPr>
              <w:pStyle w:val="45"/>
              <w:jc w:val="center"/>
              <w:rPr>
                <w:rFonts w:hint="default"/>
                <w:lang w:val="en-US" w:eastAsia="zh-CN"/>
              </w:rPr>
            </w:pPr>
            <w:r>
              <w:rPr>
                <w:rFonts w:hint="eastAsia"/>
                <w:lang w:val="en-US" w:eastAsia="zh-CN"/>
              </w:rPr>
              <w:t>0.2</w:t>
            </w:r>
          </w:p>
        </w:tc>
      </w:tr>
      <w:tr w14:paraId="4889B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jc w:val="center"/>
        </w:trPr>
        <w:tc>
          <w:tcPr>
            <w:tcW w:w="2684" w:type="pct"/>
            <w:tcBorders>
              <w:right w:val="nil"/>
            </w:tcBorders>
            <w:shd w:val="clear" w:color="auto" w:fill="auto"/>
            <w:vAlign w:val="center"/>
          </w:tcPr>
          <w:p w14:paraId="6427BF1E">
            <w:pPr>
              <w:pStyle w:val="45"/>
              <w:jc w:val="center"/>
              <w:rPr>
                <w:rFonts w:hint="default"/>
              </w:rPr>
            </w:pPr>
            <w:r>
              <w:rPr>
                <w:rFonts w:hint="eastAsia"/>
                <w:lang w:val="en-US" w:eastAsia="zh-CN"/>
              </w:rPr>
              <w:t>氩</w:t>
            </w:r>
            <w:r>
              <w:t>（</w:t>
            </w:r>
            <w:r>
              <w:rPr>
                <w:rFonts w:hint="eastAsia"/>
                <w:lang w:val="en-US" w:eastAsia="zh-CN"/>
              </w:rPr>
              <w:t>Ar</w:t>
            </w:r>
            <w:r>
              <w:t>）</w:t>
            </w:r>
            <w:r>
              <w:rPr>
                <w:rFonts w:hint="eastAsia"/>
                <w:lang w:val="en-US" w:eastAsia="zh-CN"/>
              </w:rPr>
              <w:t>含量</w:t>
            </w:r>
            <w:r>
              <w:rPr>
                <w:rFonts w:hint="eastAsia"/>
                <w:lang w:eastAsia="zh-CN"/>
              </w:rPr>
              <w:t>（</w:t>
            </w:r>
            <w:r>
              <w:rPr>
                <w:rFonts w:hint="eastAsia"/>
                <w:lang w:val="en-US" w:eastAsia="zh-CN"/>
              </w:rPr>
              <w:t>体积分数</w:t>
            </w:r>
            <w:r>
              <w:rPr>
                <w:rFonts w:hint="eastAsia"/>
                <w:lang w:eastAsia="zh-CN"/>
              </w:rPr>
              <w:t>）</w:t>
            </w:r>
            <w:r>
              <w:rPr>
                <w:rFonts w:hint="eastAsia"/>
                <w:lang w:val="en-US" w:eastAsia="zh-CN"/>
              </w:rPr>
              <w:t>/10</w:t>
            </w:r>
            <w:r>
              <w:rPr>
                <w:rFonts w:hint="eastAsia"/>
                <w:vertAlign w:val="superscript"/>
                <w:lang w:val="en-US" w:eastAsia="zh-CN"/>
              </w:rPr>
              <w:t>-6</w:t>
            </w:r>
          </w:p>
        </w:tc>
        <w:tc>
          <w:tcPr>
            <w:tcW w:w="263" w:type="pct"/>
            <w:tcBorders>
              <w:left w:val="nil"/>
            </w:tcBorders>
            <w:shd w:val="clear" w:color="auto" w:fill="auto"/>
            <w:vAlign w:val="center"/>
          </w:tcPr>
          <w:p w14:paraId="7F85AED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pPr>
            <w:r>
              <w:t>≦</w:t>
            </w:r>
          </w:p>
        </w:tc>
        <w:tc>
          <w:tcPr>
            <w:tcW w:w="683" w:type="pct"/>
            <w:shd w:val="clear" w:color="auto" w:fill="auto"/>
            <w:vAlign w:val="center"/>
          </w:tcPr>
          <w:p w14:paraId="771089C1">
            <w:pPr>
              <w:pStyle w:val="45"/>
              <w:jc w:val="center"/>
              <w:rPr>
                <w:rFonts w:hint="default"/>
                <w:lang w:val="en-US" w:eastAsia="zh-CN"/>
              </w:rPr>
            </w:pPr>
            <w:r>
              <w:rPr>
                <w:rFonts w:hint="eastAsia"/>
                <w:lang w:val="en-US" w:eastAsia="zh-CN"/>
              </w:rPr>
              <w:t>供需商定</w:t>
            </w:r>
          </w:p>
        </w:tc>
        <w:tc>
          <w:tcPr>
            <w:tcW w:w="683" w:type="pct"/>
            <w:shd w:val="clear" w:color="auto" w:fill="auto"/>
            <w:vAlign w:val="center"/>
          </w:tcPr>
          <w:p w14:paraId="159A345C">
            <w:pPr>
              <w:pStyle w:val="45"/>
              <w:jc w:val="center"/>
              <w:rPr>
                <w:rFonts w:hint="default"/>
                <w:lang w:val="en-US" w:eastAsia="zh-CN"/>
              </w:rPr>
            </w:pPr>
            <w:r>
              <w:rPr>
                <w:rFonts w:hint="eastAsia"/>
                <w:lang w:val="en-US" w:eastAsia="zh-CN"/>
              </w:rPr>
              <w:t>供需商定</w:t>
            </w:r>
          </w:p>
        </w:tc>
        <w:tc>
          <w:tcPr>
            <w:tcW w:w="684" w:type="pct"/>
            <w:vMerge w:val="continue"/>
            <w:shd w:val="clear" w:color="auto" w:fill="auto"/>
            <w:vAlign w:val="center"/>
          </w:tcPr>
          <w:p w14:paraId="1BDF9E9D">
            <w:pPr>
              <w:pStyle w:val="45"/>
              <w:jc w:val="center"/>
              <w:rPr>
                <w:rFonts w:hint="default"/>
                <w:lang w:val="en-US" w:eastAsia="zh-CN"/>
              </w:rPr>
            </w:pPr>
          </w:p>
        </w:tc>
      </w:tr>
      <w:tr w14:paraId="23073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jc w:val="center"/>
        </w:trPr>
        <w:tc>
          <w:tcPr>
            <w:tcW w:w="2684" w:type="pct"/>
            <w:tcBorders>
              <w:right w:val="nil"/>
            </w:tcBorders>
            <w:shd w:val="clear" w:color="auto" w:fill="auto"/>
            <w:vAlign w:val="center"/>
          </w:tcPr>
          <w:p w14:paraId="51C42DA1">
            <w:pPr>
              <w:pStyle w:val="45"/>
              <w:jc w:val="center"/>
              <w:rPr>
                <w:rFonts w:hint="default"/>
              </w:rPr>
            </w:pPr>
            <w:r>
              <w:rPr>
                <w:rFonts w:hint="eastAsia"/>
                <w:lang w:val="en-US" w:eastAsia="zh-CN"/>
              </w:rPr>
              <w:t>氮气</w:t>
            </w:r>
            <w:r>
              <w:t>（</w:t>
            </w:r>
            <w:r>
              <w:rPr>
                <w:rFonts w:hint="eastAsia"/>
                <w:lang w:val="en-US" w:eastAsia="zh-CN"/>
              </w:rPr>
              <w:t>N</w:t>
            </w:r>
            <w:r>
              <w:rPr>
                <w:rFonts w:hint="eastAsia"/>
                <w:vertAlign w:val="subscript"/>
                <w:lang w:val="en-US" w:eastAsia="zh-CN"/>
              </w:rPr>
              <w:t>2</w:t>
            </w:r>
            <w:r>
              <w:t>）</w:t>
            </w:r>
            <w:r>
              <w:rPr>
                <w:rFonts w:hint="eastAsia"/>
                <w:lang w:val="en-US" w:eastAsia="zh-CN"/>
              </w:rPr>
              <w:t>含量</w:t>
            </w:r>
            <w:r>
              <w:rPr>
                <w:rFonts w:hint="eastAsia"/>
                <w:lang w:eastAsia="zh-CN"/>
              </w:rPr>
              <w:t>（</w:t>
            </w:r>
            <w:r>
              <w:rPr>
                <w:rFonts w:hint="eastAsia"/>
                <w:lang w:val="en-US" w:eastAsia="zh-CN"/>
              </w:rPr>
              <w:t>体积分数</w:t>
            </w:r>
            <w:r>
              <w:rPr>
                <w:rFonts w:hint="eastAsia"/>
                <w:lang w:eastAsia="zh-CN"/>
              </w:rPr>
              <w:t>）</w:t>
            </w:r>
            <w:r>
              <w:rPr>
                <w:rFonts w:hint="eastAsia"/>
                <w:lang w:val="en-US" w:eastAsia="zh-CN"/>
              </w:rPr>
              <w:t>/10</w:t>
            </w:r>
            <w:r>
              <w:rPr>
                <w:rFonts w:hint="eastAsia"/>
                <w:vertAlign w:val="superscript"/>
                <w:lang w:val="en-US" w:eastAsia="zh-CN"/>
              </w:rPr>
              <w:t>-6</w:t>
            </w:r>
          </w:p>
        </w:tc>
        <w:tc>
          <w:tcPr>
            <w:tcW w:w="263" w:type="pct"/>
            <w:tcBorders>
              <w:left w:val="nil"/>
            </w:tcBorders>
            <w:shd w:val="clear" w:color="auto" w:fill="auto"/>
            <w:vAlign w:val="center"/>
          </w:tcPr>
          <w:p w14:paraId="059E03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pPr>
            <w:r>
              <w:t>≦</w:t>
            </w:r>
          </w:p>
        </w:tc>
        <w:tc>
          <w:tcPr>
            <w:tcW w:w="683" w:type="pct"/>
            <w:shd w:val="clear" w:color="auto" w:fill="auto"/>
            <w:vAlign w:val="center"/>
          </w:tcPr>
          <w:p w14:paraId="0AEC2F1E">
            <w:pPr>
              <w:pStyle w:val="45"/>
              <w:jc w:val="center"/>
              <w:rPr>
                <w:rFonts w:hint="default"/>
                <w:lang w:val="en-US" w:eastAsia="zh-CN"/>
              </w:rPr>
            </w:pPr>
            <w:r>
              <w:rPr>
                <w:rFonts w:hint="eastAsia"/>
                <w:lang w:val="en-US" w:eastAsia="zh-CN"/>
              </w:rPr>
              <w:t>60</w:t>
            </w:r>
          </w:p>
        </w:tc>
        <w:tc>
          <w:tcPr>
            <w:tcW w:w="683" w:type="pct"/>
            <w:shd w:val="clear" w:color="auto" w:fill="auto"/>
            <w:vAlign w:val="center"/>
          </w:tcPr>
          <w:p w14:paraId="0B44DB78">
            <w:pPr>
              <w:pStyle w:val="45"/>
              <w:jc w:val="center"/>
              <w:rPr>
                <w:rFonts w:hint="default"/>
                <w:lang w:val="en-US" w:eastAsia="zh-CN"/>
              </w:rPr>
            </w:pPr>
            <w:r>
              <w:rPr>
                <w:rFonts w:hint="eastAsia"/>
                <w:lang w:val="en-US" w:eastAsia="zh-CN"/>
              </w:rPr>
              <w:t>5</w:t>
            </w:r>
          </w:p>
        </w:tc>
        <w:tc>
          <w:tcPr>
            <w:tcW w:w="684" w:type="pct"/>
            <w:shd w:val="clear" w:color="auto" w:fill="auto"/>
            <w:vAlign w:val="center"/>
          </w:tcPr>
          <w:p w14:paraId="6866136E">
            <w:pPr>
              <w:pStyle w:val="45"/>
              <w:jc w:val="center"/>
              <w:rPr>
                <w:rFonts w:hint="default"/>
                <w:lang w:val="en-US" w:eastAsia="zh-CN"/>
              </w:rPr>
            </w:pPr>
            <w:r>
              <w:rPr>
                <w:rFonts w:hint="eastAsia"/>
                <w:lang w:val="en-US" w:eastAsia="zh-CN"/>
              </w:rPr>
              <w:t>0.4</w:t>
            </w:r>
          </w:p>
        </w:tc>
      </w:tr>
      <w:tr w14:paraId="203C2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2684" w:type="pct"/>
            <w:tcBorders>
              <w:right w:val="nil"/>
            </w:tcBorders>
            <w:shd w:val="clear" w:color="auto" w:fill="auto"/>
            <w:vAlign w:val="center"/>
          </w:tcPr>
          <w:p w14:paraId="5DF54D4D">
            <w:pPr>
              <w:pStyle w:val="45"/>
              <w:bidi w:val="0"/>
              <w:jc w:val="center"/>
              <w:rPr>
                <w:rFonts w:hint="default"/>
              </w:rPr>
            </w:pPr>
            <w:r>
              <w:rPr>
                <w:rFonts w:hint="eastAsia"/>
                <w:lang w:val="en-US" w:eastAsia="zh-CN"/>
              </w:rPr>
              <w:t>一氧化碳</w:t>
            </w:r>
            <w:r>
              <w:t>（</w:t>
            </w:r>
            <w:r>
              <w:rPr>
                <w:rFonts w:hint="eastAsia"/>
                <w:lang w:val="en-US" w:eastAsia="zh-CN"/>
              </w:rPr>
              <w:t>CO</w:t>
            </w:r>
            <w:r>
              <w:t>）</w:t>
            </w:r>
            <w:r>
              <w:rPr>
                <w:rFonts w:hint="eastAsia"/>
                <w:lang w:val="en-US" w:eastAsia="zh-CN"/>
              </w:rPr>
              <w:t>含量</w:t>
            </w:r>
            <w:r>
              <w:rPr>
                <w:rFonts w:hint="eastAsia"/>
                <w:lang w:eastAsia="zh-CN"/>
              </w:rPr>
              <w:t>（</w:t>
            </w:r>
            <w:r>
              <w:rPr>
                <w:rFonts w:hint="eastAsia"/>
                <w:lang w:val="en-US" w:eastAsia="zh-CN"/>
              </w:rPr>
              <w:t>体积分数</w:t>
            </w:r>
            <w:r>
              <w:rPr>
                <w:rFonts w:hint="eastAsia"/>
                <w:lang w:eastAsia="zh-CN"/>
              </w:rPr>
              <w:t>）</w:t>
            </w:r>
            <w:r>
              <w:rPr>
                <w:rFonts w:hint="eastAsia"/>
                <w:lang w:val="en-US" w:eastAsia="zh-CN"/>
              </w:rPr>
              <w:t>/10</w:t>
            </w:r>
            <w:r>
              <w:rPr>
                <w:rFonts w:hint="eastAsia"/>
                <w:vertAlign w:val="superscript"/>
                <w:lang w:val="en-US" w:eastAsia="zh-CN"/>
              </w:rPr>
              <w:t>-6</w:t>
            </w:r>
          </w:p>
        </w:tc>
        <w:tc>
          <w:tcPr>
            <w:tcW w:w="263" w:type="pct"/>
            <w:tcBorders>
              <w:left w:val="nil"/>
            </w:tcBorders>
            <w:shd w:val="clear" w:color="auto" w:fill="auto"/>
            <w:vAlign w:val="center"/>
          </w:tcPr>
          <w:p w14:paraId="1D92A72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cs="Times New Roman"/>
                <w:color w:val="000000"/>
                <w:kern w:val="0"/>
                <w:sz w:val="21"/>
                <w:szCs w:val="21"/>
              </w:rPr>
            </w:pPr>
            <w:r>
              <w:t>≦</w:t>
            </w:r>
          </w:p>
        </w:tc>
        <w:tc>
          <w:tcPr>
            <w:tcW w:w="683" w:type="pct"/>
            <w:shd w:val="clear" w:color="auto" w:fill="auto"/>
            <w:vAlign w:val="center"/>
          </w:tcPr>
          <w:p w14:paraId="74BD0968">
            <w:pPr>
              <w:pStyle w:val="45"/>
              <w:ind w:firstLine="0" w:firstLineChars="0"/>
              <w:jc w:val="center"/>
              <w:rPr>
                <w:rFonts w:hint="default"/>
                <w:lang w:val="en-US" w:eastAsia="zh-CN"/>
              </w:rPr>
            </w:pPr>
            <w:r>
              <w:rPr>
                <w:rFonts w:hint="eastAsia"/>
                <w:lang w:val="en-US" w:eastAsia="zh-CN"/>
              </w:rPr>
              <w:t>5</w:t>
            </w:r>
          </w:p>
        </w:tc>
        <w:tc>
          <w:tcPr>
            <w:tcW w:w="683" w:type="pct"/>
            <w:shd w:val="clear" w:color="auto" w:fill="auto"/>
            <w:vAlign w:val="center"/>
          </w:tcPr>
          <w:p w14:paraId="1B7D5B6F">
            <w:pPr>
              <w:pStyle w:val="45"/>
              <w:ind w:firstLine="0" w:firstLineChars="0"/>
              <w:jc w:val="center"/>
              <w:rPr>
                <w:rFonts w:hint="default"/>
                <w:lang w:val="en-US" w:eastAsia="zh-CN"/>
              </w:rPr>
            </w:pPr>
            <w:r>
              <w:rPr>
                <w:rFonts w:hint="eastAsia"/>
                <w:lang w:val="en-US" w:eastAsia="zh-CN"/>
              </w:rPr>
              <w:t>1</w:t>
            </w:r>
          </w:p>
        </w:tc>
        <w:tc>
          <w:tcPr>
            <w:tcW w:w="684" w:type="pct"/>
            <w:shd w:val="clear" w:color="auto" w:fill="auto"/>
            <w:vAlign w:val="center"/>
          </w:tcPr>
          <w:p w14:paraId="09E67EEC">
            <w:pPr>
              <w:pStyle w:val="45"/>
              <w:ind w:firstLine="0" w:firstLineChars="0"/>
              <w:jc w:val="center"/>
              <w:rPr>
                <w:rFonts w:hint="default"/>
                <w:lang w:val="en-US" w:eastAsia="zh-CN"/>
              </w:rPr>
            </w:pPr>
            <w:r>
              <w:rPr>
                <w:rFonts w:hint="eastAsia"/>
                <w:lang w:val="en-US" w:eastAsia="zh-CN"/>
              </w:rPr>
              <w:t>0.1</w:t>
            </w:r>
          </w:p>
        </w:tc>
      </w:tr>
      <w:tr w14:paraId="5B8A8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2684" w:type="pct"/>
            <w:tcBorders>
              <w:right w:val="nil"/>
            </w:tcBorders>
            <w:shd w:val="clear" w:color="auto" w:fill="auto"/>
            <w:vAlign w:val="center"/>
          </w:tcPr>
          <w:p w14:paraId="12B82902">
            <w:pPr>
              <w:pStyle w:val="45"/>
              <w:bidi w:val="0"/>
              <w:jc w:val="center"/>
              <w:rPr>
                <w:rFonts w:hint="eastAsia"/>
                <w:lang w:val="en-US" w:eastAsia="zh-CN"/>
              </w:rPr>
            </w:pPr>
            <w:r>
              <w:rPr>
                <w:rFonts w:hint="eastAsia"/>
                <w:lang w:val="en-US" w:eastAsia="zh-CN"/>
              </w:rPr>
              <w:t>二氧化碳</w:t>
            </w:r>
            <w:r>
              <w:t>（</w:t>
            </w:r>
            <w:r>
              <w:rPr>
                <w:rFonts w:hint="eastAsia"/>
                <w:lang w:val="en-US" w:eastAsia="zh-CN"/>
              </w:rPr>
              <w:t>CO</w:t>
            </w:r>
            <w:r>
              <w:rPr>
                <w:rFonts w:hint="eastAsia"/>
                <w:vertAlign w:val="subscript"/>
                <w:lang w:val="en-US" w:eastAsia="zh-CN"/>
              </w:rPr>
              <w:t>2</w:t>
            </w:r>
            <w:r>
              <w:t>）</w:t>
            </w:r>
            <w:r>
              <w:rPr>
                <w:rFonts w:hint="eastAsia"/>
                <w:lang w:val="en-US" w:eastAsia="zh-CN"/>
              </w:rPr>
              <w:t>含量</w:t>
            </w:r>
            <w:r>
              <w:rPr>
                <w:rFonts w:hint="eastAsia"/>
                <w:lang w:eastAsia="zh-CN"/>
              </w:rPr>
              <w:t>（</w:t>
            </w:r>
            <w:r>
              <w:rPr>
                <w:rFonts w:hint="eastAsia"/>
                <w:lang w:val="en-US" w:eastAsia="zh-CN"/>
              </w:rPr>
              <w:t>体积分数</w:t>
            </w:r>
            <w:r>
              <w:rPr>
                <w:rFonts w:hint="eastAsia"/>
                <w:lang w:eastAsia="zh-CN"/>
              </w:rPr>
              <w:t>）</w:t>
            </w:r>
            <w:r>
              <w:rPr>
                <w:rFonts w:hint="eastAsia"/>
                <w:lang w:val="en-US" w:eastAsia="zh-CN"/>
              </w:rPr>
              <w:t>/10</w:t>
            </w:r>
            <w:r>
              <w:rPr>
                <w:rFonts w:hint="eastAsia"/>
                <w:vertAlign w:val="superscript"/>
                <w:lang w:val="en-US" w:eastAsia="zh-CN"/>
              </w:rPr>
              <w:t>-6</w:t>
            </w:r>
          </w:p>
        </w:tc>
        <w:tc>
          <w:tcPr>
            <w:tcW w:w="263" w:type="pct"/>
            <w:tcBorders>
              <w:left w:val="nil"/>
            </w:tcBorders>
            <w:shd w:val="clear" w:color="auto" w:fill="auto"/>
            <w:vAlign w:val="center"/>
          </w:tcPr>
          <w:p w14:paraId="45A8EFF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lang w:val="en-US" w:eastAsia="zh-CN"/>
              </w:rPr>
            </w:pPr>
            <w:r>
              <w:t>≦</w:t>
            </w:r>
          </w:p>
        </w:tc>
        <w:tc>
          <w:tcPr>
            <w:tcW w:w="683" w:type="pct"/>
            <w:shd w:val="clear" w:color="auto" w:fill="auto"/>
            <w:vAlign w:val="center"/>
          </w:tcPr>
          <w:p w14:paraId="336C9DAA">
            <w:pPr>
              <w:pStyle w:val="45"/>
              <w:ind w:firstLine="0" w:firstLineChars="0"/>
              <w:jc w:val="center"/>
              <w:rPr>
                <w:rFonts w:hint="default"/>
                <w:lang w:val="en-US" w:eastAsia="zh-CN"/>
              </w:rPr>
            </w:pPr>
            <w:r>
              <w:rPr>
                <w:rFonts w:hint="eastAsia"/>
                <w:lang w:val="en-US" w:eastAsia="zh-CN"/>
              </w:rPr>
              <w:t>5</w:t>
            </w:r>
          </w:p>
        </w:tc>
        <w:tc>
          <w:tcPr>
            <w:tcW w:w="683" w:type="pct"/>
            <w:shd w:val="clear" w:color="auto" w:fill="auto"/>
            <w:vAlign w:val="center"/>
          </w:tcPr>
          <w:p w14:paraId="06562883">
            <w:pPr>
              <w:pStyle w:val="45"/>
              <w:ind w:firstLine="0" w:firstLineChars="0"/>
              <w:jc w:val="center"/>
              <w:rPr>
                <w:rFonts w:hint="default"/>
                <w:lang w:val="en-US" w:eastAsia="zh-CN"/>
              </w:rPr>
            </w:pPr>
            <w:r>
              <w:rPr>
                <w:rFonts w:hint="eastAsia"/>
                <w:lang w:val="en-US" w:eastAsia="zh-CN"/>
              </w:rPr>
              <w:t>1</w:t>
            </w:r>
          </w:p>
        </w:tc>
        <w:tc>
          <w:tcPr>
            <w:tcW w:w="684" w:type="pct"/>
            <w:shd w:val="clear" w:color="auto" w:fill="auto"/>
            <w:vAlign w:val="center"/>
          </w:tcPr>
          <w:p w14:paraId="7F9340B8">
            <w:pPr>
              <w:pStyle w:val="45"/>
              <w:ind w:firstLine="0" w:firstLineChars="0"/>
              <w:jc w:val="center"/>
              <w:rPr>
                <w:rFonts w:hint="default"/>
                <w:lang w:val="en-US" w:eastAsia="zh-CN"/>
              </w:rPr>
            </w:pPr>
            <w:r>
              <w:rPr>
                <w:rFonts w:hint="eastAsia"/>
                <w:lang w:val="en-US" w:eastAsia="zh-CN"/>
              </w:rPr>
              <w:t>0.1</w:t>
            </w:r>
          </w:p>
        </w:tc>
      </w:tr>
      <w:tr w14:paraId="7DDD4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2684" w:type="pct"/>
            <w:tcBorders>
              <w:right w:val="nil"/>
            </w:tcBorders>
            <w:shd w:val="clear" w:color="auto" w:fill="auto"/>
            <w:vAlign w:val="center"/>
          </w:tcPr>
          <w:p w14:paraId="3A86F4A6">
            <w:pPr>
              <w:pStyle w:val="45"/>
              <w:bidi w:val="0"/>
              <w:jc w:val="center"/>
              <w:rPr>
                <w:rFonts w:hint="eastAsia"/>
                <w:lang w:val="en-US" w:eastAsia="zh-CN"/>
              </w:rPr>
            </w:pPr>
            <w:r>
              <w:rPr>
                <w:rFonts w:hint="eastAsia"/>
                <w:lang w:val="en-US" w:eastAsia="zh-CN"/>
              </w:rPr>
              <w:t>甲烷</w:t>
            </w:r>
            <w:r>
              <w:t>（</w:t>
            </w:r>
            <w:r>
              <w:rPr>
                <w:rFonts w:hint="eastAsia"/>
                <w:lang w:val="en-US" w:eastAsia="zh-CN"/>
              </w:rPr>
              <w:t>CH</w:t>
            </w:r>
            <w:r>
              <w:rPr>
                <w:rFonts w:hint="eastAsia"/>
                <w:vertAlign w:val="subscript"/>
                <w:lang w:val="en-US" w:eastAsia="zh-CN"/>
              </w:rPr>
              <w:t>4</w:t>
            </w:r>
            <w:r>
              <w:t>）</w:t>
            </w:r>
            <w:r>
              <w:rPr>
                <w:rFonts w:hint="eastAsia"/>
                <w:lang w:val="en-US" w:eastAsia="zh-CN"/>
              </w:rPr>
              <w:t>含量</w:t>
            </w:r>
            <w:r>
              <w:rPr>
                <w:rFonts w:hint="eastAsia"/>
                <w:lang w:eastAsia="zh-CN"/>
              </w:rPr>
              <w:t>（</w:t>
            </w:r>
            <w:r>
              <w:rPr>
                <w:rFonts w:hint="eastAsia"/>
                <w:lang w:val="en-US" w:eastAsia="zh-CN"/>
              </w:rPr>
              <w:t>体积分数</w:t>
            </w:r>
            <w:r>
              <w:rPr>
                <w:rFonts w:hint="eastAsia"/>
                <w:lang w:eastAsia="zh-CN"/>
              </w:rPr>
              <w:t>）</w:t>
            </w:r>
            <w:r>
              <w:rPr>
                <w:rFonts w:hint="eastAsia"/>
                <w:lang w:val="en-US" w:eastAsia="zh-CN"/>
              </w:rPr>
              <w:t>/10</w:t>
            </w:r>
            <w:r>
              <w:rPr>
                <w:rFonts w:hint="eastAsia"/>
                <w:vertAlign w:val="superscript"/>
                <w:lang w:val="en-US" w:eastAsia="zh-CN"/>
              </w:rPr>
              <w:t>-6</w:t>
            </w:r>
          </w:p>
        </w:tc>
        <w:tc>
          <w:tcPr>
            <w:tcW w:w="263" w:type="pct"/>
            <w:tcBorders>
              <w:left w:val="nil"/>
            </w:tcBorders>
            <w:shd w:val="clear" w:color="auto" w:fill="auto"/>
            <w:vAlign w:val="center"/>
          </w:tcPr>
          <w:p w14:paraId="346926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lang w:val="en-US" w:eastAsia="zh-CN"/>
              </w:rPr>
            </w:pPr>
            <w:r>
              <w:t>≦</w:t>
            </w:r>
          </w:p>
        </w:tc>
        <w:tc>
          <w:tcPr>
            <w:tcW w:w="683" w:type="pct"/>
            <w:shd w:val="clear" w:color="auto" w:fill="auto"/>
            <w:vAlign w:val="center"/>
          </w:tcPr>
          <w:p w14:paraId="0082FA63">
            <w:pPr>
              <w:pStyle w:val="45"/>
              <w:bidi w:val="0"/>
              <w:jc w:val="center"/>
              <w:rPr>
                <w:rFonts w:hint="default"/>
                <w:lang w:val="en-US" w:eastAsia="zh-CN"/>
              </w:rPr>
            </w:pPr>
            <w:r>
              <w:rPr>
                <w:rFonts w:hint="eastAsia"/>
                <w:lang w:val="en-US" w:eastAsia="zh-CN"/>
              </w:rPr>
              <w:t>10</w:t>
            </w:r>
          </w:p>
        </w:tc>
        <w:tc>
          <w:tcPr>
            <w:tcW w:w="683" w:type="pct"/>
            <w:shd w:val="clear" w:color="auto" w:fill="auto"/>
            <w:vAlign w:val="center"/>
          </w:tcPr>
          <w:p w14:paraId="545BF7FF">
            <w:pPr>
              <w:pStyle w:val="45"/>
              <w:bidi w:val="0"/>
              <w:jc w:val="center"/>
              <w:rPr>
                <w:rFonts w:hint="default"/>
                <w:lang w:val="en-US" w:eastAsia="zh-CN"/>
              </w:rPr>
            </w:pPr>
            <w:r>
              <w:rPr>
                <w:rFonts w:hint="eastAsia"/>
                <w:lang w:val="en-US" w:eastAsia="zh-CN"/>
              </w:rPr>
              <w:t>1</w:t>
            </w:r>
          </w:p>
        </w:tc>
        <w:tc>
          <w:tcPr>
            <w:tcW w:w="684" w:type="pct"/>
            <w:shd w:val="clear" w:color="auto" w:fill="auto"/>
            <w:vAlign w:val="center"/>
          </w:tcPr>
          <w:p w14:paraId="79D80DF5">
            <w:pPr>
              <w:pStyle w:val="45"/>
              <w:bidi w:val="0"/>
              <w:jc w:val="center"/>
              <w:rPr>
                <w:rFonts w:hint="default"/>
                <w:lang w:val="en-US" w:eastAsia="zh-CN"/>
              </w:rPr>
            </w:pPr>
            <w:r>
              <w:rPr>
                <w:rFonts w:hint="eastAsia"/>
                <w:lang w:val="en-US" w:eastAsia="zh-CN"/>
              </w:rPr>
              <w:t>0.2</w:t>
            </w:r>
          </w:p>
        </w:tc>
      </w:tr>
      <w:tr w14:paraId="682AB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2684" w:type="pct"/>
            <w:tcBorders>
              <w:right w:val="nil"/>
            </w:tcBorders>
            <w:shd w:val="clear" w:color="auto" w:fill="auto"/>
            <w:vAlign w:val="center"/>
          </w:tcPr>
          <w:p w14:paraId="373FA31F">
            <w:pPr>
              <w:pStyle w:val="45"/>
              <w:bidi w:val="0"/>
              <w:jc w:val="center"/>
              <w:rPr>
                <w:rFonts w:hint="default"/>
                <w:lang w:val="en-US" w:eastAsia="zh-CN"/>
              </w:rPr>
            </w:pPr>
            <w:r>
              <w:rPr>
                <w:rFonts w:hint="eastAsia"/>
                <w:lang w:val="en-US" w:eastAsia="zh-CN"/>
              </w:rPr>
              <w:t>水分</w:t>
            </w:r>
            <w:r>
              <w:t>（</w:t>
            </w:r>
            <w:r>
              <w:rPr>
                <w:rFonts w:hint="eastAsia"/>
                <w:lang w:val="en-US" w:eastAsia="zh-CN"/>
              </w:rPr>
              <w:t>H</w:t>
            </w:r>
            <w:r>
              <w:rPr>
                <w:rFonts w:hint="eastAsia"/>
                <w:vertAlign w:val="subscript"/>
                <w:lang w:val="en-US" w:eastAsia="zh-CN"/>
              </w:rPr>
              <w:t>2</w:t>
            </w:r>
            <w:r>
              <w:rPr>
                <w:rFonts w:hint="eastAsia"/>
                <w:lang w:val="en-US" w:eastAsia="zh-CN"/>
              </w:rPr>
              <w:t>O</w:t>
            </w:r>
            <w:r>
              <w:t>）</w:t>
            </w:r>
            <w:r>
              <w:rPr>
                <w:rFonts w:hint="eastAsia"/>
                <w:lang w:val="en-US" w:eastAsia="zh-CN"/>
              </w:rPr>
              <w:t>含量</w:t>
            </w:r>
            <w:r>
              <w:rPr>
                <w:rFonts w:hint="eastAsia"/>
                <w:lang w:eastAsia="zh-CN"/>
              </w:rPr>
              <w:t>（</w:t>
            </w:r>
            <w:r>
              <w:rPr>
                <w:rFonts w:hint="eastAsia"/>
                <w:lang w:val="en-US" w:eastAsia="zh-CN"/>
              </w:rPr>
              <w:t>体积分数</w:t>
            </w:r>
            <w:r>
              <w:rPr>
                <w:rFonts w:hint="eastAsia"/>
                <w:lang w:eastAsia="zh-CN"/>
              </w:rPr>
              <w:t>）</w:t>
            </w:r>
            <w:r>
              <w:rPr>
                <w:rFonts w:hint="eastAsia"/>
                <w:lang w:val="en-US" w:eastAsia="zh-CN"/>
              </w:rPr>
              <w:t>/10</w:t>
            </w:r>
            <w:r>
              <w:rPr>
                <w:rFonts w:hint="eastAsia"/>
                <w:vertAlign w:val="superscript"/>
                <w:lang w:val="en-US" w:eastAsia="zh-CN"/>
              </w:rPr>
              <w:t>-6</w:t>
            </w:r>
          </w:p>
        </w:tc>
        <w:tc>
          <w:tcPr>
            <w:tcW w:w="263" w:type="pct"/>
            <w:tcBorders>
              <w:left w:val="nil"/>
            </w:tcBorders>
            <w:shd w:val="clear" w:color="auto" w:fill="auto"/>
            <w:vAlign w:val="center"/>
          </w:tcPr>
          <w:p w14:paraId="0DB1C4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lang w:val="en-US" w:eastAsia="zh-CN"/>
              </w:rPr>
            </w:pPr>
            <w:r>
              <w:t>≦</w:t>
            </w:r>
          </w:p>
        </w:tc>
        <w:tc>
          <w:tcPr>
            <w:tcW w:w="683" w:type="pct"/>
            <w:shd w:val="clear" w:color="auto" w:fill="auto"/>
            <w:vAlign w:val="center"/>
          </w:tcPr>
          <w:p w14:paraId="3089DB14">
            <w:pPr>
              <w:pStyle w:val="45"/>
              <w:bidi w:val="0"/>
              <w:jc w:val="center"/>
              <w:rPr>
                <w:rFonts w:hint="default"/>
                <w:lang w:val="en-US" w:eastAsia="zh-CN"/>
              </w:rPr>
            </w:pPr>
            <w:r>
              <w:rPr>
                <w:rFonts w:hint="eastAsia"/>
                <w:lang w:val="en-US" w:eastAsia="zh-CN"/>
              </w:rPr>
              <w:t>10</w:t>
            </w:r>
          </w:p>
        </w:tc>
        <w:tc>
          <w:tcPr>
            <w:tcW w:w="683" w:type="pct"/>
            <w:shd w:val="clear" w:color="auto" w:fill="auto"/>
            <w:vAlign w:val="center"/>
          </w:tcPr>
          <w:p w14:paraId="5746D5C4">
            <w:pPr>
              <w:pStyle w:val="45"/>
              <w:bidi w:val="0"/>
              <w:jc w:val="center"/>
              <w:rPr>
                <w:rFonts w:hint="default"/>
                <w:lang w:val="en-US" w:eastAsia="zh-CN"/>
              </w:rPr>
            </w:pPr>
            <w:r>
              <w:rPr>
                <w:rFonts w:hint="eastAsia"/>
                <w:lang w:val="en-US" w:eastAsia="zh-CN"/>
              </w:rPr>
              <w:t>3</w:t>
            </w:r>
          </w:p>
        </w:tc>
        <w:tc>
          <w:tcPr>
            <w:tcW w:w="684" w:type="pct"/>
            <w:shd w:val="clear" w:color="auto" w:fill="auto"/>
            <w:vAlign w:val="center"/>
          </w:tcPr>
          <w:p w14:paraId="323E28D7">
            <w:pPr>
              <w:pStyle w:val="45"/>
              <w:bidi w:val="0"/>
              <w:jc w:val="center"/>
              <w:rPr>
                <w:rFonts w:hint="default"/>
                <w:lang w:val="en-US" w:eastAsia="zh-CN"/>
              </w:rPr>
            </w:pPr>
            <w:r>
              <w:rPr>
                <w:rFonts w:hint="eastAsia"/>
                <w:lang w:val="en-US" w:eastAsia="zh-CN"/>
              </w:rPr>
              <w:t>0.5</w:t>
            </w:r>
          </w:p>
        </w:tc>
      </w:tr>
      <w:tr w14:paraId="42038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2684" w:type="pct"/>
            <w:tcBorders>
              <w:right w:val="nil"/>
            </w:tcBorders>
            <w:shd w:val="clear" w:color="auto" w:fill="auto"/>
            <w:vAlign w:val="center"/>
          </w:tcPr>
          <w:p w14:paraId="59EBBA5A">
            <w:pPr>
              <w:pStyle w:val="45"/>
              <w:jc w:val="center"/>
              <w:rPr>
                <w:rFonts w:hint="default"/>
                <w:lang w:val="en-US" w:eastAsia="zh-CN"/>
              </w:rPr>
            </w:pPr>
            <w:r>
              <w:rPr>
                <w:rFonts w:hint="eastAsia"/>
                <w:lang w:val="en-US" w:eastAsia="zh-CN"/>
              </w:rPr>
              <w:t>杂志总含量</w:t>
            </w:r>
            <w:r>
              <w:rPr>
                <w:rFonts w:hint="eastAsia"/>
                <w:lang w:eastAsia="zh-CN"/>
              </w:rPr>
              <w:t>（</w:t>
            </w:r>
            <w:r>
              <w:rPr>
                <w:rFonts w:hint="eastAsia"/>
                <w:lang w:val="en-US" w:eastAsia="zh-CN"/>
              </w:rPr>
              <w:t>体积分数</w:t>
            </w:r>
            <w:r>
              <w:rPr>
                <w:rFonts w:hint="eastAsia"/>
                <w:lang w:eastAsia="zh-CN"/>
              </w:rPr>
              <w:t>）</w:t>
            </w:r>
            <w:r>
              <w:rPr>
                <w:rFonts w:hint="eastAsia"/>
                <w:lang w:val="en-US" w:eastAsia="zh-CN"/>
              </w:rPr>
              <w:t>/10</w:t>
            </w:r>
            <w:r>
              <w:rPr>
                <w:rFonts w:hint="eastAsia"/>
                <w:vertAlign w:val="superscript"/>
                <w:lang w:val="en-US" w:eastAsia="zh-CN"/>
              </w:rPr>
              <w:t>-6</w:t>
            </w:r>
          </w:p>
        </w:tc>
        <w:tc>
          <w:tcPr>
            <w:tcW w:w="263" w:type="pct"/>
            <w:tcBorders>
              <w:left w:val="nil"/>
            </w:tcBorders>
            <w:shd w:val="clear" w:color="auto" w:fill="auto"/>
            <w:vAlign w:val="center"/>
          </w:tcPr>
          <w:p w14:paraId="07D087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lang w:val="en-US" w:eastAsia="zh-CN"/>
              </w:rPr>
            </w:pPr>
            <w:r>
              <w:t>≦</w:t>
            </w:r>
          </w:p>
        </w:tc>
        <w:tc>
          <w:tcPr>
            <w:tcW w:w="683" w:type="pct"/>
            <w:shd w:val="clear" w:color="auto" w:fill="auto"/>
            <w:vAlign w:val="center"/>
          </w:tcPr>
          <w:p w14:paraId="3EACB0DF">
            <w:pPr>
              <w:pStyle w:val="45"/>
              <w:bidi w:val="0"/>
              <w:jc w:val="center"/>
              <w:rPr>
                <w:rFonts w:hint="default"/>
                <w:lang w:val="en-US" w:eastAsia="zh-CN"/>
              </w:rPr>
            </w:pPr>
            <w:r>
              <w:rPr>
                <w:rFonts w:hint="eastAsia"/>
                <w:lang w:val="en-US" w:eastAsia="zh-CN"/>
              </w:rPr>
              <w:t>-</w:t>
            </w:r>
          </w:p>
        </w:tc>
        <w:tc>
          <w:tcPr>
            <w:tcW w:w="683" w:type="pct"/>
            <w:shd w:val="clear" w:color="auto" w:fill="auto"/>
            <w:vAlign w:val="center"/>
          </w:tcPr>
          <w:p w14:paraId="243605A9">
            <w:pPr>
              <w:pStyle w:val="45"/>
              <w:bidi w:val="0"/>
              <w:jc w:val="center"/>
              <w:rPr>
                <w:rFonts w:hint="default"/>
                <w:lang w:val="en-US" w:eastAsia="zh-CN"/>
              </w:rPr>
            </w:pPr>
            <w:r>
              <w:rPr>
                <w:rFonts w:hint="eastAsia"/>
                <w:lang w:val="en-US" w:eastAsia="zh-CN"/>
              </w:rPr>
              <w:t>10</w:t>
            </w:r>
          </w:p>
        </w:tc>
        <w:tc>
          <w:tcPr>
            <w:tcW w:w="684" w:type="pct"/>
            <w:shd w:val="clear" w:color="auto" w:fill="auto"/>
            <w:vAlign w:val="center"/>
          </w:tcPr>
          <w:p w14:paraId="09C46A14">
            <w:pPr>
              <w:pStyle w:val="45"/>
              <w:bidi w:val="0"/>
              <w:jc w:val="center"/>
              <w:rPr>
                <w:rFonts w:hint="default"/>
                <w:lang w:val="en-US" w:eastAsia="zh-CN"/>
              </w:rPr>
            </w:pPr>
            <w:r>
              <w:rPr>
                <w:rFonts w:hint="eastAsia"/>
                <w:lang w:val="en-US" w:eastAsia="zh-CN"/>
              </w:rPr>
              <w:t>1</w:t>
            </w:r>
          </w:p>
        </w:tc>
      </w:tr>
    </w:tbl>
    <w:p w14:paraId="47A3BC8E">
      <w:pPr>
        <w:pStyle w:val="38"/>
        <w:rPr>
          <w:rFonts w:hint="eastAsia"/>
        </w:rPr>
      </w:pPr>
    </w:p>
    <w:p w14:paraId="0B9E42D1">
      <w:pPr>
        <w:pStyle w:val="4"/>
      </w:pPr>
      <w:r>
        <w:rPr>
          <w:rFonts w:hint="eastAsia"/>
        </w:rPr>
        <w:t>生产定员与工作制度</w:t>
      </w:r>
    </w:p>
    <w:p w14:paraId="400559C1">
      <w:pPr>
        <w:ind w:firstLine="480"/>
      </w:pPr>
      <w:r>
        <w:rPr>
          <w:rFonts w:hint="eastAsia"/>
        </w:rPr>
        <w:t>本项目劳动定员65人，年工作日300天，年工作时间7200小时。生产岗位四班三倒制，管理人员按白班制安排，但需安排轮流值勤日。</w:t>
      </w:r>
    </w:p>
    <w:p w14:paraId="03C254ED">
      <w:pPr>
        <w:pStyle w:val="4"/>
      </w:pPr>
      <w:r>
        <w:rPr>
          <w:rFonts w:hint="eastAsia"/>
        </w:rPr>
        <w:t>平面布置</w:t>
      </w:r>
    </w:p>
    <w:p w14:paraId="6AF610C3">
      <w:pPr>
        <w:ind w:firstLine="480"/>
      </w:pPr>
      <w:r>
        <w:rPr>
          <w:rFonts w:hint="eastAsia"/>
        </w:rPr>
        <w:t>厂区总平面布置根据装置类型、产品种类、工艺流程、生产性质、生产管理和车间划分等来统筹考虑，应做到功能分区明确、运输及管理方便，生产协调配合，人流、物流明确分流。</w:t>
      </w:r>
    </w:p>
    <w:p w14:paraId="497BFE45">
      <w:pPr>
        <w:ind w:firstLine="480"/>
        <w:rPr>
          <w:color w:val="FF0000"/>
        </w:rPr>
      </w:pPr>
      <w:r>
        <w:rPr>
          <w:rFonts w:hint="eastAsia"/>
        </w:rPr>
        <w:t>本项目厂区呈规则形状，厂区用总地面积</w:t>
      </w:r>
      <w:r>
        <w:rPr>
          <w:rFonts w:hint="eastAsia"/>
          <w:lang w:eastAsia="zh-CN"/>
        </w:rPr>
        <w:t>29059.57</w:t>
      </w:r>
      <w:r>
        <w:rPr>
          <w:rFonts w:hint="eastAsia"/>
        </w:rPr>
        <w:t>m</w:t>
      </w:r>
      <w:r>
        <w:rPr>
          <w:rFonts w:hint="eastAsia"/>
          <w:vertAlign w:val="superscript"/>
        </w:rPr>
        <w:t>2</w:t>
      </w:r>
      <w:r>
        <w:rPr>
          <w:rFonts w:hint="eastAsia"/>
        </w:rPr>
        <w:t>，主要建、构筑占地面积为</w:t>
      </w:r>
      <w:r>
        <w:rPr>
          <w:rFonts w:hint="eastAsia"/>
          <w:lang w:eastAsia="zh-CN"/>
        </w:rPr>
        <w:t>11934.38</w:t>
      </w:r>
      <w:r>
        <w:rPr>
          <w:rFonts w:hint="eastAsia"/>
        </w:rPr>
        <w:t>m</w:t>
      </w:r>
      <w:r>
        <w:rPr>
          <w:rFonts w:hint="eastAsia"/>
          <w:vertAlign w:val="superscript"/>
        </w:rPr>
        <w:t>2</w:t>
      </w:r>
      <w:r>
        <w:rPr>
          <w:rFonts w:hint="eastAsia"/>
        </w:rPr>
        <w:t>，总建筑面积</w:t>
      </w:r>
      <w:r>
        <w:rPr>
          <w:rFonts w:hint="eastAsia"/>
          <w:lang w:eastAsia="zh-CN"/>
        </w:rPr>
        <w:t>11155</w:t>
      </w:r>
      <w:r>
        <w:rPr>
          <w:rFonts w:hint="eastAsia"/>
        </w:rPr>
        <w:t>m</w:t>
      </w:r>
      <w:r>
        <w:rPr>
          <w:rFonts w:hint="eastAsia"/>
          <w:vertAlign w:val="superscript"/>
        </w:rPr>
        <w:t>2</w:t>
      </w:r>
      <w:r>
        <w:rPr>
          <w:rFonts w:hint="eastAsia"/>
        </w:rPr>
        <w:t>。主要包括化盐车间、电解车间、复分解联合车间、成品仓库、原料仓库、储罐区、</w:t>
      </w:r>
      <w:r>
        <w:rPr>
          <w:rFonts w:hint="eastAsia"/>
          <w:lang w:val="en-US" w:eastAsia="zh-CN"/>
        </w:rPr>
        <w:t>氢气回收区、</w:t>
      </w:r>
      <w:r>
        <w:rPr>
          <w:rFonts w:hint="eastAsia"/>
        </w:rPr>
        <w:t>公用工程站、门卫室等。此外还包括消防水池、事故水池、污水池等辅助工程设施。</w:t>
      </w:r>
    </w:p>
    <w:p w14:paraId="6D4D9810">
      <w:pPr>
        <w:ind w:firstLine="480"/>
        <w:rPr>
          <w:color w:val="FF0000"/>
        </w:rPr>
      </w:pPr>
      <w:r>
        <w:rPr>
          <w:rFonts w:hint="eastAsia"/>
        </w:rPr>
        <w:t>根据总平面布置原则，结合场地地形、外部交通运输条件，以及各装置的特点进行布置全厂总平面布置图。厂内道路原则上平行于建筑物，呈环形布置，管线架设距离短，节约能耗。这样生产流程简洁顺畅，作业方便，不交叉影响，与管线相互协调。</w:t>
      </w:r>
    </w:p>
    <w:p w14:paraId="779FA32B">
      <w:pPr>
        <w:ind w:firstLine="480"/>
      </w:pPr>
      <w:r>
        <w:rPr>
          <w:rFonts w:hint="eastAsia"/>
        </w:rPr>
        <w:t>综上所述，总平面布置生产流程简洁顺畅、物料运输快捷方便，各建（构）筑物间距除满足正常交通运输需要外，还根据不同生产或储存物火灾危险类别的消防要求布置。本项目总平面布置务求达到经营与生产活动井然有序，厂区经营与生产功能分区明确，人流、货流分开。该总平面布置方案可为日后项目的扩展提供可持续发展性，布局合理。</w:t>
      </w:r>
    </w:p>
    <w:p w14:paraId="38561958">
      <w:pPr>
        <w:pStyle w:val="3"/>
      </w:pPr>
      <w:bookmarkStart w:id="119" w:name="_Toc9392"/>
      <w:bookmarkStart w:id="120" w:name="_Toc4995"/>
      <w:bookmarkStart w:id="121" w:name="_Toc11471"/>
      <w:r>
        <w:rPr>
          <w:rFonts w:hint="eastAsia"/>
        </w:rPr>
        <w:t>主要设备</w:t>
      </w:r>
      <w:bookmarkEnd w:id="119"/>
      <w:bookmarkEnd w:id="120"/>
      <w:bookmarkEnd w:id="121"/>
    </w:p>
    <w:p w14:paraId="7D037D0A">
      <w:pPr>
        <w:pStyle w:val="43"/>
        <w:rPr>
          <w:rFonts w:hint="default"/>
        </w:rPr>
      </w:pPr>
      <w:r>
        <w:rPr>
          <w:rFonts w:hint="eastAsia"/>
          <w:lang w:val="en-US" w:eastAsia="zh-CN"/>
        </w:rPr>
        <w:t>高氯酸钠、高氯酸钾、氯酸钾</w:t>
      </w:r>
      <w:r>
        <w:t>主要设备一览表</w:t>
      </w:r>
    </w:p>
    <w:tbl>
      <w:tblPr>
        <w:tblStyle w:val="32"/>
        <w:tblW w:w="4998" w:type="pct"/>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autofit"/>
        <w:tblCellMar>
          <w:top w:w="0" w:type="dxa"/>
          <w:left w:w="108" w:type="dxa"/>
          <w:bottom w:w="0" w:type="dxa"/>
          <w:right w:w="108" w:type="dxa"/>
        </w:tblCellMar>
      </w:tblPr>
      <w:tblGrid>
        <w:gridCol w:w="767"/>
        <w:gridCol w:w="2297"/>
        <w:gridCol w:w="1871"/>
        <w:gridCol w:w="1562"/>
        <w:gridCol w:w="993"/>
        <w:gridCol w:w="1029"/>
      </w:tblGrid>
      <w:tr w14:paraId="690FEE75">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3" w:hRule="atLeast"/>
          <w:tblHeader/>
        </w:trPr>
        <w:tc>
          <w:tcPr>
            <w:tcW w:w="450" w:type="pct"/>
            <w:shd w:val="clear" w:color="auto" w:fill="auto"/>
            <w:noWrap/>
            <w:vAlign w:val="center"/>
          </w:tcPr>
          <w:p w14:paraId="78856688">
            <w:pPr>
              <w:pStyle w:val="45"/>
              <w:rPr>
                <w:rFonts w:hint="default"/>
                <w:b/>
                <w:bCs/>
              </w:rPr>
            </w:pPr>
            <w:r>
              <w:rPr>
                <w:b/>
                <w:bCs/>
              </w:rPr>
              <w:t>序号</w:t>
            </w:r>
          </w:p>
        </w:tc>
        <w:tc>
          <w:tcPr>
            <w:tcW w:w="1348" w:type="pct"/>
            <w:shd w:val="clear" w:color="auto" w:fill="auto"/>
            <w:vAlign w:val="center"/>
          </w:tcPr>
          <w:p w14:paraId="3B610A34">
            <w:pPr>
              <w:pStyle w:val="45"/>
              <w:rPr>
                <w:rFonts w:hint="default"/>
                <w:b/>
                <w:bCs/>
              </w:rPr>
            </w:pPr>
            <w:r>
              <w:rPr>
                <w:b/>
                <w:bCs/>
              </w:rPr>
              <w:t>名称</w:t>
            </w:r>
          </w:p>
        </w:tc>
        <w:tc>
          <w:tcPr>
            <w:tcW w:w="1098" w:type="pct"/>
            <w:shd w:val="clear" w:color="auto" w:fill="auto"/>
            <w:vAlign w:val="center"/>
          </w:tcPr>
          <w:p w14:paraId="30E6259C">
            <w:pPr>
              <w:pStyle w:val="45"/>
              <w:rPr>
                <w:rFonts w:hint="default"/>
                <w:b/>
                <w:bCs/>
              </w:rPr>
            </w:pPr>
            <w:r>
              <w:rPr>
                <w:b/>
                <w:bCs/>
              </w:rPr>
              <w:t>规格型号</w:t>
            </w:r>
          </w:p>
        </w:tc>
        <w:tc>
          <w:tcPr>
            <w:tcW w:w="917" w:type="pct"/>
            <w:shd w:val="clear" w:color="auto" w:fill="auto"/>
            <w:vAlign w:val="center"/>
          </w:tcPr>
          <w:p w14:paraId="04010F0F">
            <w:pPr>
              <w:pStyle w:val="45"/>
              <w:rPr>
                <w:rFonts w:hint="default"/>
                <w:b/>
                <w:bCs/>
              </w:rPr>
            </w:pPr>
            <w:r>
              <w:rPr>
                <w:b/>
                <w:bCs/>
              </w:rPr>
              <w:t>材质或材料</w:t>
            </w:r>
          </w:p>
        </w:tc>
        <w:tc>
          <w:tcPr>
            <w:tcW w:w="583" w:type="pct"/>
            <w:shd w:val="clear" w:color="auto" w:fill="auto"/>
            <w:vAlign w:val="center"/>
          </w:tcPr>
          <w:p w14:paraId="40FAF254">
            <w:pPr>
              <w:pStyle w:val="45"/>
              <w:rPr>
                <w:rFonts w:hint="default"/>
                <w:b/>
                <w:bCs/>
              </w:rPr>
            </w:pPr>
            <w:r>
              <w:rPr>
                <w:b/>
                <w:bCs/>
              </w:rPr>
              <w:t>数量</w:t>
            </w:r>
          </w:p>
        </w:tc>
        <w:tc>
          <w:tcPr>
            <w:tcW w:w="602" w:type="pct"/>
            <w:shd w:val="clear" w:color="auto" w:fill="auto"/>
            <w:vAlign w:val="center"/>
          </w:tcPr>
          <w:p w14:paraId="617CAFB1">
            <w:pPr>
              <w:pStyle w:val="45"/>
              <w:rPr>
                <w:rFonts w:hint="default"/>
                <w:b/>
                <w:bCs/>
              </w:rPr>
            </w:pPr>
            <w:r>
              <w:rPr>
                <w:b/>
                <w:bCs/>
              </w:rPr>
              <w:t>备注</w:t>
            </w:r>
          </w:p>
        </w:tc>
      </w:tr>
      <w:tr w14:paraId="60C5B843">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5000" w:type="pct"/>
            <w:gridSpan w:val="6"/>
            <w:shd w:val="clear" w:color="auto" w:fill="auto"/>
            <w:vAlign w:val="center"/>
          </w:tcPr>
          <w:p w14:paraId="3256B124">
            <w:pPr>
              <w:pStyle w:val="45"/>
              <w:rPr>
                <w:rFonts w:hint="default" w:eastAsia="宋体"/>
                <w:lang w:val="en-US" w:eastAsia="zh-CN"/>
              </w:rPr>
            </w:pPr>
            <w:r>
              <w:rPr>
                <w:b/>
                <w:bCs/>
              </w:rPr>
              <w:t>一、</w:t>
            </w:r>
            <w:r>
              <w:rPr>
                <w:rFonts w:hint="eastAsia"/>
                <w:b/>
                <w:bCs/>
                <w:lang w:val="en-US" w:eastAsia="zh-CN"/>
              </w:rPr>
              <w:t>盐水精制、一次电解生产装置</w:t>
            </w:r>
          </w:p>
        </w:tc>
      </w:tr>
      <w:tr w14:paraId="6500CEBD">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494B3F9C">
            <w:pPr>
              <w:pStyle w:val="45"/>
              <w:rPr>
                <w:rFonts w:hint="default"/>
              </w:rPr>
            </w:pPr>
            <w:r>
              <w:rPr>
                <w:rFonts w:hint="default"/>
              </w:rPr>
              <w:t>1</w:t>
            </w:r>
          </w:p>
        </w:tc>
        <w:tc>
          <w:tcPr>
            <w:tcW w:w="1348" w:type="pct"/>
            <w:shd w:val="clear" w:color="auto" w:fill="auto"/>
            <w:vAlign w:val="center"/>
          </w:tcPr>
          <w:p w14:paraId="639058B7">
            <w:pPr>
              <w:pStyle w:val="45"/>
              <w:rPr>
                <w:rFonts w:hint="default"/>
              </w:rPr>
            </w:pPr>
            <w:r>
              <w:t>配水槽</w:t>
            </w:r>
          </w:p>
        </w:tc>
        <w:tc>
          <w:tcPr>
            <w:tcW w:w="1098" w:type="pct"/>
            <w:shd w:val="clear" w:color="auto" w:fill="auto"/>
            <w:vAlign w:val="center"/>
          </w:tcPr>
          <w:p w14:paraId="0E5D0223">
            <w:pPr>
              <w:pStyle w:val="45"/>
              <w:rPr>
                <w:rFonts w:hint="default"/>
              </w:rPr>
            </w:pPr>
            <w:r>
              <w:rPr>
                <w:rFonts w:hint="default"/>
              </w:rPr>
              <w:t>DN4800X6000</w:t>
            </w:r>
          </w:p>
        </w:tc>
        <w:tc>
          <w:tcPr>
            <w:tcW w:w="917" w:type="pct"/>
            <w:shd w:val="clear" w:color="auto" w:fill="auto"/>
            <w:vAlign w:val="center"/>
          </w:tcPr>
          <w:p w14:paraId="24410DF4">
            <w:pPr>
              <w:pStyle w:val="45"/>
              <w:rPr>
                <w:rFonts w:hint="default"/>
              </w:rPr>
            </w:pPr>
            <w:r>
              <w:t>解性玻璃钢</w:t>
            </w:r>
          </w:p>
        </w:tc>
        <w:tc>
          <w:tcPr>
            <w:tcW w:w="583" w:type="pct"/>
            <w:shd w:val="clear" w:color="auto" w:fill="auto"/>
            <w:vAlign w:val="center"/>
          </w:tcPr>
          <w:p w14:paraId="6DAEA0A1">
            <w:pPr>
              <w:pStyle w:val="45"/>
              <w:rPr>
                <w:rFonts w:hint="default"/>
              </w:rPr>
            </w:pPr>
            <w:r>
              <w:rPr>
                <w:rFonts w:hint="default"/>
              </w:rPr>
              <w:t>2</w:t>
            </w:r>
          </w:p>
        </w:tc>
        <w:tc>
          <w:tcPr>
            <w:tcW w:w="602" w:type="pct"/>
            <w:shd w:val="clear" w:color="auto" w:fill="auto"/>
            <w:vAlign w:val="center"/>
          </w:tcPr>
          <w:p w14:paraId="73075032">
            <w:pPr>
              <w:pStyle w:val="45"/>
              <w:rPr>
                <w:rFonts w:hint="default"/>
              </w:rPr>
            </w:pPr>
          </w:p>
        </w:tc>
      </w:tr>
      <w:tr w14:paraId="19B6D37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4D61F1CF">
            <w:pPr>
              <w:pStyle w:val="45"/>
              <w:rPr>
                <w:rFonts w:hint="default"/>
              </w:rPr>
            </w:pPr>
            <w:r>
              <w:rPr>
                <w:rFonts w:hint="default"/>
              </w:rPr>
              <w:t>2</w:t>
            </w:r>
          </w:p>
        </w:tc>
        <w:tc>
          <w:tcPr>
            <w:tcW w:w="1348" w:type="pct"/>
            <w:shd w:val="clear" w:color="auto" w:fill="auto"/>
            <w:vAlign w:val="center"/>
          </w:tcPr>
          <w:p w14:paraId="02C82FD3">
            <w:pPr>
              <w:pStyle w:val="45"/>
              <w:rPr>
                <w:rFonts w:hint="default"/>
              </w:rPr>
            </w:pPr>
            <w:r>
              <w:t>化盐泵</w:t>
            </w:r>
          </w:p>
        </w:tc>
        <w:tc>
          <w:tcPr>
            <w:tcW w:w="1098" w:type="pct"/>
            <w:shd w:val="clear" w:color="auto" w:fill="auto"/>
            <w:vAlign w:val="center"/>
          </w:tcPr>
          <w:p w14:paraId="7839CB27">
            <w:pPr>
              <w:pStyle w:val="45"/>
              <w:rPr>
                <w:rFonts w:hint="default"/>
              </w:rPr>
            </w:pPr>
            <w:r>
              <w:rPr>
                <w:rFonts w:hint="default"/>
              </w:rPr>
              <w:t>IH65-50-125</w:t>
            </w:r>
          </w:p>
        </w:tc>
        <w:tc>
          <w:tcPr>
            <w:tcW w:w="917" w:type="pct"/>
            <w:shd w:val="clear" w:color="auto" w:fill="auto"/>
            <w:vAlign w:val="center"/>
          </w:tcPr>
          <w:p w14:paraId="7B9357AE">
            <w:pPr>
              <w:pStyle w:val="45"/>
              <w:rPr>
                <w:rFonts w:hint="default"/>
              </w:rPr>
            </w:pPr>
            <w:r>
              <w:t>组合</w:t>
            </w:r>
          </w:p>
        </w:tc>
        <w:tc>
          <w:tcPr>
            <w:tcW w:w="583" w:type="pct"/>
            <w:shd w:val="clear" w:color="auto" w:fill="auto"/>
            <w:vAlign w:val="center"/>
          </w:tcPr>
          <w:p w14:paraId="52AE47C8">
            <w:pPr>
              <w:pStyle w:val="45"/>
              <w:rPr>
                <w:rFonts w:hint="default"/>
              </w:rPr>
            </w:pPr>
            <w:r>
              <w:rPr>
                <w:rFonts w:hint="default"/>
              </w:rPr>
              <w:t>2</w:t>
            </w:r>
          </w:p>
        </w:tc>
        <w:tc>
          <w:tcPr>
            <w:tcW w:w="602" w:type="pct"/>
            <w:shd w:val="clear" w:color="auto" w:fill="auto"/>
            <w:vAlign w:val="center"/>
          </w:tcPr>
          <w:p w14:paraId="29473670">
            <w:pPr>
              <w:pStyle w:val="45"/>
              <w:rPr>
                <w:rFonts w:hint="default"/>
              </w:rPr>
            </w:pPr>
          </w:p>
        </w:tc>
      </w:tr>
      <w:tr w14:paraId="548504FA">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462" w:hRule="atLeast"/>
        </w:trPr>
        <w:tc>
          <w:tcPr>
            <w:tcW w:w="450" w:type="pct"/>
            <w:shd w:val="clear" w:color="auto" w:fill="auto"/>
            <w:noWrap/>
            <w:vAlign w:val="center"/>
          </w:tcPr>
          <w:p w14:paraId="40667764">
            <w:pPr>
              <w:pStyle w:val="45"/>
              <w:rPr>
                <w:rFonts w:hint="default"/>
              </w:rPr>
            </w:pPr>
            <w:r>
              <w:rPr>
                <w:rFonts w:hint="default"/>
              </w:rPr>
              <w:t>3</w:t>
            </w:r>
          </w:p>
        </w:tc>
        <w:tc>
          <w:tcPr>
            <w:tcW w:w="1348" w:type="pct"/>
            <w:shd w:val="clear" w:color="auto" w:fill="auto"/>
            <w:vAlign w:val="center"/>
          </w:tcPr>
          <w:p w14:paraId="740C93A3">
            <w:pPr>
              <w:pStyle w:val="45"/>
              <w:rPr>
                <w:rFonts w:hint="default"/>
              </w:rPr>
            </w:pPr>
            <w:r>
              <w:t>化盐槽</w:t>
            </w:r>
          </w:p>
        </w:tc>
        <w:tc>
          <w:tcPr>
            <w:tcW w:w="1098" w:type="pct"/>
            <w:shd w:val="clear" w:color="auto" w:fill="auto"/>
            <w:vAlign w:val="center"/>
          </w:tcPr>
          <w:p w14:paraId="361A616C">
            <w:pPr>
              <w:pStyle w:val="45"/>
              <w:rPr>
                <w:rFonts w:hint="default"/>
              </w:rPr>
            </w:pPr>
            <w:r>
              <w:rPr>
                <w:rFonts w:hint="default"/>
              </w:rPr>
              <w:t>2500X2500X5000</w:t>
            </w:r>
          </w:p>
        </w:tc>
        <w:tc>
          <w:tcPr>
            <w:tcW w:w="917" w:type="pct"/>
            <w:shd w:val="clear" w:color="auto" w:fill="auto"/>
            <w:vAlign w:val="center"/>
          </w:tcPr>
          <w:p w14:paraId="1BCB2D4F">
            <w:pPr>
              <w:pStyle w:val="45"/>
              <w:rPr>
                <w:rFonts w:hint="default"/>
              </w:rPr>
            </w:pPr>
            <w:r>
              <w:t>钢混</w:t>
            </w:r>
          </w:p>
        </w:tc>
        <w:tc>
          <w:tcPr>
            <w:tcW w:w="583" w:type="pct"/>
            <w:shd w:val="clear" w:color="auto" w:fill="auto"/>
            <w:vAlign w:val="center"/>
          </w:tcPr>
          <w:p w14:paraId="6FD02694">
            <w:pPr>
              <w:pStyle w:val="45"/>
              <w:rPr>
                <w:rFonts w:hint="default"/>
              </w:rPr>
            </w:pPr>
            <w:r>
              <w:rPr>
                <w:rFonts w:hint="default"/>
              </w:rPr>
              <w:t>2</w:t>
            </w:r>
          </w:p>
        </w:tc>
        <w:tc>
          <w:tcPr>
            <w:tcW w:w="602" w:type="pct"/>
            <w:shd w:val="clear" w:color="auto" w:fill="auto"/>
            <w:vAlign w:val="center"/>
          </w:tcPr>
          <w:p w14:paraId="4AE0643A">
            <w:pPr>
              <w:pStyle w:val="45"/>
              <w:rPr>
                <w:rFonts w:hint="default"/>
              </w:rPr>
            </w:pPr>
            <w:r>
              <w:rPr>
                <w:rFonts w:hint="default"/>
              </w:rPr>
              <w:t>溶解氯化钠</w:t>
            </w:r>
          </w:p>
        </w:tc>
      </w:tr>
      <w:tr w14:paraId="152B6CBA">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6756678A">
            <w:pPr>
              <w:pStyle w:val="45"/>
              <w:rPr>
                <w:rFonts w:hint="default"/>
              </w:rPr>
            </w:pPr>
            <w:r>
              <w:rPr>
                <w:rFonts w:hint="default"/>
              </w:rPr>
              <w:t>4</w:t>
            </w:r>
          </w:p>
        </w:tc>
        <w:tc>
          <w:tcPr>
            <w:tcW w:w="1348" w:type="pct"/>
            <w:shd w:val="clear" w:color="auto" w:fill="auto"/>
            <w:vAlign w:val="center"/>
          </w:tcPr>
          <w:p w14:paraId="3A0C5024">
            <w:pPr>
              <w:pStyle w:val="45"/>
              <w:rPr>
                <w:rFonts w:hint="default"/>
              </w:rPr>
            </w:pPr>
            <w:r>
              <w:t>回收盐水池</w:t>
            </w:r>
          </w:p>
        </w:tc>
        <w:tc>
          <w:tcPr>
            <w:tcW w:w="1098" w:type="pct"/>
            <w:shd w:val="clear" w:color="auto" w:fill="auto"/>
            <w:vAlign w:val="center"/>
          </w:tcPr>
          <w:p w14:paraId="65947E25">
            <w:pPr>
              <w:pStyle w:val="45"/>
              <w:rPr>
                <w:rFonts w:hint="default"/>
              </w:rPr>
            </w:pPr>
            <w:r>
              <w:rPr>
                <w:rFonts w:hint="default"/>
              </w:rPr>
              <w:t>DN2000X2000</w:t>
            </w:r>
          </w:p>
        </w:tc>
        <w:tc>
          <w:tcPr>
            <w:tcW w:w="917" w:type="pct"/>
            <w:shd w:val="clear" w:color="auto" w:fill="auto"/>
            <w:vAlign w:val="center"/>
          </w:tcPr>
          <w:p w14:paraId="1DBAA3F1">
            <w:pPr>
              <w:pStyle w:val="45"/>
              <w:rPr>
                <w:rFonts w:hint="default"/>
              </w:rPr>
            </w:pPr>
            <w:r>
              <w:rPr>
                <w:rFonts w:hint="default"/>
              </w:rPr>
              <w:t>Q235</w:t>
            </w:r>
          </w:p>
        </w:tc>
        <w:tc>
          <w:tcPr>
            <w:tcW w:w="583" w:type="pct"/>
            <w:shd w:val="clear" w:color="auto" w:fill="auto"/>
            <w:vAlign w:val="center"/>
          </w:tcPr>
          <w:p w14:paraId="505917B6">
            <w:pPr>
              <w:pStyle w:val="45"/>
              <w:rPr>
                <w:rFonts w:hint="default"/>
              </w:rPr>
            </w:pPr>
            <w:r>
              <w:rPr>
                <w:rFonts w:hint="default"/>
              </w:rPr>
              <w:t>1</w:t>
            </w:r>
          </w:p>
        </w:tc>
        <w:tc>
          <w:tcPr>
            <w:tcW w:w="602" w:type="pct"/>
            <w:shd w:val="clear" w:color="auto" w:fill="auto"/>
            <w:vAlign w:val="center"/>
          </w:tcPr>
          <w:p w14:paraId="50473AFB">
            <w:pPr>
              <w:pStyle w:val="45"/>
              <w:rPr>
                <w:rFonts w:hint="default"/>
              </w:rPr>
            </w:pPr>
          </w:p>
        </w:tc>
      </w:tr>
      <w:tr w14:paraId="3490D8F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382F5580">
            <w:pPr>
              <w:pStyle w:val="45"/>
              <w:rPr>
                <w:rFonts w:hint="default"/>
              </w:rPr>
            </w:pPr>
            <w:r>
              <w:rPr>
                <w:rFonts w:hint="default"/>
              </w:rPr>
              <w:t>5</w:t>
            </w:r>
          </w:p>
        </w:tc>
        <w:tc>
          <w:tcPr>
            <w:tcW w:w="1348" w:type="pct"/>
            <w:shd w:val="clear" w:color="auto" w:fill="auto"/>
            <w:vAlign w:val="center"/>
          </w:tcPr>
          <w:p w14:paraId="46CECE6E">
            <w:pPr>
              <w:pStyle w:val="45"/>
              <w:rPr>
                <w:rFonts w:hint="default"/>
              </w:rPr>
            </w:pPr>
            <w:r>
              <w:t>板框压滤机</w:t>
            </w:r>
          </w:p>
        </w:tc>
        <w:tc>
          <w:tcPr>
            <w:tcW w:w="1098" w:type="pct"/>
            <w:shd w:val="clear" w:color="auto" w:fill="auto"/>
            <w:vAlign w:val="center"/>
          </w:tcPr>
          <w:p w14:paraId="041236D5">
            <w:pPr>
              <w:pStyle w:val="45"/>
              <w:rPr>
                <w:rFonts w:hint="default"/>
              </w:rPr>
            </w:pPr>
            <w:r>
              <w:rPr>
                <w:rFonts w:hint="default"/>
              </w:rPr>
              <w:t>XAG60/870-UK</w:t>
            </w:r>
          </w:p>
        </w:tc>
        <w:tc>
          <w:tcPr>
            <w:tcW w:w="917" w:type="pct"/>
            <w:shd w:val="clear" w:color="auto" w:fill="auto"/>
            <w:vAlign w:val="center"/>
          </w:tcPr>
          <w:p w14:paraId="44EE9F0F">
            <w:pPr>
              <w:pStyle w:val="45"/>
              <w:rPr>
                <w:rFonts w:hint="default"/>
              </w:rPr>
            </w:pPr>
            <w:r>
              <w:t>组合</w:t>
            </w:r>
          </w:p>
        </w:tc>
        <w:tc>
          <w:tcPr>
            <w:tcW w:w="583" w:type="pct"/>
            <w:shd w:val="clear" w:color="auto" w:fill="auto"/>
            <w:vAlign w:val="center"/>
          </w:tcPr>
          <w:p w14:paraId="15EEB3DE">
            <w:pPr>
              <w:pStyle w:val="45"/>
              <w:rPr>
                <w:rFonts w:hint="default"/>
              </w:rPr>
            </w:pPr>
            <w:r>
              <w:rPr>
                <w:rFonts w:hint="default"/>
              </w:rPr>
              <w:t>2</w:t>
            </w:r>
          </w:p>
        </w:tc>
        <w:tc>
          <w:tcPr>
            <w:tcW w:w="602" w:type="pct"/>
            <w:shd w:val="clear" w:color="auto" w:fill="auto"/>
            <w:vAlign w:val="center"/>
          </w:tcPr>
          <w:p w14:paraId="0CE13399">
            <w:pPr>
              <w:pStyle w:val="45"/>
              <w:rPr>
                <w:rFonts w:hint="default"/>
              </w:rPr>
            </w:pPr>
          </w:p>
        </w:tc>
      </w:tr>
      <w:tr w14:paraId="5985226A">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1E5C7592">
            <w:pPr>
              <w:pStyle w:val="45"/>
              <w:rPr>
                <w:rFonts w:hint="default"/>
              </w:rPr>
            </w:pPr>
            <w:r>
              <w:rPr>
                <w:rFonts w:hint="default"/>
              </w:rPr>
              <w:t>6</w:t>
            </w:r>
          </w:p>
        </w:tc>
        <w:tc>
          <w:tcPr>
            <w:tcW w:w="1348" w:type="pct"/>
            <w:shd w:val="clear" w:color="auto" w:fill="auto"/>
            <w:vAlign w:val="center"/>
          </w:tcPr>
          <w:p w14:paraId="1FD92DCE">
            <w:pPr>
              <w:pStyle w:val="45"/>
              <w:rPr>
                <w:rFonts w:hint="default"/>
              </w:rPr>
            </w:pPr>
            <w:r>
              <w:t>盐泥泵</w:t>
            </w:r>
          </w:p>
        </w:tc>
        <w:tc>
          <w:tcPr>
            <w:tcW w:w="1098" w:type="pct"/>
            <w:shd w:val="clear" w:color="auto" w:fill="auto"/>
            <w:vAlign w:val="center"/>
          </w:tcPr>
          <w:p w14:paraId="5BD0055E">
            <w:pPr>
              <w:pStyle w:val="45"/>
              <w:rPr>
                <w:rFonts w:hint="default"/>
              </w:rPr>
            </w:pPr>
            <w:r>
              <w:rPr>
                <w:rFonts w:hint="default"/>
              </w:rPr>
              <w:t>YLB65-42</w:t>
            </w:r>
            <w:r>
              <w:t>—</w:t>
            </w:r>
            <w:r>
              <w:rPr>
                <w:rFonts w:hint="default"/>
              </w:rPr>
              <w:t>K</w:t>
            </w:r>
          </w:p>
        </w:tc>
        <w:tc>
          <w:tcPr>
            <w:tcW w:w="917" w:type="pct"/>
            <w:shd w:val="clear" w:color="auto" w:fill="auto"/>
            <w:vAlign w:val="center"/>
          </w:tcPr>
          <w:p w14:paraId="4BABBAB2">
            <w:pPr>
              <w:pStyle w:val="45"/>
              <w:rPr>
                <w:rFonts w:hint="default"/>
              </w:rPr>
            </w:pPr>
            <w:r>
              <w:t>组合</w:t>
            </w:r>
          </w:p>
        </w:tc>
        <w:tc>
          <w:tcPr>
            <w:tcW w:w="583" w:type="pct"/>
            <w:shd w:val="clear" w:color="auto" w:fill="auto"/>
            <w:vAlign w:val="center"/>
          </w:tcPr>
          <w:p w14:paraId="17F1EC0F">
            <w:pPr>
              <w:pStyle w:val="45"/>
              <w:rPr>
                <w:rFonts w:hint="default"/>
              </w:rPr>
            </w:pPr>
            <w:r>
              <w:rPr>
                <w:rFonts w:hint="default"/>
              </w:rPr>
              <w:t>2</w:t>
            </w:r>
          </w:p>
        </w:tc>
        <w:tc>
          <w:tcPr>
            <w:tcW w:w="602" w:type="pct"/>
            <w:shd w:val="clear" w:color="auto" w:fill="auto"/>
            <w:vAlign w:val="center"/>
          </w:tcPr>
          <w:p w14:paraId="4239FF92">
            <w:pPr>
              <w:pStyle w:val="45"/>
              <w:rPr>
                <w:rFonts w:hint="default"/>
              </w:rPr>
            </w:pPr>
          </w:p>
        </w:tc>
      </w:tr>
      <w:tr w14:paraId="3E4AFC9B">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5AE80397">
            <w:pPr>
              <w:pStyle w:val="45"/>
              <w:rPr>
                <w:rFonts w:hint="default"/>
              </w:rPr>
            </w:pPr>
            <w:r>
              <w:rPr>
                <w:rFonts w:hint="default"/>
              </w:rPr>
              <w:t>7</w:t>
            </w:r>
          </w:p>
        </w:tc>
        <w:tc>
          <w:tcPr>
            <w:tcW w:w="1348" w:type="pct"/>
            <w:shd w:val="clear" w:color="auto" w:fill="auto"/>
            <w:vAlign w:val="center"/>
          </w:tcPr>
          <w:p w14:paraId="00FB4799">
            <w:pPr>
              <w:pStyle w:val="45"/>
              <w:rPr>
                <w:rFonts w:hint="default"/>
              </w:rPr>
            </w:pPr>
            <w:r>
              <w:t>盐水预处理槽</w:t>
            </w:r>
          </w:p>
        </w:tc>
        <w:tc>
          <w:tcPr>
            <w:tcW w:w="1098" w:type="pct"/>
            <w:shd w:val="clear" w:color="auto" w:fill="auto"/>
            <w:vAlign w:val="center"/>
          </w:tcPr>
          <w:p w14:paraId="33E8571D">
            <w:pPr>
              <w:pStyle w:val="45"/>
              <w:rPr>
                <w:rFonts w:hint="default"/>
              </w:rPr>
            </w:pPr>
            <w:r>
              <w:rPr>
                <w:rFonts w:hint="default"/>
              </w:rPr>
              <w:t>3500X3500X4000</w:t>
            </w:r>
          </w:p>
        </w:tc>
        <w:tc>
          <w:tcPr>
            <w:tcW w:w="917" w:type="pct"/>
            <w:shd w:val="clear" w:color="auto" w:fill="auto"/>
            <w:vAlign w:val="center"/>
          </w:tcPr>
          <w:p w14:paraId="1E675809">
            <w:pPr>
              <w:pStyle w:val="45"/>
              <w:rPr>
                <w:rFonts w:hint="default"/>
              </w:rPr>
            </w:pPr>
            <w:r>
              <w:t>钢混</w:t>
            </w:r>
          </w:p>
        </w:tc>
        <w:tc>
          <w:tcPr>
            <w:tcW w:w="583" w:type="pct"/>
            <w:shd w:val="clear" w:color="auto" w:fill="auto"/>
            <w:vAlign w:val="center"/>
          </w:tcPr>
          <w:p w14:paraId="53A828CB">
            <w:pPr>
              <w:pStyle w:val="45"/>
              <w:rPr>
                <w:rFonts w:hint="default"/>
              </w:rPr>
            </w:pPr>
            <w:r>
              <w:rPr>
                <w:rFonts w:hint="default"/>
              </w:rPr>
              <w:t>4</w:t>
            </w:r>
          </w:p>
        </w:tc>
        <w:tc>
          <w:tcPr>
            <w:tcW w:w="602" w:type="pct"/>
            <w:shd w:val="clear" w:color="auto" w:fill="auto"/>
            <w:vAlign w:val="center"/>
          </w:tcPr>
          <w:p w14:paraId="7FDB5955">
            <w:pPr>
              <w:pStyle w:val="45"/>
              <w:rPr>
                <w:rFonts w:hint="default"/>
              </w:rPr>
            </w:pPr>
          </w:p>
        </w:tc>
      </w:tr>
      <w:tr w14:paraId="4E710A65">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17379E02">
            <w:pPr>
              <w:pStyle w:val="45"/>
              <w:rPr>
                <w:rFonts w:hint="default"/>
              </w:rPr>
            </w:pPr>
            <w:r>
              <w:rPr>
                <w:rFonts w:hint="default"/>
              </w:rPr>
              <w:t>8</w:t>
            </w:r>
          </w:p>
        </w:tc>
        <w:tc>
          <w:tcPr>
            <w:tcW w:w="1348" w:type="pct"/>
            <w:shd w:val="clear" w:color="auto" w:fill="auto"/>
            <w:vAlign w:val="center"/>
          </w:tcPr>
          <w:p w14:paraId="4967CCA5">
            <w:pPr>
              <w:pStyle w:val="45"/>
              <w:rPr>
                <w:rFonts w:hint="default"/>
              </w:rPr>
            </w:pPr>
            <w:r>
              <w:t>盐泥槽</w:t>
            </w:r>
          </w:p>
        </w:tc>
        <w:tc>
          <w:tcPr>
            <w:tcW w:w="1098" w:type="pct"/>
            <w:shd w:val="clear" w:color="auto" w:fill="auto"/>
            <w:vAlign w:val="center"/>
          </w:tcPr>
          <w:p w14:paraId="75FD702A">
            <w:pPr>
              <w:pStyle w:val="45"/>
              <w:rPr>
                <w:rFonts w:hint="default"/>
              </w:rPr>
            </w:pPr>
            <w:r>
              <w:rPr>
                <w:rFonts w:hint="default"/>
              </w:rPr>
              <w:t>DN3500X2500</w:t>
            </w:r>
          </w:p>
        </w:tc>
        <w:tc>
          <w:tcPr>
            <w:tcW w:w="917" w:type="pct"/>
            <w:shd w:val="clear" w:color="auto" w:fill="auto"/>
            <w:vAlign w:val="center"/>
          </w:tcPr>
          <w:p w14:paraId="171E586C">
            <w:pPr>
              <w:pStyle w:val="45"/>
              <w:rPr>
                <w:rFonts w:hint="default"/>
              </w:rPr>
            </w:pPr>
            <w:r>
              <w:rPr>
                <w:rFonts w:hint="default"/>
              </w:rPr>
              <w:t>Q235</w:t>
            </w:r>
          </w:p>
        </w:tc>
        <w:tc>
          <w:tcPr>
            <w:tcW w:w="583" w:type="pct"/>
            <w:shd w:val="clear" w:color="auto" w:fill="auto"/>
            <w:vAlign w:val="center"/>
          </w:tcPr>
          <w:p w14:paraId="685F9A49">
            <w:pPr>
              <w:pStyle w:val="45"/>
              <w:rPr>
                <w:rFonts w:hint="default"/>
              </w:rPr>
            </w:pPr>
            <w:r>
              <w:rPr>
                <w:rFonts w:hint="default"/>
              </w:rPr>
              <w:t>1</w:t>
            </w:r>
          </w:p>
        </w:tc>
        <w:tc>
          <w:tcPr>
            <w:tcW w:w="602" w:type="pct"/>
            <w:shd w:val="clear" w:color="auto" w:fill="auto"/>
            <w:vAlign w:val="center"/>
          </w:tcPr>
          <w:p w14:paraId="5EF2B6AC">
            <w:pPr>
              <w:pStyle w:val="45"/>
              <w:rPr>
                <w:rFonts w:hint="default"/>
              </w:rPr>
            </w:pPr>
          </w:p>
        </w:tc>
      </w:tr>
      <w:tr w14:paraId="20319B02">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47DFC121">
            <w:pPr>
              <w:pStyle w:val="45"/>
              <w:rPr>
                <w:rFonts w:hint="default"/>
              </w:rPr>
            </w:pPr>
            <w:r>
              <w:rPr>
                <w:rFonts w:hint="default"/>
              </w:rPr>
              <w:t>9</w:t>
            </w:r>
          </w:p>
        </w:tc>
        <w:tc>
          <w:tcPr>
            <w:tcW w:w="1348" w:type="pct"/>
            <w:shd w:val="clear" w:color="auto" w:fill="auto"/>
            <w:vAlign w:val="center"/>
          </w:tcPr>
          <w:p w14:paraId="0F61B194">
            <w:pPr>
              <w:pStyle w:val="45"/>
              <w:rPr>
                <w:rFonts w:hint="default"/>
              </w:rPr>
            </w:pPr>
            <w:r>
              <w:t>盐水膜过滤器</w:t>
            </w:r>
          </w:p>
        </w:tc>
        <w:tc>
          <w:tcPr>
            <w:tcW w:w="1098" w:type="pct"/>
            <w:shd w:val="clear" w:color="auto" w:fill="auto"/>
            <w:vAlign w:val="center"/>
          </w:tcPr>
          <w:p w14:paraId="49E4B8A4">
            <w:pPr>
              <w:pStyle w:val="45"/>
              <w:rPr>
                <w:rFonts w:hint="default"/>
              </w:rPr>
            </w:pPr>
          </w:p>
        </w:tc>
        <w:tc>
          <w:tcPr>
            <w:tcW w:w="917" w:type="pct"/>
            <w:shd w:val="clear" w:color="auto" w:fill="auto"/>
            <w:vAlign w:val="center"/>
          </w:tcPr>
          <w:p w14:paraId="317F2324">
            <w:pPr>
              <w:pStyle w:val="45"/>
              <w:rPr>
                <w:rFonts w:hint="default"/>
              </w:rPr>
            </w:pPr>
            <w:r>
              <w:t>组合</w:t>
            </w:r>
          </w:p>
        </w:tc>
        <w:tc>
          <w:tcPr>
            <w:tcW w:w="583" w:type="pct"/>
            <w:shd w:val="clear" w:color="auto" w:fill="auto"/>
            <w:vAlign w:val="center"/>
          </w:tcPr>
          <w:p w14:paraId="71F2156F">
            <w:pPr>
              <w:pStyle w:val="45"/>
              <w:rPr>
                <w:rFonts w:hint="default"/>
              </w:rPr>
            </w:pPr>
            <w:r>
              <w:rPr>
                <w:rFonts w:hint="default"/>
              </w:rPr>
              <w:t>1</w:t>
            </w:r>
          </w:p>
        </w:tc>
        <w:tc>
          <w:tcPr>
            <w:tcW w:w="602" w:type="pct"/>
            <w:shd w:val="clear" w:color="auto" w:fill="auto"/>
            <w:vAlign w:val="center"/>
          </w:tcPr>
          <w:p w14:paraId="398400D6">
            <w:pPr>
              <w:pStyle w:val="45"/>
              <w:rPr>
                <w:rFonts w:hint="default"/>
              </w:rPr>
            </w:pPr>
          </w:p>
        </w:tc>
      </w:tr>
      <w:tr w14:paraId="02B9EFAC">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265EBE9A">
            <w:pPr>
              <w:pStyle w:val="45"/>
              <w:rPr>
                <w:rFonts w:hint="default"/>
              </w:rPr>
            </w:pPr>
            <w:r>
              <w:rPr>
                <w:rFonts w:hint="default"/>
              </w:rPr>
              <w:t>10</w:t>
            </w:r>
          </w:p>
        </w:tc>
        <w:tc>
          <w:tcPr>
            <w:tcW w:w="1348" w:type="pct"/>
            <w:shd w:val="clear" w:color="auto" w:fill="auto"/>
            <w:vAlign w:val="center"/>
          </w:tcPr>
          <w:p w14:paraId="08EE3C14">
            <w:pPr>
              <w:pStyle w:val="45"/>
              <w:rPr>
                <w:rFonts w:hint="default"/>
              </w:rPr>
            </w:pPr>
            <w:r>
              <w:t>盐水中间槽</w:t>
            </w:r>
          </w:p>
        </w:tc>
        <w:tc>
          <w:tcPr>
            <w:tcW w:w="1098" w:type="pct"/>
            <w:shd w:val="clear" w:color="auto" w:fill="auto"/>
            <w:vAlign w:val="center"/>
          </w:tcPr>
          <w:p w14:paraId="5502E826">
            <w:pPr>
              <w:pStyle w:val="45"/>
              <w:rPr>
                <w:rFonts w:hint="default"/>
              </w:rPr>
            </w:pPr>
            <w:r>
              <w:rPr>
                <w:rFonts w:hint="default"/>
              </w:rPr>
              <w:t>DN4800X4000</w:t>
            </w:r>
          </w:p>
        </w:tc>
        <w:tc>
          <w:tcPr>
            <w:tcW w:w="917" w:type="pct"/>
            <w:shd w:val="clear" w:color="auto" w:fill="auto"/>
            <w:vAlign w:val="center"/>
          </w:tcPr>
          <w:p w14:paraId="7E9D5316">
            <w:pPr>
              <w:pStyle w:val="45"/>
              <w:rPr>
                <w:rFonts w:hint="default"/>
              </w:rPr>
            </w:pPr>
            <w:r>
              <w:t>解性玻璃钢</w:t>
            </w:r>
          </w:p>
        </w:tc>
        <w:tc>
          <w:tcPr>
            <w:tcW w:w="583" w:type="pct"/>
            <w:shd w:val="clear" w:color="auto" w:fill="auto"/>
            <w:vAlign w:val="center"/>
          </w:tcPr>
          <w:p w14:paraId="41B35487">
            <w:pPr>
              <w:pStyle w:val="45"/>
              <w:rPr>
                <w:rFonts w:hint="default"/>
              </w:rPr>
            </w:pPr>
            <w:r>
              <w:rPr>
                <w:rFonts w:hint="default"/>
              </w:rPr>
              <w:t>2</w:t>
            </w:r>
          </w:p>
        </w:tc>
        <w:tc>
          <w:tcPr>
            <w:tcW w:w="602" w:type="pct"/>
            <w:shd w:val="clear" w:color="auto" w:fill="auto"/>
            <w:vAlign w:val="center"/>
          </w:tcPr>
          <w:p w14:paraId="47302E49">
            <w:pPr>
              <w:pStyle w:val="45"/>
              <w:rPr>
                <w:rFonts w:hint="default"/>
              </w:rPr>
            </w:pPr>
          </w:p>
        </w:tc>
      </w:tr>
      <w:tr w14:paraId="07E41733">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2654D4B5">
            <w:pPr>
              <w:pStyle w:val="45"/>
              <w:rPr>
                <w:rFonts w:hint="default"/>
              </w:rPr>
            </w:pPr>
            <w:r>
              <w:rPr>
                <w:rFonts w:hint="default"/>
              </w:rPr>
              <w:t>11</w:t>
            </w:r>
          </w:p>
        </w:tc>
        <w:tc>
          <w:tcPr>
            <w:tcW w:w="1348" w:type="pct"/>
            <w:shd w:val="clear" w:color="auto" w:fill="auto"/>
            <w:vAlign w:val="center"/>
          </w:tcPr>
          <w:p w14:paraId="57262D62">
            <w:pPr>
              <w:pStyle w:val="45"/>
              <w:rPr>
                <w:rFonts w:hint="default"/>
              </w:rPr>
            </w:pPr>
            <w:r>
              <w:t>盐水储槽</w:t>
            </w:r>
          </w:p>
        </w:tc>
        <w:tc>
          <w:tcPr>
            <w:tcW w:w="1098" w:type="pct"/>
            <w:shd w:val="clear" w:color="auto" w:fill="auto"/>
            <w:vAlign w:val="center"/>
          </w:tcPr>
          <w:p w14:paraId="3D4A5226">
            <w:pPr>
              <w:pStyle w:val="45"/>
              <w:rPr>
                <w:rFonts w:hint="default"/>
              </w:rPr>
            </w:pPr>
            <w:r>
              <w:rPr>
                <w:rFonts w:hint="default"/>
              </w:rPr>
              <w:t>DN4800X6000</w:t>
            </w:r>
          </w:p>
        </w:tc>
        <w:tc>
          <w:tcPr>
            <w:tcW w:w="917" w:type="pct"/>
            <w:shd w:val="clear" w:color="auto" w:fill="auto"/>
            <w:vAlign w:val="center"/>
          </w:tcPr>
          <w:p w14:paraId="63292F34">
            <w:pPr>
              <w:pStyle w:val="45"/>
              <w:rPr>
                <w:rFonts w:hint="default"/>
              </w:rPr>
            </w:pPr>
            <w:r>
              <w:t>解性玻璃钢</w:t>
            </w:r>
          </w:p>
        </w:tc>
        <w:tc>
          <w:tcPr>
            <w:tcW w:w="583" w:type="pct"/>
            <w:shd w:val="clear" w:color="auto" w:fill="auto"/>
            <w:vAlign w:val="center"/>
          </w:tcPr>
          <w:p w14:paraId="277BD430">
            <w:pPr>
              <w:pStyle w:val="45"/>
              <w:rPr>
                <w:rFonts w:hint="default"/>
              </w:rPr>
            </w:pPr>
            <w:r>
              <w:rPr>
                <w:rFonts w:hint="default"/>
              </w:rPr>
              <w:t>16</w:t>
            </w:r>
          </w:p>
        </w:tc>
        <w:tc>
          <w:tcPr>
            <w:tcW w:w="602" w:type="pct"/>
            <w:shd w:val="clear" w:color="auto" w:fill="auto"/>
            <w:vAlign w:val="center"/>
          </w:tcPr>
          <w:p w14:paraId="2A633678">
            <w:pPr>
              <w:pStyle w:val="45"/>
              <w:rPr>
                <w:rFonts w:hint="default"/>
              </w:rPr>
            </w:pPr>
          </w:p>
        </w:tc>
      </w:tr>
      <w:tr w14:paraId="1A1B7EA9">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6A090E9C">
            <w:pPr>
              <w:pStyle w:val="45"/>
              <w:rPr>
                <w:rFonts w:hint="default"/>
              </w:rPr>
            </w:pPr>
            <w:r>
              <w:rPr>
                <w:rFonts w:hint="default"/>
              </w:rPr>
              <w:t>12</w:t>
            </w:r>
          </w:p>
        </w:tc>
        <w:tc>
          <w:tcPr>
            <w:tcW w:w="1348" w:type="pct"/>
            <w:shd w:val="clear" w:color="auto" w:fill="auto"/>
            <w:vAlign w:val="center"/>
          </w:tcPr>
          <w:p w14:paraId="46EA1ADC">
            <w:pPr>
              <w:pStyle w:val="45"/>
              <w:rPr>
                <w:rFonts w:hint="default"/>
              </w:rPr>
            </w:pPr>
            <w:r>
              <w:t>盐水配合槽</w:t>
            </w:r>
          </w:p>
        </w:tc>
        <w:tc>
          <w:tcPr>
            <w:tcW w:w="1098" w:type="pct"/>
            <w:shd w:val="clear" w:color="auto" w:fill="auto"/>
            <w:vAlign w:val="center"/>
          </w:tcPr>
          <w:p w14:paraId="26A60D3B">
            <w:pPr>
              <w:pStyle w:val="45"/>
              <w:rPr>
                <w:rFonts w:hint="default"/>
              </w:rPr>
            </w:pPr>
            <w:r>
              <w:rPr>
                <w:rFonts w:hint="default"/>
              </w:rPr>
              <w:t>DN4800X4000</w:t>
            </w:r>
          </w:p>
        </w:tc>
        <w:tc>
          <w:tcPr>
            <w:tcW w:w="917" w:type="pct"/>
            <w:shd w:val="clear" w:color="auto" w:fill="auto"/>
            <w:vAlign w:val="center"/>
          </w:tcPr>
          <w:p w14:paraId="53539D81">
            <w:pPr>
              <w:pStyle w:val="45"/>
              <w:rPr>
                <w:rFonts w:hint="default"/>
              </w:rPr>
            </w:pPr>
            <w:r>
              <w:t>解性玻璃钢</w:t>
            </w:r>
          </w:p>
        </w:tc>
        <w:tc>
          <w:tcPr>
            <w:tcW w:w="583" w:type="pct"/>
            <w:shd w:val="clear" w:color="auto" w:fill="auto"/>
            <w:vAlign w:val="center"/>
          </w:tcPr>
          <w:p w14:paraId="25E4C0FB">
            <w:pPr>
              <w:pStyle w:val="45"/>
              <w:rPr>
                <w:rFonts w:hint="default"/>
              </w:rPr>
            </w:pPr>
            <w:r>
              <w:rPr>
                <w:rFonts w:hint="default"/>
              </w:rPr>
              <w:t>1</w:t>
            </w:r>
          </w:p>
        </w:tc>
        <w:tc>
          <w:tcPr>
            <w:tcW w:w="602" w:type="pct"/>
            <w:shd w:val="clear" w:color="auto" w:fill="auto"/>
            <w:vAlign w:val="center"/>
          </w:tcPr>
          <w:p w14:paraId="73DADA85">
            <w:pPr>
              <w:pStyle w:val="45"/>
              <w:rPr>
                <w:rFonts w:hint="default"/>
              </w:rPr>
            </w:pPr>
          </w:p>
        </w:tc>
      </w:tr>
      <w:tr w14:paraId="43EA25AE">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77BAF9BE">
            <w:pPr>
              <w:pStyle w:val="45"/>
              <w:rPr>
                <w:rFonts w:hint="default"/>
              </w:rPr>
            </w:pPr>
            <w:r>
              <w:rPr>
                <w:rFonts w:hint="default"/>
              </w:rPr>
              <w:t>13</w:t>
            </w:r>
          </w:p>
        </w:tc>
        <w:tc>
          <w:tcPr>
            <w:tcW w:w="1348" w:type="pct"/>
            <w:shd w:val="clear" w:color="auto" w:fill="auto"/>
            <w:vAlign w:val="center"/>
          </w:tcPr>
          <w:p w14:paraId="1AD4EE79">
            <w:pPr>
              <w:pStyle w:val="45"/>
              <w:rPr>
                <w:rFonts w:hint="default"/>
              </w:rPr>
            </w:pPr>
            <w:r>
              <w:t>配合盐水储槽</w:t>
            </w:r>
          </w:p>
        </w:tc>
        <w:tc>
          <w:tcPr>
            <w:tcW w:w="1098" w:type="pct"/>
            <w:shd w:val="clear" w:color="auto" w:fill="auto"/>
            <w:vAlign w:val="center"/>
          </w:tcPr>
          <w:p w14:paraId="092C47D4">
            <w:pPr>
              <w:pStyle w:val="45"/>
              <w:rPr>
                <w:rFonts w:hint="default"/>
              </w:rPr>
            </w:pPr>
            <w:r>
              <w:rPr>
                <w:rFonts w:hint="default"/>
              </w:rPr>
              <w:t>DN4800X6000</w:t>
            </w:r>
          </w:p>
        </w:tc>
        <w:tc>
          <w:tcPr>
            <w:tcW w:w="917" w:type="pct"/>
            <w:shd w:val="clear" w:color="auto" w:fill="auto"/>
            <w:vAlign w:val="center"/>
          </w:tcPr>
          <w:p w14:paraId="7FBC915E">
            <w:pPr>
              <w:pStyle w:val="45"/>
              <w:rPr>
                <w:rFonts w:hint="default"/>
              </w:rPr>
            </w:pPr>
            <w:r>
              <w:t>解性玻璃钢</w:t>
            </w:r>
          </w:p>
        </w:tc>
        <w:tc>
          <w:tcPr>
            <w:tcW w:w="583" w:type="pct"/>
            <w:shd w:val="clear" w:color="auto" w:fill="auto"/>
            <w:vAlign w:val="center"/>
          </w:tcPr>
          <w:p w14:paraId="5E1FA080">
            <w:pPr>
              <w:pStyle w:val="45"/>
              <w:rPr>
                <w:rFonts w:hint="default"/>
              </w:rPr>
            </w:pPr>
            <w:r>
              <w:rPr>
                <w:rFonts w:hint="default"/>
              </w:rPr>
              <w:t>4</w:t>
            </w:r>
          </w:p>
        </w:tc>
        <w:tc>
          <w:tcPr>
            <w:tcW w:w="602" w:type="pct"/>
            <w:shd w:val="clear" w:color="auto" w:fill="auto"/>
            <w:vAlign w:val="center"/>
          </w:tcPr>
          <w:p w14:paraId="6EEA9BE6">
            <w:pPr>
              <w:pStyle w:val="45"/>
              <w:rPr>
                <w:rFonts w:hint="default"/>
              </w:rPr>
            </w:pPr>
          </w:p>
        </w:tc>
      </w:tr>
      <w:tr w14:paraId="51F3331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347DFA8C">
            <w:pPr>
              <w:pStyle w:val="45"/>
              <w:rPr>
                <w:rFonts w:hint="default"/>
              </w:rPr>
            </w:pPr>
            <w:r>
              <w:rPr>
                <w:rFonts w:hint="default"/>
              </w:rPr>
              <w:t>14</w:t>
            </w:r>
          </w:p>
        </w:tc>
        <w:tc>
          <w:tcPr>
            <w:tcW w:w="1348" w:type="pct"/>
            <w:shd w:val="clear" w:color="auto" w:fill="auto"/>
            <w:vAlign w:val="center"/>
          </w:tcPr>
          <w:p w14:paraId="16D0B471">
            <w:pPr>
              <w:pStyle w:val="45"/>
              <w:rPr>
                <w:rFonts w:hint="default"/>
              </w:rPr>
            </w:pPr>
            <w:r>
              <w:t>盐水泵</w:t>
            </w:r>
          </w:p>
        </w:tc>
        <w:tc>
          <w:tcPr>
            <w:tcW w:w="1098" w:type="pct"/>
            <w:shd w:val="clear" w:color="auto" w:fill="auto"/>
            <w:vAlign w:val="center"/>
          </w:tcPr>
          <w:p w14:paraId="1E3CC879">
            <w:pPr>
              <w:pStyle w:val="45"/>
              <w:rPr>
                <w:rFonts w:hint="default"/>
              </w:rPr>
            </w:pPr>
            <w:r>
              <w:rPr>
                <w:rFonts w:hint="default"/>
              </w:rPr>
              <w:t>IH100-80-125</w:t>
            </w:r>
          </w:p>
        </w:tc>
        <w:tc>
          <w:tcPr>
            <w:tcW w:w="917" w:type="pct"/>
            <w:shd w:val="clear" w:color="auto" w:fill="auto"/>
            <w:vAlign w:val="center"/>
          </w:tcPr>
          <w:p w14:paraId="0B31F114">
            <w:pPr>
              <w:pStyle w:val="45"/>
              <w:rPr>
                <w:rFonts w:hint="default"/>
              </w:rPr>
            </w:pPr>
            <w:r>
              <w:t>组合</w:t>
            </w:r>
          </w:p>
        </w:tc>
        <w:tc>
          <w:tcPr>
            <w:tcW w:w="583" w:type="pct"/>
            <w:shd w:val="clear" w:color="auto" w:fill="auto"/>
            <w:vAlign w:val="center"/>
          </w:tcPr>
          <w:p w14:paraId="46F6D3BA">
            <w:pPr>
              <w:pStyle w:val="45"/>
              <w:rPr>
                <w:rFonts w:hint="default"/>
              </w:rPr>
            </w:pPr>
            <w:r>
              <w:rPr>
                <w:rFonts w:hint="default"/>
              </w:rPr>
              <w:t>6</w:t>
            </w:r>
          </w:p>
        </w:tc>
        <w:tc>
          <w:tcPr>
            <w:tcW w:w="602" w:type="pct"/>
            <w:shd w:val="clear" w:color="auto" w:fill="auto"/>
            <w:vAlign w:val="center"/>
          </w:tcPr>
          <w:p w14:paraId="1AFE9A6A">
            <w:pPr>
              <w:pStyle w:val="45"/>
              <w:rPr>
                <w:rFonts w:hint="default"/>
              </w:rPr>
            </w:pPr>
          </w:p>
        </w:tc>
      </w:tr>
      <w:tr w14:paraId="411E9D9E">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6E961BFF">
            <w:pPr>
              <w:pStyle w:val="45"/>
              <w:rPr>
                <w:rFonts w:hint="default"/>
              </w:rPr>
            </w:pPr>
            <w:r>
              <w:rPr>
                <w:rFonts w:hint="default"/>
              </w:rPr>
              <w:t>15</w:t>
            </w:r>
          </w:p>
        </w:tc>
        <w:tc>
          <w:tcPr>
            <w:tcW w:w="1348" w:type="pct"/>
            <w:shd w:val="clear" w:color="auto" w:fill="auto"/>
            <w:vAlign w:val="center"/>
          </w:tcPr>
          <w:p w14:paraId="25E89488">
            <w:pPr>
              <w:pStyle w:val="45"/>
              <w:rPr>
                <w:rFonts w:hint="default"/>
              </w:rPr>
            </w:pPr>
            <w:r>
              <w:t>盐水高位槽</w:t>
            </w:r>
          </w:p>
        </w:tc>
        <w:tc>
          <w:tcPr>
            <w:tcW w:w="1098" w:type="pct"/>
            <w:shd w:val="clear" w:color="auto" w:fill="auto"/>
            <w:vAlign w:val="center"/>
          </w:tcPr>
          <w:p w14:paraId="1EF71850">
            <w:pPr>
              <w:pStyle w:val="45"/>
              <w:rPr>
                <w:rFonts w:hint="default"/>
              </w:rPr>
            </w:pPr>
            <w:r>
              <w:rPr>
                <w:rFonts w:hint="default"/>
              </w:rPr>
              <w:t>DN2600X6000</w:t>
            </w:r>
          </w:p>
        </w:tc>
        <w:tc>
          <w:tcPr>
            <w:tcW w:w="917" w:type="pct"/>
            <w:shd w:val="clear" w:color="auto" w:fill="auto"/>
            <w:vAlign w:val="center"/>
          </w:tcPr>
          <w:p w14:paraId="35BE3D7A">
            <w:pPr>
              <w:pStyle w:val="45"/>
              <w:rPr>
                <w:rFonts w:hint="default"/>
              </w:rPr>
            </w:pPr>
            <w:r>
              <w:t>解性玻璃钢</w:t>
            </w:r>
          </w:p>
        </w:tc>
        <w:tc>
          <w:tcPr>
            <w:tcW w:w="583" w:type="pct"/>
            <w:shd w:val="clear" w:color="auto" w:fill="auto"/>
            <w:vAlign w:val="center"/>
          </w:tcPr>
          <w:p w14:paraId="33CD6DCD">
            <w:pPr>
              <w:pStyle w:val="45"/>
              <w:rPr>
                <w:rFonts w:hint="default"/>
              </w:rPr>
            </w:pPr>
            <w:r>
              <w:rPr>
                <w:rFonts w:hint="default"/>
              </w:rPr>
              <w:t>1</w:t>
            </w:r>
          </w:p>
        </w:tc>
        <w:tc>
          <w:tcPr>
            <w:tcW w:w="602" w:type="pct"/>
            <w:shd w:val="clear" w:color="auto" w:fill="auto"/>
            <w:vAlign w:val="center"/>
          </w:tcPr>
          <w:p w14:paraId="6AD60093">
            <w:pPr>
              <w:pStyle w:val="45"/>
              <w:rPr>
                <w:rFonts w:hint="default"/>
              </w:rPr>
            </w:pPr>
          </w:p>
        </w:tc>
      </w:tr>
      <w:tr w14:paraId="4F3EED97">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462" w:hRule="atLeast"/>
        </w:trPr>
        <w:tc>
          <w:tcPr>
            <w:tcW w:w="450" w:type="pct"/>
            <w:shd w:val="clear" w:color="auto" w:fill="auto"/>
            <w:noWrap/>
            <w:vAlign w:val="center"/>
          </w:tcPr>
          <w:p w14:paraId="5FEEE027">
            <w:pPr>
              <w:pStyle w:val="45"/>
              <w:rPr>
                <w:rFonts w:hint="default"/>
              </w:rPr>
            </w:pPr>
            <w:r>
              <w:rPr>
                <w:rFonts w:hint="default"/>
              </w:rPr>
              <w:t>16</w:t>
            </w:r>
          </w:p>
        </w:tc>
        <w:tc>
          <w:tcPr>
            <w:tcW w:w="1348" w:type="pct"/>
            <w:shd w:val="clear" w:color="auto" w:fill="auto"/>
            <w:vAlign w:val="center"/>
          </w:tcPr>
          <w:p w14:paraId="76C74F5B">
            <w:pPr>
              <w:pStyle w:val="45"/>
              <w:rPr>
                <w:rFonts w:hint="default"/>
              </w:rPr>
            </w:pPr>
            <w:r>
              <w:t>氯化钠电解槽</w:t>
            </w:r>
          </w:p>
        </w:tc>
        <w:tc>
          <w:tcPr>
            <w:tcW w:w="1098" w:type="pct"/>
            <w:shd w:val="clear" w:color="auto" w:fill="auto"/>
            <w:vAlign w:val="center"/>
          </w:tcPr>
          <w:p w14:paraId="76564B61">
            <w:pPr>
              <w:pStyle w:val="45"/>
              <w:rPr>
                <w:rFonts w:hint="default"/>
              </w:rPr>
            </w:pPr>
            <w:r>
              <w:rPr>
                <w:rFonts w:hint="default"/>
              </w:rPr>
              <w:t>FW-30</w:t>
            </w:r>
          </w:p>
        </w:tc>
        <w:tc>
          <w:tcPr>
            <w:tcW w:w="917" w:type="pct"/>
            <w:shd w:val="clear" w:color="auto" w:fill="auto"/>
            <w:vAlign w:val="center"/>
          </w:tcPr>
          <w:p w14:paraId="248F12AA">
            <w:pPr>
              <w:pStyle w:val="45"/>
              <w:rPr>
                <w:rFonts w:hint="default"/>
              </w:rPr>
            </w:pPr>
            <w:r>
              <w:rPr>
                <w:rFonts w:hint="default"/>
              </w:rPr>
              <w:t>Ti2</w:t>
            </w:r>
          </w:p>
        </w:tc>
        <w:tc>
          <w:tcPr>
            <w:tcW w:w="583" w:type="pct"/>
            <w:shd w:val="clear" w:color="auto" w:fill="auto"/>
            <w:vAlign w:val="center"/>
          </w:tcPr>
          <w:p w14:paraId="00B70945">
            <w:pPr>
              <w:pStyle w:val="45"/>
              <w:rPr>
                <w:rFonts w:hint="default"/>
              </w:rPr>
            </w:pPr>
            <w:r>
              <w:rPr>
                <w:rFonts w:hint="default"/>
              </w:rPr>
              <w:t>56</w:t>
            </w:r>
          </w:p>
        </w:tc>
        <w:tc>
          <w:tcPr>
            <w:tcW w:w="602" w:type="pct"/>
            <w:shd w:val="clear" w:color="auto" w:fill="auto"/>
            <w:vAlign w:val="center"/>
          </w:tcPr>
          <w:p w14:paraId="090140A5">
            <w:pPr>
              <w:pStyle w:val="45"/>
              <w:rPr>
                <w:rFonts w:hint="default"/>
              </w:rPr>
            </w:pPr>
            <w:r>
              <w:rPr>
                <w:rFonts w:hint="default"/>
              </w:rPr>
              <w:t>生产氯酸钠</w:t>
            </w:r>
          </w:p>
        </w:tc>
      </w:tr>
      <w:tr w14:paraId="7158866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730F7F67">
            <w:pPr>
              <w:pStyle w:val="45"/>
              <w:rPr>
                <w:rFonts w:hint="default"/>
              </w:rPr>
            </w:pPr>
            <w:r>
              <w:rPr>
                <w:rFonts w:hint="default"/>
              </w:rPr>
              <w:t>17</w:t>
            </w:r>
          </w:p>
        </w:tc>
        <w:tc>
          <w:tcPr>
            <w:tcW w:w="1348" w:type="pct"/>
            <w:shd w:val="clear" w:color="auto" w:fill="auto"/>
            <w:vAlign w:val="center"/>
          </w:tcPr>
          <w:p w14:paraId="04B4AC58">
            <w:pPr>
              <w:pStyle w:val="45"/>
              <w:rPr>
                <w:rFonts w:hint="default"/>
              </w:rPr>
            </w:pPr>
            <w:r>
              <w:t>稀酸槽</w:t>
            </w:r>
          </w:p>
        </w:tc>
        <w:tc>
          <w:tcPr>
            <w:tcW w:w="1098" w:type="pct"/>
            <w:shd w:val="clear" w:color="auto" w:fill="auto"/>
            <w:vAlign w:val="center"/>
          </w:tcPr>
          <w:p w14:paraId="3585E83C">
            <w:pPr>
              <w:pStyle w:val="45"/>
              <w:rPr>
                <w:rFonts w:hint="default"/>
              </w:rPr>
            </w:pPr>
            <w:r>
              <w:rPr>
                <w:rFonts w:hint="default"/>
              </w:rPr>
              <w:t>DN3500X3000</w:t>
            </w:r>
          </w:p>
        </w:tc>
        <w:tc>
          <w:tcPr>
            <w:tcW w:w="917" w:type="pct"/>
            <w:shd w:val="clear" w:color="auto" w:fill="auto"/>
            <w:vAlign w:val="center"/>
          </w:tcPr>
          <w:p w14:paraId="130F7633">
            <w:pPr>
              <w:pStyle w:val="45"/>
              <w:rPr>
                <w:rFonts w:hint="default"/>
              </w:rPr>
            </w:pPr>
            <w:r>
              <w:t>解性玻璃钢</w:t>
            </w:r>
          </w:p>
        </w:tc>
        <w:tc>
          <w:tcPr>
            <w:tcW w:w="583" w:type="pct"/>
            <w:shd w:val="clear" w:color="auto" w:fill="auto"/>
            <w:vAlign w:val="center"/>
          </w:tcPr>
          <w:p w14:paraId="3159B215">
            <w:pPr>
              <w:pStyle w:val="45"/>
              <w:rPr>
                <w:rFonts w:hint="default"/>
              </w:rPr>
            </w:pPr>
            <w:r>
              <w:rPr>
                <w:rFonts w:hint="default"/>
              </w:rPr>
              <w:t>1</w:t>
            </w:r>
          </w:p>
        </w:tc>
        <w:tc>
          <w:tcPr>
            <w:tcW w:w="602" w:type="pct"/>
            <w:shd w:val="clear" w:color="auto" w:fill="auto"/>
            <w:vAlign w:val="center"/>
          </w:tcPr>
          <w:p w14:paraId="3C75EC92">
            <w:pPr>
              <w:pStyle w:val="45"/>
              <w:rPr>
                <w:rFonts w:hint="default"/>
              </w:rPr>
            </w:pPr>
          </w:p>
        </w:tc>
      </w:tr>
      <w:tr w14:paraId="0ADE4D00">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3A2739D9">
            <w:pPr>
              <w:pStyle w:val="45"/>
              <w:rPr>
                <w:rFonts w:hint="default"/>
              </w:rPr>
            </w:pPr>
            <w:r>
              <w:rPr>
                <w:rFonts w:hint="default"/>
              </w:rPr>
              <w:t>18</w:t>
            </w:r>
          </w:p>
        </w:tc>
        <w:tc>
          <w:tcPr>
            <w:tcW w:w="1348" w:type="pct"/>
            <w:shd w:val="clear" w:color="auto" w:fill="auto"/>
            <w:vAlign w:val="center"/>
          </w:tcPr>
          <w:p w14:paraId="1891ECEB">
            <w:pPr>
              <w:pStyle w:val="45"/>
              <w:rPr>
                <w:rFonts w:hint="default"/>
              </w:rPr>
            </w:pPr>
            <w:r>
              <w:t>盐酸储槽</w:t>
            </w:r>
          </w:p>
        </w:tc>
        <w:tc>
          <w:tcPr>
            <w:tcW w:w="1098" w:type="pct"/>
            <w:shd w:val="clear" w:color="auto" w:fill="auto"/>
            <w:vAlign w:val="center"/>
          </w:tcPr>
          <w:p w14:paraId="5EE82EC8">
            <w:pPr>
              <w:pStyle w:val="45"/>
              <w:rPr>
                <w:rFonts w:hint="default"/>
              </w:rPr>
            </w:pPr>
            <w:r>
              <w:rPr>
                <w:rFonts w:hint="default"/>
              </w:rPr>
              <w:t>DN2600X6000</w:t>
            </w:r>
          </w:p>
        </w:tc>
        <w:tc>
          <w:tcPr>
            <w:tcW w:w="917" w:type="pct"/>
            <w:shd w:val="clear" w:color="auto" w:fill="auto"/>
            <w:vAlign w:val="center"/>
          </w:tcPr>
          <w:p w14:paraId="4458098B">
            <w:pPr>
              <w:pStyle w:val="45"/>
              <w:rPr>
                <w:rFonts w:hint="default"/>
              </w:rPr>
            </w:pPr>
            <w:r>
              <w:t>解性玻璃钢</w:t>
            </w:r>
          </w:p>
        </w:tc>
        <w:tc>
          <w:tcPr>
            <w:tcW w:w="583" w:type="pct"/>
            <w:shd w:val="clear" w:color="auto" w:fill="auto"/>
            <w:vAlign w:val="center"/>
          </w:tcPr>
          <w:p w14:paraId="6320D3A8">
            <w:pPr>
              <w:pStyle w:val="45"/>
              <w:rPr>
                <w:rFonts w:hint="default"/>
              </w:rPr>
            </w:pPr>
            <w:r>
              <w:rPr>
                <w:rFonts w:hint="default"/>
              </w:rPr>
              <w:t>4</w:t>
            </w:r>
          </w:p>
        </w:tc>
        <w:tc>
          <w:tcPr>
            <w:tcW w:w="602" w:type="pct"/>
            <w:shd w:val="clear" w:color="auto" w:fill="auto"/>
            <w:vAlign w:val="center"/>
          </w:tcPr>
          <w:p w14:paraId="5254B0A6">
            <w:pPr>
              <w:pStyle w:val="45"/>
              <w:rPr>
                <w:rFonts w:hint="default"/>
              </w:rPr>
            </w:pPr>
          </w:p>
        </w:tc>
      </w:tr>
      <w:tr w14:paraId="72A349A0">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19F673FF">
            <w:pPr>
              <w:pStyle w:val="45"/>
              <w:rPr>
                <w:rFonts w:hint="default"/>
              </w:rPr>
            </w:pPr>
            <w:r>
              <w:rPr>
                <w:rFonts w:hint="default"/>
              </w:rPr>
              <w:t>19</w:t>
            </w:r>
          </w:p>
        </w:tc>
        <w:tc>
          <w:tcPr>
            <w:tcW w:w="1348" w:type="pct"/>
            <w:shd w:val="clear" w:color="auto" w:fill="auto"/>
            <w:vAlign w:val="center"/>
          </w:tcPr>
          <w:p w14:paraId="5AB6BCEE">
            <w:pPr>
              <w:pStyle w:val="45"/>
              <w:rPr>
                <w:rFonts w:hint="default"/>
              </w:rPr>
            </w:pPr>
            <w:r>
              <w:t>盐酸泵</w:t>
            </w:r>
          </w:p>
        </w:tc>
        <w:tc>
          <w:tcPr>
            <w:tcW w:w="1098" w:type="pct"/>
            <w:shd w:val="clear" w:color="auto" w:fill="auto"/>
            <w:vAlign w:val="center"/>
          </w:tcPr>
          <w:p w14:paraId="1C72BBAD">
            <w:pPr>
              <w:pStyle w:val="45"/>
              <w:rPr>
                <w:rFonts w:hint="default"/>
              </w:rPr>
            </w:pPr>
            <w:r>
              <w:rPr>
                <w:rFonts w:hint="default"/>
              </w:rPr>
              <w:t>IHF65-50-160</w:t>
            </w:r>
          </w:p>
        </w:tc>
        <w:tc>
          <w:tcPr>
            <w:tcW w:w="917" w:type="pct"/>
            <w:shd w:val="clear" w:color="auto" w:fill="auto"/>
            <w:vAlign w:val="center"/>
          </w:tcPr>
          <w:p w14:paraId="0A1CA2CD">
            <w:pPr>
              <w:pStyle w:val="45"/>
              <w:rPr>
                <w:rFonts w:hint="default"/>
              </w:rPr>
            </w:pPr>
            <w:r>
              <w:t>组合</w:t>
            </w:r>
          </w:p>
        </w:tc>
        <w:tc>
          <w:tcPr>
            <w:tcW w:w="583" w:type="pct"/>
            <w:shd w:val="clear" w:color="auto" w:fill="auto"/>
            <w:vAlign w:val="center"/>
          </w:tcPr>
          <w:p w14:paraId="67F05BA7">
            <w:pPr>
              <w:pStyle w:val="45"/>
              <w:rPr>
                <w:rFonts w:hint="default"/>
              </w:rPr>
            </w:pPr>
            <w:r>
              <w:rPr>
                <w:rFonts w:hint="default"/>
              </w:rPr>
              <w:t>4</w:t>
            </w:r>
          </w:p>
        </w:tc>
        <w:tc>
          <w:tcPr>
            <w:tcW w:w="602" w:type="pct"/>
            <w:shd w:val="clear" w:color="auto" w:fill="auto"/>
            <w:vAlign w:val="center"/>
          </w:tcPr>
          <w:p w14:paraId="1D484B6B">
            <w:pPr>
              <w:pStyle w:val="45"/>
              <w:rPr>
                <w:rFonts w:hint="default"/>
              </w:rPr>
            </w:pPr>
          </w:p>
        </w:tc>
      </w:tr>
      <w:tr w14:paraId="1AC442E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60A02790">
            <w:pPr>
              <w:pStyle w:val="45"/>
              <w:rPr>
                <w:rFonts w:hint="default"/>
              </w:rPr>
            </w:pPr>
            <w:r>
              <w:rPr>
                <w:rFonts w:hint="default"/>
              </w:rPr>
              <w:t>20</w:t>
            </w:r>
          </w:p>
        </w:tc>
        <w:tc>
          <w:tcPr>
            <w:tcW w:w="1348" w:type="pct"/>
            <w:shd w:val="clear" w:color="auto" w:fill="auto"/>
            <w:vAlign w:val="center"/>
          </w:tcPr>
          <w:p w14:paraId="77ED929C">
            <w:pPr>
              <w:pStyle w:val="45"/>
              <w:rPr>
                <w:rFonts w:hint="default"/>
              </w:rPr>
            </w:pPr>
            <w:r>
              <w:t>稀盐酸高位槽</w:t>
            </w:r>
          </w:p>
        </w:tc>
        <w:tc>
          <w:tcPr>
            <w:tcW w:w="1098" w:type="pct"/>
            <w:shd w:val="clear" w:color="auto" w:fill="auto"/>
            <w:vAlign w:val="center"/>
          </w:tcPr>
          <w:p w14:paraId="2076F29A">
            <w:pPr>
              <w:pStyle w:val="45"/>
              <w:rPr>
                <w:rFonts w:hint="default"/>
              </w:rPr>
            </w:pPr>
            <w:r>
              <w:rPr>
                <w:rFonts w:hint="default"/>
              </w:rPr>
              <w:t>DN2600X6000</w:t>
            </w:r>
          </w:p>
        </w:tc>
        <w:tc>
          <w:tcPr>
            <w:tcW w:w="917" w:type="pct"/>
            <w:shd w:val="clear" w:color="auto" w:fill="auto"/>
            <w:vAlign w:val="center"/>
          </w:tcPr>
          <w:p w14:paraId="38DB5B25">
            <w:pPr>
              <w:pStyle w:val="45"/>
              <w:rPr>
                <w:rFonts w:hint="default"/>
              </w:rPr>
            </w:pPr>
            <w:r>
              <w:t>解性玻璃钢</w:t>
            </w:r>
          </w:p>
        </w:tc>
        <w:tc>
          <w:tcPr>
            <w:tcW w:w="583" w:type="pct"/>
            <w:shd w:val="clear" w:color="auto" w:fill="auto"/>
            <w:vAlign w:val="center"/>
          </w:tcPr>
          <w:p w14:paraId="6FBA60C4">
            <w:pPr>
              <w:pStyle w:val="45"/>
              <w:rPr>
                <w:rFonts w:hint="default"/>
              </w:rPr>
            </w:pPr>
            <w:r>
              <w:rPr>
                <w:rFonts w:hint="default"/>
              </w:rPr>
              <w:t>1</w:t>
            </w:r>
          </w:p>
        </w:tc>
        <w:tc>
          <w:tcPr>
            <w:tcW w:w="602" w:type="pct"/>
            <w:shd w:val="clear" w:color="auto" w:fill="auto"/>
            <w:vAlign w:val="center"/>
          </w:tcPr>
          <w:p w14:paraId="3090F134">
            <w:pPr>
              <w:pStyle w:val="45"/>
              <w:rPr>
                <w:rFonts w:hint="default"/>
              </w:rPr>
            </w:pPr>
          </w:p>
        </w:tc>
      </w:tr>
      <w:tr w14:paraId="05484967">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3073D26A">
            <w:pPr>
              <w:pStyle w:val="45"/>
              <w:rPr>
                <w:rFonts w:hint="default"/>
              </w:rPr>
            </w:pPr>
            <w:r>
              <w:rPr>
                <w:rFonts w:hint="default"/>
              </w:rPr>
              <w:t>21</w:t>
            </w:r>
          </w:p>
        </w:tc>
        <w:tc>
          <w:tcPr>
            <w:tcW w:w="1348" w:type="pct"/>
            <w:shd w:val="clear" w:color="auto" w:fill="auto"/>
            <w:vAlign w:val="center"/>
          </w:tcPr>
          <w:p w14:paraId="26981F6E">
            <w:pPr>
              <w:pStyle w:val="45"/>
              <w:rPr>
                <w:rFonts w:hint="default"/>
              </w:rPr>
            </w:pPr>
            <w:r>
              <w:t>反应器</w:t>
            </w:r>
          </w:p>
        </w:tc>
        <w:tc>
          <w:tcPr>
            <w:tcW w:w="1098" w:type="pct"/>
            <w:shd w:val="clear" w:color="auto" w:fill="auto"/>
            <w:vAlign w:val="center"/>
          </w:tcPr>
          <w:p w14:paraId="6D607EB3">
            <w:pPr>
              <w:pStyle w:val="45"/>
              <w:rPr>
                <w:rFonts w:hint="default"/>
              </w:rPr>
            </w:pPr>
            <w:r>
              <w:rPr>
                <w:rFonts w:hint="default"/>
              </w:rPr>
              <w:t>DN4500X5100</w:t>
            </w:r>
          </w:p>
        </w:tc>
        <w:tc>
          <w:tcPr>
            <w:tcW w:w="917" w:type="pct"/>
            <w:shd w:val="clear" w:color="auto" w:fill="auto"/>
            <w:vAlign w:val="center"/>
          </w:tcPr>
          <w:p w14:paraId="4FA7A11E">
            <w:pPr>
              <w:pStyle w:val="45"/>
              <w:rPr>
                <w:rFonts w:hint="default"/>
              </w:rPr>
            </w:pPr>
            <w:r>
              <w:rPr>
                <w:rFonts w:hint="default"/>
              </w:rPr>
              <w:t>Ti2</w:t>
            </w:r>
          </w:p>
        </w:tc>
        <w:tc>
          <w:tcPr>
            <w:tcW w:w="583" w:type="pct"/>
            <w:shd w:val="clear" w:color="auto" w:fill="auto"/>
            <w:vAlign w:val="center"/>
          </w:tcPr>
          <w:p w14:paraId="0B61A84D">
            <w:pPr>
              <w:pStyle w:val="45"/>
              <w:rPr>
                <w:rFonts w:hint="default"/>
              </w:rPr>
            </w:pPr>
            <w:r>
              <w:rPr>
                <w:rFonts w:hint="default"/>
              </w:rPr>
              <w:t>1</w:t>
            </w:r>
          </w:p>
        </w:tc>
        <w:tc>
          <w:tcPr>
            <w:tcW w:w="602" w:type="pct"/>
            <w:shd w:val="clear" w:color="auto" w:fill="auto"/>
            <w:vAlign w:val="center"/>
          </w:tcPr>
          <w:p w14:paraId="01C05BC1">
            <w:pPr>
              <w:pStyle w:val="45"/>
              <w:rPr>
                <w:rFonts w:hint="default"/>
              </w:rPr>
            </w:pPr>
          </w:p>
        </w:tc>
      </w:tr>
      <w:tr w14:paraId="40764BFC">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431B251B">
            <w:pPr>
              <w:pStyle w:val="45"/>
              <w:rPr>
                <w:rFonts w:hint="default"/>
              </w:rPr>
            </w:pPr>
            <w:r>
              <w:rPr>
                <w:rFonts w:hint="default"/>
              </w:rPr>
              <w:t>22</w:t>
            </w:r>
          </w:p>
        </w:tc>
        <w:tc>
          <w:tcPr>
            <w:tcW w:w="1348" w:type="pct"/>
            <w:shd w:val="clear" w:color="auto" w:fill="auto"/>
            <w:vAlign w:val="center"/>
          </w:tcPr>
          <w:p w14:paraId="39E91C36">
            <w:pPr>
              <w:pStyle w:val="45"/>
              <w:rPr>
                <w:rFonts w:hint="default"/>
              </w:rPr>
            </w:pPr>
            <w:r>
              <w:t>液碱储槽</w:t>
            </w:r>
          </w:p>
        </w:tc>
        <w:tc>
          <w:tcPr>
            <w:tcW w:w="1098" w:type="pct"/>
            <w:shd w:val="clear" w:color="auto" w:fill="auto"/>
            <w:vAlign w:val="center"/>
          </w:tcPr>
          <w:p w14:paraId="1719BD5C">
            <w:pPr>
              <w:pStyle w:val="45"/>
              <w:rPr>
                <w:rFonts w:hint="default"/>
              </w:rPr>
            </w:pPr>
            <w:r>
              <w:rPr>
                <w:rFonts w:hint="default"/>
              </w:rPr>
              <w:t>DN2600X6000</w:t>
            </w:r>
          </w:p>
        </w:tc>
        <w:tc>
          <w:tcPr>
            <w:tcW w:w="917" w:type="pct"/>
            <w:shd w:val="clear" w:color="auto" w:fill="auto"/>
            <w:vAlign w:val="center"/>
          </w:tcPr>
          <w:p w14:paraId="7ECC76A2">
            <w:pPr>
              <w:pStyle w:val="45"/>
              <w:rPr>
                <w:rFonts w:hint="default"/>
              </w:rPr>
            </w:pPr>
            <w:r>
              <w:t>解性玻璃钢</w:t>
            </w:r>
          </w:p>
        </w:tc>
        <w:tc>
          <w:tcPr>
            <w:tcW w:w="583" w:type="pct"/>
            <w:shd w:val="clear" w:color="auto" w:fill="auto"/>
            <w:vAlign w:val="center"/>
          </w:tcPr>
          <w:p w14:paraId="6B4990DA">
            <w:pPr>
              <w:pStyle w:val="45"/>
              <w:rPr>
                <w:rFonts w:hint="default"/>
              </w:rPr>
            </w:pPr>
            <w:r>
              <w:rPr>
                <w:rFonts w:hint="default"/>
              </w:rPr>
              <w:t>4</w:t>
            </w:r>
          </w:p>
        </w:tc>
        <w:tc>
          <w:tcPr>
            <w:tcW w:w="602" w:type="pct"/>
            <w:shd w:val="clear" w:color="auto" w:fill="auto"/>
            <w:vAlign w:val="center"/>
          </w:tcPr>
          <w:p w14:paraId="05EF3717">
            <w:pPr>
              <w:pStyle w:val="45"/>
              <w:rPr>
                <w:rFonts w:hint="default"/>
              </w:rPr>
            </w:pPr>
          </w:p>
        </w:tc>
      </w:tr>
      <w:tr w14:paraId="5E9C7ADA">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6ED87209">
            <w:pPr>
              <w:pStyle w:val="45"/>
              <w:rPr>
                <w:rFonts w:hint="default"/>
              </w:rPr>
            </w:pPr>
            <w:r>
              <w:rPr>
                <w:rFonts w:hint="default"/>
              </w:rPr>
              <w:t>23</w:t>
            </w:r>
          </w:p>
        </w:tc>
        <w:tc>
          <w:tcPr>
            <w:tcW w:w="1348" w:type="pct"/>
            <w:shd w:val="clear" w:color="auto" w:fill="auto"/>
            <w:vAlign w:val="center"/>
          </w:tcPr>
          <w:p w14:paraId="32B070A3">
            <w:pPr>
              <w:pStyle w:val="45"/>
              <w:rPr>
                <w:rFonts w:hint="default"/>
              </w:rPr>
            </w:pPr>
            <w:r>
              <w:t>碱泵</w:t>
            </w:r>
          </w:p>
        </w:tc>
        <w:tc>
          <w:tcPr>
            <w:tcW w:w="1098" w:type="pct"/>
            <w:shd w:val="clear" w:color="auto" w:fill="auto"/>
            <w:vAlign w:val="center"/>
          </w:tcPr>
          <w:p w14:paraId="6ECF87E6">
            <w:pPr>
              <w:pStyle w:val="45"/>
              <w:rPr>
                <w:rFonts w:hint="default"/>
              </w:rPr>
            </w:pPr>
            <w:r>
              <w:rPr>
                <w:rFonts w:hint="default"/>
              </w:rPr>
              <w:t>IHF65-50-160</w:t>
            </w:r>
          </w:p>
        </w:tc>
        <w:tc>
          <w:tcPr>
            <w:tcW w:w="917" w:type="pct"/>
            <w:shd w:val="clear" w:color="auto" w:fill="auto"/>
            <w:vAlign w:val="center"/>
          </w:tcPr>
          <w:p w14:paraId="657F21AC">
            <w:pPr>
              <w:pStyle w:val="45"/>
              <w:rPr>
                <w:rFonts w:hint="default"/>
              </w:rPr>
            </w:pPr>
            <w:r>
              <w:t>组合</w:t>
            </w:r>
          </w:p>
        </w:tc>
        <w:tc>
          <w:tcPr>
            <w:tcW w:w="583" w:type="pct"/>
            <w:shd w:val="clear" w:color="auto" w:fill="auto"/>
            <w:vAlign w:val="center"/>
          </w:tcPr>
          <w:p w14:paraId="448BCA8F">
            <w:pPr>
              <w:pStyle w:val="45"/>
              <w:rPr>
                <w:rFonts w:hint="default"/>
              </w:rPr>
            </w:pPr>
            <w:r>
              <w:rPr>
                <w:rFonts w:hint="default"/>
              </w:rPr>
              <w:t>2</w:t>
            </w:r>
          </w:p>
        </w:tc>
        <w:tc>
          <w:tcPr>
            <w:tcW w:w="602" w:type="pct"/>
            <w:shd w:val="clear" w:color="auto" w:fill="auto"/>
            <w:vAlign w:val="center"/>
          </w:tcPr>
          <w:p w14:paraId="411081CB">
            <w:pPr>
              <w:pStyle w:val="45"/>
              <w:rPr>
                <w:rFonts w:hint="default"/>
              </w:rPr>
            </w:pPr>
          </w:p>
        </w:tc>
      </w:tr>
      <w:tr w14:paraId="0507FC55">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28F634C5">
            <w:pPr>
              <w:pStyle w:val="45"/>
              <w:rPr>
                <w:rFonts w:hint="default"/>
              </w:rPr>
            </w:pPr>
            <w:r>
              <w:rPr>
                <w:rFonts w:hint="default"/>
              </w:rPr>
              <w:t>24</w:t>
            </w:r>
          </w:p>
        </w:tc>
        <w:tc>
          <w:tcPr>
            <w:tcW w:w="1348" w:type="pct"/>
            <w:shd w:val="clear" w:color="auto" w:fill="auto"/>
            <w:vAlign w:val="center"/>
          </w:tcPr>
          <w:p w14:paraId="19DFBB5D">
            <w:pPr>
              <w:pStyle w:val="45"/>
              <w:rPr>
                <w:rFonts w:hint="default"/>
              </w:rPr>
            </w:pPr>
            <w:r>
              <w:t>液碱高位槽</w:t>
            </w:r>
          </w:p>
        </w:tc>
        <w:tc>
          <w:tcPr>
            <w:tcW w:w="1098" w:type="pct"/>
            <w:shd w:val="clear" w:color="auto" w:fill="auto"/>
            <w:vAlign w:val="center"/>
          </w:tcPr>
          <w:p w14:paraId="7320BAA9">
            <w:pPr>
              <w:pStyle w:val="45"/>
              <w:rPr>
                <w:rFonts w:hint="default"/>
              </w:rPr>
            </w:pPr>
            <w:r>
              <w:rPr>
                <w:rFonts w:hint="default"/>
              </w:rPr>
              <w:t>DN2600X6000</w:t>
            </w:r>
          </w:p>
        </w:tc>
        <w:tc>
          <w:tcPr>
            <w:tcW w:w="917" w:type="pct"/>
            <w:shd w:val="clear" w:color="auto" w:fill="auto"/>
            <w:vAlign w:val="center"/>
          </w:tcPr>
          <w:p w14:paraId="344DC076">
            <w:pPr>
              <w:pStyle w:val="45"/>
              <w:rPr>
                <w:rFonts w:hint="default"/>
              </w:rPr>
            </w:pPr>
            <w:r>
              <w:t>解性玻璃钢</w:t>
            </w:r>
          </w:p>
        </w:tc>
        <w:tc>
          <w:tcPr>
            <w:tcW w:w="583" w:type="pct"/>
            <w:shd w:val="clear" w:color="auto" w:fill="auto"/>
            <w:vAlign w:val="center"/>
          </w:tcPr>
          <w:p w14:paraId="306BD475">
            <w:pPr>
              <w:pStyle w:val="45"/>
              <w:rPr>
                <w:rFonts w:hint="default"/>
              </w:rPr>
            </w:pPr>
            <w:r>
              <w:rPr>
                <w:rFonts w:hint="default"/>
              </w:rPr>
              <w:t>1</w:t>
            </w:r>
          </w:p>
        </w:tc>
        <w:tc>
          <w:tcPr>
            <w:tcW w:w="602" w:type="pct"/>
            <w:shd w:val="clear" w:color="auto" w:fill="auto"/>
            <w:vAlign w:val="center"/>
          </w:tcPr>
          <w:p w14:paraId="6B5CC884">
            <w:pPr>
              <w:pStyle w:val="45"/>
              <w:rPr>
                <w:rFonts w:hint="default"/>
              </w:rPr>
            </w:pPr>
          </w:p>
        </w:tc>
      </w:tr>
      <w:tr w14:paraId="3E180228">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10F8A19F">
            <w:pPr>
              <w:pStyle w:val="45"/>
              <w:rPr>
                <w:rFonts w:hint="default"/>
              </w:rPr>
            </w:pPr>
            <w:r>
              <w:rPr>
                <w:rFonts w:hint="default"/>
              </w:rPr>
              <w:t>25</w:t>
            </w:r>
          </w:p>
        </w:tc>
        <w:tc>
          <w:tcPr>
            <w:tcW w:w="1348" w:type="pct"/>
            <w:shd w:val="clear" w:color="auto" w:fill="auto"/>
            <w:vAlign w:val="center"/>
          </w:tcPr>
          <w:p w14:paraId="02281991">
            <w:pPr>
              <w:pStyle w:val="45"/>
              <w:rPr>
                <w:rFonts w:hint="default"/>
              </w:rPr>
            </w:pPr>
            <w:r>
              <w:t>尾气处理塔</w:t>
            </w:r>
          </w:p>
        </w:tc>
        <w:tc>
          <w:tcPr>
            <w:tcW w:w="1098" w:type="pct"/>
            <w:shd w:val="clear" w:color="auto" w:fill="auto"/>
            <w:vAlign w:val="center"/>
          </w:tcPr>
          <w:p w14:paraId="51974D7A">
            <w:pPr>
              <w:pStyle w:val="45"/>
              <w:rPr>
                <w:rFonts w:hint="default"/>
              </w:rPr>
            </w:pPr>
            <w:r>
              <w:rPr>
                <w:rFonts w:hint="default"/>
              </w:rPr>
              <w:t>DN1000X4360</w:t>
            </w:r>
          </w:p>
        </w:tc>
        <w:tc>
          <w:tcPr>
            <w:tcW w:w="917" w:type="pct"/>
            <w:shd w:val="clear" w:color="auto" w:fill="auto"/>
            <w:vAlign w:val="center"/>
          </w:tcPr>
          <w:p w14:paraId="1FA71F34">
            <w:pPr>
              <w:pStyle w:val="45"/>
              <w:rPr>
                <w:rFonts w:hint="default"/>
              </w:rPr>
            </w:pPr>
            <w:r>
              <w:rPr>
                <w:rFonts w:hint="default"/>
              </w:rPr>
              <w:t>Ti2</w:t>
            </w:r>
          </w:p>
        </w:tc>
        <w:tc>
          <w:tcPr>
            <w:tcW w:w="583" w:type="pct"/>
            <w:shd w:val="clear" w:color="auto" w:fill="auto"/>
            <w:vAlign w:val="center"/>
          </w:tcPr>
          <w:p w14:paraId="489E40F4">
            <w:pPr>
              <w:pStyle w:val="45"/>
              <w:rPr>
                <w:rFonts w:hint="default"/>
              </w:rPr>
            </w:pPr>
            <w:r>
              <w:rPr>
                <w:rFonts w:hint="default"/>
              </w:rPr>
              <w:t>4</w:t>
            </w:r>
          </w:p>
        </w:tc>
        <w:tc>
          <w:tcPr>
            <w:tcW w:w="602" w:type="pct"/>
            <w:shd w:val="clear" w:color="auto" w:fill="auto"/>
            <w:vAlign w:val="center"/>
          </w:tcPr>
          <w:p w14:paraId="68F388E4">
            <w:pPr>
              <w:pStyle w:val="45"/>
              <w:rPr>
                <w:rFonts w:hint="default"/>
              </w:rPr>
            </w:pPr>
          </w:p>
        </w:tc>
      </w:tr>
      <w:tr w14:paraId="51BAEDA7">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48BCFE8C">
            <w:pPr>
              <w:pStyle w:val="45"/>
              <w:rPr>
                <w:rFonts w:hint="default"/>
              </w:rPr>
            </w:pPr>
            <w:r>
              <w:rPr>
                <w:rFonts w:hint="default"/>
              </w:rPr>
              <w:t>26</w:t>
            </w:r>
          </w:p>
        </w:tc>
        <w:tc>
          <w:tcPr>
            <w:tcW w:w="1348" w:type="pct"/>
            <w:shd w:val="clear" w:color="auto" w:fill="auto"/>
            <w:vAlign w:val="center"/>
          </w:tcPr>
          <w:p w14:paraId="4BB8E342">
            <w:pPr>
              <w:pStyle w:val="45"/>
              <w:rPr>
                <w:rFonts w:hint="default"/>
              </w:rPr>
            </w:pPr>
            <w:r>
              <w:t>碱液回收槽</w:t>
            </w:r>
          </w:p>
        </w:tc>
        <w:tc>
          <w:tcPr>
            <w:tcW w:w="1098" w:type="pct"/>
            <w:shd w:val="clear" w:color="auto" w:fill="auto"/>
            <w:vAlign w:val="center"/>
          </w:tcPr>
          <w:p w14:paraId="4CFB3E5A">
            <w:pPr>
              <w:pStyle w:val="45"/>
              <w:rPr>
                <w:rFonts w:hint="default"/>
              </w:rPr>
            </w:pPr>
            <w:r>
              <w:rPr>
                <w:rFonts w:hint="default"/>
              </w:rPr>
              <w:t>DN2600X6000</w:t>
            </w:r>
          </w:p>
        </w:tc>
        <w:tc>
          <w:tcPr>
            <w:tcW w:w="917" w:type="pct"/>
            <w:shd w:val="clear" w:color="auto" w:fill="auto"/>
            <w:vAlign w:val="center"/>
          </w:tcPr>
          <w:p w14:paraId="020EA7A2">
            <w:pPr>
              <w:pStyle w:val="45"/>
              <w:rPr>
                <w:rFonts w:hint="default"/>
              </w:rPr>
            </w:pPr>
            <w:r>
              <w:t>解性玻璃钢</w:t>
            </w:r>
          </w:p>
        </w:tc>
        <w:tc>
          <w:tcPr>
            <w:tcW w:w="583" w:type="pct"/>
            <w:shd w:val="clear" w:color="auto" w:fill="auto"/>
            <w:vAlign w:val="center"/>
          </w:tcPr>
          <w:p w14:paraId="7EACC1D5">
            <w:pPr>
              <w:pStyle w:val="45"/>
              <w:rPr>
                <w:rFonts w:hint="default"/>
              </w:rPr>
            </w:pPr>
            <w:r>
              <w:rPr>
                <w:rFonts w:hint="default"/>
              </w:rPr>
              <w:t>1</w:t>
            </w:r>
          </w:p>
        </w:tc>
        <w:tc>
          <w:tcPr>
            <w:tcW w:w="602" w:type="pct"/>
            <w:shd w:val="clear" w:color="auto" w:fill="auto"/>
            <w:vAlign w:val="center"/>
          </w:tcPr>
          <w:p w14:paraId="092B6A37">
            <w:pPr>
              <w:pStyle w:val="45"/>
              <w:rPr>
                <w:rFonts w:hint="default"/>
              </w:rPr>
            </w:pPr>
          </w:p>
        </w:tc>
      </w:tr>
      <w:tr w14:paraId="60070305">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5797F80F">
            <w:pPr>
              <w:pStyle w:val="45"/>
              <w:rPr>
                <w:rFonts w:hint="default"/>
              </w:rPr>
            </w:pPr>
            <w:r>
              <w:rPr>
                <w:rFonts w:hint="default"/>
              </w:rPr>
              <w:t>27</w:t>
            </w:r>
          </w:p>
        </w:tc>
        <w:tc>
          <w:tcPr>
            <w:tcW w:w="1348" w:type="pct"/>
            <w:shd w:val="clear" w:color="auto" w:fill="auto"/>
            <w:vAlign w:val="center"/>
          </w:tcPr>
          <w:p w14:paraId="446CF175">
            <w:pPr>
              <w:pStyle w:val="45"/>
              <w:rPr>
                <w:rFonts w:hint="default"/>
              </w:rPr>
            </w:pPr>
            <w:r>
              <w:t>尾气冷却器</w:t>
            </w:r>
          </w:p>
        </w:tc>
        <w:tc>
          <w:tcPr>
            <w:tcW w:w="1098" w:type="pct"/>
            <w:shd w:val="clear" w:color="auto" w:fill="auto"/>
            <w:vAlign w:val="center"/>
          </w:tcPr>
          <w:p w14:paraId="72D8A7D9">
            <w:pPr>
              <w:pStyle w:val="45"/>
              <w:rPr>
                <w:rFonts w:hint="default"/>
              </w:rPr>
            </w:pPr>
            <w:r>
              <w:rPr>
                <w:rFonts w:hint="default"/>
              </w:rPr>
              <w:t>DN500X3000</w:t>
            </w:r>
          </w:p>
        </w:tc>
        <w:tc>
          <w:tcPr>
            <w:tcW w:w="917" w:type="pct"/>
            <w:shd w:val="clear" w:color="auto" w:fill="auto"/>
            <w:vAlign w:val="center"/>
          </w:tcPr>
          <w:p w14:paraId="393B187E">
            <w:pPr>
              <w:pStyle w:val="45"/>
              <w:rPr>
                <w:rFonts w:hint="default"/>
              </w:rPr>
            </w:pPr>
            <w:r>
              <w:rPr>
                <w:rFonts w:hint="default"/>
              </w:rPr>
              <w:t>Ti2</w:t>
            </w:r>
          </w:p>
        </w:tc>
        <w:tc>
          <w:tcPr>
            <w:tcW w:w="583" w:type="pct"/>
            <w:shd w:val="clear" w:color="auto" w:fill="auto"/>
            <w:vAlign w:val="center"/>
          </w:tcPr>
          <w:p w14:paraId="07012DA8">
            <w:pPr>
              <w:pStyle w:val="45"/>
              <w:rPr>
                <w:rFonts w:hint="default"/>
              </w:rPr>
            </w:pPr>
            <w:r>
              <w:rPr>
                <w:rFonts w:hint="default"/>
              </w:rPr>
              <w:t>1</w:t>
            </w:r>
          </w:p>
        </w:tc>
        <w:tc>
          <w:tcPr>
            <w:tcW w:w="602" w:type="pct"/>
            <w:shd w:val="clear" w:color="auto" w:fill="auto"/>
            <w:vAlign w:val="center"/>
          </w:tcPr>
          <w:p w14:paraId="1D7F1611">
            <w:pPr>
              <w:pStyle w:val="45"/>
              <w:rPr>
                <w:rFonts w:hint="default"/>
              </w:rPr>
            </w:pPr>
          </w:p>
        </w:tc>
      </w:tr>
      <w:tr w14:paraId="6813A85F">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108F273D">
            <w:pPr>
              <w:pStyle w:val="45"/>
              <w:rPr>
                <w:rFonts w:hint="default"/>
              </w:rPr>
            </w:pPr>
            <w:r>
              <w:rPr>
                <w:rFonts w:hint="default"/>
              </w:rPr>
              <w:t>28</w:t>
            </w:r>
          </w:p>
        </w:tc>
        <w:tc>
          <w:tcPr>
            <w:tcW w:w="1348" w:type="pct"/>
            <w:shd w:val="clear" w:color="auto" w:fill="auto"/>
            <w:vAlign w:val="center"/>
          </w:tcPr>
          <w:p w14:paraId="09DBC296">
            <w:pPr>
              <w:pStyle w:val="45"/>
              <w:rPr>
                <w:rFonts w:hint="default"/>
              </w:rPr>
            </w:pPr>
            <w:r>
              <w:t>电解液处理槽</w:t>
            </w:r>
          </w:p>
        </w:tc>
        <w:tc>
          <w:tcPr>
            <w:tcW w:w="1098" w:type="pct"/>
            <w:shd w:val="clear" w:color="auto" w:fill="auto"/>
            <w:vAlign w:val="center"/>
          </w:tcPr>
          <w:p w14:paraId="0B226AA1">
            <w:pPr>
              <w:pStyle w:val="45"/>
              <w:rPr>
                <w:rFonts w:hint="default"/>
              </w:rPr>
            </w:pPr>
            <w:r>
              <w:rPr>
                <w:rFonts w:hint="default"/>
              </w:rPr>
              <w:t>DN3500X4000</w:t>
            </w:r>
          </w:p>
        </w:tc>
        <w:tc>
          <w:tcPr>
            <w:tcW w:w="917" w:type="pct"/>
            <w:shd w:val="clear" w:color="auto" w:fill="auto"/>
            <w:vAlign w:val="center"/>
          </w:tcPr>
          <w:p w14:paraId="17607756">
            <w:pPr>
              <w:pStyle w:val="45"/>
              <w:rPr>
                <w:rFonts w:hint="default"/>
              </w:rPr>
            </w:pPr>
            <w:r>
              <w:rPr>
                <w:rFonts w:hint="default"/>
              </w:rPr>
              <w:t>Ti2</w:t>
            </w:r>
          </w:p>
        </w:tc>
        <w:tc>
          <w:tcPr>
            <w:tcW w:w="583" w:type="pct"/>
            <w:shd w:val="clear" w:color="auto" w:fill="auto"/>
            <w:vAlign w:val="center"/>
          </w:tcPr>
          <w:p w14:paraId="5DFA5AAF">
            <w:pPr>
              <w:pStyle w:val="45"/>
              <w:rPr>
                <w:rFonts w:hint="default"/>
              </w:rPr>
            </w:pPr>
            <w:r>
              <w:rPr>
                <w:rFonts w:hint="default"/>
              </w:rPr>
              <w:t>4</w:t>
            </w:r>
          </w:p>
        </w:tc>
        <w:tc>
          <w:tcPr>
            <w:tcW w:w="602" w:type="pct"/>
            <w:shd w:val="clear" w:color="auto" w:fill="auto"/>
            <w:vAlign w:val="center"/>
          </w:tcPr>
          <w:p w14:paraId="11185618">
            <w:pPr>
              <w:pStyle w:val="45"/>
              <w:rPr>
                <w:rFonts w:hint="default"/>
              </w:rPr>
            </w:pPr>
          </w:p>
        </w:tc>
      </w:tr>
      <w:tr w14:paraId="20A01468">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0D3F0598">
            <w:pPr>
              <w:pStyle w:val="45"/>
              <w:rPr>
                <w:rFonts w:hint="default"/>
              </w:rPr>
            </w:pPr>
            <w:r>
              <w:rPr>
                <w:rFonts w:hint="default"/>
              </w:rPr>
              <w:t>29</w:t>
            </w:r>
          </w:p>
        </w:tc>
        <w:tc>
          <w:tcPr>
            <w:tcW w:w="1348" w:type="pct"/>
            <w:shd w:val="clear" w:color="auto" w:fill="auto"/>
            <w:vAlign w:val="center"/>
          </w:tcPr>
          <w:p w14:paraId="76C3806D">
            <w:pPr>
              <w:pStyle w:val="45"/>
              <w:rPr>
                <w:rFonts w:hint="default"/>
              </w:rPr>
            </w:pPr>
            <w:r>
              <w:t>电解液中间槽</w:t>
            </w:r>
          </w:p>
        </w:tc>
        <w:tc>
          <w:tcPr>
            <w:tcW w:w="1098" w:type="pct"/>
            <w:shd w:val="clear" w:color="auto" w:fill="auto"/>
            <w:vAlign w:val="center"/>
          </w:tcPr>
          <w:p w14:paraId="58C6B6FC">
            <w:pPr>
              <w:pStyle w:val="45"/>
              <w:rPr>
                <w:rFonts w:hint="default"/>
              </w:rPr>
            </w:pPr>
            <w:r>
              <w:rPr>
                <w:rFonts w:hint="default"/>
              </w:rPr>
              <w:t>DN4800X4000</w:t>
            </w:r>
          </w:p>
        </w:tc>
        <w:tc>
          <w:tcPr>
            <w:tcW w:w="917" w:type="pct"/>
            <w:shd w:val="clear" w:color="auto" w:fill="auto"/>
            <w:vAlign w:val="center"/>
          </w:tcPr>
          <w:p w14:paraId="17B6265F">
            <w:pPr>
              <w:pStyle w:val="45"/>
              <w:rPr>
                <w:rFonts w:hint="default"/>
              </w:rPr>
            </w:pPr>
            <w:r>
              <w:t>解性玻璃钢</w:t>
            </w:r>
          </w:p>
        </w:tc>
        <w:tc>
          <w:tcPr>
            <w:tcW w:w="583" w:type="pct"/>
            <w:shd w:val="clear" w:color="auto" w:fill="auto"/>
            <w:vAlign w:val="center"/>
          </w:tcPr>
          <w:p w14:paraId="168F250E">
            <w:pPr>
              <w:pStyle w:val="45"/>
              <w:rPr>
                <w:rFonts w:hint="default"/>
              </w:rPr>
            </w:pPr>
            <w:r>
              <w:rPr>
                <w:rFonts w:hint="default"/>
              </w:rPr>
              <w:t>1</w:t>
            </w:r>
          </w:p>
        </w:tc>
        <w:tc>
          <w:tcPr>
            <w:tcW w:w="602" w:type="pct"/>
            <w:shd w:val="clear" w:color="auto" w:fill="auto"/>
            <w:vAlign w:val="center"/>
          </w:tcPr>
          <w:p w14:paraId="534FA7CE">
            <w:pPr>
              <w:pStyle w:val="45"/>
              <w:rPr>
                <w:rFonts w:hint="default"/>
              </w:rPr>
            </w:pPr>
          </w:p>
        </w:tc>
      </w:tr>
      <w:tr w14:paraId="79507BEE">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766BA529">
            <w:pPr>
              <w:pStyle w:val="45"/>
              <w:rPr>
                <w:rFonts w:hint="default"/>
              </w:rPr>
            </w:pPr>
            <w:r>
              <w:rPr>
                <w:rFonts w:hint="default"/>
              </w:rPr>
              <w:t>30</w:t>
            </w:r>
          </w:p>
        </w:tc>
        <w:tc>
          <w:tcPr>
            <w:tcW w:w="1348" w:type="pct"/>
            <w:shd w:val="clear" w:color="auto" w:fill="auto"/>
            <w:vAlign w:val="center"/>
          </w:tcPr>
          <w:p w14:paraId="2F23435D">
            <w:pPr>
              <w:pStyle w:val="45"/>
              <w:rPr>
                <w:rFonts w:hint="default"/>
              </w:rPr>
            </w:pPr>
            <w:r>
              <w:t>电解液储槽</w:t>
            </w:r>
          </w:p>
        </w:tc>
        <w:tc>
          <w:tcPr>
            <w:tcW w:w="1098" w:type="pct"/>
            <w:shd w:val="clear" w:color="auto" w:fill="auto"/>
            <w:vAlign w:val="center"/>
          </w:tcPr>
          <w:p w14:paraId="7A0F4EBE">
            <w:pPr>
              <w:pStyle w:val="45"/>
              <w:rPr>
                <w:rFonts w:hint="default"/>
              </w:rPr>
            </w:pPr>
            <w:r>
              <w:rPr>
                <w:rFonts w:hint="default"/>
              </w:rPr>
              <w:t>DN4800X6000</w:t>
            </w:r>
          </w:p>
        </w:tc>
        <w:tc>
          <w:tcPr>
            <w:tcW w:w="917" w:type="pct"/>
            <w:shd w:val="clear" w:color="auto" w:fill="auto"/>
            <w:vAlign w:val="center"/>
          </w:tcPr>
          <w:p w14:paraId="11B57A49">
            <w:pPr>
              <w:pStyle w:val="45"/>
              <w:rPr>
                <w:rFonts w:hint="default"/>
              </w:rPr>
            </w:pPr>
            <w:r>
              <w:t>解性玻璃钢</w:t>
            </w:r>
          </w:p>
        </w:tc>
        <w:tc>
          <w:tcPr>
            <w:tcW w:w="583" w:type="pct"/>
            <w:shd w:val="clear" w:color="auto" w:fill="auto"/>
            <w:vAlign w:val="center"/>
          </w:tcPr>
          <w:p w14:paraId="45DA1267">
            <w:pPr>
              <w:pStyle w:val="45"/>
              <w:rPr>
                <w:rFonts w:hint="default"/>
              </w:rPr>
            </w:pPr>
            <w:r>
              <w:rPr>
                <w:rFonts w:hint="default"/>
              </w:rPr>
              <w:t>3</w:t>
            </w:r>
          </w:p>
        </w:tc>
        <w:tc>
          <w:tcPr>
            <w:tcW w:w="602" w:type="pct"/>
            <w:shd w:val="clear" w:color="auto" w:fill="auto"/>
            <w:vAlign w:val="center"/>
          </w:tcPr>
          <w:p w14:paraId="47749CE3">
            <w:pPr>
              <w:pStyle w:val="45"/>
              <w:rPr>
                <w:rFonts w:hint="default"/>
              </w:rPr>
            </w:pPr>
          </w:p>
        </w:tc>
      </w:tr>
      <w:tr w14:paraId="16DE8206">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205CF833">
            <w:pPr>
              <w:pStyle w:val="45"/>
              <w:rPr>
                <w:rFonts w:hint="default"/>
              </w:rPr>
            </w:pPr>
            <w:r>
              <w:rPr>
                <w:rFonts w:hint="default"/>
              </w:rPr>
              <w:t>31</w:t>
            </w:r>
          </w:p>
        </w:tc>
        <w:tc>
          <w:tcPr>
            <w:tcW w:w="1348" w:type="pct"/>
            <w:shd w:val="clear" w:color="auto" w:fill="auto"/>
            <w:vAlign w:val="center"/>
          </w:tcPr>
          <w:p w14:paraId="0FD533C7">
            <w:pPr>
              <w:pStyle w:val="45"/>
              <w:rPr>
                <w:rFonts w:hint="default"/>
              </w:rPr>
            </w:pPr>
            <w:r>
              <w:t>电解液泵</w:t>
            </w:r>
          </w:p>
        </w:tc>
        <w:tc>
          <w:tcPr>
            <w:tcW w:w="1098" w:type="pct"/>
            <w:shd w:val="clear" w:color="auto" w:fill="auto"/>
            <w:vAlign w:val="center"/>
          </w:tcPr>
          <w:p w14:paraId="046CEEEC">
            <w:pPr>
              <w:pStyle w:val="45"/>
              <w:rPr>
                <w:rFonts w:hint="default"/>
              </w:rPr>
            </w:pPr>
            <w:r>
              <w:rPr>
                <w:rFonts w:hint="default"/>
              </w:rPr>
              <w:t>IH100-80-125</w:t>
            </w:r>
          </w:p>
        </w:tc>
        <w:tc>
          <w:tcPr>
            <w:tcW w:w="917" w:type="pct"/>
            <w:shd w:val="clear" w:color="auto" w:fill="auto"/>
            <w:vAlign w:val="center"/>
          </w:tcPr>
          <w:p w14:paraId="6FCB3AC9">
            <w:pPr>
              <w:pStyle w:val="45"/>
              <w:rPr>
                <w:rFonts w:hint="default"/>
              </w:rPr>
            </w:pPr>
            <w:r>
              <w:rPr>
                <w:rFonts w:hint="default"/>
              </w:rPr>
              <w:t>Ti2</w:t>
            </w:r>
          </w:p>
        </w:tc>
        <w:tc>
          <w:tcPr>
            <w:tcW w:w="583" w:type="pct"/>
            <w:shd w:val="clear" w:color="auto" w:fill="auto"/>
            <w:vAlign w:val="center"/>
          </w:tcPr>
          <w:p w14:paraId="76553842">
            <w:pPr>
              <w:pStyle w:val="45"/>
              <w:rPr>
                <w:rFonts w:hint="default"/>
              </w:rPr>
            </w:pPr>
            <w:r>
              <w:rPr>
                <w:rFonts w:hint="default"/>
              </w:rPr>
              <w:t>2</w:t>
            </w:r>
          </w:p>
        </w:tc>
        <w:tc>
          <w:tcPr>
            <w:tcW w:w="602" w:type="pct"/>
            <w:shd w:val="clear" w:color="auto" w:fill="auto"/>
            <w:vAlign w:val="center"/>
          </w:tcPr>
          <w:p w14:paraId="052E7B0D">
            <w:pPr>
              <w:pStyle w:val="45"/>
              <w:rPr>
                <w:rFonts w:hint="default"/>
              </w:rPr>
            </w:pPr>
          </w:p>
        </w:tc>
      </w:tr>
      <w:tr w14:paraId="6BECA91E">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1037B3AB">
            <w:pPr>
              <w:pStyle w:val="45"/>
              <w:rPr>
                <w:rFonts w:hint="default"/>
              </w:rPr>
            </w:pPr>
            <w:r>
              <w:rPr>
                <w:rFonts w:hint="default"/>
              </w:rPr>
              <w:t>32</w:t>
            </w:r>
          </w:p>
        </w:tc>
        <w:tc>
          <w:tcPr>
            <w:tcW w:w="1348" w:type="pct"/>
            <w:shd w:val="clear" w:color="auto" w:fill="auto"/>
            <w:vAlign w:val="center"/>
          </w:tcPr>
          <w:p w14:paraId="2B2775D4">
            <w:pPr>
              <w:pStyle w:val="45"/>
              <w:rPr>
                <w:rFonts w:hint="default"/>
              </w:rPr>
            </w:pPr>
            <w:r>
              <w:t>碱液槽</w:t>
            </w:r>
          </w:p>
        </w:tc>
        <w:tc>
          <w:tcPr>
            <w:tcW w:w="1098" w:type="pct"/>
            <w:shd w:val="clear" w:color="auto" w:fill="auto"/>
            <w:vAlign w:val="center"/>
          </w:tcPr>
          <w:p w14:paraId="71FDC1B6">
            <w:pPr>
              <w:pStyle w:val="45"/>
              <w:rPr>
                <w:rFonts w:hint="default"/>
              </w:rPr>
            </w:pPr>
          </w:p>
        </w:tc>
        <w:tc>
          <w:tcPr>
            <w:tcW w:w="917" w:type="pct"/>
            <w:shd w:val="clear" w:color="auto" w:fill="auto"/>
            <w:vAlign w:val="center"/>
          </w:tcPr>
          <w:p w14:paraId="095930CF">
            <w:pPr>
              <w:pStyle w:val="45"/>
              <w:rPr>
                <w:rFonts w:hint="default"/>
              </w:rPr>
            </w:pPr>
          </w:p>
        </w:tc>
        <w:tc>
          <w:tcPr>
            <w:tcW w:w="583" w:type="pct"/>
            <w:shd w:val="clear" w:color="auto" w:fill="auto"/>
            <w:vAlign w:val="center"/>
          </w:tcPr>
          <w:p w14:paraId="1C2D4AA9">
            <w:pPr>
              <w:pStyle w:val="45"/>
              <w:rPr>
                <w:rFonts w:hint="default"/>
              </w:rPr>
            </w:pPr>
          </w:p>
        </w:tc>
        <w:tc>
          <w:tcPr>
            <w:tcW w:w="602" w:type="pct"/>
            <w:shd w:val="clear" w:color="auto" w:fill="auto"/>
            <w:vAlign w:val="center"/>
          </w:tcPr>
          <w:p w14:paraId="02842DBA">
            <w:pPr>
              <w:pStyle w:val="45"/>
              <w:rPr>
                <w:rFonts w:hint="default"/>
              </w:rPr>
            </w:pPr>
          </w:p>
        </w:tc>
      </w:tr>
      <w:tr w14:paraId="3B3F3BE5">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62CC08F5">
            <w:pPr>
              <w:pStyle w:val="45"/>
              <w:rPr>
                <w:rFonts w:hint="default"/>
              </w:rPr>
            </w:pPr>
            <w:r>
              <w:rPr>
                <w:rFonts w:hint="default"/>
              </w:rPr>
              <w:t>33</w:t>
            </w:r>
          </w:p>
        </w:tc>
        <w:tc>
          <w:tcPr>
            <w:tcW w:w="1348" w:type="pct"/>
            <w:shd w:val="clear" w:color="auto" w:fill="auto"/>
            <w:vAlign w:val="center"/>
          </w:tcPr>
          <w:p w14:paraId="0EBE80BD">
            <w:pPr>
              <w:pStyle w:val="45"/>
              <w:rPr>
                <w:rFonts w:hint="default"/>
              </w:rPr>
            </w:pPr>
            <w:r>
              <w:t>碱液循环泵</w:t>
            </w:r>
          </w:p>
        </w:tc>
        <w:tc>
          <w:tcPr>
            <w:tcW w:w="1098" w:type="pct"/>
            <w:shd w:val="clear" w:color="auto" w:fill="auto"/>
            <w:vAlign w:val="center"/>
          </w:tcPr>
          <w:p w14:paraId="67221EED">
            <w:pPr>
              <w:pStyle w:val="45"/>
              <w:rPr>
                <w:rFonts w:hint="default"/>
              </w:rPr>
            </w:pPr>
            <w:r>
              <w:rPr>
                <w:rFonts w:hint="default"/>
              </w:rPr>
              <w:t>IHF65-50-125</w:t>
            </w:r>
          </w:p>
        </w:tc>
        <w:tc>
          <w:tcPr>
            <w:tcW w:w="917" w:type="pct"/>
            <w:shd w:val="clear" w:color="auto" w:fill="auto"/>
            <w:vAlign w:val="center"/>
          </w:tcPr>
          <w:p w14:paraId="4E8B3C34">
            <w:pPr>
              <w:pStyle w:val="45"/>
              <w:rPr>
                <w:rFonts w:hint="default"/>
              </w:rPr>
            </w:pPr>
            <w:r>
              <w:t>组合</w:t>
            </w:r>
          </w:p>
        </w:tc>
        <w:tc>
          <w:tcPr>
            <w:tcW w:w="583" w:type="pct"/>
            <w:shd w:val="clear" w:color="auto" w:fill="auto"/>
            <w:vAlign w:val="center"/>
          </w:tcPr>
          <w:p w14:paraId="743D2357">
            <w:pPr>
              <w:pStyle w:val="45"/>
              <w:rPr>
                <w:rFonts w:hint="default"/>
              </w:rPr>
            </w:pPr>
            <w:r>
              <w:rPr>
                <w:rFonts w:hint="default"/>
              </w:rPr>
              <w:t>8</w:t>
            </w:r>
          </w:p>
        </w:tc>
        <w:tc>
          <w:tcPr>
            <w:tcW w:w="602" w:type="pct"/>
            <w:shd w:val="clear" w:color="auto" w:fill="auto"/>
            <w:vAlign w:val="center"/>
          </w:tcPr>
          <w:p w14:paraId="08482EE5">
            <w:pPr>
              <w:pStyle w:val="45"/>
              <w:rPr>
                <w:rFonts w:hint="default"/>
              </w:rPr>
            </w:pPr>
          </w:p>
        </w:tc>
      </w:tr>
      <w:tr w14:paraId="74B96F29">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78DCCDDB">
            <w:pPr>
              <w:pStyle w:val="45"/>
              <w:rPr>
                <w:rFonts w:hint="default"/>
              </w:rPr>
            </w:pPr>
            <w:r>
              <w:rPr>
                <w:rFonts w:hint="default"/>
              </w:rPr>
              <w:t>34</w:t>
            </w:r>
          </w:p>
        </w:tc>
        <w:tc>
          <w:tcPr>
            <w:tcW w:w="1348" w:type="pct"/>
            <w:shd w:val="clear" w:color="auto" w:fill="auto"/>
            <w:vAlign w:val="center"/>
          </w:tcPr>
          <w:p w14:paraId="043B4A9B">
            <w:pPr>
              <w:pStyle w:val="45"/>
              <w:rPr>
                <w:rFonts w:hint="default"/>
              </w:rPr>
            </w:pPr>
            <w:r>
              <w:t>水循式真空泵机组</w:t>
            </w:r>
          </w:p>
        </w:tc>
        <w:tc>
          <w:tcPr>
            <w:tcW w:w="1098" w:type="pct"/>
            <w:shd w:val="clear" w:color="auto" w:fill="auto"/>
            <w:vAlign w:val="center"/>
          </w:tcPr>
          <w:p w14:paraId="5228689D">
            <w:pPr>
              <w:pStyle w:val="45"/>
              <w:rPr>
                <w:rFonts w:hint="default"/>
              </w:rPr>
            </w:pPr>
          </w:p>
        </w:tc>
        <w:tc>
          <w:tcPr>
            <w:tcW w:w="917" w:type="pct"/>
            <w:shd w:val="clear" w:color="auto" w:fill="auto"/>
            <w:vAlign w:val="center"/>
          </w:tcPr>
          <w:p w14:paraId="50857A83">
            <w:pPr>
              <w:pStyle w:val="45"/>
              <w:rPr>
                <w:rFonts w:hint="default"/>
              </w:rPr>
            </w:pPr>
            <w:r>
              <w:t>组合</w:t>
            </w:r>
          </w:p>
        </w:tc>
        <w:tc>
          <w:tcPr>
            <w:tcW w:w="583" w:type="pct"/>
            <w:shd w:val="clear" w:color="auto" w:fill="auto"/>
            <w:vAlign w:val="center"/>
          </w:tcPr>
          <w:p w14:paraId="343BB080">
            <w:pPr>
              <w:pStyle w:val="45"/>
              <w:rPr>
                <w:rFonts w:hint="default"/>
              </w:rPr>
            </w:pPr>
            <w:r>
              <w:rPr>
                <w:rFonts w:hint="default"/>
              </w:rPr>
              <w:t>2</w:t>
            </w:r>
          </w:p>
        </w:tc>
        <w:tc>
          <w:tcPr>
            <w:tcW w:w="602" w:type="pct"/>
            <w:shd w:val="clear" w:color="auto" w:fill="auto"/>
            <w:vAlign w:val="center"/>
          </w:tcPr>
          <w:p w14:paraId="143C5C7C">
            <w:pPr>
              <w:pStyle w:val="45"/>
              <w:rPr>
                <w:rFonts w:hint="default"/>
              </w:rPr>
            </w:pPr>
          </w:p>
        </w:tc>
      </w:tr>
      <w:tr w14:paraId="003C71E7">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36513C77">
            <w:pPr>
              <w:pStyle w:val="45"/>
              <w:rPr>
                <w:rFonts w:hint="default"/>
              </w:rPr>
            </w:pPr>
            <w:r>
              <w:rPr>
                <w:rFonts w:hint="default"/>
              </w:rPr>
              <w:t>35</w:t>
            </w:r>
          </w:p>
        </w:tc>
        <w:tc>
          <w:tcPr>
            <w:tcW w:w="1348" w:type="pct"/>
            <w:shd w:val="clear" w:color="auto" w:fill="auto"/>
            <w:vAlign w:val="center"/>
          </w:tcPr>
          <w:p w14:paraId="4EB5FC66">
            <w:pPr>
              <w:pStyle w:val="45"/>
              <w:rPr>
                <w:rFonts w:hint="default"/>
              </w:rPr>
            </w:pPr>
            <w:r>
              <w:t>真空结晶器</w:t>
            </w:r>
          </w:p>
        </w:tc>
        <w:tc>
          <w:tcPr>
            <w:tcW w:w="1098" w:type="pct"/>
            <w:shd w:val="clear" w:color="auto" w:fill="auto"/>
            <w:vAlign w:val="center"/>
          </w:tcPr>
          <w:p w14:paraId="70F70547">
            <w:pPr>
              <w:pStyle w:val="45"/>
              <w:rPr>
                <w:rFonts w:hint="default"/>
              </w:rPr>
            </w:pPr>
            <w:r>
              <w:rPr>
                <w:rFonts w:hint="default"/>
              </w:rPr>
              <w:t>DN3400</w:t>
            </w:r>
            <w:r>
              <w:t>×</w:t>
            </w:r>
            <w:r>
              <w:rPr>
                <w:rFonts w:hint="default"/>
              </w:rPr>
              <w:t>16300</w:t>
            </w:r>
          </w:p>
        </w:tc>
        <w:tc>
          <w:tcPr>
            <w:tcW w:w="917" w:type="pct"/>
            <w:shd w:val="clear" w:color="auto" w:fill="auto"/>
            <w:vAlign w:val="center"/>
          </w:tcPr>
          <w:p w14:paraId="2733FD14">
            <w:pPr>
              <w:pStyle w:val="45"/>
              <w:rPr>
                <w:rFonts w:hint="default"/>
              </w:rPr>
            </w:pPr>
            <w:r>
              <w:rPr>
                <w:rFonts w:hint="default"/>
              </w:rPr>
              <w:t>Ti2</w:t>
            </w:r>
          </w:p>
        </w:tc>
        <w:tc>
          <w:tcPr>
            <w:tcW w:w="583" w:type="pct"/>
            <w:shd w:val="clear" w:color="auto" w:fill="auto"/>
            <w:vAlign w:val="center"/>
          </w:tcPr>
          <w:p w14:paraId="65EB4C56">
            <w:pPr>
              <w:pStyle w:val="45"/>
              <w:rPr>
                <w:rFonts w:hint="default"/>
              </w:rPr>
            </w:pPr>
            <w:r>
              <w:rPr>
                <w:rFonts w:hint="default"/>
              </w:rPr>
              <w:t>1</w:t>
            </w:r>
          </w:p>
        </w:tc>
        <w:tc>
          <w:tcPr>
            <w:tcW w:w="602" w:type="pct"/>
            <w:shd w:val="clear" w:color="auto" w:fill="auto"/>
            <w:vAlign w:val="center"/>
          </w:tcPr>
          <w:p w14:paraId="3F25314C">
            <w:pPr>
              <w:pStyle w:val="45"/>
              <w:rPr>
                <w:rFonts w:hint="default"/>
              </w:rPr>
            </w:pPr>
          </w:p>
        </w:tc>
      </w:tr>
      <w:tr w14:paraId="4A488FE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20F4AE23">
            <w:pPr>
              <w:pStyle w:val="45"/>
              <w:rPr>
                <w:rFonts w:hint="default"/>
              </w:rPr>
            </w:pPr>
            <w:r>
              <w:rPr>
                <w:rFonts w:hint="default"/>
              </w:rPr>
              <w:t>36</w:t>
            </w:r>
          </w:p>
        </w:tc>
        <w:tc>
          <w:tcPr>
            <w:tcW w:w="1348" w:type="pct"/>
            <w:shd w:val="clear" w:color="auto" w:fill="auto"/>
            <w:vAlign w:val="center"/>
          </w:tcPr>
          <w:p w14:paraId="7203E754">
            <w:pPr>
              <w:pStyle w:val="45"/>
              <w:rPr>
                <w:rFonts w:hint="default"/>
              </w:rPr>
            </w:pPr>
            <w:r>
              <w:t>出料泵</w:t>
            </w:r>
          </w:p>
        </w:tc>
        <w:tc>
          <w:tcPr>
            <w:tcW w:w="1098" w:type="pct"/>
            <w:shd w:val="clear" w:color="auto" w:fill="auto"/>
            <w:vAlign w:val="center"/>
          </w:tcPr>
          <w:p w14:paraId="043B8EA3">
            <w:pPr>
              <w:pStyle w:val="45"/>
              <w:rPr>
                <w:rFonts w:hint="default"/>
              </w:rPr>
            </w:pPr>
            <w:r>
              <w:rPr>
                <w:rFonts w:hint="default"/>
              </w:rPr>
              <w:t>IH65-50-160</w:t>
            </w:r>
          </w:p>
        </w:tc>
        <w:tc>
          <w:tcPr>
            <w:tcW w:w="917" w:type="pct"/>
            <w:shd w:val="clear" w:color="auto" w:fill="auto"/>
            <w:vAlign w:val="center"/>
          </w:tcPr>
          <w:p w14:paraId="74703DDF">
            <w:pPr>
              <w:pStyle w:val="45"/>
              <w:rPr>
                <w:rFonts w:hint="default"/>
              </w:rPr>
            </w:pPr>
            <w:r>
              <w:t>不锈钢</w:t>
            </w:r>
          </w:p>
        </w:tc>
        <w:tc>
          <w:tcPr>
            <w:tcW w:w="583" w:type="pct"/>
            <w:shd w:val="clear" w:color="auto" w:fill="auto"/>
            <w:vAlign w:val="center"/>
          </w:tcPr>
          <w:p w14:paraId="6A64082F">
            <w:pPr>
              <w:pStyle w:val="45"/>
              <w:rPr>
                <w:rFonts w:hint="default"/>
              </w:rPr>
            </w:pPr>
            <w:r>
              <w:rPr>
                <w:rFonts w:hint="default"/>
              </w:rPr>
              <w:t>1</w:t>
            </w:r>
          </w:p>
        </w:tc>
        <w:tc>
          <w:tcPr>
            <w:tcW w:w="602" w:type="pct"/>
            <w:shd w:val="clear" w:color="auto" w:fill="auto"/>
            <w:vAlign w:val="center"/>
          </w:tcPr>
          <w:p w14:paraId="4441B9C4">
            <w:pPr>
              <w:pStyle w:val="45"/>
              <w:rPr>
                <w:rFonts w:hint="default"/>
              </w:rPr>
            </w:pPr>
          </w:p>
        </w:tc>
      </w:tr>
      <w:tr w14:paraId="52F4807F">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1BDB8E68">
            <w:pPr>
              <w:pStyle w:val="45"/>
              <w:rPr>
                <w:rFonts w:hint="default"/>
              </w:rPr>
            </w:pPr>
            <w:r>
              <w:rPr>
                <w:rFonts w:hint="default"/>
              </w:rPr>
              <w:t>37</w:t>
            </w:r>
          </w:p>
        </w:tc>
        <w:tc>
          <w:tcPr>
            <w:tcW w:w="1348" w:type="pct"/>
            <w:shd w:val="clear" w:color="auto" w:fill="auto"/>
            <w:vAlign w:val="center"/>
          </w:tcPr>
          <w:p w14:paraId="63670DC4">
            <w:pPr>
              <w:pStyle w:val="45"/>
              <w:rPr>
                <w:rFonts w:hint="default"/>
              </w:rPr>
            </w:pPr>
            <w:r>
              <w:t>结晶高位槽</w:t>
            </w:r>
          </w:p>
        </w:tc>
        <w:tc>
          <w:tcPr>
            <w:tcW w:w="1098" w:type="pct"/>
            <w:shd w:val="clear" w:color="auto" w:fill="auto"/>
            <w:vAlign w:val="center"/>
          </w:tcPr>
          <w:p w14:paraId="68430FD2">
            <w:pPr>
              <w:pStyle w:val="45"/>
              <w:rPr>
                <w:rFonts w:hint="default"/>
              </w:rPr>
            </w:pPr>
            <w:r>
              <w:rPr>
                <w:rFonts w:hint="default"/>
              </w:rPr>
              <w:t>DN2500X2000</w:t>
            </w:r>
          </w:p>
        </w:tc>
        <w:tc>
          <w:tcPr>
            <w:tcW w:w="917" w:type="pct"/>
            <w:shd w:val="clear" w:color="auto" w:fill="auto"/>
            <w:vAlign w:val="center"/>
          </w:tcPr>
          <w:p w14:paraId="12481C2F">
            <w:pPr>
              <w:pStyle w:val="45"/>
              <w:rPr>
                <w:rFonts w:hint="default"/>
              </w:rPr>
            </w:pPr>
            <w:r>
              <w:t>不锈钢</w:t>
            </w:r>
          </w:p>
        </w:tc>
        <w:tc>
          <w:tcPr>
            <w:tcW w:w="583" w:type="pct"/>
            <w:shd w:val="clear" w:color="auto" w:fill="auto"/>
            <w:vAlign w:val="center"/>
          </w:tcPr>
          <w:p w14:paraId="0011A519">
            <w:pPr>
              <w:pStyle w:val="45"/>
              <w:rPr>
                <w:rFonts w:hint="default"/>
              </w:rPr>
            </w:pPr>
            <w:r>
              <w:rPr>
                <w:rFonts w:hint="default"/>
              </w:rPr>
              <w:t>2</w:t>
            </w:r>
          </w:p>
        </w:tc>
        <w:tc>
          <w:tcPr>
            <w:tcW w:w="602" w:type="pct"/>
            <w:shd w:val="clear" w:color="auto" w:fill="auto"/>
            <w:vAlign w:val="center"/>
          </w:tcPr>
          <w:p w14:paraId="03760DB0">
            <w:pPr>
              <w:pStyle w:val="45"/>
              <w:rPr>
                <w:rFonts w:hint="default"/>
              </w:rPr>
            </w:pPr>
          </w:p>
        </w:tc>
      </w:tr>
      <w:tr w14:paraId="30A0714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5FA71FB0">
            <w:pPr>
              <w:pStyle w:val="45"/>
              <w:rPr>
                <w:rFonts w:hint="default"/>
              </w:rPr>
            </w:pPr>
            <w:r>
              <w:rPr>
                <w:rFonts w:hint="default"/>
              </w:rPr>
              <w:t>38</w:t>
            </w:r>
          </w:p>
        </w:tc>
        <w:tc>
          <w:tcPr>
            <w:tcW w:w="1348" w:type="pct"/>
            <w:shd w:val="clear" w:color="auto" w:fill="auto"/>
            <w:vAlign w:val="center"/>
          </w:tcPr>
          <w:p w14:paraId="228E1977">
            <w:pPr>
              <w:pStyle w:val="45"/>
              <w:rPr>
                <w:rFonts w:hint="default"/>
              </w:rPr>
            </w:pPr>
            <w:r>
              <w:t>离心机</w:t>
            </w:r>
          </w:p>
        </w:tc>
        <w:tc>
          <w:tcPr>
            <w:tcW w:w="1098" w:type="pct"/>
            <w:shd w:val="clear" w:color="auto" w:fill="auto"/>
            <w:vAlign w:val="center"/>
          </w:tcPr>
          <w:p w14:paraId="3D080BA8">
            <w:pPr>
              <w:pStyle w:val="45"/>
              <w:rPr>
                <w:rFonts w:hint="default"/>
              </w:rPr>
            </w:pPr>
            <w:r>
              <w:rPr>
                <w:rFonts w:hint="default"/>
              </w:rPr>
              <w:t>P500</w:t>
            </w:r>
          </w:p>
        </w:tc>
        <w:tc>
          <w:tcPr>
            <w:tcW w:w="917" w:type="pct"/>
            <w:shd w:val="clear" w:color="auto" w:fill="auto"/>
            <w:vAlign w:val="center"/>
          </w:tcPr>
          <w:p w14:paraId="1701C1A0">
            <w:pPr>
              <w:pStyle w:val="45"/>
              <w:rPr>
                <w:rFonts w:hint="default"/>
              </w:rPr>
            </w:pPr>
            <w:r>
              <w:t>不锈钢</w:t>
            </w:r>
          </w:p>
        </w:tc>
        <w:tc>
          <w:tcPr>
            <w:tcW w:w="583" w:type="pct"/>
            <w:shd w:val="clear" w:color="auto" w:fill="auto"/>
            <w:vAlign w:val="center"/>
          </w:tcPr>
          <w:p w14:paraId="4AB954A1">
            <w:pPr>
              <w:pStyle w:val="45"/>
              <w:rPr>
                <w:rFonts w:hint="default"/>
              </w:rPr>
            </w:pPr>
            <w:r>
              <w:rPr>
                <w:rFonts w:hint="default"/>
              </w:rPr>
              <w:t>1</w:t>
            </w:r>
          </w:p>
        </w:tc>
        <w:tc>
          <w:tcPr>
            <w:tcW w:w="602" w:type="pct"/>
            <w:shd w:val="clear" w:color="auto" w:fill="auto"/>
            <w:vAlign w:val="center"/>
          </w:tcPr>
          <w:p w14:paraId="3BDAFF50">
            <w:pPr>
              <w:pStyle w:val="45"/>
              <w:rPr>
                <w:rFonts w:hint="default"/>
              </w:rPr>
            </w:pPr>
          </w:p>
        </w:tc>
      </w:tr>
      <w:tr w14:paraId="5A612EE6">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73BCAC7F">
            <w:pPr>
              <w:pStyle w:val="45"/>
              <w:rPr>
                <w:rFonts w:hint="default"/>
              </w:rPr>
            </w:pPr>
            <w:r>
              <w:rPr>
                <w:rFonts w:hint="default"/>
              </w:rPr>
              <w:t>39</w:t>
            </w:r>
          </w:p>
        </w:tc>
        <w:tc>
          <w:tcPr>
            <w:tcW w:w="1348" w:type="pct"/>
            <w:shd w:val="clear" w:color="auto" w:fill="auto"/>
            <w:vAlign w:val="center"/>
          </w:tcPr>
          <w:p w14:paraId="19E0B56D">
            <w:pPr>
              <w:pStyle w:val="45"/>
              <w:rPr>
                <w:rFonts w:hint="default"/>
              </w:rPr>
            </w:pPr>
            <w:r>
              <w:t>离心中间槽</w:t>
            </w:r>
          </w:p>
        </w:tc>
        <w:tc>
          <w:tcPr>
            <w:tcW w:w="1098" w:type="pct"/>
            <w:shd w:val="clear" w:color="auto" w:fill="auto"/>
            <w:vAlign w:val="center"/>
          </w:tcPr>
          <w:p w14:paraId="00A39E9C">
            <w:pPr>
              <w:pStyle w:val="45"/>
              <w:rPr>
                <w:rFonts w:hint="default"/>
              </w:rPr>
            </w:pPr>
            <w:r>
              <w:rPr>
                <w:rFonts w:hint="default"/>
              </w:rPr>
              <w:t>DN2500X2000</w:t>
            </w:r>
          </w:p>
        </w:tc>
        <w:tc>
          <w:tcPr>
            <w:tcW w:w="917" w:type="pct"/>
            <w:shd w:val="clear" w:color="auto" w:fill="auto"/>
            <w:vAlign w:val="center"/>
          </w:tcPr>
          <w:p w14:paraId="6BEEC9F3">
            <w:pPr>
              <w:pStyle w:val="45"/>
              <w:rPr>
                <w:rFonts w:hint="default"/>
              </w:rPr>
            </w:pPr>
            <w:r>
              <w:t>组合</w:t>
            </w:r>
          </w:p>
        </w:tc>
        <w:tc>
          <w:tcPr>
            <w:tcW w:w="583" w:type="pct"/>
            <w:shd w:val="clear" w:color="auto" w:fill="auto"/>
            <w:vAlign w:val="center"/>
          </w:tcPr>
          <w:p w14:paraId="7006E5BB">
            <w:pPr>
              <w:pStyle w:val="45"/>
              <w:rPr>
                <w:rFonts w:hint="default"/>
              </w:rPr>
            </w:pPr>
            <w:r>
              <w:rPr>
                <w:rFonts w:hint="default"/>
              </w:rPr>
              <w:t>1</w:t>
            </w:r>
          </w:p>
        </w:tc>
        <w:tc>
          <w:tcPr>
            <w:tcW w:w="602" w:type="pct"/>
            <w:shd w:val="clear" w:color="auto" w:fill="auto"/>
            <w:vAlign w:val="center"/>
          </w:tcPr>
          <w:p w14:paraId="1589A29D">
            <w:pPr>
              <w:pStyle w:val="45"/>
              <w:rPr>
                <w:rFonts w:hint="default"/>
              </w:rPr>
            </w:pPr>
          </w:p>
        </w:tc>
      </w:tr>
      <w:tr w14:paraId="7748206F">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4A32BEC3">
            <w:pPr>
              <w:pStyle w:val="45"/>
              <w:rPr>
                <w:rFonts w:hint="default"/>
              </w:rPr>
            </w:pPr>
            <w:r>
              <w:rPr>
                <w:rFonts w:hint="default"/>
              </w:rPr>
              <w:t>40</w:t>
            </w:r>
          </w:p>
        </w:tc>
        <w:tc>
          <w:tcPr>
            <w:tcW w:w="1348" w:type="pct"/>
            <w:shd w:val="clear" w:color="auto" w:fill="auto"/>
            <w:vAlign w:val="center"/>
          </w:tcPr>
          <w:p w14:paraId="49969096">
            <w:pPr>
              <w:pStyle w:val="45"/>
              <w:rPr>
                <w:rFonts w:hint="default"/>
              </w:rPr>
            </w:pPr>
            <w:r>
              <w:t>水泵</w:t>
            </w:r>
          </w:p>
        </w:tc>
        <w:tc>
          <w:tcPr>
            <w:tcW w:w="1098" w:type="pct"/>
            <w:shd w:val="clear" w:color="auto" w:fill="auto"/>
            <w:vAlign w:val="center"/>
          </w:tcPr>
          <w:p w14:paraId="71BCC617">
            <w:pPr>
              <w:pStyle w:val="45"/>
              <w:rPr>
                <w:rFonts w:hint="default"/>
              </w:rPr>
            </w:pPr>
          </w:p>
        </w:tc>
        <w:tc>
          <w:tcPr>
            <w:tcW w:w="917" w:type="pct"/>
            <w:shd w:val="clear" w:color="auto" w:fill="auto"/>
            <w:vAlign w:val="center"/>
          </w:tcPr>
          <w:p w14:paraId="3FF6B30C">
            <w:pPr>
              <w:pStyle w:val="45"/>
              <w:rPr>
                <w:rFonts w:hint="default"/>
              </w:rPr>
            </w:pPr>
            <w:r>
              <w:t>组合</w:t>
            </w:r>
          </w:p>
        </w:tc>
        <w:tc>
          <w:tcPr>
            <w:tcW w:w="583" w:type="pct"/>
            <w:shd w:val="clear" w:color="auto" w:fill="auto"/>
            <w:vAlign w:val="center"/>
          </w:tcPr>
          <w:p w14:paraId="1E4EEE6B">
            <w:pPr>
              <w:pStyle w:val="45"/>
              <w:rPr>
                <w:rFonts w:hint="default"/>
              </w:rPr>
            </w:pPr>
            <w:r>
              <w:rPr>
                <w:rFonts w:hint="default"/>
              </w:rPr>
              <w:t>1</w:t>
            </w:r>
          </w:p>
        </w:tc>
        <w:tc>
          <w:tcPr>
            <w:tcW w:w="602" w:type="pct"/>
            <w:shd w:val="clear" w:color="auto" w:fill="auto"/>
            <w:vAlign w:val="center"/>
          </w:tcPr>
          <w:p w14:paraId="0A8A7274">
            <w:pPr>
              <w:pStyle w:val="45"/>
              <w:rPr>
                <w:rFonts w:hint="default"/>
              </w:rPr>
            </w:pPr>
          </w:p>
        </w:tc>
      </w:tr>
      <w:tr w14:paraId="4E017DE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3D311237">
            <w:pPr>
              <w:pStyle w:val="45"/>
              <w:rPr>
                <w:rFonts w:hint="default"/>
              </w:rPr>
            </w:pPr>
            <w:r>
              <w:rPr>
                <w:rFonts w:hint="default"/>
              </w:rPr>
              <w:t>41</w:t>
            </w:r>
          </w:p>
        </w:tc>
        <w:tc>
          <w:tcPr>
            <w:tcW w:w="1348" w:type="pct"/>
            <w:shd w:val="clear" w:color="auto" w:fill="auto"/>
            <w:vAlign w:val="center"/>
          </w:tcPr>
          <w:p w14:paraId="4BA32982">
            <w:pPr>
              <w:pStyle w:val="45"/>
              <w:rPr>
                <w:rFonts w:hint="default"/>
              </w:rPr>
            </w:pPr>
            <w:r>
              <w:t>离心母液储槽</w:t>
            </w:r>
          </w:p>
        </w:tc>
        <w:tc>
          <w:tcPr>
            <w:tcW w:w="1098" w:type="pct"/>
            <w:shd w:val="clear" w:color="auto" w:fill="auto"/>
            <w:vAlign w:val="center"/>
          </w:tcPr>
          <w:p w14:paraId="35730C4C">
            <w:pPr>
              <w:pStyle w:val="45"/>
              <w:rPr>
                <w:rFonts w:hint="default"/>
              </w:rPr>
            </w:pPr>
            <w:r>
              <w:rPr>
                <w:rFonts w:hint="default"/>
              </w:rPr>
              <w:t>DN4800X6000</w:t>
            </w:r>
          </w:p>
        </w:tc>
        <w:tc>
          <w:tcPr>
            <w:tcW w:w="917" w:type="pct"/>
            <w:shd w:val="clear" w:color="auto" w:fill="auto"/>
            <w:vAlign w:val="center"/>
          </w:tcPr>
          <w:p w14:paraId="05EFC207">
            <w:pPr>
              <w:pStyle w:val="45"/>
              <w:rPr>
                <w:rFonts w:hint="default"/>
              </w:rPr>
            </w:pPr>
            <w:r>
              <w:t>解性玻璃钢</w:t>
            </w:r>
          </w:p>
        </w:tc>
        <w:tc>
          <w:tcPr>
            <w:tcW w:w="583" w:type="pct"/>
            <w:shd w:val="clear" w:color="auto" w:fill="auto"/>
            <w:vAlign w:val="center"/>
          </w:tcPr>
          <w:p w14:paraId="2C42F472">
            <w:pPr>
              <w:pStyle w:val="45"/>
              <w:rPr>
                <w:rFonts w:hint="default"/>
              </w:rPr>
            </w:pPr>
            <w:r>
              <w:rPr>
                <w:rFonts w:hint="default"/>
              </w:rPr>
              <w:t>3</w:t>
            </w:r>
          </w:p>
        </w:tc>
        <w:tc>
          <w:tcPr>
            <w:tcW w:w="602" w:type="pct"/>
            <w:shd w:val="clear" w:color="auto" w:fill="auto"/>
            <w:vAlign w:val="center"/>
          </w:tcPr>
          <w:p w14:paraId="426F946B">
            <w:pPr>
              <w:pStyle w:val="45"/>
              <w:rPr>
                <w:rFonts w:hint="default"/>
              </w:rPr>
            </w:pPr>
          </w:p>
        </w:tc>
      </w:tr>
      <w:tr w14:paraId="3638BC63">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22CFA233">
            <w:pPr>
              <w:pStyle w:val="45"/>
              <w:rPr>
                <w:rFonts w:hint="default"/>
              </w:rPr>
            </w:pPr>
            <w:r>
              <w:rPr>
                <w:rFonts w:hint="default"/>
              </w:rPr>
              <w:t>42</w:t>
            </w:r>
          </w:p>
        </w:tc>
        <w:tc>
          <w:tcPr>
            <w:tcW w:w="1348" w:type="pct"/>
            <w:shd w:val="clear" w:color="auto" w:fill="auto"/>
            <w:vAlign w:val="center"/>
          </w:tcPr>
          <w:p w14:paraId="2716A6C1">
            <w:pPr>
              <w:pStyle w:val="45"/>
              <w:rPr>
                <w:rFonts w:hint="default"/>
              </w:rPr>
            </w:pPr>
            <w:r>
              <w:t>整流变压器</w:t>
            </w:r>
          </w:p>
        </w:tc>
        <w:tc>
          <w:tcPr>
            <w:tcW w:w="1098" w:type="pct"/>
            <w:shd w:val="clear" w:color="auto" w:fill="auto"/>
            <w:vAlign w:val="center"/>
          </w:tcPr>
          <w:p w14:paraId="43C3B5A5">
            <w:pPr>
              <w:pStyle w:val="45"/>
              <w:rPr>
                <w:rFonts w:hint="default"/>
              </w:rPr>
            </w:pPr>
          </w:p>
        </w:tc>
        <w:tc>
          <w:tcPr>
            <w:tcW w:w="917" w:type="pct"/>
            <w:shd w:val="clear" w:color="auto" w:fill="auto"/>
            <w:vAlign w:val="center"/>
          </w:tcPr>
          <w:p w14:paraId="10BDEA64">
            <w:pPr>
              <w:pStyle w:val="45"/>
              <w:rPr>
                <w:rFonts w:hint="default"/>
              </w:rPr>
            </w:pPr>
          </w:p>
        </w:tc>
        <w:tc>
          <w:tcPr>
            <w:tcW w:w="583" w:type="pct"/>
            <w:shd w:val="clear" w:color="auto" w:fill="auto"/>
            <w:vAlign w:val="center"/>
          </w:tcPr>
          <w:p w14:paraId="14921156">
            <w:pPr>
              <w:pStyle w:val="45"/>
              <w:rPr>
                <w:rFonts w:hint="default"/>
              </w:rPr>
            </w:pPr>
            <w:r>
              <w:rPr>
                <w:rFonts w:hint="default"/>
              </w:rPr>
              <w:t>2</w:t>
            </w:r>
          </w:p>
        </w:tc>
        <w:tc>
          <w:tcPr>
            <w:tcW w:w="602" w:type="pct"/>
            <w:shd w:val="clear" w:color="auto" w:fill="auto"/>
            <w:vAlign w:val="center"/>
          </w:tcPr>
          <w:p w14:paraId="5DB77287">
            <w:pPr>
              <w:pStyle w:val="45"/>
              <w:rPr>
                <w:rFonts w:hint="default"/>
              </w:rPr>
            </w:pPr>
          </w:p>
        </w:tc>
      </w:tr>
      <w:tr w14:paraId="2EDAFAF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36DFDC0C">
            <w:pPr>
              <w:pStyle w:val="45"/>
              <w:rPr>
                <w:rFonts w:hint="default"/>
              </w:rPr>
            </w:pPr>
            <w:r>
              <w:rPr>
                <w:rFonts w:hint="default"/>
              </w:rPr>
              <w:t>43</w:t>
            </w:r>
          </w:p>
        </w:tc>
        <w:tc>
          <w:tcPr>
            <w:tcW w:w="1348" w:type="pct"/>
            <w:shd w:val="clear" w:color="auto" w:fill="auto"/>
            <w:vAlign w:val="center"/>
          </w:tcPr>
          <w:p w14:paraId="1FC6F4A2">
            <w:pPr>
              <w:pStyle w:val="45"/>
              <w:rPr>
                <w:rFonts w:hint="default"/>
              </w:rPr>
            </w:pPr>
            <w:r>
              <w:t>整流器</w:t>
            </w:r>
          </w:p>
        </w:tc>
        <w:tc>
          <w:tcPr>
            <w:tcW w:w="1098" w:type="pct"/>
            <w:shd w:val="clear" w:color="auto" w:fill="auto"/>
            <w:vAlign w:val="center"/>
          </w:tcPr>
          <w:p w14:paraId="3C91DF59">
            <w:pPr>
              <w:pStyle w:val="45"/>
              <w:rPr>
                <w:rFonts w:hint="default"/>
              </w:rPr>
            </w:pPr>
          </w:p>
        </w:tc>
        <w:tc>
          <w:tcPr>
            <w:tcW w:w="917" w:type="pct"/>
            <w:shd w:val="clear" w:color="auto" w:fill="auto"/>
            <w:vAlign w:val="center"/>
          </w:tcPr>
          <w:p w14:paraId="167FF05B">
            <w:pPr>
              <w:pStyle w:val="45"/>
              <w:rPr>
                <w:rFonts w:hint="default"/>
              </w:rPr>
            </w:pPr>
          </w:p>
        </w:tc>
        <w:tc>
          <w:tcPr>
            <w:tcW w:w="583" w:type="pct"/>
            <w:shd w:val="clear" w:color="auto" w:fill="auto"/>
            <w:vAlign w:val="center"/>
          </w:tcPr>
          <w:p w14:paraId="6AD47651">
            <w:pPr>
              <w:pStyle w:val="45"/>
              <w:rPr>
                <w:rFonts w:hint="default"/>
              </w:rPr>
            </w:pPr>
            <w:r>
              <w:rPr>
                <w:rFonts w:hint="default"/>
              </w:rPr>
              <w:t>2</w:t>
            </w:r>
          </w:p>
        </w:tc>
        <w:tc>
          <w:tcPr>
            <w:tcW w:w="602" w:type="pct"/>
            <w:shd w:val="clear" w:color="auto" w:fill="auto"/>
            <w:vAlign w:val="center"/>
          </w:tcPr>
          <w:p w14:paraId="0F8BF75C">
            <w:pPr>
              <w:pStyle w:val="45"/>
              <w:rPr>
                <w:rFonts w:hint="default"/>
              </w:rPr>
            </w:pPr>
          </w:p>
        </w:tc>
      </w:tr>
      <w:tr w14:paraId="172BA5C6">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312F50EB">
            <w:pPr>
              <w:pStyle w:val="45"/>
              <w:rPr>
                <w:rFonts w:hint="default"/>
              </w:rPr>
            </w:pPr>
            <w:r>
              <w:rPr>
                <w:rFonts w:hint="default"/>
              </w:rPr>
              <w:t>44</w:t>
            </w:r>
          </w:p>
        </w:tc>
        <w:tc>
          <w:tcPr>
            <w:tcW w:w="1348" w:type="pct"/>
            <w:shd w:val="clear" w:color="auto" w:fill="auto"/>
            <w:vAlign w:val="center"/>
          </w:tcPr>
          <w:p w14:paraId="470907E8">
            <w:pPr>
              <w:pStyle w:val="45"/>
              <w:rPr>
                <w:rFonts w:hint="default"/>
              </w:rPr>
            </w:pPr>
            <w:r>
              <w:t>自控系统</w:t>
            </w:r>
          </w:p>
        </w:tc>
        <w:tc>
          <w:tcPr>
            <w:tcW w:w="1098" w:type="pct"/>
            <w:shd w:val="clear" w:color="auto" w:fill="auto"/>
            <w:vAlign w:val="center"/>
          </w:tcPr>
          <w:p w14:paraId="37DF9FD4">
            <w:pPr>
              <w:pStyle w:val="45"/>
              <w:rPr>
                <w:rFonts w:hint="default"/>
              </w:rPr>
            </w:pPr>
          </w:p>
        </w:tc>
        <w:tc>
          <w:tcPr>
            <w:tcW w:w="917" w:type="pct"/>
            <w:shd w:val="clear" w:color="auto" w:fill="auto"/>
            <w:vAlign w:val="center"/>
          </w:tcPr>
          <w:p w14:paraId="1CB0788B">
            <w:pPr>
              <w:pStyle w:val="45"/>
              <w:rPr>
                <w:rFonts w:hint="default"/>
              </w:rPr>
            </w:pPr>
          </w:p>
        </w:tc>
        <w:tc>
          <w:tcPr>
            <w:tcW w:w="583" w:type="pct"/>
            <w:shd w:val="clear" w:color="auto" w:fill="auto"/>
            <w:vAlign w:val="center"/>
          </w:tcPr>
          <w:p w14:paraId="56A2618C">
            <w:pPr>
              <w:pStyle w:val="45"/>
              <w:rPr>
                <w:rFonts w:hint="default"/>
              </w:rPr>
            </w:pPr>
            <w:r>
              <w:rPr>
                <w:rFonts w:hint="default"/>
              </w:rPr>
              <w:t>1</w:t>
            </w:r>
          </w:p>
        </w:tc>
        <w:tc>
          <w:tcPr>
            <w:tcW w:w="602" w:type="pct"/>
            <w:shd w:val="clear" w:color="auto" w:fill="auto"/>
            <w:noWrap/>
            <w:vAlign w:val="center"/>
          </w:tcPr>
          <w:p w14:paraId="7D9C301F">
            <w:pPr>
              <w:pStyle w:val="45"/>
              <w:rPr>
                <w:rFonts w:hint="default"/>
              </w:rPr>
            </w:pPr>
          </w:p>
        </w:tc>
      </w:tr>
      <w:tr w14:paraId="478FF2F5">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5000" w:type="pct"/>
            <w:gridSpan w:val="6"/>
            <w:shd w:val="clear" w:color="auto" w:fill="auto"/>
            <w:vAlign w:val="center"/>
          </w:tcPr>
          <w:p w14:paraId="21411C53">
            <w:pPr>
              <w:pStyle w:val="45"/>
              <w:rPr>
                <w:rFonts w:hint="eastAsia" w:eastAsia="宋体"/>
                <w:lang w:val="en-US" w:eastAsia="zh-CN"/>
              </w:rPr>
            </w:pPr>
            <w:r>
              <w:rPr>
                <w:b/>
                <w:bCs/>
              </w:rPr>
              <w:t>二、氯酸钠精制</w:t>
            </w:r>
            <w:r>
              <w:rPr>
                <w:rFonts w:hint="eastAsia"/>
                <w:b/>
                <w:bCs/>
                <w:lang w:val="en-US" w:eastAsia="zh-CN"/>
              </w:rPr>
              <w:t>装置</w:t>
            </w:r>
          </w:p>
        </w:tc>
      </w:tr>
      <w:tr w14:paraId="4B08D8FA">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770828EE">
            <w:pPr>
              <w:pStyle w:val="45"/>
              <w:rPr>
                <w:rFonts w:hint="default"/>
              </w:rPr>
            </w:pPr>
            <w:r>
              <w:rPr>
                <w:rFonts w:hint="default"/>
              </w:rPr>
              <w:t>45</w:t>
            </w:r>
          </w:p>
        </w:tc>
        <w:tc>
          <w:tcPr>
            <w:tcW w:w="1348" w:type="pct"/>
            <w:shd w:val="clear" w:color="auto" w:fill="auto"/>
            <w:vAlign w:val="center"/>
          </w:tcPr>
          <w:p w14:paraId="171ABA7F">
            <w:pPr>
              <w:pStyle w:val="45"/>
              <w:rPr>
                <w:rFonts w:hint="default"/>
              </w:rPr>
            </w:pPr>
            <w:r>
              <w:t>氯酸钠溶解槽</w:t>
            </w:r>
          </w:p>
        </w:tc>
        <w:tc>
          <w:tcPr>
            <w:tcW w:w="1098" w:type="pct"/>
            <w:shd w:val="clear" w:color="auto" w:fill="auto"/>
            <w:vAlign w:val="center"/>
          </w:tcPr>
          <w:p w14:paraId="2F88E280">
            <w:pPr>
              <w:pStyle w:val="45"/>
              <w:rPr>
                <w:rFonts w:hint="default"/>
              </w:rPr>
            </w:pPr>
            <w:r>
              <w:t>Φ</w:t>
            </w:r>
            <w:r>
              <w:rPr>
                <w:rFonts w:hint="default"/>
              </w:rPr>
              <w:t>3500</w:t>
            </w:r>
            <w:r>
              <w:t>×</w:t>
            </w:r>
            <w:r>
              <w:rPr>
                <w:rFonts w:hint="default"/>
              </w:rPr>
              <w:t>4500</w:t>
            </w:r>
          </w:p>
        </w:tc>
        <w:tc>
          <w:tcPr>
            <w:tcW w:w="917" w:type="pct"/>
            <w:shd w:val="clear" w:color="auto" w:fill="auto"/>
            <w:vAlign w:val="center"/>
          </w:tcPr>
          <w:p w14:paraId="205B58F5">
            <w:pPr>
              <w:pStyle w:val="45"/>
              <w:rPr>
                <w:rFonts w:hint="default"/>
              </w:rPr>
            </w:pPr>
            <w:r>
              <w:rPr>
                <w:rFonts w:hint="default"/>
              </w:rPr>
              <w:t>316L</w:t>
            </w:r>
          </w:p>
        </w:tc>
        <w:tc>
          <w:tcPr>
            <w:tcW w:w="583" w:type="pct"/>
            <w:shd w:val="clear" w:color="auto" w:fill="auto"/>
            <w:vAlign w:val="center"/>
          </w:tcPr>
          <w:p w14:paraId="18EBA019">
            <w:pPr>
              <w:pStyle w:val="45"/>
              <w:rPr>
                <w:rFonts w:hint="default"/>
              </w:rPr>
            </w:pPr>
            <w:r>
              <w:rPr>
                <w:rFonts w:hint="default"/>
              </w:rPr>
              <w:t>3</w:t>
            </w:r>
          </w:p>
        </w:tc>
        <w:tc>
          <w:tcPr>
            <w:tcW w:w="602" w:type="pct"/>
            <w:shd w:val="clear" w:color="auto" w:fill="auto"/>
            <w:vAlign w:val="center"/>
          </w:tcPr>
          <w:p w14:paraId="1454D936">
            <w:pPr>
              <w:pStyle w:val="45"/>
              <w:rPr>
                <w:rFonts w:hint="default"/>
              </w:rPr>
            </w:pPr>
          </w:p>
        </w:tc>
      </w:tr>
      <w:tr w14:paraId="13C28DA2">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35D6C724">
            <w:pPr>
              <w:pStyle w:val="45"/>
              <w:rPr>
                <w:rFonts w:hint="default"/>
              </w:rPr>
            </w:pPr>
            <w:r>
              <w:rPr>
                <w:rFonts w:hint="default"/>
              </w:rPr>
              <w:t>46</w:t>
            </w:r>
          </w:p>
        </w:tc>
        <w:tc>
          <w:tcPr>
            <w:tcW w:w="1348" w:type="pct"/>
            <w:shd w:val="clear" w:color="auto" w:fill="auto"/>
            <w:vAlign w:val="center"/>
          </w:tcPr>
          <w:p w14:paraId="1B155D9B">
            <w:pPr>
              <w:pStyle w:val="45"/>
              <w:rPr>
                <w:rFonts w:hint="default"/>
              </w:rPr>
            </w:pPr>
            <w:r>
              <w:t>氯酸钠贮槽</w:t>
            </w:r>
          </w:p>
        </w:tc>
        <w:tc>
          <w:tcPr>
            <w:tcW w:w="1098" w:type="pct"/>
            <w:shd w:val="clear" w:color="auto" w:fill="auto"/>
            <w:vAlign w:val="center"/>
          </w:tcPr>
          <w:p w14:paraId="32BB9829">
            <w:pPr>
              <w:pStyle w:val="45"/>
              <w:rPr>
                <w:rFonts w:hint="default"/>
              </w:rPr>
            </w:pPr>
            <w:r>
              <w:t>Φ</w:t>
            </w:r>
            <w:r>
              <w:rPr>
                <w:rFonts w:hint="default"/>
              </w:rPr>
              <w:t>5000</w:t>
            </w:r>
            <w:r>
              <w:t>×</w:t>
            </w:r>
            <w:r>
              <w:rPr>
                <w:rFonts w:hint="default"/>
              </w:rPr>
              <w:t>6000</w:t>
            </w:r>
          </w:p>
        </w:tc>
        <w:tc>
          <w:tcPr>
            <w:tcW w:w="917" w:type="pct"/>
            <w:shd w:val="clear" w:color="auto" w:fill="auto"/>
            <w:vAlign w:val="center"/>
          </w:tcPr>
          <w:p w14:paraId="42E46828">
            <w:pPr>
              <w:pStyle w:val="45"/>
              <w:rPr>
                <w:rFonts w:hint="default"/>
              </w:rPr>
            </w:pPr>
            <w:r>
              <w:t>玻璃钢</w:t>
            </w:r>
          </w:p>
        </w:tc>
        <w:tc>
          <w:tcPr>
            <w:tcW w:w="583" w:type="pct"/>
            <w:shd w:val="clear" w:color="auto" w:fill="auto"/>
            <w:vAlign w:val="center"/>
          </w:tcPr>
          <w:p w14:paraId="3B64D80E">
            <w:pPr>
              <w:pStyle w:val="45"/>
              <w:rPr>
                <w:rFonts w:hint="default"/>
              </w:rPr>
            </w:pPr>
            <w:r>
              <w:rPr>
                <w:rFonts w:hint="default"/>
              </w:rPr>
              <w:t>4</w:t>
            </w:r>
          </w:p>
        </w:tc>
        <w:tc>
          <w:tcPr>
            <w:tcW w:w="602" w:type="pct"/>
            <w:shd w:val="clear" w:color="auto" w:fill="auto"/>
            <w:vAlign w:val="center"/>
          </w:tcPr>
          <w:p w14:paraId="584EB528">
            <w:pPr>
              <w:pStyle w:val="45"/>
              <w:rPr>
                <w:rFonts w:hint="default"/>
              </w:rPr>
            </w:pPr>
          </w:p>
        </w:tc>
      </w:tr>
      <w:tr w14:paraId="4061E243">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5BCA9F29">
            <w:pPr>
              <w:pStyle w:val="45"/>
              <w:rPr>
                <w:rFonts w:hint="default"/>
              </w:rPr>
            </w:pPr>
            <w:r>
              <w:rPr>
                <w:rFonts w:hint="default"/>
              </w:rPr>
              <w:t>47</w:t>
            </w:r>
          </w:p>
        </w:tc>
        <w:tc>
          <w:tcPr>
            <w:tcW w:w="1348" w:type="pct"/>
            <w:shd w:val="clear" w:color="auto" w:fill="auto"/>
            <w:vAlign w:val="center"/>
          </w:tcPr>
          <w:p w14:paraId="6DA530B5">
            <w:pPr>
              <w:pStyle w:val="45"/>
              <w:rPr>
                <w:rFonts w:hint="default"/>
              </w:rPr>
            </w:pPr>
            <w:r>
              <w:t>膜过滤器</w:t>
            </w:r>
          </w:p>
        </w:tc>
        <w:tc>
          <w:tcPr>
            <w:tcW w:w="1098" w:type="pct"/>
            <w:shd w:val="clear" w:color="auto" w:fill="auto"/>
            <w:vAlign w:val="center"/>
          </w:tcPr>
          <w:p w14:paraId="604A2E96">
            <w:pPr>
              <w:pStyle w:val="45"/>
              <w:rPr>
                <w:rFonts w:hint="default"/>
              </w:rPr>
            </w:pPr>
          </w:p>
        </w:tc>
        <w:tc>
          <w:tcPr>
            <w:tcW w:w="917" w:type="pct"/>
            <w:shd w:val="clear" w:color="auto" w:fill="auto"/>
            <w:vAlign w:val="center"/>
          </w:tcPr>
          <w:p w14:paraId="2066777F">
            <w:pPr>
              <w:pStyle w:val="45"/>
              <w:rPr>
                <w:rFonts w:hint="default"/>
              </w:rPr>
            </w:pPr>
          </w:p>
        </w:tc>
        <w:tc>
          <w:tcPr>
            <w:tcW w:w="583" w:type="pct"/>
            <w:shd w:val="clear" w:color="auto" w:fill="auto"/>
            <w:vAlign w:val="center"/>
          </w:tcPr>
          <w:p w14:paraId="599C2CB6">
            <w:pPr>
              <w:pStyle w:val="45"/>
              <w:rPr>
                <w:rFonts w:hint="default"/>
              </w:rPr>
            </w:pPr>
            <w:r>
              <w:rPr>
                <w:rFonts w:hint="default"/>
              </w:rPr>
              <w:t>1</w:t>
            </w:r>
          </w:p>
        </w:tc>
        <w:tc>
          <w:tcPr>
            <w:tcW w:w="602" w:type="pct"/>
            <w:shd w:val="clear" w:color="auto" w:fill="auto"/>
            <w:vAlign w:val="center"/>
          </w:tcPr>
          <w:p w14:paraId="053AA746">
            <w:pPr>
              <w:pStyle w:val="45"/>
              <w:rPr>
                <w:rFonts w:hint="default"/>
              </w:rPr>
            </w:pPr>
          </w:p>
        </w:tc>
      </w:tr>
      <w:tr w14:paraId="4926C14E">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779D59DE">
            <w:pPr>
              <w:pStyle w:val="45"/>
              <w:rPr>
                <w:rFonts w:hint="default"/>
              </w:rPr>
            </w:pPr>
            <w:r>
              <w:rPr>
                <w:rFonts w:hint="default"/>
              </w:rPr>
              <w:t>48</w:t>
            </w:r>
          </w:p>
        </w:tc>
        <w:tc>
          <w:tcPr>
            <w:tcW w:w="1348" w:type="pct"/>
            <w:shd w:val="clear" w:color="auto" w:fill="auto"/>
            <w:vAlign w:val="center"/>
          </w:tcPr>
          <w:p w14:paraId="3A9A4E2F">
            <w:pPr>
              <w:pStyle w:val="45"/>
              <w:rPr>
                <w:rFonts w:hint="default"/>
              </w:rPr>
            </w:pPr>
            <w:r>
              <w:t>板框压滤机</w:t>
            </w:r>
          </w:p>
        </w:tc>
        <w:tc>
          <w:tcPr>
            <w:tcW w:w="1098" w:type="pct"/>
            <w:shd w:val="clear" w:color="auto" w:fill="auto"/>
            <w:vAlign w:val="center"/>
          </w:tcPr>
          <w:p w14:paraId="35915919">
            <w:pPr>
              <w:pStyle w:val="45"/>
              <w:rPr>
                <w:rFonts w:hint="default"/>
              </w:rPr>
            </w:pPr>
          </w:p>
        </w:tc>
        <w:tc>
          <w:tcPr>
            <w:tcW w:w="917" w:type="pct"/>
            <w:shd w:val="clear" w:color="auto" w:fill="auto"/>
            <w:vAlign w:val="center"/>
          </w:tcPr>
          <w:p w14:paraId="3AEA70BF">
            <w:pPr>
              <w:pStyle w:val="45"/>
              <w:rPr>
                <w:rFonts w:hint="default"/>
              </w:rPr>
            </w:pPr>
          </w:p>
        </w:tc>
        <w:tc>
          <w:tcPr>
            <w:tcW w:w="583" w:type="pct"/>
            <w:shd w:val="clear" w:color="auto" w:fill="auto"/>
            <w:vAlign w:val="center"/>
          </w:tcPr>
          <w:p w14:paraId="1B844221">
            <w:pPr>
              <w:pStyle w:val="45"/>
              <w:rPr>
                <w:rFonts w:hint="default"/>
              </w:rPr>
            </w:pPr>
            <w:r>
              <w:rPr>
                <w:rFonts w:hint="default"/>
              </w:rPr>
              <w:t>1</w:t>
            </w:r>
          </w:p>
        </w:tc>
        <w:tc>
          <w:tcPr>
            <w:tcW w:w="602" w:type="pct"/>
            <w:shd w:val="clear" w:color="auto" w:fill="auto"/>
            <w:vAlign w:val="center"/>
          </w:tcPr>
          <w:p w14:paraId="79B40C65">
            <w:pPr>
              <w:pStyle w:val="45"/>
              <w:rPr>
                <w:rFonts w:hint="default"/>
              </w:rPr>
            </w:pPr>
          </w:p>
        </w:tc>
      </w:tr>
      <w:tr w14:paraId="07A89452">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5000" w:type="pct"/>
            <w:gridSpan w:val="6"/>
            <w:shd w:val="clear" w:color="auto" w:fill="auto"/>
            <w:vAlign w:val="center"/>
          </w:tcPr>
          <w:p w14:paraId="1A7B405F">
            <w:pPr>
              <w:pStyle w:val="45"/>
              <w:rPr>
                <w:rFonts w:hint="eastAsia" w:eastAsia="宋体"/>
                <w:lang w:val="en-US" w:eastAsia="zh-CN"/>
              </w:rPr>
            </w:pPr>
            <w:r>
              <w:rPr>
                <w:b/>
                <w:bCs/>
              </w:rPr>
              <w:t>三、二次电解</w:t>
            </w:r>
            <w:r>
              <w:rPr>
                <w:rFonts w:hint="eastAsia"/>
                <w:b/>
                <w:bCs/>
                <w:lang w:val="en-US" w:eastAsia="zh-CN"/>
              </w:rPr>
              <w:t>装置</w:t>
            </w:r>
          </w:p>
        </w:tc>
      </w:tr>
      <w:tr w14:paraId="45B7B870">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462" w:hRule="atLeast"/>
        </w:trPr>
        <w:tc>
          <w:tcPr>
            <w:tcW w:w="450" w:type="pct"/>
            <w:shd w:val="clear" w:color="auto" w:fill="auto"/>
            <w:noWrap/>
            <w:vAlign w:val="center"/>
          </w:tcPr>
          <w:p w14:paraId="69527129">
            <w:pPr>
              <w:pStyle w:val="45"/>
              <w:rPr>
                <w:rFonts w:hint="default"/>
              </w:rPr>
            </w:pPr>
            <w:r>
              <w:rPr>
                <w:rFonts w:hint="default"/>
              </w:rPr>
              <w:t>49</w:t>
            </w:r>
          </w:p>
        </w:tc>
        <w:tc>
          <w:tcPr>
            <w:tcW w:w="1348" w:type="pct"/>
            <w:shd w:val="clear" w:color="auto" w:fill="auto"/>
            <w:vAlign w:val="center"/>
          </w:tcPr>
          <w:p w14:paraId="5B31E6E8">
            <w:pPr>
              <w:pStyle w:val="45"/>
              <w:rPr>
                <w:rFonts w:hint="default"/>
              </w:rPr>
            </w:pPr>
            <w:r>
              <w:t>氯酸钠电解槽</w:t>
            </w:r>
          </w:p>
        </w:tc>
        <w:tc>
          <w:tcPr>
            <w:tcW w:w="1098" w:type="pct"/>
            <w:shd w:val="clear" w:color="auto" w:fill="auto"/>
            <w:vAlign w:val="center"/>
          </w:tcPr>
          <w:p w14:paraId="20B51B29">
            <w:pPr>
              <w:pStyle w:val="45"/>
              <w:rPr>
                <w:rFonts w:hint="default"/>
              </w:rPr>
            </w:pPr>
          </w:p>
        </w:tc>
        <w:tc>
          <w:tcPr>
            <w:tcW w:w="917" w:type="pct"/>
            <w:shd w:val="clear" w:color="auto" w:fill="auto"/>
            <w:vAlign w:val="center"/>
          </w:tcPr>
          <w:p w14:paraId="37208B0E">
            <w:pPr>
              <w:pStyle w:val="45"/>
              <w:rPr>
                <w:rFonts w:hint="default"/>
              </w:rPr>
            </w:pPr>
            <w:r>
              <w:t>定型设备</w:t>
            </w:r>
          </w:p>
        </w:tc>
        <w:tc>
          <w:tcPr>
            <w:tcW w:w="583" w:type="pct"/>
            <w:shd w:val="clear" w:color="auto" w:fill="auto"/>
            <w:vAlign w:val="center"/>
          </w:tcPr>
          <w:p w14:paraId="59990F77">
            <w:pPr>
              <w:pStyle w:val="45"/>
              <w:rPr>
                <w:rFonts w:hint="default"/>
              </w:rPr>
            </w:pPr>
            <w:r>
              <w:rPr>
                <w:rFonts w:hint="default"/>
              </w:rPr>
              <w:t>144</w:t>
            </w:r>
            <w:r>
              <w:t>台</w:t>
            </w:r>
          </w:p>
        </w:tc>
        <w:tc>
          <w:tcPr>
            <w:tcW w:w="602" w:type="pct"/>
            <w:shd w:val="clear" w:color="auto" w:fill="auto"/>
            <w:vAlign w:val="center"/>
          </w:tcPr>
          <w:p w14:paraId="492FCFBC">
            <w:pPr>
              <w:pStyle w:val="45"/>
              <w:rPr>
                <w:rFonts w:hint="default"/>
              </w:rPr>
            </w:pPr>
            <w:r>
              <w:rPr>
                <w:rFonts w:hint="default"/>
              </w:rPr>
              <w:t>生产高氯酸钠</w:t>
            </w:r>
          </w:p>
        </w:tc>
      </w:tr>
      <w:tr w14:paraId="12F8902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7273F988">
            <w:pPr>
              <w:pStyle w:val="45"/>
              <w:rPr>
                <w:rFonts w:hint="default"/>
              </w:rPr>
            </w:pPr>
            <w:r>
              <w:rPr>
                <w:rFonts w:hint="default"/>
              </w:rPr>
              <w:t>50</w:t>
            </w:r>
          </w:p>
        </w:tc>
        <w:tc>
          <w:tcPr>
            <w:tcW w:w="1348" w:type="pct"/>
            <w:shd w:val="clear" w:color="auto" w:fill="auto"/>
            <w:vAlign w:val="center"/>
          </w:tcPr>
          <w:p w14:paraId="14364A9B">
            <w:pPr>
              <w:pStyle w:val="45"/>
              <w:rPr>
                <w:rFonts w:hint="default"/>
              </w:rPr>
            </w:pPr>
            <w:r>
              <w:t>氯酸钠高位槽</w:t>
            </w:r>
          </w:p>
        </w:tc>
        <w:tc>
          <w:tcPr>
            <w:tcW w:w="1098" w:type="pct"/>
            <w:shd w:val="clear" w:color="auto" w:fill="auto"/>
            <w:vAlign w:val="center"/>
          </w:tcPr>
          <w:p w14:paraId="1DE35753">
            <w:pPr>
              <w:pStyle w:val="45"/>
              <w:rPr>
                <w:rFonts w:hint="default"/>
              </w:rPr>
            </w:pPr>
            <w:r>
              <w:t>Φ</w:t>
            </w:r>
            <w:r>
              <w:rPr>
                <w:rFonts w:hint="default"/>
              </w:rPr>
              <w:t>5000</w:t>
            </w:r>
            <w:r>
              <w:t>×</w:t>
            </w:r>
            <w:r>
              <w:rPr>
                <w:rFonts w:hint="default"/>
              </w:rPr>
              <w:t>6000</w:t>
            </w:r>
          </w:p>
        </w:tc>
        <w:tc>
          <w:tcPr>
            <w:tcW w:w="917" w:type="pct"/>
            <w:shd w:val="clear" w:color="auto" w:fill="auto"/>
            <w:vAlign w:val="center"/>
          </w:tcPr>
          <w:p w14:paraId="44556929">
            <w:pPr>
              <w:pStyle w:val="45"/>
              <w:rPr>
                <w:rFonts w:hint="default"/>
              </w:rPr>
            </w:pPr>
            <w:r>
              <w:t>玻璃钢</w:t>
            </w:r>
          </w:p>
        </w:tc>
        <w:tc>
          <w:tcPr>
            <w:tcW w:w="583" w:type="pct"/>
            <w:shd w:val="clear" w:color="auto" w:fill="auto"/>
            <w:vAlign w:val="center"/>
          </w:tcPr>
          <w:p w14:paraId="1CD72A4C">
            <w:pPr>
              <w:pStyle w:val="45"/>
              <w:rPr>
                <w:rFonts w:hint="default"/>
              </w:rPr>
            </w:pPr>
            <w:r>
              <w:rPr>
                <w:rFonts w:hint="default"/>
              </w:rPr>
              <w:t>1-</w:t>
            </w:r>
          </w:p>
        </w:tc>
        <w:tc>
          <w:tcPr>
            <w:tcW w:w="602" w:type="pct"/>
            <w:shd w:val="clear" w:color="auto" w:fill="auto"/>
            <w:vAlign w:val="center"/>
          </w:tcPr>
          <w:p w14:paraId="48DA9730">
            <w:pPr>
              <w:pStyle w:val="45"/>
              <w:rPr>
                <w:rFonts w:hint="default"/>
              </w:rPr>
            </w:pPr>
          </w:p>
        </w:tc>
      </w:tr>
      <w:tr w14:paraId="056479B5">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7DE2AA34">
            <w:pPr>
              <w:pStyle w:val="45"/>
              <w:rPr>
                <w:rFonts w:hint="default"/>
              </w:rPr>
            </w:pPr>
            <w:r>
              <w:rPr>
                <w:rFonts w:hint="default"/>
              </w:rPr>
              <w:t>51</w:t>
            </w:r>
          </w:p>
        </w:tc>
        <w:tc>
          <w:tcPr>
            <w:tcW w:w="1348" w:type="pct"/>
            <w:shd w:val="clear" w:color="auto" w:fill="auto"/>
            <w:vAlign w:val="center"/>
          </w:tcPr>
          <w:p w14:paraId="2BC83957">
            <w:pPr>
              <w:pStyle w:val="45"/>
              <w:rPr>
                <w:rFonts w:hint="default"/>
              </w:rPr>
            </w:pPr>
            <w:r>
              <w:t>碱液洗涤塔</w:t>
            </w:r>
          </w:p>
        </w:tc>
        <w:tc>
          <w:tcPr>
            <w:tcW w:w="1098" w:type="pct"/>
            <w:shd w:val="clear" w:color="auto" w:fill="auto"/>
            <w:vAlign w:val="center"/>
          </w:tcPr>
          <w:p w14:paraId="1CC05293">
            <w:pPr>
              <w:pStyle w:val="45"/>
              <w:rPr>
                <w:rFonts w:hint="default"/>
              </w:rPr>
            </w:pPr>
            <w:r>
              <w:t>Φ</w:t>
            </w:r>
            <w:r>
              <w:rPr>
                <w:rFonts w:hint="default"/>
              </w:rPr>
              <w:t>2000</w:t>
            </w:r>
            <w:r>
              <w:t>×</w:t>
            </w:r>
            <w:r>
              <w:rPr>
                <w:rFonts w:hint="default"/>
              </w:rPr>
              <w:t>4500</w:t>
            </w:r>
          </w:p>
        </w:tc>
        <w:tc>
          <w:tcPr>
            <w:tcW w:w="917" w:type="pct"/>
            <w:shd w:val="clear" w:color="auto" w:fill="auto"/>
            <w:vAlign w:val="center"/>
          </w:tcPr>
          <w:p w14:paraId="077FE83F">
            <w:pPr>
              <w:pStyle w:val="45"/>
              <w:rPr>
                <w:rFonts w:hint="default"/>
              </w:rPr>
            </w:pPr>
            <w:r>
              <w:t>玻璃钢</w:t>
            </w:r>
          </w:p>
        </w:tc>
        <w:tc>
          <w:tcPr>
            <w:tcW w:w="583" w:type="pct"/>
            <w:shd w:val="clear" w:color="auto" w:fill="auto"/>
            <w:vAlign w:val="center"/>
          </w:tcPr>
          <w:p w14:paraId="2F31AE49">
            <w:pPr>
              <w:pStyle w:val="45"/>
              <w:rPr>
                <w:rFonts w:hint="default"/>
              </w:rPr>
            </w:pPr>
            <w:r>
              <w:rPr>
                <w:rFonts w:hint="default"/>
              </w:rPr>
              <w:t>4</w:t>
            </w:r>
            <w:r>
              <w:t>台</w:t>
            </w:r>
          </w:p>
        </w:tc>
        <w:tc>
          <w:tcPr>
            <w:tcW w:w="602" w:type="pct"/>
            <w:shd w:val="clear" w:color="auto" w:fill="auto"/>
            <w:vAlign w:val="center"/>
          </w:tcPr>
          <w:p w14:paraId="5F62A26D">
            <w:pPr>
              <w:pStyle w:val="45"/>
              <w:rPr>
                <w:rFonts w:hint="default"/>
              </w:rPr>
            </w:pPr>
          </w:p>
        </w:tc>
      </w:tr>
      <w:tr w14:paraId="1E399E5E">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267B5BCD">
            <w:pPr>
              <w:pStyle w:val="45"/>
              <w:rPr>
                <w:rFonts w:hint="default"/>
              </w:rPr>
            </w:pPr>
            <w:r>
              <w:rPr>
                <w:rFonts w:hint="default"/>
              </w:rPr>
              <w:t>52</w:t>
            </w:r>
          </w:p>
        </w:tc>
        <w:tc>
          <w:tcPr>
            <w:tcW w:w="1348" w:type="pct"/>
            <w:shd w:val="clear" w:color="auto" w:fill="auto"/>
            <w:vAlign w:val="center"/>
          </w:tcPr>
          <w:p w14:paraId="4C4106A6">
            <w:pPr>
              <w:pStyle w:val="45"/>
              <w:rPr>
                <w:rFonts w:hint="default"/>
              </w:rPr>
            </w:pPr>
            <w:r>
              <w:t>电解中间槽</w:t>
            </w:r>
          </w:p>
        </w:tc>
        <w:tc>
          <w:tcPr>
            <w:tcW w:w="1098" w:type="pct"/>
            <w:shd w:val="clear" w:color="auto" w:fill="auto"/>
            <w:vAlign w:val="center"/>
          </w:tcPr>
          <w:p w14:paraId="70C8E91F">
            <w:pPr>
              <w:pStyle w:val="45"/>
              <w:rPr>
                <w:rFonts w:hint="default"/>
              </w:rPr>
            </w:pPr>
          </w:p>
        </w:tc>
        <w:tc>
          <w:tcPr>
            <w:tcW w:w="917" w:type="pct"/>
            <w:shd w:val="clear" w:color="auto" w:fill="auto"/>
            <w:vAlign w:val="center"/>
          </w:tcPr>
          <w:p w14:paraId="357D0B2C">
            <w:pPr>
              <w:pStyle w:val="45"/>
              <w:rPr>
                <w:rFonts w:hint="default"/>
              </w:rPr>
            </w:pPr>
            <w:r>
              <w:rPr>
                <w:rFonts w:hint="default"/>
              </w:rPr>
              <w:t>316L</w:t>
            </w:r>
          </w:p>
        </w:tc>
        <w:tc>
          <w:tcPr>
            <w:tcW w:w="583" w:type="pct"/>
            <w:shd w:val="clear" w:color="auto" w:fill="auto"/>
            <w:vAlign w:val="center"/>
          </w:tcPr>
          <w:p w14:paraId="6BD1B5A2">
            <w:pPr>
              <w:pStyle w:val="45"/>
              <w:rPr>
                <w:rFonts w:hint="default"/>
              </w:rPr>
            </w:pPr>
            <w:r>
              <w:rPr>
                <w:rFonts w:hint="default"/>
              </w:rPr>
              <w:t>12</w:t>
            </w:r>
            <w:r>
              <w:t>台</w:t>
            </w:r>
          </w:p>
        </w:tc>
        <w:tc>
          <w:tcPr>
            <w:tcW w:w="602" w:type="pct"/>
            <w:shd w:val="clear" w:color="auto" w:fill="auto"/>
            <w:vAlign w:val="center"/>
          </w:tcPr>
          <w:p w14:paraId="0042761D">
            <w:pPr>
              <w:pStyle w:val="45"/>
              <w:rPr>
                <w:rFonts w:hint="default"/>
              </w:rPr>
            </w:pPr>
          </w:p>
        </w:tc>
      </w:tr>
      <w:tr w14:paraId="4D9FD78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5CC8177E">
            <w:pPr>
              <w:pStyle w:val="45"/>
              <w:rPr>
                <w:rFonts w:hint="default"/>
              </w:rPr>
            </w:pPr>
            <w:r>
              <w:rPr>
                <w:rFonts w:hint="default"/>
              </w:rPr>
              <w:t>53</w:t>
            </w:r>
          </w:p>
        </w:tc>
        <w:tc>
          <w:tcPr>
            <w:tcW w:w="1348" w:type="pct"/>
            <w:shd w:val="clear" w:color="auto" w:fill="auto"/>
            <w:vAlign w:val="center"/>
          </w:tcPr>
          <w:p w14:paraId="18B22A26">
            <w:pPr>
              <w:pStyle w:val="45"/>
              <w:rPr>
                <w:rFonts w:hint="default"/>
              </w:rPr>
            </w:pPr>
            <w:r>
              <w:t>热交换器</w:t>
            </w:r>
          </w:p>
        </w:tc>
        <w:tc>
          <w:tcPr>
            <w:tcW w:w="1098" w:type="pct"/>
            <w:shd w:val="clear" w:color="auto" w:fill="auto"/>
            <w:vAlign w:val="center"/>
          </w:tcPr>
          <w:p w14:paraId="0E1C9D27">
            <w:pPr>
              <w:pStyle w:val="45"/>
              <w:rPr>
                <w:rFonts w:hint="default"/>
              </w:rPr>
            </w:pPr>
          </w:p>
        </w:tc>
        <w:tc>
          <w:tcPr>
            <w:tcW w:w="917" w:type="pct"/>
            <w:shd w:val="clear" w:color="auto" w:fill="auto"/>
            <w:vAlign w:val="center"/>
          </w:tcPr>
          <w:p w14:paraId="1DAA1BF8">
            <w:pPr>
              <w:pStyle w:val="45"/>
              <w:rPr>
                <w:rFonts w:hint="default"/>
              </w:rPr>
            </w:pPr>
            <w:r>
              <w:rPr>
                <w:rFonts w:hint="default"/>
              </w:rPr>
              <w:t>316L</w:t>
            </w:r>
          </w:p>
        </w:tc>
        <w:tc>
          <w:tcPr>
            <w:tcW w:w="583" w:type="pct"/>
            <w:shd w:val="clear" w:color="auto" w:fill="auto"/>
            <w:vAlign w:val="center"/>
          </w:tcPr>
          <w:p w14:paraId="1AA2BE21">
            <w:pPr>
              <w:pStyle w:val="45"/>
              <w:rPr>
                <w:rFonts w:hint="default"/>
              </w:rPr>
            </w:pPr>
            <w:r>
              <w:rPr>
                <w:rFonts w:hint="default"/>
              </w:rPr>
              <w:t>12</w:t>
            </w:r>
            <w:r>
              <w:t>台</w:t>
            </w:r>
          </w:p>
        </w:tc>
        <w:tc>
          <w:tcPr>
            <w:tcW w:w="602" w:type="pct"/>
            <w:shd w:val="clear" w:color="auto" w:fill="auto"/>
            <w:vAlign w:val="center"/>
          </w:tcPr>
          <w:p w14:paraId="5F1DD2EB">
            <w:pPr>
              <w:pStyle w:val="45"/>
              <w:rPr>
                <w:rFonts w:hint="default"/>
              </w:rPr>
            </w:pPr>
          </w:p>
        </w:tc>
      </w:tr>
      <w:tr w14:paraId="76B7D657">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65679221">
            <w:pPr>
              <w:pStyle w:val="45"/>
              <w:rPr>
                <w:rFonts w:hint="default"/>
              </w:rPr>
            </w:pPr>
            <w:r>
              <w:rPr>
                <w:rFonts w:hint="default"/>
              </w:rPr>
              <w:t>54</w:t>
            </w:r>
          </w:p>
        </w:tc>
        <w:tc>
          <w:tcPr>
            <w:tcW w:w="1348" w:type="pct"/>
            <w:shd w:val="clear" w:color="auto" w:fill="auto"/>
            <w:vAlign w:val="center"/>
          </w:tcPr>
          <w:p w14:paraId="07BD23B4">
            <w:pPr>
              <w:pStyle w:val="45"/>
              <w:rPr>
                <w:rFonts w:hint="default"/>
              </w:rPr>
            </w:pPr>
            <w:r>
              <w:t>高氯酸钠贮槽</w:t>
            </w:r>
          </w:p>
        </w:tc>
        <w:tc>
          <w:tcPr>
            <w:tcW w:w="1098" w:type="pct"/>
            <w:shd w:val="clear" w:color="auto" w:fill="auto"/>
            <w:vAlign w:val="center"/>
          </w:tcPr>
          <w:p w14:paraId="794D511E">
            <w:pPr>
              <w:pStyle w:val="45"/>
              <w:rPr>
                <w:rFonts w:hint="default"/>
              </w:rPr>
            </w:pPr>
          </w:p>
        </w:tc>
        <w:tc>
          <w:tcPr>
            <w:tcW w:w="917" w:type="pct"/>
            <w:shd w:val="clear" w:color="auto" w:fill="auto"/>
            <w:vAlign w:val="center"/>
          </w:tcPr>
          <w:p w14:paraId="6F54CE70">
            <w:pPr>
              <w:pStyle w:val="45"/>
              <w:rPr>
                <w:rFonts w:hint="default"/>
              </w:rPr>
            </w:pPr>
          </w:p>
        </w:tc>
        <w:tc>
          <w:tcPr>
            <w:tcW w:w="583" w:type="pct"/>
            <w:shd w:val="clear" w:color="auto" w:fill="auto"/>
            <w:vAlign w:val="center"/>
          </w:tcPr>
          <w:p w14:paraId="7A457572">
            <w:pPr>
              <w:pStyle w:val="45"/>
              <w:rPr>
                <w:rFonts w:hint="default"/>
              </w:rPr>
            </w:pPr>
            <w:r>
              <w:rPr>
                <w:rFonts w:hint="default"/>
              </w:rPr>
              <w:t>4</w:t>
            </w:r>
          </w:p>
        </w:tc>
        <w:tc>
          <w:tcPr>
            <w:tcW w:w="602" w:type="pct"/>
            <w:shd w:val="clear" w:color="auto" w:fill="auto"/>
            <w:noWrap/>
            <w:vAlign w:val="center"/>
          </w:tcPr>
          <w:p w14:paraId="1447FDBB">
            <w:pPr>
              <w:pStyle w:val="45"/>
              <w:rPr>
                <w:rFonts w:hint="default"/>
              </w:rPr>
            </w:pPr>
          </w:p>
        </w:tc>
      </w:tr>
      <w:tr w14:paraId="1BEB534A">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5000" w:type="pct"/>
            <w:gridSpan w:val="6"/>
            <w:shd w:val="clear" w:color="auto" w:fill="auto"/>
            <w:noWrap/>
            <w:vAlign w:val="center"/>
          </w:tcPr>
          <w:p w14:paraId="3EAEFFC8">
            <w:pPr>
              <w:pStyle w:val="45"/>
              <w:rPr>
                <w:rFonts w:hint="default" w:eastAsia="宋体"/>
                <w:lang w:val="en-US" w:eastAsia="zh-CN"/>
              </w:rPr>
            </w:pPr>
            <w:r>
              <w:rPr>
                <w:b/>
                <w:bCs/>
              </w:rPr>
              <w:t>四、复分解</w:t>
            </w:r>
            <w:r>
              <w:rPr>
                <w:rFonts w:hint="eastAsia"/>
                <w:b/>
                <w:bCs/>
                <w:lang w:val="en-US" w:eastAsia="zh-CN"/>
              </w:rPr>
              <w:t>装置</w:t>
            </w:r>
          </w:p>
        </w:tc>
      </w:tr>
      <w:tr w14:paraId="5D40F12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3AAC06C3">
            <w:pPr>
              <w:pStyle w:val="45"/>
              <w:rPr>
                <w:rFonts w:hint="default"/>
              </w:rPr>
            </w:pPr>
            <w:r>
              <w:rPr>
                <w:rFonts w:hint="default"/>
              </w:rPr>
              <w:t>55</w:t>
            </w:r>
          </w:p>
        </w:tc>
        <w:tc>
          <w:tcPr>
            <w:tcW w:w="1348" w:type="pct"/>
            <w:shd w:val="clear" w:color="auto" w:fill="auto"/>
            <w:vAlign w:val="center"/>
          </w:tcPr>
          <w:p w14:paraId="1AE20AB5">
            <w:pPr>
              <w:pStyle w:val="45"/>
              <w:rPr>
                <w:rFonts w:hint="default"/>
              </w:rPr>
            </w:pPr>
            <w:r>
              <w:t>化钾槽</w:t>
            </w:r>
          </w:p>
        </w:tc>
        <w:tc>
          <w:tcPr>
            <w:tcW w:w="1098" w:type="pct"/>
            <w:shd w:val="clear" w:color="auto" w:fill="auto"/>
            <w:vAlign w:val="center"/>
          </w:tcPr>
          <w:p w14:paraId="3C3A490C">
            <w:pPr>
              <w:pStyle w:val="45"/>
              <w:rPr>
                <w:rFonts w:hint="default"/>
              </w:rPr>
            </w:pPr>
            <w:r>
              <w:t>Φ</w:t>
            </w:r>
            <w:r>
              <w:rPr>
                <w:rFonts w:hint="default"/>
              </w:rPr>
              <w:t>3000</w:t>
            </w:r>
            <w:r>
              <w:t>×</w:t>
            </w:r>
            <w:r>
              <w:rPr>
                <w:rFonts w:hint="default"/>
              </w:rPr>
              <w:t>3000</w:t>
            </w:r>
            <w:r>
              <w:t>×</w:t>
            </w:r>
            <w:r>
              <w:rPr>
                <w:rFonts w:hint="default"/>
              </w:rPr>
              <w:t>6</w:t>
            </w:r>
          </w:p>
        </w:tc>
        <w:tc>
          <w:tcPr>
            <w:tcW w:w="917" w:type="pct"/>
            <w:shd w:val="clear" w:color="auto" w:fill="auto"/>
            <w:vAlign w:val="center"/>
          </w:tcPr>
          <w:p w14:paraId="023B30AB">
            <w:pPr>
              <w:pStyle w:val="45"/>
              <w:rPr>
                <w:rFonts w:hint="default"/>
              </w:rPr>
            </w:pPr>
            <w:r>
              <w:rPr>
                <w:rFonts w:hint="default"/>
              </w:rPr>
              <w:t>321</w:t>
            </w:r>
          </w:p>
        </w:tc>
        <w:tc>
          <w:tcPr>
            <w:tcW w:w="583" w:type="pct"/>
            <w:shd w:val="clear" w:color="auto" w:fill="auto"/>
            <w:vAlign w:val="center"/>
          </w:tcPr>
          <w:p w14:paraId="24FE5BFC">
            <w:pPr>
              <w:pStyle w:val="45"/>
              <w:rPr>
                <w:rFonts w:hint="default"/>
              </w:rPr>
            </w:pPr>
            <w:r>
              <w:rPr>
                <w:rFonts w:hint="default"/>
              </w:rPr>
              <w:t>2</w:t>
            </w:r>
          </w:p>
        </w:tc>
        <w:tc>
          <w:tcPr>
            <w:tcW w:w="602" w:type="pct"/>
            <w:shd w:val="clear" w:color="auto" w:fill="auto"/>
            <w:vAlign w:val="center"/>
          </w:tcPr>
          <w:p w14:paraId="2CD0DD4F">
            <w:pPr>
              <w:pStyle w:val="45"/>
              <w:rPr>
                <w:rFonts w:hint="default"/>
              </w:rPr>
            </w:pPr>
          </w:p>
        </w:tc>
      </w:tr>
      <w:tr w14:paraId="4B3F0588">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070E2AE0">
            <w:pPr>
              <w:pStyle w:val="45"/>
              <w:rPr>
                <w:rFonts w:hint="default"/>
              </w:rPr>
            </w:pPr>
            <w:r>
              <w:rPr>
                <w:rFonts w:hint="default"/>
              </w:rPr>
              <w:t>56</w:t>
            </w:r>
          </w:p>
        </w:tc>
        <w:tc>
          <w:tcPr>
            <w:tcW w:w="1348" w:type="pct"/>
            <w:shd w:val="clear" w:color="auto" w:fill="auto"/>
            <w:vAlign w:val="center"/>
          </w:tcPr>
          <w:p w14:paraId="1B0472D2">
            <w:pPr>
              <w:pStyle w:val="45"/>
              <w:rPr>
                <w:rFonts w:hint="default"/>
              </w:rPr>
            </w:pPr>
            <w:r>
              <w:t>氯化钾贮槽</w:t>
            </w:r>
          </w:p>
        </w:tc>
        <w:tc>
          <w:tcPr>
            <w:tcW w:w="1098" w:type="pct"/>
            <w:shd w:val="clear" w:color="auto" w:fill="auto"/>
            <w:vAlign w:val="center"/>
          </w:tcPr>
          <w:p w14:paraId="43B1A89E">
            <w:pPr>
              <w:pStyle w:val="45"/>
              <w:rPr>
                <w:rFonts w:hint="default"/>
              </w:rPr>
            </w:pPr>
            <w:r>
              <w:t>Φ</w:t>
            </w:r>
            <w:r>
              <w:rPr>
                <w:rFonts w:hint="default"/>
              </w:rPr>
              <w:t>5000</w:t>
            </w:r>
            <w:r>
              <w:t>×</w:t>
            </w:r>
            <w:r>
              <w:rPr>
                <w:rFonts w:hint="default"/>
              </w:rPr>
              <w:t>6000</w:t>
            </w:r>
            <w:r>
              <w:t>×</w:t>
            </w:r>
            <w:r>
              <w:rPr>
                <w:rFonts w:hint="default"/>
              </w:rPr>
              <w:t>6</w:t>
            </w:r>
          </w:p>
        </w:tc>
        <w:tc>
          <w:tcPr>
            <w:tcW w:w="917" w:type="pct"/>
            <w:shd w:val="clear" w:color="auto" w:fill="auto"/>
            <w:vAlign w:val="center"/>
          </w:tcPr>
          <w:p w14:paraId="400C23C7">
            <w:pPr>
              <w:pStyle w:val="45"/>
              <w:rPr>
                <w:rFonts w:hint="default"/>
              </w:rPr>
            </w:pPr>
            <w:r>
              <w:t>玻璃钢</w:t>
            </w:r>
          </w:p>
        </w:tc>
        <w:tc>
          <w:tcPr>
            <w:tcW w:w="583" w:type="pct"/>
            <w:shd w:val="clear" w:color="auto" w:fill="auto"/>
            <w:vAlign w:val="center"/>
          </w:tcPr>
          <w:p w14:paraId="3326D580">
            <w:pPr>
              <w:pStyle w:val="45"/>
              <w:rPr>
                <w:rFonts w:hint="default"/>
              </w:rPr>
            </w:pPr>
            <w:r>
              <w:rPr>
                <w:rFonts w:hint="default"/>
              </w:rPr>
              <w:t>4</w:t>
            </w:r>
          </w:p>
        </w:tc>
        <w:tc>
          <w:tcPr>
            <w:tcW w:w="602" w:type="pct"/>
            <w:shd w:val="clear" w:color="auto" w:fill="auto"/>
            <w:vAlign w:val="center"/>
          </w:tcPr>
          <w:p w14:paraId="27C0135E">
            <w:pPr>
              <w:pStyle w:val="45"/>
              <w:rPr>
                <w:rFonts w:hint="default"/>
              </w:rPr>
            </w:pPr>
          </w:p>
        </w:tc>
      </w:tr>
      <w:tr w14:paraId="1641EAF3">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7F5BA76B">
            <w:pPr>
              <w:pStyle w:val="45"/>
              <w:rPr>
                <w:rFonts w:hint="default"/>
              </w:rPr>
            </w:pPr>
            <w:r>
              <w:rPr>
                <w:rFonts w:hint="default"/>
              </w:rPr>
              <w:t>57</w:t>
            </w:r>
          </w:p>
        </w:tc>
        <w:tc>
          <w:tcPr>
            <w:tcW w:w="1348" w:type="pct"/>
            <w:shd w:val="clear" w:color="auto" w:fill="auto"/>
            <w:vAlign w:val="center"/>
          </w:tcPr>
          <w:p w14:paraId="7B973A9B">
            <w:pPr>
              <w:pStyle w:val="45"/>
              <w:rPr>
                <w:rFonts w:hint="default"/>
              </w:rPr>
            </w:pPr>
            <w:r>
              <w:t>板式压滤机</w:t>
            </w:r>
          </w:p>
        </w:tc>
        <w:tc>
          <w:tcPr>
            <w:tcW w:w="1098" w:type="pct"/>
            <w:shd w:val="clear" w:color="auto" w:fill="auto"/>
            <w:vAlign w:val="center"/>
          </w:tcPr>
          <w:p w14:paraId="20FD0731">
            <w:pPr>
              <w:pStyle w:val="45"/>
              <w:rPr>
                <w:rFonts w:hint="default"/>
              </w:rPr>
            </w:pPr>
          </w:p>
        </w:tc>
        <w:tc>
          <w:tcPr>
            <w:tcW w:w="917" w:type="pct"/>
            <w:shd w:val="clear" w:color="auto" w:fill="auto"/>
            <w:vAlign w:val="center"/>
          </w:tcPr>
          <w:p w14:paraId="1F42D718">
            <w:pPr>
              <w:pStyle w:val="45"/>
              <w:rPr>
                <w:rFonts w:hint="default"/>
              </w:rPr>
            </w:pPr>
          </w:p>
        </w:tc>
        <w:tc>
          <w:tcPr>
            <w:tcW w:w="583" w:type="pct"/>
            <w:shd w:val="clear" w:color="auto" w:fill="auto"/>
            <w:vAlign w:val="center"/>
          </w:tcPr>
          <w:p w14:paraId="58910AE7">
            <w:pPr>
              <w:pStyle w:val="45"/>
              <w:rPr>
                <w:rFonts w:hint="default"/>
              </w:rPr>
            </w:pPr>
            <w:r>
              <w:rPr>
                <w:rFonts w:hint="default"/>
              </w:rPr>
              <w:t>1</w:t>
            </w:r>
          </w:p>
        </w:tc>
        <w:tc>
          <w:tcPr>
            <w:tcW w:w="602" w:type="pct"/>
            <w:shd w:val="clear" w:color="auto" w:fill="auto"/>
            <w:vAlign w:val="center"/>
          </w:tcPr>
          <w:p w14:paraId="50B2433A">
            <w:pPr>
              <w:pStyle w:val="45"/>
              <w:rPr>
                <w:rFonts w:hint="default"/>
              </w:rPr>
            </w:pPr>
          </w:p>
        </w:tc>
      </w:tr>
      <w:tr w14:paraId="69D79DF9">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6B2E3B18">
            <w:pPr>
              <w:pStyle w:val="45"/>
              <w:rPr>
                <w:rFonts w:hint="default"/>
              </w:rPr>
            </w:pPr>
            <w:r>
              <w:rPr>
                <w:rFonts w:hint="default"/>
              </w:rPr>
              <w:t>58</w:t>
            </w:r>
          </w:p>
        </w:tc>
        <w:tc>
          <w:tcPr>
            <w:tcW w:w="1348" w:type="pct"/>
            <w:shd w:val="clear" w:color="auto" w:fill="auto"/>
            <w:vAlign w:val="center"/>
          </w:tcPr>
          <w:p w14:paraId="0A4EC835">
            <w:pPr>
              <w:pStyle w:val="45"/>
              <w:rPr>
                <w:rFonts w:hint="default"/>
              </w:rPr>
            </w:pPr>
            <w:r>
              <w:t>膜过滤器</w:t>
            </w:r>
          </w:p>
        </w:tc>
        <w:tc>
          <w:tcPr>
            <w:tcW w:w="1098" w:type="pct"/>
            <w:shd w:val="clear" w:color="auto" w:fill="auto"/>
            <w:vAlign w:val="center"/>
          </w:tcPr>
          <w:p w14:paraId="2D80F9F4">
            <w:pPr>
              <w:pStyle w:val="45"/>
              <w:rPr>
                <w:rFonts w:hint="default"/>
              </w:rPr>
            </w:pPr>
          </w:p>
        </w:tc>
        <w:tc>
          <w:tcPr>
            <w:tcW w:w="917" w:type="pct"/>
            <w:shd w:val="clear" w:color="auto" w:fill="auto"/>
            <w:vAlign w:val="center"/>
          </w:tcPr>
          <w:p w14:paraId="16229BF8">
            <w:pPr>
              <w:pStyle w:val="45"/>
              <w:rPr>
                <w:rFonts w:hint="default"/>
              </w:rPr>
            </w:pPr>
          </w:p>
        </w:tc>
        <w:tc>
          <w:tcPr>
            <w:tcW w:w="583" w:type="pct"/>
            <w:shd w:val="clear" w:color="auto" w:fill="auto"/>
            <w:vAlign w:val="center"/>
          </w:tcPr>
          <w:p w14:paraId="644C30C0">
            <w:pPr>
              <w:pStyle w:val="45"/>
              <w:rPr>
                <w:rFonts w:hint="default"/>
              </w:rPr>
            </w:pPr>
            <w:r>
              <w:rPr>
                <w:rFonts w:hint="default"/>
              </w:rPr>
              <w:t>1</w:t>
            </w:r>
          </w:p>
        </w:tc>
        <w:tc>
          <w:tcPr>
            <w:tcW w:w="602" w:type="pct"/>
            <w:shd w:val="clear" w:color="auto" w:fill="auto"/>
            <w:vAlign w:val="center"/>
          </w:tcPr>
          <w:p w14:paraId="515E356A">
            <w:pPr>
              <w:pStyle w:val="45"/>
              <w:rPr>
                <w:rFonts w:hint="default"/>
              </w:rPr>
            </w:pPr>
          </w:p>
        </w:tc>
      </w:tr>
      <w:tr w14:paraId="3A8E4BCF">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0F0D6478">
            <w:pPr>
              <w:pStyle w:val="45"/>
              <w:rPr>
                <w:rFonts w:hint="default"/>
              </w:rPr>
            </w:pPr>
            <w:r>
              <w:rPr>
                <w:rFonts w:hint="default"/>
              </w:rPr>
              <w:t>59</w:t>
            </w:r>
          </w:p>
        </w:tc>
        <w:tc>
          <w:tcPr>
            <w:tcW w:w="1348" w:type="pct"/>
            <w:shd w:val="clear" w:color="auto" w:fill="auto"/>
            <w:vAlign w:val="center"/>
          </w:tcPr>
          <w:p w14:paraId="62BFC101">
            <w:pPr>
              <w:pStyle w:val="45"/>
              <w:rPr>
                <w:rFonts w:hint="default"/>
              </w:rPr>
            </w:pPr>
            <w:r>
              <w:t>氯化钾计量槽</w:t>
            </w:r>
          </w:p>
        </w:tc>
        <w:tc>
          <w:tcPr>
            <w:tcW w:w="1098" w:type="pct"/>
            <w:shd w:val="clear" w:color="auto" w:fill="auto"/>
            <w:vAlign w:val="center"/>
          </w:tcPr>
          <w:p w14:paraId="0FC1AB64">
            <w:pPr>
              <w:pStyle w:val="45"/>
              <w:rPr>
                <w:rFonts w:hint="default"/>
              </w:rPr>
            </w:pPr>
          </w:p>
        </w:tc>
        <w:tc>
          <w:tcPr>
            <w:tcW w:w="917" w:type="pct"/>
            <w:shd w:val="clear" w:color="auto" w:fill="auto"/>
            <w:vAlign w:val="center"/>
          </w:tcPr>
          <w:p w14:paraId="4ED4A72D">
            <w:pPr>
              <w:pStyle w:val="45"/>
              <w:rPr>
                <w:rFonts w:hint="default"/>
              </w:rPr>
            </w:pPr>
          </w:p>
        </w:tc>
        <w:tc>
          <w:tcPr>
            <w:tcW w:w="583" w:type="pct"/>
            <w:shd w:val="clear" w:color="auto" w:fill="auto"/>
            <w:vAlign w:val="center"/>
          </w:tcPr>
          <w:p w14:paraId="35EC682E">
            <w:pPr>
              <w:pStyle w:val="45"/>
              <w:rPr>
                <w:rFonts w:hint="default"/>
              </w:rPr>
            </w:pPr>
            <w:r>
              <w:rPr>
                <w:rFonts w:hint="default"/>
              </w:rPr>
              <w:t>1</w:t>
            </w:r>
          </w:p>
        </w:tc>
        <w:tc>
          <w:tcPr>
            <w:tcW w:w="602" w:type="pct"/>
            <w:shd w:val="clear" w:color="auto" w:fill="auto"/>
            <w:vAlign w:val="center"/>
          </w:tcPr>
          <w:p w14:paraId="30445FB4">
            <w:pPr>
              <w:pStyle w:val="45"/>
              <w:rPr>
                <w:rFonts w:hint="default"/>
              </w:rPr>
            </w:pPr>
          </w:p>
        </w:tc>
      </w:tr>
      <w:tr w14:paraId="29CA56D0">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69D82CAA">
            <w:pPr>
              <w:pStyle w:val="45"/>
              <w:rPr>
                <w:rFonts w:hint="default"/>
              </w:rPr>
            </w:pPr>
            <w:r>
              <w:rPr>
                <w:rFonts w:hint="default"/>
              </w:rPr>
              <w:t>60</w:t>
            </w:r>
          </w:p>
        </w:tc>
        <w:tc>
          <w:tcPr>
            <w:tcW w:w="1348" w:type="pct"/>
            <w:shd w:val="clear" w:color="auto" w:fill="auto"/>
            <w:vAlign w:val="center"/>
          </w:tcPr>
          <w:p w14:paraId="11B978B0">
            <w:pPr>
              <w:pStyle w:val="45"/>
              <w:rPr>
                <w:rFonts w:hint="default"/>
              </w:rPr>
            </w:pPr>
            <w:r>
              <w:rPr>
                <w:rFonts w:hint="eastAsia"/>
                <w:lang w:val="en-US" w:eastAsia="zh-CN"/>
              </w:rPr>
              <w:t>（高）</w:t>
            </w:r>
            <w:r>
              <w:t>氯酸钠计量槽</w:t>
            </w:r>
          </w:p>
        </w:tc>
        <w:tc>
          <w:tcPr>
            <w:tcW w:w="1098" w:type="pct"/>
            <w:shd w:val="clear" w:color="auto" w:fill="auto"/>
            <w:vAlign w:val="center"/>
          </w:tcPr>
          <w:p w14:paraId="4F5DE8D3">
            <w:pPr>
              <w:pStyle w:val="45"/>
              <w:rPr>
                <w:rFonts w:hint="default"/>
              </w:rPr>
            </w:pPr>
          </w:p>
        </w:tc>
        <w:tc>
          <w:tcPr>
            <w:tcW w:w="917" w:type="pct"/>
            <w:shd w:val="clear" w:color="auto" w:fill="auto"/>
            <w:vAlign w:val="center"/>
          </w:tcPr>
          <w:p w14:paraId="2B855FA4">
            <w:pPr>
              <w:pStyle w:val="45"/>
              <w:rPr>
                <w:rFonts w:hint="default"/>
              </w:rPr>
            </w:pPr>
          </w:p>
        </w:tc>
        <w:tc>
          <w:tcPr>
            <w:tcW w:w="583" w:type="pct"/>
            <w:shd w:val="clear" w:color="auto" w:fill="auto"/>
            <w:vAlign w:val="center"/>
          </w:tcPr>
          <w:p w14:paraId="390D9CB0">
            <w:pPr>
              <w:pStyle w:val="45"/>
              <w:rPr>
                <w:rFonts w:hint="default"/>
              </w:rPr>
            </w:pPr>
            <w:r>
              <w:rPr>
                <w:rFonts w:hint="default"/>
              </w:rPr>
              <w:t>1</w:t>
            </w:r>
          </w:p>
        </w:tc>
        <w:tc>
          <w:tcPr>
            <w:tcW w:w="602" w:type="pct"/>
            <w:shd w:val="clear" w:color="auto" w:fill="auto"/>
            <w:vAlign w:val="center"/>
          </w:tcPr>
          <w:p w14:paraId="5105A128">
            <w:pPr>
              <w:pStyle w:val="45"/>
              <w:rPr>
                <w:rFonts w:hint="default"/>
              </w:rPr>
            </w:pPr>
          </w:p>
        </w:tc>
      </w:tr>
      <w:tr w14:paraId="070AACE3">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632D35A9">
            <w:pPr>
              <w:pStyle w:val="45"/>
              <w:rPr>
                <w:rFonts w:hint="default"/>
              </w:rPr>
            </w:pPr>
            <w:r>
              <w:rPr>
                <w:rFonts w:hint="default"/>
              </w:rPr>
              <w:t>61</w:t>
            </w:r>
          </w:p>
        </w:tc>
        <w:tc>
          <w:tcPr>
            <w:tcW w:w="1348" w:type="pct"/>
            <w:shd w:val="clear" w:color="auto" w:fill="auto"/>
            <w:vAlign w:val="center"/>
          </w:tcPr>
          <w:p w14:paraId="252DF152">
            <w:pPr>
              <w:pStyle w:val="45"/>
              <w:rPr>
                <w:rFonts w:hint="default"/>
              </w:rPr>
            </w:pPr>
            <w:r>
              <w:t>复分反应釜</w:t>
            </w:r>
          </w:p>
        </w:tc>
        <w:tc>
          <w:tcPr>
            <w:tcW w:w="1098" w:type="pct"/>
            <w:shd w:val="clear" w:color="auto" w:fill="auto"/>
            <w:vAlign w:val="center"/>
          </w:tcPr>
          <w:p w14:paraId="1EF8719A">
            <w:pPr>
              <w:pStyle w:val="45"/>
              <w:rPr>
                <w:rFonts w:hint="default"/>
              </w:rPr>
            </w:pPr>
            <w:r>
              <w:t>Φ</w:t>
            </w:r>
            <w:r>
              <w:rPr>
                <w:rFonts w:hint="default"/>
              </w:rPr>
              <w:t>2700</w:t>
            </w:r>
            <w:r>
              <w:t>×</w:t>
            </w:r>
            <w:r>
              <w:rPr>
                <w:rFonts w:hint="default"/>
              </w:rPr>
              <w:t>3000</w:t>
            </w:r>
            <w:r>
              <w:t>×</w:t>
            </w:r>
            <w:r>
              <w:rPr>
                <w:rFonts w:hint="default"/>
              </w:rPr>
              <w:t>6</w:t>
            </w:r>
          </w:p>
        </w:tc>
        <w:tc>
          <w:tcPr>
            <w:tcW w:w="917" w:type="pct"/>
            <w:shd w:val="clear" w:color="auto" w:fill="auto"/>
            <w:vAlign w:val="center"/>
          </w:tcPr>
          <w:p w14:paraId="14C68AE9">
            <w:pPr>
              <w:pStyle w:val="45"/>
              <w:rPr>
                <w:rFonts w:hint="default"/>
              </w:rPr>
            </w:pPr>
            <w:r>
              <w:rPr>
                <w:rFonts w:hint="default"/>
              </w:rPr>
              <w:t>321</w:t>
            </w:r>
          </w:p>
        </w:tc>
        <w:tc>
          <w:tcPr>
            <w:tcW w:w="583" w:type="pct"/>
            <w:shd w:val="clear" w:color="auto" w:fill="auto"/>
            <w:vAlign w:val="center"/>
          </w:tcPr>
          <w:p w14:paraId="2F039A71">
            <w:pPr>
              <w:pStyle w:val="45"/>
              <w:rPr>
                <w:rFonts w:hint="default"/>
              </w:rPr>
            </w:pPr>
            <w:r>
              <w:rPr>
                <w:rFonts w:hint="default"/>
              </w:rPr>
              <w:t>4</w:t>
            </w:r>
          </w:p>
        </w:tc>
        <w:tc>
          <w:tcPr>
            <w:tcW w:w="602" w:type="pct"/>
            <w:shd w:val="clear" w:color="auto" w:fill="auto"/>
            <w:vAlign w:val="center"/>
          </w:tcPr>
          <w:p w14:paraId="523DDD61">
            <w:pPr>
              <w:pStyle w:val="45"/>
              <w:rPr>
                <w:rFonts w:hint="default"/>
              </w:rPr>
            </w:pPr>
          </w:p>
        </w:tc>
      </w:tr>
      <w:tr w14:paraId="3F67912B">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2A1BF763">
            <w:pPr>
              <w:pStyle w:val="45"/>
              <w:rPr>
                <w:rFonts w:hint="default"/>
              </w:rPr>
            </w:pPr>
            <w:r>
              <w:rPr>
                <w:rFonts w:hint="default"/>
              </w:rPr>
              <w:t>62</w:t>
            </w:r>
          </w:p>
        </w:tc>
        <w:tc>
          <w:tcPr>
            <w:tcW w:w="1348" w:type="pct"/>
            <w:shd w:val="clear" w:color="auto" w:fill="auto"/>
            <w:vAlign w:val="center"/>
          </w:tcPr>
          <w:p w14:paraId="6B7E8DD5">
            <w:pPr>
              <w:pStyle w:val="45"/>
              <w:rPr>
                <w:rFonts w:hint="default"/>
              </w:rPr>
            </w:pPr>
            <w:r>
              <w:t>冷冻槽</w:t>
            </w:r>
          </w:p>
        </w:tc>
        <w:tc>
          <w:tcPr>
            <w:tcW w:w="1098" w:type="pct"/>
            <w:shd w:val="clear" w:color="auto" w:fill="auto"/>
            <w:vAlign w:val="center"/>
          </w:tcPr>
          <w:p w14:paraId="318E158B">
            <w:pPr>
              <w:pStyle w:val="45"/>
              <w:rPr>
                <w:rFonts w:hint="default"/>
              </w:rPr>
            </w:pPr>
            <w:r>
              <w:t>Φ</w:t>
            </w:r>
            <w:r>
              <w:rPr>
                <w:rFonts w:hint="default"/>
              </w:rPr>
              <w:t>2700</w:t>
            </w:r>
            <w:r>
              <w:t>×</w:t>
            </w:r>
            <w:r>
              <w:rPr>
                <w:rFonts w:hint="default"/>
              </w:rPr>
              <w:t>3000</w:t>
            </w:r>
            <w:r>
              <w:t>×</w:t>
            </w:r>
            <w:r>
              <w:rPr>
                <w:rFonts w:hint="default"/>
              </w:rPr>
              <w:t>6</w:t>
            </w:r>
          </w:p>
        </w:tc>
        <w:tc>
          <w:tcPr>
            <w:tcW w:w="917" w:type="pct"/>
            <w:shd w:val="clear" w:color="auto" w:fill="auto"/>
            <w:vAlign w:val="center"/>
          </w:tcPr>
          <w:p w14:paraId="3D3A07F6">
            <w:pPr>
              <w:pStyle w:val="45"/>
              <w:rPr>
                <w:rFonts w:hint="default"/>
              </w:rPr>
            </w:pPr>
            <w:r>
              <w:rPr>
                <w:rFonts w:hint="default"/>
              </w:rPr>
              <w:t>321</w:t>
            </w:r>
          </w:p>
        </w:tc>
        <w:tc>
          <w:tcPr>
            <w:tcW w:w="583" w:type="pct"/>
            <w:shd w:val="clear" w:color="auto" w:fill="auto"/>
            <w:vAlign w:val="center"/>
          </w:tcPr>
          <w:p w14:paraId="0860E446">
            <w:pPr>
              <w:pStyle w:val="45"/>
              <w:rPr>
                <w:rFonts w:hint="default"/>
              </w:rPr>
            </w:pPr>
            <w:r>
              <w:rPr>
                <w:rFonts w:hint="default"/>
              </w:rPr>
              <w:t>2</w:t>
            </w:r>
          </w:p>
        </w:tc>
        <w:tc>
          <w:tcPr>
            <w:tcW w:w="602" w:type="pct"/>
            <w:shd w:val="clear" w:color="auto" w:fill="auto"/>
            <w:vAlign w:val="center"/>
          </w:tcPr>
          <w:p w14:paraId="212EE5F3">
            <w:pPr>
              <w:pStyle w:val="45"/>
              <w:rPr>
                <w:rFonts w:hint="default"/>
              </w:rPr>
            </w:pPr>
          </w:p>
        </w:tc>
      </w:tr>
      <w:tr w14:paraId="6D78E529">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0C3309F4">
            <w:pPr>
              <w:pStyle w:val="45"/>
              <w:rPr>
                <w:rFonts w:hint="default"/>
              </w:rPr>
            </w:pPr>
            <w:r>
              <w:rPr>
                <w:rFonts w:hint="default"/>
              </w:rPr>
              <w:t>63</w:t>
            </w:r>
          </w:p>
        </w:tc>
        <w:tc>
          <w:tcPr>
            <w:tcW w:w="1348" w:type="pct"/>
            <w:shd w:val="clear" w:color="auto" w:fill="auto"/>
            <w:vAlign w:val="center"/>
          </w:tcPr>
          <w:p w14:paraId="5153923B">
            <w:pPr>
              <w:pStyle w:val="45"/>
              <w:rPr>
                <w:rFonts w:hint="default"/>
              </w:rPr>
            </w:pPr>
            <w:r>
              <w:t>离心机洗水槽</w:t>
            </w:r>
          </w:p>
        </w:tc>
        <w:tc>
          <w:tcPr>
            <w:tcW w:w="1098" w:type="pct"/>
            <w:shd w:val="clear" w:color="auto" w:fill="auto"/>
            <w:vAlign w:val="center"/>
          </w:tcPr>
          <w:p w14:paraId="03E5DFF9">
            <w:pPr>
              <w:pStyle w:val="45"/>
              <w:rPr>
                <w:rFonts w:hint="default"/>
              </w:rPr>
            </w:pPr>
            <w:r>
              <w:t>Φ</w:t>
            </w:r>
            <w:r>
              <w:rPr>
                <w:rFonts w:hint="default"/>
              </w:rPr>
              <w:t>2500</w:t>
            </w:r>
            <w:r>
              <w:t>×</w:t>
            </w:r>
            <w:r>
              <w:rPr>
                <w:rFonts w:hint="default"/>
              </w:rPr>
              <w:t>3500</w:t>
            </w:r>
            <w:r>
              <w:t>×</w:t>
            </w:r>
            <w:r>
              <w:rPr>
                <w:rFonts w:hint="default"/>
              </w:rPr>
              <w:t>6</w:t>
            </w:r>
          </w:p>
        </w:tc>
        <w:tc>
          <w:tcPr>
            <w:tcW w:w="917" w:type="pct"/>
            <w:shd w:val="clear" w:color="auto" w:fill="auto"/>
            <w:vAlign w:val="center"/>
          </w:tcPr>
          <w:p w14:paraId="5174926B">
            <w:pPr>
              <w:pStyle w:val="45"/>
              <w:rPr>
                <w:rFonts w:hint="default"/>
              </w:rPr>
            </w:pPr>
            <w:r>
              <w:rPr>
                <w:rFonts w:hint="default"/>
              </w:rPr>
              <w:t>321</w:t>
            </w:r>
          </w:p>
        </w:tc>
        <w:tc>
          <w:tcPr>
            <w:tcW w:w="583" w:type="pct"/>
            <w:shd w:val="clear" w:color="auto" w:fill="auto"/>
            <w:vAlign w:val="center"/>
          </w:tcPr>
          <w:p w14:paraId="4ADC5A33">
            <w:pPr>
              <w:pStyle w:val="45"/>
              <w:rPr>
                <w:rFonts w:hint="default"/>
              </w:rPr>
            </w:pPr>
            <w:r>
              <w:rPr>
                <w:rFonts w:hint="default"/>
              </w:rPr>
              <w:t>2</w:t>
            </w:r>
          </w:p>
        </w:tc>
        <w:tc>
          <w:tcPr>
            <w:tcW w:w="602" w:type="pct"/>
            <w:shd w:val="clear" w:color="auto" w:fill="auto"/>
            <w:vAlign w:val="center"/>
          </w:tcPr>
          <w:p w14:paraId="0C8ED5E5">
            <w:pPr>
              <w:pStyle w:val="45"/>
              <w:rPr>
                <w:rFonts w:hint="default"/>
              </w:rPr>
            </w:pPr>
          </w:p>
        </w:tc>
      </w:tr>
      <w:tr w14:paraId="4A2B0283">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7302A51C">
            <w:pPr>
              <w:pStyle w:val="45"/>
              <w:rPr>
                <w:rFonts w:hint="default"/>
              </w:rPr>
            </w:pPr>
            <w:r>
              <w:rPr>
                <w:rFonts w:hint="default"/>
              </w:rPr>
              <w:t>64</w:t>
            </w:r>
          </w:p>
        </w:tc>
        <w:tc>
          <w:tcPr>
            <w:tcW w:w="1348" w:type="pct"/>
            <w:shd w:val="clear" w:color="auto" w:fill="auto"/>
            <w:vAlign w:val="center"/>
          </w:tcPr>
          <w:p w14:paraId="7CF93C0E">
            <w:pPr>
              <w:pStyle w:val="45"/>
              <w:rPr>
                <w:rFonts w:hint="default"/>
              </w:rPr>
            </w:pPr>
            <w:r>
              <w:t>离心母液槽</w:t>
            </w:r>
          </w:p>
        </w:tc>
        <w:tc>
          <w:tcPr>
            <w:tcW w:w="1098" w:type="pct"/>
            <w:shd w:val="clear" w:color="auto" w:fill="auto"/>
            <w:vAlign w:val="center"/>
          </w:tcPr>
          <w:p w14:paraId="0A742C6D">
            <w:pPr>
              <w:pStyle w:val="45"/>
              <w:rPr>
                <w:rFonts w:hint="default"/>
              </w:rPr>
            </w:pPr>
            <w:r>
              <w:t>Φ</w:t>
            </w:r>
            <w:r>
              <w:rPr>
                <w:rFonts w:hint="default"/>
              </w:rPr>
              <w:t>3000</w:t>
            </w:r>
            <w:r>
              <w:t>×</w:t>
            </w:r>
            <w:r>
              <w:rPr>
                <w:rFonts w:hint="default"/>
              </w:rPr>
              <w:t>3500</w:t>
            </w:r>
            <w:r>
              <w:t>×</w:t>
            </w:r>
            <w:r>
              <w:rPr>
                <w:rFonts w:hint="default"/>
              </w:rPr>
              <w:t>6</w:t>
            </w:r>
          </w:p>
        </w:tc>
        <w:tc>
          <w:tcPr>
            <w:tcW w:w="917" w:type="pct"/>
            <w:shd w:val="clear" w:color="auto" w:fill="auto"/>
            <w:vAlign w:val="center"/>
          </w:tcPr>
          <w:p w14:paraId="0906D57B">
            <w:pPr>
              <w:pStyle w:val="45"/>
              <w:rPr>
                <w:rFonts w:hint="default"/>
              </w:rPr>
            </w:pPr>
            <w:r>
              <w:rPr>
                <w:rFonts w:hint="default"/>
              </w:rPr>
              <w:t>321</w:t>
            </w:r>
          </w:p>
        </w:tc>
        <w:tc>
          <w:tcPr>
            <w:tcW w:w="583" w:type="pct"/>
            <w:shd w:val="clear" w:color="auto" w:fill="auto"/>
            <w:vAlign w:val="center"/>
          </w:tcPr>
          <w:p w14:paraId="5D2E3428">
            <w:pPr>
              <w:pStyle w:val="45"/>
              <w:rPr>
                <w:rFonts w:hint="default"/>
              </w:rPr>
            </w:pPr>
            <w:r>
              <w:rPr>
                <w:rFonts w:hint="default"/>
              </w:rPr>
              <w:t>4</w:t>
            </w:r>
          </w:p>
        </w:tc>
        <w:tc>
          <w:tcPr>
            <w:tcW w:w="602" w:type="pct"/>
            <w:shd w:val="clear" w:color="auto" w:fill="auto"/>
            <w:vAlign w:val="center"/>
          </w:tcPr>
          <w:p w14:paraId="7848E5B7">
            <w:pPr>
              <w:pStyle w:val="45"/>
              <w:rPr>
                <w:rFonts w:hint="default"/>
              </w:rPr>
            </w:pPr>
          </w:p>
        </w:tc>
      </w:tr>
      <w:tr w14:paraId="5E4E911D">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1E0111F1">
            <w:pPr>
              <w:pStyle w:val="45"/>
              <w:rPr>
                <w:rFonts w:hint="default"/>
              </w:rPr>
            </w:pPr>
            <w:r>
              <w:rPr>
                <w:rFonts w:hint="default"/>
              </w:rPr>
              <w:t>65</w:t>
            </w:r>
          </w:p>
        </w:tc>
        <w:tc>
          <w:tcPr>
            <w:tcW w:w="1348" w:type="pct"/>
            <w:shd w:val="clear" w:color="auto" w:fill="auto"/>
            <w:vAlign w:val="center"/>
          </w:tcPr>
          <w:p w14:paraId="75F33989">
            <w:pPr>
              <w:pStyle w:val="45"/>
              <w:rPr>
                <w:rFonts w:hint="default"/>
              </w:rPr>
            </w:pPr>
            <w:r>
              <w:t>离心高位槽</w:t>
            </w:r>
          </w:p>
        </w:tc>
        <w:tc>
          <w:tcPr>
            <w:tcW w:w="1098" w:type="pct"/>
            <w:shd w:val="clear" w:color="auto" w:fill="auto"/>
            <w:vAlign w:val="center"/>
          </w:tcPr>
          <w:p w14:paraId="55FF7C02">
            <w:pPr>
              <w:pStyle w:val="45"/>
              <w:rPr>
                <w:rFonts w:hint="default"/>
              </w:rPr>
            </w:pPr>
            <w:r>
              <w:t>Φ</w:t>
            </w:r>
            <w:r>
              <w:rPr>
                <w:rFonts w:hint="default"/>
              </w:rPr>
              <w:t>2700</w:t>
            </w:r>
            <w:r>
              <w:t>×</w:t>
            </w:r>
            <w:r>
              <w:rPr>
                <w:rFonts w:hint="default"/>
              </w:rPr>
              <w:t>3000</w:t>
            </w:r>
            <w:r>
              <w:t>×</w:t>
            </w:r>
            <w:r>
              <w:rPr>
                <w:rFonts w:hint="default"/>
              </w:rPr>
              <w:t>6</w:t>
            </w:r>
          </w:p>
        </w:tc>
        <w:tc>
          <w:tcPr>
            <w:tcW w:w="917" w:type="pct"/>
            <w:shd w:val="clear" w:color="auto" w:fill="auto"/>
            <w:vAlign w:val="center"/>
          </w:tcPr>
          <w:p w14:paraId="3B2D0A5E">
            <w:pPr>
              <w:pStyle w:val="45"/>
              <w:rPr>
                <w:rFonts w:hint="default"/>
              </w:rPr>
            </w:pPr>
            <w:r>
              <w:rPr>
                <w:rFonts w:hint="default"/>
              </w:rPr>
              <w:t>321</w:t>
            </w:r>
          </w:p>
        </w:tc>
        <w:tc>
          <w:tcPr>
            <w:tcW w:w="583" w:type="pct"/>
            <w:shd w:val="clear" w:color="auto" w:fill="auto"/>
            <w:vAlign w:val="center"/>
          </w:tcPr>
          <w:p w14:paraId="6EFD25EE">
            <w:pPr>
              <w:pStyle w:val="45"/>
              <w:rPr>
                <w:rFonts w:hint="default"/>
              </w:rPr>
            </w:pPr>
            <w:r>
              <w:rPr>
                <w:rFonts w:hint="default"/>
              </w:rPr>
              <w:t>1</w:t>
            </w:r>
          </w:p>
        </w:tc>
        <w:tc>
          <w:tcPr>
            <w:tcW w:w="602" w:type="pct"/>
            <w:shd w:val="clear" w:color="auto" w:fill="auto"/>
            <w:vAlign w:val="center"/>
          </w:tcPr>
          <w:p w14:paraId="47E21DD2">
            <w:pPr>
              <w:pStyle w:val="45"/>
              <w:rPr>
                <w:rFonts w:hint="default"/>
              </w:rPr>
            </w:pPr>
          </w:p>
        </w:tc>
      </w:tr>
      <w:tr w14:paraId="1B8D6FA5">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3D68759C">
            <w:pPr>
              <w:pStyle w:val="45"/>
              <w:rPr>
                <w:rFonts w:hint="default"/>
              </w:rPr>
            </w:pPr>
            <w:r>
              <w:rPr>
                <w:rFonts w:hint="default"/>
              </w:rPr>
              <w:t>66</w:t>
            </w:r>
          </w:p>
        </w:tc>
        <w:tc>
          <w:tcPr>
            <w:tcW w:w="1348" w:type="pct"/>
            <w:shd w:val="clear" w:color="auto" w:fill="auto"/>
            <w:vAlign w:val="center"/>
          </w:tcPr>
          <w:p w14:paraId="0FE0032A">
            <w:pPr>
              <w:pStyle w:val="45"/>
              <w:rPr>
                <w:rFonts w:hint="default"/>
              </w:rPr>
            </w:pPr>
            <w:r>
              <w:t>盐水机组</w:t>
            </w:r>
          </w:p>
        </w:tc>
        <w:tc>
          <w:tcPr>
            <w:tcW w:w="1098" w:type="pct"/>
            <w:shd w:val="clear" w:color="auto" w:fill="auto"/>
            <w:vAlign w:val="center"/>
          </w:tcPr>
          <w:p w14:paraId="09C20C12">
            <w:pPr>
              <w:pStyle w:val="45"/>
              <w:rPr>
                <w:rFonts w:hint="default"/>
              </w:rPr>
            </w:pPr>
          </w:p>
        </w:tc>
        <w:tc>
          <w:tcPr>
            <w:tcW w:w="917" w:type="pct"/>
            <w:shd w:val="clear" w:color="auto" w:fill="auto"/>
            <w:vAlign w:val="center"/>
          </w:tcPr>
          <w:p w14:paraId="32A554C5">
            <w:pPr>
              <w:pStyle w:val="45"/>
              <w:rPr>
                <w:rFonts w:hint="default"/>
              </w:rPr>
            </w:pPr>
          </w:p>
        </w:tc>
        <w:tc>
          <w:tcPr>
            <w:tcW w:w="583" w:type="pct"/>
            <w:shd w:val="clear" w:color="auto" w:fill="auto"/>
            <w:vAlign w:val="center"/>
          </w:tcPr>
          <w:p w14:paraId="55C17FF5">
            <w:pPr>
              <w:pStyle w:val="45"/>
              <w:rPr>
                <w:rFonts w:hint="default"/>
              </w:rPr>
            </w:pPr>
            <w:r>
              <w:rPr>
                <w:rFonts w:hint="default"/>
              </w:rPr>
              <w:t>1</w:t>
            </w:r>
          </w:p>
        </w:tc>
        <w:tc>
          <w:tcPr>
            <w:tcW w:w="602" w:type="pct"/>
            <w:shd w:val="clear" w:color="auto" w:fill="auto"/>
            <w:vAlign w:val="center"/>
          </w:tcPr>
          <w:p w14:paraId="5D96F0FC">
            <w:pPr>
              <w:pStyle w:val="45"/>
              <w:rPr>
                <w:rFonts w:hint="default"/>
              </w:rPr>
            </w:pPr>
          </w:p>
        </w:tc>
      </w:tr>
      <w:tr w14:paraId="287BC289">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797F0E3C">
            <w:pPr>
              <w:pStyle w:val="45"/>
              <w:rPr>
                <w:rFonts w:hint="default"/>
              </w:rPr>
            </w:pPr>
            <w:r>
              <w:rPr>
                <w:rFonts w:hint="default"/>
              </w:rPr>
              <w:t>67</w:t>
            </w:r>
          </w:p>
        </w:tc>
        <w:tc>
          <w:tcPr>
            <w:tcW w:w="1348" w:type="pct"/>
            <w:shd w:val="clear" w:color="auto" w:fill="auto"/>
            <w:vAlign w:val="center"/>
          </w:tcPr>
          <w:p w14:paraId="6B5E7AF7">
            <w:pPr>
              <w:pStyle w:val="45"/>
              <w:rPr>
                <w:rFonts w:hint="default"/>
              </w:rPr>
            </w:pPr>
            <w:r>
              <w:t>低温真空蒸发器</w:t>
            </w:r>
          </w:p>
        </w:tc>
        <w:tc>
          <w:tcPr>
            <w:tcW w:w="1098" w:type="pct"/>
            <w:shd w:val="clear" w:color="auto" w:fill="auto"/>
            <w:vAlign w:val="center"/>
          </w:tcPr>
          <w:p w14:paraId="70FEC011">
            <w:pPr>
              <w:pStyle w:val="45"/>
              <w:rPr>
                <w:rFonts w:hint="default"/>
              </w:rPr>
            </w:pPr>
          </w:p>
        </w:tc>
        <w:tc>
          <w:tcPr>
            <w:tcW w:w="917" w:type="pct"/>
            <w:shd w:val="clear" w:color="auto" w:fill="auto"/>
            <w:vAlign w:val="center"/>
          </w:tcPr>
          <w:p w14:paraId="27A34E93">
            <w:pPr>
              <w:pStyle w:val="45"/>
              <w:rPr>
                <w:rFonts w:hint="default"/>
              </w:rPr>
            </w:pPr>
          </w:p>
        </w:tc>
        <w:tc>
          <w:tcPr>
            <w:tcW w:w="583" w:type="pct"/>
            <w:shd w:val="clear" w:color="auto" w:fill="auto"/>
            <w:vAlign w:val="center"/>
          </w:tcPr>
          <w:p w14:paraId="59D28C35">
            <w:pPr>
              <w:pStyle w:val="45"/>
              <w:rPr>
                <w:rFonts w:hint="default"/>
              </w:rPr>
            </w:pPr>
            <w:r>
              <w:rPr>
                <w:rFonts w:hint="default"/>
              </w:rPr>
              <w:t>1</w:t>
            </w:r>
          </w:p>
        </w:tc>
        <w:tc>
          <w:tcPr>
            <w:tcW w:w="602" w:type="pct"/>
            <w:shd w:val="clear" w:color="auto" w:fill="auto"/>
            <w:vAlign w:val="center"/>
          </w:tcPr>
          <w:p w14:paraId="4E506A25">
            <w:pPr>
              <w:pStyle w:val="45"/>
              <w:rPr>
                <w:rFonts w:hint="default"/>
              </w:rPr>
            </w:pPr>
          </w:p>
        </w:tc>
      </w:tr>
      <w:tr w14:paraId="6440C87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061113BE">
            <w:pPr>
              <w:pStyle w:val="45"/>
              <w:rPr>
                <w:rFonts w:hint="default"/>
              </w:rPr>
            </w:pPr>
            <w:r>
              <w:rPr>
                <w:rFonts w:hint="default"/>
              </w:rPr>
              <w:t>68</w:t>
            </w:r>
          </w:p>
        </w:tc>
        <w:tc>
          <w:tcPr>
            <w:tcW w:w="1348" w:type="pct"/>
            <w:shd w:val="clear" w:color="auto" w:fill="auto"/>
            <w:vAlign w:val="center"/>
          </w:tcPr>
          <w:p w14:paraId="5FC82FF6">
            <w:pPr>
              <w:pStyle w:val="45"/>
              <w:rPr>
                <w:rFonts w:hint="default"/>
              </w:rPr>
            </w:pPr>
            <w:r>
              <w:t>平板离心机</w:t>
            </w:r>
          </w:p>
        </w:tc>
        <w:tc>
          <w:tcPr>
            <w:tcW w:w="1098" w:type="pct"/>
            <w:shd w:val="clear" w:color="auto" w:fill="auto"/>
            <w:vAlign w:val="center"/>
          </w:tcPr>
          <w:p w14:paraId="11BCEEA2">
            <w:pPr>
              <w:pStyle w:val="45"/>
              <w:rPr>
                <w:rFonts w:hint="default"/>
              </w:rPr>
            </w:pPr>
            <w:r>
              <w:rPr>
                <w:rFonts w:hint="default"/>
              </w:rPr>
              <w:t>Px1250</w:t>
            </w:r>
          </w:p>
        </w:tc>
        <w:tc>
          <w:tcPr>
            <w:tcW w:w="917" w:type="pct"/>
            <w:shd w:val="clear" w:color="auto" w:fill="auto"/>
            <w:vAlign w:val="center"/>
          </w:tcPr>
          <w:p w14:paraId="6D5FADA7">
            <w:pPr>
              <w:pStyle w:val="45"/>
              <w:rPr>
                <w:rFonts w:hint="default"/>
              </w:rPr>
            </w:pPr>
            <w:r>
              <w:rPr>
                <w:rFonts w:hint="default"/>
              </w:rPr>
              <w:t>321</w:t>
            </w:r>
          </w:p>
        </w:tc>
        <w:tc>
          <w:tcPr>
            <w:tcW w:w="583" w:type="pct"/>
            <w:shd w:val="clear" w:color="auto" w:fill="auto"/>
            <w:vAlign w:val="center"/>
          </w:tcPr>
          <w:p w14:paraId="17A443CB">
            <w:pPr>
              <w:pStyle w:val="45"/>
              <w:rPr>
                <w:rFonts w:hint="default"/>
              </w:rPr>
            </w:pPr>
            <w:r>
              <w:rPr>
                <w:rFonts w:hint="default"/>
              </w:rPr>
              <w:t>4</w:t>
            </w:r>
          </w:p>
        </w:tc>
        <w:tc>
          <w:tcPr>
            <w:tcW w:w="602" w:type="pct"/>
            <w:shd w:val="clear" w:color="auto" w:fill="auto"/>
            <w:vAlign w:val="center"/>
          </w:tcPr>
          <w:p w14:paraId="463BCB62">
            <w:pPr>
              <w:pStyle w:val="45"/>
              <w:rPr>
                <w:rFonts w:hint="default"/>
              </w:rPr>
            </w:pPr>
          </w:p>
        </w:tc>
      </w:tr>
      <w:tr w14:paraId="3791142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6193DA40">
            <w:pPr>
              <w:pStyle w:val="45"/>
              <w:rPr>
                <w:rFonts w:hint="default"/>
              </w:rPr>
            </w:pPr>
            <w:r>
              <w:rPr>
                <w:rFonts w:hint="default"/>
              </w:rPr>
              <w:t>69</w:t>
            </w:r>
          </w:p>
        </w:tc>
        <w:tc>
          <w:tcPr>
            <w:tcW w:w="1348" w:type="pct"/>
            <w:shd w:val="clear" w:color="auto" w:fill="auto"/>
            <w:vAlign w:val="center"/>
          </w:tcPr>
          <w:p w14:paraId="4497E136">
            <w:pPr>
              <w:pStyle w:val="45"/>
              <w:rPr>
                <w:rFonts w:hint="default"/>
              </w:rPr>
            </w:pPr>
            <w:r>
              <w:t>气流干燥系统</w:t>
            </w:r>
          </w:p>
        </w:tc>
        <w:tc>
          <w:tcPr>
            <w:tcW w:w="1098" w:type="pct"/>
            <w:shd w:val="clear" w:color="auto" w:fill="auto"/>
            <w:vAlign w:val="center"/>
          </w:tcPr>
          <w:p w14:paraId="03437AD8">
            <w:pPr>
              <w:pStyle w:val="45"/>
              <w:rPr>
                <w:rFonts w:hint="default"/>
              </w:rPr>
            </w:pPr>
            <w:r>
              <w:rPr>
                <w:rFonts w:hint="default"/>
              </w:rPr>
              <w:t>1.5t/h</w:t>
            </w:r>
          </w:p>
        </w:tc>
        <w:tc>
          <w:tcPr>
            <w:tcW w:w="917" w:type="pct"/>
            <w:shd w:val="clear" w:color="auto" w:fill="auto"/>
            <w:vAlign w:val="center"/>
          </w:tcPr>
          <w:p w14:paraId="4C155DC9">
            <w:pPr>
              <w:pStyle w:val="45"/>
              <w:rPr>
                <w:rFonts w:hint="default"/>
              </w:rPr>
            </w:pPr>
          </w:p>
        </w:tc>
        <w:tc>
          <w:tcPr>
            <w:tcW w:w="583" w:type="pct"/>
            <w:shd w:val="clear" w:color="auto" w:fill="auto"/>
            <w:vAlign w:val="center"/>
          </w:tcPr>
          <w:p w14:paraId="47626204">
            <w:pPr>
              <w:pStyle w:val="45"/>
              <w:rPr>
                <w:rFonts w:hint="default"/>
              </w:rPr>
            </w:pPr>
            <w:r>
              <w:rPr>
                <w:rFonts w:hint="default"/>
              </w:rPr>
              <w:t>2</w:t>
            </w:r>
            <w:r>
              <w:t>套</w:t>
            </w:r>
          </w:p>
        </w:tc>
        <w:tc>
          <w:tcPr>
            <w:tcW w:w="602" w:type="pct"/>
            <w:shd w:val="clear" w:color="auto" w:fill="auto"/>
            <w:vAlign w:val="center"/>
          </w:tcPr>
          <w:p w14:paraId="6EE2B154">
            <w:pPr>
              <w:pStyle w:val="45"/>
              <w:rPr>
                <w:rFonts w:hint="default"/>
              </w:rPr>
            </w:pPr>
          </w:p>
        </w:tc>
      </w:tr>
      <w:tr w14:paraId="5B40D3B0">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2B810148">
            <w:pPr>
              <w:pStyle w:val="45"/>
              <w:rPr>
                <w:rFonts w:hint="default"/>
              </w:rPr>
            </w:pPr>
            <w:r>
              <w:rPr>
                <w:rFonts w:hint="default"/>
              </w:rPr>
              <w:t>70</w:t>
            </w:r>
          </w:p>
        </w:tc>
        <w:tc>
          <w:tcPr>
            <w:tcW w:w="1348" w:type="pct"/>
            <w:shd w:val="clear" w:color="auto" w:fill="auto"/>
            <w:vAlign w:val="center"/>
          </w:tcPr>
          <w:p w14:paraId="3433A0C3">
            <w:pPr>
              <w:pStyle w:val="45"/>
              <w:rPr>
                <w:rFonts w:hint="default"/>
              </w:rPr>
            </w:pPr>
            <w:r>
              <w:t>自动包装</w:t>
            </w:r>
          </w:p>
        </w:tc>
        <w:tc>
          <w:tcPr>
            <w:tcW w:w="1098" w:type="pct"/>
            <w:shd w:val="clear" w:color="auto" w:fill="auto"/>
            <w:vAlign w:val="center"/>
          </w:tcPr>
          <w:p w14:paraId="4F0389D2">
            <w:pPr>
              <w:pStyle w:val="45"/>
              <w:rPr>
                <w:rFonts w:hint="default"/>
              </w:rPr>
            </w:pPr>
          </w:p>
        </w:tc>
        <w:tc>
          <w:tcPr>
            <w:tcW w:w="917" w:type="pct"/>
            <w:shd w:val="clear" w:color="auto" w:fill="auto"/>
            <w:vAlign w:val="center"/>
          </w:tcPr>
          <w:p w14:paraId="2A16A0A6">
            <w:pPr>
              <w:pStyle w:val="45"/>
              <w:rPr>
                <w:rFonts w:hint="default"/>
              </w:rPr>
            </w:pPr>
          </w:p>
        </w:tc>
        <w:tc>
          <w:tcPr>
            <w:tcW w:w="583" w:type="pct"/>
            <w:shd w:val="clear" w:color="auto" w:fill="auto"/>
            <w:vAlign w:val="center"/>
          </w:tcPr>
          <w:p w14:paraId="517FDE1A">
            <w:pPr>
              <w:pStyle w:val="45"/>
              <w:rPr>
                <w:rFonts w:hint="default"/>
              </w:rPr>
            </w:pPr>
            <w:r>
              <w:rPr>
                <w:rFonts w:hint="default"/>
              </w:rPr>
              <w:t>2</w:t>
            </w:r>
            <w:r>
              <w:t>套</w:t>
            </w:r>
          </w:p>
        </w:tc>
        <w:tc>
          <w:tcPr>
            <w:tcW w:w="602" w:type="pct"/>
            <w:shd w:val="clear" w:color="auto" w:fill="auto"/>
            <w:noWrap/>
            <w:vAlign w:val="center"/>
          </w:tcPr>
          <w:p w14:paraId="64BC2A8E">
            <w:pPr>
              <w:pStyle w:val="45"/>
              <w:rPr>
                <w:rFonts w:hint="default"/>
              </w:rPr>
            </w:pPr>
          </w:p>
        </w:tc>
      </w:tr>
      <w:tr w14:paraId="3DD69288">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5000" w:type="pct"/>
            <w:gridSpan w:val="6"/>
            <w:shd w:val="clear" w:color="auto" w:fill="auto"/>
            <w:noWrap/>
            <w:vAlign w:val="center"/>
          </w:tcPr>
          <w:p w14:paraId="744F060C">
            <w:pPr>
              <w:pStyle w:val="45"/>
              <w:rPr>
                <w:rFonts w:hint="default"/>
              </w:rPr>
            </w:pPr>
            <w:r>
              <w:rPr>
                <w:b/>
                <w:bCs/>
              </w:rPr>
              <w:t>五、电气部分</w:t>
            </w:r>
          </w:p>
        </w:tc>
      </w:tr>
      <w:tr w14:paraId="3FBE7A4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7C76FCFE">
            <w:pPr>
              <w:pStyle w:val="45"/>
              <w:rPr>
                <w:rFonts w:hint="default"/>
              </w:rPr>
            </w:pPr>
            <w:r>
              <w:rPr>
                <w:rFonts w:hint="default"/>
              </w:rPr>
              <w:t>71</w:t>
            </w:r>
          </w:p>
        </w:tc>
        <w:tc>
          <w:tcPr>
            <w:tcW w:w="1348" w:type="pct"/>
            <w:shd w:val="clear" w:color="auto" w:fill="auto"/>
            <w:vAlign w:val="center"/>
          </w:tcPr>
          <w:p w14:paraId="70DB2C10">
            <w:pPr>
              <w:pStyle w:val="45"/>
              <w:rPr>
                <w:rFonts w:hint="default"/>
              </w:rPr>
            </w:pPr>
            <w:r>
              <w:t>整流变压器</w:t>
            </w:r>
          </w:p>
        </w:tc>
        <w:tc>
          <w:tcPr>
            <w:tcW w:w="1098" w:type="pct"/>
            <w:shd w:val="clear" w:color="auto" w:fill="auto"/>
            <w:vAlign w:val="center"/>
          </w:tcPr>
          <w:p w14:paraId="5EB86597">
            <w:pPr>
              <w:pStyle w:val="45"/>
              <w:rPr>
                <w:rFonts w:hint="default"/>
              </w:rPr>
            </w:pPr>
            <w:r>
              <w:rPr>
                <w:rFonts w:hint="default"/>
              </w:rPr>
              <w:t>ZHSZK-5000/10</w:t>
            </w:r>
          </w:p>
        </w:tc>
        <w:tc>
          <w:tcPr>
            <w:tcW w:w="917" w:type="pct"/>
            <w:shd w:val="clear" w:color="auto" w:fill="auto"/>
            <w:vAlign w:val="center"/>
          </w:tcPr>
          <w:p w14:paraId="7AB9FA0D">
            <w:pPr>
              <w:pStyle w:val="45"/>
              <w:rPr>
                <w:rFonts w:hint="default"/>
              </w:rPr>
            </w:pPr>
          </w:p>
        </w:tc>
        <w:tc>
          <w:tcPr>
            <w:tcW w:w="583" w:type="pct"/>
            <w:shd w:val="clear" w:color="auto" w:fill="auto"/>
            <w:vAlign w:val="center"/>
          </w:tcPr>
          <w:p w14:paraId="712C92D3">
            <w:pPr>
              <w:pStyle w:val="45"/>
              <w:rPr>
                <w:rFonts w:hint="default"/>
              </w:rPr>
            </w:pPr>
            <w:r>
              <w:rPr>
                <w:rFonts w:hint="default"/>
              </w:rPr>
              <w:t>4</w:t>
            </w:r>
            <w:r>
              <w:t>台</w:t>
            </w:r>
          </w:p>
        </w:tc>
        <w:tc>
          <w:tcPr>
            <w:tcW w:w="602" w:type="pct"/>
            <w:shd w:val="clear" w:color="auto" w:fill="auto"/>
            <w:vAlign w:val="center"/>
          </w:tcPr>
          <w:p w14:paraId="354FE68A">
            <w:pPr>
              <w:pStyle w:val="45"/>
              <w:rPr>
                <w:rFonts w:hint="default"/>
              </w:rPr>
            </w:pPr>
          </w:p>
        </w:tc>
      </w:tr>
      <w:tr w14:paraId="07383DF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Ex>
        <w:trPr>
          <w:trHeight w:val="237" w:hRule="atLeast"/>
        </w:trPr>
        <w:tc>
          <w:tcPr>
            <w:tcW w:w="450" w:type="pct"/>
            <w:shd w:val="clear" w:color="auto" w:fill="auto"/>
            <w:noWrap/>
            <w:vAlign w:val="center"/>
          </w:tcPr>
          <w:p w14:paraId="44493562">
            <w:pPr>
              <w:pStyle w:val="45"/>
              <w:rPr>
                <w:rFonts w:hint="default"/>
              </w:rPr>
            </w:pPr>
            <w:r>
              <w:rPr>
                <w:rFonts w:hint="default"/>
              </w:rPr>
              <w:t>72</w:t>
            </w:r>
          </w:p>
        </w:tc>
        <w:tc>
          <w:tcPr>
            <w:tcW w:w="1348" w:type="pct"/>
            <w:shd w:val="clear" w:color="auto" w:fill="auto"/>
            <w:vAlign w:val="center"/>
          </w:tcPr>
          <w:p w14:paraId="2DF78E59">
            <w:pPr>
              <w:pStyle w:val="45"/>
              <w:rPr>
                <w:rFonts w:hint="default"/>
              </w:rPr>
            </w:pPr>
            <w:r>
              <w:t>整流柜</w:t>
            </w:r>
          </w:p>
        </w:tc>
        <w:tc>
          <w:tcPr>
            <w:tcW w:w="1098" w:type="pct"/>
            <w:shd w:val="clear" w:color="auto" w:fill="auto"/>
            <w:vAlign w:val="center"/>
          </w:tcPr>
          <w:p w14:paraId="41B560B6">
            <w:pPr>
              <w:pStyle w:val="45"/>
              <w:rPr>
                <w:rFonts w:hint="default"/>
              </w:rPr>
            </w:pPr>
            <w:r>
              <w:rPr>
                <w:rFonts w:hint="default"/>
              </w:rPr>
              <w:t>KHS-11KA/420V</w:t>
            </w:r>
          </w:p>
        </w:tc>
        <w:tc>
          <w:tcPr>
            <w:tcW w:w="917" w:type="pct"/>
            <w:shd w:val="clear" w:color="auto" w:fill="auto"/>
            <w:vAlign w:val="center"/>
          </w:tcPr>
          <w:p w14:paraId="3ABD53C2">
            <w:pPr>
              <w:pStyle w:val="45"/>
              <w:rPr>
                <w:rFonts w:hint="default"/>
              </w:rPr>
            </w:pPr>
          </w:p>
        </w:tc>
        <w:tc>
          <w:tcPr>
            <w:tcW w:w="583" w:type="pct"/>
            <w:shd w:val="clear" w:color="auto" w:fill="auto"/>
            <w:vAlign w:val="center"/>
          </w:tcPr>
          <w:p w14:paraId="10C54114">
            <w:pPr>
              <w:pStyle w:val="45"/>
              <w:rPr>
                <w:rFonts w:hint="default"/>
              </w:rPr>
            </w:pPr>
            <w:r>
              <w:rPr>
                <w:rFonts w:hint="default"/>
              </w:rPr>
              <w:t>4</w:t>
            </w:r>
            <w:r>
              <w:t>台</w:t>
            </w:r>
          </w:p>
        </w:tc>
        <w:tc>
          <w:tcPr>
            <w:tcW w:w="602" w:type="pct"/>
            <w:shd w:val="clear" w:color="auto" w:fill="auto"/>
            <w:vAlign w:val="center"/>
          </w:tcPr>
          <w:p w14:paraId="335C04B7">
            <w:pPr>
              <w:pStyle w:val="45"/>
              <w:rPr>
                <w:rFonts w:hint="default"/>
              </w:rPr>
            </w:pPr>
          </w:p>
        </w:tc>
      </w:tr>
      <w:tr w14:paraId="4FEA9AD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462" w:hRule="atLeast"/>
        </w:trPr>
        <w:tc>
          <w:tcPr>
            <w:tcW w:w="450" w:type="pct"/>
            <w:shd w:val="clear" w:color="auto" w:fill="auto"/>
            <w:noWrap/>
            <w:vAlign w:val="center"/>
          </w:tcPr>
          <w:p w14:paraId="76E3C5B8">
            <w:pPr>
              <w:pStyle w:val="45"/>
              <w:rPr>
                <w:rFonts w:hint="default"/>
              </w:rPr>
            </w:pPr>
            <w:r>
              <w:rPr>
                <w:rFonts w:hint="default"/>
              </w:rPr>
              <w:t>73</w:t>
            </w:r>
          </w:p>
        </w:tc>
        <w:tc>
          <w:tcPr>
            <w:tcW w:w="1348" w:type="pct"/>
            <w:shd w:val="clear" w:color="auto" w:fill="auto"/>
            <w:vAlign w:val="center"/>
          </w:tcPr>
          <w:p w14:paraId="54C5BE93">
            <w:pPr>
              <w:pStyle w:val="45"/>
            </w:pPr>
            <w:r>
              <w:t>蒸发器</w:t>
            </w:r>
          </w:p>
          <w:p w14:paraId="126B99DD">
            <w:pPr>
              <w:pStyle w:val="45"/>
              <w:rPr>
                <w:rFonts w:hint="default"/>
              </w:rPr>
            </w:pPr>
            <w:r>
              <w:t>（高真空低温蒸发器）</w:t>
            </w:r>
          </w:p>
        </w:tc>
        <w:tc>
          <w:tcPr>
            <w:tcW w:w="1098" w:type="pct"/>
            <w:shd w:val="clear" w:color="auto" w:fill="auto"/>
            <w:vAlign w:val="center"/>
          </w:tcPr>
          <w:p w14:paraId="70E5554A">
            <w:pPr>
              <w:pStyle w:val="45"/>
              <w:rPr>
                <w:rFonts w:hint="default"/>
              </w:rPr>
            </w:pPr>
          </w:p>
        </w:tc>
        <w:tc>
          <w:tcPr>
            <w:tcW w:w="917" w:type="pct"/>
            <w:shd w:val="clear" w:color="auto" w:fill="auto"/>
            <w:vAlign w:val="center"/>
          </w:tcPr>
          <w:p w14:paraId="2F6F25D4">
            <w:pPr>
              <w:pStyle w:val="45"/>
              <w:rPr>
                <w:rFonts w:hint="default"/>
              </w:rPr>
            </w:pPr>
            <w:r>
              <w:rPr>
                <w:rFonts w:hint="default"/>
              </w:rPr>
              <w:t>316L</w:t>
            </w:r>
          </w:p>
        </w:tc>
        <w:tc>
          <w:tcPr>
            <w:tcW w:w="583" w:type="pct"/>
            <w:shd w:val="clear" w:color="auto" w:fill="auto"/>
            <w:vAlign w:val="center"/>
          </w:tcPr>
          <w:p w14:paraId="6E826E4E">
            <w:pPr>
              <w:pStyle w:val="45"/>
              <w:rPr>
                <w:rFonts w:hint="default"/>
              </w:rPr>
            </w:pPr>
            <w:r>
              <w:rPr>
                <w:rFonts w:hint="default"/>
              </w:rPr>
              <w:t>1</w:t>
            </w:r>
            <w:r>
              <w:t>台</w:t>
            </w:r>
          </w:p>
        </w:tc>
        <w:tc>
          <w:tcPr>
            <w:tcW w:w="602" w:type="pct"/>
            <w:shd w:val="clear" w:color="auto" w:fill="auto"/>
            <w:vAlign w:val="center"/>
          </w:tcPr>
          <w:p w14:paraId="399308D0">
            <w:pPr>
              <w:pStyle w:val="45"/>
              <w:rPr>
                <w:rFonts w:hint="default"/>
              </w:rPr>
            </w:pPr>
          </w:p>
        </w:tc>
      </w:tr>
      <w:tr w14:paraId="6775D5D5">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70FF3218">
            <w:pPr>
              <w:pStyle w:val="45"/>
              <w:rPr>
                <w:rFonts w:hint="default"/>
              </w:rPr>
            </w:pPr>
            <w:r>
              <w:rPr>
                <w:rFonts w:hint="default"/>
              </w:rPr>
              <w:t>74</w:t>
            </w:r>
          </w:p>
        </w:tc>
        <w:tc>
          <w:tcPr>
            <w:tcW w:w="1348" w:type="pct"/>
            <w:shd w:val="clear" w:color="auto" w:fill="auto"/>
            <w:vAlign w:val="center"/>
          </w:tcPr>
          <w:p w14:paraId="40D5460E">
            <w:pPr>
              <w:pStyle w:val="45"/>
              <w:rPr>
                <w:rFonts w:hint="default"/>
              </w:rPr>
            </w:pPr>
            <w:r>
              <w:t>离心高位槽</w:t>
            </w:r>
          </w:p>
        </w:tc>
        <w:tc>
          <w:tcPr>
            <w:tcW w:w="1098" w:type="pct"/>
            <w:shd w:val="clear" w:color="auto" w:fill="auto"/>
            <w:vAlign w:val="center"/>
          </w:tcPr>
          <w:p w14:paraId="4CBBD579">
            <w:pPr>
              <w:pStyle w:val="45"/>
              <w:rPr>
                <w:rFonts w:hint="default"/>
              </w:rPr>
            </w:pPr>
          </w:p>
        </w:tc>
        <w:tc>
          <w:tcPr>
            <w:tcW w:w="917" w:type="pct"/>
            <w:shd w:val="clear" w:color="auto" w:fill="auto"/>
            <w:vAlign w:val="center"/>
          </w:tcPr>
          <w:p w14:paraId="1C4B95E9">
            <w:pPr>
              <w:pStyle w:val="45"/>
              <w:rPr>
                <w:rFonts w:hint="default"/>
              </w:rPr>
            </w:pPr>
          </w:p>
        </w:tc>
        <w:tc>
          <w:tcPr>
            <w:tcW w:w="583" w:type="pct"/>
            <w:shd w:val="clear" w:color="auto" w:fill="auto"/>
            <w:vAlign w:val="center"/>
          </w:tcPr>
          <w:p w14:paraId="0FBE8ACA">
            <w:pPr>
              <w:pStyle w:val="45"/>
              <w:rPr>
                <w:rFonts w:hint="default"/>
              </w:rPr>
            </w:pPr>
            <w:r>
              <w:rPr>
                <w:rFonts w:hint="default"/>
              </w:rPr>
              <w:t>1</w:t>
            </w:r>
          </w:p>
        </w:tc>
        <w:tc>
          <w:tcPr>
            <w:tcW w:w="602" w:type="pct"/>
            <w:shd w:val="clear" w:color="auto" w:fill="auto"/>
            <w:vAlign w:val="center"/>
          </w:tcPr>
          <w:p w14:paraId="70DDC21A">
            <w:pPr>
              <w:pStyle w:val="45"/>
              <w:rPr>
                <w:rFonts w:hint="default"/>
              </w:rPr>
            </w:pPr>
          </w:p>
        </w:tc>
      </w:tr>
      <w:tr w14:paraId="4C98A852">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11F1B34A">
            <w:pPr>
              <w:pStyle w:val="45"/>
              <w:rPr>
                <w:rFonts w:hint="default"/>
              </w:rPr>
            </w:pPr>
            <w:r>
              <w:rPr>
                <w:rFonts w:hint="default"/>
              </w:rPr>
              <w:t>75</w:t>
            </w:r>
          </w:p>
        </w:tc>
        <w:tc>
          <w:tcPr>
            <w:tcW w:w="1348" w:type="pct"/>
            <w:shd w:val="clear" w:color="auto" w:fill="auto"/>
            <w:vAlign w:val="center"/>
          </w:tcPr>
          <w:p w14:paraId="29FEC0A9">
            <w:pPr>
              <w:pStyle w:val="45"/>
              <w:rPr>
                <w:rFonts w:hint="default"/>
              </w:rPr>
            </w:pPr>
            <w:r>
              <w:t>双级推料离心机</w:t>
            </w:r>
          </w:p>
        </w:tc>
        <w:tc>
          <w:tcPr>
            <w:tcW w:w="1098" w:type="pct"/>
            <w:shd w:val="clear" w:color="auto" w:fill="auto"/>
            <w:vAlign w:val="center"/>
          </w:tcPr>
          <w:p w14:paraId="1BEA0EE7">
            <w:pPr>
              <w:pStyle w:val="45"/>
              <w:rPr>
                <w:rFonts w:hint="default"/>
              </w:rPr>
            </w:pPr>
          </w:p>
        </w:tc>
        <w:tc>
          <w:tcPr>
            <w:tcW w:w="917" w:type="pct"/>
            <w:shd w:val="clear" w:color="auto" w:fill="auto"/>
            <w:vAlign w:val="center"/>
          </w:tcPr>
          <w:p w14:paraId="3868992E">
            <w:pPr>
              <w:pStyle w:val="45"/>
              <w:rPr>
                <w:rFonts w:hint="default"/>
              </w:rPr>
            </w:pPr>
            <w:r>
              <w:rPr>
                <w:rFonts w:hint="default"/>
              </w:rPr>
              <w:t>P-40</w:t>
            </w:r>
          </w:p>
        </w:tc>
        <w:tc>
          <w:tcPr>
            <w:tcW w:w="583" w:type="pct"/>
            <w:shd w:val="clear" w:color="auto" w:fill="auto"/>
            <w:vAlign w:val="center"/>
          </w:tcPr>
          <w:p w14:paraId="7B2A99BC">
            <w:pPr>
              <w:pStyle w:val="45"/>
              <w:rPr>
                <w:rFonts w:hint="default"/>
              </w:rPr>
            </w:pPr>
            <w:r>
              <w:rPr>
                <w:rFonts w:hint="default"/>
              </w:rPr>
              <w:t>1</w:t>
            </w:r>
            <w:r>
              <w:t>台</w:t>
            </w:r>
          </w:p>
        </w:tc>
        <w:tc>
          <w:tcPr>
            <w:tcW w:w="602" w:type="pct"/>
            <w:shd w:val="clear" w:color="auto" w:fill="auto"/>
            <w:vAlign w:val="center"/>
          </w:tcPr>
          <w:p w14:paraId="0C7D5E8F">
            <w:pPr>
              <w:pStyle w:val="45"/>
              <w:rPr>
                <w:rFonts w:hint="default"/>
              </w:rPr>
            </w:pPr>
          </w:p>
        </w:tc>
      </w:tr>
      <w:tr w14:paraId="743FA20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450" w:type="pct"/>
            <w:shd w:val="clear" w:color="auto" w:fill="auto"/>
            <w:noWrap/>
            <w:vAlign w:val="center"/>
          </w:tcPr>
          <w:p w14:paraId="589EC352">
            <w:pPr>
              <w:pStyle w:val="45"/>
              <w:rPr>
                <w:rFonts w:hint="default"/>
              </w:rPr>
            </w:pPr>
            <w:r>
              <w:rPr>
                <w:rFonts w:hint="default"/>
              </w:rPr>
              <w:t>76</w:t>
            </w:r>
          </w:p>
        </w:tc>
        <w:tc>
          <w:tcPr>
            <w:tcW w:w="1348" w:type="pct"/>
            <w:shd w:val="clear" w:color="auto" w:fill="auto"/>
            <w:vAlign w:val="center"/>
          </w:tcPr>
          <w:p w14:paraId="3FEF37B9">
            <w:pPr>
              <w:pStyle w:val="45"/>
              <w:rPr>
                <w:rFonts w:hint="default"/>
              </w:rPr>
            </w:pPr>
            <w:r>
              <w:t>离心母液槽</w:t>
            </w:r>
          </w:p>
        </w:tc>
        <w:tc>
          <w:tcPr>
            <w:tcW w:w="1098" w:type="pct"/>
            <w:shd w:val="clear" w:color="auto" w:fill="auto"/>
            <w:vAlign w:val="center"/>
          </w:tcPr>
          <w:p w14:paraId="04E796E8">
            <w:pPr>
              <w:pStyle w:val="45"/>
              <w:rPr>
                <w:rFonts w:hint="default"/>
              </w:rPr>
            </w:pPr>
          </w:p>
        </w:tc>
        <w:tc>
          <w:tcPr>
            <w:tcW w:w="917" w:type="pct"/>
            <w:shd w:val="clear" w:color="auto" w:fill="auto"/>
            <w:vAlign w:val="center"/>
          </w:tcPr>
          <w:p w14:paraId="7DD2853C">
            <w:pPr>
              <w:pStyle w:val="45"/>
              <w:rPr>
                <w:rFonts w:hint="default"/>
              </w:rPr>
            </w:pPr>
          </w:p>
        </w:tc>
        <w:tc>
          <w:tcPr>
            <w:tcW w:w="583" w:type="pct"/>
            <w:shd w:val="clear" w:color="auto" w:fill="auto"/>
            <w:vAlign w:val="center"/>
          </w:tcPr>
          <w:p w14:paraId="192FA85C">
            <w:pPr>
              <w:pStyle w:val="45"/>
              <w:rPr>
                <w:rFonts w:hint="default"/>
              </w:rPr>
            </w:pPr>
            <w:r>
              <w:rPr>
                <w:rFonts w:hint="default"/>
              </w:rPr>
              <w:t>2</w:t>
            </w:r>
          </w:p>
        </w:tc>
        <w:tc>
          <w:tcPr>
            <w:tcW w:w="602" w:type="pct"/>
            <w:shd w:val="clear" w:color="auto" w:fill="auto"/>
            <w:vAlign w:val="center"/>
          </w:tcPr>
          <w:p w14:paraId="3888878F">
            <w:pPr>
              <w:pStyle w:val="45"/>
              <w:rPr>
                <w:rFonts w:hint="default"/>
              </w:rPr>
            </w:pPr>
          </w:p>
        </w:tc>
      </w:tr>
      <w:tr w14:paraId="65DB970D">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46" w:hRule="atLeast"/>
        </w:trPr>
        <w:tc>
          <w:tcPr>
            <w:tcW w:w="450" w:type="pct"/>
            <w:shd w:val="clear" w:color="auto" w:fill="auto"/>
            <w:noWrap/>
            <w:vAlign w:val="center"/>
          </w:tcPr>
          <w:p w14:paraId="5104EF4D">
            <w:pPr>
              <w:pStyle w:val="45"/>
              <w:rPr>
                <w:rFonts w:hint="default"/>
              </w:rPr>
            </w:pPr>
            <w:r>
              <w:rPr>
                <w:rFonts w:hint="default"/>
              </w:rPr>
              <w:t>77</w:t>
            </w:r>
          </w:p>
        </w:tc>
        <w:tc>
          <w:tcPr>
            <w:tcW w:w="1348" w:type="pct"/>
            <w:shd w:val="clear" w:color="auto" w:fill="auto"/>
            <w:vAlign w:val="center"/>
          </w:tcPr>
          <w:p w14:paraId="4D0786B3">
            <w:pPr>
              <w:pStyle w:val="45"/>
              <w:rPr>
                <w:rFonts w:hint="default"/>
              </w:rPr>
            </w:pPr>
            <w:r>
              <w:t>真空机组</w:t>
            </w:r>
          </w:p>
        </w:tc>
        <w:tc>
          <w:tcPr>
            <w:tcW w:w="1098" w:type="pct"/>
            <w:shd w:val="clear" w:color="auto" w:fill="auto"/>
            <w:vAlign w:val="center"/>
          </w:tcPr>
          <w:p w14:paraId="4BA5D7C4">
            <w:pPr>
              <w:pStyle w:val="45"/>
              <w:rPr>
                <w:rFonts w:hint="default"/>
              </w:rPr>
            </w:pPr>
            <w:r>
              <w:t>抽气量</w:t>
            </w:r>
            <w:r>
              <w:rPr>
                <w:rFonts w:hint="default"/>
              </w:rPr>
              <w:t>600L/S</w:t>
            </w:r>
          </w:p>
        </w:tc>
        <w:tc>
          <w:tcPr>
            <w:tcW w:w="917" w:type="pct"/>
            <w:shd w:val="clear" w:color="auto" w:fill="auto"/>
            <w:vAlign w:val="center"/>
          </w:tcPr>
          <w:p w14:paraId="49C0EAA4">
            <w:pPr>
              <w:pStyle w:val="45"/>
              <w:rPr>
                <w:rFonts w:hint="default"/>
              </w:rPr>
            </w:pPr>
          </w:p>
        </w:tc>
        <w:tc>
          <w:tcPr>
            <w:tcW w:w="583" w:type="pct"/>
            <w:shd w:val="clear" w:color="auto" w:fill="auto"/>
            <w:vAlign w:val="center"/>
          </w:tcPr>
          <w:p w14:paraId="7B9B5C24">
            <w:pPr>
              <w:pStyle w:val="45"/>
              <w:rPr>
                <w:rFonts w:hint="default"/>
              </w:rPr>
            </w:pPr>
            <w:r>
              <w:rPr>
                <w:rFonts w:hint="default"/>
              </w:rPr>
              <w:t>1</w:t>
            </w:r>
            <w:r>
              <w:t>套</w:t>
            </w:r>
          </w:p>
        </w:tc>
        <w:tc>
          <w:tcPr>
            <w:tcW w:w="602" w:type="pct"/>
            <w:shd w:val="clear" w:color="auto" w:fill="auto"/>
            <w:noWrap/>
            <w:vAlign w:val="center"/>
          </w:tcPr>
          <w:p w14:paraId="506B004F">
            <w:pPr>
              <w:pStyle w:val="45"/>
              <w:rPr>
                <w:rFonts w:hint="default"/>
              </w:rPr>
            </w:pPr>
          </w:p>
        </w:tc>
      </w:tr>
      <w:tr w14:paraId="6C6B07BE">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46" w:hRule="atLeast"/>
        </w:trPr>
        <w:tc>
          <w:tcPr>
            <w:tcW w:w="450" w:type="pct"/>
            <w:shd w:val="clear" w:color="auto" w:fill="auto"/>
            <w:noWrap/>
            <w:vAlign w:val="center"/>
          </w:tcPr>
          <w:p w14:paraId="4D87D8DE">
            <w:pPr>
              <w:pStyle w:val="45"/>
              <w:rPr>
                <w:rFonts w:hint="default" w:eastAsia="宋体"/>
                <w:lang w:val="en-US" w:eastAsia="zh-CN"/>
              </w:rPr>
            </w:pPr>
            <w:r>
              <w:rPr>
                <w:rFonts w:hint="eastAsia"/>
                <w:lang w:val="en-US" w:eastAsia="zh-CN"/>
              </w:rPr>
              <w:t>78</w:t>
            </w:r>
          </w:p>
        </w:tc>
        <w:tc>
          <w:tcPr>
            <w:tcW w:w="1348" w:type="pct"/>
            <w:shd w:val="clear" w:color="auto" w:fill="auto"/>
            <w:vAlign w:val="center"/>
          </w:tcPr>
          <w:p w14:paraId="0CA912BF">
            <w:pPr>
              <w:pStyle w:val="45"/>
              <w:rPr>
                <w:rFonts w:hint="default" w:eastAsia="宋体"/>
                <w:lang w:val="en-US" w:eastAsia="zh-CN"/>
              </w:rPr>
            </w:pPr>
            <w:r>
              <w:rPr>
                <w:rFonts w:hint="eastAsia"/>
                <w:lang w:val="en-US" w:eastAsia="zh-CN"/>
              </w:rPr>
              <w:t>MVR蒸发器</w:t>
            </w:r>
          </w:p>
        </w:tc>
        <w:tc>
          <w:tcPr>
            <w:tcW w:w="1098" w:type="pct"/>
            <w:shd w:val="clear" w:color="auto" w:fill="auto"/>
            <w:vAlign w:val="center"/>
          </w:tcPr>
          <w:p w14:paraId="2C860BCC">
            <w:pPr>
              <w:pStyle w:val="45"/>
            </w:pPr>
          </w:p>
        </w:tc>
        <w:tc>
          <w:tcPr>
            <w:tcW w:w="917" w:type="pct"/>
            <w:shd w:val="clear" w:color="auto" w:fill="auto"/>
            <w:vAlign w:val="center"/>
          </w:tcPr>
          <w:p w14:paraId="064D8FDA">
            <w:pPr>
              <w:pStyle w:val="45"/>
              <w:rPr>
                <w:rFonts w:hint="default"/>
              </w:rPr>
            </w:pPr>
          </w:p>
        </w:tc>
        <w:tc>
          <w:tcPr>
            <w:tcW w:w="583" w:type="pct"/>
            <w:shd w:val="clear" w:color="auto" w:fill="auto"/>
            <w:vAlign w:val="center"/>
          </w:tcPr>
          <w:p w14:paraId="46FD0CA6">
            <w:pPr>
              <w:pStyle w:val="45"/>
              <w:rPr>
                <w:rFonts w:hint="default" w:eastAsia="宋体"/>
                <w:lang w:val="en-US" w:eastAsia="zh-CN"/>
              </w:rPr>
            </w:pPr>
            <w:r>
              <w:rPr>
                <w:rFonts w:hint="eastAsia"/>
                <w:lang w:val="en-US" w:eastAsia="zh-CN"/>
              </w:rPr>
              <w:t>1套</w:t>
            </w:r>
          </w:p>
        </w:tc>
        <w:tc>
          <w:tcPr>
            <w:tcW w:w="602" w:type="pct"/>
            <w:shd w:val="clear" w:color="auto" w:fill="auto"/>
            <w:noWrap/>
            <w:vAlign w:val="center"/>
          </w:tcPr>
          <w:p w14:paraId="48AC3368">
            <w:pPr>
              <w:pStyle w:val="45"/>
              <w:rPr>
                <w:rFonts w:hint="default"/>
              </w:rPr>
            </w:pPr>
          </w:p>
        </w:tc>
      </w:tr>
    </w:tbl>
    <w:p w14:paraId="7CF81B5B">
      <w:pPr>
        <w:ind w:firstLine="0" w:firstLineChars="0"/>
      </w:pPr>
    </w:p>
    <w:p w14:paraId="37E40A99">
      <w:pPr>
        <w:pStyle w:val="43"/>
        <w:rPr>
          <w:rFonts w:hint="default"/>
          <w:lang w:val="en-US" w:eastAsia="zh-CN"/>
        </w:rPr>
      </w:pPr>
      <w:r>
        <w:rPr>
          <w:rFonts w:hint="eastAsia"/>
          <w:lang w:val="en-US" w:eastAsia="zh-CN"/>
        </w:rPr>
        <w:t>锂盐生产装置主要设备一览表</w:t>
      </w:r>
    </w:p>
    <w:tbl>
      <w:tblPr>
        <w:tblStyle w:val="32"/>
        <w:tblW w:w="513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35"/>
        <w:gridCol w:w="1374"/>
        <w:gridCol w:w="1565"/>
        <w:gridCol w:w="1739"/>
        <w:gridCol w:w="846"/>
        <w:gridCol w:w="641"/>
        <w:gridCol w:w="1736"/>
      </w:tblGrid>
      <w:tr w14:paraId="352B67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2" w:hRule="atLeast"/>
          <w:jc w:val="center"/>
        </w:trPr>
        <w:tc>
          <w:tcPr>
            <w:tcW w:w="372" w:type="pct"/>
            <w:vAlign w:val="center"/>
          </w:tcPr>
          <w:p w14:paraId="2A6E6B9A">
            <w:pPr>
              <w:pStyle w:val="45"/>
              <w:bidi w:val="0"/>
              <w:rPr>
                <w:b/>
                <w:bCs/>
                <w:lang w:eastAsia="en-US"/>
              </w:rPr>
            </w:pPr>
            <w:r>
              <w:rPr>
                <w:rFonts w:hint="eastAsia"/>
                <w:b/>
                <w:bCs/>
              </w:rPr>
              <w:t>序号</w:t>
            </w:r>
          </w:p>
        </w:tc>
        <w:tc>
          <w:tcPr>
            <w:tcW w:w="804" w:type="pct"/>
            <w:vAlign w:val="center"/>
          </w:tcPr>
          <w:p w14:paraId="72C86F88">
            <w:pPr>
              <w:pStyle w:val="45"/>
              <w:bidi w:val="0"/>
              <w:rPr>
                <w:b/>
                <w:bCs/>
              </w:rPr>
            </w:pPr>
            <w:r>
              <w:rPr>
                <w:rFonts w:hint="eastAsia"/>
                <w:b/>
                <w:bCs/>
              </w:rPr>
              <w:t>设备名称</w:t>
            </w:r>
          </w:p>
        </w:tc>
        <w:tc>
          <w:tcPr>
            <w:tcW w:w="916" w:type="pct"/>
            <w:vAlign w:val="center"/>
          </w:tcPr>
          <w:p w14:paraId="450048B2">
            <w:pPr>
              <w:pStyle w:val="45"/>
              <w:bidi w:val="0"/>
              <w:rPr>
                <w:b/>
                <w:bCs/>
              </w:rPr>
            </w:pPr>
            <w:r>
              <w:rPr>
                <w:rFonts w:hint="eastAsia"/>
                <w:b/>
                <w:bCs/>
              </w:rPr>
              <w:t>规格</w:t>
            </w:r>
          </w:p>
        </w:tc>
        <w:tc>
          <w:tcPr>
            <w:tcW w:w="1018" w:type="pct"/>
            <w:vAlign w:val="center"/>
          </w:tcPr>
          <w:p w14:paraId="11DC28B7">
            <w:pPr>
              <w:pStyle w:val="45"/>
              <w:bidi w:val="0"/>
              <w:rPr>
                <w:rFonts w:hint="eastAsia"/>
                <w:b/>
                <w:bCs/>
                <w:lang w:val="en-US" w:eastAsia="zh-CN"/>
              </w:rPr>
            </w:pPr>
            <w:r>
              <w:rPr>
                <w:rFonts w:hint="eastAsia"/>
                <w:b/>
                <w:bCs/>
              </w:rPr>
              <w:t>工艺参数</w:t>
            </w:r>
          </w:p>
        </w:tc>
        <w:tc>
          <w:tcPr>
            <w:tcW w:w="495" w:type="pct"/>
            <w:vAlign w:val="center"/>
          </w:tcPr>
          <w:p w14:paraId="062E5F08">
            <w:pPr>
              <w:pStyle w:val="45"/>
              <w:bidi w:val="0"/>
              <w:rPr>
                <w:b/>
                <w:bCs/>
              </w:rPr>
            </w:pPr>
            <w:r>
              <w:rPr>
                <w:rFonts w:hint="eastAsia"/>
                <w:b/>
                <w:bCs/>
              </w:rPr>
              <w:t>单位</w:t>
            </w:r>
          </w:p>
        </w:tc>
        <w:tc>
          <w:tcPr>
            <w:tcW w:w="375" w:type="pct"/>
            <w:vAlign w:val="center"/>
          </w:tcPr>
          <w:p w14:paraId="17C04760">
            <w:pPr>
              <w:pStyle w:val="45"/>
              <w:bidi w:val="0"/>
              <w:rPr>
                <w:b/>
                <w:bCs/>
              </w:rPr>
            </w:pPr>
            <w:r>
              <w:rPr>
                <w:rFonts w:hint="eastAsia"/>
                <w:b/>
                <w:bCs/>
              </w:rPr>
              <w:t>数量</w:t>
            </w:r>
          </w:p>
        </w:tc>
        <w:tc>
          <w:tcPr>
            <w:tcW w:w="1016" w:type="pct"/>
            <w:vAlign w:val="center"/>
          </w:tcPr>
          <w:p w14:paraId="1FC2CD62">
            <w:pPr>
              <w:pStyle w:val="45"/>
              <w:bidi w:val="0"/>
              <w:rPr>
                <w:b/>
                <w:bCs/>
                <w:lang w:eastAsia="en-US"/>
              </w:rPr>
            </w:pPr>
            <w:r>
              <w:rPr>
                <w:rFonts w:hint="eastAsia"/>
                <w:b/>
                <w:bCs/>
              </w:rPr>
              <w:t>备注</w:t>
            </w:r>
          </w:p>
        </w:tc>
      </w:tr>
      <w:tr w14:paraId="4F81C6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2" w:hRule="atLeast"/>
          <w:jc w:val="center"/>
        </w:trPr>
        <w:tc>
          <w:tcPr>
            <w:tcW w:w="372" w:type="pct"/>
            <w:vAlign w:val="center"/>
          </w:tcPr>
          <w:p w14:paraId="21925BAA">
            <w:pPr>
              <w:pStyle w:val="45"/>
              <w:bidi w:val="0"/>
            </w:pPr>
            <w:r>
              <w:rPr>
                <w:rFonts w:hint="eastAsia"/>
              </w:rPr>
              <w:t>1</w:t>
            </w:r>
          </w:p>
        </w:tc>
        <w:tc>
          <w:tcPr>
            <w:tcW w:w="804" w:type="pct"/>
            <w:vAlign w:val="center"/>
          </w:tcPr>
          <w:p w14:paraId="589D64FB">
            <w:pPr>
              <w:pStyle w:val="45"/>
              <w:bidi w:val="0"/>
            </w:pPr>
            <w:r>
              <w:rPr>
                <w:rFonts w:hint="eastAsia"/>
              </w:rPr>
              <w:t>反应釜</w:t>
            </w:r>
          </w:p>
        </w:tc>
        <w:tc>
          <w:tcPr>
            <w:tcW w:w="916" w:type="pct"/>
            <w:vAlign w:val="center"/>
          </w:tcPr>
          <w:p w14:paraId="54EE58B2">
            <w:pPr>
              <w:pStyle w:val="45"/>
              <w:bidi w:val="0"/>
            </w:pPr>
            <w:r>
              <w:rPr>
                <w:rFonts w:hint="eastAsia"/>
              </w:rPr>
              <w:t>1㎥ 衬PP</w:t>
            </w:r>
          </w:p>
        </w:tc>
        <w:tc>
          <w:tcPr>
            <w:tcW w:w="1018" w:type="pct"/>
            <w:vAlign w:val="center"/>
          </w:tcPr>
          <w:p w14:paraId="0F5B30D3">
            <w:pPr>
              <w:pStyle w:val="45"/>
              <w:bidi w:val="0"/>
              <w:rPr>
                <w:rFonts w:hint="eastAsia"/>
                <w:lang w:val="en-US" w:eastAsia="zh-CN"/>
              </w:rPr>
            </w:pPr>
            <w:r>
              <w:rPr>
                <w:rFonts w:hint="eastAsia"/>
              </w:rPr>
              <w:t>室温-90℃，常压</w:t>
            </w:r>
          </w:p>
        </w:tc>
        <w:tc>
          <w:tcPr>
            <w:tcW w:w="495" w:type="pct"/>
            <w:vAlign w:val="center"/>
          </w:tcPr>
          <w:p w14:paraId="566DB39F">
            <w:pPr>
              <w:pStyle w:val="45"/>
              <w:bidi w:val="0"/>
            </w:pPr>
            <w:r>
              <w:rPr>
                <w:rFonts w:hint="eastAsia"/>
              </w:rPr>
              <w:t>台</w:t>
            </w:r>
          </w:p>
        </w:tc>
        <w:tc>
          <w:tcPr>
            <w:tcW w:w="375" w:type="pct"/>
            <w:vAlign w:val="center"/>
          </w:tcPr>
          <w:p w14:paraId="0F52DE3B">
            <w:pPr>
              <w:pStyle w:val="45"/>
              <w:bidi w:val="0"/>
            </w:pPr>
            <w:r>
              <w:rPr>
                <w:rFonts w:hint="eastAsia"/>
              </w:rPr>
              <w:t>1</w:t>
            </w:r>
          </w:p>
        </w:tc>
        <w:tc>
          <w:tcPr>
            <w:tcW w:w="1016" w:type="pct"/>
            <w:vAlign w:val="center"/>
          </w:tcPr>
          <w:p w14:paraId="12D8F7C6">
            <w:pPr>
              <w:pStyle w:val="45"/>
              <w:bidi w:val="0"/>
            </w:pPr>
            <w:r>
              <w:rPr>
                <w:rFonts w:hint="eastAsia"/>
              </w:rPr>
              <w:t>合成氯化锂</w:t>
            </w:r>
          </w:p>
        </w:tc>
      </w:tr>
      <w:tr w14:paraId="5290E6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372" w:type="pct"/>
            <w:vAlign w:val="center"/>
          </w:tcPr>
          <w:p w14:paraId="175BE272">
            <w:pPr>
              <w:pStyle w:val="45"/>
              <w:bidi w:val="0"/>
            </w:pPr>
            <w:r>
              <w:rPr>
                <w:rFonts w:hint="eastAsia"/>
              </w:rPr>
              <w:t>2</w:t>
            </w:r>
          </w:p>
        </w:tc>
        <w:tc>
          <w:tcPr>
            <w:tcW w:w="804" w:type="pct"/>
            <w:vAlign w:val="center"/>
          </w:tcPr>
          <w:p w14:paraId="0AE8B49A">
            <w:pPr>
              <w:pStyle w:val="45"/>
              <w:bidi w:val="0"/>
            </w:pPr>
            <w:r>
              <w:rPr>
                <w:rFonts w:hint="eastAsia"/>
              </w:rPr>
              <w:t>浓缩结晶釜</w:t>
            </w:r>
          </w:p>
        </w:tc>
        <w:tc>
          <w:tcPr>
            <w:tcW w:w="916" w:type="pct"/>
            <w:vAlign w:val="center"/>
          </w:tcPr>
          <w:p w14:paraId="7B3B35BB">
            <w:pPr>
              <w:pStyle w:val="45"/>
              <w:bidi w:val="0"/>
            </w:pPr>
            <w:r>
              <w:rPr>
                <w:rFonts w:hint="eastAsia"/>
              </w:rPr>
              <w:t>1㎥ 搪瓷</w:t>
            </w:r>
          </w:p>
        </w:tc>
        <w:tc>
          <w:tcPr>
            <w:tcW w:w="1018" w:type="pct"/>
            <w:vAlign w:val="center"/>
          </w:tcPr>
          <w:p w14:paraId="3AC16C77">
            <w:pPr>
              <w:pStyle w:val="45"/>
              <w:bidi w:val="0"/>
              <w:rPr>
                <w:rFonts w:hint="eastAsia"/>
                <w:lang w:val="en-US" w:eastAsia="zh-CN"/>
              </w:rPr>
            </w:pPr>
            <w:r>
              <w:rPr>
                <w:rFonts w:hint="eastAsia"/>
              </w:rPr>
              <w:t>室温-90℃，负压（-0.085Mpa）</w:t>
            </w:r>
          </w:p>
        </w:tc>
        <w:tc>
          <w:tcPr>
            <w:tcW w:w="495" w:type="pct"/>
            <w:vAlign w:val="center"/>
          </w:tcPr>
          <w:p w14:paraId="0B15FE6A">
            <w:pPr>
              <w:pStyle w:val="45"/>
              <w:bidi w:val="0"/>
            </w:pPr>
            <w:r>
              <w:rPr>
                <w:rFonts w:hint="eastAsia"/>
              </w:rPr>
              <w:t>台</w:t>
            </w:r>
          </w:p>
        </w:tc>
        <w:tc>
          <w:tcPr>
            <w:tcW w:w="375" w:type="pct"/>
            <w:vAlign w:val="center"/>
          </w:tcPr>
          <w:p w14:paraId="335C5E76">
            <w:pPr>
              <w:pStyle w:val="45"/>
              <w:bidi w:val="0"/>
            </w:pPr>
            <w:r>
              <w:rPr>
                <w:rFonts w:hint="eastAsia"/>
              </w:rPr>
              <w:t>1</w:t>
            </w:r>
          </w:p>
        </w:tc>
        <w:tc>
          <w:tcPr>
            <w:tcW w:w="1016" w:type="pct"/>
            <w:vAlign w:val="center"/>
          </w:tcPr>
          <w:p w14:paraId="433FFC9C">
            <w:pPr>
              <w:pStyle w:val="45"/>
              <w:bidi w:val="0"/>
            </w:pPr>
            <w:r>
              <w:rPr>
                <w:rFonts w:hint="eastAsia"/>
              </w:rPr>
              <w:t>氯化锂浓缩、结晶</w:t>
            </w:r>
          </w:p>
        </w:tc>
      </w:tr>
      <w:tr w14:paraId="18081F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372" w:type="pct"/>
            <w:vAlign w:val="center"/>
          </w:tcPr>
          <w:p w14:paraId="4EA37D24">
            <w:pPr>
              <w:pStyle w:val="45"/>
              <w:bidi w:val="0"/>
            </w:pPr>
            <w:r>
              <w:rPr>
                <w:rFonts w:hint="eastAsia"/>
              </w:rPr>
              <w:t>3</w:t>
            </w:r>
          </w:p>
        </w:tc>
        <w:tc>
          <w:tcPr>
            <w:tcW w:w="804" w:type="pct"/>
            <w:vAlign w:val="center"/>
          </w:tcPr>
          <w:p w14:paraId="38DFC9B4">
            <w:pPr>
              <w:pStyle w:val="45"/>
              <w:bidi w:val="0"/>
            </w:pPr>
            <w:r>
              <w:rPr>
                <w:rFonts w:hint="eastAsia"/>
              </w:rPr>
              <w:t>复分解（中和）釜</w:t>
            </w:r>
          </w:p>
        </w:tc>
        <w:tc>
          <w:tcPr>
            <w:tcW w:w="916" w:type="pct"/>
            <w:vAlign w:val="center"/>
          </w:tcPr>
          <w:p w14:paraId="2EED9FC3">
            <w:pPr>
              <w:pStyle w:val="45"/>
              <w:bidi w:val="0"/>
            </w:pPr>
            <w:r>
              <w:rPr>
                <w:rFonts w:hint="eastAsia"/>
              </w:rPr>
              <w:t>1㎥ 衬PP</w:t>
            </w:r>
          </w:p>
        </w:tc>
        <w:tc>
          <w:tcPr>
            <w:tcW w:w="1018" w:type="pct"/>
            <w:vAlign w:val="center"/>
          </w:tcPr>
          <w:p w14:paraId="2C6DFD8C">
            <w:pPr>
              <w:pStyle w:val="45"/>
              <w:bidi w:val="0"/>
              <w:rPr>
                <w:rFonts w:hint="eastAsia"/>
                <w:lang w:val="en-US" w:eastAsia="zh-CN"/>
              </w:rPr>
            </w:pPr>
            <w:r>
              <w:rPr>
                <w:rFonts w:hint="eastAsia"/>
              </w:rPr>
              <w:t>室温-90℃，常压</w:t>
            </w:r>
          </w:p>
        </w:tc>
        <w:tc>
          <w:tcPr>
            <w:tcW w:w="495" w:type="pct"/>
            <w:vAlign w:val="center"/>
          </w:tcPr>
          <w:p w14:paraId="1BF38B7C">
            <w:pPr>
              <w:pStyle w:val="45"/>
              <w:bidi w:val="0"/>
            </w:pPr>
            <w:r>
              <w:rPr>
                <w:rFonts w:hint="eastAsia"/>
              </w:rPr>
              <w:t>台</w:t>
            </w:r>
          </w:p>
        </w:tc>
        <w:tc>
          <w:tcPr>
            <w:tcW w:w="375" w:type="pct"/>
            <w:vAlign w:val="center"/>
          </w:tcPr>
          <w:p w14:paraId="53396EAB">
            <w:pPr>
              <w:pStyle w:val="45"/>
              <w:bidi w:val="0"/>
            </w:pPr>
            <w:r>
              <w:rPr>
                <w:rFonts w:hint="eastAsia"/>
              </w:rPr>
              <w:t>1</w:t>
            </w:r>
          </w:p>
        </w:tc>
        <w:tc>
          <w:tcPr>
            <w:tcW w:w="1016" w:type="pct"/>
            <w:vAlign w:val="center"/>
          </w:tcPr>
          <w:p w14:paraId="4C296FC2">
            <w:pPr>
              <w:pStyle w:val="45"/>
              <w:bidi w:val="0"/>
            </w:pPr>
            <w:r>
              <w:rPr>
                <w:rFonts w:hint="eastAsia"/>
              </w:rPr>
              <w:t>合成高氯酸锂</w:t>
            </w:r>
          </w:p>
        </w:tc>
      </w:tr>
      <w:tr w14:paraId="382E40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2" w:hRule="atLeast"/>
          <w:jc w:val="center"/>
        </w:trPr>
        <w:tc>
          <w:tcPr>
            <w:tcW w:w="372" w:type="pct"/>
            <w:vAlign w:val="center"/>
          </w:tcPr>
          <w:p w14:paraId="795451D7">
            <w:pPr>
              <w:pStyle w:val="45"/>
              <w:bidi w:val="0"/>
            </w:pPr>
            <w:r>
              <w:rPr>
                <w:rFonts w:hint="eastAsia"/>
              </w:rPr>
              <w:t>4</w:t>
            </w:r>
          </w:p>
        </w:tc>
        <w:tc>
          <w:tcPr>
            <w:tcW w:w="804" w:type="pct"/>
            <w:vAlign w:val="center"/>
          </w:tcPr>
          <w:p w14:paraId="2E493BED">
            <w:pPr>
              <w:pStyle w:val="45"/>
              <w:bidi w:val="0"/>
            </w:pPr>
            <w:r>
              <w:rPr>
                <w:rFonts w:hint="eastAsia"/>
              </w:rPr>
              <w:t>结晶釜</w:t>
            </w:r>
          </w:p>
        </w:tc>
        <w:tc>
          <w:tcPr>
            <w:tcW w:w="916" w:type="pct"/>
            <w:vAlign w:val="center"/>
          </w:tcPr>
          <w:p w14:paraId="54F0AA1F">
            <w:pPr>
              <w:pStyle w:val="45"/>
              <w:bidi w:val="0"/>
            </w:pPr>
            <w:r>
              <w:rPr>
                <w:rFonts w:hint="eastAsia"/>
              </w:rPr>
              <w:t>1㎥ 搪瓷</w:t>
            </w:r>
          </w:p>
        </w:tc>
        <w:tc>
          <w:tcPr>
            <w:tcW w:w="1018" w:type="pct"/>
            <w:vAlign w:val="center"/>
          </w:tcPr>
          <w:p w14:paraId="425E11F3">
            <w:pPr>
              <w:pStyle w:val="45"/>
              <w:bidi w:val="0"/>
              <w:rPr>
                <w:rFonts w:hint="eastAsia"/>
                <w:lang w:val="en-US" w:eastAsia="zh-CN"/>
              </w:rPr>
            </w:pPr>
            <w:r>
              <w:rPr>
                <w:rFonts w:hint="eastAsia"/>
              </w:rPr>
              <w:t>20℃，常压</w:t>
            </w:r>
          </w:p>
        </w:tc>
        <w:tc>
          <w:tcPr>
            <w:tcW w:w="495" w:type="pct"/>
            <w:vAlign w:val="center"/>
          </w:tcPr>
          <w:p w14:paraId="3524586C">
            <w:pPr>
              <w:pStyle w:val="45"/>
              <w:bidi w:val="0"/>
            </w:pPr>
            <w:r>
              <w:rPr>
                <w:rFonts w:hint="eastAsia"/>
              </w:rPr>
              <w:t>台</w:t>
            </w:r>
          </w:p>
        </w:tc>
        <w:tc>
          <w:tcPr>
            <w:tcW w:w="375" w:type="pct"/>
            <w:vAlign w:val="center"/>
          </w:tcPr>
          <w:p w14:paraId="11A482C2">
            <w:pPr>
              <w:pStyle w:val="45"/>
              <w:bidi w:val="0"/>
            </w:pPr>
            <w:r>
              <w:rPr>
                <w:rFonts w:hint="eastAsia"/>
              </w:rPr>
              <w:t>1</w:t>
            </w:r>
          </w:p>
        </w:tc>
        <w:tc>
          <w:tcPr>
            <w:tcW w:w="1016" w:type="pct"/>
            <w:vAlign w:val="center"/>
          </w:tcPr>
          <w:p w14:paraId="3928D0EA">
            <w:pPr>
              <w:pStyle w:val="45"/>
              <w:bidi w:val="0"/>
            </w:pPr>
            <w:r>
              <w:rPr>
                <w:rFonts w:hint="eastAsia"/>
              </w:rPr>
              <w:t>高氯酸锂结晶</w:t>
            </w:r>
          </w:p>
        </w:tc>
      </w:tr>
      <w:tr w14:paraId="4FD05A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372" w:type="pct"/>
            <w:vAlign w:val="center"/>
          </w:tcPr>
          <w:p w14:paraId="4D4D86CA">
            <w:pPr>
              <w:pStyle w:val="45"/>
              <w:bidi w:val="0"/>
            </w:pPr>
            <w:r>
              <w:rPr>
                <w:rFonts w:hint="eastAsia"/>
              </w:rPr>
              <w:t>5</w:t>
            </w:r>
          </w:p>
        </w:tc>
        <w:tc>
          <w:tcPr>
            <w:tcW w:w="804" w:type="pct"/>
            <w:vAlign w:val="center"/>
          </w:tcPr>
          <w:p w14:paraId="6BC6A9D4">
            <w:pPr>
              <w:pStyle w:val="45"/>
              <w:bidi w:val="0"/>
            </w:pPr>
            <w:r>
              <w:rPr>
                <w:rFonts w:hint="eastAsia"/>
              </w:rPr>
              <w:t>母液浓缩釜</w:t>
            </w:r>
          </w:p>
        </w:tc>
        <w:tc>
          <w:tcPr>
            <w:tcW w:w="916" w:type="pct"/>
            <w:vAlign w:val="center"/>
          </w:tcPr>
          <w:p w14:paraId="55A832E8">
            <w:pPr>
              <w:pStyle w:val="45"/>
              <w:bidi w:val="0"/>
            </w:pPr>
            <w:r>
              <w:rPr>
                <w:rFonts w:hint="eastAsia"/>
              </w:rPr>
              <w:t>1㎥ 搪瓷</w:t>
            </w:r>
          </w:p>
        </w:tc>
        <w:tc>
          <w:tcPr>
            <w:tcW w:w="1018" w:type="pct"/>
            <w:vAlign w:val="center"/>
          </w:tcPr>
          <w:p w14:paraId="0E8BCA1B">
            <w:pPr>
              <w:pStyle w:val="45"/>
              <w:bidi w:val="0"/>
              <w:rPr>
                <w:rFonts w:hint="eastAsia"/>
                <w:lang w:val="en-US" w:eastAsia="zh-CN"/>
              </w:rPr>
            </w:pPr>
            <w:r>
              <w:rPr>
                <w:rFonts w:hint="eastAsia"/>
              </w:rPr>
              <w:t>室温-90℃，负压（-0.085Mpa）</w:t>
            </w:r>
          </w:p>
        </w:tc>
        <w:tc>
          <w:tcPr>
            <w:tcW w:w="495" w:type="pct"/>
            <w:vAlign w:val="center"/>
          </w:tcPr>
          <w:p w14:paraId="2E5183A6">
            <w:pPr>
              <w:pStyle w:val="45"/>
              <w:bidi w:val="0"/>
            </w:pPr>
            <w:r>
              <w:rPr>
                <w:rFonts w:hint="eastAsia"/>
              </w:rPr>
              <w:t>台</w:t>
            </w:r>
          </w:p>
        </w:tc>
        <w:tc>
          <w:tcPr>
            <w:tcW w:w="375" w:type="pct"/>
            <w:vAlign w:val="center"/>
          </w:tcPr>
          <w:p w14:paraId="1B87EBDB">
            <w:pPr>
              <w:pStyle w:val="45"/>
              <w:bidi w:val="0"/>
            </w:pPr>
            <w:r>
              <w:rPr>
                <w:rFonts w:hint="eastAsia"/>
              </w:rPr>
              <w:t>1</w:t>
            </w:r>
          </w:p>
        </w:tc>
        <w:tc>
          <w:tcPr>
            <w:tcW w:w="1016" w:type="pct"/>
            <w:vAlign w:val="center"/>
          </w:tcPr>
          <w:p w14:paraId="36BA409E">
            <w:pPr>
              <w:pStyle w:val="45"/>
              <w:bidi w:val="0"/>
            </w:pPr>
            <w:r>
              <w:rPr>
                <w:rFonts w:hint="eastAsia"/>
              </w:rPr>
              <w:t>母液浓缩回收产品</w:t>
            </w:r>
          </w:p>
        </w:tc>
      </w:tr>
      <w:tr w14:paraId="46A058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372" w:type="pct"/>
            <w:vAlign w:val="center"/>
          </w:tcPr>
          <w:p w14:paraId="4333E54C">
            <w:pPr>
              <w:pStyle w:val="45"/>
              <w:bidi w:val="0"/>
            </w:pPr>
            <w:r>
              <w:rPr>
                <w:rFonts w:hint="eastAsia"/>
              </w:rPr>
              <w:t>6</w:t>
            </w:r>
          </w:p>
        </w:tc>
        <w:tc>
          <w:tcPr>
            <w:tcW w:w="804" w:type="pct"/>
            <w:vAlign w:val="center"/>
          </w:tcPr>
          <w:p w14:paraId="55F587E0">
            <w:pPr>
              <w:pStyle w:val="45"/>
              <w:bidi w:val="0"/>
            </w:pPr>
            <w:r>
              <w:rPr>
                <w:rFonts w:hint="eastAsia"/>
              </w:rPr>
              <w:t>冷凝器</w:t>
            </w:r>
          </w:p>
        </w:tc>
        <w:tc>
          <w:tcPr>
            <w:tcW w:w="916" w:type="pct"/>
            <w:vAlign w:val="center"/>
          </w:tcPr>
          <w:p w14:paraId="445BA77A">
            <w:pPr>
              <w:pStyle w:val="45"/>
              <w:bidi w:val="0"/>
            </w:pPr>
            <w:r>
              <w:rPr>
                <w:rFonts w:hint="eastAsia"/>
              </w:rPr>
              <w:t>1</w:t>
            </w:r>
            <w:r>
              <w:t>0</w:t>
            </w:r>
            <w:r>
              <w:rPr>
                <w:rFonts w:hint="eastAsia"/>
              </w:rPr>
              <w:t>㎡石墨（钛）</w:t>
            </w:r>
          </w:p>
        </w:tc>
        <w:tc>
          <w:tcPr>
            <w:tcW w:w="1018" w:type="pct"/>
            <w:vAlign w:val="center"/>
          </w:tcPr>
          <w:p w14:paraId="7D83B33C">
            <w:pPr>
              <w:pStyle w:val="45"/>
              <w:bidi w:val="0"/>
              <w:rPr>
                <w:rFonts w:hint="eastAsia"/>
                <w:lang w:val="en-US" w:eastAsia="zh-CN"/>
              </w:rPr>
            </w:pPr>
            <w:r>
              <w:rPr>
                <w:rFonts w:hint="eastAsia"/>
              </w:rPr>
              <w:t>35℃，负压（-0.085Mpa）</w:t>
            </w:r>
          </w:p>
        </w:tc>
        <w:tc>
          <w:tcPr>
            <w:tcW w:w="495" w:type="pct"/>
            <w:vAlign w:val="center"/>
          </w:tcPr>
          <w:p w14:paraId="4B5D5404">
            <w:pPr>
              <w:pStyle w:val="45"/>
              <w:bidi w:val="0"/>
            </w:pPr>
            <w:r>
              <w:rPr>
                <w:rFonts w:hint="eastAsia"/>
              </w:rPr>
              <w:t>台</w:t>
            </w:r>
          </w:p>
        </w:tc>
        <w:tc>
          <w:tcPr>
            <w:tcW w:w="375" w:type="pct"/>
            <w:vAlign w:val="center"/>
          </w:tcPr>
          <w:p w14:paraId="3D14B917">
            <w:pPr>
              <w:pStyle w:val="45"/>
              <w:bidi w:val="0"/>
            </w:pPr>
            <w:r>
              <w:rPr>
                <w:rFonts w:hint="eastAsia"/>
              </w:rPr>
              <w:t>2</w:t>
            </w:r>
          </w:p>
        </w:tc>
        <w:tc>
          <w:tcPr>
            <w:tcW w:w="1016" w:type="pct"/>
            <w:vAlign w:val="center"/>
          </w:tcPr>
          <w:p w14:paraId="4A76CBCC">
            <w:pPr>
              <w:pStyle w:val="45"/>
              <w:bidi w:val="0"/>
            </w:pPr>
          </w:p>
        </w:tc>
      </w:tr>
      <w:tr w14:paraId="42FEB3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372" w:type="pct"/>
            <w:vAlign w:val="center"/>
          </w:tcPr>
          <w:p w14:paraId="47CCC481">
            <w:pPr>
              <w:pStyle w:val="45"/>
              <w:bidi w:val="0"/>
            </w:pPr>
            <w:r>
              <w:rPr>
                <w:rFonts w:hint="eastAsia"/>
              </w:rPr>
              <w:t>7</w:t>
            </w:r>
          </w:p>
        </w:tc>
        <w:tc>
          <w:tcPr>
            <w:tcW w:w="804" w:type="pct"/>
            <w:vAlign w:val="center"/>
          </w:tcPr>
          <w:p w14:paraId="442DC4D6">
            <w:pPr>
              <w:pStyle w:val="45"/>
              <w:bidi w:val="0"/>
            </w:pPr>
            <w:r>
              <w:rPr>
                <w:rFonts w:hint="eastAsia"/>
              </w:rPr>
              <w:t>重结晶投料釜</w:t>
            </w:r>
          </w:p>
        </w:tc>
        <w:tc>
          <w:tcPr>
            <w:tcW w:w="916" w:type="pct"/>
            <w:vAlign w:val="center"/>
          </w:tcPr>
          <w:p w14:paraId="0342A51C">
            <w:pPr>
              <w:pStyle w:val="45"/>
              <w:bidi w:val="0"/>
            </w:pPr>
            <w:r>
              <w:rPr>
                <w:rFonts w:hint="eastAsia"/>
              </w:rPr>
              <w:t>0.5㎥ 搪瓷</w:t>
            </w:r>
          </w:p>
        </w:tc>
        <w:tc>
          <w:tcPr>
            <w:tcW w:w="1018" w:type="pct"/>
            <w:vAlign w:val="center"/>
          </w:tcPr>
          <w:p w14:paraId="3C19BD89">
            <w:pPr>
              <w:pStyle w:val="45"/>
              <w:bidi w:val="0"/>
              <w:rPr>
                <w:rFonts w:hint="eastAsia"/>
                <w:lang w:val="en-US" w:eastAsia="zh-CN"/>
              </w:rPr>
            </w:pPr>
            <w:r>
              <w:rPr>
                <w:rFonts w:hint="eastAsia"/>
              </w:rPr>
              <w:t>室温-90℃，常压</w:t>
            </w:r>
          </w:p>
        </w:tc>
        <w:tc>
          <w:tcPr>
            <w:tcW w:w="495" w:type="pct"/>
            <w:vAlign w:val="center"/>
          </w:tcPr>
          <w:p w14:paraId="595BA021">
            <w:pPr>
              <w:pStyle w:val="45"/>
              <w:bidi w:val="0"/>
            </w:pPr>
            <w:r>
              <w:rPr>
                <w:rFonts w:hint="eastAsia"/>
              </w:rPr>
              <w:t>台</w:t>
            </w:r>
          </w:p>
        </w:tc>
        <w:tc>
          <w:tcPr>
            <w:tcW w:w="375" w:type="pct"/>
            <w:vAlign w:val="center"/>
          </w:tcPr>
          <w:p w14:paraId="11362AA0">
            <w:pPr>
              <w:pStyle w:val="45"/>
              <w:bidi w:val="0"/>
            </w:pPr>
            <w:r>
              <w:rPr>
                <w:rFonts w:hint="eastAsia"/>
              </w:rPr>
              <w:t>1</w:t>
            </w:r>
          </w:p>
        </w:tc>
        <w:tc>
          <w:tcPr>
            <w:tcW w:w="1016" w:type="pct"/>
            <w:vAlign w:val="center"/>
          </w:tcPr>
          <w:p w14:paraId="210E36B6">
            <w:pPr>
              <w:pStyle w:val="45"/>
              <w:bidi w:val="0"/>
            </w:pPr>
          </w:p>
        </w:tc>
      </w:tr>
      <w:tr w14:paraId="4082F8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2" w:hRule="atLeast"/>
          <w:jc w:val="center"/>
        </w:trPr>
        <w:tc>
          <w:tcPr>
            <w:tcW w:w="372" w:type="pct"/>
            <w:vAlign w:val="center"/>
          </w:tcPr>
          <w:p w14:paraId="6DFD9396">
            <w:pPr>
              <w:pStyle w:val="45"/>
              <w:bidi w:val="0"/>
            </w:pPr>
            <w:r>
              <w:rPr>
                <w:rFonts w:hint="eastAsia"/>
              </w:rPr>
              <w:t>8</w:t>
            </w:r>
          </w:p>
        </w:tc>
        <w:tc>
          <w:tcPr>
            <w:tcW w:w="804" w:type="pct"/>
            <w:vAlign w:val="center"/>
          </w:tcPr>
          <w:p w14:paraId="5D570F9A">
            <w:pPr>
              <w:pStyle w:val="45"/>
              <w:bidi w:val="0"/>
            </w:pPr>
            <w:r>
              <w:rPr>
                <w:rFonts w:hint="eastAsia"/>
              </w:rPr>
              <w:t>结晶釜</w:t>
            </w:r>
          </w:p>
        </w:tc>
        <w:tc>
          <w:tcPr>
            <w:tcW w:w="916" w:type="pct"/>
            <w:vAlign w:val="center"/>
          </w:tcPr>
          <w:p w14:paraId="618C43A5">
            <w:pPr>
              <w:pStyle w:val="45"/>
              <w:bidi w:val="0"/>
            </w:pPr>
            <w:r>
              <w:rPr>
                <w:rFonts w:hint="eastAsia"/>
              </w:rPr>
              <w:t>0.5㎥ 搪瓷</w:t>
            </w:r>
          </w:p>
        </w:tc>
        <w:tc>
          <w:tcPr>
            <w:tcW w:w="1018" w:type="pct"/>
            <w:vAlign w:val="center"/>
          </w:tcPr>
          <w:p w14:paraId="5EDD67DF">
            <w:pPr>
              <w:pStyle w:val="45"/>
              <w:bidi w:val="0"/>
              <w:rPr>
                <w:rFonts w:hint="eastAsia"/>
                <w:lang w:val="en-US" w:eastAsia="zh-CN"/>
              </w:rPr>
            </w:pPr>
            <w:r>
              <w:rPr>
                <w:rFonts w:hint="eastAsia"/>
              </w:rPr>
              <w:t>室温-90℃，常压</w:t>
            </w:r>
          </w:p>
        </w:tc>
        <w:tc>
          <w:tcPr>
            <w:tcW w:w="495" w:type="pct"/>
            <w:vAlign w:val="center"/>
          </w:tcPr>
          <w:p w14:paraId="6F91FFEC">
            <w:pPr>
              <w:pStyle w:val="45"/>
              <w:bidi w:val="0"/>
            </w:pPr>
            <w:r>
              <w:rPr>
                <w:rFonts w:hint="eastAsia"/>
              </w:rPr>
              <w:t>台</w:t>
            </w:r>
          </w:p>
        </w:tc>
        <w:tc>
          <w:tcPr>
            <w:tcW w:w="375" w:type="pct"/>
            <w:vAlign w:val="center"/>
          </w:tcPr>
          <w:p w14:paraId="135AD1C9">
            <w:pPr>
              <w:pStyle w:val="45"/>
              <w:bidi w:val="0"/>
            </w:pPr>
            <w:r>
              <w:rPr>
                <w:rFonts w:hint="eastAsia"/>
              </w:rPr>
              <w:t>1</w:t>
            </w:r>
          </w:p>
        </w:tc>
        <w:tc>
          <w:tcPr>
            <w:tcW w:w="1016" w:type="pct"/>
            <w:vAlign w:val="center"/>
          </w:tcPr>
          <w:p w14:paraId="4FB65742">
            <w:pPr>
              <w:pStyle w:val="45"/>
              <w:bidi w:val="0"/>
            </w:pPr>
          </w:p>
        </w:tc>
      </w:tr>
      <w:tr w14:paraId="1F9966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372" w:type="pct"/>
            <w:vAlign w:val="center"/>
          </w:tcPr>
          <w:p w14:paraId="5073E60B">
            <w:pPr>
              <w:pStyle w:val="45"/>
              <w:bidi w:val="0"/>
            </w:pPr>
            <w:r>
              <w:rPr>
                <w:rFonts w:hint="eastAsia"/>
              </w:rPr>
              <w:t>9</w:t>
            </w:r>
          </w:p>
        </w:tc>
        <w:tc>
          <w:tcPr>
            <w:tcW w:w="804" w:type="pct"/>
            <w:vAlign w:val="center"/>
          </w:tcPr>
          <w:p w14:paraId="2B3787EA">
            <w:pPr>
              <w:pStyle w:val="45"/>
              <w:bidi w:val="0"/>
            </w:pPr>
            <w:r>
              <w:rPr>
                <w:rFonts w:hint="eastAsia"/>
              </w:rPr>
              <w:t>吊带式密闭离心机</w:t>
            </w:r>
          </w:p>
        </w:tc>
        <w:tc>
          <w:tcPr>
            <w:tcW w:w="916" w:type="pct"/>
            <w:vAlign w:val="center"/>
          </w:tcPr>
          <w:p w14:paraId="6B32AC59">
            <w:pPr>
              <w:pStyle w:val="45"/>
              <w:bidi w:val="0"/>
            </w:pPr>
            <w:r>
              <w:rPr>
                <w:rFonts w:hint="eastAsia"/>
              </w:rPr>
              <w:t>涂塑（钛）P</w:t>
            </w:r>
            <w:r>
              <w:t>N1250</w:t>
            </w:r>
          </w:p>
        </w:tc>
        <w:tc>
          <w:tcPr>
            <w:tcW w:w="1018" w:type="pct"/>
            <w:vAlign w:val="center"/>
          </w:tcPr>
          <w:p w14:paraId="19DB547F">
            <w:pPr>
              <w:pStyle w:val="45"/>
              <w:bidi w:val="0"/>
              <w:rPr>
                <w:rFonts w:hint="eastAsia"/>
                <w:lang w:val="en-US" w:eastAsia="zh-CN"/>
              </w:rPr>
            </w:pPr>
            <w:r>
              <w:rPr>
                <w:rFonts w:hint="eastAsia"/>
              </w:rPr>
              <w:t>常温，常压</w:t>
            </w:r>
          </w:p>
        </w:tc>
        <w:tc>
          <w:tcPr>
            <w:tcW w:w="495" w:type="pct"/>
            <w:vAlign w:val="center"/>
          </w:tcPr>
          <w:p w14:paraId="04F7CB71">
            <w:pPr>
              <w:pStyle w:val="45"/>
              <w:bidi w:val="0"/>
            </w:pPr>
            <w:r>
              <w:rPr>
                <w:rFonts w:hint="eastAsia"/>
              </w:rPr>
              <w:t>台</w:t>
            </w:r>
          </w:p>
        </w:tc>
        <w:tc>
          <w:tcPr>
            <w:tcW w:w="375" w:type="pct"/>
            <w:vAlign w:val="center"/>
          </w:tcPr>
          <w:p w14:paraId="26CAB7FD">
            <w:pPr>
              <w:pStyle w:val="45"/>
              <w:bidi w:val="0"/>
            </w:pPr>
            <w:r>
              <w:rPr>
                <w:rFonts w:hint="eastAsia"/>
              </w:rPr>
              <w:t>3</w:t>
            </w:r>
          </w:p>
        </w:tc>
        <w:tc>
          <w:tcPr>
            <w:tcW w:w="1016" w:type="pct"/>
            <w:vAlign w:val="center"/>
          </w:tcPr>
          <w:p w14:paraId="04A2B901">
            <w:pPr>
              <w:pStyle w:val="45"/>
              <w:bidi w:val="0"/>
            </w:pPr>
          </w:p>
        </w:tc>
      </w:tr>
      <w:tr w14:paraId="5141F5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372" w:type="pct"/>
            <w:vAlign w:val="center"/>
          </w:tcPr>
          <w:p w14:paraId="67AF57FB">
            <w:pPr>
              <w:pStyle w:val="45"/>
              <w:bidi w:val="0"/>
            </w:pPr>
            <w:r>
              <w:rPr>
                <w:rFonts w:hint="eastAsia"/>
              </w:rPr>
              <w:t>10</w:t>
            </w:r>
          </w:p>
        </w:tc>
        <w:tc>
          <w:tcPr>
            <w:tcW w:w="804" w:type="pct"/>
            <w:vAlign w:val="center"/>
          </w:tcPr>
          <w:p w14:paraId="6F45056A">
            <w:pPr>
              <w:pStyle w:val="45"/>
              <w:bidi w:val="0"/>
            </w:pPr>
            <w:r>
              <w:rPr>
                <w:rFonts w:hint="eastAsia"/>
              </w:rPr>
              <w:t>母液储槽</w:t>
            </w:r>
          </w:p>
        </w:tc>
        <w:tc>
          <w:tcPr>
            <w:tcW w:w="916" w:type="pct"/>
            <w:vAlign w:val="center"/>
          </w:tcPr>
          <w:p w14:paraId="65FDB5D9">
            <w:pPr>
              <w:pStyle w:val="45"/>
              <w:bidi w:val="0"/>
            </w:pPr>
            <w:r>
              <w:rPr>
                <w:rFonts w:hint="eastAsia"/>
              </w:rPr>
              <w:t>0.5-1㎥</w:t>
            </w:r>
            <w:r>
              <w:t>(PP)</w:t>
            </w:r>
          </w:p>
        </w:tc>
        <w:tc>
          <w:tcPr>
            <w:tcW w:w="1018" w:type="pct"/>
            <w:vAlign w:val="center"/>
          </w:tcPr>
          <w:p w14:paraId="62FF7EE1">
            <w:pPr>
              <w:pStyle w:val="45"/>
              <w:bidi w:val="0"/>
              <w:rPr>
                <w:rFonts w:hint="eastAsia"/>
                <w:lang w:val="en-US" w:eastAsia="zh-CN"/>
              </w:rPr>
            </w:pPr>
            <w:r>
              <w:rPr>
                <w:rFonts w:hint="eastAsia"/>
              </w:rPr>
              <w:t>常温，负压（-0.085Mpa）</w:t>
            </w:r>
          </w:p>
        </w:tc>
        <w:tc>
          <w:tcPr>
            <w:tcW w:w="495" w:type="pct"/>
            <w:vAlign w:val="center"/>
          </w:tcPr>
          <w:p w14:paraId="1E58BEF1">
            <w:pPr>
              <w:pStyle w:val="45"/>
              <w:bidi w:val="0"/>
            </w:pPr>
            <w:r>
              <w:rPr>
                <w:rFonts w:hint="eastAsia"/>
              </w:rPr>
              <w:t>只</w:t>
            </w:r>
          </w:p>
        </w:tc>
        <w:tc>
          <w:tcPr>
            <w:tcW w:w="375" w:type="pct"/>
            <w:vAlign w:val="center"/>
          </w:tcPr>
          <w:p w14:paraId="5ED15873">
            <w:pPr>
              <w:pStyle w:val="45"/>
              <w:bidi w:val="0"/>
            </w:pPr>
            <w:r>
              <w:rPr>
                <w:rFonts w:hint="eastAsia"/>
              </w:rPr>
              <w:t>8</w:t>
            </w:r>
          </w:p>
        </w:tc>
        <w:tc>
          <w:tcPr>
            <w:tcW w:w="1016" w:type="pct"/>
            <w:vAlign w:val="center"/>
          </w:tcPr>
          <w:p w14:paraId="0D48A635">
            <w:pPr>
              <w:pStyle w:val="45"/>
              <w:bidi w:val="0"/>
            </w:pPr>
          </w:p>
        </w:tc>
      </w:tr>
      <w:tr w14:paraId="51B4AC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2" w:hRule="atLeast"/>
          <w:jc w:val="center"/>
        </w:trPr>
        <w:tc>
          <w:tcPr>
            <w:tcW w:w="372" w:type="pct"/>
            <w:vAlign w:val="center"/>
          </w:tcPr>
          <w:p w14:paraId="431A377B">
            <w:pPr>
              <w:pStyle w:val="45"/>
              <w:bidi w:val="0"/>
            </w:pPr>
            <w:r>
              <w:rPr>
                <w:rFonts w:hint="eastAsia"/>
              </w:rPr>
              <w:t>11</w:t>
            </w:r>
          </w:p>
        </w:tc>
        <w:tc>
          <w:tcPr>
            <w:tcW w:w="804" w:type="pct"/>
            <w:vAlign w:val="center"/>
          </w:tcPr>
          <w:p w14:paraId="1C1CF872">
            <w:pPr>
              <w:pStyle w:val="45"/>
              <w:bidi w:val="0"/>
            </w:pPr>
            <w:r>
              <w:rPr>
                <w:rFonts w:hint="eastAsia"/>
              </w:rPr>
              <w:t>盐酸计量槽</w:t>
            </w:r>
          </w:p>
        </w:tc>
        <w:tc>
          <w:tcPr>
            <w:tcW w:w="916" w:type="pct"/>
            <w:vAlign w:val="center"/>
          </w:tcPr>
          <w:p w14:paraId="4916BDB3">
            <w:pPr>
              <w:pStyle w:val="45"/>
              <w:bidi w:val="0"/>
            </w:pPr>
            <w:r>
              <w:rPr>
                <w:rFonts w:hint="eastAsia"/>
              </w:rPr>
              <w:t>1㎥</w:t>
            </w:r>
            <w:r>
              <w:t>(PP)</w:t>
            </w:r>
          </w:p>
        </w:tc>
        <w:tc>
          <w:tcPr>
            <w:tcW w:w="1018" w:type="pct"/>
            <w:vAlign w:val="center"/>
          </w:tcPr>
          <w:p w14:paraId="1FB26E47">
            <w:pPr>
              <w:pStyle w:val="45"/>
              <w:bidi w:val="0"/>
              <w:rPr>
                <w:rFonts w:hint="eastAsia"/>
                <w:lang w:val="en-US" w:eastAsia="zh-CN"/>
              </w:rPr>
            </w:pPr>
            <w:r>
              <w:rPr>
                <w:rFonts w:hint="eastAsia"/>
              </w:rPr>
              <w:t>常温，常压</w:t>
            </w:r>
          </w:p>
        </w:tc>
        <w:tc>
          <w:tcPr>
            <w:tcW w:w="495" w:type="pct"/>
            <w:vAlign w:val="center"/>
          </w:tcPr>
          <w:p w14:paraId="571A08BC">
            <w:pPr>
              <w:pStyle w:val="45"/>
              <w:bidi w:val="0"/>
            </w:pPr>
            <w:r>
              <w:rPr>
                <w:rFonts w:hint="eastAsia"/>
              </w:rPr>
              <w:t>只</w:t>
            </w:r>
          </w:p>
        </w:tc>
        <w:tc>
          <w:tcPr>
            <w:tcW w:w="375" w:type="pct"/>
            <w:vAlign w:val="center"/>
          </w:tcPr>
          <w:p w14:paraId="4A4955B7">
            <w:pPr>
              <w:pStyle w:val="45"/>
              <w:bidi w:val="0"/>
            </w:pPr>
            <w:r>
              <w:rPr>
                <w:rFonts w:hint="eastAsia"/>
              </w:rPr>
              <w:t>1</w:t>
            </w:r>
          </w:p>
        </w:tc>
        <w:tc>
          <w:tcPr>
            <w:tcW w:w="1016" w:type="pct"/>
            <w:vAlign w:val="center"/>
          </w:tcPr>
          <w:p w14:paraId="113657D5">
            <w:pPr>
              <w:pStyle w:val="45"/>
              <w:bidi w:val="0"/>
            </w:pPr>
          </w:p>
        </w:tc>
      </w:tr>
      <w:tr w14:paraId="7FC104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372" w:type="pct"/>
            <w:vAlign w:val="center"/>
          </w:tcPr>
          <w:p w14:paraId="03BB85F0">
            <w:pPr>
              <w:pStyle w:val="45"/>
              <w:bidi w:val="0"/>
            </w:pPr>
            <w:r>
              <w:rPr>
                <w:rFonts w:hint="eastAsia"/>
              </w:rPr>
              <w:t>12</w:t>
            </w:r>
          </w:p>
        </w:tc>
        <w:tc>
          <w:tcPr>
            <w:tcW w:w="804" w:type="pct"/>
            <w:vAlign w:val="center"/>
          </w:tcPr>
          <w:p w14:paraId="649FFED0">
            <w:pPr>
              <w:pStyle w:val="45"/>
              <w:bidi w:val="0"/>
            </w:pPr>
            <w:r>
              <w:rPr>
                <w:rFonts w:hint="eastAsia"/>
              </w:rPr>
              <w:t>高氯酸计量槽</w:t>
            </w:r>
          </w:p>
        </w:tc>
        <w:tc>
          <w:tcPr>
            <w:tcW w:w="916" w:type="pct"/>
            <w:vAlign w:val="center"/>
          </w:tcPr>
          <w:p w14:paraId="030CB488">
            <w:pPr>
              <w:pStyle w:val="45"/>
              <w:bidi w:val="0"/>
            </w:pPr>
            <w:r>
              <w:rPr>
                <w:rFonts w:hint="eastAsia"/>
              </w:rPr>
              <w:t>0.5㎥（</w:t>
            </w:r>
            <w:r>
              <w:t>PP</w:t>
            </w:r>
            <w:r>
              <w:rPr>
                <w:rFonts w:hint="eastAsia"/>
              </w:rPr>
              <w:t>）</w:t>
            </w:r>
          </w:p>
        </w:tc>
        <w:tc>
          <w:tcPr>
            <w:tcW w:w="1018" w:type="pct"/>
            <w:vAlign w:val="center"/>
          </w:tcPr>
          <w:p w14:paraId="73EAF2D2">
            <w:pPr>
              <w:pStyle w:val="45"/>
              <w:bidi w:val="0"/>
              <w:rPr>
                <w:rFonts w:hint="eastAsia"/>
                <w:lang w:val="en-US" w:eastAsia="zh-CN"/>
              </w:rPr>
            </w:pPr>
            <w:r>
              <w:rPr>
                <w:rFonts w:hint="eastAsia"/>
              </w:rPr>
              <w:t>常温，常压</w:t>
            </w:r>
          </w:p>
        </w:tc>
        <w:tc>
          <w:tcPr>
            <w:tcW w:w="495" w:type="pct"/>
            <w:vAlign w:val="center"/>
          </w:tcPr>
          <w:p w14:paraId="08CDFC07">
            <w:pPr>
              <w:pStyle w:val="45"/>
              <w:bidi w:val="0"/>
            </w:pPr>
            <w:r>
              <w:rPr>
                <w:rFonts w:hint="eastAsia"/>
              </w:rPr>
              <w:t>只</w:t>
            </w:r>
          </w:p>
        </w:tc>
        <w:tc>
          <w:tcPr>
            <w:tcW w:w="375" w:type="pct"/>
            <w:vAlign w:val="center"/>
          </w:tcPr>
          <w:p w14:paraId="31F3D378">
            <w:pPr>
              <w:pStyle w:val="45"/>
              <w:bidi w:val="0"/>
            </w:pPr>
            <w:r>
              <w:rPr>
                <w:rFonts w:hint="eastAsia"/>
              </w:rPr>
              <w:t>1</w:t>
            </w:r>
          </w:p>
        </w:tc>
        <w:tc>
          <w:tcPr>
            <w:tcW w:w="1016" w:type="pct"/>
            <w:vAlign w:val="center"/>
          </w:tcPr>
          <w:p w14:paraId="568519AE">
            <w:pPr>
              <w:pStyle w:val="45"/>
              <w:bidi w:val="0"/>
            </w:pPr>
          </w:p>
        </w:tc>
      </w:tr>
      <w:tr w14:paraId="0840D8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2" w:hRule="atLeast"/>
          <w:jc w:val="center"/>
        </w:trPr>
        <w:tc>
          <w:tcPr>
            <w:tcW w:w="372" w:type="pct"/>
            <w:vAlign w:val="center"/>
          </w:tcPr>
          <w:p w14:paraId="26FB2E6B">
            <w:pPr>
              <w:pStyle w:val="45"/>
              <w:bidi w:val="0"/>
            </w:pPr>
            <w:r>
              <w:rPr>
                <w:rFonts w:hint="eastAsia"/>
              </w:rPr>
              <w:t>13</w:t>
            </w:r>
          </w:p>
        </w:tc>
        <w:tc>
          <w:tcPr>
            <w:tcW w:w="804" w:type="pct"/>
            <w:vAlign w:val="center"/>
          </w:tcPr>
          <w:p w14:paraId="1BE0C288">
            <w:pPr>
              <w:pStyle w:val="45"/>
              <w:bidi w:val="0"/>
            </w:pPr>
            <w:r>
              <w:rPr>
                <w:rFonts w:hint="eastAsia"/>
              </w:rPr>
              <w:t>熔融脱水槽</w:t>
            </w:r>
          </w:p>
        </w:tc>
        <w:tc>
          <w:tcPr>
            <w:tcW w:w="916" w:type="pct"/>
            <w:vAlign w:val="center"/>
          </w:tcPr>
          <w:p w14:paraId="7F73AC0D">
            <w:pPr>
              <w:pStyle w:val="45"/>
              <w:bidi w:val="0"/>
            </w:pPr>
            <w:r>
              <w:rPr>
                <w:rFonts w:hint="eastAsia"/>
              </w:rPr>
              <w:t>0.5㎥</w:t>
            </w:r>
            <w:r>
              <w:t xml:space="preserve"> </w:t>
            </w:r>
            <w:r>
              <w:rPr>
                <w:rFonts w:hint="eastAsia"/>
              </w:rPr>
              <w:t>钛</w:t>
            </w:r>
          </w:p>
        </w:tc>
        <w:tc>
          <w:tcPr>
            <w:tcW w:w="1018" w:type="pct"/>
            <w:vAlign w:val="center"/>
          </w:tcPr>
          <w:p w14:paraId="0E3F40FD">
            <w:pPr>
              <w:pStyle w:val="45"/>
              <w:bidi w:val="0"/>
              <w:rPr>
                <w:rFonts w:hint="eastAsia"/>
                <w:lang w:val="en-US" w:eastAsia="zh-CN"/>
              </w:rPr>
            </w:pPr>
            <w:r>
              <w:rPr>
                <w:rFonts w:hint="eastAsia"/>
              </w:rPr>
              <w:t>150℃，常压</w:t>
            </w:r>
          </w:p>
        </w:tc>
        <w:tc>
          <w:tcPr>
            <w:tcW w:w="495" w:type="pct"/>
            <w:vAlign w:val="center"/>
          </w:tcPr>
          <w:p w14:paraId="54D09B0B">
            <w:pPr>
              <w:pStyle w:val="45"/>
              <w:bidi w:val="0"/>
            </w:pPr>
            <w:r>
              <w:rPr>
                <w:rFonts w:hint="eastAsia"/>
              </w:rPr>
              <w:t>只</w:t>
            </w:r>
          </w:p>
        </w:tc>
        <w:tc>
          <w:tcPr>
            <w:tcW w:w="375" w:type="pct"/>
            <w:vAlign w:val="center"/>
          </w:tcPr>
          <w:p w14:paraId="7C917809">
            <w:pPr>
              <w:pStyle w:val="45"/>
              <w:bidi w:val="0"/>
            </w:pPr>
            <w:r>
              <w:rPr>
                <w:rFonts w:hint="eastAsia"/>
              </w:rPr>
              <w:t>4</w:t>
            </w:r>
          </w:p>
        </w:tc>
        <w:tc>
          <w:tcPr>
            <w:tcW w:w="1016" w:type="pct"/>
            <w:vAlign w:val="center"/>
          </w:tcPr>
          <w:p w14:paraId="79BDBB95">
            <w:pPr>
              <w:pStyle w:val="45"/>
              <w:bidi w:val="0"/>
            </w:pPr>
            <w:r>
              <w:rPr>
                <w:rFonts w:hint="eastAsia"/>
              </w:rPr>
              <w:t>电加热</w:t>
            </w:r>
          </w:p>
        </w:tc>
      </w:tr>
      <w:tr w14:paraId="2D173F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2" w:hRule="atLeast"/>
          <w:jc w:val="center"/>
        </w:trPr>
        <w:tc>
          <w:tcPr>
            <w:tcW w:w="372" w:type="pct"/>
            <w:vAlign w:val="center"/>
          </w:tcPr>
          <w:p w14:paraId="0A0B4133">
            <w:pPr>
              <w:pStyle w:val="45"/>
              <w:bidi w:val="0"/>
            </w:pPr>
            <w:r>
              <w:rPr>
                <w:rFonts w:hint="eastAsia"/>
              </w:rPr>
              <w:t>14</w:t>
            </w:r>
          </w:p>
        </w:tc>
        <w:tc>
          <w:tcPr>
            <w:tcW w:w="804" w:type="pct"/>
            <w:vAlign w:val="center"/>
          </w:tcPr>
          <w:p w14:paraId="3ABE1A98">
            <w:pPr>
              <w:pStyle w:val="45"/>
              <w:bidi w:val="0"/>
            </w:pPr>
            <w:r>
              <w:rPr>
                <w:rFonts w:hint="eastAsia"/>
              </w:rPr>
              <w:t>分散机</w:t>
            </w:r>
          </w:p>
        </w:tc>
        <w:tc>
          <w:tcPr>
            <w:tcW w:w="916" w:type="pct"/>
            <w:vAlign w:val="center"/>
          </w:tcPr>
          <w:p w14:paraId="0556CDDA">
            <w:pPr>
              <w:pStyle w:val="45"/>
              <w:bidi w:val="0"/>
            </w:pPr>
            <w:r>
              <w:rPr>
                <w:rFonts w:hint="eastAsia"/>
              </w:rPr>
              <w:t>0.5㎥不锈钢</w:t>
            </w:r>
          </w:p>
        </w:tc>
        <w:tc>
          <w:tcPr>
            <w:tcW w:w="1018" w:type="pct"/>
            <w:vAlign w:val="center"/>
          </w:tcPr>
          <w:p w14:paraId="1C83F0AA">
            <w:pPr>
              <w:pStyle w:val="45"/>
              <w:bidi w:val="0"/>
              <w:rPr>
                <w:rFonts w:hint="eastAsia"/>
                <w:lang w:val="en-US" w:eastAsia="zh-CN"/>
              </w:rPr>
            </w:pPr>
            <w:r>
              <w:rPr>
                <w:rFonts w:hint="eastAsia"/>
              </w:rPr>
              <w:t>150℃，常压</w:t>
            </w:r>
          </w:p>
        </w:tc>
        <w:tc>
          <w:tcPr>
            <w:tcW w:w="495" w:type="pct"/>
            <w:vAlign w:val="center"/>
          </w:tcPr>
          <w:p w14:paraId="3F204BDE">
            <w:pPr>
              <w:pStyle w:val="45"/>
              <w:bidi w:val="0"/>
            </w:pPr>
            <w:r>
              <w:rPr>
                <w:rFonts w:hint="eastAsia"/>
              </w:rPr>
              <w:t>只</w:t>
            </w:r>
          </w:p>
        </w:tc>
        <w:tc>
          <w:tcPr>
            <w:tcW w:w="375" w:type="pct"/>
            <w:vAlign w:val="center"/>
          </w:tcPr>
          <w:p w14:paraId="1940B593">
            <w:pPr>
              <w:pStyle w:val="45"/>
              <w:bidi w:val="0"/>
            </w:pPr>
            <w:r>
              <w:rPr>
                <w:rFonts w:hint="eastAsia"/>
              </w:rPr>
              <w:t>4</w:t>
            </w:r>
          </w:p>
        </w:tc>
        <w:tc>
          <w:tcPr>
            <w:tcW w:w="1016" w:type="pct"/>
            <w:vAlign w:val="center"/>
          </w:tcPr>
          <w:p w14:paraId="1BC1E4C1">
            <w:pPr>
              <w:pStyle w:val="45"/>
              <w:bidi w:val="0"/>
            </w:pPr>
          </w:p>
        </w:tc>
      </w:tr>
      <w:tr w14:paraId="1A2344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2" w:hRule="atLeast"/>
          <w:jc w:val="center"/>
        </w:trPr>
        <w:tc>
          <w:tcPr>
            <w:tcW w:w="372" w:type="pct"/>
            <w:vAlign w:val="center"/>
          </w:tcPr>
          <w:p w14:paraId="70536F1F">
            <w:pPr>
              <w:pStyle w:val="45"/>
              <w:bidi w:val="0"/>
            </w:pPr>
            <w:r>
              <w:rPr>
                <w:rFonts w:hint="eastAsia"/>
              </w:rPr>
              <w:t>15</w:t>
            </w:r>
          </w:p>
        </w:tc>
        <w:tc>
          <w:tcPr>
            <w:tcW w:w="804" w:type="pct"/>
            <w:vAlign w:val="center"/>
          </w:tcPr>
          <w:p w14:paraId="39FC0CB1">
            <w:pPr>
              <w:pStyle w:val="45"/>
              <w:bidi w:val="0"/>
            </w:pPr>
            <w:r>
              <w:rPr>
                <w:rFonts w:hint="eastAsia"/>
              </w:rPr>
              <w:t>除湿机</w:t>
            </w:r>
          </w:p>
        </w:tc>
        <w:tc>
          <w:tcPr>
            <w:tcW w:w="916" w:type="pct"/>
            <w:vAlign w:val="center"/>
          </w:tcPr>
          <w:p w14:paraId="4FDBC1A7">
            <w:pPr>
              <w:pStyle w:val="45"/>
              <w:bidi w:val="0"/>
            </w:pPr>
          </w:p>
        </w:tc>
        <w:tc>
          <w:tcPr>
            <w:tcW w:w="1018" w:type="pct"/>
            <w:vAlign w:val="center"/>
          </w:tcPr>
          <w:p w14:paraId="210C4902">
            <w:pPr>
              <w:pStyle w:val="45"/>
              <w:bidi w:val="0"/>
              <w:rPr>
                <w:rFonts w:hint="eastAsia"/>
                <w:lang w:val="en-US" w:eastAsia="zh-CN"/>
              </w:rPr>
            </w:pPr>
            <w:r>
              <w:rPr>
                <w:rFonts w:hint="eastAsia"/>
              </w:rPr>
              <w:t>露点，-30℃</w:t>
            </w:r>
          </w:p>
        </w:tc>
        <w:tc>
          <w:tcPr>
            <w:tcW w:w="495" w:type="pct"/>
            <w:vAlign w:val="center"/>
          </w:tcPr>
          <w:p w14:paraId="3B06916F">
            <w:pPr>
              <w:pStyle w:val="45"/>
              <w:bidi w:val="0"/>
            </w:pPr>
            <w:r>
              <w:rPr>
                <w:rFonts w:hint="eastAsia"/>
              </w:rPr>
              <w:t>套</w:t>
            </w:r>
          </w:p>
        </w:tc>
        <w:tc>
          <w:tcPr>
            <w:tcW w:w="375" w:type="pct"/>
            <w:vAlign w:val="center"/>
          </w:tcPr>
          <w:p w14:paraId="6F9A3DE7">
            <w:pPr>
              <w:pStyle w:val="45"/>
              <w:bidi w:val="0"/>
            </w:pPr>
            <w:r>
              <w:rPr>
                <w:rFonts w:hint="eastAsia"/>
              </w:rPr>
              <w:t>1</w:t>
            </w:r>
          </w:p>
        </w:tc>
        <w:tc>
          <w:tcPr>
            <w:tcW w:w="1016" w:type="pct"/>
            <w:vAlign w:val="center"/>
          </w:tcPr>
          <w:p w14:paraId="442F5761">
            <w:pPr>
              <w:pStyle w:val="45"/>
              <w:bidi w:val="0"/>
            </w:pPr>
          </w:p>
        </w:tc>
      </w:tr>
      <w:tr w14:paraId="6FA704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2" w:hRule="atLeast"/>
          <w:jc w:val="center"/>
        </w:trPr>
        <w:tc>
          <w:tcPr>
            <w:tcW w:w="372" w:type="pct"/>
            <w:vAlign w:val="center"/>
          </w:tcPr>
          <w:p w14:paraId="0DE46400">
            <w:pPr>
              <w:pStyle w:val="45"/>
              <w:bidi w:val="0"/>
            </w:pPr>
            <w:r>
              <w:rPr>
                <w:rFonts w:hint="eastAsia"/>
              </w:rPr>
              <w:t>16</w:t>
            </w:r>
          </w:p>
        </w:tc>
        <w:tc>
          <w:tcPr>
            <w:tcW w:w="804" w:type="pct"/>
            <w:vAlign w:val="center"/>
          </w:tcPr>
          <w:p w14:paraId="43285E36">
            <w:pPr>
              <w:pStyle w:val="45"/>
              <w:bidi w:val="0"/>
            </w:pPr>
            <w:r>
              <w:rPr>
                <w:rFonts w:hint="eastAsia"/>
              </w:rPr>
              <w:t>尾气吸收塔</w:t>
            </w:r>
          </w:p>
        </w:tc>
        <w:tc>
          <w:tcPr>
            <w:tcW w:w="916" w:type="pct"/>
            <w:vAlign w:val="center"/>
          </w:tcPr>
          <w:p w14:paraId="6F731D82">
            <w:pPr>
              <w:pStyle w:val="45"/>
              <w:bidi w:val="0"/>
            </w:pPr>
            <w:r>
              <w:rPr>
                <w:rFonts w:hint="eastAsia"/>
              </w:rPr>
              <w:t>P</w:t>
            </w:r>
            <w:r>
              <w:t>P</w:t>
            </w:r>
          </w:p>
        </w:tc>
        <w:tc>
          <w:tcPr>
            <w:tcW w:w="1018" w:type="pct"/>
            <w:vAlign w:val="center"/>
          </w:tcPr>
          <w:p w14:paraId="6E0A39C2">
            <w:pPr>
              <w:pStyle w:val="45"/>
              <w:bidi w:val="0"/>
              <w:rPr>
                <w:rFonts w:hint="eastAsia"/>
                <w:lang w:val="en-US" w:eastAsia="zh-CN"/>
              </w:rPr>
            </w:pPr>
            <w:r>
              <w:rPr>
                <w:rFonts w:hint="eastAsia"/>
              </w:rPr>
              <w:t>常温，常压</w:t>
            </w:r>
          </w:p>
        </w:tc>
        <w:tc>
          <w:tcPr>
            <w:tcW w:w="495" w:type="pct"/>
            <w:vAlign w:val="center"/>
          </w:tcPr>
          <w:p w14:paraId="2633205C">
            <w:pPr>
              <w:pStyle w:val="45"/>
              <w:bidi w:val="0"/>
            </w:pPr>
            <w:r>
              <w:rPr>
                <w:rFonts w:hint="eastAsia"/>
              </w:rPr>
              <w:t>套</w:t>
            </w:r>
          </w:p>
        </w:tc>
        <w:tc>
          <w:tcPr>
            <w:tcW w:w="375" w:type="pct"/>
            <w:vAlign w:val="center"/>
          </w:tcPr>
          <w:p w14:paraId="40FABC44">
            <w:pPr>
              <w:pStyle w:val="45"/>
              <w:bidi w:val="0"/>
            </w:pPr>
            <w:r>
              <w:rPr>
                <w:rFonts w:hint="eastAsia"/>
              </w:rPr>
              <w:t>1</w:t>
            </w:r>
          </w:p>
        </w:tc>
        <w:tc>
          <w:tcPr>
            <w:tcW w:w="1016" w:type="pct"/>
            <w:vAlign w:val="center"/>
          </w:tcPr>
          <w:p w14:paraId="51BA4FF1">
            <w:pPr>
              <w:pStyle w:val="45"/>
              <w:bidi w:val="0"/>
            </w:pPr>
          </w:p>
        </w:tc>
      </w:tr>
      <w:tr w14:paraId="6B0B79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372" w:type="pct"/>
            <w:vAlign w:val="center"/>
          </w:tcPr>
          <w:p w14:paraId="5961340C">
            <w:pPr>
              <w:pStyle w:val="45"/>
              <w:bidi w:val="0"/>
            </w:pPr>
            <w:r>
              <w:rPr>
                <w:rFonts w:hint="eastAsia"/>
              </w:rPr>
              <w:t>17</w:t>
            </w:r>
          </w:p>
        </w:tc>
        <w:tc>
          <w:tcPr>
            <w:tcW w:w="804" w:type="pct"/>
            <w:vAlign w:val="center"/>
          </w:tcPr>
          <w:p w14:paraId="7C63DC79">
            <w:pPr>
              <w:pStyle w:val="45"/>
              <w:bidi w:val="0"/>
            </w:pPr>
            <w:r>
              <w:rPr>
                <w:rFonts w:hint="eastAsia"/>
              </w:rPr>
              <w:t>氯化钠过滤器</w:t>
            </w:r>
          </w:p>
        </w:tc>
        <w:tc>
          <w:tcPr>
            <w:tcW w:w="916" w:type="pct"/>
            <w:vAlign w:val="center"/>
          </w:tcPr>
          <w:p w14:paraId="7C7D1FDA">
            <w:pPr>
              <w:pStyle w:val="45"/>
              <w:bidi w:val="0"/>
            </w:pPr>
            <w:r>
              <w:rPr>
                <w:rFonts w:hint="eastAsia"/>
              </w:rPr>
              <w:t>0.5㎥不锈钢</w:t>
            </w:r>
          </w:p>
        </w:tc>
        <w:tc>
          <w:tcPr>
            <w:tcW w:w="1018" w:type="pct"/>
            <w:vAlign w:val="center"/>
          </w:tcPr>
          <w:p w14:paraId="1F351655">
            <w:pPr>
              <w:pStyle w:val="45"/>
              <w:bidi w:val="0"/>
              <w:rPr>
                <w:rFonts w:hint="eastAsia"/>
                <w:lang w:val="en-US" w:eastAsia="zh-CN"/>
              </w:rPr>
            </w:pPr>
            <w:r>
              <w:rPr>
                <w:rFonts w:hint="eastAsia"/>
              </w:rPr>
              <w:t>90℃，0.3Mpa</w:t>
            </w:r>
          </w:p>
        </w:tc>
        <w:tc>
          <w:tcPr>
            <w:tcW w:w="495" w:type="pct"/>
            <w:vAlign w:val="center"/>
          </w:tcPr>
          <w:p w14:paraId="70F30649">
            <w:pPr>
              <w:pStyle w:val="45"/>
              <w:bidi w:val="0"/>
            </w:pPr>
            <w:r>
              <w:rPr>
                <w:rFonts w:hint="eastAsia"/>
              </w:rPr>
              <w:t>只</w:t>
            </w:r>
          </w:p>
        </w:tc>
        <w:tc>
          <w:tcPr>
            <w:tcW w:w="375" w:type="pct"/>
            <w:vAlign w:val="center"/>
          </w:tcPr>
          <w:p w14:paraId="5A961351">
            <w:pPr>
              <w:pStyle w:val="45"/>
              <w:bidi w:val="0"/>
            </w:pPr>
            <w:r>
              <w:rPr>
                <w:rFonts w:hint="eastAsia"/>
              </w:rPr>
              <w:t>1</w:t>
            </w:r>
          </w:p>
        </w:tc>
        <w:tc>
          <w:tcPr>
            <w:tcW w:w="1016" w:type="pct"/>
            <w:vAlign w:val="center"/>
          </w:tcPr>
          <w:p w14:paraId="362FA205">
            <w:pPr>
              <w:pStyle w:val="45"/>
              <w:bidi w:val="0"/>
            </w:pPr>
          </w:p>
        </w:tc>
      </w:tr>
      <w:tr w14:paraId="4BA069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2" w:hRule="atLeast"/>
          <w:jc w:val="center"/>
        </w:trPr>
        <w:tc>
          <w:tcPr>
            <w:tcW w:w="372" w:type="pct"/>
            <w:vAlign w:val="center"/>
          </w:tcPr>
          <w:p w14:paraId="5877B2AC">
            <w:pPr>
              <w:pStyle w:val="45"/>
              <w:bidi w:val="0"/>
            </w:pPr>
            <w:r>
              <w:rPr>
                <w:rFonts w:hint="eastAsia"/>
              </w:rPr>
              <w:t>18</w:t>
            </w:r>
          </w:p>
        </w:tc>
        <w:tc>
          <w:tcPr>
            <w:tcW w:w="804" w:type="pct"/>
            <w:vAlign w:val="center"/>
          </w:tcPr>
          <w:p w14:paraId="4D50CF59">
            <w:pPr>
              <w:pStyle w:val="45"/>
              <w:bidi w:val="0"/>
            </w:pPr>
            <w:r>
              <w:rPr>
                <w:rFonts w:hint="eastAsia"/>
              </w:rPr>
              <w:t>纯水计量槽</w:t>
            </w:r>
          </w:p>
        </w:tc>
        <w:tc>
          <w:tcPr>
            <w:tcW w:w="916" w:type="pct"/>
            <w:vAlign w:val="center"/>
          </w:tcPr>
          <w:p w14:paraId="5C71FE81">
            <w:pPr>
              <w:pStyle w:val="45"/>
              <w:bidi w:val="0"/>
            </w:pPr>
            <w:r>
              <w:rPr>
                <w:rFonts w:hint="eastAsia"/>
              </w:rPr>
              <w:t>2.0㎥(PP)</w:t>
            </w:r>
          </w:p>
        </w:tc>
        <w:tc>
          <w:tcPr>
            <w:tcW w:w="1018" w:type="pct"/>
            <w:vAlign w:val="center"/>
          </w:tcPr>
          <w:p w14:paraId="56FDB64E">
            <w:pPr>
              <w:pStyle w:val="45"/>
              <w:bidi w:val="0"/>
              <w:rPr>
                <w:rFonts w:hint="eastAsia"/>
                <w:lang w:val="en-US" w:eastAsia="zh-CN"/>
              </w:rPr>
            </w:pPr>
            <w:r>
              <w:rPr>
                <w:rFonts w:hint="eastAsia"/>
              </w:rPr>
              <w:t>常温，常压</w:t>
            </w:r>
          </w:p>
        </w:tc>
        <w:tc>
          <w:tcPr>
            <w:tcW w:w="495" w:type="pct"/>
            <w:vAlign w:val="center"/>
          </w:tcPr>
          <w:p w14:paraId="1AD07684">
            <w:pPr>
              <w:pStyle w:val="45"/>
              <w:bidi w:val="0"/>
            </w:pPr>
            <w:r>
              <w:rPr>
                <w:rFonts w:hint="eastAsia"/>
              </w:rPr>
              <w:t>只</w:t>
            </w:r>
          </w:p>
        </w:tc>
        <w:tc>
          <w:tcPr>
            <w:tcW w:w="375" w:type="pct"/>
            <w:vAlign w:val="center"/>
          </w:tcPr>
          <w:p w14:paraId="3B17F141">
            <w:pPr>
              <w:pStyle w:val="45"/>
              <w:bidi w:val="0"/>
            </w:pPr>
            <w:r>
              <w:rPr>
                <w:rFonts w:hint="eastAsia"/>
              </w:rPr>
              <w:t>1</w:t>
            </w:r>
          </w:p>
        </w:tc>
        <w:tc>
          <w:tcPr>
            <w:tcW w:w="1016" w:type="pct"/>
            <w:vAlign w:val="center"/>
          </w:tcPr>
          <w:p w14:paraId="569943C9">
            <w:pPr>
              <w:pStyle w:val="45"/>
              <w:bidi w:val="0"/>
            </w:pPr>
          </w:p>
        </w:tc>
      </w:tr>
      <w:tr w14:paraId="44DB88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2" w:hRule="atLeast"/>
          <w:jc w:val="center"/>
        </w:trPr>
        <w:tc>
          <w:tcPr>
            <w:tcW w:w="372" w:type="pct"/>
            <w:vAlign w:val="center"/>
          </w:tcPr>
          <w:p w14:paraId="5403C838">
            <w:pPr>
              <w:pStyle w:val="45"/>
              <w:bidi w:val="0"/>
            </w:pPr>
            <w:r>
              <w:rPr>
                <w:rFonts w:hint="eastAsia"/>
              </w:rPr>
              <w:t>19</w:t>
            </w:r>
          </w:p>
        </w:tc>
        <w:tc>
          <w:tcPr>
            <w:tcW w:w="804" w:type="pct"/>
            <w:vAlign w:val="center"/>
          </w:tcPr>
          <w:p w14:paraId="183EEF1F">
            <w:pPr>
              <w:pStyle w:val="45"/>
              <w:bidi w:val="0"/>
            </w:pPr>
            <w:r>
              <w:rPr>
                <w:rFonts w:hint="eastAsia"/>
              </w:rPr>
              <w:t>精密过滤器</w:t>
            </w:r>
          </w:p>
        </w:tc>
        <w:tc>
          <w:tcPr>
            <w:tcW w:w="916" w:type="pct"/>
            <w:vAlign w:val="center"/>
          </w:tcPr>
          <w:p w14:paraId="6E182DB6">
            <w:pPr>
              <w:pStyle w:val="45"/>
              <w:bidi w:val="0"/>
            </w:pPr>
            <w:r>
              <w:rPr>
                <w:rFonts w:hint="eastAsia"/>
              </w:rPr>
              <w:t>0.15㎥不锈钢</w:t>
            </w:r>
          </w:p>
        </w:tc>
        <w:tc>
          <w:tcPr>
            <w:tcW w:w="1018" w:type="pct"/>
            <w:vAlign w:val="center"/>
          </w:tcPr>
          <w:p w14:paraId="7CF58119">
            <w:pPr>
              <w:pStyle w:val="45"/>
              <w:bidi w:val="0"/>
              <w:rPr>
                <w:rFonts w:hint="eastAsia"/>
                <w:lang w:val="en-US" w:eastAsia="zh-CN"/>
              </w:rPr>
            </w:pPr>
          </w:p>
        </w:tc>
        <w:tc>
          <w:tcPr>
            <w:tcW w:w="495" w:type="pct"/>
            <w:vAlign w:val="center"/>
          </w:tcPr>
          <w:p w14:paraId="2A3B8079">
            <w:pPr>
              <w:pStyle w:val="45"/>
              <w:bidi w:val="0"/>
            </w:pPr>
            <w:r>
              <w:rPr>
                <w:rFonts w:hint="eastAsia"/>
              </w:rPr>
              <w:t>只</w:t>
            </w:r>
          </w:p>
        </w:tc>
        <w:tc>
          <w:tcPr>
            <w:tcW w:w="375" w:type="pct"/>
            <w:vAlign w:val="center"/>
          </w:tcPr>
          <w:p w14:paraId="5E9737F5">
            <w:pPr>
              <w:pStyle w:val="45"/>
              <w:bidi w:val="0"/>
            </w:pPr>
            <w:r>
              <w:rPr>
                <w:rFonts w:hint="eastAsia"/>
              </w:rPr>
              <w:t>3</w:t>
            </w:r>
          </w:p>
        </w:tc>
        <w:tc>
          <w:tcPr>
            <w:tcW w:w="1016" w:type="pct"/>
            <w:vAlign w:val="center"/>
          </w:tcPr>
          <w:p w14:paraId="31705281">
            <w:pPr>
              <w:pStyle w:val="45"/>
              <w:bidi w:val="0"/>
            </w:pPr>
          </w:p>
        </w:tc>
      </w:tr>
      <w:tr w14:paraId="22B932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372" w:type="pct"/>
            <w:vAlign w:val="center"/>
          </w:tcPr>
          <w:p w14:paraId="1034278B">
            <w:pPr>
              <w:pStyle w:val="45"/>
              <w:bidi w:val="0"/>
            </w:pPr>
            <w:r>
              <w:rPr>
                <w:rFonts w:hint="eastAsia"/>
              </w:rPr>
              <w:t>20</w:t>
            </w:r>
          </w:p>
        </w:tc>
        <w:tc>
          <w:tcPr>
            <w:tcW w:w="804" w:type="pct"/>
            <w:vAlign w:val="center"/>
          </w:tcPr>
          <w:p w14:paraId="1B8BAC3F">
            <w:pPr>
              <w:pStyle w:val="45"/>
              <w:bidi w:val="0"/>
            </w:pPr>
            <w:r>
              <w:rPr>
                <w:rFonts w:hint="eastAsia"/>
              </w:rPr>
              <w:t>1寸气动隔膜泵</w:t>
            </w:r>
          </w:p>
        </w:tc>
        <w:tc>
          <w:tcPr>
            <w:tcW w:w="916" w:type="pct"/>
            <w:vAlign w:val="center"/>
          </w:tcPr>
          <w:p w14:paraId="454F91E3">
            <w:pPr>
              <w:pStyle w:val="45"/>
              <w:bidi w:val="0"/>
            </w:pPr>
            <w:r>
              <w:rPr>
                <w:rFonts w:hint="eastAsia"/>
              </w:rPr>
              <w:t>四氟</w:t>
            </w:r>
          </w:p>
        </w:tc>
        <w:tc>
          <w:tcPr>
            <w:tcW w:w="1018" w:type="pct"/>
            <w:vAlign w:val="center"/>
          </w:tcPr>
          <w:p w14:paraId="0569485F">
            <w:pPr>
              <w:pStyle w:val="45"/>
              <w:bidi w:val="0"/>
              <w:rPr>
                <w:rFonts w:hint="eastAsia"/>
                <w:lang w:val="en-US" w:eastAsia="zh-CN"/>
              </w:rPr>
            </w:pPr>
            <w:r>
              <w:rPr>
                <w:rFonts w:hint="eastAsia"/>
              </w:rPr>
              <w:t>常温-90℃，0.1-0.3Mpa</w:t>
            </w:r>
          </w:p>
        </w:tc>
        <w:tc>
          <w:tcPr>
            <w:tcW w:w="495" w:type="pct"/>
            <w:vAlign w:val="center"/>
          </w:tcPr>
          <w:p w14:paraId="742D36B6">
            <w:pPr>
              <w:pStyle w:val="45"/>
              <w:bidi w:val="0"/>
            </w:pPr>
            <w:r>
              <w:rPr>
                <w:rFonts w:hint="eastAsia"/>
              </w:rPr>
              <w:t>台</w:t>
            </w:r>
          </w:p>
        </w:tc>
        <w:tc>
          <w:tcPr>
            <w:tcW w:w="375" w:type="pct"/>
            <w:vAlign w:val="center"/>
          </w:tcPr>
          <w:p w14:paraId="291CEDBF">
            <w:pPr>
              <w:pStyle w:val="45"/>
              <w:bidi w:val="0"/>
            </w:pPr>
            <w:r>
              <w:rPr>
                <w:rFonts w:hint="eastAsia"/>
              </w:rPr>
              <w:t>11</w:t>
            </w:r>
          </w:p>
        </w:tc>
        <w:tc>
          <w:tcPr>
            <w:tcW w:w="1016" w:type="pct"/>
            <w:vAlign w:val="center"/>
          </w:tcPr>
          <w:p w14:paraId="612F6FFE">
            <w:pPr>
              <w:pStyle w:val="45"/>
              <w:bidi w:val="0"/>
            </w:pPr>
          </w:p>
        </w:tc>
      </w:tr>
      <w:tr w14:paraId="42D650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4" w:hRule="atLeast"/>
          <w:jc w:val="center"/>
        </w:trPr>
        <w:tc>
          <w:tcPr>
            <w:tcW w:w="372" w:type="pct"/>
            <w:vAlign w:val="center"/>
          </w:tcPr>
          <w:p w14:paraId="60B2AB8D">
            <w:pPr>
              <w:pStyle w:val="45"/>
              <w:bidi w:val="0"/>
            </w:pPr>
            <w:r>
              <w:rPr>
                <w:rFonts w:hint="eastAsia"/>
              </w:rPr>
              <w:t>21</w:t>
            </w:r>
          </w:p>
        </w:tc>
        <w:tc>
          <w:tcPr>
            <w:tcW w:w="804" w:type="pct"/>
            <w:vAlign w:val="center"/>
          </w:tcPr>
          <w:p w14:paraId="4FB21DD0">
            <w:pPr>
              <w:pStyle w:val="45"/>
              <w:bidi w:val="0"/>
            </w:pPr>
            <w:r>
              <w:rPr>
                <w:rFonts w:hint="eastAsia"/>
              </w:rPr>
              <w:t>真空机组</w:t>
            </w:r>
          </w:p>
        </w:tc>
        <w:tc>
          <w:tcPr>
            <w:tcW w:w="916" w:type="pct"/>
            <w:vAlign w:val="center"/>
          </w:tcPr>
          <w:p w14:paraId="374F101A">
            <w:pPr>
              <w:pStyle w:val="45"/>
              <w:bidi w:val="0"/>
            </w:pPr>
            <w:r>
              <w:rPr>
                <w:rFonts w:hint="eastAsia"/>
              </w:rPr>
              <w:t>水环式</w:t>
            </w:r>
          </w:p>
        </w:tc>
        <w:tc>
          <w:tcPr>
            <w:tcW w:w="1018" w:type="pct"/>
            <w:vAlign w:val="center"/>
          </w:tcPr>
          <w:p w14:paraId="58757B12">
            <w:pPr>
              <w:pStyle w:val="45"/>
              <w:bidi w:val="0"/>
              <w:rPr>
                <w:rFonts w:hint="eastAsia"/>
                <w:lang w:val="en-US" w:eastAsia="zh-CN"/>
              </w:rPr>
            </w:pPr>
            <w:r>
              <w:rPr>
                <w:rFonts w:hint="eastAsia"/>
              </w:rPr>
              <w:t>常温，负压（-0.1Mpa）</w:t>
            </w:r>
          </w:p>
        </w:tc>
        <w:tc>
          <w:tcPr>
            <w:tcW w:w="495" w:type="pct"/>
            <w:vAlign w:val="center"/>
          </w:tcPr>
          <w:p w14:paraId="28326179">
            <w:pPr>
              <w:pStyle w:val="45"/>
              <w:bidi w:val="0"/>
            </w:pPr>
            <w:r>
              <w:rPr>
                <w:rFonts w:hint="eastAsia"/>
              </w:rPr>
              <w:t>台</w:t>
            </w:r>
          </w:p>
        </w:tc>
        <w:tc>
          <w:tcPr>
            <w:tcW w:w="375" w:type="pct"/>
            <w:vAlign w:val="center"/>
          </w:tcPr>
          <w:p w14:paraId="36F08B38">
            <w:pPr>
              <w:pStyle w:val="45"/>
              <w:bidi w:val="0"/>
            </w:pPr>
            <w:r>
              <w:rPr>
                <w:rFonts w:hint="eastAsia"/>
              </w:rPr>
              <w:t>1</w:t>
            </w:r>
          </w:p>
        </w:tc>
        <w:tc>
          <w:tcPr>
            <w:tcW w:w="1016" w:type="pct"/>
            <w:vAlign w:val="center"/>
          </w:tcPr>
          <w:p w14:paraId="5F240ACB">
            <w:pPr>
              <w:pStyle w:val="45"/>
              <w:bidi w:val="0"/>
            </w:pPr>
          </w:p>
        </w:tc>
      </w:tr>
    </w:tbl>
    <w:p w14:paraId="78DC44E0">
      <w:pPr>
        <w:ind w:left="0" w:leftChars="0" w:firstLine="0" w:firstLineChars="0"/>
        <w:rPr>
          <w:rFonts w:hint="default"/>
          <w:lang w:val="en-US" w:eastAsia="zh-CN"/>
        </w:rPr>
      </w:pPr>
    </w:p>
    <w:p w14:paraId="11EAB87E">
      <w:pPr>
        <w:pStyle w:val="43"/>
        <w:bidi w:val="0"/>
        <w:rPr>
          <w:rFonts w:hint="default"/>
          <w:highlight w:val="none"/>
          <w:lang w:val="en-US" w:eastAsia="zh-CN"/>
        </w:rPr>
      </w:pPr>
      <w:r>
        <w:rPr>
          <w:rFonts w:hint="eastAsia"/>
          <w:highlight w:val="none"/>
          <w:lang w:val="en-US" w:eastAsia="zh-CN"/>
        </w:rPr>
        <w:t>氢气回收装置主要设备一览表</w:t>
      </w:r>
    </w:p>
    <w:tbl>
      <w:tblPr>
        <w:tblStyle w:val="32"/>
        <w:tblW w:w="502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67"/>
        <w:gridCol w:w="1921"/>
        <w:gridCol w:w="2105"/>
        <w:gridCol w:w="978"/>
        <w:gridCol w:w="1148"/>
        <w:gridCol w:w="1434"/>
      </w:tblGrid>
      <w:tr w14:paraId="7A0DAC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3" w:hRule="atLeast"/>
          <w:jc w:val="center"/>
        </w:trPr>
        <w:tc>
          <w:tcPr>
            <w:tcW w:w="459" w:type="pct"/>
            <w:vAlign w:val="center"/>
          </w:tcPr>
          <w:p w14:paraId="0243DA44">
            <w:pPr>
              <w:pStyle w:val="45"/>
              <w:bidi w:val="0"/>
              <w:rPr>
                <w:b/>
                <w:bCs/>
                <w:highlight w:val="none"/>
                <w:lang w:eastAsia="en-US"/>
              </w:rPr>
            </w:pPr>
            <w:r>
              <w:rPr>
                <w:rFonts w:hint="eastAsia"/>
                <w:b/>
                <w:bCs/>
                <w:highlight w:val="none"/>
              </w:rPr>
              <w:t>序号</w:t>
            </w:r>
          </w:p>
        </w:tc>
        <w:tc>
          <w:tcPr>
            <w:tcW w:w="1149" w:type="pct"/>
            <w:vAlign w:val="center"/>
          </w:tcPr>
          <w:p w14:paraId="49755960">
            <w:pPr>
              <w:pStyle w:val="45"/>
              <w:bidi w:val="0"/>
              <w:rPr>
                <w:b/>
                <w:bCs/>
                <w:highlight w:val="none"/>
              </w:rPr>
            </w:pPr>
            <w:r>
              <w:rPr>
                <w:rFonts w:hint="eastAsia"/>
                <w:b/>
                <w:bCs/>
                <w:highlight w:val="none"/>
              </w:rPr>
              <w:t>设备名称</w:t>
            </w:r>
          </w:p>
        </w:tc>
        <w:tc>
          <w:tcPr>
            <w:tcW w:w="1259" w:type="pct"/>
            <w:vAlign w:val="center"/>
          </w:tcPr>
          <w:p w14:paraId="0ED7E63F">
            <w:pPr>
              <w:pStyle w:val="45"/>
              <w:bidi w:val="0"/>
              <w:rPr>
                <w:b/>
                <w:bCs/>
                <w:highlight w:val="none"/>
              </w:rPr>
            </w:pPr>
            <w:r>
              <w:rPr>
                <w:rFonts w:hint="eastAsia"/>
                <w:b/>
                <w:bCs/>
                <w:highlight w:val="none"/>
              </w:rPr>
              <w:t>规格</w:t>
            </w:r>
          </w:p>
        </w:tc>
        <w:tc>
          <w:tcPr>
            <w:tcW w:w="585" w:type="pct"/>
            <w:vAlign w:val="center"/>
          </w:tcPr>
          <w:p w14:paraId="26218037">
            <w:pPr>
              <w:pStyle w:val="45"/>
              <w:bidi w:val="0"/>
              <w:rPr>
                <w:b/>
                <w:bCs/>
                <w:highlight w:val="none"/>
              </w:rPr>
            </w:pPr>
            <w:r>
              <w:rPr>
                <w:rFonts w:hint="eastAsia"/>
                <w:b/>
                <w:bCs/>
                <w:highlight w:val="none"/>
              </w:rPr>
              <w:t>单位</w:t>
            </w:r>
          </w:p>
        </w:tc>
        <w:tc>
          <w:tcPr>
            <w:tcW w:w="687" w:type="pct"/>
            <w:vAlign w:val="center"/>
          </w:tcPr>
          <w:p w14:paraId="3872E443">
            <w:pPr>
              <w:pStyle w:val="45"/>
              <w:bidi w:val="0"/>
              <w:rPr>
                <w:b/>
                <w:bCs/>
                <w:highlight w:val="none"/>
              </w:rPr>
            </w:pPr>
            <w:r>
              <w:rPr>
                <w:rFonts w:hint="eastAsia"/>
                <w:b/>
                <w:bCs/>
                <w:highlight w:val="none"/>
              </w:rPr>
              <w:t>数量</w:t>
            </w:r>
          </w:p>
        </w:tc>
        <w:tc>
          <w:tcPr>
            <w:tcW w:w="858" w:type="pct"/>
            <w:vAlign w:val="center"/>
          </w:tcPr>
          <w:p w14:paraId="20CFB5BD">
            <w:pPr>
              <w:pStyle w:val="45"/>
              <w:bidi w:val="0"/>
              <w:rPr>
                <w:b/>
                <w:bCs/>
                <w:highlight w:val="none"/>
                <w:lang w:eastAsia="en-US"/>
              </w:rPr>
            </w:pPr>
            <w:r>
              <w:rPr>
                <w:rFonts w:hint="eastAsia"/>
                <w:b/>
                <w:bCs/>
                <w:highlight w:val="none"/>
              </w:rPr>
              <w:t>备注</w:t>
            </w:r>
          </w:p>
        </w:tc>
      </w:tr>
      <w:tr w14:paraId="0DB6A6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3" w:hRule="atLeast"/>
          <w:jc w:val="center"/>
        </w:trPr>
        <w:tc>
          <w:tcPr>
            <w:tcW w:w="459" w:type="pct"/>
            <w:vAlign w:val="center"/>
          </w:tcPr>
          <w:p w14:paraId="60D371F8">
            <w:pPr>
              <w:pStyle w:val="45"/>
              <w:bidi w:val="0"/>
            </w:pPr>
            <w:r>
              <w:rPr>
                <w:rFonts w:hint="eastAsia"/>
              </w:rPr>
              <w:t>1</w:t>
            </w:r>
          </w:p>
        </w:tc>
        <w:tc>
          <w:tcPr>
            <w:tcW w:w="1149" w:type="pct"/>
            <w:vAlign w:val="center"/>
          </w:tcPr>
          <w:p w14:paraId="7A92B95C">
            <w:pPr>
              <w:pStyle w:val="45"/>
              <w:bidi w:val="0"/>
              <w:rPr>
                <w:rFonts w:hint="default" w:eastAsia="宋体"/>
                <w:lang w:val="en-US" w:eastAsia="zh-CN"/>
              </w:rPr>
            </w:pPr>
            <w:r>
              <w:rPr>
                <w:rFonts w:hint="eastAsia"/>
                <w:lang w:val="en-US" w:eastAsia="zh-CN"/>
              </w:rPr>
              <w:t>原料气缓冲罐/气柜</w:t>
            </w:r>
          </w:p>
        </w:tc>
        <w:tc>
          <w:tcPr>
            <w:tcW w:w="1259" w:type="pct"/>
            <w:vAlign w:val="center"/>
          </w:tcPr>
          <w:p w14:paraId="5125DCE6">
            <w:pPr>
              <w:pStyle w:val="45"/>
              <w:bidi w:val="0"/>
              <w:rPr>
                <w:rFonts w:hint="default"/>
                <w:lang w:val="en-US" w:eastAsia="zh-CN"/>
              </w:rPr>
            </w:pPr>
            <w:r>
              <w:t>Φ</w:t>
            </w:r>
            <w:r>
              <w:rPr>
                <w:rFonts w:hint="eastAsia"/>
                <w:lang w:val="en-US" w:eastAsia="zh-CN"/>
              </w:rPr>
              <w:t>14000</w:t>
            </w:r>
            <w:r>
              <w:t>×</w:t>
            </w:r>
            <w:r>
              <w:rPr>
                <w:rFonts w:hint="eastAsia"/>
                <w:lang w:val="en-US" w:eastAsia="zh-CN"/>
              </w:rPr>
              <w:t>13500mm</w:t>
            </w:r>
          </w:p>
        </w:tc>
        <w:tc>
          <w:tcPr>
            <w:tcW w:w="585" w:type="pct"/>
            <w:vAlign w:val="center"/>
          </w:tcPr>
          <w:p w14:paraId="261B92AC">
            <w:pPr>
              <w:pStyle w:val="45"/>
              <w:bidi w:val="0"/>
            </w:pPr>
            <w:r>
              <w:rPr>
                <w:rFonts w:hint="eastAsia"/>
              </w:rPr>
              <w:t>台</w:t>
            </w:r>
          </w:p>
        </w:tc>
        <w:tc>
          <w:tcPr>
            <w:tcW w:w="687" w:type="pct"/>
            <w:vAlign w:val="center"/>
          </w:tcPr>
          <w:p w14:paraId="12CAAA4F">
            <w:pPr>
              <w:pStyle w:val="45"/>
              <w:bidi w:val="0"/>
              <w:rPr>
                <w:rFonts w:hint="eastAsia" w:eastAsia="宋体"/>
                <w:lang w:val="en-US" w:eastAsia="zh-CN"/>
              </w:rPr>
            </w:pPr>
            <w:r>
              <w:rPr>
                <w:rFonts w:hint="eastAsia"/>
                <w:lang w:val="en-US" w:eastAsia="zh-CN"/>
              </w:rPr>
              <w:t>1</w:t>
            </w:r>
          </w:p>
        </w:tc>
        <w:tc>
          <w:tcPr>
            <w:tcW w:w="858" w:type="pct"/>
            <w:vAlign w:val="center"/>
          </w:tcPr>
          <w:p w14:paraId="367F4670">
            <w:pPr>
              <w:pStyle w:val="45"/>
              <w:bidi w:val="0"/>
            </w:pPr>
          </w:p>
        </w:tc>
      </w:tr>
      <w:tr w14:paraId="3D31A0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jc w:val="center"/>
        </w:trPr>
        <w:tc>
          <w:tcPr>
            <w:tcW w:w="459" w:type="pct"/>
            <w:vAlign w:val="center"/>
          </w:tcPr>
          <w:p w14:paraId="09ED99BE">
            <w:pPr>
              <w:pStyle w:val="45"/>
              <w:bidi w:val="0"/>
              <w:rPr>
                <w:rFonts w:hint="eastAsia" w:eastAsia="宋体"/>
                <w:lang w:val="en-US" w:eastAsia="zh-CN"/>
              </w:rPr>
            </w:pPr>
            <w:r>
              <w:rPr>
                <w:rFonts w:hint="eastAsia"/>
                <w:lang w:val="en-US" w:eastAsia="zh-CN"/>
              </w:rPr>
              <w:t>2</w:t>
            </w:r>
          </w:p>
        </w:tc>
        <w:tc>
          <w:tcPr>
            <w:tcW w:w="1149" w:type="pct"/>
            <w:vAlign w:val="center"/>
          </w:tcPr>
          <w:p w14:paraId="0F8E271C">
            <w:pPr>
              <w:pStyle w:val="45"/>
              <w:bidi w:val="0"/>
              <w:rPr>
                <w:rFonts w:hint="default"/>
                <w:lang w:val="en-US" w:eastAsia="zh-CN"/>
              </w:rPr>
            </w:pPr>
            <w:r>
              <w:rPr>
                <w:rFonts w:hint="eastAsia"/>
                <w:lang w:val="en-US" w:eastAsia="zh-CN"/>
              </w:rPr>
              <w:t>PSA吸附器</w:t>
            </w:r>
          </w:p>
        </w:tc>
        <w:tc>
          <w:tcPr>
            <w:tcW w:w="1259" w:type="pct"/>
            <w:vAlign w:val="center"/>
          </w:tcPr>
          <w:p w14:paraId="68F8190E">
            <w:pPr>
              <w:pStyle w:val="45"/>
              <w:bidi w:val="0"/>
              <w:rPr>
                <w:rFonts w:hint="eastAsia"/>
                <w:lang w:val="en-US" w:eastAsia="zh-CN"/>
              </w:rPr>
            </w:pPr>
          </w:p>
        </w:tc>
        <w:tc>
          <w:tcPr>
            <w:tcW w:w="585" w:type="pct"/>
            <w:vAlign w:val="center"/>
          </w:tcPr>
          <w:p w14:paraId="1138A6C4">
            <w:pPr>
              <w:pStyle w:val="45"/>
              <w:bidi w:val="0"/>
              <w:rPr>
                <w:rFonts w:hint="eastAsia"/>
              </w:rPr>
            </w:pPr>
            <w:r>
              <w:rPr>
                <w:rFonts w:hint="eastAsia"/>
              </w:rPr>
              <w:t>台</w:t>
            </w:r>
          </w:p>
        </w:tc>
        <w:tc>
          <w:tcPr>
            <w:tcW w:w="687" w:type="pct"/>
            <w:vAlign w:val="center"/>
          </w:tcPr>
          <w:p w14:paraId="01E23F9E">
            <w:pPr>
              <w:pStyle w:val="45"/>
              <w:bidi w:val="0"/>
              <w:rPr>
                <w:rFonts w:hint="default"/>
                <w:lang w:val="en-US" w:eastAsia="zh-CN"/>
              </w:rPr>
            </w:pPr>
            <w:r>
              <w:rPr>
                <w:rFonts w:hint="eastAsia"/>
                <w:lang w:val="en-US" w:eastAsia="zh-CN"/>
              </w:rPr>
              <w:t>4</w:t>
            </w:r>
          </w:p>
        </w:tc>
        <w:tc>
          <w:tcPr>
            <w:tcW w:w="858" w:type="pct"/>
            <w:vAlign w:val="center"/>
          </w:tcPr>
          <w:p w14:paraId="61A5235C">
            <w:pPr>
              <w:pStyle w:val="45"/>
              <w:bidi w:val="0"/>
            </w:pPr>
          </w:p>
        </w:tc>
      </w:tr>
      <w:tr w14:paraId="4B7E44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jc w:val="center"/>
        </w:trPr>
        <w:tc>
          <w:tcPr>
            <w:tcW w:w="459" w:type="pct"/>
            <w:vAlign w:val="center"/>
          </w:tcPr>
          <w:p w14:paraId="7A53E84F">
            <w:pPr>
              <w:pStyle w:val="45"/>
              <w:bidi w:val="0"/>
              <w:rPr>
                <w:rFonts w:hint="eastAsia" w:eastAsia="宋体"/>
                <w:lang w:eastAsia="zh-CN"/>
              </w:rPr>
            </w:pPr>
            <w:r>
              <w:rPr>
                <w:rFonts w:hint="eastAsia"/>
                <w:lang w:val="en-US" w:eastAsia="zh-CN"/>
              </w:rPr>
              <w:t>3</w:t>
            </w:r>
          </w:p>
        </w:tc>
        <w:tc>
          <w:tcPr>
            <w:tcW w:w="1149" w:type="pct"/>
            <w:vAlign w:val="center"/>
          </w:tcPr>
          <w:p w14:paraId="7244AE38">
            <w:pPr>
              <w:pStyle w:val="45"/>
              <w:bidi w:val="0"/>
              <w:rPr>
                <w:rFonts w:hint="default" w:eastAsia="宋体"/>
                <w:lang w:val="en-US" w:eastAsia="zh-CN"/>
              </w:rPr>
            </w:pPr>
            <w:r>
              <w:rPr>
                <w:rFonts w:hint="eastAsia"/>
                <w:lang w:val="en-US" w:eastAsia="zh-CN"/>
              </w:rPr>
              <w:t>氢气压缩机</w:t>
            </w:r>
          </w:p>
        </w:tc>
        <w:tc>
          <w:tcPr>
            <w:tcW w:w="1259" w:type="pct"/>
            <w:vAlign w:val="center"/>
          </w:tcPr>
          <w:p w14:paraId="69855722">
            <w:pPr>
              <w:pStyle w:val="45"/>
              <w:bidi w:val="0"/>
            </w:pPr>
            <w:r>
              <w:rPr>
                <w:rFonts w:hint="eastAsia"/>
                <w:lang w:val="en-US" w:eastAsia="zh-CN"/>
              </w:rPr>
              <w:t>/</w:t>
            </w:r>
          </w:p>
        </w:tc>
        <w:tc>
          <w:tcPr>
            <w:tcW w:w="585" w:type="pct"/>
            <w:vAlign w:val="center"/>
          </w:tcPr>
          <w:p w14:paraId="71D2397B">
            <w:pPr>
              <w:pStyle w:val="45"/>
              <w:bidi w:val="0"/>
            </w:pPr>
            <w:r>
              <w:rPr>
                <w:rFonts w:hint="eastAsia"/>
              </w:rPr>
              <w:t>台</w:t>
            </w:r>
          </w:p>
        </w:tc>
        <w:tc>
          <w:tcPr>
            <w:tcW w:w="687" w:type="pct"/>
            <w:vAlign w:val="center"/>
          </w:tcPr>
          <w:p w14:paraId="65146ABF">
            <w:pPr>
              <w:pStyle w:val="45"/>
              <w:bidi w:val="0"/>
              <w:rPr>
                <w:rFonts w:hint="eastAsia" w:eastAsia="宋体"/>
                <w:lang w:val="en-US" w:eastAsia="zh-CN"/>
              </w:rPr>
            </w:pPr>
            <w:r>
              <w:rPr>
                <w:rFonts w:hint="eastAsia"/>
                <w:lang w:val="en-US" w:eastAsia="zh-CN"/>
              </w:rPr>
              <w:t>6</w:t>
            </w:r>
          </w:p>
        </w:tc>
        <w:tc>
          <w:tcPr>
            <w:tcW w:w="858" w:type="pct"/>
            <w:vAlign w:val="center"/>
          </w:tcPr>
          <w:p w14:paraId="2FCB4BD1">
            <w:pPr>
              <w:pStyle w:val="45"/>
              <w:bidi w:val="0"/>
            </w:pPr>
          </w:p>
        </w:tc>
      </w:tr>
      <w:tr w14:paraId="4946EA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jc w:val="center"/>
        </w:trPr>
        <w:tc>
          <w:tcPr>
            <w:tcW w:w="459" w:type="pct"/>
            <w:vAlign w:val="center"/>
          </w:tcPr>
          <w:p w14:paraId="73817ADA">
            <w:pPr>
              <w:pStyle w:val="45"/>
              <w:bidi w:val="0"/>
              <w:rPr>
                <w:rFonts w:hint="eastAsia" w:eastAsia="宋体"/>
                <w:lang w:val="en-US" w:eastAsia="zh-CN"/>
              </w:rPr>
            </w:pPr>
            <w:r>
              <w:rPr>
                <w:rFonts w:hint="eastAsia"/>
                <w:lang w:val="en-US" w:eastAsia="zh-CN"/>
              </w:rPr>
              <w:t>4</w:t>
            </w:r>
          </w:p>
        </w:tc>
        <w:tc>
          <w:tcPr>
            <w:tcW w:w="1149" w:type="pct"/>
            <w:vAlign w:val="center"/>
          </w:tcPr>
          <w:p w14:paraId="5F04770B">
            <w:pPr>
              <w:pStyle w:val="45"/>
              <w:bidi w:val="0"/>
              <w:rPr>
                <w:rFonts w:hint="eastAsia" w:eastAsia="宋体"/>
                <w:lang w:val="en-US" w:eastAsia="zh-CN"/>
              </w:rPr>
            </w:pPr>
            <w:r>
              <w:rPr>
                <w:rFonts w:hint="eastAsia"/>
                <w:lang w:val="en-US" w:eastAsia="zh-CN"/>
              </w:rPr>
              <w:t>气水分离器</w:t>
            </w:r>
          </w:p>
        </w:tc>
        <w:tc>
          <w:tcPr>
            <w:tcW w:w="1259" w:type="pct"/>
            <w:vAlign w:val="center"/>
          </w:tcPr>
          <w:p w14:paraId="6EEB5581">
            <w:pPr>
              <w:pStyle w:val="45"/>
              <w:bidi w:val="0"/>
            </w:pPr>
            <w:r>
              <w:rPr>
                <w:rFonts w:hint="eastAsia"/>
                <w:lang w:val="en-US" w:eastAsia="zh-CN"/>
              </w:rPr>
              <w:t>/</w:t>
            </w:r>
          </w:p>
        </w:tc>
        <w:tc>
          <w:tcPr>
            <w:tcW w:w="585" w:type="pct"/>
            <w:vAlign w:val="center"/>
          </w:tcPr>
          <w:p w14:paraId="55089DDD">
            <w:pPr>
              <w:pStyle w:val="45"/>
              <w:bidi w:val="0"/>
            </w:pPr>
            <w:r>
              <w:rPr>
                <w:rFonts w:hint="eastAsia"/>
              </w:rPr>
              <w:t>台</w:t>
            </w:r>
          </w:p>
        </w:tc>
        <w:tc>
          <w:tcPr>
            <w:tcW w:w="687" w:type="pct"/>
            <w:vAlign w:val="center"/>
          </w:tcPr>
          <w:p w14:paraId="7788FE0E">
            <w:pPr>
              <w:pStyle w:val="45"/>
              <w:bidi w:val="0"/>
              <w:rPr>
                <w:rFonts w:hint="eastAsia" w:eastAsia="宋体"/>
                <w:lang w:val="en-US" w:eastAsia="zh-CN"/>
              </w:rPr>
            </w:pPr>
            <w:r>
              <w:rPr>
                <w:rFonts w:hint="eastAsia"/>
                <w:lang w:val="en-US" w:eastAsia="zh-CN"/>
              </w:rPr>
              <w:t>1</w:t>
            </w:r>
          </w:p>
        </w:tc>
        <w:tc>
          <w:tcPr>
            <w:tcW w:w="858" w:type="pct"/>
            <w:vAlign w:val="center"/>
          </w:tcPr>
          <w:p w14:paraId="57665A32">
            <w:pPr>
              <w:pStyle w:val="45"/>
              <w:bidi w:val="0"/>
            </w:pPr>
          </w:p>
        </w:tc>
      </w:tr>
      <w:tr w14:paraId="5701BE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3" w:hRule="atLeast"/>
          <w:jc w:val="center"/>
        </w:trPr>
        <w:tc>
          <w:tcPr>
            <w:tcW w:w="459" w:type="pct"/>
            <w:vAlign w:val="center"/>
          </w:tcPr>
          <w:p w14:paraId="350EA9F3">
            <w:pPr>
              <w:pStyle w:val="45"/>
              <w:bidi w:val="0"/>
              <w:rPr>
                <w:rFonts w:hint="eastAsia" w:eastAsia="宋体"/>
                <w:lang w:val="en-US" w:eastAsia="zh-CN"/>
              </w:rPr>
            </w:pPr>
            <w:r>
              <w:rPr>
                <w:rFonts w:hint="eastAsia"/>
                <w:lang w:val="en-US" w:eastAsia="zh-CN"/>
              </w:rPr>
              <w:t>5</w:t>
            </w:r>
          </w:p>
        </w:tc>
        <w:tc>
          <w:tcPr>
            <w:tcW w:w="1149" w:type="pct"/>
            <w:vAlign w:val="center"/>
          </w:tcPr>
          <w:p w14:paraId="2B4F2C24">
            <w:pPr>
              <w:pStyle w:val="45"/>
              <w:bidi w:val="0"/>
              <w:ind w:firstLine="0" w:firstLineChars="0"/>
              <w:rPr>
                <w:rFonts w:hint="eastAsia" w:ascii="Times New Roman" w:hAnsi="Times New Roman" w:eastAsia="宋体" w:cs="Times New Roman"/>
                <w:kern w:val="0"/>
                <w:sz w:val="21"/>
                <w:szCs w:val="21"/>
                <w:lang w:val="en-US" w:eastAsia="zh-CN" w:bidi="ar-SA"/>
              </w:rPr>
            </w:pPr>
            <w:r>
              <w:rPr>
                <w:rFonts w:hint="eastAsia"/>
                <w:lang w:val="en-US" w:eastAsia="zh-CN"/>
              </w:rPr>
              <w:t>除沫器</w:t>
            </w:r>
          </w:p>
        </w:tc>
        <w:tc>
          <w:tcPr>
            <w:tcW w:w="1259" w:type="pct"/>
            <w:vAlign w:val="center"/>
          </w:tcPr>
          <w:p w14:paraId="6ACD4141">
            <w:pPr>
              <w:pStyle w:val="45"/>
              <w:bidi w:val="0"/>
            </w:pPr>
            <w:r>
              <w:rPr>
                <w:rFonts w:hint="eastAsia"/>
                <w:lang w:val="en-US" w:eastAsia="zh-CN"/>
              </w:rPr>
              <w:t>/</w:t>
            </w:r>
          </w:p>
        </w:tc>
        <w:tc>
          <w:tcPr>
            <w:tcW w:w="585" w:type="pct"/>
            <w:vAlign w:val="center"/>
          </w:tcPr>
          <w:p w14:paraId="6607B8EE">
            <w:pPr>
              <w:pStyle w:val="45"/>
              <w:bidi w:val="0"/>
            </w:pPr>
            <w:r>
              <w:rPr>
                <w:rFonts w:hint="eastAsia"/>
              </w:rPr>
              <w:t>台</w:t>
            </w:r>
          </w:p>
        </w:tc>
        <w:tc>
          <w:tcPr>
            <w:tcW w:w="687" w:type="pct"/>
            <w:vAlign w:val="center"/>
          </w:tcPr>
          <w:p w14:paraId="4E6AB9BF">
            <w:pPr>
              <w:pStyle w:val="45"/>
              <w:bidi w:val="0"/>
              <w:rPr>
                <w:rFonts w:hint="eastAsia" w:eastAsia="宋体"/>
                <w:lang w:val="en-US" w:eastAsia="zh-CN"/>
              </w:rPr>
            </w:pPr>
            <w:r>
              <w:rPr>
                <w:rFonts w:hint="eastAsia"/>
                <w:lang w:val="en-US" w:eastAsia="zh-CN"/>
              </w:rPr>
              <w:t>1</w:t>
            </w:r>
          </w:p>
        </w:tc>
        <w:tc>
          <w:tcPr>
            <w:tcW w:w="858" w:type="pct"/>
            <w:vAlign w:val="center"/>
          </w:tcPr>
          <w:p w14:paraId="669DFC3E">
            <w:pPr>
              <w:pStyle w:val="45"/>
              <w:bidi w:val="0"/>
            </w:pPr>
          </w:p>
        </w:tc>
      </w:tr>
      <w:tr w14:paraId="183DD2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jc w:val="center"/>
        </w:trPr>
        <w:tc>
          <w:tcPr>
            <w:tcW w:w="459" w:type="pct"/>
            <w:vAlign w:val="center"/>
          </w:tcPr>
          <w:p w14:paraId="730B19EF">
            <w:pPr>
              <w:pStyle w:val="45"/>
              <w:bidi w:val="0"/>
              <w:rPr>
                <w:rFonts w:hint="eastAsia" w:eastAsia="宋体"/>
                <w:lang w:val="en-US" w:eastAsia="zh-CN"/>
              </w:rPr>
            </w:pPr>
            <w:r>
              <w:rPr>
                <w:rFonts w:hint="eastAsia"/>
                <w:lang w:val="en-US" w:eastAsia="zh-CN"/>
              </w:rPr>
              <w:t>6</w:t>
            </w:r>
          </w:p>
        </w:tc>
        <w:tc>
          <w:tcPr>
            <w:tcW w:w="1149" w:type="pct"/>
            <w:vAlign w:val="center"/>
          </w:tcPr>
          <w:p w14:paraId="2089F49F">
            <w:pPr>
              <w:pStyle w:val="45"/>
              <w:bidi w:val="0"/>
              <w:ind w:firstLine="0" w:firstLineChars="0"/>
              <w:rPr>
                <w:rFonts w:hint="eastAsia" w:ascii="Times New Roman" w:hAnsi="Times New Roman" w:eastAsia="宋体" w:cs="Times New Roman"/>
                <w:kern w:val="0"/>
                <w:sz w:val="21"/>
                <w:szCs w:val="21"/>
                <w:lang w:val="en-US" w:eastAsia="zh-CN" w:bidi="ar-SA"/>
              </w:rPr>
            </w:pPr>
            <w:r>
              <w:rPr>
                <w:rFonts w:hint="eastAsia"/>
                <w:lang w:val="en-US" w:eastAsia="zh-CN"/>
              </w:rPr>
              <w:t>除氧器</w:t>
            </w:r>
          </w:p>
        </w:tc>
        <w:tc>
          <w:tcPr>
            <w:tcW w:w="1259" w:type="pct"/>
            <w:vAlign w:val="center"/>
          </w:tcPr>
          <w:p w14:paraId="21AD5FE7">
            <w:pPr>
              <w:pStyle w:val="45"/>
              <w:bidi w:val="0"/>
            </w:pPr>
            <w:r>
              <w:rPr>
                <w:rFonts w:hint="eastAsia"/>
                <w:lang w:val="en-US" w:eastAsia="zh-CN"/>
              </w:rPr>
              <w:t>/</w:t>
            </w:r>
          </w:p>
        </w:tc>
        <w:tc>
          <w:tcPr>
            <w:tcW w:w="585" w:type="pct"/>
            <w:vAlign w:val="center"/>
          </w:tcPr>
          <w:p w14:paraId="001B5817">
            <w:pPr>
              <w:pStyle w:val="45"/>
              <w:bidi w:val="0"/>
            </w:pPr>
            <w:r>
              <w:rPr>
                <w:rFonts w:hint="eastAsia"/>
              </w:rPr>
              <w:t>台</w:t>
            </w:r>
          </w:p>
        </w:tc>
        <w:tc>
          <w:tcPr>
            <w:tcW w:w="687" w:type="pct"/>
            <w:vAlign w:val="center"/>
          </w:tcPr>
          <w:p w14:paraId="17C91217">
            <w:pPr>
              <w:pStyle w:val="45"/>
              <w:bidi w:val="0"/>
              <w:rPr>
                <w:rFonts w:hint="eastAsia" w:eastAsia="宋体"/>
                <w:lang w:val="en-US" w:eastAsia="zh-CN"/>
              </w:rPr>
            </w:pPr>
            <w:r>
              <w:rPr>
                <w:rFonts w:hint="eastAsia"/>
                <w:lang w:val="en-US" w:eastAsia="zh-CN"/>
              </w:rPr>
              <w:t>1</w:t>
            </w:r>
          </w:p>
        </w:tc>
        <w:tc>
          <w:tcPr>
            <w:tcW w:w="858" w:type="pct"/>
            <w:vAlign w:val="center"/>
          </w:tcPr>
          <w:p w14:paraId="0A0928AB">
            <w:pPr>
              <w:pStyle w:val="45"/>
              <w:bidi w:val="0"/>
            </w:pPr>
          </w:p>
        </w:tc>
      </w:tr>
      <w:tr w14:paraId="195131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jc w:val="center"/>
        </w:trPr>
        <w:tc>
          <w:tcPr>
            <w:tcW w:w="459" w:type="pct"/>
            <w:vAlign w:val="center"/>
          </w:tcPr>
          <w:p w14:paraId="05CD816A">
            <w:pPr>
              <w:pStyle w:val="45"/>
              <w:bidi w:val="0"/>
              <w:rPr>
                <w:rFonts w:hint="default"/>
                <w:lang w:val="en-US" w:eastAsia="zh-CN"/>
              </w:rPr>
            </w:pPr>
            <w:r>
              <w:rPr>
                <w:rFonts w:hint="eastAsia"/>
                <w:lang w:val="en-US" w:eastAsia="zh-CN"/>
              </w:rPr>
              <w:t>7</w:t>
            </w:r>
          </w:p>
        </w:tc>
        <w:tc>
          <w:tcPr>
            <w:tcW w:w="1149" w:type="pct"/>
            <w:vAlign w:val="center"/>
          </w:tcPr>
          <w:p w14:paraId="05ECABE2">
            <w:pPr>
              <w:pStyle w:val="45"/>
              <w:bidi w:val="0"/>
              <w:ind w:firstLine="0" w:firstLineChars="0"/>
              <w:rPr>
                <w:rFonts w:hint="default"/>
                <w:lang w:val="en-US" w:eastAsia="zh-CN"/>
              </w:rPr>
            </w:pPr>
            <w:r>
              <w:rPr>
                <w:rFonts w:hint="eastAsia"/>
                <w:lang w:val="en-US" w:eastAsia="zh-CN"/>
              </w:rPr>
              <w:t>氢气充气柱</w:t>
            </w:r>
          </w:p>
        </w:tc>
        <w:tc>
          <w:tcPr>
            <w:tcW w:w="1259" w:type="pct"/>
            <w:vAlign w:val="center"/>
          </w:tcPr>
          <w:p w14:paraId="4176D336">
            <w:pPr>
              <w:pStyle w:val="45"/>
              <w:bidi w:val="0"/>
              <w:rPr>
                <w:rFonts w:hint="default"/>
                <w:lang w:val="en-US" w:eastAsia="zh-CN"/>
              </w:rPr>
            </w:pPr>
            <w:r>
              <w:rPr>
                <w:rFonts w:hint="eastAsia"/>
                <w:lang w:val="en-US" w:eastAsia="zh-CN"/>
              </w:rPr>
              <w:t>/</w:t>
            </w:r>
          </w:p>
        </w:tc>
        <w:tc>
          <w:tcPr>
            <w:tcW w:w="585" w:type="pct"/>
            <w:vAlign w:val="center"/>
          </w:tcPr>
          <w:p w14:paraId="16AB7497">
            <w:pPr>
              <w:pStyle w:val="45"/>
              <w:bidi w:val="0"/>
              <w:rPr>
                <w:rFonts w:hint="default" w:eastAsia="宋体"/>
                <w:lang w:val="en-US" w:eastAsia="zh-CN"/>
              </w:rPr>
            </w:pPr>
            <w:r>
              <w:rPr>
                <w:rFonts w:hint="eastAsia"/>
                <w:lang w:val="en-US" w:eastAsia="zh-CN"/>
              </w:rPr>
              <w:t>台</w:t>
            </w:r>
          </w:p>
        </w:tc>
        <w:tc>
          <w:tcPr>
            <w:tcW w:w="687" w:type="pct"/>
            <w:vAlign w:val="center"/>
          </w:tcPr>
          <w:p w14:paraId="1B7B81E6">
            <w:pPr>
              <w:pStyle w:val="45"/>
              <w:bidi w:val="0"/>
              <w:rPr>
                <w:rFonts w:hint="default"/>
                <w:lang w:val="en-US" w:eastAsia="zh-CN"/>
              </w:rPr>
            </w:pPr>
            <w:r>
              <w:rPr>
                <w:rFonts w:hint="eastAsia"/>
                <w:lang w:val="en-US" w:eastAsia="zh-CN"/>
              </w:rPr>
              <w:t>4</w:t>
            </w:r>
          </w:p>
        </w:tc>
        <w:tc>
          <w:tcPr>
            <w:tcW w:w="858" w:type="pct"/>
            <w:vAlign w:val="center"/>
          </w:tcPr>
          <w:p w14:paraId="60F8A6E4">
            <w:pPr>
              <w:pStyle w:val="45"/>
              <w:bidi w:val="0"/>
            </w:pPr>
          </w:p>
        </w:tc>
      </w:tr>
    </w:tbl>
    <w:p w14:paraId="55031FD5">
      <w:pPr>
        <w:ind w:left="0" w:leftChars="0" w:firstLine="0" w:firstLineChars="0"/>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70E512DB">
      <w:pPr>
        <w:pStyle w:val="3"/>
      </w:pPr>
      <w:bookmarkStart w:id="122" w:name="_Toc25354"/>
      <w:bookmarkStart w:id="123" w:name="_Toc30707"/>
      <w:bookmarkStart w:id="124" w:name="_Toc26917"/>
      <w:r>
        <w:rPr>
          <w:rFonts w:hint="eastAsia"/>
        </w:rPr>
        <w:t>主要原辅材料及能源消耗</w:t>
      </w:r>
      <w:bookmarkEnd w:id="122"/>
      <w:bookmarkEnd w:id="123"/>
      <w:bookmarkEnd w:id="124"/>
    </w:p>
    <w:p w14:paraId="16444A2F">
      <w:pPr>
        <w:pStyle w:val="4"/>
      </w:pPr>
      <w:r>
        <w:rPr>
          <w:rFonts w:hint="eastAsia"/>
        </w:rPr>
        <w:t>主要原辅材料</w:t>
      </w:r>
    </w:p>
    <w:p w14:paraId="68DA0612">
      <w:pPr>
        <w:pStyle w:val="5"/>
      </w:pPr>
      <w:r>
        <w:rPr>
          <w:rFonts w:hint="eastAsia"/>
        </w:rPr>
        <w:t>主要原材料规格</w:t>
      </w:r>
    </w:p>
    <w:p w14:paraId="74206F75">
      <w:pPr>
        <w:rPr>
          <w:rFonts w:hint="default"/>
          <w:lang w:val="en-US"/>
        </w:rPr>
      </w:pPr>
      <w:r>
        <w:rPr>
          <w:rFonts w:hint="eastAsia"/>
          <w:lang w:val="en-US" w:eastAsia="zh-CN"/>
        </w:rPr>
        <w:t>本项目所使用原辅材料均</w:t>
      </w:r>
      <w:r>
        <w:rPr>
          <w:rFonts w:hint="eastAsia"/>
        </w:rPr>
        <w:t>符合工业级的产品质量标准，不使用冶炼行业、有机医药行业副产盐</w:t>
      </w:r>
      <w:r>
        <w:rPr>
          <w:rFonts w:hint="eastAsia"/>
          <w:lang w:eastAsia="zh-CN"/>
        </w:rPr>
        <w:t>。</w:t>
      </w:r>
      <w:r>
        <w:rPr>
          <w:rFonts w:hint="eastAsia"/>
          <w:lang w:val="en-US" w:eastAsia="zh-CN"/>
        </w:rPr>
        <w:t>本项目主要原辅料规格具体见表3.3-1。</w:t>
      </w:r>
    </w:p>
    <w:p w14:paraId="757B1389">
      <w:pPr>
        <w:pStyle w:val="43"/>
        <w:rPr>
          <w:rFonts w:hint="default"/>
          <w:lang w:val="en-US" w:eastAsia="zh-CN"/>
        </w:rPr>
      </w:pPr>
      <w:r>
        <w:rPr>
          <w:rFonts w:hint="eastAsia"/>
          <w:lang w:val="en-US" w:eastAsia="zh-CN"/>
        </w:rPr>
        <w:t>本项目主要原辅材料规格</w:t>
      </w:r>
    </w:p>
    <w:tbl>
      <w:tblPr>
        <w:tblStyle w:val="32"/>
        <w:tblW w:w="4998" w:type="pct"/>
        <w:tblInd w:w="0" w:type="dxa"/>
        <w:tblLayout w:type="autofit"/>
        <w:tblCellMar>
          <w:top w:w="0" w:type="dxa"/>
          <w:left w:w="108" w:type="dxa"/>
          <w:bottom w:w="0" w:type="dxa"/>
          <w:right w:w="108" w:type="dxa"/>
        </w:tblCellMar>
      </w:tblPr>
      <w:tblGrid>
        <w:gridCol w:w="954"/>
        <w:gridCol w:w="2972"/>
        <w:gridCol w:w="1357"/>
        <w:gridCol w:w="3236"/>
      </w:tblGrid>
      <w:tr w14:paraId="0C46FE22">
        <w:tblPrEx>
          <w:tblCellMar>
            <w:top w:w="0" w:type="dxa"/>
            <w:left w:w="108" w:type="dxa"/>
            <w:bottom w:w="0" w:type="dxa"/>
            <w:right w:w="108" w:type="dxa"/>
          </w:tblCellMar>
        </w:tblPrEx>
        <w:trPr>
          <w:trHeight w:val="221" w:hRule="atLeast"/>
          <w:tblHeader/>
        </w:trPr>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57E01">
            <w:pPr>
              <w:pStyle w:val="45"/>
              <w:rPr>
                <w:rFonts w:hint="default"/>
                <w:b/>
                <w:bCs/>
                <w:color w:val="auto"/>
                <w:highlight w:val="none"/>
              </w:rPr>
            </w:pPr>
            <w:r>
              <w:rPr>
                <w:b/>
                <w:bCs/>
                <w:color w:val="auto"/>
                <w:highlight w:val="none"/>
              </w:rPr>
              <w:t>序号</w:t>
            </w:r>
          </w:p>
        </w:tc>
        <w:tc>
          <w:tcPr>
            <w:tcW w:w="17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B2755">
            <w:pPr>
              <w:pStyle w:val="45"/>
              <w:rPr>
                <w:rFonts w:hint="default"/>
                <w:b/>
                <w:bCs/>
                <w:color w:val="auto"/>
                <w:highlight w:val="none"/>
              </w:rPr>
            </w:pPr>
            <w:r>
              <w:rPr>
                <w:b/>
                <w:bCs/>
                <w:color w:val="auto"/>
                <w:highlight w:val="none"/>
              </w:rPr>
              <w:t>名称</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E0FC1">
            <w:pPr>
              <w:pStyle w:val="45"/>
              <w:rPr>
                <w:rFonts w:hint="default"/>
                <w:b/>
                <w:bCs/>
                <w:color w:val="auto"/>
                <w:highlight w:val="none"/>
              </w:rPr>
            </w:pPr>
            <w:r>
              <w:rPr>
                <w:b/>
                <w:bCs/>
                <w:color w:val="auto"/>
                <w:highlight w:val="none"/>
              </w:rPr>
              <w:t>规格</w:t>
            </w:r>
          </w:p>
        </w:tc>
        <w:tc>
          <w:tcPr>
            <w:tcW w:w="18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456C7">
            <w:pPr>
              <w:pStyle w:val="45"/>
              <w:rPr>
                <w:rFonts w:hint="default" w:eastAsia="宋体"/>
                <w:b/>
                <w:bCs/>
                <w:color w:val="auto"/>
                <w:highlight w:val="none"/>
                <w:lang w:val="en-US" w:eastAsia="zh-CN"/>
              </w:rPr>
            </w:pPr>
            <w:r>
              <w:rPr>
                <w:rFonts w:hint="eastAsia"/>
                <w:b/>
                <w:bCs/>
                <w:color w:val="auto"/>
                <w:highlight w:val="none"/>
                <w:lang w:val="en-US" w:eastAsia="zh-CN"/>
              </w:rPr>
              <w:t>质量标准</w:t>
            </w:r>
          </w:p>
        </w:tc>
      </w:tr>
      <w:tr w14:paraId="616AB0D7">
        <w:tblPrEx>
          <w:tblCellMar>
            <w:top w:w="0" w:type="dxa"/>
            <w:left w:w="108" w:type="dxa"/>
            <w:bottom w:w="0" w:type="dxa"/>
            <w:right w:w="108" w:type="dxa"/>
          </w:tblCellMar>
        </w:tblPrEx>
        <w:trPr>
          <w:trHeight w:val="221" w:hRule="atLeast"/>
        </w:trPr>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A6B56">
            <w:pPr>
              <w:pStyle w:val="45"/>
              <w:rPr>
                <w:rFonts w:hint="default"/>
                <w:color w:val="auto"/>
                <w:highlight w:val="none"/>
              </w:rPr>
            </w:pPr>
            <w:r>
              <w:rPr>
                <w:rFonts w:hint="default"/>
                <w:color w:val="auto"/>
                <w:highlight w:val="none"/>
              </w:rPr>
              <w:t>1</w:t>
            </w:r>
          </w:p>
        </w:tc>
        <w:tc>
          <w:tcPr>
            <w:tcW w:w="17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2DE5EE">
            <w:pPr>
              <w:pStyle w:val="45"/>
              <w:rPr>
                <w:rFonts w:hint="default"/>
                <w:color w:val="auto"/>
                <w:highlight w:val="none"/>
              </w:rPr>
            </w:pPr>
            <w:r>
              <w:rPr>
                <w:color w:val="auto"/>
                <w:highlight w:val="none"/>
              </w:rPr>
              <w:t>原料盐</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944A2">
            <w:pPr>
              <w:pStyle w:val="45"/>
              <w:rPr>
                <w:rFonts w:hint="default"/>
                <w:color w:val="auto"/>
                <w:highlight w:val="none"/>
              </w:rPr>
            </w:pPr>
            <w:r>
              <w:rPr>
                <w:rFonts w:hint="default"/>
                <w:color w:val="auto"/>
                <w:highlight w:val="none"/>
              </w:rPr>
              <w:t>25kg/</w:t>
            </w:r>
            <w:r>
              <w:rPr>
                <w:color w:val="auto"/>
                <w:highlight w:val="none"/>
              </w:rPr>
              <w:t>袋</w:t>
            </w:r>
          </w:p>
        </w:tc>
        <w:tc>
          <w:tcPr>
            <w:tcW w:w="18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4611BB">
            <w:pPr>
              <w:pStyle w:val="45"/>
              <w:rPr>
                <w:rFonts w:hint="eastAsia"/>
                <w:color w:val="auto"/>
                <w:highlight w:val="none"/>
                <w:lang w:val="en-US" w:eastAsia="zh-CN"/>
              </w:rPr>
            </w:pPr>
            <w:r>
              <w:rPr>
                <w:rFonts w:hint="eastAsia"/>
                <w:color w:val="auto"/>
                <w:highlight w:val="none"/>
              </w:rPr>
              <w:t>GB/T 5462-2015</w:t>
            </w:r>
          </w:p>
        </w:tc>
      </w:tr>
      <w:tr w14:paraId="6886A532">
        <w:tblPrEx>
          <w:tblCellMar>
            <w:top w:w="0" w:type="dxa"/>
            <w:left w:w="108" w:type="dxa"/>
            <w:bottom w:w="0" w:type="dxa"/>
            <w:right w:w="108" w:type="dxa"/>
          </w:tblCellMar>
        </w:tblPrEx>
        <w:trPr>
          <w:trHeight w:val="221" w:hRule="atLeast"/>
        </w:trPr>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783EF">
            <w:pPr>
              <w:pStyle w:val="45"/>
              <w:rPr>
                <w:rFonts w:hint="default"/>
                <w:color w:val="auto"/>
                <w:highlight w:val="none"/>
              </w:rPr>
            </w:pPr>
            <w:r>
              <w:rPr>
                <w:rFonts w:hint="default"/>
                <w:color w:val="auto"/>
                <w:highlight w:val="none"/>
              </w:rPr>
              <w:t>2</w:t>
            </w:r>
          </w:p>
        </w:tc>
        <w:tc>
          <w:tcPr>
            <w:tcW w:w="17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7EA77">
            <w:pPr>
              <w:pStyle w:val="45"/>
              <w:rPr>
                <w:rFonts w:hint="default"/>
                <w:color w:val="auto"/>
                <w:highlight w:val="none"/>
              </w:rPr>
            </w:pPr>
            <w:r>
              <w:rPr>
                <w:color w:val="auto"/>
                <w:highlight w:val="none"/>
              </w:rPr>
              <w:t>氢氧化钠</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BCAC2">
            <w:pPr>
              <w:pStyle w:val="45"/>
              <w:rPr>
                <w:rFonts w:hint="default"/>
                <w:color w:val="auto"/>
                <w:highlight w:val="none"/>
              </w:rPr>
            </w:pPr>
            <w:r>
              <w:rPr>
                <w:rFonts w:hint="default"/>
                <w:color w:val="auto"/>
                <w:highlight w:val="none"/>
              </w:rPr>
              <w:t>27t/</w:t>
            </w:r>
            <w:r>
              <w:rPr>
                <w:color w:val="auto"/>
                <w:highlight w:val="none"/>
              </w:rPr>
              <w:t>罐</w:t>
            </w:r>
          </w:p>
        </w:tc>
        <w:tc>
          <w:tcPr>
            <w:tcW w:w="18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D0CBF6">
            <w:pPr>
              <w:pStyle w:val="45"/>
              <w:rPr>
                <w:rFonts w:hint="default"/>
                <w:color w:val="auto"/>
                <w:highlight w:val="none"/>
              </w:rPr>
            </w:pPr>
            <w:r>
              <w:rPr>
                <w:rFonts w:hint="default"/>
                <w:color w:val="auto"/>
                <w:highlight w:val="none"/>
              </w:rPr>
              <w:t>GB/T 209-2018</w:t>
            </w:r>
          </w:p>
        </w:tc>
      </w:tr>
      <w:tr w14:paraId="2208545C">
        <w:tblPrEx>
          <w:tblCellMar>
            <w:top w:w="0" w:type="dxa"/>
            <w:left w:w="108" w:type="dxa"/>
            <w:bottom w:w="0" w:type="dxa"/>
            <w:right w:w="108" w:type="dxa"/>
          </w:tblCellMar>
        </w:tblPrEx>
        <w:trPr>
          <w:trHeight w:val="187" w:hRule="atLeast"/>
        </w:trPr>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82D94">
            <w:pPr>
              <w:pStyle w:val="45"/>
              <w:rPr>
                <w:rFonts w:hint="default"/>
                <w:color w:val="auto"/>
                <w:highlight w:val="none"/>
              </w:rPr>
            </w:pPr>
            <w:r>
              <w:rPr>
                <w:rFonts w:hint="default"/>
                <w:color w:val="auto"/>
                <w:highlight w:val="none"/>
              </w:rPr>
              <w:t>3</w:t>
            </w:r>
          </w:p>
        </w:tc>
        <w:tc>
          <w:tcPr>
            <w:tcW w:w="17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42D1A6">
            <w:pPr>
              <w:pStyle w:val="45"/>
              <w:ind w:firstLine="0" w:firstLineChars="0"/>
              <w:rPr>
                <w:rFonts w:hint="default"/>
                <w:color w:val="auto"/>
                <w:highlight w:val="none"/>
              </w:rPr>
            </w:pPr>
            <w:r>
              <w:rPr>
                <w:rFonts w:hint="eastAsia"/>
                <w:color w:val="auto"/>
                <w:highlight w:val="none"/>
                <w:lang w:val="en-US" w:eastAsia="zh-CN"/>
              </w:rPr>
              <w:t>31%盐酸</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608B4">
            <w:pPr>
              <w:pStyle w:val="45"/>
              <w:ind w:firstLine="0" w:firstLineChars="0"/>
              <w:rPr>
                <w:rFonts w:hint="default"/>
                <w:color w:val="auto"/>
                <w:highlight w:val="none"/>
              </w:rPr>
            </w:pPr>
            <w:r>
              <w:rPr>
                <w:rFonts w:hint="eastAsia"/>
                <w:color w:val="auto"/>
                <w:highlight w:val="none"/>
              </w:rPr>
              <w:t>3</w:t>
            </w:r>
            <w:r>
              <w:rPr>
                <w:color w:val="auto"/>
                <w:highlight w:val="none"/>
              </w:rPr>
              <w:t>0</w:t>
            </w:r>
            <w:r>
              <w:rPr>
                <w:rFonts w:hint="eastAsia"/>
                <w:color w:val="auto"/>
                <w:highlight w:val="none"/>
                <w:lang w:val="en-US" w:eastAsia="zh-CN"/>
              </w:rPr>
              <w:t>t</w:t>
            </w:r>
            <w:r>
              <w:rPr>
                <w:rFonts w:hint="eastAsia"/>
                <w:color w:val="auto"/>
                <w:highlight w:val="none"/>
              </w:rPr>
              <w:t>/车</w:t>
            </w:r>
          </w:p>
        </w:tc>
        <w:tc>
          <w:tcPr>
            <w:tcW w:w="18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2353E">
            <w:pPr>
              <w:pStyle w:val="45"/>
              <w:rPr>
                <w:rFonts w:hint="default"/>
                <w:color w:val="auto"/>
                <w:highlight w:val="none"/>
              </w:rPr>
            </w:pPr>
            <w:r>
              <w:rPr>
                <w:rFonts w:hint="default"/>
                <w:color w:val="auto"/>
                <w:highlight w:val="none"/>
              </w:rPr>
              <w:t>GB/T 320-2006</w:t>
            </w:r>
          </w:p>
        </w:tc>
      </w:tr>
      <w:tr w14:paraId="33ADD22A">
        <w:tblPrEx>
          <w:tblCellMar>
            <w:top w:w="0" w:type="dxa"/>
            <w:left w:w="108" w:type="dxa"/>
            <w:bottom w:w="0" w:type="dxa"/>
            <w:right w:w="108" w:type="dxa"/>
          </w:tblCellMar>
        </w:tblPrEx>
        <w:trPr>
          <w:trHeight w:val="221" w:hRule="atLeast"/>
        </w:trPr>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1AB5E">
            <w:pPr>
              <w:pStyle w:val="45"/>
              <w:rPr>
                <w:rFonts w:hint="default"/>
                <w:color w:val="auto"/>
                <w:highlight w:val="none"/>
              </w:rPr>
            </w:pPr>
            <w:r>
              <w:rPr>
                <w:rFonts w:hint="default"/>
                <w:color w:val="auto"/>
                <w:highlight w:val="none"/>
              </w:rPr>
              <w:t>4</w:t>
            </w:r>
          </w:p>
        </w:tc>
        <w:tc>
          <w:tcPr>
            <w:tcW w:w="17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BF690">
            <w:pPr>
              <w:pStyle w:val="45"/>
              <w:rPr>
                <w:rFonts w:hint="default"/>
                <w:color w:val="auto"/>
                <w:highlight w:val="none"/>
              </w:rPr>
            </w:pPr>
            <w:r>
              <w:rPr>
                <w:color w:val="auto"/>
                <w:highlight w:val="none"/>
              </w:rPr>
              <w:t>尿素</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84FAD">
            <w:pPr>
              <w:pStyle w:val="45"/>
              <w:rPr>
                <w:rFonts w:hint="default"/>
                <w:color w:val="auto"/>
                <w:highlight w:val="none"/>
              </w:rPr>
            </w:pPr>
            <w:r>
              <w:rPr>
                <w:rFonts w:hint="default"/>
                <w:color w:val="auto"/>
                <w:highlight w:val="none"/>
              </w:rPr>
              <w:t>25kg/</w:t>
            </w:r>
            <w:r>
              <w:rPr>
                <w:color w:val="auto"/>
                <w:highlight w:val="none"/>
              </w:rPr>
              <w:t>袋</w:t>
            </w:r>
          </w:p>
        </w:tc>
        <w:tc>
          <w:tcPr>
            <w:tcW w:w="18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D3EF3">
            <w:pPr>
              <w:pStyle w:val="45"/>
              <w:rPr>
                <w:rFonts w:hint="default"/>
                <w:color w:val="auto"/>
                <w:highlight w:val="none"/>
              </w:rPr>
            </w:pPr>
            <w:r>
              <w:rPr>
                <w:rFonts w:hint="eastAsia"/>
                <w:color w:val="auto"/>
                <w:highlight w:val="none"/>
              </w:rPr>
              <w:t>GB/T 2440-2017</w:t>
            </w:r>
          </w:p>
        </w:tc>
      </w:tr>
      <w:tr w14:paraId="73FBFA32">
        <w:tblPrEx>
          <w:tblCellMar>
            <w:top w:w="0" w:type="dxa"/>
            <w:left w:w="108" w:type="dxa"/>
            <w:bottom w:w="0" w:type="dxa"/>
            <w:right w:w="108" w:type="dxa"/>
          </w:tblCellMar>
        </w:tblPrEx>
        <w:trPr>
          <w:trHeight w:val="90" w:hRule="atLeast"/>
        </w:trPr>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10502">
            <w:pPr>
              <w:pStyle w:val="45"/>
              <w:rPr>
                <w:rFonts w:hint="default"/>
                <w:color w:val="auto"/>
                <w:highlight w:val="none"/>
              </w:rPr>
            </w:pPr>
            <w:r>
              <w:rPr>
                <w:rFonts w:hint="default"/>
                <w:color w:val="auto"/>
                <w:highlight w:val="none"/>
              </w:rPr>
              <w:t>5</w:t>
            </w:r>
          </w:p>
        </w:tc>
        <w:tc>
          <w:tcPr>
            <w:tcW w:w="17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1E9F8">
            <w:pPr>
              <w:pStyle w:val="45"/>
              <w:rPr>
                <w:rFonts w:hint="default"/>
                <w:color w:val="auto"/>
                <w:highlight w:val="none"/>
              </w:rPr>
            </w:pPr>
            <w:r>
              <w:rPr>
                <w:color w:val="auto"/>
                <w:highlight w:val="none"/>
              </w:rPr>
              <w:t>碳酸钠</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10261">
            <w:pPr>
              <w:pStyle w:val="45"/>
              <w:rPr>
                <w:rFonts w:hint="default"/>
                <w:color w:val="auto"/>
                <w:highlight w:val="none"/>
              </w:rPr>
            </w:pPr>
            <w:r>
              <w:rPr>
                <w:rFonts w:hint="default"/>
                <w:color w:val="auto"/>
                <w:highlight w:val="none"/>
              </w:rPr>
              <w:t>25kg/</w:t>
            </w:r>
            <w:r>
              <w:rPr>
                <w:color w:val="auto"/>
                <w:highlight w:val="none"/>
              </w:rPr>
              <w:t>袋</w:t>
            </w:r>
          </w:p>
        </w:tc>
        <w:tc>
          <w:tcPr>
            <w:tcW w:w="18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03DCE8">
            <w:pPr>
              <w:pStyle w:val="45"/>
              <w:rPr>
                <w:rFonts w:hint="default"/>
                <w:color w:val="auto"/>
                <w:highlight w:val="none"/>
              </w:rPr>
            </w:pPr>
            <w:r>
              <w:rPr>
                <w:rFonts w:hint="eastAsia"/>
                <w:color w:val="auto"/>
                <w:highlight w:val="none"/>
              </w:rPr>
              <w:t>GB/T 210-2022</w:t>
            </w:r>
          </w:p>
        </w:tc>
      </w:tr>
      <w:tr w14:paraId="4282B8A4">
        <w:tblPrEx>
          <w:tblCellMar>
            <w:top w:w="0" w:type="dxa"/>
            <w:left w:w="108" w:type="dxa"/>
            <w:bottom w:w="0" w:type="dxa"/>
            <w:right w:w="108" w:type="dxa"/>
          </w:tblCellMar>
        </w:tblPrEx>
        <w:trPr>
          <w:trHeight w:val="221" w:hRule="atLeast"/>
        </w:trPr>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D49F4">
            <w:pPr>
              <w:pStyle w:val="45"/>
              <w:rPr>
                <w:rFonts w:hint="default"/>
                <w:color w:val="auto"/>
                <w:highlight w:val="none"/>
              </w:rPr>
            </w:pPr>
            <w:r>
              <w:rPr>
                <w:rFonts w:hint="default"/>
                <w:color w:val="auto"/>
                <w:highlight w:val="none"/>
              </w:rPr>
              <w:t>6</w:t>
            </w:r>
          </w:p>
        </w:tc>
        <w:tc>
          <w:tcPr>
            <w:tcW w:w="17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96C17">
            <w:pPr>
              <w:pStyle w:val="45"/>
              <w:rPr>
                <w:rFonts w:hint="default"/>
                <w:color w:val="auto"/>
                <w:highlight w:val="none"/>
              </w:rPr>
            </w:pPr>
            <w:r>
              <w:rPr>
                <w:color w:val="auto"/>
                <w:highlight w:val="none"/>
              </w:rPr>
              <w:t>氯化钙</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0A6A77">
            <w:pPr>
              <w:pStyle w:val="45"/>
              <w:rPr>
                <w:rFonts w:hint="default"/>
                <w:color w:val="auto"/>
                <w:highlight w:val="none"/>
              </w:rPr>
            </w:pPr>
            <w:r>
              <w:rPr>
                <w:rFonts w:hint="default"/>
                <w:color w:val="auto"/>
                <w:highlight w:val="none"/>
              </w:rPr>
              <w:t>25kg/</w:t>
            </w:r>
            <w:r>
              <w:rPr>
                <w:color w:val="auto"/>
                <w:highlight w:val="none"/>
              </w:rPr>
              <w:t>袋</w:t>
            </w:r>
          </w:p>
        </w:tc>
        <w:tc>
          <w:tcPr>
            <w:tcW w:w="18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C43FD">
            <w:pPr>
              <w:pStyle w:val="45"/>
              <w:rPr>
                <w:rFonts w:hint="default"/>
                <w:color w:val="auto"/>
                <w:highlight w:val="none"/>
              </w:rPr>
            </w:pPr>
            <w:r>
              <w:rPr>
                <w:rFonts w:hint="eastAsia"/>
                <w:color w:val="auto"/>
                <w:highlight w:val="none"/>
              </w:rPr>
              <w:t>GB/T 26520-2021</w:t>
            </w:r>
          </w:p>
        </w:tc>
      </w:tr>
      <w:tr w14:paraId="36F4A6A5">
        <w:tblPrEx>
          <w:tblCellMar>
            <w:top w:w="0" w:type="dxa"/>
            <w:left w:w="108" w:type="dxa"/>
            <w:bottom w:w="0" w:type="dxa"/>
            <w:right w:w="108" w:type="dxa"/>
          </w:tblCellMar>
        </w:tblPrEx>
        <w:trPr>
          <w:trHeight w:val="170" w:hRule="atLeast"/>
        </w:trPr>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83E9F">
            <w:pPr>
              <w:pStyle w:val="45"/>
              <w:rPr>
                <w:rFonts w:hint="default"/>
                <w:color w:val="auto"/>
                <w:highlight w:val="none"/>
              </w:rPr>
            </w:pPr>
            <w:r>
              <w:rPr>
                <w:rFonts w:hint="default"/>
                <w:color w:val="auto"/>
                <w:highlight w:val="none"/>
              </w:rPr>
              <w:t>7</w:t>
            </w:r>
          </w:p>
        </w:tc>
        <w:tc>
          <w:tcPr>
            <w:tcW w:w="17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E817E7">
            <w:pPr>
              <w:pStyle w:val="45"/>
              <w:rPr>
                <w:rFonts w:hint="default"/>
                <w:color w:val="auto"/>
                <w:highlight w:val="none"/>
              </w:rPr>
            </w:pPr>
            <w:r>
              <w:rPr>
                <w:color w:val="auto"/>
                <w:highlight w:val="none"/>
              </w:rPr>
              <w:t>重铬酸钠</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F253E">
            <w:pPr>
              <w:pStyle w:val="45"/>
              <w:rPr>
                <w:rFonts w:hint="default"/>
                <w:color w:val="auto"/>
                <w:highlight w:val="none"/>
              </w:rPr>
            </w:pPr>
            <w:r>
              <w:rPr>
                <w:rFonts w:hint="default"/>
                <w:color w:val="auto"/>
                <w:highlight w:val="none"/>
              </w:rPr>
              <w:t>25kg/</w:t>
            </w:r>
            <w:r>
              <w:rPr>
                <w:color w:val="auto"/>
                <w:highlight w:val="none"/>
              </w:rPr>
              <w:t>袋</w:t>
            </w:r>
          </w:p>
        </w:tc>
        <w:tc>
          <w:tcPr>
            <w:tcW w:w="18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7B53BC">
            <w:pPr>
              <w:pStyle w:val="45"/>
              <w:rPr>
                <w:rFonts w:hint="default" w:eastAsia="宋体"/>
                <w:color w:val="auto"/>
                <w:highlight w:val="none"/>
                <w:lang w:val="en-US" w:eastAsia="zh-CN"/>
              </w:rPr>
            </w:pPr>
            <w:r>
              <w:rPr>
                <w:rFonts w:hint="default"/>
                <w:color w:val="auto"/>
                <w:highlight w:val="none"/>
              </w:rPr>
              <w:t>GB/T 1611-2</w:t>
            </w:r>
            <w:r>
              <w:rPr>
                <w:rFonts w:hint="eastAsia"/>
                <w:color w:val="auto"/>
                <w:highlight w:val="none"/>
                <w:lang w:val="en-US" w:eastAsia="zh-CN"/>
              </w:rPr>
              <w:t>014</w:t>
            </w:r>
          </w:p>
        </w:tc>
      </w:tr>
      <w:tr w14:paraId="6BB5FF53">
        <w:tblPrEx>
          <w:tblCellMar>
            <w:top w:w="0" w:type="dxa"/>
            <w:left w:w="108" w:type="dxa"/>
            <w:bottom w:w="0" w:type="dxa"/>
            <w:right w:w="108" w:type="dxa"/>
          </w:tblCellMar>
        </w:tblPrEx>
        <w:trPr>
          <w:trHeight w:val="221" w:hRule="atLeast"/>
        </w:trPr>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D1048">
            <w:pPr>
              <w:pStyle w:val="45"/>
              <w:rPr>
                <w:rFonts w:hint="default"/>
                <w:color w:val="auto"/>
                <w:highlight w:val="none"/>
              </w:rPr>
            </w:pPr>
            <w:r>
              <w:rPr>
                <w:rFonts w:hint="default"/>
                <w:color w:val="auto"/>
                <w:highlight w:val="none"/>
              </w:rPr>
              <w:t>8</w:t>
            </w:r>
          </w:p>
        </w:tc>
        <w:tc>
          <w:tcPr>
            <w:tcW w:w="17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5A75D">
            <w:pPr>
              <w:pStyle w:val="45"/>
              <w:rPr>
                <w:rFonts w:hint="default"/>
                <w:color w:val="auto"/>
                <w:highlight w:val="none"/>
              </w:rPr>
            </w:pPr>
            <w:r>
              <w:rPr>
                <w:color w:val="auto"/>
                <w:highlight w:val="none"/>
              </w:rPr>
              <w:t>氯化钾</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4A3B69">
            <w:pPr>
              <w:pStyle w:val="45"/>
              <w:rPr>
                <w:rFonts w:hint="default"/>
                <w:color w:val="auto"/>
                <w:highlight w:val="none"/>
              </w:rPr>
            </w:pPr>
            <w:r>
              <w:rPr>
                <w:rFonts w:hint="default"/>
                <w:color w:val="auto"/>
                <w:highlight w:val="none"/>
              </w:rPr>
              <w:t>25kg/</w:t>
            </w:r>
            <w:r>
              <w:rPr>
                <w:color w:val="auto"/>
                <w:highlight w:val="none"/>
              </w:rPr>
              <w:t>袋</w:t>
            </w:r>
          </w:p>
        </w:tc>
        <w:tc>
          <w:tcPr>
            <w:tcW w:w="18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F72E1">
            <w:pPr>
              <w:pStyle w:val="45"/>
              <w:rPr>
                <w:rFonts w:hint="default"/>
                <w:color w:val="auto"/>
                <w:highlight w:val="none"/>
              </w:rPr>
            </w:pPr>
            <w:r>
              <w:rPr>
                <w:color w:val="auto"/>
                <w:highlight w:val="none"/>
              </w:rPr>
              <w:t>GB 6549-2011</w:t>
            </w:r>
          </w:p>
        </w:tc>
      </w:tr>
      <w:tr w14:paraId="0AD719AB">
        <w:tblPrEx>
          <w:tblCellMar>
            <w:top w:w="0" w:type="dxa"/>
            <w:left w:w="108" w:type="dxa"/>
            <w:bottom w:w="0" w:type="dxa"/>
            <w:right w:w="108" w:type="dxa"/>
          </w:tblCellMar>
        </w:tblPrEx>
        <w:trPr>
          <w:trHeight w:val="221" w:hRule="atLeast"/>
        </w:trPr>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75AFE">
            <w:pPr>
              <w:pStyle w:val="45"/>
              <w:rPr>
                <w:rFonts w:hint="default"/>
                <w:color w:val="auto"/>
                <w:highlight w:val="none"/>
              </w:rPr>
            </w:pPr>
            <w:r>
              <w:rPr>
                <w:rFonts w:hint="default"/>
                <w:color w:val="auto"/>
                <w:highlight w:val="none"/>
              </w:rPr>
              <w:t>9</w:t>
            </w:r>
          </w:p>
        </w:tc>
        <w:tc>
          <w:tcPr>
            <w:tcW w:w="17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83F7F">
            <w:pPr>
              <w:pStyle w:val="45"/>
              <w:rPr>
                <w:rFonts w:hint="default"/>
                <w:color w:val="auto"/>
                <w:highlight w:val="none"/>
              </w:rPr>
            </w:pPr>
            <w:r>
              <w:rPr>
                <w:color w:val="auto"/>
                <w:highlight w:val="none"/>
              </w:rPr>
              <w:t>氯化钡</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F4084">
            <w:pPr>
              <w:pStyle w:val="45"/>
              <w:rPr>
                <w:rFonts w:hint="default"/>
                <w:color w:val="auto"/>
                <w:highlight w:val="none"/>
              </w:rPr>
            </w:pPr>
            <w:r>
              <w:rPr>
                <w:rFonts w:hint="default"/>
                <w:color w:val="auto"/>
                <w:highlight w:val="none"/>
              </w:rPr>
              <w:t>25kg/</w:t>
            </w:r>
            <w:r>
              <w:rPr>
                <w:color w:val="auto"/>
                <w:highlight w:val="none"/>
              </w:rPr>
              <w:t>袋</w:t>
            </w:r>
          </w:p>
        </w:tc>
        <w:tc>
          <w:tcPr>
            <w:tcW w:w="18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5E791">
            <w:pPr>
              <w:pStyle w:val="45"/>
              <w:rPr>
                <w:rFonts w:hint="eastAsia" w:eastAsia="宋体"/>
                <w:color w:val="auto"/>
                <w:highlight w:val="none"/>
                <w:lang w:eastAsia="zh-CN"/>
              </w:rPr>
            </w:pPr>
            <w:r>
              <w:rPr>
                <w:rFonts w:hint="eastAsia"/>
                <w:color w:val="auto"/>
                <w:highlight w:val="none"/>
              </w:rPr>
              <w:t>GB/T 1617-2014</w:t>
            </w:r>
          </w:p>
        </w:tc>
      </w:tr>
      <w:tr w14:paraId="3FB94F27">
        <w:tblPrEx>
          <w:tblCellMar>
            <w:top w:w="0" w:type="dxa"/>
            <w:left w:w="108" w:type="dxa"/>
            <w:bottom w:w="0" w:type="dxa"/>
            <w:right w:w="108" w:type="dxa"/>
          </w:tblCellMar>
        </w:tblPrEx>
        <w:trPr>
          <w:trHeight w:val="229" w:hRule="atLeast"/>
        </w:trPr>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9DC30F">
            <w:pPr>
              <w:pStyle w:val="45"/>
              <w:rPr>
                <w:rFonts w:hint="default"/>
                <w:color w:val="auto"/>
                <w:highlight w:val="none"/>
              </w:rPr>
            </w:pPr>
            <w:r>
              <w:rPr>
                <w:color w:val="auto"/>
                <w:highlight w:val="none"/>
              </w:rPr>
              <w:t>10</w:t>
            </w:r>
          </w:p>
        </w:tc>
        <w:tc>
          <w:tcPr>
            <w:tcW w:w="17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ABEF2">
            <w:pPr>
              <w:pStyle w:val="45"/>
              <w:rPr>
                <w:rFonts w:hint="default"/>
                <w:color w:val="auto"/>
                <w:highlight w:val="none"/>
              </w:rPr>
            </w:pPr>
            <w:r>
              <w:rPr>
                <w:color w:val="auto"/>
                <w:highlight w:val="none"/>
              </w:rPr>
              <w:t>氯酸钠</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BE2EE">
            <w:pPr>
              <w:pStyle w:val="45"/>
              <w:rPr>
                <w:rFonts w:hint="default"/>
                <w:color w:val="auto"/>
                <w:highlight w:val="none"/>
              </w:rPr>
            </w:pPr>
            <w:r>
              <w:rPr>
                <w:rFonts w:hint="default"/>
                <w:color w:val="auto"/>
                <w:highlight w:val="none"/>
              </w:rPr>
              <w:t>25kg/</w:t>
            </w:r>
            <w:r>
              <w:rPr>
                <w:color w:val="auto"/>
                <w:highlight w:val="none"/>
              </w:rPr>
              <w:t>袋</w:t>
            </w:r>
          </w:p>
        </w:tc>
        <w:tc>
          <w:tcPr>
            <w:tcW w:w="18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A6EC6">
            <w:pPr>
              <w:pStyle w:val="45"/>
              <w:rPr>
                <w:rFonts w:hint="default"/>
                <w:color w:val="auto"/>
                <w:highlight w:val="none"/>
              </w:rPr>
            </w:pPr>
            <w:r>
              <w:rPr>
                <w:rFonts w:hint="eastAsia"/>
                <w:color w:val="auto"/>
                <w:highlight w:val="none"/>
                <w:lang w:val="en-US" w:eastAsia="zh-CN"/>
              </w:rPr>
              <w:t>GB/T 1618-2018</w:t>
            </w:r>
          </w:p>
        </w:tc>
      </w:tr>
      <w:tr w14:paraId="0A64FE1E">
        <w:tblPrEx>
          <w:tblCellMar>
            <w:top w:w="0" w:type="dxa"/>
            <w:left w:w="108" w:type="dxa"/>
            <w:bottom w:w="0" w:type="dxa"/>
            <w:right w:w="108" w:type="dxa"/>
          </w:tblCellMar>
        </w:tblPrEx>
        <w:trPr>
          <w:trHeight w:val="229" w:hRule="atLeast"/>
        </w:trPr>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DEA7A">
            <w:pPr>
              <w:pStyle w:val="45"/>
              <w:rPr>
                <w:rFonts w:hint="default" w:eastAsia="宋体"/>
                <w:color w:val="auto"/>
                <w:highlight w:val="none"/>
                <w:lang w:val="en-US" w:eastAsia="zh-CN"/>
              </w:rPr>
            </w:pPr>
            <w:r>
              <w:rPr>
                <w:rFonts w:hint="eastAsia"/>
                <w:color w:val="auto"/>
                <w:highlight w:val="none"/>
                <w:lang w:val="en-US" w:eastAsia="zh-CN"/>
              </w:rPr>
              <w:t>11</w:t>
            </w:r>
          </w:p>
        </w:tc>
        <w:tc>
          <w:tcPr>
            <w:tcW w:w="17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42A64">
            <w:pPr>
              <w:pStyle w:val="45"/>
              <w:rPr>
                <w:rFonts w:hint="eastAsia" w:eastAsia="宋体"/>
                <w:color w:val="auto"/>
                <w:highlight w:val="none"/>
                <w:lang w:val="en-US" w:eastAsia="zh-CN"/>
              </w:rPr>
            </w:pPr>
            <w:r>
              <w:rPr>
                <w:rFonts w:hint="eastAsia"/>
                <w:color w:val="auto"/>
                <w:highlight w:val="none"/>
                <w:lang w:val="en-US" w:eastAsia="zh-CN"/>
              </w:rPr>
              <w:t>碳酸锂</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4E2B38">
            <w:pPr>
              <w:pStyle w:val="45"/>
              <w:rPr>
                <w:rFonts w:hint="default"/>
                <w:color w:val="auto"/>
                <w:highlight w:val="none"/>
              </w:rPr>
            </w:pPr>
            <w:r>
              <w:rPr>
                <w:rFonts w:hint="default"/>
                <w:color w:val="auto"/>
                <w:highlight w:val="none"/>
              </w:rPr>
              <w:t>25kg/</w:t>
            </w:r>
            <w:r>
              <w:rPr>
                <w:color w:val="auto"/>
                <w:highlight w:val="none"/>
              </w:rPr>
              <w:t>袋</w:t>
            </w:r>
          </w:p>
        </w:tc>
        <w:tc>
          <w:tcPr>
            <w:tcW w:w="18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C90CE">
            <w:pPr>
              <w:pStyle w:val="45"/>
              <w:rPr>
                <w:rFonts w:hint="eastAsia"/>
                <w:color w:val="auto"/>
                <w:highlight w:val="none"/>
                <w:lang w:val="en-US" w:eastAsia="zh-CN"/>
              </w:rPr>
            </w:pPr>
            <w:r>
              <w:rPr>
                <w:rFonts w:hint="eastAsia"/>
                <w:color w:val="auto"/>
                <w:highlight w:val="none"/>
                <w:lang w:val="en-US" w:eastAsia="zh-CN"/>
              </w:rPr>
              <w:t>GB/T 11075-2013</w:t>
            </w:r>
          </w:p>
        </w:tc>
      </w:tr>
      <w:tr w14:paraId="3DEAC641">
        <w:tblPrEx>
          <w:tblCellMar>
            <w:top w:w="0" w:type="dxa"/>
            <w:left w:w="108" w:type="dxa"/>
            <w:bottom w:w="0" w:type="dxa"/>
            <w:right w:w="108" w:type="dxa"/>
          </w:tblCellMar>
        </w:tblPrEx>
        <w:trPr>
          <w:trHeight w:val="229" w:hRule="atLeast"/>
        </w:trPr>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122F1B">
            <w:pPr>
              <w:pStyle w:val="45"/>
              <w:rPr>
                <w:rFonts w:hint="default" w:eastAsia="宋体"/>
                <w:color w:val="auto"/>
                <w:highlight w:val="none"/>
                <w:lang w:val="en-US" w:eastAsia="zh-CN"/>
              </w:rPr>
            </w:pPr>
            <w:r>
              <w:rPr>
                <w:rFonts w:hint="eastAsia"/>
                <w:color w:val="auto"/>
                <w:highlight w:val="none"/>
                <w:lang w:val="en-US" w:eastAsia="zh-CN"/>
              </w:rPr>
              <w:t>12</w:t>
            </w:r>
          </w:p>
        </w:tc>
        <w:tc>
          <w:tcPr>
            <w:tcW w:w="17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F3DC0">
            <w:pPr>
              <w:pStyle w:val="45"/>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lang w:val="en-US" w:eastAsia="zh-CN"/>
              </w:rPr>
              <w:t>70%</w:t>
            </w:r>
            <w:r>
              <w:rPr>
                <w:rFonts w:hint="eastAsia"/>
                <w:lang w:val="en-US" w:eastAsia="zh-CN"/>
              </w:rPr>
              <w:t>高氯酸</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1EF58">
            <w:pPr>
              <w:pStyle w:val="45"/>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50</w:t>
            </w:r>
            <w:r>
              <w:rPr>
                <w:rFonts w:hint="default"/>
                <w:color w:val="auto"/>
                <w:highlight w:val="none"/>
              </w:rPr>
              <w:t>kg/</w:t>
            </w:r>
            <w:r>
              <w:rPr>
                <w:rFonts w:hint="eastAsia"/>
                <w:color w:val="auto"/>
                <w:highlight w:val="none"/>
                <w:lang w:val="en-US" w:eastAsia="zh-CN"/>
              </w:rPr>
              <w:t>桶</w:t>
            </w:r>
          </w:p>
        </w:tc>
        <w:tc>
          <w:tcPr>
            <w:tcW w:w="18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5462A3">
            <w:pPr>
              <w:pStyle w:val="45"/>
              <w:ind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GB/T 623-2011</w:t>
            </w:r>
          </w:p>
        </w:tc>
      </w:tr>
      <w:tr w14:paraId="6EF379A6">
        <w:tblPrEx>
          <w:tblCellMar>
            <w:top w:w="0" w:type="dxa"/>
            <w:left w:w="108" w:type="dxa"/>
            <w:bottom w:w="0" w:type="dxa"/>
            <w:right w:w="108" w:type="dxa"/>
          </w:tblCellMar>
        </w:tblPrEx>
        <w:trPr>
          <w:trHeight w:val="90" w:hRule="atLeast"/>
        </w:trPr>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5D6B6">
            <w:pPr>
              <w:pStyle w:val="45"/>
              <w:rPr>
                <w:rFonts w:hint="default" w:eastAsia="宋体"/>
                <w:color w:val="auto"/>
                <w:highlight w:val="none"/>
                <w:lang w:val="en-US" w:eastAsia="zh-CN"/>
              </w:rPr>
            </w:pPr>
            <w:r>
              <w:rPr>
                <w:rFonts w:hint="eastAsia"/>
                <w:color w:val="auto"/>
                <w:highlight w:val="none"/>
                <w:lang w:val="en-US" w:eastAsia="zh-CN"/>
              </w:rPr>
              <w:t>13</w:t>
            </w:r>
          </w:p>
        </w:tc>
        <w:tc>
          <w:tcPr>
            <w:tcW w:w="17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ABDED">
            <w:pPr>
              <w:pStyle w:val="45"/>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氢氧化锂</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9E9CB4">
            <w:pPr>
              <w:pStyle w:val="45"/>
              <w:ind w:firstLine="0" w:firstLineChars="0"/>
              <w:rPr>
                <w:rFonts w:hint="eastAsia" w:ascii="Times New Roman" w:hAnsi="Times New Roman" w:eastAsia="宋体" w:cs="Times New Roman"/>
                <w:color w:val="auto"/>
                <w:kern w:val="0"/>
                <w:sz w:val="21"/>
                <w:szCs w:val="21"/>
                <w:highlight w:val="none"/>
                <w:lang w:val="en-US" w:eastAsia="zh-CN" w:bidi="ar-SA"/>
              </w:rPr>
            </w:pPr>
            <w:r>
              <w:rPr>
                <w:rFonts w:hint="default"/>
                <w:color w:val="auto"/>
                <w:highlight w:val="none"/>
              </w:rPr>
              <w:t>25kg/</w:t>
            </w:r>
            <w:r>
              <w:rPr>
                <w:color w:val="auto"/>
                <w:highlight w:val="none"/>
              </w:rPr>
              <w:t>袋</w:t>
            </w:r>
          </w:p>
        </w:tc>
        <w:tc>
          <w:tcPr>
            <w:tcW w:w="18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C2FE0">
            <w:pPr>
              <w:pStyle w:val="45"/>
              <w:ind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GB/T 8766-2013</w:t>
            </w:r>
          </w:p>
        </w:tc>
      </w:tr>
    </w:tbl>
    <w:p w14:paraId="7155D6BE"/>
    <w:p w14:paraId="5B430DE7">
      <w:pPr>
        <w:pStyle w:val="6"/>
        <w:numPr>
          <w:ilvl w:val="4"/>
          <w:numId w:val="0"/>
        </w:numPr>
        <w:ind w:firstLine="482" w:firstLineChars="200"/>
      </w:pPr>
      <w:r>
        <w:rPr>
          <w:rFonts w:hint="eastAsia"/>
          <w:lang w:val="en-US" w:eastAsia="zh-CN"/>
        </w:rPr>
        <w:t>1、</w:t>
      </w:r>
      <w:r>
        <w:rPr>
          <w:rFonts w:hint="eastAsia"/>
        </w:rPr>
        <w:t>氯化钠规格</w:t>
      </w:r>
    </w:p>
    <w:p w14:paraId="269E48D0">
      <w:pPr>
        <w:ind w:firstLine="480"/>
      </w:pPr>
      <w:r>
        <w:rPr>
          <w:rFonts w:hint="eastAsia"/>
        </w:rPr>
        <w:t>本项目生产原料氯化钠符合国家标准《工业盐》（GB/T 5462-2015）中的精制工业盐中的工业湿盐二级标准，具体指标见下表。</w:t>
      </w:r>
    </w:p>
    <w:p w14:paraId="7C445348">
      <w:pPr>
        <w:pStyle w:val="43"/>
        <w:rPr>
          <w:rFonts w:hint="default"/>
        </w:rPr>
      </w:pPr>
      <w:r>
        <w:t>氯化钠标准</w:t>
      </w:r>
    </w:p>
    <w:tbl>
      <w:tblPr>
        <w:tblStyle w:val="32"/>
        <w:tblW w:w="0" w:type="auto"/>
        <w:tblInd w:w="9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08"/>
        <w:gridCol w:w="638"/>
        <w:gridCol w:w="638"/>
        <w:gridCol w:w="638"/>
        <w:gridCol w:w="638"/>
        <w:gridCol w:w="638"/>
        <w:gridCol w:w="638"/>
        <w:gridCol w:w="638"/>
        <w:gridCol w:w="638"/>
        <w:gridCol w:w="638"/>
      </w:tblGrid>
      <w:tr w14:paraId="43A60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trPr>
        <w:tc>
          <w:tcPr>
            <w:tcW w:w="0" w:type="auto"/>
            <w:vMerge w:val="restart"/>
            <w:shd w:val="clear" w:color="auto" w:fill="auto"/>
            <w:vAlign w:val="center"/>
          </w:tcPr>
          <w:p w14:paraId="3CF9E0B5">
            <w:pPr>
              <w:pStyle w:val="45"/>
              <w:rPr>
                <w:rFonts w:hint="default"/>
                <w:b/>
                <w:bCs/>
              </w:rPr>
            </w:pPr>
            <w:r>
              <w:rPr>
                <w:b/>
                <w:bCs/>
              </w:rPr>
              <w:t>项目</w:t>
            </w:r>
          </w:p>
        </w:tc>
        <w:tc>
          <w:tcPr>
            <w:tcW w:w="0" w:type="auto"/>
            <w:gridSpan w:val="6"/>
            <w:shd w:val="clear" w:color="auto" w:fill="auto"/>
            <w:vAlign w:val="center"/>
          </w:tcPr>
          <w:p w14:paraId="70F49505">
            <w:pPr>
              <w:pStyle w:val="45"/>
              <w:rPr>
                <w:rFonts w:hint="default"/>
                <w:b/>
                <w:bCs/>
              </w:rPr>
            </w:pPr>
            <w:r>
              <w:rPr>
                <w:b/>
                <w:bCs/>
              </w:rPr>
              <w:t>精制工业盐</w:t>
            </w:r>
          </w:p>
        </w:tc>
        <w:tc>
          <w:tcPr>
            <w:tcW w:w="0" w:type="auto"/>
            <w:gridSpan w:val="3"/>
            <w:vMerge w:val="restart"/>
            <w:shd w:val="clear" w:color="auto" w:fill="auto"/>
            <w:vAlign w:val="center"/>
          </w:tcPr>
          <w:p w14:paraId="22D006AF">
            <w:pPr>
              <w:pStyle w:val="45"/>
              <w:rPr>
                <w:rFonts w:hint="default"/>
                <w:b/>
                <w:bCs/>
              </w:rPr>
            </w:pPr>
            <w:r>
              <w:rPr>
                <w:b/>
                <w:bCs/>
              </w:rPr>
              <w:t>日晒工业盐</w:t>
            </w:r>
          </w:p>
        </w:tc>
      </w:tr>
      <w:tr w14:paraId="53E35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trPr>
        <w:tc>
          <w:tcPr>
            <w:tcW w:w="0" w:type="auto"/>
            <w:vMerge w:val="continue"/>
            <w:shd w:val="clear" w:color="auto" w:fill="auto"/>
            <w:vAlign w:val="center"/>
          </w:tcPr>
          <w:p w14:paraId="52B1D166">
            <w:pPr>
              <w:pStyle w:val="45"/>
              <w:rPr>
                <w:rFonts w:hint="default"/>
                <w:b/>
                <w:bCs/>
              </w:rPr>
            </w:pPr>
          </w:p>
        </w:tc>
        <w:tc>
          <w:tcPr>
            <w:tcW w:w="0" w:type="auto"/>
            <w:gridSpan w:val="3"/>
            <w:shd w:val="clear" w:color="auto" w:fill="auto"/>
            <w:vAlign w:val="center"/>
          </w:tcPr>
          <w:p w14:paraId="6BBB97E9">
            <w:pPr>
              <w:pStyle w:val="45"/>
              <w:rPr>
                <w:rFonts w:hint="default"/>
                <w:b/>
                <w:bCs/>
              </w:rPr>
            </w:pPr>
            <w:r>
              <w:rPr>
                <w:b/>
                <w:bCs/>
              </w:rPr>
              <w:t>工业干盐</w:t>
            </w:r>
          </w:p>
        </w:tc>
        <w:tc>
          <w:tcPr>
            <w:tcW w:w="0" w:type="auto"/>
            <w:gridSpan w:val="3"/>
            <w:shd w:val="clear" w:color="auto" w:fill="auto"/>
            <w:vAlign w:val="center"/>
          </w:tcPr>
          <w:p w14:paraId="1BC803CE">
            <w:pPr>
              <w:pStyle w:val="45"/>
              <w:rPr>
                <w:rFonts w:hint="default"/>
                <w:b/>
                <w:bCs/>
              </w:rPr>
            </w:pPr>
            <w:r>
              <w:rPr>
                <w:b/>
                <w:bCs/>
              </w:rPr>
              <w:t>工业湿盐</w:t>
            </w:r>
          </w:p>
        </w:tc>
        <w:tc>
          <w:tcPr>
            <w:tcW w:w="0" w:type="auto"/>
            <w:gridSpan w:val="3"/>
            <w:vMerge w:val="continue"/>
            <w:shd w:val="clear" w:color="auto" w:fill="auto"/>
            <w:vAlign w:val="center"/>
          </w:tcPr>
          <w:p w14:paraId="52EE58A0">
            <w:pPr>
              <w:pStyle w:val="45"/>
              <w:rPr>
                <w:rFonts w:hint="default"/>
                <w:b/>
                <w:bCs/>
              </w:rPr>
            </w:pPr>
          </w:p>
        </w:tc>
      </w:tr>
      <w:tr w14:paraId="3799F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trPr>
        <w:tc>
          <w:tcPr>
            <w:tcW w:w="0" w:type="auto"/>
            <w:vMerge w:val="continue"/>
            <w:shd w:val="clear" w:color="auto" w:fill="auto"/>
            <w:vAlign w:val="center"/>
          </w:tcPr>
          <w:p w14:paraId="75C461FD">
            <w:pPr>
              <w:pStyle w:val="45"/>
              <w:rPr>
                <w:rFonts w:hint="default"/>
                <w:b/>
                <w:bCs/>
              </w:rPr>
            </w:pPr>
          </w:p>
        </w:tc>
        <w:tc>
          <w:tcPr>
            <w:tcW w:w="0" w:type="auto"/>
            <w:shd w:val="clear" w:color="auto" w:fill="auto"/>
            <w:vAlign w:val="center"/>
          </w:tcPr>
          <w:p w14:paraId="4BB697F2">
            <w:pPr>
              <w:pStyle w:val="45"/>
              <w:rPr>
                <w:rFonts w:hint="default"/>
                <w:b/>
                <w:bCs/>
              </w:rPr>
            </w:pPr>
            <w:r>
              <w:rPr>
                <w:b/>
                <w:bCs/>
              </w:rPr>
              <w:t>优级</w:t>
            </w:r>
          </w:p>
        </w:tc>
        <w:tc>
          <w:tcPr>
            <w:tcW w:w="0" w:type="auto"/>
            <w:shd w:val="clear" w:color="auto" w:fill="auto"/>
            <w:vAlign w:val="center"/>
          </w:tcPr>
          <w:p w14:paraId="7A681B96">
            <w:pPr>
              <w:pStyle w:val="45"/>
              <w:rPr>
                <w:rFonts w:hint="default"/>
                <w:b/>
                <w:bCs/>
              </w:rPr>
            </w:pPr>
            <w:r>
              <w:rPr>
                <w:b/>
                <w:bCs/>
              </w:rPr>
              <w:t>一级</w:t>
            </w:r>
          </w:p>
        </w:tc>
        <w:tc>
          <w:tcPr>
            <w:tcW w:w="0" w:type="auto"/>
            <w:shd w:val="clear" w:color="auto" w:fill="auto"/>
            <w:vAlign w:val="center"/>
          </w:tcPr>
          <w:p w14:paraId="10915744">
            <w:pPr>
              <w:pStyle w:val="45"/>
              <w:rPr>
                <w:rFonts w:hint="default"/>
                <w:b/>
                <w:bCs/>
              </w:rPr>
            </w:pPr>
            <w:r>
              <w:rPr>
                <w:b/>
                <w:bCs/>
              </w:rPr>
              <w:t>二级</w:t>
            </w:r>
          </w:p>
        </w:tc>
        <w:tc>
          <w:tcPr>
            <w:tcW w:w="0" w:type="auto"/>
            <w:shd w:val="clear" w:color="auto" w:fill="auto"/>
            <w:vAlign w:val="center"/>
          </w:tcPr>
          <w:p w14:paraId="52974327">
            <w:pPr>
              <w:pStyle w:val="45"/>
              <w:rPr>
                <w:rFonts w:hint="default"/>
                <w:b/>
                <w:bCs/>
              </w:rPr>
            </w:pPr>
            <w:r>
              <w:rPr>
                <w:b/>
                <w:bCs/>
              </w:rPr>
              <w:t>优级</w:t>
            </w:r>
          </w:p>
        </w:tc>
        <w:tc>
          <w:tcPr>
            <w:tcW w:w="0" w:type="auto"/>
            <w:shd w:val="clear" w:color="auto" w:fill="auto"/>
            <w:vAlign w:val="center"/>
          </w:tcPr>
          <w:p w14:paraId="210ECA9E">
            <w:pPr>
              <w:pStyle w:val="45"/>
              <w:rPr>
                <w:rFonts w:hint="default"/>
                <w:b/>
                <w:bCs/>
              </w:rPr>
            </w:pPr>
            <w:r>
              <w:rPr>
                <w:b/>
                <w:bCs/>
              </w:rPr>
              <w:t>一级</w:t>
            </w:r>
          </w:p>
        </w:tc>
        <w:tc>
          <w:tcPr>
            <w:tcW w:w="0" w:type="auto"/>
            <w:shd w:val="clear" w:color="auto" w:fill="auto"/>
            <w:vAlign w:val="center"/>
          </w:tcPr>
          <w:p w14:paraId="1B965E8B">
            <w:pPr>
              <w:pStyle w:val="45"/>
              <w:rPr>
                <w:rFonts w:hint="default"/>
                <w:b/>
                <w:bCs/>
              </w:rPr>
            </w:pPr>
            <w:r>
              <w:rPr>
                <w:b/>
                <w:bCs/>
              </w:rPr>
              <w:t>二级</w:t>
            </w:r>
          </w:p>
        </w:tc>
        <w:tc>
          <w:tcPr>
            <w:tcW w:w="0" w:type="auto"/>
            <w:shd w:val="clear" w:color="auto" w:fill="auto"/>
            <w:vAlign w:val="center"/>
          </w:tcPr>
          <w:p w14:paraId="1E6F0019">
            <w:pPr>
              <w:pStyle w:val="45"/>
              <w:rPr>
                <w:rFonts w:hint="default"/>
                <w:b/>
                <w:bCs/>
              </w:rPr>
            </w:pPr>
            <w:r>
              <w:rPr>
                <w:b/>
                <w:bCs/>
              </w:rPr>
              <w:t>优级</w:t>
            </w:r>
          </w:p>
        </w:tc>
        <w:tc>
          <w:tcPr>
            <w:tcW w:w="0" w:type="auto"/>
            <w:shd w:val="clear" w:color="auto" w:fill="auto"/>
            <w:vAlign w:val="center"/>
          </w:tcPr>
          <w:p w14:paraId="64ACFACB">
            <w:pPr>
              <w:pStyle w:val="45"/>
              <w:rPr>
                <w:rFonts w:hint="default"/>
                <w:b/>
                <w:bCs/>
              </w:rPr>
            </w:pPr>
            <w:r>
              <w:rPr>
                <w:b/>
                <w:bCs/>
              </w:rPr>
              <w:t>一级</w:t>
            </w:r>
          </w:p>
        </w:tc>
        <w:tc>
          <w:tcPr>
            <w:tcW w:w="0" w:type="auto"/>
            <w:shd w:val="clear" w:color="auto" w:fill="auto"/>
            <w:vAlign w:val="center"/>
          </w:tcPr>
          <w:p w14:paraId="060374BF">
            <w:pPr>
              <w:pStyle w:val="45"/>
              <w:rPr>
                <w:rFonts w:hint="default"/>
                <w:b/>
                <w:bCs/>
              </w:rPr>
            </w:pPr>
            <w:r>
              <w:rPr>
                <w:b/>
                <w:bCs/>
              </w:rPr>
              <w:t>二级</w:t>
            </w:r>
          </w:p>
        </w:tc>
      </w:tr>
      <w:tr w14:paraId="56D2E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0" w:type="auto"/>
            <w:shd w:val="clear" w:color="auto" w:fill="auto"/>
            <w:vAlign w:val="center"/>
          </w:tcPr>
          <w:p w14:paraId="1428CCBD">
            <w:pPr>
              <w:pStyle w:val="45"/>
              <w:rPr>
                <w:rFonts w:hint="default"/>
              </w:rPr>
            </w:pPr>
            <w:r>
              <w:t>氯化钠/（g/100g)≥</w:t>
            </w:r>
          </w:p>
        </w:tc>
        <w:tc>
          <w:tcPr>
            <w:tcW w:w="0" w:type="auto"/>
            <w:shd w:val="clear" w:color="auto" w:fill="auto"/>
            <w:vAlign w:val="center"/>
          </w:tcPr>
          <w:p w14:paraId="485442DE">
            <w:pPr>
              <w:pStyle w:val="45"/>
              <w:rPr>
                <w:rFonts w:hint="default"/>
              </w:rPr>
            </w:pPr>
            <w:r>
              <w:t xml:space="preserve">99.1 </w:t>
            </w:r>
          </w:p>
        </w:tc>
        <w:tc>
          <w:tcPr>
            <w:tcW w:w="0" w:type="auto"/>
            <w:shd w:val="clear" w:color="auto" w:fill="auto"/>
            <w:vAlign w:val="center"/>
          </w:tcPr>
          <w:p w14:paraId="764A0796">
            <w:pPr>
              <w:pStyle w:val="45"/>
              <w:rPr>
                <w:rFonts w:hint="default"/>
              </w:rPr>
            </w:pPr>
            <w:r>
              <w:t xml:space="preserve">98.5 </w:t>
            </w:r>
          </w:p>
        </w:tc>
        <w:tc>
          <w:tcPr>
            <w:tcW w:w="0" w:type="auto"/>
            <w:shd w:val="clear" w:color="auto" w:fill="auto"/>
            <w:vAlign w:val="center"/>
          </w:tcPr>
          <w:p w14:paraId="6E6D3B16">
            <w:pPr>
              <w:pStyle w:val="45"/>
              <w:rPr>
                <w:rFonts w:hint="default"/>
              </w:rPr>
            </w:pPr>
            <w:r>
              <w:t xml:space="preserve">97.5 </w:t>
            </w:r>
          </w:p>
        </w:tc>
        <w:tc>
          <w:tcPr>
            <w:tcW w:w="0" w:type="auto"/>
            <w:shd w:val="clear" w:color="auto" w:fill="auto"/>
            <w:vAlign w:val="center"/>
          </w:tcPr>
          <w:p w14:paraId="210C7FBE">
            <w:pPr>
              <w:pStyle w:val="45"/>
              <w:rPr>
                <w:rFonts w:hint="default"/>
              </w:rPr>
            </w:pPr>
            <w:r>
              <w:t xml:space="preserve">96.0 </w:t>
            </w:r>
          </w:p>
        </w:tc>
        <w:tc>
          <w:tcPr>
            <w:tcW w:w="0" w:type="auto"/>
            <w:shd w:val="clear" w:color="auto" w:fill="auto"/>
            <w:vAlign w:val="center"/>
          </w:tcPr>
          <w:p w14:paraId="3A86E635">
            <w:pPr>
              <w:pStyle w:val="45"/>
              <w:rPr>
                <w:rFonts w:hint="default"/>
              </w:rPr>
            </w:pPr>
            <w:r>
              <w:t xml:space="preserve">95.0 </w:t>
            </w:r>
          </w:p>
        </w:tc>
        <w:tc>
          <w:tcPr>
            <w:tcW w:w="0" w:type="auto"/>
            <w:shd w:val="clear" w:color="auto" w:fill="auto"/>
            <w:vAlign w:val="center"/>
          </w:tcPr>
          <w:p w14:paraId="73B6392B">
            <w:pPr>
              <w:pStyle w:val="45"/>
              <w:rPr>
                <w:rFonts w:hint="default"/>
              </w:rPr>
            </w:pPr>
            <w:r>
              <w:t xml:space="preserve">93.3 </w:t>
            </w:r>
          </w:p>
        </w:tc>
        <w:tc>
          <w:tcPr>
            <w:tcW w:w="0" w:type="auto"/>
            <w:shd w:val="clear" w:color="auto" w:fill="auto"/>
            <w:vAlign w:val="center"/>
          </w:tcPr>
          <w:p w14:paraId="10700416">
            <w:pPr>
              <w:pStyle w:val="45"/>
              <w:rPr>
                <w:rFonts w:hint="default"/>
              </w:rPr>
            </w:pPr>
            <w:r>
              <w:t xml:space="preserve">96.2 </w:t>
            </w:r>
          </w:p>
        </w:tc>
        <w:tc>
          <w:tcPr>
            <w:tcW w:w="0" w:type="auto"/>
            <w:shd w:val="clear" w:color="auto" w:fill="auto"/>
            <w:vAlign w:val="center"/>
          </w:tcPr>
          <w:p w14:paraId="0F42B8C2">
            <w:pPr>
              <w:pStyle w:val="45"/>
              <w:rPr>
                <w:rFonts w:hint="default"/>
              </w:rPr>
            </w:pPr>
            <w:r>
              <w:t xml:space="preserve">94.8 </w:t>
            </w:r>
          </w:p>
        </w:tc>
        <w:tc>
          <w:tcPr>
            <w:tcW w:w="0" w:type="auto"/>
            <w:shd w:val="clear" w:color="auto" w:fill="auto"/>
            <w:vAlign w:val="center"/>
          </w:tcPr>
          <w:p w14:paraId="4B1B673A">
            <w:pPr>
              <w:pStyle w:val="45"/>
              <w:rPr>
                <w:rFonts w:hint="default"/>
              </w:rPr>
            </w:pPr>
            <w:r>
              <w:t xml:space="preserve">92.0 </w:t>
            </w:r>
          </w:p>
        </w:tc>
      </w:tr>
      <w:tr w14:paraId="6F74E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0" w:type="auto"/>
            <w:shd w:val="clear" w:color="auto" w:fill="auto"/>
            <w:vAlign w:val="center"/>
          </w:tcPr>
          <w:p w14:paraId="68D74159">
            <w:pPr>
              <w:pStyle w:val="45"/>
              <w:rPr>
                <w:rFonts w:hint="default"/>
              </w:rPr>
            </w:pPr>
            <w:r>
              <w:t>水分/（g/100g)≤</w:t>
            </w:r>
          </w:p>
        </w:tc>
        <w:tc>
          <w:tcPr>
            <w:tcW w:w="0" w:type="auto"/>
            <w:shd w:val="clear" w:color="auto" w:fill="auto"/>
            <w:vAlign w:val="center"/>
          </w:tcPr>
          <w:p w14:paraId="5AC97DA5">
            <w:pPr>
              <w:pStyle w:val="45"/>
              <w:rPr>
                <w:rFonts w:hint="default"/>
              </w:rPr>
            </w:pPr>
            <w:r>
              <w:t xml:space="preserve">0.30 </w:t>
            </w:r>
          </w:p>
        </w:tc>
        <w:tc>
          <w:tcPr>
            <w:tcW w:w="0" w:type="auto"/>
            <w:shd w:val="clear" w:color="auto" w:fill="auto"/>
            <w:vAlign w:val="center"/>
          </w:tcPr>
          <w:p w14:paraId="619D4815">
            <w:pPr>
              <w:pStyle w:val="45"/>
              <w:rPr>
                <w:rFonts w:hint="default"/>
              </w:rPr>
            </w:pPr>
            <w:r>
              <w:t xml:space="preserve">0.50 </w:t>
            </w:r>
          </w:p>
        </w:tc>
        <w:tc>
          <w:tcPr>
            <w:tcW w:w="0" w:type="auto"/>
            <w:shd w:val="clear" w:color="auto" w:fill="auto"/>
            <w:vAlign w:val="center"/>
          </w:tcPr>
          <w:p w14:paraId="7537BBCD">
            <w:pPr>
              <w:pStyle w:val="45"/>
              <w:rPr>
                <w:rFonts w:hint="default"/>
              </w:rPr>
            </w:pPr>
            <w:r>
              <w:t xml:space="preserve">0.80 </w:t>
            </w:r>
          </w:p>
        </w:tc>
        <w:tc>
          <w:tcPr>
            <w:tcW w:w="0" w:type="auto"/>
            <w:shd w:val="clear" w:color="auto" w:fill="auto"/>
            <w:vAlign w:val="center"/>
          </w:tcPr>
          <w:p w14:paraId="1F9551AE">
            <w:pPr>
              <w:pStyle w:val="45"/>
              <w:rPr>
                <w:rFonts w:hint="default"/>
              </w:rPr>
            </w:pPr>
            <w:r>
              <w:t xml:space="preserve">3.00 </w:t>
            </w:r>
          </w:p>
        </w:tc>
        <w:tc>
          <w:tcPr>
            <w:tcW w:w="0" w:type="auto"/>
            <w:shd w:val="clear" w:color="auto" w:fill="auto"/>
            <w:vAlign w:val="center"/>
          </w:tcPr>
          <w:p w14:paraId="53571A24">
            <w:pPr>
              <w:pStyle w:val="45"/>
              <w:rPr>
                <w:rFonts w:hint="default"/>
              </w:rPr>
            </w:pPr>
            <w:r>
              <w:t xml:space="preserve">3.50 </w:t>
            </w:r>
          </w:p>
        </w:tc>
        <w:tc>
          <w:tcPr>
            <w:tcW w:w="0" w:type="auto"/>
            <w:shd w:val="clear" w:color="auto" w:fill="auto"/>
            <w:vAlign w:val="center"/>
          </w:tcPr>
          <w:p w14:paraId="25D04D88">
            <w:pPr>
              <w:pStyle w:val="45"/>
              <w:rPr>
                <w:rFonts w:hint="default"/>
              </w:rPr>
            </w:pPr>
            <w:r>
              <w:t xml:space="preserve">4.00 </w:t>
            </w:r>
          </w:p>
        </w:tc>
        <w:tc>
          <w:tcPr>
            <w:tcW w:w="0" w:type="auto"/>
            <w:shd w:val="clear" w:color="auto" w:fill="auto"/>
            <w:vAlign w:val="center"/>
          </w:tcPr>
          <w:p w14:paraId="471BBCEF">
            <w:pPr>
              <w:pStyle w:val="45"/>
              <w:rPr>
                <w:rFonts w:hint="default"/>
              </w:rPr>
            </w:pPr>
            <w:r>
              <w:t xml:space="preserve">2.80 </w:t>
            </w:r>
          </w:p>
        </w:tc>
        <w:tc>
          <w:tcPr>
            <w:tcW w:w="0" w:type="auto"/>
            <w:shd w:val="clear" w:color="auto" w:fill="auto"/>
            <w:vAlign w:val="center"/>
          </w:tcPr>
          <w:p w14:paraId="3F8B04E5">
            <w:pPr>
              <w:pStyle w:val="45"/>
              <w:rPr>
                <w:rFonts w:hint="default"/>
              </w:rPr>
            </w:pPr>
            <w:r>
              <w:t xml:space="preserve">3.80 </w:t>
            </w:r>
          </w:p>
        </w:tc>
        <w:tc>
          <w:tcPr>
            <w:tcW w:w="0" w:type="auto"/>
            <w:shd w:val="clear" w:color="auto" w:fill="auto"/>
            <w:vAlign w:val="center"/>
          </w:tcPr>
          <w:p w14:paraId="63F83496">
            <w:pPr>
              <w:pStyle w:val="45"/>
              <w:rPr>
                <w:rFonts w:hint="default"/>
              </w:rPr>
            </w:pPr>
            <w:r>
              <w:t xml:space="preserve">6.00 </w:t>
            </w:r>
          </w:p>
        </w:tc>
      </w:tr>
      <w:tr w14:paraId="03291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0" w:type="auto"/>
            <w:shd w:val="clear" w:color="auto" w:fill="auto"/>
            <w:vAlign w:val="center"/>
          </w:tcPr>
          <w:p w14:paraId="70886DC3">
            <w:pPr>
              <w:pStyle w:val="45"/>
              <w:rPr>
                <w:rFonts w:hint="default"/>
              </w:rPr>
            </w:pPr>
            <w:r>
              <w:t>水不溶物/（g/100g)≤</w:t>
            </w:r>
          </w:p>
        </w:tc>
        <w:tc>
          <w:tcPr>
            <w:tcW w:w="0" w:type="auto"/>
            <w:shd w:val="clear" w:color="auto" w:fill="auto"/>
            <w:vAlign w:val="center"/>
          </w:tcPr>
          <w:p w14:paraId="693BF62C">
            <w:pPr>
              <w:pStyle w:val="45"/>
              <w:rPr>
                <w:rFonts w:hint="default"/>
              </w:rPr>
            </w:pPr>
            <w:r>
              <w:t xml:space="preserve">0.50 </w:t>
            </w:r>
          </w:p>
        </w:tc>
        <w:tc>
          <w:tcPr>
            <w:tcW w:w="0" w:type="auto"/>
            <w:shd w:val="clear" w:color="auto" w:fill="auto"/>
            <w:vAlign w:val="center"/>
          </w:tcPr>
          <w:p w14:paraId="17239DBA">
            <w:pPr>
              <w:pStyle w:val="45"/>
              <w:rPr>
                <w:rFonts w:hint="default"/>
              </w:rPr>
            </w:pPr>
            <w:r>
              <w:t xml:space="preserve">0.10 </w:t>
            </w:r>
          </w:p>
        </w:tc>
        <w:tc>
          <w:tcPr>
            <w:tcW w:w="0" w:type="auto"/>
            <w:shd w:val="clear" w:color="auto" w:fill="auto"/>
            <w:vAlign w:val="center"/>
          </w:tcPr>
          <w:p w14:paraId="76C170AC">
            <w:pPr>
              <w:pStyle w:val="45"/>
              <w:rPr>
                <w:rFonts w:hint="default"/>
              </w:rPr>
            </w:pPr>
            <w:r>
              <w:t xml:space="preserve">0.20 </w:t>
            </w:r>
          </w:p>
        </w:tc>
        <w:tc>
          <w:tcPr>
            <w:tcW w:w="0" w:type="auto"/>
            <w:shd w:val="clear" w:color="auto" w:fill="auto"/>
            <w:vAlign w:val="center"/>
          </w:tcPr>
          <w:p w14:paraId="3C7B0A90">
            <w:pPr>
              <w:pStyle w:val="45"/>
              <w:rPr>
                <w:rFonts w:hint="default"/>
              </w:rPr>
            </w:pPr>
            <w:r>
              <w:t xml:space="preserve">0.05 </w:t>
            </w:r>
          </w:p>
        </w:tc>
        <w:tc>
          <w:tcPr>
            <w:tcW w:w="0" w:type="auto"/>
            <w:shd w:val="clear" w:color="auto" w:fill="auto"/>
            <w:vAlign w:val="center"/>
          </w:tcPr>
          <w:p w14:paraId="43855E86">
            <w:pPr>
              <w:pStyle w:val="45"/>
              <w:rPr>
                <w:rFonts w:hint="default"/>
              </w:rPr>
            </w:pPr>
            <w:r>
              <w:t xml:space="preserve">0.10 </w:t>
            </w:r>
          </w:p>
        </w:tc>
        <w:tc>
          <w:tcPr>
            <w:tcW w:w="0" w:type="auto"/>
            <w:shd w:val="clear" w:color="auto" w:fill="auto"/>
            <w:vAlign w:val="center"/>
          </w:tcPr>
          <w:p w14:paraId="3E2A2182">
            <w:pPr>
              <w:pStyle w:val="45"/>
              <w:rPr>
                <w:rFonts w:hint="default"/>
              </w:rPr>
            </w:pPr>
            <w:r>
              <w:t xml:space="preserve">0.20 </w:t>
            </w:r>
          </w:p>
        </w:tc>
        <w:tc>
          <w:tcPr>
            <w:tcW w:w="0" w:type="auto"/>
            <w:shd w:val="clear" w:color="auto" w:fill="auto"/>
            <w:vAlign w:val="center"/>
          </w:tcPr>
          <w:p w14:paraId="642F7B57">
            <w:pPr>
              <w:pStyle w:val="45"/>
              <w:rPr>
                <w:rFonts w:hint="default"/>
              </w:rPr>
            </w:pPr>
            <w:r>
              <w:t xml:space="preserve">0.20 </w:t>
            </w:r>
          </w:p>
        </w:tc>
        <w:tc>
          <w:tcPr>
            <w:tcW w:w="0" w:type="auto"/>
            <w:shd w:val="clear" w:color="auto" w:fill="auto"/>
            <w:vAlign w:val="center"/>
          </w:tcPr>
          <w:p w14:paraId="0A30E2D3">
            <w:pPr>
              <w:pStyle w:val="45"/>
              <w:rPr>
                <w:rFonts w:hint="default"/>
              </w:rPr>
            </w:pPr>
            <w:r>
              <w:t xml:space="preserve">0.30 </w:t>
            </w:r>
          </w:p>
        </w:tc>
        <w:tc>
          <w:tcPr>
            <w:tcW w:w="0" w:type="auto"/>
            <w:shd w:val="clear" w:color="auto" w:fill="auto"/>
            <w:vAlign w:val="center"/>
          </w:tcPr>
          <w:p w14:paraId="39A4FA5F">
            <w:pPr>
              <w:pStyle w:val="45"/>
              <w:rPr>
                <w:rFonts w:hint="default"/>
              </w:rPr>
            </w:pPr>
            <w:r>
              <w:t xml:space="preserve">0.40 </w:t>
            </w:r>
          </w:p>
        </w:tc>
      </w:tr>
      <w:tr w14:paraId="1B6AF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0" w:type="auto"/>
            <w:shd w:val="clear" w:color="auto" w:fill="auto"/>
            <w:vAlign w:val="center"/>
          </w:tcPr>
          <w:p w14:paraId="0A524CA1">
            <w:pPr>
              <w:pStyle w:val="45"/>
              <w:rPr>
                <w:rFonts w:hint="default"/>
              </w:rPr>
            </w:pPr>
            <w:r>
              <w:t>钙镁离子总量/（g/100g)≤</w:t>
            </w:r>
          </w:p>
        </w:tc>
        <w:tc>
          <w:tcPr>
            <w:tcW w:w="0" w:type="auto"/>
            <w:shd w:val="clear" w:color="auto" w:fill="auto"/>
            <w:vAlign w:val="center"/>
          </w:tcPr>
          <w:p w14:paraId="252E4BE5">
            <w:pPr>
              <w:pStyle w:val="45"/>
              <w:rPr>
                <w:rFonts w:hint="default"/>
              </w:rPr>
            </w:pPr>
            <w:r>
              <w:t xml:space="preserve">0.25 </w:t>
            </w:r>
          </w:p>
        </w:tc>
        <w:tc>
          <w:tcPr>
            <w:tcW w:w="0" w:type="auto"/>
            <w:shd w:val="clear" w:color="auto" w:fill="auto"/>
            <w:vAlign w:val="center"/>
          </w:tcPr>
          <w:p w14:paraId="72DC8704">
            <w:pPr>
              <w:pStyle w:val="45"/>
              <w:rPr>
                <w:rFonts w:hint="default"/>
              </w:rPr>
            </w:pPr>
            <w:r>
              <w:t xml:space="preserve">0.40 </w:t>
            </w:r>
          </w:p>
        </w:tc>
        <w:tc>
          <w:tcPr>
            <w:tcW w:w="0" w:type="auto"/>
            <w:shd w:val="clear" w:color="auto" w:fill="auto"/>
            <w:vAlign w:val="center"/>
          </w:tcPr>
          <w:p w14:paraId="714F077F">
            <w:pPr>
              <w:pStyle w:val="45"/>
              <w:rPr>
                <w:rFonts w:hint="default"/>
              </w:rPr>
            </w:pPr>
            <w:r>
              <w:t xml:space="preserve">0.60 </w:t>
            </w:r>
          </w:p>
        </w:tc>
        <w:tc>
          <w:tcPr>
            <w:tcW w:w="0" w:type="auto"/>
            <w:shd w:val="clear" w:color="auto" w:fill="auto"/>
            <w:vAlign w:val="center"/>
          </w:tcPr>
          <w:p w14:paraId="77EE333D">
            <w:pPr>
              <w:pStyle w:val="45"/>
              <w:rPr>
                <w:rFonts w:hint="default"/>
              </w:rPr>
            </w:pPr>
            <w:r>
              <w:t xml:space="preserve">0.30 </w:t>
            </w:r>
          </w:p>
        </w:tc>
        <w:tc>
          <w:tcPr>
            <w:tcW w:w="0" w:type="auto"/>
            <w:shd w:val="clear" w:color="auto" w:fill="auto"/>
            <w:vAlign w:val="center"/>
          </w:tcPr>
          <w:p w14:paraId="33280F32">
            <w:pPr>
              <w:pStyle w:val="45"/>
              <w:rPr>
                <w:rFonts w:hint="default"/>
              </w:rPr>
            </w:pPr>
            <w:r>
              <w:t xml:space="preserve">0.50 </w:t>
            </w:r>
          </w:p>
        </w:tc>
        <w:tc>
          <w:tcPr>
            <w:tcW w:w="0" w:type="auto"/>
            <w:shd w:val="clear" w:color="auto" w:fill="auto"/>
            <w:vAlign w:val="center"/>
          </w:tcPr>
          <w:p w14:paraId="38D88FEA">
            <w:pPr>
              <w:pStyle w:val="45"/>
              <w:rPr>
                <w:rFonts w:hint="default"/>
              </w:rPr>
            </w:pPr>
            <w:r>
              <w:t xml:space="preserve">0.70 </w:t>
            </w:r>
          </w:p>
        </w:tc>
        <w:tc>
          <w:tcPr>
            <w:tcW w:w="0" w:type="auto"/>
            <w:shd w:val="clear" w:color="auto" w:fill="auto"/>
            <w:vAlign w:val="center"/>
          </w:tcPr>
          <w:p w14:paraId="5A0FA492">
            <w:pPr>
              <w:pStyle w:val="45"/>
              <w:rPr>
                <w:rFonts w:hint="default"/>
              </w:rPr>
            </w:pPr>
            <w:r>
              <w:t xml:space="preserve">0.30 </w:t>
            </w:r>
          </w:p>
        </w:tc>
        <w:tc>
          <w:tcPr>
            <w:tcW w:w="0" w:type="auto"/>
            <w:shd w:val="clear" w:color="auto" w:fill="auto"/>
            <w:vAlign w:val="center"/>
          </w:tcPr>
          <w:p w14:paraId="2964E24C">
            <w:pPr>
              <w:pStyle w:val="45"/>
              <w:rPr>
                <w:rFonts w:hint="default"/>
              </w:rPr>
            </w:pPr>
            <w:r>
              <w:t xml:space="preserve">0.40 </w:t>
            </w:r>
          </w:p>
        </w:tc>
        <w:tc>
          <w:tcPr>
            <w:tcW w:w="0" w:type="auto"/>
            <w:shd w:val="clear" w:color="auto" w:fill="auto"/>
            <w:vAlign w:val="center"/>
          </w:tcPr>
          <w:p w14:paraId="201FF5A5">
            <w:pPr>
              <w:pStyle w:val="45"/>
              <w:rPr>
                <w:rFonts w:hint="default"/>
              </w:rPr>
            </w:pPr>
            <w:r>
              <w:t xml:space="preserve">0.60 </w:t>
            </w:r>
          </w:p>
        </w:tc>
      </w:tr>
      <w:tr w14:paraId="7E04D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0" w:type="auto"/>
            <w:shd w:val="clear" w:color="auto" w:fill="auto"/>
            <w:vAlign w:val="center"/>
          </w:tcPr>
          <w:p w14:paraId="6A6AAA97">
            <w:pPr>
              <w:pStyle w:val="45"/>
              <w:rPr>
                <w:rFonts w:hint="default"/>
              </w:rPr>
            </w:pPr>
            <w:r>
              <w:t>硫酸根离子/（g/100g)≤</w:t>
            </w:r>
          </w:p>
        </w:tc>
        <w:tc>
          <w:tcPr>
            <w:tcW w:w="0" w:type="auto"/>
            <w:shd w:val="clear" w:color="auto" w:fill="auto"/>
            <w:vAlign w:val="center"/>
          </w:tcPr>
          <w:p w14:paraId="7AA076D7">
            <w:pPr>
              <w:pStyle w:val="45"/>
              <w:rPr>
                <w:rFonts w:hint="default"/>
              </w:rPr>
            </w:pPr>
            <w:r>
              <w:t xml:space="preserve">0.30 </w:t>
            </w:r>
          </w:p>
        </w:tc>
        <w:tc>
          <w:tcPr>
            <w:tcW w:w="0" w:type="auto"/>
            <w:shd w:val="clear" w:color="auto" w:fill="auto"/>
            <w:vAlign w:val="center"/>
          </w:tcPr>
          <w:p w14:paraId="7319C544">
            <w:pPr>
              <w:pStyle w:val="45"/>
              <w:rPr>
                <w:rFonts w:hint="default"/>
              </w:rPr>
            </w:pPr>
            <w:r>
              <w:t xml:space="preserve">0.50 </w:t>
            </w:r>
          </w:p>
        </w:tc>
        <w:tc>
          <w:tcPr>
            <w:tcW w:w="0" w:type="auto"/>
            <w:shd w:val="clear" w:color="auto" w:fill="auto"/>
            <w:vAlign w:val="center"/>
          </w:tcPr>
          <w:p w14:paraId="783DBD85">
            <w:pPr>
              <w:pStyle w:val="45"/>
              <w:rPr>
                <w:rFonts w:hint="default"/>
              </w:rPr>
            </w:pPr>
            <w:r>
              <w:t xml:space="preserve">0.90 </w:t>
            </w:r>
          </w:p>
        </w:tc>
        <w:tc>
          <w:tcPr>
            <w:tcW w:w="0" w:type="auto"/>
            <w:shd w:val="clear" w:color="auto" w:fill="auto"/>
            <w:vAlign w:val="center"/>
          </w:tcPr>
          <w:p w14:paraId="1446D433">
            <w:pPr>
              <w:pStyle w:val="45"/>
              <w:rPr>
                <w:rFonts w:hint="default"/>
              </w:rPr>
            </w:pPr>
            <w:r>
              <w:t xml:space="preserve">0.50 </w:t>
            </w:r>
          </w:p>
        </w:tc>
        <w:tc>
          <w:tcPr>
            <w:tcW w:w="0" w:type="auto"/>
            <w:shd w:val="clear" w:color="auto" w:fill="auto"/>
            <w:vAlign w:val="center"/>
          </w:tcPr>
          <w:p w14:paraId="12BA9E93">
            <w:pPr>
              <w:pStyle w:val="45"/>
              <w:rPr>
                <w:rFonts w:hint="default"/>
              </w:rPr>
            </w:pPr>
            <w:r>
              <w:t xml:space="preserve">0.70 </w:t>
            </w:r>
          </w:p>
        </w:tc>
        <w:tc>
          <w:tcPr>
            <w:tcW w:w="0" w:type="auto"/>
            <w:shd w:val="clear" w:color="auto" w:fill="auto"/>
            <w:vAlign w:val="center"/>
          </w:tcPr>
          <w:p w14:paraId="0A5EE096">
            <w:pPr>
              <w:pStyle w:val="45"/>
              <w:rPr>
                <w:rFonts w:hint="default"/>
              </w:rPr>
            </w:pPr>
            <w:r>
              <w:t xml:space="preserve">1.00 </w:t>
            </w:r>
          </w:p>
        </w:tc>
        <w:tc>
          <w:tcPr>
            <w:tcW w:w="0" w:type="auto"/>
            <w:shd w:val="clear" w:color="auto" w:fill="auto"/>
            <w:vAlign w:val="center"/>
          </w:tcPr>
          <w:p w14:paraId="05DC8FCA">
            <w:pPr>
              <w:pStyle w:val="45"/>
              <w:rPr>
                <w:rFonts w:hint="default"/>
              </w:rPr>
            </w:pPr>
            <w:r>
              <w:t xml:space="preserve">0.50 </w:t>
            </w:r>
          </w:p>
        </w:tc>
        <w:tc>
          <w:tcPr>
            <w:tcW w:w="0" w:type="auto"/>
            <w:shd w:val="clear" w:color="auto" w:fill="auto"/>
            <w:vAlign w:val="center"/>
          </w:tcPr>
          <w:p w14:paraId="23FA99AD">
            <w:pPr>
              <w:pStyle w:val="45"/>
              <w:rPr>
                <w:rFonts w:hint="default"/>
              </w:rPr>
            </w:pPr>
            <w:r>
              <w:t xml:space="preserve">0.70 </w:t>
            </w:r>
          </w:p>
        </w:tc>
        <w:tc>
          <w:tcPr>
            <w:tcW w:w="0" w:type="auto"/>
            <w:shd w:val="clear" w:color="auto" w:fill="auto"/>
            <w:vAlign w:val="center"/>
          </w:tcPr>
          <w:p w14:paraId="36EC97C2">
            <w:pPr>
              <w:pStyle w:val="45"/>
              <w:rPr>
                <w:rFonts w:hint="default"/>
              </w:rPr>
            </w:pPr>
            <w:r>
              <w:t xml:space="preserve">1.00 </w:t>
            </w:r>
          </w:p>
        </w:tc>
      </w:tr>
    </w:tbl>
    <w:p w14:paraId="2EE6ECD6">
      <w:pPr>
        <w:spacing w:line="240" w:lineRule="auto"/>
        <w:ind w:firstLine="0" w:firstLineChars="0"/>
      </w:pPr>
    </w:p>
    <w:p w14:paraId="13FA2014">
      <w:pPr>
        <w:pStyle w:val="6"/>
        <w:numPr>
          <w:ilvl w:val="4"/>
          <w:numId w:val="0"/>
        </w:numPr>
        <w:ind w:firstLine="482" w:firstLineChars="200"/>
        <w:rPr>
          <w:rFonts w:hint="eastAsia"/>
          <w:lang w:val="en-US" w:eastAsia="zh-CN"/>
        </w:rPr>
      </w:pPr>
      <w:r>
        <w:rPr>
          <w:rFonts w:hint="eastAsia"/>
          <w:lang w:val="en-US" w:eastAsia="zh-CN"/>
        </w:rPr>
        <w:t>2、氯化钾规格</w:t>
      </w:r>
    </w:p>
    <w:p w14:paraId="3C199AA3">
      <w:pPr>
        <w:ind w:firstLine="480"/>
      </w:pPr>
      <w:r>
        <w:t>本项目生产原料氯化钾符合国家标准《氯化钾》（GB 6549-2011），其具体指标见</w:t>
      </w:r>
      <w:r>
        <w:rPr>
          <w:rFonts w:hint="eastAsia"/>
        </w:rPr>
        <w:t>下表。</w:t>
      </w:r>
    </w:p>
    <w:p w14:paraId="4DCB983D">
      <w:pPr>
        <w:pStyle w:val="43"/>
        <w:rPr>
          <w:rFonts w:hint="default"/>
        </w:rPr>
      </w:pPr>
      <w:r>
        <w:rPr>
          <w:rFonts w:hint="default"/>
        </w:rPr>
        <w:t>氯化钾</w:t>
      </w:r>
      <w:r>
        <w:rPr>
          <w:rFonts w:hint="eastAsia"/>
          <w:lang w:val="en-US" w:eastAsia="zh-CN"/>
        </w:rPr>
        <w:t>标准</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03"/>
        <w:gridCol w:w="886"/>
        <w:gridCol w:w="887"/>
        <w:gridCol w:w="886"/>
        <w:gridCol w:w="886"/>
        <w:gridCol w:w="887"/>
        <w:gridCol w:w="887"/>
      </w:tblGrid>
      <w:tr w14:paraId="6A182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0" w:type="auto"/>
            <w:vMerge w:val="restart"/>
            <w:tcBorders>
              <w:tl2br w:val="nil"/>
              <w:tr2bl w:val="nil"/>
            </w:tcBorders>
            <w:vAlign w:val="center"/>
          </w:tcPr>
          <w:p w14:paraId="1C3AB8D7">
            <w:pPr>
              <w:snapToGrid w:val="0"/>
              <w:spacing w:line="240" w:lineRule="auto"/>
              <w:ind w:firstLine="0" w:firstLineChars="0"/>
              <w:jc w:val="center"/>
              <w:rPr>
                <w:rFonts w:cs="宋体"/>
                <w:b/>
                <w:bCs/>
                <w:kern w:val="0"/>
                <w:sz w:val="21"/>
                <w:szCs w:val="21"/>
              </w:rPr>
            </w:pPr>
            <w:r>
              <w:rPr>
                <w:rFonts w:hint="eastAsia" w:cs="宋体"/>
                <w:b/>
                <w:bCs/>
                <w:kern w:val="0"/>
                <w:sz w:val="21"/>
                <w:szCs w:val="21"/>
              </w:rPr>
              <w:t>项目</w:t>
            </w:r>
          </w:p>
        </w:tc>
        <w:tc>
          <w:tcPr>
            <w:tcW w:w="0" w:type="auto"/>
            <w:gridSpan w:val="6"/>
            <w:tcBorders>
              <w:tl2br w:val="nil"/>
              <w:tr2bl w:val="nil"/>
            </w:tcBorders>
            <w:vAlign w:val="center"/>
          </w:tcPr>
          <w:p w14:paraId="306CAE27">
            <w:pPr>
              <w:snapToGrid w:val="0"/>
              <w:spacing w:line="240" w:lineRule="auto"/>
              <w:ind w:firstLine="0" w:firstLineChars="0"/>
              <w:jc w:val="center"/>
              <w:rPr>
                <w:rFonts w:cs="宋体"/>
                <w:b/>
                <w:bCs/>
                <w:kern w:val="0"/>
                <w:sz w:val="21"/>
                <w:szCs w:val="21"/>
              </w:rPr>
            </w:pPr>
            <w:r>
              <w:rPr>
                <w:rFonts w:hint="eastAsia" w:cs="宋体"/>
                <w:b/>
                <w:bCs/>
                <w:kern w:val="0"/>
                <w:sz w:val="21"/>
                <w:szCs w:val="21"/>
              </w:rPr>
              <w:t>指标</w:t>
            </w:r>
          </w:p>
        </w:tc>
      </w:tr>
      <w:tr w14:paraId="4321F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0" w:type="auto"/>
            <w:vMerge w:val="continue"/>
            <w:tcBorders>
              <w:tl2br w:val="nil"/>
              <w:tr2bl w:val="nil"/>
            </w:tcBorders>
            <w:vAlign w:val="center"/>
          </w:tcPr>
          <w:p w14:paraId="64D8FE05">
            <w:pPr>
              <w:snapToGrid w:val="0"/>
              <w:spacing w:line="240" w:lineRule="auto"/>
              <w:ind w:firstLine="0" w:firstLineChars="0"/>
              <w:jc w:val="center"/>
              <w:rPr>
                <w:rFonts w:cs="宋体"/>
                <w:b/>
                <w:bCs/>
                <w:kern w:val="0"/>
                <w:sz w:val="21"/>
                <w:szCs w:val="21"/>
              </w:rPr>
            </w:pPr>
          </w:p>
        </w:tc>
        <w:tc>
          <w:tcPr>
            <w:tcW w:w="0" w:type="auto"/>
            <w:gridSpan w:val="3"/>
            <w:tcBorders>
              <w:tl2br w:val="nil"/>
              <w:tr2bl w:val="nil"/>
            </w:tcBorders>
            <w:vAlign w:val="center"/>
          </w:tcPr>
          <w:p w14:paraId="57D90A96">
            <w:pPr>
              <w:snapToGrid w:val="0"/>
              <w:spacing w:line="240" w:lineRule="auto"/>
              <w:ind w:firstLine="0" w:firstLineChars="0"/>
              <w:jc w:val="center"/>
              <w:rPr>
                <w:rFonts w:cs="宋体"/>
                <w:b/>
                <w:bCs/>
                <w:kern w:val="0"/>
                <w:sz w:val="21"/>
                <w:szCs w:val="21"/>
              </w:rPr>
            </w:pPr>
            <w:r>
              <w:rPr>
                <w:rFonts w:hint="eastAsia" w:cs="宋体"/>
                <w:b/>
                <w:bCs/>
                <w:kern w:val="0"/>
                <w:sz w:val="21"/>
                <w:szCs w:val="21"/>
              </w:rPr>
              <w:t>Ⅰ类</w:t>
            </w:r>
          </w:p>
        </w:tc>
        <w:tc>
          <w:tcPr>
            <w:tcW w:w="0" w:type="auto"/>
            <w:gridSpan w:val="3"/>
            <w:tcBorders>
              <w:tl2br w:val="nil"/>
              <w:tr2bl w:val="nil"/>
            </w:tcBorders>
            <w:vAlign w:val="center"/>
          </w:tcPr>
          <w:p w14:paraId="1D251AD6">
            <w:pPr>
              <w:snapToGrid w:val="0"/>
              <w:spacing w:line="240" w:lineRule="auto"/>
              <w:ind w:firstLine="0" w:firstLineChars="0"/>
              <w:jc w:val="center"/>
              <w:rPr>
                <w:rFonts w:cs="宋体"/>
                <w:b/>
                <w:bCs/>
                <w:kern w:val="0"/>
                <w:sz w:val="21"/>
                <w:szCs w:val="21"/>
              </w:rPr>
            </w:pPr>
            <w:r>
              <w:rPr>
                <w:rFonts w:hint="eastAsia" w:cs="宋体"/>
                <w:b/>
                <w:bCs/>
                <w:kern w:val="0"/>
                <w:sz w:val="21"/>
                <w:szCs w:val="21"/>
              </w:rPr>
              <w:t>Ⅱ类</w:t>
            </w:r>
          </w:p>
        </w:tc>
      </w:tr>
      <w:tr w14:paraId="17844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0" w:type="auto"/>
            <w:vMerge w:val="continue"/>
            <w:tcBorders>
              <w:tl2br w:val="nil"/>
              <w:tr2bl w:val="nil"/>
            </w:tcBorders>
            <w:vAlign w:val="center"/>
          </w:tcPr>
          <w:p w14:paraId="25F5330A">
            <w:pPr>
              <w:snapToGrid w:val="0"/>
              <w:spacing w:line="240" w:lineRule="auto"/>
              <w:ind w:firstLine="0" w:firstLineChars="0"/>
              <w:jc w:val="center"/>
              <w:rPr>
                <w:rFonts w:cs="宋体"/>
                <w:b/>
                <w:bCs/>
                <w:kern w:val="0"/>
                <w:sz w:val="21"/>
                <w:szCs w:val="21"/>
              </w:rPr>
            </w:pPr>
          </w:p>
        </w:tc>
        <w:tc>
          <w:tcPr>
            <w:tcW w:w="0" w:type="auto"/>
            <w:tcBorders>
              <w:tl2br w:val="nil"/>
              <w:tr2bl w:val="nil"/>
            </w:tcBorders>
            <w:vAlign w:val="center"/>
          </w:tcPr>
          <w:p w14:paraId="046E2ECE">
            <w:pPr>
              <w:snapToGrid w:val="0"/>
              <w:spacing w:line="240" w:lineRule="auto"/>
              <w:ind w:firstLine="0" w:firstLineChars="0"/>
              <w:jc w:val="center"/>
              <w:rPr>
                <w:rFonts w:cs="宋体"/>
                <w:b/>
                <w:bCs/>
                <w:kern w:val="0"/>
                <w:sz w:val="21"/>
                <w:szCs w:val="21"/>
              </w:rPr>
            </w:pPr>
            <w:r>
              <w:rPr>
                <w:rFonts w:hint="eastAsia" w:cs="宋体"/>
                <w:b/>
                <w:bCs/>
                <w:kern w:val="0"/>
                <w:sz w:val="21"/>
                <w:szCs w:val="21"/>
              </w:rPr>
              <w:t>优等品</w:t>
            </w:r>
          </w:p>
        </w:tc>
        <w:tc>
          <w:tcPr>
            <w:tcW w:w="0" w:type="auto"/>
            <w:tcBorders>
              <w:tl2br w:val="nil"/>
              <w:tr2bl w:val="nil"/>
            </w:tcBorders>
            <w:vAlign w:val="center"/>
          </w:tcPr>
          <w:p w14:paraId="0D728ED4">
            <w:pPr>
              <w:snapToGrid w:val="0"/>
              <w:spacing w:line="240" w:lineRule="auto"/>
              <w:ind w:firstLine="0" w:firstLineChars="0"/>
              <w:jc w:val="center"/>
              <w:rPr>
                <w:rFonts w:cs="宋体"/>
                <w:b/>
                <w:bCs/>
                <w:kern w:val="0"/>
                <w:sz w:val="21"/>
                <w:szCs w:val="21"/>
              </w:rPr>
            </w:pPr>
            <w:r>
              <w:rPr>
                <w:rFonts w:hint="eastAsia" w:cs="宋体"/>
                <w:b/>
                <w:bCs/>
                <w:kern w:val="0"/>
                <w:sz w:val="21"/>
                <w:szCs w:val="21"/>
              </w:rPr>
              <w:t>一等品</w:t>
            </w:r>
          </w:p>
        </w:tc>
        <w:tc>
          <w:tcPr>
            <w:tcW w:w="0" w:type="auto"/>
            <w:tcBorders>
              <w:tl2br w:val="nil"/>
              <w:tr2bl w:val="nil"/>
            </w:tcBorders>
            <w:vAlign w:val="center"/>
          </w:tcPr>
          <w:p w14:paraId="6C7DEC6E">
            <w:pPr>
              <w:snapToGrid w:val="0"/>
              <w:spacing w:line="240" w:lineRule="auto"/>
              <w:ind w:firstLine="0" w:firstLineChars="0"/>
              <w:jc w:val="center"/>
              <w:rPr>
                <w:rFonts w:cs="宋体"/>
                <w:b/>
                <w:bCs/>
                <w:kern w:val="0"/>
                <w:sz w:val="21"/>
                <w:szCs w:val="21"/>
              </w:rPr>
            </w:pPr>
            <w:r>
              <w:rPr>
                <w:rFonts w:hint="eastAsia" w:cs="宋体"/>
                <w:b/>
                <w:bCs/>
                <w:kern w:val="0"/>
                <w:sz w:val="21"/>
                <w:szCs w:val="21"/>
              </w:rPr>
              <w:t>合格品</w:t>
            </w:r>
          </w:p>
        </w:tc>
        <w:tc>
          <w:tcPr>
            <w:tcW w:w="0" w:type="auto"/>
            <w:tcBorders>
              <w:tl2br w:val="nil"/>
              <w:tr2bl w:val="nil"/>
            </w:tcBorders>
            <w:vAlign w:val="center"/>
          </w:tcPr>
          <w:p w14:paraId="26B19B3B">
            <w:pPr>
              <w:snapToGrid w:val="0"/>
              <w:spacing w:line="240" w:lineRule="auto"/>
              <w:ind w:firstLine="0" w:firstLineChars="0"/>
              <w:jc w:val="center"/>
              <w:rPr>
                <w:rFonts w:cs="宋体"/>
                <w:b/>
                <w:bCs/>
                <w:kern w:val="0"/>
                <w:sz w:val="21"/>
                <w:szCs w:val="21"/>
              </w:rPr>
            </w:pPr>
            <w:r>
              <w:rPr>
                <w:rFonts w:hint="eastAsia" w:cs="宋体"/>
                <w:b/>
                <w:bCs/>
                <w:kern w:val="0"/>
                <w:sz w:val="21"/>
                <w:szCs w:val="21"/>
              </w:rPr>
              <w:t>优等品</w:t>
            </w:r>
          </w:p>
        </w:tc>
        <w:tc>
          <w:tcPr>
            <w:tcW w:w="0" w:type="auto"/>
            <w:tcBorders>
              <w:tl2br w:val="nil"/>
              <w:tr2bl w:val="nil"/>
            </w:tcBorders>
            <w:vAlign w:val="center"/>
          </w:tcPr>
          <w:p w14:paraId="2D37CB34">
            <w:pPr>
              <w:snapToGrid w:val="0"/>
              <w:spacing w:line="240" w:lineRule="auto"/>
              <w:ind w:firstLine="0" w:firstLineChars="0"/>
              <w:jc w:val="center"/>
              <w:rPr>
                <w:rFonts w:cs="宋体"/>
                <w:b/>
                <w:bCs/>
                <w:kern w:val="0"/>
                <w:sz w:val="21"/>
                <w:szCs w:val="21"/>
              </w:rPr>
            </w:pPr>
            <w:r>
              <w:rPr>
                <w:rFonts w:hint="eastAsia" w:cs="宋体"/>
                <w:b/>
                <w:bCs/>
                <w:kern w:val="0"/>
                <w:sz w:val="21"/>
                <w:szCs w:val="21"/>
              </w:rPr>
              <w:t>一等品</w:t>
            </w:r>
          </w:p>
        </w:tc>
        <w:tc>
          <w:tcPr>
            <w:tcW w:w="0" w:type="auto"/>
            <w:tcBorders>
              <w:tl2br w:val="nil"/>
              <w:tr2bl w:val="nil"/>
            </w:tcBorders>
            <w:vAlign w:val="center"/>
          </w:tcPr>
          <w:p w14:paraId="0CD9A86A">
            <w:pPr>
              <w:snapToGrid w:val="0"/>
              <w:spacing w:line="240" w:lineRule="auto"/>
              <w:ind w:firstLine="0" w:firstLineChars="0"/>
              <w:jc w:val="center"/>
              <w:rPr>
                <w:rFonts w:cs="宋体"/>
                <w:b/>
                <w:bCs/>
                <w:kern w:val="0"/>
                <w:sz w:val="21"/>
                <w:szCs w:val="21"/>
              </w:rPr>
            </w:pPr>
            <w:r>
              <w:rPr>
                <w:rFonts w:hint="eastAsia" w:cs="宋体"/>
                <w:b/>
                <w:bCs/>
                <w:kern w:val="0"/>
                <w:sz w:val="21"/>
                <w:szCs w:val="21"/>
              </w:rPr>
              <w:t>合格品</w:t>
            </w:r>
          </w:p>
        </w:tc>
      </w:tr>
      <w:tr w14:paraId="66F58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tcBorders>
              <w:tl2br w:val="nil"/>
              <w:tr2bl w:val="nil"/>
            </w:tcBorders>
            <w:vAlign w:val="center"/>
          </w:tcPr>
          <w:p w14:paraId="24DAF89E">
            <w:pPr>
              <w:snapToGrid w:val="0"/>
              <w:spacing w:line="240" w:lineRule="auto"/>
              <w:ind w:firstLine="0" w:firstLineChars="0"/>
              <w:jc w:val="center"/>
              <w:rPr>
                <w:rFonts w:cs="宋体"/>
                <w:kern w:val="0"/>
                <w:sz w:val="21"/>
                <w:szCs w:val="21"/>
              </w:rPr>
            </w:pPr>
            <w:r>
              <w:rPr>
                <w:rFonts w:hint="eastAsia" w:cs="宋体"/>
                <w:kern w:val="0"/>
                <w:sz w:val="21"/>
                <w:szCs w:val="21"/>
              </w:rPr>
              <w:t>氧化钾（K</w:t>
            </w:r>
            <w:r>
              <w:rPr>
                <w:rFonts w:hint="eastAsia" w:cs="宋体"/>
                <w:kern w:val="0"/>
                <w:sz w:val="21"/>
                <w:szCs w:val="21"/>
                <w:vertAlign w:val="subscript"/>
              </w:rPr>
              <w:t>2</w:t>
            </w:r>
            <w:r>
              <w:rPr>
                <w:rFonts w:hint="eastAsia" w:cs="宋体"/>
                <w:kern w:val="0"/>
                <w:sz w:val="21"/>
                <w:szCs w:val="21"/>
              </w:rPr>
              <w:t>O)的质量分数/%  ≧</w:t>
            </w:r>
          </w:p>
        </w:tc>
        <w:tc>
          <w:tcPr>
            <w:tcW w:w="0" w:type="auto"/>
            <w:tcBorders>
              <w:tl2br w:val="nil"/>
              <w:tr2bl w:val="nil"/>
            </w:tcBorders>
            <w:vAlign w:val="center"/>
          </w:tcPr>
          <w:p w14:paraId="14585CA2">
            <w:pPr>
              <w:snapToGrid w:val="0"/>
              <w:spacing w:line="240" w:lineRule="auto"/>
              <w:ind w:firstLine="0" w:firstLineChars="0"/>
              <w:jc w:val="center"/>
              <w:rPr>
                <w:rFonts w:cs="宋体"/>
                <w:kern w:val="0"/>
                <w:sz w:val="21"/>
                <w:szCs w:val="21"/>
              </w:rPr>
            </w:pPr>
            <w:r>
              <w:rPr>
                <w:rFonts w:hint="eastAsia" w:cs="宋体"/>
                <w:kern w:val="0"/>
                <w:sz w:val="21"/>
                <w:szCs w:val="21"/>
              </w:rPr>
              <w:t>62.0</w:t>
            </w:r>
          </w:p>
        </w:tc>
        <w:tc>
          <w:tcPr>
            <w:tcW w:w="0" w:type="auto"/>
            <w:tcBorders>
              <w:tl2br w:val="nil"/>
              <w:tr2bl w:val="nil"/>
            </w:tcBorders>
            <w:vAlign w:val="center"/>
          </w:tcPr>
          <w:p w14:paraId="0BA1A23C">
            <w:pPr>
              <w:snapToGrid w:val="0"/>
              <w:spacing w:line="240" w:lineRule="auto"/>
              <w:ind w:firstLine="0" w:firstLineChars="0"/>
              <w:jc w:val="center"/>
              <w:rPr>
                <w:rFonts w:cs="宋体"/>
                <w:kern w:val="0"/>
                <w:sz w:val="21"/>
                <w:szCs w:val="21"/>
              </w:rPr>
            </w:pPr>
            <w:r>
              <w:rPr>
                <w:rFonts w:hint="eastAsia" w:cs="宋体"/>
                <w:kern w:val="0"/>
                <w:sz w:val="21"/>
                <w:szCs w:val="21"/>
              </w:rPr>
              <w:t>60.0</w:t>
            </w:r>
          </w:p>
        </w:tc>
        <w:tc>
          <w:tcPr>
            <w:tcW w:w="0" w:type="auto"/>
            <w:tcBorders>
              <w:tl2br w:val="nil"/>
              <w:tr2bl w:val="nil"/>
            </w:tcBorders>
            <w:vAlign w:val="center"/>
          </w:tcPr>
          <w:p w14:paraId="4B5C193B">
            <w:pPr>
              <w:snapToGrid w:val="0"/>
              <w:spacing w:line="240" w:lineRule="auto"/>
              <w:ind w:firstLine="0" w:firstLineChars="0"/>
              <w:jc w:val="center"/>
              <w:rPr>
                <w:rFonts w:cs="宋体"/>
                <w:kern w:val="0"/>
                <w:sz w:val="21"/>
                <w:szCs w:val="21"/>
              </w:rPr>
            </w:pPr>
            <w:r>
              <w:rPr>
                <w:rFonts w:hint="eastAsia" w:cs="宋体"/>
                <w:kern w:val="0"/>
                <w:sz w:val="21"/>
                <w:szCs w:val="21"/>
              </w:rPr>
              <w:t>58.0</w:t>
            </w:r>
          </w:p>
        </w:tc>
        <w:tc>
          <w:tcPr>
            <w:tcW w:w="0" w:type="auto"/>
            <w:tcBorders>
              <w:tl2br w:val="nil"/>
              <w:tr2bl w:val="nil"/>
            </w:tcBorders>
            <w:vAlign w:val="center"/>
          </w:tcPr>
          <w:p w14:paraId="55BC881A">
            <w:pPr>
              <w:snapToGrid w:val="0"/>
              <w:spacing w:line="240" w:lineRule="auto"/>
              <w:ind w:firstLine="0" w:firstLineChars="0"/>
              <w:jc w:val="center"/>
              <w:rPr>
                <w:rFonts w:cs="宋体"/>
                <w:kern w:val="0"/>
                <w:sz w:val="21"/>
                <w:szCs w:val="21"/>
              </w:rPr>
            </w:pPr>
            <w:r>
              <w:rPr>
                <w:rFonts w:hint="eastAsia" w:cs="宋体"/>
                <w:kern w:val="0"/>
                <w:sz w:val="21"/>
                <w:szCs w:val="21"/>
              </w:rPr>
              <w:t>60.0</w:t>
            </w:r>
          </w:p>
        </w:tc>
        <w:tc>
          <w:tcPr>
            <w:tcW w:w="0" w:type="auto"/>
            <w:tcBorders>
              <w:tl2br w:val="nil"/>
              <w:tr2bl w:val="nil"/>
            </w:tcBorders>
            <w:vAlign w:val="center"/>
          </w:tcPr>
          <w:p w14:paraId="49A4B828">
            <w:pPr>
              <w:snapToGrid w:val="0"/>
              <w:spacing w:line="240" w:lineRule="auto"/>
              <w:ind w:firstLine="0" w:firstLineChars="0"/>
              <w:jc w:val="center"/>
              <w:rPr>
                <w:rFonts w:cs="宋体"/>
                <w:kern w:val="0"/>
                <w:sz w:val="21"/>
                <w:szCs w:val="21"/>
              </w:rPr>
            </w:pPr>
            <w:r>
              <w:rPr>
                <w:rFonts w:hint="eastAsia" w:cs="宋体"/>
                <w:kern w:val="0"/>
                <w:sz w:val="21"/>
                <w:szCs w:val="21"/>
              </w:rPr>
              <w:t>57.0</w:t>
            </w:r>
          </w:p>
        </w:tc>
        <w:tc>
          <w:tcPr>
            <w:tcW w:w="0" w:type="auto"/>
            <w:tcBorders>
              <w:tl2br w:val="nil"/>
              <w:tr2bl w:val="nil"/>
            </w:tcBorders>
            <w:vAlign w:val="center"/>
          </w:tcPr>
          <w:p w14:paraId="3CFFDEC8">
            <w:pPr>
              <w:snapToGrid w:val="0"/>
              <w:spacing w:line="240" w:lineRule="auto"/>
              <w:ind w:firstLine="0" w:firstLineChars="0"/>
              <w:jc w:val="center"/>
              <w:rPr>
                <w:rFonts w:cs="宋体"/>
                <w:kern w:val="0"/>
                <w:sz w:val="21"/>
                <w:szCs w:val="21"/>
              </w:rPr>
            </w:pPr>
            <w:r>
              <w:rPr>
                <w:rFonts w:hint="eastAsia" w:cs="宋体"/>
                <w:kern w:val="0"/>
                <w:sz w:val="21"/>
                <w:szCs w:val="21"/>
              </w:rPr>
              <w:t>55.0</w:t>
            </w:r>
          </w:p>
        </w:tc>
      </w:tr>
      <w:tr w14:paraId="4C3D7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tcBorders>
              <w:tl2br w:val="nil"/>
              <w:tr2bl w:val="nil"/>
            </w:tcBorders>
            <w:vAlign w:val="center"/>
          </w:tcPr>
          <w:p w14:paraId="0DDBA154">
            <w:pPr>
              <w:snapToGrid w:val="0"/>
              <w:spacing w:line="240" w:lineRule="auto"/>
              <w:ind w:firstLine="0" w:firstLineChars="0"/>
              <w:jc w:val="center"/>
              <w:rPr>
                <w:rFonts w:cs="宋体"/>
                <w:kern w:val="0"/>
                <w:sz w:val="21"/>
                <w:szCs w:val="21"/>
              </w:rPr>
            </w:pPr>
            <w:r>
              <w:rPr>
                <w:rFonts w:hint="eastAsia" w:cs="宋体"/>
                <w:kern w:val="0"/>
                <w:sz w:val="21"/>
                <w:szCs w:val="21"/>
              </w:rPr>
              <w:t>水分（H</w:t>
            </w:r>
            <w:r>
              <w:rPr>
                <w:rFonts w:hint="eastAsia" w:cs="宋体"/>
                <w:kern w:val="0"/>
                <w:sz w:val="21"/>
                <w:szCs w:val="21"/>
                <w:vertAlign w:val="subscript"/>
              </w:rPr>
              <w:t>2</w:t>
            </w:r>
            <w:r>
              <w:rPr>
                <w:rFonts w:hint="eastAsia" w:cs="宋体"/>
                <w:kern w:val="0"/>
                <w:sz w:val="21"/>
                <w:szCs w:val="21"/>
              </w:rPr>
              <w:t>O)的质量分数/%    ≦</w:t>
            </w:r>
          </w:p>
        </w:tc>
        <w:tc>
          <w:tcPr>
            <w:tcW w:w="0" w:type="auto"/>
            <w:tcBorders>
              <w:tl2br w:val="nil"/>
              <w:tr2bl w:val="nil"/>
            </w:tcBorders>
            <w:vAlign w:val="center"/>
          </w:tcPr>
          <w:p w14:paraId="024C9456">
            <w:pPr>
              <w:snapToGrid w:val="0"/>
              <w:spacing w:line="240" w:lineRule="auto"/>
              <w:ind w:firstLine="0" w:firstLineChars="0"/>
              <w:jc w:val="center"/>
              <w:rPr>
                <w:rFonts w:cs="宋体"/>
                <w:kern w:val="0"/>
                <w:sz w:val="21"/>
                <w:szCs w:val="21"/>
              </w:rPr>
            </w:pPr>
            <w:r>
              <w:rPr>
                <w:rFonts w:hint="eastAsia" w:cs="宋体"/>
                <w:kern w:val="0"/>
                <w:sz w:val="21"/>
                <w:szCs w:val="21"/>
              </w:rPr>
              <w:t>2.0</w:t>
            </w:r>
          </w:p>
        </w:tc>
        <w:tc>
          <w:tcPr>
            <w:tcW w:w="0" w:type="auto"/>
            <w:tcBorders>
              <w:tl2br w:val="nil"/>
              <w:tr2bl w:val="nil"/>
            </w:tcBorders>
            <w:vAlign w:val="center"/>
          </w:tcPr>
          <w:p w14:paraId="4B264504">
            <w:pPr>
              <w:snapToGrid w:val="0"/>
              <w:spacing w:line="240" w:lineRule="auto"/>
              <w:ind w:firstLine="0" w:firstLineChars="0"/>
              <w:jc w:val="center"/>
              <w:rPr>
                <w:rFonts w:cs="宋体"/>
                <w:kern w:val="0"/>
                <w:sz w:val="21"/>
                <w:szCs w:val="21"/>
              </w:rPr>
            </w:pPr>
            <w:r>
              <w:rPr>
                <w:rFonts w:hint="eastAsia" w:cs="宋体"/>
                <w:kern w:val="0"/>
                <w:sz w:val="21"/>
                <w:szCs w:val="21"/>
              </w:rPr>
              <w:t>2.0</w:t>
            </w:r>
          </w:p>
        </w:tc>
        <w:tc>
          <w:tcPr>
            <w:tcW w:w="0" w:type="auto"/>
            <w:tcBorders>
              <w:tl2br w:val="nil"/>
              <w:tr2bl w:val="nil"/>
            </w:tcBorders>
            <w:vAlign w:val="center"/>
          </w:tcPr>
          <w:p w14:paraId="1D5AA9D8">
            <w:pPr>
              <w:snapToGrid w:val="0"/>
              <w:spacing w:line="240" w:lineRule="auto"/>
              <w:ind w:firstLine="0" w:firstLineChars="0"/>
              <w:jc w:val="center"/>
              <w:rPr>
                <w:rFonts w:cs="宋体"/>
                <w:kern w:val="0"/>
                <w:sz w:val="21"/>
                <w:szCs w:val="21"/>
              </w:rPr>
            </w:pPr>
            <w:r>
              <w:rPr>
                <w:rFonts w:hint="eastAsia" w:cs="宋体"/>
                <w:kern w:val="0"/>
                <w:sz w:val="21"/>
                <w:szCs w:val="21"/>
              </w:rPr>
              <w:t>2.0</w:t>
            </w:r>
          </w:p>
        </w:tc>
        <w:tc>
          <w:tcPr>
            <w:tcW w:w="0" w:type="auto"/>
            <w:tcBorders>
              <w:tl2br w:val="nil"/>
              <w:tr2bl w:val="nil"/>
            </w:tcBorders>
            <w:vAlign w:val="center"/>
          </w:tcPr>
          <w:p w14:paraId="25A2C3D2">
            <w:pPr>
              <w:snapToGrid w:val="0"/>
              <w:spacing w:line="240" w:lineRule="auto"/>
              <w:ind w:firstLine="0" w:firstLineChars="0"/>
              <w:jc w:val="center"/>
              <w:rPr>
                <w:rFonts w:cs="宋体"/>
                <w:kern w:val="0"/>
                <w:sz w:val="21"/>
                <w:szCs w:val="21"/>
              </w:rPr>
            </w:pPr>
            <w:r>
              <w:rPr>
                <w:rFonts w:hint="eastAsia" w:cs="宋体"/>
                <w:kern w:val="0"/>
                <w:sz w:val="21"/>
                <w:szCs w:val="21"/>
              </w:rPr>
              <w:t>2.0</w:t>
            </w:r>
          </w:p>
        </w:tc>
        <w:tc>
          <w:tcPr>
            <w:tcW w:w="0" w:type="auto"/>
            <w:tcBorders>
              <w:tl2br w:val="nil"/>
              <w:tr2bl w:val="nil"/>
            </w:tcBorders>
            <w:vAlign w:val="center"/>
          </w:tcPr>
          <w:p w14:paraId="4E1C353A">
            <w:pPr>
              <w:snapToGrid w:val="0"/>
              <w:spacing w:line="240" w:lineRule="auto"/>
              <w:ind w:firstLine="0" w:firstLineChars="0"/>
              <w:jc w:val="center"/>
              <w:rPr>
                <w:rFonts w:cs="宋体"/>
                <w:kern w:val="0"/>
                <w:sz w:val="21"/>
                <w:szCs w:val="21"/>
              </w:rPr>
            </w:pPr>
            <w:r>
              <w:rPr>
                <w:rFonts w:hint="eastAsia" w:cs="宋体"/>
                <w:kern w:val="0"/>
                <w:sz w:val="21"/>
                <w:szCs w:val="21"/>
              </w:rPr>
              <w:t>4.0</w:t>
            </w:r>
          </w:p>
        </w:tc>
        <w:tc>
          <w:tcPr>
            <w:tcW w:w="0" w:type="auto"/>
            <w:tcBorders>
              <w:tl2br w:val="nil"/>
              <w:tr2bl w:val="nil"/>
            </w:tcBorders>
            <w:vAlign w:val="center"/>
          </w:tcPr>
          <w:p w14:paraId="1BFAA137">
            <w:pPr>
              <w:snapToGrid w:val="0"/>
              <w:spacing w:line="240" w:lineRule="auto"/>
              <w:ind w:firstLine="0" w:firstLineChars="0"/>
              <w:jc w:val="center"/>
              <w:rPr>
                <w:rFonts w:cs="宋体"/>
                <w:kern w:val="0"/>
                <w:sz w:val="21"/>
                <w:szCs w:val="21"/>
              </w:rPr>
            </w:pPr>
            <w:r>
              <w:rPr>
                <w:rFonts w:hint="eastAsia" w:cs="宋体"/>
                <w:kern w:val="0"/>
                <w:sz w:val="21"/>
                <w:szCs w:val="21"/>
              </w:rPr>
              <w:t>6.0</w:t>
            </w:r>
          </w:p>
        </w:tc>
      </w:tr>
      <w:tr w14:paraId="22A71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tcBorders>
              <w:tl2br w:val="nil"/>
              <w:tr2bl w:val="nil"/>
            </w:tcBorders>
            <w:vAlign w:val="center"/>
          </w:tcPr>
          <w:p w14:paraId="2EBFEEB0">
            <w:pPr>
              <w:snapToGrid w:val="0"/>
              <w:spacing w:line="240" w:lineRule="auto"/>
              <w:ind w:firstLine="0" w:firstLineChars="0"/>
              <w:jc w:val="center"/>
              <w:rPr>
                <w:rFonts w:cs="宋体"/>
                <w:kern w:val="0"/>
                <w:sz w:val="21"/>
                <w:szCs w:val="21"/>
              </w:rPr>
            </w:pPr>
            <w:r>
              <w:rPr>
                <w:rFonts w:hint="eastAsia" w:cs="宋体"/>
                <w:kern w:val="0"/>
                <w:sz w:val="21"/>
                <w:szCs w:val="21"/>
              </w:rPr>
              <w:t>钙镁合量（Ca+Mg)质量分数/%≦</w:t>
            </w:r>
          </w:p>
        </w:tc>
        <w:tc>
          <w:tcPr>
            <w:tcW w:w="0" w:type="auto"/>
            <w:tcBorders>
              <w:tl2br w:val="nil"/>
              <w:tr2bl w:val="nil"/>
            </w:tcBorders>
            <w:vAlign w:val="center"/>
          </w:tcPr>
          <w:p w14:paraId="76B4A869">
            <w:pPr>
              <w:snapToGrid w:val="0"/>
              <w:spacing w:line="240" w:lineRule="auto"/>
              <w:ind w:firstLine="0" w:firstLineChars="0"/>
              <w:jc w:val="center"/>
              <w:rPr>
                <w:rFonts w:cs="宋体"/>
                <w:kern w:val="0"/>
                <w:sz w:val="21"/>
                <w:szCs w:val="21"/>
              </w:rPr>
            </w:pPr>
            <w:r>
              <w:rPr>
                <w:rFonts w:hint="eastAsia" w:cs="宋体"/>
                <w:kern w:val="0"/>
                <w:sz w:val="21"/>
                <w:szCs w:val="21"/>
              </w:rPr>
              <w:t>0.3</w:t>
            </w:r>
          </w:p>
        </w:tc>
        <w:tc>
          <w:tcPr>
            <w:tcW w:w="0" w:type="auto"/>
            <w:tcBorders>
              <w:tl2br w:val="nil"/>
              <w:tr2bl w:val="nil"/>
            </w:tcBorders>
            <w:vAlign w:val="center"/>
          </w:tcPr>
          <w:p w14:paraId="44C0E853">
            <w:pPr>
              <w:snapToGrid w:val="0"/>
              <w:spacing w:line="240" w:lineRule="auto"/>
              <w:ind w:firstLine="0" w:firstLineChars="0"/>
              <w:jc w:val="center"/>
              <w:rPr>
                <w:rFonts w:cs="宋体"/>
                <w:kern w:val="0"/>
                <w:sz w:val="21"/>
                <w:szCs w:val="21"/>
              </w:rPr>
            </w:pPr>
            <w:r>
              <w:rPr>
                <w:rFonts w:hint="eastAsia" w:cs="宋体"/>
                <w:kern w:val="0"/>
                <w:sz w:val="21"/>
                <w:szCs w:val="21"/>
              </w:rPr>
              <w:t>0.5</w:t>
            </w:r>
          </w:p>
        </w:tc>
        <w:tc>
          <w:tcPr>
            <w:tcW w:w="0" w:type="auto"/>
            <w:tcBorders>
              <w:tl2br w:val="nil"/>
              <w:tr2bl w:val="nil"/>
            </w:tcBorders>
            <w:vAlign w:val="center"/>
          </w:tcPr>
          <w:p w14:paraId="7BF3FB64">
            <w:pPr>
              <w:snapToGrid w:val="0"/>
              <w:spacing w:line="240" w:lineRule="auto"/>
              <w:ind w:firstLine="0" w:firstLineChars="0"/>
              <w:jc w:val="center"/>
              <w:rPr>
                <w:rFonts w:cs="宋体"/>
                <w:kern w:val="0"/>
                <w:sz w:val="21"/>
                <w:szCs w:val="21"/>
              </w:rPr>
            </w:pPr>
            <w:r>
              <w:rPr>
                <w:rFonts w:hint="eastAsia" w:cs="宋体"/>
                <w:kern w:val="0"/>
                <w:sz w:val="21"/>
                <w:szCs w:val="21"/>
              </w:rPr>
              <w:t>1.2</w:t>
            </w:r>
          </w:p>
        </w:tc>
        <w:tc>
          <w:tcPr>
            <w:tcW w:w="0" w:type="auto"/>
            <w:tcBorders>
              <w:tl2br w:val="nil"/>
              <w:tr2bl w:val="nil"/>
            </w:tcBorders>
            <w:vAlign w:val="center"/>
          </w:tcPr>
          <w:p w14:paraId="0921099A">
            <w:pPr>
              <w:snapToGrid w:val="0"/>
              <w:spacing w:line="240" w:lineRule="auto"/>
              <w:ind w:firstLine="0" w:firstLineChars="0"/>
              <w:jc w:val="center"/>
              <w:rPr>
                <w:rFonts w:cs="宋体"/>
                <w:kern w:val="0"/>
                <w:sz w:val="21"/>
                <w:szCs w:val="21"/>
              </w:rPr>
            </w:pPr>
            <w:r>
              <w:rPr>
                <w:rFonts w:hint="eastAsia"/>
              </w:rPr>
              <w:t>-</w:t>
            </w:r>
          </w:p>
        </w:tc>
        <w:tc>
          <w:tcPr>
            <w:tcW w:w="0" w:type="auto"/>
            <w:tcBorders>
              <w:tl2br w:val="nil"/>
              <w:tr2bl w:val="nil"/>
            </w:tcBorders>
            <w:vAlign w:val="center"/>
          </w:tcPr>
          <w:p w14:paraId="07FAB7F8">
            <w:pPr>
              <w:snapToGrid w:val="0"/>
              <w:spacing w:line="240" w:lineRule="auto"/>
              <w:ind w:firstLine="0" w:firstLineChars="0"/>
              <w:jc w:val="center"/>
              <w:rPr>
                <w:rFonts w:cs="宋体"/>
                <w:kern w:val="0"/>
                <w:sz w:val="21"/>
                <w:szCs w:val="21"/>
              </w:rPr>
            </w:pPr>
            <w:r>
              <w:rPr>
                <w:rFonts w:hint="eastAsia"/>
              </w:rPr>
              <w:t>-</w:t>
            </w:r>
          </w:p>
        </w:tc>
        <w:tc>
          <w:tcPr>
            <w:tcW w:w="0" w:type="auto"/>
            <w:tcBorders>
              <w:tl2br w:val="nil"/>
              <w:tr2bl w:val="nil"/>
            </w:tcBorders>
            <w:vAlign w:val="center"/>
          </w:tcPr>
          <w:p w14:paraId="25D0B353">
            <w:pPr>
              <w:snapToGrid w:val="0"/>
              <w:spacing w:line="240" w:lineRule="auto"/>
              <w:ind w:firstLine="0" w:firstLineChars="0"/>
              <w:jc w:val="center"/>
              <w:rPr>
                <w:rFonts w:cs="宋体"/>
                <w:kern w:val="0"/>
                <w:sz w:val="21"/>
                <w:szCs w:val="21"/>
              </w:rPr>
            </w:pPr>
            <w:r>
              <w:rPr>
                <w:rFonts w:hint="eastAsia"/>
              </w:rPr>
              <w:t>-</w:t>
            </w:r>
          </w:p>
        </w:tc>
      </w:tr>
      <w:tr w14:paraId="0D1A2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tcBorders>
              <w:tl2br w:val="nil"/>
              <w:tr2bl w:val="nil"/>
            </w:tcBorders>
            <w:vAlign w:val="center"/>
          </w:tcPr>
          <w:p w14:paraId="30375A45">
            <w:pPr>
              <w:snapToGrid w:val="0"/>
              <w:spacing w:line="240" w:lineRule="auto"/>
              <w:ind w:firstLine="0" w:firstLineChars="0"/>
              <w:jc w:val="center"/>
              <w:rPr>
                <w:rFonts w:cs="宋体"/>
                <w:kern w:val="0"/>
                <w:sz w:val="21"/>
                <w:szCs w:val="21"/>
              </w:rPr>
            </w:pPr>
            <w:r>
              <w:rPr>
                <w:rFonts w:hint="eastAsia" w:cs="宋体"/>
                <w:kern w:val="0"/>
                <w:sz w:val="21"/>
                <w:szCs w:val="21"/>
              </w:rPr>
              <w:t>氯化钠（NaCl)质量分数/%   ≦</w:t>
            </w:r>
          </w:p>
        </w:tc>
        <w:tc>
          <w:tcPr>
            <w:tcW w:w="0" w:type="auto"/>
            <w:tcBorders>
              <w:tl2br w:val="nil"/>
              <w:tr2bl w:val="nil"/>
            </w:tcBorders>
            <w:vAlign w:val="center"/>
          </w:tcPr>
          <w:p w14:paraId="1A00390C">
            <w:pPr>
              <w:snapToGrid w:val="0"/>
              <w:spacing w:line="240" w:lineRule="auto"/>
              <w:ind w:firstLine="0" w:firstLineChars="0"/>
              <w:jc w:val="center"/>
              <w:rPr>
                <w:rFonts w:cs="宋体"/>
                <w:kern w:val="0"/>
                <w:sz w:val="21"/>
                <w:szCs w:val="21"/>
              </w:rPr>
            </w:pPr>
            <w:r>
              <w:rPr>
                <w:rFonts w:hint="eastAsia" w:cs="宋体"/>
                <w:kern w:val="0"/>
                <w:sz w:val="21"/>
                <w:szCs w:val="21"/>
              </w:rPr>
              <w:t>1.2</w:t>
            </w:r>
          </w:p>
        </w:tc>
        <w:tc>
          <w:tcPr>
            <w:tcW w:w="0" w:type="auto"/>
            <w:tcBorders>
              <w:tl2br w:val="nil"/>
              <w:tr2bl w:val="nil"/>
            </w:tcBorders>
            <w:vAlign w:val="center"/>
          </w:tcPr>
          <w:p w14:paraId="304C76B1">
            <w:pPr>
              <w:snapToGrid w:val="0"/>
              <w:spacing w:line="240" w:lineRule="auto"/>
              <w:ind w:firstLine="0" w:firstLineChars="0"/>
              <w:jc w:val="center"/>
              <w:rPr>
                <w:rFonts w:cs="宋体"/>
                <w:kern w:val="0"/>
                <w:sz w:val="21"/>
                <w:szCs w:val="21"/>
              </w:rPr>
            </w:pPr>
            <w:r>
              <w:rPr>
                <w:rFonts w:hint="eastAsia" w:cs="宋体"/>
                <w:kern w:val="0"/>
                <w:sz w:val="21"/>
                <w:szCs w:val="21"/>
              </w:rPr>
              <w:t>2.0</w:t>
            </w:r>
          </w:p>
        </w:tc>
        <w:tc>
          <w:tcPr>
            <w:tcW w:w="0" w:type="auto"/>
            <w:tcBorders>
              <w:tl2br w:val="nil"/>
              <w:tr2bl w:val="nil"/>
            </w:tcBorders>
            <w:vAlign w:val="center"/>
          </w:tcPr>
          <w:p w14:paraId="60A7BAFA">
            <w:pPr>
              <w:snapToGrid w:val="0"/>
              <w:spacing w:line="240" w:lineRule="auto"/>
              <w:ind w:firstLine="0" w:firstLineChars="0"/>
              <w:jc w:val="center"/>
              <w:rPr>
                <w:rFonts w:cs="宋体"/>
                <w:kern w:val="0"/>
                <w:sz w:val="21"/>
                <w:szCs w:val="21"/>
              </w:rPr>
            </w:pPr>
            <w:r>
              <w:rPr>
                <w:rFonts w:hint="eastAsia" w:cs="宋体"/>
                <w:kern w:val="0"/>
                <w:sz w:val="21"/>
                <w:szCs w:val="21"/>
              </w:rPr>
              <w:t>4.0</w:t>
            </w:r>
          </w:p>
        </w:tc>
        <w:tc>
          <w:tcPr>
            <w:tcW w:w="0" w:type="auto"/>
            <w:tcBorders>
              <w:tl2br w:val="nil"/>
              <w:tr2bl w:val="nil"/>
            </w:tcBorders>
            <w:vAlign w:val="center"/>
          </w:tcPr>
          <w:p w14:paraId="24250A6A">
            <w:pPr>
              <w:snapToGrid w:val="0"/>
              <w:spacing w:line="240" w:lineRule="auto"/>
              <w:ind w:firstLine="0" w:firstLineChars="0"/>
              <w:jc w:val="center"/>
              <w:rPr>
                <w:rFonts w:cs="宋体"/>
                <w:kern w:val="0"/>
                <w:sz w:val="21"/>
                <w:szCs w:val="21"/>
              </w:rPr>
            </w:pPr>
            <w:r>
              <w:rPr>
                <w:rFonts w:hint="eastAsia"/>
              </w:rPr>
              <w:t>-</w:t>
            </w:r>
          </w:p>
        </w:tc>
        <w:tc>
          <w:tcPr>
            <w:tcW w:w="0" w:type="auto"/>
            <w:tcBorders>
              <w:tl2br w:val="nil"/>
              <w:tr2bl w:val="nil"/>
            </w:tcBorders>
            <w:vAlign w:val="center"/>
          </w:tcPr>
          <w:p w14:paraId="67DED82E">
            <w:pPr>
              <w:snapToGrid w:val="0"/>
              <w:spacing w:line="240" w:lineRule="auto"/>
              <w:ind w:firstLine="0" w:firstLineChars="0"/>
              <w:jc w:val="center"/>
              <w:rPr>
                <w:rFonts w:cs="宋体"/>
                <w:kern w:val="0"/>
                <w:sz w:val="21"/>
                <w:szCs w:val="21"/>
              </w:rPr>
            </w:pPr>
            <w:r>
              <w:rPr>
                <w:rFonts w:hint="eastAsia"/>
              </w:rPr>
              <w:t>-</w:t>
            </w:r>
          </w:p>
        </w:tc>
        <w:tc>
          <w:tcPr>
            <w:tcW w:w="0" w:type="auto"/>
            <w:tcBorders>
              <w:tl2br w:val="nil"/>
              <w:tr2bl w:val="nil"/>
            </w:tcBorders>
            <w:vAlign w:val="center"/>
          </w:tcPr>
          <w:p w14:paraId="4C6F354E">
            <w:pPr>
              <w:snapToGrid w:val="0"/>
              <w:spacing w:line="240" w:lineRule="auto"/>
              <w:ind w:firstLine="0" w:firstLineChars="0"/>
              <w:jc w:val="center"/>
              <w:rPr>
                <w:rFonts w:cs="宋体"/>
                <w:kern w:val="0"/>
                <w:sz w:val="21"/>
                <w:szCs w:val="21"/>
              </w:rPr>
            </w:pPr>
            <w:r>
              <w:rPr>
                <w:rFonts w:hint="eastAsia"/>
              </w:rPr>
              <w:t>-</w:t>
            </w:r>
          </w:p>
        </w:tc>
      </w:tr>
      <w:tr w14:paraId="5CFA9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tcBorders>
              <w:tl2br w:val="nil"/>
              <w:tr2bl w:val="nil"/>
            </w:tcBorders>
            <w:vAlign w:val="center"/>
          </w:tcPr>
          <w:p w14:paraId="587A762B">
            <w:pPr>
              <w:snapToGrid w:val="0"/>
              <w:spacing w:line="240" w:lineRule="auto"/>
              <w:ind w:firstLine="0" w:firstLineChars="0"/>
              <w:jc w:val="center"/>
              <w:rPr>
                <w:rFonts w:cs="宋体"/>
                <w:kern w:val="0"/>
                <w:sz w:val="21"/>
                <w:szCs w:val="21"/>
              </w:rPr>
            </w:pPr>
            <w:r>
              <w:rPr>
                <w:rFonts w:hint="eastAsia" w:cs="宋体"/>
                <w:kern w:val="0"/>
                <w:sz w:val="21"/>
                <w:szCs w:val="21"/>
              </w:rPr>
              <w:t>水不溶物的质量分数/%     ≦</w:t>
            </w:r>
          </w:p>
        </w:tc>
        <w:tc>
          <w:tcPr>
            <w:tcW w:w="0" w:type="auto"/>
            <w:tcBorders>
              <w:tl2br w:val="nil"/>
              <w:tr2bl w:val="nil"/>
            </w:tcBorders>
            <w:vAlign w:val="center"/>
          </w:tcPr>
          <w:p w14:paraId="62EB8EBC">
            <w:pPr>
              <w:snapToGrid w:val="0"/>
              <w:spacing w:line="240" w:lineRule="auto"/>
              <w:ind w:firstLine="0" w:firstLineChars="0"/>
              <w:jc w:val="center"/>
              <w:rPr>
                <w:rFonts w:cs="宋体"/>
                <w:kern w:val="0"/>
                <w:sz w:val="21"/>
                <w:szCs w:val="21"/>
              </w:rPr>
            </w:pPr>
            <w:r>
              <w:rPr>
                <w:rFonts w:hint="eastAsia" w:cs="宋体"/>
                <w:kern w:val="0"/>
                <w:sz w:val="21"/>
                <w:szCs w:val="21"/>
              </w:rPr>
              <w:t>0.1</w:t>
            </w:r>
          </w:p>
        </w:tc>
        <w:tc>
          <w:tcPr>
            <w:tcW w:w="0" w:type="auto"/>
            <w:tcBorders>
              <w:tl2br w:val="nil"/>
              <w:tr2bl w:val="nil"/>
            </w:tcBorders>
            <w:vAlign w:val="center"/>
          </w:tcPr>
          <w:p w14:paraId="7625AF1B">
            <w:pPr>
              <w:snapToGrid w:val="0"/>
              <w:spacing w:line="240" w:lineRule="auto"/>
              <w:ind w:firstLine="0" w:firstLineChars="0"/>
              <w:jc w:val="center"/>
              <w:rPr>
                <w:rFonts w:cs="宋体"/>
                <w:kern w:val="0"/>
                <w:sz w:val="21"/>
                <w:szCs w:val="21"/>
              </w:rPr>
            </w:pPr>
            <w:r>
              <w:rPr>
                <w:rFonts w:hint="eastAsia" w:cs="宋体"/>
                <w:kern w:val="0"/>
                <w:sz w:val="21"/>
                <w:szCs w:val="21"/>
              </w:rPr>
              <w:t>0.3</w:t>
            </w:r>
          </w:p>
        </w:tc>
        <w:tc>
          <w:tcPr>
            <w:tcW w:w="0" w:type="auto"/>
            <w:tcBorders>
              <w:tl2br w:val="nil"/>
              <w:tr2bl w:val="nil"/>
            </w:tcBorders>
            <w:vAlign w:val="center"/>
          </w:tcPr>
          <w:p w14:paraId="4C18F86D">
            <w:pPr>
              <w:snapToGrid w:val="0"/>
              <w:spacing w:line="240" w:lineRule="auto"/>
              <w:ind w:firstLine="0" w:firstLineChars="0"/>
              <w:jc w:val="center"/>
              <w:rPr>
                <w:rFonts w:cs="宋体"/>
                <w:kern w:val="0"/>
                <w:sz w:val="21"/>
                <w:szCs w:val="21"/>
              </w:rPr>
            </w:pPr>
            <w:r>
              <w:rPr>
                <w:rFonts w:hint="eastAsia" w:cs="宋体"/>
                <w:kern w:val="0"/>
                <w:sz w:val="21"/>
                <w:szCs w:val="21"/>
              </w:rPr>
              <w:t>0.5</w:t>
            </w:r>
          </w:p>
        </w:tc>
        <w:tc>
          <w:tcPr>
            <w:tcW w:w="0" w:type="auto"/>
            <w:tcBorders>
              <w:tl2br w:val="nil"/>
              <w:tr2bl w:val="nil"/>
            </w:tcBorders>
            <w:vAlign w:val="center"/>
          </w:tcPr>
          <w:p w14:paraId="7C7C3898">
            <w:pPr>
              <w:snapToGrid w:val="0"/>
              <w:spacing w:line="240" w:lineRule="auto"/>
              <w:ind w:firstLine="0" w:firstLineChars="0"/>
              <w:jc w:val="center"/>
              <w:rPr>
                <w:rFonts w:cs="宋体"/>
                <w:kern w:val="0"/>
                <w:sz w:val="21"/>
                <w:szCs w:val="21"/>
              </w:rPr>
            </w:pPr>
            <w:r>
              <w:rPr>
                <w:rFonts w:hint="eastAsia"/>
              </w:rPr>
              <w:t>-</w:t>
            </w:r>
          </w:p>
        </w:tc>
        <w:tc>
          <w:tcPr>
            <w:tcW w:w="0" w:type="auto"/>
            <w:tcBorders>
              <w:tl2br w:val="nil"/>
              <w:tr2bl w:val="nil"/>
            </w:tcBorders>
            <w:vAlign w:val="center"/>
          </w:tcPr>
          <w:p w14:paraId="54979DA7">
            <w:pPr>
              <w:snapToGrid w:val="0"/>
              <w:spacing w:line="240" w:lineRule="auto"/>
              <w:ind w:firstLine="0" w:firstLineChars="0"/>
              <w:jc w:val="center"/>
              <w:rPr>
                <w:rFonts w:cs="宋体"/>
                <w:kern w:val="0"/>
                <w:sz w:val="21"/>
                <w:szCs w:val="21"/>
              </w:rPr>
            </w:pPr>
            <w:r>
              <w:rPr>
                <w:rFonts w:hint="eastAsia"/>
              </w:rPr>
              <w:t>-</w:t>
            </w:r>
          </w:p>
        </w:tc>
        <w:tc>
          <w:tcPr>
            <w:tcW w:w="0" w:type="auto"/>
            <w:tcBorders>
              <w:tl2br w:val="nil"/>
              <w:tr2bl w:val="nil"/>
            </w:tcBorders>
            <w:vAlign w:val="center"/>
          </w:tcPr>
          <w:p w14:paraId="69F9946D">
            <w:pPr>
              <w:snapToGrid w:val="0"/>
              <w:spacing w:line="240" w:lineRule="auto"/>
              <w:ind w:firstLine="0" w:firstLineChars="0"/>
              <w:jc w:val="center"/>
              <w:rPr>
                <w:rFonts w:cs="宋体"/>
                <w:kern w:val="0"/>
                <w:sz w:val="21"/>
                <w:szCs w:val="21"/>
              </w:rPr>
            </w:pPr>
            <w:r>
              <w:rPr>
                <w:rFonts w:hint="eastAsia"/>
              </w:rPr>
              <w:t>-</w:t>
            </w:r>
          </w:p>
        </w:tc>
      </w:tr>
      <w:tr w14:paraId="5DE1D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gridSpan w:val="7"/>
            <w:tcBorders>
              <w:tl2br w:val="nil"/>
              <w:tr2bl w:val="nil"/>
            </w:tcBorders>
            <w:vAlign w:val="center"/>
          </w:tcPr>
          <w:p w14:paraId="4341732B">
            <w:pPr>
              <w:snapToGrid w:val="0"/>
              <w:spacing w:line="240" w:lineRule="auto"/>
              <w:ind w:firstLine="0" w:firstLineChars="0"/>
              <w:rPr>
                <w:rFonts w:cs="宋体"/>
                <w:kern w:val="0"/>
                <w:sz w:val="21"/>
                <w:szCs w:val="21"/>
              </w:rPr>
            </w:pPr>
            <w:r>
              <w:rPr>
                <w:rFonts w:hint="eastAsia" w:cs="宋体"/>
                <w:kern w:val="0"/>
                <w:sz w:val="21"/>
                <w:szCs w:val="21"/>
              </w:rPr>
              <w:t>注1：除水分外，各组分质量分数均以干基计。</w:t>
            </w:r>
          </w:p>
          <w:p w14:paraId="06CC9E82">
            <w:pPr>
              <w:snapToGrid w:val="0"/>
              <w:spacing w:line="240" w:lineRule="auto"/>
              <w:ind w:firstLine="0" w:firstLineChars="0"/>
              <w:rPr>
                <w:rFonts w:cs="宋体"/>
                <w:kern w:val="0"/>
                <w:sz w:val="21"/>
                <w:szCs w:val="21"/>
              </w:rPr>
            </w:pPr>
            <w:r>
              <w:rPr>
                <w:rFonts w:hint="eastAsia" w:cs="宋体"/>
                <w:kern w:val="0"/>
                <w:sz w:val="21"/>
                <w:szCs w:val="21"/>
              </w:rPr>
              <w:t>注2：Ⅰ类中钙镁含量、氯化钠及水不溶物的质量分数作为工业用氯化钾推荐指标，农业用不限量。</w:t>
            </w:r>
          </w:p>
        </w:tc>
      </w:tr>
    </w:tbl>
    <w:p w14:paraId="1F69D0D9">
      <w:pPr>
        <w:spacing w:line="240" w:lineRule="auto"/>
        <w:ind w:firstLine="0" w:firstLineChars="0"/>
      </w:pPr>
    </w:p>
    <w:p w14:paraId="6A5EC13D">
      <w:pPr>
        <w:pStyle w:val="6"/>
        <w:numPr>
          <w:ilvl w:val="4"/>
          <w:numId w:val="0"/>
        </w:numPr>
        <w:ind w:leftChars="200"/>
        <w:rPr>
          <w:rFonts w:hint="default" w:ascii="Times New Roman" w:hAnsi="Times New Roman" w:eastAsia="宋体"/>
          <w:lang w:val="en-US" w:eastAsia="zh-CN"/>
        </w:rPr>
      </w:pPr>
      <w:r>
        <w:rPr>
          <w:rFonts w:hint="eastAsia"/>
          <w:lang w:val="en-US" w:eastAsia="zh-CN"/>
        </w:rPr>
        <w:t>3、</w:t>
      </w:r>
      <w:r>
        <w:rPr>
          <w:rFonts w:hint="eastAsia" w:ascii="Times New Roman" w:hAnsi="Times New Roman" w:eastAsia="宋体"/>
          <w:lang w:val="en-US" w:eastAsia="zh-CN"/>
        </w:rPr>
        <w:t>碳酸锂规格</w:t>
      </w:r>
    </w:p>
    <w:p w14:paraId="01FB300B">
      <w:pPr>
        <w:rPr>
          <w:rFonts w:hint="default"/>
          <w:lang w:val="en-US" w:eastAsia="zh-CN"/>
        </w:rPr>
      </w:pPr>
      <w:r>
        <w:rPr>
          <w:rFonts w:hint="default"/>
          <w:lang w:val="en-US" w:eastAsia="zh-CN"/>
        </w:rPr>
        <w:t>本项目生产原料</w:t>
      </w:r>
      <w:r>
        <w:rPr>
          <w:rFonts w:hint="eastAsia"/>
          <w:lang w:val="en-US" w:eastAsia="zh-CN"/>
        </w:rPr>
        <w:t>碳酸锂</w:t>
      </w:r>
      <w:r>
        <w:rPr>
          <w:rFonts w:hint="default"/>
          <w:lang w:val="en-US" w:eastAsia="zh-CN"/>
        </w:rPr>
        <w:t>符合国家标准《</w:t>
      </w:r>
      <w:r>
        <w:rPr>
          <w:rFonts w:hint="eastAsia"/>
          <w:lang w:val="en-US" w:eastAsia="zh-CN"/>
        </w:rPr>
        <w:t>碳酸锂</w:t>
      </w:r>
      <w:r>
        <w:rPr>
          <w:rFonts w:hint="default"/>
          <w:lang w:val="en-US" w:eastAsia="zh-CN"/>
        </w:rPr>
        <w:t>》（GB/T 11075-2013），其具体指标见下表。</w:t>
      </w:r>
    </w:p>
    <w:p w14:paraId="65D37D26">
      <w:pPr>
        <w:pStyle w:val="43"/>
        <w:rPr>
          <w:rFonts w:hint="default"/>
        </w:rPr>
      </w:pPr>
      <w:r>
        <w:rPr>
          <w:rFonts w:hint="eastAsia"/>
          <w:lang w:val="en-US" w:eastAsia="zh-CN"/>
        </w:rPr>
        <w:t>碳酸锂标准</w:t>
      </w:r>
    </w:p>
    <w:tbl>
      <w:tblPr>
        <w:tblStyle w:val="3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1"/>
        <w:gridCol w:w="1386"/>
        <w:gridCol w:w="1386"/>
        <w:gridCol w:w="1387"/>
      </w:tblGrid>
      <w:tr w14:paraId="44611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2559" w:type="pct"/>
            <w:vMerge w:val="restart"/>
            <w:shd w:val="clear" w:color="auto" w:fill="auto"/>
            <w:vAlign w:val="center"/>
          </w:tcPr>
          <w:p w14:paraId="44BC4DF8">
            <w:pPr>
              <w:pStyle w:val="45"/>
              <w:rPr>
                <w:rFonts w:hint="default" w:eastAsia="宋体"/>
                <w:b/>
                <w:bCs/>
                <w:lang w:val="en-US" w:eastAsia="zh-CN"/>
              </w:rPr>
            </w:pPr>
            <w:r>
              <w:rPr>
                <w:rFonts w:hint="eastAsia"/>
                <w:b/>
                <w:bCs/>
                <w:lang w:val="en-US" w:eastAsia="zh-CN"/>
              </w:rPr>
              <w:t>化学成分</w:t>
            </w:r>
          </w:p>
        </w:tc>
        <w:tc>
          <w:tcPr>
            <w:tcW w:w="2440" w:type="pct"/>
            <w:gridSpan w:val="3"/>
            <w:vMerge w:val="restart"/>
            <w:shd w:val="clear" w:color="auto" w:fill="auto"/>
            <w:vAlign w:val="center"/>
          </w:tcPr>
          <w:p w14:paraId="4F5B2A34">
            <w:pPr>
              <w:pStyle w:val="45"/>
              <w:rPr>
                <w:rFonts w:hint="default" w:eastAsia="宋体"/>
                <w:b/>
                <w:bCs/>
                <w:lang w:val="en-US" w:eastAsia="zh-CN"/>
              </w:rPr>
            </w:pPr>
            <w:r>
              <w:rPr>
                <w:rFonts w:hint="eastAsia"/>
                <w:b/>
                <w:bCs/>
                <w:lang w:val="en-US" w:eastAsia="zh-CN"/>
              </w:rPr>
              <w:t>产品牌号</w:t>
            </w:r>
          </w:p>
        </w:tc>
      </w:tr>
      <w:tr w14:paraId="1F8E0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2559" w:type="pct"/>
            <w:vMerge w:val="continue"/>
            <w:shd w:val="clear" w:color="auto" w:fill="auto"/>
            <w:vAlign w:val="center"/>
          </w:tcPr>
          <w:p w14:paraId="75FD63D4">
            <w:pPr>
              <w:pStyle w:val="45"/>
              <w:rPr>
                <w:rFonts w:hint="default"/>
                <w:b/>
                <w:bCs/>
              </w:rPr>
            </w:pPr>
          </w:p>
        </w:tc>
        <w:tc>
          <w:tcPr>
            <w:tcW w:w="2440" w:type="pct"/>
            <w:gridSpan w:val="3"/>
            <w:vMerge w:val="continue"/>
            <w:shd w:val="clear" w:color="auto" w:fill="auto"/>
            <w:vAlign w:val="center"/>
          </w:tcPr>
          <w:p w14:paraId="1BF32126">
            <w:pPr>
              <w:pStyle w:val="45"/>
              <w:rPr>
                <w:rFonts w:hint="default"/>
                <w:b/>
                <w:bCs/>
              </w:rPr>
            </w:pPr>
          </w:p>
        </w:tc>
      </w:tr>
      <w:tr w14:paraId="195F2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trPr>
        <w:tc>
          <w:tcPr>
            <w:tcW w:w="2559" w:type="pct"/>
            <w:vMerge w:val="continue"/>
            <w:shd w:val="clear" w:color="auto" w:fill="auto"/>
            <w:vAlign w:val="center"/>
          </w:tcPr>
          <w:p w14:paraId="60B2D4AD">
            <w:pPr>
              <w:pStyle w:val="45"/>
              <w:rPr>
                <w:rFonts w:hint="default"/>
                <w:b/>
                <w:bCs/>
              </w:rPr>
            </w:pPr>
          </w:p>
        </w:tc>
        <w:tc>
          <w:tcPr>
            <w:tcW w:w="813" w:type="pct"/>
            <w:shd w:val="clear" w:color="auto" w:fill="auto"/>
            <w:vAlign w:val="center"/>
          </w:tcPr>
          <w:p w14:paraId="07E36DD2">
            <w:pPr>
              <w:pStyle w:val="45"/>
              <w:rPr>
                <w:rFonts w:hint="default" w:eastAsia="宋体"/>
                <w:b/>
                <w:bCs/>
                <w:lang w:val="en-US" w:eastAsia="zh-CN"/>
              </w:rPr>
            </w:pPr>
            <w:r>
              <w:rPr>
                <w:rFonts w:hint="eastAsia"/>
                <w:b/>
                <w:bCs/>
                <w:lang w:val="en-US" w:eastAsia="zh-CN"/>
              </w:rPr>
              <w:t>Li</w:t>
            </w:r>
            <w:r>
              <w:rPr>
                <w:rFonts w:hint="eastAsia"/>
                <w:b/>
                <w:bCs/>
                <w:vertAlign w:val="subscript"/>
                <w:lang w:val="en-US" w:eastAsia="zh-CN"/>
              </w:rPr>
              <w:t>2</w:t>
            </w:r>
            <w:r>
              <w:rPr>
                <w:rFonts w:hint="eastAsia"/>
                <w:b/>
                <w:bCs/>
                <w:lang w:val="en-US" w:eastAsia="zh-CN"/>
              </w:rPr>
              <w:t>CO</w:t>
            </w:r>
            <w:r>
              <w:rPr>
                <w:rFonts w:hint="eastAsia"/>
                <w:b/>
                <w:bCs/>
                <w:vertAlign w:val="subscript"/>
                <w:lang w:val="en-US" w:eastAsia="zh-CN"/>
              </w:rPr>
              <w:t>3</w:t>
            </w:r>
            <w:r>
              <w:rPr>
                <w:rFonts w:hint="eastAsia"/>
                <w:b/>
                <w:bCs/>
                <w:lang w:val="en-US" w:eastAsia="zh-CN"/>
              </w:rPr>
              <w:t>-0</w:t>
            </w:r>
          </w:p>
        </w:tc>
        <w:tc>
          <w:tcPr>
            <w:tcW w:w="813" w:type="pct"/>
            <w:shd w:val="clear" w:color="auto" w:fill="auto"/>
            <w:vAlign w:val="center"/>
          </w:tcPr>
          <w:p w14:paraId="478EEEFB">
            <w:pPr>
              <w:pStyle w:val="45"/>
              <w:rPr>
                <w:rFonts w:hint="default"/>
                <w:b/>
                <w:bCs/>
                <w:lang w:val="en-US"/>
              </w:rPr>
            </w:pPr>
            <w:r>
              <w:rPr>
                <w:rFonts w:hint="eastAsia"/>
                <w:b/>
                <w:bCs/>
                <w:lang w:val="en-US" w:eastAsia="zh-CN"/>
              </w:rPr>
              <w:t>Li</w:t>
            </w:r>
            <w:r>
              <w:rPr>
                <w:rFonts w:hint="eastAsia"/>
                <w:b/>
                <w:bCs/>
                <w:vertAlign w:val="subscript"/>
                <w:lang w:val="en-US" w:eastAsia="zh-CN"/>
              </w:rPr>
              <w:t>2</w:t>
            </w:r>
            <w:r>
              <w:rPr>
                <w:rFonts w:hint="eastAsia"/>
                <w:b/>
                <w:bCs/>
                <w:lang w:val="en-US" w:eastAsia="zh-CN"/>
              </w:rPr>
              <w:t>CO</w:t>
            </w:r>
            <w:r>
              <w:rPr>
                <w:rFonts w:hint="eastAsia"/>
                <w:b/>
                <w:bCs/>
                <w:vertAlign w:val="subscript"/>
                <w:lang w:val="en-US" w:eastAsia="zh-CN"/>
              </w:rPr>
              <w:t>3</w:t>
            </w:r>
            <w:r>
              <w:rPr>
                <w:rFonts w:hint="eastAsia"/>
                <w:b/>
                <w:bCs/>
                <w:lang w:val="en-US" w:eastAsia="zh-CN"/>
              </w:rPr>
              <w:t>-1</w:t>
            </w:r>
          </w:p>
        </w:tc>
        <w:tc>
          <w:tcPr>
            <w:tcW w:w="813" w:type="pct"/>
            <w:shd w:val="clear" w:color="auto" w:fill="auto"/>
            <w:vAlign w:val="center"/>
          </w:tcPr>
          <w:p w14:paraId="4004176A">
            <w:pPr>
              <w:pStyle w:val="45"/>
              <w:rPr>
                <w:rFonts w:hint="default"/>
                <w:b/>
                <w:bCs/>
                <w:lang w:val="en-US"/>
              </w:rPr>
            </w:pPr>
            <w:r>
              <w:rPr>
                <w:rFonts w:hint="eastAsia"/>
                <w:b/>
                <w:bCs/>
                <w:lang w:val="en-US" w:eastAsia="zh-CN"/>
              </w:rPr>
              <w:t>Li</w:t>
            </w:r>
            <w:r>
              <w:rPr>
                <w:rFonts w:hint="eastAsia"/>
                <w:b/>
                <w:bCs/>
                <w:vertAlign w:val="subscript"/>
                <w:lang w:val="en-US" w:eastAsia="zh-CN"/>
              </w:rPr>
              <w:t>2</w:t>
            </w:r>
            <w:r>
              <w:rPr>
                <w:rFonts w:hint="eastAsia"/>
                <w:b/>
                <w:bCs/>
                <w:lang w:val="en-US" w:eastAsia="zh-CN"/>
              </w:rPr>
              <w:t>CO</w:t>
            </w:r>
            <w:r>
              <w:rPr>
                <w:rFonts w:hint="eastAsia"/>
                <w:b/>
                <w:bCs/>
                <w:vertAlign w:val="subscript"/>
                <w:lang w:val="en-US" w:eastAsia="zh-CN"/>
              </w:rPr>
              <w:t>3</w:t>
            </w:r>
            <w:r>
              <w:rPr>
                <w:rFonts w:hint="eastAsia"/>
                <w:b/>
                <w:bCs/>
                <w:lang w:val="en-US" w:eastAsia="zh-CN"/>
              </w:rPr>
              <w:t>-2</w:t>
            </w:r>
          </w:p>
        </w:tc>
      </w:tr>
      <w:tr w14:paraId="7E065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559" w:type="pct"/>
            <w:shd w:val="clear" w:color="auto" w:fill="auto"/>
            <w:vAlign w:val="center"/>
          </w:tcPr>
          <w:p w14:paraId="69EB0E4D">
            <w:pPr>
              <w:pStyle w:val="45"/>
              <w:rPr>
                <w:rFonts w:hint="default"/>
              </w:rPr>
            </w:pPr>
            <w:r>
              <w:rPr>
                <w:rFonts w:hint="eastAsia"/>
                <w:b/>
                <w:bCs/>
                <w:lang w:val="en-US" w:eastAsia="zh-CN"/>
              </w:rPr>
              <w:t>Li</w:t>
            </w:r>
            <w:r>
              <w:rPr>
                <w:rFonts w:hint="eastAsia"/>
                <w:b/>
                <w:bCs/>
                <w:vertAlign w:val="subscript"/>
                <w:lang w:val="en-US" w:eastAsia="zh-CN"/>
              </w:rPr>
              <w:t>2</w:t>
            </w:r>
            <w:r>
              <w:rPr>
                <w:rFonts w:hint="eastAsia"/>
                <w:b/>
                <w:bCs/>
                <w:lang w:val="en-US" w:eastAsia="zh-CN"/>
              </w:rPr>
              <w:t>CO</w:t>
            </w:r>
            <w:r>
              <w:rPr>
                <w:rFonts w:hint="eastAsia"/>
                <w:b/>
                <w:bCs/>
                <w:vertAlign w:val="subscript"/>
                <w:lang w:val="en-US" w:eastAsia="zh-CN"/>
              </w:rPr>
              <w:t>3</w:t>
            </w:r>
            <w:r>
              <w:rPr>
                <w:rFonts w:hint="eastAsia"/>
                <w:b/>
                <w:bCs/>
                <w:lang w:val="en-US" w:eastAsia="zh-CN"/>
              </w:rPr>
              <w:t>主含量（质量分数）/%</w:t>
            </w:r>
            <w:r>
              <w:t>≥</w:t>
            </w:r>
          </w:p>
        </w:tc>
        <w:tc>
          <w:tcPr>
            <w:tcW w:w="813" w:type="pct"/>
            <w:shd w:val="clear" w:color="auto" w:fill="auto"/>
            <w:vAlign w:val="center"/>
          </w:tcPr>
          <w:p w14:paraId="0FF1D2B5">
            <w:pPr>
              <w:pStyle w:val="45"/>
              <w:rPr>
                <w:rFonts w:hint="default" w:eastAsia="宋体"/>
                <w:lang w:val="en-US" w:eastAsia="zh-CN"/>
              </w:rPr>
            </w:pPr>
            <w:r>
              <w:rPr>
                <w:rFonts w:hint="eastAsia"/>
                <w:lang w:val="en-US" w:eastAsia="zh-CN"/>
              </w:rPr>
              <w:t>99.2</w:t>
            </w:r>
          </w:p>
        </w:tc>
        <w:tc>
          <w:tcPr>
            <w:tcW w:w="813" w:type="pct"/>
            <w:shd w:val="clear" w:color="auto" w:fill="auto"/>
            <w:vAlign w:val="center"/>
          </w:tcPr>
          <w:p w14:paraId="6CA11625">
            <w:pPr>
              <w:pStyle w:val="45"/>
              <w:rPr>
                <w:rFonts w:hint="default" w:eastAsia="宋体"/>
                <w:lang w:val="en-US" w:eastAsia="zh-CN"/>
              </w:rPr>
            </w:pPr>
            <w:r>
              <w:rPr>
                <w:rFonts w:hint="eastAsia"/>
                <w:lang w:val="en-US" w:eastAsia="zh-CN"/>
              </w:rPr>
              <w:t>99.0</w:t>
            </w:r>
          </w:p>
        </w:tc>
        <w:tc>
          <w:tcPr>
            <w:tcW w:w="813" w:type="pct"/>
            <w:shd w:val="clear" w:color="auto" w:fill="auto"/>
            <w:vAlign w:val="center"/>
          </w:tcPr>
          <w:p w14:paraId="307224E7">
            <w:pPr>
              <w:pStyle w:val="45"/>
              <w:rPr>
                <w:rFonts w:hint="default" w:eastAsia="宋体"/>
                <w:lang w:val="en-US" w:eastAsia="zh-CN"/>
              </w:rPr>
            </w:pPr>
            <w:r>
              <w:rPr>
                <w:rFonts w:hint="eastAsia"/>
                <w:lang w:val="en-US" w:eastAsia="zh-CN"/>
              </w:rPr>
              <w:t>98.5</w:t>
            </w:r>
          </w:p>
        </w:tc>
      </w:tr>
      <w:tr w14:paraId="46B44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559" w:type="pct"/>
            <w:shd w:val="clear" w:color="auto" w:fill="auto"/>
            <w:vAlign w:val="center"/>
          </w:tcPr>
          <w:p w14:paraId="61999E66">
            <w:pPr>
              <w:pStyle w:val="45"/>
              <w:rPr>
                <w:rFonts w:hint="default"/>
              </w:rPr>
            </w:pPr>
            <w:r>
              <w:t>水分</w:t>
            </w:r>
            <w:r>
              <w:rPr>
                <w:rFonts w:hint="eastAsia"/>
                <w:lang w:val="en-US" w:eastAsia="zh-CN"/>
              </w:rPr>
              <w:t>/%</w:t>
            </w:r>
            <w:r>
              <w:t>≤</w:t>
            </w:r>
          </w:p>
        </w:tc>
        <w:tc>
          <w:tcPr>
            <w:tcW w:w="813" w:type="pct"/>
            <w:shd w:val="clear" w:color="auto" w:fill="auto"/>
            <w:vAlign w:val="center"/>
          </w:tcPr>
          <w:p w14:paraId="575B4550">
            <w:pPr>
              <w:pStyle w:val="45"/>
              <w:rPr>
                <w:rFonts w:hint="default" w:eastAsia="宋体"/>
                <w:lang w:val="en-US" w:eastAsia="zh-CN"/>
              </w:rPr>
            </w:pPr>
            <w:r>
              <w:rPr>
                <w:rFonts w:hint="eastAsia"/>
                <w:lang w:val="en-US" w:eastAsia="zh-CN"/>
              </w:rPr>
              <w:t>0.3</w:t>
            </w:r>
          </w:p>
        </w:tc>
        <w:tc>
          <w:tcPr>
            <w:tcW w:w="813" w:type="pct"/>
            <w:shd w:val="clear" w:color="auto" w:fill="auto"/>
            <w:vAlign w:val="center"/>
          </w:tcPr>
          <w:p w14:paraId="3E59FECE">
            <w:pPr>
              <w:pStyle w:val="45"/>
              <w:rPr>
                <w:rFonts w:hint="default" w:eastAsia="宋体"/>
                <w:lang w:val="en-US" w:eastAsia="zh-CN"/>
              </w:rPr>
            </w:pPr>
            <w:r>
              <w:rPr>
                <w:rFonts w:hint="eastAsia"/>
                <w:lang w:val="en-US" w:eastAsia="zh-CN"/>
              </w:rPr>
              <w:t>0.3</w:t>
            </w:r>
          </w:p>
        </w:tc>
        <w:tc>
          <w:tcPr>
            <w:tcW w:w="813" w:type="pct"/>
            <w:shd w:val="clear" w:color="auto" w:fill="auto"/>
            <w:vAlign w:val="center"/>
          </w:tcPr>
          <w:p w14:paraId="0DF7C753">
            <w:pPr>
              <w:pStyle w:val="45"/>
              <w:rPr>
                <w:rFonts w:hint="default" w:eastAsia="宋体"/>
                <w:lang w:val="en-US" w:eastAsia="zh-CN"/>
              </w:rPr>
            </w:pPr>
            <w:r>
              <w:rPr>
                <w:rFonts w:hint="eastAsia"/>
                <w:lang w:val="en-US" w:eastAsia="zh-CN"/>
              </w:rPr>
              <w:t>0.5</w:t>
            </w:r>
          </w:p>
        </w:tc>
      </w:tr>
      <w:tr w14:paraId="0D4C5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559" w:type="pct"/>
            <w:shd w:val="clear" w:color="auto" w:fill="auto"/>
            <w:vAlign w:val="center"/>
          </w:tcPr>
          <w:p w14:paraId="3DD481DA">
            <w:pPr>
              <w:pStyle w:val="45"/>
              <w:rPr>
                <w:rFonts w:hint="default"/>
              </w:rPr>
            </w:pPr>
            <w:r>
              <w:rPr>
                <w:rFonts w:hint="eastAsia"/>
                <w:lang w:val="en-US" w:eastAsia="zh-CN"/>
              </w:rPr>
              <w:t>Na</w:t>
            </w:r>
            <w:r>
              <w:rPr>
                <w:rFonts w:hint="eastAsia"/>
                <w:b/>
                <w:bCs/>
                <w:lang w:val="en-US" w:eastAsia="zh-CN"/>
              </w:rPr>
              <w:t>（质量分数）/%</w:t>
            </w:r>
            <w:r>
              <w:t>≤</w:t>
            </w:r>
          </w:p>
        </w:tc>
        <w:tc>
          <w:tcPr>
            <w:tcW w:w="813" w:type="pct"/>
            <w:shd w:val="clear" w:color="auto" w:fill="auto"/>
            <w:vAlign w:val="center"/>
          </w:tcPr>
          <w:p w14:paraId="78CEC081">
            <w:pPr>
              <w:pStyle w:val="45"/>
              <w:rPr>
                <w:rFonts w:hint="default" w:eastAsia="宋体"/>
                <w:lang w:val="en-US" w:eastAsia="zh-CN"/>
              </w:rPr>
            </w:pPr>
            <w:r>
              <w:rPr>
                <w:rFonts w:hint="eastAsia"/>
                <w:lang w:val="en-US" w:eastAsia="zh-CN"/>
              </w:rPr>
              <w:t>0.08</w:t>
            </w:r>
          </w:p>
        </w:tc>
        <w:tc>
          <w:tcPr>
            <w:tcW w:w="813" w:type="pct"/>
            <w:shd w:val="clear" w:color="auto" w:fill="auto"/>
            <w:vAlign w:val="center"/>
          </w:tcPr>
          <w:p w14:paraId="45E00290">
            <w:pPr>
              <w:pStyle w:val="45"/>
              <w:rPr>
                <w:rFonts w:hint="default" w:eastAsia="宋体"/>
                <w:lang w:val="en-US" w:eastAsia="zh-CN"/>
              </w:rPr>
            </w:pPr>
            <w:r>
              <w:rPr>
                <w:rFonts w:hint="eastAsia"/>
                <w:lang w:val="en-US" w:eastAsia="zh-CN"/>
              </w:rPr>
              <w:t>0.15</w:t>
            </w:r>
          </w:p>
        </w:tc>
        <w:tc>
          <w:tcPr>
            <w:tcW w:w="813" w:type="pct"/>
            <w:shd w:val="clear" w:color="auto" w:fill="auto"/>
            <w:vAlign w:val="center"/>
          </w:tcPr>
          <w:p w14:paraId="4863F6F0">
            <w:pPr>
              <w:pStyle w:val="45"/>
              <w:rPr>
                <w:rFonts w:hint="default" w:eastAsia="宋体"/>
                <w:lang w:val="en-US" w:eastAsia="zh-CN"/>
              </w:rPr>
            </w:pPr>
            <w:r>
              <w:rPr>
                <w:rFonts w:hint="eastAsia"/>
                <w:lang w:val="en-US" w:eastAsia="zh-CN"/>
              </w:rPr>
              <w:t>0.20</w:t>
            </w:r>
          </w:p>
        </w:tc>
      </w:tr>
      <w:tr w14:paraId="5A919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559" w:type="pct"/>
            <w:shd w:val="clear" w:color="auto" w:fill="auto"/>
            <w:vAlign w:val="center"/>
          </w:tcPr>
          <w:p w14:paraId="6960B377">
            <w:pPr>
              <w:pStyle w:val="45"/>
              <w:rPr>
                <w:rFonts w:hint="default"/>
              </w:rPr>
            </w:pPr>
            <w:r>
              <w:rPr>
                <w:rFonts w:hint="eastAsia"/>
                <w:lang w:val="en-US" w:eastAsia="zh-CN"/>
              </w:rPr>
              <w:t>Fe</w:t>
            </w:r>
            <w:r>
              <w:rPr>
                <w:rFonts w:hint="eastAsia"/>
                <w:b/>
                <w:bCs/>
                <w:lang w:val="en-US" w:eastAsia="zh-CN"/>
              </w:rPr>
              <w:t>（质量分数）/%</w:t>
            </w:r>
            <w:r>
              <w:t>≤</w:t>
            </w:r>
          </w:p>
        </w:tc>
        <w:tc>
          <w:tcPr>
            <w:tcW w:w="813" w:type="pct"/>
            <w:shd w:val="clear" w:color="auto" w:fill="auto"/>
            <w:vAlign w:val="center"/>
          </w:tcPr>
          <w:p w14:paraId="455F93FE">
            <w:pPr>
              <w:pStyle w:val="45"/>
              <w:rPr>
                <w:rFonts w:hint="default" w:eastAsia="宋体"/>
                <w:lang w:val="en-US" w:eastAsia="zh-CN"/>
              </w:rPr>
            </w:pPr>
            <w:r>
              <w:rPr>
                <w:rFonts w:hint="eastAsia"/>
                <w:lang w:val="en-US" w:eastAsia="zh-CN"/>
              </w:rPr>
              <w:t>0.0020</w:t>
            </w:r>
          </w:p>
        </w:tc>
        <w:tc>
          <w:tcPr>
            <w:tcW w:w="813" w:type="pct"/>
            <w:shd w:val="clear" w:color="auto" w:fill="auto"/>
            <w:vAlign w:val="center"/>
          </w:tcPr>
          <w:p w14:paraId="1D23CFCB">
            <w:pPr>
              <w:pStyle w:val="45"/>
              <w:rPr>
                <w:rFonts w:hint="default" w:eastAsia="宋体"/>
                <w:lang w:val="en-US" w:eastAsia="zh-CN"/>
              </w:rPr>
            </w:pPr>
            <w:r>
              <w:rPr>
                <w:rFonts w:hint="eastAsia"/>
                <w:lang w:val="en-US" w:eastAsia="zh-CN"/>
              </w:rPr>
              <w:t>0.0035</w:t>
            </w:r>
          </w:p>
        </w:tc>
        <w:tc>
          <w:tcPr>
            <w:tcW w:w="813" w:type="pct"/>
            <w:shd w:val="clear" w:color="auto" w:fill="auto"/>
            <w:vAlign w:val="center"/>
          </w:tcPr>
          <w:p w14:paraId="25CF0A86">
            <w:pPr>
              <w:pStyle w:val="45"/>
              <w:rPr>
                <w:rFonts w:hint="default" w:eastAsia="宋体"/>
                <w:lang w:val="en-US" w:eastAsia="zh-CN"/>
              </w:rPr>
            </w:pPr>
            <w:r>
              <w:rPr>
                <w:rFonts w:hint="eastAsia"/>
                <w:lang w:val="en-US" w:eastAsia="zh-CN"/>
              </w:rPr>
              <w:t>0.0070</w:t>
            </w:r>
          </w:p>
        </w:tc>
      </w:tr>
      <w:tr w14:paraId="003A0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559" w:type="pct"/>
            <w:shd w:val="clear" w:color="auto" w:fill="auto"/>
            <w:vAlign w:val="center"/>
          </w:tcPr>
          <w:p w14:paraId="509F7AE1">
            <w:pPr>
              <w:pStyle w:val="45"/>
              <w:rPr>
                <w:rFonts w:hint="default"/>
              </w:rPr>
            </w:pPr>
            <w:r>
              <w:rPr>
                <w:rFonts w:hint="eastAsia"/>
                <w:lang w:val="en-US" w:eastAsia="zh-CN"/>
              </w:rPr>
              <w:t>Ca</w:t>
            </w:r>
            <w:r>
              <w:rPr>
                <w:rFonts w:hint="eastAsia"/>
                <w:b/>
                <w:bCs/>
                <w:lang w:val="en-US" w:eastAsia="zh-CN"/>
              </w:rPr>
              <w:t>（质量分数）/%</w:t>
            </w:r>
            <w:r>
              <w:t>≤</w:t>
            </w:r>
          </w:p>
        </w:tc>
        <w:tc>
          <w:tcPr>
            <w:tcW w:w="813" w:type="pct"/>
            <w:shd w:val="clear" w:color="auto" w:fill="auto"/>
            <w:vAlign w:val="center"/>
          </w:tcPr>
          <w:p w14:paraId="18B7E535">
            <w:pPr>
              <w:pStyle w:val="45"/>
              <w:rPr>
                <w:rFonts w:hint="default" w:eastAsia="宋体"/>
                <w:lang w:val="en-US" w:eastAsia="zh-CN"/>
              </w:rPr>
            </w:pPr>
            <w:r>
              <w:rPr>
                <w:rFonts w:hint="eastAsia"/>
                <w:lang w:val="en-US" w:eastAsia="zh-CN"/>
              </w:rPr>
              <w:t>0.025</w:t>
            </w:r>
          </w:p>
        </w:tc>
        <w:tc>
          <w:tcPr>
            <w:tcW w:w="813" w:type="pct"/>
            <w:shd w:val="clear" w:color="auto" w:fill="auto"/>
            <w:vAlign w:val="center"/>
          </w:tcPr>
          <w:p w14:paraId="1354A186">
            <w:pPr>
              <w:pStyle w:val="45"/>
              <w:rPr>
                <w:rFonts w:hint="default" w:eastAsia="宋体"/>
                <w:lang w:val="en-US" w:eastAsia="zh-CN"/>
              </w:rPr>
            </w:pPr>
            <w:r>
              <w:rPr>
                <w:rFonts w:hint="eastAsia"/>
                <w:lang w:val="en-US" w:eastAsia="zh-CN"/>
              </w:rPr>
              <w:t>0.040</w:t>
            </w:r>
          </w:p>
        </w:tc>
        <w:tc>
          <w:tcPr>
            <w:tcW w:w="813" w:type="pct"/>
            <w:shd w:val="clear" w:color="auto" w:fill="auto"/>
            <w:vAlign w:val="center"/>
          </w:tcPr>
          <w:p w14:paraId="4BBEFBDF">
            <w:pPr>
              <w:pStyle w:val="45"/>
              <w:rPr>
                <w:rFonts w:hint="default" w:eastAsia="宋体"/>
                <w:lang w:val="en-US" w:eastAsia="zh-CN"/>
              </w:rPr>
            </w:pPr>
            <w:r>
              <w:rPr>
                <w:rFonts w:hint="eastAsia"/>
                <w:lang w:val="en-US" w:eastAsia="zh-CN"/>
              </w:rPr>
              <w:t>0.070</w:t>
            </w:r>
          </w:p>
        </w:tc>
      </w:tr>
      <w:tr w14:paraId="64E2C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559" w:type="pct"/>
            <w:shd w:val="clear" w:color="auto" w:fill="auto"/>
            <w:vAlign w:val="center"/>
          </w:tcPr>
          <w:p w14:paraId="54D392DC">
            <w:pPr>
              <w:pStyle w:val="45"/>
              <w:rPr>
                <w:rFonts w:hint="default"/>
                <w:lang w:val="en-US" w:eastAsia="zh-CN"/>
              </w:rPr>
            </w:pPr>
            <w:r>
              <w:rPr>
                <w:rFonts w:hint="eastAsia"/>
                <w:lang w:val="en-US" w:eastAsia="zh-CN"/>
              </w:rPr>
              <w:t>SO</w:t>
            </w:r>
            <w:r>
              <w:rPr>
                <w:rFonts w:hint="eastAsia"/>
                <w:vertAlign w:val="subscript"/>
                <w:lang w:val="en-US" w:eastAsia="zh-CN"/>
              </w:rPr>
              <w:t>4</w:t>
            </w:r>
            <w:r>
              <w:rPr>
                <w:rFonts w:hint="eastAsia"/>
                <w:vertAlign w:val="superscript"/>
                <w:lang w:val="en-US" w:eastAsia="zh-CN"/>
              </w:rPr>
              <w:t>2-</w:t>
            </w:r>
            <w:r>
              <w:rPr>
                <w:rFonts w:hint="eastAsia"/>
                <w:b/>
                <w:bCs/>
                <w:lang w:val="en-US" w:eastAsia="zh-CN"/>
              </w:rPr>
              <w:t>（质量分数）/%</w:t>
            </w:r>
          </w:p>
        </w:tc>
        <w:tc>
          <w:tcPr>
            <w:tcW w:w="813" w:type="pct"/>
            <w:shd w:val="clear" w:color="auto" w:fill="auto"/>
            <w:vAlign w:val="center"/>
          </w:tcPr>
          <w:p w14:paraId="02D8025F">
            <w:pPr>
              <w:pStyle w:val="45"/>
              <w:rPr>
                <w:rFonts w:hint="default" w:eastAsia="宋体"/>
                <w:lang w:val="en-US" w:eastAsia="zh-CN"/>
              </w:rPr>
            </w:pPr>
            <w:r>
              <w:rPr>
                <w:rFonts w:hint="eastAsia"/>
                <w:lang w:val="en-US" w:eastAsia="zh-CN"/>
              </w:rPr>
              <w:t>0.20</w:t>
            </w:r>
          </w:p>
        </w:tc>
        <w:tc>
          <w:tcPr>
            <w:tcW w:w="813" w:type="pct"/>
            <w:shd w:val="clear" w:color="auto" w:fill="auto"/>
            <w:vAlign w:val="center"/>
          </w:tcPr>
          <w:p w14:paraId="635EAE4B">
            <w:pPr>
              <w:pStyle w:val="45"/>
              <w:rPr>
                <w:rFonts w:hint="default" w:eastAsia="宋体"/>
                <w:lang w:val="en-US" w:eastAsia="zh-CN"/>
              </w:rPr>
            </w:pPr>
            <w:r>
              <w:rPr>
                <w:rFonts w:hint="eastAsia"/>
                <w:lang w:val="en-US" w:eastAsia="zh-CN"/>
              </w:rPr>
              <w:t>0.35</w:t>
            </w:r>
          </w:p>
        </w:tc>
        <w:tc>
          <w:tcPr>
            <w:tcW w:w="813" w:type="pct"/>
            <w:shd w:val="clear" w:color="auto" w:fill="auto"/>
            <w:vAlign w:val="center"/>
          </w:tcPr>
          <w:p w14:paraId="594E4445">
            <w:pPr>
              <w:pStyle w:val="45"/>
              <w:rPr>
                <w:rFonts w:hint="default" w:eastAsia="宋体"/>
                <w:lang w:val="en-US" w:eastAsia="zh-CN"/>
              </w:rPr>
            </w:pPr>
            <w:r>
              <w:rPr>
                <w:rFonts w:hint="eastAsia"/>
                <w:lang w:val="en-US" w:eastAsia="zh-CN"/>
              </w:rPr>
              <w:t>0.50</w:t>
            </w:r>
          </w:p>
        </w:tc>
      </w:tr>
      <w:tr w14:paraId="1A96C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559" w:type="pct"/>
            <w:shd w:val="clear" w:color="auto" w:fill="auto"/>
            <w:vAlign w:val="center"/>
          </w:tcPr>
          <w:p w14:paraId="5A45E7C8">
            <w:pPr>
              <w:pStyle w:val="45"/>
              <w:rPr>
                <w:rFonts w:hint="default"/>
                <w:lang w:val="en-US" w:eastAsia="zh-CN"/>
              </w:rPr>
            </w:pPr>
            <w:r>
              <w:rPr>
                <w:rFonts w:hint="eastAsia"/>
                <w:lang w:val="en-US" w:eastAsia="zh-CN"/>
              </w:rPr>
              <w:t>Cl</w:t>
            </w:r>
            <w:r>
              <w:rPr>
                <w:rFonts w:hint="eastAsia"/>
                <w:vertAlign w:val="superscript"/>
                <w:lang w:val="en-US" w:eastAsia="zh-CN"/>
              </w:rPr>
              <w:t>-</w:t>
            </w:r>
            <w:r>
              <w:rPr>
                <w:rFonts w:hint="eastAsia"/>
                <w:b/>
                <w:bCs/>
                <w:lang w:val="en-US" w:eastAsia="zh-CN"/>
              </w:rPr>
              <w:t>（质量分数）/%</w:t>
            </w:r>
          </w:p>
        </w:tc>
        <w:tc>
          <w:tcPr>
            <w:tcW w:w="813" w:type="pct"/>
            <w:shd w:val="clear" w:color="auto" w:fill="auto"/>
            <w:vAlign w:val="center"/>
          </w:tcPr>
          <w:p w14:paraId="74C79796">
            <w:pPr>
              <w:pStyle w:val="45"/>
              <w:rPr>
                <w:rFonts w:hint="default" w:eastAsia="宋体"/>
                <w:lang w:val="en-US" w:eastAsia="zh-CN"/>
              </w:rPr>
            </w:pPr>
            <w:r>
              <w:rPr>
                <w:rFonts w:hint="eastAsia"/>
                <w:lang w:val="en-US" w:eastAsia="zh-CN"/>
              </w:rPr>
              <w:t>0.010</w:t>
            </w:r>
          </w:p>
        </w:tc>
        <w:tc>
          <w:tcPr>
            <w:tcW w:w="813" w:type="pct"/>
            <w:shd w:val="clear" w:color="auto" w:fill="auto"/>
            <w:vAlign w:val="center"/>
          </w:tcPr>
          <w:p w14:paraId="0CB80D44">
            <w:pPr>
              <w:pStyle w:val="45"/>
              <w:rPr>
                <w:rFonts w:hint="default" w:eastAsia="宋体"/>
                <w:lang w:val="en-US" w:eastAsia="zh-CN"/>
              </w:rPr>
            </w:pPr>
            <w:r>
              <w:rPr>
                <w:rFonts w:hint="eastAsia"/>
                <w:lang w:val="en-US" w:eastAsia="zh-CN"/>
              </w:rPr>
              <w:t>0.020</w:t>
            </w:r>
          </w:p>
        </w:tc>
        <w:tc>
          <w:tcPr>
            <w:tcW w:w="813" w:type="pct"/>
            <w:shd w:val="clear" w:color="auto" w:fill="auto"/>
            <w:vAlign w:val="center"/>
          </w:tcPr>
          <w:p w14:paraId="7C00DB47">
            <w:pPr>
              <w:pStyle w:val="45"/>
              <w:rPr>
                <w:rFonts w:hint="default" w:eastAsia="宋体"/>
                <w:lang w:val="en-US" w:eastAsia="zh-CN"/>
              </w:rPr>
            </w:pPr>
            <w:r>
              <w:rPr>
                <w:rFonts w:hint="eastAsia"/>
                <w:lang w:val="en-US" w:eastAsia="zh-CN"/>
              </w:rPr>
              <w:t>0.030</w:t>
            </w:r>
          </w:p>
        </w:tc>
      </w:tr>
      <w:tr w14:paraId="0F31D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559" w:type="pct"/>
            <w:shd w:val="clear" w:color="auto" w:fill="auto"/>
            <w:vAlign w:val="center"/>
          </w:tcPr>
          <w:p w14:paraId="21F69660">
            <w:pPr>
              <w:pStyle w:val="45"/>
              <w:rPr>
                <w:rFonts w:hint="default"/>
                <w:lang w:val="en-US" w:eastAsia="zh-CN"/>
              </w:rPr>
            </w:pPr>
            <w:r>
              <w:rPr>
                <w:rFonts w:hint="eastAsia"/>
                <w:lang w:val="en-US" w:eastAsia="zh-CN"/>
              </w:rPr>
              <w:t>盐酸不溶物</w:t>
            </w:r>
            <w:r>
              <w:rPr>
                <w:rFonts w:hint="eastAsia"/>
                <w:b/>
                <w:bCs/>
                <w:lang w:val="en-US" w:eastAsia="zh-CN"/>
              </w:rPr>
              <w:t>（质量分数）/%</w:t>
            </w:r>
          </w:p>
        </w:tc>
        <w:tc>
          <w:tcPr>
            <w:tcW w:w="813" w:type="pct"/>
            <w:shd w:val="clear" w:color="auto" w:fill="auto"/>
            <w:vAlign w:val="center"/>
          </w:tcPr>
          <w:p w14:paraId="04ECB159">
            <w:pPr>
              <w:pStyle w:val="45"/>
              <w:rPr>
                <w:rFonts w:hint="default" w:eastAsia="宋体"/>
                <w:lang w:val="en-US" w:eastAsia="zh-CN"/>
              </w:rPr>
            </w:pPr>
            <w:r>
              <w:rPr>
                <w:rFonts w:hint="eastAsia"/>
                <w:lang w:val="en-US" w:eastAsia="zh-CN"/>
              </w:rPr>
              <w:t>0.005</w:t>
            </w:r>
          </w:p>
        </w:tc>
        <w:tc>
          <w:tcPr>
            <w:tcW w:w="813" w:type="pct"/>
            <w:shd w:val="clear" w:color="auto" w:fill="auto"/>
            <w:vAlign w:val="center"/>
          </w:tcPr>
          <w:p w14:paraId="7EA20118">
            <w:pPr>
              <w:pStyle w:val="45"/>
              <w:rPr>
                <w:rFonts w:hint="default" w:eastAsia="宋体"/>
                <w:lang w:val="en-US" w:eastAsia="zh-CN"/>
              </w:rPr>
            </w:pPr>
            <w:r>
              <w:rPr>
                <w:rFonts w:hint="eastAsia"/>
                <w:lang w:val="en-US" w:eastAsia="zh-CN"/>
              </w:rPr>
              <w:t>0.015</w:t>
            </w:r>
          </w:p>
        </w:tc>
        <w:tc>
          <w:tcPr>
            <w:tcW w:w="813" w:type="pct"/>
            <w:shd w:val="clear" w:color="auto" w:fill="auto"/>
            <w:vAlign w:val="center"/>
          </w:tcPr>
          <w:p w14:paraId="0D408BC2">
            <w:pPr>
              <w:pStyle w:val="45"/>
              <w:rPr>
                <w:rFonts w:hint="default" w:eastAsia="宋体"/>
                <w:lang w:val="en-US" w:eastAsia="zh-CN"/>
              </w:rPr>
            </w:pPr>
            <w:r>
              <w:rPr>
                <w:rFonts w:hint="eastAsia"/>
                <w:lang w:val="en-US" w:eastAsia="zh-CN"/>
              </w:rPr>
              <w:t>0.050</w:t>
            </w:r>
          </w:p>
        </w:tc>
      </w:tr>
      <w:tr w14:paraId="67085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559" w:type="pct"/>
            <w:shd w:val="clear" w:color="auto" w:fill="auto"/>
            <w:vAlign w:val="center"/>
          </w:tcPr>
          <w:p w14:paraId="070E06B7">
            <w:pPr>
              <w:pStyle w:val="45"/>
              <w:rPr>
                <w:rFonts w:hint="default"/>
                <w:lang w:val="en-US" w:eastAsia="zh-CN"/>
              </w:rPr>
            </w:pPr>
            <w:r>
              <w:rPr>
                <w:rFonts w:hint="eastAsia"/>
                <w:lang w:val="en-US" w:eastAsia="zh-CN"/>
              </w:rPr>
              <w:t>Mg</w:t>
            </w:r>
            <w:r>
              <w:rPr>
                <w:rFonts w:hint="eastAsia"/>
                <w:b/>
                <w:bCs/>
                <w:lang w:val="en-US" w:eastAsia="zh-CN"/>
              </w:rPr>
              <w:t>（质量分数）/%</w:t>
            </w:r>
          </w:p>
        </w:tc>
        <w:tc>
          <w:tcPr>
            <w:tcW w:w="813" w:type="pct"/>
            <w:shd w:val="clear" w:color="auto" w:fill="auto"/>
            <w:vAlign w:val="center"/>
          </w:tcPr>
          <w:p w14:paraId="7456C899">
            <w:pPr>
              <w:pStyle w:val="45"/>
              <w:rPr>
                <w:rFonts w:hint="default"/>
              </w:rPr>
            </w:pPr>
            <w:r>
              <w:rPr>
                <w:rFonts w:hint="eastAsia"/>
                <w:lang w:val="en-US" w:eastAsia="zh-CN"/>
              </w:rPr>
              <w:t>0.015</w:t>
            </w:r>
          </w:p>
        </w:tc>
        <w:tc>
          <w:tcPr>
            <w:tcW w:w="813" w:type="pct"/>
            <w:shd w:val="clear" w:color="auto" w:fill="auto"/>
            <w:vAlign w:val="center"/>
          </w:tcPr>
          <w:p w14:paraId="32D3A9A2">
            <w:pPr>
              <w:pStyle w:val="45"/>
              <w:rPr>
                <w:rFonts w:hint="default" w:eastAsia="宋体"/>
                <w:lang w:val="en-US" w:eastAsia="zh-CN"/>
              </w:rPr>
            </w:pPr>
            <w:r>
              <w:rPr>
                <w:rFonts w:hint="eastAsia"/>
                <w:lang w:val="en-US" w:eastAsia="zh-CN"/>
              </w:rPr>
              <w:t>-</w:t>
            </w:r>
          </w:p>
        </w:tc>
        <w:tc>
          <w:tcPr>
            <w:tcW w:w="813" w:type="pct"/>
            <w:shd w:val="clear" w:color="auto" w:fill="auto"/>
            <w:vAlign w:val="center"/>
          </w:tcPr>
          <w:p w14:paraId="445A998C">
            <w:pPr>
              <w:pStyle w:val="45"/>
              <w:rPr>
                <w:rFonts w:hint="eastAsia" w:eastAsia="宋体"/>
                <w:lang w:val="en-US" w:eastAsia="zh-CN"/>
              </w:rPr>
            </w:pPr>
            <w:r>
              <w:rPr>
                <w:rFonts w:hint="eastAsia"/>
                <w:lang w:val="en-US" w:eastAsia="zh-CN"/>
              </w:rPr>
              <w:t>-</w:t>
            </w:r>
          </w:p>
        </w:tc>
      </w:tr>
    </w:tbl>
    <w:p w14:paraId="7E0EB191">
      <w:pPr>
        <w:ind w:left="0" w:leftChars="0" w:firstLine="0" w:firstLineChars="0"/>
        <w:rPr>
          <w:rFonts w:hint="default"/>
          <w:lang w:val="en-US" w:eastAsia="zh-CN"/>
        </w:rPr>
      </w:pPr>
    </w:p>
    <w:p w14:paraId="6F4F154A">
      <w:pPr>
        <w:pStyle w:val="5"/>
      </w:pPr>
      <w:r>
        <w:rPr>
          <w:rFonts w:hint="eastAsia"/>
        </w:rPr>
        <w:t>主要原辅材料消耗情况</w:t>
      </w:r>
    </w:p>
    <w:p w14:paraId="73B340ED">
      <w:pPr>
        <w:ind w:firstLine="480"/>
      </w:pPr>
      <w:r>
        <w:rPr>
          <w:rFonts w:hint="eastAsia"/>
        </w:rPr>
        <w:t>本项目</w:t>
      </w:r>
      <w:r>
        <w:rPr>
          <w:rFonts w:hint="eastAsia"/>
          <w:lang w:val="en-US" w:eastAsia="zh-CN"/>
        </w:rPr>
        <w:t>主要</w:t>
      </w:r>
      <w:r>
        <w:rPr>
          <w:rFonts w:hint="eastAsia"/>
        </w:rPr>
        <w:t>原辅料</w:t>
      </w:r>
      <w:r>
        <w:rPr>
          <w:rFonts w:hint="eastAsia"/>
          <w:lang w:val="en-US" w:eastAsia="zh-CN"/>
        </w:rPr>
        <w:t>消耗</w:t>
      </w:r>
      <w:r>
        <w:rPr>
          <w:rFonts w:hint="eastAsia"/>
        </w:rPr>
        <w:t>情况见表3.3-</w:t>
      </w:r>
      <w:r>
        <w:rPr>
          <w:rFonts w:hint="eastAsia"/>
          <w:lang w:val="en-US" w:eastAsia="zh-CN"/>
        </w:rPr>
        <w:t>5，</w:t>
      </w:r>
      <w:r>
        <w:rPr>
          <w:rFonts w:hint="eastAsia"/>
        </w:rPr>
        <w:t>主要原辅材料及产品理化性质见表3.3-</w:t>
      </w:r>
      <w:r>
        <w:rPr>
          <w:rFonts w:hint="eastAsia"/>
          <w:lang w:val="en-US" w:eastAsia="zh-CN"/>
        </w:rPr>
        <w:t>6</w:t>
      </w:r>
      <w:r>
        <w:rPr>
          <w:rFonts w:hint="eastAsia"/>
        </w:rPr>
        <w:t>。</w:t>
      </w:r>
    </w:p>
    <w:p w14:paraId="03E08056">
      <w:pPr>
        <w:pStyle w:val="43"/>
        <w:rPr>
          <w:rFonts w:hint="default"/>
        </w:rPr>
      </w:pPr>
      <w:r>
        <w:t>本项目主要原辅材料</w:t>
      </w:r>
      <w:r>
        <w:rPr>
          <w:rFonts w:hint="eastAsia"/>
          <w:lang w:val="en-US" w:eastAsia="zh-CN"/>
        </w:rPr>
        <w:t>消耗情况</w:t>
      </w:r>
      <w:r>
        <w:t>一览表</w:t>
      </w:r>
    </w:p>
    <w:tbl>
      <w:tblPr>
        <w:tblStyle w:val="3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104"/>
        <w:gridCol w:w="1104"/>
        <w:gridCol w:w="1104"/>
        <w:gridCol w:w="1595"/>
        <w:gridCol w:w="1641"/>
        <w:gridCol w:w="1969"/>
      </w:tblGrid>
      <w:tr w14:paraId="39215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1" w:hRule="atLeast"/>
        </w:trPr>
        <w:tc>
          <w:tcPr>
            <w:tcW w:w="648" w:type="pct"/>
            <w:shd w:val="clear" w:color="auto" w:fill="auto"/>
            <w:noWrap/>
            <w:vAlign w:val="center"/>
          </w:tcPr>
          <w:p w14:paraId="07DBCA2A">
            <w:pPr>
              <w:pStyle w:val="45"/>
              <w:bidi w:val="0"/>
              <w:rPr>
                <w:rFonts w:hint="eastAsia"/>
                <w:b/>
                <w:bCs/>
              </w:rPr>
            </w:pPr>
            <w:r>
              <w:rPr>
                <w:rFonts w:hint="eastAsia"/>
                <w:b/>
                <w:bCs/>
                <w:lang w:val="en-US" w:eastAsia="zh-CN"/>
              </w:rPr>
              <w:t>生产装置</w:t>
            </w:r>
          </w:p>
        </w:tc>
        <w:tc>
          <w:tcPr>
            <w:tcW w:w="648" w:type="pct"/>
            <w:shd w:val="clear" w:color="auto" w:fill="auto"/>
            <w:noWrap/>
            <w:vAlign w:val="center"/>
          </w:tcPr>
          <w:p w14:paraId="5EA96DCE">
            <w:pPr>
              <w:pStyle w:val="45"/>
              <w:bidi w:val="0"/>
              <w:rPr>
                <w:rFonts w:hint="default"/>
                <w:b/>
                <w:bCs/>
                <w:lang w:val="en-US" w:eastAsia="zh-CN"/>
              </w:rPr>
            </w:pPr>
            <w:r>
              <w:rPr>
                <w:rFonts w:hint="eastAsia"/>
                <w:b/>
                <w:bCs/>
                <w:lang w:val="en-US" w:eastAsia="zh-CN"/>
              </w:rPr>
              <w:t>生产情景</w:t>
            </w:r>
          </w:p>
        </w:tc>
        <w:tc>
          <w:tcPr>
            <w:tcW w:w="648" w:type="pct"/>
            <w:shd w:val="clear" w:color="auto" w:fill="auto"/>
            <w:noWrap/>
            <w:vAlign w:val="center"/>
          </w:tcPr>
          <w:p w14:paraId="336F1DC4">
            <w:pPr>
              <w:pStyle w:val="45"/>
              <w:bidi w:val="0"/>
              <w:rPr>
                <w:rFonts w:hint="eastAsia"/>
                <w:b/>
                <w:bCs/>
              </w:rPr>
            </w:pPr>
            <w:r>
              <w:rPr>
                <w:rFonts w:hint="eastAsia"/>
                <w:b/>
                <w:bCs/>
                <w:lang w:val="en-US" w:eastAsia="zh-CN"/>
              </w:rPr>
              <w:t>产品方案</w:t>
            </w:r>
          </w:p>
        </w:tc>
        <w:tc>
          <w:tcPr>
            <w:tcW w:w="936" w:type="pct"/>
            <w:shd w:val="clear" w:color="auto" w:fill="auto"/>
            <w:noWrap/>
            <w:vAlign w:val="center"/>
          </w:tcPr>
          <w:p w14:paraId="5D181BC9">
            <w:pPr>
              <w:pStyle w:val="45"/>
              <w:bidi w:val="0"/>
              <w:rPr>
                <w:rFonts w:hint="eastAsia"/>
                <w:b/>
                <w:bCs/>
              </w:rPr>
            </w:pPr>
            <w:r>
              <w:rPr>
                <w:rFonts w:hint="eastAsia"/>
                <w:b/>
                <w:bCs/>
                <w:lang w:val="en-US" w:eastAsia="zh-CN"/>
              </w:rPr>
              <w:t>原料名称</w:t>
            </w:r>
          </w:p>
        </w:tc>
        <w:tc>
          <w:tcPr>
            <w:tcW w:w="963" w:type="pct"/>
            <w:shd w:val="clear" w:color="auto" w:fill="auto"/>
            <w:noWrap/>
            <w:vAlign w:val="center"/>
          </w:tcPr>
          <w:p w14:paraId="2D3B81C1">
            <w:pPr>
              <w:pStyle w:val="45"/>
              <w:bidi w:val="0"/>
              <w:rPr>
                <w:rFonts w:hint="eastAsia"/>
                <w:b/>
                <w:bCs/>
              </w:rPr>
            </w:pPr>
            <w:r>
              <w:rPr>
                <w:rFonts w:hint="eastAsia"/>
                <w:b/>
                <w:bCs/>
                <w:lang w:val="en-US" w:eastAsia="zh-CN"/>
              </w:rPr>
              <w:t>年耗量（t）</w:t>
            </w:r>
          </w:p>
        </w:tc>
        <w:tc>
          <w:tcPr>
            <w:tcW w:w="1155" w:type="pct"/>
            <w:shd w:val="clear" w:color="auto" w:fill="auto"/>
            <w:noWrap/>
            <w:vAlign w:val="center"/>
          </w:tcPr>
          <w:p w14:paraId="2910C1FA">
            <w:pPr>
              <w:pStyle w:val="45"/>
              <w:bidi w:val="0"/>
              <w:rPr>
                <w:rFonts w:hint="eastAsia"/>
                <w:b/>
                <w:bCs/>
              </w:rPr>
            </w:pPr>
            <w:r>
              <w:rPr>
                <w:rFonts w:hint="eastAsia"/>
                <w:b/>
                <w:bCs/>
                <w:lang w:val="en-US" w:eastAsia="zh-CN"/>
              </w:rPr>
              <w:t>备注</w:t>
            </w:r>
          </w:p>
        </w:tc>
      </w:tr>
      <w:tr w14:paraId="4BC54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1" w:hRule="atLeast"/>
        </w:trPr>
        <w:tc>
          <w:tcPr>
            <w:tcW w:w="648" w:type="pct"/>
            <w:vMerge w:val="restart"/>
            <w:shd w:val="clear" w:color="auto" w:fill="auto"/>
            <w:vAlign w:val="center"/>
          </w:tcPr>
          <w:p w14:paraId="6484A472">
            <w:pPr>
              <w:pStyle w:val="45"/>
              <w:bidi w:val="0"/>
              <w:rPr>
                <w:rFonts w:hint="eastAsia"/>
              </w:rPr>
            </w:pPr>
            <w:r>
              <w:rPr>
                <w:rFonts w:hint="eastAsia"/>
                <w:lang w:val="en-US" w:eastAsia="zh-CN"/>
              </w:rPr>
              <w:t>一次电解生产装置</w:t>
            </w:r>
          </w:p>
        </w:tc>
        <w:tc>
          <w:tcPr>
            <w:tcW w:w="648" w:type="pct"/>
            <w:vMerge w:val="restart"/>
            <w:shd w:val="clear" w:color="auto" w:fill="auto"/>
            <w:vAlign w:val="center"/>
          </w:tcPr>
          <w:p w14:paraId="3306330D">
            <w:pPr>
              <w:pStyle w:val="45"/>
              <w:bidi w:val="0"/>
              <w:rPr>
                <w:rFonts w:hint="default"/>
                <w:lang w:val="en-US" w:eastAsia="zh-CN"/>
              </w:rPr>
            </w:pPr>
            <w:r>
              <w:rPr>
                <w:rFonts w:hint="eastAsia"/>
                <w:lang w:val="en-US" w:eastAsia="zh-CN"/>
              </w:rPr>
              <w:t>一次电解装置满负荷生产氯酸钠时</w:t>
            </w:r>
          </w:p>
        </w:tc>
        <w:tc>
          <w:tcPr>
            <w:tcW w:w="648" w:type="pct"/>
            <w:vMerge w:val="restart"/>
            <w:shd w:val="clear" w:color="auto" w:fill="auto"/>
            <w:vAlign w:val="center"/>
          </w:tcPr>
          <w:p w14:paraId="69694FAD">
            <w:pPr>
              <w:pStyle w:val="45"/>
              <w:bidi w:val="0"/>
              <w:rPr>
                <w:rFonts w:hint="eastAsia"/>
              </w:rPr>
            </w:pPr>
            <w:r>
              <w:rPr>
                <w:rFonts w:hint="eastAsia"/>
                <w:lang w:val="en-US" w:eastAsia="zh-CN"/>
              </w:rPr>
              <w:t>2万吨氯酸钠</w:t>
            </w:r>
          </w:p>
        </w:tc>
        <w:tc>
          <w:tcPr>
            <w:tcW w:w="936" w:type="pct"/>
            <w:shd w:val="clear" w:color="auto" w:fill="auto"/>
            <w:noWrap/>
            <w:vAlign w:val="center"/>
          </w:tcPr>
          <w:p w14:paraId="42D0408B">
            <w:pPr>
              <w:pStyle w:val="45"/>
              <w:bidi w:val="0"/>
              <w:rPr>
                <w:rFonts w:hint="eastAsia"/>
              </w:rPr>
            </w:pPr>
            <w:r>
              <w:rPr>
                <w:rFonts w:hint="eastAsia"/>
                <w:lang w:val="en-US" w:eastAsia="zh-CN"/>
              </w:rPr>
              <w:t>原料盐</w:t>
            </w:r>
          </w:p>
        </w:tc>
        <w:tc>
          <w:tcPr>
            <w:tcW w:w="963" w:type="pct"/>
            <w:shd w:val="clear" w:color="auto" w:fill="auto"/>
            <w:noWrap/>
            <w:vAlign w:val="center"/>
          </w:tcPr>
          <w:p w14:paraId="39EF7CBB">
            <w:pPr>
              <w:pStyle w:val="45"/>
              <w:bidi w:val="0"/>
              <w:rPr>
                <w:rFonts w:hint="default"/>
              </w:rPr>
            </w:pPr>
            <w:r>
              <w:rPr>
                <w:rFonts w:hint="default"/>
                <w:lang w:val="en-US" w:eastAsia="zh-CN"/>
              </w:rPr>
              <w:t>11600</w:t>
            </w:r>
          </w:p>
        </w:tc>
        <w:tc>
          <w:tcPr>
            <w:tcW w:w="1155" w:type="pct"/>
            <w:shd w:val="clear" w:color="auto" w:fill="auto"/>
            <w:vAlign w:val="center"/>
          </w:tcPr>
          <w:p w14:paraId="33BED417">
            <w:pPr>
              <w:pStyle w:val="45"/>
              <w:bidi w:val="0"/>
              <w:rPr>
                <w:rFonts w:hint="eastAsia"/>
              </w:rPr>
            </w:pPr>
            <w:r>
              <w:rPr>
                <w:rFonts w:hint="eastAsia"/>
                <w:lang w:val="en-US" w:eastAsia="zh-CN"/>
              </w:rPr>
              <w:t>部分为回用盐</w:t>
            </w:r>
          </w:p>
        </w:tc>
      </w:tr>
      <w:tr w14:paraId="11949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5FF8106F">
            <w:pPr>
              <w:pStyle w:val="45"/>
              <w:bidi w:val="0"/>
              <w:rPr>
                <w:rFonts w:hint="eastAsia"/>
              </w:rPr>
            </w:pPr>
          </w:p>
        </w:tc>
        <w:tc>
          <w:tcPr>
            <w:tcW w:w="648" w:type="pct"/>
            <w:vMerge w:val="continue"/>
            <w:shd w:val="clear" w:color="auto" w:fill="auto"/>
            <w:vAlign w:val="center"/>
          </w:tcPr>
          <w:p w14:paraId="6CEC29BF">
            <w:pPr>
              <w:pStyle w:val="45"/>
              <w:bidi w:val="0"/>
              <w:rPr>
                <w:rFonts w:hint="eastAsia"/>
              </w:rPr>
            </w:pPr>
          </w:p>
        </w:tc>
        <w:tc>
          <w:tcPr>
            <w:tcW w:w="648" w:type="pct"/>
            <w:vMerge w:val="continue"/>
            <w:shd w:val="clear" w:color="auto" w:fill="auto"/>
            <w:vAlign w:val="center"/>
          </w:tcPr>
          <w:p w14:paraId="34412AB8">
            <w:pPr>
              <w:pStyle w:val="45"/>
              <w:bidi w:val="0"/>
              <w:rPr>
                <w:rFonts w:hint="eastAsia"/>
              </w:rPr>
            </w:pPr>
          </w:p>
        </w:tc>
        <w:tc>
          <w:tcPr>
            <w:tcW w:w="936" w:type="pct"/>
            <w:shd w:val="clear" w:color="auto" w:fill="auto"/>
            <w:noWrap/>
            <w:vAlign w:val="center"/>
          </w:tcPr>
          <w:p w14:paraId="23E7F87D">
            <w:pPr>
              <w:pStyle w:val="45"/>
              <w:bidi w:val="0"/>
              <w:rPr>
                <w:rFonts w:hint="eastAsia"/>
              </w:rPr>
            </w:pPr>
            <w:r>
              <w:rPr>
                <w:rFonts w:hint="eastAsia"/>
                <w:lang w:val="en-US" w:eastAsia="zh-CN"/>
              </w:rPr>
              <w:t>氯化钙</w:t>
            </w:r>
          </w:p>
        </w:tc>
        <w:tc>
          <w:tcPr>
            <w:tcW w:w="963" w:type="pct"/>
            <w:shd w:val="clear" w:color="auto" w:fill="auto"/>
            <w:noWrap/>
            <w:vAlign w:val="center"/>
          </w:tcPr>
          <w:p w14:paraId="78BB46A5">
            <w:pPr>
              <w:pStyle w:val="45"/>
              <w:bidi w:val="0"/>
              <w:rPr>
                <w:rFonts w:hint="default"/>
              </w:rPr>
            </w:pPr>
            <w:r>
              <w:rPr>
                <w:rFonts w:hint="default"/>
                <w:lang w:val="en-US" w:eastAsia="zh-CN"/>
              </w:rPr>
              <w:t>164</w:t>
            </w:r>
          </w:p>
        </w:tc>
        <w:tc>
          <w:tcPr>
            <w:tcW w:w="1155" w:type="pct"/>
            <w:shd w:val="clear" w:color="auto" w:fill="auto"/>
            <w:noWrap/>
            <w:vAlign w:val="center"/>
          </w:tcPr>
          <w:p w14:paraId="44403C9B">
            <w:pPr>
              <w:pStyle w:val="45"/>
              <w:bidi w:val="0"/>
              <w:rPr>
                <w:rFonts w:hint="eastAsia"/>
              </w:rPr>
            </w:pPr>
          </w:p>
        </w:tc>
      </w:tr>
      <w:tr w14:paraId="31961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4BF7DB05">
            <w:pPr>
              <w:pStyle w:val="45"/>
              <w:bidi w:val="0"/>
              <w:rPr>
                <w:rFonts w:hint="eastAsia"/>
              </w:rPr>
            </w:pPr>
          </w:p>
        </w:tc>
        <w:tc>
          <w:tcPr>
            <w:tcW w:w="648" w:type="pct"/>
            <w:vMerge w:val="continue"/>
            <w:shd w:val="clear" w:color="auto" w:fill="auto"/>
            <w:vAlign w:val="center"/>
          </w:tcPr>
          <w:p w14:paraId="74F8456E">
            <w:pPr>
              <w:pStyle w:val="45"/>
              <w:bidi w:val="0"/>
              <w:rPr>
                <w:rFonts w:hint="eastAsia"/>
              </w:rPr>
            </w:pPr>
          </w:p>
        </w:tc>
        <w:tc>
          <w:tcPr>
            <w:tcW w:w="648" w:type="pct"/>
            <w:vMerge w:val="continue"/>
            <w:shd w:val="clear" w:color="auto" w:fill="auto"/>
            <w:vAlign w:val="center"/>
          </w:tcPr>
          <w:p w14:paraId="64D31A09">
            <w:pPr>
              <w:pStyle w:val="45"/>
              <w:bidi w:val="0"/>
              <w:rPr>
                <w:rFonts w:hint="eastAsia"/>
              </w:rPr>
            </w:pPr>
          </w:p>
        </w:tc>
        <w:tc>
          <w:tcPr>
            <w:tcW w:w="936" w:type="pct"/>
            <w:shd w:val="clear" w:color="auto" w:fill="auto"/>
            <w:noWrap/>
            <w:vAlign w:val="center"/>
          </w:tcPr>
          <w:p w14:paraId="2A45DECE">
            <w:pPr>
              <w:pStyle w:val="45"/>
              <w:bidi w:val="0"/>
              <w:rPr>
                <w:rFonts w:hint="eastAsia"/>
              </w:rPr>
            </w:pPr>
            <w:r>
              <w:rPr>
                <w:rFonts w:hint="eastAsia"/>
                <w:lang w:val="en-US" w:eastAsia="zh-CN"/>
              </w:rPr>
              <w:t>氢氧化钠</w:t>
            </w:r>
          </w:p>
        </w:tc>
        <w:tc>
          <w:tcPr>
            <w:tcW w:w="963" w:type="pct"/>
            <w:shd w:val="clear" w:color="auto" w:fill="auto"/>
            <w:noWrap/>
            <w:vAlign w:val="center"/>
          </w:tcPr>
          <w:p w14:paraId="05C79BB5">
            <w:pPr>
              <w:pStyle w:val="45"/>
              <w:bidi w:val="0"/>
              <w:rPr>
                <w:rFonts w:hint="default"/>
              </w:rPr>
            </w:pPr>
            <w:r>
              <w:rPr>
                <w:rFonts w:hint="default"/>
                <w:lang w:val="en-US" w:eastAsia="zh-CN"/>
              </w:rPr>
              <w:t>352</w:t>
            </w:r>
          </w:p>
        </w:tc>
        <w:tc>
          <w:tcPr>
            <w:tcW w:w="1155" w:type="pct"/>
            <w:shd w:val="clear" w:color="auto" w:fill="auto"/>
            <w:noWrap/>
            <w:vAlign w:val="center"/>
          </w:tcPr>
          <w:p w14:paraId="35C47A06">
            <w:pPr>
              <w:pStyle w:val="45"/>
              <w:bidi w:val="0"/>
              <w:rPr>
                <w:rFonts w:hint="eastAsia"/>
              </w:rPr>
            </w:pPr>
          </w:p>
        </w:tc>
      </w:tr>
      <w:tr w14:paraId="22CC8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27863A97">
            <w:pPr>
              <w:pStyle w:val="45"/>
              <w:bidi w:val="0"/>
              <w:rPr>
                <w:rFonts w:hint="eastAsia"/>
              </w:rPr>
            </w:pPr>
          </w:p>
        </w:tc>
        <w:tc>
          <w:tcPr>
            <w:tcW w:w="648" w:type="pct"/>
            <w:vMerge w:val="continue"/>
            <w:shd w:val="clear" w:color="auto" w:fill="auto"/>
            <w:vAlign w:val="center"/>
          </w:tcPr>
          <w:p w14:paraId="07119825">
            <w:pPr>
              <w:pStyle w:val="45"/>
              <w:bidi w:val="0"/>
              <w:rPr>
                <w:rFonts w:hint="eastAsia"/>
              </w:rPr>
            </w:pPr>
          </w:p>
        </w:tc>
        <w:tc>
          <w:tcPr>
            <w:tcW w:w="648" w:type="pct"/>
            <w:vMerge w:val="continue"/>
            <w:shd w:val="clear" w:color="auto" w:fill="auto"/>
            <w:vAlign w:val="center"/>
          </w:tcPr>
          <w:p w14:paraId="7DA7311B">
            <w:pPr>
              <w:pStyle w:val="45"/>
              <w:bidi w:val="0"/>
              <w:rPr>
                <w:rFonts w:hint="eastAsia"/>
              </w:rPr>
            </w:pPr>
          </w:p>
        </w:tc>
        <w:tc>
          <w:tcPr>
            <w:tcW w:w="936" w:type="pct"/>
            <w:shd w:val="clear" w:color="auto" w:fill="auto"/>
            <w:noWrap/>
            <w:vAlign w:val="center"/>
          </w:tcPr>
          <w:p w14:paraId="27E5D7AF">
            <w:pPr>
              <w:pStyle w:val="45"/>
              <w:bidi w:val="0"/>
              <w:rPr>
                <w:rFonts w:hint="eastAsia"/>
              </w:rPr>
            </w:pPr>
            <w:r>
              <w:rPr>
                <w:rFonts w:hint="eastAsia"/>
                <w:lang w:val="en-US" w:eastAsia="zh-CN"/>
              </w:rPr>
              <w:t>碳酸钠</w:t>
            </w:r>
          </w:p>
        </w:tc>
        <w:tc>
          <w:tcPr>
            <w:tcW w:w="963" w:type="pct"/>
            <w:shd w:val="clear" w:color="auto" w:fill="auto"/>
            <w:noWrap/>
            <w:vAlign w:val="center"/>
          </w:tcPr>
          <w:p w14:paraId="3BEB7668">
            <w:pPr>
              <w:pStyle w:val="45"/>
              <w:bidi w:val="0"/>
              <w:rPr>
                <w:rFonts w:hint="default"/>
              </w:rPr>
            </w:pPr>
            <w:r>
              <w:rPr>
                <w:rFonts w:hint="default"/>
                <w:lang w:val="en-US" w:eastAsia="zh-CN"/>
              </w:rPr>
              <w:t>148</w:t>
            </w:r>
          </w:p>
        </w:tc>
        <w:tc>
          <w:tcPr>
            <w:tcW w:w="1155" w:type="pct"/>
            <w:shd w:val="clear" w:color="auto" w:fill="auto"/>
            <w:noWrap/>
            <w:vAlign w:val="center"/>
          </w:tcPr>
          <w:p w14:paraId="0988C064">
            <w:pPr>
              <w:pStyle w:val="45"/>
              <w:bidi w:val="0"/>
              <w:rPr>
                <w:rFonts w:hint="eastAsia"/>
              </w:rPr>
            </w:pPr>
          </w:p>
        </w:tc>
      </w:tr>
      <w:tr w14:paraId="4F06D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68E0BD24">
            <w:pPr>
              <w:pStyle w:val="45"/>
              <w:bidi w:val="0"/>
              <w:rPr>
                <w:rFonts w:hint="eastAsia"/>
              </w:rPr>
            </w:pPr>
          </w:p>
        </w:tc>
        <w:tc>
          <w:tcPr>
            <w:tcW w:w="648" w:type="pct"/>
            <w:vMerge w:val="continue"/>
            <w:shd w:val="clear" w:color="auto" w:fill="auto"/>
            <w:vAlign w:val="center"/>
          </w:tcPr>
          <w:p w14:paraId="329548BE">
            <w:pPr>
              <w:pStyle w:val="45"/>
              <w:bidi w:val="0"/>
              <w:rPr>
                <w:rFonts w:hint="eastAsia"/>
              </w:rPr>
            </w:pPr>
          </w:p>
        </w:tc>
        <w:tc>
          <w:tcPr>
            <w:tcW w:w="648" w:type="pct"/>
            <w:vMerge w:val="continue"/>
            <w:shd w:val="clear" w:color="auto" w:fill="auto"/>
            <w:vAlign w:val="center"/>
          </w:tcPr>
          <w:p w14:paraId="049EDEF1">
            <w:pPr>
              <w:pStyle w:val="45"/>
              <w:bidi w:val="0"/>
              <w:rPr>
                <w:rFonts w:hint="eastAsia"/>
              </w:rPr>
            </w:pPr>
          </w:p>
        </w:tc>
        <w:tc>
          <w:tcPr>
            <w:tcW w:w="936" w:type="pct"/>
            <w:shd w:val="clear" w:color="auto" w:fill="auto"/>
            <w:noWrap/>
            <w:vAlign w:val="center"/>
          </w:tcPr>
          <w:p w14:paraId="0946E45A">
            <w:pPr>
              <w:pStyle w:val="45"/>
              <w:bidi w:val="0"/>
              <w:rPr>
                <w:rFonts w:hint="eastAsia"/>
              </w:rPr>
            </w:pPr>
            <w:r>
              <w:rPr>
                <w:rFonts w:hint="eastAsia"/>
                <w:lang w:val="en-US" w:eastAsia="zh-CN"/>
              </w:rPr>
              <w:t>化盐水</w:t>
            </w:r>
          </w:p>
        </w:tc>
        <w:tc>
          <w:tcPr>
            <w:tcW w:w="963" w:type="pct"/>
            <w:shd w:val="clear" w:color="auto" w:fill="auto"/>
            <w:noWrap/>
            <w:vAlign w:val="center"/>
          </w:tcPr>
          <w:p w14:paraId="7CBC4FA9">
            <w:pPr>
              <w:pStyle w:val="45"/>
              <w:bidi w:val="0"/>
              <w:rPr>
                <w:rFonts w:hint="default"/>
              </w:rPr>
            </w:pPr>
            <w:r>
              <w:rPr>
                <w:rFonts w:hint="default"/>
                <w:lang w:val="en-US" w:eastAsia="zh-CN"/>
              </w:rPr>
              <w:t>36704.18</w:t>
            </w:r>
          </w:p>
        </w:tc>
        <w:tc>
          <w:tcPr>
            <w:tcW w:w="1155" w:type="pct"/>
            <w:shd w:val="clear" w:color="auto" w:fill="auto"/>
            <w:noWrap/>
            <w:vAlign w:val="center"/>
          </w:tcPr>
          <w:p w14:paraId="6A6E6B37">
            <w:pPr>
              <w:pStyle w:val="45"/>
              <w:bidi w:val="0"/>
              <w:rPr>
                <w:rFonts w:hint="eastAsia"/>
              </w:rPr>
            </w:pPr>
            <w:r>
              <w:rPr>
                <w:rFonts w:hint="eastAsia"/>
                <w:lang w:val="en-US" w:eastAsia="zh-CN"/>
              </w:rPr>
              <w:t>新鲜水及回用水</w:t>
            </w:r>
          </w:p>
        </w:tc>
      </w:tr>
      <w:tr w14:paraId="49758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2A7472C3">
            <w:pPr>
              <w:pStyle w:val="45"/>
              <w:bidi w:val="0"/>
              <w:rPr>
                <w:rFonts w:hint="eastAsia"/>
              </w:rPr>
            </w:pPr>
          </w:p>
        </w:tc>
        <w:tc>
          <w:tcPr>
            <w:tcW w:w="648" w:type="pct"/>
            <w:vMerge w:val="continue"/>
            <w:shd w:val="clear" w:color="auto" w:fill="auto"/>
            <w:vAlign w:val="center"/>
          </w:tcPr>
          <w:p w14:paraId="2B7015DB">
            <w:pPr>
              <w:pStyle w:val="45"/>
              <w:bidi w:val="0"/>
              <w:rPr>
                <w:rFonts w:hint="eastAsia"/>
              </w:rPr>
            </w:pPr>
          </w:p>
        </w:tc>
        <w:tc>
          <w:tcPr>
            <w:tcW w:w="648" w:type="pct"/>
            <w:vMerge w:val="continue"/>
            <w:shd w:val="clear" w:color="auto" w:fill="auto"/>
            <w:vAlign w:val="center"/>
          </w:tcPr>
          <w:p w14:paraId="18E9CC46">
            <w:pPr>
              <w:pStyle w:val="45"/>
              <w:bidi w:val="0"/>
              <w:rPr>
                <w:rFonts w:hint="eastAsia"/>
              </w:rPr>
            </w:pPr>
          </w:p>
        </w:tc>
        <w:tc>
          <w:tcPr>
            <w:tcW w:w="936" w:type="pct"/>
            <w:shd w:val="clear" w:color="auto" w:fill="auto"/>
            <w:noWrap/>
            <w:vAlign w:val="center"/>
          </w:tcPr>
          <w:p w14:paraId="06D94B9C">
            <w:pPr>
              <w:pStyle w:val="45"/>
              <w:bidi w:val="0"/>
              <w:rPr>
                <w:rFonts w:hint="eastAsia"/>
              </w:rPr>
            </w:pPr>
            <w:r>
              <w:rPr>
                <w:rFonts w:hint="eastAsia"/>
                <w:lang w:val="en-US" w:eastAsia="zh-CN"/>
              </w:rPr>
              <w:t>重铬酸钠</w:t>
            </w:r>
          </w:p>
        </w:tc>
        <w:tc>
          <w:tcPr>
            <w:tcW w:w="963" w:type="pct"/>
            <w:shd w:val="clear" w:color="auto" w:fill="auto"/>
            <w:noWrap/>
            <w:vAlign w:val="center"/>
          </w:tcPr>
          <w:p w14:paraId="05E471A6">
            <w:pPr>
              <w:pStyle w:val="45"/>
              <w:bidi w:val="0"/>
              <w:rPr>
                <w:rFonts w:hint="default"/>
              </w:rPr>
            </w:pPr>
            <w:r>
              <w:rPr>
                <w:rFonts w:hint="default"/>
                <w:lang w:val="en-US" w:eastAsia="zh-CN"/>
              </w:rPr>
              <w:t>0.5</w:t>
            </w:r>
          </w:p>
        </w:tc>
        <w:tc>
          <w:tcPr>
            <w:tcW w:w="1155" w:type="pct"/>
            <w:shd w:val="clear" w:color="auto" w:fill="auto"/>
            <w:noWrap/>
            <w:vAlign w:val="center"/>
          </w:tcPr>
          <w:p w14:paraId="5E11D29D">
            <w:pPr>
              <w:pStyle w:val="45"/>
              <w:bidi w:val="0"/>
              <w:rPr>
                <w:rFonts w:hint="eastAsia"/>
              </w:rPr>
            </w:pPr>
          </w:p>
        </w:tc>
      </w:tr>
      <w:tr w14:paraId="755C3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23178DE9">
            <w:pPr>
              <w:pStyle w:val="45"/>
              <w:bidi w:val="0"/>
              <w:rPr>
                <w:rFonts w:hint="eastAsia"/>
              </w:rPr>
            </w:pPr>
          </w:p>
        </w:tc>
        <w:tc>
          <w:tcPr>
            <w:tcW w:w="648" w:type="pct"/>
            <w:vMerge w:val="continue"/>
            <w:shd w:val="clear" w:color="auto" w:fill="auto"/>
            <w:vAlign w:val="center"/>
          </w:tcPr>
          <w:p w14:paraId="2ADC156D">
            <w:pPr>
              <w:pStyle w:val="45"/>
              <w:bidi w:val="0"/>
              <w:rPr>
                <w:rFonts w:hint="eastAsia"/>
              </w:rPr>
            </w:pPr>
          </w:p>
        </w:tc>
        <w:tc>
          <w:tcPr>
            <w:tcW w:w="648" w:type="pct"/>
            <w:vMerge w:val="continue"/>
            <w:shd w:val="clear" w:color="auto" w:fill="auto"/>
            <w:vAlign w:val="center"/>
          </w:tcPr>
          <w:p w14:paraId="103AA492">
            <w:pPr>
              <w:pStyle w:val="45"/>
              <w:bidi w:val="0"/>
              <w:rPr>
                <w:rFonts w:hint="eastAsia"/>
              </w:rPr>
            </w:pPr>
          </w:p>
        </w:tc>
        <w:tc>
          <w:tcPr>
            <w:tcW w:w="936" w:type="pct"/>
            <w:shd w:val="clear" w:color="auto" w:fill="auto"/>
            <w:noWrap/>
            <w:vAlign w:val="center"/>
          </w:tcPr>
          <w:p w14:paraId="42F1E011">
            <w:pPr>
              <w:pStyle w:val="45"/>
              <w:bidi w:val="0"/>
              <w:rPr>
                <w:rFonts w:hint="eastAsia"/>
              </w:rPr>
            </w:pPr>
            <w:r>
              <w:rPr>
                <w:rFonts w:hint="eastAsia"/>
                <w:lang w:val="en-US" w:eastAsia="zh-CN"/>
              </w:rPr>
              <w:t>31%盐酸</w:t>
            </w:r>
          </w:p>
        </w:tc>
        <w:tc>
          <w:tcPr>
            <w:tcW w:w="963" w:type="pct"/>
            <w:shd w:val="clear" w:color="auto" w:fill="auto"/>
            <w:noWrap/>
            <w:vAlign w:val="center"/>
          </w:tcPr>
          <w:p w14:paraId="4B53E25F">
            <w:pPr>
              <w:pStyle w:val="45"/>
              <w:bidi w:val="0"/>
              <w:rPr>
                <w:rFonts w:hint="default"/>
              </w:rPr>
            </w:pPr>
            <w:r>
              <w:rPr>
                <w:rFonts w:hint="default"/>
                <w:lang w:val="en-US" w:eastAsia="zh-CN"/>
              </w:rPr>
              <w:t>800</w:t>
            </w:r>
          </w:p>
        </w:tc>
        <w:tc>
          <w:tcPr>
            <w:tcW w:w="1155" w:type="pct"/>
            <w:shd w:val="clear" w:color="auto" w:fill="auto"/>
            <w:noWrap/>
            <w:vAlign w:val="center"/>
          </w:tcPr>
          <w:p w14:paraId="5C361911">
            <w:pPr>
              <w:pStyle w:val="45"/>
              <w:bidi w:val="0"/>
              <w:rPr>
                <w:rFonts w:hint="eastAsia"/>
              </w:rPr>
            </w:pPr>
          </w:p>
        </w:tc>
      </w:tr>
      <w:tr w14:paraId="53A10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7F7A7A92">
            <w:pPr>
              <w:pStyle w:val="45"/>
              <w:bidi w:val="0"/>
              <w:rPr>
                <w:rFonts w:hint="eastAsia"/>
              </w:rPr>
            </w:pPr>
          </w:p>
        </w:tc>
        <w:tc>
          <w:tcPr>
            <w:tcW w:w="648" w:type="pct"/>
            <w:vMerge w:val="continue"/>
            <w:shd w:val="clear" w:color="auto" w:fill="auto"/>
            <w:vAlign w:val="center"/>
          </w:tcPr>
          <w:p w14:paraId="4D08BC6D">
            <w:pPr>
              <w:pStyle w:val="45"/>
              <w:bidi w:val="0"/>
              <w:rPr>
                <w:rFonts w:hint="eastAsia"/>
              </w:rPr>
            </w:pPr>
          </w:p>
        </w:tc>
        <w:tc>
          <w:tcPr>
            <w:tcW w:w="648" w:type="pct"/>
            <w:vMerge w:val="continue"/>
            <w:shd w:val="clear" w:color="auto" w:fill="auto"/>
            <w:vAlign w:val="center"/>
          </w:tcPr>
          <w:p w14:paraId="57858EA4">
            <w:pPr>
              <w:pStyle w:val="45"/>
              <w:bidi w:val="0"/>
              <w:rPr>
                <w:rFonts w:hint="eastAsia"/>
              </w:rPr>
            </w:pPr>
          </w:p>
        </w:tc>
        <w:tc>
          <w:tcPr>
            <w:tcW w:w="936" w:type="pct"/>
            <w:shd w:val="clear" w:color="auto" w:fill="auto"/>
            <w:noWrap/>
            <w:vAlign w:val="center"/>
          </w:tcPr>
          <w:p w14:paraId="49F70805">
            <w:pPr>
              <w:pStyle w:val="45"/>
              <w:bidi w:val="0"/>
              <w:rPr>
                <w:rFonts w:hint="eastAsia"/>
              </w:rPr>
            </w:pPr>
            <w:r>
              <w:rPr>
                <w:rFonts w:hint="eastAsia"/>
                <w:lang w:val="en-US" w:eastAsia="zh-CN"/>
              </w:rPr>
              <w:t>尿素</w:t>
            </w:r>
          </w:p>
        </w:tc>
        <w:tc>
          <w:tcPr>
            <w:tcW w:w="963" w:type="pct"/>
            <w:shd w:val="clear" w:color="auto" w:fill="auto"/>
            <w:noWrap/>
            <w:vAlign w:val="center"/>
          </w:tcPr>
          <w:p w14:paraId="56F35B36">
            <w:pPr>
              <w:pStyle w:val="45"/>
              <w:bidi w:val="0"/>
              <w:rPr>
                <w:rFonts w:hint="default"/>
              </w:rPr>
            </w:pPr>
            <w:r>
              <w:rPr>
                <w:rFonts w:hint="default"/>
                <w:lang w:val="en-US" w:eastAsia="zh-CN"/>
              </w:rPr>
              <w:t>56</w:t>
            </w:r>
          </w:p>
        </w:tc>
        <w:tc>
          <w:tcPr>
            <w:tcW w:w="1155" w:type="pct"/>
            <w:shd w:val="clear" w:color="auto" w:fill="auto"/>
            <w:noWrap/>
            <w:vAlign w:val="center"/>
          </w:tcPr>
          <w:p w14:paraId="3BE6280E">
            <w:pPr>
              <w:pStyle w:val="45"/>
              <w:bidi w:val="0"/>
              <w:rPr>
                <w:rFonts w:hint="eastAsia"/>
              </w:rPr>
            </w:pPr>
          </w:p>
        </w:tc>
      </w:tr>
      <w:tr w14:paraId="538E8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1" w:hRule="atLeast"/>
        </w:trPr>
        <w:tc>
          <w:tcPr>
            <w:tcW w:w="648" w:type="pct"/>
            <w:vMerge w:val="restart"/>
            <w:shd w:val="clear" w:color="auto" w:fill="auto"/>
            <w:vAlign w:val="center"/>
          </w:tcPr>
          <w:p w14:paraId="58FE7E79">
            <w:pPr>
              <w:pStyle w:val="45"/>
              <w:bidi w:val="0"/>
              <w:rPr>
                <w:rFonts w:hint="eastAsia"/>
              </w:rPr>
            </w:pPr>
            <w:r>
              <w:rPr>
                <w:rFonts w:hint="eastAsia"/>
                <w:lang w:val="en-US" w:eastAsia="zh-CN"/>
              </w:rPr>
              <w:t>二次电解生产装置</w:t>
            </w:r>
          </w:p>
        </w:tc>
        <w:tc>
          <w:tcPr>
            <w:tcW w:w="648" w:type="pct"/>
            <w:vMerge w:val="restart"/>
            <w:shd w:val="clear" w:color="auto" w:fill="auto"/>
            <w:vAlign w:val="center"/>
          </w:tcPr>
          <w:p w14:paraId="5F5BC9AF">
            <w:pPr>
              <w:pStyle w:val="45"/>
              <w:bidi w:val="0"/>
              <w:rPr>
                <w:rFonts w:hint="default"/>
                <w:lang w:val="en-US" w:eastAsia="zh-CN"/>
              </w:rPr>
            </w:pPr>
            <w:r>
              <w:rPr>
                <w:rFonts w:hint="eastAsia"/>
                <w:lang w:val="en-US" w:eastAsia="zh-CN"/>
              </w:rPr>
              <w:t>一次电解后，氯酸钠用于二次电解满负荷生产高氯酸钠时</w:t>
            </w:r>
          </w:p>
        </w:tc>
        <w:tc>
          <w:tcPr>
            <w:tcW w:w="648" w:type="pct"/>
            <w:vMerge w:val="restart"/>
            <w:shd w:val="clear" w:color="auto" w:fill="auto"/>
            <w:vAlign w:val="center"/>
          </w:tcPr>
          <w:p w14:paraId="11033C1C">
            <w:pPr>
              <w:pStyle w:val="45"/>
              <w:bidi w:val="0"/>
              <w:rPr>
                <w:rFonts w:hint="eastAsia"/>
              </w:rPr>
            </w:pPr>
            <w:r>
              <w:rPr>
                <w:rFonts w:hint="eastAsia"/>
                <w:lang w:val="en-US" w:eastAsia="zh-CN"/>
              </w:rPr>
              <w:t>2万吨高氯酸钠</w:t>
            </w:r>
          </w:p>
        </w:tc>
        <w:tc>
          <w:tcPr>
            <w:tcW w:w="936" w:type="pct"/>
            <w:shd w:val="clear" w:color="auto" w:fill="auto"/>
            <w:noWrap/>
            <w:vAlign w:val="center"/>
          </w:tcPr>
          <w:p w14:paraId="6B7D5717">
            <w:pPr>
              <w:pStyle w:val="45"/>
              <w:bidi w:val="0"/>
              <w:rPr>
                <w:rFonts w:hint="eastAsia"/>
              </w:rPr>
            </w:pPr>
            <w:r>
              <w:rPr>
                <w:rFonts w:hint="eastAsia"/>
                <w:lang w:val="en-US" w:eastAsia="zh-CN"/>
              </w:rPr>
              <w:t>氯酸钠</w:t>
            </w:r>
          </w:p>
        </w:tc>
        <w:tc>
          <w:tcPr>
            <w:tcW w:w="963" w:type="pct"/>
            <w:shd w:val="clear" w:color="auto" w:fill="auto"/>
            <w:noWrap/>
            <w:vAlign w:val="center"/>
          </w:tcPr>
          <w:p w14:paraId="32BF349C">
            <w:pPr>
              <w:pStyle w:val="45"/>
              <w:bidi w:val="0"/>
              <w:rPr>
                <w:rFonts w:hint="default"/>
              </w:rPr>
            </w:pPr>
            <w:r>
              <w:rPr>
                <w:rFonts w:hint="default"/>
                <w:lang w:val="en-US" w:eastAsia="zh-CN"/>
              </w:rPr>
              <w:t>16000</w:t>
            </w:r>
          </w:p>
        </w:tc>
        <w:tc>
          <w:tcPr>
            <w:tcW w:w="1155" w:type="pct"/>
            <w:shd w:val="clear" w:color="auto" w:fill="auto"/>
            <w:noWrap/>
            <w:vAlign w:val="center"/>
          </w:tcPr>
          <w:p w14:paraId="05886B2D">
            <w:pPr>
              <w:pStyle w:val="45"/>
              <w:bidi w:val="0"/>
              <w:rPr>
                <w:rFonts w:hint="eastAsia"/>
              </w:rPr>
            </w:pPr>
            <w:r>
              <w:rPr>
                <w:rFonts w:hint="eastAsia"/>
                <w:lang w:val="en-US" w:eastAsia="zh-CN"/>
              </w:rPr>
              <w:t>自产</w:t>
            </w:r>
          </w:p>
        </w:tc>
      </w:tr>
      <w:tr w14:paraId="16828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0B2ECFAD">
            <w:pPr>
              <w:pStyle w:val="45"/>
              <w:bidi w:val="0"/>
              <w:rPr>
                <w:rFonts w:hint="eastAsia"/>
              </w:rPr>
            </w:pPr>
          </w:p>
        </w:tc>
        <w:tc>
          <w:tcPr>
            <w:tcW w:w="648" w:type="pct"/>
            <w:vMerge w:val="continue"/>
            <w:shd w:val="clear" w:color="auto" w:fill="auto"/>
            <w:vAlign w:val="center"/>
          </w:tcPr>
          <w:p w14:paraId="5648CF67">
            <w:pPr>
              <w:pStyle w:val="45"/>
              <w:bidi w:val="0"/>
              <w:rPr>
                <w:rFonts w:hint="eastAsia"/>
              </w:rPr>
            </w:pPr>
          </w:p>
        </w:tc>
        <w:tc>
          <w:tcPr>
            <w:tcW w:w="648" w:type="pct"/>
            <w:vMerge w:val="continue"/>
            <w:shd w:val="clear" w:color="auto" w:fill="auto"/>
            <w:vAlign w:val="center"/>
          </w:tcPr>
          <w:p w14:paraId="3A5A4C75">
            <w:pPr>
              <w:pStyle w:val="45"/>
              <w:bidi w:val="0"/>
              <w:rPr>
                <w:rFonts w:hint="eastAsia"/>
              </w:rPr>
            </w:pPr>
          </w:p>
        </w:tc>
        <w:tc>
          <w:tcPr>
            <w:tcW w:w="936" w:type="pct"/>
            <w:shd w:val="clear" w:color="auto" w:fill="auto"/>
            <w:noWrap/>
            <w:vAlign w:val="center"/>
          </w:tcPr>
          <w:p w14:paraId="297EE5C8">
            <w:pPr>
              <w:pStyle w:val="45"/>
              <w:bidi w:val="0"/>
              <w:rPr>
                <w:rFonts w:hint="eastAsia"/>
              </w:rPr>
            </w:pPr>
            <w:r>
              <w:rPr>
                <w:rFonts w:hint="eastAsia"/>
                <w:lang w:val="en-US" w:eastAsia="zh-CN"/>
              </w:rPr>
              <w:t>氯化钡</w:t>
            </w:r>
          </w:p>
        </w:tc>
        <w:tc>
          <w:tcPr>
            <w:tcW w:w="963" w:type="pct"/>
            <w:shd w:val="clear" w:color="auto" w:fill="auto"/>
            <w:noWrap/>
            <w:vAlign w:val="center"/>
          </w:tcPr>
          <w:p w14:paraId="38E606E3">
            <w:pPr>
              <w:pStyle w:val="45"/>
              <w:bidi w:val="0"/>
              <w:rPr>
                <w:rFonts w:hint="default"/>
              </w:rPr>
            </w:pPr>
            <w:r>
              <w:rPr>
                <w:rFonts w:hint="default"/>
                <w:lang w:val="en-US" w:eastAsia="zh-CN"/>
              </w:rPr>
              <w:t>20</w:t>
            </w:r>
          </w:p>
        </w:tc>
        <w:tc>
          <w:tcPr>
            <w:tcW w:w="1155" w:type="pct"/>
            <w:shd w:val="clear" w:color="auto" w:fill="auto"/>
            <w:noWrap/>
            <w:vAlign w:val="center"/>
          </w:tcPr>
          <w:p w14:paraId="14845EF3">
            <w:pPr>
              <w:pStyle w:val="45"/>
              <w:bidi w:val="0"/>
              <w:rPr>
                <w:rFonts w:hint="eastAsia"/>
              </w:rPr>
            </w:pPr>
          </w:p>
        </w:tc>
      </w:tr>
      <w:tr w14:paraId="0946C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6F575086">
            <w:pPr>
              <w:pStyle w:val="45"/>
              <w:bidi w:val="0"/>
              <w:rPr>
                <w:rFonts w:hint="eastAsia"/>
              </w:rPr>
            </w:pPr>
          </w:p>
        </w:tc>
        <w:tc>
          <w:tcPr>
            <w:tcW w:w="648" w:type="pct"/>
            <w:vMerge w:val="continue"/>
            <w:shd w:val="clear" w:color="auto" w:fill="auto"/>
            <w:vAlign w:val="center"/>
          </w:tcPr>
          <w:p w14:paraId="2AE444FB">
            <w:pPr>
              <w:pStyle w:val="45"/>
              <w:bidi w:val="0"/>
              <w:rPr>
                <w:rFonts w:hint="eastAsia"/>
              </w:rPr>
            </w:pPr>
          </w:p>
        </w:tc>
        <w:tc>
          <w:tcPr>
            <w:tcW w:w="648" w:type="pct"/>
            <w:vMerge w:val="continue"/>
            <w:shd w:val="clear" w:color="auto" w:fill="auto"/>
            <w:vAlign w:val="center"/>
          </w:tcPr>
          <w:p w14:paraId="76E73B5F">
            <w:pPr>
              <w:pStyle w:val="45"/>
              <w:bidi w:val="0"/>
              <w:rPr>
                <w:rFonts w:hint="eastAsia"/>
              </w:rPr>
            </w:pPr>
          </w:p>
        </w:tc>
        <w:tc>
          <w:tcPr>
            <w:tcW w:w="936" w:type="pct"/>
            <w:shd w:val="clear" w:color="auto" w:fill="auto"/>
            <w:noWrap/>
            <w:vAlign w:val="center"/>
          </w:tcPr>
          <w:p w14:paraId="5E7E2F87">
            <w:pPr>
              <w:pStyle w:val="45"/>
              <w:bidi w:val="0"/>
              <w:rPr>
                <w:rFonts w:hint="eastAsia"/>
              </w:rPr>
            </w:pPr>
            <w:r>
              <w:rPr>
                <w:rFonts w:hint="eastAsia"/>
                <w:lang w:val="en-US" w:eastAsia="zh-CN"/>
              </w:rPr>
              <w:t>氯酸钠化盐水</w:t>
            </w:r>
          </w:p>
        </w:tc>
        <w:tc>
          <w:tcPr>
            <w:tcW w:w="963" w:type="pct"/>
            <w:shd w:val="clear" w:color="auto" w:fill="auto"/>
            <w:noWrap/>
            <w:vAlign w:val="center"/>
          </w:tcPr>
          <w:p w14:paraId="1C8F1EEC">
            <w:pPr>
              <w:pStyle w:val="45"/>
              <w:bidi w:val="0"/>
              <w:rPr>
                <w:rFonts w:hint="default"/>
              </w:rPr>
            </w:pPr>
            <w:r>
              <w:rPr>
                <w:rFonts w:hint="default"/>
                <w:lang w:val="en-US" w:eastAsia="zh-CN"/>
              </w:rPr>
              <w:t>19500</w:t>
            </w:r>
          </w:p>
        </w:tc>
        <w:tc>
          <w:tcPr>
            <w:tcW w:w="1155" w:type="pct"/>
            <w:shd w:val="clear" w:color="auto" w:fill="auto"/>
            <w:vAlign w:val="center"/>
          </w:tcPr>
          <w:p w14:paraId="02429345">
            <w:pPr>
              <w:pStyle w:val="45"/>
              <w:bidi w:val="0"/>
              <w:rPr>
                <w:rFonts w:hint="eastAsia"/>
              </w:rPr>
            </w:pPr>
            <w:r>
              <w:rPr>
                <w:rFonts w:hint="eastAsia"/>
                <w:lang w:val="en-US" w:eastAsia="zh-CN"/>
              </w:rPr>
              <w:t>纯水、回用冷凝水</w:t>
            </w:r>
          </w:p>
        </w:tc>
      </w:tr>
      <w:tr w14:paraId="398E0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1" w:hRule="atLeast"/>
        </w:trPr>
        <w:tc>
          <w:tcPr>
            <w:tcW w:w="648" w:type="pct"/>
            <w:vMerge w:val="restart"/>
            <w:shd w:val="clear" w:color="auto" w:fill="auto"/>
            <w:vAlign w:val="center"/>
          </w:tcPr>
          <w:p w14:paraId="6680A4B2">
            <w:pPr>
              <w:pStyle w:val="45"/>
              <w:bidi w:val="0"/>
              <w:rPr>
                <w:rFonts w:hint="eastAsia"/>
              </w:rPr>
            </w:pPr>
            <w:r>
              <w:rPr>
                <w:rFonts w:hint="eastAsia"/>
                <w:lang w:val="en-US" w:eastAsia="zh-CN"/>
              </w:rPr>
              <w:t>复分解生产装置</w:t>
            </w:r>
          </w:p>
        </w:tc>
        <w:tc>
          <w:tcPr>
            <w:tcW w:w="648" w:type="pct"/>
            <w:vMerge w:val="restart"/>
            <w:shd w:val="clear" w:color="auto" w:fill="auto"/>
            <w:vAlign w:val="center"/>
          </w:tcPr>
          <w:p w14:paraId="74FAA4DC">
            <w:pPr>
              <w:pStyle w:val="45"/>
              <w:bidi w:val="0"/>
              <w:rPr>
                <w:rFonts w:hint="eastAsia"/>
                <w:lang w:val="en-US" w:eastAsia="zh-CN"/>
              </w:rPr>
            </w:pPr>
            <w:r>
              <w:rPr>
                <w:rFonts w:hint="eastAsia"/>
                <w:lang w:val="en-US" w:eastAsia="zh-CN"/>
              </w:rPr>
              <w:t>一次电解后，氯酸钠不进行二次电解，进入复分解满负荷生产氯酸钾时</w:t>
            </w:r>
          </w:p>
        </w:tc>
        <w:tc>
          <w:tcPr>
            <w:tcW w:w="648" w:type="pct"/>
            <w:vMerge w:val="restart"/>
            <w:shd w:val="clear" w:color="auto" w:fill="auto"/>
            <w:vAlign w:val="center"/>
          </w:tcPr>
          <w:p w14:paraId="6F41BEB6">
            <w:pPr>
              <w:pStyle w:val="45"/>
              <w:bidi w:val="0"/>
              <w:rPr>
                <w:rFonts w:hint="eastAsia"/>
              </w:rPr>
            </w:pPr>
            <w:r>
              <w:rPr>
                <w:rFonts w:hint="eastAsia"/>
                <w:lang w:val="en-US" w:eastAsia="zh-CN"/>
              </w:rPr>
              <w:t>2万吨氯酸钾</w:t>
            </w:r>
          </w:p>
        </w:tc>
        <w:tc>
          <w:tcPr>
            <w:tcW w:w="936" w:type="pct"/>
            <w:shd w:val="clear" w:color="auto" w:fill="auto"/>
            <w:noWrap/>
            <w:vAlign w:val="center"/>
          </w:tcPr>
          <w:p w14:paraId="04351A6A">
            <w:pPr>
              <w:pStyle w:val="45"/>
              <w:bidi w:val="0"/>
              <w:rPr>
                <w:rFonts w:hint="eastAsia"/>
              </w:rPr>
            </w:pPr>
            <w:r>
              <w:rPr>
                <w:rFonts w:hint="eastAsia"/>
                <w:lang w:val="en-US" w:eastAsia="zh-CN"/>
              </w:rPr>
              <w:t>氯酸钠</w:t>
            </w:r>
          </w:p>
        </w:tc>
        <w:tc>
          <w:tcPr>
            <w:tcW w:w="963" w:type="pct"/>
            <w:shd w:val="clear" w:color="auto" w:fill="auto"/>
            <w:noWrap/>
            <w:vAlign w:val="center"/>
          </w:tcPr>
          <w:p w14:paraId="667F2AB9">
            <w:pPr>
              <w:pStyle w:val="45"/>
              <w:bidi w:val="0"/>
              <w:rPr>
                <w:rFonts w:hint="default"/>
              </w:rPr>
            </w:pPr>
            <w:r>
              <w:rPr>
                <w:rFonts w:hint="default"/>
                <w:lang w:val="en-US" w:eastAsia="zh-CN"/>
              </w:rPr>
              <w:t>18000</w:t>
            </w:r>
          </w:p>
        </w:tc>
        <w:tc>
          <w:tcPr>
            <w:tcW w:w="1155" w:type="pct"/>
            <w:shd w:val="clear" w:color="auto" w:fill="auto"/>
            <w:noWrap/>
            <w:vAlign w:val="center"/>
          </w:tcPr>
          <w:p w14:paraId="43BEBAB9">
            <w:pPr>
              <w:pStyle w:val="45"/>
              <w:bidi w:val="0"/>
              <w:rPr>
                <w:rFonts w:hint="eastAsia"/>
              </w:rPr>
            </w:pPr>
            <w:r>
              <w:rPr>
                <w:rFonts w:hint="eastAsia"/>
                <w:lang w:val="en-US" w:eastAsia="zh-CN"/>
              </w:rPr>
              <w:t>自产</w:t>
            </w:r>
          </w:p>
        </w:tc>
      </w:tr>
      <w:tr w14:paraId="7145F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2D69EA69">
            <w:pPr>
              <w:pStyle w:val="45"/>
              <w:bidi w:val="0"/>
              <w:rPr>
                <w:rFonts w:hint="eastAsia"/>
              </w:rPr>
            </w:pPr>
          </w:p>
        </w:tc>
        <w:tc>
          <w:tcPr>
            <w:tcW w:w="648" w:type="pct"/>
            <w:vMerge w:val="continue"/>
            <w:shd w:val="clear" w:color="auto" w:fill="auto"/>
            <w:vAlign w:val="center"/>
          </w:tcPr>
          <w:p w14:paraId="2AADC3EB">
            <w:pPr>
              <w:pStyle w:val="45"/>
              <w:bidi w:val="0"/>
              <w:rPr>
                <w:rFonts w:hint="eastAsia"/>
              </w:rPr>
            </w:pPr>
          </w:p>
        </w:tc>
        <w:tc>
          <w:tcPr>
            <w:tcW w:w="648" w:type="pct"/>
            <w:vMerge w:val="continue"/>
            <w:shd w:val="clear" w:color="auto" w:fill="auto"/>
            <w:vAlign w:val="center"/>
          </w:tcPr>
          <w:p w14:paraId="6D5C2B61">
            <w:pPr>
              <w:pStyle w:val="45"/>
              <w:bidi w:val="0"/>
              <w:rPr>
                <w:rFonts w:hint="eastAsia"/>
              </w:rPr>
            </w:pPr>
          </w:p>
        </w:tc>
        <w:tc>
          <w:tcPr>
            <w:tcW w:w="936" w:type="pct"/>
            <w:shd w:val="clear" w:color="auto" w:fill="auto"/>
            <w:noWrap/>
            <w:vAlign w:val="center"/>
          </w:tcPr>
          <w:p w14:paraId="1277DF1F">
            <w:pPr>
              <w:pStyle w:val="45"/>
              <w:bidi w:val="0"/>
              <w:rPr>
                <w:rFonts w:hint="eastAsia"/>
              </w:rPr>
            </w:pPr>
            <w:r>
              <w:rPr>
                <w:rFonts w:hint="eastAsia"/>
                <w:lang w:val="en-US" w:eastAsia="zh-CN"/>
              </w:rPr>
              <w:t>氯化钾</w:t>
            </w:r>
          </w:p>
        </w:tc>
        <w:tc>
          <w:tcPr>
            <w:tcW w:w="963" w:type="pct"/>
            <w:shd w:val="clear" w:color="auto" w:fill="auto"/>
            <w:noWrap/>
            <w:vAlign w:val="center"/>
          </w:tcPr>
          <w:p w14:paraId="1A6BF34B">
            <w:pPr>
              <w:pStyle w:val="45"/>
              <w:bidi w:val="0"/>
              <w:rPr>
                <w:rFonts w:hint="default"/>
              </w:rPr>
            </w:pPr>
            <w:r>
              <w:rPr>
                <w:rFonts w:hint="default"/>
                <w:lang w:val="en-US" w:eastAsia="zh-CN"/>
              </w:rPr>
              <w:t>13000</w:t>
            </w:r>
          </w:p>
        </w:tc>
        <w:tc>
          <w:tcPr>
            <w:tcW w:w="1155" w:type="pct"/>
            <w:shd w:val="clear" w:color="auto" w:fill="auto"/>
            <w:noWrap/>
            <w:vAlign w:val="center"/>
          </w:tcPr>
          <w:p w14:paraId="05FDDB9E">
            <w:pPr>
              <w:pStyle w:val="45"/>
              <w:bidi w:val="0"/>
              <w:rPr>
                <w:rFonts w:hint="eastAsia"/>
              </w:rPr>
            </w:pPr>
          </w:p>
        </w:tc>
      </w:tr>
      <w:tr w14:paraId="1B0CC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5291C14A">
            <w:pPr>
              <w:pStyle w:val="45"/>
              <w:bidi w:val="0"/>
              <w:rPr>
                <w:rFonts w:hint="eastAsia"/>
              </w:rPr>
            </w:pPr>
          </w:p>
        </w:tc>
        <w:tc>
          <w:tcPr>
            <w:tcW w:w="648" w:type="pct"/>
            <w:vMerge w:val="continue"/>
            <w:shd w:val="clear" w:color="auto" w:fill="auto"/>
            <w:vAlign w:val="center"/>
          </w:tcPr>
          <w:p w14:paraId="1D601226">
            <w:pPr>
              <w:pStyle w:val="45"/>
              <w:bidi w:val="0"/>
              <w:rPr>
                <w:rFonts w:hint="eastAsia"/>
              </w:rPr>
            </w:pPr>
          </w:p>
        </w:tc>
        <w:tc>
          <w:tcPr>
            <w:tcW w:w="648" w:type="pct"/>
            <w:vMerge w:val="continue"/>
            <w:shd w:val="clear" w:color="auto" w:fill="auto"/>
            <w:vAlign w:val="center"/>
          </w:tcPr>
          <w:p w14:paraId="4FED9C37">
            <w:pPr>
              <w:pStyle w:val="45"/>
              <w:bidi w:val="0"/>
              <w:rPr>
                <w:rFonts w:hint="eastAsia"/>
              </w:rPr>
            </w:pPr>
          </w:p>
        </w:tc>
        <w:tc>
          <w:tcPr>
            <w:tcW w:w="936" w:type="pct"/>
            <w:shd w:val="clear" w:color="auto" w:fill="auto"/>
            <w:noWrap/>
            <w:vAlign w:val="center"/>
          </w:tcPr>
          <w:p w14:paraId="353D87FA">
            <w:pPr>
              <w:pStyle w:val="45"/>
              <w:bidi w:val="0"/>
              <w:rPr>
                <w:rFonts w:hint="eastAsia"/>
              </w:rPr>
            </w:pPr>
            <w:r>
              <w:rPr>
                <w:rFonts w:hint="eastAsia"/>
                <w:lang w:val="en-US" w:eastAsia="zh-CN"/>
              </w:rPr>
              <w:t>氯酸钠化盐水</w:t>
            </w:r>
          </w:p>
        </w:tc>
        <w:tc>
          <w:tcPr>
            <w:tcW w:w="963" w:type="pct"/>
            <w:shd w:val="clear" w:color="auto" w:fill="auto"/>
            <w:noWrap/>
            <w:vAlign w:val="center"/>
          </w:tcPr>
          <w:p w14:paraId="1D6950DA">
            <w:pPr>
              <w:pStyle w:val="45"/>
              <w:bidi w:val="0"/>
              <w:rPr>
                <w:rFonts w:hint="default"/>
              </w:rPr>
            </w:pPr>
            <w:r>
              <w:rPr>
                <w:rFonts w:hint="default"/>
                <w:lang w:val="en-US" w:eastAsia="zh-CN"/>
              </w:rPr>
              <w:t>21937.5</w:t>
            </w:r>
          </w:p>
        </w:tc>
        <w:tc>
          <w:tcPr>
            <w:tcW w:w="1155" w:type="pct"/>
            <w:shd w:val="clear" w:color="auto" w:fill="auto"/>
            <w:noWrap/>
            <w:vAlign w:val="center"/>
          </w:tcPr>
          <w:p w14:paraId="725836E4">
            <w:pPr>
              <w:pStyle w:val="45"/>
              <w:bidi w:val="0"/>
              <w:rPr>
                <w:rFonts w:hint="eastAsia"/>
              </w:rPr>
            </w:pPr>
            <w:r>
              <w:rPr>
                <w:rFonts w:hint="eastAsia"/>
                <w:lang w:val="en-US" w:eastAsia="zh-CN"/>
              </w:rPr>
              <w:t>纯水</w:t>
            </w:r>
          </w:p>
        </w:tc>
      </w:tr>
      <w:tr w14:paraId="7E395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1BDA9E5E">
            <w:pPr>
              <w:pStyle w:val="45"/>
              <w:bidi w:val="0"/>
              <w:rPr>
                <w:rFonts w:hint="eastAsia"/>
              </w:rPr>
            </w:pPr>
          </w:p>
        </w:tc>
        <w:tc>
          <w:tcPr>
            <w:tcW w:w="648" w:type="pct"/>
            <w:vMerge w:val="continue"/>
            <w:shd w:val="clear" w:color="auto" w:fill="auto"/>
            <w:vAlign w:val="center"/>
          </w:tcPr>
          <w:p w14:paraId="210D3A76">
            <w:pPr>
              <w:pStyle w:val="45"/>
              <w:bidi w:val="0"/>
              <w:rPr>
                <w:rFonts w:hint="eastAsia"/>
              </w:rPr>
            </w:pPr>
          </w:p>
        </w:tc>
        <w:tc>
          <w:tcPr>
            <w:tcW w:w="648" w:type="pct"/>
            <w:vMerge w:val="continue"/>
            <w:shd w:val="clear" w:color="auto" w:fill="auto"/>
            <w:vAlign w:val="center"/>
          </w:tcPr>
          <w:p w14:paraId="488A8F51">
            <w:pPr>
              <w:pStyle w:val="45"/>
              <w:bidi w:val="0"/>
              <w:rPr>
                <w:rFonts w:hint="eastAsia"/>
              </w:rPr>
            </w:pPr>
          </w:p>
        </w:tc>
        <w:tc>
          <w:tcPr>
            <w:tcW w:w="936" w:type="pct"/>
            <w:shd w:val="clear" w:color="auto" w:fill="auto"/>
            <w:noWrap/>
            <w:vAlign w:val="center"/>
          </w:tcPr>
          <w:p w14:paraId="1F2F0810">
            <w:pPr>
              <w:pStyle w:val="45"/>
              <w:bidi w:val="0"/>
              <w:rPr>
                <w:rFonts w:hint="eastAsia"/>
              </w:rPr>
            </w:pPr>
            <w:r>
              <w:rPr>
                <w:rFonts w:hint="eastAsia"/>
                <w:lang w:val="en-US" w:eastAsia="zh-CN"/>
              </w:rPr>
              <w:t>氯化钾化盐水</w:t>
            </w:r>
          </w:p>
        </w:tc>
        <w:tc>
          <w:tcPr>
            <w:tcW w:w="963" w:type="pct"/>
            <w:shd w:val="clear" w:color="auto" w:fill="auto"/>
            <w:noWrap/>
            <w:vAlign w:val="center"/>
          </w:tcPr>
          <w:p w14:paraId="1E63CB37">
            <w:pPr>
              <w:pStyle w:val="45"/>
              <w:bidi w:val="0"/>
              <w:rPr>
                <w:rFonts w:hint="default"/>
              </w:rPr>
            </w:pPr>
            <w:r>
              <w:rPr>
                <w:rFonts w:hint="default"/>
                <w:lang w:val="en-US" w:eastAsia="zh-CN"/>
              </w:rPr>
              <w:t>29239.2</w:t>
            </w:r>
          </w:p>
        </w:tc>
        <w:tc>
          <w:tcPr>
            <w:tcW w:w="1155" w:type="pct"/>
            <w:shd w:val="clear" w:color="auto" w:fill="auto"/>
            <w:noWrap/>
            <w:vAlign w:val="center"/>
          </w:tcPr>
          <w:p w14:paraId="0522B21D">
            <w:pPr>
              <w:pStyle w:val="45"/>
              <w:bidi w:val="0"/>
              <w:rPr>
                <w:rFonts w:hint="eastAsia"/>
              </w:rPr>
            </w:pPr>
            <w:r>
              <w:rPr>
                <w:rFonts w:hint="eastAsia"/>
                <w:lang w:val="en-US" w:eastAsia="zh-CN"/>
              </w:rPr>
              <w:t>纯水</w:t>
            </w:r>
          </w:p>
        </w:tc>
      </w:tr>
      <w:tr w14:paraId="6D2E7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72FD8DEC">
            <w:pPr>
              <w:pStyle w:val="45"/>
              <w:bidi w:val="0"/>
              <w:rPr>
                <w:rFonts w:hint="eastAsia"/>
              </w:rPr>
            </w:pPr>
          </w:p>
        </w:tc>
        <w:tc>
          <w:tcPr>
            <w:tcW w:w="648" w:type="pct"/>
            <w:vMerge w:val="continue"/>
            <w:shd w:val="clear" w:color="auto" w:fill="auto"/>
            <w:vAlign w:val="center"/>
          </w:tcPr>
          <w:p w14:paraId="308C58FE">
            <w:pPr>
              <w:pStyle w:val="45"/>
              <w:bidi w:val="0"/>
              <w:rPr>
                <w:rFonts w:hint="eastAsia"/>
              </w:rPr>
            </w:pPr>
          </w:p>
        </w:tc>
        <w:tc>
          <w:tcPr>
            <w:tcW w:w="648" w:type="pct"/>
            <w:vMerge w:val="continue"/>
            <w:shd w:val="clear" w:color="auto" w:fill="auto"/>
            <w:vAlign w:val="center"/>
          </w:tcPr>
          <w:p w14:paraId="2B0576B8">
            <w:pPr>
              <w:pStyle w:val="45"/>
              <w:bidi w:val="0"/>
              <w:rPr>
                <w:rFonts w:hint="eastAsia"/>
              </w:rPr>
            </w:pPr>
          </w:p>
        </w:tc>
        <w:tc>
          <w:tcPr>
            <w:tcW w:w="936" w:type="pct"/>
            <w:shd w:val="clear" w:color="auto" w:fill="auto"/>
            <w:noWrap/>
            <w:vAlign w:val="center"/>
          </w:tcPr>
          <w:p w14:paraId="1D295639">
            <w:pPr>
              <w:pStyle w:val="45"/>
              <w:bidi w:val="0"/>
              <w:rPr>
                <w:rFonts w:hint="eastAsia"/>
              </w:rPr>
            </w:pPr>
            <w:r>
              <w:rPr>
                <w:rFonts w:hint="eastAsia"/>
                <w:lang w:val="en-US" w:eastAsia="zh-CN"/>
              </w:rPr>
              <w:t>氯化钡</w:t>
            </w:r>
          </w:p>
        </w:tc>
        <w:tc>
          <w:tcPr>
            <w:tcW w:w="963" w:type="pct"/>
            <w:shd w:val="clear" w:color="auto" w:fill="auto"/>
            <w:noWrap/>
            <w:vAlign w:val="center"/>
          </w:tcPr>
          <w:p w14:paraId="5FA8812F">
            <w:pPr>
              <w:pStyle w:val="45"/>
              <w:bidi w:val="0"/>
              <w:rPr>
                <w:rFonts w:hint="default"/>
              </w:rPr>
            </w:pPr>
            <w:r>
              <w:rPr>
                <w:rFonts w:hint="default"/>
                <w:lang w:val="en-US" w:eastAsia="zh-CN"/>
              </w:rPr>
              <w:t>22.5</w:t>
            </w:r>
          </w:p>
        </w:tc>
        <w:tc>
          <w:tcPr>
            <w:tcW w:w="1155" w:type="pct"/>
            <w:shd w:val="clear" w:color="auto" w:fill="auto"/>
            <w:noWrap/>
            <w:vAlign w:val="center"/>
          </w:tcPr>
          <w:p w14:paraId="4670A59A">
            <w:pPr>
              <w:pStyle w:val="45"/>
              <w:bidi w:val="0"/>
              <w:rPr>
                <w:rFonts w:hint="eastAsia"/>
              </w:rPr>
            </w:pPr>
          </w:p>
        </w:tc>
      </w:tr>
      <w:tr w14:paraId="32802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648" w:type="pct"/>
            <w:vMerge w:val="restart"/>
            <w:shd w:val="clear" w:color="auto" w:fill="auto"/>
            <w:vAlign w:val="center"/>
          </w:tcPr>
          <w:p w14:paraId="5BFA4AEF">
            <w:pPr>
              <w:pStyle w:val="45"/>
              <w:bidi w:val="0"/>
              <w:rPr>
                <w:rFonts w:hint="eastAsia"/>
              </w:rPr>
            </w:pPr>
            <w:r>
              <w:rPr>
                <w:rFonts w:hint="eastAsia"/>
                <w:lang w:val="en-US" w:eastAsia="zh-CN"/>
              </w:rPr>
              <w:t>二次电解生产装置+复分解生产装置</w:t>
            </w:r>
          </w:p>
        </w:tc>
        <w:tc>
          <w:tcPr>
            <w:tcW w:w="648" w:type="pct"/>
            <w:vMerge w:val="restart"/>
            <w:shd w:val="clear" w:color="auto" w:fill="auto"/>
            <w:vAlign w:val="center"/>
          </w:tcPr>
          <w:p w14:paraId="2E9709A6">
            <w:pPr>
              <w:pStyle w:val="45"/>
              <w:bidi w:val="0"/>
              <w:rPr>
                <w:rFonts w:hint="default"/>
                <w:lang w:val="en-US" w:eastAsia="zh-CN"/>
              </w:rPr>
            </w:pPr>
            <w:r>
              <w:rPr>
                <w:rFonts w:hint="eastAsia"/>
                <w:lang w:val="en-US" w:eastAsia="zh-CN"/>
              </w:rPr>
              <w:t>一次电解后，氯酸钠用于二次电解、复分解满负荷生产高氯酸钾时</w:t>
            </w:r>
          </w:p>
        </w:tc>
        <w:tc>
          <w:tcPr>
            <w:tcW w:w="648" w:type="pct"/>
            <w:vMerge w:val="restart"/>
            <w:shd w:val="clear" w:color="auto" w:fill="auto"/>
            <w:vAlign w:val="center"/>
          </w:tcPr>
          <w:p w14:paraId="6D26CFF3">
            <w:pPr>
              <w:pStyle w:val="45"/>
              <w:bidi w:val="0"/>
              <w:rPr>
                <w:rFonts w:hint="eastAsia"/>
              </w:rPr>
            </w:pPr>
            <w:r>
              <w:rPr>
                <w:rFonts w:hint="eastAsia"/>
                <w:lang w:val="en-US" w:eastAsia="zh-CN"/>
              </w:rPr>
              <w:t>2万吨高氯酸钾</w:t>
            </w:r>
          </w:p>
        </w:tc>
        <w:tc>
          <w:tcPr>
            <w:tcW w:w="936" w:type="pct"/>
            <w:shd w:val="clear" w:color="auto" w:fill="auto"/>
            <w:noWrap/>
            <w:vAlign w:val="center"/>
          </w:tcPr>
          <w:p w14:paraId="502A9DE6">
            <w:pPr>
              <w:pStyle w:val="45"/>
              <w:bidi w:val="0"/>
              <w:rPr>
                <w:rFonts w:hint="eastAsia"/>
              </w:rPr>
            </w:pPr>
            <w:r>
              <w:rPr>
                <w:rFonts w:hint="eastAsia"/>
                <w:lang w:val="en-US" w:eastAsia="zh-CN"/>
              </w:rPr>
              <w:t>氯酸钠</w:t>
            </w:r>
          </w:p>
        </w:tc>
        <w:tc>
          <w:tcPr>
            <w:tcW w:w="963" w:type="pct"/>
            <w:shd w:val="clear" w:color="auto" w:fill="auto"/>
            <w:noWrap/>
            <w:vAlign w:val="center"/>
          </w:tcPr>
          <w:p w14:paraId="1C7148F3">
            <w:pPr>
              <w:pStyle w:val="45"/>
              <w:bidi w:val="0"/>
              <w:rPr>
                <w:rFonts w:hint="default"/>
              </w:rPr>
            </w:pPr>
            <w:r>
              <w:rPr>
                <w:rFonts w:hint="default"/>
                <w:lang w:val="en-US" w:eastAsia="zh-CN"/>
              </w:rPr>
              <w:t>16000</w:t>
            </w:r>
          </w:p>
        </w:tc>
        <w:tc>
          <w:tcPr>
            <w:tcW w:w="1155" w:type="pct"/>
            <w:shd w:val="clear" w:color="auto" w:fill="auto"/>
            <w:noWrap/>
            <w:vAlign w:val="center"/>
          </w:tcPr>
          <w:p w14:paraId="7BFE9A85">
            <w:pPr>
              <w:pStyle w:val="45"/>
              <w:bidi w:val="0"/>
              <w:rPr>
                <w:rFonts w:hint="eastAsia"/>
              </w:rPr>
            </w:pPr>
            <w:r>
              <w:rPr>
                <w:rFonts w:hint="eastAsia"/>
                <w:lang w:val="en-US" w:eastAsia="zh-CN"/>
              </w:rPr>
              <w:t>自产</w:t>
            </w:r>
          </w:p>
        </w:tc>
      </w:tr>
      <w:tr w14:paraId="78E76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30766CDB">
            <w:pPr>
              <w:pStyle w:val="45"/>
              <w:bidi w:val="0"/>
              <w:rPr>
                <w:rFonts w:hint="eastAsia"/>
              </w:rPr>
            </w:pPr>
          </w:p>
        </w:tc>
        <w:tc>
          <w:tcPr>
            <w:tcW w:w="648" w:type="pct"/>
            <w:vMerge w:val="continue"/>
            <w:shd w:val="clear" w:color="auto" w:fill="auto"/>
            <w:vAlign w:val="center"/>
          </w:tcPr>
          <w:p w14:paraId="20C080E6">
            <w:pPr>
              <w:pStyle w:val="45"/>
              <w:bidi w:val="0"/>
              <w:rPr>
                <w:rFonts w:hint="eastAsia"/>
              </w:rPr>
            </w:pPr>
          </w:p>
        </w:tc>
        <w:tc>
          <w:tcPr>
            <w:tcW w:w="648" w:type="pct"/>
            <w:vMerge w:val="continue"/>
            <w:shd w:val="clear" w:color="auto" w:fill="auto"/>
            <w:vAlign w:val="center"/>
          </w:tcPr>
          <w:p w14:paraId="1A9B1C97">
            <w:pPr>
              <w:pStyle w:val="45"/>
              <w:bidi w:val="0"/>
              <w:rPr>
                <w:rFonts w:hint="eastAsia"/>
              </w:rPr>
            </w:pPr>
          </w:p>
        </w:tc>
        <w:tc>
          <w:tcPr>
            <w:tcW w:w="936" w:type="pct"/>
            <w:shd w:val="clear" w:color="auto" w:fill="auto"/>
            <w:noWrap/>
            <w:vAlign w:val="center"/>
          </w:tcPr>
          <w:p w14:paraId="5D7861AB">
            <w:pPr>
              <w:pStyle w:val="45"/>
              <w:bidi w:val="0"/>
              <w:rPr>
                <w:rFonts w:hint="eastAsia"/>
              </w:rPr>
            </w:pPr>
            <w:r>
              <w:rPr>
                <w:rFonts w:hint="eastAsia"/>
                <w:lang w:val="en-US" w:eastAsia="zh-CN"/>
              </w:rPr>
              <w:t>氯化钡</w:t>
            </w:r>
          </w:p>
        </w:tc>
        <w:tc>
          <w:tcPr>
            <w:tcW w:w="963" w:type="pct"/>
            <w:shd w:val="clear" w:color="auto" w:fill="auto"/>
            <w:noWrap/>
            <w:vAlign w:val="center"/>
          </w:tcPr>
          <w:p w14:paraId="76816DC5">
            <w:pPr>
              <w:pStyle w:val="45"/>
              <w:bidi w:val="0"/>
              <w:rPr>
                <w:rFonts w:hint="default"/>
              </w:rPr>
            </w:pPr>
            <w:r>
              <w:rPr>
                <w:rFonts w:hint="default"/>
                <w:lang w:val="en-US" w:eastAsia="zh-CN"/>
              </w:rPr>
              <w:t>20</w:t>
            </w:r>
          </w:p>
        </w:tc>
        <w:tc>
          <w:tcPr>
            <w:tcW w:w="1155" w:type="pct"/>
            <w:shd w:val="clear" w:color="auto" w:fill="auto"/>
            <w:noWrap/>
            <w:vAlign w:val="center"/>
          </w:tcPr>
          <w:p w14:paraId="7FD88B07">
            <w:pPr>
              <w:pStyle w:val="45"/>
              <w:bidi w:val="0"/>
              <w:rPr>
                <w:rFonts w:hint="eastAsia"/>
              </w:rPr>
            </w:pPr>
          </w:p>
        </w:tc>
      </w:tr>
      <w:tr w14:paraId="5390C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0F46EEF3">
            <w:pPr>
              <w:pStyle w:val="45"/>
              <w:bidi w:val="0"/>
              <w:rPr>
                <w:rFonts w:hint="eastAsia"/>
              </w:rPr>
            </w:pPr>
          </w:p>
        </w:tc>
        <w:tc>
          <w:tcPr>
            <w:tcW w:w="648" w:type="pct"/>
            <w:vMerge w:val="continue"/>
            <w:shd w:val="clear" w:color="auto" w:fill="auto"/>
            <w:vAlign w:val="center"/>
          </w:tcPr>
          <w:p w14:paraId="2C84FE0D">
            <w:pPr>
              <w:pStyle w:val="45"/>
              <w:bidi w:val="0"/>
              <w:rPr>
                <w:rFonts w:hint="eastAsia"/>
              </w:rPr>
            </w:pPr>
          </w:p>
        </w:tc>
        <w:tc>
          <w:tcPr>
            <w:tcW w:w="648" w:type="pct"/>
            <w:vMerge w:val="continue"/>
            <w:shd w:val="clear" w:color="auto" w:fill="auto"/>
            <w:vAlign w:val="center"/>
          </w:tcPr>
          <w:p w14:paraId="508E46BC">
            <w:pPr>
              <w:pStyle w:val="45"/>
              <w:bidi w:val="0"/>
              <w:rPr>
                <w:rFonts w:hint="eastAsia"/>
              </w:rPr>
            </w:pPr>
          </w:p>
        </w:tc>
        <w:tc>
          <w:tcPr>
            <w:tcW w:w="936" w:type="pct"/>
            <w:shd w:val="clear" w:color="auto" w:fill="auto"/>
            <w:noWrap/>
            <w:vAlign w:val="center"/>
          </w:tcPr>
          <w:p w14:paraId="48C7959A">
            <w:pPr>
              <w:pStyle w:val="45"/>
              <w:bidi w:val="0"/>
              <w:rPr>
                <w:rFonts w:hint="eastAsia"/>
              </w:rPr>
            </w:pPr>
            <w:r>
              <w:rPr>
                <w:rFonts w:hint="eastAsia"/>
                <w:lang w:val="en-US" w:eastAsia="zh-CN"/>
              </w:rPr>
              <w:t>氯化钾</w:t>
            </w:r>
          </w:p>
        </w:tc>
        <w:tc>
          <w:tcPr>
            <w:tcW w:w="963" w:type="pct"/>
            <w:shd w:val="clear" w:color="auto" w:fill="auto"/>
            <w:noWrap/>
            <w:vAlign w:val="center"/>
          </w:tcPr>
          <w:p w14:paraId="2721AD58">
            <w:pPr>
              <w:pStyle w:val="45"/>
              <w:bidi w:val="0"/>
              <w:rPr>
                <w:rFonts w:hint="default"/>
              </w:rPr>
            </w:pPr>
            <w:r>
              <w:rPr>
                <w:rFonts w:hint="default"/>
                <w:lang w:val="en-US" w:eastAsia="zh-CN"/>
              </w:rPr>
              <w:t>12000</w:t>
            </w:r>
          </w:p>
        </w:tc>
        <w:tc>
          <w:tcPr>
            <w:tcW w:w="1155" w:type="pct"/>
            <w:shd w:val="clear" w:color="auto" w:fill="auto"/>
            <w:noWrap/>
            <w:vAlign w:val="center"/>
          </w:tcPr>
          <w:p w14:paraId="01267ECA">
            <w:pPr>
              <w:pStyle w:val="45"/>
              <w:bidi w:val="0"/>
              <w:rPr>
                <w:rFonts w:hint="eastAsia"/>
              </w:rPr>
            </w:pPr>
          </w:p>
        </w:tc>
      </w:tr>
      <w:tr w14:paraId="559F2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1E9C5EAF">
            <w:pPr>
              <w:pStyle w:val="45"/>
              <w:bidi w:val="0"/>
              <w:rPr>
                <w:rFonts w:hint="eastAsia"/>
              </w:rPr>
            </w:pPr>
          </w:p>
        </w:tc>
        <w:tc>
          <w:tcPr>
            <w:tcW w:w="648" w:type="pct"/>
            <w:vMerge w:val="continue"/>
            <w:shd w:val="clear" w:color="auto" w:fill="auto"/>
            <w:vAlign w:val="center"/>
          </w:tcPr>
          <w:p w14:paraId="4370F22C">
            <w:pPr>
              <w:pStyle w:val="45"/>
              <w:bidi w:val="0"/>
              <w:rPr>
                <w:rFonts w:hint="eastAsia"/>
              </w:rPr>
            </w:pPr>
          </w:p>
        </w:tc>
        <w:tc>
          <w:tcPr>
            <w:tcW w:w="648" w:type="pct"/>
            <w:vMerge w:val="continue"/>
            <w:shd w:val="clear" w:color="auto" w:fill="auto"/>
            <w:vAlign w:val="center"/>
          </w:tcPr>
          <w:p w14:paraId="1B64E507">
            <w:pPr>
              <w:pStyle w:val="45"/>
              <w:bidi w:val="0"/>
              <w:rPr>
                <w:rFonts w:hint="eastAsia"/>
              </w:rPr>
            </w:pPr>
          </w:p>
        </w:tc>
        <w:tc>
          <w:tcPr>
            <w:tcW w:w="936" w:type="pct"/>
            <w:shd w:val="clear" w:color="auto" w:fill="auto"/>
            <w:noWrap/>
            <w:vAlign w:val="center"/>
          </w:tcPr>
          <w:p w14:paraId="26D505D8">
            <w:pPr>
              <w:pStyle w:val="45"/>
              <w:bidi w:val="0"/>
              <w:rPr>
                <w:rFonts w:hint="eastAsia"/>
              </w:rPr>
            </w:pPr>
            <w:r>
              <w:rPr>
                <w:rFonts w:hint="eastAsia"/>
                <w:lang w:val="en-US" w:eastAsia="zh-CN"/>
              </w:rPr>
              <w:t>氯酸钠化盐水</w:t>
            </w:r>
          </w:p>
        </w:tc>
        <w:tc>
          <w:tcPr>
            <w:tcW w:w="963" w:type="pct"/>
            <w:shd w:val="clear" w:color="auto" w:fill="auto"/>
            <w:noWrap/>
            <w:vAlign w:val="center"/>
          </w:tcPr>
          <w:p w14:paraId="581C3FA7">
            <w:pPr>
              <w:pStyle w:val="45"/>
              <w:bidi w:val="0"/>
              <w:rPr>
                <w:rFonts w:hint="default"/>
              </w:rPr>
            </w:pPr>
            <w:r>
              <w:rPr>
                <w:rFonts w:hint="default"/>
                <w:lang w:val="en-US" w:eastAsia="zh-CN"/>
              </w:rPr>
              <w:t>19500</w:t>
            </w:r>
          </w:p>
        </w:tc>
        <w:tc>
          <w:tcPr>
            <w:tcW w:w="1155" w:type="pct"/>
            <w:shd w:val="clear" w:color="auto" w:fill="auto"/>
            <w:noWrap/>
            <w:vAlign w:val="center"/>
          </w:tcPr>
          <w:p w14:paraId="07554E96">
            <w:pPr>
              <w:pStyle w:val="45"/>
              <w:bidi w:val="0"/>
              <w:rPr>
                <w:rFonts w:hint="eastAsia"/>
              </w:rPr>
            </w:pPr>
            <w:r>
              <w:rPr>
                <w:rFonts w:hint="eastAsia"/>
                <w:lang w:val="en-US" w:eastAsia="zh-CN"/>
              </w:rPr>
              <w:t>纯水、回用冷凝水</w:t>
            </w:r>
          </w:p>
        </w:tc>
      </w:tr>
      <w:tr w14:paraId="4CA12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421EECF5">
            <w:pPr>
              <w:pStyle w:val="45"/>
              <w:bidi w:val="0"/>
              <w:rPr>
                <w:rFonts w:hint="eastAsia"/>
              </w:rPr>
            </w:pPr>
          </w:p>
        </w:tc>
        <w:tc>
          <w:tcPr>
            <w:tcW w:w="648" w:type="pct"/>
            <w:vMerge w:val="continue"/>
            <w:shd w:val="clear" w:color="auto" w:fill="auto"/>
            <w:vAlign w:val="center"/>
          </w:tcPr>
          <w:p w14:paraId="64E0F1CD">
            <w:pPr>
              <w:pStyle w:val="45"/>
              <w:bidi w:val="0"/>
              <w:rPr>
                <w:rFonts w:hint="eastAsia"/>
              </w:rPr>
            </w:pPr>
          </w:p>
        </w:tc>
        <w:tc>
          <w:tcPr>
            <w:tcW w:w="648" w:type="pct"/>
            <w:vMerge w:val="continue"/>
            <w:shd w:val="clear" w:color="auto" w:fill="auto"/>
            <w:vAlign w:val="center"/>
          </w:tcPr>
          <w:p w14:paraId="52732384">
            <w:pPr>
              <w:pStyle w:val="45"/>
              <w:bidi w:val="0"/>
              <w:rPr>
                <w:rFonts w:hint="eastAsia"/>
              </w:rPr>
            </w:pPr>
          </w:p>
        </w:tc>
        <w:tc>
          <w:tcPr>
            <w:tcW w:w="936" w:type="pct"/>
            <w:shd w:val="clear" w:color="auto" w:fill="auto"/>
            <w:noWrap/>
            <w:vAlign w:val="center"/>
          </w:tcPr>
          <w:p w14:paraId="02647225">
            <w:pPr>
              <w:pStyle w:val="45"/>
              <w:bidi w:val="0"/>
              <w:rPr>
                <w:rFonts w:hint="eastAsia"/>
              </w:rPr>
            </w:pPr>
            <w:r>
              <w:rPr>
                <w:rFonts w:hint="eastAsia"/>
                <w:lang w:val="en-US" w:eastAsia="zh-CN"/>
              </w:rPr>
              <w:t>氯化钾化盐水</w:t>
            </w:r>
          </w:p>
        </w:tc>
        <w:tc>
          <w:tcPr>
            <w:tcW w:w="963" w:type="pct"/>
            <w:shd w:val="clear" w:color="auto" w:fill="auto"/>
            <w:noWrap/>
            <w:vAlign w:val="center"/>
          </w:tcPr>
          <w:p w14:paraId="2FB72110">
            <w:pPr>
              <w:pStyle w:val="45"/>
              <w:bidi w:val="0"/>
              <w:rPr>
                <w:rFonts w:hint="default"/>
              </w:rPr>
            </w:pPr>
            <w:r>
              <w:rPr>
                <w:rFonts w:hint="default"/>
                <w:lang w:val="en-US" w:eastAsia="zh-CN"/>
              </w:rPr>
              <w:t>26990</w:t>
            </w:r>
          </w:p>
        </w:tc>
        <w:tc>
          <w:tcPr>
            <w:tcW w:w="1155" w:type="pct"/>
            <w:shd w:val="clear" w:color="auto" w:fill="auto"/>
            <w:vAlign w:val="center"/>
          </w:tcPr>
          <w:p w14:paraId="6A6C5A6C">
            <w:pPr>
              <w:pStyle w:val="45"/>
              <w:bidi w:val="0"/>
              <w:rPr>
                <w:rFonts w:hint="eastAsia"/>
              </w:rPr>
            </w:pPr>
            <w:r>
              <w:rPr>
                <w:rFonts w:hint="eastAsia"/>
                <w:lang w:val="en-US" w:eastAsia="zh-CN"/>
              </w:rPr>
              <w:t>回用水</w:t>
            </w:r>
          </w:p>
        </w:tc>
      </w:tr>
      <w:tr w14:paraId="7615F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1" w:hRule="atLeast"/>
        </w:trPr>
        <w:tc>
          <w:tcPr>
            <w:tcW w:w="648" w:type="pct"/>
            <w:vMerge w:val="restart"/>
            <w:shd w:val="clear" w:color="auto" w:fill="auto"/>
            <w:vAlign w:val="center"/>
          </w:tcPr>
          <w:p w14:paraId="2DF2132B">
            <w:pPr>
              <w:pStyle w:val="45"/>
              <w:bidi w:val="0"/>
              <w:rPr>
                <w:rFonts w:hint="eastAsia"/>
              </w:rPr>
            </w:pPr>
            <w:r>
              <w:rPr>
                <w:rFonts w:hint="eastAsia"/>
                <w:lang w:val="en-US" w:eastAsia="zh-CN"/>
              </w:rPr>
              <w:t>锂盐生产装置</w:t>
            </w:r>
          </w:p>
        </w:tc>
        <w:tc>
          <w:tcPr>
            <w:tcW w:w="648" w:type="pct"/>
            <w:vMerge w:val="restart"/>
            <w:shd w:val="clear" w:color="auto" w:fill="auto"/>
            <w:noWrap/>
            <w:vAlign w:val="center"/>
          </w:tcPr>
          <w:p w14:paraId="3BF37124">
            <w:pPr>
              <w:pStyle w:val="45"/>
              <w:bidi w:val="0"/>
              <w:rPr>
                <w:rFonts w:hint="default"/>
                <w:lang w:val="en-US" w:eastAsia="zh-CN"/>
              </w:rPr>
            </w:pPr>
            <w:r>
              <w:rPr>
                <w:rFonts w:hint="eastAsia"/>
                <w:lang w:val="en-US" w:eastAsia="zh-CN"/>
              </w:rPr>
              <w:t>/</w:t>
            </w:r>
          </w:p>
        </w:tc>
        <w:tc>
          <w:tcPr>
            <w:tcW w:w="648" w:type="pct"/>
            <w:vMerge w:val="restart"/>
            <w:shd w:val="clear" w:color="auto" w:fill="auto"/>
            <w:noWrap/>
            <w:vAlign w:val="center"/>
          </w:tcPr>
          <w:p w14:paraId="46EFDCA1">
            <w:pPr>
              <w:pStyle w:val="45"/>
              <w:bidi w:val="0"/>
              <w:rPr>
                <w:rFonts w:hint="eastAsia"/>
              </w:rPr>
            </w:pPr>
            <w:r>
              <w:rPr>
                <w:rFonts w:hint="eastAsia"/>
                <w:lang w:val="en-US" w:eastAsia="zh-CN"/>
              </w:rPr>
              <w:t>氯化锂</w:t>
            </w:r>
          </w:p>
        </w:tc>
        <w:tc>
          <w:tcPr>
            <w:tcW w:w="936" w:type="pct"/>
            <w:shd w:val="clear" w:color="auto" w:fill="auto"/>
            <w:noWrap/>
            <w:vAlign w:val="center"/>
          </w:tcPr>
          <w:p w14:paraId="6346A032">
            <w:pPr>
              <w:pStyle w:val="45"/>
              <w:bidi w:val="0"/>
              <w:rPr>
                <w:rFonts w:hint="eastAsia"/>
              </w:rPr>
            </w:pPr>
            <w:r>
              <w:rPr>
                <w:rFonts w:hint="eastAsia"/>
                <w:lang w:val="en-US" w:eastAsia="zh-CN"/>
              </w:rPr>
              <w:t>碳酸锂</w:t>
            </w:r>
          </w:p>
        </w:tc>
        <w:tc>
          <w:tcPr>
            <w:tcW w:w="963" w:type="pct"/>
            <w:shd w:val="clear" w:color="auto" w:fill="auto"/>
            <w:noWrap/>
            <w:vAlign w:val="center"/>
          </w:tcPr>
          <w:p w14:paraId="75FC9D47">
            <w:pPr>
              <w:pStyle w:val="45"/>
              <w:bidi w:val="0"/>
              <w:rPr>
                <w:rFonts w:hint="default"/>
              </w:rPr>
            </w:pPr>
            <w:r>
              <w:rPr>
                <w:rFonts w:hint="default"/>
                <w:lang w:val="en-US" w:eastAsia="zh-CN"/>
              </w:rPr>
              <w:t>180</w:t>
            </w:r>
          </w:p>
        </w:tc>
        <w:tc>
          <w:tcPr>
            <w:tcW w:w="1155" w:type="pct"/>
            <w:shd w:val="clear" w:color="auto" w:fill="auto"/>
            <w:noWrap/>
            <w:vAlign w:val="center"/>
          </w:tcPr>
          <w:p w14:paraId="510B9CF9">
            <w:pPr>
              <w:pStyle w:val="45"/>
              <w:bidi w:val="0"/>
              <w:rPr>
                <w:rFonts w:hint="eastAsia"/>
              </w:rPr>
            </w:pPr>
          </w:p>
        </w:tc>
      </w:tr>
      <w:tr w14:paraId="139D1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0967974C">
            <w:pPr>
              <w:pStyle w:val="45"/>
              <w:bidi w:val="0"/>
              <w:rPr>
                <w:rFonts w:hint="eastAsia"/>
              </w:rPr>
            </w:pPr>
          </w:p>
        </w:tc>
        <w:tc>
          <w:tcPr>
            <w:tcW w:w="648" w:type="pct"/>
            <w:vMerge w:val="continue"/>
            <w:shd w:val="clear" w:color="auto" w:fill="auto"/>
            <w:noWrap/>
            <w:vAlign w:val="center"/>
          </w:tcPr>
          <w:p w14:paraId="6D251739">
            <w:pPr>
              <w:pStyle w:val="45"/>
              <w:bidi w:val="0"/>
              <w:rPr>
                <w:rFonts w:hint="eastAsia"/>
              </w:rPr>
            </w:pPr>
          </w:p>
        </w:tc>
        <w:tc>
          <w:tcPr>
            <w:tcW w:w="648" w:type="pct"/>
            <w:vMerge w:val="continue"/>
            <w:shd w:val="clear" w:color="auto" w:fill="auto"/>
            <w:noWrap/>
            <w:vAlign w:val="center"/>
          </w:tcPr>
          <w:p w14:paraId="084B547E">
            <w:pPr>
              <w:pStyle w:val="45"/>
              <w:bidi w:val="0"/>
              <w:rPr>
                <w:rFonts w:hint="eastAsia"/>
              </w:rPr>
            </w:pPr>
          </w:p>
        </w:tc>
        <w:tc>
          <w:tcPr>
            <w:tcW w:w="936" w:type="pct"/>
            <w:shd w:val="clear" w:color="auto" w:fill="auto"/>
            <w:noWrap/>
            <w:vAlign w:val="center"/>
          </w:tcPr>
          <w:p w14:paraId="2B519A38">
            <w:pPr>
              <w:pStyle w:val="45"/>
              <w:bidi w:val="0"/>
              <w:rPr>
                <w:rFonts w:hint="default"/>
              </w:rPr>
            </w:pPr>
            <w:r>
              <w:rPr>
                <w:rFonts w:hint="default"/>
                <w:lang w:val="en-US" w:eastAsia="zh-CN"/>
              </w:rPr>
              <w:t>31%</w:t>
            </w:r>
            <w:r>
              <w:rPr>
                <w:rFonts w:hint="eastAsia"/>
                <w:lang w:val="en-US" w:eastAsia="zh-CN"/>
              </w:rPr>
              <w:t>盐酸</w:t>
            </w:r>
          </w:p>
        </w:tc>
        <w:tc>
          <w:tcPr>
            <w:tcW w:w="963" w:type="pct"/>
            <w:shd w:val="clear" w:color="auto" w:fill="auto"/>
            <w:noWrap/>
            <w:vAlign w:val="center"/>
          </w:tcPr>
          <w:p w14:paraId="0CF6EE59">
            <w:pPr>
              <w:pStyle w:val="45"/>
              <w:bidi w:val="0"/>
              <w:rPr>
                <w:rFonts w:hint="default"/>
              </w:rPr>
            </w:pPr>
            <w:r>
              <w:rPr>
                <w:rFonts w:hint="default"/>
                <w:lang w:val="en-US" w:eastAsia="zh-CN"/>
              </w:rPr>
              <w:t>630</w:t>
            </w:r>
          </w:p>
        </w:tc>
        <w:tc>
          <w:tcPr>
            <w:tcW w:w="1155" w:type="pct"/>
            <w:shd w:val="clear" w:color="auto" w:fill="auto"/>
            <w:noWrap/>
            <w:vAlign w:val="center"/>
          </w:tcPr>
          <w:p w14:paraId="174C52F8">
            <w:pPr>
              <w:pStyle w:val="45"/>
              <w:bidi w:val="0"/>
              <w:rPr>
                <w:rFonts w:hint="eastAsia"/>
              </w:rPr>
            </w:pPr>
          </w:p>
        </w:tc>
      </w:tr>
      <w:tr w14:paraId="0FAA8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52258FDF">
            <w:pPr>
              <w:pStyle w:val="45"/>
              <w:bidi w:val="0"/>
              <w:rPr>
                <w:rFonts w:hint="eastAsia"/>
              </w:rPr>
            </w:pPr>
          </w:p>
        </w:tc>
        <w:tc>
          <w:tcPr>
            <w:tcW w:w="648" w:type="pct"/>
            <w:vMerge w:val="continue"/>
            <w:shd w:val="clear" w:color="auto" w:fill="auto"/>
            <w:vAlign w:val="center"/>
          </w:tcPr>
          <w:p w14:paraId="18EAD7F8">
            <w:pPr>
              <w:pStyle w:val="45"/>
              <w:bidi w:val="0"/>
              <w:rPr>
                <w:rFonts w:hint="eastAsia"/>
                <w:lang w:val="en-US" w:eastAsia="zh-CN"/>
              </w:rPr>
            </w:pPr>
          </w:p>
        </w:tc>
        <w:tc>
          <w:tcPr>
            <w:tcW w:w="648" w:type="pct"/>
            <w:vMerge w:val="restart"/>
            <w:shd w:val="clear" w:color="auto" w:fill="auto"/>
            <w:vAlign w:val="center"/>
          </w:tcPr>
          <w:p w14:paraId="4727BE20">
            <w:pPr>
              <w:pStyle w:val="45"/>
              <w:bidi w:val="0"/>
              <w:rPr>
                <w:rFonts w:hint="eastAsia"/>
              </w:rPr>
            </w:pPr>
            <w:r>
              <w:rPr>
                <w:rFonts w:hint="eastAsia"/>
                <w:lang w:val="en-US" w:eastAsia="zh-CN"/>
              </w:rPr>
              <w:t>200吨无水高氯酸锂（一等品）</w:t>
            </w:r>
          </w:p>
        </w:tc>
        <w:tc>
          <w:tcPr>
            <w:tcW w:w="936" w:type="pct"/>
            <w:shd w:val="clear" w:color="auto" w:fill="auto"/>
            <w:noWrap/>
            <w:vAlign w:val="center"/>
          </w:tcPr>
          <w:p w14:paraId="762607D7">
            <w:pPr>
              <w:pStyle w:val="45"/>
              <w:bidi w:val="0"/>
              <w:rPr>
                <w:rFonts w:hint="eastAsia"/>
              </w:rPr>
            </w:pPr>
            <w:r>
              <w:rPr>
                <w:rFonts w:hint="eastAsia"/>
                <w:lang w:val="en-US" w:eastAsia="zh-CN"/>
              </w:rPr>
              <w:t>一水高钠</w:t>
            </w:r>
          </w:p>
        </w:tc>
        <w:tc>
          <w:tcPr>
            <w:tcW w:w="963" w:type="pct"/>
            <w:shd w:val="clear" w:color="auto" w:fill="auto"/>
            <w:noWrap/>
            <w:vAlign w:val="center"/>
          </w:tcPr>
          <w:p w14:paraId="50B93A94">
            <w:pPr>
              <w:pStyle w:val="45"/>
              <w:bidi w:val="0"/>
              <w:rPr>
                <w:rFonts w:hint="default"/>
              </w:rPr>
            </w:pPr>
            <w:r>
              <w:rPr>
                <w:rFonts w:hint="default"/>
                <w:lang w:val="en-US" w:eastAsia="zh-CN"/>
              </w:rPr>
              <w:t>680</w:t>
            </w:r>
          </w:p>
        </w:tc>
        <w:tc>
          <w:tcPr>
            <w:tcW w:w="1155" w:type="pct"/>
            <w:shd w:val="clear" w:color="auto" w:fill="auto"/>
            <w:noWrap/>
            <w:vAlign w:val="center"/>
          </w:tcPr>
          <w:p w14:paraId="470FCB8A">
            <w:pPr>
              <w:pStyle w:val="45"/>
              <w:bidi w:val="0"/>
              <w:rPr>
                <w:rFonts w:hint="eastAsia"/>
              </w:rPr>
            </w:pPr>
            <w:r>
              <w:rPr>
                <w:rFonts w:hint="eastAsia"/>
                <w:lang w:val="en-US" w:eastAsia="zh-CN"/>
              </w:rPr>
              <w:t>自产</w:t>
            </w:r>
          </w:p>
        </w:tc>
      </w:tr>
      <w:tr w14:paraId="3A27A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212AB204">
            <w:pPr>
              <w:pStyle w:val="45"/>
              <w:bidi w:val="0"/>
              <w:rPr>
                <w:rFonts w:hint="eastAsia"/>
              </w:rPr>
            </w:pPr>
          </w:p>
        </w:tc>
        <w:tc>
          <w:tcPr>
            <w:tcW w:w="648" w:type="pct"/>
            <w:vMerge w:val="continue"/>
            <w:shd w:val="clear" w:color="auto" w:fill="auto"/>
            <w:vAlign w:val="center"/>
          </w:tcPr>
          <w:p w14:paraId="11BB900F">
            <w:pPr>
              <w:pStyle w:val="45"/>
              <w:bidi w:val="0"/>
              <w:rPr>
                <w:rFonts w:hint="eastAsia"/>
              </w:rPr>
            </w:pPr>
          </w:p>
        </w:tc>
        <w:tc>
          <w:tcPr>
            <w:tcW w:w="648" w:type="pct"/>
            <w:vMerge w:val="continue"/>
            <w:shd w:val="clear" w:color="auto" w:fill="auto"/>
            <w:vAlign w:val="center"/>
          </w:tcPr>
          <w:p w14:paraId="5B7E5BB9">
            <w:pPr>
              <w:pStyle w:val="45"/>
              <w:bidi w:val="0"/>
              <w:rPr>
                <w:rFonts w:hint="eastAsia"/>
              </w:rPr>
            </w:pPr>
          </w:p>
        </w:tc>
        <w:tc>
          <w:tcPr>
            <w:tcW w:w="936" w:type="pct"/>
            <w:shd w:val="clear" w:color="auto" w:fill="auto"/>
            <w:noWrap/>
            <w:vAlign w:val="center"/>
          </w:tcPr>
          <w:p w14:paraId="1DF74AD0">
            <w:pPr>
              <w:pStyle w:val="45"/>
              <w:bidi w:val="0"/>
              <w:rPr>
                <w:rFonts w:hint="eastAsia"/>
              </w:rPr>
            </w:pPr>
            <w:r>
              <w:rPr>
                <w:rFonts w:hint="eastAsia"/>
                <w:lang w:val="en-US" w:eastAsia="zh-CN"/>
              </w:rPr>
              <w:t>氯化锂</w:t>
            </w:r>
          </w:p>
        </w:tc>
        <w:tc>
          <w:tcPr>
            <w:tcW w:w="963" w:type="pct"/>
            <w:shd w:val="clear" w:color="auto" w:fill="auto"/>
            <w:noWrap/>
            <w:vAlign w:val="center"/>
          </w:tcPr>
          <w:p w14:paraId="19DFF0B9">
            <w:pPr>
              <w:pStyle w:val="45"/>
              <w:bidi w:val="0"/>
              <w:rPr>
                <w:rFonts w:hint="default"/>
              </w:rPr>
            </w:pPr>
            <w:r>
              <w:rPr>
                <w:rFonts w:hint="default"/>
                <w:lang w:val="en-US" w:eastAsia="zh-CN"/>
              </w:rPr>
              <w:t>200</w:t>
            </w:r>
          </w:p>
        </w:tc>
        <w:tc>
          <w:tcPr>
            <w:tcW w:w="1155" w:type="pct"/>
            <w:shd w:val="clear" w:color="auto" w:fill="auto"/>
            <w:noWrap/>
            <w:vAlign w:val="center"/>
          </w:tcPr>
          <w:p w14:paraId="22A78B80">
            <w:pPr>
              <w:pStyle w:val="45"/>
              <w:bidi w:val="0"/>
              <w:rPr>
                <w:rFonts w:hint="eastAsia"/>
              </w:rPr>
            </w:pPr>
            <w:r>
              <w:rPr>
                <w:rFonts w:hint="eastAsia"/>
                <w:lang w:val="en-US" w:eastAsia="zh-CN"/>
              </w:rPr>
              <w:t>自产</w:t>
            </w:r>
          </w:p>
        </w:tc>
      </w:tr>
      <w:tr w14:paraId="42441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33511624">
            <w:pPr>
              <w:pStyle w:val="45"/>
              <w:bidi w:val="0"/>
              <w:rPr>
                <w:rFonts w:hint="eastAsia"/>
              </w:rPr>
            </w:pPr>
          </w:p>
        </w:tc>
        <w:tc>
          <w:tcPr>
            <w:tcW w:w="648" w:type="pct"/>
            <w:vMerge w:val="continue"/>
            <w:shd w:val="clear" w:color="auto" w:fill="auto"/>
            <w:vAlign w:val="center"/>
          </w:tcPr>
          <w:p w14:paraId="5B376259">
            <w:pPr>
              <w:pStyle w:val="45"/>
              <w:bidi w:val="0"/>
              <w:rPr>
                <w:rFonts w:hint="eastAsia"/>
              </w:rPr>
            </w:pPr>
          </w:p>
        </w:tc>
        <w:tc>
          <w:tcPr>
            <w:tcW w:w="648" w:type="pct"/>
            <w:vMerge w:val="continue"/>
            <w:shd w:val="clear" w:color="auto" w:fill="auto"/>
            <w:vAlign w:val="center"/>
          </w:tcPr>
          <w:p w14:paraId="646E16A6">
            <w:pPr>
              <w:pStyle w:val="45"/>
              <w:bidi w:val="0"/>
              <w:rPr>
                <w:rFonts w:hint="eastAsia"/>
              </w:rPr>
            </w:pPr>
          </w:p>
        </w:tc>
        <w:tc>
          <w:tcPr>
            <w:tcW w:w="936" w:type="pct"/>
            <w:shd w:val="clear" w:color="auto" w:fill="auto"/>
            <w:noWrap/>
            <w:vAlign w:val="center"/>
          </w:tcPr>
          <w:p w14:paraId="0026D3F1">
            <w:pPr>
              <w:pStyle w:val="45"/>
              <w:bidi w:val="0"/>
              <w:rPr>
                <w:rFonts w:hint="eastAsia"/>
              </w:rPr>
            </w:pPr>
            <w:r>
              <w:rPr>
                <w:rFonts w:hint="eastAsia"/>
                <w:lang w:val="en-US" w:eastAsia="zh-CN"/>
              </w:rPr>
              <w:t>化盐水</w:t>
            </w:r>
          </w:p>
        </w:tc>
        <w:tc>
          <w:tcPr>
            <w:tcW w:w="963" w:type="pct"/>
            <w:shd w:val="clear" w:color="auto" w:fill="auto"/>
            <w:noWrap/>
            <w:vAlign w:val="center"/>
          </w:tcPr>
          <w:p w14:paraId="2AF60874">
            <w:pPr>
              <w:pStyle w:val="45"/>
              <w:bidi w:val="0"/>
              <w:rPr>
                <w:rFonts w:hint="default"/>
              </w:rPr>
            </w:pPr>
            <w:r>
              <w:rPr>
                <w:rFonts w:hint="default"/>
                <w:lang w:val="en-US" w:eastAsia="zh-CN"/>
              </w:rPr>
              <w:t>620</w:t>
            </w:r>
          </w:p>
        </w:tc>
        <w:tc>
          <w:tcPr>
            <w:tcW w:w="1155" w:type="pct"/>
            <w:shd w:val="clear" w:color="auto" w:fill="auto"/>
            <w:noWrap/>
            <w:vAlign w:val="center"/>
          </w:tcPr>
          <w:p w14:paraId="3F27F10D">
            <w:pPr>
              <w:pStyle w:val="45"/>
              <w:bidi w:val="0"/>
              <w:rPr>
                <w:rFonts w:hint="eastAsia"/>
              </w:rPr>
            </w:pPr>
            <w:r>
              <w:rPr>
                <w:rFonts w:hint="eastAsia"/>
                <w:lang w:val="en-US" w:eastAsia="zh-CN"/>
              </w:rPr>
              <w:t>纯水</w:t>
            </w:r>
          </w:p>
        </w:tc>
      </w:tr>
      <w:tr w14:paraId="7A921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042F708C">
            <w:pPr>
              <w:pStyle w:val="45"/>
              <w:bidi w:val="0"/>
              <w:rPr>
                <w:rFonts w:hint="eastAsia"/>
              </w:rPr>
            </w:pPr>
          </w:p>
        </w:tc>
        <w:tc>
          <w:tcPr>
            <w:tcW w:w="648" w:type="pct"/>
            <w:vMerge w:val="continue"/>
            <w:shd w:val="clear" w:color="auto" w:fill="auto"/>
            <w:vAlign w:val="center"/>
          </w:tcPr>
          <w:p w14:paraId="38E81845">
            <w:pPr>
              <w:pStyle w:val="45"/>
              <w:bidi w:val="0"/>
              <w:rPr>
                <w:rFonts w:hint="eastAsia"/>
                <w:lang w:val="en-US" w:eastAsia="zh-CN"/>
              </w:rPr>
            </w:pPr>
          </w:p>
        </w:tc>
        <w:tc>
          <w:tcPr>
            <w:tcW w:w="648" w:type="pct"/>
            <w:vMerge w:val="restart"/>
            <w:shd w:val="clear" w:color="auto" w:fill="auto"/>
            <w:vAlign w:val="center"/>
          </w:tcPr>
          <w:p w14:paraId="3C3E7112">
            <w:pPr>
              <w:pStyle w:val="45"/>
              <w:bidi w:val="0"/>
              <w:rPr>
                <w:rFonts w:hint="eastAsia"/>
              </w:rPr>
            </w:pPr>
            <w:r>
              <w:rPr>
                <w:rFonts w:hint="eastAsia"/>
                <w:lang w:val="en-US" w:eastAsia="zh-CN"/>
              </w:rPr>
              <w:t>400吨无水高氯酸锂（优等品）</w:t>
            </w:r>
          </w:p>
        </w:tc>
        <w:tc>
          <w:tcPr>
            <w:tcW w:w="936" w:type="pct"/>
            <w:shd w:val="clear" w:color="auto" w:fill="auto"/>
            <w:noWrap/>
            <w:vAlign w:val="center"/>
          </w:tcPr>
          <w:p w14:paraId="3DD62689">
            <w:pPr>
              <w:pStyle w:val="45"/>
              <w:bidi w:val="0"/>
              <w:rPr>
                <w:rFonts w:hint="eastAsia"/>
              </w:rPr>
            </w:pPr>
            <w:r>
              <w:rPr>
                <w:rFonts w:hint="eastAsia"/>
                <w:lang w:val="en-US" w:eastAsia="zh-CN"/>
              </w:rPr>
              <w:t>碳酸锂</w:t>
            </w:r>
          </w:p>
        </w:tc>
        <w:tc>
          <w:tcPr>
            <w:tcW w:w="963" w:type="pct"/>
            <w:shd w:val="clear" w:color="auto" w:fill="auto"/>
            <w:noWrap/>
            <w:vAlign w:val="center"/>
          </w:tcPr>
          <w:p w14:paraId="08E9261B">
            <w:pPr>
              <w:pStyle w:val="45"/>
              <w:bidi w:val="0"/>
              <w:rPr>
                <w:rFonts w:hint="default"/>
              </w:rPr>
            </w:pPr>
            <w:r>
              <w:rPr>
                <w:rFonts w:hint="default"/>
                <w:lang w:val="en-US" w:eastAsia="zh-CN"/>
              </w:rPr>
              <w:t>100</w:t>
            </w:r>
          </w:p>
        </w:tc>
        <w:tc>
          <w:tcPr>
            <w:tcW w:w="1155" w:type="pct"/>
            <w:shd w:val="clear" w:color="auto" w:fill="auto"/>
            <w:noWrap/>
            <w:vAlign w:val="center"/>
          </w:tcPr>
          <w:p w14:paraId="22CC89A1">
            <w:pPr>
              <w:pStyle w:val="45"/>
              <w:bidi w:val="0"/>
              <w:rPr>
                <w:rFonts w:hint="eastAsia"/>
              </w:rPr>
            </w:pPr>
          </w:p>
        </w:tc>
      </w:tr>
      <w:tr w14:paraId="78A9C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648" w:type="pct"/>
            <w:vMerge w:val="continue"/>
            <w:shd w:val="clear" w:color="auto" w:fill="auto"/>
            <w:vAlign w:val="center"/>
          </w:tcPr>
          <w:p w14:paraId="6BF93F37">
            <w:pPr>
              <w:pStyle w:val="45"/>
              <w:bidi w:val="0"/>
              <w:rPr>
                <w:rFonts w:hint="eastAsia"/>
              </w:rPr>
            </w:pPr>
          </w:p>
        </w:tc>
        <w:tc>
          <w:tcPr>
            <w:tcW w:w="648" w:type="pct"/>
            <w:vMerge w:val="continue"/>
            <w:shd w:val="clear" w:color="auto" w:fill="auto"/>
            <w:vAlign w:val="center"/>
          </w:tcPr>
          <w:p w14:paraId="405E9866">
            <w:pPr>
              <w:pStyle w:val="45"/>
              <w:bidi w:val="0"/>
              <w:rPr>
                <w:rFonts w:hint="eastAsia"/>
              </w:rPr>
            </w:pPr>
          </w:p>
        </w:tc>
        <w:tc>
          <w:tcPr>
            <w:tcW w:w="648" w:type="pct"/>
            <w:vMerge w:val="continue"/>
            <w:shd w:val="clear" w:color="auto" w:fill="auto"/>
            <w:vAlign w:val="center"/>
          </w:tcPr>
          <w:p w14:paraId="322FAD8D">
            <w:pPr>
              <w:pStyle w:val="45"/>
              <w:bidi w:val="0"/>
              <w:rPr>
                <w:rFonts w:hint="eastAsia"/>
              </w:rPr>
            </w:pPr>
          </w:p>
        </w:tc>
        <w:tc>
          <w:tcPr>
            <w:tcW w:w="936" w:type="pct"/>
            <w:shd w:val="clear" w:color="auto" w:fill="auto"/>
            <w:noWrap/>
            <w:vAlign w:val="center"/>
          </w:tcPr>
          <w:p w14:paraId="59B458DB">
            <w:pPr>
              <w:pStyle w:val="45"/>
              <w:bidi w:val="0"/>
              <w:rPr>
                <w:rFonts w:hint="eastAsia"/>
              </w:rPr>
            </w:pPr>
            <w:r>
              <w:rPr>
                <w:rFonts w:hint="eastAsia"/>
                <w:lang w:val="en-US" w:eastAsia="zh-CN"/>
              </w:rPr>
              <w:t>化盐水</w:t>
            </w:r>
          </w:p>
        </w:tc>
        <w:tc>
          <w:tcPr>
            <w:tcW w:w="963" w:type="pct"/>
            <w:shd w:val="clear" w:color="auto" w:fill="auto"/>
            <w:noWrap/>
            <w:vAlign w:val="center"/>
          </w:tcPr>
          <w:p w14:paraId="172AF930">
            <w:pPr>
              <w:pStyle w:val="45"/>
              <w:bidi w:val="0"/>
              <w:rPr>
                <w:rFonts w:hint="default"/>
              </w:rPr>
            </w:pPr>
            <w:r>
              <w:rPr>
                <w:rFonts w:hint="default"/>
                <w:lang w:val="en-US" w:eastAsia="zh-CN"/>
              </w:rPr>
              <w:t>320</w:t>
            </w:r>
          </w:p>
        </w:tc>
        <w:tc>
          <w:tcPr>
            <w:tcW w:w="1155" w:type="pct"/>
            <w:shd w:val="clear" w:color="auto" w:fill="auto"/>
            <w:noWrap/>
            <w:vAlign w:val="center"/>
          </w:tcPr>
          <w:p w14:paraId="31724D14">
            <w:pPr>
              <w:pStyle w:val="45"/>
              <w:bidi w:val="0"/>
              <w:rPr>
                <w:rFonts w:hint="eastAsia"/>
              </w:rPr>
            </w:pPr>
            <w:r>
              <w:rPr>
                <w:rFonts w:hint="eastAsia"/>
                <w:lang w:val="en-US" w:eastAsia="zh-CN"/>
              </w:rPr>
              <w:t>纯水</w:t>
            </w:r>
          </w:p>
        </w:tc>
      </w:tr>
      <w:tr w14:paraId="73365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trPr>
        <w:tc>
          <w:tcPr>
            <w:tcW w:w="648" w:type="pct"/>
            <w:vMerge w:val="continue"/>
            <w:shd w:val="clear" w:color="auto" w:fill="auto"/>
            <w:vAlign w:val="center"/>
          </w:tcPr>
          <w:p w14:paraId="42A8BD83">
            <w:pPr>
              <w:pStyle w:val="45"/>
              <w:bidi w:val="0"/>
              <w:rPr>
                <w:rFonts w:hint="eastAsia"/>
              </w:rPr>
            </w:pPr>
          </w:p>
        </w:tc>
        <w:tc>
          <w:tcPr>
            <w:tcW w:w="648" w:type="pct"/>
            <w:vMerge w:val="continue"/>
            <w:shd w:val="clear" w:color="auto" w:fill="auto"/>
            <w:vAlign w:val="center"/>
          </w:tcPr>
          <w:p w14:paraId="1745228E">
            <w:pPr>
              <w:pStyle w:val="45"/>
              <w:bidi w:val="0"/>
              <w:rPr>
                <w:rFonts w:hint="eastAsia"/>
              </w:rPr>
            </w:pPr>
          </w:p>
        </w:tc>
        <w:tc>
          <w:tcPr>
            <w:tcW w:w="648" w:type="pct"/>
            <w:vMerge w:val="continue"/>
            <w:shd w:val="clear" w:color="auto" w:fill="auto"/>
            <w:vAlign w:val="center"/>
          </w:tcPr>
          <w:p w14:paraId="05D8286C">
            <w:pPr>
              <w:pStyle w:val="45"/>
              <w:bidi w:val="0"/>
              <w:rPr>
                <w:rFonts w:hint="eastAsia"/>
              </w:rPr>
            </w:pPr>
          </w:p>
        </w:tc>
        <w:tc>
          <w:tcPr>
            <w:tcW w:w="936" w:type="pct"/>
            <w:shd w:val="clear" w:color="auto" w:fill="auto"/>
            <w:noWrap/>
            <w:vAlign w:val="center"/>
          </w:tcPr>
          <w:p w14:paraId="2318D8F2">
            <w:pPr>
              <w:pStyle w:val="45"/>
              <w:bidi w:val="0"/>
              <w:rPr>
                <w:rFonts w:hint="default"/>
              </w:rPr>
            </w:pPr>
            <w:r>
              <w:rPr>
                <w:rFonts w:hint="default"/>
                <w:lang w:val="en-US" w:eastAsia="zh-CN"/>
              </w:rPr>
              <w:t>70%</w:t>
            </w:r>
            <w:r>
              <w:rPr>
                <w:rFonts w:hint="eastAsia"/>
                <w:lang w:val="en-US" w:eastAsia="zh-CN"/>
              </w:rPr>
              <w:t>高氯酸</w:t>
            </w:r>
          </w:p>
        </w:tc>
        <w:tc>
          <w:tcPr>
            <w:tcW w:w="963" w:type="pct"/>
            <w:shd w:val="clear" w:color="auto" w:fill="auto"/>
            <w:noWrap/>
            <w:vAlign w:val="center"/>
          </w:tcPr>
          <w:p w14:paraId="0CD05790">
            <w:pPr>
              <w:pStyle w:val="45"/>
              <w:bidi w:val="0"/>
              <w:rPr>
                <w:rFonts w:hint="default"/>
              </w:rPr>
            </w:pPr>
            <w:r>
              <w:rPr>
                <w:rFonts w:hint="default"/>
                <w:lang w:val="en-US" w:eastAsia="zh-CN"/>
              </w:rPr>
              <w:t>300</w:t>
            </w:r>
          </w:p>
        </w:tc>
        <w:tc>
          <w:tcPr>
            <w:tcW w:w="1155" w:type="pct"/>
            <w:shd w:val="clear" w:color="auto" w:fill="auto"/>
            <w:noWrap/>
            <w:vAlign w:val="center"/>
          </w:tcPr>
          <w:p w14:paraId="1DDDC801">
            <w:pPr>
              <w:pStyle w:val="45"/>
              <w:bidi w:val="0"/>
              <w:rPr>
                <w:rFonts w:hint="eastAsia"/>
              </w:rPr>
            </w:pPr>
          </w:p>
        </w:tc>
      </w:tr>
    </w:tbl>
    <w:p w14:paraId="0DD09BEF">
      <w:pPr>
        <w:spacing w:line="240" w:lineRule="auto"/>
        <w:ind w:firstLine="0" w:firstLineChars="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17B0D052">
      <w:pPr>
        <w:spacing w:line="240" w:lineRule="auto"/>
        <w:ind w:firstLine="0" w:firstLineChars="0"/>
      </w:pPr>
    </w:p>
    <w:p w14:paraId="347ECD5E">
      <w:pPr>
        <w:pStyle w:val="43"/>
        <w:rPr>
          <w:rFonts w:hint="default"/>
        </w:rPr>
      </w:pPr>
      <w:r>
        <w:rPr>
          <w:rFonts w:hint="default"/>
        </w:rPr>
        <w:t>原辅材料</w:t>
      </w:r>
      <w:r>
        <w:t>及产品</w:t>
      </w:r>
      <w:r>
        <w:rPr>
          <w:rFonts w:hint="default"/>
        </w:rPr>
        <w:t>理化特性一览表</w:t>
      </w:r>
    </w:p>
    <w:tbl>
      <w:tblPr>
        <w:tblStyle w:val="32"/>
        <w:tblW w:w="141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2"/>
        <w:gridCol w:w="1112"/>
        <w:gridCol w:w="11587"/>
        <w:gridCol w:w="996"/>
      </w:tblGrid>
      <w:tr w14:paraId="79878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0" w:type="auto"/>
            <w:vAlign w:val="center"/>
          </w:tcPr>
          <w:p w14:paraId="4922C409">
            <w:pPr>
              <w:snapToGrid w:val="0"/>
              <w:spacing w:line="240" w:lineRule="auto"/>
              <w:ind w:firstLine="0" w:firstLineChars="0"/>
              <w:jc w:val="center"/>
              <w:rPr>
                <w:rFonts w:cs="宋体"/>
                <w:b/>
                <w:bCs/>
                <w:kern w:val="0"/>
                <w:sz w:val="21"/>
                <w:szCs w:val="21"/>
              </w:rPr>
            </w:pPr>
            <w:r>
              <w:rPr>
                <w:rFonts w:cs="宋体"/>
                <w:b/>
                <w:bCs/>
                <w:kern w:val="0"/>
                <w:sz w:val="21"/>
                <w:szCs w:val="21"/>
              </w:rPr>
              <w:t>序号</w:t>
            </w:r>
          </w:p>
        </w:tc>
        <w:tc>
          <w:tcPr>
            <w:tcW w:w="1112" w:type="dxa"/>
            <w:vAlign w:val="center"/>
          </w:tcPr>
          <w:p w14:paraId="157E78EC">
            <w:pPr>
              <w:snapToGrid w:val="0"/>
              <w:spacing w:line="240" w:lineRule="auto"/>
              <w:ind w:firstLine="0" w:firstLineChars="0"/>
              <w:jc w:val="center"/>
              <w:rPr>
                <w:rFonts w:cs="宋体"/>
                <w:b/>
                <w:bCs/>
                <w:kern w:val="0"/>
                <w:sz w:val="21"/>
                <w:szCs w:val="21"/>
              </w:rPr>
            </w:pPr>
            <w:r>
              <w:rPr>
                <w:rFonts w:cs="宋体"/>
                <w:b/>
                <w:bCs/>
                <w:kern w:val="0"/>
                <w:sz w:val="21"/>
                <w:szCs w:val="21"/>
              </w:rPr>
              <w:t>物料名称</w:t>
            </w:r>
          </w:p>
        </w:tc>
        <w:tc>
          <w:tcPr>
            <w:tcW w:w="11587" w:type="dxa"/>
            <w:vAlign w:val="center"/>
          </w:tcPr>
          <w:p w14:paraId="5710FE98">
            <w:pPr>
              <w:snapToGrid w:val="0"/>
              <w:spacing w:line="240" w:lineRule="auto"/>
              <w:ind w:firstLine="0" w:firstLineChars="0"/>
              <w:jc w:val="center"/>
              <w:rPr>
                <w:rFonts w:cs="宋体"/>
                <w:b/>
                <w:bCs/>
                <w:kern w:val="0"/>
                <w:sz w:val="21"/>
                <w:szCs w:val="21"/>
              </w:rPr>
            </w:pPr>
            <w:r>
              <w:rPr>
                <w:rFonts w:cs="宋体"/>
                <w:b/>
                <w:bCs/>
                <w:kern w:val="0"/>
                <w:sz w:val="21"/>
                <w:szCs w:val="21"/>
              </w:rPr>
              <w:t>理化特性</w:t>
            </w:r>
          </w:p>
        </w:tc>
        <w:tc>
          <w:tcPr>
            <w:tcW w:w="996" w:type="dxa"/>
            <w:vAlign w:val="center"/>
          </w:tcPr>
          <w:p w14:paraId="402BEC06">
            <w:pPr>
              <w:snapToGrid w:val="0"/>
              <w:spacing w:line="240" w:lineRule="auto"/>
              <w:ind w:firstLine="0" w:firstLineChars="0"/>
              <w:jc w:val="center"/>
              <w:rPr>
                <w:rFonts w:cs="宋体"/>
                <w:b/>
                <w:bCs/>
                <w:kern w:val="0"/>
                <w:sz w:val="21"/>
                <w:szCs w:val="21"/>
              </w:rPr>
            </w:pPr>
            <w:r>
              <w:rPr>
                <w:rFonts w:hint="eastAsia" w:cs="宋体"/>
                <w:b/>
                <w:bCs/>
                <w:kern w:val="0"/>
                <w:sz w:val="21"/>
                <w:szCs w:val="21"/>
              </w:rPr>
              <w:t>备注</w:t>
            </w:r>
          </w:p>
        </w:tc>
      </w:tr>
      <w:tr w14:paraId="1A209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0" w:type="auto"/>
            <w:vAlign w:val="center"/>
          </w:tcPr>
          <w:p w14:paraId="24A73B0C">
            <w:pPr>
              <w:snapToGrid w:val="0"/>
              <w:spacing w:line="240" w:lineRule="auto"/>
              <w:ind w:firstLine="0" w:firstLineChars="0"/>
              <w:jc w:val="center"/>
              <w:rPr>
                <w:rFonts w:cs="宋体"/>
                <w:kern w:val="0"/>
                <w:sz w:val="21"/>
                <w:szCs w:val="21"/>
              </w:rPr>
            </w:pPr>
            <w:r>
              <w:rPr>
                <w:rFonts w:cs="宋体"/>
                <w:kern w:val="0"/>
                <w:sz w:val="21"/>
                <w:szCs w:val="21"/>
              </w:rPr>
              <w:t>1</w:t>
            </w:r>
          </w:p>
        </w:tc>
        <w:tc>
          <w:tcPr>
            <w:tcW w:w="1112" w:type="dxa"/>
            <w:vAlign w:val="center"/>
          </w:tcPr>
          <w:p w14:paraId="31A889DB">
            <w:pPr>
              <w:snapToGrid w:val="0"/>
              <w:spacing w:line="240" w:lineRule="auto"/>
              <w:ind w:firstLine="0" w:firstLineChars="0"/>
              <w:jc w:val="center"/>
              <w:rPr>
                <w:rFonts w:cs="宋体"/>
                <w:kern w:val="0"/>
                <w:sz w:val="21"/>
                <w:szCs w:val="21"/>
              </w:rPr>
            </w:pPr>
            <w:r>
              <w:rPr>
                <w:rFonts w:hint="eastAsia" w:cs="宋体"/>
                <w:kern w:val="0"/>
                <w:sz w:val="21"/>
                <w:szCs w:val="21"/>
              </w:rPr>
              <w:t>原料</w:t>
            </w:r>
            <w:r>
              <w:rPr>
                <w:rFonts w:cs="宋体"/>
                <w:kern w:val="0"/>
                <w:sz w:val="21"/>
                <w:szCs w:val="21"/>
              </w:rPr>
              <w:t>盐</w:t>
            </w:r>
          </w:p>
        </w:tc>
        <w:tc>
          <w:tcPr>
            <w:tcW w:w="11587" w:type="dxa"/>
            <w:vAlign w:val="center"/>
          </w:tcPr>
          <w:p w14:paraId="1F52A85F">
            <w:pPr>
              <w:snapToGrid w:val="0"/>
              <w:spacing w:line="240" w:lineRule="auto"/>
              <w:ind w:firstLine="0" w:firstLineChars="0"/>
              <w:jc w:val="center"/>
              <w:rPr>
                <w:rFonts w:cs="宋体"/>
                <w:kern w:val="0"/>
                <w:sz w:val="21"/>
                <w:szCs w:val="21"/>
              </w:rPr>
            </w:pPr>
            <w:bookmarkStart w:id="125" w:name="_Toc14123"/>
            <w:r>
              <w:rPr>
                <w:rFonts w:cs="宋体"/>
                <w:kern w:val="0"/>
                <w:sz w:val="21"/>
                <w:szCs w:val="21"/>
              </w:rPr>
              <w:t>工业盐，有湖盐、井盐和海盐之分，其中因为海盐中的海水溶入了多种元素，所以海盐的工业价值相对要高些，食用价值要低些。主要成分为NaCI，为白色固体，易溶于水。</w:t>
            </w:r>
            <w:bookmarkEnd w:id="125"/>
            <w:r>
              <w:rPr>
                <w:rFonts w:cs="宋体"/>
                <w:kern w:val="0"/>
                <w:sz w:val="21"/>
                <w:szCs w:val="21"/>
              </w:rPr>
              <w:t>白色无臭结晶粉末，味咸；熔点801℃，沸点1465℃，相对密度：1.199，微溶于乙醇、丙醇、丁烷，在和丁烷互溶后变为等离子体，易溶于水，水中溶解度为35.9g（室温）。蒸汽压：1 mm Hg ( 865°C)</w:t>
            </w:r>
          </w:p>
        </w:tc>
        <w:tc>
          <w:tcPr>
            <w:tcW w:w="996" w:type="dxa"/>
            <w:vAlign w:val="center"/>
          </w:tcPr>
          <w:p w14:paraId="3986B2AB">
            <w:pPr>
              <w:snapToGrid w:val="0"/>
              <w:spacing w:line="240" w:lineRule="auto"/>
              <w:ind w:firstLine="0" w:firstLineChars="0"/>
              <w:jc w:val="center"/>
              <w:rPr>
                <w:rFonts w:cs="宋体"/>
                <w:kern w:val="0"/>
                <w:sz w:val="21"/>
                <w:szCs w:val="21"/>
              </w:rPr>
            </w:pPr>
            <w:r>
              <w:rPr>
                <w:rFonts w:hint="eastAsia" w:cs="宋体"/>
                <w:kern w:val="0"/>
                <w:sz w:val="21"/>
                <w:szCs w:val="21"/>
              </w:rPr>
              <w:t>原辅料</w:t>
            </w:r>
          </w:p>
        </w:tc>
      </w:tr>
      <w:tr w14:paraId="1C503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Align w:val="center"/>
          </w:tcPr>
          <w:p w14:paraId="1F722EA4">
            <w:pPr>
              <w:snapToGrid w:val="0"/>
              <w:spacing w:line="240" w:lineRule="auto"/>
              <w:ind w:firstLine="0" w:firstLineChars="0"/>
              <w:jc w:val="center"/>
              <w:rPr>
                <w:rFonts w:cs="宋体"/>
                <w:kern w:val="0"/>
                <w:sz w:val="21"/>
                <w:szCs w:val="21"/>
              </w:rPr>
            </w:pPr>
            <w:r>
              <w:rPr>
                <w:rFonts w:cs="宋体"/>
                <w:kern w:val="0"/>
                <w:sz w:val="21"/>
                <w:szCs w:val="21"/>
              </w:rPr>
              <w:t>2</w:t>
            </w:r>
          </w:p>
        </w:tc>
        <w:tc>
          <w:tcPr>
            <w:tcW w:w="1112" w:type="dxa"/>
            <w:vAlign w:val="center"/>
          </w:tcPr>
          <w:p w14:paraId="3F1D9017">
            <w:pPr>
              <w:snapToGrid w:val="0"/>
              <w:spacing w:line="240" w:lineRule="auto"/>
              <w:ind w:firstLine="0" w:firstLineChars="0"/>
              <w:jc w:val="center"/>
              <w:rPr>
                <w:rFonts w:cs="宋体"/>
                <w:kern w:val="0"/>
                <w:sz w:val="21"/>
                <w:szCs w:val="21"/>
              </w:rPr>
            </w:pPr>
            <w:r>
              <w:rPr>
                <w:rFonts w:cs="宋体"/>
                <w:kern w:val="0"/>
                <w:sz w:val="21"/>
                <w:szCs w:val="21"/>
              </w:rPr>
              <w:t>氢氧化钠</w:t>
            </w:r>
          </w:p>
        </w:tc>
        <w:tc>
          <w:tcPr>
            <w:tcW w:w="11587" w:type="dxa"/>
            <w:vAlign w:val="center"/>
          </w:tcPr>
          <w:p w14:paraId="32F49D05">
            <w:pPr>
              <w:snapToGrid w:val="0"/>
              <w:spacing w:line="240" w:lineRule="auto"/>
              <w:ind w:firstLine="0" w:firstLineChars="0"/>
              <w:jc w:val="center"/>
              <w:rPr>
                <w:rFonts w:cs="宋体"/>
                <w:kern w:val="0"/>
                <w:sz w:val="21"/>
                <w:szCs w:val="21"/>
              </w:rPr>
            </w:pPr>
            <w:r>
              <w:rPr>
                <w:rFonts w:cs="宋体"/>
                <w:kern w:val="0"/>
                <w:sz w:val="21"/>
                <w:szCs w:val="21"/>
              </w:rPr>
              <w:t>氢氧化钠，化学式为NaOH，俗称烧碱、火碱、苛性钠，为一种具有强腐蚀性的强碱，一般为片状或块状形态，易溶于水（溶于水时放热）并形成碱性溶液，另有潮解性，易吸取空气中的水蒸气（潮解）和二氧化碳（变质）。</w:t>
            </w:r>
          </w:p>
        </w:tc>
        <w:tc>
          <w:tcPr>
            <w:tcW w:w="996" w:type="dxa"/>
            <w:vAlign w:val="center"/>
          </w:tcPr>
          <w:p w14:paraId="374A33F7">
            <w:pPr>
              <w:snapToGrid w:val="0"/>
              <w:spacing w:line="240" w:lineRule="auto"/>
              <w:ind w:firstLine="0" w:firstLineChars="0"/>
              <w:jc w:val="center"/>
              <w:rPr>
                <w:rFonts w:cs="宋体"/>
                <w:kern w:val="0"/>
                <w:sz w:val="21"/>
                <w:szCs w:val="21"/>
              </w:rPr>
            </w:pPr>
            <w:r>
              <w:rPr>
                <w:rFonts w:hint="eastAsia"/>
                <w:sz w:val="21"/>
              </w:rPr>
              <w:t>原辅料</w:t>
            </w:r>
          </w:p>
        </w:tc>
      </w:tr>
      <w:tr w14:paraId="591CB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Align w:val="center"/>
          </w:tcPr>
          <w:p w14:paraId="6D297D9B">
            <w:pPr>
              <w:snapToGrid w:val="0"/>
              <w:spacing w:line="240" w:lineRule="auto"/>
              <w:ind w:firstLine="0" w:firstLineChars="0"/>
              <w:jc w:val="center"/>
              <w:rPr>
                <w:rFonts w:cs="宋体"/>
                <w:kern w:val="0"/>
                <w:sz w:val="21"/>
                <w:szCs w:val="21"/>
              </w:rPr>
            </w:pPr>
            <w:r>
              <w:rPr>
                <w:rFonts w:cs="宋体"/>
                <w:kern w:val="0"/>
                <w:sz w:val="21"/>
                <w:szCs w:val="21"/>
              </w:rPr>
              <w:t>3</w:t>
            </w:r>
          </w:p>
        </w:tc>
        <w:tc>
          <w:tcPr>
            <w:tcW w:w="1112" w:type="dxa"/>
            <w:vAlign w:val="center"/>
          </w:tcPr>
          <w:p w14:paraId="6E7ACC51">
            <w:pPr>
              <w:snapToGrid w:val="0"/>
              <w:spacing w:line="240" w:lineRule="auto"/>
              <w:ind w:firstLine="0" w:firstLineChars="0"/>
              <w:jc w:val="center"/>
              <w:rPr>
                <w:rFonts w:cs="宋体"/>
                <w:kern w:val="0"/>
                <w:sz w:val="21"/>
                <w:szCs w:val="21"/>
              </w:rPr>
            </w:pPr>
            <w:r>
              <w:rPr>
                <w:rFonts w:cs="宋体"/>
                <w:kern w:val="0"/>
                <w:sz w:val="21"/>
                <w:szCs w:val="21"/>
              </w:rPr>
              <w:t>盐酸</w:t>
            </w:r>
          </w:p>
        </w:tc>
        <w:tc>
          <w:tcPr>
            <w:tcW w:w="11587" w:type="dxa"/>
            <w:vAlign w:val="center"/>
          </w:tcPr>
          <w:p w14:paraId="61D3537F">
            <w:pPr>
              <w:snapToGrid w:val="0"/>
              <w:spacing w:line="240" w:lineRule="auto"/>
              <w:ind w:firstLine="0" w:firstLineChars="0"/>
              <w:jc w:val="center"/>
              <w:rPr>
                <w:rFonts w:cs="宋体"/>
                <w:kern w:val="0"/>
                <w:sz w:val="21"/>
                <w:szCs w:val="21"/>
              </w:rPr>
            </w:pPr>
            <w:r>
              <w:rPr>
                <w:rFonts w:cs="宋体"/>
                <w:kern w:val="0"/>
                <w:sz w:val="21"/>
                <w:szCs w:val="21"/>
              </w:rPr>
              <w:t xml:space="preserve">盐酸是氯化氢（HCl）的水溶液，属于一元无机强酸，工业用途广泛。盐酸的性状为无色透明的液体，有强烈的刺鼻气味，具有较高的腐蚀性。浓盐酸（质量分数约为37%）具有极强的挥发性。 </w:t>
            </w:r>
          </w:p>
        </w:tc>
        <w:tc>
          <w:tcPr>
            <w:tcW w:w="996" w:type="dxa"/>
            <w:vAlign w:val="center"/>
          </w:tcPr>
          <w:p w14:paraId="5F1E4ED6">
            <w:pPr>
              <w:snapToGrid w:val="0"/>
              <w:spacing w:line="240" w:lineRule="auto"/>
              <w:ind w:firstLine="0" w:firstLineChars="0"/>
              <w:jc w:val="center"/>
              <w:rPr>
                <w:rFonts w:cs="宋体"/>
                <w:kern w:val="0"/>
                <w:sz w:val="21"/>
                <w:szCs w:val="21"/>
              </w:rPr>
            </w:pPr>
            <w:r>
              <w:rPr>
                <w:rFonts w:hint="eastAsia"/>
                <w:sz w:val="21"/>
              </w:rPr>
              <w:t>原辅料</w:t>
            </w:r>
          </w:p>
        </w:tc>
      </w:tr>
      <w:tr w14:paraId="6E837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0" w:type="auto"/>
            <w:vAlign w:val="center"/>
          </w:tcPr>
          <w:p w14:paraId="22E3C8E4">
            <w:pPr>
              <w:snapToGrid w:val="0"/>
              <w:spacing w:line="240" w:lineRule="auto"/>
              <w:ind w:firstLine="0" w:firstLineChars="0"/>
              <w:jc w:val="center"/>
              <w:rPr>
                <w:rFonts w:cs="宋体"/>
                <w:kern w:val="0"/>
                <w:sz w:val="21"/>
                <w:szCs w:val="21"/>
              </w:rPr>
            </w:pPr>
            <w:r>
              <w:rPr>
                <w:rFonts w:cs="宋体"/>
                <w:kern w:val="0"/>
                <w:sz w:val="21"/>
                <w:szCs w:val="21"/>
              </w:rPr>
              <w:t>4</w:t>
            </w:r>
          </w:p>
        </w:tc>
        <w:tc>
          <w:tcPr>
            <w:tcW w:w="1112" w:type="dxa"/>
            <w:vAlign w:val="center"/>
          </w:tcPr>
          <w:p w14:paraId="75408B42">
            <w:pPr>
              <w:snapToGrid w:val="0"/>
              <w:spacing w:line="240" w:lineRule="auto"/>
              <w:ind w:firstLine="0" w:firstLineChars="0"/>
              <w:jc w:val="center"/>
              <w:rPr>
                <w:rFonts w:cs="宋体"/>
                <w:kern w:val="0"/>
                <w:sz w:val="21"/>
                <w:szCs w:val="21"/>
              </w:rPr>
            </w:pPr>
            <w:r>
              <w:rPr>
                <w:rFonts w:cs="宋体"/>
                <w:kern w:val="0"/>
                <w:sz w:val="21"/>
                <w:szCs w:val="21"/>
              </w:rPr>
              <w:t>碳酸钠</w:t>
            </w:r>
          </w:p>
        </w:tc>
        <w:tc>
          <w:tcPr>
            <w:tcW w:w="11587" w:type="dxa"/>
            <w:vAlign w:val="center"/>
          </w:tcPr>
          <w:p w14:paraId="585227DC">
            <w:pPr>
              <w:snapToGrid w:val="0"/>
              <w:spacing w:line="240" w:lineRule="auto"/>
              <w:ind w:firstLine="0" w:firstLineChars="0"/>
              <w:jc w:val="center"/>
              <w:rPr>
                <w:rFonts w:cs="宋体"/>
                <w:kern w:val="0"/>
                <w:sz w:val="21"/>
                <w:szCs w:val="21"/>
              </w:rPr>
            </w:pPr>
            <w:r>
              <w:rPr>
                <w:rFonts w:cs="宋体"/>
                <w:kern w:val="0"/>
                <w:sz w:val="21"/>
                <w:szCs w:val="21"/>
              </w:rPr>
              <w:t>碳酸钠（Na</w:t>
            </w:r>
            <w:r>
              <w:rPr>
                <w:rFonts w:cs="宋体"/>
                <w:kern w:val="0"/>
                <w:sz w:val="21"/>
                <w:szCs w:val="21"/>
                <w:vertAlign w:val="subscript"/>
              </w:rPr>
              <w:t>2</w:t>
            </w:r>
            <w:r>
              <w:rPr>
                <w:rFonts w:cs="宋体"/>
                <w:kern w:val="0"/>
                <w:sz w:val="21"/>
                <w:szCs w:val="21"/>
              </w:rPr>
              <w:t>CO</w:t>
            </w:r>
            <w:r>
              <w:rPr>
                <w:rFonts w:cs="宋体"/>
                <w:kern w:val="0"/>
                <w:sz w:val="21"/>
                <w:szCs w:val="21"/>
                <w:vertAlign w:val="subscript"/>
              </w:rPr>
              <w:t>3</w:t>
            </w:r>
            <w:r>
              <w:rPr>
                <w:rFonts w:cs="宋体"/>
                <w:kern w:val="0"/>
                <w:sz w:val="21"/>
                <w:szCs w:val="21"/>
              </w:rPr>
              <w:t>），分子量105.99。化学品的纯度多在99.5%以上（质量分数），又叫纯碱，但分类属于盐，不属于碱。国际贸易中又名苏打或碱灰。常温下为白色无气味的粉末或颗粒。有吸水性，露置空气中逐渐吸收1mol/L水分(</w:t>
            </w:r>
            <w:r>
              <w:rPr>
                <w:rFonts w:hint="eastAsia" w:cs="宋体"/>
                <w:kern w:val="0"/>
                <w:sz w:val="21"/>
                <w:szCs w:val="21"/>
              </w:rPr>
              <w:t>≈</w:t>
            </w:r>
            <w:r>
              <w:rPr>
                <w:rFonts w:cs="宋体"/>
                <w:kern w:val="0"/>
                <w:sz w:val="21"/>
                <w:szCs w:val="21"/>
              </w:rPr>
              <w:t>15%)。其水合物有Na</w:t>
            </w:r>
            <w:r>
              <w:rPr>
                <w:rFonts w:cs="宋体"/>
                <w:kern w:val="0"/>
                <w:sz w:val="21"/>
                <w:szCs w:val="21"/>
                <w:vertAlign w:val="subscript"/>
              </w:rPr>
              <w:t>2</w:t>
            </w:r>
            <w:r>
              <w:rPr>
                <w:rFonts w:cs="宋体"/>
                <w:kern w:val="0"/>
                <w:sz w:val="21"/>
                <w:szCs w:val="21"/>
              </w:rPr>
              <w:t>CO</w:t>
            </w:r>
            <w:r>
              <w:rPr>
                <w:rFonts w:cs="宋体"/>
                <w:kern w:val="0"/>
                <w:sz w:val="21"/>
                <w:szCs w:val="21"/>
                <w:vertAlign w:val="subscript"/>
              </w:rPr>
              <w:t>3</w:t>
            </w:r>
            <w:r>
              <w:rPr>
                <w:rFonts w:cs="宋体"/>
                <w:kern w:val="0"/>
                <w:sz w:val="21"/>
                <w:szCs w:val="21"/>
              </w:rPr>
              <w:t>·H</w:t>
            </w:r>
            <w:r>
              <w:rPr>
                <w:rFonts w:cs="宋体"/>
                <w:kern w:val="0"/>
                <w:sz w:val="21"/>
                <w:szCs w:val="21"/>
                <w:vertAlign w:val="subscript"/>
              </w:rPr>
              <w:t>2</w:t>
            </w:r>
            <w:r>
              <w:rPr>
                <w:rFonts w:cs="宋体"/>
                <w:kern w:val="0"/>
                <w:sz w:val="21"/>
                <w:szCs w:val="21"/>
              </w:rPr>
              <w:t>O，Na</w:t>
            </w:r>
            <w:r>
              <w:rPr>
                <w:rFonts w:cs="宋体"/>
                <w:kern w:val="0"/>
                <w:sz w:val="21"/>
                <w:szCs w:val="21"/>
                <w:vertAlign w:val="subscript"/>
              </w:rPr>
              <w:t>2</w:t>
            </w:r>
            <w:r>
              <w:rPr>
                <w:rFonts w:cs="宋体"/>
                <w:kern w:val="0"/>
                <w:sz w:val="21"/>
                <w:szCs w:val="21"/>
              </w:rPr>
              <w:t>CO</w:t>
            </w:r>
            <w:r>
              <w:rPr>
                <w:rFonts w:cs="宋体"/>
                <w:kern w:val="0"/>
                <w:sz w:val="21"/>
                <w:szCs w:val="21"/>
                <w:vertAlign w:val="subscript"/>
              </w:rPr>
              <w:t>3</w:t>
            </w:r>
            <w:r>
              <w:rPr>
                <w:rFonts w:cs="宋体"/>
                <w:kern w:val="0"/>
                <w:sz w:val="21"/>
                <w:szCs w:val="21"/>
              </w:rPr>
              <w:t>·7H</w:t>
            </w:r>
            <w:r>
              <w:rPr>
                <w:rFonts w:cs="宋体"/>
                <w:kern w:val="0"/>
                <w:sz w:val="21"/>
                <w:szCs w:val="21"/>
                <w:vertAlign w:val="subscript"/>
              </w:rPr>
              <w:t>2</w:t>
            </w:r>
            <w:r>
              <w:rPr>
                <w:rFonts w:cs="宋体"/>
                <w:kern w:val="0"/>
                <w:sz w:val="21"/>
                <w:szCs w:val="21"/>
              </w:rPr>
              <w:t>O和Na</w:t>
            </w:r>
            <w:r>
              <w:rPr>
                <w:rFonts w:cs="宋体"/>
                <w:kern w:val="0"/>
                <w:sz w:val="21"/>
                <w:szCs w:val="21"/>
                <w:vertAlign w:val="subscript"/>
              </w:rPr>
              <w:t>2</w:t>
            </w:r>
            <w:r>
              <w:rPr>
                <w:rFonts w:cs="宋体"/>
                <w:kern w:val="0"/>
                <w:sz w:val="21"/>
                <w:szCs w:val="21"/>
              </w:rPr>
              <w:t>CO</w:t>
            </w:r>
            <w:r>
              <w:rPr>
                <w:rFonts w:cs="宋体"/>
                <w:kern w:val="0"/>
                <w:sz w:val="21"/>
                <w:szCs w:val="21"/>
                <w:vertAlign w:val="subscript"/>
              </w:rPr>
              <w:t>3</w:t>
            </w:r>
            <w:r>
              <w:rPr>
                <w:rFonts w:cs="宋体"/>
                <w:kern w:val="0"/>
                <w:sz w:val="21"/>
                <w:szCs w:val="21"/>
              </w:rPr>
              <w:t>·10H</w:t>
            </w:r>
            <w:r>
              <w:rPr>
                <w:rFonts w:cs="宋体"/>
                <w:kern w:val="0"/>
                <w:sz w:val="21"/>
                <w:szCs w:val="21"/>
                <w:vertAlign w:val="subscript"/>
              </w:rPr>
              <w:t>2</w:t>
            </w:r>
            <w:r>
              <w:rPr>
                <w:rFonts w:cs="宋体"/>
                <w:kern w:val="0"/>
                <w:sz w:val="21"/>
                <w:szCs w:val="21"/>
              </w:rPr>
              <w:t xml:space="preserve">O。 </w:t>
            </w:r>
          </w:p>
        </w:tc>
        <w:tc>
          <w:tcPr>
            <w:tcW w:w="996" w:type="dxa"/>
            <w:vAlign w:val="center"/>
          </w:tcPr>
          <w:p w14:paraId="01B82B68">
            <w:pPr>
              <w:snapToGrid w:val="0"/>
              <w:spacing w:line="240" w:lineRule="auto"/>
              <w:ind w:firstLine="0" w:firstLineChars="0"/>
              <w:jc w:val="center"/>
              <w:rPr>
                <w:rFonts w:cs="宋体"/>
                <w:kern w:val="0"/>
                <w:sz w:val="21"/>
                <w:szCs w:val="21"/>
              </w:rPr>
            </w:pPr>
            <w:r>
              <w:rPr>
                <w:rFonts w:hint="eastAsia"/>
                <w:sz w:val="21"/>
              </w:rPr>
              <w:t>原辅料</w:t>
            </w:r>
          </w:p>
        </w:tc>
      </w:tr>
      <w:tr w14:paraId="07BA6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0" w:type="auto"/>
            <w:vAlign w:val="center"/>
          </w:tcPr>
          <w:p w14:paraId="0BEEE1C1">
            <w:pPr>
              <w:snapToGrid w:val="0"/>
              <w:spacing w:line="240" w:lineRule="auto"/>
              <w:ind w:firstLine="0" w:firstLineChars="0"/>
              <w:jc w:val="center"/>
              <w:rPr>
                <w:rFonts w:cs="宋体"/>
                <w:kern w:val="0"/>
                <w:sz w:val="21"/>
                <w:szCs w:val="21"/>
              </w:rPr>
            </w:pPr>
            <w:r>
              <w:rPr>
                <w:rFonts w:cs="宋体"/>
                <w:kern w:val="0"/>
                <w:sz w:val="21"/>
                <w:szCs w:val="21"/>
              </w:rPr>
              <w:t>5</w:t>
            </w:r>
          </w:p>
        </w:tc>
        <w:tc>
          <w:tcPr>
            <w:tcW w:w="1112" w:type="dxa"/>
            <w:vAlign w:val="center"/>
          </w:tcPr>
          <w:p w14:paraId="64305A1D">
            <w:pPr>
              <w:snapToGrid w:val="0"/>
              <w:spacing w:line="240" w:lineRule="auto"/>
              <w:ind w:firstLine="0" w:firstLineChars="0"/>
              <w:jc w:val="center"/>
              <w:rPr>
                <w:rFonts w:cs="宋体"/>
                <w:kern w:val="0"/>
                <w:sz w:val="21"/>
                <w:szCs w:val="21"/>
              </w:rPr>
            </w:pPr>
            <w:r>
              <w:rPr>
                <w:rFonts w:cs="宋体"/>
                <w:kern w:val="0"/>
                <w:sz w:val="21"/>
                <w:szCs w:val="21"/>
              </w:rPr>
              <w:t>氯化钙</w:t>
            </w:r>
          </w:p>
        </w:tc>
        <w:tc>
          <w:tcPr>
            <w:tcW w:w="11587" w:type="dxa"/>
            <w:vAlign w:val="center"/>
          </w:tcPr>
          <w:p w14:paraId="4B2CC826">
            <w:pPr>
              <w:snapToGrid w:val="0"/>
              <w:spacing w:line="240" w:lineRule="auto"/>
              <w:ind w:firstLine="0" w:firstLineChars="0"/>
              <w:jc w:val="center"/>
              <w:rPr>
                <w:rFonts w:cs="宋体"/>
                <w:kern w:val="0"/>
                <w:sz w:val="21"/>
                <w:szCs w:val="21"/>
              </w:rPr>
            </w:pPr>
            <w:r>
              <w:rPr>
                <w:rFonts w:cs="宋体"/>
                <w:kern w:val="0"/>
                <w:sz w:val="21"/>
                <w:szCs w:val="21"/>
              </w:rPr>
              <w:t>氯化钙，一种由氯元素和钙元素组成的盐，化学式为CaCl</w:t>
            </w:r>
            <w:r>
              <w:rPr>
                <w:rFonts w:cs="宋体"/>
                <w:kern w:val="0"/>
                <w:sz w:val="21"/>
                <w:szCs w:val="21"/>
                <w:vertAlign w:val="subscript"/>
              </w:rPr>
              <w:t>2</w:t>
            </w:r>
            <w:r>
              <w:rPr>
                <w:rFonts w:cs="宋体"/>
                <w:kern w:val="0"/>
                <w:sz w:val="21"/>
                <w:szCs w:val="21"/>
              </w:rPr>
              <w:t>。微苦，无味。它是典型的离子型卤化物，室温下为白色、硬质碎块或颗粒。它常见应用包括制冷设备所用的盐水、道路融冰剂和干燥剂。因为它在空气中易吸收水分发生潮解，所以无水氯化钙必须在容器中密封储藏。</w:t>
            </w:r>
          </w:p>
        </w:tc>
        <w:tc>
          <w:tcPr>
            <w:tcW w:w="996" w:type="dxa"/>
            <w:vAlign w:val="center"/>
          </w:tcPr>
          <w:p w14:paraId="71142BCC">
            <w:pPr>
              <w:snapToGrid w:val="0"/>
              <w:spacing w:line="240" w:lineRule="auto"/>
              <w:ind w:firstLine="0" w:firstLineChars="0"/>
              <w:jc w:val="center"/>
              <w:rPr>
                <w:rFonts w:cs="宋体"/>
                <w:kern w:val="0"/>
                <w:sz w:val="21"/>
                <w:szCs w:val="21"/>
              </w:rPr>
            </w:pPr>
            <w:r>
              <w:rPr>
                <w:rFonts w:hint="eastAsia"/>
                <w:sz w:val="21"/>
              </w:rPr>
              <w:t>原辅料</w:t>
            </w:r>
          </w:p>
        </w:tc>
      </w:tr>
      <w:tr w14:paraId="0DFBC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0" w:type="auto"/>
            <w:vAlign w:val="center"/>
          </w:tcPr>
          <w:p w14:paraId="43F485DB">
            <w:pPr>
              <w:snapToGrid w:val="0"/>
              <w:spacing w:line="240" w:lineRule="auto"/>
              <w:ind w:firstLine="0" w:firstLineChars="0"/>
              <w:jc w:val="center"/>
              <w:rPr>
                <w:rFonts w:cs="宋体"/>
                <w:kern w:val="0"/>
                <w:sz w:val="21"/>
                <w:szCs w:val="21"/>
              </w:rPr>
            </w:pPr>
            <w:r>
              <w:rPr>
                <w:rFonts w:cs="宋体"/>
                <w:kern w:val="0"/>
                <w:sz w:val="21"/>
                <w:szCs w:val="21"/>
              </w:rPr>
              <w:t>6</w:t>
            </w:r>
          </w:p>
        </w:tc>
        <w:tc>
          <w:tcPr>
            <w:tcW w:w="1112" w:type="dxa"/>
            <w:vAlign w:val="center"/>
          </w:tcPr>
          <w:p w14:paraId="649CA0A3">
            <w:pPr>
              <w:snapToGrid w:val="0"/>
              <w:spacing w:line="240" w:lineRule="auto"/>
              <w:ind w:firstLine="0" w:firstLineChars="0"/>
              <w:jc w:val="center"/>
              <w:rPr>
                <w:rFonts w:cs="宋体"/>
                <w:kern w:val="0"/>
                <w:sz w:val="21"/>
                <w:szCs w:val="21"/>
              </w:rPr>
            </w:pPr>
            <w:r>
              <w:rPr>
                <w:rFonts w:cs="宋体"/>
                <w:kern w:val="0"/>
                <w:sz w:val="21"/>
                <w:szCs w:val="21"/>
              </w:rPr>
              <w:t>重铬酸钠</w:t>
            </w:r>
          </w:p>
        </w:tc>
        <w:tc>
          <w:tcPr>
            <w:tcW w:w="11587" w:type="dxa"/>
            <w:vAlign w:val="center"/>
          </w:tcPr>
          <w:p w14:paraId="558C8FB6">
            <w:pPr>
              <w:snapToGrid w:val="0"/>
              <w:spacing w:line="240" w:lineRule="auto"/>
              <w:ind w:firstLine="0" w:firstLineChars="0"/>
              <w:jc w:val="center"/>
              <w:rPr>
                <w:rFonts w:cs="宋体"/>
                <w:kern w:val="0"/>
                <w:sz w:val="21"/>
                <w:szCs w:val="21"/>
              </w:rPr>
            </w:pPr>
            <w:r>
              <w:rPr>
                <w:rFonts w:cs="宋体"/>
                <w:kern w:val="0"/>
                <w:sz w:val="21"/>
                <w:szCs w:val="21"/>
              </w:rPr>
              <w:t>分子式为Na</w:t>
            </w:r>
            <w:r>
              <w:rPr>
                <w:rFonts w:cs="宋体"/>
                <w:kern w:val="0"/>
                <w:sz w:val="21"/>
                <w:szCs w:val="21"/>
                <w:vertAlign w:val="subscript"/>
              </w:rPr>
              <w:t>2</w:t>
            </w:r>
            <w:r>
              <w:rPr>
                <w:rFonts w:cs="宋体"/>
                <w:kern w:val="0"/>
                <w:sz w:val="21"/>
                <w:szCs w:val="21"/>
              </w:rPr>
              <w:t>Cr</w:t>
            </w:r>
            <w:r>
              <w:rPr>
                <w:rFonts w:cs="宋体"/>
                <w:kern w:val="0"/>
                <w:sz w:val="21"/>
                <w:szCs w:val="21"/>
                <w:vertAlign w:val="subscript"/>
              </w:rPr>
              <w:t>2</w:t>
            </w:r>
            <w:r>
              <w:rPr>
                <w:rFonts w:cs="宋体"/>
                <w:kern w:val="0"/>
                <w:sz w:val="21"/>
                <w:szCs w:val="21"/>
              </w:rPr>
              <w:t>O</w:t>
            </w:r>
            <w:r>
              <w:rPr>
                <w:rFonts w:cs="宋体"/>
                <w:kern w:val="0"/>
                <w:sz w:val="21"/>
                <w:szCs w:val="21"/>
                <w:vertAlign w:val="subscript"/>
              </w:rPr>
              <w:t>7</w:t>
            </w:r>
            <w:r>
              <w:rPr>
                <w:rFonts w:cs="宋体"/>
                <w:kern w:val="0"/>
                <w:sz w:val="21"/>
                <w:szCs w:val="21"/>
              </w:rPr>
              <w:t>·2H</w:t>
            </w:r>
            <w:r>
              <w:rPr>
                <w:rFonts w:cs="宋体"/>
                <w:kern w:val="0"/>
                <w:sz w:val="21"/>
                <w:szCs w:val="21"/>
                <w:vertAlign w:val="subscript"/>
              </w:rPr>
              <w:t>2</w:t>
            </w:r>
            <w:r>
              <w:rPr>
                <w:rFonts w:cs="宋体"/>
                <w:kern w:val="0"/>
                <w:sz w:val="21"/>
                <w:szCs w:val="21"/>
              </w:rPr>
              <w:t>O，分子量为297.99，红色至桔红色结晶。略有吸湿性。100℃时失去结晶水，约400℃时开始分解。易溶于水，不溶于乙醇，水溶液呈酸性。1%水溶液的pH为4，10%水溶液的pH为3.5。相对密度2.348。熔点356.7℃（无水品）。有强氧化性，与有机物摩擦或撞击能引起燃烧。极毒(T+)，半数致死量（大鼠，经口）50mg/kg（无水品）。经流行病学调查表明，对人有强致癌危险性。有腐蚀性。</w:t>
            </w:r>
          </w:p>
        </w:tc>
        <w:tc>
          <w:tcPr>
            <w:tcW w:w="996" w:type="dxa"/>
            <w:vAlign w:val="center"/>
          </w:tcPr>
          <w:p w14:paraId="3FCD15AA">
            <w:pPr>
              <w:snapToGrid w:val="0"/>
              <w:spacing w:line="240" w:lineRule="auto"/>
              <w:ind w:firstLine="0" w:firstLineChars="0"/>
              <w:jc w:val="center"/>
              <w:rPr>
                <w:rFonts w:cs="宋体"/>
                <w:kern w:val="0"/>
                <w:sz w:val="21"/>
                <w:szCs w:val="21"/>
              </w:rPr>
            </w:pPr>
            <w:r>
              <w:rPr>
                <w:rFonts w:hint="eastAsia"/>
                <w:sz w:val="21"/>
              </w:rPr>
              <w:t>原辅料</w:t>
            </w:r>
          </w:p>
        </w:tc>
      </w:tr>
      <w:tr w14:paraId="6A0B6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0" w:type="auto"/>
            <w:vAlign w:val="center"/>
          </w:tcPr>
          <w:p w14:paraId="2D2A627A">
            <w:pPr>
              <w:snapToGrid w:val="0"/>
              <w:spacing w:line="240" w:lineRule="auto"/>
              <w:ind w:firstLine="0" w:firstLineChars="0"/>
              <w:jc w:val="center"/>
              <w:rPr>
                <w:rFonts w:cs="宋体"/>
                <w:kern w:val="0"/>
                <w:sz w:val="21"/>
                <w:szCs w:val="21"/>
              </w:rPr>
            </w:pPr>
            <w:r>
              <w:rPr>
                <w:rFonts w:cs="宋体"/>
                <w:kern w:val="0"/>
                <w:sz w:val="21"/>
                <w:szCs w:val="21"/>
              </w:rPr>
              <w:t>7</w:t>
            </w:r>
          </w:p>
        </w:tc>
        <w:tc>
          <w:tcPr>
            <w:tcW w:w="1112" w:type="dxa"/>
            <w:vAlign w:val="center"/>
          </w:tcPr>
          <w:p w14:paraId="52B18B6F">
            <w:pPr>
              <w:snapToGrid w:val="0"/>
              <w:spacing w:line="240" w:lineRule="auto"/>
              <w:ind w:firstLine="0" w:firstLineChars="0"/>
              <w:jc w:val="center"/>
              <w:rPr>
                <w:rFonts w:cs="宋体"/>
                <w:kern w:val="0"/>
                <w:sz w:val="21"/>
                <w:szCs w:val="21"/>
              </w:rPr>
            </w:pPr>
            <w:r>
              <w:rPr>
                <w:rFonts w:cs="宋体"/>
                <w:kern w:val="0"/>
                <w:sz w:val="21"/>
                <w:szCs w:val="21"/>
              </w:rPr>
              <w:t>氯化钾</w:t>
            </w:r>
          </w:p>
        </w:tc>
        <w:tc>
          <w:tcPr>
            <w:tcW w:w="11587" w:type="dxa"/>
            <w:vAlign w:val="center"/>
          </w:tcPr>
          <w:p w14:paraId="559234B6">
            <w:pPr>
              <w:snapToGrid w:val="0"/>
              <w:spacing w:line="240" w:lineRule="auto"/>
              <w:ind w:firstLine="0" w:firstLineChars="0"/>
              <w:jc w:val="center"/>
              <w:rPr>
                <w:rFonts w:cs="宋体"/>
                <w:kern w:val="0"/>
                <w:sz w:val="21"/>
                <w:szCs w:val="21"/>
              </w:rPr>
            </w:pPr>
            <w:r>
              <w:rPr>
                <w:rFonts w:cs="宋体"/>
                <w:kern w:val="0"/>
                <w:sz w:val="21"/>
                <w:szCs w:val="21"/>
              </w:rPr>
              <w:t>化学式为KCl，是一种无色细长菱形或成一立方晶体，或白色结晶小颗粒粉末，外观如同食盐，无臭、味咸。常用于低钠盐、矿物质水的添加剂。无臭无毒性。易溶于水、醚、甘油及碱类，微溶于乙醇，但不溶于无水乙醇，有吸湿性，易结块；在水中的溶解度随温度的升高而迅速地增加，与钠盐常起复分解作用而生成新的钾盐。</w:t>
            </w:r>
          </w:p>
        </w:tc>
        <w:tc>
          <w:tcPr>
            <w:tcW w:w="996" w:type="dxa"/>
            <w:vAlign w:val="center"/>
          </w:tcPr>
          <w:p w14:paraId="31F7567A">
            <w:pPr>
              <w:snapToGrid w:val="0"/>
              <w:spacing w:line="240" w:lineRule="auto"/>
              <w:ind w:firstLine="0" w:firstLineChars="0"/>
              <w:jc w:val="center"/>
              <w:rPr>
                <w:rFonts w:cs="宋体"/>
                <w:kern w:val="0"/>
                <w:sz w:val="21"/>
                <w:szCs w:val="21"/>
              </w:rPr>
            </w:pPr>
            <w:r>
              <w:rPr>
                <w:rFonts w:hint="eastAsia"/>
                <w:sz w:val="21"/>
              </w:rPr>
              <w:t>原辅料</w:t>
            </w:r>
          </w:p>
        </w:tc>
      </w:tr>
      <w:tr w14:paraId="49E37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0" w:type="auto"/>
            <w:vAlign w:val="center"/>
          </w:tcPr>
          <w:p w14:paraId="6CF7E34F">
            <w:pPr>
              <w:snapToGrid w:val="0"/>
              <w:spacing w:line="240" w:lineRule="auto"/>
              <w:ind w:firstLine="0" w:firstLineChars="0"/>
              <w:jc w:val="center"/>
              <w:rPr>
                <w:rFonts w:cs="宋体"/>
                <w:kern w:val="0"/>
                <w:sz w:val="21"/>
                <w:szCs w:val="21"/>
              </w:rPr>
            </w:pPr>
            <w:r>
              <w:rPr>
                <w:rFonts w:cs="宋体"/>
                <w:kern w:val="0"/>
                <w:sz w:val="21"/>
                <w:szCs w:val="21"/>
              </w:rPr>
              <w:t>8</w:t>
            </w:r>
          </w:p>
        </w:tc>
        <w:tc>
          <w:tcPr>
            <w:tcW w:w="1112" w:type="dxa"/>
            <w:vAlign w:val="center"/>
          </w:tcPr>
          <w:p w14:paraId="31CDCC22">
            <w:pPr>
              <w:snapToGrid w:val="0"/>
              <w:spacing w:line="240" w:lineRule="auto"/>
              <w:ind w:firstLine="0" w:firstLineChars="0"/>
              <w:jc w:val="center"/>
              <w:rPr>
                <w:rFonts w:cs="宋体"/>
                <w:kern w:val="0"/>
                <w:sz w:val="21"/>
                <w:szCs w:val="21"/>
              </w:rPr>
            </w:pPr>
            <w:r>
              <w:rPr>
                <w:rFonts w:cs="宋体"/>
                <w:kern w:val="0"/>
                <w:sz w:val="21"/>
                <w:szCs w:val="21"/>
              </w:rPr>
              <w:t>尿素</w:t>
            </w:r>
          </w:p>
        </w:tc>
        <w:tc>
          <w:tcPr>
            <w:tcW w:w="11587" w:type="dxa"/>
            <w:vAlign w:val="center"/>
          </w:tcPr>
          <w:p w14:paraId="19309072">
            <w:pPr>
              <w:snapToGrid w:val="0"/>
              <w:spacing w:line="240" w:lineRule="auto"/>
              <w:ind w:firstLine="0" w:firstLineChars="0"/>
              <w:jc w:val="center"/>
              <w:rPr>
                <w:rFonts w:cs="宋体"/>
                <w:kern w:val="0"/>
                <w:sz w:val="21"/>
                <w:szCs w:val="21"/>
              </w:rPr>
            </w:pPr>
            <w:r>
              <w:rPr>
                <w:rFonts w:cs="宋体"/>
                <w:kern w:val="0"/>
                <w:sz w:val="21"/>
                <w:szCs w:val="21"/>
              </w:rPr>
              <w:t>化学式：CO(NH</w:t>
            </w:r>
            <w:r>
              <w:rPr>
                <w:rFonts w:cs="宋体"/>
                <w:kern w:val="0"/>
                <w:sz w:val="21"/>
                <w:szCs w:val="21"/>
                <w:vertAlign w:val="subscript"/>
              </w:rPr>
              <w:t>2</w:t>
            </w:r>
            <w:r>
              <w:rPr>
                <w:rFonts w:cs="宋体"/>
                <w:kern w:val="0"/>
                <w:sz w:val="21"/>
                <w:szCs w:val="21"/>
              </w:rPr>
              <w:t>)</w:t>
            </w:r>
            <w:r>
              <w:rPr>
                <w:rFonts w:cs="宋体"/>
                <w:kern w:val="0"/>
                <w:sz w:val="21"/>
                <w:szCs w:val="21"/>
                <w:vertAlign w:val="subscript"/>
              </w:rPr>
              <w:t>2</w:t>
            </w:r>
            <w:r>
              <w:rPr>
                <w:rFonts w:cs="宋体"/>
                <w:kern w:val="0"/>
                <w:sz w:val="21"/>
                <w:szCs w:val="21"/>
              </w:rPr>
              <w:t>，相对分子质量60.06 ，CO(NH</w:t>
            </w:r>
            <w:r>
              <w:rPr>
                <w:rFonts w:cs="宋体"/>
                <w:kern w:val="0"/>
                <w:sz w:val="21"/>
                <w:szCs w:val="21"/>
                <w:vertAlign w:val="subscript"/>
              </w:rPr>
              <w:t>2</w:t>
            </w:r>
            <w:r>
              <w:rPr>
                <w:rFonts w:cs="宋体"/>
                <w:kern w:val="0"/>
                <w:sz w:val="21"/>
                <w:szCs w:val="21"/>
              </w:rPr>
              <w:t>)</w:t>
            </w:r>
            <w:r>
              <w:rPr>
                <w:rFonts w:cs="宋体"/>
                <w:kern w:val="0"/>
                <w:sz w:val="21"/>
                <w:szCs w:val="21"/>
                <w:vertAlign w:val="subscript"/>
              </w:rPr>
              <w:t>2</w:t>
            </w:r>
            <w:r>
              <w:rPr>
                <w:rFonts w:cs="宋体"/>
                <w:kern w:val="0"/>
                <w:sz w:val="21"/>
                <w:szCs w:val="21"/>
              </w:rPr>
              <w:t>无色或白色针状或棒状结晶体，工业或农业品为白色略带微红色固体颗粒，无臭无味。含氮量约为46.67%。密度1.335g/cm</w:t>
            </w:r>
            <w:r>
              <w:rPr>
                <w:rFonts w:cs="宋体"/>
                <w:kern w:val="0"/>
                <w:sz w:val="21"/>
                <w:szCs w:val="21"/>
                <w:vertAlign w:val="superscript"/>
              </w:rPr>
              <w:t>3</w:t>
            </w:r>
            <w:r>
              <w:rPr>
                <w:rFonts w:cs="宋体"/>
                <w:kern w:val="0"/>
                <w:sz w:val="21"/>
                <w:szCs w:val="21"/>
              </w:rPr>
              <w:t>。熔点132.7℃。溶于水、甲醛、液态氨和醇， 难溶于乙醚、氯仿。呈弱碱性。</w:t>
            </w:r>
          </w:p>
        </w:tc>
        <w:tc>
          <w:tcPr>
            <w:tcW w:w="996" w:type="dxa"/>
            <w:vAlign w:val="center"/>
          </w:tcPr>
          <w:p w14:paraId="5320367E">
            <w:pPr>
              <w:snapToGrid w:val="0"/>
              <w:spacing w:line="240" w:lineRule="auto"/>
              <w:ind w:firstLine="0" w:firstLineChars="0"/>
              <w:jc w:val="center"/>
              <w:rPr>
                <w:rFonts w:cs="宋体"/>
                <w:kern w:val="0"/>
                <w:sz w:val="21"/>
                <w:szCs w:val="21"/>
              </w:rPr>
            </w:pPr>
            <w:r>
              <w:rPr>
                <w:rFonts w:hint="eastAsia"/>
                <w:sz w:val="21"/>
              </w:rPr>
              <w:t>原辅料</w:t>
            </w:r>
          </w:p>
        </w:tc>
      </w:tr>
      <w:tr w14:paraId="2CAC3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Align w:val="center"/>
          </w:tcPr>
          <w:p w14:paraId="14539DF2">
            <w:pPr>
              <w:snapToGrid w:val="0"/>
              <w:spacing w:line="240" w:lineRule="auto"/>
              <w:ind w:firstLine="0" w:firstLineChars="0"/>
              <w:jc w:val="center"/>
              <w:rPr>
                <w:rFonts w:cs="宋体"/>
                <w:kern w:val="0"/>
                <w:sz w:val="21"/>
                <w:szCs w:val="21"/>
              </w:rPr>
            </w:pPr>
            <w:r>
              <w:rPr>
                <w:rFonts w:cs="宋体"/>
                <w:kern w:val="0"/>
                <w:sz w:val="21"/>
                <w:szCs w:val="21"/>
              </w:rPr>
              <w:t>9</w:t>
            </w:r>
          </w:p>
        </w:tc>
        <w:tc>
          <w:tcPr>
            <w:tcW w:w="1112" w:type="dxa"/>
            <w:vAlign w:val="center"/>
          </w:tcPr>
          <w:p w14:paraId="634E5AFF">
            <w:pPr>
              <w:snapToGrid w:val="0"/>
              <w:spacing w:line="240" w:lineRule="auto"/>
              <w:ind w:firstLine="0" w:firstLineChars="0"/>
              <w:jc w:val="center"/>
              <w:rPr>
                <w:rFonts w:cs="宋体"/>
                <w:kern w:val="0"/>
                <w:sz w:val="21"/>
                <w:szCs w:val="21"/>
              </w:rPr>
            </w:pPr>
            <w:r>
              <w:rPr>
                <w:rFonts w:cs="宋体"/>
                <w:kern w:val="0"/>
                <w:sz w:val="21"/>
                <w:szCs w:val="21"/>
              </w:rPr>
              <w:t>氯化钡</w:t>
            </w:r>
          </w:p>
        </w:tc>
        <w:tc>
          <w:tcPr>
            <w:tcW w:w="11587" w:type="dxa"/>
            <w:vAlign w:val="center"/>
          </w:tcPr>
          <w:p w14:paraId="364C7367">
            <w:pPr>
              <w:snapToGrid w:val="0"/>
              <w:spacing w:line="240" w:lineRule="auto"/>
              <w:ind w:firstLine="0" w:firstLineChars="0"/>
              <w:jc w:val="center"/>
              <w:rPr>
                <w:rFonts w:cs="宋体"/>
                <w:kern w:val="0"/>
                <w:sz w:val="21"/>
                <w:szCs w:val="21"/>
              </w:rPr>
            </w:pPr>
            <w:r>
              <w:rPr>
                <w:rFonts w:cs="宋体"/>
                <w:kern w:val="0"/>
                <w:sz w:val="21"/>
                <w:szCs w:val="21"/>
              </w:rPr>
              <w:t xml:space="preserve">   化学式为BaCl</w:t>
            </w:r>
            <w:r>
              <w:rPr>
                <w:rFonts w:cs="宋体"/>
                <w:kern w:val="0"/>
                <w:sz w:val="21"/>
                <w:szCs w:val="21"/>
                <w:vertAlign w:val="subscript"/>
              </w:rPr>
              <w:t>2</w:t>
            </w:r>
            <w:r>
              <w:rPr>
                <w:rFonts w:cs="宋体"/>
                <w:kern w:val="0"/>
                <w:sz w:val="21"/>
                <w:szCs w:val="21"/>
              </w:rPr>
              <w:t>，氯化钡是白色的晶体，易溶于水，微溶于盐酸和硝酸，难溶于乙醇和乙醚，易吸湿，需密封保存。作分析试剂、脱水剂，制钡盐，以及用于电子、仪表、冶金等工业。急性毒性LD</w:t>
            </w:r>
            <w:r>
              <w:rPr>
                <w:rFonts w:cs="宋体"/>
                <w:kern w:val="0"/>
                <w:sz w:val="21"/>
                <w:szCs w:val="21"/>
                <w:vertAlign w:val="subscript"/>
              </w:rPr>
              <w:t>50</w:t>
            </w:r>
            <w:r>
              <w:rPr>
                <w:rFonts w:cs="宋体"/>
                <w:kern w:val="0"/>
                <w:sz w:val="21"/>
                <w:szCs w:val="21"/>
              </w:rPr>
              <w:t>：118mg/kg（大鼠经口）</w:t>
            </w:r>
            <w:r>
              <w:rPr>
                <w:rFonts w:hint="eastAsia" w:cs="宋体"/>
                <w:kern w:val="0"/>
                <w:sz w:val="21"/>
                <w:szCs w:val="21"/>
              </w:rPr>
              <w:t>。</w:t>
            </w:r>
          </w:p>
        </w:tc>
        <w:tc>
          <w:tcPr>
            <w:tcW w:w="996" w:type="dxa"/>
            <w:vAlign w:val="center"/>
          </w:tcPr>
          <w:p w14:paraId="0E808333">
            <w:pPr>
              <w:snapToGrid w:val="0"/>
              <w:spacing w:line="240" w:lineRule="auto"/>
              <w:ind w:firstLine="0" w:firstLineChars="0"/>
              <w:jc w:val="center"/>
              <w:rPr>
                <w:rFonts w:cs="宋体"/>
                <w:kern w:val="0"/>
                <w:sz w:val="21"/>
                <w:szCs w:val="21"/>
              </w:rPr>
            </w:pPr>
            <w:r>
              <w:rPr>
                <w:rFonts w:hint="eastAsia"/>
                <w:sz w:val="21"/>
              </w:rPr>
              <w:t>原辅料</w:t>
            </w:r>
          </w:p>
        </w:tc>
      </w:tr>
      <w:tr w14:paraId="47D8B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0" w:type="auto"/>
            <w:vAlign w:val="center"/>
          </w:tcPr>
          <w:p w14:paraId="113975C5">
            <w:pPr>
              <w:snapToGrid w:val="0"/>
              <w:spacing w:line="240" w:lineRule="auto"/>
              <w:ind w:firstLine="0" w:firstLineChars="0"/>
              <w:jc w:val="center"/>
              <w:rPr>
                <w:rFonts w:cs="宋体"/>
                <w:kern w:val="0"/>
                <w:sz w:val="21"/>
                <w:szCs w:val="21"/>
              </w:rPr>
            </w:pPr>
            <w:r>
              <w:rPr>
                <w:rFonts w:cs="宋体"/>
                <w:kern w:val="0"/>
                <w:sz w:val="21"/>
                <w:szCs w:val="21"/>
              </w:rPr>
              <w:t>1</w:t>
            </w:r>
            <w:r>
              <w:rPr>
                <w:rFonts w:hint="eastAsia" w:cs="宋体"/>
                <w:kern w:val="0"/>
                <w:sz w:val="21"/>
                <w:szCs w:val="21"/>
              </w:rPr>
              <w:t>0</w:t>
            </w:r>
          </w:p>
        </w:tc>
        <w:tc>
          <w:tcPr>
            <w:tcW w:w="1112" w:type="dxa"/>
            <w:vAlign w:val="center"/>
          </w:tcPr>
          <w:p w14:paraId="251751B7">
            <w:pPr>
              <w:snapToGrid w:val="0"/>
              <w:spacing w:line="240" w:lineRule="auto"/>
              <w:ind w:firstLine="0" w:firstLineChars="0"/>
              <w:jc w:val="center"/>
              <w:rPr>
                <w:rFonts w:cs="宋体"/>
                <w:kern w:val="0"/>
                <w:sz w:val="21"/>
                <w:szCs w:val="21"/>
              </w:rPr>
            </w:pPr>
            <w:r>
              <w:rPr>
                <w:rFonts w:cs="宋体"/>
                <w:kern w:val="0"/>
                <w:sz w:val="21"/>
                <w:szCs w:val="21"/>
              </w:rPr>
              <w:t>氯酸钠</w:t>
            </w:r>
          </w:p>
        </w:tc>
        <w:tc>
          <w:tcPr>
            <w:tcW w:w="11587" w:type="dxa"/>
            <w:vAlign w:val="center"/>
          </w:tcPr>
          <w:p w14:paraId="7CC31026">
            <w:pPr>
              <w:snapToGrid w:val="0"/>
              <w:spacing w:line="240" w:lineRule="auto"/>
              <w:ind w:firstLine="0" w:firstLineChars="0"/>
              <w:jc w:val="center"/>
              <w:rPr>
                <w:rFonts w:cs="宋体"/>
                <w:kern w:val="0"/>
                <w:sz w:val="21"/>
                <w:szCs w:val="21"/>
              </w:rPr>
            </w:pPr>
            <w:r>
              <w:rPr>
                <w:rFonts w:cs="宋体"/>
                <w:kern w:val="0"/>
                <w:sz w:val="21"/>
                <w:szCs w:val="21"/>
              </w:rPr>
              <w:t>氯酸钠</w:t>
            </w:r>
            <w:r>
              <w:rPr>
                <w:rFonts w:hint="default"/>
              </w:rPr>
              <w:t>化学式</w:t>
            </w:r>
            <w:r>
              <w:rPr>
                <w:rFonts w:cs="宋体"/>
                <w:kern w:val="0"/>
                <w:sz w:val="21"/>
                <w:szCs w:val="21"/>
              </w:rPr>
              <w:t>为NaClO</w:t>
            </w:r>
            <w:r>
              <w:rPr>
                <w:rFonts w:cs="宋体"/>
                <w:kern w:val="0"/>
                <w:sz w:val="21"/>
                <w:szCs w:val="21"/>
                <w:vertAlign w:val="subscript"/>
              </w:rPr>
              <w:t>3</w:t>
            </w:r>
            <w:r>
              <w:rPr>
                <w:rFonts w:cs="宋体"/>
                <w:kern w:val="0"/>
                <w:sz w:val="21"/>
                <w:szCs w:val="21"/>
              </w:rPr>
              <w:t>，</w:t>
            </w:r>
            <w:r>
              <w:rPr>
                <w:rFonts w:hint="default"/>
              </w:rPr>
              <w:t>相对分子质量</w:t>
            </w:r>
            <w:r>
              <w:rPr>
                <w:rStyle w:val="66"/>
                <w:rFonts w:hint="default"/>
              </w:rPr>
              <w:t>106.44。通常为白色或微黄色等轴晶体。味咸而凉，易溶于</w:t>
            </w:r>
            <w:r>
              <w:rPr>
                <w:rFonts w:hint="default"/>
              </w:rPr>
              <w:t>水</w:t>
            </w:r>
            <w:r>
              <w:rPr>
                <w:rStyle w:val="66"/>
                <w:rFonts w:hint="default"/>
              </w:rPr>
              <w:t>、微溶于乙醇。在酸性溶液中有强氧化作用，300℃以上分解出</w:t>
            </w:r>
            <w:r>
              <w:rPr>
                <w:rFonts w:hint="default"/>
              </w:rPr>
              <w:t>氧气</w:t>
            </w:r>
            <w:r>
              <w:rPr>
                <w:rStyle w:val="66"/>
                <w:rFonts w:hint="default"/>
              </w:rPr>
              <w:t>。氯酸钠不稳定。有强</w:t>
            </w:r>
            <w:r>
              <w:rPr>
                <w:rFonts w:hint="default"/>
              </w:rPr>
              <w:t>氧</w:t>
            </w:r>
            <w:r>
              <w:rPr>
                <w:rStyle w:val="66"/>
                <w:rFonts w:hint="default"/>
              </w:rPr>
              <w:t xml:space="preserve">化性。与磷、硫及有机物混合受撞击时易发生燃烧和爆炸，易吸潮结块。 </w:t>
            </w:r>
            <w:r>
              <w:rPr>
                <w:rFonts w:hint="eastAsia" w:cs="宋体"/>
                <w:kern w:val="0"/>
                <w:sz w:val="21"/>
                <w:szCs w:val="21"/>
              </w:rPr>
              <w:t>LD</w:t>
            </w:r>
            <w:r>
              <w:rPr>
                <w:rFonts w:hint="eastAsia" w:cs="宋体"/>
                <w:kern w:val="0"/>
                <w:sz w:val="21"/>
                <w:szCs w:val="21"/>
                <w:vertAlign w:val="subscript"/>
              </w:rPr>
              <w:t>50</w:t>
            </w:r>
            <w:r>
              <w:rPr>
                <w:rFonts w:hint="eastAsia" w:cs="宋体"/>
                <w:kern w:val="0"/>
                <w:sz w:val="21"/>
                <w:szCs w:val="21"/>
              </w:rPr>
              <w:t>：1200mg/kg；</w:t>
            </w:r>
          </w:p>
        </w:tc>
        <w:tc>
          <w:tcPr>
            <w:tcW w:w="996" w:type="dxa"/>
            <w:vAlign w:val="center"/>
          </w:tcPr>
          <w:p w14:paraId="5827A8E5">
            <w:pPr>
              <w:snapToGrid w:val="0"/>
              <w:spacing w:line="240" w:lineRule="auto"/>
              <w:ind w:firstLine="0" w:firstLineChars="0"/>
              <w:jc w:val="center"/>
              <w:rPr>
                <w:rFonts w:cs="宋体"/>
                <w:kern w:val="0"/>
                <w:sz w:val="21"/>
                <w:szCs w:val="21"/>
              </w:rPr>
            </w:pPr>
            <w:r>
              <w:rPr>
                <w:rFonts w:hint="eastAsia" w:cs="宋体"/>
                <w:kern w:val="0"/>
                <w:sz w:val="21"/>
                <w:szCs w:val="21"/>
                <w:lang w:val="en-US" w:eastAsia="zh-CN"/>
              </w:rPr>
              <w:t>产品</w:t>
            </w:r>
          </w:p>
        </w:tc>
      </w:tr>
      <w:tr w14:paraId="354D4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502" w:type="dxa"/>
            <w:vAlign w:val="center"/>
          </w:tcPr>
          <w:p w14:paraId="7C282792">
            <w:pPr>
              <w:snapToGrid w:val="0"/>
              <w:spacing w:line="240" w:lineRule="auto"/>
              <w:ind w:firstLine="0" w:firstLineChars="0"/>
              <w:jc w:val="center"/>
              <w:rPr>
                <w:rFonts w:cs="宋体"/>
                <w:kern w:val="0"/>
                <w:sz w:val="21"/>
                <w:szCs w:val="21"/>
              </w:rPr>
            </w:pPr>
            <w:r>
              <w:rPr>
                <w:rFonts w:hint="eastAsia" w:cs="宋体"/>
                <w:kern w:val="0"/>
                <w:sz w:val="21"/>
                <w:szCs w:val="21"/>
                <w:lang w:val="en-US" w:eastAsia="zh-CN"/>
              </w:rPr>
              <w:t>11</w:t>
            </w:r>
          </w:p>
        </w:tc>
        <w:tc>
          <w:tcPr>
            <w:tcW w:w="1112" w:type="dxa"/>
            <w:vAlign w:val="center"/>
          </w:tcPr>
          <w:p w14:paraId="1F48571E">
            <w:pPr>
              <w:snapToGrid w:val="0"/>
              <w:spacing w:line="240" w:lineRule="auto"/>
              <w:ind w:firstLine="0" w:firstLineChars="0"/>
              <w:jc w:val="center"/>
              <w:rPr>
                <w:rFonts w:hint="eastAsia" w:eastAsia="宋体" w:cs="宋体"/>
                <w:kern w:val="0"/>
                <w:sz w:val="21"/>
                <w:szCs w:val="21"/>
                <w:lang w:val="en-US" w:eastAsia="zh-CN"/>
              </w:rPr>
            </w:pPr>
            <w:r>
              <w:rPr>
                <w:rFonts w:cs="宋体"/>
                <w:kern w:val="0"/>
                <w:sz w:val="21"/>
                <w:szCs w:val="21"/>
              </w:rPr>
              <w:t>氯酸</w:t>
            </w:r>
            <w:r>
              <w:rPr>
                <w:rFonts w:hint="eastAsia" w:cs="宋体"/>
                <w:kern w:val="0"/>
                <w:sz w:val="21"/>
                <w:szCs w:val="21"/>
                <w:lang w:val="en-US" w:eastAsia="zh-CN"/>
              </w:rPr>
              <w:t>钾</w:t>
            </w:r>
          </w:p>
        </w:tc>
        <w:tc>
          <w:tcPr>
            <w:tcW w:w="11587" w:type="dxa"/>
            <w:vAlign w:val="center"/>
          </w:tcPr>
          <w:p w14:paraId="1D83CC67">
            <w:pPr>
              <w:snapToGrid w:val="0"/>
              <w:spacing w:line="240" w:lineRule="auto"/>
              <w:ind w:firstLine="0" w:firstLineChars="0"/>
              <w:jc w:val="center"/>
              <w:rPr>
                <w:rFonts w:cs="宋体"/>
                <w:kern w:val="0"/>
                <w:sz w:val="21"/>
                <w:szCs w:val="21"/>
              </w:rPr>
            </w:pPr>
            <w:r>
              <w:rPr>
                <w:rFonts w:cs="宋体"/>
                <w:kern w:val="0"/>
                <w:sz w:val="21"/>
                <w:szCs w:val="21"/>
              </w:rPr>
              <w:t>氯酸</w:t>
            </w:r>
            <w:r>
              <w:rPr>
                <w:rFonts w:hint="eastAsia" w:cs="宋体"/>
                <w:kern w:val="0"/>
                <w:sz w:val="21"/>
                <w:szCs w:val="21"/>
                <w:lang w:val="en-US" w:eastAsia="zh-CN"/>
              </w:rPr>
              <w:t>钾</w:t>
            </w:r>
            <w:r>
              <w:rPr>
                <w:rFonts w:hint="default"/>
              </w:rPr>
              <w:t>化学式</w:t>
            </w:r>
            <w:r>
              <w:rPr>
                <w:rFonts w:cs="宋体"/>
                <w:kern w:val="0"/>
                <w:sz w:val="21"/>
                <w:szCs w:val="21"/>
              </w:rPr>
              <w:t>为</w:t>
            </w:r>
            <w:r>
              <w:rPr>
                <w:rFonts w:hint="eastAsia" w:cs="宋体"/>
                <w:kern w:val="0"/>
                <w:sz w:val="21"/>
                <w:szCs w:val="21"/>
                <w:lang w:val="en-US" w:eastAsia="zh-CN"/>
              </w:rPr>
              <w:t>K</w:t>
            </w:r>
            <w:r>
              <w:rPr>
                <w:rFonts w:cs="宋体"/>
                <w:kern w:val="0"/>
                <w:sz w:val="21"/>
                <w:szCs w:val="21"/>
              </w:rPr>
              <w:t>ClO</w:t>
            </w:r>
            <w:r>
              <w:rPr>
                <w:rFonts w:cs="宋体"/>
                <w:kern w:val="0"/>
                <w:sz w:val="21"/>
                <w:szCs w:val="21"/>
                <w:vertAlign w:val="subscript"/>
              </w:rPr>
              <w:t>3</w:t>
            </w:r>
            <w:r>
              <w:rPr>
                <w:rFonts w:cs="宋体"/>
                <w:kern w:val="0"/>
                <w:sz w:val="21"/>
                <w:szCs w:val="21"/>
              </w:rPr>
              <w:t>，</w:t>
            </w:r>
            <w:r>
              <w:rPr>
                <w:rFonts w:hint="default"/>
              </w:rPr>
              <w:t>相对分子质量</w:t>
            </w:r>
            <w:r>
              <w:rPr>
                <w:rStyle w:val="66"/>
                <w:rFonts w:hint="default"/>
              </w:rPr>
              <w:t>1</w:t>
            </w:r>
            <w:r>
              <w:rPr>
                <w:rStyle w:val="66"/>
                <w:rFonts w:hint="eastAsia"/>
                <w:lang w:val="en-US" w:eastAsia="zh-CN"/>
              </w:rPr>
              <w:t>22.56</w:t>
            </w:r>
            <w:r>
              <w:rPr>
                <w:rStyle w:val="66"/>
                <w:rFonts w:hint="default"/>
              </w:rPr>
              <w:t>。无色单斜晶体或白色粉末，味咸而凉。相对密度2.32。熔点356℃。溶于水，其水溶液呈中性。微溶于乙醇、甘油、液氨，不溶于丙酮。400℃时开始分解，加热至610℃时放出所有的氧。在有催化剂(二氧化锰)存在时，在较低温度下即分解并放出氧。在酸性介质中有强氧化作用，与碳、硫、磷及有机物或可燃物混合，受撞击时，易发生燃烧和爆炸。</w:t>
            </w:r>
          </w:p>
        </w:tc>
        <w:tc>
          <w:tcPr>
            <w:tcW w:w="996" w:type="dxa"/>
            <w:vAlign w:val="center"/>
          </w:tcPr>
          <w:p w14:paraId="7428EE22">
            <w:pPr>
              <w:snapToGrid w:val="0"/>
              <w:spacing w:line="240" w:lineRule="auto"/>
              <w:ind w:firstLine="0" w:firstLineChars="0"/>
              <w:jc w:val="center"/>
              <w:rPr>
                <w:rFonts w:hint="eastAsia" w:eastAsia="宋体" w:cs="宋体"/>
                <w:kern w:val="0"/>
                <w:sz w:val="21"/>
                <w:szCs w:val="21"/>
                <w:lang w:val="en-US" w:eastAsia="zh-CN"/>
              </w:rPr>
            </w:pPr>
            <w:r>
              <w:rPr>
                <w:rFonts w:hint="eastAsia" w:cs="宋体"/>
                <w:kern w:val="0"/>
                <w:sz w:val="21"/>
                <w:szCs w:val="21"/>
                <w:lang w:val="en-US" w:eastAsia="zh-CN"/>
              </w:rPr>
              <w:t>产品</w:t>
            </w:r>
          </w:p>
        </w:tc>
      </w:tr>
      <w:tr w14:paraId="2C9E6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2" w:type="dxa"/>
            <w:vAlign w:val="center"/>
          </w:tcPr>
          <w:p w14:paraId="5C0C08FF">
            <w:pPr>
              <w:snapToGrid w:val="0"/>
              <w:spacing w:line="240" w:lineRule="auto"/>
              <w:ind w:firstLine="0" w:firstLineChars="0"/>
              <w:jc w:val="center"/>
              <w:rPr>
                <w:rFonts w:hint="default" w:eastAsia="宋体" w:cs="宋体"/>
                <w:kern w:val="0"/>
                <w:sz w:val="21"/>
                <w:szCs w:val="21"/>
                <w:lang w:val="en-US" w:eastAsia="zh-CN"/>
              </w:rPr>
            </w:pPr>
            <w:r>
              <w:rPr>
                <w:rFonts w:hint="eastAsia" w:cs="宋体"/>
                <w:kern w:val="0"/>
                <w:sz w:val="21"/>
                <w:szCs w:val="21"/>
                <w:lang w:val="en-US" w:eastAsia="zh-CN"/>
              </w:rPr>
              <w:t>12</w:t>
            </w:r>
          </w:p>
        </w:tc>
        <w:tc>
          <w:tcPr>
            <w:tcW w:w="1112" w:type="dxa"/>
            <w:vAlign w:val="center"/>
          </w:tcPr>
          <w:p w14:paraId="66E4F725">
            <w:pPr>
              <w:snapToGrid w:val="0"/>
              <w:spacing w:line="240" w:lineRule="auto"/>
              <w:ind w:firstLine="0" w:firstLineChars="0"/>
              <w:jc w:val="center"/>
              <w:rPr>
                <w:rFonts w:hint="eastAsia" w:ascii="Times New Roman" w:hAnsi="Times New Roman" w:eastAsia="宋体" w:cs="宋体"/>
                <w:kern w:val="0"/>
                <w:sz w:val="21"/>
                <w:szCs w:val="21"/>
                <w:lang w:val="en-US" w:eastAsia="zh-CN" w:bidi="ar-SA"/>
              </w:rPr>
            </w:pPr>
            <w:r>
              <w:rPr>
                <w:rFonts w:hint="eastAsia" w:cs="宋体"/>
                <w:kern w:val="0"/>
                <w:sz w:val="21"/>
                <w:szCs w:val="21"/>
                <w:lang w:val="en-US" w:eastAsia="zh-CN"/>
              </w:rPr>
              <w:t>碳酸锂</w:t>
            </w:r>
          </w:p>
        </w:tc>
        <w:tc>
          <w:tcPr>
            <w:tcW w:w="11587" w:type="dxa"/>
            <w:vAlign w:val="center"/>
          </w:tcPr>
          <w:p w14:paraId="55E2A390">
            <w:pPr>
              <w:snapToGrid w:val="0"/>
              <w:spacing w:line="240" w:lineRule="auto"/>
              <w:ind w:firstLine="0" w:firstLineChars="0"/>
              <w:jc w:val="center"/>
              <w:rPr>
                <w:rFonts w:hint="eastAsia" w:eastAsia="宋体"/>
                <w:lang w:eastAsia="zh-CN"/>
              </w:rPr>
            </w:pPr>
            <w:r>
              <w:rPr>
                <w:rFonts w:hint="eastAsia" w:cs="宋体"/>
                <w:kern w:val="0"/>
                <w:sz w:val="21"/>
                <w:szCs w:val="21"/>
                <w:lang w:val="en-US" w:eastAsia="zh-CN"/>
              </w:rPr>
              <w:t>化学式为</w:t>
            </w:r>
            <w:r>
              <w:rPr>
                <w:rFonts w:hint="eastAsia" w:cs="宋体"/>
                <w:kern w:val="0"/>
                <w:sz w:val="21"/>
                <w:szCs w:val="21"/>
              </w:rPr>
              <w:t>Li</w:t>
            </w:r>
            <w:r>
              <w:rPr>
                <w:rFonts w:hint="eastAsia" w:cs="宋体"/>
                <w:kern w:val="0"/>
                <w:sz w:val="21"/>
                <w:szCs w:val="21"/>
                <w:vertAlign w:val="subscript"/>
              </w:rPr>
              <w:t>2</w:t>
            </w:r>
            <w:r>
              <w:rPr>
                <w:rFonts w:hint="eastAsia" w:cs="宋体"/>
                <w:kern w:val="0"/>
                <w:sz w:val="21"/>
                <w:szCs w:val="21"/>
              </w:rPr>
              <w:t>CO</w:t>
            </w:r>
            <w:r>
              <w:rPr>
                <w:rFonts w:hint="eastAsia" w:cs="宋体"/>
                <w:kern w:val="0"/>
                <w:sz w:val="21"/>
                <w:szCs w:val="21"/>
                <w:vertAlign w:val="subscript"/>
              </w:rPr>
              <w:t>3</w:t>
            </w:r>
            <w:r>
              <w:rPr>
                <w:rFonts w:hint="eastAsia" w:cs="宋体"/>
                <w:kern w:val="0"/>
                <w:sz w:val="21"/>
                <w:szCs w:val="21"/>
                <w:lang w:eastAsia="zh-CN"/>
              </w:rPr>
              <w:t>，白色单斜晶系粉末，熔点 723℃，相对密度 2.11，微溶于水（0℃时1.54；100℃时0.72），不溶于醇，溶于酸。用于半导体、电视机、原子能、陶瓷、医药、催化剂等部门，也用于制取锂化合物。</w:t>
            </w:r>
          </w:p>
        </w:tc>
        <w:tc>
          <w:tcPr>
            <w:tcW w:w="996" w:type="dxa"/>
            <w:vAlign w:val="center"/>
          </w:tcPr>
          <w:p w14:paraId="3C62B017">
            <w:pPr>
              <w:snapToGrid w:val="0"/>
              <w:spacing w:line="240" w:lineRule="auto"/>
              <w:ind w:firstLine="0" w:firstLineChars="0"/>
              <w:jc w:val="center"/>
              <w:rPr>
                <w:rFonts w:hint="eastAsia" w:eastAsia="宋体" w:cs="宋体"/>
                <w:kern w:val="0"/>
                <w:sz w:val="21"/>
                <w:szCs w:val="21"/>
                <w:lang w:val="en-US" w:eastAsia="zh-CN"/>
              </w:rPr>
            </w:pPr>
            <w:r>
              <w:rPr>
                <w:rFonts w:hint="eastAsia" w:cs="宋体"/>
                <w:kern w:val="0"/>
                <w:sz w:val="21"/>
                <w:szCs w:val="21"/>
                <w:lang w:val="en-US" w:eastAsia="zh-CN"/>
              </w:rPr>
              <w:t>原辅料</w:t>
            </w:r>
          </w:p>
        </w:tc>
      </w:tr>
      <w:tr w14:paraId="72FDF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2" w:type="dxa"/>
            <w:vAlign w:val="center"/>
          </w:tcPr>
          <w:p w14:paraId="648B28B6">
            <w:pPr>
              <w:snapToGrid w:val="0"/>
              <w:spacing w:line="240" w:lineRule="auto"/>
              <w:ind w:firstLine="0" w:firstLineChars="0"/>
              <w:jc w:val="center"/>
              <w:rPr>
                <w:rFonts w:hint="default" w:eastAsia="宋体" w:cs="宋体"/>
                <w:kern w:val="0"/>
                <w:sz w:val="21"/>
                <w:szCs w:val="21"/>
                <w:lang w:val="en-US" w:eastAsia="zh-CN"/>
              </w:rPr>
            </w:pPr>
            <w:r>
              <w:rPr>
                <w:rFonts w:hint="eastAsia" w:cs="宋体"/>
                <w:kern w:val="0"/>
                <w:sz w:val="21"/>
                <w:szCs w:val="21"/>
                <w:lang w:val="en-US" w:eastAsia="zh-CN"/>
              </w:rPr>
              <w:t>13</w:t>
            </w:r>
          </w:p>
        </w:tc>
        <w:tc>
          <w:tcPr>
            <w:tcW w:w="1112" w:type="dxa"/>
            <w:vAlign w:val="center"/>
          </w:tcPr>
          <w:p w14:paraId="2329A12F">
            <w:pPr>
              <w:snapToGrid w:val="0"/>
              <w:spacing w:line="240" w:lineRule="auto"/>
              <w:ind w:firstLine="0" w:firstLineChars="0"/>
              <w:jc w:val="center"/>
              <w:rPr>
                <w:rFonts w:hint="eastAsia" w:ascii="Times New Roman" w:hAnsi="Times New Roman" w:eastAsia="宋体" w:cs="宋体"/>
                <w:kern w:val="0"/>
                <w:sz w:val="21"/>
                <w:szCs w:val="21"/>
                <w:lang w:val="en-US" w:eastAsia="zh-CN" w:bidi="ar-SA"/>
              </w:rPr>
            </w:pPr>
            <w:r>
              <w:rPr>
                <w:rFonts w:hint="eastAsia" w:cs="宋体"/>
                <w:kern w:val="0"/>
                <w:sz w:val="21"/>
                <w:szCs w:val="21"/>
                <w:lang w:val="en-US" w:eastAsia="zh-CN"/>
              </w:rPr>
              <w:t>氢氧化锂</w:t>
            </w:r>
          </w:p>
        </w:tc>
        <w:tc>
          <w:tcPr>
            <w:tcW w:w="11587" w:type="dxa"/>
            <w:vAlign w:val="center"/>
          </w:tcPr>
          <w:p w14:paraId="7BA23BA8">
            <w:pPr>
              <w:snapToGrid w:val="0"/>
              <w:spacing w:line="240" w:lineRule="auto"/>
              <w:ind w:firstLine="420" w:firstLineChars="200"/>
              <w:jc w:val="center"/>
              <w:rPr>
                <w:rFonts w:hint="default" w:eastAsia="宋体"/>
                <w:lang w:val="en-US" w:eastAsia="zh-CN"/>
              </w:rPr>
            </w:pPr>
            <w:r>
              <w:rPr>
                <w:rFonts w:hint="eastAsia" w:cs="宋体"/>
                <w:kern w:val="0"/>
                <w:sz w:val="21"/>
                <w:szCs w:val="21"/>
                <w:lang w:val="en-US" w:eastAsia="zh-CN"/>
              </w:rPr>
              <w:t>化学式LiOH，白色结晶固体，具有强碱性，可与酸反应生成盐和水，常温下可吸湿，可以吸收二氧化碳并产生碳酸锂。主要用于电池行业，特别是锂离子电池，也被用作玻璃、陶瓷和瓷釉的添加剂。可以被用于一些化学反应中作为催化剂。</w:t>
            </w:r>
          </w:p>
        </w:tc>
        <w:tc>
          <w:tcPr>
            <w:tcW w:w="996" w:type="dxa"/>
            <w:vAlign w:val="center"/>
          </w:tcPr>
          <w:p w14:paraId="6FE6BE97">
            <w:pPr>
              <w:snapToGrid w:val="0"/>
              <w:spacing w:line="240" w:lineRule="auto"/>
              <w:ind w:left="0" w:leftChars="0" w:firstLine="0" w:firstLineChars="0"/>
              <w:jc w:val="center"/>
              <w:rPr>
                <w:rFonts w:hint="default" w:eastAsia="宋体" w:cs="宋体"/>
                <w:kern w:val="0"/>
                <w:sz w:val="21"/>
                <w:szCs w:val="21"/>
                <w:lang w:val="en-US" w:eastAsia="zh-CN"/>
              </w:rPr>
            </w:pPr>
            <w:r>
              <w:rPr>
                <w:rFonts w:hint="eastAsia" w:cs="宋体"/>
                <w:kern w:val="0"/>
                <w:sz w:val="21"/>
                <w:szCs w:val="21"/>
                <w:lang w:val="en-US" w:eastAsia="zh-CN"/>
              </w:rPr>
              <w:t>原辅料</w:t>
            </w:r>
          </w:p>
        </w:tc>
      </w:tr>
      <w:tr w14:paraId="6680D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502" w:type="dxa"/>
            <w:vAlign w:val="center"/>
          </w:tcPr>
          <w:p w14:paraId="56A3E6AD">
            <w:pPr>
              <w:snapToGrid w:val="0"/>
              <w:spacing w:line="240" w:lineRule="auto"/>
              <w:ind w:firstLine="0" w:firstLineChars="0"/>
              <w:jc w:val="center"/>
              <w:rPr>
                <w:rFonts w:hint="default" w:eastAsia="宋体" w:cs="宋体"/>
                <w:kern w:val="0"/>
                <w:sz w:val="21"/>
                <w:szCs w:val="21"/>
                <w:lang w:val="en-US" w:eastAsia="zh-CN"/>
              </w:rPr>
            </w:pPr>
            <w:r>
              <w:rPr>
                <w:rFonts w:hint="eastAsia" w:cs="宋体"/>
                <w:kern w:val="0"/>
                <w:sz w:val="21"/>
                <w:szCs w:val="21"/>
                <w:lang w:val="en-US" w:eastAsia="zh-CN"/>
              </w:rPr>
              <w:t>14</w:t>
            </w:r>
          </w:p>
        </w:tc>
        <w:tc>
          <w:tcPr>
            <w:tcW w:w="1112" w:type="dxa"/>
            <w:vAlign w:val="center"/>
          </w:tcPr>
          <w:p w14:paraId="52406E77">
            <w:pPr>
              <w:snapToGrid w:val="0"/>
              <w:spacing w:line="240" w:lineRule="auto"/>
              <w:ind w:firstLine="0" w:firstLineChars="0"/>
              <w:jc w:val="center"/>
              <w:rPr>
                <w:rFonts w:hint="eastAsia" w:ascii="Times New Roman" w:hAnsi="Times New Roman" w:eastAsia="宋体" w:cs="宋体"/>
                <w:kern w:val="0"/>
                <w:sz w:val="21"/>
                <w:szCs w:val="21"/>
                <w:lang w:val="en-US" w:eastAsia="zh-CN" w:bidi="ar-SA"/>
              </w:rPr>
            </w:pPr>
            <w:r>
              <w:rPr>
                <w:rFonts w:hint="eastAsia" w:cs="宋体"/>
                <w:kern w:val="0"/>
                <w:sz w:val="21"/>
                <w:szCs w:val="21"/>
                <w:lang w:val="en-US" w:eastAsia="zh-CN"/>
              </w:rPr>
              <w:t>氯化锂</w:t>
            </w:r>
          </w:p>
        </w:tc>
        <w:tc>
          <w:tcPr>
            <w:tcW w:w="11587" w:type="dxa"/>
            <w:vAlign w:val="center"/>
          </w:tcPr>
          <w:p w14:paraId="298F9537">
            <w:pPr>
              <w:snapToGrid w:val="0"/>
              <w:spacing w:line="240" w:lineRule="auto"/>
              <w:ind w:firstLine="420" w:firstLineChars="200"/>
              <w:jc w:val="center"/>
            </w:pPr>
            <w:r>
              <w:rPr>
                <w:rFonts w:hint="eastAsia" w:cs="宋体"/>
                <w:kern w:val="0"/>
                <w:sz w:val="21"/>
                <w:szCs w:val="21"/>
                <w:lang w:val="en-US" w:eastAsia="zh-CN"/>
              </w:rPr>
              <w:t>化学式为LiCl，为白色结晶固体或无色结晶体，熔点为605℃，沸点为1382℃。可溶于水，固体氯化锂在水中会发生吸热反应。易潮解。相对密度2. 068 (25℃)。熔点605℃。沸点约1360℃。饱和蒸气压0. 133kPa(547℃)。溶于水、乙醇、丙酮、氨水。水溶液呈中性或微碱性。是良好的电解质，可在水中形成导电的锂离子和氯离子。主要用于制冷剂，还可作助焊剂、干燥剂、化学试剂等，也用于制造焰火、干电池和金属锂等。</w:t>
            </w:r>
          </w:p>
        </w:tc>
        <w:tc>
          <w:tcPr>
            <w:tcW w:w="996" w:type="dxa"/>
            <w:vAlign w:val="center"/>
          </w:tcPr>
          <w:p w14:paraId="6B2FB726">
            <w:pPr>
              <w:snapToGrid w:val="0"/>
              <w:spacing w:line="240" w:lineRule="auto"/>
              <w:ind w:firstLine="0" w:firstLineChars="0"/>
              <w:jc w:val="center"/>
              <w:rPr>
                <w:rFonts w:hint="eastAsia" w:cs="宋体"/>
                <w:kern w:val="0"/>
                <w:sz w:val="21"/>
                <w:szCs w:val="21"/>
              </w:rPr>
            </w:pPr>
            <w:r>
              <w:rPr>
                <w:rFonts w:hint="eastAsia" w:cs="宋体"/>
                <w:kern w:val="0"/>
                <w:sz w:val="21"/>
                <w:szCs w:val="21"/>
              </w:rPr>
              <w:t>中间产物</w:t>
            </w:r>
          </w:p>
        </w:tc>
      </w:tr>
      <w:tr w14:paraId="53E7B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2" w:type="dxa"/>
            <w:vAlign w:val="center"/>
          </w:tcPr>
          <w:p w14:paraId="7F2D6E70">
            <w:pPr>
              <w:snapToGrid w:val="0"/>
              <w:spacing w:line="240" w:lineRule="auto"/>
              <w:ind w:firstLine="0" w:firstLineChars="0"/>
              <w:jc w:val="center"/>
              <w:rPr>
                <w:rFonts w:hint="default" w:eastAsia="宋体" w:cs="宋体"/>
                <w:kern w:val="0"/>
                <w:sz w:val="21"/>
                <w:szCs w:val="21"/>
                <w:lang w:val="en-US" w:eastAsia="zh-CN"/>
              </w:rPr>
            </w:pPr>
            <w:r>
              <w:rPr>
                <w:rFonts w:hint="eastAsia" w:cs="宋体"/>
                <w:kern w:val="0"/>
                <w:sz w:val="21"/>
                <w:szCs w:val="21"/>
                <w:lang w:val="en-US" w:eastAsia="zh-CN"/>
              </w:rPr>
              <w:t>15</w:t>
            </w:r>
          </w:p>
        </w:tc>
        <w:tc>
          <w:tcPr>
            <w:tcW w:w="1112" w:type="dxa"/>
            <w:vAlign w:val="center"/>
          </w:tcPr>
          <w:p w14:paraId="1F74C6A1">
            <w:pPr>
              <w:snapToGrid w:val="0"/>
              <w:spacing w:line="240" w:lineRule="auto"/>
              <w:ind w:firstLine="0" w:firstLineChars="0"/>
              <w:jc w:val="center"/>
              <w:rPr>
                <w:rFonts w:hint="default" w:cs="宋体"/>
                <w:kern w:val="0"/>
                <w:sz w:val="21"/>
                <w:szCs w:val="21"/>
                <w:lang w:val="en-US" w:eastAsia="zh-CN"/>
              </w:rPr>
            </w:pPr>
            <w:r>
              <w:rPr>
                <w:rFonts w:hint="eastAsia" w:cs="宋体"/>
                <w:kern w:val="0"/>
                <w:sz w:val="21"/>
                <w:szCs w:val="21"/>
                <w:lang w:val="en-US" w:eastAsia="zh-CN"/>
              </w:rPr>
              <w:t>高氯酸</w:t>
            </w:r>
          </w:p>
        </w:tc>
        <w:tc>
          <w:tcPr>
            <w:tcW w:w="11587" w:type="dxa"/>
            <w:vAlign w:val="center"/>
          </w:tcPr>
          <w:p w14:paraId="72F42025">
            <w:pPr>
              <w:snapToGrid w:val="0"/>
              <w:spacing w:line="240" w:lineRule="auto"/>
              <w:ind w:firstLine="0" w:firstLineChars="0"/>
              <w:jc w:val="center"/>
              <w:rPr>
                <w:rFonts w:hint="eastAsia" w:eastAsia="宋体"/>
                <w:lang w:eastAsia="zh-CN"/>
              </w:rPr>
            </w:pPr>
            <w:r>
              <w:rPr>
                <w:rFonts w:cs="宋体"/>
                <w:kern w:val="0"/>
                <w:sz w:val="21"/>
                <w:szCs w:val="21"/>
              </w:rPr>
              <w:t>化学式为</w:t>
            </w:r>
            <w:r>
              <w:rPr>
                <w:rFonts w:hint="eastAsia" w:cs="宋体"/>
                <w:kern w:val="0"/>
                <w:sz w:val="21"/>
                <w:szCs w:val="21"/>
                <w:lang w:val="en-US" w:eastAsia="zh-CN"/>
              </w:rPr>
              <w:t>H</w:t>
            </w:r>
            <w:r>
              <w:rPr>
                <w:rFonts w:cs="宋体"/>
                <w:kern w:val="0"/>
                <w:sz w:val="21"/>
                <w:szCs w:val="21"/>
              </w:rPr>
              <w:t>ClO</w:t>
            </w:r>
            <w:r>
              <w:rPr>
                <w:rFonts w:hint="eastAsia" w:cs="宋体"/>
                <w:kern w:val="0"/>
                <w:sz w:val="21"/>
                <w:szCs w:val="21"/>
                <w:vertAlign w:val="subscript"/>
              </w:rPr>
              <w:t>4</w:t>
            </w:r>
            <w:r>
              <w:rPr>
                <w:rFonts w:cs="宋体"/>
                <w:kern w:val="0"/>
                <w:sz w:val="21"/>
                <w:szCs w:val="21"/>
              </w:rPr>
              <w:t>，</w:t>
            </w:r>
            <w:r>
              <w:rPr>
                <w:rFonts w:hint="eastAsia" w:cs="宋体"/>
                <w:kern w:val="0"/>
                <w:sz w:val="21"/>
                <w:szCs w:val="21"/>
              </w:rPr>
              <w:t>是一种强酸，是一种无色、不稳定、发烟、吸湿性液体</w:t>
            </w:r>
            <w:r>
              <w:rPr>
                <w:rFonts w:hint="eastAsia" w:cs="宋体"/>
                <w:kern w:val="0"/>
                <w:sz w:val="21"/>
                <w:szCs w:val="21"/>
                <w:lang w:eastAsia="zh-CN"/>
              </w:rPr>
              <w:t>。</w:t>
            </w:r>
            <w:r>
              <w:rPr>
                <w:rFonts w:hint="eastAsia" w:cs="宋体"/>
                <w:kern w:val="0"/>
                <w:sz w:val="21"/>
                <w:szCs w:val="21"/>
                <w:lang w:val="en-US" w:eastAsia="zh-CN"/>
              </w:rPr>
              <w:t>高氯酸</w:t>
            </w:r>
            <w:r>
              <w:rPr>
                <w:rFonts w:hint="eastAsia" w:cs="宋体"/>
                <w:kern w:val="0"/>
                <w:sz w:val="21"/>
                <w:szCs w:val="21"/>
                <w:lang w:eastAsia="zh-CN"/>
              </w:rPr>
              <w:t>是一种极强的氧化剂，在浓度较高时能够与许多物质反应，甚至可以发生爆炸性反应。可溶于水，在常温下稳定，并且不易挥发。</w:t>
            </w:r>
          </w:p>
        </w:tc>
        <w:tc>
          <w:tcPr>
            <w:tcW w:w="996" w:type="dxa"/>
            <w:vAlign w:val="center"/>
          </w:tcPr>
          <w:p w14:paraId="377965BA">
            <w:pPr>
              <w:snapToGrid w:val="0"/>
              <w:spacing w:line="240" w:lineRule="auto"/>
              <w:ind w:firstLine="0" w:firstLineChars="0"/>
              <w:jc w:val="center"/>
              <w:rPr>
                <w:rFonts w:hint="eastAsia" w:eastAsia="宋体" w:cs="宋体"/>
                <w:kern w:val="0"/>
                <w:sz w:val="21"/>
                <w:szCs w:val="21"/>
                <w:lang w:val="en-US" w:eastAsia="zh-CN"/>
              </w:rPr>
            </w:pPr>
            <w:r>
              <w:rPr>
                <w:rFonts w:hint="eastAsia" w:cs="宋体"/>
                <w:kern w:val="0"/>
                <w:sz w:val="21"/>
                <w:szCs w:val="21"/>
                <w:lang w:val="en-US" w:eastAsia="zh-CN"/>
              </w:rPr>
              <w:t>原辅料</w:t>
            </w:r>
          </w:p>
        </w:tc>
      </w:tr>
      <w:tr w14:paraId="17C02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502" w:type="dxa"/>
            <w:vAlign w:val="center"/>
          </w:tcPr>
          <w:p w14:paraId="2D96C6B5">
            <w:pPr>
              <w:snapToGrid w:val="0"/>
              <w:spacing w:line="240" w:lineRule="auto"/>
              <w:ind w:firstLine="0" w:firstLineChars="0"/>
              <w:jc w:val="center"/>
              <w:rPr>
                <w:rFonts w:hint="default" w:eastAsia="宋体" w:cs="宋体"/>
                <w:kern w:val="0"/>
                <w:sz w:val="21"/>
                <w:szCs w:val="21"/>
                <w:lang w:val="en-US" w:eastAsia="zh-CN"/>
              </w:rPr>
            </w:pPr>
            <w:r>
              <w:rPr>
                <w:rFonts w:hint="eastAsia" w:cs="宋体"/>
                <w:kern w:val="0"/>
                <w:sz w:val="21"/>
                <w:szCs w:val="21"/>
                <w:lang w:val="en-US" w:eastAsia="zh-CN"/>
              </w:rPr>
              <w:t>16</w:t>
            </w:r>
          </w:p>
        </w:tc>
        <w:tc>
          <w:tcPr>
            <w:tcW w:w="1112" w:type="dxa"/>
            <w:vAlign w:val="center"/>
          </w:tcPr>
          <w:p w14:paraId="64B05385">
            <w:pPr>
              <w:snapToGrid w:val="0"/>
              <w:spacing w:line="240" w:lineRule="auto"/>
              <w:ind w:firstLine="0" w:firstLineChars="0"/>
              <w:jc w:val="center"/>
              <w:rPr>
                <w:rFonts w:ascii="Times New Roman" w:hAnsi="Times New Roman" w:eastAsia="宋体" w:cs="宋体"/>
                <w:kern w:val="0"/>
                <w:sz w:val="21"/>
                <w:szCs w:val="21"/>
                <w:lang w:val="en-US" w:eastAsia="zh-CN" w:bidi="ar-SA"/>
              </w:rPr>
            </w:pPr>
            <w:r>
              <w:rPr>
                <w:rFonts w:hint="eastAsia" w:cs="宋体"/>
                <w:kern w:val="0"/>
                <w:sz w:val="21"/>
                <w:szCs w:val="21"/>
                <w:lang w:val="en-US" w:eastAsia="zh-CN"/>
              </w:rPr>
              <w:t>一水</w:t>
            </w:r>
            <w:r>
              <w:rPr>
                <w:rFonts w:cs="宋体"/>
                <w:kern w:val="0"/>
                <w:sz w:val="21"/>
                <w:szCs w:val="21"/>
              </w:rPr>
              <w:t>高氯酸钠</w:t>
            </w:r>
          </w:p>
        </w:tc>
        <w:tc>
          <w:tcPr>
            <w:tcW w:w="11587" w:type="dxa"/>
            <w:vAlign w:val="center"/>
          </w:tcPr>
          <w:p w14:paraId="03A38FDF">
            <w:pPr>
              <w:snapToGrid w:val="0"/>
              <w:spacing w:line="240" w:lineRule="auto"/>
              <w:ind w:firstLine="0" w:firstLineChars="0"/>
              <w:jc w:val="center"/>
              <w:rPr>
                <w:rFonts w:ascii="Times New Roman" w:hAnsi="Times New Roman" w:eastAsia="宋体" w:cs="宋体"/>
                <w:kern w:val="0"/>
                <w:sz w:val="21"/>
                <w:szCs w:val="21"/>
                <w:lang w:val="en-US" w:eastAsia="zh-CN" w:bidi="ar-SA"/>
              </w:rPr>
            </w:pPr>
            <w:r>
              <w:rPr>
                <w:rFonts w:cs="宋体"/>
                <w:kern w:val="0"/>
                <w:sz w:val="21"/>
                <w:szCs w:val="21"/>
              </w:rPr>
              <w:t>化学式为NaClO</w:t>
            </w:r>
            <w:r>
              <w:rPr>
                <w:rFonts w:hint="eastAsia" w:cs="宋体"/>
                <w:kern w:val="0"/>
                <w:sz w:val="21"/>
                <w:szCs w:val="21"/>
                <w:vertAlign w:val="subscript"/>
              </w:rPr>
              <w:t>4</w:t>
            </w:r>
            <w:r>
              <w:rPr>
                <w:rFonts w:cs="宋体"/>
                <w:kern w:val="0"/>
                <w:sz w:val="21"/>
                <w:szCs w:val="21"/>
              </w:rPr>
              <w:t>·H</w:t>
            </w:r>
            <w:r>
              <w:rPr>
                <w:rFonts w:cs="宋体"/>
                <w:kern w:val="0"/>
                <w:sz w:val="21"/>
                <w:szCs w:val="21"/>
                <w:vertAlign w:val="subscript"/>
              </w:rPr>
              <w:t>2</w:t>
            </w:r>
            <w:r>
              <w:rPr>
                <w:rFonts w:cs="宋体"/>
                <w:kern w:val="0"/>
                <w:sz w:val="21"/>
                <w:szCs w:val="21"/>
              </w:rPr>
              <w:t>O，</w:t>
            </w:r>
            <w:r>
              <w:rPr>
                <w:rStyle w:val="66"/>
                <w:rFonts w:hint="default"/>
              </w:rPr>
              <w:t>白色结晶。有</w:t>
            </w:r>
            <w:r>
              <w:rPr>
                <w:rFonts w:hint="default"/>
              </w:rPr>
              <w:t>吸湿性</w:t>
            </w:r>
            <w:r>
              <w:rPr>
                <w:rStyle w:val="66"/>
                <w:rFonts w:hint="default"/>
              </w:rPr>
              <w:t>。</w:t>
            </w:r>
            <w:r>
              <w:rPr>
                <w:rFonts w:hint="default"/>
              </w:rPr>
              <w:t>无水物</w:t>
            </w:r>
            <w:r>
              <w:rPr>
                <w:rStyle w:val="66"/>
                <w:rFonts w:hint="default"/>
              </w:rPr>
              <w:t>在480°C时分解。易溶于水，溶于乙醇和</w:t>
            </w:r>
            <w:r>
              <w:rPr>
                <w:rFonts w:hint="default"/>
              </w:rPr>
              <w:t>丙酮</w:t>
            </w:r>
            <w:r>
              <w:rPr>
                <w:rStyle w:val="66"/>
                <w:rFonts w:hint="default"/>
              </w:rPr>
              <w:t>，不溶于</w:t>
            </w:r>
            <w:r>
              <w:rPr>
                <w:rFonts w:hint="default"/>
              </w:rPr>
              <w:t>乙醚</w:t>
            </w:r>
            <w:r>
              <w:rPr>
                <w:rStyle w:val="66"/>
                <w:rFonts w:hint="default"/>
              </w:rPr>
              <w:t>。相对密度2.02。有</w:t>
            </w:r>
            <w:r>
              <w:rPr>
                <w:rFonts w:hint="default"/>
              </w:rPr>
              <w:t>氧化性</w:t>
            </w:r>
            <w:r>
              <w:rPr>
                <w:rStyle w:val="66"/>
                <w:rFonts w:hint="default"/>
              </w:rPr>
              <w:t>。与有机物摩擦或撞击能引起燃烧或爆炸，接触浓硫酸也能引起爆炸。低毒，半数致死量（大鼠，经口）2100mg/kg。有刺激性。</w:t>
            </w:r>
          </w:p>
        </w:tc>
        <w:tc>
          <w:tcPr>
            <w:tcW w:w="996" w:type="dxa"/>
            <w:vAlign w:val="center"/>
          </w:tcPr>
          <w:p w14:paraId="5E5D7FAE">
            <w:pPr>
              <w:snapToGrid w:val="0"/>
              <w:spacing w:line="240" w:lineRule="auto"/>
              <w:ind w:firstLine="0" w:firstLineChars="0"/>
              <w:jc w:val="center"/>
              <w:rPr>
                <w:rFonts w:cs="宋体"/>
                <w:kern w:val="0"/>
                <w:sz w:val="21"/>
                <w:szCs w:val="21"/>
              </w:rPr>
            </w:pPr>
            <w:r>
              <w:rPr>
                <w:rFonts w:hint="eastAsia" w:cs="宋体"/>
                <w:kern w:val="0"/>
                <w:sz w:val="21"/>
                <w:szCs w:val="21"/>
              </w:rPr>
              <w:t>产品</w:t>
            </w:r>
          </w:p>
        </w:tc>
      </w:tr>
      <w:tr w14:paraId="4A845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502" w:type="dxa"/>
            <w:vAlign w:val="center"/>
          </w:tcPr>
          <w:p w14:paraId="7B0D3F73">
            <w:pPr>
              <w:snapToGrid w:val="0"/>
              <w:spacing w:line="240" w:lineRule="auto"/>
              <w:ind w:firstLine="0" w:firstLineChars="0"/>
              <w:jc w:val="center"/>
              <w:rPr>
                <w:rFonts w:hint="default" w:eastAsia="宋体" w:cs="宋体"/>
                <w:kern w:val="0"/>
                <w:sz w:val="21"/>
                <w:szCs w:val="21"/>
                <w:lang w:val="en-US" w:eastAsia="zh-CN"/>
              </w:rPr>
            </w:pPr>
            <w:r>
              <w:rPr>
                <w:rFonts w:hint="eastAsia" w:cs="宋体"/>
                <w:kern w:val="0"/>
                <w:sz w:val="21"/>
                <w:szCs w:val="21"/>
                <w:lang w:val="en-US" w:eastAsia="zh-CN"/>
              </w:rPr>
              <w:t>17</w:t>
            </w:r>
          </w:p>
        </w:tc>
        <w:tc>
          <w:tcPr>
            <w:tcW w:w="1112" w:type="dxa"/>
            <w:vAlign w:val="center"/>
          </w:tcPr>
          <w:p w14:paraId="48E8B93E">
            <w:pPr>
              <w:snapToGrid w:val="0"/>
              <w:spacing w:line="240" w:lineRule="auto"/>
              <w:ind w:firstLine="0" w:firstLineChars="0"/>
              <w:jc w:val="center"/>
              <w:rPr>
                <w:rFonts w:hint="eastAsia" w:ascii="Times New Roman" w:hAnsi="Times New Roman" w:eastAsia="宋体" w:cs="宋体"/>
                <w:kern w:val="0"/>
                <w:sz w:val="21"/>
                <w:szCs w:val="21"/>
                <w:lang w:val="en-US" w:eastAsia="zh-CN" w:bidi="ar-SA"/>
              </w:rPr>
            </w:pPr>
            <w:r>
              <w:rPr>
                <w:rFonts w:cs="宋体"/>
                <w:kern w:val="0"/>
                <w:sz w:val="21"/>
                <w:szCs w:val="21"/>
              </w:rPr>
              <w:t>高氯酸钾</w:t>
            </w:r>
          </w:p>
        </w:tc>
        <w:tc>
          <w:tcPr>
            <w:tcW w:w="11587" w:type="dxa"/>
            <w:vAlign w:val="center"/>
          </w:tcPr>
          <w:p w14:paraId="52EDCEBC">
            <w:pPr>
              <w:snapToGrid w:val="0"/>
              <w:spacing w:line="240" w:lineRule="auto"/>
              <w:ind w:firstLine="0" w:firstLineChars="0"/>
              <w:jc w:val="center"/>
              <w:rPr>
                <w:rFonts w:ascii="Times New Roman" w:hAnsi="Times New Roman" w:eastAsia="宋体" w:cs="宋体"/>
                <w:kern w:val="0"/>
                <w:sz w:val="21"/>
                <w:szCs w:val="21"/>
                <w:lang w:val="en-US" w:eastAsia="zh-CN" w:bidi="ar-SA"/>
              </w:rPr>
            </w:pPr>
            <w:r>
              <w:rPr>
                <w:rFonts w:cs="宋体"/>
                <w:kern w:val="0"/>
                <w:sz w:val="21"/>
                <w:szCs w:val="21"/>
              </w:rPr>
              <w:t>化学式为KClO</w:t>
            </w:r>
            <w:r>
              <w:rPr>
                <w:rFonts w:cs="宋体"/>
                <w:kern w:val="0"/>
                <w:sz w:val="21"/>
                <w:szCs w:val="21"/>
                <w:vertAlign w:val="subscript"/>
              </w:rPr>
              <w:t>4</w:t>
            </w:r>
            <w:r>
              <w:rPr>
                <w:rFonts w:cs="宋体"/>
                <w:kern w:val="0"/>
                <w:sz w:val="21"/>
                <w:szCs w:val="21"/>
              </w:rPr>
              <w:t>，</w:t>
            </w:r>
            <w:r>
              <w:rPr>
                <w:rStyle w:val="66"/>
                <w:rFonts w:hint="default"/>
              </w:rPr>
              <w:t>是一种白色粉末或无色斜方晶系结晶体，无机物，需要密封阴凉保存。密度2.52g/cm</w:t>
            </w:r>
            <w:r>
              <w:rPr>
                <w:rStyle w:val="66"/>
                <w:rFonts w:hint="default"/>
                <w:vertAlign w:val="superscript"/>
              </w:rPr>
              <w:t>3</w:t>
            </w:r>
            <w:r>
              <w:rPr>
                <w:rStyle w:val="66"/>
                <w:rFonts w:hint="default"/>
              </w:rPr>
              <w:t>。熔点610℃。分子量138.55。能溶于水（1.5g/100g），难溶于醚和乙醇，性质较氯酸钾稳定，在熔点时会分解为氯化钾与氧气。可用作发烟剂、引火剂、氧化剂和化学分析试剂。具有强氧化性。与有机物、还原剂、易燃物接触或混合时有引起燃烧爆炸</w:t>
            </w:r>
            <w:r>
              <w:rPr>
                <w:rFonts w:cs="宋体"/>
                <w:kern w:val="0"/>
                <w:sz w:val="21"/>
                <w:szCs w:val="21"/>
              </w:rPr>
              <w:t xml:space="preserve">的危险。干燥的固体高氯酸盐在撞击和震动时会引起爆炸。 </w:t>
            </w:r>
          </w:p>
        </w:tc>
        <w:tc>
          <w:tcPr>
            <w:tcW w:w="996" w:type="dxa"/>
            <w:vAlign w:val="center"/>
          </w:tcPr>
          <w:p w14:paraId="030A7AC3">
            <w:pPr>
              <w:snapToGrid w:val="0"/>
              <w:spacing w:line="240" w:lineRule="auto"/>
              <w:ind w:firstLine="0" w:firstLineChars="0"/>
              <w:jc w:val="center"/>
              <w:rPr>
                <w:rFonts w:cs="宋体"/>
                <w:kern w:val="0"/>
                <w:sz w:val="21"/>
                <w:szCs w:val="21"/>
              </w:rPr>
            </w:pPr>
            <w:r>
              <w:rPr>
                <w:rFonts w:hint="eastAsia" w:cs="宋体"/>
                <w:kern w:val="0"/>
                <w:sz w:val="21"/>
                <w:szCs w:val="21"/>
              </w:rPr>
              <w:t>产品</w:t>
            </w:r>
          </w:p>
        </w:tc>
      </w:tr>
      <w:tr w14:paraId="1D44A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Align w:val="center"/>
          </w:tcPr>
          <w:p w14:paraId="4D0E50AD">
            <w:pPr>
              <w:snapToGrid w:val="0"/>
              <w:spacing w:line="240" w:lineRule="auto"/>
              <w:ind w:firstLine="0" w:firstLineChars="0"/>
              <w:jc w:val="center"/>
              <w:rPr>
                <w:rFonts w:hint="default" w:eastAsia="宋体" w:cs="宋体"/>
                <w:kern w:val="0"/>
                <w:sz w:val="21"/>
                <w:szCs w:val="21"/>
                <w:lang w:val="en-US" w:eastAsia="zh-CN"/>
              </w:rPr>
            </w:pPr>
            <w:r>
              <w:rPr>
                <w:rFonts w:hint="eastAsia" w:cs="宋体"/>
                <w:kern w:val="0"/>
                <w:sz w:val="21"/>
                <w:szCs w:val="21"/>
                <w:lang w:val="en-US" w:eastAsia="zh-CN"/>
              </w:rPr>
              <w:t>18</w:t>
            </w:r>
          </w:p>
        </w:tc>
        <w:tc>
          <w:tcPr>
            <w:tcW w:w="1112" w:type="dxa"/>
            <w:vAlign w:val="center"/>
          </w:tcPr>
          <w:p w14:paraId="3A006EE2">
            <w:pPr>
              <w:snapToGrid w:val="0"/>
              <w:spacing w:line="240" w:lineRule="auto"/>
              <w:ind w:firstLine="0" w:firstLineChars="0"/>
              <w:jc w:val="center"/>
              <w:rPr>
                <w:rFonts w:hint="default" w:eastAsia="宋体" w:cs="宋体"/>
                <w:kern w:val="0"/>
                <w:sz w:val="21"/>
                <w:szCs w:val="21"/>
                <w:lang w:val="en-US" w:eastAsia="zh-CN"/>
              </w:rPr>
            </w:pPr>
            <w:r>
              <w:rPr>
                <w:rFonts w:hint="eastAsia" w:cs="宋体"/>
                <w:kern w:val="0"/>
                <w:sz w:val="21"/>
                <w:szCs w:val="21"/>
                <w:lang w:val="en-US" w:eastAsia="zh-CN"/>
              </w:rPr>
              <w:t>无水高氯酸锂</w:t>
            </w:r>
          </w:p>
        </w:tc>
        <w:tc>
          <w:tcPr>
            <w:tcW w:w="11587" w:type="dxa"/>
            <w:vAlign w:val="center"/>
          </w:tcPr>
          <w:p w14:paraId="37225CA7">
            <w:pPr>
              <w:snapToGrid w:val="0"/>
              <w:spacing w:line="240" w:lineRule="auto"/>
              <w:ind w:firstLine="0" w:firstLineChars="0"/>
              <w:jc w:val="center"/>
            </w:pPr>
            <w:r>
              <w:rPr>
                <w:rFonts w:cs="宋体"/>
                <w:kern w:val="0"/>
                <w:sz w:val="21"/>
                <w:szCs w:val="21"/>
              </w:rPr>
              <w:t>化学式为NaClO</w:t>
            </w:r>
            <w:r>
              <w:rPr>
                <w:rFonts w:hint="eastAsia" w:cs="宋体"/>
                <w:kern w:val="0"/>
                <w:sz w:val="21"/>
                <w:szCs w:val="21"/>
                <w:vertAlign w:val="subscript"/>
              </w:rPr>
              <w:t>4</w:t>
            </w:r>
            <w:r>
              <w:rPr>
                <w:rFonts w:cs="宋体"/>
                <w:kern w:val="0"/>
                <w:sz w:val="21"/>
                <w:szCs w:val="21"/>
              </w:rPr>
              <w:t>，</w:t>
            </w:r>
            <w:r>
              <w:rPr>
                <w:rFonts w:hint="eastAsia" w:cs="宋体"/>
                <w:kern w:val="0"/>
                <w:sz w:val="21"/>
                <w:szCs w:val="21"/>
              </w:rPr>
              <w:t>白色粉末或正交结晶。有潮解性。相对密度2.428。熔点236℃。沸点430℃。在450℃迅速分解为氯化锂和氧气。熔化热29.00Kj/mol。固相有三水物。易溶于水、醇、丙酮、乙醚、乙酸乙酯。高氯酸锂是一种具有较高危险性的化合物。它具有强氧化性，并且在与多种有机化合物和可燃性物质接触时可能引发爆炸。</w:t>
            </w:r>
          </w:p>
        </w:tc>
        <w:tc>
          <w:tcPr>
            <w:tcW w:w="996" w:type="dxa"/>
            <w:vAlign w:val="center"/>
          </w:tcPr>
          <w:p w14:paraId="7E0B2A51">
            <w:pPr>
              <w:snapToGrid w:val="0"/>
              <w:spacing w:line="240" w:lineRule="auto"/>
              <w:ind w:firstLine="0" w:firstLineChars="0"/>
              <w:jc w:val="center"/>
              <w:rPr>
                <w:rFonts w:hint="eastAsia" w:cs="宋体"/>
                <w:kern w:val="0"/>
                <w:sz w:val="21"/>
                <w:szCs w:val="21"/>
              </w:rPr>
            </w:pPr>
            <w:r>
              <w:rPr>
                <w:rFonts w:hint="eastAsia" w:cs="宋体"/>
                <w:kern w:val="0"/>
                <w:sz w:val="21"/>
                <w:szCs w:val="21"/>
              </w:rPr>
              <w:t>产品</w:t>
            </w:r>
          </w:p>
        </w:tc>
      </w:tr>
    </w:tbl>
    <w:p w14:paraId="509B9A10">
      <w:pPr>
        <w:ind w:firstLine="0" w:firstLineChars="0"/>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3BA4931B">
      <w:pPr>
        <w:ind w:firstLine="0" w:firstLineChars="0"/>
      </w:pPr>
    </w:p>
    <w:p w14:paraId="08052C60">
      <w:pPr>
        <w:ind w:firstLine="0" w:firstLineChars="0"/>
        <w:sectPr>
          <w:type w:val="continuous"/>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0A91905C">
      <w:pPr>
        <w:pStyle w:val="4"/>
      </w:pPr>
      <w:bookmarkStart w:id="126" w:name="_Toc5659"/>
      <w:bookmarkStart w:id="127" w:name="_Toc17292"/>
      <w:r>
        <w:rPr>
          <w:rFonts w:hint="eastAsia"/>
        </w:rPr>
        <w:t>能耗情况</w:t>
      </w:r>
    </w:p>
    <w:p w14:paraId="7B322F41">
      <w:pPr>
        <w:ind w:firstLine="480"/>
      </w:pPr>
      <w:r>
        <w:rPr>
          <w:rFonts w:hint="eastAsia"/>
        </w:rPr>
        <w:t>本项目全年主要能源、动力消耗见下表。</w:t>
      </w:r>
    </w:p>
    <w:p w14:paraId="738DEB5A">
      <w:pPr>
        <w:pStyle w:val="43"/>
        <w:rPr>
          <w:rFonts w:hint="default"/>
        </w:rPr>
      </w:pPr>
      <w:r>
        <w:t>全年</w:t>
      </w:r>
      <w:r>
        <w:rPr>
          <w:rFonts w:hint="default"/>
        </w:rPr>
        <w:t>主要能源、动力消耗表</w:t>
      </w:r>
    </w:p>
    <w:tbl>
      <w:tblPr>
        <w:tblStyle w:val="32"/>
        <w:tblW w:w="498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1"/>
        <w:gridCol w:w="1482"/>
        <w:gridCol w:w="1332"/>
        <w:gridCol w:w="889"/>
        <w:gridCol w:w="1064"/>
        <w:gridCol w:w="3048"/>
      </w:tblGrid>
      <w:tr w14:paraId="7E05A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trPr>
        <w:tc>
          <w:tcPr>
            <w:tcW w:w="400" w:type="pct"/>
            <w:shd w:val="clear" w:color="auto" w:fill="auto"/>
            <w:vAlign w:val="center"/>
          </w:tcPr>
          <w:p w14:paraId="001CC71D">
            <w:pPr>
              <w:pStyle w:val="45"/>
              <w:rPr>
                <w:rFonts w:hint="default"/>
                <w:b/>
                <w:bCs/>
              </w:rPr>
            </w:pPr>
            <w:r>
              <w:rPr>
                <w:b/>
                <w:bCs/>
              </w:rPr>
              <w:t>序号</w:t>
            </w:r>
          </w:p>
        </w:tc>
        <w:tc>
          <w:tcPr>
            <w:tcW w:w="872" w:type="pct"/>
            <w:shd w:val="clear" w:color="auto" w:fill="auto"/>
            <w:vAlign w:val="center"/>
          </w:tcPr>
          <w:p w14:paraId="0C226C65">
            <w:pPr>
              <w:pStyle w:val="45"/>
              <w:rPr>
                <w:rFonts w:hint="default"/>
                <w:b/>
                <w:bCs/>
              </w:rPr>
            </w:pPr>
            <w:r>
              <w:rPr>
                <w:b/>
                <w:bCs/>
              </w:rPr>
              <w:t>动力消耗种类</w:t>
            </w:r>
          </w:p>
        </w:tc>
        <w:tc>
          <w:tcPr>
            <w:tcW w:w="784" w:type="pct"/>
            <w:shd w:val="clear" w:color="auto" w:fill="auto"/>
            <w:vAlign w:val="center"/>
          </w:tcPr>
          <w:p w14:paraId="19376998">
            <w:pPr>
              <w:pStyle w:val="45"/>
              <w:rPr>
                <w:rFonts w:hint="default"/>
                <w:b/>
                <w:bCs/>
              </w:rPr>
            </w:pPr>
            <w:r>
              <w:rPr>
                <w:b/>
                <w:bCs/>
              </w:rPr>
              <w:t>规格</w:t>
            </w:r>
          </w:p>
        </w:tc>
        <w:tc>
          <w:tcPr>
            <w:tcW w:w="523" w:type="pct"/>
            <w:shd w:val="clear" w:color="auto" w:fill="auto"/>
            <w:vAlign w:val="center"/>
          </w:tcPr>
          <w:p w14:paraId="1B4B70E9">
            <w:pPr>
              <w:pStyle w:val="45"/>
              <w:rPr>
                <w:rFonts w:hint="default"/>
                <w:b/>
                <w:bCs/>
              </w:rPr>
            </w:pPr>
            <w:r>
              <w:rPr>
                <w:b/>
                <w:bCs/>
              </w:rPr>
              <w:t>单位</w:t>
            </w:r>
          </w:p>
        </w:tc>
        <w:tc>
          <w:tcPr>
            <w:tcW w:w="626" w:type="pct"/>
            <w:shd w:val="clear" w:color="auto" w:fill="auto"/>
            <w:vAlign w:val="center"/>
          </w:tcPr>
          <w:p w14:paraId="1D05A664">
            <w:pPr>
              <w:pStyle w:val="45"/>
              <w:rPr>
                <w:rFonts w:hint="default"/>
                <w:b/>
                <w:bCs/>
              </w:rPr>
            </w:pPr>
            <w:r>
              <w:rPr>
                <w:b/>
                <w:bCs/>
              </w:rPr>
              <w:t>年耗</w:t>
            </w:r>
          </w:p>
        </w:tc>
        <w:tc>
          <w:tcPr>
            <w:tcW w:w="1793" w:type="pct"/>
            <w:shd w:val="clear" w:color="auto" w:fill="auto"/>
            <w:vAlign w:val="center"/>
          </w:tcPr>
          <w:p w14:paraId="600CD588">
            <w:pPr>
              <w:pStyle w:val="45"/>
              <w:rPr>
                <w:rFonts w:hint="default"/>
                <w:b/>
                <w:bCs/>
              </w:rPr>
            </w:pPr>
            <w:r>
              <w:rPr>
                <w:b/>
                <w:bCs/>
              </w:rPr>
              <w:t>备注</w:t>
            </w:r>
          </w:p>
        </w:tc>
      </w:tr>
      <w:tr w14:paraId="649DF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00" w:type="pct"/>
            <w:shd w:val="clear" w:color="auto" w:fill="auto"/>
            <w:vAlign w:val="center"/>
          </w:tcPr>
          <w:p w14:paraId="212D64D9">
            <w:pPr>
              <w:pStyle w:val="45"/>
              <w:rPr>
                <w:rFonts w:hint="default"/>
              </w:rPr>
            </w:pPr>
            <w:r>
              <w:rPr>
                <w:rFonts w:hint="default"/>
              </w:rPr>
              <w:t>1</w:t>
            </w:r>
          </w:p>
        </w:tc>
        <w:tc>
          <w:tcPr>
            <w:tcW w:w="872" w:type="pct"/>
            <w:shd w:val="clear" w:color="auto" w:fill="auto"/>
            <w:vAlign w:val="center"/>
          </w:tcPr>
          <w:p w14:paraId="2DC087BB">
            <w:pPr>
              <w:pStyle w:val="45"/>
              <w:rPr>
                <w:rFonts w:hint="default"/>
              </w:rPr>
            </w:pPr>
            <w:r>
              <w:t>水</w:t>
            </w:r>
          </w:p>
        </w:tc>
        <w:tc>
          <w:tcPr>
            <w:tcW w:w="784" w:type="pct"/>
            <w:shd w:val="clear" w:color="auto" w:fill="auto"/>
            <w:vAlign w:val="center"/>
          </w:tcPr>
          <w:p w14:paraId="40067BAA">
            <w:pPr>
              <w:pStyle w:val="45"/>
              <w:rPr>
                <w:rFonts w:hint="default"/>
                <w:highlight w:val="none"/>
              </w:rPr>
            </w:pPr>
            <w:r>
              <w:rPr>
                <w:rFonts w:hint="default"/>
                <w:highlight w:val="none"/>
              </w:rPr>
              <w:t>0.3MPa</w:t>
            </w:r>
          </w:p>
        </w:tc>
        <w:tc>
          <w:tcPr>
            <w:tcW w:w="523" w:type="pct"/>
            <w:shd w:val="clear" w:color="auto" w:fill="auto"/>
            <w:vAlign w:val="center"/>
          </w:tcPr>
          <w:p w14:paraId="29634128">
            <w:pPr>
              <w:pStyle w:val="45"/>
              <w:rPr>
                <w:rFonts w:hint="default"/>
                <w:highlight w:val="none"/>
              </w:rPr>
            </w:pPr>
            <w:r>
              <w:rPr>
                <w:highlight w:val="none"/>
              </w:rPr>
              <w:t>万</w:t>
            </w:r>
            <w:r>
              <w:rPr>
                <w:rFonts w:hint="default"/>
                <w:highlight w:val="none"/>
              </w:rPr>
              <w:t>t</w:t>
            </w:r>
          </w:p>
        </w:tc>
        <w:tc>
          <w:tcPr>
            <w:tcW w:w="626" w:type="pct"/>
            <w:shd w:val="clear" w:color="auto" w:fill="auto"/>
            <w:vAlign w:val="center"/>
          </w:tcPr>
          <w:p w14:paraId="019EFA70">
            <w:pPr>
              <w:pStyle w:val="45"/>
              <w:rPr>
                <w:rFonts w:hint="default"/>
                <w:highlight w:val="none"/>
              </w:rPr>
            </w:pPr>
            <w:r>
              <w:rPr>
                <w:rFonts w:hint="default"/>
                <w:highlight w:val="none"/>
              </w:rPr>
              <w:t>38.31</w:t>
            </w:r>
          </w:p>
        </w:tc>
        <w:tc>
          <w:tcPr>
            <w:tcW w:w="1793" w:type="pct"/>
            <w:shd w:val="clear" w:color="auto" w:fill="auto"/>
            <w:vAlign w:val="center"/>
          </w:tcPr>
          <w:p w14:paraId="7F233B22">
            <w:pPr>
              <w:pStyle w:val="45"/>
              <w:rPr>
                <w:rFonts w:hint="default"/>
              </w:rPr>
            </w:pPr>
            <w:r>
              <w:rPr>
                <w:rFonts w:hint="eastAsia"/>
                <w:lang w:val="en-US" w:eastAsia="zh-CN"/>
              </w:rPr>
              <w:t>按</w:t>
            </w:r>
            <w:r>
              <w:t>设计最大用水量，未预见水量按最大用水量的</w:t>
            </w:r>
            <w:r>
              <w:rPr>
                <w:rFonts w:hint="default"/>
              </w:rPr>
              <w:t>10%</w:t>
            </w:r>
            <w:r>
              <w:t>计</w:t>
            </w:r>
          </w:p>
        </w:tc>
      </w:tr>
      <w:tr w14:paraId="09B43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400" w:type="pct"/>
            <w:shd w:val="clear" w:color="auto" w:fill="auto"/>
            <w:vAlign w:val="center"/>
          </w:tcPr>
          <w:p w14:paraId="335E968D">
            <w:pPr>
              <w:pStyle w:val="45"/>
              <w:rPr>
                <w:rFonts w:hint="default"/>
              </w:rPr>
            </w:pPr>
            <w:r>
              <w:rPr>
                <w:rFonts w:hint="default"/>
              </w:rPr>
              <w:t>2</w:t>
            </w:r>
          </w:p>
        </w:tc>
        <w:tc>
          <w:tcPr>
            <w:tcW w:w="872" w:type="pct"/>
            <w:shd w:val="clear" w:color="auto" w:fill="auto"/>
            <w:vAlign w:val="center"/>
          </w:tcPr>
          <w:p w14:paraId="515071D5">
            <w:pPr>
              <w:pStyle w:val="45"/>
              <w:rPr>
                <w:rFonts w:hint="default"/>
              </w:rPr>
            </w:pPr>
            <w:r>
              <w:t>电</w:t>
            </w:r>
          </w:p>
        </w:tc>
        <w:tc>
          <w:tcPr>
            <w:tcW w:w="784" w:type="pct"/>
            <w:shd w:val="clear" w:color="auto" w:fill="auto"/>
            <w:vAlign w:val="center"/>
          </w:tcPr>
          <w:p w14:paraId="07267925">
            <w:pPr>
              <w:pStyle w:val="45"/>
              <w:rPr>
                <w:rFonts w:hint="default"/>
                <w:highlight w:val="none"/>
              </w:rPr>
            </w:pPr>
            <w:r>
              <w:rPr>
                <w:rFonts w:hint="default"/>
                <w:highlight w:val="none"/>
              </w:rPr>
              <w:t>380/220V</w:t>
            </w:r>
          </w:p>
        </w:tc>
        <w:tc>
          <w:tcPr>
            <w:tcW w:w="523" w:type="pct"/>
            <w:shd w:val="clear" w:color="auto" w:fill="auto"/>
            <w:vAlign w:val="center"/>
          </w:tcPr>
          <w:p w14:paraId="70B2BC0A">
            <w:pPr>
              <w:pStyle w:val="45"/>
              <w:rPr>
                <w:rFonts w:hint="default"/>
                <w:highlight w:val="none"/>
              </w:rPr>
            </w:pPr>
            <w:r>
              <w:rPr>
                <w:highlight w:val="none"/>
              </w:rPr>
              <w:t>万</w:t>
            </w:r>
            <w:r>
              <w:rPr>
                <w:rFonts w:hint="default"/>
                <w:highlight w:val="none"/>
              </w:rPr>
              <w:t>kWh</w:t>
            </w:r>
          </w:p>
        </w:tc>
        <w:tc>
          <w:tcPr>
            <w:tcW w:w="626" w:type="pct"/>
            <w:shd w:val="clear" w:color="auto" w:fill="auto"/>
            <w:vAlign w:val="center"/>
          </w:tcPr>
          <w:p w14:paraId="349BFBA4">
            <w:pPr>
              <w:pStyle w:val="45"/>
              <w:rPr>
                <w:rFonts w:hint="default"/>
                <w:highlight w:val="none"/>
              </w:rPr>
            </w:pPr>
            <w:r>
              <w:rPr>
                <w:rFonts w:hint="default"/>
                <w:highlight w:val="none"/>
              </w:rPr>
              <w:t>76</w:t>
            </w:r>
            <w:r>
              <w:rPr>
                <w:rFonts w:hint="eastAsia"/>
                <w:highlight w:val="none"/>
                <w:lang w:val="en-US" w:eastAsia="zh-CN"/>
              </w:rPr>
              <w:t>4</w:t>
            </w:r>
            <w:r>
              <w:rPr>
                <w:rFonts w:hint="default"/>
                <w:highlight w:val="none"/>
              </w:rPr>
              <w:t>7.92</w:t>
            </w:r>
          </w:p>
        </w:tc>
        <w:tc>
          <w:tcPr>
            <w:tcW w:w="1793" w:type="pct"/>
            <w:shd w:val="clear" w:color="auto" w:fill="auto"/>
            <w:vAlign w:val="center"/>
          </w:tcPr>
          <w:p w14:paraId="3D2F7669">
            <w:pPr>
              <w:pStyle w:val="45"/>
              <w:rPr>
                <w:rFonts w:hint="default"/>
              </w:rPr>
            </w:pPr>
          </w:p>
        </w:tc>
      </w:tr>
      <w:tr w14:paraId="64F4D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00" w:type="pct"/>
            <w:shd w:val="clear" w:color="auto" w:fill="auto"/>
            <w:vAlign w:val="center"/>
          </w:tcPr>
          <w:p w14:paraId="50503FFA">
            <w:pPr>
              <w:pStyle w:val="45"/>
              <w:rPr>
                <w:rFonts w:hint="default"/>
              </w:rPr>
            </w:pPr>
            <w:r>
              <w:t>3</w:t>
            </w:r>
          </w:p>
        </w:tc>
        <w:tc>
          <w:tcPr>
            <w:tcW w:w="872" w:type="pct"/>
            <w:shd w:val="clear" w:color="auto" w:fill="auto"/>
            <w:vAlign w:val="center"/>
          </w:tcPr>
          <w:p w14:paraId="3FDA58E6">
            <w:pPr>
              <w:pStyle w:val="45"/>
              <w:rPr>
                <w:rFonts w:hint="default"/>
              </w:rPr>
            </w:pPr>
            <w:r>
              <w:t>蒸汽</w:t>
            </w:r>
          </w:p>
        </w:tc>
        <w:tc>
          <w:tcPr>
            <w:tcW w:w="784" w:type="pct"/>
            <w:shd w:val="clear" w:color="auto" w:fill="auto"/>
            <w:vAlign w:val="center"/>
          </w:tcPr>
          <w:p w14:paraId="5BC64994">
            <w:pPr>
              <w:pStyle w:val="45"/>
              <w:rPr>
                <w:rFonts w:hint="default"/>
              </w:rPr>
            </w:pPr>
            <w:r>
              <w:rPr>
                <w:rFonts w:hint="default"/>
              </w:rPr>
              <w:t>0.5MPa</w:t>
            </w:r>
          </w:p>
        </w:tc>
        <w:tc>
          <w:tcPr>
            <w:tcW w:w="523" w:type="pct"/>
            <w:shd w:val="clear" w:color="auto" w:fill="auto"/>
            <w:vAlign w:val="center"/>
          </w:tcPr>
          <w:p w14:paraId="115A5857">
            <w:pPr>
              <w:pStyle w:val="45"/>
              <w:rPr>
                <w:rFonts w:hint="default"/>
              </w:rPr>
            </w:pPr>
            <w:r>
              <w:t>吨</w:t>
            </w:r>
          </w:p>
        </w:tc>
        <w:tc>
          <w:tcPr>
            <w:tcW w:w="626" w:type="pct"/>
            <w:shd w:val="clear" w:color="auto" w:fill="auto"/>
            <w:vAlign w:val="center"/>
          </w:tcPr>
          <w:p w14:paraId="7F50227D">
            <w:pPr>
              <w:pStyle w:val="45"/>
              <w:rPr>
                <w:rFonts w:hint="default"/>
              </w:rPr>
            </w:pPr>
            <w:r>
              <w:t>0</w:t>
            </w:r>
          </w:p>
        </w:tc>
        <w:tc>
          <w:tcPr>
            <w:tcW w:w="1793" w:type="pct"/>
            <w:shd w:val="clear" w:color="auto" w:fill="auto"/>
            <w:vAlign w:val="center"/>
          </w:tcPr>
          <w:p w14:paraId="0C9DB715">
            <w:pPr>
              <w:pStyle w:val="45"/>
              <w:rPr>
                <w:rFonts w:hint="default"/>
              </w:rPr>
            </w:pPr>
            <w:r>
              <w:t>正常生产工序下，电解热量可满足用热需求，无需使用园区蒸汽。考虑电解槽检修等时段，本项目接入园区供热蒸汽备用</w:t>
            </w:r>
          </w:p>
        </w:tc>
      </w:tr>
    </w:tbl>
    <w:p w14:paraId="2C5BEB7C">
      <w:pPr>
        <w:spacing w:line="240" w:lineRule="auto"/>
        <w:ind w:firstLine="0" w:firstLineChars="0"/>
      </w:pPr>
    </w:p>
    <w:p w14:paraId="7CA006E4">
      <w:pPr>
        <w:pStyle w:val="4"/>
      </w:pPr>
      <w:r>
        <w:rPr>
          <w:rFonts w:hint="eastAsia"/>
        </w:rPr>
        <w:t>主要物料平衡分析</w:t>
      </w:r>
    </w:p>
    <w:p w14:paraId="01598C1E">
      <w:pPr>
        <w:pStyle w:val="5"/>
      </w:pPr>
      <w:r>
        <w:rPr>
          <w:rFonts w:hint="eastAsia"/>
          <w:lang w:val="en-US" w:eastAsia="zh-CN"/>
        </w:rPr>
        <w:t>一次电解装置</w:t>
      </w:r>
      <w:r>
        <w:rPr>
          <w:rFonts w:hint="eastAsia"/>
        </w:rPr>
        <w:t>生产平衡分析</w:t>
      </w:r>
    </w:p>
    <w:p w14:paraId="715CC826">
      <w:pPr>
        <w:ind w:firstLine="480"/>
      </w:pPr>
      <w:r>
        <w:rPr>
          <w:rFonts w:hint="eastAsia"/>
        </w:rPr>
        <w:t>本项目</w:t>
      </w:r>
      <w:r>
        <w:rPr>
          <w:rFonts w:hint="eastAsia"/>
          <w:lang w:val="en-US" w:eastAsia="zh-CN"/>
        </w:rPr>
        <w:t>一次电解</w:t>
      </w:r>
      <w:r>
        <w:rPr>
          <w:rFonts w:hint="eastAsia"/>
        </w:rPr>
        <w:t>装置为连续生产，</w:t>
      </w:r>
      <w:r>
        <w:rPr>
          <w:rFonts w:hint="eastAsia"/>
          <w:lang w:val="en-US" w:eastAsia="zh-CN"/>
        </w:rPr>
        <w:t>设计生产规模为年产20000</w:t>
      </w:r>
      <w:r>
        <w:t>吨氯酸钠</w:t>
      </w:r>
      <w:r>
        <w:rPr>
          <w:rFonts w:hint="eastAsia"/>
          <w:lang w:eastAsia="zh-CN"/>
        </w:rPr>
        <w:t>。</w:t>
      </w:r>
      <w:r>
        <w:rPr>
          <w:rFonts w:hint="eastAsia"/>
        </w:rPr>
        <w:t>其物料平衡依据化学反应方程式质量守恒来核算。核算过程如下：</w:t>
      </w:r>
    </w:p>
    <w:p w14:paraId="36335388">
      <w:pPr>
        <w:ind w:firstLine="480"/>
        <w:rPr>
          <w:position w:val="-12"/>
        </w:rPr>
      </w:pPr>
      <w:r>
        <w:rPr>
          <w:rFonts w:hint="eastAsia"/>
        </w:rPr>
        <w:t>总反应：</w:t>
      </w:r>
      <w:r>
        <w:rPr>
          <w:rFonts w:hint="eastAsia"/>
          <w:position w:val="-12"/>
        </w:rPr>
        <w:object>
          <v:shape id="_x0000_i1028" o:spt="75" type="#_x0000_t75" style="height:20.2pt;width:187.1pt;" o:ole="t" filled="f" o:preferrelative="t" stroked="f" coordsize="21600,21600">
            <v:path/>
            <v:fill on="f" focussize="0,0"/>
            <v:stroke on="f" joinstyle="miter"/>
            <v:imagedata r:id="rId26" o:title=""/>
            <o:lock v:ext="edit" aspectratio="t"/>
            <w10:wrap type="none"/>
            <w10:anchorlock/>
          </v:shape>
          <o:OLEObject Type="Embed" ProgID="Equation.KSEE3" ShapeID="_x0000_i1028" DrawAspect="Content" ObjectID="_1468075728" r:id="rId25">
            <o:LockedField>false</o:LockedField>
          </o:OLEObject>
        </w:object>
      </w:r>
    </w:p>
    <w:p w14:paraId="4D3BC941">
      <w:pPr>
        <w:ind w:firstLine="480"/>
      </w:pPr>
      <w:r>
        <w:rPr>
          <w:rFonts w:hint="eastAsia"/>
        </w:rPr>
        <w:t>本项目</w:t>
      </w:r>
      <w:r>
        <w:rPr>
          <w:rFonts w:hint="eastAsia"/>
          <w:lang w:val="en-US" w:eastAsia="zh-CN"/>
        </w:rPr>
        <w:t>一次电解装置生产的氯酸钠既是产品，也是生产氯酸钾、高氯酸钠等其他产品的原料。年产20000吨</w:t>
      </w:r>
      <w:r>
        <w:rPr>
          <w:rFonts w:hint="eastAsia"/>
        </w:rPr>
        <w:t>氯酸钠</w:t>
      </w:r>
      <w:r>
        <w:t>生产所需物料反应量见</w:t>
      </w:r>
      <w:r>
        <w:rPr>
          <w:rFonts w:hint="eastAsia"/>
        </w:rPr>
        <w:t>下</w:t>
      </w:r>
      <w:r>
        <w:t>表</w:t>
      </w:r>
      <w:r>
        <w:rPr>
          <w:rFonts w:hint="eastAsia"/>
        </w:rPr>
        <w:t>。</w:t>
      </w:r>
    </w:p>
    <w:p w14:paraId="5D5E8854">
      <w:pPr>
        <w:pStyle w:val="43"/>
        <w:rPr>
          <w:rFonts w:hint="default"/>
        </w:rPr>
      </w:pPr>
      <w:r>
        <w:rPr>
          <w:rFonts w:hint="eastAsia"/>
          <w:lang w:val="en-US" w:eastAsia="zh-CN"/>
        </w:rPr>
        <w:t>一次电解</w:t>
      </w:r>
      <w:r>
        <w:rPr>
          <w:rFonts w:hint="default"/>
        </w:rPr>
        <w:t>装置所需物料反应量</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8"/>
        <w:gridCol w:w="1614"/>
        <w:gridCol w:w="1614"/>
        <w:gridCol w:w="1331"/>
        <w:gridCol w:w="1462"/>
      </w:tblGrid>
      <w:tr w14:paraId="1B275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jc w:val="center"/>
        </w:trPr>
        <w:tc>
          <w:tcPr>
            <w:tcW w:w="1466" w:type="pct"/>
            <w:vAlign w:val="center"/>
          </w:tcPr>
          <w:p w14:paraId="6B17BA5F">
            <w:pPr>
              <w:pStyle w:val="45"/>
              <w:rPr>
                <w:rFonts w:hint="default"/>
                <w:b/>
                <w:bCs/>
              </w:rPr>
            </w:pPr>
            <w:r>
              <w:rPr>
                <w:b/>
                <w:bCs/>
              </w:rPr>
              <w:t>化学反应物质</w:t>
            </w:r>
          </w:p>
        </w:tc>
        <w:tc>
          <w:tcPr>
            <w:tcW w:w="947" w:type="pct"/>
            <w:vAlign w:val="center"/>
          </w:tcPr>
          <w:p w14:paraId="13F8F5FB">
            <w:pPr>
              <w:pStyle w:val="45"/>
              <w:rPr>
                <w:rFonts w:hint="default"/>
                <w:b/>
                <w:bCs/>
              </w:rPr>
            </w:pPr>
            <w:r>
              <w:rPr>
                <w:b/>
                <w:bCs/>
              </w:rPr>
              <w:t>NaCl</w:t>
            </w:r>
          </w:p>
        </w:tc>
        <w:tc>
          <w:tcPr>
            <w:tcW w:w="947" w:type="pct"/>
            <w:vAlign w:val="center"/>
          </w:tcPr>
          <w:p w14:paraId="70E2BCAB">
            <w:pPr>
              <w:pStyle w:val="45"/>
              <w:rPr>
                <w:rFonts w:hint="default"/>
                <w:b/>
                <w:bCs/>
              </w:rPr>
            </w:pPr>
            <w:r>
              <w:rPr>
                <w:b/>
                <w:bCs/>
              </w:rPr>
              <w:t>3H</w:t>
            </w:r>
            <w:r>
              <w:rPr>
                <w:b/>
                <w:bCs/>
                <w:vertAlign w:val="subscript"/>
              </w:rPr>
              <w:t>2</w:t>
            </w:r>
            <w:r>
              <w:rPr>
                <w:b/>
                <w:bCs/>
              </w:rPr>
              <w:t>O</w:t>
            </w:r>
          </w:p>
        </w:tc>
        <w:tc>
          <w:tcPr>
            <w:tcW w:w="781" w:type="pct"/>
            <w:vAlign w:val="center"/>
          </w:tcPr>
          <w:p w14:paraId="2D4CB993">
            <w:pPr>
              <w:pStyle w:val="45"/>
              <w:rPr>
                <w:rFonts w:hint="default"/>
                <w:b/>
                <w:bCs/>
              </w:rPr>
            </w:pPr>
            <w:r>
              <w:rPr>
                <w:b/>
                <w:bCs/>
              </w:rPr>
              <w:t>NaClO</w:t>
            </w:r>
            <w:r>
              <w:rPr>
                <w:b/>
                <w:bCs/>
                <w:vertAlign w:val="subscript"/>
              </w:rPr>
              <w:t>3</w:t>
            </w:r>
          </w:p>
        </w:tc>
        <w:tc>
          <w:tcPr>
            <w:tcW w:w="858" w:type="pct"/>
            <w:vAlign w:val="center"/>
          </w:tcPr>
          <w:p w14:paraId="1ECD8DF4">
            <w:pPr>
              <w:pStyle w:val="45"/>
              <w:rPr>
                <w:rFonts w:hint="default"/>
                <w:b/>
                <w:bCs/>
              </w:rPr>
            </w:pPr>
            <w:r>
              <w:rPr>
                <w:b/>
                <w:bCs/>
              </w:rPr>
              <w:t>3H</w:t>
            </w:r>
            <w:r>
              <w:rPr>
                <w:b/>
                <w:bCs/>
                <w:vertAlign w:val="subscript"/>
              </w:rPr>
              <w:t>2</w:t>
            </w:r>
          </w:p>
        </w:tc>
      </w:tr>
      <w:tr w14:paraId="378C2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466" w:type="pct"/>
            <w:vAlign w:val="center"/>
          </w:tcPr>
          <w:p w14:paraId="6BDE6B06">
            <w:pPr>
              <w:pStyle w:val="45"/>
              <w:rPr>
                <w:rFonts w:hint="default"/>
                <w:b/>
                <w:bCs/>
              </w:rPr>
            </w:pPr>
            <w:r>
              <w:rPr>
                <w:b/>
                <w:bCs/>
              </w:rPr>
              <w:t>分子量</w:t>
            </w:r>
          </w:p>
        </w:tc>
        <w:tc>
          <w:tcPr>
            <w:tcW w:w="947" w:type="pct"/>
            <w:vAlign w:val="center"/>
          </w:tcPr>
          <w:p w14:paraId="704788A0">
            <w:pPr>
              <w:pStyle w:val="45"/>
              <w:rPr>
                <w:rFonts w:hint="default"/>
              </w:rPr>
            </w:pPr>
            <w:r>
              <w:t>58.5</w:t>
            </w:r>
          </w:p>
        </w:tc>
        <w:tc>
          <w:tcPr>
            <w:tcW w:w="947" w:type="pct"/>
            <w:vAlign w:val="center"/>
          </w:tcPr>
          <w:p w14:paraId="48D47EFA">
            <w:pPr>
              <w:pStyle w:val="45"/>
              <w:rPr>
                <w:rFonts w:hint="default"/>
              </w:rPr>
            </w:pPr>
            <w:r>
              <w:t>54</w:t>
            </w:r>
          </w:p>
        </w:tc>
        <w:tc>
          <w:tcPr>
            <w:tcW w:w="781" w:type="pct"/>
            <w:vAlign w:val="center"/>
          </w:tcPr>
          <w:p w14:paraId="3959AEC1">
            <w:pPr>
              <w:pStyle w:val="45"/>
              <w:rPr>
                <w:rFonts w:hint="default"/>
              </w:rPr>
            </w:pPr>
            <w:r>
              <w:t>106.5</w:t>
            </w:r>
          </w:p>
        </w:tc>
        <w:tc>
          <w:tcPr>
            <w:tcW w:w="858" w:type="pct"/>
            <w:vAlign w:val="center"/>
          </w:tcPr>
          <w:p w14:paraId="554203E6">
            <w:pPr>
              <w:pStyle w:val="45"/>
              <w:rPr>
                <w:rFonts w:hint="default"/>
              </w:rPr>
            </w:pPr>
            <w:r>
              <w:t>6</w:t>
            </w:r>
          </w:p>
        </w:tc>
      </w:tr>
      <w:tr w14:paraId="20DC5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466" w:type="pct"/>
            <w:vAlign w:val="center"/>
          </w:tcPr>
          <w:p w14:paraId="31B7994D">
            <w:pPr>
              <w:pStyle w:val="45"/>
              <w:rPr>
                <w:rFonts w:hint="default"/>
                <w:b/>
                <w:bCs/>
              </w:rPr>
            </w:pPr>
            <w:r>
              <w:rPr>
                <w:b/>
                <w:bCs/>
              </w:rPr>
              <w:t>折纯量（t/a）</w:t>
            </w:r>
          </w:p>
        </w:tc>
        <w:tc>
          <w:tcPr>
            <w:tcW w:w="1614" w:type="dxa"/>
            <w:vAlign w:val="center"/>
          </w:tcPr>
          <w:p w14:paraId="0BFAF832">
            <w:pPr>
              <w:pStyle w:val="45"/>
              <w:bidi w:val="0"/>
              <w:rPr>
                <w:rFonts w:hint="default"/>
                <w:lang w:val="en-US" w:eastAsia="zh-CN"/>
              </w:rPr>
            </w:pPr>
            <w:r>
              <w:rPr>
                <w:rFonts w:hint="default"/>
                <w:lang w:val="en-US" w:eastAsia="zh-CN"/>
              </w:rPr>
              <w:t xml:space="preserve">10985.92 </w:t>
            </w:r>
          </w:p>
        </w:tc>
        <w:tc>
          <w:tcPr>
            <w:tcW w:w="1614" w:type="dxa"/>
            <w:vAlign w:val="center"/>
          </w:tcPr>
          <w:p w14:paraId="2FD3E702">
            <w:pPr>
              <w:pStyle w:val="45"/>
              <w:bidi w:val="0"/>
              <w:rPr>
                <w:rFonts w:hint="default"/>
                <w:lang w:val="en-US" w:eastAsia="zh-CN"/>
              </w:rPr>
            </w:pPr>
            <w:r>
              <w:rPr>
                <w:rFonts w:hint="default"/>
                <w:lang w:val="en-US" w:eastAsia="zh-CN"/>
              </w:rPr>
              <w:t xml:space="preserve">10140.85 </w:t>
            </w:r>
          </w:p>
        </w:tc>
        <w:tc>
          <w:tcPr>
            <w:tcW w:w="1331" w:type="dxa"/>
            <w:vAlign w:val="center"/>
          </w:tcPr>
          <w:p w14:paraId="39285CB7">
            <w:pPr>
              <w:pStyle w:val="45"/>
              <w:bidi w:val="0"/>
              <w:rPr>
                <w:rFonts w:hint="default"/>
                <w:lang w:val="en-US" w:eastAsia="zh-CN"/>
              </w:rPr>
            </w:pPr>
            <w:r>
              <w:rPr>
                <w:rFonts w:hint="default"/>
                <w:lang w:val="en-US" w:eastAsia="zh-CN"/>
              </w:rPr>
              <w:t xml:space="preserve">20000.00 </w:t>
            </w:r>
          </w:p>
        </w:tc>
        <w:tc>
          <w:tcPr>
            <w:tcW w:w="1462" w:type="dxa"/>
            <w:vAlign w:val="center"/>
          </w:tcPr>
          <w:p w14:paraId="00F111CE">
            <w:pPr>
              <w:pStyle w:val="45"/>
              <w:bidi w:val="0"/>
              <w:rPr>
                <w:rFonts w:hint="default"/>
                <w:lang w:val="en-US" w:eastAsia="zh-CN"/>
              </w:rPr>
            </w:pPr>
            <w:r>
              <w:rPr>
                <w:rFonts w:hint="default"/>
                <w:lang w:val="en-US" w:eastAsia="zh-CN"/>
              </w:rPr>
              <w:t xml:space="preserve">1126.76 </w:t>
            </w:r>
          </w:p>
        </w:tc>
      </w:tr>
    </w:tbl>
    <w:p w14:paraId="733DB118">
      <w:pPr>
        <w:spacing w:line="240" w:lineRule="auto"/>
        <w:ind w:firstLine="480"/>
      </w:pPr>
    </w:p>
    <w:p w14:paraId="627604E5">
      <w:pPr>
        <w:ind w:firstLine="480"/>
        <w:rPr>
          <w:rFonts w:hint="eastAsia"/>
          <w:lang w:eastAsia="zh-CN"/>
        </w:rPr>
      </w:pPr>
      <w:r>
        <w:rPr>
          <w:rFonts w:hint="eastAsia"/>
        </w:rPr>
        <w:t>结合工程分析和物料平衡，本项目一次电解氯化钠转化率约为99.7%，氯酸钠收率约为99.99%</w:t>
      </w:r>
      <w:r>
        <w:rPr>
          <w:rFonts w:hint="eastAsia"/>
          <w:lang w:eastAsia="zh-CN"/>
        </w:rPr>
        <w:t>。</w:t>
      </w:r>
    </w:p>
    <w:p w14:paraId="04F35EDC">
      <w:pPr>
        <w:bidi w:val="0"/>
        <w:outlineLvl w:val="4"/>
        <w:rPr>
          <w:rFonts w:hint="default"/>
          <w:b/>
          <w:bCs/>
          <w:lang w:val="en-US" w:eastAsia="zh-CN"/>
        </w:rPr>
      </w:pPr>
      <w:r>
        <w:rPr>
          <w:rFonts w:hint="eastAsia"/>
          <w:b/>
          <w:bCs/>
          <w:lang w:val="en-US" w:eastAsia="zh-CN"/>
        </w:rPr>
        <w:t>（1）氯酸钠生产物料平衡</w:t>
      </w:r>
    </w:p>
    <w:p w14:paraId="734DD4A8">
      <w:pPr>
        <w:pStyle w:val="43"/>
        <w:numPr>
          <w:ilvl w:val="5"/>
          <w:numId w:val="1"/>
        </w:numPr>
        <w:rPr>
          <w:rFonts w:hint="default"/>
          <w:b w:val="0"/>
          <w:bCs w:val="0"/>
        </w:rPr>
      </w:pPr>
      <w:r>
        <w:rPr>
          <w:rFonts w:hint="eastAsia"/>
          <w:lang w:val="en-US" w:eastAsia="zh-CN"/>
        </w:rPr>
        <w:t>氯酸钠</w:t>
      </w:r>
      <w:r>
        <w:t>生产物料平衡一览表</w:t>
      </w:r>
    </w:p>
    <w:tbl>
      <w:tblPr>
        <w:tblStyle w:val="32"/>
        <w:tblW w:w="86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233"/>
        <w:gridCol w:w="1207"/>
        <w:gridCol w:w="1608"/>
        <w:gridCol w:w="779"/>
        <w:gridCol w:w="1271"/>
        <w:gridCol w:w="1117"/>
        <w:gridCol w:w="1423"/>
      </w:tblGrid>
      <w:tr w14:paraId="336AF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2440" w:type="dxa"/>
            <w:gridSpan w:val="2"/>
            <w:shd w:val="clear" w:color="auto" w:fill="auto"/>
            <w:noWrap/>
            <w:vAlign w:val="center"/>
          </w:tcPr>
          <w:p w14:paraId="0A7AFDDA">
            <w:pPr>
              <w:pStyle w:val="45"/>
              <w:bidi w:val="0"/>
              <w:rPr>
                <w:rFonts w:hint="eastAsia"/>
                <w:b/>
                <w:bCs/>
              </w:rPr>
            </w:pPr>
            <w:r>
              <w:rPr>
                <w:rFonts w:hint="eastAsia"/>
                <w:b/>
                <w:bCs/>
                <w:lang w:val="en-US" w:eastAsia="zh-CN"/>
              </w:rPr>
              <w:t>投入（</w:t>
            </w:r>
            <w:r>
              <w:rPr>
                <w:rFonts w:hint="default"/>
                <w:b/>
                <w:bCs/>
                <w:lang w:val="en-US" w:eastAsia="zh-CN"/>
              </w:rPr>
              <w:t>t</w:t>
            </w:r>
            <w:r>
              <w:rPr>
                <w:rFonts w:hint="eastAsia"/>
                <w:b/>
                <w:bCs/>
                <w:lang w:val="en-US" w:eastAsia="zh-CN"/>
              </w:rPr>
              <w:t>）</w:t>
            </w:r>
          </w:p>
        </w:tc>
        <w:tc>
          <w:tcPr>
            <w:tcW w:w="1608" w:type="dxa"/>
            <w:shd w:val="clear" w:color="auto" w:fill="auto"/>
            <w:noWrap/>
            <w:vAlign w:val="center"/>
          </w:tcPr>
          <w:p w14:paraId="560462FD">
            <w:pPr>
              <w:pStyle w:val="45"/>
              <w:bidi w:val="0"/>
              <w:rPr>
                <w:rFonts w:hint="eastAsia"/>
                <w:b/>
                <w:bCs/>
              </w:rPr>
            </w:pPr>
            <w:r>
              <w:rPr>
                <w:rFonts w:hint="eastAsia"/>
                <w:b/>
                <w:bCs/>
                <w:lang w:val="en-US" w:eastAsia="zh-CN"/>
              </w:rPr>
              <w:t>备注</w:t>
            </w:r>
          </w:p>
        </w:tc>
        <w:tc>
          <w:tcPr>
            <w:tcW w:w="3167" w:type="dxa"/>
            <w:gridSpan w:val="3"/>
            <w:shd w:val="clear" w:color="auto" w:fill="auto"/>
            <w:noWrap/>
            <w:vAlign w:val="center"/>
          </w:tcPr>
          <w:p w14:paraId="2EC11506">
            <w:pPr>
              <w:pStyle w:val="45"/>
              <w:bidi w:val="0"/>
              <w:rPr>
                <w:rFonts w:hint="eastAsia"/>
                <w:b/>
                <w:bCs/>
              </w:rPr>
            </w:pPr>
            <w:r>
              <w:rPr>
                <w:rFonts w:hint="eastAsia"/>
                <w:b/>
                <w:bCs/>
                <w:lang w:val="en-US" w:eastAsia="zh-CN"/>
              </w:rPr>
              <w:t>产出（</w:t>
            </w:r>
            <w:r>
              <w:rPr>
                <w:rFonts w:hint="default"/>
                <w:b/>
                <w:bCs/>
                <w:lang w:val="en-US" w:eastAsia="zh-CN"/>
              </w:rPr>
              <w:t>t</w:t>
            </w:r>
            <w:r>
              <w:rPr>
                <w:rFonts w:hint="eastAsia"/>
                <w:b/>
                <w:bCs/>
                <w:lang w:val="en-US" w:eastAsia="zh-CN"/>
              </w:rPr>
              <w:t>）</w:t>
            </w:r>
          </w:p>
        </w:tc>
        <w:tc>
          <w:tcPr>
            <w:tcW w:w="1423" w:type="dxa"/>
            <w:shd w:val="clear" w:color="auto" w:fill="auto"/>
            <w:noWrap/>
            <w:vAlign w:val="center"/>
          </w:tcPr>
          <w:p w14:paraId="5B25CA47">
            <w:pPr>
              <w:pStyle w:val="45"/>
              <w:bidi w:val="0"/>
              <w:rPr>
                <w:rFonts w:hint="eastAsia"/>
                <w:b/>
                <w:bCs/>
              </w:rPr>
            </w:pPr>
            <w:r>
              <w:rPr>
                <w:rFonts w:hint="eastAsia"/>
                <w:b/>
                <w:bCs/>
                <w:lang w:val="en-US" w:eastAsia="zh-CN"/>
              </w:rPr>
              <w:t>备注</w:t>
            </w:r>
          </w:p>
        </w:tc>
      </w:tr>
      <w:tr w14:paraId="06E40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1233" w:type="dxa"/>
            <w:shd w:val="clear" w:color="auto" w:fill="auto"/>
            <w:noWrap/>
            <w:vAlign w:val="center"/>
          </w:tcPr>
          <w:p w14:paraId="586CC990">
            <w:pPr>
              <w:pStyle w:val="45"/>
              <w:bidi w:val="0"/>
              <w:rPr>
                <w:rFonts w:hint="eastAsia"/>
              </w:rPr>
            </w:pPr>
            <w:r>
              <w:rPr>
                <w:rFonts w:hint="eastAsia"/>
                <w:lang w:val="en-US" w:eastAsia="zh-CN"/>
              </w:rPr>
              <w:t>原料盐</w:t>
            </w:r>
          </w:p>
        </w:tc>
        <w:tc>
          <w:tcPr>
            <w:tcW w:w="1207" w:type="dxa"/>
            <w:shd w:val="clear" w:color="auto" w:fill="auto"/>
            <w:noWrap/>
            <w:vAlign w:val="center"/>
          </w:tcPr>
          <w:p w14:paraId="1F126F59">
            <w:pPr>
              <w:pStyle w:val="45"/>
              <w:bidi w:val="0"/>
              <w:rPr>
                <w:rFonts w:hint="eastAsia"/>
              </w:rPr>
            </w:pPr>
            <w:r>
              <w:rPr>
                <w:rFonts w:hint="eastAsia"/>
                <w:lang w:val="en-US" w:eastAsia="zh-CN"/>
              </w:rPr>
              <w:t>11600</w:t>
            </w:r>
          </w:p>
        </w:tc>
        <w:tc>
          <w:tcPr>
            <w:tcW w:w="1608" w:type="dxa"/>
            <w:shd w:val="clear" w:color="auto" w:fill="auto"/>
            <w:vAlign w:val="center"/>
          </w:tcPr>
          <w:p w14:paraId="6A163CA2">
            <w:pPr>
              <w:pStyle w:val="45"/>
              <w:bidi w:val="0"/>
              <w:rPr>
                <w:rFonts w:hint="eastAsia"/>
              </w:rPr>
            </w:pPr>
            <w:r>
              <w:rPr>
                <w:rFonts w:hint="eastAsia"/>
                <w:lang w:val="en-US" w:eastAsia="zh-CN"/>
              </w:rPr>
              <w:t>部分为回用盐</w:t>
            </w:r>
          </w:p>
        </w:tc>
        <w:tc>
          <w:tcPr>
            <w:tcW w:w="779" w:type="dxa"/>
            <w:shd w:val="clear" w:color="auto" w:fill="auto"/>
            <w:noWrap/>
            <w:vAlign w:val="center"/>
          </w:tcPr>
          <w:p w14:paraId="42A3EFDB">
            <w:pPr>
              <w:pStyle w:val="45"/>
              <w:bidi w:val="0"/>
              <w:rPr>
                <w:rFonts w:hint="eastAsia"/>
              </w:rPr>
            </w:pPr>
            <w:r>
              <w:rPr>
                <w:rFonts w:hint="eastAsia"/>
                <w:lang w:val="en-US" w:eastAsia="zh-CN"/>
              </w:rPr>
              <w:t>产品</w:t>
            </w:r>
          </w:p>
        </w:tc>
        <w:tc>
          <w:tcPr>
            <w:tcW w:w="1271" w:type="dxa"/>
            <w:shd w:val="clear" w:color="auto" w:fill="auto"/>
            <w:noWrap/>
            <w:vAlign w:val="center"/>
          </w:tcPr>
          <w:p w14:paraId="3013BA73">
            <w:pPr>
              <w:pStyle w:val="45"/>
              <w:bidi w:val="0"/>
              <w:rPr>
                <w:rFonts w:hint="eastAsia"/>
              </w:rPr>
            </w:pPr>
            <w:r>
              <w:rPr>
                <w:rFonts w:hint="eastAsia"/>
                <w:lang w:val="en-US" w:eastAsia="zh-CN"/>
              </w:rPr>
              <w:t>氯酸钠</w:t>
            </w:r>
          </w:p>
        </w:tc>
        <w:tc>
          <w:tcPr>
            <w:tcW w:w="1117" w:type="dxa"/>
            <w:shd w:val="clear" w:color="auto" w:fill="auto"/>
            <w:noWrap/>
            <w:vAlign w:val="center"/>
          </w:tcPr>
          <w:p w14:paraId="308D5960">
            <w:pPr>
              <w:pStyle w:val="45"/>
              <w:bidi w:val="0"/>
              <w:rPr>
                <w:rFonts w:hint="default"/>
              </w:rPr>
            </w:pPr>
            <w:r>
              <w:rPr>
                <w:rFonts w:hint="default"/>
                <w:lang w:val="en-US" w:eastAsia="zh-CN"/>
              </w:rPr>
              <w:t>20000</w:t>
            </w:r>
          </w:p>
        </w:tc>
        <w:tc>
          <w:tcPr>
            <w:tcW w:w="1423" w:type="dxa"/>
            <w:shd w:val="clear" w:color="auto" w:fill="auto"/>
            <w:noWrap/>
            <w:vAlign w:val="center"/>
          </w:tcPr>
          <w:p w14:paraId="28AF1E3E">
            <w:pPr>
              <w:pStyle w:val="45"/>
              <w:bidi w:val="0"/>
              <w:rPr>
                <w:rFonts w:hint="eastAsia"/>
              </w:rPr>
            </w:pPr>
            <w:r>
              <w:rPr>
                <w:rFonts w:hint="eastAsia"/>
                <w:lang w:val="en-US" w:eastAsia="zh-CN"/>
              </w:rPr>
              <w:t>99.5%（湿品）</w:t>
            </w:r>
          </w:p>
        </w:tc>
      </w:tr>
      <w:tr w14:paraId="190F7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33" w:type="dxa"/>
            <w:shd w:val="clear" w:color="auto" w:fill="auto"/>
            <w:noWrap/>
            <w:vAlign w:val="center"/>
          </w:tcPr>
          <w:p w14:paraId="40A3F8A7">
            <w:pPr>
              <w:pStyle w:val="45"/>
              <w:bidi w:val="0"/>
              <w:rPr>
                <w:rFonts w:hint="eastAsia"/>
              </w:rPr>
            </w:pPr>
            <w:r>
              <w:rPr>
                <w:rFonts w:hint="eastAsia"/>
                <w:lang w:val="en-US" w:eastAsia="zh-CN"/>
              </w:rPr>
              <w:t>氯化钙</w:t>
            </w:r>
          </w:p>
        </w:tc>
        <w:tc>
          <w:tcPr>
            <w:tcW w:w="1207" w:type="dxa"/>
            <w:shd w:val="clear" w:color="auto" w:fill="auto"/>
            <w:noWrap/>
            <w:vAlign w:val="center"/>
          </w:tcPr>
          <w:p w14:paraId="2596451E">
            <w:pPr>
              <w:pStyle w:val="45"/>
              <w:bidi w:val="0"/>
              <w:rPr>
                <w:rFonts w:hint="eastAsia"/>
              </w:rPr>
            </w:pPr>
            <w:r>
              <w:rPr>
                <w:rFonts w:hint="eastAsia"/>
                <w:lang w:val="en-US" w:eastAsia="zh-CN"/>
              </w:rPr>
              <w:t>164</w:t>
            </w:r>
          </w:p>
        </w:tc>
        <w:tc>
          <w:tcPr>
            <w:tcW w:w="1608" w:type="dxa"/>
            <w:shd w:val="clear" w:color="auto" w:fill="auto"/>
            <w:noWrap/>
            <w:vAlign w:val="center"/>
          </w:tcPr>
          <w:p w14:paraId="3826FCF0">
            <w:pPr>
              <w:pStyle w:val="45"/>
              <w:bidi w:val="0"/>
              <w:rPr>
                <w:rFonts w:hint="eastAsia"/>
              </w:rPr>
            </w:pPr>
          </w:p>
        </w:tc>
        <w:tc>
          <w:tcPr>
            <w:tcW w:w="779" w:type="dxa"/>
            <w:vMerge w:val="restart"/>
            <w:shd w:val="clear" w:color="auto" w:fill="auto"/>
            <w:noWrap/>
            <w:vAlign w:val="center"/>
          </w:tcPr>
          <w:p w14:paraId="1C4DFF23">
            <w:pPr>
              <w:pStyle w:val="45"/>
              <w:bidi w:val="0"/>
              <w:rPr>
                <w:rFonts w:hint="eastAsia"/>
              </w:rPr>
            </w:pPr>
            <w:r>
              <w:rPr>
                <w:rFonts w:hint="eastAsia"/>
                <w:lang w:val="en-US" w:eastAsia="zh-CN"/>
              </w:rPr>
              <w:t>电解尾气</w:t>
            </w:r>
          </w:p>
        </w:tc>
        <w:tc>
          <w:tcPr>
            <w:tcW w:w="1271" w:type="dxa"/>
            <w:shd w:val="clear" w:color="auto" w:fill="auto"/>
            <w:noWrap/>
            <w:vAlign w:val="center"/>
          </w:tcPr>
          <w:p w14:paraId="214BF259">
            <w:pPr>
              <w:pStyle w:val="45"/>
              <w:bidi w:val="0"/>
              <w:rPr>
                <w:rFonts w:hint="eastAsia"/>
              </w:rPr>
            </w:pPr>
            <w:r>
              <w:rPr>
                <w:rFonts w:hint="eastAsia"/>
                <w:lang w:val="en-US" w:eastAsia="zh-CN"/>
              </w:rPr>
              <w:t>氢气</w:t>
            </w:r>
          </w:p>
        </w:tc>
        <w:tc>
          <w:tcPr>
            <w:tcW w:w="1117" w:type="dxa"/>
            <w:shd w:val="clear" w:color="auto" w:fill="auto"/>
            <w:noWrap/>
            <w:vAlign w:val="center"/>
          </w:tcPr>
          <w:p w14:paraId="7E92F376">
            <w:pPr>
              <w:pStyle w:val="45"/>
              <w:bidi w:val="0"/>
              <w:rPr>
                <w:rFonts w:hint="default"/>
              </w:rPr>
            </w:pPr>
            <w:r>
              <w:rPr>
                <w:rFonts w:hint="default"/>
                <w:lang w:val="en-US" w:eastAsia="zh-CN"/>
              </w:rPr>
              <w:t>1139.7</w:t>
            </w:r>
          </w:p>
        </w:tc>
        <w:tc>
          <w:tcPr>
            <w:tcW w:w="1423" w:type="dxa"/>
            <w:vMerge w:val="restart"/>
            <w:shd w:val="clear" w:color="auto" w:fill="auto"/>
            <w:noWrap/>
            <w:vAlign w:val="center"/>
          </w:tcPr>
          <w:p w14:paraId="45D9F01A">
            <w:pPr>
              <w:pStyle w:val="45"/>
              <w:bidi w:val="0"/>
              <w:rPr>
                <w:rFonts w:hint="default"/>
                <w:lang w:val="en-US"/>
              </w:rPr>
            </w:pPr>
            <w:r>
              <w:rPr>
                <w:rFonts w:hint="eastAsia"/>
                <w:lang w:val="en-US" w:eastAsia="zh-CN"/>
              </w:rPr>
              <w:t>小计7374.93</w:t>
            </w:r>
          </w:p>
        </w:tc>
      </w:tr>
      <w:tr w14:paraId="47803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1233" w:type="dxa"/>
            <w:shd w:val="clear" w:color="auto" w:fill="auto"/>
            <w:noWrap/>
            <w:vAlign w:val="center"/>
          </w:tcPr>
          <w:p w14:paraId="0B7102B7">
            <w:pPr>
              <w:pStyle w:val="45"/>
              <w:bidi w:val="0"/>
              <w:rPr>
                <w:rFonts w:hint="eastAsia"/>
              </w:rPr>
            </w:pPr>
            <w:r>
              <w:rPr>
                <w:rFonts w:hint="eastAsia"/>
                <w:lang w:val="en-US" w:eastAsia="zh-CN"/>
              </w:rPr>
              <w:t>氢氧化钠</w:t>
            </w:r>
          </w:p>
        </w:tc>
        <w:tc>
          <w:tcPr>
            <w:tcW w:w="1207" w:type="dxa"/>
            <w:shd w:val="clear" w:color="auto" w:fill="auto"/>
            <w:noWrap/>
            <w:vAlign w:val="center"/>
          </w:tcPr>
          <w:p w14:paraId="6E6BF07A">
            <w:pPr>
              <w:pStyle w:val="45"/>
              <w:bidi w:val="0"/>
              <w:rPr>
                <w:rFonts w:hint="eastAsia"/>
              </w:rPr>
            </w:pPr>
            <w:r>
              <w:rPr>
                <w:rFonts w:hint="eastAsia"/>
                <w:lang w:val="en-US" w:eastAsia="zh-CN"/>
              </w:rPr>
              <w:t>352</w:t>
            </w:r>
          </w:p>
        </w:tc>
        <w:tc>
          <w:tcPr>
            <w:tcW w:w="1608" w:type="dxa"/>
            <w:shd w:val="clear" w:color="auto" w:fill="auto"/>
            <w:noWrap/>
            <w:vAlign w:val="center"/>
          </w:tcPr>
          <w:p w14:paraId="5E4CE2C0">
            <w:pPr>
              <w:pStyle w:val="45"/>
              <w:bidi w:val="0"/>
              <w:rPr>
                <w:rFonts w:hint="eastAsia"/>
              </w:rPr>
            </w:pPr>
          </w:p>
        </w:tc>
        <w:tc>
          <w:tcPr>
            <w:tcW w:w="779" w:type="dxa"/>
            <w:vMerge w:val="continue"/>
            <w:shd w:val="clear" w:color="auto" w:fill="auto"/>
            <w:noWrap/>
            <w:vAlign w:val="center"/>
          </w:tcPr>
          <w:p w14:paraId="40770FBD">
            <w:pPr>
              <w:pStyle w:val="45"/>
              <w:bidi w:val="0"/>
              <w:rPr>
                <w:rFonts w:hint="eastAsia"/>
              </w:rPr>
            </w:pPr>
          </w:p>
        </w:tc>
        <w:tc>
          <w:tcPr>
            <w:tcW w:w="1271" w:type="dxa"/>
            <w:shd w:val="clear" w:color="auto" w:fill="auto"/>
            <w:noWrap/>
            <w:vAlign w:val="center"/>
          </w:tcPr>
          <w:p w14:paraId="2AD927F6">
            <w:pPr>
              <w:pStyle w:val="45"/>
              <w:bidi w:val="0"/>
              <w:rPr>
                <w:rFonts w:hint="eastAsia"/>
              </w:rPr>
            </w:pPr>
            <w:r>
              <w:rPr>
                <w:rFonts w:hint="eastAsia"/>
                <w:lang w:val="en-US" w:eastAsia="zh-CN"/>
              </w:rPr>
              <w:t>氯气</w:t>
            </w:r>
          </w:p>
        </w:tc>
        <w:tc>
          <w:tcPr>
            <w:tcW w:w="1117" w:type="dxa"/>
            <w:shd w:val="clear" w:color="auto" w:fill="auto"/>
            <w:noWrap/>
            <w:vAlign w:val="center"/>
          </w:tcPr>
          <w:p w14:paraId="5A683C3B">
            <w:pPr>
              <w:pStyle w:val="45"/>
              <w:bidi w:val="0"/>
              <w:rPr>
                <w:rFonts w:hint="default"/>
              </w:rPr>
            </w:pPr>
            <w:r>
              <w:rPr>
                <w:rFonts w:hint="default"/>
                <w:lang w:val="en-US" w:eastAsia="zh-CN"/>
              </w:rPr>
              <w:t>10.51</w:t>
            </w:r>
          </w:p>
        </w:tc>
        <w:tc>
          <w:tcPr>
            <w:tcW w:w="1423" w:type="dxa"/>
            <w:vMerge w:val="continue"/>
            <w:shd w:val="clear" w:color="auto" w:fill="auto"/>
            <w:noWrap/>
            <w:vAlign w:val="center"/>
          </w:tcPr>
          <w:p w14:paraId="2287BEE8">
            <w:pPr>
              <w:pStyle w:val="45"/>
              <w:bidi w:val="0"/>
              <w:rPr>
                <w:rFonts w:hint="eastAsia"/>
              </w:rPr>
            </w:pPr>
          </w:p>
        </w:tc>
      </w:tr>
      <w:tr w14:paraId="69822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1233" w:type="dxa"/>
            <w:shd w:val="clear" w:color="auto" w:fill="auto"/>
            <w:noWrap/>
            <w:vAlign w:val="center"/>
          </w:tcPr>
          <w:p w14:paraId="3915F2F1">
            <w:pPr>
              <w:pStyle w:val="45"/>
              <w:bidi w:val="0"/>
              <w:rPr>
                <w:rFonts w:hint="eastAsia"/>
              </w:rPr>
            </w:pPr>
            <w:r>
              <w:rPr>
                <w:rFonts w:hint="eastAsia"/>
                <w:lang w:val="en-US" w:eastAsia="zh-CN"/>
              </w:rPr>
              <w:t>碳酸钠</w:t>
            </w:r>
          </w:p>
        </w:tc>
        <w:tc>
          <w:tcPr>
            <w:tcW w:w="1207" w:type="dxa"/>
            <w:shd w:val="clear" w:color="auto" w:fill="auto"/>
            <w:noWrap/>
            <w:vAlign w:val="center"/>
          </w:tcPr>
          <w:p w14:paraId="570AEEDA">
            <w:pPr>
              <w:pStyle w:val="45"/>
              <w:bidi w:val="0"/>
              <w:rPr>
                <w:rFonts w:hint="eastAsia"/>
              </w:rPr>
            </w:pPr>
            <w:r>
              <w:rPr>
                <w:rFonts w:hint="eastAsia"/>
                <w:lang w:val="en-US" w:eastAsia="zh-CN"/>
              </w:rPr>
              <w:t xml:space="preserve">148. </w:t>
            </w:r>
          </w:p>
        </w:tc>
        <w:tc>
          <w:tcPr>
            <w:tcW w:w="1608" w:type="dxa"/>
            <w:shd w:val="clear" w:color="auto" w:fill="auto"/>
            <w:noWrap/>
            <w:vAlign w:val="center"/>
          </w:tcPr>
          <w:p w14:paraId="7B1F3CF2">
            <w:pPr>
              <w:pStyle w:val="45"/>
              <w:bidi w:val="0"/>
              <w:rPr>
                <w:rFonts w:hint="eastAsia"/>
              </w:rPr>
            </w:pPr>
          </w:p>
        </w:tc>
        <w:tc>
          <w:tcPr>
            <w:tcW w:w="779" w:type="dxa"/>
            <w:vMerge w:val="continue"/>
            <w:shd w:val="clear" w:color="auto" w:fill="auto"/>
            <w:noWrap/>
            <w:vAlign w:val="center"/>
          </w:tcPr>
          <w:p w14:paraId="1AE93A0C">
            <w:pPr>
              <w:pStyle w:val="45"/>
              <w:bidi w:val="0"/>
              <w:rPr>
                <w:rFonts w:hint="eastAsia"/>
              </w:rPr>
            </w:pPr>
          </w:p>
        </w:tc>
        <w:tc>
          <w:tcPr>
            <w:tcW w:w="1271" w:type="dxa"/>
            <w:shd w:val="clear" w:color="auto" w:fill="auto"/>
            <w:noWrap/>
            <w:vAlign w:val="center"/>
          </w:tcPr>
          <w:p w14:paraId="1093BCAD">
            <w:pPr>
              <w:pStyle w:val="45"/>
              <w:bidi w:val="0"/>
              <w:rPr>
                <w:rFonts w:hint="eastAsia"/>
              </w:rPr>
            </w:pPr>
            <w:r>
              <w:rPr>
                <w:rFonts w:hint="eastAsia"/>
                <w:lang w:val="en-US" w:eastAsia="zh-CN"/>
              </w:rPr>
              <w:t>氯化氢</w:t>
            </w:r>
          </w:p>
        </w:tc>
        <w:tc>
          <w:tcPr>
            <w:tcW w:w="1117" w:type="dxa"/>
            <w:shd w:val="clear" w:color="auto" w:fill="auto"/>
            <w:noWrap/>
            <w:vAlign w:val="center"/>
          </w:tcPr>
          <w:p w14:paraId="73C2FDC6">
            <w:pPr>
              <w:pStyle w:val="45"/>
              <w:bidi w:val="0"/>
              <w:rPr>
                <w:rFonts w:hint="default"/>
              </w:rPr>
            </w:pPr>
            <w:r>
              <w:rPr>
                <w:rFonts w:hint="default"/>
                <w:lang w:val="en-US" w:eastAsia="zh-CN"/>
              </w:rPr>
              <w:t>10.85</w:t>
            </w:r>
          </w:p>
        </w:tc>
        <w:tc>
          <w:tcPr>
            <w:tcW w:w="1423" w:type="dxa"/>
            <w:vMerge w:val="continue"/>
            <w:shd w:val="clear" w:color="auto" w:fill="auto"/>
            <w:noWrap/>
            <w:vAlign w:val="center"/>
          </w:tcPr>
          <w:p w14:paraId="0B684B66">
            <w:pPr>
              <w:pStyle w:val="45"/>
              <w:bidi w:val="0"/>
              <w:rPr>
                <w:rFonts w:hint="eastAsia"/>
              </w:rPr>
            </w:pPr>
          </w:p>
        </w:tc>
      </w:tr>
      <w:tr w14:paraId="16C89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1233" w:type="dxa"/>
            <w:shd w:val="clear" w:color="auto" w:fill="auto"/>
            <w:noWrap/>
            <w:vAlign w:val="center"/>
          </w:tcPr>
          <w:p w14:paraId="51BE8426">
            <w:pPr>
              <w:pStyle w:val="45"/>
              <w:bidi w:val="0"/>
              <w:rPr>
                <w:rFonts w:hint="eastAsia"/>
              </w:rPr>
            </w:pPr>
            <w:r>
              <w:rPr>
                <w:rFonts w:hint="eastAsia"/>
                <w:lang w:val="en-US" w:eastAsia="zh-CN"/>
              </w:rPr>
              <w:t>化盐水</w:t>
            </w:r>
          </w:p>
        </w:tc>
        <w:tc>
          <w:tcPr>
            <w:tcW w:w="1207" w:type="dxa"/>
            <w:shd w:val="clear" w:color="auto" w:fill="auto"/>
            <w:noWrap/>
            <w:vAlign w:val="center"/>
          </w:tcPr>
          <w:p w14:paraId="25887198">
            <w:pPr>
              <w:pStyle w:val="45"/>
              <w:bidi w:val="0"/>
              <w:rPr>
                <w:rFonts w:hint="eastAsia"/>
              </w:rPr>
            </w:pPr>
            <w:r>
              <w:rPr>
                <w:rFonts w:hint="eastAsia"/>
                <w:lang w:val="en-US" w:eastAsia="zh-CN"/>
              </w:rPr>
              <w:t xml:space="preserve">36704.18 </w:t>
            </w:r>
          </w:p>
        </w:tc>
        <w:tc>
          <w:tcPr>
            <w:tcW w:w="1608" w:type="dxa"/>
            <w:shd w:val="clear" w:color="auto" w:fill="auto"/>
            <w:noWrap/>
            <w:vAlign w:val="center"/>
          </w:tcPr>
          <w:p w14:paraId="02F87ED9">
            <w:pPr>
              <w:pStyle w:val="45"/>
              <w:bidi w:val="0"/>
              <w:rPr>
                <w:rFonts w:hint="eastAsia"/>
              </w:rPr>
            </w:pPr>
            <w:r>
              <w:rPr>
                <w:rFonts w:hint="eastAsia"/>
                <w:lang w:val="en-US" w:eastAsia="zh-CN"/>
              </w:rPr>
              <w:t>新鲜水及回用水</w:t>
            </w:r>
          </w:p>
        </w:tc>
        <w:tc>
          <w:tcPr>
            <w:tcW w:w="779" w:type="dxa"/>
            <w:vMerge w:val="continue"/>
            <w:shd w:val="clear" w:color="auto" w:fill="auto"/>
            <w:noWrap/>
            <w:vAlign w:val="center"/>
          </w:tcPr>
          <w:p w14:paraId="133EA9F3">
            <w:pPr>
              <w:pStyle w:val="45"/>
              <w:bidi w:val="0"/>
              <w:rPr>
                <w:rFonts w:hint="eastAsia"/>
              </w:rPr>
            </w:pPr>
          </w:p>
        </w:tc>
        <w:tc>
          <w:tcPr>
            <w:tcW w:w="1271" w:type="dxa"/>
            <w:shd w:val="clear" w:color="auto" w:fill="auto"/>
            <w:noWrap/>
            <w:vAlign w:val="center"/>
          </w:tcPr>
          <w:p w14:paraId="3896CFA4">
            <w:pPr>
              <w:pStyle w:val="45"/>
              <w:bidi w:val="0"/>
              <w:rPr>
                <w:rFonts w:hint="eastAsia"/>
              </w:rPr>
            </w:pPr>
            <w:r>
              <w:rPr>
                <w:rFonts w:hint="eastAsia"/>
                <w:lang w:val="en-US" w:eastAsia="zh-CN"/>
              </w:rPr>
              <w:t>氧气</w:t>
            </w:r>
          </w:p>
        </w:tc>
        <w:tc>
          <w:tcPr>
            <w:tcW w:w="1117" w:type="dxa"/>
            <w:shd w:val="clear" w:color="auto" w:fill="auto"/>
            <w:noWrap/>
            <w:vAlign w:val="center"/>
          </w:tcPr>
          <w:p w14:paraId="4C3E9FB8">
            <w:pPr>
              <w:pStyle w:val="45"/>
              <w:bidi w:val="0"/>
              <w:rPr>
                <w:rFonts w:hint="default"/>
              </w:rPr>
            </w:pPr>
            <w:r>
              <w:rPr>
                <w:rFonts w:hint="default"/>
                <w:lang w:val="en-US" w:eastAsia="zh-CN"/>
              </w:rPr>
              <w:t>63</w:t>
            </w:r>
          </w:p>
        </w:tc>
        <w:tc>
          <w:tcPr>
            <w:tcW w:w="1423" w:type="dxa"/>
            <w:vMerge w:val="continue"/>
            <w:shd w:val="clear" w:color="auto" w:fill="auto"/>
            <w:noWrap/>
            <w:vAlign w:val="center"/>
          </w:tcPr>
          <w:p w14:paraId="15A7B1EA">
            <w:pPr>
              <w:pStyle w:val="45"/>
              <w:bidi w:val="0"/>
              <w:rPr>
                <w:rFonts w:hint="eastAsia"/>
              </w:rPr>
            </w:pPr>
          </w:p>
        </w:tc>
      </w:tr>
      <w:tr w14:paraId="338C0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1233" w:type="dxa"/>
            <w:shd w:val="clear" w:color="auto" w:fill="auto"/>
            <w:noWrap/>
            <w:vAlign w:val="center"/>
          </w:tcPr>
          <w:p w14:paraId="02860B9F">
            <w:pPr>
              <w:pStyle w:val="45"/>
              <w:bidi w:val="0"/>
              <w:rPr>
                <w:rFonts w:hint="eastAsia"/>
              </w:rPr>
            </w:pPr>
            <w:r>
              <w:rPr>
                <w:rFonts w:hint="eastAsia"/>
                <w:lang w:val="en-US" w:eastAsia="zh-CN"/>
              </w:rPr>
              <w:t>重铬酸钠</w:t>
            </w:r>
          </w:p>
        </w:tc>
        <w:tc>
          <w:tcPr>
            <w:tcW w:w="1207" w:type="dxa"/>
            <w:shd w:val="clear" w:color="auto" w:fill="auto"/>
            <w:noWrap/>
            <w:vAlign w:val="center"/>
          </w:tcPr>
          <w:p w14:paraId="08453D10">
            <w:pPr>
              <w:pStyle w:val="45"/>
              <w:bidi w:val="0"/>
              <w:rPr>
                <w:rFonts w:hint="eastAsia"/>
              </w:rPr>
            </w:pPr>
            <w:r>
              <w:rPr>
                <w:rFonts w:hint="eastAsia"/>
                <w:lang w:val="en-US" w:eastAsia="zh-CN"/>
              </w:rPr>
              <w:t xml:space="preserve">0.5 </w:t>
            </w:r>
          </w:p>
        </w:tc>
        <w:tc>
          <w:tcPr>
            <w:tcW w:w="1608" w:type="dxa"/>
            <w:shd w:val="clear" w:color="auto" w:fill="auto"/>
            <w:noWrap/>
            <w:vAlign w:val="center"/>
          </w:tcPr>
          <w:p w14:paraId="2384A49A">
            <w:pPr>
              <w:pStyle w:val="45"/>
              <w:bidi w:val="0"/>
              <w:rPr>
                <w:rFonts w:hint="eastAsia"/>
              </w:rPr>
            </w:pPr>
          </w:p>
        </w:tc>
        <w:tc>
          <w:tcPr>
            <w:tcW w:w="779" w:type="dxa"/>
            <w:vMerge w:val="continue"/>
            <w:shd w:val="clear" w:color="auto" w:fill="auto"/>
            <w:noWrap/>
            <w:vAlign w:val="center"/>
          </w:tcPr>
          <w:p w14:paraId="17989BED">
            <w:pPr>
              <w:pStyle w:val="45"/>
              <w:bidi w:val="0"/>
              <w:rPr>
                <w:rFonts w:hint="eastAsia"/>
              </w:rPr>
            </w:pPr>
          </w:p>
        </w:tc>
        <w:tc>
          <w:tcPr>
            <w:tcW w:w="1271" w:type="dxa"/>
            <w:shd w:val="clear" w:color="auto" w:fill="auto"/>
            <w:noWrap/>
            <w:vAlign w:val="center"/>
          </w:tcPr>
          <w:p w14:paraId="6A5814C2">
            <w:pPr>
              <w:pStyle w:val="45"/>
              <w:bidi w:val="0"/>
              <w:rPr>
                <w:rFonts w:hint="eastAsia"/>
              </w:rPr>
            </w:pPr>
            <w:r>
              <w:rPr>
                <w:rFonts w:hint="eastAsia"/>
                <w:lang w:val="en-US" w:eastAsia="zh-CN"/>
              </w:rPr>
              <w:t>二氧化碳</w:t>
            </w:r>
          </w:p>
        </w:tc>
        <w:tc>
          <w:tcPr>
            <w:tcW w:w="1117" w:type="dxa"/>
            <w:shd w:val="clear" w:color="auto" w:fill="auto"/>
            <w:noWrap/>
            <w:vAlign w:val="center"/>
          </w:tcPr>
          <w:p w14:paraId="533F9807">
            <w:pPr>
              <w:pStyle w:val="45"/>
              <w:bidi w:val="0"/>
              <w:rPr>
                <w:rFonts w:hint="default"/>
              </w:rPr>
            </w:pPr>
            <w:r>
              <w:rPr>
                <w:rFonts w:hint="default"/>
                <w:lang w:val="en-US" w:eastAsia="zh-CN"/>
              </w:rPr>
              <w:t>31.22</w:t>
            </w:r>
          </w:p>
        </w:tc>
        <w:tc>
          <w:tcPr>
            <w:tcW w:w="1423" w:type="dxa"/>
            <w:vMerge w:val="continue"/>
            <w:shd w:val="clear" w:color="auto" w:fill="auto"/>
            <w:noWrap/>
            <w:vAlign w:val="center"/>
          </w:tcPr>
          <w:p w14:paraId="12E3C7B2">
            <w:pPr>
              <w:pStyle w:val="45"/>
              <w:bidi w:val="0"/>
              <w:rPr>
                <w:rFonts w:hint="eastAsia"/>
              </w:rPr>
            </w:pPr>
          </w:p>
        </w:tc>
      </w:tr>
      <w:tr w14:paraId="15F64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1233" w:type="dxa"/>
            <w:shd w:val="clear" w:color="auto" w:fill="auto"/>
            <w:noWrap/>
            <w:vAlign w:val="center"/>
          </w:tcPr>
          <w:p w14:paraId="28549AC9">
            <w:pPr>
              <w:pStyle w:val="45"/>
              <w:bidi w:val="0"/>
              <w:rPr>
                <w:rFonts w:hint="eastAsia"/>
              </w:rPr>
            </w:pPr>
            <w:r>
              <w:rPr>
                <w:rFonts w:hint="eastAsia"/>
                <w:lang w:val="en-US" w:eastAsia="zh-CN"/>
              </w:rPr>
              <w:t>盐酸</w:t>
            </w:r>
          </w:p>
        </w:tc>
        <w:tc>
          <w:tcPr>
            <w:tcW w:w="1207" w:type="dxa"/>
            <w:shd w:val="clear" w:color="auto" w:fill="auto"/>
            <w:noWrap/>
            <w:vAlign w:val="center"/>
          </w:tcPr>
          <w:p w14:paraId="01606A26">
            <w:pPr>
              <w:pStyle w:val="45"/>
              <w:bidi w:val="0"/>
              <w:rPr>
                <w:rFonts w:hint="eastAsia"/>
              </w:rPr>
            </w:pPr>
            <w:r>
              <w:rPr>
                <w:rFonts w:hint="eastAsia"/>
                <w:lang w:val="en-US" w:eastAsia="zh-CN"/>
              </w:rPr>
              <w:t xml:space="preserve">800 </w:t>
            </w:r>
          </w:p>
        </w:tc>
        <w:tc>
          <w:tcPr>
            <w:tcW w:w="1608" w:type="dxa"/>
            <w:shd w:val="clear" w:color="auto" w:fill="auto"/>
            <w:noWrap/>
            <w:vAlign w:val="center"/>
          </w:tcPr>
          <w:p w14:paraId="2A12AE31">
            <w:pPr>
              <w:pStyle w:val="45"/>
              <w:bidi w:val="0"/>
              <w:rPr>
                <w:rFonts w:hint="eastAsia"/>
              </w:rPr>
            </w:pPr>
          </w:p>
        </w:tc>
        <w:tc>
          <w:tcPr>
            <w:tcW w:w="779" w:type="dxa"/>
            <w:vMerge w:val="continue"/>
            <w:shd w:val="clear" w:color="auto" w:fill="auto"/>
            <w:noWrap/>
            <w:vAlign w:val="center"/>
          </w:tcPr>
          <w:p w14:paraId="3FBF8008">
            <w:pPr>
              <w:pStyle w:val="45"/>
              <w:bidi w:val="0"/>
              <w:rPr>
                <w:rFonts w:hint="eastAsia"/>
              </w:rPr>
            </w:pPr>
          </w:p>
        </w:tc>
        <w:tc>
          <w:tcPr>
            <w:tcW w:w="1271" w:type="dxa"/>
            <w:shd w:val="clear" w:color="auto" w:fill="auto"/>
            <w:noWrap/>
            <w:vAlign w:val="center"/>
          </w:tcPr>
          <w:p w14:paraId="2845DC35">
            <w:pPr>
              <w:pStyle w:val="45"/>
              <w:bidi w:val="0"/>
              <w:rPr>
                <w:rFonts w:hint="eastAsia"/>
              </w:rPr>
            </w:pPr>
            <w:r>
              <w:rPr>
                <w:rFonts w:hint="eastAsia"/>
                <w:lang w:val="en-US" w:eastAsia="zh-CN"/>
              </w:rPr>
              <w:t>水蒸气</w:t>
            </w:r>
          </w:p>
        </w:tc>
        <w:tc>
          <w:tcPr>
            <w:tcW w:w="1117" w:type="dxa"/>
            <w:shd w:val="clear" w:color="auto" w:fill="auto"/>
            <w:noWrap/>
            <w:vAlign w:val="center"/>
          </w:tcPr>
          <w:p w14:paraId="349629DD">
            <w:pPr>
              <w:pStyle w:val="45"/>
              <w:bidi w:val="0"/>
              <w:rPr>
                <w:rFonts w:hint="default"/>
              </w:rPr>
            </w:pPr>
            <w:r>
              <w:rPr>
                <w:rFonts w:hint="default"/>
                <w:lang w:val="en-US" w:eastAsia="zh-CN"/>
              </w:rPr>
              <w:t>6119.65</w:t>
            </w:r>
          </w:p>
        </w:tc>
        <w:tc>
          <w:tcPr>
            <w:tcW w:w="1423" w:type="dxa"/>
            <w:vMerge w:val="continue"/>
            <w:shd w:val="clear" w:color="auto" w:fill="auto"/>
            <w:noWrap/>
            <w:vAlign w:val="center"/>
          </w:tcPr>
          <w:p w14:paraId="45146238">
            <w:pPr>
              <w:pStyle w:val="45"/>
              <w:bidi w:val="0"/>
              <w:rPr>
                <w:rFonts w:hint="eastAsia"/>
              </w:rPr>
            </w:pPr>
          </w:p>
        </w:tc>
      </w:tr>
      <w:tr w14:paraId="483E4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1233" w:type="dxa"/>
            <w:shd w:val="clear" w:color="auto" w:fill="auto"/>
            <w:noWrap/>
            <w:vAlign w:val="center"/>
          </w:tcPr>
          <w:p w14:paraId="406366D8">
            <w:pPr>
              <w:pStyle w:val="45"/>
              <w:bidi w:val="0"/>
              <w:rPr>
                <w:rFonts w:hint="eastAsia"/>
              </w:rPr>
            </w:pPr>
            <w:r>
              <w:rPr>
                <w:rFonts w:hint="eastAsia"/>
                <w:lang w:val="en-US" w:eastAsia="zh-CN"/>
              </w:rPr>
              <w:t>尿素</w:t>
            </w:r>
          </w:p>
        </w:tc>
        <w:tc>
          <w:tcPr>
            <w:tcW w:w="1207" w:type="dxa"/>
            <w:shd w:val="clear" w:color="auto" w:fill="auto"/>
            <w:noWrap/>
            <w:vAlign w:val="center"/>
          </w:tcPr>
          <w:p w14:paraId="6186E0CD">
            <w:pPr>
              <w:pStyle w:val="45"/>
              <w:bidi w:val="0"/>
              <w:rPr>
                <w:rFonts w:hint="eastAsia"/>
              </w:rPr>
            </w:pPr>
            <w:r>
              <w:rPr>
                <w:rFonts w:hint="eastAsia"/>
                <w:lang w:val="en-US" w:eastAsia="zh-CN"/>
              </w:rPr>
              <w:t>56</w:t>
            </w:r>
          </w:p>
        </w:tc>
        <w:tc>
          <w:tcPr>
            <w:tcW w:w="1608" w:type="dxa"/>
            <w:shd w:val="clear" w:color="auto" w:fill="auto"/>
            <w:noWrap/>
            <w:vAlign w:val="center"/>
          </w:tcPr>
          <w:p w14:paraId="003581FF">
            <w:pPr>
              <w:pStyle w:val="45"/>
              <w:bidi w:val="0"/>
              <w:rPr>
                <w:rFonts w:hint="eastAsia"/>
              </w:rPr>
            </w:pPr>
          </w:p>
        </w:tc>
        <w:tc>
          <w:tcPr>
            <w:tcW w:w="779" w:type="dxa"/>
            <w:vMerge w:val="restart"/>
            <w:shd w:val="clear" w:color="auto" w:fill="auto"/>
            <w:noWrap/>
            <w:vAlign w:val="center"/>
          </w:tcPr>
          <w:p w14:paraId="795BDC22">
            <w:pPr>
              <w:pStyle w:val="45"/>
              <w:bidi w:val="0"/>
              <w:rPr>
                <w:rFonts w:hint="eastAsia"/>
              </w:rPr>
            </w:pPr>
            <w:r>
              <w:rPr>
                <w:rFonts w:hint="eastAsia"/>
                <w:lang w:val="en-US" w:eastAsia="zh-CN"/>
              </w:rPr>
              <w:t>除次钠尾气</w:t>
            </w:r>
          </w:p>
        </w:tc>
        <w:tc>
          <w:tcPr>
            <w:tcW w:w="1271" w:type="dxa"/>
            <w:shd w:val="clear" w:color="auto" w:fill="auto"/>
            <w:noWrap/>
            <w:vAlign w:val="center"/>
          </w:tcPr>
          <w:p w14:paraId="5F97F817">
            <w:pPr>
              <w:pStyle w:val="45"/>
              <w:bidi w:val="0"/>
              <w:rPr>
                <w:rFonts w:hint="eastAsia"/>
              </w:rPr>
            </w:pPr>
            <w:r>
              <w:rPr>
                <w:rFonts w:hint="eastAsia"/>
                <w:lang w:val="en-US" w:eastAsia="zh-CN"/>
              </w:rPr>
              <w:t>二氧化碳</w:t>
            </w:r>
          </w:p>
        </w:tc>
        <w:tc>
          <w:tcPr>
            <w:tcW w:w="1117" w:type="dxa"/>
            <w:shd w:val="clear" w:color="auto" w:fill="auto"/>
            <w:noWrap/>
            <w:vAlign w:val="center"/>
          </w:tcPr>
          <w:p w14:paraId="1FCFCE24">
            <w:pPr>
              <w:pStyle w:val="45"/>
              <w:bidi w:val="0"/>
              <w:rPr>
                <w:rFonts w:hint="default"/>
              </w:rPr>
            </w:pPr>
            <w:r>
              <w:rPr>
                <w:rFonts w:hint="default"/>
                <w:lang w:val="en-US" w:eastAsia="zh-CN"/>
              </w:rPr>
              <w:t>26.15</w:t>
            </w:r>
          </w:p>
        </w:tc>
        <w:tc>
          <w:tcPr>
            <w:tcW w:w="1423" w:type="dxa"/>
            <w:vMerge w:val="restart"/>
            <w:shd w:val="clear" w:color="auto" w:fill="auto"/>
            <w:noWrap/>
            <w:vAlign w:val="center"/>
          </w:tcPr>
          <w:p w14:paraId="5352C7A1">
            <w:pPr>
              <w:pStyle w:val="45"/>
              <w:bidi w:val="0"/>
              <w:rPr>
                <w:rFonts w:hint="default"/>
                <w:lang w:val="en-US"/>
              </w:rPr>
            </w:pPr>
            <w:r>
              <w:rPr>
                <w:rFonts w:hint="eastAsia"/>
                <w:lang w:val="en-US" w:eastAsia="zh-CN"/>
              </w:rPr>
              <w:t>小计67.2</w:t>
            </w:r>
          </w:p>
        </w:tc>
      </w:tr>
      <w:tr w14:paraId="24B2E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1233" w:type="dxa"/>
            <w:shd w:val="clear" w:color="auto" w:fill="auto"/>
            <w:noWrap/>
            <w:vAlign w:val="center"/>
          </w:tcPr>
          <w:p w14:paraId="47B15802">
            <w:pPr>
              <w:pStyle w:val="45"/>
              <w:bidi w:val="0"/>
              <w:rPr>
                <w:rFonts w:hint="eastAsia"/>
              </w:rPr>
            </w:pPr>
          </w:p>
        </w:tc>
        <w:tc>
          <w:tcPr>
            <w:tcW w:w="1207" w:type="dxa"/>
            <w:shd w:val="clear" w:color="auto" w:fill="auto"/>
            <w:noWrap/>
            <w:vAlign w:val="center"/>
          </w:tcPr>
          <w:p w14:paraId="4FF27893">
            <w:pPr>
              <w:pStyle w:val="45"/>
              <w:bidi w:val="0"/>
              <w:rPr>
                <w:rFonts w:hint="eastAsia"/>
              </w:rPr>
            </w:pPr>
          </w:p>
        </w:tc>
        <w:tc>
          <w:tcPr>
            <w:tcW w:w="1608" w:type="dxa"/>
            <w:shd w:val="clear" w:color="auto" w:fill="auto"/>
            <w:noWrap/>
            <w:vAlign w:val="center"/>
          </w:tcPr>
          <w:p w14:paraId="36D8B644">
            <w:pPr>
              <w:pStyle w:val="45"/>
              <w:bidi w:val="0"/>
              <w:rPr>
                <w:rFonts w:hint="eastAsia"/>
              </w:rPr>
            </w:pPr>
          </w:p>
        </w:tc>
        <w:tc>
          <w:tcPr>
            <w:tcW w:w="779" w:type="dxa"/>
            <w:vMerge w:val="continue"/>
            <w:shd w:val="clear" w:color="auto" w:fill="auto"/>
            <w:noWrap/>
            <w:vAlign w:val="center"/>
          </w:tcPr>
          <w:p w14:paraId="029A469A">
            <w:pPr>
              <w:pStyle w:val="45"/>
              <w:bidi w:val="0"/>
              <w:rPr>
                <w:rFonts w:hint="eastAsia"/>
              </w:rPr>
            </w:pPr>
          </w:p>
        </w:tc>
        <w:tc>
          <w:tcPr>
            <w:tcW w:w="1271" w:type="dxa"/>
            <w:shd w:val="clear" w:color="auto" w:fill="auto"/>
            <w:noWrap/>
            <w:vAlign w:val="center"/>
          </w:tcPr>
          <w:p w14:paraId="573E62A8">
            <w:pPr>
              <w:pStyle w:val="45"/>
              <w:bidi w:val="0"/>
              <w:rPr>
                <w:rFonts w:hint="eastAsia"/>
              </w:rPr>
            </w:pPr>
            <w:r>
              <w:rPr>
                <w:rFonts w:hint="eastAsia"/>
                <w:lang w:val="en-US" w:eastAsia="zh-CN"/>
              </w:rPr>
              <w:t>氮气</w:t>
            </w:r>
          </w:p>
        </w:tc>
        <w:tc>
          <w:tcPr>
            <w:tcW w:w="1117" w:type="dxa"/>
            <w:shd w:val="clear" w:color="auto" w:fill="auto"/>
            <w:noWrap/>
            <w:vAlign w:val="center"/>
          </w:tcPr>
          <w:p w14:paraId="2195EB04">
            <w:pPr>
              <w:pStyle w:val="45"/>
              <w:bidi w:val="0"/>
              <w:rPr>
                <w:rFonts w:hint="default"/>
              </w:rPr>
            </w:pPr>
            <w:r>
              <w:rPr>
                <w:rFonts w:hint="default"/>
                <w:lang w:val="en-US" w:eastAsia="zh-CN"/>
              </w:rPr>
              <w:t>41.05</w:t>
            </w:r>
          </w:p>
        </w:tc>
        <w:tc>
          <w:tcPr>
            <w:tcW w:w="1423" w:type="dxa"/>
            <w:vMerge w:val="continue"/>
            <w:shd w:val="clear" w:color="auto" w:fill="auto"/>
            <w:noWrap/>
            <w:vAlign w:val="center"/>
          </w:tcPr>
          <w:p w14:paraId="59E05450">
            <w:pPr>
              <w:pStyle w:val="45"/>
              <w:bidi w:val="0"/>
              <w:rPr>
                <w:rFonts w:hint="eastAsia"/>
              </w:rPr>
            </w:pPr>
          </w:p>
        </w:tc>
      </w:tr>
      <w:tr w14:paraId="531A8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33" w:type="dxa"/>
            <w:shd w:val="clear" w:color="auto" w:fill="auto"/>
            <w:noWrap/>
            <w:vAlign w:val="center"/>
          </w:tcPr>
          <w:p w14:paraId="2D6A333E">
            <w:pPr>
              <w:pStyle w:val="45"/>
              <w:bidi w:val="0"/>
              <w:rPr>
                <w:rFonts w:hint="eastAsia"/>
              </w:rPr>
            </w:pPr>
          </w:p>
        </w:tc>
        <w:tc>
          <w:tcPr>
            <w:tcW w:w="1207" w:type="dxa"/>
            <w:shd w:val="clear" w:color="auto" w:fill="auto"/>
            <w:noWrap/>
            <w:vAlign w:val="center"/>
          </w:tcPr>
          <w:p w14:paraId="42A13571">
            <w:pPr>
              <w:pStyle w:val="45"/>
              <w:bidi w:val="0"/>
              <w:rPr>
                <w:rFonts w:hint="eastAsia"/>
              </w:rPr>
            </w:pPr>
          </w:p>
        </w:tc>
        <w:tc>
          <w:tcPr>
            <w:tcW w:w="1608" w:type="dxa"/>
            <w:shd w:val="clear" w:color="auto" w:fill="auto"/>
            <w:noWrap/>
            <w:vAlign w:val="center"/>
          </w:tcPr>
          <w:p w14:paraId="7BA08547">
            <w:pPr>
              <w:pStyle w:val="45"/>
              <w:bidi w:val="0"/>
              <w:rPr>
                <w:rFonts w:hint="eastAsia"/>
              </w:rPr>
            </w:pPr>
          </w:p>
        </w:tc>
        <w:tc>
          <w:tcPr>
            <w:tcW w:w="779" w:type="dxa"/>
            <w:shd w:val="clear" w:color="auto" w:fill="auto"/>
            <w:noWrap/>
            <w:vAlign w:val="center"/>
          </w:tcPr>
          <w:p w14:paraId="3D258491">
            <w:pPr>
              <w:pStyle w:val="45"/>
              <w:bidi w:val="0"/>
              <w:rPr>
                <w:rFonts w:hint="eastAsia"/>
              </w:rPr>
            </w:pPr>
            <w:r>
              <w:rPr>
                <w:rFonts w:hint="eastAsia"/>
                <w:lang w:val="en-US" w:eastAsia="zh-CN"/>
              </w:rPr>
              <w:t>废水</w:t>
            </w:r>
          </w:p>
        </w:tc>
        <w:tc>
          <w:tcPr>
            <w:tcW w:w="1271" w:type="dxa"/>
            <w:shd w:val="clear" w:color="auto" w:fill="auto"/>
            <w:noWrap/>
            <w:vAlign w:val="center"/>
          </w:tcPr>
          <w:p w14:paraId="38377ACA">
            <w:pPr>
              <w:pStyle w:val="45"/>
              <w:bidi w:val="0"/>
              <w:rPr>
                <w:rFonts w:hint="eastAsia"/>
              </w:rPr>
            </w:pPr>
            <w:r>
              <w:rPr>
                <w:rFonts w:hint="eastAsia"/>
                <w:lang w:val="en-US" w:eastAsia="zh-CN"/>
              </w:rPr>
              <w:t>真空冷凝水</w:t>
            </w:r>
          </w:p>
        </w:tc>
        <w:tc>
          <w:tcPr>
            <w:tcW w:w="1117" w:type="dxa"/>
            <w:shd w:val="clear" w:color="auto" w:fill="auto"/>
            <w:noWrap/>
            <w:vAlign w:val="center"/>
          </w:tcPr>
          <w:p w14:paraId="0BD7FE3E">
            <w:pPr>
              <w:pStyle w:val="45"/>
              <w:bidi w:val="0"/>
              <w:rPr>
                <w:rFonts w:hint="default"/>
              </w:rPr>
            </w:pPr>
            <w:r>
              <w:rPr>
                <w:rFonts w:hint="default"/>
                <w:lang w:val="en-US" w:eastAsia="zh-CN"/>
              </w:rPr>
              <w:t>20501.77</w:t>
            </w:r>
          </w:p>
        </w:tc>
        <w:tc>
          <w:tcPr>
            <w:tcW w:w="1423" w:type="dxa"/>
            <w:shd w:val="clear" w:color="auto" w:fill="auto"/>
            <w:noWrap/>
            <w:vAlign w:val="center"/>
          </w:tcPr>
          <w:p w14:paraId="2BA94531">
            <w:pPr>
              <w:pStyle w:val="45"/>
              <w:bidi w:val="0"/>
              <w:rPr>
                <w:rFonts w:hint="eastAsia"/>
              </w:rPr>
            </w:pPr>
          </w:p>
        </w:tc>
      </w:tr>
      <w:tr w14:paraId="1DF5E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1233" w:type="dxa"/>
            <w:shd w:val="clear" w:color="auto" w:fill="auto"/>
            <w:noWrap/>
            <w:vAlign w:val="center"/>
          </w:tcPr>
          <w:p w14:paraId="7B819F88">
            <w:pPr>
              <w:pStyle w:val="45"/>
              <w:bidi w:val="0"/>
              <w:rPr>
                <w:rFonts w:hint="eastAsia"/>
              </w:rPr>
            </w:pPr>
          </w:p>
        </w:tc>
        <w:tc>
          <w:tcPr>
            <w:tcW w:w="1207" w:type="dxa"/>
            <w:shd w:val="clear" w:color="auto" w:fill="auto"/>
            <w:noWrap/>
            <w:vAlign w:val="center"/>
          </w:tcPr>
          <w:p w14:paraId="05B8DAA9">
            <w:pPr>
              <w:pStyle w:val="45"/>
              <w:bidi w:val="0"/>
              <w:rPr>
                <w:rFonts w:hint="eastAsia"/>
              </w:rPr>
            </w:pPr>
          </w:p>
        </w:tc>
        <w:tc>
          <w:tcPr>
            <w:tcW w:w="1608" w:type="dxa"/>
            <w:shd w:val="clear" w:color="auto" w:fill="auto"/>
            <w:noWrap/>
            <w:vAlign w:val="center"/>
          </w:tcPr>
          <w:p w14:paraId="11997092">
            <w:pPr>
              <w:pStyle w:val="45"/>
              <w:bidi w:val="0"/>
              <w:rPr>
                <w:rFonts w:hint="eastAsia"/>
              </w:rPr>
            </w:pPr>
          </w:p>
        </w:tc>
        <w:tc>
          <w:tcPr>
            <w:tcW w:w="779" w:type="dxa"/>
            <w:vMerge w:val="restart"/>
            <w:shd w:val="clear" w:color="auto" w:fill="auto"/>
            <w:noWrap/>
            <w:vAlign w:val="center"/>
          </w:tcPr>
          <w:p w14:paraId="4DDAE37D">
            <w:pPr>
              <w:pStyle w:val="45"/>
              <w:bidi w:val="0"/>
              <w:rPr>
                <w:rFonts w:hint="eastAsia"/>
              </w:rPr>
            </w:pPr>
            <w:r>
              <w:rPr>
                <w:rFonts w:hint="eastAsia"/>
                <w:lang w:val="en-US" w:eastAsia="zh-CN"/>
              </w:rPr>
              <w:t>固体废物</w:t>
            </w:r>
          </w:p>
        </w:tc>
        <w:tc>
          <w:tcPr>
            <w:tcW w:w="1271" w:type="dxa"/>
            <w:shd w:val="clear" w:color="auto" w:fill="auto"/>
            <w:noWrap/>
            <w:vAlign w:val="center"/>
          </w:tcPr>
          <w:p w14:paraId="25ED0E6B">
            <w:pPr>
              <w:pStyle w:val="45"/>
              <w:bidi w:val="0"/>
              <w:rPr>
                <w:rFonts w:hint="eastAsia"/>
              </w:rPr>
            </w:pPr>
            <w:r>
              <w:rPr>
                <w:rFonts w:hint="eastAsia"/>
                <w:lang w:val="en-US" w:eastAsia="zh-CN"/>
              </w:rPr>
              <w:t>电解槽沉渣</w:t>
            </w:r>
          </w:p>
        </w:tc>
        <w:tc>
          <w:tcPr>
            <w:tcW w:w="1117" w:type="dxa"/>
            <w:shd w:val="clear" w:color="auto" w:fill="auto"/>
            <w:noWrap/>
            <w:vAlign w:val="center"/>
          </w:tcPr>
          <w:p w14:paraId="3E769442">
            <w:pPr>
              <w:pStyle w:val="45"/>
              <w:bidi w:val="0"/>
              <w:rPr>
                <w:rFonts w:hint="default"/>
              </w:rPr>
            </w:pPr>
            <w:r>
              <w:rPr>
                <w:rFonts w:hint="default"/>
                <w:lang w:val="en-US" w:eastAsia="zh-CN"/>
              </w:rPr>
              <w:t>0.42</w:t>
            </w:r>
          </w:p>
        </w:tc>
        <w:tc>
          <w:tcPr>
            <w:tcW w:w="1423" w:type="dxa"/>
            <w:shd w:val="clear" w:color="auto" w:fill="auto"/>
            <w:noWrap/>
            <w:vAlign w:val="center"/>
          </w:tcPr>
          <w:p w14:paraId="29BE1295">
            <w:pPr>
              <w:pStyle w:val="45"/>
              <w:bidi w:val="0"/>
              <w:rPr>
                <w:rFonts w:hint="eastAsia"/>
              </w:rPr>
            </w:pPr>
            <w:r>
              <w:rPr>
                <w:rFonts w:hint="eastAsia"/>
                <w:lang w:val="en-US" w:eastAsia="zh-CN"/>
              </w:rPr>
              <w:t>含铬渣</w:t>
            </w:r>
          </w:p>
        </w:tc>
      </w:tr>
      <w:tr w14:paraId="19A78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1233" w:type="dxa"/>
            <w:shd w:val="clear" w:color="auto" w:fill="auto"/>
            <w:noWrap/>
            <w:vAlign w:val="center"/>
          </w:tcPr>
          <w:p w14:paraId="0723FC89">
            <w:pPr>
              <w:pStyle w:val="45"/>
              <w:bidi w:val="0"/>
              <w:rPr>
                <w:rFonts w:hint="eastAsia"/>
              </w:rPr>
            </w:pPr>
          </w:p>
        </w:tc>
        <w:tc>
          <w:tcPr>
            <w:tcW w:w="1207" w:type="dxa"/>
            <w:shd w:val="clear" w:color="auto" w:fill="auto"/>
            <w:noWrap/>
            <w:vAlign w:val="center"/>
          </w:tcPr>
          <w:p w14:paraId="78BD236D">
            <w:pPr>
              <w:pStyle w:val="45"/>
              <w:bidi w:val="0"/>
              <w:rPr>
                <w:rFonts w:hint="eastAsia"/>
              </w:rPr>
            </w:pPr>
          </w:p>
        </w:tc>
        <w:tc>
          <w:tcPr>
            <w:tcW w:w="1608" w:type="dxa"/>
            <w:shd w:val="clear" w:color="auto" w:fill="auto"/>
            <w:noWrap/>
            <w:vAlign w:val="center"/>
          </w:tcPr>
          <w:p w14:paraId="131E9ADD">
            <w:pPr>
              <w:pStyle w:val="45"/>
              <w:bidi w:val="0"/>
              <w:rPr>
                <w:rFonts w:hint="eastAsia"/>
              </w:rPr>
            </w:pPr>
          </w:p>
        </w:tc>
        <w:tc>
          <w:tcPr>
            <w:tcW w:w="779" w:type="dxa"/>
            <w:vMerge w:val="continue"/>
            <w:shd w:val="clear" w:color="auto" w:fill="auto"/>
            <w:noWrap/>
            <w:vAlign w:val="center"/>
          </w:tcPr>
          <w:p w14:paraId="79FD10B9">
            <w:pPr>
              <w:pStyle w:val="45"/>
              <w:bidi w:val="0"/>
              <w:rPr>
                <w:rFonts w:hint="eastAsia"/>
              </w:rPr>
            </w:pPr>
          </w:p>
        </w:tc>
        <w:tc>
          <w:tcPr>
            <w:tcW w:w="1271" w:type="dxa"/>
            <w:shd w:val="clear" w:color="auto" w:fill="auto"/>
            <w:noWrap/>
            <w:vAlign w:val="center"/>
          </w:tcPr>
          <w:p w14:paraId="3D83B74C">
            <w:pPr>
              <w:pStyle w:val="45"/>
              <w:bidi w:val="0"/>
              <w:rPr>
                <w:rFonts w:hint="eastAsia"/>
              </w:rPr>
            </w:pPr>
            <w:r>
              <w:rPr>
                <w:rFonts w:hint="eastAsia"/>
                <w:lang w:val="en-US" w:eastAsia="zh-CN"/>
              </w:rPr>
              <w:t>除杂滤渣</w:t>
            </w:r>
          </w:p>
        </w:tc>
        <w:tc>
          <w:tcPr>
            <w:tcW w:w="1117" w:type="dxa"/>
            <w:shd w:val="clear" w:color="auto" w:fill="auto"/>
            <w:noWrap/>
            <w:vAlign w:val="center"/>
          </w:tcPr>
          <w:p w14:paraId="77F189A4">
            <w:pPr>
              <w:pStyle w:val="45"/>
              <w:bidi w:val="0"/>
              <w:rPr>
                <w:rFonts w:hint="default"/>
              </w:rPr>
            </w:pPr>
            <w:r>
              <w:rPr>
                <w:rFonts w:hint="default"/>
                <w:lang w:val="en-US" w:eastAsia="zh-CN"/>
              </w:rPr>
              <w:t>1880.36</w:t>
            </w:r>
          </w:p>
        </w:tc>
        <w:tc>
          <w:tcPr>
            <w:tcW w:w="1423" w:type="dxa"/>
            <w:shd w:val="clear" w:color="auto" w:fill="auto"/>
            <w:noWrap/>
            <w:vAlign w:val="center"/>
          </w:tcPr>
          <w:p w14:paraId="003A3977">
            <w:pPr>
              <w:pStyle w:val="45"/>
              <w:bidi w:val="0"/>
              <w:rPr>
                <w:rFonts w:hint="eastAsia"/>
              </w:rPr>
            </w:pPr>
            <w:r>
              <w:rPr>
                <w:rFonts w:hint="eastAsia"/>
                <w:lang w:val="en-US" w:eastAsia="zh-CN"/>
              </w:rPr>
              <w:t>不含重金属</w:t>
            </w:r>
          </w:p>
        </w:tc>
      </w:tr>
      <w:tr w14:paraId="21508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1233" w:type="dxa"/>
            <w:shd w:val="clear" w:color="auto" w:fill="auto"/>
            <w:noWrap/>
            <w:vAlign w:val="center"/>
          </w:tcPr>
          <w:p w14:paraId="1E19F059">
            <w:pPr>
              <w:pStyle w:val="45"/>
              <w:bidi w:val="0"/>
              <w:rPr>
                <w:rFonts w:hint="eastAsia"/>
              </w:rPr>
            </w:pPr>
            <w:r>
              <w:rPr>
                <w:rFonts w:hint="eastAsia"/>
                <w:lang w:val="en-US" w:eastAsia="zh-CN"/>
              </w:rPr>
              <w:t>合计</w:t>
            </w:r>
          </w:p>
        </w:tc>
        <w:tc>
          <w:tcPr>
            <w:tcW w:w="1207" w:type="dxa"/>
            <w:shd w:val="clear" w:color="auto" w:fill="auto"/>
            <w:noWrap/>
            <w:vAlign w:val="center"/>
          </w:tcPr>
          <w:p w14:paraId="7223B20A">
            <w:pPr>
              <w:pStyle w:val="45"/>
              <w:bidi w:val="0"/>
              <w:rPr>
                <w:rFonts w:hint="eastAsia"/>
              </w:rPr>
            </w:pPr>
            <w:r>
              <w:rPr>
                <w:rFonts w:hint="eastAsia"/>
                <w:lang w:val="en-US" w:eastAsia="zh-CN"/>
              </w:rPr>
              <w:t xml:space="preserve">49824.68 </w:t>
            </w:r>
          </w:p>
        </w:tc>
        <w:tc>
          <w:tcPr>
            <w:tcW w:w="1608" w:type="dxa"/>
            <w:shd w:val="clear" w:color="auto" w:fill="auto"/>
            <w:noWrap/>
            <w:vAlign w:val="center"/>
          </w:tcPr>
          <w:p w14:paraId="5E63AE35">
            <w:pPr>
              <w:pStyle w:val="45"/>
              <w:bidi w:val="0"/>
              <w:rPr>
                <w:rFonts w:hint="eastAsia"/>
              </w:rPr>
            </w:pPr>
          </w:p>
        </w:tc>
        <w:tc>
          <w:tcPr>
            <w:tcW w:w="2050" w:type="dxa"/>
            <w:gridSpan w:val="2"/>
            <w:shd w:val="clear" w:color="auto" w:fill="auto"/>
            <w:noWrap/>
            <w:vAlign w:val="center"/>
          </w:tcPr>
          <w:p w14:paraId="4425BEEB">
            <w:pPr>
              <w:pStyle w:val="45"/>
              <w:bidi w:val="0"/>
              <w:rPr>
                <w:rFonts w:hint="eastAsia"/>
              </w:rPr>
            </w:pPr>
            <w:r>
              <w:rPr>
                <w:rFonts w:hint="eastAsia"/>
                <w:lang w:val="en-US" w:eastAsia="zh-CN"/>
              </w:rPr>
              <w:t>合计</w:t>
            </w:r>
          </w:p>
        </w:tc>
        <w:tc>
          <w:tcPr>
            <w:tcW w:w="1117" w:type="dxa"/>
            <w:shd w:val="clear" w:color="auto" w:fill="auto"/>
            <w:noWrap/>
            <w:vAlign w:val="center"/>
          </w:tcPr>
          <w:p w14:paraId="6DB71C49">
            <w:pPr>
              <w:pStyle w:val="45"/>
              <w:bidi w:val="0"/>
              <w:rPr>
                <w:rFonts w:hint="eastAsia"/>
              </w:rPr>
            </w:pPr>
            <w:r>
              <w:rPr>
                <w:rFonts w:hint="eastAsia"/>
                <w:lang w:val="en-US" w:eastAsia="zh-CN"/>
              </w:rPr>
              <w:t xml:space="preserve">49824.68 </w:t>
            </w:r>
          </w:p>
        </w:tc>
        <w:tc>
          <w:tcPr>
            <w:tcW w:w="1423" w:type="dxa"/>
            <w:shd w:val="clear" w:color="auto" w:fill="auto"/>
            <w:noWrap/>
            <w:vAlign w:val="center"/>
          </w:tcPr>
          <w:p w14:paraId="50778581">
            <w:pPr>
              <w:pStyle w:val="45"/>
              <w:bidi w:val="0"/>
              <w:rPr>
                <w:rFonts w:hint="eastAsia"/>
              </w:rPr>
            </w:pPr>
          </w:p>
        </w:tc>
      </w:tr>
    </w:tbl>
    <w:p w14:paraId="32B5B320">
      <w:pPr>
        <w:pStyle w:val="45"/>
        <w:bidi w:val="0"/>
      </w:pPr>
    </w:p>
    <w:p w14:paraId="22611C44">
      <w:pPr>
        <w:ind w:firstLine="0" w:firstLineChars="0"/>
        <w:jc w:val="center"/>
        <w:rPr>
          <w:rFonts w:hint="eastAsia" w:eastAsia="宋体"/>
          <w:lang w:eastAsia="zh-CN"/>
        </w:rPr>
      </w:pPr>
      <w:r>
        <w:rPr>
          <w:rFonts w:hint="eastAsia" w:eastAsia="宋体"/>
          <w:lang w:eastAsia="zh-CN"/>
        </w:rPr>
        <w:object>
          <v:shape id="_x0000_i1029" o:spt="75" type="#_x0000_t75" style="height:532.9pt;width:412.05pt;" o:ole="t" filled="f" o:preferrelative="t" stroked="f" coordsize="21600,21600">
            <v:path/>
            <v:fill on="f" focussize="0,0"/>
            <v:stroke on="f"/>
            <v:imagedata r:id="rId28" o:title=""/>
            <o:lock v:ext="edit" aspectratio="f"/>
            <w10:wrap type="none"/>
            <w10:anchorlock/>
          </v:shape>
          <o:OLEObject Type="Embed" ProgID="Visio.Drawing.15" ShapeID="_x0000_i1029" DrawAspect="Content" ObjectID="_1468075729" r:id="rId27">
            <o:LockedField>false</o:LockedField>
          </o:OLEObject>
        </w:object>
      </w:r>
    </w:p>
    <w:p w14:paraId="0B0298D5">
      <w:pPr>
        <w:pStyle w:val="42"/>
        <w:bidi w:val="0"/>
        <w:rPr>
          <w:rFonts w:hint="default"/>
        </w:rPr>
      </w:pPr>
      <w:r>
        <w:t>氯酸钠生产工艺流程及物料平衡示意图（单位：t/a）</w:t>
      </w:r>
    </w:p>
    <w:p w14:paraId="2C3A9FC8">
      <w:pPr>
        <w:ind w:left="0" w:leftChars="0" w:firstLine="0" w:firstLineChars="0"/>
      </w:pPr>
    </w:p>
    <w:p w14:paraId="5F1ED63B">
      <w:pPr>
        <w:ind w:left="0" w:leftChars="0" w:firstLine="0" w:firstLineChars="0"/>
      </w:pPr>
    </w:p>
    <w:p w14:paraId="1D5D6121">
      <w:pPr>
        <w:ind w:left="0" w:leftChars="0" w:firstLine="0" w:firstLineChars="0"/>
      </w:pPr>
    </w:p>
    <w:p w14:paraId="59B909C4">
      <w:pPr>
        <w:ind w:firstLine="480"/>
        <w:outlineLvl w:val="4"/>
        <w:rPr>
          <w:rFonts w:hint="default" w:eastAsia="宋体"/>
          <w:b/>
          <w:bCs/>
          <w:lang w:val="en-US" w:eastAsia="zh-CN"/>
        </w:rPr>
      </w:pPr>
      <w:r>
        <w:rPr>
          <w:rFonts w:hint="eastAsia"/>
          <w:b/>
          <w:bCs/>
          <w:lang w:val="en-US" w:eastAsia="zh-CN"/>
        </w:rPr>
        <w:t>（2）氯酸钠生产氯元素平衡</w:t>
      </w:r>
    </w:p>
    <w:p w14:paraId="5AE1F6B9">
      <w:pPr>
        <w:pStyle w:val="43"/>
        <w:numPr>
          <w:ilvl w:val="5"/>
          <w:numId w:val="1"/>
        </w:numPr>
        <w:bidi w:val="0"/>
      </w:pPr>
      <w:r>
        <w:rPr>
          <w:rFonts w:hint="eastAsia"/>
          <w:lang w:val="en-US" w:eastAsia="zh-CN"/>
        </w:rPr>
        <w:t>氯酸钠生产氯元素平衡一览表</w:t>
      </w:r>
    </w:p>
    <w:tbl>
      <w:tblPr>
        <w:tblStyle w:val="32"/>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143"/>
        <w:gridCol w:w="1345"/>
        <w:gridCol w:w="1597"/>
        <w:gridCol w:w="2231"/>
        <w:gridCol w:w="1203"/>
      </w:tblGrid>
      <w:tr w14:paraId="4DD0F2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blHeader/>
        </w:trPr>
        <w:tc>
          <w:tcPr>
            <w:tcW w:w="2047"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A55E3">
            <w:pPr>
              <w:pStyle w:val="45"/>
              <w:bidi w:val="0"/>
              <w:rPr>
                <w:rFonts w:hint="eastAsia"/>
                <w:b/>
                <w:bCs/>
              </w:rPr>
            </w:pPr>
            <w:r>
              <w:rPr>
                <w:rFonts w:hint="eastAsia"/>
                <w:b/>
                <w:bCs/>
                <w:lang w:val="en-US" w:eastAsia="zh-CN"/>
              </w:rPr>
              <w:t>投入（</w:t>
            </w:r>
            <w:r>
              <w:rPr>
                <w:rFonts w:hint="default"/>
                <w:b/>
                <w:bCs/>
                <w:lang w:val="en-US" w:eastAsia="zh-CN"/>
              </w:rPr>
              <w:t>t</w:t>
            </w:r>
            <w:r>
              <w:rPr>
                <w:rFonts w:hint="eastAsia"/>
                <w:b/>
                <w:bCs/>
                <w:lang w:val="en-US" w:eastAsia="zh-CN"/>
              </w:rPr>
              <w:t>）</w:t>
            </w:r>
          </w:p>
        </w:tc>
        <w:tc>
          <w:tcPr>
            <w:tcW w:w="2952"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9A4B5">
            <w:pPr>
              <w:pStyle w:val="45"/>
              <w:bidi w:val="0"/>
              <w:rPr>
                <w:rFonts w:hint="eastAsia"/>
                <w:b/>
                <w:bCs/>
              </w:rPr>
            </w:pPr>
            <w:r>
              <w:rPr>
                <w:rFonts w:hint="eastAsia"/>
                <w:b/>
                <w:bCs/>
                <w:lang w:val="en-US" w:eastAsia="zh-CN"/>
              </w:rPr>
              <w:t>产出（</w:t>
            </w:r>
            <w:r>
              <w:rPr>
                <w:rFonts w:hint="default"/>
                <w:b/>
                <w:bCs/>
                <w:lang w:val="en-US" w:eastAsia="zh-CN"/>
              </w:rPr>
              <w:t>t</w:t>
            </w:r>
            <w:r>
              <w:rPr>
                <w:rFonts w:hint="eastAsia"/>
                <w:b/>
                <w:bCs/>
                <w:lang w:val="en-US" w:eastAsia="zh-CN"/>
              </w:rPr>
              <w:t>）</w:t>
            </w:r>
          </w:p>
        </w:tc>
      </w:tr>
      <w:tr w14:paraId="03175C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CC9B26">
            <w:pPr>
              <w:pStyle w:val="45"/>
              <w:bidi w:val="0"/>
              <w:rPr>
                <w:rFonts w:hint="eastAsia"/>
              </w:rPr>
            </w:pPr>
            <w:r>
              <w:rPr>
                <w:rFonts w:hint="eastAsia"/>
                <w:lang w:val="en-US" w:eastAsia="zh-CN"/>
              </w:rPr>
              <w:t>原料盐含氯</w:t>
            </w:r>
          </w:p>
        </w:tc>
        <w:tc>
          <w:tcPr>
            <w:tcW w:w="13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78B4A">
            <w:pPr>
              <w:pStyle w:val="45"/>
              <w:bidi w:val="0"/>
              <w:rPr>
                <w:rFonts w:hint="eastAsia"/>
              </w:rPr>
            </w:pPr>
            <w:r>
              <w:rPr>
                <w:rFonts w:hint="default"/>
                <w:lang w:val="en-US" w:eastAsia="zh-CN"/>
              </w:rPr>
              <w:t>6688</w:t>
            </w:r>
          </w:p>
        </w:tc>
        <w:tc>
          <w:tcPr>
            <w:tcW w:w="9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6C0874">
            <w:pPr>
              <w:pStyle w:val="45"/>
              <w:bidi w:val="0"/>
              <w:rPr>
                <w:rFonts w:hint="eastAsia"/>
              </w:rPr>
            </w:pPr>
            <w:r>
              <w:rPr>
                <w:rFonts w:hint="eastAsia"/>
                <w:lang w:val="en-US" w:eastAsia="zh-CN"/>
              </w:rPr>
              <w:t>中间产物</w:t>
            </w:r>
          </w:p>
        </w:tc>
        <w:tc>
          <w:tcPr>
            <w:tcW w:w="13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6BDF6">
            <w:pPr>
              <w:pStyle w:val="45"/>
              <w:bidi w:val="0"/>
              <w:rPr>
                <w:rFonts w:hint="eastAsia"/>
              </w:rPr>
            </w:pPr>
            <w:r>
              <w:rPr>
                <w:rFonts w:hint="eastAsia"/>
                <w:lang w:val="en-US" w:eastAsia="zh-CN"/>
              </w:rPr>
              <w:t>湿氯酸钠晶体带走</w:t>
            </w:r>
          </w:p>
        </w:tc>
        <w:tc>
          <w:tcPr>
            <w:tcW w:w="12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45EC79">
            <w:pPr>
              <w:pStyle w:val="45"/>
              <w:bidi w:val="0"/>
              <w:rPr>
                <w:rFonts w:hint="eastAsia"/>
              </w:rPr>
            </w:pPr>
            <w:r>
              <w:rPr>
                <w:rFonts w:hint="default"/>
                <w:lang w:val="en-US" w:eastAsia="zh-CN"/>
              </w:rPr>
              <w:t>6667.27</w:t>
            </w:r>
          </w:p>
        </w:tc>
      </w:tr>
      <w:tr w14:paraId="33E961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C45CD4">
            <w:pPr>
              <w:pStyle w:val="45"/>
              <w:bidi w:val="0"/>
              <w:rPr>
                <w:rFonts w:hint="eastAsia"/>
              </w:rPr>
            </w:pPr>
            <w:r>
              <w:rPr>
                <w:rFonts w:hint="eastAsia"/>
                <w:lang w:val="en-US" w:eastAsia="zh-CN"/>
              </w:rPr>
              <w:t>氯化钙含氯</w:t>
            </w:r>
          </w:p>
        </w:tc>
        <w:tc>
          <w:tcPr>
            <w:tcW w:w="13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E9C08">
            <w:pPr>
              <w:pStyle w:val="45"/>
              <w:bidi w:val="0"/>
              <w:rPr>
                <w:rFonts w:hint="eastAsia"/>
              </w:rPr>
            </w:pPr>
            <w:r>
              <w:rPr>
                <w:rFonts w:hint="default"/>
                <w:lang w:val="en-US" w:eastAsia="zh-CN"/>
              </w:rPr>
              <w:t>104.91</w:t>
            </w:r>
          </w:p>
        </w:tc>
        <w:tc>
          <w:tcPr>
            <w:tcW w:w="93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F35861">
            <w:pPr>
              <w:pStyle w:val="45"/>
              <w:bidi w:val="0"/>
              <w:rPr>
                <w:rFonts w:hint="eastAsia"/>
              </w:rPr>
            </w:pPr>
            <w:r>
              <w:rPr>
                <w:rFonts w:hint="eastAsia"/>
                <w:lang w:val="en-US" w:eastAsia="zh-CN"/>
              </w:rPr>
              <w:t>其他物料</w:t>
            </w:r>
          </w:p>
        </w:tc>
        <w:tc>
          <w:tcPr>
            <w:tcW w:w="13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82FD6">
            <w:pPr>
              <w:pStyle w:val="45"/>
              <w:bidi w:val="0"/>
              <w:rPr>
                <w:rFonts w:hint="eastAsia"/>
              </w:rPr>
            </w:pPr>
            <w:r>
              <w:rPr>
                <w:rFonts w:hint="eastAsia"/>
                <w:lang w:val="en-US" w:eastAsia="zh-CN"/>
              </w:rPr>
              <w:t>尾气转化</w:t>
            </w:r>
          </w:p>
        </w:tc>
        <w:tc>
          <w:tcPr>
            <w:tcW w:w="12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F5E9D">
            <w:pPr>
              <w:pStyle w:val="45"/>
              <w:bidi w:val="0"/>
              <w:rPr>
                <w:rFonts w:hint="eastAsia"/>
              </w:rPr>
            </w:pPr>
            <w:r>
              <w:rPr>
                <w:rFonts w:hint="default"/>
                <w:lang w:val="en-US" w:eastAsia="zh-CN"/>
              </w:rPr>
              <w:t>21</w:t>
            </w:r>
          </w:p>
        </w:tc>
      </w:tr>
      <w:tr w14:paraId="769427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8494E3">
            <w:pPr>
              <w:pStyle w:val="45"/>
              <w:bidi w:val="0"/>
              <w:rPr>
                <w:rFonts w:hint="eastAsia"/>
              </w:rPr>
            </w:pPr>
            <w:r>
              <w:rPr>
                <w:rFonts w:hint="eastAsia"/>
                <w:lang w:val="en-US" w:eastAsia="zh-CN"/>
              </w:rPr>
              <w:t>盐酸含氯</w:t>
            </w:r>
          </w:p>
        </w:tc>
        <w:tc>
          <w:tcPr>
            <w:tcW w:w="13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3D1606">
            <w:pPr>
              <w:pStyle w:val="45"/>
              <w:bidi w:val="0"/>
              <w:rPr>
                <w:rFonts w:hint="eastAsia"/>
              </w:rPr>
            </w:pPr>
            <w:r>
              <w:rPr>
                <w:rFonts w:hint="default"/>
                <w:lang w:val="en-US" w:eastAsia="zh-CN"/>
              </w:rPr>
              <w:t>778</w:t>
            </w:r>
          </w:p>
        </w:tc>
        <w:tc>
          <w:tcPr>
            <w:tcW w:w="93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F3A3D">
            <w:pPr>
              <w:pStyle w:val="45"/>
              <w:bidi w:val="0"/>
              <w:rPr>
                <w:rFonts w:hint="eastAsia"/>
              </w:rPr>
            </w:pPr>
          </w:p>
        </w:tc>
        <w:tc>
          <w:tcPr>
            <w:tcW w:w="13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599E8">
            <w:pPr>
              <w:pStyle w:val="45"/>
              <w:bidi w:val="0"/>
              <w:rPr>
                <w:rFonts w:hint="eastAsia"/>
              </w:rPr>
            </w:pPr>
            <w:r>
              <w:rPr>
                <w:rFonts w:hint="eastAsia"/>
                <w:lang w:val="en-US" w:eastAsia="zh-CN"/>
              </w:rPr>
              <w:t>滤渣带走</w:t>
            </w:r>
          </w:p>
        </w:tc>
        <w:tc>
          <w:tcPr>
            <w:tcW w:w="12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655A2">
            <w:pPr>
              <w:pStyle w:val="45"/>
              <w:bidi w:val="0"/>
              <w:rPr>
                <w:rFonts w:hint="eastAsia"/>
              </w:rPr>
            </w:pPr>
            <w:r>
              <w:rPr>
                <w:rFonts w:hint="default"/>
                <w:lang w:val="en-US" w:eastAsia="zh-CN"/>
              </w:rPr>
              <w:t>91.45</w:t>
            </w:r>
          </w:p>
        </w:tc>
      </w:tr>
      <w:tr w14:paraId="0DD863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4A75FC">
            <w:pPr>
              <w:pStyle w:val="45"/>
              <w:bidi w:val="0"/>
              <w:rPr>
                <w:rFonts w:hint="eastAsia"/>
              </w:rPr>
            </w:pPr>
          </w:p>
        </w:tc>
        <w:tc>
          <w:tcPr>
            <w:tcW w:w="13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921ECE">
            <w:pPr>
              <w:pStyle w:val="45"/>
              <w:bidi w:val="0"/>
              <w:rPr>
                <w:rFonts w:hint="eastAsia"/>
              </w:rPr>
            </w:pPr>
          </w:p>
        </w:tc>
        <w:tc>
          <w:tcPr>
            <w:tcW w:w="93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98F0B7">
            <w:pPr>
              <w:pStyle w:val="45"/>
              <w:bidi w:val="0"/>
              <w:rPr>
                <w:rFonts w:hint="eastAsia"/>
              </w:rPr>
            </w:pPr>
          </w:p>
        </w:tc>
        <w:tc>
          <w:tcPr>
            <w:tcW w:w="13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22EE4">
            <w:pPr>
              <w:pStyle w:val="45"/>
              <w:bidi w:val="0"/>
              <w:rPr>
                <w:rFonts w:hint="eastAsia"/>
              </w:rPr>
            </w:pPr>
            <w:r>
              <w:rPr>
                <w:rFonts w:hint="eastAsia"/>
                <w:lang w:val="en-US" w:eastAsia="zh-CN"/>
              </w:rPr>
              <w:t>母液带走</w:t>
            </w:r>
          </w:p>
        </w:tc>
        <w:tc>
          <w:tcPr>
            <w:tcW w:w="12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DA085">
            <w:pPr>
              <w:pStyle w:val="45"/>
              <w:bidi w:val="0"/>
              <w:rPr>
                <w:rFonts w:hint="eastAsia"/>
              </w:rPr>
            </w:pPr>
            <w:r>
              <w:rPr>
                <w:rFonts w:hint="default"/>
                <w:lang w:val="en-US" w:eastAsia="zh-CN"/>
              </w:rPr>
              <w:t>791.19</w:t>
            </w:r>
          </w:p>
        </w:tc>
      </w:tr>
      <w:tr w14:paraId="7DEB72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70FD31">
            <w:pPr>
              <w:pStyle w:val="45"/>
              <w:bidi w:val="0"/>
              <w:rPr>
                <w:rFonts w:hint="eastAsia"/>
              </w:rPr>
            </w:pPr>
            <w:r>
              <w:rPr>
                <w:rFonts w:hint="eastAsia"/>
                <w:lang w:val="en-US" w:eastAsia="zh-CN"/>
              </w:rPr>
              <w:t>合计</w:t>
            </w:r>
          </w:p>
        </w:tc>
        <w:tc>
          <w:tcPr>
            <w:tcW w:w="13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0B3B0">
            <w:pPr>
              <w:pStyle w:val="45"/>
              <w:bidi w:val="0"/>
              <w:rPr>
                <w:rFonts w:hint="eastAsia"/>
                <w:lang w:val="en-US" w:eastAsia="zh-CN"/>
              </w:rPr>
            </w:pPr>
            <w:r>
              <w:rPr>
                <w:rFonts w:hint="eastAsia"/>
                <w:lang w:val="en-US" w:eastAsia="zh-CN"/>
              </w:rPr>
              <w:t xml:space="preserve">7570.91 </w:t>
            </w:r>
          </w:p>
        </w:tc>
        <w:tc>
          <w:tcPr>
            <w:tcW w:w="224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BD1C63">
            <w:pPr>
              <w:pStyle w:val="45"/>
              <w:bidi w:val="0"/>
              <w:rPr>
                <w:rFonts w:hint="eastAsia"/>
              </w:rPr>
            </w:pPr>
            <w:r>
              <w:rPr>
                <w:rFonts w:hint="eastAsia"/>
                <w:lang w:val="en-US" w:eastAsia="zh-CN"/>
              </w:rPr>
              <w:t>合计</w:t>
            </w:r>
          </w:p>
        </w:tc>
        <w:tc>
          <w:tcPr>
            <w:tcW w:w="12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FB136">
            <w:pPr>
              <w:pStyle w:val="45"/>
              <w:bidi w:val="0"/>
              <w:rPr>
                <w:rFonts w:hint="eastAsia"/>
                <w:lang w:val="en-US" w:eastAsia="zh-CN"/>
              </w:rPr>
            </w:pPr>
            <w:r>
              <w:rPr>
                <w:rFonts w:hint="eastAsia"/>
                <w:lang w:val="en-US" w:eastAsia="zh-CN"/>
              </w:rPr>
              <w:t xml:space="preserve">7570.91 </w:t>
            </w:r>
          </w:p>
        </w:tc>
      </w:tr>
    </w:tbl>
    <w:p w14:paraId="3B48C3B6">
      <w:pPr>
        <w:ind w:left="0" w:leftChars="0" w:firstLine="0" w:firstLineChars="0"/>
      </w:pPr>
    </w:p>
    <w:p w14:paraId="0A48FDE3">
      <w:pPr>
        <w:ind w:left="0" w:leftChars="0" w:firstLine="0" w:firstLineChars="0"/>
        <w:jc w:val="both"/>
        <w:rPr>
          <w:rFonts w:hint="eastAsia" w:eastAsia="宋体"/>
          <w:lang w:eastAsia="zh-CN"/>
        </w:rPr>
      </w:pPr>
      <w:r>
        <w:rPr>
          <w:rFonts w:hint="eastAsia" w:eastAsia="宋体"/>
          <w:lang w:eastAsia="zh-CN"/>
        </w:rPr>
        <w:object>
          <v:shape id="_x0000_i1030" o:spt="75" type="#_x0000_t75" style="height:134.25pt;width:405pt;" o:ole="t" filled="f" o:preferrelative="t" stroked="f" coordsize="21600,21600">
            <v:path/>
            <v:fill on="f" focussize="0,0"/>
            <v:stroke on="f"/>
            <v:imagedata r:id="rId30" o:title=""/>
            <o:lock v:ext="edit" aspectratio="f"/>
            <w10:wrap type="none"/>
            <w10:anchorlock/>
          </v:shape>
          <o:OLEObject Type="Embed" ProgID="Visio.Drawing.15" ShapeID="_x0000_i1030" DrawAspect="Content" ObjectID="_1468075730" r:id="rId29">
            <o:LockedField>false</o:LockedField>
          </o:OLEObject>
        </w:object>
      </w:r>
    </w:p>
    <w:p w14:paraId="4B038B83">
      <w:pPr>
        <w:pStyle w:val="42"/>
        <w:numPr>
          <w:ilvl w:val="6"/>
          <w:numId w:val="1"/>
        </w:numPr>
        <w:rPr>
          <w:rFonts w:hint="default"/>
          <w:highlight w:val="none"/>
        </w:rPr>
      </w:pPr>
      <w:r>
        <w:rPr>
          <w:highlight w:val="none"/>
        </w:rPr>
        <w:t>氯酸钠生产氯元素平衡示意图（单位：t/a）</w:t>
      </w:r>
    </w:p>
    <w:p w14:paraId="5BFB977E">
      <w:pPr>
        <w:spacing w:line="240" w:lineRule="auto"/>
        <w:ind w:firstLine="0" w:firstLineChars="0"/>
        <w:rPr>
          <w:rFonts w:hint="eastAsia"/>
        </w:rPr>
      </w:pPr>
    </w:p>
    <w:p w14:paraId="71570671">
      <w:pPr>
        <w:spacing w:line="240" w:lineRule="auto"/>
        <w:ind w:firstLine="480"/>
        <w:outlineLvl w:val="4"/>
        <w:rPr>
          <w:rFonts w:hint="eastAsia"/>
          <w:b/>
          <w:bCs/>
          <w:lang w:val="en-US" w:eastAsia="zh-CN"/>
        </w:rPr>
      </w:pPr>
      <w:r>
        <w:rPr>
          <w:rFonts w:hint="eastAsia"/>
          <w:b/>
          <w:bCs/>
          <w:lang w:val="en-US" w:eastAsia="zh-CN"/>
        </w:rPr>
        <w:t>（3）氯酸钠生产铬元素平衡</w:t>
      </w:r>
    </w:p>
    <w:p w14:paraId="2D2C4B3E">
      <w:pPr>
        <w:tabs>
          <w:tab w:val="left" w:pos="6536"/>
        </w:tabs>
        <w:spacing w:line="240" w:lineRule="auto"/>
        <w:ind w:firstLine="480"/>
        <w:rPr>
          <w:rFonts w:hint="default"/>
          <w:highlight w:val="none"/>
          <w:lang w:val="en-US" w:eastAsia="zh-CN"/>
        </w:rPr>
      </w:pPr>
      <w:r>
        <w:rPr>
          <w:rFonts w:hint="eastAsia"/>
          <w:highlight w:val="none"/>
          <w:lang w:val="en-US" w:eastAsia="zh-CN"/>
        </w:rPr>
        <w:tab/>
      </w:r>
    </w:p>
    <w:p w14:paraId="0B5707D1">
      <w:pPr>
        <w:pStyle w:val="43"/>
        <w:numPr>
          <w:ilvl w:val="5"/>
          <w:numId w:val="1"/>
        </w:numPr>
        <w:bidi w:val="0"/>
        <w:rPr>
          <w:highlight w:val="none"/>
        </w:rPr>
      </w:pPr>
      <w:r>
        <w:rPr>
          <w:rFonts w:hint="eastAsia"/>
          <w:highlight w:val="none"/>
          <w:lang w:val="en-US" w:eastAsia="zh-CN"/>
        </w:rPr>
        <w:t>氯酸钠（中间产物）生产铬元素平衡一览表</w:t>
      </w:r>
    </w:p>
    <w:tbl>
      <w:tblPr>
        <w:tblStyle w:val="32"/>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351"/>
        <w:gridCol w:w="1098"/>
        <w:gridCol w:w="1662"/>
        <w:gridCol w:w="2323"/>
        <w:gridCol w:w="1086"/>
      </w:tblGrid>
      <w:tr w14:paraId="2B8B47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blHeader/>
        </w:trPr>
        <w:tc>
          <w:tcPr>
            <w:tcW w:w="202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1850B5">
            <w:pPr>
              <w:pStyle w:val="45"/>
              <w:bidi w:val="0"/>
              <w:rPr>
                <w:rFonts w:hint="eastAsia"/>
                <w:b/>
                <w:bCs/>
                <w:highlight w:val="none"/>
              </w:rPr>
            </w:pPr>
            <w:r>
              <w:rPr>
                <w:rFonts w:hint="eastAsia"/>
                <w:b/>
                <w:bCs/>
                <w:highlight w:val="none"/>
                <w:lang w:val="en-US" w:eastAsia="zh-CN"/>
              </w:rPr>
              <w:t>投入（t）</w:t>
            </w:r>
          </w:p>
        </w:tc>
        <w:tc>
          <w:tcPr>
            <w:tcW w:w="29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102DE">
            <w:pPr>
              <w:pStyle w:val="45"/>
              <w:bidi w:val="0"/>
              <w:rPr>
                <w:rFonts w:hint="eastAsia"/>
                <w:b/>
                <w:bCs/>
                <w:highlight w:val="none"/>
              </w:rPr>
            </w:pPr>
            <w:r>
              <w:rPr>
                <w:rFonts w:hint="eastAsia"/>
                <w:b/>
                <w:bCs/>
                <w:highlight w:val="none"/>
                <w:lang w:val="en-US" w:eastAsia="zh-CN"/>
              </w:rPr>
              <w:t>产出（t）</w:t>
            </w:r>
          </w:p>
        </w:tc>
      </w:tr>
      <w:tr w14:paraId="0C2C41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C4006">
            <w:pPr>
              <w:pStyle w:val="45"/>
              <w:bidi w:val="0"/>
              <w:rPr>
                <w:rFonts w:hint="eastAsia"/>
                <w:highlight w:val="none"/>
              </w:rPr>
            </w:pPr>
            <w:r>
              <w:rPr>
                <w:rFonts w:hint="eastAsia"/>
                <w:highlight w:val="none"/>
                <w:lang w:val="en-US" w:eastAsia="zh-CN"/>
              </w:rPr>
              <w:t>重铬酸钠含铬</w:t>
            </w:r>
          </w:p>
        </w:tc>
        <w:tc>
          <w:tcPr>
            <w:tcW w:w="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5E88E">
            <w:pPr>
              <w:pStyle w:val="45"/>
              <w:bidi w:val="0"/>
              <w:rPr>
                <w:rFonts w:hint="default"/>
                <w:highlight w:val="none"/>
                <w:lang w:val="en-US"/>
              </w:rPr>
            </w:pPr>
            <w:r>
              <w:rPr>
                <w:rFonts w:hint="eastAsia"/>
                <w:highlight w:val="none"/>
                <w:lang w:val="en-US" w:eastAsia="zh-CN"/>
              </w:rPr>
              <w:t>0.2</w:t>
            </w:r>
          </w:p>
        </w:tc>
        <w:tc>
          <w:tcPr>
            <w:tcW w:w="9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84F3A">
            <w:pPr>
              <w:pStyle w:val="45"/>
              <w:bidi w:val="0"/>
              <w:rPr>
                <w:rFonts w:hint="eastAsia"/>
                <w:highlight w:val="none"/>
              </w:rPr>
            </w:pPr>
            <w:r>
              <w:rPr>
                <w:rFonts w:hint="eastAsia"/>
                <w:highlight w:val="none"/>
                <w:lang w:val="en-US" w:eastAsia="zh-CN"/>
              </w:rPr>
              <w:t>中间产物</w:t>
            </w:r>
          </w:p>
        </w:tc>
        <w:tc>
          <w:tcPr>
            <w:tcW w:w="13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274E37">
            <w:pPr>
              <w:pStyle w:val="45"/>
              <w:bidi w:val="0"/>
              <w:rPr>
                <w:rFonts w:hint="eastAsia"/>
                <w:highlight w:val="none"/>
              </w:rPr>
            </w:pPr>
            <w:r>
              <w:rPr>
                <w:rFonts w:hint="eastAsia"/>
                <w:highlight w:val="none"/>
                <w:lang w:val="en-US" w:eastAsia="zh-CN"/>
              </w:rPr>
              <w:t>氯酸钠带走</w:t>
            </w:r>
          </w:p>
        </w:tc>
        <w:tc>
          <w:tcPr>
            <w:tcW w:w="10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26C89">
            <w:pPr>
              <w:pStyle w:val="45"/>
              <w:bidi w:val="0"/>
              <w:rPr>
                <w:rFonts w:hint="default" w:eastAsia="宋体"/>
                <w:highlight w:val="none"/>
                <w:lang w:val="en-US" w:eastAsia="zh-CN"/>
              </w:rPr>
            </w:pPr>
            <w:r>
              <w:rPr>
                <w:rFonts w:hint="eastAsia"/>
                <w:highlight w:val="none"/>
                <w:lang w:val="en-US" w:eastAsia="zh-CN"/>
              </w:rPr>
              <w:t>0.04</w:t>
            </w:r>
          </w:p>
        </w:tc>
      </w:tr>
      <w:tr w14:paraId="668239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6A629">
            <w:pPr>
              <w:pStyle w:val="45"/>
              <w:bidi w:val="0"/>
              <w:rPr>
                <w:rFonts w:hint="eastAsia"/>
                <w:highlight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DB018">
            <w:pPr>
              <w:pStyle w:val="45"/>
              <w:bidi w:val="0"/>
              <w:rPr>
                <w:rFonts w:hint="eastAsia"/>
                <w:highlight w:val="none"/>
              </w:rPr>
            </w:pPr>
          </w:p>
        </w:tc>
        <w:tc>
          <w:tcPr>
            <w:tcW w:w="97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2E402">
            <w:pPr>
              <w:pStyle w:val="45"/>
              <w:bidi w:val="0"/>
              <w:rPr>
                <w:rFonts w:hint="eastAsia"/>
                <w:highlight w:val="none"/>
              </w:rPr>
            </w:pPr>
            <w:r>
              <w:rPr>
                <w:rFonts w:hint="eastAsia"/>
                <w:highlight w:val="none"/>
                <w:lang w:val="en-US" w:eastAsia="zh-CN"/>
              </w:rPr>
              <w:t>其他物料</w:t>
            </w:r>
          </w:p>
        </w:tc>
        <w:tc>
          <w:tcPr>
            <w:tcW w:w="13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CE9FDB">
            <w:pPr>
              <w:pStyle w:val="45"/>
              <w:bidi w:val="0"/>
              <w:rPr>
                <w:rFonts w:hint="eastAsia"/>
                <w:highlight w:val="none"/>
              </w:rPr>
            </w:pPr>
            <w:r>
              <w:rPr>
                <w:rFonts w:hint="eastAsia"/>
                <w:highlight w:val="none"/>
                <w:lang w:val="en-US" w:eastAsia="zh-CN"/>
              </w:rPr>
              <w:t>电解沉渣带走</w:t>
            </w:r>
          </w:p>
        </w:tc>
        <w:tc>
          <w:tcPr>
            <w:tcW w:w="10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3CC44">
            <w:pPr>
              <w:pStyle w:val="45"/>
              <w:bidi w:val="0"/>
              <w:rPr>
                <w:rFonts w:hint="default" w:eastAsia="宋体"/>
                <w:highlight w:val="none"/>
                <w:lang w:val="en-US" w:eastAsia="zh-CN"/>
              </w:rPr>
            </w:pPr>
            <w:r>
              <w:rPr>
                <w:rFonts w:hint="eastAsia"/>
                <w:highlight w:val="none"/>
                <w:lang w:val="en-US" w:eastAsia="zh-CN"/>
              </w:rPr>
              <w:t>0.03</w:t>
            </w:r>
          </w:p>
        </w:tc>
      </w:tr>
      <w:tr w14:paraId="7915BF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28DD82">
            <w:pPr>
              <w:pStyle w:val="45"/>
              <w:bidi w:val="0"/>
              <w:rPr>
                <w:rFonts w:hint="eastAsia"/>
                <w:highlight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CF38E">
            <w:pPr>
              <w:pStyle w:val="45"/>
              <w:bidi w:val="0"/>
              <w:rPr>
                <w:rFonts w:hint="eastAsia"/>
                <w:highlight w:val="none"/>
              </w:rPr>
            </w:pPr>
          </w:p>
        </w:tc>
        <w:tc>
          <w:tcPr>
            <w:tcW w:w="97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67B16">
            <w:pPr>
              <w:pStyle w:val="45"/>
              <w:bidi w:val="0"/>
              <w:rPr>
                <w:rFonts w:hint="eastAsia"/>
                <w:highlight w:val="none"/>
              </w:rPr>
            </w:pPr>
          </w:p>
        </w:tc>
        <w:tc>
          <w:tcPr>
            <w:tcW w:w="13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3E7D1">
            <w:pPr>
              <w:pStyle w:val="45"/>
              <w:bidi w:val="0"/>
              <w:rPr>
                <w:rFonts w:hint="eastAsia"/>
                <w:highlight w:val="none"/>
              </w:rPr>
            </w:pPr>
            <w:r>
              <w:rPr>
                <w:rFonts w:hint="eastAsia"/>
                <w:highlight w:val="none"/>
                <w:lang w:val="en-US" w:eastAsia="zh-CN"/>
              </w:rPr>
              <w:t>母液带走</w:t>
            </w:r>
          </w:p>
        </w:tc>
        <w:tc>
          <w:tcPr>
            <w:tcW w:w="10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6B97C">
            <w:pPr>
              <w:pStyle w:val="45"/>
              <w:bidi w:val="0"/>
              <w:rPr>
                <w:rFonts w:hint="default" w:eastAsia="宋体"/>
                <w:highlight w:val="none"/>
                <w:lang w:val="en-US" w:eastAsia="zh-CN"/>
              </w:rPr>
            </w:pPr>
            <w:r>
              <w:rPr>
                <w:rFonts w:hint="eastAsia"/>
                <w:highlight w:val="none"/>
                <w:lang w:val="en-US" w:eastAsia="zh-CN"/>
              </w:rPr>
              <w:t>0.13</w:t>
            </w:r>
          </w:p>
        </w:tc>
      </w:tr>
      <w:tr w14:paraId="3CE884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0625D">
            <w:pPr>
              <w:pStyle w:val="45"/>
              <w:bidi w:val="0"/>
              <w:rPr>
                <w:rFonts w:hint="eastAsia"/>
                <w:highlight w:val="none"/>
              </w:rPr>
            </w:pPr>
            <w:r>
              <w:rPr>
                <w:rFonts w:hint="eastAsia"/>
                <w:highlight w:val="none"/>
                <w:lang w:val="en-US" w:eastAsia="zh-CN"/>
              </w:rPr>
              <w:t>合计</w:t>
            </w:r>
          </w:p>
        </w:tc>
        <w:tc>
          <w:tcPr>
            <w:tcW w:w="6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42EA9">
            <w:pPr>
              <w:pStyle w:val="45"/>
              <w:bidi w:val="0"/>
              <w:rPr>
                <w:rFonts w:hint="eastAsia"/>
                <w:highlight w:val="none"/>
              </w:rPr>
            </w:pPr>
            <w:r>
              <w:rPr>
                <w:rFonts w:hint="eastAsia"/>
                <w:highlight w:val="none"/>
                <w:lang w:val="en-US" w:eastAsia="zh-CN"/>
              </w:rPr>
              <w:t>0.2</w:t>
            </w:r>
          </w:p>
        </w:tc>
        <w:tc>
          <w:tcPr>
            <w:tcW w:w="233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CD73C">
            <w:pPr>
              <w:pStyle w:val="45"/>
              <w:bidi w:val="0"/>
              <w:rPr>
                <w:rFonts w:hint="eastAsia"/>
                <w:highlight w:val="none"/>
              </w:rPr>
            </w:pPr>
            <w:r>
              <w:rPr>
                <w:rFonts w:hint="eastAsia"/>
                <w:highlight w:val="none"/>
                <w:lang w:val="en-US" w:eastAsia="zh-CN"/>
              </w:rPr>
              <w:t>合计</w:t>
            </w:r>
          </w:p>
        </w:tc>
        <w:tc>
          <w:tcPr>
            <w:tcW w:w="6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9A12C">
            <w:pPr>
              <w:pStyle w:val="45"/>
              <w:bidi w:val="0"/>
              <w:rPr>
                <w:rFonts w:hint="default"/>
                <w:highlight w:val="none"/>
                <w:lang w:val="en-US" w:eastAsia="zh-CN"/>
              </w:rPr>
            </w:pPr>
            <w:r>
              <w:rPr>
                <w:rFonts w:hint="eastAsia"/>
                <w:highlight w:val="none"/>
                <w:lang w:val="en-US" w:eastAsia="zh-CN"/>
              </w:rPr>
              <w:t>0.2</w:t>
            </w:r>
          </w:p>
        </w:tc>
      </w:tr>
    </w:tbl>
    <w:p w14:paraId="5E701234">
      <w:pPr>
        <w:ind w:left="0" w:leftChars="0" w:firstLine="0" w:firstLineChars="0"/>
        <w:rPr>
          <w:highlight w:val="yellow"/>
        </w:rPr>
      </w:pPr>
    </w:p>
    <w:p w14:paraId="193DC49D">
      <w:pPr>
        <w:spacing w:line="240" w:lineRule="auto"/>
        <w:ind w:left="0" w:leftChars="0" w:firstLine="0" w:firstLineChars="0"/>
        <w:jc w:val="center"/>
        <w:rPr>
          <w:rFonts w:hint="eastAsia" w:eastAsia="宋体"/>
          <w:highlight w:val="none"/>
          <w:lang w:val="en-US" w:eastAsia="zh-CN"/>
        </w:rPr>
      </w:pPr>
      <w:r>
        <w:rPr>
          <w:rFonts w:hint="eastAsia" w:eastAsia="宋体"/>
          <w:highlight w:val="none"/>
          <w:lang w:val="en-US" w:eastAsia="zh-CN"/>
        </w:rPr>
        <w:object>
          <v:shape id="_x0000_i1031" o:spt="75" type="#_x0000_t75" style="height:145.3pt;width:342.4pt;" o:ole="t" filled="f" o:preferrelative="t" stroked="f" coordsize="21600,21600">
            <v:path/>
            <v:fill on="f" focussize="0,0"/>
            <v:stroke on="f"/>
            <v:imagedata r:id="rId32" o:title=""/>
            <o:lock v:ext="edit" aspectratio="f"/>
            <w10:wrap type="none"/>
            <w10:anchorlock/>
          </v:shape>
          <o:OLEObject Type="Embed" ProgID="Visio.Drawing.15" ShapeID="_x0000_i1031" DrawAspect="Content" ObjectID="_1468075731" r:id="rId31">
            <o:LockedField>false</o:LockedField>
          </o:OLEObject>
        </w:object>
      </w:r>
    </w:p>
    <w:p w14:paraId="3E545B98">
      <w:pPr>
        <w:pStyle w:val="42"/>
        <w:numPr>
          <w:ilvl w:val="6"/>
          <w:numId w:val="1"/>
        </w:numPr>
        <w:rPr>
          <w:rFonts w:hint="default"/>
          <w:highlight w:val="none"/>
        </w:rPr>
      </w:pPr>
      <w:r>
        <w:rPr>
          <w:highlight w:val="none"/>
        </w:rPr>
        <w:t>氯酸钠生产</w:t>
      </w:r>
      <w:r>
        <w:rPr>
          <w:rFonts w:hint="eastAsia"/>
          <w:highlight w:val="none"/>
          <w:lang w:val="en-US" w:eastAsia="zh-CN"/>
        </w:rPr>
        <w:t>铬</w:t>
      </w:r>
      <w:r>
        <w:rPr>
          <w:highlight w:val="none"/>
        </w:rPr>
        <w:t>元素平衡示意图（单位：</w:t>
      </w:r>
      <w:r>
        <w:rPr>
          <w:rFonts w:hint="eastAsia"/>
          <w:highlight w:val="none"/>
          <w:lang w:val="en-US" w:eastAsia="zh-CN"/>
        </w:rPr>
        <w:t>t/</w:t>
      </w:r>
      <w:r>
        <w:rPr>
          <w:highlight w:val="none"/>
        </w:rPr>
        <w:t>a）</w:t>
      </w:r>
    </w:p>
    <w:p w14:paraId="725BD43C">
      <w:pPr>
        <w:spacing w:line="240" w:lineRule="auto"/>
        <w:ind w:left="0" w:leftChars="0" w:firstLine="0" w:firstLineChars="0"/>
        <w:rPr>
          <w:rFonts w:hint="eastAsia" w:eastAsia="宋体"/>
          <w:highlight w:val="none"/>
          <w:lang w:val="en-US" w:eastAsia="zh-CN"/>
        </w:rPr>
      </w:pPr>
    </w:p>
    <w:p w14:paraId="7A1DFF9F">
      <w:pPr>
        <w:pStyle w:val="5"/>
        <w:numPr>
          <w:ilvl w:val="3"/>
          <w:numId w:val="1"/>
        </w:numPr>
      </w:pPr>
      <w:r>
        <w:rPr>
          <w:rFonts w:hint="eastAsia"/>
          <w:lang w:val="en-US" w:eastAsia="zh-CN"/>
        </w:rPr>
        <w:t>二次电解装置</w:t>
      </w:r>
      <w:r>
        <w:rPr>
          <w:rFonts w:hint="eastAsia"/>
        </w:rPr>
        <w:t>生产平衡分析</w:t>
      </w:r>
    </w:p>
    <w:p w14:paraId="623C69D8">
      <w:pPr>
        <w:ind w:firstLine="480"/>
      </w:pPr>
      <w:r>
        <w:rPr>
          <w:rFonts w:hint="eastAsia"/>
        </w:rPr>
        <w:t>本项目</w:t>
      </w:r>
      <w:r>
        <w:rPr>
          <w:rFonts w:hint="eastAsia"/>
          <w:lang w:val="en-US" w:eastAsia="zh-CN"/>
        </w:rPr>
        <w:t>二次电解</w:t>
      </w:r>
      <w:r>
        <w:rPr>
          <w:rFonts w:hint="eastAsia"/>
        </w:rPr>
        <w:t>装置为连续生产，</w:t>
      </w:r>
      <w:r>
        <w:rPr>
          <w:rFonts w:hint="eastAsia"/>
          <w:lang w:val="en-US" w:eastAsia="zh-CN"/>
        </w:rPr>
        <w:t>设计生产规模为年产20000</w:t>
      </w:r>
      <w:r>
        <w:t>吨</w:t>
      </w:r>
      <w:r>
        <w:rPr>
          <w:rFonts w:hint="eastAsia"/>
          <w:lang w:val="en-US" w:eastAsia="zh-CN"/>
        </w:rPr>
        <w:t>高氯酸钠</w:t>
      </w:r>
      <w:r>
        <w:rPr>
          <w:rFonts w:hint="eastAsia"/>
          <w:lang w:eastAsia="zh-CN"/>
        </w:rPr>
        <w:t>。</w:t>
      </w:r>
      <w:r>
        <w:rPr>
          <w:rFonts w:hint="eastAsia"/>
        </w:rPr>
        <w:t>物料平衡依据化学反应方程式质量守恒来核算。核算过程如下：</w:t>
      </w:r>
    </w:p>
    <w:p w14:paraId="3941AB1F">
      <w:pPr>
        <w:ind w:firstLine="480"/>
      </w:pPr>
      <w:r>
        <w:rPr>
          <w:rFonts w:hint="eastAsia"/>
        </w:rPr>
        <w:t>总反应式：</w:t>
      </w:r>
      <w:r>
        <w:rPr>
          <w:rFonts w:hint="eastAsia"/>
          <w:position w:val="-12"/>
        </w:rPr>
        <w:object>
          <v:shape id="_x0000_i1032" o:spt="75" type="#_x0000_t75" style="height:20.2pt;width:189.25pt;" o:ole="t" filled="f" o:preferrelative="t" stroked="f" coordsize="21600,21600">
            <v:path/>
            <v:fill on="f" focussize="0,0"/>
            <v:stroke on="f" joinstyle="miter"/>
            <v:imagedata r:id="rId34" o:title=""/>
            <o:lock v:ext="edit" aspectratio="t"/>
            <w10:wrap type="none"/>
            <w10:anchorlock/>
          </v:shape>
          <o:OLEObject Type="Embed" ProgID="Equation.KSEE3" ShapeID="_x0000_i1032" DrawAspect="Content" ObjectID="_1468075732" r:id="rId33">
            <o:LockedField>false</o:LockedField>
          </o:OLEObject>
        </w:object>
      </w:r>
    </w:p>
    <w:p w14:paraId="33BF1976">
      <w:pPr>
        <w:ind w:firstLine="480"/>
      </w:pPr>
      <w:r>
        <w:t>年产</w:t>
      </w:r>
      <w:r>
        <w:rPr>
          <w:rFonts w:hint="eastAsia"/>
          <w:lang w:val="en-US" w:eastAsia="zh-CN"/>
        </w:rPr>
        <w:t>2</w:t>
      </w:r>
      <w:r>
        <w:rPr>
          <w:rFonts w:hint="eastAsia"/>
        </w:rPr>
        <w:t>0000</w:t>
      </w:r>
      <w:r>
        <w:t>吨高氯酸钠</w:t>
      </w:r>
      <w:r>
        <w:rPr>
          <w:rFonts w:hint="eastAsia"/>
        </w:rPr>
        <w:t>生产装置</w:t>
      </w:r>
      <w:r>
        <w:t>所需物料反应量</w:t>
      </w:r>
      <w:r>
        <w:rPr>
          <w:rFonts w:hint="eastAsia"/>
        </w:rPr>
        <w:t>见下表。</w:t>
      </w:r>
    </w:p>
    <w:p w14:paraId="64410803">
      <w:pPr>
        <w:keepNext/>
        <w:numPr>
          <w:ilvl w:val="5"/>
          <w:numId w:val="1"/>
        </w:numPr>
        <w:snapToGrid w:val="0"/>
        <w:spacing w:line="240" w:lineRule="auto"/>
        <w:ind w:firstLine="420" w:firstLineChars="0"/>
        <w:jc w:val="center"/>
        <w:rPr>
          <w:b/>
          <w:bCs/>
          <w:sz w:val="21"/>
          <w:szCs w:val="21"/>
        </w:rPr>
      </w:pPr>
      <w:r>
        <w:rPr>
          <w:rFonts w:hint="eastAsia"/>
          <w:b/>
          <w:bCs/>
          <w:sz w:val="21"/>
          <w:szCs w:val="21"/>
        </w:rPr>
        <w:t>高氯酸钠生产</w:t>
      </w:r>
      <w:r>
        <w:rPr>
          <w:b/>
          <w:bCs/>
          <w:sz w:val="21"/>
          <w:szCs w:val="21"/>
        </w:rPr>
        <w:t>装置所需物料反应量</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22"/>
        <w:gridCol w:w="1261"/>
        <w:gridCol w:w="1324"/>
        <w:gridCol w:w="1679"/>
        <w:gridCol w:w="1033"/>
      </w:tblGrid>
      <w:tr w14:paraId="4B22E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891" w:type="pct"/>
            <w:vAlign w:val="center"/>
          </w:tcPr>
          <w:p w14:paraId="43A3DFB1">
            <w:pPr>
              <w:pStyle w:val="45"/>
              <w:rPr>
                <w:rFonts w:hint="default"/>
                <w:b/>
                <w:bCs/>
              </w:rPr>
            </w:pPr>
            <w:r>
              <w:rPr>
                <w:b/>
                <w:bCs/>
              </w:rPr>
              <w:t>化学反应物质</w:t>
            </w:r>
          </w:p>
        </w:tc>
        <w:tc>
          <w:tcPr>
            <w:tcW w:w="740" w:type="pct"/>
            <w:vAlign w:val="center"/>
          </w:tcPr>
          <w:p w14:paraId="4E2FB46A">
            <w:pPr>
              <w:pStyle w:val="45"/>
              <w:rPr>
                <w:rFonts w:hint="default"/>
                <w:b/>
                <w:bCs/>
              </w:rPr>
            </w:pPr>
            <w:r>
              <w:rPr>
                <w:b/>
                <w:bCs/>
              </w:rPr>
              <w:t>NaClO</w:t>
            </w:r>
            <w:r>
              <w:rPr>
                <w:b/>
                <w:bCs/>
                <w:vertAlign w:val="subscript"/>
              </w:rPr>
              <w:t>3</w:t>
            </w:r>
          </w:p>
        </w:tc>
        <w:tc>
          <w:tcPr>
            <w:tcW w:w="777" w:type="pct"/>
            <w:vAlign w:val="center"/>
          </w:tcPr>
          <w:p w14:paraId="12A66029">
            <w:pPr>
              <w:pStyle w:val="45"/>
              <w:rPr>
                <w:rFonts w:hint="default"/>
                <w:b/>
                <w:bCs/>
              </w:rPr>
            </w:pPr>
            <w:r>
              <w:rPr>
                <w:b/>
                <w:bCs/>
              </w:rPr>
              <w:t>2H</w:t>
            </w:r>
            <w:r>
              <w:rPr>
                <w:b/>
                <w:bCs/>
                <w:vertAlign w:val="subscript"/>
              </w:rPr>
              <w:t>2</w:t>
            </w:r>
            <w:r>
              <w:rPr>
                <w:b/>
                <w:bCs/>
              </w:rPr>
              <w:t>O</w:t>
            </w:r>
          </w:p>
        </w:tc>
        <w:tc>
          <w:tcPr>
            <w:tcW w:w="985" w:type="pct"/>
            <w:vAlign w:val="center"/>
          </w:tcPr>
          <w:p w14:paraId="099CA7FD">
            <w:pPr>
              <w:pStyle w:val="45"/>
              <w:rPr>
                <w:rFonts w:hint="default"/>
                <w:b/>
                <w:bCs/>
              </w:rPr>
            </w:pPr>
            <w:r>
              <w:rPr>
                <w:b/>
                <w:bCs/>
              </w:rPr>
              <w:t>NaClO</w:t>
            </w:r>
            <w:r>
              <w:rPr>
                <w:b/>
                <w:bCs/>
                <w:vertAlign w:val="subscript"/>
              </w:rPr>
              <w:t>4</w:t>
            </w:r>
            <w:r>
              <w:rPr>
                <w:b/>
                <w:bCs/>
              </w:rPr>
              <w:t>·H</w:t>
            </w:r>
            <w:r>
              <w:rPr>
                <w:b/>
                <w:bCs/>
                <w:vertAlign w:val="subscript"/>
              </w:rPr>
              <w:t>2</w:t>
            </w:r>
            <w:r>
              <w:rPr>
                <w:b/>
                <w:bCs/>
              </w:rPr>
              <w:t>O</w:t>
            </w:r>
          </w:p>
        </w:tc>
        <w:tc>
          <w:tcPr>
            <w:tcW w:w="606" w:type="pct"/>
            <w:vAlign w:val="center"/>
          </w:tcPr>
          <w:p w14:paraId="1502033B">
            <w:pPr>
              <w:pStyle w:val="45"/>
              <w:rPr>
                <w:rFonts w:hint="default"/>
                <w:b/>
                <w:bCs/>
              </w:rPr>
            </w:pPr>
            <w:r>
              <w:rPr>
                <w:b/>
                <w:bCs/>
              </w:rPr>
              <w:t>H</w:t>
            </w:r>
            <w:r>
              <w:rPr>
                <w:b/>
                <w:bCs/>
                <w:vertAlign w:val="subscript"/>
              </w:rPr>
              <w:t>2</w:t>
            </w:r>
          </w:p>
        </w:tc>
      </w:tr>
      <w:tr w14:paraId="3B2B6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91" w:type="pct"/>
            <w:vAlign w:val="center"/>
          </w:tcPr>
          <w:p w14:paraId="5646A851">
            <w:pPr>
              <w:pStyle w:val="45"/>
              <w:rPr>
                <w:rFonts w:hint="default"/>
                <w:b/>
                <w:bCs/>
              </w:rPr>
            </w:pPr>
            <w:r>
              <w:rPr>
                <w:b/>
                <w:bCs/>
              </w:rPr>
              <w:t>分子量</w:t>
            </w:r>
          </w:p>
        </w:tc>
        <w:tc>
          <w:tcPr>
            <w:tcW w:w="740" w:type="pct"/>
            <w:vAlign w:val="center"/>
          </w:tcPr>
          <w:p w14:paraId="173E1C61">
            <w:pPr>
              <w:pStyle w:val="45"/>
              <w:rPr>
                <w:rFonts w:hint="default"/>
              </w:rPr>
            </w:pPr>
            <w:r>
              <w:t>106.5</w:t>
            </w:r>
          </w:p>
        </w:tc>
        <w:tc>
          <w:tcPr>
            <w:tcW w:w="777" w:type="pct"/>
            <w:vAlign w:val="center"/>
          </w:tcPr>
          <w:p w14:paraId="01C3FF66">
            <w:pPr>
              <w:pStyle w:val="45"/>
              <w:rPr>
                <w:rFonts w:hint="default"/>
              </w:rPr>
            </w:pPr>
            <w:r>
              <w:t>36</w:t>
            </w:r>
          </w:p>
        </w:tc>
        <w:tc>
          <w:tcPr>
            <w:tcW w:w="985" w:type="pct"/>
            <w:vAlign w:val="center"/>
          </w:tcPr>
          <w:p w14:paraId="4ECDF587">
            <w:pPr>
              <w:pStyle w:val="45"/>
              <w:rPr>
                <w:rFonts w:hint="default"/>
              </w:rPr>
            </w:pPr>
            <w:r>
              <w:t>140.5</w:t>
            </w:r>
          </w:p>
        </w:tc>
        <w:tc>
          <w:tcPr>
            <w:tcW w:w="606" w:type="pct"/>
            <w:vAlign w:val="center"/>
          </w:tcPr>
          <w:p w14:paraId="0F834314">
            <w:pPr>
              <w:pStyle w:val="45"/>
              <w:rPr>
                <w:rFonts w:hint="default"/>
              </w:rPr>
            </w:pPr>
            <w:r>
              <w:t>2</w:t>
            </w:r>
          </w:p>
        </w:tc>
      </w:tr>
      <w:tr w14:paraId="36791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91" w:type="pct"/>
            <w:vAlign w:val="center"/>
          </w:tcPr>
          <w:p w14:paraId="2D688186">
            <w:pPr>
              <w:pStyle w:val="45"/>
              <w:rPr>
                <w:rFonts w:hint="default"/>
                <w:b/>
                <w:bCs/>
              </w:rPr>
            </w:pPr>
            <w:r>
              <w:rPr>
                <w:b/>
                <w:bCs/>
              </w:rPr>
              <w:t>折纯量（t/a）</w:t>
            </w:r>
          </w:p>
        </w:tc>
        <w:tc>
          <w:tcPr>
            <w:tcW w:w="1261" w:type="dxa"/>
            <w:vAlign w:val="center"/>
          </w:tcPr>
          <w:p w14:paraId="1AD04092">
            <w:pPr>
              <w:pStyle w:val="45"/>
              <w:bidi w:val="0"/>
              <w:rPr>
                <w:rFonts w:hint="default"/>
              </w:rPr>
            </w:pPr>
            <w:r>
              <w:rPr>
                <w:rFonts w:hint="default"/>
                <w:lang w:val="en-US" w:eastAsia="zh-CN"/>
              </w:rPr>
              <w:t>15160.14</w:t>
            </w:r>
          </w:p>
        </w:tc>
        <w:tc>
          <w:tcPr>
            <w:tcW w:w="1324" w:type="dxa"/>
            <w:vAlign w:val="center"/>
          </w:tcPr>
          <w:p w14:paraId="707338E7">
            <w:pPr>
              <w:pStyle w:val="45"/>
              <w:bidi w:val="0"/>
              <w:rPr>
                <w:rFonts w:hint="default"/>
              </w:rPr>
            </w:pPr>
            <w:r>
              <w:rPr>
                <w:rFonts w:hint="default"/>
                <w:lang w:val="en-US" w:eastAsia="zh-CN"/>
              </w:rPr>
              <w:t>5124.56</w:t>
            </w:r>
          </w:p>
        </w:tc>
        <w:tc>
          <w:tcPr>
            <w:tcW w:w="1679" w:type="dxa"/>
            <w:vAlign w:val="center"/>
          </w:tcPr>
          <w:p w14:paraId="6026EE74">
            <w:pPr>
              <w:pStyle w:val="45"/>
              <w:bidi w:val="0"/>
              <w:rPr>
                <w:rFonts w:hint="default"/>
                <w:lang w:val="en-US" w:eastAsia="zh-CN"/>
              </w:rPr>
            </w:pPr>
            <w:r>
              <w:rPr>
                <w:rFonts w:hint="default"/>
                <w:lang w:val="en-US" w:eastAsia="zh-CN"/>
              </w:rPr>
              <w:t>20000</w:t>
            </w:r>
          </w:p>
        </w:tc>
        <w:tc>
          <w:tcPr>
            <w:tcW w:w="1033" w:type="dxa"/>
            <w:vAlign w:val="center"/>
          </w:tcPr>
          <w:p w14:paraId="248A0887">
            <w:pPr>
              <w:pStyle w:val="45"/>
              <w:bidi w:val="0"/>
              <w:rPr>
                <w:rFonts w:hint="default"/>
                <w:lang w:val="en-US" w:eastAsia="zh-CN"/>
              </w:rPr>
            </w:pPr>
            <w:r>
              <w:rPr>
                <w:rFonts w:hint="default"/>
                <w:lang w:val="en-US" w:eastAsia="zh-CN"/>
              </w:rPr>
              <w:t>284.7</w:t>
            </w:r>
          </w:p>
        </w:tc>
      </w:tr>
    </w:tbl>
    <w:p w14:paraId="36724BFF">
      <w:pPr>
        <w:spacing w:line="240" w:lineRule="auto"/>
        <w:ind w:firstLine="0" w:firstLineChars="0"/>
      </w:pPr>
    </w:p>
    <w:p w14:paraId="4AB0D588">
      <w:pPr>
        <w:ind w:firstLine="480"/>
        <w:rPr>
          <w:rFonts w:hint="eastAsia"/>
          <w:lang w:eastAsia="zh-CN"/>
        </w:rPr>
      </w:pPr>
      <w:r>
        <w:rPr>
          <w:rFonts w:hint="eastAsia"/>
        </w:rPr>
        <w:t>结合工程分析和物料平衡，二次电解氯酸钠</w:t>
      </w:r>
      <w:r>
        <w:rPr>
          <w:rFonts w:hint="eastAsia"/>
          <w:lang w:val="en-US" w:eastAsia="zh-CN"/>
        </w:rPr>
        <w:t>转化</w:t>
      </w:r>
      <w:r>
        <w:rPr>
          <w:rFonts w:hint="eastAsia"/>
        </w:rPr>
        <w:t>率约为95.8%，高氯酸钠收率约为95.1%</w:t>
      </w:r>
      <w:r>
        <w:rPr>
          <w:rFonts w:hint="eastAsia"/>
          <w:lang w:eastAsia="zh-CN"/>
        </w:rPr>
        <w:t>。</w:t>
      </w:r>
    </w:p>
    <w:p w14:paraId="44C3B2C0">
      <w:pPr>
        <w:numPr>
          <w:ilvl w:val="0"/>
          <w:numId w:val="7"/>
        </w:numPr>
        <w:ind w:firstLine="480"/>
        <w:outlineLvl w:val="4"/>
        <w:rPr>
          <w:rFonts w:hint="eastAsia"/>
          <w:b/>
          <w:bCs/>
        </w:rPr>
      </w:pPr>
      <w:r>
        <w:rPr>
          <w:rFonts w:hint="eastAsia"/>
          <w:b/>
          <w:bCs/>
        </w:rPr>
        <w:t>高氯酸钠生产物料平衡</w:t>
      </w:r>
    </w:p>
    <w:p w14:paraId="64CFD2CB">
      <w:pPr>
        <w:pStyle w:val="43"/>
        <w:numPr>
          <w:ilvl w:val="5"/>
          <w:numId w:val="1"/>
        </w:numPr>
        <w:rPr>
          <w:rFonts w:hint="default"/>
        </w:rPr>
      </w:pPr>
      <w:r>
        <w:t>高氯酸钠生产</w:t>
      </w:r>
      <w:r>
        <w:rPr>
          <w:rFonts w:hint="eastAsia"/>
          <w:lang w:val="en-US" w:eastAsia="zh-CN"/>
        </w:rPr>
        <w:t>物料</w:t>
      </w:r>
      <w:r>
        <w:t>平衡一览表</w:t>
      </w:r>
    </w:p>
    <w:tbl>
      <w:tblPr>
        <w:tblStyle w:val="32"/>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91"/>
        <w:gridCol w:w="750"/>
        <w:gridCol w:w="1300"/>
        <w:gridCol w:w="1067"/>
        <w:gridCol w:w="1278"/>
        <w:gridCol w:w="1017"/>
        <w:gridCol w:w="1616"/>
      </w:tblGrid>
      <w:tr w14:paraId="0D5978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31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E8B40">
            <w:pPr>
              <w:pStyle w:val="45"/>
              <w:bidi w:val="0"/>
              <w:rPr>
                <w:rFonts w:hint="eastAsia"/>
              </w:rPr>
            </w:pPr>
            <w:r>
              <w:rPr>
                <w:rFonts w:hint="eastAsia"/>
                <w:lang w:val="en-US" w:eastAsia="zh-CN"/>
              </w:rPr>
              <w:t>投入（</w:t>
            </w:r>
            <w:r>
              <w:rPr>
                <w:rFonts w:hint="default"/>
                <w:lang w:val="en-US" w:eastAsia="zh-CN"/>
              </w:rPr>
              <w:t>t</w:t>
            </w:r>
            <w:r>
              <w:rPr>
                <w:rFonts w:hint="eastAsia"/>
                <w:lang w:val="en-US" w:eastAsia="zh-CN"/>
              </w:rPr>
              <w:t>）</w:t>
            </w:r>
          </w:p>
        </w:tc>
        <w:tc>
          <w:tcPr>
            <w:tcW w:w="7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82208">
            <w:pPr>
              <w:pStyle w:val="45"/>
              <w:bidi w:val="0"/>
              <w:rPr>
                <w:rFonts w:hint="eastAsia"/>
              </w:rPr>
            </w:pPr>
            <w:r>
              <w:rPr>
                <w:rFonts w:hint="eastAsia"/>
                <w:lang w:val="en-US" w:eastAsia="zh-CN"/>
              </w:rPr>
              <w:t>备注</w:t>
            </w:r>
          </w:p>
        </w:tc>
        <w:tc>
          <w:tcPr>
            <w:tcW w:w="197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B65EB">
            <w:pPr>
              <w:pStyle w:val="45"/>
              <w:bidi w:val="0"/>
              <w:rPr>
                <w:rFonts w:hint="eastAsia"/>
              </w:rPr>
            </w:pPr>
            <w:r>
              <w:rPr>
                <w:rFonts w:hint="eastAsia"/>
                <w:lang w:val="en-US" w:eastAsia="zh-CN"/>
              </w:rPr>
              <w:t>产出（</w:t>
            </w:r>
            <w:r>
              <w:rPr>
                <w:rFonts w:hint="default"/>
                <w:lang w:val="en-US" w:eastAsia="zh-CN"/>
              </w:rPr>
              <w:t>t</w:t>
            </w:r>
            <w:r>
              <w:rPr>
                <w:rFonts w:hint="eastAsia"/>
                <w:lang w:val="en-US" w:eastAsia="zh-CN"/>
              </w:rPr>
              <w:t>）</w:t>
            </w:r>
          </w:p>
        </w:tc>
        <w:tc>
          <w:tcPr>
            <w:tcW w:w="9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82814">
            <w:pPr>
              <w:pStyle w:val="45"/>
              <w:bidi w:val="0"/>
              <w:rPr>
                <w:rFonts w:hint="eastAsia"/>
              </w:rPr>
            </w:pPr>
            <w:r>
              <w:rPr>
                <w:rFonts w:hint="eastAsia"/>
                <w:lang w:val="en-US" w:eastAsia="zh-CN"/>
              </w:rPr>
              <w:t>备注</w:t>
            </w:r>
          </w:p>
        </w:tc>
      </w:tr>
      <w:tr w14:paraId="4B7695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8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A64B7">
            <w:pPr>
              <w:pStyle w:val="45"/>
              <w:bidi w:val="0"/>
              <w:rPr>
                <w:rFonts w:hint="eastAsia"/>
              </w:rPr>
            </w:pPr>
            <w:r>
              <w:rPr>
                <w:rFonts w:hint="eastAsia"/>
                <w:lang w:val="en-US" w:eastAsia="zh-CN"/>
              </w:rPr>
              <w:t>氯酸钠</w:t>
            </w:r>
          </w:p>
        </w:tc>
        <w:tc>
          <w:tcPr>
            <w:tcW w:w="4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B3729">
            <w:pPr>
              <w:pStyle w:val="45"/>
              <w:bidi w:val="0"/>
              <w:rPr>
                <w:rFonts w:hint="eastAsia"/>
              </w:rPr>
            </w:pPr>
            <w:r>
              <w:rPr>
                <w:rFonts w:hint="eastAsia"/>
                <w:lang w:val="en-US" w:eastAsia="zh-CN"/>
              </w:rPr>
              <w:t>16000</w:t>
            </w:r>
          </w:p>
        </w:tc>
        <w:tc>
          <w:tcPr>
            <w:tcW w:w="7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F5658">
            <w:pPr>
              <w:pStyle w:val="45"/>
              <w:bidi w:val="0"/>
              <w:rPr>
                <w:rFonts w:hint="eastAsia"/>
              </w:rPr>
            </w:pPr>
            <w:r>
              <w:rPr>
                <w:rFonts w:hint="eastAsia"/>
                <w:lang w:val="en-US" w:eastAsia="zh-CN"/>
              </w:rPr>
              <w:t>部分外购</w:t>
            </w:r>
          </w:p>
        </w:tc>
        <w:tc>
          <w:tcPr>
            <w:tcW w:w="6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2F6C3">
            <w:pPr>
              <w:pStyle w:val="45"/>
              <w:bidi w:val="0"/>
              <w:rPr>
                <w:rFonts w:hint="eastAsia"/>
              </w:rPr>
            </w:pPr>
            <w:r>
              <w:rPr>
                <w:rFonts w:hint="eastAsia"/>
                <w:lang w:val="en-US" w:eastAsia="zh-CN"/>
              </w:rPr>
              <w:t>产品</w:t>
            </w:r>
          </w:p>
        </w:tc>
        <w:tc>
          <w:tcPr>
            <w:tcW w:w="7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30FE7">
            <w:pPr>
              <w:pStyle w:val="45"/>
              <w:bidi w:val="0"/>
              <w:rPr>
                <w:rFonts w:hint="eastAsia"/>
              </w:rPr>
            </w:pPr>
            <w:r>
              <w:rPr>
                <w:rFonts w:hint="eastAsia"/>
                <w:lang w:val="en-US" w:eastAsia="zh-CN"/>
              </w:rPr>
              <w:t>高氯酸钠</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E5B37">
            <w:pPr>
              <w:pStyle w:val="45"/>
              <w:bidi w:val="0"/>
              <w:rPr>
                <w:rFonts w:hint="eastAsia"/>
              </w:rPr>
            </w:pPr>
            <w:r>
              <w:rPr>
                <w:rFonts w:hint="eastAsia"/>
                <w:lang w:val="en-US" w:eastAsia="zh-CN"/>
              </w:rPr>
              <w:t>20000</w:t>
            </w:r>
          </w:p>
        </w:tc>
        <w:tc>
          <w:tcPr>
            <w:tcW w:w="9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7A379">
            <w:pPr>
              <w:pStyle w:val="45"/>
              <w:bidi w:val="0"/>
              <w:rPr>
                <w:rFonts w:hint="eastAsia"/>
              </w:rPr>
            </w:pPr>
            <w:r>
              <w:rPr>
                <w:rFonts w:hint="eastAsia"/>
                <w:lang w:val="en-US" w:eastAsia="zh-CN"/>
              </w:rPr>
              <w:t>99.5%（湿品）</w:t>
            </w:r>
          </w:p>
        </w:tc>
      </w:tr>
      <w:tr w14:paraId="5D238E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8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BD532">
            <w:pPr>
              <w:pStyle w:val="45"/>
              <w:bidi w:val="0"/>
              <w:rPr>
                <w:rFonts w:hint="eastAsia"/>
              </w:rPr>
            </w:pPr>
            <w:r>
              <w:rPr>
                <w:rFonts w:hint="eastAsia"/>
                <w:lang w:val="en-US" w:eastAsia="zh-CN"/>
              </w:rPr>
              <w:t>氯化钡</w:t>
            </w:r>
          </w:p>
        </w:tc>
        <w:tc>
          <w:tcPr>
            <w:tcW w:w="4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7F7E3">
            <w:pPr>
              <w:pStyle w:val="45"/>
              <w:bidi w:val="0"/>
              <w:rPr>
                <w:rFonts w:hint="eastAsia"/>
              </w:rPr>
            </w:pPr>
            <w:r>
              <w:rPr>
                <w:rFonts w:hint="eastAsia"/>
                <w:lang w:val="en-US" w:eastAsia="zh-CN"/>
              </w:rPr>
              <w:t>20</w:t>
            </w:r>
          </w:p>
        </w:tc>
        <w:tc>
          <w:tcPr>
            <w:tcW w:w="7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475CE">
            <w:pPr>
              <w:pStyle w:val="45"/>
              <w:bidi w:val="0"/>
              <w:rPr>
                <w:rFonts w:hint="eastAsia"/>
              </w:rPr>
            </w:pPr>
          </w:p>
        </w:tc>
        <w:tc>
          <w:tcPr>
            <w:tcW w:w="62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3E6CB6">
            <w:pPr>
              <w:pStyle w:val="45"/>
              <w:bidi w:val="0"/>
              <w:rPr>
                <w:rFonts w:hint="eastAsia"/>
              </w:rPr>
            </w:pPr>
            <w:r>
              <w:rPr>
                <w:rFonts w:hint="eastAsia"/>
                <w:lang w:val="en-US" w:eastAsia="zh-CN"/>
              </w:rPr>
              <w:t>电解尾气</w:t>
            </w:r>
          </w:p>
        </w:tc>
        <w:tc>
          <w:tcPr>
            <w:tcW w:w="7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817188">
            <w:pPr>
              <w:pStyle w:val="45"/>
              <w:bidi w:val="0"/>
              <w:rPr>
                <w:rFonts w:hint="eastAsia"/>
              </w:rPr>
            </w:pPr>
            <w:r>
              <w:rPr>
                <w:rFonts w:hint="eastAsia"/>
                <w:lang w:val="en-US" w:eastAsia="zh-CN"/>
              </w:rPr>
              <w:t>氢气</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1E71E">
            <w:pPr>
              <w:pStyle w:val="45"/>
              <w:bidi w:val="0"/>
              <w:rPr>
                <w:rFonts w:hint="eastAsia"/>
              </w:rPr>
            </w:pPr>
            <w:r>
              <w:rPr>
                <w:rFonts w:hint="eastAsia"/>
                <w:lang w:val="en-US" w:eastAsia="zh-CN"/>
              </w:rPr>
              <w:t>284.1</w:t>
            </w:r>
          </w:p>
        </w:tc>
        <w:tc>
          <w:tcPr>
            <w:tcW w:w="94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EB75E9">
            <w:pPr>
              <w:pStyle w:val="45"/>
              <w:bidi w:val="0"/>
              <w:rPr>
                <w:rFonts w:hint="eastAsia"/>
              </w:rPr>
            </w:pPr>
            <w:r>
              <w:rPr>
                <w:rFonts w:hint="eastAsia"/>
                <w:lang w:val="en-US" w:eastAsia="zh-CN"/>
              </w:rPr>
              <w:t>小计1819.64</w:t>
            </w:r>
          </w:p>
        </w:tc>
      </w:tr>
      <w:tr w14:paraId="113493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8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5A0F5E">
            <w:pPr>
              <w:pStyle w:val="45"/>
              <w:bidi w:val="0"/>
              <w:rPr>
                <w:rFonts w:hint="eastAsia"/>
              </w:rPr>
            </w:pPr>
            <w:r>
              <w:rPr>
                <w:rFonts w:hint="eastAsia"/>
                <w:lang w:val="en-US" w:eastAsia="zh-CN"/>
              </w:rPr>
              <w:t>氯酸钠化盐水</w:t>
            </w:r>
          </w:p>
        </w:tc>
        <w:tc>
          <w:tcPr>
            <w:tcW w:w="4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0013E">
            <w:pPr>
              <w:pStyle w:val="45"/>
              <w:bidi w:val="0"/>
              <w:rPr>
                <w:rFonts w:hint="eastAsia"/>
              </w:rPr>
            </w:pPr>
            <w:r>
              <w:rPr>
                <w:rFonts w:hint="eastAsia"/>
                <w:lang w:val="en-US" w:eastAsia="zh-CN"/>
              </w:rPr>
              <w:t>19500</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8B0230">
            <w:pPr>
              <w:pStyle w:val="45"/>
              <w:bidi w:val="0"/>
              <w:rPr>
                <w:rFonts w:hint="eastAsia"/>
              </w:rPr>
            </w:pPr>
            <w:r>
              <w:rPr>
                <w:rFonts w:hint="eastAsia"/>
                <w:lang w:val="en-US" w:eastAsia="zh-CN"/>
              </w:rPr>
              <w:t>纯水、回用冷凝水</w:t>
            </w:r>
          </w:p>
        </w:tc>
        <w:tc>
          <w:tcPr>
            <w:tcW w:w="62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7937C">
            <w:pPr>
              <w:pStyle w:val="45"/>
              <w:bidi w:val="0"/>
              <w:rPr>
                <w:rFonts w:hint="eastAsia"/>
              </w:rPr>
            </w:pPr>
          </w:p>
        </w:tc>
        <w:tc>
          <w:tcPr>
            <w:tcW w:w="7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AD9A8">
            <w:pPr>
              <w:pStyle w:val="45"/>
              <w:bidi w:val="0"/>
              <w:rPr>
                <w:rFonts w:hint="eastAsia"/>
              </w:rPr>
            </w:pPr>
            <w:r>
              <w:rPr>
                <w:rFonts w:hint="eastAsia"/>
                <w:lang w:val="en-US" w:eastAsia="zh-CN"/>
              </w:rPr>
              <w:t>氧气</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16704D">
            <w:pPr>
              <w:pStyle w:val="45"/>
              <w:bidi w:val="0"/>
              <w:rPr>
                <w:rFonts w:hint="eastAsia"/>
              </w:rPr>
            </w:pPr>
            <w:r>
              <w:rPr>
                <w:rFonts w:hint="eastAsia"/>
                <w:lang w:val="en-US" w:eastAsia="zh-CN"/>
              </w:rPr>
              <w:t>4.32</w:t>
            </w:r>
          </w:p>
        </w:tc>
        <w:tc>
          <w:tcPr>
            <w:tcW w:w="94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574613">
            <w:pPr>
              <w:pStyle w:val="45"/>
              <w:bidi w:val="0"/>
              <w:rPr>
                <w:rFonts w:hint="eastAsia"/>
              </w:rPr>
            </w:pPr>
          </w:p>
        </w:tc>
      </w:tr>
      <w:tr w14:paraId="397D5C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8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B5B91">
            <w:pPr>
              <w:pStyle w:val="45"/>
              <w:bidi w:val="0"/>
              <w:rPr>
                <w:rFonts w:hint="eastAsia"/>
              </w:rPr>
            </w:pPr>
          </w:p>
        </w:tc>
        <w:tc>
          <w:tcPr>
            <w:tcW w:w="4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E1081">
            <w:pPr>
              <w:pStyle w:val="45"/>
              <w:bidi w:val="0"/>
              <w:rPr>
                <w:rFonts w:hint="eastAsia"/>
              </w:rPr>
            </w:pPr>
            <w:r>
              <w:rPr>
                <w:rFonts w:hint="eastAsia"/>
                <w:lang w:val="en-US" w:eastAsia="zh-CN"/>
              </w:rPr>
              <w:t>0</w:t>
            </w:r>
          </w:p>
        </w:tc>
        <w:tc>
          <w:tcPr>
            <w:tcW w:w="7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D3E054">
            <w:pPr>
              <w:pStyle w:val="45"/>
              <w:bidi w:val="0"/>
              <w:rPr>
                <w:rFonts w:hint="eastAsia"/>
              </w:rPr>
            </w:pPr>
          </w:p>
        </w:tc>
        <w:tc>
          <w:tcPr>
            <w:tcW w:w="62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72AA9">
            <w:pPr>
              <w:pStyle w:val="45"/>
              <w:bidi w:val="0"/>
              <w:rPr>
                <w:rFonts w:hint="eastAsia"/>
              </w:rPr>
            </w:pPr>
          </w:p>
        </w:tc>
        <w:tc>
          <w:tcPr>
            <w:tcW w:w="7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B189E">
            <w:pPr>
              <w:pStyle w:val="45"/>
              <w:bidi w:val="0"/>
              <w:rPr>
                <w:rFonts w:hint="eastAsia"/>
              </w:rPr>
            </w:pPr>
            <w:r>
              <w:rPr>
                <w:rFonts w:hint="eastAsia"/>
                <w:lang w:val="en-US" w:eastAsia="zh-CN"/>
              </w:rPr>
              <w:t>氯气</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A4E5D2">
            <w:pPr>
              <w:pStyle w:val="45"/>
              <w:bidi w:val="0"/>
              <w:rPr>
                <w:rFonts w:hint="eastAsia"/>
              </w:rPr>
            </w:pPr>
            <w:r>
              <w:rPr>
                <w:rFonts w:hint="eastAsia"/>
                <w:lang w:val="en-US" w:eastAsia="zh-CN"/>
              </w:rPr>
              <w:t>1.5</w:t>
            </w:r>
          </w:p>
        </w:tc>
        <w:tc>
          <w:tcPr>
            <w:tcW w:w="94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FA40D">
            <w:pPr>
              <w:pStyle w:val="45"/>
              <w:bidi w:val="0"/>
              <w:rPr>
                <w:rFonts w:hint="eastAsia"/>
              </w:rPr>
            </w:pPr>
          </w:p>
        </w:tc>
      </w:tr>
      <w:tr w14:paraId="5A20DC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8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727A26">
            <w:pPr>
              <w:pStyle w:val="45"/>
              <w:bidi w:val="0"/>
              <w:rPr>
                <w:rFonts w:hint="eastAsia"/>
              </w:rPr>
            </w:pPr>
          </w:p>
        </w:tc>
        <w:tc>
          <w:tcPr>
            <w:tcW w:w="4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2ED1E">
            <w:pPr>
              <w:pStyle w:val="45"/>
              <w:bidi w:val="0"/>
              <w:rPr>
                <w:rFonts w:hint="eastAsia"/>
              </w:rPr>
            </w:pPr>
            <w:r>
              <w:rPr>
                <w:rFonts w:hint="eastAsia"/>
                <w:lang w:val="en-US" w:eastAsia="zh-CN"/>
              </w:rPr>
              <w:t>0</w:t>
            </w:r>
          </w:p>
        </w:tc>
        <w:tc>
          <w:tcPr>
            <w:tcW w:w="7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6397F">
            <w:pPr>
              <w:pStyle w:val="45"/>
              <w:bidi w:val="0"/>
              <w:rPr>
                <w:rFonts w:hint="eastAsia"/>
              </w:rPr>
            </w:pPr>
          </w:p>
        </w:tc>
        <w:tc>
          <w:tcPr>
            <w:tcW w:w="62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1BFDC7">
            <w:pPr>
              <w:pStyle w:val="45"/>
              <w:bidi w:val="0"/>
              <w:rPr>
                <w:rFonts w:hint="eastAsia"/>
              </w:rPr>
            </w:pPr>
          </w:p>
        </w:tc>
        <w:tc>
          <w:tcPr>
            <w:tcW w:w="7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42599">
            <w:pPr>
              <w:pStyle w:val="45"/>
              <w:bidi w:val="0"/>
              <w:rPr>
                <w:rFonts w:hint="eastAsia"/>
              </w:rPr>
            </w:pPr>
            <w:r>
              <w:rPr>
                <w:rFonts w:hint="eastAsia"/>
                <w:lang w:val="en-US" w:eastAsia="zh-CN"/>
              </w:rPr>
              <w:t>氯化氢</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C4327C">
            <w:pPr>
              <w:pStyle w:val="45"/>
              <w:bidi w:val="0"/>
              <w:rPr>
                <w:rFonts w:hint="eastAsia"/>
              </w:rPr>
            </w:pPr>
            <w:r>
              <w:rPr>
                <w:rFonts w:hint="eastAsia"/>
                <w:lang w:val="en-US" w:eastAsia="zh-CN"/>
              </w:rPr>
              <w:t>1.74</w:t>
            </w:r>
          </w:p>
        </w:tc>
        <w:tc>
          <w:tcPr>
            <w:tcW w:w="94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88ABA">
            <w:pPr>
              <w:pStyle w:val="45"/>
              <w:bidi w:val="0"/>
              <w:rPr>
                <w:rFonts w:hint="eastAsia"/>
              </w:rPr>
            </w:pPr>
          </w:p>
        </w:tc>
      </w:tr>
      <w:tr w14:paraId="5D06D0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8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06C4B">
            <w:pPr>
              <w:pStyle w:val="45"/>
              <w:bidi w:val="0"/>
              <w:rPr>
                <w:rFonts w:hint="eastAsia"/>
              </w:rPr>
            </w:pPr>
          </w:p>
        </w:tc>
        <w:tc>
          <w:tcPr>
            <w:tcW w:w="4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D8315F">
            <w:pPr>
              <w:pStyle w:val="45"/>
              <w:bidi w:val="0"/>
              <w:rPr>
                <w:rFonts w:hint="eastAsia"/>
              </w:rPr>
            </w:pPr>
            <w:r>
              <w:rPr>
                <w:rFonts w:hint="eastAsia"/>
                <w:lang w:val="en-US" w:eastAsia="zh-CN"/>
              </w:rPr>
              <w:t>0</w:t>
            </w:r>
          </w:p>
        </w:tc>
        <w:tc>
          <w:tcPr>
            <w:tcW w:w="7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BCFD2F">
            <w:pPr>
              <w:pStyle w:val="45"/>
              <w:bidi w:val="0"/>
              <w:rPr>
                <w:rFonts w:hint="eastAsia"/>
              </w:rPr>
            </w:pPr>
          </w:p>
        </w:tc>
        <w:tc>
          <w:tcPr>
            <w:tcW w:w="62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E14FD">
            <w:pPr>
              <w:pStyle w:val="45"/>
              <w:bidi w:val="0"/>
              <w:rPr>
                <w:rFonts w:hint="eastAsia"/>
              </w:rPr>
            </w:pPr>
          </w:p>
        </w:tc>
        <w:tc>
          <w:tcPr>
            <w:tcW w:w="7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1A4C3">
            <w:pPr>
              <w:pStyle w:val="45"/>
              <w:bidi w:val="0"/>
              <w:rPr>
                <w:rFonts w:hint="eastAsia"/>
              </w:rPr>
            </w:pPr>
            <w:r>
              <w:rPr>
                <w:rFonts w:hint="eastAsia"/>
                <w:lang w:val="en-US" w:eastAsia="zh-CN"/>
              </w:rPr>
              <w:t>水蒸气</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40511">
            <w:pPr>
              <w:pStyle w:val="45"/>
              <w:bidi w:val="0"/>
              <w:rPr>
                <w:rFonts w:hint="eastAsia"/>
              </w:rPr>
            </w:pPr>
            <w:r>
              <w:rPr>
                <w:rFonts w:hint="eastAsia"/>
                <w:lang w:val="en-US" w:eastAsia="zh-CN"/>
              </w:rPr>
              <w:t>1527.98</w:t>
            </w:r>
          </w:p>
        </w:tc>
        <w:tc>
          <w:tcPr>
            <w:tcW w:w="94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4469A">
            <w:pPr>
              <w:pStyle w:val="45"/>
              <w:bidi w:val="0"/>
              <w:rPr>
                <w:rFonts w:hint="eastAsia"/>
              </w:rPr>
            </w:pPr>
          </w:p>
        </w:tc>
      </w:tr>
      <w:tr w14:paraId="2FAE47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8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B46D5B">
            <w:pPr>
              <w:pStyle w:val="45"/>
              <w:bidi w:val="0"/>
              <w:rPr>
                <w:rFonts w:hint="eastAsia"/>
              </w:rPr>
            </w:pPr>
          </w:p>
        </w:tc>
        <w:tc>
          <w:tcPr>
            <w:tcW w:w="4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7AC110">
            <w:pPr>
              <w:pStyle w:val="45"/>
              <w:bidi w:val="0"/>
              <w:rPr>
                <w:rFonts w:hint="eastAsia"/>
              </w:rPr>
            </w:pPr>
            <w:r>
              <w:rPr>
                <w:rFonts w:hint="eastAsia"/>
                <w:lang w:val="en-US" w:eastAsia="zh-CN"/>
              </w:rPr>
              <w:t>0</w:t>
            </w:r>
          </w:p>
        </w:tc>
        <w:tc>
          <w:tcPr>
            <w:tcW w:w="7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EA8A2">
            <w:pPr>
              <w:pStyle w:val="45"/>
              <w:bidi w:val="0"/>
              <w:rPr>
                <w:rFonts w:hint="eastAsia"/>
              </w:rPr>
            </w:pPr>
          </w:p>
        </w:tc>
        <w:tc>
          <w:tcPr>
            <w:tcW w:w="6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97DF09">
            <w:pPr>
              <w:pStyle w:val="45"/>
              <w:bidi w:val="0"/>
              <w:rPr>
                <w:rFonts w:hint="eastAsia"/>
              </w:rPr>
            </w:pPr>
            <w:r>
              <w:rPr>
                <w:rFonts w:hint="eastAsia"/>
                <w:lang w:val="en-US" w:eastAsia="zh-CN"/>
              </w:rPr>
              <w:t>废水</w:t>
            </w:r>
          </w:p>
        </w:tc>
        <w:tc>
          <w:tcPr>
            <w:tcW w:w="7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7B9A88">
            <w:pPr>
              <w:pStyle w:val="45"/>
              <w:bidi w:val="0"/>
              <w:rPr>
                <w:rFonts w:hint="eastAsia"/>
              </w:rPr>
            </w:pPr>
            <w:r>
              <w:rPr>
                <w:rFonts w:hint="eastAsia"/>
                <w:lang w:val="en-US" w:eastAsia="zh-CN"/>
              </w:rPr>
              <w:t>真空冷凝水</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4C0F3">
            <w:pPr>
              <w:pStyle w:val="45"/>
              <w:bidi w:val="0"/>
              <w:rPr>
                <w:rFonts w:hint="eastAsia"/>
              </w:rPr>
            </w:pPr>
            <w:r>
              <w:rPr>
                <w:rFonts w:hint="eastAsia"/>
                <w:lang w:val="en-US" w:eastAsia="zh-CN"/>
              </w:rPr>
              <w:t>13641.26</w:t>
            </w:r>
          </w:p>
        </w:tc>
        <w:tc>
          <w:tcPr>
            <w:tcW w:w="9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8B59A">
            <w:pPr>
              <w:pStyle w:val="45"/>
              <w:bidi w:val="0"/>
              <w:rPr>
                <w:rFonts w:hint="eastAsia"/>
              </w:rPr>
            </w:pPr>
          </w:p>
        </w:tc>
      </w:tr>
      <w:tr w14:paraId="7C0884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8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87ACF">
            <w:pPr>
              <w:pStyle w:val="45"/>
              <w:bidi w:val="0"/>
              <w:rPr>
                <w:rFonts w:hint="eastAsia"/>
              </w:rPr>
            </w:pPr>
          </w:p>
        </w:tc>
        <w:tc>
          <w:tcPr>
            <w:tcW w:w="4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881E3">
            <w:pPr>
              <w:pStyle w:val="45"/>
              <w:bidi w:val="0"/>
              <w:rPr>
                <w:rFonts w:hint="eastAsia"/>
              </w:rPr>
            </w:pPr>
            <w:r>
              <w:rPr>
                <w:rFonts w:hint="eastAsia"/>
                <w:lang w:val="en-US" w:eastAsia="zh-CN"/>
              </w:rPr>
              <w:t>0</w:t>
            </w:r>
          </w:p>
        </w:tc>
        <w:tc>
          <w:tcPr>
            <w:tcW w:w="7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4116E4">
            <w:pPr>
              <w:pStyle w:val="45"/>
              <w:bidi w:val="0"/>
              <w:rPr>
                <w:rFonts w:hint="eastAsia"/>
              </w:rPr>
            </w:pPr>
          </w:p>
        </w:tc>
        <w:tc>
          <w:tcPr>
            <w:tcW w:w="62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148C23">
            <w:pPr>
              <w:pStyle w:val="45"/>
              <w:bidi w:val="0"/>
              <w:rPr>
                <w:rFonts w:hint="eastAsia"/>
              </w:rPr>
            </w:pPr>
            <w:r>
              <w:rPr>
                <w:rFonts w:hint="eastAsia"/>
                <w:lang w:val="en-US" w:eastAsia="zh-CN"/>
              </w:rPr>
              <w:t>固体废物</w:t>
            </w:r>
          </w:p>
        </w:tc>
        <w:tc>
          <w:tcPr>
            <w:tcW w:w="7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D385B0">
            <w:pPr>
              <w:pStyle w:val="45"/>
              <w:bidi w:val="0"/>
              <w:rPr>
                <w:rFonts w:hint="eastAsia"/>
              </w:rPr>
            </w:pPr>
            <w:r>
              <w:rPr>
                <w:rFonts w:hint="eastAsia"/>
                <w:lang w:val="en-US" w:eastAsia="zh-CN"/>
              </w:rPr>
              <w:t>电解槽沉渣</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DE46B">
            <w:pPr>
              <w:pStyle w:val="45"/>
              <w:bidi w:val="0"/>
              <w:rPr>
                <w:rFonts w:hint="eastAsia"/>
              </w:rPr>
            </w:pPr>
            <w:r>
              <w:rPr>
                <w:rFonts w:hint="eastAsia"/>
                <w:lang w:val="en-US" w:eastAsia="zh-CN"/>
              </w:rPr>
              <w:t>5.1</w:t>
            </w:r>
          </w:p>
        </w:tc>
        <w:tc>
          <w:tcPr>
            <w:tcW w:w="9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93CD4">
            <w:pPr>
              <w:pStyle w:val="45"/>
              <w:bidi w:val="0"/>
              <w:rPr>
                <w:rFonts w:hint="eastAsia"/>
              </w:rPr>
            </w:pPr>
            <w:r>
              <w:rPr>
                <w:rFonts w:hint="eastAsia"/>
                <w:lang w:val="en-US" w:eastAsia="zh-CN"/>
              </w:rPr>
              <w:t>含钡渣</w:t>
            </w:r>
          </w:p>
        </w:tc>
      </w:tr>
      <w:tr w14:paraId="5CA28E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8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11722">
            <w:pPr>
              <w:pStyle w:val="45"/>
              <w:bidi w:val="0"/>
              <w:rPr>
                <w:rFonts w:hint="eastAsia"/>
              </w:rPr>
            </w:pPr>
          </w:p>
        </w:tc>
        <w:tc>
          <w:tcPr>
            <w:tcW w:w="4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82A17">
            <w:pPr>
              <w:pStyle w:val="45"/>
              <w:bidi w:val="0"/>
              <w:rPr>
                <w:rFonts w:hint="eastAsia"/>
              </w:rPr>
            </w:pPr>
            <w:r>
              <w:rPr>
                <w:rFonts w:hint="eastAsia"/>
                <w:lang w:val="en-US" w:eastAsia="zh-CN"/>
              </w:rPr>
              <w:t>0</w:t>
            </w:r>
          </w:p>
        </w:tc>
        <w:tc>
          <w:tcPr>
            <w:tcW w:w="7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FFBAD">
            <w:pPr>
              <w:pStyle w:val="45"/>
              <w:bidi w:val="0"/>
              <w:rPr>
                <w:rFonts w:hint="eastAsia"/>
              </w:rPr>
            </w:pPr>
          </w:p>
        </w:tc>
        <w:tc>
          <w:tcPr>
            <w:tcW w:w="62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C1FFF">
            <w:pPr>
              <w:pStyle w:val="45"/>
              <w:bidi w:val="0"/>
              <w:rPr>
                <w:rFonts w:hint="eastAsia"/>
              </w:rPr>
            </w:pPr>
          </w:p>
        </w:tc>
        <w:tc>
          <w:tcPr>
            <w:tcW w:w="7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A7616">
            <w:pPr>
              <w:pStyle w:val="45"/>
              <w:bidi w:val="0"/>
              <w:rPr>
                <w:rFonts w:hint="eastAsia"/>
              </w:rPr>
            </w:pPr>
            <w:r>
              <w:rPr>
                <w:rFonts w:hint="eastAsia"/>
                <w:lang w:val="en-US" w:eastAsia="zh-CN"/>
              </w:rPr>
              <w:t>含铬滤渣</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71F9E8">
            <w:pPr>
              <w:pStyle w:val="45"/>
              <w:bidi w:val="0"/>
              <w:rPr>
                <w:rFonts w:hint="eastAsia"/>
              </w:rPr>
            </w:pPr>
            <w:r>
              <w:rPr>
                <w:rFonts w:hint="eastAsia"/>
                <w:lang w:val="en-US" w:eastAsia="zh-CN"/>
              </w:rPr>
              <w:t>54</w:t>
            </w:r>
          </w:p>
        </w:tc>
        <w:tc>
          <w:tcPr>
            <w:tcW w:w="9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61F75">
            <w:pPr>
              <w:pStyle w:val="45"/>
              <w:bidi w:val="0"/>
              <w:rPr>
                <w:rFonts w:hint="eastAsia"/>
              </w:rPr>
            </w:pPr>
            <w:r>
              <w:rPr>
                <w:rFonts w:hint="eastAsia"/>
                <w:lang w:val="en-US" w:eastAsia="zh-CN"/>
              </w:rPr>
              <w:t>含铬渣</w:t>
            </w:r>
          </w:p>
        </w:tc>
      </w:tr>
      <w:tr w14:paraId="0B7195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8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84C2A">
            <w:pPr>
              <w:pStyle w:val="45"/>
              <w:bidi w:val="0"/>
              <w:rPr>
                <w:rFonts w:hint="eastAsia"/>
              </w:rPr>
            </w:pPr>
            <w:r>
              <w:rPr>
                <w:rFonts w:hint="eastAsia"/>
                <w:lang w:val="en-US" w:eastAsia="zh-CN"/>
              </w:rPr>
              <w:t>合计</w:t>
            </w:r>
          </w:p>
        </w:tc>
        <w:tc>
          <w:tcPr>
            <w:tcW w:w="4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2B70D">
            <w:pPr>
              <w:pStyle w:val="45"/>
              <w:bidi w:val="0"/>
              <w:rPr>
                <w:rFonts w:hint="eastAsia"/>
              </w:rPr>
            </w:pPr>
            <w:r>
              <w:rPr>
                <w:rFonts w:hint="eastAsia"/>
                <w:lang w:val="en-US" w:eastAsia="zh-CN"/>
              </w:rPr>
              <w:t>35520</w:t>
            </w:r>
          </w:p>
        </w:tc>
        <w:tc>
          <w:tcPr>
            <w:tcW w:w="7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81018">
            <w:pPr>
              <w:pStyle w:val="45"/>
              <w:bidi w:val="0"/>
              <w:rPr>
                <w:rFonts w:hint="eastAsia"/>
              </w:rPr>
            </w:pPr>
          </w:p>
        </w:tc>
        <w:tc>
          <w:tcPr>
            <w:tcW w:w="137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14665">
            <w:pPr>
              <w:pStyle w:val="45"/>
              <w:bidi w:val="0"/>
              <w:rPr>
                <w:rFonts w:hint="eastAsia"/>
              </w:rPr>
            </w:pPr>
            <w:r>
              <w:rPr>
                <w:rFonts w:hint="eastAsia"/>
                <w:lang w:val="en-US" w:eastAsia="zh-CN"/>
              </w:rPr>
              <w:t>合计</w:t>
            </w:r>
          </w:p>
        </w:tc>
        <w:tc>
          <w:tcPr>
            <w:tcW w:w="5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4F440">
            <w:pPr>
              <w:pStyle w:val="45"/>
              <w:bidi w:val="0"/>
              <w:rPr>
                <w:rFonts w:hint="eastAsia"/>
              </w:rPr>
            </w:pPr>
            <w:r>
              <w:rPr>
                <w:rFonts w:hint="eastAsia"/>
                <w:lang w:val="en-US" w:eastAsia="zh-CN"/>
              </w:rPr>
              <w:t>35520</w:t>
            </w:r>
          </w:p>
        </w:tc>
        <w:tc>
          <w:tcPr>
            <w:tcW w:w="9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FB9D5A">
            <w:pPr>
              <w:pStyle w:val="45"/>
              <w:bidi w:val="0"/>
              <w:rPr>
                <w:rFonts w:hint="eastAsia"/>
              </w:rPr>
            </w:pPr>
          </w:p>
        </w:tc>
      </w:tr>
    </w:tbl>
    <w:p w14:paraId="63B48496">
      <w:pPr>
        <w:pStyle w:val="45"/>
        <w:bidi w:val="0"/>
        <w:rPr>
          <w:rFonts w:hint="eastAsia"/>
        </w:rPr>
      </w:pPr>
    </w:p>
    <w:p w14:paraId="6350077B">
      <w:pPr>
        <w:ind w:left="0" w:leftChars="0" w:firstLine="0" w:firstLineChars="0"/>
        <w:jc w:val="center"/>
      </w:pPr>
      <w:r>
        <w:object>
          <v:shape id="_x0000_i1033" o:spt="75" type="#_x0000_t75" style="height:333.75pt;width:347.25pt;" o:ole="t" filled="f" o:preferrelative="t" stroked="f" coordsize="21600,21600">
            <v:path/>
            <v:fill on="f" focussize="0,0"/>
            <v:stroke on="f"/>
            <v:imagedata r:id="rId36" o:title=""/>
            <o:lock v:ext="edit" aspectratio="f"/>
            <w10:wrap type="none"/>
            <w10:anchorlock/>
          </v:shape>
          <o:OLEObject Type="Embed" ProgID="Visio.Drawing.15" ShapeID="_x0000_i1033" DrawAspect="Content" ObjectID="_1468075733" r:id="rId35">
            <o:LockedField>false</o:LockedField>
          </o:OLEObject>
        </w:object>
      </w:r>
    </w:p>
    <w:p w14:paraId="3374671A">
      <w:pPr>
        <w:pStyle w:val="42"/>
        <w:bidi w:val="0"/>
        <w:rPr>
          <w:rFonts w:hint="default"/>
        </w:rPr>
      </w:pPr>
      <w:r>
        <w:rPr>
          <w:rFonts w:hint="eastAsia"/>
          <w:lang w:val="en-US" w:eastAsia="zh-CN"/>
        </w:rPr>
        <w:t>高氯酸钠</w:t>
      </w:r>
      <w:r>
        <w:t>生产工艺流程及物料平衡示意图（单位：t/a）</w:t>
      </w:r>
    </w:p>
    <w:p w14:paraId="1E868CE0">
      <w:pPr>
        <w:ind w:left="0" w:leftChars="0" w:firstLine="0" w:firstLineChars="0"/>
        <w:rPr>
          <w:rFonts w:hint="eastAsia"/>
        </w:rPr>
      </w:pPr>
    </w:p>
    <w:p w14:paraId="6BDF3B8E">
      <w:pPr>
        <w:numPr>
          <w:ilvl w:val="0"/>
          <w:numId w:val="7"/>
        </w:numPr>
        <w:ind w:firstLine="480"/>
        <w:outlineLvl w:val="4"/>
        <w:rPr>
          <w:rFonts w:hint="eastAsia"/>
          <w:b/>
          <w:bCs/>
        </w:rPr>
      </w:pPr>
      <w:r>
        <w:rPr>
          <w:rFonts w:hint="eastAsia"/>
          <w:b/>
          <w:bCs/>
        </w:rPr>
        <w:t>高氯酸钠</w:t>
      </w:r>
      <w:r>
        <w:rPr>
          <w:rFonts w:hint="eastAsia"/>
          <w:b/>
          <w:bCs/>
          <w:lang w:val="en-US" w:eastAsia="zh-CN"/>
        </w:rPr>
        <w:t>生产氯元素</w:t>
      </w:r>
      <w:r>
        <w:rPr>
          <w:rFonts w:hint="eastAsia"/>
          <w:b/>
          <w:bCs/>
        </w:rPr>
        <w:t>物料平衡</w:t>
      </w:r>
    </w:p>
    <w:p w14:paraId="681FA59B">
      <w:pPr>
        <w:pStyle w:val="43"/>
        <w:numPr>
          <w:ilvl w:val="5"/>
          <w:numId w:val="1"/>
        </w:numPr>
        <w:rPr>
          <w:rFonts w:hint="default"/>
        </w:rPr>
      </w:pPr>
      <w:r>
        <w:t>高氯酸钠生产</w:t>
      </w:r>
      <w:r>
        <w:rPr>
          <w:rFonts w:hint="eastAsia"/>
          <w:lang w:val="en-US" w:eastAsia="zh-CN"/>
        </w:rPr>
        <w:t>氯元素</w:t>
      </w:r>
      <w:r>
        <w:t>平衡一览表</w:t>
      </w:r>
    </w:p>
    <w:tbl>
      <w:tblPr>
        <w:tblStyle w:val="32"/>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237"/>
        <w:gridCol w:w="1125"/>
        <w:gridCol w:w="1718"/>
        <w:gridCol w:w="2403"/>
        <w:gridCol w:w="1036"/>
      </w:tblGrid>
      <w:tr w14:paraId="4643CA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blHeader/>
        </w:trPr>
        <w:tc>
          <w:tcPr>
            <w:tcW w:w="197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095C4">
            <w:pPr>
              <w:pStyle w:val="45"/>
              <w:bidi w:val="0"/>
              <w:rPr>
                <w:rFonts w:hint="eastAsia"/>
                <w:b/>
                <w:bCs/>
              </w:rPr>
            </w:pPr>
            <w:r>
              <w:rPr>
                <w:rFonts w:hint="eastAsia"/>
                <w:b/>
                <w:bCs/>
                <w:lang w:val="en-US" w:eastAsia="zh-CN"/>
              </w:rPr>
              <w:t>投入（</w:t>
            </w:r>
            <w:r>
              <w:rPr>
                <w:rFonts w:hint="default"/>
                <w:b/>
                <w:bCs/>
                <w:lang w:val="en-US" w:eastAsia="zh-CN"/>
              </w:rPr>
              <w:t>t</w:t>
            </w:r>
            <w:r>
              <w:rPr>
                <w:rFonts w:hint="eastAsia"/>
                <w:b/>
                <w:bCs/>
                <w:lang w:val="en-US" w:eastAsia="zh-CN"/>
              </w:rPr>
              <w:t>）</w:t>
            </w:r>
          </w:p>
        </w:tc>
        <w:tc>
          <w:tcPr>
            <w:tcW w:w="302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72F02">
            <w:pPr>
              <w:pStyle w:val="45"/>
              <w:bidi w:val="0"/>
              <w:rPr>
                <w:rFonts w:hint="eastAsia"/>
                <w:b/>
                <w:bCs/>
              </w:rPr>
            </w:pPr>
            <w:r>
              <w:rPr>
                <w:rFonts w:hint="eastAsia"/>
                <w:b/>
                <w:bCs/>
                <w:lang w:val="en-US" w:eastAsia="zh-CN"/>
              </w:rPr>
              <w:t>产出（</w:t>
            </w:r>
            <w:r>
              <w:rPr>
                <w:rFonts w:hint="default"/>
                <w:b/>
                <w:bCs/>
                <w:lang w:val="en-US" w:eastAsia="zh-CN"/>
              </w:rPr>
              <w:t>t</w:t>
            </w:r>
            <w:r>
              <w:rPr>
                <w:rFonts w:hint="eastAsia"/>
                <w:b/>
                <w:bCs/>
                <w:lang w:val="en-US" w:eastAsia="zh-CN"/>
              </w:rPr>
              <w:t>）</w:t>
            </w:r>
          </w:p>
        </w:tc>
      </w:tr>
      <w:tr w14:paraId="09AE83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BA2A7">
            <w:pPr>
              <w:pStyle w:val="45"/>
              <w:bidi w:val="0"/>
              <w:rPr>
                <w:rFonts w:hint="eastAsia"/>
              </w:rPr>
            </w:pPr>
            <w:r>
              <w:rPr>
                <w:rFonts w:hint="eastAsia"/>
                <w:lang w:val="en-US" w:eastAsia="zh-CN"/>
              </w:rPr>
              <w:t>氯酸钠含氯</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B0CB3">
            <w:pPr>
              <w:pStyle w:val="45"/>
              <w:bidi w:val="0"/>
              <w:rPr>
                <w:rFonts w:hint="eastAsia"/>
              </w:rPr>
            </w:pPr>
            <w:r>
              <w:rPr>
                <w:rFonts w:hint="default"/>
                <w:lang w:val="en-US" w:eastAsia="zh-CN"/>
              </w:rPr>
              <w:t>6048</w:t>
            </w:r>
          </w:p>
        </w:tc>
        <w:tc>
          <w:tcPr>
            <w:tcW w:w="10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884627">
            <w:pPr>
              <w:pStyle w:val="45"/>
              <w:bidi w:val="0"/>
              <w:rPr>
                <w:rFonts w:hint="eastAsia"/>
              </w:rPr>
            </w:pPr>
            <w:r>
              <w:rPr>
                <w:rFonts w:hint="eastAsia"/>
                <w:lang w:val="en-US" w:eastAsia="zh-CN"/>
              </w:rPr>
              <w:t>产品</w:t>
            </w:r>
          </w:p>
        </w:tc>
        <w:tc>
          <w:tcPr>
            <w:tcW w:w="1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E6336">
            <w:pPr>
              <w:pStyle w:val="45"/>
              <w:bidi w:val="0"/>
              <w:rPr>
                <w:rFonts w:hint="eastAsia"/>
              </w:rPr>
            </w:pPr>
            <w:r>
              <w:rPr>
                <w:rFonts w:hint="eastAsia"/>
                <w:lang w:val="en-US" w:eastAsia="zh-CN"/>
              </w:rPr>
              <w:t>高氯酸钠带走</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592793">
            <w:pPr>
              <w:pStyle w:val="45"/>
              <w:bidi w:val="0"/>
              <w:rPr>
                <w:rFonts w:hint="eastAsia"/>
              </w:rPr>
            </w:pPr>
            <w:r>
              <w:rPr>
                <w:rFonts w:hint="default"/>
                <w:lang w:val="en-US" w:eastAsia="zh-CN"/>
              </w:rPr>
              <w:t>5816</w:t>
            </w:r>
          </w:p>
        </w:tc>
      </w:tr>
      <w:tr w14:paraId="1CAB87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4A51E">
            <w:pPr>
              <w:pStyle w:val="45"/>
              <w:bidi w:val="0"/>
              <w:rPr>
                <w:rFonts w:hint="eastAsia"/>
              </w:rPr>
            </w:pPr>
            <w:r>
              <w:rPr>
                <w:rFonts w:hint="eastAsia"/>
                <w:lang w:val="en-US" w:eastAsia="zh-CN"/>
              </w:rPr>
              <w:t>氯化钡含氯</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0A110">
            <w:pPr>
              <w:pStyle w:val="45"/>
              <w:bidi w:val="0"/>
              <w:rPr>
                <w:rFonts w:hint="eastAsia"/>
              </w:rPr>
            </w:pPr>
            <w:r>
              <w:rPr>
                <w:rFonts w:hint="default"/>
                <w:lang w:val="en-US" w:eastAsia="zh-CN"/>
              </w:rPr>
              <w:t>6</w:t>
            </w:r>
          </w:p>
        </w:tc>
        <w:tc>
          <w:tcPr>
            <w:tcW w:w="1008" w:type="pct"/>
            <w:vMerge w:val="restart"/>
            <w:tcBorders>
              <w:top w:val="single" w:color="000000" w:sz="4" w:space="0"/>
              <w:left w:val="single" w:color="000000" w:sz="4" w:space="0"/>
              <w:right w:val="single" w:color="000000" w:sz="4" w:space="0"/>
            </w:tcBorders>
            <w:shd w:val="clear" w:color="auto" w:fill="auto"/>
            <w:noWrap/>
            <w:vAlign w:val="center"/>
          </w:tcPr>
          <w:p w14:paraId="62A8F7ED">
            <w:pPr>
              <w:pStyle w:val="45"/>
              <w:bidi w:val="0"/>
              <w:rPr>
                <w:rFonts w:hint="eastAsia"/>
              </w:rPr>
            </w:pPr>
            <w:r>
              <w:rPr>
                <w:rFonts w:hint="eastAsia"/>
                <w:lang w:val="en-US" w:eastAsia="zh-CN"/>
              </w:rPr>
              <w:t>其他物料</w:t>
            </w:r>
          </w:p>
        </w:tc>
        <w:tc>
          <w:tcPr>
            <w:tcW w:w="1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CA210">
            <w:pPr>
              <w:pStyle w:val="45"/>
              <w:bidi w:val="0"/>
              <w:rPr>
                <w:rFonts w:hint="eastAsia"/>
              </w:rPr>
            </w:pPr>
            <w:r>
              <w:rPr>
                <w:rFonts w:hint="eastAsia"/>
                <w:lang w:val="en-US" w:eastAsia="zh-CN"/>
              </w:rPr>
              <w:t>尾气转化</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4BC5D">
            <w:pPr>
              <w:pStyle w:val="45"/>
              <w:bidi w:val="0"/>
              <w:rPr>
                <w:rFonts w:hint="eastAsia"/>
              </w:rPr>
            </w:pPr>
            <w:r>
              <w:rPr>
                <w:rFonts w:hint="default"/>
                <w:lang w:val="en-US" w:eastAsia="zh-CN"/>
              </w:rPr>
              <w:t>3.2</w:t>
            </w:r>
          </w:p>
        </w:tc>
      </w:tr>
      <w:tr w14:paraId="46DF9F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21B1A">
            <w:pPr>
              <w:pStyle w:val="45"/>
              <w:bidi w:val="0"/>
              <w:rPr>
                <w:rFonts w:hint="eastAsia"/>
              </w:rPr>
            </w:pP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D0468">
            <w:pPr>
              <w:pStyle w:val="45"/>
              <w:bidi w:val="0"/>
              <w:rPr>
                <w:rFonts w:hint="eastAsia"/>
              </w:rPr>
            </w:pPr>
          </w:p>
        </w:tc>
        <w:tc>
          <w:tcPr>
            <w:tcW w:w="1008" w:type="pct"/>
            <w:vMerge w:val="continue"/>
            <w:tcBorders>
              <w:left w:val="single" w:color="000000" w:sz="4" w:space="0"/>
              <w:right w:val="single" w:color="000000" w:sz="4" w:space="0"/>
            </w:tcBorders>
            <w:shd w:val="clear" w:color="auto" w:fill="auto"/>
            <w:noWrap/>
            <w:vAlign w:val="center"/>
          </w:tcPr>
          <w:p w14:paraId="4CCED50B">
            <w:pPr>
              <w:pStyle w:val="45"/>
              <w:bidi w:val="0"/>
              <w:rPr>
                <w:rFonts w:hint="eastAsia"/>
              </w:rPr>
            </w:pPr>
          </w:p>
        </w:tc>
        <w:tc>
          <w:tcPr>
            <w:tcW w:w="1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7311B">
            <w:pPr>
              <w:pStyle w:val="45"/>
              <w:bidi w:val="0"/>
              <w:rPr>
                <w:rFonts w:hint="eastAsia"/>
              </w:rPr>
            </w:pPr>
            <w:r>
              <w:rPr>
                <w:rFonts w:hint="eastAsia"/>
                <w:lang w:val="en-US" w:eastAsia="zh-CN"/>
              </w:rPr>
              <w:t>含铬滤渣带走</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F5A04">
            <w:pPr>
              <w:pStyle w:val="45"/>
              <w:bidi w:val="0"/>
              <w:rPr>
                <w:rFonts w:hint="eastAsia"/>
              </w:rPr>
            </w:pPr>
            <w:r>
              <w:rPr>
                <w:rFonts w:hint="default"/>
                <w:lang w:val="en-US" w:eastAsia="zh-CN"/>
              </w:rPr>
              <w:t>4.8</w:t>
            </w:r>
          </w:p>
        </w:tc>
      </w:tr>
      <w:tr w14:paraId="4F702C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7A903">
            <w:pPr>
              <w:pStyle w:val="45"/>
              <w:bidi w:val="0"/>
              <w:rPr>
                <w:rFonts w:hint="eastAsia"/>
              </w:rPr>
            </w:pP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ABF52">
            <w:pPr>
              <w:pStyle w:val="45"/>
              <w:bidi w:val="0"/>
              <w:rPr>
                <w:rFonts w:hint="eastAsia"/>
              </w:rPr>
            </w:pPr>
          </w:p>
        </w:tc>
        <w:tc>
          <w:tcPr>
            <w:tcW w:w="1008" w:type="pct"/>
            <w:vMerge w:val="continue"/>
            <w:tcBorders>
              <w:left w:val="single" w:color="000000" w:sz="4" w:space="0"/>
              <w:bottom w:val="single" w:color="000000" w:sz="4" w:space="0"/>
              <w:right w:val="single" w:color="000000" w:sz="4" w:space="0"/>
            </w:tcBorders>
            <w:shd w:val="clear" w:color="auto" w:fill="auto"/>
            <w:noWrap/>
            <w:vAlign w:val="center"/>
          </w:tcPr>
          <w:p w14:paraId="1D870D8F">
            <w:pPr>
              <w:pStyle w:val="45"/>
              <w:bidi w:val="0"/>
              <w:rPr>
                <w:rFonts w:hint="eastAsia"/>
              </w:rPr>
            </w:pPr>
          </w:p>
        </w:tc>
        <w:tc>
          <w:tcPr>
            <w:tcW w:w="1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F9A76">
            <w:pPr>
              <w:pStyle w:val="45"/>
              <w:bidi w:val="0"/>
              <w:rPr>
                <w:rFonts w:hint="eastAsia"/>
              </w:rPr>
            </w:pPr>
            <w:r>
              <w:rPr>
                <w:rFonts w:hint="eastAsia"/>
                <w:lang w:val="en-US" w:eastAsia="zh-CN"/>
              </w:rPr>
              <w:t>母液带走</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957BC">
            <w:pPr>
              <w:pStyle w:val="45"/>
              <w:bidi w:val="0"/>
              <w:rPr>
                <w:rFonts w:hint="eastAsia"/>
              </w:rPr>
            </w:pPr>
            <w:r>
              <w:rPr>
                <w:rFonts w:hint="default"/>
                <w:lang w:val="en-US" w:eastAsia="zh-CN"/>
              </w:rPr>
              <w:t>230</w:t>
            </w:r>
          </w:p>
        </w:tc>
      </w:tr>
      <w:tr w14:paraId="6C4D0C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892E6">
            <w:pPr>
              <w:pStyle w:val="45"/>
              <w:bidi w:val="0"/>
              <w:rPr>
                <w:rFonts w:hint="eastAsia"/>
              </w:rPr>
            </w:pPr>
            <w:r>
              <w:rPr>
                <w:rFonts w:hint="eastAsia"/>
                <w:lang w:val="en-US" w:eastAsia="zh-CN"/>
              </w:rPr>
              <w:t>合计</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69A6E">
            <w:pPr>
              <w:pStyle w:val="45"/>
              <w:bidi w:val="0"/>
              <w:rPr>
                <w:rFonts w:hint="eastAsia"/>
              </w:rPr>
            </w:pPr>
            <w:r>
              <w:rPr>
                <w:rFonts w:hint="default"/>
                <w:lang w:val="en-US" w:eastAsia="zh-CN"/>
              </w:rPr>
              <w:t>6054</w:t>
            </w:r>
          </w:p>
        </w:tc>
        <w:tc>
          <w:tcPr>
            <w:tcW w:w="241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95DBA">
            <w:pPr>
              <w:pStyle w:val="45"/>
              <w:bidi w:val="0"/>
              <w:rPr>
                <w:rFonts w:hint="eastAsia"/>
              </w:rPr>
            </w:pPr>
            <w:r>
              <w:rPr>
                <w:rFonts w:hint="eastAsia"/>
                <w:lang w:val="en-US" w:eastAsia="zh-CN"/>
              </w:rPr>
              <w:t>合计</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7064C">
            <w:pPr>
              <w:pStyle w:val="45"/>
              <w:bidi w:val="0"/>
              <w:rPr>
                <w:rFonts w:hint="eastAsia"/>
              </w:rPr>
            </w:pPr>
            <w:r>
              <w:rPr>
                <w:rFonts w:hint="eastAsia"/>
                <w:lang w:val="en-US" w:eastAsia="zh-CN"/>
              </w:rPr>
              <w:t>6054</w:t>
            </w:r>
          </w:p>
        </w:tc>
      </w:tr>
    </w:tbl>
    <w:p w14:paraId="2F61A701">
      <w:pPr>
        <w:ind w:left="0" w:leftChars="0" w:firstLine="0" w:firstLineChars="0"/>
        <w:rPr>
          <w:rFonts w:hint="default"/>
        </w:rPr>
      </w:pPr>
    </w:p>
    <w:p w14:paraId="04E4CBCE">
      <w:pPr>
        <w:ind w:firstLine="0" w:firstLineChars="0"/>
        <w:rPr>
          <w:rFonts w:hint="eastAsia" w:eastAsia="宋体"/>
          <w:lang w:eastAsia="zh-CN"/>
        </w:rPr>
      </w:pPr>
      <w:r>
        <w:rPr>
          <w:rFonts w:hint="eastAsia" w:eastAsia="宋体"/>
          <w:lang w:eastAsia="zh-CN"/>
        </w:rPr>
        <w:object>
          <v:shape id="_x0000_i1034" o:spt="75" type="#_x0000_t75" style="height:134.25pt;width:405pt;" o:ole="t" filled="f" o:preferrelative="t" stroked="f" coordsize="21600,21600">
            <v:path/>
            <v:fill on="f" focussize="0,0"/>
            <v:stroke on="f"/>
            <v:imagedata r:id="rId38" o:title=""/>
            <o:lock v:ext="edit" aspectratio="f"/>
            <w10:wrap type="none"/>
            <w10:anchorlock/>
          </v:shape>
          <o:OLEObject Type="Embed" ProgID="Visio.Drawing.15" ShapeID="_x0000_i1034" DrawAspect="Content" ObjectID="_1468075734" r:id="rId37">
            <o:LockedField>false</o:LockedField>
          </o:OLEObject>
        </w:object>
      </w:r>
    </w:p>
    <w:p w14:paraId="11F7A63B">
      <w:pPr>
        <w:pStyle w:val="42"/>
        <w:numPr>
          <w:ilvl w:val="6"/>
          <w:numId w:val="1"/>
        </w:numPr>
        <w:rPr>
          <w:rFonts w:hint="default"/>
        </w:rPr>
      </w:pPr>
      <w:r>
        <w:t>高氯酸钠生产氯元素平衡示意图（单位：t/a）</w:t>
      </w:r>
    </w:p>
    <w:p w14:paraId="4BCA4A06">
      <w:pPr>
        <w:widowControl w:val="0"/>
        <w:numPr>
          <w:ilvl w:val="0"/>
          <w:numId w:val="0"/>
        </w:numPr>
        <w:adjustRightInd w:val="0"/>
        <w:snapToGrid w:val="0"/>
        <w:spacing w:line="360" w:lineRule="auto"/>
        <w:jc w:val="both"/>
        <w:outlineLvl w:val="9"/>
        <w:rPr>
          <w:rFonts w:hint="eastAsia"/>
          <w:b/>
          <w:bCs/>
        </w:rPr>
      </w:pPr>
    </w:p>
    <w:p w14:paraId="7A0718AC">
      <w:pPr>
        <w:numPr>
          <w:ilvl w:val="0"/>
          <w:numId w:val="7"/>
        </w:numPr>
        <w:ind w:firstLine="480"/>
        <w:outlineLvl w:val="4"/>
        <w:rPr>
          <w:rFonts w:hint="eastAsia"/>
          <w:b/>
          <w:bCs/>
        </w:rPr>
      </w:pPr>
      <w:r>
        <w:rPr>
          <w:rFonts w:hint="eastAsia"/>
          <w:b/>
          <w:bCs/>
        </w:rPr>
        <w:t>高氯酸钠</w:t>
      </w:r>
      <w:r>
        <w:rPr>
          <w:rFonts w:hint="eastAsia"/>
          <w:b/>
          <w:bCs/>
          <w:lang w:val="en-US" w:eastAsia="zh-CN"/>
        </w:rPr>
        <w:t>生产铬元素</w:t>
      </w:r>
      <w:r>
        <w:rPr>
          <w:rFonts w:hint="eastAsia"/>
          <w:b/>
          <w:bCs/>
        </w:rPr>
        <w:t>物料平衡</w:t>
      </w:r>
    </w:p>
    <w:p w14:paraId="12E48EEA">
      <w:pPr>
        <w:pStyle w:val="43"/>
        <w:numPr>
          <w:ilvl w:val="5"/>
          <w:numId w:val="1"/>
        </w:numPr>
        <w:rPr>
          <w:rFonts w:hint="default"/>
        </w:rPr>
      </w:pPr>
      <w:r>
        <w:t>高氯酸钠生产</w:t>
      </w:r>
      <w:r>
        <w:rPr>
          <w:rFonts w:hint="eastAsia"/>
          <w:lang w:val="en-US" w:eastAsia="zh-CN"/>
        </w:rPr>
        <w:t>铬元素</w:t>
      </w:r>
      <w:r>
        <w:t>平衡一览表</w:t>
      </w:r>
    </w:p>
    <w:tbl>
      <w:tblPr>
        <w:tblStyle w:val="32"/>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233"/>
        <w:gridCol w:w="1217"/>
        <w:gridCol w:w="1353"/>
        <w:gridCol w:w="2248"/>
        <w:gridCol w:w="1469"/>
      </w:tblGrid>
      <w:tr w14:paraId="28380F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02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5F1F2">
            <w:pPr>
              <w:pStyle w:val="45"/>
              <w:bidi w:val="0"/>
              <w:rPr>
                <w:rFonts w:hint="eastAsia"/>
                <w:b/>
                <w:bCs/>
              </w:rPr>
            </w:pPr>
            <w:r>
              <w:rPr>
                <w:rFonts w:hint="eastAsia"/>
                <w:b/>
                <w:bCs/>
                <w:lang w:val="en-US" w:eastAsia="zh-CN"/>
              </w:rPr>
              <w:t>投入（</w:t>
            </w:r>
            <w:r>
              <w:rPr>
                <w:rFonts w:hint="default"/>
                <w:b/>
                <w:bCs/>
                <w:lang w:val="en-US" w:eastAsia="zh-CN"/>
              </w:rPr>
              <w:t>t</w:t>
            </w:r>
            <w:r>
              <w:rPr>
                <w:rFonts w:hint="eastAsia"/>
                <w:b/>
                <w:bCs/>
                <w:lang w:val="en-US" w:eastAsia="zh-CN"/>
              </w:rPr>
              <w:t>）</w:t>
            </w:r>
          </w:p>
        </w:tc>
        <w:tc>
          <w:tcPr>
            <w:tcW w:w="29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11234">
            <w:pPr>
              <w:pStyle w:val="45"/>
              <w:bidi w:val="0"/>
              <w:rPr>
                <w:rFonts w:hint="eastAsia"/>
                <w:b/>
                <w:bCs/>
              </w:rPr>
            </w:pPr>
            <w:r>
              <w:rPr>
                <w:rFonts w:hint="eastAsia"/>
                <w:b/>
                <w:bCs/>
                <w:lang w:val="en-US" w:eastAsia="zh-CN"/>
              </w:rPr>
              <w:t>产出（</w:t>
            </w:r>
            <w:r>
              <w:rPr>
                <w:rFonts w:hint="default"/>
                <w:b/>
                <w:bCs/>
                <w:lang w:val="en-US" w:eastAsia="zh-CN"/>
              </w:rPr>
              <w:t>t</w:t>
            </w:r>
            <w:r>
              <w:rPr>
                <w:rFonts w:hint="eastAsia"/>
                <w:b/>
                <w:bCs/>
                <w:lang w:val="en-US" w:eastAsia="zh-CN"/>
              </w:rPr>
              <w:t>）</w:t>
            </w:r>
          </w:p>
        </w:tc>
      </w:tr>
      <w:tr w14:paraId="4AF62F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3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32659">
            <w:pPr>
              <w:pStyle w:val="45"/>
              <w:bidi w:val="0"/>
              <w:rPr>
                <w:rFonts w:hint="eastAsia"/>
              </w:rPr>
            </w:pPr>
            <w:r>
              <w:rPr>
                <w:rFonts w:hint="eastAsia"/>
                <w:lang w:val="en-US" w:eastAsia="zh-CN"/>
              </w:rPr>
              <w:t>氯酸钠含铬</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77E729">
            <w:pPr>
              <w:pStyle w:val="45"/>
              <w:bidi w:val="0"/>
              <w:rPr>
                <w:rFonts w:hint="default"/>
                <w:lang w:val="en-US"/>
              </w:rPr>
            </w:pPr>
            <w:r>
              <w:rPr>
                <w:rFonts w:hint="eastAsia"/>
                <w:lang w:val="en-US" w:eastAsia="zh-CN"/>
              </w:rPr>
              <w:t>0.03</w:t>
            </w:r>
          </w:p>
        </w:tc>
        <w:tc>
          <w:tcPr>
            <w:tcW w:w="7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7750E">
            <w:pPr>
              <w:pStyle w:val="45"/>
              <w:bidi w:val="0"/>
              <w:rPr>
                <w:rFonts w:hint="eastAsia"/>
              </w:rPr>
            </w:pPr>
            <w:r>
              <w:rPr>
                <w:rFonts w:hint="eastAsia"/>
                <w:lang w:val="en-US" w:eastAsia="zh-CN"/>
              </w:rPr>
              <w:t>除铬</w:t>
            </w:r>
          </w:p>
        </w:tc>
        <w:tc>
          <w:tcPr>
            <w:tcW w:w="13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B515D">
            <w:pPr>
              <w:pStyle w:val="45"/>
              <w:bidi w:val="0"/>
              <w:rPr>
                <w:rFonts w:hint="eastAsia"/>
              </w:rPr>
            </w:pPr>
            <w:r>
              <w:rPr>
                <w:rFonts w:hint="eastAsia"/>
                <w:lang w:val="en-US" w:eastAsia="zh-CN"/>
              </w:rPr>
              <w:t>含铬滤渣带走</w:t>
            </w:r>
          </w:p>
        </w:tc>
        <w:tc>
          <w:tcPr>
            <w:tcW w:w="8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9A28C">
            <w:pPr>
              <w:pStyle w:val="45"/>
              <w:bidi w:val="0"/>
              <w:rPr>
                <w:rFonts w:hint="eastAsia"/>
              </w:rPr>
            </w:pPr>
            <w:r>
              <w:rPr>
                <w:rFonts w:hint="eastAsia"/>
                <w:lang w:val="en-US" w:eastAsia="zh-CN"/>
              </w:rPr>
              <w:t>0.03</w:t>
            </w:r>
          </w:p>
        </w:tc>
      </w:tr>
      <w:tr w14:paraId="1EE17F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3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87EF1C">
            <w:pPr>
              <w:pStyle w:val="45"/>
              <w:bidi w:val="0"/>
              <w:rPr>
                <w:rFonts w:hint="eastAsia"/>
              </w:rPr>
            </w:pPr>
            <w:r>
              <w:rPr>
                <w:rFonts w:hint="eastAsia"/>
                <w:lang w:val="en-US" w:eastAsia="zh-CN"/>
              </w:rPr>
              <w:t>合计</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5AF8B">
            <w:pPr>
              <w:pStyle w:val="45"/>
              <w:bidi w:val="0"/>
              <w:rPr>
                <w:rFonts w:hint="eastAsia"/>
              </w:rPr>
            </w:pPr>
            <w:r>
              <w:rPr>
                <w:rFonts w:hint="eastAsia"/>
                <w:lang w:val="en-US" w:eastAsia="zh-CN"/>
              </w:rPr>
              <w:t>0.03</w:t>
            </w:r>
          </w:p>
        </w:tc>
        <w:tc>
          <w:tcPr>
            <w:tcW w:w="211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9D5E5">
            <w:pPr>
              <w:pStyle w:val="45"/>
              <w:bidi w:val="0"/>
              <w:rPr>
                <w:rFonts w:hint="eastAsia"/>
              </w:rPr>
            </w:pPr>
            <w:r>
              <w:rPr>
                <w:rFonts w:hint="eastAsia"/>
                <w:lang w:val="en-US" w:eastAsia="zh-CN"/>
              </w:rPr>
              <w:t>合计</w:t>
            </w:r>
          </w:p>
        </w:tc>
        <w:tc>
          <w:tcPr>
            <w:tcW w:w="8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2D3FC">
            <w:pPr>
              <w:pStyle w:val="45"/>
              <w:bidi w:val="0"/>
              <w:rPr>
                <w:rFonts w:hint="eastAsia"/>
              </w:rPr>
            </w:pPr>
            <w:r>
              <w:rPr>
                <w:rFonts w:hint="eastAsia"/>
                <w:lang w:val="en-US" w:eastAsia="zh-CN"/>
              </w:rPr>
              <w:t>0.03</w:t>
            </w:r>
          </w:p>
        </w:tc>
      </w:tr>
    </w:tbl>
    <w:p w14:paraId="387EFD99">
      <w:pPr>
        <w:widowControl/>
        <w:tabs>
          <w:tab w:val="left" w:pos="420"/>
        </w:tabs>
        <w:spacing w:line="240" w:lineRule="auto"/>
        <w:ind w:firstLine="0" w:firstLineChars="0"/>
        <w:textAlignment w:val="center"/>
        <w:rPr>
          <w:b/>
          <w:bCs/>
          <w:snapToGrid w:val="0"/>
          <w:kern w:val="0"/>
          <w:sz w:val="21"/>
          <w:szCs w:val="21"/>
        </w:rPr>
      </w:pPr>
    </w:p>
    <w:p w14:paraId="34790E17">
      <w:pPr>
        <w:ind w:firstLine="0" w:firstLineChars="0"/>
        <w:jc w:val="center"/>
        <w:rPr>
          <w:rFonts w:hint="eastAsia" w:eastAsia="宋体"/>
          <w:lang w:eastAsia="zh-CN"/>
        </w:rPr>
      </w:pPr>
      <w:r>
        <w:rPr>
          <w:rFonts w:hint="eastAsia" w:eastAsia="宋体"/>
          <w:lang w:eastAsia="zh-CN"/>
        </w:rPr>
        <w:object>
          <v:shape id="_x0000_i1035" o:spt="75" type="#_x0000_t75" style="height:28.5pt;width:323.25pt;" o:ole="t" filled="f" o:preferrelative="t" stroked="f" coordsize="21600,21600">
            <v:path/>
            <v:fill on="f" focussize="0,0"/>
            <v:stroke on="f"/>
            <v:imagedata r:id="rId40" o:title=""/>
            <o:lock v:ext="edit" aspectratio="f"/>
            <w10:wrap type="none"/>
            <w10:anchorlock/>
          </v:shape>
          <o:OLEObject Type="Embed" ProgID="Visio.Drawing.15" ShapeID="_x0000_i1035" DrawAspect="Content" ObjectID="_1468075735" r:id="rId39">
            <o:LockedField>false</o:LockedField>
          </o:OLEObject>
        </w:object>
      </w:r>
    </w:p>
    <w:p w14:paraId="5FAB23CD">
      <w:pPr>
        <w:pStyle w:val="42"/>
        <w:numPr>
          <w:ilvl w:val="6"/>
          <w:numId w:val="1"/>
        </w:numPr>
        <w:rPr>
          <w:rFonts w:hint="default"/>
        </w:rPr>
      </w:pPr>
      <w:r>
        <w:t>高氯酸钠生产</w:t>
      </w:r>
      <w:r>
        <w:rPr>
          <w:rFonts w:hint="eastAsia"/>
          <w:lang w:val="en-US" w:eastAsia="zh-CN"/>
        </w:rPr>
        <w:t>铬</w:t>
      </w:r>
      <w:r>
        <w:t>元素平衡示意图（单位：t/a）</w:t>
      </w:r>
    </w:p>
    <w:p w14:paraId="55083AD3">
      <w:pPr>
        <w:spacing w:line="240" w:lineRule="auto"/>
        <w:ind w:firstLine="0" w:firstLineChars="0"/>
      </w:pPr>
    </w:p>
    <w:p w14:paraId="3659601A">
      <w:pPr>
        <w:pStyle w:val="5"/>
        <w:rPr>
          <w:highlight w:val="none"/>
        </w:rPr>
      </w:pPr>
      <w:r>
        <w:rPr>
          <w:rFonts w:hint="eastAsia"/>
          <w:highlight w:val="none"/>
          <w:lang w:val="en-US" w:eastAsia="zh-CN"/>
        </w:rPr>
        <w:t>复分解</w:t>
      </w:r>
      <w:r>
        <w:rPr>
          <w:rFonts w:hint="eastAsia"/>
          <w:highlight w:val="none"/>
        </w:rPr>
        <w:t>生产</w:t>
      </w:r>
      <w:r>
        <w:rPr>
          <w:rFonts w:hint="eastAsia"/>
          <w:highlight w:val="none"/>
          <w:lang w:val="en-US" w:eastAsia="zh-CN"/>
        </w:rPr>
        <w:t>装置生产</w:t>
      </w:r>
      <w:r>
        <w:rPr>
          <w:rFonts w:hint="eastAsia"/>
          <w:highlight w:val="none"/>
        </w:rPr>
        <w:t>平衡分析</w:t>
      </w:r>
    </w:p>
    <w:p w14:paraId="1E547C8F">
      <w:pPr>
        <w:rPr>
          <w:rFonts w:hint="default" w:eastAsia="宋体"/>
          <w:lang w:val="en-US" w:eastAsia="zh-CN"/>
        </w:rPr>
      </w:pPr>
      <w:r>
        <w:rPr>
          <w:rFonts w:hint="eastAsia"/>
        </w:rPr>
        <w:t>本项目</w:t>
      </w:r>
      <w:r>
        <w:rPr>
          <w:rFonts w:hint="eastAsia"/>
          <w:lang w:val="en-US" w:eastAsia="zh-CN"/>
        </w:rPr>
        <w:t>复分解生产</w:t>
      </w:r>
      <w:r>
        <w:rPr>
          <w:rFonts w:hint="eastAsia"/>
        </w:rPr>
        <w:t>装置为连续生产，</w:t>
      </w:r>
      <w:r>
        <w:rPr>
          <w:rFonts w:hint="eastAsia"/>
          <w:lang w:val="en-US" w:eastAsia="zh-CN"/>
        </w:rPr>
        <w:t>设计生产规模为年产20000吨氯酸钾或年产20000</w:t>
      </w:r>
      <w:r>
        <w:t>吨</w:t>
      </w:r>
      <w:r>
        <w:rPr>
          <w:rFonts w:hint="eastAsia"/>
          <w:lang w:val="en-US" w:eastAsia="zh-CN"/>
        </w:rPr>
        <w:t>高氯酸钾</w:t>
      </w:r>
      <w:r>
        <w:rPr>
          <w:rFonts w:hint="eastAsia"/>
          <w:lang w:eastAsia="zh-CN"/>
        </w:rPr>
        <w:t>。</w:t>
      </w:r>
    </w:p>
    <w:p w14:paraId="748FD51A">
      <w:pPr>
        <w:outlineLvl w:val="4"/>
        <w:rPr>
          <w:rFonts w:hint="default" w:eastAsia="宋体"/>
          <w:b/>
          <w:bCs/>
          <w:highlight w:val="none"/>
          <w:lang w:val="en-US" w:eastAsia="zh-CN"/>
        </w:rPr>
      </w:pPr>
      <w:r>
        <w:rPr>
          <w:rFonts w:hint="eastAsia"/>
          <w:b/>
          <w:bCs/>
          <w:highlight w:val="none"/>
          <w:lang w:val="en-US" w:eastAsia="zh-CN"/>
        </w:rPr>
        <w:t>1、当复分解全部生产氯酸钾时</w:t>
      </w:r>
    </w:p>
    <w:p w14:paraId="5B396A78">
      <w:pPr>
        <w:rPr>
          <w:rFonts w:hint="eastAsia"/>
          <w:highlight w:val="none"/>
          <w:lang w:val="en-US" w:eastAsia="zh-CN"/>
        </w:rPr>
      </w:pPr>
      <w:r>
        <w:rPr>
          <w:rFonts w:hint="eastAsia"/>
          <w:highlight w:val="none"/>
        </w:rPr>
        <w:t>本项目采用</w:t>
      </w:r>
      <w:r>
        <w:rPr>
          <w:rFonts w:hint="eastAsia"/>
          <w:highlight w:val="none"/>
          <w:lang w:val="en-US" w:eastAsia="zh-CN"/>
        </w:rPr>
        <w:t>复分解</w:t>
      </w:r>
      <w:r>
        <w:rPr>
          <w:rFonts w:hint="eastAsia"/>
          <w:highlight w:val="none"/>
        </w:rPr>
        <w:t>法生产氯酸</w:t>
      </w:r>
      <w:r>
        <w:rPr>
          <w:rFonts w:hint="eastAsia"/>
          <w:highlight w:val="none"/>
          <w:lang w:val="en-US" w:eastAsia="zh-CN"/>
        </w:rPr>
        <w:t>钾</w:t>
      </w:r>
      <w:r>
        <w:rPr>
          <w:rFonts w:hint="eastAsia"/>
          <w:highlight w:val="none"/>
          <w:lang w:eastAsia="zh-CN"/>
        </w:rPr>
        <w:t>。</w:t>
      </w:r>
      <w:r>
        <w:rPr>
          <w:rFonts w:hint="eastAsia"/>
          <w:highlight w:val="none"/>
          <w:lang w:val="en-US" w:eastAsia="zh-CN"/>
        </w:rPr>
        <w:t>氯酸钠与一定量的氯化钾进行复分解反应，反应液经冷却结晶、干燥、粉碎等工序，制得氯酸钾成品。</w:t>
      </w:r>
    </w:p>
    <w:p w14:paraId="302971C2">
      <w:pPr>
        <w:rPr>
          <w:highlight w:val="none"/>
        </w:rPr>
      </w:pPr>
      <w:r>
        <w:rPr>
          <w:rFonts w:hint="eastAsia"/>
          <w:lang w:val="en-US" w:eastAsia="zh-CN"/>
        </w:rPr>
        <w:t>复分解生产</w:t>
      </w:r>
      <w:r>
        <w:rPr>
          <w:rFonts w:hint="eastAsia"/>
        </w:rPr>
        <w:t>装置为连续生产，</w:t>
      </w:r>
      <w:r>
        <w:rPr>
          <w:rFonts w:hint="eastAsia"/>
          <w:lang w:val="en-US" w:eastAsia="zh-CN"/>
        </w:rPr>
        <w:t>生产规模为年产20000吨氯酸钾时，</w:t>
      </w:r>
      <w:r>
        <w:rPr>
          <w:rFonts w:hint="eastAsia"/>
          <w:highlight w:val="none"/>
        </w:rPr>
        <w:t>物料平衡依据化学反应方程式质量守恒来核算。核算过程如下：</w:t>
      </w:r>
    </w:p>
    <w:p w14:paraId="0216D360">
      <w:pPr>
        <w:ind w:firstLine="480"/>
        <w:rPr>
          <w:highlight w:val="none"/>
        </w:rPr>
      </w:pPr>
      <w:r>
        <w:rPr>
          <w:rFonts w:hint="eastAsia"/>
          <w:highlight w:val="none"/>
        </w:rPr>
        <w:t>总反应式：</w:t>
      </w:r>
      <w:r>
        <w:rPr>
          <w:rFonts w:hint="eastAsia"/>
          <w:position w:val="-12"/>
          <w:highlight w:val="none"/>
        </w:rPr>
        <w:object>
          <v:shape id="_x0000_i1036" o:spt="75" type="#_x0000_t75" style="height:19.2pt;width:173.35pt;" o:ole="t" filled="f" o:preferrelative="t" stroked="f" coordsize="21600,21600">
            <v:path/>
            <v:fill on="f" focussize="0,0"/>
            <v:stroke on="f"/>
            <v:imagedata r:id="rId42" o:title=""/>
            <o:lock v:ext="edit" aspectratio="t"/>
            <w10:wrap type="none"/>
            <w10:anchorlock/>
          </v:shape>
          <o:OLEObject Type="Embed" ProgID="Equation.KSEE3" ShapeID="_x0000_i1036" DrawAspect="Content" ObjectID="_1468075736" r:id="rId41">
            <o:LockedField>false</o:LockedField>
          </o:OLEObject>
        </w:object>
      </w:r>
    </w:p>
    <w:p w14:paraId="3522AA97">
      <w:pPr>
        <w:ind w:firstLine="480"/>
        <w:rPr>
          <w:highlight w:val="none"/>
        </w:rPr>
      </w:pPr>
      <w:r>
        <w:rPr>
          <w:highlight w:val="none"/>
        </w:rPr>
        <w:t>年产</w:t>
      </w:r>
      <w:r>
        <w:rPr>
          <w:rFonts w:hint="eastAsia"/>
          <w:highlight w:val="none"/>
          <w:lang w:val="en-US" w:eastAsia="zh-CN"/>
        </w:rPr>
        <w:t>20000</w:t>
      </w:r>
      <w:r>
        <w:rPr>
          <w:highlight w:val="none"/>
        </w:rPr>
        <w:t>吨</w:t>
      </w:r>
      <w:r>
        <w:rPr>
          <w:rFonts w:hint="eastAsia"/>
          <w:highlight w:val="none"/>
          <w:lang w:val="en-US" w:eastAsia="zh-CN"/>
        </w:rPr>
        <w:t>氯酸钾</w:t>
      </w:r>
      <w:r>
        <w:rPr>
          <w:rFonts w:hint="eastAsia"/>
          <w:highlight w:val="none"/>
        </w:rPr>
        <w:t>生产</w:t>
      </w:r>
      <w:r>
        <w:rPr>
          <w:highlight w:val="none"/>
        </w:rPr>
        <w:t>所需物料反应量</w:t>
      </w:r>
      <w:r>
        <w:rPr>
          <w:rFonts w:hint="eastAsia"/>
          <w:highlight w:val="none"/>
        </w:rPr>
        <w:t>见下表。</w:t>
      </w:r>
    </w:p>
    <w:p w14:paraId="2A275D29">
      <w:pPr>
        <w:keepNext/>
        <w:numPr>
          <w:ilvl w:val="5"/>
          <w:numId w:val="1"/>
        </w:numPr>
        <w:snapToGrid w:val="0"/>
        <w:spacing w:line="240" w:lineRule="auto"/>
        <w:ind w:firstLine="420" w:firstLineChars="0"/>
        <w:jc w:val="center"/>
        <w:rPr>
          <w:b/>
          <w:bCs/>
          <w:sz w:val="21"/>
          <w:szCs w:val="21"/>
          <w:highlight w:val="none"/>
        </w:rPr>
      </w:pPr>
      <w:r>
        <w:rPr>
          <w:rFonts w:hint="eastAsia"/>
          <w:b/>
          <w:bCs/>
          <w:sz w:val="21"/>
          <w:szCs w:val="21"/>
          <w:highlight w:val="none"/>
          <w:lang w:val="en-US" w:eastAsia="zh-CN"/>
        </w:rPr>
        <w:t>氯酸钾（产品）</w:t>
      </w:r>
      <w:r>
        <w:rPr>
          <w:rFonts w:hint="eastAsia"/>
          <w:b/>
          <w:bCs/>
          <w:sz w:val="21"/>
          <w:szCs w:val="21"/>
          <w:highlight w:val="none"/>
        </w:rPr>
        <w:t>生产</w:t>
      </w:r>
      <w:r>
        <w:rPr>
          <w:b/>
          <w:bCs/>
          <w:sz w:val="21"/>
          <w:szCs w:val="21"/>
          <w:highlight w:val="none"/>
        </w:rPr>
        <w:t>所需物料反应量</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22"/>
        <w:gridCol w:w="1261"/>
        <w:gridCol w:w="1324"/>
        <w:gridCol w:w="1679"/>
        <w:gridCol w:w="1033"/>
      </w:tblGrid>
      <w:tr w14:paraId="39B8D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891" w:type="pct"/>
            <w:vAlign w:val="center"/>
          </w:tcPr>
          <w:p w14:paraId="6273F091">
            <w:pPr>
              <w:pStyle w:val="45"/>
              <w:rPr>
                <w:rFonts w:hint="default"/>
                <w:b/>
                <w:bCs/>
                <w:highlight w:val="none"/>
              </w:rPr>
            </w:pPr>
            <w:r>
              <w:rPr>
                <w:b/>
                <w:bCs/>
                <w:highlight w:val="none"/>
              </w:rPr>
              <w:t>化学反应物质</w:t>
            </w:r>
          </w:p>
        </w:tc>
        <w:tc>
          <w:tcPr>
            <w:tcW w:w="740" w:type="pct"/>
            <w:vAlign w:val="center"/>
          </w:tcPr>
          <w:p w14:paraId="1B28EB45">
            <w:pPr>
              <w:pStyle w:val="45"/>
              <w:rPr>
                <w:rFonts w:hint="default"/>
                <w:b/>
                <w:bCs/>
                <w:highlight w:val="none"/>
              </w:rPr>
            </w:pPr>
            <w:r>
              <w:rPr>
                <w:b/>
                <w:bCs/>
                <w:highlight w:val="none"/>
              </w:rPr>
              <w:t>NaClO</w:t>
            </w:r>
            <w:r>
              <w:rPr>
                <w:b/>
                <w:bCs/>
                <w:highlight w:val="none"/>
                <w:vertAlign w:val="subscript"/>
              </w:rPr>
              <w:t>3</w:t>
            </w:r>
          </w:p>
        </w:tc>
        <w:tc>
          <w:tcPr>
            <w:tcW w:w="777" w:type="pct"/>
            <w:vAlign w:val="center"/>
          </w:tcPr>
          <w:p w14:paraId="041456C7">
            <w:pPr>
              <w:pStyle w:val="45"/>
              <w:rPr>
                <w:rFonts w:hint="default" w:eastAsia="宋体"/>
                <w:b/>
                <w:bCs/>
                <w:highlight w:val="none"/>
                <w:lang w:val="en-US" w:eastAsia="zh-CN"/>
              </w:rPr>
            </w:pPr>
            <w:r>
              <w:rPr>
                <w:rFonts w:hint="eastAsia"/>
                <w:b/>
                <w:bCs/>
                <w:highlight w:val="none"/>
                <w:lang w:val="en-US" w:eastAsia="zh-CN"/>
              </w:rPr>
              <w:t>KCl</w:t>
            </w:r>
          </w:p>
        </w:tc>
        <w:tc>
          <w:tcPr>
            <w:tcW w:w="985" w:type="pct"/>
            <w:vAlign w:val="center"/>
          </w:tcPr>
          <w:p w14:paraId="4D636309">
            <w:pPr>
              <w:pStyle w:val="45"/>
              <w:rPr>
                <w:rFonts w:hint="default"/>
                <w:b/>
                <w:bCs/>
                <w:highlight w:val="none"/>
              </w:rPr>
            </w:pPr>
            <w:r>
              <w:rPr>
                <w:rFonts w:hint="eastAsia"/>
                <w:b/>
                <w:bCs/>
                <w:highlight w:val="none"/>
                <w:lang w:val="en-US" w:eastAsia="zh-CN"/>
              </w:rPr>
              <w:t>K</w:t>
            </w:r>
            <w:r>
              <w:rPr>
                <w:b/>
                <w:bCs/>
                <w:highlight w:val="none"/>
              </w:rPr>
              <w:t>ClO</w:t>
            </w:r>
            <w:r>
              <w:rPr>
                <w:b/>
                <w:bCs/>
                <w:highlight w:val="none"/>
                <w:vertAlign w:val="subscript"/>
              </w:rPr>
              <w:t>3</w:t>
            </w:r>
          </w:p>
        </w:tc>
        <w:tc>
          <w:tcPr>
            <w:tcW w:w="606" w:type="pct"/>
            <w:vAlign w:val="center"/>
          </w:tcPr>
          <w:p w14:paraId="5B692DC6">
            <w:pPr>
              <w:pStyle w:val="45"/>
              <w:rPr>
                <w:rFonts w:hint="default"/>
                <w:b/>
                <w:bCs/>
                <w:highlight w:val="none"/>
              </w:rPr>
            </w:pPr>
            <w:r>
              <w:rPr>
                <w:rFonts w:hint="eastAsia"/>
                <w:b/>
                <w:bCs/>
                <w:highlight w:val="none"/>
                <w:lang w:val="en-US" w:eastAsia="zh-CN"/>
              </w:rPr>
              <w:t>NaCl</w:t>
            </w:r>
          </w:p>
        </w:tc>
      </w:tr>
      <w:tr w14:paraId="21028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91" w:type="pct"/>
            <w:vAlign w:val="center"/>
          </w:tcPr>
          <w:p w14:paraId="182146A4">
            <w:pPr>
              <w:pStyle w:val="45"/>
              <w:rPr>
                <w:rFonts w:hint="default"/>
                <w:b/>
                <w:bCs/>
                <w:highlight w:val="none"/>
              </w:rPr>
            </w:pPr>
            <w:r>
              <w:rPr>
                <w:b/>
                <w:bCs/>
                <w:highlight w:val="none"/>
              </w:rPr>
              <w:t>分子量</w:t>
            </w:r>
          </w:p>
        </w:tc>
        <w:tc>
          <w:tcPr>
            <w:tcW w:w="740" w:type="pct"/>
            <w:vAlign w:val="center"/>
          </w:tcPr>
          <w:p w14:paraId="48DD6CAE">
            <w:pPr>
              <w:pStyle w:val="45"/>
              <w:rPr>
                <w:rFonts w:hint="default"/>
                <w:highlight w:val="none"/>
              </w:rPr>
            </w:pPr>
            <w:r>
              <w:rPr>
                <w:highlight w:val="none"/>
              </w:rPr>
              <w:t>106.5</w:t>
            </w:r>
          </w:p>
        </w:tc>
        <w:tc>
          <w:tcPr>
            <w:tcW w:w="777" w:type="pct"/>
            <w:vAlign w:val="center"/>
          </w:tcPr>
          <w:p w14:paraId="02DDC53A">
            <w:pPr>
              <w:pStyle w:val="45"/>
              <w:rPr>
                <w:rFonts w:hint="default" w:eastAsia="宋体"/>
                <w:highlight w:val="none"/>
                <w:lang w:val="en-US" w:eastAsia="zh-CN"/>
              </w:rPr>
            </w:pPr>
            <w:r>
              <w:rPr>
                <w:rFonts w:hint="eastAsia"/>
                <w:highlight w:val="none"/>
                <w:lang w:val="en-US" w:eastAsia="zh-CN"/>
              </w:rPr>
              <w:t>74.5</w:t>
            </w:r>
          </w:p>
        </w:tc>
        <w:tc>
          <w:tcPr>
            <w:tcW w:w="985" w:type="pct"/>
            <w:vAlign w:val="center"/>
          </w:tcPr>
          <w:p w14:paraId="0BF56B1B">
            <w:pPr>
              <w:pStyle w:val="45"/>
              <w:rPr>
                <w:rFonts w:hint="default" w:eastAsia="宋体"/>
                <w:highlight w:val="none"/>
                <w:lang w:val="en-US" w:eastAsia="zh-CN"/>
              </w:rPr>
            </w:pPr>
            <w:r>
              <w:rPr>
                <w:rFonts w:hint="eastAsia"/>
                <w:highlight w:val="none"/>
                <w:lang w:val="en-US" w:eastAsia="zh-CN"/>
              </w:rPr>
              <w:t>122.5</w:t>
            </w:r>
          </w:p>
        </w:tc>
        <w:tc>
          <w:tcPr>
            <w:tcW w:w="606" w:type="pct"/>
            <w:vAlign w:val="center"/>
          </w:tcPr>
          <w:p w14:paraId="795B19C9">
            <w:pPr>
              <w:pStyle w:val="45"/>
              <w:rPr>
                <w:rFonts w:hint="default" w:eastAsia="宋体"/>
                <w:highlight w:val="none"/>
                <w:lang w:val="en-US" w:eastAsia="zh-CN"/>
              </w:rPr>
            </w:pPr>
            <w:r>
              <w:rPr>
                <w:rFonts w:hint="eastAsia"/>
                <w:highlight w:val="none"/>
                <w:lang w:val="en-US" w:eastAsia="zh-CN"/>
              </w:rPr>
              <w:t>58.5</w:t>
            </w:r>
          </w:p>
        </w:tc>
      </w:tr>
      <w:tr w14:paraId="1C529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91" w:type="pct"/>
            <w:vAlign w:val="center"/>
          </w:tcPr>
          <w:p w14:paraId="42A7EC11">
            <w:pPr>
              <w:pStyle w:val="45"/>
              <w:rPr>
                <w:rFonts w:hint="default"/>
                <w:b/>
                <w:bCs/>
                <w:highlight w:val="none"/>
              </w:rPr>
            </w:pPr>
            <w:r>
              <w:rPr>
                <w:b/>
                <w:bCs/>
                <w:highlight w:val="none"/>
              </w:rPr>
              <w:t>折纯量（t/a）</w:t>
            </w:r>
          </w:p>
        </w:tc>
        <w:tc>
          <w:tcPr>
            <w:tcW w:w="740" w:type="pct"/>
            <w:vAlign w:val="center"/>
          </w:tcPr>
          <w:p w14:paraId="472610BE">
            <w:pPr>
              <w:pStyle w:val="45"/>
              <w:rPr>
                <w:rFonts w:hint="default" w:eastAsia="宋体"/>
                <w:highlight w:val="none"/>
                <w:lang w:val="en-US" w:eastAsia="zh-CN"/>
              </w:rPr>
            </w:pPr>
            <w:r>
              <w:rPr>
                <w:rFonts w:hint="eastAsia"/>
                <w:highlight w:val="none"/>
                <w:lang w:val="en-US" w:eastAsia="zh-CN"/>
              </w:rPr>
              <w:t>17387.76</w:t>
            </w:r>
          </w:p>
        </w:tc>
        <w:tc>
          <w:tcPr>
            <w:tcW w:w="777" w:type="pct"/>
            <w:vAlign w:val="center"/>
          </w:tcPr>
          <w:p w14:paraId="37E332F5">
            <w:pPr>
              <w:pStyle w:val="45"/>
              <w:rPr>
                <w:rFonts w:hint="default" w:eastAsia="宋体"/>
                <w:highlight w:val="none"/>
                <w:lang w:val="en-US" w:eastAsia="zh-CN"/>
              </w:rPr>
            </w:pPr>
            <w:r>
              <w:rPr>
                <w:rFonts w:hint="eastAsia"/>
                <w:highlight w:val="none"/>
                <w:lang w:val="en-US" w:eastAsia="zh-CN"/>
              </w:rPr>
              <w:t>12163.26</w:t>
            </w:r>
          </w:p>
        </w:tc>
        <w:tc>
          <w:tcPr>
            <w:tcW w:w="985" w:type="pct"/>
            <w:vAlign w:val="center"/>
          </w:tcPr>
          <w:p w14:paraId="78820CC8">
            <w:pPr>
              <w:pStyle w:val="45"/>
              <w:rPr>
                <w:rFonts w:hint="default" w:eastAsia="宋体"/>
                <w:highlight w:val="none"/>
                <w:lang w:val="en-US" w:eastAsia="zh-CN"/>
              </w:rPr>
            </w:pPr>
            <w:r>
              <w:rPr>
                <w:rFonts w:hint="eastAsia"/>
                <w:highlight w:val="none"/>
                <w:lang w:val="en-US" w:eastAsia="zh-CN"/>
              </w:rPr>
              <w:t>20000</w:t>
            </w:r>
          </w:p>
        </w:tc>
        <w:tc>
          <w:tcPr>
            <w:tcW w:w="606" w:type="pct"/>
            <w:vAlign w:val="center"/>
          </w:tcPr>
          <w:p w14:paraId="0352D601">
            <w:pPr>
              <w:pStyle w:val="45"/>
              <w:rPr>
                <w:rFonts w:hint="default" w:eastAsia="宋体"/>
                <w:highlight w:val="none"/>
                <w:lang w:val="en-US" w:eastAsia="zh-CN"/>
              </w:rPr>
            </w:pPr>
            <w:r>
              <w:rPr>
                <w:rFonts w:hint="eastAsia"/>
                <w:highlight w:val="none"/>
                <w:lang w:val="en-US" w:eastAsia="zh-CN"/>
              </w:rPr>
              <w:t>9551.02</w:t>
            </w:r>
          </w:p>
        </w:tc>
      </w:tr>
    </w:tbl>
    <w:p w14:paraId="22510E41">
      <w:pPr>
        <w:bidi w:val="0"/>
        <w:rPr>
          <w:rFonts w:hint="eastAsia"/>
          <w:highlight w:val="yellow"/>
          <w:lang w:val="en-US" w:eastAsia="zh-CN"/>
        </w:rPr>
      </w:pPr>
    </w:p>
    <w:p w14:paraId="338BC89C">
      <w:pPr>
        <w:bidi w:val="0"/>
        <w:rPr>
          <w:rFonts w:hint="eastAsia"/>
          <w:highlight w:val="none"/>
          <w:lang w:eastAsia="zh-CN"/>
        </w:rPr>
      </w:pPr>
      <w:r>
        <w:rPr>
          <w:rFonts w:hint="eastAsia"/>
          <w:highlight w:val="none"/>
        </w:rPr>
        <w:t>结合工程分析和物料平衡，</w:t>
      </w:r>
      <w:r>
        <w:rPr>
          <w:rFonts w:hint="eastAsia"/>
          <w:highlight w:val="none"/>
          <w:lang w:val="en-US" w:eastAsia="zh-CN"/>
        </w:rPr>
        <w:t>氯酸钠转化</w:t>
      </w:r>
      <w:r>
        <w:rPr>
          <w:rFonts w:hint="eastAsia"/>
          <w:highlight w:val="none"/>
        </w:rPr>
        <w:t>率约为9</w:t>
      </w:r>
      <w:r>
        <w:rPr>
          <w:rFonts w:hint="eastAsia"/>
          <w:highlight w:val="none"/>
          <w:lang w:val="en-US" w:eastAsia="zh-CN"/>
        </w:rPr>
        <w:t>8.7</w:t>
      </w:r>
      <w:r>
        <w:rPr>
          <w:rFonts w:hint="eastAsia"/>
          <w:highlight w:val="none"/>
        </w:rPr>
        <w:t>%，</w:t>
      </w:r>
      <w:r>
        <w:rPr>
          <w:rFonts w:hint="eastAsia"/>
          <w:highlight w:val="none"/>
          <w:lang w:val="en-US" w:eastAsia="zh-CN"/>
        </w:rPr>
        <w:t>氯酸钾</w:t>
      </w:r>
      <w:r>
        <w:rPr>
          <w:rFonts w:hint="eastAsia"/>
          <w:highlight w:val="none"/>
        </w:rPr>
        <w:t>收率约为9</w:t>
      </w:r>
      <w:r>
        <w:rPr>
          <w:rFonts w:hint="eastAsia"/>
          <w:highlight w:val="none"/>
          <w:lang w:val="en-US" w:eastAsia="zh-CN"/>
        </w:rPr>
        <w:t>8</w:t>
      </w:r>
      <w:r>
        <w:rPr>
          <w:rFonts w:hint="eastAsia"/>
          <w:highlight w:val="none"/>
        </w:rPr>
        <w:t>.1%</w:t>
      </w:r>
      <w:r>
        <w:rPr>
          <w:rFonts w:hint="eastAsia"/>
          <w:highlight w:val="none"/>
          <w:lang w:eastAsia="zh-CN"/>
        </w:rPr>
        <w:t>。</w:t>
      </w:r>
    </w:p>
    <w:p w14:paraId="231D631E">
      <w:pPr>
        <w:bidi w:val="0"/>
        <w:outlineLvl w:val="5"/>
        <w:rPr>
          <w:rFonts w:hint="default"/>
          <w:b/>
          <w:bCs/>
          <w:highlight w:val="none"/>
          <w:lang w:val="en-US" w:eastAsia="zh-CN"/>
        </w:rPr>
      </w:pPr>
      <w:r>
        <w:rPr>
          <w:rFonts w:hint="eastAsia"/>
          <w:b/>
          <w:bCs/>
          <w:highlight w:val="none"/>
          <w:lang w:val="en-US" w:eastAsia="zh-CN"/>
        </w:rPr>
        <w:t>（1）复分解生产氯酸钾物料平衡</w:t>
      </w:r>
    </w:p>
    <w:p w14:paraId="3C82B35B">
      <w:pPr>
        <w:pStyle w:val="43"/>
        <w:numPr>
          <w:ilvl w:val="5"/>
          <w:numId w:val="1"/>
        </w:numPr>
        <w:rPr>
          <w:rFonts w:hint="default"/>
          <w:b w:val="0"/>
          <w:bCs w:val="0"/>
          <w:highlight w:val="none"/>
        </w:rPr>
      </w:pPr>
      <w:r>
        <w:rPr>
          <w:highlight w:val="none"/>
        </w:rPr>
        <w:t>氯酸</w:t>
      </w:r>
      <w:r>
        <w:rPr>
          <w:rFonts w:hint="eastAsia"/>
          <w:highlight w:val="none"/>
          <w:lang w:val="en-US" w:eastAsia="zh-CN"/>
        </w:rPr>
        <w:t>钾</w:t>
      </w:r>
      <w:r>
        <w:rPr>
          <w:highlight w:val="none"/>
        </w:rPr>
        <w:t>生产物料平衡一览表</w:t>
      </w:r>
    </w:p>
    <w:tbl>
      <w:tblPr>
        <w:tblStyle w:val="32"/>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84"/>
        <w:gridCol w:w="960"/>
        <w:gridCol w:w="670"/>
        <w:gridCol w:w="1056"/>
        <w:gridCol w:w="1817"/>
        <w:gridCol w:w="1075"/>
        <w:gridCol w:w="1357"/>
      </w:tblGrid>
      <w:tr w14:paraId="75A6E0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4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3B019">
            <w:pPr>
              <w:pStyle w:val="45"/>
              <w:bidi w:val="0"/>
              <w:rPr>
                <w:rFonts w:hint="eastAsia"/>
                <w:b/>
                <w:bCs/>
                <w:highlight w:val="none"/>
              </w:rPr>
            </w:pPr>
            <w:r>
              <w:rPr>
                <w:rFonts w:hint="eastAsia"/>
                <w:b/>
                <w:bCs/>
                <w:highlight w:val="none"/>
                <w:lang w:val="en-US" w:eastAsia="zh-CN"/>
              </w:rPr>
              <w:t>投入（</w:t>
            </w:r>
            <w:r>
              <w:rPr>
                <w:rFonts w:hint="default"/>
                <w:b/>
                <w:bCs/>
                <w:highlight w:val="none"/>
                <w:lang w:val="en-US" w:eastAsia="zh-CN"/>
              </w:rPr>
              <w:t>t</w:t>
            </w:r>
            <w:r>
              <w:rPr>
                <w:rFonts w:hint="eastAsia"/>
                <w:b/>
                <w:bCs/>
                <w:highlight w:val="none"/>
                <w:lang w:val="en-US" w:eastAsia="zh-CN"/>
              </w:rPr>
              <w:t>）</w:t>
            </w:r>
          </w:p>
        </w:tc>
        <w:tc>
          <w:tcPr>
            <w:tcW w:w="3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87321">
            <w:pPr>
              <w:pStyle w:val="45"/>
              <w:bidi w:val="0"/>
              <w:rPr>
                <w:rFonts w:hint="eastAsia"/>
                <w:b/>
                <w:bCs/>
                <w:highlight w:val="none"/>
              </w:rPr>
            </w:pPr>
            <w:r>
              <w:rPr>
                <w:rFonts w:hint="eastAsia"/>
                <w:b/>
                <w:bCs/>
                <w:highlight w:val="none"/>
                <w:lang w:val="en-US" w:eastAsia="zh-CN"/>
              </w:rPr>
              <w:t>备注</w:t>
            </w:r>
          </w:p>
        </w:tc>
        <w:tc>
          <w:tcPr>
            <w:tcW w:w="231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D95C1">
            <w:pPr>
              <w:pStyle w:val="45"/>
              <w:bidi w:val="0"/>
              <w:rPr>
                <w:rFonts w:hint="eastAsia"/>
                <w:b/>
                <w:bCs/>
                <w:highlight w:val="none"/>
              </w:rPr>
            </w:pPr>
            <w:r>
              <w:rPr>
                <w:rFonts w:hint="eastAsia"/>
                <w:b/>
                <w:bCs/>
                <w:highlight w:val="none"/>
                <w:lang w:val="en-US" w:eastAsia="zh-CN"/>
              </w:rPr>
              <w:t>产出（</w:t>
            </w:r>
            <w:r>
              <w:rPr>
                <w:rFonts w:hint="default"/>
                <w:b/>
                <w:bCs/>
                <w:highlight w:val="none"/>
                <w:lang w:val="en-US" w:eastAsia="zh-CN"/>
              </w:rPr>
              <w:t>t</w:t>
            </w:r>
            <w:r>
              <w:rPr>
                <w:rFonts w:hint="eastAsia"/>
                <w:b/>
                <w:bCs/>
                <w:highlight w:val="none"/>
                <w:lang w:val="en-US" w:eastAsia="zh-CN"/>
              </w:rPr>
              <w:t>）</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10FED">
            <w:pPr>
              <w:pStyle w:val="45"/>
              <w:bidi w:val="0"/>
              <w:rPr>
                <w:rFonts w:hint="eastAsia"/>
                <w:b/>
                <w:bCs/>
                <w:highlight w:val="none"/>
              </w:rPr>
            </w:pPr>
            <w:r>
              <w:rPr>
                <w:rFonts w:hint="eastAsia"/>
                <w:b/>
                <w:bCs/>
                <w:highlight w:val="none"/>
                <w:lang w:val="en-US" w:eastAsia="zh-CN"/>
              </w:rPr>
              <w:t>备注</w:t>
            </w:r>
          </w:p>
        </w:tc>
      </w:tr>
      <w:tr w14:paraId="3DA4AE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AD7C8">
            <w:pPr>
              <w:pStyle w:val="45"/>
              <w:bidi w:val="0"/>
              <w:rPr>
                <w:rFonts w:hint="eastAsia"/>
                <w:highlight w:val="none"/>
              </w:rPr>
            </w:pPr>
            <w:r>
              <w:rPr>
                <w:rFonts w:hint="eastAsia"/>
                <w:highlight w:val="none"/>
                <w:lang w:val="en-US" w:eastAsia="zh-CN"/>
              </w:rPr>
              <w:t>氯酸钠</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4043C">
            <w:pPr>
              <w:pStyle w:val="45"/>
              <w:bidi w:val="0"/>
              <w:rPr>
                <w:rFonts w:hint="eastAsia"/>
                <w:highlight w:val="none"/>
              </w:rPr>
            </w:pPr>
            <w:r>
              <w:rPr>
                <w:rFonts w:hint="eastAsia"/>
                <w:highlight w:val="none"/>
                <w:lang w:val="en-US" w:eastAsia="zh-CN"/>
              </w:rPr>
              <w:t>18000</w:t>
            </w:r>
          </w:p>
        </w:tc>
        <w:tc>
          <w:tcPr>
            <w:tcW w:w="3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1A827A">
            <w:pPr>
              <w:pStyle w:val="45"/>
              <w:bidi w:val="0"/>
              <w:rPr>
                <w:rFonts w:hint="eastAsia"/>
                <w:highlight w:val="none"/>
              </w:rPr>
            </w:pP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564E7">
            <w:pPr>
              <w:pStyle w:val="45"/>
              <w:bidi w:val="0"/>
              <w:rPr>
                <w:rFonts w:hint="eastAsia"/>
                <w:highlight w:val="none"/>
              </w:rPr>
            </w:pPr>
            <w:r>
              <w:rPr>
                <w:rFonts w:hint="eastAsia"/>
                <w:highlight w:val="none"/>
                <w:lang w:val="en-US" w:eastAsia="zh-CN"/>
              </w:rPr>
              <w:t>产品</w:t>
            </w:r>
          </w:p>
        </w:tc>
        <w:tc>
          <w:tcPr>
            <w:tcW w:w="10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E82E8">
            <w:pPr>
              <w:pStyle w:val="45"/>
              <w:bidi w:val="0"/>
              <w:rPr>
                <w:rFonts w:hint="eastAsia"/>
                <w:highlight w:val="none"/>
              </w:rPr>
            </w:pPr>
            <w:r>
              <w:rPr>
                <w:rFonts w:hint="eastAsia"/>
                <w:highlight w:val="none"/>
                <w:lang w:val="en-US" w:eastAsia="zh-CN"/>
              </w:rPr>
              <w:t>氯酸钾</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E8835">
            <w:pPr>
              <w:pStyle w:val="45"/>
              <w:bidi w:val="0"/>
              <w:rPr>
                <w:rFonts w:hint="eastAsia"/>
                <w:highlight w:val="none"/>
              </w:rPr>
            </w:pPr>
            <w:r>
              <w:rPr>
                <w:rFonts w:hint="eastAsia"/>
                <w:highlight w:val="none"/>
                <w:lang w:val="en-US" w:eastAsia="zh-CN"/>
              </w:rPr>
              <w:t>20000</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B96D1A">
            <w:pPr>
              <w:pStyle w:val="45"/>
              <w:bidi w:val="0"/>
              <w:rPr>
                <w:rFonts w:hint="eastAsia"/>
                <w:highlight w:val="none"/>
              </w:rPr>
            </w:pPr>
          </w:p>
        </w:tc>
      </w:tr>
      <w:tr w14:paraId="3357FD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9CE83">
            <w:pPr>
              <w:pStyle w:val="45"/>
              <w:bidi w:val="0"/>
              <w:rPr>
                <w:rFonts w:hint="eastAsia"/>
                <w:highlight w:val="none"/>
              </w:rPr>
            </w:pPr>
            <w:r>
              <w:rPr>
                <w:rFonts w:hint="eastAsia"/>
                <w:highlight w:val="none"/>
                <w:lang w:val="en-US" w:eastAsia="zh-CN"/>
              </w:rPr>
              <w:t>氯化钾</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B9E09">
            <w:pPr>
              <w:pStyle w:val="45"/>
              <w:bidi w:val="0"/>
              <w:rPr>
                <w:rFonts w:hint="eastAsia"/>
                <w:highlight w:val="none"/>
              </w:rPr>
            </w:pPr>
            <w:r>
              <w:rPr>
                <w:rFonts w:hint="eastAsia"/>
                <w:highlight w:val="none"/>
                <w:lang w:val="en-US" w:eastAsia="zh-CN"/>
              </w:rPr>
              <w:t>13000</w:t>
            </w:r>
          </w:p>
        </w:tc>
        <w:tc>
          <w:tcPr>
            <w:tcW w:w="3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C23A8">
            <w:pPr>
              <w:pStyle w:val="45"/>
              <w:bidi w:val="0"/>
              <w:rPr>
                <w:rFonts w:hint="eastAsia"/>
                <w:highlight w:val="none"/>
              </w:rPr>
            </w:pP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EC7814">
            <w:pPr>
              <w:pStyle w:val="45"/>
              <w:bidi w:val="0"/>
              <w:rPr>
                <w:rFonts w:hint="eastAsia"/>
                <w:highlight w:val="none"/>
              </w:rPr>
            </w:pPr>
            <w:r>
              <w:rPr>
                <w:rFonts w:hint="eastAsia"/>
                <w:highlight w:val="none"/>
                <w:lang w:val="en-US" w:eastAsia="zh-CN"/>
              </w:rPr>
              <w:t>副产品</w:t>
            </w:r>
          </w:p>
        </w:tc>
        <w:tc>
          <w:tcPr>
            <w:tcW w:w="10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0BD69B">
            <w:pPr>
              <w:pStyle w:val="45"/>
              <w:bidi w:val="0"/>
              <w:rPr>
                <w:rFonts w:hint="eastAsia"/>
                <w:highlight w:val="none"/>
              </w:rPr>
            </w:pPr>
            <w:r>
              <w:rPr>
                <w:rFonts w:hint="eastAsia"/>
                <w:highlight w:val="none"/>
                <w:lang w:val="en-US" w:eastAsia="zh-CN"/>
              </w:rPr>
              <w:t>氯化钠</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5C9FA3">
            <w:pPr>
              <w:pStyle w:val="45"/>
              <w:bidi w:val="0"/>
              <w:rPr>
                <w:rFonts w:hint="eastAsia"/>
                <w:highlight w:val="none"/>
              </w:rPr>
            </w:pPr>
            <w:r>
              <w:rPr>
                <w:rFonts w:hint="eastAsia"/>
                <w:highlight w:val="none"/>
                <w:lang w:val="en-US" w:eastAsia="zh-CN"/>
              </w:rPr>
              <w:t>9550</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F957B">
            <w:pPr>
              <w:pStyle w:val="45"/>
              <w:bidi w:val="0"/>
              <w:rPr>
                <w:rFonts w:hint="eastAsia"/>
                <w:highlight w:val="none"/>
              </w:rPr>
            </w:pPr>
            <w:r>
              <w:rPr>
                <w:rFonts w:hint="eastAsia"/>
                <w:highlight w:val="none"/>
                <w:lang w:val="en-US" w:eastAsia="zh-CN"/>
              </w:rPr>
              <w:t>回用于化盐</w:t>
            </w:r>
          </w:p>
        </w:tc>
      </w:tr>
      <w:tr w14:paraId="5D61C6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F7E10">
            <w:pPr>
              <w:pStyle w:val="45"/>
              <w:bidi w:val="0"/>
              <w:rPr>
                <w:rFonts w:hint="eastAsia"/>
                <w:highlight w:val="none"/>
              </w:rPr>
            </w:pPr>
            <w:r>
              <w:rPr>
                <w:rFonts w:hint="eastAsia"/>
                <w:highlight w:val="none"/>
                <w:lang w:val="en-US" w:eastAsia="zh-CN"/>
              </w:rPr>
              <w:t>氯酸钠化盐水</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FB05D">
            <w:pPr>
              <w:pStyle w:val="45"/>
              <w:bidi w:val="0"/>
              <w:rPr>
                <w:rFonts w:hint="eastAsia"/>
                <w:highlight w:val="none"/>
              </w:rPr>
            </w:pPr>
            <w:r>
              <w:rPr>
                <w:rFonts w:hint="eastAsia"/>
                <w:highlight w:val="none"/>
                <w:lang w:val="en-US" w:eastAsia="zh-CN"/>
              </w:rPr>
              <w:t>21937.5</w:t>
            </w:r>
          </w:p>
        </w:tc>
        <w:tc>
          <w:tcPr>
            <w:tcW w:w="3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845E5">
            <w:pPr>
              <w:pStyle w:val="45"/>
              <w:bidi w:val="0"/>
              <w:rPr>
                <w:rFonts w:hint="eastAsia" w:eastAsia="宋体"/>
                <w:highlight w:val="none"/>
                <w:lang w:val="en-US" w:eastAsia="zh-CN"/>
              </w:rPr>
            </w:pPr>
            <w:r>
              <w:rPr>
                <w:rFonts w:hint="eastAsia"/>
                <w:highlight w:val="none"/>
                <w:lang w:val="en-US" w:eastAsia="zh-CN"/>
              </w:rPr>
              <w:t>纯水</w:t>
            </w:r>
          </w:p>
        </w:tc>
        <w:tc>
          <w:tcPr>
            <w:tcW w:w="619" w:type="pct"/>
            <w:vMerge w:val="restart"/>
            <w:tcBorders>
              <w:top w:val="single" w:color="000000" w:sz="4" w:space="0"/>
              <w:left w:val="single" w:color="000000" w:sz="4" w:space="0"/>
              <w:right w:val="single" w:color="000000" w:sz="4" w:space="0"/>
            </w:tcBorders>
            <w:shd w:val="clear" w:color="auto" w:fill="auto"/>
            <w:noWrap/>
            <w:vAlign w:val="center"/>
          </w:tcPr>
          <w:p w14:paraId="01096D86">
            <w:pPr>
              <w:pStyle w:val="45"/>
              <w:bidi w:val="0"/>
              <w:rPr>
                <w:rFonts w:hint="eastAsia"/>
                <w:highlight w:val="none"/>
              </w:rPr>
            </w:pPr>
            <w:r>
              <w:rPr>
                <w:rFonts w:hint="eastAsia"/>
                <w:highlight w:val="none"/>
                <w:lang w:val="en-US" w:eastAsia="zh-CN"/>
              </w:rPr>
              <w:t>干燥废气</w:t>
            </w:r>
          </w:p>
        </w:tc>
        <w:tc>
          <w:tcPr>
            <w:tcW w:w="10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858A7">
            <w:pPr>
              <w:pStyle w:val="45"/>
              <w:bidi w:val="0"/>
              <w:rPr>
                <w:rFonts w:hint="default"/>
                <w:highlight w:val="none"/>
                <w:lang w:val="en-US"/>
              </w:rPr>
            </w:pPr>
            <w:r>
              <w:rPr>
                <w:rFonts w:hint="eastAsia"/>
                <w:highlight w:val="none"/>
                <w:lang w:val="en-US" w:eastAsia="zh-CN"/>
              </w:rPr>
              <w:t>水蒸气</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998FA">
            <w:pPr>
              <w:pStyle w:val="45"/>
              <w:bidi w:val="0"/>
              <w:rPr>
                <w:rFonts w:hint="eastAsia"/>
                <w:highlight w:val="none"/>
              </w:rPr>
            </w:pPr>
            <w:r>
              <w:rPr>
                <w:rFonts w:hint="eastAsia"/>
                <w:highlight w:val="none"/>
                <w:lang w:val="en-US" w:eastAsia="zh-CN"/>
              </w:rPr>
              <w:t>1496.8</w:t>
            </w:r>
          </w:p>
        </w:tc>
        <w:tc>
          <w:tcPr>
            <w:tcW w:w="796" w:type="pct"/>
            <w:vMerge w:val="restart"/>
            <w:tcBorders>
              <w:top w:val="single" w:color="000000" w:sz="4" w:space="0"/>
              <w:left w:val="single" w:color="000000" w:sz="4" w:space="0"/>
              <w:right w:val="single" w:color="000000" w:sz="4" w:space="0"/>
            </w:tcBorders>
            <w:shd w:val="clear" w:color="auto" w:fill="auto"/>
            <w:noWrap/>
            <w:vAlign w:val="center"/>
          </w:tcPr>
          <w:p w14:paraId="07002222">
            <w:pPr>
              <w:pStyle w:val="45"/>
              <w:bidi w:val="0"/>
              <w:rPr>
                <w:rFonts w:hint="eastAsia" w:eastAsia="宋体"/>
                <w:highlight w:val="none"/>
                <w:lang w:val="en-US" w:eastAsia="zh-CN"/>
              </w:rPr>
            </w:pPr>
            <w:r>
              <w:rPr>
                <w:rFonts w:hint="eastAsia"/>
                <w:highlight w:val="none"/>
                <w:lang w:val="en-US" w:eastAsia="zh-CN"/>
              </w:rPr>
              <w:t>小计1496.8</w:t>
            </w:r>
          </w:p>
        </w:tc>
      </w:tr>
      <w:tr w14:paraId="0EC4FB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D3002F">
            <w:pPr>
              <w:pStyle w:val="45"/>
              <w:bidi w:val="0"/>
              <w:ind w:firstLine="0" w:firstLineChars="0"/>
              <w:rPr>
                <w:rFonts w:hint="eastAsia" w:ascii="Times New Roman" w:hAnsi="Times New Roman" w:eastAsia="宋体" w:cs="Times New Roman"/>
                <w:kern w:val="0"/>
                <w:sz w:val="21"/>
                <w:szCs w:val="21"/>
                <w:highlight w:val="none"/>
                <w:lang w:val="en-US" w:eastAsia="zh-CN" w:bidi="ar-SA"/>
              </w:rPr>
            </w:pPr>
            <w:r>
              <w:rPr>
                <w:rFonts w:hint="eastAsia"/>
                <w:highlight w:val="none"/>
                <w:lang w:val="en-US" w:eastAsia="zh-CN"/>
              </w:rPr>
              <w:t>氯化钾化盐水</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EC318">
            <w:pPr>
              <w:pStyle w:val="45"/>
              <w:bidi w:val="0"/>
              <w:ind w:firstLine="0" w:firstLineChars="0"/>
              <w:rPr>
                <w:rFonts w:hint="eastAsia" w:ascii="Times New Roman" w:hAnsi="Times New Roman" w:eastAsia="宋体" w:cs="Times New Roman"/>
                <w:kern w:val="0"/>
                <w:sz w:val="21"/>
                <w:szCs w:val="21"/>
                <w:highlight w:val="none"/>
                <w:lang w:val="en-US" w:eastAsia="zh-CN" w:bidi="ar-SA"/>
              </w:rPr>
            </w:pPr>
            <w:r>
              <w:rPr>
                <w:rFonts w:hint="eastAsia"/>
                <w:highlight w:val="none"/>
                <w:lang w:val="en-US" w:eastAsia="zh-CN"/>
              </w:rPr>
              <w:t>29239.2</w:t>
            </w:r>
          </w:p>
        </w:tc>
        <w:tc>
          <w:tcPr>
            <w:tcW w:w="3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91F3C">
            <w:pPr>
              <w:pStyle w:val="45"/>
              <w:bidi w:val="0"/>
              <w:ind w:firstLine="0" w:firstLineChars="0"/>
              <w:rPr>
                <w:rFonts w:hint="eastAsia" w:ascii="Times New Roman" w:hAnsi="Times New Roman" w:eastAsia="宋体" w:cs="Times New Roman"/>
                <w:kern w:val="0"/>
                <w:sz w:val="21"/>
                <w:szCs w:val="21"/>
                <w:highlight w:val="none"/>
                <w:lang w:val="en-US" w:eastAsia="zh-CN" w:bidi="ar-SA"/>
              </w:rPr>
            </w:pPr>
            <w:r>
              <w:rPr>
                <w:rFonts w:hint="eastAsia"/>
                <w:highlight w:val="none"/>
                <w:lang w:val="en-US" w:eastAsia="zh-CN"/>
              </w:rPr>
              <w:t>纯水</w:t>
            </w:r>
          </w:p>
        </w:tc>
        <w:tc>
          <w:tcPr>
            <w:tcW w:w="619" w:type="pct"/>
            <w:vMerge w:val="continue"/>
            <w:tcBorders>
              <w:left w:val="single" w:color="000000" w:sz="4" w:space="0"/>
              <w:bottom w:val="single" w:color="000000" w:sz="4" w:space="0"/>
              <w:right w:val="single" w:color="000000" w:sz="4" w:space="0"/>
            </w:tcBorders>
            <w:shd w:val="clear" w:color="auto" w:fill="auto"/>
            <w:noWrap/>
            <w:vAlign w:val="center"/>
          </w:tcPr>
          <w:p w14:paraId="5367AC29">
            <w:pPr>
              <w:pStyle w:val="45"/>
              <w:bidi w:val="0"/>
              <w:rPr>
                <w:rFonts w:hint="eastAsia"/>
                <w:highlight w:val="none"/>
                <w:lang w:val="en-US" w:eastAsia="zh-CN"/>
              </w:rPr>
            </w:pPr>
          </w:p>
        </w:tc>
        <w:tc>
          <w:tcPr>
            <w:tcW w:w="10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D535B">
            <w:pPr>
              <w:pStyle w:val="45"/>
              <w:bidi w:val="0"/>
              <w:rPr>
                <w:rFonts w:hint="default"/>
                <w:highlight w:val="none"/>
                <w:lang w:val="en-US" w:eastAsia="zh-CN"/>
              </w:rPr>
            </w:pPr>
            <w:r>
              <w:rPr>
                <w:rFonts w:hint="eastAsia"/>
                <w:highlight w:val="none"/>
                <w:lang w:val="en-US" w:eastAsia="zh-CN"/>
              </w:rPr>
              <w:t>氯酸钾</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88114">
            <w:pPr>
              <w:pStyle w:val="45"/>
              <w:bidi w:val="0"/>
              <w:rPr>
                <w:rFonts w:hint="eastAsia"/>
                <w:highlight w:val="none"/>
                <w:lang w:val="en-US" w:eastAsia="zh-CN"/>
              </w:rPr>
            </w:pPr>
          </w:p>
        </w:tc>
        <w:tc>
          <w:tcPr>
            <w:tcW w:w="796" w:type="pct"/>
            <w:vMerge w:val="continue"/>
            <w:tcBorders>
              <w:left w:val="single" w:color="000000" w:sz="4" w:space="0"/>
              <w:bottom w:val="single" w:color="000000" w:sz="4" w:space="0"/>
              <w:right w:val="single" w:color="000000" w:sz="4" w:space="0"/>
            </w:tcBorders>
            <w:shd w:val="clear" w:color="auto" w:fill="auto"/>
            <w:noWrap/>
            <w:vAlign w:val="center"/>
          </w:tcPr>
          <w:p w14:paraId="280C457C">
            <w:pPr>
              <w:pStyle w:val="45"/>
              <w:bidi w:val="0"/>
              <w:rPr>
                <w:rFonts w:hint="eastAsia"/>
                <w:highlight w:val="none"/>
              </w:rPr>
            </w:pPr>
          </w:p>
        </w:tc>
      </w:tr>
      <w:tr w14:paraId="5E44EE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F6B49">
            <w:pPr>
              <w:pStyle w:val="45"/>
              <w:bidi w:val="0"/>
              <w:ind w:firstLine="0" w:firstLineChars="0"/>
              <w:rPr>
                <w:rFonts w:hint="eastAsia" w:ascii="Times New Roman" w:hAnsi="Times New Roman" w:eastAsia="宋体" w:cs="Times New Roman"/>
                <w:kern w:val="0"/>
                <w:sz w:val="21"/>
                <w:szCs w:val="21"/>
                <w:highlight w:val="none"/>
                <w:lang w:val="en-US" w:eastAsia="zh-CN" w:bidi="ar-SA"/>
              </w:rPr>
            </w:pPr>
            <w:r>
              <w:rPr>
                <w:rFonts w:hint="eastAsia"/>
                <w:highlight w:val="none"/>
                <w:lang w:val="en-US" w:eastAsia="zh-CN"/>
              </w:rPr>
              <w:t>氯化钡</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0072A">
            <w:pPr>
              <w:pStyle w:val="45"/>
              <w:bidi w:val="0"/>
              <w:ind w:firstLine="0" w:firstLineChars="0"/>
              <w:rPr>
                <w:rFonts w:hint="eastAsia" w:ascii="Times New Roman" w:hAnsi="Times New Roman" w:eastAsia="宋体" w:cs="Times New Roman"/>
                <w:kern w:val="0"/>
                <w:sz w:val="21"/>
                <w:szCs w:val="21"/>
                <w:highlight w:val="none"/>
                <w:lang w:val="en-US" w:eastAsia="zh-CN" w:bidi="ar-SA"/>
              </w:rPr>
            </w:pPr>
            <w:r>
              <w:rPr>
                <w:rFonts w:hint="eastAsia"/>
                <w:highlight w:val="none"/>
                <w:lang w:val="en-US" w:eastAsia="zh-CN"/>
              </w:rPr>
              <w:t>22.5</w:t>
            </w:r>
          </w:p>
        </w:tc>
        <w:tc>
          <w:tcPr>
            <w:tcW w:w="3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C83C57">
            <w:pPr>
              <w:pStyle w:val="45"/>
              <w:bidi w:val="0"/>
              <w:ind w:firstLine="0" w:firstLineChars="0"/>
              <w:rPr>
                <w:rFonts w:hint="eastAsia" w:ascii="Times New Roman" w:hAnsi="Times New Roman" w:eastAsia="宋体" w:cs="Times New Roman"/>
                <w:kern w:val="0"/>
                <w:sz w:val="21"/>
                <w:szCs w:val="21"/>
                <w:highlight w:val="none"/>
                <w:lang w:val="en-US" w:eastAsia="zh-CN" w:bidi="ar-SA"/>
              </w:rPr>
            </w:pPr>
          </w:p>
        </w:tc>
        <w:tc>
          <w:tcPr>
            <w:tcW w:w="6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EECAB">
            <w:pPr>
              <w:pStyle w:val="45"/>
              <w:bidi w:val="0"/>
              <w:rPr>
                <w:rFonts w:hint="eastAsia"/>
                <w:highlight w:val="none"/>
              </w:rPr>
            </w:pPr>
            <w:r>
              <w:rPr>
                <w:rFonts w:hint="eastAsia"/>
                <w:highlight w:val="none"/>
                <w:lang w:val="en-US" w:eastAsia="zh-CN"/>
              </w:rPr>
              <w:t>废水</w:t>
            </w:r>
          </w:p>
        </w:tc>
        <w:tc>
          <w:tcPr>
            <w:tcW w:w="10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A26CB">
            <w:pPr>
              <w:pStyle w:val="45"/>
              <w:bidi w:val="0"/>
              <w:rPr>
                <w:rFonts w:hint="eastAsia"/>
                <w:highlight w:val="none"/>
              </w:rPr>
            </w:pPr>
            <w:r>
              <w:rPr>
                <w:rFonts w:hint="eastAsia"/>
                <w:highlight w:val="none"/>
                <w:lang w:val="en-US" w:eastAsia="zh-CN"/>
              </w:rPr>
              <w:t>真空冷凝水</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FA3A8">
            <w:pPr>
              <w:pStyle w:val="45"/>
              <w:bidi w:val="0"/>
              <w:rPr>
                <w:rFonts w:hint="eastAsia"/>
                <w:highlight w:val="none"/>
              </w:rPr>
            </w:pPr>
            <w:r>
              <w:rPr>
                <w:rFonts w:hint="eastAsia"/>
                <w:highlight w:val="none"/>
                <w:lang w:val="en-US" w:eastAsia="zh-CN"/>
              </w:rPr>
              <w:t>50873.18</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BD64B">
            <w:pPr>
              <w:pStyle w:val="45"/>
              <w:bidi w:val="0"/>
              <w:rPr>
                <w:rFonts w:hint="eastAsia"/>
                <w:highlight w:val="none"/>
              </w:rPr>
            </w:pPr>
            <w:r>
              <w:rPr>
                <w:rFonts w:hint="eastAsia"/>
                <w:highlight w:val="none"/>
                <w:lang w:val="en-US" w:eastAsia="zh-CN"/>
              </w:rPr>
              <w:t>回用于化盐</w:t>
            </w:r>
          </w:p>
        </w:tc>
      </w:tr>
      <w:tr w14:paraId="0B0969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122E0">
            <w:pPr>
              <w:pStyle w:val="45"/>
              <w:bidi w:val="0"/>
              <w:rPr>
                <w:rFonts w:hint="eastAsia"/>
                <w:highlight w:val="none"/>
              </w:rPr>
            </w:pP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B00CB">
            <w:pPr>
              <w:pStyle w:val="45"/>
              <w:bidi w:val="0"/>
              <w:rPr>
                <w:rFonts w:hint="eastAsia"/>
                <w:highlight w:val="none"/>
              </w:rPr>
            </w:pPr>
          </w:p>
        </w:tc>
        <w:tc>
          <w:tcPr>
            <w:tcW w:w="3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72CC61">
            <w:pPr>
              <w:pStyle w:val="45"/>
              <w:bidi w:val="0"/>
              <w:rPr>
                <w:rFonts w:hint="eastAsia"/>
                <w:highlight w:val="none"/>
              </w:rPr>
            </w:pPr>
          </w:p>
        </w:tc>
        <w:tc>
          <w:tcPr>
            <w:tcW w:w="61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47DF7">
            <w:pPr>
              <w:pStyle w:val="45"/>
              <w:bidi w:val="0"/>
              <w:rPr>
                <w:rFonts w:hint="eastAsia"/>
                <w:highlight w:val="none"/>
              </w:rPr>
            </w:pPr>
            <w:r>
              <w:rPr>
                <w:rFonts w:hint="eastAsia"/>
                <w:highlight w:val="none"/>
                <w:lang w:val="en-US" w:eastAsia="zh-CN"/>
              </w:rPr>
              <w:t>固废</w:t>
            </w:r>
          </w:p>
        </w:tc>
        <w:tc>
          <w:tcPr>
            <w:tcW w:w="10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F6F8B">
            <w:pPr>
              <w:pStyle w:val="45"/>
              <w:bidi w:val="0"/>
              <w:rPr>
                <w:rFonts w:hint="eastAsia"/>
                <w:highlight w:val="none"/>
              </w:rPr>
            </w:pPr>
            <w:r>
              <w:rPr>
                <w:rFonts w:hint="eastAsia"/>
                <w:highlight w:val="none"/>
                <w:lang w:val="en-US" w:eastAsia="zh-CN"/>
              </w:rPr>
              <w:t>除铬滤渣</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50EB3">
            <w:pPr>
              <w:pStyle w:val="45"/>
              <w:bidi w:val="0"/>
              <w:rPr>
                <w:rFonts w:hint="eastAsia"/>
                <w:highlight w:val="none"/>
              </w:rPr>
            </w:pPr>
            <w:r>
              <w:rPr>
                <w:rFonts w:hint="eastAsia"/>
                <w:highlight w:val="none"/>
                <w:lang w:val="en-US" w:eastAsia="zh-CN"/>
              </w:rPr>
              <w:t>60.75</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041D0">
            <w:pPr>
              <w:pStyle w:val="45"/>
              <w:bidi w:val="0"/>
              <w:rPr>
                <w:rFonts w:hint="eastAsia"/>
                <w:highlight w:val="none"/>
              </w:rPr>
            </w:pPr>
          </w:p>
        </w:tc>
      </w:tr>
      <w:tr w14:paraId="0498F0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51D35F">
            <w:pPr>
              <w:pStyle w:val="45"/>
              <w:bidi w:val="0"/>
              <w:rPr>
                <w:rFonts w:hint="eastAsia"/>
                <w:highlight w:val="none"/>
              </w:rPr>
            </w:pP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DB15C">
            <w:pPr>
              <w:pStyle w:val="45"/>
              <w:bidi w:val="0"/>
              <w:rPr>
                <w:rFonts w:hint="eastAsia"/>
                <w:highlight w:val="none"/>
              </w:rPr>
            </w:pPr>
          </w:p>
        </w:tc>
        <w:tc>
          <w:tcPr>
            <w:tcW w:w="3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B2BF7">
            <w:pPr>
              <w:pStyle w:val="45"/>
              <w:bidi w:val="0"/>
              <w:rPr>
                <w:rFonts w:hint="eastAsia"/>
                <w:highlight w:val="none"/>
              </w:rPr>
            </w:pPr>
          </w:p>
        </w:tc>
        <w:tc>
          <w:tcPr>
            <w:tcW w:w="61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810ECA">
            <w:pPr>
              <w:pStyle w:val="45"/>
              <w:bidi w:val="0"/>
              <w:rPr>
                <w:rFonts w:hint="eastAsia"/>
                <w:highlight w:val="none"/>
              </w:rPr>
            </w:pPr>
          </w:p>
        </w:tc>
        <w:tc>
          <w:tcPr>
            <w:tcW w:w="10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D5D75">
            <w:pPr>
              <w:pStyle w:val="45"/>
              <w:bidi w:val="0"/>
              <w:rPr>
                <w:rFonts w:hint="eastAsia"/>
                <w:highlight w:val="none"/>
              </w:rPr>
            </w:pPr>
            <w:r>
              <w:rPr>
                <w:rFonts w:hint="eastAsia"/>
                <w:highlight w:val="none"/>
                <w:lang w:val="en-US" w:eastAsia="zh-CN"/>
              </w:rPr>
              <w:t>除杂滤渣</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999A4">
            <w:pPr>
              <w:pStyle w:val="45"/>
              <w:bidi w:val="0"/>
              <w:rPr>
                <w:rFonts w:hint="eastAsia"/>
                <w:highlight w:val="none"/>
              </w:rPr>
            </w:pPr>
            <w:r>
              <w:rPr>
                <w:rFonts w:hint="eastAsia"/>
                <w:highlight w:val="none"/>
                <w:lang w:val="en-US" w:eastAsia="zh-CN"/>
              </w:rPr>
              <w:t>218.47</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A67B7">
            <w:pPr>
              <w:pStyle w:val="45"/>
              <w:bidi w:val="0"/>
              <w:rPr>
                <w:rFonts w:hint="eastAsia"/>
                <w:highlight w:val="none"/>
              </w:rPr>
            </w:pPr>
          </w:p>
        </w:tc>
      </w:tr>
      <w:tr w14:paraId="4CB7BA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402C2">
            <w:pPr>
              <w:pStyle w:val="45"/>
              <w:bidi w:val="0"/>
              <w:rPr>
                <w:rFonts w:hint="eastAsia"/>
                <w:highlight w:val="none"/>
              </w:rPr>
            </w:pPr>
            <w:r>
              <w:rPr>
                <w:rFonts w:hint="eastAsia"/>
                <w:highlight w:val="none"/>
                <w:lang w:val="en-US" w:eastAsia="zh-CN"/>
              </w:rPr>
              <w:t>合计</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623DD">
            <w:pPr>
              <w:pStyle w:val="45"/>
              <w:bidi w:val="0"/>
              <w:rPr>
                <w:rFonts w:hint="eastAsia"/>
                <w:highlight w:val="none"/>
              </w:rPr>
            </w:pPr>
            <w:r>
              <w:rPr>
                <w:rFonts w:hint="eastAsia"/>
                <w:highlight w:val="none"/>
                <w:lang w:val="en-US" w:eastAsia="zh-CN"/>
              </w:rPr>
              <w:t>82199.2</w:t>
            </w:r>
          </w:p>
        </w:tc>
        <w:tc>
          <w:tcPr>
            <w:tcW w:w="3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D96070">
            <w:pPr>
              <w:pStyle w:val="45"/>
              <w:bidi w:val="0"/>
              <w:rPr>
                <w:rFonts w:hint="eastAsia"/>
                <w:highlight w:val="none"/>
              </w:rPr>
            </w:pPr>
          </w:p>
        </w:tc>
        <w:tc>
          <w:tcPr>
            <w:tcW w:w="168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1E2B3">
            <w:pPr>
              <w:pStyle w:val="45"/>
              <w:bidi w:val="0"/>
              <w:rPr>
                <w:rFonts w:hint="eastAsia"/>
                <w:highlight w:val="none"/>
              </w:rPr>
            </w:pPr>
            <w:r>
              <w:rPr>
                <w:rFonts w:hint="eastAsia"/>
                <w:highlight w:val="none"/>
                <w:lang w:val="en-US" w:eastAsia="zh-CN"/>
              </w:rPr>
              <w:t>合计</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78CA4">
            <w:pPr>
              <w:pStyle w:val="45"/>
              <w:bidi w:val="0"/>
              <w:rPr>
                <w:rFonts w:hint="eastAsia"/>
                <w:highlight w:val="none"/>
              </w:rPr>
            </w:pPr>
            <w:r>
              <w:rPr>
                <w:rFonts w:hint="eastAsia"/>
                <w:highlight w:val="none"/>
                <w:lang w:val="en-US" w:eastAsia="zh-CN"/>
              </w:rPr>
              <w:t>82199.2</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FA8902">
            <w:pPr>
              <w:pStyle w:val="45"/>
              <w:bidi w:val="0"/>
              <w:rPr>
                <w:rFonts w:hint="eastAsia"/>
                <w:highlight w:val="none"/>
              </w:rPr>
            </w:pPr>
          </w:p>
        </w:tc>
      </w:tr>
    </w:tbl>
    <w:p w14:paraId="3A94ED11">
      <w:pPr>
        <w:spacing w:line="240" w:lineRule="auto"/>
        <w:ind w:firstLine="0" w:firstLineChars="0"/>
        <w:rPr>
          <w:highlight w:val="none"/>
        </w:rPr>
      </w:pPr>
    </w:p>
    <w:p w14:paraId="525841EA">
      <w:pPr>
        <w:ind w:firstLine="0" w:firstLineChars="0"/>
        <w:jc w:val="center"/>
        <w:rPr>
          <w:rFonts w:hint="eastAsia" w:eastAsia="宋体"/>
          <w:highlight w:val="none"/>
          <w:lang w:eastAsia="zh-CN"/>
        </w:rPr>
      </w:pPr>
      <w:r>
        <w:rPr>
          <w:rFonts w:hint="eastAsia" w:eastAsia="宋体"/>
          <w:highlight w:val="none"/>
          <w:lang w:eastAsia="zh-CN"/>
        </w:rPr>
        <w:object>
          <v:shape id="_x0000_i1037" o:spt="75" type="#_x0000_t75" style="height:304.6pt;width:415.05pt;" o:ole="t" filled="f" o:preferrelative="t" stroked="f" coordsize="21600,21600">
            <v:path/>
            <v:fill on="f" focussize="0,0"/>
            <v:stroke on="f"/>
            <v:imagedata r:id="rId44" o:title=""/>
            <o:lock v:ext="edit" aspectratio="f"/>
            <w10:wrap type="none"/>
            <w10:anchorlock/>
          </v:shape>
          <o:OLEObject Type="Embed" ProgID="Visio.Drawing.15" ShapeID="_x0000_i1037" DrawAspect="Content" ObjectID="_1468075737" r:id="rId43">
            <o:LockedField>false</o:LockedField>
          </o:OLEObject>
        </w:object>
      </w:r>
    </w:p>
    <w:p w14:paraId="61275490">
      <w:pPr>
        <w:pStyle w:val="42"/>
        <w:numPr>
          <w:ilvl w:val="6"/>
          <w:numId w:val="1"/>
        </w:numPr>
        <w:rPr>
          <w:rFonts w:hint="default"/>
          <w:highlight w:val="none"/>
        </w:rPr>
      </w:pPr>
      <w:r>
        <w:rPr>
          <w:highlight w:val="none"/>
        </w:rPr>
        <w:t>氯酸</w:t>
      </w:r>
      <w:r>
        <w:rPr>
          <w:rFonts w:hint="eastAsia"/>
          <w:highlight w:val="none"/>
          <w:lang w:val="en-US" w:eastAsia="zh-CN"/>
        </w:rPr>
        <w:t>钾</w:t>
      </w:r>
      <w:r>
        <w:rPr>
          <w:highlight w:val="none"/>
        </w:rPr>
        <w:t>生产工艺流程及物料平衡示意图（单位：t/a）</w:t>
      </w:r>
    </w:p>
    <w:p w14:paraId="72086006">
      <w:pPr>
        <w:ind w:firstLine="480"/>
        <w:rPr>
          <w:highlight w:val="none"/>
        </w:rPr>
      </w:pPr>
    </w:p>
    <w:p w14:paraId="4DC0047C">
      <w:pPr>
        <w:ind w:firstLine="480"/>
        <w:outlineLvl w:val="5"/>
        <w:rPr>
          <w:rFonts w:hint="default" w:eastAsia="宋体"/>
          <w:b/>
          <w:bCs/>
          <w:highlight w:val="none"/>
          <w:lang w:val="en-US" w:eastAsia="zh-CN"/>
        </w:rPr>
      </w:pPr>
      <w:r>
        <w:rPr>
          <w:rFonts w:hint="eastAsia"/>
          <w:b/>
          <w:bCs/>
          <w:highlight w:val="none"/>
          <w:lang w:val="en-US" w:eastAsia="zh-CN"/>
        </w:rPr>
        <w:t>（2）复分解生产氯酸钾氯元素平衡</w:t>
      </w:r>
    </w:p>
    <w:p w14:paraId="3785823E">
      <w:pPr>
        <w:pStyle w:val="43"/>
        <w:numPr>
          <w:ilvl w:val="5"/>
          <w:numId w:val="1"/>
        </w:numPr>
        <w:bidi w:val="0"/>
        <w:rPr>
          <w:b/>
          <w:bCs/>
          <w:highlight w:val="none"/>
        </w:rPr>
      </w:pPr>
      <w:r>
        <w:rPr>
          <w:rFonts w:hint="eastAsia"/>
          <w:highlight w:val="none"/>
          <w:lang w:val="en-US" w:eastAsia="zh-CN"/>
        </w:rPr>
        <w:t>氯酸钾（产品）生产氯元素平衡一览表</w:t>
      </w:r>
    </w:p>
    <w:tbl>
      <w:tblPr>
        <w:tblStyle w:val="32"/>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81"/>
        <w:gridCol w:w="1287"/>
        <w:gridCol w:w="1352"/>
        <w:gridCol w:w="1890"/>
        <w:gridCol w:w="1289"/>
        <w:gridCol w:w="1621"/>
      </w:tblGrid>
      <w:tr w14:paraId="4618B7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390" w:type="pct"/>
            <w:gridSpan w:val="2"/>
            <w:tcBorders>
              <w:top w:val="single" w:color="000000" w:sz="8" w:space="0"/>
              <w:left w:val="single" w:color="000000" w:sz="8" w:space="0"/>
              <w:bottom w:val="single" w:color="000000" w:sz="8" w:space="0"/>
              <w:right w:val="single" w:color="000000" w:sz="8" w:space="0"/>
            </w:tcBorders>
            <w:shd w:val="clear" w:color="auto" w:fill="auto"/>
            <w:noWrap/>
            <w:vAlign w:val="center"/>
          </w:tcPr>
          <w:p w14:paraId="37382454">
            <w:pPr>
              <w:pStyle w:val="45"/>
              <w:bidi w:val="0"/>
              <w:rPr>
                <w:rFonts w:hint="eastAsia"/>
              </w:rPr>
            </w:pPr>
            <w:r>
              <w:rPr>
                <w:rFonts w:hint="eastAsia"/>
                <w:lang w:val="en-US" w:eastAsia="zh-CN"/>
              </w:rPr>
              <w:t>投入（</w:t>
            </w:r>
            <w:r>
              <w:rPr>
                <w:rFonts w:hint="default"/>
                <w:lang w:val="en-US" w:eastAsia="zh-CN"/>
              </w:rPr>
              <w:t>t</w:t>
            </w:r>
            <w:r>
              <w:rPr>
                <w:rFonts w:hint="eastAsia"/>
                <w:lang w:val="en-US" w:eastAsia="zh-CN"/>
              </w:rPr>
              <w:t>）</w:t>
            </w:r>
          </w:p>
        </w:tc>
        <w:tc>
          <w:tcPr>
            <w:tcW w:w="2658" w:type="pct"/>
            <w:gridSpan w:val="3"/>
            <w:tcBorders>
              <w:top w:val="single" w:color="000000" w:sz="8" w:space="0"/>
              <w:left w:val="nil"/>
              <w:bottom w:val="single" w:color="000000" w:sz="8" w:space="0"/>
              <w:right w:val="single" w:color="000000" w:sz="8" w:space="0"/>
            </w:tcBorders>
            <w:shd w:val="clear" w:color="auto" w:fill="auto"/>
            <w:noWrap/>
            <w:vAlign w:val="center"/>
          </w:tcPr>
          <w:p w14:paraId="73E3C8F1">
            <w:pPr>
              <w:pStyle w:val="45"/>
              <w:bidi w:val="0"/>
              <w:rPr>
                <w:rFonts w:hint="eastAsia"/>
              </w:rPr>
            </w:pPr>
            <w:r>
              <w:rPr>
                <w:rFonts w:hint="eastAsia"/>
                <w:lang w:val="en-US" w:eastAsia="zh-CN"/>
              </w:rPr>
              <w:t>产出（</w:t>
            </w:r>
            <w:r>
              <w:rPr>
                <w:rFonts w:hint="default"/>
                <w:lang w:val="en-US" w:eastAsia="zh-CN"/>
              </w:rPr>
              <w:t>t</w:t>
            </w:r>
            <w:r>
              <w:rPr>
                <w:rFonts w:hint="eastAsia"/>
                <w:lang w:val="en-US" w:eastAsia="zh-CN"/>
              </w:rPr>
              <w:t>）</w:t>
            </w:r>
          </w:p>
        </w:tc>
        <w:tc>
          <w:tcPr>
            <w:tcW w:w="951" w:type="pct"/>
            <w:tcBorders>
              <w:top w:val="single" w:color="000000" w:sz="8" w:space="0"/>
              <w:left w:val="nil"/>
              <w:bottom w:val="single" w:color="000000" w:sz="8" w:space="0"/>
              <w:right w:val="single" w:color="000000" w:sz="8" w:space="0"/>
            </w:tcBorders>
            <w:shd w:val="clear" w:color="auto" w:fill="auto"/>
            <w:noWrap/>
            <w:vAlign w:val="center"/>
          </w:tcPr>
          <w:p w14:paraId="17093522">
            <w:pPr>
              <w:pStyle w:val="45"/>
              <w:bidi w:val="0"/>
              <w:rPr>
                <w:rFonts w:hint="eastAsia"/>
              </w:rPr>
            </w:pPr>
            <w:r>
              <w:rPr>
                <w:rFonts w:hint="eastAsia"/>
                <w:lang w:val="en-US" w:eastAsia="zh-CN"/>
              </w:rPr>
              <w:t>备注</w:t>
            </w:r>
          </w:p>
        </w:tc>
      </w:tr>
      <w:tr w14:paraId="626E97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635" w:type="pct"/>
            <w:tcBorders>
              <w:top w:val="nil"/>
              <w:left w:val="single" w:color="000000" w:sz="8" w:space="0"/>
              <w:bottom w:val="single" w:color="000000" w:sz="8" w:space="0"/>
              <w:right w:val="single" w:color="000000" w:sz="8" w:space="0"/>
            </w:tcBorders>
            <w:shd w:val="clear" w:color="auto" w:fill="auto"/>
            <w:noWrap/>
            <w:vAlign w:val="center"/>
          </w:tcPr>
          <w:p w14:paraId="6EED0539">
            <w:pPr>
              <w:pStyle w:val="45"/>
              <w:bidi w:val="0"/>
              <w:rPr>
                <w:rFonts w:hint="eastAsia"/>
              </w:rPr>
            </w:pPr>
            <w:r>
              <w:rPr>
                <w:rFonts w:hint="eastAsia"/>
                <w:lang w:val="en-US" w:eastAsia="zh-CN"/>
              </w:rPr>
              <w:t>氯酸钠</w:t>
            </w:r>
          </w:p>
        </w:tc>
        <w:tc>
          <w:tcPr>
            <w:tcW w:w="755" w:type="pct"/>
            <w:tcBorders>
              <w:top w:val="nil"/>
              <w:left w:val="nil"/>
              <w:bottom w:val="single" w:color="000000" w:sz="8" w:space="0"/>
              <w:right w:val="single" w:color="000000" w:sz="8" w:space="0"/>
            </w:tcBorders>
            <w:shd w:val="clear" w:color="auto" w:fill="auto"/>
            <w:noWrap/>
            <w:vAlign w:val="center"/>
          </w:tcPr>
          <w:p w14:paraId="24A2893C">
            <w:pPr>
              <w:pStyle w:val="45"/>
              <w:bidi w:val="0"/>
              <w:rPr>
                <w:rFonts w:hint="default"/>
                <w:lang w:val="en-US"/>
              </w:rPr>
            </w:pPr>
            <w:r>
              <w:rPr>
                <w:rFonts w:hint="eastAsia"/>
                <w:lang w:val="en-US" w:eastAsia="zh-CN"/>
              </w:rPr>
              <w:t>6000</w:t>
            </w:r>
          </w:p>
        </w:tc>
        <w:tc>
          <w:tcPr>
            <w:tcW w:w="793" w:type="pct"/>
            <w:tcBorders>
              <w:top w:val="nil"/>
              <w:left w:val="nil"/>
              <w:bottom w:val="single" w:color="000000" w:sz="8" w:space="0"/>
              <w:right w:val="single" w:color="000000" w:sz="8" w:space="0"/>
            </w:tcBorders>
            <w:shd w:val="clear" w:color="auto" w:fill="auto"/>
            <w:noWrap/>
            <w:vAlign w:val="center"/>
          </w:tcPr>
          <w:p w14:paraId="153AB248">
            <w:pPr>
              <w:pStyle w:val="45"/>
              <w:bidi w:val="0"/>
              <w:rPr>
                <w:rFonts w:hint="eastAsia"/>
              </w:rPr>
            </w:pPr>
            <w:r>
              <w:rPr>
                <w:rFonts w:hint="eastAsia"/>
                <w:lang w:val="en-US" w:eastAsia="zh-CN"/>
              </w:rPr>
              <w:t>产品</w:t>
            </w:r>
          </w:p>
        </w:tc>
        <w:tc>
          <w:tcPr>
            <w:tcW w:w="1109" w:type="pct"/>
            <w:tcBorders>
              <w:top w:val="single" w:color="000000" w:sz="8" w:space="0"/>
              <w:left w:val="nil"/>
              <w:bottom w:val="single" w:color="000000" w:sz="8" w:space="0"/>
              <w:right w:val="single" w:color="000000" w:sz="8" w:space="0"/>
            </w:tcBorders>
            <w:shd w:val="clear" w:color="auto" w:fill="auto"/>
            <w:noWrap/>
            <w:vAlign w:val="center"/>
          </w:tcPr>
          <w:p w14:paraId="356553F4">
            <w:pPr>
              <w:pStyle w:val="45"/>
              <w:bidi w:val="0"/>
              <w:rPr>
                <w:rFonts w:hint="eastAsia"/>
              </w:rPr>
            </w:pPr>
            <w:r>
              <w:rPr>
                <w:rFonts w:hint="eastAsia"/>
                <w:lang w:val="en-US" w:eastAsia="zh-CN"/>
              </w:rPr>
              <w:t>氯酸钾带走</w:t>
            </w:r>
          </w:p>
        </w:tc>
        <w:tc>
          <w:tcPr>
            <w:tcW w:w="755" w:type="pct"/>
            <w:tcBorders>
              <w:top w:val="single" w:color="000000" w:sz="8" w:space="0"/>
              <w:left w:val="nil"/>
              <w:bottom w:val="single" w:color="000000" w:sz="8" w:space="0"/>
              <w:right w:val="single" w:color="000000" w:sz="8" w:space="0"/>
            </w:tcBorders>
            <w:shd w:val="clear" w:color="auto" w:fill="auto"/>
            <w:noWrap/>
            <w:vAlign w:val="center"/>
          </w:tcPr>
          <w:p w14:paraId="0EAB7D7C">
            <w:pPr>
              <w:pStyle w:val="45"/>
              <w:bidi w:val="0"/>
              <w:rPr>
                <w:rFonts w:hint="default"/>
                <w:lang w:val="en-US"/>
              </w:rPr>
            </w:pPr>
            <w:r>
              <w:rPr>
                <w:rFonts w:hint="eastAsia"/>
                <w:lang w:val="en-US" w:eastAsia="zh-CN"/>
              </w:rPr>
              <w:t>5795.92</w:t>
            </w:r>
          </w:p>
        </w:tc>
        <w:tc>
          <w:tcPr>
            <w:tcW w:w="951" w:type="pct"/>
            <w:tcBorders>
              <w:top w:val="single" w:color="000000" w:sz="8" w:space="0"/>
              <w:left w:val="nil"/>
              <w:bottom w:val="single" w:color="000000" w:sz="8" w:space="0"/>
              <w:right w:val="single" w:color="000000" w:sz="8" w:space="0"/>
            </w:tcBorders>
            <w:shd w:val="clear" w:color="auto" w:fill="auto"/>
            <w:noWrap/>
            <w:vAlign w:val="center"/>
          </w:tcPr>
          <w:p w14:paraId="0BE3A736">
            <w:pPr>
              <w:pStyle w:val="45"/>
              <w:bidi w:val="0"/>
              <w:rPr>
                <w:rFonts w:hint="eastAsia"/>
              </w:rPr>
            </w:pPr>
          </w:p>
        </w:tc>
      </w:tr>
      <w:tr w14:paraId="6F7D3F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635" w:type="pct"/>
            <w:tcBorders>
              <w:top w:val="nil"/>
              <w:left w:val="single" w:color="000000" w:sz="8" w:space="0"/>
              <w:bottom w:val="single" w:color="000000" w:sz="8" w:space="0"/>
              <w:right w:val="single" w:color="000000" w:sz="8" w:space="0"/>
            </w:tcBorders>
            <w:shd w:val="clear" w:color="auto" w:fill="auto"/>
            <w:noWrap/>
            <w:vAlign w:val="center"/>
          </w:tcPr>
          <w:p w14:paraId="74349F8F">
            <w:pPr>
              <w:pStyle w:val="45"/>
              <w:bidi w:val="0"/>
              <w:rPr>
                <w:rFonts w:hint="eastAsia"/>
              </w:rPr>
            </w:pPr>
            <w:r>
              <w:rPr>
                <w:rFonts w:hint="eastAsia"/>
                <w:lang w:val="en-US" w:eastAsia="zh-CN"/>
              </w:rPr>
              <w:t>氯化钡</w:t>
            </w:r>
          </w:p>
        </w:tc>
        <w:tc>
          <w:tcPr>
            <w:tcW w:w="755" w:type="pct"/>
            <w:tcBorders>
              <w:top w:val="nil"/>
              <w:left w:val="nil"/>
              <w:bottom w:val="single" w:color="000000" w:sz="8" w:space="0"/>
              <w:right w:val="single" w:color="000000" w:sz="8" w:space="0"/>
            </w:tcBorders>
            <w:shd w:val="clear" w:color="auto" w:fill="auto"/>
            <w:noWrap/>
            <w:vAlign w:val="center"/>
          </w:tcPr>
          <w:p w14:paraId="7502217A">
            <w:pPr>
              <w:pStyle w:val="45"/>
              <w:bidi w:val="0"/>
              <w:rPr>
                <w:rFonts w:hint="default"/>
                <w:lang w:val="en-US"/>
              </w:rPr>
            </w:pPr>
            <w:r>
              <w:rPr>
                <w:rFonts w:hint="eastAsia"/>
                <w:lang w:val="en-US" w:eastAsia="zh-CN"/>
              </w:rPr>
              <w:t>7.68</w:t>
            </w:r>
          </w:p>
        </w:tc>
        <w:tc>
          <w:tcPr>
            <w:tcW w:w="793" w:type="pct"/>
            <w:tcBorders>
              <w:top w:val="nil"/>
              <w:left w:val="nil"/>
              <w:bottom w:val="single" w:color="000000" w:sz="8" w:space="0"/>
              <w:right w:val="single" w:color="000000" w:sz="8" w:space="0"/>
            </w:tcBorders>
            <w:shd w:val="clear" w:color="auto" w:fill="auto"/>
            <w:noWrap/>
            <w:vAlign w:val="center"/>
          </w:tcPr>
          <w:p w14:paraId="1D6BAB1F">
            <w:pPr>
              <w:pStyle w:val="45"/>
              <w:bidi w:val="0"/>
              <w:rPr>
                <w:rFonts w:hint="eastAsia"/>
              </w:rPr>
            </w:pPr>
            <w:r>
              <w:rPr>
                <w:rFonts w:hint="eastAsia"/>
                <w:lang w:val="en-US" w:eastAsia="zh-CN"/>
              </w:rPr>
              <w:t>副产品</w:t>
            </w:r>
          </w:p>
        </w:tc>
        <w:tc>
          <w:tcPr>
            <w:tcW w:w="1109" w:type="pct"/>
            <w:tcBorders>
              <w:top w:val="nil"/>
              <w:left w:val="nil"/>
              <w:bottom w:val="single" w:color="000000" w:sz="8" w:space="0"/>
              <w:right w:val="single" w:color="000000" w:sz="8" w:space="0"/>
            </w:tcBorders>
            <w:shd w:val="clear" w:color="auto" w:fill="auto"/>
            <w:noWrap/>
            <w:vAlign w:val="center"/>
          </w:tcPr>
          <w:p w14:paraId="14E87271">
            <w:pPr>
              <w:pStyle w:val="45"/>
              <w:bidi w:val="0"/>
              <w:rPr>
                <w:rFonts w:hint="eastAsia"/>
              </w:rPr>
            </w:pPr>
            <w:r>
              <w:rPr>
                <w:rFonts w:hint="eastAsia"/>
                <w:lang w:val="en-US" w:eastAsia="zh-CN"/>
              </w:rPr>
              <w:t>氯化钠带走</w:t>
            </w:r>
          </w:p>
        </w:tc>
        <w:tc>
          <w:tcPr>
            <w:tcW w:w="755" w:type="pct"/>
            <w:tcBorders>
              <w:top w:val="nil"/>
              <w:left w:val="nil"/>
              <w:bottom w:val="single" w:color="000000" w:sz="8" w:space="0"/>
              <w:right w:val="single" w:color="000000" w:sz="8" w:space="0"/>
            </w:tcBorders>
            <w:shd w:val="clear" w:color="auto" w:fill="auto"/>
            <w:noWrap/>
            <w:vAlign w:val="center"/>
          </w:tcPr>
          <w:p w14:paraId="3EE3DC4A">
            <w:pPr>
              <w:pStyle w:val="45"/>
              <w:bidi w:val="0"/>
              <w:rPr>
                <w:rFonts w:hint="default"/>
                <w:lang w:val="en-US"/>
              </w:rPr>
            </w:pPr>
            <w:r>
              <w:rPr>
                <w:rFonts w:hint="eastAsia"/>
                <w:lang w:val="en-US" w:eastAsia="zh-CN"/>
              </w:rPr>
              <w:t>5795.3</w:t>
            </w:r>
          </w:p>
        </w:tc>
        <w:tc>
          <w:tcPr>
            <w:tcW w:w="951" w:type="pct"/>
            <w:tcBorders>
              <w:top w:val="nil"/>
              <w:left w:val="nil"/>
              <w:bottom w:val="single" w:color="000000" w:sz="8" w:space="0"/>
              <w:right w:val="single" w:color="000000" w:sz="8" w:space="0"/>
            </w:tcBorders>
            <w:shd w:val="clear" w:color="auto" w:fill="auto"/>
            <w:noWrap/>
            <w:vAlign w:val="center"/>
          </w:tcPr>
          <w:p w14:paraId="31715F14">
            <w:pPr>
              <w:pStyle w:val="45"/>
              <w:bidi w:val="0"/>
              <w:rPr>
                <w:rFonts w:hint="eastAsia"/>
              </w:rPr>
            </w:pPr>
          </w:p>
        </w:tc>
      </w:tr>
      <w:tr w14:paraId="5C2E84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635" w:type="pct"/>
            <w:tcBorders>
              <w:top w:val="nil"/>
              <w:left w:val="single" w:color="000000" w:sz="8" w:space="0"/>
              <w:bottom w:val="single" w:color="000000" w:sz="8" w:space="0"/>
              <w:right w:val="single" w:color="000000" w:sz="8" w:space="0"/>
            </w:tcBorders>
            <w:shd w:val="clear" w:color="auto" w:fill="auto"/>
            <w:noWrap/>
            <w:vAlign w:val="center"/>
          </w:tcPr>
          <w:p w14:paraId="45ADBEFF">
            <w:pPr>
              <w:pStyle w:val="45"/>
              <w:bidi w:val="0"/>
              <w:rPr>
                <w:rFonts w:hint="eastAsia"/>
              </w:rPr>
            </w:pPr>
            <w:r>
              <w:rPr>
                <w:rFonts w:hint="eastAsia"/>
                <w:lang w:val="en-US" w:eastAsia="zh-CN"/>
              </w:rPr>
              <w:t>氯化钾</w:t>
            </w:r>
          </w:p>
        </w:tc>
        <w:tc>
          <w:tcPr>
            <w:tcW w:w="755" w:type="pct"/>
            <w:tcBorders>
              <w:top w:val="nil"/>
              <w:left w:val="nil"/>
              <w:bottom w:val="single" w:color="000000" w:sz="8" w:space="0"/>
              <w:right w:val="single" w:color="000000" w:sz="8" w:space="0"/>
            </w:tcBorders>
            <w:shd w:val="clear" w:color="auto" w:fill="auto"/>
            <w:noWrap/>
            <w:vAlign w:val="center"/>
          </w:tcPr>
          <w:p w14:paraId="0E31FF7C">
            <w:pPr>
              <w:pStyle w:val="45"/>
              <w:bidi w:val="0"/>
              <w:rPr>
                <w:rFonts w:hint="default"/>
                <w:lang w:val="en-US"/>
              </w:rPr>
            </w:pPr>
            <w:r>
              <w:rPr>
                <w:rFonts w:hint="eastAsia"/>
                <w:lang w:val="en-US" w:eastAsia="zh-CN"/>
              </w:rPr>
              <w:t>6194.63</w:t>
            </w:r>
          </w:p>
        </w:tc>
        <w:tc>
          <w:tcPr>
            <w:tcW w:w="793" w:type="pct"/>
            <w:vMerge w:val="restart"/>
            <w:tcBorders>
              <w:top w:val="nil"/>
              <w:left w:val="nil"/>
              <w:bottom w:val="single" w:color="000000" w:sz="8" w:space="0"/>
              <w:right w:val="single" w:color="000000" w:sz="8" w:space="0"/>
            </w:tcBorders>
            <w:shd w:val="clear" w:color="auto" w:fill="auto"/>
            <w:noWrap/>
            <w:vAlign w:val="center"/>
          </w:tcPr>
          <w:p w14:paraId="1A2E9FB9">
            <w:pPr>
              <w:pStyle w:val="45"/>
              <w:bidi w:val="0"/>
              <w:rPr>
                <w:rFonts w:hint="eastAsia"/>
              </w:rPr>
            </w:pPr>
            <w:r>
              <w:rPr>
                <w:rFonts w:hint="eastAsia"/>
                <w:lang w:val="en-US" w:eastAsia="zh-CN"/>
              </w:rPr>
              <w:t>其他物料</w:t>
            </w:r>
          </w:p>
        </w:tc>
        <w:tc>
          <w:tcPr>
            <w:tcW w:w="1109" w:type="pct"/>
            <w:tcBorders>
              <w:top w:val="nil"/>
              <w:left w:val="nil"/>
              <w:bottom w:val="single" w:color="000000" w:sz="8" w:space="0"/>
              <w:right w:val="single" w:color="000000" w:sz="8" w:space="0"/>
            </w:tcBorders>
            <w:shd w:val="clear" w:color="auto" w:fill="auto"/>
            <w:noWrap/>
            <w:vAlign w:val="center"/>
          </w:tcPr>
          <w:p w14:paraId="6695BA4F">
            <w:pPr>
              <w:pStyle w:val="45"/>
              <w:bidi w:val="0"/>
              <w:rPr>
                <w:rFonts w:hint="eastAsia"/>
              </w:rPr>
            </w:pPr>
            <w:r>
              <w:rPr>
                <w:rFonts w:hint="eastAsia"/>
                <w:lang w:val="en-US" w:eastAsia="zh-CN"/>
              </w:rPr>
              <w:t>干燥粉尘带走</w:t>
            </w:r>
          </w:p>
        </w:tc>
        <w:tc>
          <w:tcPr>
            <w:tcW w:w="755" w:type="pct"/>
            <w:tcBorders>
              <w:top w:val="nil"/>
              <w:left w:val="nil"/>
              <w:bottom w:val="single" w:color="000000" w:sz="8" w:space="0"/>
              <w:right w:val="single" w:color="000000" w:sz="8" w:space="0"/>
            </w:tcBorders>
            <w:shd w:val="clear" w:color="auto" w:fill="auto"/>
            <w:noWrap/>
            <w:vAlign w:val="center"/>
          </w:tcPr>
          <w:p w14:paraId="2AE0FADF">
            <w:pPr>
              <w:pStyle w:val="45"/>
              <w:bidi w:val="0"/>
              <w:rPr>
                <w:rFonts w:hint="default"/>
                <w:lang w:val="en-US"/>
              </w:rPr>
            </w:pPr>
            <w:r>
              <w:rPr>
                <w:rFonts w:hint="eastAsia"/>
                <w:lang w:val="en-US" w:eastAsia="zh-CN"/>
              </w:rPr>
              <w:t>13.06</w:t>
            </w:r>
          </w:p>
        </w:tc>
        <w:tc>
          <w:tcPr>
            <w:tcW w:w="951" w:type="pct"/>
            <w:tcBorders>
              <w:top w:val="nil"/>
              <w:left w:val="nil"/>
              <w:bottom w:val="single" w:color="000000" w:sz="8" w:space="0"/>
              <w:right w:val="single" w:color="000000" w:sz="8" w:space="0"/>
            </w:tcBorders>
            <w:shd w:val="clear" w:color="auto" w:fill="auto"/>
            <w:noWrap/>
            <w:vAlign w:val="center"/>
          </w:tcPr>
          <w:p w14:paraId="78620928">
            <w:pPr>
              <w:pStyle w:val="45"/>
              <w:bidi w:val="0"/>
              <w:rPr>
                <w:rFonts w:hint="eastAsia"/>
              </w:rPr>
            </w:pPr>
            <w:r>
              <w:rPr>
                <w:rFonts w:hint="eastAsia"/>
                <w:lang w:val="en-US" w:eastAsia="zh-CN"/>
              </w:rPr>
              <w:t>氯酸钾粉尘</w:t>
            </w:r>
          </w:p>
        </w:tc>
      </w:tr>
      <w:tr w14:paraId="73B71F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635" w:type="pct"/>
            <w:tcBorders>
              <w:top w:val="nil"/>
              <w:left w:val="single" w:color="000000" w:sz="8" w:space="0"/>
              <w:bottom w:val="single" w:color="000000" w:sz="8" w:space="0"/>
              <w:right w:val="single" w:color="000000" w:sz="8" w:space="0"/>
            </w:tcBorders>
            <w:shd w:val="clear" w:color="auto" w:fill="auto"/>
            <w:noWrap/>
            <w:vAlign w:val="center"/>
          </w:tcPr>
          <w:p w14:paraId="1515219E">
            <w:pPr>
              <w:pStyle w:val="45"/>
              <w:bidi w:val="0"/>
              <w:rPr>
                <w:rFonts w:hint="eastAsia"/>
              </w:rPr>
            </w:pPr>
          </w:p>
        </w:tc>
        <w:tc>
          <w:tcPr>
            <w:tcW w:w="755" w:type="pct"/>
            <w:tcBorders>
              <w:top w:val="nil"/>
              <w:left w:val="nil"/>
              <w:bottom w:val="single" w:color="000000" w:sz="8" w:space="0"/>
              <w:right w:val="single" w:color="000000" w:sz="8" w:space="0"/>
            </w:tcBorders>
            <w:shd w:val="clear" w:color="auto" w:fill="auto"/>
            <w:noWrap/>
            <w:vAlign w:val="center"/>
          </w:tcPr>
          <w:p w14:paraId="0C9DEEFA">
            <w:pPr>
              <w:pStyle w:val="45"/>
              <w:bidi w:val="0"/>
              <w:rPr>
                <w:rFonts w:hint="eastAsia"/>
              </w:rPr>
            </w:pPr>
          </w:p>
        </w:tc>
        <w:tc>
          <w:tcPr>
            <w:tcW w:w="793" w:type="pct"/>
            <w:vMerge w:val="continue"/>
            <w:tcBorders>
              <w:top w:val="nil"/>
              <w:left w:val="nil"/>
              <w:bottom w:val="single" w:color="000000" w:sz="8" w:space="0"/>
              <w:right w:val="single" w:color="000000" w:sz="8" w:space="0"/>
            </w:tcBorders>
            <w:shd w:val="clear" w:color="auto" w:fill="auto"/>
            <w:noWrap/>
            <w:vAlign w:val="center"/>
          </w:tcPr>
          <w:p w14:paraId="3B812672">
            <w:pPr>
              <w:pStyle w:val="45"/>
              <w:bidi w:val="0"/>
              <w:rPr>
                <w:rFonts w:hint="eastAsia"/>
              </w:rPr>
            </w:pPr>
          </w:p>
        </w:tc>
        <w:tc>
          <w:tcPr>
            <w:tcW w:w="1109" w:type="pct"/>
            <w:tcBorders>
              <w:top w:val="nil"/>
              <w:left w:val="nil"/>
              <w:bottom w:val="single" w:color="000000" w:sz="8" w:space="0"/>
              <w:right w:val="single" w:color="000000" w:sz="8" w:space="0"/>
            </w:tcBorders>
            <w:shd w:val="clear" w:color="auto" w:fill="auto"/>
            <w:noWrap/>
            <w:vAlign w:val="center"/>
          </w:tcPr>
          <w:p w14:paraId="5E003933">
            <w:pPr>
              <w:pStyle w:val="45"/>
              <w:bidi w:val="0"/>
              <w:rPr>
                <w:rFonts w:hint="eastAsia"/>
              </w:rPr>
            </w:pPr>
            <w:r>
              <w:rPr>
                <w:rFonts w:hint="eastAsia"/>
                <w:lang w:val="en-US" w:eastAsia="zh-CN"/>
              </w:rPr>
              <w:t>除杂滤渣带走</w:t>
            </w:r>
          </w:p>
        </w:tc>
        <w:tc>
          <w:tcPr>
            <w:tcW w:w="755" w:type="pct"/>
            <w:tcBorders>
              <w:top w:val="nil"/>
              <w:left w:val="nil"/>
              <w:bottom w:val="single" w:color="000000" w:sz="8" w:space="0"/>
              <w:right w:val="single" w:color="000000" w:sz="8" w:space="0"/>
            </w:tcBorders>
            <w:shd w:val="clear" w:color="auto" w:fill="auto"/>
            <w:noWrap/>
            <w:vAlign w:val="center"/>
          </w:tcPr>
          <w:p w14:paraId="7E485EBA">
            <w:pPr>
              <w:pStyle w:val="45"/>
              <w:bidi w:val="0"/>
              <w:rPr>
                <w:rFonts w:hint="default"/>
              </w:rPr>
            </w:pPr>
            <w:r>
              <w:rPr>
                <w:rFonts w:hint="default"/>
                <w:lang w:val="en-US" w:eastAsia="zh-CN"/>
              </w:rPr>
              <w:t>2.7</w:t>
            </w:r>
          </w:p>
        </w:tc>
        <w:tc>
          <w:tcPr>
            <w:tcW w:w="951" w:type="pct"/>
            <w:tcBorders>
              <w:top w:val="nil"/>
              <w:left w:val="nil"/>
              <w:bottom w:val="single" w:color="000000" w:sz="8" w:space="0"/>
              <w:right w:val="single" w:color="000000" w:sz="8" w:space="0"/>
            </w:tcBorders>
            <w:shd w:val="clear" w:color="auto" w:fill="auto"/>
            <w:noWrap/>
            <w:vAlign w:val="center"/>
          </w:tcPr>
          <w:p w14:paraId="5B816E37">
            <w:pPr>
              <w:pStyle w:val="45"/>
              <w:bidi w:val="0"/>
              <w:rPr>
                <w:rFonts w:hint="eastAsia"/>
              </w:rPr>
            </w:pPr>
            <w:r>
              <w:rPr>
                <w:rFonts w:hint="eastAsia"/>
                <w:lang w:val="en-US" w:eastAsia="zh-CN"/>
              </w:rPr>
              <w:t>氯化钾除杂</w:t>
            </w:r>
          </w:p>
        </w:tc>
      </w:tr>
      <w:tr w14:paraId="1A031E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635" w:type="pct"/>
            <w:tcBorders>
              <w:top w:val="nil"/>
              <w:left w:val="single" w:color="000000" w:sz="8" w:space="0"/>
              <w:bottom w:val="single" w:color="000000" w:sz="8" w:space="0"/>
              <w:right w:val="single" w:color="000000" w:sz="8" w:space="0"/>
            </w:tcBorders>
            <w:shd w:val="clear" w:color="auto" w:fill="auto"/>
            <w:noWrap/>
            <w:vAlign w:val="center"/>
          </w:tcPr>
          <w:p w14:paraId="7F70034F">
            <w:pPr>
              <w:pStyle w:val="45"/>
              <w:bidi w:val="0"/>
              <w:rPr>
                <w:rFonts w:hint="eastAsia"/>
              </w:rPr>
            </w:pPr>
          </w:p>
        </w:tc>
        <w:tc>
          <w:tcPr>
            <w:tcW w:w="755" w:type="pct"/>
            <w:tcBorders>
              <w:top w:val="nil"/>
              <w:left w:val="nil"/>
              <w:bottom w:val="single" w:color="000000" w:sz="8" w:space="0"/>
              <w:right w:val="single" w:color="000000" w:sz="8" w:space="0"/>
            </w:tcBorders>
            <w:shd w:val="clear" w:color="auto" w:fill="auto"/>
            <w:noWrap/>
            <w:vAlign w:val="center"/>
          </w:tcPr>
          <w:p w14:paraId="3B2D63EA">
            <w:pPr>
              <w:pStyle w:val="45"/>
              <w:bidi w:val="0"/>
              <w:rPr>
                <w:rFonts w:hint="eastAsia"/>
              </w:rPr>
            </w:pPr>
          </w:p>
        </w:tc>
        <w:tc>
          <w:tcPr>
            <w:tcW w:w="793" w:type="pct"/>
            <w:vMerge w:val="continue"/>
            <w:tcBorders>
              <w:top w:val="nil"/>
              <w:left w:val="nil"/>
              <w:bottom w:val="single" w:color="000000" w:sz="8" w:space="0"/>
              <w:right w:val="single" w:color="000000" w:sz="8" w:space="0"/>
            </w:tcBorders>
            <w:shd w:val="clear" w:color="auto" w:fill="auto"/>
            <w:noWrap/>
            <w:vAlign w:val="center"/>
          </w:tcPr>
          <w:p w14:paraId="17C320B8">
            <w:pPr>
              <w:pStyle w:val="45"/>
              <w:bidi w:val="0"/>
              <w:rPr>
                <w:rFonts w:hint="eastAsia"/>
              </w:rPr>
            </w:pPr>
          </w:p>
        </w:tc>
        <w:tc>
          <w:tcPr>
            <w:tcW w:w="1109" w:type="pct"/>
            <w:tcBorders>
              <w:top w:val="nil"/>
              <w:left w:val="nil"/>
              <w:bottom w:val="single" w:color="000000" w:sz="8" w:space="0"/>
              <w:right w:val="single" w:color="000000" w:sz="8" w:space="0"/>
            </w:tcBorders>
            <w:shd w:val="clear" w:color="auto" w:fill="auto"/>
            <w:noWrap/>
            <w:vAlign w:val="center"/>
          </w:tcPr>
          <w:p w14:paraId="5A9A583E">
            <w:pPr>
              <w:pStyle w:val="45"/>
              <w:bidi w:val="0"/>
              <w:rPr>
                <w:rFonts w:hint="eastAsia"/>
              </w:rPr>
            </w:pPr>
            <w:r>
              <w:rPr>
                <w:rFonts w:hint="eastAsia"/>
                <w:lang w:val="en-US" w:eastAsia="zh-CN"/>
              </w:rPr>
              <w:t>除铬滤渣带走</w:t>
            </w:r>
          </w:p>
        </w:tc>
        <w:tc>
          <w:tcPr>
            <w:tcW w:w="755" w:type="pct"/>
            <w:tcBorders>
              <w:top w:val="nil"/>
              <w:left w:val="nil"/>
              <w:bottom w:val="single" w:color="000000" w:sz="8" w:space="0"/>
              <w:right w:val="single" w:color="000000" w:sz="8" w:space="0"/>
            </w:tcBorders>
            <w:shd w:val="clear" w:color="auto" w:fill="auto"/>
            <w:noWrap/>
            <w:vAlign w:val="center"/>
          </w:tcPr>
          <w:p w14:paraId="6B576095">
            <w:pPr>
              <w:pStyle w:val="45"/>
              <w:bidi w:val="0"/>
              <w:rPr>
                <w:rFonts w:hint="default"/>
                <w:lang w:val="en-US"/>
              </w:rPr>
            </w:pPr>
            <w:r>
              <w:rPr>
                <w:rFonts w:hint="eastAsia"/>
                <w:lang w:val="en-US" w:eastAsia="zh-CN"/>
              </w:rPr>
              <w:t>4.98</w:t>
            </w:r>
          </w:p>
        </w:tc>
        <w:tc>
          <w:tcPr>
            <w:tcW w:w="951" w:type="pct"/>
            <w:tcBorders>
              <w:top w:val="nil"/>
              <w:left w:val="nil"/>
              <w:bottom w:val="single" w:color="000000" w:sz="8" w:space="0"/>
              <w:right w:val="single" w:color="000000" w:sz="8" w:space="0"/>
            </w:tcBorders>
            <w:shd w:val="clear" w:color="auto" w:fill="auto"/>
            <w:noWrap/>
            <w:vAlign w:val="center"/>
          </w:tcPr>
          <w:p w14:paraId="59184934">
            <w:pPr>
              <w:pStyle w:val="45"/>
              <w:bidi w:val="0"/>
              <w:rPr>
                <w:rFonts w:hint="eastAsia"/>
              </w:rPr>
            </w:pPr>
            <w:r>
              <w:rPr>
                <w:rFonts w:hint="eastAsia"/>
                <w:lang w:val="en-US" w:eastAsia="zh-CN"/>
              </w:rPr>
              <w:t>氯酸钠除铬</w:t>
            </w:r>
          </w:p>
        </w:tc>
      </w:tr>
      <w:tr w14:paraId="19B84A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635" w:type="pct"/>
            <w:tcBorders>
              <w:top w:val="nil"/>
              <w:left w:val="single" w:color="000000" w:sz="8" w:space="0"/>
              <w:bottom w:val="single" w:color="000000" w:sz="8" w:space="0"/>
              <w:right w:val="single" w:color="000000" w:sz="8" w:space="0"/>
            </w:tcBorders>
            <w:shd w:val="clear" w:color="auto" w:fill="auto"/>
            <w:noWrap/>
            <w:vAlign w:val="center"/>
          </w:tcPr>
          <w:p w14:paraId="3741AEE0">
            <w:pPr>
              <w:pStyle w:val="45"/>
              <w:bidi w:val="0"/>
              <w:rPr>
                <w:rFonts w:hint="eastAsia"/>
              </w:rPr>
            </w:pPr>
          </w:p>
        </w:tc>
        <w:tc>
          <w:tcPr>
            <w:tcW w:w="755" w:type="pct"/>
            <w:tcBorders>
              <w:top w:val="nil"/>
              <w:left w:val="nil"/>
              <w:bottom w:val="single" w:color="000000" w:sz="8" w:space="0"/>
              <w:right w:val="single" w:color="000000" w:sz="8" w:space="0"/>
            </w:tcBorders>
            <w:shd w:val="clear" w:color="auto" w:fill="auto"/>
            <w:noWrap/>
            <w:vAlign w:val="center"/>
          </w:tcPr>
          <w:p w14:paraId="0A0BC430">
            <w:pPr>
              <w:pStyle w:val="45"/>
              <w:bidi w:val="0"/>
              <w:rPr>
                <w:rFonts w:hint="eastAsia"/>
              </w:rPr>
            </w:pPr>
          </w:p>
        </w:tc>
        <w:tc>
          <w:tcPr>
            <w:tcW w:w="793" w:type="pct"/>
            <w:vMerge w:val="continue"/>
            <w:tcBorders>
              <w:top w:val="nil"/>
              <w:left w:val="nil"/>
              <w:bottom w:val="single" w:color="000000" w:sz="8" w:space="0"/>
              <w:right w:val="single" w:color="000000" w:sz="8" w:space="0"/>
            </w:tcBorders>
            <w:shd w:val="clear" w:color="auto" w:fill="auto"/>
            <w:noWrap/>
            <w:vAlign w:val="center"/>
          </w:tcPr>
          <w:p w14:paraId="3A8612AC">
            <w:pPr>
              <w:pStyle w:val="45"/>
              <w:bidi w:val="0"/>
              <w:rPr>
                <w:rFonts w:hint="eastAsia"/>
              </w:rPr>
            </w:pPr>
          </w:p>
        </w:tc>
        <w:tc>
          <w:tcPr>
            <w:tcW w:w="1109" w:type="pct"/>
            <w:tcBorders>
              <w:top w:val="nil"/>
              <w:left w:val="nil"/>
              <w:bottom w:val="single" w:color="000000" w:sz="8" w:space="0"/>
              <w:right w:val="single" w:color="000000" w:sz="8" w:space="0"/>
            </w:tcBorders>
            <w:shd w:val="clear" w:color="auto" w:fill="auto"/>
            <w:noWrap/>
            <w:vAlign w:val="center"/>
          </w:tcPr>
          <w:p w14:paraId="076D8DE1">
            <w:pPr>
              <w:pStyle w:val="45"/>
              <w:bidi w:val="0"/>
              <w:rPr>
                <w:rFonts w:hint="eastAsia"/>
              </w:rPr>
            </w:pPr>
            <w:r>
              <w:rPr>
                <w:rFonts w:hint="eastAsia"/>
                <w:lang w:val="en-US" w:eastAsia="zh-CN"/>
              </w:rPr>
              <w:t>母液带走</w:t>
            </w:r>
          </w:p>
        </w:tc>
        <w:tc>
          <w:tcPr>
            <w:tcW w:w="755" w:type="pct"/>
            <w:tcBorders>
              <w:top w:val="nil"/>
              <w:left w:val="nil"/>
              <w:bottom w:val="single" w:color="000000" w:sz="8" w:space="0"/>
              <w:right w:val="single" w:color="000000" w:sz="8" w:space="0"/>
            </w:tcBorders>
            <w:shd w:val="clear" w:color="auto" w:fill="auto"/>
            <w:noWrap/>
            <w:vAlign w:val="center"/>
          </w:tcPr>
          <w:p w14:paraId="1CED2884">
            <w:pPr>
              <w:pStyle w:val="45"/>
              <w:bidi w:val="0"/>
              <w:rPr>
                <w:rFonts w:hint="default"/>
                <w:lang w:val="en-US"/>
              </w:rPr>
            </w:pPr>
            <w:r>
              <w:rPr>
                <w:rFonts w:hint="eastAsia"/>
                <w:lang w:val="en-US" w:eastAsia="zh-CN"/>
              </w:rPr>
              <w:t>590.35</w:t>
            </w:r>
          </w:p>
        </w:tc>
        <w:tc>
          <w:tcPr>
            <w:tcW w:w="951" w:type="pct"/>
            <w:tcBorders>
              <w:top w:val="nil"/>
              <w:left w:val="nil"/>
              <w:bottom w:val="single" w:color="000000" w:sz="8" w:space="0"/>
              <w:right w:val="single" w:color="000000" w:sz="8" w:space="0"/>
            </w:tcBorders>
            <w:shd w:val="clear" w:color="auto" w:fill="auto"/>
            <w:noWrap/>
            <w:vAlign w:val="center"/>
          </w:tcPr>
          <w:p w14:paraId="24E97065">
            <w:pPr>
              <w:pStyle w:val="45"/>
              <w:bidi w:val="0"/>
              <w:rPr>
                <w:rFonts w:hint="eastAsia"/>
              </w:rPr>
            </w:pPr>
          </w:p>
        </w:tc>
      </w:tr>
      <w:tr w14:paraId="0744D5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635" w:type="pct"/>
            <w:tcBorders>
              <w:top w:val="nil"/>
              <w:left w:val="single" w:color="000000" w:sz="8" w:space="0"/>
              <w:bottom w:val="single" w:color="000000" w:sz="8" w:space="0"/>
              <w:right w:val="single" w:color="000000" w:sz="8" w:space="0"/>
            </w:tcBorders>
            <w:shd w:val="clear" w:color="auto" w:fill="auto"/>
            <w:noWrap/>
            <w:vAlign w:val="center"/>
          </w:tcPr>
          <w:p w14:paraId="46998811">
            <w:pPr>
              <w:pStyle w:val="45"/>
              <w:bidi w:val="0"/>
              <w:rPr>
                <w:rFonts w:hint="eastAsia"/>
              </w:rPr>
            </w:pPr>
            <w:r>
              <w:rPr>
                <w:rFonts w:hint="eastAsia"/>
                <w:lang w:val="en-US" w:eastAsia="zh-CN"/>
              </w:rPr>
              <w:t>合计</w:t>
            </w:r>
          </w:p>
        </w:tc>
        <w:tc>
          <w:tcPr>
            <w:tcW w:w="755" w:type="pct"/>
            <w:tcBorders>
              <w:top w:val="nil"/>
              <w:left w:val="nil"/>
              <w:bottom w:val="single" w:color="000000" w:sz="8" w:space="0"/>
              <w:right w:val="single" w:color="000000" w:sz="8" w:space="0"/>
            </w:tcBorders>
            <w:shd w:val="clear" w:color="auto" w:fill="auto"/>
            <w:noWrap/>
            <w:vAlign w:val="center"/>
          </w:tcPr>
          <w:p w14:paraId="08580288">
            <w:pPr>
              <w:pStyle w:val="45"/>
              <w:bidi w:val="0"/>
              <w:rPr>
                <w:rFonts w:hint="default"/>
                <w:lang w:val="en-US"/>
              </w:rPr>
            </w:pPr>
            <w:r>
              <w:rPr>
                <w:rFonts w:hint="eastAsia"/>
                <w:lang w:val="en-US" w:eastAsia="zh-CN"/>
              </w:rPr>
              <w:t>12202.31</w:t>
            </w:r>
          </w:p>
        </w:tc>
        <w:tc>
          <w:tcPr>
            <w:tcW w:w="1902" w:type="pct"/>
            <w:gridSpan w:val="2"/>
            <w:tcBorders>
              <w:top w:val="nil"/>
              <w:left w:val="nil"/>
              <w:bottom w:val="single" w:color="000000" w:sz="8" w:space="0"/>
              <w:right w:val="single" w:color="000000" w:sz="8" w:space="0"/>
            </w:tcBorders>
            <w:shd w:val="clear" w:color="auto" w:fill="auto"/>
            <w:noWrap/>
            <w:vAlign w:val="center"/>
          </w:tcPr>
          <w:p w14:paraId="5F24F3F2">
            <w:pPr>
              <w:pStyle w:val="45"/>
              <w:bidi w:val="0"/>
              <w:rPr>
                <w:rFonts w:hint="eastAsia"/>
              </w:rPr>
            </w:pPr>
            <w:r>
              <w:rPr>
                <w:rFonts w:hint="eastAsia"/>
                <w:lang w:val="en-US" w:eastAsia="zh-CN"/>
              </w:rPr>
              <w:t>合计</w:t>
            </w:r>
          </w:p>
        </w:tc>
        <w:tc>
          <w:tcPr>
            <w:tcW w:w="755" w:type="pct"/>
            <w:tcBorders>
              <w:top w:val="nil"/>
              <w:left w:val="nil"/>
              <w:bottom w:val="single" w:color="000000" w:sz="8" w:space="0"/>
              <w:right w:val="single" w:color="000000" w:sz="8" w:space="0"/>
            </w:tcBorders>
            <w:shd w:val="clear" w:color="auto" w:fill="auto"/>
            <w:noWrap/>
            <w:vAlign w:val="center"/>
          </w:tcPr>
          <w:p w14:paraId="3FF9CBEF">
            <w:pPr>
              <w:pStyle w:val="45"/>
              <w:bidi w:val="0"/>
              <w:rPr>
                <w:rFonts w:hint="default"/>
                <w:lang w:val="en-US"/>
              </w:rPr>
            </w:pPr>
            <w:r>
              <w:rPr>
                <w:rFonts w:hint="eastAsia"/>
                <w:lang w:val="en-US" w:eastAsia="zh-CN"/>
              </w:rPr>
              <w:t>12202.31</w:t>
            </w:r>
          </w:p>
        </w:tc>
        <w:tc>
          <w:tcPr>
            <w:tcW w:w="951" w:type="pct"/>
            <w:tcBorders>
              <w:top w:val="nil"/>
              <w:left w:val="nil"/>
              <w:bottom w:val="single" w:color="000000" w:sz="8" w:space="0"/>
              <w:right w:val="single" w:color="000000" w:sz="8" w:space="0"/>
            </w:tcBorders>
            <w:shd w:val="clear" w:color="auto" w:fill="auto"/>
            <w:noWrap/>
            <w:vAlign w:val="center"/>
          </w:tcPr>
          <w:p w14:paraId="5551C401">
            <w:pPr>
              <w:pStyle w:val="45"/>
              <w:bidi w:val="0"/>
              <w:rPr>
                <w:rFonts w:hint="eastAsia"/>
              </w:rPr>
            </w:pPr>
          </w:p>
        </w:tc>
      </w:tr>
    </w:tbl>
    <w:p w14:paraId="14A66489">
      <w:pPr>
        <w:pStyle w:val="45"/>
        <w:bidi w:val="0"/>
      </w:pPr>
    </w:p>
    <w:p w14:paraId="0F860912">
      <w:pPr>
        <w:ind w:left="0" w:leftChars="0" w:firstLine="0" w:firstLineChars="0"/>
        <w:jc w:val="both"/>
        <w:rPr>
          <w:rFonts w:hint="eastAsia" w:eastAsia="宋体"/>
          <w:highlight w:val="none"/>
          <w:lang w:eastAsia="zh-CN"/>
        </w:rPr>
      </w:pPr>
      <w:r>
        <w:rPr>
          <w:rFonts w:hint="eastAsia" w:eastAsia="宋体"/>
          <w:highlight w:val="none"/>
          <w:lang w:eastAsia="zh-CN"/>
        </w:rPr>
        <w:object>
          <v:shape id="_x0000_i1038" o:spt="75" type="#_x0000_t75" style="height:202.15pt;width:415.3pt;" o:ole="t" filled="f" o:preferrelative="t" stroked="f" coordsize="21600,21600">
            <v:path/>
            <v:fill on="f" focussize="0,0"/>
            <v:stroke on="f"/>
            <v:imagedata r:id="rId46" o:title=""/>
            <o:lock v:ext="edit" aspectratio="f"/>
            <w10:wrap type="none"/>
            <w10:anchorlock/>
          </v:shape>
          <o:OLEObject Type="Embed" ProgID="Visio.Drawing.15" ShapeID="_x0000_i1038" DrawAspect="Content" ObjectID="_1468075738" r:id="rId45">
            <o:LockedField>false</o:LockedField>
          </o:OLEObject>
        </w:object>
      </w:r>
    </w:p>
    <w:p w14:paraId="70727AEE">
      <w:pPr>
        <w:pStyle w:val="42"/>
        <w:numPr>
          <w:ilvl w:val="6"/>
          <w:numId w:val="1"/>
        </w:numPr>
        <w:rPr>
          <w:rFonts w:hint="default"/>
          <w:highlight w:val="none"/>
        </w:rPr>
      </w:pPr>
      <w:r>
        <w:rPr>
          <w:highlight w:val="none"/>
        </w:rPr>
        <w:t>氯酸</w:t>
      </w:r>
      <w:r>
        <w:rPr>
          <w:rFonts w:hint="eastAsia"/>
          <w:highlight w:val="none"/>
          <w:lang w:val="en-US" w:eastAsia="zh-CN"/>
        </w:rPr>
        <w:t>钾</w:t>
      </w:r>
      <w:r>
        <w:rPr>
          <w:highlight w:val="none"/>
        </w:rPr>
        <w:t>生产氯元素平衡示意图（单位：t/a）</w:t>
      </w:r>
    </w:p>
    <w:p w14:paraId="57AC038D">
      <w:pPr>
        <w:spacing w:line="240" w:lineRule="auto"/>
        <w:ind w:firstLine="0" w:firstLineChars="0"/>
        <w:rPr>
          <w:rFonts w:hint="eastAsia"/>
          <w:highlight w:val="yellow"/>
        </w:rPr>
      </w:pPr>
    </w:p>
    <w:p w14:paraId="55EB6C92">
      <w:pPr>
        <w:spacing w:line="240" w:lineRule="auto"/>
        <w:ind w:firstLine="480"/>
        <w:outlineLvl w:val="5"/>
        <w:rPr>
          <w:rFonts w:hint="eastAsia"/>
          <w:b/>
          <w:bCs/>
          <w:highlight w:val="none"/>
          <w:lang w:val="en-US" w:eastAsia="zh-CN"/>
        </w:rPr>
      </w:pPr>
      <w:r>
        <w:rPr>
          <w:rFonts w:hint="eastAsia"/>
          <w:b/>
          <w:bCs/>
          <w:highlight w:val="none"/>
          <w:lang w:val="en-US" w:eastAsia="zh-CN"/>
        </w:rPr>
        <w:t>（3）复分解生产氯酸钾铬元素平衡</w:t>
      </w:r>
    </w:p>
    <w:p w14:paraId="746896D7">
      <w:pPr>
        <w:spacing w:line="240" w:lineRule="auto"/>
        <w:ind w:firstLine="480"/>
        <w:rPr>
          <w:rFonts w:hint="default"/>
          <w:highlight w:val="yellow"/>
          <w:lang w:val="en-US" w:eastAsia="zh-CN"/>
        </w:rPr>
      </w:pPr>
    </w:p>
    <w:p w14:paraId="0B96B3C5">
      <w:pPr>
        <w:pStyle w:val="43"/>
        <w:numPr>
          <w:ilvl w:val="5"/>
          <w:numId w:val="1"/>
        </w:numPr>
        <w:bidi w:val="0"/>
        <w:rPr>
          <w:highlight w:val="none"/>
        </w:rPr>
      </w:pPr>
      <w:r>
        <w:rPr>
          <w:rFonts w:hint="eastAsia"/>
          <w:highlight w:val="none"/>
          <w:lang w:val="en-US" w:eastAsia="zh-CN"/>
        </w:rPr>
        <w:t>氯酸钾（产品）生产铬元素平衡一览表</w:t>
      </w:r>
    </w:p>
    <w:tbl>
      <w:tblPr>
        <w:tblStyle w:val="32"/>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233"/>
        <w:gridCol w:w="1217"/>
        <w:gridCol w:w="1353"/>
        <w:gridCol w:w="2248"/>
        <w:gridCol w:w="1469"/>
      </w:tblGrid>
      <w:tr w14:paraId="5A1A3F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02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55CAFF">
            <w:pPr>
              <w:pStyle w:val="45"/>
              <w:bidi w:val="0"/>
              <w:rPr>
                <w:rFonts w:hint="eastAsia"/>
                <w:b/>
                <w:bCs/>
                <w:highlight w:val="none"/>
              </w:rPr>
            </w:pPr>
            <w:r>
              <w:rPr>
                <w:rFonts w:hint="eastAsia"/>
                <w:b/>
                <w:bCs/>
                <w:highlight w:val="none"/>
                <w:lang w:val="en-US" w:eastAsia="zh-CN"/>
              </w:rPr>
              <w:t>投入（</w:t>
            </w:r>
            <w:r>
              <w:rPr>
                <w:rFonts w:hint="default"/>
                <w:b/>
                <w:bCs/>
                <w:highlight w:val="none"/>
                <w:lang w:val="en-US" w:eastAsia="zh-CN"/>
              </w:rPr>
              <w:t>t</w:t>
            </w:r>
            <w:r>
              <w:rPr>
                <w:rFonts w:hint="eastAsia"/>
                <w:b/>
                <w:bCs/>
                <w:highlight w:val="none"/>
                <w:lang w:val="en-US" w:eastAsia="zh-CN"/>
              </w:rPr>
              <w:t>）</w:t>
            </w:r>
          </w:p>
        </w:tc>
        <w:tc>
          <w:tcPr>
            <w:tcW w:w="29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9E1EF">
            <w:pPr>
              <w:pStyle w:val="45"/>
              <w:bidi w:val="0"/>
              <w:rPr>
                <w:rFonts w:hint="eastAsia"/>
                <w:b/>
                <w:bCs/>
                <w:highlight w:val="none"/>
              </w:rPr>
            </w:pPr>
            <w:r>
              <w:rPr>
                <w:rFonts w:hint="eastAsia"/>
                <w:b/>
                <w:bCs/>
                <w:highlight w:val="none"/>
                <w:lang w:val="en-US" w:eastAsia="zh-CN"/>
              </w:rPr>
              <w:t>产出（</w:t>
            </w:r>
            <w:r>
              <w:rPr>
                <w:rFonts w:hint="default"/>
                <w:b/>
                <w:bCs/>
                <w:highlight w:val="none"/>
                <w:lang w:val="en-US" w:eastAsia="zh-CN"/>
              </w:rPr>
              <w:t>t</w:t>
            </w:r>
            <w:r>
              <w:rPr>
                <w:rFonts w:hint="eastAsia"/>
                <w:b/>
                <w:bCs/>
                <w:highlight w:val="none"/>
                <w:lang w:val="en-US" w:eastAsia="zh-CN"/>
              </w:rPr>
              <w:t>）</w:t>
            </w:r>
          </w:p>
        </w:tc>
      </w:tr>
      <w:tr w14:paraId="7DEAA6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3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3F21D">
            <w:pPr>
              <w:pStyle w:val="45"/>
              <w:bidi w:val="0"/>
              <w:rPr>
                <w:rFonts w:hint="eastAsia"/>
                <w:highlight w:val="none"/>
              </w:rPr>
            </w:pPr>
            <w:r>
              <w:rPr>
                <w:rFonts w:hint="eastAsia"/>
                <w:highlight w:val="none"/>
                <w:lang w:val="en-US" w:eastAsia="zh-CN"/>
              </w:rPr>
              <w:t>氯酸钠含铬</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217AD">
            <w:pPr>
              <w:pStyle w:val="45"/>
              <w:bidi w:val="0"/>
              <w:rPr>
                <w:rFonts w:hint="default"/>
                <w:highlight w:val="none"/>
                <w:lang w:val="en-US"/>
              </w:rPr>
            </w:pPr>
            <w:r>
              <w:rPr>
                <w:rFonts w:hint="eastAsia"/>
                <w:highlight w:val="none"/>
                <w:lang w:val="en-US" w:eastAsia="zh-CN"/>
              </w:rPr>
              <w:t>0.03</w:t>
            </w:r>
          </w:p>
        </w:tc>
        <w:tc>
          <w:tcPr>
            <w:tcW w:w="7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5248B">
            <w:pPr>
              <w:pStyle w:val="45"/>
              <w:bidi w:val="0"/>
              <w:rPr>
                <w:rFonts w:hint="eastAsia"/>
                <w:highlight w:val="none"/>
              </w:rPr>
            </w:pPr>
            <w:r>
              <w:rPr>
                <w:rFonts w:hint="eastAsia"/>
                <w:highlight w:val="none"/>
                <w:lang w:val="en-US" w:eastAsia="zh-CN"/>
              </w:rPr>
              <w:t>除铬</w:t>
            </w:r>
          </w:p>
        </w:tc>
        <w:tc>
          <w:tcPr>
            <w:tcW w:w="13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7380A">
            <w:pPr>
              <w:pStyle w:val="45"/>
              <w:bidi w:val="0"/>
              <w:rPr>
                <w:rFonts w:hint="eastAsia"/>
                <w:highlight w:val="none"/>
              </w:rPr>
            </w:pPr>
            <w:r>
              <w:rPr>
                <w:rFonts w:hint="eastAsia"/>
                <w:highlight w:val="none"/>
                <w:lang w:val="en-US" w:eastAsia="zh-CN"/>
              </w:rPr>
              <w:t>含铬滤渣带走</w:t>
            </w:r>
          </w:p>
        </w:tc>
        <w:tc>
          <w:tcPr>
            <w:tcW w:w="8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40C29">
            <w:pPr>
              <w:pStyle w:val="45"/>
              <w:bidi w:val="0"/>
              <w:rPr>
                <w:rFonts w:hint="eastAsia"/>
                <w:highlight w:val="none"/>
              </w:rPr>
            </w:pPr>
            <w:r>
              <w:rPr>
                <w:rFonts w:hint="eastAsia"/>
                <w:highlight w:val="none"/>
                <w:lang w:val="en-US" w:eastAsia="zh-CN"/>
              </w:rPr>
              <w:t>0.03</w:t>
            </w:r>
          </w:p>
        </w:tc>
      </w:tr>
      <w:tr w14:paraId="09655C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3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270B2">
            <w:pPr>
              <w:pStyle w:val="45"/>
              <w:bidi w:val="0"/>
              <w:rPr>
                <w:rFonts w:hint="eastAsia"/>
                <w:highlight w:val="none"/>
              </w:rPr>
            </w:pPr>
            <w:r>
              <w:rPr>
                <w:rFonts w:hint="eastAsia"/>
                <w:highlight w:val="none"/>
                <w:lang w:val="en-US" w:eastAsia="zh-CN"/>
              </w:rPr>
              <w:t>合计</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9CC85">
            <w:pPr>
              <w:pStyle w:val="45"/>
              <w:bidi w:val="0"/>
              <w:rPr>
                <w:rFonts w:hint="eastAsia"/>
                <w:highlight w:val="none"/>
              </w:rPr>
            </w:pPr>
            <w:r>
              <w:rPr>
                <w:rFonts w:hint="eastAsia"/>
                <w:highlight w:val="none"/>
                <w:lang w:val="en-US" w:eastAsia="zh-CN"/>
              </w:rPr>
              <w:t>0.03</w:t>
            </w:r>
          </w:p>
        </w:tc>
        <w:tc>
          <w:tcPr>
            <w:tcW w:w="211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01AE8">
            <w:pPr>
              <w:pStyle w:val="45"/>
              <w:bidi w:val="0"/>
              <w:rPr>
                <w:rFonts w:hint="eastAsia"/>
                <w:highlight w:val="none"/>
              </w:rPr>
            </w:pPr>
            <w:r>
              <w:rPr>
                <w:rFonts w:hint="eastAsia"/>
                <w:highlight w:val="none"/>
                <w:lang w:val="en-US" w:eastAsia="zh-CN"/>
              </w:rPr>
              <w:t>合计</w:t>
            </w:r>
          </w:p>
        </w:tc>
        <w:tc>
          <w:tcPr>
            <w:tcW w:w="8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A4E386">
            <w:pPr>
              <w:pStyle w:val="45"/>
              <w:bidi w:val="0"/>
              <w:rPr>
                <w:rFonts w:hint="eastAsia"/>
                <w:highlight w:val="none"/>
              </w:rPr>
            </w:pPr>
            <w:r>
              <w:rPr>
                <w:rFonts w:hint="eastAsia"/>
                <w:highlight w:val="none"/>
                <w:lang w:val="en-US" w:eastAsia="zh-CN"/>
              </w:rPr>
              <w:t>0.03</w:t>
            </w:r>
          </w:p>
        </w:tc>
      </w:tr>
    </w:tbl>
    <w:p w14:paraId="53E6FB70">
      <w:pPr>
        <w:widowControl/>
        <w:tabs>
          <w:tab w:val="left" w:pos="420"/>
        </w:tabs>
        <w:spacing w:line="240" w:lineRule="auto"/>
        <w:ind w:firstLine="0" w:firstLineChars="0"/>
        <w:textAlignment w:val="center"/>
        <w:rPr>
          <w:b/>
          <w:bCs/>
          <w:snapToGrid w:val="0"/>
          <w:kern w:val="0"/>
          <w:sz w:val="21"/>
          <w:szCs w:val="21"/>
          <w:highlight w:val="none"/>
        </w:rPr>
      </w:pPr>
    </w:p>
    <w:p w14:paraId="5362426D">
      <w:pPr>
        <w:shd w:val="clear"/>
        <w:ind w:firstLine="0" w:firstLineChars="0"/>
        <w:jc w:val="center"/>
        <w:rPr>
          <w:rFonts w:hint="eastAsia" w:eastAsia="宋体"/>
          <w:highlight w:val="none"/>
          <w:lang w:eastAsia="zh-CN"/>
        </w:rPr>
      </w:pPr>
      <w:r>
        <w:rPr>
          <w:highlight w:val="none"/>
        </w:rPr>
        <w:object>
          <v:shape id="_x0000_i1039" o:spt="75" type="#_x0000_t75" style="height:28.5pt;width:323.25pt;" o:ole="t" filled="f" o:preferrelative="t" stroked="f" coordsize="21600,21600">
            <v:path/>
            <v:fill on="f" focussize="0,0"/>
            <v:stroke on="f"/>
            <v:imagedata r:id="rId48" o:title=""/>
            <o:lock v:ext="edit" aspectratio="f"/>
            <w10:wrap type="none"/>
            <w10:anchorlock/>
          </v:shape>
          <o:OLEObject Type="Embed" ProgID="Visio.Drawing.15" ShapeID="_x0000_i1039" DrawAspect="Content" ObjectID="_1468075739" r:id="rId47">
            <o:LockedField>false</o:LockedField>
          </o:OLEObject>
        </w:object>
      </w:r>
    </w:p>
    <w:p w14:paraId="17CD2C03">
      <w:pPr>
        <w:pStyle w:val="42"/>
        <w:numPr>
          <w:ilvl w:val="6"/>
          <w:numId w:val="1"/>
        </w:numPr>
        <w:shd w:val="clear"/>
        <w:jc w:val="center"/>
        <w:rPr>
          <w:rFonts w:hint="default"/>
          <w:highlight w:val="none"/>
        </w:rPr>
      </w:pPr>
      <w:r>
        <w:rPr>
          <w:rFonts w:hint="eastAsia"/>
          <w:highlight w:val="none"/>
          <w:lang w:val="en-US" w:eastAsia="zh-CN"/>
        </w:rPr>
        <w:t>氯酸钾（产品）</w:t>
      </w:r>
      <w:r>
        <w:rPr>
          <w:highlight w:val="none"/>
        </w:rPr>
        <w:t>生产</w:t>
      </w:r>
      <w:r>
        <w:rPr>
          <w:rFonts w:hint="eastAsia"/>
          <w:highlight w:val="none"/>
          <w:lang w:val="en-US" w:eastAsia="zh-CN"/>
        </w:rPr>
        <w:t>铬</w:t>
      </w:r>
      <w:r>
        <w:rPr>
          <w:highlight w:val="none"/>
        </w:rPr>
        <w:t>元素平衡示意图（单位：</w:t>
      </w:r>
      <w:r>
        <w:rPr>
          <w:rFonts w:hint="eastAsia"/>
          <w:highlight w:val="none"/>
          <w:lang w:val="en-US" w:eastAsia="zh-CN"/>
        </w:rPr>
        <w:t>t</w:t>
      </w:r>
      <w:r>
        <w:rPr>
          <w:highlight w:val="none"/>
        </w:rPr>
        <w:t>/a）</w:t>
      </w:r>
    </w:p>
    <w:p w14:paraId="23E4F106">
      <w:pPr>
        <w:bidi w:val="0"/>
        <w:rPr>
          <w:rFonts w:hint="eastAsia"/>
          <w:highlight w:val="yellow"/>
          <w:lang w:eastAsia="zh-CN"/>
        </w:rPr>
      </w:pPr>
    </w:p>
    <w:p w14:paraId="5A86B414">
      <w:pPr>
        <w:outlineLvl w:val="4"/>
        <w:rPr>
          <w:rFonts w:hint="default"/>
          <w:b/>
          <w:bCs/>
          <w:highlight w:val="none"/>
          <w:lang w:val="en-US" w:eastAsia="zh-CN"/>
        </w:rPr>
      </w:pPr>
      <w:r>
        <w:rPr>
          <w:rFonts w:hint="eastAsia"/>
          <w:b/>
          <w:bCs/>
          <w:highlight w:val="none"/>
          <w:lang w:val="en-US" w:eastAsia="zh-CN"/>
        </w:rPr>
        <w:t>2、当复分解全部生产高氯酸钾时</w:t>
      </w:r>
    </w:p>
    <w:p w14:paraId="4617B3D4">
      <w:pPr>
        <w:ind w:firstLine="480"/>
      </w:pPr>
      <w:r>
        <w:rPr>
          <w:rFonts w:hint="eastAsia"/>
          <w:highlight w:val="none"/>
        </w:rPr>
        <w:t>本项目采用</w:t>
      </w:r>
      <w:r>
        <w:rPr>
          <w:rFonts w:hint="eastAsia"/>
          <w:highlight w:val="none"/>
          <w:lang w:val="en-US" w:eastAsia="zh-CN"/>
        </w:rPr>
        <w:t>复分解</w:t>
      </w:r>
      <w:r>
        <w:rPr>
          <w:rFonts w:hint="eastAsia"/>
          <w:highlight w:val="none"/>
        </w:rPr>
        <w:t>法生产</w:t>
      </w:r>
      <w:r>
        <w:rPr>
          <w:rFonts w:hint="eastAsia"/>
          <w:highlight w:val="none"/>
          <w:lang w:val="en-US" w:eastAsia="zh-CN"/>
        </w:rPr>
        <w:t>高</w:t>
      </w:r>
      <w:r>
        <w:rPr>
          <w:rFonts w:hint="eastAsia"/>
          <w:highlight w:val="none"/>
        </w:rPr>
        <w:t>氯酸</w:t>
      </w:r>
      <w:r>
        <w:rPr>
          <w:rFonts w:hint="eastAsia"/>
          <w:highlight w:val="none"/>
          <w:lang w:val="en-US" w:eastAsia="zh-CN"/>
        </w:rPr>
        <w:t>钾</w:t>
      </w:r>
      <w:r>
        <w:rPr>
          <w:rFonts w:hint="eastAsia"/>
          <w:highlight w:val="none"/>
          <w:lang w:eastAsia="zh-CN"/>
        </w:rPr>
        <w:t>。</w:t>
      </w:r>
      <w:r>
        <w:rPr>
          <w:rFonts w:hint="eastAsia"/>
          <w:highlight w:val="none"/>
          <w:lang w:val="en-US" w:eastAsia="zh-CN"/>
        </w:rPr>
        <w:t>氯酸钠</w:t>
      </w:r>
      <w:r>
        <w:rPr>
          <w:rFonts w:hint="eastAsia"/>
        </w:rPr>
        <w:t>采用电解、氯化钾复分解法制得高氯酸钾结晶，再经分离、水洗、干燥等工序，使水分含量减少到0.01％～0.04％，成品高氯酸钾纯度达99.5％。</w:t>
      </w:r>
    </w:p>
    <w:p w14:paraId="2BC919A4">
      <w:pPr>
        <w:ind w:firstLine="480"/>
        <w:rPr>
          <w:rFonts w:hint="eastAsia"/>
        </w:rPr>
      </w:pPr>
      <w:r>
        <w:rPr>
          <w:rFonts w:hint="eastAsia"/>
          <w:lang w:val="en-US" w:eastAsia="zh-CN"/>
        </w:rPr>
        <w:t>复分解生产</w:t>
      </w:r>
      <w:r>
        <w:rPr>
          <w:rFonts w:hint="eastAsia"/>
        </w:rPr>
        <w:t>装置为连续生产，</w:t>
      </w:r>
      <w:r>
        <w:rPr>
          <w:rFonts w:hint="eastAsia"/>
          <w:lang w:val="en-US" w:eastAsia="zh-CN"/>
        </w:rPr>
        <w:t>生产规模为年产20000吨高氯酸钾时</w:t>
      </w:r>
      <w:r>
        <w:rPr>
          <w:rFonts w:hint="eastAsia"/>
        </w:rPr>
        <w:t>，物料平衡依据化学反应方程式质量守恒来核算。核算过程如下：</w:t>
      </w:r>
    </w:p>
    <w:p w14:paraId="0FB47C88">
      <w:pPr>
        <w:ind w:firstLine="480"/>
      </w:pPr>
      <w:r>
        <w:rPr>
          <w:rFonts w:hint="eastAsia"/>
        </w:rPr>
        <w:t>总反应式：</w:t>
      </w:r>
    </w:p>
    <w:p w14:paraId="2E98F2F4">
      <w:pPr>
        <w:ind w:firstLine="480"/>
        <w:jc w:val="center"/>
      </w:pPr>
      <w:r>
        <w:rPr>
          <w:rFonts w:hint="eastAsia"/>
          <w:position w:val="-12"/>
        </w:rPr>
        <w:object>
          <v:shape id="_x0000_i1040" o:spt="75" type="#_x0000_t75" style="height:20.2pt;width:189.25pt;" o:ole="t" filled="f" o:preferrelative="t" stroked="f" coordsize="21600,21600">
            <v:path/>
            <v:fill on="f" focussize="0,0"/>
            <v:stroke on="f" joinstyle="miter"/>
            <v:imagedata r:id="rId34" o:title=""/>
            <o:lock v:ext="edit" aspectratio="t"/>
            <w10:wrap type="none"/>
            <w10:anchorlock/>
          </v:shape>
          <o:OLEObject Type="Embed" ProgID="Equation.KSEE3" ShapeID="_x0000_i1040" DrawAspect="Content" ObjectID="_1468075740" r:id="rId49">
            <o:LockedField>false</o:LockedField>
          </o:OLEObject>
        </w:object>
      </w:r>
    </w:p>
    <w:p w14:paraId="65266197">
      <w:pPr>
        <w:ind w:firstLine="480"/>
        <w:jc w:val="center"/>
      </w:pPr>
      <w:r>
        <w:rPr>
          <w:position w:val="-10"/>
        </w:rPr>
        <w:object>
          <v:shape id="_x0000_i1041" o:spt="75" type="#_x0000_t75" style="height:18pt;width:169.1pt;" o:ole="t" filled="f" o:preferrelative="t" stroked="f" coordsize="21600,21600">
            <v:path/>
            <v:fill on="f" focussize="0,0"/>
            <v:stroke on="f" joinstyle="miter"/>
            <v:imagedata r:id="rId51" o:title=""/>
            <o:lock v:ext="edit" aspectratio="t"/>
            <w10:wrap type="none"/>
            <w10:anchorlock/>
          </v:shape>
          <o:OLEObject Type="Embed" ProgID="Equation.KSEE3" ShapeID="_x0000_i1041" DrawAspect="Content" ObjectID="_1468075741" r:id="rId50">
            <o:LockedField>false</o:LockedField>
          </o:OLEObject>
        </w:object>
      </w:r>
    </w:p>
    <w:p w14:paraId="5ED3C34A">
      <w:pPr>
        <w:ind w:firstLine="480"/>
        <w:rPr>
          <w:rFonts w:hint="eastAsia"/>
        </w:rPr>
      </w:pPr>
      <w:r>
        <w:t>年产</w:t>
      </w:r>
      <w:r>
        <w:rPr>
          <w:rFonts w:hint="eastAsia"/>
          <w:lang w:val="en-US" w:eastAsia="zh-CN"/>
        </w:rPr>
        <w:t>2</w:t>
      </w:r>
      <w:r>
        <w:rPr>
          <w:rFonts w:hint="eastAsia"/>
        </w:rPr>
        <w:t>0000</w:t>
      </w:r>
      <w:r>
        <w:t>吨高氯酸</w:t>
      </w:r>
      <w:r>
        <w:rPr>
          <w:rFonts w:hint="eastAsia"/>
          <w:lang w:val="en-US" w:eastAsia="zh-CN"/>
        </w:rPr>
        <w:t>钾</w:t>
      </w:r>
      <w:r>
        <w:rPr>
          <w:rFonts w:hint="eastAsia"/>
        </w:rPr>
        <w:t>生产装置</w:t>
      </w:r>
      <w:r>
        <w:t>所需物料反应量</w:t>
      </w:r>
      <w:r>
        <w:rPr>
          <w:rFonts w:hint="eastAsia"/>
        </w:rPr>
        <w:t>见下表。</w:t>
      </w:r>
    </w:p>
    <w:p w14:paraId="07936923">
      <w:pPr>
        <w:keepNext/>
        <w:numPr>
          <w:ilvl w:val="5"/>
          <w:numId w:val="1"/>
        </w:numPr>
        <w:snapToGrid w:val="0"/>
        <w:spacing w:line="240" w:lineRule="auto"/>
        <w:ind w:firstLine="420" w:firstLineChars="0"/>
        <w:jc w:val="center"/>
        <w:rPr>
          <w:b/>
          <w:bCs/>
          <w:sz w:val="21"/>
          <w:szCs w:val="21"/>
        </w:rPr>
      </w:pPr>
      <w:r>
        <w:rPr>
          <w:rFonts w:hint="eastAsia"/>
          <w:b/>
          <w:bCs/>
          <w:sz w:val="21"/>
          <w:szCs w:val="21"/>
          <w:lang w:val="en-US" w:eastAsia="zh-CN"/>
        </w:rPr>
        <w:t>高</w:t>
      </w:r>
      <w:r>
        <w:rPr>
          <w:rFonts w:hint="eastAsia"/>
          <w:b/>
          <w:bCs/>
          <w:sz w:val="21"/>
          <w:szCs w:val="21"/>
        </w:rPr>
        <w:t>氯酸钾生产</w:t>
      </w:r>
      <w:r>
        <w:rPr>
          <w:b/>
          <w:bCs/>
          <w:sz w:val="21"/>
          <w:szCs w:val="21"/>
        </w:rPr>
        <w:t>装置所需物料反应量</w:t>
      </w:r>
    </w:p>
    <w:tbl>
      <w:tblPr>
        <w:tblStyle w:val="32"/>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333"/>
        <w:gridCol w:w="1588"/>
        <w:gridCol w:w="1588"/>
        <w:gridCol w:w="1588"/>
        <w:gridCol w:w="1422"/>
      </w:tblGrid>
      <w:tr w14:paraId="4DE19C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369" w:type="pct"/>
            <w:tcBorders>
              <w:top w:val="single" w:color="auto" w:sz="4" w:space="0"/>
              <w:left w:val="single" w:color="auto" w:sz="4" w:space="0"/>
              <w:bottom w:val="single" w:color="auto" w:sz="4" w:space="0"/>
              <w:right w:val="single" w:color="auto" w:sz="4" w:space="0"/>
            </w:tcBorders>
            <w:shd w:val="clear" w:color="auto" w:fill="auto"/>
            <w:vAlign w:val="center"/>
          </w:tcPr>
          <w:p w14:paraId="40EC71FA">
            <w:pPr>
              <w:pStyle w:val="45"/>
              <w:bidi w:val="0"/>
              <w:rPr>
                <w:rFonts w:hint="eastAsia"/>
                <w:b/>
                <w:bCs/>
              </w:rPr>
            </w:pPr>
            <w:r>
              <w:rPr>
                <w:rFonts w:hint="eastAsia"/>
                <w:b/>
                <w:bCs/>
                <w:lang w:val="en-US" w:eastAsia="zh-CN"/>
              </w:rPr>
              <w:t>化学反应物质</w:t>
            </w:r>
          </w:p>
        </w:tc>
        <w:tc>
          <w:tcPr>
            <w:tcW w:w="932" w:type="pct"/>
            <w:tcBorders>
              <w:top w:val="single" w:color="auto" w:sz="4" w:space="0"/>
              <w:left w:val="single" w:color="auto" w:sz="4" w:space="0"/>
              <w:bottom w:val="single" w:color="auto" w:sz="4" w:space="0"/>
              <w:right w:val="single" w:color="auto" w:sz="4" w:space="0"/>
            </w:tcBorders>
            <w:shd w:val="clear" w:color="auto" w:fill="auto"/>
            <w:vAlign w:val="center"/>
          </w:tcPr>
          <w:p w14:paraId="7E9D7794">
            <w:pPr>
              <w:pStyle w:val="45"/>
              <w:bidi w:val="0"/>
              <w:rPr>
                <w:rFonts w:hint="default"/>
                <w:b/>
                <w:bCs/>
              </w:rPr>
            </w:pPr>
            <w:r>
              <w:rPr>
                <w:rFonts w:hint="default"/>
                <w:b/>
                <w:bCs/>
                <w:lang w:val="en-US" w:eastAsia="zh-CN"/>
              </w:rPr>
              <w:t>NaClO</w:t>
            </w:r>
            <w:r>
              <w:rPr>
                <w:rFonts w:hint="default"/>
                <w:b/>
                <w:bCs/>
                <w:vertAlign w:val="subscript"/>
                <w:lang w:val="en-US" w:eastAsia="zh-CN"/>
              </w:rPr>
              <w:t>3</w:t>
            </w:r>
          </w:p>
        </w:tc>
        <w:tc>
          <w:tcPr>
            <w:tcW w:w="932" w:type="pct"/>
            <w:tcBorders>
              <w:top w:val="single" w:color="auto" w:sz="4" w:space="0"/>
              <w:left w:val="single" w:color="auto" w:sz="4" w:space="0"/>
              <w:bottom w:val="single" w:color="auto" w:sz="4" w:space="0"/>
              <w:right w:val="single" w:color="auto" w:sz="4" w:space="0"/>
            </w:tcBorders>
            <w:shd w:val="clear" w:color="auto" w:fill="auto"/>
            <w:vAlign w:val="center"/>
          </w:tcPr>
          <w:p w14:paraId="14E04BAB">
            <w:pPr>
              <w:pStyle w:val="45"/>
              <w:bidi w:val="0"/>
              <w:rPr>
                <w:rFonts w:hint="default"/>
                <w:b/>
                <w:bCs/>
              </w:rPr>
            </w:pPr>
            <w:r>
              <w:rPr>
                <w:rFonts w:hint="default"/>
                <w:b/>
                <w:bCs/>
                <w:lang w:val="en-US" w:eastAsia="zh-CN"/>
              </w:rPr>
              <w:t>H</w:t>
            </w:r>
            <w:r>
              <w:rPr>
                <w:rFonts w:hint="default"/>
                <w:b/>
                <w:bCs/>
                <w:vertAlign w:val="subscript"/>
                <w:lang w:val="en-US" w:eastAsia="zh-CN"/>
              </w:rPr>
              <w:t>2</w:t>
            </w:r>
            <w:r>
              <w:rPr>
                <w:rFonts w:hint="default"/>
                <w:b/>
                <w:bCs/>
                <w:lang w:val="en-US" w:eastAsia="zh-CN"/>
              </w:rPr>
              <w:t>O</w:t>
            </w:r>
          </w:p>
        </w:tc>
        <w:tc>
          <w:tcPr>
            <w:tcW w:w="932" w:type="pct"/>
            <w:tcBorders>
              <w:top w:val="single" w:color="auto" w:sz="4" w:space="0"/>
              <w:left w:val="single" w:color="auto" w:sz="4" w:space="0"/>
              <w:bottom w:val="single" w:color="auto" w:sz="4" w:space="0"/>
              <w:right w:val="single" w:color="auto" w:sz="4" w:space="0"/>
            </w:tcBorders>
            <w:shd w:val="clear" w:color="auto" w:fill="auto"/>
            <w:vAlign w:val="center"/>
          </w:tcPr>
          <w:p w14:paraId="0D1D593D">
            <w:pPr>
              <w:pStyle w:val="45"/>
              <w:bidi w:val="0"/>
              <w:rPr>
                <w:rFonts w:hint="default"/>
                <w:b/>
                <w:bCs/>
              </w:rPr>
            </w:pPr>
            <w:r>
              <w:rPr>
                <w:rFonts w:hint="default"/>
                <w:b/>
                <w:bCs/>
                <w:lang w:val="en-US" w:eastAsia="zh-CN"/>
              </w:rPr>
              <w:t>NaClO</w:t>
            </w:r>
            <w:r>
              <w:rPr>
                <w:rFonts w:hint="default"/>
                <w:b/>
                <w:bCs/>
                <w:vertAlign w:val="subscript"/>
                <w:lang w:val="en-US" w:eastAsia="zh-CN"/>
              </w:rPr>
              <w:t>4</w:t>
            </w: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14:paraId="44435A93">
            <w:pPr>
              <w:pStyle w:val="45"/>
              <w:bidi w:val="0"/>
              <w:rPr>
                <w:rFonts w:hint="default"/>
                <w:b/>
                <w:bCs/>
              </w:rPr>
            </w:pPr>
            <w:r>
              <w:rPr>
                <w:rFonts w:hint="default"/>
                <w:b/>
                <w:bCs/>
                <w:lang w:val="en-US" w:eastAsia="zh-CN"/>
              </w:rPr>
              <w:t>H</w:t>
            </w:r>
            <w:r>
              <w:rPr>
                <w:rFonts w:hint="default"/>
                <w:b/>
                <w:bCs/>
                <w:vertAlign w:val="subscript"/>
                <w:lang w:val="en-US" w:eastAsia="zh-CN"/>
              </w:rPr>
              <w:t>2</w:t>
            </w:r>
          </w:p>
        </w:tc>
      </w:tr>
      <w:tr w14:paraId="2F3163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369" w:type="pct"/>
            <w:tcBorders>
              <w:top w:val="single" w:color="auto" w:sz="4" w:space="0"/>
              <w:left w:val="single" w:color="auto" w:sz="4" w:space="0"/>
              <w:bottom w:val="single" w:color="auto" w:sz="4" w:space="0"/>
              <w:right w:val="single" w:color="auto" w:sz="4" w:space="0"/>
            </w:tcBorders>
            <w:shd w:val="clear" w:color="auto" w:fill="auto"/>
            <w:vAlign w:val="center"/>
          </w:tcPr>
          <w:p w14:paraId="179B5F52">
            <w:pPr>
              <w:pStyle w:val="45"/>
              <w:bidi w:val="0"/>
              <w:rPr>
                <w:rFonts w:hint="eastAsia"/>
                <w:b/>
                <w:bCs/>
              </w:rPr>
            </w:pPr>
            <w:r>
              <w:rPr>
                <w:rFonts w:hint="eastAsia"/>
                <w:b/>
                <w:bCs/>
                <w:lang w:val="en-US" w:eastAsia="zh-CN"/>
              </w:rPr>
              <w:t>分子量</w:t>
            </w:r>
          </w:p>
        </w:tc>
        <w:tc>
          <w:tcPr>
            <w:tcW w:w="932" w:type="pct"/>
            <w:tcBorders>
              <w:top w:val="single" w:color="auto" w:sz="4" w:space="0"/>
              <w:left w:val="single" w:color="auto" w:sz="4" w:space="0"/>
              <w:bottom w:val="single" w:color="auto" w:sz="4" w:space="0"/>
              <w:right w:val="single" w:color="auto" w:sz="4" w:space="0"/>
            </w:tcBorders>
            <w:shd w:val="clear" w:color="auto" w:fill="auto"/>
            <w:vAlign w:val="center"/>
          </w:tcPr>
          <w:p w14:paraId="27F8539C">
            <w:pPr>
              <w:pStyle w:val="45"/>
              <w:bidi w:val="0"/>
              <w:rPr>
                <w:rFonts w:hint="default"/>
                <w:b/>
                <w:bCs/>
              </w:rPr>
            </w:pPr>
            <w:r>
              <w:rPr>
                <w:rFonts w:hint="default"/>
                <w:b/>
                <w:bCs/>
                <w:lang w:val="en-US" w:eastAsia="zh-CN"/>
              </w:rPr>
              <w:t>106.5</w:t>
            </w:r>
          </w:p>
        </w:tc>
        <w:tc>
          <w:tcPr>
            <w:tcW w:w="932" w:type="pct"/>
            <w:tcBorders>
              <w:top w:val="single" w:color="auto" w:sz="4" w:space="0"/>
              <w:left w:val="single" w:color="auto" w:sz="4" w:space="0"/>
              <w:bottom w:val="single" w:color="auto" w:sz="4" w:space="0"/>
              <w:right w:val="single" w:color="auto" w:sz="4" w:space="0"/>
            </w:tcBorders>
            <w:shd w:val="clear" w:color="auto" w:fill="auto"/>
            <w:vAlign w:val="center"/>
          </w:tcPr>
          <w:p w14:paraId="5B1C4D45">
            <w:pPr>
              <w:pStyle w:val="45"/>
              <w:bidi w:val="0"/>
              <w:rPr>
                <w:rFonts w:hint="default"/>
                <w:b/>
                <w:bCs/>
              </w:rPr>
            </w:pPr>
            <w:r>
              <w:rPr>
                <w:rFonts w:hint="default"/>
                <w:b/>
                <w:bCs/>
                <w:lang w:val="en-US" w:eastAsia="zh-CN"/>
              </w:rPr>
              <w:t>18</w:t>
            </w:r>
          </w:p>
        </w:tc>
        <w:tc>
          <w:tcPr>
            <w:tcW w:w="932" w:type="pct"/>
            <w:tcBorders>
              <w:top w:val="single" w:color="auto" w:sz="4" w:space="0"/>
              <w:left w:val="single" w:color="auto" w:sz="4" w:space="0"/>
              <w:bottom w:val="single" w:color="auto" w:sz="4" w:space="0"/>
              <w:right w:val="single" w:color="auto" w:sz="4" w:space="0"/>
            </w:tcBorders>
            <w:shd w:val="clear" w:color="auto" w:fill="auto"/>
            <w:vAlign w:val="center"/>
          </w:tcPr>
          <w:p w14:paraId="4514E905">
            <w:pPr>
              <w:pStyle w:val="45"/>
              <w:bidi w:val="0"/>
              <w:rPr>
                <w:rFonts w:hint="default"/>
                <w:b/>
                <w:bCs/>
              </w:rPr>
            </w:pPr>
            <w:r>
              <w:rPr>
                <w:rFonts w:hint="default"/>
                <w:b/>
                <w:bCs/>
                <w:lang w:val="en-US" w:eastAsia="zh-CN"/>
              </w:rPr>
              <w:t>122.5</w:t>
            </w: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14:paraId="103E8DEA">
            <w:pPr>
              <w:pStyle w:val="45"/>
              <w:bidi w:val="0"/>
              <w:rPr>
                <w:rFonts w:hint="default"/>
                <w:b/>
                <w:bCs/>
              </w:rPr>
            </w:pPr>
            <w:r>
              <w:rPr>
                <w:rFonts w:hint="default"/>
                <w:b/>
                <w:bCs/>
                <w:lang w:val="en-US" w:eastAsia="zh-CN"/>
              </w:rPr>
              <w:t>2</w:t>
            </w:r>
          </w:p>
        </w:tc>
      </w:tr>
      <w:tr w14:paraId="36601E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369" w:type="pct"/>
            <w:tcBorders>
              <w:top w:val="single" w:color="auto" w:sz="4" w:space="0"/>
              <w:left w:val="single" w:color="auto" w:sz="4" w:space="0"/>
              <w:bottom w:val="single" w:color="auto" w:sz="4" w:space="0"/>
              <w:right w:val="single" w:color="auto" w:sz="4" w:space="0"/>
            </w:tcBorders>
            <w:shd w:val="clear" w:color="auto" w:fill="auto"/>
            <w:vAlign w:val="center"/>
          </w:tcPr>
          <w:p w14:paraId="6253ABD6">
            <w:pPr>
              <w:pStyle w:val="45"/>
              <w:bidi w:val="0"/>
              <w:rPr>
                <w:rFonts w:hint="eastAsia"/>
                <w:b/>
                <w:bCs/>
              </w:rPr>
            </w:pPr>
            <w:r>
              <w:rPr>
                <w:rFonts w:hint="eastAsia"/>
                <w:b/>
                <w:bCs/>
                <w:lang w:val="en-US" w:eastAsia="zh-CN"/>
              </w:rPr>
              <w:t>折纯量（</w:t>
            </w:r>
            <w:r>
              <w:rPr>
                <w:rFonts w:hint="default"/>
                <w:b/>
                <w:bCs/>
                <w:lang w:val="en-US" w:eastAsia="zh-CN"/>
              </w:rPr>
              <w:t>t/a</w:t>
            </w:r>
            <w:r>
              <w:rPr>
                <w:rFonts w:hint="eastAsia"/>
                <w:b/>
                <w:bCs/>
                <w:lang w:val="en-US" w:eastAsia="zh-CN"/>
              </w:rPr>
              <w:t>）</w:t>
            </w:r>
          </w:p>
        </w:tc>
        <w:tc>
          <w:tcPr>
            <w:tcW w:w="932" w:type="pct"/>
            <w:tcBorders>
              <w:top w:val="single" w:color="auto" w:sz="4" w:space="0"/>
              <w:left w:val="single" w:color="auto" w:sz="4" w:space="0"/>
              <w:bottom w:val="single" w:color="auto" w:sz="4" w:space="0"/>
              <w:right w:val="single" w:color="auto" w:sz="4" w:space="0"/>
            </w:tcBorders>
            <w:shd w:val="clear" w:color="auto" w:fill="auto"/>
            <w:vAlign w:val="center"/>
          </w:tcPr>
          <w:p w14:paraId="44D9C2AF">
            <w:pPr>
              <w:pStyle w:val="45"/>
              <w:bidi w:val="0"/>
              <w:rPr>
                <w:rFonts w:hint="default"/>
              </w:rPr>
            </w:pPr>
            <w:r>
              <w:rPr>
                <w:rFonts w:hint="default"/>
                <w:lang w:val="en-US" w:eastAsia="zh-CN"/>
              </w:rPr>
              <w:t xml:space="preserve">15379.06 </w:t>
            </w:r>
          </w:p>
        </w:tc>
        <w:tc>
          <w:tcPr>
            <w:tcW w:w="932" w:type="pct"/>
            <w:tcBorders>
              <w:top w:val="single" w:color="auto" w:sz="4" w:space="0"/>
              <w:left w:val="single" w:color="auto" w:sz="4" w:space="0"/>
              <w:bottom w:val="single" w:color="auto" w:sz="4" w:space="0"/>
              <w:right w:val="single" w:color="auto" w:sz="4" w:space="0"/>
            </w:tcBorders>
            <w:shd w:val="clear" w:color="auto" w:fill="auto"/>
            <w:vAlign w:val="center"/>
          </w:tcPr>
          <w:p w14:paraId="7D001989">
            <w:pPr>
              <w:pStyle w:val="45"/>
              <w:bidi w:val="0"/>
              <w:rPr>
                <w:rFonts w:hint="default"/>
              </w:rPr>
            </w:pPr>
            <w:r>
              <w:rPr>
                <w:rFonts w:hint="default"/>
                <w:lang w:val="en-US" w:eastAsia="zh-CN"/>
              </w:rPr>
              <w:t xml:space="preserve">2599.28 </w:t>
            </w:r>
          </w:p>
        </w:tc>
        <w:tc>
          <w:tcPr>
            <w:tcW w:w="932" w:type="pct"/>
            <w:tcBorders>
              <w:top w:val="single" w:color="auto" w:sz="4" w:space="0"/>
              <w:left w:val="single" w:color="auto" w:sz="4" w:space="0"/>
              <w:bottom w:val="single" w:color="auto" w:sz="4" w:space="0"/>
              <w:right w:val="single" w:color="auto" w:sz="4" w:space="0"/>
            </w:tcBorders>
            <w:shd w:val="clear" w:color="auto" w:fill="auto"/>
            <w:vAlign w:val="center"/>
          </w:tcPr>
          <w:p w14:paraId="7139A755">
            <w:pPr>
              <w:pStyle w:val="45"/>
              <w:bidi w:val="0"/>
              <w:rPr>
                <w:rFonts w:hint="default"/>
              </w:rPr>
            </w:pPr>
            <w:r>
              <w:rPr>
                <w:rFonts w:hint="default"/>
                <w:lang w:val="en-US" w:eastAsia="zh-CN"/>
              </w:rPr>
              <w:t xml:space="preserve">17689.53 </w:t>
            </w: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14:paraId="1BF25D40">
            <w:pPr>
              <w:pStyle w:val="45"/>
              <w:bidi w:val="0"/>
              <w:rPr>
                <w:rFonts w:hint="default"/>
              </w:rPr>
            </w:pPr>
            <w:r>
              <w:rPr>
                <w:rFonts w:hint="default"/>
                <w:lang w:val="en-US" w:eastAsia="zh-CN"/>
              </w:rPr>
              <w:t xml:space="preserve">288.81 </w:t>
            </w:r>
          </w:p>
        </w:tc>
      </w:tr>
      <w:tr w14:paraId="2F49E2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369" w:type="pct"/>
            <w:tcBorders>
              <w:top w:val="single" w:color="auto" w:sz="4" w:space="0"/>
              <w:left w:val="single" w:color="auto" w:sz="4" w:space="0"/>
              <w:bottom w:val="single" w:color="auto" w:sz="4" w:space="0"/>
              <w:right w:val="single" w:color="auto" w:sz="4" w:space="0"/>
            </w:tcBorders>
            <w:shd w:val="clear" w:color="auto" w:fill="auto"/>
            <w:vAlign w:val="center"/>
          </w:tcPr>
          <w:p w14:paraId="4733121E">
            <w:pPr>
              <w:pStyle w:val="45"/>
              <w:bidi w:val="0"/>
              <w:rPr>
                <w:rFonts w:hint="eastAsia"/>
                <w:b/>
                <w:bCs/>
              </w:rPr>
            </w:pPr>
            <w:r>
              <w:rPr>
                <w:rFonts w:hint="eastAsia"/>
                <w:b/>
                <w:bCs/>
                <w:lang w:val="en-US" w:eastAsia="zh-CN"/>
              </w:rPr>
              <w:t>化学反应物质</w:t>
            </w:r>
          </w:p>
        </w:tc>
        <w:tc>
          <w:tcPr>
            <w:tcW w:w="932" w:type="pct"/>
            <w:tcBorders>
              <w:top w:val="single" w:color="auto" w:sz="4" w:space="0"/>
              <w:left w:val="single" w:color="auto" w:sz="4" w:space="0"/>
              <w:bottom w:val="single" w:color="auto" w:sz="4" w:space="0"/>
              <w:right w:val="single" w:color="auto" w:sz="4" w:space="0"/>
            </w:tcBorders>
            <w:shd w:val="clear" w:color="auto" w:fill="auto"/>
            <w:vAlign w:val="center"/>
          </w:tcPr>
          <w:p w14:paraId="04113137">
            <w:pPr>
              <w:pStyle w:val="45"/>
              <w:bidi w:val="0"/>
              <w:rPr>
                <w:rFonts w:hint="default"/>
                <w:b/>
                <w:bCs/>
              </w:rPr>
            </w:pPr>
            <w:r>
              <w:rPr>
                <w:rFonts w:hint="default"/>
                <w:b/>
                <w:bCs/>
                <w:lang w:val="en-US" w:eastAsia="zh-CN"/>
              </w:rPr>
              <w:t>NaClO</w:t>
            </w:r>
            <w:r>
              <w:rPr>
                <w:rFonts w:hint="default"/>
                <w:b/>
                <w:bCs/>
                <w:vertAlign w:val="subscript"/>
                <w:lang w:val="en-US" w:eastAsia="zh-CN"/>
              </w:rPr>
              <w:t>4</w:t>
            </w:r>
          </w:p>
        </w:tc>
        <w:tc>
          <w:tcPr>
            <w:tcW w:w="932" w:type="pct"/>
            <w:tcBorders>
              <w:top w:val="single" w:color="auto" w:sz="4" w:space="0"/>
              <w:left w:val="single" w:color="auto" w:sz="4" w:space="0"/>
              <w:bottom w:val="single" w:color="auto" w:sz="4" w:space="0"/>
              <w:right w:val="single" w:color="auto" w:sz="4" w:space="0"/>
            </w:tcBorders>
            <w:shd w:val="clear" w:color="auto" w:fill="auto"/>
            <w:vAlign w:val="center"/>
          </w:tcPr>
          <w:p w14:paraId="5C83135A">
            <w:pPr>
              <w:pStyle w:val="45"/>
              <w:bidi w:val="0"/>
              <w:rPr>
                <w:rFonts w:hint="default"/>
                <w:b/>
                <w:bCs/>
              </w:rPr>
            </w:pPr>
            <w:r>
              <w:rPr>
                <w:rFonts w:hint="default"/>
                <w:b/>
                <w:bCs/>
                <w:lang w:val="en-US" w:eastAsia="zh-CN"/>
              </w:rPr>
              <w:t>KCl</w:t>
            </w:r>
          </w:p>
        </w:tc>
        <w:tc>
          <w:tcPr>
            <w:tcW w:w="932" w:type="pct"/>
            <w:tcBorders>
              <w:top w:val="single" w:color="auto" w:sz="4" w:space="0"/>
              <w:left w:val="single" w:color="auto" w:sz="4" w:space="0"/>
              <w:bottom w:val="single" w:color="auto" w:sz="4" w:space="0"/>
              <w:right w:val="single" w:color="auto" w:sz="4" w:space="0"/>
            </w:tcBorders>
            <w:shd w:val="clear" w:color="auto" w:fill="auto"/>
            <w:vAlign w:val="center"/>
          </w:tcPr>
          <w:p w14:paraId="2F3C4661">
            <w:pPr>
              <w:pStyle w:val="45"/>
              <w:bidi w:val="0"/>
              <w:rPr>
                <w:rFonts w:hint="default"/>
                <w:b/>
                <w:bCs/>
              </w:rPr>
            </w:pPr>
            <w:r>
              <w:rPr>
                <w:rFonts w:hint="default"/>
                <w:b/>
                <w:bCs/>
                <w:lang w:val="en-US" w:eastAsia="zh-CN"/>
              </w:rPr>
              <w:t>KClO</w:t>
            </w:r>
            <w:r>
              <w:rPr>
                <w:rFonts w:hint="default"/>
                <w:b/>
                <w:bCs/>
                <w:vertAlign w:val="subscript"/>
                <w:lang w:val="en-US" w:eastAsia="zh-CN"/>
              </w:rPr>
              <w:t>4</w:t>
            </w: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14:paraId="196A02A7">
            <w:pPr>
              <w:pStyle w:val="45"/>
              <w:bidi w:val="0"/>
              <w:rPr>
                <w:rFonts w:hint="default"/>
                <w:b/>
                <w:bCs/>
              </w:rPr>
            </w:pPr>
            <w:r>
              <w:rPr>
                <w:rFonts w:hint="default"/>
                <w:b/>
                <w:bCs/>
                <w:lang w:val="en-US" w:eastAsia="zh-CN"/>
              </w:rPr>
              <w:t>NaCl</w:t>
            </w:r>
          </w:p>
        </w:tc>
      </w:tr>
      <w:tr w14:paraId="63625B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369" w:type="pct"/>
            <w:tcBorders>
              <w:top w:val="single" w:color="auto" w:sz="4" w:space="0"/>
              <w:left w:val="single" w:color="auto" w:sz="4" w:space="0"/>
              <w:bottom w:val="single" w:color="auto" w:sz="4" w:space="0"/>
              <w:right w:val="single" w:color="auto" w:sz="4" w:space="0"/>
            </w:tcBorders>
            <w:shd w:val="clear" w:color="auto" w:fill="auto"/>
            <w:vAlign w:val="center"/>
          </w:tcPr>
          <w:p w14:paraId="3914E3F8">
            <w:pPr>
              <w:pStyle w:val="45"/>
              <w:bidi w:val="0"/>
              <w:rPr>
                <w:rFonts w:hint="eastAsia"/>
                <w:b/>
                <w:bCs/>
              </w:rPr>
            </w:pPr>
            <w:r>
              <w:rPr>
                <w:rFonts w:hint="eastAsia"/>
                <w:b/>
                <w:bCs/>
                <w:lang w:val="en-US" w:eastAsia="zh-CN"/>
              </w:rPr>
              <w:t>分子量</w:t>
            </w:r>
          </w:p>
        </w:tc>
        <w:tc>
          <w:tcPr>
            <w:tcW w:w="932" w:type="pct"/>
            <w:tcBorders>
              <w:top w:val="single" w:color="auto" w:sz="4" w:space="0"/>
              <w:left w:val="single" w:color="auto" w:sz="4" w:space="0"/>
              <w:bottom w:val="single" w:color="auto" w:sz="4" w:space="0"/>
              <w:right w:val="single" w:color="auto" w:sz="4" w:space="0"/>
            </w:tcBorders>
            <w:shd w:val="clear" w:color="auto" w:fill="auto"/>
            <w:vAlign w:val="center"/>
          </w:tcPr>
          <w:p w14:paraId="15AF3B3E">
            <w:pPr>
              <w:pStyle w:val="45"/>
              <w:bidi w:val="0"/>
              <w:rPr>
                <w:rFonts w:hint="default"/>
                <w:b/>
                <w:bCs/>
              </w:rPr>
            </w:pPr>
            <w:r>
              <w:rPr>
                <w:rFonts w:hint="default"/>
                <w:b/>
                <w:bCs/>
                <w:lang w:val="en-US" w:eastAsia="zh-CN"/>
              </w:rPr>
              <w:t>122.5</w:t>
            </w:r>
          </w:p>
        </w:tc>
        <w:tc>
          <w:tcPr>
            <w:tcW w:w="932" w:type="pct"/>
            <w:tcBorders>
              <w:top w:val="single" w:color="auto" w:sz="4" w:space="0"/>
              <w:left w:val="single" w:color="auto" w:sz="4" w:space="0"/>
              <w:bottom w:val="single" w:color="auto" w:sz="4" w:space="0"/>
              <w:right w:val="single" w:color="auto" w:sz="4" w:space="0"/>
            </w:tcBorders>
            <w:shd w:val="clear" w:color="auto" w:fill="auto"/>
            <w:vAlign w:val="center"/>
          </w:tcPr>
          <w:p w14:paraId="088337FE">
            <w:pPr>
              <w:pStyle w:val="45"/>
              <w:bidi w:val="0"/>
              <w:rPr>
                <w:rFonts w:hint="default"/>
                <w:b/>
                <w:bCs/>
              </w:rPr>
            </w:pPr>
            <w:r>
              <w:rPr>
                <w:rFonts w:hint="default"/>
                <w:b/>
                <w:bCs/>
                <w:lang w:val="en-US" w:eastAsia="zh-CN"/>
              </w:rPr>
              <w:t>74.5</w:t>
            </w:r>
          </w:p>
        </w:tc>
        <w:tc>
          <w:tcPr>
            <w:tcW w:w="932" w:type="pct"/>
            <w:tcBorders>
              <w:top w:val="single" w:color="auto" w:sz="4" w:space="0"/>
              <w:left w:val="single" w:color="auto" w:sz="4" w:space="0"/>
              <w:bottom w:val="single" w:color="auto" w:sz="4" w:space="0"/>
              <w:right w:val="single" w:color="auto" w:sz="4" w:space="0"/>
            </w:tcBorders>
            <w:shd w:val="clear" w:color="auto" w:fill="auto"/>
            <w:vAlign w:val="center"/>
          </w:tcPr>
          <w:p w14:paraId="3E4639BB">
            <w:pPr>
              <w:pStyle w:val="45"/>
              <w:bidi w:val="0"/>
              <w:rPr>
                <w:rFonts w:hint="default"/>
                <w:b/>
                <w:bCs/>
              </w:rPr>
            </w:pPr>
            <w:r>
              <w:rPr>
                <w:rFonts w:hint="default"/>
                <w:b/>
                <w:bCs/>
                <w:lang w:val="en-US" w:eastAsia="zh-CN"/>
              </w:rPr>
              <w:t>138.5</w:t>
            </w: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14:paraId="3DDF0279">
            <w:pPr>
              <w:pStyle w:val="45"/>
              <w:bidi w:val="0"/>
              <w:rPr>
                <w:rFonts w:hint="default"/>
                <w:b/>
                <w:bCs/>
              </w:rPr>
            </w:pPr>
            <w:r>
              <w:rPr>
                <w:rFonts w:hint="default"/>
                <w:b/>
                <w:bCs/>
                <w:lang w:val="en-US" w:eastAsia="zh-CN"/>
              </w:rPr>
              <w:t>58.5</w:t>
            </w:r>
          </w:p>
        </w:tc>
      </w:tr>
      <w:tr w14:paraId="46D98B2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369" w:type="pct"/>
            <w:tcBorders>
              <w:top w:val="single" w:color="auto" w:sz="4" w:space="0"/>
              <w:left w:val="single" w:color="auto" w:sz="4" w:space="0"/>
              <w:bottom w:val="single" w:color="auto" w:sz="4" w:space="0"/>
              <w:right w:val="single" w:color="auto" w:sz="4" w:space="0"/>
            </w:tcBorders>
            <w:shd w:val="clear" w:color="auto" w:fill="auto"/>
            <w:vAlign w:val="center"/>
          </w:tcPr>
          <w:p w14:paraId="077DD34F">
            <w:pPr>
              <w:pStyle w:val="45"/>
              <w:bidi w:val="0"/>
              <w:rPr>
                <w:rFonts w:hint="eastAsia"/>
                <w:b/>
                <w:bCs/>
              </w:rPr>
            </w:pPr>
            <w:r>
              <w:rPr>
                <w:rFonts w:hint="eastAsia"/>
                <w:b/>
                <w:bCs/>
                <w:lang w:val="en-US" w:eastAsia="zh-CN"/>
              </w:rPr>
              <w:t>折纯量（</w:t>
            </w:r>
            <w:r>
              <w:rPr>
                <w:rFonts w:hint="default"/>
                <w:b/>
                <w:bCs/>
                <w:lang w:val="en-US" w:eastAsia="zh-CN"/>
              </w:rPr>
              <w:t>t/a</w:t>
            </w:r>
            <w:r>
              <w:rPr>
                <w:rFonts w:hint="eastAsia"/>
                <w:b/>
                <w:bCs/>
                <w:lang w:val="en-US" w:eastAsia="zh-CN"/>
              </w:rPr>
              <w:t>）</w:t>
            </w:r>
          </w:p>
        </w:tc>
        <w:tc>
          <w:tcPr>
            <w:tcW w:w="932" w:type="pct"/>
            <w:tcBorders>
              <w:top w:val="single" w:color="auto" w:sz="4" w:space="0"/>
              <w:left w:val="single" w:color="auto" w:sz="4" w:space="0"/>
              <w:bottom w:val="single" w:color="auto" w:sz="4" w:space="0"/>
              <w:right w:val="single" w:color="auto" w:sz="4" w:space="0"/>
            </w:tcBorders>
            <w:shd w:val="clear" w:color="auto" w:fill="auto"/>
            <w:vAlign w:val="center"/>
          </w:tcPr>
          <w:p w14:paraId="0368E43C">
            <w:pPr>
              <w:pStyle w:val="45"/>
              <w:bidi w:val="0"/>
              <w:rPr>
                <w:rFonts w:hint="default"/>
              </w:rPr>
            </w:pPr>
            <w:r>
              <w:rPr>
                <w:rFonts w:hint="default"/>
                <w:lang w:val="en-US" w:eastAsia="zh-CN"/>
              </w:rPr>
              <w:t xml:space="preserve">17689.53 </w:t>
            </w:r>
          </w:p>
        </w:tc>
        <w:tc>
          <w:tcPr>
            <w:tcW w:w="932" w:type="pct"/>
            <w:tcBorders>
              <w:top w:val="single" w:color="auto" w:sz="4" w:space="0"/>
              <w:left w:val="single" w:color="auto" w:sz="4" w:space="0"/>
              <w:bottom w:val="single" w:color="auto" w:sz="4" w:space="0"/>
              <w:right w:val="single" w:color="auto" w:sz="4" w:space="0"/>
            </w:tcBorders>
            <w:shd w:val="clear" w:color="auto" w:fill="auto"/>
            <w:vAlign w:val="center"/>
          </w:tcPr>
          <w:p w14:paraId="6A089043">
            <w:pPr>
              <w:pStyle w:val="45"/>
              <w:bidi w:val="0"/>
              <w:rPr>
                <w:rFonts w:hint="default"/>
              </w:rPr>
            </w:pPr>
            <w:r>
              <w:rPr>
                <w:rFonts w:hint="default"/>
                <w:lang w:val="en-US" w:eastAsia="zh-CN"/>
              </w:rPr>
              <w:t xml:space="preserve">10758.12 </w:t>
            </w:r>
          </w:p>
        </w:tc>
        <w:tc>
          <w:tcPr>
            <w:tcW w:w="932" w:type="pct"/>
            <w:tcBorders>
              <w:top w:val="single" w:color="auto" w:sz="4" w:space="0"/>
              <w:left w:val="single" w:color="auto" w:sz="4" w:space="0"/>
              <w:bottom w:val="single" w:color="auto" w:sz="4" w:space="0"/>
              <w:right w:val="single" w:color="auto" w:sz="4" w:space="0"/>
            </w:tcBorders>
            <w:shd w:val="clear" w:color="auto" w:fill="auto"/>
            <w:vAlign w:val="center"/>
          </w:tcPr>
          <w:p w14:paraId="5A06C2B2">
            <w:pPr>
              <w:pStyle w:val="45"/>
              <w:bidi w:val="0"/>
              <w:rPr>
                <w:rFonts w:hint="default"/>
              </w:rPr>
            </w:pPr>
            <w:r>
              <w:rPr>
                <w:rFonts w:hint="default"/>
                <w:lang w:val="en-US" w:eastAsia="zh-CN"/>
              </w:rPr>
              <w:t xml:space="preserve">20000.00 </w:t>
            </w: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14:paraId="4A5BFA94">
            <w:pPr>
              <w:pStyle w:val="45"/>
              <w:bidi w:val="0"/>
              <w:rPr>
                <w:rFonts w:hint="default"/>
              </w:rPr>
            </w:pPr>
            <w:r>
              <w:rPr>
                <w:rFonts w:hint="default"/>
                <w:lang w:val="en-US" w:eastAsia="zh-CN"/>
              </w:rPr>
              <w:t xml:space="preserve">8447.65 </w:t>
            </w:r>
          </w:p>
        </w:tc>
      </w:tr>
    </w:tbl>
    <w:p w14:paraId="02348C27">
      <w:pPr>
        <w:numPr>
          <w:ilvl w:val="0"/>
          <w:numId w:val="0"/>
        </w:numPr>
        <w:tabs>
          <w:tab w:val="left" w:pos="0"/>
        </w:tabs>
        <w:bidi w:val="0"/>
      </w:pPr>
    </w:p>
    <w:p w14:paraId="1740FB62">
      <w:pPr>
        <w:outlineLvl w:val="9"/>
        <w:rPr>
          <w:rFonts w:hint="eastAsia"/>
          <w:lang w:eastAsia="zh-CN"/>
        </w:rPr>
      </w:pPr>
      <w:r>
        <w:t>结合工程分析，</w:t>
      </w:r>
      <w:r>
        <w:rPr>
          <w:rFonts w:hint="eastAsia"/>
        </w:rPr>
        <w:t>二次电解氯酸钠</w:t>
      </w:r>
      <w:r>
        <w:rPr>
          <w:rFonts w:hint="eastAsia"/>
          <w:lang w:val="en-US" w:eastAsia="zh-CN"/>
        </w:rPr>
        <w:t>转化率</w:t>
      </w:r>
      <w:r>
        <w:rPr>
          <w:rFonts w:hint="eastAsia"/>
        </w:rPr>
        <w:t>约为95.8%，高氯酸钾收率约为99.3%</w:t>
      </w:r>
      <w:r>
        <w:rPr>
          <w:rFonts w:hint="eastAsia"/>
          <w:lang w:eastAsia="zh-CN"/>
        </w:rPr>
        <w:t>。</w:t>
      </w:r>
    </w:p>
    <w:p w14:paraId="5A13675E">
      <w:pPr>
        <w:numPr>
          <w:ilvl w:val="0"/>
          <w:numId w:val="8"/>
        </w:numPr>
        <w:ind w:left="480" w:leftChars="200" w:firstLine="0" w:firstLineChars="0"/>
        <w:outlineLvl w:val="5"/>
        <w:rPr>
          <w:rFonts w:hint="eastAsia"/>
          <w:b/>
          <w:bCs/>
        </w:rPr>
      </w:pPr>
      <w:r>
        <w:rPr>
          <w:rFonts w:hint="eastAsia"/>
          <w:b/>
          <w:bCs/>
          <w:highlight w:val="none"/>
          <w:lang w:val="en-US" w:eastAsia="zh-CN"/>
        </w:rPr>
        <w:t>复分解生产高氯酸钾</w:t>
      </w:r>
      <w:r>
        <w:rPr>
          <w:rFonts w:hint="eastAsia"/>
          <w:b/>
          <w:bCs/>
        </w:rPr>
        <w:t>物料平衡</w:t>
      </w:r>
    </w:p>
    <w:p w14:paraId="71994158">
      <w:pPr>
        <w:pStyle w:val="43"/>
        <w:numPr>
          <w:ilvl w:val="5"/>
          <w:numId w:val="1"/>
        </w:numPr>
        <w:bidi w:val="0"/>
        <w:rPr>
          <w:rFonts w:hint="eastAsia"/>
          <w:b/>
          <w:bCs/>
        </w:rPr>
      </w:pPr>
      <w:r>
        <w:rPr>
          <w:rFonts w:hint="eastAsia"/>
          <w:highlight w:val="none"/>
          <w:lang w:val="en-US" w:eastAsia="zh-CN"/>
        </w:rPr>
        <w:t>高氯酸钾生产物料平衡一览表</w:t>
      </w:r>
    </w:p>
    <w:tbl>
      <w:tblPr>
        <w:tblStyle w:val="32"/>
        <w:tblW w:w="504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680"/>
        <w:gridCol w:w="991"/>
        <w:gridCol w:w="1266"/>
        <w:gridCol w:w="910"/>
        <w:gridCol w:w="1387"/>
        <w:gridCol w:w="1010"/>
        <w:gridCol w:w="1354"/>
      </w:tblGrid>
      <w:tr w14:paraId="1C6FCE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 w:hRule="atLeast"/>
        </w:trPr>
        <w:tc>
          <w:tcPr>
            <w:tcW w:w="155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DE474">
            <w:pPr>
              <w:pStyle w:val="45"/>
              <w:bidi w:val="0"/>
              <w:rPr>
                <w:rFonts w:hint="eastAsia"/>
                <w:b/>
                <w:bCs/>
              </w:rPr>
            </w:pPr>
            <w:r>
              <w:rPr>
                <w:rFonts w:hint="eastAsia"/>
                <w:b/>
                <w:bCs/>
                <w:lang w:val="en-US" w:eastAsia="zh-CN"/>
              </w:rPr>
              <w:t>投入（</w:t>
            </w:r>
            <w:r>
              <w:rPr>
                <w:rFonts w:hint="default"/>
                <w:b/>
                <w:bCs/>
                <w:lang w:val="en-US" w:eastAsia="zh-CN"/>
              </w:rPr>
              <w:t>t</w:t>
            </w:r>
            <w:r>
              <w:rPr>
                <w:rFonts w:hint="eastAsia"/>
                <w:b/>
                <w:bCs/>
                <w:lang w:val="en-US" w:eastAsia="zh-CN"/>
              </w:rPr>
              <w:t>）</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793BE9">
            <w:pPr>
              <w:pStyle w:val="45"/>
              <w:bidi w:val="0"/>
              <w:rPr>
                <w:rFonts w:hint="eastAsia"/>
                <w:b/>
                <w:bCs/>
              </w:rPr>
            </w:pPr>
            <w:r>
              <w:rPr>
                <w:rFonts w:hint="eastAsia"/>
                <w:b/>
                <w:bCs/>
                <w:lang w:val="en-US" w:eastAsia="zh-CN"/>
              </w:rPr>
              <w:t>备注</w:t>
            </w:r>
          </w:p>
        </w:tc>
        <w:tc>
          <w:tcPr>
            <w:tcW w:w="192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264AA">
            <w:pPr>
              <w:pStyle w:val="45"/>
              <w:bidi w:val="0"/>
              <w:rPr>
                <w:rFonts w:hint="eastAsia"/>
                <w:b/>
                <w:bCs/>
              </w:rPr>
            </w:pPr>
            <w:r>
              <w:rPr>
                <w:rFonts w:hint="eastAsia"/>
                <w:b/>
                <w:bCs/>
                <w:lang w:val="en-US" w:eastAsia="zh-CN"/>
              </w:rPr>
              <w:t>产出（</w:t>
            </w:r>
            <w:r>
              <w:rPr>
                <w:rFonts w:hint="default"/>
                <w:b/>
                <w:bCs/>
                <w:lang w:val="en-US" w:eastAsia="zh-CN"/>
              </w:rPr>
              <w:t>t</w:t>
            </w:r>
            <w:r>
              <w:rPr>
                <w:rFonts w:hint="eastAsia"/>
                <w:b/>
                <w:bCs/>
                <w:lang w:val="en-US" w:eastAsia="zh-CN"/>
              </w:rPr>
              <w:t>）</w:t>
            </w:r>
          </w:p>
        </w:tc>
        <w:tc>
          <w:tcPr>
            <w:tcW w:w="7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24B77">
            <w:pPr>
              <w:pStyle w:val="45"/>
              <w:bidi w:val="0"/>
              <w:rPr>
                <w:rFonts w:hint="eastAsia"/>
                <w:b/>
                <w:bCs/>
              </w:rPr>
            </w:pPr>
            <w:r>
              <w:rPr>
                <w:rFonts w:hint="eastAsia"/>
                <w:b/>
                <w:bCs/>
                <w:lang w:val="en-US" w:eastAsia="zh-CN"/>
              </w:rPr>
              <w:t>备注</w:t>
            </w:r>
          </w:p>
        </w:tc>
      </w:tr>
      <w:tr w14:paraId="51F93D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 w:hRule="atLeast"/>
        </w:trPr>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12DEC2">
            <w:pPr>
              <w:pStyle w:val="45"/>
              <w:bidi w:val="0"/>
              <w:rPr>
                <w:rFonts w:hint="eastAsia"/>
              </w:rPr>
            </w:pPr>
            <w:r>
              <w:rPr>
                <w:rFonts w:hint="eastAsia"/>
                <w:lang w:val="en-US" w:eastAsia="zh-CN"/>
              </w:rPr>
              <w:t>氯酸钠</w:t>
            </w:r>
          </w:p>
        </w:tc>
        <w:tc>
          <w:tcPr>
            <w:tcW w:w="5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F42FB">
            <w:pPr>
              <w:pStyle w:val="45"/>
              <w:bidi w:val="0"/>
              <w:rPr>
                <w:rFonts w:hint="eastAsia"/>
              </w:rPr>
            </w:pPr>
            <w:r>
              <w:rPr>
                <w:rFonts w:hint="eastAsia"/>
                <w:lang w:val="en-US" w:eastAsia="zh-CN"/>
              </w:rPr>
              <w:t>16000</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FA290">
            <w:pPr>
              <w:pStyle w:val="45"/>
              <w:bidi w:val="0"/>
              <w:rPr>
                <w:rFonts w:hint="eastAsia"/>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0C20C">
            <w:pPr>
              <w:pStyle w:val="45"/>
              <w:bidi w:val="0"/>
              <w:rPr>
                <w:rFonts w:hint="eastAsia"/>
              </w:rPr>
            </w:pPr>
            <w:r>
              <w:rPr>
                <w:rFonts w:hint="eastAsia"/>
                <w:lang w:val="en-US" w:eastAsia="zh-CN"/>
              </w:rPr>
              <w:t>产品</w:t>
            </w:r>
          </w:p>
        </w:tc>
        <w:tc>
          <w:tcPr>
            <w:tcW w:w="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9D153">
            <w:pPr>
              <w:pStyle w:val="45"/>
              <w:bidi w:val="0"/>
              <w:rPr>
                <w:rFonts w:hint="eastAsia"/>
              </w:rPr>
            </w:pPr>
            <w:r>
              <w:rPr>
                <w:rFonts w:hint="eastAsia"/>
                <w:lang w:val="en-US" w:eastAsia="zh-CN"/>
              </w:rPr>
              <w:t>高氯酸钾</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FB498">
            <w:pPr>
              <w:pStyle w:val="45"/>
              <w:bidi w:val="0"/>
              <w:rPr>
                <w:rFonts w:hint="eastAsia"/>
              </w:rPr>
            </w:pPr>
            <w:r>
              <w:rPr>
                <w:rFonts w:hint="eastAsia"/>
                <w:lang w:val="en-US" w:eastAsia="zh-CN"/>
              </w:rPr>
              <w:t>20000</w:t>
            </w:r>
          </w:p>
        </w:tc>
        <w:tc>
          <w:tcPr>
            <w:tcW w:w="7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6116E">
            <w:pPr>
              <w:pStyle w:val="45"/>
              <w:bidi w:val="0"/>
              <w:rPr>
                <w:rFonts w:hint="eastAsia"/>
              </w:rPr>
            </w:pPr>
            <w:r>
              <w:rPr>
                <w:rFonts w:hint="eastAsia"/>
                <w:lang w:val="en-US" w:eastAsia="zh-CN"/>
              </w:rPr>
              <w:t>99.50%</w:t>
            </w:r>
          </w:p>
        </w:tc>
      </w:tr>
      <w:tr w14:paraId="136A14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0" w:hRule="atLeast"/>
        </w:trPr>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B28A5">
            <w:pPr>
              <w:pStyle w:val="45"/>
              <w:bidi w:val="0"/>
              <w:rPr>
                <w:rFonts w:hint="eastAsia"/>
              </w:rPr>
            </w:pPr>
            <w:r>
              <w:rPr>
                <w:rFonts w:hint="eastAsia"/>
                <w:lang w:val="en-US" w:eastAsia="zh-CN"/>
              </w:rPr>
              <w:t>氯化钡</w:t>
            </w:r>
          </w:p>
        </w:tc>
        <w:tc>
          <w:tcPr>
            <w:tcW w:w="5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BA39EB">
            <w:pPr>
              <w:pStyle w:val="45"/>
              <w:bidi w:val="0"/>
              <w:rPr>
                <w:rFonts w:hint="eastAsia"/>
              </w:rPr>
            </w:pPr>
            <w:r>
              <w:rPr>
                <w:rFonts w:hint="eastAsia"/>
                <w:lang w:val="en-US" w:eastAsia="zh-CN"/>
              </w:rPr>
              <w:t>20</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E554E">
            <w:pPr>
              <w:pStyle w:val="45"/>
              <w:bidi w:val="0"/>
              <w:rPr>
                <w:rFonts w:hint="eastAsia"/>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05166">
            <w:pPr>
              <w:pStyle w:val="45"/>
              <w:bidi w:val="0"/>
              <w:rPr>
                <w:rFonts w:hint="eastAsia"/>
              </w:rPr>
            </w:pPr>
            <w:r>
              <w:rPr>
                <w:rFonts w:hint="eastAsia"/>
                <w:lang w:val="en-US" w:eastAsia="zh-CN"/>
              </w:rPr>
              <w:t>副产品</w:t>
            </w:r>
          </w:p>
        </w:tc>
        <w:tc>
          <w:tcPr>
            <w:tcW w:w="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7F45A6">
            <w:pPr>
              <w:pStyle w:val="45"/>
              <w:bidi w:val="0"/>
              <w:rPr>
                <w:rFonts w:hint="eastAsia"/>
              </w:rPr>
            </w:pPr>
            <w:r>
              <w:rPr>
                <w:rFonts w:hint="eastAsia"/>
                <w:lang w:val="en-US" w:eastAsia="zh-CN"/>
              </w:rPr>
              <w:t>氯化钠</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1248A1">
            <w:pPr>
              <w:pStyle w:val="45"/>
              <w:bidi w:val="0"/>
              <w:rPr>
                <w:rFonts w:hint="eastAsia"/>
              </w:rPr>
            </w:pPr>
            <w:r>
              <w:rPr>
                <w:rFonts w:hint="eastAsia"/>
                <w:lang w:val="en-US" w:eastAsia="zh-CN"/>
              </w:rPr>
              <w:t>6792.2</w:t>
            </w:r>
          </w:p>
        </w:tc>
        <w:tc>
          <w:tcPr>
            <w:tcW w:w="7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0092D7">
            <w:pPr>
              <w:pStyle w:val="45"/>
              <w:bidi w:val="0"/>
              <w:rPr>
                <w:rFonts w:hint="eastAsia"/>
              </w:rPr>
            </w:pPr>
            <w:r>
              <w:rPr>
                <w:rFonts w:hint="eastAsia"/>
                <w:lang w:val="en-US" w:eastAsia="zh-CN"/>
              </w:rPr>
              <w:t>回用于化盐</w:t>
            </w:r>
          </w:p>
        </w:tc>
      </w:tr>
      <w:tr w14:paraId="769901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7" w:hRule="atLeast"/>
        </w:trPr>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2C1A3">
            <w:pPr>
              <w:pStyle w:val="45"/>
              <w:bidi w:val="0"/>
              <w:ind w:firstLine="0" w:firstLineChars="0"/>
              <w:rPr>
                <w:rFonts w:hint="eastAsia" w:ascii="Times New Roman" w:hAnsi="Times New Roman" w:eastAsia="宋体" w:cs="Times New Roman"/>
                <w:kern w:val="0"/>
                <w:sz w:val="21"/>
                <w:szCs w:val="21"/>
                <w:lang w:val="en-US" w:eastAsia="zh-CN" w:bidi="ar-SA"/>
              </w:rPr>
            </w:pPr>
            <w:r>
              <w:rPr>
                <w:rFonts w:hint="eastAsia"/>
                <w:lang w:val="en-US" w:eastAsia="zh-CN"/>
              </w:rPr>
              <w:t>氯化钾</w:t>
            </w:r>
          </w:p>
        </w:tc>
        <w:tc>
          <w:tcPr>
            <w:tcW w:w="5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C9AE5">
            <w:pPr>
              <w:pStyle w:val="45"/>
              <w:bidi w:val="0"/>
              <w:ind w:firstLine="0" w:firstLineChars="0"/>
              <w:rPr>
                <w:rFonts w:hint="eastAsia" w:ascii="Times New Roman" w:hAnsi="Times New Roman" w:eastAsia="宋体" w:cs="Times New Roman"/>
                <w:kern w:val="0"/>
                <w:sz w:val="21"/>
                <w:szCs w:val="21"/>
                <w:lang w:val="en-US" w:eastAsia="zh-CN" w:bidi="ar-SA"/>
              </w:rPr>
            </w:pPr>
            <w:r>
              <w:rPr>
                <w:rFonts w:hint="eastAsia"/>
                <w:lang w:val="en-US" w:eastAsia="zh-CN"/>
              </w:rPr>
              <w:t>12000</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14E4F1">
            <w:pPr>
              <w:pStyle w:val="45"/>
              <w:bidi w:val="0"/>
              <w:rPr>
                <w:rFonts w:hint="eastAsia" w:eastAsia="宋体"/>
                <w:lang w:val="en-US" w:eastAsia="zh-CN"/>
              </w:rPr>
            </w:pPr>
          </w:p>
        </w:tc>
        <w:tc>
          <w:tcPr>
            <w:tcW w:w="52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42E34F">
            <w:pPr>
              <w:pStyle w:val="45"/>
              <w:bidi w:val="0"/>
              <w:rPr>
                <w:rFonts w:hint="eastAsia"/>
              </w:rPr>
            </w:pPr>
            <w:r>
              <w:rPr>
                <w:rFonts w:hint="eastAsia"/>
                <w:lang w:val="en-US" w:eastAsia="zh-CN"/>
              </w:rPr>
              <w:t>电解尾气</w:t>
            </w:r>
          </w:p>
        </w:tc>
        <w:tc>
          <w:tcPr>
            <w:tcW w:w="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45AA5">
            <w:pPr>
              <w:pStyle w:val="45"/>
              <w:bidi w:val="0"/>
              <w:rPr>
                <w:rFonts w:hint="eastAsia"/>
              </w:rPr>
            </w:pPr>
            <w:r>
              <w:rPr>
                <w:rFonts w:hint="eastAsia"/>
                <w:lang w:val="en-US" w:eastAsia="zh-CN"/>
              </w:rPr>
              <w:t>氢气</w:t>
            </w:r>
          </w:p>
        </w:tc>
        <w:tc>
          <w:tcPr>
            <w:tcW w:w="1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6B9DF">
            <w:pPr>
              <w:pStyle w:val="45"/>
              <w:bidi w:val="0"/>
              <w:rPr>
                <w:rFonts w:hint="eastAsia"/>
              </w:rPr>
            </w:pPr>
            <w:r>
              <w:rPr>
                <w:rFonts w:hint="eastAsia"/>
                <w:lang w:val="en-US" w:eastAsia="zh-CN"/>
              </w:rPr>
              <w:t>290.1</w:t>
            </w:r>
          </w:p>
        </w:tc>
        <w:tc>
          <w:tcPr>
            <w:tcW w:w="135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09158">
            <w:pPr>
              <w:pStyle w:val="45"/>
              <w:bidi w:val="0"/>
              <w:rPr>
                <w:rFonts w:hint="eastAsia"/>
              </w:rPr>
            </w:pPr>
            <w:r>
              <w:rPr>
                <w:rFonts w:hint="eastAsia"/>
                <w:lang w:val="en-US" w:eastAsia="zh-CN"/>
              </w:rPr>
              <w:t>小计1825.64</w:t>
            </w:r>
          </w:p>
        </w:tc>
      </w:tr>
      <w:tr w14:paraId="425640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1" w:hRule="atLeast"/>
        </w:trPr>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BB3484">
            <w:pPr>
              <w:pStyle w:val="45"/>
              <w:bidi w:val="0"/>
              <w:ind w:firstLine="0" w:firstLineChars="0"/>
              <w:rPr>
                <w:rFonts w:hint="eastAsia" w:ascii="Times New Roman" w:hAnsi="Times New Roman" w:eastAsia="宋体" w:cs="Times New Roman"/>
                <w:kern w:val="0"/>
                <w:sz w:val="21"/>
                <w:szCs w:val="21"/>
                <w:lang w:val="en-US" w:eastAsia="zh-CN" w:bidi="ar-SA"/>
              </w:rPr>
            </w:pPr>
            <w:r>
              <w:rPr>
                <w:rFonts w:hint="eastAsia"/>
                <w:lang w:val="en-US" w:eastAsia="zh-CN"/>
              </w:rPr>
              <w:t>氯酸钠化盐水</w:t>
            </w:r>
          </w:p>
        </w:tc>
        <w:tc>
          <w:tcPr>
            <w:tcW w:w="5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D09EE">
            <w:pPr>
              <w:pStyle w:val="45"/>
              <w:bidi w:val="0"/>
              <w:ind w:firstLine="0" w:firstLineChars="0"/>
              <w:rPr>
                <w:rFonts w:hint="eastAsia" w:ascii="Times New Roman" w:hAnsi="Times New Roman" w:eastAsia="宋体" w:cs="Times New Roman"/>
                <w:kern w:val="0"/>
                <w:sz w:val="21"/>
                <w:szCs w:val="21"/>
                <w:lang w:val="en-US" w:eastAsia="zh-CN" w:bidi="ar-SA"/>
              </w:rPr>
            </w:pPr>
            <w:r>
              <w:rPr>
                <w:rFonts w:hint="eastAsia"/>
                <w:lang w:val="en-US" w:eastAsia="zh-CN"/>
              </w:rPr>
              <w:t>19500</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CB74E">
            <w:pPr>
              <w:pStyle w:val="45"/>
              <w:bidi w:val="0"/>
              <w:ind w:firstLine="0" w:firstLineChars="0"/>
              <w:rPr>
                <w:rFonts w:hint="eastAsia" w:ascii="Times New Roman" w:hAnsi="Times New Roman" w:eastAsia="宋体" w:cs="Times New Roman"/>
                <w:kern w:val="0"/>
                <w:sz w:val="21"/>
                <w:szCs w:val="21"/>
                <w:lang w:val="en-US" w:eastAsia="zh-CN" w:bidi="ar-SA"/>
              </w:rPr>
            </w:pPr>
            <w:r>
              <w:rPr>
                <w:rFonts w:hint="eastAsia"/>
                <w:lang w:val="en-US" w:eastAsia="zh-CN"/>
              </w:rPr>
              <w:t>纯水、回用冷凝水</w:t>
            </w:r>
          </w:p>
        </w:tc>
        <w:tc>
          <w:tcPr>
            <w:tcW w:w="5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14F522">
            <w:pPr>
              <w:pStyle w:val="45"/>
              <w:bidi w:val="0"/>
              <w:rPr>
                <w:rFonts w:hint="eastAsia"/>
              </w:rPr>
            </w:pPr>
          </w:p>
        </w:tc>
        <w:tc>
          <w:tcPr>
            <w:tcW w:w="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28E4F">
            <w:pPr>
              <w:pStyle w:val="45"/>
              <w:bidi w:val="0"/>
              <w:rPr>
                <w:rFonts w:hint="eastAsia"/>
              </w:rPr>
            </w:pPr>
            <w:r>
              <w:rPr>
                <w:rFonts w:hint="eastAsia"/>
                <w:lang w:val="en-US" w:eastAsia="zh-CN"/>
              </w:rPr>
              <w:t>氧气</w:t>
            </w:r>
          </w:p>
        </w:tc>
        <w:tc>
          <w:tcPr>
            <w:tcW w:w="1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1D0D0">
            <w:pPr>
              <w:pStyle w:val="45"/>
              <w:bidi w:val="0"/>
              <w:rPr>
                <w:rFonts w:hint="eastAsia"/>
              </w:rPr>
            </w:pPr>
            <w:r>
              <w:rPr>
                <w:rFonts w:hint="eastAsia"/>
                <w:lang w:val="en-US" w:eastAsia="zh-CN"/>
              </w:rPr>
              <w:t>4.32</w:t>
            </w:r>
          </w:p>
        </w:tc>
        <w:tc>
          <w:tcPr>
            <w:tcW w:w="135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6110B">
            <w:pPr>
              <w:pStyle w:val="45"/>
              <w:bidi w:val="0"/>
              <w:rPr>
                <w:rFonts w:hint="eastAsia"/>
              </w:rPr>
            </w:pPr>
          </w:p>
        </w:tc>
      </w:tr>
      <w:tr w14:paraId="7B0A71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1" w:hRule="atLeast"/>
        </w:trPr>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D9A8C8">
            <w:pPr>
              <w:pStyle w:val="45"/>
              <w:bidi w:val="0"/>
              <w:rPr>
                <w:rFonts w:hint="eastAsia"/>
              </w:rPr>
            </w:pPr>
            <w:r>
              <w:rPr>
                <w:rFonts w:hint="eastAsia"/>
                <w:lang w:val="en-US" w:eastAsia="zh-CN"/>
              </w:rPr>
              <w:t>氯化钾化盐水</w:t>
            </w:r>
          </w:p>
        </w:tc>
        <w:tc>
          <w:tcPr>
            <w:tcW w:w="5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0FB26">
            <w:pPr>
              <w:pStyle w:val="45"/>
              <w:bidi w:val="0"/>
              <w:rPr>
                <w:rFonts w:hint="eastAsia"/>
              </w:rPr>
            </w:pPr>
            <w:r>
              <w:rPr>
                <w:rFonts w:hint="eastAsia"/>
                <w:lang w:val="en-US" w:eastAsia="zh-CN"/>
              </w:rPr>
              <w:t>26990</w:t>
            </w:r>
          </w:p>
        </w:tc>
        <w:tc>
          <w:tcPr>
            <w:tcW w:w="7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04E53E">
            <w:pPr>
              <w:pStyle w:val="45"/>
              <w:bidi w:val="0"/>
              <w:rPr>
                <w:rFonts w:hint="eastAsia" w:eastAsia="宋体"/>
                <w:lang w:val="en-US" w:eastAsia="zh-CN"/>
              </w:rPr>
            </w:pPr>
            <w:r>
              <w:rPr>
                <w:rFonts w:hint="eastAsia"/>
                <w:lang w:val="en-US" w:eastAsia="zh-CN"/>
              </w:rPr>
              <w:t>纯水、回用冷凝水</w:t>
            </w:r>
          </w:p>
        </w:tc>
        <w:tc>
          <w:tcPr>
            <w:tcW w:w="5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244F6">
            <w:pPr>
              <w:pStyle w:val="45"/>
              <w:bidi w:val="0"/>
              <w:rPr>
                <w:rFonts w:hint="eastAsia"/>
              </w:rPr>
            </w:pPr>
          </w:p>
        </w:tc>
        <w:tc>
          <w:tcPr>
            <w:tcW w:w="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6DFB0">
            <w:pPr>
              <w:pStyle w:val="45"/>
              <w:bidi w:val="0"/>
              <w:rPr>
                <w:rFonts w:hint="eastAsia"/>
              </w:rPr>
            </w:pPr>
            <w:r>
              <w:rPr>
                <w:rFonts w:hint="eastAsia"/>
                <w:lang w:val="en-US" w:eastAsia="zh-CN"/>
              </w:rPr>
              <w:t>氯气</w:t>
            </w:r>
          </w:p>
        </w:tc>
        <w:tc>
          <w:tcPr>
            <w:tcW w:w="1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2EB97">
            <w:pPr>
              <w:pStyle w:val="45"/>
              <w:bidi w:val="0"/>
              <w:rPr>
                <w:rFonts w:hint="eastAsia"/>
              </w:rPr>
            </w:pPr>
            <w:r>
              <w:rPr>
                <w:rFonts w:hint="eastAsia"/>
                <w:lang w:val="en-US" w:eastAsia="zh-CN"/>
              </w:rPr>
              <w:t>1.5</w:t>
            </w:r>
          </w:p>
        </w:tc>
        <w:tc>
          <w:tcPr>
            <w:tcW w:w="135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F4718">
            <w:pPr>
              <w:pStyle w:val="45"/>
              <w:bidi w:val="0"/>
              <w:rPr>
                <w:rFonts w:hint="eastAsia"/>
              </w:rPr>
            </w:pPr>
          </w:p>
        </w:tc>
      </w:tr>
      <w:tr w14:paraId="02F5AC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 w:hRule="atLeast"/>
        </w:trPr>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7FB082">
            <w:pPr>
              <w:pStyle w:val="45"/>
              <w:bidi w:val="0"/>
              <w:ind w:firstLine="0" w:firstLineChars="0"/>
              <w:rPr>
                <w:rFonts w:hint="eastAsia" w:ascii="Times New Roman" w:hAnsi="Times New Roman" w:eastAsia="宋体" w:cs="Times New Roman"/>
                <w:kern w:val="0"/>
                <w:sz w:val="21"/>
                <w:szCs w:val="21"/>
                <w:lang w:val="en-US" w:eastAsia="zh-CN" w:bidi="ar-SA"/>
              </w:rPr>
            </w:pPr>
          </w:p>
        </w:tc>
        <w:tc>
          <w:tcPr>
            <w:tcW w:w="5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A1F28">
            <w:pPr>
              <w:pStyle w:val="45"/>
              <w:bidi w:val="0"/>
              <w:ind w:firstLine="0" w:firstLineChars="0"/>
              <w:rPr>
                <w:rFonts w:hint="eastAsia" w:ascii="Times New Roman" w:hAnsi="Times New Roman" w:eastAsia="宋体" w:cs="Times New Roman"/>
                <w:kern w:val="0"/>
                <w:sz w:val="21"/>
                <w:szCs w:val="21"/>
                <w:lang w:val="en-US" w:eastAsia="zh-CN" w:bidi="ar-SA"/>
              </w:rPr>
            </w:pP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8F7CC">
            <w:pPr>
              <w:pStyle w:val="45"/>
              <w:bidi w:val="0"/>
              <w:ind w:firstLine="0" w:firstLineChars="0"/>
              <w:rPr>
                <w:rFonts w:hint="eastAsia" w:ascii="Times New Roman" w:hAnsi="Times New Roman" w:eastAsia="宋体" w:cs="Times New Roman"/>
                <w:kern w:val="0"/>
                <w:sz w:val="21"/>
                <w:szCs w:val="21"/>
                <w:lang w:val="en-US" w:eastAsia="zh-CN" w:bidi="ar-SA"/>
              </w:rPr>
            </w:pPr>
          </w:p>
        </w:tc>
        <w:tc>
          <w:tcPr>
            <w:tcW w:w="5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130F9">
            <w:pPr>
              <w:pStyle w:val="45"/>
              <w:bidi w:val="0"/>
              <w:rPr>
                <w:rFonts w:hint="eastAsia"/>
              </w:rPr>
            </w:pPr>
          </w:p>
        </w:tc>
        <w:tc>
          <w:tcPr>
            <w:tcW w:w="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BD516">
            <w:pPr>
              <w:pStyle w:val="45"/>
              <w:bidi w:val="0"/>
              <w:rPr>
                <w:rFonts w:hint="eastAsia"/>
              </w:rPr>
            </w:pPr>
            <w:r>
              <w:rPr>
                <w:rFonts w:hint="eastAsia"/>
                <w:lang w:val="en-US" w:eastAsia="zh-CN"/>
              </w:rPr>
              <w:t>氯化氢</w:t>
            </w:r>
          </w:p>
        </w:tc>
        <w:tc>
          <w:tcPr>
            <w:tcW w:w="1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DA7248">
            <w:pPr>
              <w:pStyle w:val="45"/>
              <w:bidi w:val="0"/>
              <w:rPr>
                <w:rFonts w:hint="eastAsia"/>
              </w:rPr>
            </w:pPr>
            <w:r>
              <w:rPr>
                <w:rFonts w:hint="eastAsia"/>
                <w:lang w:val="en-US" w:eastAsia="zh-CN"/>
              </w:rPr>
              <w:t>1.74</w:t>
            </w:r>
          </w:p>
        </w:tc>
        <w:tc>
          <w:tcPr>
            <w:tcW w:w="135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26777">
            <w:pPr>
              <w:pStyle w:val="45"/>
              <w:bidi w:val="0"/>
              <w:rPr>
                <w:rFonts w:hint="eastAsia"/>
              </w:rPr>
            </w:pPr>
          </w:p>
        </w:tc>
      </w:tr>
      <w:tr w14:paraId="7BC890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B1E7C7">
            <w:pPr>
              <w:pStyle w:val="45"/>
              <w:bidi w:val="0"/>
              <w:rPr>
                <w:rFonts w:hint="eastAsia"/>
              </w:rPr>
            </w:pPr>
          </w:p>
        </w:tc>
        <w:tc>
          <w:tcPr>
            <w:tcW w:w="5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1DCAB">
            <w:pPr>
              <w:pStyle w:val="45"/>
              <w:bidi w:val="0"/>
              <w:rPr>
                <w:rFonts w:hint="eastAsia"/>
              </w:rPr>
            </w:pP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64C9A">
            <w:pPr>
              <w:pStyle w:val="45"/>
              <w:bidi w:val="0"/>
              <w:rPr>
                <w:rFonts w:hint="eastAsia"/>
              </w:rPr>
            </w:pPr>
          </w:p>
        </w:tc>
        <w:tc>
          <w:tcPr>
            <w:tcW w:w="5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D810B">
            <w:pPr>
              <w:pStyle w:val="45"/>
              <w:bidi w:val="0"/>
              <w:rPr>
                <w:rFonts w:hint="eastAsia"/>
              </w:rPr>
            </w:pPr>
          </w:p>
        </w:tc>
        <w:tc>
          <w:tcPr>
            <w:tcW w:w="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79ECB">
            <w:pPr>
              <w:pStyle w:val="45"/>
              <w:bidi w:val="0"/>
              <w:rPr>
                <w:rFonts w:hint="eastAsia"/>
              </w:rPr>
            </w:pPr>
            <w:r>
              <w:rPr>
                <w:rFonts w:hint="eastAsia"/>
                <w:lang w:val="en-US" w:eastAsia="zh-CN"/>
              </w:rPr>
              <w:t>水蒸气</w:t>
            </w:r>
          </w:p>
        </w:tc>
        <w:tc>
          <w:tcPr>
            <w:tcW w:w="1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344F6">
            <w:pPr>
              <w:pStyle w:val="45"/>
              <w:bidi w:val="0"/>
              <w:rPr>
                <w:rFonts w:hint="eastAsia"/>
              </w:rPr>
            </w:pPr>
            <w:r>
              <w:rPr>
                <w:rFonts w:hint="eastAsia"/>
                <w:lang w:val="en-US" w:eastAsia="zh-CN"/>
              </w:rPr>
              <w:t>1527.98</w:t>
            </w:r>
          </w:p>
        </w:tc>
        <w:tc>
          <w:tcPr>
            <w:tcW w:w="135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10561">
            <w:pPr>
              <w:pStyle w:val="45"/>
              <w:bidi w:val="0"/>
              <w:rPr>
                <w:rFonts w:hint="eastAsia"/>
              </w:rPr>
            </w:pPr>
          </w:p>
        </w:tc>
      </w:tr>
      <w:tr w14:paraId="538F91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ABB2B7">
            <w:pPr>
              <w:pStyle w:val="45"/>
              <w:bidi w:val="0"/>
              <w:rPr>
                <w:rFonts w:hint="eastAsia"/>
              </w:rPr>
            </w:pPr>
          </w:p>
        </w:tc>
        <w:tc>
          <w:tcPr>
            <w:tcW w:w="5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08E29">
            <w:pPr>
              <w:pStyle w:val="45"/>
              <w:bidi w:val="0"/>
              <w:rPr>
                <w:rFonts w:hint="eastAsia"/>
              </w:rPr>
            </w:pP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78D8D">
            <w:pPr>
              <w:pStyle w:val="45"/>
              <w:bidi w:val="0"/>
              <w:rPr>
                <w:rFonts w:hint="eastAsia"/>
              </w:rPr>
            </w:pPr>
          </w:p>
        </w:tc>
        <w:tc>
          <w:tcPr>
            <w:tcW w:w="52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E9730">
            <w:pPr>
              <w:pStyle w:val="45"/>
              <w:bidi w:val="0"/>
              <w:rPr>
                <w:rFonts w:hint="eastAsia"/>
              </w:rPr>
            </w:pPr>
            <w:r>
              <w:rPr>
                <w:rFonts w:hint="eastAsia"/>
                <w:lang w:val="en-US" w:eastAsia="zh-CN"/>
              </w:rPr>
              <w:t>干燥废气</w:t>
            </w:r>
          </w:p>
        </w:tc>
        <w:tc>
          <w:tcPr>
            <w:tcW w:w="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CD712">
            <w:pPr>
              <w:pStyle w:val="45"/>
              <w:bidi w:val="0"/>
              <w:rPr>
                <w:rFonts w:hint="eastAsia"/>
              </w:rPr>
            </w:pPr>
            <w:r>
              <w:rPr>
                <w:rFonts w:hint="eastAsia"/>
                <w:lang w:val="en-US" w:eastAsia="zh-CN"/>
              </w:rPr>
              <w:t>水</w:t>
            </w:r>
          </w:p>
        </w:tc>
        <w:tc>
          <w:tcPr>
            <w:tcW w:w="1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75819">
            <w:pPr>
              <w:pStyle w:val="45"/>
              <w:bidi w:val="0"/>
              <w:rPr>
                <w:rFonts w:hint="eastAsia"/>
              </w:rPr>
            </w:pPr>
            <w:r>
              <w:rPr>
                <w:rFonts w:hint="eastAsia"/>
                <w:lang w:val="en-US" w:eastAsia="zh-CN"/>
              </w:rPr>
              <w:t>1496.72</w:t>
            </w:r>
          </w:p>
        </w:tc>
        <w:tc>
          <w:tcPr>
            <w:tcW w:w="135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59D5A">
            <w:pPr>
              <w:pStyle w:val="45"/>
              <w:bidi w:val="0"/>
              <w:rPr>
                <w:rFonts w:hint="eastAsia"/>
              </w:rPr>
            </w:pPr>
            <w:r>
              <w:rPr>
                <w:rFonts w:hint="eastAsia"/>
                <w:lang w:val="en-US" w:eastAsia="zh-CN"/>
              </w:rPr>
              <w:t>小计1552.72</w:t>
            </w:r>
          </w:p>
        </w:tc>
      </w:tr>
      <w:tr w14:paraId="7B4106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 w:hRule="atLeast"/>
        </w:trPr>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7999A">
            <w:pPr>
              <w:pStyle w:val="45"/>
              <w:bidi w:val="0"/>
              <w:rPr>
                <w:rFonts w:hint="eastAsia"/>
              </w:rPr>
            </w:pPr>
          </w:p>
        </w:tc>
        <w:tc>
          <w:tcPr>
            <w:tcW w:w="5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C92F1">
            <w:pPr>
              <w:pStyle w:val="45"/>
              <w:bidi w:val="0"/>
              <w:rPr>
                <w:rFonts w:hint="eastAsia"/>
              </w:rPr>
            </w:pP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7E6A5">
            <w:pPr>
              <w:pStyle w:val="45"/>
              <w:bidi w:val="0"/>
              <w:rPr>
                <w:rFonts w:hint="eastAsia"/>
              </w:rPr>
            </w:pPr>
          </w:p>
        </w:tc>
        <w:tc>
          <w:tcPr>
            <w:tcW w:w="5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C2D61">
            <w:pPr>
              <w:pStyle w:val="45"/>
              <w:bidi w:val="0"/>
              <w:rPr>
                <w:rFonts w:hint="eastAsia"/>
              </w:rPr>
            </w:pPr>
          </w:p>
        </w:tc>
        <w:tc>
          <w:tcPr>
            <w:tcW w:w="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55F7A">
            <w:pPr>
              <w:pStyle w:val="45"/>
              <w:bidi w:val="0"/>
              <w:rPr>
                <w:rFonts w:hint="eastAsia"/>
              </w:rPr>
            </w:pPr>
            <w:r>
              <w:rPr>
                <w:rFonts w:hint="eastAsia"/>
                <w:lang w:val="en-US" w:eastAsia="zh-CN"/>
              </w:rPr>
              <w:t>高氯酸钾</w:t>
            </w:r>
          </w:p>
        </w:tc>
        <w:tc>
          <w:tcPr>
            <w:tcW w:w="1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EC9BF9">
            <w:pPr>
              <w:pStyle w:val="45"/>
              <w:bidi w:val="0"/>
              <w:rPr>
                <w:rFonts w:hint="eastAsia"/>
              </w:rPr>
            </w:pPr>
            <w:r>
              <w:rPr>
                <w:rFonts w:hint="eastAsia"/>
                <w:lang w:val="en-US" w:eastAsia="zh-CN"/>
              </w:rPr>
              <w:t>56</w:t>
            </w:r>
          </w:p>
        </w:tc>
        <w:tc>
          <w:tcPr>
            <w:tcW w:w="135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AB28A7">
            <w:pPr>
              <w:pStyle w:val="45"/>
              <w:bidi w:val="0"/>
              <w:rPr>
                <w:rFonts w:hint="eastAsia"/>
              </w:rPr>
            </w:pPr>
          </w:p>
        </w:tc>
      </w:tr>
      <w:tr w14:paraId="116988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7" w:hRule="atLeast"/>
        </w:trPr>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D089F">
            <w:pPr>
              <w:pStyle w:val="45"/>
              <w:bidi w:val="0"/>
              <w:rPr>
                <w:rFonts w:hint="eastAsia"/>
              </w:rPr>
            </w:pPr>
          </w:p>
        </w:tc>
        <w:tc>
          <w:tcPr>
            <w:tcW w:w="5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C6CFB7">
            <w:pPr>
              <w:pStyle w:val="45"/>
              <w:bidi w:val="0"/>
              <w:rPr>
                <w:rFonts w:hint="eastAsia"/>
              </w:rPr>
            </w:pP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070A39">
            <w:pPr>
              <w:pStyle w:val="45"/>
              <w:bidi w:val="0"/>
              <w:rPr>
                <w:rFonts w:hint="eastAsia"/>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AB56F">
            <w:pPr>
              <w:pStyle w:val="45"/>
              <w:bidi w:val="0"/>
              <w:rPr>
                <w:rFonts w:hint="eastAsia"/>
              </w:rPr>
            </w:pPr>
            <w:r>
              <w:rPr>
                <w:rFonts w:hint="eastAsia"/>
                <w:lang w:val="en-US" w:eastAsia="zh-CN"/>
              </w:rPr>
              <w:t>废水</w:t>
            </w:r>
          </w:p>
        </w:tc>
        <w:tc>
          <w:tcPr>
            <w:tcW w:w="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CD1F4E">
            <w:pPr>
              <w:pStyle w:val="45"/>
              <w:bidi w:val="0"/>
              <w:rPr>
                <w:rFonts w:hint="eastAsia"/>
              </w:rPr>
            </w:pPr>
            <w:r>
              <w:rPr>
                <w:rFonts w:hint="eastAsia"/>
                <w:lang w:val="en-US" w:eastAsia="zh-CN"/>
              </w:rPr>
              <w:t>真空冷凝水</w:t>
            </w:r>
          </w:p>
        </w:tc>
        <w:tc>
          <w:tcPr>
            <w:tcW w:w="1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585770">
            <w:pPr>
              <w:pStyle w:val="45"/>
              <w:bidi w:val="0"/>
              <w:rPr>
                <w:rFonts w:hint="eastAsia"/>
              </w:rPr>
            </w:pPr>
            <w:r>
              <w:rPr>
                <w:rFonts w:hint="eastAsia"/>
                <w:lang w:val="en-US" w:eastAsia="zh-CN"/>
              </w:rPr>
              <w:t>290.1</w:t>
            </w:r>
          </w:p>
        </w:tc>
        <w:tc>
          <w:tcPr>
            <w:tcW w:w="13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B18C42">
            <w:pPr>
              <w:pStyle w:val="45"/>
              <w:bidi w:val="0"/>
              <w:rPr>
                <w:rFonts w:hint="eastAsia"/>
              </w:rPr>
            </w:pPr>
            <w:r>
              <w:rPr>
                <w:rFonts w:hint="eastAsia"/>
                <w:lang w:val="en-US" w:eastAsia="zh-CN"/>
              </w:rPr>
              <w:t>小计1825.64</w:t>
            </w:r>
          </w:p>
        </w:tc>
      </w:tr>
      <w:tr w14:paraId="6E6D46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7" w:hRule="atLeast"/>
        </w:trPr>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D7709">
            <w:pPr>
              <w:pStyle w:val="45"/>
              <w:bidi w:val="0"/>
              <w:rPr>
                <w:rFonts w:hint="eastAsia"/>
              </w:rPr>
            </w:pPr>
          </w:p>
        </w:tc>
        <w:tc>
          <w:tcPr>
            <w:tcW w:w="5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CCFEA">
            <w:pPr>
              <w:pStyle w:val="45"/>
              <w:bidi w:val="0"/>
              <w:rPr>
                <w:rFonts w:hint="eastAsia"/>
              </w:rPr>
            </w:pP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9856B">
            <w:pPr>
              <w:pStyle w:val="45"/>
              <w:bidi w:val="0"/>
              <w:rPr>
                <w:rFonts w:hint="eastAsia"/>
              </w:rPr>
            </w:pPr>
          </w:p>
        </w:tc>
        <w:tc>
          <w:tcPr>
            <w:tcW w:w="52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6C248">
            <w:pPr>
              <w:pStyle w:val="45"/>
              <w:bidi w:val="0"/>
              <w:rPr>
                <w:rFonts w:hint="eastAsia"/>
              </w:rPr>
            </w:pPr>
            <w:r>
              <w:rPr>
                <w:rFonts w:hint="eastAsia"/>
                <w:lang w:val="en-US" w:eastAsia="zh-CN"/>
              </w:rPr>
              <w:t>固体废物</w:t>
            </w:r>
          </w:p>
        </w:tc>
        <w:tc>
          <w:tcPr>
            <w:tcW w:w="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7E2EF2">
            <w:pPr>
              <w:pStyle w:val="45"/>
              <w:bidi w:val="0"/>
              <w:rPr>
                <w:rFonts w:hint="eastAsia"/>
              </w:rPr>
            </w:pPr>
            <w:r>
              <w:rPr>
                <w:rFonts w:hint="eastAsia"/>
                <w:lang w:val="en-US" w:eastAsia="zh-CN"/>
              </w:rPr>
              <w:t>电解槽沉渣</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CFD337">
            <w:pPr>
              <w:pStyle w:val="45"/>
              <w:bidi w:val="0"/>
              <w:rPr>
                <w:rFonts w:hint="eastAsia"/>
              </w:rPr>
            </w:pPr>
            <w:r>
              <w:rPr>
                <w:rFonts w:hint="eastAsia"/>
                <w:lang w:val="en-US" w:eastAsia="zh-CN"/>
              </w:rPr>
              <w:t>5.1</w:t>
            </w:r>
          </w:p>
        </w:tc>
        <w:tc>
          <w:tcPr>
            <w:tcW w:w="7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A2529B">
            <w:pPr>
              <w:pStyle w:val="45"/>
              <w:bidi w:val="0"/>
              <w:rPr>
                <w:rFonts w:hint="eastAsia"/>
              </w:rPr>
            </w:pPr>
            <w:r>
              <w:rPr>
                <w:rFonts w:hint="eastAsia"/>
                <w:lang w:val="en-US" w:eastAsia="zh-CN"/>
              </w:rPr>
              <w:t>含钡渣</w:t>
            </w:r>
          </w:p>
        </w:tc>
      </w:tr>
      <w:tr w14:paraId="0DFFE5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 w:hRule="atLeast"/>
        </w:trPr>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8E288">
            <w:pPr>
              <w:pStyle w:val="45"/>
              <w:bidi w:val="0"/>
              <w:rPr>
                <w:rFonts w:hint="eastAsia"/>
              </w:rPr>
            </w:pPr>
          </w:p>
        </w:tc>
        <w:tc>
          <w:tcPr>
            <w:tcW w:w="5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A07A7">
            <w:pPr>
              <w:pStyle w:val="45"/>
              <w:bidi w:val="0"/>
              <w:rPr>
                <w:rFonts w:hint="eastAsia"/>
              </w:rPr>
            </w:pP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644F3">
            <w:pPr>
              <w:pStyle w:val="45"/>
              <w:bidi w:val="0"/>
              <w:rPr>
                <w:rFonts w:hint="eastAsia"/>
              </w:rPr>
            </w:pPr>
          </w:p>
        </w:tc>
        <w:tc>
          <w:tcPr>
            <w:tcW w:w="5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E2E7A">
            <w:pPr>
              <w:pStyle w:val="45"/>
              <w:bidi w:val="0"/>
              <w:rPr>
                <w:rFonts w:hint="eastAsia"/>
              </w:rPr>
            </w:pPr>
          </w:p>
        </w:tc>
        <w:tc>
          <w:tcPr>
            <w:tcW w:w="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F4EE9">
            <w:pPr>
              <w:pStyle w:val="45"/>
              <w:bidi w:val="0"/>
              <w:rPr>
                <w:rFonts w:hint="eastAsia"/>
              </w:rPr>
            </w:pPr>
            <w:r>
              <w:rPr>
                <w:rFonts w:hint="eastAsia"/>
                <w:lang w:val="en-US" w:eastAsia="zh-CN"/>
              </w:rPr>
              <w:t>除铬滤渣</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A7BEC8">
            <w:pPr>
              <w:pStyle w:val="45"/>
              <w:bidi w:val="0"/>
              <w:rPr>
                <w:rFonts w:hint="eastAsia"/>
              </w:rPr>
            </w:pPr>
            <w:r>
              <w:rPr>
                <w:rFonts w:hint="eastAsia"/>
                <w:lang w:val="en-US" w:eastAsia="zh-CN"/>
              </w:rPr>
              <w:t>54</w:t>
            </w:r>
          </w:p>
        </w:tc>
        <w:tc>
          <w:tcPr>
            <w:tcW w:w="7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BD533">
            <w:pPr>
              <w:pStyle w:val="45"/>
              <w:bidi w:val="0"/>
              <w:rPr>
                <w:rFonts w:hint="eastAsia"/>
              </w:rPr>
            </w:pPr>
            <w:r>
              <w:rPr>
                <w:rFonts w:hint="eastAsia"/>
                <w:lang w:val="en-US" w:eastAsia="zh-CN"/>
              </w:rPr>
              <w:t>含铬渣</w:t>
            </w:r>
          </w:p>
        </w:tc>
      </w:tr>
      <w:tr w14:paraId="6A0BD7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0" w:hRule="atLeast"/>
        </w:trPr>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672837">
            <w:pPr>
              <w:pStyle w:val="45"/>
              <w:bidi w:val="0"/>
              <w:rPr>
                <w:rFonts w:hint="eastAsia"/>
              </w:rPr>
            </w:pPr>
          </w:p>
        </w:tc>
        <w:tc>
          <w:tcPr>
            <w:tcW w:w="5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B1B48">
            <w:pPr>
              <w:pStyle w:val="45"/>
              <w:bidi w:val="0"/>
              <w:rPr>
                <w:rFonts w:hint="eastAsia"/>
              </w:rPr>
            </w:pP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944E2">
            <w:pPr>
              <w:pStyle w:val="45"/>
              <w:bidi w:val="0"/>
              <w:rPr>
                <w:rFonts w:hint="eastAsia"/>
              </w:rPr>
            </w:pPr>
          </w:p>
        </w:tc>
        <w:tc>
          <w:tcPr>
            <w:tcW w:w="5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BF8CE">
            <w:pPr>
              <w:pStyle w:val="45"/>
              <w:bidi w:val="0"/>
              <w:rPr>
                <w:rFonts w:hint="eastAsia"/>
              </w:rPr>
            </w:pPr>
          </w:p>
        </w:tc>
        <w:tc>
          <w:tcPr>
            <w:tcW w:w="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1EAB0">
            <w:pPr>
              <w:pStyle w:val="45"/>
              <w:bidi w:val="0"/>
              <w:rPr>
                <w:rFonts w:hint="eastAsia"/>
              </w:rPr>
            </w:pPr>
            <w:r>
              <w:rPr>
                <w:rFonts w:hint="eastAsia"/>
                <w:lang w:val="en-US" w:eastAsia="zh-CN"/>
              </w:rPr>
              <w:t>除杂滤渣</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9B5D9">
            <w:pPr>
              <w:pStyle w:val="45"/>
              <w:bidi w:val="0"/>
              <w:rPr>
                <w:rFonts w:hint="eastAsia"/>
              </w:rPr>
            </w:pPr>
            <w:r>
              <w:rPr>
                <w:rFonts w:hint="eastAsia"/>
                <w:lang w:val="en-US" w:eastAsia="zh-CN"/>
              </w:rPr>
              <w:t>201.66</w:t>
            </w:r>
          </w:p>
        </w:tc>
        <w:tc>
          <w:tcPr>
            <w:tcW w:w="7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59CC4A">
            <w:pPr>
              <w:pStyle w:val="45"/>
              <w:bidi w:val="0"/>
              <w:rPr>
                <w:rFonts w:hint="eastAsia"/>
              </w:rPr>
            </w:pPr>
            <w:r>
              <w:rPr>
                <w:rFonts w:hint="eastAsia"/>
                <w:lang w:val="en-US" w:eastAsia="zh-CN"/>
              </w:rPr>
              <w:t>不含重金属</w:t>
            </w:r>
          </w:p>
        </w:tc>
      </w:tr>
      <w:tr w14:paraId="6E5C94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7" w:hRule="atLeast"/>
        </w:trPr>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B955A3">
            <w:pPr>
              <w:pStyle w:val="45"/>
              <w:bidi w:val="0"/>
              <w:rPr>
                <w:rFonts w:hint="eastAsia"/>
              </w:rPr>
            </w:pPr>
            <w:r>
              <w:rPr>
                <w:rFonts w:hint="eastAsia"/>
                <w:lang w:val="en-US" w:eastAsia="zh-CN"/>
              </w:rPr>
              <w:t>合计</w:t>
            </w:r>
          </w:p>
        </w:tc>
        <w:tc>
          <w:tcPr>
            <w:tcW w:w="5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D384E">
            <w:pPr>
              <w:pStyle w:val="45"/>
              <w:bidi w:val="0"/>
              <w:rPr>
                <w:rFonts w:hint="eastAsia"/>
              </w:rPr>
            </w:pPr>
            <w:r>
              <w:rPr>
                <w:rFonts w:hint="eastAsia"/>
                <w:lang w:val="en-US" w:eastAsia="zh-CN"/>
              </w:rPr>
              <w:t>74510</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BADA2">
            <w:pPr>
              <w:pStyle w:val="45"/>
              <w:bidi w:val="0"/>
              <w:rPr>
                <w:rFonts w:hint="eastAsia"/>
              </w:rPr>
            </w:pPr>
          </w:p>
        </w:tc>
        <w:tc>
          <w:tcPr>
            <w:tcW w:w="133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467EF">
            <w:pPr>
              <w:pStyle w:val="45"/>
              <w:bidi w:val="0"/>
              <w:rPr>
                <w:rFonts w:hint="eastAsia"/>
              </w:rPr>
            </w:pPr>
            <w:r>
              <w:rPr>
                <w:rFonts w:hint="eastAsia"/>
                <w:lang w:val="en-US" w:eastAsia="zh-CN"/>
              </w:rPr>
              <w:t>合计</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4B298">
            <w:pPr>
              <w:pStyle w:val="45"/>
              <w:bidi w:val="0"/>
              <w:rPr>
                <w:rFonts w:hint="eastAsia"/>
              </w:rPr>
            </w:pPr>
            <w:r>
              <w:rPr>
                <w:rFonts w:hint="eastAsia"/>
                <w:lang w:val="en-US" w:eastAsia="zh-CN"/>
              </w:rPr>
              <w:t>74510</w:t>
            </w:r>
          </w:p>
        </w:tc>
        <w:tc>
          <w:tcPr>
            <w:tcW w:w="7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A5682">
            <w:pPr>
              <w:pStyle w:val="45"/>
              <w:bidi w:val="0"/>
              <w:rPr>
                <w:rFonts w:hint="eastAsia"/>
              </w:rPr>
            </w:pPr>
          </w:p>
        </w:tc>
      </w:tr>
    </w:tbl>
    <w:p w14:paraId="6012F3ED">
      <w:pPr>
        <w:numPr>
          <w:ilvl w:val="0"/>
          <w:numId w:val="0"/>
        </w:numPr>
        <w:outlineLvl w:val="9"/>
        <w:rPr>
          <w:rFonts w:hint="eastAsia"/>
          <w:b/>
          <w:bCs/>
        </w:rPr>
      </w:pPr>
    </w:p>
    <w:p w14:paraId="3712E82A">
      <w:pPr>
        <w:bidi w:val="0"/>
        <w:ind w:left="0" w:leftChars="0" w:firstLine="0" w:firstLineChars="0"/>
        <w:rPr>
          <w:rFonts w:hint="default"/>
        </w:rPr>
      </w:pPr>
      <w:r>
        <w:rPr>
          <w:rFonts w:hint="eastAsia"/>
        </w:rPr>
        <w:object>
          <v:shape id="_x0000_i1042" o:spt="75" type="#_x0000_t75" style="height:358.8pt;width:415.05pt;" o:ole="t" filled="f" o:preferrelative="t" stroked="f" coordsize="21600,21600">
            <v:path/>
            <v:fill on="f" focussize="0,0"/>
            <v:stroke on="f"/>
            <v:imagedata r:id="rId53" o:title=""/>
            <o:lock v:ext="edit" aspectratio="f"/>
            <w10:wrap type="none"/>
            <w10:anchorlock/>
          </v:shape>
          <o:OLEObject Type="Embed" ProgID="Visio.Drawing.15" ShapeID="_x0000_i1042" DrawAspect="Content" ObjectID="_1468075742" r:id="rId52">
            <o:LockedField>false</o:LockedField>
          </o:OLEObject>
        </w:object>
      </w:r>
    </w:p>
    <w:p w14:paraId="66B5D2DC">
      <w:pPr>
        <w:pStyle w:val="42"/>
        <w:bidi w:val="0"/>
        <w:rPr>
          <w:rFonts w:hint="default"/>
        </w:rPr>
      </w:pPr>
      <w:r>
        <w:rPr>
          <w:rFonts w:hint="eastAsia"/>
          <w:lang w:val="en-US" w:eastAsia="zh-CN"/>
        </w:rPr>
        <w:t>高氯酸钾</w:t>
      </w:r>
      <w:r>
        <w:t>生产工艺流程及物料平衡示意图（单位：t/a）</w:t>
      </w:r>
    </w:p>
    <w:p w14:paraId="4DB4E651">
      <w:pPr>
        <w:numPr>
          <w:ilvl w:val="0"/>
          <w:numId w:val="0"/>
        </w:numPr>
        <w:outlineLvl w:val="9"/>
        <w:rPr>
          <w:rFonts w:hint="eastAsia"/>
          <w:b/>
          <w:bCs/>
        </w:rPr>
      </w:pPr>
    </w:p>
    <w:p w14:paraId="24276725">
      <w:pPr>
        <w:numPr>
          <w:ilvl w:val="0"/>
          <w:numId w:val="8"/>
        </w:numPr>
        <w:ind w:left="480" w:leftChars="200" w:firstLine="0" w:firstLineChars="0"/>
        <w:outlineLvl w:val="5"/>
        <w:rPr>
          <w:rFonts w:hint="eastAsia"/>
          <w:b/>
          <w:bCs/>
        </w:rPr>
      </w:pPr>
      <w:r>
        <w:rPr>
          <w:rFonts w:hint="eastAsia"/>
          <w:b/>
          <w:bCs/>
          <w:highlight w:val="none"/>
          <w:lang w:val="en-US" w:eastAsia="zh-CN"/>
        </w:rPr>
        <w:t>复分解生产高氯酸钾</w:t>
      </w:r>
      <w:r>
        <w:rPr>
          <w:rFonts w:hint="eastAsia"/>
          <w:b/>
          <w:bCs/>
          <w:lang w:val="en-US" w:eastAsia="zh-CN"/>
        </w:rPr>
        <w:t>氯元素</w:t>
      </w:r>
      <w:r>
        <w:rPr>
          <w:rFonts w:hint="eastAsia"/>
          <w:b/>
          <w:bCs/>
        </w:rPr>
        <w:t>平衡</w:t>
      </w:r>
    </w:p>
    <w:p w14:paraId="6A77027F">
      <w:pPr>
        <w:pStyle w:val="43"/>
        <w:numPr>
          <w:ilvl w:val="5"/>
          <w:numId w:val="1"/>
        </w:numPr>
        <w:rPr>
          <w:rFonts w:hint="default"/>
          <w:b w:val="0"/>
          <w:bCs w:val="0"/>
        </w:rPr>
      </w:pPr>
      <w:r>
        <w:t>高氯酸钾生产氯元素平衡一览表</w:t>
      </w:r>
    </w:p>
    <w:tbl>
      <w:tblPr>
        <w:tblStyle w:val="32"/>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26"/>
        <w:gridCol w:w="989"/>
        <w:gridCol w:w="1408"/>
        <w:gridCol w:w="1969"/>
        <w:gridCol w:w="1060"/>
        <w:gridCol w:w="1967"/>
      </w:tblGrid>
      <w:tr w14:paraId="632A21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241" w:type="pct"/>
            <w:gridSpan w:val="2"/>
            <w:tcBorders>
              <w:top w:val="single" w:color="000000" w:sz="8" w:space="0"/>
              <w:left w:val="single" w:color="000000" w:sz="8" w:space="0"/>
              <w:bottom w:val="single" w:color="000000" w:sz="8" w:space="0"/>
              <w:right w:val="single" w:color="000000" w:sz="8" w:space="0"/>
            </w:tcBorders>
            <w:shd w:val="clear" w:color="auto" w:fill="auto"/>
            <w:noWrap/>
            <w:vAlign w:val="center"/>
          </w:tcPr>
          <w:p w14:paraId="502673C9">
            <w:pPr>
              <w:pStyle w:val="45"/>
              <w:bidi w:val="0"/>
              <w:rPr>
                <w:rFonts w:hint="eastAsia"/>
                <w:b/>
                <w:bCs/>
              </w:rPr>
            </w:pPr>
            <w:r>
              <w:rPr>
                <w:rFonts w:hint="eastAsia"/>
                <w:b/>
                <w:bCs/>
                <w:lang w:val="en-US" w:eastAsia="zh-CN"/>
              </w:rPr>
              <w:t>投入（</w:t>
            </w:r>
            <w:r>
              <w:rPr>
                <w:rFonts w:hint="default"/>
                <w:b/>
                <w:bCs/>
                <w:lang w:val="en-US" w:eastAsia="zh-CN"/>
              </w:rPr>
              <w:t>t</w:t>
            </w:r>
            <w:r>
              <w:rPr>
                <w:rFonts w:hint="eastAsia"/>
                <w:b/>
                <w:bCs/>
                <w:lang w:val="en-US" w:eastAsia="zh-CN"/>
              </w:rPr>
              <w:t>）</w:t>
            </w:r>
          </w:p>
        </w:tc>
        <w:tc>
          <w:tcPr>
            <w:tcW w:w="2603" w:type="pct"/>
            <w:gridSpan w:val="3"/>
            <w:tcBorders>
              <w:top w:val="single" w:color="000000" w:sz="8" w:space="0"/>
              <w:left w:val="nil"/>
              <w:bottom w:val="single" w:color="000000" w:sz="8" w:space="0"/>
              <w:right w:val="single" w:color="000000" w:sz="8" w:space="0"/>
            </w:tcBorders>
            <w:shd w:val="clear" w:color="auto" w:fill="auto"/>
            <w:noWrap/>
            <w:vAlign w:val="center"/>
          </w:tcPr>
          <w:p w14:paraId="5213DFC0">
            <w:pPr>
              <w:pStyle w:val="45"/>
              <w:bidi w:val="0"/>
              <w:rPr>
                <w:rFonts w:hint="eastAsia"/>
                <w:b/>
                <w:bCs/>
              </w:rPr>
            </w:pPr>
            <w:r>
              <w:rPr>
                <w:rFonts w:hint="eastAsia"/>
                <w:b/>
                <w:bCs/>
                <w:lang w:val="en-US" w:eastAsia="zh-CN"/>
              </w:rPr>
              <w:t>产出（</w:t>
            </w:r>
            <w:r>
              <w:rPr>
                <w:rFonts w:hint="default"/>
                <w:b/>
                <w:bCs/>
                <w:lang w:val="en-US" w:eastAsia="zh-CN"/>
              </w:rPr>
              <w:t>t</w:t>
            </w:r>
            <w:r>
              <w:rPr>
                <w:rFonts w:hint="eastAsia"/>
                <w:b/>
                <w:bCs/>
                <w:lang w:val="en-US" w:eastAsia="zh-CN"/>
              </w:rPr>
              <w:t>）</w:t>
            </w:r>
          </w:p>
        </w:tc>
        <w:tc>
          <w:tcPr>
            <w:tcW w:w="1154" w:type="pct"/>
            <w:tcBorders>
              <w:top w:val="single" w:color="000000" w:sz="8" w:space="0"/>
              <w:left w:val="nil"/>
              <w:bottom w:val="single" w:color="000000" w:sz="8" w:space="0"/>
              <w:right w:val="single" w:color="000000" w:sz="8" w:space="0"/>
            </w:tcBorders>
            <w:shd w:val="clear" w:color="auto" w:fill="auto"/>
            <w:noWrap/>
            <w:vAlign w:val="center"/>
          </w:tcPr>
          <w:p w14:paraId="659E4481">
            <w:pPr>
              <w:pStyle w:val="45"/>
              <w:bidi w:val="0"/>
              <w:rPr>
                <w:rFonts w:hint="eastAsia"/>
                <w:b/>
                <w:bCs/>
              </w:rPr>
            </w:pPr>
            <w:r>
              <w:rPr>
                <w:rFonts w:hint="eastAsia"/>
                <w:b/>
                <w:bCs/>
                <w:lang w:val="en-US" w:eastAsia="zh-CN"/>
              </w:rPr>
              <w:t>备注</w:t>
            </w:r>
          </w:p>
        </w:tc>
      </w:tr>
      <w:tr w14:paraId="32DE4A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661" w:type="pct"/>
            <w:tcBorders>
              <w:top w:val="nil"/>
              <w:left w:val="single" w:color="000000" w:sz="8" w:space="0"/>
              <w:bottom w:val="single" w:color="000000" w:sz="8" w:space="0"/>
              <w:right w:val="single" w:color="000000" w:sz="8" w:space="0"/>
            </w:tcBorders>
            <w:shd w:val="clear" w:color="auto" w:fill="auto"/>
            <w:noWrap/>
            <w:vAlign w:val="center"/>
          </w:tcPr>
          <w:p w14:paraId="2E849F4E">
            <w:pPr>
              <w:pStyle w:val="45"/>
              <w:bidi w:val="0"/>
              <w:rPr>
                <w:rFonts w:hint="eastAsia"/>
              </w:rPr>
            </w:pPr>
            <w:r>
              <w:rPr>
                <w:rFonts w:hint="eastAsia"/>
                <w:lang w:val="en-US" w:eastAsia="zh-CN"/>
              </w:rPr>
              <w:t>氯酸钠</w:t>
            </w:r>
          </w:p>
        </w:tc>
        <w:tc>
          <w:tcPr>
            <w:tcW w:w="579" w:type="pct"/>
            <w:tcBorders>
              <w:top w:val="nil"/>
              <w:left w:val="nil"/>
              <w:bottom w:val="single" w:color="000000" w:sz="8" w:space="0"/>
              <w:right w:val="single" w:color="000000" w:sz="8" w:space="0"/>
            </w:tcBorders>
            <w:shd w:val="clear" w:color="auto" w:fill="auto"/>
            <w:noWrap/>
            <w:vAlign w:val="center"/>
          </w:tcPr>
          <w:p w14:paraId="5A8645A6">
            <w:pPr>
              <w:pStyle w:val="45"/>
              <w:bidi w:val="0"/>
              <w:rPr>
                <w:rFonts w:hint="default"/>
              </w:rPr>
            </w:pPr>
            <w:r>
              <w:rPr>
                <w:rFonts w:hint="default"/>
                <w:lang w:val="en-US" w:eastAsia="zh-CN"/>
              </w:rPr>
              <w:t>6048</w:t>
            </w:r>
          </w:p>
        </w:tc>
        <w:tc>
          <w:tcPr>
            <w:tcW w:w="826" w:type="pct"/>
            <w:tcBorders>
              <w:top w:val="nil"/>
              <w:left w:val="nil"/>
              <w:bottom w:val="single" w:color="000000" w:sz="8" w:space="0"/>
              <w:right w:val="single" w:color="000000" w:sz="8" w:space="0"/>
            </w:tcBorders>
            <w:shd w:val="clear" w:color="auto" w:fill="auto"/>
            <w:noWrap/>
            <w:vAlign w:val="center"/>
          </w:tcPr>
          <w:p w14:paraId="750B1002">
            <w:pPr>
              <w:pStyle w:val="45"/>
              <w:bidi w:val="0"/>
              <w:rPr>
                <w:rFonts w:hint="eastAsia"/>
              </w:rPr>
            </w:pPr>
            <w:r>
              <w:rPr>
                <w:rFonts w:hint="eastAsia"/>
                <w:lang w:val="en-US" w:eastAsia="zh-CN"/>
              </w:rPr>
              <w:t>产品</w:t>
            </w:r>
          </w:p>
        </w:tc>
        <w:tc>
          <w:tcPr>
            <w:tcW w:w="1154" w:type="pct"/>
            <w:tcBorders>
              <w:top w:val="single" w:color="000000" w:sz="8" w:space="0"/>
              <w:left w:val="nil"/>
              <w:bottom w:val="single" w:color="000000" w:sz="8" w:space="0"/>
              <w:right w:val="single" w:color="000000" w:sz="8" w:space="0"/>
            </w:tcBorders>
            <w:shd w:val="clear" w:color="auto" w:fill="auto"/>
            <w:noWrap/>
            <w:vAlign w:val="center"/>
          </w:tcPr>
          <w:p w14:paraId="5F2D0674">
            <w:pPr>
              <w:pStyle w:val="45"/>
              <w:bidi w:val="0"/>
              <w:rPr>
                <w:rFonts w:hint="eastAsia"/>
              </w:rPr>
            </w:pPr>
            <w:r>
              <w:rPr>
                <w:rFonts w:hint="eastAsia"/>
                <w:lang w:val="en-US" w:eastAsia="zh-CN"/>
              </w:rPr>
              <w:t>高氯酸钾带走</w:t>
            </w:r>
          </w:p>
        </w:tc>
        <w:tc>
          <w:tcPr>
            <w:tcW w:w="622" w:type="pct"/>
            <w:tcBorders>
              <w:top w:val="single" w:color="000000" w:sz="8" w:space="0"/>
              <w:left w:val="nil"/>
              <w:bottom w:val="single" w:color="000000" w:sz="8" w:space="0"/>
              <w:right w:val="single" w:color="000000" w:sz="8" w:space="0"/>
            </w:tcBorders>
            <w:shd w:val="clear" w:color="auto" w:fill="auto"/>
            <w:noWrap/>
            <w:vAlign w:val="center"/>
          </w:tcPr>
          <w:p w14:paraId="388F4D1C">
            <w:pPr>
              <w:pStyle w:val="45"/>
              <w:bidi w:val="0"/>
              <w:rPr>
                <w:rFonts w:hint="default"/>
              </w:rPr>
            </w:pPr>
            <w:r>
              <w:rPr>
                <w:rFonts w:hint="default"/>
                <w:lang w:val="en-US" w:eastAsia="zh-CN"/>
              </w:rPr>
              <w:t>5128</w:t>
            </w:r>
          </w:p>
        </w:tc>
        <w:tc>
          <w:tcPr>
            <w:tcW w:w="1154" w:type="pct"/>
            <w:tcBorders>
              <w:top w:val="single" w:color="000000" w:sz="8" w:space="0"/>
              <w:left w:val="nil"/>
              <w:bottom w:val="single" w:color="000000" w:sz="8" w:space="0"/>
              <w:right w:val="single" w:color="000000" w:sz="8" w:space="0"/>
            </w:tcBorders>
            <w:shd w:val="clear" w:color="auto" w:fill="auto"/>
            <w:noWrap/>
            <w:vAlign w:val="center"/>
          </w:tcPr>
          <w:p w14:paraId="4E4B4082">
            <w:pPr>
              <w:pStyle w:val="45"/>
              <w:bidi w:val="0"/>
              <w:rPr>
                <w:rFonts w:hint="eastAsia"/>
              </w:rPr>
            </w:pPr>
          </w:p>
        </w:tc>
      </w:tr>
      <w:tr w14:paraId="49BF9A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661" w:type="pct"/>
            <w:tcBorders>
              <w:top w:val="nil"/>
              <w:left w:val="single" w:color="000000" w:sz="8" w:space="0"/>
              <w:bottom w:val="single" w:color="000000" w:sz="8" w:space="0"/>
              <w:right w:val="single" w:color="000000" w:sz="8" w:space="0"/>
            </w:tcBorders>
            <w:shd w:val="clear" w:color="auto" w:fill="auto"/>
            <w:noWrap/>
            <w:vAlign w:val="center"/>
          </w:tcPr>
          <w:p w14:paraId="0CE39D47">
            <w:pPr>
              <w:pStyle w:val="45"/>
              <w:bidi w:val="0"/>
              <w:rPr>
                <w:rFonts w:hint="eastAsia"/>
              </w:rPr>
            </w:pPr>
            <w:r>
              <w:rPr>
                <w:rFonts w:hint="eastAsia"/>
                <w:lang w:val="en-US" w:eastAsia="zh-CN"/>
              </w:rPr>
              <w:t>氯化钡</w:t>
            </w:r>
          </w:p>
        </w:tc>
        <w:tc>
          <w:tcPr>
            <w:tcW w:w="579" w:type="pct"/>
            <w:tcBorders>
              <w:top w:val="nil"/>
              <w:left w:val="nil"/>
              <w:bottom w:val="single" w:color="000000" w:sz="8" w:space="0"/>
              <w:right w:val="single" w:color="000000" w:sz="8" w:space="0"/>
            </w:tcBorders>
            <w:shd w:val="clear" w:color="auto" w:fill="auto"/>
            <w:noWrap/>
            <w:vAlign w:val="center"/>
          </w:tcPr>
          <w:p w14:paraId="7E56A241">
            <w:pPr>
              <w:pStyle w:val="45"/>
              <w:bidi w:val="0"/>
              <w:rPr>
                <w:rFonts w:hint="default"/>
              </w:rPr>
            </w:pPr>
            <w:r>
              <w:rPr>
                <w:rFonts w:hint="default"/>
                <w:lang w:val="en-US" w:eastAsia="zh-CN"/>
              </w:rPr>
              <w:t>6</w:t>
            </w:r>
          </w:p>
        </w:tc>
        <w:tc>
          <w:tcPr>
            <w:tcW w:w="826" w:type="pct"/>
            <w:tcBorders>
              <w:top w:val="nil"/>
              <w:left w:val="nil"/>
              <w:bottom w:val="single" w:color="000000" w:sz="8" w:space="0"/>
              <w:right w:val="single" w:color="000000" w:sz="8" w:space="0"/>
            </w:tcBorders>
            <w:shd w:val="clear" w:color="auto" w:fill="auto"/>
            <w:noWrap/>
            <w:vAlign w:val="center"/>
          </w:tcPr>
          <w:p w14:paraId="6F30CB43">
            <w:pPr>
              <w:pStyle w:val="45"/>
              <w:bidi w:val="0"/>
              <w:rPr>
                <w:rFonts w:hint="eastAsia"/>
              </w:rPr>
            </w:pPr>
            <w:r>
              <w:rPr>
                <w:rFonts w:hint="eastAsia"/>
                <w:lang w:val="en-US" w:eastAsia="zh-CN"/>
              </w:rPr>
              <w:t>副产品</w:t>
            </w:r>
          </w:p>
        </w:tc>
        <w:tc>
          <w:tcPr>
            <w:tcW w:w="1154" w:type="pct"/>
            <w:tcBorders>
              <w:top w:val="nil"/>
              <w:left w:val="nil"/>
              <w:bottom w:val="single" w:color="000000" w:sz="8" w:space="0"/>
              <w:right w:val="single" w:color="000000" w:sz="8" w:space="0"/>
            </w:tcBorders>
            <w:shd w:val="clear" w:color="auto" w:fill="auto"/>
            <w:noWrap/>
            <w:vAlign w:val="center"/>
          </w:tcPr>
          <w:p w14:paraId="6739A989">
            <w:pPr>
              <w:pStyle w:val="45"/>
              <w:bidi w:val="0"/>
              <w:rPr>
                <w:rFonts w:hint="eastAsia"/>
              </w:rPr>
            </w:pPr>
            <w:r>
              <w:rPr>
                <w:rFonts w:hint="eastAsia"/>
                <w:lang w:val="en-US" w:eastAsia="zh-CN"/>
              </w:rPr>
              <w:t>氯化钠带走</w:t>
            </w:r>
          </w:p>
        </w:tc>
        <w:tc>
          <w:tcPr>
            <w:tcW w:w="622" w:type="pct"/>
            <w:tcBorders>
              <w:top w:val="nil"/>
              <w:left w:val="nil"/>
              <w:bottom w:val="single" w:color="000000" w:sz="8" w:space="0"/>
              <w:right w:val="single" w:color="000000" w:sz="8" w:space="0"/>
            </w:tcBorders>
            <w:shd w:val="clear" w:color="auto" w:fill="auto"/>
            <w:noWrap/>
            <w:vAlign w:val="center"/>
          </w:tcPr>
          <w:p w14:paraId="230F6669">
            <w:pPr>
              <w:pStyle w:val="45"/>
              <w:bidi w:val="0"/>
              <w:rPr>
                <w:rFonts w:hint="default"/>
              </w:rPr>
            </w:pPr>
            <w:r>
              <w:rPr>
                <w:rFonts w:hint="default"/>
                <w:lang w:val="en-US" w:eastAsia="zh-CN"/>
              </w:rPr>
              <w:t>4122</w:t>
            </w:r>
          </w:p>
        </w:tc>
        <w:tc>
          <w:tcPr>
            <w:tcW w:w="1154" w:type="pct"/>
            <w:tcBorders>
              <w:top w:val="nil"/>
              <w:left w:val="nil"/>
              <w:bottom w:val="single" w:color="000000" w:sz="8" w:space="0"/>
              <w:right w:val="single" w:color="000000" w:sz="8" w:space="0"/>
            </w:tcBorders>
            <w:shd w:val="clear" w:color="auto" w:fill="auto"/>
            <w:noWrap/>
            <w:vAlign w:val="center"/>
          </w:tcPr>
          <w:p w14:paraId="2D15B401">
            <w:pPr>
              <w:pStyle w:val="45"/>
              <w:bidi w:val="0"/>
              <w:rPr>
                <w:rFonts w:hint="eastAsia"/>
              </w:rPr>
            </w:pPr>
          </w:p>
        </w:tc>
      </w:tr>
      <w:tr w14:paraId="4E8F14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661" w:type="pct"/>
            <w:tcBorders>
              <w:top w:val="nil"/>
              <w:left w:val="single" w:color="000000" w:sz="8" w:space="0"/>
              <w:bottom w:val="single" w:color="000000" w:sz="8" w:space="0"/>
              <w:right w:val="single" w:color="000000" w:sz="8" w:space="0"/>
            </w:tcBorders>
            <w:shd w:val="clear" w:color="auto" w:fill="auto"/>
            <w:noWrap/>
            <w:vAlign w:val="center"/>
          </w:tcPr>
          <w:p w14:paraId="37D1B265">
            <w:pPr>
              <w:pStyle w:val="45"/>
              <w:bidi w:val="0"/>
              <w:rPr>
                <w:rFonts w:hint="eastAsia"/>
              </w:rPr>
            </w:pPr>
            <w:r>
              <w:rPr>
                <w:rFonts w:hint="eastAsia"/>
                <w:lang w:val="en-US" w:eastAsia="zh-CN"/>
              </w:rPr>
              <w:t>氯化钾</w:t>
            </w:r>
          </w:p>
        </w:tc>
        <w:tc>
          <w:tcPr>
            <w:tcW w:w="579" w:type="pct"/>
            <w:tcBorders>
              <w:top w:val="nil"/>
              <w:left w:val="nil"/>
              <w:bottom w:val="single" w:color="000000" w:sz="8" w:space="0"/>
              <w:right w:val="single" w:color="000000" w:sz="8" w:space="0"/>
            </w:tcBorders>
            <w:shd w:val="clear" w:color="auto" w:fill="auto"/>
            <w:noWrap/>
            <w:vAlign w:val="center"/>
          </w:tcPr>
          <w:p w14:paraId="35C324CD">
            <w:pPr>
              <w:pStyle w:val="45"/>
              <w:bidi w:val="0"/>
              <w:rPr>
                <w:rFonts w:hint="default"/>
              </w:rPr>
            </w:pPr>
            <w:r>
              <w:rPr>
                <w:rFonts w:hint="default"/>
                <w:lang w:val="en-US" w:eastAsia="zh-CN"/>
              </w:rPr>
              <w:t>5604</w:t>
            </w:r>
          </w:p>
        </w:tc>
        <w:tc>
          <w:tcPr>
            <w:tcW w:w="826" w:type="pct"/>
            <w:vMerge w:val="restart"/>
            <w:tcBorders>
              <w:top w:val="nil"/>
              <w:left w:val="nil"/>
              <w:bottom w:val="single" w:color="000000" w:sz="8" w:space="0"/>
              <w:right w:val="single" w:color="000000" w:sz="8" w:space="0"/>
            </w:tcBorders>
            <w:shd w:val="clear" w:color="auto" w:fill="auto"/>
            <w:noWrap/>
            <w:vAlign w:val="center"/>
          </w:tcPr>
          <w:p w14:paraId="4348CACE">
            <w:pPr>
              <w:pStyle w:val="45"/>
              <w:bidi w:val="0"/>
              <w:rPr>
                <w:rFonts w:hint="eastAsia"/>
              </w:rPr>
            </w:pPr>
            <w:r>
              <w:rPr>
                <w:rFonts w:hint="eastAsia"/>
                <w:lang w:val="en-US" w:eastAsia="zh-CN"/>
              </w:rPr>
              <w:t>其他物料</w:t>
            </w:r>
          </w:p>
        </w:tc>
        <w:tc>
          <w:tcPr>
            <w:tcW w:w="1154" w:type="pct"/>
            <w:tcBorders>
              <w:top w:val="nil"/>
              <w:left w:val="nil"/>
              <w:bottom w:val="single" w:color="000000" w:sz="8" w:space="0"/>
              <w:right w:val="single" w:color="000000" w:sz="8" w:space="0"/>
            </w:tcBorders>
            <w:shd w:val="clear" w:color="auto" w:fill="auto"/>
            <w:noWrap/>
            <w:vAlign w:val="center"/>
          </w:tcPr>
          <w:p w14:paraId="423D7FAF">
            <w:pPr>
              <w:pStyle w:val="45"/>
              <w:bidi w:val="0"/>
              <w:rPr>
                <w:rFonts w:hint="eastAsia"/>
              </w:rPr>
            </w:pPr>
            <w:r>
              <w:rPr>
                <w:rFonts w:hint="eastAsia"/>
                <w:lang w:val="en-US" w:eastAsia="zh-CN"/>
              </w:rPr>
              <w:t>尾气转化</w:t>
            </w:r>
          </w:p>
        </w:tc>
        <w:tc>
          <w:tcPr>
            <w:tcW w:w="622" w:type="pct"/>
            <w:tcBorders>
              <w:top w:val="nil"/>
              <w:left w:val="nil"/>
              <w:bottom w:val="single" w:color="000000" w:sz="8" w:space="0"/>
              <w:right w:val="single" w:color="000000" w:sz="8" w:space="0"/>
            </w:tcBorders>
            <w:shd w:val="clear" w:color="auto" w:fill="auto"/>
            <w:noWrap/>
            <w:vAlign w:val="center"/>
          </w:tcPr>
          <w:p w14:paraId="2BD3B258">
            <w:pPr>
              <w:pStyle w:val="45"/>
              <w:bidi w:val="0"/>
              <w:rPr>
                <w:rFonts w:hint="default"/>
              </w:rPr>
            </w:pPr>
            <w:r>
              <w:rPr>
                <w:rFonts w:hint="default"/>
                <w:lang w:val="en-US" w:eastAsia="zh-CN"/>
              </w:rPr>
              <w:t>3.2</w:t>
            </w:r>
          </w:p>
        </w:tc>
        <w:tc>
          <w:tcPr>
            <w:tcW w:w="1154" w:type="pct"/>
            <w:tcBorders>
              <w:top w:val="nil"/>
              <w:left w:val="nil"/>
              <w:bottom w:val="single" w:color="000000" w:sz="8" w:space="0"/>
              <w:right w:val="single" w:color="000000" w:sz="8" w:space="0"/>
            </w:tcBorders>
            <w:shd w:val="clear" w:color="auto" w:fill="auto"/>
            <w:noWrap/>
            <w:vAlign w:val="center"/>
          </w:tcPr>
          <w:p w14:paraId="633BE59A">
            <w:pPr>
              <w:pStyle w:val="45"/>
              <w:bidi w:val="0"/>
              <w:rPr>
                <w:rFonts w:hint="eastAsia"/>
              </w:rPr>
            </w:pPr>
            <w:r>
              <w:rPr>
                <w:rFonts w:hint="eastAsia"/>
                <w:lang w:val="en-US" w:eastAsia="zh-CN"/>
              </w:rPr>
              <w:t>氯气、氯化氢</w:t>
            </w:r>
          </w:p>
        </w:tc>
      </w:tr>
      <w:tr w14:paraId="5721BA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61" w:type="pct"/>
            <w:tcBorders>
              <w:top w:val="nil"/>
              <w:left w:val="single" w:color="000000" w:sz="8" w:space="0"/>
              <w:bottom w:val="single" w:color="000000" w:sz="8" w:space="0"/>
              <w:right w:val="single" w:color="000000" w:sz="8" w:space="0"/>
            </w:tcBorders>
            <w:shd w:val="clear" w:color="auto" w:fill="auto"/>
            <w:noWrap/>
            <w:vAlign w:val="center"/>
          </w:tcPr>
          <w:p w14:paraId="2F13312A">
            <w:pPr>
              <w:pStyle w:val="45"/>
              <w:bidi w:val="0"/>
              <w:rPr>
                <w:rFonts w:hint="eastAsia"/>
              </w:rPr>
            </w:pPr>
          </w:p>
        </w:tc>
        <w:tc>
          <w:tcPr>
            <w:tcW w:w="579" w:type="pct"/>
            <w:tcBorders>
              <w:top w:val="nil"/>
              <w:left w:val="nil"/>
              <w:bottom w:val="single" w:color="000000" w:sz="8" w:space="0"/>
              <w:right w:val="single" w:color="000000" w:sz="8" w:space="0"/>
            </w:tcBorders>
            <w:shd w:val="clear" w:color="auto" w:fill="auto"/>
            <w:noWrap/>
            <w:vAlign w:val="center"/>
          </w:tcPr>
          <w:p w14:paraId="658635E5">
            <w:pPr>
              <w:pStyle w:val="45"/>
              <w:bidi w:val="0"/>
              <w:rPr>
                <w:rFonts w:hint="eastAsia"/>
              </w:rPr>
            </w:pPr>
          </w:p>
        </w:tc>
        <w:tc>
          <w:tcPr>
            <w:tcW w:w="826" w:type="pct"/>
            <w:vMerge w:val="continue"/>
            <w:tcBorders>
              <w:top w:val="nil"/>
              <w:left w:val="nil"/>
              <w:bottom w:val="single" w:color="000000" w:sz="8" w:space="0"/>
              <w:right w:val="single" w:color="000000" w:sz="8" w:space="0"/>
            </w:tcBorders>
            <w:shd w:val="clear" w:color="auto" w:fill="auto"/>
            <w:noWrap/>
            <w:vAlign w:val="center"/>
          </w:tcPr>
          <w:p w14:paraId="2F8A75C5">
            <w:pPr>
              <w:pStyle w:val="45"/>
              <w:bidi w:val="0"/>
              <w:rPr>
                <w:rFonts w:hint="eastAsia"/>
              </w:rPr>
            </w:pPr>
          </w:p>
        </w:tc>
        <w:tc>
          <w:tcPr>
            <w:tcW w:w="1154" w:type="pct"/>
            <w:tcBorders>
              <w:top w:val="nil"/>
              <w:left w:val="nil"/>
              <w:bottom w:val="single" w:color="000000" w:sz="8" w:space="0"/>
              <w:right w:val="single" w:color="000000" w:sz="8" w:space="0"/>
            </w:tcBorders>
            <w:shd w:val="clear" w:color="auto" w:fill="auto"/>
            <w:noWrap/>
            <w:vAlign w:val="center"/>
          </w:tcPr>
          <w:p w14:paraId="30C1D679">
            <w:pPr>
              <w:pStyle w:val="45"/>
              <w:bidi w:val="0"/>
              <w:rPr>
                <w:rFonts w:hint="eastAsia"/>
              </w:rPr>
            </w:pPr>
            <w:r>
              <w:rPr>
                <w:rFonts w:hint="eastAsia"/>
                <w:lang w:val="en-US" w:eastAsia="zh-CN"/>
              </w:rPr>
              <w:t>干燥粉尘带走</w:t>
            </w:r>
          </w:p>
        </w:tc>
        <w:tc>
          <w:tcPr>
            <w:tcW w:w="622" w:type="pct"/>
            <w:tcBorders>
              <w:top w:val="nil"/>
              <w:left w:val="nil"/>
              <w:bottom w:val="single" w:color="000000" w:sz="8" w:space="0"/>
              <w:right w:val="single" w:color="000000" w:sz="8" w:space="0"/>
            </w:tcBorders>
            <w:shd w:val="clear" w:color="auto" w:fill="auto"/>
            <w:noWrap/>
            <w:vAlign w:val="center"/>
          </w:tcPr>
          <w:p w14:paraId="11B877B6">
            <w:pPr>
              <w:pStyle w:val="45"/>
              <w:bidi w:val="0"/>
              <w:rPr>
                <w:rFonts w:hint="default"/>
              </w:rPr>
            </w:pPr>
            <w:r>
              <w:rPr>
                <w:rFonts w:hint="default"/>
                <w:lang w:val="en-US" w:eastAsia="zh-CN"/>
              </w:rPr>
              <w:t>14</w:t>
            </w:r>
          </w:p>
        </w:tc>
        <w:tc>
          <w:tcPr>
            <w:tcW w:w="1154" w:type="pct"/>
            <w:tcBorders>
              <w:top w:val="nil"/>
              <w:left w:val="nil"/>
              <w:bottom w:val="single" w:color="000000" w:sz="8" w:space="0"/>
              <w:right w:val="single" w:color="000000" w:sz="8" w:space="0"/>
            </w:tcBorders>
            <w:shd w:val="clear" w:color="auto" w:fill="auto"/>
            <w:noWrap/>
            <w:vAlign w:val="center"/>
          </w:tcPr>
          <w:p w14:paraId="4BE98E16">
            <w:pPr>
              <w:pStyle w:val="45"/>
              <w:bidi w:val="0"/>
              <w:rPr>
                <w:rFonts w:hint="eastAsia"/>
              </w:rPr>
            </w:pPr>
            <w:r>
              <w:rPr>
                <w:rFonts w:hint="eastAsia"/>
                <w:lang w:val="en-US" w:eastAsia="zh-CN"/>
              </w:rPr>
              <w:t>高氯酸钾粉尘</w:t>
            </w:r>
          </w:p>
        </w:tc>
      </w:tr>
      <w:tr w14:paraId="7A3BB5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661" w:type="pct"/>
            <w:tcBorders>
              <w:top w:val="nil"/>
              <w:left w:val="single" w:color="000000" w:sz="8" w:space="0"/>
              <w:bottom w:val="single" w:color="000000" w:sz="8" w:space="0"/>
              <w:right w:val="single" w:color="000000" w:sz="8" w:space="0"/>
            </w:tcBorders>
            <w:shd w:val="clear" w:color="auto" w:fill="auto"/>
            <w:noWrap/>
            <w:vAlign w:val="center"/>
          </w:tcPr>
          <w:p w14:paraId="33F9F2A5">
            <w:pPr>
              <w:pStyle w:val="45"/>
              <w:bidi w:val="0"/>
              <w:rPr>
                <w:rFonts w:hint="eastAsia"/>
              </w:rPr>
            </w:pPr>
          </w:p>
        </w:tc>
        <w:tc>
          <w:tcPr>
            <w:tcW w:w="579" w:type="pct"/>
            <w:tcBorders>
              <w:top w:val="nil"/>
              <w:left w:val="nil"/>
              <w:bottom w:val="single" w:color="000000" w:sz="8" w:space="0"/>
              <w:right w:val="single" w:color="000000" w:sz="8" w:space="0"/>
            </w:tcBorders>
            <w:shd w:val="clear" w:color="auto" w:fill="auto"/>
            <w:noWrap/>
            <w:vAlign w:val="center"/>
          </w:tcPr>
          <w:p w14:paraId="1845D6C2">
            <w:pPr>
              <w:pStyle w:val="45"/>
              <w:bidi w:val="0"/>
              <w:rPr>
                <w:rFonts w:hint="eastAsia"/>
              </w:rPr>
            </w:pPr>
          </w:p>
        </w:tc>
        <w:tc>
          <w:tcPr>
            <w:tcW w:w="826" w:type="pct"/>
            <w:vMerge w:val="continue"/>
            <w:tcBorders>
              <w:top w:val="nil"/>
              <w:left w:val="nil"/>
              <w:bottom w:val="single" w:color="000000" w:sz="8" w:space="0"/>
              <w:right w:val="single" w:color="000000" w:sz="8" w:space="0"/>
            </w:tcBorders>
            <w:shd w:val="clear" w:color="auto" w:fill="auto"/>
            <w:noWrap/>
            <w:vAlign w:val="center"/>
          </w:tcPr>
          <w:p w14:paraId="43E8B268">
            <w:pPr>
              <w:pStyle w:val="45"/>
              <w:bidi w:val="0"/>
              <w:rPr>
                <w:rFonts w:hint="eastAsia"/>
              </w:rPr>
            </w:pPr>
          </w:p>
        </w:tc>
        <w:tc>
          <w:tcPr>
            <w:tcW w:w="1154" w:type="pct"/>
            <w:tcBorders>
              <w:top w:val="nil"/>
              <w:left w:val="nil"/>
              <w:bottom w:val="single" w:color="000000" w:sz="8" w:space="0"/>
              <w:right w:val="single" w:color="000000" w:sz="8" w:space="0"/>
            </w:tcBorders>
            <w:shd w:val="clear" w:color="auto" w:fill="auto"/>
            <w:noWrap/>
            <w:vAlign w:val="center"/>
          </w:tcPr>
          <w:p w14:paraId="298E4056">
            <w:pPr>
              <w:pStyle w:val="45"/>
              <w:bidi w:val="0"/>
              <w:rPr>
                <w:rFonts w:hint="eastAsia"/>
              </w:rPr>
            </w:pPr>
            <w:r>
              <w:rPr>
                <w:rFonts w:hint="eastAsia"/>
                <w:lang w:val="en-US" w:eastAsia="zh-CN"/>
              </w:rPr>
              <w:t>除杂滤渣带走</w:t>
            </w:r>
          </w:p>
        </w:tc>
        <w:tc>
          <w:tcPr>
            <w:tcW w:w="622" w:type="pct"/>
            <w:tcBorders>
              <w:top w:val="nil"/>
              <w:left w:val="nil"/>
              <w:bottom w:val="single" w:color="000000" w:sz="8" w:space="0"/>
              <w:right w:val="single" w:color="000000" w:sz="8" w:space="0"/>
            </w:tcBorders>
            <w:shd w:val="clear" w:color="auto" w:fill="auto"/>
            <w:noWrap/>
            <w:vAlign w:val="center"/>
          </w:tcPr>
          <w:p w14:paraId="7C451AE5">
            <w:pPr>
              <w:pStyle w:val="45"/>
              <w:bidi w:val="0"/>
              <w:rPr>
                <w:rFonts w:hint="default"/>
              </w:rPr>
            </w:pPr>
            <w:r>
              <w:rPr>
                <w:rFonts w:hint="default"/>
                <w:lang w:val="en-US" w:eastAsia="zh-CN"/>
              </w:rPr>
              <w:t>2.4</w:t>
            </w:r>
          </w:p>
        </w:tc>
        <w:tc>
          <w:tcPr>
            <w:tcW w:w="1154" w:type="pct"/>
            <w:tcBorders>
              <w:top w:val="nil"/>
              <w:left w:val="nil"/>
              <w:bottom w:val="single" w:color="000000" w:sz="8" w:space="0"/>
              <w:right w:val="single" w:color="000000" w:sz="8" w:space="0"/>
            </w:tcBorders>
            <w:shd w:val="clear" w:color="auto" w:fill="auto"/>
            <w:noWrap/>
            <w:vAlign w:val="center"/>
          </w:tcPr>
          <w:p w14:paraId="3D06E582">
            <w:pPr>
              <w:pStyle w:val="45"/>
              <w:bidi w:val="0"/>
              <w:rPr>
                <w:rFonts w:hint="eastAsia"/>
              </w:rPr>
            </w:pPr>
            <w:r>
              <w:rPr>
                <w:rFonts w:hint="eastAsia"/>
                <w:lang w:val="en-US" w:eastAsia="zh-CN"/>
              </w:rPr>
              <w:t>氯化钾除杂</w:t>
            </w:r>
          </w:p>
        </w:tc>
      </w:tr>
      <w:tr w14:paraId="780692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661" w:type="pct"/>
            <w:tcBorders>
              <w:top w:val="nil"/>
              <w:left w:val="single" w:color="000000" w:sz="8" w:space="0"/>
              <w:bottom w:val="single" w:color="000000" w:sz="8" w:space="0"/>
              <w:right w:val="single" w:color="000000" w:sz="8" w:space="0"/>
            </w:tcBorders>
            <w:shd w:val="clear" w:color="auto" w:fill="auto"/>
            <w:noWrap/>
            <w:vAlign w:val="center"/>
          </w:tcPr>
          <w:p w14:paraId="72B0B72F">
            <w:pPr>
              <w:pStyle w:val="45"/>
              <w:bidi w:val="0"/>
              <w:rPr>
                <w:rFonts w:hint="eastAsia"/>
              </w:rPr>
            </w:pPr>
          </w:p>
        </w:tc>
        <w:tc>
          <w:tcPr>
            <w:tcW w:w="579" w:type="pct"/>
            <w:tcBorders>
              <w:top w:val="nil"/>
              <w:left w:val="nil"/>
              <w:bottom w:val="single" w:color="000000" w:sz="8" w:space="0"/>
              <w:right w:val="single" w:color="000000" w:sz="8" w:space="0"/>
            </w:tcBorders>
            <w:shd w:val="clear" w:color="auto" w:fill="auto"/>
            <w:noWrap/>
            <w:vAlign w:val="center"/>
          </w:tcPr>
          <w:p w14:paraId="5107E512">
            <w:pPr>
              <w:pStyle w:val="45"/>
              <w:bidi w:val="0"/>
              <w:rPr>
                <w:rFonts w:hint="eastAsia"/>
              </w:rPr>
            </w:pPr>
          </w:p>
        </w:tc>
        <w:tc>
          <w:tcPr>
            <w:tcW w:w="826" w:type="pct"/>
            <w:vMerge w:val="continue"/>
            <w:tcBorders>
              <w:top w:val="nil"/>
              <w:left w:val="nil"/>
              <w:bottom w:val="single" w:color="000000" w:sz="8" w:space="0"/>
              <w:right w:val="single" w:color="000000" w:sz="8" w:space="0"/>
            </w:tcBorders>
            <w:shd w:val="clear" w:color="auto" w:fill="auto"/>
            <w:noWrap/>
            <w:vAlign w:val="center"/>
          </w:tcPr>
          <w:p w14:paraId="1D27CC3E">
            <w:pPr>
              <w:pStyle w:val="45"/>
              <w:bidi w:val="0"/>
              <w:rPr>
                <w:rFonts w:hint="eastAsia"/>
              </w:rPr>
            </w:pPr>
          </w:p>
        </w:tc>
        <w:tc>
          <w:tcPr>
            <w:tcW w:w="1154" w:type="pct"/>
            <w:tcBorders>
              <w:top w:val="nil"/>
              <w:left w:val="nil"/>
              <w:bottom w:val="single" w:color="000000" w:sz="8" w:space="0"/>
              <w:right w:val="single" w:color="000000" w:sz="8" w:space="0"/>
            </w:tcBorders>
            <w:shd w:val="clear" w:color="auto" w:fill="auto"/>
            <w:noWrap/>
            <w:vAlign w:val="center"/>
          </w:tcPr>
          <w:p w14:paraId="5A01F68A">
            <w:pPr>
              <w:pStyle w:val="45"/>
              <w:bidi w:val="0"/>
              <w:rPr>
                <w:rFonts w:hint="eastAsia"/>
              </w:rPr>
            </w:pPr>
            <w:r>
              <w:rPr>
                <w:rFonts w:hint="eastAsia"/>
                <w:lang w:val="en-US" w:eastAsia="zh-CN"/>
              </w:rPr>
              <w:t>除铬滤渣带走</w:t>
            </w:r>
          </w:p>
        </w:tc>
        <w:tc>
          <w:tcPr>
            <w:tcW w:w="622" w:type="pct"/>
            <w:tcBorders>
              <w:top w:val="nil"/>
              <w:left w:val="nil"/>
              <w:bottom w:val="single" w:color="000000" w:sz="8" w:space="0"/>
              <w:right w:val="single" w:color="000000" w:sz="8" w:space="0"/>
            </w:tcBorders>
            <w:shd w:val="clear" w:color="auto" w:fill="auto"/>
            <w:noWrap/>
            <w:vAlign w:val="center"/>
          </w:tcPr>
          <w:p w14:paraId="0A674F3D">
            <w:pPr>
              <w:pStyle w:val="45"/>
              <w:bidi w:val="0"/>
              <w:rPr>
                <w:rFonts w:hint="default"/>
              </w:rPr>
            </w:pPr>
            <w:r>
              <w:rPr>
                <w:rFonts w:hint="default"/>
                <w:lang w:val="en-US" w:eastAsia="zh-CN"/>
              </w:rPr>
              <w:t>4.8</w:t>
            </w:r>
          </w:p>
        </w:tc>
        <w:tc>
          <w:tcPr>
            <w:tcW w:w="1154" w:type="pct"/>
            <w:tcBorders>
              <w:top w:val="nil"/>
              <w:left w:val="nil"/>
              <w:bottom w:val="single" w:color="000000" w:sz="8" w:space="0"/>
              <w:right w:val="single" w:color="000000" w:sz="8" w:space="0"/>
            </w:tcBorders>
            <w:shd w:val="clear" w:color="auto" w:fill="auto"/>
            <w:noWrap/>
            <w:vAlign w:val="center"/>
          </w:tcPr>
          <w:p w14:paraId="1AA7A7A1">
            <w:pPr>
              <w:pStyle w:val="45"/>
              <w:bidi w:val="0"/>
              <w:rPr>
                <w:rFonts w:hint="eastAsia"/>
              </w:rPr>
            </w:pPr>
            <w:r>
              <w:rPr>
                <w:rFonts w:hint="eastAsia"/>
                <w:lang w:val="en-US" w:eastAsia="zh-CN"/>
              </w:rPr>
              <w:t>氯酸钠除铬</w:t>
            </w:r>
          </w:p>
        </w:tc>
      </w:tr>
      <w:tr w14:paraId="4DA514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661" w:type="pct"/>
            <w:tcBorders>
              <w:top w:val="nil"/>
              <w:left w:val="single" w:color="000000" w:sz="8" w:space="0"/>
              <w:bottom w:val="single" w:color="000000" w:sz="8" w:space="0"/>
              <w:right w:val="single" w:color="000000" w:sz="8" w:space="0"/>
            </w:tcBorders>
            <w:shd w:val="clear" w:color="auto" w:fill="auto"/>
            <w:noWrap/>
            <w:vAlign w:val="center"/>
          </w:tcPr>
          <w:p w14:paraId="13EE2EFD">
            <w:pPr>
              <w:pStyle w:val="45"/>
              <w:bidi w:val="0"/>
              <w:rPr>
                <w:rFonts w:hint="eastAsia"/>
              </w:rPr>
            </w:pPr>
          </w:p>
        </w:tc>
        <w:tc>
          <w:tcPr>
            <w:tcW w:w="579" w:type="pct"/>
            <w:tcBorders>
              <w:top w:val="nil"/>
              <w:left w:val="nil"/>
              <w:bottom w:val="single" w:color="000000" w:sz="8" w:space="0"/>
              <w:right w:val="single" w:color="000000" w:sz="8" w:space="0"/>
            </w:tcBorders>
            <w:shd w:val="clear" w:color="auto" w:fill="auto"/>
            <w:noWrap/>
            <w:vAlign w:val="center"/>
          </w:tcPr>
          <w:p w14:paraId="6B5B0437">
            <w:pPr>
              <w:pStyle w:val="45"/>
              <w:bidi w:val="0"/>
              <w:rPr>
                <w:rFonts w:hint="eastAsia"/>
              </w:rPr>
            </w:pPr>
          </w:p>
        </w:tc>
        <w:tc>
          <w:tcPr>
            <w:tcW w:w="826" w:type="pct"/>
            <w:vMerge w:val="continue"/>
            <w:tcBorders>
              <w:top w:val="nil"/>
              <w:left w:val="nil"/>
              <w:bottom w:val="single" w:color="000000" w:sz="8" w:space="0"/>
              <w:right w:val="single" w:color="000000" w:sz="8" w:space="0"/>
            </w:tcBorders>
            <w:shd w:val="clear" w:color="auto" w:fill="auto"/>
            <w:noWrap/>
            <w:vAlign w:val="center"/>
          </w:tcPr>
          <w:p w14:paraId="2DA0878C">
            <w:pPr>
              <w:pStyle w:val="45"/>
              <w:bidi w:val="0"/>
              <w:rPr>
                <w:rFonts w:hint="eastAsia"/>
              </w:rPr>
            </w:pPr>
          </w:p>
        </w:tc>
        <w:tc>
          <w:tcPr>
            <w:tcW w:w="1154" w:type="pct"/>
            <w:tcBorders>
              <w:top w:val="nil"/>
              <w:left w:val="nil"/>
              <w:bottom w:val="single" w:color="000000" w:sz="8" w:space="0"/>
              <w:right w:val="single" w:color="000000" w:sz="8" w:space="0"/>
            </w:tcBorders>
            <w:shd w:val="clear" w:color="auto" w:fill="auto"/>
            <w:noWrap/>
            <w:vAlign w:val="center"/>
          </w:tcPr>
          <w:p w14:paraId="6DE56231">
            <w:pPr>
              <w:pStyle w:val="45"/>
              <w:bidi w:val="0"/>
              <w:rPr>
                <w:rFonts w:hint="eastAsia"/>
              </w:rPr>
            </w:pPr>
            <w:r>
              <w:rPr>
                <w:rFonts w:hint="eastAsia"/>
                <w:lang w:val="en-US" w:eastAsia="zh-CN"/>
              </w:rPr>
              <w:t>母液带走</w:t>
            </w:r>
          </w:p>
        </w:tc>
        <w:tc>
          <w:tcPr>
            <w:tcW w:w="622" w:type="pct"/>
            <w:tcBorders>
              <w:top w:val="nil"/>
              <w:left w:val="nil"/>
              <w:bottom w:val="single" w:color="000000" w:sz="8" w:space="0"/>
              <w:right w:val="single" w:color="000000" w:sz="8" w:space="0"/>
            </w:tcBorders>
            <w:shd w:val="clear" w:color="auto" w:fill="auto"/>
            <w:noWrap/>
            <w:vAlign w:val="center"/>
          </w:tcPr>
          <w:p w14:paraId="11AF1A99">
            <w:pPr>
              <w:pStyle w:val="45"/>
              <w:bidi w:val="0"/>
              <w:rPr>
                <w:rFonts w:hint="default"/>
              </w:rPr>
            </w:pPr>
            <w:r>
              <w:rPr>
                <w:rFonts w:hint="default"/>
                <w:lang w:val="en-US" w:eastAsia="zh-CN"/>
              </w:rPr>
              <w:t>2383.6</w:t>
            </w:r>
          </w:p>
        </w:tc>
        <w:tc>
          <w:tcPr>
            <w:tcW w:w="1154" w:type="pct"/>
            <w:tcBorders>
              <w:top w:val="nil"/>
              <w:left w:val="nil"/>
              <w:bottom w:val="single" w:color="000000" w:sz="8" w:space="0"/>
              <w:right w:val="single" w:color="000000" w:sz="8" w:space="0"/>
            </w:tcBorders>
            <w:shd w:val="clear" w:color="auto" w:fill="auto"/>
            <w:noWrap/>
            <w:vAlign w:val="center"/>
          </w:tcPr>
          <w:p w14:paraId="69C7BAB7">
            <w:pPr>
              <w:pStyle w:val="45"/>
              <w:bidi w:val="0"/>
              <w:rPr>
                <w:rFonts w:hint="eastAsia"/>
              </w:rPr>
            </w:pPr>
          </w:p>
        </w:tc>
      </w:tr>
      <w:tr w14:paraId="11CC40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661" w:type="pct"/>
            <w:tcBorders>
              <w:top w:val="nil"/>
              <w:left w:val="single" w:color="000000" w:sz="8" w:space="0"/>
              <w:bottom w:val="single" w:color="000000" w:sz="8" w:space="0"/>
              <w:right w:val="single" w:color="000000" w:sz="8" w:space="0"/>
            </w:tcBorders>
            <w:shd w:val="clear" w:color="auto" w:fill="auto"/>
            <w:noWrap/>
            <w:vAlign w:val="center"/>
          </w:tcPr>
          <w:p w14:paraId="7826CA7C">
            <w:pPr>
              <w:pStyle w:val="45"/>
              <w:bidi w:val="0"/>
              <w:rPr>
                <w:rFonts w:hint="eastAsia"/>
              </w:rPr>
            </w:pPr>
            <w:r>
              <w:rPr>
                <w:rFonts w:hint="eastAsia"/>
                <w:lang w:val="en-US" w:eastAsia="zh-CN"/>
              </w:rPr>
              <w:t>合计</w:t>
            </w:r>
          </w:p>
        </w:tc>
        <w:tc>
          <w:tcPr>
            <w:tcW w:w="579" w:type="pct"/>
            <w:tcBorders>
              <w:top w:val="nil"/>
              <w:left w:val="nil"/>
              <w:bottom w:val="single" w:color="000000" w:sz="8" w:space="0"/>
              <w:right w:val="single" w:color="000000" w:sz="8" w:space="0"/>
            </w:tcBorders>
            <w:shd w:val="clear" w:color="auto" w:fill="auto"/>
            <w:noWrap/>
            <w:vAlign w:val="center"/>
          </w:tcPr>
          <w:p w14:paraId="6290EC50">
            <w:pPr>
              <w:pStyle w:val="45"/>
              <w:bidi w:val="0"/>
              <w:rPr>
                <w:rFonts w:hint="default"/>
              </w:rPr>
            </w:pPr>
            <w:r>
              <w:rPr>
                <w:rFonts w:hint="default"/>
                <w:lang w:val="en-US" w:eastAsia="zh-CN"/>
              </w:rPr>
              <w:t>11658</w:t>
            </w:r>
          </w:p>
        </w:tc>
        <w:tc>
          <w:tcPr>
            <w:tcW w:w="1981" w:type="pct"/>
            <w:gridSpan w:val="2"/>
            <w:tcBorders>
              <w:top w:val="nil"/>
              <w:left w:val="nil"/>
              <w:bottom w:val="single" w:color="000000" w:sz="8" w:space="0"/>
              <w:right w:val="single" w:color="000000" w:sz="8" w:space="0"/>
            </w:tcBorders>
            <w:shd w:val="clear" w:color="auto" w:fill="auto"/>
            <w:noWrap/>
            <w:vAlign w:val="center"/>
          </w:tcPr>
          <w:p w14:paraId="2566788B">
            <w:pPr>
              <w:pStyle w:val="45"/>
              <w:bidi w:val="0"/>
              <w:rPr>
                <w:rFonts w:hint="eastAsia"/>
              </w:rPr>
            </w:pPr>
            <w:r>
              <w:rPr>
                <w:rFonts w:hint="eastAsia"/>
                <w:lang w:val="en-US" w:eastAsia="zh-CN"/>
              </w:rPr>
              <w:t>合计</w:t>
            </w:r>
          </w:p>
        </w:tc>
        <w:tc>
          <w:tcPr>
            <w:tcW w:w="622" w:type="pct"/>
            <w:tcBorders>
              <w:top w:val="nil"/>
              <w:left w:val="nil"/>
              <w:bottom w:val="single" w:color="000000" w:sz="8" w:space="0"/>
              <w:right w:val="single" w:color="000000" w:sz="8" w:space="0"/>
            </w:tcBorders>
            <w:shd w:val="clear" w:color="auto" w:fill="auto"/>
            <w:noWrap/>
            <w:vAlign w:val="center"/>
          </w:tcPr>
          <w:p w14:paraId="146706A6">
            <w:pPr>
              <w:pStyle w:val="45"/>
              <w:bidi w:val="0"/>
              <w:rPr>
                <w:rFonts w:hint="default"/>
              </w:rPr>
            </w:pPr>
            <w:r>
              <w:rPr>
                <w:rFonts w:hint="default"/>
                <w:lang w:val="en-US" w:eastAsia="zh-CN"/>
              </w:rPr>
              <w:t>11658</w:t>
            </w:r>
          </w:p>
        </w:tc>
        <w:tc>
          <w:tcPr>
            <w:tcW w:w="1154" w:type="pct"/>
            <w:tcBorders>
              <w:top w:val="nil"/>
              <w:left w:val="nil"/>
              <w:bottom w:val="single" w:color="000000" w:sz="8" w:space="0"/>
              <w:right w:val="single" w:color="000000" w:sz="8" w:space="0"/>
            </w:tcBorders>
            <w:shd w:val="clear" w:color="auto" w:fill="auto"/>
            <w:noWrap/>
            <w:vAlign w:val="center"/>
          </w:tcPr>
          <w:p w14:paraId="01DAC21D">
            <w:pPr>
              <w:pStyle w:val="45"/>
              <w:bidi w:val="0"/>
              <w:rPr>
                <w:rFonts w:hint="eastAsia"/>
              </w:rPr>
            </w:pPr>
          </w:p>
        </w:tc>
      </w:tr>
    </w:tbl>
    <w:p w14:paraId="284B57A0">
      <w:pPr>
        <w:ind w:firstLine="0" w:firstLineChars="0"/>
      </w:pPr>
    </w:p>
    <w:p w14:paraId="3F0F1E05">
      <w:pPr>
        <w:ind w:firstLine="0" w:firstLineChars="0"/>
        <w:jc w:val="center"/>
      </w:pPr>
      <w:r>
        <w:object>
          <v:shape id="_x0000_i1043" o:spt="75" type="#_x0000_t75" style="height:206.25pt;width:393.75pt;" o:ole="t" filled="f" o:preferrelative="t" stroked="f" coordsize="21600,21600">
            <v:path/>
            <v:fill on="f" focussize="0,0"/>
            <v:stroke on="f"/>
            <v:imagedata r:id="rId55" o:title=""/>
            <o:lock v:ext="edit" aspectratio="f"/>
            <w10:wrap type="none"/>
            <w10:anchorlock/>
          </v:shape>
          <o:OLEObject Type="Embed" ProgID="Visio.Drawing.15" ShapeID="_x0000_i1043" DrawAspect="Content" ObjectID="_1468075743" r:id="rId54">
            <o:LockedField>false</o:LockedField>
          </o:OLEObject>
        </w:object>
      </w:r>
    </w:p>
    <w:p w14:paraId="7E0C3033">
      <w:pPr>
        <w:widowControl/>
        <w:numPr>
          <w:ilvl w:val="6"/>
          <w:numId w:val="1"/>
        </w:numPr>
        <w:spacing w:line="240" w:lineRule="auto"/>
        <w:ind w:firstLine="420" w:firstLineChars="0"/>
        <w:jc w:val="center"/>
        <w:textAlignment w:val="center"/>
        <w:rPr>
          <w:b/>
          <w:bCs/>
          <w:snapToGrid w:val="0"/>
          <w:kern w:val="0"/>
          <w:sz w:val="21"/>
          <w:szCs w:val="21"/>
        </w:rPr>
      </w:pPr>
      <w:r>
        <w:rPr>
          <w:rFonts w:hint="eastAsia"/>
          <w:b/>
          <w:bCs/>
          <w:snapToGrid w:val="0"/>
          <w:kern w:val="0"/>
          <w:sz w:val="21"/>
          <w:szCs w:val="21"/>
        </w:rPr>
        <w:t>高氯酸钾生产氯元素平衡示意图（单位：t/a）</w:t>
      </w:r>
    </w:p>
    <w:p w14:paraId="12D8F8CF">
      <w:pPr>
        <w:numPr>
          <w:ilvl w:val="0"/>
          <w:numId w:val="0"/>
        </w:numPr>
        <w:outlineLvl w:val="9"/>
        <w:rPr>
          <w:rFonts w:hint="eastAsia"/>
          <w:b/>
          <w:bCs/>
        </w:rPr>
      </w:pPr>
    </w:p>
    <w:p w14:paraId="143A52BF">
      <w:pPr>
        <w:numPr>
          <w:ilvl w:val="0"/>
          <w:numId w:val="8"/>
        </w:numPr>
        <w:ind w:left="480" w:leftChars="200" w:firstLine="0" w:firstLineChars="0"/>
        <w:outlineLvl w:val="5"/>
        <w:rPr>
          <w:rFonts w:hint="eastAsia"/>
          <w:b/>
          <w:bCs/>
        </w:rPr>
      </w:pPr>
      <w:r>
        <w:rPr>
          <w:rFonts w:hint="eastAsia"/>
          <w:b/>
          <w:bCs/>
          <w:highlight w:val="none"/>
          <w:lang w:val="en-US" w:eastAsia="zh-CN"/>
        </w:rPr>
        <w:t>复分解生产高氯酸钾</w:t>
      </w:r>
      <w:r>
        <w:rPr>
          <w:rFonts w:hint="eastAsia"/>
          <w:b/>
          <w:bCs/>
          <w:lang w:val="en-US" w:eastAsia="zh-CN"/>
        </w:rPr>
        <w:t>铬元素</w:t>
      </w:r>
      <w:r>
        <w:rPr>
          <w:rFonts w:hint="eastAsia"/>
          <w:b/>
          <w:bCs/>
        </w:rPr>
        <w:t>平衡</w:t>
      </w:r>
    </w:p>
    <w:p w14:paraId="02E2D45E">
      <w:pPr>
        <w:pStyle w:val="43"/>
        <w:numPr>
          <w:ilvl w:val="5"/>
          <w:numId w:val="1"/>
        </w:numPr>
        <w:rPr>
          <w:rFonts w:hint="default"/>
        </w:rPr>
      </w:pPr>
      <w:r>
        <w:t>高氯酸</w:t>
      </w:r>
      <w:r>
        <w:rPr>
          <w:rFonts w:hint="eastAsia"/>
          <w:lang w:val="en-US" w:eastAsia="zh-CN"/>
        </w:rPr>
        <w:t>钾</w:t>
      </w:r>
      <w:r>
        <w:t>（产品）生产</w:t>
      </w:r>
      <w:r>
        <w:rPr>
          <w:rFonts w:hint="eastAsia"/>
          <w:lang w:val="en-US" w:eastAsia="zh-CN"/>
        </w:rPr>
        <w:t>铬元素</w:t>
      </w:r>
      <w:r>
        <w:t>平衡一览表</w:t>
      </w:r>
    </w:p>
    <w:tbl>
      <w:tblPr>
        <w:tblStyle w:val="32"/>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233"/>
        <w:gridCol w:w="1217"/>
        <w:gridCol w:w="1353"/>
        <w:gridCol w:w="2248"/>
        <w:gridCol w:w="1469"/>
      </w:tblGrid>
      <w:tr w14:paraId="71FD0E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02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02B0C">
            <w:pPr>
              <w:pStyle w:val="45"/>
              <w:bidi w:val="0"/>
              <w:rPr>
                <w:rFonts w:hint="eastAsia"/>
                <w:b/>
                <w:bCs/>
              </w:rPr>
            </w:pPr>
            <w:r>
              <w:rPr>
                <w:rFonts w:hint="eastAsia"/>
                <w:b/>
                <w:bCs/>
                <w:lang w:val="en-US" w:eastAsia="zh-CN"/>
              </w:rPr>
              <w:t>投入（</w:t>
            </w:r>
            <w:r>
              <w:rPr>
                <w:rFonts w:hint="default"/>
                <w:b/>
                <w:bCs/>
                <w:lang w:val="en-US" w:eastAsia="zh-CN"/>
              </w:rPr>
              <w:t>t</w:t>
            </w:r>
            <w:r>
              <w:rPr>
                <w:rFonts w:hint="eastAsia"/>
                <w:b/>
                <w:bCs/>
                <w:lang w:val="en-US" w:eastAsia="zh-CN"/>
              </w:rPr>
              <w:t>）</w:t>
            </w:r>
          </w:p>
        </w:tc>
        <w:tc>
          <w:tcPr>
            <w:tcW w:w="29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032AD0">
            <w:pPr>
              <w:pStyle w:val="45"/>
              <w:bidi w:val="0"/>
              <w:rPr>
                <w:rFonts w:hint="eastAsia"/>
                <w:b/>
                <w:bCs/>
              </w:rPr>
            </w:pPr>
            <w:r>
              <w:rPr>
                <w:rFonts w:hint="eastAsia"/>
                <w:b/>
                <w:bCs/>
                <w:lang w:val="en-US" w:eastAsia="zh-CN"/>
              </w:rPr>
              <w:t>产出（</w:t>
            </w:r>
            <w:r>
              <w:rPr>
                <w:rFonts w:hint="default"/>
                <w:b/>
                <w:bCs/>
                <w:lang w:val="en-US" w:eastAsia="zh-CN"/>
              </w:rPr>
              <w:t>t</w:t>
            </w:r>
            <w:r>
              <w:rPr>
                <w:rFonts w:hint="eastAsia"/>
                <w:b/>
                <w:bCs/>
                <w:lang w:val="en-US" w:eastAsia="zh-CN"/>
              </w:rPr>
              <w:t>）</w:t>
            </w:r>
          </w:p>
        </w:tc>
      </w:tr>
      <w:tr w14:paraId="2B7FC3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3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3F006">
            <w:pPr>
              <w:pStyle w:val="45"/>
              <w:bidi w:val="0"/>
              <w:rPr>
                <w:rFonts w:hint="eastAsia"/>
              </w:rPr>
            </w:pPr>
            <w:r>
              <w:rPr>
                <w:rFonts w:hint="eastAsia"/>
                <w:lang w:val="en-US" w:eastAsia="zh-CN"/>
              </w:rPr>
              <w:t>氯酸钠含铬</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FE63D">
            <w:pPr>
              <w:pStyle w:val="45"/>
              <w:bidi w:val="0"/>
              <w:rPr>
                <w:rFonts w:hint="default"/>
                <w:lang w:val="en-US"/>
              </w:rPr>
            </w:pPr>
            <w:r>
              <w:rPr>
                <w:rFonts w:hint="eastAsia"/>
                <w:lang w:val="en-US" w:eastAsia="zh-CN"/>
              </w:rPr>
              <w:t>0.03</w:t>
            </w:r>
          </w:p>
        </w:tc>
        <w:tc>
          <w:tcPr>
            <w:tcW w:w="7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DA902">
            <w:pPr>
              <w:pStyle w:val="45"/>
              <w:bidi w:val="0"/>
              <w:rPr>
                <w:rFonts w:hint="eastAsia"/>
              </w:rPr>
            </w:pPr>
            <w:r>
              <w:rPr>
                <w:rFonts w:hint="eastAsia"/>
                <w:lang w:val="en-US" w:eastAsia="zh-CN"/>
              </w:rPr>
              <w:t>除铬</w:t>
            </w:r>
          </w:p>
        </w:tc>
        <w:tc>
          <w:tcPr>
            <w:tcW w:w="13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B61796">
            <w:pPr>
              <w:pStyle w:val="45"/>
              <w:bidi w:val="0"/>
              <w:rPr>
                <w:rFonts w:hint="eastAsia"/>
              </w:rPr>
            </w:pPr>
            <w:r>
              <w:rPr>
                <w:rFonts w:hint="eastAsia"/>
                <w:lang w:val="en-US" w:eastAsia="zh-CN"/>
              </w:rPr>
              <w:t>含铬滤渣带走</w:t>
            </w:r>
          </w:p>
        </w:tc>
        <w:tc>
          <w:tcPr>
            <w:tcW w:w="8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F391D">
            <w:pPr>
              <w:pStyle w:val="45"/>
              <w:bidi w:val="0"/>
              <w:rPr>
                <w:rFonts w:hint="eastAsia"/>
              </w:rPr>
            </w:pPr>
            <w:r>
              <w:rPr>
                <w:rFonts w:hint="eastAsia"/>
                <w:lang w:val="en-US" w:eastAsia="zh-CN"/>
              </w:rPr>
              <w:t>0.03</w:t>
            </w:r>
          </w:p>
        </w:tc>
      </w:tr>
      <w:tr w14:paraId="5C3DE7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3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518A3C">
            <w:pPr>
              <w:pStyle w:val="45"/>
              <w:bidi w:val="0"/>
              <w:rPr>
                <w:rFonts w:hint="eastAsia"/>
              </w:rPr>
            </w:pPr>
            <w:r>
              <w:rPr>
                <w:rFonts w:hint="eastAsia"/>
                <w:lang w:val="en-US" w:eastAsia="zh-CN"/>
              </w:rPr>
              <w:t>合计</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C700D">
            <w:pPr>
              <w:pStyle w:val="45"/>
              <w:bidi w:val="0"/>
              <w:rPr>
                <w:rFonts w:hint="eastAsia"/>
              </w:rPr>
            </w:pPr>
            <w:r>
              <w:rPr>
                <w:rFonts w:hint="eastAsia"/>
                <w:lang w:val="en-US" w:eastAsia="zh-CN"/>
              </w:rPr>
              <w:t>0.03</w:t>
            </w:r>
          </w:p>
        </w:tc>
        <w:tc>
          <w:tcPr>
            <w:tcW w:w="211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95F04">
            <w:pPr>
              <w:pStyle w:val="45"/>
              <w:bidi w:val="0"/>
              <w:rPr>
                <w:rFonts w:hint="eastAsia"/>
              </w:rPr>
            </w:pPr>
            <w:r>
              <w:rPr>
                <w:rFonts w:hint="eastAsia"/>
                <w:lang w:val="en-US" w:eastAsia="zh-CN"/>
              </w:rPr>
              <w:t>合计</w:t>
            </w:r>
          </w:p>
        </w:tc>
        <w:tc>
          <w:tcPr>
            <w:tcW w:w="8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F55E1">
            <w:pPr>
              <w:pStyle w:val="45"/>
              <w:bidi w:val="0"/>
              <w:rPr>
                <w:rFonts w:hint="eastAsia"/>
              </w:rPr>
            </w:pPr>
            <w:r>
              <w:rPr>
                <w:rFonts w:hint="eastAsia"/>
                <w:lang w:val="en-US" w:eastAsia="zh-CN"/>
              </w:rPr>
              <w:t>0.03</w:t>
            </w:r>
          </w:p>
        </w:tc>
      </w:tr>
    </w:tbl>
    <w:p w14:paraId="32001E6E">
      <w:pPr>
        <w:widowControl/>
        <w:tabs>
          <w:tab w:val="left" w:pos="420"/>
        </w:tabs>
        <w:spacing w:line="240" w:lineRule="auto"/>
        <w:ind w:firstLine="0" w:firstLineChars="0"/>
        <w:textAlignment w:val="center"/>
        <w:rPr>
          <w:b/>
          <w:bCs/>
          <w:snapToGrid w:val="0"/>
          <w:kern w:val="0"/>
          <w:sz w:val="21"/>
          <w:szCs w:val="21"/>
        </w:rPr>
      </w:pPr>
    </w:p>
    <w:p w14:paraId="3406423D">
      <w:pPr>
        <w:ind w:firstLine="0" w:firstLineChars="0"/>
        <w:jc w:val="center"/>
        <w:rPr>
          <w:rFonts w:hint="eastAsia" w:eastAsia="宋体"/>
          <w:lang w:eastAsia="zh-CN"/>
        </w:rPr>
      </w:pPr>
      <w:r>
        <w:rPr>
          <w:highlight w:val="none"/>
        </w:rPr>
        <w:object>
          <v:shape id="_x0000_i1044" o:spt="75" type="#_x0000_t75" style="height:28.5pt;width:323.25pt;" o:ole="t" filled="f" o:preferrelative="t" stroked="f" coordsize="21600,21600">
            <v:path/>
            <v:fill on="f" focussize="0,0"/>
            <v:stroke on="f"/>
            <v:imagedata r:id="rId48" o:title=""/>
            <o:lock v:ext="edit" aspectratio="f"/>
            <w10:wrap type="none"/>
            <w10:anchorlock/>
          </v:shape>
          <o:OLEObject Type="Embed" ProgID="Visio.Drawing.15" ShapeID="_x0000_i1044" DrawAspect="Content" ObjectID="_1468075744" r:id="rId56">
            <o:LockedField>false</o:LockedField>
          </o:OLEObject>
        </w:object>
      </w:r>
    </w:p>
    <w:p w14:paraId="25A7DC1C">
      <w:pPr>
        <w:pStyle w:val="42"/>
        <w:numPr>
          <w:ilvl w:val="6"/>
          <w:numId w:val="1"/>
        </w:numPr>
        <w:rPr>
          <w:rFonts w:hint="default"/>
        </w:rPr>
      </w:pPr>
      <w:r>
        <w:t>高氯酸</w:t>
      </w:r>
      <w:r>
        <w:rPr>
          <w:rFonts w:hint="eastAsia"/>
          <w:lang w:val="en-US" w:eastAsia="zh-CN"/>
        </w:rPr>
        <w:t>钾</w:t>
      </w:r>
      <w:r>
        <w:t>（产品）生产</w:t>
      </w:r>
      <w:r>
        <w:rPr>
          <w:rFonts w:hint="eastAsia"/>
          <w:lang w:val="en-US" w:eastAsia="zh-CN"/>
        </w:rPr>
        <w:t>铬</w:t>
      </w:r>
      <w:r>
        <w:t>元素平衡示意图（单位：t/a）</w:t>
      </w:r>
    </w:p>
    <w:p w14:paraId="001C941F">
      <w:pPr>
        <w:widowControl/>
        <w:numPr>
          <w:ilvl w:val="0"/>
          <w:numId w:val="0"/>
        </w:numPr>
        <w:tabs>
          <w:tab w:val="left" w:pos="420"/>
        </w:tabs>
        <w:spacing w:line="240" w:lineRule="auto"/>
        <w:ind w:left="420" w:leftChars="0"/>
        <w:jc w:val="both"/>
        <w:textAlignment w:val="center"/>
        <w:rPr>
          <w:b/>
          <w:bCs/>
          <w:snapToGrid w:val="0"/>
          <w:kern w:val="0"/>
          <w:sz w:val="21"/>
          <w:szCs w:val="21"/>
        </w:rPr>
      </w:pPr>
    </w:p>
    <w:p w14:paraId="500E1B70">
      <w:pPr>
        <w:pStyle w:val="5"/>
        <w:numPr>
          <w:ilvl w:val="3"/>
          <w:numId w:val="1"/>
        </w:numPr>
        <w:rPr>
          <w:rFonts w:ascii="Times New Roman" w:hAnsi="Times New Roman" w:eastAsia="宋体" w:cstheme="minorBidi"/>
          <w:b/>
          <w:bCs/>
          <w:kern w:val="2"/>
          <w:sz w:val="24"/>
          <w:szCs w:val="24"/>
          <w:highlight w:val="none"/>
          <w:lang w:val="en-US" w:eastAsia="zh-CN" w:bidi="ar-SA"/>
        </w:rPr>
      </w:pPr>
      <w:r>
        <w:rPr>
          <w:rFonts w:hint="eastAsia" w:cstheme="minorBidi"/>
          <w:b/>
          <w:bCs/>
          <w:kern w:val="2"/>
          <w:sz w:val="24"/>
          <w:szCs w:val="24"/>
          <w:highlight w:val="none"/>
          <w:lang w:val="en-US" w:eastAsia="zh-CN" w:bidi="ar-SA"/>
        </w:rPr>
        <w:t>锂盐生产装置生产平衡分析</w:t>
      </w:r>
    </w:p>
    <w:p w14:paraId="5F1FEF36">
      <w:pPr>
        <w:rPr>
          <w:rFonts w:hint="eastAsia"/>
          <w:lang w:val="en-US" w:eastAsia="zh-CN"/>
        </w:rPr>
      </w:pPr>
      <w:r>
        <w:rPr>
          <w:rFonts w:hint="eastAsia"/>
          <w:lang w:val="en-US" w:eastAsia="zh-CN"/>
        </w:rPr>
        <w:t>锂盐生产装置包含中和及复分解反应装置。本项目拟采取复分解法、中和法2种方法交替生产无水高氯酸锂，中间产物为氯化锂。</w:t>
      </w:r>
    </w:p>
    <w:p w14:paraId="292910DD">
      <w:pPr>
        <w:rPr>
          <w:rFonts w:hint="eastAsia"/>
          <w:lang w:val="en-US" w:eastAsia="zh-CN"/>
        </w:rPr>
      </w:pPr>
      <w:r>
        <w:rPr>
          <w:rFonts w:hint="eastAsia"/>
          <w:b/>
          <w:bCs/>
          <w:lang w:val="en-US" w:eastAsia="zh-CN"/>
        </w:rPr>
        <w:t>复分解法</w:t>
      </w:r>
      <w:r>
        <w:rPr>
          <w:rFonts w:hint="eastAsia"/>
          <w:lang w:val="en-US" w:eastAsia="zh-CN"/>
        </w:rPr>
        <w:t>用碳酸锂和盐酸反应生成氯化锂，再与高氯酸钠溶液反应生成三水高氯酸锂。</w:t>
      </w:r>
      <w:r>
        <w:rPr>
          <w:rFonts w:hint="eastAsia"/>
          <w:b/>
          <w:bCs/>
          <w:lang w:val="en-US" w:eastAsia="zh-CN"/>
        </w:rPr>
        <w:t>中和法</w:t>
      </w:r>
      <w:r>
        <w:rPr>
          <w:rFonts w:hint="eastAsia"/>
          <w:lang w:val="en-US" w:eastAsia="zh-CN"/>
        </w:rPr>
        <w:t>用碳酸锂和高氯酸算直接反应生产三水高氯酸锂。三水高氯酸锂再经脱水、干燥等工序，得到</w:t>
      </w:r>
      <w:r>
        <w:rPr>
          <w:rFonts w:hint="eastAsia"/>
        </w:rPr>
        <w:t>成品</w:t>
      </w:r>
      <w:r>
        <w:rPr>
          <w:rFonts w:hint="eastAsia"/>
          <w:lang w:val="en-US" w:eastAsia="zh-CN"/>
        </w:rPr>
        <w:t>无水</w:t>
      </w:r>
      <w:r>
        <w:rPr>
          <w:rFonts w:hint="eastAsia"/>
        </w:rPr>
        <w:t>高氯酸</w:t>
      </w:r>
      <w:r>
        <w:rPr>
          <w:rFonts w:hint="eastAsia"/>
          <w:lang w:val="en-US" w:eastAsia="zh-CN"/>
        </w:rPr>
        <w:t>锂，</w:t>
      </w:r>
      <w:r>
        <w:rPr>
          <w:rFonts w:hint="eastAsia"/>
        </w:rPr>
        <w:t>纯度达99.5％</w:t>
      </w:r>
      <w:r>
        <w:rPr>
          <w:rFonts w:hint="eastAsia"/>
          <w:lang w:val="en-US" w:eastAsia="zh-CN"/>
        </w:rPr>
        <w:t>。</w:t>
      </w:r>
    </w:p>
    <w:p w14:paraId="1CDE3C6B">
      <w:pPr>
        <w:rPr>
          <w:rFonts w:hint="eastAsia"/>
          <w:lang w:val="en-US" w:eastAsia="zh-CN"/>
        </w:rPr>
      </w:pPr>
      <w:r>
        <w:rPr>
          <w:rFonts w:hint="eastAsia"/>
          <w:lang w:val="en-US" w:eastAsia="zh-CN"/>
        </w:rPr>
        <w:t>本项目锂盐生产装置为连续生产，2钟锂盐生产工艺交替运行，高氯酸锂总产能为600吨/年，其中复分解法生产的无水高氯酸锂为一等品，产能约400吨/年，中和法生产的无水高氯酸锂为品优等品，产能约200吨/年。</w:t>
      </w:r>
    </w:p>
    <w:p w14:paraId="412DC116">
      <w:pPr>
        <w:ind w:left="0" w:leftChars="0" w:firstLine="482" w:firstLineChars="200"/>
        <w:outlineLvl w:val="4"/>
        <w:rPr>
          <w:rFonts w:hint="default"/>
          <w:b/>
          <w:bCs/>
          <w:lang w:val="en-US" w:eastAsia="zh-CN"/>
        </w:rPr>
      </w:pPr>
      <w:r>
        <w:rPr>
          <w:rFonts w:hint="eastAsia"/>
          <w:b/>
          <w:bCs/>
          <w:lang w:val="en-US" w:eastAsia="zh-CN"/>
        </w:rPr>
        <w:t>1、复分解生产高氯酸锂</w:t>
      </w:r>
    </w:p>
    <w:p w14:paraId="21384193">
      <w:pPr>
        <w:ind w:firstLine="480"/>
        <w:rPr>
          <w:rFonts w:hint="eastAsia"/>
        </w:rPr>
      </w:pPr>
      <w:r>
        <w:rPr>
          <w:rFonts w:hint="eastAsia"/>
          <w:lang w:val="en-US" w:eastAsia="zh-CN"/>
        </w:rPr>
        <w:t>锂盐生产</w:t>
      </w:r>
      <w:r>
        <w:rPr>
          <w:rFonts w:hint="eastAsia"/>
        </w:rPr>
        <w:t>装置为连续生产，</w:t>
      </w:r>
      <w:r>
        <w:rPr>
          <w:rFonts w:hint="eastAsia"/>
          <w:lang w:val="en-US" w:eastAsia="zh-CN"/>
        </w:rPr>
        <w:t>复分解生产400吨高氯酸锂时</w:t>
      </w:r>
      <w:r>
        <w:rPr>
          <w:rFonts w:hint="eastAsia"/>
        </w:rPr>
        <w:t>，物料平衡依据化学反应方程式质量守恒来核算。核算过程如下：</w:t>
      </w:r>
    </w:p>
    <w:p w14:paraId="15B26FAB">
      <w:pPr>
        <w:jc w:val="center"/>
        <w:rPr>
          <w:rFonts w:hint="eastAsia"/>
        </w:rPr>
      </w:pPr>
      <w:r>
        <w:rPr>
          <w:rFonts w:hint="eastAsia"/>
          <w:position w:val="-12"/>
        </w:rPr>
        <w:object>
          <v:shape id="_x0000_i1045" o:spt="75" type="#_x0000_t75" style="height:18.85pt;width:212.15pt;" o:ole="t" filled="f" o:preferrelative="t" stroked="f" coordsize="21600,21600">
            <v:path/>
            <v:fill on="f" focussize="0,0"/>
            <v:stroke on="f"/>
            <v:imagedata r:id="rId58" o:title=""/>
            <o:lock v:ext="edit" aspectratio="t"/>
            <w10:wrap type="none"/>
            <w10:anchorlock/>
          </v:shape>
          <o:OLEObject Type="Embed" ProgID="Equation.KSEE3" ShapeID="_x0000_i1045" DrawAspect="Content" ObjectID="_1468075745" r:id="rId57">
            <o:LockedField>false</o:LockedField>
          </o:OLEObject>
        </w:object>
      </w:r>
    </w:p>
    <w:p w14:paraId="021FCE09">
      <w:pPr>
        <w:jc w:val="center"/>
        <w:rPr>
          <w:rFonts w:hint="eastAsia"/>
        </w:rPr>
      </w:pPr>
      <w:r>
        <w:rPr>
          <w:rFonts w:hint="eastAsia"/>
          <w:position w:val="-10"/>
        </w:rPr>
        <w:object>
          <v:shape id="_x0000_i1046" o:spt="75" type="#_x0000_t75" style="height:17.9pt;width:213.25pt;" o:ole="t" filled="f" o:preferrelative="t" stroked="f" coordsize="21600,21600">
            <v:path/>
            <v:fill on="f" focussize="0,0"/>
            <v:stroke on="f"/>
            <v:imagedata r:id="rId60" o:title=""/>
            <o:lock v:ext="edit" aspectratio="t"/>
            <w10:wrap type="none"/>
            <w10:anchorlock/>
          </v:shape>
          <o:OLEObject Type="Embed" ProgID="Equation.KSEE3" ShapeID="_x0000_i1046" DrawAspect="Content" ObjectID="_1468075746" r:id="rId59">
            <o:LockedField>false</o:LockedField>
          </o:OLEObject>
        </w:object>
      </w:r>
    </w:p>
    <w:p w14:paraId="642A0C64">
      <w:pPr>
        <w:jc w:val="center"/>
        <w:rPr>
          <w:rFonts w:hint="eastAsia"/>
        </w:rPr>
      </w:pPr>
      <w:r>
        <w:rPr>
          <w:rFonts w:hint="eastAsia"/>
        </w:rPr>
        <w:object>
          <v:shape id="_x0000_i1047" o:spt="75" type="#_x0000_t75" style="height:18pt;width:186.85pt;" o:ole="t" filled="f" o:preferrelative="t" stroked="f" coordsize="21600,21600">
            <v:path/>
            <v:fill on="f" focussize="0,0"/>
            <v:stroke on="f" joinstyle="miter"/>
            <v:imagedata r:id="rId62" o:title=""/>
            <o:lock v:ext="edit" aspectratio="t"/>
            <w10:wrap type="none"/>
            <w10:anchorlock/>
          </v:shape>
          <o:OLEObject Type="Embed" ProgID="Equation.KSEE3" ShapeID="_x0000_i1047" DrawAspect="Content" ObjectID="_1468075747" r:id="rId61">
            <o:LockedField>false</o:LockedField>
          </o:OLEObject>
        </w:object>
      </w:r>
    </w:p>
    <w:p w14:paraId="4C0BEB9C">
      <w:pPr>
        <w:pStyle w:val="43"/>
        <w:numPr>
          <w:ilvl w:val="5"/>
          <w:numId w:val="1"/>
        </w:numPr>
        <w:rPr>
          <w:rFonts w:hint="eastAsia"/>
          <w:highlight w:val="none"/>
        </w:rPr>
      </w:pPr>
      <w:r>
        <w:rPr>
          <w:rFonts w:hint="eastAsia"/>
          <w:highlight w:val="none"/>
        </w:rPr>
        <w:t>复分解生产高氯酸锂所需物料反应量</w:t>
      </w:r>
    </w:p>
    <w:tbl>
      <w:tblPr>
        <w:tblStyle w:val="3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4"/>
        <w:gridCol w:w="1035"/>
        <w:gridCol w:w="1125"/>
        <w:gridCol w:w="997"/>
        <w:gridCol w:w="1522"/>
        <w:gridCol w:w="1163"/>
        <w:gridCol w:w="1071"/>
      </w:tblGrid>
      <w:tr w14:paraId="1411A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blHeader/>
          <w:jc w:val="center"/>
        </w:trPr>
        <w:tc>
          <w:tcPr>
            <w:tcW w:w="941" w:type="pct"/>
            <w:vAlign w:val="center"/>
          </w:tcPr>
          <w:p w14:paraId="1CCECF4B">
            <w:pPr>
              <w:pStyle w:val="45"/>
              <w:rPr>
                <w:rFonts w:hint="default"/>
                <w:b/>
                <w:bCs/>
                <w:highlight w:val="none"/>
              </w:rPr>
            </w:pPr>
            <w:r>
              <w:rPr>
                <w:b/>
                <w:bCs/>
                <w:highlight w:val="none"/>
              </w:rPr>
              <w:t>化学反应物质</w:t>
            </w:r>
          </w:p>
        </w:tc>
        <w:tc>
          <w:tcPr>
            <w:tcW w:w="607" w:type="pct"/>
            <w:vAlign w:val="center"/>
          </w:tcPr>
          <w:p w14:paraId="68722780">
            <w:pPr>
              <w:pStyle w:val="45"/>
              <w:rPr>
                <w:rFonts w:hint="default" w:eastAsia="宋体"/>
                <w:b/>
                <w:bCs/>
                <w:highlight w:val="none"/>
                <w:lang w:val="en-US" w:eastAsia="zh-CN"/>
              </w:rPr>
            </w:pPr>
            <w:r>
              <w:rPr>
                <w:rFonts w:hint="eastAsia"/>
                <w:b/>
                <w:bCs/>
                <w:highlight w:val="none"/>
                <w:lang w:val="en-US" w:eastAsia="zh-CN"/>
              </w:rPr>
              <w:t>Li</w:t>
            </w:r>
            <w:r>
              <w:rPr>
                <w:rFonts w:hint="eastAsia"/>
                <w:b/>
                <w:bCs/>
                <w:highlight w:val="none"/>
                <w:vertAlign w:val="subscript"/>
                <w:lang w:val="en-US" w:eastAsia="zh-CN"/>
              </w:rPr>
              <w:t>2</w:t>
            </w:r>
            <w:r>
              <w:rPr>
                <w:b/>
                <w:bCs/>
                <w:highlight w:val="none"/>
              </w:rPr>
              <w:t>CO</w:t>
            </w:r>
            <w:r>
              <w:rPr>
                <w:rFonts w:hint="eastAsia"/>
                <w:b/>
                <w:bCs/>
                <w:highlight w:val="none"/>
                <w:vertAlign w:val="subscript"/>
                <w:lang w:val="en-US" w:eastAsia="zh-CN"/>
              </w:rPr>
              <w:t>3</w:t>
            </w:r>
          </w:p>
        </w:tc>
        <w:tc>
          <w:tcPr>
            <w:tcW w:w="660" w:type="pct"/>
            <w:vAlign w:val="center"/>
          </w:tcPr>
          <w:p w14:paraId="161C1781">
            <w:pPr>
              <w:pStyle w:val="45"/>
              <w:rPr>
                <w:rFonts w:hint="default"/>
                <w:b/>
                <w:bCs/>
                <w:highlight w:val="none"/>
              </w:rPr>
            </w:pPr>
            <w:r>
              <w:rPr>
                <w:rFonts w:hint="eastAsia"/>
                <w:b/>
                <w:bCs/>
                <w:highlight w:val="none"/>
                <w:lang w:val="en-US" w:eastAsia="zh-CN"/>
              </w:rPr>
              <w:t>2H</w:t>
            </w:r>
            <w:r>
              <w:rPr>
                <w:b/>
                <w:bCs/>
                <w:highlight w:val="none"/>
              </w:rPr>
              <w:t>Cl</w:t>
            </w:r>
          </w:p>
        </w:tc>
        <w:tc>
          <w:tcPr>
            <w:tcW w:w="585" w:type="pct"/>
            <w:vAlign w:val="center"/>
          </w:tcPr>
          <w:p w14:paraId="3043F94A">
            <w:pPr>
              <w:pStyle w:val="45"/>
              <w:rPr>
                <w:rFonts w:hint="default"/>
                <w:b/>
                <w:bCs/>
                <w:highlight w:val="none"/>
              </w:rPr>
            </w:pPr>
            <w:r>
              <w:rPr>
                <w:rFonts w:hint="eastAsia"/>
                <w:b/>
                <w:bCs/>
                <w:highlight w:val="none"/>
                <w:lang w:val="en-US" w:eastAsia="zh-CN"/>
              </w:rPr>
              <w:t>2Li</w:t>
            </w:r>
            <w:r>
              <w:rPr>
                <w:b/>
                <w:bCs/>
                <w:highlight w:val="none"/>
              </w:rPr>
              <w:t>Cl</w:t>
            </w:r>
          </w:p>
        </w:tc>
        <w:tc>
          <w:tcPr>
            <w:tcW w:w="893" w:type="pct"/>
            <w:vAlign w:val="center"/>
          </w:tcPr>
          <w:p w14:paraId="1A5E6990">
            <w:pPr>
              <w:pStyle w:val="45"/>
              <w:rPr>
                <w:rFonts w:hint="default"/>
                <w:b/>
                <w:bCs/>
                <w:highlight w:val="none"/>
              </w:rPr>
            </w:pPr>
            <w:r>
              <w:rPr>
                <w:b/>
                <w:bCs/>
                <w:highlight w:val="none"/>
              </w:rPr>
              <w:t>H</w:t>
            </w:r>
            <w:r>
              <w:rPr>
                <w:b/>
                <w:bCs/>
                <w:highlight w:val="none"/>
                <w:vertAlign w:val="subscript"/>
              </w:rPr>
              <w:t>2</w:t>
            </w:r>
            <w:r>
              <w:rPr>
                <w:b/>
                <w:bCs/>
                <w:highlight w:val="none"/>
              </w:rPr>
              <w:t>O</w:t>
            </w:r>
          </w:p>
        </w:tc>
        <w:tc>
          <w:tcPr>
            <w:tcW w:w="682" w:type="pct"/>
            <w:vAlign w:val="center"/>
          </w:tcPr>
          <w:p w14:paraId="44950140">
            <w:pPr>
              <w:pStyle w:val="45"/>
              <w:rPr>
                <w:rFonts w:hint="default"/>
                <w:b/>
                <w:bCs/>
                <w:highlight w:val="none"/>
                <w:lang w:val="en-US"/>
              </w:rPr>
            </w:pPr>
            <w:r>
              <w:rPr>
                <w:b/>
                <w:bCs/>
                <w:highlight w:val="none"/>
              </w:rPr>
              <w:t>CO</w:t>
            </w:r>
            <w:r>
              <w:rPr>
                <w:rFonts w:hint="eastAsia"/>
                <w:b/>
                <w:bCs/>
                <w:highlight w:val="none"/>
                <w:vertAlign w:val="subscript"/>
                <w:lang w:val="en-US" w:eastAsia="zh-CN"/>
              </w:rPr>
              <w:t>2</w:t>
            </w:r>
          </w:p>
        </w:tc>
        <w:tc>
          <w:tcPr>
            <w:tcW w:w="628" w:type="pct"/>
            <w:vAlign w:val="center"/>
          </w:tcPr>
          <w:p w14:paraId="1CE9F6F4">
            <w:pPr>
              <w:pStyle w:val="45"/>
              <w:rPr>
                <w:rFonts w:hint="default"/>
                <w:b/>
                <w:bCs/>
                <w:highlight w:val="none"/>
              </w:rPr>
            </w:pPr>
          </w:p>
        </w:tc>
      </w:tr>
      <w:tr w14:paraId="47DA7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941" w:type="pct"/>
            <w:vAlign w:val="center"/>
          </w:tcPr>
          <w:p w14:paraId="7A74E540">
            <w:pPr>
              <w:pStyle w:val="45"/>
              <w:rPr>
                <w:rFonts w:hint="default"/>
                <w:b/>
                <w:bCs/>
                <w:highlight w:val="none"/>
              </w:rPr>
            </w:pPr>
            <w:r>
              <w:rPr>
                <w:b/>
                <w:bCs/>
                <w:highlight w:val="none"/>
              </w:rPr>
              <w:t>分子量</w:t>
            </w:r>
          </w:p>
        </w:tc>
        <w:tc>
          <w:tcPr>
            <w:tcW w:w="607" w:type="pct"/>
            <w:vAlign w:val="center"/>
          </w:tcPr>
          <w:p w14:paraId="1F21EA50">
            <w:pPr>
              <w:pStyle w:val="45"/>
              <w:rPr>
                <w:rFonts w:hint="default" w:eastAsia="宋体"/>
                <w:b/>
                <w:bCs/>
                <w:highlight w:val="none"/>
                <w:lang w:val="en-US" w:eastAsia="zh-CN"/>
              </w:rPr>
            </w:pPr>
            <w:r>
              <w:rPr>
                <w:rFonts w:hint="eastAsia"/>
                <w:b/>
                <w:bCs/>
                <w:highlight w:val="none"/>
                <w:lang w:val="en-US" w:eastAsia="zh-CN"/>
              </w:rPr>
              <w:t>74</w:t>
            </w:r>
          </w:p>
        </w:tc>
        <w:tc>
          <w:tcPr>
            <w:tcW w:w="660" w:type="pct"/>
            <w:vAlign w:val="center"/>
          </w:tcPr>
          <w:p w14:paraId="2D379D4E">
            <w:pPr>
              <w:pStyle w:val="45"/>
              <w:rPr>
                <w:rFonts w:hint="default" w:eastAsia="宋体"/>
                <w:b/>
                <w:bCs/>
                <w:highlight w:val="none"/>
                <w:lang w:val="en-US" w:eastAsia="zh-CN"/>
              </w:rPr>
            </w:pPr>
            <w:r>
              <w:rPr>
                <w:rFonts w:hint="eastAsia"/>
                <w:b/>
                <w:bCs/>
                <w:highlight w:val="none"/>
                <w:lang w:val="en-US" w:eastAsia="zh-CN"/>
              </w:rPr>
              <w:t>73</w:t>
            </w:r>
          </w:p>
        </w:tc>
        <w:tc>
          <w:tcPr>
            <w:tcW w:w="585" w:type="pct"/>
            <w:vAlign w:val="center"/>
          </w:tcPr>
          <w:p w14:paraId="74B1CA69">
            <w:pPr>
              <w:pStyle w:val="45"/>
              <w:rPr>
                <w:rFonts w:hint="default" w:eastAsia="宋体"/>
                <w:b/>
                <w:bCs/>
                <w:highlight w:val="none"/>
                <w:lang w:val="en-US" w:eastAsia="zh-CN"/>
              </w:rPr>
            </w:pPr>
            <w:r>
              <w:rPr>
                <w:rFonts w:hint="eastAsia"/>
                <w:b/>
                <w:bCs/>
                <w:highlight w:val="none"/>
                <w:lang w:val="en-US" w:eastAsia="zh-CN"/>
              </w:rPr>
              <w:t>85</w:t>
            </w:r>
          </w:p>
        </w:tc>
        <w:tc>
          <w:tcPr>
            <w:tcW w:w="893" w:type="pct"/>
            <w:vAlign w:val="center"/>
          </w:tcPr>
          <w:p w14:paraId="40A84D64">
            <w:pPr>
              <w:pStyle w:val="45"/>
              <w:rPr>
                <w:rFonts w:hint="default" w:eastAsia="宋体"/>
                <w:b/>
                <w:bCs/>
                <w:highlight w:val="none"/>
                <w:lang w:val="en-US" w:eastAsia="zh-CN"/>
              </w:rPr>
            </w:pPr>
            <w:r>
              <w:rPr>
                <w:rFonts w:hint="eastAsia"/>
                <w:b/>
                <w:bCs/>
                <w:highlight w:val="none"/>
                <w:lang w:val="en-US" w:eastAsia="zh-CN"/>
              </w:rPr>
              <w:t>18</w:t>
            </w:r>
          </w:p>
        </w:tc>
        <w:tc>
          <w:tcPr>
            <w:tcW w:w="682" w:type="pct"/>
            <w:vAlign w:val="center"/>
          </w:tcPr>
          <w:p w14:paraId="22FA6DBD">
            <w:pPr>
              <w:pStyle w:val="45"/>
              <w:rPr>
                <w:rFonts w:hint="default" w:eastAsia="宋体"/>
                <w:b/>
                <w:bCs/>
                <w:highlight w:val="none"/>
                <w:lang w:val="en-US" w:eastAsia="zh-CN"/>
              </w:rPr>
            </w:pPr>
            <w:r>
              <w:rPr>
                <w:rFonts w:hint="eastAsia"/>
                <w:b/>
                <w:bCs/>
                <w:highlight w:val="none"/>
                <w:lang w:val="en-US" w:eastAsia="zh-CN"/>
              </w:rPr>
              <w:t>44</w:t>
            </w:r>
          </w:p>
        </w:tc>
        <w:tc>
          <w:tcPr>
            <w:tcW w:w="628" w:type="pct"/>
            <w:vAlign w:val="center"/>
          </w:tcPr>
          <w:p w14:paraId="6ABE4CF7">
            <w:pPr>
              <w:pStyle w:val="45"/>
              <w:rPr>
                <w:rFonts w:hint="default"/>
                <w:highlight w:val="none"/>
              </w:rPr>
            </w:pPr>
          </w:p>
        </w:tc>
      </w:tr>
      <w:tr w14:paraId="4EDD9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941" w:type="pct"/>
            <w:vAlign w:val="center"/>
          </w:tcPr>
          <w:p w14:paraId="20F80AEC">
            <w:pPr>
              <w:pStyle w:val="45"/>
              <w:rPr>
                <w:rFonts w:hint="default"/>
                <w:b/>
                <w:bCs/>
                <w:highlight w:val="none"/>
              </w:rPr>
            </w:pPr>
            <w:r>
              <w:rPr>
                <w:b/>
                <w:bCs/>
                <w:highlight w:val="none"/>
              </w:rPr>
              <w:t>折纯量（t/a）</w:t>
            </w:r>
          </w:p>
        </w:tc>
        <w:tc>
          <w:tcPr>
            <w:tcW w:w="1035" w:type="dxa"/>
            <w:vAlign w:val="center"/>
          </w:tcPr>
          <w:p w14:paraId="3556EC78">
            <w:pPr>
              <w:pStyle w:val="45"/>
              <w:bidi w:val="0"/>
              <w:rPr>
                <w:rFonts w:hint="default"/>
                <w:highlight w:val="none"/>
                <w:lang w:val="en-US" w:eastAsia="zh-CN"/>
              </w:rPr>
            </w:pPr>
            <w:r>
              <w:rPr>
                <w:rFonts w:hint="default"/>
                <w:highlight w:val="none"/>
                <w:lang w:val="en-US" w:eastAsia="zh-CN"/>
              </w:rPr>
              <w:t xml:space="preserve">138.97 </w:t>
            </w:r>
          </w:p>
        </w:tc>
        <w:tc>
          <w:tcPr>
            <w:tcW w:w="1125" w:type="dxa"/>
            <w:vAlign w:val="center"/>
          </w:tcPr>
          <w:p w14:paraId="328EFF72">
            <w:pPr>
              <w:pStyle w:val="45"/>
              <w:bidi w:val="0"/>
              <w:rPr>
                <w:rFonts w:hint="default"/>
                <w:highlight w:val="none"/>
                <w:lang w:val="en-US" w:eastAsia="zh-CN"/>
              </w:rPr>
            </w:pPr>
            <w:r>
              <w:rPr>
                <w:rFonts w:hint="default"/>
                <w:highlight w:val="none"/>
                <w:lang w:val="en-US" w:eastAsia="zh-CN"/>
              </w:rPr>
              <w:t xml:space="preserve">137.09 </w:t>
            </w:r>
          </w:p>
        </w:tc>
        <w:tc>
          <w:tcPr>
            <w:tcW w:w="997" w:type="dxa"/>
            <w:vAlign w:val="center"/>
          </w:tcPr>
          <w:p w14:paraId="2D2A417C">
            <w:pPr>
              <w:pStyle w:val="45"/>
              <w:bidi w:val="0"/>
              <w:rPr>
                <w:rFonts w:hint="default"/>
                <w:highlight w:val="none"/>
                <w:lang w:val="en-US" w:eastAsia="zh-CN"/>
              </w:rPr>
            </w:pPr>
            <w:r>
              <w:rPr>
                <w:rFonts w:hint="default"/>
                <w:highlight w:val="none"/>
                <w:lang w:val="en-US" w:eastAsia="zh-CN"/>
              </w:rPr>
              <w:t xml:space="preserve">159.62 </w:t>
            </w:r>
          </w:p>
        </w:tc>
        <w:tc>
          <w:tcPr>
            <w:tcW w:w="1522" w:type="dxa"/>
            <w:vAlign w:val="center"/>
          </w:tcPr>
          <w:p w14:paraId="0F292281">
            <w:pPr>
              <w:pStyle w:val="45"/>
              <w:bidi w:val="0"/>
              <w:rPr>
                <w:rFonts w:hint="default"/>
                <w:highlight w:val="none"/>
                <w:lang w:val="en-US" w:eastAsia="zh-CN"/>
              </w:rPr>
            </w:pPr>
            <w:r>
              <w:rPr>
                <w:rFonts w:hint="default"/>
                <w:highlight w:val="none"/>
                <w:lang w:val="en-US" w:eastAsia="zh-CN"/>
              </w:rPr>
              <w:t>33.8</w:t>
            </w:r>
            <w:r>
              <w:rPr>
                <w:rFonts w:hint="eastAsia"/>
                <w:highlight w:val="none"/>
                <w:lang w:val="en-US" w:eastAsia="zh-CN"/>
              </w:rPr>
              <w:t>1</w:t>
            </w:r>
          </w:p>
        </w:tc>
        <w:tc>
          <w:tcPr>
            <w:tcW w:w="1163" w:type="dxa"/>
            <w:vAlign w:val="center"/>
          </w:tcPr>
          <w:p w14:paraId="063837AE">
            <w:pPr>
              <w:pStyle w:val="45"/>
              <w:bidi w:val="0"/>
              <w:rPr>
                <w:rFonts w:hint="default"/>
                <w:highlight w:val="none"/>
                <w:lang w:val="en-US" w:eastAsia="zh-CN"/>
              </w:rPr>
            </w:pPr>
            <w:r>
              <w:rPr>
                <w:rFonts w:hint="default"/>
                <w:highlight w:val="none"/>
                <w:lang w:val="en-US" w:eastAsia="zh-CN"/>
              </w:rPr>
              <w:t xml:space="preserve">82.63 </w:t>
            </w:r>
          </w:p>
        </w:tc>
        <w:tc>
          <w:tcPr>
            <w:tcW w:w="628" w:type="pct"/>
            <w:vAlign w:val="center"/>
          </w:tcPr>
          <w:p w14:paraId="5414426B">
            <w:pPr>
              <w:pStyle w:val="45"/>
              <w:rPr>
                <w:rFonts w:hint="default"/>
                <w:highlight w:val="none"/>
              </w:rPr>
            </w:pPr>
          </w:p>
        </w:tc>
      </w:tr>
      <w:tr w14:paraId="4740E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941" w:type="pct"/>
            <w:vAlign w:val="center"/>
          </w:tcPr>
          <w:p w14:paraId="7D59EF73">
            <w:pPr>
              <w:pStyle w:val="45"/>
              <w:ind w:firstLine="0" w:firstLineChars="0"/>
              <w:rPr>
                <w:b/>
                <w:bCs/>
                <w:highlight w:val="none"/>
              </w:rPr>
            </w:pPr>
            <w:r>
              <w:rPr>
                <w:b/>
                <w:bCs/>
                <w:highlight w:val="none"/>
              </w:rPr>
              <w:t>化学反应物质</w:t>
            </w:r>
          </w:p>
        </w:tc>
        <w:tc>
          <w:tcPr>
            <w:tcW w:w="607" w:type="pct"/>
            <w:vAlign w:val="center"/>
          </w:tcPr>
          <w:p w14:paraId="7FB1F707">
            <w:pPr>
              <w:pStyle w:val="45"/>
              <w:ind w:firstLine="0" w:firstLineChars="0"/>
              <w:rPr>
                <w:rFonts w:hint="default"/>
                <w:highlight w:val="none"/>
              </w:rPr>
            </w:pPr>
            <w:r>
              <w:rPr>
                <w:b/>
                <w:bCs/>
                <w:highlight w:val="none"/>
              </w:rPr>
              <w:t>NaClO</w:t>
            </w:r>
            <w:r>
              <w:rPr>
                <w:rFonts w:hint="eastAsia"/>
                <w:b/>
                <w:bCs/>
                <w:highlight w:val="none"/>
                <w:vertAlign w:val="subscript"/>
                <w:lang w:val="en-US" w:eastAsia="zh-CN"/>
              </w:rPr>
              <w:t>4</w:t>
            </w:r>
          </w:p>
        </w:tc>
        <w:tc>
          <w:tcPr>
            <w:tcW w:w="660" w:type="pct"/>
            <w:vAlign w:val="center"/>
          </w:tcPr>
          <w:p w14:paraId="70EFB818">
            <w:pPr>
              <w:pStyle w:val="45"/>
              <w:ind w:firstLine="0" w:firstLineChars="0"/>
              <w:rPr>
                <w:rFonts w:hint="default"/>
                <w:highlight w:val="none"/>
              </w:rPr>
            </w:pPr>
            <w:r>
              <w:rPr>
                <w:rFonts w:hint="eastAsia"/>
                <w:b/>
                <w:bCs/>
                <w:highlight w:val="none"/>
                <w:lang w:val="en-US" w:eastAsia="zh-CN"/>
              </w:rPr>
              <w:t>Li</w:t>
            </w:r>
            <w:r>
              <w:rPr>
                <w:b/>
                <w:bCs/>
                <w:highlight w:val="none"/>
              </w:rPr>
              <w:t>Cl</w:t>
            </w:r>
          </w:p>
        </w:tc>
        <w:tc>
          <w:tcPr>
            <w:tcW w:w="585" w:type="pct"/>
            <w:vAlign w:val="center"/>
          </w:tcPr>
          <w:p w14:paraId="30D9D58C">
            <w:pPr>
              <w:pStyle w:val="45"/>
              <w:ind w:firstLine="0" w:firstLineChars="0"/>
              <w:rPr>
                <w:rFonts w:hint="default"/>
                <w:highlight w:val="none"/>
              </w:rPr>
            </w:pPr>
            <w:r>
              <w:rPr>
                <w:rFonts w:hint="eastAsia"/>
                <w:b/>
                <w:bCs/>
                <w:highlight w:val="none"/>
                <w:lang w:val="en-US" w:eastAsia="zh-CN"/>
              </w:rPr>
              <w:t>3</w:t>
            </w:r>
            <w:r>
              <w:rPr>
                <w:b/>
                <w:bCs/>
                <w:highlight w:val="none"/>
              </w:rPr>
              <w:t>H</w:t>
            </w:r>
            <w:r>
              <w:rPr>
                <w:b/>
                <w:bCs/>
                <w:highlight w:val="none"/>
                <w:vertAlign w:val="subscript"/>
              </w:rPr>
              <w:t>2</w:t>
            </w:r>
            <w:r>
              <w:rPr>
                <w:b/>
                <w:bCs/>
                <w:highlight w:val="none"/>
              </w:rPr>
              <w:t>O</w:t>
            </w:r>
          </w:p>
        </w:tc>
        <w:tc>
          <w:tcPr>
            <w:tcW w:w="893" w:type="pct"/>
            <w:vAlign w:val="center"/>
          </w:tcPr>
          <w:p w14:paraId="32973795">
            <w:pPr>
              <w:pStyle w:val="45"/>
              <w:ind w:firstLine="0" w:firstLineChars="0"/>
              <w:rPr>
                <w:rFonts w:hint="default"/>
                <w:highlight w:val="none"/>
              </w:rPr>
            </w:pPr>
            <w:r>
              <w:rPr>
                <w:rFonts w:hint="eastAsia"/>
                <w:b/>
                <w:bCs/>
                <w:highlight w:val="none"/>
                <w:lang w:val="en-US" w:eastAsia="zh-CN"/>
              </w:rPr>
              <w:t>Li</w:t>
            </w:r>
            <w:r>
              <w:rPr>
                <w:b/>
                <w:bCs/>
                <w:highlight w:val="none"/>
              </w:rPr>
              <w:t>ClO</w:t>
            </w:r>
            <w:r>
              <w:rPr>
                <w:rFonts w:hint="eastAsia"/>
                <w:b/>
                <w:bCs/>
                <w:highlight w:val="none"/>
                <w:vertAlign w:val="subscript"/>
                <w:lang w:val="en-US" w:eastAsia="zh-CN"/>
              </w:rPr>
              <w:t>4</w:t>
            </w:r>
            <w:r>
              <w:rPr>
                <w:rFonts w:hint="eastAsia" w:ascii="微软雅黑" w:hAnsi="微软雅黑" w:eastAsia="微软雅黑" w:cs="微软雅黑"/>
                <w:b/>
                <w:bCs/>
                <w:highlight w:val="none"/>
                <w:vertAlign w:val="baseline"/>
                <w:lang w:val="en-US" w:eastAsia="zh-CN"/>
              </w:rPr>
              <w:t>•</w:t>
            </w:r>
            <w:r>
              <w:rPr>
                <w:rFonts w:hint="eastAsia"/>
                <w:b/>
                <w:bCs/>
                <w:highlight w:val="none"/>
                <w:lang w:val="en-US" w:eastAsia="zh-CN"/>
              </w:rPr>
              <w:t>3</w:t>
            </w:r>
            <w:r>
              <w:rPr>
                <w:b/>
                <w:bCs/>
                <w:highlight w:val="none"/>
              </w:rPr>
              <w:t>H</w:t>
            </w:r>
            <w:r>
              <w:rPr>
                <w:b/>
                <w:bCs/>
                <w:highlight w:val="none"/>
                <w:vertAlign w:val="subscript"/>
              </w:rPr>
              <w:t>2</w:t>
            </w:r>
            <w:r>
              <w:rPr>
                <w:b/>
                <w:bCs/>
                <w:highlight w:val="none"/>
              </w:rPr>
              <w:t>O</w:t>
            </w:r>
          </w:p>
        </w:tc>
        <w:tc>
          <w:tcPr>
            <w:tcW w:w="682" w:type="pct"/>
            <w:vAlign w:val="center"/>
          </w:tcPr>
          <w:p w14:paraId="5D7A6875">
            <w:pPr>
              <w:pStyle w:val="45"/>
              <w:ind w:firstLine="0" w:firstLineChars="0"/>
              <w:rPr>
                <w:highlight w:val="none"/>
              </w:rPr>
            </w:pPr>
            <w:r>
              <w:rPr>
                <w:b/>
                <w:bCs/>
                <w:highlight w:val="none"/>
              </w:rPr>
              <w:t>NaCl</w:t>
            </w:r>
          </w:p>
        </w:tc>
        <w:tc>
          <w:tcPr>
            <w:tcW w:w="628" w:type="pct"/>
            <w:vAlign w:val="center"/>
          </w:tcPr>
          <w:p w14:paraId="59DEAFA5">
            <w:pPr>
              <w:pStyle w:val="45"/>
              <w:ind w:firstLine="0" w:firstLineChars="0"/>
              <w:rPr>
                <w:highlight w:val="none"/>
              </w:rPr>
            </w:pPr>
            <w:r>
              <w:rPr>
                <w:rFonts w:hint="eastAsia"/>
                <w:b/>
                <w:bCs/>
                <w:highlight w:val="none"/>
                <w:lang w:val="en-US" w:eastAsia="zh-CN"/>
              </w:rPr>
              <w:t>Li</w:t>
            </w:r>
            <w:r>
              <w:rPr>
                <w:b/>
                <w:bCs/>
                <w:highlight w:val="none"/>
              </w:rPr>
              <w:t>ClO</w:t>
            </w:r>
            <w:r>
              <w:rPr>
                <w:rFonts w:hint="eastAsia"/>
                <w:b/>
                <w:bCs/>
                <w:highlight w:val="none"/>
                <w:vertAlign w:val="subscript"/>
                <w:lang w:val="en-US" w:eastAsia="zh-CN"/>
              </w:rPr>
              <w:t>4</w:t>
            </w:r>
          </w:p>
        </w:tc>
      </w:tr>
      <w:tr w14:paraId="47A10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941" w:type="pct"/>
            <w:vAlign w:val="center"/>
          </w:tcPr>
          <w:p w14:paraId="082F6366">
            <w:pPr>
              <w:pStyle w:val="45"/>
              <w:ind w:firstLine="0" w:firstLineChars="0"/>
              <w:rPr>
                <w:b/>
                <w:bCs/>
                <w:highlight w:val="none"/>
              </w:rPr>
            </w:pPr>
            <w:r>
              <w:rPr>
                <w:b/>
                <w:bCs/>
                <w:highlight w:val="none"/>
              </w:rPr>
              <w:t>分子量</w:t>
            </w:r>
          </w:p>
        </w:tc>
        <w:tc>
          <w:tcPr>
            <w:tcW w:w="607" w:type="pct"/>
            <w:vAlign w:val="center"/>
          </w:tcPr>
          <w:p w14:paraId="08BEE7FB">
            <w:pPr>
              <w:pStyle w:val="45"/>
              <w:ind w:firstLine="0" w:firstLineChars="0"/>
              <w:rPr>
                <w:rFonts w:hint="default"/>
                <w:b/>
                <w:bCs/>
                <w:highlight w:val="none"/>
              </w:rPr>
            </w:pPr>
            <w:r>
              <w:rPr>
                <w:rFonts w:hint="eastAsia"/>
                <w:b/>
                <w:bCs/>
                <w:highlight w:val="none"/>
                <w:lang w:val="en-US" w:eastAsia="zh-CN"/>
              </w:rPr>
              <w:t>122.5</w:t>
            </w:r>
          </w:p>
        </w:tc>
        <w:tc>
          <w:tcPr>
            <w:tcW w:w="660" w:type="pct"/>
            <w:vAlign w:val="center"/>
          </w:tcPr>
          <w:p w14:paraId="41F805A3">
            <w:pPr>
              <w:pStyle w:val="45"/>
              <w:ind w:firstLine="0" w:firstLineChars="0"/>
              <w:rPr>
                <w:rFonts w:hint="default"/>
                <w:b/>
                <w:bCs/>
                <w:highlight w:val="none"/>
              </w:rPr>
            </w:pPr>
            <w:r>
              <w:rPr>
                <w:rFonts w:hint="eastAsia"/>
                <w:b/>
                <w:bCs/>
                <w:highlight w:val="none"/>
                <w:lang w:val="en-US" w:eastAsia="zh-CN"/>
              </w:rPr>
              <w:t>42.5</w:t>
            </w:r>
          </w:p>
        </w:tc>
        <w:tc>
          <w:tcPr>
            <w:tcW w:w="585" w:type="pct"/>
            <w:vAlign w:val="center"/>
          </w:tcPr>
          <w:p w14:paraId="417582C0">
            <w:pPr>
              <w:pStyle w:val="45"/>
              <w:ind w:firstLine="0" w:firstLineChars="0"/>
              <w:rPr>
                <w:rFonts w:hint="default"/>
                <w:b/>
                <w:bCs/>
                <w:highlight w:val="none"/>
              </w:rPr>
            </w:pPr>
            <w:r>
              <w:rPr>
                <w:rFonts w:hint="eastAsia"/>
                <w:b/>
                <w:bCs/>
                <w:highlight w:val="none"/>
                <w:lang w:val="en-US" w:eastAsia="zh-CN"/>
              </w:rPr>
              <w:t>54</w:t>
            </w:r>
          </w:p>
        </w:tc>
        <w:tc>
          <w:tcPr>
            <w:tcW w:w="893" w:type="pct"/>
            <w:vAlign w:val="center"/>
          </w:tcPr>
          <w:p w14:paraId="0E2A7A26">
            <w:pPr>
              <w:pStyle w:val="45"/>
              <w:ind w:firstLine="0" w:firstLineChars="0"/>
              <w:rPr>
                <w:rFonts w:hint="default"/>
                <w:b/>
                <w:bCs/>
                <w:highlight w:val="none"/>
              </w:rPr>
            </w:pPr>
            <w:r>
              <w:rPr>
                <w:rFonts w:hint="eastAsia"/>
                <w:b/>
                <w:bCs/>
                <w:highlight w:val="none"/>
                <w:lang w:val="en-US" w:eastAsia="zh-CN"/>
              </w:rPr>
              <w:t>160.5</w:t>
            </w:r>
          </w:p>
        </w:tc>
        <w:tc>
          <w:tcPr>
            <w:tcW w:w="682" w:type="pct"/>
            <w:vAlign w:val="center"/>
          </w:tcPr>
          <w:p w14:paraId="100612B3">
            <w:pPr>
              <w:pStyle w:val="45"/>
              <w:ind w:firstLine="0" w:firstLineChars="0"/>
              <w:rPr>
                <w:b/>
                <w:bCs/>
                <w:highlight w:val="none"/>
              </w:rPr>
            </w:pPr>
            <w:r>
              <w:rPr>
                <w:rFonts w:hint="eastAsia"/>
                <w:b/>
                <w:bCs/>
                <w:highlight w:val="none"/>
                <w:lang w:val="en-US" w:eastAsia="zh-CN"/>
              </w:rPr>
              <w:t>58.5</w:t>
            </w:r>
          </w:p>
        </w:tc>
        <w:tc>
          <w:tcPr>
            <w:tcW w:w="628" w:type="pct"/>
            <w:vAlign w:val="center"/>
          </w:tcPr>
          <w:p w14:paraId="279608B6">
            <w:pPr>
              <w:pStyle w:val="45"/>
              <w:ind w:firstLine="0" w:firstLineChars="0"/>
              <w:rPr>
                <w:b/>
                <w:bCs/>
                <w:highlight w:val="none"/>
              </w:rPr>
            </w:pPr>
            <w:r>
              <w:rPr>
                <w:rFonts w:hint="eastAsia"/>
                <w:b/>
                <w:bCs/>
                <w:highlight w:val="none"/>
                <w:lang w:val="en-US" w:eastAsia="zh-CN"/>
              </w:rPr>
              <w:t>106.5</w:t>
            </w:r>
          </w:p>
        </w:tc>
      </w:tr>
      <w:tr w14:paraId="64F91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941" w:type="pct"/>
            <w:vAlign w:val="center"/>
          </w:tcPr>
          <w:p w14:paraId="6031A032">
            <w:pPr>
              <w:pStyle w:val="45"/>
              <w:ind w:firstLine="0" w:firstLineChars="0"/>
              <w:rPr>
                <w:b/>
                <w:bCs/>
                <w:highlight w:val="none"/>
              </w:rPr>
            </w:pPr>
            <w:r>
              <w:rPr>
                <w:b/>
                <w:bCs/>
                <w:highlight w:val="none"/>
              </w:rPr>
              <w:t>折纯量（t/a）</w:t>
            </w:r>
          </w:p>
        </w:tc>
        <w:tc>
          <w:tcPr>
            <w:tcW w:w="1035" w:type="dxa"/>
            <w:vAlign w:val="center"/>
          </w:tcPr>
          <w:p w14:paraId="245FDD80">
            <w:pPr>
              <w:pStyle w:val="45"/>
              <w:bidi w:val="0"/>
              <w:rPr>
                <w:rFonts w:hint="default"/>
                <w:highlight w:val="none"/>
                <w:lang w:val="en-US" w:eastAsia="zh-CN"/>
              </w:rPr>
            </w:pPr>
            <w:r>
              <w:rPr>
                <w:rFonts w:hint="default"/>
                <w:highlight w:val="none"/>
                <w:lang w:val="en-US" w:eastAsia="zh-CN"/>
              </w:rPr>
              <w:t xml:space="preserve">460.09 </w:t>
            </w:r>
          </w:p>
        </w:tc>
        <w:tc>
          <w:tcPr>
            <w:tcW w:w="1125" w:type="dxa"/>
            <w:vAlign w:val="center"/>
          </w:tcPr>
          <w:p w14:paraId="5EAAF551">
            <w:pPr>
              <w:pStyle w:val="45"/>
              <w:bidi w:val="0"/>
              <w:rPr>
                <w:rFonts w:hint="default"/>
                <w:highlight w:val="none"/>
                <w:lang w:val="en-US" w:eastAsia="zh-CN"/>
              </w:rPr>
            </w:pPr>
            <w:r>
              <w:rPr>
                <w:rFonts w:hint="default"/>
                <w:highlight w:val="none"/>
                <w:lang w:val="en-US" w:eastAsia="zh-CN"/>
              </w:rPr>
              <w:t xml:space="preserve">159.62 </w:t>
            </w:r>
          </w:p>
        </w:tc>
        <w:tc>
          <w:tcPr>
            <w:tcW w:w="997" w:type="dxa"/>
            <w:vAlign w:val="center"/>
          </w:tcPr>
          <w:p w14:paraId="053ECC0F">
            <w:pPr>
              <w:pStyle w:val="45"/>
              <w:bidi w:val="0"/>
              <w:rPr>
                <w:rFonts w:hint="default"/>
                <w:highlight w:val="none"/>
                <w:lang w:val="en-US" w:eastAsia="zh-CN"/>
              </w:rPr>
            </w:pPr>
            <w:r>
              <w:rPr>
                <w:rFonts w:hint="default"/>
                <w:highlight w:val="none"/>
                <w:lang w:val="en-US" w:eastAsia="zh-CN"/>
              </w:rPr>
              <w:t>202.8</w:t>
            </w:r>
            <w:r>
              <w:rPr>
                <w:rFonts w:hint="eastAsia"/>
                <w:highlight w:val="none"/>
                <w:lang w:val="en-US" w:eastAsia="zh-CN"/>
              </w:rPr>
              <w:t>3</w:t>
            </w:r>
            <w:r>
              <w:rPr>
                <w:rFonts w:hint="default"/>
                <w:highlight w:val="none"/>
                <w:lang w:val="en-US" w:eastAsia="zh-CN"/>
              </w:rPr>
              <w:t xml:space="preserve"> </w:t>
            </w:r>
          </w:p>
        </w:tc>
        <w:tc>
          <w:tcPr>
            <w:tcW w:w="1522" w:type="dxa"/>
            <w:vAlign w:val="center"/>
          </w:tcPr>
          <w:p w14:paraId="494B66C2">
            <w:pPr>
              <w:pStyle w:val="45"/>
              <w:bidi w:val="0"/>
              <w:rPr>
                <w:rFonts w:hint="default"/>
                <w:highlight w:val="none"/>
                <w:lang w:val="en-US" w:eastAsia="zh-CN"/>
              </w:rPr>
            </w:pPr>
            <w:r>
              <w:rPr>
                <w:rFonts w:hint="default"/>
                <w:highlight w:val="none"/>
                <w:lang w:val="en-US" w:eastAsia="zh-CN"/>
              </w:rPr>
              <w:t xml:space="preserve">602.82 </w:t>
            </w:r>
          </w:p>
        </w:tc>
        <w:tc>
          <w:tcPr>
            <w:tcW w:w="1163" w:type="dxa"/>
            <w:vAlign w:val="center"/>
          </w:tcPr>
          <w:p w14:paraId="69DE0F03">
            <w:pPr>
              <w:pStyle w:val="45"/>
              <w:bidi w:val="0"/>
              <w:rPr>
                <w:rFonts w:hint="default"/>
                <w:highlight w:val="none"/>
                <w:lang w:val="en-US" w:eastAsia="zh-CN"/>
              </w:rPr>
            </w:pPr>
            <w:r>
              <w:rPr>
                <w:rFonts w:hint="default"/>
                <w:highlight w:val="none"/>
                <w:lang w:val="en-US" w:eastAsia="zh-CN"/>
              </w:rPr>
              <w:t xml:space="preserve">219.72 </w:t>
            </w:r>
          </w:p>
        </w:tc>
        <w:tc>
          <w:tcPr>
            <w:tcW w:w="1071" w:type="dxa"/>
            <w:vAlign w:val="center"/>
          </w:tcPr>
          <w:p w14:paraId="67787877">
            <w:pPr>
              <w:pStyle w:val="45"/>
              <w:bidi w:val="0"/>
              <w:rPr>
                <w:rFonts w:hint="default"/>
                <w:highlight w:val="none"/>
                <w:lang w:val="en-US" w:eastAsia="zh-CN"/>
              </w:rPr>
            </w:pPr>
            <w:r>
              <w:rPr>
                <w:rFonts w:hint="default"/>
                <w:highlight w:val="none"/>
                <w:lang w:val="en-US" w:eastAsia="zh-CN"/>
              </w:rPr>
              <w:t>400</w:t>
            </w:r>
          </w:p>
        </w:tc>
      </w:tr>
    </w:tbl>
    <w:p w14:paraId="7D80FF49">
      <w:pPr>
        <w:jc w:val="center"/>
        <w:rPr>
          <w:rFonts w:hint="eastAsia"/>
        </w:rPr>
      </w:pPr>
    </w:p>
    <w:p w14:paraId="617728CB">
      <w:pPr>
        <w:jc w:val="both"/>
        <w:rPr>
          <w:rFonts w:hint="eastAsia"/>
          <w:highlight w:val="none"/>
          <w:lang w:eastAsia="zh-CN"/>
        </w:rPr>
      </w:pPr>
      <w:r>
        <w:rPr>
          <w:rFonts w:hint="eastAsia"/>
          <w:highlight w:val="none"/>
        </w:rPr>
        <w:t>结合工程分析，复分解生产高氯酸锂</w:t>
      </w:r>
      <w:r>
        <w:rPr>
          <w:rFonts w:hint="eastAsia"/>
          <w:highlight w:val="none"/>
          <w:lang w:val="en-US" w:eastAsia="zh-CN"/>
        </w:rPr>
        <w:t>时，碳酸锂转化率为100%，氯化锂收率为96.9%；高氯酸钠</w:t>
      </w:r>
      <w:r>
        <w:rPr>
          <w:rFonts w:hint="eastAsia"/>
          <w:highlight w:val="none"/>
        </w:rPr>
        <w:t>转化率约为</w:t>
      </w:r>
      <w:r>
        <w:rPr>
          <w:rFonts w:hint="eastAsia"/>
          <w:highlight w:val="none"/>
          <w:lang w:val="en-US" w:eastAsia="zh-CN"/>
        </w:rPr>
        <w:t>93.2</w:t>
      </w:r>
      <w:r>
        <w:rPr>
          <w:rFonts w:hint="eastAsia"/>
          <w:highlight w:val="none"/>
        </w:rPr>
        <w:t>%，高氯酸</w:t>
      </w:r>
      <w:r>
        <w:rPr>
          <w:rFonts w:hint="eastAsia"/>
          <w:highlight w:val="none"/>
          <w:lang w:val="en-US" w:eastAsia="zh-CN"/>
        </w:rPr>
        <w:t>锂</w:t>
      </w:r>
      <w:r>
        <w:rPr>
          <w:rFonts w:hint="eastAsia"/>
          <w:highlight w:val="none"/>
        </w:rPr>
        <w:t>收率约为</w:t>
      </w:r>
      <w:r>
        <w:rPr>
          <w:rFonts w:hint="eastAsia"/>
          <w:highlight w:val="none"/>
          <w:lang w:val="en-US" w:eastAsia="zh-CN"/>
        </w:rPr>
        <w:t>83.3</w:t>
      </w:r>
      <w:r>
        <w:rPr>
          <w:rFonts w:hint="eastAsia"/>
          <w:highlight w:val="none"/>
        </w:rPr>
        <w:t>%</w:t>
      </w:r>
      <w:r>
        <w:rPr>
          <w:rFonts w:hint="eastAsia"/>
          <w:highlight w:val="none"/>
          <w:lang w:eastAsia="zh-CN"/>
        </w:rPr>
        <w:t>。</w:t>
      </w:r>
    </w:p>
    <w:p w14:paraId="57ADB094">
      <w:pPr>
        <w:numPr>
          <w:ilvl w:val="0"/>
          <w:numId w:val="9"/>
        </w:numPr>
        <w:ind w:left="480" w:leftChars="200" w:firstLine="0" w:firstLineChars="0"/>
        <w:outlineLvl w:val="5"/>
        <w:rPr>
          <w:rFonts w:hint="eastAsia"/>
          <w:b/>
          <w:bCs/>
          <w:lang w:val="en-US" w:eastAsia="zh-CN"/>
        </w:rPr>
      </w:pPr>
      <w:r>
        <w:rPr>
          <w:rFonts w:hint="eastAsia"/>
          <w:b/>
          <w:bCs/>
          <w:lang w:val="en-US" w:eastAsia="zh-CN"/>
        </w:rPr>
        <w:t>复分解生产高氯酸锂物料平衡</w:t>
      </w:r>
    </w:p>
    <w:p w14:paraId="0ABBCD92">
      <w:pPr>
        <w:pStyle w:val="43"/>
        <w:numPr>
          <w:ilvl w:val="5"/>
          <w:numId w:val="1"/>
        </w:numPr>
        <w:rPr>
          <w:rFonts w:hint="eastAsia"/>
          <w:highlight w:val="none"/>
        </w:rPr>
      </w:pPr>
      <w:r>
        <w:rPr>
          <w:rFonts w:hint="eastAsia"/>
          <w:highlight w:val="none"/>
          <w:lang w:val="en-US" w:eastAsia="zh-CN"/>
        </w:rPr>
        <w:t>氯化锂</w:t>
      </w:r>
      <w:r>
        <w:rPr>
          <w:rFonts w:hint="eastAsia"/>
          <w:highlight w:val="none"/>
        </w:rPr>
        <w:t>生产</w:t>
      </w:r>
      <w:r>
        <w:rPr>
          <w:rFonts w:hint="eastAsia"/>
          <w:highlight w:val="none"/>
          <w:lang w:val="en-US" w:eastAsia="zh-CN"/>
        </w:rPr>
        <w:t>物料平衡一览表</w:t>
      </w:r>
    </w:p>
    <w:tbl>
      <w:tblPr>
        <w:tblStyle w:val="32"/>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722"/>
        <w:gridCol w:w="882"/>
        <w:gridCol w:w="1131"/>
        <w:gridCol w:w="1279"/>
        <w:gridCol w:w="1280"/>
        <w:gridCol w:w="958"/>
        <w:gridCol w:w="1267"/>
      </w:tblGrid>
      <w:tr w14:paraId="3DB5BD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6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D87239">
            <w:pPr>
              <w:pStyle w:val="45"/>
              <w:bidi w:val="0"/>
              <w:rPr>
                <w:rFonts w:hint="eastAsia"/>
                <w:b/>
                <w:bCs/>
              </w:rPr>
            </w:pPr>
            <w:r>
              <w:rPr>
                <w:rFonts w:hint="eastAsia"/>
                <w:b/>
                <w:bCs/>
                <w:lang w:val="en-US" w:eastAsia="zh-CN"/>
              </w:rPr>
              <w:t>投入（</w:t>
            </w:r>
            <w:r>
              <w:rPr>
                <w:rFonts w:hint="default"/>
                <w:b/>
                <w:bCs/>
                <w:lang w:val="en-US" w:eastAsia="zh-CN"/>
              </w:rPr>
              <w:t>t</w:t>
            </w:r>
            <w:r>
              <w:rPr>
                <w:rFonts w:hint="eastAsia"/>
                <w:b/>
                <w:bCs/>
                <w:lang w:val="en-US" w:eastAsia="zh-CN"/>
              </w:rPr>
              <w:t>）</w:t>
            </w:r>
          </w:p>
        </w:tc>
        <w:tc>
          <w:tcPr>
            <w:tcW w:w="6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700A88">
            <w:pPr>
              <w:pStyle w:val="45"/>
              <w:bidi w:val="0"/>
              <w:rPr>
                <w:rFonts w:hint="eastAsia"/>
                <w:b/>
                <w:bCs/>
              </w:rPr>
            </w:pPr>
            <w:r>
              <w:rPr>
                <w:rFonts w:hint="eastAsia"/>
                <w:b/>
                <w:bCs/>
                <w:lang w:val="en-US" w:eastAsia="zh-CN"/>
              </w:rPr>
              <w:t>备注</w:t>
            </w:r>
          </w:p>
        </w:tc>
        <w:tc>
          <w:tcPr>
            <w:tcW w:w="2112"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83B03B">
            <w:pPr>
              <w:pStyle w:val="45"/>
              <w:bidi w:val="0"/>
              <w:rPr>
                <w:rFonts w:hint="eastAsia"/>
                <w:b/>
                <w:bCs/>
              </w:rPr>
            </w:pPr>
            <w:r>
              <w:rPr>
                <w:rFonts w:hint="eastAsia"/>
                <w:b/>
                <w:bCs/>
                <w:lang w:val="en-US" w:eastAsia="zh-CN"/>
              </w:rPr>
              <w:t>产出（</w:t>
            </w:r>
            <w:r>
              <w:rPr>
                <w:rFonts w:hint="default"/>
                <w:b/>
                <w:bCs/>
                <w:lang w:val="en-US" w:eastAsia="zh-CN"/>
              </w:rPr>
              <w:t>t</w:t>
            </w:r>
            <w:r>
              <w:rPr>
                <w:rFonts w:hint="eastAsia"/>
                <w:b/>
                <w:bCs/>
                <w:lang w:val="en-US" w:eastAsia="zh-CN"/>
              </w:rPr>
              <w:t>）</w:t>
            </w:r>
          </w:p>
        </w:tc>
        <w:tc>
          <w:tcPr>
            <w:tcW w:w="6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0AF36">
            <w:pPr>
              <w:pStyle w:val="45"/>
              <w:bidi w:val="0"/>
              <w:rPr>
                <w:rFonts w:hint="eastAsia"/>
                <w:b/>
                <w:bCs/>
              </w:rPr>
            </w:pPr>
            <w:r>
              <w:rPr>
                <w:rFonts w:hint="eastAsia"/>
                <w:b/>
                <w:bCs/>
                <w:lang w:val="en-US" w:eastAsia="zh-CN"/>
              </w:rPr>
              <w:t>备注</w:t>
            </w:r>
          </w:p>
        </w:tc>
      </w:tr>
      <w:tr w14:paraId="05B019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F63CB">
            <w:pPr>
              <w:pStyle w:val="45"/>
              <w:bidi w:val="0"/>
              <w:rPr>
                <w:rFonts w:hint="eastAsia"/>
              </w:rPr>
            </w:pPr>
            <w:r>
              <w:rPr>
                <w:rFonts w:hint="eastAsia"/>
                <w:lang w:val="en-US" w:eastAsia="zh-CN"/>
              </w:rPr>
              <w:t>碳酸锂</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0D853">
            <w:pPr>
              <w:pStyle w:val="45"/>
              <w:bidi w:val="0"/>
              <w:rPr>
                <w:rFonts w:hint="eastAsia"/>
              </w:rPr>
            </w:pPr>
            <w:r>
              <w:rPr>
                <w:rFonts w:hint="eastAsia"/>
                <w:lang w:val="en-US" w:eastAsia="zh-CN"/>
              </w:rPr>
              <w:t>180</w:t>
            </w:r>
          </w:p>
        </w:tc>
        <w:tc>
          <w:tcPr>
            <w:tcW w:w="6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1A7936">
            <w:pPr>
              <w:pStyle w:val="45"/>
              <w:bidi w:val="0"/>
              <w:rPr>
                <w:rFonts w:hint="eastAsia"/>
              </w:rPr>
            </w:pP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37C46">
            <w:pPr>
              <w:pStyle w:val="45"/>
              <w:bidi w:val="0"/>
              <w:rPr>
                <w:rFonts w:hint="eastAsia"/>
              </w:rPr>
            </w:pPr>
            <w:r>
              <w:rPr>
                <w:rFonts w:hint="eastAsia"/>
                <w:lang w:val="en-US" w:eastAsia="zh-CN"/>
              </w:rPr>
              <w:t>中间产物</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3374F6">
            <w:pPr>
              <w:pStyle w:val="45"/>
              <w:bidi w:val="0"/>
              <w:rPr>
                <w:rFonts w:hint="eastAsia"/>
              </w:rPr>
            </w:pPr>
            <w:r>
              <w:rPr>
                <w:rFonts w:hint="eastAsia"/>
                <w:lang w:val="en-US" w:eastAsia="zh-CN"/>
              </w:rPr>
              <w:t>氯化锂</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F39EE9">
            <w:pPr>
              <w:pStyle w:val="45"/>
              <w:bidi w:val="0"/>
              <w:rPr>
                <w:rFonts w:hint="eastAsia"/>
              </w:rPr>
            </w:pPr>
            <w:r>
              <w:rPr>
                <w:rFonts w:hint="eastAsia"/>
                <w:lang w:val="en-US" w:eastAsia="zh-CN"/>
              </w:rPr>
              <w:t>200</w:t>
            </w:r>
          </w:p>
        </w:tc>
        <w:tc>
          <w:tcPr>
            <w:tcW w:w="6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008A5">
            <w:pPr>
              <w:pStyle w:val="45"/>
              <w:bidi w:val="0"/>
              <w:rPr>
                <w:rFonts w:hint="eastAsia"/>
              </w:rPr>
            </w:pPr>
          </w:p>
        </w:tc>
      </w:tr>
      <w:tr w14:paraId="456695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504E2">
            <w:pPr>
              <w:pStyle w:val="45"/>
              <w:bidi w:val="0"/>
              <w:rPr>
                <w:rFonts w:hint="eastAsia"/>
              </w:rPr>
            </w:pPr>
            <w:r>
              <w:rPr>
                <w:rFonts w:hint="eastAsia"/>
                <w:lang w:val="en-US" w:eastAsia="zh-CN"/>
              </w:rPr>
              <w:t>31%盐酸</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FDB9A6">
            <w:pPr>
              <w:pStyle w:val="45"/>
              <w:bidi w:val="0"/>
              <w:rPr>
                <w:rFonts w:hint="eastAsia"/>
              </w:rPr>
            </w:pPr>
            <w:r>
              <w:rPr>
                <w:rFonts w:hint="eastAsia"/>
                <w:lang w:val="en-US" w:eastAsia="zh-CN"/>
              </w:rPr>
              <w:t>630</w:t>
            </w:r>
          </w:p>
        </w:tc>
        <w:tc>
          <w:tcPr>
            <w:tcW w:w="6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DBC1F">
            <w:pPr>
              <w:pStyle w:val="45"/>
              <w:bidi w:val="0"/>
              <w:rPr>
                <w:rFonts w:hint="eastAsia"/>
              </w:rPr>
            </w:pP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BD7E8">
            <w:pPr>
              <w:pStyle w:val="45"/>
              <w:bidi w:val="0"/>
              <w:rPr>
                <w:rFonts w:hint="eastAsia"/>
              </w:rPr>
            </w:pPr>
            <w:r>
              <w:rPr>
                <w:rFonts w:hint="eastAsia"/>
                <w:lang w:val="en-US" w:eastAsia="zh-CN"/>
              </w:rPr>
              <w:t>废水</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FCC6D">
            <w:pPr>
              <w:pStyle w:val="45"/>
              <w:bidi w:val="0"/>
              <w:rPr>
                <w:rFonts w:hint="eastAsia"/>
              </w:rPr>
            </w:pPr>
            <w:r>
              <w:rPr>
                <w:rFonts w:hint="eastAsia"/>
                <w:lang w:val="en-US" w:eastAsia="zh-CN"/>
              </w:rPr>
              <w:t>冷凝水</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B35DD">
            <w:pPr>
              <w:pStyle w:val="45"/>
              <w:bidi w:val="0"/>
              <w:rPr>
                <w:rFonts w:hint="eastAsia"/>
              </w:rPr>
            </w:pPr>
            <w:r>
              <w:rPr>
                <w:rFonts w:hint="eastAsia"/>
                <w:lang w:val="en-US" w:eastAsia="zh-CN"/>
              </w:rPr>
              <w:t>456.1</w:t>
            </w:r>
          </w:p>
        </w:tc>
        <w:tc>
          <w:tcPr>
            <w:tcW w:w="6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5A4E2">
            <w:pPr>
              <w:pStyle w:val="45"/>
              <w:bidi w:val="0"/>
              <w:rPr>
                <w:rFonts w:hint="eastAsia"/>
              </w:rPr>
            </w:pPr>
            <w:r>
              <w:rPr>
                <w:rFonts w:hint="eastAsia"/>
                <w:lang w:val="en-US" w:eastAsia="zh-CN"/>
              </w:rPr>
              <w:t>回用</w:t>
            </w:r>
          </w:p>
        </w:tc>
      </w:tr>
      <w:tr w14:paraId="4D1911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19280">
            <w:pPr>
              <w:pStyle w:val="45"/>
              <w:bidi w:val="0"/>
              <w:rPr>
                <w:rFonts w:hint="eastAsia"/>
              </w:rPr>
            </w:pP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DE291">
            <w:pPr>
              <w:pStyle w:val="45"/>
              <w:bidi w:val="0"/>
              <w:rPr>
                <w:rFonts w:hint="eastAsia"/>
              </w:rPr>
            </w:pPr>
          </w:p>
        </w:tc>
        <w:tc>
          <w:tcPr>
            <w:tcW w:w="6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10319">
            <w:pPr>
              <w:pStyle w:val="45"/>
              <w:bidi w:val="0"/>
              <w:rPr>
                <w:rFonts w:hint="eastAsia"/>
              </w:rPr>
            </w:pPr>
          </w:p>
        </w:tc>
        <w:tc>
          <w:tcPr>
            <w:tcW w:w="76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2ED46">
            <w:pPr>
              <w:pStyle w:val="45"/>
              <w:bidi w:val="0"/>
              <w:rPr>
                <w:rFonts w:hint="eastAsia"/>
              </w:rPr>
            </w:pPr>
            <w:r>
              <w:rPr>
                <w:rFonts w:hint="eastAsia"/>
                <w:lang w:val="en-US" w:eastAsia="zh-CN"/>
              </w:rPr>
              <w:t>干燥废气</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8FAE8">
            <w:pPr>
              <w:pStyle w:val="45"/>
              <w:bidi w:val="0"/>
              <w:rPr>
                <w:rFonts w:hint="eastAsia"/>
              </w:rPr>
            </w:pPr>
            <w:r>
              <w:rPr>
                <w:rFonts w:hint="eastAsia"/>
                <w:lang w:val="en-US" w:eastAsia="zh-CN"/>
              </w:rPr>
              <w:t>水蒸气</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CF204">
            <w:pPr>
              <w:pStyle w:val="45"/>
              <w:bidi w:val="0"/>
              <w:rPr>
                <w:rFonts w:hint="eastAsia"/>
              </w:rPr>
            </w:pPr>
            <w:r>
              <w:rPr>
                <w:rFonts w:hint="eastAsia"/>
                <w:lang w:val="en-US" w:eastAsia="zh-CN"/>
              </w:rPr>
              <w:t>46.25</w:t>
            </w:r>
          </w:p>
        </w:tc>
        <w:tc>
          <w:tcPr>
            <w:tcW w:w="64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93120">
            <w:pPr>
              <w:pStyle w:val="45"/>
              <w:bidi w:val="0"/>
              <w:rPr>
                <w:rFonts w:hint="eastAsia"/>
              </w:rPr>
            </w:pPr>
            <w:r>
              <w:rPr>
                <w:rFonts w:hint="eastAsia"/>
                <w:lang w:val="en-US" w:eastAsia="zh-CN"/>
              </w:rPr>
              <w:t>小计46.61</w:t>
            </w:r>
          </w:p>
        </w:tc>
      </w:tr>
      <w:tr w14:paraId="0A57C8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9B1E5">
            <w:pPr>
              <w:pStyle w:val="45"/>
              <w:bidi w:val="0"/>
              <w:rPr>
                <w:rFonts w:hint="eastAsia"/>
              </w:rPr>
            </w:pP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EFC05">
            <w:pPr>
              <w:pStyle w:val="45"/>
              <w:bidi w:val="0"/>
              <w:rPr>
                <w:rFonts w:hint="eastAsia"/>
              </w:rPr>
            </w:pPr>
          </w:p>
        </w:tc>
        <w:tc>
          <w:tcPr>
            <w:tcW w:w="6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95F89">
            <w:pPr>
              <w:pStyle w:val="45"/>
              <w:bidi w:val="0"/>
              <w:rPr>
                <w:rFonts w:hint="eastAsia"/>
              </w:rPr>
            </w:pPr>
          </w:p>
        </w:tc>
        <w:tc>
          <w:tcPr>
            <w:tcW w:w="76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37F89">
            <w:pPr>
              <w:pStyle w:val="45"/>
              <w:bidi w:val="0"/>
              <w:rPr>
                <w:rFonts w:hint="eastAsia"/>
              </w:rPr>
            </w:pP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A274A5">
            <w:pPr>
              <w:pStyle w:val="45"/>
              <w:bidi w:val="0"/>
              <w:rPr>
                <w:rFonts w:hint="eastAsia"/>
              </w:rPr>
            </w:pPr>
            <w:r>
              <w:rPr>
                <w:rFonts w:hint="eastAsia"/>
                <w:lang w:val="en-US" w:eastAsia="zh-CN"/>
              </w:rPr>
              <w:t>氯化锂</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37416">
            <w:pPr>
              <w:pStyle w:val="45"/>
              <w:bidi w:val="0"/>
              <w:rPr>
                <w:rFonts w:hint="eastAsia"/>
              </w:rPr>
            </w:pPr>
            <w:r>
              <w:rPr>
                <w:rFonts w:hint="eastAsia"/>
                <w:lang w:val="en-US" w:eastAsia="zh-CN"/>
              </w:rPr>
              <w:t>0.36</w:t>
            </w:r>
          </w:p>
        </w:tc>
        <w:tc>
          <w:tcPr>
            <w:tcW w:w="64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3C1DF9">
            <w:pPr>
              <w:pStyle w:val="45"/>
              <w:bidi w:val="0"/>
              <w:rPr>
                <w:rFonts w:hint="eastAsia"/>
              </w:rPr>
            </w:pPr>
          </w:p>
        </w:tc>
      </w:tr>
      <w:tr w14:paraId="6B7C18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2368C9">
            <w:pPr>
              <w:pStyle w:val="45"/>
              <w:bidi w:val="0"/>
              <w:rPr>
                <w:rFonts w:hint="eastAsia"/>
              </w:rPr>
            </w:pP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510723">
            <w:pPr>
              <w:pStyle w:val="45"/>
              <w:bidi w:val="0"/>
              <w:rPr>
                <w:rFonts w:hint="eastAsia"/>
              </w:rPr>
            </w:pPr>
          </w:p>
        </w:tc>
        <w:tc>
          <w:tcPr>
            <w:tcW w:w="6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7E3FBE">
            <w:pPr>
              <w:pStyle w:val="45"/>
              <w:bidi w:val="0"/>
              <w:rPr>
                <w:rFonts w:hint="eastAsia"/>
              </w:rPr>
            </w:pPr>
          </w:p>
        </w:tc>
        <w:tc>
          <w:tcPr>
            <w:tcW w:w="76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C6F87">
            <w:pPr>
              <w:pStyle w:val="45"/>
              <w:bidi w:val="0"/>
              <w:rPr>
                <w:rFonts w:hint="eastAsia"/>
              </w:rPr>
            </w:pPr>
            <w:r>
              <w:rPr>
                <w:rFonts w:hint="eastAsia"/>
                <w:lang w:val="en-US" w:eastAsia="zh-CN"/>
              </w:rPr>
              <w:t>中和尾气</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B6A90">
            <w:pPr>
              <w:pStyle w:val="45"/>
              <w:bidi w:val="0"/>
              <w:rPr>
                <w:rFonts w:hint="eastAsia"/>
              </w:rPr>
            </w:pPr>
            <w:r>
              <w:rPr>
                <w:rFonts w:hint="eastAsia"/>
                <w:lang w:val="en-US" w:eastAsia="zh-CN"/>
              </w:rPr>
              <w:t>氯化氢</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1DB45">
            <w:pPr>
              <w:pStyle w:val="45"/>
              <w:bidi w:val="0"/>
              <w:rPr>
                <w:rFonts w:hint="eastAsia"/>
              </w:rPr>
            </w:pPr>
            <w:r>
              <w:rPr>
                <w:rFonts w:hint="eastAsia"/>
                <w:lang w:val="en-US" w:eastAsia="zh-CN"/>
              </w:rPr>
              <w:t>0.26</w:t>
            </w:r>
          </w:p>
        </w:tc>
        <w:tc>
          <w:tcPr>
            <w:tcW w:w="64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E80D92">
            <w:pPr>
              <w:pStyle w:val="45"/>
              <w:bidi w:val="0"/>
              <w:rPr>
                <w:rFonts w:hint="eastAsia"/>
              </w:rPr>
            </w:pPr>
            <w:r>
              <w:rPr>
                <w:rFonts w:hint="eastAsia"/>
                <w:lang w:val="en-US" w:eastAsia="zh-CN"/>
              </w:rPr>
              <w:t>小计107.29</w:t>
            </w:r>
          </w:p>
        </w:tc>
      </w:tr>
      <w:tr w14:paraId="0FCB03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A0036">
            <w:pPr>
              <w:pStyle w:val="45"/>
              <w:bidi w:val="0"/>
              <w:rPr>
                <w:rFonts w:hint="eastAsia"/>
              </w:rPr>
            </w:pP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83E1E">
            <w:pPr>
              <w:pStyle w:val="45"/>
              <w:bidi w:val="0"/>
              <w:rPr>
                <w:rFonts w:hint="eastAsia"/>
              </w:rPr>
            </w:pPr>
          </w:p>
        </w:tc>
        <w:tc>
          <w:tcPr>
            <w:tcW w:w="6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C1C81">
            <w:pPr>
              <w:pStyle w:val="45"/>
              <w:bidi w:val="0"/>
              <w:rPr>
                <w:rFonts w:hint="eastAsia"/>
              </w:rPr>
            </w:pPr>
          </w:p>
        </w:tc>
        <w:tc>
          <w:tcPr>
            <w:tcW w:w="76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DF5EA">
            <w:pPr>
              <w:pStyle w:val="45"/>
              <w:bidi w:val="0"/>
              <w:rPr>
                <w:rFonts w:hint="eastAsia"/>
              </w:rPr>
            </w:pP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79BC5">
            <w:pPr>
              <w:pStyle w:val="45"/>
              <w:bidi w:val="0"/>
              <w:rPr>
                <w:rFonts w:hint="eastAsia"/>
              </w:rPr>
            </w:pPr>
            <w:r>
              <w:rPr>
                <w:rFonts w:hint="eastAsia"/>
                <w:lang w:val="en-US" w:eastAsia="zh-CN"/>
              </w:rPr>
              <w:t>二氧化碳</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890AF">
            <w:pPr>
              <w:pStyle w:val="45"/>
              <w:bidi w:val="0"/>
              <w:rPr>
                <w:rFonts w:hint="eastAsia"/>
              </w:rPr>
            </w:pPr>
            <w:r>
              <w:rPr>
                <w:rFonts w:hint="eastAsia"/>
                <w:lang w:val="en-US" w:eastAsia="zh-CN"/>
              </w:rPr>
              <w:t>107.03</w:t>
            </w:r>
          </w:p>
        </w:tc>
        <w:tc>
          <w:tcPr>
            <w:tcW w:w="64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BBBC0">
            <w:pPr>
              <w:pStyle w:val="45"/>
              <w:bidi w:val="0"/>
              <w:rPr>
                <w:rFonts w:hint="eastAsia"/>
              </w:rPr>
            </w:pPr>
          </w:p>
        </w:tc>
      </w:tr>
      <w:tr w14:paraId="5C15D8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E9204">
            <w:pPr>
              <w:pStyle w:val="45"/>
              <w:bidi w:val="0"/>
              <w:rPr>
                <w:rFonts w:hint="eastAsia"/>
              </w:rPr>
            </w:pPr>
            <w:r>
              <w:rPr>
                <w:rFonts w:hint="eastAsia"/>
                <w:lang w:val="en-US" w:eastAsia="zh-CN"/>
              </w:rPr>
              <w:t>合计</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6F429">
            <w:pPr>
              <w:pStyle w:val="45"/>
              <w:bidi w:val="0"/>
              <w:rPr>
                <w:rFonts w:hint="eastAsia"/>
              </w:rPr>
            </w:pPr>
            <w:r>
              <w:rPr>
                <w:rFonts w:hint="eastAsia"/>
                <w:lang w:val="en-US" w:eastAsia="zh-CN"/>
              </w:rPr>
              <w:t>810</w:t>
            </w:r>
          </w:p>
        </w:tc>
        <w:tc>
          <w:tcPr>
            <w:tcW w:w="6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D2283">
            <w:pPr>
              <w:pStyle w:val="45"/>
              <w:bidi w:val="0"/>
              <w:rPr>
                <w:rFonts w:hint="eastAsia"/>
              </w:rPr>
            </w:pPr>
          </w:p>
        </w:tc>
        <w:tc>
          <w:tcPr>
            <w:tcW w:w="153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CAB65">
            <w:pPr>
              <w:pStyle w:val="45"/>
              <w:bidi w:val="0"/>
              <w:rPr>
                <w:rFonts w:hint="eastAsia"/>
              </w:rPr>
            </w:pPr>
            <w:r>
              <w:rPr>
                <w:rFonts w:hint="eastAsia"/>
                <w:lang w:val="en-US" w:eastAsia="zh-CN"/>
              </w:rPr>
              <w:t>合计</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2296C">
            <w:pPr>
              <w:pStyle w:val="45"/>
              <w:bidi w:val="0"/>
              <w:rPr>
                <w:rFonts w:hint="eastAsia"/>
              </w:rPr>
            </w:pPr>
            <w:r>
              <w:rPr>
                <w:rFonts w:hint="eastAsia"/>
                <w:lang w:val="en-US" w:eastAsia="zh-CN"/>
              </w:rPr>
              <w:t>810</w:t>
            </w:r>
          </w:p>
        </w:tc>
        <w:tc>
          <w:tcPr>
            <w:tcW w:w="6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769C9">
            <w:pPr>
              <w:pStyle w:val="45"/>
              <w:bidi w:val="0"/>
              <w:rPr>
                <w:rFonts w:hint="eastAsia"/>
              </w:rPr>
            </w:pPr>
          </w:p>
        </w:tc>
      </w:tr>
    </w:tbl>
    <w:p w14:paraId="04804575">
      <w:pPr>
        <w:ind w:left="0" w:leftChars="0" w:firstLine="0" w:firstLineChars="0"/>
        <w:jc w:val="both"/>
        <w:rPr>
          <w:rFonts w:hint="eastAsia"/>
          <w:highlight w:val="yellow"/>
          <w:lang w:eastAsia="zh-CN"/>
        </w:rPr>
      </w:pPr>
    </w:p>
    <w:p w14:paraId="4E3446F7">
      <w:pPr>
        <w:pStyle w:val="43"/>
        <w:numPr>
          <w:ilvl w:val="5"/>
          <w:numId w:val="1"/>
        </w:numPr>
        <w:rPr>
          <w:rFonts w:hint="eastAsia"/>
          <w:highlight w:val="none"/>
        </w:rPr>
      </w:pPr>
      <w:r>
        <w:rPr>
          <w:rFonts w:hint="eastAsia"/>
          <w:b/>
          <w:bCs/>
          <w:lang w:val="en-US" w:eastAsia="zh-CN"/>
        </w:rPr>
        <w:t>复分解生产高氯酸锂</w:t>
      </w:r>
      <w:r>
        <w:rPr>
          <w:rFonts w:hint="eastAsia"/>
          <w:highlight w:val="none"/>
          <w:lang w:val="en-US" w:eastAsia="zh-CN"/>
        </w:rPr>
        <w:t>物料平衡一览表</w:t>
      </w:r>
    </w:p>
    <w:tbl>
      <w:tblPr>
        <w:tblStyle w:val="32"/>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832"/>
        <w:gridCol w:w="773"/>
        <w:gridCol w:w="1131"/>
        <w:gridCol w:w="1279"/>
        <w:gridCol w:w="1279"/>
        <w:gridCol w:w="958"/>
        <w:gridCol w:w="1267"/>
      </w:tblGrid>
      <w:tr w14:paraId="6FF435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61"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210F257">
            <w:pPr>
              <w:pStyle w:val="45"/>
              <w:bidi w:val="0"/>
              <w:rPr>
                <w:rFonts w:hint="eastAsia"/>
                <w:b/>
                <w:bCs/>
              </w:rPr>
            </w:pPr>
            <w:r>
              <w:rPr>
                <w:rFonts w:hint="eastAsia"/>
                <w:b/>
                <w:bCs/>
                <w:lang w:val="en-US" w:eastAsia="zh-CN"/>
              </w:rPr>
              <w:t>投入（</w:t>
            </w:r>
            <w:r>
              <w:rPr>
                <w:rFonts w:hint="default"/>
                <w:b/>
                <w:bCs/>
                <w:lang w:val="en-US" w:eastAsia="zh-CN"/>
              </w:rPr>
              <w:t>t</w:t>
            </w:r>
            <w:r>
              <w:rPr>
                <w:rFonts w:hint="eastAsia"/>
                <w:b/>
                <w:bCs/>
                <w:lang w:val="en-US" w:eastAsia="zh-CN"/>
              </w:rPr>
              <w:t>）</w:t>
            </w:r>
          </w:p>
        </w:tc>
        <w:tc>
          <w:tcPr>
            <w:tcW w:w="68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4EDFD9B">
            <w:pPr>
              <w:pStyle w:val="45"/>
              <w:bidi w:val="0"/>
              <w:rPr>
                <w:rFonts w:hint="eastAsia"/>
                <w:b/>
                <w:bCs/>
              </w:rPr>
            </w:pPr>
            <w:r>
              <w:rPr>
                <w:rFonts w:hint="eastAsia"/>
                <w:b/>
                <w:bCs/>
                <w:lang w:val="en-US" w:eastAsia="zh-CN"/>
              </w:rPr>
              <w:t>备注</w:t>
            </w:r>
          </w:p>
        </w:tc>
        <w:tc>
          <w:tcPr>
            <w:tcW w:w="2112" w:type="pct"/>
            <w:gridSpan w:val="3"/>
            <w:tcBorders>
              <w:top w:val="single" w:color="auto" w:sz="4" w:space="0"/>
              <w:left w:val="single" w:color="auto" w:sz="4" w:space="0"/>
              <w:bottom w:val="single" w:color="auto" w:sz="4" w:space="0"/>
              <w:right w:val="single" w:color="auto" w:sz="4" w:space="0"/>
            </w:tcBorders>
            <w:shd w:val="clear" w:color="auto" w:fill="auto"/>
            <w:noWrap/>
            <w:vAlign w:val="center"/>
          </w:tcPr>
          <w:p w14:paraId="0117C2B3">
            <w:pPr>
              <w:pStyle w:val="45"/>
              <w:bidi w:val="0"/>
              <w:rPr>
                <w:rFonts w:hint="eastAsia"/>
                <w:b/>
                <w:bCs/>
              </w:rPr>
            </w:pPr>
            <w:r>
              <w:rPr>
                <w:rFonts w:hint="eastAsia"/>
                <w:b/>
                <w:bCs/>
                <w:lang w:val="en-US" w:eastAsia="zh-CN"/>
              </w:rPr>
              <w:t>产出（</w:t>
            </w:r>
            <w:r>
              <w:rPr>
                <w:rFonts w:hint="default"/>
                <w:b/>
                <w:bCs/>
                <w:lang w:val="en-US" w:eastAsia="zh-CN"/>
              </w:rPr>
              <w:t>t</w:t>
            </w:r>
            <w:r>
              <w:rPr>
                <w:rFonts w:hint="eastAsia"/>
                <w:b/>
                <w:bCs/>
                <w:lang w:val="en-US" w:eastAsia="zh-CN"/>
              </w:rPr>
              <w:t>）</w:t>
            </w:r>
          </w:p>
        </w:tc>
        <w:tc>
          <w:tcPr>
            <w:tcW w:w="645"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F9AE1AC">
            <w:pPr>
              <w:pStyle w:val="45"/>
              <w:bidi w:val="0"/>
              <w:rPr>
                <w:rFonts w:hint="eastAsia"/>
                <w:b/>
                <w:bCs/>
              </w:rPr>
            </w:pPr>
            <w:r>
              <w:rPr>
                <w:rFonts w:hint="eastAsia"/>
                <w:b/>
                <w:bCs/>
                <w:lang w:val="en-US" w:eastAsia="zh-CN"/>
              </w:rPr>
              <w:t>备注</w:t>
            </w:r>
          </w:p>
        </w:tc>
      </w:tr>
      <w:tr w14:paraId="436783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9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A17E56C">
            <w:pPr>
              <w:pStyle w:val="45"/>
              <w:bidi w:val="0"/>
              <w:rPr>
                <w:rFonts w:hint="eastAsia"/>
              </w:rPr>
            </w:pPr>
            <w:r>
              <w:rPr>
                <w:rFonts w:hint="eastAsia"/>
                <w:lang w:val="en-US" w:eastAsia="zh-CN"/>
              </w:rPr>
              <w:t>一水高钠</w:t>
            </w:r>
          </w:p>
        </w:tc>
        <w:tc>
          <w:tcPr>
            <w:tcW w:w="47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F01D0DB">
            <w:pPr>
              <w:pStyle w:val="45"/>
              <w:bidi w:val="0"/>
              <w:rPr>
                <w:rFonts w:hint="eastAsia"/>
              </w:rPr>
            </w:pPr>
            <w:r>
              <w:rPr>
                <w:rFonts w:hint="eastAsia"/>
                <w:lang w:val="en-US" w:eastAsia="zh-CN"/>
              </w:rPr>
              <w:t>680</w:t>
            </w:r>
          </w:p>
        </w:tc>
        <w:tc>
          <w:tcPr>
            <w:tcW w:w="68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307F011">
            <w:pPr>
              <w:pStyle w:val="45"/>
              <w:bidi w:val="0"/>
              <w:rPr>
                <w:rFonts w:hint="eastAsia" w:eastAsia="宋体"/>
                <w:lang w:val="en-US" w:eastAsia="zh-CN"/>
              </w:rPr>
            </w:pPr>
            <w:r>
              <w:rPr>
                <w:rFonts w:hint="eastAsia"/>
                <w:lang w:val="en-US" w:eastAsia="zh-CN"/>
              </w:rPr>
              <w:t>自产</w:t>
            </w:r>
          </w:p>
        </w:tc>
        <w:tc>
          <w:tcPr>
            <w:tcW w:w="76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C8394CA">
            <w:pPr>
              <w:pStyle w:val="45"/>
              <w:bidi w:val="0"/>
              <w:rPr>
                <w:rFonts w:hint="eastAsia"/>
              </w:rPr>
            </w:pPr>
            <w:r>
              <w:rPr>
                <w:rFonts w:hint="eastAsia"/>
                <w:lang w:val="en-US" w:eastAsia="zh-CN"/>
              </w:rPr>
              <w:t>产品</w:t>
            </w:r>
          </w:p>
        </w:tc>
        <w:tc>
          <w:tcPr>
            <w:tcW w:w="76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14D4AD1">
            <w:pPr>
              <w:pStyle w:val="45"/>
              <w:bidi w:val="0"/>
              <w:rPr>
                <w:rFonts w:hint="eastAsia"/>
              </w:rPr>
            </w:pPr>
            <w:r>
              <w:rPr>
                <w:rFonts w:hint="eastAsia"/>
                <w:lang w:val="en-US" w:eastAsia="zh-CN"/>
              </w:rPr>
              <w:t>高氯酸锂</w:t>
            </w:r>
          </w:p>
        </w:tc>
        <w:tc>
          <w:tcPr>
            <w:tcW w:w="57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EB4E78D">
            <w:pPr>
              <w:pStyle w:val="45"/>
              <w:bidi w:val="0"/>
              <w:rPr>
                <w:rFonts w:hint="eastAsia"/>
              </w:rPr>
            </w:pPr>
            <w:r>
              <w:rPr>
                <w:rFonts w:hint="eastAsia"/>
                <w:lang w:val="en-US" w:eastAsia="zh-CN"/>
              </w:rPr>
              <w:t>400</w:t>
            </w:r>
          </w:p>
        </w:tc>
        <w:tc>
          <w:tcPr>
            <w:tcW w:w="645"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6FBD67F">
            <w:pPr>
              <w:pStyle w:val="45"/>
              <w:bidi w:val="0"/>
              <w:rPr>
                <w:rFonts w:hint="eastAsia"/>
              </w:rPr>
            </w:pPr>
          </w:p>
        </w:tc>
      </w:tr>
      <w:tr w14:paraId="2C84D1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9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6F1DD14">
            <w:pPr>
              <w:pStyle w:val="45"/>
              <w:bidi w:val="0"/>
              <w:rPr>
                <w:rFonts w:hint="eastAsia"/>
              </w:rPr>
            </w:pPr>
            <w:r>
              <w:rPr>
                <w:rFonts w:hint="eastAsia"/>
                <w:lang w:val="en-US" w:eastAsia="zh-CN"/>
              </w:rPr>
              <w:t>氯化锂</w:t>
            </w:r>
          </w:p>
        </w:tc>
        <w:tc>
          <w:tcPr>
            <w:tcW w:w="47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5661BC5">
            <w:pPr>
              <w:pStyle w:val="45"/>
              <w:bidi w:val="0"/>
              <w:rPr>
                <w:rFonts w:hint="eastAsia"/>
              </w:rPr>
            </w:pPr>
            <w:r>
              <w:rPr>
                <w:rFonts w:hint="eastAsia"/>
                <w:lang w:val="en-US" w:eastAsia="zh-CN"/>
              </w:rPr>
              <w:t>200</w:t>
            </w:r>
          </w:p>
        </w:tc>
        <w:tc>
          <w:tcPr>
            <w:tcW w:w="68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6F4E066">
            <w:pPr>
              <w:pStyle w:val="45"/>
              <w:bidi w:val="0"/>
              <w:rPr>
                <w:rFonts w:hint="eastAsia"/>
              </w:rPr>
            </w:pPr>
          </w:p>
        </w:tc>
        <w:tc>
          <w:tcPr>
            <w:tcW w:w="76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C238392">
            <w:pPr>
              <w:pStyle w:val="45"/>
              <w:bidi w:val="0"/>
              <w:rPr>
                <w:rFonts w:hint="eastAsia"/>
              </w:rPr>
            </w:pPr>
            <w:r>
              <w:rPr>
                <w:rFonts w:hint="eastAsia"/>
                <w:lang w:val="en-US" w:eastAsia="zh-CN"/>
              </w:rPr>
              <w:t>副产品</w:t>
            </w:r>
          </w:p>
        </w:tc>
        <w:tc>
          <w:tcPr>
            <w:tcW w:w="76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F1A4B78">
            <w:pPr>
              <w:pStyle w:val="45"/>
              <w:bidi w:val="0"/>
              <w:rPr>
                <w:rFonts w:hint="eastAsia"/>
              </w:rPr>
            </w:pPr>
            <w:r>
              <w:rPr>
                <w:rFonts w:hint="eastAsia"/>
                <w:lang w:val="en-US" w:eastAsia="zh-CN"/>
              </w:rPr>
              <w:t>氯化钠</w:t>
            </w:r>
          </w:p>
        </w:tc>
        <w:tc>
          <w:tcPr>
            <w:tcW w:w="57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D6A7914">
            <w:pPr>
              <w:pStyle w:val="45"/>
              <w:bidi w:val="0"/>
              <w:rPr>
                <w:rFonts w:hint="eastAsia"/>
              </w:rPr>
            </w:pPr>
            <w:r>
              <w:rPr>
                <w:rFonts w:hint="eastAsia"/>
                <w:lang w:val="en-US" w:eastAsia="zh-CN"/>
              </w:rPr>
              <w:t>263.88</w:t>
            </w:r>
          </w:p>
        </w:tc>
        <w:tc>
          <w:tcPr>
            <w:tcW w:w="645"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1EE1DBD">
            <w:pPr>
              <w:pStyle w:val="45"/>
              <w:bidi w:val="0"/>
              <w:rPr>
                <w:rFonts w:hint="eastAsia"/>
              </w:rPr>
            </w:pPr>
          </w:p>
        </w:tc>
      </w:tr>
      <w:tr w14:paraId="1B3D3E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9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C6CC727">
            <w:pPr>
              <w:pStyle w:val="45"/>
              <w:bidi w:val="0"/>
              <w:rPr>
                <w:rFonts w:hint="eastAsia"/>
              </w:rPr>
            </w:pPr>
            <w:r>
              <w:rPr>
                <w:rFonts w:hint="eastAsia"/>
                <w:lang w:val="en-US" w:eastAsia="zh-CN"/>
              </w:rPr>
              <w:t>高钠化盐水</w:t>
            </w:r>
          </w:p>
        </w:tc>
        <w:tc>
          <w:tcPr>
            <w:tcW w:w="47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3DCF83E">
            <w:pPr>
              <w:pStyle w:val="45"/>
              <w:bidi w:val="0"/>
              <w:rPr>
                <w:rFonts w:hint="eastAsia"/>
              </w:rPr>
            </w:pPr>
            <w:r>
              <w:rPr>
                <w:rFonts w:hint="eastAsia"/>
                <w:lang w:val="en-US" w:eastAsia="zh-CN"/>
              </w:rPr>
              <w:t>320</w:t>
            </w:r>
          </w:p>
        </w:tc>
        <w:tc>
          <w:tcPr>
            <w:tcW w:w="68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478F758">
            <w:pPr>
              <w:pStyle w:val="45"/>
              <w:bidi w:val="0"/>
              <w:rPr>
                <w:rFonts w:hint="eastAsia"/>
              </w:rPr>
            </w:pPr>
            <w:r>
              <w:rPr>
                <w:rFonts w:hint="eastAsia"/>
                <w:lang w:val="en-US" w:eastAsia="zh-CN"/>
              </w:rPr>
              <w:t>纯水</w:t>
            </w:r>
          </w:p>
        </w:tc>
        <w:tc>
          <w:tcPr>
            <w:tcW w:w="76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F56498B">
            <w:pPr>
              <w:pStyle w:val="45"/>
              <w:bidi w:val="0"/>
              <w:rPr>
                <w:rFonts w:hint="eastAsia"/>
              </w:rPr>
            </w:pPr>
            <w:r>
              <w:rPr>
                <w:rFonts w:hint="eastAsia"/>
                <w:lang w:val="en-US" w:eastAsia="zh-CN"/>
              </w:rPr>
              <w:t>废水</w:t>
            </w:r>
          </w:p>
        </w:tc>
        <w:tc>
          <w:tcPr>
            <w:tcW w:w="76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42F314F">
            <w:pPr>
              <w:pStyle w:val="45"/>
              <w:bidi w:val="0"/>
              <w:rPr>
                <w:rFonts w:hint="eastAsia"/>
              </w:rPr>
            </w:pPr>
            <w:r>
              <w:rPr>
                <w:rFonts w:hint="eastAsia"/>
                <w:lang w:val="en-US" w:eastAsia="zh-CN"/>
              </w:rPr>
              <w:t>冷凝水</w:t>
            </w:r>
          </w:p>
        </w:tc>
        <w:tc>
          <w:tcPr>
            <w:tcW w:w="57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D27A5D4">
            <w:pPr>
              <w:pStyle w:val="45"/>
              <w:bidi w:val="0"/>
              <w:rPr>
                <w:rFonts w:hint="eastAsia"/>
              </w:rPr>
            </w:pPr>
            <w:r>
              <w:rPr>
                <w:rFonts w:hint="eastAsia"/>
                <w:lang w:val="en-US" w:eastAsia="zh-CN"/>
              </w:rPr>
              <w:t>699.28</w:t>
            </w:r>
          </w:p>
        </w:tc>
        <w:tc>
          <w:tcPr>
            <w:tcW w:w="645"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63DCCF3">
            <w:pPr>
              <w:pStyle w:val="45"/>
              <w:bidi w:val="0"/>
              <w:rPr>
                <w:rFonts w:hint="eastAsia"/>
              </w:rPr>
            </w:pPr>
          </w:p>
        </w:tc>
      </w:tr>
      <w:tr w14:paraId="6A3539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9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22F31D8">
            <w:pPr>
              <w:pStyle w:val="45"/>
              <w:bidi w:val="0"/>
              <w:rPr>
                <w:rFonts w:hint="eastAsia"/>
              </w:rPr>
            </w:pPr>
            <w:r>
              <w:rPr>
                <w:rFonts w:hint="eastAsia"/>
                <w:lang w:val="en-US" w:eastAsia="zh-CN"/>
              </w:rPr>
              <w:t>氯化锂化盐水</w:t>
            </w:r>
          </w:p>
        </w:tc>
        <w:tc>
          <w:tcPr>
            <w:tcW w:w="47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582B048">
            <w:pPr>
              <w:pStyle w:val="45"/>
              <w:bidi w:val="0"/>
              <w:rPr>
                <w:rFonts w:hint="eastAsia"/>
              </w:rPr>
            </w:pPr>
            <w:r>
              <w:rPr>
                <w:rFonts w:hint="eastAsia"/>
                <w:lang w:val="en-US" w:eastAsia="zh-CN"/>
              </w:rPr>
              <w:t>300</w:t>
            </w:r>
          </w:p>
        </w:tc>
        <w:tc>
          <w:tcPr>
            <w:tcW w:w="68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CA536C3">
            <w:pPr>
              <w:pStyle w:val="45"/>
              <w:bidi w:val="0"/>
              <w:rPr>
                <w:rFonts w:hint="eastAsia"/>
              </w:rPr>
            </w:pPr>
            <w:r>
              <w:rPr>
                <w:rFonts w:hint="eastAsia"/>
                <w:lang w:val="en-US" w:eastAsia="zh-CN"/>
              </w:rPr>
              <w:t>纯水</w:t>
            </w:r>
          </w:p>
        </w:tc>
        <w:tc>
          <w:tcPr>
            <w:tcW w:w="767"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BF63100">
            <w:pPr>
              <w:pStyle w:val="45"/>
              <w:bidi w:val="0"/>
              <w:rPr>
                <w:rFonts w:hint="eastAsia"/>
              </w:rPr>
            </w:pPr>
            <w:r>
              <w:rPr>
                <w:rFonts w:hint="eastAsia"/>
                <w:lang w:val="en-US" w:eastAsia="zh-CN"/>
              </w:rPr>
              <w:t>干燥废气</w:t>
            </w:r>
          </w:p>
        </w:tc>
        <w:tc>
          <w:tcPr>
            <w:tcW w:w="76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B019C3E">
            <w:pPr>
              <w:pStyle w:val="45"/>
              <w:bidi w:val="0"/>
              <w:rPr>
                <w:rFonts w:hint="eastAsia"/>
              </w:rPr>
            </w:pPr>
            <w:r>
              <w:rPr>
                <w:rFonts w:hint="eastAsia"/>
                <w:lang w:val="en-US" w:eastAsia="zh-CN"/>
              </w:rPr>
              <w:t>水蒸气</w:t>
            </w:r>
          </w:p>
        </w:tc>
        <w:tc>
          <w:tcPr>
            <w:tcW w:w="57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CF1AA12">
            <w:pPr>
              <w:pStyle w:val="45"/>
              <w:bidi w:val="0"/>
              <w:rPr>
                <w:rFonts w:hint="eastAsia"/>
              </w:rPr>
            </w:pPr>
            <w:r>
              <w:rPr>
                <w:rFonts w:hint="eastAsia"/>
                <w:lang w:val="en-US" w:eastAsia="zh-CN"/>
              </w:rPr>
              <w:t>136.53</w:t>
            </w:r>
          </w:p>
        </w:tc>
        <w:tc>
          <w:tcPr>
            <w:tcW w:w="645"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5178F5AB">
            <w:pPr>
              <w:pStyle w:val="45"/>
              <w:bidi w:val="0"/>
              <w:rPr>
                <w:rFonts w:hint="eastAsia"/>
              </w:rPr>
            </w:pPr>
            <w:r>
              <w:rPr>
                <w:rFonts w:hint="eastAsia"/>
                <w:lang w:val="en-US" w:eastAsia="zh-CN"/>
              </w:rPr>
              <w:t>小计136.84</w:t>
            </w:r>
          </w:p>
        </w:tc>
      </w:tr>
      <w:tr w14:paraId="3DFC12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9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AE98CB3">
            <w:pPr>
              <w:pStyle w:val="45"/>
              <w:bidi w:val="0"/>
              <w:rPr>
                <w:rFonts w:hint="eastAsia"/>
              </w:rPr>
            </w:pPr>
          </w:p>
        </w:tc>
        <w:tc>
          <w:tcPr>
            <w:tcW w:w="47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11434CD">
            <w:pPr>
              <w:pStyle w:val="45"/>
              <w:bidi w:val="0"/>
              <w:rPr>
                <w:rFonts w:hint="eastAsia"/>
              </w:rPr>
            </w:pPr>
          </w:p>
        </w:tc>
        <w:tc>
          <w:tcPr>
            <w:tcW w:w="68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ACDB52B">
            <w:pPr>
              <w:pStyle w:val="45"/>
              <w:bidi w:val="0"/>
              <w:rPr>
                <w:rFonts w:hint="eastAsia"/>
              </w:rPr>
            </w:pPr>
          </w:p>
        </w:tc>
        <w:tc>
          <w:tcPr>
            <w:tcW w:w="767" w:type="pct"/>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7FE08E67">
            <w:pPr>
              <w:pStyle w:val="45"/>
              <w:bidi w:val="0"/>
              <w:rPr>
                <w:rFonts w:hint="eastAsia"/>
              </w:rPr>
            </w:pPr>
          </w:p>
        </w:tc>
        <w:tc>
          <w:tcPr>
            <w:tcW w:w="76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1764797">
            <w:pPr>
              <w:pStyle w:val="45"/>
              <w:bidi w:val="0"/>
              <w:rPr>
                <w:rFonts w:hint="eastAsia"/>
              </w:rPr>
            </w:pPr>
            <w:r>
              <w:rPr>
                <w:rFonts w:hint="eastAsia"/>
                <w:lang w:val="en-US" w:eastAsia="zh-CN"/>
              </w:rPr>
              <w:t>高氯酸锂</w:t>
            </w:r>
          </w:p>
        </w:tc>
        <w:tc>
          <w:tcPr>
            <w:tcW w:w="57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016CF08">
            <w:pPr>
              <w:pStyle w:val="45"/>
              <w:bidi w:val="0"/>
              <w:rPr>
                <w:rFonts w:hint="eastAsia"/>
              </w:rPr>
            </w:pPr>
            <w:r>
              <w:rPr>
                <w:rFonts w:hint="eastAsia"/>
                <w:lang w:val="en-US" w:eastAsia="zh-CN"/>
              </w:rPr>
              <w:t>0.31</w:t>
            </w:r>
          </w:p>
        </w:tc>
        <w:tc>
          <w:tcPr>
            <w:tcW w:w="645" w:type="pct"/>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06698195">
            <w:pPr>
              <w:pStyle w:val="45"/>
              <w:bidi w:val="0"/>
              <w:rPr>
                <w:rFonts w:hint="eastAsia"/>
              </w:rPr>
            </w:pPr>
          </w:p>
        </w:tc>
      </w:tr>
      <w:tr w14:paraId="184A41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9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C5BD76F">
            <w:pPr>
              <w:pStyle w:val="45"/>
              <w:bidi w:val="0"/>
              <w:rPr>
                <w:rFonts w:hint="eastAsia"/>
              </w:rPr>
            </w:pPr>
            <w:r>
              <w:rPr>
                <w:rFonts w:hint="eastAsia"/>
                <w:lang w:val="en-US" w:eastAsia="zh-CN"/>
              </w:rPr>
              <w:t>合计</w:t>
            </w:r>
          </w:p>
        </w:tc>
        <w:tc>
          <w:tcPr>
            <w:tcW w:w="47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7B796D9">
            <w:pPr>
              <w:pStyle w:val="45"/>
              <w:bidi w:val="0"/>
              <w:rPr>
                <w:rFonts w:hint="eastAsia"/>
              </w:rPr>
            </w:pPr>
            <w:r>
              <w:rPr>
                <w:rFonts w:hint="eastAsia"/>
                <w:lang w:val="en-US" w:eastAsia="zh-CN"/>
              </w:rPr>
              <w:t>1500</w:t>
            </w:r>
          </w:p>
        </w:tc>
        <w:tc>
          <w:tcPr>
            <w:tcW w:w="68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2190BCE">
            <w:pPr>
              <w:pStyle w:val="45"/>
              <w:bidi w:val="0"/>
              <w:rPr>
                <w:rFonts w:hint="eastAsia"/>
              </w:rPr>
            </w:pPr>
          </w:p>
        </w:tc>
        <w:tc>
          <w:tcPr>
            <w:tcW w:w="1534"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E0ACCDA">
            <w:pPr>
              <w:pStyle w:val="45"/>
              <w:bidi w:val="0"/>
              <w:rPr>
                <w:rFonts w:hint="eastAsia"/>
              </w:rPr>
            </w:pPr>
            <w:r>
              <w:rPr>
                <w:rFonts w:hint="eastAsia"/>
                <w:lang w:val="en-US" w:eastAsia="zh-CN"/>
              </w:rPr>
              <w:t>合计</w:t>
            </w:r>
          </w:p>
        </w:tc>
        <w:tc>
          <w:tcPr>
            <w:tcW w:w="57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378770F">
            <w:pPr>
              <w:pStyle w:val="45"/>
              <w:bidi w:val="0"/>
              <w:rPr>
                <w:rFonts w:hint="eastAsia"/>
              </w:rPr>
            </w:pPr>
            <w:r>
              <w:rPr>
                <w:rFonts w:hint="eastAsia"/>
                <w:lang w:val="en-US" w:eastAsia="zh-CN"/>
              </w:rPr>
              <w:t>1500</w:t>
            </w:r>
          </w:p>
        </w:tc>
        <w:tc>
          <w:tcPr>
            <w:tcW w:w="645"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B21D8C2">
            <w:pPr>
              <w:pStyle w:val="45"/>
              <w:bidi w:val="0"/>
              <w:rPr>
                <w:rFonts w:hint="eastAsia"/>
              </w:rPr>
            </w:pPr>
          </w:p>
        </w:tc>
      </w:tr>
    </w:tbl>
    <w:p w14:paraId="6890A3A9">
      <w:pPr>
        <w:pStyle w:val="45"/>
        <w:bidi w:val="0"/>
        <w:rPr>
          <w:rFonts w:hint="eastAsia"/>
        </w:rPr>
      </w:pPr>
    </w:p>
    <w:p w14:paraId="3811D3D1">
      <w:pPr>
        <w:pStyle w:val="42"/>
        <w:numPr>
          <w:ilvl w:val="6"/>
          <w:numId w:val="0"/>
        </w:numPr>
        <w:bidi w:val="0"/>
        <w:ind w:leftChars="0"/>
        <w:jc w:val="both"/>
        <w:rPr>
          <w:rFonts w:hint="default"/>
        </w:rPr>
      </w:pPr>
    </w:p>
    <w:p w14:paraId="04D88540">
      <w:pPr>
        <w:ind w:left="0" w:leftChars="0" w:firstLine="0" w:firstLineChars="0"/>
        <w:rPr>
          <w:rFonts w:hint="default"/>
        </w:rPr>
      </w:pPr>
      <w:r>
        <w:rPr>
          <w:rFonts w:hint="default"/>
        </w:rPr>
        <w:object>
          <v:shape id="_x0000_i1048" o:spt="75" type="#_x0000_t75" style="height:278.1pt;width:414.75pt;" o:ole="t" filled="f" o:preferrelative="t" stroked="f" coordsize="21600,21600">
            <v:path/>
            <v:fill on="f" focussize="0,0"/>
            <v:stroke on="f"/>
            <v:imagedata r:id="rId64" o:title=""/>
            <o:lock v:ext="edit" aspectratio="f"/>
            <w10:wrap type="none"/>
            <w10:anchorlock/>
          </v:shape>
          <o:OLEObject Type="Embed" ProgID="Visio.Drawing.15" ShapeID="_x0000_i1048" DrawAspect="Content" ObjectID="_1468075748" r:id="rId63">
            <o:LockedField>false</o:LockedField>
          </o:OLEObject>
        </w:object>
      </w:r>
    </w:p>
    <w:p w14:paraId="5F601012">
      <w:pPr>
        <w:pStyle w:val="42"/>
        <w:bidi w:val="0"/>
        <w:rPr>
          <w:rFonts w:hint="default"/>
        </w:rPr>
      </w:pPr>
      <w:r>
        <w:rPr>
          <w:rFonts w:hint="eastAsia"/>
          <w:b/>
          <w:bCs/>
          <w:lang w:val="en-US" w:eastAsia="zh-CN"/>
        </w:rPr>
        <w:t>复分解生产高氯酸锂</w:t>
      </w:r>
      <w:r>
        <w:t>工艺流程及物料平衡示意图（单位：t/a）</w:t>
      </w:r>
    </w:p>
    <w:p w14:paraId="7D5498A9">
      <w:pPr>
        <w:ind w:left="0" w:leftChars="0" w:firstLine="0" w:firstLineChars="0"/>
        <w:jc w:val="both"/>
        <w:rPr>
          <w:rFonts w:hint="eastAsia"/>
          <w:highlight w:val="yellow"/>
          <w:lang w:eastAsia="zh-CN"/>
        </w:rPr>
      </w:pPr>
    </w:p>
    <w:p w14:paraId="2D9839E0">
      <w:pPr>
        <w:numPr>
          <w:ilvl w:val="0"/>
          <w:numId w:val="9"/>
        </w:numPr>
        <w:ind w:left="480" w:leftChars="200" w:firstLine="0" w:firstLineChars="0"/>
        <w:outlineLvl w:val="5"/>
        <w:rPr>
          <w:rFonts w:hint="eastAsia"/>
          <w:b/>
          <w:bCs/>
          <w:lang w:val="en-US" w:eastAsia="zh-CN"/>
        </w:rPr>
      </w:pPr>
      <w:r>
        <w:rPr>
          <w:rFonts w:hint="eastAsia"/>
          <w:b/>
          <w:bCs/>
          <w:lang w:val="en-US" w:eastAsia="zh-CN"/>
        </w:rPr>
        <w:t>复分解生产高氯酸锂氯元素平衡</w:t>
      </w:r>
    </w:p>
    <w:p w14:paraId="40FCE01E">
      <w:pPr>
        <w:pStyle w:val="43"/>
        <w:numPr>
          <w:ilvl w:val="5"/>
          <w:numId w:val="1"/>
        </w:numPr>
        <w:rPr>
          <w:rFonts w:hint="eastAsia"/>
          <w:highlight w:val="none"/>
        </w:rPr>
      </w:pPr>
      <w:r>
        <w:rPr>
          <w:rFonts w:hint="eastAsia"/>
          <w:highlight w:val="none"/>
          <w:lang w:val="en-US" w:eastAsia="zh-CN"/>
        </w:rPr>
        <w:t>氯化锂</w:t>
      </w:r>
      <w:r>
        <w:rPr>
          <w:rFonts w:hint="eastAsia"/>
          <w:highlight w:val="none"/>
        </w:rPr>
        <w:t>生产</w:t>
      </w:r>
      <w:r>
        <w:rPr>
          <w:rFonts w:hint="eastAsia"/>
          <w:highlight w:val="none"/>
          <w:lang w:val="en-US" w:eastAsia="zh-CN"/>
        </w:rPr>
        <w:t>氯元素平衡一览表</w:t>
      </w:r>
    </w:p>
    <w:tbl>
      <w:tblPr>
        <w:tblStyle w:val="32"/>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703"/>
        <w:gridCol w:w="1326"/>
        <w:gridCol w:w="1742"/>
        <w:gridCol w:w="2437"/>
        <w:gridCol w:w="1312"/>
      </w:tblGrid>
      <w:tr w14:paraId="57A2CB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777"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7001F0">
            <w:pPr>
              <w:pStyle w:val="45"/>
              <w:bidi w:val="0"/>
              <w:rPr>
                <w:rFonts w:hint="eastAsia"/>
                <w:b/>
                <w:bCs/>
              </w:rPr>
            </w:pPr>
            <w:r>
              <w:rPr>
                <w:rFonts w:hint="eastAsia"/>
                <w:b/>
                <w:bCs/>
                <w:lang w:val="en-US" w:eastAsia="zh-CN"/>
              </w:rPr>
              <w:t>投入（</w:t>
            </w:r>
            <w:r>
              <w:rPr>
                <w:rFonts w:hint="default"/>
                <w:b/>
                <w:bCs/>
                <w:lang w:val="en-US" w:eastAsia="zh-CN"/>
              </w:rPr>
              <w:t>t</w:t>
            </w:r>
            <w:r>
              <w:rPr>
                <w:rFonts w:hint="eastAsia"/>
                <w:b/>
                <w:bCs/>
                <w:lang w:val="en-US" w:eastAsia="zh-CN"/>
              </w:rPr>
              <w:t>）</w:t>
            </w:r>
          </w:p>
        </w:tc>
        <w:tc>
          <w:tcPr>
            <w:tcW w:w="3222"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8B7154">
            <w:pPr>
              <w:pStyle w:val="45"/>
              <w:bidi w:val="0"/>
              <w:rPr>
                <w:rFonts w:hint="eastAsia"/>
                <w:b/>
                <w:bCs/>
              </w:rPr>
            </w:pPr>
            <w:r>
              <w:rPr>
                <w:rFonts w:hint="eastAsia"/>
                <w:b/>
                <w:bCs/>
                <w:lang w:val="en-US" w:eastAsia="zh-CN"/>
              </w:rPr>
              <w:t>产出（</w:t>
            </w:r>
            <w:r>
              <w:rPr>
                <w:rFonts w:hint="default"/>
                <w:b/>
                <w:bCs/>
                <w:lang w:val="en-US" w:eastAsia="zh-CN"/>
              </w:rPr>
              <w:t>t</w:t>
            </w:r>
            <w:r>
              <w:rPr>
                <w:rFonts w:hint="eastAsia"/>
                <w:b/>
                <w:bCs/>
                <w:lang w:val="en-US" w:eastAsia="zh-CN"/>
              </w:rPr>
              <w:t>）</w:t>
            </w:r>
          </w:p>
        </w:tc>
      </w:tr>
      <w:tr w14:paraId="7F0C9E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43635">
            <w:pPr>
              <w:pStyle w:val="45"/>
              <w:bidi w:val="0"/>
              <w:rPr>
                <w:rFonts w:hint="eastAsia"/>
              </w:rPr>
            </w:pPr>
            <w:r>
              <w:rPr>
                <w:rFonts w:hint="eastAsia"/>
                <w:lang w:val="en-US" w:eastAsia="zh-CN"/>
              </w:rPr>
              <w:t>31%盐酸</w:t>
            </w:r>
          </w:p>
        </w:tc>
        <w:tc>
          <w:tcPr>
            <w:tcW w:w="7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B5D76">
            <w:pPr>
              <w:pStyle w:val="45"/>
              <w:bidi w:val="0"/>
              <w:rPr>
                <w:rFonts w:hint="eastAsia"/>
              </w:rPr>
            </w:pPr>
            <w:r>
              <w:rPr>
                <w:rFonts w:hint="eastAsia"/>
                <w:lang w:val="en-US" w:eastAsia="zh-CN"/>
              </w:rPr>
              <w:t>189.95</w:t>
            </w:r>
          </w:p>
        </w:tc>
        <w:tc>
          <w:tcPr>
            <w:tcW w:w="10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7DFF1">
            <w:pPr>
              <w:pStyle w:val="45"/>
              <w:bidi w:val="0"/>
              <w:rPr>
                <w:rFonts w:hint="eastAsia"/>
              </w:rPr>
            </w:pPr>
            <w:r>
              <w:rPr>
                <w:rFonts w:hint="eastAsia"/>
                <w:lang w:val="en-US" w:eastAsia="zh-CN"/>
              </w:rPr>
              <w:t>中间产物</w:t>
            </w:r>
          </w:p>
        </w:tc>
        <w:tc>
          <w:tcPr>
            <w:tcW w:w="1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0417E">
            <w:pPr>
              <w:pStyle w:val="45"/>
              <w:bidi w:val="0"/>
              <w:rPr>
                <w:rFonts w:hint="eastAsia"/>
              </w:rPr>
            </w:pPr>
            <w:r>
              <w:rPr>
                <w:rFonts w:hint="eastAsia"/>
                <w:lang w:val="en-US" w:eastAsia="zh-CN"/>
              </w:rPr>
              <w:t>氯化锂</w:t>
            </w:r>
          </w:p>
        </w:tc>
        <w:tc>
          <w:tcPr>
            <w:tcW w:w="7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C73802">
            <w:pPr>
              <w:pStyle w:val="45"/>
              <w:bidi w:val="0"/>
              <w:rPr>
                <w:rFonts w:hint="eastAsia"/>
              </w:rPr>
            </w:pPr>
            <w:r>
              <w:rPr>
                <w:rFonts w:hint="eastAsia"/>
                <w:lang w:val="en-US" w:eastAsia="zh-CN"/>
              </w:rPr>
              <w:t>167.06</w:t>
            </w:r>
          </w:p>
        </w:tc>
      </w:tr>
      <w:tr w14:paraId="1744DE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E30BF">
            <w:pPr>
              <w:pStyle w:val="45"/>
              <w:bidi w:val="0"/>
              <w:rPr>
                <w:rFonts w:hint="eastAsia"/>
              </w:rPr>
            </w:pPr>
          </w:p>
        </w:tc>
        <w:tc>
          <w:tcPr>
            <w:tcW w:w="7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267B3">
            <w:pPr>
              <w:pStyle w:val="45"/>
              <w:bidi w:val="0"/>
              <w:rPr>
                <w:rFonts w:hint="eastAsia"/>
              </w:rPr>
            </w:pPr>
          </w:p>
        </w:tc>
        <w:tc>
          <w:tcPr>
            <w:tcW w:w="102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B51A5">
            <w:pPr>
              <w:pStyle w:val="45"/>
              <w:bidi w:val="0"/>
              <w:rPr>
                <w:rFonts w:hint="eastAsia"/>
              </w:rPr>
            </w:pPr>
            <w:r>
              <w:rPr>
                <w:rFonts w:hint="eastAsia"/>
                <w:lang w:val="en-US" w:eastAsia="zh-CN"/>
              </w:rPr>
              <w:t>其他物料</w:t>
            </w:r>
          </w:p>
        </w:tc>
        <w:tc>
          <w:tcPr>
            <w:tcW w:w="1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D62B7">
            <w:pPr>
              <w:pStyle w:val="45"/>
              <w:bidi w:val="0"/>
              <w:rPr>
                <w:rFonts w:hint="eastAsia"/>
              </w:rPr>
            </w:pPr>
            <w:r>
              <w:rPr>
                <w:rFonts w:hint="eastAsia"/>
                <w:lang w:val="en-US" w:eastAsia="zh-CN"/>
              </w:rPr>
              <w:t>干燥粉尘带走</w:t>
            </w:r>
          </w:p>
        </w:tc>
        <w:tc>
          <w:tcPr>
            <w:tcW w:w="13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BF3E8D">
            <w:pPr>
              <w:pStyle w:val="45"/>
              <w:bidi w:val="0"/>
              <w:rPr>
                <w:rFonts w:hint="default"/>
                <w:lang w:val="en-US"/>
              </w:rPr>
            </w:pPr>
            <w:r>
              <w:rPr>
                <w:rFonts w:hint="eastAsia"/>
                <w:lang w:val="en-US" w:eastAsia="zh-CN"/>
              </w:rPr>
              <w:t>0.25</w:t>
            </w:r>
          </w:p>
        </w:tc>
      </w:tr>
      <w:tr w14:paraId="079C8E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C354E">
            <w:pPr>
              <w:pStyle w:val="45"/>
              <w:bidi w:val="0"/>
              <w:rPr>
                <w:rFonts w:hint="eastAsia"/>
              </w:rPr>
            </w:pPr>
          </w:p>
        </w:tc>
        <w:tc>
          <w:tcPr>
            <w:tcW w:w="7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180ED">
            <w:pPr>
              <w:pStyle w:val="45"/>
              <w:bidi w:val="0"/>
              <w:rPr>
                <w:rFonts w:hint="eastAsia"/>
              </w:rPr>
            </w:pPr>
          </w:p>
        </w:tc>
        <w:tc>
          <w:tcPr>
            <w:tcW w:w="102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7C429">
            <w:pPr>
              <w:pStyle w:val="45"/>
              <w:bidi w:val="0"/>
              <w:rPr>
                <w:rFonts w:hint="eastAsia"/>
              </w:rPr>
            </w:pPr>
          </w:p>
        </w:tc>
        <w:tc>
          <w:tcPr>
            <w:tcW w:w="1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AC721">
            <w:pPr>
              <w:pStyle w:val="45"/>
              <w:bidi w:val="0"/>
              <w:rPr>
                <w:rFonts w:hint="eastAsia"/>
              </w:rPr>
            </w:pPr>
            <w:r>
              <w:rPr>
                <w:rFonts w:hint="eastAsia"/>
                <w:lang w:val="en-US" w:eastAsia="zh-CN"/>
              </w:rPr>
              <w:t>母液带走</w:t>
            </w:r>
          </w:p>
        </w:tc>
        <w:tc>
          <w:tcPr>
            <w:tcW w:w="13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455A2">
            <w:pPr>
              <w:pStyle w:val="45"/>
              <w:bidi w:val="0"/>
              <w:rPr>
                <w:rFonts w:hint="default"/>
                <w:lang w:val="en-US"/>
              </w:rPr>
            </w:pPr>
            <w:r>
              <w:rPr>
                <w:rFonts w:hint="eastAsia"/>
                <w:lang w:val="en-US" w:eastAsia="zh-CN"/>
              </w:rPr>
              <w:t>0.3</w:t>
            </w:r>
          </w:p>
        </w:tc>
      </w:tr>
      <w:tr w14:paraId="145DD8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2E638">
            <w:pPr>
              <w:pStyle w:val="45"/>
              <w:bidi w:val="0"/>
              <w:rPr>
                <w:rFonts w:hint="eastAsia"/>
              </w:rPr>
            </w:pPr>
            <w:r>
              <w:rPr>
                <w:rFonts w:hint="eastAsia"/>
                <w:lang w:val="en-US" w:eastAsia="zh-CN"/>
              </w:rPr>
              <w:t>合计</w:t>
            </w:r>
          </w:p>
        </w:tc>
        <w:tc>
          <w:tcPr>
            <w:tcW w:w="7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3025C">
            <w:pPr>
              <w:pStyle w:val="45"/>
              <w:bidi w:val="0"/>
              <w:rPr>
                <w:rFonts w:hint="eastAsia"/>
              </w:rPr>
            </w:pPr>
            <w:r>
              <w:rPr>
                <w:rFonts w:hint="eastAsia"/>
                <w:lang w:val="en-US" w:eastAsia="zh-CN"/>
              </w:rPr>
              <w:t>189.95</w:t>
            </w:r>
          </w:p>
        </w:tc>
        <w:tc>
          <w:tcPr>
            <w:tcW w:w="245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80916F">
            <w:pPr>
              <w:pStyle w:val="45"/>
              <w:bidi w:val="0"/>
              <w:rPr>
                <w:rFonts w:hint="eastAsia"/>
              </w:rPr>
            </w:pPr>
            <w:r>
              <w:rPr>
                <w:rFonts w:hint="eastAsia"/>
                <w:lang w:val="en-US" w:eastAsia="zh-CN"/>
              </w:rPr>
              <w:t>合计</w:t>
            </w:r>
          </w:p>
        </w:tc>
        <w:tc>
          <w:tcPr>
            <w:tcW w:w="7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99141">
            <w:pPr>
              <w:pStyle w:val="45"/>
              <w:bidi w:val="0"/>
              <w:rPr>
                <w:rFonts w:hint="eastAsia"/>
              </w:rPr>
            </w:pPr>
            <w:r>
              <w:rPr>
                <w:rFonts w:hint="eastAsia"/>
                <w:lang w:val="en-US" w:eastAsia="zh-CN"/>
              </w:rPr>
              <w:t>189.95</w:t>
            </w:r>
          </w:p>
        </w:tc>
      </w:tr>
    </w:tbl>
    <w:p w14:paraId="68F83474">
      <w:pPr>
        <w:ind w:left="0" w:leftChars="0" w:firstLine="0" w:firstLineChars="0"/>
        <w:rPr>
          <w:rFonts w:hint="eastAsia"/>
        </w:rPr>
      </w:pPr>
    </w:p>
    <w:p w14:paraId="66967E46">
      <w:pPr>
        <w:pStyle w:val="43"/>
        <w:numPr>
          <w:ilvl w:val="5"/>
          <w:numId w:val="1"/>
        </w:numPr>
        <w:rPr>
          <w:rFonts w:hint="eastAsia"/>
          <w:highlight w:val="none"/>
        </w:rPr>
      </w:pPr>
      <w:r>
        <w:rPr>
          <w:rFonts w:hint="eastAsia"/>
          <w:b/>
          <w:bCs/>
          <w:lang w:val="en-US" w:eastAsia="zh-CN"/>
        </w:rPr>
        <w:t>复分解生产高氯酸锂</w:t>
      </w:r>
      <w:r>
        <w:rPr>
          <w:rFonts w:hint="eastAsia"/>
          <w:highlight w:val="none"/>
          <w:lang w:val="en-US" w:eastAsia="zh-CN"/>
        </w:rPr>
        <w:t>氯元素平衡一览表</w:t>
      </w:r>
    </w:p>
    <w:tbl>
      <w:tblPr>
        <w:tblStyle w:val="32"/>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737"/>
        <w:gridCol w:w="1307"/>
        <w:gridCol w:w="1737"/>
        <w:gridCol w:w="2430"/>
        <w:gridCol w:w="1309"/>
      </w:tblGrid>
      <w:tr w14:paraId="314666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78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ABD38">
            <w:pPr>
              <w:pStyle w:val="45"/>
              <w:bidi w:val="0"/>
              <w:rPr>
                <w:rFonts w:hint="eastAsia"/>
                <w:b/>
                <w:bCs/>
              </w:rPr>
            </w:pPr>
            <w:r>
              <w:rPr>
                <w:rFonts w:hint="eastAsia"/>
                <w:b/>
                <w:bCs/>
                <w:lang w:val="en-US" w:eastAsia="zh-CN"/>
              </w:rPr>
              <w:t>投入（</w:t>
            </w:r>
            <w:r>
              <w:rPr>
                <w:rFonts w:hint="default"/>
                <w:b/>
                <w:bCs/>
                <w:lang w:val="en-US" w:eastAsia="zh-CN"/>
              </w:rPr>
              <w:t>t</w:t>
            </w:r>
            <w:r>
              <w:rPr>
                <w:rFonts w:hint="eastAsia"/>
                <w:b/>
                <w:bCs/>
                <w:lang w:val="en-US" w:eastAsia="zh-CN"/>
              </w:rPr>
              <w:t>）</w:t>
            </w:r>
          </w:p>
        </w:tc>
        <w:tc>
          <w:tcPr>
            <w:tcW w:w="321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DC7AA">
            <w:pPr>
              <w:pStyle w:val="45"/>
              <w:bidi w:val="0"/>
              <w:rPr>
                <w:rFonts w:hint="eastAsia"/>
                <w:b/>
                <w:bCs/>
              </w:rPr>
            </w:pPr>
            <w:r>
              <w:rPr>
                <w:rFonts w:hint="eastAsia"/>
                <w:b/>
                <w:bCs/>
                <w:lang w:val="en-US" w:eastAsia="zh-CN"/>
              </w:rPr>
              <w:t>产出（</w:t>
            </w:r>
            <w:r>
              <w:rPr>
                <w:rFonts w:hint="default"/>
                <w:b/>
                <w:bCs/>
                <w:lang w:val="en-US" w:eastAsia="zh-CN"/>
              </w:rPr>
              <w:t>t</w:t>
            </w:r>
            <w:r>
              <w:rPr>
                <w:rFonts w:hint="eastAsia"/>
                <w:b/>
                <w:bCs/>
                <w:lang w:val="en-US" w:eastAsia="zh-CN"/>
              </w:rPr>
              <w:t>）</w:t>
            </w:r>
          </w:p>
        </w:tc>
      </w:tr>
      <w:tr w14:paraId="6DBB4F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8C55D">
            <w:pPr>
              <w:pStyle w:val="45"/>
              <w:bidi w:val="0"/>
              <w:rPr>
                <w:rFonts w:hint="eastAsia"/>
              </w:rPr>
            </w:pPr>
            <w:r>
              <w:rPr>
                <w:rFonts w:hint="eastAsia"/>
                <w:lang w:val="en-US" w:eastAsia="zh-CN"/>
              </w:rPr>
              <w:t>氯化锂</w:t>
            </w:r>
          </w:p>
        </w:tc>
        <w:tc>
          <w:tcPr>
            <w:tcW w:w="7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94268">
            <w:pPr>
              <w:pStyle w:val="45"/>
              <w:bidi w:val="0"/>
              <w:rPr>
                <w:rFonts w:hint="eastAsia"/>
              </w:rPr>
            </w:pPr>
            <w:r>
              <w:rPr>
                <w:rFonts w:hint="eastAsia"/>
                <w:lang w:val="en-US" w:eastAsia="zh-CN"/>
              </w:rPr>
              <w:t>167.06</w:t>
            </w:r>
          </w:p>
        </w:tc>
        <w:tc>
          <w:tcPr>
            <w:tcW w:w="10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28C64">
            <w:pPr>
              <w:pStyle w:val="45"/>
              <w:bidi w:val="0"/>
              <w:rPr>
                <w:rFonts w:hint="eastAsia"/>
              </w:rPr>
            </w:pPr>
            <w:r>
              <w:rPr>
                <w:rFonts w:hint="eastAsia"/>
                <w:lang w:val="en-US" w:eastAsia="zh-CN"/>
              </w:rPr>
              <w:t>产品</w:t>
            </w:r>
          </w:p>
        </w:tc>
        <w:tc>
          <w:tcPr>
            <w:tcW w:w="14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B1854">
            <w:pPr>
              <w:pStyle w:val="45"/>
              <w:bidi w:val="0"/>
              <w:rPr>
                <w:rFonts w:hint="eastAsia"/>
              </w:rPr>
            </w:pPr>
            <w:r>
              <w:rPr>
                <w:rFonts w:hint="eastAsia"/>
                <w:lang w:val="en-US" w:eastAsia="zh-CN"/>
              </w:rPr>
              <w:t>高氯酸锂</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6273A">
            <w:pPr>
              <w:pStyle w:val="45"/>
              <w:bidi w:val="0"/>
              <w:rPr>
                <w:rFonts w:hint="eastAsia"/>
              </w:rPr>
            </w:pPr>
            <w:r>
              <w:rPr>
                <w:rFonts w:hint="eastAsia"/>
                <w:lang w:val="en-US" w:eastAsia="zh-CN"/>
              </w:rPr>
              <w:t>133.33</w:t>
            </w:r>
          </w:p>
        </w:tc>
      </w:tr>
      <w:tr w14:paraId="55F5C4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CBA2B">
            <w:pPr>
              <w:pStyle w:val="45"/>
              <w:bidi w:val="0"/>
              <w:rPr>
                <w:rFonts w:hint="eastAsia"/>
              </w:rPr>
            </w:pPr>
            <w:r>
              <w:rPr>
                <w:rFonts w:hint="eastAsia"/>
                <w:lang w:val="en-US" w:eastAsia="zh-CN"/>
              </w:rPr>
              <w:t>高氯酸钠</w:t>
            </w:r>
          </w:p>
        </w:tc>
        <w:tc>
          <w:tcPr>
            <w:tcW w:w="7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DD5E6">
            <w:pPr>
              <w:pStyle w:val="45"/>
              <w:bidi w:val="0"/>
              <w:rPr>
                <w:rFonts w:hint="eastAsia"/>
              </w:rPr>
            </w:pPr>
            <w:r>
              <w:rPr>
                <w:rFonts w:hint="eastAsia"/>
                <w:lang w:val="en-US" w:eastAsia="zh-CN"/>
              </w:rPr>
              <w:t>171.81</w:t>
            </w:r>
          </w:p>
        </w:tc>
        <w:tc>
          <w:tcPr>
            <w:tcW w:w="10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F764E8">
            <w:pPr>
              <w:pStyle w:val="45"/>
              <w:bidi w:val="0"/>
              <w:rPr>
                <w:rFonts w:hint="eastAsia"/>
              </w:rPr>
            </w:pPr>
            <w:r>
              <w:rPr>
                <w:rFonts w:hint="eastAsia"/>
                <w:lang w:val="en-US" w:eastAsia="zh-CN"/>
              </w:rPr>
              <w:t>副产品</w:t>
            </w:r>
          </w:p>
        </w:tc>
        <w:tc>
          <w:tcPr>
            <w:tcW w:w="14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C8759">
            <w:pPr>
              <w:pStyle w:val="45"/>
              <w:bidi w:val="0"/>
              <w:rPr>
                <w:rFonts w:hint="eastAsia"/>
              </w:rPr>
            </w:pPr>
            <w:r>
              <w:rPr>
                <w:rFonts w:hint="eastAsia"/>
                <w:lang w:val="en-US" w:eastAsia="zh-CN"/>
              </w:rPr>
              <w:t>氯化钠</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2E3B2">
            <w:pPr>
              <w:pStyle w:val="45"/>
              <w:bidi w:val="0"/>
              <w:rPr>
                <w:rFonts w:hint="eastAsia"/>
              </w:rPr>
            </w:pPr>
            <w:r>
              <w:rPr>
                <w:rFonts w:hint="eastAsia"/>
                <w:lang w:val="en-US" w:eastAsia="zh-CN"/>
              </w:rPr>
              <w:t>160.13</w:t>
            </w:r>
          </w:p>
        </w:tc>
      </w:tr>
      <w:tr w14:paraId="69B90E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C2103">
            <w:pPr>
              <w:pStyle w:val="45"/>
              <w:bidi w:val="0"/>
              <w:rPr>
                <w:rFonts w:hint="eastAsia"/>
              </w:rPr>
            </w:pPr>
          </w:p>
        </w:tc>
        <w:tc>
          <w:tcPr>
            <w:tcW w:w="7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1606E">
            <w:pPr>
              <w:pStyle w:val="45"/>
              <w:bidi w:val="0"/>
              <w:rPr>
                <w:rFonts w:hint="eastAsia"/>
              </w:rPr>
            </w:pPr>
          </w:p>
        </w:tc>
        <w:tc>
          <w:tcPr>
            <w:tcW w:w="101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33D8EE">
            <w:pPr>
              <w:pStyle w:val="45"/>
              <w:bidi w:val="0"/>
              <w:rPr>
                <w:rFonts w:hint="eastAsia"/>
              </w:rPr>
            </w:pPr>
            <w:r>
              <w:rPr>
                <w:rFonts w:hint="eastAsia"/>
                <w:lang w:val="en-US" w:eastAsia="zh-CN"/>
              </w:rPr>
              <w:t>其他物料</w:t>
            </w:r>
          </w:p>
        </w:tc>
        <w:tc>
          <w:tcPr>
            <w:tcW w:w="14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47999">
            <w:pPr>
              <w:pStyle w:val="45"/>
              <w:bidi w:val="0"/>
              <w:rPr>
                <w:rFonts w:hint="eastAsia"/>
              </w:rPr>
            </w:pPr>
            <w:r>
              <w:rPr>
                <w:rFonts w:hint="eastAsia"/>
                <w:lang w:val="en-US" w:eastAsia="zh-CN"/>
              </w:rPr>
              <w:t>干燥粉尘带走</w:t>
            </w:r>
          </w:p>
        </w:tc>
        <w:tc>
          <w:tcPr>
            <w:tcW w:w="13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364EE">
            <w:pPr>
              <w:pStyle w:val="45"/>
              <w:bidi w:val="0"/>
              <w:rPr>
                <w:rFonts w:hint="eastAsia"/>
              </w:rPr>
            </w:pPr>
            <w:r>
              <w:rPr>
                <w:rFonts w:hint="eastAsia"/>
                <w:lang w:val="en-US" w:eastAsia="zh-CN"/>
              </w:rPr>
              <w:t>0.1</w:t>
            </w:r>
          </w:p>
        </w:tc>
      </w:tr>
      <w:tr w14:paraId="7F2BCC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79E13">
            <w:pPr>
              <w:pStyle w:val="45"/>
              <w:bidi w:val="0"/>
              <w:rPr>
                <w:rFonts w:hint="eastAsia"/>
              </w:rPr>
            </w:pPr>
          </w:p>
        </w:tc>
        <w:tc>
          <w:tcPr>
            <w:tcW w:w="7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0F5935">
            <w:pPr>
              <w:pStyle w:val="45"/>
              <w:bidi w:val="0"/>
              <w:rPr>
                <w:rFonts w:hint="eastAsia"/>
              </w:rPr>
            </w:pPr>
          </w:p>
        </w:tc>
        <w:tc>
          <w:tcPr>
            <w:tcW w:w="101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9E909">
            <w:pPr>
              <w:pStyle w:val="45"/>
              <w:bidi w:val="0"/>
              <w:rPr>
                <w:rFonts w:hint="eastAsia"/>
              </w:rPr>
            </w:pPr>
          </w:p>
        </w:tc>
        <w:tc>
          <w:tcPr>
            <w:tcW w:w="14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CBC2E">
            <w:pPr>
              <w:pStyle w:val="45"/>
              <w:bidi w:val="0"/>
              <w:rPr>
                <w:rFonts w:hint="eastAsia"/>
              </w:rPr>
            </w:pPr>
            <w:r>
              <w:rPr>
                <w:rFonts w:hint="eastAsia"/>
                <w:lang w:val="en-US" w:eastAsia="zh-CN"/>
              </w:rPr>
              <w:t>母液带走</w:t>
            </w:r>
          </w:p>
        </w:tc>
        <w:tc>
          <w:tcPr>
            <w:tcW w:w="13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98B54">
            <w:pPr>
              <w:pStyle w:val="45"/>
              <w:bidi w:val="0"/>
              <w:rPr>
                <w:rFonts w:hint="eastAsia"/>
              </w:rPr>
            </w:pPr>
            <w:r>
              <w:rPr>
                <w:rFonts w:hint="eastAsia"/>
                <w:lang w:val="en-US" w:eastAsia="zh-CN"/>
              </w:rPr>
              <w:t>45.31</w:t>
            </w:r>
          </w:p>
        </w:tc>
      </w:tr>
      <w:tr w14:paraId="1CE5FD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696E8">
            <w:pPr>
              <w:pStyle w:val="45"/>
              <w:bidi w:val="0"/>
              <w:rPr>
                <w:rFonts w:hint="eastAsia"/>
              </w:rPr>
            </w:pPr>
            <w:r>
              <w:rPr>
                <w:rFonts w:hint="eastAsia"/>
                <w:lang w:val="en-US" w:eastAsia="zh-CN"/>
              </w:rPr>
              <w:t>合计</w:t>
            </w:r>
          </w:p>
        </w:tc>
        <w:tc>
          <w:tcPr>
            <w:tcW w:w="7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540500">
            <w:pPr>
              <w:pStyle w:val="45"/>
              <w:bidi w:val="0"/>
              <w:rPr>
                <w:rFonts w:hint="eastAsia"/>
              </w:rPr>
            </w:pPr>
            <w:r>
              <w:rPr>
                <w:rFonts w:hint="eastAsia"/>
                <w:lang w:val="en-US" w:eastAsia="zh-CN"/>
              </w:rPr>
              <w:t>338.87</w:t>
            </w:r>
          </w:p>
        </w:tc>
        <w:tc>
          <w:tcPr>
            <w:tcW w:w="244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E1052B">
            <w:pPr>
              <w:pStyle w:val="45"/>
              <w:bidi w:val="0"/>
              <w:rPr>
                <w:rFonts w:hint="eastAsia"/>
              </w:rPr>
            </w:pPr>
            <w:r>
              <w:rPr>
                <w:rFonts w:hint="eastAsia"/>
                <w:lang w:val="en-US" w:eastAsia="zh-CN"/>
              </w:rPr>
              <w:t>合计</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01F8D">
            <w:pPr>
              <w:pStyle w:val="45"/>
              <w:bidi w:val="0"/>
              <w:rPr>
                <w:rFonts w:hint="eastAsia"/>
              </w:rPr>
            </w:pPr>
            <w:r>
              <w:rPr>
                <w:rFonts w:hint="eastAsia"/>
                <w:lang w:val="en-US" w:eastAsia="zh-CN"/>
              </w:rPr>
              <w:t>338.87</w:t>
            </w:r>
          </w:p>
        </w:tc>
      </w:tr>
    </w:tbl>
    <w:p w14:paraId="4221C976">
      <w:pPr>
        <w:numPr>
          <w:ilvl w:val="0"/>
          <w:numId w:val="0"/>
        </w:numPr>
        <w:outlineLvl w:val="9"/>
        <w:rPr>
          <w:rFonts w:hint="eastAsia"/>
          <w:b/>
          <w:bCs/>
          <w:lang w:val="en-US" w:eastAsia="zh-CN"/>
        </w:rPr>
      </w:pPr>
    </w:p>
    <w:p w14:paraId="33A208DD">
      <w:pPr>
        <w:numPr>
          <w:ilvl w:val="0"/>
          <w:numId w:val="0"/>
        </w:numPr>
        <w:outlineLvl w:val="9"/>
        <w:rPr>
          <w:rFonts w:hint="eastAsia"/>
          <w:b/>
          <w:bCs/>
          <w:lang w:val="en-US" w:eastAsia="zh-CN"/>
        </w:rPr>
      </w:pPr>
      <w:r>
        <w:rPr>
          <w:rFonts w:hint="eastAsia"/>
          <w:b/>
          <w:bCs/>
          <w:lang w:val="en-US" w:eastAsia="zh-CN"/>
        </w:rPr>
        <w:object>
          <v:shape id="_x0000_i1049" o:spt="75" type="#_x0000_t75" style="height:83.4pt;width:414.7pt;" o:ole="t" filled="f" o:preferrelative="t" stroked="f" coordsize="21600,21600">
            <v:path/>
            <v:fill on="f" focussize="0,0"/>
            <v:stroke on="f"/>
            <v:imagedata r:id="rId66" o:title=""/>
            <o:lock v:ext="edit" aspectratio="f"/>
            <w10:wrap type="none"/>
            <w10:anchorlock/>
          </v:shape>
          <o:OLEObject Type="Embed" ProgID="Visio.Drawing.15" ShapeID="_x0000_i1049" DrawAspect="Content" ObjectID="_1468075749" r:id="rId65">
            <o:LockedField>false</o:LockedField>
          </o:OLEObject>
        </w:object>
      </w:r>
    </w:p>
    <w:p w14:paraId="25685A48">
      <w:pPr>
        <w:pStyle w:val="42"/>
        <w:bidi w:val="0"/>
        <w:rPr>
          <w:rFonts w:hint="default"/>
        </w:rPr>
      </w:pPr>
      <w:r>
        <w:rPr>
          <w:rFonts w:hint="eastAsia"/>
          <w:b/>
          <w:bCs/>
          <w:lang w:val="en-US" w:eastAsia="zh-CN"/>
        </w:rPr>
        <w:t>复分解生产高氯酸锂</w:t>
      </w:r>
      <w:r>
        <w:rPr>
          <w:rFonts w:hint="eastAsia"/>
          <w:lang w:val="en-US" w:eastAsia="zh-CN"/>
        </w:rPr>
        <w:t>氯元素</w:t>
      </w:r>
      <w:r>
        <w:t>平衡示意图（单位：t/a）</w:t>
      </w:r>
    </w:p>
    <w:p w14:paraId="6D7F3D35">
      <w:pPr>
        <w:numPr>
          <w:ilvl w:val="0"/>
          <w:numId w:val="0"/>
        </w:numPr>
        <w:outlineLvl w:val="9"/>
        <w:rPr>
          <w:rFonts w:hint="eastAsia"/>
          <w:b/>
          <w:bCs/>
          <w:lang w:val="en-US" w:eastAsia="zh-CN"/>
        </w:rPr>
      </w:pPr>
    </w:p>
    <w:p w14:paraId="259EAA56">
      <w:pPr>
        <w:numPr>
          <w:ilvl w:val="0"/>
          <w:numId w:val="9"/>
        </w:numPr>
        <w:ind w:left="480" w:leftChars="200" w:firstLine="0" w:firstLineChars="0"/>
        <w:outlineLvl w:val="5"/>
        <w:rPr>
          <w:rFonts w:hint="eastAsia"/>
          <w:b/>
          <w:bCs/>
          <w:lang w:val="en-US" w:eastAsia="zh-CN"/>
        </w:rPr>
      </w:pPr>
      <w:r>
        <w:rPr>
          <w:rFonts w:hint="eastAsia"/>
          <w:b/>
          <w:bCs/>
          <w:lang w:val="en-US" w:eastAsia="zh-CN"/>
        </w:rPr>
        <w:t>复分解生产高氯酸锂锂元素平衡</w:t>
      </w:r>
    </w:p>
    <w:p w14:paraId="4B794234">
      <w:pPr>
        <w:pStyle w:val="43"/>
        <w:numPr>
          <w:ilvl w:val="5"/>
          <w:numId w:val="1"/>
        </w:numPr>
        <w:rPr>
          <w:rFonts w:hint="eastAsia"/>
          <w:highlight w:val="none"/>
        </w:rPr>
      </w:pPr>
      <w:r>
        <w:rPr>
          <w:rFonts w:hint="eastAsia"/>
          <w:highlight w:val="none"/>
          <w:lang w:val="en-US" w:eastAsia="zh-CN"/>
        </w:rPr>
        <w:t>氯化锂</w:t>
      </w:r>
      <w:r>
        <w:rPr>
          <w:rFonts w:hint="eastAsia"/>
          <w:highlight w:val="none"/>
        </w:rPr>
        <w:t>生产</w:t>
      </w:r>
      <w:r>
        <w:rPr>
          <w:rFonts w:hint="eastAsia"/>
          <w:highlight w:val="none"/>
          <w:lang w:val="en-US" w:eastAsia="zh-CN"/>
        </w:rPr>
        <w:t>锂元素平衡一览表</w:t>
      </w:r>
    </w:p>
    <w:tbl>
      <w:tblPr>
        <w:tblStyle w:val="32"/>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669"/>
        <w:gridCol w:w="1360"/>
        <w:gridCol w:w="1800"/>
        <w:gridCol w:w="2517"/>
        <w:gridCol w:w="1174"/>
      </w:tblGrid>
      <w:tr w14:paraId="6C61FB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777"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1DE09">
            <w:pPr>
              <w:pStyle w:val="45"/>
              <w:bidi w:val="0"/>
              <w:rPr>
                <w:rFonts w:hint="eastAsia"/>
                <w:b/>
                <w:bCs/>
              </w:rPr>
            </w:pPr>
            <w:r>
              <w:rPr>
                <w:rFonts w:hint="eastAsia"/>
                <w:b/>
                <w:bCs/>
                <w:lang w:val="en-US" w:eastAsia="zh-CN"/>
              </w:rPr>
              <w:t>投入（</w:t>
            </w:r>
            <w:r>
              <w:rPr>
                <w:rFonts w:hint="default"/>
                <w:b/>
                <w:bCs/>
                <w:lang w:val="en-US" w:eastAsia="zh-CN"/>
              </w:rPr>
              <w:t>t</w:t>
            </w:r>
            <w:r>
              <w:rPr>
                <w:rFonts w:hint="eastAsia"/>
                <w:b/>
                <w:bCs/>
                <w:lang w:val="en-US" w:eastAsia="zh-CN"/>
              </w:rPr>
              <w:t>）</w:t>
            </w:r>
          </w:p>
        </w:tc>
        <w:tc>
          <w:tcPr>
            <w:tcW w:w="3222"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F2A0C">
            <w:pPr>
              <w:pStyle w:val="45"/>
              <w:bidi w:val="0"/>
              <w:rPr>
                <w:rFonts w:hint="eastAsia"/>
                <w:b/>
                <w:bCs/>
              </w:rPr>
            </w:pPr>
            <w:r>
              <w:rPr>
                <w:rFonts w:hint="eastAsia"/>
                <w:b/>
                <w:bCs/>
                <w:lang w:val="en-US" w:eastAsia="zh-CN"/>
              </w:rPr>
              <w:t>产出（</w:t>
            </w:r>
            <w:r>
              <w:rPr>
                <w:rFonts w:hint="default"/>
                <w:b/>
                <w:bCs/>
                <w:lang w:val="en-US" w:eastAsia="zh-CN"/>
              </w:rPr>
              <w:t>t</w:t>
            </w:r>
            <w:r>
              <w:rPr>
                <w:rFonts w:hint="eastAsia"/>
                <w:b/>
                <w:bCs/>
                <w:lang w:val="en-US" w:eastAsia="zh-CN"/>
              </w:rPr>
              <w:t>）</w:t>
            </w:r>
          </w:p>
        </w:tc>
      </w:tr>
      <w:tr w14:paraId="6C5DD0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5CAEE0">
            <w:pPr>
              <w:pStyle w:val="45"/>
              <w:bidi w:val="0"/>
              <w:rPr>
                <w:rFonts w:hint="eastAsia"/>
              </w:rPr>
            </w:pPr>
            <w:r>
              <w:rPr>
                <w:rFonts w:hint="eastAsia"/>
                <w:lang w:val="en-US" w:eastAsia="zh-CN"/>
              </w:rPr>
              <w:t>碳酸锂</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64389">
            <w:pPr>
              <w:pStyle w:val="45"/>
              <w:bidi w:val="0"/>
              <w:rPr>
                <w:rFonts w:hint="eastAsia"/>
              </w:rPr>
            </w:pPr>
            <w:r>
              <w:rPr>
                <w:rFonts w:hint="eastAsia"/>
                <w:lang w:val="en-US" w:eastAsia="zh-CN"/>
              </w:rPr>
              <w:t>34.05</w:t>
            </w:r>
          </w:p>
        </w:tc>
        <w:tc>
          <w:tcPr>
            <w:tcW w:w="10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ABE9A">
            <w:pPr>
              <w:pStyle w:val="45"/>
              <w:bidi w:val="0"/>
              <w:rPr>
                <w:rFonts w:hint="eastAsia"/>
              </w:rPr>
            </w:pPr>
            <w:r>
              <w:rPr>
                <w:rFonts w:hint="eastAsia"/>
                <w:lang w:val="en-US" w:eastAsia="zh-CN"/>
              </w:rPr>
              <w:t>中间产物</w:t>
            </w:r>
          </w:p>
        </w:tc>
        <w:tc>
          <w:tcPr>
            <w:tcW w:w="1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2C1A8">
            <w:pPr>
              <w:pStyle w:val="45"/>
              <w:bidi w:val="0"/>
              <w:rPr>
                <w:rFonts w:hint="eastAsia"/>
              </w:rPr>
            </w:pPr>
            <w:r>
              <w:rPr>
                <w:rFonts w:hint="eastAsia"/>
                <w:lang w:val="en-US" w:eastAsia="zh-CN"/>
              </w:rPr>
              <w:t>氯化锂</w:t>
            </w:r>
          </w:p>
        </w:tc>
        <w:tc>
          <w:tcPr>
            <w:tcW w:w="6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60E18">
            <w:pPr>
              <w:pStyle w:val="45"/>
              <w:bidi w:val="0"/>
              <w:rPr>
                <w:rFonts w:hint="eastAsia"/>
              </w:rPr>
            </w:pPr>
            <w:r>
              <w:rPr>
                <w:rFonts w:hint="eastAsia"/>
                <w:lang w:val="en-US" w:eastAsia="zh-CN"/>
              </w:rPr>
              <w:t>32.94</w:t>
            </w:r>
          </w:p>
        </w:tc>
      </w:tr>
      <w:tr w14:paraId="59059F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AA2403">
            <w:pPr>
              <w:pStyle w:val="45"/>
              <w:bidi w:val="0"/>
              <w:rPr>
                <w:rFonts w:hint="eastAsia"/>
              </w:rPr>
            </w:pP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60D0A">
            <w:pPr>
              <w:pStyle w:val="45"/>
              <w:bidi w:val="0"/>
              <w:rPr>
                <w:rFonts w:hint="eastAsia"/>
              </w:rPr>
            </w:pPr>
          </w:p>
        </w:tc>
        <w:tc>
          <w:tcPr>
            <w:tcW w:w="105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410C0F">
            <w:pPr>
              <w:pStyle w:val="45"/>
              <w:bidi w:val="0"/>
              <w:rPr>
                <w:rFonts w:hint="eastAsia"/>
              </w:rPr>
            </w:pPr>
            <w:r>
              <w:rPr>
                <w:rFonts w:hint="eastAsia"/>
                <w:lang w:val="en-US" w:eastAsia="zh-CN"/>
              </w:rPr>
              <w:t>其他物料</w:t>
            </w:r>
          </w:p>
        </w:tc>
        <w:tc>
          <w:tcPr>
            <w:tcW w:w="1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435B4">
            <w:pPr>
              <w:pStyle w:val="45"/>
              <w:bidi w:val="0"/>
              <w:rPr>
                <w:rFonts w:hint="eastAsia"/>
              </w:rPr>
            </w:pPr>
            <w:r>
              <w:rPr>
                <w:rFonts w:hint="eastAsia"/>
                <w:lang w:val="en-US" w:eastAsia="zh-CN"/>
              </w:rPr>
              <w:t>干燥粉尘带走</w:t>
            </w:r>
          </w:p>
        </w:tc>
        <w:tc>
          <w:tcPr>
            <w:tcW w:w="11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B3947">
            <w:pPr>
              <w:pStyle w:val="45"/>
              <w:bidi w:val="0"/>
              <w:rPr>
                <w:rFonts w:hint="eastAsia"/>
              </w:rPr>
            </w:pPr>
            <w:r>
              <w:rPr>
                <w:rFonts w:hint="eastAsia"/>
                <w:lang w:val="en-US" w:eastAsia="zh-CN"/>
              </w:rPr>
              <w:t>0.06</w:t>
            </w:r>
          </w:p>
        </w:tc>
      </w:tr>
      <w:tr w14:paraId="574147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C8994">
            <w:pPr>
              <w:pStyle w:val="45"/>
              <w:bidi w:val="0"/>
              <w:rPr>
                <w:rFonts w:hint="eastAsia"/>
              </w:rPr>
            </w:pP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D15E24">
            <w:pPr>
              <w:pStyle w:val="45"/>
              <w:bidi w:val="0"/>
              <w:rPr>
                <w:rFonts w:hint="eastAsia"/>
              </w:rPr>
            </w:pPr>
          </w:p>
        </w:tc>
        <w:tc>
          <w:tcPr>
            <w:tcW w:w="105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617D2">
            <w:pPr>
              <w:pStyle w:val="45"/>
              <w:bidi w:val="0"/>
              <w:rPr>
                <w:rFonts w:hint="eastAsia"/>
              </w:rPr>
            </w:pPr>
          </w:p>
        </w:tc>
        <w:tc>
          <w:tcPr>
            <w:tcW w:w="1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10BF3C">
            <w:pPr>
              <w:pStyle w:val="45"/>
              <w:bidi w:val="0"/>
              <w:rPr>
                <w:rFonts w:hint="eastAsia"/>
              </w:rPr>
            </w:pPr>
            <w:r>
              <w:rPr>
                <w:rFonts w:hint="eastAsia"/>
                <w:lang w:val="en-US" w:eastAsia="zh-CN"/>
              </w:rPr>
              <w:t>母液带走</w:t>
            </w:r>
          </w:p>
        </w:tc>
        <w:tc>
          <w:tcPr>
            <w:tcW w:w="11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B8DEF">
            <w:pPr>
              <w:pStyle w:val="45"/>
              <w:bidi w:val="0"/>
              <w:rPr>
                <w:rFonts w:hint="eastAsia"/>
              </w:rPr>
            </w:pPr>
            <w:r>
              <w:rPr>
                <w:rFonts w:hint="eastAsia"/>
                <w:lang w:val="en-US" w:eastAsia="zh-CN"/>
              </w:rPr>
              <w:t>1.05</w:t>
            </w:r>
          </w:p>
        </w:tc>
      </w:tr>
      <w:tr w14:paraId="328161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02719">
            <w:pPr>
              <w:pStyle w:val="45"/>
              <w:bidi w:val="0"/>
              <w:rPr>
                <w:rFonts w:hint="eastAsia"/>
              </w:rPr>
            </w:pPr>
            <w:r>
              <w:rPr>
                <w:rFonts w:hint="eastAsia"/>
                <w:lang w:val="en-US" w:eastAsia="zh-CN"/>
              </w:rPr>
              <w:t>合计</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378EB4">
            <w:pPr>
              <w:pStyle w:val="45"/>
              <w:bidi w:val="0"/>
              <w:rPr>
                <w:rFonts w:hint="eastAsia"/>
              </w:rPr>
            </w:pPr>
            <w:r>
              <w:rPr>
                <w:rFonts w:hint="eastAsia"/>
                <w:lang w:val="en-US" w:eastAsia="zh-CN"/>
              </w:rPr>
              <w:t>34.05</w:t>
            </w:r>
          </w:p>
        </w:tc>
        <w:tc>
          <w:tcPr>
            <w:tcW w:w="253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6B9BC">
            <w:pPr>
              <w:pStyle w:val="45"/>
              <w:bidi w:val="0"/>
              <w:rPr>
                <w:rFonts w:hint="eastAsia"/>
              </w:rPr>
            </w:pPr>
            <w:r>
              <w:rPr>
                <w:rFonts w:hint="eastAsia"/>
                <w:lang w:val="en-US" w:eastAsia="zh-CN"/>
              </w:rPr>
              <w:t>合计</w:t>
            </w:r>
          </w:p>
        </w:tc>
        <w:tc>
          <w:tcPr>
            <w:tcW w:w="6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7DE6A">
            <w:pPr>
              <w:pStyle w:val="45"/>
              <w:bidi w:val="0"/>
              <w:rPr>
                <w:rFonts w:hint="eastAsia"/>
              </w:rPr>
            </w:pPr>
            <w:r>
              <w:rPr>
                <w:rFonts w:hint="eastAsia"/>
                <w:lang w:val="en-US" w:eastAsia="zh-CN"/>
              </w:rPr>
              <w:t>34.05</w:t>
            </w:r>
          </w:p>
        </w:tc>
      </w:tr>
    </w:tbl>
    <w:p w14:paraId="1E5EB296">
      <w:pPr>
        <w:numPr>
          <w:ilvl w:val="0"/>
          <w:numId w:val="0"/>
        </w:numPr>
        <w:outlineLvl w:val="9"/>
        <w:rPr>
          <w:rFonts w:hint="eastAsia"/>
          <w:b/>
          <w:bCs/>
          <w:lang w:val="en-US" w:eastAsia="zh-CN"/>
        </w:rPr>
      </w:pPr>
    </w:p>
    <w:p w14:paraId="4492AB4F">
      <w:pPr>
        <w:pStyle w:val="43"/>
        <w:numPr>
          <w:ilvl w:val="5"/>
          <w:numId w:val="1"/>
        </w:numPr>
        <w:rPr>
          <w:rFonts w:hint="eastAsia"/>
          <w:highlight w:val="none"/>
        </w:rPr>
      </w:pPr>
      <w:r>
        <w:rPr>
          <w:rFonts w:hint="eastAsia"/>
          <w:b/>
          <w:bCs/>
          <w:lang w:val="en-US" w:eastAsia="zh-CN"/>
        </w:rPr>
        <w:t>复分解生产高氯酸锂</w:t>
      </w:r>
      <w:r>
        <w:rPr>
          <w:rFonts w:hint="eastAsia"/>
          <w:highlight w:val="none"/>
          <w:lang w:val="en-US" w:eastAsia="zh-CN"/>
        </w:rPr>
        <w:t>锂元素平衡一览表</w:t>
      </w:r>
    </w:p>
    <w:tbl>
      <w:tblPr>
        <w:tblStyle w:val="32"/>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876"/>
        <w:gridCol w:w="1530"/>
        <w:gridCol w:w="1674"/>
        <w:gridCol w:w="2344"/>
        <w:gridCol w:w="1096"/>
      </w:tblGrid>
      <w:tr w14:paraId="1FA2B3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999"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69DC5">
            <w:pPr>
              <w:pStyle w:val="45"/>
              <w:bidi w:val="0"/>
              <w:rPr>
                <w:rFonts w:hint="eastAsia"/>
                <w:b/>
                <w:bCs/>
              </w:rPr>
            </w:pPr>
            <w:r>
              <w:rPr>
                <w:rFonts w:hint="eastAsia"/>
                <w:b/>
                <w:bCs/>
                <w:lang w:val="en-US" w:eastAsia="zh-CN"/>
              </w:rPr>
              <w:t>投入（</w:t>
            </w:r>
            <w:r>
              <w:rPr>
                <w:rFonts w:hint="default"/>
                <w:b/>
                <w:bCs/>
                <w:lang w:val="en-US" w:eastAsia="zh-CN"/>
              </w:rPr>
              <w:t>t</w:t>
            </w:r>
            <w:r>
              <w:rPr>
                <w:rFonts w:hint="eastAsia"/>
                <w:b/>
                <w:bCs/>
                <w:lang w:val="en-US" w:eastAsia="zh-CN"/>
              </w:rPr>
              <w:t>）</w:t>
            </w:r>
          </w:p>
        </w:tc>
        <w:tc>
          <w:tcPr>
            <w:tcW w:w="3000"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6008CF">
            <w:pPr>
              <w:pStyle w:val="45"/>
              <w:bidi w:val="0"/>
              <w:rPr>
                <w:rFonts w:hint="eastAsia"/>
                <w:b/>
                <w:bCs/>
              </w:rPr>
            </w:pPr>
            <w:r>
              <w:rPr>
                <w:rFonts w:hint="eastAsia"/>
                <w:b/>
                <w:bCs/>
                <w:lang w:val="en-US" w:eastAsia="zh-CN"/>
              </w:rPr>
              <w:t>产出（</w:t>
            </w:r>
            <w:r>
              <w:rPr>
                <w:rFonts w:hint="default"/>
                <w:b/>
                <w:bCs/>
                <w:lang w:val="en-US" w:eastAsia="zh-CN"/>
              </w:rPr>
              <w:t>t</w:t>
            </w:r>
            <w:r>
              <w:rPr>
                <w:rFonts w:hint="eastAsia"/>
                <w:b/>
                <w:bCs/>
                <w:lang w:val="en-US" w:eastAsia="zh-CN"/>
              </w:rPr>
              <w:t>）</w:t>
            </w:r>
          </w:p>
        </w:tc>
      </w:tr>
      <w:tr w14:paraId="2F8488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42CB1">
            <w:pPr>
              <w:pStyle w:val="45"/>
              <w:bidi w:val="0"/>
              <w:rPr>
                <w:rFonts w:hint="eastAsia"/>
              </w:rPr>
            </w:pPr>
            <w:r>
              <w:rPr>
                <w:rFonts w:hint="eastAsia"/>
                <w:lang w:val="en-US" w:eastAsia="zh-CN"/>
              </w:rPr>
              <w:t>氯化锂</w:t>
            </w:r>
          </w:p>
        </w:tc>
        <w:tc>
          <w:tcPr>
            <w:tcW w:w="8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7ACE8">
            <w:pPr>
              <w:pStyle w:val="45"/>
              <w:bidi w:val="0"/>
              <w:rPr>
                <w:rFonts w:hint="eastAsia"/>
              </w:rPr>
            </w:pPr>
            <w:r>
              <w:rPr>
                <w:rFonts w:hint="eastAsia"/>
                <w:lang w:val="en-US" w:eastAsia="zh-CN"/>
              </w:rPr>
              <w:t>32.94</w:t>
            </w:r>
          </w:p>
        </w:tc>
        <w:tc>
          <w:tcPr>
            <w:tcW w:w="9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F15D2">
            <w:pPr>
              <w:pStyle w:val="45"/>
              <w:bidi w:val="0"/>
              <w:rPr>
                <w:rFonts w:hint="eastAsia"/>
              </w:rPr>
            </w:pPr>
            <w:r>
              <w:rPr>
                <w:rFonts w:hint="eastAsia"/>
                <w:lang w:val="en-US" w:eastAsia="zh-CN"/>
              </w:rPr>
              <w:t>产品</w:t>
            </w:r>
          </w:p>
        </w:tc>
        <w:tc>
          <w:tcPr>
            <w:tcW w:w="13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E2633">
            <w:pPr>
              <w:pStyle w:val="45"/>
              <w:bidi w:val="0"/>
              <w:rPr>
                <w:rFonts w:hint="eastAsia"/>
              </w:rPr>
            </w:pPr>
            <w:r>
              <w:rPr>
                <w:rFonts w:hint="eastAsia"/>
                <w:lang w:val="en-US" w:eastAsia="zh-CN"/>
              </w:rPr>
              <w:t>高氯酸锂</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1CB88">
            <w:pPr>
              <w:pStyle w:val="45"/>
              <w:bidi w:val="0"/>
              <w:rPr>
                <w:rFonts w:hint="eastAsia"/>
              </w:rPr>
            </w:pPr>
            <w:r>
              <w:rPr>
                <w:rFonts w:hint="eastAsia"/>
                <w:lang w:val="en-US" w:eastAsia="zh-CN"/>
              </w:rPr>
              <w:t>26.29</w:t>
            </w:r>
          </w:p>
        </w:tc>
      </w:tr>
      <w:tr w14:paraId="6BD436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5AAECB">
            <w:pPr>
              <w:pStyle w:val="45"/>
              <w:bidi w:val="0"/>
              <w:rPr>
                <w:rFonts w:hint="eastAsia"/>
              </w:rPr>
            </w:pPr>
          </w:p>
        </w:tc>
        <w:tc>
          <w:tcPr>
            <w:tcW w:w="8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883EA">
            <w:pPr>
              <w:pStyle w:val="45"/>
              <w:bidi w:val="0"/>
              <w:rPr>
                <w:rFonts w:hint="eastAsia"/>
              </w:rPr>
            </w:pPr>
          </w:p>
        </w:tc>
        <w:tc>
          <w:tcPr>
            <w:tcW w:w="98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FF5CB">
            <w:pPr>
              <w:pStyle w:val="45"/>
              <w:bidi w:val="0"/>
              <w:rPr>
                <w:rFonts w:hint="eastAsia"/>
              </w:rPr>
            </w:pPr>
            <w:r>
              <w:rPr>
                <w:rFonts w:hint="eastAsia"/>
                <w:lang w:val="en-US" w:eastAsia="zh-CN"/>
              </w:rPr>
              <w:t>其他物料</w:t>
            </w:r>
          </w:p>
        </w:tc>
        <w:tc>
          <w:tcPr>
            <w:tcW w:w="13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611AD">
            <w:pPr>
              <w:pStyle w:val="45"/>
              <w:bidi w:val="0"/>
              <w:rPr>
                <w:rFonts w:hint="eastAsia"/>
              </w:rPr>
            </w:pPr>
            <w:r>
              <w:rPr>
                <w:rFonts w:hint="eastAsia"/>
                <w:lang w:val="en-US" w:eastAsia="zh-CN"/>
              </w:rPr>
              <w:t>干燥粉尘带走</w:t>
            </w:r>
          </w:p>
        </w:tc>
        <w:tc>
          <w:tcPr>
            <w:tcW w:w="10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1532C">
            <w:pPr>
              <w:pStyle w:val="45"/>
              <w:bidi w:val="0"/>
              <w:rPr>
                <w:rFonts w:hint="eastAsia"/>
              </w:rPr>
            </w:pPr>
            <w:r>
              <w:rPr>
                <w:rFonts w:hint="eastAsia"/>
                <w:lang w:val="en-US" w:eastAsia="zh-CN"/>
              </w:rPr>
              <w:t>0.02</w:t>
            </w:r>
          </w:p>
        </w:tc>
      </w:tr>
      <w:tr w14:paraId="3553E8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B0384">
            <w:pPr>
              <w:pStyle w:val="45"/>
              <w:bidi w:val="0"/>
              <w:rPr>
                <w:rFonts w:hint="eastAsia"/>
              </w:rPr>
            </w:pPr>
          </w:p>
        </w:tc>
        <w:tc>
          <w:tcPr>
            <w:tcW w:w="8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366D47">
            <w:pPr>
              <w:pStyle w:val="45"/>
              <w:bidi w:val="0"/>
              <w:rPr>
                <w:rFonts w:hint="eastAsia"/>
              </w:rPr>
            </w:pPr>
          </w:p>
        </w:tc>
        <w:tc>
          <w:tcPr>
            <w:tcW w:w="98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9B723">
            <w:pPr>
              <w:pStyle w:val="45"/>
              <w:bidi w:val="0"/>
              <w:rPr>
                <w:rFonts w:hint="eastAsia"/>
              </w:rPr>
            </w:pPr>
          </w:p>
        </w:tc>
        <w:tc>
          <w:tcPr>
            <w:tcW w:w="13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CFD2D">
            <w:pPr>
              <w:pStyle w:val="45"/>
              <w:bidi w:val="0"/>
              <w:rPr>
                <w:rFonts w:hint="eastAsia"/>
              </w:rPr>
            </w:pPr>
            <w:r>
              <w:rPr>
                <w:rFonts w:hint="eastAsia"/>
                <w:lang w:val="en-US" w:eastAsia="zh-CN"/>
              </w:rPr>
              <w:t>母液带走</w:t>
            </w:r>
          </w:p>
        </w:tc>
        <w:tc>
          <w:tcPr>
            <w:tcW w:w="10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A6CE3E">
            <w:pPr>
              <w:pStyle w:val="45"/>
              <w:bidi w:val="0"/>
              <w:rPr>
                <w:rFonts w:hint="eastAsia"/>
              </w:rPr>
            </w:pPr>
            <w:r>
              <w:rPr>
                <w:rFonts w:hint="eastAsia"/>
                <w:lang w:val="en-US" w:eastAsia="zh-CN"/>
              </w:rPr>
              <w:t>6.63</w:t>
            </w:r>
          </w:p>
        </w:tc>
      </w:tr>
      <w:tr w14:paraId="66800D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A8EF9">
            <w:pPr>
              <w:pStyle w:val="45"/>
              <w:bidi w:val="0"/>
              <w:rPr>
                <w:rFonts w:hint="eastAsia"/>
              </w:rPr>
            </w:pPr>
            <w:r>
              <w:rPr>
                <w:rFonts w:hint="eastAsia"/>
                <w:lang w:val="en-US" w:eastAsia="zh-CN"/>
              </w:rPr>
              <w:t>合计</w:t>
            </w:r>
          </w:p>
        </w:tc>
        <w:tc>
          <w:tcPr>
            <w:tcW w:w="8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BDBA2">
            <w:pPr>
              <w:pStyle w:val="45"/>
              <w:bidi w:val="0"/>
              <w:rPr>
                <w:rFonts w:hint="eastAsia"/>
              </w:rPr>
            </w:pPr>
            <w:r>
              <w:rPr>
                <w:rFonts w:hint="eastAsia"/>
                <w:lang w:val="en-US" w:eastAsia="zh-CN"/>
              </w:rPr>
              <w:t>32.94</w:t>
            </w:r>
          </w:p>
        </w:tc>
        <w:tc>
          <w:tcPr>
            <w:tcW w:w="2357"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F818D">
            <w:pPr>
              <w:pStyle w:val="45"/>
              <w:bidi w:val="0"/>
              <w:rPr>
                <w:rFonts w:hint="eastAsia"/>
              </w:rPr>
            </w:pPr>
            <w:r>
              <w:rPr>
                <w:rFonts w:hint="eastAsia"/>
                <w:lang w:val="en-US" w:eastAsia="zh-CN"/>
              </w:rPr>
              <w:t>合计</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DC04B">
            <w:pPr>
              <w:pStyle w:val="45"/>
              <w:bidi w:val="0"/>
              <w:rPr>
                <w:rFonts w:hint="eastAsia"/>
              </w:rPr>
            </w:pPr>
            <w:r>
              <w:rPr>
                <w:rFonts w:hint="eastAsia"/>
                <w:lang w:val="en-US" w:eastAsia="zh-CN"/>
              </w:rPr>
              <w:t>32.94</w:t>
            </w:r>
          </w:p>
        </w:tc>
      </w:tr>
    </w:tbl>
    <w:p w14:paraId="10DC4419">
      <w:pPr>
        <w:numPr>
          <w:ilvl w:val="0"/>
          <w:numId w:val="0"/>
        </w:numPr>
        <w:outlineLvl w:val="9"/>
        <w:rPr>
          <w:rFonts w:hint="eastAsia"/>
          <w:b/>
          <w:bCs/>
          <w:lang w:val="en-US" w:eastAsia="zh-CN"/>
        </w:rPr>
      </w:pPr>
    </w:p>
    <w:p w14:paraId="434E27AB">
      <w:pPr>
        <w:numPr>
          <w:ilvl w:val="0"/>
          <w:numId w:val="0"/>
        </w:numPr>
        <w:outlineLvl w:val="9"/>
        <w:rPr>
          <w:rFonts w:hint="eastAsia"/>
          <w:b/>
          <w:bCs/>
          <w:lang w:val="en-US" w:eastAsia="zh-CN"/>
        </w:rPr>
      </w:pPr>
      <w:r>
        <w:rPr>
          <w:rFonts w:hint="eastAsia"/>
          <w:b/>
          <w:bCs/>
          <w:lang w:val="en-US" w:eastAsia="zh-CN"/>
        </w:rPr>
        <w:object>
          <v:shape id="_x0000_i1050" o:spt="75" type="#_x0000_t75" style="height:110.25pt;width:415.05pt;" o:ole="t" filled="f" o:preferrelative="t" stroked="f" coordsize="21600,21600">
            <v:path/>
            <v:fill on="f" focussize="0,0"/>
            <v:stroke on="f"/>
            <v:imagedata r:id="rId68" o:title=""/>
            <o:lock v:ext="edit" aspectratio="f"/>
            <w10:wrap type="none"/>
            <w10:anchorlock/>
          </v:shape>
          <o:OLEObject Type="Embed" ProgID="Visio.Drawing.15" ShapeID="_x0000_i1050" DrawAspect="Content" ObjectID="_1468075750" r:id="rId67">
            <o:LockedField>false</o:LockedField>
          </o:OLEObject>
        </w:object>
      </w:r>
    </w:p>
    <w:p w14:paraId="038E8AF1">
      <w:pPr>
        <w:pStyle w:val="42"/>
        <w:bidi w:val="0"/>
        <w:rPr>
          <w:rFonts w:hint="default"/>
        </w:rPr>
      </w:pPr>
      <w:r>
        <w:rPr>
          <w:rFonts w:hint="eastAsia"/>
          <w:b/>
          <w:bCs/>
          <w:lang w:val="en-US" w:eastAsia="zh-CN"/>
        </w:rPr>
        <w:t>复分解生产高氯酸锂</w:t>
      </w:r>
      <w:r>
        <w:rPr>
          <w:rFonts w:hint="eastAsia"/>
          <w:lang w:val="en-US" w:eastAsia="zh-CN"/>
        </w:rPr>
        <w:t>锂元素</w:t>
      </w:r>
      <w:r>
        <w:t>平衡示意图（单位：t/a）</w:t>
      </w:r>
    </w:p>
    <w:p w14:paraId="17BBA0D5">
      <w:pPr>
        <w:numPr>
          <w:ilvl w:val="0"/>
          <w:numId w:val="0"/>
        </w:numPr>
        <w:outlineLvl w:val="9"/>
        <w:rPr>
          <w:rFonts w:hint="eastAsia"/>
          <w:b/>
          <w:bCs/>
          <w:lang w:val="en-US" w:eastAsia="zh-CN"/>
        </w:rPr>
      </w:pPr>
    </w:p>
    <w:p w14:paraId="32334D06">
      <w:pPr>
        <w:ind w:left="0" w:leftChars="0" w:firstLine="482" w:firstLineChars="200"/>
        <w:outlineLvl w:val="4"/>
        <w:rPr>
          <w:rFonts w:hint="default"/>
          <w:b/>
          <w:bCs/>
          <w:lang w:val="en-US" w:eastAsia="zh-CN"/>
        </w:rPr>
      </w:pPr>
      <w:r>
        <w:rPr>
          <w:rFonts w:hint="eastAsia"/>
          <w:b/>
          <w:bCs/>
          <w:lang w:val="en-US" w:eastAsia="zh-CN"/>
        </w:rPr>
        <w:t>2、中和生产高氯酸锂</w:t>
      </w:r>
    </w:p>
    <w:p w14:paraId="4044D078">
      <w:pPr>
        <w:ind w:firstLine="480"/>
        <w:rPr>
          <w:rFonts w:hint="eastAsia"/>
        </w:rPr>
      </w:pPr>
      <w:r>
        <w:rPr>
          <w:rFonts w:hint="eastAsia"/>
          <w:lang w:val="en-US" w:eastAsia="zh-CN"/>
        </w:rPr>
        <w:t>锂盐生产</w:t>
      </w:r>
      <w:r>
        <w:rPr>
          <w:rFonts w:hint="eastAsia"/>
        </w:rPr>
        <w:t>装置为连续生产，</w:t>
      </w:r>
      <w:r>
        <w:rPr>
          <w:rFonts w:hint="eastAsia"/>
          <w:lang w:val="en-US" w:eastAsia="zh-CN"/>
        </w:rPr>
        <w:t>中和法生产200吨高氯酸锂时</w:t>
      </w:r>
      <w:r>
        <w:rPr>
          <w:rFonts w:hint="eastAsia"/>
        </w:rPr>
        <w:t>，物料平衡依据化学反应方程式质量守恒来核算。核算过程如下：</w:t>
      </w:r>
    </w:p>
    <w:p w14:paraId="1592BA20">
      <w:pPr>
        <w:jc w:val="center"/>
        <w:rPr>
          <w:rFonts w:hint="eastAsia"/>
        </w:rPr>
      </w:pPr>
      <w:r>
        <w:rPr>
          <w:rFonts w:hint="eastAsia"/>
          <w:position w:val="-12"/>
        </w:rPr>
        <w:object>
          <v:shape id="_x0000_i1051" o:spt="75" type="#_x0000_t75" style="height:18.85pt;width:281.95pt;" o:ole="t" filled="f" o:preferrelative="t" stroked="f" coordsize="21600,21600">
            <v:path/>
            <v:fill on="f" focussize="0,0"/>
            <v:stroke on="f"/>
            <v:imagedata r:id="rId70" o:title=""/>
            <o:lock v:ext="edit" aspectratio="t"/>
            <w10:wrap type="none"/>
            <w10:anchorlock/>
          </v:shape>
          <o:OLEObject Type="Embed" ProgID="Equation.KSEE3" ShapeID="_x0000_i1051" DrawAspect="Content" ObjectID="_1468075751" r:id="rId69">
            <o:LockedField>false</o:LockedField>
          </o:OLEObject>
        </w:object>
      </w:r>
    </w:p>
    <w:p w14:paraId="3643517F">
      <w:pPr>
        <w:jc w:val="center"/>
        <w:rPr>
          <w:rFonts w:hint="eastAsia"/>
        </w:rPr>
      </w:pPr>
      <w:r>
        <w:rPr>
          <w:rFonts w:hint="eastAsia"/>
        </w:rPr>
        <w:object>
          <v:shape id="_x0000_i1052" o:spt="75" type="#_x0000_t75" style="height:18pt;width:186.85pt;" o:ole="t" filled="f" o:preferrelative="t" stroked="f" coordsize="21600,21600">
            <v:path/>
            <v:fill on="f" focussize="0,0"/>
            <v:stroke on="f" joinstyle="miter"/>
            <v:imagedata r:id="rId62" o:title=""/>
            <o:lock v:ext="edit" aspectratio="t"/>
            <w10:wrap type="none"/>
            <w10:anchorlock/>
          </v:shape>
          <o:OLEObject Type="Embed" ProgID="Equation.KSEE3" ShapeID="_x0000_i1052" DrawAspect="Content" ObjectID="_1468075752" r:id="rId71">
            <o:LockedField>false</o:LockedField>
          </o:OLEObject>
        </w:object>
      </w:r>
    </w:p>
    <w:p w14:paraId="79E9A1F9">
      <w:pPr>
        <w:pStyle w:val="43"/>
        <w:numPr>
          <w:ilvl w:val="5"/>
          <w:numId w:val="1"/>
        </w:numPr>
        <w:rPr>
          <w:rFonts w:hint="eastAsia"/>
          <w:highlight w:val="none"/>
        </w:rPr>
      </w:pPr>
      <w:r>
        <w:rPr>
          <w:rFonts w:hint="eastAsia"/>
          <w:b/>
          <w:bCs/>
          <w:lang w:val="en-US" w:eastAsia="zh-CN"/>
        </w:rPr>
        <w:t>中和生产高氯酸锂</w:t>
      </w:r>
      <w:r>
        <w:rPr>
          <w:rFonts w:hint="eastAsia"/>
          <w:highlight w:val="none"/>
        </w:rPr>
        <w:t>所需物料反应量</w:t>
      </w:r>
    </w:p>
    <w:tbl>
      <w:tblPr>
        <w:tblStyle w:val="3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9"/>
        <w:gridCol w:w="952"/>
        <w:gridCol w:w="1016"/>
        <w:gridCol w:w="720"/>
        <w:gridCol w:w="1831"/>
        <w:gridCol w:w="861"/>
        <w:gridCol w:w="1056"/>
        <w:gridCol w:w="1112"/>
      </w:tblGrid>
      <w:tr w14:paraId="51664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69" w:type="pct"/>
            <w:vAlign w:val="center"/>
          </w:tcPr>
          <w:p w14:paraId="751D4720">
            <w:pPr>
              <w:pStyle w:val="45"/>
              <w:rPr>
                <w:rFonts w:hint="default"/>
                <w:b/>
                <w:bCs/>
                <w:highlight w:val="none"/>
              </w:rPr>
            </w:pPr>
            <w:r>
              <w:rPr>
                <w:b/>
                <w:bCs/>
                <w:highlight w:val="none"/>
              </w:rPr>
              <w:t>化学反应物质</w:t>
            </w:r>
          </w:p>
        </w:tc>
        <w:tc>
          <w:tcPr>
            <w:tcW w:w="558" w:type="pct"/>
            <w:vAlign w:val="center"/>
          </w:tcPr>
          <w:p w14:paraId="19931D19">
            <w:pPr>
              <w:pStyle w:val="45"/>
              <w:rPr>
                <w:rFonts w:hint="default"/>
                <w:b/>
                <w:bCs/>
                <w:highlight w:val="none"/>
              </w:rPr>
            </w:pPr>
            <w:r>
              <w:rPr>
                <w:rFonts w:hint="eastAsia"/>
                <w:b/>
                <w:bCs/>
                <w:highlight w:val="none"/>
                <w:lang w:val="en-US" w:eastAsia="zh-CN"/>
              </w:rPr>
              <w:t>Li</w:t>
            </w:r>
            <w:r>
              <w:rPr>
                <w:rFonts w:hint="eastAsia"/>
                <w:b/>
                <w:bCs/>
                <w:highlight w:val="none"/>
                <w:vertAlign w:val="subscript"/>
                <w:lang w:val="en-US" w:eastAsia="zh-CN"/>
              </w:rPr>
              <w:t>2</w:t>
            </w:r>
            <w:r>
              <w:rPr>
                <w:b/>
                <w:bCs/>
                <w:highlight w:val="none"/>
              </w:rPr>
              <w:t>CO</w:t>
            </w:r>
            <w:r>
              <w:rPr>
                <w:rFonts w:hint="eastAsia"/>
                <w:b/>
                <w:bCs/>
                <w:highlight w:val="none"/>
                <w:vertAlign w:val="subscript"/>
                <w:lang w:val="en-US" w:eastAsia="zh-CN"/>
              </w:rPr>
              <w:t>3</w:t>
            </w:r>
          </w:p>
        </w:tc>
        <w:tc>
          <w:tcPr>
            <w:tcW w:w="596" w:type="pct"/>
            <w:vAlign w:val="center"/>
          </w:tcPr>
          <w:p w14:paraId="37CB3F89">
            <w:pPr>
              <w:pStyle w:val="45"/>
              <w:rPr>
                <w:rFonts w:hint="default"/>
                <w:b/>
                <w:bCs/>
                <w:highlight w:val="none"/>
              </w:rPr>
            </w:pPr>
            <w:r>
              <w:rPr>
                <w:rFonts w:hint="eastAsia"/>
                <w:b/>
                <w:bCs/>
                <w:highlight w:val="none"/>
                <w:lang w:val="en-US" w:eastAsia="zh-CN"/>
              </w:rPr>
              <w:t>2H</w:t>
            </w:r>
            <w:r>
              <w:rPr>
                <w:b/>
                <w:bCs/>
                <w:highlight w:val="none"/>
              </w:rPr>
              <w:t>ClO</w:t>
            </w:r>
            <w:r>
              <w:rPr>
                <w:b/>
                <w:bCs/>
                <w:highlight w:val="none"/>
                <w:vertAlign w:val="subscript"/>
              </w:rPr>
              <w:t>4</w:t>
            </w:r>
          </w:p>
        </w:tc>
        <w:tc>
          <w:tcPr>
            <w:tcW w:w="422" w:type="pct"/>
            <w:vAlign w:val="center"/>
          </w:tcPr>
          <w:p w14:paraId="42A204D3">
            <w:pPr>
              <w:pStyle w:val="45"/>
              <w:rPr>
                <w:rFonts w:hint="default"/>
                <w:b/>
                <w:bCs/>
                <w:highlight w:val="none"/>
              </w:rPr>
            </w:pPr>
            <w:r>
              <w:rPr>
                <w:rFonts w:hint="eastAsia"/>
                <w:b/>
                <w:bCs/>
                <w:highlight w:val="none"/>
                <w:lang w:val="en-US" w:eastAsia="zh-CN"/>
              </w:rPr>
              <w:t>5</w:t>
            </w:r>
            <w:r>
              <w:rPr>
                <w:b/>
                <w:bCs/>
                <w:highlight w:val="none"/>
              </w:rPr>
              <w:t>H</w:t>
            </w:r>
            <w:r>
              <w:rPr>
                <w:b/>
                <w:bCs/>
                <w:highlight w:val="none"/>
                <w:vertAlign w:val="subscript"/>
              </w:rPr>
              <w:t>2</w:t>
            </w:r>
            <w:r>
              <w:rPr>
                <w:b/>
                <w:bCs/>
                <w:highlight w:val="none"/>
              </w:rPr>
              <w:t>O</w:t>
            </w:r>
          </w:p>
        </w:tc>
        <w:tc>
          <w:tcPr>
            <w:tcW w:w="1074" w:type="pct"/>
            <w:vAlign w:val="center"/>
          </w:tcPr>
          <w:p w14:paraId="08A5301C">
            <w:pPr>
              <w:pStyle w:val="45"/>
              <w:jc w:val="both"/>
              <w:rPr>
                <w:rFonts w:hint="default"/>
                <w:b/>
                <w:bCs/>
                <w:highlight w:val="none"/>
              </w:rPr>
            </w:pPr>
            <w:r>
              <w:rPr>
                <w:rFonts w:hint="eastAsia"/>
                <w:b/>
                <w:bCs/>
                <w:highlight w:val="none"/>
                <w:lang w:val="en-US" w:eastAsia="zh-CN"/>
              </w:rPr>
              <w:t>2 [Li</w:t>
            </w:r>
            <w:r>
              <w:rPr>
                <w:b/>
                <w:bCs/>
                <w:highlight w:val="none"/>
              </w:rPr>
              <w:t>ClO</w:t>
            </w:r>
            <w:r>
              <w:rPr>
                <w:rFonts w:hint="eastAsia"/>
                <w:b/>
                <w:bCs/>
                <w:highlight w:val="none"/>
                <w:vertAlign w:val="subscript"/>
                <w:lang w:val="en-US" w:eastAsia="zh-CN"/>
              </w:rPr>
              <w:t>4</w:t>
            </w:r>
            <w:r>
              <w:rPr>
                <w:rFonts w:hint="eastAsia" w:ascii="微软雅黑" w:hAnsi="微软雅黑" w:eastAsia="微软雅黑" w:cs="微软雅黑"/>
                <w:b/>
                <w:bCs/>
                <w:highlight w:val="none"/>
                <w:vertAlign w:val="baseline"/>
                <w:lang w:val="en-US" w:eastAsia="zh-CN"/>
              </w:rPr>
              <w:t>•</w:t>
            </w:r>
            <w:r>
              <w:rPr>
                <w:rFonts w:hint="eastAsia"/>
                <w:b/>
                <w:bCs/>
                <w:highlight w:val="none"/>
                <w:lang w:val="en-US" w:eastAsia="zh-CN"/>
              </w:rPr>
              <w:t>3</w:t>
            </w:r>
            <w:r>
              <w:rPr>
                <w:b/>
                <w:bCs/>
                <w:highlight w:val="none"/>
              </w:rPr>
              <w:t>H</w:t>
            </w:r>
            <w:r>
              <w:rPr>
                <w:b/>
                <w:bCs/>
                <w:highlight w:val="none"/>
                <w:vertAlign w:val="subscript"/>
              </w:rPr>
              <w:t>2</w:t>
            </w:r>
            <w:r>
              <w:rPr>
                <w:b/>
                <w:bCs/>
                <w:highlight w:val="none"/>
              </w:rPr>
              <w:t>O</w:t>
            </w:r>
            <w:r>
              <w:rPr>
                <w:rFonts w:hint="eastAsia"/>
                <w:b/>
                <w:bCs/>
                <w:highlight w:val="none"/>
                <w:lang w:val="en-US" w:eastAsia="zh-CN"/>
              </w:rPr>
              <w:t>]</w:t>
            </w:r>
          </w:p>
        </w:tc>
        <w:tc>
          <w:tcPr>
            <w:tcW w:w="505" w:type="pct"/>
            <w:vAlign w:val="center"/>
          </w:tcPr>
          <w:p w14:paraId="31428186">
            <w:pPr>
              <w:pStyle w:val="45"/>
              <w:ind w:firstLine="0" w:firstLineChars="0"/>
              <w:rPr>
                <w:rFonts w:hint="default"/>
                <w:b/>
                <w:bCs/>
                <w:highlight w:val="none"/>
              </w:rPr>
            </w:pPr>
            <w:r>
              <w:rPr>
                <w:b/>
                <w:bCs/>
                <w:highlight w:val="none"/>
              </w:rPr>
              <w:t>CO</w:t>
            </w:r>
            <w:r>
              <w:rPr>
                <w:rFonts w:hint="eastAsia"/>
                <w:b/>
                <w:bCs/>
                <w:highlight w:val="none"/>
                <w:vertAlign w:val="subscript"/>
                <w:lang w:val="en-US" w:eastAsia="zh-CN"/>
              </w:rPr>
              <w:t>2</w:t>
            </w:r>
          </w:p>
        </w:tc>
        <w:tc>
          <w:tcPr>
            <w:tcW w:w="619" w:type="pct"/>
            <w:vAlign w:val="center"/>
          </w:tcPr>
          <w:p w14:paraId="7FBC2F75">
            <w:pPr>
              <w:pStyle w:val="45"/>
              <w:rPr>
                <w:rFonts w:hint="default"/>
                <w:b/>
                <w:bCs/>
                <w:highlight w:val="none"/>
              </w:rPr>
            </w:pPr>
            <w:r>
              <w:rPr>
                <w:rFonts w:hint="eastAsia"/>
                <w:b/>
                <w:bCs/>
                <w:highlight w:val="none"/>
                <w:lang w:val="en-US" w:eastAsia="zh-CN"/>
              </w:rPr>
              <w:t>2Li</w:t>
            </w:r>
            <w:r>
              <w:rPr>
                <w:b/>
                <w:bCs/>
                <w:highlight w:val="none"/>
              </w:rPr>
              <w:t>ClO</w:t>
            </w:r>
            <w:r>
              <w:rPr>
                <w:rFonts w:hint="eastAsia"/>
                <w:b/>
                <w:bCs/>
                <w:highlight w:val="none"/>
                <w:vertAlign w:val="subscript"/>
                <w:lang w:val="en-US" w:eastAsia="zh-CN"/>
              </w:rPr>
              <w:t>4</w:t>
            </w:r>
          </w:p>
        </w:tc>
        <w:tc>
          <w:tcPr>
            <w:tcW w:w="652" w:type="pct"/>
            <w:vAlign w:val="center"/>
          </w:tcPr>
          <w:p w14:paraId="027B39DD">
            <w:pPr>
              <w:pStyle w:val="45"/>
              <w:rPr>
                <w:rFonts w:hint="default"/>
                <w:b/>
                <w:bCs/>
                <w:highlight w:val="none"/>
              </w:rPr>
            </w:pPr>
            <w:r>
              <w:rPr>
                <w:rFonts w:hint="eastAsia"/>
                <w:b/>
                <w:bCs/>
                <w:highlight w:val="none"/>
                <w:lang w:val="en-US" w:eastAsia="zh-CN"/>
              </w:rPr>
              <w:t>6</w:t>
            </w:r>
            <w:r>
              <w:rPr>
                <w:b/>
                <w:bCs/>
                <w:highlight w:val="none"/>
              </w:rPr>
              <w:t>H</w:t>
            </w:r>
            <w:r>
              <w:rPr>
                <w:b/>
                <w:bCs/>
                <w:highlight w:val="none"/>
                <w:vertAlign w:val="subscript"/>
              </w:rPr>
              <w:t>2</w:t>
            </w:r>
            <w:r>
              <w:rPr>
                <w:b/>
                <w:bCs/>
                <w:highlight w:val="none"/>
              </w:rPr>
              <w:t>O</w:t>
            </w:r>
          </w:p>
        </w:tc>
      </w:tr>
      <w:tr w14:paraId="0262E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9" w:type="pct"/>
            <w:vAlign w:val="center"/>
          </w:tcPr>
          <w:p w14:paraId="27D77EE6">
            <w:pPr>
              <w:pStyle w:val="45"/>
              <w:rPr>
                <w:rFonts w:hint="default"/>
                <w:b/>
                <w:bCs/>
                <w:highlight w:val="none"/>
              </w:rPr>
            </w:pPr>
            <w:r>
              <w:rPr>
                <w:b/>
                <w:bCs/>
                <w:highlight w:val="none"/>
              </w:rPr>
              <w:t>分子量</w:t>
            </w:r>
          </w:p>
        </w:tc>
        <w:tc>
          <w:tcPr>
            <w:tcW w:w="558" w:type="pct"/>
            <w:vAlign w:val="center"/>
          </w:tcPr>
          <w:p w14:paraId="2622C12A">
            <w:pPr>
              <w:pStyle w:val="45"/>
              <w:rPr>
                <w:rFonts w:hint="default" w:eastAsia="宋体"/>
                <w:b/>
                <w:bCs/>
                <w:highlight w:val="none"/>
                <w:lang w:val="en-US" w:eastAsia="zh-CN"/>
              </w:rPr>
            </w:pPr>
            <w:r>
              <w:rPr>
                <w:rFonts w:hint="eastAsia"/>
                <w:b/>
                <w:bCs/>
                <w:highlight w:val="none"/>
                <w:lang w:val="en-US" w:eastAsia="zh-CN"/>
              </w:rPr>
              <w:t>74</w:t>
            </w:r>
          </w:p>
        </w:tc>
        <w:tc>
          <w:tcPr>
            <w:tcW w:w="596" w:type="pct"/>
            <w:vAlign w:val="center"/>
          </w:tcPr>
          <w:p w14:paraId="3FF23FC1">
            <w:pPr>
              <w:pStyle w:val="45"/>
              <w:rPr>
                <w:rFonts w:hint="default" w:eastAsia="宋体"/>
                <w:b/>
                <w:bCs/>
                <w:highlight w:val="none"/>
                <w:lang w:val="en-US" w:eastAsia="zh-CN"/>
              </w:rPr>
            </w:pPr>
            <w:r>
              <w:rPr>
                <w:rFonts w:hint="eastAsia"/>
                <w:b/>
                <w:bCs/>
                <w:highlight w:val="none"/>
                <w:lang w:val="en-US" w:eastAsia="zh-CN"/>
              </w:rPr>
              <w:t>201</w:t>
            </w:r>
          </w:p>
        </w:tc>
        <w:tc>
          <w:tcPr>
            <w:tcW w:w="422" w:type="pct"/>
            <w:vAlign w:val="center"/>
          </w:tcPr>
          <w:p w14:paraId="1A8FBC10">
            <w:pPr>
              <w:pStyle w:val="45"/>
              <w:rPr>
                <w:rFonts w:hint="default" w:eastAsia="宋体"/>
                <w:b/>
                <w:bCs/>
                <w:highlight w:val="none"/>
                <w:lang w:val="en-US" w:eastAsia="zh-CN"/>
              </w:rPr>
            </w:pPr>
            <w:r>
              <w:rPr>
                <w:rFonts w:hint="eastAsia"/>
                <w:b/>
                <w:bCs/>
                <w:highlight w:val="none"/>
                <w:lang w:val="en-US" w:eastAsia="zh-CN"/>
              </w:rPr>
              <w:t>90</w:t>
            </w:r>
          </w:p>
        </w:tc>
        <w:tc>
          <w:tcPr>
            <w:tcW w:w="1074" w:type="pct"/>
            <w:vAlign w:val="center"/>
          </w:tcPr>
          <w:p w14:paraId="47467161">
            <w:pPr>
              <w:pStyle w:val="45"/>
              <w:rPr>
                <w:rFonts w:hint="default" w:eastAsia="宋体"/>
                <w:b/>
                <w:bCs/>
                <w:highlight w:val="none"/>
                <w:lang w:val="en-US" w:eastAsia="zh-CN"/>
              </w:rPr>
            </w:pPr>
            <w:r>
              <w:rPr>
                <w:rFonts w:hint="eastAsia"/>
                <w:b/>
                <w:bCs/>
                <w:highlight w:val="none"/>
                <w:lang w:val="en-US" w:eastAsia="zh-CN"/>
              </w:rPr>
              <w:t>321</w:t>
            </w:r>
          </w:p>
        </w:tc>
        <w:tc>
          <w:tcPr>
            <w:tcW w:w="505" w:type="pct"/>
            <w:vAlign w:val="center"/>
          </w:tcPr>
          <w:p w14:paraId="24F67771">
            <w:pPr>
              <w:pStyle w:val="45"/>
              <w:ind w:firstLine="0" w:firstLineChars="0"/>
              <w:rPr>
                <w:rFonts w:hint="default"/>
                <w:b/>
                <w:bCs/>
                <w:highlight w:val="none"/>
              </w:rPr>
            </w:pPr>
            <w:r>
              <w:rPr>
                <w:rFonts w:hint="eastAsia"/>
                <w:b/>
                <w:bCs/>
                <w:highlight w:val="none"/>
                <w:lang w:val="en-US" w:eastAsia="zh-CN"/>
              </w:rPr>
              <w:t>44</w:t>
            </w:r>
          </w:p>
        </w:tc>
        <w:tc>
          <w:tcPr>
            <w:tcW w:w="619" w:type="pct"/>
            <w:vAlign w:val="center"/>
          </w:tcPr>
          <w:p w14:paraId="51F920B9">
            <w:pPr>
              <w:pStyle w:val="45"/>
              <w:rPr>
                <w:rFonts w:hint="default" w:eastAsia="宋体"/>
                <w:b/>
                <w:bCs/>
                <w:highlight w:val="none"/>
                <w:lang w:val="en-US" w:eastAsia="zh-CN"/>
              </w:rPr>
            </w:pPr>
            <w:r>
              <w:rPr>
                <w:rFonts w:hint="eastAsia"/>
                <w:b/>
                <w:bCs/>
                <w:highlight w:val="none"/>
                <w:lang w:val="en-US" w:eastAsia="zh-CN"/>
              </w:rPr>
              <w:t>213</w:t>
            </w:r>
          </w:p>
        </w:tc>
        <w:tc>
          <w:tcPr>
            <w:tcW w:w="652" w:type="pct"/>
            <w:vAlign w:val="center"/>
          </w:tcPr>
          <w:p w14:paraId="0137BD52">
            <w:pPr>
              <w:pStyle w:val="45"/>
              <w:rPr>
                <w:rFonts w:hint="default" w:eastAsia="宋体"/>
                <w:b/>
                <w:bCs/>
                <w:highlight w:val="none"/>
                <w:lang w:val="en-US" w:eastAsia="zh-CN"/>
              </w:rPr>
            </w:pPr>
            <w:r>
              <w:rPr>
                <w:rFonts w:hint="eastAsia"/>
                <w:b/>
                <w:bCs/>
                <w:highlight w:val="none"/>
                <w:lang w:val="en-US" w:eastAsia="zh-CN"/>
              </w:rPr>
              <w:t>108</w:t>
            </w:r>
          </w:p>
        </w:tc>
      </w:tr>
      <w:tr w14:paraId="1874E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9" w:type="pct"/>
            <w:vAlign w:val="center"/>
          </w:tcPr>
          <w:p w14:paraId="182A265D">
            <w:pPr>
              <w:pStyle w:val="45"/>
              <w:rPr>
                <w:rFonts w:hint="default"/>
                <w:b/>
                <w:bCs/>
                <w:highlight w:val="none"/>
              </w:rPr>
            </w:pPr>
            <w:r>
              <w:rPr>
                <w:b/>
                <w:bCs/>
                <w:highlight w:val="none"/>
              </w:rPr>
              <w:t>折纯量（t/a）</w:t>
            </w:r>
          </w:p>
        </w:tc>
        <w:tc>
          <w:tcPr>
            <w:tcW w:w="558" w:type="pct"/>
            <w:vAlign w:val="center"/>
          </w:tcPr>
          <w:p w14:paraId="7BC9AA0D">
            <w:pPr>
              <w:pStyle w:val="45"/>
              <w:bidi w:val="0"/>
              <w:rPr>
                <w:rFonts w:hint="default"/>
                <w:highlight w:val="none"/>
                <w:lang w:val="en-US" w:eastAsia="zh-CN"/>
              </w:rPr>
            </w:pPr>
            <w:r>
              <w:rPr>
                <w:rFonts w:hint="default"/>
                <w:highlight w:val="none"/>
                <w:lang w:val="en-US" w:eastAsia="zh-CN"/>
              </w:rPr>
              <w:t xml:space="preserve">69.48 </w:t>
            </w:r>
          </w:p>
        </w:tc>
        <w:tc>
          <w:tcPr>
            <w:tcW w:w="596" w:type="pct"/>
            <w:vAlign w:val="center"/>
          </w:tcPr>
          <w:p w14:paraId="509116E9">
            <w:pPr>
              <w:pStyle w:val="45"/>
              <w:bidi w:val="0"/>
              <w:rPr>
                <w:rFonts w:hint="default"/>
                <w:highlight w:val="none"/>
                <w:lang w:val="en-US" w:eastAsia="zh-CN"/>
              </w:rPr>
            </w:pPr>
            <w:r>
              <w:rPr>
                <w:rFonts w:hint="default"/>
                <w:highlight w:val="none"/>
                <w:lang w:val="en-US" w:eastAsia="zh-CN"/>
              </w:rPr>
              <w:t xml:space="preserve">188.73 </w:t>
            </w:r>
          </w:p>
        </w:tc>
        <w:tc>
          <w:tcPr>
            <w:tcW w:w="422" w:type="pct"/>
            <w:vAlign w:val="center"/>
          </w:tcPr>
          <w:p w14:paraId="4924DE65">
            <w:pPr>
              <w:pStyle w:val="45"/>
              <w:bidi w:val="0"/>
              <w:rPr>
                <w:rFonts w:hint="default"/>
                <w:highlight w:val="none"/>
                <w:lang w:val="en-US" w:eastAsia="zh-CN"/>
              </w:rPr>
            </w:pPr>
            <w:r>
              <w:rPr>
                <w:rFonts w:hint="default"/>
                <w:highlight w:val="none"/>
                <w:lang w:val="en-US" w:eastAsia="zh-CN"/>
              </w:rPr>
              <w:t xml:space="preserve">84.51 </w:t>
            </w:r>
          </w:p>
        </w:tc>
        <w:tc>
          <w:tcPr>
            <w:tcW w:w="1074" w:type="pct"/>
            <w:vAlign w:val="center"/>
          </w:tcPr>
          <w:p w14:paraId="5D865CB6">
            <w:pPr>
              <w:pStyle w:val="45"/>
              <w:bidi w:val="0"/>
              <w:rPr>
                <w:rFonts w:hint="default"/>
                <w:highlight w:val="none"/>
                <w:lang w:val="en-US" w:eastAsia="zh-CN"/>
              </w:rPr>
            </w:pPr>
            <w:r>
              <w:rPr>
                <w:rFonts w:hint="default"/>
                <w:highlight w:val="none"/>
                <w:lang w:val="en-US" w:eastAsia="zh-CN"/>
              </w:rPr>
              <w:t xml:space="preserve">301.41 </w:t>
            </w:r>
          </w:p>
        </w:tc>
        <w:tc>
          <w:tcPr>
            <w:tcW w:w="505" w:type="pct"/>
            <w:vAlign w:val="center"/>
          </w:tcPr>
          <w:p w14:paraId="2B03F9D4">
            <w:pPr>
              <w:pStyle w:val="45"/>
              <w:bidi w:val="0"/>
              <w:rPr>
                <w:rFonts w:hint="default"/>
                <w:highlight w:val="none"/>
                <w:lang w:val="en-US" w:eastAsia="zh-CN"/>
              </w:rPr>
            </w:pPr>
            <w:r>
              <w:rPr>
                <w:rFonts w:hint="default"/>
                <w:highlight w:val="none"/>
                <w:lang w:val="en-US" w:eastAsia="zh-CN"/>
              </w:rPr>
              <w:t xml:space="preserve">41.31 </w:t>
            </w:r>
          </w:p>
        </w:tc>
        <w:tc>
          <w:tcPr>
            <w:tcW w:w="619" w:type="pct"/>
            <w:vAlign w:val="center"/>
          </w:tcPr>
          <w:p w14:paraId="65598633">
            <w:pPr>
              <w:pStyle w:val="45"/>
              <w:bidi w:val="0"/>
              <w:rPr>
                <w:rFonts w:hint="default"/>
                <w:highlight w:val="none"/>
                <w:lang w:val="en-US" w:eastAsia="zh-CN"/>
              </w:rPr>
            </w:pPr>
            <w:r>
              <w:rPr>
                <w:rFonts w:hint="default"/>
                <w:highlight w:val="none"/>
                <w:lang w:val="en-US" w:eastAsia="zh-CN"/>
              </w:rPr>
              <w:t>200</w:t>
            </w:r>
          </w:p>
        </w:tc>
        <w:tc>
          <w:tcPr>
            <w:tcW w:w="652" w:type="pct"/>
            <w:vAlign w:val="center"/>
          </w:tcPr>
          <w:p w14:paraId="60A48526">
            <w:pPr>
              <w:pStyle w:val="45"/>
              <w:bidi w:val="0"/>
              <w:rPr>
                <w:rFonts w:hint="default"/>
                <w:highlight w:val="none"/>
                <w:lang w:val="en-US" w:eastAsia="zh-CN"/>
              </w:rPr>
            </w:pPr>
            <w:r>
              <w:rPr>
                <w:rFonts w:hint="default"/>
                <w:highlight w:val="none"/>
                <w:lang w:val="en-US" w:eastAsia="zh-CN"/>
              </w:rPr>
              <w:t xml:space="preserve">101.41 </w:t>
            </w:r>
          </w:p>
        </w:tc>
      </w:tr>
    </w:tbl>
    <w:p w14:paraId="41899B66">
      <w:pPr>
        <w:jc w:val="center"/>
        <w:rPr>
          <w:rFonts w:hint="eastAsia"/>
          <w:highlight w:val="none"/>
        </w:rPr>
      </w:pPr>
    </w:p>
    <w:p w14:paraId="678E3FAC">
      <w:pPr>
        <w:jc w:val="both"/>
        <w:rPr>
          <w:rFonts w:hint="eastAsia"/>
          <w:highlight w:val="none"/>
        </w:rPr>
      </w:pPr>
      <w:r>
        <w:rPr>
          <w:rFonts w:hint="eastAsia"/>
          <w:highlight w:val="none"/>
        </w:rPr>
        <w:t>结合工程分析，</w:t>
      </w:r>
      <w:r>
        <w:rPr>
          <w:rFonts w:hint="eastAsia"/>
          <w:highlight w:val="none"/>
          <w:lang w:val="en-US" w:eastAsia="zh-CN"/>
        </w:rPr>
        <w:t>中和法生产200吨高氯酸锂时</w:t>
      </w:r>
      <w:r>
        <w:rPr>
          <w:rFonts w:hint="eastAsia"/>
          <w:highlight w:val="none"/>
        </w:rPr>
        <w:t>，</w:t>
      </w:r>
      <w:r>
        <w:rPr>
          <w:rFonts w:hint="eastAsia"/>
          <w:highlight w:val="none"/>
          <w:lang w:val="en-US" w:eastAsia="zh-CN"/>
        </w:rPr>
        <w:t>高氯酸</w:t>
      </w:r>
      <w:r>
        <w:rPr>
          <w:rFonts w:hint="eastAsia"/>
          <w:highlight w:val="none"/>
        </w:rPr>
        <w:t>转化率约为95.</w:t>
      </w:r>
      <w:r>
        <w:rPr>
          <w:rFonts w:hint="eastAsia"/>
          <w:highlight w:val="none"/>
          <w:lang w:val="en-US" w:eastAsia="zh-CN"/>
        </w:rPr>
        <w:t>0</w:t>
      </w:r>
      <w:r>
        <w:rPr>
          <w:rFonts w:hint="eastAsia"/>
          <w:highlight w:val="none"/>
        </w:rPr>
        <w:t>%，高氯酸</w:t>
      </w:r>
      <w:r>
        <w:rPr>
          <w:rFonts w:hint="eastAsia"/>
          <w:highlight w:val="none"/>
          <w:lang w:val="en-US" w:eastAsia="zh-CN"/>
        </w:rPr>
        <w:t>锂</w:t>
      </w:r>
      <w:r>
        <w:rPr>
          <w:rFonts w:hint="eastAsia"/>
          <w:highlight w:val="none"/>
        </w:rPr>
        <w:t>收率约为9</w:t>
      </w:r>
      <w:r>
        <w:rPr>
          <w:rFonts w:hint="eastAsia"/>
          <w:highlight w:val="none"/>
          <w:lang w:val="en-US" w:eastAsia="zh-CN"/>
        </w:rPr>
        <w:t>4</w:t>
      </w:r>
      <w:r>
        <w:rPr>
          <w:rFonts w:hint="eastAsia"/>
          <w:highlight w:val="none"/>
        </w:rPr>
        <w:t>.</w:t>
      </w:r>
      <w:r>
        <w:rPr>
          <w:rFonts w:hint="eastAsia"/>
          <w:highlight w:val="none"/>
          <w:lang w:val="en-US" w:eastAsia="zh-CN"/>
        </w:rPr>
        <w:t>5</w:t>
      </w:r>
      <w:r>
        <w:rPr>
          <w:rFonts w:hint="eastAsia"/>
          <w:highlight w:val="none"/>
        </w:rPr>
        <w:t>%</w:t>
      </w:r>
      <w:r>
        <w:rPr>
          <w:rFonts w:hint="eastAsia"/>
          <w:highlight w:val="none"/>
          <w:lang w:val="en-US" w:eastAsia="zh-CN"/>
        </w:rPr>
        <w:t>。</w:t>
      </w:r>
    </w:p>
    <w:p w14:paraId="4FF12910">
      <w:pPr>
        <w:numPr>
          <w:ilvl w:val="0"/>
          <w:numId w:val="10"/>
        </w:numPr>
        <w:ind w:left="480" w:leftChars="200" w:firstLine="0" w:firstLineChars="0"/>
        <w:outlineLvl w:val="5"/>
        <w:rPr>
          <w:rFonts w:hint="eastAsia"/>
          <w:b/>
          <w:bCs/>
          <w:lang w:val="en-US" w:eastAsia="zh-CN"/>
        </w:rPr>
      </w:pPr>
      <w:r>
        <w:rPr>
          <w:rFonts w:hint="eastAsia"/>
          <w:b/>
          <w:bCs/>
          <w:lang w:val="en-US" w:eastAsia="zh-CN"/>
        </w:rPr>
        <w:t>中和生产高氯酸锂物料平衡</w:t>
      </w:r>
    </w:p>
    <w:p w14:paraId="0640887B">
      <w:pPr>
        <w:pStyle w:val="43"/>
        <w:numPr>
          <w:ilvl w:val="5"/>
          <w:numId w:val="1"/>
        </w:numPr>
        <w:rPr>
          <w:rFonts w:hint="eastAsia"/>
          <w:highlight w:val="none"/>
        </w:rPr>
      </w:pPr>
      <w:r>
        <w:rPr>
          <w:rFonts w:hint="eastAsia"/>
          <w:b/>
          <w:bCs/>
          <w:lang w:val="en-US" w:eastAsia="zh-CN"/>
        </w:rPr>
        <w:t>中和生产高氯酸锂</w:t>
      </w:r>
      <w:r>
        <w:rPr>
          <w:rFonts w:hint="eastAsia"/>
          <w:highlight w:val="none"/>
          <w:lang w:val="en-US" w:eastAsia="zh-CN"/>
        </w:rPr>
        <w:t>物料平衡一览表</w:t>
      </w:r>
    </w:p>
    <w:tbl>
      <w:tblPr>
        <w:tblStyle w:val="32"/>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706"/>
        <w:gridCol w:w="735"/>
        <w:gridCol w:w="1132"/>
        <w:gridCol w:w="1270"/>
        <w:gridCol w:w="1526"/>
        <w:gridCol w:w="956"/>
        <w:gridCol w:w="1195"/>
      </w:tblGrid>
      <w:tr w14:paraId="020A9B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432"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B3E37F0">
            <w:pPr>
              <w:pStyle w:val="45"/>
              <w:bidi w:val="0"/>
              <w:rPr>
                <w:rFonts w:hint="eastAsia"/>
                <w:b/>
                <w:bCs/>
              </w:rPr>
            </w:pPr>
            <w:r>
              <w:rPr>
                <w:rFonts w:hint="eastAsia"/>
                <w:b/>
                <w:bCs/>
                <w:lang w:val="en-US" w:eastAsia="zh-CN"/>
              </w:rPr>
              <w:t>投入（</w:t>
            </w:r>
            <w:r>
              <w:rPr>
                <w:rFonts w:hint="default"/>
                <w:b/>
                <w:bCs/>
                <w:lang w:val="en-US" w:eastAsia="zh-CN"/>
              </w:rPr>
              <w:t>t</w:t>
            </w:r>
            <w:r>
              <w:rPr>
                <w:rFonts w:hint="eastAsia"/>
                <w:b/>
                <w:bCs/>
                <w:lang w:val="en-US" w:eastAsia="zh-CN"/>
              </w:rPr>
              <w:t>）</w:t>
            </w:r>
          </w:p>
        </w:tc>
        <w:tc>
          <w:tcPr>
            <w:tcW w:w="66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603F62C">
            <w:pPr>
              <w:pStyle w:val="45"/>
              <w:bidi w:val="0"/>
              <w:rPr>
                <w:rFonts w:hint="eastAsia"/>
                <w:b/>
                <w:bCs/>
              </w:rPr>
            </w:pPr>
            <w:r>
              <w:rPr>
                <w:rFonts w:hint="eastAsia"/>
                <w:b/>
                <w:bCs/>
                <w:lang w:val="en-US" w:eastAsia="zh-CN"/>
              </w:rPr>
              <w:t>备注</w:t>
            </w:r>
          </w:p>
        </w:tc>
        <w:tc>
          <w:tcPr>
            <w:tcW w:w="2201" w:type="pct"/>
            <w:gridSpan w:val="3"/>
            <w:tcBorders>
              <w:top w:val="single" w:color="auto" w:sz="4" w:space="0"/>
              <w:left w:val="single" w:color="auto" w:sz="4" w:space="0"/>
              <w:bottom w:val="single" w:color="auto" w:sz="4" w:space="0"/>
              <w:right w:val="single" w:color="auto" w:sz="4" w:space="0"/>
            </w:tcBorders>
            <w:shd w:val="clear" w:color="auto" w:fill="auto"/>
            <w:noWrap/>
            <w:vAlign w:val="center"/>
          </w:tcPr>
          <w:p w14:paraId="3679F172">
            <w:pPr>
              <w:pStyle w:val="45"/>
              <w:bidi w:val="0"/>
              <w:rPr>
                <w:rFonts w:hint="eastAsia"/>
                <w:b/>
                <w:bCs/>
              </w:rPr>
            </w:pPr>
            <w:r>
              <w:rPr>
                <w:rFonts w:hint="eastAsia"/>
                <w:b/>
                <w:bCs/>
                <w:lang w:val="en-US" w:eastAsia="zh-CN"/>
              </w:rPr>
              <w:t>产出（</w:t>
            </w:r>
            <w:r>
              <w:rPr>
                <w:rFonts w:hint="default"/>
                <w:b/>
                <w:bCs/>
                <w:lang w:val="en-US" w:eastAsia="zh-CN"/>
              </w:rPr>
              <w:t>t</w:t>
            </w:r>
            <w:r>
              <w:rPr>
                <w:rFonts w:hint="eastAsia"/>
                <w:b/>
                <w:bCs/>
                <w:lang w:val="en-US" w:eastAsia="zh-CN"/>
              </w:rPr>
              <w:t>）</w:t>
            </w:r>
          </w:p>
        </w:tc>
        <w:tc>
          <w:tcPr>
            <w:tcW w:w="70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91EF70C">
            <w:pPr>
              <w:pStyle w:val="45"/>
              <w:bidi w:val="0"/>
              <w:rPr>
                <w:rFonts w:hint="eastAsia"/>
                <w:b/>
                <w:bCs/>
              </w:rPr>
            </w:pPr>
            <w:r>
              <w:rPr>
                <w:rFonts w:hint="eastAsia"/>
                <w:b/>
                <w:bCs/>
                <w:lang w:val="en-US" w:eastAsia="zh-CN"/>
              </w:rPr>
              <w:t>备注</w:t>
            </w:r>
          </w:p>
        </w:tc>
      </w:tr>
      <w:tr w14:paraId="7D3212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0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A551C55">
            <w:pPr>
              <w:pStyle w:val="45"/>
              <w:bidi w:val="0"/>
              <w:rPr>
                <w:rFonts w:hint="eastAsia"/>
              </w:rPr>
            </w:pPr>
            <w:r>
              <w:rPr>
                <w:rFonts w:hint="eastAsia"/>
                <w:lang w:val="en-US" w:eastAsia="zh-CN"/>
              </w:rPr>
              <w:t>碳酸锂</w:t>
            </w:r>
          </w:p>
        </w:tc>
        <w:tc>
          <w:tcPr>
            <w:tcW w:w="43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594DBD9">
            <w:pPr>
              <w:pStyle w:val="45"/>
              <w:bidi w:val="0"/>
              <w:rPr>
                <w:rFonts w:hint="eastAsia"/>
              </w:rPr>
            </w:pPr>
            <w:r>
              <w:rPr>
                <w:rFonts w:hint="eastAsia"/>
                <w:lang w:val="en-US" w:eastAsia="zh-CN"/>
              </w:rPr>
              <w:t>100</w:t>
            </w:r>
          </w:p>
        </w:tc>
        <w:tc>
          <w:tcPr>
            <w:tcW w:w="66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A678D4E">
            <w:pPr>
              <w:pStyle w:val="45"/>
              <w:bidi w:val="0"/>
              <w:rPr>
                <w:rFonts w:hint="eastAsia"/>
              </w:rPr>
            </w:pPr>
          </w:p>
        </w:tc>
        <w:tc>
          <w:tcPr>
            <w:tcW w:w="745"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314FE68">
            <w:pPr>
              <w:pStyle w:val="45"/>
              <w:bidi w:val="0"/>
              <w:rPr>
                <w:rFonts w:hint="eastAsia"/>
              </w:rPr>
            </w:pPr>
            <w:r>
              <w:rPr>
                <w:rFonts w:hint="eastAsia"/>
                <w:lang w:val="en-US" w:eastAsia="zh-CN"/>
              </w:rPr>
              <w:t>产品</w:t>
            </w:r>
          </w:p>
        </w:tc>
        <w:tc>
          <w:tcPr>
            <w:tcW w:w="89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54C9091">
            <w:pPr>
              <w:pStyle w:val="45"/>
              <w:bidi w:val="0"/>
              <w:rPr>
                <w:rFonts w:hint="eastAsia"/>
              </w:rPr>
            </w:pPr>
            <w:r>
              <w:rPr>
                <w:rFonts w:hint="eastAsia"/>
                <w:lang w:val="en-US" w:eastAsia="zh-CN"/>
              </w:rPr>
              <w:t>无水高锂</w:t>
            </w:r>
          </w:p>
        </w:tc>
        <w:tc>
          <w:tcPr>
            <w:tcW w:w="56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BEBE8C6">
            <w:pPr>
              <w:pStyle w:val="45"/>
              <w:bidi w:val="0"/>
              <w:rPr>
                <w:rFonts w:hint="eastAsia"/>
              </w:rPr>
            </w:pPr>
            <w:r>
              <w:rPr>
                <w:rFonts w:hint="eastAsia"/>
                <w:lang w:val="en-US" w:eastAsia="zh-CN"/>
              </w:rPr>
              <w:t>200</w:t>
            </w:r>
          </w:p>
        </w:tc>
        <w:tc>
          <w:tcPr>
            <w:tcW w:w="70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7AC3A90">
            <w:pPr>
              <w:pStyle w:val="45"/>
              <w:bidi w:val="0"/>
              <w:rPr>
                <w:rFonts w:hint="eastAsia"/>
              </w:rPr>
            </w:pPr>
          </w:p>
        </w:tc>
      </w:tr>
      <w:tr w14:paraId="19E52E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0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59962A3">
            <w:pPr>
              <w:pStyle w:val="45"/>
              <w:bidi w:val="0"/>
              <w:rPr>
                <w:rFonts w:hint="eastAsia"/>
              </w:rPr>
            </w:pPr>
            <w:r>
              <w:rPr>
                <w:rFonts w:hint="eastAsia"/>
                <w:lang w:val="en-US" w:eastAsia="zh-CN"/>
              </w:rPr>
              <w:t>化盐水</w:t>
            </w:r>
          </w:p>
        </w:tc>
        <w:tc>
          <w:tcPr>
            <w:tcW w:w="43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F9C7B0B">
            <w:pPr>
              <w:pStyle w:val="45"/>
              <w:bidi w:val="0"/>
              <w:rPr>
                <w:rFonts w:hint="eastAsia"/>
              </w:rPr>
            </w:pPr>
            <w:r>
              <w:rPr>
                <w:rFonts w:hint="eastAsia"/>
                <w:lang w:val="en-US" w:eastAsia="zh-CN"/>
              </w:rPr>
              <w:t>320</w:t>
            </w:r>
          </w:p>
        </w:tc>
        <w:tc>
          <w:tcPr>
            <w:tcW w:w="66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53E5B0B">
            <w:pPr>
              <w:pStyle w:val="45"/>
              <w:bidi w:val="0"/>
              <w:rPr>
                <w:rFonts w:hint="eastAsia"/>
              </w:rPr>
            </w:pPr>
            <w:r>
              <w:rPr>
                <w:rFonts w:hint="eastAsia"/>
                <w:lang w:val="en-US" w:eastAsia="zh-CN"/>
              </w:rPr>
              <w:t>纯水</w:t>
            </w:r>
          </w:p>
        </w:tc>
        <w:tc>
          <w:tcPr>
            <w:tcW w:w="745"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6D0B499">
            <w:pPr>
              <w:pStyle w:val="45"/>
              <w:bidi w:val="0"/>
              <w:rPr>
                <w:rFonts w:hint="eastAsia"/>
              </w:rPr>
            </w:pPr>
            <w:r>
              <w:rPr>
                <w:rFonts w:hint="eastAsia"/>
                <w:lang w:val="en-US" w:eastAsia="zh-CN"/>
              </w:rPr>
              <w:t>废水</w:t>
            </w:r>
          </w:p>
        </w:tc>
        <w:tc>
          <w:tcPr>
            <w:tcW w:w="89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86BBB97">
            <w:pPr>
              <w:pStyle w:val="45"/>
              <w:bidi w:val="0"/>
              <w:rPr>
                <w:rFonts w:hint="eastAsia"/>
              </w:rPr>
            </w:pPr>
            <w:r>
              <w:rPr>
                <w:rFonts w:hint="eastAsia"/>
                <w:lang w:val="en-US" w:eastAsia="zh-CN"/>
              </w:rPr>
              <w:t>真空冷凝水</w:t>
            </w:r>
          </w:p>
        </w:tc>
        <w:tc>
          <w:tcPr>
            <w:tcW w:w="56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0EFCCF1">
            <w:pPr>
              <w:pStyle w:val="45"/>
              <w:bidi w:val="0"/>
              <w:rPr>
                <w:rFonts w:hint="eastAsia"/>
              </w:rPr>
            </w:pPr>
            <w:r>
              <w:rPr>
                <w:rFonts w:hint="eastAsia"/>
                <w:lang w:val="en-US" w:eastAsia="zh-CN"/>
              </w:rPr>
              <w:t>460.85</w:t>
            </w:r>
          </w:p>
        </w:tc>
        <w:tc>
          <w:tcPr>
            <w:tcW w:w="70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C582AF3">
            <w:pPr>
              <w:pStyle w:val="45"/>
              <w:bidi w:val="0"/>
              <w:rPr>
                <w:rFonts w:hint="eastAsia"/>
              </w:rPr>
            </w:pPr>
            <w:r>
              <w:rPr>
                <w:rFonts w:hint="eastAsia"/>
                <w:lang w:val="en-US" w:eastAsia="zh-CN"/>
              </w:rPr>
              <w:t>回用</w:t>
            </w:r>
          </w:p>
        </w:tc>
      </w:tr>
      <w:tr w14:paraId="66B3C0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0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FB69208">
            <w:pPr>
              <w:pStyle w:val="45"/>
              <w:bidi w:val="0"/>
              <w:rPr>
                <w:rFonts w:hint="eastAsia"/>
              </w:rPr>
            </w:pPr>
            <w:r>
              <w:rPr>
                <w:rFonts w:hint="eastAsia"/>
                <w:lang w:val="en-US" w:eastAsia="zh-CN"/>
              </w:rPr>
              <w:t>70%高氯酸</w:t>
            </w:r>
          </w:p>
        </w:tc>
        <w:tc>
          <w:tcPr>
            <w:tcW w:w="43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3EA9F8C">
            <w:pPr>
              <w:pStyle w:val="45"/>
              <w:bidi w:val="0"/>
              <w:rPr>
                <w:rFonts w:hint="eastAsia"/>
              </w:rPr>
            </w:pPr>
            <w:r>
              <w:rPr>
                <w:rFonts w:hint="eastAsia"/>
                <w:lang w:val="en-US" w:eastAsia="zh-CN"/>
              </w:rPr>
              <w:t>300</w:t>
            </w:r>
          </w:p>
        </w:tc>
        <w:tc>
          <w:tcPr>
            <w:tcW w:w="66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9B8BB41">
            <w:pPr>
              <w:pStyle w:val="45"/>
              <w:bidi w:val="0"/>
              <w:rPr>
                <w:rFonts w:hint="eastAsia"/>
              </w:rPr>
            </w:pPr>
          </w:p>
        </w:tc>
        <w:tc>
          <w:tcPr>
            <w:tcW w:w="745"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2533D0DC">
            <w:pPr>
              <w:pStyle w:val="45"/>
              <w:bidi w:val="0"/>
              <w:rPr>
                <w:rFonts w:hint="eastAsia"/>
              </w:rPr>
            </w:pPr>
            <w:r>
              <w:rPr>
                <w:rFonts w:hint="eastAsia"/>
                <w:lang w:val="en-US" w:eastAsia="zh-CN"/>
              </w:rPr>
              <w:t>干燥废气</w:t>
            </w:r>
          </w:p>
        </w:tc>
        <w:tc>
          <w:tcPr>
            <w:tcW w:w="89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619F4E2">
            <w:pPr>
              <w:pStyle w:val="45"/>
              <w:bidi w:val="0"/>
              <w:rPr>
                <w:rFonts w:hint="eastAsia"/>
              </w:rPr>
            </w:pPr>
            <w:r>
              <w:rPr>
                <w:rFonts w:hint="eastAsia"/>
                <w:lang w:val="en-US" w:eastAsia="zh-CN"/>
              </w:rPr>
              <w:t>水蒸气</w:t>
            </w:r>
          </w:p>
        </w:tc>
        <w:tc>
          <w:tcPr>
            <w:tcW w:w="56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F76066A">
            <w:pPr>
              <w:pStyle w:val="45"/>
              <w:bidi w:val="0"/>
              <w:rPr>
                <w:rFonts w:hint="default"/>
              </w:rPr>
            </w:pPr>
            <w:r>
              <w:rPr>
                <w:rFonts w:hint="default"/>
                <w:lang w:val="en-US" w:eastAsia="zh-CN"/>
              </w:rPr>
              <w:t>14.32</w:t>
            </w:r>
          </w:p>
        </w:tc>
        <w:tc>
          <w:tcPr>
            <w:tcW w:w="701"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182159FD">
            <w:pPr>
              <w:pStyle w:val="45"/>
              <w:bidi w:val="0"/>
              <w:rPr>
                <w:rFonts w:hint="eastAsia"/>
              </w:rPr>
            </w:pPr>
            <w:r>
              <w:rPr>
                <w:rFonts w:hint="eastAsia"/>
                <w:lang w:val="en-US" w:eastAsia="zh-CN"/>
              </w:rPr>
              <w:t>小计14.55</w:t>
            </w:r>
          </w:p>
        </w:tc>
      </w:tr>
      <w:tr w14:paraId="03C0E0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00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EAF5072">
            <w:pPr>
              <w:pStyle w:val="45"/>
              <w:bidi w:val="0"/>
              <w:rPr>
                <w:rFonts w:hint="eastAsia"/>
              </w:rPr>
            </w:pPr>
          </w:p>
        </w:tc>
        <w:tc>
          <w:tcPr>
            <w:tcW w:w="43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06E331D">
            <w:pPr>
              <w:pStyle w:val="45"/>
              <w:bidi w:val="0"/>
              <w:rPr>
                <w:rFonts w:hint="eastAsia"/>
              </w:rPr>
            </w:pPr>
          </w:p>
        </w:tc>
        <w:tc>
          <w:tcPr>
            <w:tcW w:w="66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BC2B977">
            <w:pPr>
              <w:pStyle w:val="45"/>
              <w:bidi w:val="0"/>
              <w:rPr>
                <w:rFonts w:hint="eastAsia"/>
              </w:rPr>
            </w:pPr>
          </w:p>
        </w:tc>
        <w:tc>
          <w:tcPr>
            <w:tcW w:w="745" w:type="pct"/>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7FE99DCD">
            <w:pPr>
              <w:pStyle w:val="45"/>
              <w:bidi w:val="0"/>
              <w:rPr>
                <w:rFonts w:hint="eastAsia"/>
              </w:rPr>
            </w:pPr>
          </w:p>
        </w:tc>
        <w:tc>
          <w:tcPr>
            <w:tcW w:w="89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29E6178">
            <w:pPr>
              <w:pStyle w:val="45"/>
              <w:bidi w:val="0"/>
              <w:rPr>
                <w:rFonts w:hint="eastAsia"/>
              </w:rPr>
            </w:pPr>
            <w:r>
              <w:rPr>
                <w:rFonts w:hint="eastAsia"/>
                <w:lang w:val="en-US" w:eastAsia="zh-CN"/>
              </w:rPr>
              <w:t>高氯酸锂</w:t>
            </w:r>
          </w:p>
        </w:tc>
        <w:tc>
          <w:tcPr>
            <w:tcW w:w="56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EF2EDA0">
            <w:pPr>
              <w:pStyle w:val="45"/>
              <w:bidi w:val="0"/>
              <w:rPr>
                <w:rFonts w:hint="default"/>
              </w:rPr>
            </w:pPr>
            <w:r>
              <w:rPr>
                <w:rFonts w:hint="default"/>
                <w:lang w:val="en-US" w:eastAsia="zh-CN"/>
              </w:rPr>
              <w:t>0.23</w:t>
            </w:r>
          </w:p>
        </w:tc>
        <w:tc>
          <w:tcPr>
            <w:tcW w:w="701" w:type="pct"/>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2DE87D09">
            <w:pPr>
              <w:pStyle w:val="45"/>
              <w:bidi w:val="0"/>
              <w:rPr>
                <w:rFonts w:hint="eastAsia"/>
              </w:rPr>
            </w:pPr>
          </w:p>
        </w:tc>
      </w:tr>
      <w:tr w14:paraId="605613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0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193F0EC">
            <w:pPr>
              <w:pStyle w:val="45"/>
              <w:bidi w:val="0"/>
              <w:rPr>
                <w:rFonts w:hint="eastAsia"/>
              </w:rPr>
            </w:pPr>
          </w:p>
        </w:tc>
        <w:tc>
          <w:tcPr>
            <w:tcW w:w="43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9A00F0F">
            <w:pPr>
              <w:pStyle w:val="45"/>
              <w:bidi w:val="0"/>
              <w:rPr>
                <w:rFonts w:hint="eastAsia"/>
              </w:rPr>
            </w:pPr>
          </w:p>
        </w:tc>
        <w:tc>
          <w:tcPr>
            <w:tcW w:w="66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90BE1F2">
            <w:pPr>
              <w:pStyle w:val="45"/>
              <w:bidi w:val="0"/>
              <w:rPr>
                <w:rFonts w:hint="eastAsia"/>
              </w:rPr>
            </w:pPr>
          </w:p>
        </w:tc>
        <w:tc>
          <w:tcPr>
            <w:tcW w:w="745"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52CA8FEA">
            <w:pPr>
              <w:pStyle w:val="45"/>
              <w:bidi w:val="0"/>
              <w:rPr>
                <w:rFonts w:hint="eastAsia"/>
              </w:rPr>
            </w:pPr>
            <w:r>
              <w:rPr>
                <w:rFonts w:hint="eastAsia"/>
                <w:lang w:val="en-US" w:eastAsia="zh-CN"/>
              </w:rPr>
              <w:t>中和尾气</w:t>
            </w:r>
          </w:p>
        </w:tc>
        <w:tc>
          <w:tcPr>
            <w:tcW w:w="89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D5FD98E">
            <w:pPr>
              <w:pStyle w:val="45"/>
              <w:bidi w:val="0"/>
              <w:rPr>
                <w:rFonts w:hint="eastAsia"/>
              </w:rPr>
            </w:pPr>
            <w:r>
              <w:rPr>
                <w:rFonts w:hint="eastAsia"/>
                <w:lang w:val="en-US" w:eastAsia="zh-CN"/>
              </w:rPr>
              <w:t>高氯酸</w:t>
            </w:r>
          </w:p>
        </w:tc>
        <w:tc>
          <w:tcPr>
            <w:tcW w:w="56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56448BE">
            <w:pPr>
              <w:pStyle w:val="45"/>
              <w:bidi w:val="0"/>
              <w:rPr>
                <w:rFonts w:hint="eastAsia"/>
              </w:rPr>
            </w:pPr>
            <w:r>
              <w:rPr>
                <w:rFonts w:hint="eastAsia"/>
                <w:lang w:val="en-US" w:eastAsia="zh-CN"/>
              </w:rPr>
              <w:t>0.82</w:t>
            </w:r>
          </w:p>
        </w:tc>
        <w:tc>
          <w:tcPr>
            <w:tcW w:w="701"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27EE7B58">
            <w:pPr>
              <w:pStyle w:val="45"/>
              <w:bidi w:val="0"/>
              <w:rPr>
                <w:rFonts w:hint="eastAsia"/>
              </w:rPr>
            </w:pPr>
            <w:r>
              <w:rPr>
                <w:rFonts w:hint="eastAsia"/>
                <w:lang w:val="en-US" w:eastAsia="zh-CN"/>
              </w:rPr>
              <w:t>小计44.6</w:t>
            </w:r>
          </w:p>
        </w:tc>
      </w:tr>
      <w:tr w14:paraId="037CA3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00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2B79F77">
            <w:pPr>
              <w:pStyle w:val="45"/>
              <w:bidi w:val="0"/>
              <w:rPr>
                <w:rFonts w:hint="eastAsia"/>
              </w:rPr>
            </w:pPr>
          </w:p>
        </w:tc>
        <w:tc>
          <w:tcPr>
            <w:tcW w:w="43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79C4913">
            <w:pPr>
              <w:pStyle w:val="45"/>
              <w:bidi w:val="0"/>
              <w:rPr>
                <w:rFonts w:hint="eastAsia"/>
              </w:rPr>
            </w:pPr>
          </w:p>
        </w:tc>
        <w:tc>
          <w:tcPr>
            <w:tcW w:w="66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5ED197B">
            <w:pPr>
              <w:pStyle w:val="45"/>
              <w:bidi w:val="0"/>
              <w:rPr>
                <w:rFonts w:hint="eastAsia"/>
              </w:rPr>
            </w:pPr>
          </w:p>
        </w:tc>
        <w:tc>
          <w:tcPr>
            <w:tcW w:w="745" w:type="pct"/>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69860CE8">
            <w:pPr>
              <w:pStyle w:val="45"/>
              <w:bidi w:val="0"/>
              <w:rPr>
                <w:rFonts w:hint="eastAsia"/>
              </w:rPr>
            </w:pPr>
          </w:p>
        </w:tc>
        <w:tc>
          <w:tcPr>
            <w:tcW w:w="89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F6C5165">
            <w:pPr>
              <w:pStyle w:val="45"/>
              <w:bidi w:val="0"/>
              <w:rPr>
                <w:rFonts w:hint="eastAsia"/>
              </w:rPr>
            </w:pPr>
            <w:r>
              <w:rPr>
                <w:rFonts w:hint="eastAsia"/>
                <w:lang w:val="en-US" w:eastAsia="zh-CN"/>
              </w:rPr>
              <w:t>二氧化碳</w:t>
            </w:r>
          </w:p>
        </w:tc>
        <w:tc>
          <w:tcPr>
            <w:tcW w:w="56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3328E75">
            <w:pPr>
              <w:pStyle w:val="45"/>
              <w:bidi w:val="0"/>
              <w:rPr>
                <w:rFonts w:hint="default"/>
              </w:rPr>
            </w:pPr>
            <w:r>
              <w:rPr>
                <w:rFonts w:hint="default"/>
                <w:lang w:val="en-US" w:eastAsia="zh-CN"/>
              </w:rPr>
              <w:t>43.78</w:t>
            </w:r>
          </w:p>
        </w:tc>
        <w:tc>
          <w:tcPr>
            <w:tcW w:w="701" w:type="pct"/>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1508883E">
            <w:pPr>
              <w:pStyle w:val="45"/>
              <w:bidi w:val="0"/>
              <w:rPr>
                <w:rFonts w:hint="eastAsia"/>
              </w:rPr>
            </w:pPr>
          </w:p>
        </w:tc>
      </w:tr>
      <w:tr w14:paraId="551957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0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9B089E3">
            <w:pPr>
              <w:pStyle w:val="45"/>
              <w:bidi w:val="0"/>
              <w:rPr>
                <w:rFonts w:hint="eastAsia"/>
              </w:rPr>
            </w:pPr>
            <w:r>
              <w:rPr>
                <w:rFonts w:hint="eastAsia"/>
                <w:lang w:val="en-US" w:eastAsia="zh-CN"/>
              </w:rPr>
              <w:t>合计</w:t>
            </w:r>
          </w:p>
        </w:tc>
        <w:tc>
          <w:tcPr>
            <w:tcW w:w="43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FF9D4C2">
            <w:pPr>
              <w:pStyle w:val="45"/>
              <w:bidi w:val="0"/>
              <w:rPr>
                <w:rFonts w:hint="eastAsia"/>
              </w:rPr>
            </w:pPr>
            <w:r>
              <w:rPr>
                <w:rFonts w:hint="eastAsia"/>
                <w:lang w:val="en-US" w:eastAsia="zh-CN"/>
              </w:rPr>
              <w:t>720</w:t>
            </w:r>
          </w:p>
        </w:tc>
        <w:tc>
          <w:tcPr>
            <w:tcW w:w="66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6E498DF">
            <w:pPr>
              <w:pStyle w:val="45"/>
              <w:bidi w:val="0"/>
              <w:rPr>
                <w:rFonts w:hint="eastAsia"/>
              </w:rPr>
            </w:pPr>
          </w:p>
        </w:tc>
        <w:tc>
          <w:tcPr>
            <w:tcW w:w="1640"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3C06756B">
            <w:pPr>
              <w:pStyle w:val="45"/>
              <w:bidi w:val="0"/>
              <w:rPr>
                <w:rFonts w:hint="eastAsia"/>
              </w:rPr>
            </w:pPr>
            <w:r>
              <w:rPr>
                <w:rFonts w:hint="eastAsia"/>
                <w:lang w:val="en-US" w:eastAsia="zh-CN"/>
              </w:rPr>
              <w:t>合计</w:t>
            </w:r>
          </w:p>
        </w:tc>
        <w:tc>
          <w:tcPr>
            <w:tcW w:w="56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B278558">
            <w:pPr>
              <w:pStyle w:val="45"/>
              <w:bidi w:val="0"/>
              <w:rPr>
                <w:rFonts w:hint="eastAsia"/>
              </w:rPr>
            </w:pPr>
            <w:r>
              <w:rPr>
                <w:rFonts w:hint="eastAsia"/>
                <w:lang w:val="en-US" w:eastAsia="zh-CN"/>
              </w:rPr>
              <w:t>720</w:t>
            </w:r>
          </w:p>
        </w:tc>
        <w:tc>
          <w:tcPr>
            <w:tcW w:w="70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1F10DF2">
            <w:pPr>
              <w:pStyle w:val="45"/>
              <w:bidi w:val="0"/>
              <w:rPr>
                <w:rFonts w:hint="eastAsia"/>
              </w:rPr>
            </w:pPr>
          </w:p>
        </w:tc>
      </w:tr>
    </w:tbl>
    <w:p w14:paraId="4AAE0D4B">
      <w:pPr>
        <w:numPr>
          <w:ilvl w:val="0"/>
          <w:numId w:val="0"/>
        </w:numPr>
        <w:rPr>
          <w:rFonts w:hint="default"/>
          <w:lang w:val="en-US" w:eastAsia="zh-CN"/>
        </w:rPr>
      </w:pPr>
    </w:p>
    <w:p w14:paraId="573808EF">
      <w:pPr>
        <w:numPr>
          <w:ilvl w:val="0"/>
          <w:numId w:val="0"/>
        </w:numPr>
        <w:jc w:val="center"/>
        <w:rPr>
          <w:rFonts w:hint="default"/>
          <w:lang w:val="en-US" w:eastAsia="zh-CN"/>
        </w:rPr>
      </w:pPr>
      <w:r>
        <w:rPr>
          <w:rFonts w:hint="default"/>
          <w:lang w:val="en-US" w:eastAsia="zh-CN"/>
        </w:rPr>
        <w:object>
          <v:shape id="_x0000_i1053" o:spt="75" type="#_x0000_t75" style="height:339.8pt;width:258pt;" o:ole="t" filled="f" o:preferrelative="t" stroked="f" coordsize="21600,21600">
            <v:path/>
            <v:fill on="f" focussize="0,0"/>
            <v:stroke on="f"/>
            <v:imagedata r:id="rId73" o:title=""/>
            <o:lock v:ext="edit" aspectratio="f"/>
            <w10:wrap type="none"/>
            <w10:anchorlock/>
          </v:shape>
          <o:OLEObject Type="Embed" ProgID="Visio.Drawing.15" ShapeID="_x0000_i1053" DrawAspect="Content" ObjectID="_1468075753" r:id="rId72">
            <o:LockedField>false</o:LockedField>
          </o:OLEObject>
        </w:object>
      </w:r>
    </w:p>
    <w:p w14:paraId="3FA36EF5">
      <w:pPr>
        <w:pStyle w:val="42"/>
        <w:bidi w:val="0"/>
        <w:rPr>
          <w:rFonts w:hint="default"/>
        </w:rPr>
      </w:pPr>
      <w:r>
        <w:rPr>
          <w:rFonts w:hint="eastAsia"/>
          <w:b/>
          <w:bCs/>
          <w:lang w:val="en-US" w:eastAsia="zh-CN"/>
        </w:rPr>
        <w:t>中和生产高氯酸锂</w:t>
      </w:r>
      <w:r>
        <w:t>工艺流程及物料平衡示意图（单位：t/a）</w:t>
      </w:r>
    </w:p>
    <w:p w14:paraId="08260156">
      <w:pPr>
        <w:ind w:left="0" w:leftChars="0" w:firstLine="0" w:firstLineChars="0"/>
        <w:rPr>
          <w:rFonts w:hint="eastAsia"/>
          <w:highlight w:val="yellow"/>
        </w:rPr>
      </w:pPr>
    </w:p>
    <w:p w14:paraId="5C51F540">
      <w:pPr>
        <w:numPr>
          <w:ilvl w:val="0"/>
          <w:numId w:val="10"/>
        </w:numPr>
        <w:ind w:left="480" w:leftChars="200" w:firstLine="0" w:firstLineChars="0"/>
        <w:outlineLvl w:val="5"/>
        <w:rPr>
          <w:rFonts w:hint="eastAsia"/>
          <w:b/>
          <w:bCs/>
          <w:lang w:val="en-US" w:eastAsia="zh-CN"/>
        </w:rPr>
      </w:pPr>
      <w:r>
        <w:rPr>
          <w:rFonts w:hint="eastAsia"/>
          <w:b/>
          <w:bCs/>
          <w:lang w:val="en-US" w:eastAsia="zh-CN"/>
        </w:rPr>
        <w:t>中和生产高氯酸锂氯元素平衡</w:t>
      </w:r>
    </w:p>
    <w:p w14:paraId="7B49EC86">
      <w:pPr>
        <w:pStyle w:val="43"/>
        <w:numPr>
          <w:ilvl w:val="5"/>
          <w:numId w:val="1"/>
        </w:numPr>
        <w:rPr>
          <w:rFonts w:hint="eastAsia"/>
          <w:highlight w:val="none"/>
        </w:rPr>
      </w:pPr>
      <w:r>
        <w:rPr>
          <w:rFonts w:hint="eastAsia"/>
          <w:b/>
          <w:bCs/>
          <w:lang w:val="en-US" w:eastAsia="zh-CN"/>
        </w:rPr>
        <w:t>中和生产高氯酸锂</w:t>
      </w:r>
      <w:r>
        <w:rPr>
          <w:rFonts w:hint="eastAsia"/>
          <w:highlight w:val="none"/>
          <w:lang w:val="en-US" w:eastAsia="zh-CN"/>
        </w:rPr>
        <w:t>氯元素平衡一览表</w:t>
      </w:r>
    </w:p>
    <w:tbl>
      <w:tblPr>
        <w:tblStyle w:val="32"/>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151"/>
        <w:gridCol w:w="1208"/>
        <w:gridCol w:w="1691"/>
        <w:gridCol w:w="2365"/>
        <w:gridCol w:w="1104"/>
      </w:tblGrid>
      <w:tr w14:paraId="614107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97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57523">
            <w:pPr>
              <w:pStyle w:val="45"/>
              <w:bidi w:val="0"/>
              <w:rPr>
                <w:rFonts w:hint="eastAsia"/>
                <w:b/>
                <w:bCs/>
              </w:rPr>
            </w:pPr>
            <w:r>
              <w:rPr>
                <w:rFonts w:hint="eastAsia"/>
                <w:b/>
                <w:bCs/>
                <w:lang w:val="en-US" w:eastAsia="zh-CN"/>
              </w:rPr>
              <w:t>投入（</w:t>
            </w:r>
            <w:r>
              <w:rPr>
                <w:rFonts w:hint="default"/>
                <w:b/>
                <w:bCs/>
                <w:lang w:val="en-US" w:eastAsia="zh-CN"/>
              </w:rPr>
              <w:t>t</w:t>
            </w:r>
            <w:r>
              <w:rPr>
                <w:rFonts w:hint="eastAsia"/>
                <w:b/>
                <w:bCs/>
                <w:lang w:val="en-US" w:eastAsia="zh-CN"/>
              </w:rPr>
              <w:t>）</w:t>
            </w:r>
          </w:p>
        </w:tc>
        <w:tc>
          <w:tcPr>
            <w:tcW w:w="3028"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4D073D">
            <w:pPr>
              <w:pStyle w:val="45"/>
              <w:bidi w:val="0"/>
              <w:rPr>
                <w:rFonts w:hint="eastAsia"/>
                <w:b/>
                <w:bCs/>
              </w:rPr>
            </w:pPr>
            <w:r>
              <w:rPr>
                <w:rFonts w:hint="eastAsia"/>
                <w:b/>
                <w:bCs/>
                <w:lang w:val="en-US" w:eastAsia="zh-CN"/>
              </w:rPr>
              <w:t>产出（</w:t>
            </w:r>
            <w:r>
              <w:rPr>
                <w:rFonts w:hint="default"/>
                <w:b/>
                <w:bCs/>
                <w:lang w:val="en-US" w:eastAsia="zh-CN"/>
              </w:rPr>
              <w:t>t</w:t>
            </w:r>
            <w:r>
              <w:rPr>
                <w:rFonts w:hint="eastAsia"/>
                <w:b/>
                <w:bCs/>
                <w:lang w:val="en-US" w:eastAsia="zh-CN"/>
              </w:rPr>
              <w:t>）</w:t>
            </w:r>
          </w:p>
        </w:tc>
      </w:tr>
      <w:tr w14:paraId="4772D5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044E28">
            <w:pPr>
              <w:pStyle w:val="45"/>
              <w:bidi w:val="0"/>
              <w:rPr>
                <w:rFonts w:hint="eastAsia"/>
              </w:rPr>
            </w:pPr>
            <w:r>
              <w:rPr>
                <w:rFonts w:hint="eastAsia"/>
                <w:lang w:val="en-US" w:eastAsia="zh-CN"/>
              </w:rPr>
              <w:t>70%高氯酸</w:t>
            </w:r>
          </w:p>
        </w:tc>
        <w:tc>
          <w:tcPr>
            <w:tcW w:w="7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9FCBB">
            <w:pPr>
              <w:pStyle w:val="45"/>
              <w:bidi w:val="0"/>
              <w:rPr>
                <w:rFonts w:hint="eastAsia"/>
              </w:rPr>
            </w:pPr>
            <w:r>
              <w:rPr>
                <w:rFonts w:hint="eastAsia"/>
                <w:lang w:val="en-US" w:eastAsia="zh-CN"/>
              </w:rPr>
              <w:t>74.18</w:t>
            </w:r>
          </w:p>
        </w:tc>
        <w:tc>
          <w:tcPr>
            <w:tcW w:w="9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563F0">
            <w:pPr>
              <w:pStyle w:val="45"/>
              <w:bidi w:val="0"/>
              <w:rPr>
                <w:rFonts w:hint="eastAsia"/>
              </w:rPr>
            </w:pPr>
            <w:r>
              <w:rPr>
                <w:rFonts w:hint="eastAsia"/>
                <w:lang w:val="en-US" w:eastAsia="zh-CN"/>
              </w:rPr>
              <w:t>产品</w:t>
            </w:r>
          </w:p>
        </w:tc>
        <w:tc>
          <w:tcPr>
            <w:tcW w:w="13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CED476">
            <w:pPr>
              <w:pStyle w:val="45"/>
              <w:bidi w:val="0"/>
              <w:rPr>
                <w:rFonts w:hint="eastAsia"/>
              </w:rPr>
            </w:pPr>
            <w:r>
              <w:rPr>
                <w:rFonts w:hint="eastAsia"/>
                <w:lang w:val="en-US" w:eastAsia="zh-CN"/>
              </w:rPr>
              <w:t>高氯酸锂</w:t>
            </w:r>
          </w:p>
        </w:tc>
        <w:tc>
          <w:tcPr>
            <w:tcW w:w="6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E8FCE">
            <w:pPr>
              <w:pStyle w:val="45"/>
              <w:bidi w:val="0"/>
              <w:rPr>
                <w:rFonts w:hint="eastAsia"/>
              </w:rPr>
            </w:pPr>
            <w:r>
              <w:rPr>
                <w:rFonts w:hint="eastAsia"/>
                <w:lang w:val="en-US" w:eastAsia="zh-CN"/>
              </w:rPr>
              <w:t>66.67</w:t>
            </w:r>
          </w:p>
        </w:tc>
      </w:tr>
      <w:tr w14:paraId="5494C8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5FBB3">
            <w:pPr>
              <w:pStyle w:val="45"/>
              <w:bidi w:val="0"/>
              <w:rPr>
                <w:rFonts w:hint="eastAsia"/>
              </w:rPr>
            </w:pPr>
          </w:p>
        </w:tc>
        <w:tc>
          <w:tcPr>
            <w:tcW w:w="7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1EF66">
            <w:pPr>
              <w:pStyle w:val="45"/>
              <w:bidi w:val="0"/>
              <w:rPr>
                <w:rFonts w:hint="eastAsia"/>
              </w:rPr>
            </w:pPr>
          </w:p>
        </w:tc>
        <w:tc>
          <w:tcPr>
            <w:tcW w:w="992" w:type="pct"/>
            <w:vMerge w:val="restart"/>
            <w:tcBorders>
              <w:top w:val="single" w:color="000000" w:sz="4" w:space="0"/>
              <w:left w:val="single" w:color="000000" w:sz="4" w:space="0"/>
              <w:right w:val="single" w:color="000000" w:sz="4" w:space="0"/>
            </w:tcBorders>
            <w:shd w:val="clear" w:color="auto" w:fill="auto"/>
            <w:noWrap/>
            <w:vAlign w:val="center"/>
          </w:tcPr>
          <w:p w14:paraId="317B8275">
            <w:pPr>
              <w:pStyle w:val="45"/>
              <w:bidi w:val="0"/>
              <w:rPr>
                <w:rFonts w:hint="eastAsia"/>
              </w:rPr>
            </w:pPr>
            <w:r>
              <w:rPr>
                <w:rFonts w:hint="eastAsia"/>
                <w:lang w:val="en-US" w:eastAsia="zh-CN"/>
              </w:rPr>
              <w:t>其他物料</w:t>
            </w:r>
          </w:p>
        </w:tc>
        <w:tc>
          <w:tcPr>
            <w:tcW w:w="23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B9D88">
            <w:pPr>
              <w:pStyle w:val="45"/>
              <w:bidi w:val="0"/>
              <w:rPr>
                <w:rFonts w:hint="eastAsia"/>
                <w:lang w:val="en-US" w:eastAsia="zh-CN"/>
              </w:rPr>
            </w:pPr>
            <w:r>
              <w:rPr>
                <w:rFonts w:hint="eastAsia"/>
                <w:lang w:val="en-US" w:eastAsia="zh-CN"/>
              </w:rPr>
              <w:t>干燥粉尘带走</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4E309">
            <w:pPr>
              <w:pStyle w:val="45"/>
              <w:bidi w:val="0"/>
              <w:rPr>
                <w:rFonts w:hint="eastAsia"/>
                <w:lang w:val="en-US" w:eastAsia="zh-CN"/>
              </w:rPr>
            </w:pPr>
            <w:r>
              <w:rPr>
                <w:rFonts w:hint="eastAsia"/>
                <w:lang w:val="en-US" w:eastAsia="zh-CN"/>
              </w:rPr>
              <w:t>0.08</w:t>
            </w:r>
          </w:p>
        </w:tc>
      </w:tr>
      <w:tr w14:paraId="67A886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1601C">
            <w:pPr>
              <w:pStyle w:val="45"/>
              <w:bidi w:val="0"/>
              <w:rPr>
                <w:rFonts w:hint="eastAsia"/>
              </w:rPr>
            </w:pPr>
          </w:p>
        </w:tc>
        <w:tc>
          <w:tcPr>
            <w:tcW w:w="7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1C7C3">
            <w:pPr>
              <w:pStyle w:val="45"/>
              <w:bidi w:val="0"/>
              <w:rPr>
                <w:rFonts w:hint="eastAsia"/>
              </w:rPr>
            </w:pPr>
          </w:p>
        </w:tc>
        <w:tc>
          <w:tcPr>
            <w:tcW w:w="992" w:type="pct"/>
            <w:vMerge w:val="continue"/>
            <w:tcBorders>
              <w:left w:val="single" w:color="000000" w:sz="4" w:space="0"/>
              <w:right w:val="single" w:color="000000" w:sz="4" w:space="0"/>
            </w:tcBorders>
            <w:shd w:val="clear" w:color="auto" w:fill="auto"/>
            <w:noWrap/>
            <w:vAlign w:val="center"/>
          </w:tcPr>
          <w:p w14:paraId="70A1FA49">
            <w:pPr>
              <w:pStyle w:val="45"/>
              <w:bidi w:val="0"/>
              <w:rPr>
                <w:rFonts w:hint="eastAsia"/>
              </w:rPr>
            </w:pPr>
          </w:p>
        </w:tc>
        <w:tc>
          <w:tcPr>
            <w:tcW w:w="23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8A571">
            <w:pPr>
              <w:pStyle w:val="45"/>
              <w:bidi w:val="0"/>
              <w:rPr>
                <w:rFonts w:hint="eastAsia"/>
              </w:rPr>
            </w:pPr>
            <w:r>
              <w:rPr>
                <w:rFonts w:hint="eastAsia"/>
                <w:lang w:val="en-US" w:eastAsia="zh-CN"/>
              </w:rPr>
              <w:t>中和尾气带走</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7EE9AA">
            <w:pPr>
              <w:pStyle w:val="45"/>
              <w:bidi w:val="0"/>
              <w:rPr>
                <w:rFonts w:hint="eastAsia"/>
              </w:rPr>
            </w:pPr>
            <w:r>
              <w:rPr>
                <w:rFonts w:hint="eastAsia"/>
                <w:lang w:val="en-US" w:eastAsia="zh-CN"/>
              </w:rPr>
              <w:t>0.29</w:t>
            </w:r>
          </w:p>
        </w:tc>
      </w:tr>
      <w:tr w14:paraId="7F0856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F5A2A">
            <w:pPr>
              <w:pStyle w:val="45"/>
              <w:bidi w:val="0"/>
              <w:rPr>
                <w:rFonts w:hint="eastAsia"/>
              </w:rPr>
            </w:pPr>
          </w:p>
        </w:tc>
        <w:tc>
          <w:tcPr>
            <w:tcW w:w="7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CA8A1">
            <w:pPr>
              <w:pStyle w:val="45"/>
              <w:bidi w:val="0"/>
              <w:rPr>
                <w:rFonts w:hint="eastAsia"/>
              </w:rPr>
            </w:pPr>
          </w:p>
        </w:tc>
        <w:tc>
          <w:tcPr>
            <w:tcW w:w="992" w:type="pct"/>
            <w:vMerge w:val="continue"/>
            <w:tcBorders>
              <w:left w:val="single" w:color="000000" w:sz="4" w:space="0"/>
              <w:bottom w:val="single" w:color="000000" w:sz="4" w:space="0"/>
              <w:right w:val="single" w:color="000000" w:sz="4" w:space="0"/>
            </w:tcBorders>
            <w:shd w:val="clear" w:color="auto" w:fill="auto"/>
            <w:noWrap/>
            <w:vAlign w:val="center"/>
          </w:tcPr>
          <w:p w14:paraId="4A80CFD2">
            <w:pPr>
              <w:pStyle w:val="45"/>
              <w:bidi w:val="0"/>
              <w:rPr>
                <w:rFonts w:hint="eastAsia"/>
              </w:rPr>
            </w:pPr>
          </w:p>
        </w:tc>
        <w:tc>
          <w:tcPr>
            <w:tcW w:w="23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DCCEF">
            <w:pPr>
              <w:pStyle w:val="45"/>
              <w:bidi w:val="0"/>
              <w:rPr>
                <w:rFonts w:hint="eastAsia"/>
              </w:rPr>
            </w:pPr>
            <w:r>
              <w:rPr>
                <w:rFonts w:hint="eastAsia"/>
                <w:lang w:val="en-US" w:eastAsia="zh-CN"/>
              </w:rPr>
              <w:t>母液带走</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20CFC">
            <w:pPr>
              <w:pStyle w:val="45"/>
              <w:bidi w:val="0"/>
              <w:rPr>
                <w:rFonts w:hint="eastAsia"/>
              </w:rPr>
            </w:pPr>
            <w:r>
              <w:rPr>
                <w:rFonts w:hint="eastAsia"/>
                <w:lang w:val="en-US" w:eastAsia="zh-CN"/>
              </w:rPr>
              <w:t>7.14</w:t>
            </w:r>
          </w:p>
        </w:tc>
      </w:tr>
      <w:tr w14:paraId="2184FC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A5258">
            <w:pPr>
              <w:pStyle w:val="45"/>
              <w:bidi w:val="0"/>
              <w:rPr>
                <w:rFonts w:hint="eastAsia"/>
              </w:rPr>
            </w:pPr>
            <w:r>
              <w:rPr>
                <w:rFonts w:hint="eastAsia"/>
                <w:lang w:val="en-US" w:eastAsia="zh-CN"/>
              </w:rPr>
              <w:t>合计</w:t>
            </w:r>
          </w:p>
        </w:tc>
        <w:tc>
          <w:tcPr>
            <w:tcW w:w="7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B8360">
            <w:pPr>
              <w:pStyle w:val="45"/>
              <w:bidi w:val="0"/>
              <w:rPr>
                <w:rFonts w:hint="eastAsia"/>
              </w:rPr>
            </w:pPr>
            <w:r>
              <w:rPr>
                <w:rFonts w:hint="eastAsia"/>
                <w:lang w:val="en-US" w:eastAsia="zh-CN"/>
              </w:rPr>
              <w:t>74.18</w:t>
            </w:r>
          </w:p>
        </w:tc>
        <w:tc>
          <w:tcPr>
            <w:tcW w:w="238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954800">
            <w:pPr>
              <w:pStyle w:val="45"/>
              <w:bidi w:val="0"/>
              <w:rPr>
                <w:rFonts w:hint="eastAsia"/>
              </w:rPr>
            </w:pPr>
            <w:r>
              <w:rPr>
                <w:rFonts w:hint="eastAsia"/>
                <w:lang w:val="en-US" w:eastAsia="zh-CN"/>
              </w:rPr>
              <w:t>合计</w:t>
            </w:r>
          </w:p>
        </w:tc>
        <w:tc>
          <w:tcPr>
            <w:tcW w:w="6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DD80D">
            <w:pPr>
              <w:pStyle w:val="45"/>
              <w:bidi w:val="0"/>
              <w:rPr>
                <w:rFonts w:hint="eastAsia"/>
              </w:rPr>
            </w:pPr>
            <w:r>
              <w:rPr>
                <w:rFonts w:hint="eastAsia"/>
                <w:lang w:val="en-US" w:eastAsia="zh-CN"/>
              </w:rPr>
              <w:t>74.18</w:t>
            </w:r>
          </w:p>
        </w:tc>
      </w:tr>
    </w:tbl>
    <w:p w14:paraId="31DBDA06">
      <w:pPr>
        <w:pStyle w:val="45"/>
        <w:bidi w:val="0"/>
        <w:rPr>
          <w:rFonts w:hint="eastAsia"/>
        </w:rPr>
      </w:pPr>
    </w:p>
    <w:p w14:paraId="6A36B0C9">
      <w:pPr>
        <w:bidi w:val="0"/>
        <w:ind w:left="0" w:leftChars="0" w:firstLine="0" w:firstLineChars="0"/>
        <w:jc w:val="center"/>
        <w:rPr>
          <w:rFonts w:hint="default"/>
        </w:rPr>
      </w:pPr>
      <w:r>
        <w:rPr>
          <w:rFonts w:hint="default"/>
        </w:rPr>
        <w:object>
          <v:shape id="_x0000_i1054" o:spt="75" type="#_x0000_t75" style="height:138.75pt;width:302.25pt;" o:ole="t" filled="f" o:preferrelative="t" stroked="f" coordsize="21600,21600">
            <v:path/>
            <v:fill on="f" focussize="0,0"/>
            <v:stroke on="f"/>
            <v:imagedata r:id="rId75" o:title=""/>
            <o:lock v:ext="edit" aspectratio="f"/>
            <w10:wrap type="none"/>
            <w10:anchorlock/>
          </v:shape>
          <o:OLEObject Type="Embed" ProgID="Visio.Drawing.15" ShapeID="_x0000_i1054" DrawAspect="Content" ObjectID="_1468075754" r:id="rId74">
            <o:LockedField>false</o:LockedField>
          </o:OLEObject>
        </w:object>
      </w:r>
    </w:p>
    <w:p w14:paraId="72C60D2D">
      <w:pPr>
        <w:pStyle w:val="42"/>
        <w:bidi w:val="0"/>
        <w:rPr>
          <w:rFonts w:hint="default"/>
        </w:rPr>
      </w:pPr>
      <w:r>
        <w:rPr>
          <w:rFonts w:hint="eastAsia"/>
          <w:b/>
          <w:bCs/>
          <w:lang w:val="en-US" w:eastAsia="zh-CN"/>
        </w:rPr>
        <w:t>中和生产高氯酸锂</w:t>
      </w:r>
      <w:r>
        <w:rPr>
          <w:rFonts w:hint="eastAsia"/>
          <w:lang w:val="en-US" w:eastAsia="zh-CN"/>
        </w:rPr>
        <w:t>氯元素</w:t>
      </w:r>
      <w:r>
        <w:t>平衡示意图（单位：t/a）</w:t>
      </w:r>
    </w:p>
    <w:p w14:paraId="79A07BA3">
      <w:pPr>
        <w:ind w:left="0" w:leftChars="0" w:firstLine="0" w:firstLineChars="0"/>
        <w:rPr>
          <w:rFonts w:hint="eastAsia"/>
          <w:highlight w:val="yellow"/>
        </w:rPr>
      </w:pPr>
    </w:p>
    <w:p w14:paraId="175BFE4E">
      <w:pPr>
        <w:numPr>
          <w:ilvl w:val="0"/>
          <w:numId w:val="10"/>
        </w:numPr>
        <w:ind w:left="480" w:leftChars="200" w:firstLine="0" w:firstLineChars="0"/>
        <w:outlineLvl w:val="5"/>
        <w:rPr>
          <w:rFonts w:hint="eastAsia"/>
          <w:b/>
          <w:bCs/>
          <w:lang w:val="en-US" w:eastAsia="zh-CN"/>
        </w:rPr>
      </w:pPr>
      <w:r>
        <w:rPr>
          <w:rFonts w:hint="eastAsia"/>
          <w:b/>
          <w:bCs/>
          <w:lang w:val="en-US" w:eastAsia="zh-CN"/>
        </w:rPr>
        <w:t>中和生产高氯酸锂锂元素平衡</w:t>
      </w:r>
    </w:p>
    <w:p w14:paraId="685855D0">
      <w:pPr>
        <w:pStyle w:val="43"/>
        <w:numPr>
          <w:ilvl w:val="5"/>
          <w:numId w:val="1"/>
        </w:numPr>
        <w:rPr>
          <w:rFonts w:hint="eastAsia"/>
          <w:highlight w:val="none"/>
        </w:rPr>
      </w:pPr>
      <w:r>
        <w:rPr>
          <w:rFonts w:hint="eastAsia"/>
          <w:b/>
          <w:bCs/>
          <w:lang w:val="en-US" w:eastAsia="zh-CN"/>
        </w:rPr>
        <w:t>中和生产高氯酸锂</w:t>
      </w:r>
      <w:r>
        <w:rPr>
          <w:rFonts w:hint="eastAsia"/>
          <w:highlight w:val="none"/>
          <w:lang w:val="en-US" w:eastAsia="zh-CN"/>
        </w:rPr>
        <w:t>锂元素平衡一览表</w:t>
      </w:r>
    </w:p>
    <w:tbl>
      <w:tblPr>
        <w:tblStyle w:val="32"/>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151"/>
        <w:gridCol w:w="1208"/>
        <w:gridCol w:w="1691"/>
        <w:gridCol w:w="2365"/>
        <w:gridCol w:w="1104"/>
      </w:tblGrid>
      <w:tr w14:paraId="61B7B7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97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02C8F">
            <w:pPr>
              <w:pStyle w:val="45"/>
              <w:bidi w:val="0"/>
              <w:rPr>
                <w:rFonts w:hint="eastAsia"/>
                <w:b/>
                <w:bCs/>
              </w:rPr>
            </w:pPr>
            <w:r>
              <w:rPr>
                <w:rFonts w:hint="eastAsia"/>
                <w:b/>
                <w:bCs/>
                <w:lang w:val="en-US" w:eastAsia="zh-CN"/>
              </w:rPr>
              <w:t>投入（</w:t>
            </w:r>
            <w:r>
              <w:rPr>
                <w:rFonts w:hint="default"/>
                <w:b/>
                <w:bCs/>
                <w:lang w:val="en-US" w:eastAsia="zh-CN"/>
              </w:rPr>
              <w:t>t</w:t>
            </w:r>
            <w:r>
              <w:rPr>
                <w:rFonts w:hint="eastAsia"/>
                <w:b/>
                <w:bCs/>
                <w:lang w:val="en-US" w:eastAsia="zh-CN"/>
              </w:rPr>
              <w:t>）</w:t>
            </w:r>
          </w:p>
        </w:tc>
        <w:tc>
          <w:tcPr>
            <w:tcW w:w="3028"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F9FC6">
            <w:pPr>
              <w:pStyle w:val="45"/>
              <w:bidi w:val="0"/>
              <w:rPr>
                <w:rFonts w:hint="eastAsia"/>
                <w:b/>
                <w:bCs/>
              </w:rPr>
            </w:pPr>
            <w:r>
              <w:rPr>
                <w:rFonts w:hint="eastAsia"/>
                <w:b/>
                <w:bCs/>
                <w:lang w:val="en-US" w:eastAsia="zh-CN"/>
              </w:rPr>
              <w:t>产出（</w:t>
            </w:r>
            <w:r>
              <w:rPr>
                <w:rFonts w:hint="default"/>
                <w:b/>
                <w:bCs/>
                <w:lang w:val="en-US" w:eastAsia="zh-CN"/>
              </w:rPr>
              <w:t>t</w:t>
            </w:r>
            <w:r>
              <w:rPr>
                <w:rFonts w:hint="eastAsia"/>
                <w:b/>
                <w:bCs/>
                <w:lang w:val="en-US" w:eastAsia="zh-CN"/>
              </w:rPr>
              <w:t>）</w:t>
            </w:r>
          </w:p>
        </w:tc>
      </w:tr>
      <w:tr w14:paraId="32E1B0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1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C6746D">
            <w:pPr>
              <w:pStyle w:val="45"/>
              <w:bidi w:val="0"/>
              <w:rPr>
                <w:rFonts w:hint="eastAsia"/>
              </w:rPr>
            </w:pPr>
            <w:r>
              <w:rPr>
                <w:rFonts w:hint="eastAsia"/>
                <w:lang w:val="en-US" w:eastAsia="zh-CN"/>
              </w:rPr>
              <w:t>碳酸锂</w:t>
            </w: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94224">
            <w:pPr>
              <w:pStyle w:val="45"/>
              <w:bidi w:val="0"/>
              <w:rPr>
                <w:rFonts w:hint="eastAsia"/>
              </w:rPr>
            </w:pPr>
            <w:r>
              <w:rPr>
                <w:rFonts w:hint="eastAsia"/>
                <w:lang w:val="en-US" w:eastAsia="zh-CN"/>
              </w:rPr>
              <w:t>18.92</w:t>
            </w:r>
          </w:p>
        </w:tc>
        <w:tc>
          <w:tcPr>
            <w:tcW w:w="16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C61DE">
            <w:pPr>
              <w:pStyle w:val="45"/>
              <w:bidi w:val="0"/>
              <w:rPr>
                <w:rFonts w:hint="eastAsia"/>
              </w:rPr>
            </w:pPr>
            <w:r>
              <w:rPr>
                <w:rFonts w:hint="eastAsia"/>
                <w:lang w:val="en-US" w:eastAsia="zh-CN"/>
              </w:rPr>
              <w:t>产品</w:t>
            </w:r>
          </w:p>
        </w:tc>
        <w:tc>
          <w:tcPr>
            <w:tcW w:w="23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F76C1">
            <w:pPr>
              <w:pStyle w:val="45"/>
              <w:bidi w:val="0"/>
              <w:rPr>
                <w:rFonts w:hint="eastAsia"/>
              </w:rPr>
            </w:pPr>
            <w:r>
              <w:rPr>
                <w:rFonts w:hint="eastAsia"/>
                <w:lang w:val="en-US" w:eastAsia="zh-CN"/>
              </w:rPr>
              <w:t>高氯酸锂</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86972">
            <w:pPr>
              <w:pStyle w:val="45"/>
              <w:bidi w:val="0"/>
              <w:rPr>
                <w:rFonts w:hint="eastAsia"/>
              </w:rPr>
            </w:pPr>
            <w:r>
              <w:rPr>
                <w:rFonts w:hint="eastAsia"/>
                <w:lang w:val="en-US" w:eastAsia="zh-CN"/>
              </w:rPr>
              <w:t>13.15</w:t>
            </w:r>
          </w:p>
        </w:tc>
      </w:tr>
      <w:tr w14:paraId="406D59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1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942E12">
            <w:pPr>
              <w:pStyle w:val="45"/>
              <w:bidi w:val="0"/>
              <w:rPr>
                <w:rFonts w:hint="eastAsia"/>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2AED32">
            <w:pPr>
              <w:pStyle w:val="45"/>
              <w:bidi w:val="0"/>
              <w:rPr>
                <w:rFonts w:hint="eastAsia"/>
              </w:rPr>
            </w:pPr>
          </w:p>
        </w:tc>
        <w:tc>
          <w:tcPr>
            <w:tcW w:w="1691" w:type="dxa"/>
            <w:vMerge w:val="restart"/>
            <w:tcBorders>
              <w:top w:val="single" w:color="000000" w:sz="4" w:space="0"/>
              <w:left w:val="single" w:color="000000" w:sz="4" w:space="0"/>
              <w:right w:val="single" w:color="000000" w:sz="4" w:space="0"/>
            </w:tcBorders>
            <w:shd w:val="clear" w:color="auto" w:fill="auto"/>
            <w:noWrap/>
            <w:vAlign w:val="center"/>
          </w:tcPr>
          <w:p w14:paraId="0A5CB575">
            <w:pPr>
              <w:pStyle w:val="45"/>
              <w:bidi w:val="0"/>
              <w:rPr>
                <w:rFonts w:hint="eastAsia"/>
              </w:rPr>
            </w:pPr>
            <w:r>
              <w:rPr>
                <w:rFonts w:hint="eastAsia"/>
                <w:lang w:val="en-US" w:eastAsia="zh-CN"/>
              </w:rPr>
              <w:t>其他物料</w:t>
            </w:r>
          </w:p>
        </w:tc>
        <w:tc>
          <w:tcPr>
            <w:tcW w:w="23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BA238">
            <w:pPr>
              <w:pStyle w:val="45"/>
              <w:bidi w:val="0"/>
              <w:rPr>
                <w:rFonts w:hint="eastAsia"/>
              </w:rPr>
            </w:pPr>
            <w:r>
              <w:rPr>
                <w:rFonts w:hint="eastAsia"/>
                <w:lang w:val="en-US" w:eastAsia="zh-CN"/>
              </w:rPr>
              <w:t>干燥粉尘带走</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BB11C0">
            <w:pPr>
              <w:pStyle w:val="45"/>
              <w:bidi w:val="0"/>
              <w:rPr>
                <w:rFonts w:hint="default"/>
                <w:lang w:val="en-US"/>
              </w:rPr>
            </w:pPr>
            <w:r>
              <w:rPr>
                <w:rFonts w:hint="eastAsia"/>
                <w:lang w:val="en-US" w:eastAsia="zh-CN"/>
              </w:rPr>
              <w:t>0.01</w:t>
            </w:r>
          </w:p>
        </w:tc>
      </w:tr>
      <w:tr w14:paraId="31CAEB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1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05A7B">
            <w:pPr>
              <w:pStyle w:val="45"/>
              <w:bidi w:val="0"/>
              <w:rPr>
                <w:rFonts w:hint="eastAsia"/>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1B34A">
            <w:pPr>
              <w:pStyle w:val="45"/>
              <w:bidi w:val="0"/>
              <w:rPr>
                <w:rFonts w:hint="eastAsia"/>
              </w:rPr>
            </w:pPr>
          </w:p>
        </w:tc>
        <w:tc>
          <w:tcPr>
            <w:tcW w:w="1691" w:type="dxa"/>
            <w:vMerge w:val="continue"/>
            <w:tcBorders>
              <w:left w:val="single" w:color="000000" w:sz="4" w:space="0"/>
              <w:bottom w:val="single" w:color="000000" w:sz="4" w:space="0"/>
              <w:right w:val="single" w:color="000000" w:sz="4" w:space="0"/>
            </w:tcBorders>
            <w:shd w:val="clear" w:color="auto" w:fill="auto"/>
            <w:noWrap/>
            <w:vAlign w:val="center"/>
          </w:tcPr>
          <w:p w14:paraId="2A4E8125">
            <w:pPr>
              <w:pStyle w:val="45"/>
              <w:bidi w:val="0"/>
              <w:rPr>
                <w:rFonts w:hint="eastAsia"/>
              </w:rPr>
            </w:pPr>
          </w:p>
        </w:tc>
        <w:tc>
          <w:tcPr>
            <w:tcW w:w="23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1BF448">
            <w:pPr>
              <w:pStyle w:val="45"/>
              <w:bidi w:val="0"/>
              <w:rPr>
                <w:rFonts w:hint="eastAsia"/>
              </w:rPr>
            </w:pPr>
            <w:r>
              <w:rPr>
                <w:rFonts w:hint="eastAsia"/>
                <w:lang w:val="en-US" w:eastAsia="zh-CN"/>
              </w:rPr>
              <w:t>母液带走</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14E3BE">
            <w:pPr>
              <w:pStyle w:val="45"/>
              <w:bidi w:val="0"/>
              <w:rPr>
                <w:rFonts w:hint="eastAsia"/>
              </w:rPr>
            </w:pPr>
            <w:r>
              <w:rPr>
                <w:rFonts w:hint="eastAsia"/>
                <w:lang w:val="en-US" w:eastAsia="zh-CN"/>
              </w:rPr>
              <w:t>5.76</w:t>
            </w:r>
          </w:p>
        </w:tc>
      </w:tr>
      <w:tr w14:paraId="59DAC2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1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B7A40">
            <w:pPr>
              <w:pStyle w:val="45"/>
              <w:bidi w:val="0"/>
              <w:rPr>
                <w:rFonts w:hint="eastAsia"/>
              </w:rPr>
            </w:pPr>
            <w:r>
              <w:rPr>
                <w:rFonts w:hint="eastAsia"/>
                <w:lang w:val="en-US" w:eastAsia="zh-CN"/>
              </w:rPr>
              <w:t>合计</w:t>
            </w: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867FA">
            <w:pPr>
              <w:pStyle w:val="45"/>
              <w:bidi w:val="0"/>
              <w:rPr>
                <w:rFonts w:hint="eastAsia"/>
              </w:rPr>
            </w:pPr>
            <w:r>
              <w:rPr>
                <w:rFonts w:hint="eastAsia"/>
                <w:lang w:val="en-US" w:eastAsia="zh-CN"/>
              </w:rPr>
              <w:t>18.92</w:t>
            </w:r>
          </w:p>
        </w:tc>
        <w:tc>
          <w:tcPr>
            <w:tcW w:w="405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B2290">
            <w:pPr>
              <w:pStyle w:val="45"/>
              <w:bidi w:val="0"/>
              <w:rPr>
                <w:rFonts w:hint="eastAsia"/>
              </w:rPr>
            </w:pPr>
            <w:r>
              <w:rPr>
                <w:rFonts w:hint="eastAsia"/>
                <w:lang w:val="en-US" w:eastAsia="zh-CN"/>
              </w:rPr>
              <w:t>合计</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9C4DB4">
            <w:pPr>
              <w:pStyle w:val="45"/>
              <w:bidi w:val="0"/>
              <w:rPr>
                <w:rFonts w:hint="eastAsia"/>
              </w:rPr>
            </w:pPr>
            <w:r>
              <w:rPr>
                <w:rFonts w:hint="eastAsia"/>
                <w:lang w:val="en-US" w:eastAsia="zh-CN"/>
              </w:rPr>
              <w:t>18.92</w:t>
            </w:r>
          </w:p>
        </w:tc>
      </w:tr>
    </w:tbl>
    <w:p w14:paraId="6FAF5961">
      <w:pPr>
        <w:pStyle w:val="45"/>
        <w:bidi w:val="0"/>
        <w:rPr>
          <w:rFonts w:hint="eastAsia"/>
        </w:rPr>
      </w:pPr>
    </w:p>
    <w:p w14:paraId="3E00600D">
      <w:pPr>
        <w:bidi w:val="0"/>
        <w:ind w:left="0" w:leftChars="0" w:firstLine="0" w:firstLineChars="0"/>
        <w:jc w:val="center"/>
        <w:rPr>
          <w:rFonts w:hint="default"/>
        </w:rPr>
      </w:pPr>
      <w:r>
        <w:rPr>
          <w:rFonts w:hint="default"/>
        </w:rPr>
        <w:object>
          <v:shape id="_x0000_i1055" o:spt="75" type="#_x0000_t75" style="height:133.5pt;width:302.25pt;" o:ole="t" filled="f" o:preferrelative="t" stroked="f" coordsize="21600,21600">
            <v:path/>
            <v:fill on="f" focussize="0,0"/>
            <v:stroke on="f"/>
            <v:imagedata r:id="rId77" o:title=""/>
            <o:lock v:ext="edit" aspectratio="f"/>
            <w10:wrap type="none"/>
            <w10:anchorlock/>
          </v:shape>
          <o:OLEObject Type="Embed" ProgID="Visio.Drawing.15" ShapeID="_x0000_i1055" DrawAspect="Content" ObjectID="_1468075755" r:id="rId76">
            <o:LockedField>false</o:LockedField>
          </o:OLEObject>
        </w:object>
      </w:r>
    </w:p>
    <w:p w14:paraId="118D0169">
      <w:pPr>
        <w:pStyle w:val="42"/>
        <w:bidi w:val="0"/>
        <w:rPr>
          <w:rFonts w:hint="default"/>
        </w:rPr>
      </w:pPr>
      <w:r>
        <w:rPr>
          <w:rFonts w:hint="eastAsia"/>
          <w:b/>
          <w:bCs/>
          <w:lang w:val="en-US" w:eastAsia="zh-CN"/>
        </w:rPr>
        <w:t>中和生产高氯酸锂</w:t>
      </w:r>
      <w:r>
        <w:rPr>
          <w:rFonts w:hint="eastAsia"/>
          <w:lang w:val="en-US" w:eastAsia="zh-CN"/>
        </w:rPr>
        <w:t>锂元素</w:t>
      </w:r>
      <w:r>
        <w:t>平衡示意图（单位：t/a）</w:t>
      </w:r>
    </w:p>
    <w:p w14:paraId="5C778C62">
      <w:pPr>
        <w:widowControl/>
        <w:tabs>
          <w:tab w:val="left" w:pos="420"/>
        </w:tabs>
        <w:spacing w:line="240" w:lineRule="auto"/>
        <w:ind w:firstLine="0" w:firstLineChars="0"/>
        <w:textAlignment w:val="center"/>
        <w:rPr>
          <w:b/>
          <w:bCs/>
          <w:snapToGrid w:val="0"/>
          <w:kern w:val="0"/>
          <w:sz w:val="21"/>
          <w:szCs w:val="21"/>
        </w:rPr>
      </w:pPr>
    </w:p>
    <w:p w14:paraId="517AB1D9">
      <w:pPr>
        <w:pStyle w:val="3"/>
        <w:numPr>
          <w:ilvl w:val="1"/>
          <w:numId w:val="1"/>
        </w:numPr>
      </w:pPr>
      <w:bookmarkStart w:id="128" w:name="_Toc31197"/>
      <w:r>
        <w:rPr>
          <w:rFonts w:hint="eastAsia"/>
        </w:rPr>
        <w:t>工艺路线及产污环节分析</w:t>
      </w:r>
      <w:bookmarkEnd w:id="126"/>
      <w:bookmarkEnd w:id="127"/>
      <w:bookmarkEnd w:id="128"/>
    </w:p>
    <w:p w14:paraId="525AB773">
      <w:pPr>
        <w:pStyle w:val="4"/>
        <w:numPr>
          <w:ilvl w:val="2"/>
          <w:numId w:val="1"/>
        </w:numPr>
      </w:pPr>
      <w:r>
        <w:rPr>
          <w:rFonts w:hint="eastAsia"/>
        </w:rPr>
        <w:t>氯酸钠生产工艺流程及产污环节分析</w:t>
      </w:r>
    </w:p>
    <w:p w14:paraId="1D2E4BE7">
      <w:pPr>
        <w:ind w:firstLine="480"/>
      </w:pPr>
      <w:r>
        <w:rPr>
          <w:rFonts w:hint="eastAsia"/>
        </w:rPr>
        <w:t>本项目氯酸钠生产采用电解法进行，以氯化钠为原料，先制成饱和氯化钠溶液，然后电解氯化钠饱和溶液用于生产氯酸钠。</w:t>
      </w:r>
    </w:p>
    <w:p w14:paraId="7D1BAE20">
      <w:pPr>
        <w:ind w:firstLine="480"/>
      </w:pPr>
      <w:r>
        <w:rPr>
          <w:rFonts w:hint="eastAsia"/>
        </w:rPr>
        <w:t>各工段具体工艺流程描述如下：</w:t>
      </w:r>
    </w:p>
    <w:p w14:paraId="3AB37449">
      <w:pPr>
        <w:pStyle w:val="6"/>
        <w:numPr>
          <w:ilvl w:val="4"/>
          <w:numId w:val="1"/>
        </w:numPr>
        <w:ind w:firstLine="482"/>
      </w:pPr>
      <w:r>
        <w:rPr>
          <w:rFonts w:hint="eastAsia"/>
        </w:rPr>
        <w:t>盐水精制</w:t>
      </w:r>
    </w:p>
    <w:p w14:paraId="77D88B0F">
      <w:pPr>
        <w:ind w:firstLine="480"/>
      </w:pPr>
      <w:r>
        <w:rPr>
          <w:rFonts w:hint="eastAsia"/>
        </w:rPr>
        <w:t>盐水精制工段的目的是除去氯化钠溶液中所含的硫酸根、钙镁离子等有害离子和杂质。有害离子在电解过程中消耗电能，降低电解速度，生成其它杂质；不溶性杂质在电解过程中将会减缓电解速度，同时给产品带来杂质。</w:t>
      </w:r>
    </w:p>
    <w:p w14:paraId="08054585">
      <w:pPr>
        <w:ind w:firstLine="480"/>
      </w:pPr>
      <w:r>
        <w:rPr>
          <w:rFonts w:hint="eastAsia"/>
        </w:rPr>
        <w:t>盐水精制工段由配水及澄清、化盐及预处理、陶瓷膜过滤、精盐水配制等四个工序组成。</w:t>
      </w:r>
    </w:p>
    <w:p w14:paraId="1E5E4DA7">
      <w:pPr>
        <w:ind w:firstLine="480"/>
      </w:pPr>
      <w:r>
        <w:rPr>
          <w:rFonts w:hint="eastAsia"/>
        </w:rPr>
        <w:t>①配水及澄清</w:t>
      </w:r>
    </w:p>
    <w:p w14:paraId="417A67C1">
      <w:pPr>
        <w:ind w:firstLine="480"/>
      </w:pPr>
      <w:r>
        <w:rPr>
          <w:rFonts w:hint="eastAsia"/>
        </w:rPr>
        <w:t>氯化钙与一次水在氯化钙配制槽中混合均匀，用氯化钙溶液泵送入返回母液管道中，经过静态混合器，进入澄清槽，除去硫酸根离子后的清液自澄清桶上部进入1#折流槽；盐泥自澄清槽下部去渣池。回收母液及滤液进入配水槽，用化盐桶给料泵送入化盐水热交换器。</w:t>
      </w:r>
    </w:p>
    <w:p w14:paraId="5526836F">
      <w:pPr>
        <w:ind w:firstLine="480"/>
      </w:pPr>
      <w:r>
        <w:rPr>
          <w:rFonts w:hint="eastAsia"/>
        </w:rPr>
        <w:t>化盐水经过化盐水热交换器进入化盐桶进行化盐。氢氧化钠溶液经过氢氧化钠高位槽进入1#折流槽，与制得的粗制盐水混合后，进入前反应槽进行反应。发生的主要反应如下：</w:t>
      </w:r>
    </w:p>
    <w:p w14:paraId="34DEF9F6">
      <w:pPr>
        <w:ind w:firstLine="480"/>
        <w:jc w:val="center"/>
      </w:pPr>
      <w:r>
        <w:rPr>
          <w:rFonts w:hint="eastAsia"/>
          <w:position w:val="-10"/>
        </w:rPr>
        <w:object>
          <v:shape id="_x0000_i1056" o:spt="75" type="#_x0000_t75" style="height:19.1pt;width:138pt;" o:ole="t" filled="f" o:preferrelative="t" stroked="f" coordsize="21600,21600">
            <v:path/>
            <v:fill on="f" focussize="0,0"/>
            <v:stroke on="f" joinstyle="miter"/>
            <v:imagedata r:id="rId79" o:title=""/>
            <o:lock v:ext="edit" aspectratio="t"/>
            <w10:wrap type="none"/>
            <w10:anchorlock/>
          </v:shape>
          <o:OLEObject Type="Embed" ProgID="Equation.KSEE3" ShapeID="_x0000_i1056" DrawAspect="Content" ObjectID="_1468075756" r:id="rId78">
            <o:LockedField>false</o:LockedField>
          </o:OLEObject>
        </w:object>
      </w:r>
    </w:p>
    <w:p w14:paraId="6A8A9EEA">
      <w:pPr>
        <w:ind w:firstLine="480"/>
        <w:jc w:val="center"/>
      </w:pPr>
      <w:r>
        <w:rPr>
          <w:position w:val="-12"/>
        </w:rPr>
        <w:object>
          <v:shape id="_x0000_i1057" o:spt="75" type="#_x0000_t75" style="height:19.1pt;width:159.25pt;" o:ole="t" filled="f" o:preferrelative="t" stroked="f" coordsize="21600,21600">
            <v:path/>
            <v:fill on="f" focussize="0,0"/>
            <v:stroke on="f" joinstyle="miter"/>
            <v:imagedata r:id="rId81" o:title=""/>
            <o:lock v:ext="edit" aspectratio="t"/>
            <w10:wrap type="none"/>
            <w10:anchorlock/>
          </v:shape>
          <o:OLEObject Type="Embed" ProgID="Equation.KSEE3" ShapeID="_x0000_i1057" DrawAspect="Content" ObjectID="_1468075757" r:id="rId80">
            <o:LockedField>false</o:LockedField>
          </o:OLEObject>
        </w:object>
      </w:r>
    </w:p>
    <w:p w14:paraId="14F1EDBC">
      <w:pPr>
        <w:ind w:firstLine="480"/>
      </w:pPr>
      <w:r>
        <w:rPr>
          <w:rFonts w:hint="eastAsia"/>
        </w:rPr>
        <w:t>②化盐及预处理</w:t>
      </w:r>
    </w:p>
    <w:p w14:paraId="1D242556">
      <w:pPr>
        <w:ind w:firstLine="480"/>
      </w:pPr>
      <w:r>
        <w:rPr>
          <w:rFonts w:hint="eastAsia"/>
        </w:rPr>
        <w:t>用加压泵将粗盐水送至气水混合器经过加压溶气罐，清液自预处理器上部进入2#折流槽，加入碳酸钠溶液，除去钙离子后进入后反应槽。盐泥自预处理器下部去渣池。</w:t>
      </w:r>
    </w:p>
    <w:p w14:paraId="39F5B5B6">
      <w:pPr>
        <w:ind w:firstLine="480"/>
        <w:jc w:val="center"/>
      </w:pPr>
      <w:r>
        <w:rPr>
          <w:position w:val="-12"/>
        </w:rPr>
        <w:object>
          <v:shape id="_x0000_i1058" o:spt="75" type="#_x0000_t75" style="height:20.2pt;width:141.25pt;" o:ole="t" filled="f" o:preferrelative="t" stroked="f" coordsize="21600,21600">
            <v:path/>
            <v:fill on="f" focussize="0,0"/>
            <v:stroke on="f" joinstyle="miter"/>
            <v:imagedata r:id="rId83" o:title=""/>
            <o:lock v:ext="edit" aspectratio="t"/>
            <w10:wrap type="none"/>
            <w10:anchorlock/>
          </v:shape>
          <o:OLEObject Type="Embed" ProgID="Equation.KSEE3" ShapeID="_x0000_i1058" DrawAspect="Content" ObjectID="_1468075758" r:id="rId82">
            <o:LockedField>false</o:LockedField>
          </o:OLEObject>
        </w:object>
      </w:r>
    </w:p>
    <w:p w14:paraId="6B0E9DB4">
      <w:pPr>
        <w:ind w:firstLine="480"/>
      </w:pPr>
      <w:r>
        <w:rPr>
          <w:rFonts w:hint="eastAsia"/>
        </w:rPr>
        <w:t>③陶瓷膜过滤</w:t>
      </w:r>
    </w:p>
    <w:p w14:paraId="2892BB34">
      <w:pPr>
        <w:ind w:firstLine="480"/>
      </w:pPr>
      <w:r>
        <w:rPr>
          <w:rFonts w:hint="eastAsia"/>
        </w:rPr>
        <w:t>粗盐水经过中间槽用过滤器进液泵将粗盐水送入膜过滤器。</w:t>
      </w:r>
    </w:p>
    <w:p w14:paraId="152FE1AA">
      <w:pPr>
        <w:ind w:firstLine="480"/>
      </w:pPr>
      <w:r>
        <w:rPr>
          <w:rFonts w:hint="eastAsia"/>
        </w:rPr>
        <w:t>自澄清槽、预处理器及陶瓷膜过滤排出的盐泥进入渣池，用盐泥泵送至盐泥压滤机进行处理。盐泥经过盐泥压滤机压滤后得到</w:t>
      </w:r>
      <w:r>
        <w:rPr>
          <w:rFonts w:hint="eastAsia"/>
          <w:b/>
          <w:bCs/>
        </w:rPr>
        <w:t>滤渣</w:t>
      </w:r>
      <w:r>
        <w:rPr>
          <w:rFonts w:hint="eastAsia"/>
        </w:rPr>
        <w:t>可用于水泥厂烧制水泥等，</w:t>
      </w:r>
      <w:r>
        <w:rPr>
          <w:rFonts w:hint="eastAsia"/>
          <w:b/>
          <w:bCs/>
        </w:rPr>
        <w:t>滤液</w:t>
      </w:r>
      <w:r>
        <w:rPr>
          <w:rFonts w:hint="eastAsia"/>
        </w:rPr>
        <w:t>进入滤液槽，用滤液泵返回配水槽进行循环利用。</w:t>
      </w:r>
    </w:p>
    <w:p w14:paraId="6A220488">
      <w:pPr>
        <w:ind w:firstLine="480"/>
      </w:pPr>
      <w:r>
        <w:rPr>
          <w:rFonts w:hint="eastAsia"/>
        </w:rPr>
        <w:t>过滤后有少部分盐泥附着在陶瓷膜上，需定期进行酸洗。酸洗时，稀盐酸进入酸洗液储槽，经过添加一次水稀释用酸洗液进液泵送入陶瓷膜进行酸洗，产生的</w:t>
      </w:r>
      <w:r>
        <w:rPr>
          <w:rFonts w:hint="eastAsia"/>
          <w:b/>
          <w:bCs/>
        </w:rPr>
        <w:t>酸洗废水</w:t>
      </w:r>
      <w:r>
        <w:rPr>
          <w:rFonts w:hint="eastAsia"/>
        </w:rPr>
        <w:t>经处理后回用。</w:t>
      </w:r>
    </w:p>
    <w:p w14:paraId="1C9C2DC5">
      <w:pPr>
        <w:ind w:firstLine="480"/>
      </w:pPr>
      <w:r>
        <w:rPr>
          <w:rFonts w:hint="eastAsia"/>
        </w:rPr>
        <w:t>④精盐水配制</w:t>
      </w:r>
    </w:p>
    <w:p w14:paraId="26B85273">
      <w:pPr>
        <w:ind w:firstLine="480"/>
      </w:pPr>
      <w:r>
        <w:rPr>
          <w:rFonts w:hint="eastAsia"/>
        </w:rPr>
        <w:t>膜过滤器过滤所得的精制盐水进入过滤精盐水储槽，用过滤精盐水泵送至电解区。</w:t>
      </w:r>
    </w:p>
    <w:p w14:paraId="0E5D8543">
      <w:pPr>
        <w:ind w:firstLine="480"/>
      </w:pPr>
      <w:r>
        <w:rPr>
          <w:rFonts w:hint="eastAsia"/>
        </w:rPr>
        <w:t>盐水进电解槽前的质量指标见下表。</w:t>
      </w:r>
    </w:p>
    <w:p w14:paraId="12FA0962">
      <w:pPr>
        <w:pStyle w:val="43"/>
        <w:numPr>
          <w:ilvl w:val="5"/>
          <w:numId w:val="1"/>
        </w:numPr>
        <w:rPr>
          <w:rFonts w:hint="default"/>
        </w:rPr>
      </w:pPr>
      <w:r>
        <w:t>盐水电解质量指标</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1"/>
        <w:gridCol w:w="2071"/>
        <w:gridCol w:w="2651"/>
        <w:gridCol w:w="1726"/>
      </w:tblGrid>
      <w:tr w14:paraId="5A674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jc w:val="center"/>
        </w:trPr>
        <w:tc>
          <w:tcPr>
            <w:tcW w:w="1215" w:type="pct"/>
            <w:vAlign w:val="center"/>
          </w:tcPr>
          <w:p w14:paraId="2B47F17F">
            <w:pPr>
              <w:snapToGrid w:val="0"/>
              <w:spacing w:line="240" w:lineRule="auto"/>
              <w:ind w:firstLine="0" w:firstLineChars="0"/>
              <w:jc w:val="center"/>
              <w:rPr>
                <w:rFonts w:cs="宋体"/>
                <w:b/>
                <w:bCs/>
                <w:kern w:val="0"/>
                <w:sz w:val="21"/>
                <w:szCs w:val="21"/>
              </w:rPr>
            </w:pPr>
            <w:r>
              <w:rPr>
                <w:rFonts w:hint="eastAsia" w:cs="宋体"/>
                <w:b/>
                <w:bCs/>
                <w:kern w:val="0"/>
                <w:sz w:val="21"/>
                <w:szCs w:val="21"/>
              </w:rPr>
              <w:t>成分</w:t>
            </w:r>
          </w:p>
        </w:tc>
        <w:tc>
          <w:tcPr>
            <w:tcW w:w="1215" w:type="pct"/>
            <w:vAlign w:val="center"/>
          </w:tcPr>
          <w:p w14:paraId="0BBC1F3E">
            <w:pPr>
              <w:snapToGrid w:val="0"/>
              <w:spacing w:line="240" w:lineRule="auto"/>
              <w:ind w:firstLine="0" w:firstLineChars="0"/>
              <w:jc w:val="center"/>
              <w:rPr>
                <w:rFonts w:cs="宋体"/>
                <w:b/>
                <w:bCs/>
                <w:kern w:val="0"/>
                <w:sz w:val="21"/>
                <w:szCs w:val="21"/>
              </w:rPr>
            </w:pPr>
            <w:r>
              <w:rPr>
                <w:rFonts w:hint="eastAsia" w:cs="宋体"/>
                <w:b/>
                <w:bCs/>
                <w:kern w:val="0"/>
                <w:sz w:val="21"/>
                <w:szCs w:val="21"/>
              </w:rPr>
              <w:t>含量</w:t>
            </w:r>
          </w:p>
        </w:tc>
        <w:tc>
          <w:tcPr>
            <w:tcW w:w="1555" w:type="pct"/>
            <w:vAlign w:val="center"/>
          </w:tcPr>
          <w:p w14:paraId="2FE5C997">
            <w:pPr>
              <w:snapToGrid w:val="0"/>
              <w:spacing w:line="240" w:lineRule="auto"/>
              <w:ind w:firstLine="0" w:firstLineChars="0"/>
              <w:jc w:val="center"/>
              <w:rPr>
                <w:rFonts w:cs="宋体"/>
                <w:b/>
                <w:bCs/>
                <w:kern w:val="0"/>
                <w:sz w:val="21"/>
                <w:szCs w:val="21"/>
              </w:rPr>
            </w:pPr>
            <w:r>
              <w:rPr>
                <w:rFonts w:hint="eastAsia" w:cs="宋体"/>
                <w:b/>
                <w:bCs/>
                <w:kern w:val="0"/>
                <w:sz w:val="21"/>
                <w:szCs w:val="21"/>
              </w:rPr>
              <w:t>单位</w:t>
            </w:r>
          </w:p>
        </w:tc>
        <w:tc>
          <w:tcPr>
            <w:tcW w:w="1012" w:type="pct"/>
            <w:vAlign w:val="center"/>
          </w:tcPr>
          <w:p w14:paraId="2A36551E">
            <w:pPr>
              <w:snapToGrid w:val="0"/>
              <w:spacing w:line="240" w:lineRule="auto"/>
              <w:ind w:firstLine="0" w:firstLineChars="0"/>
              <w:jc w:val="center"/>
              <w:rPr>
                <w:rFonts w:cs="宋体"/>
                <w:b/>
                <w:bCs/>
                <w:kern w:val="0"/>
                <w:sz w:val="21"/>
                <w:szCs w:val="21"/>
              </w:rPr>
            </w:pPr>
            <w:r>
              <w:rPr>
                <w:rFonts w:hint="eastAsia" w:cs="宋体"/>
                <w:b/>
                <w:bCs/>
                <w:kern w:val="0"/>
                <w:sz w:val="21"/>
                <w:szCs w:val="21"/>
              </w:rPr>
              <w:t>备注</w:t>
            </w:r>
          </w:p>
        </w:tc>
      </w:tr>
      <w:tr w14:paraId="371B4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215" w:type="pct"/>
            <w:vAlign w:val="center"/>
          </w:tcPr>
          <w:p w14:paraId="5B2D0ACE">
            <w:pPr>
              <w:snapToGrid w:val="0"/>
              <w:spacing w:line="240" w:lineRule="auto"/>
              <w:ind w:firstLine="0" w:firstLineChars="0"/>
              <w:jc w:val="center"/>
              <w:rPr>
                <w:rFonts w:cs="宋体"/>
                <w:kern w:val="0"/>
                <w:sz w:val="21"/>
                <w:szCs w:val="21"/>
              </w:rPr>
            </w:pPr>
            <w:r>
              <w:rPr>
                <w:rFonts w:hint="eastAsia" w:cs="宋体"/>
                <w:kern w:val="0"/>
                <w:sz w:val="21"/>
                <w:szCs w:val="21"/>
              </w:rPr>
              <w:t>NaCl</w:t>
            </w:r>
          </w:p>
        </w:tc>
        <w:tc>
          <w:tcPr>
            <w:tcW w:w="1215" w:type="pct"/>
            <w:vAlign w:val="center"/>
          </w:tcPr>
          <w:p w14:paraId="4F64CC91">
            <w:pPr>
              <w:snapToGrid w:val="0"/>
              <w:spacing w:line="240" w:lineRule="auto"/>
              <w:ind w:firstLine="0" w:firstLineChars="0"/>
              <w:jc w:val="center"/>
              <w:rPr>
                <w:rFonts w:cs="宋体"/>
                <w:kern w:val="0"/>
                <w:sz w:val="21"/>
                <w:szCs w:val="21"/>
              </w:rPr>
            </w:pPr>
            <w:r>
              <w:rPr>
                <w:rFonts w:hint="eastAsia" w:cs="宋体"/>
                <w:kern w:val="0"/>
                <w:sz w:val="21"/>
                <w:szCs w:val="21"/>
              </w:rPr>
              <w:t>300</w:t>
            </w:r>
          </w:p>
        </w:tc>
        <w:tc>
          <w:tcPr>
            <w:tcW w:w="1555" w:type="pct"/>
            <w:vAlign w:val="center"/>
          </w:tcPr>
          <w:p w14:paraId="56828E6E">
            <w:pPr>
              <w:snapToGrid w:val="0"/>
              <w:spacing w:line="240" w:lineRule="auto"/>
              <w:ind w:firstLine="0" w:firstLineChars="0"/>
              <w:jc w:val="center"/>
              <w:rPr>
                <w:rFonts w:cs="宋体"/>
                <w:kern w:val="0"/>
                <w:sz w:val="21"/>
                <w:szCs w:val="21"/>
              </w:rPr>
            </w:pPr>
            <w:r>
              <w:rPr>
                <w:rFonts w:hint="eastAsia" w:cs="宋体"/>
                <w:kern w:val="0"/>
                <w:sz w:val="21"/>
                <w:szCs w:val="21"/>
              </w:rPr>
              <w:t>g/l</w:t>
            </w:r>
          </w:p>
        </w:tc>
        <w:tc>
          <w:tcPr>
            <w:tcW w:w="1012" w:type="pct"/>
            <w:vAlign w:val="center"/>
          </w:tcPr>
          <w:p w14:paraId="64EE9092">
            <w:pPr>
              <w:snapToGrid w:val="0"/>
              <w:spacing w:line="240" w:lineRule="auto"/>
              <w:ind w:firstLine="0" w:firstLineChars="0"/>
              <w:jc w:val="center"/>
              <w:rPr>
                <w:rFonts w:cs="宋体"/>
                <w:kern w:val="0"/>
                <w:sz w:val="21"/>
                <w:szCs w:val="21"/>
              </w:rPr>
            </w:pPr>
            <w:r>
              <w:rPr>
                <w:rFonts w:hint="eastAsia" w:cs="宋体"/>
                <w:kern w:val="0"/>
                <w:sz w:val="21"/>
                <w:szCs w:val="21"/>
              </w:rPr>
              <w:t>饱和食盐水</w:t>
            </w:r>
          </w:p>
        </w:tc>
      </w:tr>
      <w:tr w14:paraId="3C3F4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215" w:type="pct"/>
            <w:vAlign w:val="center"/>
          </w:tcPr>
          <w:p w14:paraId="35E3D379">
            <w:pPr>
              <w:snapToGrid w:val="0"/>
              <w:spacing w:line="240" w:lineRule="auto"/>
              <w:ind w:firstLine="0" w:firstLineChars="0"/>
              <w:jc w:val="center"/>
              <w:rPr>
                <w:rFonts w:cs="宋体"/>
                <w:kern w:val="0"/>
                <w:sz w:val="21"/>
                <w:szCs w:val="21"/>
              </w:rPr>
            </w:pPr>
            <w:r>
              <w:rPr>
                <w:rFonts w:hint="eastAsia" w:cs="宋体"/>
                <w:kern w:val="0"/>
                <w:sz w:val="21"/>
                <w:szCs w:val="21"/>
              </w:rPr>
              <w:t>SO</w:t>
            </w:r>
            <w:r>
              <w:rPr>
                <w:rFonts w:hint="eastAsia" w:cs="宋体"/>
                <w:kern w:val="0"/>
                <w:sz w:val="21"/>
                <w:szCs w:val="21"/>
                <w:vertAlign w:val="subscript"/>
              </w:rPr>
              <w:t>4</w:t>
            </w:r>
            <w:r>
              <w:rPr>
                <w:rFonts w:hint="eastAsia" w:cs="宋体"/>
                <w:kern w:val="0"/>
                <w:sz w:val="21"/>
                <w:szCs w:val="21"/>
                <w:vertAlign w:val="superscript"/>
              </w:rPr>
              <w:t>2-</w:t>
            </w:r>
          </w:p>
        </w:tc>
        <w:tc>
          <w:tcPr>
            <w:tcW w:w="1215" w:type="pct"/>
            <w:vAlign w:val="center"/>
          </w:tcPr>
          <w:p w14:paraId="5ED1CFD2">
            <w:pPr>
              <w:snapToGrid w:val="0"/>
              <w:spacing w:line="240" w:lineRule="auto"/>
              <w:ind w:firstLine="0" w:firstLineChars="0"/>
              <w:jc w:val="center"/>
              <w:rPr>
                <w:rFonts w:cs="宋体"/>
                <w:kern w:val="0"/>
                <w:sz w:val="21"/>
                <w:szCs w:val="21"/>
              </w:rPr>
            </w:pPr>
            <w:r>
              <w:rPr>
                <w:rFonts w:hint="eastAsia" w:cs="宋体"/>
                <w:kern w:val="0"/>
                <w:sz w:val="21"/>
                <w:szCs w:val="21"/>
              </w:rPr>
              <w:t>0.55</w:t>
            </w:r>
          </w:p>
        </w:tc>
        <w:tc>
          <w:tcPr>
            <w:tcW w:w="1555" w:type="pct"/>
            <w:vAlign w:val="center"/>
          </w:tcPr>
          <w:p w14:paraId="73A118C2">
            <w:pPr>
              <w:snapToGrid w:val="0"/>
              <w:spacing w:line="240" w:lineRule="auto"/>
              <w:ind w:firstLine="0" w:firstLineChars="0"/>
              <w:jc w:val="center"/>
              <w:rPr>
                <w:rFonts w:cs="宋体"/>
                <w:kern w:val="0"/>
                <w:sz w:val="21"/>
                <w:szCs w:val="21"/>
              </w:rPr>
            </w:pPr>
            <w:r>
              <w:rPr>
                <w:rFonts w:cs="宋体"/>
                <w:kern w:val="0"/>
                <w:sz w:val="21"/>
                <w:szCs w:val="21"/>
              </w:rPr>
              <w:t>g/l</w:t>
            </w:r>
          </w:p>
        </w:tc>
        <w:tc>
          <w:tcPr>
            <w:tcW w:w="1012" w:type="pct"/>
            <w:vAlign w:val="center"/>
          </w:tcPr>
          <w:p w14:paraId="1E24AFB1">
            <w:pPr>
              <w:snapToGrid w:val="0"/>
              <w:spacing w:line="240" w:lineRule="auto"/>
              <w:ind w:firstLine="0" w:firstLineChars="0"/>
              <w:jc w:val="center"/>
              <w:rPr>
                <w:rFonts w:cs="宋体"/>
                <w:kern w:val="0"/>
                <w:sz w:val="21"/>
                <w:szCs w:val="21"/>
              </w:rPr>
            </w:pPr>
            <w:r>
              <w:rPr>
                <w:rFonts w:hint="eastAsia" w:cs="宋体"/>
                <w:kern w:val="0"/>
                <w:sz w:val="21"/>
                <w:szCs w:val="21"/>
              </w:rPr>
              <w:t>最大值</w:t>
            </w:r>
          </w:p>
        </w:tc>
      </w:tr>
      <w:tr w14:paraId="00AFE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215" w:type="pct"/>
            <w:vAlign w:val="center"/>
          </w:tcPr>
          <w:p w14:paraId="4D3440A7">
            <w:pPr>
              <w:snapToGrid w:val="0"/>
              <w:spacing w:line="240" w:lineRule="auto"/>
              <w:ind w:firstLine="0" w:firstLineChars="0"/>
              <w:jc w:val="center"/>
              <w:rPr>
                <w:rFonts w:cs="宋体"/>
                <w:kern w:val="0"/>
                <w:sz w:val="21"/>
                <w:szCs w:val="21"/>
              </w:rPr>
            </w:pPr>
            <w:r>
              <w:rPr>
                <w:rFonts w:hint="eastAsia" w:cs="宋体"/>
                <w:kern w:val="0"/>
                <w:sz w:val="21"/>
                <w:szCs w:val="21"/>
              </w:rPr>
              <w:t>总硬度</w:t>
            </w:r>
          </w:p>
        </w:tc>
        <w:tc>
          <w:tcPr>
            <w:tcW w:w="1215" w:type="pct"/>
            <w:vAlign w:val="center"/>
          </w:tcPr>
          <w:p w14:paraId="2AF48A6A">
            <w:pPr>
              <w:snapToGrid w:val="0"/>
              <w:spacing w:line="240" w:lineRule="auto"/>
              <w:ind w:firstLine="0" w:firstLineChars="0"/>
              <w:jc w:val="center"/>
              <w:rPr>
                <w:rFonts w:cs="宋体"/>
                <w:kern w:val="0"/>
                <w:sz w:val="21"/>
                <w:szCs w:val="21"/>
              </w:rPr>
            </w:pPr>
            <w:r>
              <w:rPr>
                <w:rFonts w:hint="eastAsia" w:cs="宋体"/>
                <w:kern w:val="0"/>
                <w:sz w:val="21"/>
                <w:szCs w:val="21"/>
              </w:rPr>
              <w:t>50</w:t>
            </w:r>
          </w:p>
        </w:tc>
        <w:tc>
          <w:tcPr>
            <w:tcW w:w="1555" w:type="pct"/>
            <w:vAlign w:val="center"/>
          </w:tcPr>
          <w:p w14:paraId="7EB327D7">
            <w:pPr>
              <w:snapToGrid w:val="0"/>
              <w:spacing w:line="240" w:lineRule="auto"/>
              <w:ind w:firstLine="0" w:firstLineChars="0"/>
              <w:jc w:val="center"/>
              <w:rPr>
                <w:rFonts w:cs="宋体"/>
                <w:kern w:val="0"/>
                <w:sz w:val="21"/>
                <w:szCs w:val="21"/>
              </w:rPr>
            </w:pPr>
            <w:r>
              <w:rPr>
                <w:rFonts w:hint="eastAsia" w:cs="宋体"/>
                <w:kern w:val="0"/>
                <w:sz w:val="21"/>
                <w:szCs w:val="21"/>
              </w:rPr>
              <w:t>ppb</w:t>
            </w:r>
          </w:p>
        </w:tc>
        <w:tc>
          <w:tcPr>
            <w:tcW w:w="1012" w:type="pct"/>
            <w:vAlign w:val="center"/>
          </w:tcPr>
          <w:p w14:paraId="12EF9B16">
            <w:pPr>
              <w:snapToGrid w:val="0"/>
              <w:spacing w:line="240" w:lineRule="auto"/>
              <w:ind w:firstLine="0" w:firstLineChars="0"/>
              <w:jc w:val="center"/>
              <w:rPr>
                <w:rFonts w:cs="宋体"/>
                <w:kern w:val="0"/>
                <w:sz w:val="21"/>
                <w:szCs w:val="21"/>
              </w:rPr>
            </w:pPr>
            <w:r>
              <w:rPr>
                <w:rFonts w:hint="eastAsia" w:cs="宋体"/>
                <w:kern w:val="0"/>
                <w:sz w:val="21"/>
                <w:szCs w:val="21"/>
              </w:rPr>
              <w:t>最大值</w:t>
            </w:r>
          </w:p>
        </w:tc>
      </w:tr>
      <w:tr w14:paraId="640BA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215" w:type="pct"/>
            <w:vAlign w:val="center"/>
          </w:tcPr>
          <w:p w14:paraId="5DBE9013">
            <w:pPr>
              <w:snapToGrid w:val="0"/>
              <w:spacing w:line="240" w:lineRule="auto"/>
              <w:ind w:firstLine="0" w:firstLineChars="0"/>
              <w:jc w:val="center"/>
              <w:rPr>
                <w:rFonts w:cs="宋体"/>
                <w:kern w:val="0"/>
                <w:sz w:val="21"/>
                <w:szCs w:val="21"/>
              </w:rPr>
            </w:pPr>
            <w:r>
              <w:rPr>
                <w:rFonts w:hint="eastAsia" w:cs="宋体"/>
                <w:kern w:val="0"/>
                <w:sz w:val="21"/>
                <w:szCs w:val="21"/>
              </w:rPr>
              <w:t>悬浮固体</w:t>
            </w:r>
          </w:p>
        </w:tc>
        <w:tc>
          <w:tcPr>
            <w:tcW w:w="1215" w:type="pct"/>
            <w:vAlign w:val="center"/>
          </w:tcPr>
          <w:p w14:paraId="5ECF4795">
            <w:pPr>
              <w:snapToGrid w:val="0"/>
              <w:spacing w:line="240" w:lineRule="auto"/>
              <w:ind w:firstLine="0" w:firstLineChars="0"/>
              <w:jc w:val="center"/>
              <w:rPr>
                <w:rFonts w:cs="宋体"/>
                <w:kern w:val="0"/>
                <w:sz w:val="21"/>
                <w:szCs w:val="21"/>
              </w:rPr>
            </w:pPr>
            <w:r>
              <w:rPr>
                <w:rFonts w:hint="eastAsia" w:cs="宋体"/>
                <w:kern w:val="0"/>
                <w:sz w:val="21"/>
                <w:szCs w:val="21"/>
              </w:rPr>
              <w:t>1</w:t>
            </w:r>
          </w:p>
        </w:tc>
        <w:tc>
          <w:tcPr>
            <w:tcW w:w="1555" w:type="pct"/>
            <w:vAlign w:val="center"/>
          </w:tcPr>
          <w:p w14:paraId="0FB04BDF">
            <w:pPr>
              <w:snapToGrid w:val="0"/>
              <w:spacing w:line="240" w:lineRule="auto"/>
              <w:ind w:firstLine="0" w:firstLineChars="0"/>
              <w:jc w:val="center"/>
              <w:rPr>
                <w:rFonts w:cs="宋体"/>
                <w:kern w:val="0"/>
                <w:sz w:val="21"/>
                <w:szCs w:val="21"/>
              </w:rPr>
            </w:pPr>
            <w:r>
              <w:rPr>
                <w:rFonts w:hint="eastAsia" w:cs="宋体"/>
                <w:kern w:val="0"/>
                <w:sz w:val="21"/>
                <w:szCs w:val="21"/>
              </w:rPr>
              <w:t>ppm</w:t>
            </w:r>
          </w:p>
        </w:tc>
        <w:tc>
          <w:tcPr>
            <w:tcW w:w="1012" w:type="pct"/>
            <w:vAlign w:val="center"/>
          </w:tcPr>
          <w:p w14:paraId="0C1EE2D3">
            <w:pPr>
              <w:snapToGrid w:val="0"/>
              <w:spacing w:line="240" w:lineRule="auto"/>
              <w:ind w:firstLine="0" w:firstLineChars="0"/>
              <w:jc w:val="center"/>
              <w:rPr>
                <w:rFonts w:cs="宋体"/>
                <w:kern w:val="0"/>
                <w:sz w:val="21"/>
                <w:szCs w:val="21"/>
              </w:rPr>
            </w:pPr>
            <w:r>
              <w:rPr>
                <w:rFonts w:hint="eastAsia" w:cs="宋体"/>
                <w:kern w:val="0"/>
                <w:sz w:val="21"/>
                <w:szCs w:val="21"/>
              </w:rPr>
              <w:t>最大值</w:t>
            </w:r>
          </w:p>
        </w:tc>
      </w:tr>
      <w:tr w14:paraId="01A19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215" w:type="pct"/>
            <w:vMerge w:val="restart"/>
            <w:vAlign w:val="center"/>
          </w:tcPr>
          <w:p w14:paraId="11CA551F">
            <w:pPr>
              <w:snapToGrid w:val="0"/>
              <w:spacing w:line="240" w:lineRule="auto"/>
              <w:ind w:firstLine="0" w:firstLineChars="0"/>
              <w:jc w:val="center"/>
              <w:rPr>
                <w:rFonts w:cs="宋体"/>
                <w:kern w:val="0"/>
                <w:sz w:val="21"/>
                <w:szCs w:val="21"/>
              </w:rPr>
            </w:pPr>
            <w:r>
              <w:rPr>
                <w:rFonts w:hint="eastAsia" w:cs="宋体"/>
                <w:kern w:val="0"/>
                <w:sz w:val="21"/>
                <w:szCs w:val="21"/>
              </w:rPr>
              <w:t>重金属</w:t>
            </w:r>
          </w:p>
        </w:tc>
        <w:tc>
          <w:tcPr>
            <w:tcW w:w="1215" w:type="pct"/>
            <w:vAlign w:val="center"/>
          </w:tcPr>
          <w:p w14:paraId="55E2D9D5">
            <w:pPr>
              <w:snapToGrid w:val="0"/>
              <w:spacing w:line="240" w:lineRule="auto"/>
              <w:ind w:firstLine="0" w:firstLineChars="0"/>
              <w:jc w:val="center"/>
              <w:rPr>
                <w:rFonts w:cs="宋体"/>
                <w:kern w:val="0"/>
                <w:sz w:val="21"/>
                <w:szCs w:val="21"/>
              </w:rPr>
            </w:pPr>
            <w:r>
              <w:rPr>
                <w:rFonts w:hint="eastAsia" w:cs="宋体"/>
                <w:kern w:val="0"/>
                <w:sz w:val="21"/>
                <w:szCs w:val="21"/>
              </w:rPr>
              <w:t>5</w:t>
            </w:r>
          </w:p>
        </w:tc>
        <w:tc>
          <w:tcPr>
            <w:tcW w:w="1555" w:type="pct"/>
            <w:vAlign w:val="center"/>
          </w:tcPr>
          <w:p w14:paraId="7A184944">
            <w:pPr>
              <w:snapToGrid w:val="0"/>
              <w:spacing w:line="240" w:lineRule="auto"/>
              <w:ind w:firstLine="0" w:firstLineChars="0"/>
              <w:jc w:val="center"/>
              <w:rPr>
                <w:rFonts w:cs="宋体"/>
                <w:kern w:val="0"/>
                <w:sz w:val="21"/>
                <w:szCs w:val="21"/>
              </w:rPr>
            </w:pPr>
            <w:r>
              <w:rPr>
                <w:rFonts w:hint="eastAsia" w:cs="宋体"/>
                <w:kern w:val="0"/>
                <w:sz w:val="21"/>
                <w:szCs w:val="21"/>
              </w:rPr>
              <w:t>ppm</w:t>
            </w:r>
          </w:p>
        </w:tc>
        <w:tc>
          <w:tcPr>
            <w:tcW w:w="1012" w:type="pct"/>
            <w:vAlign w:val="center"/>
          </w:tcPr>
          <w:p w14:paraId="1F12BA5D">
            <w:pPr>
              <w:snapToGrid w:val="0"/>
              <w:spacing w:line="240" w:lineRule="auto"/>
              <w:ind w:firstLine="0" w:firstLineChars="0"/>
              <w:jc w:val="center"/>
              <w:rPr>
                <w:rFonts w:cs="宋体"/>
                <w:kern w:val="0"/>
                <w:sz w:val="21"/>
                <w:szCs w:val="21"/>
              </w:rPr>
            </w:pPr>
            <w:r>
              <w:rPr>
                <w:rFonts w:hint="eastAsia" w:cs="宋体"/>
                <w:kern w:val="0"/>
                <w:sz w:val="21"/>
                <w:szCs w:val="21"/>
              </w:rPr>
              <w:t>总量最大值</w:t>
            </w:r>
          </w:p>
        </w:tc>
      </w:tr>
      <w:tr w14:paraId="19109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215" w:type="pct"/>
            <w:vMerge w:val="continue"/>
            <w:vAlign w:val="center"/>
          </w:tcPr>
          <w:p w14:paraId="2AFC7CA6">
            <w:pPr>
              <w:snapToGrid w:val="0"/>
              <w:spacing w:line="240" w:lineRule="auto"/>
              <w:ind w:firstLine="0" w:firstLineChars="0"/>
              <w:jc w:val="center"/>
              <w:rPr>
                <w:rFonts w:cs="宋体"/>
                <w:kern w:val="0"/>
                <w:sz w:val="21"/>
                <w:szCs w:val="21"/>
              </w:rPr>
            </w:pPr>
          </w:p>
        </w:tc>
        <w:tc>
          <w:tcPr>
            <w:tcW w:w="1215" w:type="pct"/>
            <w:vAlign w:val="center"/>
          </w:tcPr>
          <w:p w14:paraId="2F664189">
            <w:pPr>
              <w:snapToGrid w:val="0"/>
              <w:spacing w:line="240" w:lineRule="auto"/>
              <w:ind w:firstLine="0" w:firstLineChars="0"/>
              <w:jc w:val="center"/>
              <w:rPr>
                <w:rFonts w:cs="宋体"/>
                <w:kern w:val="0"/>
                <w:sz w:val="21"/>
                <w:szCs w:val="21"/>
              </w:rPr>
            </w:pPr>
            <w:r>
              <w:rPr>
                <w:rFonts w:hint="eastAsia" w:cs="宋体"/>
                <w:kern w:val="0"/>
                <w:sz w:val="21"/>
                <w:szCs w:val="21"/>
              </w:rPr>
              <w:t>1</w:t>
            </w:r>
          </w:p>
        </w:tc>
        <w:tc>
          <w:tcPr>
            <w:tcW w:w="1555" w:type="pct"/>
            <w:vAlign w:val="center"/>
          </w:tcPr>
          <w:p w14:paraId="2BE1D16A">
            <w:pPr>
              <w:snapToGrid w:val="0"/>
              <w:spacing w:line="240" w:lineRule="auto"/>
              <w:ind w:firstLine="0" w:firstLineChars="0"/>
              <w:jc w:val="center"/>
              <w:rPr>
                <w:rFonts w:cs="宋体"/>
                <w:kern w:val="0"/>
                <w:sz w:val="21"/>
                <w:szCs w:val="21"/>
              </w:rPr>
            </w:pPr>
            <w:r>
              <w:rPr>
                <w:rFonts w:hint="eastAsia" w:cs="宋体"/>
                <w:kern w:val="0"/>
                <w:sz w:val="21"/>
                <w:szCs w:val="21"/>
              </w:rPr>
              <w:t>ppm</w:t>
            </w:r>
          </w:p>
        </w:tc>
        <w:tc>
          <w:tcPr>
            <w:tcW w:w="1012" w:type="pct"/>
            <w:vAlign w:val="center"/>
          </w:tcPr>
          <w:p w14:paraId="2D2464E1">
            <w:pPr>
              <w:snapToGrid w:val="0"/>
              <w:spacing w:line="240" w:lineRule="auto"/>
              <w:ind w:firstLine="0" w:firstLineChars="0"/>
              <w:jc w:val="center"/>
              <w:rPr>
                <w:rFonts w:cs="宋体"/>
                <w:kern w:val="0"/>
                <w:sz w:val="21"/>
                <w:szCs w:val="21"/>
              </w:rPr>
            </w:pPr>
            <w:r>
              <w:rPr>
                <w:rFonts w:hint="eastAsia" w:cs="宋体"/>
                <w:kern w:val="0"/>
                <w:sz w:val="21"/>
                <w:szCs w:val="21"/>
              </w:rPr>
              <w:t>单种元素最大值</w:t>
            </w:r>
          </w:p>
        </w:tc>
      </w:tr>
      <w:tr w14:paraId="1D931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215" w:type="pct"/>
            <w:vAlign w:val="center"/>
          </w:tcPr>
          <w:p w14:paraId="4147DB6C">
            <w:pPr>
              <w:snapToGrid w:val="0"/>
              <w:spacing w:line="240" w:lineRule="auto"/>
              <w:ind w:firstLine="0" w:firstLineChars="0"/>
              <w:jc w:val="center"/>
              <w:rPr>
                <w:rFonts w:cs="宋体"/>
                <w:kern w:val="0"/>
                <w:sz w:val="21"/>
                <w:szCs w:val="21"/>
              </w:rPr>
            </w:pPr>
            <w:r>
              <w:rPr>
                <w:rFonts w:hint="eastAsia" w:cs="宋体"/>
                <w:kern w:val="0"/>
                <w:sz w:val="21"/>
                <w:szCs w:val="21"/>
              </w:rPr>
              <w:t>Si</w:t>
            </w:r>
          </w:p>
        </w:tc>
        <w:tc>
          <w:tcPr>
            <w:tcW w:w="1215" w:type="pct"/>
            <w:vAlign w:val="center"/>
          </w:tcPr>
          <w:p w14:paraId="0DED6708">
            <w:pPr>
              <w:snapToGrid w:val="0"/>
              <w:spacing w:line="240" w:lineRule="auto"/>
              <w:ind w:firstLine="0" w:firstLineChars="0"/>
              <w:jc w:val="center"/>
              <w:rPr>
                <w:rFonts w:cs="宋体"/>
                <w:kern w:val="0"/>
                <w:sz w:val="21"/>
                <w:szCs w:val="21"/>
              </w:rPr>
            </w:pPr>
            <w:r>
              <w:rPr>
                <w:rFonts w:hint="eastAsia" w:cs="宋体"/>
                <w:kern w:val="0"/>
                <w:sz w:val="21"/>
                <w:szCs w:val="21"/>
              </w:rPr>
              <w:t>0.5</w:t>
            </w:r>
          </w:p>
        </w:tc>
        <w:tc>
          <w:tcPr>
            <w:tcW w:w="1555" w:type="pct"/>
            <w:vAlign w:val="center"/>
          </w:tcPr>
          <w:p w14:paraId="5FB6AEFA">
            <w:pPr>
              <w:snapToGrid w:val="0"/>
              <w:spacing w:line="240" w:lineRule="auto"/>
              <w:ind w:firstLine="0" w:firstLineChars="0"/>
              <w:jc w:val="center"/>
              <w:rPr>
                <w:rFonts w:cs="宋体"/>
                <w:kern w:val="0"/>
                <w:sz w:val="21"/>
                <w:szCs w:val="21"/>
              </w:rPr>
            </w:pPr>
            <w:r>
              <w:rPr>
                <w:rFonts w:hint="eastAsia" w:cs="宋体"/>
                <w:kern w:val="0"/>
                <w:sz w:val="21"/>
                <w:szCs w:val="21"/>
              </w:rPr>
              <w:t>ppm</w:t>
            </w:r>
          </w:p>
        </w:tc>
        <w:tc>
          <w:tcPr>
            <w:tcW w:w="1012" w:type="pct"/>
            <w:vAlign w:val="center"/>
          </w:tcPr>
          <w:p w14:paraId="6537D39B">
            <w:pPr>
              <w:snapToGrid w:val="0"/>
              <w:spacing w:line="240" w:lineRule="auto"/>
              <w:ind w:firstLine="0" w:firstLineChars="0"/>
              <w:jc w:val="center"/>
              <w:rPr>
                <w:rFonts w:cs="宋体"/>
                <w:kern w:val="0"/>
                <w:sz w:val="21"/>
                <w:szCs w:val="21"/>
              </w:rPr>
            </w:pPr>
            <w:r>
              <w:rPr>
                <w:rFonts w:hint="eastAsia" w:cs="宋体"/>
                <w:kern w:val="0"/>
                <w:sz w:val="21"/>
                <w:szCs w:val="21"/>
              </w:rPr>
              <w:t>最大值</w:t>
            </w:r>
          </w:p>
        </w:tc>
      </w:tr>
      <w:tr w14:paraId="4DB2C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215" w:type="pct"/>
            <w:vAlign w:val="center"/>
          </w:tcPr>
          <w:p w14:paraId="52B7B4F8">
            <w:pPr>
              <w:snapToGrid w:val="0"/>
              <w:spacing w:line="240" w:lineRule="auto"/>
              <w:ind w:firstLine="0" w:firstLineChars="0"/>
              <w:jc w:val="center"/>
              <w:rPr>
                <w:rFonts w:cs="宋体"/>
                <w:kern w:val="0"/>
                <w:sz w:val="21"/>
                <w:szCs w:val="21"/>
              </w:rPr>
            </w:pPr>
            <w:r>
              <w:rPr>
                <w:rFonts w:hint="eastAsia" w:cs="宋体"/>
                <w:kern w:val="0"/>
                <w:sz w:val="21"/>
                <w:szCs w:val="21"/>
              </w:rPr>
              <w:t>pH</w:t>
            </w:r>
          </w:p>
        </w:tc>
        <w:tc>
          <w:tcPr>
            <w:tcW w:w="1215" w:type="pct"/>
            <w:vAlign w:val="center"/>
          </w:tcPr>
          <w:p w14:paraId="10718DF2">
            <w:pPr>
              <w:snapToGrid w:val="0"/>
              <w:spacing w:line="240" w:lineRule="auto"/>
              <w:ind w:firstLine="0" w:firstLineChars="0"/>
              <w:jc w:val="center"/>
              <w:rPr>
                <w:rFonts w:cs="宋体"/>
                <w:kern w:val="0"/>
                <w:sz w:val="21"/>
                <w:szCs w:val="21"/>
              </w:rPr>
            </w:pPr>
            <w:r>
              <w:rPr>
                <w:rFonts w:hint="eastAsia" w:cs="宋体"/>
                <w:kern w:val="0"/>
                <w:sz w:val="21"/>
                <w:szCs w:val="21"/>
              </w:rPr>
              <w:t>11</w:t>
            </w:r>
          </w:p>
        </w:tc>
        <w:tc>
          <w:tcPr>
            <w:tcW w:w="1555" w:type="pct"/>
            <w:vAlign w:val="center"/>
          </w:tcPr>
          <w:p w14:paraId="4EBA3E57">
            <w:pPr>
              <w:snapToGrid w:val="0"/>
              <w:spacing w:line="240" w:lineRule="auto"/>
              <w:ind w:firstLine="0" w:firstLineChars="0"/>
              <w:jc w:val="center"/>
              <w:rPr>
                <w:rFonts w:cs="宋体"/>
                <w:kern w:val="0"/>
                <w:sz w:val="21"/>
                <w:szCs w:val="21"/>
              </w:rPr>
            </w:pPr>
          </w:p>
        </w:tc>
        <w:tc>
          <w:tcPr>
            <w:tcW w:w="1012" w:type="pct"/>
            <w:vAlign w:val="center"/>
          </w:tcPr>
          <w:p w14:paraId="39062854">
            <w:pPr>
              <w:snapToGrid w:val="0"/>
              <w:spacing w:line="240" w:lineRule="auto"/>
              <w:ind w:firstLine="0" w:firstLineChars="0"/>
              <w:jc w:val="center"/>
              <w:rPr>
                <w:rFonts w:cs="宋体"/>
                <w:kern w:val="0"/>
                <w:sz w:val="21"/>
                <w:szCs w:val="21"/>
              </w:rPr>
            </w:pPr>
            <w:r>
              <w:rPr>
                <w:rFonts w:hint="eastAsia" w:cs="宋体"/>
                <w:kern w:val="0"/>
                <w:sz w:val="21"/>
                <w:szCs w:val="21"/>
              </w:rPr>
              <w:t>最大值</w:t>
            </w:r>
          </w:p>
        </w:tc>
      </w:tr>
    </w:tbl>
    <w:p w14:paraId="36D0E3EA">
      <w:pPr>
        <w:spacing w:line="240" w:lineRule="auto"/>
        <w:ind w:firstLine="0" w:firstLineChars="0"/>
      </w:pPr>
    </w:p>
    <w:p w14:paraId="3E3C355E">
      <w:pPr>
        <w:pStyle w:val="6"/>
        <w:numPr>
          <w:ilvl w:val="4"/>
          <w:numId w:val="1"/>
        </w:numPr>
        <w:ind w:firstLine="482"/>
      </w:pPr>
      <w:r>
        <w:rPr>
          <w:rFonts w:hint="eastAsia"/>
        </w:rPr>
        <w:t>电解工段</w:t>
      </w:r>
    </w:p>
    <w:p w14:paraId="5447E466">
      <w:pPr>
        <w:ind w:firstLine="480"/>
      </w:pPr>
      <w:r>
        <w:rPr>
          <w:rFonts w:hint="eastAsia"/>
        </w:rPr>
        <w:t>来自盐水工段的精制盐水采用先进的三元涂层的无隔膜金属阳极电槽，靠气提式外循环，把电解与歧化反应分在不同的区域，防止溶液中ClO</w:t>
      </w:r>
      <w:r>
        <w:rPr>
          <w:rFonts w:hint="eastAsia"/>
          <w:vertAlign w:val="superscript"/>
        </w:rPr>
        <w:t>-</w:t>
      </w:r>
      <w:r>
        <w:rPr>
          <w:rFonts w:hint="eastAsia"/>
        </w:rPr>
        <w:t>和ClO</w:t>
      </w:r>
      <w:r>
        <w:rPr>
          <w:rFonts w:hint="eastAsia"/>
          <w:vertAlign w:val="subscript"/>
        </w:rPr>
        <w:t>3</w:t>
      </w:r>
      <w:r>
        <w:rPr>
          <w:rFonts w:hint="eastAsia"/>
          <w:vertAlign w:val="superscript"/>
        </w:rPr>
        <w:t>-</w:t>
      </w:r>
      <w:r>
        <w:rPr>
          <w:rFonts w:hint="eastAsia"/>
        </w:rPr>
        <w:t>发生还原副反应。精盐水送入以钌钛电极为阳极，软钢为阴极的外循环式电解槽里电解，根据电流大小、电解液浓度高低，加入适量的盐水和稀盐酸，调节pH 在 6.2～6.5，控制温度 80～90℃。为了抑制阴极被还原，必须加入阴极保护剂，即在电解液中添加Na</w:t>
      </w:r>
      <w:r>
        <w:rPr>
          <w:rFonts w:hint="eastAsia"/>
          <w:vertAlign w:val="subscript"/>
        </w:rPr>
        <w:t>2</w:t>
      </w:r>
      <w:r>
        <w:rPr>
          <w:rFonts w:hint="eastAsia"/>
        </w:rPr>
        <w:t>Cr</w:t>
      </w:r>
      <w:r>
        <w:rPr>
          <w:rFonts w:hint="eastAsia"/>
          <w:vertAlign w:val="subscript"/>
        </w:rPr>
        <w:t>2</w:t>
      </w:r>
      <w:r>
        <w:rPr>
          <w:rFonts w:hint="eastAsia"/>
        </w:rPr>
        <w:t>O</w:t>
      </w:r>
      <w:r>
        <w:rPr>
          <w:rFonts w:hint="eastAsia"/>
          <w:vertAlign w:val="subscript"/>
        </w:rPr>
        <w:t>7</w:t>
      </w:r>
      <w:r>
        <w:rPr>
          <w:rFonts w:hint="eastAsia"/>
        </w:rPr>
        <w:t>（原始开车加入，运行正常后，仅补充产品带走</w:t>
      </w:r>
      <w:r>
        <w:rPr>
          <w:rFonts w:hint="eastAsia"/>
          <w:lang w:eastAsia="zh-CN"/>
        </w:rPr>
        <w:t>部分</w:t>
      </w:r>
      <w:r>
        <w:rPr>
          <w:rFonts w:hint="eastAsia"/>
        </w:rPr>
        <w:t>），并保持重铬酸钠浓度在1.8～2.5g/L。电解所需的精盐水和稀盐酸由精盐水高位槽和稀盐酸高位槽补充。</w:t>
      </w:r>
    </w:p>
    <w:p w14:paraId="21D05991">
      <w:pPr>
        <w:ind w:firstLine="480"/>
      </w:pPr>
      <w:r>
        <w:rPr>
          <w:rFonts w:hint="eastAsia"/>
        </w:rPr>
        <w:t>电解过程中，为控制反应温度，将冷却水通过流量计和旁路进入换热器冷却盘管，与电解液换热后大部分返回冷却水循环系统，一</w:t>
      </w:r>
      <w:r>
        <w:rPr>
          <w:rFonts w:hint="eastAsia"/>
          <w:lang w:eastAsia="zh-CN"/>
        </w:rPr>
        <w:t>部分</w:t>
      </w:r>
      <w:r>
        <w:rPr>
          <w:rFonts w:hint="eastAsia"/>
        </w:rPr>
        <w:t>热循环水至结晶工段回收热量后返回，冷却水由循环水系统提供。</w:t>
      </w:r>
    </w:p>
    <w:p w14:paraId="136B6FD4">
      <w:pPr>
        <w:ind w:firstLine="480"/>
      </w:pPr>
      <w:r>
        <w:rPr>
          <w:rFonts w:hint="eastAsia"/>
        </w:rPr>
        <w:t>在电解槽中，主要发生以下化学反应：</w:t>
      </w:r>
    </w:p>
    <w:p w14:paraId="1651EF34">
      <w:pPr>
        <w:ind w:firstLine="480"/>
      </w:pPr>
      <w:r>
        <w:rPr>
          <w:rFonts w:hint="eastAsia"/>
        </w:rPr>
        <w:t>总反应：</w:t>
      </w:r>
      <w:r>
        <w:rPr>
          <w:rFonts w:hint="eastAsia"/>
          <w:position w:val="-12"/>
        </w:rPr>
        <w:object>
          <v:shape id="_x0000_i1059" o:spt="75" type="#_x0000_t75" style="height:20.2pt;width:188.2pt;" o:ole="t" filled="f" o:preferrelative="t" stroked="f" coordsize="21600,21600">
            <v:path/>
            <v:fill on="f" focussize="0,0"/>
            <v:stroke on="f"/>
            <v:imagedata r:id="rId85" o:title=""/>
            <o:lock v:ext="edit" aspectratio="t"/>
            <w10:wrap type="none"/>
            <w10:anchorlock/>
          </v:shape>
          <o:OLEObject Type="Embed" ProgID="Equation.KSEE3" ShapeID="_x0000_i1059" DrawAspect="Content" ObjectID="_1468075759" r:id="rId84">
            <o:LockedField>false</o:LockedField>
          </o:OLEObject>
        </w:object>
      </w:r>
    </w:p>
    <w:p w14:paraId="56C68F20">
      <w:pPr>
        <w:ind w:firstLine="480"/>
        <w:rPr>
          <w:position w:val="-10"/>
          <w:vertAlign w:val="superscript"/>
        </w:rPr>
      </w:pPr>
      <w:r>
        <w:rPr>
          <w:rFonts w:hint="eastAsia"/>
        </w:rPr>
        <w:t>其中，阳极反应：</w:t>
      </w:r>
      <w:r>
        <w:rPr>
          <w:rFonts w:hint="eastAsia"/>
          <w:position w:val="-10"/>
          <w:vertAlign w:val="superscript"/>
        </w:rPr>
        <w:object>
          <v:shape id="_x0000_i1060" o:spt="75" type="#_x0000_t75" style="height:18pt;width:93.25pt;" o:ole="t" filled="f" o:preferrelative="t" stroked="f" coordsize="21600,21600">
            <v:path/>
            <v:fill on="f" focussize="0,0"/>
            <v:stroke on="f" joinstyle="miter"/>
            <v:imagedata r:id="rId87" o:title=""/>
            <o:lock v:ext="edit" aspectratio="t"/>
            <w10:wrap type="none"/>
            <w10:anchorlock/>
          </v:shape>
          <o:OLEObject Type="Embed" ProgID="Equation.KSEE3" ShapeID="_x0000_i1060" DrawAspect="Content" ObjectID="_1468075760" r:id="rId86">
            <o:LockedField>false</o:LockedField>
          </o:OLEObject>
        </w:object>
      </w:r>
    </w:p>
    <w:p w14:paraId="6A8B9A3C">
      <w:pPr>
        <w:ind w:firstLine="1200" w:firstLineChars="500"/>
        <w:rPr>
          <w:position w:val="-10"/>
        </w:rPr>
      </w:pPr>
      <w:r>
        <w:rPr>
          <w:rFonts w:hint="eastAsia"/>
        </w:rPr>
        <w:t>阴极反应：</w:t>
      </w:r>
      <w:r>
        <w:rPr>
          <w:rFonts w:hint="eastAsia"/>
          <w:position w:val="-10"/>
        </w:rPr>
        <w:object>
          <v:shape id="_x0000_i1061" o:spt="75" type="#_x0000_t75" style="height:18pt;width:135.8pt;" o:ole="t" filled="f" o:preferrelative="t" stroked="f" coordsize="21600,21600">
            <v:path/>
            <v:fill on="f" focussize="0,0"/>
            <v:stroke on="f" joinstyle="miter"/>
            <v:imagedata r:id="rId89" o:title=""/>
            <o:lock v:ext="edit" aspectratio="t"/>
            <w10:wrap type="none"/>
            <w10:anchorlock/>
          </v:shape>
          <o:OLEObject Type="Embed" ProgID="Equation.KSEE3" ShapeID="_x0000_i1061" DrawAspect="Content" ObjectID="_1468075761" r:id="rId88">
            <o:LockedField>false</o:LockedField>
          </o:OLEObject>
        </w:object>
      </w:r>
    </w:p>
    <w:p w14:paraId="70FC4E72">
      <w:pPr>
        <w:ind w:firstLine="1200" w:firstLineChars="500"/>
        <w:rPr>
          <w:position w:val="-10"/>
        </w:rPr>
      </w:pPr>
      <w:r>
        <w:rPr>
          <w:rFonts w:hint="eastAsia"/>
          <w:position w:val="-10"/>
        </w:rPr>
        <w:t>液相反应：</w:t>
      </w:r>
      <w:r>
        <w:rPr>
          <w:rFonts w:hint="eastAsia"/>
          <w:position w:val="-10"/>
        </w:rPr>
        <w:object>
          <v:shape id="_x0000_i1062" o:spt="75" type="#_x0000_t75" style="height:18pt;width:156pt;" o:ole="t" filled="f" o:preferrelative="t" stroked="f" coordsize="21600,21600">
            <v:path/>
            <v:fill on="f" focussize="0,0"/>
            <v:stroke on="f" joinstyle="miter"/>
            <v:imagedata r:id="rId91" o:title=""/>
            <o:lock v:ext="edit" aspectratio="t"/>
            <w10:wrap type="none"/>
            <w10:anchorlock/>
          </v:shape>
          <o:OLEObject Type="Embed" ProgID="Equation.KSEE3" ShapeID="_x0000_i1062" DrawAspect="Content" ObjectID="_1468075762" r:id="rId90">
            <o:LockedField>false</o:LockedField>
          </o:OLEObject>
        </w:object>
      </w:r>
    </w:p>
    <w:p w14:paraId="6AE8BF5E">
      <w:pPr>
        <w:ind w:firstLine="1200" w:firstLineChars="500"/>
        <w:rPr>
          <w:position w:val="-10"/>
        </w:rPr>
      </w:pPr>
      <w:r>
        <w:rPr>
          <w:rFonts w:hint="eastAsia"/>
          <w:position w:val="-10"/>
        </w:rPr>
        <w:t>阳极副反应：</w:t>
      </w:r>
    </w:p>
    <w:p w14:paraId="3B4C010C">
      <w:pPr>
        <w:ind w:firstLine="1200" w:firstLineChars="500"/>
        <w:rPr>
          <w:position w:val="-10"/>
        </w:rPr>
      </w:pPr>
      <w:r>
        <w:rPr>
          <w:rFonts w:hint="eastAsia"/>
          <w:position w:val="-24"/>
        </w:rPr>
        <w:object>
          <v:shape id="_x0000_i1063" o:spt="75" type="#_x0000_t75" style="height:31.1pt;width:284.2pt;" o:ole="t" filled="f" o:preferrelative="t" stroked="f" coordsize="21600,21600">
            <v:path/>
            <v:fill on="f" focussize="0,0"/>
            <v:stroke on="f" joinstyle="miter"/>
            <v:imagedata r:id="rId93" o:title=""/>
            <o:lock v:ext="edit" aspectratio="t"/>
            <w10:wrap type="none"/>
            <w10:anchorlock/>
          </v:shape>
          <o:OLEObject Type="Embed" ProgID="Equation.KSEE3" ShapeID="_x0000_i1063" DrawAspect="Content" ObjectID="_1468075763" r:id="rId92">
            <o:LockedField>false</o:LockedField>
          </o:OLEObject>
        </w:object>
      </w:r>
    </w:p>
    <w:p w14:paraId="1B506297">
      <w:pPr>
        <w:ind w:firstLine="1200" w:firstLineChars="500"/>
        <w:rPr>
          <w:position w:val="-10"/>
        </w:rPr>
      </w:pPr>
      <w:r>
        <w:rPr>
          <w:rFonts w:hint="eastAsia"/>
          <w:position w:val="-10"/>
        </w:rPr>
        <w:object>
          <v:shape id="_x0000_i1064" o:spt="75" type="#_x0000_t75" style="height:18pt;width:144pt;" o:ole="t" filled="f" o:preferrelative="t" stroked="f" coordsize="21600,21600">
            <v:path/>
            <v:fill on="f" focussize="0,0"/>
            <v:stroke on="f" joinstyle="miter"/>
            <v:imagedata r:id="rId95" o:title=""/>
            <o:lock v:ext="edit" aspectratio="t"/>
            <w10:wrap type="none"/>
            <w10:anchorlock/>
          </v:shape>
          <o:OLEObject Type="Embed" ProgID="Equation.KSEE3" ShapeID="_x0000_i1064" DrawAspect="Content" ObjectID="_1468075764" r:id="rId94">
            <o:LockedField>false</o:LockedField>
          </o:OLEObject>
        </w:object>
      </w:r>
    </w:p>
    <w:p w14:paraId="491A4A62">
      <w:pPr>
        <w:ind w:firstLine="1200" w:firstLineChars="500"/>
        <w:rPr>
          <w:position w:val="-10"/>
        </w:rPr>
      </w:pPr>
      <w:r>
        <w:rPr>
          <w:rFonts w:hint="eastAsia"/>
          <w:position w:val="-12"/>
        </w:rPr>
        <w:object>
          <v:shape id="_x0000_i1065" o:spt="75" type="#_x0000_t75" style="height:20.2pt;width:184.9pt;" o:ole="t" filled="f" o:preferrelative="t" stroked="f" coordsize="21600,21600">
            <v:path/>
            <v:fill on="f" focussize="0,0"/>
            <v:stroke on="f" joinstyle="miter"/>
            <v:imagedata r:id="rId97" o:title=""/>
            <o:lock v:ext="edit" aspectratio="t"/>
            <w10:wrap type="none"/>
            <w10:anchorlock/>
          </v:shape>
          <o:OLEObject Type="Embed" ProgID="Equation.KSEE3" ShapeID="_x0000_i1065" DrawAspect="Content" ObjectID="_1468075765" r:id="rId96">
            <o:LockedField>false</o:LockedField>
          </o:OLEObject>
        </w:object>
      </w:r>
    </w:p>
    <w:p w14:paraId="5B7E0460">
      <w:pPr>
        <w:ind w:firstLine="1200" w:firstLineChars="500"/>
        <w:rPr>
          <w:position w:val="-10"/>
        </w:rPr>
      </w:pPr>
      <w:r>
        <w:rPr>
          <w:rFonts w:hint="eastAsia"/>
          <w:position w:val="-10"/>
        </w:rPr>
        <w:t>阴极副反应：</w:t>
      </w:r>
    </w:p>
    <w:p w14:paraId="1A5B9B81">
      <w:pPr>
        <w:ind w:firstLine="1200" w:firstLineChars="500"/>
        <w:rPr>
          <w:position w:val="-6"/>
        </w:rPr>
      </w:pPr>
      <w:r>
        <w:rPr>
          <w:rFonts w:hint="eastAsia"/>
          <w:position w:val="-10"/>
        </w:rPr>
        <w:object>
          <v:shape id="_x0000_i1066" o:spt="75" type="#_x0000_t75" style="height:18pt;width:160.9pt;" o:ole="t" filled="f" o:preferrelative="t" stroked="f" coordsize="21600,21600">
            <v:path/>
            <v:fill on="f" focussize="0,0"/>
            <v:stroke on="f" joinstyle="miter"/>
            <v:imagedata r:id="rId99" o:title=""/>
            <o:lock v:ext="edit" aspectratio="t"/>
            <w10:wrap type="none"/>
            <w10:anchorlock/>
          </v:shape>
          <o:OLEObject Type="Embed" ProgID="Equation.KSEE3" ShapeID="_x0000_i1066" DrawAspect="Content" ObjectID="_1468075766" r:id="rId98">
            <o:LockedField>false</o:LockedField>
          </o:OLEObject>
        </w:object>
      </w:r>
    </w:p>
    <w:p w14:paraId="33EE129D">
      <w:pPr>
        <w:ind w:firstLine="1200" w:firstLineChars="500"/>
        <w:rPr>
          <w:position w:val="-6"/>
        </w:rPr>
      </w:pPr>
      <w:r>
        <w:rPr>
          <w:rFonts w:hint="eastAsia"/>
          <w:position w:val="-12"/>
        </w:rPr>
        <w:object>
          <v:shape id="_x0000_i1067" o:spt="75" type="#_x0000_t75" style="height:20.2pt;width:168pt;" o:ole="t" filled="f" o:preferrelative="t" stroked="f" coordsize="21600,21600">
            <v:path/>
            <v:fill on="f" focussize="0,0"/>
            <v:stroke on="f" joinstyle="miter"/>
            <v:imagedata r:id="rId101" o:title=""/>
            <o:lock v:ext="edit" aspectratio="t"/>
            <w10:wrap type="none"/>
            <w10:anchorlock/>
          </v:shape>
          <o:OLEObject Type="Embed" ProgID="Equation.KSEE3" ShapeID="_x0000_i1067" DrawAspect="Content" ObjectID="_1468075767" r:id="rId100">
            <o:LockedField>false</o:LockedField>
          </o:OLEObject>
        </w:object>
      </w:r>
    </w:p>
    <w:p w14:paraId="6BAB8D93">
      <w:pPr>
        <w:ind w:firstLine="1200" w:firstLineChars="500"/>
        <w:rPr>
          <w:position w:val="-10"/>
        </w:rPr>
      </w:pPr>
      <w:r>
        <w:rPr>
          <w:rFonts w:hint="eastAsia"/>
          <w:position w:val="-10"/>
        </w:rPr>
        <w:t>其他化学反应：</w:t>
      </w:r>
      <w:r>
        <w:rPr>
          <w:rFonts w:hint="eastAsia"/>
          <w:position w:val="-12"/>
        </w:rPr>
        <w:object>
          <v:shape id="_x0000_i1068" o:spt="75" type="#_x0000_t75" style="height:20.2pt;width:183.25pt;" o:ole="t" filled="f" o:preferrelative="t" stroked="f" coordsize="21600,21600">
            <v:path/>
            <v:fill on="f" focussize="0,0"/>
            <v:stroke on="f" joinstyle="miter"/>
            <v:imagedata r:id="rId103" o:title=""/>
            <o:lock v:ext="edit" aspectratio="t"/>
            <w10:wrap type="none"/>
            <w10:anchorlock/>
          </v:shape>
          <o:OLEObject Type="Embed" ProgID="Equation.KSEE3" ShapeID="_x0000_i1068" DrawAspect="Content" ObjectID="_1468075768" r:id="rId102">
            <o:LockedField>false</o:LockedField>
          </o:OLEObject>
        </w:object>
      </w:r>
    </w:p>
    <w:p w14:paraId="640B30FD">
      <w:pPr>
        <w:ind w:firstLine="480"/>
      </w:pPr>
      <w:r>
        <w:rPr>
          <w:rFonts w:hint="eastAsia"/>
        </w:rPr>
        <w:t>由于阴极产生的H</w:t>
      </w:r>
      <w:r>
        <w:rPr>
          <w:rFonts w:hint="eastAsia"/>
          <w:vertAlign w:val="subscript"/>
        </w:rPr>
        <w:t>2</w:t>
      </w:r>
      <w:r>
        <w:rPr>
          <w:rFonts w:hint="eastAsia"/>
        </w:rPr>
        <w:t>的提升作用，电解液在电解槽和反应器之间周而复始地循环，氯化钠不断转化为氯酸钠，同时气体与电解液分离。电解液在反应器内进行充分反应后，在重力的作用下，由下循环管返回电解槽。</w:t>
      </w:r>
    </w:p>
    <w:p w14:paraId="36A5C4B4">
      <w:pPr>
        <w:ind w:firstLine="480"/>
      </w:pPr>
      <w:r>
        <w:rPr>
          <w:rFonts w:hint="eastAsia"/>
        </w:rPr>
        <w:t>在精盐水电解过程中，电解槽中会有电解尾气（主要为氢气、氧气、氯气等）产生，经“三级碱洗+盐水洗涤”处理后经25m高排气筒达标排放。</w:t>
      </w:r>
    </w:p>
    <w:p w14:paraId="72A00E61">
      <w:pPr>
        <w:ind w:firstLine="480"/>
      </w:pPr>
      <w:r>
        <w:rPr>
          <w:rFonts w:hint="eastAsia"/>
        </w:rPr>
        <w:t>同时，盐水电解槽中会沉积有电解槽沉渣，主要为少量重铬酸钠、钙离子沉淀，电解槽清洗时集中收集暂存于危废暂存间，定期交有资质单位处置。</w:t>
      </w:r>
    </w:p>
    <w:p w14:paraId="753A7C20">
      <w:pPr>
        <w:pStyle w:val="6"/>
        <w:numPr>
          <w:ilvl w:val="4"/>
          <w:numId w:val="1"/>
        </w:numPr>
        <w:ind w:firstLine="482"/>
      </w:pPr>
      <w:r>
        <w:rPr>
          <w:rFonts w:hint="eastAsia"/>
        </w:rPr>
        <w:t>除次钠工段</w:t>
      </w:r>
    </w:p>
    <w:p w14:paraId="45029BAD">
      <w:pPr>
        <w:ind w:firstLine="480"/>
      </w:pPr>
      <w:r>
        <w:rPr>
          <w:rFonts w:hint="eastAsia"/>
          <w:color w:val="000000" w:themeColor="text1"/>
          <w14:textFill>
            <w14:solidFill>
              <w14:schemeClr w14:val="tx1"/>
            </w14:solidFill>
          </w14:textFill>
        </w:rPr>
        <w:t>氯酸钠达到一定浓度的电解液，通过反应器的溢流管溢流至除次钠罐。电解液至除次钠罐，加入尿素后进电解液罐，加热至80℃后由电解液泵打至板框压</w:t>
      </w:r>
      <w:r>
        <w:rPr>
          <w:rFonts w:hint="eastAsia"/>
        </w:rPr>
        <w:t>滤机过滤，以除去其中的铁锈等杂质，再经过结晶器给料泵将过滤后热的电解液送往真空结晶工序。</w:t>
      </w:r>
    </w:p>
    <w:p w14:paraId="4CA701D9">
      <w:pPr>
        <w:ind w:firstLine="482"/>
        <w:rPr>
          <w:color w:val="000000" w:themeColor="text1"/>
          <w14:textFill>
            <w14:solidFill>
              <w14:schemeClr w14:val="tx1"/>
            </w14:solidFill>
          </w14:textFill>
        </w:rPr>
      </w:pPr>
      <w:r>
        <w:rPr>
          <w:rFonts w:hint="eastAsia"/>
          <w:b/>
          <w:bCs/>
          <w:color w:val="000000" w:themeColor="text1"/>
          <w14:textFill>
            <w14:solidFill>
              <w14:schemeClr w14:val="tx1"/>
            </w14:solidFill>
          </w14:textFill>
        </w:rPr>
        <w:t>除次钠尾气</w:t>
      </w:r>
      <w:r>
        <w:rPr>
          <w:rFonts w:hint="eastAsia"/>
          <w:color w:val="000000" w:themeColor="text1"/>
          <w14:textFill>
            <w14:solidFill>
              <w14:schemeClr w14:val="tx1"/>
            </w14:solidFill>
          </w14:textFill>
        </w:rPr>
        <w:t>主要为除次钠反应生成的氮气、二氧化碳，由于电解液除次钠过程中需要曝气，因此除次钠尾气中还会夹带微量电解废气，除次钠尾气通过“一级碱洗”处理后经25m高排气筒达标排放。</w:t>
      </w:r>
    </w:p>
    <w:p w14:paraId="40CF41BF">
      <w:pPr>
        <w:pStyle w:val="6"/>
        <w:numPr>
          <w:ilvl w:val="4"/>
          <w:numId w:val="1"/>
        </w:numPr>
        <w:ind w:firstLine="482"/>
      </w:pPr>
      <w:r>
        <w:rPr>
          <w:rFonts w:hint="eastAsia"/>
        </w:rPr>
        <w:t>真空蒸发结晶工段</w:t>
      </w:r>
    </w:p>
    <w:p w14:paraId="248B916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来自电解工段的通过循环泵及真空泵维持真空结晶条件，在结晶器内获得氯酸钠结晶，结晶器中部取出带细晶的液体经换热器液解后返回结晶器，含大颗料结晶的氯酸钠晶浆则由结晶器底部取出，至HR 离心机分离而得</w:t>
      </w:r>
      <w:r>
        <w:rPr>
          <w:rFonts w:hint="eastAsia"/>
          <w:b/>
          <w:bCs/>
          <w:color w:val="000000" w:themeColor="text1"/>
          <w14:textFill>
            <w14:solidFill>
              <w14:schemeClr w14:val="tx1"/>
            </w14:solidFill>
          </w14:textFill>
        </w:rPr>
        <w:t>湿氯酸钠晶体，</w:t>
      </w:r>
      <w:r>
        <w:rPr>
          <w:rFonts w:hint="eastAsia"/>
          <w:color w:val="000000" w:themeColor="text1"/>
          <w14:textFill>
            <w14:solidFill>
              <w14:schemeClr w14:val="tx1"/>
            </w14:solidFill>
          </w14:textFill>
        </w:rPr>
        <w:t>离心洗液通过离心液泵返回电解工段。湿产品作为生产高氯酸盐原料进入后续生产工序。</w:t>
      </w:r>
    </w:p>
    <w:p w14:paraId="1D9B3069">
      <w:pPr>
        <w:pStyle w:val="43"/>
        <w:numPr>
          <w:ilvl w:val="5"/>
          <w:numId w:val="1"/>
        </w:numPr>
        <w:rPr>
          <w:rFonts w:hint="default"/>
        </w:rPr>
      </w:pPr>
      <w:r>
        <w:t>氯酸钠生产装置污染物产生环节及去向一览表</w:t>
      </w:r>
    </w:p>
    <w:tbl>
      <w:tblPr>
        <w:tblStyle w:val="3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4"/>
        <w:gridCol w:w="1215"/>
        <w:gridCol w:w="1753"/>
        <w:gridCol w:w="1695"/>
        <w:gridCol w:w="1094"/>
        <w:gridCol w:w="2206"/>
      </w:tblGrid>
      <w:tr w14:paraId="6955D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25" w:type="pct"/>
            <w:vAlign w:val="center"/>
          </w:tcPr>
          <w:p w14:paraId="57ADA3A5">
            <w:pPr>
              <w:snapToGrid w:val="0"/>
              <w:spacing w:line="240" w:lineRule="auto"/>
              <w:ind w:firstLine="0" w:firstLineChars="0"/>
              <w:jc w:val="center"/>
              <w:rPr>
                <w:rFonts w:cs="宋体"/>
                <w:b/>
                <w:bCs/>
                <w:kern w:val="0"/>
                <w:sz w:val="21"/>
                <w:szCs w:val="21"/>
              </w:rPr>
            </w:pPr>
            <w:r>
              <w:rPr>
                <w:rFonts w:cs="宋体"/>
                <w:b/>
                <w:bCs/>
                <w:kern w:val="0"/>
                <w:sz w:val="21"/>
                <w:szCs w:val="21"/>
              </w:rPr>
              <w:t>类型</w:t>
            </w:r>
          </w:p>
        </w:tc>
        <w:tc>
          <w:tcPr>
            <w:tcW w:w="713" w:type="pct"/>
            <w:vAlign w:val="center"/>
          </w:tcPr>
          <w:p w14:paraId="445D994A">
            <w:pPr>
              <w:snapToGrid w:val="0"/>
              <w:spacing w:line="240" w:lineRule="auto"/>
              <w:ind w:firstLine="0" w:firstLineChars="0"/>
              <w:jc w:val="center"/>
              <w:rPr>
                <w:rFonts w:cs="宋体"/>
                <w:b/>
                <w:bCs/>
                <w:kern w:val="0"/>
                <w:sz w:val="21"/>
                <w:szCs w:val="21"/>
              </w:rPr>
            </w:pPr>
            <w:r>
              <w:rPr>
                <w:rFonts w:cs="宋体"/>
                <w:b/>
                <w:bCs/>
                <w:kern w:val="0"/>
                <w:sz w:val="21"/>
                <w:szCs w:val="21"/>
              </w:rPr>
              <w:t>产生环节</w:t>
            </w:r>
          </w:p>
        </w:tc>
        <w:tc>
          <w:tcPr>
            <w:tcW w:w="1029" w:type="pct"/>
            <w:vAlign w:val="center"/>
          </w:tcPr>
          <w:p w14:paraId="0AF0FE13">
            <w:pPr>
              <w:snapToGrid w:val="0"/>
              <w:spacing w:line="240" w:lineRule="auto"/>
              <w:ind w:firstLine="0" w:firstLineChars="0"/>
              <w:jc w:val="center"/>
              <w:rPr>
                <w:rFonts w:cs="宋体"/>
                <w:b/>
                <w:bCs/>
                <w:kern w:val="0"/>
                <w:sz w:val="21"/>
                <w:szCs w:val="21"/>
              </w:rPr>
            </w:pPr>
            <w:r>
              <w:rPr>
                <w:rFonts w:hint="eastAsia" w:cs="宋体"/>
                <w:b/>
                <w:bCs/>
                <w:kern w:val="0"/>
                <w:sz w:val="21"/>
                <w:szCs w:val="21"/>
              </w:rPr>
              <w:t>污染物名称</w:t>
            </w:r>
          </w:p>
        </w:tc>
        <w:tc>
          <w:tcPr>
            <w:tcW w:w="995" w:type="pct"/>
            <w:vAlign w:val="center"/>
          </w:tcPr>
          <w:p w14:paraId="39B1DB85">
            <w:pPr>
              <w:snapToGrid w:val="0"/>
              <w:spacing w:line="240" w:lineRule="auto"/>
              <w:ind w:firstLine="0" w:firstLineChars="0"/>
              <w:jc w:val="center"/>
              <w:rPr>
                <w:rFonts w:cs="宋体"/>
                <w:b/>
                <w:bCs/>
                <w:kern w:val="0"/>
                <w:sz w:val="21"/>
                <w:szCs w:val="21"/>
              </w:rPr>
            </w:pPr>
            <w:r>
              <w:rPr>
                <w:rFonts w:cs="宋体"/>
                <w:b/>
                <w:bCs/>
                <w:kern w:val="0"/>
                <w:sz w:val="21"/>
                <w:szCs w:val="21"/>
              </w:rPr>
              <w:t>主要成分</w:t>
            </w:r>
          </w:p>
        </w:tc>
        <w:tc>
          <w:tcPr>
            <w:tcW w:w="642" w:type="pct"/>
            <w:vAlign w:val="center"/>
          </w:tcPr>
          <w:p w14:paraId="6DD3D47A">
            <w:pPr>
              <w:snapToGrid w:val="0"/>
              <w:spacing w:line="240" w:lineRule="auto"/>
              <w:ind w:firstLine="0" w:firstLineChars="0"/>
              <w:jc w:val="center"/>
              <w:rPr>
                <w:rFonts w:cs="宋体"/>
                <w:b/>
                <w:bCs/>
                <w:kern w:val="0"/>
                <w:sz w:val="21"/>
                <w:szCs w:val="21"/>
              </w:rPr>
            </w:pPr>
            <w:r>
              <w:rPr>
                <w:rFonts w:cs="宋体"/>
                <w:b/>
                <w:bCs/>
                <w:kern w:val="0"/>
                <w:sz w:val="21"/>
                <w:szCs w:val="21"/>
              </w:rPr>
              <w:t>排放方式</w:t>
            </w:r>
          </w:p>
        </w:tc>
        <w:tc>
          <w:tcPr>
            <w:tcW w:w="1295" w:type="pct"/>
            <w:vAlign w:val="center"/>
          </w:tcPr>
          <w:p w14:paraId="71847A75">
            <w:pPr>
              <w:snapToGrid w:val="0"/>
              <w:spacing w:line="240" w:lineRule="auto"/>
              <w:ind w:firstLine="0" w:firstLineChars="0"/>
              <w:jc w:val="center"/>
              <w:rPr>
                <w:rFonts w:cs="宋体"/>
                <w:b/>
                <w:bCs/>
                <w:kern w:val="0"/>
                <w:sz w:val="21"/>
                <w:szCs w:val="21"/>
              </w:rPr>
            </w:pPr>
            <w:r>
              <w:rPr>
                <w:rFonts w:cs="宋体"/>
                <w:b/>
                <w:bCs/>
                <w:kern w:val="0"/>
                <w:sz w:val="21"/>
                <w:szCs w:val="21"/>
              </w:rPr>
              <w:t>去向</w:t>
            </w:r>
          </w:p>
        </w:tc>
      </w:tr>
      <w:tr w14:paraId="45A78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5" w:type="pct"/>
            <w:vMerge w:val="restart"/>
            <w:vAlign w:val="center"/>
          </w:tcPr>
          <w:p w14:paraId="1E3B1E74">
            <w:pPr>
              <w:snapToGrid w:val="0"/>
              <w:spacing w:line="240" w:lineRule="auto"/>
              <w:ind w:firstLine="0" w:firstLineChars="0"/>
              <w:jc w:val="center"/>
              <w:rPr>
                <w:rFonts w:cs="宋体"/>
                <w:kern w:val="0"/>
                <w:sz w:val="21"/>
                <w:szCs w:val="21"/>
              </w:rPr>
            </w:pPr>
            <w:r>
              <w:rPr>
                <w:rFonts w:cs="宋体"/>
                <w:kern w:val="0"/>
                <w:sz w:val="21"/>
                <w:szCs w:val="21"/>
              </w:rPr>
              <w:t>废气</w:t>
            </w:r>
          </w:p>
        </w:tc>
        <w:tc>
          <w:tcPr>
            <w:tcW w:w="713" w:type="pct"/>
            <w:vAlign w:val="center"/>
          </w:tcPr>
          <w:p w14:paraId="4BF2A5FA">
            <w:pPr>
              <w:snapToGrid w:val="0"/>
              <w:spacing w:line="240" w:lineRule="auto"/>
              <w:ind w:firstLine="0" w:firstLineChars="0"/>
              <w:jc w:val="center"/>
              <w:rPr>
                <w:rFonts w:cs="宋体"/>
                <w:kern w:val="0"/>
                <w:sz w:val="21"/>
                <w:szCs w:val="21"/>
              </w:rPr>
            </w:pPr>
            <w:r>
              <w:rPr>
                <w:rFonts w:hint="eastAsia" w:cs="宋体"/>
                <w:kern w:val="0"/>
                <w:sz w:val="21"/>
                <w:szCs w:val="21"/>
              </w:rPr>
              <w:t>电解</w:t>
            </w:r>
          </w:p>
        </w:tc>
        <w:tc>
          <w:tcPr>
            <w:tcW w:w="1029" w:type="pct"/>
            <w:vAlign w:val="center"/>
          </w:tcPr>
          <w:p w14:paraId="15F9FFAB">
            <w:pPr>
              <w:snapToGrid w:val="0"/>
              <w:spacing w:line="240" w:lineRule="auto"/>
              <w:ind w:firstLine="0" w:firstLineChars="0"/>
              <w:jc w:val="center"/>
              <w:rPr>
                <w:rFonts w:cs="宋体"/>
                <w:kern w:val="0"/>
                <w:sz w:val="21"/>
                <w:szCs w:val="21"/>
              </w:rPr>
            </w:pPr>
            <w:r>
              <w:rPr>
                <w:rFonts w:hint="eastAsia" w:cs="宋体"/>
                <w:kern w:val="0"/>
                <w:sz w:val="21"/>
                <w:szCs w:val="21"/>
              </w:rPr>
              <w:t>一次</w:t>
            </w:r>
            <w:r>
              <w:rPr>
                <w:rFonts w:cs="宋体"/>
                <w:kern w:val="0"/>
                <w:sz w:val="21"/>
                <w:szCs w:val="21"/>
              </w:rPr>
              <w:t>电解</w:t>
            </w:r>
            <w:r>
              <w:rPr>
                <w:rFonts w:hint="eastAsia" w:cs="宋体"/>
                <w:kern w:val="0"/>
                <w:sz w:val="21"/>
                <w:szCs w:val="21"/>
              </w:rPr>
              <w:t>尾气</w:t>
            </w:r>
          </w:p>
        </w:tc>
        <w:tc>
          <w:tcPr>
            <w:tcW w:w="995" w:type="pct"/>
            <w:vAlign w:val="center"/>
          </w:tcPr>
          <w:p w14:paraId="42C7395B">
            <w:pPr>
              <w:snapToGrid w:val="0"/>
              <w:spacing w:line="240" w:lineRule="auto"/>
              <w:ind w:firstLine="0" w:firstLineChars="0"/>
              <w:jc w:val="center"/>
              <w:rPr>
                <w:rFonts w:cs="宋体"/>
                <w:kern w:val="0"/>
                <w:sz w:val="21"/>
                <w:szCs w:val="21"/>
              </w:rPr>
            </w:pPr>
            <w:r>
              <w:rPr>
                <w:rFonts w:cs="宋体"/>
                <w:kern w:val="0"/>
                <w:sz w:val="21"/>
                <w:szCs w:val="21"/>
              </w:rPr>
              <w:t>H</w:t>
            </w:r>
            <w:r>
              <w:rPr>
                <w:rFonts w:cs="宋体"/>
                <w:kern w:val="0"/>
                <w:sz w:val="21"/>
                <w:szCs w:val="21"/>
                <w:vertAlign w:val="subscript"/>
              </w:rPr>
              <w:t>2</w:t>
            </w:r>
            <w:r>
              <w:rPr>
                <w:rFonts w:cs="宋体"/>
                <w:kern w:val="0"/>
                <w:sz w:val="21"/>
                <w:szCs w:val="21"/>
              </w:rPr>
              <w:t>，O</w:t>
            </w:r>
            <w:r>
              <w:rPr>
                <w:rFonts w:cs="宋体"/>
                <w:kern w:val="0"/>
                <w:sz w:val="21"/>
                <w:szCs w:val="21"/>
                <w:vertAlign w:val="subscript"/>
              </w:rPr>
              <w:t>2</w:t>
            </w:r>
            <w:r>
              <w:rPr>
                <w:rFonts w:cs="宋体"/>
                <w:kern w:val="0"/>
                <w:sz w:val="21"/>
                <w:szCs w:val="21"/>
              </w:rPr>
              <w:t>，Cl</w:t>
            </w:r>
            <w:r>
              <w:rPr>
                <w:rFonts w:cs="宋体"/>
                <w:kern w:val="0"/>
                <w:sz w:val="21"/>
                <w:szCs w:val="21"/>
                <w:vertAlign w:val="subscript"/>
              </w:rPr>
              <w:t>2</w:t>
            </w:r>
            <w:r>
              <w:rPr>
                <w:rFonts w:cs="宋体"/>
                <w:kern w:val="0"/>
                <w:sz w:val="21"/>
                <w:szCs w:val="21"/>
              </w:rPr>
              <w:t>，</w:t>
            </w:r>
            <w:r>
              <w:rPr>
                <w:rFonts w:hint="eastAsia" w:cs="宋体"/>
                <w:kern w:val="0"/>
                <w:sz w:val="21"/>
                <w:szCs w:val="21"/>
              </w:rPr>
              <w:t>HCl，</w:t>
            </w:r>
            <w:r>
              <w:rPr>
                <w:rFonts w:hint="eastAsia" w:cs="宋体"/>
                <w:kern w:val="0"/>
                <w:sz w:val="21"/>
                <w:szCs w:val="21"/>
                <w:lang w:val="en-US" w:eastAsia="zh-CN"/>
              </w:rPr>
              <w:t>水蒸气</w:t>
            </w:r>
            <w:r>
              <w:rPr>
                <w:rFonts w:hint="eastAsia" w:cs="宋体"/>
                <w:kern w:val="0"/>
                <w:sz w:val="21"/>
                <w:szCs w:val="21"/>
              </w:rPr>
              <w:t>等</w:t>
            </w:r>
          </w:p>
        </w:tc>
        <w:tc>
          <w:tcPr>
            <w:tcW w:w="642" w:type="pct"/>
            <w:vAlign w:val="center"/>
          </w:tcPr>
          <w:p w14:paraId="443E5BE6">
            <w:pPr>
              <w:snapToGrid w:val="0"/>
              <w:spacing w:line="240" w:lineRule="auto"/>
              <w:ind w:firstLine="0" w:firstLineChars="0"/>
              <w:jc w:val="center"/>
              <w:rPr>
                <w:rFonts w:cs="宋体"/>
                <w:kern w:val="0"/>
                <w:sz w:val="21"/>
                <w:szCs w:val="21"/>
              </w:rPr>
            </w:pPr>
            <w:r>
              <w:rPr>
                <w:rFonts w:cs="宋体"/>
                <w:kern w:val="0"/>
                <w:sz w:val="21"/>
                <w:szCs w:val="21"/>
              </w:rPr>
              <w:t>连续</w:t>
            </w:r>
          </w:p>
        </w:tc>
        <w:tc>
          <w:tcPr>
            <w:tcW w:w="1295" w:type="pct"/>
            <w:vAlign w:val="center"/>
          </w:tcPr>
          <w:p w14:paraId="66AEE6B4">
            <w:pPr>
              <w:snapToGrid w:val="0"/>
              <w:spacing w:line="240" w:lineRule="auto"/>
              <w:ind w:firstLine="0" w:firstLineChars="0"/>
              <w:jc w:val="center"/>
              <w:rPr>
                <w:rFonts w:cs="宋体"/>
                <w:kern w:val="0"/>
                <w:sz w:val="21"/>
                <w:szCs w:val="21"/>
              </w:rPr>
            </w:pPr>
            <w:r>
              <w:rPr>
                <w:rFonts w:hint="eastAsia" w:cs="宋体"/>
                <w:kern w:val="0"/>
                <w:sz w:val="21"/>
                <w:szCs w:val="21"/>
              </w:rPr>
              <w:t>尾气处理后排空</w:t>
            </w:r>
          </w:p>
        </w:tc>
      </w:tr>
      <w:tr w14:paraId="30174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5" w:type="pct"/>
            <w:vMerge w:val="continue"/>
            <w:vAlign w:val="center"/>
          </w:tcPr>
          <w:p w14:paraId="0EFB9475">
            <w:pPr>
              <w:snapToGrid w:val="0"/>
              <w:spacing w:line="240" w:lineRule="auto"/>
              <w:ind w:firstLine="0" w:firstLineChars="0"/>
              <w:jc w:val="center"/>
              <w:rPr>
                <w:rFonts w:cs="宋体"/>
                <w:kern w:val="0"/>
                <w:sz w:val="21"/>
                <w:szCs w:val="21"/>
              </w:rPr>
            </w:pPr>
          </w:p>
        </w:tc>
        <w:tc>
          <w:tcPr>
            <w:tcW w:w="713" w:type="pct"/>
            <w:vAlign w:val="center"/>
          </w:tcPr>
          <w:p w14:paraId="23539A25">
            <w:pPr>
              <w:snapToGrid w:val="0"/>
              <w:spacing w:line="240" w:lineRule="auto"/>
              <w:ind w:firstLine="0" w:firstLineChars="0"/>
              <w:jc w:val="center"/>
              <w:rPr>
                <w:rFonts w:cs="宋体"/>
                <w:kern w:val="0"/>
                <w:sz w:val="21"/>
                <w:szCs w:val="21"/>
              </w:rPr>
            </w:pPr>
            <w:r>
              <w:rPr>
                <w:rFonts w:hint="eastAsia" w:cs="宋体"/>
                <w:kern w:val="0"/>
                <w:sz w:val="21"/>
                <w:szCs w:val="21"/>
              </w:rPr>
              <w:t>除次钠</w:t>
            </w:r>
          </w:p>
        </w:tc>
        <w:tc>
          <w:tcPr>
            <w:tcW w:w="1029" w:type="pct"/>
            <w:vAlign w:val="center"/>
          </w:tcPr>
          <w:p w14:paraId="4B52C33B">
            <w:pPr>
              <w:snapToGrid w:val="0"/>
              <w:spacing w:line="240" w:lineRule="auto"/>
              <w:ind w:firstLine="0" w:firstLineChars="0"/>
              <w:jc w:val="center"/>
              <w:rPr>
                <w:rFonts w:cs="宋体"/>
                <w:kern w:val="0"/>
                <w:sz w:val="21"/>
                <w:szCs w:val="21"/>
              </w:rPr>
            </w:pPr>
            <w:r>
              <w:rPr>
                <w:rFonts w:cs="宋体"/>
                <w:kern w:val="0"/>
                <w:sz w:val="21"/>
                <w:szCs w:val="21"/>
              </w:rPr>
              <w:t>除次钠</w:t>
            </w:r>
            <w:r>
              <w:rPr>
                <w:rFonts w:hint="eastAsia" w:cs="宋体"/>
                <w:kern w:val="0"/>
                <w:sz w:val="21"/>
                <w:szCs w:val="21"/>
              </w:rPr>
              <w:t>尾气</w:t>
            </w:r>
          </w:p>
        </w:tc>
        <w:tc>
          <w:tcPr>
            <w:tcW w:w="995" w:type="pct"/>
            <w:vAlign w:val="center"/>
          </w:tcPr>
          <w:p w14:paraId="6BCB6E97">
            <w:pPr>
              <w:snapToGrid w:val="0"/>
              <w:spacing w:line="240" w:lineRule="auto"/>
              <w:ind w:firstLine="0" w:firstLineChars="0"/>
              <w:jc w:val="center"/>
              <w:rPr>
                <w:rFonts w:cs="宋体"/>
                <w:kern w:val="0"/>
                <w:sz w:val="21"/>
                <w:szCs w:val="21"/>
              </w:rPr>
            </w:pPr>
            <w:r>
              <w:rPr>
                <w:rFonts w:cs="宋体"/>
                <w:kern w:val="0"/>
                <w:sz w:val="21"/>
                <w:szCs w:val="21"/>
              </w:rPr>
              <w:t>N</w:t>
            </w:r>
            <w:r>
              <w:rPr>
                <w:rFonts w:cs="宋体"/>
                <w:kern w:val="0"/>
                <w:sz w:val="21"/>
                <w:szCs w:val="21"/>
                <w:vertAlign w:val="subscript"/>
              </w:rPr>
              <w:t>2</w:t>
            </w:r>
            <w:r>
              <w:rPr>
                <w:rFonts w:cs="宋体"/>
                <w:kern w:val="0"/>
                <w:sz w:val="21"/>
                <w:szCs w:val="21"/>
              </w:rPr>
              <w:t>，CO</w:t>
            </w:r>
            <w:r>
              <w:rPr>
                <w:rFonts w:cs="宋体"/>
                <w:kern w:val="0"/>
                <w:sz w:val="21"/>
                <w:szCs w:val="21"/>
                <w:vertAlign w:val="subscript"/>
              </w:rPr>
              <w:t>2</w:t>
            </w:r>
            <w:r>
              <w:rPr>
                <w:rFonts w:hint="eastAsia" w:cs="宋体"/>
                <w:kern w:val="0"/>
                <w:sz w:val="21"/>
                <w:szCs w:val="21"/>
                <w:vertAlign w:val="baseline"/>
                <w:lang w:eastAsia="zh-CN"/>
              </w:rPr>
              <w:t>、</w:t>
            </w:r>
            <w:r>
              <w:rPr>
                <w:rFonts w:cs="宋体"/>
                <w:kern w:val="0"/>
                <w:sz w:val="21"/>
                <w:szCs w:val="21"/>
              </w:rPr>
              <w:t>Cl</w:t>
            </w:r>
            <w:r>
              <w:rPr>
                <w:rFonts w:cs="宋体"/>
                <w:kern w:val="0"/>
                <w:sz w:val="21"/>
                <w:szCs w:val="21"/>
                <w:vertAlign w:val="subscript"/>
              </w:rPr>
              <w:t>2</w:t>
            </w:r>
            <w:r>
              <w:rPr>
                <w:rFonts w:cs="宋体"/>
                <w:kern w:val="0"/>
                <w:sz w:val="21"/>
                <w:szCs w:val="21"/>
              </w:rPr>
              <w:t>，</w:t>
            </w:r>
            <w:r>
              <w:rPr>
                <w:rFonts w:hint="eastAsia" w:cs="宋体"/>
                <w:kern w:val="0"/>
                <w:sz w:val="21"/>
                <w:szCs w:val="21"/>
              </w:rPr>
              <w:t>HCl等</w:t>
            </w:r>
          </w:p>
        </w:tc>
        <w:tc>
          <w:tcPr>
            <w:tcW w:w="642" w:type="pct"/>
            <w:vAlign w:val="center"/>
          </w:tcPr>
          <w:p w14:paraId="1CFC40F4">
            <w:pPr>
              <w:snapToGrid w:val="0"/>
              <w:spacing w:line="240" w:lineRule="auto"/>
              <w:ind w:firstLine="0" w:firstLineChars="0"/>
              <w:jc w:val="center"/>
              <w:rPr>
                <w:rFonts w:cs="宋体"/>
                <w:kern w:val="0"/>
                <w:sz w:val="21"/>
                <w:szCs w:val="21"/>
              </w:rPr>
            </w:pPr>
            <w:r>
              <w:rPr>
                <w:rFonts w:cs="宋体"/>
                <w:kern w:val="0"/>
                <w:sz w:val="21"/>
                <w:szCs w:val="21"/>
              </w:rPr>
              <w:t>连续</w:t>
            </w:r>
          </w:p>
        </w:tc>
        <w:tc>
          <w:tcPr>
            <w:tcW w:w="1295" w:type="pct"/>
            <w:vAlign w:val="center"/>
          </w:tcPr>
          <w:p w14:paraId="4CA06132">
            <w:pPr>
              <w:snapToGrid w:val="0"/>
              <w:spacing w:line="240" w:lineRule="auto"/>
              <w:ind w:firstLine="0" w:firstLineChars="0"/>
              <w:jc w:val="center"/>
              <w:rPr>
                <w:rFonts w:cs="宋体"/>
                <w:kern w:val="0"/>
                <w:sz w:val="21"/>
                <w:szCs w:val="21"/>
              </w:rPr>
            </w:pPr>
            <w:r>
              <w:rPr>
                <w:rFonts w:hint="eastAsia" w:cs="宋体"/>
                <w:kern w:val="0"/>
                <w:sz w:val="21"/>
                <w:szCs w:val="21"/>
              </w:rPr>
              <w:t>尾气处理后排空</w:t>
            </w:r>
          </w:p>
        </w:tc>
      </w:tr>
      <w:tr w14:paraId="4CF50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5" w:type="pct"/>
            <w:vAlign w:val="center"/>
          </w:tcPr>
          <w:p w14:paraId="4363E14B">
            <w:pPr>
              <w:snapToGrid w:val="0"/>
              <w:spacing w:line="240" w:lineRule="auto"/>
              <w:ind w:firstLine="0" w:firstLineChars="0"/>
              <w:jc w:val="center"/>
              <w:rPr>
                <w:rFonts w:cs="宋体"/>
                <w:kern w:val="0"/>
                <w:sz w:val="21"/>
                <w:szCs w:val="21"/>
              </w:rPr>
            </w:pPr>
            <w:r>
              <w:rPr>
                <w:rFonts w:cs="宋体"/>
                <w:kern w:val="0"/>
                <w:sz w:val="21"/>
                <w:szCs w:val="21"/>
              </w:rPr>
              <w:t>废水</w:t>
            </w:r>
          </w:p>
        </w:tc>
        <w:tc>
          <w:tcPr>
            <w:tcW w:w="713" w:type="pct"/>
            <w:vAlign w:val="center"/>
          </w:tcPr>
          <w:p w14:paraId="4FE40F80">
            <w:pPr>
              <w:snapToGrid w:val="0"/>
              <w:spacing w:line="240" w:lineRule="auto"/>
              <w:ind w:firstLine="0" w:firstLineChars="0"/>
              <w:jc w:val="center"/>
              <w:rPr>
                <w:rFonts w:cs="宋体"/>
                <w:kern w:val="0"/>
                <w:sz w:val="21"/>
                <w:szCs w:val="21"/>
              </w:rPr>
            </w:pPr>
            <w:r>
              <w:rPr>
                <w:rFonts w:cs="宋体"/>
                <w:kern w:val="0"/>
                <w:sz w:val="21"/>
                <w:szCs w:val="21"/>
              </w:rPr>
              <w:t>真空结晶</w:t>
            </w:r>
          </w:p>
        </w:tc>
        <w:tc>
          <w:tcPr>
            <w:tcW w:w="1029" w:type="pct"/>
            <w:vAlign w:val="center"/>
          </w:tcPr>
          <w:p w14:paraId="64A7DBFA">
            <w:pPr>
              <w:snapToGrid w:val="0"/>
              <w:spacing w:line="240" w:lineRule="auto"/>
              <w:ind w:firstLine="0" w:firstLineChars="0"/>
              <w:jc w:val="center"/>
              <w:rPr>
                <w:rFonts w:cs="宋体"/>
                <w:kern w:val="0"/>
                <w:sz w:val="21"/>
                <w:szCs w:val="21"/>
              </w:rPr>
            </w:pPr>
            <w:r>
              <w:rPr>
                <w:rFonts w:cs="宋体"/>
                <w:kern w:val="0"/>
                <w:sz w:val="21"/>
                <w:szCs w:val="21"/>
              </w:rPr>
              <w:t>真空冷凝水</w:t>
            </w:r>
          </w:p>
        </w:tc>
        <w:tc>
          <w:tcPr>
            <w:tcW w:w="995" w:type="pct"/>
            <w:vAlign w:val="center"/>
          </w:tcPr>
          <w:p w14:paraId="491492D8">
            <w:pPr>
              <w:snapToGrid w:val="0"/>
              <w:spacing w:line="240" w:lineRule="auto"/>
              <w:ind w:firstLine="0" w:firstLineChars="0"/>
              <w:jc w:val="center"/>
              <w:rPr>
                <w:rFonts w:cs="宋体"/>
                <w:kern w:val="0"/>
                <w:sz w:val="21"/>
                <w:szCs w:val="21"/>
              </w:rPr>
            </w:pPr>
            <w:r>
              <w:rPr>
                <w:rFonts w:cs="宋体"/>
                <w:kern w:val="0"/>
                <w:sz w:val="21"/>
                <w:szCs w:val="21"/>
              </w:rPr>
              <w:t>H</w:t>
            </w:r>
            <w:r>
              <w:rPr>
                <w:rFonts w:cs="宋体"/>
                <w:kern w:val="0"/>
                <w:sz w:val="21"/>
                <w:szCs w:val="21"/>
                <w:vertAlign w:val="subscript"/>
              </w:rPr>
              <w:t>2</w:t>
            </w:r>
            <w:r>
              <w:rPr>
                <w:rFonts w:cs="宋体"/>
                <w:kern w:val="0"/>
                <w:sz w:val="21"/>
                <w:szCs w:val="21"/>
              </w:rPr>
              <w:t>O</w:t>
            </w:r>
          </w:p>
        </w:tc>
        <w:tc>
          <w:tcPr>
            <w:tcW w:w="642" w:type="pct"/>
            <w:vAlign w:val="center"/>
          </w:tcPr>
          <w:p w14:paraId="26A192EB">
            <w:pPr>
              <w:snapToGrid w:val="0"/>
              <w:spacing w:line="240" w:lineRule="auto"/>
              <w:ind w:firstLine="0" w:firstLineChars="0"/>
              <w:jc w:val="center"/>
              <w:rPr>
                <w:rFonts w:cs="宋体"/>
                <w:kern w:val="0"/>
                <w:sz w:val="21"/>
                <w:szCs w:val="21"/>
              </w:rPr>
            </w:pPr>
            <w:r>
              <w:rPr>
                <w:rFonts w:cs="宋体"/>
                <w:kern w:val="0"/>
                <w:sz w:val="21"/>
                <w:szCs w:val="21"/>
              </w:rPr>
              <w:t>连续</w:t>
            </w:r>
          </w:p>
        </w:tc>
        <w:tc>
          <w:tcPr>
            <w:tcW w:w="1295" w:type="pct"/>
            <w:vAlign w:val="center"/>
          </w:tcPr>
          <w:p w14:paraId="6C8385D7">
            <w:pPr>
              <w:snapToGrid w:val="0"/>
              <w:spacing w:line="240" w:lineRule="auto"/>
              <w:ind w:firstLine="0" w:firstLineChars="0"/>
              <w:jc w:val="center"/>
              <w:rPr>
                <w:rFonts w:cs="宋体"/>
                <w:kern w:val="0"/>
                <w:sz w:val="21"/>
                <w:szCs w:val="21"/>
              </w:rPr>
            </w:pPr>
            <w:r>
              <w:rPr>
                <w:rFonts w:hint="eastAsia" w:cs="宋体"/>
                <w:kern w:val="0"/>
                <w:sz w:val="21"/>
                <w:szCs w:val="21"/>
              </w:rPr>
              <w:t>回用于</w:t>
            </w:r>
            <w:r>
              <w:rPr>
                <w:rFonts w:cs="宋体"/>
                <w:kern w:val="0"/>
                <w:sz w:val="21"/>
                <w:szCs w:val="21"/>
              </w:rPr>
              <w:t>循环冷却</w:t>
            </w:r>
            <w:r>
              <w:rPr>
                <w:rFonts w:hint="eastAsia" w:cs="宋体"/>
                <w:kern w:val="0"/>
                <w:sz w:val="21"/>
                <w:szCs w:val="21"/>
              </w:rPr>
              <w:t>补水</w:t>
            </w:r>
          </w:p>
        </w:tc>
      </w:tr>
      <w:tr w14:paraId="375CF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5" w:type="pct"/>
            <w:vMerge w:val="restart"/>
            <w:vAlign w:val="center"/>
          </w:tcPr>
          <w:p w14:paraId="5928AA12">
            <w:pPr>
              <w:snapToGrid w:val="0"/>
              <w:spacing w:line="240" w:lineRule="auto"/>
              <w:ind w:firstLine="0" w:firstLineChars="0"/>
              <w:jc w:val="center"/>
              <w:rPr>
                <w:rFonts w:cs="宋体"/>
                <w:kern w:val="0"/>
                <w:sz w:val="21"/>
                <w:szCs w:val="21"/>
              </w:rPr>
            </w:pPr>
            <w:r>
              <w:rPr>
                <w:rFonts w:cs="宋体"/>
                <w:kern w:val="0"/>
                <w:sz w:val="21"/>
                <w:szCs w:val="21"/>
              </w:rPr>
              <w:t>固体</w:t>
            </w:r>
          </w:p>
          <w:p w14:paraId="20BE0B89">
            <w:pPr>
              <w:snapToGrid w:val="0"/>
              <w:spacing w:line="240" w:lineRule="auto"/>
              <w:ind w:firstLine="0" w:firstLineChars="0"/>
              <w:jc w:val="center"/>
              <w:rPr>
                <w:rFonts w:cs="宋体"/>
                <w:kern w:val="0"/>
                <w:sz w:val="21"/>
                <w:szCs w:val="21"/>
              </w:rPr>
            </w:pPr>
            <w:r>
              <w:rPr>
                <w:rFonts w:cs="宋体"/>
                <w:kern w:val="0"/>
                <w:sz w:val="21"/>
                <w:szCs w:val="21"/>
              </w:rPr>
              <w:t>废物</w:t>
            </w:r>
          </w:p>
        </w:tc>
        <w:tc>
          <w:tcPr>
            <w:tcW w:w="713" w:type="pct"/>
            <w:vAlign w:val="center"/>
          </w:tcPr>
          <w:p w14:paraId="37E3926F">
            <w:pPr>
              <w:snapToGrid w:val="0"/>
              <w:spacing w:line="240" w:lineRule="auto"/>
              <w:ind w:firstLine="0" w:firstLineChars="0"/>
              <w:jc w:val="center"/>
              <w:rPr>
                <w:rFonts w:cs="宋体"/>
                <w:kern w:val="0"/>
                <w:sz w:val="21"/>
                <w:szCs w:val="21"/>
              </w:rPr>
            </w:pPr>
            <w:r>
              <w:rPr>
                <w:rFonts w:hint="eastAsia" w:cs="宋体"/>
                <w:kern w:val="0"/>
                <w:sz w:val="21"/>
                <w:szCs w:val="21"/>
              </w:rPr>
              <w:t>盐水精制</w:t>
            </w:r>
          </w:p>
        </w:tc>
        <w:tc>
          <w:tcPr>
            <w:tcW w:w="1029" w:type="pct"/>
            <w:vAlign w:val="center"/>
          </w:tcPr>
          <w:p w14:paraId="20B8AF11">
            <w:pPr>
              <w:snapToGrid w:val="0"/>
              <w:spacing w:line="240" w:lineRule="auto"/>
              <w:ind w:firstLine="0" w:firstLineChars="0"/>
              <w:jc w:val="center"/>
              <w:rPr>
                <w:rFonts w:cs="宋体"/>
                <w:kern w:val="0"/>
                <w:sz w:val="21"/>
                <w:szCs w:val="21"/>
              </w:rPr>
            </w:pPr>
            <w:r>
              <w:rPr>
                <w:rFonts w:hint="eastAsia" w:cs="宋体"/>
                <w:kern w:val="0"/>
                <w:sz w:val="21"/>
                <w:szCs w:val="21"/>
              </w:rPr>
              <w:t>除杂滤渣</w:t>
            </w:r>
          </w:p>
        </w:tc>
        <w:tc>
          <w:tcPr>
            <w:tcW w:w="995" w:type="pct"/>
            <w:vAlign w:val="center"/>
          </w:tcPr>
          <w:p w14:paraId="49F50A19">
            <w:pPr>
              <w:snapToGrid w:val="0"/>
              <w:spacing w:line="240" w:lineRule="auto"/>
              <w:ind w:firstLine="0" w:firstLineChars="0"/>
              <w:jc w:val="center"/>
              <w:rPr>
                <w:rFonts w:hint="default" w:eastAsia="宋体" w:cs="宋体"/>
                <w:kern w:val="0"/>
                <w:sz w:val="21"/>
                <w:szCs w:val="21"/>
                <w:lang w:val="en-US" w:eastAsia="zh-CN"/>
              </w:rPr>
            </w:pPr>
            <w:r>
              <w:rPr>
                <w:rFonts w:hint="eastAsia" w:cs="宋体"/>
                <w:kern w:val="0"/>
                <w:sz w:val="21"/>
                <w:szCs w:val="21"/>
              </w:rPr>
              <w:t>不溶性沉淀</w:t>
            </w:r>
            <w:r>
              <w:rPr>
                <w:rFonts w:hint="eastAsia" w:cs="宋体"/>
                <w:kern w:val="0"/>
                <w:sz w:val="21"/>
                <w:szCs w:val="21"/>
                <w:lang w:eastAsia="zh-CN"/>
              </w:rPr>
              <w:t>，</w:t>
            </w:r>
            <w:r>
              <w:rPr>
                <w:rFonts w:hint="eastAsia" w:cs="宋体"/>
                <w:kern w:val="0"/>
                <w:sz w:val="21"/>
                <w:szCs w:val="21"/>
                <w:lang w:val="en-US" w:eastAsia="zh-CN"/>
              </w:rPr>
              <w:t>不含重金属</w:t>
            </w:r>
          </w:p>
        </w:tc>
        <w:tc>
          <w:tcPr>
            <w:tcW w:w="642" w:type="pct"/>
            <w:vAlign w:val="center"/>
          </w:tcPr>
          <w:p w14:paraId="17277CB2">
            <w:pPr>
              <w:snapToGrid w:val="0"/>
              <w:spacing w:line="240" w:lineRule="auto"/>
              <w:ind w:firstLine="0" w:firstLineChars="0"/>
              <w:jc w:val="center"/>
              <w:rPr>
                <w:rFonts w:cs="宋体"/>
                <w:kern w:val="0"/>
                <w:sz w:val="21"/>
                <w:szCs w:val="21"/>
              </w:rPr>
            </w:pPr>
            <w:r>
              <w:rPr>
                <w:rFonts w:cs="宋体"/>
                <w:kern w:val="0"/>
                <w:sz w:val="21"/>
                <w:szCs w:val="21"/>
              </w:rPr>
              <w:t>间歇</w:t>
            </w:r>
          </w:p>
        </w:tc>
        <w:tc>
          <w:tcPr>
            <w:tcW w:w="1295" w:type="pct"/>
            <w:vAlign w:val="center"/>
          </w:tcPr>
          <w:p w14:paraId="7CB84B88">
            <w:pPr>
              <w:snapToGrid w:val="0"/>
              <w:spacing w:line="240" w:lineRule="auto"/>
              <w:ind w:firstLine="0" w:firstLineChars="0"/>
              <w:jc w:val="center"/>
              <w:rPr>
                <w:rFonts w:cs="宋体"/>
                <w:kern w:val="0"/>
                <w:sz w:val="21"/>
                <w:szCs w:val="21"/>
              </w:rPr>
            </w:pPr>
            <w:r>
              <w:rPr>
                <w:rFonts w:cs="宋体"/>
                <w:kern w:val="0"/>
                <w:sz w:val="21"/>
                <w:szCs w:val="21"/>
              </w:rPr>
              <w:t>外售</w:t>
            </w:r>
            <w:r>
              <w:rPr>
                <w:rFonts w:hint="eastAsia" w:cs="宋体"/>
                <w:kern w:val="0"/>
                <w:sz w:val="21"/>
                <w:szCs w:val="21"/>
              </w:rPr>
              <w:t>后综合</w:t>
            </w:r>
            <w:r>
              <w:rPr>
                <w:rFonts w:cs="宋体"/>
                <w:kern w:val="0"/>
                <w:sz w:val="21"/>
                <w:szCs w:val="21"/>
              </w:rPr>
              <w:t>利用</w:t>
            </w:r>
          </w:p>
        </w:tc>
      </w:tr>
      <w:tr w14:paraId="499FB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5" w:type="pct"/>
            <w:vMerge w:val="continue"/>
            <w:vAlign w:val="center"/>
          </w:tcPr>
          <w:p w14:paraId="229313D7">
            <w:pPr>
              <w:snapToGrid w:val="0"/>
              <w:spacing w:line="240" w:lineRule="auto"/>
              <w:ind w:firstLine="0" w:firstLineChars="0"/>
              <w:jc w:val="center"/>
              <w:rPr>
                <w:rFonts w:cs="宋体"/>
                <w:kern w:val="0"/>
                <w:sz w:val="21"/>
                <w:szCs w:val="21"/>
              </w:rPr>
            </w:pPr>
          </w:p>
        </w:tc>
        <w:tc>
          <w:tcPr>
            <w:tcW w:w="713" w:type="pct"/>
            <w:vAlign w:val="center"/>
          </w:tcPr>
          <w:p w14:paraId="7D83F57F">
            <w:pPr>
              <w:snapToGrid w:val="0"/>
              <w:spacing w:line="240" w:lineRule="auto"/>
              <w:ind w:firstLine="0" w:firstLineChars="0"/>
              <w:jc w:val="center"/>
              <w:rPr>
                <w:rFonts w:cs="宋体"/>
                <w:kern w:val="0"/>
                <w:sz w:val="21"/>
                <w:szCs w:val="21"/>
              </w:rPr>
            </w:pPr>
            <w:r>
              <w:rPr>
                <w:rFonts w:hint="eastAsia" w:cs="宋体"/>
                <w:kern w:val="0"/>
                <w:sz w:val="21"/>
                <w:szCs w:val="21"/>
              </w:rPr>
              <w:t>电解</w:t>
            </w:r>
          </w:p>
        </w:tc>
        <w:tc>
          <w:tcPr>
            <w:tcW w:w="1029" w:type="pct"/>
            <w:vAlign w:val="center"/>
          </w:tcPr>
          <w:p w14:paraId="1C123B03">
            <w:pPr>
              <w:snapToGrid w:val="0"/>
              <w:spacing w:line="240" w:lineRule="auto"/>
              <w:ind w:firstLine="0" w:firstLineChars="0"/>
              <w:jc w:val="center"/>
              <w:rPr>
                <w:rFonts w:cs="宋体"/>
                <w:kern w:val="0"/>
                <w:sz w:val="21"/>
                <w:szCs w:val="21"/>
              </w:rPr>
            </w:pPr>
            <w:r>
              <w:rPr>
                <w:rFonts w:hint="eastAsia" w:cs="宋体"/>
                <w:kern w:val="0"/>
                <w:sz w:val="21"/>
                <w:szCs w:val="21"/>
                <w:lang w:val="en-US" w:eastAsia="zh-CN"/>
              </w:rPr>
              <w:t>一次</w:t>
            </w:r>
            <w:r>
              <w:rPr>
                <w:rFonts w:hint="eastAsia" w:cs="宋体"/>
                <w:kern w:val="0"/>
                <w:sz w:val="21"/>
                <w:szCs w:val="21"/>
              </w:rPr>
              <w:t>电解槽沉渣</w:t>
            </w:r>
          </w:p>
        </w:tc>
        <w:tc>
          <w:tcPr>
            <w:tcW w:w="995" w:type="pct"/>
            <w:vAlign w:val="center"/>
          </w:tcPr>
          <w:p w14:paraId="48A88221">
            <w:pPr>
              <w:snapToGrid w:val="0"/>
              <w:spacing w:line="240" w:lineRule="auto"/>
              <w:ind w:firstLine="0" w:firstLineChars="0"/>
              <w:jc w:val="center"/>
              <w:rPr>
                <w:rFonts w:hint="default" w:eastAsia="宋体" w:cs="宋体"/>
                <w:kern w:val="0"/>
                <w:sz w:val="21"/>
                <w:szCs w:val="21"/>
                <w:lang w:val="en-US" w:eastAsia="zh-CN"/>
              </w:rPr>
            </w:pPr>
            <w:r>
              <w:rPr>
                <w:rFonts w:hint="eastAsia" w:cs="宋体"/>
                <w:kern w:val="0"/>
                <w:sz w:val="21"/>
                <w:szCs w:val="21"/>
              </w:rPr>
              <w:t>不溶性沉淀</w:t>
            </w:r>
            <w:r>
              <w:rPr>
                <w:rFonts w:hint="eastAsia" w:cs="宋体"/>
                <w:kern w:val="0"/>
                <w:sz w:val="21"/>
                <w:szCs w:val="21"/>
                <w:lang w:eastAsia="zh-CN"/>
              </w:rPr>
              <w:t>，</w:t>
            </w:r>
            <w:r>
              <w:rPr>
                <w:rFonts w:hint="eastAsia" w:cs="宋体"/>
                <w:kern w:val="0"/>
                <w:sz w:val="21"/>
                <w:szCs w:val="21"/>
                <w:lang w:val="en-US" w:eastAsia="zh-CN"/>
              </w:rPr>
              <w:t>含铬渣</w:t>
            </w:r>
          </w:p>
        </w:tc>
        <w:tc>
          <w:tcPr>
            <w:tcW w:w="642" w:type="pct"/>
            <w:vAlign w:val="center"/>
          </w:tcPr>
          <w:p w14:paraId="494C3EA7">
            <w:pPr>
              <w:snapToGrid w:val="0"/>
              <w:spacing w:line="240" w:lineRule="auto"/>
              <w:ind w:firstLine="0" w:firstLineChars="0"/>
              <w:jc w:val="center"/>
              <w:rPr>
                <w:rFonts w:cs="宋体"/>
                <w:kern w:val="0"/>
                <w:sz w:val="21"/>
                <w:szCs w:val="21"/>
              </w:rPr>
            </w:pPr>
            <w:r>
              <w:rPr>
                <w:rFonts w:cs="宋体"/>
                <w:kern w:val="0"/>
                <w:sz w:val="21"/>
                <w:szCs w:val="21"/>
              </w:rPr>
              <w:t>间歇</w:t>
            </w:r>
          </w:p>
        </w:tc>
        <w:tc>
          <w:tcPr>
            <w:tcW w:w="1295" w:type="pct"/>
            <w:vAlign w:val="center"/>
          </w:tcPr>
          <w:p w14:paraId="2036C333">
            <w:pPr>
              <w:snapToGrid w:val="0"/>
              <w:spacing w:line="240" w:lineRule="auto"/>
              <w:ind w:firstLine="0" w:firstLineChars="0"/>
              <w:jc w:val="center"/>
              <w:rPr>
                <w:rFonts w:cs="宋体"/>
                <w:kern w:val="0"/>
                <w:sz w:val="21"/>
                <w:szCs w:val="21"/>
              </w:rPr>
            </w:pPr>
            <w:r>
              <w:rPr>
                <w:rFonts w:hint="eastAsia" w:cs="宋体"/>
                <w:kern w:val="0"/>
                <w:sz w:val="21"/>
                <w:szCs w:val="21"/>
              </w:rPr>
              <w:t>作为危险废物处置</w:t>
            </w:r>
          </w:p>
        </w:tc>
      </w:tr>
    </w:tbl>
    <w:p w14:paraId="57571BE0">
      <w:pPr>
        <w:ind w:firstLine="0" w:firstLineChars="0"/>
        <w:rPr>
          <w:rFonts w:ascii="宋体" w:hAnsi="宋体" w:cs="宋体"/>
        </w:rPr>
      </w:pPr>
    </w:p>
    <w:p w14:paraId="01F9E1E6">
      <w:pPr>
        <w:ind w:firstLine="0" w:firstLineChars="0"/>
        <w:jc w:val="center"/>
        <w:rPr>
          <w:rFonts w:hint="eastAsia" w:eastAsia="宋体"/>
          <w:lang w:eastAsia="zh-CN"/>
        </w:rPr>
      </w:pPr>
      <w:r>
        <w:rPr>
          <w:rFonts w:hint="eastAsia" w:eastAsia="宋体"/>
          <w:lang w:eastAsia="zh-CN"/>
        </w:rPr>
        <w:object>
          <v:shape id="_x0000_i1069" o:spt="75" type="#_x0000_t75" style="height:461.25pt;width:333.75pt;" o:ole="t" filled="f" o:preferrelative="t" stroked="f" coordsize="21600,21600">
            <v:path/>
            <v:fill on="f" focussize="0,0"/>
            <v:stroke on="f"/>
            <v:imagedata r:id="rId105" o:title=""/>
            <o:lock v:ext="edit" aspectratio="f"/>
            <w10:wrap type="none"/>
            <w10:anchorlock/>
          </v:shape>
          <o:OLEObject Type="Embed" ProgID="Visio.Drawing.15" ShapeID="_x0000_i1069" DrawAspect="Content" ObjectID="_1468075769" r:id="rId104">
            <o:LockedField>false</o:LockedField>
          </o:OLEObject>
        </w:object>
      </w:r>
    </w:p>
    <w:p w14:paraId="05BC257F">
      <w:pPr>
        <w:pStyle w:val="42"/>
        <w:numPr>
          <w:ilvl w:val="6"/>
          <w:numId w:val="1"/>
        </w:numPr>
        <w:rPr>
          <w:rFonts w:hint="default"/>
        </w:rPr>
      </w:pPr>
      <w:r>
        <w:t>氯酸钠生产工艺流程及产污环节示意图</w:t>
      </w:r>
    </w:p>
    <w:p w14:paraId="7F9A6E5A">
      <w:pPr>
        <w:ind w:firstLine="0" w:firstLineChars="0"/>
        <w:jc w:val="center"/>
        <w:rPr>
          <w:rFonts w:ascii="宋体" w:hAnsi="宋体" w:cs="宋体"/>
        </w:rPr>
      </w:pPr>
    </w:p>
    <w:p w14:paraId="1E0DCB7E">
      <w:pPr>
        <w:pStyle w:val="4"/>
        <w:numPr>
          <w:ilvl w:val="2"/>
          <w:numId w:val="1"/>
        </w:numPr>
      </w:pPr>
      <w:r>
        <w:rPr>
          <w:rFonts w:hint="eastAsia"/>
        </w:rPr>
        <w:t>高氯酸钠生产工艺流程及产污环节分析</w:t>
      </w:r>
    </w:p>
    <w:p w14:paraId="7802758F">
      <w:pPr>
        <w:pStyle w:val="5"/>
        <w:numPr>
          <w:ilvl w:val="3"/>
          <w:numId w:val="1"/>
        </w:numPr>
      </w:pPr>
      <w:r>
        <w:rPr>
          <w:rFonts w:hint="eastAsia"/>
        </w:rPr>
        <w:t>反应原理</w:t>
      </w:r>
    </w:p>
    <w:p w14:paraId="3235FACD">
      <w:pPr>
        <w:ind w:firstLine="480"/>
      </w:pPr>
      <w:r>
        <w:rPr>
          <w:rFonts w:hint="eastAsia"/>
        </w:rPr>
        <w:t>电解氧化法生产高氯酸钠（NaClO</w:t>
      </w:r>
      <w:r>
        <w:rPr>
          <w:rFonts w:hint="eastAsia"/>
          <w:vertAlign w:val="subscript"/>
        </w:rPr>
        <w:t>4</w:t>
      </w:r>
      <w:r>
        <w:rPr>
          <w:rFonts w:hint="eastAsia"/>
        </w:rPr>
        <w:t>），是在由阴阳两级组成的电解槽中，通过电解氯酸钠水溶液，使其氯酸钠氧化成高氯酸钠。在阳极，主反应为氢氧根离子先放出2个电荷，生产初生态氧和水，由初生态氧，去氧化氯酸根离子，形成高氯酸根，在阴极则是氢离子从阴极获得两个电子形成氢气。</w:t>
      </w:r>
    </w:p>
    <w:p w14:paraId="7FA00FAC">
      <w:pPr>
        <w:ind w:firstLine="480"/>
      </w:pPr>
      <w:r>
        <w:rPr>
          <w:rFonts w:hint="eastAsia"/>
        </w:rPr>
        <w:t>高氯酸钠生产过程主要化学方程式：</w:t>
      </w:r>
    </w:p>
    <w:p w14:paraId="4D03E29C">
      <w:pPr>
        <w:ind w:firstLine="480"/>
        <w:jc w:val="center"/>
        <w:rPr>
          <w:rFonts w:hint="eastAsia"/>
          <w:position w:val="-12"/>
        </w:rPr>
      </w:pPr>
      <w:r>
        <w:rPr>
          <w:rFonts w:hint="eastAsia"/>
          <w:position w:val="-12"/>
        </w:rPr>
        <w:object>
          <v:shape id="_x0000_i1070" o:spt="75" type="#_x0000_t75" style="height:20.2pt;width:189.25pt;" o:ole="t" filled="f" o:preferrelative="t" stroked="f" coordsize="21600,21600">
            <v:path/>
            <v:fill on="f" focussize="0,0"/>
            <v:stroke on="f" joinstyle="miter"/>
            <v:imagedata r:id="rId34" o:title=""/>
            <o:lock v:ext="edit" aspectratio="t"/>
            <w10:wrap type="none"/>
            <w10:anchorlock/>
          </v:shape>
          <o:OLEObject Type="Embed" ProgID="Equation.KSEE3" ShapeID="_x0000_i1070" DrawAspect="Content" ObjectID="_1468075770" r:id="rId106">
            <o:LockedField>false</o:LockedField>
          </o:OLEObject>
        </w:object>
      </w:r>
    </w:p>
    <w:p w14:paraId="2F77E536">
      <w:pPr>
        <w:ind w:firstLine="480"/>
        <w:jc w:val="center"/>
        <w:rPr>
          <w:rFonts w:hint="eastAsia"/>
          <w:position w:val="-12"/>
        </w:rPr>
      </w:pPr>
    </w:p>
    <w:p w14:paraId="0C2D237D">
      <w:pPr>
        <w:pStyle w:val="5"/>
        <w:numPr>
          <w:ilvl w:val="3"/>
          <w:numId w:val="1"/>
        </w:numPr>
      </w:pPr>
      <w:r>
        <w:rPr>
          <w:rFonts w:hint="eastAsia"/>
        </w:rPr>
        <w:t>工艺流程及产污环节分析</w:t>
      </w:r>
    </w:p>
    <w:p w14:paraId="416E8B4F">
      <w:pPr>
        <w:ind w:firstLine="480"/>
      </w:pPr>
      <w:r>
        <w:rPr>
          <w:rFonts w:hint="eastAsia"/>
        </w:rPr>
        <w:t>生产高氯酸盐有氯酸盐加热分解法和电解法两种。前者因不经济，已很少采用。电解氧化法生产高氯酸钠，是在由阴阳两级组成的电解槽中，通电电解氯酸钠水溶液，使其氯酸钠氧化成高氯酸钠。在阳极，主反应为氢氧根离子先放出2个电荷，生产初生态氧和水，由初生态氧，去氧化氯酸根离子，形成高氯酸根，在阴极则是氢离子从阴极获得两个电子形成氢气。</w:t>
      </w:r>
    </w:p>
    <w:p w14:paraId="02185469">
      <w:pPr>
        <w:ind w:firstLine="480"/>
      </w:pPr>
      <w:r>
        <w:rPr>
          <w:rFonts w:hint="eastAsia"/>
        </w:rPr>
        <w:t>湿氯酸钠在盐水处理槽内加水，通入蒸汽于45～50℃下溶解，使其浓度达到700g/L左右（可根据实际需要而定），后加入氯化钡除去铬酸根等杂质，过滤后，将澄清液送入电解槽，在电流强度为2000A～6000A之间，槽电压为5～6V、Ph6～7、电解温度为50±2℃下进行连续电解，生成的高氯酸钠溶液浓度达700g/L时，经蒸发浓缩，冷却至30℃析出结晶，控制在60℃以上进行分离，离心母液返回电解槽，分离出的粗料，经气流干燥，制得高氯酸钠产品。</w:t>
      </w:r>
    </w:p>
    <w:p w14:paraId="05BB5A9F">
      <w:pPr>
        <w:keepNext/>
        <w:numPr>
          <w:ilvl w:val="5"/>
          <w:numId w:val="1"/>
        </w:numPr>
        <w:snapToGrid w:val="0"/>
        <w:spacing w:line="240" w:lineRule="auto"/>
        <w:ind w:firstLine="420" w:firstLineChars="0"/>
        <w:jc w:val="center"/>
        <w:rPr>
          <w:b/>
          <w:bCs/>
          <w:sz w:val="21"/>
          <w:szCs w:val="21"/>
        </w:rPr>
      </w:pPr>
      <w:r>
        <w:rPr>
          <w:rFonts w:hint="eastAsia"/>
          <w:b/>
          <w:bCs/>
          <w:sz w:val="21"/>
          <w:szCs w:val="21"/>
        </w:rPr>
        <w:t>高氯酸钠生产污染物产生环节及去向一览表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1"/>
        <w:gridCol w:w="1216"/>
        <w:gridCol w:w="1558"/>
        <w:gridCol w:w="1558"/>
        <w:gridCol w:w="1011"/>
        <w:gridCol w:w="2625"/>
      </w:tblGrid>
      <w:tr w14:paraId="2D614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jc w:val="center"/>
        </w:trPr>
        <w:tc>
          <w:tcPr>
            <w:tcW w:w="323" w:type="pct"/>
            <w:vAlign w:val="center"/>
          </w:tcPr>
          <w:p w14:paraId="4A65AC2E">
            <w:pPr>
              <w:snapToGrid w:val="0"/>
              <w:spacing w:line="240" w:lineRule="auto"/>
              <w:ind w:firstLine="0" w:firstLineChars="0"/>
              <w:jc w:val="center"/>
              <w:rPr>
                <w:rFonts w:cs="宋体"/>
                <w:b/>
                <w:bCs/>
                <w:kern w:val="0"/>
                <w:sz w:val="21"/>
                <w:szCs w:val="21"/>
              </w:rPr>
            </w:pPr>
            <w:r>
              <w:rPr>
                <w:rFonts w:cs="宋体"/>
                <w:b/>
                <w:bCs/>
                <w:kern w:val="0"/>
                <w:sz w:val="21"/>
                <w:szCs w:val="21"/>
              </w:rPr>
              <w:t>类型</w:t>
            </w:r>
          </w:p>
        </w:tc>
        <w:tc>
          <w:tcPr>
            <w:tcW w:w="713" w:type="pct"/>
            <w:vAlign w:val="center"/>
          </w:tcPr>
          <w:p w14:paraId="46355A34">
            <w:pPr>
              <w:snapToGrid w:val="0"/>
              <w:spacing w:line="240" w:lineRule="auto"/>
              <w:ind w:firstLine="0" w:firstLineChars="0"/>
              <w:jc w:val="center"/>
              <w:rPr>
                <w:rFonts w:cs="宋体"/>
                <w:b/>
                <w:bCs/>
                <w:kern w:val="0"/>
                <w:sz w:val="21"/>
                <w:szCs w:val="21"/>
              </w:rPr>
            </w:pPr>
            <w:r>
              <w:rPr>
                <w:rFonts w:cs="宋体"/>
                <w:b/>
                <w:bCs/>
                <w:kern w:val="0"/>
                <w:sz w:val="21"/>
                <w:szCs w:val="21"/>
              </w:rPr>
              <w:t>产生环节</w:t>
            </w:r>
          </w:p>
        </w:tc>
        <w:tc>
          <w:tcPr>
            <w:tcW w:w="914" w:type="pct"/>
            <w:vAlign w:val="center"/>
          </w:tcPr>
          <w:p w14:paraId="35F34BC9">
            <w:pPr>
              <w:snapToGrid w:val="0"/>
              <w:spacing w:line="240" w:lineRule="auto"/>
              <w:ind w:firstLine="0" w:firstLineChars="0"/>
              <w:jc w:val="center"/>
              <w:rPr>
                <w:rFonts w:cs="宋体"/>
                <w:b/>
                <w:bCs/>
                <w:kern w:val="0"/>
                <w:sz w:val="21"/>
                <w:szCs w:val="21"/>
              </w:rPr>
            </w:pPr>
            <w:r>
              <w:rPr>
                <w:rFonts w:hint="eastAsia" w:cs="宋体"/>
                <w:b/>
                <w:bCs/>
                <w:kern w:val="0"/>
                <w:sz w:val="21"/>
                <w:szCs w:val="21"/>
              </w:rPr>
              <w:t>污染物名称</w:t>
            </w:r>
          </w:p>
        </w:tc>
        <w:tc>
          <w:tcPr>
            <w:tcW w:w="914" w:type="pct"/>
            <w:vAlign w:val="center"/>
          </w:tcPr>
          <w:p w14:paraId="3360C20D">
            <w:pPr>
              <w:snapToGrid w:val="0"/>
              <w:spacing w:line="240" w:lineRule="auto"/>
              <w:ind w:firstLine="0" w:firstLineChars="0"/>
              <w:jc w:val="center"/>
              <w:rPr>
                <w:rFonts w:cs="宋体"/>
                <w:b/>
                <w:bCs/>
                <w:kern w:val="0"/>
                <w:sz w:val="21"/>
                <w:szCs w:val="21"/>
              </w:rPr>
            </w:pPr>
            <w:r>
              <w:rPr>
                <w:rFonts w:cs="宋体"/>
                <w:b/>
                <w:bCs/>
                <w:kern w:val="0"/>
                <w:sz w:val="21"/>
                <w:szCs w:val="21"/>
              </w:rPr>
              <w:t>主要成分</w:t>
            </w:r>
          </w:p>
        </w:tc>
        <w:tc>
          <w:tcPr>
            <w:tcW w:w="593" w:type="pct"/>
            <w:vAlign w:val="center"/>
          </w:tcPr>
          <w:p w14:paraId="14077803">
            <w:pPr>
              <w:snapToGrid w:val="0"/>
              <w:spacing w:line="240" w:lineRule="auto"/>
              <w:ind w:firstLine="0" w:firstLineChars="0"/>
              <w:jc w:val="center"/>
              <w:rPr>
                <w:rFonts w:cs="宋体"/>
                <w:b/>
                <w:bCs/>
                <w:kern w:val="0"/>
                <w:sz w:val="21"/>
                <w:szCs w:val="21"/>
              </w:rPr>
            </w:pPr>
            <w:r>
              <w:rPr>
                <w:rFonts w:cs="宋体"/>
                <w:b/>
                <w:bCs/>
                <w:kern w:val="0"/>
                <w:sz w:val="21"/>
                <w:szCs w:val="21"/>
              </w:rPr>
              <w:t>排放方式</w:t>
            </w:r>
          </w:p>
        </w:tc>
        <w:tc>
          <w:tcPr>
            <w:tcW w:w="1540" w:type="pct"/>
            <w:vAlign w:val="center"/>
          </w:tcPr>
          <w:p w14:paraId="1AB9F07A">
            <w:pPr>
              <w:snapToGrid w:val="0"/>
              <w:spacing w:line="240" w:lineRule="auto"/>
              <w:ind w:firstLine="0" w:firstLineChars="0"/>
              <w:jc w:val="center"/>
              <w:rPr>
                <w:rFonts w:cs="宋体"/>
                <w:b/>
                <w:bCs/>
                <w:kern w:val="0"/>
                <w:sz w:val="21"/>
                <w:szCs w:val="21"/>
              </w:rPr>
            </w:pPr>
            <w:r>
              <w:rPr>
                <w:rFonts w:cs="宋体"/>
                <w:b/>
                <w:bCs/>
                <w:kern w:val="0"/>
                <w:sz w:val="21"/>
                <w:szCs w:val="21"/>
              </w:rPr>
              <w:t>去向</w:t>
            </w:r>
          </w:p>
        </w:tc>
      </w:tr>
      <w:tr w14:paraId="4714B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23" w:type="pct"/>
            <w:vAlign w:val="center"/>
          </w:tcPr>
          <w:p w14:paraId="7FBB807D">
            <w:pPr>
              <w:snapToGrid w:val="0"/>
              <w:spacing w:line="240" w:lineRule="auto"/>
              <w:ind w:firstLine="0" w:firstLineChars="0"/>
              <w:jc w:val="center"/>
              <w:rPr>
                <w:rFonts w:cs="宋体"/>
                <w:kern w:val="0"/>
                <w:sz w:val="21"/>
                <w:szCs w:val="21"/>
              </w:rPr>
            </w:pPr>
            <w:r>
              <w:rPr>
                <w:rFonts w:cs="宋体"/>
                <w:kern w:val="0"/>
                <w:sz w:val="21"/>
                <w:szCs w:val="21"/>
              </w:rPr>
              <w:t>废气</w:t>
            </w:r>
          </w:p>
        </w:tc>
        <w:tc>
          <w:tcPr>
            <w:tcW w:w="713" w:type="pct"/>
            <w:vAlign w:val="center"/>
          </w:tcPr>
          <w:p w14:paraId="34649C32">
            <w:pPr>
              <w:snapToGrid w:val="0"/>
              <w:spacing w:line="240" w:lineRule="auto"/>
              <w:ind w:firstLine="0" w:firstLineChars="0"/>
              <w:jc w:val="center"/>
              <w:rPr>
                <w:rFonts w:cs="宋体"/>
                <w:kern w:val="0"/>
                <w:sz w:val="21"/>
                <w:szCs w:val="21"/>
              </w:rPr>
            </w:pPr>
            <w:r>
              <w:rPr>
                <w:rFonts w:hint="eastAsia" w:cs="宋体"/>
                <w:kern w:val="0"/>
                <w:sz w:val="21"/>
                <w:szCs w:val="21"/>
              </w:rPr>
              <w:t>电解</w:t>
            </w:r>
          </w:p>
        </w:tc>
        <w:tc>
          <w:tcPr>
            <w:tcW w:w="914" w:type="pct"/>
            <w:vAlign w:val="center"/>
          </w:tcPr>
          <w:p w14:paraId="57F0A220">
            <w:pPr>
              <w:snapToGrid w:val="0"/>
              <w:spacing w:line="240" w:lineRule="auto"/>
              <w:ind w:firstLine="0" w:firstLineChars="0"/>
              <w:jc w:val="center"/>
              <w:rPr>
                <w:rFonts w:cs="宋体"/>
                <w:kern w:val="0"/>
                <w:sz w:val="21"/>
                <w:szCs w:val="21"/>
              </w:rPr>
            </w:pPr>
            <w:r>
              <w:rPr>
                <w:rFonts w:hint="eastAsia" w:cs="宋体"/>
                <w:kern w:val="0"/>
                <w:sz w:val="21"/>
                <w:szCs w:val="21"/>
              </w:rPr>
              <w:t>二次</w:t>
            </w:r>
            <w:r>
              <w:rPr>
                <w:rFonts w:cs="宋体"/>
                <w:kern w:val="0"/>
                <w:sz w:val="21"/>
                <w:szCs w:val="21"/>
              </w:rPr>
              <w:t>电解</w:t>
            </w:r>
            <w:r>
              <w:rPr>
                <w:rFonts w:hint="eastAsia" w:cs="宋体"/>
                <w:kern w:val="0"/>
                <w:sz w:val="21"/>
                <w:szCs w:val="21"/>
              </w:rPr>
              <w:t>尾气</w:t>
            </w:r>
          </w:p>
        </w:tc>
        <w:tc>
          <w:tcPr>
            <w:tcW w:w="914" w:type="pct"/>
            <w:vAlign w:val="center"/>
          </w:tcPr>
          <w:p w14:paraId="5343133C">
            <w:pPr>
              <w:snapToGrid w:val="0"/>
              <w:spacing w:line="240" w:lineRule="auto"/>
              <w:ind w:firstLine="0" w:firstLineChars="0"/>
              <w:jc w:val="center"/>
              <w:rPr>
                <w:rFonts w:cs="宋体"/>
                <w:kern w:val="0"/>
                <w:sz w:val="21"/>
                <w:szCs w:val="21"/>
              </w:rPr>
            </w:pPr>
            <w:r>
              <w:rPr>
                <w:rFonts w:cs="宋体"/>
                <w:kern w:val="0"/>
                <w:sz w:val="21"/>
                <w:szCs w:val="21"/>
              </w:rPr>
              <w:t>H</w:t>
            </w:r>
            <w:r>
              <w:rPr>
                <w:rFonts w:cs="宋体"/>
                <w:kern w:val="0"/>
                <w:sz w:val="21"/>
                <w:szCs w:val="21"/>
                <w:vertAlign w:val="subscript"/>
              </w:rPr>
              <w:t>2</w:t>
            </w:r>
            <w:r>
              <w:rPr>
                <w:rFonts w:cs="宋体"/>
                <w:kern w:val="0"/>
                <w:sz w:val="21"/>
                <w:szCs w:val="21"/>
              </w:rPr>
              <w:t>，</w:t>
            </w:r>
            <w:r>
              <w:rPr>
                <w:rFonts w:hint="eastAsia" w:cs="宋体"/>
                <w:kern w:val="0"/>
                <w:sz w:val="21"/>
                <w:szCs w:val="21"/>
              </w:rPr>
              <w:t>O</w:t>
            </w:r>
            <w:r>
              <w:rPr>
                <w:rFonts w:cs="宋体"/>
                <w:kern w:val="0"/>
                <w:sz w:val="21"/>
                <w:szCs w:val="21"/>
                <w:vertAlign w:val="subscript"/>
              </w:rPr>
              <w:t>2</w:t>
            </w:r>
            <w:r>
              <w:rPr>
                <w:rFonts w:cs="宋体"/>
                <w:kern w:val="0"/>
                <w:sz w:val="21"/>
                <w:szCs w:val="21"/>
              </w:rPr>
              <w:t>，Cl</w:t>
            </w:r>
            <w:r>
              <w:rPr>
                <w:rFonts w:cs="宋体"/>
                <w:kern w:val="0"/>
                <w:sz w:val="21"/>
                <w:szCs w:val="21"/>
                <w:vertAlign w:val="subscript"/>
              </w:rPr>
              <w:t>2</w:t>
            </w:r>
            <w:r>
              <w:rPr>
                <w:rFonts w:cs="宋体"/>
                <w:kern w:val="0"/>
                <w:sz w:val="21"/>
                <w:szCs w:val="21"/>
              </w:rPr>
              <w:t>，</w:t>
            </w:r>
            <w:r>
              <w:rPr>
                <w:rFonts w:hint="eastAsia" w:cs="宋体"/>
                <w:kern w:val="0"/>
                <w:sz w:val="21"/>
                <w:szCs w:val="21"/>
              </w:rPr>
              <w:t>HCl</w:t>
            </w:r>
            <w:r>
              <w:rPr>
                <w:rFonts w:hint="eastAsia" w:cs="宋体"/>
                <w:kern w:val="0"/>
                <w:sz w:val="21"/>
                <w:szCs w:val="21"/>
                <w:lang w:eastAsia="zh-CN"/>
              </w:rPr>
              <w:t>，</w:t>
            </w:r>
            <w:r>
              <w:rPr>
                <w:rFonts w:hint="eastAsia" w:cs="宋体"/>
                <w:kern w:val="0"/>
                <w:sz w:val="21"/>
                <w:szCs w:val="21"/>
                <w:lang w:val="en-US" w:eastAsia="zh-CN"/>
              </w:rPr>
              <w:t>水蒸气</w:t>
            </w:r>
            <w:r>
              <w:rPr>
                <w:rFonts w:hint="eastAsia" w:cs="宋体"/>
                <w:kern w:val="0"/>
                <w:sz w:val="21"/>
                <w:szCs w:val="21"/>
              </w:rPr>
              <w:t>等</w:t>
            </w:r>
          </w:p>
        </w:tc>
        <w:tc>
          <w:tcPr>
            <w:tcW w:w="593" w:type="pct"/>
            <w:vAlign w:val="center"/>
          </w:tcPr>
          <w:p w14:paraId="6CF73D14">
            <w:pPr>
              <w:snapToGrid w:val="0"/>
              <w:spacing w:line="240" w:lineRule="auto"/>
              <w:ind w:firstLine="0" w:firstLineChars="0"/>
              <w:jc w:val="center"/>
              <w:rPr>
                <w:rFonts w:cs="宋体"/>
                <w:kern w:val="0"/>
                <w:sz w:val="21"/>
                <w:szCs w:val="21"/>
              </w:rPr>
            </w:pPr>
            <w:r>
              <w:rPr>
                <w:rFonts w:cs="宋体"/>
                <w:kern w:val="0"/>
                <w:sz w:val="21"/>
                <w:szCs w:val="21"/>
              </w:rPr>
              <w:t>连续</w:t>
            </w:r>
          </w:p>
        </w:tc>
        <w:tc>
          <w:tcPr>
            <w:tcW w:w="1540" w:type="pct"/>
            <w:vAlign w:val="center"/>
          </w:tcPr>
          <w:p w14:paraId="0A6B2C02">
            <w:pPr>
              <w:snapToGrid w:val="0"/>
              <w:spacing w:line="240" w:lineRule="auto"/>
              <w:ind w:firstLine="0" w:firstLineChars="0"/>
              <w:jc w:val="center"/>
              <w:rPr>
                <w:rFonts w:cs="宋体"/>
                <w:kern w:val="0"/>
                <w:sz w:val="21"/>
                <w:szCs w:val="21"/>
              </w:rPr>
            </w:pPr>
            <w:r>
              <w:rPr>
                <w:rFonts w:hint="eastAsia" w:cs="宋体"/>
                <w:kern w:val="0"/>
                <w:sz w:val="21"/>
                <w:szCs w:val="21"/>
              </w:rPr>
              <w:t>尾气处理后排空</w:t>
            </w:r>
          </w:p>
        </w:tc>
      </w:tr>
      <w:tr w14:paraId="60A3F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23" w:type="pct"/>
            <w:vAlign w:val="center"/>
          </w:tcPr>
          <w:p w14:paraId="57F75E2D">
            <w:pPr>
              <w:snapToGrid w:val="0"/>
              <w:spacing w:line="240" w:lineRule="auto"/>
              <w:ind w:firstLine="0" w:firstLineChars="0"/>
              <w:jc w:val="center"/>
              <w:rPr>
                <w:rFonts w:cs="宋体"/>
                <w:kern w:val="0"/>
                <w:sz w:val="21"/>
                <w:szCs w:val="21"/>
              </w:rPr>
            </w:pPr>
            <w:r>
              <w:rPr>
                <w:rFonts w:cs="宋体"/>
                <w:kern w:val="0"/>
                <w:sz w:val="21"/>
                <w:szCs w:val="21"/>
              </w:rPr>
              <w:t>废水</w:t>
            </w:r>
          </w:p>
        </w:tc>
        <w:tc>
          <w:tcPr>
            <w:tcW w:w="713" w:type="pct"/>
            <w:vAlign w:val="center"/>
          </w:tcPr>
          <w:p w14:paraId="278F0407">
            <w:pPr>
              <w:snapToGrid w:val="0"/>
              <w:spacing w:line="240" w:lineRule="auto"/>
              <w:ind w:firstLine="0" w:firstLineChars="0"/>
              <w:jc w:val="center"/>
              <w:rPr>
                <w:rFonts w:cs="宋体"/>
                <w:kern w:val="0"/>
                <w:sz w:val="21"/>
                <w:szCs w:val="21"/>
              </w:rPr>
            </w:pPr>
            <w:r>
              <w:rPr>
                <w:rFonts w:hint="eastAsia" w:cs="宋体"/>
                <w:kern w:val="0"/>
                <w:sz w:val="21"/>
                <w:szCs w:val="21"/>
              </w:rPr>
              <w:t>真空结晶</w:t>
            </w:r>
          </w:p>
        </w:tc>
        <w:tc>
          <w:tcPr>
            <w:tcW w:w="914" w:type="pct"/>
            <w:vAlign w:val="center"/>
          </w:tcPr>
          <w:p w14:paraId="0CD49990">
            <w:pPr>
              <w:snapToGrid w:val="0"/>
              <w:spacing w:line="240" w:lineRule="auto"/>
              <w:ind w:firstLine="0" w:firstLineChars="0"/>
              <w:jc w:val="center"/>
              <w:rPr>
                <w:rFonts w:cs="宋体"/>
                <w:kern w:val="0"/>
                <w:sz w:val="21"/>
                <w:szCs w:val="21"/>
              </w:rPr>
            </w:pPr>
            <w:r>
              <w:rPr>
                <w:rFonts w:hint="eastAsia" w:cs="宋体"/>
                <w:kern w:val="0"/>
                <w:sz w:val="21"/>
                <w:szCs w:val="21"/>
              </w:rPr>
              <w:t>真空冷凝水</w:t>
            </w:r>
          </w:p>
        </w:tc>
        <w:tc>
          <w:tcPr>
            <w:tcW w:w="914" w:type="pct"/>
            <w:vAlign w:val="center"/>
          </w:tcPr>
          <w:p w14:paraId="09EDDBA1">
            <w:pPr>
              <w:snapToGrid w:val="0"/>
              <w:spacing w:line="240" w:lineRule="auto"/>
              <w:ind w:firstLine="0" w:firstLineChars="0"/>
              <w:jc w:val="center"/>
              <w:rPr>
                <w:rFonts w:cs="宋体"/>
                <w:kern w:val="0"/>
                <w:sz w:val="21"/>
                <w:szCs w:val="21"/>
              </w:rPr>
            </w:pPr>
            <w:r>
              <w:rPr>
                <w:rFonts w:cs="宋体"/>
                <w:kern w:val="0"/>
                <w:sz w:val="21"/>
                <w:szCs w:val="21"/>
              </w:rPr>
              <w:t>H</w:t>
            </w:r>
            <w:r>
              <w:rPr>
                <w:rFonts w:cs="宋体"/>
                <w:kern w:val="0"/>
                <w:sz w:val="21"/>
                <w:szCs w:val="21"/>
                <w:vertAlign w:val="subscript"/>
              </w:rPr>
              <w:t>2</w:t>
            </w:r>
            <w:r>
              <w:rPr>
                <w:rFonts w:cs="宋体"/>
                <w:kern w:val="0"/>
                <w:sz w:val="21"/>
                <w:szCs w:val="21"/>
              </w:rPr>
              <w:t>O</w:t>
            </w:r>
          </w:p>
        </w:tc>
        <w:tc>
          <w:tcPr>
            <w:tcW w:w="593" w:type="pct"/>
            <w:vAlign w:val="center"/>
          </w:tcPr>
          <w:p w14:paraId="5D1C76C3">
            <w:pPr>
              <w:snapToGrid w:val="0"/>
              <w:spacing w:line="240" w:lineRule="auto"/>
              <w:ind w:firstLine="0" w:firstLineChars="0"/>
              <w:jc w:val="center"/>
              <w:rPr>
                <w:rFonts w:cs="宋体"/>
                <w:kern w:val="0"/>
                <w:sz w:val="21"/>
                <w:szCs w:val="21"/>
              </w:rPr>
            </w:pPr>
            <w:r>
              <w:rPr>
                <w:rFonts w:hint="eastAsia" w:cs="宋体"/>
                <w:kern w:val="0"/>
                <w:sz w:val="21"/>
                <w:szCs w:val="21"/>
              </w:rPr>
              <w:t>连续</w:t>
            </w:r>
          </w:p>
        </w:tc>
        <w:tc>
          <w:tcPr>
            <w:tcW w:w="1540" w:type="pct"/>
            <w:vAlign w:val="center"/>
          </w:tcPr>
          <w:p w14:paraId="088F644B">
            <w:pPr>
              <w:snapToGrid w:val="0"/>
              <w:spacing w:line="240" w:lineRule="auto"/>
              <w:ind w:firstLine="0" w:firstLineChars="0"/>
              <w:jc w:val="center"/>
              <w:rPr>
                <w:rFonts w:cs="宋体"/>
                <w:kern w:val="0"/>
                <w:sz w:val="21"/>
                <w:szCs w:val="21"/>
              </w:rPr>
            </w:pPr>
            <w:r>
              <w:rPr>
                <w:rFonts w:hint="eastAsia" w:cs="宋体"/>
                <w:kern w:val="0"/>
                <w:sz w:val="21"/>
                <w:szCs w:val="21"/>
              </w:rPr>
              <w:t>回用于化盐工序及</w:t>
            </w:r>
            <w:r>
              <w:rPr>
                <w:rFonts w:cs="宋体"/>
                <w:kern w:val="0"/>
                <w:sz w:val="21"/>
                <w:szCs w:val="21"/>
              </w:rPr>
              <w:t>循环冷却</w:t>
            </w:r>
            <w:r>
              <w:rPr>
                <w:rFonts w:hint="eastAsia" w:cs="宋体"/>
                <w:kern w:val="0"/>
                <w:sz w:val="21"/>
                <w:szCs w:val="21"/>
              </w:rPr>
              <w:t>补水</w:t>
            </w:r>
          </w:p>
        </w:tc>
      </w:tr>
      <w:tr w14:paraId="4C1DA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23" w:type="pct"/>
            <w:vMerge w:val="restart"/>
            <w:vAlign w:val="center"/>
          </w:tcPr>
          <w:p w14:paraId="1C2B62CC">
            <w:pPr>
              <w:snapToGrid w:val="0"/>
              <w:spacing w:line="240" w:lineRule="auto"/>
              <w:ind w:firstLine="0" w:firstLineChars="0"/>
              <w:jc w:val="center"/>
              <w:rPr>
                <w:rFonts w:cs="宋体"/>
                <w:kern w:val="0"/>
                <w:sz w:val="21"/>
                <w:szCs w:val="21"/>
              </w:rPr>
            </w:pPr>
            <w:r>
              <w:rPr>
                <w:rFonts w:cs="宋体"/>
                <w:kern w:val="0"/>
                <w:sz w:val="21"/>
                <w:szCs w:val="21"/>
              </w:rPr>
              <w:t>固体</w:t>
            </w:r>
          </w:p>
          <w:p w14:paraId="5B563AFD">
            <w:pPr>
              <w:snapToGrid w:val="0"/>
              <w:spacing w:line="240" w:lineRule="auto"/>
              <w:ind w:firstLine="0" w:firstLineChars="0"/>
              <w:jc w:val="center"/>
              <w:rPr>
                <w:rFonts w:cs="宋体"/>
                <w:kern w:val="0"/>
                <w:sz w:val="21"/>
                <w:szCs w:val="21"/>
              </w:rPr>
            </w:pPr>
            <w:r>
              <w:rPr>
                <w:rFonts w:cs="宋体"/>
                <w:kern w:val="0"/>
                <w:sz w:val="21"/>
                <w:szCs w:val="21"/>
              </w:rPr>
              <w:t>废物</w:t>
            </w:r>
          </w:p>
        </w:tc>
        <w:tc>
          <w:tcPr>
            <w:tcW w:w="713" w:type="pct"/>
            <w:vAlign w:val="center"/>
          </w:tcPr>
          <w:p w14:paraId="62641C56">
            <w:pPr>
              <w:snapToGrid w:val="0"/>
              <w:spacing w:line="240" w:lineRule="auto"/>
              <w:ind w:firstLine="0" w:firstLineChars="0"/>
              <w:jc w:val="center"/>
              <w:rPr>
                <w:rFonts w:cs="宋体"/>
                <w:kern w:val="0"/>
                <w:sz w:val="21"/>
                <w:szCs w:val="21"/>
              </w:rPr>
            </w:pPr>
            <w:r>
              <w:rPr>
                <w:rFonts w:hint="eastAsia" w:cs="宋体"/>
                <w:kern w:val="0"/>
                <w:sz w:val="21"/>
                <w:szCs w:val="21"/>
              </w:rPr>
              <w:t>氯酸钠精制</w:t>
            </w:r>
          </w:p>
        </w:tc>
        <w:tc>
          <w:tcPr>
            <w:tcW w:w="914" w:type="pct"/>
            <w:vAlign w:val="center"/>
          </w:tcPr>
          <w:p w14:paraId="5F6CC27E">
            <w:pPr>
              <w:snapToGrid w:val="0"/>
              <w:spacing w:line="240" w:lineRule="auto"/>
              <w:ind w:firstLine="0" w:firstLineChars="0"/>
              <w:jc w:val="center"/>
              <w:rPr>
                <w:rFonts w:hint="eastAsia" w:eastAsia="宋体" w:cs="宋体"/>
                <w:kern w:val="0"/>
                <w:sz w:val="21"/>
                <w:szCs w:val="21"/>
                <w:lang w:eastAsia="zh-CN"/>
              </w:rPr>
            </w:pPr>
            <w:r>
              <w:rPr>
                <w:rFonts w:hint="eastAsia" w:cs="宋体"/>
                <w:kern w:val="0"/>
                <w:sz w:val="21"/>
                <w:szCs w:val="21"/>
                <w:lang w:eastAsia="zh-CN"/>
              </w:rPr>
              <w:t>除铬滤渣</w:t>
            </w:r>
          </w:p>
        </w:tc>
        <w:tc>
          <w:tcPr>
            <w:tcW w:w="914" w:type="pct"/>
            <w:vAlign w:val="center"/>
          </w:tcPr>
          <w:p w14:paraId="2404098B">
            <w:pPr>
              <w:snapToGrid w:val="0"/>
              <w:spacing w:line="240" w:lineRule="auto"/>
              <w:ind w:firstLine="0" w:firstLineChars="0"/>
              <w:jc w:val="center"/>
              <w:rPr>
                <w:rFonts w:hint="default" w:eastAsia="宋体" w:cs="宋体"/>
                <w:kern w:val="0"/>
                <w:sz w:val="21"/>
                <w:szCs w:val="21"/>
                <w:lang w:val="en-US" w:eastAsia="zh-CN"/>
              </w:rPr>
            </w:pPr>
            <w:r>
              <w:rPr>
                <w:rFonts w:hint="eastAsia" w:cs="宋体"/>
                <w:kern w:val="0"/>
                <w:sz w:val="21"/>
                <w:szCs w:val="21"/>
              </w:rPr>
              <w:t>不溶沉淀</w:t>
            </w:r>
            <w:r>
              <w:rPr>
                <w:rFonts w:hint="eastAsia" w:cs="宋体"/>
                <w:kern w:val="0"/>
                <w:sz w:val="21"/>
                <w:szCs w:val="21"/>
                <w:lang w:eastAsia="zh-CN"/>
              </w:rPr>
              <w:t>，</w:t>
            </w:r>
            <w:r>
              <w:rPr>
                <w:rFonts w:hint="eastAsia" w:cs="宋体"/>
                <w:kern w:val="0"/>
                <w:sz w:val="21"/>
                <w:szCs w:val="21"/>
                <w:lang w:val="en-US" w:eastAsia="zh-CN"/>
              </w:rPr>
              <w:t>含铬渣</w:t>
            </w:r>
          </w:p>
        </w:tc>
        <w:tc>
          <w:tcPr>
            <w:tcW w:w="593" w:type="pct"/>
            <w:vAlign w:val="center"/>
          </w:tcPr>
          <w:p w14:paraId="13D94A3D">
            <w:pPr>
              <w:snapToGrid w:val="0"/>
              <w:spacing w:line="240" w:lineRule="auto"/>
              <w:ind w:firstLine="0" w:firstLineChars="0"/>
              <w:jc w:val="center"/>
              <w:rPr>
                <w:rFonts w:cs="宋体"/>
                <w:kern w:val="0"/>
                <w:sz w:val="21"/>
                <w:szCs w:val="21"/>
              </w:rPr>
            </w:pPr>
            <w:r>
              <w:rPr>
                <w:rFonts w:cs="宋体"/>
                <w:kern w:val="0"/>
                <w:sz w:val="21"/>
                <w:szCs w:val="21"/>
              </w:rPr>
              <w:t>间歇</w:t>
            </w:r>
          </w:p>
        </w:tc>
        <w:tc>
          <w:tcPr>
            <w:tcW w:w="1540" w:type="pct"/>
            <w:vAlign w:val="center"/>
          </w:tcPr>
          <w:p w14:paraId="4F90BB80">
            <w:pPr>
              <w:snapToGrid w:val="0"/>
              <w:spacing w:line="240" w:lineRule="auto"/>
              <w:ind w:firstLine="0" w:firstLineChars="0"/>
              <w:jc w:val="center"/>
              <w:rPr>
                <w:rFonts w:cs="宋体"/>
                <w:kern w:val="0"/>
                <w:sz w:val="21"/>
                <w:szCs w:val="21"/>
              </w:rPr>
            </w:pPr>
            <w:r>
              <w:rPr>
                <w:rFonts w:hint="eastAsia" w:cs="宋体"/>
                <w:kern w:val="0"/>
                <w:sz w:val="21"/>
                <w:szCs w:val="21"/>
              </w:rPr>
              <w:t>作为</w:t>
            </w:r>
            <w:r>
              <w:rPr>
                <w:rFonts w:cs="宋体"/>
                <w:kern w:val="0"/>
                <w:sz w:val="21"/>
                <w:szCs w:val="21"/>
              </w:rPr>
              <w:t>危险废物处置</w:t>
            </w:r>
          </w:p>
        </w:tc>
      </w:tr>
      <w:tr w14:paraId="21FCF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23" w:type="pct"/>
            <w:vMerge w:val="continue"/>
            <w:vAlign w:val="center"/>
          </w:tcPr>
          <w:p w14:paraId="04AD7D5C">
            <w:pPr>
              <w:snapToGrid w:val="0"/>
              <w:spacing w:line="240" w:lineRule="auto"/>
              <w:ind w:firstLine="0" w:firstLineChars="0"/>
              <w:jc w:val="center"/>
              <w:rPr>
                <w:rFonts w:cs="宋体"/>
                <w:kern w:val="0"/>
                <w:sz w:val="21"/>
                <w:szCs w:val="21"/>
              </w:rPr>
            </w:pPr>
          </w:p>
        </w:tc>
        <w:tc>
          <w:tcPr>
            <w:tcW w:w="713" w:type="pct"/>
            <w:vAlign w:val="center"/>
          </w:tcPr>
          <w:p w14:paraId="7A8F756C">
            <w:pPr>
              <w:snapToGrid w:val="0"/>
              <w:spacing w:line="240" w:lineRule="auto"/>
              <w:ind w:firstLine="0" w:firstLineChars="0"/>
              <w:jc w:val="center"/>
              <w:rPr>
                <w:rFonts w:cs="宋体"/>
                <w:kern w:val="0"/>
                <w:sz w:val="21"/>
                <w:szCs w:val="21"/>
              </w:rPr>
            </w:pPr>
            <w:r>
              <w:rPr>
                <w:rFonts w:hint="eastAsia" w:cs="宋体"/>
                <w:kern w:val="0"/>
                <w:sz w:val="21"/>
                <w:szCs w:val="21"/>
                <w:lang w:val="en-US" w:eastAsia="zh-CN"/>
              </w:rPr>
              <w:t>二次</w:t>
            </w:r>
            <w:r>
              <w:rPr>
                <w:rFonts w:hint="eastAsia" w:cs="宋体"/>
                <w:kern w:val="0"/>
                <w:sz w:val="21"/>
                <w:szCs w:val="21"/>
              </w:rPr>
              <w:t>电解</w:t>
            </w:r>
          </w:p>
        </w:tc>
        <w:tc>
          <w:tcPr>
            <w:tcW w:w="914" w:type="pct"/>
            <w:vAlign w:val="center"/>
          </w:tcPr>
          <w:p w14:paraId="4D4CE426">
            <w:pPr>
              <w:snapToGrid w:val="0"/>
              <w:spacing w:line="240" w:lineRule="auto"/>
              <w:ind w:firstLine="0" w:firstLineChars="0"/>
              <w:jc w:val="center"/>
              <w:rPr>
                <w:rFonts w:cs="宋体"/>
                <w:kern w:val="0"/>
                <w:sz w:val="21"/>
                <w:szCs w:val="21"/>
              </w:rPr>
            </w:pPr>
            <w:r>
              <w:rPr>
                <w:rFonts w:hint="eastAsia" w:cs="宋体"/>
                <w:kern w:val="0"/>
                <w:sz w:val="21"/>
                <w:szCs w:val="21"/>
                <w:lang w:val="en-US" w:eastAsia="zh-CN"/>
              </w:rPr>
              <w:t>二次</w:t>
            </w:r>
            <w:r>
              <w:rPr>
                <w:rFonts w:hint="eastAsia" w:cs="宋体"/>
                <w:kern w:val="0"/>
                <w:sz w:val="21"/>
                <w:szCs w:val="21"/>
              </w:rPr>
              <w:t>电解槽沉渣</w:t>
            </w:r>
          </w:p>
        </w:tc>
        <w:tc>
          <w:tcPr>
            <w:tcW w:w="914" w:type="pct"/>
            <w:vAlign w:val="center"/>
          </w:tcPr>
          <w:p w14:paraId="3BBE2DBA">
            <w:pPr>
              <w:snapToGrid w:val="0"/>
              <w:spacing w:line="240" w:lineRule="auto"/>
              <w:ind w:firstLine="0" w:firstLineChars="0"/>
              <w:jc w:val="center"/>
              <w:rPr>
                <w:rFonts w:hint="default" w:eastAsia="宋体" w:cs="宋体"/>
                <w:kern w:val="0"/>
                <w:sz w:val="21"/>
                <w:szCs w:val="21"/>
                <w:lang w:val="en-US" w:eastAsia="zh-CN"/>
              </w:rPr>
            </w:pPr>
            <w:r>
              <w:rPr>
                <w:rFonts w:hint="eastAsia" w:cs="宋体"/>
                <w:kern w:val="0"/>
                <w:sz w:val="21"/>
                <w:szCs w:val="21"/>
              </w:rPr>
              <w:t>不溶沉淀</w:t>
            </w:r>
            <w:r>
              <w:rPr>
                <w:rFonts w:hint="eastAsia" w:cs="宋体"/>
                <w:kern w:val="0"/>
                <w:sz w:val="21"/>
                <w:szCs w:val="21"/>
                <w:lang w:eastAsia="zh-CN"/>
              </w:rPr>
              <w:t>，</w:t>
            </w:r>
            <w:r>
              <w:rPr>
                <w:rFonts w:hint="eastAsia" w:cs="宋体"/>
                <w:kern w:val="0"/>
                <w:sz w:val="21"/>
                <w:szCs w:val="21"/>
                <w:lang w:val="en-US" w:eastAsia="zh-CN"/>
              </w:rPr>
              <w:t>含钡渣</w:t>
            </w:r>
          </w:p>
        </w:tc>
        <w:tc>
          <w:tcPr>
            <w:tcW w:w="593" w:type="pct"/>
            <w:vAlign w:val="center"/>
          </w:tcPr>
          <w:p w14:paraId="58D8A421">
            <w:pPr>
              <w:snapToGrid w:val="0"/>
              <w:spacing w:line="240" w:lineRule="auto"/>
              <w:ind w:firstLine="0" w:firstLineChars="0"/>
              <w:jc w:val="center"/>
              <w:rPr>
                <w:rFonts w:cs="宋体"/>
                <w:kern w:val="0"/>
                <w:sz w:val="21"/>
                <w:szCs w:val="21"/>
              </w:rPr>
            </w:pPr>
            <w:r>
              <w:rPr>
                <w:rFonts w:cs="宋体"/>
                <w:kern w:val="0"/>
                <w:sz w:val="21"/>
                <w:szCs w:val="21"/>
              </w:rPr>
              <w:t>间歇</w:t>
            </w:r>
          </w:p>
        </w:tc>
        <w:tc>
          <w:tcPr>
            <w:tcW w:w="1540" w:type="pct"/>
            <w:vAlign w:val="center"/>
          </w:tcPr>
          <w:p w14:paraId="0B9E53C0">
            <w:pPr>
              <w:snapToGrid w:val="0"/>
              <w:spacing w:line="240" w:lineRule="auto"/>
              <w:ind w:firstLine="0" w:firstLineChars="0"/>
              <w:jc w:val="center"/>
              <w:rPr>
                <w:rFonts w:cs="宋体"/>
                <w:kern w:val="0"/>
                <w:sz w:val="21"/>
                <w:szCs w:val="21"/>
              </w:rPr>
            </w:pPr>
            <w:r>
              <w:rPr>
                <w:rFonts w:hint="eastAsia" w:cs="宋体"/>
                <w:kern w:val="0"/>
                <w:sz w:val="21"/>
                <w:szCs w:val="21"/>
              </w:rPr>
              <w:t>作为</w:t>
            </w:r>
            <w:r>
              <w:rPr>
                <w:rFonts w:cs="宋体"/>
                <w:kern w:val="0"/>
                <w:sz w:val="21"/>
                <w:szCs w:val="21"/>
              </w:rPr>
              <w:t>危险废物处置</w:t>
            </w:r>
          </w:p>
        </w:tc>
      </w:tr>
    </w:tbl>
    <w:p w14:paraId="663AC4F7">
      <w:pPr>
        <w:ind w:firstLine="480"/>
        <w:rPr>
          <w:color w:val="FF0000"/>
        </w:rPr>
      </w:pPr>
    </w:p>
    <w:p w14:paraId="2029BB43">
      <w:pPr>
        <w:ind w:firstLine="0" w:firstLineChars="0"/>
        <w:jc w:val="center"/>
        <w:rPr>
          <w:rFonts w:ascii="宋体" w:hAnsi="宋体" w:cs="宋体"/>
        </w:rPr>
      </w:pPr>
    </w:p>
    <w:p w14:paraId="414936D0">
      <w:pPr>
        <w:ind w:firstLine="0" w:firstLineChars="0"/>
        <w:jc w:val="center"/>
        <w:rPr>
          <w:rFonts w:hint="eastAsia" w:ascii="宋体" w:hAnsi="宋体" w:eastAsia="宋体" w:cs="宋体"/>
          <w:lang w:eastAsia="zh-CN"/>
        </w:rPr>
      </w:pPr>
      <w:r>
        <w:rPr>
          <w:rFonts w:hint="eastAsia" w:ascii="宋体" w:hAnsi="宋体" w:eastAsia="宋体" w:cs="宋体"/>
          <w:lang w:eastAsia="zh-CN"/>
        </w:rPr>
        <w:object>
          <v:shape id="_x0000_i1071" o:spt="75" type="#_x0000_t75" style="height:333pt;width:338.25pt;" o:ole="t" filled="f" o:preferrelative="t" stroked="f" coordsize="21600,21600">
            <v:path/>
            <v:fill on="f" focussize="0,0"/>
            <v:stroke on="f"/>
            <v:imagedata r:id="rId108" o:title=""/>
            <o:lock v:ext="edit" aspectratio="f"/>
            <w10:wrap type="none"/>
            <w10:anchorlock/>
          </v:shape>
          <o:OLEObject Type="Embed" ProgID="Visio.Drawing.15" ShapeID="_x0000_i1071" DrawAspect="Content" ObjectID="_1468075771" r:id="rId107">
            <o:LockedField>false</o:LockedField>
          </o:OLEObject>
        </w:object>
      </w:r>
    </w:p>
    <w:p w14:paraId="44C7015E">
      <w:pPr>
        <w:pStyle w:val="42"/>
        <w:numPr>
          <w:ilvl w:val="6"/>
          <w:numId w:val="1"/>
        </w:numPr>
        <w:rPr>
          <w:rFonts w:hint="default"/>
        </w:rPr>
      </w:pPr>
      <w:r>
        <w:t>高氯酸钠生产工艺流程及产污环节示意图</w:t>
      </w:r>
    </w:p>
    <w:p w14:paraId="467680FA">
      <w:pPr>
        <w:widowControl/>
        <w:tabs>
          <w:tab w:val="left" w:pos="420"/>
        </w:tabs>
        <w:spacing w:line="240" w:lineRule="auto"/>
        <w:ind w:firstLine="0" w:firstLineChars="0"/>
        <w:textAlignment w:val="center"/>
        <w:rPr>
          <w:b/>
          <w:bCs/>
          <w:snapToGrid w:val="0"/>
          <w:kern w:val="0"/>
          <w:sz w:val="21"/>
          <w:szCs w:val="21"/>
        </w:rPr>
      </w:pPr>
    </w:p>
    <w:p w14:paraId="470C7AA5">
      <w:pPr>
        <w:pStyle w:val="4"/>
        <w:numPr>
          <w:ilvl w:val="2"/>
          <w:numId w:val="1"/>
        </w:numPr>
        <w:rPr>
          <w:highlight w:val="none"/>
        </w:rPr>
      </w:pPr>
      <w:r>
        <w:rPr>
          <w:rFonts w:hint="eastAsia"/>
          <w:highlight w:val="none"/>
        </w:rPr>
        <w:t>氯酸</w:t>
      </w:r>
      <w:r>
        <w:rPr>
          <w:rFonts w:hint="eastAsia"/>
          <w:highlight w:val="none"/>
          <w:lang w:val="en-US" w:eastAsia="zh-CN"/>
        </w:rPr>
        <w:t>钾</w:t>
      </w:r>
      <w:r>
        <w:rPr>
          <w:rFonts w:hint="eastAsia"/>
          <w:highlight w:val="none"/>
        </w:rPr>
        <w:t>生产工艺流程及产污环节分析</w:t>
      </w:r>
    </w:p>
    <w:p w14:paraId="38CEFC68">
      <w:pPr>
        <w:rPr>
          <w:rFonts w:hint="eastAsia"/>
          <w:lang w:val="en-US" w:eastAsia="zh-CN"/>
        </w:rPr>
      </w:pPr>
      <w:r>
        <w:rPr>
          <w:rFonts w:hint="eastAsia"/>
          <w:lang w:val="en-US" w:eastAsia="zh-CN"/>
        </w:rPr>
        <w:t>将饱和的食盐水溶液进行电解制得氯酸钠。氯酸钠与一定量的氯化钾进行复分解反应，反应液经冷却至35℃以下时析出结晶，分离出母液，将粗制氯酸钾进行精制，待精制液含氯酸钾280g/L、氯化钠40g/L以下时， 再进行二次冷却至25℃析出结晶，经离心分离、水洗、在65℃下气流干燥、粉碎，制得氯酸钾成品。</w:t>
      </w:r>
    </w:p>
    <w:p w14:paraId="6BBBC13A">
      <w:pPr>
        <w:jc w:val="center"/>
        <w:rPr>
          <w:rFonts w:hint="eastAsia"/>
          <w:position w:val="-12"/>
        </w:rPr>
      </w:pPr>
      <w:r>
        <w:rPr>
          <w:rFonts w:hint="eastAsia"/>
          <w:position w:val="-12"/>
        </w:rPr>
        <w:object>
          <v:shape id="_x0000_i1072" o:spt="75" type="#_x0000_t75" style="height:19.2pt;width:173.35pt;" o:ole="t" filled="f" o:preferrelative="t" stroked="f" coordsize="21600,21600">
            <v:path/>
            <v:fill on="f" focussize="0,0"/>
            <v:stroke on="f"/>
            <v:imagedata r:id="rId42" o:title=""/>
            <o:lock v:ext="edit" aspectratio="t"/>
            <w10:wrap type="none"/>
            <w10:anchorlock/>
          </v:shape>
          <o:OLEObject Type="Embed" ProgID="Equation.KSEE3" ShapeID="_x0000_i1072" DrawAspect="Content" ObjectID="_1468075772" r:id="rId109">
            <o:LockedField>false</o:LockedField>
          </o:OLEObject>
        </w:object>
      </w:r>
    </w:p>
    <w:p w14:paraId="0B690EA5">
      <w:pPr>
        <w:keepNext/>
        <w:numPr>
          <w:ilvl w:val="5"/>
          <w:numId w:val="1"/>
        </w:numPr>
        <w:snapToGrid w:val="0"/>
        <w:spacing w:line="240" w:lineRule="auto"/>
        <w:ind w:firstLine="420" w:firstLineChars="0"/>
        <w:jc w:val="center"/>
        <w:rPr>
          <w:b/>
          <w:bCs/>
          <w:sz w:val="21"/>
          <w:szCs w:val="21"/>
        </w:rPr>
      </w:pPr>
      <w:r>
        <w:rPr>
          <w:rFonts w:hint="eastAsia"/>
          <w:b/>
          <w:bCs/>
          <w:sz w:val="21"/>
          <w:szCs w:val="21"/>
        </w:rPr>
        <w:t>氯酸钾生产装置污染物产生环节及去向一览表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1"/>
        <w:gridCol w:w="1359"/>
        <w:gridCol w:w="1415"/>
        <w:gridCol w:w="1558"/>
        <w:gridCol w:w="1011"/>
        <w:gridCol w:w="2625"/>
      </w:tblGrid>
      <w:tr w14:paraId="29A0C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23" w:type="pct"/>
            <w:vAlign w:val="center"/>
          </w:tcPr>
          <w:p w14:paraId="68BACE24">
            <w:pPr>
              <w:snapToGrid w:val="0"/>
              <w:spacing w:line="240" w:lineRule="auto"/>
              <w:ind w:firstLine="0" w:firstLineChars="0"/>
              <w:jc w:val="center"/>
              <w:rPr>
                <w:rFonts w:cs="宋体"/>
                <w:b/>
                <w:bCs/>
                <w:kern w:val="0"/>
                <w:sz w:val="21"/>
                <w:szCs w:val="21"/>
              </w:rPr>
            </w:pPr>
            <w:r>
              <w:rPr>
                <w:rFonts w:cs="宋体"/>
                <w:b/>
                <w:bCs/>
                <w:kern w:val="0"/>
                <w:sz w:val="21"/>
                <w:szCs w:val="21"/>
              </w:rPr>
              <w:t>类型</w:t>
            </w:r>
          </w:p>
        </w:tc>
        <w:tc>
          <w:tcPr>
            <w:tcW w:w="797" w:type="pct"/>
            <w:vAlign w:val="center"/>
          </w:tcPr>
          <w:p w14:paraId="3F5B6EE4">
            <w:pPr>
              <w:snapToGrid w:val="0"/>
              <w:spacing w:line="240" w:lineRule="auto"/>
              <w:ind w:firstLine="0" w:firstLineChars="0"/>
              <w:jc w:val="center"/>
              <w:rPr>
                <w:rFonts w:cs="宋体"/>
                <w:b/>
                <w:bCs/>
                <w:kern w:val="0"/>
                <w:sz w:val="21"/>
                <w:szCs w:val="21"/>
              </w:rPr>
            </w:pPr>
            <w:r>
              <w:rPr>
                <w:rFonts w:cs="宋体"/>
                <w:b/>
                <w:bCs/>
                <w:kern w:val="0"/>
                <w:sz w:val="21"/>
                <w:szCs w:val="21"/>
              </w:rPr>
              <w:t>产生环节</w:t>
            </w:r>
          </w:p>
        </w:tc>
        <w:tc>
          <w:tcPr>
            <w:tcW w:w="830" w:type="pct"/>
            <w:vAlign w:val="center"/>
          </w:tcPr>
          <w:p w14:paraId="6D12F524">
            <w:pPr>
              <w:snapToGrid w:val="0"/>
              <w:spacing w:line="240" w:lineRule="auto"/>
              <w:ind w:firstLine="0" w:firstLineChars="0"/>
              <w:jc w:val="center"/>
              <w:rPr>
                <w:rFonts w:cs="宋体"/>
                <w:b/>
                <w:bCs/>
                <w:kern w:val="0"/>
                <w:sz w:val="21"/>
                <w:szCs w:val="21"/>
              </w:rPr>
            </w:pPr>
            <w:r>
              <w:rPr>
                <w:rFonts w:hint="eastAsia" w:cs="宋体"/>
                <w:b/>
                <w:bCs/>
                <w:kern w:val="0"/>
                <w:sz w:val="21"/>
                <w:szCs w:val="21"/>
              </w:rPr>
              <w:t>污染物名称</w:t>
            </w:r>
          </w:p>
        </w:tc>
        <w:tc>
          <w:tcPr>
            <w:tcW w:w="914" w:type="pct"/>
            <w:vAlign w:val="center"/>
          </w:tcPr>
          <w:p w14:paraId="28CB042C">
            <w:pPr>
              <w:snapToGrid w:val="0"/>
              <w:spacing w:line="240" w:lineRule="auto"/>
              <w:ind w:firstLine="0" w:firstLineChars="0"/>
              <w:jc w:val="center"/>
              <w:rPr>
                <w:rFonts w:cs="宋体"/>
                <w:b/>
                <w:bCs/>
                <w:kern w:val="0"/>
                <w:sz w:val="21"/>
                <w:szCs w:val="21"/>
              </w:rPr>
            </w:pPr>
            <w:r>
              <w:rPr>
                <w:rFonts w:cs="宋体"/>
                <w:b/>
                <w:bCs/>
                <w:kern w:val="0"/>
                <w:sz w:val="21"/>
                <w:szCs w:val="21"/>
              </w:rPr>
              <w:t>主要成分</w:t>
            </w:r>
          </w:p>
        </w:tc>
        <w:tc>
          <w:tcPr>
            <w:tcW w:w="593" w:type="pct"/>
            <w:vAlign w:val="center"/>
          </w:tcPr>
          <w:p w14:paraId="20153E94">
            <w:pPr>
              <w:snapToGrid w:val="0"/>
              <w:spacing w:line="240" w:lineRule="auto"/>
              <w:ind w:firstLine="0" w:firstLineChars="0"/>
              <w:jc w:val="center"/>
              <w:rPr>
                <w:rFonts w:cs="宋体"/>
                <w:b/>
                <w:bCs/>
                <w:kern w:val="0"/>
                <w:sz w:val="21"/>
                <w:szCs w:val="21"/>
              </w:rPr>
            </w:pPr>
            <w:r>
              <w:rPr>
                <w:rFonts w:cs="宋体"/>
                <w:b/>
                <w:bCs/>
                <w:kern w:val="0"/>
                <w:sz w:val="21"/>
                <w:szCs w:val="21"/>
              </w:rPr>
              <w:t>排放方式</w:t>
            </w:r>
          </w:p>
        </w:tc>
        <w:tc>
          <w:tcPr>
            <w:tcW w:w="1540" w:type="pct"/>
            <w:vAlign w:val="center"/>
          </w:tcPr>
          <w:p w14:paraId="7A4767BC">
            <w:pPr>
              <w:snapToGrid w:val="0"/>
              <w:spacing w:line="240" w:lineRule="auto"/>
              <w:ind w:firstLine="0" w:firstLineChars="0"/>
              <w:jc w:val="center"/>
              <w:rPr>
                <w:rFonts w:cs="宋体"/>
                <w:b/>
                <w:bCs/>
                <w:kern w:val="0"/>
                <w:sz w:val="21"/>
                <w:szCs w:val="21"/>
              </w:rPr>
            </w:pPr>
            <w:r>
              <w:rPr>
                <w:rFonts w:cs="宋体"/>
                <w:b/>
                <w:bCs/>
                <w:kern w:val="0"/>
                <w:sz w:val="21"/>
                <w:szCs w:val="21"/>
              </w:rPr>
              <w:t>去向</w:t>
            </w:r>
          </w:p>
        </w:tc>
      </w:tr>
      <w:tr w14:paraId="4F82E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vAlign w:val="center"/>
          </w:tcPr>
          <w:p w14:paraId="6F27B944">
            <w:pPr>
              <w:snapToGrid w:val="0"/>
              <w:spacing w:line="240" w:lineRule="auto"/>
              <w:ind w:firstLine="0" w:firstLineChars="0"/>
              <w:jc w:val="center"/>
              <w:rPr>
                <w:rFonts w:cs="宋体"/>
                <w:kern w:val="0"/>
                <w:sz w:val="21"/>
                <w:szCs w:val="21"/>
              </w:rPr>
            </w:pPr>
            <w:r>
              <w:rPr>
                <w:rFonts w:cs="宋体"/>
                <w:kern w:val="0"/>
                <w:sz w:val="21"/>
                <w:szCs w:val="21"/>
              </w:rPr>
              <w:t>废气</w:t>
            </w:r>
          </w:p>
        </w:tc>
        <w:tc>
          <w:tcPr>
            <w:tcW w:w="797" w:type="pct"/>
            <w:vAlign w:val="center"/>
          </w:tcPr>
          <w:p w14:paraId="6FE87A39">
            <w:pPr>
              <w:snapToGrid w:val="0"/>
              <w:spacing w:line="240" w:lineRule="auto"/>
              <w:ind w:firstLine="0" w:firstLineChars="0"/>
              <w:jc w:val="center"/>
              <w:rPr>
                <w:rFonts w:cs="宋体"/>
                <w:kern w:val="0"/>
                <w:sz w:val="21"/>
                <w:szCs w:val="21"/>
              </w:rPr>
            </w:pPr>
            <w:r>
              <w:rPr>
                <w:rFonts w:hint="eastAsia" w:cs="宋体"/>
                <w:kern w:val="0"/>
                <w:sz w:val="21"/>
                <w:szCs w:val="21"/>
              </w:rPr>
              <w:t>干燥</w:t>
            </w:r>
          </w:p>
        </w:tc>
        <w:tc>
          <w:tcPr>
            <w:tcW w:w="830" w:type="pct"/>
            <w:vAlign w:val="center"/>
          </w:tcPr>
          <w:p w14:paraId="31C040C7">
            <w:pPr>
              <w:snapToGrid w:val="0"/>
              <w:spacing w:line="240" w:lineRule="auto"/>
              <w:ind w:firstLine="0" w:firstLineChars="0"/>
              <w:jc w:val="center"/>
              <w:rPr>
                <w:rFonts w:cs="宋体"/>
                <w:kern w:val="0"/>
                <w:sz w:val="21"/>
                <w:szCs w:val="21"/>
              </w:rPr>
            </w:pPr>
            <w:r>
              <w:rPr>
                <w:rFonts w:hint="eastAsia" w:cs="宋体"/>
                <w:kern w:val="0"/>
                <w:sz w:val="21"/>
                <w:szCs w:val="21"/>
              </w:rPr>
              <w:t>高钾</w:t>
            </w:r>
            <w:r>
              <w:rPr>
                <w:rFonts w:cs="宋体"/>
                <w:kern w:val="0"/>
                <w:sz w:val="21"/>
                <w:szCs w:val="21"/>
              </w:rPr>
              <w:t>干燥</w:t>
            </w:r>
            <w:r>
              <w:rPr>
                <w:rFonts w:hint="eastAsia" w:cs="宋体"/>
                <w:kern w:val="0"/>
                <w:sz w:val="21"/>
                <w:szCs w:val="21"/>
              </w:rPr>
              <w:t>废气</w:t>
            </w:r>
          </w:p>
        </w:tc>
        <w:tc>
          <w:tcPr>
            <w:tcW w:w="914" w:type="pct"/>
            <w:vAlign w:val="center"/>
          </w:tcPr>
          <w:p w14:paraId="289D18C7">
            <w:pPr>
              <w:snapToGrid w:val="0"/>
              <w:spacing w:line="240" w:lineRule="auto"/>
              <w:ind w:firstLine="0" w:firstLineChars="0"/>
              <w:jc w:val="center"/>
              <w:rPr>
                <w:rFonts w:cs="宋体"/>
                <w:kern w:val="0"/>
                <w:sz w:val="21"/>
                <w:szCs w:val="21"/>
              </w:rPr>
            </w:pPr>
            <w:r>
              <w:rPr>
                <w:rFonts w:hint="eastAsia" w:cs="宋体"/>
                <w:kern w:val="0"/>
                <w:sz w:val="21"/>
                <w:szCs w:val="21"/>
              </w:rPr>
              <w:t>K</w:t>
            </w:r>
            <w:r>
              <w:rPr>
                <w:rFonts w:cs="宋体"/>
                <w:kern w:val="0"/>
                <w:sz w:val="21"/>
                <w:szCs w:val="21"/>
              </w:rPr>
              <w:t>ClO</w:t>
            </w:r>
            <w:r>
              <w:rPr>
                <w:rFonts w:hint="eastAsia" w:cs="宋体"/>
                <w:kern w:val="0"/>
                <w:sz w:val="21"/>
                <w:szCs w:val="21"/>
                <w:vertAlign w:val="subscript"/>
                <w:lang w:val="en-US" w:eastAsia="zh-CN"/>
              </w:rPr>
              <w:t>3</w:t>
            </w:r>
            <w:r>
              <w:rPr>
                <w:rFonts w:cs="宋体"/>
                <w:kern w:val="0"/>
                <w:sz w:val="21"/>
                <w:szCs w:val="21"/>
              </w:rPr>
              <w:t>，H</w:t>
            </w:r>
            <w:r>
              <w:rPr>
                <w:rFonts w:cs="宋体"/>
                <w:kern w:val="0"/>
                <w:sz w:val="21"/>
                <w:szCs w:val="21"/>
                <w:vertAlign w:val="subscript"/>
              </w:rPr>
              <w:t>2</w:t>
            </w:r>
            <w:r>
              <w:rPr>
                <w:rFonts w:cs="宋体"/>
                <w:kern w:val="0"/>
                <w:sz w:val="21"/>
                <w:szCs w:val="21"/>
              </w:rPr>
              <w:t>O</w:t>
            </w:r>
          </w:p>
        </w:tc>
        <w:tc>
          <w:tcPr>
            <w:tcW w:w="593" w:type="pct"/>
            <w:vAlign w:val="center"/>
          </w:tcPr>
          <w:p w14:paraId="27594EE9">
            <w:pPr>
              <w:snapToGrid w:val="0"/>
              <w:spacing w:line="240" w:lineRule="auto"/>
              <w:ind w:firstLine="0" w:firstLineChars="0"/>
              <w:jc w:val="center"/>
              <w:rPr>
                <w:rFonts w:cs="宋体"/>
                <w:kern w:val="0"/>
                <w:sz w:val="21"/>
                <w:szCs w:val="21"/>
              </w:rPr>
            </w:pPr>
            <w:r>
              <w:rPr>
                <w:rFonts w:cs="宋体"/>
                <w:kern w:val="0"/>
                <w:sz w:val="21"/>
                <w:szCs w:val="21"/>
              </w:rPr>
              <w:t>连续</w:t>
            </w:r>
          </w:p>
        </w:tc>
        <w:tc>
          <w:tcPr>
            <w:tcW w:w="1540" w:type="pct"/>
            <w:vAlign w:val="center"/>
          </w:tcPr>
          <w:p w14:paraId="58679C8C">
            <w:pPr>
              <w:snapToGrid w:val="0"/>
              <w:spacing w:line="240" w:lineRule="auto"/>
              <w:ind w:firstLine="0" w:firstLineChars="0"/>
              <w:jc w:val="center"/>
              <w:rPr>
                <w:rFonts w:cs="宋体"/>
                <w:kern w:val="0"/>
                <w:sz w:val="21"/>
                <w:szCs w:val="21"/>
              </w:rPr>
            </w:pPr>
            <w:r>
              <w:rPr>
                <w:rFonts w:hint="eastAsia" w:cs="宋体"/>
                <w:kern w:val="0"/>
                <w:sz w:val="21"/>
                <w:szCs w:val="21"/>
              </w:rPr>
              <w:t>处理后排空</w:t>
            </w:r>
          </w:p>
        </w:tc>
      </w:tr>
      <w:tr w14:paraId="1A253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vAlign w:val="center"/>
          </w:tcPr>
          <w:p w14:paraId="11F7935F">
            <w:pPr>
              <w:snapToGrid w:val="0"/>
              <w:spacing w:line="240" w:lineRule="auto"/>
              <w:ind w:firstLine="0" w:firstLineChars="0"/>
              <w:jc w:val="center"/>
              <w:rPr>
                <w:rFonts w:cs="宋体"/>
                <w:kern w:val="0"/>
                <w:sz w:val="21"/>
                <w:szCs w:val="21"/>
              </w:rPr>
            </w:pPr>
            <w:r>
              <w:rPr>
                <w:rFonts w:cs="宋体"/>
                <w:kern w:val="0"/>
                <w:sz w:val="21"/>
                <w:szCs w:val="21"/>
              </w:rPr>
              <w:t>废水</w:t>
            </w:r>
          </w:p>
        </w:tc>
        <w:tc>
          <w:tcPr>
            <w:tcW w:w="797" w:type="pct"/>
            <w:vAlign w:val="center"/>
          </w:tcPr>
          <w:p w14:paraId="417D5F5B">
            <w:pPr>
              <w:snapToGrid w:val="0"/>
              <w:spacing w:line="240" w:lineRule="auto"/>
              <w:ind w:firstLine="0" w:firstLineChars="0"/>
              <w:jc w:val="center"/>
              <w:rPr>
                <w:rFonts w:cs="宋体"/>
                <w:kern w:val="0"/>
                <w:sz w:val="21"/>
                <w:szCs w:val="21"/>
              </w:rPr>
            </w:pPr>
            <w:r>
              <w:rPr>
                <w:rFonts w:hint="eastAsia" w:cs="宋体"/>
                <w:kern w:val="0"/>
                <w:sz w:val="21"/>
                <w:szCs w:val="21"/>
              </w:rPr>
              <w:t>蒸发浓缩</w:t>
            </w:r>
          </w:p>
        </w:tc>
        <w:tc>
          <w:tcPr>
            <w:tcW w:w="830" w:type="pct"/>
            <w:vAlign w:val="center"/>
          </w:tcPr>
          <w:p w14:paraId="6C92FAE9">
            <w:pPr>
              <w:snapToGrid w:val="0"/>
              <w:spacing w:line="240" w:lineRule="auto"/>
              <w:ind w:firstLine="0" w:firstLineChars="0"/>
              <w:jc w:val="center"/>
              <w:rPr>
                <w:rFonts w:cs="宋体"/>
                <w:kern w:val="0"/>
                <w:sz w:val="21"/>
                <w:szCs w:val="21"/>
              </w:rPr>
            </w:pPr>
            <w:r>
              <w:rPr>
                <w:rFonts w:hint="eastAsia" w:cs="宋体"/>
                <w:kern w:val="0"/>
                <w:sz w:val="21"/>
                <w:szCs w:val="21"/>
              </w:rPr>
              <w:t>真空冷凝水</w:t>
            </w:r>
          </w:p>
        </w:tc>
        <w:tc>
          <w:tcPr>
            <w:tcW w:w="914" w:type="pct"/>
            <w:vAlign w:val="center"/>
          </w:tcPr>
          <w:p w14:paraId="5D90F502">
            <w:pPr>
              <w:snapToGrid w:val="0"/>
              <w:spacing w:line="240" w:lineRule="auto"/>
              <w:ind w:firstLine="0" w:firstLineChars="0"/>
              <w:jc w:val="center"/>
              <w:rPr>
                <w:rFonts w:cs="宋体"/>
                <w:kern w:val="0"/>
                <w:sz w:val="21"/>
                <w:szCs w:val="21"/>
              </w:rPr>
            </w:pPr>
            <w:r>
              <w:rPr>
                <w:rFonts w:cs="宋体"/>
                <w:kern w:val="0"/>
                <w:sz w:val="21"/>
                <w:szCs w:val="21"/>
              </w:rPr>
              <w:t>H</w:t>
            </w:r>
            <w:r>
              <w:rPr>
                <w:rFonts w:cs="宋体"/>
                <w:kern w:val="0"/>
                <w:sz w:val="21"/>
                <w:szCs w:val="21"/>
                <w:vertAlign w:val="subscript"/>
              </w:rPr>
              <w:t>2</w:t>
            </w:r>
            <w:r>
              <w:rPr>
                <w:rFonts w:cs="宋体"/>
                <w:kern w:val="0"/>
                <w:sz w:val="21"/>
                <w:szCs w:val="21"/>
              </w:rPr>
              <w:t>O</w:t>
            </w:r>
          </w:p>
        </w:tc>
        <w:tc>
          <w:tcPr>
            <w:tcW w:w="593" w:type="pct"/>
            <w:vAlign w:val="center"/>
          </w:tcPr>
          <w:p w14:paraId="31EECE16">
            <w:pPr>
              <w:snapToGrid w:val="0"/>
              <w:spacing w:line="240" w:lineRule="auto"/>
              <w:ind w:firstLine="0" w:firstLineChars="0"/>
              <w:jc w:val="center"/>
              <w:rPr>
                <w:rFonts w:cs="宋体"/>
                <w:kern w:val="0"/>
                <w:sz w:val="21"/>
                <w:szCs w:val="21"/>
              </w:rPr>
            </w:pPr>
            <w:r>
              <w:rPr>
                <w:rFonts w:hint="eastAsia" w:cs="宋体"/>
                <w:kern w:val="0"/>
                <w:sz w:val="21"/>
                <w:szCs w:val="21"/>
              </w:rPr>
              <w:t>连续</w:t>
            </w:r>
          </w:p>
        </w:tc>
        <w:tc>
          <w:tcPr>
            <w:tcW w:w="1540" w:type="pct"/>
            <w:vAlign w:val="center"/>
          </w:tcPr>
          <w:p w14:paraId="1E978775">
            <w:pPr>
              <w:snapToGrid w:val="0"/>
              <w:spacing w:line="240" w:lineRule="auto"/>
              <w:ind w:firstLine="0" w:firstLineChars="0"/>
              <w:jc w:val="center"/>
              <w:rPr>
                <w:rFonts w:cs="宋体"/>
                <w:kern w:val="0"/>
                <w:sz w:val="21"/>
                <w:szCs w:val="21"/>
              </w:rPr>
            </w:pPr>
            <w:r>
              <w:rPr>
                <w:rFonts w:hint="eastAsia" w:cs="宋体"/>
                <w:kern w:val="0"/>
                <w:sz w:val="21"/>
                <w:szCs w:val="21"/>
              </w:rPr>
              <w:t>回用于化盐工序</w:t>
            </w:r>
          </w:p>
        </w:tc>
      </w:tr>
      <w:tr w14:paraId="7598B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vMerge w:val="restart"/>
            <w:vAlign w:val="center"/>
          </w:tcPr>
          <w:p w14:paraId="12440E53">
            <w:pPr>
              <w:snapToGrid w:val="0"/>
              <w:spacing w:line="240" w:lineRule="auto"/>
              <w:ind w:firstLine="0" w:firstLineChars="0"/>
              <w:jc w:val="center"/>
              <w:rPr>
                <w:rFonts w:cs="宋体"/>
                <w:kern w:val="0"/>
                <w:sz w:val="21"/>
                <w:szCs w:val="21"/>
              </w:rPr>
            </w:pPr>
            <w:r>
              <w:rPr>
                <w:rFonts w:cs="宋体"/>
                <w:kern w:val="0"/>
                <w:sz w:val="21"/>
                <w:szCs w:val="21"/>
              </w:rPr>
              <w:t>固体</w:t>
            </w:r>
          </w:p>
          <w:p w14:paraId="58717E65">
            <w:pPr>
              <w:snapToGrid w:val="0"/>
              <w:spacing w:line="240" w:lineRule="auto"/>
              <w:ind w:firstLine="0" w:firstLineChars="0"/>
              <w:jc w:val="center"/>
              <w:rPr>
                <w:rFonts w:cs="宋体"/>
                <w:kern w:val="0"/>
                <w:sz w:val="21"/>
                <w:szCs w:val="21"/>
              </w:rPr>
            </w:pPr>
            <w:r>
              <w:rPr>
                <w:rFonts w:cs="宋体"/>
                <w:kern w:val="0"/>
                <w:sz w:val="21"/>
                <w:szCs w:val="21"/>
              </w:rPr>
              <w:t>废物</w:t>
            </w:r>
          </w:p>
        </w:tc>
        <w:tc>
          <w:tcPr>
            <w:tcW w:w="797" w:type="pct"/>
            <w:vAlign w:val="center"/>
          </w:tcPr>
          <w:p w14:paraId="6865D62F">
            <w:pPr>
              <w:snapToGrid w:val="0"/>
              <w:spacing w:line="240" w:lineRule="auto"/>
              <w:ind w:firstLine="0" w:firstLineChars="0"/>
              <w:jc w:val="center"/>
              <w:rPr>
                <w:rFonts w:cs="宋体"/>
                <w:kern w:val="0"/>
                <w:sz w:val="21"/>
                <w:szCs w:val="21"/>
              </w:rPr>
            </w:pPr>
            <w:r>
              <w:rPr>
                <w:rFonts w:hint="eastAsia" w:cs="宋体"/>
                <w:kern w:val="0"/>
                <w:sz w:val="21"/>
                <w:szCs w:val="21"/>
              </w:rPr>
              <w:t>氯酸钠精制</w:t>
            </w:r>
          </w:p>
        </w:tc>
        <w:tc>
          <w:tcPr>
            <w:tcW w:w="830" w:type="pct"/>
            <w:vAlign w:val="center"/>
          </w:tcPr>
          <w:p w14:paraId="7194B941">
            <w:pPr>
              <w:snapToGrid w:val="0"/>
              <w:spacing w:line="240" w:lineRule="auto"/>
              <w:ind w:firstLine="0" w:firstLineChars="0"/>
              <w:jc w:val="center"/>
              <w:rPr>
                <w:rFonts w:hint="eastAsia" w:eastAsia="宋体" w:cs="宋体"/>
                <w:kern w:val="0"/>
                <w:sz w:val="21"/>
                <w:szCs w:val="21"/>
                <w:lang w:eastAsia="zh-CN"/>
              </w:rPr>
            </w:pPr>
            <w:r>
              <w:rPr>
                <w:rFonts w:hint="eastAsia" w:cs="宋体"/>
                <w:kern w:val="0"/>
                <w:sz w:val="21"/>
                <w:szCs w:val="21"/>
                <w:lang w:eastAsia="zh-CN"/>
              </w:rPr>
              <w:t>除铬滤渣</w:t>
            </w:r>
          </w:p>
        </w:tc>
        <w:tc>
          <w:tcPr>
            <w:tcW w:w="914" w:type="pct"/>
            <w:vAlign w:val="center"/>
          </w:tcPr>
          <w:p w14:paraId="6AFE2EA8">
            <w:pPr>
              <w:snapToGrid w:val="0"/>
              <w:spacing w:line="240" w:lineRule="auto"/>
              <w:ind w:firstLine="0" w:firstLineChars="0"/>
              <w:jc w:val="center"/>
              <w:rPr>
                <w:rFonts w:hint="default" w:eastAsia="宋体" w:cs="宋体"/>
                <w:kern w:val="0"/>
                <w:sz w:val="21"/>
                <w:szCs w:val="21"/>
                <w:lang w:val="en-US" w:eastAsia="zh-CN"/>
              </w:rPr>
            </w:pPr>
            <w:r>
              <w:rPr>
                <w:rFonts w:hint="eastAsia" w:cs="宋体"/>
                <w:kern w:val="0"/>
                <w:sz w:val="21"/>
                <w:szCs w:val="21"/>
              </w:rPr>
              <w:t>不溶性沉淀</w:t>
            </w:r>
            <w:r>
              <w:rPr>
                <w:rFonts w:hint="eastAsia" w:cs="宋体"/>
                <w:kern w:val="0"/>
                <w:sz w:val="21"/>
                <w:szCs w:val="21"/>
                <w:lang w:eastAsia="zh-CN"/>
              </w:rPr>
              <w:t>，</w:t>
            </w:r>
            <w:r>
              <w:rPr>
                <w:rFonts w:hint="eastAsia" w:cs="宋体"/>
                <w:kern w:val="0"/>
                <w:sz w:val="21"/>
                <w:szCs w:val="21"/>
                <w:lang w:val="en-US" w:eastAsia="zh-CN"/>
              </w:rPr>
              <w:t>含铬渣</w:t>
            </w:r>
          </w:p>
        </w:tc>
        <w:tc>
          <w:tcPr>
            <w:tcW w:w="593" w:type="pct"/>
            <w:vAlign w:val="center"/>
          </w:tcPr>
          <w:p w14:paraId="22650A71">
            <w:pPr>
              <w:snapToGrid w:val="0"/>
              <w:spacing w:line="240" w:lineRule="auto"/>
              <w:ind w:firstLine="0" w:firstLineChars="0"/>
              <w:jc w:val="center"/>
              <w:rPr>
                <w:rFonts w:cs="宋体"/>
                <w:kern w:val="0"/>
                <w:sz w:val="21"/>
                <w:szCs w:val="21"/>
              </w:rPr>
            </w:pPr>
            <w:r>
              <w:rPr>
                <w:rFonts w:cs="宋体"/>
                <w:kern w:val="0"/>
                <w:sz w:val="21"/>
                <w:szCs w:val="21"/>
              </w:rPr>
              <w:t>间歇</w:t>
            </w:r>
          </w:p>
        </w:tc>
        <w:tc>
          <w:tcPr>
            <w:tcW w:w="1540" w:type="pct"/>
            <w:vAlign w:val="center"/>
          </w:tcPr>
          <w:p w14:paraId="62FC0C30">
            <w:pPr>
              <w:snapToGrid w:val="0"/>
              <w:spacing w:line="240" w:lineRule="auto"/>
              <w:ind w:firstLine="0" w:firstLineChars="0"/>
              <w:jc w:val="center"/>
              <w:rPr>
                <w:rFonts w:cs="宋体"/>
                <w:kern w:val="0"/>
                <w:sz w:val="21"/>
                <w:szCs w:val="21"/>
              </w:rPr>
            </w:pPr>
            <w:r>
              <w:rPr>
                <w:rFonts w:cs="宋体"/>
                <w:kern w:val="0"/>
                <w:sz w:val="21"/>
                <w:szCs w:val="21"/>
              </w:rPr>
              <w:t>作危险废物处置</w:t>
            </w:r>
          </w:p>
        </w:tc>
      </w:tr>
      <w:tr w14:paraId="1472E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vMerge w:val="continue"/>
            <w:vAlign w:val="center"/>
          </w:tcPr>
          <w:p w14:paraId="083139CF">
            <w:pPr>
              <w:snapToGrid w:val="0"/>
              <w:spacing w:line="240" w:lineRule="auto"/>
              <w:ind w:firstLine="0" w:firstLineChars="0"/>
              <w:jc w:val="center"/>
              <w:rPr>
                <w:rFonts w:cs="宋体"/>
                <w:kern w:val="0"/>
                <w:sz w:val="21"/>
                <w:szCs w:val="21"/>
              </w:rPr>
            </w:pPr>
          </w:p>
        </w:tc>
        <w:tc>
          <w:tcPr>
            <w:tcW w:w="797" w:type="pct"/>
            <w:vAlign w:val="center"/>
          </w:tcPr>
          <w:p w14:paraId="10615097">
            <w:pPr>
              <w:snapToGrid w:val="0"/>
              <w:spacing w:line="240" w:lineRule="auto"/>
              <w:ind w:firstLine="0" w:firstLineChars="0"/>
              <w:jc w:val="center"/>
              <w:rPr>
                <w:rFonts w:cs="宋体"/>
                <w:kern w:val="0"/>
                <w:sz w:val="21"/>
                <w:szCs w:val="21"/>
              </w:rPr>
            </w:pPr>
            <w:r>
              <w:rPr>
                <w:rFonts w:hint="eastAsia" w:cs="宋体"/>
                <w:kern w:val="0"/>
                <w:sz w:val="21"/>
                <w:szCs w:val="21"/>
              </w:rPr>
              <w:t>氯化钾精制</w:t>
            </w:r>
          </w:p>
        </w:tc>
        <w:tc>
          <w:tcPr>
            <w:tcW w:w="830" w:type="pct"/>
            <w:vAlign w:val="center"/>
          </w:tcPr>
          <w:p w14:paraId="297EEF44">
            <w:pPr>
              <w:snapToGrid w:val="0"/>
              <w:spacing w:line="240" w:lineRule="auto"/>
              <w:ind w:firstLine="0" w:firstLineChars="0"/>
              <w:jc w:val="center"/>
              <w:rPr>
                <w:rFonts w:cs="宋体"/>
                <w:kern w:val="0"/>
                <w:sz w:val="21"/>
                <w:szCs w:val="21"/>
              </w:rPr>
            </w:pPr>
            <w:r>
              <w:rPr>
                <w:rFonts w:hint="eastAsia" w:cs="宋体"/>
                <w:kern w:val="0"/>
                <w:sz w:val="21"/>
                <w:szCs w:val="21"/>
              </w:rPr>
              <w:t>除杂滤渣</w:t>
            </w:r>
          </w:p>
        </w:tc>
        <w:tc>
          <w:tcPr>
            <w:tcW w:w="914" w:type="pct"/>
            <w:vAlign w:val="center"/>
          </w:tcPr>
          <w:p w14:paraId="07EB1FC0">
            <w:pPr>
              <w:snapToGrid w:val="0"/>
              <w:spacing w:line="240" w:lineRule="auto"/>
              <w:ind w:firstLine="0" w:firstLineChars="0"/>
              <w:jc w:val="center"/>
              <w:rPr>
                <w:rFonts w:hint="default" w:eastAsia="宋体" w:cs="宋体"/>
                <w:kern w:val="0"/>
                <w:sz w:val="21"/>
                <w:szCs w:val="21"/>
                <w:lang w:val="en-US" w:eastAsia="zh-CN"/>
              </w:rPr>
            </w:pPr>
            <w:r>
              <w:rPr>
                <w:rFonts w:hint="eastAsia" w:cs="宋体"/>
                <w:kern w:val="0"/>
                <w:sz w:val="21"/>
                <w:szCs w:val="21"/>
              </w:rPr>
              <w:t>不溶性沉淀</w:t>
            </w:r>
            <w:r>
              <w:rPr>
                <w:rFonts w:hint="eastAsia" w:cs="宋体"/>
                <w:kern w:val="0"/>
                <w:sz w:val="21"/>
                <w:szCs w:val="21"/>
                <w:lang w:eastAsia="zh-CN"/>
              </w:rPr>
              <w:t>，</w:t>
            </w:r>
            <w:r>
              <w:rPr>
                <w:rFonts w:hint="eastAsia" w:cs="宋体"/>
                <w:kern w:val="0"/>
                <w:sz w:val="21"/>
                <w:szCs w:val="21"/>
                <w:lang w:val="en-US" w:eastAsia="zh-CN"/>
              </w:rPr>
              <w:t>不含重金属</w:t>
            </w:r>
          </w:p>
        </w:tc>
        <w:tc>
          <w:tcPr>
            <w:tcW w:w="593" w:type="pct"/>
            <w:vAlign w:val="center"/>
          </w:tcPr>
          <w:p w14:paraId="04C206E5">
            <w:pPr>
              <w:snapToGrid w:val="0"/>
              <w:spacing w:line="240" w:lineRule="auto"/>
              <w:ind w:firstLine="0" w:firstLineChars="0"/>
              <w:jc w:val="center"/>
              <w:rPr>
                <w:rFonts w:cs="宋体"/>
                <w:kern w:val="0"/>
                <w:sz w:val="21"/>
                <w:szCs w:val="21"/>
              </w:rPr>
            </w:pPr>
            <w:r>
              <w:rPr>
                <w:rFonts w:hint="eastAsia" w:cs="宋体"/>
                <w:kern w:val="0"/>
                <w:sz w:val="21"/>
                <w:szCs w:val="21"/>
              </w:rPr>
              <w:t>间歇</w:t>
            </w:r>
          </w:p>
        </w:tc>
        <w:tc>
          <w:tcPr>
            <w:tcW w:w="1540" w:type="pct"/>
            <w:vAlign w:val="center"/>
          </w:tcPr>
          <w:p w14:paraId="5FA98300">
            <w:pPr>
              <w:snapToGrid w:val="0"/>
              <w:spacing w:line="240" w:lineRule="auto"/>
              <w:ind w:firstLine="0" w:firstLineChars="0"/>
              <w:jc w:val="center"/>
              <w:rPr>
                <w:rFonts w:cs="宋体"/>
                <w:kern w:val="0"/>
                <w:sz w:val="21"/>
                <w:szCs w:val="21"/>
              </w:rPr>
            </w:pPr>
            <w:r>
              <w:rPr>
                <w:rFonts w:cs="宋体"/>
                <w:kern w:val="0"/>
                <w:sz w:val="21"/>
                <w:szCs w:val="21"/>
              </w:rPr>
              <w:t>外售</w:t>
            </w:r>
            <w:r>
              <w:rPr>
                <w:rFonts w:hint="eastAsia" w:cs="宋体"/>
                <w:kern w:val="0"/>
                <w:sz w:val="21"/>
                <w:szCs w:val="21"/>
              </w:rPr>
              <w:t>后综合</w:t>
            </w:r>
            <w:r>
              <w:rPr>
                <w:rFonts w:cs="宋体"/>
                <w:kern w:val="0"/>
                <w:sz w:val="21"/>
                <w:szCs w:val="21"/>
              </w:rPr>
              <w:t>利用</w:t>
            </w:r>
          </w:p>
        </w:tc>
      </w:tr>
    </w:tbl>
    <w:p w14:paraId="00943A2D">
      <w:pPr>
        <w:ind w:firstLine="0" w:firstLineChars="0"/>
      </w:pPr>
    </w:p>
    <w:p w14:paraId="6EB6FF27">
      <w:pPr>
        <w:ind w:left="0" w:leftChars="0" w:firstLine="0" w:firstLineChars="0"/>
        <w:jc w:val="center"/>
      </w:pPr>
      <w:r>
        <w:object>
          <v:shape id="_x0000_i1073" o:spt="75" type="#_x0000_t75" style="height:304.75pt;width:415.15pt;" o:ole="t" filled="f" o:preferrelative="t" stroked="f" coordsize="21600,21600">
            <v:path/>
            <v:fill on="f" focussize="0,0"/>
            <v:stroke on="f"/>
            <v:imagedata r:id="rId111" o:title=""/>
            <o:lock v:ext="edit" aspectratio="f"/>
            <w10:wrap type="none"/>
            <w10:anchorlock/>
          </v:shape>
          <o:OLEObject Type="Embed" ProgID="Visio.Drawing.15" ShapeID="_x0000_i1073" DrawAspect="Content" ObjectID="_1468075773" r:id="rId110">
            <o:LockedField>false</o:LockedField>
          </o:OLEObject>
        </w:object>
      </w:r>
    </w:p>
    <w:p w14:paraId="7AEC841C">
      <w:pPr>
        <w:pStyle w:val="42"/>
        <w:numPr>
          <w:ilvl w:val="6"/>
          <w:numId w:val="1"/>
        </w:numPr>
        <w:rPr>
          <w:rFonts w:hint="default"/>
        </w:rPr>
      </w:pPr>
      <w:r>
        <w:t>氯酸</w:t>
      </w:r>
      <w:r>
        <w:rPr>
          <w:rFonts w:hint="eastAsia"/>
          <w:lang w:val="en-US" w:eastAsia="zh-CN"/>
        </w:rPr>
        <w:t>钾</w:t>
      </w:r>
      <w:r>
        <w:t>生产工艺流程及产污环节示意图</w:t>
      </w:r>
    </w:p>
    <w:p w14:paraId="2CE08CB4">
      <w:pPr>
        <w:ind w:left="0" w:leftChars="0" w:firstLine="0" w:firstLineChars="0"/>
        <w:jc w:val="center"/>
        <w:rPr>
          <w:rFonts w:hint="eastAsia"/>
        </w:rPr>
      </w:pPr>
    </w:p>
    <w:p w14:paraId="496BCD71">
      <w:pPr>
        <w:pStyle w:val="4"/>
        <w:numPr>
          <w:ilvl w:val="2"/>
          <w:numId w:val="1"/>
        </w:numPr>
      </w:pPr>
      <w:r>
        <w:rPr>
          <w:rFonts w:hint="eastAsia"/>
        </w:rPr>
        <w:t>高氯酸钾生产工艺流程及产污环节分析</w:t>
      </w:r>
    </w:p>
    <w:p w14:paraId="63BFC5FC">
      <w:pPr>
        <w:pStyle w:val="5"/>
        <w:numPr>
          <w:ilvl w:val="3"/>
          <w:numId w:val="1"/>
        </w:numPr>
      </w:pPr>
      <w:r>
        <w:t>反应原理</w:t>
      </w:r>
    </w:p>
    <w:p w14:paraId="5FAA15AB">
      <w:pPr>
        <w:ind w:firstLine="480"/>
      </w:pPr>
      <w:r>
        <w:t>高氯酸钾生产工艺有电解法和热分解法，电解法又分为氯化钾复分解法和氯酸钾复分解法。本项目采用电解、氯化钾复分解法。经复分解制得高氯酸钾结晶，再经分离、水洗、干燥等工序，使水分含量减少到0.01％～0.04％，成品高氯酸钾纯度达99.5％。高氯酸钾生产过程主要化学方程式：</w:t>
      </w:r>
    </w:p>
    <w:p w14:paraId="2040CED1">
      <w:pPr>
        <w:ind w:firstLine="480"/>
        <w:jc w:val="center"/>
        <w:rPr>
          <w:position w:val="-12"/>
        </w:rPr>
      </w:pPr>
      <w:r>
        <w:rPr>
          <w:rFonts w:hint="eastAsia"/>
          <w:position w:val="-12"/>
        </w:rPr>
        <w:object>
          <v:shape id="_x0000_i1074" o:spt="75" type="#_x0000_t75" style="height:20.2pt;width:189.25pt;" o:ole="t" filled="f" o:preferrelative="t" stroked="f" coordsize="21600,21600">
            <v:path/>
            <v:fill on="f" focussize="0,0"/>
            <v:stroke on="f" joinstyle="miter"/>
            <v:imagedata r:id="rId34" o:title=""/>
            <o:lock v:ext="edit" aspectratio="t"/>
            <w10:wrap type="none"/>
            <w10:anchorlock/>
          </v:shape>
          <o:OLEObject Type="Embed" ProgID="Equation.KSEE3" ShapeID="_x0000_i1074" DrawAspect="Content" ObjectID="_1468075774" r:id="rId112">
            <o:LockedField>false</o:LockedField>
          </o:OLEObject>
        </w:object>
      </w:r>
    </w:p>
    <w:p w14:paraId="0A031E09">
      <w:pPr>
        <w:ind w:firstLine="480"/>
        <w:jc w:val="center"/>
        <w:rPr>
          <w:position w:val="-12"/>
        </w:rPr>
      </w:pPr>
      <w:r>
        <w:rPr>
          <w:position w:val="-10"/>
        </w:rPr>
        <w:object>
          <v:shape id="_x0000_i1075" o:spt="75" type="#_x0000_t75" style="height:18pt;width:169.1pt;" o:ole="t" filled="f" o:preferrelative="t" stroked="f" coordsize="21600,21600">
            <v:path/>
            <v:fill on="f" focussize="0,0"/>
            <v:stroke on="f" joinstyle="miter"/>
            <v:imagedata r:id="rId51" o:title=""/>
            <o:lock v:ext="edit" aspectratio="t"/>
            <w10:wrap type="none"/>
            <w10:anchorlock/>
          </v:shape>
          <o:OLEObject Type="Embed" ProgID="Equation.KSEE3" ShapeID="_x0000_i1075" DrawAspect="Content" ObjectID="_1468075775" r:id="rId113">
            <o:LockedField>false</o:LockedField>
          </o:OLEObject>
        </w:object>
      </w:r>
    </w:p>
    <w:p w14:paraId="70E00170">
      <w:pPr>
        <w:pStyle w:val="5"/>
        <w:numPr>
          <w:ilvl w:val="3"/>
          <w:numId w:val="1"/>
        </w:numPr>
      </w:pPr>
      <w:r>
        <w:t>工艺流程及产污环节分析</w:t>
      </w:r>
    </w:p>
    <w:p w14:paraId="091F09A8">
      <w:pPr>
        <w:ind w:firstLine="480"/>
      </w:pPr>
      <w:r>
        <w:t>氯酸钠加入蒸馏水，开蒸汽加热并开启搅拌器，使之溶化并达到规定浓度。停止加热和搅拌，用泵打入压滤机，清NaClO</w:t>
      </w:r>
      <w:r>
        <w:rPr>
          <w:vertAlign w:val="subscript"/>
        </w:rPr>
        <w:t>3</w:t>
      </w:r>
      <w:r>
        <w:t>溶液流入NaClO</w:t>
      </w:r>
      <w:r>
        <w:rPr>
          <w:vertAlign w:val="subscript"/>
        </w:rPr>
        <w:t>3</w:t>
      </w:r>
      <w:r>
        <w:t>贮槽中，再用泵把清液打入NaClO</w:t>
      </w:r>
      <w:r>
        <w:rPr>
          <w:vertAlign w:val="subscript"/>
        </w:rPr>
        <w:t>3</w:t>
      </w:r>
      <w:r>
        <w:t>高位槽中。</w:t>
      </w:r>
    </w:p>
    <w:p w14:paraId="54D8E8C3">
      <w:pPr>
        <w:ind w:firstLine="480"/>
      </w:pPr>
      <w:r>
        <w:t>合格的NaClO</w:t>
      </w:r>
      <w:r>
        <w:rPr>
          <w:vertAlign w:val="subscript"/>
        </w:rPr>
        <w:t>3</w:t>
      </w:r>
      <w:r>
        <w:t>溶液由高位槽自流入多只为一组的电解槽，然后送入直流电进行电解。电解过程产生的氢气由导管排出屋顶。尾气经碱处理后放空。待电解到每组最后一槽NaClO</w:t>
      </w:r>
      <w:r>
        <w:rPr>
          <w:vertAlign w:val="subscript"/>
        </w:rPr>
        <w:t>3</w:t>
      </w:r>
      <w:r>
        <w:t>浓度降至8g/L合格后，连续流入电水地下槽，然后用电水输送泵打至电水高位槽备用。</w:t>
      </w:r>
    </w:p>
    <w:p w14:paraId="7FCEFA77">
      <w:pPr>
        <w:ind w:firstLine="480"/>
      </w:pPr>
      <w:r>
        <w:t>检验合格的KCl固体加入</w:t>
      </w:r>
      <w:r>
        <w:rPr>
          <w:rFonts w:hint="eastAsia"/>
        </w:rPr>
        <w:t>纯水</w:t>
      </w:r>
      <w:r>
        <w:t>，开启搅拌器溶解后，经压滤机压滤清液打至KCl高位槽备用。电解液由高位槽计量后放入复分解结晶槽在不断搅拌下缓缓加入精制定量的KCl溶液，进行复分解反应，待其结晶冷却至35℃时，放料离心。</w:t>
      </w:r>
    </w:p>
    <w:p w14:paraId="192F19C9">
      <w:pPr>
        <w:ind w:firstLine="480"/>
      </w:pPr>
      <w:r>
        <w:t>离心分离后的半成品KClO</w:t>
      </w:r>
      <w:r>
        <w:rPr>
          <w:vertAlign w:val="subscript"/>
        </w:rPr>
        <w:t>4</w:t>
      </w:r>
      <w:r>
        <w:t>送至热风系统中干燥使物料</w:t>
      </w:r>
      <w:r>
        <w:rPr>
          <w:rFonts w:hint="eastAsia"/>
          <w:lang w:eastAsia="zh-CN"/>
        </w:rPr>
        <w:t>水分</w:t>
      </w:r>
      <w:r>
        <w:t>达0.03%以下，再经振动筛筛分出合格KClO</w:t>
      </w:r>
      <w:r>
        <w:rPr>
          <w:vertAlign w:val="subscript"/>
        </w:rPr>
        <w:t>4</w:t>
      </w:r>
      <w:r>
        <w:t>产品。离心后的母液进入低温真空蒸发浓缩工序浓缩后进行冷冻结晶，将氯化钠返回氯酸钠工序回用，母液返回复分解工序。</w:t>
      </w:r>
    </w:p>
    <w:p w14:paraId="0633C7A3">
      <w:pPr>
        <w:keepNext/>
        <w:numPr>
          <w:ilvl w:val="5"/>
          <w:numId w:val="1"/>
        </w:numPr>
        <w:snapToGrid w:val="0"/>
        <w:spacing w:line="240" w:lineRule="auto"/>
        <w:ind w:firstLine="420" w:firstLineChars="0"/>
        <w:jc w:val="center"/>
        <w:rPr>
          <w:b/>
          <w:bCs/>
          <w:sz w:val="21"/>
          <w:szCs w:val="21"/>
        </w:rPr>
      </w:pPr>
      <w:r>
        <w:rPr>
          <w:rFonts w:hint="eastAsia"/>
          <w:b/>
          <w:bCs/>
          <w:sz w:val="21"/>
          <w:szCs w:val="21"/>
        </w:rPr>
        <w:t>高氯酸钾生产装置污染物产生环节及去向一览表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1"/>
        <w:gridCol w:w="1216"/>
        <w:gridCol w:w="1558"/>
        <w:gridCol w:w="1558"/>
        <w:gridCol w:w="1011"/>
        <w:gridCol w:w="2625"/>
      </w:tblGrid>
      <w:tr w14:paraId="01E21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23" w:type="pct"/>
            <w:vAlign w:val="center"/>
          </w:tcPr>
          <w:p w14:paraId="34B38953">
            <w:pPr>
              <w:snapToGrid w:val="0"/>
              <w:spacing w:line="240" w:lineRule="auto"/>
              <w:ind w:firstLine="0" w:firstLineChars="0"/>
              <w:jc w:val="center"/>
              <w:rPr>
                <w:rFonts w:cs="宋体"/>
                <w:b/>
                <w:bCs/>
                <w:kern w:val="0"/>
                <w:sz w:val="21"/>
                <w:szCs w:val="21"/>
              </w:rPr>
            </w:pPr>
            <w:r>
              <w:rPr>
                <w:rFonts w:cs="宋体"/>
                <w:b/>
                <w:bCs/>
                <w:kern w:val="0"/>
                <w:sz w:val="21"/>
                <w:szCs w:val="21"/>
              </w:rPr>
              <w:t>类型</w:t>
            </w:r>
          </w:p>
        </w:tc>
        <w:tc>
          <w:tcPr>
            <w:tcW w:w="713" w:type="pct"/>
            <w:vAlign w:val="center"/>
          </w:tcPr>
          <w:p w14:paraId="443AEB8A">
            <w:pPr>
              <w:snapToGrid w:val="0"/>
              <w:spacing w:line="240" w:lineRule="auto"/>
              <w:ind w:firstLine="0" w:firstLineChars="0"/>
              <w:jc w:val="center"/>
              <w:rPr>
                <w:rFonts w:cs="宋体"/>
                <w:b/>
                <w:bCs/>
                <w:kern w:val="0"/>
                <w:sz w:val="21"/>
                <w:szCs w:val="21"/>
              </w:rPr>
            </w:pPr>
            <w:r>
              <w:rPr>
                <w:rFonts w:cs="宋体"/>
                <w:b/>
                <w:bCs/>
                <w:kern w:val="0"/>
                <w:sz w:val="21"/>
                <w:szCs w:val="21"/>
              </w:rPr>
              <w:t>产生环节</w:t>
            </w:r>
          </w:p>
        </w:tc>
        <w:tc>
          <w:tcPr>
            <w:tcW w:w="914" w:type="pct"/>
            <w:vAlign w:val="center"/>
          </w:tcPr>
          <w:p w14:paraId="6C30E617">
            <w:pPr>
              <w:snapToGrid w:val="0"/>
              <w:spacing w:line="240" w:lineRule="auto"/>
              <w:ind w:firstLine="0" w:firstLineChars="0"/>
              <w:jc w:val="center"/>
              <w:rPr>
                <w:rFonts w:cs="宋体"/>
                <w:b/>
                <w:bCs/>
                <w:kern w:val="0"/>
                <w:sz w:val="21"/>
                <w:szCs w:val="21"/>
              </w:rPr>
            </w:pPr>
            <w:r>
              <w:rPr>
                <w:rFonts w:hint="eastAsia" w:cs="宋体"/>
                <w:b/>
                <w:bCs/>
                <w:kern w:val="0"/>
                <w:sz w:val="21"/>
                <w:szCs w:val="21"/>
              </w:rPr>
              <w:t>污染物名称</w:t>
            </w:r>
          </w:p>
        </w:tc>
        <w:tc>
          <w:tcPr>
            <w:tcW w:w="914" w:type="pct"/>
            <w:vAlign w:val="center"/>
          </w:tcPr>
          <w:p w14:paraId="34F45584">
            <w:pPr>
              <w:snapToGrid w:val="0"/>
              <w:spacing w:line="240" w:lineRule="auto"/>
              <w:ind w:firstLine="0" w:firstLineChars="0"/>
              <w:jc w:val="center"/>
              <w:rPr>
                <w:rFonts w:cs="宋体"/>
                <w:b/>
                <w:bCs/>
                <w:kern w:val="0"/>
                <w:sz w:val="21"/>
                <w:szCs w:val="21"/>
              </w:rPr>
            </w:pPr>
            <w:r>
              <w:rPr>
                <w:rFonts w:cs="宋体"/>
                <w:b/>
                <w:bCs/>
                <w:kern w:val="0"/>
                <w:sz w:val="21"/>
                <w:szCs w:val="21"/>
              </w:rPr>
              <w:t>主要成分</w:t>
            </w:r>
          </w:p>
        </w:tc>
        <w:tc>
          <w:tcPr>
            <w:tcW w:w="593" w:type="pct"/>
            <w:vAlign w:val="center"/>
          </w:tcPr>
          <w:p w14:paraId="6779E5FF">
            <w:pPr>
              <w:snapToGrid w:val="0"/>
              <w:spacing w:line="240" w:lineRule="auto"/>
              <w:ind w:firstLine="0" w:firstLineChars="0"/>
              <w:jc w:val="center"/>
              <w:rPr>
                <w:rFonts w:cs="宋体"/>
                <w:b/>
                <w:bCs/>
                <w:kern w:val="0"/>
                <w:sz w:val="21"/>
                <w:szCs w:val="21"/>
              </w:rPr>
            </w:pPr>
            <w:r>
              <w:rPr>
                <w:rFonts w:cs="宋体"/>
                <w:b/>
                <w:bCs/>
                <w:kern w:val="0"/>
                <w:sz w:val="21"/>
                <w:szCs w:val="21"/>
              </w:rPr>
              <w:t>排放方式</w:t>
            </w:r>
          </w:p>
        </w:tc>
        <w:tc>
          <w:tcPr>
            <w:tcW w:w="1540" w:type="pct"/>
            <w:vAlign w:val="center"/>
          </w:tcPr>
          <w:p w14:paraId="4545AD2B">
            <w:pPr>
              <w:snapToGrid w:val="0"/>
              <w:spacing w:line="240" w:lineRule="auto"/>
              <w:ind w:firstLine="0" w:firstLineChars="0"/>
              <w:jc w:val="center"/>
              <w:rPr>
                <w:rFonts w:cs="宋体"/>
                <w:b/>
                <w:bCs/>
                <w:kern w:val="0"/>
                <w:sz w:val="21"/>
                <w:szCs w:val="21"/>
              </w:rPr>
            </w:pPr>
            <w:r>
              <w:rPr>
                <w:rFonts w:cs="宋体"/>
                <w:b/>
                <w:bCs/>
                <w:kern w:val="0"/>
                <w:sz w:val="21"/>
                <w:szCs w:val="21"/>
              </w:rPr>
              <w:t>去向</w:t>
            </w:r>
          </w:p>
        </w:tc>
      </w:tr>
      <w:tr w14:paraId="06F5B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vMerge w:val="restart"/>
            <w:vAlign w:val="center"/>
          </w:tcPr>
          <w:p w14:paraId="7221881D">
            <w:pPr>
              <w:snapToGrid w:val="0"/>
              <w:spacing w:line="240" w:lineRule="auto"/>
              <w:ind w:firstLine="0" w:firstLineChars="0"/>
              <w:jc w:val="center"/>
              <w:rPr>
                <w:rFonts w:cs="宋体"/>
                <w:kern w:val="0"/>
                <w:sz w:val="21"/>
                <w:szCs w:val="21"/>
              </w:rPr>
            </w:pPr>
            <w:r>
              <w:rPr>
                <w:rFonts w:cs="宋体"/>
                <w:kern w:val="0"/>
                <w:sz w:val="21"/>
                <w:szCs w:val="21"/>
              </w:rPr>
              <w:t>废气</w:t>
            </w:r>
          </w:p>
        </w:tc>
        <w:tc>
          <w:tcPr>
            <w:tcW w:w="713" w:type="pct"/>
            <w:vAlign w:val="center"/>
          </w:tcPr>
          <w:p w14:paraId="12FE8CA4">
            <w:pPr>
              <w:snapToGrid w:val="0"/>
              <w:spacing w:line="240" w:lineRule="auto"/>
              <w:ind w:firstLine="0" w:firstLineChars="0"/>
              <w:jc w:val="center"/>
              <w:rPr>
                <w:rFonts w:cs="宋体"/>
                <w:kern w:val="0"/>
                <w:sz w:val="21"/>
                <w:szCs w:val="21"/>
              </w:rPr>
            </w:pPr>
            <w:r>
              <w:rPr>
                <w:rFonts w:hint="eastAsia" w:cs="宋体"/>
                <w:kern w:val="0"/>
                <w:sz w:val="21"/>
                <w:szCs w:val="21"/>
              </w:rPr>
              <w:t>电解</w:t>
            </w:r>
          </w:p>
        </w:tc>
        <w:tc>
          <w:tcPr>
            <w:tcW w:w="914" w:type="pct"/>
            <w:vAlign w:val="center"/>
          </w:tcPr>
          <w:p w14:paraId="7069C04E">
            <w:pPr>
              <w:snapToGrid w:val="0"/>
              <w:spacing w:line="240" w:lineRule="auto"/>
              <w:ind w:firstLine="0" w:firstLineChars="0"/>
              <w:jc w:val="center"/>
              <w:rPr>
                <w:rFonts w:cs="宋体"/>
                <w:kern w:val="0"/>
                <w:sz w:val="21"/>
                <w:szCs w:val="21"/>
              </w:rPr>
            </w:pPr>
            <w:r>
              <w:rPr>
                <w:rFonts w:hint="eastAsia" w:cs="宋体"/>
                <w:kern w:val="0"/>
                <w:sz w:val="21"/>
                <w:szCs w:val="21"/>
              </w:rPr>
              <w:t>二次</w:t>
            </w:r>
            <w:r>
              <w:rPr>
                <w:rFonts w:cs="宋体"/>
                <w:kern w:val="0"/>
                <w:sz w:val="21"/>
                <w:szCs w:val="21"/>
              </w:rPr>
              <w:t>电解</w:t>
            </w:r>
            <w:r>
              <w:rPr>
                <w:rFonts w:hint="eastAsia" w:cs="宋体"/>
                <w:kern w:val="0"/>
                <w:sz w:val="21"/>
                <w:szCs w:val="21"/>
              </w:rPr>
              <w:t>尾气</w:t>
            </w:r>
          </w:p>
        </w:tc>
        <w:tc>
          <w:tcPr>
            <w:tcW w:w="914" w:type="pct"/>
            <w:vAlign w:val="center"/>
          </w:tcPr>
          <w:p w14:paraId="747C3393">
            <w:pPr>
              <w:snapToGrid w:val="0"/>
              <w:spacing w:line="240" w:lineRule="auto"/>
              <w:ind w:firstLine="0" w:firstLineChars="0"/>
              <w:jc w:val="center"/>
              <w:rPr>
                <w:rFonts w:cs="宋体"/>
                <w:kern w:val="0"/>
                <w:sz w:val="21"/>
                <w:szCs w:val="21"/>
              </w:rPr>
            </w:pPr>
            <w:r>
              <w:rPr>
                <w:rFonts w:cs="宋体"/>
                <w:kern w:val="0"/>
                <w:sz w:val="21"/>
                <w:szCs w:val="21"/>
              </w:rPr>
              <w:t>H</w:t>
            </w:r>
            <w:r>
              <w:rPr>
                <w:rFonts w:cs="宋体"/>
                <w:kern w:val="0"/>
                <w:sz w:val="21"/>
                <w:szCs w:val="21"/>
                <w:vertAlign w:val="subscript"/>
              </w:rPr>
              <w:t>2</w:t>
            </w:r>
            <w:r>
              <w:rPr>
                <w:rFonts w:cs="宋体"/>
                <w:kern w:val="0"/>
                <w:sz w:val="21"/>
                <w:szCs w:val="21"/>
              </w:rPr>
              <w:t>，Cl</w:t>
            </w:r>
            <w:r>
              <w:rPr>
                <w:rFonts w:cs="宋体"/>
                <w:kern w:val="0"/>
                <w:sz w:val="21"/>
                <w:szCs w:val="21"/>
                <w:vertAlign w:val="subscript"/>
              </w:rPr>
              <w:t>2</w:t>
            </w:r>
            <w:r>
              <w:rPr>
                <w:rFonts w:cs="宋体"/>
                <w:kern w:val="0"/>
                <w:sz w:val="21"/>
                <w:szCs w:val="21"/>
              </w:rPr>
              <w:t>，</w:t>
            </w:r>
            <w:r>
              <w:rPr>
                <w:rFonts w:hint="eastAsia" w:cs="宋体"/>
                <w:kern w:val="0"/>
                <w:sz w:val="21"/>
                <w:szCs w:val="21"/>
              </w:rPr>
              <w:t>O</w:t>
            </w:r>
            <w:r>
              <w:rPr>
                <w:rFonts w:cs="宋体"/>
                <w:kern w:val="0"/>
                <w:sz w:val="21"/>
                <w:szCs w:val="21"/>
                <w:vertAlign w:val="subscript"/>
              </w:rPr>
              <w:t>2</w:t>
            </w:r>
            <w:r>
              <w:rPr>
                <w:rFonts w:cs="宋体"/>
                <w:kern w:val="0"/>
                <w:sz w:val="21"/>
                <w:szCs w:val="21"/>
              </w:rPr>
              <w:t>，</w:t>
            </w:r>
            <w:r>
              <w:rPr>
                <w:rFonts w:hint="eastAsia" w:cs="宋体"/>
                <w:kern w:val="0"/>
                <w:sz w:val="21"/>
                <w:szCs w:val="21"/>
              </w:rPr>
              <w:t>HCl，</w:t>
            </w:r>
            <w:r>
              <w:rPr>
                <w:rFonts w:hint="eastAsia" w:cs="宋体"/>
                <w:kern w:val="0"/>
                <w:sz w:val="21"/>
                <w:szCs w:val="21"/>
                <w:lang w:val="en-US" w:eastAsia="zh-CN"/>
              </w:rPr>
              <w:t>水蒸气</w:t>
            </w:r>
            <w:r>
              <w:rPr>
                <w:rFonts w:hint="eastAsia" w:cs="宋体"/>
                <w:kern w:val="0"/>
                <w:sz w:val="21"/>
                <w:szCs w:val="21"/>
              </w:rPr>
              <w:t>等</w:t>
            </w:r>
          </w:p>
        </w:tc>
        <w:tc>
          <w:tcPr>
            <w:tcW w:w="593" w:type="pct"/>
            <w:vAlign w:val="center"/>
          </w:tcPr>
          <w:p w14:paraId="47CE76A7">
            <w:pPr>
              <w:snapToGrid w:val="0"/>
              <w:spacing w:line="240" w:lineRule="auto"/>
              <w:ind w:firstLine="0" w:firstLineChars="0"/>
              <w:jc w:val="center"/>
              <w:rPr>
                <w:rFonts w:cs="宋体"/>
                <w:kern w:val="0"/>
                <w:sz w:val="21"/>
                <w:szCs w:val="21"/>
              </w:rPr>
            </w:pPr>
            <w:r>
              <w:rPr>
                <w:rFonts w:cs="宋体"/>
                <w:kern w:val="0"/>
                <w:sz w:val="21"/>
                <w:szCs w:val="21"/>
              </w:rPr>
              <w:t>连续</w:t>
            </w:r>
          </w:p>
        </w:tc>
        <w:tc>
          <w:tcPr>
            <w:tcW w:w="1540" w:type="pct"/>
            <w:vAlign w:val="center"/>
          </w:tcPr>
          <w:p w14:paraId="49976912">
            <w:pPr>
              <w:snapToGrid w:val="0"/>
              <w:spacing w:line="240" w:lineRule="auto"/>
              <w:ind w:firstLine="0" w:firstLineChars="0"/>
              <w:jc w:val="center"/>
              <w:rPr>
                <w:rFonts w:cs="宋体"/>
                <w:kern w:val="0"/>
                <w:sz w:val="21"/>
                <w:szCs w:val="21"/>
              </w:rPr>
            </w:pPr>
            <w:r>
              <w:rPr>
                <w:rFonts w:hint="eastAsia" w:cs="宋体"/>
                <w:kern w:val="0"/>
                <w:sz w:val="21"/>
                <w:szCs w:val="21"/>
              </w:rPr>
              <w:t>尾气处理后排空</w:t>
            </w:r>
          </w:p>
        </w:tc>
      </w:tr>
      <w:tr w14:paraId="30892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vMerge w:val="continue"/>
            <w:vAlign w:val="center"/>
          </w:tcPr>
          <w:p w14:paraId="17D3A189">
            <w:pPr>
              <w:snapToGrid w:val="0"/>
              <w:spacing w:line="240" w:lineRule="auto"/>
              <w:ind w:firstLine="0" w:firstLineChars="0"/>
              <w:jc w:val="center"/>
              <w:rPr>
                <w:rFonts w:cs="宋体"/>
                <w:kern w:val="0"/>
                <w:sz w:val="21"/>
                <w:szCs w:val="21"/>
              </w:rPr>
            </w:pPr>
          </w:p>
        </w:tc>
        <w:tc>
          <w:tcPr>
            <w:tcW w:w="713" w:type="pct"/>
            <w:vAlign w:val="center"/>
          </w:tcPr>
          <w:p w14:paraId="3D0AEC06">
            <w:pPr>
              <w:snapToGrid w:val="0"/>
              <w:spacing w:line="240" w:lineRule="auto"/>
              <w:ind w:firstLine="0" w:firstLineChars="0"/>
              <w:jc w:val="center"/>
              <w:rPr>
                <w:rFonts w:cs="宋体"/>
                <w:kern w:val="0"/>
                <w:sz w:val="21"/>
                <w:szCs w:val="21"/>
              </w:rPr>
            </w:pPr>
            <w:r>
              <w:rPr>
                <w:rFonts w:hint="eastAsia" w:cs="宋体"/>
                <w:kern w:val="0"/>
                <w:sz w:val="21"/>
                <w:szCs w:val="21"/>
              </w:rPr>
              <w:t>干燥</w:t>
            </w:r>
          </w:p>
        </w:tc>
        <w:tc>
          <w:tcPr>
            <w:tcW w:w="914" w:type="pct"/>
            <w:vAlign w:val="center"/>
          </w:tcPr>
          <w:p w14:paraId="263048BB">
            <w:pPr>
              <w:snapToGrid w:val="0"/>
              <w:spacing w:line="240" w:lineRule="auto"/>
              <w:ind w:firstLine="0" w:firstLineChars="0"/>
              <w:jc w:val="center"/>
              <w:rPr>
                <w:rFonts w:cs="宋体"/>
                <w:kern w:val="0"/>
                <w:sz w:val="21"/>
                <w:szCs w:val="21"/>
              </w:rPr>
            </w:pPr>
            <w:r>
              <w:rPr>
                <w:rFonts w:hint="eastAsia" w:cs="宋体"/>
                <w:kern w:val="0"/>
                <w:sz w:val="21"/>
                <w:szCs w:val="21"/>
              </w:rPr>
              <w:t>高钾</w:t>
            </w:r>
            <w:r>
              <w:rPr>
                <w:rFonts w:cs="宋体"/>
                <w:kern w:val="0"/>
                <w:sz w:val="21"/>
                <w:szCs w:val="21"/>
              </w:rPr>
              <w:t>干燥</w:t>
            </w:r>
            <w:r>
              <w:rPr>
                <w:rFonts w:hint="eastAsia" w:cs="宋体"/>
                <w:kern w:val="0"/>
                <w:sz w:val="21"/>
                <w:szCs w:val="21"/>
              </w:rPr>
              <w:t>废气</w:t>
            </w:r>
          </w:p>
        </w:tc>
        <w:tc>
          <w:tcPr>
            <w:tcW w:w="914" w:type="pct"/>
            <w:vAlign w:val="center"/>
          </w:tcPr>
          <w:p w14:paraId="1836A40A">
            <w:pPr>
              <w:snapToGrid w:val="0"/>
              <w:spacing w:line="240" w:lineRule="auto"/>
              <w:ind w:firstLine="0" w:firstLineChars="0"/>
              <w:jc w:val="center"/>
              <w:rPr>
                <w:rFonts w:cs="宋体"/>
                <w:kern w:val="0"/>
                <w:sz w:val="21"/>
                <w:szCs w:val="21"/>
              </w:rPr>
            </w:pPr>
            <w:r>
              <w:rPr>
                <w:rFonts w:hint="eastAsia" w:cs="宋体"/>
                <w:kern w:val="0"/>
                <w:sz w:val="21"/>
                <w:szCs w:val="21"/>
              </w:rPr>
              <w:t>K</w:t>
            </w:r>
            <w:r>
              <w:rPr>
                <w:rFonts w:cs="宋体"/>
                <w:kern w:val="0"/>
                <w:sz w:val="21"/>
                <w:szCs w:val="21"/>
              </w:rPr>
              <w:t>ClO</w:t>
            </w:r>
            <w:r>
              <w:rPr>
                <w:rFonts w:hint="eastAsia" w:cs="宋体"/>
                <w:kern w:val="0"/>
                <w:sz w:val="21"/>
                <w:szCs w:val="21"/>
                <w:vertAlign w:val="subscript"/>
              </w:rPr>
              <w:t>4</w:t>
            </w:r>
            <w:r>
              <w:rPr>
                <w:rFonts w:cs="宋体"/>
                <w:kern w:val="0"/>
                <w:sz w:val="21"/>
                <w:szCs w:val="21"/>
              </w:rPr>
              <w:t>，H</w:t>
            </w:r>
            <w:r>
              <w:rPr>
                <w:rFonts w:cs="宋体"/>
                <w:kern w:val="0"/>
                <w:sz w:val="21"/>
                <w:szCs w:val="21"/>
                <w:vertAlign w:val="subscript"/>
              </w:rPr>
              <w:t>2</w:t>
            </w:r>
            <w:r>
              <w:rPr>
                <w:rFonts w:cs="宋体"/>
                <w:kern w:val="0"/>
                <w:sz w:val="21"/>
                <w:szCs w:val="21"/>
              </w:rPr>
              <w:t>O</w:t>
            </w:r>
          </w:p>
        </w:tc>
        <w:tc>
          <w:tcPr>
            <w:tcW w:w="593" w:type="pct"/>
            <w:vAlign w:val="center"/>
          </w:tcPr>
          <w:p w14:paraId="4FD583E6">
            <w:pPr>
              <w:snapToGrid w:val="0"/>
              <w:spacing w:line="240" w:lineRule="auto"/>
              <w:ind w:firstLine="0" w:firstLineChars="0"/>
              <w:jc w:val="center"/>
              <w:rPr>
                <w:rFonts w:cs="宋体"/>
                <w:kern w:val="0"/>
                <w:sz w:val="21"/>
                <w:szCs w:val="21"/>
              </w:rPr>
            </w:pPr>
            <w:r>
              <w:rPr>
                <w:rFonts w:cs="宋体"/>
                <w:kern w:val="0"/>
                <w:sz w:val="21"/>
                <w:szCs w:val="21"/>
              </w:rPr>
              <w:t>连续</w:t>
            </w:r>
          </w:p>
        </w:tc>
        <w:tc>
          <w:tcPr>
            <w:tcW w:w="1540" w:type="pct"/>
            <w:vAlign w:val="center"/>
          </w:tcPr>
          <w:p w14:paraId="6D657F4D">
            <w:pPr>
              <w:snapToGrid w:val="0"/>
              <w:spacing w:line="240" w:lineRule="auto"/>
              <w:ind w:firstLine="0" w:firstLineChars="0"/>
              <w:jc w:val="center"/>
              <w:rPr>
                <w:rFonts w:cs="宋体"/>
                <w:kern w:val="0"/>
                <w:sz w:val="21"/>
                <w:szCs w:val="21"/>
              </w:rPr>
            </w:pPr>
            <w:r>
              <w:rPr>
                <w:rFonts w:hint="eastAsia" w:cs="宋体"/>
                <w:kern w:val="0"/>
                <w:sz w:val="21"/>
                <w:szCs w:val="21"/>
              </w:rPr>
              <w:t>处理后排空</w:t>
            </w:r>
          </w:p>
        </w:tc>
      </w:tr>
      <w:tr w14:paraId="5288D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vAlign w:val="center"/>
          </w:tcPr>
          <w:p w14:paraId="655D7648">
            <w:pPr>
              <w:snapToGrid w:val="0"/>
              <w:spacing w:line="240" w:lineRule="auto"/>
              <w:ind w:firstLine="0" w:firstLineChars="0"/>
              <w:jc w:val="center"/>
              <w:rPr>
                <w:rFonts w:cs="宋体"/>
                <w:kern w:val="0"/>
                <w:sz w:val="21"/>
                <w:szCs w:val="21"/>
              </w:rPr>
            </w:pPr>
            <w:r>
              <w:rPr>
                <w:rFonts w:cs="宋体"/>
                <w:kern w:val="0"/>
                <w:sz w:val="21"/>
                <w:szCs w:val="21"/>
              </w:rPr>
              <w:t>废水</w:t>
            </w:r>
          </w:p>
        </w:tc>
        <w:tc>
          <w:tcPr>
            <w:tcW w:w="713" w:type="pct"/>
            <w:vAlign w:val="center"/>
          </w:tcPr>
          <w:p w14:paraId="0C3E41BC">
            <w:pPr>
              <w:snapToGrid w:val="0"/>
              <w:spacing w:line="240" w:lineRule="auto"/>
              <w:ind w:firstLine="0" w:firstLineChars="0"/>
              <w:jc w:val="center"/>
              <w:rPr>
                <w:rFonts w:cs="宋体"/>
                <w:kern w:val="0"/>
                <w:sz w:val="21"/>
                <w:szCs w:val="21"/>
              </w:rPr>
            </w:pPr>
            <w:r>
              <w:rPr>
                <w:rFonts w:hint="eastAsia" w:cs="宋体"/>
                <w:kern w:val="0"/>
                <w:sz w:val="21"/>
                <w:szCs w:val="21"/>
              </w:rPr>
              <w:t>蒸发浓缩</w:t>
            </w:r>
          </w:p>
        </w:tc>
        <w:tc>
          <w:tcPr>
            <w:tcW w:w="914" w:type="pct"/>
            <w:vAlign w:val="center"/>
          </w:tcPr>
          <w:p w14:paraId="71B0BB2E">
            <w:pPr>
              <w:snapToGrid w:val="0"/>
              <w:spacing w:line="240" w:lineRule="auto"/>
              <w:ind w:firstLine="0" w:firstLineChars="0"/>
              <w:jc w:val="center"/>
              <w:rPr>
                <w:rFonts w:cs="宋体"/>
                <w:kern w:val="0"/>
                <w:sz w:val="21"/>
                <w:szCs w:val="21"/>
              </w:rPr>
            </w:pPr>
            <w:r>
              <w:rPr>
                <w:rFonts w:hint="eastAsia" w:cs="宋体"/>
                <w:kern w:val="0"/>
                <w:sz w:val="21"/>
                <w:szCs w:val="21"/>
              </w:rPr>
              <w:t>真空冷凝水</w:t>
            </w:r>
          </w:p>
        </w:tc>
        <w:tc>
          <w:tcPr>
            <w:tcW w:w="914" w:type="pct"/>
            <w:vAlign w:val="center"/>
          </w:tcPr>
          <w:p w14:paraId="008D8407">
            <w:pPr>
              <w:snapToGrid w:val="0"/>
              <w:spacing w:line="240" w:lineRule="auto"/>
              <w:ind w:firstLine="0" w:firstLineChars="0"/>
              <w:jc w:val="center"/>
              <w:rPr>
                <w:rFonts w:cs="宋体"/>
                <w:kern w:val="0"/>
                <w:sz w:val="21"/>
                <w:szCs w:val="21"/>
              </w:rPr>
            </w:pPr>
            <w:r>
              <w:rPr>
                <w:rFonts w:cs="宋体"/>
                <w:kern w:val="0"/>
                <w:sz w:val="21"/>
                <w:szCs w:val="21"/>
              </w:rPr>
              <w:t>H</w:t>
            </w:r>
            <w:r>
              <w:rPr>
                <w:rFonts w:cs="宋体"/>
                <w:kern w:val="0"/>
                <w:sz w:val="21"/>
                <w:szCs w:val="21"/>
                <w:vertAlign w:val="subscript"/>
              </w:rPr>
              <w:t>2</w:t>
            </w:r>
            <w:r>
              <w:rPr>
                <w:rFonts w:cs="宋体"/>
                <w:kern w:val="0"/>
                <w:sz w:val="21"/>
                <w:szCs w:val="21"/>
              </w:rPr>
              <w:t>O</w:t>
            </w:r>
          </w:p>
        </w:tc>
        <w:tc>
          <w:tcPr>
            <w:tcW w:w="593" w:type="pct"/>
            <w:vAlign w:val="center"/>
          </w:tcPr>
          <w:p w14:paraId="32780274">
            <w:pPr>
              <w:snapToGrid w:val="0"/>
              <w:spacing w:line="240" w:lineRule="auto"/>
              <w:ind w:firstLine="0" w:firstLineChars="0"/>
              <w:jc w:val="center"/>
              <w:rPr>
                <w:rFonts w:cs="宋体"/>
                <w:kern w:val="0"/>
                <w:sz w:val="21"/>
                <w:szCs w:val="21"/>
              </w:rPr>
            </w:pPr>
            <w:r>
              <w:rPr>
                <w:rFonts w:hint="eastAsia" w:cs="宋体"/>
                <w:kern w:val="0"/>
                <w:sz w:val="21"/>
                <w:szCs w:val="21"/>
              </w:rPr>
              <w:t>连续</w:t>
            </w:r>
          </w:p>
        </w:tc>
        <w:tc>
          <w:tcPr>
            <w:tcW w:w="1540" w:type="pct"/>
            <w:vAlign w:val="center"/>
          </w:tcPr>
          <w:p w14:paraId="5CB28A91">
            <w:pPr>
              <w:snapToGrid w:val="0"/>
              <w:spacing w:line="240" w:lineRule="auto"/>
              <w:ind w:firstLine="0" w:firstLineChars="0"/>
              <w:jc w:val="center"/>
              <w:rPr>
                <w:rFonts w:cs="宋体"/>
                <w:kern w:val="0"/>
                <w:sz w:val="21"/>
                <w:szCs w:val="21"/>
              </w:rPr>
            </w:pPr>
            <w:r>
              <w:rPr>
                <w:rFonts w:hint="eastAsia" w:cs="宋体"/>
                <w:kern w:val="0"/>
                <w:sz w:val="21"/>
                <w:szCs w:val="21"/>
              </w:rPr>
              <w:t>回用于化盐工序</w:t>
            </w:r>
          </w:p>
        </w:tc>
      </w:tr>
      <w:tr w14:paraId="142E1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vMerge w:val="restart"/>
            <w:vAlign w:val="center"/>
          </w:tcPr>
          <w:p w14:paraId="62630D5F">
            <w:pPr>
              <w:snapToGrid w:val="0"/>
              <w:spacing w:line="240" w:lineRule="auto"/>
              <w:ind w:firstLine="0" w:firstLineChars="0"/>
              <w:jc w:val="center"/>
              <w:rPr>
                <w:rFonts w:cs="宋体"/>
                <w:kern w:val="0"/>
                <w:sz w:val="21"/>
                <w:szCs w:val="21"/>
              </w:rPr>
            </w:pPr>
            <w:r>
              <w:rPr>
                <w:rFonts w:cs="宋体"/>
                <w:kern w:val="0"/>
                <w:sz w:val="21"/>
                <w:szCs w:val="21"/>
              </w:rPr>
              <w:t>固体</w:t>
            </w:r>
          </w:p>
          <w:p w14:paraId="10779560">
            <w:pPr>
              <w:snapToGrid w:val="0"/>
              <w:spacing w:line="240" w:lineRule="auto"/>
              <w:ind w:firstLine="0" w:firstLineChars="0"/>
              <w:jc w:val="center"/>
              <w:rPr>
                <w:rFonts w:cs="宋体"/>
                <w:kern w:val="0"/>
                <w:sz w:val="21"/>
                <w:szCs w:val="21"/>
              </w:rPr>
            </w:pPr>
            <w:r>
              <w:rPr>
                <w:rFonts w:cs="宋体"/>
                <w:kern w:val="0"/>
                <w:sz w:val="21"/>
                <w:szCs w:val="21"/>
              </w:rPr>
              <w:t>废物</w:t>
            </w:r>
          </w:p>
        </w:tc>
        <w:tc>
          <w:tcPr>
            <w:tcW w:w="713" w:type="pct"/>
            <w:vAlign w:val="center"/>
          </w:tcPr>
          <w:p w14:paraId="4898D474">
            <w:pPr>
              <w:snapToGrid w:val="0"/>
              <w:spacing w:line="240" w:lineRule="auto"/>
              <w:ind w:firstLine="0" w:firstLineChars="0"/>
              <w:jc w:val="center"/>
              <w:rPr>
                <w:rFonts w:cs="宋体"/>
                <w:kern w:val="0"/>
                <w:sz w:val="21"/>
                <w:szCs w:val="21"/>
              </w:rPr>
            </w:pPr>
            <w:r>
              <w:rPr>
                <w:rFonts w:hint="eastAsia" w:cs="宋体"/>
                <w:kern w:val="0"/>
                <w:sz w:val="21"/>
                <w:szCs w:val="21"/>
              </w:rPr>
              <w:t>氯酸钠精制</w:t>
            </w:r>
          </w:p>
        </w:tc>
        <w:tc>
          <w:tcPr>
            <w:tcW w:w="914" w:type="pct"/>
            <w:vAlign w:val="center"/>
          </w:tcPr>
          <w:p w14:paraId="1A96384D">
            <w:pPr>
              <w:snapToGrid w:val="0"/>
              <w:spacing w:line="240" w:lineRule="auto"/>
              <w:ind w:firstLine="0" w:firstLineChars="0"/>
              <w:jc w:val="center"/>
              <w:rPr>
                <w:rFonts w:hint="eastAsia" w:eastAsia="宋体" w:cs="宋体"/>
                <w:kern w:val="0"/>
                <w:sz w:val="21"/>
                <w:szCs w:val="21"/>
                <w:lang w:eastAsia="zh-CN"/>
              </w:rPr>
            </w:pPr>
            <w:r>
              <w:rPr>
                <w:rFonts w:hint="eastAsia" w:cs="宋体"/>
                <w:kern w:val="0"/>
                <w:sz w:val="21"/>
                <w:szCs w:val="21"/>
                <w:lang w:eastAsia="zh-CN"/>
              </w:rPr>
              <w:t>除铬滤渣</w:t>
            </w:r>
          </w:p>
        </w:tc>
        <w:tc>
          <w:tcPr>
            <w:tcW w:w="914" w:type="pct"/>
            <w:vAlign w:val="center"/>
          </w:tcPr>
          <w:p w14:paraId="4392B70E">
            <w:pPr>
              <w:snapToGrid w:val="0"/>
              <w:spacing w:line="240" w:lineRule="auto"/>
              <w:ind w:firstLine="0" w:firstLineChars="0"/>
              <w:jc w:val="center"/>
              <w:rPr>
                <w:rFonts w:hint="default" w:eastAsia="宋体" w:cs="宋体"/>
                <w:kern w:val="0"/>
                <w:sz w:val="21"/>
                <w:szCs w:val="21"/>
                <w:lang w:val="en-US" w:eastAsia="zh-CN"/>
              </w:rPr>
            </w:pPr>
            <w:r>
              <w:rPr>
                <w:rFonts w:hint="eastAsia" w:cs="宋体"/>
                <w:kern w:val="0"/>
                <w:sz w:val="21"/>
                <w:szCs w:val="21"/>
              </w:rPr>
              <w:t>不溶性沉淀</w:t>
            </w:r>
            <w:r>
              <w:rPr>
                <w:rFonts w:hint="eastAsia" w:cs="宋体"/>
                <w:kern w:val="0"/>
                <w:sz w:val="21"/>
                <w:szCs w:val="21"/>
                <w:lang w:eastAsia="zh-CN"/>
              </w:rPr>
              <w:t>，</w:t>
            </w:r>
            <w:r>
              <w:rPr>
                <w:rFonts w:hint="eastAsia" w:cs="宋体"/>
                <w:kern w:val="0"/>
                <w:sz w:val="21"/>
                <w:szCs w:val="21"/>
                <w:lang w:val="en-US" w:eastAsia="zh-CN"/>
              </w:rPr>
              <w:t>含铬渣</w:t>
            </w:r>
          </w:p>
        </w:tc>
        <w:tc>
          <w:tcPr>
            <w:tcW w:w="593" w:type="pct"/>
            <w:vAlign w:val="center"/>
          </w:tcPr>
          <w:p w14:paraId="165856DF">
            <w:pPr>
              <w:snapToGrid w:val="0"/>
              <w:spacing w:line="240" w:lineRule="auto"/>
              <w:ind w:firstLine="0" w:firstLineChars="0"/>
              <w:jc w:val="center"/>
              <w:rPr>
                <w:rFonts w:cs="宋体"/>
                <w:kern w:val="0"/>
                <w:sz w:val="21"/>
                <w:szCs w:val="21"/>
              </w:rPr>
            </w:pPr>
            <w:r>
              <w:rPr>
                <w:rFonts w:cs="宋体"/>
                <w:kern w:val="0"/>
                <w:sz w:val="21"/>
                <w:szCs w:val="21"/>
              </w:rPr>
              <w:t>间歇</w:t>
            </w:r>
          </w:p>
        </w:tc>
        <w:tc>
          <w:tcPr>
            <w:tcW w:w="1540" w:type="pct"/>
            <w:vAlign w:val="center"/>
          </w:tcPr>
          <w:p w14:paraId="0D6DD8EA">
            <w:pPr>
              <w:snapToGrid w:val="0"/>
              <w:spacing w:line="240" w:lineRule="auto"/>
              <w:ind w:firstLine="0" w:firstLineChars="0"/>
              <w:jc w:val="center"/>
              <w:rPr>
                <w:rFonts w:cs="宋体"/>
                <w:kern w:val="0"/>
                <w:sz w:val="21"/>
                <w:szCs w:val="21"/>
              </w:rPr>
            </w:pPr>
            <w:r>
              <w:rPr>
                <w:rFonts w:cs="宋体"/>
                <w:kern w:val="0"/>
                <w:sz w:val="21"/>
                <w:szCs w:val="21"/>
              </w:rPr>
              <w:t>作危险废物处置</w:t>
            </w:r>
          </w:p>
        </w:tc>
      </w:tr>
      <w:tr w14:paraId="17CB4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vMerge w:val="continue"/>
            <w:vAlign w:val="center"/>
          </w:tcPr>
          <w:p w14:paraId="3E19334A">
            <w:pPr>
              <w:snapToGrid w:val="0"/>
              <w:spacing w:line="240" w:lineRule="auto"/>
              <w:ind w:firstLine="0" w:firstLineChars="0"/>
              <w:jc w:val="center"/>
              <w:rPr>
                <w:rFonts w:cs="宋体"/>
                <w:kern w:val="0"/>
                <w:sz w:val="21"/>
                <w:szCs w:val="21"/>
              </w:rPr>
            </w:pPr>
          </w:p>
        </w:tc>
        <w:tc>
          <w:tcPr>
            <w:tcW w:w="713" w:type="pct"/>
            <w:vAlign w:val="center"/>
          </w:tcPr>
          <w:p w14:paraId="0ED0C8DE">
            <w:pPr>
              <w:snapToGrid w:val="0"/>
              <w:spacing w:line="240" w:lineRule="auto"/>
              <w:ind w:firstLine="0" w:firstLineChars="0"/>
              <w:jc w:val="center"/>
              <w:rPr>
                <w:rFonts w:hint="eastAsia" w:eastAsia="宋体" w:cs="宋体"/>
                <w:kern w:val="0"/>
                <w:sz w:val="21"/>
                <w:szCs w:val="21"/>
                <w:lang w:val="en-US" w:eastAsia="zh-CN"/>
              </w:rPr>
            </w:pPr>
            <w:r>
              <w:rPr>
                <w:rFonts w:hint="eastAsia" w:cs="宋体"/>
                <w:kern w:val="0"/>
                <w:sz w:val="21"/>
                <w:szCs w:val="21"/>
                <w:lang w:val="en-US" w:eastAsia="zh-CN"/>
              </w:rPr>
              <w:t>二次电解</w:t>
            </w:r>
          </w:p>
        </w:tc>
        <w:tc>
          <w:tcPr>
            <w:tcW w:w="914" w:type="pct"/>
            <w:vAlign w:val="center"/>
          </w:tcPr>
          <w:p w14:paraId="2AD79437">
            <w:pPr>
              <w:snapToGrid w:val="0"/>
              <w:spacing w:line="240" w:lineRule="auto"/>
              <w:ind w:firstLine="0" w:firstLineChars="0"/>
              <w:jc w:val="center"/>
              <w:rPr>
                <w:rFonts w:hint="eastAsia" w:eastAsia="宋体" w:cs="宋体"/>
                <w:kern w:val="0"/>
                <w:sz w:val="21"/>
                <w:szCs w:val="21"/>
                <w:lang w:val="en-US" w:eastAsia="zh-CN"/>
              </w:rPr>
            </w:pPr>
            <w:r>
              <w:rPr>
                <w:rFonts w:hint="eastAsia" w:cs="宋体"/>
                <w:kern w:val="0"/>
                <w:sz w:val="21"/>
                <w:szCs w:val="21"/>
                <w:lang w:val="en-US" w:eastAsia="zh-CN"/>
              </w:rPr>
              <w:t>二次电解槽沉渣</w:t>
            </w:r>
          </w:p>
        </w:tc>
        <w:tc>
          <w:tcPr>
            <w:tcW w:w="914" w:type="pct"/>
            <w:vAlign w:val="center"/>
          </w:tcPr>
          <w:p w14:paraId="773BE523">
            <w:pPr>
              <w:snapToGrid w:val="0"/>
              <w:spacing w:line="240" w:lineRule="auto"/>
              <w:ind w:firstLine="0" w:firstLineChars="0"/>
              <w:jc w:val="center"/>
              <w:rPr>
                <w:rFonts w:hint="eastAsia" w:cs="宋体"/>
                <w:kern w:val="0"/>
                <w:sz w:val="21"/>
                <w:szCs w:val="21"/>
              </w:rPr>
            </w:pPr>
            <w:r>
              <w:rPr>
                <w:rFonts w:hint="eastAsia" w:cs="宋体"/>
                <w:kern w:val="0"/>
                <w:sz w:val="21"/>
                <w:szCs w:val="21"/>
              </w:rPr>
              <w:t>不溶沉淀</w:t>
            </w:r>
            <w:r>
              <w:rPr>
                <w:rFonts w:hint="eastAsia" w:cs="宋体"/>
                <w:kern w:val="0"/>
                <w:sz w:val="21"/>
                <w:szCs w:val="21"/>
                <w:lang w:eastAsia="zh-CN"/>
              </w:rPr>
              <w:t>，</w:t>
            </w:r>
            <w:r>
              <w:rPr>
                <w:rFonts w:hint="eastAsia" w:cs="宋体"/>
                <w:kern w:val="0"/>
                <w:sz w:val="21"/>
                <w:szCs w:val="21"/>
                <w:lang w:val="en-US" w:eastAsia="zh-CN"/>
              </w:rPr>
              <w:t>含钡渣</w:t>
            </w:r>
          </w:p>
        </w:tc>
        <w:tc>
          <w:tcPr>
            <w:tcW w:w="1011" w:type="dxa"/>
            <w:vAlign w:val="center"/>
          </w:tcPr>
          <w:p w14:paraId="69B9BFD7">
            <w:pPr>
              <w:snapToGrid w:val="0"/>
              <w:spacing w:line="240" w:lineRule="auto"/>
              <w:ind w:firstLine="0" w:firstLineChars="0"/>
              <w:jc w:val="center"/>
              <w:rPr>
                <w:rFonts w:cs="宋体"/>
                <w:kern w:val="0"/>
                <w:sz w:val="21"/>
                <w:szCs w:val="21"/>
              </w:rPr>
            </w:pPr>
            <w:r>
              <w:rPr>
                <w:rFonts w:cs="宋体"/>
                <w:kern w:val="0"/>
                <w:sz w:val="21"/>
                <w:szCs w:val="21"/>
              </w:rPr>
              <w:t>间歇</w:t>
            </w:r>
          </w:p>
        </w:tc>
        <w:tc>
          <w:tcPr>
            <w:tcW w:w="2625" w:type="dxa"/>
            <w:vAlign w:val="center"/>
          </w:tcPr>
          <w:p w14:paraId="2291895C">
            <w:pPr>
              <w:snapToGrid w:val="0"/>
              <w:spacing w:line="240" w:lineRule="auto"/>
              <w:ind w:firstLine="0" w:firstLineChars="0"/>
              <w:jc w:val="center"/>
              <w:rPr>
                <w:rFonts w:cs="宋体"/>
                <w:kern w:val="0"/>
                <w:sz w:val="21"/>
                <w:szCs w:val="21"/>
              </w:rPr>
            </w:pPr>
            <w:r>
              <w:rPr>
                <w:rFonts w:hint="eastAsia" w:cs="宋体"/>
                <w:kern w:val="0"/>
                <w:sz w:val="21"/>
                <w:szCs w:val="21"/>
              </w:rPr>
              <w:t>作</w:t>
            </w:r>
            <w:r>
              <w:rPr>
                <w:rFonts w:cs="宋体"/>
                <w:kern w:val="0"/>
                <w:sz w:val="21"/>
                <w:szCs w:val="21"/>
              </w:rPr>
              <w:t>危险废物处置</w:t>
            </w:r>
          </w:p>
        </w:tc>
      </w:tr>
      <w:tr w14:paraId="390F7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vMerge w:val="continue"/>
            <w:vAlign w:val="center"/>
          </w:tcPr>
          <w:p w14:paraId="63A6B64E">
            <w:pPr>
              <w:snapToGrid w:val="0"/>
              <w:spacing w:line="240" w:lineRule="auto"/>
              <w:ind w:firstLine="0" w:firstLineChars="0"/>
              <w:jc w:val="center"/>
              <w:rPr>
                <w:rFonts w:cs="宋体"/>
                <w:kern w:val="0"/>
                <w:sz w:val="21"/>
                <w:szCs w:val="21"/>
              </w:rPr>
            </w:pPr>
          </w:p>
        </w:tc>
        <w:tc>
          <w:tcPr>
            <w:tcW w:w="713" w:type="pct"/>
            <w:vAlign w:val="center"/>
          </w:tcPr>
          <w:p w14:paraId="43A1252B">
            <w:pPr>
              <w:snapToGrid w:val="0"/>
              <w:spacing w:line="240" w:lineRule="auto"/>
              <w:ind w:firstLine="0" w:firstLineChars="0"/>
              <w:jc w:val="center"/>
              <w:rPr>
                <w:rFonts w:cs="宋体"/>
                <w:kern w:val="0"/>
                <w:sz w:val="21"/>
                <w:szCs w:val="21"/>
              </w:rPr>
            </w:pPr>
            <w:r>
              <w:rPr>
                <w:rFonts w:hint="eastAsia" w:cs="宋体"/>
                <w:kern w:val="0"/>
                <w:sz w:val="21"/>
                <w:szCs w:val="21"/>
              </w:rPr>
              <w:t>氯化钾精制</w:t>
            </w:r>
          </w:p>
        </w:tc>
        <w:tc>
          <w:tcPr>
            <w:tcW w:w="914" w:type="pct"/>
            <w:vAlign w:val="center"/>
          </w:tcPr>
          <w:p w14:paraId="7C411313">
            <w:pPr>
              <w:snapToGrid w:val="0"/>
              <w:spacing w:line="240" w:lineRule="auto"/>
              <w:ind w:firstLine="0" w:firstLineChars="0"/>
              <w:jc w:val="center"/>
              <w:rPr>
                <w:rFonts w:cs="宋体"/>
                <w:kern w:val="0"/>
                <w:sz w:val="21"/>
                <w:szCs w:val="21"/>
              </w:rPr>
            </w:pPr>
            <w:r>
              <w:rPr>
                <w:rFonts w:hint="eastAsia" w:cs="宋体"/>
                <w:kern w:val="0"/>
                <w:sz w:val="21"/>
                <w:szCs w:val="21"/>
              </w:rPr>
              <w:t>除杂滤渣</w:t>
            </w:r>
          </w:p>
        </w:tc>
        <w:tc>
          <w:tcPr>
            <w:tcW w:w="914" w:type="pct"/>
            <w:vAlign w:val="center"/>
          </w:tcPr>
          <w:p w14:paraId="1E5D2F98">
            <w:pPr>
              <w:snapToGrid w:val="0"/>
              <w:spacing w:line="240" w:lineRule="auto"/>
              <w:ind w:firstLine="0" w:firstLineChars="0"/>
              <w:jc w:val="center"/>
              <w:rPr>
                <w:rFonts w:hint="default" w:eastAsia="宋体" w:cs="宋体"/>
                <w:kern w:val="0"/>
                <w:sz w:val="21"/>
                <w:szCs w:val="21"/>
                <w:lang w:val="en-US" w:eastAsia="zh-CN"/>
              </w:rPr>
            </w:pPr>
            <w:r>
              <w:rPr>
                <w:rFonts w:hint="eastAsia" w:cs="宋体"/>
                <w:kern w:val="0"/>
                <w:sz w:val="21"/>
                <w:szCs w:val="21"/>
              </w:rPr>
              <w:t>不溶性沉淀</w:t>
            </w:r>
            <w:r>
              <w:rPr>
                <w:rFonts w:hint="eastAsia" w:cs="宋体"/>
                <w:kern w:val="0"/>
                <w:sz w:val="21"/>
                <w:szCs w:val="21"/>
                <w:lang w:eastAsia="zh-CN"/>
              </w:rPr>
              <w:t>，</w:t>
            </w:r>
            <w:r>
              <w:rPr>
                <w:rFonts w:hint="eastAsia" w:cs="宋体"/>
                <w:kern w:val="0"/>
                <w:sz w:val="21"/>
                <w:szCs w:val="21"/>
                <w:lang w:val="en-US" w:eastAsia="zh-CN"/>
              </w:rPr>
              <w:t>不含重金属</w:t>
            </w:r>
          </w:p>
        </w:tc>
        <w:tc>
          <w:tcPr>
            <w:tcW w:w="593" w:type="pct"/>
            <w:vAlign w:val="center"/>
          </w:tcPr>
          <w:p w14:paraId="1D5FFEF1">
            <w:pPr>
              <w:snapToGrid w:val="0"/>
              <w:spacing w:line="240" w:lineRule="auto"/>
              <w:ind w:firstLine="0" w:firstLineChars="0"/>
              <w:jc w:val="center"/>
              <w:rPr>
                <w:rFonts w:cs="宋体"/>
                <w:kern w:val="0"/>
                <w:sz w:val="21"/>
                <w:szCs w:val="21"/>
              </w:rPr>
            </w:pPr>
            <w:r>
              <w:rPr>
                <w:rFonts w:hint="eastAsia" w:cs="宋体"/>
                <w:kern w:val="0"/>
                <w:sz w:val="21"/>
                <w:szCs w:val="21"/>
              </w:rPr>
              <w:t>间歇</w:t>
            </w:r>
          </w:p>
        </w:tc>
        <w:tc>
          <w:tcPr>
            <w:tcW w:w="1540" w:type="pct"/>
            <w:vAlign w:val="center"/>
          </w:tcPr>
          <w:p w14:paraId="5D75422F">
            <w:pPr>
              <w:snapToGrid w:val="0"/>
              <w:spacing w:line="240" w:lineRule="auto"/>
              <w:ind w:firstLine="0" w:firstLineChars="0"/>
              <w:jc w:val="center"/>
              <w:rPr>
                <w:rFonts w:cs="宋体"/>
                <w:kern w:val="0"/>
                <w:sz w:val="21"/>
                <w:szCs w:val="21"/>
              </w:rPr>
            </w:pPr>
            <w:r>
              <w:rPr>
                <w:rFonts w:cs="宋体"/>
                <w:kern w:val="0"/>
                <w:sz w:val="21"/>
                <w:szCs w:val="21"/>
              </w:rPr>
              <w:t>外售</w:t>
            </w:r>
            <w:r>
              <w:rPr>
                <w:rFonts w:hint="eastAsia" w:cs="宋体"/>
                <w:kern w:val="0"/>
                <w:sz w:val="21"/>
                <w:szCs w:val="21"/>
              </w:rPr>
              <w:t>后综合</w:t>
            </w:r>
            <w:r>
              <w:rPr>
                <w:rFonts w:cs="宋体"/>
                <w:kern w:val="0"/>
                <w:sz w:val="21"/>
                <w:szCs w:val="21"/>
              </w:rPr>
              <w:t>利用</w:t>
            </w:r>
          </w:p>
        </w:tc>
      </w:tr>
    </w:tbl>
    <w:p w14:paraId="7584A681">
      <w:pPr>
        <w:ind w:firstLine="0" w:firstLineChars="0"/>
      </w:pPr>
    </w:p>
    <w:p w14:paraId="1C812F74">
      <w:pPr>
        <w:ind w:firstLine="0" w:firstLineChars="0"/>
        <w:jc w:val="center"/>
        <w:rPr>
          <w:rFonts w:hint="eastAsia" w:eastAsia="宋体"/>
          <w:lang w:eastAsia="zh-CN"/>
        </w:rPr>
      </w:pPr>
      <w:r>
        <w:rPr>
          <w:rFonts w:hint="eastAsia" w:eastAsia="宋体"/>
          <w:lang w:eastAsia="zh-CN"/>
        </w:rPr>
        <w:object>
          <v:shape id="_x0000_i1076" o:spt="75" type="#_x0000_t75" style="height:364.25pt;width:415.15pt;" o:ole="t" filled="f" o:preferrelative="t" stroked="f" coordsize="21600,21600">
            <v:path/>
            <v:fill on="f" focussize="0,0"/>
            <v:stroke on="f"/>
            <v:imagedata r:id="rId115" o:title=""/>
            <o:lock v:ext="edit" aspectratio="f"/>
            <w10:wrap type="none"/>
            <w10:anchorlock/>
          </v:shape>
          <o:OLEObject Type="Embed" ProgID="Visio.Drawing.15" ShapeID="_x0000_i1076" DrawAspect="Content" ObjectID="_1468075776" r:id="rId114">
            <o:LockedField>false</o:LockedField>
          </o:OLEObject>
        </w:object>
      </w:r>
    </w:p>
    <w:p w14:paraId="3B6A1EE2">
      <w:pPr>
        <w:pStyle w:val="42"/>
        <w:numPr>
          <w:ilvl w:val="6"/>
          <w:numId w:val="1"/>
        </w:numPr>
        <w:rPr>
          <w:rFonts w:hint="default"/>
        </w:rPr>
      </w:pPr>
      <w:r>
        <w:t>高氯酸钾生产工艺流程及产污环节示意图</w:t>
      </w:r>
    </w:p>
    <w:p w14:paraId="7098C2E7">
      <w:pPr>
        <w:widowControl/>
        <w:tabs>
          <w:tab w:val="left" w:pos="420"/>
        </w:tabs>
        <w:spacing w:line="240" w:lineRule="auto"/>
        <w:ind w:firstLine="0" w:firstLineChars="0"/>
        <w:textAlignment w:val="center"/>
        <w:rPr>
          <w:b/>
          <w:bCs/>
          <w:snapToGrid w:val="0"/>
          <w:kern w:val="0"/>
          <w:sz w:val="21"/>
          <w:szCs w:val="21"/>
        </w:rPr>
      </w:pPr>
      <w:bookmarkStart w:id="129" w:name="_Toc10724"/>
      <w:bookmarkStart w:id="130" w:name="_Toc9697"/>
    </w:p>
    <w:p w14:paraId="08E7A5EE">
      <w:pPr>
        <w:pStyle w:val="4"/>
        <w:numPr>
          <w:ilvl w:val="2"/>
          <w:numId w:val="1"/>
        </w:numPr>
      </w:pPr>
      <w:r>
        <w:rPr>
          <w:rFonts w:hint="eastAsia"/>
        </w:rPr>
        <w:t>高氯酸</w:t>
      </w:r>
      <w:r>
        <w:rPr>
          <w:rFonts w:hint="eastAsia"/>
          <w:lang w:val="en-US" w:eastAsia="zh-CN"/>
        </w:rPr>
        <w:t>锂</w:t>
      </w:r>
      <w:r>
        <w:rPr>
          <w:rFonts w:hint="eastAsia"/>
        </w:rPr>
        <w:t>生产工艺流程及产污环节分析</w:t>
      </w:r>
    </w:p>
    <w:p w14:paraId="2E0D64F3">
      <w:pPr>
        <w:bidi w:val="0"/>
        <w:rPr>
          <w:b/>
          <w:bCs/>
        </w:rPr>
      </w:pPr>
      <w:r>
        <w:rPr>
          <w:rFonts w:hint="eastAsia"/>
          <w:b/>
          <w:bCs/>
          <w:lang w:val="en-US" w:eastAsia="zh-CN"/>
        </w:rPr>
        <w:t>1、复分解</w:t>
      </w:r>
      <w:r>
        <w:rPr>
          <w:rFonts w:hint="eastAsia"/>
          <w:b/>
          <w:bCs/>
        </w:rPr>
        <w:t>工艺</w:t>
      </w:r>
    </w:p>
    <w:p w14:paraId="4F5A0D4C">
      <w:pPr>
        <w:rPr>
          <w:rFonts w:hint="eastAsia"/>
          <w:lang w:val="en-US" w:eastAsia="zh-CN"/>
        </w:rPr>
      </w:pPr>
      <w:r>
        <w:rPr>
          <w:rFonts w:hint="eastAsia"/>
        </w:rPr>
        <w:t>将一水高氯酸钠及高纯水（后期套用母液）加入反应釜中，常温下加入氯化锂，搅拌一段时间后，通过密闭式的盐过滤器过滤至浓缩结晶釜中，通入冷却水冷却结晶，经离心机离心后得三水高氯酸锂</w:t>
      </w:r>
      <w:r>
        <w:rPr>
          <w:rFonts w:hint="eastAsia"/>
          <w:lang w:val="en-US" w:eastAsia="zh-CN"/>
        </w:rPr>
        <w:t>粗品</w:t>
      </w:r>
      <w:r>
        <w:rPr>
          <w:rFonts w:hint="eastAsia"/>
        </w:rPr>
        <w:t>。重结晶投料釜中套用全部重结晶母液（首批使用纯水），并补纯水至一定体积后，室温下加入三水高氯酸锂粗品搅拌升温溶解，温度不超过85°C，搅拌一段时间后，通过密闭过滤器过滤至结晶釜中，通入冷却水冷却结晶，经离心机离心后得三水高氯酸锂成品。</w:t>
      </w:r>
      <w:r>
        <w:rPr>
          <w:rFonts w:hint="eastAsia" w:cs="宋体" w:asciiTheme="majorEastAsia" w:hAnsiTheme="majorEastAsia" w:eastAsiaTheme="majorEastAsia"/>
          <w:color w:val="000000"/>
        </w:rPr>
        <w:t>将三水高氯酸锂</w:t>
      </w:r>
      <w:r>
        <w:rPr>
          <w:rFonts w:hint="eastAsia" w:cs="宋体" w:asciiTheme="majorEastAsia" w:hAnsiTheme="majorEastAsia" w:eastAsiaTheme="majorEastAsia"/>
          <w:color w:val="000000"/>
          <w:lang w:val="en-US" w:eastAsia="zh-CN"/>
        </w:rPr>
        <w:t>成品</w:t>
      </w:r>
      <w:r>
        <w:rPr>
          <w:rFonts w:hint="eastAsia" w:cs="宋体" w:asciiTheme="majorEastAsia" w:hAnsiTheme="majorEastAsia" w:eastAsiaTheme="majorEastAsia"/>
          <w:color w:val="000000"/>
        </w:rPr>
        <w:t>放置在常压熔融槽内，</w:t>
      </w:r>
      <w:r>
        <w:rPr>
          <w:rFonts w:hint="eastAsia"/>
        </w:rPr>
        <w:t>通过电加热方式升温至1</w:t>
      </w:r>
      <w:r>
        <w:t>50</w:t>
      </w:r>
      <w:r>
        <w:rPr>
          <w:rFonts w:hint="eastAsia"/>
        </w:rPr>
        <w:t>℃以上常压脱水，在经除湿机除湿后的干燥房间内冷却，再过筛包装</w:t>
      </w:r>
      <w:r>
        <w:rPr>
          <w:rFonts w:hint="eastAsia"/>
          <w:lang w:val="en-US" w:eastAsia="zh-CN"/>
        </w:rPr>
        <w:t>得到无水高氯酸锂成品。</w:t>
      </w:r>
    </w:p>
    <w:p w14:paraId="2880424A">
      <w:pPr>
        <w:jc w:val="center"/>
        <w:rPr>
          <w:rFonts w:hint="eastAsia"/>
        </w:rPr>
      </w:pPr>
      <w:r>
        <w:rPr>
          <w:rFonts w:hint="eastAsia"/>
          <w:position w:val="-12"/>
        </w:rPr>
        <w:object>
          <v:shape id="_x0000_i1077" o:spt="75" type="#_x0000_t75" style="height:18.85pt;width:212.15pt;" o:ole="t" filled="f" o:preferrelative="t" stroked="f" coordsize="21600,21600">
            <v:path/>
            <v:fill on="f" focussize="0,0"/>
            <v:stroke on="f"/>
            <v:imagedata r:id="rId58" o:title=""/>
            <o:lock v:ext="edit" aspectratio="t"/>
            <w10:wrap type="none"/>
            <w10:anchorlock/>
          </v:shape>
          <o:OLEObject Type="Embed" ProgID="Equation.KSEE3" ShapeID="_x0000_i1077" DrawAspect="Content" ObjectID="_1468075777" r:id="rId116">
            <o:LockedField>false</o:LockedField>
          </o:OLEObject>
        </w:object>
      </w:r>
    </w:p>
    <w:p w14:paraId="3E851328">
      <w:pPr>
        <w:jc w:val="center"/>
        <w:rPr>
          <w:rFonts w:hint="eastAsia"/>
        </w:rPr>
      </w:pPr>
      <w:r>
        <w:rPr>
          <w:rFonts w:hint="eastAsia"/>
          <w:position w:val="-10"/>
        </w:rPr>
        <w:object>
          <v:shape id="_x0000_i1078" o:spt="75" type="#_x0000_t75" style="height:17.9pt;width:213.25pt;" o:ole="t" filled="f" o:preferrelative="t" stroked="f" coordsize="21600,21600">
            <v:path/>
            <v:fill on="f" focussize="0,0"/>
            <v:stroke on="f"/>
            <v:imagedata r:id="rId60" o:title=""/>
            <o:lock v:ext="edit" aspectratio="t"/>
            <w10:wrap type="none"/>
            <w10:anchorlock/>
          </v:shape>
          <o:OLEObject Type="Embed" ProgID="Equation.KSEE3" ShapeID="_x0000_i1078" DrawAspect="Content" ObjectID="_1468075778" r:id="rId117">
            <o:LockedField>false</o:LockedField>
          </o:OLEObject>
        </w:object>
      </w:r>
    </w:p>
    <w:p w14:paraId="592F9B87">
      <w:pPr>
        <w:jc w:val="center"/>
        <w:rPr>
          <w:rFonts w:hint="eastAsia"/>
        </w:rPr>
      </w:pPr>
      <w:r>
        <w:rPr>
          <w:rFonts w:hint="eastAsia"/>
        </w:rPr>
        <w:object>
          <v:shape id="_x0000_i1079" o:spt="75" type="#_x0000_t75" style="height:18pt;width:186.85pt;" o:ole="t" filled="f" o:preferrelative="t" stroked="f" coordsize="21600,21600">
            <v:path/>
            <v:fill on="f" focussize="0,0"/>
            <v:stroke on="f" joinstyle="miter"/>
            <v:imagedata r:id="rId62" o:title=""/>
            <o:lock v:ext="edit" aspectratio="t"/>
            <w10:wrap type="none"/>
            <w10:anchorlock/>
          </v:shape>
          <o:OLEObject Type="Embed" ProgID="Equation.KSEE3" ShapeID="_x0000_i1079" DrawAspect="Content" ObjectID="_1468075779" r:id="rId118">
            <o:LockedField>false</o:LockedField>
          </o:OLEObject>
        </w:object>
      </w:r>
    </w:p>
    <w:p w14:paraId="4286E545">
      <w:pPr>
        <w:bidi w:val="0"/>
        <w:rPr>
          <w:rFonts w:hint="eastAsia" w:ascii="Times New Roman" w:hAnsi="Times New Roman" w:eastAsia="宋体"/>
          <w:b/>
          <w:bCs/>
          <w:lang w:val="en-US" w:eastAsia="zh-CN"/>
        </w:rPr>
      </w:pPr>
      <w:r>
        <w:rPr>
          <w:rFonts w:hint="eastAsia"/>
          <w:b/>
          <w:bCs/>
          <w:lang w:val="en-US" w:eastAsia="zh-CN"/>
        </w:rPr>
        <w:t>2、</w:t>
      </w:r>
      <w:r>
        <w:rPr>
          <w:rFonts w:hint="eastAsia" w:ascii="Times New Roman" w:hAnsi="Times New Roman" w:eastAsia="宋体"/>
          <w:b/>
          <w:bCs/>
          <w:lang w:val="en-US" w:eastAsia="zh-CN"/>
        </w:rPr>
        <w:t>中和工艺</w:t>
      </w:r>
    </w:p>
    <w:p w14:paraId="64B7153A">
      <w:pPr>
        <w:rPr>
          <w:rFonts w:hint="eastAsia"/>
        </w:rPr>
      </w:pPr>
      <w:r>
        <w:rPr>
          <w:rFonts w:hint="eastAsia"/>
          <w:lang w:val="en-US" w:eastAsia="zh-CN"/>
        </w:rPr>
        <w:t>将高氯酸中和反应釜中套用全部母液（首批使用纯水），并补纯水至一定体积后，室温下加入碳酸锂搅拌溶解，开始滴加70%高氯酸，控制流量，让其反应温度自然上升不超过85°C，滴加毕，加入氢氧化锂调节pH。合格后，通过密闭过滤器过滤至结晶釜中，通入冷却水冷却结晶，经离心机离心后得三水高氯酸锂。</w:t>
      </w:r>
      <w:r>
        <w:rPr>
          <w:rFonts w:hint="eastAsia" w:cs="宋体" w:asciiTheme="majorEastAsia" w:hAnsiTheme="majorEastAsia" w:eastAsiaTheme="majorEastAsia"/>
          <w:color w:val="000000"/>
        </w:rPr>
        <w:t>将三水高氯酸锂放置在常压熔融槽内，</w:t>
      </w:r>
      <w:r>
        <w:rPr>
          <w:rFonts w:hint="eastAsia"/>
        </w:rPr>
        <w:t>通过电加热方式升温至1</w:t>
      </w:r>
      <w:r>
        <w:t>50</w:t>
      </w:r>
      <w:r>
        <w:rPr>
          <w:rFonts w:hint="eastAsia"/>
        </w:rPr>
        <w:t>℃以上常压脱水，在经除湿机除湿后的干燥房间内冷却，再过筛包装</w:t>
      </w:r>
      <w:r>
        <w:rPr>
          <w:rFonts w:hint="eastAsia"/>
          <w:lang w:val="en-US" w:eastAsia="zh-CN"/>
        </w:rPr>
        <w:t>得到无水高氯酸锂成品</w:t>
      </w:r>
      <w:r>
        <w:rPr>
          <w:rFonts w:hint="eastAsia"/>
        </w:rPr>
        <w:t>。</w:t>
      </w:r>
    </w:p>
    <w:p w14:paraId="52D1BAC3">
      <w:pPr>
        <w:jc w:val="center"/>
        <w:rPr>
          <w:rFonts w:hint="eastAsia"/>
        </w:rPr>
      </w:pPr>
      <w:r>
        <w:rPr>
          <w:rFonts w:hint="eastAsia"/>
        </w:rPr>
        <w:object>
          <v:shape id="_x0000_i1080" o:spt="75" type="#_x0000_t75" style="height:18.85pt;width:276.85pt;" o:ole="t" filled="f" o:preferrelative="t" stroked="f" coordsize="21600,21600">
            <v:path/>
            <v:fill on="f" focussize="0,0"/>
            <v:stroke on="f" joinstyle="miter"/>
            <v:imagedata r:id="rId120" o:title=""/>
            <o:lock v:ext="edit" aspectratio="t"/>
            <w10:wrap type="none"/>
            <w10:anchorlock/>
          </v:shape>
          <o:OLEObject Type="Embed" ProgID="Equation.KSEE3" ShapeID="_x0000_i1080" DrawAspect="Content" ObjectID="_1468075780" r:id="rId119">
            <o:LockedField>false</o:LockedField>
          </o:OLEObject>
        </w:object>
      </w:r>
    </w:p>
    <w:p w14:paraId="07BFAE23">
      <w:pPr>
        <w:jc w:val="center"/>
        <w:rPr>
          <w:rFonts w:hint="eastAsia"/>
        </w:rPr>
      </w:pPr>
      <w:r>
        <w:rPr>
          <w:rFonts w:hint="eastAsia"/>
        </w:rPr>
        <w:object>
          <v:shape id="_x0000_i1081" o:spt="75" type="#_x0000_t75" style="height:18pt;width:186.85pt;" o:ole="t" filled="f" o:preferrelative="t" stroked="f" coordsize="21600,21600">
            <v:path/>
            <v:fill on="f" focussize="0,0"/>
            <v:stroke on="f" joinstyle="miter"/>
            <v:imagedata r:id="rId62" o:title=""/>
            <o:lock v:ext="edit" aspectratio="t"/>
            <w10:wrap type="none"/>
            <w10:anchorlock/>
          </v:shape>
          <o:OLEObject Type="Embed" ProgID="Equation.KSEE3" ShapeID="_x0000_i1081" DrawAspect="Content" ObjectID="_1468075781" r:id="rId121">
            <o:LockedField>false</o:LockedField>
          </o:OLEObject>
        </w:object>
      </w:r>
    </w:p>
    <w:p w14:paraId="59F3F449">
      <w:pPr>
        <w:keepNext/>
        <w:numPr>
          <w:ilvl w:val="5"/>
          <w:numId w:val="1"/>
        </w:numPr>
        <w:snapToGrid w:val="0"/>
        <w:spacing w:line="240" w:lineRule="auto"/>
        <w:ind w:firstLine="420" w:firstLineChars="0"/>
        <w:jc w:val="center"/>
        <w:rPr>
          <w:b/>
          <w:bCs/>
          <w:sz w:val="21"/>
          <w:szCs w:val="21"/>
        </w:rPr>
      </w:pPr>
      <w:r>
        <w:rPr>
          <w:rFonts w:hint="eastAsia"/>
          <w:b/>
          <w:bCs/>
          <w:sz w:val="21"/>
          <w:szCs w:val="21"/>
        </w:rPr>
        <w:t>高氯酸</w:t>
      </w:r>
      <w:r>
        <w:rPr>
          <w:rFonts w:hint="eastAsia"/>
          <w:b/>
          <w:bCs/>
          <w:sz w:val="21"/>
          <w:szCs w:val="21"/>
          <w:lang w:val="en-US" w:eastAsia="zh-CN"/>
        </w:rPr>
        <w:t>锂</w:t>
      </w:r>
      <w:r>
        <w:rPr>
          <w:rFonts w:hint="eastAsia"/>
          <w:b/>
          <w:bCs/>
          <w:sz w:val="21"/>
          <w:szCs w:val="21"/>
        </w:rPr>
        <w:t>生产装置污染物产生环节及去向一览表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1"/>
        <w:gridCol w:w="1216"/>
        <w:gridCol w:w="1558"/>
        <w:gridCol w:w="1558"/>
        <w:gridCol w:w="1011"/>
        <w:gridCol w:w="2625"/>
      </w:tblGrid>
      <w:tr w14:paraId="1A520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23" w:type="pct"/>
            <w:vAlign w:val="center"/>
          </w:tcPr>
          <w:p w14:paraId="14DA1497">
            <w:pPr>
              <w:snapToGrid w:val="0"/>
              <w:spacing w:line="240" w:lineRule="auto"/>
              <w:ind w:firstLine="0" w:firstLineChars="0"/>
              <w:jc w:val="center"/>
              <w:rPr>
                <w:rFonts w:cs="宋体"/>
                <w:b/>
                <w:bCs/>
                <w:kern w:val="0"/>
                <w:sz w:val="21"/>
                <w:szCs w:val="21"/>
              </w:rPr>
            </w:pPr>
            <w:r>
              <w:rPr>
                <w:rFonts w:cs="宋体"/>
                <w:b/>
                <w:bCs/>
                <w:kern w:val="0"/>
                <w:sz w:val="21"/>
                <w:szCs w:val="21"/>
              </w:rPr>
              <w:t>类型</w:t>
            </w:r>
          </w:p>
        </w:tc>
        <w:tc>
          <w:tcPr>
            <w:tcW w:w="713" w:type="pct"/>
            <w:vAlign w:val="center"/>
          </w:tcPr>
          <w:p w14:paraId="0CE47ACD">
            <w:pPr>
              <w:snapToGrid w:val="0"/>
              <w:spacing w:line="240" w:lineRule="auto"/>
              <w:ind w:firstLine="0" w:firstLineChars="0"/>
              <w:jc w:val="center"/>
              <w:rPr>
                <w:rFonts w:cs="宋体"/>
                <w:b/>
                <w:bCs/>
                <w:kern w:val="0"/>
                <w:sz w:val="21"/>
                <w:szCs w:val="21"/>
              </w:rPr>
            </w:pPr>
            <w:r>
              <w:rPr>
                <w:rFonts w:cs="宋体"/>
                <w:b/>
                <w:bCs/>
                <w:kern w:val="0"/>
                <w:sz w:val="21"/>
                <w:szCs w:val="21"/>
              </w:rPr>
              <w:t>产生环节</w:t>
            </w:r>
          </w:p>
        </w:tc>
        <w:tc>
          <w:tcPr>
            <w:tcW w:w="914" w:type="pct"/>
            <w:vAlign w:val="center"/>
          </w:tcPr>
          <w:p w14:paraId="65BB8F49">
            <w:pPr>
              <w:snapToGrid w:val="0"/>
              <w:spacing w:line="240" w:lineRule="auto"/>
              <w:ind w:firstLine="0" w:firstLineChars="0"/>
              <w:jc w:val="center"/>
              <w:rPr>
                <w:rFonts w:cs="宋体"/>
                <w:b/>
                <w:bCs/>
                <w:kern w:val="0"/>
                <w:sz w:val="21"/>
                <w:szCs w:val="21"/>
              </w:rPr>
            </w:pPr>
            <w:r>
              <w:rPr>
                <w:rFonts w:hint="eastAsia" w:cs="宋体"/>
                <w:b/>
                <w:bCs/>
                <w:kern w:val="0"/>
                <w:sz w:val="21"/>
                <w:szCs w:val="21"/>
              </w:rPr>
              <w:t>污染物名称</w:t>
            </w:r>
          </w:p>
        </w:tc>
        <w:tc>
          <w:tcPr>
            <w:tcW w:w="914" w:type="pct"/>
            <w:vAlign w:val="center"/>
          </w:tcPr>
          <w:p w14:paraId="394E3CCD">
            <w:pPr>
              <w:snapToGrid w:val="0"/>
              <w:spacing w:line="240" w:lineRule="auto"/>
              <w:ind w:firstLine="0" w:firstLineChars="0"/>
              <w:jc w:val="center"/>
              <w:rPr>
                <w:rFonts w:cs="宋体"/>
                <w:b/>
                <w:bCs/>
                <w:kern w:val="0"/>
                <w:sz w:val="21"/>
                <w:szCs w:val="21"/>
              </w:rPr>
            </w:pPr>
            <w:r>
              <w:rPr>
                <w:rFonts w:cs="宋体"/>
                <w:b/>
                <w:bCs/>
                <w:kern w:val="0"/>
                <w:sz w:val="21"/>
                <w:szCs w:val="21"/>
              </w:rPr>
              <w:t>主要成分</w:t>
            </w:r>
          </w:p>
        </w:tc>
        <w:tc>
          <w:tcPr>
            <w:tcW w:w="593" w:type="pct"/>
            <w:vAlign w:val="center"/>
          </w:tcPr>
          <w:p w14:paraId="1C548F98">
            <w:pPr>
              <w:snapToGrid w:val="0"/>
              <w:spacing w:line="240" w:lineRule="auto"/>
              <w:ind w:firstLine="0" w:firstLineChars="0"/>
              <w:jc w:val="center"/>
              <w:rPr>
                <w:rFonts w:cs="宋体"/>
                <w:b/>
                <w:bCs/>
                <w:kern w:val="0"/>
                <w:sz w:val="21"/>
                <w:szCs w:val="21"/>
              </w:rPr>
            </w:pPr>
            <w:r>
              <w:rPr>
                <w:rFonts w:cs="宋体"/>
                <w:b/>
                <w:bCs/>
                <w:kern w:val="0"/>
                <w:sz w:val="21"/>
                <w:szCs w:val="21"/>
              </w:rPr>
              <w:t>排放方式</w:t>
            </w:r>
          </w:p>
        </w:tc>
        <w:tc>
          <w:tcPr>
            <w:tcW w:w="1540" w:type="pct"/>
            <w:vAlign w:val="center"/>
          </w:tcPr>
          <w:p w14:paraId="6D008AF6">
            <w:pPr>
              <w:snapToGrid w:val="0"/>
              <w:spacing w:line="240" w:lineRule="auto"/>
              <w:ind w:firstLine="0" w:firstLineChars="0"/>
              <w:jc w:val="center"/>
              <w:rPr>
                <w:rFonts w:cs="宋体"/>
                <w:b/>
                <w:bCs/>
                <w:kern w:val="0"/>
                <w:sz w:val="21"/>
                <w:szCs w:val="21"/>
              </w:rPr>
            </w:pPr>
            <w:r>
              <w:rPr>
                <w:rFonts w:cs="宋体"/>
                <w:b/>
                <w:bCs/>
                <w:kern w:val="0"/>
                <w:sz w:val="21"/>
                <w:szCs w:val="21"/>
              </w:rPr>
              <w:t>去向</w:t>
            </w:r>
          </w:p>
        </w:tc>
      </w:tr>
      <w:tr w14:paraId="55A73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vMerge w:val="restart"/>
            <w:vAlign w:val="center"/>
          </w:tcPr>
          <w:p w14:paraId="1C2A9FA1">
            <w:pPr>
              <w:snapToGrid w:val="0"/>
              <w:spacing w:line="240" w:lineRule="auto"/>
              <w:ind w:firstLine="0" w:firstLineChars="0"/>
              <w:jc w:val="center"/>
              <w:rPr>
                <w:rFonts w:cs="宋体"/>
                <w:kern w:val="0"/>
                <w:sz w:val="21"/>
                <w:szCs w:val="21"/>
              </w:rPr>
            </w:pPr>
            <w:r>
              <w:rPr>
                <w:rFonts w:cs="宋体"/>
                <w:kern w:val="0"/>
                <w:sz w:val="21"/>
                <w:szCs w:val="21"/>
              </w:rPr>
              <w:t>废气</w:t>
            </w:r>
          </w:p>
        </w:tc>
        <w:tc>
          <w:tcPr>
            <w:tcW w:w="713" w:type="pct"/>
            <w:vAlign w:val="center"/>
          </w:tcPr>
          <w:p w14:paraId="0A6EA3E2">
            <w:pPr>
              <w:snapToGrid w:val="0"/>
              <w:spacing w:line="240" w:lineRule="auto"/>
              <w:ind w:firstLine="0" w:firstLineChars="0"/>
              <w:jc w:val="center"/>
              <w:rPr>
                <w:rFonts w:hint="eastAsia" w:eastAsia="宋体" w:cs="宋体"/>
                <w:kern w:val="0"/>
                <w:sz w:val="21"/>
                <w:szCs w:val="21"/>
                <w:lang w:eastAsia="zh-CN"/>
              </w:rPr>
            </w:pPr>
            <w:r>
              <w:rPr>
                <w:rFonts w:hint="eastAsia" w:cs="宋体"/>
                <w:kern w:val="0"/>
                <w:sz w:val="21"/>
                <w:szCs w:val="21"/>
                <w:lang w:val="en-US" w:eastAsia="zh-CN"/>
              </w:rPr>
              <w:t>酸碱中和</w:t>
            </w:r>
          </w:p>
        </w:tc>
        <w:tc>
          <w:tcPr>
            <w:tcW w:w="914" w:type="pct"/>
            <w:vAlign w:val="center"/>
          </w:tcPr>
          <w:p w14:paraId="5711D925">
            <w:pPr>
              <w:snapToGrid w:val="0"/>
              <w:spacing w:line="240" w:lineRule="auto"/>
              <w:ind w:firstLine="0" w:firstLineChars="0"/>
              <w:jc w:val="center"/>
              <w:rPr>
                <w:rFonts w:hint="eastAsia" w:eastAsia="宋体" w:cs="宋体"/>
                <w:kern w:val="0"/>
                <w:sz w:val="21"/>
                <w:szCs w:val="21"/>
                <w:lang w:eastAsia="zh-CN"/>
              </w:rPr>
            </w:pPr>
            <w:r>
              <w:rPr>
                <w:rFonts w:hint="eastAsia" w:cs="宋体"/>
                <w:kern w:val="0"/>
                <w:sz w:val="21"/>
                <w:szCs w:val="21"/>
                <w:lang w:val="en-US" w:eastAsia="zh-CN"/>
              </w:rPr>
              <w:t>中和尾气</w:t>
            </w:r>
          </w:p>
        </w:tc>
        <w:tc>
          <w:tcPr>
            <w:tcW w:w="914" w:type="pct"/>
            <w:vAlign w:val="center"/>
          </w:tcPr>
          <w:p w14:paraId="39811B58">
            <w:pPr>
              <w:snapToGrid w:val="0"/>
              <w:spacing w:line="240" w:lineRule="auto"/>
              <w:ind w:firstLine="0" w:firstLineChars="0"/>
              <w:jc w:val="center"/>
              <w:rPr>
                <w:rFonts w:cs="宋体"/>
                <w:kern w:val="0"/>
                <w:sz w:val="21"/>
                <w:szCs w:val="21"/>
              </w:rPr>
            </w:pPr>
            <w:r>
              <w:rPr>
                <w:rFonts w:hint="eastAsia" w:cs="宋体"/>
                <w:kern w:val="0"/>
                <w:sz w:val="21"/>
                <w:szCs w:val="21"/>
                <w:lang w:val="en-US" w:eastAsia="zh-CN"/>
              </w:rPr>
              <w:t>C</w:t>
            </w:r>
            <w:r>
              <w:rPr>
                <w:rFonts w:hint="eastAsia" w:cs="宋体"/>
                <w:kern w:val="0"/>
                <w:sz w:val="21"/>
                <w:szCs w:val="21"/>
              </w:rPr>
              <w:t>O</w:t>
            </w:r>
            <w:r>
              <w:rPr>
                <w:rFonts w:cs="宋体"/>
                <w:kern w:val="0"/>
                <w:sz w:val="21"/>
                <w:szCs w:val="21"/>
                <w:vertAlign w:val="subscript"/>
              </w:rPr>
              <w:t>2</w:t>
            </w:r>
            <w:r>
              <w:rPr>
                <w:rFonts w:hint="eastAsia" w:cs="宋体"/>
                <w:kern w:val="0"/>
                <w:sz w:val="21"/>
                <w:szCs w:val="21"/>
                <w:lang w:val="en-US" w:eastAsia="zh-CN"/>
              </w:rPr>
              <w:t>、HCl</w:t>
            </w:r>
            <w:r>
              <w:rPr>
                <w:rFonts w:hint="eastAsia" w:cs="宋体"/>
                <w:kern w:val="0"/>
                <w:sz w:val="21"/>
                <w:szCs w:val="21"/>
              </w:rPr>
              <w:t>等</w:t>
            </w:r>
          </w:p>
        </w:tc>
        <w:tc>
          <w:tcPr>
            <w:tcW w:w="593" w:type="pct"/>
            <w:vAlign w:val="center"/>
          </w:tcPr>
          <w:p w14:paraId="2A695EF0">
            <w:pPr>
              <w:snapToGrid w:val="0"/>
              <w:spacing w:line="240" w:lineRule="auto"/>
              <w:ind w:firstLine="0" w:firstLineChars="0"/>
              <w:jc w:val="center"/>
              <w:rPr>
                <w:rFonts w:cs="宋体"/>
                <w:kern w:val="0"/>
                <w:sz w:val="21"/>
                <w:szCs w:val="21"/>
              </w:rPr>
            </w:pPr>
            <w:r>
              <w:rPr>
                <w:rFonts w:cs="宋体"/>
                <w:kern w:val="0"/>
                <w:sz w:val="21"/>
                <w:szCs w:val="21"/>
              </w:rPr>
              <w:t>连续</w:t>
            </w:r>
          </w:p>
        </w:tc>
        <w:tc>
          <w:tcPr>
            <w:tcW w:w="1540" w:type="pct"/>
            <w:vAlign w:val="center"/>
          </w:tcPr>
          <w:p w14:paraId="54626BAB">
            <w:pPr>
              <w:snapToGrid w:val="0"/>
              <w:spacing w:line="240" w:lineRule="auto"/>
              <w:ind w:firstLine="0" w:firstLineChars="0"/>
              <w:jc w:val="center"/>
              <w:rPr>
                <w:rFonts w:hint="eastAsia" w:eastAsia="宋体" w:cs="宋体"/>
                <w:kern w:val="0"/>
                <w:sz w:val="21"/>
                <w:szCs w:val="21"/>
                <w:lang w:eastAsia="zh-CN"/>
              </w:rPr>
            </w:pPr>
            <w:r>
              <w:rPr>
                <w:rFonts w:hint="eastAsia" w:cs="宋体"/>
                <w:kern w:val="0"/>
                <w:sz w:val="21"/>
                <w:szCs w:val="21"/>
                <w:lang w:val="en-US" w:eastAsia="zh-CN"/>
              </w:rPr>
              <w:t>处理后排空</w:t>
            </w:r>
          </w:p>
        </w:tc>
      </w:tr>
      <w:tr w14:paraId="52A32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vMerge w:val="continue"/>
            <w:vAlign w:val="center"/>
          </w:tcPr>
          <w:p w14:paraId="68F3BCFF">
            <w:pPr>
              <w:snapToGrid w:val="0"/>
              <w:spacing w:line="240" w:lineRule="auto"/>
              <w:ind w:firstLine="0" w:firstLineChars="0"/>
              <w:jc w:val="center"/>
              <w:rPr>
                <w:rFonts w:cs="宋体"/>
                <w:kern w:val="0"/>
                <w:sz w:val="21"/>
                <w:szCs w:val="21"/>
              </w:rPr>
            </w:pPr>
          </w:p>
        </w:tc>
        <w:tc>
          <w:tcPr>
            <w:tcW w:w="713" w:type="pct"/>
            <w:vAlign w:val="center"/>
          </w:tcPr>
          <w:p w14:paraId="6A1A2F41">
            <w:pPr>
              <w:snapToGrid w:val="0"/>
              <w:spacing w:line="240" w:lineRule="auto"/>
              <w:ind w:firstLine="0" w:firstLineChars="0"/>
              <w:jc w:val="center"/>
              <w:rPr>
                <w:rFonts w:cs="宋体"/>
                <w:kern w:val="0"/>
                <w:sz w:val="21"/>
                <w:szCs w:val="21"/>
              </w:rPr>
            </w:pPr>
            <w:r>
              <w:rPr>
                <w:rFonts w:hint="eastAsia" w:cs="宋体"/>
                <w:kern w:val="0"/>
                <w:sz w:val="21"/>
                <w:szCs w:val="21"/>
              </w:rPr>
              <w:t>干燥</w:t>
            </w:r>
          </w:p>
        </w:tc>
        <w:tc>
          <w:tcPr>
            <w:tcW w:w="914" w:type="pct"/>
            <w:vAlign w:val="center"/>
          </w:tcPr>
          <w:p w14:paraId="7A37F9CD">
            <w:pPr>
              <w:snapToGrid w:val="0"/>
              <w:spacing w:line="240" w:lineRule="auto"/>
              <w:ind w:firstLine="0" w:firstLineChars="0"/>
              <w:jc w:val="center"/>
              <w:rPr>
                <w:rFonts w:cs="宋体"/>
                <w:kern w:val="0"/>
                <w:sz w:val="21"/>
                <w:szCs w:val="21"/>
              </w:rPr>
            </w:pPr>
            <w:r>
              <w:rPr>
                <w:rFonts w:hint="eastAsia" w:cs="宋体"/>
                <w:kern w:val="0"/>
                <w:sz w:val="21"/>
                <w:szCs w:val="21"/>
                <w:lang w:val="en-US" w:eastAsia="zh-CN"/>
              </w:rPr>
              <w:t>锂盐</w:t>
            </w:r>
            <w:r>
              <w:rPr>
                <w:rFonts w:cs="宋体"/>
                <w:kern w:val="0"/>
                <w:sz w:val="21"/>
                <w:szCs w:val="21"/>
              </w:rPr>
              <w:t>干燥</w:t>
            </w:r>
            <w:r>
              <w:rPr>
                <w:rFonts w:hint="eastAsia" w:cs="宋体"/>
                <w:kern w:val="0"/>
                <w:sz w:val="21"/>
                <w:szCs w:val="21"/>
              </w:rPr>
              <w:t>废气</w:t>
            </w:r>
          </w:p>
        </w:tc>
        <w:tc>
          <w:tcPr>
            <w:tcW w:w="914" w:type="pct"/>
            <w:vAlign w:val="center"/>
          </w:tcPr>
          <w:p w14:paraId="3908210C">
            <w:pPr>
              <w:snapToGrid w:val="0"/>
              <w:spacing w:line="240" w:lineRule="auto"/>
              <w:ind w:firstLine="0" w:firstLineChars="0"/>
              <w:jc w:val="center"/>
              <w:rPr>
                <w:rFonts w:cs="宋体"/>
                <w:kern w:val="0"/>
                <w:sz w:val="21"/>
                <w:szCs w:val="21"/>
              </w:rPr>
            </w:pPr>
            <w:r>
              <w:rPr>
                <w:rFonts w:hint="eastAsia" w:cs="宋体"/>
                <w:kern w:val="0"/>
                <w:sz w:val="21"/>
                <w:szCs w:val="21"/>
                <w:lang w:val="en-US" w:eastAsia="zh-CN"/>
              </w:rPr>
              <w:t>Li</w:t>
            </w:r>
            <w:r>
              <w:rPr>
                <w:rFonts w:cs="宋体"/>
                <w:kern w:val="0"/>
                <w:sz w:val="21"/>
                <w:szCs w:val="21"/>
              </w:rPr>
              <w:t>ClO</w:t>
            </w:r>
            <w:r>
              <w:rPr>
                <w:rFonts w:hint="eastAsia" w:cs="宋体"/>
                <w:kern w:val="0"/>
                <w:sz w:val="21"/>
                <w:szCs w:val="21"/>
                <w:vertAlign w:val="subscript"/>
              </w:rPr>
              <w:t>4</w:t>
            </w:r>
            <w:r>
              <w:rPr>
                <w:rFonts w:cs="宋体"/>
                <w:kern w:val="0"/>
                <w:sz w:val="21"/>
                <w:szCs w:val="21"/>
              </w:rPr>
              <w:t>，H</w:t>
            </w:r>
            <w:r>
              <w:rPr>
                <w:rFonts w:cs="宋体"/>
                <w:kern w:val="0"/>
                <w:sz w:val="21"/>
                <w:szCs w:val="21"/>
                <w:vertAlign w:val="subscript"/>
              </w:rPr>
              <w:t>2</w:t>
            </w:r>
            <w:r>
              <w:rPr>
                <w:rFonts w:cs="宋体"/>
                <w:kern w:val="0"/>
                <w:sz w:val="21"/>
                <w:szCs w:val="21"/>
              </w:rPr>
              <w:t>O</w:t>
            </w:r>
          </w:p>
        </w:tc>
        <w:tc>
          <w:tcPr>
            <w:tcW w:w="593" w:type="pct"/>
            <w:vAlign w:val="center"/>
          </w:tcPr>
          <w:p w14:paraId="5FB50A93">
            <w:pPr>
              <w:snapToGrid w:val="0"/>
              <w:spacing w:line="240" w:lineRule="auto"/>
              <w:ind w:firstLine="0" w:firstLineChars="0"/>
              <w:jc w:val="center"/>
              <w:rPr>
                <w:rFonts w:cs="宋体"/>
                <w:kern w:val="0"/>
                <w:sz w:val="21"/>
                <w:szCs w:val="21"/>
              </w:rPr>
            </w:pPr>
            <w:r>
              <w:rPr>
                <w:rFonts w:cs="宋体"/>
                <w:kern w:val="0"/>
                <w:sz w:val="21"/>
                <w:szCs w:val="21"/>
              </w:rPr>
              <w:t>连续</w:t>
            </w:r>
          </w:p>
        </w:tc>
        <w:tc>
          <w:tcPr>
            <w:tcW w:w="1540" w:type="pct"/>
            <w:vAlign w:val="center"/>
          </w:tcPr>
          <w:p w14:paraId="7D49D179">
            <w:pPr>
              <w:snapToGrid w:val="0"/>
              <w:spacing w:line="240" w:lineRule="auto"/>
              <w:ind w:firstLine="0" w:firstLineChars="0"/>
              <w:jc w:val="center"/>
              <w:rPr>
                <w:rFonts w:hint="default" w:eastAsia="宋体" w:cs="宋体"/>
                <w:kern w:val="0"/>
                <w:sz w:val="21"/>
                <w:szCs w:val="21"/>
                <w:lang w:val="en-US" w:eastAsia="zh-CN"/>
              </w:rPr>
            </w:pPr>
            <w:r>
              <w:rPr>
                <w:rFonts w:hint="eastAsia" w:cs="宋体"/>
                <w:kern w:val="0"/>
                <w:sz w:val="21"/>
                <w:szCs w:val="21"/>
                <w:lang w:val="en-US" w:eastAsia="zh-CN"/>
              </w:rPr>
              <w:t>无组织排放</w:t>
            </w:r>
          </w:p>
        </w:tc>
      </w:tr>
      <w:tr w14:paraId="738F1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vAlign w:val="center"/>
          </w:tcPr>
          <w:p w14:paraId="5F850064">
            <w:pPr>
              <w:snapToGrid w:val="0"/>
              <w:spacing w:line="240" w:lineRule="auto"/>
              <w:ind w:firstLine="0" w:firstLineChars="0"/>
              <w:jc w:val="center"/>
              <w:rPr>
                <w:rFonts w:cs="宋体"/>
                <w:kern w:val="0"/>
                <w:sz w:val="21"/>
                <w:szCs w:val="21"/>
              </w:rPr>
            </w:pPr>
            <w:r>
              <w:rPr>
                <w:rFonts w:cs="宋体"/>
                <w:kern w:val="0"/>
                <w:sz w:val="21"/>
                <w:szCs w:val="21"/>
              </w:rPr>
              <w:t>废水</w:t>
            </w:r>
          </w:p>
        </w:tc>
        <w:tc>
          <w:tcPr>
            <w:tcW w:w="713" w:type="pct"/>
            <w:vAlign w:val="center"/>
          </w:tcPr>
          <w:p w14:paraId="4CA6B4D3">
            <w:pPr>
              <w:snapToGrid w:val="0"/>
              <w:spacing w:line="240" w:lineRule="auto"/>
              <w:ind w:firstLine="0" w:firstLineChars="0"/>
              <w:jc w:val="center"/>
              <w:rPr>
                <w:rFonts w:hint="default" w:eastAsia="宋体" w:cs="宋体"/>
                <w:kern w:val="0"/>
                <w:sz w:val="21"/>
                <w:szCs w:val="21"/>
                <w:highlight w:val="none"/>
                <w:lang w:val="en-US" w:eastAsia="zh-CN"/>
              </w:rPr>
            </w:pPr>
            <w:r>
              <w:rPr>
                <w:rFonts w:hint="eastAsia" w:cs="宋体"/>
                <w:kern w:val="0"/>
                <w:sz w:val="21"/>
                <w:szCs w:val="21"/>
                <w:highlight w:val="none"/>
                <w:lang w:val="en-US" w:eastAsia="zh-CN"/>
              </w:rPr>
              <w:t>冷却结晶</w:t>
            </w:r>
          </w:p>
        </w:tc>
        <w:tc>
          <w:tcPr>
            <w:tcW w:w="914" w:type="pct"/>
            <w:vAlign w:val="center"/>
          </w:tcPr>
          <w:p w14:paraId="4C5985C8">
            <w:pPr>
              <w:snapToGrid w:val="0"/>
              <w:spacing w:line="240" w:lineRule="auto"/>
              <w:ind w:firstLine="0" w:firstLineChars="0"/>
              <w:jc w:val="center"/>
              <w:rPr>
                <w:rFonts w:cs="宋体"/>
                <w:kern w:val="0"/>
                <w:sz w:val="21"/>
                <w:szCs w:val="21"/>
                <w:highlight w:val="none"/>
              </w:rPr>
            </w:pPr>
            <w:r>
              <w:rPr>
                <w:rFonts w:hint="eastAsia" w:cs="宋体"/>
                <w:kern w:val="0"/>
                <w:sz w:val="21"/>
                <w:szCs w:val="21"/>
                <w:highlight w:val="none"/>
              </w:rPr>
              <w:t>冷凝水</w:t>
            </w:r>
          </w:p>
        </w:tc>
        <w:tc>
          <w:tcPr>
            <w:tcW w:w="914" w:type="pct"/>
            <w:vAlign w:val="center"/>
          </w:tcPr>
          <w:p w14:paraId="2F0D740C">
            <w:pPr>
              <w:snapToGrid w:val="0"/>
              <w:spacing w:line="240" w:lineRule="auto"/>
              <w:ind w:firstLine="0" w:firstLineChars="0"/>
              <w:jc w:val="center"/>
              <w:rPr>
                <w:rFonts w:cs="宋体"/>
                <w:kern w:val="0"/>
                <w:sz w:val="21"/>
                <w:szCs w:val="21"/>
                <w:highlight w:val="none"/>
              </w:rPr>
            </w:pPr>
            <w:r>
              <w:rPr>
                <w:rFonts w:cs="宋体"/>
                <w:kern w:val="0"/>
                <w:sz w:val="21"/>
                <w:szCs w:val="21"/>
                <w:highlight w:val="none"/>
              </w:rPr>
              <w:t>H</w:t>
            </w:r>
            <w:r>
              <w:rPr>
                <w:rFonts w:cs="宋体"/>
                <w:kern w:val="0"/>
                <w:sz w:val="21"/>
                <w:szCs w:val="21"/>
                <w:highlight w:val="none"/>
                <w:vertAlign w:val="subscript"/>
              </w:rPr>
              <w:t>2</w:t>
            </w:r>
            <w:r>
              <w:rPr>
                <w:rFonts w:cs="宋体"/>
                <w:kern w:val="0"/>
                <w:sz w:val="21"/>
                <w:szCs w:val="21"/>
                <w:highlight w:val="none"/>
              </w:rPr>
              <w:t>O</w:t>
            </w:r>
          </w:p>
        </w:tc>
        <w:tc>
          <w:tcPr>
            <w:tcW w:w="593" w:type="pct"/>
            <w:vAlign w:val="center"/>
          </w:tcPr>
          <w:p w14:paraId="7EBD5288">
            <w:pPr>
              <w:snapToGrid w:val="0"/>
              <w:spacing w:line="240" w:lineRule="auto"/>
              <w:ind w:firstLine="0" w:firstLineChars="0"/>
              <w:jc w:val="center"/>
              <w:rPr>
                <w:rFonts w:cs="宋体"/>
                <w:kern w:val="0"/>
                <w:sz w:val="21"/>
                <w:szCs w:val="21"/>
                <w:highlight w:val="none"/>
              </w:rPr>
            </w:pPr>
            <w:r>
              <w:rPr>
                <w:rFonts w:hint="eastAsia" w:cs="宋体"/>
                <w:kern w:val="0"/>
                <w:sz w:val="21"/>
                <w:szCs w:val="21"/>
                <w:highlight w:val="none"/>
              </w:rPr>
              <w:t>连续</w:t>
            </w:r>
          </w:p>
        </w:tc>
        <w:tc>
          <w:tcPr>
            <w:tcW w:w="1540" w:type="pct"/>
            <w:vAlign w:val="center"/>
          </w:tcPr>
          <w:p w14:paraId="2831BBCA">
            <w:pPr>
              <w:snapToGrid w:val="0"/>
              <w:spacing w:line="240" w:lineRule="auto"/>
              <w:ind w:firstLine="0" w:firstLineChars="0"/>
              <w:jc w:val="center"/>
              <w:rPr>
                <w:rFonts w:cs="宋体"/>
                <w:kern w:val="0"/>
                <w:sz w:val="21"/>
                <w:szCs w:val="21"/>
                <w:highlight w:val="none"/>
              </w:rPr>
            </w:pPr>
            <w:r>
              <w:rPr>
                <w:rFonts w:hint="eastAsia" w:cs="宋体"/>
                <w:kern w:val="0"/>
                <w:sz w:val="21"/>
                <w:szCs w:val="21"/>
                <w:highlight w:val="none"/>
              </w:rPr>
              <w:t>回用</w:t>
            </w:r>
          </w:p>
        </w:tc>
      </w:tr>
    </w:tbl>
    <w:p w14:paraId="330AC17C">
      <w:pPr>
        <w:jc w:val="center"/>
        <w:rPr>
          <w:rFonts w:hint="eastAsia"/>
        </w:rPr>
      </w:pPr>
    </w:p>
    <w:p w14:paraId="110F35B4">
      <w:pPr>
        <w:ind w:left="0" w:leftChars="0" w:firstLine="0" w:firstLineChars="0"/>
        <w:jc w:val="center"/>
        <w:rPr>
          <w:rFonts w:hint="eastAsia"/>
        </w:rPr>
      </w:pPr>
      <w:r>
        <w:rPr>
          <w:rFonts w:hint="eastAsia"/>
        </w:rPr>
        <w:object>
          <v:shape id="_x0000_i1082" o:spt="75" type="#_x0000_t75" style="height:214.3pt;width:415.05pt;" o:ole="t" filled="f" o:preferrelative="t" stroked="f" coordsize="21600,21600">
            <v:path/>
            <v:fill on="f" focussize="0,0"/>
            <v:stroke on="f"/>
            <v:imagedata r:id="rId123" o:title=""/>
            <o:lock v:ext="edit" aspectratio="f"/>
            <w10:wrap type="none"/>
            <w10:anchorlock/>
          </v:shape>
          <o:OLEObject Type="Embed" ProgID="Visio.Drawing.15" ShapeID="_x0000_i1082" DrawAspect="Content" ObjectID="_1468075782" r:id="rId122">
            <o:LockedField>false</o:LockedField>
          </o:OLEObject>
        </w:object>
      </w:r>
    </w:p>
    <w:p w14:paraId="443B0D8C">
      <w:pPr>
        <w:pStyle w:val="42"/>
        <w:numPr>
          <w:ilvl w:val="6"/>
          <w:numId w:val="1"/>
        </w:numPr>
        <w:rPr>
          <w:rFonts w:hint="default"/>
        </w:rPr>
      </w:pPr>
      <w:r>
        <w:t>高氯酸</w:t>
      </w:r>
      <w:r>
        <w:rPr>
          <w:rFonts w:hint="eastAsia"/>
          <w:lang w:val="en-US" w:eastAsia="zh-CN"/>
        </w:rPr>
        <w:t>锂生产</w:t>
      </w:r>
      <w:r>
        <w:t>工艺流程及产污环节示意图</w:t>
      </w:r>
    </w:p>
    <w:p w14:paraId="3CC415BF">
      <w:pPr>
        <w:ind w:firstLine="480"/>
      </w:pPr>
    </w:p>
    <w:p w14:paraId="609B22D7">
      <w:pPr>
        <w:pStyle w:val="4"/>
        <w:numPr>
          <w:ilvl w:val="2"/>
          <w:numId w:val="1"/>
        </w:numPr>
        <w:rPr>
          <w:rFonts w:hint="eastAsia" w:ascii="Times New Roman" w:hAnsi="Times New Roman" w:eastAsia="宋体" w:cstheme="minorBidi"/>
          <w:b/>
          <w:kern w:val="2"/>
          <w:sz w:val="28"/>
          <w:szCs w:val="28"/>
          <w:lang w:val="en-US" w:eastAsia="zh-CN" w:bidi="ar-SA"/>
        </w:rPr>
      </w:pPr>
      <w:r>
        <w:rPr>
          <w:rFonts w:hint="eastAsia" w:cstheme="minorBidi"/>
          <w:b/>
          <w:kern w:val="2"/>
          <w:sz w:val="28"/>
          <w:szCs w:val="28"/>
          <w:lang w:val="en-US" w:eastAsia="zh-CN" w:bidi="ar-SA"/>
        </w:rPr>
        <w:t>氢气回收工艺及产污环节分析</w:t>
      </w:r>
    </w:p>
    <w:p w14:paraId="12AEBCD8">
      <w:pPr>
        <w:bidi w:val="0"/>
        <w:rPr>
          <w:rFonts w:hint="default"/>
          <w:lang w:val="en-US" w:eastAsia="zh-CN"/>
        </w:rPr>
      </w:pPr>
      <w:r>
        <w:rPr>
          <w:rFonts w:hint="eastAsia"/>
          <w:lang w:val="en-US" w:eastAsia="zh-CN"/>
        </w:rPr>
        <w:t>由于二次电解尾气量较小且氢气含量较低，本项目只回收一次电解产生的尾气。氢气未回收利用的情况下，一次电解尾气经过“盐水洗涤+一级碱洗+一级水洗”处理后通过25m高排气筒（DA001）达标排放。氢气回收利用的情况下，一次电解尾气经过“盐水洗涤+一级碱洗+一级水洗”，在经过氢气回收系统“深度脱氯+</w:t>
      </w:r>
      <w:r>
        <w:rPr>
          <w:rFonts w:hint="eastAsia" w:ascii="CIDFont+F5" w:hAnsi="CIDFont+F5" w:eastAsia="CIDFont+F5"/>
          <w:sz w:val="24"/>
          <w:szCs w:val="24"/>
        </w:rPr>
        <w:t>钯</w:t>
      </w:r>
      <w:r>
        <w:rPr>
          <w:rFonts w:hint="eastAsia"/>
          <w:lang w:val="en-US" w:eastAsia="zh-CN"/>
        </w:rPr>
        <w:t>催化脱氧”后，进入变压吸附系统提纯，获得的高纯氢气直接充装。</w:t>
      </w:r>
    </w:p>
    <w:p w14:paraId="0D0D2590">
      <w:pPr>
        <w:keepNext/>
        <w:numPr>
          <w:ilvl w:val="5"/>
          <w:numId w:val="1"/>
        </w:numPr>
        <w:snapToGrid w:val="0"/>
        <w:spacing w:line="240" w:lineRule="auto"/>
        <w:ind w:firstLine="420" w:firstLineChars="0"/>
        <w:jc w:val="center"/>
        <w:rPr>
          <w:b/>
          <w:bCs/>
          <w:sz w:val="21"/>
          <w:szCs w:val="21"/>
        </w:rPr>
      </w:pPr>
      <w:r>
        <w:rPr>
          <w:rFonts w:hint="eastAsia"/>
          <w:b/>
          <w:bCs/>
          <w:sz w:val="21"/>
          <w:szCs w:val="21"/>
          <w:lang w:val="en-US" w:eastAsia="zh-CN"/>
        </w:rPr>
        <w:t>氢气回收工艺及</w:t>
      </w:r>
      <w:r>
        <w:rPr>
          <w:rFonts w:hint="eastAsia"/>
          <w:b/>
          <w:bCs/>
          <w:sz w:val="21"/>
          <w:szCs w:val="21"/>
        </w:rPr>
        <w:t>污染物产生环节及去向一览表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1"/>
        <w:gridCol w:w="1216"/>
        <w:gridCol w:w="1558"/>
        <w:gridCol w:w="1558"/>
        <w:gridCol w:w="1011"/>
        <w:gridCol w:w="2625"/>
      </w:tblGrid>
      <w:tr w14:paraId="14566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23" w:type="pct"/>
            <w:vAlign w:val="center"/>
          </w:tcPr>
          <w:p w14:paraId="6B98ECA6">
            <w:pPr>
              <w:snapToGrid w:val="0"/>
              <w:spacing w:line="240" w:lineRule="auto"/>
              <w:ind w:firstLine="0" w:firstLineChars="0"/>
              <w:jc w:val="center"/>
              <w:rPr>
                <w:rFonts w:cs="宋体"/>
                <w:b/>
                <w:bCs/>
                <w:kern w:val="0"/>
                <w:sz w:val="21"/>
                <w:szCs w:val="21"/>
              </w:rPr>
            </w:pPr>
            <w:r>
              <w:rPr>
                <w:rFonts w:cs="宋体"/>
                <w:b/>
                <w:bCs/>
                <w:kern w:val="0"/>
                <w:sz w:val="21"/>
                <w:szCs w:val="21"/>
              </w:rPr>
              <w:t>类型</w:t>
            </w:r>
          </w:p>
        </w:tc>
        <w:tc>
          <w:tcPr>
            <w:tcW w:w="713" w:type="pct"/>
            <w:vAlign w:val="center"/>
          </w:tcPr>
          <w:p w14:paraId="18B41999">
            <w:pPr>
              <w:snapToGrid w:val="0"/>
              <w:spacing w:line="240" w:lineRule="auto"/>
              <w:ind w:firstLine="0" w:firstLineChars="0"/>
              <w:jc w:val="center"/>
              <w:rPr>
                <w:rFonts w:cs="宋体"/>
                <w:b/>
                <w:bCs/>
                <w:kern w:val="0"/>
                <w:sz w:val="21"/>
                <w:szCs w:val="21"/>
              </w:rPr>
            </w:pPr>
            <w:r>
              <w:rPr>
                <w:rFonts w:cs="宋体"/>
                <w:b/>
                <w:bCs/>
                <w:kern w:val="0"/>
                <w:sz w:val="21"/>
                <w:szCs w:val="21"/>
              </w:rPr>
              <w:t>产生环节</w:t>
            </w:r>
          </w:p>
        </w:tc>
        <w:tc>
          <w:tcPr>
            <w:tcW w:w="914" w:type="pct"/>
            <w:vAlign w:val="center"/>
          </w:tcPr>
          <w:p w14:paraId="05103AC4">
            <w:pPr>
              <w:snapToGrid w:val="0"/>
              <w:spacing w:line="240" w:lineRule="auto"/>
              <w:ind w:firstLine="0" w:firstLineChars="0"/>
              <w:jc w:val="center"/>
              <w:rPr>
                <w:rFonts w:cs="宋体"/>
                <w:b/>
                <w:bCs/>
                <w:kern w:val="0"/>
                <w:sz w:val="21"/>
                <w:szCs w:val="21"/>
              </w:rPr>
            </w:pPr>
            <w:r>
              <w:rPr>
                <w:rFonts w:hint="eastAsia" w:cs="宋体"/>
                <w:b/>
                <w:bCs/>
                <w:kern w:val="0"/>
                <w:sz w:val="21"/>
                <w:szCs w:val="21"/>
              </w:rPr>
              <w:t>污染物名称</w:t>
            </w:r>
          </w:p>
        </w:tc>
        <w:tc>
          <w:tcPr>
            <w:tcW w:w="914" w:type="pct"/>
            <w:vAlign w:val="center"/>
          </w:tcPr>
          <w:p w14:paraId="3F6FE3DF">
            <w:pPr>
              <w:snapToGrid w:val="0"/>
              <w:spacing w:line="240" w:lineRule="auto"/>
              <w:ind w:firstLine="0" w:firstLineChars="0"/>
              <w:jc w:val="center"/>
              <w:rPr>
                <w:rFonts w:cs="宋体"/>
                <w:b/>
                <w:bCs/>
                <w:kern w:val="0"/>
                <w:sz w:val="21"/>
                <w:szCs w:val="21"/>
              </w:rPr>
            </w:pPr>
            <w:r>
              <w:rPr>
                <w:rFonts w:cs="宋体"/>
                <w:b/>
                <w:bCs/>
                <w:kern w:val="0"/>
                <w:sz w:val="21"/>
                <w:szCs w:val="21"/>
              </w:rPr>
              <w:t>主要成分</w:t>
            </w:r>
          </w:p>
        </w:tc>
        <w:tc>
          <w:tcPr>
            <w:tcW w:w="593" w:type="pct"/>
            <w:vAlign w:val="center"/>
          </w:tcPr>
          <w:p w14:paraId="658D8BD9">
            <w:pPr>
              <w:snapToGrid w:val="0"/>
              <w:spacing w:line="240" w:lineRule="auto"/>
              <w:ind w:firstLine="0" w:firstLineChars="0"/>
              <w:jc w:val="center"/>
              <w:rPr>
                <w:rFonts w:cs="宋体"/>
                <w:b/>
                <w:bCs/>
                <w:kern w:val="0"/>
                <w:sz w:val="21"/>
                <w:szCs w:val="21"/>
              </w:rPr>
            </w:pPr>
            <w:r>
              <w:rPr>
                <w:rFonts w:cs="宋体"/>
                <w:b/>
                <w:bCs/>
                <w:kern w:val="0"/>
                <w:sz w:val="21"/>
                <w:szCs w:val="21"/>
              </w:rPr>
              <w:t>排放方式</w:t>
            </w:r>
          </w:p>
        </w:tc>
        <w:tc>
          <w:tcPr>
            <w:tcW w:w="1540" w:type="pct"/>
            <w:vAlign w:val="center"/>
          </w:tcPr>
          <w:p w14:paraId="1465B40F">
            <w:pPr>
              <w:snapToGrid w:val="0"/>
              <w:spacing w:line="240" w:lineRule="auto"/>
              <w:ind w:firstLine="0" w:firstLineChars="0"/>
              <w:jc w:val="center"/>
              <w:rPr>
                <w:rFonts w:cs="宋体"/>
                <w:b/>
                <w:bCs/>
                <w:kern w:val="0"/>
                <w:sz w:val="21"/>
                <w:szCs w:val="21"/>
              </w:rPr>
            </w:pPr>
            <w:r>
              <w:rPr>
                <w:rFonts w:cs="宋体"/>
                <w:b/>
                <w:bCs/>
                <w:kern w:val="0"/>
                <w:sz w:val="21"/>
                <w:szCs w:val="21"/>
              </w:rPr>
              <w:t>去向</w:t>
            </w:r>
          </w:p>
        </w:tc>
      </w:tr>
      <w:tr w14:paraId="0C9ED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vAlign w:val="center"/>
          </w:tcPr>
          <w:p w14:paraId="00567216">
            <w:pPr>
              <w:snapToGrid w:val="0"/>
              <w:spacing w:line="240" w:lineRule="auto"/>
              <w:ind w:firstLine="0" w:firstLineChars="0"/>
              <w:jc w:val="center"/>
              <w:rPr>
                <w:rFonts w:hint="eastAsia" w:eastAsia="宋体" w:cs="宋体"/>
                <w:kern w:val="0"/>
                <w:sz w:val="21"/>
                <w:szCs w:val="21"/>
                <w:lang w:eastAsia="zh-CN"/>
              </w:rPr>
            </w:pPr>
            <w:r>
              <w:rPr>
                <w:rFonts w:hint="eastAsia" w:cs="宋体"/>
                <w:kern w:val="0"/>
                <w:sz w:val="21"/>
                <w:szCs w:val="21"/>
                <w:lang w:val="en-US" w:eastAsia="zh-CN"/>
              </w:rPr>
              <w:t>废水</w:t>
            </w:r>
          </w:p>
        </w:tc>
        <w:tc>
          <w:tcPr>
            <w:tcW w:w="713" w:type="pct"/>
            <w:vAlign w:val="center"/>
          </w:tcPr>
          <w:p w14:paraId="34026AB6">
            <w:pPr>
              <w:snapToGrid w:val="0"/>
              <w:spacing w:line="240" w:lineRule="auto"/>
              <w:ind w:firstLine="0" w:firstLineChars="0"/>
              <w:jc w:val="center"/>
              <w:rPr>
                <w:rFonts w:hint="default" w:eastAsia="宋体" w:cs="宋体"/>
                <w:kern w:val="0"/>
                <w:sz w:val="21"/>
                <w:szCs w:val="21"/>
                <w:lang w:val="en-US" w:eastAsia="zh-CN"/>
              </w:rPr>
            </w:pPr>
            <w:r>
              <w:rPr>
                <w:rFonts w:hint="eastAsia" w:cs="宋体"/>
                <w:kern w:val="0"/>
                <w:sz w:val="21"/>
                <w:szCs w:val="21"/>
                <w:lang w:val="en-US" w:eastAsia="zh-CN"/>
              </w:rPr>
              <w:t>深度脱氯</w:t>
            </w:r>
          </w:p>
        </w:tc>
        <w:tc>
          <w:tcPr>
            <w:tcW w:w="914" w:type="pct"/>
            <w:vAlign w:val="center"/>
          </w:tcPr>
          <w:p w14:paraId="7BF908D1">
            <w:pPr>
              <w:snapToGrid w:val="0"/>
              <w:spacing w:line="240" w:lineRule="auto"/>
              <w:ind w:firstLine="0" w:firstLineChars="0"/>
              <w:jc w:val="center"/>
              <w:rPr>
                <w:rFonts w:hint="default" w:eastAsia="宋体" w:cs="宋体"/>
                <w:kern w:val="0"/>
                <w:sz w:val="21"/>
                <w:szCs w:val="21"/>
                <w:lang w:val="en-US" w:eastAsia="zh-CN"/>
              </w:rPr>
            </w:pPr>
            <w:r>
              <w:rPr>
                <w:rFonts w:hint="eastAsia" w:cs="宋体"/>
                <w:kern w:val="0"/>
                <w:sz w:val="21"/>
                <w:szCs w:val="21"/>
                <w:lang w:val="en-US" w:eastAsia="zh-CN"/>
              </w:rPr>
              <w:t>碱喷淋废水</w:t>
            </w:r>
          </w:p>
        </w:tc>
        <w:tc>
          <w:tcPr>
            <w:tcW w:w="914" w:type="pct"/>
            <w:vAlign w:val="center"/>
          </w:tcPr>
          <w:p w14:paraId="2920152C">
            <w:pPr>
              <w:snapToGrid w:val="0"/>
              <w:spacing w:line="240" w:lineRule="auto"/>
              <w:ind w:firstLine="0" w:firstLineChars="0"/>
              <w:jc w:val="center"/>
              <w:rPr>
                <w:rFonts w:hint="eastAsia" w:eastAsia="宋体" w:cs="宋体"/>
                <w:kern w:val="0"/>
                <w:sz w:val="21"/>
                <w:szCs w:val="21"/>
                <w:lang w:val="en-US" w:eastAsia="zh-CN"/>
              </w:rPr>
            </w:pPr>
            <w:r>
              <w:rPr>
                <w:rFonts w:hint="eastAsia" w:cs="宋体"/>
                <w:kern w:val="0"/>
                <w:sz w:val="21"/>
                <w:szCs w:val="21"/>
              </w:rPr>
              <w:t>NaCl、NaClO、NaOH</w:t>
            </w:r>
            <w:r>
              <w:rPr>
                <w:rFonts w:hint="eastAsia" w:cs="宋体"/>
                <w:kern w:val="0"/>
                <w:sz w:val="21"/>
                <w:szCs w:val="21"/>
                <w:lang w:val="en-US" w:eastAsia="zh-CN"/>
              </w:rPr>
              <w:t>等</w:t>
            </w:r>
          </w:p>
        </w:tc>
        <w:tc>
          <w:tcPr>
            <w:tcW w:w="593" w:type="pct"/>
            <w:vAlign w:val="center"/>
          </w:tcPr>
          <w:p w14:paraId="2B67E60D">
            <w:pPr>
              <w:snapToGrid w:val="0"/>
              <w:spacing w:line="240" w:lineRule="auto"/>
              <w:ind w:firstLine="0" w:firstLineChars="0"/>
              <w:jc w:val="center"/>
              <w:rPr>
                <w:rFonts w:cs="宋体"/>
                <w:kern w:val="0"/>
                <w:sz w:val="21"/>
                <w:szCs w:val="21"/>
              </w:rPr>
            </w:pPr>
            <w:r>
              <w:rPr>
                <w:rFonts w:cs="宋体"/>
                <w:kern w:val="0"/>
                <w:sz w:val="21"/>
                <w:szCs w:val="21"/>
              </w:rPr>
              <w:t>连续</w:t>
            </w:r>
          </w:p>
        </w:tc>
        <w:tc>
          <w:tcPr>
            <w:tcW w:w="1540" w:type="pct"/>
            <w:vAlign w:val="center"/>
          </w:tcPr>
          <w:p w14:paraId="7650FD9A">
            <w:pPr>
              <w:snapToGrid w:val="0"/>
              <w:spacing w:line="240" w:lineRule="auto"/>
              <w:ind w:firstLine="0" w:firstLineChars="0"/>
              <w:jc w:val="center"/>
              <w:rPr>
                <w:rFonts w:hint="default" w:eastAsia="宋体" w:cs="宋体"/>
                <w:kern w:val="0"/>
                <w:sz w:val="21"/>
                <w:szCs w:val="21"/>
                <w:lang w:val="en-US" w:eastAsia="zh-CN"/>
              </w:rPr>
            </w:pPr>
            <w:r>
              <w:rPr>
                <w:rFonts w:hint="eastAsia" w:cs="宋体"/>
                <w:kern w:val="0"/>
                <w:sz w:val="21"/>
                <w:szCs w:val="21"/>
                <w:lang w:val="en-US" w:eastAsia="zh-CN"/>
              </w:rPr>
              <w:t>返回电解工序，不外排</w:t>
            </w:r>
          </w:p>
        </w:tc>
      </w:tr>
      <w:tr w14:paraId="7F249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vMerge w:val="restart"/>
            <w:vAlign w:val="center"/>
          </w:tcPr>
          <w:p w14:paraId="69DFA59A">
            <w:pPr>
              <w:snapToGrid w:val="0"/>
              <w:spacing w:line="240" w:lineRule="auto"/>
              <w:ind w:firstLine="0" w:firstLineChars="0"/>
              <w:jc w:val="center"/>
              <w:rPr>
                <w:rFonts w:hint="eastAsia" w:eastAsia="宋体" w:cs="宋体"/>
                <w:kern w:val="0"/>
                <w:sz w:val="21"/>
                <w:szCs w:val="21"/>
                <w:lang w:eastAsia="zh-CN"/>
              </w:rPr>
            </w:pPr>
            <w:r>
              <w:rPr>
                <w:rFonts w:hint="eastAsia" w:cs="宋体"/>
                <w:kern w:val="0"/>
                <w:sz w:val="21"/>
                <w:szCs w:val="21"/>
                <w:lang w:val="en-US" w:eastAsia="zh-CN"/>
              </w:rPr>
              <w:t>固废</w:t>
            </w:r>
          </w:p>
        </w:tc>
        <w:tc>
          <w:tcPr>
            <w:tcW w:w="713" w:type="pct"/>
            <w:vAlign w:val="center"/>
          </w:tcPr>
          <w:p w14:paraId="3B142657">
            <w:pPr>
              <w:snapToGrid w:val="0"/>
              <w:spacing w:line="240" w:lineRule="auto"/>
              <w:ind w:firstLine="0" w:firstLineChars="0"/>
              <w:jc w:val="center"/>
              <w:rPr>
                <w:rFonts w:hint="default" w:eastAsia="宋体" w:cs="宋体"/>
                <w:kern w:val="0"/>
                <w:sz w:val="21"/>
                <w:szCs w:val="21"/>
                <w:highlight w:val="none"/>
                <w:lang w:val="en-US" w:eastAsia="zh-CN"/>
              </w:rPr>
            </w:pPr>
            <w:r>
              <w:rPr>
                <w:rFonts w:hint="eastAsia" w:cs="宋体"/>
                <w:kern w:val="0"/>
                <w:sz w:val="21"/>
                <w:szCs w:val="21"/>
                <w:highlight w:val="none"/>
                <w:lang w:val="en-US" w:eastAsia="zh-CN"/>
              </w:rPr>
              <w:t>催化除氧</w:t>
            </w:r>
          </w:p>
        </w:tc>
        <w:tc>
          <w:tcPr>
            <w:tcW w:w="914" w:type="pct"/>
            <w:vAlign w:val="center"/>
          </w:tcPr>
          <w:p w14:paraId="4C69098B">
            <w:pPr>
              <w:snapToGrid w:val="0"/>
              <w:spacing w:line="240" w:lineRule="auto"/>
              <w:ind w:firstLine="0" w:firstLineChars="0"/>
              <w:jc w:val="center"/>
              <w:rPr>
                <w:rFonts w:hint="eastAsia" w:eastAsia="宋体" w:cs="宋体"/>
                <w:kern w:val="0"/>
                <w:sz w:val="21"/>
                <w:szCs w:val="21"/>
                <w:highlight w:val="none"/>
                <w:lang w:eastAsia="zh-CN"/>
              </w:rPr>
            </w:pPr>
            <w:r>
              <w:rPr>
                <w:rFonts w:hint="eastAsia" w:cs="宋体"/>
                <w:kern w:val="0"/>
                <w:sz w:val="21"/>
                <w:szCs w:val="21"/>
                <w:highlight w:val="none"/>
                <w:lang w:val="en-US" w:eastAsia="zh-CN"/>
              </w:rPr>
              <w:t>废催化剂</w:t>
            </w:r>
          </w:p>
        </w:tc>
        <w:tc>
          <w:tcPr>
            <w:tcW w:w="914" w:type="pct"/>
            <w:vAlign w:val="center"/>
          </w:tcPr>
          <w:p w14:paraId="2166975D">
            <w:pPr>
              <w:snapToGrid w:val="0"/>
              <w:spacing w:line="240" w:lineRule="auto"/>
              <w:ind w:firstLine="0" w:firstLineChars="0"/>
              <w:jc w:val="center"/>
              <w:rPr>
                <w:rFonts w:hint="default" w:eastAsia="宋体" w:cs="宋体"/>
                <w:kern w:val="0"/>
                <w:sz w:val="21"/>
                <w:szCs w:val="21"/>
                <w:highlight w:val="none"/>
                <w:lang w:val="en-US" w:eastAsia="zh-CN"/>
              </w:rPr>
            </w:pPr>
            <w:r>
              <w:rPr>
                <w:rFonts w:hint="eastAsia" w:cs="宋体"/>
                <w:kern w:val="0"/>
                <w:sz w:val="21"/>
                <w:szCs w:val="21"/>
                <w:highlight w:val="none"/>
                <w:lang w:val="en-US" w:eastAsia="zh-CN"/>
              </w:rPr>
              <w:t>/</w:t>
            </w:r>
          </w:p>
        </w:tc>
        <w:tc>
          <w:tcPr>
            <w:tcW w:w="593" w:type="pct"/>
            <w:vAlign w:val="center"/>
          </w:tcPr>
          <w:p w14:paraId="2244C466">
            <w:pPr>
              <w:snapToGrid w:val="0"/>
              <w:spacing w:line="240" w:lineRule="auto"/>
              <w:ind w:firstLine="0" w:firstLineChars="0"/>
              <w:jc w:val="center"/>
              <w:rPr>
                <w:rFonts w:hint="default" w:eastAsia="宋体" w:cs="宋体"/>
                <w:kern w:val="0"/>
                <w:sz w:val="21"/>
                <w:szCs w:val="21"/>
                <w:highlight w:val="none"/>
                <w:lang w:val="en-US" w:eastAsia="zh-CN"/>
              </w:rPr>
            </w:pPr>
            <w:r>
              <w:rPr>
                <w:rFonts w:hint="eastAsia" w:cs="宋体"/>
                <w:kern w:val="0"/>
                <w:sz w:val="21"/>
                <w:szCs w:val="21"/>
                <w:highlight w:val="none"/>
                <w:lang w:val="en-US" w:eastAsia="zh-CN"/>
              </w:rPr>
              <w:t>间歇</w:t>
            </w:r>
          </w:p>
        </w:tc>
        <w:tc>
          <w:tcPr>
            <w:tcW w:w="1540" w:type="pct"/>
            <w:vAlign w:val="center"/>
          </w:tcPr>
          <w:p w14:paraId="550611BB">
            <w:pPr>
              <w:snapToGrid w:val="0"/>
              <w:spacing w:line="240" w:lineRule="auto"/>
              <w:ind w:firstLine="420" w:firstLineChars="200"/>
              <w:jc w:val="center"/>
              <w:rPr>
                <w:rFonts w:hint="default" w:eastAsia="宋体" w:cs="宋体"/>
                <w:kern w:val="0"/>
                <w:sz w:val="21"/>
                <w:szCs w:val="21"/>
                <w:highlight w:val="none"/>
                <w:lang w:val="en-US" w:eastAsia="zh-CN"/>
              </w:rPr>
            </w:pPr>
            <w:r>
              <w:rPr>
                <w:rFonts w:hint="eastAsia" w:cs="宋体"/>
                <w:kern w:val="0"/>
                <w:sz w:val="21"/>
                <w:szCs w:val="21"/>
              </w:rPr>
              <w:t>作</w:t>
            </w:r>
            <w:r>
              <w:rPr>
                <w:rFonts w:cs="宋体"/>
                <w:kern w:val="0"/>
                <w:sz w:val="21"/>
                <w:szCs w:val="21"/>
              </w:rPr>
              <w:t>危险废物处置</w:t>
            </w:r>
          </w:p>
        </w:tc>
      </w:tr>
      <w:tr w14:paraId="29E46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vMerge w:val="continue"/>
            <w:vAlign w:val="center"/>
          </w:tcPr>
          <w:p w14:paraId="31ACBFAB">
            <w:pPr>
              <w:snapToGrid w:val="0"/>
              <w:spacing w:line="240" w:lineRule="auto"/>
              <w:ind w:firstLine="0" w:firstLineChars="0"/>
              <w:jc w:val="center"/>
              <w:rPr>
                <w:rFonts w:hint="eastAsia" w:cs="宋体"/>
                <w:kern w:val="0"/>
                <w:sz w:val="21"/>
                <w:szCs w:val="21"/>
                <w:lang w:val="en-US" w:eastAsia="zh-CN"/>
              </w:rPr>
            </w:pPr>
          </w:p>
        </w:tc>
        <w:tc>
          <w:tcPr>
            <w:tcW w:w="713" w:type="pct"/>
            <w:vAlign w:val="center"/>
          </w:tcPr>
          <w:p w14:paraId="1CF2BAA5">
            <w:pPr>
              <w:snapToGrid w:val="0"/>
              <w:spacing w:line="240" w:lineRule="auto"/>
              <w:ind w:firstLine="0" w:firstLineChars="0"/>
              <w:jc w:val="center"/>
              <w:rPr>
                <w:rFonts w:hint="default" w:cs="宋体"/>
                <w:kern w:val="0"/>
                <w:sz w:val="21"/>
                <w:szCs w:val="21"/>
                <w:highlight w:val="none"/>
                <w:lang w:val="en-US" w:eastAsia="zh-CN"/>
              </w:rPr>
            </w:pPr>
            <w:r>
              <w:rPr>
                <w:rFonts w:hint="eastAsia" w:cs="宋体"/>
                <w:kern w:val="0"/>
                <w:sz w:val="21"/>
                <w:szCs w:val="21"/>
                <w:highlight w:val="none"/>
                <w:lang w:val="en-US" w:eastAsia="zh-CN"/>
              </w:rPr>
              <w:t>变压吸附</w:t>
            </w:r>
          </w:p>
        </w:tc>
        <w:tc>
          <w:tcPr>
            <w:tcW w:w="914" w:type="pct"/>
            <w:vAlign w:val="center"/>
          </w:tcPr>
          <w:p w14:paraId="1A381BA4">
            <w:pPr>
              <w:snapToGrid w:val="0"/>
              <w:spacing w:line="240" w:lineRule="auto"/>
              <w:ind w:firstLine="0" w:firstLineChars="0"/>
              <w:jc w:val="center"/>
              <w:rPr>
                <w:rFonts w:hint="default" w:cs="宋体"/>
                <w:kern w:val="0"/>
                <w:sz w:val="21"/>
                <w:szCs w:val="21"/>
                <w:highlight w:val="none"/>
                <w:lang w:val="en-US" w:eastAsia="zh-CN"/>
              </w:rPr>
            </w:pPr>
            <w:r>
              <w:rPr>
                <w:rFonts w:hint="eastAsia" w:cs="宋体"/>
                <w:kern w:val="0"/>
                <w:sz w:val="21"/>
                <w:szCs w:val="21"/>
                <w:highlight w:val="none"/>
                <w:lang w:val="en-US" w:eastAsia="zh-CN"/>
              </w:rPr>
              <w:t>废吸附剂</w:t>
            </w:r>
          </w:p>
        </w:tc>
        <w:tc>
          <w:tcPr>
            <w:tcW w:w="914" w:type="pct"/>
            <w:vAlign w:val="center"/>
          </w:tcPr>
          <w:p w14:paraId="68ADEB53">
            <w:pPr>
              <w:snapToGrid w:val="0"/>
              <w:spacing w:line="240" w:lineRule="auto"/>
              <w:ind w:firstLine="0" w:firstLineChars="0"/>
              <w:jc w:val="center"/>
              <w:rPr>
                <w:rFonts w:hint="default" w:cs="宋体"/>
                <w:kern w:val="0"/>
                <w:sz w:val="21"/>
                <w:szCs w:val="21"/>
                <w:highlight w:val="none"/>
                <w:lang w:val="en-US" w:eastAsia="zh-CN"/>
              </w:rPr>
            </w:pPr>
            <w:r>
              <w:rPr>
                <w:rFonts w:hint="eastAsia" w:cs="宋体"/>
                <w:kern w:val="0"/>
                <w:sz w:val="21"/>
                <w:szCs w:val="21"/>
                <w:highlight w:val="none"/>
                <w:lang w:val="en-US" w:eastAsia="zh-CN"/>
              </w:rPr>
              <w:t>/</w:t>
            </w:r>
          </w:p>
        </w:tc>
        <w:tc>
          <w:tcPr>
            <w:tcW w:w="593" w:type="pct"/>
            <w:vAlign w:val="center"/>
          </w:tcPr>
          <w:p w14:paraId="41D2E4FC">
            <w:pPr>
              <w:snapToGrid w:val="0"/>
              <w:spacing w:line="240" w:lineRule="auto"/>
              <w:ind w:firstLine="0" w:firstLineChars="0"/>
              <w:jc w:val="center"/>
              <w:rPr>
                <w:rFonts w:hint="default" w:cs="宋体"/>
                <w:kern w:val="0"/>
                <w:sz w:val="21"/>
                <w:szCs w:val="21"/>
                <w:highlight w:val="none"/>
                <w:lang w:val="en-US" w:eastAsia="zh-CN"/>
              </w:rPr>
            </w:pPr>
            <w:r>
              <w:rPr>
                <w:rFonts w:hint="eastAsia" w:cs="宋体"/>
                <w:kern w:val="0"/>
                <w:sz w:val="21"/>
                <w:szCs w:val="21"/>
                <w:highlight w:val="none"/>
                <w:lang w:val="en-US" w:eastAsia="zh-CN"/>
              </w:rPr>
              <w:t>间歇</w:t>
            </w:r>
          </w:p>
        </w:tc>
        <w:tc>
          <w:tcPr>
            <w:tcW w:w="1540" w:type="pct"/>
            <w:vAlign w:val="center"/>
          </w:tcPr>
          <w:p w14:paraId="761F1554">
            <w:pPr>
              <w:snapToGrid w:val="0"/>
              <w:spacing w:line="240" w:lineRule="auto"/>
              <w:ind w:firstLine="420" w:firstLineChars="200"/>
              <w:jc w:val="center"/>
              <w:rPr>
                <w:rFonts w:hint="eastAsia" w:cs="宋体"/>
                <w:kern w:val="0"/>
                <w:sz w:val="21"/>
                <w:szCs w:val="21"/>
                <w:highlight w:val="none"/>
                <w:lang w:val="en-US" w:eastAsia="zh-CN"/>
              </w:rPr>
            </w:pPr>
            <w:r>
              <w:rPr>
                <w:rFonts w:hint="eastAsia" w:cs="宋体"/>
                <w:kern w:val="0"/>
                <w:sz w:val="21"/>
                <w:szCs w:val="21"/>
              </w:rPr>
              <w:t>作</w:t>
            </w:r>
            <w:r>
              <w:rPr>
                <w:rFonts w:cs="宋体"/>
                <w:kern w:val="0"/>
                <w:sz w:val="21"/>
                <w:szCs w:val="21"/>
              </w:rPr>
              <w:t>危险废物处置</w:t>
            </w:r>
          </w:p>
        </w:tc>
      </w:tr>
    </w:tbl>
    <w:p w14:paraId="6199C9F9">
      <w:pPr>
        <w:bidi w:val="0"/>
      </w:pPr>
    </w:p>
    <w:p w14:paraId="5079F74A">
      <w:pPr>
        <w:bidi w:val="0"/>
        <w:ind w:left="0" w:leftChars="0" w:firstLine="0" w:firstLineChars="0"/>
      </w:pPr>
      <w:r>
        <w:object>
          <v:shape id="_x0000_i1083" o:spt="75" type="#_x0000_t75" style="height:199.75pt;width:415.05pt;" o:ole="t" filled="f" o:preferrelative="t" stroked="f" coordsize="21600,21600">
            <v:path/>
            <v:fill on="f" focussize="0,0"/>
            <v:stroke on="f"/>
            <v:imagedata r:id="rId125" o:title=""/>
            <o:lock v:ext="edit" aspectratio="f"/>
            <w10:wrap type="none"/>
            <w10:anchorlock/>
          </v:shape>
          <o:OLEObject Type="Embed" ProgID="Visio.Drawing.15" ShapeID="_x0000_i1083" DrawAspect="Content" ObjectID="_1468075783" r:id="rId124">
            <o:LockedField>false</o:LockedField>
          </o:OLEObject>
        </w:object>
      </w:r>
    </w:p>
    <w:p w14:paraId="01A05199">
      <w:pPr>
        <w:pStyle w:val="42"/>
        <w:numPr>
          <w:ilvl w:val="6"/>
          <w:numId w:val="1"/>
        </w:numPr>
        <w:rPr>
          <w:rFonts w:hint="default"/>
        </w:rPr>
      </w:pPr>
      <w:r>
        <w:rPr>
          <w:rFonts w:hint="eastAsia"/>
          <w:lang w:val="en-US" w:eastAsia="zh-CN"/>
        </w:rPr>
        <w:t>氢气回收</w:t>
      </w:r>
      <w:r>
        <w:t>工艺流程及产污环节示意图</w:t>
      </w:r>
    </w:p>
    <w:p w14:paraId="10EA80F8">
      <w:pPr>
        <w:bidi w:val="0"/>
        <w:ind w:left="0" w:leftChars="0" w:firstLine="0" w:firstLineChars="0"/>
        <w:rPr>
          <w:rFonts w:hint="default"/>
          <w:lang w:val="en-US" w:eastAsia="zh-CN"/>
        </w:rPr>
      </w:pPr>
    </w:p>
    <w:p w14:paraId="5364915B">
      <w:pPr>
        <w:pStyle w:val="4"/>
        <w:numPr>
          <w:ilvl w:val="2"/>
          <w:numId w:val="1"/>
        </w:numPr>
      </w:pPr>
      <w:r>
        <w:rPr>
          <w:rFonts w:hint="eastAsia"/>
        </w:rPr>
        <w:t>储运工程</w:t>
      </w:r>
    </w:p>
    <w:p w14:paraId="1AA2E9E3">
      <w:pPr>
        <w:pStyle w:val="6"/>
        <w:bidi w:val="0"/>
      </w:pPr>
      <w:r>
        <w:rPr>
          <w:rFonts w:hint="eastAsia"/>
        </w:rPr>
        <w:t>交通方案</w:t>
      </w:r>
    </w:p>
    <w:p w14:paraId="4D351C08">
      <w:pPr>
        <w:ind w:firstLine="480"/>
        <w:rPr>
          <w:highlight w:val="none"/>
        </w:rPr>
      </w:pPr>
      <w:r>
        <w:t>厂区道路为混凝土道路，主、次要道路宽度可满足运输要求。本项目的主要</w:t>
      </w:r>
      <w:r>
        <w:rPr>
          <w:highlight w:val="none"/>
        </w:rPr>
        <w:t>由汽车运入，出厂的产品先由汽车运出厂区，再由社会运输力量运往各地。</w:t>
      </w:r>
    </w:p>
    <w:p w14:paraId="57D9CC0F">
      <w:pPr>
        <w:pStyle w:val="6"/>
        <w:bidi w:val="0"/>
      </w:pPr>
      <w:r>
        <w:rPr>
          <w:rFonts w:hint="eastAsia"/>
        </w:rPr>
        <w:t>运输方案</w:t>
      </w:r>
    </w:p>
    <w:p w14:paraId="3DB9474E">
      <w:pPr>
        <w:ind w:firstLine="480"/>
      </w:pPr>
      <w:r>
        <w:t>本项目拟采用公路运输，原材料从供应商采购，由供方送货上门。产品考虑利用具有危险化学品运输资质的社会运输力量。</w:t>
      </w:r>
    </w:p>
    <w:p w14:paraId="1B1EA787">
      <w:pPr>
        <w:ind w:firstLine="480"/>
      </w:pPr>
      <w:r>
        <w:t>本项目厂内货物运输拟采用人力机械，厂外货物运输任务拟依托社会力量完成。本项目涉及的物料大部分为易燃、易爆、有毒和腐蚀性危险化学品，对这部分原料的运输必须使用专用危险化学品运输车辆，具体运输方式由用户自定。</w:t>
      </w:r>
    </w:p>
    <w:p w14:paraId="0EDDA9FD">
      <w:pPr>
        <w:ind w:firstLine="480"/>
      </w:pPr>
      <w:r>
        <w:t>本项目运输有氯酸钠、</w:t>
      </w:r>
      <w:r>
        <w:rPr>
          <w:rFonts w:hint="eastAsia"/>
          <w:lang w:val="en-US" w:eastAsia="zh-CN"/>
        </w:rPr>
        <w:t>氯酸钾、</w:t>
      </w:r>
      <w:r>
        <w:t>高氯酸钠、高氯酸钾</w:t>
      </w:r>
      <w:r>
        <w:rPr>
          <w:rFonts w:hint="eastAsia"/>
          <w:lang w:eastAsia="zh-CN"/>
        </w:rPr>
        <w:t>、</w:t>
      </w:r>
      <w:r>
        <w:rPr>
          <w:rFonts w:hint="eastAsia"/>
          <w:lang w:val="en-US" w:eastAsia="zh-CN"/>
        </w:rPr>
        <w:t>高氯酸、氢气</w:t>
      </w:r>
      <w:r>
        <w:t>等危险化学品，在装卸和运输过程中应严格执行相关操作规程和规范，且应制定完善的应急救援预案。</w:t>
      </w:r>
    </w:p>
    <w:p w14:paraId="7E930847">
      <w:pPr>
        <w:pStyle w:val="6"/>
        <w:bidi w:val="0"/>
      </w:pPr>
      <w:r>
        <w:rPr>
          <w:rFonts w:hint="eastAsia"/>
        </w:rPr>
        <w:t>储运方案</w:t>
      </w:r>
    </w:p>
    <w:p w14:paraId="5F75A789">
      <w:pPr>
        <w:ind w:firstLine="480"/>
        <w:rPr>
          <w:rFonts w:hint="default" w:eastAsia="Sim Sun"/>
          <w:highlight w:val="yellow"/>
          <w:lang w:val="en-US" w:eastAsia="zh-CN"/>
        </w:rPr>
      </w:pPr>
      <w:r>
        <w:t>为了满足原、辅材料和产品的储存需求，本项目在厂区设置</w:t>
      </w:r>
      <w:r>
        <w:rPr>
          <w:rFonts w:hint="eastAsia"/>
        </w:rPr>
        <w:t>2个罐区，罐区1设置7座储罐，其中3个氯化钠储罐，3个氯化钾储罐，1个氯酸钾储罐；罐区2设置3个储罐，其中1个盐酸储罐，1个液碱储罐，1个冷凝</w:t>
      </w:r>
      <w:r>
        <w:rPr>
          <w:rFonts w:hint="eastAsia"/>
          <w:lang w:val="en-US" w:eastAsia="zh-CN"/>
        </w:rPr>
        <w:t>水</w:t>
      </w:r>
      <w:r>
        <w:rPr>
          <w:rFonts w:hint="eastAsia"/>
        </w:rPr>
        <w:t>储罐</w:t>
      </w:r>
      <w:r>
        <w:t>。高氯酸钠、高氯酸钾等储存于</w:t>
      </w:r>
      <w:r>
        <w:rPr>
          <w:rFonts w:hint="eastAsia"/>
        </w:rPr>
        <w:t>成品仓库</w:t>
      </w:r>
      <w:r>
        <w:t>；氯化钾存储</w:t>
      </w:r>
      <w:r>
        <w:rPr>
          <w:rFonts w:hint="eastAsia"/>
        </w:rPr>
        <w:t>于氯化钾</w:t>
      </w:r>
      <w:r>
        <w:t>仓库，包装材料</w:t>
      </w:r>
      <w:r>
        <w:rPr>
          <w:rFonts w:hint="eastAsia"/>
        </w:rPr>
        <w:t>及其他原辅料</w:t>
      </w:r>
      <w:r>
        <w:t>储存于</w:t>
      </w:r>
      <w:r>
        <w:rPr>
          <w:rFonts w:hint="eastAsia"/>
        </w:rPr>
        <w:t>原料</w:t>
      </w:r>
      <w:r>
        <w:t>仓库</w:t>
      </w:r>
      <w:r>
        <w:rPr>
          <w:highlight w:val="none"/>
        </w:rPr>
        <w:t>。</w:t>
      </w:r>
      <w:r>
        <w:rPr>
          <w:rFonts w:hint="eastAsia"/>
          <w:highlight w:val="none"/>
          <w:lang w:val="en-US" w:eastAsia="zh-CN"/>
        </w:rPr>
        <w:t>氢气回收区设有1座气柜，容积约为2000m</w:t>
      </w:r>
      <w:r>
        <w:rPr>
          <w:rFonts w:hint="eastAsia"/>
          <w:highlight w:val="none"/>
          <w:vertAlign w:val="superscript"/>
          <w:lang w:val="en-US" w:eastAsia="zh-CN"/>
        </w:rPr>
        <w:t>3</w:t>
      </w:r>
      <w:r>
        <w:rPr>
          <w:rFonts w:hint="eastAsia"/>
          <w:highlight w:val="none"/>
          <w:lang w:val="en-US" w:eastAsia="zh-CN"/>
        </w:rPr>
        <w:t>。</w:t>
      </w:r>
    </w:p>
    <w:p w14:paraId="5481073C">
      <w:pPr>
        <w:ind w:firstLine="480"/>
      </w:pPr>
      <w:r>
        <w:t>厂区内袋装或桶装物料采用叉车运输，其它液体物料</w:t>
      </w:r>
      <w:r>
        <w:rPr>
          <w:rFonts w:hint="eastAsia"/>
          <w:lang w:eastAsia="zh-CN"/>
        </w:rPr>
        <w:t>、</w:t>
      </w:r>
      <w:r>
        <w:rPr>
          <w:rFonts w:hint="eastAsia"/>
          <w:lang w:val="en-US" w:eastAsia="zh-CN"/>
        </w:rPr>
        <w:t>回收氢气</w:t>
      </w:r>
      <w:r>
        <w:t>通过管道运输</w:t>
      </w:r>
      <w:r>
        <w:rPr>
          <w:rFonts w:hint="eastAsia"/>
        </w:rPr>
        <w:t>。</w:t>
      </w:r>
    </w:p>
    <w:p w14:paraId="3118CA36">
      <w:pPr>
        <w:pStyle w:val="43"/>
        <w:numPr>
          <w:ilvl w:val="5"/>
          <w:numId w:val="1"/>
        </w:numPr>
        <w:rPr>
          <w:rFonts w:hint="default"/>
        </w:rPr>
      </w:pPr>
      <w:r>
        <w:t>物料储存情况一览表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8"/>
        <w:gridCol w:w="1703"/>
        <w:gridCol w:w="1912"/>
        <w:gridCol w:w="1304"/>
        <w:gridCol w:w="1833"/>
        <w:gridCol w:w="1129"/>
      </w:tblGrid>
      <w:tr w14:paraId="6284A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blHeader/>
        </w:trPr>
        <w:tc>
          <w:tcPr>
            <w:tcW w:w="374" w:type="pct"/>
            <w:shd w:val="clear" w:color="auto" w:fill="auto"/>
            <w:noWrap/>
            <w:vAlign w:val="center"/>
          </w:tcPr>
          <w:p w14:paraId="77C07056">
            <w:pPr>
              <w:pStyle w:val="45"/>
              <w:rPr>
                <w:rFonts w:hint="default"/>
                <w:b/>
                <w:bCs/>
              </w:rPr>
            </w:pPr>
            <w:r>
              <w:rPr>
                <w:b/>
                <w:bCs/>
              </w:rPr>
              <w:t>序号</w:t>
            </w:r>
          </w:p>
        </w:tc>
        <w:tc>
          <w:tcPr>
            <w:tcW w:w="1021" w:type="pct"/>
            <w:shd w:val="clear" w:color="auto" w:fill="auto"/>
            <w:noWrap/>
            <w:vAlign w:val="center"/>
          </w:tcPr>
          <w:p w14:paraId="3B6C4A72">
            <w:pPr>
              <w:pStyle w:val="45"/>
              <w:rPr>
                <w:rFonts w:hint="default"/>
                <w:b/>
                <w:bCs/>
              </w:rPr>
            </w:pPr>
            <w:r>
              <w:rPr>
                <w:b/>
                <w:bCs/>
              </w:rPr>
              <w:t>名称</w:t>
            </w:r>
          </w:p>
        </w:tc>
        <w:tc>
          <w:tcPr>
            <w:tcW w:w="1034" w:type="pct"/>
            <w:shd w:val="clear" w:color="auto" w:fill="auto"/>
            <w:noWrap/>
            <w:vAlign w:val="center"/>
          </w:tcPr>
          <w:p w14:paraId="1A4D459F">
            <w:pPr>
              <w:pStyle w:val="45"/>
              <w:rPr>
                <w:rFonts w:hint="default"/>
                <w:b/>
                <w:bCs/>
              </w:rPr>
            </w:pPr>
            <w:r>
              <w:rPr>
                <w:b/>
                <w:bCs/>
              </w:rPr>
              <w:t>最大储存量（</w:t>
            </w:r>
            <w:r>
              <w:rPr>
                <w:rFonts w:hint="default"/>
                <w:b/>
                <w:bCs/>
              </w:rPr>
              <w:t>t</w:t>
            </w:r>
            <w:r>
              <w:rPr>
                <w:b/>
                <w:bCs/>
              </w:rPr>
              <w:t>）</w:t>
            </w:r>
          </w:p>
        </w:tc>
        <w:tc>
          <w:tcPr>
            <w:tcW w:w="787" w:type="pct"/>
            <w:shd w:val="clear" w:color="auto" w:fill="auto"/>
            <w:noWrap/>
            <w:vAlign w:val="center"/>
          </w:tcPr>
          <w:p w14:paraId="59516F58">
            <w:pPr>
              <w:pStyle w:val="45"/>
              <w:rPr>
                <w:rFonts w:hint="default"/>
                <w:b/>
                <w:bCs/>
              </w:rPr>
            </w:pPr>
            <w:r>
              <w:rPr>
                <w:b/>
                <w:bCs/>
              </w:rPr>
              <w:t>形态</w:t>
            </w:r>
          </w:p>
        </w:tc>
        <w:tc>
          <w:tcPr>
            <w:tcW w:w="1097" w:type="pct"/>
            <w:shd w:val="clear" w:color="auto" w:fill="auto"/>
            <w:noWrap/>
            <w:vAlign w:val="center"/>
          </w:tcPr>
          <w:p w14:paraId="0600A9A1">
            <w:pPr>
              <w:pStyle w:val="45"/>
              <w:rPr>
                <w:rFonts w:hint="default"/>
                <w:b/>
                <w:bCs/>
              </w:rPr>
            </w:pPr>
            <w:r>
              <w:rPr>
                <w:b/>
                <w:bCs/>
              </w:rPr>
              <w:t>包装方式</w:t>
            </w:r>
          </w:p>
        </w:tc>
        <w:tc>
          <w:tcPr>
            <w:tcW w:w="684" w:type="pct"/>
            <w:shd w:val="clear" w:color="auto" w:fill="auto"/>
            <w:noWrap/>
            <w:vAlign w:val="center"/>
          </w:tcPr>
          <w:p w14:paraId="10CB43B7">
            <w:pPr>
              <w:pStyle w:val="45"/>
              <w:rPr>
                <w:rFonts w:hint="default"/>
                <w:b/>
                <w:bCs/>
              </w:rPr>
            </w:pPr>
            <w:r>
              <w:rPr>
                <w:b/>
                <w:bCs/>
              </w:rPr>
              <w:t>储存位置</w:t>
            </w:r>
          </w:p>
        </w:tc>
      </w:tr>
      <w:tr w14:paraId="17B6A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4" w:type="pct"/>
            <w:shd w:val="clear" w:color="auto" w:fill="auto"/>
            <w:noWrap/>
            <w:vAlign w:val="center"/>
          </w:tcPr>
          <w:p w14:paraId="0238CFF6">
            <w:pPr>
              <w:pStyle w:val="45"/>
              <w:rPr>
                <w:rFonts w:hint="default"/>
              </w:rPr>
            </w:pPr>
            <w:r>
              <w:rPr>
                <w:rFonts w:hint="default"/>
              </w:rPr>
              <w:t>1</w:t>
            </w:r>
          </w:p>
        </w:tc>
        <w:tc>
          <w:tcPr>
            <w:tcW w:w="1021" w:type="pct"/>
            <w:shd w:val="clear" w:color="auto" w:fill="auto"/>
            <w:noWrap/>
            <w:vAlign w:val="center"/>
          </w:tcPr>
          <w:p w14:paraId="3F7440D2">
            <w:pPr>
              <w:pStyle w:val="45"/>
              <w:rPr>
                <w:rFonts w:hint="default"/>
              </w:rPr>
            </w:pPr>
            <w:r>
              <w:t>原料盐</w:t>
            </w:r>
          </w:p>
        </w:tc>
        <w:tc>
          <w:tcPr>
            <w:tcW w:w="1034" w:type="pct"/>
            <w:shd w:val="clear" w:color="auto" w:fill="auto"/>
            <w:noWrap/>
            <w:vAlign w:val="center"/>
          </w:tcPr>
          <w:p w14:paraId="7ECB7FA4">
            <w:pPr>
              <w:pStyle w:val="45"/>
              <w:rPr>
                <w:rFonts w:hint="default"/>
              </w:rPr>
            </w:pPr>
            <w:r>
              <w:rPr>
                <w:rFonts w:hint="default"/>
              </w:rPr>
              <w:t>60</w:t>
            </w:r>
          </w:p>
        </w:tc>
        <w:tc>
          <w:tcPr>
            <w:tcW w:w="787" w:type="pct"/>
            <w:shd w:val="clear" w:color="auto" w:fill="auto"/>
            <w:noWrap/>
            <w:vAlign w:val="center"/>
          </w:tcPr>
          <w:p w14:paraId="73D95E97">
            <w:pPr>
              <w:pStyle w:val="45"/>
              <w:rPr>
                <w:rFonts w:hint="default"/>
              </w:rPr>
            </w:pPr>
            <w:r>
              <w:t>固体</w:t>
            </w:r>
          </w:p>
        </w:tc>
        <w:tc>
          <w:tcPr>
            <w:tcW w:w="1097" w:type="pct"/>
            <w:shd w:val="clear" w:color="auto" w:fill="auto"/>
            <w:noWrap/>
            <w:vAlign w:val="center"/>
          </w:tcPr>
          <w:p w14:paraId="7B176BB8">
            <w:pPr>
              <w:pStyle w:val="45"/>
              <w:rPr>
                <w:rFonts w:hint="default"/>
              </w:rPr>
            </w:pPr>
            <w:r>
              <w:t>袋装</w:t>
            </w:r>
          </w:p>
        </w:tc>
        <w:tc>
          <w:tcPr>
            <w:tcW w:w="684" w:type="pct"/>
            <w:shd w:val="clear" w:color="auto" w:fill="auto"/>
            <w:noWrap/>
            <w:vAlign w:val="center"/>
          </w:tcPr>
          <w:p w14:paraId="4F100D44">
            <w:pPr>
              <w:pStyle w:val="45"/>
              <w:rPr>
                <w:rFonts w:hint="default"/>
              </w:rPr>
            </w:pPr>
            <w:r>
              <w:t>原料仓库</w:t>
            </w:r>
          </w:p>
        </w:tc>
      </w:tr>
      <w:tr w14:paraId="2228D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4" w:type="pct"/>
            <w:shd w:val="clear" w:color="auto" w:fill="auto"/>
            <w:noWrap/>
            <w:vAlign w:val="center"/>
          </w:tcPr>
          <w:p w14:paraId="6CCB963E">
            <w:pPr>
              <w:pStyle w:val="45"/>
              <w:rPr>
                <w:rFonts w:hint="default"/>
              </w:rPr>
            </w:pPr>
            <w:r>
              <w:rPr>
                <w:rFonts w:hint="default"/>
              </w:rPr>
              <w:t>2</w:t>
            </w:r>
          </w:p>
        </w:tc>
        <w:tc>
          <w:tcPr>
            <w:tcW w:w="1021" w:type="pct"/>
            <w:shd w:val="clear" w:color="auto" w:fill="auto"/>
            <w:noWrap/>
            <w:vAlign w:val="center"/>
          </w:tcPr>
          <w:p w14:paraId="05C2156F">
            <w:pPr>
              <w:pStyle w:val="45"/>
              <w:rPr>
                <w:rFonts w:hint="default"/>
              </w:rPr>
            </w:pPr>
            <w:r>
              <w:t>氢氧化钠</w:t>
            </w:r>
          </w:p>
        </w:tc>
        <w:tc>
          <w:tcPr>
            <w:tcW w:w="1034" w:type="pct"/>
            <w:shd w:val="clear" w:color="auto" w:fill="auto"/>
            <w:noWrap/>
            <w:vAlign w:val="center"/>
          </w:tcPr>
          <w:p w14:paraId="27EA2D77">
            <w:pPr>
              <w:pStyle w:val="45"/>
              <w:rPr>
                <w:rFonts w:hint="default"/>
              </w:rPr>
            </w:pPr>
            <w:r>
              <w:rPr>
                <w:rFonts w:hint="default"/>
              </w:rPr>
              <w:t>50</w:t>
            </w:r>
          </w:p>
        </w:tc>
        <w:tc>
          <w:tcPr>
            <w:tcW w:w="787" w:type="pct"/>
            <w:shd w:val="clear" w:color="auto" w:fill="auto"/>
            <w:noWrap/>
            <w:vAlign w:val="center"/>
          </w:tcPr>
          <w:p w14:paraId="6DAA2BA8">
            <w:pPr>
              <w:pStyle w:val="45"/>
              <w:rPr>
                <w:rFonts w:hint="default"/>
              </w:rPr>
            </w:pPr>
            <w:r>
              <w:t>液体</w:t>
            </w:r>
          </w:p>
        </w:tc>
        <w:tc>
          <w:tcPr>
            <w:tcW w:w="1097" w:type="pct"/>
            <w:shd w:val="clear" w:color="auto" w:fill="auto"/>
            <w:noWrap/>
            <w:vAlign w:val="center"/>
          </w:tcPr>
          <w:p w14:paraId="0320EBF5">
            <w:pPr>
              <w:pStyle w:val="45"/>
              <w:rPr>
                <w:rFonts w:hint="default"/>
              </w:rPr>
            </w:pPr>
            <w:r>
              <w:t>槽车</w:t>
            </w:r>
          </w:p>
        </w:tc>
        <w:tc>
          <w:tcPr>
            <w:tcW w:w="684" w:type="pct"/>
            <w:shd w:val="clear" w:color="auto" w:fill="auto"/>
            <w:noWrap/>
            <w:vAlign w:val="center"/>
          </w:tcPr>
          <w:p w14:paraId="0B7E64C3">
            <w:pPr>
              <w:pStyle w:val="45"/>
              <w:rPr>
                <w:rFonts w:hint="default"/>
              </w:rPr>
            </w:pPr>
            <w:r>
              <w:t>储罐</w:t>
            </w:r>
          </w:p>
        </w:tc>
      </w:tr>
      <w:tr w14:paraId="10A24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4" w:type="pct"/>
            <w:shd w:val="clear" w:color="auto" w:fill="auto"/>
            <w:noWrap/>
            <w:vAlign w:val="center"/>
          </w:tcPr>
          <w:p w14:paraId="1EFEC1F8">
            <w:pPr>
              <w:pStyle w:val="45"/>
              <w:rPr>
                <w:rFonts w:hint="default"/>
              </w:rPr>
            </w:pPr>
            <w:r>
              <w:rPr>
                <w:rFonts w:hint="default"/>
              </w:rPr>
              <w:t>3</w:t>
            </w:r>
          </w:p>
        </w:tc>
        <w:tc>
          <w:tcPr>
            <w:tcW w:w="1021" w:type="pct"/>
            <w:shd w:val="clear" w:color="auto" w:fill="auto"/>
            <w:noWrap/>
            <w:vAlign w:val="center"/>
          </w:tcPr>
          <w:p w14:paraId="733808DA">
            <w:pPr>
              <w:pStyle w:val="45"/>
              <w:rPr>
                <w:rFonts w:hint="default"/>
              </w:rPr>
            </w:pPr>
            <w:r>
              <w:rPr>
                <w:rFonts w:hint="eastAsia"/>
                <w:lang w:val="en-US" w:eastAsia="zh-CN"/>
              </w:rPr>
              <w:t>31%</w:t>
            </w:r>
            <w:r>
              <w:t>盐酸</w:t>
            </w:r>
          </w:p>
        </w:tc>
        <w:tc>
          <w:tcPr>
            <w:tcW w:w="1034" w:type="pct"/>
            <w:shd w:val="clear" w:color="auto" w:fill="auto"/>
            <w:noWrap/>
            <w:vAlign w:val="center"/>
          </w:tcPr>
          <w:p w14:paraId="34E2D825">
            <w:pPr>
              <w:pStyle w:val="45"/>
              <w:rPr>
                <w:rFonts w:hint="default"/>
              </w:rPr>
            </w:pPr>
            <w:r>
              <w:rPr>
                <w:rFonts w:hint="default"/>
              </w:rPr>
              <w:t>50</w:t>
            </w:r>
          </w:p>
        </w:tc>
        <w:tc>
          <w:tcPr>
            <w:tcW w:w="787" w:type="pct"/>
            <w:shd w:val="clear" w:color="auto" w:fill="auto"/>
            <w:noWrap/>
            <w:vAlign w:val="center"/>
          </w:tcPr>
          <w:p w14:paraId="5EDF7326">
            <w:pPr>
              <w:pStyle w:val="45"/>
              <w:rPr>
                <w:rFonts w:hint="default"/>
              </w:rPr>
            </w:pPr>
            <w:r>
              <w:t>液体</w:t>
            </w:r>
          </w:p>
        </w:tc>
        <w:tc>
          <w:tcPr>
            <w:tcW w:w="1097" w:type="pct"/>
            <w:shd w:val="clear" w:color="auto" w:fill="auto"/>
            <w:noWrap/>
            <w:vAlign w:val="center"/>
          </w:tcPr>
          <w:p w14:paraId="56B24BE0">
            <w:pPr>
              <w:pStyle w:val="45"/>
              <w:rPr>
                <w:rFonts w:hint="default"/>
              </w:rPr>
            </w:pPr>
            <w:r>
              <w:t>槽车</w:t>
            </w:r>
          </w:p>
        </w:tc>
        <w:tc>
          <w:tcPr>
            <w:tcW w:w="684" w:type="pct"/>
            <w:shd w:val="clear" w:color="auto" w:fill="auto"/>
            <w:noWrap/>
            <w:vAlign w:val="center"/>
          </w:tcPr>
          <w:p w14:paraId="150266FF">
            <w:pPr>
              <w:pStyle w:val="45"/>
              <w:rPr>
                <w:rFonts w:hint="default"/>
              </w:rPr>
            </w:pPr>
            <w:r>
              <w:t>储罐</w:t>
            </w:r>
          </w:p>
        </w:tc>
      </w:tr>
      <w:tr w14:paraId="60799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4" w:type="pct"/>
            <w:shd w:val="clear" w:color="auto" w:fill="auto"/>
            <w:noWrap/>
            <w:vAlign w:val="center"/>
          </w:tcPr>
          <w:p w14:paraId="39133058">
            <w:pPr>
              <w:pStyle w:val="45"/>
              <w:rPr>
                <w:rFonts w:hint="default"/>
              </w:rPr>
            </w:pPr>
            <w:r>
              <w:rPr>
                <w:rFonts w:hint="default"/>
              </w:rPr>
              <w:t>4</w:t>
            </w:r>
          </w:p>
        </w:tc>
        <w:tc>
          <w:tcPr>
            <w:tcW w:w="1021" w:type="pct"/>
            <w:shd w:val="clear" w:color="auto" w:fill="auto"/>
            <w:noWrap/>
            <w:vAlign w:val="center"/>
          </w:tcPr>
          <w:p w14:paraId="49DE5944">
            <w:pPr>
              <w:pStyle w:val="45"/>
              <w:rPr>
                <w:rFonts w:hint="default"/>
              </w:rPr>
            </w:pPr>
            <w:r>
              <w:t>尿素</w:t>
            </w:r>
          </w:p>
        </w:tc>
        <w:tc>
          <w:tcPr>
            <w:tcW w:w="1034" w:type="pct"/>
            <w:shd w:val="clear" w:color="auto" w:fill="auto"/>
            <w:noWrap/>
            <w:vAlign w:val="center"/>
          </w:tcPr>
          <w:p w14:paraId="1E6DB143">
            <w:pPr>
              <w:pStyle w:val="45"/>
              <w:rPr>
                <w:rFonts w:hint="default"/>
              </w:rPr>
            </w:pPr>
            <w:r>
              <w:rPr>
                <w:rFonts w:hint="default"/>
              </w:rPr>
              <w:t>5</w:t>
            </w:r>
          </w:p>
        </w:tc>
        <w:tc>
          <w:tcPr>
            <w:tcW w:w="787" w:type="pct"/>
            <w:shd w:val="clear" w:color="auto" w:fill="auto"/>
            <w:noWrap/>
            <w:vAlign w:val="center"/>
          </w:tcPr>
          <w:p w14:paraId="3806CFE4">
            <w:pPr>
              <w:pStyle w:val="45"/>
              <w:rPr>
                <w:rFonts w:hint="default"/>
              </w:rPr>
            </w:pPr>
            <w:r>
              <w:t>固体</w:t>
            </w:r>
          </w:p>
        </w:tc>
        <w:tc>
          <w:tcPr>
            <w:tcW w:w="1097" w:type="pct"/>
            <w:shd w:val="clear" w:color="auto" w:fill="auto"/>
            <w:noWrap/>
            <w:vAlign w:val="center"/>
          </w:tcPr>
          <w:p w14:paraId="50FDCA90">
            <w:pPr>
              <w:pStyle w:val="45"/>
              <w:rPr>
                <w:rFonts w:hint="default"/>
              </w:rPr>
            </w:pPr>
            <w:r>
              <w:t>袋装</w:t>
            </w:r>
          </w:p>
        </w:tc>
        <w:tc>
          <w:tcPr>
            <w:tcW w:w="684" w:type="pct"/>
            <w:shd w:val="clear" w:color="auto" w:fill="auto"/>
            <w:noWrap/>
            <w:vAlign w:val="center"/>
          </w:tcPr>
          <w:p w14:paraId="45D9C120">
            <w:pPr>
              <w:pStyle w:val="45"/>
              <w:rPr>
                <w:rFonts w:hint="default"/>
              </w:rPr>
            </w:pPr>
            <w:r>
              <w:t>原料仓库</w:t>
            </w:r>
          </w:p>
        </w:tc>
      </w:tr>
      <w:tr w14:paraId="0F2DB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4" w:type="pct"/>
            <w:shd w:val="clear" w:color="auto" w:fill="auto"/>
            <w:noWrap/>
            <w:vAlign w:val="center"/>
          </w:tcPr>
          <w:p w14:paraId="25ABD91B">
            <w:pPr>
              <w:pStyle w:val="45"/>
              <w:rPr>
                <w:rFonts w:hint="default"/>
              </w:rPr>
            </w:pPr>
            <w:r>
              <w:rPr>
                <w:rFonts w:hint="default"/>
              </w:rPr>
              <w:t>5</w:t>
            </w:r>
          </w:p>
        </w:tc>
        <w:tc>
          <w:tcPr>
            <w:tcW w:w="1021" w:type="pct"/>
            <w:shd w:val="clear" w:color="auto" w:fill="auto"/>
            <w:noWrap/>
            <w:vAlign w:val="center"/>
          </w:tcPr>
          <w:p w14:paraId="38BF2F24">
            <w:pPr>
              <w:pStyle w:val="45"/>
              <w:rPr>
                <w:rFonts w:hint="default"/>
              </w:rPr>
            </w:pPr>
            <w:r>
              <w:t>碳酸钠</w:t>
            </w:r>
          </w:p>
        </w:tc>
        <w:tc>
          <w:tcPr>
            <w:tcW w:w="1034" w:type="pct"/>
            <w:shd w:val="clear" w:color="auto" w:fill="auto"/>
            <w:noWrap/>
            <w:vAlign w:val="center"/>
          </w:tcPr>
          <w:p w14:paraId="5EF5E8F2">
            <w:pPr>
              <w:pStyle w:val="45"/>
              <w:rPr>
                <w:rFonts w:hint="default"/>
              </w:rPr>
            </w:pPr>
            <w:r>
              <w:rPr>
                <w:rFonts w:hint="default"/>
              </w:rPr>
              <w:t>10</w:t>
            </w:r>
          </w:p>
        </w:tc>
        <w:tc>
          <w:tcPr>
            <w:tcW w:w="787" w:type="pct"/>
            <w:shd w:val="clear" w:color="auto" w:fill="auto"/>
            <w:noWrap/>
            <w:vAlign w:val="center"/>
          </w:tcPr>
          <w:p w14:paraId="777B859C">
            <w:pPr>
              <w:pStyle w:val="45"/>
              <w:rPr>
                <w:rFonts w:hint="default"/>
              </w:rPr>
            </w:pPr>
            <w:r>
              <w:t>固体</w:t>
            </w:r>
          </w:p>
        </w:tc>
        <w:tc>
          <w:tcPr>
            <w:tcW w:w="1097" w:type="pct"/>
            <w:shd w:val="clear" w:color="auto" w:fill="auto"/>
            <w:noWrap/>
            <w:vAlign w:val="center"/>
          </w:tcPr>
          <w:p w14:paraId="17125033">
            <w:pPr>
              <w:pStyle w:val="45"/>
              <w:rPr>
                <w:rFonts w:hint="default"/>
              </w:rPr>
            </w:pPr>
            <w:r>
              <w:t>袋装</w:t>
            </w:r>
          </w:p>
        </w:tc>
        <w:tc>
          <w:tcPr>
            <w:tcW w:w="684" w:type="pct"/>
            <w:shd w:val="clear" w:color="auto" w:fill="auto"/>
            <w:noWrap/>
            <w:vAlign w:val="center"/>
          </w:tcPr>
          <w:p w14:paraId="62883DC4">
            <w:pPr>
              <w:pStyle w:val="45"/>
              <w:rPr>
                <w:rFonts w:hint="default"/>
              </w:rPr>
            </w:pPr>
            <w:r>
              <w:t>原料仓库</w:t>
            </w:r>
          </w:p>
        </w:tc>
      </w:tr>
      <w:tr w14:paraId="7A072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4" w:type="pct"/>
            <w:shd w:val="clear" w:color="auto" w:fill="auto"/>
            <w:noWrap/>
            <w:vAlign w:val="center"/>
          </w:tcPr>
          <w:p w14:paraId="3138C6DD">
            <w:pPr>
              <w:pStyle w:val="45"/>
              <w:rPr>
                <w:rFonts w:hint="default"/>
              </w:rPr>
            </w:pPr>
            <w:r>
              <w:rPr>
                <w:rFonts w:hint="default"/>
              </w:rPr>
              <w:t>6</w:t>
            </w:r>
          </w:p>
        </w:tc>
        <w:tc>
          <w:tcPr>
            <w:tcW w:w="1021" w:type="pct"/>
            <w:shd w:val="clear" w:color="auto" w:fill="auto"/>
            <w:noWrap/>
            <w:vAlign w:val="center"/>
          </w:tcPr>
          <w:p w14:paraId="2FF56A5D">
            <w:pPr>
              <w:pStyle w:val="45"/>
              <w:rPr>
                <w:rFonts w:hint="default"/>
              </w:rPr>
            </w:pPr>
            <w:r>
              <w:t>氯化钙</w:t>
            </w:r>
          </w:p>
        </w:tc>
        <w:tc>
          <w:tcPr>
            <w:tcW w:w="1034" w:type="pct"/>
            <w:shd w:val="clear" w:color="auto" w:fill="auto"/>
            <w:noWrap/>
            <w:vAlign w:val="center"/>
          </w:tcPr>
          <w:p w14:paraId="3C59CD04">
            <w:pPr>
              <w:pStyle w:val="45"/>
              <w:rPr>
                <w:rFonts w:hint="default"/>
              </w:rPr>
            </w:pPr>
            <w:r>
              <w:rPr>
                <w:rFonts w:hint="default"/>
              </w:rPr>
              <w:t>10</w:t>
            </w:r>
          </w:p>
        </w:tc>
        <w:tc>
          <w:tcPr>
            <w:tcW w:w="787" w:type="pct"/>
            <w:shd w:val="clear" w:color="auto" w:fill="auto"/>
            <w:noWrap/>
            <w:vAlign w:val="center"/>
          </w:tcPr>
          <w:p w14:paraId="1E305212">
            <w:pPr>
              <w:pStyle w:val="45"/>
              <w:rPr>
                <w:rFonts w:hint="default"/>
              </w:rPr>
            </w:pPr>
            <w:r>
              <w:t>固体</w:t>
            </w:r>
          </w:p>
        </w:tc>
        <w:tc>
          <w:tcPr>
            <w:tcW w:w="1097" w:type="pct"/>
            <w:shd w:val="clear" w:color="auto" w:fill="auto"/>
            <w:noWrap/>
            <w:vAlign w:val="center"/>
          </w:tcPr>
          <w:p w14:paraId="096C4532">
            <w:pPr>
              <w:pStyle w:val="45"/>
              <w:rPr>
                <w:rFonts w:hint="default"/>
              </w:rPr>
            </w:pPr>
            <w:r>
              <w:t>袋装</w:t>
            </w:r>
          </w:p>
        </w:tc>
        <w:tc>
          <w:tcPr>
            <w:tcW w:w="684" w:type="pct"/>
            <w:shd w:val="clear" w:color="auto" w:fill="auto"/>
            <w:noWrap/>
            <w:vAlign w:val="center"/>
          </w:tcPr>
          <w:p w14:paraId="3457FBF2">
            <w:pPr>
              <w:pStyle w:val="45"/>
              <w:rPr>
                <w:rFonts w:hint="default"/>
              </w:rPr>
            </w:pPr>
            <w:r>
              <w:t>原料仓库</w:t>
            </w:r>
          </w:p>
        </w:tc>
      </w:tr>
      <w:tr w14:paraId="0B422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4" w:type="pct"/>
            <w:shd w:val="clear" w:color="auto" w:fill="auto"/>
            <w:noWrap/>
            <w:vAlign w:val="center"/>
          </w:tcPr>
          <w:p w14:paraId="5694A7F5">
            <w:pPr>
              <w:pStyle w:val="45"/>
              <w:rPr>
                <w:rFonts w:hint="default"/>
              </w:rPr>
            </w:pPr>
            <w:r>
              <w:rPr>
                <w:rFonts w:hint="default"/>
              </w:rPr>
              <w:t>7</w:t>
            </w:r>
          </w:p>
        </w:tc>
        <w:tc>
          <w:tcPr>
            <w:tcW w:w="1021" w:type="pct"/>
            <w:shd w:val="clear" w:color="auto" w:fill="auto"/>
            <w:noWrap/>
            <w:vAlign w:val="center"/>
          </w:tcPr>
          <w:p w14:paraId="04D3E3BB">
            <w:pPr>
              <w:pStyle w:val="45"/>
              <w:rPr>
                <w:rFonts w:hint="default"/>
              </w:rPr>
            </w:pPr>
            <w:r>
              <w:t>重铬酸钠</w:t>
            </w:r>
          </w:p>
        </w:tc>
        <w:tc>
          <w:tcPr>
            <w:tcW w:w="1034" w:type="pct"/>
            <w:shd w:val="clear" w:color="auto" w:fill="auto"/>
            <w:noWrap/>
            <w:vAlign w:val="center"/>
          </w:tcPr>
          <w:p w14:paraId="0127CBF3">
            <w:pPr>
              <w:pStyle w:val="45"/>
              <w:rPr>
                <w:rFonts w:hint="default"/>
              </w:rPr>
            </w:pPr>
            <w:r>
              <w:rPr>
                <w:rFonts w:hint="default"/>
              </w:rPr>
              <w:t>2</w:t>
            </w:r>
          </w:p>
        </w:tc>
        <w:tc>
          <w:tcPr>
            <w:tcW w:w="787" w:type="pct"/>
            <w:shd w:val="clear" w:color="auto" w:fill="auto"/>
            <w:noWrap/>
            <w:vAlign w:val="center"/>
          </w:tcPr>
          <w:p w14:paraId="486F2900">
            <w:pPr>
              <w:pStyle w:val="45"/>
              <w:rPr>
                <w:rFonts w:hint="default"/>
              </w:rPr>
            </w:pPr>
            <w:r>
              <w:t>固体</w:t>
            </w:r>
          </w:p>
        </w:tc>
        <w:tc>
          <w:tcPr>
            <w:tcW w:w="1097" w:type="pct"/>
            <w:shd w:val="clear" w:color="auto" w:fill="auto"/>
            <w:noWrap/>
            <w:vAlign w:val="center"/>
          </w:tcPr>
          <w:p w14:paraId="6064FA4F">
            <w:pPr>
              <w:pStyle w:val="45"/>
              <w:rPr>
                <w:rFonts w:hint="default"/>
              </w:rPr>
            </w:pPr>
            <w:r>
              <w:t>袋装</w:t>
            </w:r>
          </w:p>
        </w:tc>
        <w:tc>
          <w:tcPr>
            <w:tcW w:w="684" w:type="pct"/>
            <w:shd w:val="clear" w:color="auto" w:fill="auto"/>
            <w:noWrap/>
            <w:vAlign w:val="center"/>
          </w:tcPr>
          <w:p w14:paraId="6DA60A4A">
            <w:pPr>
              <w:pStyle w:val="45"/>
              <w:rPr>
                <w:rFonts w:hint="default"/>
              </w:rPr>
            </w:pPr>
            <w:r>
              <w:t>原料仓库</w:t>
            </w:r>
          </w:p>
        </w:tc>
      </w:tr>
      <w:tr w14:paraId="383CC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4" w:type="pct"/>
            <w:shd w:val="clear" w:color="auto" w:fill="auto"/>
            <w:noWrap/>
            <w:vAlign w:val="center"/>
          </w:tcPr>
          <w:p w14:paraId="1146E1D7">
            <w:pPr>
              <w:pStyle w:val="45"/>
              <w:rPr>
                <w:rFonts w:hint="default"/>
              </w:rPr>
            </w:pPr>
            <w:r>
              <w:rPr>
                <w:rFonts w:hint="default"/>
              </w:rPr>
              <w:t>8</w:t>
            </w:r>
          </w:p>
        </w:tc>
        <w:tc>
          <w:tcPr>
            <w:tcW w:w="1021" w:type="pct"/>
            <w:shd w:val="clear" w:color="auto" w:fill="auto"/>
            <w:noWrap/>
            <w:vAlign w:val="center"/>
          </w:tcPr>
          <w:p w14:paraId="02942FFE">
            <w:pPr>
              <w:pStyle w:val="45"/>
              <w:rPr>
                <w:rFonts w:hint="default"/>
              </w:rPr>
            </w:pPr>
            <w:r>
              <w:t>氯化钾</w:t>
            </w:r>
          </w:p>
        </w:tc>
        <w:tc>
          <w:tcPr>
            <w:tcW w:w="1034" w:type="pct"/>
            <w:shd w:val="clear" w:color="auto" w:fill="auto"/>
            <w:noWrap/>
            <w:vAlign w:val="center"/>
          </w:tcPr>
          <w:p w14:paraId="52E8EF77">
            <w:pPr>
              <w:pStyle w:val="45"/>
              <w:rPr>
                <w:rFonts w:hint="default"/>
              </w:rPr>
            </w:pPr>
            <w:r>
              <w:rPr>
                <w:rFonts w:hint="default"/>
              </w:rPr>
              <w:t>80</w:t>
            </w:r>
          </w:p>
        </w:tc>
        <w:tc>
          <w:tcPr>
            <w:tcW w:w="787" w:type="pct"/>
            <w:shd w:val="clear" w:color="auto" w:fill="auto"/>
            <w:noWrap/>
            <w:vAlign w:val="center"/>
          </w:tcPr>
          <w:p w14:paraId="6394F5DB">
            <w:pPr>
              <w:pStyle w:val="45"/>
              <w:rPr>
                <w:rFonts w:hint="default"/>
              </w:rPr>
            </w:pPr>
            <w:r>
              <w:t>固体</w:t>
            </w:r>
          </w:p>
        </w:tc>
        <w:tc>
          <w:tcPr>
            <w:tcW w:w="1097" w:type="pct"/>
            <w:shd w:val="clear" w:color="auto" w:fill="auto"/>
            <w:noWrap/>
            <w:vAlign w:val="center"/>
          </w:tcPr>
          <w:p w14:paraId="52ABB904">
            <w:pPr>
              <w:pStyle w:val="45"/>
              <w:rPr>
                <w:rFonts w:hint="default"/>
              </w:rPr>
            </w:pPr>
            <w:r>
              <w:t>袋装</w:t>
            </w:r>
          </w:p>
        </w:tc>
        <w:tc>
          <w:tcPr>
            <w:tcW w:w="684" w:type="pct"/>
            <w:shd w:val="clear" w:color="auto" w:fill="auto"/>
            <w:noWrap/>
            <w:vAlign w:val="center"/>
          </w:tcPr>
          <w:p w14:paraId="785343A3">
            <w:pPr>
              <w:pStyle w:val="45"/>
              <w:rPr>
                <w:rFonts w:hint="default"/>
              </w:rPr>
            </w:pPr>
            <w:r>
              <w:t>原料仓库</w:t>
            </w:r>
          </w:p>
        </w:tc>
      </w:tr>
      <w:tr w14:paraId="771E8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4" w:type="pct"/>
            <w:shd w:val="clear" w:color="auto" w:fill="auto"/>
            <w:noWrap/>
            <w:vAlign w:val="center"/>
          </w:tcPr>
          <w:p w14:paraId="1FF52DC0">
            <w:pPr>
              <w:pStyle w:val="45"/>
              <w:rPr>
                <w:rFonts w:hint="default"/>
              </w:rPr>
            </w:pPr>
            <w:r>
              <w:rPr>
                <w:rFonts w:hint="default"/>
              </w:rPr>
              <w:t>9</w:t>
            </w:r>
          </w:p>
        </w:tc>
        <w:tc>
          <w:tcPr>
            <w:tcW w:w="1021" w:type="pct"/>
            <w:shd w:val="clear" w:color="auto" w:fill="auto"/>
            <w:noWrap/>
            <w:vAlign w:val="center"/>
          </w:tcPr>
          <w:p w14:paraId="476A96A9">
            <w:pPr>
              <w:pStyle w:val="45"/>
              <w:rPr>
                <w:rFonts w:hint="default"/>
              </w:rPr>
            </w:pPr>
            <w:r>
              <w:t>氯化钡</w:t>
            </w:r>
          </w:p>
        </w:tc>
        <w:tc>
          <w:tcPr>
            <w:tcW w:w="1034" w:type="pct"/>
            <w:shd w:val="clear" w:color="auto" w:fill="auto"/>
            <w:noWrap/>
            <w:vAlign w:val="center"/>
          </w:tcPr>
          <w:p w14:paraId="3B43114B">
            <w:pPr>
              <w:pStyle w:val="45"/>
              <w:rPr>
                <w:rFonts w:hint="default"/>
              </w:rPr>
            </w:pPr>
            <w:r>
              <w:rPr>
                <w:rFonts w:hint="default"/>
              </w:rPr>
              <w:t>2</w:t>
            </w:r>
          </w:p>
        </w:tc>
        <w:tc>
          <w:tcPr>
            <w:tcW w:w="787" w:type="pct"/>
            <w:shd w:val="clear" w:color="auto" w:fill="auto"/>
            <w:noWrap/>
            <w:vAlign w:val="center"/>
          </w:tcPr>
          <w:p w14:paraId="34EC1861">
            <w:pPr>
              <w:pStyle w:val="45"/>
              <w:rPr>
                <w:rFonts w:hint="default"/>
              </w:rPr>
            </w:pPr>
            <w:r>
              <w:t>固体</w:t>
            </w:r>
          </w:p>
        </w:tc>
        <w:tc>
          <w:tcPr>
            <w:tcW w:w="1097" w:type="pct"/>
            <w:shd w:val="clear" w:color="auto" w:fill="auto"/>
            <w:noWrap/>
            <w:vAlign w:val="center"/>
          </w:tcPr>
          <w:p w14:paraId="3750AB24">
            <w:pPr>
              <w:pStyle w:val="45"/>
              <w:rPr>
                <w:rFonts w:hint="default"/>
              </w:rPr>
            </w:pPr>
            <w:r>
              <w:t>袋装</w:t>
            </w:r>
          </w:p>
        </w:tc>
        <w:tc>
          <w:tcPr>
            <w:tcW w:w="684" w:type="pct"/>
            <w:shd w:val="clear" w:color="auto" w:fill="auto"/>
            <w:noWrap/>
            <w:vAlign w:val="center"/>
          </w:tcPr>
          <w:p w14:paraId="5665501E">
            <w:pPr>
              <w:pStyle w:val="45"/>
              <w:rPr>
                <w:rFonts w:hint="default"/>
              </w:rPr>
            </w:pPr>
            <w:r>
              <w:t>原料仓库</w:t>
            </w:r>
          </w:p>
        </w:tc>
      </w:tr>
      <w:tr w14:paraId="13BF9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4" w:type="pct"/>
            <w:shd w:val="clear" w:color="auto" w:fill="auto"/>
            <w:noWrap/>
            <w:vAlign w:val="center"/>
          </w:tcPr>
          <w:p w14:paraId="41CB34EF">
            <w:pPr>
              <w:pStyle w:val="45"/>
              <w:rPr>
                <w:rFonts w:hint="default"/>
              </w:rPr>
            </w:pPr>
            <w:r>
              <w:rPr>
                <w:rFonts w:hint="default"/>
              </w:rPr>
              <w:t>10</w:t>
            </w:r>
          </w:p>
        </w:tc>
        <w:tc>
          <w:tcPr>
            <w:tcW w:w="1021" w:type="pct"/>
            <w:shd w:val="clear" w:color="auto" w:fill="auto"/>
            <w:noWrap/>
            <w:vAlign w:val="center"/>
          </w:tcPr>
          <w:p w14:paraId="3971E6C9">
            <w:pPr>
              <w:pStyle w:val="45"/>
              <w:rPr>
                <w:rFonts w:hint="default"/>
              </w:rPr>
            </w:pPr>
            <w:r>
              <w:t>氯酸钠</w:t>
            </w:r>
          </w:p>
        </w:tc>
        <w:tc>
          <w:tcPr>
            <w:tcW w:w="1034" w:type="pct"/>
            <w:shd w:val="clear" w:color="auto" w:fill="auto"/>
            <w:noWrap/>
            <w:vAlign w:val="center"/>
          </w:tcPr>
          <w:p w14:paraId="6834A47F">
            <w:pPr>
              <w:pStyle w:val="45"/>
              <w:rPr>
                <w:rFonts w:hint="default" w:eastAsia="宋体"/>
                <w:lang w:val="en-US" w:eastAsia="zh-CN"/>
              </w:rPr>
            </w:pPr>
            <w:r>
              <w:rPr>
                <w:rFonts w:hint="eastAsia"/>
                <w:lang w:val="en-US" w:eastAsia="zh-CN"/>
              </w:rPr>
              <w:t>200</w:t>
            </w:r>
          </w:p>
        </w:tc>
        <w:tc>
          <w:tcPr>
            <w:tcW w:w="787" w:type="pct"/>
            <w:shd w:val="clear" w:color="auto" w:fill="auto"/>
            <w:noWrap/>
            <w:vAlign w:val="center"/>
          </w:tcPr>
          <w:p w14:paraId="6E89BD10">
            <w:pPr>
              <w:pStyle w:val="45"/>
              <w:rPr>
                <w:rFonts w:hint="default"/>
              </w:rPr>
            </w:pPr>
            <w:r>
              <w:t>固体</w:t>
            </w:r>
          </w:p>
        </w:tc>
        <w:tc>
          <w:tcPr>
            <w:tcW w:w="1097" w:type="pct"/>
            <w:shd w:val="clear" w:color="auto" w:fill="auto"/>
            <w:noWrap/>
            <w:vAlign w:val="center"/>
          </w:tcPr>
          <w:p w14:paraId="039F014D">
            <w:pPr>
              <w:pStyle w:val="45"/>
              <w:rPr>
                <w:rFonts w:hint="default"/>
              </w:rPr>
            </w:pPr>
            <w:r>
              <w:t>袋装</w:t>
            </w:r>
          </w:p>
        </w:tc>
        <w:tc>
          <w:tcPr>
            <w:tcW w:w="684" w:type="pct"/>
            <w:shd w:val="clear" w:color="auto" w:fill="auto"/>
            <w:noWrap/>
            <w:vAlign w:val="center"/>
          </w:tcPr>
          <w:p w14:paraId="699603A8">
            <w:pPr>
              <w:pStyle w:val="45"/>
              <w:rPr>
                <w:rFonts w:hint="default"/>
              </w:rPr>
            </w:pPr>
            <w:r>
              <w:t>成品仓库</w:t>
            </w:r>
          </w:p>
        </w:tc>
      </w:tr>
      <w:tr w14:paraId="005F7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4" w:type="pct"/>
            <w:shd w:val="clear" w:color="auto" w:fill="auto"/>
            <w:noWrap/>
            <w:vAlign w:val="center"/>
          </w:tcPr>
          <w:p w14:paraId="348A3928">
            <w:pPr>
              <w:pStyle w:val="45"/>
              <w:rPr>
                <w:rFonts w:hint="default" w:eastAsia="宋体"/>
                <w:lang w:val="en-US" w:eastAsia="zh-CN"/>
              </w:rPr>
            </w:pPr>
            <w:r>
              <w:rPr>
                <w:rFonts w:hint="eastAsia"/>
                <w:lang w:val="en-US" w:eastAsia="zh-CN"/>
              </w:rPr>
              <w:t>11</w:t>
            </w:r>
          </w:p>
        </w:tc>
        <w:tc>
          <w:tcPr>
            <w:tcW w:w="1021" w:type="pct"/>
            <w:shd w:val="clear" w:color="auto" w:fill="auto"/>
            <w:noWrap/>
            <w:vAlign w:val="center"/>
          </w:tcPr>
          <w:p w14:paraId="649051E7">
            <w:pPr>
              <w:pStyle w:val="45"/>
              <w:rPr>
                <w:rFonts w:hint="eastAsia" w:eastAsia="宋体"/>
                <w:lang w:val="en-US" w:eastAsia="zh-CN"/>
              </w:rPr>
            </w:pPr>
            <w:r>
              <w:rPr>
                <w:rFonts w:hint="eastAsia"/>
                <w:lang w:val="en-US" w:eastAsia="zh-CN"/>
              </w:rPr>
              <w:t>氯酸钾</w:t>
            </w:r>
          </w:p>
        </w:tc>
        <w:tc>
          <w:tcPr>
            <w:tcW w:w="1034" w:type="pct"/>
            <w:shd w:val="clear" w:color="auto" w:fill="auto"/>
            <w:noWrap/>
            <w:vAlign w:val="center"/>
          </w:tcPr>
          <w:p w14:paraId="5B332707">
            <w:pPr>
              <w:pStyle w:val="45"/>
              <w:rPr>
                <w:rFonts w:hint="default"/>
                <w:lang w:val="en-US" w:eastAsia="zh-CN"/>
              </w:rPr>
            </w:pPr>
            <w:r>
              <w:rPr>
                <w:rFonts w:hint="eastAsia"/>
                <w:lang w:val="en-US" w:eastAsia="zh-CN"/>
              </w:rPr>
              <w:t>200</w:t>
            </w:r>
          </w:p>
        </w:tc>
        <w:tc>
          <w:tcPr>
            <w:tcW w:w="787" w:type="pct"/>
            <w:shd w:val="clear" w:color="auto" w:fill="auto"/>
            <w:noWrap/>
            <w:vAlign w:val="center"/>
          </w:tcPr>
          <w:p w14:paraId="703CB28E">
            <w:pPr>
              <w:pStyle w:val="45"/>
            </w:pPr>
            <w:r>
              <w:t>固体</w:t>
            </w:r>
          </w:p>
        </w:tc>
        <w:tc>
          <w:tcPr>
            <w:tcW w:w="1097" w:type="pct"/>
            <w:shd w:val="clear" w:color="auto" w:fill="auto"/>
            <w:noWrap/>
            <w:vAlign w:val="center"/>
          </w:tcPr>
          <w:p w14:paraId="212A2235">
            <w:pPr>
              <w:pStyle w:val="45"/>
            </w:pPr>
            <w:r>
              <w:t>袋装</w:t>
            </w:r>
          </w:p>
        </w:tc>
        <w:tc>
          <w:tcPr>
            <w:tcW w:w="684" w:type="pct"/>
            <w:shd w:val="clear" w:color="auto" w:fill="auto"/>
            <w:noWrap/>
            <w:vAlign w:val="center"/>
          </w:tcPr>
          <w:p w14:paraId="4C9FF50A">
            <w:pPr>
              <w:pStyle w:val="45"/>
            </w:pPr>
            <w:r>
              <w:t>成品仓库</w:t>
            </w:r>
          </w:p>
        </w:tc>
      </w:tr>
      <w:tr w14:paraId="11A7C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4" w:type="pct"/>
            <w:shd w:val="clear" w:color="auto" w:fill="auto"/>
            <w:noWrap/>
            <w:vAlign w:val="center"/>
          </w:tcPr>
          <w:p w14:paraId="3C4918CE">
            <w:pPr>
              <w:pStyle w:val="45"/>
              <w:rPr>
                <w:rFonts w:hint="eastAsia" w:eastAsia="宋体"/>
                <w:lang w:val="en-US" w:eastAsia="zh-CN"/>
              </w:rPr>
            </w:pPr>
            <w:r>
              <w:rPr>
                <w:rFonts w:hint="default"/>
              </w:rPr>
              <w:t>1</w:t>
            </w:r>
            <w:r>
              <w:rPr>
                <w:rFonts w:hint="eastAsia"/>
                <w:lang w:val="en-US" w:eastAsia="zh-CN"/>
              </w:rPr>
              <w:t>2</w:t>
            </w:r>
          </w:p>
        </w:tc>
        <w:tc>
          <w:tcPr>
            <w:tcW w:w="1021" w:type="pct"/>
            <w:shd w:val="clear" w:color="auto" w:fill="auto"/>
            <w:noWrap/>
            <w:vAlign w:val="center"/>
          </w:tcPr>
          <w:p w14:paraId="56C9E2D3">
            <w:pPr>
              <w:pStyle w:val="45"/>
              <w:rPr>
                <w:rFonts w:hint="default"/>
              </w:rPr>
            </w:pPr>
            <w:r>
              <w:t>高氯酸钠</w:t>
            </w:r>
          </w:p>
        </w:tc>
        <w:tc>
          <w:tcPr>
            <w:tcW w:w="1034" w:type="pct"/>
            <w:shd w:val="clear" w:color="auto" w:fill="auto"/>
            <w:noWrap/>
            <w:vAlign w:val="center"/>
          </w:tcPr>
          <w:p w14:paraId="2DEC3F4E">
            <w:pPr>
              <w:pStyle w:val="45"/>
              <w:rPr>
                <w:rFonts w:hint="default" w:eastAsia="宋体"/>
                <w:lang w:val="en-US" w:eastAsia="zh-CN"/>
              </w:rPr>
            </w:pPr>
            <w:r>
              <w:rPr>
                <w:rFonts w:hint="eastAsia"/>
                <w:lang w:val="en-US" w:eastAsia="zh-CN"/>
              </w:rPr>
              <w:t>200</w:t>
            </w:r>
          </w:p>
        </w:tc>
        <w:tc>
          <w:tcPr>
            <w:tcW w:w="787" w:type="pct"/>
            <w:shd w:val="clear" w:color="auto" w:fill="auto"/>
            <w:noWrap/>
            <w:vAlign w:val="center"/>
          </w:tcPr>
          <w:p w14:paraId="08F44647">
            <w:pPr>
              <w:pStyle w:val="45"/>
              <w:rPr>
                <w:rFonts w:hint="default"/>
              </w:rPr>
            </w:pPr>
            <w:r>
              <w:t>固体</w:t>
            </w:r>
          </w:p>
        </w:tc>
        <w:tc>
          <w:tcPr>
            <w:tcW w:w="1097" w:type="pct"/>
            <w:shd w:val="clear" w:color="auto" w:fill="auto"/>
            <w:noWrap/>
            <w:vAlign w:val="center"/>
          </w:tcPr>
          <w:p w14:paraId="1952C9DD">
            <w:pPr>
              <w:pStyle w:val="45"/>
              <w:rPr>
                <w:rFonts w:hint="default"/>
              </w:rPr>
            </w:pPr>
            <w:r>
              <w:t>袋装</w:t>
            </w:r>
          </w:p>
        </w:tc>
        <w:tc>
          <w:tcPr>
            <w:tcW w:w="684" w:type="pct"/>
            <w:shd w:val="clear" w:color="auto" w:fill="auto"/>
            <w:noWrap/>
            <w:vAlign w:val="center"/>
          </w:tcPr>
          <w:p w14:paraId="536CCC9B">
            <w:pPr>
              <w:pStyle w:val="45"/>
              <w:rPr>
                <w:rFonts w:hint="default"/>
              </w:rPr>
            </w:pPr>
            <w:r>
              <w:t>成品仓库</w:t>
            </w:r>
          </w:p>
        </w:tc>
      </w:tr>
      <w:tr w14:paraId="52F0C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4" w:type="pct"/>
            <w:shd w:val="clear" w:color="auto" w:fill="auto"/>
            <w:noWrap/>
            <w:vAlign w:val="center"/>
          </w:tcPr>
          <w:p w14:paraId="40DB922C">
            <w:pPr>
              <w:pStyle w:val="45"/>
              <w:rPr>
                <w:rFonts w:hint="eastAsia" w:eastAsia="宋体"/>
                <w:lang w:val="en-US" w:eastAsia="zh-CN"/>
              </w:rPr>
            </w:pPr>
            <w:r>
              <w:rPr>
                <w:rFonts w:hint="default"/>
              </w:rPr>
              <w:t>1</w:t>
            </w:r>
            <w:r>
              <w:rPr>
                <w:rFonts w:hint="eastAsia"/>
                <w:lang w:val="en-US" w:eastAsia="zh-CN"/>
              </w:rPr>
              <w:t>3</w:t>
            </w:r>
          </w:p>
        </w:tc>
        <w:tc>
          <w:tcPr>
            <w:tcW w:w="1021" w:type="pct"/>
            <w:shd w:val="clear" w:color="auto" w:fill="auto"/>
            <w:noWrap/>
            <w:vAlign w:val="center"/>
          </w:tcPr>
          <w:p w14:paraId="26308512">
            <w:pPr>
              <w:pStyle w:val="45"/>
              <w:rPr>
                <w:rFonts w:hint="default"/>
              </w:rPr>
            </w:pPr>
            <w:r>
              <w:t>高氯酸钾</w:t>
            </w:r>
          </w:p>
        </w:tc>
        <w:tc>
          <w:tcPr>
            <w:tcW w:w="1034" w:type="pct"/>
            <w:shd w:val="clear" w:color="auto" w:fill="auto"/>
            <w:noWrap/>
            <w:vAlign w:val="center"/>
          </w:tcPr>
          <w:p w14:paraId="4494DFC8">
            <w:pPr>
              <w:pStyle w:val="45"/>
              <w:rPr>
                <w:rFonts w:hint="default" w:eastAsia="宋体"/>
                <w:lang w:val="en-US" w:eastAsia="zh-CN"/>
              </w:rPr>
            </w:pPr>
            <w:r>
              <w:rPr>
                <w:rFonts w:hint="eastAsia"/>
                <w:lang w:val="en-US" w:eastAsia="zh-CN"/>
              </w:rPr>
              <w:t>200</w:t>
            </w:r>
          </w:p>
        </w:tc>
        <w:tc>
          <w:tcPr>
            <w:tcW w:w="787" w:type="pct"/>
            <w:shd w:val="clear" w:color="auto" w:fill="auto"/>
            <w:noWrap/>
            <w:vAlign w:val="center"/>
          </w:tcPr>
          <w:p w14:paraId="2642C794">
            <w:pPr>
              <w:pStyle w:val="45"/>
              <w:rPr>
                <w:rFonts w:hint="default"/>
              </w:rPr>
            </w:pPr>
            <w:r>
              <w:t>固体</w:t>
            </w:r>
          </w:p>
        </w:tc>
        <w:tc>
          <w:tcPr>
            <w:tcW w:w="1097" w:type="pct"/>
            <w:shd w:val="clear" w:color="auto" w:fill="auto"/>
            <w:noWrap/>
            <w:vAlign w:val="center"/>
          </w:tcPr>
          <w:p w14:paraId="7012D4D0">
            <w:pPr>
              <w:pStyle w:val="45"/>
              <w:rPr>
                <w:rFonts w:hint="default"/>
              </w:rPr>
            </w:pPr>
            <w:r>
              <w:t>袋装</w:t>
            </w:r>
          </w:p>
        </w:tc>
        <w:tc>
          <w:tcPr>
            <w:tcW w:w="684" w:type="pct"/>
            <w:shd w:val="clear" w:color="auto" w:fill="auto"/>
            <w:noWrap/>
            <w:vAlign w:val="center"/>
          </w:tcPr>
          <w:p w14:paraId="27D98E02">
            <w:pPr>
              <w:pStyle w:val="45"/>
              <w:rPr>
                <w:rFonts w:hint="default"/>
              </w:rPr>
            </w:pPr>
            <w:r>
              <w:t>成品仓库</w:t>
            </w:r>
          </w:p>
        </w:tc>
      </w:tr>
      <w:tr w14:paraId="348F6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4" w:type="pct"/>
            <w:shd w:val="clear" w:color="auto" w:fill="auto"/>
            <w:noWrap/>
            <w:vAlign w:val="center"/>
          </w:tcPr>
          <w:p w14:paraId="35992216">
            <w:pPr>
              <w:pStyle w:val="45"/>
              <w:rPr>
                <w:rFonts w:hint="default" w:eastAsia="宋体"/>
                <w:lang w:val="en-US" w:eastAsia="zh-CN"/>
              </w:rPr>
            </w:pPr>
            <w:r>
              <w:rPr>
                <w:rFonts w:hint="eastAsia"/>
                <w:lang w:val="en-US" w:eastAsia="zh-CN"/>
              </w:rPr>
              <w:t>14</w:t>
            </w:r>
          </w:p>
        </w:tc>
        <w:tc>
          <w:tcPr>
            <w:tcW w:w="1021" w:type="pct"/>
            <w:shd w:val="clear" w:color="auto" w:fill="auto"/>
            <w:noWrap/>
            <w:vAlign w:val="center"/>
          </w:tcPr>
          <w:p w14:paraId="6A3C99EE">
            <w:pPr>
              <w:pStyle w:val="45"/>
              <w:rPr>
                <w:rFonts w:hint="eastAsia" w:eastAsia="宋体"/>
                <w:lang w:val="en-US" w:eastAsia="zh-CN"/>
              </w:rPr>
            </w:pPr>
            <w:r>
              <w:rPr>
                <w:rFonts w:hint="eastAsia"/>
                <w:lang w:val="en-US" w:eastAsia="zh-CN"/>
              </w:rPr>
              <w:t>高氯酸锂</w:t>
            </w:r>
          </w:p>
        </w:tc>
        <w:tc>
          <w:tcPr>
            <w:tcW w:w="1034" w:type="pct"/>
            <w:shd w:val="clear" w:color="auto" w:fill="auto"/>
            <w:noWrap/>
            <w:vAlign w:val="center"/>
          </w:tcPr>
          <w:p w14:paraId="7993C8DB">
            <w:pPr>
              <w:pStyle w:val="45"/>
              <w:rPr>
                <w:rFonts w:hint="default"/>
                <w:lang w:val="en-US" w:eastAsia="zh-CN"/>
              </w:rPr>
            </w:pPr>
            <w:r>
              <w:rPr>
                <w:rFonts w:hint="eastAsia"/>
                <w:lang w:val="en-US" w:eastAsia="zh-CN"/>
              </w:rPr>
              <w:t>20</w:t>
            </w:r>
          </w:p>
        </w:tc>
        <w:tc>
          <w:tcPr>
            <w:tcW w:w="787" w:type="pct"/>
            <w:shd w:val="clear" w:color="auto" w:fill="auto"/>
            <w:noWrap/>
            <w:vAlign w:val="center"/>
          </w:tcPr>
          <w:p w14:paraId="4EE81EC5">
            <w:pPr>
              <w:pStyle w:val="45"/>
            </w:pPr>
            <w:r>
              <w:t>固体</w:t>
            </w:r>
          </w:p>
        </w:tc>
        <w:tc>
          <w:tcPr>
            <w:tcW w:w="1097" w:type="pct"/>
            <w:shd w:val="clear" w:color="auto" w:fill="auto"/>
            <w:noWrap/>
            <w:vAlign w:val="center"/>
          </w:tcPr>
          <w:p w14:paraId="0A8C1401">
            <w:pPr>
              <w:pStyle w:val="45"/>
            </w:pPr>
            <w:r>
              <w:t>袋装</w:t>
            </w:r>
          </w:p>
        </w:tc>
        <w:tc>
          <w:tcPr>
            <w:tcW w:w="684" w:type="pct"/>
            <w:shd w:val="clear" w:color="auto" w:fill="auto"/>
            <w:noWrap/>
            <w:vAlign w:val="center"/>
          </w:tcPr>
          <w:p w14:paraId="1A3AE95E">
            <w:pPr>
              <w:pStyle w:val="45"/>
            </w:pPr>
            <w:r>
              <w:t>成品仓库</w:t>
            </w:r>
          </w:p>
        </w:tc>
      </w:tr>
      <w:tr w14:paraId="6236E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4" w:type="pct"/>
            <w:shd w:val="clear" w:color="auto" w:fill="auto"/>
            <w:noWrap/>
            <w:vAlign w:val="center"/>
          </w:tcPr>
          <w:p w14:paraId="1BD2191C">
            <w:pPr>
              <w:pStyle w:val="45"/>
              <w:rPr>
                <w:rFonts w:hint="default"/>
                <w:lang w:val="en-US" w:eastAsia="zh-CN"/>
              </w:rPr>
            </w:pPr>
            <w:r>
              <w:rPr>
                <w:rFonts w:hint="eastAsia"/>
                <w:lang w:val="en-US" w:eastAsia="zh-CN"/>
              </w:rPr>
              <w:t>15</w:t>
            </w:r>
          </w:p>
        </w:tc>
        <w:tc>
          <w:tcPr>
            <w:tcW w:w="1021" w:type="pct"/>
            <w:shd w:val="clear" w:color="auto" w:fill="auto"/>
            <w:noWrap/>
            <w:vAlign w:val="center"/>
          </w:tcPr>
          <w:p w14:paraId="5711B202">
            <w:pPr>
              <w:pStyle w:val="45"/>
              <w:rPr>
                <w:rFonts w:hint="default"/>
                <w:lang w:val="en-US" w:eastAsia="zh-CN"/>
              </w:rPr>
            </w:pPr>
            <w:r>
              <w:rPr>
                <w:rFonts w:hint="eastAsia"/>
                <w:lang w:val="en-US" w:eastAsia="zh-CN"/>
              </w:rPr>
              <w:t>70%高氯酸</w:t>
            </w:r>
          </w:p>
        </w:tc>
        <w:tc>
          <w:tcPr>
            <w:tcW w:w="1034" w:type="pct"/>
            <w:shd w:val="clear" w:color="auto" w:fill="auto"/>
            <w:noWrap/>
            <w:vAlign w:val="center"/>
          </w:tcPr>
          <w:p w14:paraId="6438F777">
            <w:pPr>
              <w:pStyle w:val="45"/>
              <w:rPr>
                <w:rFonts w:hint="default"/>
                <w:lang w:val="en-US" w:eastAsia="zh-CN"/>
              </w:rPr>
            </w:pPr>
            <w:r>
              <w:rPr>
                <w:rFonts w:hint="eastAsia"/>
                <w:lang w:val="en-US" w:eastAsia="zh-CN"/>
              </w:rPr>
              <w:t>1.5</w:t>
            </w:r>
          </w:p>
        </w:tc>
        <w:tc>
          <w:tcPr>
            <w:tcW w:w="787" w:type="pct"/>
            <w:shd w:val="clear" w:color="auto" w:fill="auto"/>
            <w:noWrap/>
            <w:vAlign w:val="center"/>
          </w:tcPr>
          <w:p w14:paraId="145562DE">
            <w:pPr>
              <w:pStyle w:val="45"/>
              <w:rPr>
                <w:rFonts w:hint="eastAsia" w:eastAsia="宋体"/>
                <w:lang w:val="en-US" w:eastAsia="zh-CN"/>
              </w:rPr>
            </w:pPr>
            <w:r>
              <w:rPr>
                <w:rFonts w:hint="eastAsia"/>
                <w:lang w:val="en-US" w:eastAsia="zh-CN"/>
              </w:rPr>
              <w:t>液体</w:t>
            </w:r>
          </w:p>
        </w:tc>
        <w:tc>
          <w:tcPr>
            <w:tcW w:w="1097" w:type="pct"/>
            <w:shd w:val="clear" w:color="auto" w:fill="auto"/>
            <w:noWrap/>
            <w:vAlign w:val="center"/>
          </w:tcPr>
          <w:p w14:paraId="4A6DB84E">
            <w:pPr>
              <w:pStyle w:val="45"/>
              <w:rPr>
                <w:rFonts w:hint="eastAsia" w:eastAsia="宋体"/>
                <w:lang w:val="en-US" w:eastAsia="zh-CN"/>
              </w:rPr>
            </w:pPr>
            <w:r>
              <w:rPr>
                <w:rFonts w:hint="eastAsia"/>
                <w:lang w:val="en-US" w:eastAsia="zh-CN"/>
              </w:rPr>
              <w:t>桶装</w:t>
            </w:r>
          </w:p>
        </w:tc>
        <w:tc>
          <w:tcPr>
            <w:tcW w:w="684" w:type="pct"/>
            <w:shd w:val="clear" w:color="auto" w:fill="auto"/>
            <w:noWrap/>
            <w:vAlign w:val="center"/>
          </w:tcPr>
          <w:p w14:paraId="3E82C546">
            <w:pPr>
              <w:pStyle w:val="45"/>
              <w:bidi w:val="0"/>
            </w:pPr>
            <w:r>
              <w:t>原料仓库</w:t>
            </w:r>
          </w:p>
        </w:tc>
      </w:tr>
      <w:tr w14:paraId="16C8B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4" w:type="pct"/>
            <w:shd w:val="clear" w:color="auto" w:fill="auto"/>
            <w:noWrap/>
            <w:vAlign w:val="center"/>
          </w:tcPr>
          <w:p w14:paraId="70D9B7C4">
            <w:pPr>
              <w:pStyle w:val="45"/>
              <w:rPr>
                <w:rFonts w:hint="default"/>
                <w:lang w:val="en-US" w:eastAsia="zh-CN"/>
              </w:rPr>
            </w:pPr>
            <w:r>
              <w:rPr>
                <w:rFonts w:hint="eastAsia"/>
                <w:lang w:val="en-US" w:eastAsia="zh-CN"/>
              </w:rPr>
              <w:t>16</w:t>
            </w:r>
          </w:p>
        </w:tc>
        <w:tc>
          <w:tcPr>
            <w:tcW w:w="1021" w:type="pct"/>
            <w:shd w:val="clear" w:color="auto" w:fill="auto"/>
            <w:noWrap/>
            <w:vAlign w:val="center"/>
          </w:tcPr>
          <w:p w14:paraId="6498DA9F">
            <w:pPr>
              <w:pStyle w:val="45"/>
              <w:rPr>
                <w:rFonts w:hint="default"/>
                <w:lang w:val="en-US" w:eastAsia="zh-CN"/>
              </w:rPr>
            </w:pPr>
            <w:r>
              <w:rPr>
                <w:rFonts w:hint="eastAsia"/>
                <w:lang w:val="en-US" w:eastAsia="zh-CN"/>
              </w:rPr>
              <w:t>碳酸锂</w:t>
            </w:r>
          </w:p>
        </w:tc>
        <w:tc>
          <w:tcPr>
            <w:tcW w:w="1034" w:type="pct"/>
            <w:shd w:val="clear" w:color="auto" w:fill="auto"/>
            <w:noWrap/>
            <w:vAlign w:val="center"/>
          </w:tcPr>
          <w:p w14:paraId="5838AC7E">
            <w:pPr>
              <w:pStyle w:val="45"/>
              <w:rPr>
                <w:rFonts w:hint="default"/>
                <w:lang w:val="en-US" w:eastAsia="zh-CN"/>
              </w:rPr>
            </w:pPr>
            <w:r>
              <w:rPr>
                <w:rFonts w:hint="eastAsia"/>
                <w:lang w:val="en-US" w:eastAsia="zh-CN"/>
              </w:rPr>
              <w:t>20</w:t>
            </w:r>
          </w:p>
        </w:tc>
        <w:tc>
          <w:tcPr>
            <w:tcW w:w="787" w:type="pct"/>
            <w:shd w:val="clear" w:color="auto" w:fill="auto"/>
            <w:noWrap/>
            <w:vAlign w:val="center"/>
          </w:tcPr>
          <w:p w14:paraId="229C6CDF">
            <w:pPr>
              <w:pStyle w:val="45"/>
              <w:bidi w:val="0"/>
            </w:pPr>
            <w:r>
              <w:t>固体</w:t>
            </w:r>
          </w:p>
        </w:tc>
        <w:tc>
          <w:tcPr>
            <w:tcW w:w="1097" w:type="pct"/>
            <w:shd w:val="clear" w:color="auto" w:fill="auto"/>
            <w:noWrap/>
            <w:vAlign w:val="center"/>
          </w:tcPr>
          <w:p w14:paraId="00847BBD">
            <w:pPr>
              <w:pStyle w:val="45"/>
              <w:bidi w:val="0"/>
            </w:pPr>
            <w:r>
              <w:t>袋装</w:t>
            </w:r>
          </w:p>
        </w:tc>
        <w:tc>
          <w:tcPr>
            <w:tcW w:w="684" w:type="pct"/>
            <w:shd w:val="clear" w:color="auto" w:fill="auto"/>
            <w:noWrap/>
            <w:vAlign w:val="center"/>
          </w:tcPr>
          <w:p w14:paraId="29EBBB0A">
            <w:pPr>
              <w:pStyle w:val="45"/>
              <w:bidi w:val="0"/>
            </w:pPr>
            <w:r>
              <w:t>原料仓库</w:t>
            </w:r>
          </w:p>
        </w:tc>
      </w:tr>
      <w:tr w14:paraId="1A218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4" w:type="pct"/>
            <w:shd w:val="clear" w:color="auto" w:fill="auto"/>
            <w:noWrap/>
            <w:vAlign w:val="center"/>
          </w:tcPr>
          <w:p w14:paraId="3F6347E1">
            <w:pPr>
              <w:pStyle w:val="45"/>
              <w:rPr>
                <w:rFonts w:hint="default"/>
                <w:lang w:val="en-US" w:eastAsia="zh-CN"/>
              </w:rPr>
            </w:pPr>
            <w:r>
              <w:rPr>
                <w:rFonts w:hint="eastAsia"/>
                <w:lang w:val="en-US" w:eastAsia="zh-CN"/>
              </w:rPr>
              <w:t>17</w:t>
            </w:r>
          </w:p>
        </w:tc>
        <w:tc>
          <w:tcPr>
            <w:tcW w:w="1021" w:type="pct"/>
            <w:shd w:val="clear" w:color="auto" w:fill="auto"/>
            <w:noWrap/>
            <w:vAlign w:val="center"/>
          </w:tcPr>
          <w:p w14:paraId="2E89405D">
            <w:pPr>
              <w:pStyle w:val="45"/>
              <w:rPr>
                <w:rFonts w:hint="default"/>
                <w:lang w:val="en-US" w:eastAsia="zh-CN"/>
              </w:rPr>
            </w:pPr>
            <w:r>
              <w:rPr>
                <w:rFonts w:hint="eastAsia"/>
                <w:lang w:val="en-US" w:eastAsia="zh-CN"/>
              </w:rPr>
              <w:t>氢氧化锂</w:t>
            </w:r>
          </w:p>
        </w:tc>
        <w:tc>
          <w:tcPr>
            <w:tcW w:w="1034" w:type="pct"/>
            <w:shd w:val="clear" w:color="auto" w:fill="auto"/>
            <w:noWrap/>
            <w:vAlign w:val="center"/>
          </w:tcPr>
          <w:p w14:paraId="2E212346">
            <w:pPr>
              <w:pStyle w:val="45"/>
              <w:rPr>
                <w:rFonts w:hint="default"/>
                <w:lang w:val="en-US" w:eastAsia="zh-CN"/>
              </w:rPr>
            </w:pPr>
            <w:r>
              <w:rPr>
                <w:rFonts w:hint="eastAsia"/>
                <w:lang w:val="en-US" w:eastAsia="zh-CN"/>
              </w:rPr>
              <w:t>1</w:t>
            </w:r>
          </w:p>
        </w:tc>
        <w:tc>
          <w:tcPr>
            <w:tcW w:w="787" w:type="pct"/>
            <w:shd w:val="clear" w:color="auto" w:fill="auto"/>
            <w:noWrap/>
            <w:vAlign w:val="center"/>
          </w:tcPr>
          <w:p w14:paraId="5CBA0047">
            <w:pPr>
              <w:pStyle w:val="45"/>
              <w:bidi w:val="0"/>
            </w:pPr>
            <w:r>
              <w:t>固体</w:t>
            </w:r>
          </w:p>
        </w:tc>
        <w:tc>
          <w:tcPr>
            <w:tcW w:w="1097" w:type="pct"/>
            <w:shd w:val="clear" w:color="auto" w:fill="auto"/>
            <w:noWrap/>
            <w:vAlign w:val="center"/>
          </w:tcPr>
          <w:p w14:paraId="77CA6ACC">
            <w:pPr>
              <w:pStyle w:val="45"/>
              <w:bidi w:val="0"/>
            </w:pPr>
            <w:r>
              <w:t>袋装</w:t>
            </w:r>
          </w:p>
        </w:tc>
        <w:tc>
          <w:tcPr>
            <w:tcW w:w="684" w:type="pct"/>
            <w:shd w:val="clear" w:color="auto" w:fill="auto"/>
            <w:noWrap/>
            <w:vAlign w:val="center"/>
          </w:tcPr>
          <w:p w14:paraId="61BEE684">
            <w:pPr>
              <w:pStyle w:val="45"/>
            </w:pPr>
            <w:r>
              <w:t>原料仓库</w:t>
            </w:r>
          </w:p>
        </w:tc>
      </w:tr>
      <w:tr w14:paraId="4045F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74" w:type="pct"/>
            <w:shd w:val="clear" w:color="auto" w:fill="auto"/>
            <w:noWrap/>
            <w:vAlign w:val="center"/>
          </w:tcPr>
          <w:p w14:paraId="742EB9C9">
            <w:pPr>
              <w:pStyle w:val="45"/>
              <w:rPr>
                <w:rFonts w:hint="default"/>
                <w:lang w:val="en-US" w:eastAsia="zh-CN"/>
              </w:rPr>
            </w:pPr>
            <w:r>
              <w:rPr>
                <w:rFonts w:hint="eastAsia"/>
                <w:lang w:val="en-US" w:eastAsia="zh-CN"/>
              </w:rPr>
              <w:t>18</w:t>
            </w:r>
          </w:p>
        </w:tc>
        <w:tc>
          <w:tcPr>
            <w:tcW w:w="1021" w:type="pct"/>
            <w:shd w:val="clear" w:color="auto" w:fill="auto"/>
            <w:noWrap/>
            <w:vAlign w:val="center"/>
          </w:tcPr>
          <w:p w14:paraId="6EAAC5B7">
            <w:pPr>
              <w:pStyle w:val="45"/>
              <w:rPr>
                <w:rFonts w:hint="default"/>
                <w:lang w:val="en-US" w:eastAsia="zh-CN"/>
              </w:rPr>
            </w:pPr>
            <w:r>
              <w:rPr>
                <w:rFonts w:hint="eastAsia"/>
                <w:lang w:val="en-US" w:eastAsia="zh-CN"/>
              </w:rPr>
              <w:t>氢气</w:t>
            </w:r>
          </w:p>
        </w:tc>
        <w:tc>
          <w:tcPr>
            <w:tcW w:w="1034" w:type="pct"/>
            <w:shd w:val="clear" w:color="auto" w:fill="auto"/>
            <w:noWrap/>
            <w:vAlign w:val="center"/>
          </w:tcPr>
          <w:p w14:paraId="1FFDD16E">
            <w:pPr>
              <w:pStyle w:val="45"/>
              <w:rPr>
                <w:rFonts w:hint="default"/>
                <w:lang w:val="en-US" w:eastAsia="zh-CN"/>
              </w:rPr>
            </w:pPr>
            <w:r>
              <w:rPr>
                <w:rFonts w:hint="eastAsia"/>
                <w:lang w:val="en-US" w:eastAsia="zh-CN"/>
              </w:rPr>
              <w:t>0.178（2000Nm</w:t>
            </w:r>
            <w:r>
              <w:rPr>
                <w:rFonts w:hint="eastAsia"/>
                <w:vertAlign w:val="superscript"/>
                <w:lang w:val="en-US" w:eastAsia="zh-CN"/>
              </w:rPr>
              <w:t>3</w:t>
            </w:r>
            <w:r>
              <w:rPr>
                <w:rFonts w:hint="eastAsia"/>
                <w:lang w:val="en-US" w:eastAsia="zh-CN"/>
              </w:rPr>
              <w:t>）</w:t>
            </w:r>
          </w:p>
        </w:tc>
        <w:tc>
          <w:tcPr>
            <w:tcW w:w="787" w:type="pct"/>
            <w:shd w:val="clear" w:color="auto" w:fill="auto"/>
            <w:noWrap/>
            <w:vAlign w:val="center"/>
          </w:tcPr>
          <w:p w14:paraId="3494046B">
            <w:pPr>
              <w:pStyle w:val="45"/>
              <w:bidi w:val="0"/>
            </w:pPr>
            <w:r>
              <w:rPr>
                <w:rFonts w:hint="eastAsia"/>
                <w:lang w:val="en-US" w:eastAsia="zh-CN"/>
              </w:rPr>
              <w:t>气</w:t>
            </w:r>
            <w:r>
              <w:t>体</w:t>
            </w:r>
          </w:p>
        </w:tc>
        <w:tc>
          <w:tcPr>
            <w:tcW w:w="1097" w:type="pct"/>
            <w:shd w:val="clear" w:color="auto" w:fill="auto"/>
            <w:noWrap/>
            <w:vAlign w:val="center"/>
          </w:tcPr>
          <w:p w14:paraId="5A27C556">
            <w:pPr>
              <w:pStyle w:val="45"/>
              <w:bidi w:val="0"/>
              <w:rPr>
                <w:rFonts w:hint="eastAsia" w:eastAsia="宋体"/>
                <w:lang w:val="en-US" w:eastAsia="zh-CN"/>
              </w:rPr>
            </w:pPr>
            <w:r>
              <w:rPr>
                <w:rFonts w:hint="eastAsia"/>
                <w:lang w:val="en-US" w:eastAsia="zh-CN"/>
              </w:rPr>
              <w:t>/</w:t>
            </w:r>
          </w:p>
        </w:tc>
        <w:tc>
          <w:tcPr>
            <w:tcW w:w="684" w:type="pct"/>
            <w:shd w:val="clear" w:color="auto" w:fill="auto"/>
            <w:noWrap/>
            <w:vAlign w:val="center"/>
          </w:tcPr>
          <w:p w14:paraId="6E1F5AE1">
            <w:pPr>
              <w:pStyle w:val="45"/>
              <w:rPr>
                <w:rFonts w:hint="eastAsia" w:eastAsia="宋体"/>
                <w:lang w:val="en-US" w:eastAsia="zh-CN"/>
              </w:rPr>
            </w:pPr>
            <w:r>
              <w:rPr>
                <w:rFonts w:hint="eastAsia"/>
                <w:lang w:val="en-US" w:eastAsia="zh-CN"/>
              </w:rPr>
              <w:t>气柜</w:t>
            </w:r>
          </w:p>
        </w:tc>
      </w:tr>
    </w:tbl>
    <w:p w14:paraId="73069253">
      <w:pPr>
        <w:bidi w:val="0"/>
      </w:pPr>
    </w:p>
    <w:p w14:paraId="569EC88A">
      <w:pPr>
        <w:pStyle w:val="4"/>
        <w:numPr>
          <w:ilvl w:val="2"/>
          <w:numId w:val="1"/>
        </w:numPr>
      </w:pPr>
      <w:r>
        <w:rPr>
          <w:rFonts w:hint="eastAsia"/>
        </w:rPr>
        <w:t>公用工程及辅助设施</w:t>
      </w:r>
    </w:p>
    <w:p w14:paraId="4EA2BAF6">
      <w:pPr>
        <w:pStyle w:val="6"/>
        <w:numPr>
          <w:ilvl w:val="4"/>
          <w:numId w:val="1"/>
        </w:numPr>
        <w:tabs>
          <w:tab w:val="left" w:pos="420"/>
          <w:tab w:val="clear" w:pos="0"/>
        </w:tabs>
        <w:ind w:firstLine="482"/>
        <w:rPr>
          <w:highlight w:val="none"/>
        </w:rPr>
      </w:pPr>
      <w:r>
        <w:rPr>
          <w:rFonts w:hint="eastAsia"/>
          <w:highlight w:val="none"/>
        </w:rPr>
        <w:t>给水系统</w:t>
      </w:r>
    </w:p>
    <w:p w14:paraId="1C33BD09">
      <w:pPr>
        <w:ind w:firstLine="480"/>
        <w:rPr>
          <w:rFonts w:hint="default"/>
          <w:highlight w:val="none"/>
          <w:lang w:val="en-US" w:eastAsia="zh-CN"/>
        </w:rPr>
      </w:pPr>
      <w:r>
        <w:rPr>
          <w:rFonts w:hint="eastAsia"/>
          <w:highlight w:val="none"/>
          <w:lang w:val="en-US" w:eastAsia="zh-CN"/>
        </w:rPr>
        <w:t>本次评价按照全厂生产装置最大用水情况下，即一次电解装置年产2万吨氯酸钠、2次电解装置年产2万吨高氯酸钠、复分解装置年产2万吨高氯酸钾、锂盐生产装置年产600吨高氯酸锂的情况考虑项目给水系统。</w:t>
      </w:r>
    </w:p>
    <w:p w14:paraId="332F1089">
      <w:pPr>
        <w:ind w:firstLine="480"/>
        <w:rPr>
          <w:highlight w:val="none"/>
        </w:rPr>
      </w:pPr>
      <w:r>
        <w:rPr>
          <w:rFonts w:hint="eastAsia"/>
          <w:highlight w:val="none"/>
        </w:rPr>
        <w:t>（1）水源及输水工程</w:t>
      </w:r>
    </w:p>
    <w:p w14:paraId="22F942FA">
      <w:pPr>
        <w:ind w:firstLine="480"/>
        <w:rPr>
          <w:highlight w:val="none"/>
        </w:rPr>
      </w:pPr>
      <w:r>
        <w:rPr>
          <w:rFonts w:hint="eastAsia"/>
          <w:highlight w:val="none"/>
        </w:rPr>
        <w:t>本项目水源为园区配套的自来水供水系统，从园区市政给水管网接入管径为DN150 的引入管供厂区生产生活用水，供水压力为0.3MPa。</w:t>
      </w:r>
    </w:p>
    <w:p w14:paraId="6E23D162">
      <w:pPr>
        <w:ind w:firstLine="480"/>
        <w:rPr>
          <w:highlight w:val="none"/>
        </w:rPr>
      </w:pPr>
      <w:r>
        <w:rPr>
          <w:rFonts w:hint="eastAsia"/>
          <w:highlight w:val="none"/>
        </w:rPr>
        <w:t>（2）给水系统</w:t>
      </w:r>
    </w:p>
    <w:p w14:paraId="1AAF1726">
      <w:pPr>
        <w:ind w:firstLine="480"/>
        <w:rPr>
          <w:highlight w:val="none"/>
        </w:rPr>
      </w:pPr>
      <w:r>
        <w:rPr>
          <w:rFonts w:hint="eastAsia"/>
          <w:highlight w:val="none"/>
          <w:lang w:val="en-US" w:eastAsia="zh-CN"/>
        </w:rPr>
        <w:t>正常生产情况下，</w:t>
      </w:r>
      <w:r>
        <w:rPr>
          <w:rFonts w:hint="eastAsia"/>
          <w:highlight w:val="none"/>
        </w:rPr>
        <w:t>项目总</w:t>
      </w:r>
      <w:r>
        <w:rPr>
          <w:rFonts w:hint="eastAsia"/>
          <w:highlight w:val="none"/>
          <w:lang w:val="en-US" w:eastAsia="zh-CN"/>
        </w:rPr>
        <w:t>新鲜</w:t>
      </w:r>
      <w:r>
        <w:rPr>
          <w:rFonts w:hint="eastAsia"/>
          <w:highlight w:val="none"/>
        </w:rPr>
        <w:t>用水量（不含消防用水）约为</w:t>
      </w:r>
      <w:r>
        <w:rPr>
          <w:rFonts w:hint="eastAsia"/>
          <w:highlight w:val="none"/>
          <w:lang w:val="en-US" w:eastAsia="zh-CN"/>
        </w:rPr>
        <w:t>113979.97</w:t>
      </w:r>
      <w:r>
        <w:rPr>
          <w:rFonts w:hint="eastAsia"/>
          <w:highlight w:val="none"/>
        </w:rPr>
        <w:t>m</w:t>
      </w:r>
      <w:r>
        <w:rPr>
          <w:rFonts w:hint="eastAsia"/>
          <w:highlight w:val="none"/>
          <w:vertAlign w:val="superscript"/>
        </w:rPr>
        <w:t>3</w:t>
      </w:r>
      <w:r>
        <w:rPr>
          <w:rFonts w:hint="eastAsia"/>
          <w:highlight w:val="none"/>
        </w:rPr>
        <w:t>/a。</w:t>
      </w:r>
    </w:p>
    <w:p w14:paraId="7D6E3937">
      <w:pPr>
        <w:ind w:firstLine="480"/>
        <w:rPr>
          <w:highlight w:val="none"/>
        </w:rPr>
      </w:pPr>
      <w:r>
        <w:rPr>
          <w:rFonts w:hint="eastAsia"/>
          <w:highlight w:val="none"/>
        </w:rPr>
        <w:t>①工艺用水</w:t>
      </w:r>
    </w:p>
    <w:p w14:paraId="3654F9A1">
      <w:pPr>
        <w:ind w:firstLine="480"/>
        <w:rPr>
          <w:highlight w:val="yellow"/>
        </w:rPr>
      </w:pPr>
      <w:r>
        <w:rPr>
          <w:rFonts w:hint="eastAsia"/>
          <w:highlight w:val="none"/>
        </w:rPr>
        <w:t>依据项目工艺方案及设计资料，本项目</w:t>
      </w:r>
      <w:r>
        <w:rPr>
          <w:rFonts w:hint="eastAsia"/>
          <w:highlight w:val="none"/>
          <w:lang w:val="en-US" w:eastAsia="zh-CN"/>
        </w:rPr>
        <w:t>全厂生产装置最大用水情况下，</w:t>
      </w:r>
      <w:r>
        <w:rPr>
          <w:rFonts w:hint="eastAsia"/>
          <w:highlight w:val="none"/>
        </w:rPr>
        <w:t>工艺用水（包含化盐水、离心洗涤水、碱喷淋补水等）用量为</w:t>
      </w:r>
      <w:r>
        <w:rPr>
          <w:rFonts w:hint="eastAsia"/>
          <w:highlight w:val="none"/>
          <w:lang w:val="en-US" w:eastAsia="zh-CN"/>
        </w:rPr>
        <w:t>84134.18</w:t>
      </w:r>
      <w:r>
        <w:rPr>
          <w:rFonts w:hint="eastAsia"/>
          <w:highlight w:val="none"/>
        </w:rPr>
        <w:t>m</w:t>
      </w:r>
      <w:r>
        <w:rPr>
          <w:rFonts w:hint="eastAsia"/>
          <w:highlight w:val="none"/>
          <w:vertAlign w:val="superscript"/>
        </w:rPr>
        <w:t>3</w:t>
      </w:r>
      <w:r>
        <w:rPr>
          <w:rFonts w:hint="eastAsia"/>
          <w:highlight w:val="none"/>
        </w:rPr>
        <w:t>/a，其中纯水</w:t>
      </w:r>
      <w:r>
        <w:rPr>
          <w:rFonts w:hint="eastAsia"/>
          <w:highlight w:val="none"/>
          <w:lang w:val="en-US" w:eastAsia="zh-CN"/>
        </w:rPr>
        <w:t>14986.15</w:t>
      </w:r>
      <w:r>
        <w:rPr>
          <w:rFonts w:hint="eastAsia"/>
          <w:highlight w:val="none"/>
        </w:rPr>
        <w:t>m</w:t>
      </w:r>
      <w:r>
        <w:rPr>
          <w:rFonts w:hint="eastAsia"/>
          <w:highlight w:val="none"/>
          <w:vertAlign w:val="superscript"/>
        </w:rPr>
        <w:t>3</w:t>
      </w:r>
      <w:r>
        <w:rPr>
          <w:rFonts w:hint="eastAsia"/>
          <w:highlight w:val="none"/>
        </w:rPr>
        <w:t>/a，冷凝回用水</w:t>
      </w:r>
      <w:r>
        <w:rPr>
          <w:rFonts w:hint="eastAsia"/>
          <w:highlight w:val="none"/>
          <w:lang w:val="en-US" w:eastAsia="zh-CN"/>
        </w:rPr>
        <w:t>44078.68</w:t>
      </w:r>
      <w:r>
        <w:rPr>
          <w:rFonts w:hint="eastAsia"/>
          <w:highlight w:val="none"/>
        </w:rPr>
        <w:t>m</w:t>
      </w:r>
      <w:r>
        <w:rPr>
          <w:rFonts w:hint="eastAsia"/>
          <w:highlight w:val="none"/>
          <w:vertAlign w:val="superscript"/>
        </w:rPr>
        <w:t>3</w:t>
      </w:r>
      <w:r>
        <w:rPr>
          <w:rFonts w:hint="eastAsia"/>
          <w:highlight w:val="none"/>
        </w:rPr>
        <w:t>/a，处理回用水</w:t>
      </w:r>
      <w:r>
        <w:rPr>
          <w:rFonts w:hint="eastAsia"/>
          <w:highlight w:val="none"/>
          <w:lang w:val="en-US" w:eastAsia="zh-CN"/>
        </w:rPr>
        <w:t>25069.35</w:t>
      </w:r>
      <w:r>
        <w:rPr>
          <w:rFonts w:hint="eastAsia"/>
          <w:highlight w:val="none"/>
        </w:rPr>
        <w:t>m</w:t>
      </w:r>
      <w:r>
        <w:rPr>
          <w:rFonts w:hint="eastAsia"/>
          <w:highlight w:val="none"/>
          <w:vertAlign w:val="superscript"/>
        </w:rPr>
        <w:t>3</w:t>
      </w:r>
      <w:r>
        <w:rPr>
          <w:rFonts w:hint="eastAsia"/>
          <w:highlight w:val="none"/>
        </w:rPr>
        <w:t>/a。</w:t>
      </w:r>
    </w:p>
    <w:p w14:paraId="15C29C80">
      <w:pPr>
        <w:ind w:firstLine="480"/>
        <w:rPr>
          <w:rFonts w:hint="eastAsia"/>
          <w:highlight w:val="none"/>
        </w:rPr>
      </w:pPr>
      <w:r>
        <w:rPr>
          <w:rFonts w:hint="eastAsia"/>
          <w:highlight w:val="none"/>
        </w:rPr>
        <w:t>工艺用纯水</w:t>
      </w:r>
      <w:r>
        <w:rPr>
          <w:rFonts w:hint="eastAsia"/>
          <w:highlight w:val="none"/>
          <w:lang w:val="en-US" w:eastAsia="zh-CN"/>
        </w:rPr>
        <w:t>由</w:t>
      </w:r>
      <w:r>
        <w:rPr>
          <w:rFonts w:hint="eastAsia"/>
          <w:highlight w:val="none"/>
        </w:rPr>
        <w:t>厂区内纯水站制备，纯水站采用</w:t>
      </w:r>
      <w:r>
        <w:rPr>
          <w:rFonts w:hint="eastAsia"/>
          <w:highlight w:val="none"/>
          <w:lang w:val="en-US" w:eastAsia="zh-CN"/>
        </w:rPr>
        <w:t>反渗透膜（RO法）制备纯水</w:t>
      </w:r>
      <w:r>
        <w:rPr>
          <w:rFonts w:hint="eastAsia"/>
          <w:highlight w:val="none"/>
        </w:rPr>
        <w:t>，纯水制备效率为80%，工艺用纯水量为</w:t>
      </w:r>
      <w:r>
        <w:rPr>
          <w:rFonts w:hint="eastAsia"/>
          <w:highlight w:val="none"/>
          <w:lang w:val="en-US" w:eastAsia="zh-CN"/>
        </w:rPr>
        <w:t>14986.15</w:t>
      </w:r>
      <w:r>
        <w:rPr>
          <w:rFonts w:hint="eastAsia"/>
          <w:highlight w:val="none"/>
        </w:rPr>
        <w:t>m</w:t>
      </w:r>
      <w:r>
        <w:rPr>
          <w:rFonts w:hint="eastAsia"/>
          <w:highlight w:val="none"/>
          <w:vertAlign w:val="superscript"/>
        </w:rPr>
        <w:t>3</w:t>
      </w:r>
      <w:r>
        <w:rPr>
          <w:rFonts w:hint="eastAsia"/>
          <w:highlight w:val="none"/>
        </w:rPr>
        <w:t>/a，则纯水制备所需新鲜水量约</w:t>
      </w:r>
      <w:r>
        <w:rPr>
          <w:rFonts w:hint="eastAsia"/>
          <w:highlight w:val="none"/>
          <w:lang w:val="en-US" w:eastAsia="zh-CN"/>
        </w:rPr>
        <w:t>18732.69</w:t>
      </w:r>
      <w:r>
        <w:rPr>
          <w:rFonts w:hint="eastAsia"/>
          <w:highlight w:val="none"/>
        </w:rPr>
        <w:t>m</w:t>
      </w:r>
      <w:r>
        <w:rPr>
          <w:rFonts w:hint="eastAsia"/>
          <w:highlight w:val="none"/>
          <w:vertAlign w:val="superscript"/>
        </w:rPr>
        <w:t>3</w:t>
      </w:r>
      <w:r>
        <w:rPr>
          <w:rFonts w:hint="eastAsia"/>
          <w:highlight w:val="none"/>
        </w:rPr>
        <w:t>/a。</w:t>
      </w:r>
    </w:p>
    <w:p w14:paraId="1E92851A">
      <w:pPr>
        <w:ind w:firstLine="480"/>
        <w:rPr>
          <w:highlight w:val="none"/>
        </w:rPr>
      </w:pPr>
      <w:r>
        <w:rPr>
          <w:rFonts w:hint="eastAsia"/>
          <w:highlight w:val="none"/>
        </w:rPr>
        <w:t>②循环冷却水补水</w:t>
      </w:r>
    </w:p>
    <w:p w14:paraId="7AC9DD7D">
      <w:pPr>
        <w:ind w:firstLine="480"/>
        <w:rPr>
          <w:rFonts w:hint="eastAsia"/>
          <w:highlight w:val="none"/>
        </w:rPr>
      </w:pPr>
      <w:r>
        <w:rPr>
          <w:rFonts w:hint="eastAsia"/>
          <w:highlight w:val="none"/>
        </w:rPr>
        <w:t>依据项目工艺方案及设计资料，循环冷却系统设计规模约550m</w:t>
      </w:r>
      <w:r>
        <w:rPr>
          <w:rFonts w:hint="eastAsia"/>
          <w:highlight w:val="none"/>
          <w:vertAlign w:val="superscript"/>
        </w:rPr>
        <w:t>3</w:t>
      </w:r>
      <w:r>
        <w:rPr>
          <w:rFonts w:hint="eastAsia"/>
          <w:highlight w:val="none"/>
        </w:rPr>
        <w:t>/h，循环量约为3960000m</w:t>
      </w:r>
      <w:r>
        <w:rPr>
          <w:rFonts w:hint="eastAsia"/>
          <w:highlight w:val="none"/>
          <w:vertAlign w:val="superscript"/>
        </w:rPr>
        <w:t>3</w:t>
      </w:r>
      <w:r>
        <w:rPr>
          <w:rFonts w:hint="eastAsia"/>
          <w:highlight w:val="none"/>
        </w:rPr>
        <w:t>/a，循环水补水量约占2.83%，补水量约为112000m</w:t>
      </w:r>
      <w:r>
        <w:rPr>
          <w:rFonts w:hint="eastAsia"/>
          <w:highlight w:val="none"/>
          <w:vertAlign w:val="superscript"/>
        </w:rPr>
        <w:t>3</w:t>
      </w:r>
      <w:r>
        <w:rPr>
          <w:rFonts w:hint="eastAsia"/>
          <w:highlight w:val="none"/>
        </w:rPr>
        <w:t>/a（15.56m</w:t>
      </w:r>
      <w:r>
        <w:rPr>
          <w:rFonts w:hint="eastAsia"/>
          <w:highlight w:val="none"/>
          <w:vertAlign w:val="superscript"/>
        </w:rPr>
        <w:t>3</w:t>
      </w:r>
      <w:r>
        <w:rPr>
          <w:rFonts w:hint="eastAsia"/>
          <w:highlight w:val="none"/>
        </w:rPr>
        <w:t>/h），其中冷凝回用水</w:t>
      </w:r>
      <w:r>
        <w:rPr>
          <w:rFonts w:hint="eastAsia"/>
          <w:highlight w:val="none"/>
          <w:lang w:val="en-US" w:eastAsia="zh-CN"/>
        </w:rPr>
        <w:t>21418.72</w:t>
      </w:r>
      <w:r>
        <w:rPr>
          <w:rFonts w:hint="eastAsia"/>
          <w:highlight w:val="none"/>
        </w:rPr>
        <w:t>m</w:t>
      </w:r>
      <w:r>
        <w:rPr>
          <w:rFonts w:hint="eastAsia"/>
          <w:highlight w:val="none"/>
          <w:vertAlign w:val="superscript"/>
        </w:rPr>
        <w:t>3</w:t>
      </w:r>
      <w:r>
        <w:rPr>
          <w:rFonts w:hint="eastAsia"/>
          <w:highlight w:val="none"/>
        </w:rPr>
        <w:t>/a，新鲜补水</w:t>
      </w:r>
      <w:r>
        <w:rPr>
          <w:rFonts w:hint="eastAsia"/>
          <w:highlight w:val="none"/>
          <w:lang w:val="en-US" w:eastAsia="zh-CN"/>
        </w:rPr>
        <w:t>90581.28</w:t>
      </w:r>
      <w:r>
        <w:rPr>
          <w:rFonts w:hint="eastAsia"/>
          <w:highlight w:val="none"/>
        </w:rPr>
        <w:t>m</w:t>
      </w:r>
      <w:r>
        <w:rPr>
          <w:rFonts w:hint="eastAsia"/>
          <w:highlight w:val="none"/>
          <w:vertAlign w:val="superscript"/>
        </w:rPr>
        <w:t>3</w:t>
      </w:r>
      <w:r>
        <w:rPr>
          <w:rFonts w:hint="eastAsia"/>
          <w:highlight w:val="none"/>
        </w:rPr>
        <w:t>/a。</w:t>
      </w:r>
    </w:p>
    <w:p w14:paraId="145437A2">
      <w:pPr>
        <w:ind w:firstLine="480"/>
        <w:rPr>
          <w:highlight w:val="none"/>
        </w:rPr>
      </w:pPr>
      <w:r>
        <w:rPr>
          <w:rFonts w:hint="eastAsia"/>
          <w:highlight w:val="none"/>
        </w:rPr>
        <w:t>③化验室用水</w:t>
      </w:r>
    </w:p>
    <w:p w14:paraId="7D198FA6">
      <w:pPr>
        <w:ind w:firstLine="480"/>
        <w:rPr>
          <w:highlight w:val="none"/>
        </w:rPr>
      </w:pPr>
      <w:r>
        <w:rPr>
          <w:highlight w:val="none"/>
        </w:rPr>
        <w:t>本项目化验室用水按</w:t>
      </w:r>
      <w:r>
        <w:rPr>
          <w:rFonts w:hint="eastAsia"/>
          <w:highlight w:val="none"/>
          <w:lang w:val="en-US" w:eastAsia="zh-CN"/>
        </w:rPr>
        <w:t>1</w:t>
      </w:r>
      <w:r>
        <w:rPr>
          <w:highlight w:val="none"/>
        </w:rPr>
        <w:t>m</w:t>
      </w:r>
      <w:r>
        <w:rPr>
          <w:highlight w:val="none"/>
          <w:vertAlign w:val="superscript"/>
        </w:rPr>
        <w:t>3</w:t>
      </w:r>
      <w:r>
        <w:rPr>
          <w:highlight w:val="none"/>
        </w:rPr>
        <w:t>/d计算</w:t>
      </w:r>
      <w:r>
        <w:rPr>
          <w:rFonts w:hint="eastAsia"/>
          <w:highlight w:val="none"/>
        </w:rPr>
        <w:t>，</w:t>
      </w:r>
      <w:r>
        <w:rPr>
          <w:highlight w:val="none"/>
        </w:rPr>
        <w:t>则化验</w:t>
      </w:r>
      <w:r>
        <w:rPr>
          <w:rFonts w:hint="eastAsia"/>
          <w:highlight w:val="none"/>
        </w:rPr>
        <w:t>用新鲜水</w:t>
      </w:r>
      <w:r>
        <w:rPr>
          <w:highlight w:val="none"/>
        </w:rPr>
        <w:t>量为</w:t>
      </w:r>
      <w:r>
        <w:rPr>
          <w:rFonts w:hint="eastAsia"/>
          <w:highlight w:val="none"/>
          <w:lang w:val="en-US" w:eastAsia="zh-CN"/>
        </w:rPr>
        <w:t>300</w:t>
      </w:r>
      <w:r>
        <w:rPr>
          <w:highlight w:val="none"/>
        </w:rPr>
        <w:t>m</w:t>
      </w:r>
      <w:r>
        <w:rPr>
          <w:highlight w:val="none"/>
          <w:vertAlign w:val="superscript"/>
        </w:rPr>
        <w:t>3</w:t>
      </w:r>
      <w:r>
        <w:rPr>
          <w:highlight w:val="none"/>
        </w:rPr>
        <w:t>/a。</w:t>
      </w:r>
    </w:p>
    <w:p w14:paraId="2EB435F9">
      <w:pPr>
        <w:ind w:firstLine="480"/>
        <w:rPr>
          <w:rFonts w:hint="default" w:eastAsia="宋体"/>
          <w:highlight w:val="none"/>
          <w:lang w:val="en-US" w:eastAsia="zh-CN"/>
        </w:rPr>
      </w:pPr>
      <w:r>
        <w:rPr>
          <w:rFonts w:hint="eastAsia"/>
          <w:highlight w:val="none"/>
        </w:rPr>
        <w:t>④地面清洗用水</w:t>
      </w:r>
      <w:r>
        <w:rPr>
          <w:rFonts w:hint="eastAsia"/>
          <w:highlight w:val="none"/>
          <w:lang w:eastAsia="zh-CN"/>
        </w:rPr>
        <w:t>、</w:t>
      </w:r>
      <w:r>
        <w:rPr>
          <w:rFonts w:hint="eastAsia"/>
          <w:highlight w:val="none"/>
          <w:lang w:val="en-US" w:eastAsia="zh-CN"/>
        </w:rPr>
        <w:t>洗车用水</w:t>
      </w:r>
    </w:p>
    <w:p w14:paraId="583F1299">
      <w:pPr>
        <w:ind w:firstLine="480"/>
        <w:rPr>
          <w:rFonts w:hint="default" w:eastAsia="宋体"/>
          <w:highlight w:val="none"/>
          <w:lang w:val="en-US" w:eastAsia="zh-CN"/>
        </w:rPr>
      </w:pPr>
      <w:r>
        <w:rPr>
          <w:rFonts w:hint="eastAsia"/>
          <w:highlight w:val="none"/>
        </w:rPr>
        <w:t>本项目车间地面清洗</w:t>
      </w:r>
      <w:r>
        <w:rPr>
          <w:rFonts w:hint="eastAsia"/>
          <w:highlight w:val="none"/>
          <w:lang w:val="en-US" w:eastAsia="zh-CN"/>
        </w:rPr>
        <w:t>用</w:t>
      </w:r>
      <w:r>
        <w:rPr>
          <w:rFonts w:hint="eastAsia"/>
          <w:highlight w:val="none"/>
        </w:rPr>
        <w:t>水量按2L/m</w:t>
      </w:r>
      <w:r>
        <w:rPr>
          <w:rFonts w:hint="eastAsia"/>
          <w:highlight w:val="none"/>
          <w:vertAlign w:val="superscript"/>
        </w:rPr>
        <w:t>2</w:t>
      </w:r>
      <w:r>
        <w:rPr>
          <w:rFonts w:hint="eastAsia"/>
          <w:highlight w:val="none"/>
        </w:rPr>
        <w:t>·d计，车间地面清洗面积约为</w:t>
      </w:r>
      <w:r>
        <w:rPr>
          <w:rFonts w:hint="eastAsia"/>
          <w:highlight w:val="none"/>
          <w:lang w:val="en-US" w:eastAsia="zh-CN"/>
        </w:rPr>
        <w:t>15</w:t>
      </w:r>
      <w:r>
        <w:rPr>
          <w:rFonts w:hint="eastAsia"/>
          <w:highlight w:val="none"/>
        </w:rPr>
        <w:t>00m</w:t>
      </w:r>
      <w:r>
        <w:rPr>
          <w:rFonts w:hint="eastAsia"/>
          <w:highlight w:val="none"/>
          <w:vertAlign w:val="superscript"/>
        </w:rPr>
        <w:t>2</w:t>
      </w:r>
      <w:r>
        <w:rPr>
          <w:rFonts w:hint="eastAsia"/>
          <w:highlight w:val="none"/>
        </w:rPr>
        <w:t>，则地面清洗用水量约为</w:t>
      </w:r>
      <w:r>
        <w:rPr>
          <w:rFonts w:hint="eastAsia"/>
          <w:highlight w:val="none"/>
          <w:lang w:val="en-US" w:eastAsia="zh-CN"/>
        </w:rPr>
        <w:t>900</w:t>
      </w:r>
      <w:r>
        <w:rPr>
          <w:highlight w:val="none"/>
        </w:rPr>
        <w:t>m</w:t>
      </w:r>
      <w:r>
        <w:rPr>
          <w:highlight w:val="none"/>
          <w:vertAlign w:val="superscript"/>
        </w:rPr>
        <w:t>3</w:t>
      </w:r>
      <w:r>
        <w:rPr>
          <w:highlight w:val="none"/>
        </w:rPr>
        <w:t>/a</w:t>
      </w:r>
      <w:r>
        <w:rPr>
          <w:rFonts w:hint="eastAsia"/>
          <w:highlight w:val="none"/>
        </w:rPr>
        <w:t>。</w:t>
      </w:r>
      <w:r>
        <w:rPr>
          <w:rFonts w:hint="eastAsia"/>
          <w:highlight w:val="none"/>
          <w:lang w:val="en-US" w:eastAsia="zh-CN"/>
        </w:rPr>
        <w:t>根据《用水定额》（DB43/T 388-2020），洗车用水定额按0.04m</w:t>
      </w:r>
      <w:r>
        <w:rPr>
          <w:rFonts w:hint="eastAsia"/>
          <w:highlight w:val="none"/>
          <w:vertAlign w:val="superscript"/>
          <w:lang w:val="en-US" w:eastAsia="zh-CN"/>
        </w:rPr>
        <w:t>3</w:t>
      </w:r>
      <w:r>
        <w:rPr>
          <w:rFonts w:hint="eastAsia"/>
          <w:highlight w:val="none"/>
          <w:lang w:val="en-US" w:eastAsia="zh-CN"/>
        </w:rPr>
        <w:t>/车·次，项目每日车辆总进出按50次计</w:t>
      </w:r>
      <w:r>
        <w:rPr>
          <w:rFonts w:hint="eastAsia"/>
          <w:highlight w:val="none"/>
        </w:rPr>
        <w:t>，</w:t>
      </w:r>
      <w:r>
        <w:rPr>
          <w:rFonts w:hint="eastAsia"/>
          <w:highlight w:val="none"/>
          <w:lang w:val="en-US" w:eastAsia="zh-CN"/>
        </w:rPr>
        <w:t>则洗车用水约为600</w:t>
      </w:r>
      <w:r>
        <w:rPr>
          <w:highlight w:val="none"/>
        </w:rPr>
        <w:t>m</w:t>
      </w:r>
      <w:r>
        <w:rPr>
          <w:highlight w:val="none"/>
          <w:vertAlign w:val="superscript"/>
        </w:rPr>
        <w:t>3</w:t>
      </w:r>
      <w:r>
        <w:rPr>
          <w:highlight w:val="none"/>
        </w:rPr>
        <w:t>/a</w:t>
      </w:r>
      <w:r>
        <w:rPr>
          <w:rFonts w:hint="eastAsia"/>
          <w:highlight w:val="none"/>
          <w:lang w:val="en-US" w:eastAsia="zh-CN"/>
        </w:rPr>
        <w:t>。</w:t>
      </w:r>
    </w:p>
    <w:p w14:paraId="22E3D022">
      <w:pPr>
        <w:ind w:firstLine="480"/>
        <w:rPr>
          <w:rFonts w:hint="eastAsia"/>
          <w:highlight w:val="none"/>
          <w:lang w:val="en-US" w:eastAsia="zh-CN"/>
        </w:rPr>
      </w:pPr>
      <w:r>
        <w:rPr>
          <w:rFonts w:hint="eastAsia"/>
          <w:highlight w:val="none"/>
          <w:lang w:val="en-US" w:eastAsia="zh-CN"/>
        </w:rPr>
        <w:t>⑤员工清洁用水</w:t>
      </w:r>
    </w:p>
    <w:p w14:paraId="338B8193">
      <w:pPr>
        <w:ind w:firstLine="480"/>
        <w:rPr>
          <w:rFonts w:hint="eastAsia"/>
          <w:highlight w:val="none"/>
        </w:rPr>
      </w:pPr>
      <w:r>
        <w:rPr>
          <w:rFonts w:hint="eastAsia"/>
          <w:highlight w:val="none"/>
          <w:lang w:val="en-US" w:eastAsia="zh-CN"/>
        </w:rPr>
        <w:t>根据《</w:t>
      </w:r>
      <w:r>
        <w:rPr>
          <w:rFonts w:hint="eastAsia"/>
          <w:highlight w:val="none"/>
        </w:rPr>
        <w:t>高氯酸盐生产企业专项治理指导意见（暂行）</w:t>
      </w:r>
      <w:r>
        <w:rPr>
          <w:rFonts w:hint="eastAsia"/>
          <w:highlight w:val="none"/>
          <w:lang w:val="en-US" w:eastAsia="zh-CN"/>
        </w:rPr>
        <w:t>》要求，</w:t>
      </w:r>
      <w:r>
        <w:rPr>
          <w:rFonts w:hint="eastAsia"/>
          <w:highlight w:val="none"/>
        </w:rPr>
        <w:t>生产车间员工在离岗前做好个人卫生，避免将高氯酸盐带离所在区域。</w:t>
      </w:r>
      <w:r>
        <w:rPr>
          <w:rFonts w:hint="eastAsia"/>
          <w:highlight w:val="none"/>
          <w:lang w:val="en-US" w:eastAsia="zh-CN"/>
        </w:rPr>
        <w:t>本环评建议</w:t>
      </w:r>
      <w:r>
        <w:rPr>
          <w:rFonts w:hint="eastAsia"/>
          <w:highlight w:val="none"/>
        </w:rPr>
        <w:t>电解和</w:t>
      </w:r>
      <w:r>
        <w:rPr>
          <w:rFonts w:hint="eastAsia"/>
          <w:highlight w:val="none"/>
          <w:lang w:val="en-US" w:eastAsia="zh-CN"/>
        </w:rPr>
        <w:t>复分解</w:t>
      </w:r>
      <w:r>
        <w:rPr>
          <w:rFonts w:hint="eastAsia"/>
          <w:highlight w:val="none"/>
        </w:rPr>
        <w:t>车间进出口设置风淋系统、车间内设置单独的换鞋换衣区，员工进出更衣在车间内完成，衣物在车间内清洗，清洗后的废水进入废水站处理后回用于生产。其他人员进出</w:t>
      </w:r>
      <w:r>
        <w:rPr>
          <w:rFonts w:hint="eastAsia"/>
          <w:highlight w:val="none"/>
          <w:lang w:val="en-US" w:eastAsia="zh-CN"/>
        </w:rPr>
        <w:t>车间</w:t>
      </w:r>
      <w:r>
        <w:rPr>
          <w:rFonts w:hint="eastAsia"/>
          <w:highlight w:val="none"/>
        </w:rPr>
        <w:t>需要更换鞋套，避免将高氯酸盐带出车间。</w:t>
      </w:r>
    </w:p>
    <w:p w14:paraId="09322B61">
      <w:pPr>
        <w:ind w:firstLine="480"/>
        <w:rPr>
          <w:rFonts w:hint="default" w:eastAsia="宋体"/>
          <w:highlight w:val="none"/>
          <w:lang w:val="en-US" w:eastAsia="zh-CN"/>
        </w:rPr>
      </w:pPr>
      <w:r>
        <w:rPr>
          <w:rFonts w:hint="eastAsia"/>
          <w:highlight w:val="none"/>
          <w:lang w:val="en-US" w:eastAsia="zh-CN"/>
        </w:rPr>
        <w:t>项目劳动定员65人，车间内员工清洁用水按20L</w:t>
      </w:r>
      <w:r>
        <w:rPr>
          <w:rFonts w:hint="eastAsia"/>
          <w:highlight w:val="none"/>
        </w:rPr>
        <w:t>/人·</w:t>
      </w:r>
      <w:r>
        <w:rPr>
          <w:rFonts w:hint="eastAsia"/>
          <w:highlight w:val="none"/>
          <w:lang w:val="en-US" w:eastAsia="zh-CN"/>
        </w:rPr>
        <w:t>d计，项目年工作300天，则员工清洁用水量为390</w:t>
      </w:r>
      <w:r>
        <w:rPr>
          <w:highlight w:val="none"/>
        </w:rPr>
        <w:t>m</w:t>
      </w:r>
      <w:r>
        <w:rPr>
          <w:highlight w:val="none"/>
          <w:vertAlign w:val="superscript"/>
        </w:rPr>
        <w:t>3</w:t>
      </w:r>
      <w:r>
        <w:rPr>
          <w:highlight w:val="none"/>
        </w:rPr>
        <w:t>/a</w:t>
      </w:r>
      <w:r>
        <w:rPr>
          <w:rFonts w:hint="eastAsia"/>
          <w:highlight w:val="none"/>
        </w:rPr>
        <w:t>。</w:t>
      </w:r>
    </w:p>
    <w:p w14:paraId="5DEDDDF6">
      <w:pPr>
        <w:ind w:firstLine="480"/>
        <w:rPr>
          <w:highlight w:val="none"/>
        </w:rPr>
      </w:pPr>
      <w:r>
        <w:rPr>
          <w:rFonts w:hint="eastAsia"/>
          <w:highlight w:val="none"/>
          <w:lang w:val="en-US" w:eastAsia="zh-CN"/>
        </w:rPr>
        <w:t>⑥</w:t>
      </w:r>
      <w:r>
        <w:rPr>
          <w:rFonts w:hint="eastAsia"/>
          <w:highlight w:val="none"/>
        </w:rPr>
        <w:t>生活用水</w:t>
      </w:r>
    </w:p>
    <w:p w14:paraId="475A7108">
      <w:pPr>
        <w:ind w:firstLine="480"/>
        <w:rPr>
          <w:highlight w:val="none"/>
        </w:rPr>
      </w:pPr>
      <w:r>
        <w:rPr>
          <w:rFonts w:hint="eastAsia"/>
          <w:highlight w:val="none"/>
        </w:rPr>
        <w:t>本项</w:t>
      </w:r>
      <w:r>
        <w:rPr>
          <w:highlight w:val="none"/>
        </w:rPr>
        <w:t>目劳动定员</w:t>
      </w:r>
      <w:r>
        <w:rPr>
          <w:rFonts w:hint="eastAsia"/>
          <w:highlight w:val="none"/>
        </w:rPr>
        <w:t>65</w:t>
      </w:r>
      <w:r>
        <w:rPr>
          <w:highlight w:val="none"/>
        </w:rPr>
        <w:t>人，</w:t>
      </w:r>
      <w:r>
        <w:rPr>
          <w:rFonts w:hint="eastAsia"/>
          <w:highlight w:val="none"/>
        </w:rPr>
        <w:t>参照湖南省地方标准《用水定额》（DB43/T 388-2020），员工生活用水量按“办公楼”指标38m</w:t>
      </w:r>
      <w:r>
        <w:rPr>
          <w:rFonts w:hint="eastAsia"/>
          <w:highlight w:val="none"/>
          <w:vertAlign w:val="superscript"/>
        </w:rPr>
        <w:t>3</w:t>
      </w:r>
      <w:r>
        <w:rPr>
          <w:rFonts w:hint="eastAsia"/>
          <w:highlight w:val="none"/>
        </w:rPr>
        <w:t>/人·a计，则生活用水量为2470</w:t>
      </w:r>
      <w:r>
        <w:rPr>
          <w:highlight w:val="none"/>
        </w:rPr>
        <w:t>m</w:t>
      </w:r>
      <w:r>
        <w:rPr>
          <w:highlight w:val="none"/>
          <w:vertAlign w:val="superscript"/>
        </w:rPr>
        <w:t>3</w:t>
      </w:r>
      <w:r>
        <w:rPr>
          <w:highlight w:val="none"/>
        </w:rPr>
        <w:t>/a</w:t>
      </w:r>
      <w:r>
        <w:rPr>
          <w:rFonts w:hint="eastAsia"/>
          <w:highlight w:val="none"/>
        </w:rPr>
        <w:t>。</w:t>
      </w:r>
    </w:p>
    <w:p w14:paraId="24EC42A7">
      <w:pPr>
        <w:ind w:firstLine="480"/>
        <w:rPr>
          <w:highlight w:val="none"/>
        </w:rPr>
      </w:pPr>
      <w:r>
        <w:rPr>
          <w:rFonts w:hint="eastAsia"/>
          <w:highlight w:val="none"/>
          <w:lang w:val="en-US" w:eastAsia="zh-CN"/>
        </w:rPr>
        <w:t>⑦</w:t>
      </w:r>
      <w:r>
        <w:rPr>
          <w:rFonts w:hint="eastAsia"/>
          <w:highlight w:val="none"/>
        </w:rPr>
        <w:t>消防用水</w:t>
      </w:r>
    </w:p>
    <w:p w14:paraId="631CE5C2">
      <w:pPr>
        <w:ind w:firstLine="480"/>
        <w:rPr>
          <w:highlight w:val="none"/>
        </w:rPr>
      </w:pPr>
      <w:r>
        <w:rPr>
          <w:rFonts w:hint="eastAsia"/>
          <w:highlight w:val="none"/>
        </w:rPr>
        <w:t>依据《建筑设计消防规范》的有关规定，装置厂房的生产火灾危险类别为甲类，耐火等级按二级考虑。消防管道沿厂区铺设。本项目室外消火栓设计流量为35L/s，室内消火栓设计流量为10L/s，火灾延续时间以</w:t>
      </w:r>
      <w:r>
        <w:rPr>
          <w:rFonts w:hint="eastAsia"/>
          <w:highlight w:val="none"/>
          <w:lang w:val="en-US" w:eastAsia="zh-CN"/>
        </w:rPr>
        <w:t>3</w:t>
      </w:r>
      <w:r>
        <w:rPr>
          <w:rFonts w:hint="eastAsia"/>
          <w:highlight w:val="none"/>
        </w:rPr>
        <w:t>h 计，本项目火灾消防用水量为486m</w:t>
      </w:r>
      <w:r>
        <w:rPr>
          <w:rFonts w:hint="eastAsia"/>
          <w:highlight w:val="none"/>
          <w:vertAlign w:val="superscript"/>
        </w:rPr>
        <w:t>3</w:t>
      </w:r>
      <w:r>
        <w:rPr>
          <w:rFonts w:hint="eastAsia"/>
          <w:highlight w:val="none"/>
        </w:rPr>
        <w:t>/次 。</w:t>
      </w:r>
    </w:p>
    <w:p w14:paraId="0A0D6889">
      <w:pPr>
        <w:ind w:firstLine="480"/>
        <w:rPr>
          <w:highlight w:val="none"/>
        </w:rPr>
      </w:pPr>
      <w:r>
        <w:rPr>
          <w:rFonts w:hint="eastAsia"/>
          <w:highlight w:val="none"/>
        </w:rPr>
        <w:t>本项目厂区设有效容积550m</w:t>
      </w:r>
      <w:r>
        <w:rPr>
          <w:rFonts w:hint="eastAsia"/>
          <w:highlight w:val="none"/>
          <w:vertAlign w:val="superscript"/>
        </w:rPr>
        <w:t>3</w:t>
      </w:r>
      <w:r>
        <w:rPr>
          <w:rFonts w:hint="eastAsia"/>
          <w:highlight w:val="none"/>
        </w:rPr>
        <w:t xml:space="preserve"> 的消防水池。消防水池采用市政自来水补水，补水管管径为DN65，流量约为12m</w:t>
      </w:r>
      <w:r>
        <w:rPr>
          <w:rFonts w:hint="eastAsia"/>
          <w:highlight w:val="none"/>
          <w:vertAlign w:val="superscript"/>
        </w:rPr>
        <w:t>3</w:t>
      </w:r>
      <w:r>
        <w:rPr>
          <w:rFonts w:hint="eastAsia"/>
          <w:highlight w:val="none"/>
        </w:rPr>
        <w:t>/h，可满足48h 内补满水池的要求。</w:t>
      </w:r>
    </w:p>
    <w:p w14:paraId="39E0301E">
      <w:pPr>
        <w:pStyle w:val="43"/>
        <w:numPr>
          <w:ilvl w:val="5"/>
          <w:numId w:val="1"/>
        </w:numPr>
        <w:rPr>
          <w:rFonts w:hint="default"/>
          <w:highlight w:val="none"/>
        </w:rPr>
      </w:pPr>
      <w:r>
        <w:rPr>
          <w:highlight w:val="none"/>
        </w:rPr>
        <w:t>本项目各单元用水情况一览表</w:t>
      </w:r>
    </w:p>
    <w:tbl>
      <w:tblPr>
        <w:tblStyle w:val="32"/>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59"/>
        <w:gridCol w:w="1500"/>
        <w:gridCol w:w="1523"/>
        <w:gridCol w:w="819"/>
        <w:gridCol w:w="1384"/>
        <w:gridCol w:w="1143"/>
        <w:gridCol w:w="1491"/>
      </w:tblGrid>
      <w:tr w14:paraId="15CC95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2161"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35881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用水单元</w:t>
            </w:r>
          </w:p>
        </w:tc>
        <w:tc>
          <w:tcPr>
            <w:tcW w:w="4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11F12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单位</w:t>
            </w:r>
          </w:p>
        </w:tc>
        <w:tc>
          <w:tcPr>
            <w:tcW w:w="8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3688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用水量</w:t>
            </w:r>
          </w:p>
        </w:tc>
        <w:tc>
          <w:tcPr>
            <w:tcW w:w="6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3B1C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小计</w:t>
            </w:r>
          </w:p>
        </w:tc>
        <w:tc>
          <w:tcPr>
            <w:tcW w:w="8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2A52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备注</w:t>
            </w:r>
          </w:p>
        </w:tc>
      </w:tr>
      <w:tr w14:paraId="6A2560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38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6097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生产装置用水</w:t>
            </w:r>
          </w:p>
        </w:tc>
        <w:tc>
          <w:tcPr>
            <w:tcW w:w="88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5E2C8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工艺用水</w:t>
            </w:r>
          </w:p>
        </w:tc>
        <w:tc>
          <w:tcPr>
            <w:tcW w:w="8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8BB2A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纯水</w:t>
            </w:r>
          </w:p>
        </w:tc>
        <w:tc>
          <w:tcPr>
            <w:tcW w:w="4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5D08D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3</w:t>
            </w:r>
            <w:r>
              <w:rPr>
                <w:rFonts w:hint="default" w:ascii="Times New Roman" w:hAnsi="Times New Roman" w:eastAsia="宋体" w:cs="Times New Roman"/>
                <w:b/>
                <w:bCs/>
                <w:i w:val="0"/>
                <w:iCs w:val="0"/>
                <w:color w:val="000000"/>
                <w:kern w:val="0"/>
                <w:sz w:val="21"/>
                <w:szCs w:val="21"/>
                <w:u w:val="none"/>
                <w:lang w:val="en-US" w:eastAsia="zh-CN" w:bidi="ar"/>
              </w:rPr>
              <w:t>/a</w:t>
            </w:r>
          </w:p>
        </w:tc>
        <w:tc>
          <w:tcPr>
            <w:tcW w:w="8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22653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14986.15</w:t>
            </w:r>
          </w:p>
        </w:tc>
        <w:tc>
          <w:tcPr>
            <w:tcW w:w="67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0B29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84134.18</w:t>
            </w:r>
          </w:p>
        </w:tc>
        <w:tc>
          <w:tcPr>
            <w:tcW w:w="87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88BFD8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包含化盐水、离心洗涤水、碱喷淋补水等</w:t>
            </w:r>
          </w:p>
        </w:tc>
      </w:tr>
      <w:tr w14:paraId="5D8BDF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BBC62A">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88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96CD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8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53C39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处理回用水</w:t>
            </w:r>
          </w:p>
        </w:tc>
        <w:tc>
          <w:tcPr>
            <w:tcW w:w="4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3FC9C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3</w:t>
            </w:r>
            <w:r>
              <w:rPr>
                <w:rFonts w:hint="default" w:ascii="Times New Roman" w:hAnsi="Times New Roman" w:eastAsia="宋体" w:cs="Times New Roman"/>
                <w:b/>
                <w:bCs/>
                <w:i w:val="0"/>
                <w:iCs w:val="0"/>
                <w:color w:val="000000"/>
                <w:kern w:val="0"/>
                <w:sz w:val="21"/>
                <w:szCs w:val="21"/>
                <w:u w:val="none"/>
                <w:lang w:val="en-US" w:eastAsia="zh-CN" w:bidi="ar"/>
              </w:rPr>
              <w:t>/a</w:t>
            </w:r>
          </w:p>
        </w:tc>
        <w:tc>
          <w:tcPr>
            <w:tcW w:w="8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1DC81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25069.35</w:t>
            </w:r>
          </w:p>
        </w:tc>
        <w:tc>
          <w:tcPr>
            <w:tcW w:w="6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5EB82">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E8E8AB">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r>
      <w:tr w14:paraId="596D61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A0D330">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88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E5584">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8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2964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冷凝回用水</w:t>
            </w:r>
          </w:p>
        </w:tc>
        <w:tc>
          <w:tcPr>
            <w:tcW w:w="4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D2634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3</w:t>
            </w:r>
            <w:r>
              <w:rPr>
                <w:rFonts w:hint="default" w:ascii="Times New Roman" w:hAnsi="Times New Roman" w:eastAsia="宋体" w:cs="Times New Roman"/>
                <w:b/>
                <w:bCs/>
                <w:i w:val="0"/>
                <w:iCs w:val="0"/>
                <w:color w:val="000000"/>
                <w:kern w:val="0"/>
                <w:sz w:val="21"/>
                <w:szCs w:val="21"/>
                <w:u w:val="none"/>
                <w:lang w:val="en-US" w:eastAsia="zh-CN" w:bidi="ar"/>
              </w:rPr>
              <w:t>/a</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B6ABD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44078.68</w:t>
            </w:r>
          </w:p>
        </w:tc>
        <w:tc>
          <w:tcPr>
            <w:tcW w:w="6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9D93FF">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48D828">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r>
      <w:tr w14:paraId="1781EC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5" w:hRule="atLeast"/>
        </w:trPr>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EC802">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8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B4AA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纯水制备用水</w:t>
            </w:r>
          </w:p>
        </w:tc>
        <w:tc>
          <w:tcPr>
            <w:tcW w:w="8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CEF5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新鲜水</w:t>
            </w:r>
          </w:p>
        </w:tc>
        <w:tc>
          <w:tcPr>
            <w:tcW w:w="4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8B2D3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3</w:t>
            </w:r>
            <w:r>
              <w:rPr>
                <w:rFonts w:hint="default" w:ascii="Times New Roman" w:hAnsi="Times New Roman" w:eastAsia="宋体" w:cs="Times New Roman"/>
                <w:b/>
                <w:bCs/>
                <w:i w:val="0"/>
                <w:iCs w:val="0"/>
                <w:color w:val="000000"/>
                <w:kern w:val="0"/>
                <w:sz w:val="21"/>
                <w:szCs w:val="21"/>
                <w:u w:val="none"/>
                <w:lang w:val="en-US" w:eastAsia="zh-CN" w:bidi="ar"/>
              </w:rPr>
              <w:t>/a</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97E76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18732.69</w:t>
            </w:r>
          </w:p>
        </w:tc>
        <w:tc>
          <w:tcPr>
            <w:tcW w:w="6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AF56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18732.69</w:t>
            </w:r>
          </w:p>
        </w:tc>
        <w:tc>
          <w:tcPr>
            <w:tcW w:w="8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DECFE5">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r>
      <w:tr w14:paraId="74FE93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5" w:hRule="atLeast"/>
        </w:trPr>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F644A">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88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E1109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循环冷却水补水</w:t>
            </w:r>
          </w:p>
        </w:tc>
        <w:tc>
          <w:tcPr>
            <w:tcW w:w="8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0A095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冷凝回用水</w:t>
            </w:r>
          </w:p>
        </w:tc>
        <w:tc>
          <w:tcPr>
            <w:tcW w:w="4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A9014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3</w:t>
            </w:r>
            <w:r>
              <w:rPr>
                <w:rFonts w:hint="default" w:ascii="Times New Roman" w:hAnsi="Times New Roman" w:eastAsia="宋体" w:cs="Times New Roman"/>
                <w:b/>
                <w:bCs/>
                <w:i w:val="0"/>
                <w:iCs w:val="0"/>
                <w:color w:val="000000"/>
                <w:kern w:val="0"/>
                <w:sz w:val="21"/>
                <w:szCs w:val="21"/>
                <w:u w:val="none"/>
                <w:lang w:val="en-US" w:eastAsia="zh-CN" w:bidi="ar"/>
              </w:rPr>
              <w:t>/a</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E68FE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21418.72</w:t>
            </w:r>
          </w:p>
        </w:tc>
        <w:tc>
          <w:tcPr>
            <w:tcW w:w="67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115EF7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112000</w:t>
            </w:r>
          </w:p>
        </w:tc>
        <w:tc>
          <w:tcPr>
            <w:tcW w:w="8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EA0FA3">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r>
      <w:tr w14:paraId="55A74A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5" w:hRule="atLeast"/>
        </w:trPr>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98F909">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88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8BEF53">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8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6637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新鲜水</w:t>
            </w:r>
          </w:p>
        </w:tc>
        <w:tc>
          <w:tcPr>
            <w:tcW w:w="4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09D2E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3</w:t>
            </w:r>
            <w:r>
              <w:rPr>
                <w:rFonts w:hint="default" w:ascii="Times New Roman" w:hAnsi="Times New Roman" w:eastAsia="宋体" w:cs="Times New Roman"/>
                <w:b/>
                <w:bCs/>
                <w:i w:val="0"/>
                <w:iCs w:val="0"/>
                <w:color w:val="000000"/>
                <w:kern w:val="0"/>
                <w:sz w:val="21"/>
                <w:szCs w:val="21"/>
                <w:u w:val="none"/>
                <w:lang w:val="en-US" w:eastAsia="zh-CN" w:bidi="ar"/>
              </w:rPr>
              <w:t>/a</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C1C87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90581.28</w:t>
            </w:r>
          </w:p>
        </w:tc>
        <w:tc>
          <w:tcPr>
            <w:tcW w:w="6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4B38BC">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F18428">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r>
      <w:tr w14:paraId="4EE2FD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5" w:hRule="atLeast"/>
        </w:trPr>
        <w:tc>
          <w:tcPr>
            <w:tcW w:w="38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97E1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其他生产用水</w:t>
            </w:r>
          </w:p>
        </w:tc>
        <w:tc>
          <w:tcPr>
            <w:tcW w:w="8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C1DA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化验室用水</w:t>
            </w:r>
          </w:p>
        </w:tc>
        <w:tc>
          <w:tcPr>
            <w:tcW w:w="8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44B0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新鲜水</w:t>
            </w:r>
          </w:p>
        </w:tc>
        <w:tc>
          <w:tcPr>
            <w:tcW w:w="4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01962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3</w:t>
            </w:r>
            <w:r>
              <w:rPr>
                <w:rFonts w:hint="default" w:ascii="Times New Roman" w:hAnsi="Times New Roman" w:eastAsia="宋体" w:cs="Times New Roman"/>
                <w:b/>
                <w:bCs/>
                <w:i w:val="0"/>
                <w:iCs w:val="0"/>
                <w:color w:val="000000"/>
                <w:kern w:val="0"/>
                <w:sz w:val="21"/>
                <w:szCs w:val="21"/>
                <w:u w:val="none"/>
                <w:lang w:val="en-US" w:eastAsia="zh-CN" w:bidi="ar"/>
              </w:rPr>
              <w:t>/a</w:t>
            </w:r>
          </w:p>
        </w:tc>
        <w:tc>
          <w:tcPr>
            <w:tcW w:w="8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AA05E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300</w:t>
            </w:r>
          </w:p>
        </w:tc>
        <w:tc>
          <w:tcPr>
            <w:tcW w:w="67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DF325E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2190</w:t>
            </w:r>
          </w:p>
        </w:tc>
        <w:tc>
          <w:tcPr>
            <w:tcW w:w="8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9A7DD">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r>
      <w:tr w14:paraId="5D3CBD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3" w:hRule="atLeast"/>
        </w:trPr>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1B494C">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8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7E358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车间地面清洗用水</w:t>
            </w:r>
          </w:p>
        </w:tc>
        <w:tc>
          <w:tcPr>
            <w:tcW w:w="8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B39D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新鲜水</w:t>
            </w:r>
          </w:p>
        </w:tc>
        <w:tc>
          <w:tcPr>
            <w:tcW w:w="4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99647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3</w:t>
            </w:r>
            <w:r>
              <w:rPr>
                <w:rFonts w:hint="default" w:ascii="Times New Roman" w:hAnsi="Times New Roman" w:eastAsia="宋体" w:cs="Times New Roman"/>
                <w:b/>
                <w:bCs/>
                <w:i w:val="0"/>
                <w:iCs w:val="0"/>
                <w:color w:val="000000"/>
                <w:kern w:val="0"/>
                <w:sz w:val="21"/>
                <w:szCs w:val="21"/>
                <w:u w:val="none"/>
                <w:lang w:val="en-US" w:eastAsia="zh-CN" w:bidi="ar"/>
              </w:rPr>
              <w:t>/a</w:t>
            </w:r>
          </w:p>
        </w:tc>
        <w:tc>
          <w:tcPr>
            <w:tcW w:w="8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7E3C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900</w:t>
            </w:r>
          </w:p>
        </w:tc>
        <w:tc>
          <w:tcPr>
            <w:tcW w:w="6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C8B7E8">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35B48">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r>
      <w:tr w14:paraId="55224C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5" w:hRule="atLeast"/>
        </w:trPr>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ADAE42">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8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967F3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洗车用水</w:t>
            </w:r>
          </w:p>
        </w:tc>
        <w:tc>
          <w:tcPr>
            <w:tcW w:w="8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13042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新鲜水</w:t>
            </w:r>
          </w:p>
        </w:tc>
        <w:tc>
          <w:tcPr>
            <w:tcW w:w="4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379C9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3</w:t>
            </w:r>
            <w:r>
              <w:rPr>
                <w:rFonts w:hint="default" w:ascii="Times New Roman" w:hAnsi="Times New Roman" w:eastAsia="宋体" w:cs="Times New Roman"/>
                <w:b/>
                <w:bCs/>
                <w:i w:val="0"/>
                <w:iCs w:val="0"/>
                <w:color w:val="000000"/>
                <w:kern w:val="0"/>
                <w:sz w:val="21"/>
                <w:szCs w:val="21"/>
                <w:u w:val="none"/>
                <w:lang w:val="en-US" w:eastAsia="zh-CN" w:bidi="ar"/>
              </w:rPr>
              <w:t>/a</w:t>
            </w:r>
          </w:p>
        </w:tc>
        <w:tc>
          <w:tcPr>
            <w:tcW w:w="8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C6A62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600</w:t>
            </w:r>
          </w:p>
        </w:tc>
        <w:tc>
          <w:tcPr>
            <w:tcW w:w="6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FB9C4B">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01B3B">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r>
      <w:tr w14:paraId="06D2EB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5" w:hRule="atLeast"/>
        </w:trPr>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CDAD3">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8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889B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员工清洁用水</w:t>
            </w:r>
          </w:p>
        </w:tc>
        <w:tc>
          <w:tcPr>
            <w:tcW w:w="8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27B6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新鲜水</w:t>
            </w:r>
          </w:p>
        </w:tc>
        <w:tc>
          <w:tcPr>
            <w:tcW w:w="4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EC3D6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3</w:t>
            </w:r>
            <w:r>
              <w:rPr>
                <w:rFonts w:hint="default" w:ascii="Times New Roman" w:hAnsi="Times New Roman" w:eastAsia="宋体" w:cs="Times New Roman"/>
                <w:b/>
                <w:bCs/>
                <w:i w:val="0"/>
                <w:iCs w:val="0"/>
                <w:color w:val="000000"/>
                <w:kern w:val="0"/>
                <w:sz w:val="21"/>
                <w:szCs w:val="21"/>
                <w:u w:val="none"/>
                <w:lang w:val="en-US" w:eastAsia="zh-CN" w:bidi="ar"/>
              </w:rPr>
              <w:t>/a</w:t>
            </w:r>
          </w:p>
        </w:tc>
        <w:tc>
          <w:tcPr>
            <w:tcW w:w="8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8F0AA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390</w:t>
            </w:r>
          </w:p>
        </w:tc>
        <w:tc>
          <w:tcPr>
            <w:tcW w:w="6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E885F8">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8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B830E">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r>
      <w:tr w14:paraId="3C40568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5" w:hRule="atLeast"/>
        </w:trPr>
        <w:tc>
          <w:tcPr>
            <w:tcW w:w="1267"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B6A7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生活用水</w:t>
            </w:r>
          </w:p>
        </w:tc>
        <w:tc>
          <w:tcPr>
            <w:tcW w:w="8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190A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新鲜水</w:t>
            </w:r>
          </w:p>
        </w:tc>
        <w:tc>
          <w:tcPr>
            <w:tcW w:w="4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2EA82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3</w:t>
            </w:r>
            <w:r>
              <w:rPr>
                <w:rFonts w:hint="default" w:ascii="Times New Roman" w:hAnsi="Times New Roman" w:eastAsia="宋体" w:cs="Times New Roman"/>
                <w:b/>
                <w:bCs/>
                <w:i w:val="0"/>
                <w:iCs w:val="0"/>
                <w:color w:val="000000"/>
                <w:kern w:val="0"/>
                <w:sz w:val="21"/>
                <w:szCs w:val="21"/>
                <w:u w:val="none"/>
                <w:lang w:val="en-US" w:eastAsia="zh-CN" w:bidi="ar"/>
              </w:rPr>
              <w:t>/a</w:t>
            </w:r>
          </w:p>
        </w:tc>
        <w:tc>
          <w:tcPr>
            <w:tcW w:w="8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C2F47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2470</w:t>
            </w:r>
          </w:p>
        </w:tc>
        <w:tc>
          <w:tcPr>
            <w:tcW w:w="6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C6AE5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2470</w:t>
            </w:r>
          </w:p>
        </w:tc>
        <w:tc>
          <w:tcPr>
            <w:tcW w:w="8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67C29C">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r>
      <w:tr w14:paraId="6D7AB5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8" w:hRule="atLeast"/>
        </w:trPr>
        <w:tc>
          <w:tcPr>
            <w:tcW w:w="1267"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B73C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消防用水</w:t>
            </w:r>
          </w:p>
        </w:tc>
        <w:tc>
          <w:tcPr>
            <w:tcW w:w="8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224D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新鲜水</w:t>
            </w:r>
          </w:p>
        </w:tc>
        <w:tc>
          <w:tcPr>
            <w:tcW w:w="4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AE469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3</w:t>
            </w:r>
            <w:r>
              <w:rPr>
                <w:rFonts w:hint="default" w:ascii="Times New Roman" w:hAnsi="Times New Roman" w:eastAsia="宋体" w:cs="Times New Roman"/>
                <w:b/>
                <w:bCs/>
                <w:i w:val="0"/>
                <w:iCs w:val="0"/>
                <w:color w:val="000000"/>
                <w:kern w:val="0"/>
                <w:sz w:val="21"/>
                <w:szCs w:val="21"/>
                <w:u w:val="none"/>
                <w:lang w:val="en-US" w:eastAsia="zh-CN" w:bidi="ar"/>
              </w:rPr>
              <w:t>/</w:t>
            </w:r>
            <w:r>
              <w:rPr>
                <w:rFonts w:hint="eastAsia" w:ascii="Times New Roman" w:hAnsi="Times New Roman" w:eastAsia="宋体" w:cs="宋体"/>
                <w:b/>
                <w:bCs/>
                <w:i w:val="0"/>
                <w:iCs w:val="0"/>
                <w:color w:val="000000"/>
                <w:kern w:val="0"/>
                <w:sz w:val="21"/>
                <w:szCs w:val="21"/>
                <w:u w:val="none"/>
                <w:lang w:val="en-US" w:eastAsia="zh-CN" w:bidi="ar"/>
              </w:rPr>
              <w:t>次</w:t>
            </w:r>
          </w:p>
        </w:tc>
        <w:tc>
          <w:tcPr>
            <w:tcW w:w="8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C6DA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486</w:t>
            </w:r>
          </w:p>
        </w:tc>
        <w:tc>
          <w:tcPr>
            <w:tcW w:w="6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C945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8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F8C70">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r>
    </w:tbl>
    <w:p w14:paraId="4EE946AF">
      <w:pPr>
        <w:ind w:firstLine="0" w:firstLineChars="0"/>
        <w:rPr>
          <w:highlight w:val="yellow"/>
        </w:rPr>
      </w:pPr>
    </w:p>
    <w:p w14:paraId="4A7E1C69">
      <w:pPr>
        <w:pStyle w:val="43"/>
        <w:numPr>
          <w:ilvl w:val="5"/>
          <w:numId w:val="1"/>
        </w:numPr>
        <w:rPr>
          <w:rFonts w:hint="default"/>
          <w:highlight w:val="none"/>
        </w:rPr>
      </w:pPr>
      <w:r>
        <w:rPr>
          <w:highlight w:val="none"/>
        </w:rPr>
        <w:t>本项目</w:t>
      </w:r>
      <w:r>
        <w:rPr>
          <w:rFonts w:hint="eastAsia"/>
          <w:highlight w:val="none"/>
          <w:lang w:val="en-US" w:eastAsia="zh-CN"/>
        </w:rPr>
        <w:t>总用水情况</w:t>
      </w:r>
      <w:r>
        <w:rPr>
          <w:highlight w:val="none"/>
        </w:rPr>
        <w:t>一览表</w:t>
      </w:r>
    </w:p>
    <w:tbl>
      <w:tblPr>
        <w:tblStyle w:val="32"/>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056"/>
        <w:gridCol w:w="2780"/>
        <w:gridCol w:w="2684"/>
      </w:tblGrid>
      <w:tr w14:paraId="760E49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7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CE87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用水单元</w:t>
            </w:r>
          </w:p>
        </w:tc>
        <w:tc>
          <w:tcPr>
            <w:tcW w:w="16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D590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单位</w:t>
            </w:r>
          </w:p>
        </w:tc>
        <w:tc>
          <w:tcPr>
            <w:tcW w:w="15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D5BAF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用水量</w:t>
            </w:r>
          </w:p>
        </w:tc>
      </w:tr>
      <w:tr w14:paraId="4C4351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7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222C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纯水制备用水</w:t>
            </w:r>
          </w:p>
        </w:tc>
        <w:tc>
          <w:tcPr>
            <w:tcW w:w="16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688A6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3</w:t>
            </w:r>
            <w:r>
              <w:rPr>
                <w:rFonts w:hint="default" w:ascii="Times New Roman" w:hAnsi="Times New Roman" w:eastAsia="宋体" w:cs="Times New Roman"/>
                <w:b/>
                <w:bCs/>
                <w:i w:val="0"/>
                <w:iCs w:val="0"/>
                <w:color w:val="000000"/>
                <w:kern w:val="0"/>
                <w:sz w:val="21"/>
                <w:szCs w:val="21"/>
                <w:u w:val="none"/>
                <w:lang w:val="en-US" w:eastAsia="zh-CN" w:bidi="ar"/>
              </w:rPr>
              <w:t>/a</w:t>
            </w:r>
          </w:p>
        </w:tc>
        <w:tc>
          <w:tcPr>
            <w:tcW w:w="15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5ECD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18732.69</w:t>
            </w:r>
          </w:p>
        </w:tc>
      </w:tr>
      <w:tr w14:paraId="21C3A1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47919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循环冷却补水</w:t>
            </w:r>
          </w:p>
        </w:tc>
        <w:tc>
          <w:tcPr>
            <w:tcW w:w="16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EF122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3</w:t>
            </w:r>
            <w:r>
              <w:rPr>
                <w:rFonts w:hint="default" w:ascii="Times New Roman" w:hAnsi="Times New Roman" w:eastAsia="宋体" w:cs="Times New Roman"/>
                <w:b/>
                <w:bCs/>
                <w:i w:val="0"/>
                <w:iCs w:val="0"/>
                <w:color w:val="000000"/>
                <w:kern w:val="0"/>
                <w:sz w:val="21"/>
                <w:szCs w:val="21"/>
                <w:u w:val="none"/>
                <w:lang w:val="en-US" w:eastAsia="zh-CN" w:bidi="ar"/>
              </w:rPr>
              <w:t>/a</w:t>
            </w:r>
          </w:p>
        </w:tc>
        <w:tc>
          <w:tcPr>
            <w:tcW w:w="15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C81E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90581.28</w:t>
            </w:r>
          </w:p>
        </w:tc>
      </w:tr>
      <w:tr w14:paraId="2F17DA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7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1453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化验室用水</w:t>
            </w:r>
          </w:p>
        </w:tc>
        <w:tc>
          <w:tcPr>
            <w:tcW w:w="16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62EF8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3</w:t>
            </w:r>
            <w:r>
              <w:rPr>
                <w:rFonts w:hint="default" w:ascii="Times New Roman" w:hAnsi="Times New Roman" w:eastAsia="宋体" w:cs="Times New Roman"/>
                <w:b/>
                <w:bCs/>
                <w:i w:val="0"/>
                <w:iCs w:val="0"/>
                <w:color w:val="000000"/>
                <w:kern w:val="0"/>
                <w:sz w:val="21"/>
                <w:szCs w:val="21"/>
                <w:u w:val="none"/>
                <w:lang w:val="en-US" w:eastAsia="zh-CN" w:bidi="ar"/>
              </w:rPr>
              <w:t>/a</w:t>
            </w:r>
          </w:p>
        </w:tc>
        <w:tc>
          <w:tcPr>
            <w:tcW w:w="15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0D79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300</w:t>
            </w:r>
          </w:p>
        </w:tc>
      </w:tr>
      <w:tr w14:paraId="2AAF6A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7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784A5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车间地面清洗用水</w:t>
            </w:r>
          </w:p>
        </w:tc>
        <w:tc>
          <w:tcPr>
            <w:tcW w:w="16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7455E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3</w:t>
            </w:r>
            <w:r>
              <w:rPr>
                <w:rFonts w:hint="default" w:ascii="Times New Roman" w:hAnsi="Times New Roman" w:eastAsia="宋体" w:cs="Times New Roman"/>
                <w:b/>
                <w:bCs/>
                <w:i w:val="0"/>
                <w:iCs w:val="0"/>
                <w:color w:val="000000"/>
                <w:kern w:val="0"/>
                <w:sz w:val="21"/>
                <w:szCs w:val="21"/>
                <w:u w:val="none"/>
                <w:lang w:val="en-US" w:eastAsia="zh-CN" w:bidi="ar"/>
              </w:rPr>
              <w:t>/a</w:t>
            </w:r>
          </w:p>
        </w:tc>
        <w:tc>
          <w:tcPr>
            <w:tcW w:w="15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C7B2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900</w:t>
            </w:r>
          </w:p>
        </w:tc>
      </w:tr>
      <w:tr w14:paraId="0A6242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7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1974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洗车用水</w:t>
            </w:r>
          </w:p>
        </w:tc>
        <w:tc>
          <w:tcPr>
            <w:tcW w:w="16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48847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3</w:t>
            </w:r>
            <w:r>
              <w:rPr>
                <w:rFonts w:hint="default" w:ascii="Times New Roman" w:hAnsi="Times New Roman" w:eastAsia="宋体" w:cs="Times New Roman"/>
                <w:b/>
                <w:bCs/>
                <w:i w:val="0"/>
                <w:iCs w:val="0"/>
                <w:color w:val="000000"/>
                <w:kern w:val="0"/>
                <w:sz w:val="21"/>
                <w:szCs w:val="21"/>
                <w:u w:val="none"/>
                <w:lang w:val="en-US" w:eastAsia="zh-CN" w:bidi="ar"/>
              </w:rPr>
              <w:t>/a</w:t>
            </w:r>
          </w:p>
        </w:tc>
        <w:tc>
          <w:tcPr>
            <w:tcW w:w="15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50A70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600</w:t>
            </w:r>
          </w:p>
        </w:tc>
      </w:tr>
      <w:tr w14:paraId="70440C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B7DA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车间员工清洁用水</w:t>
            </w:r>
          </w:p>
        </w:tc>
        <w:tc>
          <w:tcPr>
            <w:tcW w:w="16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62908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3</w:t>
            </w:r>
            <w:r>
              <w:rPr>
                <w:rFonts w:hint="default" w:ascii="Times New Roman" w:hAnsi="Times New Roman" w:eastAsia="宋体" w:cs="Times New Roman"/>
                <w:b/>
                <w:bCs/>
                <w:i w:val="0"/>
                <w:iCs w:val="0"/>
                <w:color w:val="000000"/>
                <w:kern w:val="0"/>
                <w:sz w:val="21"/>
                <w:szCs w:val="21"/>
                <w:u w:val="none"/>
                <w:lang w:val="en-US" w:eastAsia="zh-CN" w:bidi="ar"/>
              </w:rPr>
              <w:t>/a</w:t>
            </w:r>
          </w:p>
        </w:tc>
        <w:tc>
          <w:tcPr>
            <w:tcW w:w="15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F56B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390</w:t>
            </w:r>
          </w:p>
        </w:tc>
      </w:tr>
      <w:tr w14:paraId="60D992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7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F53B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生活用水</w:t>
            </w:r>
          </w:p>
        </w:tc>
        <w:tc>
          <w:tcPr>
            <w:tcW w:w="16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CE4C6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3</w:t>
            </w:r>
            <w:r>
              <w:rPr>
                <w:rFonts w:hint="default" w:ascii="Times New Roman" w:hAnsi="Times New Roman" w:eastAsia="宋体" w:cs="Times New Roman"/>
                <w:b/>
                <w:bCs/>
                <w:i w:val="0"/>
                <w:iCs w:val="0"/>
                <w:color w:val="000000"/>
                <w:kern w:val="0"/>
                <w:sz w:val="21"/>
                <w:szCs w:val="21"/>
                <w:u w:val="none"/>
                <w:lang w:val="en-US" w:eastAsia="zh-CN" w:bidi="ar"/>
              </w:rPr>
              <w:t>/a</w:t>
            </w:r>
          </w:p>
        </w:tc>
        <w:tc>
          <w:tcPr>
            <w:tcW w:w="15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D2A8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2470</w:t>
            </w:r>
          </w:p>
        </w:tc>
      </w:tr>
      <w:tr w14:paraId="56DE3A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7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1C53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合计</w:t>
            </w:r>
          </w:p>
        </w:tc>
        <w:tc>
          <w:tcPr>
            <w:tcW w:w="16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C1C8A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3</w:t>
            </w:r>
            <w:r>
              <w:rPr>
                <w:rFonts w:hint="default" w:ascii="Times New Roman" w:hAnsi="Times New Roman" w:eastAsia="宋体" w:cs="Times New Roman"/>
                <w:b/>
                <w:bCs/>
                <w:i w:val="0"/>
                <w:iCs w:val="0"/>
                <w:color w:val="000000"/>
                <w:kern w:val="0"/>
                <w:sz w:val="21"/>
                <w:szCs w:val="21"/>
                <w:u w:val="none"/>
                <w:lang w:val="en-US" w:eastAsia="zh-CN" w:bidi="ar"/>
              </w:rPr>
              <w:t>/a</w:t>
            </w:r>
          </w:p>
        </w:tc>
        <w:tc>
          <w:tcPr>
            <w:tcW w:w="15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F5DBB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113973.97</w:t>
            </w:r>
          </w:p>
        </w:tc>
      </w:tr>
    </w:tbl>
    <w:p w14:paraId="75B43BDD">
      <w:pPr>
        <w:spacing w:line="240" w:lineRule="auto"/>
        <w:ind w:firstLine="0" w:firstLineChars="0"/>
        <w:rPr>
          <w:highlight w:val="yellow"/>
        </w:rPr>
      </w:pPr>
    </w:p>
    <w:p w14:paraId="7E34E967">
      <w:pPr>
        <w:rPr>
          <w:rFonts w:hint="eastAsia"/>
          <w:highlight w:val="none"/>
          <w:lang w:val="en-US" w:eastAsia="zh-CN"/>
        </w:rPr>
      </w:pPr>
      <w:r>
        <w:rPr>
          <w:rFonts w:hint="eastAsia"/>
          <w:highlight w:val="none"/>
          <w:lang w:val="en-US" w:eastAsia="zh-CN"/>
        </w:rPr>
        <w:t>项目水平衡具体如下。</w:t>
      </w:r>
    </w:p>
    <w:p w14:paraId="6BEEF46A">
      <w:pPr>
        <w:ind w:firstLine="0" w:firstLineChars="0"/>
        <w:jc w:val="center"/>
        <w:rPr>
          <w:rFonts w:hint="eastAsia" w:eastAsia="宋体"/>
          <w:highlight w:val="none"/>
          <w:lang w:eastAsia="zh-CN"/>
        </w:rPr>
      </w:pPr>
      <w:r>
        <w:rPr>
          <w:rFonts w:hint="eastAsia" w:eastAsia="宋体"/>
          <w:highlight w:val="none"/>
          <w:lang w:eastAsia="zh-CN"/>
        </w:rPr>
        <w:object>
          <v:shape id="_x0000_i1084" o:spt="75" type="#_x0000_t75" style="height:418.9pt;width:414.85pt;" o:ole="t" filled="f" o:preferrelative="t" stroked="f" coordsize="21600,21600">
            <v:path/>
            <v:fill on="f" focussize="0,0"/>
            <v:stroke on="f"/>
            <v:imagedata r:id="rId127" o:title=""/>
            <o:lock v:ext="edit" aspectratio="f"/>
            <w10:wrap type="none"/>
            <w10:anchorlock/>
          </v:shape>
          <o:OLEObject Type="Embed" ProgID="Visio.Drawing.15" ShapeID="_x0000_i1084" DrawAspect="Content" ObjectID="_1468075784" r:id="rId126">
            <o:LockedField>false</o:LockedField>
          </o:OLEObject>
        </w:object>
      </w:r>
    </w:p>
    <w:p w14:paraId="2BC98820">
      <w:pPr>
        <w:pStyle w:val="42"/>
        <w:numPr>
          <w:ilvl w:val="6"/>
          <w:numId w:val="1"/>
        </w:numPr>
        <w:rPr>
          <w:rFonts w:hint="default"/>
          <w:highlight w:val="none"/>
        </w:rPr>
      </w:pPr>
      <w:r>
        <w:rPr>
          <w:highlight w:val="none"/>
        </w:rPr>
        <w:t>项目生产</w:t>
      </w:r>
      <w:r>
        <w:rPr>
          <w:rFonts w:hint="eastAsia"/>
          <w:highlight w:val="none"/>
          <w:lang w:val="en-US" w:eastAsia="zh-CN"/>
        </w:rPr>
        <w:t>装置</w:t>
      </w:r>
      <w:r>
        <w:rPr>
          <w:highlight w:val="none"/>
        </w:rPr>
        <w:t>水平衡图（单位：t/a）</w:t>
      </w:r>
    </w:p>
    <w:p w14:paraId="203BCFF7">
      <w:pPr>
        <w:ind w:firstLine="480"/>
        <w:rPr>
          <w:highlight w:val="yellow"/>
        </w:rPr>
      </w:pPr>
    </w:p>
    <w:p w14:paraId="0765BF06">
      <w:pPr>
        <w:ind w:firstLine="0" w:firstLineChars="0"/>
        <w:rPr>
          <w:rFonts w:hint="eastAsia" w:eastAsia="宋体"/>
          <w:highlight w:val="none"/>
          <w:lang w:eastAsia="zh-CN"/>
        </w:rPr>
      </w:pPr>
      <w:r>
        <w:rPr>
          <w:rFonts w:hint="eastAsia" w:eastAsia="宋体"/>
          <w:highlight w:val="none"/>
          <w:lang w:eastAsia="zh-CN"/>
        </w:rPr>
        <w:object>
          <v:shape id="_x0000_i1085" o:spt="75" type="#_x0000_t75" style="height:194.7pt;width:415.15pt;" o:ole="t" filled="f" o:preferrelative="t" stroked="f" coordsize="21600,21600">
            <v:path/>
            <v:fill on="f" focussize="0,0"/>
            <v:stroke on="f"/>
            <v:imagedata r:id="rId129" o:title=""/>
            <o:lock v:ext="edit" aspectratio="f"/>
            <w10:wrap type="none"/>
            <w10:anchorlock/>
          </v:shape>
          <o:OLEObject Type="Embed" ProgID="Visio.Drawing.15" ShapeID="_x0000_i1085" DrawAspect="Content" ObjectID="_1468075785" r:id="rId128">
            <o:LockedField>false</o:LockedField>
          </o:OLEObject>
        </w:object>
      </w:r>
    </w:p>
    <w:p w14:paraId="3B35D7ED">
      <w:pPr>
        <w:pStyle w:val="42"/>
        <w:numPr>
          <w:ilvl w:val="6"/>
          <w:numId w:val="1"/>
        </w:numPr>
        <w:rPr>
          <w:rFonts w:hint="default"/>
          <w:highlight w:val="none"/>
        </w:rPr>
      </w:pPr>
      <w:r>
        <w:rPr>
          <w:highlight w:val="none"/>
        </w:rPr>
        <w:t>项目全厂水平衡图（单位：t/a）</w:t>
      </w:r>
    </w:p>
    <w:p w14:paraId="662EFD18">
      <w:pPr>
        <w:rPr>
          <w:highlight w:val="yellow"/>
        </w:rPr>
      </w:pPr>
    </w:p>
    <w:p w14:paraId="4EF34C2F">
      <w:pPr>
        <w:spacing w:line="240" w:lineRule="auto"/>
        <w:ind w:firstLine="0" w:firstLineChars="0"/>
        <w:rPr>
          <w:highlight w:val="yellow"/>
        </w:rPr>
      </w:pPr>
    </w:p>
    <w:p w14:paraId="4391D939">
      <w:pPr>
        <w:pStyle w:val="6"/>
        <w:numPr>
          <w:ilvl w:val="4"/>
          <w:numId w:val="1"/>
        </w:numPr>
        <w:tabs>
          <w:tab w:val="left" w:pos="420"/>
          <w:tab w:val="clear" w:pos="0"/>
        </w:tabs>
        <w:ind w:firstLine="482"/>
        <w:rPr>
          <w:highlight w:val="none"/>
        </w:rPr>
      </w:pPr>
      <w:r>
        <w:rPr>
          <w:rFonts w:hint="eastAsia"/>
          <w:highlight w:val="none"/>
        </w:rPr>
        <w:t>排水系统</w:t>
      </w:r>
    </w:p>
    <w:p w14:paraId="21E9C12C">
      <w:pPr>
        <w:ind w:firstLine="480"/>
        <w:rPr>
          <w:highlight w:val="none"/>
        </w:rPr>
      </w:pPr>
      <w:r>
        <w:rPr>
          <w:rFonts w:hint="eastAsia"/>
          <w:highlight w:val="none"/>
        </w:rPr>
        <w:t>本工程排水系统采用雨污分流、污污分流。厂区统一设置生活污水、生产废水、雨水以及应急事故排污等排水系统。</w:t>
      </w:r>
    </w:p>
    <w:p w14:paraId="3C56E133">
      <w:pPr>
        <w:ind w:firstLine="480"/>
        <w:rPr>
          <w:highlight w:val="none"/>
        </w:rPr>
      </w:pPr>
      <w:r>
        <w:rPr>
          <w:rFonts w:hint="eastAsia"/>
          <w:highlight w:val="none"/>
        </w:rPr>
        <w:t>正常生产期间，项目生产废水、初期雨水均经处理后回用于生产，不外排；非生产期间，多余的初期雨水经处理达标后排入松木污水处理厂处理；生活污水经厂内化粪池预处理达标后再排入松木污水处理厂深度处理达标后排入湘江；应急事故废水经事故应急池收集并处理达标后通过园区污水管网送至松木污水处理厂深度处理。</w:t>
      </w:r>
    </w:p>
    <w:p w14:paraId="25FA4E34">
      <w:pPr>
        <w:ind w:firstLine="482"/>
        <w:rPr>
          <w:b/>
          <w:bCs/>
          <w:highlight w:val="none"/>
        </w:rPr>
      </w:pPr>
      <w:r>
        <w:rPr>
          <w:rFonts w:hint="eastAsia"/>
          <w:b/>
          <w:bCs/>
          <w:highlight w:val="none"/>
        </w:rPr>
        <w:t>（1）生产</w:t>
      </w:r>
      <w:r>
        <w:rPr>
          <w:rFonts w:hint="eastAsia"/>
          <w:b/>
          <w:bCs/>
          <w:highlight w:val="none"/>
          <w:lang w:val="en-US" w:eastAsia="zh-CN"/>
        </w:rPr>
        <w:t>装置</w:t>
      </w:r>
      <w:r>
        <w:rPr>
          <w:rFonts w:hint="eastAsia"/>
          <w:b/>
          <w:bCs/>
          <w:highlight w:val="none"/>
        </w:rPr>
        <w:t>废水</w:t>
      </w:r>
    </w:p>
    <w:p w14:paraId="5695D6AF">
      <w:pPr>
        <w:ind w:firstLine="480"/>
        <w:rPr>
          <w:highlight w:val="none"/>
        </w:rPr>
      </w:pPr>
      <w:r>
        <w:rPr>
          <w:rFonts w:hint="eastAsia"/>
          <w:highlight w:val="none"/>
        </w:rPr>
        <w:t>本项目生产</w:t>
      </w:r>
      <w:r>
        <w:rPr>
          <w:rFonts w:hint="eastAsia"/>
          <w:highlight w:val="none"/>
          <w:lang w:val="en-US" w:eastAsia="zh-CN"/>
        </w:rPr>
        <w:t>装置</w:t>
      </w:r>
      <w:r>
        <w:rPr>
          <w:rFonts w:hint="eastAsia"/>
          <w:highlight w:val="none"/>
        </w:rPr>
        <w:t>废水主要包括</w:t>
      </w:r>
      <w:r>
        <w:rPr>
          <w:rFonts w:hint="eastAsia"/>
          <w:highlight w:val="none"/>
          <w:lang w:eastAsia="zh-CN"/>
        </w:rPr>
        <w:t>碱喷淋废水</w:t>
      </w:r>
      <w:r>
        <w:rPr>
          <w:rFonts w:hint="eastAsia"/>
          <w:highlight w:val="none"/>
        </w:rPr>
        <w:t>、真空冷凝水、</w:t>
      </w:r>
      <w:r>
        <w:rPr>
          <w:rFonts w:hint="eastAsia"/>
          <w:highlight w:val="none"/>
          <w:lang w:eastAsia="zh-CN"/>
        </w:rPr>
        <w:t>电解槽清洗废水</w:t>
      </w:r>
      <w:r>
        <w:rPr>
          <w:rFonts w:hint="eastAsia"/>
          <w:highlight w:val="none"/>
        </w:rPr>
        <w:t>、</w:t>
      </w:r>
      <w:r>
        <w:rPr>
          <w:rFonts w:hint="eastAsia"/>
          <w:highlight w:val="none"/>
          <w:lang w:eastAsia="zh-CN"/>
        </w:rPr>
        <w:t>膜酸洗废水</w:t>
      </w:r>
      <w:r>
        <w:rPr>
          <w:rFonts w:hint="eastAsia"/>
          <w:highlight w:val="none"/>
        </w:rPr>
        <w:t>等。</w:t>
      </w:r>
    </w:p>
    <w:p w14:paraId="6070330A">
      <w:pPr>
        <w:ind w:firstLine="482"/>
        <w:rPr>
          <w:highlight w:val="none"/>
        </w:rPr>
      </w:pPr>
      <w:r>
        <w:rPr>
          <w:rFonts w:hint="eastAsia"/>
          <w:b/>
          <w:bCs/>
          <w:highlight w:val="none"/>
        </w:rPr>
        <w:t>碱喷淋废水：</w:t>
      </w:r>
      <w:r>
        <w:rPr>
          <w:rFonts w:hint="eastAsia"/>
          <w:highlight w:val="none"/>
        </w:rPr>
        <w:t>本项目碱喷淋系统需定期更换一定数量的吸收液，排出的废水进入回收槽，返回电解工序使用，不外排。</w:t>
      </w:r>
    </w:p>
    <w:p w14:paraId="63BEBD1E">
      <w:pPr>
        <w:ind w:firstLine="482"/>
        <w:rPr>
          <w:highlight w:val="none"/>
        </w:rPr>
      </w:pPr>
      <w:r>
        <w:rPr>
          <w:rFonts w:hint="eastAsia"/>
          <w:b/>
          <w:bCs/>
          <w:highlight w:val="none"/>
        </w:rPr>
        <w:t>真空</w:t>
      </w:r>
      <w:r>
        <w:rPr>
          <w:b/>
          <w:bCs/>
          <w:highlight w:val="none"/>
        </w:rPr>
        <w:t>冷凝水</w:t>
      </w:r>
      <w:r>
        <w:rPr>
          <w:rFonts w:hint="eastAsia"/>
          <w:b/>
          <w:bCs/>
          <w:highlight w:val="none"/>
        </w:rPr>
        <w:t>：</w:t>
      </w:r>
      <w:r>
        <w:rPr>
          <w:rFonts w:hint="eastAsia"/>
          <w:highlight w:val="none"/>
        </w:rPr>
        <w:t>本项目在真空结晶工段会产生真空冷凝水。依据项目工艺方案及设计资料，本项目真空冷凝水产生量为</w:t>
      </w:r>
      <w:r>
        <w:rPr>
          <w:rFonts w:hint="eastAsia"/>
          <w:highlight w:val="none"/>
          <w:lang w:val="en-US" w:eastAsia="zh-CN"/>
        </w:rPr>
        <w:t>65497.4</w:t>
      </w:r>
      <w:r>
        <w:rPr>
          <w:rFonts w:hint="eastAsia"/>
          <w:highlight w:val="none"/>
        </w:rPr>
        <w:t>t/a，全部回用于工艺用水及循环冷却补水，不外排</w:t>
      </w:r>
      <w:r>
        <w:rPr>
          <w:highlight w:val="none"/>
        </w:rPr>
        <w:t>。</w:t>
      </w:r>
    </w:p>
    <w:p w14:paraId="7213F18D">
      <w:pPr>
        <w:ind w:firstLine="482"/>
        <w:rPr>
          <w:highlight w:val="none"/>
        </w:rPr>
      </w:pPr>
      <w:r>
        <w:rPr>
          <w:rFonts w:hint="eastAsia"/>
          <w:b/>
          <w:bCs/>
          <w:highlight w:val="none"/>
        </w:rPr>
        <w:t>电解槽清洗废水：</w:t>
      </w:r>
      <w:r>
        <w:rPr>
          <w:rFonts w:hint="eastAsia"/>
          <w:highlight w:val="none"/>
        </w:rPr>
        <w:t>依据项目工艺方案及设计资料，项目二次电解槽无需清洗，直接打捞沉渣，一次</w:t>
      </w:r>
      <w:r>
        <w:rPr>
          <w:rFonts w:hint="eastAsia"/>
          <w:highlight w:val="none"/>
          <w:lang w:eastAsia="zh-CN"/>
        </w:rPr>
        <w:t>电解槽清洗废水</w:t>
      </w:r>
      <w:r>
        <w:rPr>
          <w:rFonts w:hint="eastAsia"/>
          <w:highlight w:val="none"/>
        </w:rPr>
        <w:t>约为14.5m</w:t>
      </w:r>
      <w:r>
        <w:rPr>
          <w:rFonts w:hint="eastAsia"/>
          <w:highlight w:val="none"/>
          <w:vertAlign w:val="superscript"/>
        </w:rPr>
        <w:t>3</w:t>
      </w:r>
      <w:r>
        <w:rPr>
          <w:rFonts w:hint="eastAsia"/>
          <w:highlight w:val="none"/>
        </w:rPr>
        <w:t>/a，电解槽清洗废水回用于电解工序，不外排。</w:t>
      </w:r>
    </w:p>
    <w:p w14:paraId="0928620F">
      <w:pPr>
        <w:ind w:firstLine="482"/>
        <w:rPr>
          <w:rFonts w:hint="eastAsia"/>
          <w:highlight w:val="none"/>
        </w:rPr>
      </w:pPr>
      <w:r>
        <w:rPr>
          <w:rFonts w:hint="eastAsia"/>
          <w:b/>
          <w:bCs/>
          <w:highlight w:val="none"/>
        </w:rPr>
        <w:t>膜酸洗废水：</w:t>
      </w:r>
      <w:r>
        <w:rPr>
          <w:rFonts w:hint="eastAsia"/>
          <w:highlight w:val="none"/>
        </w:rPr>
        <w:t>依据项目工艺方案及设计资料，本项目氯化钠、氯化钾精制过滤用陶瓷膜需定期酸洗，废水产生量约为</w:t>
      </w:r>
      <w:r>
        <w:rPr>
          <w:rFonts w:hint="eastAsia"/>
          <w:highlight w:val="none"/>
          <w:lang w:val="en-US" w:eastAsia="zh-CN"/>
        </w:rPr>
        <w:t>84</w:t>
      </w:r>
      <w:r>
        <w:rPr>
          <w:rFonts w:hint="eastAsia"/>
          <w:highlight w:val="none"/>
        </w:rPr>
        <w:t>0t/a，中和后回用于化盐工序，不外排。</w:t>
      </w:r>
    </w:p>
    <w:p w14:paraId="73498D16">
      <w:pPr>
        <w:ind w:firstLine="480"/>
        <w:rPr>
          <w:rFonts w:hint="default"/>
          <w:b w:val="0"/>
          <w:bCs w:val="0"/>
          <w:lang w:val="en-US" w:eastAsia="zh-CN"/>
        </w:rPr>
      </w:pPr>
      <w:r>
        <w:rPr>
          <w:rFonts w:hint="eastAsia"/>
          <w:b/>
          <w:bCs/>
          <w:lang w:val="en-US" w:eastAsia="zh-CN"/>
        </w:rPr>
        <w:t>离子交换树脂清洗废水：</w:t>
      </w:r>
      <w:r>
        <w:rPr>
          <w:rFonts w:hint="eastAsia"/>
          <w:b w:val="0"/>
          <w:bCs w:val="0"/>
          <w:lang w:val="en-US" w:eastAsia="zh-CN"/>
        </w:rPr>
        <w:t>非生产期间初期雨水处理高氯酸盐需使用离子交换树脂。离子交换树脂在生产期进行清洗，离子交换树脂清洗废水主要含高氯酸盐，直接回用于化盐工序，不外排。</w:t>
      </w:r>
    </w:p>
    <w:p w14:paraId="31406AA6">
      <w:pPr>
        <w:ind w:firstLine="480"/>
        <w:rPr>
          <w:highlight w:val="none"/>
        </w:rPr>
      </w:pPr>
      <w:r>
        <w:rPr>
          <w:highlight w:val="none"/>
        </w:rPr>
        <w:t>综上，本项目生产</w:t>
      </w:r>
      <w:r>
        <w:rPr>
          <w:rFonts w:hint="eastAsia"/>
          <w:highlight w:val="none"/>
        </w:rPr>
        <w:t>工艺</w:t>
      </w:r>
      <w:r>
        <w:rPr>
          <w:highlight w:val="none"/>
        </w:rPr>
        <w:t>废水全部回用，不外排。</w:t>
      </w:r>
    </w:p>
    <w:p w14:paraId="3C64BAD0">
      <w:pPr>
        <w:ind w:firstLine="482"/>
        <w:rPr>
          <w:b/>
          <w:bCs/>
          <w:highlight w:val="none"/>
        </w:rPr>
      </w:pPr>
      <w:r>
        <w:rPr>
          <w:rFonts w:hint="eastAsia"/>
          <w:b/>
          <w:bCs/>
          <w:highlight w:val="none"/>
        </w:rPr>
        <w:t>（2）纯水制备排水</w:t>
      </w:r>
    </w:p>
    <w:p w14:paraId="3652AB00">
      <w:pPr>
        <w:ind w:firstLine="480"/>
        <w:rPr>
          <w:highlight w:val="none"/>
        </w:rPr>
      </w:pPr>
      <w:r>
        <w:rPr>
          <w:rFonts w:hint="eastAsia"/>
          <w:highlight w:val="none"/>
        </w:rPr>
        <w:t>纯水站采用</w:t>
      </w:r>
      <w:r>
        <w:rPr>
          <w:rFonts w:hint="eastAsia"/>
          <w:highlight w:val="none"/>
          <w:lang w:val="en-US" w:eastAsia="zh-CN"/>
        </w:rPr>
        <w:t>反渗透膜（RO法）制备纯水</w:t>
      </w:r>
      <w:r>
        <w:rPr>
          <w:rFonts w:hint="eastAsia"/>
          <w:highlight w:val="none"/>
        </w:rPr>
        <w:t>，纯水制备效率为80%，本项目需要纯水量约为</w:t>
      </w:r>
      <w:r>
        <w:rPr>
          <w:rFonts w:hint="eastAsia"/>
          <w:highlight w:val="none"/>
          <w:lang w:val="en-US" w:eastAsia="zh-CN"/>
        </w:rPr>
        <w:t>14986.15</w:t>
      </w:r>
      <w:r>
        <w:rPr>
          <w:rFonts w:hint="eastAsia"/>
          <w:highlight w:val="none"/>
        </w:rPr>
        <w:t>m</w:t>
      </w:r>
      <w:r>
        <w:rPr>
          <w:rFonts w:hint="eastAsia"/>
          <w:highlight w:val="none"/>
          <w:vertAlign w:val="superscript"/>
        </w:rPr>
        <w:t>3</w:t>
      </w:r>
      <w:r>
        <w:rPr>
          <w:rFonts w:hint="eastAsia"/>
          <w:highlight w:val="none"/>
        </w:rPr>
        <w:t>/a，则纯水制备所需新鲜水量约</w:t>
      </w:r>
      <w:r>
        <w:rPr>
          <w:rFonts w:hint="eastAsia"/>
          <w:highlight w:val="none"/>
          <w:lang w:val="en-US" w:eastAsia="zh-CN"/>
        </w:rPr>
        <w:t>18732.69</w:t>
      </w:r>
      <w:r>
        <w:rPr>
          <w:rFonts w:hint="eastAsia"/>
          <w:highlight w:val="none"/>
        </w:rPr>
        <w:t>m</w:t>
      </w:r>
      <w:r>
        <w:rPr>
          <w:rFonts w:hint="eastAsia"/>
          <w:highlight w:val="none"/>
          <w:vertAlign w:val="superscript"/>
        </w:rPr>
        <w:t>3</w:t>
      </w:r>
      <w:r>
        <w:rPr>
          <w:rFonts w:hint="eastAsia"/>
          <w:highlight w:val="none"/>
        </w:rPr>
        <w:t>/a，纯水制备排水产生量约</w:t>
      </w:r>
      <w:r>
        <w:rPr>
          <w:rFonts w:hint="eastAsia"/>
          <w:highlight w:val="none"/>
          <w:lang w:val="en-US" w:eastAsia="zh-CN"/>
        </w:rPr>
        <w:t>3746.54</w:t>
      </w:r>
      <w:r>
        <w:rPr>
          <w:rFonts w:hint="eastAsia"/>
          <w:highlight w:val="none"/>
        </w:rPr>
        <w:t>m</w:t>
      </w:r>
      <w:r>
        <w:rPr>
          <w:rFonts w:hint="eastAsia"/>
          <w:highlight w:val="none"/>
          <w:vertAlign w:val="superscript"/>
        </w:rPr>
        <w:t>3</w:t>
      </w:r>
      <w:r>
        <w:rPr>
          <w:rFonts w:hint="eastAsia"/>
          <w:highlight w:val="none"/>
        </w:rPr>
        <w:t>/a。纯水制备排水送至厂区废水站处理后</w:t>
      </w:r>
      <w:r>
        <w:rPr>
          <w:rFonts w:hint="eastAsia"/>
          <w:highlight w:val="none"/>
          <w:lang w:eastAsia="zh-CN"/>
        </w:rPr>
        <w:t>，</w:t>
      </w:r>
      <w:r>
        <w:rPr>
          <w:rFonts w:hint="eastAsia"/>
          <w:highlight w:val="none"/>
        </w:rPr>
        <w:t>回用于化盐工序，不外排。</w:t>
      </w:r>
    </w:p>
    <w:p w14:paraId="1A917E52">
      <w:pPr>
        <w:ind w:firstLine="482"/>
        <w:rPr>
          <w:b/>
          <w:bCs/>
          <w:highlight w:val="none"/>
        </w:rPr>
      </w:pPr>
      <w:r>
        <w:rPr>
          <w:rFonts w:hint="eastAsia"/>
          <w:b/>
          <w:bCs/>
          <w:highlight w:val="none"/>
        </w:rPr>
        <w:t>（3）循环冷却水排水</w:t>
      </w:r>
    </w:p>
    <w:p w14:paraId="1B99B111">
      <w:pPr>
        <w:ind w:firstLine="480"/>
        <w:rPr>
          <w:highlight w:val="none"/>
        </w:rPr>
      </w:pPr>
      <w:r>
        <w:rPr>
          <w:rFonts w:hint="eastAsia"/>
          <w:highlight w:val="none"/>
        </w:rPr>
        <w:t>循环冷却水系统在运行过程中水中会盐含量会累积，因此循环冷却水定期外排。依据项目工艺方案及设计资料，循环冷却系统补水量约为112000m</w:t>
      </w:r>
      <w:r>
        <w:rPr>
          <w:rFonts w:hint="eastAsia"/>
          <w:highlight w:val="none"/>
          <w:vertAlign w:val="superscript"/>
        </w:rPr>
        <w:t>3</w:t>
      </w:r>
      <w:r>
        <w:rPr>
          <w:rFonts w:hint="eastAsia"/>
          <w:highlight w:val="none"/>
        </w:rPr>
        <w:t>/a（15.56m</w:t>
      </w:r>
      <w:r>
        <w:rPr>
          <w:rFonts w:hint="eastAsia"/>
          <w:highlight w:val="none"/>
          <w:vertAlign w:val="superscript"/>
        </w:rPr>
        <w:t>3</w:t>
      </w:r>
      <w:r>
        <w:rPr>
          <w:rFonts w:hint="eastAsia"/>
          <w:highlight w:val="none"/>
        </w:rPr>
        <w:t>/h），循环冷却排水约为16000m</w:t>
      </w:r>
      <w:r>
        <w:rPr>
          <w:rFonts w:hint="eastAsia"/>
          <w:highlight w:val="none"/>
          <w:vertAlign w:val="superscript"/>
        </w:rPr>
        <w:t>3</w:t>
      </w:r>
      <w:r>
        <w:rPr>
          <w:rFonts w:hint="eastAsia"/>
          <w:highlight w:val="none"/>
        </w:rPr>
        <w:t>/a（2.22m</w:t>
      </w:r>
      <w:r>
        <w:rPr>
          <w:rFonts w:hint="eastAsia"/>
          <w:highlight w:val="none"/>
          <w:vertAlign w:val="superscript"/>
        </w:rPr>
        <w:t>3</w:t>
      </w:r>
      <w:r>
        <w:rPr>
          <w:rFonts w:hint="eastAsia"/>
          <w:highlight w:val="none"/>
        </w:rPr>
        <w:t>/h），循环冷却排水送至厂区废水站处理后</w:t>
      </w:r>
      <w:r>
        <w:rPr>
          <w:rFonts w:hint="eastAsia"/>
          <w:highlight w:val="none"/>
          <w:lang w:eastAsia="zh-CN"/>
        </w:rPr>
        <w:t>，</w:t>
      </w:r>
      <w:r>
        <w:rPr>
          <w:rFonts w:hint="eastAsia"/>
          <w:highlight w:val="none"/>
        </w:rPr>
        <w:t>回用于化盐工序，不外排。</w:t>
      </w:r>
    </w:p>
    <w:p w14:paraId="7C6BB347">
      <w:pPr>
        <w:ind w:firstLine="482"/>
        <w:rPr>
          <w:rFonts w:hint="default" w:eastAsia="宋体"/>
          <w:b/>
          <w:bCs/>
          <w:highlight w:val="none"/>
          <w:lang w:val="en-US" w:eastAsia="zh-CN"/>
        </w:rPr>
      </w:pPr>
      <w:r>
        <w:rPr>
          <w:rFonts w:hint="eastAsia"/>
          <w:b/>
          <w:bCs/>
          <w:highlight w:val="none"/>
        </w:rPr>
        <w:t>（4）地面清洗废水</w:t>
      </w:r>
      <w:r>
        <w:rPr>
          <w:rFonts w:hint="eastAsia"/>
          <w:b/>
          <w:bCs/>
          <w:highlight w:val="none"/>
          <w:lang w:val="en-US" w:eastAsia="zh-CN"/>
        </w:rPr>
        <w:t xml:space="preserve"> 、洗车废水</w:t>
      </w:r>
    </w:p>
    <w:p w14:paraId="48599474">
      <w:pPr>
        <w:ind w:firstLine="480"/>
        <w:rPr>
          <w:rFonts w:hint="eastAsia"/>
          <w:highlight w:val="none"/>
          <w:lang w:eastAsia="zh-CN"/>
        </w:rPr>
      </w:pPr>
      <w:r>
        <w:rPr>
          <w:rFonts w:hint="eastAsia"/>
          <w:highlight w:val="none"/>
        </w:rPr>
        <w:t>厂区内地面清洗用水按2L/m</w:t>
      </w:r>
      <w:r>
        <w:rPr>
          <w:rFonts w:hint="eastAsia"/>
          <w:highlight w:val="none"/>
          <w:vertAlign w:val="superscript"/>
        </w:rPr>
        <w:t>2</w:t>
      </w:r>
      <w:r>
        <w:rPr>
          <w:rFonts w:hint="eastAsia"/>
          <w:highlight w:val="none"/>
        </w:rPr>
        <w:t>·d，车间地面清洗面积约为</w:t>
      </w:r>
      <w:r>
        <w:rPr>
          <w:rFonts w:hint="eastAsia"/>
          <w:highlight w:val="none"/>
          <w:lang w:val="en-US" w:eastAsia="zh-CN"/>
        </w:rPr>
        <w:t>1500</w:t>
      </w:r>
      <w:r>
        <w:rPr>
          <w:rFonts w:hint="eastAsia"/>
          <w:highlight w:val="none"/>
        </w:rPr>
        <w:t>m</w:t>
      </w:r>
      <w:r>
        <w:rPr>
          <w:rFonts w:hint="eastAsia"/>
          <w:highlight w:val="none"/>
          <w:vertAlign w:val="superscript"/>
        </w:rPr>
        <w:t>2</w:t>
      </w:r>
      <w:r>
        <w:rPr>
          <w:rFonts w:hint="eastAsia"/>
          <w:highlight w:val="none"/>
        </w:rPr>
        <w:t>，则地面清洗用水量约为</w:t>
      </w:r>
      <w:r>
        <w:rPr>
          <w:rFonts w:hint="eastAsia"/>
          <w:highlight w:val="none"/>
          <w:lang w:val="en-US" w:eastAsia="zh-CN"/>
        </w:rPr>
        <w:t>900</w:t>
      </w:r>
      <w:r>
        <w:rPr>
          <w:highlight w:val="none"/>
        </w:rPr>
        <w:t>m</w:t>
      </w:r>
      <w:r>
        <w:rPr>
          <w:highlight w:val="none"/>
          <w:vertAlign w:val="superscript"/>
        </w:rPr>
        <w:t>3</w:t>
      </w:r>
      <w:r>
        <w:rPr>
          <w:highlight w:val="none"/>
        </w:rPr>
        <w:t>/a</w:t>
      </w:r>
      <w:r>
        <w:rPr>
          <w:rFonts w:hint="eastAsia"/>
          <w:highlight w:val="none"/>
        </w:rPr>
        <w:t>。产污系数按0.8，则地面清洗废水量约为</w:t>
      </w:r>
      <w:r>
        <w:rPr>
          <w:rFonts w:hint="eastAsia"/>
          <w:highlight w:val="none"/>
          <w:lang w:val="en-US" w:eastAsia="zh-CN"/>
        </w:rPr>
        <w:t>720</w:t>
      </w:r>
      <w:r>
        <w:rPr>
          <w:highlight w:val="none"/>
        </w:rPr>
        <w:t>m</w:t>
      </w:r>
      <w:r>
        <w:rPr>
          <w:highlight w:val="none"/>
          <w:vertAlign w:val="superscript"/>
        </w:rPr>
        <w:t>3</w:t>
      </w:r>
      <w:r>
        <w:rPr>
          <w:highlight w:val="none"/>
        </w:rPr>
        <w:t>/a</w:t>
      </w:r>
      <w:r>
        <w:rPr>
          <w:rFonts w:hint="eastAsia"/>
          <w:highlight w:val="none"/>
          <w:lang w:eastAsia="zh-CN"/>
        </w:rPr>
        <w:t>。</w:t>
      </w:r>
      <w:r>
        <w:rPr>
          <w:rFonts w:hint="eastAsia"/>
          <w:highlight w:val="none"/>
          <w:lang w:val="en-US" w:eastAsia="zh-CN"/>
        </w:rPr>
        <w:t>地面清洗废水</w:t>
      </w:r>
      <w:r>
        <w:rPr>
          <w:rFonts w:hint="eastAsia"/>
          <w:highlight w:val="none"/>
        </w:rPr>
        <w:t>收集进入废水站处理后</w:t>
      </w:r>
      <w:r>
        <w:rPr>
          <w:rFonts w:hint="eastAsia"/>
          <w:highlight w:val="none"/>
          <w:lang w:eastAsia="zh-CN"/>
        </w:rPr>
        <w:t>，</w:t>
      </w:r>
      <w:r>
        <w:rPr>
          <w:rFonts w:hint="eastAsia"/>
          <w:highlight w:val="none"/>
        </w:rPr>
        <w:t>回用于化盐工序，不外排。</w:t>
      </w:r>
    </w:p>
    <w:p w14:paraId="62A478D8">
      <w:pPr>
        <w:ind w:firstLine="480"/>
        <w:rPr>
          <w:rFonts w:hint="eastAsia"/>
          <w:highlight w:val="yellow"/>
        </w:rPr>
      </w:pPr>
      <w:r>
        <w:rPr>
          <w:rFonts w:hint="eastAsia"/>
          <w:highlight w:val="none"/>
          <w:lang w:val="en-US" w:eastAsia="zh-CN"/>
        </w:rPr>
        <w:t>据《用水定额》（DB43/T 388-2020），洗车用水定额按0.04m</w:t>
      </w:r>
      <w:r>
        <w:rPr>
          <w:rFonts w:hint="eastAsia"/>
          <w:highlight w:val="none"/>
          <w:vertAlign w:val="superscript"/>
          <w:lang w:val="en-US" w:eastAsia="zh-CN"/>
        </w:rPr>
        <w:t>3</w:t>
      </w:r>
      <w:r>
        <w:rPr>
          <w:rFonts w:hint="eastAsia"/>
          <w:highlight w:val="none"/>
          <w:lang w:val="en-US" w:eastAsia="zh-CN"/>
        </w:rPr>
        <w:t>/车·次，项目每日车辆总进出按50次计</w:t>
      </w:r>
      <w:r>
        <w:rPr>
          <w:rFonts w:hint="eastAsia"/>
          <w:highlight w:val="none"/>
        </w:rPr>
        <w:t>，</w:t>
      </w:r>
      <w:r>
        <w:rPr>
          <w:rFonts w:hint="eastAsia"/>
          <w:highlight w:val="none"/>
          <w:lang w:val="en-US" w:eastAsia="zh-CN"/>
        </w:rPr>
        <w:t>则洗车用水约为600</w:t>
      </w:r>
      <w:r>
        <w:rPr>
          <w:highlight w:val="none"/>
        </w:rPr>
        <w:t>m</w:t>
      </w:r>
      <w:r>
        <w:rPr>
          <w:highlight w:val="none"/>
          <w:vertAlign w:val="superscript"/>
        </w:rPr>
        <w:t>3</w:t>
      </w:r>
      <w:r>
        <w:rPr>
          <w:highlight w:val="none"/>
        </w:rPr>
        <w:t>/a</w:t>
      </w:r>
      <w:r>
        <w:rPr>
          <w:rFonts w:hint="eastAsia"/>
          <w:highlight w:val="none"/>
          <w:lang w:val="en-US" w:eastAsia="zh-CN"/>
        </w:rPr>
        <w:t>。</w:t>
      </w:r>
      <w:r>
        <w:rPr>
          <w:rFonts w:hint="eastAsia"/>
          <w:highlight w:val="none"/>
        </w:rPr>
        <w:t>产污系数按0.8，则地面清洗废水量约为</w:t>
      </w:r>
      <w:r>
        <w:rPr>
          <w:rFonts w:hint="eastAsia"/>
          <w:highlight w:val="none"/>
          <w:lang w:val="en-US" w:eastAsia="zh-CN"/>
        </w:rPr>
        <w:t>480</w:t>
      </w:r>
      <w:r>
        <w:rPr>
          <w:highlight w:val="none"/>
        </w:rPr>
        <w:t>m</w:t>
      </w:r>
      <w:r>
        <w:rPr>
          <w:highlight w:val="none"/>
          <w:vertAlign w:val="superscript"/>
        </w:rPr>
        <w:t>3</w:t>
      </w:r>
      <w:r>
        <w:rPr>
          <w:highlight w:val="none"/>
        </w:rPr>
        <w:t>/a</w:t>
      </w:r>
      <w:r>
        <w:rPr>
          <w:rFonts w:hint="eastAsia"/>
          <w:highlight w:val="none"/>
          <w:lang w:eastAsia="zh-CN"/>
        </w:rPr>
        <w:t>。</w:t>
      </w:r>
      <w:r>
        <w:rPr>
          <w:rFonts w:hint="eastAsia"/>
          <w:highlight w:val="none"/>
          <w:lang w:val="en-US" w:eastAsia="zh-CN"/>
        </w:rPr>
        <w:t>洗车废水</w:t>
      </w:r>
      <w:r>
        <w:rPr>
          <w:rFonts w:hint="eastAsia"/>
          <w:highlight w:val="none"/>
        </w:rPr>
        <w:t>收集进入废水站处理后</w:t>
      </w:r>
      <w:r>
        <w:rPr>
          <w:rFonts w:hint="eastAsia"/>
          <w:highlight w:val="none"/>
          <w:lang w:eastAsia="zh-CN"/>
        </w:rPr>
        <w:t>，</w:t>
      </w:r>
      <w:r>
        <w:rPr>
          <w:rFonts w:hint="eastAsia"/>
          <w:highlight w:val="none"/>
        </w:rPr>
        <w:t>回用于化盐工序，不外排。</w:t>
      </w:r>
    </w:p>
    <w:p w14:paraId="46119FB1">
      <w:pPr>
        <w:ind w:firstLine="482"/>
        <w:rPr>
          <w:rFonts w:hint="default" w:eastAsia="宋体"/>
          <w:b/>
          <w:bCs/>
          <w:highlight w:val="none"/>
          <w:lang w:val="en-US" w:eastAsia="zh-CN"/>
        </w:rPr>
      </w:pPr>
      <w:r>
        <w:rPr>
          <w:rFonts w:hint="eastAsia"/>
          <w:b/>
          <w:bCs/>
          <w:highlight w:val="none"/>
          <w:lang w:val="en-US" w:eastAsia="zh-CN"/>
        </w:rPr>
        <w:t>（5）员工清洁废水</w:t>
      </w:r>
    </w:p>
    <w:p w14:paraId="410AFB13">
      <w:pPr>
        <w:ind w:firstLine="480"/>
        <w:rPr>
          <w:rFonts w:hint="eastAsia"/>
          <w:highlight w:val="yellow"/>
        </w:rPr>
      </w:pPr>
      <w:r>
        <w:rPr>
          <w:rFonts w:hint="eastAsia"/>
          <w:highlight w:val="none"/>
          <w:lang w:val="en-US" w:eastAsia="zh-CN"/>
        </w:rPr>
        <w:t>项目劳动定员65人，生产区清洁用水按20L</w:t>
      </w:r>
      <w:r>
        <w:rPr>
          <w:rFonts w:hint="eastAsia"/>
          <w:highlight w:val="none"/>
        </w:rPr>
        <w:t>/人·</w:t>
      </w:r>
      <w:r>
        <w:rPr>
          <w:rFonts w:hint="eastAsia"/>
          <w:highlight w:val="none"/>
          <w:lang w:val="en-US" w:eastAsia="zh-CN"/>
        </w:rPr>
        <w:t>d计，项目年工作300天，则员工清洁用水量为390</w:t>
      </w:r>
      <w:r>
        <w:rPr>
          <w:highlight w:val="none"/>
        </w:rPr>
        <w:t>m</w:t>
      </w:r>
      <w:r>
        <w:rPr>
          <w:highlight w:val="none"/>
          <w:vertAlign w:val="superscript"/>
        </w:rPr>
        <w:t>3</w:t>
      </w:r>
      <w:r>
        <w:rPr>
          <w:highlight w:val="none"/>
        </w:rPr>
        <w:t>/a</w:t>
      </w:r>
      <w:r>
        <w:rPr>
          <w:rFonts w:hint="eastAsia"/>
          <w:highlight w:val="none"/>
        </w:rPr>
        <w:t>。</w:t>
      </w:r>
      <w:r>
        <w:rPr>
          <w:rFonts w:hint="eastAsia"/>
          <w:highlight w:val="none"/>
          <w:lang w:val="en-US" w:eastAsia="zh-CN"/>
        </w:rPr>
        <w:t>产污系数按0.8，则员工清洁废水量为312</w:t>
      </w:r>
      <w:r>
        <w:rPr>
          <w:highlight w:val="none"/>
        </w:rPr>
        <w:t>m</w:t>
      </w:r>
      <w:r>
        <w:rPr>
          <w:highlight w:val="none"/>
          <w:vertAlign w:val="superscript"/>
        </w:rPr>
        <w:t>3</w:t>
      </w:r>
      <w:r>
        <w:rPr>
          <w:highlight w:val="none"/>
        </w:rPr>
        <w:t>/a</w:t>
      </w:r>
      <w:r>
        <w:rPr>
          <w:rFonts w:hint="eastAsia"/>
          <w:highlight w:val="none"/>
          <w:lang w:val="en-US" w:eastAsia="zh-CN"/>
        </w:rPr>
        <w:t>。车间员工清洁废水</w:t>
      </w:r>
      <w:r>
        <w:rPr>
          <w:rFonts w:hint="eastAsia"/>
          <w:highlight w:val="none"/>
        </w:rPr>
        <w:t>收集进入废水站处理后</w:t>
      </w:r>
      <w:r>
        <w:rPr>
          <w:rFonts w:hint="eastAsia"/>
          <w:highlight w:val="none"/>
          <w:lang w:eastAsia="zh-CN"/>
        </w:rPr>
        <w:t>，</w:t>
      </w:r>
      <w:r>
        <w:rPr>
          <w:rFonts w:hint="eastAsia"/>
          <w:highlight w:val="none"/>
        </w:rPr>
        <w:t>回用于化盐工序，不外排。</w:t>
      </w:r>
    </w:p>
    <w:p w14:paraId="7B805C50">
      <w:pPr>
        <w:ind w:firstLine="482"/>
        <w:rPr>
          <w:b/>
          <w:bCs/>
          <w:highlight w:val="none"/>
        </w:rPr>
      </w:pPr>
      <w:r>
        <w:rPr>
          <w:rFonts w:hint="eastAsia"/>
          <w:b/>
          <w:bCs/>
          <w:highlight w:val="none"/>
        </w:rPr>
        <w:t>（</w:t>
      </w:r>
      <w:r>
        <w:rPr>
          <w:rFonts w:hint="eastAsia"/>
          <w:b/>
          <w:bCs/>
          <w:highlight w:val="none"/>
          <w:lang w:val="en-US" w:eastAsia="zh-CN"/>
        </w:rPr>
        <w:t>6</w:t>
      </w:r>
      <w:r>
        <w:rPr>
          <w:rFonts w:hint="eastAsia"/>
          <w:b/>
          <w:bCs/>
          <w:highlight w:val="none"/>
        </w:rPr>
        <w:t>）</w:t>
      </w:r>
      <w:r>
        <w:rPr>
          <w:b/>
          <w:bCs/>
          <w:highlight w:val="none"/>
        </w:rPr>
        <w:t>化验室废水</w:t>
      </w:r>
    </w:p>
    <w:p w14:paraId="0D9E5B3B">
      <w:pPr>
        <w:ind w:firstLine="480"/>
        <w:rPr>
          <w:highlight w:val="yellow"/>
        </w:rPr>
      </w:pPr>
      <w:r>
        <w:rPr>
          <w:rFonts w:hint="eastAsia"/>
          <w:highlight w:val="none"/>
          <w:lang w:val="en-US" w:eastAsia="zh-CN"/>
        </w:rPr>
        <w:t>本项目</w:t>
      </w:r>
      <w:r>
        <w:rPr>
          <w:highlight w:val="none"/>
        </w:rPr>
        <w:t>化验室用水较少，依据企业提供资料，按1.0m</w:t>
      </w:r>
      <w:r>
        <w:rPr>
          <w:highlight w:val="none"/>
          <w:vertAlign w:val="superscript"/>
        </w:rPr>
        <w:t>3</w:t>
      </w:r>
      <w:r>
        <w:rPr>
          <w:highlight w:val="none"/>
        </w:rPr>
        <w:t>/d计算。则化验室耗水量为300m</w:t>
      </w:r>
      <w:r>
        <w:rPr>
          <w:highlight w:val="none"/>
          <w:vertAlign w:val="superscript"/>
        </w:rPr>
        <w:t>3</w:t>
      </w:r>
      <w:r>
        <w:rPr>
          <w:highlight w:val="none"/>
        </w:rPr>
        <w:t>/a，</w:t>
      </w:r>
      <w:r>
        <w:rPr>
          <w:rFonts w:hint="eastAsia"/>
          <w:highlight w:val="none"/>
          <w:lang w:val="en-US" w:eastAsia="zh-CN"/>
        </w:rPr>
        <w:t>产污系数按0.8</w:t>
      </w:r>
      <w:r>
        <w:rPr>
          <w:highlight w:val="none"/>
        </w:rPr>
        <w:t>，</w:t>
      </w:r>
      <w:r>
        <w:rPr>
          <w:rFonts w:hint="eastAsia"/>
          <w:highlight w:val="none"/>
          <w:lang w:val="en-US" w:eastAsia="zh-CN"/>
        </w:rPr>
        <w:t>则化验室</w:t>
      </w:r>
      <w:r>
        <w:rPr>
          <w:highlight w:val="none"/>
        </w:rPr>
        <w:t>废水量240m</w:t>
      </w:r>
      <w:r>
        <w:rPr>
          <w:highlight w:val="none"/>
          <w:vertAlign w:val="superscript"/>
        </w:rPr>
        <w:t>3</w:t>
      </w:r>
      <w:r>
        <w:rPr>
          <w:highlight w:val="none"/>
        </w:rPr>
        <w:t>/a</w:t>
      </w:r>
      <w:r>
        <w:rPr>
          <w:rFonts w:hint="eastAsia"/>
          <w:highlight w:val="none"/>
        </w:rPr>
        <w:t>，进废水站处理后</w:t>
      </w:r>
      <w:r>
        <w:rPr>
          <w:rFonts w:hint="eastAsia"/>
          <w:highlight w:val="none"/>
          <w:lang w:eastAsia="zh-CN"/>
        </w:rPr>
        <w:t>，</w:t>
      </w:r>
      <w:r>
        <w:rPr>
          <w:rFonts w:hint="eastAsia"/>
          <w:highlight w:val="none"/>
        </w:rPr>
        <w:t>回用于化盐工序，不外排。</w:t>
      </w:r>
    </w:p>
    <w:p w14:paraId="077CA2D6">
      <w:pPr>
        <w:ind w:firstLine="482"/>
        <w:rPr>
          <w:b/>
          <w:bCs/>
          <w:highlight w:val="none"/>
        </w:rPr>
      </w:pPr>
      <w:r>
        <w:rPr>
          <w:rFonts w:hint="eastAsia"/>
          <w:b/>
          <w:bCs/>
          <w:highlight w:val="none"/>
        </w:rPr>
        <w:t>（</w:t>
      </w:r>
      <w:r>
        <w:rPr>
          <w:rFonts w:hint="eastAsia"/>
          <w:b/>
          <w:bCs/>
          <w:highlight w:val="none"/>
          <w:lang w:val="en-US" w:eastAsia="zh-CN"/>
        </w:rPr>
        <w:t>7</w:t>
      </w:r>
      <w:r>
        <w:rPr>
          <w:rFonts w:hint="eastAsia"/>
          <w:b/>
          <w:bCs/>
          <w:highlight w:val="none"/>
        </w:rPr>
        <w:t>）初期雨水</w:t>
      </w:r>
    </w:p>
    <w:p w14:paraId="3496F57A">
      <w:pPr>
        <w:ind w:firstLine="480"/>
        <w:rPr>
          <w:highlight w:val="none"/>
        </w:rPr>
      </w:pPr>
      <w:r>
        <w:rPr>
          <w:highlight w:val="none"/>
        </w:rPr>
        <w:t>本项目初期雨水量按降雨强度不小于</w:t>
      </w:r>
      <w:r>
        <w:rPr>
          <w:rFonts w:hint="eastAsia"/>
          <w:highlight w:val="none"/>
          <w:lang w:val="en-US" w:eastAsia="zh-CN"/>
        </w:rPr>
        <w:t>30</w:t>
      </w:r>
      <w:r>
        <w:rPr>
          <w:highlight w:val="none"/>
        </w:rPr>
        <w:t>mm计算，厂区需收集初期雨水的生产区汇水面积约</w:t>
      </w:r>
      <w:r>
        <w:rPr>
          <w:rFonts w:hint="eastAsia"/>
          <w:highlight w:val="none"/>
        </w:rPr>
        <w:t>6000</w:t>
      </w:r>
      <w:r>
        <w:rPr>
          <w:highlight w:val="none"/>
        </w:rPr>
        <w:t>m</w:t>
      </w:r>
      <w:r>
        <w:rPr>
          <w:highlight w:val="none"/>
          <w:vertAlign w:val="superscript"/>
        </w:rPr>
        <w:t>2</w:t>
      </w:r>
      <w:r>
        <w:rPr>
          <w:highlight w:val="none"/>
        </w:rPr>
        <w:t>（扣除绿地、池体及非生产区占地），核算得到初期雨水量为</w:t>
      </w:r>
      <w:r>
        <w:rPr>
          <w:rFonts w:hint="eastAsia"/>
          <w:highlight w:val="none"/>
          <w:lang w:val="en-US" w:eastAsia="zh-CN"/>
        </w:rPr>
        <w:t>180</w:t>
      </w:r>
      <w:r>
        <w:rPr>
          <w:highlight w:val="none"/>
        </w:rPr>
        <w:t>m</w:t>
      </w:r>
      <w:r>
        <w:rPr>
          <w:highlight w:val="none"/>
          <w:vertAlign w:val="superscript"/>
        </w:rPr>
        <w:t>3</w:t>
      </w:r>
      <w:r>
        <w:rPr>
          <w:highlight w:val="none"/>
        </w:rPr>
        <w:t>/次，年暴雨次数取20（不含连续雨天）</w:t>
      </w:r>
      <w:r>
        <w:rPr>
          <w:rFonts w:hint="eastAsia"/>
          <w:highlight w:val="none"/>
        </w:rPr>
        <w:t>，则年初期雨水量约为</w:t>
      </w:r>
      <w:r>
        <w:rPr>
          <w:rFonts w:hint="eastAsia"/>
          <w:highlight w:val="none"/>
          <w:lang w:val="en-US" w:eastAsia="zh-CN"/>
        </w:rPr>
        <w:t>36</w:t>
      </w:r>
      <w:r>
        <w:rPr>
          <w:rFonts w:hint="eastAsia"/>
          <w:highlight w:val="none"/>
        </w:rPr>
        <w:t>00</w:t>
      </w:r>
      <w:r>
        <w:rPr>
          <w:highlight w:val="none"/>
        </w:rPr>
        <w:t>m</w:t>
      </w:r>
      <w:r>
        <w:rPr>
          <w:highlight w:val="none"/>
          <w:vertAlign w:val="superscript"/>
        </w:rPr>
        <w:t>3</w:t>
      </w:r>
      <w:r>
        <w:rPr>
          <w:highlight w:val="none"/>
        </w:rPr>
        <w:t>/a。</w:t>
      </w:r>
    </w:p>
    <w:p w14:paraId="26F4D419">
      <w:pPr>
        <w:ind w:firstLine="480"/>
        <w:rPr>
          <w:highlight w:val="none"/>
        </w:rPr>
      </w:pPr>
      <w:r>
        <w:rPr>
          <w:highlight w:val="none"/>
        </w:rPr>
        <w:t>环评要求每次初期雨水5天内必须处理完毕，腾空池容，则初期雨水进行处理时，产生量折小时处理量为</w:t>
      </w:r>
      <w:r>
        <w:rPr>
          <w:rFonts w:hint="eastAsia"/>
          <w:highlight w:val="none"/>
          <w:lang w:val="en-US" w:eastAsia="zh-CN"/>
        </w:rPr>
        <w:t>1.5</w:t>
      </w:r>
      <w:r>
        <w:rPr>
          <w:highlight w:val="none"/>
        </w:rPr>
        <w:t>m</w:t>
      </w:r>
      <w:r>
        <w:rPr>
          <w:highlight w:val="none"/>
          <w:vertAlign w:val="superscript"/>
        </w:rPr>
        <w:t>3</w:t>
      </w:r>
      <w:r>
        <w:rPr>
          <w:highlight w:val="none"/>
        </w:rPr>
        <w:t>/h。类比同类项，初期雨水主要污染物及其浓度为CODcr180mg/L、SS400mg/L、氨氮5mg/L</w:t>
      </w:r>
      <w:r>
        <w:rPr>
          <w:rFonts w:hint="eastAsia"/>
          <w:highlight w:val="none"/>
        </w:rPr>
        <w:t>。</w:t>
      </w:r>
    </w:p>
    <w:p w14:paraId="76813951">
      <w:pPr>
        <w:ind w:firstLine="480"/>
        <w:rPr>
          <w:rFonts w:hint="eastAsia" w:eastAsia="宋体"/>
          <w:highlight w:val="none"/>
          <w:lang w:eastAsia="zh-CN"/>
        </w:rPr>
      </w:pPr>
      <w:r>
        <w:rPr>
          <w:highlight w:val="none"/>
        </w:rPr>
        <w:t>本项目</w:t>
      </w:r>
      <w:r>
        <w:rPr>
          <w:rFonts w:hint="eastAsia"/>
          <w:highlight w:val="none"/>
        </w:rPr>
        <w:t>拟</w:t>
      </w:r>
      <w:r>
        <w:rPr>
          <w:highlight w:val="none"/>
        </w:rPr>
        <w:t>设置一个容积约2</w:t>
      </w:r>
      <w:r>
        <w:rPr>
          <w:rFonts w:hint="eastAsia"/>
          <w:highlight w:val="none"/>
        </w:rPr>
        <w:t>50</w:t>
      </w:r>
      <w:r>
        <w:rPr>
          <w:highlight w:val="none"/>
        </w:rPr>
        <w:t>m</w:t>
      </w:r>
      <w:r>
        <w:rPr>
          <w:highlight w:val="none"/>
          <w:vertAlign w:val="superscript"/>
        </w:rPr>
        <w:t>3</w:t>
      </w:r>
      <w:r>
        <w:rPr>
          <w:highlight w:val="none"/>
        </w:rPr>
        <w:t>的初期雨水池，</w:t>
      </w:r>
      <w:r>
        <w:rPr>
          <w:rFonts w:hint="eastAsia"/>
          <w:highlight w:val="none"/>
          <w:lang w:val="en-US" w:eastAsia="zh-CN"/>
        </w:rPr>
        <w:t>正常生产期间，</w:t>
      </w:r>
      <w:r>
        <w:rPr>
          <w:highlight w:val="none"/>
        </w:rPr>
        <w:t>初期雨水经</w:t>
      </w:r>
      <w:r>
        <w:rPr>
          <w:rFonts w:hint="eastAsia"/>
          <w:highlight w:val="none"/>
        </w:rPr>
        <w:t>初期雨水收集池</w:t>
      </w:r>
      <w:r>
        <w:rPr>
          <w:highlight w:val="none"/>
        </w:rPr>
        <w:t>沉淀后送入</w:t>
      </w:r>
      <w:r>
        <w:rPr>
          <w:rFonts w:hint="eastAsia"/>
          <w:highlight w:val="none"/>
        </w:rPr>
        <w:t>厂区</w:t>
      </w:r>
      <w:r>
        <w:rPr>
          <w:highlight w:val="none"/>
        </w:rPr>
        <w:t>废水站处理后，回用于化盐工序</w:t>
      </w:r>
      <w:r>
        <w:rPr>
          <w:rFonts w:hint="eastAsia"/>
          <w:highlight w:val="none"/>
        </w:rPr>
        <w:t>，不外排</w:t>
      </w:r>
      <w:r>
        <w:rPr>
          <w:rFonts w:hint="eastAsia"/>
          <w:highlight w:val="none"/>
          <w:lang w:eastAsia="zh-CN"/>
        </w:rPr>
        <w:t>；非生产期间，</w:t>
      </w:r>
      <w:r>
        <w:rPr>
          <w:rFonts w:hint="eastAsia"/>
          <w:highlight w:val="none"/>
          <w:lang w:val="en-US" w:eastAsia="zh-CN"/>
        </w:rPr>
        <w:t>收集</w:t>
      </w:r>
      <w:r>
        <w:rPr>
          <w:rFonts w:hint="eastAsia"/>
          <w:highlight w:val="none"/>
          <w:lang w:eastAsia="zh-CN"/>
        </w:rPr>
        <w:t>的初期雨水经</w:t>
      </w:r>
      <w:r>
        <w:rPr>
          <w:rFonts w:hint="eastAsia"/>
          <w:highlight w:val="none"/>
          <w:lang w:val="en-US" w:eastAsia="zh-CN"/>
        </w:rPr>
        <w:t>厂区废水站</w:t>
      </w:r>
      <w:r>
        <w:rPr>
          <w:rFonts w:hint="eastAsia"/>
          <w:highlight w:val="none"/>
          <w:lang w:eastAsia="zh-CN"/>
        </w:rPr>
        <w:t>处理达标后排入松木污水处理厂</w:t>
      </w:r>
      <w:r>
        <w:rPr>
          <w:rFonts w:hint="eastAsia"/>
          <w:highlight w:val="none"/>
          <w:lang w:val="en-US" w:eastAsia="zh-CN"/>
        </w:rPr>
        <w:t>深度</w:t>
      </w:r>
      <w:r>
        <w:rPr>
          <w:rFonts w:hint="eastAsia"/>
          <w:highlight w:val="none"/>
          <w:lang w:eastAsia="zh-CN"/>
        </w:rPr>
        <w:t>处理。</w:t>
      </w:r>
    </w:p>
    <w:p w14:paraId="71A960D7">
      <w:pPr>
        <w:ind w:firstLine="482"/>
        <w:rPr>
          <w:b/>
          <w:bCs/>
          <w:highlight w:val="none"/>
        </w:rPr>
      </w:pPr>
      <w:r>
        <w:rPr>
          <w:rFonts w:hint="eastAsia"/>
          <w:b/>
          <w:bCs/>
          <w:highlight w:val="none"/>
        </w:rPr>
        <w:t>（</w:t>
      </w:r>
      <w:r>
        <w:rPr>
          <w:rFonts w:hint="eastAsia"/>
          <w:b/>
          <w:bCs/>
          <w:highlight w:val="none"/>
          <w:lang w:val="en-US" w:eastAsia="zh-CN"/>
        </w:rPr>
        <w:t>8</w:t>
      </w:r>
      <w:r>
        <w:rPr>
          <w:rFonts w:hint="eastAsia"/>
          <w:b/>
          <w:bCs/>
          <w:highlight w:val="none"/>
        </w:rPr>
        <w:t>）生活污水</w:t>
      </w:r>
    </w:p>
    <w:p w14:paraId="57FE3441">
      <w:pPr>
        <w:ind w:firstLine="480"/>
        <w:rPr>
          <w:highlight w:val="none"/>
        </w:rPr>
      </w:pPr>
      <w:r>
        <w:rPr>
          <w:rFonts w:hint="eastAsia"/>
          <w:highlight w:val="none"/>
        </w:rPr>
        <w:t>本项</w:t>
      </w:r>
      <w:r>
        <w:rPr>
          <w:highlight w:val="none"/>
        </w:rPr>
        <w:t>目劳动定员</w:t>
      </w:r>
      <w:r>
        <w:rPr>
          <w:rFonts w:hint="eastAsia"/>
          <w:highlight w:val="none"/>
        </w:rPr>
        <w:t>65</w:t>
      </w:r>
      <w:r>
        <w:rPr>
          <w:highlight w:val="none"/>
        </w:rPr>
        <w:t>人，</w:t>
      </w:r>
      <w:r>
        <w:rPr>
          <w:rFonts w:hint="eastAsia"/>
          <w:highlight w:val="none"/>
        </w:rPr>
        <w:t>参照湖南省地方标准《用水定额》（DB43/T 388-2020），员工生活用水量按“办公楼”指标38m</w:t>
      </w:r>
      <w:r>
        <w:rPr>
          <w:rFonts w:hint="eastAsia"/>
          <w:highlight w:val="none"/>
          <w:vertAlign w:val="superscript"/>
        </w:rPr>
        <w:t>3</w:t>
      </w:r>
      <w:r>
        <w:rPr>
          <w:rFonts w:hint="eastAsia"/>
          <w:highlight w:val="none"/>
        </w:rPr>
        <w:t>/人·a计，则员工生活用水年用量为2470</w:t>
      </w:r>
      <w:r>
        <w:rPr>
          <w:highlight w:val="none"/>
        </w:rPr>
        <w:t>m</w:t>
      </w:r>
      <w:r>
        <w:rPr>
          <w:highlight w:val="none"/>
          <w:vertAlign w:val="superscript"/>
        </w:rPr>
        <w:t>3</w:t>
      </w:r>
      <w:r>
        <w:rPr>
          <w:highlight w:val="none"/>
        </w:rPr>
        <w:t>/a</w:t>
      </w:r>
      <w:r>
        <w:rPr>
          <w:rFonts w:hint="eastAsia"/>
          <w:highlight w:val="none"/>
        </w:rPr>
        <w:t>（8.23</w:t>
      </w:r>
      <w:r>
        <w:rPr>
          <w:highlight w:val="none"/>
        </w:rPr>
        <w:t>m</w:t>
      </w:r>
      <w:r>
        <w:rPr>
          <w:highlight w:val="none"/>
          <w:vertAlign w:val="superscript"/>
        </w:rPr>
        <w:t>3</w:t>
      </w:r>
      <w:r>
        <w:rPr>
          <w:rFonts w:hint="eastAsia"/>
          <w:highlight w:val="none"/>
        </w:rPr>
        <w:t>/d)</w:t>
      </w:r>
      <w:r>
        <w:rPr>
          <w:highlight w:val="none"/>
        </w:rPr>
        <w:t>，</w:t>
      </w:r>
      <w:r>
        <w:rPr>
          <w:rFonts w:hint="eastAsia"/>
          <w:highlight w:val="none"/>
        </w:rPr>
        <w:t>产污系数按0.8</w:t>
      </w:r>
      <w:r>
        <w:rPr>
          <w:highlight w:val="none"/>
        </w:rPr>
        <w:t>计，</w:t>
      </w:r>
      <w:r>
        <w:rPr>
          <w:rFonts w:hint="eastAsia"/>
          <w:highlight w:val="none"/>
        </w:rPr>
        <w:t>则</w:t>
      </w:r>
      <w:r>
        <w:rPr>
          <w:highlight w:val="none"/>
        </w:rPr>
        <w:t>生活污水</w:t>
      </w:r>
      <w:r>
        <w:rPr>
          <w:rFonts w:hint="eastAsia"/>
          <w:highlight w:val="none"/>
        </w:rPr>
        <w:t>产生量为1976</w:t>
      </w:r>
      <w:r>
        <w:rPr>
          <w:highlight w:val="none"/>
        </w:rPr>
        <w:t>m</w:t>
      </w:r>
      <w:r>
        <w:rPr>
          <w:highlight w:val="none"/>
          <w:vertAlign w:val="superscript"/>
        </w:rPr>
        <w:t>3</w:t>
      </w:r>
      <w:r>
        <w:rPr>
          <w:highlight w:val="none"/>
        </w:rPr>
        <w:t>/a</w:t>
      </w:r>
      <w:r>
        <w:rPr>
          <w:rFonts w:hint="eastAsia"/>
          <w:highlight w:val="none"/>
        </w:rPr>
        <w:t>（6.59</w:t>
      </w:r>
      <w:r>
        <w:rPr>
          <w:highlight w:val="none"/>
        </w:rPr>
        <w:t>m</w:t>
      </w:r>
      <w:r>
        <w:rPr>
          <w:highlight w:val="none"/>
          <w:vertAlign w:val="superscript"/>
        </w:rPr>
        <w:t>3</w:t>
      </w:r>
      <w:r>
        <w:rPr>
          <w:rFonts w:hint="eastAsia"/>
          <w:highlight w:val="none"/>
        </w:rPr>
        <w:t>/d）。生活污水经化粪池处理达标后排入园区污水管网后进入松木污水处理厂深度处理。</w:t>
      </w:r>
    </w:p>
    <w:p w14:paraId="352C8A1B">
      <w:pPr>
        <w:ind w:firstLine="482"/>
        <w:rPr>
          <w:b/>
          <w:bCs/>
          <w:highlight w:val="none"/>
        </w:rPr>
      </w:pPr>
      <w:r>
        <w:rPr>
          <w:rFonts w:hint="eastAsia"/>
          <w:b/>
          <w:bCs/>
          <w:highlight w:val="none"/>
        </w:rPr>
        <w:t>（</w:t>
      </w:r>
      <w:r>
        <w:rPr>
          <w:rFonts w:hint="eastAsia"/>
          <w:b/>
          <w:bCs/>
          <w:highlight w:val="none"/>
          <w:lang w:val="en-US" w:eastAsia="zh-CN"/>
        </w:rPr>
        <w:t>9</w:t>
      </w:r>
      <w:r>
        <w:rPr>
          <w:rFonts w:hint="eastAsia"/>
          <w:b/>
          <w:bCs/>
          <w:highlight w:val="none"/>
        </w:rPr>
        <w:t>）事故排水</w:t>
      </w:r>
    </w:p>
    <w:p w14:paraId="6080A463">
      <w:pPr>
        <w:ind w:firstLine="480"/>
        <w:rPr>
          <w:highlight w:val="none"/>
        </w:rPr>
      </w:pPr>
      <w:r>
        <w:rPr>
          <w:rFonts w:hint="eastAsia"/>
          <w:highlight w:val="none"/>
        </w:rPr>
        <w:t>本项目各生产车间装置泄露事故废水在车间内设置围堰、环形沟和回收池收集，收集的事故废水直接回用于生产，不外排。</w:t>
      </w:r>
    </w:p>
    <w:p w14:paraId="3AB47BBB">
      <w:pPr>
        <w:ind w:firstLine="480"/>
        <w:rPr>
          <w:highlight w:val="none"/>
        </w:rPr>
      </w:pPr>
      <w:r>
        <w:rPr>
          <w:rFonts w:hint="eastAsia"/>
          <w:highlight w:val="none"/>
        </w:rPr>
        <w:t>本项目突发环境事故产生的消防废水由厂区</w:t>
      </w:r>
      <w:r>
        <w:rPr>
          <w:highlight w:val="none"/>
        </w:rPr>
        <w:t>事故</w:t>
      </w:r>
      <w:r>
        <w:rPr>
          <w:rFonts w:hint="eastAsia"/>
          <w:highlight w:val="none"/>
        </w:rPr>
        <w:t>应急池收集。本项目室外消火栓设计流量为35L/s，室内消火栓设计流量为10L/s，火灾延续时间以</w:t>
      </w:r>
      <w:r>
        <w:rPr>
          <w:rFonts w:hint="eastAsia"/>
          <w:highlight w:val="none"/>
          <w:lang w:val="en-US" w:eastAsia="zh-CN"/>
        </w:rPr>
        <w:t>3</w:t>
      </w:r>
      <w:r>
        <w:rPr>
          <w:rFonts w:hint="eastAsia"/>
          <w:highlight w:val="none"/>
        </w:rPr>
        <w:t>h 计，</w:t>
      </w:r>
      <w:r>
        <w:rPr>
          <w:rFonts w:hint="eastAsia"/>
          <w:highlight w:val="none"/>
          <w:lang w:val="en-US" w:eastAsia="zh-CN"/>
        </w:rPr>
        <w:t>则</w:t>
      </w:r>
      <w:r>
        <w:rPr>
          <w:rFonts w:hint="eastAsia"/>
          <w:highlight w:val="none"/>
        </w:rPr>
        <w:t>火灾消防用水量为486m</w:t>
      </w:r>
      <w:r>
        <w:rPr>
          <w:rFonts w:hint="eastAsia"/>
          <w:highlight w:val="none"/>
          <w:vertAlign w:val="superscript"/>
        </w:rPr>
        <w:t>3</w:t>
      </w:r>
      <w:r>
        <w:rPr>
          <w:rFonts w:hint="eastAsia"/>
          <w:highlight w:val="none"/>
        </w:rPr>
        <w:t>/次 。产污系数按0.8计，则消防废水约386.4m</w:t>
      </w:r>
      <w:r>
        <w:rPr>
          <w:rFonts w:hint="eastAsia"/>
          <w:highlight w:val="none"/>
          <w:vertAlign w:val="superscript"/>
        </w:rPr>
        <w:t>3</w:t>
      </w:r>
      <w:r>
        <w:rPr>
          <w:rFonts w:hint="eastAsia"/>
          <w:highlight w:val="none"/>
        </w:rPr>
        <w:t>/次，事故应急池</w:t>
      </w:r>
      <w:r>
        <w:rPr>
          <w:highlight w:val="none"/>
        </w:rPr>
        <w:t>容积</w:t>
      </w:r>
      <w:r>
        <w:rPr>
          <w:rFonts w:hint="eastAsia"/>
          <w:highlight w:val="none"/>
        </w:rPr>
        <w:t>约</w:t>
      </w:r>
      <w:r>
        <w:rPr>
          <w:highlight w:val="none"/>
        </w:rPr>
        <w:t>为</w:t>
      </w:r>
      <w:r>
        <w:rPr>
          <w:rFonts w:hint="eastAsia"/>
          <w:highlight w:val="none"/>
        </w:rPr>
        <w:t>550</w:t>
      </w:r>
      <w:r>
        <w:rPr>
          <w:highlight w:val="none"/>
        </w:rPr>
        <w:t>m</w:t>
      </w:r>
      <w:r>
        <w:rPr>
          <w:highlight w:val="none"/>
          <w:vertAlign w:val="superscript"/>
        </w:rPr>
        <w:t>3</w:t>
      </w:r>
      <w:r>
        <w:rPr>
          <w:rFonts w:hint="eastAsia"/>
          <w:highlight w:val="none"/>
        </w:rPr>
        <w:t>，</w:t>
      </w:r>
      <w:r>
        <w:rPr>
          <w:highlight w:val="none"/>
        </w:rPr>
        <w:t>可满足事故废水收纳要求</w:t>
      </w:r>
      <w:r>
        <w:rPr>
          <w:rFonts w:hint="eastAsia"/>
          <w:highlight w:val="none"/>
        </w:rPr>
        <w:t>，</w:t>
      </w:r>
      <w:r>
        <w:rPr>
          <w:highlight w:val="none"/>
        </w:rPr>
        <w:t>事故应急池收集</w:t>
      </w:r>
      <w:r>
        <w:rPr>
          <w:rFonts w:hint="eastAsia"/>
          <w:highlight w:val="none"/>
        </w:rPr>
        <w:t>消防废水处理达标后经园区污水管网排入松木污水处理厂深度处理</w:t>
      </w:r>
      <w:r>
        <w:rPr>
          <w:highlight w:val="none"/>
        </w:rPr>
        <w:t>。</w:t>
      </w:r>
    </w:p>
    <w:p w14:paraId="4234DA0C">
      <w:pPr>
        <w:pStyle w:val="43"/>
        <w:numPr>
          <w:ilvl w:val="5"/>
          <w:numId w:val="1"/>
        </w:numPr>
        <w:rPr>
          <w:rFonts w:hint="default"/>
          <w:highlight w:val="none"/>
        </w:rPr>
      </w:pPr>
      <w:r>
        <w:rPr>
          <w:highlight w:val="none"/>
        </w:rPr>
        <w:t>本项目各单元排水情况一览表</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78"/>
        <w:gridCol w:w="1984"/>
        <w:gridCol w:w="773"/>
        <w:gridCol w:w="1142"/>
        <w:gridCol w:w="2688"/>
        <w:gridCol w:w="1257"/>
      </w:tblGrid>
      <w:tr w14:paraId="5F2D9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285" w:hRule="atLeast"/>
        </w:trPr>
        <w:tc>
          <w:tcPr>
            <w:tcW w:w="1561" w:type="pct"/>
            <w:gridSpan w:val="2"/>
            <w:shd w:val="clear" w:color="auto" w:fill="auto"/>
            <w:noWrap/>
            <w:vAlign w:val="center"/>
          </w:tcPr>
          <w:p w14:paraId="7355DE0A">
            <w:pPr>
              <w:pStyle w:val="45"/>
              <w:bidi w:val="0"/>
              <w:rPr>
                <w:rFonts w:hint="eastAsia"/>
                <w:b/>
                <w:bCs/>
              </w:rPr>
            </w:pPr>
            <w:r>
              <w:rPr>
                <w:rFonts w:hint="eastAsia"/>
                <w:b/>
                <w:bCs/>
                <w:lang w:val="en-US" w:eastAsia="zh-CN"/>
              </w:rPr>
              <w:t>排水单元</w:t>
            </w:r>
          </w:p>
        </w:tc>
        <w:tc>
          <w:tcPr>
            <w:tcW w:w="453" w:type="pct"/>
            <w:shd w:val="clear" w:color="auto" w:fill="auto"/>
            <w:noWrap/>
            <w:vAlign w:val="center"/>
          </w:tcPr>
          <w:p w14:paraId="25AC7D4D">
            <w:pPr>
              <w:pStyle w:val="45"/>
              <w:bidi w:val="0"/>
              <w:rPr>
                <w:rFonts w:hint="eastAsia"/>
                <w:b/>
                <w:bCs/>
              </w:rPr>
            </w:pPr>
            <w:r>
              <w:rPr>
                <w:rFonts w:hint="eastAsia"/>
                <w:b/>
                <w:bCs/>
                <w:lang w:val="en-US" w:eastAsia="zh-CN"/>
              </w:rPr>
              <w:t>单位</w:t>
            </w:r>
          </w:p>
        </w:tc>
        <w:tc>
          <w:tcPr>
            <w:tcW w:w="670" w:type="pct"/>
            <w:shd w:val="clear" w:color="auto" w:fill="auto"/>
            <w:noWrap/>
            <w:vAlign w:val="center"/>
          </w:tcPr>
          <w:p w14:paraId="1844E369">
            <w:pPr>
              <w:pStyle w:val="45"/>
              <w:bidi w:val="0"/>
              <w:rPr>
                <w:rFonts w:hint="eastAsia"/>
                <w:b/>
                <w:bCs/>
              </w:rPr>
            </w:pPr>
            <w:r>
              <w:rPr>
                <w:rFonts w:hint="eastAsia"/>
                <w:b/>
                <w:bCs/>
                <w:lang w:val="en-US" w:eastAsia="zh-CN"/>
              </w:rPr>
              <w:t>排水量</w:t>
            </w:r>
          </w:p>
        </w:tc>
        <w:tc>
          <w:tcPr>
            <w:tcW w:w="1577" w:type="pct"/>
            <w:shd w:val="clear" w:color="auto" w:fill="auto"/>
            <w:noWrap/>
            <w:vAlign w:val="center"/>
          </w:tcPr>
          <w:p w14:paraId="50ACA1E0">
            <w:pPr>
              <w:pStyle w:val="45"/>
              <w:bidi w:val="0"/>
              <w:rPr>
                <w:rFonts w:hint="eastAsia"/>
                <w:b/>
                <w:bCs/>
              </w:rPr>
            </w:pPr>
            <w:r>
              <w:rPr>
                <w:rFonts w:hint="eastAsia"/>
                <w:b/>
                <w:bCs/>
                <w:lang w:val="en-US" w:eastAsia="zh-CN"/>
              </w:rPr>
              <w:t>排水去向</w:t>
            </w:r>
          </w:p>
        </w:tc>
        <w:tc>
          <w:tcPr>
            <w:tcW w:w="737" w:type="pct"/>
            <w:shd w:val="clear" w:color="auto" w:fill="auto"/>
            <w:noWrap/>
            <w:vAlign w:val="center"/>
          </w:tcPr>
          <w:p w14:paraId="01D48D90">
            <w:pPr>
              <w:pStyle w:val="45"/>
              <w:bidi w:val="0"/>
              <w:rPr>
                <w:rFonts w:hint="eastAsia"/>
                <w:b/>
                <w:bCs/>
              </w:rPr>
            </w:pPr>
            <w:r>
              <w:rPr>
                <w:rFonts w:hint="eastAsia"/>
                <w:b/>
                <w:bCs/>
                <w:lang w:val="en-US" w:eastAsia="zh-CN"/>
              </w:rPr>
              <w:t>备注</w:t>
            </w:r>
          </w:p>
        </w:tc>
      </w:tr>
      <w:tr w14:paraId="227F6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97" w:type="pct"/>
            <w:vMerge w:val="restart"/>
            <w:shd w:val="clear" w:color="auto" w:fill="auto"/>
            <w:noWrap/>
            <w:vAlign w:val="center"/>
          </w:tcPr>
          <w:p w14:paraId="71AC2C62">
            <w:pPr>
              <w:pStyle w:val="45"/>
              <w:bidi w:val="0"/>
              <w:rPr>
                <w:rFonts w:hint="eastAsia"/>
              </w:rPr>
            </w:pPr>
            <w:r>
              <w:rPr>
                <w:rFonts w:hint="eastAsia"/>
                <w:lang w:val="en-US" w:eastAsia="zh-CN"/>
              </w:rPr>
              <w:t>生产装置排水</w:t>
            </w:r>
          </w:p>
        </w:tc>
        <w:tc>
          <w:tcPr>
            <w:tcW w:w="1164" w:type="pct"/>
            <w:shd w:val="clear" w:color="auto" w:fill="auto"/>
            <w:noWrap/>
            <w:vAlign w:val="center"/>
          </w:tcPr>
          <w:p w14:paraId="209A142D">
            <w:pPr>
              <w:pStyle w:val="45"/>
              <w:bidi w:val="0"/>
              <w:rPr>
                <w:rFonts w:hint="eastAsia"/>
              </w:rPr>
            </w:pPr>
            <w:r>
              <w:rPr>
                <w:rFonts w:hint="eastAsia"/>
                <w:lang w:val="en-US" w:eastAsia="zh-CN"/>
              </w:rPr>
              <w:t>碱喷淋废水</w:t>
            </w:r>
          </w:p>
        </w:tc>
        <w:tc>
          <w:tcPr>
            <w:tcW w:w="453" w:type="pct"/>
            <w:shd w:val="clear" w:color="auto" w:fill="auto"/>
            <w:vAlign w:val="center"/>
          </w:tcPr>
          <w:p w14:paraId="4FCB7240">
            <w:pPr>
              <w:pStyle w:val="45"/>
              <w:bidi w:val="0"/>
              <w:rPr>
                <w:rFonts w:hint="default"/>
              </w:rPr>
            </w:pPr>
            <w:r>
              <w:rPr>
                <w:rFonts w:hint="default"/>
                <w:lang w:val="en-US" w:eastAsia="zh-CN"/>
              </w:rPr>
              <w:t>m</w:t>
            </w:r>
            <w:r>
              <w:rPr>
                <w:rFonts w:hint="default"/>
                <w:vertAlign w:val="superscript"/>
                <w:lang w:val="en-US" w:eastAsia="zh-CN"/>
              </w:rPr>
              <w:t>3</w:t>
            </w:r>
            <w:r>
              <w:rPr>
                <w:rFonts w:hint="default"/>
                <w:lang w:val="en-US" w:eastAsia="zh-CN"/>
              </w:rPr>
              <w:t>/a</w:t>
            </w:r>
          </w:p>
        </w:tc>
        <w:tc>
          <w:tcPr>
            <w:tcW w:w="670" w:type="pct"/>
            <w:shd w:val="clear" w:color="auto" w:fill="auto"/>
            <w:noWrap/>
            <w:vAlign w:val="center"/>
          </w:tcPr>
          <w:p w14:paraId="1F822A02">
            <w:pPr>
              <w:pStyle w:val="45"/>
              <w:bidi w:val="0"/>
              <w:rPr>
                <w:rFonts w:hint="default"/>
              </w:rPr>
            </w:pPr>
            <w:r>
              <w:rPr>
                <w:rFonts w:hint="default"/>
                <w:lang w:val="en-US" w:eastAsia="zh-CN"/>
              </w:rPr>
              <w:t>/</w:t>
            </w:r>
          </w:p>
        </w:tc>
        <w:tc>
          <w:tcPr>
            <w:tcW w:w="1577" w:type="pct"/>
            <w:shd w:val="clear" w:color="auto" w:fill="auto"/>
            <w:noWrap/>
            <w:vAlign w:val="center"/>
          </w:tcPr>
          <w:p w14:paraId="287C1F54">
            <w:pPr>
              <w:pStyle w:val="45"/>
              <w:bidi w:val="0"/>
              <w:rPr>
                <w:rFonts w:hint="eastAsia"/>
              </w:rPr>
            </w:pPr>
            <w:r>
              <w:rPr>
                <w:rFonts w:hint="eastAsia"/>
                <w:lang w:val="en-US" w:eastAsia="zh-CN"/>
              </w:rPr>
              <w:t>返回电解工序使用，不外排</w:t>
            </w:r>
          </w:p>
        </w:tc>
        <w:tc>
          <w:tcPr>
            <w:tcW w:w="737" w:type="pct"/>
            <w:shd w:val="clear" w:color="auto" w:fill="auto"/>
            <w:noWrap/>
            <w:vAlign w:val="center"/>
          </w:tcPr>
          <w:p w14:paraId="09AA3755">
            <w:pPr>
              <w:pStyle w:val="45"/>
              <w:bidi w:val="0"/>
              <w:rPr>
                <w:rFonts w:hint="default"/>
              </w:rPr>
            </w:pPr>
          </w:p>
        </w:tc>
      </w:tr>
      <w:tr w14:paraId="135F4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97" w:type="pct"/>
            <w:vMerge w:val="continue"/>
            <w:shd w:val="clear" w:color="auto" w:fill="auto"/>
            <w:noWrap/>
            <w:vAlign w:val="center"/>
          </w:tcPr>
          <w:p w14:paraId="0AF31FC8">
            <w:pPr>
              <w:pStyle w:val="45"/>
              <w:bidi w:val="0"/>
              <w:rPr>
                <w:rFonts w:hint="eastAsia"/>
              </w:rPr>
            </w:pPr>
          </w:p>
        </w:tc>
        <w:tc>
          <w:tcPr>
            <w:tcW w:w="1164" w:type="pct"/>
            <w:shd w:val="clear" w:color="auto" w:fill="auto"/>
            <w:noWrap/>
            <w:vAlign w:val="center"/>
          </w:tcPr>
          <w:p w14:paraId="490346EB">
            <w:pPr>
              <w:pStyle w:val="45"/>
              <w:bidi w:val="0"/>
              <w:rPr>
                <w:rFonts w:hint="eastAsia"/>
              </w:rPr>
            </w:pPr>
            <w:r>
              <w:rPr>
                <w:rFonts w:hint="eastAsia"/>
                <w:lang w:val="en-US" w:eastAsia="zh-CN"/>
              </w:rPr>
              <w:t>真空冷凝水</w:t>
            </w:r>
          </w:p>
        </w:tc>
        <w:tc>
          <w:tcPr>
            <w:tcW w:w="453" w:type="pct"/>
            <w:shd w:val="clear" w:color="auto" w:fill="auto"/>
            <w:vAlign w:val="center"/>
          </w:tcPr>
          <w:p w14:paraId="19FE8F51">
            <w:pPr>
              <w:pStyle w:val="45"/>
              <w:bidi w:val="0"/>
              <w:rPr>
                <w:rFonts w:hint="default"/>
              </w:rPr>
            </w:pPr>
            <w:r>
              <w:rPr>
                <w:rFonts w:hint="default"/>
                <w:lang w:val="en-US" w:eastAsia="zh-CN"/>
              </w:rPr>
              <w:t>m</w:t>
            </w:r>
            <w:r>
              <w:rPr>
                <w:rFonts w:hint="default"/>
                <w:vertAlign w:val="superscript"/>
                <w:lang w:val="en-US" w:eastAsia="zh-CN"/>
              </w:rPr>
              <w:t>3</w:t>
            </w:r>
            <w:r>
              <w:rPr>
                <w:rFonts w:hint="default"/>
                <w:lang w:val="en-US" w:eastAsia="zh-CN"/>
              </w:rPr>
              <w:t>/a</w:t>
            </w:r>
          </w:p>
        </w:tc>
        <w:tc>
          <w:tcPr>
            <w:tcW w:w="670" w:type="pct"/>
            <w:shd w:val="clear" w:color="auto" w:fill="auto"/>
            <w:noWrap/>
            <w:vAlign w:val="center"/>
          </w:tcPr>
          <w:p w14:paraId="70659516">
            <w:pPr>
              <w:pStyle w:val="45"/>
              <w:bidi w:val="0"/>
              <w:rPr>
                <w:rFonts w:hint="default"/>
              </w:rPr>
            </w:pPr>
            <w:r>
              <w:rPr>
                <w:rFonts w:hint="default"/>
                <w:lang w:val="en-US" w:eastAsia="zh-CN"/>
              </w:rPr>
              <w:t>65497.4</w:t>
            </w:r>
          </w:p>
        </w:tc>
        <w:tc>
          <w:tcPr>
            <w:tcW w:w="1577" w:type="pct"/>
            <w:shd w:val="clear" w:color="auto" w:fill="auto"/>
            <w:noWrap/>
            <w:vAlign w:val="center"/>
          </w:tcPr>
          <w:p w14:paraId="55953AD7">
            <w:pPr>
              <w:pStyle w:val="45"/>
              <w:bidi w:val="0"/>
              <w:rPr>
                <w:rFonts w:hint="eastAsia"/>
              </w:rPr>
            </w:pPr>
            <w:r>
              <w:rPr>
                <w:rFonts w:hint="eastAsia"/>
                <w:lang w:val="en-US" w:eastAsia="zh-CN"/>
              </w:rPr>
              <w:t>回用于工艺用水及循环冷却补水，不外排</w:t>
            </w:r>
          </w:p>
        </w:tc>
        <w:tc>
          <w:tcPr>
            <w:tcW w:w="737" w:type="pct"/>
            <w:shd w:val="clear" w:color="auto" w:fill="auto"/>
            <w:noWrap/>
            <w:vAlign w:val="center"/>
          </w:tcPr>
          <w:p w14:paraId="28AC2EE4">
            <w:pPr>
              <w:pStyle w:val="45"/>
              <w:bidi w:val="0"/>
              <w:rPr>
                <w:rFonts w:hint="default"/>
              </w:rPr>
            </w:pPr>
          </w:p>
        </w:tc>
      </w:tr>
      <w:tr w14:paraId="4635B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trPr>
        <w:tc>
          <w:tcPr>
            <w:tcW w:w="397" w:type="pct"/>
            <w:vMerge w:val="continue"/>
            <w:shd w:val="clear" w:color="auto" w:fill="auto"/>
            <w:noWrap/>
            <w:vAlign w:val="center"/>
          </w:tcPr>
          <w:p w14:paraId="4859BF36">
            <w:pPr>
              <w:pStyle w:val="45"/>
              <w:bidi w:val="0"/>
              <w:rPr>
                <w:rFonts w:hint="eastAsia"/>
              </w:rPr>
            </w:pPr>
          </w:p>
        </w:tc>
        <w:tc>
          <w:tcPr>
            <w:tcW w:w="1164" w:type="pct"/>
            <w:shd w:val="clear" w:color="auto" w:fill="auto"/>
            <w:noWrap/>
            <w:vAlign w:val="center"/>
          </w:tcPr>
          <w:p w14:paraId="1910E517">
            <w:pPr>
              <w:pStyle w:val="45"/>
              <w:bidi w:val="0"/>
              <w:rPr>
                <w:rFonts w:hint="eastAsia"/>
              </w:rPr>
            </w:pPr>
            <w:r>
              <w:rPr>
                <w:rFonts w:hint="eastAsia"/>
                <w:lang w:val="en-US" w:eastAsia="zh-CN"/>
              </w:rPr>
              <w:t>电解槽清洗废水</w:t>
            </w:r>
          </w:p>
        </w:tc>
        <w:tc>
          <w:tcPr>
            <w:tcW w:w="453" w:type="pct"/>
            <w:shd w:val="clear" w:color="auto" w:fill="auto"/>
            <w:vAlign w:val="center"/>
          </w:tcPr>
          <w:p w14:paraId="49AC37C5">
            <w:pPr>
              <w:pStyle w:val="45"/>
              <w:bidi w:val="0"/>
              <w:rPr>
                <w:rFonts w:hint="default"/>
              </w:rPr>
            </w:pPr>
            <w:r>
              <w:rPr>
                <w:rFonts w:hint="default"/>
                <w:lang w:val="en-US" w:eastAsia="zh-CN"/>
              </w:rPr>
              <w:t>m</w:t>
            </w:r>
            <w:r>
              <w:rPr>
                <w:rFonts w:hint="default"/>
                <w:vertAlign w:val="superscript"/>
                <w:lang w:val="en-US" w:eastAsia="zh-CN"/>
              </w:rPr>
              <w:t>3</w:t>
            </w:r>
            <w:r>
              <w:rPr>
                <w:rFonts w:hint="default"/>
                <w:lang w:val="en-US" w:eastAsia="zh-CN"/>
              </w:rPr>
              <w:t>/a</w:t>
            </w:r>
          </w:p>
        </w:tc>
        <w:tc>
          <w:tcPr>
            <w:tcW w:w="670" w:type="pct"/>
            <w:shd w:val="clear" w:color="auto" w:fill="auto"/>
            <w:noWrap/>
            <w:vAlign w:val="center"/>
          </w:tcPr>
          <w:p w14:paraId="0202065F">
            <w:pPr>
              <w:pStyle w:val="45"/>
              <w:bidi w:val="0"/>
              <w:rPr>
                <w:rFonts w:hint="default"/>
              </w:rPr>
            </w:pPr>
            <w:r>
              <w:rPr>
                <w:rFonts w:hint="default"/>
                <w:lang w:val="en-US" w:eastAsia="zh-CN"/>
              </w:rPr>
              <w:t>14.5</w:t>
            </w:r>
          </w:p>
        </w:tc>
        <w:tc>
          <w:tcPr>
            <w:tcW w:w="1577" w:type="pct"/>
            <w:shd w:val="clear" w:color="auto" w:fill="auto"/>
            <w:noWrap/>
            <w:vAlign w:val="center"/>
          </w:tcPr>
          <w:p w14:paraId="74009516">
            <w:pPr>
              <w:pStyle w:val="45"/>
              <w:bidi w:val="0"/>
              <w:rPr>
                <w:rFonts w:hint="eastAsia"/>
              </w:rPr>
            </w:pPr>
            <w:r>
              <w:rPr>
                <w:rFonts w:hint="eastAsia"/>
                <w:lang w:val="en-US" w:eastAsia="zh-CN"/>
              </w:rPr>
              <w:t>回用于电解工序，不外排</w:t>
            </w:r>
          </w:p>
        </w:tc>
        <w:tc>
          <w:tcPr>
            <w:tcW w:w="737" w:type="pct"/>
            <w:shd w:val="clear" w:color="auto" w:fill="auto"/>
            <w:noWrap/>
            <w:vAlign w:val="center"/>
          </w:tcPr>
          <w:p w14:paraId="6A17AE36">
            <w:pPr>
              <w:pStyle w:val="45"/>
              <w:bidi w:val="0"/>
              <w:rPr>
                <w:rFonts w:hint="default"/>
              </w:rPr>
            </w:pPr>
          </w:p>
        </w:tc>
      </w:tr>
      <w:tr w14:paraId="5AE18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97" w:type="pct"/>
            <w:vMerge w:val="continue"/>
            <w:shd w:val="clear" w:color="auto" w:fill="auto"/>
            <w:noWrap/>
            <w:vAlign w:val="center"/>
          </w:tcPr>
          <w:p w14:paraId="1AC3EAE2">
            <w:pPr>
              <w:pStyle w:val="45"/>
              <w:bidi w:val="0"/>
              <w:rPr>
                <w:rFonts w:hint="eastAsia"/>
              </w:rPr>
            </w:pPr>
          </w:p>
        </w:tc>
        <w:tc>
          <w:tcPr>
            <w:tcW w:w="1164" w:type="pct"/>
            <w:shd w:val="clear" w:color="auto" w:fill="auto"/>
            <w:noWrap/>
            <w:vAlign w:val="center"/>
          </w:tcPr>
          <w:p w14:paraId="1300A9D4">
            <w:pPr>
              <w:pStyle w:val="45"/>
              <w:bidi w:val="0"/>
              <w:rPr>
                <w:rFonts w:hint="eastAsia"/>
              </w:rPr>
            </w:pPr>
            <w:r>
              <w:rPr>
                <w:rFonts w:hint="eastAsia"/>
                <w:lang w:val="en-US" w:eastAsia="zh-CN"/>
              </w:rPr>
              <w:t>膜酸洗废水</w:t>
            </w:r>
          </w:p>
        </w:tc>
        <w:tc>
          <w:tcPr>
            <w:tcW w:w="453" w:type="pct"/>
            <w:shd w:val="clear" w:color="auto" w:fill="auto"/>
            <w:vAlign w:val="center"/>
          </w:tcPr>
          <w:p w14:paraId="7E60128A">
            <w:pPr>
              <w:pStyle w:val="45"/>
              <w:bidi w:val="0"/>
              <w:rPr>
                <w:rFonts w:hint="default"/>
              </w:rPr>
            </w:pPr>
            <w:r>
              <w:rPr>
                <w:rFonts w:hint="default"/>
                <w:lang w:val="en-US" w:eastAsia="zh-CN"/>
              </w:rPr>
              <w:t>m</w:t>
            </w:r>
            <w:r>
              <w:rPr>
                <w:rFonts w:hint="default"/>
                <w:vertAlign w:val="superscript"/>
                <w:lang w:val="en-US" w:eastAsia="zh-CN"/>
              </w:rPr>
              <w:t>3</w:t>
            </w:r>
            <w:r>
              <w:rPr>
                <w:rFonts w:hint="default"/>
                <w:lang w:val="en-US" w:eastAsia="zh-CN"/>
              </w:rPr>
              <w:t>/a</w:t>
            </w:r>
          </w:p>
        </w:tc>
        <w:tc>
          <w:tcPr>
            <w:tcW w:w="670" w:type="pct"/>
            <w:shd w:val="clear" w:color="auto" w:fill="auto"/>
            <w:noWrap/>
            <w:vAlign w:val="center"/>
          </w:tcPr>
          <w:p w14:paraId="5CBC70A9">
            <w:pPr>
              <w:pStyle w:val="45"/>
              <w:bidi w:val="0"/>
              <w:rPr>
                <w:rFonts w:hint="default"/>
              </w:rPr>
            </w:pPr>
            <w:r>
              <w:rPr>
                <w:rFonts w:hint="default"/>
                <w:lang w:val="en-US" w:eastAsia="zh-CN"/>
              </w:rPr>
              <w:t>840</w:t>
            </w:r>
          </w:p>
        </w:tc>
        <w:tc>
          <w:tcPr>
            <w:tcW w:w="1577" w:type="pct"/>
            <w:shd w:val="clear" w:color="auto" w:fill="auto"/>
            <w:noWrap/>
            <w:vAlign w:val="center"/>
          </w:tcPr>
          <w:p w14:paraId="42BD7FFA">
            <w:pPr>
              <w:pStyle w:val="45"/>
              <w:bidi w:val="0"/>
              <w:rPr>
                <w:rFonts w:hint="eastAsia"/>
              </w:rPr>
            </w:pPr>
            <w:r>
              <w:rPr>
                <w:rFonts w:hint="eastAsia"/>
                <w:lang w:val="en-US" w:eastAsia="zh-CN"/>
              </w:rPr>
              <w:t>中和后回用于化盐工序，不外排</w:t>
            </w:r>
          </w:p>
        </w:tc>
        <w:tc>
          <w:tcPr>
            <w:tcW w:w="737" w:type="pct"/>
            <w:shd w:val="clear" w:color="auto" w:fill="auto"/>
            <w:noWrap/>
            <w:vAlign w:val="center"/>
          </w:tcPr>
          <w:p w14:paraId="2C3F0A6D">
            <w:pPr>
              <w:pStyle w:val="45"/>
              <w:bidi w:val="0"/>
              <w:rPr>
                <w:rFonts w:hint="default"/>
              </w:rPr>
            </w:pPr>
          </w:p>
        </w:tc>
      </w:tr>
      <w:tr w14:paraId="06C33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trPr>
        <w:tc>
          <w:tcPr>
            <w:tcW w:w="397" w:type="pct"/>
            <w:shd w:val="clear" w:color="auto" w:fill="auto"/>
            <w:noWrap/>
            <w:vAlign w:val="center"/>
          </w:tcPr>
          <w:p w14:paraId="7C837811">
            <w:pPr>
              <w:pStyle w:val="45"/>
              <w:bidi w:val="0"/>
              <w:rPr>
                <w:rFonts w:hint="eastAsia"/>
              </w:rPr>
            </w:pPr>
            <w:r>
              <w:rPr>
                <w:rFonts w:hint="eastAsia"/>
                <w:lang w:val="en-US" w:eastAsia="zh-CN"/>
              </w:rPr>
              <w:t>纯水制备排水</w:t>
            </w:r>
          </w:p>
        </w:tc>
        <w:tc>
          <w:tcPr>
            <w:tcW w:w="1164" w:type="pct"/>
            <w:shd w:val="clear" w:color="auto" w:fill="auto"/>
            <w:noWrap/>
            <w:vAlign w:val="center"/>
          </w:tcPr>
          <w:p w14:paraId="0DFB4B3C">
            <w:pPr>
              <w:pStyle w:val="45"/>
              <w:bidi w:val="0"/>
              <w:rPr>
                <w:rFonts w:hint="eastAsia"/>
              </w:rPr>
            </w:pPr>
            <w:r>
              <w:rPr>
                <w:rFonts w:hint="eastAsia"/>
                <w:lang w:val="en-US" w:eastAsia="zh-CN"/>
              </w:rPr>
              <w:t>纯水制备排水</w:t>
            </w:r>
          </w:p>
        </w:tc>
        <w:tc>
          <w:tcPr>
            <w:tcW w:w="453" w:type="pct"/>
            <w:shd w:val="clear" w:color="auto" w:fill="auto"/>
            <w:vAlign w:val="center"/>
          </w:tcPr>
          <w:p w14:paraId="5704E471">
            <w:pPr>
              <w:pStyle w:val="45"/>
              <w:bidi w:val="0"/>
              <w:rPr>
                <w:rFonts w:hint="default"/>
              </w:rPr>
            </w:pPr>
            <w:r>
              <w:rPr>
                <w:rFonts w:hint="default"/>
                <w:lang w:val="en-US" w:eastAsia="zh-CN"/>
              </w:rPr>
              <w:t>m</w:t>
            </w:r>
            <w:r>
              <w:rPr>
                <w:rFonts w:hint="default"/>
                <w:vertAlign w:val="superscript"/>
                <w:lang w:val="en-US" w:eastAsia="zh-CN"/>
              </w:rPr>
              <w:t>3</w:t>
            </w:r>
            <w:r>
              <w:rPr>
                <w:rFonts w:hint="default"/>
                <w:lang w:val="en-US" w:eastAsia="zh-CN"/>
              </w:rPr>
              <w:t>/a</w:t>
            </w:r>
          </w:p>
        </w:tc>
        <w:tc>
          <w:tcPr>
            <w:tcW w:w="670" w:type="pct"/>
            <w:shd w:val="clear" w:color="auto" w:fill="auto"/>
            <w:noWrap/>
            <w:vAlign w:val="center"/>
          </w:tcPr>
          <w:p w14:paraId="6345956B">
            <w:pPr>
              <w:pStyle w:val="45"/>
              <w:bidi w:val="0"/>
              <w:rPr>
                <w:rFonts w:hint="default"/>
              </w:rPr>
            </w:pPr>
            <w:r>
              <w:rPr>
                <w:rFonts w:hint="default"/>
                <w:lang w:val="en-US" w:eastAsia="zh-CN"/>
              </w:rPr>
              <w:t>3746.54</w:t>
            </w:r>
          </w:p>
        </w:tc>
        <w:tc>
          <w:tcPr>
            <w:tcW w:w="1577" w:type="pct"/>
            <w:vMerge w:val="restart"/>
            <w:shd w:val="clear" w:color="auto" w:fill="auto"/>
            <w:vAlign w:val="center"/>
          </w:tcPr>
          <w:p w14:paraId="2511B769">
            <w:pPr>
              <w:pStyle w:val="45"/>
              <w:bidi w:val="0"/>
              <w:rPr>
                <w:rFonts w:hint="eastAsia"/>
              </w:rPr>
            </w:pPr>
            <w:r>
              <w:rPr>
                <w:rFonts w:hint="eastAsia"/>
                <w:lang w:val="en-US" w:eastAsia="zh-CN"/>
              </w:rPr>
              <w:t>废水站处理后回用化盐工序，不外排</w:t>
            </w:r>
          </w:p>
        </w:tc>
        <w:tc>
          <w:tcPr>
            <w:tcW w:w="737" w:type="pct"/>
            <w:shd w:val="clear" w:color="auto" w:fill="auto"/>
            <w:noWrap/>
            <w:vAlign w:val="center"/>
          </w:tcPr>
          <w:p w14:paraId="12BB9929">
            <w:pPr>
              <w:pStyle w:val="45"/>
              <w:bidi w:val="0"/>
              <w:rPr>
                <w:rFonts w:hint="default"/>
              </w:rPr>
            </w:pPr>
          </w:p>
        </w:tc>
      </w:tr>
      <w:tr w14:paraId="373A2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trPr>
        <w:tc>
          <w:tcPr>
            <w:tcW w:w="397" w:type="pct"/>
            <w:shd w:val="clear" w:color="auto" w:fill="auto"/>
            <w:noWrap/>
            <w:vAlign w:val="center"/>
          </w:tcPr>
          <w:p w14:paraId="04EC0805">
            <w:pPr>
              <w:pStyle w:val="45"/>
              <w:bidi w:val="0"/>
              <w:rPr>
                <w:rFonts w:hint="eastAsia"/>
              </w:rPr>
            </w:pPr>
            <w:r>
              <w:rPr>
                <w:rFonts w:hint="eastAsia"/>
                <w:lang w:val="en-US" w:eastAsia="zh-CN"/>
              </w:rPr>
              <w:t>循环冷却排水</w:t>
            </w:r>
          </w:p>
        </w:tc>
        <w:tc>
          <w:tcPr>
            <w:tcW w:w="1164" w:type="pct"/>
            <w:shd w:val="clear" w:color="auto" w:fill="auto"/>
            <w:noWrap/>
            <w:vAlign w:val="center"/>
          </w:tcPr>
          <w:p w14:paraId="48F721CB">
            <w:pPr>
              <w:pStyle w:val="45"/>
              <w:bidi w:val="0"/>
              <w:rPr>
                <w:rFonts w:hint="eastAsia"/>
              </w:rPr>
            </w:pPr>
            <w:r>
              <w:rPr>
                <w:rFonts w:hint="eastAsia"/>
                <w:lang w:val="en-US" w:eastAsia="zh-CN"/>
              </w:rPr>
              <w:t>循环冷却排水</w:t>
            </w:r>
          </w:p>
        </w:tc>
        <w:tc>
          <w:tcPr>
            <w:tcW w:w="453" w:type="pct"/>
            <w:shd w:val="clear" w:color="auto" w:fill="auto"/>
            <w:vAlign w:val="center"/>
          </w:tcPr>
          <w:p w14:paraId="25A80E26">
            <w:pPr>
              <w:pStyle w:val="45"/>
              <w:bidi w:val="0"/>
              <w:rPr>
                <w:rFonts w:hint="default"/>
              </w:rPr>
            </w:pPr>
            <w:r>
              <w:rPr>
                <w:rFonts w:hint="default"/>
                <w:lang w:val="en-US" w:eastAsia="zh-CN"/>
              </w:rPr>
              <w:t>m</w:t>
            </w:r>
            <w:r>
              <w:rPr>
                <w:rFonts w:hint="default"/>
                <w:vertAlign w:val="superscript"/>
                <w:lang w:val="en-US" w:eastAsia="zh-CN"/>
              </w:rPr>
              <w:t>3</w:t>
            </w:r>
            <w:r>
              <w:rPr>
                <w:rFonts w:hint="default"/>
                <w:lang w:val="en-US" w:eastAsia="zh-CN"/>
              </w:rPr>
              <w:t>/a</w:t>
            </w:r>
          </w:p>
        </w:tc>
        <w:tc>
          <w:tcPr>
            <w:tcW w:w="670" w:type="pct"/>
            <w:shd w:val="clear" w:color="auto" w:fill="auto"/>
            <w:noWrap/>
            <w:vAlign w:val="center"/>
          </w:tcPr>
          <w:p w14:paraId="3A11EBDA">
            <w:pPr>
              <w:pStyle w:val="45"/>
              <w:bidi w:val="0"/>
              <w:rPr>
                <w:rFonts w:hint="default"/>
              </w:rPr>
            </w:pPr>
            <w:r>
              <w:rPr>
                <w:rFonts w:hint="default"/>
                <w:lang w:val="en-US" w:eastAsia="zh-CN"/>
              </w:rPr>
              <w:t>16000</w:t>
            </w:r>
          </w:p>
        </w:tc>
        <w:tc>
          <w:tcPr>
            <w:tcW w:w="1577" w:type="pct"/>
            <w:vMerge w:val="continue"/>
            <w:shd w:val="clear" w:color="auto" w:fill="auto"/>
            <w:vAlign w:val="center"/>
          </w:tcPr>
          <w:p w14:paraId="12048EB4">
            <w:pPr>
              <w:pStyle w:val="45"/>
              <w:bidi w:val="0"/>
              <w:rPr>
                <w:rFonts w:hint="eastAsia"/>
              </w:rPr>
            </w:pPr>
          </w:p>
        </w:tc>
        <w:tc>
          <w:tcPr>
            <w:tcW w:w="737" w:type="pct"/>
            <w:shd w:val="clear" w:color="auto" w:fill="auto"/>
            <w:noWrap/>
            <w:vAlign w:val="center"/>
          </w:tcPr>
          <w:p w14:paraId="189B1093">
            <w:pPr>
              <w:pStyle w:val="45"/>
              <w:bidi w:val="0"/>
              <w:rPr>
                <w:rFonts w:hint="default"/>
              </w:rPr>
            </w:pPr>
          </w:p>
        </w:tc>
      </w:tr>
      <w:tr w14:paraId="6D968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97" w:type="pct"/>
            <w:vMerge w:val="restart"/>
            <w:shd w:val="clear" w:color="auto" w:fill="auto"/>
            <w:noWrap/>
            <w:vAlign w:val="center"/>
          </w:tcPr>
          <w:p w14:paraId="53C9129F">
            <w:pPr>
              <w:pStyle w:val="45"/>
              <w:bidi w:val="0"/>
              <w:rPr>
                <w:rFonts w:hint="eastAsia"/>
              </w:rPr>
            </w:pPr>
            <w:r>
              <w:rPr>
                <w:rFonts w:hint="eastAsia"/>
                <w:lang w:val="en-US" w:eastAsia="zh-CN"/>
              </w:rPr>
              <w:t>其他生产排水</w:t>
            </w:r>
          </w:p>
        </w:tc>
        <w:tc>
          <w:tcPr>
            <w:tcW w:w="1164" w:type="pct"/>
            <w:shd w:val="clear" w:color="auto" w:fill="auto"/>
            <w:noWrap/>
            <w:vAlign w:val="center"/>
          </w:tcPr>
          <w:p w14:paraId="5B26EFA0">
            <w:pPr>
              <w:pStyle w:val="45"/>
              <w:bidi w:val="0"/>
              <w:rPr>
                <w:rFonts w:hint="eastAsia"/>
              </w:rPr>
            </w:pPr>
            <w:r>
              <w:rPr>
                <w:rFonts w:hint="eastAsia"/>
                <w:lang w:val="en-US" w:eastAsia="zh-CN"/>
              </w:rPr>
              <w:t>车间地面清洗废水</w:t>
            </w:r>
          </w:p>
        </w:tc>
        <w:tc>
          <w:tcPr>
            <w:tcW w:w="453" w:type="pct"/>
            <w:shd w:val="clear" w:color="auto" w:fill="auto"/>
            <w:vAlign w:val="center"/>
          </w:tcPr>
          <w:p w14:paraId="17A7A204">
            <w:pPr>
              <w:pStyle w:val="45"/>
              <w:bidi w:val="0"/>
              <w:rPr>
                <w:rFonts w:hint="default"/>
              </w:rPr>
            </w:pPr>
            <w:r>
              <w:rPr>
                <w:rFonts w:hint="default"/>
                <w:lang w:val="en-US" w:eastAsia="zh-CN"/>
              </w:rPr>
              <w:t>m</w:t>
            </w:r>
            <w:r>
              <w:rPr>
                <w:rFonts w:hint="default"/>
                <w:vertAlign w:val="superscript"/>
                <w:lang w:val="en-US" w:eastAsia="zh-CN"/>
              </w:rPr>
              <w:t>3</w:t>
            </w:r>
            <w:r>
              <w:rPr>
                <w:rFonts w:hint="default"/>
                <w:lang w:val="en-US" w:eastAsia="zh-CN"/>
              </w:rPr>
              <w:t>/a</w:t>
            </w:r>
          </w:p>
        </w:tc>
        <w:tc>
          <w:tcPr>
            <w:tcW w:w="670" w:type="pct"/>
            <w:shd w:val="clear" w:color="auto" w:fill="auto"/>
            <w:noWrap/>
            <w:vAlign w:val="center"/>
          </w:tcPr>
          <w:p w14:paraId="0567545F">
            <w:pPr>
              <w:pStyle w:val="45"/>
              <w:bidi w:val="0"/>
              <w:rPr>
                <w:rFonts w:hint="default"/>
              </w:rPr>
            </w:pPr>
            <w:r>
              <w:rPr>
                <w:rFonts w:hint="default"/>
                <w:lang w:val="en-US" w:eastAsia="zh-CN"/>
              </w:rPr>
              <w:t>720</w:t>
            </w:r>
          </w:p>
        </w:tc>
        <w:tc>
          <w:tcPr>
            <w:tcW w:w="1577" w:type="pct"/>
            <w:vMerge w:val="continue"/>
            <w:shd w:val="clear" w:color="auto" w:fill="auto"/>
            <w:vAlign w:val="center"/>
          </w:tcPr>
          <w:p w14:paraId="09004C76">
            <w:pPr>
              <w:pStyle w:val="45"/>
              <w:bidi w:val="0"/>
              <w:rPr>
                <w:rFonts w:hint="eastAsia"/>
              </w:rPr>
            </w:pPr>
          </w:p>
        </w:tc>
        <w:tc>
          <w:tcPr>
            <w:tcW w:w="737" w:type="pct"/>
            <w:shd w:val="clear" w:color="auto" w:fill="auto"/>
            <w:noWrap/>
            <w:vAlign w:val="center"/>
          </w:tcPr>
          <w:p w14:paraId="2DFCE408">
            <w:pPr>
              <w:pStyle w:val="45"/>
              <w:bidi w:val="0"/>
              <w:rPr>
                <w:rFonts w:hint="default"/>
              </w:rPr>
            </w:pPr>
          </w:p>
        </w:tc>
      </w:tr>
      <w:tr w14:paraId="05BE7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97" w:type="pct"/>
            <w:vMerge w:val="continue"/>
            <w:shd w:val="clear" w:color="auto" w:fill="auto"/>
            <w:noWrap/>
            <w:vAlign w:val="center"/>
          </w:tcPr>
          <w:p w14:paraId="700EADAE">
            <w:pPr>
              <w:pStyle w:val="45"/>
              <w:bidi w:val="0"/>
              <w:rPr>
                <w:rFonts w:hint="eastAsia"/>
              </w:rPr>
            </w:pPr>
          </w:p>
        </w:tc>
        <w:tc>
          <w:tcPr>
            <w:tcW w:w="1164" w:type="pct"/>
            <w:shd w:val="clear" w:color="auto" w:fill="auto"/>
            <w:noWrap/>
            <w:vAlign w:val="center"/>
          </w:tcPr>
          <w:p w14:paraId="1B3C836E">
            <w:pPr>
              <w:pStyle w:val="45"/>
              <w:bidi w:val="0"/>
              <w:rPr>
                <w:rFonts w:hint="eastAsia"/>
              </w:rPr>
            </w:pPr>
            <w:r>
              <w:rPr>
                <w:rFonts w:hint="eastAsia"/>
                <w:lang w:val="en-US" w:eastAsia="zh-CN"/>
              </w:rPr>
              <w:t>洗车废水</w:t>
            </w:r>
          </w:p>
        </w:tc>
        <w:tc>
          <w:tcPr>
            <w:tcW w:w="453" w:type="pct"/>
            <w:shd w:val="clear" w:color="auto" w:fill="auto"/>
            <w:vAlign w:val="center"/>
          </w:tcPr>
          <w:p w14:paraId="48C0C235">
            <w:pPr>
              <w:pStyle w:val="45"/>
              <w:bidi w:val="0"/>
              <w:rPr>
                <w:rFonts w:hint="default"/>
              </w:rPr>
            </w:pPr>
            <w:r>
              <w:rPr>
                <w:rFonts w:hint="default"/>
                <w:lang w:val="en-US" w:eastAsia="zh-CN"/>
              </w:rPr>
              <w:t>m</w:t>
            </w:r>
            <w:r>
              <w:rPr>
                <w:rFonts w:hint="default"/>
                <w:vertAlign w:val="superscript"/>
                <w:lang w:val="en-US" w:eastAsia="zh-CN"/>
              </w:rPr>
              <w:t>3</w:t>
            </w:r>
            <w:r>
              <w:rPr>
                <w:rFonts w:hint="default"/>
                <w:lang w:val="en-US" w:eastAsia="zh-CN"/>
              </w:rPr>
              <w:t>/a</w:t>
            </w:r>
          </w:p>
        </w:tc>
        <w:tc>
          <w:tcPr>
            <w:tcW w:w="670" w:type="pct"/>
            <w:shd w:val="clear" w:color="auto" w:fill="auto"/>
            <w:noWrap/>
            <w:vAlign w:val="center"/>
          </w:tcPr>
          <w:p w14:paraId="04213ED1">
            <w:pPr>
              <w:pStyle w:val="45"/>
              <w:bidi w:val="0"/>
              <w:rPr>
                <w:rFonts w:hint="default"/>
              </w:rPr>
            </w:pPr>
            <w:r>
              <w:rPr>
                <w:rFonts w:hint="default"/>
                <w:lang w:val="en-US" w:eastAsia="zh-CN"/>
              </w:rPr>
              <w:t>480</w:t>
            </w:r>
          </w:p>
        </w:tc>
        <w:tc>
          <w:tcPr>
            <w:tcW w:w="1577" w:type="pct"/>
            <w:vMerge w:val="continue"/>
            <w:shd w:val="clear" w:color="auto" w:fill="auto"/>
            <w:vAlign w:val="center"/>
          </w:tcPr>
          <w:p w14:paraId="46CA2272">
            <w:pPr>
              <w:pStyle w:val="45"/>
              <w:bidi w:val="0"/>
              <w:rPr>
                <w:rFonts w:hint="eastAsia"/>
              </w:rPr>
            </w:pPr>
          </w:p>
        </w:tc>
        <w:tc>
          <w:tcPr>
            <w:tcW w:w="737" w:type="pct"/>
            <w:shd w:val="clear" w:color="auto" w:fill="auto"/>
            <w:noWrap/>
            <w:vAlign w:val="center"/>
          </w:tcPr>
          <w:p w14:paraId="10825C6A">
            <w:pPr>
              <w:pStyle w:val="45"/>
              <w:bidi w:val="0"/>
              <w:rPr>
                <w:rFonts w:hint="default"/>
              </w:rPr>
            </w:pPr>
          </w:p>
        </w:tc>
      </w:tr>
      <w:tr w14:paraId="54B77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trPr>
        <w:tc>
          <w:tcPr>
            <w:tcW w:w="397" w:type="pct"/>
            <w:vMerge w:val="continue"/>
            <w:shd w:val="clear" w:color="auto" w:fill="auto"/>
            <w:noWrap/>
            <w:vAlign w:val="center"/>
          </w:tcPr>
          <w:p w14:paraId="547EAD6D">
            <w:pPr>
              <w:pStyle w:val="45"/>
              <w:bidi w:val="0"/>
              <w:rPr>
                <w:rFonts w:hint="eastAsia"/>
              </w:rPr>
            </w:pPr>
          </w:p>
        </w:tc>
        <w:tc>
          <w:tcPr>
            <w:tcW w:w="1164" w:type="pct"/>
            <w:shd w:val="clear" w:color="auto" w:fill="auto"/>
            <w:noWrap/>
            <w:vAlign w:val="center"/>
          </w:tcPr>
          <w:p w14:paraId="015B40A7">
            <w:pPr>
              <w:pStyle w:val="45"/>
              <w:bidi w:val="0"/>
              <w:rPr>
                <w:rFonts w:hint="eastAsia"/>
              </w:rPr>
            </w:pPr>
            <w:r>
              <w:rPr>
                <w:rFonts w:hint="eastAsia"/>
                <w:lang w:val="en-US" w:eastAsia="zh-CN"/>
              </w:rPr>
              <w:t>员工清洁废水</w:t>
            </w:r>
          </w:p>
        </w:tc>
        <w:tc>
          <w:tcPr>
            <w:tcW w:w="453" w:type="pct"/>
            <w:shd w:val="clear" w:color="auto" w:fill="auto"/>
            <w:vAlign w:val="center"/>
          </w:tcPr>
          <w:p w14:paraId="6EBEE2B0">
            <w:pPr>
              <w:pStyle w:val="45"/>
              <w:bidi w:val="0"/>
              <w:rPr>
                <w:rFonts w:hint="default"/>
              </w:rPr>
            </w:pPr>
            <w:r>
              <w:rPr>
                <w:rFonts w:hint="default"/>
                <w:lang w:val="en-US" w:eastAsia="zh-CN"/>
              </w:rPr>
              <w:t>m</w:t>
            </w:r>
            <w:r>
              <w:rPr>
                <w:rFonts w:hint="default"/>
                <w:vertAlign w:val="superscript"/>
                <w:lang w:val="en-US" w:eastAsia="zh-CN"/>
              </w:rPr>
              <w:t>3</w:t>
            </w:r>
            <w:r>
              <w:rPr>
                <w:rFonts w:hint="default"/>
                <w:lang w:val="en-US" w:eastAsia="zh-CN"/>
              </w:rPr>
              <w:t>/a</w:t>
            </w:r>
          </w:p>
        </w:tc>
        <w:tc>
          <w:tcPr>
            <w:tcW w:w="670" w:type="pct"/>
            <w:shd w:val="clear" w:color="auto" w:fill="auto"/>
            <w:noWrap/>
            <w:vAlign w:val="center"/>
          </w:tcPr>
          <w:p w14:paraId="7621877E">
            <w:pPr>
              <w:pStyle w:val="45"/>
              <w:bidi w:val="0"/>
              <w:rPr>
                <w:rFonts w:hint="default"/>
              </w:rPr>
            </w:pPr>
            <w:r>
              <w:rPr>
                <w:rFonts w:hint="default"/>
                <w:lang w:val="en-US" w:eastAsia="zh-CN"/>
              </w:rPr>
              <w:t>312</w:t>
            </w:r>
          </w:p>
        </w:tc>
        <w:tc>
          <w:tcPr>
            <w:tcW w:w="1577" w:type="pct"/>
            <w:vMerge w:val="continue"/>
            <w:shd w:val="clear" w:color="auto" w:fill="auto"/>
            <w:vAlign w:val="center"/>
          </w:tcPr>
          <w:p w14:paraId="249CB710">
            <w:pPr>
              <w:pStyle w:val="45"/>
              <w:bidi w:val="0"/>
              <w:rPr>
                <w:rFonts w:hint="eastAsia"/>
              </w:rPr>
            </w:pPr>
          </w:p>
        </w:tc>
        <w:tc>
          <w:tcPr>
            <w:tcW w:w="737" w:type="pct"/>
            <w:shd w:val="clear" w:color="auto" w:fill="auto"/>
            <w:noWrap/>
            <w:vAlign w:val="center"/>
          </w:tcPr>
          <w:p w14:paraId="77461633">
            <w:pPr>
              <w:pStyle w:val="45"/>
              <w:bidi w:val="0"/>
              <w:rPr>
                <w:rFonts w:hint="default"/>
              </w:rPr>
            </w:pPr>
          </w:p>
        </w:tc>
      </w:tr>
      <w:tr w14:paraId="192C9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trPr>
        <w:tc>
          <w:tcPr>
            <w:tcW w:w="397" w:type="pct"/>
            <w:vMerge w:val="continue"/>
            <w:shd w:val="clear" w:color="auto" w:fill="auto"/>
            <w:noWrap/>
            <w:vAlign w:val="center"/>
          </w:tcPr>
          <w:p w14:paraId="7B347E46">
            <w:pPr>
              <w:pStyle w:val="45"/>
              <w:bidi w:val="0"/>
              <w:rPr>
                <w:rFonts w:hint="eastAsia"/>
              </w:rPr>
            </w:pPr>
          </w:p>
        </w:tc>
        <w:tc>
          <w:tcPr>
            <w:tcW w:w="1164" w:type="pct"/>
            <w:shd w:val="clear" w:color="auto" w:fill="auto"/>
            <w:noWrap/>
            <w:vAlign w:val="center"/>
          </w:tcPr>
          <w:p w14:paraId="62605B9D">
            <w:pPr>
              <w:pStyle w:val="45"/>
              <w:bidi w:val="0"/>
              <w:rPr>
                <w:rFonts w:hint="eastAsia"/>
              </w:rPr>
            </w:pPr>
            <w:r>
              <w:rPr>
                <w:rFonts w:hint="eastAsia"/>
                <w:lang w:val="en-US" w:eastAsia="zh-CN"/>
              </w:rPr>
              <w:t>化验室废水</w:t>
            </w:r>
          </w:p>
        </w:tc>
        <w:tc>
          <w:tcPr>
            <w:tcW w:w="453" w:type="pct"/>
            <w:shd w:val="clear" w:color="auto" w:fill="auto"/>
            <w:vAlign w:val="center"/>
          </w:tcPr>
          <w:p w14:paraId="7FDEA758">
            <w:pPr>
              <w:pStyle w:val="45"/>
              <w:bidi w:val="0"/>
              <w:rPr>
                <w:rFonts w:hint="default"/>
              </w:rPr>
            </w:pPr>
            <w:r>
              <w:rPr>
                <w:rFonts w:hint="default"/>
                <w:lang w:val="en-US" w:eastAsia="zh-CN"/>
              </w:rPr>
              <w:t>m</w:t>
            </w:r>
            <w:r>
              <w:rPr>
                <w:rFonts w:hint="default"/>
                <w:vertAlign w:val="superscript"/>
                <w:lang w:val="en-US" w:eastAsia="zh-CN"/>
              </w:rPr>
              <w:t>3</w:t>
            </w:r>
            <w:r>
              <w:rPr>
                <w:rFonts w:hint="default"/>
                <w:lang w:val="en-US" w:eastAsia="zh-CN"/>
              </w:rPr>
              <w:t>/a</w:t>
            </w:r>
          </w:p>
        </w:tc>
        <w:tc>
          <w:tcPr>
            <w:tcW w:w="670" w:type="pct"/>
            <w:shd w:val="clear" w:color="auto" w:fill="auto"/>
            <w:noWrap/>
            <w:vAlign w:val="center"/>
          </w:tcPr>
          <w:p w14:paraId="447CA9D8">
            <w:pPr>
              <w:pStyle w:val="45"/>
              <w:bidi w:val="0"/>
              <w:rPr>
                <w:rFonts w:hint="default"/>
              </w:rPr>
            </w:pPr>
            <w:r>
              <w:rPr>
                <w:rFonts w:hint="default"/>
                <w:lang w:val="en-US" w:eastAsia="zh-CN"/>
              </w:rPr>
              <w:t>240</w:t>
            </w:r>
          </w:p>
        </w:tc>
        <w:tc>
          <w:tcPr>
            <w:tcW w:w="1577" w:type="pct"/>
            <w:vMerge w:val="continue"/>
            <w:shd w:val="clear" w:color="auto" w:fill="auto"/>
            <w:vAlign w:val="center"/>
          </w:tcPr>
          <w:p w14:paraId="119C6FC3">
            <w:pPr>
              <w:pStyle w:val="45"/>
              <w:bidi w:val="0"/>
              <w:rPr>
                <w:rFonts w:hint="eastAsia"/>
              </w:rPr>
            </w:pPr>
          </w:p>
        </w:tc>
        <w:tc>
          <w:tcPr>
            <w:tcW w:w="737" w:type="pct"/>
            <w:shd w:val="clear" w:color="auto" w:fill="auto"/>
            <w:noWrap/>
            <w:vAlign w:val="center"/>
          </w:tcPr>
          <w:p w14:paraId="0AC9BDD3">
            <w:pPr>
              <w:pStyle w:val="45"/>
              <w:bidi w:val="0"/>
              <w:rPr>
                <w:rFonts w:hint="default"/>
              </w:rPr>
            </w:pPr>
          </w:p>
        </w:tc>
      </w:tr>
      <w:tr w14:paraId="2FFD4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300" w:hRule="atLeast"/>
        </w:trPr>
        <w:tc>
          <w:tcPr>
            <w:tcW w:w="397" w:type="pct"/>
            <w:shd w:val="clear" w:color="auto" w:fill="auto"/>
            <w:noWrap/>
            <w:vAlign w:val="center"/>
          </w:tcPr>
          <w:p w14:paraId="78A16452">
            <w:pPr>
              <w:pStyle w:val="45"/>
              <w:bidi w:val="0"/>
              <w:rPr>
                <w:rFonts w:hint="eastAsia"/>
              </w:rPr>
            </w:pPr>
            <w:r>
              <w:rPr>
                <w:rFonts w:hint="eastAsia"/>
                <w:lang w:val="en-US" w:eastAsia="zh-CN"/>
              </w:rPr>
              <w:t>生活排水</w:t>
            </w:r>
          </w:p>
        </w:tc>
        <w:tc>
          <w:tcPr>
            <w:tcW w:w="1164" w:type="pct"/>
            <w:shd w:val="clear" w:color="auto" w:fill="auto"/>
            <w:noWrap/>
            <w:vAlign w:val="center"/>
          </w:tcPr>
          <w:p w14:paraId="4349B67B">
            <w:pPr>
              <w:pStyle w:val="45"/>
              <w:bidi w:val="0"/>
              <w:rPr>
                <w:rFonts w:hint="eastAsia"/>
              </w:rPr>
            </w:pPr>
            <w:r>
              <w:rPr>
                <w:rFonts w:hint="eastAsia"/>
                <w:lang w:val="en-US" w:eastAsia="zh-CN"/>
              </w:rPr>
              <w:t>生活污水</w:t>
            </w:r>
          </w:p>
        </w:tc>
        <w:tc>
          <w:tcPr>
            <w:tcW w:w="453" w:type="pct"/>
            <w:shd w:val="clear" w:color="auto" w:fill="auto"/>
            <w:vAlign w:val="center"/>
          </w:tcPr>
          <w:p w14:paraId="560FDD74">
            <w:pPr>
              <w:pStyle w:val="45"/>
              <w:bidi w:val="0"/>
              <w:rPr>
                <w:rFonts w:hint="default"/>
              </w:rPr>
            </w:pPr>
            <w:r>
              <w:rPr>
                <w:rFonts w:hint="default"/>
                <w:lang w:val="en-US" w:eastAsia="zh-CN"/>
              </w:rPr>
              <w:t>m</w:t>
            </w:r>
            <w:r>
              <w:rPr>
                <w:rFonts w:hint="default"/>
                <w:vertAlign w:val="superscript"/>
                <w:lang w:val="en-US" w:eastAsia="zh-CN"/>
              </w:rPr>
              <w:t>3</w:t>
            </w:r>
            <w:r>
              <w:rPr>
                <w:rFonts w:hint="default"/>
                <w:lang w:val="en-US" w:eastAsia="zh-CN"/>
              </w:rPr>
              <w:t>/a</w:t>
            </w:r>
          </w:p>
        </w:tc>
        <w:tc>
          <w:tcPr>
            <w:tcW w:w="670" w:type="pct"/>
            <w:shd w:val="clear" w:color="auto" w:fill="auto"/>
            <w:noWrap/>
            <w:vAlign w:val="center"/>
          </w:tcPr>
          <w:p w14:paraId="2AE3474C">
            <w:pPr>
              <w:pStyle w:val="45"/>
              <w:bidi w:val="0"/>
              <w:rPr>
                <w:rFonts w:hint="default"/>
              </w:rPr>
            </w:pPr>
            <w:r>
              <w:rPr>
                <w:rFonts w:hint="default"/>
                <w:lang w:val="en-US" w:eastAsia="zh-CN"/>
              </w:rPr>
              <w:t>1976</w:t>
            </w:r>
          </w:p>
        </w:tc>
        <w:tc>
          <w:tcPr>
            <w:tcW w:w="1577" w:type="pct"/>
            <w:shd w:val="clear" w:color="auto" w:fill="auto"/>
            <w:noWrap/>
            <w:vAlign w:val="center"/>
          </w:tcPr>
          <w:p w14:paraId="4378E1BA">
            <w:pPr>
              <w:pStyle w:val="45"/>
              <w:bidi w:val="0"/>
              <w:rPr>
                <w:rFonts w:hint="eastAsia"/>
              </w:rPr>
            </w:pPr>
            <w:r>
              <w:rPr>
                <w:rFonts w:hint="eastAsia"/>
                <w:lang w:val="en-US" w:eastAsia="zh-CN"/>
              </w:rPr>
              <w:t>经化粪池处理达标后排入园区污水管网后进入松木污水处理厂深度处理</w:t>
            </w:r>
          </w:p>
        </w:tc>
        <w:tc>
          <w:tcPr>
            <w:tcW w:w="737" w:type="pct"/>
            <w:shd w:val="clear" w:color="auto" w:fill="auto"/>
            <w:noWrap/>
            <w:vAlign w:val="center"/>
          </w:tcPr>
          <w:p w14:paraId="26F2B30C">
            <w:pPr>
              <w:pStyle w:val="45"/>
              <w:bidi w:val="0"/>
              <w:rPr>
                <w:rFonts w:hint="default"/>
              </w:rPr>
            </w:pPr>
          </w:p>
        </w:tc>
      </w:tr>
      <w:tr w14:paraId="73747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trPr>
        <w:tc>
          <w:tcPr>
            <w:tcW w:w="397" w:type="pct"/>
            <w:shd w:val="clear" w:color="auto" w:fill="auto"/>
            <w:noWrap/>
            <w:vAlign w:val="center"/>
          </w:tcPr>
          <w:p w14:paraId="754BF465">
            <w:pPr>
              <w:pStyle w:val="45"/>
              <w:bidi w:val="0"/>
              <w:rPr>
                <w:rFonts w:hint="eastAsia"/>
              </w:rPr>
            </w:pPr>
            <w:r>
              <w:rPr>
                <w:rFonts w:hint="eastAsia"/>
                <w:lang w:val="en-US" w:eastAsia="zh-CN"/>
              </w:rPr>
              <w:t>雨水排水</w:t>
            </w:r>
          </w:p>
        </w:tc>
        <w:tc>
          <w:tcPr>
            <w:tcW w:w="1164" w:type="pct"/>
            <w:shd w:val="clear" w:color="auto" w:fill="auto"/>
            <w:noWrap/>
            <w:vAlign w:val="center"/>
          </w:tcPr>
          <w:p w14:paraId="1A32A979">
            <w:pPr>
              <w:pStyle w:val="45"/>
              <w:bidi w:val="0"/>
              <w:rPr>
                <w:rFonts w:hint="eastAsia"/>
              </w:rPr>
            </w:pPr>
            <w:r>
              <w:rPr>
                <w:rFonts w:hint="eastAsia"/>
                <w:lang w:val="en-US" w:eastAsia="zh-CN"/>
              </w:rPr>
              <w:t>初期雨水</w:t>
            </w:r>
          </w:p>
        </w:tc>
        <w:tc>
          <w:tcPr>
            <w:tcW w:w="453" w:type="pct"/>
            <w:shd w:val="clear" w:color="auto" w:fill="auto"/>
            <w:vAlign w:val="center"/>
          </w:tcPr>
          <w:p w14:paraId="643893F3">
            <w:pPr>
              <w:pStyle w:val="45"/>
              <w:bidi w:val="0"/>
              <w:rPr>
                <w:rFonts w:hint="default"/>
              </w:rPr>
            </w:pPr>
            <w:r>
              <w:rPr>
                <w:rFonts w:hint="default"/>
                <w:lang w:val="en-US" w:eastAsia="zh-CN"/>
              </w:rPr>
              <w:t>m</w:t>
            </w:r>
            <w:r>
              <w:rPr>
                <w:rFonts w:hint="default"/>
                <w:vertAlign w:val="superscript"/>
                <w:lang w:val="en-US" w:eastAsia="zh-CN"/>
              </w:rPr>
              <w:t>3</w:t>
            </w:r>
            <w:r>
              <w:rPr>
                <w:rFonts w:hint="default"/>
                <w:lang w:val="en-US" w:eastAsia="zh-CN"/>
              </w:rPr>
              <w:t>/a</w:t>
            </w:r>
          </w:p>
        </w:tc>
        <w:tc>
          <w:tcPr>
            <w:tcW w:w="670" w:type="pct"/>
            <w:shd w:val="clear" w:color="auto" w:fill="auto"/>
            <w:noWrap/>
            <w:vAlign w:val="center"/>
          </w:tcPr>
          <w:p w14:paraId="07134A81">
            <w:pPr>
              <w:pStyle w:val="45"/>
              <w:bidi w:val="0"/>
              <w:rPr>
                <w:rFonts w:hint="default"/>
              </w:rPr>
            </w:pPr>
            <w:r>
              <w:rPr>
                <w:rFonts w:hint="default"/>
                <w:lang w:val="en-US" w:eastAsia="zh-CN"/>
              </w:rPr>
              <w:t>3600</w:t>
            </w:r>
          </w:p>
        </w:tc>
        <w:tc>
          <w:tcPr>
            <w:tcW w:w="1577" w:type="pct"/>
            <w:shd w:val="clear" w:color="auto" w:fill="auto"/>
            <w:noWrap/>
            <w:vAlign w:val="center"/>
          </w:tcPr>
          <w:p w14:paraId="2DA544D8">
            <w:pPr>
              <w:pStyle w:val="45"/>
              <w:bidi w:val="0"/>
              <w:rPr>
                <w:rFonts w:hint="eastAsia"/>
              </w:rPr>
            </w:pPr>
            <w:r>
              <w:rPr>
                <w:rFonts w:hint="eastAsia"/>
                <w:lang w:val="en-US" w:eastAsia="zh-CN"/>
              </w:rPr>
              <w:t>生产期间经废水站处理后回用于化盐工序，不外排；非生产期间，多余的初期雨水经废水站深度处理达标后排入松木污水处理厂</w:t>
            </w:r>
          </w:p>
        </w:tc>
        <w:tc>
          <w:tcPr>
            <w:tcW w:w="737" w:type="pct"/>
            <w:shd w:val="clear" w:color="auto" w:fill="auto"/>
            <w:noWrap/>
            <w:vAlign w:val="center"/>
          </w:tcPr>
          <w:p w14:paraId="1CADE1F3">
            <w:pPr>
              <w:pStyle w:val="45"/>
              <w:bidi w:val="0"/>
              <w:rPr>
                <w:rFonts w:hint="eastAsia"/>
              </w:rPr>
            </w:pPr>
            <w:r>
              <w:rPr>
                <w:rFonts w:hint="eastAsia"/>
                <w:lang w:val="en-US" w:eastAsia="zh-CN"/>
              </w:rPr>
              <w:t>按降雨强度</w:t>
            </w:r>
            <w:r>
              <w:rPr>
                <w:rFonts w:hint="default"/>
                <w:lang w:val="en-US" w:eastAsia="zh-CN"/>
              </w:rPr>
              <w:t>30mm</w:t>
            </w:r>
            <w:r>
              <w:rPr>
                <w:rFonts w:hint="eastAsia"/>
                <w:lang w:val="en-US" w:eastAsia="zh-CN"/>
              </w:rPr>
              <w:t>，年暴雨次数</w:t>
            </w:r>
            <w:r>
              <w:rPr>
                <w:rFonts w:hint="default"/>
                <w:lang w:val="en-US" w:eastAsia="zh-CN"/>
              </w:rPr>
              <w:t>20</w:t>
            </w:r>
            <w:r>
              <w:rPr>
                <w:rFonts w:hint="eastAsia"/>
                <w:lang w:val="en-US" w:eastAsia="zh-CN"/>
              </w:rPr>
              <w:t>次计</w:t>
            </w:r>
          </w:p>
        </w:tc>
      </w:tr>
      <w:tr w14:paraId="72124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trPr>
        <w:tc>
          <w:tcPr>
            <w:tcW w:w="397" w:type="pct"/>
            <w:vMerge w:val="restart"/>
            <w:shd w:val="clear" w:color="auto" w:fill="auto"/>
            <w:noWrap/>
            <w:vAlign w:val="center"/>
          </w:tcPr>
          <w:p w14:paraId="44195294">
            <w:pPr>
              <w:pStyle w:val="45"/>
              <w:bidi w:val="0"/>
              <w:rPr>
                <w:rFonts w:hint="eastAsia"/>
              </w:rPr>
            </w:pPr>
            <w:r>
              <w:rPr>
                <w:rFonts w:hint="eastAsia"/>
                <w:lang w:val="en-US" w:eastAsia="zh-CN"/>
              </w:rPr>
              <w:t>事故应急排水</w:t>
            </w:r>
          </w:p>
        </w:tc>
        <w:tc>
          <w:tcPr>
            <w:tcW w:w="1164" w:type="pct"/>
            <w:shd w:val="clear" w:color="auto" w:fill="auto"/>
            <w:noWrap/>
            <w:vAlign w:val="center"/>
          </w:tcPr>
          <w:p w14:paraId="6ACDE0DE">
            <w:pPr>
              <w:pStyle w:val="45"/>
              <w:bidi w:val="0"/>
              <w:rPr>
                <w:rFonts w:hint="eastAsia"/>
              </w:rPr>
            </w:pPr>
            <w:r>
              <w:rPr>
                <w:rFonts w:hint="eastAsia"/>
                <w:lang w:val="en-US" w:eastAsia="zh-CN"/>
              </w:rPr>
              <w:t>车间泄漏</w:t>
            </w:r>
          </w:p>
        </w:tc>
        <w:tc>
          <w:tcPr>
            <w:tcW w:w="453" w:type="pct"/>
            <w:shd w:val="clear" w:color="auto" w:fill="auto"/>
            <w:vAlign w:val="center"/>
          </w:tcPr>
          <w:p w14:paraId="1F7C7D1D">
            <w:pPr>
              <w:pStyle w:val="45"/>
              <w:bidi w:val="0"/>
              <w:rPr>
                <w:rFonts w:hint="default"/>
              </w:rPr>
            </w:pPr>
            <w:r>
              <w:rPr>
                <w:rFonts w:hint="default"/>
                <w:lang w:val="en-US" w:eastAsia="zh-CN"/>
              </w:rPr>
              <w:t>m</w:t>
            </w:r>
            <w:r>
              <w:rPr>
                <w:rFonts w:hint="default"/>
                <w:vertAlign w:val="superscript"/>
                <w:lang w:val="en-US" w:eastAsia="zh-CN"/>
              </w:rPr>
              <w:t>3</w:t>
            </w:r>
            <w:r>
              <w:rPr>
                <w:rFonts w:hint="default"/>
                <w:lang w:val="en-US" w:eastAsia="zh-CN"/>
              </w:rPr>
              <w:t>/a</w:t>
            </w:r>
          </w:p>
        </w:tc>
        <w:tc>
          <w:tcPr>
            <w:tcW w:w="670" w:type="pct"/>
            <w:shd w:val="clear" w:color="auto" w:fill="auto"/>
            <w:noWrap/>
            <w:vAlign w:val="center"/>
          </w:tcPr>
          <w:p w14:paraId="011434D9">
            <w:pPr>
              <w:pStyle w:val="45"/>
              <w:bidi w:val="0"/>
              <w:rPr>
                <w:rFonts w:hint="default"/>
              </w:rPr>
            </w:pPr>
            <w:r>
              <w:rPr>
                <w:rFonts w:hint="default"/>
                <w:lang w:val="en-US" w:eastAsia="zh-CN"/>
              </w:rPr>
              <w:t>/</w:t>
            </w:r>
          </w:p>
        </w:tc>
        <w:tc>
          <w:tcPr>
            <w:tcW w:w="1577" w:type="pct"/>
            <w:shd w:val="clear" w:color="auto" w:fill="auto"/>
            <w:noWrap/>
            <w:vAlign w:val="center"/>
          </w:tcPr>
          <w:p w14:paraId="37229DBD">
            <w:pPr>
              <w:pStyle w:val="45"/>
              <w:bidi w:val="0"/>
              <w:rPr>
                <w:rFonts w:hint="eastAsia"/>
              </w:rPr>
            </w:pPr>
            <w:r>
              <w:rPr>
                <w:rFonts w:hint="eastAsia"/>
                <w:lang w:val="en-US" w:eastAsia="zh-CN"/>
              </w:rPr>
              <w:t>车间内收集后回用于生产，不外排</w:t>
            </w:r>
          </w:p>
        </w:tc>
        <w:tc>
          <w:tcPr>
            <w:tcW w:w="737" w:type="pct"/>
            <w:shd w:val="clear" w:color="auto" w:fill="auto"/>
            <w:noWrap/>
            <w:vAlign w:val="center"/>
          </w:tcPr>
          <w:p w14:paraId="648773CF">
            <w:pPr>
              <w:pStyle w:val="45"/>
              <w:bidi w:val="0"/>
              <w:rPr>
                <w:rFonts w:hint="default" w:eastAsia="宋体"/>
                <w:lang w:val="en-US" w:eastAsia="zh-CN"/>
              </w:rPr>
            </w:pPr>
          </w:p>
        </w:tc>
      </w:tr>
      <w:tr w14:paraId="28E0E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trPr>
        <w:tc>
          <w:tcPr>
            <w:tcW w:w="397" w:type="pct"/>
            <w:vMerge w:val="continue"/>
            <w:shd w:val="clear" w:color="auto" w:fill="auto"/>
            <w:noWrap/>
            <w:vAlign w:val="center"/>
          </w:tcPr>
          <w:p w14:paraId="47FFEF00">
            <w:pPr>
              <w:pStyle w:val="45"/>
              <w:bidi w:val="0"/>
              <w:rPr>
                <w:rFonts w:hint="eastAsia"/>
              </w:rPr>
            </w:pPr>
          </w:p>
        </w:tc>
        <w:tc>
          <w:tcPr>
            <w:tcW w:w="1164" w:type="pct"/>
            <w:shd w:val="clear" w:color="auto" w:fill="auto"/>
            <w:noWrap/>
            <w:vAlign w:val="center"/>
          </w:tcPr>
          <w:p w14:paraId="04A57714">
            <w:pPr>
              <w:pStyle w:val="45"/>
              <w:bidi w:val="0"/>
              <w:rPr>
                <w:rFonts w:hint="eastAsia"/>
              </w:rPr>
            </w:pPr>
            <w:r>
              <w:rPr>
                <w:rFonts w:hint="eastAsia"/>
                <w:lang w:val="en-US" w:eastAsia="zh-CN"/>
              </w:rPr>
              <w:t>消防废水</w:t>
            </w:r>
          </w:p>
        </w:tc>
        <w:tc>
          <w:tcPr>
            <w:tcW w:w="453" w:type="pct"/>
            <w:shd w:val="clear" w:color="auto" w:fill="auto"/>
            <w:vAlign w:val="center"/>
          </w:tcPr>
          <w:p w14:paraId="5F8BC10E">
            <w:pPr>
              <w:pStyle w:val="45"/>
              <w:bidi w:val="0"/>
              <w:rPr>
                <w:rFonts w:hint="default"/>
              </w:rPr>
            </w:pPr>
            <w:r>
              <w:rPr>
                <w:rFonts w:hint="default"/>
                <w:lang w:val="en-US" w:eastAsia="zh-CN"/>
              </w:rPr>
              <w:t>m</w:t>
            </w:r>
            <w:r>
              <w:rPr>
                <w:rFonts w:hint="default"/>
                <w:vertAlign w:val="superscript"/>
                <w:lang w:val="en-US" w:eastAsia="zh-CN"/>
              </w:rPr>
              <w:t>3</w:t>
            </w:r>
            <w:r>
              <w:rPr>
                <w:rFonts w:hint="default"/>
                <w:lang w:val="en-US" w:eastAsia="zh-CN"/>
              </w:rPr>
              <w:t>/</w:t>
            </w:r>
            <w:r>
              <w:rPr>
                <w:rFonts w:hint="eastAsia"/>
                <w:lang w:val="en-US" w:eastAsia="zh-CN"/>
              </w:rPr>
              <w:t>次</w:t>
            </w:r>
          </w:p>
        </w:tc>
        <w:tc>
          <w:tcPr>
            <w:tcW w:w="670" w:type="pct"/>
            <w:shd w:val="clear" w:color="auto" w:fill="auto"/>
            <w:noWrap/>
            <w:vAlign w:val="center"/>
          </w:tcPr>
          <w:p w14:paraId="6BDE65E2">
            <w:pPr>
              <w:pStyle w:val="45"/>
              <w:bidi w:val="0"/>
              <w:rPr>
                <w:rFonts w:hint="default"/>
              </w:rPr>
            </w:pPr>
            <w:r>
              <w:rPr>
                <w:rFonts w:hint="default"/>
                <w:lang w:val="en-US" w:eastAsia="zh-CN"/>
              </w:rPr>
              <w:t>386.4</w:t>
            </w:r>
          </w:p>
        </w:tc>
        <w:tc>
          <w:tcPr>
            <w:tcW w:w="1577" w:type="pct"/>
            <w:shd w:val="clear" w:color="auto" w:fill="auto"/>
            <w:noWrap/>
            <w:vAlign w:val="center"/>
          </w:tcPr>
          <w:p w14:paraId="2C1B2621">
            <w:pPr>
              <w:pStyle w:val="45"/>
              <w:bidi w:val="0"/>
              <w:rPr>
                <w:rFonts w:hint="eastAsia"/>
              </w:rPr>
            </w:pPr>
            <w:r>
              <w:rPr>
                <w:rFonts w:hint="eastAsia"/>
                <w:lang w:val="en-US" w:eastAsia="zh-CN"/>
              </w:rPr>
              <w:t>事故应急池收集</w:t>
            </w:r>
          </w:p>
        </w:tc>
        <w:tc>
          <w:tcPr>
            <w:tcW w:w="737" w:type="pct"/>
            <w:shd w:val="clear" w:color="auto" w:fill="auto"/>
            <w:noWrap/>
            <w:vAlign w:val="center"/>
          </w:tcPr>
          <w:p w14:paraId="5AB22722">
            <w:pPr>
              <w:pStyle w:val="45"/>
              <w:bidi w:val="0"/>
              <w:rPr>
                <w:rFonts w:hint="eastAsia"/>
              </w:rPr>
            </w:pPr>
            <w:r>
              <w:rPr>
                <w:rFonts w:hint="eastAsia"/>
                <w:lang w:val="en-US" w:eastAsia="zh-CN"/>
              </w:rPr>
              <w:t>事故应急池550m</w:t>
            </w:r>
            <w:r>
              <w:rPr>
                <w:rFonts w:hint="eastAsia"/>
                <w:vertAlign w:val="superscript"/>
                <w:lang w:val="en-US" w:eastAsia="zh-CN"/>
              </w:rPr>
              <w:t>3</w:t>
            </w:r>
          </w:p>
        </w:tc>
      </w:tr>
    </w:tbl>
    <w:p w14:paraId="2DB55B01">
      <w:pPr>
        <w:spacing w:line="240" w:lineRule="auto"/>
        <w:ind w:firstLine="0" w:firstLineChars="0"/>
        <w:rPr>
          <w:highlight w:val="yellow"/>
        </w:rPr>
      </w:pPr>
    </w:p>
    <w:p w14:paraId="7CC72A15">
      <w:pPr>
        <w:ind w:firstLine="0" w:firstLineChars="0"/>
        <w:rPr>
          <w:rFonts w:hint="eastAsia" w:eastAsia="宋体"/>
          <w:highlight w:val="none"/>
          <w:lang w:eastAsia="zh-CN"/>
        </w:rPr>
      </w:pPr>
      <w:r>
        <w:rPr>
          <w:rFonts w:hint="eastAsia" w:eastAsia="宋体"/>
          <w:highlight w:val="none"/>
          <w:lang w:eastAsia="zh-CN"/>
        </w:rPr>
        <w:object>
          <v:shape id="_x0000_i1086" o:spt="75" type="#_x0000_t75" style="height:319.35pt;width:415.2pt;" o:ole="t" filled="f" o:preferrelative="t" stroked="f" coordsize="21600,21600">
            <v:path/>
            <v:fill on="f" focussize="0,0"/>
            <v:stroke on="f"/>
            <v:imagedata r:id="rId131" o:title=""/>
            <o:lock v:ext="edit" aspectratio="f"/>
            <w10:wrap type="none"/>
            <w10:anchorlock/>
          </v:shape>
          <o:OLEObject Type="Embed" ProgID="Visio.Drawing.15" ShapeID="_x0000_i1086" DrawAspect="Content" ObjectID="_1468075786" r:id="rId130">
            <o:LockedField>false</o:LockedField>
          </o:OLEObject>
        </w:object>
      </w:r>
    </w:p>
    <w:p w14:paraId="5EE08ABC">
      <w:pPr>
        <w:pStyle w:val="42"/>
        <w:numPr>
          <w:ilvl w:val="6"/>
          <w:numId w:val="1"/>
        </w:numPr>
        <w:rPr>
          <w:rFonts w:hint="default"/>
          <w:highlight w:val="none"/>
          <w:lang w:val="en-US" w:eastAsia="zh-CN"/>
        </w:rPr>
      </w:pPr>
      <w:r>
        <w:rPr>
          <w:rFonts w:hint="eastAsia"/>
          <w:highlight w:val="none"/>
          <w:lang w:val="en-US" w:eastAsia="zh-CN"/>
        </w:rPr>
        <w:t>本项目排水情况及排水去向</w:t>
      </w:r>
    </w:p>
    <w:p w14:paraId="49025BB9">
      <w:pPr>
        <w:spacing w:line="240" w:lineRule="auto"/>
        <w:ind w:firstLine="0" w:firstLineChars="0"/>
        <w:rPr>
          <w:highlight w:val="yellow"/>
        </w:rPr>
      </w:pPr>
    </w:p>
    <w:p w14:paraId="23366D38">
      <w:pPr>
        <w:pStyle w:val="6"/>
        <w:numPr>
          <w:ilvl w:val="4"/>
          <w:numId w:val="1"/>
        </w:numPr>
        <w:tabs>
          <w:tab w:val="left" w:pos="420"/>
          <w:tab w:val="clear" w:pos="0"/>
        </w:tabs>
        <w:ind w:firstLine="482"/>
        <w:rPr>
          <w:highlight w:val="none"/>
        </w:rPr>
      </w:pPr>
      <w:r>
        <w:rPr>
          <w:rFonts w:hint="eastAsia"/>
          <w:highlight w:val="none"/>
        </w:rPr>
        <w:t>供电</w:t>
      </w:r>
    </w:p>
    <w:p w14:paraId="608769A5">
      <w:pPr>
        <w:ind w:firstLine="480"/>
        <w:rPr>
          <w:highlight w:val="none"/>
        </w:rPr>
      </w:pPr>
      <w:r>
        <w:rPr>
          <w:rFonts w:hint="eastAsia"/>
          <w:highlight w:val="none"/>
        </w:rPr>
        <w:t>本项目用电由临近变电站提供，厂区内设变配电室，年用电量为</w:t>
      </w:r>
      <w:r>
        <w:rPr>
          <w:rFonts w:hint="default"/>
          <w:highlight w:val="none"/>
        </w:rPr>
        <w:t>7637.92</w:t>
      </w:r>
      <w:r>
        <w:rPr>
          <w:rFonts w:hint="eastAsia"/>
          <w:highlight w:val="none"/>
        </w:rPr>
        <w:t>万kWh；园区供电系统完全能满足项目的用电需求。</w:t>
      </w:r>
    </w:p>
    <w:p w14:paraId="7BCFB56C">
      <w:pPr>
        <w:pStyle w:val="6"/>
        <w:numPr>
          <w:ilvl w:val="4"/>
          <w:numId w:val="1"/>
        </w:numPr>
        <w:tabs>
          <w:tab w:val="left" w:pos="420"/>
          <w:tab w:val="clear" w:pos="0"/>
        </w:tabs>
        <w:ind w:firstLine="482"/>
      </w:pPr>
      <w:r>
        <w:rPr>
          <w:rFonts w:hint="eastAsia"/>
        </w:rPr>
        <w:t>供汽</w:t>
      </w:r>
    </w:p>
    <w:p w14:paraId="1FCF1D99">
      <w:pPr>
        <w:ind w:firstLine="480"/>
      </w:pPr>
      <w:r>
        <w:t>正常生产</w:t>
      </w:r>
      <w:r>
        <w:rPr>
          <w:rFonts w:hint="eastAsia"/>
          <w:lang w:val="en-US" w:eastAsia="zh-CN"/>
        </w:rPr>
        <w:t>情况</w:t>
      </w:r>
      <w:r>
        <w:t>下，氯酸钠和高氯酸盐的电解工序产生热量，可满足化盐、真空结晶等用热需求，少量富余热量进入循环水系统，无需使用园区蒸汽。考虑电解槽检修等时段，本项目接入园区供热蒸汽，作为备用热源，蒸汽由园区建滔（衡阳）实业有限公司热电联产项目供应，已采用架空管道运输至项目场地，直接接入即可。</w:t>
      </w:r>
    </w:p>
    <w:p w14:paraId="7E822ADC">
      <w:pPr>
        <w:ind w:firstLine="0" w:firstLineChars="0"/>
        <w:jc w:val="center"/>
      </w:pPr>
      <w:r>
        <w:drawing>
          <wp:inline distT="0" distB="0" distL="114300" distR="114300">
            <wp:extent cx="4329430" cy="3133090"/>
            <wp:effectExtent l="0" t="0" r="13970" b="10160"/>
            <wp:docPr id="42" name="图片 42" descr="169957530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699575301083"/>
                    <pic:cNvPicPr>
                      <a:picLocks noChangeAspect="1"/>
                    </pic:cNvPicPr>
                  </pic:nvPicPr>
                  <pic:blipFill>
                    <a:blip r:embed="rId132" cstate="print"/>
                    <a:stretch>
                      <a:fillRect/>
                    </a:stretch>
                  </pic:blipFill>
                  <pic:spPr>
                    <a:xfrm>
                      <a:off x="0" y="0"/>
                      <a:ext cx="4329430" cy="3133090"/>
                    </a:xfrm>
                    <a:prstGeom prst="rect">
                      <a:avLst/>
                    </a:prstGeom>
                  </pic:spPr>
                </pic:pic>
              </a:graphicData>
            </a:graphic>
          </wp:inline>
        </w:drawing>
      </w:r>
    </w:p>
    <w:p w14:paraId="64B36980">
      <w:pPr>
        <w:pStyle w:val="42"/>
        <w:numPr>
          <w:ilvl w:val="6"/>
          <w:numId w:val="1"/>
        </w:numPr>
        <w:rPr>
          <w:rFonts w:hint="default"/>
        </w:rPr>
      </w:pPr>
      <w:r>
        <w:t>电解反应热综合利用图</w:t>
      </w:r>
    </w:p>
    <w:p w14:paraId="62713113">
      <w:pPr>
        <w:pStyle w:val="6"/>
        <w:numPr>
          <w:ilvl w:val="4"/>
          <w:numId w:val="1"/>
        </w:numPr>
        <w:tabs>
          <w:tab w:val="left" w:pos="420"/>
          <w:tab w:val="clear" w:pos="0"/>
        </w:tabs>
        <w:ind w:firstLine="482"/>
      </w:pPr>
      <w:r>
        <w:rPr>
          <w:rFonts w:hint="eastAsia"/>
        </w:rPr>
        <w:t>辅助工程</w:t>
      </w:r>
    </w:p>
    <w:p w14:paraId="1F11B18D">
      <w:pPr>
        <w:pStyle w:val="7"/>
        <w:tabs>
          <w:tab w:val="left" w:pos="0"/>
        </w:tabs>
        <w:ind w:firstLine="482"/>
      </w:pPr>
      <w:r>
        <w:rPr>
          <w:rFonts w:hint="eastAsia"/>
        </w:rPr>
        <w:t>（1）维修</w:t>
      </w:r>
    </w:p>
    <w:p w14:paraId="1FB58D08">
      <w:pPr>
        <w:ind w:firstLine="480"/>
      </w:pPr>
      <w:r>
        <w:t>维修主要承担全厂机械、设备的小修、易损零件的加工、替换以确保全厂生产安全、正常运行、超出本维修能力的零配件、设备制作由社会、原设备制造厂协助维修解决。</w:t>
      </w:r>
    </w:p>
    <w:p w14:paraId="50F8EBCD">
      <w:pPr>
        <w:pStyle w:val="7"/>
        <w:tabs>
          <w:tab w:val="left" w:pos="0"/>
        </w:tabs>
        <w:ind w:firstLine="482"/>
      </w:pPr>
      <w:r>
        <w:rPr>
          <w:rFonts w:hint="eastAsia"/>
        </w:rPr>
        <w:t>（2）</w:t>
      </w:r>
      <w:r>
        <w:t>中心化验室</w:t>
      </w:r>
    </w:p>
    <w:p w14:paraId="782D5D74">
      <w:pPr>
        <w:ind w:firstLine="480"/>
      </w:pPr>
      <w:r>
        <w:t>完善的化验室体系一方面可以确保企业生产安全有序的进行，另一方面,可以通过加强对出厂产品的管理和售后服务为工厂赢得良好的信誉。因此,化验室的工作对企业的整个生产活动，诸如产量、质量、成本、利润、信誉等均有着密切、直接的联系。</w:t>
      </w:r>
    </w:p>
    <w:p w14:paraId="5F34792D">
      <w:pPr>
        <w:ind w:firstLine="480"/>
      </w:pPr>
      <w:r>
        <w:t>分析化验室负责原材料、中间产品、成品的检验工作，标准溶液配置，标定、必要的环保分析和全厂性的质量保障工作。另外，为了保证分析检验结果的真实有效，化验室使用的衡器、仪表和玻璃仪器等要定期进行校验。</w:t>
      </w:r>
    </w:p>
    <w:p w14:paraId="1984648D">
      <w:pPr>
        <w:pStyle w:val="3"/>
        <w:numPr>
          <w:ilvl w:val="1"/>
          <w:numId w:val="1"/>
        </w:numPr>
      </w:pPr>
      <w:bookmarkStart w:id="131" w:name="_Toc23710"/>
      <w:r>
        <w:rPr>
          <w:rFonts w:hint="eastAsia"/>
        </w:rPr>
        <w:t>施工期污染源强</w:t>
      </w:r>
      <w:bookmarkEnd w:id="131"/>
    </w:p>
    <w:p w14:paraId="3A30177B">
      <w:pPr>
        <w:pStyle w:val="4"/>
        <w:numPr>
          <w:ilvl w:val="2"/>
          <w:numId w:val="1"/>
        </w:numPr>
      </w:pPr>
      <w:r>
        <w:rPr>
          <w:rFonts w:hint="eastAsia"/>
        </w:rPr>
        <w:t>施工期废气污染源强</w:t>
      </w:r>
    </w:p>
    <w:p w14:paraId="69ABEC76">
      <w:pPr>
        <w:ind w:firstLine="480"/>
      </w:pPr>
      <w:r>
        <w:rPr>
          <w:rFonts w:hint="eastAsia"/>
        </w:rPr>
        <w:t>项目施工期废气主要是施工扬尘、各种施工机械尾气和装修废气。</w:t>
      </w:r>
    </w:p>
    <w:p w14:paraId="4C8B1E3D">
      <w:pPr>
        <w:ind w:firstLine="480"/>
      </w:pPr>
      <w:r>
        <w:rPr>
          <w:rFonts w:hint="eastAsia"/>
        </w:rPr>
        <w:t>（1）施工扬尘</w:t>
      </w:r>
    </w:p>
    <w:p w14:paraId="0011CED3">
      <w:pPr>
        <w:ind w:firstLine="480"/>
      </w:pPr>
      <w:r>
        <w:rPr>
          <w:rFonts w:hint="eastAsia"/>
        </w:rPr>
        <w:t>本项目使用商品混凝土，不在现场设置混凝土搅拌站，扬尘主要污染环节为车辆运输和施工车辆进出产生的道路扬尘、施工卸料、物料临时堆放产生的扬尘。</w:t>
      </w:r>
    </w:p>
    <w:p w14:paraId="55CEEA73">
      <w:pPr>
        <w:ind w:firstLine="480"/>
      </w:pPr>
      <w:r>
        <w:rPr>
          <w:rFonts w:hint="eastAsia"/>
        </w:rPr>
        <w:t>①露天堆场装卸和堆放扬尘</w:t>
      </w:r>
    </w:p>
    <w:p w14:paraId="33CB0539">
      <w:pPr>
        <w:ind w:firstLine="480"/>
      </w:pPr>
      <w:r>
        <w:rPr>
          <w:rFonts w:hint="eastAsia"/>
        </w:rPr>
        <w:t>由于施工的需要，一些建材需露天临时堆放；一些施工点表层土壤需人工开挖、堆放，在气候干燥又有风的情况下，会产生扬尘，根据堆放场起尘的经验公式可以看出起尘量与尘粒的含水率有关：</w:t>
      </w:r>
    </w:p>
    <w:p w14:paraId="704E47A0">
      <w:pPr>
        <w:ind w:firstLine="480"/>
        <w:jc w:val="center"/>
        <w:rPr>
          <w:vertAlign w:val="superscript"/>
        </w:rPr>
      </w:pPr>
      <w:r>
        <w:rPr>
          <w:rFonts w:hint="eastAsia"/>
        </w:rPr>
        <w:t>Q＝2.1K×（V—V</w:t>
      </w:r>
      <w:r>
        <w:rPr>
          <w:rFonts w:hint="eastAsia"/>
          <w:vertAlign w:val="subscript"/>
        </w:rPr>
        <w:t>0</w:t>
      </w:r>
      <w:r>
        <w:rPr>
          <w:rFonts w:hint="eastAsia"/>
        </w:rPr>
        <w:t>）</w:t>
      </w:r>
      <w:r>
        <w:rPr>
          <w:rFonts w:hint="eastAsia"/>
          <w:vertAlign w:val="superscript"/>
        </w:rPr>
        <w:t>3</w:t>
      </w:r>
      <w:r>
        <w:rPr>
          <w:rFonts w:hint="eastAsia"/>
        </w:rPr>
        <w:t>×e</w:t>
      </w:r>
      <w:r>
        <w:rPr>
          <w:rFonts w:hint="eastAsia"/>
          <w:vertAlign w:val="superscript"/>
        </w:rPr>
        <w:t>-1.023w</w:t>
      </w:r>
    </w:p>
    <w:p w14:paraId="0E524A4E">
      <w:pPr>
        <w:ind w:firstLine="480"/>
      </w:pPr>
      <w:r>
        <w:rPr>
          <w:rFonts w:hint="eastAsia"/>
        </w:rPr>
        <w:t>式中：Q——起尘量，kg/吨·年；</w:t>
      </w:r>
    </w:p>
    <w:p w14:paraId="7C5D2D55">
      <w:pPr>
        <w:ind w:firstLine="480"/>
      </w:pPr>
      <w:r>
        <w:rPr>
          <w:rFonts w:hint="eastAsia"/>
        </w:rPr>
        <w:t xml:space="preserve">      K——经验系数，是含水量的函数，K=0.96;</w:t>
      </w:r>
    </w:p>
    <w:p w14:paraId="55F096E3">
      <w:pPr>
        <w:ind w:firstLine="480"/>
      </w:pPr>
      <w:r>
        <w:rPr>
          <w:rFonts w:hint="eastAsia"/>
        </w:rPr>
        <w:t xml:space="preserve">      V——堆场平均风速，取3m/s；</w:t>
      </w:r>
    </w:p>
    <w:p w14:paraId="6645D9AD">
      <w:pPr>
        <w:ind w:firstLine="480"/>
      </w:pPr>
      <w:r>
        <w:rPr>
          <w:rFonts w:hint="eastAsia"/>
        </w:rPr>
        <w:t xml:space="preserve">      V</w:t>
      </w:r>
      <w:r>
        <w:rPr>
          <w:rFonts w:hint="eastAsia"/>
          <w:vertAlign w:val="subscript"/>
        </w:rPr>
        <w:t>0</w:t>
      </w:r>
      <w:r>
        <w:rPr>
          <w:rFonts w:hint="eastAsia"/>
        </w:rPr>
        <w:t>——起尘风速，取1.5m/s；</w:t>
      </w:r>
    </w:p>
    <w:p w14:paraId="2E6E6671">
      <w:pPr>
        <w:ind w:firstLine="480"/>
      </w:pPr>
      <w:r>
        <w:rPr>
          <w:rFonts w:hint="eastAsia"/>
        </w:rPr>
        <w:t xml:space="preserve">      W——尘粒的含水率，取10%。</w:t>
      </w:r>
    </w:p>
    <w:p w14:paraId="11A4FEDE">
      <w:pPr>
        <w:ind w:firstLine="480"/>
      </w:pPr>
      <w:r>
        <w:rPr>
          <w:rFonts w:hint="eastAsia"/>
        </w:rPr>
        <w:t>根据上述公式估算本项目施工期露天堆场和裸露场地的风力扬尘系数为5kg/吨·年。</w:t>
      </w:r>
    </w:p>
    <w:p w14:paraId="2AE53F69">
      <w:pPr>
        <w:ind w:firstLine="480"/>
      </w:pPr>
      <w:r>
        <w:rPr>
          <w:rFonts w:hint="eastAsia"/>
        </w:rPr>
        <w:t>尘粒在空气中的传播扩散情况与风速等气象条件有关，也与尘粒本身的沉降速度有关。不同尘粒的沉降速度见下表。</w:t>
      </w:r>
    </w:p>
    <w:p w14:paraId="1258365C">
      <w:pPr>
        <w:pStyle w:val="43"/>
        <w:numPr>
          <w:ilvl w:val="5"/>
          <w:numId w:val="1"/>
        </w:numPr>
        <w:rPr>
          <w:rFonts w:hint="default"/>
        </w:rPr>
      </w:pPr>
      <w:r>
        <w:t>不同粒径的沉降速度</w:t>
      </w:r>
    </w:p>
    <w:tbl>
      <w:tblPr>
        <w:tblStyle w:val="32"/>
        <w:tblW w:w="4996"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2128"/>
        <w:gridCol w:w="922"/>
        <w:gridCol w:w="943"/>
        <w:gridCol w:w="950"/>
        <w:gridCol w:w="956"/>
        <w:gridCol w:w="958"/>
        <w:gridCol w:w="789"/>
        <w:gridCol w:w="869"/>
      </w:tblGrid>
      <w:tr w14:paraId="3A5428C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248" w:type="pct"/>
            <w:tcBorders>
              <w:top w:val="single" w:color="auto" w:sz="4" w:space="0"/>
              <w:left w:val="single" w:color="auto" w:sz="4" w:space="0"/>
              <w:bottom w:val="single" w:color="auto" w:sz="6" w:space="0"/>
              <w:right w:val="single" w:color="auto" w:sz="6" w:space="0"/>
            </w:tcBorders>
            <w:vAlign w:val="center"/>
          </w:tcPr>
          <w:p w14:paraId="23DC0D65">
            <w:pPr>
              <w:snapToGrid w:val="0"/>
              <w:spacing w:line="240" w:lineRule="auto"/>
              <w:ind w:firstLine="0" w:firstLineChars="0"/>
              <w:jc w:val="center"/>
              <w:rPr>
                <w:rFonts w:cs="Times New Roman"/>
                <w:sz w:val="21"/>
                <w:szCs w:val="18"/>
              </w:rPr>
            </w:pPr>
            <w:r>
              <w:rPr>
                <w:rFonts w:cs="Times New Roman"/>
                <w:sz w:val="21"/>
                <w:szCs w:val="18"/>
              </w:rPr>
              <w:t>粒径（微米）</w:t>
            </w:r>
          </w:p>
        </w:tc>
        <w:tc>
          <w:tcPr>
            <w:tcW w:w="541" w:type="pct"/>
            <w:tcBorders>
              <w:top w:val="single" w:color="auto" w:sz="4" w:space="0"/>
              <w:left w:val="single" w:color="auto" w:sz="6" w:space="0"/>
              <w:bottom w:val="single" w:color="auto" w:sz="6" w:space="0"/>
              <w:right w:val="single" w:color="auto" w:sz="6" w:space="0"/>
            </w:tcBorders>
            <w:vAlign w:val="center"/>
          </w:tcPr>
          <w:p w14:paraId="14315663">
            <w:pPr>
              <w:snapToGrid w:val="0"/>
              <w:spacing w:line="240" w:lineRule="auto"/>
              <w:ind w:firstLine="0" w:firstLineChars="0"/>
              <w:jc w:val="center"/>
              <w:rPr>
                <w:rFonts w:cs="Times New Roman"/>
                <w:sz w:val="21"/>
                <w:szCs w:val="18"/>
              </w:rPr>
            </w:pPr>
            <w:r>
              <w:rPr>
                <w:rFonts w:cs="Times New Roman"/>
                <w:sz w:val="21"/>
                <w:szCs w:val="18"/>
              </w:rPr>
              <w:t>10</w:t>
            </w:r>
          </w:p>
        </w:tc>
        <w:tc>
          <w:tcPr>
            <w:tcW w:w="553" w:type="pct"/>
            <w:tcBorders>
              <w:top w:val="single" w:color="auto" w:sz="4" w:space="0"/>
              <w:left w:val="single" w:color="auto" w:sz="6" w:space="0"/>
              <w:bottom w:val="single" w:color="auto" w:sz="6" w:space="0"/>
              <w:right w:val="single" w:color="auto" w:sz="6" w:space="0"/>
            </w:tcBorders>
            <w:vAlign w:val="center"/>
          </w:tcPr>
          <w:p w14:paraId="3D56F2CF">
            <w:pPr>
              <w:snapToGrid w:val="0"/>
              <w:spacing w:line="240" w:lineRule="auto"/>
              <w:ind w:firstLine="0" w:firstLineChars="0"/>
              <w:jc w:val="center"/>
              <w:rPr>
                <w:rFonts w:cs="Times New Roman"/>
                <w:sz w:val="21"/>
                <w:szCs w:val="18"/>
              </w:rPr>
            </w:pPr>
            <w:r>
              <w:rPr>
                <w:rFonts w:cs="Times New Roman"/>
                <w:sz w:val="21"/>
                <w:szCs w:val="18"/>
              </w:rPr>
              <w:t>20</w:t>
            </w:r>
          </w:p>
        </w:tc>
        <w:tc>
          <w:tcPr>
            <w:tcW w:w="557" w:type="pct"/>
            <w:tcBorders>
              <w:top w:val="single" w:color="auto" w:sz="4" w:space="0"/>
              <w:left w:val="single" w:color="auto" w:sz="6" w:space="0"/>
              <w:bottom w:val="single" w:color="auto" w:sz="6" w:space="0"/>
              <w:right w:val="single" w:color="auto" w:sz="6" w:space="0"/>
            </w:tcBorders>
            <w:vAlign w:val="center"/>
          </w:tcPr>
          <w:p w14:paraId="3F337159">
            <w:pPr>
              <w:snapToGrid w:val="0"/>
              <w:spacing w:line="240" w:lineRule="auto"/>
              <w:ind w:firstLine="0" w:firstLineChars="0"/>
              <w:jc w:val="center"/>
              <w:rPr>
                <w:rFonts w:cs="Times New Roman"/>
                <w:sz w:val="21"/>
                <w:szCs w:val="18"/>
              </w:rPr>
            </w:pPr>
            <w:r>
              <w:rPr>
                <w:rFonts w:cs="Times New Roman"/>
                <w:sz w:val="21"/>
                <w:szCs w:val="18"/>
              </w:rPr>
              <w:t>30</w:t>
            </w:r>
          </w:p>
        </w:tc>
        <w:tc>
          <w:tcPr>
            <w:tcW w:w="561" w:type="pct"/>
            <w:tcBorders>
              <w:top w:val="single" w:color="auto" w:sz="4" w:space="0"/>
              <w:left w:val="single" w:color="auto" w:sz="6" w:space="0"/>
              <w:bottom w:val="single" w:color="auto" w:sz="6" w:space="0"/>
              <w:right w:val="single" w:color="auto" w:sz="6" w:space="0"/>
            </w:tcBorders>
            <w:vAlign w:val="center"/>
          </w:tcPr>
          <w:p w14:paraId="74878CC3">
            <w:pPr>
              <w:snapToGrid w:val="0"/>
              <w:spacing w:line="240" w:lineRule="auto"/>
              <w:ind w:firstLine="0" w:firstLineChars="0"/>
              <w:jc w:val="center"/>
              <w:rPr>
                <w:rFonts w:cs="Times New Roman"/>
                <w:sz w:val="21"/>
                <w:szCs w:val="18"/>
              </w:rPr>
            </w:pPr>
            <w:r>
              <w:rPr>
                <w:rFonts w:cs="Times New Roman"/>
                <w:sz w:val="21"/>
                <w:szCs w:val="18"/>
              </w:rPr>
              <w:t>40</w:t>
            </w:r>
          </w:p>
        </w:tc>
        <w:tc>
          <w:tcPr>
            <w:tcW w:w="562" w:type="pct"/>
            <w:tcBorders>
              <w:top w:val="single" w:color="auto" w:sz="4" w:space="0"/>
              <w:left w:val="single" w:color="auto" w:sz="6" w:space="0"/>
              <w:bottom w:val="single" w:color="auto" w:sz="6" w:space="0"/>
              <w:right w:val="single" w:color="auto" w:sz="6" w:space="0"/>
            </w:tcBorders>
            <w:vAlign w:val="center"/>
          </w:tcPr>
          <w:p w14:paraId="2189A720">
            <w:pPr>
              <w:snapToGrid w:val="0"/>
              <w:spacing w:line="240" w:lineRule="auto"/>
              <w:ind w:firstLine="0" w:firstLineChars="0"/>
              <w:jc w:val="center"/>
              <w:rPr>
                <w:rFonts w:cs="Times New Roman"/>
                <w:sz w:val="21"/>
                <w:szCs w:val="18"/>
              </w:rPr>
            </w:pPr>
            <w:r>
              <w:rPr>
                <w:rFonts w:cs="Times New Roman"/>
                <w:sz w:val="21"/>
                <w:szCs w:val="18"/>
              </w:rPr>
              <w:t>50</w:t>
            </w:r>
          </w:p>
        </w:tc>
        <w:tc>
          <w:tcPr>
            <w:tcW w:w="463" w:type="pct"/>
            <w:tcBorders>
              <w:top w:val="single" w:color="auto" w:sz="4" w:space="0"/>
              <w:left w:val="single" w:color="auto" w:sz="6" w:space="0"/>
              <w:bottom w:val="single" w:color="auto" w:sz="6" w:space="0"/>
              <w:right w:val="single" w:color="auto" w:sz="6" w:space="0"/>
            </w:tcBorders>
            <w:vAlign w:val="center"/>
          </w:tcPr>
          <w:p w14:paraId="14808876">
            <w:pPr>
              <w:snapToGrid w:val="0"/>
              <w:spacing w:line="240" w:lineRule="auto"/>
              <w:ind w:firstLine="0" w:firstLineChars="0"/>
              <w:jc w:val="center"/>
              <w:rPr>
                <w:rFonts w:cs="Times New Roman"/>
                <w:sz w:val="21"/>
                <w:szCs w:val="18"/>
              </w:rPr>
            </w:pPr>
            <w:r>
              <w:rPr>
                <w:rFonts w:cs="Times New Roman"/>
                <w:sz w:val="21"/>
                <w:szCs w:val="18"/>
              </w:rPr>
              <w:t>60</w:t>
            </w:r>
          </w:p>
        </w:tc>
        <w:tc>
          <w:tcPr>
            <w:tcW w:w="510" w:type="pct"/>
            <w:tcBorders>
              <w:top w:val="single" w:color="auto" w:sz="4" w:space="0"/>
              <w:left w:val="single" w:color="auto" w:sz="6" w:space="0"/>
              <w:bottom w:val="single" w:color="auto" w:sz="6" w:space="0"/>
              <w:right w:val="single" w:color="auto" w:sz="4" w:space="0"/>
            </w:tcBorders>
            <w:vAlign w:val="center"/>
          </w:tcPr>
          <w:p w14:paraId="6FD3D847">
            <w:pPr>
              <w:snapToGrid w:val="0"/>
              <w:spacing w:line="240" w:lineRule="auto"/>
              <w:ind w:firstLine="0" w:firstLineChars="0"/>
              <w:jc w:val="center"/>
              <w:rPr>
                <w:rFonts w:cs="Times New Roman"/>
                <w:sz w:val="21"/>
                <w:szCs w:val="18"/>
              </w:rPr>
            </w:pPr>
            <w:r>
              <w:rPr>
                <w:rFonts w:cs="Times New Roman"/>
                <w:sz w:val="21"/>
                <w:szCs w:val="18"/>
              </w:rPr>
              <w:t>70</w:t>
            </w:r>
          </w:p>
        </w:tc>
      </w:tr>
      <w:tr w14:paraId="09E9AB4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48" w:type="pct"/>
            <w:tcBorders>
              <w:top w:val="single" w:color="auto" w:sz="6" w:space="0"/>
              <w:left w:val="single" w:color="auto" w:sz="4" w:space="0"/>
              <w:bottom w:val="single" w:color="auto" w:sz="6" w:space="0"/>
              <w:right w:val="single" w:color="auto" w:sz="6" w:space="0"/>
            </w:tcBorders>
            <w:vAlign w:val="center"/>
          </w:tcPr>
          <w:p w14:paraId="4906A511">
            <w:pPr>
              <w:snapToGrid w:val="0"/>
              <w:spacing w:line="240" w:lineRule="auto"/>
              <w:ind w:firstLine="0" w:firstLineChars="0"/>
              <w:jc w:val="center"/>
              <w:rPr>
                <w:rFonts w:cs="Times New Roman"/>
                <w:sz w:val="21"/>
                <w:szCs w:val="18"/>
              </w:rPr>
            </w:pPr>
            <w:r>
              <w:rPr>
                <w:rFonts w:cs="Times New Roman"/>
                <w:sz w:val="21"/>
                <w:szCs w:val="18"/>
              </w:rPr>
              <w:t>沉降速度（m/s）</w:t>
            </w:r>
          </w:p>
        </w:tc>
        <w:tc>
          <w:tcPr>
            <w:tcW w:w="541" w:type="pct"/>
            <w:tcBorders>
              <w:top w:val="single" w:color="auto" w:sz="6" w:space="0"/>
              <w:left w:val="single" w:color="auto" w:sz="6" w:space="0"/>
              <w:bottom w:val="single" w:color="auto" w:sz="6" w:space="0"/>
              <w:right w:val="single" w:color="auto" w:sz="6" w:space="0"/>
            </w:tcBorders>
            <w:vAlign w:val="center"/>
          </w:tcPr>
          <w:p w14:paraId="58A7FADA">
            <w:pPr>
              <w:snapToGrid w:val="0"/>
              <w:spacing w:line="240" w:lineRule="auto"/>
              <w:ind w:firstLine="0" w:firstLineChars="0"/>
              <w:jc w:val="center"/>
              <w:rPr>
                <w:rFonts w:cs="Times New Roman"/>
                <w:sz w:val="21"/>
                <w:szCs w:val="18"/>
              </w:rPr>
            </w:pPr>
            <w:r>
              <w:rPr>
                <w:rFonts w:cs="Times New Roman"/>
                <w:sz w:val="21"/>
                <w:szCs w:val="18"/>
              </w:rPr>
              <w:t>0.03</w:t>
            </w:r>
          </w:p>
        </w:tc>
        <w:tc>
          <w:tcPr>
            <w:tcW w:w="553" w:type="pct"/>
            <w:tcBorders>
              <w:top w:val="single" w:color="auto" w:sz="6" w:space="0"/>
              <w:left w:val="single" w:color="auto" w:sz="6" w:space="0"/>
              <w:bottom w:val="single" w:color="auto" w:sz="6" w:space="0"/>
              <w:right w:val="single" w:color="auto" w:sz="6" w:space="0"/>
            </w:tcBorders>
            <w:vAlign w:val="center"/>
          </w:tcPr>
          <w:p w14:paraId="5FAADE01">
            <w:pPr>
              <w:snapToGrid w:val="0"/>
              <w:spacing w:line="240" w:lineRule="auto"/>
              <w:ind w:firstLine="0" w:firstLineChars="0"/>
              <w:jc w:val="center"/>
              <w:rPr>
                <w:rFonts w:cs="Times New Roman"/>
                <w:sz w:val="21"/>
                <w:szCs w:val="18"/>
              </w:rPr>
            </w:pPr>
            <w:r>
              <w:rPr>
                <w:rFonts w:cs="Times New Roman"/>
                <w:sz w:val="21"/>
                <w:szCs w:val="18"/>
              </w:rPr>
              <w:t>0.012</w:t>
            </w:r>
          </w:p>
        </w:tc>
        <w:tc>
          <w:tcPr>
            <w:tcW w:w="557" w:type="pct"/>
            <w:tcBorders>
              <w:top w:val="single" w:color="auto" w:sz="6" w:space="0"/>
              <w:left w:val="single" w:color="auto" w:sz="6" w:space="0"/>
              <w:bottom w:val="single" w:color="auto" w:sz="6" w:space="0"/>
              <w:right w:val="single" w:color="auto" w:sz="6" w:space="0"/>
            </w:tcBorders>
            <w:vAlign w:val="center"/>
          </w:tcPr>
          <w:p w14:paraId="7DBC2430">
            <w:pPr>
              <w:snapToGrid w:val="0"/>
              <w:spacing w:line="240" w:lineRule="auto"/>
              <w:ind w:firstLine="0" w:firstLineChars="0"/>
              <w:jc w:val="center"/>
              <w:rPr>
                <w:rFonts w:cs="Times New Roman"/>
                <w:sz w:val="21"/>
                <w:szCs w:val="18"/>
              </w:rPr>
            </w:pPr>
            <w:r>
              <w:rPr>
                <w:rFonts w:cs="Times New Roman"/>
                <w:sz w:val="21"/>
                <w:szCs w:val="18"/>
              </w:rPr>
              <w:t>0.027</w:t>
            </w:r>
          </w:p>
        </w:tc>
        <w:tc>
          <w:tcPr>
            <w:tcW w:w="561" w:type="pct"/>
            <w:tcBorders>
              <w:top w:val="single" w:color="auto" w:sz="6" w:space="0"/>
              <w:left w:val="single" w:color="auto" w:sz="6" w:space="0"/>
              <w:bottom w:val="single" w:color="auto" w:sz="6" w:space="0"/>
              <w:right w:val="single" w:color="auto" w:sz="6" w:space="0"/>
            </w:tcBorders>
            <w:vAlign w:val="center"/>
          </w:tcPr>
          <w:p w14:paraId="6F25D2A1">
            <w:pPr>
              <w:snapToGrid w:val="0"/>
              <w:spacing w:line="240" w:lineRule="auto"/>
              <w:ind w:firstLine="0" w:firstLineChars="0"/>
              <w:jc w:val="center"/>
              <w:rPr>
                <w:rFonts w:cs="Times New Roman"/>
                <w:sz w:val="21"/>
                <w:szCs w:val="18"/>
              </w:rPr>
            </w:pPr>
            <w:r>
              <w:rPr>
                <w:rFonts w:cs="Times New Roman"/>
                <w:sz w:val="21"/>
                <w:szCs w:val="18"/>
              </w:rPr>
              <w:t>0.048</w:t>
            </w:r>
          </w:p>
        </w:tc>
        <w:tc>
          <w:tcPr>
            <w:tcW w:w="562" w:type="pct"/>
            <w:tcBorders>
              <w:top w:val="single" w:color="auto" w:sz="6" w:space="0"/>
              <w:left w:val="single" w:color="auto" w:sz="6" w:space="0"/>
              <w:bottom w:val="single" w:color="auto" w:sz="6" w:space="0"/>
              <w:right w:val="single" w:color="auto" w:sz="6" w:space="0"/>
            </w:tcBorders>
            <w:vAlign w:val="center"/>
          </w:tcPr>
          <w:p w14:paraId="6D4660AD">
            <w:pPr>
              <w:snapToGrid w:val="0"/>
              <w:spacing w:line="240" w:lineRule="auto"/>
              <w:ind w:firstLine="0" w:firstLineChars="0"/>
              <w:jc w:val="center"/>
              <w:rPr>
                <w:rFonts w:cs="Times New Roman"/>
                <w:sz w:val="21"/>
                <w:szCs w:val="18"/>
              </w:rPr>
            </w:pPr>
            <w:r>
              <w:rPr>
                <w:rFonts w:cs="Times New Roman"/>
                <w:sz w:val="21"/>
                <w:szCs w:val="18"/>
              </w:rPr>
              <w:t>0.075</w:t>
            </w:r>
          </w:p>
        </w:tc>
        <w:tc>
          <w:tcPr>
            <w:tcW w:w="463" w:type="pct"/>
            <w:tcBorders>
              <w:top w:val="single" w:color="auto" w:sz="6" w:space="0"/>
              <w:left w:val="single" w:color="auto" w:sz="6" w:space="0"/>
              <w:bottom w:val="single" w:color="auto" w:sz="6" w:space="0"/>
              <w:right w:val="single" w:color="auto" w:sz="6" w:space="0"/>
            </w:tcBorders>
            <w:vAlign w:val="center"/>
          </w:tcPr>
          <w:p w14:paraId="56FBDD6E">
            <w:pPr>
              <w:snapToGrid w:val="0"/>
              <w:spacing w:line="240" w:lineRule="auto"/>
              <w:ind w:firstLine="0" w:firstLineChars="0"/>
              <w:jc w:val="center"/>
              <w:rPr>
                <w:rFonts w:cs="Times New Roman"/>
                <w:sz w:val="21"/>
                <w:szCs w:val="18"/>
              </w:rPr>
            </w:pPr>
            <w:r>
              <w:rPr>
                <w:rFonts w:cs="Times New Roman"/>
                <w:sz w:val="21"/>
                <w:szCs w:val="18"/>
              </w:rPr>
              <w:t>0.108</w:t>
            </w:r>
          </w:p>
        </w:tc>
        <w:tc>
          <w:tcPr>
            <w:tcW w:w="510" w:type="pct"/>
            <w:tcBorders>
              <w:top w:val="single" w:color="auto" w:sz="6" w:space="0"/>
              <w:left w:val="single" w:color="auto" w:sz="6" w:space="0"/>
              <w:bottom w:val="single" w:color="auto" w:sz="6" w:space="0"/>
              <w:right w:val="single" w:color="auto" w:sz="4" w:space="0"/>
            </w:tcBorders>
            <w:vAlign w:val="center"/>
          </w:tcPr>
          <w:p w14:paraId="24F50826">
            <w:pPr>
              <w:snapToGrid w:val="0"/>
              <w:spacing w:line="240" w:lineRule="auto"/>
              <w:ind w:firstLine="0" w:firstLineChars="0"/>
              <w:jc w:val="center"/>
              <w:rPr>
                <w:rFonts w:cs="Times New Roman"/>
                <w:sz w:val="21"/>
                <w:szCs w:val="18"/>
              </w:rPr>
            </w:pPr>
            <w:r>
              <w:rPr>
                <w:rFonts w:cs="Times New Roman"/>
                <w:sz w:val="21"/>
                <w:szCs w:val="18"/>
              </w:rPr>
              <w:t>0.147</w:t>
            </w:r>
          </w:p>
        </w:tc>
      </w:tr>
      <w:tr w14:paraId="5AB8519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248" w:type="pct"/>
            <w:tcBorders>
              <w:top w:val="single" w:color="auto" w:sz="6" w:space="0"/>
              <w:left w:val="single" w:color="auto" w:sz="4" w:space="0"/>
              <w:bottom w:val="single" w:color="auto" w:sz="6" w:space="0"/>
              <w:right w:val="single" w:color="auto" w:sz="6" w:space="0"/>
            </w:tcBorders>
            <w:vAlign w:val="center"/>
          </w:tcPr>
          <w:p w14:paraId="3EA16F18">
            <w:pPr>
              <w:snapToGrid w:val="0"/>
              <w:spacing w:line="240" w:lineRule="auto"/>
              <w:ind w:firstLine="0" w:firstLineChars="0"/>
              <w:jc w:val="center"/>
              <w:rPr>
                <w:rFonts w:cs="Times New Roman"/>
                <w:sz w:val="21"/>
                <w:szCs w:val="18"/>
              </w:rPr>
            </w:pPr>
            <w:r>
              <w:rPr>
                <w:rFonts w:cs="Times New Roman"/>
                <w:sz w:val="21"/>
                <w:szCs w:val="18"/>
              </w:rPr>
              <w:t>粒径（微米）</w:t>
            </w:r>
          </w:p>
        </w:tc>
        <w:tc>
          <w:tcPr>
            <w:tcW w:w="541" w:type="pct"/>
            <w:tcBorders>
              <w:top w:val="single" w:color="auto" w:sz="6" w:space="0"/>
              <w:left w:val="single" w:color="auto" w:sz="6" w:space="0"/>
              <w:bottom w:val="single" w:color="auto" w:sz="6" w:space="0"/>
              <w:right w:val="single" w:color="auto" w:sz="6" w:space="0"/>
            </w:tcBorders>
            <w:vAlign w:val="center"/>
          </w:tcPr>
          <w:p w14:paraId="01B11C68">
            <w:pPr>
              <w:snapToGrid w:val="0"/>
              <w:spacing w:line="240" w:lineRule="auto"/>
              <w:ind w:firstLine="0" w:firstLineChars="0"/>
              <w:jc w:val="center"/>
              <w:rPr>
                <w:rFonts w:cs="Times New Roman"/>
                <w:sz w:val="21"/>
                <w:szCs w:val="18"/>
              </w:rPr>
            </w:pPr>
            <w:r>
              <w:rPr>
                <w:rFonts w:cs="Times New Roman"/>
                <w:sz w:val="21"/>
                <w:szCs w:val="18"/>
              </w:rPr>
              <w:t>80</w:t>
            </w:r>
          </w:p>
        </w:tc>
        <w:tc>
          <w:tcPr>
            <w:tcW w:w="553" w:type="pct"/>
            <w:tcBorders>
              <w:top w:val="single" w:color="auto" w:sz="6" w:space="0"/>
              <w:left w:val="single" w:color="auto" w:sz="6" w:space="0"/>
              <w:bottom w:val="single" w:color="auto" w:sz="6" w:space="0"/>
              <w:right w:val="single" w:color="auto" w:sz="6" w:space="0"/>
            </w:tcBorders>
            <w:vAlign w:val="center"/>
          </w:tcPr>
          <w:p w14:paraId="2C2EC315">
            <w:pPr>
              <w:snapToGrid w:val="0"/>
              <w:spacing w:line="240" w:lineRule="auto"/>
              <w:ind w:firstLine="0" w:firstLineChars="0"/>
              <w:jc w:val="center"/>
              <w:rPr>
                <w:rFonts w:cs="Times New Roman"/>
                <w:sz w:val="21"/>
                <w:szCs w:val="18"/>
              </w:rPr>
            </w:pPr>
            <w:r>
              <w:rPr>
                <w:rFonts w:cs="Times New Roman"/>
                <w:sz w:val="21"/>
                <w:szCs w:val="18"/>
              </w:rPr>
              <w:t>90</w:t>
            </w:r>
          </w:p>
        </w:tc>
        <w:tc>
          <w:tcPr>
            <w:tcW w:w="557" w:type="pct"/>
            <w:tcBorders>
              <w:top w:val="single" w:color="auto" w:sz="6" w:space="0"/>
              <w:left w:val="single" w:color="auto" w:sz="6" w:space="0"/>
              <w:bottom w:val="single" w:color="auto" w:sz="6" w:space="0"/>
              <w:right w:val="single" w:color="auto" w:sz="6" w:space="0"/>
            </w:tcBorders>
            <w:vAlign w:val="center"/>
          </w:tcPr>
          <w:p w14:paraId="45804983">
            <w:pPr>
              <w:snapToGrid w:val="0"/>
              <w:spacing w:line="240" w:lineRule="auto"/>
              <w:ind w:firstLine="0" w:firstLineChars="0"/>
              <w:jc w:val="center"/>
              <w:rPr>
                <w:rFonts w:cs="Times New Roman"/>
                <w:sz w:val="21"/>
                <w:szCs w:val="18"/>
              </w:rPr>
            </w:pPr>
            <w:r>
              <w:rPr>
                <w:rFonts w:cs="Times New Roman"/>
                <w:sz w:val="21"/>
                <w:szCs w:val="18"/>
              </w:rPr>
              <w:t>100</w:t>
            </w:r>
          </w:p>
        </w:tc>
        <w:tc>
          <w:tcPr>
            <w:tcW w:w="561" w:type="pct"/>
            <w:tcBorders>
              <w:top w:val="single" w:color="auto" w:sz="6" w:space="0"/>
              <w:left w:val="single" w:color="auto" w:sz="6" w:space="0"/>
              <w:bottom w:val="single" w:color="auto" w:sz="6" w:space="0"/>
              <w:right w:val="single" w:color="auto" w:sz="6" w:space="0"/>
            </w:tcBorders>
            <w:vAlign w:val="center"/>
          </w:tcPr>
          <w:p w14:paraId="2D388CD5">
            <w:pPr>
              <w:snapToGrid w:val="0"/>
              <w:spacing w:line="240" w:lineRule="auto"/>
              <w:ind w:firstLine="0" w:firstLineChars="0"/>
              <w:jc w:val="center"/>
              <w:rPr>
                <w:rFonts w:cs="Times New Roman"/>
                <w:sz w:val="21"/>
                <w:szCs w:val="18"/>
              </w:rPr>
            </w:pPr>
            <w:r>
              <w:rPr>
                <w:rFonts w:cs="Times New Roman"/>
                <w:sz w:val="21"/>
                <w:szCs w:val="18"/>
              </w:rPr>
              <w:t>150</w:t>
            </w:r>
          </w:p>
        </w:tc>
        <w:tc>
          <w:tcPr>
            <w:tcW w:w="562" w:type="pct"/>
            <w:tcBorders>
              <w:top w:val="single" w:color="auto" w:sz="6" w:space="0"/>
              <w:left w:val="single" w:color="auto" w:sz="6" w:space="0"/>
              <w:bottom w:val="single" w:color="auto" w:sz="6" w:space="0"/>
              <w:right w:val="single" w:color="auto" w:sz="6" w:space="0"/>
            </w:tcBorders>
            <w:vAlign w:val="center"/>
          </w:tcPr>
          <w:p w14:paraId="6DC45ED1">
            <w:pPr>
              <w:snapToGrid w:val="0"/>
              <w:spacing w:line="240" w:lineRule="auto"/>
              <w:ind w:firstLine="0" w:firstLineChars="0"/>
              <w:jc w:val="center"/>
              <w:rPr>
                <w:rFonts w:cs="Times New Roman"/>
                <w:sz w:val="21"/>
                <w:szCs w:val="18"/>
              </w:rPr>
            </w:pPr>
            <w:r>
              <w:rPr>
                <w:rFonts w:cs="Times New Roman"/>
                <w:sz w:val="21"/>
                <w:szCs w:val="18"/>
              </w:rPr>
              <w:t>200</w:t>
            </w:r>
          </w:p>
        </w:tc>
        <w:tc>
          <w:tcPr>
            <w:tcW w:w="463" w:type="pct"/>
            <w:tcBorders>
              <w:top w:val="single" w:color="auto" w:sz="6" w:space="0"/>
              <w:left w:val="single" w:color="auto" w:sz="6" w:space="0"/>
              <w:bottom w:val="single" w:color="auto" w:sz="6" w:space="0"/>
              <w:right w:val="single" w:color="auto" w:sz="6" w:space="0"/>
            </w:tcBorders>
            <w:vAlign w:val="center"/>
          </w:tcPr>
          <w:p w14:paraId="79B6C591">
            <w:pPr>
              <w:snapToGrid w:val="0"/>
              <w:spacing w:line="240" w:lineRule="auto"/>
              <w:ind w:firstLine="0" w:firstLineChars="0"/>
              <w:jc w:val="center"/>
              <w:rPr>
                <w:rFonts w:cs="Times New Roman"/>
                <w:sz w:val="21"/>
                <w:szCs w:val="18"/>
              </w:rPr>
            </w:pPr>
            <w:r>
              <w:rPr>
                <w:rFonts w:cs="Times New Roman"/>
                <w:sz w:val="21"/>
                <w:szCs w:val="18"/>
              </w:rPr>
              <w:t>250</w:t>
            </w:r>
          </w:p>
        </w:tc>
        <w:tc>
          <w:tcPr>
            <w:tcW w:w="510" w:type="pct"/>
            <w:tcBorders>
              <w:top w:val="single" w:color="auto" w:sz="6" w:space="0"/>
              <w:left w:val="single" w:color="auto" w:sz="6" w:space="0"/>
              <w:bottom w:val="single" w:color="auto" w:sz="6" w:space="0"/>
              <w:right w:val="single" w:color="auto" w:sz="4" w:space="0"/>
            </w:tcBorders>
            <w:vAlign w:val="center"/>
          </w:tcPr>
          <w:p w14:paraId="13A28358">
            <w:pPr>
              <w:snapToGrid w:val="0"/>
              <w:spacing w:line="240" w:lineRule="auto"/>
              <w:ind w:firstLine="0" w:firstLineChars="0"/>
              <w:jc w:val="center"/>
              <w:rPr>
                <w:rFonts w:cs="Times New Roman"/>
                <w:sz w:val="21"/>
                <w:szCs w:val="18"/>
              </w:rPr>
            </w:pPr>
            <w:r>
              <w:rPr>
                <w:rFonts w:cs="Times New Roman"/>
                <w:sz w:val="21"/>
                <w:szCs w:val="18"/>
              </w:rPr>
              <w:t>300</w:t>
            </w:r>
          </w:p>
        </w:tc>
      </w:tr>
      <w:tr w14:paraId="3FDB6DC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248" w:type="pct"/>
            <w:tcBorders>
              <w:top w:val="single" w:color="auto" w:sz="6" w:space="0"/>
              <w:left w:val="single" w:color="auto" w:sz="4" w:space="0"/>
              <w:bottom w:val="single" w:color="auto" w:sz="6" w:space="0"/>
              <w:right w:val="single" w:color="auto" w:sz="6" w:space="0"/>
            </w:tcBorders>
            <w:vAlign w:val="center"/>
          </w:tcPr>
          <w:p w14:paraId="08778DE1">
            <w:pPr>
              <w:snapToGrid w:val="0"/>
              <w:spacing w:line="240" w:lineRule="auto"/>
              <w:ind w:firstLine="0" w:firstLineChars="0"/>
              <w:jc w:val="center"/>
              <w:rPr>
                <w:rFonts w:cs="Times New Roman"/>
                <w:sz w:val="21"/>
                <w:szCs w:val="18"/>
              </w:rPr>
            </w:pPr>
            <w:r>
              <w:rPr>
                <w:rFonts w:cs="Times New Roman"/>
                <w:sz w:val="21"/>
                <w:szCs w:val="18"/>
              </w:rPr>
              <w:t>沉降速度（m/s）</w:t>
            </w:r>
          </w:p>
        </w:tc>
        <w:tc>
          <w:tcPr>
            <w:tcW w:w="541" w:type="pct"/>
            <w:tcBorders>
              <w:top w:val="single" w:color="auto" w:sz="6" w:space="0"/>
              <w:left w:val="single" w:color="auto" w:sz="6" w:space="0"/>
              <w:bottom w:val="single" w:color="auto" w:sz="6" w:space="0"/>
              <w:right w:val="single" w:color="auto" w:sz="6" w:space="0"/>
            </w:tcBorders>
            <w:vAlign w:val="center"/>
          </w:tcPr>
          <w:p w14:paraId="3D513075">
            <w:pPr>
              <w:snapToGrid w:val="0"/>
              <w:spacing w:line="240" w:lineRule="auto"/>
              <w:ind w:firstLine="0" w:firstLineChars="0"/>
              <w:jc w:val="center"/>
              <w:rPr>
                <w:rFonts w:cs="Times New Roman"/>
                <w:sz w:val="21"/>
                <w:szCs w:val="18"/>
              </w:rPr>
            </w:pPr>
            <w:r>
              <w:rPr>
                <w:rFonts w:cs="Times New Roman"/>
                <w:sz w:val="21"/>
                <w:szCs w:val="18"/>
              </w:rPr>
              <w:t>0.158</w:t>
            </w:r>
          </w:p>
        </w:tc>
        <w:tc>
          <w:tcPr>
            <w:tcW w:w="553" w:type="pct"/>
            <w:tcBorders>
              <w:top w:val="single" w:color="auto" w:sz="6" w:space="0"/>
              <w:left w:val="single" w:color="auto" w:sz="6" w:space="0"/>
              <w:bottom w:val="single" w:color="auto" w:sz="6" w:space="0"/>
              <w:right w:val="single" w:color="auto" w:sz="6" w:space="0"/>
            </w:tcBorders>
            <w:vAlign w:val="center"/>
          </w:tcPr>
          <w:p w14:paraId="3817EBA5">
            <w:pPr>
              <w:snapToGrid w:val="0"/>
              <w:spacing w:line="240" w:lineRule="auto"/>
              <w:ind w:firstLine="0" w:firstLineChars="0"/>
              <w:jc w:val="center"/>
              <w:rPr>
                <w:rFonts w:cs="Times New Roman"/>
                <w:sz w:val="21"/>
                <w:szCs w:val="18"/>
              </w:rPr>
            </w:pPr>
            <w:r>
              <w:rPr>
                <w:rFonts w:cs="Times New Roman"/>
                <w:sz w:val="21"/>
                <w:szCs w:val="18"/>
              </w:rPr>
              <w:t>0.170</w:t>
            </w:r>
          </w:p>
        </w:tc>
        <w:tc>
          <w:tcPr>
            <w:tcW w:w="557" w:type="pct"/>
            <w:tcBorders>
              <w:top w:val="single" w:color="auto" w:sz="6" w:space="0"/>
              <w:left w:val="single" w:color="auto" w:sz="6" w:space="0"/>
              <w:bottom w:val="single" w:color="auto" w:sz="6" w:space="0"/>
              <w:right w:val="single" w:color="auto" w:sz="6" w:space="0"/>
            </w:tcBorders>
            <w:vAlign w:val="center"/>
          </w:tcPr>
          <w:p w14:paraId="11538AA6">
            <w:pPr>
              <w:snapToGrid w:val="0"/>
              <w:spacing w:line="240" w:lineRule="auto"/>
              <w:ind w:firstLine="0" w:firstLineChars="0"/>
              <w:jc w:val="center"/>
              <w:rPr>
                <w:rFonts w:cs="Times New Roman"/>
                <w:sz w:val="21"/>
                <w:szCs w:val="18"/>
              </w:rPr>
            </w:pPr>
            <w:r>
              <w:rPr>
                <w:rFonts w:cs="Times New Roman"/>
                <w:sz w:val="21"/>
                <w:szCs w:val="18"/>
              </w:rPr>
              <w:t>0.182</w:t>
            </w:r>
          </w:p>
        </w:tc>
        <w:tc>
          <w:tcPr>
            <w:tcW w:w="561" w:type="pct"/>
            <w:tcBorders>
              <w:top w:val="single" w:color="auto" w:sz="6" w:space="0"/>
              <w:left w:val="single" w:color="auto" w:sz="6" w:space="0"/>
              <w:bottom w:val="single" w:color="auto" w:sz="6" w:space="0"/>
              <w:right w:val="single" w:color="auto" w:sz="6" w:space="0"/>
            </w:tcBorders>
            <w:vAlign w:val="center"/>
          </w:tcPr>
          <w:p w14:paraId="74DC0074">
            <w:pPr>
              <w:snapToGrid w:val="0"/>
              <w:spacing w:line="240" w:lineRule="auto"/>
              <w:ind w:firstLine="0" w:firstLineChars="0"/>
              <w:jc w:val="center"/>
              <w:rPr>
                <w:rFonts w:cs="Times New Roman"/>
                <w:sz w:val="21"/>
                <w:szCs w:val="18"/>
              </w:rPr>
            </w:pPr>
            <w:r>
              <w:rPr>
                <w:rFonts w:cs="Times New Roman"/>
                <w:sz w:val="21"/>
                <w:szCs w:val="18"/>
              </w:rPr>
              <w:t>0.239</w:t>
            </w:r>
          </w:p>
        </w:tc>
        <w:tc>
          <w:tcPr>
            <w:tcW w:w="562" w:type="pct"/>
            <w:tcBorders>
              <w:top w:val="single" w:color="auto" w:sz="6" w:space="0"/>
              <w:left w:val="single" w:color="auto" w:sz="6" w:space="0"/>
              <w:bottom w:val="single" w:color="auto" w:sz="6" w:space="0"/>
              <w:right w:val="single" w:color="auto" w:sz="6" w:space="0"/>
            </w:tcBorders>
            <w:vAlign w:val="center"/>
          </w:tcPr>
          <w:p w14:paraId="609E65BC">
            <w:pPr>
              <w:snapToGrid w:val="0"/>
              <w:spacing w:line="240" w:lineRule="auto"/>
              <w:ind w:firstLine="0" w:firstLineChars="0"/>
              <w:jc w:val="center"/>
              <w:rPr>
                <w:rFonts w:cs="Times New Roman"/>
                <w:sz w:val="21"/>
                <w:szCs w:val="18"/>
              </w:rPr>
            </w:pPr>
            <w:r>
              <w:rPr>
                <w:rFonts w:cs="Times New Roman"/>
                <w:sz w:val="21"/>
                <w:szCs w:val="18"/>
              </w:rPr>
              <w:t>0.804</w:t>
            </w:r>
          </w:p>
        </w:tc>
        <w:tc>
          <w:tcPr>
            <w:tcW w:w="463" w:type="pct"/>
            <w:tcBorders>
              <w:top w:val="single" w:color="auto" w:sz="6" w:space="0"/>
              <w:left w:val="single" w:color="auto" w:sz="6" w:space="0"/>
              <w:bottom w:val="single" w:color="auto" w:sz="6" w:space="0"/>
              <w:right w:val="single" w:color="auto" w:sz="6" w:space="0"/>
            </w:tcBorders>
            <w:vAlign w:val="center"/>
          </w:tcPr>
          <w:p w14:paraId="3DAEA0DB">
            <w:pPr>
              <w:snapToGrid w:val="0"/>
              <w:spacing w:line="240" w:lineRule="auto"/>
              <w:ind w:firstLine="0" w:firstLineChars="0"/>
              <w:jc w:val="center"/>
              <w:rPr>
                <w:rFonts w:cs="Times New Roman"/>
                <w:sz w:val="21"/>
                <w:szCs w:val="18"/>
              </w:rPr>
            </w:pPr>
            <w:r>
              <w:rPr>
                <w:rFonts w:cs="Times New Roman"/>
                <w:sz w:val="21"/>
                <w:szCs w:val="18"/>
              </w:rPr>
              <w:t>1.005</w:t>
            </w:r>
          </w:p>
        </w:tc>
        <w:tc>
          <w:tcPr>
            <w:tcW w:w="510" w:type="pct"/>
            <w:tcBorders>
              <w:top w:val="single" w:color="auto" w:sz="6" w:space="0"/>
              <w:left w:val="single" w:color="auto" w:sz="6" w:space="0"/>
              <w:bottom w:val="single" w:color="auto" w:sz="6" w:space="0"/>
              <w:right w:val="single" w:color="auto" w:sz="4" w:space="0"/>
            </w:tcBorders>
            <w:vAlign w:val="center"/>
          </w:tcPr>
          <w:p w14:paraId="15D53721">
            <w:pPr>
              <w:snapToGrid w:val="0"/>
              <w:spacing w:line="240" w:lineRule="auto"/>
              <w:ind w:firstLine="0" w:firstLineChars="0"/>
              <w:jc w:val="center"/>
              <w:rPr>
                <w:rFonts w:cs="Times New Roman"/>
                <w:sz w:val="21"/>
                <w:szCs w:val="18"/>
              </w:rPr>
            </w:pPr>
            <w:r>
              <w:rPr>
                <w:rFonts w:cs="Times New Roman"/>
                <w:sz w:val="21"/>
                <w:szCs w:val="18"/>
              </w:rPr>
              <w:t>1.829</w:t>
            </w:r>
          </w:p>
        </w:tc>
      </w:tr>
      <w:tr w14:paraId="3A62DDA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248" w:type="pct"/>
            <w:tcBorders>
              <w:top w:val="single" w:color="auto" w:sz="6" w:space="0"/>
              <w:left w:val="single" w:color="auto" w:sz="4" w:space="0"/>
              <w:bottom w:val="single" w:color="auto" w:sz="6" w:space="0"/>
              <w:right w:val="single" w:color="auto" w:sz="6" w:space="0"/>
            </w:tcBorders>
            <w:vAlign w:val="center"/>
          </w:tcPr>
          <w:p w14:paraId="3D3BDF0A">
            <w:pPr>
              <w:snapToGrid w:val="0"/>
              <w:spacing w:line="240" w:lineRule="auto"/>
              <w:ind w:firstLine="0" w:firstLineChars="0"/>
              <w:jc w:val="center"/>
              <w:rPr>
                <w:rFonts w:cs="Times New Roman"/>
                <w:sz w:val="21"/>
                <w:szCs w:val="18"/>
              </w:rPr>
            </w:pPr>
            <w:r>
              <w:rPr>
                <w:rFonts w:cs="Times New Roman"/>
                <w:sz w:val="21"/>
                <w:szCs w:val="18"/>
              </w:rPr>
              <w:t>粒径（微米）</w:t>
            </w:r>
          </w:p>
        </w:tc>
        <w:tc>
          <w:tcPr>
            <w:tcW w:w="541" w:type="pct"/>
            <w:tcBorders>
              <w:top w:val="single" w:color="auto" w:sz="6" w:space="0"/>
              <w:left w:val="single" w:color="auto" w:sz="6" w:space="0"/>
              <w:bottom w:val="single" w:color="auto" w:sz="6" w:space="0"/>
              <w:right w:val="single" w:color="auto" w:sz="6" w:space="0"/>
            </w:tcBorders>
            <w:vAlign w:val="center"/>
          </w:tcPr>
          <w:p w14:paraId="36C03C00">
            <w:pPr>
              <w:snapToGrid w:val="0"/>
              <w:spacing w:line="240" w:lineRule="auto"/>
              <w:ind w:firstLine="0" w:firstLineChars="0"/>
              <w:jc w:val="center"/>
              <w:rPr>
                <w:rFonts w:cs="Times New Roman"/>
                <w:sz w:val="21"/>
                <w:szCs w:val="18"/>
              </w:rPr>
            </w:pPr>
            <w:r>
              <w:rPr>
                <w:rFonts w:cs="Times New Roman"/>
                <w:sz w:val="21"/>
                <w:szCs w:val="18"/>
              </w:rPr>
              <w:t>450</w:t>
            </w:r>
          </w:p>
        </w:tc>
        <w:tc>
          <w:tcPr>
            <w:tcW w:w="553" w:type="pct"/>
            <w:tcBorders>
              <w:top w:val="single" w:color="auto" w:sz="6" w:space="0"/>
              <w:left w:val="single" w:color="auto" w:sz="6" w:space="0"/>
              <w:bottom w:val="single" w:color="auto" w:sz="6" w:space="0"/>
              <w:right w:val="single" w:color="auto" w:sz="6" w:space="0"/>
            </w:tcBorders>
            <w:vAlign w:val="center"/>
          </w:tcPr>
          <w:p w14:paraId="6617940F">
            <w:pPr>
              <w:snapToGrid w:val="0"/>
              <w:spacing w:line="240" w:lineRule="auto"/>
              <w:ind w:firstLine="0" w:firstLineChars="0"/>
              <w:jc w:val="center"/>
              <w:rPr>
                <w:rFonts w:cs="Times New Roman"/>
                <w:sz w:val="21"/>
                <w:szCs w:val="18"/>
              </w:rPr>
            </w:pPr>
            <w:r>
              <w:rPr>
                <w:rFonts w:cs="Times New Roman"/>
                <w:sz w:val="21"/>
                <w:szCs w:val="18"/>
              </w:rPr>
              <w:t>550</w:t>
            </w:r>
          </w:p>
        </w:tc>
        <w:tc>
          <w:tcPr>
            <w:tcW w:w="557" w:type="pct"/>
            <w:tcBorders>
              <w:top w:val="single" w:color="auto" w:sz="6" w:space="0"/>
              <w:left w:val="single" w:color="auto" w:sz="6" w:space="0"/>
              <w:bottom w:val="single" w:color="auto" w:sz="6" w:space="0"/>
              <w:right w:val="single" w:color="auto" w:sz="6" w:space="0"/>
            </w:tcBorders>
            <w:vAlign w:val="center"/>
          </w:tcPr>
          <w:p w14:paraId="3414FC77">
            <w:pPr>
              <w:snapToGrid w:val="0"/>
              <w:spacing w:line="240" w:lineRule="auto"/>
              <w:ind w:firstLine="0" w:firstLineChars="0"/>
              <w:jc w:val="center"/>
              <w:rPr>
                <w:rFonts w:cs="Times New Roman"/>
                <w:sz w:val="21"/>
                <w:szCs w:val="18"/>
              </w:rPr>
            </w:pPr>
            <w:r>
              <w:rPr>
                <w:rFonts w:cs="Times New Roman"/>
                <w:sz w:val="21"/>
                <w:szCs w:val="18"/>
              </w:rPr>
              <w:t>650</w:t>
            </w:r>
          </w:p>
        </w:tc>
        <w:tc>
          <w:tcPr>
            <w:tcW w:w="561" w:type="pct"/>
            <w:tcBorders>
              <w:top w:val="single" w:color="auto" w:sz="6" w:space="0"/>
              <w:left w:val="single" w:color="auto" w:sz="6" w:space="0"/>
              <w:bottom w:val="single" w:color="auto" w:sz="6" w:space="0"/>
              <w:right w:val="single" w:color="auto" w:sz="6" w:space="0"/>
            </w:tcBorders>
            <w:vAlign w:val="center"/>
          </w:tcPr>
          <w:p w14:paraId="68165CD6">
            <w:pPr>
              <w:snapToGrid w:val="0"/>
              <w:spacing w:line="240" w:lineRule="auto"/>
              <w:ind w:firstLine="0" w:firstLineChars="0"/>
              <w:jc w:val="center"/>
              <w:rPr>
                <w:rFonts w:cs="Times New Roman"/>
                <w:sz w:val="21"/>
                <w:szCs w:val="18"/>
              </w:rPr>
            </w:pPr>
            <w:r>
              <w:rPr>
                <w:rFonts w:cs="Times New Roman"/>
                <w:sz w:val="21"/>
                <w:szCs w:val="18"/>
              </w:rPr>
              <w:t>750</w:t>
            </w:r>
          </w:p>
        </w:tc>
        <w:tc>
          <w:tcPr>
            <w:tcW w:w="562" w:type="pct"/>
            <w:tcBorders>
              <w:top w:val="single" w:color="auto" w:sz="6" w:space="0"/>
              <w:left w:val="single" w:color="auto" w:sz="6" w:space="0"/>
              <w:bottom w:val="single" w:color="auto" w:sz="6" w:space="0"/>
              <w:right w:val="single" w:color="auto" w:sz="6" w:space="0"/>
            </w:tcBorders>
            <w:vAlign w:val="center"/>
          </w:tcPr>
          <w:p w14:paraId="1F556412">
            <w:pPr>
              <w:snapToGrid w:val="0"/>
              <w:spacing w:line="240" w:lineRule="auto"/>
              <w:ind w:firstLine="0" w:firstLineChars="0"/>
              <w:jc w:val="center"/>
              <w:rPr>
                <w:rFonts w:cs="Times New Roman"/>
                <w:sz w:val="21"/>
                <w:szCs w:val="18"/>
              </w:rPr>
            </w:pPr>
            <w:r>
              <w:rPr>
                <w:rFonts w:cs="Times New Roman"/>
                <w:sz w:val="21"/>
                <w:szCs w:val="18"/>
              </w:rPr>
              <w:t>850</w:t>
            </w:r>
          </w:p>
        </w:tc>
        <w:tc>
          <w:tcPr>
            <w:tcW w:w="463" w:type="pct"/>
            <w:tcBorders>
              <w:top w:val="single" w:color="auto" w:sz="6" w:space="0"/>
              <w:left w:val="single" w:color="auto" w:sz="6" w:space="0"/>
              <w:bottom w:val="single" w:color="auto" w:sz="6" w:space="0"/>
              <w:right w:val="single" w:color="auto" w:sz="6" w:space="0"/>
            </w:tcBorders>
            <w:vAlign w:val="center"/>
          </w:tcPr>
          <w:p w14:paraId="44DD05E0">
            <w:pPr>
              <w:snapToGrid w:val="0"/>
              <w:spacing w:line="240" w:lineRule="auto"/>
              <w:ind w:firstLine="0" w:firstLineChars="0"/>
              <w:jc w:val="center"/>
              <w:rPr>
                <w:rFonts w:cs="Times New Roman"/>
                <w:sz w:val="21"/>
                <w:szCs w:val="18"/>
              </w:rPr>
            </w:pPr>
            <w:r>
              <w:rPr>
                <w:rFonts w:cs="Times New Roman"/>
                <w:sz w:val="21"/>
                <w:szCs w:val="18"/>
              </w:rPr>
              <w:t>950</w:t>
            </w:r>
          </w:p>
        </w:tc>
        <w:tc>
          <w:tcPr>
            <w:tcW w:w="510" w:type="pct"/>
            <w:tcBorders>
              <w:top w:val="single" w:color="auto" w:sz="6" w:space="0"/>
              <w:left w:val="single" w:color="auto" w:sz="6" w:space="0"/>
              <w:bottom w:val="single" w:color="auto" w:sz="6" w:space="0"/>
              <w:right w:val="single" w:color="auto" w:sz="4" w:space="0"/>
            </w:tcBorders>
            <w:vAlign w:val="center"/>
          </w:tcPr>
          <w:p w14:paraId="1F8A09AD">
            <w:pPr>
              <w:snapToGrid w:val="0"/>
              <w:spacing w:line="240" w:lineRule="auto"/>
              <w:ind w:firstLine="0" w:firstLineChars="0"/>
              <w:jc w:val="center"/>
              <w:rPr>
                <w:rFonts w:cs="Times New Roman"/>
                <w:sz w:val="21"/>
                <w:szCs w:val="18"/>
              </w:rPr>
            </w:pPr>
            <w:r>
              <w:rPr>
                <w:rFonts w:cs="Times New Roman"/>
                <w:sz w:val="21"/>
                <w:szCs w:val="18"/>
              </w:rPr>
              <w:t>1050</w:t>
            </w:r>
          </w:p>
        </w:tc>
      </w:tr>
      <w:tr w14:paraId="1D09219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248" w:type="pct"/>
            <w:tcBorders>
              <w:top w:val="single" w:color="auto" w:sz="6" w:space="0"/>
              <w:left w:val="single" w:color="auto" w:sz="4" w:space="0"/>
              <w:bottom w:val="single" w:color="auto" w:sz="4" w:space="0"/>
              <w:right w:val="single" w:color="auto" w:sz="6" w:space="0"/>
            </w:tcBorders>
            <w:vAlign w:val="center"/>
          </w:tcPr>
          <w:p w14:paraId="06016ECE">
            <w:pPr>
              <w:snapToGrid w:val="0"/>
              <w:spacing w:line="240" w:lineRule="auto"/>
              <w:ind w:firstLine="0" w:firstLineChars="0"/>
              <w:jc w:val="center"/>
              <w:rPr>
                <w:rFonts w:cs="Times New Roman"/>
                <w:sz w:val="21"/>
                <w:szCs w:val="18"/>
              </w:rPr>
            </w:pPr>
            <w:r>
              <w:rPr>
                <w:rFonts w:cs="Times New Roman"/>
                <w:sz w:val="21"/>
                <w:szCs w:val="18"/>
              </w:rPr>
              <w:t>沉降速度（m/s）</w:t>
            </w:r>
          </w:p>
        </w:tc>
        <w:tc>
          <w:tcPr>
            <w:tcW w:w="541" w:type="pct"/>
            <w:tcBorders>
              <w:top w:val="single" w:color="auto" w:sz="6" w:space="0"/>
              <w:left w:val="single" w:color="auto" w:sz="6" w:space="0"/>
              <w:bottom w:val="single" w:color="auto" w:sz="4" w:space="0"/>
              <w:right w:val="single" w:color="auto" w:sz="6" w:space="0"/>
            </w:tcBorders>
            <w:vAlign w:val="center"/>
          </w:tcPr>
          <w:p w14:paraId="25A85DEA">
            <w:pPr>
              <w:snapToGrid w:val="0"/>
              <w:spacing w:line="240" w:lineRule="auto"/>
              <w:ind w:firstLine="0" w:firstLineChars="0"/>
              <w:jc w:val="center"/>
              <w:rPr>
                <w:rFonts w:cs="Times New Roman"/>
                <w:sz w:val="21"/>
                <w:szCs w:val="18"/>
              </w:rPr>
            </w:pPr>
            <w:r>
              <w:rPr>
                <w:rFonts w:cs="Times New Roman"/>
                <w:sz w:val="21"/>
                <w:szCs w:val="18"/>
              </w:rPr>
              <w:t>2.211</w:t>
            </w:r>
          </w:p>
        </w:tc>
        <w:tc>
          <w:tcPr>
            <w:tcW w:w="553" w:type="pct"/>
            <w:tcBorders>
              <w:top w:val="single" w:color="auto" w:sz="6" w:space="0"/>
              <w:left w:val="single" w:color="auto" w:sz="6" w:space="0"/>
              <w:bottom w:val="single" w:color="auto" w:sz="4" w:space="0"/>
              <w:right w:val="single" w:color="auto" w:sz="6" w:space="0"/>
            </w:tcBorders>
            <w:vAlign w:val="center"/>
          </w:tcPr>
          <w:p w14:paraId="3E8BCC2E">
            <w:pPr>
              <w:snapToGrid w:val="0"/>
              <w:spacing w:line="240" w:lineRule="auto"/>
              <w:ind w:firstLine="0" w:firstLineChars="0"/>
              <w:jc w:val="center"/>
              <w:rPr>
                <w:rFonts w:cs="Times New Roman"/>
                <w:sz w:val="21"/>
                <w:szCs w:val="18"/>
              </w:rPr>
            </w:pPr>
            <w:r>
              <w:rPr>
                <w:rFonts w:cs="Times New Roman"/>
                <w:sz w:val="21"/>
                <w:szCs w:val="18"/>
              </w:rPr>
              <w:t>2.614</w:t>
            </w:r>
          </w:p>
        </w:tc>
        <w:tc>
          <w:tcPr>
            <w:tcW w:w="557" w:type="pct"/>
            <w:tcBorders>
              <w:top w:val="single" w:color="auto" w:sz="6" w:space="0"/>
              <w:left w:val="single" w:color="auto" w:sz="6" w:space="0"/>
              <w:bottom w:val="single" w:color="auto" w:sz="4" w:space="0"/>
              <w:right w:val="single" w:color="auto" w:sz="6" w:space="0"/>
            </w:tcBorders>
            <w:vAlign w:val="center"/>
          </w:tcPr>
          <w:p w14:paraId="36549268">
            <w:pPr>
              <w:snapToGrid w:val="0"/>
              <w:spacing w:line="240" w:lineRule="auto"/>
              <w:ind w:firstLine="0" w:firstLineChars="0"/>
              <w:jc w:val="center"/>
              <w:rPr>
                <w:rFonts w:cs="Times New Roman"/>
                <w:sz w:val="21"/>
                <w:szCs w:val="18"/>
              </w:rPr>
            </w:pPr>
            <w:r>
              <w:rPr>
                <w:rFonts w:cs="Times New Roman"/>
                <w:sz w:val="21"/>
                <w:szCs w:val="18"/>
              </w:rPr>
              <w:t>3.016</w:t>
            </w:r>
          </w:p>
        </w:tc>
        <w:tc>
          <w:tcPr>
            <w:tcW w:w="561" w:type="pct"/>
            <w:tcBorders>
              <w:top w:val="single" w:color="auto" w:sz="6" w:space="0"/>
              <w:left w:val="single" w:color="auto" w:sz="6" w:space="0"/>
              <w:bottom w:val="single" w:color="auto" w:sz="4" w:space="0"/>
              <w:right w:val="single" w:color="auto" w:sz="6" w:space="0"/>
            </w:tcBorders>
            <w:vAlign w:val="center"/>
          </w:tcPr>
          <w:p w14:paraId="7841BCA0">
            <w:pPr>
              <w:snapToGrid w:val="0"/>
              <w:spacing w:line="240" w:lineRule="auto"/>
              <w:ind w:firstLine="0" w:firstLineChars="0"/>
              <w:jc w:val="center"/>
              <w:rPr>
                <w:rFonts w:cs="Times New Roman"/>
                <w:sz w:val="21"/>
                <w:szCs w:val="18"/>
              </w:rPr>
            </w:pPr>
            <w:r>
              <w:rPr>
                <w:rFonts w:cs="Times New Roman"/>
                <w:sz w:val="21"/>
                <w:szCs w:val="18"/>
              </w:rPr>
              <w:t>3.418</w:t>
            </w:r>
          </w:p>
        </w:tc>
        <w:tc>
          <w:tcPr>
            <w:tcW w:w="562" w:type="pct"/>
            <w:tcBorders>
              <w:top w:val="single" w:color="auto" w:sz="6" w:space="0"/>
              <w:left w:val="single" w:color="auto" w:sz="6" w:space="0"/>
              <w:bottom w:val="single" w:color="auto" w:sz="4" w:space="0"/>
              <w:right w:val="single" w:color="auto" w:sz="6" w:space="0"/>
            </w:tcBorders>
            <w:vAlign w:val="center"/>
          </w:tcPr>
          <w:p w14:paraId="18B496B6">
            <w:pPr>
              <w:snapToGrid w:val="0"/>
              <w:spacing w:line="240" w:lineRule="auto"/>
              <w:ind w:firstLine="0" w:firstLineChars="0"/>
              <w:jc w:val="center"/>
              <w:rPr>
                <w:rFonts w:cs="Times New Roman"/>
                <w:sz w:val="21"/>
                <w:szCs w:val="18"/>
              </w:rPr>
            </w:pPr>
            <w:r>
              <w:rPr>
                <w:rFonts w:cs="Times New Roman"/>
                <w:sz w:val="21"/>
                <w:szCs w:val="18"/>
              </w:rPr>
              <w:t>3.820</w:t>
            </w:r>
          </w:p>
        </w:tc>
        <w:tc>
          <w:tcPr>
            <w:tcW w:w="463" w:type="pct"/>
            <w:tcBorders>
              <w:top w:val="single" w:color="auto" w:sz="6" w:space="0"/>
              <w:left w:val="single" w:color="auto" w:sz="6" w:space="0"/>
              <w:bottom w:val="single" w:color="auto" w:sz="4" w:space="0"/>
              <w:right w:val="single" w:color="auto" w:sz="6" w:space="0"/>
            </w:tcBorders>
            <w:vAlign w:val="center"/>
          </w:tcPr>
          <w:p w14:paraId="70A6829E">
            <w:pPr>
              <w:snapToGrid w:val="0"/>
              <w:spacing w:line="240" w:lineRule="auto"/>
              <w:ind w:firstLine="0" w:firstLineChars="0"/>
              <w:jc w:val="center"/>
              <w:rPr>
                <w:rFonts w:cs="Times New Roman"/>
                <w:sz w:val="21"/>
                <w:szCs w:val="18"/>
              </w:rPr>
            </w:pPr>
            <w:r>
              <w:rPr>
                <w:rFonts w:cs="Times New Roman"/>
                <w:sz w:val="21"/>
                <w:szCs w:val="18"/>
              </w:rPr>
              <w:t>4.222</w:t>
            </w:r>
          </w:p>
        </w:tc>
        <w:tc>
          <w:tcPr>
            <w:tcW w:w="510" w:type="pct"/>
            <w:tcBorders>
              <w:top w:val="single" w:color="auto" w:sz="6" w:space="0"/>
              <w:left w:val="single" w:color="auto" w:sz="6" w:space="0"/>
              <w:bottom w:val="single" w:color="auto" w:sz="4" w:space="0"/>
              <w:right w:val="single" w:color="auto" w:sz="4" w:space="0"/>
            </w:tcBorders>
            <w:vAlign w:val="center"/>
          </w:tcPr>
          <w:p w14:paraId="39252B38">
            <w:pPr>
              <w:snapToGrid w:val="0"/>
              <w:spacing w:line="240" w:lineRule="auto"/>
              <w:ind w:firstLine="0" w:firstLineChars="0"/>
              <w:jc w:val="center"/>
              <w:rPr>
                <w:rFonts w:cs="Times New Roman"/>
                <w:sz w:val="21"/>
                <w:szCs w:val="18"/>
              </w:rPr>
            </w:pPr>
            <w:r>
              <w:rPr>
                <w:rFonts w:cs="Times New Roman"/>
                <w:sz w:val="21"/>
                <w:szCs w:val="18"/>
              </w:rPr>
              <w:t>4.624</w:t>
            </w:r>
          </w:p>
        </w:tc>
      </w:tr>
    </w:tbl>
    <w:p w14:paraId="0FE65F9D">
      <w:pPr>
        <w:ind w:firstLine="0" w:firstLineChars="0"/>
      </w:pPr>
    </w:p>
    <w:p w14:paraId="6E6F12CF">
      <w:pPr>
        <w:ind w:firstLine="480"/>
      </w:pPr>
      <w:r>
        <w:rPr>
          <w:rFonts w:hint="eastAsia"/>
        </w:rPr>
        <w:t>因此，减少露天堆放、保证一定的含水率及减少裸露是减少风力起尘的有效手段。</w:t>
      </w:r>
    </w:p>
    <w:p w14:paraId="7E957C81">
      <w:pPr>
        <w:ind w:firstLine="480"/>
      </w:pPr>
      <w:r>
        <w:rPr>
          <w:rFonts w:hint="eastAsia"/>
        </w:rPr>
        <w:t>②车辆行驶的动力起尘</w:t>
      </w:r>
    </w:p>
    <w:p w14:paraId="49BDF031">
      <w:pPr>
        <w:ind w:firstLine="480"/>
      </w:pPr>
      <w:r>
        <w:rPr>
          <w:rFonts w:hint="eastAsia"/>
        </w:rPr>
        <w:t>据有关文献，车辆行驶产生的扬尘占总扬尘的60%以上，车辆行驶产生的扬尘，在完全干燥情况下，可按下列经验公式计算：</w:t>
      </w:r>
    </w:p>
    <w:p w14:paraId="7E7CDACA">
      <w:pPr>
        <w:ind w:firstLine="480"/>
        <w:jc w:val="center"/>
      </w:pPr>
      <w:r>
        <w:rPr>
          <w:rFonts w:hint="eastAsia"/>
        </w:rPr>
        <w:t>Q＝0.123(V/5)(W/6.8)</w:t>
      </w:r>
      <w:r>
        <w:rPr>
          <w:rFonts w:hint="eastAsia"/>
          <w:vertAlign w:val="superscript"/>
        </w:rPr>
        <w:t>0.85</w:t>
      </w:r>
      <w:r>
        <w:rPr>
          <w:rFonts w:hint="eastAsia"/>
        </w:rPr>
        <w:t>(P/0.5)</w:t>
      </w:r>
      <w:r>
        <w:rPr>
          <w:rFonts w:hint="eastAsia"/>
          <w:vertAlign w:val="superscript"/>
        </w:rPr>
        <w:t>0.75</w:t>
      </w:r>
    </w:p>
    <w:p w14:paraId="4927B87D">
      <w:pPr>
        <w:ind w:firstLine="480"/>
      </w:pPr>
      <w:r>
        <w:rPr>
          <w:rFonts w:hint="eastAsia"/>
        </w:rPr>
        <w:t>式中：Q——汽车行驶时的扬尘，kg/km·辆；</w:t>
      </w:r>
    </w:p>
    <w:p w14:paraId="07162580">
      <w:pPr>
        <w:ind w:firstLine="1200" w:firstLineChars="500"/>
      </w:pPr>
      <w:r>
        <w:rPr>
          <w:rFonts w:hint="eastAsia"/>
        </w:rPr>
        <w:t>V——汽车速度，km/h；</w:t>
      </w:r>
    </w:p>
    <w:p w14:paraId="728950F0">
      <w:pPr>
        <w:ind w:firstLine="1200" w:firstLineChars="500"/>
      </w:pPr>
      <w:r>
        <w:rPr>
          <w:rFonts w:hint="eastAsia"/>
        </w:rPr>
        <w:t>W——汽车载重量，吨；</w:t>
      </w:r>
    </w:p>
    <w:p w14:paraId="014871AC">
      <w:pPr>
        <w:ind w:firstLine="1200" w:firstLineChars="500"/>
      </w:pPr>
      <w:r>
        <w:rPr>
          <w:rFonts w:hint="eastAsia"/>
        </w:rPr>
        <w:t>P——道路表面粉尘量，kg/m</w:t>
      </w:r>
      <w:r>
        <w:rPr>
          <w:rFonts w:hint="eastAsia"/>
          <w:vertAlign w:val="superscript"/>
        </w:rPr>
        <w:t>2</w:t>
      </w:r>
      <w:r>
        <w:rPr>
          <w:rFonts w:hint="eastAsia"/>
        </w:rPr>
        <w:t>。</w:t>
      </w:r>
    </w:p>
    <w:p w14:paraId="4B9CA0AB">
      <w:pPr>
        <w:ind w:firstLine="480"/>
      </w:pPr>
      <w:r>
        <w:rPr>
          <w:rFonts w:hint="eastAsia"/>
        </w:rPr>
        <w:t>下表为一辆10吨卡车，通过一段长度为1千米的路面时，不同路面清洁程度（P）、不同行驶速度（V）情况下的扬尘量。</w:t>
      </w:r>
    </w:p>
    <w:p w14:paraId="6CE401C4">
      <w:pPr>
        <w:pStyle w:val="43"/>
        <w:numPr>
          <w:ilvl w:val="5"/>
          <w:numId w:val="1"/>
        </w:numPr>
        <w:rPr>
          <w:rFonts w:hint="default"/>
        </w:rPr>
      </w:pPr>
      <w:r>
        <w:t>在不同车速和地面清洁程度的汽车扬尘  单位：kg/辆·km</w:t>
      </w:r>
    </w:p>
    <w:tbl>
      <w:tblPr>
        <w:tblStyle w:val="32"/>
        <w:tblW w:w="4997"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941"/>
        <w:gridCol w:w="1096"/>
        <w:gridCol w:w="1096"/>
        <w:gridCol w:w="1096"/>
        <w:gridCol w:w="1096"/>
        <w:gridCol w:w="1096"/>
        <w:gridCol w:w="1096"/>
      </w:tblGrid>
      <w:tr w14:paraId="320A192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134" w:hRule="atLeast"/>
          <w:tblHeader/>
          <w:jc w:val="center"/>
        </w:trPr>
        <w:tc>
          <w:tcPr>
            <w:tcW w:w="1139" w:type="pct"/>
            <w:vAlign w:val="center"/>
          </w:tcPr>
          <w:p w14:paraId="6BEA2AC4">
            <w:pPr>
              <w:pStyle w:val="45"/>
              <w:rPr>
                <w:rFonts w:hint="default"/>
                <w:b/>
                <w:bCs/>
              </w:rPr>
            </w:pPr>
          </w:p>
          <w:p w14:paraId="758D27DA">
            <w:pPr>
              <w:pStyle w:val="45"/>
              <w:rPr>
                <w:rFonts w:hint="default"/>
                <w:b/>
                <w:bCs/>
              </w:rPr>
            </w:pPr>
            <w:r>
              <w:rPr>
                <w:rFonts w:hint="default"/>
                <w:b/>
                <w:bCs/>
              </w:rPr>
              <w:t>V（km/h）</w:t>
            </w:r>
          </w:p>
          <w:p w14:paraId="6CAE883E">
            <w:pPr>
              <w:pStyle w:val="45"/>
              <w:rPr>
                <w:rFonts w:hint="default"/>
                <w:b/>
                <w:bCs/>
              </w:rPr>
            </w:pPr>
            <w:r>
              <w:rPr>
                <w:rFonts w:hint="default"/>
                <w:b/>
                <w:bCs/>
              </w:rPr>
              <w:t>P</w:t>
            </w:r>
          </w:p>
          <w:p w14:paraId="0DF9FE97">
            <w:pPr>
              <w:pStyle w:val="45"/>
              <w:rPr>
                <w:rFonts w:hint="default"/>
                <w:b/>
                <w:bCs/>
              </w:rPr>
            </w:pPr>
            <w:r>
              <w:rPr>
                <w:b/>
                <w:bCs/>
              </w:rPr>
              <w:t>（kg/m</w:t>
            </w:r>
            <w:r>
              <w:rPr>
                <w:b/>
                <w:bCs/>
                <w:vertAlign w:val="superscript"/>
              </w:rPr>
              <w:t>2</w:t>
            </w:r>
            <w:r>
              <w:rPr>
                <w:b/>
                <w:bCs/>
              </w:rPr>
              <w:t>）</w:t>
            </w:r>
          </w:p>
        </w:tc>
        <w:tc>
          <w:tcPr>
            <w:tcW w:w="643" w:type="pct"/>
            <w:vAlign w:val="center"/>
          </w:tcPr>
          <w:p w14:paraId="68A55B24">
            <w:pPr>
              <w:pStyle w:val="45"/>
              <w:rPr>
                <w:rFonts w:hint="default"/>
                <w:b/>
                <w:bCs/>
              </w:rPr>
            </w:pPr>
            <w:r>
              <w:rPr>
                <w:rFonts w:hint="default"/>
                <w:b/>
                <w:bCs/>
              </w:rPr>
              <w:t>0.1</w:t>
            </w:r>
          </w:p>
        </w:tc>
        <w:tc>
          <w:tcPr>
            <w:tcW w:w="643" w:type="pct"/>
            <w:vAlign w:val="center"/>
          </w:tcPr>
          <w:p w14:paraId="3E01AF08">
            <w:pPr>
              <w:pStyle w:val="45"/>
              <w:rPr>
                <w:rFonts w:hint="default"/>
                <w:b/>
                <w:bCs/>
              </w:rPr>
            </w:pPr>
            <w:r>
              <w:rPr>
                <w:rFonts w:hint="default"/>
                <w:b/>
                <w:bCs/>
              </w:rPr>
              <w:t>0.2</w:t>
            </w:r>
          </w:p>
        </w:tc>
        <w:tc>
          <w:tcPr>
            <w:tcW w:w="643" w:type="pct"/>
            <w:vAlign w:val="center"/>
          </w:tcPr>
          <w:p w14:paraId="51E335C2">
            <w:pPr>
              <w:pStyle w:val="45"/>
              <w:rPr>
                <w:rFonts w:hint="default"/>
                <w:b/>
                <w:bCs/>
              </w:rPr>
            </w:pPr>
            <w:r>
              <w:rPr>
                <w:rFonts w:hint="default"/>
                <w:b/>
                <w:bCs/>
              </w:rPr>
              <w:t>0.3</w:t>
            </w:r>
          </w:p>
        </w:tc>
        <w:tc>
          <w:tcPr>
            <w:tcW w:w="643" w:type="pct"/>
            <w:vAlign w:val="center"/>
          </w:tcPr>
          <w:p w14:paraId="67B147DA">
            <w:pPr>
              <w:pStyle w:val="45"/>
              <w:rPr>
                <w:rFonts w:hint="default"/>
                <w:b/>
                <w:bCs/>
              </w:rPr>
            </w:pPr>
            <w:r>
              <w:rPr>
                <w:rFonts w:hint="default"/>
                <w:b/>
                <w:bCs/>
              </w:rPr>
              <w:t>0.4</w:t>
            </w:r>
          </w:p>
        </w:tc>
        <w:tc>
          <w:tcPr>
            <w:tcW w:w="643" w:type="pct"/>
            <w:vAlign w:val="center"/>
          </w:tcPr>
          <w:p w14:paraId="20F2C1AC">
            <w:pPr>
              <w:pStyle w:val="45"/>
              <w:rPr>
                <w:rFonts w:hint="default"/>
                <w:b/>
                <w:bCs/>
              </w:rPr>
            </w:pPr>
            <w:r>
              <w:rPr>
                <w:rFonts w:hint="default"/>
                <w:b/>
                <w:bCs/>
              </w:rPr>
              <w:t>0.5</w:t>
            </w:r>
          </w:p>
        </w:tc>
        <w:tc>
          <w:tcPr>
            <w:tcW w:w="643" w:type="pct"/>
            <w:vAlign w:val="center"/>
          </w:tcPr>
          <w:p w14:paraId="37017278">
            <w:pPr>
              <w:pStyle w:val="45"/>
              <w:rPr>
                <w:rFonts w:hint="default"/>
                <w:b/>
                <w:bCs/>
              </w:rPr>
            </w:pPr>
            <w:r>
              <w:rPr>
                <w:rFonts w:hint="default"/>
                <w:b/>
                <w:bCs/>
              </w:rPr>
              <w:t>1</w:t>
            </w:r>
          </w:p>
        </w:tc>
      </w:tr>
      <w:tr w14:paraId="41D7F71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9" w:type="pct"/>
            <w:vAlign w:val="center"/>
          </w:tcPr>
          <w:p w14:paraId="3BABD88C">
            <w:pPr>
              <w:pStyle w:val="45"/>
              <w:rPr>
                <w:rFonts w:hint="default"/>
              </w:rPr>
            </w:pPr>
            <w:r>
              <w:rPr>
                <w:rFonts w:hint="default"/>
              </w:rPr>
              <w:t>5</w:t>
            </w:r>
          </w:p>
        </w:tc>
        <w:tc>
          <w:tcPr>
            <w:tcW w:w="643" w:type="pct"/>
            <w:vAlign w:val="center"/>
          </w:tcPr>
          <w:p w14:paraId="6F00D4AF">
            <w:pPr>
              <w:pStyle w:val="45"/>
              <w:rPr>
                <w:rFonts w:hint="default"/>
              </w:rPr>
            </w:pPr>
            <w:r>
              <w:rPr>
                <w:rFonts w:hint="default"/>
              </w:rPr>
              <w:t>0.051</w:t>
            </w:r>
          </w:p>
        </w:tc>
        <w:tc>
          <w:tcPr>
            <w:tcW w:w="643" w:type="pct"/>
            <w:vAlign w:val="center"/>
          </w:tcPr>
          <w:p w14:paraId="57A61D8E">
            <w:pPr>
              <w:pStyle w:val="45"/>
              <w:rPr>
                <w:rFonts w:hint="default"/>
              </w:rPr>
            </w:pPr>
            <w:r>
              <w:rPr>
                <w:rFonts w:hint="default"/>
              </w:rPr>
              <w:t>0.086</w:t>
            </w:r>
          </w:p>
        </w:tc>
        <w:tc>
          <w:tcPr>
            <w:tcW w:w="643" w:type="pct"/>
            <w:vAlign w:val="center"/>
          </w:tcPr>
          <w:p w14:paraId="4C8CFD15">
            <w:pPr>
              <w:pStyle w:val="45"/>
              <w:rPr>
                <w:rFonts w:hint="default"/>
              </w:rPr>
            </w:pPr>
            <w:r>
              <w:rPr>
                <w:rFonts w:hint="default"/>
              </w:rPr>
              <w:t>0.116</w:t>
            </w:r>
          </w:p>
        </w:tc>
        <w:tc>
          <w:tcPr>
            <w:tcW w:w="643" w:type="pct"/>
            <w:vAlign w:val="center"/>
          </w:tcPr>
          <w:p w14:paraId="1925F22E">
            <w:pPr>
              <w:pStyle w:val="45"/>
              <w:rPr>
                <w:rFonts w:hint="default"/>
              </w:rPr>
            </w:pPr>
            <w:r>
              <w:rPr>
                <w:rFonts w:hint="default"/>
              </w:rPr>
              <w:t>0.144</w:t>
            </w:r>
          </w:p>
        </w:tc>
        <w:tc>
          <w:tcPr>
            <w:tcW w:w="643" w:type="pct"/>
            <w:vAlign w:val="center"/>
          </w:tcPr>
          <w:p w14:paraId="235B77BC">
            <w:pPr>
              <w:pStyle w:val="45"/>
              <w:rPr>
                <w:rFonts w:hint="default"/>
              </w:rPr>
            </w:pPr>
            <w:r>
              <w:rPr>
                <w:rFonts w:hint="default"/>
              </w:rPr>
              <w:t>0.171</w:t>
            </w:r>
          </w:p>
        </w:tc>
        <w:tc>
          <w:tcPr>
            <w:tcW w:w="643" w:type="pct"/>
            <w:vAlign w:val="center"/>
          </w:tcPr>
          <w:p w14:paraId="091B6FBD">
            <w:pPr>
              <w:pStyle w:val="45"/>
              <w:rPr>
                <w:rFonts w:hint="default"/>
              </w:rPr>
            </w:pPr>
            <w:r>
              <w:rPr>
                <w:rFonts w:hint="default"/>
              </w:rPr>
              <w:t>0.287</w:t>
            </w:r>
          </w:p>
        </w:tc>
      </w:tr>
      <w:tr w14:paraId="5E9FAD9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9" w:type="pct"/>
            <w:vAlign w:val="center"/>
          </w:tcPr>
          <w:p w14:paraId="3D554F28">
            <w:pPr>
              <w:pStyle w:val="45"/>
              <w:rPr>
                <w:rFonts w:hint="default"/>
              </w:rPr>
            </w:pPr>
            <w:r>
              <w:rPr>
                <w:rFonts w:hint="default"/>
              </w:rPr>
              <w:t>10</w:t>
            </w:r>
          </w:p>
        </w:tc>
        <w:tc>
          <w:tcPr>
            <w:tcW w:w="643" w:type="pct"/>
            <w:vAlign w:val="center"/>
          </w:tcPr>
          <w:p w14:paraId="05A6E716">
            <w:pPr>
              <w:pStyle w:val="45"/>
              <w:rPr>
                <w:rFonts w:hint="default"/>
              </w:rPr>
            </w:pPr>
            <w:r>
              <w:rPr>
                <w:rFonts w:hint="default"/>
              </w:rPr>
              <w:t>0.102</w:t>
            </w:r>
          </w:p>
        </w:tc>
        <w:tc>
          <w:tcPr>
            <w:tcW w:w="643" w:type="pct"/>
            <w:vAlign w:val="center"/>
          </w:tcPr>
          <w:p w14:paraId="7F4E5C11">
            <w:pPr>
              <w:pStyle w:val="45"/>
              <w:rPr>
                <w:rFonts w:hint="default"/>
              </w:rPr>
            </w:pPr>
            <w:r>
              <w:rPr>
                <w:rFonts w:hint="default"/>
              </w:rPr>
              <w:t>0.171</w:t>
            </w:r>
          </w:p>
        </w:tc>
        <w:tc>
          <w:tcPr>
            <w:tcW w:w="643" w:type="pct"/>
            <w:vAlign w:val="center"/>
          </w:tcPr>
          <w:p w14:paraId="7AABE1A9">
            <w:pPr>
              <w:pStyle w:val="45"/>
              <w:rPr>
                <w:rFonts w:hint="default"/>
              </w:rPr>
            </w:pPr>
            <w:r>
              <w:rPr>
                <w:rFonts w:hint="default"/>
              </w:rPr>
              <w:t>0.232</w:t>
            </w:r>
          </w:p>
        </w:tc>
        <w:tc>
          <w:tcPr>
            <w:tcW w:w="643" w:type="pct"/>
            <w:vAlign w:val="center"/>
          </w:tcPr>
          <w:p w14:paraId="4662BC8F">
            <w:pPr>
              <w:pStyle w:val="45"/>
              <w:rPr>
                <w:rFonts w:hint="default"/>
              </w:rPr>
            </w:pPr>
            <w:r>
              <w:rPr>
                <w:rFonts w:hint="default"/>
              </w:rPr>
              <w:t>0.289</w:t>
            </w:r>
          </w:p>
        </w:tc>
        <w:tc>
          <w:tcPr>
            <w:tcW w:w="643" w:type="pct"/>
            <w:vAlign w:val="center"/>
          </w:tcPr>
          <w:p w14:paraId="2170DD82">
            <w:pPr>
              <w:pStyle w:val="45"/>
              <w:rPr>
                <w:rFonts w:hint="default"/>
              </w:rPr>
            </w:pPr>
            <w:r>
              <w:rPr>
                <w:rFonts w:hint="default"/>
              </w:rPr>
              <w:t>0.341</w:t>
            </w:r>
          </w:p>
        </w:tc>
        <w:tc>
          <w:tcPr>
            <w:tcW w:w="643" w:type="pct"/>
            <w:vAlign w:val="center"/>
          </w:tcPr>
          <w:p w14:paraId="0D7F0134">
            <w:pPr>
              <w:pStyle w:val="45"/>
              <w:rPr>
                <w:rFonts w:hint="default"/>
              </w:rPr>
            </w:pPr>
            <w:r>
              <w:rPr>
                <w:rFonts w:hint="default"/>
              </w:rPr>
              <w:t>0.574</w:t>
            </w:r>
          </w:p>
        </w:tc>
      </w:tr>
      <w:tr w14:paraId="357C27D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9" w:type="pct"/>
            <w:vAlign w:val="center"/>
          </w:tcPr>
          <w:p w14:paraId="0113AB8A">
            <w:pPr>
              <w:pStyle w:val="45"/>
              <w:rPr>
                <w:rFonts w:hint="default"/>
              </w:rPr>
            </w:pPr>
            <w:r>
              <w:rPr>
                <w:rFonts w:hint="default"/>
              </w:rPr>
              <w:t>15</w:t>
            </w:r>
          </w:p>
        </w:tc>
        <w:tc>
          <w:tcPr>
            <w:tcW w:w="643" w:type="pct"/>
            <w:vAlign w:val="center"/>
          </w:tcPr>
          <w:p w14:paraId="36A2C6FB">
            <w:pPr>
              <w:pStyle w:val="45"/>
              <w:rPr>
                <w:rFonts w:hint="default"/>
              </w:rPr>
            </w:pPr>
            <w:r>
              <w:rPr>
                <w:rFonts w:hint="default"/>
              </w:rPr>
              <w:t>0.153</w:t>
            </w:r>
          </w:p>
        </w:tc>
        <w:tc>
          <w:tcPr>
            <w:tcW w:w="643" w:type="pct"/>
            <w:vAlign w:val="center"/>
          </w:tcPr>
          <w:p w14:paraId="072C580F">
            <w:pPr>
              <w:pStyle w:val="45"/>
              <w:rPr>
                <w:rFonts w:hint="default"/>
              </w:rPr>
            </w:pPr>
            <w:r>
              <w:rPr>
                <w:rFonts w:hint="default"/>
              </w:rPr>
              <w:t>0.257</w:t>
            </w:r>
          </w:p>
        </w:tc>
        <w:tc>
          <w:tcPr>
            <w:tcW w:w="643" w:type="pct"/>
            <w:vAlign w:val="center"/>
          </w:tcPr>
          <w:p w14:paraId="3769EE07">
            <w:pPr>
              <w:pStyle w:val="45"/>
              <w:rPr>
                <w:rFonts w:hint="default"/>
              </w:rPr>
            </w:pPr>
            <w:r>
              <w:rPr>
                <w:rFonts w:hint="default"/>
              </w:rPr>
              <w:t>0.349</w:t>
            </w:r>
          </w:p>
        </w:tc>
        <w:tc>
          <w:tcPr>
            <w:tcW w:w="643" w:type="pct"/>
            <w:vAlign w:val="center"/>
          </w:tcPr>
          <w:p w14:paraId="737A1515">
            <w:pPr>
              <w:pStyle w:val="45"/>
              <w:rPr>
                <w:rFonts w:hint="default"/>
              </w:rPr>
            </w:pPr>
            <w:r>
              <w:rPr>
                <w:rFonts w:hint="default"/>
              </w:rPr>
              <w:t>0.433</w:t>
            </w:r>
          </w:p>
        </w:tc>
        <w:tc>
          <w:tcPr>
            <w:tcW w:w="643" w:type="pct"/>
            <w:vAlign w:val="center"/>
          </w:tcPr>
          <w:p w14:paraId="4312F874">
            <w:pPr>
              <w:pStyle w:val="45"/>
              <w:rPr>
                <w:rFonts w:hint="default"/>
              </w:rPr>
            </w:pPr>
            <w:r>
              <w:rPr>
                <w:rFonts w:hint="default"/>
              </w:rPr>
              <w:t>0.512</w:t>
            </w:r>
          </w:p>
        </w:tc>
        <w:tc>
          <w:tcPr>
            <w:tcW w:w="643" w:type="pct"/>
            <w:vAlign w:val="center"/>
          </w:tcPr>
          <w:p w14:paraId="169B076A">
            <w:pPr>
              <w:pStyle w:val="45"/>
              <w:rPr>
                <w:rFonts w:hint="default"/>
              </w:rPr>
            </w:pPr>
            <w:r>
              <w:rPr>
                <w:rFonts w:hint="default"/>
              </w:rPr>
              <w:t>0.861</w:t>
            </w:r>
          </w:p>
        </w:tc>
      </w:tr>
      <w:tr w14:paraId="1056312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9" w:type="pct"/>
            <w:vAlign w:val="center"/>
          </w:tcPr>
          <w:p w14:paraId="6D966F0F">
            <w:pPr>
              <w:pStyle w:val="45"/>
              <w:rPr>
                <w:rFonts w:hint="default"/>
              </w:rPr>
            </w:pPr>
            <w:r>
              <w:rPr>
                <w:rFonts w:hint="default"/>
              </w:rPr>
              <w:t>20</w:t>
            </w:r>
          </w:p>
        </w:tc>
        <w:tc>
          <w:tcPr>
            <w:tcW w:w="643" w:type="pct"/>
            <w:vAlign w:val="center"/>
          </w:tcPr>
          <w:p w14:paraId="6E74B3B0">
            <w:pPr>
              <w:pStyle w:val="45"/>
              <w:rPr>
                <w:rFonts w:hint="default"/>
              </w:rPr>
            </w:pPr>
            <w:r>
              <w:rPr>
                <w:rFonts w:hint="default"/>
              </w:rPr>
              <w:t>0.255</w:t>
            </w:r>
          </w:p>
        </w:tc>
        <w:tc>
          <w:tcPr>
            <w:tcW w:w="643" w:type="pct"/>
            <w:vAlign w:val="center"/>
          </w:tcPr>
          <w:p w14:paraId="2921C63B">
            <w:pPr>
              <w:pStyle w:val="45"/>
              <w:rPr>
                <w:rFonts w:hint="default"/>
              </w:rPr>
            </w:pPr>
            <w:r>
              <w:rPr>
                <w:rFonts w:hint="default"/>
              </w:rPr>
              <w:t>0.429</w:t>
            </w:r>
          </w:p>
        </w:tc>
        <w:tc>
          <w:tcPr>
            <w:tcW w:w="643" w:type="pct"/>
            <w:vAlign w:val="center"/>
          </w:tcPr>
          <w:p w14:paraId="2071CEA5">
            <w:pPr>
              <w:pStyle w:val="45"/>
              <w:rPr>
                <w:rFonts w:hint="default"/>
              </w:rPr>
            </w:pPr>
            <w:r>
              <w:rPr>
                <w:rFonts w:hint="default"/>
              </w:rPr>
              <w:t>0.582</w:t>
            </w:r>
          </w:p>
        </w:tc>
        <w:tc>
          <w:tcPr>
            <w:tcW w:w="643" w:type="pct"/>
            <w:vAlign w:val="center"/>
          </w:tcPr>
          <w:p w14:paraId="0B54089D">
            <w:pPr>
              <w:pStyle w:val="45"/>
              <w:rPr>
                <w:rFonts w:hint="default"/>
              </w:rPr>
            </w:pPr>
            <w:r>
              <w:rPr>
                <w:rFonts w:hint="default"/>
              </w:rPr>
              <w:t>0.722</w:t>
            </w:r>
          </w:p>
        </w:tc>
        <w:tc>
          <w:tcPr>
            <w:tcW w:w="643" w:type="pct"/>
            <w:vAlign w:val="center"/>
          </w:tcPr>
          <w:p w14:paraId="02996B70">
            <w:pPr>
              <w:pStyle w:val="45"/>
              <w:rPr>
                <w:rFonts w:hint="default"/>
              </w:rPr>
            </w:pPr>
            <w:r>
              <w:rPr>
                <w:rFonts w:hint="default"/>
              </w:rPr>
              <w:t>0.853</w:t>
            </w:r>
          </w:p>
        </w:tc>
        <w:tc>
          <w:tcPr>
            <w:tcW w:w="643" w:type="pct"/>
            <w:vAlign w:val="center"/>
          </w:tcPr>
          <w:p w14:paraId="60393163">
            <w:pPr>
              <w:pStyle w:val="45"/>
              <w:rPr>
                <w:rFonts w:hint="default"/>
              </w:rPr>
            </w:pPr>
            <w:r>
              <w:rPr>
                <w:rFonts w:hint="default"/>
              </w:rPr>
              <w:t>1.435</w:t>
            </w:r>
          </w:p>
        </w:tc>
      </w:tr>
    </w:tbl>
    <w:p w14:paraId="7351425E">
      <w:pPr>
        <w:ind w:firstLine="480"/>
      </w:pPr>
    </w:p>
    <w:p w14:paraId="1AFEC264">
      <w:pPr>
        <w:ind w:firstLine="480"/>
      </w:pPr>
      <w:r>
        <w:rPr>
          <w:rFonts w:hint="eastAsia"/>
        </w:rPr>
        <w:t>由此可见，在同样路面清洁程度条件下，车速越快，扬尘量越大；而在同样车速情况下，路面越脏，扬尘量越大。因此限速行驶及保持路面的清洁是减少汽车扬尘的有效办法。</w:t>
      </w:r>
    </w:p>
    <w:p w14:paraId="3FBB2F38">
      <w:pPr>
        <w:ind w:firstLine="480"/>
      </w:pPr>
      <w:r>
        <w:rPr>
          <w:rFonts w:hint="eastAsia"/>
        </w:rPr>
        <w:t>本项目的扬尘主要表现在交通沿线和工地附近，尤其是天气干燥及风速较大时影响更为明显，使该区域及周围地区大气中总悬浮颗粒浓度增大。粉尘的排放量大小直接与施工期的管理措施有关，因此较难估算，不进行定量计算。</w:t>
      </w:r>
    </w:p>
    <w:p w14:paraId="6C8A8DAA">
      <w:pPr>
        <w:ind w:firstLine="480"/>
      </w:pPr>
      <w:r>
        <w:rPr>
          <w:rFonts w:hint="eastAsia"/>
        </w:rPr>
        <w:t>（2）施工机械尾气</w:t>
      </w:r>
    </w:p>
    <w:p w14:paraId="755049AF">
      <w:pPr>
        <w:ind w:firstLine="480"/>
      </w:pPr>
      <w:r>
        <w:t>施工车辆、打桩机、挖土机等因燃油产生的二氧化硫、氮氧化物、一氧化碳、烃类等污染物。这种污染源较分散且为流动性，污染物排放量不大，表现为间歇性特征。根据国内建筑施工工地的调查结果：在距离现场污染源100m处CO、NO</w:t>
      </w:r>
      <w:r>
        <w:rPr>
          <w:vertAlign w:val="subscript"/>
        </w:rPr>
        <w:t>2</w:t>
      </w:r>
      <w:r>
        <w:t>小时平均浓度分别为0.18mg/m</w:t>
      </w:r>
      <w:r>
        <w:rPr>
          <w:vertAlign w:val="superscript"/>
        </w:rPr>
        <w:t>3</w:t>
      </w:r>
      <w:r>
        <w:t>和0.09mg/m</w:t>
      </w:r>
      <w:r>
        <w:rPr>
          <w:vertAlign w:val="superscript"/>
        </w:rPr>
        <w:t>3</w:t>
      </w:r>
      <w:r>
        <w:t>；日平均浓度分别为0.11mg/m</w:t>
      </w:r>
      <w:r>
        <w:rPr>
          <w:vertAlign w:val="superscript"/>
        </w:rPr>
        <w:t>3</w:t>
      </w:r>
      <w:r>
        <w:t>和0.058mg/m</w:t>
      </w:r>
      <w:r>
        <w:rPr>
          <w:vertAlign w:val="superscript"/>
        </w:rPr>
        <w:t>3</w:t>
      </w:r>
      <w:r>
        <w:t>。建设单位需规划好施工车辆的运行路线，尽量避开生活区和人流密集的交通要道，避免交通堵塞及注意车辆维修保养，以减少汽车尾气排放对周围环境的影响。随着施工的结束，施工机械尾气将不复存在。</w:t>
      </w:r>
    </w:p>
    <w:p w14:paraId="2E36DCEF">
      <w:pPr>
        <w:ind w:firstLine="480"/>
      </w:pPr>
      <w:r>
        <w:rPr>
          <w:rFonts w:hint="eastAsia"/>
        </w:rPr>
        <w:t>（3）装修废气</w:t>
      </w:r>
    </w:p>
    <w:p w14:paraId="35242962">
      <w:pPr>
        <w:ind w:firstLine="480"/>
      </w:pPr>
      <w:r>
        <w:t>该项目主体工程完工后，投入使用前，需经过短暂的集中的装修时间，在施工装修期使用的胶合板、涂料、油漆等建筑材料散发甲醛、苯酚等有机气体，该废气排放属于无组织排放。修废气通过采用环保装饰材料、加强通风换气等措施降低排放。该部分废气自然扩散，对环境影响较小</w:t>
      </w:r>
      <w:r>
        <w:rPr>
          <w:rFonts w:hint="eastAsia"/>
        </w:rPr>
        <w:t>。</w:t>
      </w:r>
    </w:p>
    <w:p w14:paraId="631F5B44">
      <w:pPr>
        <w:pStyle w:val="4"/>
        <w:numPr>
          <w:ilvl w:val="2"/>
          <w:numId w:val="1"/>
        </w:numPr>
      </w:pPr>
      <w:r>
        <w:rPr>
          <w:rFonts w:hint="eastAsia"/>
        </w:rPr>
        <w:t>施工期废水污染源强</w:t>
      </w:r>
    </w:p>
    <w:p w14:paraId="29832CEE">
      <w:pPr>
        <w:ind w:firstLine="480"/>
      </w:pPr>
      <w:r>
        <w:rPr>
          <w:rFonts w:hint="eastAsia"/>
        </w:rPr>
        <w:t>施工期废水主要是施工废水和施工人员产生的生活污水。</w:t>
      </w:r>
    </w:p>
    <w:p w14:paraId="05078D74">
      <w:pPr>
        <w:numPr>
          <w:ilvl w:val="0"/>
          <w:numId w:val="11"/>
        </w:numPr>
        <w:ind w:firstLine="480"/>
      </w:pPr>
      <w:r>
        <w:rPr>
          <w:rFonts w:hint="eastAsia"/>
        </w:rPr>
        <w:t>施工废水</w:t>
      </w:r>
    </w:p>
    <w:p w14:paraId="125F19C1">
      <w:pPr>
        <w:ind w:firstLine="480"/>
      </w:pPr>
      <w:r>
        <w:t>施工废水主要为泥浆污水、建筑养护排水、设备清洗及进出车辆冲洗水等，污水产生量约为5m</w:t>
      </w:r>
      <w:r>
        <w:rPr>
          <w:vertAlign w:val="superscript"/>
        </w:rPr>
        <w:t>3</w:t>
      </w:r>
      <w:r>
        <w:t>/d，主要污染因子为SS、石油类，浓度一般分别为300～2000mg/L、15～30mg/L。另外，雨季作业的地面径流水，含有一定量的泥土和高浓度的悬浮物。施工废水收集、沉淀处理后回用作施工场地降尘用水、车辆和工具冲洗水，不排放</w:t>
      </w:r>
      <w:r>
        <w:rPr>
          <w:rFonts w:hint="eastAsia"/>
        </w:rPr>
        <w:t>。</w:t>
      </w:r>
    </w:p>
    <w:p w14:paraId="621EFCD6">
      <w:pPr>
        <w:numPr>
          <w:ilvl w:val="0"/>
          <w:numId w:val="11"/>
        </w:numPr>
        <w:ind w:firstLine="480"/>
      </w:pPr>
      <w:r>
        <w:rPr>
          <w:rFonts w:hint="eastAsia"/>
        </w:rPr>
        <w:t>生活污水</w:t>
      </w:r>
    </w:p>
    <w:p w14:paraId="10C5101B">
      <w:pPr>
        <w:ind w:firstLine="480"/>
      </w:pPr>
      <w:r>
        <w:rPr>
          <w:rFonts w:hint="eastAsia"/>
        </w:rPr>
        <w:t>根据建设单位提供的资料可知，本项目施工期定员为60人，不设施工营地，食宿依托周边民居解决。根据《湖南省地方标准用水定额》（DB43T388-2020），施工人员生活用水按38L/人·d计，则施工期生活用水量为2.28m</w:t>
      </w:r>
      <w:r>
        <w:rPr>
          <w:rFonts w:hint="eastAsia"/>
          <w:vertAlign w:val="superscript"/>
        </w:rPr>
        <w:t>3</w:t>
      </w:r>
      <w:r>
        <w:rPr>
          <w:rFonts w:hint="eastAsia"/>
        </w:rPr>
        <w:t>/d；污水排放系数以80%计，则施工期生活污水排放量约为1.82m</w:t>
      </w:r>
      <w:r>
        <w:rPr>
          <w:rFonts w:hint="eastAsia"/>
          <w:vertAlign w:val="superscript"/>
        </w:rPr>
        <w:t>3</w:t>
      </w:r>
      <w:r>
        <w:rPr>
          <w:rFonts w:hint="eastAsia"/>
        </w:rPr>
        <w:t>/d。施工期约3个月，整个施工期生活污水产排放量约为1.82吨。生活污水中主要污染物及其水质浓度如下：COD</w:t>
      </w:r>
      <w:r>
        <w:rPr>
          <w:rFonts w:hint="eastAsia"/>
          <w:vertAlign w:val="subscript"/>
        </w:rPr>
        <w:t>cr</w:t>
      </w:r>
      <w:r>
        <w:rPr>
          <w:rFonts w:hint="eastAsia"/>
        </w:rPr>
        <w:t>：250mg/L，NH</w:t>
      </w:r>
      <w:r>
        <w:rPr>
          <w:rFonts w:hint="eastAsia"/>
          <w:vertAlign w:val="subscript"/>
        </w:rPr>
        <w:t>3</w:t>
      </w:r>
      <w:r>
        <w:rPr>
          <w:rFonts w:hint="eastAsia"/>
        </w:rPr>
        <w:t>-N：30mg/L。</w:t>
      </w:r>
    </w:p>
    <w:p w14:paraId="669AD71F">
      <w:pPr>
        <w:pStyle w:val="4"/>
        <w:numPr>
          <w:ilvl w:val="2"/>
          <w:numId w:val="1"/>
        </w:numPr>
      </w:pPr>
      <w:r>
        <w:rPr>
          <w:rFonts w:hint="eastAsia"/>
        </w:rPr>
        <w:t>施工期噪声污染源强</w:t>
      </w:r>
    </w:p>
    <w:p w14:paraId="03CC922D">
      <w:pPr>
        <w:ind w:firstLine="480"/>
      </w:pPr>
      <w:r>
        <w:rPr>
          <w:rFonts w:hint="eastAsia"/>
        </w:rPr>
        <w:t>施工期间的噪声主要有施工机械噪声、施工作业噪声和运输车辆产生的交通噪声。施工机械噪声由施工机械所造成，如挖土机械、打桩机械、升降机等，多为点声源；施工作业噪声主要指一些零星的敲打声、装卸建材的撞击声、拆装模板的撞击声等，多为瞬间噪声；运输车辆的噪声属于交通噪声。主要施工机械设备的噪声源强见下表，当多台机械设备同时作业时，产生噪声叠加，根据类比调查，叠加后的噪声增加3-8dB(A)，一般不会超过10dB(A)。</w:t>
      </w:r>
    </w:p>
    <w:p w14:paraId="4309190D">
      <w:pPr>
        <w:pStyle w:val="43"/>
        <w:numPr>
          <w:ilvl w:val="5"/>
          <w:numId w:val="1"/>
        </w:numPr>
        <w:rPr>
          <w:rFonts w:hint="default"/>
        </w:rPr>
      </w:pPr>
      <w:r>
        <w:t>主要施工机械噪声强度  单位：dB(A)</w:t>
      </w:r>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205"/>
        <w:gridCol w:w="3869"/>
        <w:gridCol w:w="2458"/>
      </w:tblGrid>
      <w:tr w14:paraId="1362CE2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70" w:hRule="atLeast"/>
          <w:tblHeader/>
          <w:jc w:val="center"/>
        </w:trPr>
        <w:tc>
          <w:tcPr>
            <w:tcW w:w="2205" w:type="dxa"/>
            <w:tcBorders>
              <w:top w:val="single" w:color="auto" w:sz="4" w:space="0"/>
              <w:left w:val="single" w:color="auto" w:sz="4" w:space="0"/>
              <w:bottom w:val="single" w:color="auto" w:sz="4" w:space="0"/>
              <w:right w:val="single" w:color="auto" w:sz="6" w:space="0"/>
            </w:tcBorders>
            <w:vAlign w:val="center"/>
          </w:tcPr>
          <w:p w14:paraId="61CA9A85">
            <w:pPr>
              <w:pStyle w:val="45"/>
              <w:rPr>
                <w:rFonts w:hint="default"/>
                <w:b/>
                <w:bCs/>
              </w:rPr>
            </w:pPr>
            <w:r>
              <w:rPr>
                <w:rFonts w:hint="default"/>
                <w:b/>
                <w:bCs/>
              </w:rPr>
              <w:t>施工阶段</w:t>
            </w:r>
          </w:p>
        </w:tc>
        <w:tc>
          <w:tcPr>
            <w:tcW w:w="3869" w:type="dxa"/>
            <w:tcBorders>
              <w:top w:val="single" w:color="auto" w:sz="4" w:space="0"/>
              <w:left w:val="single" w:color="auto" w:sz="6" w:space="0"/>
              <w:bottom w:val="single" w:color="auto" w:sz="4" w:space="0"/>
              <w:right w:val="single" w:color="auto" w:sz="6" w:space="0"/>
            </w:tcBorders>
            <w:vAlign w:val="center"/>
          </w:tcPr>
          <w:p w14:paraId="6EF46B83">
            <w:pPr>
              <w:pStyle w:val="45"/>
              <w:rPr>
                <w:rFonts w:hint="default"/>
                <w:b/>
                <w:bCs/>
              </w:rPr>
            </w:pPr>
            <w:r>
              <w:rPr>
                <w:rFonts w:hint="default"/>
                <w:b/>
                <w:bCs/>
              </w:rPr>
              <w:t>机械名称</w:t>
            </w:r>
          </w:p>
        </w:tc>
        <w:tc>
          <w:tcPr>
            <w:tcW w:w="2458" w:type="dxa"/>
            <w:tcBorders>
              <w:top w:val="single" w:color="auto" w:sz="4" w:space="0"/>
              <w:left w:val="single" w:color="auto" w:sz="6" w:space="0"/>
              <w:bottom w:val="single" w:color="auto" w:sz="4" w:space="0"/>
              <w:right w:val="single" w:color="auto" w:sz="4" w:space="0"/>
            </w:tcBorders>
            <w:vAlign w:val="center"/>
          </w:tcPr>
          <w:p w14:paraId="739A7CB7">
            <w:pPr>
              <w:pStyle w:val="45"/>
              <w:rPr>
                <w:rFonts w:hint="default"/>
                <w:b/>
                <w:bCs/>
              </w:rPr>
            </w:pPr>
            <w:r>
              <w:rPr>
                <w:rFonts w:hint="default"/>
                <w:b/>
                <w:bCs/>
              </w:rPr>
              <w:t>噪声源强dB(A)</w:t>
            </w:r>
          </w:p>
        </w:tc>
      </w:tr>
      <w:tr w14:paraId="33AD9AF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205" w:type="dxa"/>
            <w:vMerge w:val="restart"/>
            <w:tcBorders>
              <w:top w:val="single" w:color="auto" w:sz="4" w:space="0"/>
              <w:left w:val="single" w:color="auto" w:sz="4" w:space="0"/>
              <w:bottom w:val="single" w:color="auto" w:sz="6" w:space="0"/>
              <w:right w:val="single" w:color="auto" w:sz="6" w:space="0"/>
            </w:tcBorders>
            <w:vAlign w:val="center"/>
          </w:tcPr>
          <w:p w14:paraId="53AA6FE7">
            <w:pPr>
              <w:pStyle w:val="45"/>
              <w:rPr>
                <w:rFonts w:hint="default"/>
              </w:rPr>
            </w:pPr>
            <w:r>
              <w:rPr>
                <w:rFonts w:hint="default"/>
              </w:rPr>
              <w:t>土石方</w:t>
            </w:r>
          </w:p>
        </w:tc>
        <w:tc>
          <w:tcPr>
            <w:tcW w:w="3869" w:type="dxa"/>
            <w:tcBorders>
              <w:top w:val="single" w:color="auto" w:sz="4" w:space="0"/>
              <w:left w:val="single" w:color="auto" w:sz="6" w:space="0"/>
              <w:bottom w:val="single" w:color="auto" w:sz="6" w:space="0"/>
              <w:right w:val="single" w:color="auto" w:sz="6" w:space="0"/>
            </w:tcBorders>
            <w:vAlign w:val="center"/>
          </w:tcPr>
          <w:p w14:paraId="1D7436DA">
            <w:pPr>
              <w:pStyle w:val="45"/>
              <w:rPr>
                <w:rFonts w:hint="default"/>
              </w:rPr>
            </w:pPr>
            <w:r>
              <w:rPr>
                <w:rFonts w:hint="default"/>
              </w:rPr>
              <w:t>翻斗车</w:t>
            </w:r>
          </w:p>
        </w:tc>
        <w:tc>
          <w:tcPr>
            <w:tcW w:w="2458" w:type="dxa"/>
            <w:tcBorders>
              <w:top w:val="single" w:color="auto" w:sz="4" w:space="0"/>
              <w:left w:val="single" w:color="auto" w:sz="6" w:space="0"/>
              <w:bottom w:val="single" w:color="auto" w:sz="6" w:space="0"/>
              <w:right w:val="single" w:color="auto" w:sz="4" w:space="0"/>
            </w:tcBorders>
            <w:vAlign w:val="center"/>
          </w:tcPr>
          <w:p w14:paraId="0C240BD8">
            <w:pPr>
              <w:pStyle w:val="45"/>
              <w:rPr>
                <w:rFonts w:hint="default"/>
              </w:rPr>
            </w:pPr>
            <w:r>
              <w:rPr>
                <w:rFonts w:hint="default"/>
              </w:rPr>
              <w:t>90</w:t>
            </w:r>
          </w:p>
        </w:tc>
      </w:tr>
      <w:tr w14:paraId="1251756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205" w:type="dxa"/>
            <w:vMerge w:val="continue"/>
            <w:tcBorders>
              <w:top w:val="single" w:color="auto" w:sz="4" w:space="0"/>
              <w:left w:val="single" w:color="auto" w:sz="4" w:space="0"/>
              <w:bottom w:val="single" w:color="auto" w:sz="6" w:space="0"/>
              <w:right w:val="single" w:color="auto" w:sz="6" w:space="0"/>
            </w:tcBorders>
            <w:vAlign w:val="center"/>
          </w:tcPr>
          <w:p w14:paraId="5DDCB1DF">
            <w:pPr>
              <w:pStyle w:val="45"/>
              <w:rPr>
                <w:rFonts w:hint="default"/>
              </w:rPr>
            </w:pPr>
          </w:p>
        </w:tc>
        <w:tc>
          <w:tcPr>
            <w:tcW w:w="3869" w:type="dxa"/>
            <w:tcBorders>
              <w:top w:val="single" w:color="auto" w:sz="6" w:space="0"/>
              <w:left w:val="single" w:color="auto" w:sz="6" w:space="0"/>
              <w:bottom w:val="single" w:color="auto" w:sz="6" w:space="0"/>
              <w:right w:val="single" w:color="auto" w:sz="6" w:space="0"/>
            </w:tcBorders>
            <w:vAlign w:val="center"/>
          </w:tcPr>
          <w:p w14:paraId="225A9D42">
            <w:pPr>
              <w:pStyle w:val="45"/>
              <w:rPr>
                <w:rFonts w:hint="default"/>
              </w:rPr>
            </w:pPr>
            <w:r>
              <w:rPr>
                <w:rFonts w:hint="default"/>
              </w:rPr>
              <w:t>装载机</w:t>
            </w:r>
          </w:p>
        </w:tc>
        <w:tc>
          <w:tcPr>
            <w:tcW w:w="2458" w:type="dxa"/>
            <w:tcBorders>
              <w:top w:val="single" w:color="auto" w:sz="6" w:space="0"/>
              <w:left w:val="single" w:color="auto" w:sz="6" w:space="0"/>
              <w:bottom w:val="single" w:color="auto" w:sz="6" w:space="0"/>
              <w:right w:val="single" w:color="auto" w:sz="4" w:space="0"/>
            </w:tcBorders>
            <w:vAlign w:val="center"/>
          </w:tcPr>
          <w:p w14:paraId="22F0C72E">
            <w:pPr>
              <w:pStyle w:val="45"/>
              <w:rPr>
                <w:rFonts w:hint="default"/>
              </w:rPr>
            </w:pPr>
            <w:r>
              <w:rPr>
                <w:rFonts w:hint="default"/>
              </w:rPr>
              <w:t>85</w:t>
            </w:r>
          </w:p>
        </w:tc>
      </w:tr>
      <w:tr w14:paraId="601E1B3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205" w:type="dxa"/>
            <w:vMerge w:val="continue"/>
            <w:tcBorders>
              <w:top w:val="single" w:color="auto" w:sz="4" w:space="0"/>
              <w:left w:val="single" w:color="auto" w:sz="4" w:space="0"/>
              <w:bottom w:val="single" w:color="auto" w:sz="6" w:space="0"/>
              <w:right w:val="single" w:color="auto" w:sz="6" w:space="0"/>
            </w:tcBorders>
            <w:vAlign w:val="center"/>
          </w:tcPr>
          <w:p w14:paraId="119ABAD7">
            <w:pPr>
              <w:pStyle w:val="45"/>
              <w:rPr>
                <w:rFonts w:hint="default"/>
              </w:rPr>
            </w:pPr>
          </w:p>
        </w:tc>
        <w:tc>
          <w:tcPr>
            <w:tcW w:w="3869" w:type="dxa"/>
            <w:tcBorders>
              <w:top w:val="single" w:color="auto" w:sz="6" w:space="0"/>
              <w:left w:val="single" w:color="auto" w:sz="6" w:space="0"/>
              <w:bottom w:val="single" w:color="auto" w:sz="6" w:space="0"/>
              <w:right w:val="single" w:color="auto" w:sz="6" w:space="0"/>
            </w:tcBorders>
            <w:vAlign w:val="center"/>
          </w:tcPr>
          <w:p w14:paraId="175D3C1D">
            <w:pPr>
              <w:pStyle w:val="45"/>
              <w:rPr>
                <w:rFonts w:hint="default"/>
              </w:rPr>
            </w:pPr>
            <w:r>
              <w:rPr>
                <w:rFonts w:hint="default"/>
              </w:rPr>
              <w:t>推土机</w:t>
            </w:r>
          </w:p>
        </w:tc>
        <w:tc>
          <w:tcPr>
            <w:tcW w:w="2458" w:type="dxa"/>
            <w:tcBorders>
              <w:top w:val="single" w:color="auto" w:sz="6" w:space="0"/>
              <w:left w:val="single" w:color="auto" w:sz="6" w:space="0"/>
              <w:bottom w:val="single" w:color="auto" w:sz="6" w:space="0"/>
              <w:right w:val="single" w:color="auto" w:sz="4" w:space="0"/>
            </w:tcBorders>
            <w:vAlign w:val="center"/>
          </w:tcPr>
          <w:p w14:paraId="087192FE">
            <w:pPr>
              <w:pStyle w:val="45"/>
              <w:rPr>
                <w:rFonts w:hint="default"/>
              </w:rPr>
            </w:pPr>
            <w:r>
              <w:rPr>
                <w:rFonts w:hint="default"/>
              </w:rPr>
              <w:t>98</w:t>
            </w:r>
          </w:p>
        </w:tc>
      </w:tr>
      <w:tr w14:paraId="3EC8635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205" w:type="dxa"/>
            <w:vMerge w:val="continue"/>
            <w:tcBorders>
              <w:top w:val="single" w:color="auto" w:sz="4" w:space="0"/>
              <w:left w:val="single" w:color="auto" w:sz="4" w:space="0"/>
              <w:bottom w:val="single" w:color="auto" w:sz="6" w:space="0"/>
              <w:right w:val="single" w:color="auto" w:sz="6" w:space="0"/>
            </w:tcBorders>
            <w:vAlign w:val="center"/>
          </w:tcPr>
          <w:p w14:paraId="7934D547">
            <w:pPr>
              <w:pStyle w:val="45"/>
              <w:rPr>
                <w:rFonts w:hint="default"/>
              </w:rPr>
            </w:pPr>
          </w:p>
        </w:tc>
        <w:tc>
          <w:tcPr>
            <w:tcW w:w="3869" w:type="dxa"/>
            <w:tcBorders>
              <w:top w:val="single" w:color="auto" w:sz="6" w:space="0"/>
              <w:left w:val="single" w:color="auto" w:sz="6" w:space="0"/>
              <w:bottom w:val="single" w:color="auto" w:sz="6" w:space="0"/>
              <w:right w:val="single" w:color="auto" w:sz="6" w:space="0"/>
            </w:tcBorders>
            <w:vAlign w:val="center"/>
          </w:tcPr>
          <w:p w14:paraId="4BC2A015">
            <w:pPr>
              <w:pStyle w:val="45"/>
              <w:rPr>
                <w:rFonts w:hint="default"/>
              </w:rPr>
            </w:pPr>
            <w:r>
              <w:rPr>
                <w:rFonts w:hint="default"/>
              </w:rPr>
              <w:t>挖掘机</w:t>
            </w:r>
          </w:p>
        </w:tc>
        <w:tc>
          <w:tcPr>
            <w:tcW w:w="2458" w:type="dxa"/>
            <w:tcBorders>
              <w:top w:val="single" w:color="auto" w:sz="6" w:space="0"/>
              <w:left w:val="single" w:color="auto" w:sz="6" w:space="0"/>
              <w:bottom w:val="single" w:color="auto" w:sz="6" w:space="0"/>
              <w:right w:val="single" w:color="auto" w:sz="4" w:space="0"/>
            </w:tcBorders>
            <w:vAlign w:val="center"/>
          </w:tcPr>
          <w:p w14:paraId="2C3EA802">
            <w:pPr>
              <w:pStyle w:val="45"/>
              <w:rPr>
                <w:rFonts w:hint="default"/>
              </w:rPr>
            </w:pPr>
            <w:r>
              <w:rPr>
                <w:rFonts w:hint="default"/>
              </w:rPr>
              <w:t>90</w:t>
            </w:r>
          </w:p>
        </w:tc>
      </w:tr>
      <w:tr w14:paraId="0597F80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205" w:type="dxa"/>
            <w:vMerge w:val="restart"/>
            <w:tcBorders>
              <w:top w:val="single" w:color="auto" w:sz="6" w:space="0"/>
              <w:left w:val="single" w:color="auto" w:sz="4" w:space="0"/>
              <w:bottom w:val="single" w:color="auto" w:sz="6" w:space="0"/>
              <w:right w:val="single" w:color="auto" w:sz="6" w:space="0"/>
            </w:tcBorders>
            <w:vAlign w:val="center"/>
          </w:tcPr>
          <w:p w14:paraId="2B91F981">
            <w:pPr>
              <w:pStyle w:val="45"/>
              <w:rPr>
                <w:rFonts w:hint="default"/>
              </w:rPr>
            </w:pPr>
            <w:r>
              <w:rPr>
                <w:rFonts w:hint="default"/>
              </w:rPr>
              <w:t>结构</w:t>
            </w:r>
          </w:p>
        </w:tc>
        <w:tc>
          <w:tcPr>
            <w:tcW w:w="3869" w:type="dxa"/>
            <w:tcBorders>
              <w:top w:val="single" w:color="auto" w:sz="6" w:space="0"/>
              <w:left w:val="single" w:color="auto" w:sz="6" w:space="0"/>
              <w:bottom w:val="single" w:color="auto" w:sz="6" w:space="0"/>
              <w:right w:val="single" w:color="auto" w:sz="6" w:space="0"/>
            </w:tcBorders>
            <w:vAlign w:val="center"/>
          </w:tcPr>
          <w:p w14:paraId="3FD1B2CD">
            <w:pPr>
              <w:pStyle w:val="45"/>
              <w:rPr>
                <w:rFonts w:hint="default"/>
              </w:rPr>
            </w:pPr>
            <w:r>
              <w:rPr>
                <w:rFonts w:hint="default"/>
              </w:rPr>
              <w:t>空压机、风镐</w:t>
            </w:r>
          </w:p>
        </w:tc>
        <w:tc>
          <w:tcPr>
            <w:tcW w:w="2458" w:type="dxa"/>
            <w:tcBorders>
              <w:top w:val="single" w:color="auto" w:sz="6" w:space="0"/>
              <w:left w:val="single" w:color="auto" w:sz="6" w:space="0"/>
              <w:bottom w:val="single" w:color="auto" w:sz="6" w:space="0"/>
              <w:right w:val="single" w:color="auto" w:sz="4" w:space="0"/>
            </w:tcBorders>
            <w:vAlign w:val="center"/>
          </w:tcPr>
          <w:p w14:paraId="4031CF09">
            <w:pPr>
              <w:pStyle w:val="45"/>
              <w:rPr>
                <w:rFonts w:hint="default"/>
              </w:rPr>
            </w:pPr>
            <w:r>
              <w:rPr>
                <w:rFonts w:hint="default"/>
              </w:rPr>
              <w:t>85</w:t>
            </w:r>
          </w:p>
        </w:tc>
      </w:tr>
      <w:tr w14:paraId="6FEF5D5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205" w:type="dxa"/>
            <w:vMerge w:val="continue"/>
            <w:tcBorders>
              <w:top w:val="single" w:color="auto" w:sz="6" w:space="0"/>
              <w:left w:val="single" w:color="auto" w:sz="4" w:space="0"/>
              <w:bottom w:val="single" w:color="auto" w:sz="6" w:space="0"/>
              <w:right w:val="single" w:color="auto" w:sz="6" w:space="0"/>
            </w:tcBorders>
            <w:vAlign w:val="center"/>
          </w:tcPr>
          <w:p w14:paraId="2411A038">
            <w:pPr>
              <w:pStyle w:val="45"/>
              <w:rPr>
                <w:rFonts w:hint="default"/>
              </w:rPr>
            </w:pPr>
          </w:p>
        </w:tc>
        <w:tc>
          <w:tcPr>
            <w:tcW w:w="3869" w:type="dxa"/>
            <w:tcBorders>
              <w:top w:val="single" w:color="auto" w:sz="6" w:space="0"/>
              <w:left w:val="single" w:color="auto" w:sz="6" w:space="0"/>
              <w:bottom w:val="single" w:color="auto" w:sz="6" w:space="0"/>
              <w:right w:val="single" w:color="auto" w:sz="6" w:space="0"/>
            </w:tcBorders>
            <w:vAlign w:val="center"/>
          </w:tcPr>
          <w:p w14:paraId="7076529F">
            <w:pPr>
              <w:pStyle w:val="45"/>
              <w:rPr>
                <w:rFonts w:hint="default"/>
              </w:rPr>
            </w:pPr>
            <w:r>
              <w:rPr>
                <w:rFonts w:hint="default"/>
              </w:rPr>
              <w:t>低噪声振捣器</w:t>
            </w:r>
          </w:p>
        </w:tc>
        <w:tc>
          <w:tcPr>
            <w:tcW w:w="2458" w:type="dxa"/>
            <w:tcBorders>
              <w:top w:val="single" w:color="auto" w:sz="6" w:space="0"/>
              <w:left w:val="single" w:color="auto" w:sz="6" w:space="0"/>
              <w:bottom w:val="single" w:color="auto" w:sz="6" w:space="0"/>
              <w:right w:val="single" w:color="auto" w:sz="4" w:space="0"/>
            </w:tcBorders>
            <w:vAlign w:val="center"/>
          </w:tcPr>
          <w:p w14:paraId="08D7E4CC">
            <w:pPr>
              <w:pStyle w:val="45"/>
              <w:rPr>
                <w:rFonts w:hint="default"/>
              </w:rPr>
            </w:pPr>
            <w:r>
              <w:rPr>
                <w:rFonts w:hint="default"/>
              </w:rPr>
              <w:t>95</w:t>
            </w:r>
          </w:p>
        </w:tc>
      </w:tr>
      <w:tr w14:paraId="3BAE870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205" w:type="dxa"/>
            <w:vMerge w:val="continue"/>
            <w:tcBorders>
              <w:top w:val="single" w:color="auto" w:sz="6" w:space="0"/>
              <w:left w:val="single" w:color="auto" w:sz="4" w:space="0"/>
              <w:bottom w:val="single" w:color="auto" w:sz="6" w:space="0"/>
              <w:right w:val="single" w:color="auto" w:sz="6" w:space="0"/>
            </w:tcBorders>
            <w:vAlign w:val="center"/>
          </w:tcPr>
          <w:p w14:paraId="0E675873">
            <w:pPr>
              <w:pStyle w:val="45"/>
              <w:rPr>
                <w:rFonts w:hint="default"/>
              </w:rPr>
            </w:pPr>
          </w:p>
        </w:tc>
        <w:tc>
          <w:tcPr>
            <w:tcW w:w="3869" w:type="dxa"/>
            <w:tcBorders>
              <w:top w:val="single" w:color="auto" w:sz="6" w:space="0"/>
              <w:left w:val="single" w:color="auto" w:sz="6" w:space="0"/>
              <w:bottom w:val="single" w:color="auto" w:sz="6" w:space="0"/>
              <w:right w:val="single" w:color="auto" w:sz="6" w:space="0"/>
            </w:tcBorders>
            <w:vAlign w:val="center"/>
          </w:tcPr>
          <w:p w14:paraId="70951BDB">
            <w:pPr>
              <w:pStyle w:val="45"/>
              <w:rPr>
                <w:rFonts w:hint="default"/>
              </w:rPr>
            </w:pPr>
            <w:r>
              <w:rPr>
                <w:rFonts w:hint="default"/>
              </w:rPr>
              <w:t>混凝土泵</w:t>
            </w:r>
          </w:p>
        </w:tc>
        <w:tc>
          <w:tcPr>
            <w:tcW w:w="2458" w:type="dxa"/>
            <w:tcBorders>
              <w:top w:val="single" w:color="auto" w:sz="6" w:space="0"/>
              <w:left w:val="single" w:color="auto" w:sz="6" w:space="0"/>
              <w:bottom w:val="single" w:color="auto" w:sz="6" w:space="0"/>
              <w:right w:val="single" w:color="auto" w:sz="4" w:space="0"/>
            </w:tcBorders>
            <w:vAlign w:val="center"/>
          </w:tcPr>
          <w:p w14:paraId="134FF5F4">
            <w:pPr>
              <w:pStyle w:val="45"/>
              <w:rPr>
                <w:rFonts w:hint="default"/>
              </w:rPr>
            </w:pPr>
            <w:r>
              <w:rPr>
                <w:rFonts w:hint="default"/>
              </w:rPr>
              <w:t>95</w:t>
            </w:r>
          </w:p>
        </w:tc>
      </w:tr>
      <w:tr w14:paraId="55F9B95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205" w:type="dxa"/>
            <w:vMerge w:val="continue"/>
            <w:tcBorders>
              <w:top w:val="single" w:color="auto" w:sz="6" w:space="0"/>
              <w:left w:val="single" w:color="auto" w:sz="4" w:space="0"/>
              <w:bottom w:val="single" w:color="auto" w:sz="6" w:space="0"/>
              <w:right w:val="single" w:color="auto" w:sz="6" w:space="0"/>
            </w:tcBorders>
            <w:vAlign w:val="center"/>
          </w:tcPr>
          <w:p w14:paraId="725C68DD">
            <w:pPr>
              <w:pStyle w:val="45"/>
              <w:rPr>
                <w:rFonts w:hint="default"/>
              </w:rPr>
            </w:pPr>
          </w:p>
        </w:tc>
        <w:tc>
          <w:tcPr>
            <w:tcW w:w="3869" w:type="dxa"/>
            <w:tcBorders>
              <w:top w:val="single" w:color="auto" w:sz="6" w:space="0"/>
              <w:left w:val="single" w:color="auto" w:sz="6" w:space="0"/>
              <w:bottom w:val="single" w:color="auto" w:sz="6" w:space="0"/>
              <w:right w:val="single" w:color="auto" w:sz="6" w:space="0"/>
            </w:tcBorders>
            <w:vAlign w:val="center"/>
          </w:tcPr>
          <w:p w14:paraId="0350BE09">
            <w:pPr>
              <w:pStyle w:val="45"/>
              <w:rPr>
                <w:rFonts w:hint="default"/>
              </w:rPr>
            </w:pPr>
            <w:r>
              <w:rPr>
                <w:rFonts w:hint="default"/>
              </w:rPr>
              <w:t>切割机、电锯</w:t>
            </w:r>
          </w:p>
        </w:tc>
        <w:tc>
          <w:tcPr>
            <w:tcW w:w="2458" w:type="dxa"/>
            <w:tcBorders>
              <w:top w:val="single" w:color="auto" w:sz="6" w:space="0"/>
              <w:left w:val="single" w:color="auto" w:sz="6" w:space="0"/>
              <w:bottom w:val="single" w:color="auto" w:sz="6" w:space="0"/>
              <w:right w:val="single" w:color="auto" w:sz="4" w:space="0"/>
            </w:tcBorders>
            <w:vAlign w:val="center"/>
          </w:tcPr>
          <w:p w14:paraId="758DBFC9">
            <w:pPr>
              <w:pStyle w:val="45"/>
              <w:rPr>
                <w:rFonts w:hint="default"/>
              </w:rPr>
            </w:pPr>
            <w:r>
              <w:rPr>
                <w:rFonts w:hint="default"/>
              </w:rPr>
              <w:t>100</w:t>
            </w:r>
          </w:p>
        </w:tc>
      </w:tr>
      <w:tr w14:paraId="7B1AFBC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205" w:type="dxa"/>
            <w:vMerge w:val="restart"/>
            <w:tcBorders>
              <w:top w:val="single" w:color="auto" w:sz="6" w:space="0"/>
              <w:left w:val="single" w:color="auto" w:sz="4" w:space="0"/>
              <w:bottom w:val="single" w:color="auto" w:sz="4" w:space="0"/>
              <w:right w:val="single" w:color="auto" w:sz="6" w:space="0"/>
            </w:tcBorders>
            <w:vAlign w:val="center"/>
          </w:tcPr>
          <w:p w14:paraId="5D1C12BC">
            <w:pPr>
              <w:pStyle w:val="45"/>
              <w:rPr>
                <w:rFonts w:hint="default"/>
              </w:rPr>
            </w:pPr>
            <w:r>
              <w:rPr>
                <w:rFonts w:hint="default"/>
              </w:rPr>
              <w:t>装修</w:t>
            </w:r>
          </w:p>
        </w:tc>
        <w:tc>
          <w:tcPr>
            <w:tcW w:w="3869" w:type="dxa"/>
            <w:tcBorders>
              <w:top w:val="single" w:color="auto" w:sz="6" w:space="0"/>
              <w:left w:val="single" w:color="auto" w:sz="6" w:space="0"/>
              <w:bottom w:val="single" w:color="auto" w:sz="6" w:space="0"/>
              <w:right w:val="single" w:color="auto" w:sz="6" w:space="0"/>
            </w:tcBorders>
            <w:vAlign w:val="center"/>
          </w:tcPr>
          <w:p w14:paraId="70BC6E53">
            <w:pPr>
              <w:pStyle w:val="45"/>
              <w:rPr>
                <w:rFonts w:hint="default"/>
              </w:rPr>
            </w:pPr>
            <w:r>
              <w:rPr>
                <w:rFonts w:hint="default"/>
              </w:rPr>
              <w:t>吊车、升降机等</w:t>
            </w:r>
          </w:p>
        </w:tc>
        <w:tc>
          <w:tcPr>
            <w:tcW w:w="2458" w:type="dxa"/>
            <w:tcBorders>
              <w:top w:val="single" w:color="auto" w:sz="6" w:space="0"/>
              <w:left w:val="single" w:color="auto" w:sz="6" w:space="0"/>
              <w:bottom w:val="single" w:color="auto" w:sz="6" w:space="0"/>
              <w:right w:val="single" w:color="auto" w:sz="4" w:space="0"/>
            </w:tcBorders>
            <w:vAlign w:val="center"/>
          </w:tcPr>
          <w:p w14:paraId="0AEB8DF5">
            <w:pPr>
              <w:pStyle w:val="45"/>
              <w:rPr>
                <w:rFonts w:hint="default"/>
              </w:rPr>
            </w:pPr>
            <w:r>
              <w:rPr>
                <w:rFonts w:hint="default"/>
              </w:rPr>
              <w:t>75</w:t>
            </w:r>
          </w:p>
        </w:tc>
      </w:tr>
      <w:tr w14:paraId="4A12BB3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205" w:type="dxa"/>
            <w:vMerge w:val="continue"/>
            <w:tcBorders>
              <w:top w:val="single" w:color="auto" w:sz="6" w:space="0"/>
              <w:left w:val="single" w:color="auto" w:sz="4" w:space="0"/>
              <w:bottom w:val="single" w:color="auto" w:sz="4" w:space="0"/>
              <w:right w:val="single" w:color="auto" w:sz="6" w:space="0"/>
            </w:tcBorders>
            <w:vAlign w:val="center"/>
          </w:tcPr>
          <w:p w14:paraId="3B839F10">
            <w:pPr>
              <w:pStyle w:val="45"/>
              <w:rPr>
                <w:rFonts w:hint="default"/>
              </w:rPr>
            </w:pPr>
          </w:p>
        </w:tc>
        <w:tc>
          <w:tcPr>
            <w:tcW w:w="3869" w:type="dxa"/>
            <w:tcBorders>
              <w:top w:val="single" w:color="auto" w:sz="6" w:space="0"/>
              <w:left w:val="single" w:color="auto" w:sz="6" w:space="0"/>
              <w:bottom w:val="single" w:color="auto" w:sz="4" w:space="0"/>
              <w:right w:val="single" w:color="auto" w:sz="6" w:space="0"/>
            </w:tcBorders>
            <w:vAlign w:val="center"/>
          </w:tcPr>
          <w:p w14:paraId="4BA13444">
            <w:pPr>
              <w:pStyle w:val="45"/>
              <w:rPr>
                <w:rFonts w:hint="default"/>
              </w:rPr>
            </w:pPr>
            <w:r>
              <w:rPr>
                <w:rFonts w:hint="default"/>
              </w:rPr>
              <w:t>电锯、电锤等</w:t>
            </w:r>
          </w:p>
        </w:tc>
        <w:tc>
          <w:tcPr>
            <w:tcW w:w="2458" w:type="dxa"/>
            <w:tcBorders>
              <w:top w:val="single" w:color="auto" w:sz="6" w:space="0"/>
              <w:left w:val="single" w:color="auto" w:sz="6" w:space="0"/>
              <w:bottom w:val="single" w:color="auto" w:sz="4" w:space="0"/>
              <w:right w:val="single" w:color="auto" w:sz="4" w:space="0"/>
            </w:tcBorders>
            <w:vAlign w:val="center"/>
          </w:tcPr>
          <w:p w14:paraId="6CAFDF6A">
            <w:pPr>
              <w:pStyle w:val="45"/>
              <w:rPr>
                <w:rFonts w:hint="default"/>
              </w:rPr>
            </w:pPr>
            <w:r>
              <w:rPr>
                <w:rFonts w:hint="default"/>
              </w:rPr>
              <w:t>100</w:t>
            </w:r>
          </w:p>
        </w:tc>
      </w:tr>
    </w:tbl>
    <w:p w14:paraId="29A5D27B">
      <w:pPr>
        <w:spacing w:line="240" w:lineRule="auto"/>
        <w:ind w:firstLine="0" w:firstLineChars="0"/>
      </w:pPr>
    </w:p>
    <w:p w14:paraId="6C57FB65">
      <w:pPr>
        <w:pStyle w:val="4"/>
        <w:numPr>
          <w:ilvl w:val="2"/>
          <w:numId w:val="1"/>
        </w:numPr>
      </w:pPr>
      <w:r>
        <w:rPr>
          <w:rFonts w:hint="eastAsia"/>
        </w:rPr>
        <w:t>施工期固废污染源强</w:t>
      </w:r>
    </w:p>
    <w:p w14:paraId="56FE877D">
      <w:pPr>
        <w:ind w:firstLine="480"/>
      </w:pPr>
      <w:r>
        <w:t>施工期的固体废弃物主要为建筑垃圾、施工人员产生的生活垃圾。</w:t>
      </w:r>
    </w:p>
    <w:p w14:paraId="634B43B5">
      <w:pPr>
        <w:numPr>
          <w:ilvl w:val="0"/>
          <w:numId w:val="0"/>
        </w:numPr>
        <w:ind w:firstLine="480" w:firstLineChars="200"/>
      </w:pPr>
      <w:r>
        <w:rPr>
          <w:rFonts w:ascii="Times New Roman" w:hAnsi="Times New Roman" w:eastAsia="宋体" w:cstheme="minorBidi"/>
          <w:kern w:val="2"/>
          <w:sz w:val="24"/>
          <w:szCs w:val="24"/>
          <w:lang w:val="en-US" w:eastAsia="zh-CN" w:bidi="ar-SA"/>
        </w:rPr>
        <w:t>（1）</w:t>
      </w:r>
      <w:r>
        <w:t>建筑垃圾</w:t>
      </w:r>
    </w:p>
    <w:p w14:paraId="0C6B5351">
      <w:pPr>
        <w:ind w:firstLine="480"/>
      </w:pPr>
      <w:r>
        <w:rPr>
          <w:rFonts w:hint="eastAsia"/>
        </w:rPr>
        <w:t>建筑垃圾</w:t>
      </w:r>
      <w:r>
        <w:t>主要来源拟建厂房施工过程，包括砂石、石块、碎砖瓦、废木料、废金属、废钢筋等杂物。根据《中国城市建筑垃圾产量计算及预测方法》，建筑施工时每10000m</w:t>
      </w:r>
      <w:r>
        <w:rPr>
          <w:vertAlign w:val="superscript"/>
        </w:rPr>
        <w:t>2</w:t>
      </w:r>
      <w:r>
        <w:t xml:space="preserve"> 建筑面积建筑垃圾产生量约为550t</w:t>
      </w:r>
      <w:r>
        <w:rPr>
          <w:color w:val="0000FF"/>
        </w:rPr>
        <w:t>，</w:t>
      </w:r>
      <w:r>
        <w:t>拟建项目总建筑面积为</w:t>
      </w:r>
      <w:r>
        <w:rPr>
          <w:rFonts w:hint="eastAsia"/>
        </w:rPr>
        <w:t>5810</w:t>
      </w:r>
      <w:r>
        <w:t>m</w:t>
      </w:r>
      <w:r>
        <w:rPr>
          <w:vertAlign w:val="superscript"/>
        </w:rPr>
        <w:t>2</w:t>
      </w:r>
      <w:r>
        <w:t>，则项目建设过程中产生的建筑垃圾约为</w:t>
      </w:r>
      <w:r>
        <w:rPr>
          <w:rFonts w:hint="eastAsia"/>
        </w:rPr>
        <w:t>320</w:t>
      </w:r>
      <w:r>
        <w:t>t。</w:t>
      </w:r>
    </w:p>
    <w:p w14:paraId="683A597B">
      <w:pPr>
        <w:ind w:firstLine="480"/>
      </w:pPr>
      <w:r>
        <w:rPr>
          <w:rFonts w:hint="eastAsia"/>
        </w:rPr>
        <w:t>（2）生活垃圾</w:t>
      </w:r>
    </w:p>
    <w:p w14:paraId="3094BD69">
      <w:pPr>
        <w:ind w:firstLine="480"/>
      </w:pPr>
      <w:r>
        <w:t>本项目高峰期施工人员按60人计，工地生活垃圾按0.5kg/d</w:t>
      </w:r>
      <w:r>
        <w:rPr>
          <w:rFonts w:hint="eastAsia"/>
        </w:rPr>
        <w:t>·</w:t>
      </w:r>
      <w:r>
        <w:t>人计，产生量为0.03t/d。生活垃圾通过垃圾袋、垃圾桶集中收集，由市政环卫部门统一清运。</w:t>
      </w:r>
    </w:p>
    <w:p w14:paraId="52C21CB8">
      <w:pPr>
        <w:ind w:left="480" w:leftChars="200" w:firstLine="0" w:firstLineChars="0"/>
      </w:pPr>
      <w:r>
        <w:rPr>
          <w:rFonts w:hint="eastAsia"/>
        </w:rPr>
        <w:t>（3）土石方</w:t>
      </w:r>
    </w:p>
    <w:p w14:paraId="6B97DBE4">
      <w:pPr>
        <w:ind w:firstLine="480"/>
      </w:pPr>
      <w:r>
        <w:t>本项目为不存在大挖、大填现象，局部挖填产生土方也在项目内达到平衡，基本无借方和多余渣土。</w:t>
      </w:r>
    </w:p>
    <w:p w14:paraId="19AB49E0">
      <w:pPr>
        <w:pStyle w:val="3"/>
        <w:numPr>
          <w:ilvl w:val="1"/>
          <w:numId w:val="1"/>
        </w:numPr>
      </w:pPr>
      <w:bookmarkStart w:id="132" w:name="_Toc22620"/>
      <w:r>
        <w:rPr>
          <w:rFonts w:hint="eastAsia"/>
        </w:rPr>
        <w:t>营运期污染源源强核算及拟建环保设施分析</w:t>
      </w:r>
      <w:bookmarkEnd w:id="129"/>
      <w:bookmarkEnd w:id="130"/>
      <w:bookmarkEnd w:id="132"/>
    </w:p>
    <w:p w14:paraId="46D72DE5">
      <w:pPr>
        <w:pStyle w:val="4"/>
        <w:numPr>
          <w:ilvl w:val="2"/>
          <w:numId w:val="1"/>
        </w:numPr>
      </w:pPr>
      <w:r>
        <w:rPr>
          <w:rFonts w:hint="eastAsia"/>
        </w:rPr>
        <w:t>废气污染源强及拟采取污染治理措施分析</w:t>
      </w:r>
    </w:p>
    <w:p w14:paraId="1BEDAA9C">
      <w:pPr>
        <w:pStyle w:val="5"/>
        <w:numPr>
          <w:ilvl w:val="3"/>
          <w:numId w:val="1"/>
        </w:numPr>
      </w:pPr>
      <w:r>
        <w:rPr>
          <w:rFonts w:hint="eastAsia"/>
        </w:rPr>
        <w:t>废气污染源强</w:t>
      </w:r>
    </w:p>
    <w:p w14:paraId="4558AE99">
      <w:pPr>
        <w:ind w:firstLine="480"/>
        <w:rPr>
          <w:rFonts w:hint="eastAsia" w:cs="Times New Roman"/>
          <w:color w:val="000000"/>
        </w:rPr>
      </w:pPr>
      <w:r>
        <w:rPr>
          <w:rFonts w:hint="eastAsia" w:cs="Times New Roman"/>
          <w:color w:val="000000"/>
        </w:rPr>
        <w:t>本项目废气污染源可分为有组织排放废气和无组织排放废气。有组织废气包括一次电解装置产生的一次电解尾气、除次钠尾气，二次电解装置产生的二次电解尾气，复分解生产装置产生的高钾或氯酸钾干燥包装废气，锂盐生产装置产生的</w:t>
      </w:r>
      <w:r>
        <w:rPr>
          <w:rFonts w:hint="eastAsia" w:cs="Times New Roman"/>
          <w:color w:val="000000"/>
          <w:lang w:val="en-US" w:eastAsia="zh-CN"/>
        </w:rPr>
        <w:t>锂盐中和尾气</w:t>
      </w:r>
      <w:r>
        <w:rPr>
          <w:rFonts w:hint="eastAsia" w:cs="Times New Roman"/>
          <w:color w:val="000000"/>
        </w:rPr>
        <w:t>。无组织废气包括电解车间</w:t>
      </w:r>
      <w:r>
        <w:rPr>
          <w:rFonts w:hint="eastAsia" w:cs="Times New Roman"/>
          <w:color w:val="000000"/>
          <w:lang w:val="en-US" w:eastAsia="zh-CN"/>
        </w:rPr>
        <w:t>氯气及氯化氢</w:t>
      </w:r>
      <w:r>
        <w:rPr>
          <w:rFonts w:hint="eastAsia" w:cs="Times New Roman"/>
          <w:color w:val="000000"/>
        </w:rPr>
        <w:t>逸散废气、盐酸储罐大小呼吸、干燥包装区无组织粉尘、投料无组织粉尘等。</w:t>
      </w:r>
    </w:p>
    <w:p w14:paraId="6CC46FEC">
      <w:pPr>
        <w:ind w:firstLine="480"/>
        <w:outlineLvl w:val="4"/>
        <w:rPr>
          <w:rFonts w:hint="default" w:eastAsia="宋体" w:cs="Times New Roman"/>
          <w:b/>
          <w:bCs/>
          <w:color w:val="000000"/>
          <w:lang w:val="en-US" w:eastAsia="zh-CN"/>
        </w:rPr>
      </w:pPr>
      <w:r>
        <w:rPr>
          <w:rFonts w:hint="eastAsia" w:cs="Times New Roman"/>
          <w:b/>
          <w:bCs/>
          <w:color w:val="000000"/>
          <w:lang w:val="en-US" w:eastAsia="zh-CN"/>
        </w:rPr>
        <w:t>1、有组织废气</w:t>
      </w:r>
    </w:p>
    <w:p w14:paraId="69DC25C9">
      <w:pPr>
        <w:pStyle w:val="7"/>
        <w:numPr>
          <w:ilvl w:val="0"/>
          <w:numId w:val="0"/>
        </w:numPr>
        <w:tabs>
          <w:tab w:val="left" w:pos="0"/>
        </w:tabs>
        <w:ind w:leftChars="200"/>
        <w:outlineLvl w:val="5"/>
      </w:pPr>
      <w:r>
        <w:rPr>
          <w:rFonts w:hint="eastAsia"/>
          <w:lang w:val="en-US" w:eastAsia="zh-CN"/>
        </w:rPr>
        <w:t>（1）一次电解装置废气</w:t>
      </w:r>
    </w:p>
    <w:p w14:paraId="1879D2DC">
      <w:pPr>
        <w:ind w:firstLine="480"/>
        <w:rPr>
          <w:rFonts w:hint="default" w:eastAsia="宋体"/>
          <w:lang w:val="en-US" w:eastAsia="zh-CN"/>
        </w:rPr>
      </w:pPr>
      <w:r>
        <w:rPr>
          <w:rFonts w:hint="eastAsia"/>
          <w:lang w:val="en-US" w:eastAsia="zh-CN"/>
        </w:rPr>
        <w:t>本项</w:t>
      </w:r>
      <w:r>
        <w:rPr>
          <w:rFonts w:hint="eastAsia"/>
        </w:rPr>
        <w:t>目</w:t>
      </w:r>
      <w:r>
        <w:rPr>
          <w:rFonts w:hint="eastAsia"/>
          <w:lang w:val="en-US" w:eastAsia="zh-CN"/>
        </w:rPr>
        <w:t>一次电解装置废气包括一次电解尾气、除次钠尾气。一次电解尾气主要污染</w:t>
      </w:r>
      <w:r>
        <w:rPr>
          <w:rFonts w:hint="eastAsia"/>
        </w:rPr>
        <w:t>为</w:t>
      </w:r>
      <w:r>
        <w:rPr>
          <w:rFonts w:cs="Times New Roman"/>
          <w:color w:val="000000"/>
        </w:rPr>
        <w:t>Cl</w:t>
      </w:r>
      <w:r>
        <w:rPr>
          <w:rFonts w:cs="Times New Roman"/>
          <w:color w:val="000000"/>
          <w:vertAlign w:val="subscript"/>
        </w:rPr>
        <w:t>2</w:t>
      </w:r>
      <w:r>
        <w:rPr>
          <w:rFonts w:hint="eastAsia" w:cs="Times New Roman"/>
          <w:color w:val="000000"/>
        </w:rPr>
        <w:t>、HCl。</w:t>
      </w:r>
      <w:r>
        <w:rPr>
          <w:rFonts w:hint="eastAsia"/>
        </w:rPr>
        <w:t>除次钠</w:t>
      </w:r>
      <w:r>
        <w:rPr>
          <w:rFonts w:hint="eastAsia"/>
          <w:lang w:val="en-US" w:eastAsia="zh-CN"/>
        </w:rPr>
        <w:t>工段产生气体为</w:t>
      </w:r>
      <w:r>
        <w:rPr>
          <w:rFonts w:hint="eastAsia"/>
        </w:rPr>
        <w:t>氮气、二氧化碳</w:t>
      </w:r>
      <w:r>
        <w:rPr>
          <w:rFonts w:hint="eastAsia"/>
          <w:lang w:eastAsia="zh-CN"/>
        </w:rPr>
        <w:t>，</w:t>
      </w:r>
      <w:r>
        <w:rPr>
          <w:rFonts w:hint="eastAsia"/>
          <w:lang w:val="en-US" w:eastAsia="zh-CN"/>
        </w:rPr>
        <w:t>可直接排空。但</w:t>
      </w:r>
      <w:r>
        <w:rPr>
          <w:rFonts w:hint="eastAsia"/>
        </w:rPr>
        <w:t>由于</w:t>
      </w:r>
      <w:r>
        <w:rPr>
          <w:rFonts w:hint="eastAsia"/>
          <w:lang w:val="en-US" w:eastAsia="zh-CN"/>
        </w:rPr>
        <w:t>本项目</w:t>
      </w:r>
      <w:r>
        <w:rPr>
          <w:rFonts w:hint="eastAsia"/>
        </w:rPr>
        <w:t>一次电解液</w:t>
      </w:r>
      <w:r>
        <w:rPr>
          <w:rFonts w:hint="eastAsia"/>
          <w:lang w:val="en-US" w:eastAsia="zh-CN"/>
        </w:rPr>
        <w:t>在</w:t>
      </w:r>
      <w:r>
        <w:rPr>
          <w:rFonts w:hint="eastAsia"/>
        </w:rPr>
        <w:t>除次钠工段</w:t>
      </w:r>
      <w:r>
        <w:rPr>
          <w:rFonts w:hint="eastAsia"/>
          <w:lang w:val="en-US" w:eastAsia="zh-CN"/>
        </w:rPr>
        <w:t>前</w:t>
      </w:r>
      <w:r>
        <w:rPr>
          <w:rFonts w:hint="eastAsia"/>
        </w:rPr>
        <w:t>会经历曝气，</w:t>
      </w:r>
      <w:r>
        <w:rPr>
          <w:rFonts w:hint="eastAsia"/>
          <w:lang w:val="en-US" w:eastAsia="zh-CN"/>
        </w:rPr>
        <w:t>曝气时可能存在少量</w:t>
      </w:r>
      <w:r>
        <w:rPr>
          <w:rFonts w:hint="eastAsia"/>
        </w:rPr>
        <w:t>一次电解尾气逸散进入除次钠工段，除次钠尾气</w:t>
      </w:r>
      <w:r>
        <w:rPr>
          <w:rFonts w:hint="eastAsia"/>
          <w:lang w:val="en-US" w:eastAsia="zh-CN"/>
        </w:rPr>
        <w:t>中除</w:t>
      </w:r>
      <w:r>
        <w:rPr>
          <w:rFonts w:hint="eastAsia"/>
        </w:rPr>
        <w:t>氮气、二氧化碳</w:t>
      </w:r>
      <w:r>
        <w:rPr>
          <w:rFonts w:hint="eastAsia"/>
          <w:lang w:val="en-US" w:eastAsia="zh-CN"/>
        </w:rPr>
        <w:t>外，会</w:t>
      </w:r>
      <w:r>
        <w:rPr>
          <w:rFonts w:hint="eastAsia"/>
        </w:rPr>
        <w:t>夹带少量一次电解逸散尾气，</w:t>
      </w:r>
      <w:r>
        <w:rPr>
          <w:rFonts w:hint="eastAsia"/>
          <w:lang w:val="en-US" w:eastAsia="zh-CN"/>
        </w:rPr>
        <w:t>由此判定除次钠尾气</w:t>
      </w:r>
      <w:r>
        <w:rPr>
          <w:rFonts w:hint="eastAsia"/>
        </w:rPr>
        <w:t>主要污染物为</w:t>
      </w:r>
      <w:r>
        <w:rPr>
          <w:rFonts w:cs="Times New Roman"/>
          <w:color w:val="000000"/>
        </w:rPr>
        <w:t>Cl</w:t>
      </w:r>
      <w:r>
        <w:rPr>
          <w:rFonts w:cs="Times New Roman"/>
          <w:color w:val="000000"/>
          <w:vertAlign w:val="subscript"/>
        </w:rPr>
        <w:t>2</w:t>
      </w:r>
      <w:r>
        <w:rPr>
          <w:rFonts w:hint="eastAsia" w:cs="Times New Roman"/>
          <w:color w:val="000000"/>
        </w:rPr>
        <w:t>、HCl。</w:t>
      </w:r>
    </w:p>
    <w:p w14:paraId="38007EFC">
      <w:pPr>
        <w:ind w:firstLine="482"/>
        <w:rPr>
          <w:b/>
          <w:bCs/>
        </w:rPr>
      </w:pPr>
      <w:r>
        <w:rPr>
          <w:rFonts w:hint="eastAsia"/>
          <w:b/>
          <w:bCs/>
        </w:rPr>
        <w:t>①一次电解尾气</w:t>
      </w:r>
    </w:p>
    <w:p w14:paraId="1936CA1E">
      <w:pPr>
        <w:ind w:firstLine="480"/>
        <w:rPr>
          <w:rFonts w:hint="eastAsia"/>
          <w:color w:val="000000"/>
        </w:rPr>
      </w:pPr>
      <w:r>
        <w:rPr>
          <w:rFonts w:hint="eastAsia" w:cs="Times New Roman"/>
          <w:color w:val="000000"/>
          <w:lang w:val="en-US" w:eastAsia="zh-CN"/>
        </w:rPr>
        <w:t>结合反应原理及物料平衡等，除水蒸气外，</w:t>
      </w:r>
      <w:r>
        <w:rPr>
          <w:rFonts w:hint="eastAsia" w:cs="Times New Roman"/>
          <w:color w:val="000000"/>
        </w:rPr>
        <w:t>一次电解</w:t>
      </w:r>
      <w:r>
        <w:rPr>
          <w:rFonts w:cs="Times New Roman"/>
          <w:color w:val="000000"/>
        </w:rPr>
        <w:t>尾气主要</w:t>
      </w:r>
      <w:r>
        <w:rPr>
          <w:rFonts w:hint="eastAsia" w:cs="Times New Roman"/>
          <w:color w:val="000000"/>
          <w:lang w:val="en-US" w:eastAsia="zh-CN"/>
        </w:rPr>
        <w:t>气体成分</w:t>
      </w:r>
      <w:r>
        <w:rPr>
          <w:rFonts w:hint="eastAsia" w:cs="Times New Roman"/>
          <w:color w:val="000000"/>
        </w:rPr>
        <w:t>为</w:t>
      </w:r>
      <w:r>
        <w:rPr>
          <w:rFonts w:cs="Times New Roman"/>
          <w:color w:val="000000"/>
        </w:rPr>
        <w:t>H</w:t>
      </w:r>
      <w:r>
        <w:rPr>
          <w:rFonts w:cs="Times New Roman"/>
          <w:color w:val="000000"/>
          <w:vertAlign w:val="subscript"/>
        </w:rPr>
        <w:t>2</w:t>
      </w:r>
      <w:r>
        <w:rPr>
          <w:rFonts w:hint="eastAsia" w:cs="Times New Roman"/>
          <w:color w:val="000000"/>
        </w:rPr>
        <w:t>，</w:t>
      </w:r>
      <w:r>
        <w:rPr>
          <w:rFonts w:hint="eastAsia" w:cs="Times New Roman"/>
          <w:color w:val="000000"/>
          <w:lang w:val="en-US" w:eastAsia="zh-CN"/>
        </w:rPr>
        <w:t>此外还</w:t>
      </w:r>
      <w:r>
        <w:rPr>
          <w:rFonts w:hint="eastAsia" w:cs="Times New Roman"/>
          <w:color w:val="000000"/>
        </w:rPr>
        <w:t>含有少量的O</w:t>
      </w:r>
      <w:r>
        <w:rPr>
          <w:rFonts w:hint="eastAsia" w:cs="Times New Roman"/>
          <w:color w:val="000000"/>
          <w:vertAlign w:val="subscript"/>
        </w:rPr>
        <w:t>2</w:t>
      </w:r>
      <w:r>
        <w:rPr>
          <w:rFonts w:hint="eastAsia" w:cs="Times New Roman"/>
          <w:color w:val="000000"/>
          <w:lang w:eastAsia="zh-CN"/>
        </w:rPr>
        <w:t>、</w:t>
      </w:r>
      <w:r>
        <w:rPr>
          <w:rFonts w:cs="Times New Roman"/>
          <w:color w:val="000000"/>
        </w:rPr>
        <w:t>Cl</w:t>
      </w:r>
      <w:r>
        <w:rPr>
          <w:rFonts w:cs="Times New Roman"/>
          <w:color w:val="000000"/>
          <w:vertAlign w:val="subscript"/>
        </w:rPr>
        <w:t>2</w:t>
      </w:r>
      <w:r>
        <w:rPr>
          <w:rFonts w:hint="eastAsia" w:cs="Times New Roman"/>
          <w:color w:val="000000"/>
        </w:rPr>
        <w:t>、HCl。</w:t>
      </w:r>
      <w:r>
        <w:rPr>
          <w:rFonts w:hint="eastAsia" w:cs="Times New Roman"/>
          <w:color w:val="000000"/>
          <w:lang w:val="en-US" w:eastAsia="zh-CN"/>
        </w:rPr>
        <w:t>氢气为氯化钠和水电解生产氯酸钠的主要产物</w:t>
      </w:r>
      <w:r>
        <w:rPr>
          <w:rFonts w:hint="eastAsia"/>
          <w:color w:val="000000"/>
        </w:rPr>
        <w:t>，</w:t>
      </w:r>
      <w:r>
        <w:rPr>
          <w:rFonts w:hint="eastAsia"/>
          <w:color w:val="000000"/>
          <w:lang w:val="en-US" w:eastAsia="zh-CN"/>
        </w:rPr>
        <w:t>氧气、氯气、氯化氢</w:t>
      </w:r>
      <w:r>
        <w:rPr>
          <w:rFonts w:hint="eastAsia"/>
          <w:color w:val="000000"/>
        </w:rPr>
        <w:t>为电解</w:t>
      </w:r>
      <w:r>
        <w:rPr>
          <w:rFonts w:hint="eastAsia"/>
          <w:color w:val="000000"/>
          <w:lang w:val="en-US" w:eastAsia="zh-CN"/>
        </w:rPr>
        <w:t>副反应产生的副产物</w:t>
      </w:r>
      <w:r>
        <w:rPr>
          <w:rFonts w:hint="eastAsia"/>
          <w:color w:val="000000"/>
        </w:rPr>
        <w:t>。</w:t>
      </w:r>
    </w:p>
    <w:p w14:paraId="3397CEFF">
      <w:pPr>
        <w:ind w:firstLine="480"/>
        <w:rPr>
          <w:rFonts w:cs="Times New Roman"/>
          <w:color w:val="000000"/>
        </w:rPr>
      </w:pPr>
      <w:r>
        <w:rPr>
          <w:rFonts w:hint="eastAsia" w:cs="Times New Roman"/>
          <w:color w:val="000000"/>
        </w:rPr>
        <w:t>本项目通过类比法核算</w:t>
      </w:r>
      <w:r>
        <w:rPr>
          <w:rFonts w:hint="eastAsia" w:cs="Times New Roman"/>
          <w:color w:val="000000"/>
          <w:lang w:val="en-US" w:eastAsia="zh-CN"/>
        </w:rPr>
        <w:t>一次电解尾气中</w:t>
      </w:r>
      <w:r>
        <w:rPr>
          <w:rFonts w:cs="Times New Roman"/>
          <w:color w:val="000000"/>
        </w:rPr>
        <w:t>Cl</w:t>
      </w:r>
      <w:r>
        <w:rPr>
          <w:rFonts w:cs="Times New Roman"/>
          <w:color w:val="000000"/>
          <w:vertAlign w:val="subscript"/>
        </w:rPr>
        <w:t>2</w:t>
      </w:r>
      <w:r>
        <w:rPr>
          <w:rFonts w:hint="eastAsia" w:cs="Times New Roman"/>
          <w:color w:val="000000"/>
        </w:rPr>
        <w:t>的产生量</w:t>
      </w:r>
      <w:r>
        <w:rPr>
          <w:rFonts w:hint="eastAsia" w:cs="Times New Roman"/>
          <w:color w:val="000000"/>
          <w:lang w:eastAsia="zh-CN"/>
        </w:rPr>
        <w:t>。</w:t>
      </w:r>
      <w:r>
        <w:rPr>
          <w:rFonts w:hint="eastAsia" w:cs="Times New Roman"/>
          <w:color w:val="000000"/>
          <w:lang w:val="en-US" w:eastAsia="zh-CN"/>
        </w:rPr>
        <w:t>通过</w:t>
      </w:r>
      <w:r>
        <w:rPr>
          <w:rFonts w:hint="eastAsia" w:cs="Times New Roman"/>
          <w:color w:val="000000"/>
        </w:rPr>
        <w:t>国内的同类型工程</w:t>
      </w:r>
      <w:r>
        <w:rPr>
          <w:rFonts w:hint="eastAsia" w:cs="Times New Roman"/>
          <w:color w:val="000000"/>
          <w:lang w:val="en-US" w:eastAsia="zh-CN"/>
        </w:rPr>
        <w:t>的</w:t>
      </w:r>
      <w:r>
        <w:rPr>
          <w:rFonts w:hint="eastAsia" w:cs="Times New Roman"/>
          <w:color w:val="000000"/>
        </w:rPr>
        <w:t>调查</w:t>
      </w:r>
      <w:r>
        <w:rPr>
          <w:rFonts w:hint="eastAsia" w:cs="Times New Roman"/>
          <w:color w:val="000000"/>
          <w:lang w:val="en-US" w:eastAsia="zh-CN"/>
        </w:rPr>
        <w:t>及</w:t>
      </w:r>
      <w:r>
        <w:rPr>
          <w:rFonts w:hint="eastAsia" w:cs="Times New Roman"/>
          <w:color w:val="000000"/>
        </w:rPr>
        <w:t>资料收集，从工程规模、生产工艺、废处理装置等方面综合考虑，选取广东鑫国泰科技有限公司年产4.8万吨氯酸盐项目作为类比工程。</w:t>
      </w:r>
    </w:p>
    <w:p w14:paraId="705B8FFE">
      <w:pPr>
        <w:pStyle w:val="43"/>
        <w:numPr>
          <w:ilvl w:val="5"/>
          <w:numId w:val="1"/>
        </w:numPr>
        <w:rPr>
          <w:rFonts w:hint="default"/>
        </w:rPr>
      </w:pPr>
      <w:r>
        <w:t>类比工程调查情况表</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5"/>
        <w:gridCol w:w="750"/>
        <w:gridCol w:w="1160"/>
        <w:gridCol w:w="2331"/>
        <w:gridCol w:w="3116"/>
      </w:tblGrid>
      <w:tr w14:paraId="2C46F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blHeader/>
        </w:trPr>
        <w:tc>
          <w:tcPr>
            <w:tcW w:w="3075"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6322F9B6">
            <w:pPr>
              <w:pStyle w:val="45"/>
              <w:rPr>
                <w:rFonts w:hint="default"/>
                <w:b/>
                <w:bCs/>
              </w:rPr>
            </w:pPr>
            <w:r>
              <w:rPr>
                <w:b/>
                <w:bCs/>
              </w:rPr>
              <w:t>类比内容</w:t>
            </w:r>
          </w:p>
        </w:tc>
        <w:tc>
          <w:tcPr>
            <w:tcW w:w="2331" w:type="dxa"/>
            <w:tcBorders>
              <w:top w:val="single" w:color="auto" w:sz="4" w:space="0"/>
              <w:left w:val="single" w:color="auto" w:sz="4" w:space="0"/>
              <w:bottom w:val="single" w:color="auto" w:sz="4" w:space="0"/>
              <w:right w:val="single" w:color="auto" w:sz="4" w:space="0"/>
            </w:tcBorders>
            <w:shd w:val="clear" w:color="auto" w:fill="auto"/>
            <w:vAlign w:val="center"/>
          </w:tcPr>
          <w:p w14:paraId="6045B31C">
            <w:pPr>
              <w:pStyle w:val="45"/>
              <w:rPr>
                <w:rFonts w:hint="default"/>
                <w:b/>
                <w:bCs/>
              </w:rPr>
            </w:pPr>
            <w:r>
              <w:rPr>
                <w:b/>
                <w:bCs/>
              </w:rPr>
              <w:t>本工程</w:t>
            </w:r>
          </w:p>
        </w:tc>
        <w:tc>
          <w:tcPr>
            <w:tcW w:w="3116" w:type="dxa"/>
            <w:tcBorders>
              <w:top w:val="single" w:color="auto" w:sz="4" w:space="0"/>
              <w:left w:val="single" w:color="auto" w:sz="4" w:space="0"/>
              <w:bottom w:val="single" w:color="auto" w:sz="4" w:space="0"/>
              <w:right w:val="single" w:color="auto" w:sz="4" w:space="0"/>
            </w:tcBorders>
            <w:shd w:val="clear" w:color="auto" w:fill="auto"/>
            <w:vAlign w:val="center"/>
          </w:tcPr>
          <w:p w14:paraId="302B00A1">
            <w:pPr>
              <w:pStyle w:val="45"/>
              <w:rPr>
                <w:rFonts w:hint="default"/>
                <w:b/>
                <w:bCs/>
              </w:rPr>
            </w:pPr>
            <w:r>
              <w:rPr>
                <w:b/>
                <w:bCs/>
              </w:rPr>
              <w:t>广东鑫国泰科技有限公司年产4.8万吨氯酸盐项目</w:t>
            </w:r>
          </w:p>
        </w:tc>
      </w:tr>
      <w:tr w14:paraId="6D8B7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075"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5A7A7623">
            <w:pPr>
              <w:pStyle w:val="45"/>
              <w:rPr>
                <w:rFonts w:hint="default"/>
              </w:rPr>
            </w:pPr>
            <w:r>
              <w:t>单条生产线氯酸钠产能</w:t>
            </w:r>
          </w:p>
        </w:tc>
        <w:tc>
          <w:tcPr>
            <w:tcW w:w="2331" w:type="dxa"/>
            <w:tcBorders>
              <w:top w:val="single" w:color="auto" w:sz="4" w:space="0"/>
              <w:left w:val="single" w:color="auto" w:sz="4" w:space="0"/>
              <w:bottom w:val="single" w:color="auto" w:sz="4" w:space="0"/>
              <w:right w:val="single" w:color="auto" w:sz="4" w:space="0"/>
            </w:tcBorders>
            <w:shd w:val="clear" w:color="auto" w:fill="auto"/>
            <w:vAlign w:val="center"/>
          </w:tcPr>
          <w:p w14:paraId="6D083149">
            <w:pPr>
              <w:pStyle w:val="45"/>
              <w:rPr>
                <w:rFonts w:hint="default"/>
              </w:rPr>
            </w:pPr>
            <w:r>
              <w:rPr>
                <w:rFonts w:hint="eastAsia"/>
                <w:lang w:val="en-US" w:eastAsia="zh-CN"/>
              </w:rPr>
              <w:t>2</w:t>
            </w:r>
            <w:r>
              <w:t>万t/a</w:t>
            </w:r>
          </w:p>
        </w:tc>
        <w:tc>
          <w:tcPr>
            <w:tcW w:w="3116" w:type="dxa"/>
            <w:tcBorders>
              <w:top w:val="single" w:color="auto" w:sz="4" w:space="0"/>
              <w:left w:val="single" w:color="auto" w:sz="4" w:space="0"/>
              <w:bottom w:val="single" w:color="auto" w:sz="4" w:space="0"/>
              <w:right w:val="single" w:color="auto" w:sz="4" w:space="0"/>
            </w:tcBorders>
            <w:shd w:val="clear" w:color="auto" w:fill="auto"/>
          </w:tcPr>
          <w:p w14:paraId="4FB2E39D">
            <w:pPr>
              <w:pStyle w:val="45"/>
              <w:rPr>
                <w:rFonts w:hint="default"/>
              </w:rPr>
            </w:pPr>
            <w:r>
              <w:t>1.0万t/a</w:t>
            </w:r>
          </w:p>
        </w:tc>
      </w:tr>
      <w:tr w14:paraId="379B9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075" w:type="dxa"/>
            <w:gridSpan w:val="3"/>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C654AF0">
            <w:pPr>
              <w:pStyle w:val="45"/>
              <w:rPr>
                <w:rFonts w:hint="default"/>
              </w:rPr>
            </w:pPr>
            <w:r>
              <w:t>主要装置</w:t>
            </w:r>
          </w:p>
        </w:tc>
        <w:tc>
          <w:tcPr>
            <w:tcW w:w="2331" w:type="dxa"/>
            <w:tcBorders>
              <w:top w:val="single" w:color="auto" w:sz="4" w:space="0"/>
              <w:left w:val="single" w:color="auto" w:sz="4" w:space="0"/>
              <w:bottom w:val="single" w:color="auto" w:sz="4" w:space="0"/>
              <w:right w:val="single" w:color="auto" w:sz="4" w:space="0"/>
            </w:tcBorders>
            <w:shd w:val="clear" w:color="auto" w:fill="auto"/>
          </w:tcPr>
          <w:p w14:paraId="50591612">
            <w:pPr>
              <w:pStyle w:val="45"/>
              <w:rPr>
                <w:rFonts w:hint="default"/>
              </w:rPr>
            </w:pPr>
            <w:r>
              <w:t>单极电解槽</w:t>
            </w:r>
          </w:p>
        </w:tc>
        <w:tc>
          <w:tcPr>
            <w:tcW w:w="3116" w:type="dxa"/>
            <w:tcBorders>
              <w:top w:val="single" w:color="auto" w:sz="4" w:space="0"/>
              <w:left w:val="single" w:color="auto" w:sz="4" w:space="0"/>
              <w:bottom w:val="single" w:color="auto" w:sz="4" w:space="0"/>
              <w:right w:val="single" w:color="auto" w:sz="4" w:space="0"/>
            </w:tcBorders>
            <w:shd w:val="clear" w:color="auto" w:fill="auto"/>
          </w:tcPr>
          <w:p w14:paraId="652C3155">
            <w:pPr>
              <w:pStyle w:val="45"/>
              <w:rPr>
                <w:rFonts w:hint="default"/>
              </w:rPr>
            </w:pPr>
            <w:r>
              <w:t>单极电解槽</w:t>
            </w:r>
          </w:p>
        </w:tc>
      </w:tr>
      <w:tr w14:paraId="5BA16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075" w:type="dxa"/>
            <w:gridSpan w:val="3"/>
            <w:vMerge w:val="continue"/>
            <w:tcBorders>
              <w:top w:val="single" w:color="auto" w:sz="4" w:space="0"/>
              <w:left w:val="single" w:color="auto" w:sz="4" w:space="0"/>
              <w:bottom w:val="single" w:color="auto" w:sz="4" w:space="0"/>
              <w:right w:val="single" w:color="auto" w:sz="4" w:space="0"/>
            </w:tcBorders>
            <w:shd w:val="clear" w:color="auto" w:fill="auto"/>
          </w:tcPr>
          <w:p w14:paraId="52E9A849">
            <w:pPr>
              <w:pStyle w:val="45"/>
              <w:rPr>
                <w:rFonts w:hint="default"/>
              </w:rPr>
            </w:pPr>
          </w:p>
        </w:tc>
        <w:tc>
          <w:tcPr>
            <w:tcW w:w="2331" w:type="dxa"/>
            <w:tcBorders>
              <w:top w:val="single" w:color="auto" w:sz="4" w:space="0"/>
              <w:left w:val="single" w:color="auto" w:sz="4" w:space="0"/>
              <w:bottom w:val="single" w:color="auto" w:sz="4" w:space="0"/>
              <w:right w:val="single" w:color="auto" w:sz="4" w:space="0"/>
            </w:tcBorders>
            <w:shd w:val="clear" w:color="auto" w:fill="auto"/>
          </w:tcPr>
          <w:p w14:paraId="35CC3E68">
            <w:pPr>
              <w:pStyle w:val="45"/>
              <w:rPr>
                <w:rFonts w:hint="default"/>
              </w:rPr>
            </w:pPr>
            <w:r>
              <w:t>陶瓷膜滤器等成套设备</w:t>
            </w:r>
          </w:p>
        </w:tc>
        <w:tc>
          <w:tcPr>
            <w:tcW w:w="3116" w:type="dxa"/>
            <w:tcBorders>
              <w:top w:val="single" w:color="auto" w:sz="4" w:space="0"/>
              <w:left w:val="single" w:color="auto" w:sz="4" w:space="0"/>
              <w:bottom w:val="single" w:color="auto" w:sz="4" w:space="0"/>
              <w:right w:val="single" w:color="auto" w:sz="4" w:space="0"/>
            </w:tcBorders>
            <w:shd w:val="clear" w:color="auto" w:fill="auto"/>
          </w:tcPr>
          <w:p w14:paraId="7170DDAD">
            <w:pPr>
              <w:pStyle w:val="45"/>
              <w:rPr>
                <w:rFonts w:hint="default"/>
              </w:rPr>
            </w:pPr>
            <w:r>
              <w:t>陶瓷膜滤器等成套设备</w:t>
            </w:r>
          </w:p>
        </w:tc>
      </w:tr>
      <w:tr w14:paraId="0A7DE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075" w:type="dxa"/>
            <w:gridSpan w:val="3"/>
            <w:vMerge w:val="continue"/>
            <w:tcBorders>
              <w:top w:val="single" w:color="auto" w:sz="4" w:space="0"/>
              <w:left w:val="single" w:color="auto" w:sz="4" w:space="0"/>
              <w:bottom w:val="single" w:color="auto" w:sz="4" w:space="0"/>
              <w:right w:val="single" w:color="auto" w:sz="4" w:space="0"/>
            </w:tcBorders>
            <w:shd w:val="clear" w:color="auto" w:fill="auto"/>
          </w:tcPr>
          <w:p w14:paraId="1AD6674D">
            <w:pPr>
              <w:pStyle w:val="45"/>
              <w:rPr>
                <w:rFonts w:hint="default"/>
              </w:rPr>
            </w:pPr>
          </w:p>
        </w:tc>
        <w:tc>
          <w:tcPr>
            <w:tcW w:w="2331" w:type="dxa"/>
            <w:tcBorders>
              <w:top w:val="single" w:color="auto" w:sz="4" w:space="0"/>
              <w:left w:val="single" w:color="auto" w:sz="4" w:space="0"/>
              <w:bottom w:val="single" w:color="auto" w:sz="4" w:space="0"/>
              <w:right w:val="single" w:color="auto" w:sz="4" w:space="0"/>
            </w:tcBorders>
            <w:shd w:val="clear" w:color="auto" w:fill="auto"/>
          </w:tcPr>
          <w:p w14:paraId="298D9432">
            <w:pPr>
              <w:pStyle w:val="45"/>
              <w:rPr>
                <w:rFonts w:hint="default"/>
              </w:rPr>
            </w:pPr>
            <w:r>
              <w:t>真空结晶器</w:t>
            </w:r>
          </w:p>
        </w:tc>
        <w:tc>
          <w:tcPr>
            <w:tcW w:w="3116" w:type="dxa"/>
            <w:tcBorders>
              <w:top w:val="single" w:color="auto" w:sz="4" w:space="0"/>
              <w:left w:val="single" w:color="auto" w:sz="4" w:space="0"/>
              <w:bottom w:val="single" w:color="auto" w:sz="4" w:space="0"/>
              <w:right w:val="single" w:color="auto" w:sz="4" w:space="0"/>
            </w:tcBorders>
            <w:shd w:val="clear" w:color="auto" w:fill="auto"/>
          </w:tcPr>
          <w:p w14:paraId="0551C441">
            <w:pPr>
              <w:pStyle w:val="45"/>
              <w:rPr>
                <w:rFonts w:hint="default"/>
              </w:rPr>
            </w:pPr>
            <w:r>
              <w:t>真空结晶器</w:t>
            </w:r>
          </w:p>
        </w:tc>
      </w:tr>
      <w:tr w14:paraId="1EDDA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075" w:type="dxa"/>
            <w:gridSpan w:val="3"/>
            <w:vMerge w:val="continue"/>
            <w:tcBorders>
              <w:top w:val="single" w:color="auto" w:sz="4" w:space="0"/>
              <w:left w:val="single" w:color="auto" w:sz="4" w:space="0"/>
              <w:bottom w:val="single" w:color="auto" w:sz="4" w:space="0"/>
              <w:right w:val="single" w:color="auto" w:sz="4" w:space="0"/>
            </w:tcBorders>
            <w:shd w:val="clear" w:color="auto" w:fill="auto"/>
          </w:tcPr>
          <w:p w14:paraId="482F0634">
            <w:pPr>
              <w:pStyle w:val="45"/>
              <w:rPr>
                <w:rFonts w:hint="default"/>
              </w:rPr>
            </w:pPr>
          </w:p>
        </w:tc>
        <w:tc>
          <w:tcPr>
            <w:tcW w:w="2331" w:type="dxa"/>
            <w:tcBorders>
              <w:top w:val="single" w:color="auto" w:sz="4" w:space="0"/>
              <w:left w:val="single" w:color="auto" w:sz="4" w:space="0"/>
              <w:bottom w:val="single" w:color="auto" w:sz="4" w:space="0"/>
              <w:right w:val="single" w:color="auto" w:sz="4" w:space="0"/>
            </w:tcBorders>
            <w:shd w:val="clear" w:color="auto" w:fill="auto"/>
          </w:tcPr>
          <w:p w14:paraId="53CCB391">
            <w:pPr>
              <w:pStyle w:val="45"/>
              <w:rPr>
                <w:rFonts w:hint="default"/>
              </w:rPr>
            </w:pPr>
            <w:r>
              <w:t>振动流化床干燥装置</w:t>
            </w:r>
          </w:p>
        </w:tc>
        <w:tc>
          <w:tcPr>
            <w:tcW w:w="3116" w:type="dxa"/>
            <w:tcBorders>
              <w:top w:val="single" w:color="auto" w:sz="4" w:space="0"/>
              <w:left w:val="single" w:color="auto" w:sz="4" w:space="0"/>
              <w:bottom w:val="single" w:color="auto" w:sz="4" w:space="0"/>
              <w:right w:val="single" w:color="auto" w:sz="4" w:space="0"/>
            </w:tcBorders>
            <w:shd w:val="clear" w:color="auto" w:fill="auto"/>
          </w:tcPr>
          <w:p w14:paraId="3DE2C738">
            <w:pPr>
              <w:pStyle w:val="45"/>
              <w:rPr>
                <w:rFonts w:hint="default"/>
              </w:rPr>
            </w:pPr>
            <w:r>
              <w:t>振动流化床干燥装置</w:t>
            </w:r>
          </w:p>
        </w:tc>
      </w:tr>
      <w:tr w14:paraId="6AC72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075" w:type="dxa"/>
            <w:gridSpan w:val="3"/>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CDBE877">
            <w:pPr>
              <w:pStyle w:val="45"/>
              <w:rPr>
                <w:rFonts w:hint="default"/>
              </w:rPr>
            </w:pPr>
            <w:r>
              <w:t>主要生产工艺</w:t>
            </w:r>
          </w:p>
        </w:tc>
        <w:tc>
          <w:tcPr>
            <w:tcW w:w="2331" w:type="dxa"/>
            <w:tcBorders>
              <w:top w:val="single" w:color="auto" w:sz="4" w:space="0"/>
              <w:left w:val="single" w:color="auto" w:sz="4" w:space="0"/>
              <w:bottom w:val="single" w:color="auto" w:sz="4" w:space="0"/>
              <w:right w:val="single" w:color="auto" w:sz="4" w:space="0"/>
            </w:tcBorders>
            <w:shd w:val="clear" w:color="auto" w:fill="auto"/>
            <w:vAlign w:val="center"/>
          </w:tcPr>
          <w:p w14:paraId="6B1D9BBB">
            <w:pPr>
              <w:pStyle w:val="45"/>
              <w:rPr>
                <w:rFonts w:hint="default"/>
              </w:rPr>
            </w:pPr>
            <w:r>
              <w:t>陶瓷膜分离技术</w:t>
            </w:r>
          </w:p>
        </w:tc>
        <w:tc>
          <w:tcPr>
            <w:tcW w:w="3116" w:type="dxa"/>
            <w:tcBorders>
              <w:top w:val="single" w:color="auto" w:sz="4" w:space="0"/>
              <w:left w:val="single" w:color="auto" w:sz="4" w:space="0"/>
              <w:bottom w:val="single" w:color="auto" w:sz="4" w:space="0"/>
              <w:right w:val="single" w:color="auto" w:sz="4" w:space="0"/>
            </w:tcBorders>
            <w:shd w:val="clear" w:color="auto" w:fill="auto"/>
            <w:vAlign w:val="center"/>
          </w:tcPr>
          <w:p w14:paraId="2CA009A2">
            <w:pPr>
              <w:pStyle w:val="45"/>
              <w:rPr>
                <w:rFonts w:hint="default"/>
              </w:rPr>
            </w:pPr>
            <w:r>
              <w:t>陶瓷膜分离技术</w:t>
            </w:r>
          </w:p>
        </w:tc>
      </w:tr>
      <w:tr w14:paraId="09A50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exact"/>
        </w:trPr>
        <w:tc>
          <w:tcPr>
            <w:tcW w:w="3075" w:type="dxa"/>
            <w:gridSpan w:val="3"/>
            <w:vMerge w:val="continue"/>
            <w:tcBorders>
              <w:top w:val="single" w:color="auto" w:sz="4" w:space="0"/>
              <w:left w:val="single" w:color="auto" w:sz="4" w:space="0"/>
              <w:bottom w:val="single" w:color="auto" w:sz="4" w:space="0"/>
              <w:right w:val="single" w:color="auto" w:sz="4" w:space="0"/>
            </w:tcBorders>
            <w:shd w:val="clear" w:color="auto" w:fill="auto"/>
          </w:tcPr>
          <w:p w14:paraId="409CD236">
            <w:pPr>
              <w:pStyle w:val="45"/>
              <w:rPr>
                <w:rFonts w:hint="default"/>
              </w:rPr>
            </w:pPr>
          </w:p>
        </w:tc>
        <w:tc>
          <w:tcPr>
            <w:tcW w:w="2331" w:type="dxa"/>
            <w:tcBorders>
              <w:top w:val="single" w:color="auto" w:sz="4" w:space="0"/>
              <w:left w:val="single" w:color="auto" w:sz="4" w:space="0"/>
              <w:bottom w:val="single" w:color="auto" w:sz="4" w:space="0"/>
              <w:right w:val="single" w:color="auto" w:sz="4" w:space="0"/>
            </w:tcBorders>
            <w:shd w:val="clear" w:color="auto" w:fill="auto"/>
            <w:vAlign w:val="center"/>
          </w:tcPr>
          <w:p w14:paraId="7C1BC718">
            <w:pPr>
              <w:pStyle w:val="45"/>
              <w:rPr>
                <w:rFonts w:hint="default"/>
              </w:rPr>
            </w:pPr>
            <w:r>
              <w:t>单极气提外循环</w:t>
            </w:r>
          </w:p>
          <w:p w14:paraId="25D32E49">
            <w:pPr>
              <w:pStyle w:val="45"/>
              <w:rPr>
                <w:rFonts w:hint="default"/>
              </w:rPr>
            </w:pPr>
            <w:r>
              <w:t>氯酸钠电解技术</w:t>
            </w:r>
          </w:p>
        </w:tc>
        <w:tc>
          <w:tcPr>
            <w:tcW w:w="3116" w:type="dxa"/>
            <w:tcBorders>
              <w:top w:val="single" w:color="auto" w:sz="4" w:space="0"/>
              <w:left w:val="single" w:color="auto" w:sz="4" w:space="0"/>
              <w:bottom w:val="single" w:color="auto" w:sz="4" w:space="0"/>
              <w:right w:val="single" w:color="auto" w:sz="4" w:space="0"/>
            </w:tcBorders>
            <w:shd w:val="clear" w:color="auto" w:fill="auto"/>
            <w:vAlign w:val="center"/>
          </w:tcPr>
          <w:p w14:paraId="215E174D">
            <w:pPr>
              <w:pStyle w:val="45"/>
              <w:rPr>
                <w:rFonts w:hint="default"/>
              </w:rPr>
            </w:pPr>
            <w:r>
              <w:t>单极气提外循环</w:t>
            </w:r>
          </w:p>
          <w:p w14:paraId="54598F76">
            <w:pPr>
              <w:pStyle w:val="45"/>
              <w:rPr>
                <w:rFonts w:hint="default"/>
              </w:rPr>
            </w:pPr>
            <w:r>
              <w:t>氯酸钠电解技术</w:t>
            </w:r>
          </w:p>
        </w:tc>
      </w:tr>
      <w:tr w14:paraId="655E4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075" w:type="dxa"/>
            <w:gridSpan w:val="3"/>
            <w:vMerge w:val="continue"/>
            <w:tcBorders>
              <w:top w:val="single" w:color="auto" w:sz="4" w:space="0"/>
              <w:left w:val="single" w:color="auto" w:sz="4" w:space="0"/>
              <w:bottom w:val="single" w:color="auto" w:sz="4" w:space="0"/>
              <w:right w:val="single" w:color="auto" w:sz="4" w:space="0"/>
            </w:tcBorders>
            <w:shd w:val="clear" w:color="auto" w:fill="auto"/>
          </w:tcPr>
          <w:p w14:paraId="05D2B685">
            <w:pPr>
              <w:pStyle w:val="45"/>
              <w:rPr>
                <w:rFonts w:hint="default"/>
              </w:rPr>
            </w:pPr>
          </w:p>
        </w:tc>
        <w:tc>
          <w:tcPr>
            <w:tcW w:w="2331" w:type="dxa"/>
            <w:tcBorders>
              <w:top w:val="single" w:color="auto" w:sz="4" w:space="0"/>
              <w:left w:val="single" w:color="auto" w:sz="4" w:space="0"/>
              <w:bottom w:val="single" w:color="auto" w:sz="4" w:space="0"/>
              <w:right w:val="single" w:color="auto" w:sz="4" w:space="0"/>
            </w:tcBorders>
            <w:shd w:val="clear" w:color="auto" w:fill="auto"/>
            <w:vAlign w:val="center"/>
          </w:tcPr>
          <w:p w14:paraId="2DF284DB">
            <w:pPr>
              <w:pStyle w:val="45"/>
              <w:rPr>
                <w:rFonts w:hint="default"/>
              </w:rPr>
            </w:pPr>
            <w:r>
              <w:t>真空结晶工艺</w:t>
            </w:r>
          </w:p>
        </w:tc>
        <w:tc>
          <w:tcPr>
            <w:tcW w:w="3116" w:type="dxa"/>
            <w:tcBorders>
              <w:top w:val="single" w:color="auto" w:sz="4" w:space="0"/>
              <w:left w:val="single" w:color="auto" w:sz="4" w:space="0"/>
              <w:bottom w:val="single" w:color="auto" w:sz="4" w:space="0"/>
              <w:right w:val="single" w:color="auto" w:sz="4" w:space="0"/>
            </w:tcBorders>
            <w:shd w:val="clear" w:color="auto" w:fill="auto"/>
            <w:vAlign w:val="center"/>
          </w:tcPr>
          <w:p w14:paraId="53913261">
            <w:pPr>
              <w:pStyle w:val="45"/>
              <w:rPr>
                <w:rFonts w:hint="default"/>
              </w:rPr>
            </w:pPr>
            <w:r>
              <w:t>真空结晶工艺</w:t>
            </w:r>
          </w:p>
        </w:tc>
      </w:tr>
      <w:tr w14:paraId="0B9C2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exact"/>
        </w:trPr>
        <w:tc>
          <w:tcPr>
            <w:tcW w:w="3075" w:type="dxa"/>
            <w:gridSpan w:val="3"/>
            <w:vMerge w:val="continue"/>
            <w:tcBorders>
              <w:top w:val="single" w:color="auto" w:sz="4" w:space="0"/>
              <w:left w:val="single" w:color="auto" w:sz="4" w:space="0"/>
              <w:bottom w:val="single" w:color="auto" w:sz="4" w:space="0"/>
              <w:right w:val="single" w:color="auto" w:sz="4" w:space="0"/>
            </w:tcBorders>
            <w:shd w:val="clear" w:color="auto" w:fill="auto"/>
          </w:tcPr>
          <w:p w14:paraId="058A8B05">
            <w:pPr>
              <w:pStyle w:val="45"/>
              <w:rPr>
                <w:rFonts w:hint="default"/>
              </w:rPr>
            </w:pPr>
          </w:p>
        </w:tc>
        <w:tc>
          <w:tcPr>
            <w:tcW w:w="2331" w:type="dxa"/>
            <w:tcBorders>
              <w:top w:val="single" w:color="auto" w:sz="4" w:space="0"/>
              <w:left w:val="single" w:color="auto" w:sz="4" w:space="0"/>
              <w:bottom w:val="single" w:color="auto" w:sz="4" w:space="0"/>
              <w:right w:val="single" w:color="auto" w:sz="4" w:space="0"/>
            </w:tcBorders>
            <w:shd w:val="clear" w:color="auto" w:fill="auto"/>
            <w:vAlign w:val="center"/>
          </w:tcPr>
          <w:p w14:paraId="3C2FDBF6">
            <w:pPr>
              <w:pStyle w:val="45"/>
              <w:rPr>
                <w:rFonts w:hint="default"/>
              </w:rPr>
            </w:pPr>
            <w:r>
              <w:t>振动流化床干燥工艺</w:t>
            </w:r>
          </w:p>
        </w:tc>
        <w:tc>
          <w:tcPr>
            <w:tcW w:w="3116" w:type="dxa"/>
            <w:tcBorders>
              <w:top w:val="single" w:color="auto" w:sz="4" w:space="0"/>
              <w:left w:val="single" w:color="auto" w:sz="4" w:space="0"/>
              <w:bottom w:val="single" w:color="auto" w:sz="4" w:space="0"/>
              <w:right w:val="single" w:color="auto" w:sz="4" w:space="0"/>
            </w:tcBorders>
            <w:shd w:val="clear" w:color="auto" w:fill="auto"/>
            <w:vAlign w:val="center"/>
          </w:tcPr>
          <w:p w14:paraId="72E54752">
            <w:pPr>
              <w:pStyle w:val="45"/>
              <w:rPr>
                <w:rFonts w:hint="default"/>
              </w:rPr>
            </w:pPr>
            <w:r>
              <w:t>振动流化床干燥工艺</w:t>
            </w:r>
          </w:p>
        </w:tc>
      </w:tr>
      <w:tr w14:paraId="01650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5" w:hRule="exact"/>
        </w:trPr>
        <w:tc>
          <w:tcPr>
            <w:tcW w:w="3075"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2A7877AC">
            <w:pPr>
              <w:pStyle w:val="45"/>
              <w:rPr>
                <w:rFonts w:hint="default"/>
              </w:rPr>
            </w:pPr>
            <w:r>
              <w:t>一次电解废气处理装置</w:t>
            </w:r>
          </w:p>
        </w:tc>
        <w:tc>
          <w:tcPr>
            <w:tcW w:w="2331" w:type="dxa"/>
            <w:tcBorders>
              <w:top w:val="single" w:color="auto" w:sz="4" w:space="0"/>
              <w:left w:val="single" w:color="auto" w:sz="4" w:space="0"/>
              <w:bottom w:val="single" w:color="auto" w:sz="4" w:space="0"/>
              <w:right w:val="single" w:color="auto" w:sz="4" w:space="0"/>
            </w:tcBorders>
            <w:shd w:val="clear" w:color="auto" w:fill="auto"/>
            <w:vAlign w:val="center"/>
          </w:tcPr>
          <w:p w14:paraId="35428F91">
            <w:pPr>
              <w:pStyle w:val="45"/>
              <w:rPr>
                <w:rFonts w:hint="default"/>
              </w:rPr>
            </w:pPr>
            <w:r>
              <w:rPr>
                <w:rFonts w:hint="eastAsia"/>
                <w:lang w:val="en-US" w:eastAsia="zh-CN"/>
              </w:rPr>
              <w:t>盐水洗涤+一级碱洗+水洗</w:t>
            </w:r>
            <w:r>
              <w:t>（处理效率99.9%）</w:t>
            </w:r>
          </w:p>
        </w:tc>
        <w:tc>
          <w:tcPr>
            <w:tcW w:w="3116" w:type="dxa"/>
            <w:tcBorders>
              <w:top w:val="single" w:color="auto" w:sz="4" w:space="0"/>
              <w:left w:val="single" w:color="auto" w:sz="4" w:space="0"/>
              <w:bottom w:val="single" w:color="auto" w:sz="4" w:space="0"/>
              <w:right w:val="single" w:color="auto" w:sz="4" w:space="0"/>
            </w:tcBorders>
            <w:shd w:val="clear" w:color="auto" w:fill="auto"/>
            <w:vAlign w:val="center"/>
          </w:tcPr>
          <w:p w14:paraId="4F6BBA29">
            <w:pPr>
              <w:pStyle w:val="45"/>
              <w:rPr>
                <w:rFonts w:hint="default"/>
              </w:rPr>
            </w:pPr>
            <w:r>
              <w:t>四级碱喷淋+除雾塔</w:t>
            </w:r>
          </w:p>
          <w:p w14:paraId="3260B592">
            <w:pPr>
              <w:pStyle w:val="45"/>
              <w:rPr>
                <w:rFonts w:hint="default"/>
              </w:rPr>
            </w:pPr>
            <w:r>
              <w:t>（处理效率99.9%）</w:t>
            </w:r>
          </w:p>
        </w:tc>
      </w:tr>
      <w:tr w14:paraId="5E25E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3075" w:type="dxa"/>
            <w:gridSpan w:val="3"/>
            <w:tcBorders>
              <w:top w:val="single" w:color="auto" w:sz="4" w:space="0"/>
              <w:left w:val="single" w:color="auto" w:sz="4" w:space="0"/>
              <w:bottom w:val="single" w:color="auto" w:sz="4" w:space="0"/>
              <w:right w:val="single" w:color="auto" w:sz="4" w:space="0"/>
            </w:tcBorders>
            <w:shd w:val="clear" w:color="auto" w:fill="auto"/>
          </w:tcPr>
          <w:p w14:paraId="4C0F953D">
            <w:pPr>
              <w:pStyle w:val="45"/>
              <w:rPr>
                <w:rFonts w:hint="default"/>
              </w:rPr>
            </w:pPr>
            <w:r>
              <w:t>干燥废气处理装置</w:t>
            </w:r>
          </w:p>
        </w:tc>
        <w:tc>
          <w:tcPr>
            <w:tcW w:w="2331" w:type="dxa"/>
            <w:tcBorders>
              <w:top w:val="single" w:color="auto" w:sz="4" w:space="0"/>
              <w:left w:val="single" w:color="auto" w:sz="4" w:space="0"/>
              <w:bottom w:val="single" w:color="auto" w:sz="4" w:space="0"/>
              <w:right w:val="single" w:color="auto" w:sz="4" w:space="0"/>
            </w:tcBorders>
            <w:shd w:val="clear" w:color="auto" w:fill="auto"/>
          </w:tcPr>
          <w:p w14:paraId="43D9132A">
            <w:pPr>
              <w:pStyle w:val="45"/>
              <w:rPr>
                <w:rFonts w:hint="default"/>
              </w:rPr>
            </w:pPr>
            <w:r>
              <w:t>二次布袋除尘器</w:t>
            </w:r>
          </w:p>
        </w:tc>
        <w:tc>
          <w:tcPr>
            <w:tcW w:w="3116" w:type="dxa"/>
            <w:tcBorders>
              <w:top w:val="single" w:color="auto" w:sz="4" w:space="0"/>
              <w:left w:val="single" w:color="auto" w:sz="4" w:space="0"/>
              <w:bottom w:val="single" w:color="auto" w:sz="4" w:space="0"/>
              <w:right w:val="single" w:color="auto" w:sz="4" w:space="0"/>
            </w:tcBorders>
            <w:shd w:val="clear" w:color="auto" w:fill="auto"/>
          </w:tcPr>
          <w:p w14:paraId="1FFADE77">
            <w:pPr>
              <w:pStyle w:val="45"/>
              <w:rPr>
                <w:rFonts w:hint="default"/>
              </w:rPr>
            </w:pPr>
            <w:r>
              <w:t xml:space="preserve"> 二级旋风+布袋除尘器</w:t>
            </w:r>
          </w:p>
        </w:tc>
      </w:tr>
      <w:tr w14:paraId="7080C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116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2D34782">
            <w:pPr>
              <w:pStyle w:val="45"/>
              <w:rPr>
                <w:rFonts w:hint="default"/>
              </w:rPr>
            </w:pPr>
            <w:r>
              <w:t>主要污染物验收监测结果</w:t>
            </w:r>
          </w:p>
        </w:tc>
        <w:tc>
          <w:tcPr>
            <w:tcW w:w="75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D6929C6">
            <w:pPr>
              <w:pStyle w:val="45"/>
              <w:rPr>
                <w:rFonts w:hint="default"/>
              </w:rPr>
            </w:pPr>
            <w:r>
              <w:t>Cl</w:t>
            </w:r>
            <w:r>
              <w:rPr>
                <w:vertAlign w:val="subscript"/>
              </w:rPr>
              <w:t>2</w:t>
            </w:r>
          </w:p>
        </w:tc>
        <w:tc>
          <w:tcPr>
            <w:tcW w:w="1160" w:type="dxa"/>
            <w:tcBorders>
              <w:top w:val="single" w:color="auto" w:sz="4" w:space="0"/>
              <w:left w:val="single" w:color="auto" w:sz="4" w:space="0"/>
              <w:bottom w:val="single" w:color="auto" w:sz="4" w:space="0"/>
              <w:right w:val="single" w:color="auto" w:sz="4" w:space="0"/>
            </w:tcBorders>
            <w:shd w:val="clear" w:color="auto" w:fill="auto"/>
            <w:vAlign w:val="center"/>
          </w:tcPr>
          <w:p w14:paraId="7AC169EC">
            <w:pPr>
              <w:pStyle w:val="45"/>
              <w:rPr>
                <w:rFonts w:hint="default"/>
              </w:rPr>
            </w:pPr>
            <w:r>
              <w:t>处理前</w:t>
            </w:r>
          </w:p>
        </w:tc>
        <w:tc>
          <w:tcPr>
            <w:tcW w:w="2331" w:type="dxa"/>
            <w:tcBorders>
              <w:top w:val="single" w:color="auto" w:sz="4" w:space="0"/>
              <w:left w:val="single" w:color="auto" w:sz="4" w:space="0"/>
              <w:bottom w:val="single" w:color="auto" w:sz="4" w:space="0"/>
              <w:right w:val="single" w:color="auto" w:sz="4" w:space="0"/>
            </w:tcBorders>
            <w:shd w:val="clear" w:color="auto" w:fill="auto"/>
            <w:vAlign w:val="center"/>
          </w:tcPr>
          <w:p w14:paraId="33CC09C0">
            <w:pPr>
              <w:pStyle w:val="45"/>
              <w:rPr>
                <w:rFonts w:hint="default"/>
              </w:rPr>
            </w:pPr>
            <w:r>
              <w:t>/</w:t>
            </w:r>
          </w:p>
        </w:tc>
        <w:tc>
          <w:tcPr>
            <w:tcW w:w="3116" w:type="dxa"/>
            <w:tcBorders>
              <w:top w:val="single" w:color="auto" w:sz="4" w:space="0"/>
              <w:left w:val="single" w:color="auto" w:sz="4" w:space="0"/>
              <w:bottom w:val="single" w:color="auto" w:sz="4" w:space="0"/>
              <w:right w:val="single" w:color="auto" w:sz="4" w:space="0"/>
            </w:tcBorders>
            <w:shd w:val="clear" w:color="auto" w:fill="auto"/>
            <w:vAlign w:val="center"/>
          </w:tcPr>
          <w:p w14:paraId="26526069">
            <w:pPr>
              <w:pStyle w:val="45"/>
              <w:rPr>
                <w:rFonts w:hint="default"/>
              </w:rPr>
            </w:pPr>
            <w:r>
              <w:t>0.66kg/h</w:t>
            </w:r>
          </w:p>
        </w:tc>
      </w:tr>
      <w:tr w14:paraId="364E5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116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56899F9">
            <w:pPr>
              <w:pStyle w:val="45"/>
              <w:rPr>
                <w:rFonts w:hint="default"/>
              </w:rPr>
            </w:pPr>
          </w:p>
        </w:tc>
        <w:tc>
          <w:tcPr>
            <w:tcW w:w="75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F925385">
            <w:pPr>
              <w:pStyle w:val="45"/>
              <w:rPr>
                <w:rFonts w:hint="default"/>
              </w:rPr>
            </w:pPr>
          </w:p>
        </w:tc>
        <w:tc>
          <w:tcPr>
            <w:tcW w:w="1160" w:type="dxa"/>
            <w:tcBorders>
              <w:top w:val="single" w:color="auto" w:sz="4" w:space="0"/>
              <w:left w:val="single" w:color="auto" w:sz="4" w:space="0"/>
              <w:bottom w:val="single" w:color="auto" w:sz="4" w:space="0"/>
              <w:right w:val="single" w:color="auto" w:sz="4" w:space="0"/>
            </w:tcBorders>
            <w:shd w:val="clear" w:color="auto" w:fill="auto"/>
            <w:vAlign w:val="center"/>
          </w:tcPr>
          <w:p w14:paraId="71C7AB05">
            <w:pPr>
              <w:pStyle w:val="45"/>
              <w:rPr>
                <w:rFonts w:hint="default"/>
              </w:rPr>
            </w:pPr>
            <w:r>
              <w:t>排放口</w:t>
            </w:r>
          </w:p>
        </w:tc>
        <w:tc>
          <w:tcPr>
            <w:tcW w:w="2331" w:type="dxa"/>
            <w:tcBorders>
              <w:top w:val="single" w:color="auto" w:sz="4" w:space="0"/>
              <w:left w:val="single" w:color="auto" w:sz="4" w:space="0"/>
              <w:bottom w:val="single" w:color="auto" w:sz="4" w:space="0"/>
              <w:right w:val="single" w:color="auto" w:sz="4" w:space="0"/>
            </w:tcBorders>
            <w:shd w:val="clear" w:color="auto" w:fill="auto"/>
            <w:vAlign w:val="center"/>
          </w:tcPr>
          <w:p w14:paraId="26134957">
            <w:pPr>
              <w:pStyle w:val="45"/>
              <w:rPr>
                <w:rFonts w:hint="default"/>
              </w:rPr>
            </w:pPr>
            <w:r>
              <w:t>/</w:t>
            </w:r>
          </w:p>
        </w:tc>
        <w:tc>
          <w:tcPr>
            <w:tcW w:w="3116" w:type="dxa"/>
            <w:tcBorders>
              <w:top w:val="single" w:color="auto" w:sz="4" w:space="0"/>
              <w:left w:val="single" w:color="auto" w:sz="4" w:space="0"/>
              <w:bottom w:val="single" w:color="auto" w:sz="4" w:space="0"/>
              <w:right w:val="single" w:color="auto" w:sz="4" w:space="0"/>
            </w:tcBorders>
            <w:shd w:val="clear" w:color="auto" w:fill="auto"/>
            <w:vAlign w:val="center"/>
          </w:tcPr>
          <w:p w14:paraId="50350AED">
            <w:pPr>
              <w:pStyle w:val="45"/>
              <w:rPr>
                <w:rFonts w:hint="default"/>
              </w:rPr>
            </w:pPr>
            <w:r>
              <w:t>0.00878kg/h</w:t>
            </w:r>
          </w:p>
        </w:tc>
      </w:tr>
      <w:tr w14:paraId="791BD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116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420FBD8">
            <w:pPr>
              <w:pStyle w:val="45"/>
              <w:rPr>
                <w:rFonts w:hint="default"/>
              </w:rPr>
            </w:pPr>
          </w:p>
        </w:tc>
        <w:tc>
          <w:tcPr>
            <w:tcW w:w="75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8EB32F0">
            <w:pPr>
              <w:pStyle w:val="45"/>
              <w:rPr>
                <w:rFonts w:hint="default"/>
              </w:rPr>
            </w:pPr>
          </w:p>
        </w:tc>
        <w:tc>
          <w:tcPr>
            <w:tcW w:w="1160" w:type="dxa"/>
            <w:tcBorders>
              <w:top w:val="single" w:color="auto" w:sz="4" w:space="0"/>
              <w:left w:val="single" w:color="auto" w:sz="4" w:space="0"/>
              <w:bottom w:val="single" w:color="auto" w:sz="4" w:space="0"/>
              <w:right w:val="single" w:color="auto" w:sz="4" w:space="0"/>
            </w:tcBorders>
            <w:shd w:val="clear" w:color="auto" w:fill="auto"/>
            <w:vAlign w:val="center"/>
          </w:tcPr>
          <w:p w14:paraId="11713E1E">
            <w:pPr>
              <w:pStyle w:val="45"/>
              <w:rPr>
                <w:rFonts w:hint="default"/>
              </w:rPr>
            </w:pPr>
            <w:r>
              <w:t>去除率</w:t>
            </w:r>
          </w:p>
        </w:tc>
        <w:tc>
          <w:tcPr>
            <w:tcW w:w="2331" w:type="dxa"/>
            <w:tcBorders>
              <w:top w:val="single" w:color="auto" w:sz="4" w:space="0"/>
              <w:left w:val="single" w:color="auto" w:sz="4" w:space="0"/>
              <w:bottom w:val="single" w:color="auto" w:sz="4" w:space="0"/>
              <w:right w:val="single" w:color="auto" w:sz="4" w:space="0"/>
            </w:tcBorders>
            <w:shd w:val="clear" w:color="auto" w:fill="auto"/>
            <w:vAlign w:val="center"/>
          </w:tcPr>
          <w:p w14:paraId="77A95DBE">
            <w:pPr>
              <w:pStyle w:val="45"/>
              <w:rPr>
                <w:rFonts w:hint="default"/>
              </w:rPr>
            </w:pPr>
            <w:r>
              <w:t>/</w:t>
            </w:r>
          </w:p>
        </w:tc>
        <w:tc>
          <w:tcPr>
            <w:tcW w:w="3116" w:type="dxa"/>
            <w:tcBorders>
              <w:top w:val="single" w:color="auto" w:sz="4" w:space="0"/>
              <w:left w:val="single" w:color="auto" w:sz="4" w:space="0"/>
              <w:bottom w:val="single" w:color="auto" w:sz="4" w:space="0"/>
              <w:right w:val="single" w:color="auto" w:sz="4" w:space="0"/>
            </w:tcBorders>
            <w:shd w:val="clear" w:color="auto" w:fill="auto"/>
            <w:vAlign w:val="center"/>
          </w:tcPr>
          <w:p w14:paraId="38CCD6C3">
            <w:pPr>
              <w:pStyle w:val="45"/>
              <w:rPr>
                <w:rFonts w:hint="default"/>
              </w:rPr>
            </w:pPr>
            <w:r>
              <w:t>98.6%</w:t>
            </w:r>
          </w:p>
        </w:tc>
      </w:tr>
      <w:tr w14:paraId="09C48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116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5DF13EF">
            <w:pPr>
              <w:pStyle w:val="45"/>
              <w:rPr>
                <w:rFonts w:hint="default"/>
              </w:rPr>
            </w:pPr>
          </w:p>
        </w:tc>
        <w:tc>
          <w:tcPr>
            <w:tcW w:w="75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7F178F6">
            <w:pPr>
              <w:pStyle w:val="45"/>
              <w:rPr>
                <w:rFonts w:hint="default"/>
              </w:rPr>
            </w:pPr>
            <w:r>
              <w:t>干燥粉尘</w:t>
            </w:r>
          </w:p>
        </w:tc>
        <w:tc>
          <w:tcPr>
            <w:tcW w:w="1160" w:type="dxa"/>
            <w:tcBorders>
              <w:top w:val="single" w:color="auto" w:sz="4" w:space="0"/>
              <w:left w:val="single" w:color="auto" w:sz="4" w:space="0"/>
              <w:bottom w:val="single" w:color="auto" w:sz="4" w:space="0"/>
              <w:right w:val="single" w:color="auto" w:sz="4" w:space="0"/>
            </w:tcBorders>
            <w:shd w:val="clear" w:color="auto" w:fill="auto"/>
            <w:vAlign w:val="center"/>
          </w:tcPr>
          <w:p w14:paraId="37CFC3B1">
            <w:pPr>
              <w:pStyle w:val="45"/>
              <w:rPr>
                <w:rFonts w:hint="default"/>
              </w:rPr>
            </w:pPr>
            <w:r>
              <w:t>处理前</w:t>
            </w:r>
          </w:p>
        </w:tc>
        <w:tc>
          <w:tcPr>
            <w:tcW w:w="2331" w:type="dxa"/>
            <w:tcBorders>
              <w:top w:val="single" w:color="auto" w:sz="4" w:space="0"/>
              <w:left w:val="single" w:color="auto" w:sz="4" w:space="0"/>
              <w:bottom w:val="single" w:color="auto" w:sz="4" w:space="0"/>
              <w:right w:val="single" w:color="auto" w:sz="4" w:space="0"/>
            </w:tcBorders>
            <w:shd w:val="clear" w:color="auto" w:fill="auto"/>
            <w:vAlign w:val="center"/>
          </w:tcPr>
          <w:p w14:paraId="629FA4FB">
            <w:pPr>
              <w:pStyle w:val="45"/>
              <w:rPr>
                <w:rFonts w:hint="default"/>
              </w:rPr>
            </w:pPr>
            <w:r>
              <w:t>/</w:t>
            </w:r>
          </w:p>
        </w:tc>
        <w:tc>
          <w:tcPr>
            <w:tcW w:w="3116" w:type="dxa"/>
            <w:tcBorders>
              <w:top w:val="single" w:color="auto" w:sz="4" w:space="0"/>
              <w:left w:val="single" w:color="auto" w:sz="4" w:space="0"/>
              <w:bottom w:val="single" w:color="auto" w:sz="4" w:space="0"/>
              <w:right w:val="single" w:color="auto" w:sz="4" w:space="0"/>
            </w:tcBorders>
            <w:shd w:val="clear" w:color="auto" w:fill="auto"/>
            <w:vAlign w:val="center"/>
          </w:tcPr>
          <w:p w14:paraId="583E794D">
            <w:pPr>
              <w:pStyle w:val="45"/>
              <w:rPr>
                <w:rFonts w:hint="default"/>
              </w:rPr>
            </w:pPr>
            <w:r>
              <w:t>270kg/h</w:t>
            </w:r>
          </w:p>
        </w:tc>
      </w:tr>
      <w:tr w14:paraId="42F0C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116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0993452">
            <w:pPr>
              <w:pStyle w:val="45"/>
              <w:rPr>
                <w:rFonts w:hint="default"/>
              </w:rPr>
            </w:pPr>
          </w:p>
        </w:tc>
        <w:tc>
          <w:tcPr>
            <w:tcW w:w="75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9CA88F7">
            <w:pPr>
              <w:pStyle w:val="45"/>
              <w:rPr>
                <w:rFonts w:hint="default"/>
              </w:rPr>
            </w:pPr>
          </w:p>
        </w:tc>
        <w:tc>
          <w:tcPr>
            <w:tcW w:w="1160" w:type="dxa"/>
            <w:tcBorders>
              <w:top w:val="single" w:color="auto" w:sz="4" w:space="0"/>
              <w:left w:val="single" w:color="auto" w:sz="4" w:space="0"/>
              <w:bottom w:val="single" w:color="auto" w:sz="4" w:space="0"/>
              <w:right w:val="single" w:color="auto" w:sz="4" w:space="0"/>
            </w:tcBorders>
            <w:shd w:val="clear" w:color="auto" w:fill="auto"/>
            <w:vAlign w:val="center"/>
          </w:tcPr>
          <w:p w14:paraId="76232E97">
            <w:pPr>
              <w:pStyle w:val="45"/>
              <w:rPr>
                <w:rFonts w:hint="default"/>
              </w:rPr>
            </w:pPr>
            <w:r>
              <w:t>排放口</w:t>
            </w:r>
          </w:p>
        </w:tc>
        <w:tc>
          <w:tcPr>
            <w:tcW w:w="2331" w:type="dxa"/>
            <w:tcBorders>
              <w:top w:val="single" w:color="auto" w:sz="4" w:space="0"/>
              <w:left w:val="single" w:color="auto" w:sz="4" w:space="0"/>
              <w:bottom w:val="single" w:color="auto" w:sz="4" w:space="0"/>
              <w:right w:val="single" w:color="auto" w:sz="4" w:space="0"/>
            </w:tcBorders>
            <w:shd w:val="clear" w:color="auto" w:fill="auto"/>
            <w:vAlign w:val="center"/>
          </w:tcPr>
          <w:p w14:paraId="78841657">
            <w:pPr>
              <w:pStyle w:val="45"/>
              <w:rPr>
                <w:rFonts w:hint="default"/>
              </w:rPr>
            </w:pPr>
            <w:r>
              <w:t>/</w:t>
            </w:r>
          </w:p>
        </w:tc>
        <w:tc>
          <w:tcPr>
            <w:tcW w:w="3116" w:type="dxa"/>
            <w:tcBorders>
              <w:top w:val="single" w:color="auto" w:sz="4" w:space="0"/>
              <w:left w:val="single" w:color="auto" w:sz="4" w:space="0"/>
              <w:bottom w:val="single" w:color="auto" w:sz="4" w:space="0"/>
              <w:right w:val="single" w:color="auto" w:sz="4" w:space="0"/>
            </w:tcBorders>
            <w:shd w:val="clear" w:color="auto" w:fill="auto"/>
            <w:vAlign w:val="center"/>
          </w:tcPr>
          <w:p w14:paraId="2984C799">
            <w:pPr>
              <w:pStyle w:val="45"/>
              <w:rPr>
                <w:rFonts w:hint="default"/>
              </w:rPr>
            </w:pPr>
            <w:r>
              <w:t>0.14kg/h</w:t>
            </w:r>
          </w:p>
        </w:tc>
      </w:tr>
      <w:tr w14:paraId="444E6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trPr>
        <w:tc>
          <w:tcPr>
            <w:tcW w:w="116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2C0B12E">
            <w:pPr>
              <w:pStyle w:val="45"/>
              <w:rPr>
                <w:rFonts w:hint="default"/>
              </w:rPr>
            </w:pPr>
          </w:p>
        </w:tc>
        <w:tc>
          <w:tcPr>
            <w:tcW w:w="75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65A5478">
            <w:pPr>
              <w:pStyle w:val="45"/>
              <w:rPr>
                <w:rFonts w:hint="default"/>
              </w:rPr>
            </w:pPr>
          </w:p>
        </w:tc>
        <w:tc>
          <w:tcPr>
            <w:tcW w:w="1160" w:type="dxa"/>
            <w:tcBorders>
              <w:top w:val="single" w:color="auto" w:sz="4" w:space="0"/>
              <w:left w:val="single" w:color="auto" w:sz="4" w:space="0"/>
              <w:bottom w:val="single" w:color="auto" w:sz="4" w:space="0"/>
              <w:right w:val="single" w:color="auto" w:sz="4" w:space="0"/>
            </w:tcBorders>
            <w:shd w:val="clear" w:color="auto" w:fill="auto"/>
            <w:vAlign w:val="center"/>
          </w:tcPr>
          <w:p w14:paraId="6B240477">
            <w:pPr>
              <w:pStyle w:val="45"/>
              <w:rPr>
                <w:rFonts w:hint="default"/>
              </w:rPr>
            </w:pPr>
            <w:r>
              <w:t>去除率</w:t>
            </w:r>
          </w:p>
        </w:tc>
        <w:tc>
          <w:tcPr>
            <w:tcW w:w="2331" w:type="dxa"/>
            <w:tcBorders>
              <w:top w:val="single" w:color="auto" w:sz="4" w:space="0"/>
              <w:left w:val="single" w:color="auto" w:sz="4" w:space="0"/>
              <w:bottom w:val="single" w:color="auto" w:sz="4" w:space="0"/>
              <w:right w:val="single" w:color="auto" w:sz="4" w:space="0"/>
            </w:tcBorders>
            <w:shd w:val="clear" w:color="auto" w:fill="auto"/>
            <w:vAlign w:val="center"/>
          </w:tcPr>
          <w:p w14:paraId="28B2A325">
            <w:pPr>
              <w:pStyle w:val="45"/>
              <w:rPr>
                <w:rFonts w:hint="default"/>
              </w:rPr>
            </w:pPr>
            <w:r>
              <w:t>/</w:t>
            </w:r>
          </w:p>
        </w:tc>
        <w:tc>
          <w:tcPr>
            <w:tcW w:w="3116" w:type="dxa"/>
            <w:tcBorders>
              <w:top w:val="single" w:color="auto" w:sz="4" w:space="0"/>
              <w:left w:val="single" w:color="auto" w:sz="4" w:space="0"/>
              <w:bottom w:val="single" w:color="auto" w:sz="4" w:space="0"/>
              <w:right w:val="single" w:color="auto" w:sz="4" w:space="0"/>
            </w:tcBorders>
            <w:shd w:val="clear" w:color="auto" w:fill="auto"/>
            <w:vAlign w:val="center"/>
          </w:tcPr>
          <w:p w14:paraId="497A39D1">
            <w:pPr>
              <w:pStyle w:val="45"/>
              <w:rPr>
                <w:rFonts w:hint="default"/>
              </w:rPr>
            </w:pPr>
            <w:r>
              <w:t>99.94%</w:t>
            </w:r>
          </w:p>
        </w:tc>
      </w:tr>
    </w:tbl>
    <w:p w14:paraId="0589F52D">
      <w:pPr>
        <w:ind w:firstLine="0" w:firstLineChars="0"/>
      </w:pPr>
    </w:p>
    <w:p w14:paraId="7DFE581F">
      <w:pPr>
        <w:ind w:firstLine="480"/>
        <w:rPr>
          <w:rFonts w:cs="Times New Roman"/>
          <w:color w:val="000000"/>
        </w:rPr>
      </w:pPr>
      <w:r>
        <w:rPr>
          <w:rFonts w:hint="eastAsia"/>
          <w:lang w:val="en-US" w:eastAsia="zh-CN"/>
        </w:rPr>
        <w:t>根据工程类别调查情况：</w:t>
      </w:r>
      <w:r>
        <w:rPr>
          <w:rFonts w:hint="eastAsia"/>
        </w:rPr>
        <w:t>本项目</w:t>
      </w:r>
      <w:r>
        <w:rPr>
          <w:rFonts w:hint="eastAsia"/>
          <w:lang w:val="en-US" w:eastAsia="zh-CN"/>
        </w:rPr>
        <w:t>与</w:t>
      </w:r>
      <w:r>
        <w:rPr>
          <w:rFonts w:hint="eastAsia"/>
        </w:rPr>
        <w:t>广东鑫国泰科技有限公司年产4.8万吨氯酸盐项目所用氯酸钠生产技术（陶瓷膜分离技术、单极气提外循环氯酸钠电解技术、真空结晶工艺、动流化床干燥工艺）相同，</w:t>
      </w:r>
      <w:r>
        <w:rPr>
          <w:rFonts w:hint="eastAsia"/>
          <w:lang w:val="en-US" w:eastAsia="zh-CN"/>
        </w:rPr>
        <w:t>一次</w:t>
      </w:r>
      <w:r>
        <w:rPr>
          <w:rFonts w:hint="eastAsia"/>
        </w:rPr>
        <w:t>电解</w:t>
      </w:r>
      <w:r>
        <w:rPr>
          <w:rFonts w:hint="eastAsia"/>
          <w:lang w:val="en-US" w:eastAsia="zh-CN"/>
        </w:rPr>
        <w:t>尾气</w:t>
      </w:r>
      <w:r>
        <w:rPr>
          <w:rFonts w:hint="eastAsia"/>
        </w:rPr>
        <w:t>处理装置（盐水洗涤+一级碱洗+水洗，处理效率99.9%）</w:t>
      </w:r>
      <w:r>
        <w:rPr>
          <w:rFonts w:hint="eastAsia"/>
          <w:lang w:val="en-US" w:eastAsia="zh-CN"/>
        </w:rPr>
        <w:t>处理效果</w:t>
      </w:r>
      <w:r>
        <w:rPr>
          <w:rFonts w:hint="eastAsia"/>
        </w:rPr>
        <w:t>基本相同</w:t>
      </w:r>
      <w:r>
        <w:rPr>
          <w:rFonts w:hint="eastAsia"/>
          <w:lang w:eastAsia="zh-CN"/>
        </w:rPr>
        <w:t>，</w:t>
      </w:r>
      <w:r>
        <w:rPr>
          <w:rFonts w:hint="eastAsia"/>
          <w:lang w:val="en-US" w:eastAsia="zh-CN"/>
        </w:rPr>
        <w:t>基本具备类比条件</w:t>
      </w:r>
      <w:r>
        <w:rPr>
          <w:rFonts w:hint="eastAsia" w:cs="Times New Roman"/>
          <w:color w:val="000000"/>
        </w:rPr>
        <w:t>。</w:t>
      </w:r>
    </w:p>
    <w:p w14:paraId="5BE53A7D">
      <w:pPr>
        <w:ind w:firstLine="480"/>
      </w:pPr>
      <w:r>
        <w:rPr>
          <w:rFonts w:hint="eastAsia"/>
        </w:rPr>
        <w:t>依据广东华清检测技术有限公司（2017年8月11日）编制的《广东鑫国泰科技有限公司年产 4.8 万吨氯酸盐项目阶段性验收监测报告》中年产2万吨氯酸钠生产线的验收监测结果：</w:t>
      </w:r>
      <w:r>
        <w:rPr>
          <w:rFonts w:hint="eastAsia"/>
          <w:lang w:val="en-US" w:eastAsia="zh-CN"/>
        </w:rPr>
        <w:t>一次</w:t>
      </w:r>
      <w:r>
        <w:rPr>
          <w:rFonts w:hint="eastAsia"/>
        </w:rPr>
        <w:t>电解工段废气量为1.3×10</w:t>
      </w:r>
      <w:r>
        <w:rPr>
          <w:rFonts w:hint="eastAsia"/>
          <w:vertAlign w:val="superscript"/>
        </w:rPr>
        <w:t>8</w:t>
      </w:r>
      <w:r>
        <w:rPr>
          <w:rFonts w:hint="eastAsia"/>
          <w:lang w:val="en-US" w:eastAsia="zh-CN"/>
        </w:rPr>
        <w:t>N</w:t>
      </w:r>
      <w:r>
        <w:rPr>
          <w:rFonts w:hint="eastAsia"/>
        </w:rPr>
        <w:t>m</w:t>
      </w:r>
      <w:r>
        <w:rPr>
          <w:rFonts w:hint="eastAsia"/>
          <w:vertAlign w:val="superscript"/>
        </w:rPr>
        <w:t>3</w:t>
      </w:r>
      <w:r>
        <w:rPr>
          <w:rFonts w:hint="eastAsia"/>
        </w:rPr>
        <w:t>/a，Cl</w:t>
      </w:r>
      <w:r>
        <w:rPr>
          <w:rFonts w:hint="eastAsia"/>
          <w:vertAlign w:val="subscript"/>
        </w:rPr>
        <w:t>2</w:t>
      </w:r>
      <w:r>
        <w:rPr>
          <w:rFonts w:hint="eastAsia"/>
        </w:rPr>
        <w:t>的产生量为10.5t/a。</w:t>
      </w:r>
    </w:p>
    <w:p w14:paraId="61A5E2EB">
      <w:pPr>
        <w:ind w:firstLine="480"/>
      </w:pPr>
      <w:r>
        <w:rPr>
          <w:rFonts w:hint="eastAsia"/>
        </w:rPr>
        <w:t>本项目氯酸钠年产量</w:t>
      </w:r>
      <w:r>
        <w:rPr>
          <w:rFonts w:hint="eastAsia"/>
          <w:lang w:val="en-US" w:eastAsia="zh-CN"/>
        </w:rPr>
        <w:t>2</w:t>
      </w:r>
      <w:r>
        <w:rPr>
          <w:rFonts w:hint="eastAsia"/>
        </w:rPr>
        <w:t>万吨，通过类比，</w:t>
      </w:r>
      <w:r>
        <w:rPr>
          <w:rFonts w:hint="eastAsia"/>
          <w:lang w:val="en-US" w:eastAsia="zh-CN"/>
        </w:rPr>
        <w:t>结合</w:t>
      </w:r>
      <w:r>
        <w:rPr>
          <w:rFonts w:hint="eastAsia"/>
        </w:rPr>
        <w:t>化学合成反应方程式和氯元素平衡分析</w:t>
      </w:r>
      <w:r>
        <w:rPr>
          <w:rFonts w:hint="eastAsia"/>
          <w:lang w:eastAsia="zh-CN"/>
        </w:rPr>
        <w:t>，</w:t>
      </w:r>
      <w:r>
        <w:rPr>
          <w:rFonts w:hint="eastAsia"/>
        </w:rPr>
        <w:t>则一次电解过程中Cl</w:t>
      </w:r>
      <w:r>
        <w:rPr>
          <w:rFonts w:hint="eastAsia"/>
          <w:vertAlign w:val="subscript"/>
        </w:rPr>
        <w:t>2</w:t>
      </w:r>
      <w:r>
        <w:rPr>
          <w:rFonts w:hint="eastAsia"/>
        </w:rPr>
        <w:t>的产生量约为</w:t>
      </w:r>
      <w:r>
        <w:rPr>
          <w:rFonts w:hint="eastAsia"/>
          <w:lang w:val="en-US" w:eastAsia="zh-CN"/>
        </w:rPr>
        <w:t>10.51</w:t>
      </w:r>
      <w:r>
        <w:rPr>
          <w:rFonts w:hint="eastAsia"/>
        </w:rPr>
        <w:t>t/a，HCl产生量约</w:t>
      </w:r>
      <w:r>
        <w:rPr>
          <w:rFonts w:hint="eastAsia"/>
          <w:lang w:val="en-US" w:eastAsia="zh-CN"/>
        </w:rPr>
        <w:t>10.85</w:t>
      </w:r>
      <w:r>
        <w:rPr>
          <w:rFonts w:hint="eastAsia"/>
        </w:rPr>
        <w:t>t/a。</w:t>
      </w:r>
    </w:p>
    <w:p w14:paraId="1A0C1340">
      <w:pPr>
        <w:ind w:firstLine="480"/>
        <w:rPr>
          <w:rFonts w:hint="eastAsia"/>
          <w:highlight w:val="none"/>
          <w:lang w:val="en-US" w:eastAsia="zh-CN"/>
        </w:rPr>
      </w:pPr>
      <w:r>
        <w:rPr>
          <w:rFonts w:hint="eastAsia"/>
          <w:highlight w:val="none"/>
          <w:lang w:val="en-US" w:eastAsia="zh-CN"/>
        </w:rPr>
        <w:t>一次</w:t>
      </w:r>
      <w:r>
        <w:rPr>
          <w:rFonts w:hint="eastAsia"/>
          <w:highlight w:val="none"/>
        </w:rPr>
        <w:t>电解液储槽为密闭系统，设置有负压抽风装置，</w:t>
      </w:r>
      <w:r>
        <w:rPr>
          <w:rFonts w:hint="eastAsia"/>
          <w:highlight w:val="none"/>
          <w:lang w:val="en-US" w:eastAsia="zh-CN"/>
        </w:rPr>
        <w:t>一次电解尾气</w:t>
      </w:r>
      <w:r>
        <w:rPr>
          <w:rFonts w:hint="eastAsia"/>
          <w:highlight w:val="none"/>
        </w:rPr>
        <w:t>通过尾气集气管收集后通入电解区旁碱洗喷淋塔中，与</w:t>
      </w:r>
      <w:r>
        <w:rPr>
          <w:rFonts w:hint="eastAsia"/>
          <w:highlight w:val="none"/>
          <w:lang w:val="en-US" w:eastAsia="zh-CN"/>
        </w:rPr>
        <w:t>碱洗液</w:t>
      </w:r>
      <w:r>
        <w:rPr>
          <w:rFonts w:hint="eastAsia"/>
          <w:highlight w:val="none"/>
        </w:rPr>
        <w:t>逆流接触，</w:t>
      </w:r>
      <w:r>
        <w:rPr>
          <w:rFonts w:hint="eastAsia"/>
          <w:highlight w:val="none"/>
          <w:lang w:val="en-US" w:eastAsia="zh-CN"/>
        </w:rPr>
        <w:t>一次电解尾气中的</w:t>
      </w:r>
      <w:r>
        <w:rPr>
          <w:rFonts w:hint="eastAsia"/>
          <w:highlight w:val="none"/>
        </w:rPr>
        <w:t>Cl</w:t>
      </w:r>
      <w:r>
        <w:rPr>
          <w:rFonts w:hint="eastAsia"/>
          <w:highlight w:val="none"/>
          <w:vertAlign w:val="subscript"/>
        </w:rPr>
        <w:t>2</w:t>
      </w:r>
      <w:r>
        <w:rPr>
          <w:rFonts w:hint="eastAsia"/>
          <w:highlight w:val="none"/>
        </w:rPr>
        <w:t>、HCl与氢氧化钠在尾气80℃温度下生成NaClO、NaClO</w:t>
      </w:r>
      <w:r>
        <w:rPr>
          <w:rFonts w:hint="eastAsia"/>
          <w:highlight w:val="none"/>
          <w:vertAlign w:val="subscript"/>
        </w:rPr>
        <w:t>3</w:t>
      </w:r>
      <w:r>
        <w:rPr>
          <w:rFonts w:hint="eastAsia"/>
          <w:highlight w:val="none"/>
        </w:rPr>
        <w:t>、NaCl，从而将尾气中Cl</w:t>
      </w:r>
      <w:r>
        <w:rPr>
          <w:rFonts w:hint="eastAsia"/>
          <w:highlight w:val="none"/>
          <w:vertAlign w:val="subscript"/>
        </w:rPr>
        <w:t>2</w:t>
      </w:r>
      <w:r>
        <w:rPr>
          <w:rFonts w:hint="eastAsia"/>
          <w:highlight w:val="none"/>
        </w:rPr>
        <w:t>、HCl吸收而去除。</w:t>
      </w:r>
      <w:r>
        <w:rPr>
          <w:rFonts w:hint="eastAsia"/>
          <w:highlight w:val="none"/>
          <w:lang w:val="en-US" w:eastAsia="zh-CN"/>
        </w:rPr>
        <w:t>本项目一次电解尾气设有氢气回收系统，根据生产需要决定是否启用氢气回收系统，氢气回收系统包含“两级碱洗+水洗”除氯、“钯催化脱氧”除氧、“变压吸附”提纯氢气等装置。</w:t>
      </w:r>
    </w:p>
    <w:p w14:paraId="27CDC2B2">
      <w:pPr>
        <w:ind w:firstLine="480"/>
        <w:rPr>
          <w:rFonts w:hint="eastAsia" w:eastAsia="宋体"/>
          <w:highlight w:val="none"/>
          <w:lang w:val="en-US" w:eastAsia="zh-CN"/>
        </w:rPr>
      </w:pPr>
      <w:r>
        <w:rPr>
          <w:rFonts w:hint="eastAsia"/>
          <w:b/>
          <w:bCs/>
          <w:highlight w:val="none"/>
          <w:lang w:val="en-US" w:eastAsia="zh-CN"/>
        </w:rPr>
        <w:t>氢气未回收时：</w:t>
      </w:r>
      <w:r>
        <w:rPr>
          <w:rFonts w:hint="eastAsia"/>
          <w:highlight w:val="none"/>
        </w:rPr>
        <w:t>一次电解尾气</w:t>
      </w:r>
      <w:r>
        <w:rPr>
          <w:rFonts w:hint="eastAsia"/>
          <w:highlight w:val="none"/>
          <w:lang w:val="en-US" w:eastAsia="zh-CN"/>
        </w:rPr>
        <w:t>通过</w:t>
      </w:r>
      <w:r>
        <w:rPr>
          <w:rFonts w:hint="eastAsia"/>
          <w:highlight w:val="none"/>
        </w:rPr>
        <w:t>“</w:t>
      </w:r>
      <w:r>
        <w:rPr>
          <w:rFonts w:hint="eastAsia"/>
          <w:highlight w:val="none"/>
          <w:lang w:val="en-US" w:eastAsia="zh-CN"/>
        </w:rPr>
        <w:t>盐水洗涤+一级碱洗+水洗</w:t>
      </w:r>
      <w:r>
        <w:rPr>
          <w:rFonts w:hint="eastAsia"/>
          <w:highlight w:val="none"/>
        </w:rPr>
        <w:t>”处理后经25m 高排气筒</w:t>
      </w:r>
      <w:r>
        <w:rPr>
          <w:rFonts w:hint="eastAsia"/>
          <w:highlight w:val="none"/>
          <w:lang w:val="en-US" w:eastAsia="zh-CN"/>
        </w:rPr>
        <w:t>（DA001）</w:t>
      </w:r>
      <w:r>
        <w:rPr>
          <w:rFonts w:hint="eastAsia"/>
          <w:highlight w:val="none"/>
        </w:rPr>
        <w:t>达标外排。单级碱洗效率约为90%，“</w:t>
      </w:r>
      <w:r>
        <w:rPr>
          <w:rFonts w:hint="eastAsia"/>
          <w:highlight w:val="none"/>
          <w:lang w:val="en-US" w:eastAsia="zh-CN"/>
        </w:rPr>
        <w:t>盐水洗涤+一级碱洗+水洗</w:t>
      </w:r>
      <w:r>
        <w:rPr>
          <w:rFonts w:hint="eastAsia"/>
          <w:highlight w:val="none"/>
        </w:rPr>
        <w:t>”综合处理效率约为99%</w:t>
      </w:r>
      <w:r>
        <w:rPr>
          <w:rFonts w:hint="eastAsia"/>
          <w:highlight w:val="none"/>
          <w:lang w:eastAsia="zh-CN"/>
        </w:rPr>
        <w:t>。</w:t>
      </w:r>
    </w:p>
    <w:p w14:paraId="7C4DA0BD">
      <w:pPr>
        <w:ind w:firstLine="480"/>
        <w:rPr>
          <w:rFonts w:hint="eastAsia"/>
          <w:highlight w:val="none"/>
          <w:lang w:val="en-US" w:eastAsia="zh-CN"/>
        </w:rPr>
      </w:pPr>
      <w:r>
        <w:rPr>
          <w:rFonts w:hint="eastAsia"/>
          <w:b/>
          <w:bCs/>
          <w:highlight w:val="none"/>
          <w:lang w:val="en-US" w:eastAsia="zh-CN"/>
        </w:rPr>
        <w:t>氢气回收时：</w:t>
      </w:r>
      <w:r>
        <w:rPr>
          <w:rFonts w:hint="eastAsia"/>
          <w:highlight w:val="none"/>
          <w:lang w:val="en-US" w:eastAsia="zh-CN"/>
        </w:rPr>
        <w:t>一次电解尾气经冷却降温后先经过“盐水洗涤+一级碱洗+水洗”后，再经过氢气回收系统“深度脱氯+钯催化脱氧”，最后水洗降温进入变压吸附系统提纯，获得的高纯氢气直接充装。氢气回收时，一次电解尾气中氯气、氯化氢不外排。</w:t>
      </w:r>
    </w:p>
    <w:p w14:paraId="519B5FE3">
      <w:pPr>
        <w:pStyle w:val="43"/>
        <w:bidi w:val="0"/>
        <w:rPr>
          <w:rFonts w:hint="default"/>
          <w:lang w:val="en-US" w:eastAsia="zh-CN"/>
        </w:rPr>
      </w:pPr>
      <w:r>
        <w:rPr>
          <w:rFonts w:hint="eastAsia"/>
          <w:lang w:val="en-US" w:eastAsia="zh-CN"/>
        </w:rPr>
        <w:t>不同情景下的一次电解尾气排放情况</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86"/>
        <w:gridCol w:w="1353"/>
        <w:gridCol w:w="1195"/>
        <w:gridCol w:w="4785"/>
      </w:tblGrid>
      <w:tr w14:paraId="1A7D864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70" w:hRule="atLeast"/>
          <w:tblHeader/>
          <w:jc w:val="center"/>
        </w:trPr>
        <w:tc>
          <w:tcPr>
            <w:tcW w:w="1490" w:type="pct"/>
            <w:gridSpan w:val="2"/>
            <w:tcBorders>
              <w:top w:val="single" w:color="auto" w:sz="4" w:space="0"/>
              <w:left w:val="single" w:color="auto" w:sz="4" w:space="0"/>
              <w:bottom w:val="single" w:color="auto" w:sz="4" w:space="0"/>
              <w:right w:val="single" w:color="auto" w:sz="6" w:space="0"/>
            </w:tcBorders>
            <w:vAlign w:val="center"/>
          </w:tcPr>
          <w:p w14:paraId="3731A794">
            <w:pPr>
              <w:pStyle w:val="45"/>
              <w:rPr>
                <w:rFonts w:hint="default" w:eastAsia="宋体"/>
                <w:b/>
                <w:bCs/>
                <w:lang w:val="en-US" w:eastAsia="zh-CN"/>
              </w:rPr>
            </w:pPr>
            <w:r>
              <w:rPr>
                <w:rFonts w:hint="eastAsia"/>
                <w:b/>
                <w:bCs/>
                <w:lang w:val="en-US" w:eastAsia="zh-CN"/>
              </w:rPr>
              <w:t>生产情景</w:t>
            </w:r>
          </w:p>
        </w:tc>
        <w:tc>
          <w:tcPr>
            <w:tcW w:w="701" w:type="pct"/>
            <w:tcBorders>
              <w:top w:val="single" w:color="auto" w:sz="4" w:space="0"/>
              <w:left w:val="single" w:color="auto" w:sz="6" w:space="0"/>
              <w:bottom w:val="single" w:color="auto" w:sz="4" w:space="0"/>
              <w:right w:val="single" w:color="auto" w:sz="4" w:space="0"/>
            </w:tcBorders>
            <w:vAlign w:val="center"/>
          </w:tcPr>
          <w:p w14:paraId="0D9E8777">
            <w:pPr>
              <w:pStyle w:val="45"/>
              <w:rPr>
                <w:rFonts w:hint="default" w:eastAsia="宋体"/>
                <w:b/>
                <w:bCs/>
                <w:lang w:val="en-US" w:eastAsia="zh-CN"/>
              </w:rPr>
            </w:pPr>
            <w:r>
              <w:rPr>
                <w:rFonts w:hint="eastAsia"/>
                <w:b/>
                <w:bCs/>
                <w:lang w:val="en-US" w:eastAsia="zh-CN"/>
              </w:rPr>
              <w:t>污染因子</w:t>
            </w:r>
          </w:p>
        </w:tc>
        <w:tc>
          <w:tcPr>
            <w:tcW w:w="2807" w:type="pct"/>
            <w:tcBorders>
              <w:top w:val="single" w:color="auto" w:sz="4" w:space="0"/>
              <w:left w:val="single" w:color="auto" w:sz="6" w:space="0"/>
              <w:bottom w:val="single" w:color="auto" w:sz="4" w:space="0"/>
              <w:right w:val="single" w:color="auto" w:sz="4" w:space="0"/>
            </w:tcBorders>
            <w:vAlign w:val="center"/>
          </w:tcPr>
          <w:p w14:paraId="5D639828">
            <w:pPr>
              <w:pStyle w:val="45"/>
              <w:rPr>
                <w:rFonts w:hint="default"/>
                <w:b/>
                <w:bCs/>
                <w:lang w:val="en-US" w:eastAsia="zh-CN"/>
              </w:rPr>
            </w:pPr>
            <w:r>
              <w:rPr>
                <w:rFonts w:hint="eastAsia"/>
                <w:b/>
                <w:bCs/>
                <w:lang w:val="en-US" w:eastAsia="zh-CN"/>
              </w:rPr>
              <w:t>处理措施</w:t>
            </w:r>
          </w:p>
        </w:tc>
      </w:tr>
      <w:tr w14:paraId="1F0C8A9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696" w:type="pct"/>
            <w:vMerge w:val="restart"/>
            <w:tcBorders>
              <w:top w:val="single" w:color="auto" w:sz="4" w:space="0"/>
              <w:left w:val="single" w:color="auto" w:sz="4" w:space="0"/>
              <w:right w:val="single" w:color="auto" w:sz="6" w:space="0"/>
            </w:tcBorders>
            <w:vAlign w:val="center"/>
          </w:tcPr>
          <w:p w14:paraId="66CCC762">
            <w:pPr>
              <w:pStyle w:val="45"/>
              <w:rPr>
                <w:rFonts w:hint="default" w:eastAsia="宋体"/>
                <w:lang w:val="en-US" w:eastAsia="zh-CN"/>
              </w:rPr>
            </w:pPr>
            <w:r>
              <w:rPr>
                <w:rFonts w:hint="eastAsia"/>
                <w:lang w:val="en-US" w:eastAsia="zh-CN"/>
              </w:rPr>
              <w:t>正常工况</w:t>
            </w:r>
          </w:p>
        </w:tc>
        <w:tc>
          <w:tcPr>
            <w:tcW w:w="794" w:type="pct"/>
            <w:vMerge w:val="restart"/>
            <w:tcBorders>
              <w:top w:val="single" w:color="auto" w:sz="4" w:space="0"/>
              <w:left w:val="single" w:color="auto" w:sz="4" w:space="0"/>
              <w:right w:val="single" w:color="auto" w:sz="6" w:space="0"/>
            </w:tcBorders>
            <w:vAlign w:val="center"/>
          </w:tcPr>
          <w:p w14:paraId="424127BB">
            <w:pPr>
              <w:pStyle w:val="45"/>
              <w:rPr>
                <w:rFonts w:hint="default"/>
                <w:lang w:val="en-US" w:eastAsia="zh-CN"/>
              </w:rPr>
            </w:pPr>
            <w:r>
              <w:rPr>
                <w:rFonts w:hint="eastAsia"/>
                <w:lang w:val="en-US" w:eastAsia="zh-CN"/>
              </w:rPr>
              <w:t>氢气未回收</w:t>
            </w:r>
          </w:p>
        </w:tc>
        <w:tc>
          <w:tcPr>
            <w:tcW w:w="701" w:type="pct"/>
            <w:tcBorders>
              <w:top w:val="single" w:color="auto" w:sz="4" w:space="0"/>
              <w:left w:val="single" w:color="auto" w:sz="6" w:space="0"/>
              <w:bottom w:val="single" w:color="auto" w:sz="6" w:space="0"/>
              <w:right w:val="single" w:color="auto" w:sz="4" w:space="0"/>
            </w:tcBorders>
            <w:vAlign w:val="center"/>
          </w:tcPr>
          <w:p w14:paraId="2349382C">
            <w:pPr>
              <w:pStyle w:val="45"/>
              <w:rPr>
                <w:rFonts w:hint="eastAsia" w:eastAsia="宋体"/>
                <w:lang w:val="en-US" w:eastAsia="zh-CN"/>
              </w:rPr>
            </w:pPr>
            <w:r>
              <w:rPr>
                <w:rFonts w:hint="eastAsia"/>
                <w:lang w:val="en-US" w:eastAsia="zh-CN"/>
              </w:rPr>
              <w:t>氯气</w:t>
            </w:r>
          </w:p>
        </w:tc>
        <w:tc>
          <w:tcPr>
            <w:tcW w:w="2807" w:type="pct"/>
            <w:vMerge w:val="restart"/>
            <w:tcBorders>
              <w:top w:val="single" w:color="auto" w:sz="4" w:space="0"/>
              <w:left w:val="single" w:color="auto" w:sz="6" w:space="0"/>
              <w:right w:val="single" w:color="auto" w:sz="4" w:space="0"/>
            </w:tcBorders>
            <w:vAlign w:val="center"/>
          </w:tcPr>
          <w:p w14:paraId="2458D19B">
            <w:pPr>
              <w:pStyle w:val="45"/>
              <w:rPr>
                <w:rFonts w:hint="default"/>
                <w:lang w:val="en-US"/>
              </w:rPr>
            </w:pPr>
            <w:r>
              <w:rPr>
                <w:rFonts w:hint="eastAsia"/>
                <w:highlight w:val="none"/>
                <w:lang w:val="en-US" w:eastAsia="zh-CN"/>
              </w:rPr>
              <w:t>盐水洗涤+一级碱洗+水洗+25m</w:t>
            </w:r>
            <w:r>
              <w:rPr>
                <w:rFonts w:hint="eastAsia"/>
                <w:highlight w:val="none"/>
              </w:rPr>
              <w:t>高排气筒</w:t>
            </w:r>
            <w:r>
              <w:rPr>
                <w:rFonts w:hint="eastAsia"/>
                <w:highlight w:val="none"/>
                <w:lang w:val="en-US" w:eastAsia="zh-CN"/>
              </w:rPr>
              <w:t>（DA001）</w:t>
            </w:r>
            <w:r>
              <w:rPr>
                <w:rFonts w:hint="eastAsia"/>
                <w:highlight w:val="none"/>
              </w:rPr>
              <w:t>达标外排</w:t>
            </w:r>
          </w:p>
        </w:tc>
      </w:tr>
      <w:tr w14:paraId="5CD919E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696" w:type="pct"/>
            <w:vMerge w:val="continue"/>
            <w:tcBorders>
              <w:left w:val="single" w:color="auto" w:sz="4" w:space="0"/>
              <w:right w:val="single" w:color="auto" w:sz="6" w:space="0"/>
            </w:tcBorders>
            <w:vAlign w:val="center"/>
          </w:tcPr>
          <w:p w14:paraId="23E9698B">
            <w:pPr>
              <w:pStyle w:val="45"/>
              <w:rPr>
                <w:rFonts w:hint="default"/>
              </w:rPr>
            </w:pPr>
          </w:p>
        </w:tc>
        <w:tc>
          <w:tcPr>
            <w:tcW w:w="794" w:type="pct"/>
            <w:vMerge w:val="continue"/>
            <w:tcBorders>
              <w:left w:val="single" w:color="auto" w:sz="4" w:space="0"/>
              <w:right w:val="single" w:color="auto" w:sz="6" w:space="0"/>
            </w:tcBorders>
            <w:vAlign w:val="center"/>
          </w:tcPr>
          <w:p w14:paraId="482B0B3E">
            <w:pPr>
              <w:pStyle w:val="45"/>
              <w:rPr>
                <w:rFonts w:hint="default"/>
              </w:rPr>
            </w:pPr>
          </w:p>
        </w:tc>
        <w:tc>
          <w:tcPr>
            <w:tcW w:w="701" w:type="pct"/>
            <w:tcBorders>
              <w:top w:val="single" w:color="auto" w:sz="6" w:space="0"/>
              <w:left w:val="single" w:color="auto" w:sz="6" w:space="0"/>
              <w:bottom w:val="single" w:color="auto" w:sz="6" w:space="0"/>
              <w:right w:val="single" w:color="auto" w:sz="4" w:space="0"/>
            </w:tcBorders>
            <w:vAlign w:val="center"/>
          </w:tcPr>
          <w:p w14:paraId="347B2FC1">
            <w:pPr>
              <w:pStyle w:val="45"/>
              <w:rPr>
                <w:rFonts w:hint="eastAsia" w:eastAsia="宋体"/>
                <w:lang w:val="en-US" w:eastAsia="zh-CN"/>
              </w:rPr>
            </w:pPr>
            <w:r>
              <w:rPr>
                <w:rFonts w:hint="eastAsia"/>
                <w:lang w:val="en-US" w:eastAsia="zh-CN"/>
              </w:rPr>
              <w:t>氯化氢</w:t>
            </w:r>
          </w:p>
        </w:tc>
        <w:tc>
          <w:tcPr>
            <w:tcW w:w="2807" w:type="pct"/>
            <w:vMerge w:val="continue"/>
            <w:tcBorders>
              <w:left w:val="single" w:color="auto" w:sz="6" w:space="0"/>
              <w:bottom w:val="single" w:color="auto" w:sz="6" w:space="0"/>
              <w:right w:val="single" w:color="auto" w:sz="4" w:space="0"/>
            </w:tcBorders>
            <w:vAlign w:val="center"/>
          </w:tcPr>
          <w:p w14:paraId="4CDDABAF">
            <w:pPr>
              <w:pStyle w:val="45"/>
              <w:rPr>
                <w:rFonts w:hint="default"/>
              </w:rPr>
            </w:pPr>
          </w:p>
        </w:tc>
      </w:tr>
      <w:tr w14:paraId="7173FE0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01" w:hRule="atLeast"/>
          <w:jc w:val="center"/>
        </w:trPr>
        <w:tc>
          <w:tcPr>
            <w:tcW w:w="696" w:type="pct"/>
            <w:vMerge w:val="continue"/>
            <w:tcBorders>
              <w:left w:val="single" w:color="auto" w:sz="4" w:space="0"/>
              <w:right w:val="single" w:color="auto" w:sz="6" w:space="0"/>
            </w:tcBorders>
            <w:vAlign w:val="center"/>
          </w:tcPr>
          <w:p w14:paraId="35D48FC2">
            <w:pPr>
              <w:pStyle w:val="45"/>
              <w:rPr>
                <w:rFonts w:hint="default"/>
              </w:rPr>
            </w:pPr>
          </w:p>
        </w:tc>
        <w:tc>
          <w:tcPr>
            <w:tcW w:w="794" w:type="pct"/>
            <w:vMerge w:val="restart"/>
            <w:tcBorders>
              <w:top w:val="single" w:color="auto" w:sz="6" w:space="0"/>
              <w:left w:val="single" w:color="auto" w:sz="4" w:space="0"/>
              <w:right w:val="single" w:color="auto" w:sz="6" w:space="0"/>
            </w:tcBorders>
            <w:vAlign w:val="center"/>
          </w:tcPr>
          <w:p w14:paraId="5B043EC2">
            <w:pPr>
              <w:pStyle w:val="45"/>
              <w:rPr>
                <w:rFonts w:hint="default" w:eastAsia="宋体"/>
                <w:lang w:val="en-US" w:eastAsia="zh-CN"/>
              </w:rPr>
            </w:pPr>
            <w:r>
              <w:rPr>
                <w:rFonts w:hint="eastAsia"/>
                <w:lang w:val="en-US" w:eastAsia="zh-CN"/>
              </w:rPr>
              <w:t>氢气回收</w:t>
            </w:r>
          </w:p>
        </w:tc>
        <w:tc>
          <w:tcPr>
            <w:tcW w:w="701" w:type="pct"/>
            <w:tcBorders>
              <w:top w:val="single" w:color="auto" w:sz="6" w:space="0"/>
              <w:left w:val="single" w:color="auto" w:sz="6" w:space="0"/>
              <w:bottom w:val="single" w:color="auto" w:sz="6" w:space="0"/>
              <w:right w:val="single" w:color="auto" w:sz="4" w:space="0"/>
            </w:tcBorders>
            <w:vAlign w:val="center"/>
          </w:tcPr>
          <w:p w14:paraId="4D43C805">
            <w:pPr>
              <w:pStyle w:val="45"/>
              <w:ind w:firstLine="0" w:firstLineChars="0"/>
              <w:rPr>
                <w:rFonts w:hint="default"/>
              </w:rPr>
            </w:pPr>
            <w:r>
              <w:rPr>
                <w:rFonts w:hint="eastAsia"/>
                <w:lang w:val="en-US" w:eastAsia="zh-CN"/>
              </w:rPr>
              <w:t>氯气</w:t>
            </w:r>
          </w:p>
        </w:tc>
        <w:tc>
          <w:tcPr>
            <w:tcW w:w="2807" w:type="pct"/>
            <w:vMerge w:val="restart"/>
            <w:tcBorders>
              <w:top w:val="single" w:color="auto" w:sz="6" w:space="0"/>
              <w:left w:val="single" w:color="auto" w:sz="6" w:space="0"/>
              <w:right w:val="single" w:color="auto" w:sz="4" w:space="0"/>
            </w:tcBorders>
            <w:vAlign w:val="center"/>
          </w:tcPr>
          <w:p w14:paraId="06E41BFA">
            <w:pPr>
              <w:pStyle w:val="45"/>
              <w:rPr>
                <w:rFonts w:hint="default"/>
                <w:lang w:val="en-US"/>
              </w:rPr>
            </w:pPr>
            <w:r>
              <w:rPr>
                <w:rFonts w:hint="eastAsia"/>
                <w:highlight w:val="none"/>
                <w:lang w:val="en-US" w:eastAsia="zh-CN"/>
              </w:rPr>
              <w:t>盐水洗涤+一级碱洗+水洗+深度脱氯+钯催化脱氧+不外排</w:t>
            </w:r>
          </w:p>
        </w:tc>
      </w:tr>
      <w:tr w14:paraId="4DBC5A8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696" w:type="pct"/>
            <w:vMerge w:val="continue"/>
            <w:tcBorders>
              <w:left w:val="single" w:color="auto" w:sz="4" w:space="0"/>
              <w:right w:val="single" w:color="auto" w:sz="6" w:space="0"/>
            </w:tcBorders>
            <w:vAlign w:val="center"/>
          </w:tcPr>
          <w:p w14:paraId="7D3752ED">
            <w:pPr>
              <w:pStyle w:val="45"/>
              <w:rPr>
                <w:rFonts w:hint="default"/>
              </w:rPr>
            </w:pPr>
          </w:p>
        </w:tc>
        <w:tc>
          <w:tcPr>
            <w:tcW w:w="794" w:type="pct"/>
            <w:vMerge w:val="continue"/>
            <w:tcBorders>
              <w:left w:val="single" w:color="auto" w:sz="4" w:space="0"/>
              <w:right w:val="single" w:color="auto" w:sz="6" w:space="0"/>
            </w:tcBorders>
            <w:vAlign w:val="center"/>
          </w:tcPr>
          <w:p w14:paraId="69E9C958">
            <w:pPr>
              <w:pStyle w:val="45"/>
              <w:rPr>
                <w:rFonts w:hint="default"/>
              </w:rPr>
            </w:pPr>
          </w:p>
        </w:tc>
        <w:tc>
          <w:tcPr>
            <w:tcW w:w="701" w:type="pct"/>
            <w:tcBorders>
              <w:top w:val="single" w:color="auto" w:sz="6" w:space="0"/>
              <w:left w:val="single" w:color="auto" w:sz="6" w:space="0"/>
              <w:bottom w:val="single" w:color="auto" w:sz="6" w:space="0"/>
              <w:right w:val="single" w:color="auto" w:sz="4" w:space="0"/>
            </w:tcBorders>
            <w:vAlign w:val="center"/>
          </w:tcPr>
          <w:p w14:paraId="5748397E">
            <w:pPr>
              <w:pStyle w:val="45"/>
              <w:ind w:firstLine="0" w:firstLineChars="0"/>
              <w:rPr>
                <w:rFonts w:hint="default"/>
              </w:rPr>
            </w:pPr>
            <w:r>
              <w:rPr>
                <w:rFonts w:hint="eastAsia"/>
                <w:lang w:val="en-US" w:eastAsia="zh-CN"/>
              </w:rPr>
              <w:t>氯化氢</w:t>
            </w:r>
          </w:p>
        </w:tc>
        <w:tc>
          <w:tcPr>
            <w:tcW w:w="2807" w:type="pct"/>
            <w:vMerge w:val="continue"/>
            <w:tcBorders>
              <w:left w:val="single" w:color="auto" w:sz="6" w:space="0"/>
              <w:bottom w:val="single" w:color="auto" w:sz="6" w:space="0"/>
              <w:right w:val="single" w:color="auto" w:sz="4" w:space="0"/>
            </w:tcBorders>
            <w:vAlign w:val="center"/>
          </w:tcPr>
          <w:p w14:paraId="66D6D31E">
            <w:pPr>
              <w:pStyle w:val="45"/>
              <w:rPr>
                <w:rFonts w:hint="default"/>
              </w:rPr>
            </w:pPr>
          </w:p>
        </w:tc>
      </w:tr>
      <w:tr w14:paraId="5F7D949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1490" w:type="pct"/>
            <w:gridSpan w:val="2"/>
            <w:vMerge w:val="restart"/>
            <w:tcBorders>
              <w:top w:val="single" w:color="auto" w:sz="6" w:space="0"/>
              <w:left w:val="single" w:color="auto" w:sz="4" w:space="0"/>
              <w:bottom w:val="single" w:color="auto" w:sz="4" w:space="0"/>
              <w:right w:val="single" w:color="auto" w:sz="6" w:space="0"/>
            </w:tcBorders>
            <w:vAlign w:val="center"/>
          </w:tcPr>
          <w:p w14:paraId="723A22C2">
            <w:pPr>
              <w:pStyle w:val="45"/>
              <w:rPr>
                <w:rFonts w:hint="default" w:eastAsia="宋体"/>
                <w:lang w:val="en-US" w:eastAsia="zh-CN"/>
              </w:rPr>
            </w:pPr>
            <w:r>
              <w:rPr>
                <w:rFonts w:hint="eastAsia"/>
                <w:lang w:val="en-US" w:eastAsia="zh-CN"/>
              </w:rPr>
              <w:t>非正常工况</w:t>
            </w:r>
          </w:p>
        </w:tc>
        <w:tc>
          <w:tcPr>
            <w:tcW w:w="701" w:type="pct"/>
            <w:tcBorders>
              <w:top w:val="single" w:color="auto" w:sz="6" w:space="0"/>
              <w:left w:val="single" w:color="auto" w:sz="6" w:space="0"/>
              <w:bottom w:val="single" w:color="auto" w:sz="6" w:space="0"/>
              <w:right w:val="single" w:color="auto" w:sz="4" w:space="0"/>
            </w:tcBorders>
            <w:vAlign w:val="center"/>
          </w:tcPr>
          <w:p w14:paraId="0AC8C578">
            <w:pPr>
              <w:pStyle w:val="45"/>
              <w:ind w:firstLine="0" w:firstLineChars="0"/>
              <w:rPr>
                <w:rFonts w:hint="default"/>
              </w:rPr>
            </w:pPr>
            <w:r>
              <w:rPr>
                <w:rFonts w:hint="eastAsia"/>
                <w:lang w:val="en-US" w:eastAsia="zh-CN"/>
              </w:rPr>
              <w:t>氯气</w:t>
            </w:r>
          </w:p>
        </w:tc>
        <w:tc>
          <w:tcPr>
            <w:tcW w:w="2807" w:type="pct"/>
            <w:vMerge w:val="restart"/>
            <w:tcBorders>
              <w:top w:val="single" w:color="auto" w:sz="6" w:space="0"/>
              <w:left w:val="single" w:color="auto" w:sz="6" w:space="0"/>
              <w:right w:val="single" w:color="auto" w:sz="4" w:space="0"/>
            </w:tcBorders>
            <w:vAlign w:val="center"/>
          </w:tcPr>
          <w:p w14:paraId="41307AF3">
            <w:pPr>
              <w:pStyle w:val="45"/>
              <w:rPr>
                <w:rFonts w:hint="default" w:eastAsia="宋体"/>
                <w:lang w:val="en-US" w:eastAsia="zh-CN"/>
              </w:rPr>
            </w:pPr>
            <w:r>
              <w:rPr>
                <w:rFonts w:hint="eastAsia"/>
                <w:lang w:val="en-US" w:eastAsia="zh-CN"/>
              </w:rPr>
              <w:t>非正常情况下未经处理+直接外排</w:t>
            </w:r>
          </w:p>
        </w:tc>
      </w:tr>
      <w:tr w14:paraId="24B4479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1490" w:type="pct"/>
            <w:gridSpan w:val="2"/>
            <w:vMerge w:val="continue"/>
            <w:tcBorders>
              <w:top w:val="single" w:color="auto" w:sz="6" w:space="0"/>
              <w:left w:val="single" w:color="auto" w:sz="4" w:space="0"/>
              <w:bottom w:val="single" w:color="auto" w:sz="4" w:space="0"/>
              <w:right w:val="single" w:color="auto" w:sz="6" w:space="0"/>
            </w:tcBorders>
            <w:vAlign w:val="center"/>
          </w:tcPr>
          <w:p w14:paraId="01CFFB11">
            <w:pPr>
              <w:pStyle w:val="45"/>
              <w:rPr>
                <w:rFonts w:hint="default"/>
              </w:rPr>
            </w:pPr>
          </w:p>
        </w:tc>
        <w:tc>
          <w:tcPr>
            <w:tcW w:w="701" w:type="pct"/>
            <w:tcBorders>
              <w:top w:val="single" w:color="auto" w:sz="6" w:space="0"/>
              <w:left w:val="single" w:color="auto" w:sz="6" w:space="0"/>
              <w:bottom w:val="single" w:color="auto" w:sz="4" w:space="0"/>
              <w:right w:val="single" w:color="auto" w:sz="4" w:space="0"/>
            </w:tcBorders>
            <w:vAlign w:val="center"/>
          </w:tcPr>
          <w:p w14:paraId="40569126">
            <w:pPr>
              <w:pStyle w:val="45"/>
              <w:ind w:firstLine="0" w:firstLineChars="0"/>
              <w:rPr>
                <w:rFonts w:hint="default"/>
              </w:rPr>
            </w:pPr>
            <w:r>
              <w:rPr>
                <w:rFonts w:hint="eastAsia"/>
                <w:lang w:val="en-US" w:eastAsia="zh-CN"/>
              </w:rPr>
              <w:t>氯化氢</w:t>
            </w:r>
          </w:p>
        </w:tc>
        <w:tc>
          <w:tcPr>
            <w:tcW w:w="2807" w:type="pct"/>
            <w:vMerge w:val="continue"/>
            <w:tcBorders>
              <w:left w:val="single" w:color="auto" w:sz="6" w:space="0"/>
              <w:bottom w:val="single" w:color="auto" w:sz="4" w:space="0"/>
              <w:right w:val="single" w:color="auto" w:sz="4" w:space="0"/>
            </w:tcBorders>
            <w:vAlign w:val="center"/>
          </w:tcPr>
          <w:p w14:paraId="7A35C240">
            <w:pPr>
              <w:pStyle w:val="45"/>
              <w:rPr>
                <w:rFonts w:hint="eastAsia" w:eastAsia="宋体"/>
                <w:lang w:val="en-US" w:eastAsia="zh-CN"/>
              </w:rPr>
            </w:pPr>
          </w:p>
        </w:tc>
      </w:tr>
    </w:tbl>
    <w:p w14:paraId="436566F8">
      <w:pPr>
        <w:ind w:left="0" w:leftChars="0" w:firstLine="0" w:firstLineChars="0"/>
        <w:rPr>
          <w:rFonts w:hint="default"/>
          <w:lang w:val="en-US" w:eastAsia="zh-CN"/>
        </w:rPr>
      </w:pPr>
    </w:p>
    <w:p w14:paraId="7971C17D">
      <w:pPr>
        <w:ind w:firstLine="480"/>
        <w:rPr>
          <w:rFonts w:hint="eastAsia"/>
          <w:highlight w:val="none"/>
        </w:rPr>
      </w:pPr>
      <w:r>
        <w:rPr>
          <w:rFonts w:hint="eastAsia"/>
          <w:highlight w:val="none"/>
          <w:lang w:val="en-US" w:eastAsia="zh-CN"/>
        </w:rPr>
        <w:t>由于氢气回收时一次电解尾气不外排，本次评价主要对氢气未回收时的一次电解尾气排放情况进行分析。</w:t>
      </w:r>
      <w:r>
        <w:rPr>
          <w:rFonts w:hint="eastAsia"/>
          <w:highlight w:val="none"/>
        </w:rPr>
        <w:t>经计算，</w:t>
      </w:r>
      <w:r>
        <w:rPr>
          <w:rFonts w:hint="eastAsia"/>
          <w:highlight w:val="none"/>
          <w:lang w:val="en-US" w:eastAsia="zh-CN"/>
        </w:rPr>
        <w:t>氢气未回收时，</w:t>
      </w:r>
      <w:r>
        <w:rPr>
          <w:rFonts w:hint="eastAsia"/>
          <w:highlight w:val="none"/>
        </w:rPr>
        <w:t>一次电解尾气</w:t>
      </w:r>
      <w:r>
        <w:rPr>
          <w:rFonts w:hint="eastAsia"/>
          <w:highlight w:val="none"/>
          <w:lang w:val="en-US" w:eastAsia="zh-CN"/>
        </w:rPr>
        <w:t>经</w:t>
      </w:r>
      <w:r>
        <w:rPr>
          <w:rFonts w:hint="eastAsia"/>
          <w:highlight w:val="none"/>
        </w:rPr>
        <w:t>“</w:t>
      </w:r>
      <w:r>
        <w:rPr>
          <w:rFonts w:hint="eastAsia"/>
          <w:highlight w:val="none"/>
          <w:lang w:val="en-US" w:eastAsia="zh-CN"/>
        </w:rPr>
        <w:t>盐水洗涤+一级碱洗+水洗</w:t>
      </w:r>
      <w:r>
        <w:rPr>
          <w:rFonts w:hint="eastAsia"/>
          <w:highlight w:val="none"/>
        </w:rPr>
        <w:t>”</w:t>
      </w:r>
      <w:r>
        <w:rPr>
          <w:rFonts w:hint="eastAsia"/>
          <w:highlight w:val="none"/>
          <w:lang w:eastAsia="zh-CN"/>
        </w:rPr>
        <w:t>（</w:t>
      </w:r>
      <w:r>
        <w:rPr>
          <w:rFonts w:hint="eastAsia"/>
          <w:highlight w:val="none"/>
          <w:lang w:val="en-US" w:eastAsia="zh-CN"/>
        </w:rPr>
        <w:t>处理效率取99%</w:t>
      </w:r>
      <w:r>
        <w:rPr>
          <w:rFonts w:hint="eastAsia"/>
          <w:highlight w:val="none"/>
          <w:lang w:eastAsia="zh-CN"/>
        </w:rPr>
        <w:t>）</w:t>
      </w:r>
      <w:r>
        <w:rPr>
          <w:rFonts w:hint="eastAsia"/>
          <w:highlight w:val="none"/>
        </w:rPr>
        <w:t>处理后，Cl</w:t>
      </w:r>
      <w:r>
        <w:rPr>
          <w:rFonts w:hint="eastAsia"/>
          <w:highlight w:val="none"/>
          <w:vertAlign w:val="subscript"/>
        </w:rPr>
        <w:t>2</w:t>
      </w:r>
      <w:r>
        <w:rPr>
          <w:rFonts w:hint="eastAsia"/>
          <w:highlight w:val="none"/>
        </w:rPr>
        <w:t>外排浓度为</w:t>
      </w:r>
      <w:r>
        <w:rPr>
          <w:rFonts w:hint="eastAsia"/>
          <w:highlight w:val="none"/>
          <w:lang w:val="en-US" w:eastAsia="zh-CN"/>
        </w:rPr>
        <w:t>7.29</w:t>
      </w:r>
      <w:r>
        <w:rPr>
          <w:rFonts w:hint="eastAsia"/>
          <w:highlight w:val="none"/>
        </w:rPr>
        <w:t>mg/m</w:t>
      </w:r>
      <w:r>
        <w:rPr>
          <w:rFonts w:hint="eastAsia"/>
          <w:highlight w:val="none"/>
          <w:vertAlign w:val="superscript"/>
          <w:lang w:val="en-US" w:eastAsia="zh-CN"/>
        </w:rPr>
        <w:t>3</w:t>
      </w:r>
      <w:r>
        <w:rPr>
          <w:rFonts w:hint="eastAsia"/>
          <w:highlight w:val="none"/>
        </w:rPr>
        <w:t>，HCl外排浓度为</w:t>
      </w:r>
      <w:r>
        <w:rPr>
          <w:rFonts w:hint="eastAsia"/>
          <w:highlight w:val="none"/>
          <w:lang w:val="en-US" w:eastAsia="zh-CN"/>
        </w:rPr>
        <w:t>7.53</w:t>
      </w:r>
      <w:r>
        <w:rPr>
          <w:rFonts w:hint="eastAsia"/>
          <w:highlight w:val="none"/>
        </w:rPr>
        <w:t>mg/m</w:t>
      </w:r>
      <w:r>
        <w:rPr>
          <w:rFonts w:hint="eastAsia"/>
          <w:highlight w:val="none"/>
          <w:vertAlign w:val="superscript"/>
          <w:lang w:val="en-US" w:eastAsia="zh-CN"/>
        </w:rPr>
        <w:t>3</w:t>
      </w:r>
      <w:r>
        <w:rPr>
          <w:rFonts w:hint="eastAsia"/>
          <w:highlight w:val="none"/>
        </w:rPr>
        <w:t>，能够满足《无机化学工业污染物排放标准》（GB31573-2015）中“无机氯化合物和氯酸盐工业”排放标准限值要求（Cl</w:t>
      </w:r>
      <w:r>
        <w:rPr>
          <w:rFonts w:hint="eastAsia"/>
          <w:highlight w:val="none"/>
          <w:vertAlign w:val="subscript"/>
        </w:rPr>
        <w:t>2</w:t>
      </w:r>
      <w:r>
        <w:rPr>
          <w:rFonts w:hint="eastAsia"/>
          <w:highlight w:val="none"/>
        </w:rPr>
        <w:t>：8mg/m</w:t>
      </w:r>
      <w:r>
        <w:rPr>
          <w:rFonts w:hint="eastAsia"/>
          <w:highlight w:val="none"/>
          <w:vertAlign w:val="superscript"/>
          <w:lang w:val="en-US" w:eastAsia="zh-CN"/>
        </w:rPr>
        <w:t>3</w:t>
      </w:r>
      <w:r>
        <w:rPr>
          <w:rFonts w:hint="eastAsia"/>
          <w:highlight w:val="none"/>
        </w:rPr>
        <w:t>，HCl：20mg/m</w:t>
      </w:r>
      <w:r>
        <w:rPr>
          <w:rFonts w:hint="eastAsia"/>
          <w:highlight w:val="none"/>
          <w:vertAlign w:val="superscript"/>
          <w:lang w:val="en-US" w:eastAsia="zh-CN"/>
        </w:rPr>
        <w:t>3</w:t>
      </w:r>
      <w:r>
        <w:rPr>
          <w:rFonts w:hint="eastAsia"/>
          <w:highlight w:val="none"/>
        </w:rPr>
        <w:t>）。</w:t>
      </w:r>
    </w:p>
    <w:p w14:paraId="22F3C3D9">
      <w:pPr>
        <w:pStyle w:val="43"/>
        <w:bidi w:val="0"/>
        <w:rPr>
          <w:rFonts w:hint="default"/>
          <w:lang w:val="en-US" w:eastAsia="zh-CN"/>
        </w:rPr>
      </w:pPr>
      <w:r>
        <w:rPr>
          <w:rFonts w:hint="eastAsia"/>
          <w:lang w:val="en-US" w:eastAsia="zh-CN"/>
        </w:rPr>
        <w:t>氢气未回收时一次电解尾气的产排情况</w:t>
      </w:r>
    </w:p>
    <w:tbl>
      <w:tblPr>
        <w:tblStyle w:val="32"/>
        <w:tblW w:w="4996"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060"/>
        <w:gridCol w:w="1065"/>
        <w:gridCol w:w="1065"/>
        <w:gridCol w:w="1065"/>
        <w:gridCol w:w="1065"/>
        <w:gridCol w:w="1065"/>
        <w:gridCol w:w="1065"/>
        <w:gridCol w:w="1065"/>
      </w:tblGrid>
      <w:tr w14:paraId="2BA0F9B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70" w:hRule="atLeast"/>
          <w:tblHeader/>
          <w:jc w:val="center"/>
        </w:trPr>
        <w:tc>
          <w:tcPr>
            <w:tcW w:w="622" w:type="pct"/>
            <w:tcBorders>
              <w:top w:val="single" w:color="auto" w:sz="4" w:space="0"/>
              <w:left w:val="single" w:color="auto" w:sz="6" w:space="0"/>
              <w:bottom w:val="single" w:color="auto" w:sz="4" w:space="0"/>
              <w:right w:val="single" w:color="auto" w:sz="4" w:space="0"/>
            </w:tcBorders>
            <w:vAlign w:val="center"/>
          </w:tcPr>
          <w:p w14:paraId="6582EB35">
            <w:pPr>
              <w:pStyle w:val="45"/>
              <w:rPr>
                <w:rFonts w:hint="default"/>
                <w:b/>
                <w:bCs/>
                <w:lang w:val="en-US" w:eastAsia="zh-CN"/>
              </w:rPr>
            </w:pPr>
            <w:r>
              <w:rPr>
                <w:rFonts w:hint="eastAsia"/>
                <w:b/>
                <w:bCs/>
                <w:lang w:val="en-US" w:eastAsia="zh-CN"/>
              </w:rPr>
              <w:t>废气名称</w:t>
            </w:r>
          </w:p>
        </w:tc>
        <w:tc>
          <w:tcPr>
            <w:tcW w:w="625" w:type="pct"/>
            <w:tcBorders>
              <w:top w:val="single" w:color="auto" w:sz="4" w:space="0"/>
              <w:left w:val="single" w:color="auto" w:sz="6" w:space="0"/>
              <w:bottom w:val="single" w:color="auto" w:sz="4" w:space="0"/>
              <w:right w:val="single" w:color="auto" w:sz="4" w:space="0"/>
            </w:tcBorders>
            <w:vAlign w:val="center"/>
          </w:tcPr>
          <w:p w14:paraId="2AF8B79E">
            <w:pPr>
              <w:pStyle w:val="45"/>
              <w:rPr>
                <w:rFonts w:hint="default" w:eastAsia="宋体"/>
                <w:b/>
                <w:bCs/>
                <w:lang w:val="en-US" w:eastAsia="zh-CN"/>
              </w:rPr>
            </w:pPr>
            <w:r>
              <w:rPr>
                <w:rFonts w:hint="eastAsia"/>
                <w:b/>
                <w:bCs/>
                <w:lang w:val="en-US" w:eastAsia="zh-CN"/>
              </w:rPr>
              <w:t>污染因子</w:t>
            </w:r>
          </w:p>
        </w:tc>
        <w:tc>
          <w:tcPr>
            <w:tcW w:w="625" w:type="pct"/>
            <w:tcBorders>
              <w:top w:val="single" w:color="auto" w:sz="4" w:space="0"/>
              <w:left w:val="single" w:color="auto" w:sz="6" w:space="0"/>
              <w:bottom w:val="single" w:color="auto" w:sz="4" w:space="0"/>
              <w:right w:val="single" w:color="auto" w:sz="4" w:space="0"/>
            </w:tcBorders>
            <w:vAlign w:val="center"/>
          </w:tcPr>
          <w:p w14:paraId="79F420BC">
            <w:pPr>
              <w:pStyle w:val="45"/>
              <w:rPr>
                <w:rFonts w:hint="default"/>
                <w:b/>
                <w:bCs/>
                <w:lang w:val="en-US" w:eastAsia="zh-CN"/>
              </w:rPr>
            </w:pPr>
            <w:r>
              <w:rPr>
                <w:rFonts w:hint="eastAsia"/>
                <w:b/>
                <w:bCs/>
                <w:lang w:val="en-US" w:eastAsia="zh-CN"/>
              </w:rPr>
              <w:t>产生量t/a</w:t>
            </w:r>
          </w:p>
        </w:tc>
        <w:tc>
          <w:tcPr>
            <w:tcW w:w="625" w:type="pct"/>
            <w:tcBorders>
              <w:top w:val="single" w:color="auto" w:sz="4" w:space="0"/>
              <w:left w:val="single" w:color="auto" w:sz="6" w:space="0"/>
              <w:bottom w:val="single" w:color="auto" w:sz="4" w:space="0"/>
              <w:right w:val="single" w:color="auto" w:sz="4" w:space="0"/>
            </w:tcBorders>
            <w:vAlign w:val="center"/>
          </w:tcPr>
          <w:p w14:paraId="79CC7872">
            <w:pPr>
              <w:pStyle w:val="45"/>
              <w:rPr>
                <w:rFonts w:hint="default"/>
                <w:b/>
                <w:bCs/>
                <w:lang w:val="en-US" w:eastAsia="zh-CN"/>
              </w:rPr>
            </w:pPr>
            <w:r>
              <w:rPr>
                <w:rFonts w:hint="eastAsia"/>
                <w:b/>
                <w:bCs/>
                <w:lang w:val="en-US" w:eastAsia="zh-CN"/>
              </w:rPr>
              <w:t>产生速率kg/h</w:t>
            </w:r>
          </w:p>
        </w:tc>
        <w:tc>
          <w:tcPr>
            <w:tcW w:w="625" w:type="pct"/>
            <w:tcBorders>
              <w:top w:val="single" w:color="auto" w:sz="4" w:space="0"/>
              <w:left w:val="single" w:color="auto" w:sz="6" w:space="0"/>
              <w:bottom w:val="single" w:color="auto" w:sz="4" w:space="0"/>
              <w:right w:val="single" w:color="auto" w:sz="4" w:space="0"/>
            </w:tcBorders>
            <w:vAlign w:val="center"/>
          </w:tcPr>
          <w:p w14:paraId="4D5E3B68">
            <w:pPr>
              <w:pStyle w:val="45"/>
              <w:rPr>
                <w:rFonts w:hint="default"/>
                <w:b/>
                <w:bCs/>
                <w:lang w:val="en-US" w:eastAsia="zh-CN"/>
              </w:rPr>
            </w:pPr>
            <w:r>
              <w:rPr>
                <w:rFonts w:hint="eastAsia"/>
                <w:b/>
                <w:bCs/>
                <w:lang w:val="en-US" w:eastAsia="zh-CN"/>
              </w:rPr>
              <w:t>收集效率%</w:t>
            </w:r>
          </w:p>
        </w:tc>
        <w:tc>
          <w:tcPr>
            <w:tcW w:w="625" w:type="pct"/>
            <w:tcBorders>
              <w:top w:val="single" w:color="auto" w:sz="4" w:space="0"/>
              <w:left w:val="single" w:color="auto" w:sz="6" w:space="0"/>
              <w:bottom w:val="single" w:color="auto" w:sz="4" w:space="0"/>
              <w:right w:val="single" w:color="auto" w:sz="4" w:space="0"/>
            </w:tcBorders>
            <w:vAlign w:val="center"/>
          </w:tcPr>
          <w:p w14:paraId="42C4EFA9">
            <w:pPr>
              <w:pStyle w:val="45"/>
              <w:rPr>
                <w:rFonts w:hint="default"/>
                <w:b/>
                <w:bCs/>
                <w:lang w:val="en-US" w:eastAsia="zh-CN"/>
              </w:rPr>
            </w:pPr>
            <w:r>
              <w:rPr>
                <w:rFonts w:hint="eastAsia"/>
                <w:b/>
                <w:bCs/>
                <w:lang w:val="en-US" w:eastAsia="zh-CN"/>
              </w:rPr>
              <w:t>处理效率%</w:t>
            </w:r>
          </w:p>
        </w:tc>
        <w:tc>
          <w:tcPr>
            <w:tcW w:w="625" w:type="pct"/>
            <w:tcBorders>
              <w:top w:val="single" w:color="auto" w:sz="4" w:space="0"/>
              <w:left w:val="single" w:color="auto" w:sz="6" w:space="0"/>
              <w:bottom w:val="single" w:color="auto" w:sz="4" w:space="0"/>
              <w:right w:val="single" w:color="auto" w:sz="4" w:space="0"/>
            </w:tcBorders>
            <w:vAlign w:val="center"/>
          </w:tcPr>
          <w:p w14:paraId="3858EB5D">
            <w:pPr>
              <w:pStyle w:val="45"/>
              <w:rPr>
                <w:rFonts w:hint="default"/>
                <w:b/>
                <w:bCs/>
                <w:lang w:val="en-US" w:eastAsia="zh-CN"/>
              </w:rPr>
            </w:pPr>
            <w:r>
              <w:rPr>
                <w:rFonts w:hint="eastAsia"/>
                <w:b/>
                <w:bCs/>
                <w:lang w:val="en-US" w:eastAsia="zh-CN"/>
              </w:rPr>
              <w:t>有组织排放量t/a</w:t>
            </w:r>
          </w:p>
        </w:tc>
        <w:tc>
          <w:tcPr>
            <w:tcW w:w="625" w:type="pct"/>
            <w:tcBorders>
              <w:top w:val="single" w:color="auto" w:sz="4" w:space="0"/>
              <w:left w:val="single" w:color="auto" w:sz="6" w:space="0"/>
              <w:bottom w:val="single" w:color="auto" w:sz="4" w:space="0"/>
              <w:right w:val="single" w:color="auto" w:sz="4" w:space="0"/>
            </w:tcBorders>
            <w:vAlign w:val="center"/>
          </w:tcPr>
          <w:p w14:paraId="146B07DF">
            <w:pPr>
              <w:pStyle w:val="45"/>
              <w:rPr>
                <w:rFonts w:hint="default"/>
                <w:b/>
                <w:bCs/>
                <w:lang w:val="en-US" w:eastAsia="zh-CN"/>
              </w:rPr>
            </w:pPr>
            <w:r>
              <w:rPr>
                <w:rFonts w:hint="eastAsia"/>
                <w:b/>
                <w:bCs/>
                <w:lang w:val="en-US" w:eastAsia="zh-CN"/>
              </w:rPr>
              <w:t>逸散进入除次钠工段量t/a</w:t>
            </w:r>
          </w:p>
        </w:tc>
      </w:tr>
      <w:tr w14:paraId="0D2ADD8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622" w:type="pct"/>
            <w:vMerge w:val="restart"/>
            <w:tcBorders>
              <w:top w:val="single" w:color="auto" w:sz="4" w:space="0"/>
              <w:left w:val="single" w:color="auto" w:sz="6" w:space="0"/>
              <w:right w:val="single" w:color="auto" w:sz="4" w:space="0"/>
            </w:tcBorders>
            <w:vAlign w:val="center"/>
          </w:tcPr>
          <w:p w14:paraId="739E3823">
            <w:pPr>
              <w:pStyle w:val="45"/>
              <w:rPr>
                <w:rFonts w:hint="default"/>
                <w:lang w:val="en-US" w:eastAsia="zh-CN"/>
              </w:rPr>
            </w:pPr>
            <w:r>
              <w:rPr>
                <w:rFonts w:hint="eastAsia"/>
                <w:lang w:val="en-US" w:eastAsia="zh-CN"/>
              </w:rPr>
              <w:t>一次电解尾气</w:t>
            </w:r>
          </w:p>
        </w:tc>
        <w:tc>
          <w:tcPr>
            <w:tcW w:w="625" w:type="pct"/>
            <w:tcBorders>
              <w:top w:val="single" w:color="auto" w:sz="4" w:space="0"/>
              <w:left w:val="single" w:color="auto" w:sz="6" w:space="0"/>
              <w:bottom w:val="single" w:color="auto" w:sz="6" w:space="0"/>
              <w:right w:val="single" w:color="auto" w:sz="4" w:space="0"/>
            </w:tcBorders>
            <w:vAlign w:val="center"/>
          </w:tcPr>
          <w:p w14:paraId="3A73A9F5">
            <w:pPr>
              <w:pStyle w:val="45"/>
              <w:rPr>
                <w:rFonts w:hint="eastAsia" w:eastAsia="宋体"/>
                <w:lang w:val="en-US" w:eastAsia="zh-CN"/>
              </w:rPr>
            </w:pPr>
            <w:r>
              <w:rPr>
                <w:rFonts w:hint="eastAsia"/>
                <w:lang w:val="en-US" w:eastAsia="zh-CN"/>
              </w:rPr>
              <w:t>氯气</w:t>
            </w:r>
          </w:p>
        </w:tc>
        <w:tc>
          <w:tcPr>
            <w:tcW w:w="625" w:type="pct"/>
            <w:tcBorders>
              <w:top w:val="single" w:color="auto" w:sz="4" w:space="0"/>
              <w:left w:val="single" w:color="auto" w:sz="6" w:space="0"/>
              <w:bottom w:val="single" w:color="auto" w:sz="6" w:space="0"/>
              <w:right w:val="single" w:color="auto" w:sz="4" w:space="0"/>
            </w:tcBorders>
            <w:vAlign w:val="center"/>
          </w:tcPr>
          <w:p w14:paraId="6FFE4721">
            <w:pPr>
              <w:pStyle w:val="45"/>
              <w:rPr>
                <w:rFonts w:hint="default"/>
                <w:lang w:val="en-US" w:eastAsia="zh-CN"/>
              </w:rPr>
            </w:pPr>
            <w:r>
              <w:rPr>
                <w:rFonts w:hint="eastAsia"/>
                <w:lang w:val="en-US" w:eastAsia="zh-CN"/>
              </w:rPr>
              <w:t>10.51</w:t>
            </w:r>
          </w:p>
        </w:tc>
        <w:tc>
          <w:tcPr>
            <w:tcW w:w="625" w:type="pct"/>
            <w:tcBorders>
              <w:top w:val="single" w:color="auto" w:sz="4" w:space="0"/>
              <w:left w:val="single" w:color="auto" w:sz="6" w:space="0"/>
              <w:bottom w:val="single" w:color="auto" w:sz="6" w:space="0"/>
              <w:right w:val="single" w:color="auto" w:sz="4" w:space="0"/>
            </w:tcBorders>
            <w:vAlign w:val="center"/>
          </w:tcPr>
          <w:p w14:paraId="715C87BC">
            <w:pPr>
              <w:pStyle w:val="45"/>
              <w:rPr>
                <w:rFonts w:hint="default"/>
                <w:lang w:val="en-US" w:eastAsia="zh-CN"/>
              </w:rPr>
            </w:pPr>
            <w:r>
              <w:rPr>
                <w:rFonts w:hint="eastAsia"/>
                <w:lang w:val="en-US" w:eastAsia="zh-CN"/>
              </w:rPr>
              <w:t>1.46</w:t>
            </w:r>
          </w:p>
        </w:tc>
        <w:tc>
          <w:tcPr>
            <w:tcW w:w="625" w:type="pct"/>
            <w:tcBorders>
              <w:top w:val="single" w:color="auto" w:sz="4" w:space="0"/>
              <w:left w:val="single" w:color="auto" w:sz="6" w:space="0"/>
              <w:bottom w:val="single" w:color="auto" w:sz="6" w:space="0"/>
              <w:right w:val="single" w:color="auto" w:sz="4" w:space="0"/>
            </w:tcBorders>
            <w:vAlign w:val="center"/>
          </w:tcPr>
          <w:p w14:paraId="78348ED3">
            <w:pPr>
              <w:pStyle w:val="45"/>
              <w:rPr>
                <w:rFonts w:hint="default"/>
                <w:lang w:val="en-US" w:eastAsia="zh-CN"/>
              </w:rPr>
            </w:pPr>
            <w:r>
              <w:rPr>
                <w:rFonts w:hint="eastAsia"/>
                <w:lang w:val="en-US" w:eastAsia="zh-CN"/>
              </w:rPr>
              <w:t>99.9</w:t>
            </w:r>
          </w:p>
        </w:tc>
        <w:tc>
          <w:tcPr>
            <w:tcW w:w="625" w:type="pct"/>
            <w:tcBorders>
              <w:top w:val="single" w:color="auto" w:sz="4" w:space="0"/>
              <w:left w:val="single" w:color="auto" w:sz="6" w:space="0"/>
              <w:bottom w:val="single" w:color="auto" w:sz="6" w:space="0"/>
              <w:right w:val="single" w:color="auto" w:sz="4" w:space="0"/>
            </w:tcBorders>
            <w:vAlign w:val="center"/>
          </w:tcPr>
          <w:p w14:paraId="25C33574">
            <w:pPr>
              <w:pStyle w:val="45"/>
              <w:rPr>
                <w:rFonts w:hint="default"/>
                <w:lang w:val="en-US" w:eastAsia="zh-CN"/>
              </w:rPr>
            </w:pPr>
            <w:r>
              <w:rPr>
                <w:rFonts w:hint="eastAsia"/>
                <w:lang w:val="en-US" w:eastAsia="zh-CN"/>
              </w:rPr>
              <w:t>99</w:t>
            </w:r>
          </w:p>
        </w:tc>
        <w:tc>
          <w:tcPr>
            <w:tcW w:w="625" w:type="pct"/>
            <w:tcBorders>
              <w:top w:val="single" w:color="auto" w:sz="4" w:space="0"/>
              <w:left w:val="single" w:color="auto" w:sz="6" w:space="0"/>
              <w:bottom w:val="single" w:color="auto" w:sz="6" w:space="0"/>
              <w:right w:val="single" w:color="auto" w:sz="4" w:space="0"/>
            </w:tcBorders>
            <w:vAlign w:val="center"/>
          </w:tcPr>
          <w:p w14:paraId="2E14F5E9">
            <w:pPr>
              <w:pStyle w:val="45"/>
              <w:rPr>
                <w:rFonts w:hint="default"/>
                <w:lang w:val="en-US" w:eastAsia="zh-CN"/>
              </w:rPr>
            </w:pPr>
            <w:r>
              <w:rPr>
                <w:rFonts w:hint="eastAsia"/>
                <w:lang w:val="en-US" w:eastAsia="zh-CN"/>
              </w:rPr>
              <w:t>0.1050</w:t>
            </w:r>
          </w:p>
        </w:tc>
        <w:tc>
          <w:tcPr>
            <w:tcW w:w="625" w:type="pct"/>
            <w:tcBorders>
              <w:top w:val="single" w:color="auto" w:sz="4" w:space="0"/>
              <w:left w:val="single" w:color="auto" w:sz="6" w:space="0"/>
              <w:bottom w:val="single" w:color="auto" w:sz="6" w:space="0"/>
              <w:right w:val="single" w:color="auto" w:sz="4" w:space="0"/>
            </w:tcBorders>
            <w:vAlign w:val="center"/>
          </w:tcPr>
          <w:p w14:paraId="2E9F0B1F">
            <w:pPr>
              <w:pStyle w:val="45"/>
              <w:rPr>
                <w:rFonts w:hint="default"/>
                <w:lang w:val="en-US" w:eastAsia="zh-CN"/>
              </w:rPr>
            </w:pPr>
            <w:r>
              <w:rPr>
                <w:rFonts w:hint="eastAsia"/>
                <w:lang w:val="en-US" w:eastAsia="zh-CN"/>
              </w:rPr>
              <w:t>0.0105</w:t>
            </w:r>
          </w:p>
        </w:tc>
      </w:tr>
      <w:tr w14:paraId="0D5F926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622" w:type="pct"/>
            <w:vMerge w:val="continue"/>
            <w:tcBorders>
              <w:left w:val="single" w:color="auto" w:sz="6" w:space="0"/>
              <w:bottom w:val="single" w:color="auto" w:sz="6" w:space="0"/>
              <w:right w:val="single" w:color="auto" w:sz="4" w:space="0"/>
            </w:tcBorders>
            <w:vAlign w:val="center"/>
          </w:tcPr>
          <w:p w14:paraId="0ED933AD">
            <w:pPr>
              <w:pStyle w:val="45"/>
              <w:rPr>
                <w:rFonts w:hint="eastAsia"/>
                <w:lang w:val="en-US" w:eastAsia="zh-CN"/>
              </w:rPr>
            </w:pPr>
          </w:p>
        </w:tc>
        <w:tc>
          <w:tcPr>
            <w:tcW w:w="625" w:type="pct"/>
            <w:tcBorders>
              <w:top w:val="single" w:color="auto" w:sz="6" w:space="0"/>
              <w:left w:val="single" w:color="auto" w:sz="6" w:space="0"/>
              <w:bottom w:val="single" w:color="auto" w:sz="6" w:space="0"/>
              <w:right w:val="single" w:color="auto" w:sz="4" w:space="0"/>
            </w:tcBorders>
            <w:vAlign w:val="center"/>
          </w:tcPr>
          <w:p w14:paraId="7FBB1029">
            <w:pPr>
              <w:pStyle w:val="45"/>
              <w:rPr>
                <w:rFonts w:hint="eastAsia" w:eastAsia="宋体"/>
                <w:lang w:val="en-US" w:eastAsia="zh-CN"/>
              </w:rPr>
            </w:pPr>
            <w:r>
              <w:rPr>
                <w:rFonts w:hint="eastAsia"/>
                <w:lang w:val="en-US" w:eastAsia="zh-CN"/>
              </w:rPr>
              <w:t>氯化氢</w:t>
            </w:r>
          </w:p>
        </w:tc>
        <w:tc>
          <w:tcPr>
            <w:tcW w:w="625" w:type="pct"/>
            <w:tcBorders>
              <w:top w:val="single" w:color="auto" w:sz="6" w:space="0"/>
              <w:left w:val="single" w:color="auto" w:sz="6" w:space="0"/>
              <w:bottom w:val="single" w:color="auto" w:sz="6" w:space="0"/>
              <w:right w:val="single" w:color="auto" w:sz="4" w:space="0"/>
            </w:tcBorders>
            <w:vAlign w:val="center"/>
          </w:tcPr>
          <w:p w14:paraId="5D37EB8F">
            <w:pPr>
              <w:pStyle w:val="45"/>
              <w:rPr>
                <w:rFonts w:hint="default"/>
                <w:lang w:val="en-US" w:eastAsia="zh-CN"/>
              </w:rPr>
            </w:pPr>
            <w:r>
              <w:rPr>
                <w:rFonts w:hint="eastAsia"/>
                <w:lang w:val="en-US" w:eastAsia="zh-CN"/>
              </w:rPr>
              <w:t>10.85</w:t>
            </w:r>
          </w:p>
        </w:tc>
        <w:tc>
          <w:tcPr>
            <w:tcW w:w="625" w:type="pct"/>
            <w:tcBorders>
              <w:top w:val="single" w:color="auto" w:sz="6" w:space="0"/>
              <w:left w:val="single" w:color="auto" w:sz="6" w:space="0"/>
              <w:bottom w:val="single" w:color="auto" w:sz="6" w:space="0"/>
              <w:right w:val="single" w:color="auto" w:sz="4" w:space="0"/>
            </w:tcBorders>
            <w:vAlign w:val="center"/>
          </w:tcPr>
          <w:p w14:paraId="647A8A50">
            <w:pPr>
              <w:pStyle w:val="45"/>
              <w:rPr>
                <w:rFonts w:hint="default"/>
                <w:lang w:val="en-US" w:eastAsia="zh-CN"/>
              </w:rPr>
            </w:pPr>
            <w:r>
              <w:rPr>
                <w:rFonts w:hint="eastAsia"/>
                <w:lang w:val="en-US" w:eastAsia="zh-CN"/>
              </w:rPr>
              <w:t>1.51</w:t>
            </w:r>
          </w:p>
        </w:tc>
        <w:tc>
          <w:tcPr>
            <w:tcW w:w="1065" w:type="dxa"/>
            <w:tcBorders>
              <w:top w:val="single" w:color="auto" w:sz="6" w:space="0"/>
              <w:left w:val="single" w:color="auto" w:sz="6" w:space="0"/>
              <w:bottom w:val="single" w:color="auto" w:sz="6" w:space="0"/>
              <w:right w:val="single" w:color="auto" w:sz="4" w:space="0"/>
            </w:tcBorders>
            <w:vAlign w:val="center"/>
          </w:tcPr>
          <w:p w14:paraId="2142485A">
            <w:pPr>
              <w:pStyle w:val="45"/>
              <w:ind w:firstLine="0" w:firstLineChars="0"/>
              <w:rPr>
                <w:rFonts w:hint="eastAsia"/>
                <w:lang w:val="en-US" w:eastAsia="zh-CN"/>
              </w:rPr>
            </w:pPr>
            <w:r>
              <w:rPr>
                <w:rFonts w:hint="eastAsia"/>
                <w:lang w:val="en-US" w:eastAsia="zh-CN"/>
              </w:rPr>
              <w:t>99.9</w:t>
            </w:r>
          </w:p>
        </w:tc>
        <w:tc>
          <w:tcPr>
            <w:tcW w:w="1065" w:type="dxa"/>
            <w:tcBorders>
              <w:top w:val="single" w:color="auto" w:sz="6" w:space="0"/>
              <w:left w:val="single" w:color="auto" w:sz="6" w:space="0"/>
              <w:bottom w:val="single" w:color="auto" w:sz="6" w:space="0"/>
              <w:right w:val="single" w:color="auto" w:sz="4" w:space="0"/>
            </w:tcBorders>
            <w:vAlign w:val="center"/>
          </w:tcPr>
          <w:p w14:paraId="3EE45874">
            <w:pPr>
              <w:pStyle w:val="45"/>
              <w:ind w:firstLine="0" w:firstLineChars="0"/>
              <w:rPr>
                <w:rFonts w:hint="default"/>
                <w:lang w:val="en-US" w:eastAsia="zh-CN"/>
              </w:rPr>
            </w:pPr>
            <w:r>
              <w:rPr>
                <w:rFonts w:hint="eastAsia"/>
                <w:lang w:val="en-US" w:eastAsia="zh-CN"/>
              </w:rPr>
              <w:t>99</w:t>
            </w:r>
          </w:p>
        </w:tc>
        <w:tc>
          <w:tcPr>
            <w:tcW w:w="625" w:type="pct"/>
            <w:tcBorders>
              <w:top w:val="single" w:color="auto" w:sz="6" w:space="0"/>
              <w:left w:val="single" w:color="auto" w:sz="6" w:space="0"/>
              <w:bottom w:val="single" w:color="auto" w:sz="6" w:space="0"/>
              <w:right w:val="single" w:color="auto" w:sz="4" w:space="0"/>
            </w:tcBorders>
            <w:vAlign w:val="center"/>
          </w:tcPr>
          <w:p w14:paraId="1BB9DCDD">
            <w:pPr>
              <w:pStyle w:val="45"/>
              <w:rPr>
                <w:rFonts w:hint="default"/>
                <w:lang w:val="en-US" w:eastAsia="zh-CN"/>
              </w:rPr>
            </w:pPr>
            <w:r>
              <w:rPr>
                <w:rFonts w:hint="eastAsia"/>
                <w:lang w:val="en-US" w:eastAsia="zh-CN"/>
              </w:rPr>
              <w:t>0.1084</w:t>
            </w:r>
          </w:p>
        </w:tc>
        <w:tc>
          <w:tcPr>
            <w:tcW w:w="625" w:type="pct"/>
            <w:tcBorders>
              <w:top w:val="single" w:color="auto" w:sz="6" w:space="0"/>
              <w:left w:val="single" w:color="auto" w:sz="6" w:space="0"/>
              <w:bottom w:val="single" w:color="auto" w:sz="6" w:space="0"/>
              <w:right w:val="single" w:color="auto" w:sz="4" w:space="0"/>
            </w:tcBorders>
            <w:vAlign w:val="center"/>
          </w:tcPr>
          <w:p w14:paraId="0131443F">
            <w:pPr>
              <w:pStyle w:val="45"/>
              <w:rPr>
                <w:rFonts w:hint="default"/>
                <w:lang w:val="en-US" w:eastAsia="zh-CN"/>
              </w:rPr>
            </w:pPr>
            <w:r>
              <w:rPr>
                <w:rFonts w:hint="eastAsia"/>
                <w:lang w:val="en-US" w:eastAsia="zh-CN"/>
              </w:rPr>
              <w:t>0.0109</w:t>
            </w:r>
          </w:p>
        </w:tc>
      </w:tr>
    </w:tbl>
    <w:p w14:paraId="5CEE4101">
      <w:pPr>
        <w:ind w:left="0" w:leftChars="0" w:firstLine="0" w:firstLineChars="0"/>
        <w:rPr>
          <w:rFonts w:hint="default"/>
          <w:lang w:val="en-US" w:eastAsia="zh-CN"/>
        </w:rPr>
      </w:pPr>
    </w:p>
    <w:p w14:paraId="622D66CC">
      <w:pPr>
        <w:ind w:firstLine="482"/>
        <w:rPr>
          <w:b/>
          <w:bCs/>
        </w:rPr>
      </w:pPr>
      <w:r>
        <w:rPr>
          <w:rFonts w:hint="eastAsia"/>
          <w:b/>
          <w:bCs/>
        </w:rPr>
        <w:t>②除次钠尾气</w:t>
      </w:r>
    </w:p>
    <w:p w14:paraId="6B0272ED">
      <w:pPr>
        <w:ind w:firstLine="480"/>
        <w:rPr>
          <w:rFonts w:hint="eastAsia" w:cs="Times New Roman"/>
          <w:color w:val="000000"/>
        </w:rPr>
      </w:pPr>
      <w:r>
        <w:rPr>
          <w:rFonts w:hint="eastAsia"/>
          <w:lang w:val="en-US" w:eastAsia="zh-CN"/>
        </w:rPr>
        <w:t>本项目一次电解装置的</w:t>
      </w:r>
      <w:r>
        <w:rPr>
          <w:rFonts w:hint="eastAsia"/>
        </w:rPr>
        <w:t>除次钠工段产生气体为氮气、二氧化碳，不构成污染物</w:t>
      </w:r>
      <w:r>
        <w:rPr>
          <w:rFonts w:hint="eastAsia"/>
          <w:lang w:val="en-US" w:eastAsia="zh-CN"/>
        </w:rPr>
        <w:t>可直接外排</w:t>
      </w:r>
      <w:r>
        <w:rPr>
          <w:rFonts w:hint="eastAsia"/>
        </w:rPr>
        <w:t>，但由于一次电解液</w:t>
      </w:r>
      <w:r>
        <w:rPr>
          <w:rFonts w:hint="eastAsia"/>
          <w:lang w:val="en-US" w:eastAsia="zh-CN"/>
        </w:rPr>
        <w:t>进入</w:t>
      </w:r>
      <w:r>
        <w:rPr>
          <w:rFonts w:hint="eastAsia"/>
        </w:rPr>
        <w:t>除次钠工段前会经历曝气，</w:t>
      </w:r>
      <w:r>
        <w:rPr>
          <w:rFonts w:hint="eastAsia"/>
          <w:lang w:val="en-US" w:eastAsia="zh-CN"/>
        </w:rPr>
        <w:t>曝气时可能存在少量</w:t>
      </w:r>
      <w:r>
        <w:rPr>
          <w:rFonts w:hint="eastAsia"/>
        </w:rPr>
        <w:t>一次电解尾气逸散进入除次钠工段，</w:t>
      </w:r>
      <w:r>
        <w:rPr>
          <w:rFonts w:hint="eastAsia"/>
          <w:lang w:val="en-US" w:eastAsia="zh-CN"/>
        </w:rPr>
        <w:t>导致</w:t>
      </w:r>
      <w:r>
        <w:rPr>
          <w:rFonts w:hint="eastAsia"/>
        </w:rPr>
        <w:t>除次钠尾气夹带少量一次电解逸散尾气，主要污染物为</w:t>
      </w:r>
      <w:r>
        <w:rPr>
          <w:rFonts w:cs="Times New Roman"/>
          <w:color w:val="000000"/>
        </w:rPr>
        <w:t>Cl</w:t>
      </w:r>
      <w:r>
        <w:rPr>
          <w:rFonts w:cs="Times New Roman"/>
          <w:color w:val="000000"/>
          <w:vertAlign w:val="subscript"/>
        </w:rPr>
        <w:t>2</w:t>
      </w:r>
      <w:r>
        <w:rPr>
          <w:rFonts w:hint="eastAsia" w:cs="Times New Roman"/>
          <w:color w:val="000000"/>
        </w:rPr>
        <w:t>、HCl。</w:t>
      </w:r>
    </w:p>
    <w:p w14:paraId="0E23AE35">
      <w:pPr>
        <w:ind w:firstLine="480"/>
        <w:rPr>
          <w:rFonts w:hint="eastAsia"/>
          <w:lang w:eastAsia="zh-CN"/>
        </w:rPr>
      </w:pPr>
      <w:r>
        <w:rPr>
          <w:rFonts w:hint="eastAsia" w:cs="Times New Roman"/>
          <w:color w:val="000000"/>
        </w:rPr>
        <w:t>逸散</w:t>
      </w:r>
      <w:r>
        <w:rPr>
          <w:rFonts w:hint="eastAsia" w:cs="Times New Roman"/>
          <w:color w:val="000000"/>
          <w:lang w:val="en-US" w:eastAsia="zh-CN"/>
        </w:rPr>
        <w:t>进入除次钠工段的废气</w:t>
      </w:r>
      <w:r>
        <w:rPr>
          <w:rFonts w:hint="eastAsia" w:cs="Times New Roman"/>
          <w:color w:val="000000"/>
        </w:rPr>
        <w:t>量按一次电解尾气的0.1%计，则</w:t>
      </w:r>
      <w:r>
        <w:rPr>
          <w:rFonts w:hint="eastAsia" w:cs="Times New Roman"/>
          <w:color w:val="000000"/>
          <w:lang w:val="en-US" w:eastAsia="zh-CN"/>
        </w:rPr>
        <w:t>逸散进入</w:t>
      </w:r>
      <w:r>
        <w:rPr>
          <w:rFonts w:hint="eastAsia" w:cs="Times New Roman"/>
          <w:color w:val="000000"/>
        </w:rPr>
        <w:t>除次钠尾气中</w:t>
      </w:r>
      <w:r>
        <w:rPr>
          <w:rFonts w:hint="eastAsia" w:cs="Times New Roman"/>
          <w:color w:val="000000"/>
          <w:lang w:val="en-US" w:eastAsia="zh-CN"/>
        </w:rPr>
        <w:t>的</w:t>
      </w:r>
      <w:r>
        <w:rPr>
          <w:rFonts w:hint="eastAsia"/>
        </w:rPr>
        <w:t>Cl</w:t>
      </w:r>
      <w:r>
        <w:rPr>
          <w:rFonts w:hint="eastAsia"/>
          <w:vertAlign w:val="subscript"/>
        </w:rPr>
        <w:t>2</w:t>
      </w:r>
      <w:r>
        <w:rPr>
          <w:rFonts w:hint="eastAsia"/>
        </w:rPr>
        <w:t>为</w:t>
      </w:r>
      <w:r>
        <w:rPr>
          <w:rFonts w:hint="eastAsia"/>
          <w:lang w:val="en-US" w:eastAsia="zh-CN"/>
        </w:rPr>
        <w:t>0.0105</w:t>
      </w:r>
      <w:r>
        <w:rPr>
          <w:rFonts w:hint="eastAsia"/>
        </w:rPr>
        <w:t>t/a（</w:t>
      </w:r>
      <w:r>
        <w:rPr>
          <w:rFonts w:hint="eastAsia"/>
          <w:lang w:val="en-US" w:eastAsia="zh-CN"/>
        </w:rPr>
        <w:t>0.0015</w:t>
      </w:r>
      <w:r>
        <w:rPr>
          <w:rFonts w:hint="eastAsia"/>
        </w:rPr>
        <w:t>kg/h），HCl为</w:t>
      </w:r>
      <w:r>
        <w:rPr>
          <w:rFonts w:hint="eastAsia"/>
          <w:lang w:val="en-US" w:eastAsia="zh-CN"/>
        </w:rPr>
        <w:t>0.0109</w:t>
      </w:r>
      <w:r>
        <w:rPr>
          <w:rFonts w:hint="eastAsia"/>
        </w:rPr>
        <w:t>t/a（0.00</w:t>
      </w:r>
      <w:r>
        <w:rPr>
          <w:rFonts w:hint="eastAsia"/>
          <w:lang w:val="en-US" w:eastAsia="zh-CN"/>
        </w:rPr>
        <w:t>15</w:t>
      </w:r>
      <w:r>
        <w:rPr>
          <w:rFonts w:hint="eastAsia"/>
        </w:rPr>
        <w:t>kg/h）</w:t>
      </w:r>
      <w:r>
        <w:rPr>
          <w:rFonts w:hint="eastAsia"/>
          <w:lang w:eastAsia="zh-CN"/>
        </w:rPr>
        <w:t>。</w:t>
      </w:r>
    </w:p>
    <w:p w14:paraId="20986409">
      <w:pPr>
        <w:ind w:firstLine="480"/>
        <w:rPr>
          <w:rFonts w:hint="eastAsia"/>
        </w:rPr>
      </w:pPr>
      <w:r>
        <w:rPr>
          <w:rFonts w:hint="eastAsia"/>
          <w:lang w:val="en-US" w:eastAsia="zh-CN"/>
        </w:rPr>
        <w:t>逸散进入</w:t>
      </w:r>
      <w:r>
        <w:rPr>
          <w:rFonts w:hint="eastAsia"/>
        </w:rPr>
        <w:t>除次钠尾气中</w:t>
      </w:r>
      <w:r>
        <w:rPr>
          <w:rFonts w:hint="eastAsia"/>
          <w:lang w:val="en-US" w:eastAsia="zh-CN"/>
        </w:rPr>
        <w:t>的氯气、氯化氢经</w:t>
      </w:r>
      <w:r>
        <w:rPr>
          <w:rFonts w:hint="eastAsia"/>
        </w:rPr>
        <w:t>“一级</w:t>
      </w:r>
      <w:r>
        <w:rPr>
          <w:rFonts w:hint="eastAsia"/>
          <w:lang w:val="en-US" w:eastAsia="zh-CN"/>
        </w:rPr>
        <w:t>碱洗</w:t>
      </w:r>
      <w:r>
        <w:rPr>
          <w:rFonts w:hint="eastAsia"/>
        </w:rPr>
        <w:t>”</w:t>
      </w:r>
      <w:r>
        <w:rPr>
          <w:rFonts w:hint="eastAsia"/>
          <w:lang w:val="en-US" w:eastAsia="zh-CN"/>
        </w:rPr>
        <w:t>后通过25m高排气筒（DA002）达标外排</w:t>
      </w:r>
      <w:r>
        <w:rPr>
          <w:rFonts w:hint="eastAsia"/>
          <w:lang w:eastAsia="zh-CN"/>
        </w:rPr>
        <w:t>。</w:t>
      </w:r>
      <w:r>
        <w:rPr>
          <w:rFonts w:hint="eastAsia"/>
          <w:highlight w:val="none"/>
        </w:rPr>
        <w:t>单级碱洗效率约为90%，</w:t>
      </w:r>
      <w:r>
        <w:rPr>
          <w:rFonts w:hint="eastAsia"/>
        </w:rPr>
        <w:t>由于</w:t>
      </w:r>
      <w:r>
        <w:rPr>
          <w:rFonts w:hint="eastAsia"/>
          <w:lang w:val="en-US" w:eastAsia="zh-CN"/>
        </w:rPr>
        <w:t>逸散进入</w:t>
      </w:r>
      <w:r>
        <w:rPr>
          <w:rFonts w:hint="eastAsia"/>
        </w:rPr>
        <w:t>除次钠</w:t>
      </w:r>
      <w:r>
        <w:rPr>
          <w:rFonts w:hint="eastAsia"/>
          <w:lang w:val="en-US" w:eastAsia="zh-CN"/>
        </w:rPr>
        <w:t>工段的</w:t>
      </w:r>
      <w:r>
        <w:rPr>
          <w:rFonts w:hint="eastAsia"/>
        </w:rPr>
        <w:t>氯气、氯化氢</w:t>
      </w:r>
      <w:r>
        <w:rPr>
          <w:rFonts w:hint="eastAsia"/>
          <w:lang w:val="en-US" w:eastAsia="zh-CN"/>
        </w:rPr>
        <w:t>量较小，除次钠尾气中的氯气、氯化氢</w:t>
      </w:r>
      <w:r>
        <w:rPr>
          <w:rFonts w:hint="eastAsia"/>
        </w:rPr>
        <w:t>浓度较低，处理效率保守取</w:t>
      </w:r>
      <w:r>
        <w:rPr>
          <w:rFonts w:hint="eastAsia"/>
          <w:lang w:val="en-US" w:eastAsia="zh-CN"/>
        </w:rPr>
        <w:t>3</w:t>
      </w:r>
      <w:r>
        <w:rPr>
          <w:rFonts w:hint="eastAsia"/>
        </w:rPr>
        <w:t>0%。</w:t>
      </w:r>
    </w:p>
    <w:p w14:paraId="2E355A55">
      <w:pPr>
        <w:ind w:firstLine="480"/>
        <w:rPr>
          <w:rFonts w:hint="eastAsia"/>
        </w:rPr>
      </w:pPr>
      <w:r>
        <w:rPr>
          <w:rFonts w:hint="eastAsia"/>
        </w:rPr>
        <w:t>经计算，除次钠尾气处理后Cl</w:t>
      </w:r>
      <w:r>
        <w:rPr>
          <w:rFonts w:hint="eastAsia"/>
          <w:vertAlign w:val="subscript"/>
        </w:rPr>
        <w:t>2</w:t>
      </w:r>
      <w:r>
        <w:rPr>
          <w:rFonts w:hint="eastAsia"/>
        </w:rPr>
        <w:t>外排浓度为0.</w:t>
      </w:r>
      <w:r>
        <w:rPr>
          <w:rFonts w:hint="eastAsia"/>
          <w:lang w:val="en-US" w:eastAsia="zh-CN"/>
        </w:rPr>
        <w:t>51</w:t>
      </w:r>
      <w:r>
        <w:rPr>
          <w:rFonts w:hint="eastAsia"/>
        </w:rPr>
        <w:t>mg/m</w:t>
      </w:r>
      <w:r>
        <w:rPr>
          <w:rFonts w:hint="eastAsia"/>
          <w:highlight w:val="none"/>
          <w:vertAlign w:val="superscript"/>
          <w:lang w:val="en-US" w:eastAsia="zh-CN"/>
        </w:rPr>
        <w:t>3</w:t>
      </w:r>
      <w:r>
        <w:rPr>
          <w:rFonts w:hint="eastAsia"/>
        </w:rPr>
        <w:t>，HCl外排浓度为0.</w:t>
      </w:r>
      <w:r>
        <w:rPr>
          <w:rFonts w:hint="eastAsia"/>
          <w:lang w:val="en-US" w:eastAsia="zh-CN"/>
        </w:rPr>
        <w:t>53</w:t>
      </w:r>
      <w:r>
        <w:rPr>
          <w:rFonts w:hint="eastAsia"/>
        </w:rPr>
        <w:t>mg/m</w:t>
      </w:r>
      <w:r>
        <w:rPr>
          <w:rFonts w:hint="eastAsia"/>
          <w:highlight w:val="none"/>
          <w:vertAlign w:val="superscript"/>
          <w:lang w:val="en-US" w:eastAsia="zh-CN"/>
        </w:rPr>
        <w:t>3</w:t>
      </w:r>
      <w:r>
        <w:rPr>
          <w:rFonts w:hint="eastAsia"/>
        </w:rPr>
        <w:t>，能够满足《无机化学工业污染物排放标准》（GB31573-2015）中“无机氯化合物和氯酸盐工业”排放标准限值要求（Cl</w:t>
      </w:r>
      <w:r>
        <w:rPr>
          <w:rFonts w:hint="eastAsia"/>
          <w:vertAlign w:val="subscript"/>
        </w:rPr>
        <w:t>2</w:t>
      </w:r>
      <w:r>
        <w:rPr>
          <w:rFonts w:hint="eastAsia"/>
        </w:rPr>
        <w:t>：8mg/m</w:t>
      </w:r>
      <w:r>
        <w:rPr>
          <w:rFonts w:hint="eastAsia"/>
          <w:highlight w:val="none"/>
          <w:vertAlign w:val="superscript"/>
          <w:lang w:val="en-US" w:eastAsia="zh-CN"/>
        </w:rPr>
        <w:t>3</w:t>
      </w:r>
      <w:r>
        <w:rPr>
          <w:rFonts w:hint="eastAsia"/>
        </w:rPr>
        <w:t>，HCl：20mg/m</w:t>
      </w:r>
      <w:r>
        <w:rPr>
          <w:rFonts w:hint="eastAsia"/>
          <w:highlight w:val="none"/>
          <w:vertAlign w:val="superscript"/>
          <w:lang w:val="en-US" w:eastAsia="zh-CN"/>
        </w:rPr>
        <w:t>3</w:t>
      </w:r>
      <w:r>
        <w:rPr>
          <w:rFonts w:hint="eastAsia"/>
        </w:rPr>
        <w:t>）。</w:t>
      </w:r>
    </w:p>
    <w:p w14:paraId="18BC56E0">
      <w:pPr>
        <w:pStyle w:val="43"/>
        <w:bidi w:val="0"/>
        <w:rPr>
          <w:rFonts w:hint="default"/>
          <w:lang w:val="en-US" w:eastAsia="zh-CN"/>
        </w:rPr>
      </w:pPr>
      <w:r>
        <w:rPr>
          <w:rFonts w:hint="eastAsia"/>
          <w:lang w:val="en-US" w:eastAsia="zh-CN"/>
        </w:rPr>
        <w:t>逸散进入除次钠工段的氯气、氯化氢产排情况</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354"/>
        <w:gridCol w:w="1075"/>
        <w:gridCol w:w="1218"/>
        <w:gridCol w:w="1218"/>
        <w:gridCol w:w="1218"/>
        <w:gridCol w:w="1218"/>
        <w:gridCol w:w="1218"/>
      </w:tblGrid>
      <w:tr w14:paraId="75D5952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70" w:hRule="atLeast"/>
          <w:tblHeader/>
          <w:jc w:val="center"/>
        </w:trPr>
        <w:tc>
          <w:tcPr>
            <w:tcW w:w="794" w:type="pct"/>
            <w:tcBorders>
              <w:top w:val="single" w:color="auto" w:sz="4" w:space="0"/>
              <w:left w:val="single" w:color="auto" w:sz="6" w:space="0"/>
              <w:bottom w:val="single" w:color="auto" w:sz="4" w:space="0"/>
              <w:right w:val="single" w:color="auto" w:sz="4" w:space="0"/>
            </w:tcBorders>
            <w:vAlign w:val="center"/>
          </w:tcPr>
          <w:p w14:paraId="40333D4E">
            <w:pPr>
              <w:pStyle w:val="45"/>
              <w:rPr>
                <w:rFonts w:hint="default"/>
                <w:b/>
                <w:bCs/>
                <w:lang w:val="en-US" w:eastAsia="zh-CN"/>
              </w:rPr>
            </w:pPr>
            <w:r>
              <w:rPr>
                <w:rFonts w:hint="eastAsia"/>
                <w:b/>
                <w:bCs/>
                <w:lang w:val="en-US" w:eastAsia="zh-CN"/>
              </w:rPr>
              <w:t>废气名称</w:t>
            </w:r>
          </w:p>
        </w:tc>
        <w:tc>
          <w:tcPr>
            <w:tcW w:w="630" w:type="pct"/>
            <w:tcBorders>
              <w:top w:val="single" w:color="auto" w:sz="4" w:space="0"/>
              <w:left w:val="single" w:color="auto" w:sz="6" w:space="0"/>
              <w:bottom w:val="single" w:color="auto" w:sz="4" w:space="0"/>
              <w:right w:val="single" w:color="auto" w:sz="4" w:space="0"/>
            </w:tcBorders>
            <w:vAlign w:val="center"/>
          </w:tcPr>
          <w:p w14:paraId="2497DF67">
            <w:pPr>
              <w:pStyle w:val="45"/>
              <w:rPr>
                <w:rFonts w:hint="default" w:eastAsia="宋体"/>
                <w:b/>
                <w:bCs/>
                <w:lang w:val="en-US" w:eastAsia="zh-CN"/>
              </w:rPr>
            </w:pPr>
            <w:r>
              <w:rPr>
                <w:rFonts w:hint="eastAsia"/>
                <w:b/>
                <w:bCs/>
                <w:lang w:val="en-US" w:eastAsia="zh-CN"/>
              </w:rPr>
              <w:t>污染因子</w:t>
            </w:r>
          </w:p>
        </w:tc>
        <w:tc>
          <w:tcPr>
            <w:tcW w:w="714" w:type="pct"/>
            <w:tcBorders>
              <w:top w:val="single" w:color="auto" w:sz="4" w:space="0"/>
              <w:left w:val="single" w:color="auto" w:sz="6" w:space="0"/>
              <w:bottom w:val="single" w:color="auto" w:sz="4" w:space="0"/>
              <w:right w:val="single" w:color="auto" w:sz="4" w:space="0"/>
            </w:tcBorders>
            <w:vAlign w:val="center"/>
          </w:tcPr>
          <w:p w14:paraId="0C6A6E4B">
            <w:pPr>
              <w:pStyle w:val="45"/>
              <w:rPr>
                <w:rFonts w:hint="default"/>
                <w:b/>
                <w:bCs/>
                <w:lang w:val="en-US" w:eastAsia="zh-CN"/>
              </w:rPr>
            </w:pPr>
            <w:r>
              <w:rPr>
                <w:rFonts w:hint="eastAsia"/>
                <w:b/>
                <w:bCs/>
                <w:lang w:val="en-US" w:eastAsia="zh-CN"/>
              </w:rPr>
              <w:t>产生量t/a</w:t>
            </w:r>
          </w:p>
        </w:tc>
        <w:tc>
          <w:tcPr>
            <w:tcW w:w="714" w:type="pct"/>
            <w:tcBorders>
              <w:top w:val="single" w:color="auto" w:sz="4" w:space="0"/>
              <w:left w:val="single" w:color="auto" w:sz="6" w:space="0"/>
              <w:bottom w:val="single" w:color="auto" w:sz="4" w:space="0"/>
              <w:right w:val="single" w:color="auto" w:sz="4" w:space="0"/>
            </w:tcBorders>
            <w:vAlign w:val="center"/>
          </w:tcPr>
          <w:p w14:paraId="0D401835">
            <w:pPr>
              <w:pStyle w:val="45"/>
              <w:rPr>
                <w:rFonts w:hint="default"/>
                <w:b/>
                <w:bCs/>
                <w:lang w:val="en-US" w:eastAsia="zh-CN"/>
              </w:rPr>
            </w:pPr>
            <w:r>
              <w:rPr>
                <w:rFonts w:hint="eastAsia"/>
                <w:b/>
                <w:bCs/>
                <w:lang w:val="en-US" w:eastAsia="zh-CN"/>
              </w:rPr>
              <w:t>产生速率kg/h</w:t>
            </w:r>
          </w:p>
        </w:tc>
        <w:tc>
          <w:tcPr>
            <w:tcW w:w="714" w:type="pct"/>
            <w:tcBorders>
              <w:top w:val="single" w:color="auto" w:sz="4" w:space="0"/>
              <w:left w:val="single" w:color="auto" w:sz="6" w:space="0"/>
              <w:bottom w:val="single" w:color="auto" w:sz="4" w:space="0"/>
              <w:right w:val="single" w:color="auto" w:sz="4" w:space="0"/>
            </w:tcBorders>
            <w:vAlign w:val="center"/>
          </w:tcPr>
          <w:p w14:paraId="16F55D12">
            <w:pPr>
              <w:pStyle w:val="45"/>
              <w:rPr>
                <w:rFonts w:hint="default"/>
                <w:b/>
                <w:bCs/>
                <w:lang w:val="en-US" w:eastAsia="zh-CN"/>
              </w:rPr>
            </w:pPr>
            <w:r>
              <w:rPr>
                <w:rFonts w:hint="eastAsia"/>
                <w:b/>
                <w:bCs/>
                <w:lang w:val="en-US" w:eastAsia="zh-CN"/>
              </w:rPr>
              <w:t>收集效率%</w:t>
            </w:r>
          </w:p>
        </w:tc>
        <w:tc>
          <w:tcPr>
            <w:tcW w:w="714" w:type="pct"/>
            <w:tcBorders>
              <w:top w:val="single" w:color="auto" w:sz="4" w:space="0"/>
              <w:left w:val="single" w:color="auto" w:sz="6" w:space="0"/>
              <w:bottom w:val="single" w:color="auto" w:sz="4" w:space="0"/>
              <w:right w:val="single" w:color="auto" w:sz="4" w:space="0"/>
            </w:tcBorders>
            <w:vAlign w:val="center"/>
          </w:tcPr>
          <w:p w14:paraId="0AC76A84">
            <w:pPr>
              <w:pStyle w:val="45"/>
              <w:rPr>
                <w:rFonts w:hint="default"/>
                <w:b/>
                <w:bCs/>
                <w:lang w:val="en-US" w:eastAsia="zh-CN"/>
              </w:rPr>
            </w:pPr>
            <w:r>
              <w:rPr>
                <w:rFonts w:hint="eastAsia"/>
                <w:b/>
                <w:bCs/>
                <w:lang w:val="en-US" w:eastAsia="zh-CN"/>
              </w:rPr>
              <w:t>处理效率%</w:t>
            </w:r>
          </w:p>
        </w:tc>
        <w:tc>
          <w:tcPr>
            <w:tcW w:w="714" w:type="pct"/>
            <w:tcBorders>
              <w:top w:val="single" w:color="auto" w:sz="4" w:space="0"/>
              <w:left w:val="single" w:color="auto" w:sz="6" w:space="0"/>
              <w:bottom w:val="single" w:color="auto" w:sz="4" w:space="0"/>
              <w:right w:val="single" w:color="auto" w:sz="4" w:space="0"/>
            </w:tcBorders>
            <w:vAlign w:val="center"/>
          </w:tcPr>
          <w:p w14:paraId="46DB3A3A">
            <w:pPr>
              <w:pStyle w:val="45"/>
              <w:rPr>
                <w:rFonts w:hint="default"/>
                <w:b/>
                <w:bCs/>
                <w:lang w:val="en-US" w:eastAsia="zh-CN"/>
              </w:rPr>
            </w:pPr>
            <w:r>
              <w:rPr>
                <w:rFonts w:hint="eastAsia"/>
                <w:b/>
                <w:bCs/>
                <w:lang w:val="en-US" w:eastAsia="zh-CN"/>
              </w:rPr>
              <w:t>有组织排放量t/a</w:t>
            </w:r>
          </w:p>
        </w:tc>
      </w:tr>
      <w:tr w14:paraId="03BBF3A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794" w:type="pct"/>
            <w:vMerge w:val="restart"/>
            <w:tcBorders>
              <w:top w:val="single" w:color="auto" w:sz="4" w:space="0"/>
              <w:left w:val="single" w:color="auto" w:sz="6" w:space="0"/>
              <w:right w:val="single" w:color="auto" w:sz="4" w:space="0"/>
            </w:tcBorders>
            <w:vAlign w:val="center"/>
          </w:tcPr>
          <w:p w14:paraId="72E5AA9A">
            <w:pPr>
              <w:pStyle w:val="45"/>
              <w:rPr>
                <w:rFonts w:hint="default"/>
                <w:lang w:val="en-US" w:eastAsia="zh-CN"/>
              </w:rPr>
            </w:pPr>
            <w:r>
              <w:rPr>
                <w:rFonts w:hint="eastAsia"/>
                <w:lang w:val="en-US" w:eastAsia="zh-CN"/>
              </w:rPr>
              <w:t>除次钠尾气</w:t>
            </w:r>
          </w:p>
        </w:tc>
        <w:tc>
          <w:tcPr>
            <w:tcW w:w="630" w:type="pct"/>
            <w:tcBorders>
              <w:top w:val="single" w:color="auto" w:sz="4" w:space="0"/>
              <w:left w:val="single" w:color="auto" w:sz="6" w:space="0"/>
              <w:bottom w:val="single" w:color="auto" w:sz="6" w:space="0"/>
              <w:right w:val="single" w:color="auto" w:sz="4" w:space="0"/>
            </w:tcBorders>
            <w:vAlign w:val="center"/>
          </w:tcPr>
          <w:p w14:paraId="19C06CF5">
            <w:pPr>
              <w:pStyle w:val="45"/>
              <w:rPr>
                <w:rFonts w:hint="eastAsia" w:eastAsia="宋体"/>
                <w:lang w:val="en-US" w:eastAsia="zh-CN"/>
              </w:rPr>
            </w:pPr>
            <w:r>
              <w:rPr>
                <w:rFonts w:hint="eastAsia"/>
                <w:lang w:val="en-US" w:eastAsia="zh-CN"/>
              </w:rPr>
              <w:t>氯气</w:t>
            </w:r>
          </w:p>
        </w:tc>
        <w:tc>
          <w:tcPr>
            <w:tcW w:w="714" w:type="pct"/>
            <w:tcBorders>
              <w:top w:val="single" w:color="auto" w:sz="4" w:space="0"/>
              <w:left w:val="single" w:color="auto" w:sz="6" w:space="0"/>
              <w:bottom w:val="single" w:color="auto" w:sz="6" w:space="0"/>
              <w:right w:val="single" w:color="auto" w:sz="4" w:space="0"/>
            </w:tcBorders>
            <w:vAlign w:val="center"/>
          </w:tcPr>
          <w:p w14:paraId="6850ECC5">
            <w:pPr>
              <w:pStyle w:val="45"/>
              <w:rPr>
                <w:rFonts w:hint="default"/>
                <w:lang w:val="en-US" w:eastAsia="zh-CN"/>
              </w:rPr>
            </w:pPr>
            <w:r>
              <w:rPr>
                <w:rFonts w:hint="eastAsia"/>
                <w:lang w:val="en-US" w:eastAsia="zh-CN"/>
              </w:rPr>
              <w:t>0.0105</w:t>
            </w:r>
          </w:p>
        </w:tc>
        <w:tc>
          <w:tcPr>
            <w:tcW w:w="714" w:type="pct"/>
            <w:tcBorders>
              <w:top w:val="single" w:color="auto" w:sz="4" w:space="0"/>
              <w:left w:val="single" w:color="auto" w:sz="6" w:space="0"/>
              <w:bottom w:val="single" w:color="auto" w:sz="6" w:space="0"/>
              <w:right w:val="single" w:color="auto" w:sz="4" w:space="0"/>
            </w:tcBorders>
            <w:vAlign w:val="center"/>
          </w:tcPr>
          <w:p w14:paraId="038E515D">
            <w:pPr>
              <w:pStyle w:val="45"/>
              <w:rPr>
                <w:rFonts w:hint="default"/>
                <w:lang w:val="en-US" w:eastAsia="zh-CN"/>
              </w:rPr>
            </w:pPr>
            <w:r>
              <w:rPr>
                <w:rFonts w:hint="eastAsia"/>
                <w:lang w:val="en-US" w:eastAsia="zh-CN"/>
              </w:rPr>
              <w:t>0.0015</w:t>
            </w:r>
          </w:p>
        </w:tc>
        <w:tc>
          <w:tcPr>
            <w:tcW w:w="714" w:type="pct"/>
            <w:tcBorders>
              <w:top w:val="single" w:color="auto" w:sz="4" w:space="0"/>
              <w:left w:val="single" w:color="auto" w:sz="6" w:space="0"/>
              <w:bottom w:val="single" w:color="auto" w:sz="6" w:space="0"/>
              <w:right w:val="single" w:color="auto" w:sz="4" w:space="0"/>
            </w:tcBorders>
            <w:vAlign w:val="center"/>
          </w:tcPr>
          <w:p w14:paraId="04FC1B19">
            <w:pPr>
              <w:pStyle w:val="45"/>
              <w:rPr>
                <w:rFonts w:hint="default"/>
                <w:lang w:val="en-US" w:eastAsia="zh-CN"/>
              </w:rPr>
            </w:pPr>
            <w:r>
              <w:rPr>
                <w:rFonts w:hint="eastAsia"/>
                <w:lang w:val="en-US" w:eastAsia="zh-CN"/>
              </w:rPr>
              <w:t>100</w:t>
            </w:r>
          </w:p>
        </w:tc>
        <w:tc>
          <w:tcPr>
            <w:tcW w:w="714" w:type="pct"/>
            <w:tcBorders>
              <w:top w:val="single" w:color="auto" w:sz="4" w:space="0"/>
              <w:left w:val="single" w:color="auto" w:sz="6" w:space="0"/>
              <w:bottom w:val="single" w:color="auto" w:sz="6" w:space="0"/>
              <w:right w:val="single" w:color="auto" w:sz="4" w:space="0"/>
            </w:tcBorders>
            <w:vAlign w:val="center"/>
          </w:tcPr>
          <w:p w14:paraId="08203206">
            <w:pPr>
              <w:pStyle w:val="45"/>
              <w:rPr>
                <w:rFonts w:hint="default"/>
                <w:lang w:val="en-US" w:eastAsia="zh-CN"/>
              </w:rPr>
            </w:pPr>
            <w:r>
              <w:rPr>
                <w:rFonts w:hint="eastAsia"/>
                <w:lang w:val="en-US" w:eastAsia="zh-CN"/>
              </w:rPr>
              <w:t>30</w:t>
            </w:r>
          </w:p>
        </w:tc>
        <w:tc>
          <w:tcPr>
            <w:tcW w:w="714" w:type="pct"/>
            <w:tcBorders>
              <w:top w:val="single" w:color="auto" w:sz="4" w:space="0"/>
              <w:left w:val="single" w:color="auto" w:sz="6" w:space="0"/>
              <w:bottom w:val="single" w:color="auto" w:sz="6" w:space="0"/>
              <w:right w:val="single" w:color="auto" w:sz="4" w:space="0"/>
            </w:tcBorders>
            <w:vAlign w:val="center"/>
          </w:tcPr>
          <w:p w14:paraId="1B8B0CB4">
            <w:pPr>
              <w:pStyle w:val="45"/>
              <w:rPr>
                <w:rFonts w:hint="default"/>
                <w:lang w:val="en-US" w:eastAsia="zh-CN"/>
              </w:rPr>
            </w:pPr>
            <w:r>
              <w:rPr>
                <w:rFonts w:hint="eastAsia"/>
                <w:lang w:val="en-US" w:eastAsia="zh-CN"/>
              </w:rPr>
              <w:t>0.0074</w:t>
            </w:r>
          </w:p>
        </w:tc>
      </w:tr>
      <w:tr w14:paraId="00A1057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794" w:type="pct"/>
            <w:vMerge w:val="continue"/>
            <w:tcBorders>
              <w:left w:val="single" w:color="auto" w:sz="6" w:space="0"/>
              <w:bottom w:val="single" w:color="auto" w:sz="6" w:space="0"/>
              <w:right w:val="single" w:color="auto" w:sz="4" w:space="0"/>
            </w:tcBorders>
            <w:vAlign w:val="center"/>
          </w:tcPr>
          <w:p w14:paraId="7044487C">
            <w:pPr>
              <w:pStyle w:val="45"/>
              <w:rPr>
                <w:rFonts w:hint="eastAsia"/>
                <w:lang w:val="en-US" w:eastAsia="zh-CN"/>
              </w:rPr>
            </w:pPr>
          </w:p>
        </w:tc>
        <w:tc>
          <w:tcPr>
            <w:tcW w:w="630" w:type="pct"/>
            <w:tcBorders>
              <w:top w:val="single" w:color="auto" w:sz="6" w:space="0"/>
              <w:left w:val="single" w:color="auto" w:sz="6" w:space="0"/>
              <w:bottom w:val="single" w:color="auto" w:sz="6" w:space="0"/>
              <w:right w:val="single" w:color="auto" w:sz="4" w:space="0"/>
            </w:tcBorders>
            <w:vAlign w:val="center"/>
          </w:tcPr>
          <w:p w14:paraId="3024B26D">
            <w:pPr>
              <w:pStyle w:val="45"/>
              <w:rPr>
                <w:rFonts w:hint="eastAsia" w:eastAsia="宋体"/>
                <w:lang w:val="en-US" w:eastAsia="zh-CN"/>
              </w:rPr>
            </w:pPr>
            <w:r>
              <w:rPr>
                <w:rFonts w:hint="eastAsia"/>
                <w:lang w:val="en-US" w:eastAsia="zh-CN"/>
              </w:rPr>
              <w:t>氯化氢</w:t>
            </w:r>
          </w:p>
        </w:tc>
        <w:tc>
          <w:tcPr>
            <w:tcW w:w="714" w:type="pct"/>
            <w:tcBorders>
              <w:top w:val="single" w:color="auto" w:sz="6" w:space="0"/>
              <w:left w:val="single" w:color="auto" w:sz="6" w:space="0"/>
              <w:bottom w:val="single" w:color="auto" w:sz="6" w:space="0"/>
              <w:right w:val="single" w:color="auto" w:sz="4" w:space="0"/>
            </w:tcBorders>
            <w:vAlign w:val="center"/>
          </w:tcPr>
          <w:p w14:paraId="00C1D7F1">
            <w:pPr>
              <w:pStyle w:val="45"/>
              <w:rPr>
                <w:rFonts w:hint="default"/>
                <w:lang w:val="en-US" w:eastAsia="zh-CN"/>
              </w:rPr>
            </w:pPr>
            <w:r>
              <w:rPr>
                <w:rFonts w:hint="eastAsia"/>
                <w:lang w:val="en-US" w:eastAsia="zh-CN"/>
              </w:rPr>
              <w:t>0.0109</w:t>
            </w:r>
          </w:p>
        </w:tc>
        <w:tc>
          <w:tcPr>
            <w:tcW w:w="714" w:type="pct"/>
            <w:tcBorders>
              <w:top w:val="single" w:color="auto" w:sz="6" w:space="0"/>
              <w:left w:val="single" w:color="auto" w:sz="6" w:space="0"/>
              <w:bottom w:val="single" w:color="auto" w:sz="6" w:space="0"/>
              <w:right w:val="single" w:color="auto" w:sz="4" w:space="0"/>
            </w:tcBorders>
            <w:vAlign w:val="center"/>
          </w:tcPr>
          <w:p w14:paraId="67E84062">
            <w:pPr>
              <w:pStyle w:val="45"/>
              <w:rPr>
                <w:rFonts w:hint="default"/>
                <w:lang w:val="en-US" w:eastAsia="zh-CN"/>
              </w:rPr>
            </w:pPr>
            <w:r>
              <w:rPr>
                <w:rFonts w:hint="eastAsia"/>
                <w:lang w:val="en-US" w:eastAsia="zh-CN"/>
              </w:rPr>
              <w:t>0.0015</w:t>
            </w:r>
          </w:p>
        </w:tc>
        <w:tc>
          <w:tcPr>
            <w:tcW w:w="714" w:type="pct"/>
            <w:tcBorders>
              <w:top w:val="single" w:color="auto" w:sz="6" w:space="0"/>
              <w:left w:val="single" w:color="auto" w:sz="6" w:space="0"/>
              <w:bottom w:val="single" w:color="auto" w:sz="6" w:space="0"/>
              <w:right w:val="single" w:color="auto" w:sz="4" w:space="0"/>
            </w:tcBorders>
            <w:vAlign w:val="center"/>
          </w:tcPr>
          <w:p w14:paraId="4858D61C">
            <w:pPr>
              <w:pStyle w:val="45"/>
              <w:ind w:firstLine="0" w:firstLineChars="0"/>
              <w:rPr>
                <w:rFonts w:hint="default"/>
                <w:lang w:val="en-US" w:eastAsia="zh-CN"/>
              </w:rPr>
            </w:pPr>
            <w:r>
              <w:rPr>
                <w:rFonts w:hint="eastAsia"/>
                <w:lang w:val="en-US" w:eastAsia="zh-CN"/>
              </w:rPr>
              <w:t>100</w:t>
            </w:r>
          </w:p>
        </w:tc>
        <w:tc>
          <w:tcPr>
            <w:tcW w:w="714" w:type="pct"/>
            <w:tcBorders>
              <w:top w:val="single" w:color="auto" w:sz="6" w:space="0"/>
              <w:left w:val="single" w:color="auto" w:sz="6" w:space="0"/>
              <w:bottom w:val="single" w:color="auto" w:sz="6" w:space="0"/>
              <w:right w:val="single" w:color="auto" w:sz="4" w:space="0"/>
            </w:tcBorders>
            <w:vAlign w:val="center"/>
          </w:tcPr>
          <w:p w14:paraId="45908225">
            <w:pPr>
              <w:pStyle w:val="45"/>
              <w:ind w:firstLine="0" w:firstLineChars="0"/>
              <w:rPr>
                <w:rFonts w:hint="default"/>
                <w:lang w:val="en-US" w:eastAsia="zh-CN"/>
              </w:rPr>
            </w:pPr>
            <w:r>
              <w:rPr>
                <w:rFonts w:hint="eastAsia"/>
                <w:lang w:val="en-US" w:eastAsia="zh-CN"/>
              </w:rPr>
              <w:t>30</w:t>
            </w:r>
          </w:p>
        </w:tc>
        <w:tc>
          <w:tcPr>
            <w:tcW w:w="714" w:type="pct"/>
            <w:tcBorders>
              <w:top w:val="single" w:color="auto" w:sz="6" w:space="0"/>
              <w:left w:val="single" w:color="auto" w:sz="6" w:space="0"/>
              <w:bottom w:val="single" w:color="auto" w:sz="6" w:space="0"/>
              <w:right w:val="single" w:color="auto" w:sz="4" w:space="0"/>
            </w:tcBorders>
            <w:vAlign w:val="center"/>
          </w:tcPr>
          <w:p w14:paraId="56438154">
            <w:pPr>
              <w:pStyle w:val="45"/>
              <w:rPr>
                <w:rFonts w:hint="default"/>
                <w:lang w:val="en-US" w:eastAsia="zh-CN"/>
              </w:rPr>
            </w:pPr>
            <w:r>
              <w:rPr>
                <w:rFonts w:hint="eastAsia"/>
                <w:lang w:val="en-US" w:eastAsia="zh-CN"/>
              </w:rPr>
              <w:t>0.0076</w:t>
            </w:r>
          </w:p>
        </w:tc>
      </w:tr>
    </w:tbl>
    <w:p w14:paraId="55882D5D">
      <w:pPr>
        <w:ind w:firstLine="480"/>
        <w:rPr>
          <w:rFonts w:hint="eastAsia"/>
        </w:rPr>
      </w:pPr>
    </w:p>
    <w:p w14:paraId="1B271C89">
      <w:pPr>
        <w:ind w:firstLine="482"/>
        <w:outlineLvl w:val="5"/>
        <w:rPr>
          <w:rFonts w:hint="eastAsia"/>
          <w:b/>
          <w:bCs/>
          <w:lang w:val="en-US" w:eastAsia="zh-CN"/>
        </w:rPr>
      </w:pPr>
      <w:r>
        <w:rPr>
          <w:rFonts w:hint="eastAsia"/>
          <w:b/>
          <w:bCs/>
          <w:lang w:eastAsia="zh-CN"/>
        </w:rPr>
        <w:t>（</w:t>
      </w:r>
      <w:r>
        <w:rPr>
          <w:rFonts w:hint="eastAsia"/>
          <w:b/>
          <w:bCs/>
          <w:lang w:val="en-US" w:eastAsia="zh-CN"/>
        </w:rPr>
        <w:t>2</w:t>
      </w:r>
      <w:r>
        <w:rPr>
          <w:rFonts w:hint="eastAsia"/>
          <w:b/>
          <w:bCs/>
          <w:lang w:eastAsia="zh-CN"/>
        </w:rPr>
        <w:t>）</w:t>
      </w:r>
      <w:r>
        <w:rPr>
          <w:rFonts w:hint="eastAsia"/>
          <w:b/>
          <w:bCs/>
          <w:lang w:val="en-US" w:eastAsia="zh-CN"/>
        </w:rPr>
        <w:t>二次电解装置废气</w:t>
      </w:r>
    </w:p>
    <w:p w14:paraId="413FB461">
      <w:pPr>
        <w:ind w:firstLine="482"/>
        <w:rPr>
          <w:rFonts w:hint="eastAsia"/>
          <w:b w:val="0"/>
          <w:bCs w:val="0"/>
          <w:lang w:val="en-US" w:eastAsia="zh-CN"/>
        </w:rPr>
      </w:pPr>
      <w:r>
        <w:rPr>
          <w:rFonts w:hint="eastAsia"/>
          <w:b w:val="0"/>
          <w:bCs w:val="0"/>
          <w:lang w:val="en-US" w:eastAsia="zh-CN"/>
        </w:rPr>
        <w:t>本项目建有两套二次电解装置，单套二次电解装置设计生产规模为年产1万吨高氯酸钠。由于本项目高氯酸钠产品一水高钠为湿品，不设干燥工序，二次电解装置产生废气主要为二次电解尾气。</w:t>
      </w:r>
    </w:p>
    <w:p w14:paraId="798EAE2A">
      <w:pPr>
        <w:ind w:firstLine="480"/>
        <w:rPr>
          <w:rFonts w:hint="default" w:eastAsia="宋体"/>
          <w:color w:val="000000"/>
          <w:lang w:val="en-US" w:eastAsia="zh-CN"/>
        </w:rPr>
      </w:pPr>
      <w:r>
        <w:rPr>
          <w:rFonts w:hint="eastAsia" w:cs="Times New Roman"/>
          <w:color w:val="000000"/>
          <w:lang w:val="en-US" w:eastAsia="zh-CN"/>
        </w:rPr>
        <w:t>结合反应原理及物料平衡等，除水蒸气外，二次</w:t>
      </w:r>
      <w:r>
        <w:rPr>
          <w:rFonts w:hint="eastAsia" w:cs="Times New Roman"/>
          <w:color w:val="000000"/>
        </w:rPr>
        <w:t>电解</w:t>
      </w:r>
      <w:r>
        <w:rPr>
          <w:rFonts w:cs="Times New Roman"/>
          <w:color w:val="000000"/>
        </w:rPr>
        <w:t>尾气主要</w:t>
      </w:r>
      <w:r>
        <w:rPr>
          <w:rFonts w:hint="eastAsia" w:cs="Times New Roman"/>
          <w:color w:val="000000"/>
          <w:lang w:val="en-US" w:eastAsia="zh-CN"/>
        </w:rPr>
        <w:t>气体成分</w:t>
      </w:r>
      <w:r>
        <w:rPr>
          <w:rFonts w:hint="eastAsia" w:cs="Times New Roman"/>
          <w:color w:val="000000"/>
        </w:rPr>
        <w:t>为</w:t>
      </w:r>
      <w:r>
        <w:rPr>
          <w:rFonts w:cs="Times New Roman"/>
          <w:color w:val="000000"/>
        </w:rPr>
        <w:t>H</w:t>
      </w:r>
      <w:r>
        <w:rPr>
          <w:rFonts w:cs="Times New Roman"/>
          <w:color w:val="000000"/>
          <w:vertAlign w:val="subscript"/>
        </w:rPr>
        <w:t>2</w:t>
      </w:r>
      <w:r>
        <w:rPr>
          <w:rFonts w:hint="eastAsia" w:cs="Times New Roman"/>
          <w:color w:val="000000"/>
          <w:lang w:eastAsia="zh-CN"/>
        </w:rPr>
        <w:t>、</w:t>
      </w:r>
      <w:r>
        <w:rPr>
          <w:rFonts w:hint="eastAsia" w:cs="Times New Roman"/>
          <w:color w:val="000000"/>
        </w:rPr>
        <w:t>O</w:t>
      </w:r>
      <w:r>
        <w:rPr>
          <w:rFonts w:hint="eastAsia" w:cs="Times New Roman"/>
          <w:color w:val="000000"/>
          <w:vertAlign w:val="subscript"/>
        </w:rPr>
        <w:t>2</w:t>
      </w:r>
      <w:r>
        <w:rPr>
          <w:rFonts w:hint="eastAsia" w:cs="Times New Roman"/>
          <w:color w:val="000000"/>
          <w:lang w:eastAsia="zh-CN"/>
        </w:rPr>
        <w:t>、</w:t>
      </w:r>
      <w:r>
        <w:rPr>
          <w:rFonts w:cs="Times New Roman"/>
          <w:color w:val="000000"/>
        </w:rPr>
        <w:t>Cl</w:t>
      </w:r>
      <w:r>
        <w:rPr>
          <w:rFonts w:cs="Times New Roman"/>
          <w:color w:val="000000"/>
          <w:vertAlign w:val="subscript"/>
        </w:rPr>
        <w:t>2</w:t>
      </w:r>
      <w:r>
        <w:rPr>
          <w:rFonts w:hint="eastAsia" w:cs="Times New Roman"/>
          <w:color w:val="000000"/>
        </w:rPr>
        <w:t>、HCl。</w:t>
      </w:r>
      <w:r>
        <w:rPr>
          <w:rFonts w:hint="eastAsia" w:cs="Times New Roman"/>
          <w:color w:val="000000"/>
          <w:lang w:val="en-US" w:eastAsia="zh-CN"/>
        </w:rPr>
        <w:t>氢气为氯酸钠和水电解生产高氯酸钠的主要产物</w:t>
      </w:r>
      <w:r>
        <w:rPr>
          <w:rFonts w:hint="eastAsia"/>
          <w:color w:val="000000"/>
        </w:rPr>
        <w:t>，</w:t>
      </w:r>
      <w:r>
        <w:rPr>
          <w:rFonts w:hint="eastAsia"/>
          <w:color w:val="000000"/>
          <w:lang w:val="en-US" w:eastAsia="zh-CN"/>
        </w:rPr>
        <w:t>氧气、氯气、氯化氢</w:t>
      </w:r>
      <w:r>
        <w:rPr>
          <w:rFonts w:hint="eastAsia"/>
          <w:color w:val="000000"/>
        </w:rPr>
        <w:t>为电解</w:t>
      </w:r>
      <w:r>
        <w:rPr>
          <w:rFonts w:hint="eastAsia"/>
          <w:color w:val="000000"/>
          <w:lang w:val="en-US" w:eastAsia="zh-CN"/>
        </w:rPr>
        <w:t>副反应产生的副产物</w:t>
      </w:r>
      <w:r>
        <w:rPr>
          <w:rFonts w:hint="eastAsia"/>
          <w:color w:val="000000"/>
        </w:rPr>
        <w:t>。</w:t>
      </w:r>
      <w:r>
        <w:rPr>
          <w:rFonts w:hint="eastAsia"/>
          <w:color w:val="000000"/>
          <w:lang w:val="en-US" w:eastAsia="zh-CN"/>
        </w:rPr>
        <w:t>由于二次电解装置产生的氢气量相对较少，本项目二次电解尾气不进行氢气回收。</w:t>
      </w:r>
    </w:p>
    <w:p w14:paraId="38607E64">
      <w:pPr>
        <w:ind w:firstLine="482"/>
        <w:rPr>
          <w:rFonts w:hint="eastAsia" w:eastAsia="宋体"/>
          <w:lang w:val="en-US" w:eastAsia="zh-CN"/>
        </w:rPr>
      </w:pPr>
      <w:r>
        <w:rPr>
          <w:rFonts w:hint="eastAsia" w:cs="Times New Roman"/>
          <w:color w:val="000000"/>
        </w:rPr>
        <w:t>本项目通过类比法核算</w:t>
      </w:r>
      <w:r>
        <w:rPr>
          <w:rFonts w:hint="eastAsia" w:cs="Times New Roman"/>
          <w:color w:val="000000"/>
          <w:lang w:val="en-US" w:eastAsia="zh-CN"/>
        </w:rPr>
        <w:t>二次电解尾气中</w:t>
      </w:r>
      <w:r>
        <w:rPr>
          <w:rFonts w:cs="Times New Roman"/>
          <w:color w:val="000000"/>
        </w:rPr>
        <w:t>Cl</w:t>
      </w:r>
      <w:r>
        <w:rPr>
          <w:rFonts w:cs="Times New Roman"/>
          <w:color w:val="000000"/>
          <w:vertAlign w:val="subscript"/>
        </w:rPr>
        <w:t>2</w:t>
      </w:r>
      <w:r>
        <w:rPr>
          <w:rFonts w:hint="eastAsia" w:cs="Times New Roman"/>
          <w:color w:val="000000"/>
        </w:rPr>
        <w:t>的产生量</w:t>
      </w:r>
      <w:r>
        <w:rPr>
          <w:rFonts w:hint="eastAsia" w:cs="Times New Roman"/>
          <w:color w:val="000000"/>
          <w:lang w:eastAsia="zh-CN"/>
        </w:rPr>
        <w:t>。</w:t>
      </w:r>
      <w:r>
        <w:t>参照《石棉县天钰科技有限公司高氯酸钾蓝宝石生产项目竣工环境保护验收报告》中的Cl</w:t>
      </w:r>
      <w:r>
        <w:rPr>
          <w:vertAlign w:val="subscript"/>
        </w:rPr>
        <w:t>2</w:t>
      </w:r>
      <w:r>
        <w:t>产生系数小于0.5%，本</w:t>
      </w:r>
      <w:r>
        <w:rPr>
          <w:rFonts w:hint="eastAsia"/>
        </w:rPr>
        <w:t>次</w:t>
      </w:r>
      <w:r>
        <w:t>按</w:t>
      </w:r>
      <w:r>
        <w:rPr>
          <w:rFonts w:hint="eastAsia"/>
        </w:rPr>
        <w:t>0.</w:t>
      </w:r>
      <w:r>
        <w:t>5%计算源强，</w:t>
      </w:r>
      <w:r>
        <w:rPr>
          <w:rFonts w:hint="eastAsia"/>
        </w:rPr>
        <w:t>则</w:t>
      </w:r>
      <w:r>
        <w:t>年产1</w:t>
      </w:r>
      <w:r>
        <w:rPr>
          <w:rFonts w:hint="eastAsia"/>
        </w:rPr>
        <w:t>万吨</w:t>
      </w:r>
      <w:r>
        <w:t>高氯酸钠</w:t>
      </w:r>
      <w:r>
        <w:rPr>
          <w:rFonts w:hint="eastAsia"/>
          <w:lang w:val="en-US" w:eastAsia="zh-CN"/>
        </w:rPr>
        <w:t>的二次</w:t>
      </w:r>
      <w:r>
        <w:t>电解尾气</w:t>
      </w:r>
      <w:r>
        <w:rPr>
          <w:rFonts w:hint="eastAsia"/>
          <w:lang w:val="en-US" w:eastAsia="zh-CN"/>
        </w:rPr>
        <w:t>中</w:t>
      </w:r>
      <w:r>
        <w:t>Cl</w:t>
      </w:r>
      <w:r>
        <w:rPr>
          <w:vertAlign w:val="subscript"/>
        </w:rPr>
        <w:t>2</w:t>
      </w:r>
      <w:r>
        <w:rPr>
          <w:rFonts w:hint="eastAsia"/>
        </w:rPr>
        <w:t>产生量</w:t>
      </w:r>
      <w:r>
        <w:t>为</w:t>
      </w:r>
      <w:r>
        <w:rPr>
          <w:rFonts w:hint="eastAsia"/>
        </w:rPr>
        <w:t>0.75</w:t>
      </w:r>
      <w:r>
        <w:t>t</w:t>
      </w:r>
      <w:r>
        <w:rPr>
          <w:rFonts w:hint="eastAsia"/>
        </w:rPr>
        <w:t>/a，结合氯元素平衡分析，</w:t>
      </w:r>
      <w:r>
        <w:rPr>
          <w:rFonts w:hint="eastAsia"/>
          <w:lang w:val="en-US" w:eastAsia="zh-CN"/>
        </w:rPr>
        <w:t>二次电解尾气中的</w:t>
      </w:r>
      <w:r>
        <w:rPr>
          <w:rFonts w:hint="eastAsia"/>
        </w:rPr>
        <w:t>HCl产生量为0.87t/a。</w:t>
      </w:r>
      <w:r>
        <w:rPr>
          <w:rFonts w:hint="eastAsia"/>
          <w:lang w:val="en-US" w:eastAsia="zh-CN"/>
        </w:rPr>
        <w:t>则本项目单套二次电解装置产生的二次电解尾气中含</w:t>
      </w:r>
      <w:r>
        <w:t>Cl</w:t>
      </w:r>
      <w:r>
        <w:rPr>
          <w:vertAlign w:val="subscript"/>
        </w:rPr>
        <w:t>2</w:t>
      </w:r>
      <w:r>
        <w:rPr>
          <w:rFonts w:hint="eastAsia"/>
        </w:rPr>
        <w:t>量</w:t>
      </w:r>
      <w:r>
        <w:t>为</w:t>
      </w:r>
      <w:r>
        <w:rPr>
          <w:rFonts w:hint="eastAsia"/>
        </w:rPr>
        <w:t>0.75</w:t>
      </w:r>
      <w:r>
        <w:t>t</w:t>
      </w:r>
      <w:r>
        <w:rPr>
          <w:rFonts w:hint="eastAsia"/>
        </w:rPr>
        <w:t>/a，</w:t>
      </w:r>
      <w:r>
        <w:rPr>
          <w:rFonts w:hint="eastAsia"/>
          <w:lang w:val="en-US" w:eastAsia="zh-CN"/>
        </w:rPr>
        <w:t>含</w:t>
      </w:r>
      <w:r>
        <w:rPr>
          <w:rFonts w:hint="eastAsia"/>
        </w:rPr>
        <w:t>HCl量为0.87t/a</w:t>
      </w:r>
      <w:r>
        <w:rPr>
          <w:rFonts w:hint="eastAsia"/>
          <w:lang w:eastAsia="zh-CN"/>
        </w:rPr>
        <w:t>。</w:t>
      </w:r>
      <w:r>
        <w:rPr>
          <w:rFonts w:hint="eastAsia"/>
          <w:lang w:val="en-US" w:eastAsia="zh-CN"/>
        </w:rPr>
        <w:t>每套二次电解装置的电解尾气各通过</w:t>
      </w:r>
      <w:r>
        <w:rPr>
          <w:rFonts w:hint="eastAsia"/>
        </w:rPr>
        <w:t>“一级碱</w:t>
      </w:r>
      <w:r>
        <w:rPr>
          <w:rFonts w:hint="eastAsia"/>
          <w:lang w:val="en-US" w:eastAsia="zh-CN"/>
        </w:rPr>
        <w:t>洗+25m高排气筒</w:t>
      </w:r>
      <w:r>
        <w:rPr>
          <w:rFonts w:hint="eastAsia"/>
        </w:rPr>
        <w:t>”达标外排</w:t>
      </w:r>
      <w:r>
        <w:rPr>
          <w:rFonts w:hint="eastAsia"/>
          <w:lang w:eastAsia="zh-CN"/>
        </w:rPr>
        <w:t>。</w:t>
      </w:r>
      <w:r>
        <w:rPr>
          <w:rFonts w:hint="eastAsia"/>
          <w:highlight w:val="none"/>
        </w:rPr>
        <w:t>单级碱洗效率</w:t>
      </w:r>
      <w:r>
        <w:rPr>
          <w:rFonts w:hint="eastAsia"/>
          <w:highlight w:val="none"/>
          <w:lang w:val="en-US" w:eastAsia="zh-CN"/>
        </w:rPr>
        <w:t>取</w:t>
      </w:r>
      <w:r>
        <w:rPr>
          <w:rFonts w:hint="eastAsia"/>
          <w:highlight w:val="none"/>
        </w:rPr>
        <w:t>90%</w:t>
      </w:r>
      <w:r>
        <w:rPr>
          <w:rFonts w:hint="eastAsia"/>
          <w:highlight w:val="none"/>
          <w:lang w:eastAsia="zh-CN"/>
        </w:rPr>
        <w:t>。</w:t>
      </w:r>
      <w:r>
        <w:rPr>
          <w:rFonts w:hint="eastAsia"/>
          <w:lang w:val="en-US" w:eastAsia="zh-CN"/>
        </w:rPr>
        <w:t>本项目</w:t>
      </w:r>
      <w:r>
        <w:rPr>
          <w:rFonts w:hint="eastAsia"/>
          <w:b w:val="0"/>
          <w:bCs w:val="0"/>
          <w:lang w:val="en-US" w:eastAsia="zh-CN"/>
        </w:rPr>
        <w:t>有两套二次电解装置，每套二次电解装置均设有一套处理措施及一个排气筒，</w:t>
      </w:r>
      <w:r>
        <w:rPr>
          <w:rFonts w:hint="eastAsia"/>
          <w:lang w:val="en-US" w:eastAsia="zh-CN"/>
        </w:rPr>
        <w:t>各自对应排气筒编号分别为DA003、DA004。</w:t>
      </w:r>
    </w:p>
    <w:p w14:paraId="38E24DF9">
      <w:pPr>
        <w:pStyle w:val="43"/>
        <w:bidi w:val="0"/>
        <w:rPr>
          <w:rFonts w:hint="default"/>
          <w:lang w:val="en-US" w:eastAsia="zh-CN"/>
        </w:rPr>
      </w:pPr>
      <w:r>
        <w:rPr>
          <w:rFonts w:hint="eastAsia"/>
          <w:lang w:val="en-US" w:eastAsia="zh-CN"/>
        </w:rPr>
        <w:t>单套二次电解装置废气产排情况</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71"/>
        <w:gridCol w:w="1169"/>
        <w:gridCol w:w="1079"/>
        <w:gridCol w:w="1231"/>
        <w:gridCol w:w="1125"/>
        <w:gridCol w:w="1200"/>
        <w:gridCol w:w="1544"/>
      </w:tblGrid>
      <w:tr w14:paraId="28FDE32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70" w:hRule="atLeast"/>
          <w:tblHeader/>
          <w:jc w:val="center"/>
        </w:trPr>
        <w:tc>
          <w:tcPr>
            <w:tcW w:w="687" w:type="pct"/>
            <w:tcBorders>
              <w:top w:val="single" w:color="auto" w:sz="4" w:space="0"/>
              <w:left w:val="single" w:color="auto" w:sz="6" w:space="0"/>
              <w:bottom w:val="single" w:color="auto" w:sz="4" w:space="0"/>
              <w:right w:val="single" w:color="auto" w:sz="4" w:space="0"/>
            </w:tcBorders>
            <w:vAlign w:val="center"/>
          </w:tcPr>
          <w:p w14:paraId="77809F41">
            <w:pPr>
              <w:pStyle w:val="45"/>
              <w:rPr>
                <w:rFonts w:hint="default"/>
                <w:b/>
                <w:bCs/>
                <w:lang w:val="en-US" w:eastAsia="zh-CN"/>
              </w:rPr>
            </w:pPr>
            <w:r>
              <w:rPr>
                <w:rFonts w:hint="eastAsia"/>
                <w:b/>
                <w:bCs/>
                <w:lang w:val="en-US" w:eastAsia="zh-CN"/>
              </w:rPr>
              <w:t>废气名称</w:t>
            </w:r>
          </w:p>
        </w:tc>
        <w:tc>
          <w:tcPr>
            <w:tcW w:w="686" w:type="pct"/>
            <w:tcBorders>
              <w:top w:val="single" w:color="auto" w:sz="4" w:space="0"/>
              <w:left w:val="single" w:color="auto" w:sz="6" w:space="0"/>
              <w:bottom w:val="single" w:color="auto" w:sz="4" w:space="0"/>
              <w:right w:val="single" w:color="auto" w:sz="4" w:space="0"/>
            </w:tcBorders>
            <w:vAlign w:val="center"/>
          </w:tcPr>
          <w:p w14:paraId="20B5BF22">
            <w:pPr>
              <w:pStyle w:val="45"/>
              <w:rPr>
                <w:rFonts w:hint="default" w:eastAsia="宋体"/>
                <w:b/>
                <w:bCs/>
                <w:lang w:val="en-US" w:eastAsia="zh-CN"/>
              </w:rPr>
            </w:pPr>
            <w:r>
              <w:rPr>
                <w:rFonts w:hint="eastAsia"/>
                <w:b/>
                <w:bCs/>
                <w:lang w:val="en-US" w:eastAsia="zh-CN"/>
              </w:rPr>
              <w:t>污染因子</w:t>
            </w:r>
          </w:p>
        </w:tc>
        <w:tc>
          <w:tcPr>
            <w:tcW w:w="633" w:type="pct"/>
            <w:tcBorders>
              <w:top w:val="single" w:color="auto" w:sz="4" w:space="0"/>
              <w:left w:val="single" w:color="auto" w:sz="6" w:space="0"/>
              <w:bottom w:val="single" w:color="auto" w:sz="4" w:space="0"/>
              <w:right w:val="single" w:color="auto" w:sz="4" w:space="0"/>
            </w:tcBorders>
            <w:vAlign w:val="center"/>
          </w:tcPr>
          <w:p w14:paraId="2D81E499">
            <w:pPr>
              <w:pStyle w:val="45"/>
              <w:rPr>
                <w:rFonts w:hint="eastAsia"/>
                <w:b/>
                <w:bCs/>
                <w:lang w:val="en-US" w:eastAsia="zh-CN"/>
              </w:rPr>
            </w:pPr>
            <w:r>
              <w:rPr>
                <w:rFonts w:hint="eastAsia"/>
                <w:b/>
                <w:bCs/>
                <w:lang w:val="en-US" w:eastAsia="zh-CN"/>
              </w:rPr>
              <w:t>产生量</w:t>
            </w:r>
          </w:p>
          <w:p w14:paraId="2A79E833">
            <w:pPr>
              <w:pStyle w:val="45"/>
              <w:rPr>
                <w:rFonts w:hint="default"/>
                <w:b/>
                <w:bCs/>
                <w:lang w:val="en-US" w:eastAsia="zh-CN"/>
              </w:rPr>
            </w:pPr>
            <w:r>
              <w:rPr>
                <w:rFonts w:hint="eastAsia"/>
                <w:b/>
                <w:bCs/>
                <w:lang w:val="en-US" w:eastAsia="zh-CN"/>
              </w:rPr>
              <w:t>t/a</w:t>
            </w:r>
          </w:p>
        </w:tc>
        <w:tc>
          <w:tcPr>
            <w:tcW w:w="722" w:type="pct"/>
            <w:tcBorders>
              <w:top w:val="single" w:color="auto" w:sz="4" w:space="0"/>
              <w:left w:val="single" w:color="auto" w:sz="6" w:space="0"/>
              <w:bottom w:val="single" w:color="auto" w:sz="4" w:space="0"/>
              <w:right w:val="single" w:color="auto" w:sz="4" w:space="0"/>
            </w:tcBorders>
            <w:vAlign w:val="center"/>
          </w:tcPr>
          <w:p w14:paraId="6A5B84C5">
            <w:pPr>
              <w:pStyle w:val="45"/>
              <w:rPr>
                <w:rFonts w:hint="eastAsia"/>
                <w:b/>
                <w:bCs/>
                <w:lang w:val="en-US" w:eastAsia="zh-CN"/>
              </w:rPr>
            </w:pPr>
            <w:r>
              <w:rPr>
                <w:rFonts w:hint="eastAsia"/>
                <w:b/>
                <w:bCs/>
                <w:lang w:val="en-US" w:eastAsia="zh-CN"/>
              </w:rPr>
              <w:t>产生速率</w:t>
            </w:r>
          </w:p>
          <w:p w14:paraId="0E9AA833">
            <w:pPr>
              <w:pStyle w:val="45"/>
              <w:rPr>
                <w:rFonts w:hint="default"/>
                <w:b/>
                <w:bCs/>
                <w:lang w:val="en-US" w:eastAsia="zh-CN"/>
              </w:rPr>
            </w:pPr>
            <w:r>
              <w:rPr>
                <w:rFonts w:hint="eastAsia"/>
                <w:b/>
                <w:bCs/>
                <w:lang w:val="en-US" w:eastAsia="zh-CN"/>
              </w:rPr>
              <w:t>kg/h</w:t>
            </w:r>
          </w:p>
        </w:tc>
        <w:tc>
          <w:tcPr>
            <w:tcW w:w="660" w:type="pct"/>
            <w:tcBorders>
              <w:top w:val="single" w:color="auto" w:sz="4" w:space="0"/>
              <w:left w:val="single" w:color="auto" w:sz="6" w:space="0"/>
              <w:bottom w:val="single" w:color="auto" w:sz="4" w:space="0"/>
              <w:right w:val="single" w:color="auto" w:sz="4" w:space="0"/>
            </w:tcBorders>
            <w:vAlign w:val="center"/>
          </w:tcPr>
          <w:p w14:paraId="3647978A">
            <w:pPr>
              <w:pStyle w:val="45"/>
              <w:rPr>
                <w:rFonts w:hint="eastAsia"/>
                <w:b/>
                <w:bCs/>
                <w:lang w:val="en-US" w:eastAsia="zh-CN"/>
              </w:rPr>
            </w:pPr>
            <w:r>
              <w:rPr>
                <w:rFonts w:hint="eastAsia"/>
                <w:b/>
                <w:bCs/>
                <w:lang w:val="en-US" w:eastAsia="zh-CN"/>
              </w:rPr>
              <w:t>收集效率</w:t>
            </w:r>
          </w:p>
          <w:p w14:paraId="2F799EE4">
            <w:pPr>
              <w:pStyle w:val="45"/>
              <w:rPr>
                <w:rFonts w:hint="default"/>
                <w:b/>
                <w:bCs/>
                <w:lang w:val="en-US" w:eastAsia="zh-CN"/>
              </w:rPr>
            </w:pPr>
            <w:r>
              <w:rPr>
                <w:rFonts w:hint="eastAsia"/>
                <w:b/>
                <w:bCs/>
                <w:lang w:val="en-US" w:eastAsia="zh-CN"/>
              </w:rPr>
              <w:t>%</w:t>
            </w:r>
          </w:p>
        </w:tc>
        <w:tc>
          <w:tcPr>
            <w:tcW w:w="704" w:type="pct"/>
            <w:tcBorders>
              <w:top w:val="single" w:color="auto" w:sz="4" w:space="0"/>
              <w:left w:val="single" w:color="auto" w:sz="6" w:space="0"/>
              <w:bottom w:val="single" w:color="auto" w:sz="4" w:space="0"/>
              <w:right w:val="single" w:color="auto" w:sz="4" w:space="0"/>
            </w:tcBorders>
            <w:vAlign w:val="center"/>
          </w:tcPr>
          <w:p w14:paraId="544D546B">
            <w:pPr>
              <w:pStyle w:val="45"/>
              <w:rPr>
                <w:rFonts w:hint="eastAsia"/>
                <w:b/>
                <w:bCs/>
                <w:lang w:val="en-US" w:eastAsia="zh-CN"/>
              </w:rPr>
            </w:pPr>
            <w:r>
              <w:rPr>
                <w:rFonts w:hint="eastAsia"/>
                <w:b/>
                <w:bCs/>
                <w:lang w:val="en-US" w:eastAsia="zh-CN"/>
              </w:rPr>
              <w:t>处理效率</w:t>
            </w:r>
          </w:p>
          <w:p w14:paraId="08BE16FD">
            <w:pPr>
              <w:pStyle w:val="45"/>
              <w:rPr>
                <w:rFonts w:hint="default"/>
                <w:b/>
                <w:bCs/>
                <w:lang w:val="en-US" w:eastAsia="zh-CN"/>
              </w:rPr>
            </w:pPr>
            <w:r>
              <w:rPr>
                <w:rFonts w:hint="eastAsia"/>
                <w:b/>
                <w:bCs/>
                <w:lang w:val="en-US" w:eastAsia="zh-CN"/>
              </w:rPr>
              <w:t>%</w:t>
            </w:r>
          </w:p>
        </w:tc>
        <w:tc>
          <w:tcPr>
            <w:tcW w:w="905" w:type="pct"/>
            <w:tcBorders>
              <w:top w:val="single" w:color="auto" w:sz="4" w:space="0"/>
              <w:left w:val="single" w:color="auto" w:sz="6" w:space="0"/>
              <w:bottom w:val="single" w:color="auto" w:sz="4" w:space="0"/>
              <w:right w:val="single" w:color="auto" w:sz="4" w:space="0"/>
            </w:tcBorders>
            <w:vAlign w:val="center"/>
          </w:tcPr>
          <w:p w14:paraId="42DDAB66">
            <w:pPr>
              <w:pStyle w:val="45"/>
              <w:rPr>
                <w:rFonts w:hint="eastAsia"/>
                <w:b/>
                <w:bCs/>
                <w:lang w:val="en-US" w:eastAsia="zh-CN"/>
              </w:rPr>
            </w:pPr>
            <w:r>
              <w:rPr>
                <w:rFonts w:hint="eastAsia"/>
                <w:b/>
                <w:bCs/>
                <w:lang w:val="en-US" w:eastAsia="zh-CN"/>
              </w:rPr>
              <w:t>有组织排放量</w:t>
            </w:r>
          </w:p>
          <w:p w14:paraId="2A4D267F">
            <w:pPr>
              <w:pStyle w:val="45"/>
              <w:rPr>
                <w:rFonts w:hint="default"/>
                <w:b/>
                <w:bCs/>
                <w:lang w:val="en-US" w:eastAsia="zh-CN"/>
              </w:rPr>
            </w:pPr>
            <w:r>
              <w:rPr>
                <w:rFonts w:hint="eastAsia"/>
                <w:b/>
                <w:bCs/>
                <w:lang w:val="en-US" w:eastAsia="zh-CN"/>
              </w:rPr>
              <w:t>t/a</w:t>
            </w:r>
          </w:p>
        </w:tc>
      </w:tr>
      <w:tr w14:paraId="00B9BFB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687" w:type="pct"/>
            <w:vMerge w:val="restart"/>
            <w:tcBorders>
              <w:top w:val="single" w:color="auto" w:sz="4" w:space="0"/>
              <w:left w:val="single" w:color="auto" w:sz="6" w:space="0"/>
              <w:right w:val="single" w:color="auto" w:sz="4" w:space="0"/>
            </w:tcBorders>
            <w:vAlign w:val="center"/>
          </w:tcPr>
          <w:p w14:paraId="0AA95E50">
            <w:pPr>
              <w:pStyle w:val="45"/>
              <w:rPr>
                <w:rFonts w:hint="default"/>
                <w:lang w:val="en-US" w:eastAsia="zh-CN"/>
              </w:rPr>
            </w:pPr>
            <w:r>
              <w:rPr>
                <w:rFonts w:hint="eastAsia"/>
                <w:lang w:val="en-US" w:eastAsia="zh-CN"/>
              </w:rPr>
              <w:t>二次电解尾气</w:t>
            </w:r>
          </w:p>
        </w:tc>
        <w:tc>
          <w:tcPr>
            <w:tcW w:w="686" w:type="pct"/>
            <w:tcBorders>
              <w:top w:val="single" w:color="auto" w:sz="4" w:space="0"/>
              <w:left w:val="single" w:color="auto" w:sz="6" w:space="0"/>
              <w:bottom w:val="single" w:color="auto" w:sz="6" w:space="0"/>
              <w:right w:val="single" w:color="auto" w:sz="4" w:space="0"/>
            </w:tcBorders>
            <w:vAlign w:val="center"/>
          </w:tcPr>
          <w:p w14:paraId="77E92937">
            <w:pPr>
              <w:pStyle w:val="45"/>
              <w:rPr>
                <w:rFonts w:hint="eastAsia" w:eastAsia="宋体"/>
                <w:lang w:val="en-US" w:eastAsia="zh-CN"/>
              </w:rPr>
            </w:pPr>
            <w:r>
              <w:rPr>
                <w:rFonts w:hint="eastAsia"/>
                <w:lang w:val="en-US" w:eastAsia="zh-CN"/>
              </w:rPr>
              <w:t>氯气</w:t>
            </w:r>
          </w:p>
        </w:tc>
        <w:tc>
          <w:tcPr>
            <w:tcW w:w="633" w:type="pct"/>
            <w:tcBorders>
              <w:top w:val="single" w:color="auto" w:sz="4" w:space="0"/>
              <w:left w:val="single" w:color="auto" w:sz="6" w:space="0"/>
              <w:bottom w:val="single" w:color="auto" w:sz="6" w:space="0"/>
              <w:right w:val="single" w:color="auto" w:sz="4" w:space="0"/>
            </w:tcBorders>
            <w:vAlign w:val="center"/>
          </w:tcPr>
          <w:p w14:paraId="21AA58CF">
            <w:pPr>
              <w:pStyle w:val="45"/>
              <w:rPr>
                <w:rFonts w:hint="default"/>
                <w:lang w:val="en-US" w:eastAsia="zh-CN"/>
              </w:rPr>
            </w:pPr>
            <w:r>
              <w:rPr>
                <w:rFonts w:hint="eastAsia"/>
                <w:lang w:val="en-US" w:eastAsia="zh-CN"/>
              </w:rPr>
              <w:t>0.75</w:t>
            </w:r>
          </w:p>
        </w:tc>
        <w:tc>
          <w:tcPr>
            <w:tcW w:w="722" w:type="pct"/>
            <w:tcBorders>
              <w:top w:val="single" w:color="auto" w:sz="4" w:space="0"/>
              <w:left w:val="single" w:color="auto" w:sz="6" w:space="0"/>
              <w:bottom w:val="single" w:color="auto" w:sz="6" w:space="0"/>
              <w:right w:val="single" w:color="auto" w:sz="4" w:space="0"/>
            </w:tcBorders>
            <w:vAlign w:val="center"/>
          </w:tcPr>
          <w:p w14:paraId="7E275073">
            <w:pPr>
              <w:pStyle w:val="45"/>
              <w:rPr>
                <w:rFonts w:hint="default"/>
                <w:lang w:val="en-US" w:eastAsia="zh-CN"/>
              </w:rPr>
            </w:pPr>
            <w:r>
              <w:rPr>
                <w:rFonts w:hint="eastAsia"/>
                <w:lang w:val="en-US" w:eastAsia="zh-CN"/>
              </w:rPr>
              <w:t>0.104</w:t>
            </w:r>
          </w:p>
        </w:tc>
        <w:tc>
          <w:tcPr>
            <w:tcW w:w="660" w:type="pct"/>
            <w:tcBorders>
              <w:top w:val="single" w:color="auto" w:sz="4" w:space="0"/>
              <w:left w:val="single" w:color="auto" w:sz="6" w:space="0"/>
              <w:bottom w:val="single" w:color="auto" w:sz="6" w:space="0"/>
              <w:right w:val="single" w:color="auto" w:sz="4" w:space="0"/>
            </w:tcBorders>
            <w:vAlign w:val="center"/>
          </w:tcPr>
          <w:p w14:paraId="2E6E2843">
            <w:pPr>
              <w:pStyle w:val="45"/>
              <w:rPr>
                <w:rFonts w:hint="default"/>
                <w:lang w:val="en-US" w:eastAsia="zh-CN"/>
              </w:rPr>
            </w:pPr>
            <w:r>
              <w:rPr>
                <w:rFonts w:hint="eastAsia"/>
                <w:lang w:val="en-US" w:eastAsia="zh-CN"/>
              </w:rPr>
              <w:t>100</w:t>
            </w:r>
          </w:p>
        </w:tc>
        <w:tc>
          <w:tcPr>
            <w:tcW w:w="704" w:type="pct"/>
            <w:tcBorders>
              <w:top w:val="single" w:color="auto" w:sz="4" w:space="0"/>
              <w:left w:val="single" w:color="auto" w:sz="6" w:space="0"/>
              <w:bottom w:val="single" w:color="auto" w:sz="6" w:space="0"/>
              <w:right w:val="single" w:color="auto" w:sz="4" w:space="0"/>
            </w:tcBorders>
            <w:vAlign w:val="center"/>
          </w:tcPr>
          <w:p w14:paraId="462CCC9E">
            <w:pPr>
              <w:pStyle w:val="45"/>
              <w:rPr>
                <w:rFonts w:hint="default"/>
                <w:lang w:val="en-US" w:eastAsia="zh-CN"/>
              </w:rPr>
            </w:pPr>
            <w:r>
              <w:rPr>
                <w:rFonts w:hint="eastAsia"/>
                <w:lang w:val="en-US" w:eastAsia="zh-CN"/>
              </w:rPr>
              <w:t>90</w:t>
            </w:r>
          </w:p>
        </w:tc>
        <w:tc>
          <w:tcPr>
            <w:tcW w:w="905" w:type="pct"/>
            <w:tcBorders>
              <w:top w:val="single" w:color="auto" w:sz="4" w:space="0"/>
              <w:left w:val="single" w:color="auto" w:sz="6" w:space="0"/>
              <w:bottom w:val="single" w:color="auto" w:sz="6" w:space="0"/>
              <w:right w:val="single" w:color="auto" w:sz="4" w:space="0"/>
            </w:tcBorders>
            <w:vAlign w:val="center"/>
          </w:tcPr>
          <w:p w14:paraId="6F60F422">
            <w:pPr>
              <w:pStyle w:val="45"/>
              <w:rPr>
                <w:rFonts w:hint="default"/>
                <w:lang w:val="en-US" w:eastAsia="zh-CN"/>
              </w:rPr>
            </w:pPr>
            <w:r>
              <w:rPr>
                <w:rFonts w:hint="eastAsia"/>
                <w:lang w:val="en-US" w:eastAsia="zh-CN"/>
              </w:rPr>
              <w:t>0.075</w:t>
            </w:r>
          </w:p>
        </w:tc>
      </w:tr>
      <w:tr w14:paraId="1E0F8C4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687" w:type="pct"/>
            <w:vMerge w:val="continue"/>
            <w:tcBorders>
              <w:left w:val="single" w:color="auto" w:sz="6" w:space="0"/>
              <w:bottom w:val="single" w:color="auto" w:sz="6" w:space="0"/>
              <w:right w:val="single" w:color="auto" w:sz="4" w:space="0"/>
            </w:tcBorders>
            <w:vAlign w:val="center"/>
          </w:tcPr>
          <w:p w14:paraId="27CA7E15">
            <w:pPr>
              <w:pStyle w:val="45"/>
              <w:rPr>
                <w:rFonts w:hint="eastAsia"/>
                <w:lang w:val="en-US" w:eastAsia="zh-CN"/>
              </w:rPr>
            </w:pPr>
          </w:p>
        </w:tc>
        <w:tc>
          <w:tcPr>
            <w:tcW w:w="686" w:type="pct"/>
            <w:tcBorders>
              <w:top w:val="single" w:color="auto" w:sz="6" w:space="0"/>
              <w:left w:val="single" w:color="auto" w:sz="6" w:space="0"/>
              <w:bottom w:val="single" w:color="auto" w:sz="6" w:space="0"/>
              <w:right w:val="single" w:color="auto" w:sz="4" w:space="0"/>
            </w:tcBorders>
            <w:vAlign w:val="center"/>
          </w:tcPr>
          <w:p w14:paraId="511C57DF">
            <w:pPr>
              <w:pStyle w:val="45"/>
              <w:rPr>
                <w:rFonts w:hint="eastAsia" w:eastAsia="宋体"/>
                <w:lang w:val="en-US" w:eastAsia="zh-CN"/>
              </w:rPr>
            </w:pPr>
            <w:r>
              <w:rPr>
                <w:rFonts w:hint="eastAsia"/>
                <w:lang w:val="en-US" w:eastAsia="zh-CN"/>
              </w:rPr>
              <w:t>氯化氢</w:t>
            </w:r>
          </w:p>
        </w:tc>
        <w:tc>
          <w:tcPr>
            <w:tcW w:w="633" w:type="pct"/>
            <w:tcBorders>
              <w:top w:val="single" w:color="auto" w:sz="6" w:space="0"/>
              <w:left w:val="single" w:color="auto" w:sz="6" w:space="0"/>
              <w:bottom w:val="single" w:color="auto" w:sz="6" w:space="0"/>
              <w:right w:val="single" w:color="auto" w:sz="4" w:space="0"/>
            </w:tcBorders>
            <w:vAlign w:val="center"/>
          </w:tcPr>
          <w:p w14:paraId="38E312EC">
            <w:pPr>
              <w:pStyle w:val="45"/>
              <w:rPr>
                <w:rFonts w:hint="default"/>
                <w:lang w:val="en-US" w:eastAsia="zh-CN"/>
              </w:rPr>
            </w:pPr>
            <w:r>
              <w:rPr>
                <w:rFonts w:hint="eastAsia"/>
                <w:lang w:val="en-US" w:eastAsia="zh-CN"/>
              </w:rPr>
              <w:t>0.87</w:t>
            </w:r>
          </w:p>
        </w:tc>
        <w:tc>
          <w:tcPr>
            <w:tcW w:w="722" w:type="pct"/>
            <w:tcBorders>
              <w:top w:val="single" w:color="auto" w:sz="6" w:space="0"/>
              <w:left w:val="single" w:color="auto" w:sz="6" w:space="0"/>
              <w:bottom w:val="single" w:color="auto" w:sz="6" w:space="0"/>
              <w:right w:val="single" w:color="auto" w:sz="4" w:space="0"/>
            </w:tcBorders>
            <w:vAlign w:val="center"/>
          </w:tcPr>
          <w:p w14:paraId="677F0DCB">
            <w:pPr>
              <w:pStyle w:val="45"/>
              <w:rPr>
                <w:rFonts w:hint="default"/>
                <w:lang w:val="en-US" w:eastAsia="zh-CN"/>
              </w:rPr>
            </w:pPr>
            <w:r>
              <w:rPr>
                <w:rFonts w:hint="eastAsia"/>
                <w:lang w:val="en-US" w:eastAsia="zh-CN"/>
              </w:rPr>
              <w:t>0.121</w:t>
            </w:r>
          </w:p>
        </w:tc>
        <w:tc>
          <w:tcPr>
            <w:tcW w:w="660" w:type="pct"/>
            <w:tcBorders>
              <w:top w:val="single" w:color="auto" w:sz="6" w:space="0"/>
              <w:left w:val="single" w:color="auto" w:sz="6" w:space="0"/>
              <w:bottom w:val="single" w:color="auto" w:sz="6" w:space="0"/>
              <w:right w:val="single" w:color="auto" w:sz="4" w:space="0"/>
            </w:tcBorders>
            <w:vAlign w:val="center"/>
          </w:tcPr>
          <w:p w14:paraId="0A1DCDFF">
            <w:pPr>
              <w:pStyle w:val="45"/>
              <w:ind w:firstLine="0" w:firstLineChars="0"/>
              <w:rPr>
                <w:rFonts w:hint="default"/>
                <w:lang w:val="en-US" w:eastAsia="zh-CN"/>
              </w:rPr>
            </w:pPr>
            <w:r>
              <w:rPr>
                <w:rFonts w:hint="eastAsia"/>
                <w:lang w:val="en-US" w:eastAsia="zh-CN"/>
              </w:rPr>
              <w:t>100</w:t>
            </w:r>
          </w:p>
        </w:tc>
        <w:tc>
          <w:tcPr>
            <w:tcW w:w="704" w:type="pct"/>
            <w:tcBorders>
              <w:top w:val="single" w:color="auto" w:sz="6" w:space="0"/>
              <w:left w:val="single" w:color="auto" w:sz="6" w:space="0"/>
              <w:bottom w:val="single" w:color="auto" w:sz="6" w:space="0"/>
              <w:right w:val="single" w:color="auto" w:sz="4" w:space="0"/>
            </w:tcBorders>
            <w:vAlign w:val="center"/>
          </w:tcPr>
          <w:p w14:paraId="3491713B">
            <w:pPr>
              <w:pStyle w:val="45"/>
              <w:ind w:firstLine="0" w:firstLineChars="0"/>
              <w:rPr>
                <w:rFonts w:hint="default"/>
                <w:lang w:val="en-US" w:eastAsia="zh-CN"/>
              </w:rPr>
            </w:pPr>
            <w:r>
              <w:rPr>
                <w:rFonts w:hint="eastAsia"/>
                <w:lang w:val="en-US" w:eastAsia="zh-CN"/>
              </w:rPr>
              <w:t>90</w:t>
            </w:r>
          </w:p>
        </w:tc>
        <w:tc>
          <w:tcPr>
            <w:tcW w:w="905" w:type="pct"/>
            <w:tcBorders>
              <w:top w:val="single" w:color="auto" w:sz="6" w:space="0"/>
              <w:left w:val="single" w:color="auto" w:sz="6" w:space="0"/>
              <w:bottom w:val="single" w:color="auto" w:sz="6" w:space="0"/>
              <w:right w:val="single" w:color="auto" w:sz="4" w:space="0"/>
            </w:tcBorders>
            <w:vAlign w:val="center"/>
          </w:tcPr>
          <w:p w14:paraId="2DD84F8F">
            <w:pPr>
              <w:pStyle w:val="45"/>
              <w:rPr>
                <w:rFonts w:hint="default"/>
                <w:lang w:val="en-US" w:eastAsia="zh-CN"/>
              </w:rPr>
            </w:pPr>
            <w:r>
              <w:rPr>
                <w:rFonts w:hint="eastAsia"/>
                <w:lang w:val="en-US" w:eastAsia="zh-CN"/>
              </w:rPr>
              <w:t>0.087</w:t>
            </w:r>
          </w:p>
        </w:tc>
      </w:tr>
    </w:tbl>
    <w:p w14:paraId="31085A1B">
      <w:pPr>
        <w:ind w:firstLine="480"/>
        <w:rPr>
          <w:rFonts w:hint="eastAsia"/>
        </w:rPr>
      </w:pPr>
    </w:p>
    <w:p w14:paraId="06DE215E">
      <w:pPr>
        <w:ind w:firstLine="480"/>
      </w:pPr>
      <w:r>
        <w:rPr>
          <w:rFonts w:hint="eastAsia"/>
        </w:rPr>
        <w:t>经计算，</w:t>
      </w:r>
      <w:r>
        <w:rPr>
          <w:rFonts w:hint="eastAsia"/>
          <w:lang w:val="en-US" w:eastAsia="zh-CN"/>
        </w:rPr>
        <w:t>单套二次电解装置的</w:t>
      </w:r>
      <w:r>
        <w:rPr>
          <w:rFonts w:hint="eastAsia"/>
        </w:rPr>
        <w:t>二次电解尾气</w:t>
      </w:r>
      <w:r>
        <w:rPr>
          <w:rFonts w:hint="eastAsia"/>
          <w:lang w:val="en-US" w:eastAsia="zh-CN"/>
        </w:rPr>
        <w:t>经</w:t>
      </w:r>
      <w:r>
        <w:rPr>
          <w:rFonts w:hint="eastAsia"/>
        </w:rPr>
        <w:t>处理后Cl</w:t>
      </w:r>
      <w:r>
        <w:rPr>
          <w:rFonts w:hint="eastAsia"/>
          <w:vertAlign w:val="subscript"/>
        </w:rPr>
        <w:t>2</w:t>
      </w:r>
      <w:r>
        <w:rPr>
          <w:rFonts w:hint="eastAsia"/>
        </w:rPr>
        <w:t>外排浓度为5.21mg/m</w:t>
      </w:r>
      <w:r>
        <w:rPr>
          <w:rFonts w:hint="eastAsia"/>
          <w:highlight w:val="none"/>
          <w:vertAlign w:val="superscript"/>
          <w:lang w:val="en-US" w:eastAsia="zh-CN"/>
        </w:rPr>
        <w:t>3</w:t>
      </w:r>
      <w:r>
        <w:rPr>
          <w:rFonts w:hint="eastAsia"/>
        </w:rPr>
        <w:t>，HCl外排浓度为6.04mg/m</w:t>
      </w:r>
      <w:r>
        <w:rPr>
          <w:rFonts w:hint="eastAsia"/>
          <w:highlight w:val="none"/>
          <w:vertAlign w:val="superscript"/>
          <w:lang w:val="en-US" w:eastAsia="zh-CN"/>
        </w:rPr>
        <w:t>3</w:t>
      </w:r>
      <w:r>
        <w:rPr>
          <w:rFonts w:hint="eastAsia"/>
        </w:rPr>
        <w:t>，能够满足《无机化学工业污染物排放标准》（GB31573-2015）中“无机氯化合物和氯酸盐工业”排放标准限值要求（Cl</w:t>
      </w:r>
      <w:r>
        <w:rPr>
          <w:rFonts w:hint="eastAsia"/>
          <w:vertAlign w:val="subscript"/>
        </w:rPr>
        <w:t>2</w:t>
      </w:r>
      <w:r>
        <w:rPr>
          <w:rFonts w:hint="eastAsia"/>
        </w:rPr>
        <w:t>：8mg/m</w:t>
      </w:r>
      <w:r>
        <w:rPr>
          <w:rFonts w:hint="eastAsia"/>
          <w:highlight w:val="none"/>
          <w:vertAlign w:val="superscript"/>
          <w:lang w:val="en-US" w:eastAsia="zh-CN"/>
        </w:rPr>
        <w:t>3</w:t>
      </w:r>
      <w:r>
        <w:rPr>
          <w:rFonts w:hint="eastAsia"/>
        </w:rPr>
        <w:t>，HCl：20mg/m</w:t>
      </w:r>
      <w:r>
        <w:rPr>
          <w:rFonts w:hint="eastAsia"/>
          <w:highlight w:val="none"/>
          <w:vertAlign w:val="superscript"/>
          <w:lang w:val="en-US" w:eastAsia="zh-CN"/>
        </w:rPr>
        <w:t>3</w:t>
      </w:r>
      <w:r>
        <w:rPr>
          <w:rFonts w:hint="eastAsia"/>
        </w:rPr>
        <w:t>）。</w:t>
      </w:r>
    </w:p>
    <w:p w14:paraId="30118573">
      <w:pPr>
        <w:numPr>
          <w:ilvl w:val="0"/>
          <w:numId w:val="0"/>
        </w:numPr>
        <w:ind w:left="0" w:leftChars="0" w:firstLine="482" w:firstLineChars="200"/>
        <w:outlineLvl w:val="5"/>
        <w:rPr>
          <w:rFonts w:hint="eastAsia"/>
          <w:b/>
          <w:bCs/>
          <w:lang w:val="en-US" w:eastAsia="zh-CN"/>
        </w:rPr>
      </w:pPr>
      <w:r>
        <w:rPr>
          <w:rFonts w:hint="eastAsia" w:ascii="Times New Roman" w:hAnsi="Times New Roman" w:eastAsia="宋体" w:cstheme="minorBidi"/>
          <w:b/>
          <w:bCs/>
          <w:kern w:val="2"/>
          <w:sz w:val="24"/>
          <w:szCs w:val="24"/>
          <w:lang w:val="en-US" w:eastAsia="zh-CN" w:bidi="ar-SA"/>
        </w:rPr>
        <w:t>（</w:t>
      </w:r>
      <w:r>
        <w:rPr>
          <w:rFonts w:hint="eastAsia" w:cstheme="minorBidi"/>
          <w:b/>
          <w:bCs/>
          <w:kern w:val="2"/>
          <w:sz w:val="24"/>
          <w:szCs w:val="24"/>
          <w:lang w:val="en-US" w:eastAsia="zh-CN" w:bidi="ar-SA"/>
        </w:rPr>
        <w:t>3</w:t>
      </w:r>
      <w:r>
        <w:rPr>
          <w:rFonts w:hint="eastAsia" w:ascii="Times New Roman" w:hAnsi="Times New Roman" w:eastAsia="宋体" w:cstheme="minorBidi"/>
          <w:b/>
          <w:bCs/>
          <w:kern w:val="2"/>
          <w:sz w:val="24"/>
          <w:szCs w:val="24"/>
          <w:lang w:val="en-US" w:eastAsia="zh-CN" w:bidi="ar-SA"/>
        </w:rPr>
        <w:t>）</w:t>
      </w:r>
      <w:r>
        <w:rPr>
          <w:rFonts w:hint="eastAsia"/>
          <w:b/>
          <w:bCs/>
          <w:lang w:val="en-US" w:eastAsia="zh-CN"/>
        </w:rPr>
        <w:t>复分解装置废气</w:t>
      </w:r>
    </w:p>
    <w:p w14:paraId="60E2F880">
      <w:pPr>
        <w:bidi w:val="0"/>
        <w:rPr>
          <w:rFonts w:hint="default" w:eastAsia="宋体"/>
          <w:lang w:val="en-US" w:eastAsia="zh-CN"/>
        </w:rPr>
      </w:pPr>
      <w:r>
        <w:rPr>
          <w:rFonts w:hint="eastAsia"/>
          <w:b w:val="0"/>
          <w:bCs w:val="0"/>
          <w:lang w:val="en-US" w:eastAsia="zh-CN"/>
        </w:rPr>
        <w:t>本项目建有两套复分解装置，单套复分解装置设计生产规模为</w:t>
      </w:r>
      <w:r>
        <w:rPr>
          <w:rFonts w:hint="eastAsia"/>
          <w:lang w:val="en-US" w:eastAsia="zh-CN"/>
        </w:rPr>
        <w:t>年产1万吨高氯酸钾或年产1万吨氯酸钾。复分解装置无反应废气产生，每套复分解装置均设干燥工序，因此复分解装置废气主要为高钾或氯酸钾干燥废气及产品包装废气，主要污染因子为颗粒物。</w:t>
      </w:r>
    </w:p>
    <w:p w14:paraId="42854651">
      <w:pPr>
        <w:ind w:firstLine="480"/>
        <w:rPr>
          <w:rFonts w:hint="default"/>
          <w:highlight w:val="none"/>
          <w:lang w:val="en-US" w:eastAsia="zh-CN"/>
        </w:rPr>
      </w:pPr>
      <w:r>
        <w:rPr>
          <w:rFonts w:hint="eastAsia"/>
          <w:highlight w:val="none"/>
        </w:rPr>
        <w:t>结合物料平衡和氯元素平衡分析，</w:t>
      </w:r>
      <w:r>
        <w:rPr>
          <w:rFonts w:hint="eastAsia"/>
          <w:highlight w:val="none"/>
          <w:lang w:val="en-US" w:eastAsia="zh-CN"/>
        </w:rPr>
        <w:t>单套复分解生产装置：年</w:t>
      </w:r>
      <w:r>
        <w:rPr>
          <w:rFonts w:hint="eastAsia"/>
          <w:lang w:val="en-US" w:eastAsia="zh-CN"/>
        </w:rPr>
        <w:t>产1万吨高氯酸钾时，干燥废气中的高氯酸钾粉尘量约为28t/a；年产1万吨氯酸钾时，干燥废气中的氯酸钾粉尘量约为22.535t/a。本次评价取高值，按照两套复分解生产装置均生产高氯酸钾时，每套复分解装置</w:t>
      </w:r>
      <w:r>
        <w:rPr>
          <w:rFonts w:hint="eastAsia"/>
          <w:highlight w:val="none"/>
          <w:lang w:val="en-US" w:eastAsia="zh-CN"/>
        </w:rPr>
        <w:t>干燥粉尘产生量均为28t/a计，</w:t>
      </w:r>
      <w:r>
        <w:rPr>
          <w:rFonts w:hint="eastAsia"/>
          <w:lang w:val="en-US" w:eastAsia="zh-CN"/>
        </w:rPr>
        <w:t>各通过</w:t>
      </w:r>
      <w:r>
        <w:rPr>
          <w:rFonts w:hint="eastAsia"/>
        </w:rPr>
        <w:t>“二次布袋除尘+15m高排气筒”达标外排</w:t>
      </w:r>
      <w:r>
        <w:rPr>
          <w:rFonts w:hint="eastAsia"/>
          <w:lang w:eastAsia="zh-CN"/>
        </w:rPr>
        <w:t>。</w:t>
      </w:r>
      <w:r>
        <w:rPr>
          <w:rFonts w:hint="eastAsia"/>
          <w:lang w:val="en-US" w:eastAsia="zh-CN"/>
        </w:rPr>
        <w:t>因产生浓度较低</w:t>
      </w:r>
      <w:r>
        <w:rPr>
          <w:rFonts w:hint="eastAsia"/>
          <w:highlight w:val="none"/>
          <w:lang w:eastAsia="zh-CN"/>
        </w:rPr>
        <w:t>，</w:t>
      </w:r>
      <w:r>
        <w:rPr>
          <w:rFonts w:hint="eastAsia"/>
          <w:highlight w:val="none"/>
          <w:lang w:val="en-US" w:eastAsia="zh-CN"/>
        </w:rPr>
        <w:t>本次保守取95%</w:t>
      </w:r>
      <w:r>
        <w:rPr>
          <w:rFonts w:hint="eastAsia"/>
          <w:highlight w:val="none"/>
          <w:lang w:eastAsia="zh-CN"/>
        </w:rPr>
        <w:t>。</w:t>
      </w:r>
      <w:r>
        <w:rPr>
          <w:rFonts w:hint="eastAsia"/>
          <w:lang w:val="en-US" w:eastAsia="zh-CN"/>
        </w:rPr>
        <w:t>本项目</w:t>
      </w:r>
      <w:r>
        <w:rPr>
          <w:rFonts w:hint="eastAsia"/>
          <w:b w:val="0"/>
          <w:bCs w:val="0"/>
          <w:lang w:val="en-US" w:eastAsia="zh-CN"/>
        </w:rPr>
        <w:t>有两套复分解装置，每套复分解装置均设有一套处理措施及一个排气筒，</w:t>
      </w:r>
      <w:r>
        <w:rPr>
          <w:rFonts w:hint="eastAsia"/>
          <w:lang w:val="en-US" w:eastAsia="zh-CN"/>
        </w:rPr>
        <w:t>各自对应排气筒编号分别为DA005、DA006。</w:t>
      </w:r>
    </w:p>
    <w:p w14:paraId="6A3CBBF0">
      <w:pPr>
        <w:pStyle w:val="43"/>
        <w:bidi w:val="0"/>
        <w:rPr>
          <w:rFonts w:hint="default"/>
          <w:lang w:val="en-US" w:eastAsia="zh-CN"/>
        </w:rPr>
      </w:pPr>
      <w:r>
        <w:rPr>
          <w:rFonts w:hint="eastAsia"/>
          <w:lang w:val="en-US" w:eastAsia="zh-CN"/>
        </w:rPr>
        <w:t>单套复分解装置干燥粉尘产排情况</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093"/>
        <w:gridCol w:w="1194"/>
        <w:gridCol w:w="888"/>
        <w:gridCol w:w="1065"/>
        <w:gridCol w:w="1065"/>
        <w:gridCol w:w="1065"/>
        <w:gridCol w:w="1065"/>
        <w:gridCol w:w="1084"/>
      </w:tblGrid>
      <w:tr w14:paraId="17C7EF7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70" w:hRule="atLeast"/>
          <w:tblHeader/>
          <w:jc w:val="center"/>
        </w:trPr>
        <w:tc>
          <w:tcPr>
            <w:tcW w:w="642" w:type="pct"/>
            <w:tcBorders>
              <w:top w:val="single" w:color="auto" w:sz="4" w:space="0"/>
              <w:left w:val="single" w:color="auto" w:sz="6" w:space="0"/>
              <w:bottom w:val="single" w:color="auto" w:sz="4" w:space="0"/>
              <w:right w:val="single" w:color="auto" w:sz="4" w:space="0"/>
            </w:tcBorders>
            <w:vAlign w:val="center"/>
          </w:tcPr>
          <w:p w14:paraId="5F48F156">
            <w:pPr>
              <w:pStyle w:val="45"/>
              <w:rPr>
                <w:rFonts w:hint="default"/>
                <w:b/>
                <w:bCs/>
                <w:lang w:val="en-US" w:eastAsia="zh-CN"/>
              </w:rPr>
            </w:pPr>
            <w:r>
              <w:rPr>
                <w:rFonts w:hint="eastAsia"/>
                <w:b/>
                <w:bCs/>
                <w:lang w:val="en-US" w:eastAsia="zh-CN"/>
              </w:rPr>
              <w:t>废气名称</w:t>
            </w:r>
          </w:p>
        </w:tc>
        <w:tc>
          <w:tcPr>
            <w:tcW w:w="701" w:type="pct"/>
            <w:tcBorders>
              <w:top w:val="single" w:color="auto" w:sz="4" w:space="0"/>
              <w:left w:val="single" w:color="auto" w:sz="6" w:space="0"/>
              <w:bottom w:val="single" w:color="auto" w:sz="4" w:space="0"/>
              <w:right w:val="single" w:color="auto" w:sz="4" w:space="0"/>
            </w:tcBorders>
            <w:vAlign w:val="center"/>
          </w:tcPr>
          <w:p w14:paraId="1A1436E7">
            <w:pPr>
              <w:pStyle w:val="45"/>
              <w:rPr>
                <w:rFonts w:hint="default" w:eastAsia="宋体"/>
                <w:b/>
                <w:bCs/>
                <w:lang w:val="en-US" w:eastAsia="zh-CN"/>
              </w:rPr>
            </w:pPr>
            <w:r>
              <w:rPr>
                <w:rFonts w:hint="eastAsia"/>
                <w:b/>
                <w:bCs/>
                <w:lang w:val="en-US" w:eastAsia="zh-CN"/>
              </w:rPr>
              <w:t>污染因子</w:t>
            </w:r>
          </w:p>
        </w:tc>
        <w:tc>
          <w:tcPr>
            <w:tcW w:w="521" w:type="pct"/>
            <w:tcBorders>
              <w:top w:val="single" w:color="auto" w:sz="4" w:space="0"/>
              <w:left w:val="single" w:color="auto" w:sz="6" w:space="0"/>
              <w:bottom w:val="single" w:color="auto" w:sz="4" w:space="0"/>
              <w:right w:val="single" w:color="auto" w:sz="4" w:space="0"/>
            </w:tcBorders>
            <w:vAlign w:val="center"/>
          </w:tcPr>
          <w:p w14:paraId="5D2EB3B3">
            <w:pPr>
              <w:pStyle w:val="45"/>
              <w:rPr>
                <w:rFonts w:hint="default"/>
                <w:b/>
                <w:bCs/>
                <w:lang w:val="en-US" w:eastAsia="zh-CN"/>
              </w:rPr>
            </w:pPr>
            <w:r>
              <w:rPr>
                <w:rFonts w:hint="eastAsia"/>
                <w:b/>
                <w:bCs/>
                <w:lang w:val="en-US" w:eastAsia="zh-CN"/>
              </w:rPr>
              <w:t>产生量t/a</w:t>
            </w:r>
          </w:p>
        </w:tc>
        <w:tc>
          <w:tcPr>
            <w:tcW w:w="625" w:type="pct"/>
            <w:tcBorders>
              <w:top w:val="single" w:color="auto" w:sz="4" w:space="0"/>
              <w:left w:val="single" w:color="auto" w:sz="6" w:space="0"/>
              <w:bottom w:val="single" w:color="auto" w:sz="4" w:space="0"/>
              <w:right w:val="single" w:color="auto" w:sz="4" w:space="0"/>
            </w:tcBorders>
            <w:vAlign w:val="center"/>
          </w:tcPr>
          <w:p w14:paraId="7EC2E0F7">
            <w:pPr>
              <w:pStyle w:val="45"/>
              <w:rPr>
                <w:rFonts w:hint="default"/>
                <w:b/>
                <w:bCs/>
                <w:lang w:val="en-US" w:eastAsia="zh-CN"/>
              </w:rPr>
            </w:pPr>
            <w:r>
              <w:rPr>
                <w:rFonts w:hint="eastAsia"/>
                <w:b/>
                <w:bCs/>
                <w:lang w:val="en-US" w:eastAsia="zh-CN"/>
              </w:rPr>
              <w:t>产生速率kg/h</w:t>
            </w:r>
          </w:p>
        </w:tc>
        <w:tc>
          <w:tcPr>
            <w:tcW w:w="625" w:type="pct"/>
            <w:tcBorders>
              <w:top w:val="single" w:color="auto" w:sz="4" w:space="0"/>
              <w:left w:val="single" w:color="auto" w:sz="6" w:space="0"/>
              <w:bottom w:val="single" w:color="auto" w:sz="4" w:space="0"/>
              <w:right w:val="single" w:color="auto" w:sz="4" w:space="0"/>
            </w:tcBorders>
            <w:vAlign w:val="center"/>
          </w:tcPr>
          <w:p w14:paraId="4618176C">
            <w:pPr>
              <w:pStyle w:val="45"/>
              <w:rPr>
                <w:rFonts w:hint="default"/>
                <w:b/>
                <w:bCs/>
                <w:lang w:val="en-US" w:eastAsia="zh-CN"/>
              </w:rPr>
            </w:pPr>
            <w:r>
              <w:rPr>
                <w:rFonts w:hint="eastAsia"/>
                <w:b/>
                <w:bCs/>
                <w:lang w:val="en-US" w:eastAsia="zh-CN"/>
              </w:rPr>
              <w:t>收集效率%</w:t>
            </w:r>
          </w:p>
        </w:tc>
        <w:tc>
          <w:tcPr>
            <w:tcW w:w="625" w:type="pct"/>
            <w:tcBorders>
              <w:top w:val="single" w:color="auto" w:sz="4" w:space="0"/>
              <w:left w:val="single" w:color="auto" w:sz="6" w:space="0"/>
              <w:bottom w:val="single" w:color="auto" w:sz="4" w:space="0"/>
              <w:right w:val="single" w:color="auto" w:sz="4" w:space="0"/>
            </w:tcBorders>
            <w:vAlign w:val="center"/>
          </w:tcPr>
          <w:p w14:paraId="06C7CD94">
            <w:pPr>
              <w:pStyle w:val="45"/>
              <w:rPr>
                <w:rFonts w:hint="default"/>
                <w:b/>
                <w:bCs/>
                <w:lang w:val="en-US" w:eastAsia="zh-CN"/>
              </w:rPr>
            </w:pPr>
            <w:r>
              <w:rPr>
                <w:rFonts w:hint="eastAsia"/>
                <w:b/>
                <w:bCs/>
                <w:lang w:val="en-US" w:eastAsia="zh-CN"/>
              </w:rPr>
              <w:t>处理效率%</w:t>
            </w:r>
          </w:p>
        </w:tc>
        <w:tc>
          <w:tcPr>
            <w:tcW w:w="625" w:type="pct"/>
            <w:tcBorders>
              <w:top w:val="single" w:color="auto" w:sz="4" w:space="0"/>
              <w:left w:val="single" w:color="auto" w:sz="6" w:space="0"/>
              <w:bottom w:val="single" w:color="auto" w:sz="4" w:space="0"/>
              <w:right w:val="single" w:color="auto" w:sz="4" w:space="0"/>
            </w:tcBorders>
            <w:vAlign w:val="center"/>
          </w:tcPr>
          <w:p w14:paraId="5F3815AF">
            <w:pPr>
              <w:pStyle w:val="45"/>
              <w:rPr>
                <w:rFonts w:hint="default"/>
                <w:b/>
                <w:bCs/>
                <w:lang w:val="en-US" w:eastAsia="zh-CN"/>
              </w:rPr>
            </w:pPr>
            <w:r>
              <w:rPr>
                <w:rFonts w:hint="eastAsia"/>
                <w:b/>
                <w:bCs/>
                <w:lang w:val="en-US" w:eastAsia="zh-CN"/>
              </w:rPr>
              <w:t>有组织排放量t/a</w:t>
            </w:r>
          </w:p>
        </w:tc>
        <w:tc>
          <w:tcPr>
            <w:tcW w:w="633" w:type="pct"/>
            <w:tcBorders>
              <w:top w:val="single" w:color="auto" w:sz="4" w:space="0"/>
              <w:left w:val="single" w:color="auto" w:sz="6" w:space="0"/>
              <w:bottom w:val="single" w:color="auto" w:sz="4" w:space="0"/>
              <w:right w:val="single" w:color="auto" w:sz="4" w:space="0"/>
            </w:tcBorders>
            <w:vAlign w:val="center"/>
          </w:tcPr>
          <w:p w14:paraId="6F9F0309">
            <w:pPr>
              <w:pStyle w:val="45"/>
              <w:rPr>
                <w:rFonts w:hint="default"/>
                <w:b/>
                <w:bCs/>
                <w:lang w:val="en-US" w:eastAsia="zh-CN"/>
              </w:rPr>
            </w:pPr>
            <w:r>
              <w:rPr>
                <w:rFonts w:hint="eastAsia"/>
                <w:b/>
                <w:bCs/>
                <w:lang w:val="en-US" w:eastAsia="zh-CN"/>
              </w:rPr>
              <w:t>无组织排放量t/a</w:t>
            </w:r>
          </w:p>
        </w:tc>
      </w:tr>
      <w:tr w14:paraId="6BAAE72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642" w:type="pct"/>
            <w:tcBorders>
              <w:top w:val="single" w:color="auto" w:sz="4" w:space="0"/>
              <w:left w:val="single" w:color="auto" w:sz="6" w:space="0"/>
              <w:right w:val="single" w:color="auto" w:sz="4" w:space="0"/>
            </w:tcBorders>
            <w:vAlign w:val="center"/>
          </w:tcPr>
          <w:p w14:paraId="1D2B7F1B">
            <w:pPr>
              <w:pStyle w:val="45"/>
              <w:rPr>
                <w:rFonts w:hint="default"/>
                <w:lang w:val="en-US" w:eastAsia="zh-CN"/>
              </w:rPr>
            </w:pPr>
            <w:r>
              <w:rPr>
                <w:rFonts w:hint="eastAsia"/>
                <w:lang w:val="en-US" w:eastAsia="zh-CN"/>
              </w:rPr>
              <w:t>高钾干燥粉尘</w:t>
            </w:r>
          </w:p>
        </w:tc>
        <w:tc>
          <w:tcPr>
            <w:tcW w:w="701" w:type="pct"/>
            <w:tcBorders>
              <w:top w:val="single" w:color="auto" w:sz="4" w:space="0"/>
              <w:left w:val="single" w:color="auto" w:sz="6" w:space="0"/>
              <w:bottom w:val="single" w:color="auto" w:sz="6" w:space="0"/>
              <w:right w:val="single" w:color="auto" w:sz="4" w:space="0"/>
            </w:tcBorders>
            <w:vAlign w:val="center"/>
          </w:tcPr>
          <w:p w14:paraId="2BE5AFC0">
            <w:pPr>
              <w:pStyle w:val="45"/>
              <w:rPr>
                <w:rFonts w:hint="default" w:eastAsia="宋体"/>
                <w:lang w:val="en-US" w:eastAsia="zh-CN"/>
              </w:rPr>
            </w:pPr>
            <w:r>
              <w:rPr>
                <w:rFonts w:hint="eastAsia"/>
                <w:lang w:val="en-US" w:eastAsia="zh-CN"/>
              </w:rPr>
              <w:t>高钾粉尘</w:t>
            </w:r>
          </w:p>
        </w:tc>
        <w:tc>
          <w:tcPr>
            <w:tcW w:w="521" w:type="pct"/>
            <w:tcBorders>
              <w:top w:val="single" w:color="auto" w:sz="4" w:space="0"/>
              <w:left w:val="single" w:color="auto" w:sz="6" w:space="0"/>
              <w:bottom w:val="single" w:color="auto" w:sz="6" w:space="0"/>
              <w:right w:val="single" w:color="auto" w:sz="4" w:space="0"/>
            </w:tcBorders>
            <w:vAlign w:val="center"/>
          </w:tcPr>
          <w:p w14:paraId="37B76374">
            <w:pPr>
              <w:pStyle w:val="45"/>
              <w:rPr>
                <w:rFonts w:hint="default"/>
                <w:lang w:val="en-US" w:eastAsia="zh-CN"/>
              </w:rPr>
            </w:pPr>
            <w:r>
              <w:rPr>
                <w:rFonts w:hint="eastAsia"/>
                <w:lang w:val="en-US" w:eastAsia="zh-CN"/>
              </w:rPr>
              <w:t>28</w:t>
            </w:r>
          </w:p>
        </w:tc>
        <w:tc>
          <w:tcPr>
            <w:tcW w:w="625" w:type="pct"/>
            <w:tcBorders>
              <w:top w:val="single" w:color="auto" w:sz="4" w:space="0"/>
              <w:left w:val="single" w:color="auto" w:sz="6" w:space="0"/>
              <w:bottom w:val="single" w:color="auto" w:sz="6" w:space="0"/>
              <w:right w:val="single" w:color="auto" w:sz="4" w:space="0"/>
            </w:tcBorders>
            <w:vAlign w:val="center"/>
          </w:tcPr>
          <w:p w14:paraId="0108E764">
            <w:pPr>
              <w:pStyle w:val="45"/>
              <w:rPr>
                <w:rFonts w:hint="default"/>
                <w:lang w:val="en-US" w:eastAsia="zh-CN"/>
              </w:rPr>
            </w:pPr>
            <w:r>
              <w:rPr>
                <w:rFonts w:hint="eastAsia"/>
                <w:lang w:val="en-US" w:eastAsia="zh-CN"/>
              </w:rPr>
              <w:t>3.89</w:t>
            </w:r>
          </w:p>
        </w:tc>
        <w:tc>
          <w:tcPr>
            <w:tcW w:w="625" w:type="pct"/>
            <w:tcBorders>
              <w:top w:val="single" w:color="auto" w:sz="4" w:space="0"/>
              <w:left w:val="single" w:color="auto" w:sz="6" w:space="0"/>
              <w:bottom w:val="single" w:color="auto" w:sz="6" w:space="0"/>
              <w:right w:val="single" w:color="auto" w:sz="4" w:space="0"/>
            </w:tcBorders>
            <w:vAlign w:val="center"/>
          </w:tcPr>
          <w:p w14:paraId="28F19D7E">
            <w:pPr>
              <w:pStyle w:val="45"/>
              <w:rPr>
                <w:rFonts w:hint="default"/>
                <w:lang w:val="en-US" w:eastAsia="zh-CN"/>
              </w:rPr>
            </w:pPr>
            <w:r>
              <w:rPr>
                <w:rFonts w:hint="eastAsia"/>
                <w:lang w:val="en-US" w:eastAsia="zh-CN"/>
              </w:rPr>
              <w:t>99</w:t>
            </w:r>
          </w:p>
        </w:tc>
        <w:tc>
          <w:tcPr>
            <w:tcW w:w="625" w:type="pct"/>
            <w:tcBorders>
              <w:top w:val="single" w:color="auto" w:sz="4" w:space="0"/>
              <w:left w:val="single" w:color="auto" w:sz="6" w:space="0"/>
              <w:bottom w:val="single" w:color="auto" w:sz="6" w:space="0"/>
              <w:right w:val="single" w:color="auto" w:sz="4" w:space="0"/>
            </w:tcBorders>
            <w:vAlign w:val="center"/>
          </w:tcPr>
          <w:p w14:paraId="49222825">
            <w:pPr>
              <w:pStyle w:val="45"/>
              <w:rPr>
                <w:rFonts w:hint="default"/>
                <w:lang w:val="en-US" w:eastAsia="zh-CN"/>
              </w:rPr>
            </w:pPr>
            <w:r>
              <w:rPr>
                <w:rFonts w:hint="eastAsia"/>
                <w:lang w:val="en-US" w:eastAsia="zh-CN"/>
              </w:rPr>
              <w:t>95</w:t>
            </w:r>
          </w:p>
        </w:tc>
        <w:tc>
          <w:tcPr>
            <w:tcW w:w="625" w:type="pct"/>
            <w:tcBorders>
              <w:top w:val="single" w:color="auto" w:sz="4" w:space="0"/>
              <w:left w:val="single" w:color="auto" w:sz="6" w:space="0"/>
              <w:bottom w:val="single" w:color="auto" w:sz="6" w:space="0"/>
              <w:right w:val="single" w:color="auto" w:sz="4" w:space="0"/>
            </w:tcBorders>
            <w:vAlign w:val="center"/>
          </w:tcPr>
          <w:p w14:paraId="1BEDE850">
            <w:pPr>
              <w:pStyle w:val="45"/>
              <w:rPr>
                <w:rFonts w:hint="default"/>
                <w:lang w:val="en-US" w:eastAsia="zh-CN"/>
              </w:rPr>
            </w:pPr>
            <w:r>
              <w:rPr>
                <w:rFonts w:hint="eastAsia"/>
                <w:lang w:val="en-US" w:eastAsia="zh-CN"/>
              </w:rPr>
              <w:t>1.386</w:t>
            </w:r>
          </w:p>
        </w:tc>
        <w:tc>
          <w:tcPr>
            <w:tcW w:w="633" w:type="pct"/>
            <w:tcBorders>
              <w:top w:val="single" w:color="auto" w:sz="4" w:space="0"/>
              <w:left w:val="single" w:color="auto" w:sz="6" w:space="0"/>
              <w:bottom w:val="single" w:color="auto" w:sz="6" w:space="0"/>
              <w:right w:val="single" w:color="auto" w:sz="4" w:space="0"/>
            </w:tcBorders>
            <w:vAlign w:val="center"/>
          </w:tcPr>
          <w:p w14:paraId="1E9DFE80">
            <w:pPr>
              <w:pStyle w:val="45"/>
              <w:rPr>
                <w:rFonts w:hint="default"/>
                <w:lang w:val="en-US" w:eastAsia="zh-CN"/>
              </w:rPr>
            </w:pPr>
            <w:r>
              <w:rPr>
                <w:rFonts w:hint="eastAsia"/>
                <w:lang w:val="en-US" w:eastAsia="zh-CN"/>
              </w:rPr>
              <w:t>0.28</w:t>
            </w:r>
          </w:p>
        </w:tc>
      </w:tr>
      <w:tr w14:paraId="4291A9D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642" w:type="pct"/>
            <w:tcBorders>
              <w:left w:val="single" w:color="auto" w:sz="6" w:space="0"/>
              <w:right w:val="single" w:color="auto" w:sz="4" w:space="0"/>
            </w:tcBorders>
            <w:vAlign w:val="center"/>
          </w:tcPr>
          <w:p w14:paraId="3C7D6D72">
            <w:pPr>
              <w:pStyle w:val="45"/>
              <w:rPr>
                <w:rFonts w:hint="eastAsia"/>
                <w:lang w:val="en-US" w:eastAsia="zh-CN"/>
              </w:rPr>
            </w:pPr>
            <w:r>
              <w:rPr>
                <w:rFonts w:hint="eastAsia"/>
                <w:lang w:val="en-US" w:eastAsia="zh-CN"/>
              </w:rPr>
              <w:t>氯酸钾干燥粉尘</w:t>
            </w:r>
          </w:p>
        </w:tc>
        <w:tc>
          <w:tcPr>
            <w:tcW w:w="701" w:type="pct"/>
            <w:tcBorders>
              <w:top w:val="single" w:color="auto" w:sz="6" w:space="0"/>
              <w:left w:val="single" w:color="auto" w:sz="6" w:space="0"/>
              <w:bottom w:val="single" w:color="auto" w:sz="6" w:space="0"/>
              <w:right w:val="single" w:color="auto" w:sz="4" w:space="0"/>
            </w:tcBorders>
            <w:vAlign w:val="center"/>
          </w:tcPr>
          <w:p w14:paraId="74DEADDD">
            <w:pPr>
              <w:pStyle w:val="45"/>
              <w:rPr>
                <w:rFonts w:hint="default"/>
                <w:lang w:val="en-US" w:eastAsia="zh-CN"/>
              </w:rPr>
            </w:pPr>
            <w:r>
              <w:rPr>
                <w:rFonts w:hint="eastAsia"/>
                <w:lang w:val="en-US" w:eastAsia="zh-CN"/>
              </w:rPr>
              <w:t>氯酸钾粉尘</w:t>
            </w:r>
          </w:p>
        </w:tc>
        <w:tc>
          <w:tcPr>
            <w:tcW w:w="521" w:type="pct"/>
            <w:tcBorders>
              <w:top w:val="single" w:color="auto" w:sz="6" w:space="0"/>
              <w:left w:val="single" w:color="auto" w:sz="6" w:space="0"/>
              <w:bottom w:val="single" w:color="auto" w:sz="6" w:space="0"/>
              <w:right w:val="single" w:color="auto" w:sz="4" w:space="0"/>
            </w:tcBorders>
            <w:vAlign w:val="center"/>
          </w:tcPr>
          <w:p w14:paraId="29039D43">
            <w:pPr>
              <w:pStyle w:val="45"/>
              <w:rPr>
                <w:rFonts w:hint="default"/>
                <w:lang w:val="en-US" w:eastAsia="zh-CN"/>
              </w:rPr>
            </w:pPr>
            <w:r>
              <w:rPr>
                <w:rFonts w:hint="eastAsia"/>
                <w:lang w:val="en-US" w:eastAsia="zh-CN"/>
              </w:rPr>
              <w:t>23.535</w:t>
            </w:r>
          </w:p>
        </w:tc>
        <w:tc>
          <w:tcPr>
            <w:tcW w:w="625" w:type="pct"/>
            <w:tcBorders>
              <w:top w:val="single" w:color="auto" w:sz="6" w:space="0"/>
              <w:left w:val="single" w:color="auto" w:sz="6" w:space="0"/>
              <w:bottom w:val="single" w:color="auto" w:sz="6" w:space="0"/>
              <w:right w:val="single" w:color="auto" w:sz="4" w:space="0"/>
            </w:tcBorders>
            <w:vAlign w:val="center"/>
          </w:tcPr>
          <w:p w14:paraId="6FD9C20C">
            <w:pPr>
              <w:pStyle w:val="45"/>
              <w:rPr>
                <w:rFonts w:hint="default"/>
                <w:lang w:val="en-US" w:eastAsia="zh-CN"/>
              </w:rPr>
            </w:pPr>
            <w:r>
              <w:rPr>
                <w:rFonts w:hint="eastAsia"/>
                <w:lang w:val="en-US" w:eastAsia="zh-CN"/>
              </w:rPr>
              <w:t>3.27</w:t>
            </w:r>
          </w:p>
        </w:tc>
        <w:tc>
          <w:tcPr>
            <w:tcW w:w="625" w:type="pct"/>
            <w:tcBorders>
              <w:top w:val="single" w:color="auto" w:sz="6" w:space="0"/>
              <w:left w:val="single" w:color="auto" w:sz="6" w:space="0"/>
              <w:bottom w:val="single" w:color="auto" w:sz="6" w:space="0"/>
              <w:right w:val="single" w:color="auto" w:sz="4" w:space="0"/>
            </w:tcBorders>
            <w:vAlign w:val="center"/>
          </w:tcPr>
          <w:p w14:paraId="47088669">
            <w:pPr>
              <w:pStyle w:val="45"/>
              <w:ind w:firstLine="0" w:firstLineChars="0"/>
              <w:rPr>
                <w:rFonts w:hint="default"/>
                <w:lang w:val="en-US" w:eastAsia="zh-CN"/>
              </w:rPr>
            </w:pPr>
            <w:r>
              <w:rPr>
                <w:rFonts w:hint="eastAsia"/>
                <w:lang w:val="en-US" w:eastAsia="zh-CN"/>
              </w:rPr>
              <w:t>99</w:t>
            </w:r>
          </w:p>
        </w:tc>
        <w:tc>
          <w:tcPr>
            <w:tcW w:w="625" w:type="pct"/>
            <w:tcBorders>
              <w:top w:val="single" w:color="auto" w:sz="6" w:space="0"/>
              <w:left w:val="single" w:color="auto" w:sz="6" w:space="0"/>
              <w:bottom w:val="single" w:color="auto" w:sz="6" w:space="0"/>
              <w:right w:val="single" w:color="auto" w:sz="4" w:space="0"/>
            </w:tcBorders>
            <w:vAlign w:val="center"/>
          </w:tcPr>
          <w:p w14:paraId="43F413E7">
            <w:pPr>
              <w:pStyle w:val="45"/>
              <w:ind w:firstLine="0" w:firstLineChars="0"/>
              <w:rPr>
                <w:rFonts w:hint="default"/>
                <w:lang w:val="en-US" w:eastAsia="zh-CN"/>
              </w:rPr>
            </w:pPr>
            <w:r>
              <w:rPr>
                <w:rFonts w:hint="eastAsia"/>
                <w:lang w:val="en-US" w:eastAsia="zh-CN"/>
              </w:rPr>
              <w:t>95</w:t>
            </w:r>
          </w:p>
        </w:tc>
        <w:tc>
          <w:tcPr>
            <w:tcW w:w="625" w:type="pct"/>
            <w:tcBorders>
              <w:top w:val="single" w:color="auto" w:sz="6" w:space="0"/>
              <w:left w:val="single" w:color="auto" w:sz="6" w:space="0"/>
              <w:bottom w:val="single" w:color="auto" w:sz="6" w:space="0"/>
              <w:right w:val="single" w:color="auto" w:sz="4" w:space="0"/>
            </w:tcBorders>
            <w:vAlign w:val="center"/>
          </w:tcPr>
          <w:p w14:paraId="7AE59927">
            <w:pPr>
              <w:pStyle w:val="45"/>
              <w:rPr>
                <w:rFonts w:hint="default"/>
                <w:lang w:val="en-US" w:eastAsia="zh-CN"/>
              </w:rPr>
            </w:pPr>
            <w:r>
              <w:rPr>
                <w:rFonts w:hint="eastAsia"/>
                <w:lang w:val="en-US" w:eastAsia="zh-CN"/>
              </w:rPr>
              <w:t>1.165</w:t>
            </w:r>
          </w:p>
        </w:tc>
        <w:tc>
          <w:tcPr>
            <w:tcW w:w="633" w:type="pct"/>
            <w:tcBorders>
              <w:top w:val="single" w:color="auto" w:sz="6" w:space="0"/>
              <w:left w:val="single" w:color="auto" w:sz="6" w:space="0"/>
              <w:bottom w:val="single" w:color="auto" w:sz="6" w:space="0"/>
              <w:right w:val="single" w:color="auto" w:sz="4" w:space="0"/>
            </w:tcBorders>
            <w:vAlign w:val="center"/>
          </w:tcPr>
          <w:p w14:paraId="1C8ED145">
            <w:pPr>
              <w:pStyle w:val="45"/>
              <w:rPr>
                <w:rFonts w:hint="default"/>
                <w:lang w:val="en-US" w:eastAsia="zh-CN"/>
              </w:rPr>
            </w:pPr>
            <w:r>
              <w:rPr>
                <w:rFonts w:hint="eastAsia"/>
                <w:lang w:val="en-US" w:eastAsia="zh-CN"/>
              </w:rPr>
              <w:t>0.24</w:t>
            </w:r>
          </w:p>
        </w:tc>
      </w:tr>
      <w:tr w14:paraId="73535A1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5000" w:type="pct"/>
            <w:gridSpan w:val="8"/>
            <w:tcBorders>
              <w:left w:val="single" w:color="auto" w:sz="6" w:space="0"/>
              <w:bottom w:val="single" w:color="auto" w:sz="6" w:space="0"/>
              <w:right w:val="single" w:color="auto" w:sz="4" w:space="0"/>
            </w:tcBorders>
            <w:vAlign w:val="center"/>
          </w:tcPr>
          <w:p w14:paraId="3E405B9F">
            <w:pPr>
              <w:pStyle w:val="45"/>
              <w:bidi w:val="0"/>
              <w:jc w:val="left"/>
              <w:rPr>
                <w:rFonts w:hint="eastAsia"/>
                <w:lang w:val="en-US" w:eastAsia="zh-CN"/>
              </w:rPr>
            </w:pPr>
            <w:r>
              <w:rPr>
                <w:rFonts w:hint="eastAsia"/>
                <w:lang w:val="en-US" w:eastAsia="zh-CN"/>
              </w:rPr>
              <w:t>备注：本次评价取高值，按照两套复分解生产装置均生产高氯酸钾计。</w:t>
            </w:r>
          </w:p>
        </w:tc>
      </w:tr>
    </w:tbl>
    <w:p w14:paraId="0A046221">
      <w:pPr>
        <w:ind w:firstLine="480"/>
        <w:rPr>
          <w:rFonts w:hint="eastAsia"/>
        </w:rPr>
      </w:pPr>
    </w:p>
    <w:p w14:paraId="7BA0C285">
      <w:pPr>
        <w:ind w:firstLine="480"/>
        <w:rPr>
          <w:highlight w:val="yellow"/>
        </w:rPr>
      </w:pPr>
      <w:r>
        <w:rPr>
          <w:rFonts w:hint="eastAsia"/>
        </w:rPr>
        <w:t>经计算，</w:t>
      </w:r>
      <w:r>
        <w:rPr>
          <w:rFonts w:hint="eastAsia"/>
          <w:lang w:val="en-US" w:eastAsia="zh-CN"/>
        </w:rPr>
        <w:t>按照两套复分解生产装置全部生产高氯酸钾计时，废气源强最大，单套复分解装置的干燥粉尘经</w:t>
      </w:r>
      <w:r>
        <w:rPr>
          <w:rFonts w:hint="eastAsia"/>
        </w:rPr>
        <w:t>处理后</w:t>
      </w:r>
      <w:r>
        <w:rPr>
          <w:rFonts w:hint="eastAsia"/>
          <w:lang w:val="en-US" w:eastAsia="zh-CN"/>
        </w:rPr>
        <w:t>颗粒</w:t>
      </w:r>
      <w:r>
        <w:rPr>
          <w:rFonts w:hint="eastAsia"/>
          <w:highlight w:val="none"/>
          <w:lang w:val="en-US" w:eastAsia="zh-CN"/>
        </w:rPr>
        <w:t>物</w:t>
      </w:r>
      <w:r>
        <w:rPr>
          <w:rFonts w:hint="eastAsia"/>
          <w:highlight w:val="none"/>
        </w:rPr>
        <w:t>外排浓度为</w:t>
      </w:r>
      <w:r>
        <w:rPr>
          <w:rFonts w:hint="eastAsia"/>
          <w:highlight w:val="none"/>
          <w:lang w:val="en-US" w:eastAsia="zh-CN"/>
        </w:rPr>
        <w:t>24.06</w:t>
      </w:r>
      <w:r>
        <w:rPr>
          <w:rFonts w:hint="eastAsia"/>
          <w:highlight w:val="none"/>
        </w:rPr>
        <w:t>mg/m</w:t>
      </w:r>
      <w:r>
        <w:rPr>
          <w:rFonts w:hint="eastAsia"/>
          <w:highlight w:val="none"/>
          <w:vertAlign w:val="superscript"/>
          <w:lang w:val="en-US" w:eastAsia="zh-CN"/>
        </w:rPr>
        <w:t>3</w:t>
      </w:r>
      <w:r>
        <w:rPr>
          <w:rFonts w:hint="eastAsia"/>
          <w:highlight w:val="none"/>
        </w:rPr>
        <w:t>，能够满足《无机化学工业污染物排放标准》（GB31573-2015）中“无机氯化合物和氯酸盐工业”排放标准限值要求（颗粒物：30mg/m</w:t>
      </w:r>
      <w:r>
        <w:rPr>
          <w:rFonts w:hint="eastAsia"/>
          <w:highlight w:val="none"/>
          <w:vertAlign w:val="superscript"/>
          <w:lang w:val="en-US" w:eastAsia="zh-CN"/>
        </w:rPr>
        <w:t>3</w:t>
      </w:r>
      <w:r>
        <w:rPr>
          <w:rFonts w:hint="eastAsia"/>
          <w:highlight w:val="none"/>
        </w:rPr>
        <w:t>）。</w:t>
      </w:r>
    </w:p>
    <w:p w14:paraId="1A8E6F3A">
      <w:pPr>
        <w:numPr>
          <w:ilvl w:val="0"/>
          <w:numId w:val="0"/>
        </w:numPr>
        <w:ind w:left="0" w:leftChars="0" w:firstLine="482" w:firstLineChars="200"/>
        <w:outlineLvl w:val="5"/>
        <w:rPr>
          <w:rFonts w:hint="eastAsia" w:ascii="Times New Roman" w:hAnsi="Times New Roman" w:eastAsia="宋体" w:cstheme="minorBidi"/>
          <w:b/>
          <w:bCs/>
          <w:kern w:val="2"/>
          <w:sz w:val="24"/>
          <w:szCs w:val="24"/>
          <w:lang w:val="en-US" w:eastAsia="zh-CN" w:bidi="ar-SA"/>
        </w:rPr>
      </w:pPr>
      <w:r>
        <w:rPr>
          <w:rFonts w:hint="eastAsia" w:ascii="Times New Roman" w:hAnsi="Times New Roman" w:eastAsia="宋体" w:cstheme="minorBidi"/>
          <w:b/>
          <w:bCs/>
          <w:kern w:val="2"/>
          <w:sz w:val="24"/>
          <w:szCs w:val="24"/>
          <w:lang w:val="en-US" w:eastAsia="zh-CN" w:bidi="ar-SA"/>
        </w:rPr>
        <w:t>（4）锂盐生产装置废气</w:t>
      </w:r>
    </w:p>
    <w:p w14:paraId="2149184A">
      <w:pPr>
        <w:bidi w:val="0"/>
        <w:rPr>
          <w:rFonts w:hint="eastAsia"/>
          <w:lang w:val="en-US" w:eastAsia="zh-CN"/>
        </w:rPr>
      </w:pPr>
      <w:r>
        <w:rPr>
          <w:rFonts w:hint="eastAsia"/>
          <w:b w:val="0"/>
          <w:bCs w:val="0"/>
          <w:lang w:val="en-US" w:eastAsia="zh-CN"/>
        </w:rPr>
        <w:t>本项目锂盐生产装置包含中和及复分解装置，设计生产规模为年产600吨高氯酸锂，中间产物为氯化锂。</w:t>
      </w:r>
      <w:r>
        <w:rPr>
          <w:rFonts w:hint="eastAsia" w:cs="Times New Roman"/>
          <w:color w:val="000000"/>
          <w:lang w:val="en-US" w:eastAsia="zh-CN"/>
        </w:rPr>
        <w:t>结合反应原理及物料平衡等，锂盐生产装置的反应产生气体为二氧化碳，不构成污染物，但中和反应过程中盐酸及高氯酸存在少量挥发，因此</w:t>
      </w:r>
      <w:r>
        <w:rPr>
          <w:rFonts w:hint="eastAsia"/>
          <w:lang w:val="en-US" w:eastAsia="zh-CN"/>
        </w:rPr>
        <w:t>和尾气中主要污染因子为氯化氢等酸性气体。</w:t>
      </w:r>
    </w:p>
    <w:p w14:paraId="0B53D07D">
      <w:pPr>
        <w:bidi w:val="0"/>
        <w:rPr>
          <w:rFonts w:hint="default"/>
          <w:b/>
          <w:bCs/>
          <w:lang w:val="en-US" w:eastAsia="zh-CN"/>
        </w:rPr>
      </w:pPr>
      <w:r>
        <w:rPr>
          <w:rFonts w:hint="eastAsia"/>
          <w:highlight w:val="none"/>
        </w:rPr>
        <w:t>结合物料平衡和氯元素平衡分析，</w:t>
      </w:r>
      <w:r>
        <w:rPr>
          <w:rFonts w:hint="eastAsia"/>
          <w:highlight w:val="none"/>
          <w:lang w:val="en-US" w:eastAsia="zh-CN"/>
        </w:rPr>
        <w:t xml:space="preserve">复分解法年产400吨高氯酸锂时，中和尾气中挥发氯化氢含量约为0.26t/a；中和法年产200吨高氯酸锂时，中和尾气中挥发高氯酸含量约为0.82t/a。中和尾气经过“一级碱洗”处理后通过15m高排气筒（DA007）达标外排。由于高氯酸浓度高且酸性强，经碱洗后不外排，本次评价仅考虑中和尾气中氯化氢的排放情况。由于氯化氢挥发量少浓度低，处理效率保守取60%。 </w:t>
      </w:r>
    </w:p>
    <w:p w14:paraId="181C1CE7">
      <w:pPr>
        <w:pStyle w:val="43"/>
        <w:bidi w:val="0"/>
        <w:rPr>
          <w:rFonts w:hint="default"/>
          <w:lang w:val="en-US" w:eastAsia="zh-CN"/>
        </w:rPr>
      </w:pPr>
      <w:r>
        <w:rPr>
          <w:rFonts w:hint="eastAsia"/>
          <w:lang w:val="en-US" w:eastAsia="zh-CN"/>
        </w:rPr>
        <w:t>锂盐装置中和尾气产排情况</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249"/>
        <w:gridCol w:w="1368"/>
        <w:gridCol w:w="1018"/>
        <w:gridCol w:w="1221"/>
        <w:gridCol w:w="1221"/>
        <w:gridCol w:w="1221"/>
        <w:gridCol w:w="1221"/>
      </w:tblGrid>
      <w:tr w14:paraId="53B75C9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70" w:hRule="atLeast"/>
          <w:tblHeader/>
          <w:jc w:val="center"/>
        </w:trPr>
        <w:tc>
          <w:tcPr>
            <w:tcW w:w="733" w:type="pct"/>
            <w:tcBorders>
              <w:top w:val="single" w:color="auto" w:sz="4" w:space="0"/>
              <w:left w:val="single" w:color="auto" w:sz="6" w:space="0"/>
              <w:bottom w:val="single" w:color="auto" w:sz="4" w:space="0"/>
              <w:right w:val="single" w:color="auto" w:sz="4" w:space="0"/>
            </w:tcBorders>
            <w:vAlign w:val="center"/>
          </w:tcPr>
          <w:p w14:paraId="2E45E3F9">
            <w:pPr>
              <w:pStyle w:val="45"/>
              <w:rPr>
                <w:rFonts w:hint="default"/>
                <w:b/>
                <w:bCs/>
                <w:lang w:val="en-US" w:eastAsia="zh-CN"/>
              </w:rPr>
            </w:pPr>
            <w:r>
              <w:rPr>
                <w:rFonts w:hint="eastAsia"/>
                <w:b/>
                <w:bCs/>
                <w:lang w:val="en-US" w:eastAsia="zh-CN"/>
              </w:rPr>
              <w:t>废气名称</w:t>
            </w:r>
          </w:p>
        </w:tc>
        <w:tc>
          <w:tcPr>
            <w:tcW w:w="802" w:type="pct"/>
            <w:tcBorders>
              <w:top w:val="single" w:color="auto" w:sz="4" w:space="0"/>
              <w:left w:val="single" w:color="auto" w:sz="6" w:space="0"/>
              <w:bottom w:val="single" w:color="auto" w:sz="4" w:space="0"/>
              <w:right w:val="single" w:color="auto" w:sz="4" w:space="0"/>
            </w:tcBorders>
            <w:vAlign w:val="center"/>
          </w:tcPr>
          <w:p w14:paraId="022C2183">
            <w:pPr>
              <w:pStyle w:val="45"/>
              <w:rPr>
                <w:rFonts w:hint="default" w:eastAsia="宋体"/>
                <w:b/>
                <w:bCs/>
                <w:lang w:val="en-US" w:eastAsia="zh-CN"/>
              </w:rPr>
            </w:pPr>
            <w:r>
              <w:rPr>
                <w:rFonts w:hint="eastAsia"/>
                <w:b/>
                <w:bCs/>
                <w:lang w:val="en-US" w:eastAsia="zh-CN"/>
              </w:rPr>
              <w:t>污染因子</w:t>
            </w:r>
          </w:p>
        </w:tc>
        <w:tc>
          <w:tcPr>
            <w:tcW w:w="597" w:type="pct"/>
            <w:tcBorders>
              <w:top w:val="single" w:color="auto" w:sz="4" w:space="0"/>
              <w:left w:val="single" w:color="auto" w:sz="6" w:space="0"/>
              <w:bottom w:val="single" w:color="auto" w:sz="4" w:space="0"/>
              <w:right w:val="single" w:color="auto" w:sz="4" w:space="0"/>
            </w:tcBorders>
            <w:vAlign w:val="center"/>
          </w:tcPr>
          <w:p w14:paraId="794BC3B4">
            <w:pPr>
              <w:pStyle w:val="45"/>
              <w:rPr>
                <w:rFonts w:hint="default"/>
                <w:b/>
                <w:bCs/>
                <w:lang w:val="en-US" w:eastAsia="zh-CN"/>
              </w:rPr>
            </w:pPr>
            <w:r>
              <w:rPr>
                <w:rFonts w:hint="eastAsia"/>
                <w:b/>
                <w:bCs/>
                <w:lang w:val="en-US" w:eastAsia="zh-CN"/>
              </w:rPr>
              <w:t>产生量t/a</w:t>
            </w:r>
          </w:p>
        </w:tc>
        <w:tc>
          <w:tcPr>
            <w:tcW w:w="716" w:type="pct"/>
            <w:tcBorders>
              <w:top w:val="single" w:color="auto" w:sz="4" w:space="0"/>
              <w:left w:val="single" w:color="auto" w:sz="6" w:space="0"/>
              <w:bottom w:val="single" w:color="auto" w:sz="4" w:space="0"/>
              <w:right w:val="single" w:color="auto" w:sz="4" w:space="0"/>
            </w:tcBorders>
            <w:vAlign w:val="center"/>
          </w:tcPr>
          <w:p w14:paraId="65B0C8C8">
            <w:pPr>
              <w:pStyle w:val="45"/>
              <w:rPr>
                <w:rFonts w:hint="default"/>
                <w:b/>
                <w:bCs/>
                <w:lang w:val="en-US" w:eastAsia="zh-CN"/>
              </w:rPr>
            </w:pPr>
            <w:r>
              <w:rPr>
                <w:rFonts w:hint="eastAsia"/>
                <w:b/>
                <w:bCs/>
                <w:lang w:val="en-US" w:eastAsia="zh-CN"/>
              </w:rPr>
              <w:t>产生速率kg/h</w:t>
            </w:r>
          </w:p>
        </w:tc>
        <w:tc>
          <w:tcPr>
            <w:tcW w:w="716" w:type="pct"/>
            <w:tcBorders>
              <w:top w:val="single" w:color="auto" w:sz="4" w:space="0"/>
              <w:left w:val="single" w:color="auto" w:sz="6" w:space="0"/>
              <w:bottom w:val="single" w:color="auto" w:sz="4" w:space="0"/>
              <w:right w:val="single" w:color="auto" w:sz="4" w:space="0"/>
            </w:tcBorders>
            <w:vAlign w:val="center"/>
          </w:tcPr>
          <w:p w14:paraId="501BECA2">
            <w:pPr>
              <w:pStyle w:val="45"/>
              <w:rPr>
                <w:rFonts w:hint="default"/>
                <w:b/>
                <w:bCs/>
                <w:lang w:val="en-US" w:eastAsia="zh-CN"/>
              </w:rPr>
            </w:pPr>
            <w:r>
              <w:rPr>
                <w:rFonts w:hint="eastAsia"/>
                <w:b/>
                <w:bCs/>
                <w:lang w:val="en-US" w:eastAsia="zh-CN"/>
              </w:rPr>
              <w:t>收集效率%</w:t>
            </w:r>
          </w:p>
        </w:tc>
        <w:tc>
          <w:tcPr>
            <w:tcW w:w="716" w:type="pct"/>
            <w:tcBorders>
              <w:top w:val="single" w:color="auto" w:sz="4" w:space="0"/>
              <w:left w:val="single" w:color="auto" w:sz="6" w:space="0"/>
              <w:bottom w:val="single" w:color="auto" w:sz="4" w:space="0"/>
              <w:right w:val="single" w:color="auto" w:sz="4" w:space="0"/>
            </w:tcBorders>
            <w:vAlign w:val="center"/>
          </w:tcPr>
          <w:p w14:paraId="43868F3B">
            <w:pPr>
              <w:pStyle w:val="45"/>
              <w:rPr>
                <w:rFonts w:hint="default"/>
                <w:b/>
                <w:bCs/>
                <w:lang w:val="en-US" w:eastAsia="zh-CN"/>
              </w:rPr>
            </w:pPr>
            <w:r>
              <w:rPr>
                <w:rFonts w:hint="eastAsia"/>
                <w:b/>
                <w:bCs/>
                <w:lang w:val="en-US" w:eastAsia="zh-CN"/>
              </w:rPr>
              <w:t>处理效率%</w:t>
            </w:r>
          </w:p>
        </w:tc>
        <w:tc>
          <w:tcPr>
            <w:tcW w:w="716" w:type="pct"/>
            <w:tcBorders>
              <w:top w:val="single" w:color="auto" w:sz="4" w:space="0"/>
              <w:left w:val="single" w:color="auto" w:sz="6" w:space="0"/>
              <w:bottom w:val="single" w:color="auto" w:sz="4" w:space="0"/>
              <w:right w:val="single" w:color="auto" w:sz="4" w:space="0"/>
            </w:tcBorders>
            <w:vAlign w:val="center"/>
          </w:tcPr>
          <w:p w14:paraId="2F6944E1">
            <w:pPr>
              <w:pStyle w:val="45"/>
              <w:rPr>
                <w:rFonts w:hint="default"/>
                <w:b/>
                <w:bCs/>
                <w:lang w:val="en-US" w:eastAsia="zh-CN"/>
              </w:rPr>
            </w:pPr>
            <w:r>
              <w:rPr>
                <w:rFonts w:hint="eastAsia"/>
                <w:b/>
                <w:bCs/>
                <w:lang w:val="en-US" w:eastAsia="zh-CN"/>
              </w:rPr>
              <w:t>有组织排放量t/a</w:t>
            </w:r>
          </w:p>
        </w:tc>
      </w:tr>
      <w:tr w14:paraId="3E21E16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733" w:type="pct"/>
            <w:tcBorders>
              <w:top w:val="single" w:color="auto" w:sz="4" w:space="0"/>
              <w:left w:val="single" w:color="auto" w:sz="6" w:space="0"/>
              <w:right w:val="single" w:color="auto" w:sz="4" w:space="0"/>
            </w:tcBorders>
            <w:vAlign w:val="center"/>
          </w:tcPr>
          <w:p w14:paraId="1410F54C">
            <w:pPr>
              <w:pStyle w:val="45"/>
              <w:rPr>
                <w:rFonts w:hint="default"/>
                <w:lang w:val="en-US" w:eastAsia="zh-CN"/>
              </w:rPr>
            </w:pPr>
            <w:r>
              <w:rPr>
                <w:rFonts w:hint="eastAsia"/>
                <w:lang w:val="en-US" w:eastAsia="zh-CN"/>
              </w:rPr>
              <w:t>中和尾气</w:t>
            </w:r>
          </w:p>
        </w:tc>
        <w:tc>
          <w:tcPr>
            <w:tcW w:w="802" w:type="pct"/>
            <w:tcBorders>
              <w:top w:val="single" w:color="auto" w:sz="4" w:space="0"/>
              <w:left w:val="single" w:color="auto" w:sz="6" w:space="0"/>
              <w:bottom w:val="single" w:color="auto" w:sz="6" w:space="0"/>
              <w:right w:val="single" w:color="auto" w:sz="4" w:space="0"/>
            </w:tcBorders>
            <w:vAlign w:val="center"/>
          </w:tcPr>
          <w:p w14:paraId="3D48FD97">
            <w:pPr>
              <w:pStyle w:val="45"/>
              <w:rPr>
                <w:rFonts w:hint="default" w:eastAsia="宋体"/>
                <w:lang w:val="en-US" w:eastAsia="zh-CN"/>
              </w:rPr>
            </w:pPr>
            <w:r>
              <w:rPr>
                <w:rFonts w:hint="eastAsia"/>
                <w:lang w:val="en-US" w:eastAsia="zh-CN"/>
              </w:rPr>
              <w:t>氯化氢</w:t>
            </w:r>
          </w:p>
        </w:tc>
        <w:tc>
          <w:tcPr>
            <w:tcW w:w="597" w:type="pct"/>
            <w:tcBorders>
              <w:top w:val="single" w:color="auto" w:sz="4" w:space="0"/>
              <w:left w:val="single" w:color="auto" w:sz="6" w:space="0"/>
              <w:bottom w:val="single" w:color="auto" w:sz="6" w:space="0"/>
              <w:right w:val="single" w:color="auto" w:sz="4" w:space="0"/>
            </w:tcBorders>
            <w:vAlign w:val="center"/>
          </w:tcPr>
          <w:p w14:paraId="07C6429D">
            <w:pPr>
              <w:pStyle w:val="45"/>
              <w:rPr>
                <w:rFonts w:hint="default"/>
                <w:lang w:val="en-US" w:eastAsia="zh-CN"/>
              </w:rPr>
            </w:pPr>
            <w:r>
              <w:rPr>
                <w:rFonts w:hint="eastAsia"/>
                <w:lang w:val="en-US" w:eastAsia="zh-CN"/>
              </w:rPr>
              <w:t>0.26</w:t>
            </w:r>
          </w:p>
        </w:tc>
        <w:tc>
          <w:tcPr>
            <w:tcW w:w="716" w:type="pct"/>
            <w:tcBorders>
              <w:top w:val="single" w:color="auto" w:sz="4" w:space="0"/>
              <w:left w:val="single" w:color="auto" w:sz="6" w:space="0"/>
              <w:bottom w:val="single" w:color="auto" w:sz="6" w:space="0"/>
              <w:right w:val="single" w:color="auto" w:sz="4" w:space="0"/>
            </w:tcBorders>
            <w:vAlign w:val="center"/>
          </w:tcPr>
          <w:p w14:paraId="493C4606">
            <w:pPr>
              <w:pStyle w:val="45"/>
              <w:rPr>
                <w:rFonts w:hint="default"/>
                <w:lang w:val="en-US" w:eastAsia="zh-CN"/>
              </w:rPr>
            </w:pPr>
            <w:r>
              <w:rPr>
                <w:rFonts w:hint="eastAsia"/>
                <w:lang w:val="en-US" w:eastAsia="zh-CN"/>
              </w:rPr>
              <w:t>0.036</w:t>
            </w:r>
          </w:p>
        </w:tc>
        <w:tc>
          <w:tcPr>
            <w:tcW w:w="716" w:type="pct"/>
            <w:tcBorders>
              <w:top w:val="single" w:color="auto" w:sz="4" w:space="0"/>
              <w:left w:val="single" w:color="auto" w:sz="6" w:space="0"/>
              <w:bottom w:val="single" w:color="auto" w:sz="6" w:space="0"/>
              <w:right w:val="single" w:color="auto" w:sz="4" w:space="0"/>
            </w:tcBorders>
            <w:vAlign w:val="center"/>
          </w:tcPr>
          <w:p w14:paraId="192AD22E">
            <w:pPr>
              <w:pStyle w:val="45"/>
              <w:rPr>
                <w:rFonts w:hint="default"/>
                <w:lang w:val="en-US" w:eastAsia="zh-CN"/>
              </w:rPr>
            </w:pPr>
            <w:r>
              <w:rPr>
                <w:rFonts w:hint="eastAsia"/>
                <w:lang w:val="en-US" w:eastAsia="zh-CN"/>
              </w:rPr>
              <w:t>100</w:t>
            </w:r>
          </w:p>
        </w:tc>
        <w:tc>
          <w:tcPr>
            <w:tcW w:w="716" w:type="pct"/>
            <w:tcBorders>
              <w:top w:val="single" w:color="auto" w:sz="4" w:space="0"/>
              <w:left w:val="single" w:color="auto" w:sz="6" w:space="0"/>
              <w:bottom w:val="single" w:color="auto" w:sz="6" w:space="0"/>
              <w:right w:val="single" w:color="auto" w:sz="4" w:space="0"/>
            </w:tcBorders>
            <w:vAlign w:val="center"/>
          </w:tcPr>
          <w:p w14:paraId="6E99AC61">
            <w:pPr>
              <w:pStyle w:val="45"/>
              <w:rPr>
                <w:rFonts w:hint="default"/>
                <w:lang w:val="en-US" w:eastAsia="zh-CN"/>
              </w:rPr>
            </w:pPr>
            <w:r>
              <w:rPr>
                <w:rFonts w:hint="eastAsia"/>
                <w:lang w:val="en-US" w:eastAsia="zh-CN"/>
              </w:rPr>
              <w:t>60</w:t>
            </w:r>
          </w:p>
        </w:tc>
        <w:tc>
          <w:tcPr>
            <w:tcW w:w="716" w:type="pct"/>
            <w:tcBorders>
              <w:top w:val="single" w:color="auto" w:sz="4" w:space="0"/>
              <w:left w:val="single" w:color="auto" w:sz="6" w:space="0"/>
              <w:bottom w:val="single" w:color="auto" w:sz="6" w:space="0"/>
              <w:right w:val="single" w:color="auto" w:sz="4" w:space="0"/>
            </w:tcBorders>
            <w:vAlign w:val="center"/>
          </w:tcPr>
          <w:p w14:paraId="50E4F9E6">
            <w:pPr>
              <w:pStyle w:val="45"/>
              <w:rPr>
                <w:rFonts w:hint="default"/>
                <w:lang w:val="en-US" w:eastAsia="zh-CN"/>
              </w:rPr>
            </w:pPr>
            <w:r>
              <w:rPr>
                <w:rFonts w:hint="eastAsia"/>
                <w:lang w:val="en-US" w:eastAsia="zh-CN"/>
              </w:rPr>
              <w:t>0.104</w:t>
            </w:r>
          </w:p>
        </w:tc>
      </w:tr>
    </w:tbl>
    <w:p w14:paraId="1A200DCC">
      <w:pPr>
        <w:ind w:firstLine="480"/>
      </w:pPr>
    </w:p>
    <w:p w14:paraId="4B808A9B">
      <w:pPr>
        <w:ind w:firstLine="48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rPr>
        <w:t>经计算，</w:t>
      </w:r>
      <w:r>
        <w:rPr>
          <w:rFonts w:hint="eastAsia"/>
          <w:lang w:val="en-US" w:eastAsia="zh-CN"/>
        </w:rPr>
        <w:t>锂盐生产装置的中和尾气经</w:t>
      </w:r>
      <w:r>
        <w:rPr>
          <w:rFonts w:hint="eastAsia"/>
        </w:rPr>
        <w:t>处理后</w:t>
      </w:r>
      <w:r>
        <w:rPr>
          <w:rFonts w:hint="eastAsia"/>
          <w:lang w:val="en-US" w:eastAsia="zh-CN"/>
        </w:rPr>
        <w:t>氯化氢</w:t>
      </w:r>
      <w:r>
        <w:rPr>
          <w:rFonts w:hint="eastAsia"/>
          <w:highlight w:val="none"/>
        </w:rPr>
        <w:t>外排浓度为</w:t>
      </w:r>
      <w:r>
        <w:rPr>
          <w:rFonts w:hint="eastAsia"/>
          <w:highlight w:val="none"/>
          <w:lang w:val="en-US" w:eastAsia="zh-CN"/>
        </w:rPr>
        <w:t>7.22</w:t>
      </w:r>
      <w:r>
        <w:rPr>
          <w:rFonts w:hint="eastAsia"/>
          <w:highlight w:val="none"/>
        </w:rPr>
        <w:t>mg/m</w:t>
      </w:r>
      <w:r>
        <w:rPr>
          <w:rFonts w:hint="eastAsia"/>
          <w:highlight w:val="none"/>
          <w:vertAlign w:val="superscript"/>
          <w:lang w:val="en-US" w:eastAsia="zh-CN"/>
        </w:rPr>
        <w:t>3</w:t>
      </w:r>
      <w:r>
        <w:rPr>
          <w:rFonts w:hint="eastAsia"/>
          <w:highlight w:val="none"/>
        </w:rPr>
        <w:t>，能够满足《无机化学工业污染物排放标准》（GB31573-2015）中“无机氯化合物和氯酸盐工业”排放标准限值要求（</w:t>
      </w:r>
      <w:r>
        <w:rPr>
          <w:rFonts w:hint="eastAsia"/>
        </w:rPr>
        <w:t>HCl：20mg/m</w:t>
      </w:r>
      <w:r>
        <w:rPr>
          <w:rFonts w:hint="eastAsia"/>
          <w:highlight w:val="none"/>
          <w:vertAlign w:val="superscript"/>
          <w:lang w:val="en-US" w:eastAsia="zh-CN"/>
        </w:rPr>
        <w:t>3</w:t>
      </w:r>
      <w:r>
        <w:rPr>
          <w:rFonts w:hint="eastAsia"/>
          <w:highlight w:val="none"/>
        </w:rPr>
        <w:t>）。</w:t>
      </w:r>
    </w:p>
    <w:p w14:paraId="4185F2B8">
      <w:pPr>
        <w:numPr>
          <w:ilvl w:val="0"/>
          <w:numId w:val="0"/>
        </w:numPr>
        <w:ind w:left="0" w:leftChars="0" w:firstLine="482" w:firstLineChars="200"/>
        <w:outlineLvl w:val="5"/>
        <w:rPr>
          <w:rFonts w:hint="eastAsia" w:cstheme="minorBidi"/>
          <w:b/>
          <w:bCs/>
          <w:kern w:val="2"/>
          <w:sz w:val="24"/>
          <w:szCs w:val="24"/>
          <w:lang w:val="en-US" w:eastAsia="zh-CN" w:bidi="ar-SA"/>
        </w:rPr>
      </w:pPr>
      <w:r>
        <w:rPr>
          <w:rFonts w:hint="eastAsia" w:cstheme="minorBidi"/>
          <w:b/>
          <w:bCs/>
          <w:kern w:val="2"/>
          <w:sz w:val="24"/>
          <w:szCs w:val="24"/>
          <w:lang w:val="en-US" w:eastAsia="zh-CN" w:bidi="ar-SA"/>
        </w:rPr>
        <w:t>（5）有组织废气产排汇总</w:t>
      </w:r>
    </w:p>
    <w:p w14:paraId="28B52738">
      <w:pPr>
        <w:ind w:firstLine="480"/>
        <w:rPr>
          <w:rFonts w:hint="eastAsia"/>
          <w:highlight w:val="none"/>
        </w:rPr>
      </w:pPr>
      <w:r>
        <w:rPr>
          <w:rFonts w:hint="eastAsia"/>
          <w:highlight w:val="none"/>
        </w:rPr>
        <w:t>本项目有组织废气</w:t>
      </w:r>
      <w:r>
        <w:rPr>
          <w:rFonts w:hint="eastAsia"/>
          <w:highlight w:val="none"/>
          <w:lang w:val="en-US" w:eastAsia="zh-CN"/>
        </w:rPr>
        <w:t>处理措施汇总情况</w:t>
      </w:r>
      <w:r>
        <w:rPr>
          <w:rFonts w:hint="eastAsia"/>
          <w:highlight w:val="none"/>
        </w:rPr>
        <w:t>见下表。</w:t>
      </w:r>
    </w:p>
    <w:p w14:paraId="34B8E6F5">
      <w:pPr>
        <w:keepNext/>
        <w:numPr>
          <w:ilvl w:val="5"/>
          <w:numId w:val="1"/>
        </w:numPr>
        <w:snapToGrid w:val="0"/>
        <w:spacing w:line="240" w:lineRule="auto"/>
        <w:ind w:firstLine="420" w:firstLineChars="0"/>
        <w:jc w:val="center"/>
        <w:rPr>
          <w:b/>
          <w:bCs/>
          <w:sz w:val="21"/>
          <w:szCs w:val="21"/>
          <w:highlight w:val="none"/>
        </w:rPr>
      </w:pPr>
      <w:r>
        <w:rPr>
          <w:rFonts w:hint="eastAsia"/>
          <w:b/>
          <w:bCs/>
          <w:sz w:val="21"/>
          <w:szCs w:val="21"/>
          <w:highlight w:val="none"/>
          <w:lang w:val="en-US" w:eastAsia="zh-CN"/>
        </w:rPr>
        <w:t>有组织废气处理措施汇总表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20"/>
        <w:gridCol w:w="1890"/>
        <w:gridCol w:w="1283"/>
        <w:gridCol w:w="2192"/>
        <w:gridCol w:w="4850"/>
        <w:gridCol w:w="2737"/>
      </w:tblGrid>
      <w:tr w14:paraId="5510B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9" w:hRule="atLeast"/>
          <w:tblHeader/>
          <w:jc w:val="center"/>
        </w:trPr>
        <w:tc>
          <w:tcPr>
            <w:tcW w:w="365" w:type="pct"/>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14:paraId="307CEF41">
            <w:pPr>
              <w:pStyle w:val="45"/>
              <w:bidi w:val="0"/>
              <w:rPr>
                <w:rFonts w:hint="default" w:eastAsia="宋体"/>
                <w:b/>
                <w:bCs/>
                <w:highlight w:val="none"/>
                <w:lang w:val="en-US" w:eastAsia="zh-CN"/>
              </w:rPr>
            </w:pPr>
            <w:r>
              <w:rPr>
                <w:rFonts w:hint="eastAsia"/>
                <w:b/>
                <w:bCs/>
                <w:highlight w:val="none"/>
                <w:lang w:val="en-US" w:eastAsia="zh-CN"/>
              </w:rPr>
              <w:t>产生位置</w:t>
            </w:r>
          </w:p>
        </w:tc>
        <w:tc>
          <w:tcPr>
            <w:tcW w:w="676" w:type="pct"/>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14:paraId="66D48FB8">
            <w:pPr>
              <w:pStyle w:val="45"/>
              <w:bidi w:val="0"/>
              <w:rPr>
                <w:rFonts w:hint="default"/>
                <w:b/>
                <w:bCs/>
                <w:highlight w:val="none"/>
              </w:rPr>
            </w:pPr>
            <w:r>
              <w:rPr>
                <w:rFonts w:hint="default"/>
                <w:b/>
                <w:bCs/>
                <w:highlight w:val="none"/>
              </w:rPr>
              <w:t>污染物名称</w:t>
            </w:r>
          </w:p>
        </w:tc>
        <w:tc>
          <w:tcPr>
            <w:tcW w:w="459" w:type="pct"/>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14:paraId="124EE43C">
            <w:pPr>
              <w:pStyle w:val="45"/>
              <w:bidi w:val="0"/>
              <w:rPr>
                <w:rFonts w:hint="default"/>
                <w:b/>
                <w:bCs/>
                <w:highlight w:val="none"/>
              </w:rPr>
            </w:pPr>
            <w:r>
              <w:rPr>
                <w:rFonts w:hint="default"/>
                <w:b/>
                <w:bCs/>
                <w:highlight w:val="none"/>
              </w:rPr>
              <w:t>产污环节</w:t>
            </w:r>
          </w:p>
        </w:tc>
        <w:tc>
          <w:tcPr>
            <w:tcW w:w="784" w:type="pct"/>
            <w:tcBorders>
              <w:top w:val="single" w:color="auto" w:sz="4" w:space="0"/>
              <w:left w:val="single" w:color="auto" w:sz="4" w:space="0"/>
              <w:bottom w:val="single" w:color="auto" w:sz="4" w:space="0"/>
              <w:right w:val="single" w:color="auto" w:sz="4" w:space="0"/>
            </w:tcBorders>
            <w:noWrap w:val="0"/>
            <w:vAlign w:val="center"/>
          </w:tcPr>
          <w:p w14:paraId="010F71C2">
            <w:pPr>
              <w:pStyle w:val="45"/>
              <w:bidi w:val="0"/>
              <w:rPr>
                <w:rFonts w:hint="default"/>
                <w:b/>
                <w:bCs/>
                <w:highlight w:val="none"/>
              </w:rPr>
            </w:pPr>
            <w:r>
              <w:rPr>
                <w:rFonts w:hint="default"/>
                <w:b/>
                <w:bCs/>
                <w:highlight w:val="none"/>
              </w:rPr>
              <w:t>主要污染物成分</w:t>
            </w:r>
          </w:p>
        </w:tc>
        <w:tc>
          <w:tcPr>
            <w:tcW w:w="1735" w:type="pct"/>
            <w:tcBorders>
              <w:top w:val="single" w:color="auto" w:sz="4" w:space="0"/>
              <w:left w:val="single" w:color="auto" w:sz="4" w:space="0"/>
              <w:bottom w:val="single" w:color="auto" w:sz="4" w:space="0"/>
              <w:right w:val="single" w:color="auto" w:sz="4" w:space="0"/>
            </w:tcBorders>
            <w:noWrap w:val="0"/>
            <w:vAlign w:val="center"/>
          </w:tcPr>
          <w:p w14:paraId="13EED40F">
            <w:pPr>
              <w:pStyle w:val="45"/>
              <w:bidi w:val="0"/>
              <w:rPr>
                <w:rFonts w:hint="eastAsia"/>
                <w:b/>
                <w:bCs/>
                <w:highlight w:val="none"/>
                <w:lang w:val="en-US" w:eastAsia="zh-CN"/>
              </w:rPr>
            </w:pPr>
            <w:r>
              <w:rPr>
                <w:rFonts w:hint="eastAsia"/>
                <w:b/>
                <w:bCs/>
                <w:highlight w:val="none"/>
                <w:lang w:val="en-US" w:eastAsia="zh-CN"/>
              </w:rPr>
              <w:t>处理措施</w:t>
            </w:r>
          </w:p>
        </w:tc>
        <w:tc>
          <w:tcPr>
            <w:tcW w:w="979" w:type="pct"/>
            <w:tcBorders>
              <w:top w:val="single" w:color="auto" w:sz="4" w:space="0"/>
              <w:left w:val="single" w:color="auto" w:sz="4" w:space="0"/>
              <w:bottom w:val="single" w:color="auto" w:sz="4" w:space="0"/>
              <w:right w:val="single" w:color="auto" w:sz="4" w:space="0"/>
            </w:tcBorders>
            <w:noWrap w:val="0"/>
            <w:vAlign w:val="center"/>
          </w:tcPr>
          <w:p w14:paraId="4E5C0796">
            <w:pPr>
              <w:pStyle w:val="45"/>
              <w:bidi w:val="0"/>
              <w:rPr>
                <w:rFonts w:hint="default"/>
                <w:b/>
                <w:bCs/>
                <w:highlight w:val="none"/>
                <w:lang w:val="en-US" w:eastAsia="zh-CN"/>
              </w:rPr>
            </w:pPr>
            <w:r>
              <w:rPr>
                <w:rFonts w:hint="eastAsia"/>
                <w:b/>
                <w:bCs/>
                <w:highlight w:val="none"/>
                <w:lang w:val="en-US" w:eastAsia="zh-CN"/>
              </w:rPr>
              <w:t>是否属于排污许可技术规范规定的可行技术</w:t>
            </w:r>
          </w:p>
        </w:tc>
      </w:tr>
      <w:tr w14:paraId="232FF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365" w:type="pct"/>
            <w:vMerge w:val="restart"/>
            <w:tcBorders>
              <w:top w:val="single" w:color="auto" w:sz="4" w:space="0"/>
              <w:left w:val="single" w:color="auto" w:sz="4" w:space="0"/>
              <w:right w:val="single" w:color="auto" w:sz="4" w:space="0"/>
            </w:tcBorders>
            <w:noWrap w:val="0"/>
            <w:tcMar>
              <w:top w:w="15" w:type="dxa"/>
              <w:left w:w="15" w:type="dxa"/>
              <w:bottom w:w="0" w:type="dxa"/>
              <w:right w:w="15" w:type="dxa"/>
            </w:tcMar>
            <w:vAlign w:val="center"/>
          </w:tcPr>
          <w:p w14:paraId="35AB0BE8">
            <w:pPr>
              <w:pStyle w:val="45"/>
              <w:bidi w:val="0"/>
              <w:rPr>
                <w:rFonts w:hint="default"/>
                <w:highlight w:val="none"/>
                <w:lang w:val="en-US" w:eastAsia="zh-CN"/>
              </w:rPr>
            </w:pPr>
            <w:r>
              <w:rPr>
                <w:rFonts w:hint="eastAsia"/>
                <w:highlight w:val="none"/>
                <w:lang w:val="en-US" w:eastAsia="zh-CN"/>
              </w:rPr>
              <w:t>一次电解装置</w:t>
            </w:r>
          </w:p>
        </w:tc>
        <w:tc>
          <w:tcPr>
            <w:tcW w:w="676" w:type="pct"/>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14:paraId="27789B44">
            <w:pPr>
              <w:pStyle w:val="45"/>
              <w:bidi w:val="0"/>
              <w:rPr>
                <w:rFonts w:hint="default"/>
                <w:highlight w:val="none"/>
                <w:lang w:val="en-US" w:eastAsia="zh-CN"/>
              </w:rPr>
            </w:pPr>
            <w:r>
              <w:rPr>
                <w:rFonts w:hint="eastAsia"/>
                <w:highlight w:val="none"/>
                <w:lang w:val="en-US" w:eastAsia="zh-CN"/>
              </w:rPr>
              <w:t>一次电解尾气</w:t>
            </w:r>
          </w:p>
        </w:tc>
        <w:tc>
          <w:tcPr>
            <w:tcW w:w="459" w:type="pct"/>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14:paraId="34FCDAC2">
            <w:pPr>
              <w:pStyle w:val="45"/>
              <w:bidi w:val="0"/>
              <w:rPr>
                <w:rFonts w:hint="default"/>
                <w:highlight w:val="none"/>
                <w:lang w:val="en-US" w:eastAsia="zh-CN"/>
              </w:rPr>
            </w:pPr>
            <w:r>
              <w:rPr>
                <w:rFonts w:hint="eastAsia"/>
                <w:highlight w:val="none"/>
                <w:lang w:val="en-US" w:eastAsia="zh-CN"/>
              </w:rPr>
              <w:t>一次电解</w:t>
            </w:r>
          </w:p>
        </w:tc>
        <w:tc>
          <w:tcPr>
            <w:tcW w:w="784" w:type="pct"/>
            <w:tcBorders>
              <w:top w:val="single" w:color="auto" w:sz="4" w:space="0"/>
              <w:left w:val="single" w:color="auto" w:sz="4" w:space="0"/>
              <w:bottom w:val="single" w:color="auto" w:sz="4" w:space="0"/>
              <w:right w:val="single" w:color="auto" w:sz="4" w:space="0"/>
            </w:tcBorders>
            <w:noWrap w:val="0"/>
            <w:vAlign w:val="center"/>
          </w:tcPr>
          <w:p w14:paraId="00D51323">
            <w:pPr>
              <w:pStyle w:val="45"/>
              <w:bidi w:val="0"/>
              <w:rPr>
                <w:rFonts w:hint="default"/>
                <w:highlight w:val="none"/>
                <w:lang w:val="en-US" w:eastAsia="zh-CN"/>
              </w:rPr>
            </w:pPr>
            <w:r>
              <w:rPr>
                <w:rFonts w:hint="eastAsia"/>
                <w:highlight w:val="none"/>
                <w:lang w:val="en-US" w:eastAsia="zh-CN"/>
              </w:rPr>
              <w:t>氯气、氯化氢</w:t>
            </w:r>
          </w:p>
        </w:tc>
        <w:tc>
          <w:tcPr>
            <w:tcW w:w="1735" w:type="pct"/>
            <w:tcBorders>
              <w:top w:val="single" w:color="auto" w:sz="4" w:space="0"/>
              <w:left w:val="single" w:color="auto" w:sz="4" w:space="0"/>
              <w:bottom w:val="single" w:color="auto" w:sz="4" w:space="0"/>
              <w:right w:val="single" w:color="auto" w:sz="4" w:space="0"/>
            </w:tcBorders>
            <w:noWrap w:val="0"/>
            <w:vAlign w:val="center"/>
          </w:tcPr>
          <w:p w14:paraId="72D37C36">
            <w:pPr>
              <w:pStyle w:val="45"/>
              <w:bidi w:val="0"/>
              <w:rPr>
                <w:rFonts w:hint="eastAsia"/>
                <w:highlight w:val="none"/>
                <w:lang w:val="en-US" w:eastAsia="zh-CN"/>
              </w:rPr>
            </w:pPr>
            <w:r>
              <w:rPr>
                <w:rFonts w:hint="eastAsia"/>
                <w:highlight w:val="none"/>
                <w:lang w:val="en-US" w:eastAsia="zh-CN"/>
              </w:rPr>
              <w:t>盐水洗涤+一级碱洗+水洗+25m高排气筒（DA001）</w:t>
            </w:r>
          </w:p>
        </w:tc>
        <w:tc>
          <w:tcPr>
            <w:tcW w:w="979" w:type="pct"/>
            <w:tcBorders>
              <w:top w:val="single" w:color="auto" w:sz="4" w:space="0"/>
              <w:left w:val="single" w:color="auto" w:sz="4" w:space="0"/>
              <w:bottom w:val="single" w:color="auto" w:sz="4" w:space="0"/>
              <w:right w:val="single" w:color="auto" w:sz="4" w:space="0"/>
            </w:tcBorders>
            <w:noWrap w:val="0"/>
            <w:vAlign w:val="center"/>
          </w:tcPr>
          <w:p w14:paraId="66B75FA7">
            <w:pPr>
              <w:pStyle w:val="45"/>
              <w:bidi w:val="0"/>
              <w:rPr>
                <w:rFonts w:hint="eastAsia"/>
                <w:highlight w:val="none"/>
                <w:lang w:val="en-US" w:eastAsia="zh-CN"/>
              </w:rPr>
            </w:pPr>
            <w:r>
              <w:rPr>
                <w:rFonts w:hint="eastAsia"/>
                <w:highlight w:val="none"/>
                <w:lang w:val="en-US" w:eastAsia="zh-CN"/>
              </w:rPr>
              <w:t>是</w:t>
            </w:r>
          </w:p>
        </w:tc>
      </w:tr>
      <w:tr w14:paraId="73DD0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365" w:type="pct"/>
            <w:vMerge w:val="continue"/>
            <w:tcBorders>
              <w:left w:val="single" w:color="auto" w:sz="4" w:space="0"/>
              <w:bottom w:val="single" w:color="auto" w:sz="4" w:space="0"/>
              <w:right w:val="single" w:color="auto" w:sz="4" w:space="0"/>
            </w:tcBorders>
            <w:noWrap w:val="0"/>
            <w:tcMar>
              <w:top w:w="15" w:type="dxa"/>
              <w:left w:w="15" w:type="dxa"/>
              <w:bottom w:w="0" w:type="dxa"/>
              <w:right w:w="15" w:type="dxa"/>
            </w:tcMar>
            <w:vAlign w:val="center"/>
          </w:tcPr>
          <w:p w14:paraId="21AA95D4">
            <w:pPr>
              <w:pStyle w:val="45"/>
              <w:bidi w:val="0"/>
              <w:rPr>
                <w:rFonts w:hint="eastAsia"/>
                <w:highlight w:val="none"/>
                <w:lang w:val="en-US" w:eastAsia="zh-CN"/>
              </w:rPr>
            </w:pPr>
          </w:p>
        </w:tc>
        <w:tc>
          <w:tcPr>
            <w:tcW w:w="676" w:type="pct"/>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14:paraId="29762B7F">
            <w:pPr>
              <w:pStyle w:val="45"/>
              <w:bidi w:val="0"/>
              <w:rPr>
                <w:rFonts w:hint="default"/>
                <w:highlight w:val="none"/>
                <w:lang w:val="en-US" w:eastAsia="zh-CN"/>
              </w:rPr>
            </w:pPr>
            <w:r>
              <w:rPr>
                <w:rFonts w:hint="eastAsia"/>
                <w:highlight w:val="none"/>
                <w:lang w:val="en-US" w:eastAsia="zh-CN"/>
              </w:rPr>
              <w:t>除次钠尾气</w:t>
            </w:r>
          </w:p>
        </w:tc>
        <w:tc>
          <w:tcPr>
            <w:tcW w:w="459" w:type="pct"/>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14:paraId="03EBB67E">
            <w:pPr>
              <w:pStyle w:val="45"/>
              <w:bidi w:val="0"/>
              <w:rPr>
                <w:rFonts w:hint="default"/>
                <w:highlight w:val="none"/>
                <w:lang w:val="en-US" w:eastAsia="zh-CN"/>
              </w:rPr>
            </w:pPr>
            <w:r>
              <w:rPr>
                <w:rFonts w:hint="eastAsia"/>
                <w:highlight w:val="none"/>
                <w:lang w:val="en-US" w:eastAsia="zh-CN"/>
              </w:rPr>
              <w:t>电解逸散</w:t>
            </w:r>
          </w:p>
        </w:tc>
        <w:tc>
          <w:tcPr>
            <w:tcW w:w="784" w:type="pct"/>
            <w:tcBorders>
              <w:top w:val="single" w:color="auto" w:sz="4" w:space="0"/>
              <w:left w:val="single" w:color="auto" w:sz="4" w:space="0"/>
              <w:bottom w:val="single" w:color="auto" w:sz="4" w:space="0"/>
              <w:right w:val="single" w:color="auto" w:sz="4" w:space="0"/>
            </w:tcBorders>
            <w:noWrap w:val="0"/>
            <w:vAlign w:val="center"/>
          </w:tcPr>
          <w:p w14:paraId="4D7272D8">
            <w:pPr>
              <w:pStyle w:val="45"/>
              <w:bidi w:val="0"/>
              <w:rPr>
                <w:rFonts w:hint="default"/>
                <w:highlight w:val="none"/>
                <w:lang w:val="en-US" w:eastAsia="zh-CN"/>
              </w:rPr>
            </w:pPr>
            <w:r>
              <w:rPr>
                <w:rFonts w:hint="eastAsia"/>
                <w:highlight w:val="none"/>
                <w:lang w:val="en-US" w:eastAsia="zh-CN"/>
              </w:rPr>
              <w:t>氯气、氯化氢</w:t>
            </w:r>
          </w:p>
        </w:tc>
        <w:tc>
          <w:tcPr>
            <w:tcW w:w="1735" w:type="pct"/>
            <w:tcBorders>
              <w:top w:val="single" w:color="auto" w:sz="4" w:space="0"/>
              <w:left w:val="single" w:color="auto" w:sz="4" w:space="0"/>
              <w:bottom w:val="single" w:color="auto" w:sz="4" w:space="0"/>
              <w:right w:val="single" w:color="auto" w:sz="4" w:space="0"/>
            </w:tcBorders>
            <w:noWrap w:val="0"/>
            <w:vAlign w:val="center"/>
          </w:tcPr>
          <w:p w14:paraId="5C5587AA">
            <w:pPr>
              <w:pStyle w:val="45"/>
              <w:bidi w:val="0"/>
              <w:rPr>
                <w:rFonts w:hint="eastAsia"/>
                <w:highlight w:val="none"/>
                <w:lang w:val="en-US" w:eastAsia="zh-CN"/>
              </w:rPr>
            </w:pPr>
            <w:r>
              <w:rPr>
                <w:rFonts w:hint="eastAsia"/>
                <w:highlight w:val="none"/>
                <w:lang w:val="en-US" w:eastAsia="zh-CN"/>
              </w:rPr>
              <w:t>一级碱洗+25m高排气筒（DA002）</w:t>
            </w:r>
          </w:p>
        </w:tc>
        <w:tc>
          <w:tcPr>
            <w:tcW w:w="979" w:type="pct"/>
            <w:tcBorders>
              <w:top w:val="single" w:color="auto" w:sz="4" w:space="0"/>
              <w:left w:val="single" w:color="auto" w:sz="4" w:space="0"/>
              <w:bottom w:val="single" w:color="auto" w:sz="4" w:space="0"/>
              <w:right w:val="single" w:color="auto" w:sz="4" w:space="0"/>
            </w:tcBorders>
            <w:noWrap w:val="0"/>
            <w:vAlign w:val="center"/>
          </w:tcPr>
          <w:p w14:paraId="2C707F87">
            <w:pPr>
              <w:pStyle w:val="45"/>
              <w:bidi w:val="0"/>
              <w:rPr>
                <w:rFonts w:hint="eastAsia"/>
                <w:highlight w:val="none"/>
                <w:lang w:val="en-US" w:eastAsia="zh-CN"/>
              </w:rPr>
            </w:pPr>
            <w:r>
              <w:rPr>
                <w:rFonts w:hint="eastAsia"/>
                <w:highlight w:val="none"/>
                <w:lang w:val="en-US" w:eastAsia="zh-CN"/>
              </w:rPr>
              <w:t>是</w:t>
            </w:r>
          </w:p>
        </w:tc>
      </w:tr>
      <w:tr w14:paraId="04534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365" w:type="pct"/>
            <w:vMerge w:val="restart"/>
            <w:tcBorders>
              <w:top w:val="single" w:color="auto" w:sz="4" w:space="0"/>
              <w:left w:val="single" w:color="auto" w:sz="4" w:space="0"/>
              <w:right w:val="single" w:color="auto" w:sz="4" w:space="0"/>
            </w:tcBorders>
            <w:noWrap w:val="0"/>
            <w:tcMar>
              <w:top w:w="15" w:type="dxa"/>
              <w:left w:w="15" w:type="dxa"/>
              <w:bottom w:w="0" w:type="dxa"/>
              <w:right w:w="15" w:type="dxa"/>
            </w:tcMar>
            <w:vAlign w:val="center"/>
          </w:tcPr>
          <w:p w14:paraId="7D629C91">
            <w:pPr>
              <w:pStyle w:val="45"/>
              <w:bidi w:val="0"/>
              <w:rPr>
                <w:rFonts w:hint="default"/>
                <w:highlight w:val="none"/>
                <w:lang w:val="en-US" w:eastAsia="zh-CN"/>
              </w:rPr>
            </w:pPr>
            <w:r>
              <w:rPr>
                <w:rFonts w:hint="eastAsia"/>
                <w:highlight w:val="none"/>
                <w:lang w:val="en-US" w:eastAsia="zh-CN"/>
              </w:rPr>
              <w:t>二次电解装置</w:t>
            </w:r>
          </w:p>
        </w:tc>
        <w:tc>
          <w:tcPr>
            <w:tcW w:w="676" w:type="pct"/>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14:paraId="7418DE5E">
            <w:pPr>
              <w:pStyle w:val="45"/>
              <w:bidi w:val="0"/>
              <w:rPr>
                <w:rFonts w:hint="default"/>
                <w:highlight w:val="none"/>
                <w:lang w:val="en-US" w:eastAsia="zh-CN"/>
              </w:rPr>
            </w:pPr>
            <w:r>
              <w:rPr>
                <w:rFonts w:hint="eastAsia"/>
                <w:highlight w:val="none"/>
                <w:lang w:val="en-US" w:eastAsia="zh-CN"/>
              </w:rPr>
              <w:t>二次电解尾气1</w:t>
            </w:r>
          </w:p>
        </w:tc>
        <w:tc>
          <w:tcPr>
            <w:tcW w:w="459" w:type="pct"/>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14:paraId="27C3F2E0">
            <w:pPr>
              <w:pStyle w:val="45"/>
              <w:bidi w:val="0"/>
              <w:rPr>
                <w:rFonts w:hint="default"/>
                <w:highlight w:val="none"/>
                <w:lang w:val="en-US" w:eastAsia="zh-CN"/>
              </w:rPr>
            </w:pPr>
            <w:r>
              <w:rPr>
                <w:rFonts w:hint="eastAsia"/>
                <w:highlight w:val="none"/>
                <w:lang w:val="en-US" w:eastAsia="zh-CN"/>
              </w:rPr>
              <w:t>电解反应</w:t>
            </w:r>
          </w:p>
        </w:tc>
        <w:tc>
          <w:tcPr>
            <w:tcW w:w="784" w:type="pct"/>
            <w:tcBorders>
              <w:top w:val="single" w:color="auto" w:sz="4" w:space="0"/>
              <w:left w:val="single" w:color="auto" w:sz="4" w:space="0"/>
              <w:bottom w:val="single" w:color="auto" w:sz="4" w:space="0"/>
              <w:right w:val="single" w:color="auto" w:sz="4" w:space="0"/>
            </w:tcBorders>
            <w:noWrap w:val="0"/>
            <w:vAlign w:val="center"/>
          </w:tcPr>
          <w:p w14:paraId="26C64BFF">
            <w:pPr>
              <w:pStyle w:val="45"/>
              <w:bidi w:val="0"/>
              <w:rPr>
                <w:rFonts w:hint="default"/>
                <w:highlight w:val="none"/>
                <w:lang w:val="en-US" w:eastAsia="zh-CN"/>
              </w:rPr>
            </w:pPr>
            <w:r>
              <w:rPr>
                <w:rFonts w:hint="eastAsia"/>
                <w:highlight w:val="none"/>
                <w:lang w:val="en-US" w:eastAsia="zh-CN"/>
              </w:rPr>
              <w:t>氯气、氯化氢</w:t>
            </w:r>
          </w:p>
        </w:tc>
        <w:tc>
          <w:tcPr>
            <w:tcW w:w="1735" w:type="pct"/>
            <w:tcBorders>
              <w:top w:val="single" w:color="auto" w:sz="4" w:space="0"/>
              <w:left w:val="single" w:color="auto" w:sz="4" w:space="0"/>
              <w:bottom w:val="single" w:color="auto" w:sz="4" w:space="0"/>
              <w:right w:val="single" w:color="auto" w:sz="4" w:space="0"/>
            </w:tcBorders>
            <w:noWrap w:val="0"/>
            <w:vAlign w:val="center"/>
          </w:tcPr>
          <w:p w14:paraId="17BB4B27">
            <w:pPr>
              <w:pStyle w:val="45"/>
              <w:bidi w:val="0"/>
              <w:rPr>
                <w:rFonts w:hint="eastAsia"/>
                <w:highlight w:val="none"/>
                <w:lang w:val="en-US" w:eastAsia="zh-CN"/>
              </w:rPr>
            </w:pPr>
            <w:r>
              <w:rPr>
                <w:rFonts w:hint="eastAsia"/>
                <w:highlight w:val="none"/>
                <w:lang w:val="en-US" w:eastAsia="zh-CN"/>
              </w:rPr>
              <w:t>一级碱洗+25m高排气筒（DA003）</w:t>
            </w:r>
          </w:p>
        </w:tc>
        <w:tc>
          <w:tcPr>
            <w:tcW w:w="979" w:type="pct"/>
            <w:tcBorders>
              <w:top w:val="single" w:color="auto" w:sz="4" w:space="0"/>
              <w:left w:val="single" w:color="auto" w:sz="4" w:space="0"/>
              <w:bottom w:val="single" w:color="auto" w:sz="4" w:space="0"/>
              <w:right w:val="single" w:color="auto" w:sz="4" w:space="0"/>
            </w:tcBorders>
            <w:noWrap w:val="0"/>
            <w:vAlign w:val="center"/>
          </w:tcPr>
          <w:p w14:paraId="184CD222">
            <w:pPr>
              <w:pStyle w:val="45"/>
              <w:bidi w:val="0"/>
              <w:rPr>
                <w:rFonts w:hint="eastAsia"/>
                <w:highlight w:val="none"/>
                <w:lang w:val="en-US" w:eastAsia="zh-CN"/>
              </w:rPr>
            </w:pPr>
            <w:r>
              <w:rPr>
                <w:rFonts w:hint="eastAsia"/>
                <w:highlight w:val="none"/>
                <w:lang w:val="en-US" w:eastAsia="zh-CN"/>
              </w:rPr>
              <w:t>是</w:t>
            </w:r>
          </w:p>
        </w:tc>
      </w:tr>
      <w:tr w14:paraId="01383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365" w:type="pct"/>
            <w:vMerge w:val="continue"/>
            <w:tcBorders>
              <w:left w:val="single" w:color="auto" w:sz="4" w:space="0"/>
              <w:bottom w:val="single" w:color="auto" w:sz="4" w:space="0"/>
              <w:right w:val="single" w:color="auto" w:sz="4" w:space="0"/>
            </w:tcBorders>
            <w:noWrap w:val="0"/>
            <w:tcMar>
              <w:top w:w="15" w:type="dxa"/>
              <w:left w:w="15" w:type="dxa"/>
              <w:bottom w:w="0" w:type="dxa"/>
              <w:right w:w="15" w:type="dxa"/>
            </w:tcMar>
            <w:vAlign w:val="center"/>
          </w:tcPr>
          <w:p w14:paraId="0E9F45B4">
            <w:pPr>
              <w:pStyle w:val="45"/>
              <w:bidi w:val="0"/>
              <w:rPr>
                <w:rFonts w:hint="eastAsia"/>
                <w:highlight w:val="none"/>
                <w:lang w:val="en-US" w:eastAsia="zh-CN"/>
              </w:rPr>
            </w:pPr>
          </w:p>
        </w:tc>
        <w:tc>
          <w:tcPr>
            <w:tcW w:w="676" w:type="pct"/>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14:paraId="32FDD625">
            <w:pPr>
              <w:pStyle w:val="45"/>
              <w:bidi w:val="0"/>
              <w:rPr>
                <w:rFonts w:hint="default"/>
                <w:highlight w:val="none"/>
                <w:lang w:val="en-US" w:eastAsia="zh-CN"/>
              </w:rPr>
            </w:pPr>
            <w:r>
              <w:rPr>
                <w:rFonts w:hint="eastAsia"/>
                <w:highlight w:val="none"/>
                <w:lang w:val="en-US" w:eastAsia="zh-CN"/>
              </w:rPr>
              <w:t>二次电解尾气2</w:t>
            </w:r>
          </w:p>
        </w:tc>
        <w:tc>
          <w:tcPr>
            <w:tcW w:w="459" w:type="pct"/>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14:paraId="4B115268">
            <w:pPr>
              <w:pStyle w:val="45"/>
              <w:bidi w:val="0"/>
              <w:rPr>
                <w:rFonts w:hint="default"/>
                <w:highlight w:val="none"/>
                <w:lang w:val="en-US" w:eastAsia="zh-CN"/>
              </w:rPr>
            </w:pPr>
            <w:r>
              <w:rPr>
                <w:rFonts w:hint="eastAsia"/>
                <w:highlight w:val="none"/>
                <w:lang w:val="en-US" w:eastAsia="zh-CN"/>
              </w:rPr>
              <w:t>电解反应</w:t>
            </w:r>
          </w:p>
        </w:tc>
        <w:tc>
          <w:tcPr>
            <w:tcW w:w="784" w:type="pct"/>
            <w:tcBorders>
              <w:top w:val="single" w:color="auto" w:sz="4" w:space="0"/>
              <w:left w:val="single" w:color="auto" w:sz="4" w:space="0"/>
              <w:bottom w:val="single" w:color="auto" w:sz="4" w:space="0"/>
              <w:right w:val="single" w:color="auto" w:sz="4" w:space="0"/>
            </w:tcBorders>
            <w:noWrap w:val="0"/>
            <w:vAlign w:val="center"/>
          </w:tcPr>
          <w:p w14:paraId="629EF6CD">
            <w:pPr>
              <w:pStyle w:val="45"/>
              <w:bidi w:val="0"/>
              <w:rPr>
                <w:rFonts w:hint="default"/>
                <w:highlight w:val="none"/>
                <w:lang w:val="en-US" w:eastAsia="zh-CN"/>
              </w:rPr>
            </w:pPr>
            <w:r>
              <w:rPr>
                <w:rFonts w:hint="eastAsia"/>
                <w:highlight w:val="none"/>
                <w:lang w:val="en-US" w:eastAsia="zh-CN"/>
              </w:rPr>
              <w:t>氯气、氯化氢</w:t>
            </w:r>
          </w:p>
        </w:tc>
        <w:tc>
          <w:tcPr>
            <w:tcW w:w="1735" w:type="pct"/>
            <w:tcBorders>
              <w:top w:val="single" w:color="auto" w:sz="4" w:space="0"/>
              <w:left w:val="single" w:color="auto" w:sz="4" w:space="0"/>
              <w:bottom w:val="single" w:color="auto" w:sz="4" w:space="0"/>
              <w:right w:val="single" w:color="auto" w:sz="4" w:space="0"/>
            </w:tcBorders>
            <w:noWrap w:val="0"/>
            <w:vAlign w:val="center"/>
          </w:tcPr>
          <w:p w14:paraId="203A0B14">
            <w:pPr>
              <w:pStyle w:val="45"/>
              <w:bidi w:val="0"/>
              <w:rPr>
                <w:rFonts w:hint="eastAsia"/>
                <w:highlight w:val="none"/>
                <w:lang w:val="en-US" w:eastAsia="zh-CN"/>
              </w:rPr>
            </w:pPr>
            <w:r>
              <w:rPr>
                <w:rFonts w:hint="eastAsia"/>
                <w:highlight w:val="none"/>
                <w:lang w:val="en-US" w:eastAsia="zh-CN"/>
              </w:rPr>
              <w:t>一级碱洗+25m高排气筒（DA004）</w:t>
            </w:r>
          </w:p>
        </w:tc>
        <w:tc>
          <w:tcPr>
            <w:tcW w:w="979" w:type="pct"/>
            <w:tcBorders>
              <w:top w:val="single" w:color="auto" w:sz="4" w:space="0"/>
              <w:left w:val="single" w:color="auto" w:sz="4" w:space="0"/>
              <w:bottom w:val="single" w:color="auto" w:sz="4" w:space="0"/>
              <w:right w:val="single" w:color="auto" w:sz="4" w:space="0"/>
            </w:tcBorders>
            <w:noWrap w:val="0"/>
            <w:vAlign w:val="center"/>
          </w:tcPr>
          <w:p w14:paraId="011491A9">
            <w:pPr>
              <w:pStyle w:val="45"/>
              <w:bidi w:val="0"/>
              <w:rPr>
                <w:rFonts w:hint="eastAsia"/>
                <w:highlight w:val="none"/>
                <w:lang w:val="en-US" w:eastAsia="zh-CN"/>
              </w:rPr>
            </w:pPr>
            <w:r>
              <w:rPr>
                <w:rFonts w:hint="eastAsia"/>
                <w:highlight w:val="none"/>
                <w:lang w:val="en-US" w:eastAsia="zh-CN"/>
              </w:rPr>
              <w:t>是</w:t>
            </w:r>
          </w:p>
        </w:tc>
      </w:tr>
      <w:tr w14:paraId="2AE58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365" w:type="pct"/>
            <w:vMerge w:val="restart"/>
            <w:tcBorders>
              <w:top w:val="single" w:color="auto" w:sz="4" w:space="0"/>
              <w:left w:val="single" w:color="auto" w:sz="4" w:space="0"/>
              <w:right w:val="single" w:color="auto" w:sz="4" w:space="0"/>
            </w:tcBorders>
            <w:noWrap w:val="0"/>
            <w:tcMar>
              <w:top w:w="15" w:type="dxa"/>
              <w:left w:w="15" w:type="dxa"/>
              <w:bottom w:w="0" w:type="dxa"/>
              <w:right w:w="15" w:type="dxa"/>
            </w:tcMar>
            <w:vAlign w:val="center"/>
          </w:tcPr>
          <w:p w14:paraId="5AA8D2B8">
            <w:pPr>
              <w:pStyle w:val="45"/>
              <w:bidi w:val="0"/>
              <w:rPr>
                <w:rFonts w:hint="default"/>
                <w:highlight w:val="none"/>
                <w:lang w:val="en-US" w:eastAsia="zh-CN"/>
              </w:rPr>
            </w:pPr>
            <w:r>
              <w:rPr>
                <w:rFonts w:hint="eastAsia"/>
                <w:highlight w:val="none"/>
                <w:lang w:val="en-US" w:eastAsia="zh-CN"/>
              </w:rPr>
              <w:t>复分解装置</w:t>
            </w:r>
          </w:p>
        </w:tc>
        <w:tc>
          <w:tcPr>
            <w:tcW w:w="676" w:type="pct"/>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14:paraId="09C05F66">
            <w:pPr>
              <w:pStyle w:val="45"/>
              <w:bidi w:val="0"/>
              <w:rPr>
                <w:rFonts w:hint="default"/>
                <w:highlight w:val="none"/>
                <w:lang w:val="en-US" w:eastAsia="zh-CN"/>
              </w:rPr>
            </w:pPr>
            <w:r>
              <w:rPr>
                <w:rFonts w:hint="eastAsia"/>
                <w:highlight w:val="none"/>
                <w:lang w:val="en-US" w:eastAsia="zh-CN"/>
              </w:rPr>
              <w:t>复分解干燥粉尘1</w:t>
            </w:r>
          </w:p>
        </w:tc>
        <w:tc>
          <w:tcPr>
            <w:tcW w:w="459" w:type="pct"/>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14:paraId="428FA613">
            <w:pPr>
              <w:pStyle w:val="45"/>
              <w:bidi w:val="0"/>
              <w:rPr>
                <w:rFonts w:hint="default"/>
                <w:highlight w:val="none"/>
                <w:lang w:val="en-US" w:eastAsia="zh-CN"/>
              </w:rPr>
            </w:pPr>
            <w:r>
              <w:rPr>
                <w:rFonts w:hint="eastAsia"/>
                <w:highlight w:val="none"/>
                <w:lang w:val="en-US" w:eastAsia="zh-CN"/>
              </w:rPr>
              <w:t>产品干燥</w:t>
            </w:r>
          </w:p>
        </w:tc>
        <w:tc>
          <w:tcPr>
            <w:tcW w:w="784" w:type="pct"/>
            <w:tcBorders>
              <w:top w:val="single" w:color="auto" w:sz="4" w:space="0"/>
              <w:left w:val="single" w:color="auto" w:sz="4" w:space="0"/>
              <w:bottom w:val="single" w:color="auto" w:sz="4" w:space="0"/>
              <w:right w:val="single" w:color="auto" w:sz="4" w:space="0"/>
            </w:tcBorders>
            <w:noWrap w:val="0"/>
            <w:vAlign w:val="center"/>
          </w:tcPr>
          <w:p w14:paraId="2BE6AAFD">
            <w:pPr>
              <w:pStyle w:val="45"/>
              <w:bidi w:val="0"/>
              <w:rPr>
                <w:rFonts w:hint="default"/>
                <w:highlight w:val="none"/>
                <w:lang w:val="en-US" w:eastAsia="zh-CN"/>
              </w:rPr>
            </w:pPr>
            <w:r>
              <w:rPr>
                <w:rFonts w:hint="eastAsia"/>
                <w:highlight w:val="none"/>
                <w:lang w:val="en-US" w:eastAsia="zh-CN"/>
              </w:rPr>
              <w:t>颗粒物</w:t>
            </w:r>
          </w:p>
        </w:tc>
        <w:tc>
          <w:tcPr>
            <w:tcW w:w="1735" w:type="pct"/>
            <w:tcBorders>
              <w:top w:val="single" w:color="auto" w:sz="4" w:space="0"/>
              <w:left w:val="single" w:color="auto" w:sz="4" w:space="0"/>
              <w:bottom w:val="single" w:color="auto" w:sz="4" w:space="0"/>
              <w:right w:val="single" w:color="auto" w:sz="4" w:space="0"/>
            </w:tcBorders>
            <w:noWrap w:val="0"/>
            <w:vAlign w:val="center"/>
          </w:tcPr>
          <w:p w14:paraId="04423DC7">
            <w:pPr>
              <w:pStyle w:val="45"/>
              <w:bidi w:val="0"/>
              <w:rPr>
                <w:rFonts w:hint="default"/>
                <w:highlight w:val="none"/>
                <w:lang w:val="en-US" w:eastAsia="zh-CN"/>
              </w:rPr>
            </w:pPr>
            <w:r>
              <w:rPr>
                <w:rFonts w:hint="eastAsia"/>
                <w:highlight w:val="none"/>
                <w:lang w:val="en-US" w:eastAsia="zh-CN"/>
              </w:rPr>
              <w:t>二次布袋除尘+15m高排气筒（DA005）</w:t>
            </w:r>
          </w:p>
        </w:tc>
        <w:tc>
          <w:tcPr>
            <w:tcW w:w="979" w:type="pct"/>
            <w:tcBorders>
              <w:top w:val="single" w:color="auto" w:sz="4" w:space="0"/>
              <w:left w:val="single" w:color="auto" w:sz="4" w:space="0"/>
              <w:bottom w:val="single" w:color="auto" w:sz="4" w:space="0"/>
              <w:right w:val="single" w:color="auto" w:sz="4" w:space="0"/>
            </w:tcBorders>
            <w:noWrap w:val="0"/>
            <w:vAlign w:val="center"/>
          </w:tcPr>
          <w:p w14:paraId="1CFAF709">
            <w:pPr>
              <w:pStyle w:val="45"/>
              <w:bidi w:val="0"/>
              <w:rPr>
                <w:rFonts w:hint="eastAsia"/>
                <w:highlight w:val="none"/>
                <w:lang w:val="en-US" w:eastAsia="zh-CN"/>
              </w:rPr>
            </w:pPr>
            <w:r>
              <w:rPr>
                <w:rFonts w:hint="eastAsia"/>
                <w:highlight w:val="none"/>
                <w:lang w:val="en-US" w:eastAsia="zh-CN"/>
              </w:rPr>
              <w:t>是</w:t>
            </w:r>
          </w:p>
        </w:tc>
      </w:tr>
      <w:tr w14:paraId="0B665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365" w:type="pct"/>
            <w:vMerge w:val="continue"/>
            <w:tcBorders>
              <w:left w:val="single" w:color="auto" w:sz="4" w:space="0"/>
              <w:bottom w:val="single" w:color="auto" w:sz="4" w:space="0"/>
              <w:right w:val="single" w:color="auto" w:sz="4" w:space="0"/>
            </w:tcBorders>
            <w:noWrap w:val="0"/>
            <w:tcMar>
              <w:top w:w="15" w:type="dxa"/>
              <w:left w:w="15" w:type="dxa"/>
              <w:bottom w:w="0" w:type="dxa"/>
              <w:right w:w="15" w:type="dxa"/>
            </w:tcMar>
            <w:vAlign w:val="center"/>
          </w:tcPr>
          <w:p w14:paraId="77067103">
            <w:pPr>
              <w:pStyle w:val="45"/>
              <w:bidi w:val="0"/>
              <w:rPr>
                <w:rFonts w:hint="eastAsia"/>
                <w:highlight w:val="none"/>
                <w:lang w:val="en-US" w:eastAsia="zh-CN"/>
              </w:rPr>
            </w:pPr>
          </w:p>
        </w:tc>
        <w:tc>
          <w:tcPr>
            <w:tcW w:w="676" w:type="pct"/>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14:paraId="3AE99FA4">
            <w:pPr>
              <w:pStyle w:val="45"/>
              <w:bidi w:val="0"/>
              <w:rPr>
                <w:rFonts w:hint="default"/>
                <w:highlight w:val="none"/>
                <w:lang w:val="en-US" w:eastAsia="zh-CN"/>
              </w:rPr>
            </w:pPr>
            <w:r>
              <w:rPr>
                <w:rFonts w:hint="eastAsia"/>
                <w:highlight w:val="none"/>
                <w:lang w:val="en-US" w:eastAsia="zh-CN"/>
              </w:rPr>
              <w:t>复分解干燥粉尘2</w:t>
            </w:r>
          </w:p>
        </w:tc>
        <w:tc>
          <w:tcPr>
            <w:tcW w:w="459" w:type="pct"/>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14:paraId="36C6EC84">
            <w:pPr>
              <w:pStyle w:val="45"/>
              <w:bidi w:val="0"/>
              <w:rPr>
                <w:rFonts w:hint="default"/>
                <w:highlight w:val="none"/>
                <w:lang w:val="en-US" w:eastAsia="zh-CN"/>
              </w:rPr>
            </w:pPr>
            <w:r>
              <w:rPr>
                <w:rFonts w:hint="eastAsia"/>
                <w:highlight w:val="none"/>
                <w:lang w:val="en-US" w:eastAsia="zh-CN"/>
              </w:rPr>
              <w:t>产品干燥</w:t>
            </w:r>
          </w:p>
        </w:tc>
        <w:tc>
          <w:tcPr>
            <w:tcW w:w="784" w:type="pct"/>
            <w:tcBorders>
              <w:top w:val="single" w:color="auto" w:sz="4" w:space="0"/>
              <w:left w:val="single" w:color="auto" w:sz="4" w:space="0"/>
              <w:bottom w:val="single" w:color="auto" w:sz="4" w:space="0"/>
              <w:right w:val="single" w:color="auto" w:sz="4" w:space="0"/>
            </w:tcBorders>
            <w:noWrap w:val="0"/>
            <w:vAlign w:val="center"/>
          </w:tcPr>
          <w:p w14:paraId="0EF537AD">
            <w:pPr>
              <w:pStyle w:val="45"/>
              <w:bidi w:val="0"/>
              <w:rPr>
                <w:rFonts w:hint="default"/>
                <w:highlight w:val="none"/>
                <w:lang w:val="en-US" w:eastAsia="zh-CN"/>
              </w:rPr>
            </w:pPr>
            <w:r>
              <w:rPr>
                <w:rFonts w:hint="eastAsia"/>
                <w:highlight w:val="none"/>
                <w:lang w:val="en-US" w:eastAsia="zh-CN"/>
              </w:rPr>
              <w:t>颗粒物</w:t>
            </w:r>
          </w:p>
        </w:tc>
        <w:tc>
          <w:tcPr>
            <w:tcW w:w="1735" w:type="pct"/>
            <w:tcBorders>
              <w:top w:val="single" w:color="auto" w:sz="4" w:space="0"/>
              <w:left w:val="single" w:color="auto" w:sz="4" w:space="0"/>
              <w:bottom w:val="single" w:color="auto" w:sz="4" w:space="0"/>
              <w:right w:val="single" w:color="auto" w:sz="4" w:space="0"/>
            </w:tcBorders>
            <w:noWrap w:val="0"/>
            <w:vAlign w:val="center"/>
          </w:tcPr>
          <w:p w14:paraId="6DB6E879">
            <w:pPr>
              <w:pStyle w:val="45"/>
              <w:bidi w:val="0"/>
              <w:rPr>
                <w:rFonts w:hint="eastAsia"/>
                <w:highlight w:val="none"/>
                <w:lang w:val="en-US" w:eastAsia="zh-CN"/>
              </w:rPr>
            </w:pPr>
            <w:r>
              <w:rPr>
                <w:rFonts w:hint="eastAsia"/>
                <w:highlight w:val="none"/>
                <w:lang w:val="en-US" w:eastAsia="zh-CN"/>
              </w:rPr>
              <w:t>二次布袋除尘+15m高排气筒（DA006）</w:t>
            </w:r>
          </w:p>
        </w:tc>
        <w:tc>
          <w:tcPr>
            <w:tcW w:w="979" w:type="pct"/>
            <w:tcBorders>
              <w:top w:val="single" w:color="auto" w:sz="4" w:space="0"/>
              <w:left w:val="single" w:color="auto" w:sz="4" w:space="0"/>
              <w:bottom w:val="single" w:color="auto" w:sz="4" w:space="0"/>
              <w:right w:val="single" w:color="auto" w:sz="4" w:space="0"/>
            </w:tcBorders>
            <w:noWrap w:val="0"/>
            <w:vAlign w:val="center"/>
          </w:tcPr>
          <w:p w14:paraId="5755D88E">
            <w:pPr>
              <w:pStyle w:val="45"/>
              <w:bidi w:val="0"/>
              <w:rPr>
                <w:rFonts w:hint="eastAsia"/>
                <w:highlight w:val="none"/>
                <w:lang w:val="en-US" w:eastAsia="zh-CN"/>
              </w:rPr>
            </w:pPr>
            <w:r>
              <w:rPr>
                <w:rFonts w:hint="eastAsia"/>
                <w:highlight w:val="none"/>
                <w:lang w:val="en-US" w:eastAsia="zh-CN"/>
              </w:rPr>
              <w:t>是</w:t>
            </w:r>
          </w:p>
        </w:tc>
      </w:tr>
      <w:tr w14:paraId="1C7F8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7" w:hRule="atLeast"/>
          <w:jc w:val="center"/>
        </w:trPr>
        <w:tc>
          <w:tcPr>
            <w:tcW w:w="365" w:type="pct"/>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14:paraId="2C024CB4">
            <w:pPr>
              <w:pStyle w:val="45"/>
              <w:bidi w:val="0"/>
              <w:rPr>
                <w:rFonts w:hint="default"/>
                <w:highlight w:val="none"/>
                <w:lang w:val="en-US" w:eastAsia="zh-CN"/>
              </w:rPr>
            </w:pPr>
            <w:r>
              <w:rPr>
                <w:rFonts w:hint="eastAsia"/>
                <w:highlight w:val="none"/>
                <w:lang w:val="en-US" w:eastAsia="zh-CN"/>
              </w:rPr>
              <w:t>锂盐生产装置</w:t>
            </w:r>
          </w:p>
        </w:tc>
        <w:tc>
          <w:tcPr>
            <w:tcW w:w="676" w:type="pct"/>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14:paraId="18C7F6D5">
            <w:pPr>
              <w:pStyle w:val="45"/>
              <w:bidi w:val="0"/>
              <w:rPr>
                <w:rFonts w:hint="default"/>
                <w:highlight w:val="none"/>
                <w:lang w:val="en-US" w:eastAsia="zh-CN"/>
              </w:rPr>
            </w:pPr>
            <w:r>
              <w:rPr>
                <w:rFonts w:hint="eastAsia"/>
                <w:highlight w:val="none"/>
                <w:lang w:val="en-US" w:eastAsia="zh-CN"/>
              </w:rPr>
              <w:t>锂盐中和尾气</w:t>
            </w:r>
          </w:p>
        </w:tc>
        <w:tc>
          <w:tcPr>
            <w:tcW w:w="459" w:type="pct"/>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14:paraId="1633B6B7">
            <w:pPr>
              <w:pStyle w:val="45"/>
              <w:bidi w:val="0"/>
              <w:rPr>
                <w:rFonts w:hint="eastAsia"/>
                <w:highlight w:val="none"/>
                <w:lang w:val="en-US" w:eastAsia="zh-CN"/>
              </w:rPr>
            </w:pPr>
            <w:r>
              <w:rPr>
                <w:rFonts w:hint="eastAsia"/>
                <w:highlight w:val="none"/>
                <w:lang w:val="en-US" w:eastAsia="zh-CN"/>
              </w:rPr>
              <w:t>中和</w:t>
            </w:r>
          </w:p>
        </w:tc>
        <w:tc>
          <w:tcPr>
            <w:tcW w:w="784" w:type="pct"/>
            <w:tcBorders>
              <w:top w:val="single" w:color="auto" w:sz="4" w:space="0"/>
              <w:left w:val="single" w:color="auto" w:sz="4" w:space="0"/>
              <w:bottom w:val="single" w:color="auto" w:sz="4" w:space="0"/>
              <w:right w:val="single" w:color="auto" w:sz="4" w:space="0"/>
            </w:tcBorders>
            <w:noWrap w:val="0"/>
            <w:vAlign w:val="center"/>
          </w:tcPr>
          <w:p w14:paraId="7CD3652E">
            <w:pPr>
              <w:pStyle w:val="45"/>
              <w:bidi w:val="0"/>
              <w:rPr>
                <w:rFonts w:hint="default"/>
                <w:highlight w:val="none"/>
                <w:lang w:val="en-US" w:eastAsia="zh-CN"/>
              </w:rPr>
            </w:pPr>
            <w:r>
              <w:rPr>
                <w:rFonts w:hint="eastAsia"/>
                <w:highlight w:val="none"/>
                <w:lang w:val="en-US" w:eastAsia="zh-CN"/>
              </w:rPr>
              <w:t>氯化氢</w:t>
            </w:r>
          </w:p>
        </w:tc>
        <w:tc>
          <w:tcPr>
            <w:tcW w:w="1735" w:type="pct"/>
            <w:tcBorders>
              <w:top w:val="single" w:color="auto" w:sz="4" w:space="0"/>
              <w:left w:val="single" w:color="auto" w:sz="4" w:space="0"/>
              <w:bottom w:val="single" w:color="auto" w:sz="4" w:space="0"/>
              <w:right w:val="single" w:color="auto" w:sz="4" w:space="0"/>
            </w:tcBorders>
            <w:noWrap w:val="0"/>
            <w:vAlign w:val="center"/>
          </w:tcPr>
          <w:p w14:paraId="43327E2A">
            <w:pPr>
              <w:pStyle w:val="45"/>
              <w:bidi w:val="0"/>
              <w:rPr>
                <w:rFonts w:hint="eastAsia"/>
                <w:highlight w:val="none"/>
                <w:lang w:val="en-US" w:eastAsia="zh-CN"/>
              </w:rPr>
            </w:pPr>
            <w:r>
              <w:rPr>
                <w:rFonts w:hint="eastAsia"/>
                <w:highlight w:val="none"/>
                <w:lang w:val="en-US" w:eastAsia="zh-CN"/>
              </w:rPr>
              <w:t>一级碱洗+15m高排气筒（DA007）</w:t>
            </w:r>
          </w:p>
        </w:tc>
        <w:tc>
          <w:tcPr>
            <w:tcW w:w="979" w:type="pct"/>
            <w:tcBorders>
              <w:top w:val="single" w:color="auto" w:sz="4" w:space="0"/>
              <w:left w:val="single" w:color="auto" w:sz="4" w:space="0"/>
              <w:bottom w:val="single" w:color="auto" w:sz="4" w:space="0"/>
              <w:right w:val="single" w:color="auto" w:sz="4" w:space="0"/>
            </w:tcBorders>
            <w:noWrap w:val="0"/>
            <w:vAlign w:val="center"/>
          </w:tcPr>
          <w:p w14:paraId="5F66739D">
            <w:pPr>
              <w:pStyle w:val="45"/>
              <w:bidi w:val="0"/>
              <w:rPr>
                <w:rFonts w:hint="eastAsia"/>
                <w:highlight w:val="none"/>
                <w:lang w:val="en-US" w:eastAsia="zh-CN"/>
              </w:rPr>
            </w:pPr>
            <w:r>
              <w:rPr>
                <w:rFonts w:hint="eastAsia"/>
                <w:highlight w:val="none"/>
                <w:lang w:val="en-US" w:eastAsia="zh-CN"/>
              </w:rPr>
              <w:t>是</w:t>
            </w:r>
          </w:p>
        </w:tc>
      </w:tr>
    </w:tbl>
    <w:p w14:paraId="48C90B3C">
      <w:pPr>
        <w:keepNext/>
        <w:numPr>
          <w:ilvl w:val="0"/>
          <w:numId w:val="0"/>
        </w:numPr>
        <w:tabs>
          <w:tab w:val="left" w:pos="420"/>
        </w:tabs>
        <w:snapToGrid w:val="0"/>
        <w:spacing w:line="240" w:lineRule="auto"/>
        <w:jc w:val="both"/>
        <w:rPr>
          <w:b/>
          <w:bCs/>
          <w:sz w:val="21"/>
          <w:szCs w:val="21"/>
          <w:highlight w:val="yellow"/>
        </w:rPr>
      </w:pPr>
    </w:p>
    <w:p w14:paraId="44436416">
      <w:pPr>
        <w:bidi w:val="0"/>
      </w:pPr>
      <w:r>
        <w:rPr>
          <w:rFonts w:hint="eastAsia"/>
        </w:rPr>
        <w:t>本项目有组织废气排气筒参数</w:t>
      </w:r>
      <w:r>
        <w:rPr>
          <w:rFonts w:hint="eastAsia"/>
          <w:lang w:val="en-US" w:eastAsia="zh-CN"/>
        </w:rPr>
        <w:t>汇总情况</w:t>
      </w:r>
      <w:r>
        <w:rPr>
          <w:rFonts w:hint="eastAsia"/>
        </w:rPr>
        <w:t>见下表。</w:t>
      </w:r>
    </w:p>
    <w:p w14:paraId="4C7BF6DB">
      <w:pPr>
        <w:keepNext/>
        <w:numPr>
          <w:ilvl w:val="5"/>
          <w:numId w:val="1"/>
        </w:numPr>
        <w:snapToGrid w:val="0"/>
        <w:spacing w:line="240" w:lineRule="auto"/>
        <w:ind w:firstLine="420" w:firstLineChars="0"/>
        <w:jc w:val="center"/>
        <w:rPr>
          <w:b/>
          <w:bCs/>
          <w:sz w:val="21"/>
          <w:szCs w:val="21"/>
          <w:highlight w:val="none"/>
        </w:rPr>
      </w:pPr>
      <w:r>
        <w:rPr>
          <w:rFonts w:hint="eastAsia"/>
          <w:b/>
          <w:bCs/>
          <w:sz w:val="21"/>
          <w:szCs w:val="21"/>
          <w:highlight w:val="none"/>
        </w:rPr>
        <w:t>有组织废气排气筒参数一览表</w:t>
      </w:r>
    </w:p>
    <w:tbl>
      <w:tblPr>
        <w:tblStyle w:val="32"/>
        <w:tblW w:w="4998" w:type="pct"/>
        <w:tblInd w:w="0" w:type="dxa"/>
        <w:tblLayout w:type="autofit"/>
        <w:tblCellMar>
          <w:top w:w="0" w:type="dxa"/>
          <w:left w:w="108" w:type="dxa"/>
          <w:bottom w:w="0" w:type="dxa"/>
          <w:right w:w="108" w:type="dxa"/>
        </w:tblCellMar>
      </w:tblPr>
      <w:tblGrid>
        <w:gridCol w:w="2061"/>
        <w:gridCol w:w="1390"/>
        <w:gridCol w:w="2141"/>
        <w:gridCol w:w="1313"/>
        <w:gridCol w:w="1415"/>
        <w:gridCol w:w="1316"/>
        <w:gridCol w:w="1736"/>
        <w:gridCol w:w="2796"/>
      </w:tblGrid>
      <w:tr w14:paraId="4C76A0F0">
        <w:trPr>
          <w:trHeight w:val="90" w:hRule="atLeast"/>
          <w:tblHeader/>
        </w:trPr>
        <w:tc>
          <w:tcPr>
            <w:tcW w:w="7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2462BB">
            <w:pPr>
              <w:pStyle w:val="45"/>
              <w:rPr>
                <w:rFonts w:hint="default"/>
                <w:b/>
                <w:bCs/>
                <w:highlight w:val="none"/>
              </w:rPr>
            </w:pPr>
            <w:r>
              <w:rPr>
                <w:b/>
                <w:bCs/>
                <w:highlight w:val="none"/>
              </w:rPr>
              <w:t>污染源</w:t>
            </w:r>
          </w:p>
        </w:tc>
        <w:tc>
          <w:tcPr>
            <w:tcW w:w="4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42CFF5">
            <w:pPr>
              <w:pStyle w:val="45"/>
              <w:rPr>
                <w:rFonts w:hint="default"/>
                <w:b/>
                <w:bCs/>
                <w:highlight w:val="none"/>
              </w:rPr>
            </w:pPr>
            <w:r>
              <w:rPr>
                <w:b/>
                <w:bCs/>
                <w:highlight w:val="none"/>
              </w:rPr>
              <w:t>排气筒编号</w:t>
            </w:r>
          </w:p>
        </w:tc>
        <w:tc>
          <w:tcPr>
            <w:tcW w:w="7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8C11F8">
            <w:pPr>
              <w:pStyle w:val="45"/>
              <w:rPr>
                <w:rFonts w:hint="default"/>
                <w:b/>
                <w:bCs/>
                <w:highlight w:val="none"/>
              </w:rPr>
            </w:pPr>
            <w:r>
              <w:rPr>
                <w:b/>
                <w:bCs/>
                <w:highlight w:val="none"/>
              </w:rPr>
              <w:t>污染物</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7BBB1E">
            <w:pPr>
              <w:pStyle w:val="45"/>
              <w:rPr>
                <w:rFonts w:hint="default"/>
                <w:b/>
                <w:bCs/>
                <w:highlight w:val="none"/>
              </w:rPr>
            </w:pPr>
            <w:r>
              <w:rPr>
                <w:b/>
                <w:bCs/>
                <w:highlight w:val="none"/>
              </w:rPr>
              <w:t>高度（m</w:t>
            </w:r>
            <w:r>
              <w:rPr>
                <w:rFonts w:hint="eastAsia"/>
                <w:b/>
                <w:bCs/>
                <w:highlight w:val="none"/>
                <w:lang w:eastAsia="zh-CN"/>
              </w:rPr>
              <w:t>）</w:t>
            </w:r>
          </w:p>
        </w:tc>
        <w:tc>
          <w:tcPr>
            <w:tcW w:w="4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7203D0">
            <w:pPr>
              <w:pStyle w:val="45"/>
              <w:rPr>
                <w:rFonts w:hint="default"/>
                <w:b/>
                <w:bCs/>
                <w:highlight w:val="none"/>
              </w:rPr>
            </w:pPr>
            <w:r>
              <w:rPr>
                <w:b/>
                <w:bCs/>
                <w:highlight w:val="none"/>
              </w:rPr>
              <w:t>内径（m）</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2E58D9">
            <w:pPr>
              <w:pStyle w:val="45"/>
              <w:rPr>
                <w:rFonts w:hint="default"/>
                <w:b/>
                <w:bCs/>
                <w:highlight w:val="none"/>
              </w:rPr>
            </w:pPr>
            <w:r>
              <w:rPr>
                <w:b/>
                <w:bCs/>
                <w:highlight w:val="none"/>
              </w:rPr>
              <w:t>温度（℃）</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F7372B">
            <w:pPr>
              <w:pStyle w:val="45"/>
              <w:rPr>
                <w:rFonts w:hint="default"/>
                <w:b/>
                <w:bCs/>
                <w:highlight w:val="none"/>
              </w:rPr>
            </w:pPr>
            <w:r>
              <w:rPr>
                <w:b/>
                <w:bCs/>
                <w:highlight w:val="none"/>
              </w:rPr>
              <w:t>风机风量（m³/h）</w:t>
            </w:r>
          </w:p>
        </w:tc>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283DF1">
            <w:pPr>
              <w:pStyle w:val="45"/>
              <w:rPr>
                <w:rFonts w:hint="default"/>
                <w:b/>
                <w:bCs/>
                <w:highlight w:val="none"/>
              </w:rPr>
            </w:pPr>
            <w:r>
              <w:rPr>
                <w:b/>
                <w:bCs/>
                <w:highlight w:val="none"/>
              </w:rPr>
              <w:t>年工作时间（h）</w:t>
            </w:r>
          </w:p>
        </w:tc>
      </w:tr>
      <w:tr w14:paraId="4C78BA1E">
        <w:tblPrEx>
          <w:tblCellMar>
            <w:top w:w="0" w:type="dxa"/>
            <w:left w:w="108" w:type="dxa"/>
            <w:bottom w:w="0" w:type="dxa"/>
            <w:right w:w="108" w:type="dxa"/>
          </w:tblCellMar>
        </w:tblPrEx>
        <w:trPr>
          <w:trHeight w:val="90" w:hRule="atLeast"/>
        </w:trPr>
        <w:tc>
          <w:tcPr>
            <w:tcW w:w="20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4264AC">
            <w:pPr>
              <w:pStyle w:val="45"/>
              <w:bidi w:val="0"/>
              <w:ind w:firstLine="0" w:firstLineChars="0"/>
              <w:rPr>
                <w:rFonts w:hint="default"/>
                <w:highlight w:val="none"/>
              </w:rPr>
            </w:pPr>
            <w:r>
              <w:rPr>
                <w:rFonts w:hint="eastAsia"/>
                <w:highlight w:val="none"/>
                <w:lang w:val="en-US" w:eastAsia="zh-CN"/>
              </w:rPr>
              <w:t>一次电解尾气</w:t>
            </w:r>
          </w:p>
        </w:tc>
        <w:tc>
          <w:tcPr>
            <w:tcW w:w="4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12224F">
            <w:pPr>
              <w:pStyle w:val="45"/>
              <w:rPr>
                <w:rFonts w:hint="default"/>
                <w:highlight w:val="none"/>
              </w:rPr>
            </w:pPr>
            <w:r>
              <w:rPr>
                <w:highlight w:val="none"/>
              </w:rPr>
              <w:t>DA001</w:t>
            </w:r>
          </w:p>
        </w:tc>
        <w:tc>
          <w:tcPr>
            <w:tcW w:w="7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A6924F">
            <w:pPr>
              <w:pStyle w:val="45"/>
              <w:rPr>
                <w:rFonts w:hint="default"/>
                <w:highlight w:val="none"/>
              </w:rPr>
            </w:pPr>
            <w:r>
              <w:rPr>
                <w:highlight w:val="none"/>
              </w:rPr>
              <w:t>氯气、氯化氢</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8D78C2">
            <w:pPr>
              <w:pStyle w:val="45"/>
              <w:rPr>
                <w:rFonts w:hint="default"/>
                <w:highlight w:val="none"/>
              </w:rPr>
            </w:pPr>
            <w:r>
              <w:rPr>
                <w:highlight w:val="none"/>
              </w:rPr>
              <w:t>25</w:t>
            </w:r>
          </w:p>
        </w:tc>
        <w:tc>
          <w:tcPr>
            <w:tcW w:w="4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40AE54">
            <w:pPr>
              <w:pStyle w:val="45"/>
              <w:rPr>
                <w:rFonts w:hint="default"/>
                <w:highlight w:val="none"/>
              </w:rPr>
            </w:pPr>
            <w:r>
              <w:rPr>
                <w:highlight w:val="none"/>
              </w:rPr>
              <w:t>0.4</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1822BA">
            <w:pPr>
              <w:pStyle w:val="45"/>
              <w:rPr>
                <w:rFonts w:hint="default"/>
                <w:highlight w:val="none"/>
              </w:rPr>
            </w:pPr>
            <w:r>
              <w:rPr>
                <w:highlight w:val="none"/>
              </w:rPr>
              <w:t>25</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9FA24A">
            <w:pPr>
              <w:pStyle w:val="45"/>
              <w:rPr>
                <w:rFonts w:hint="default"/>
                <w:highlight w:val="none"/>
              </w:rPr>
            </w:pPr>
            <w:r>
              <w:rPr>
                <w:highlight w:val="none"/>
              </w:rPr>
              <w:t>2000</w:t>
            </w:r>
          </w:p>
        </w:tc>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BA8C48">
            <w:pPr>
              <w:pStyle w:val="45"/>
              <w:rPr>
                <w:rFonts w:hint="default"/>
                <w:highlight w:val="none"/>
              </w:rPr>
            </w:pPr>
            <w:r>
              <w:rPr>
                <w:highlight w:val="none"/>
              </w:rPr>
              <w:t>7200</w:t>
            </w:r>
          </w:p>
        </w:tc>
      </w:tr>
      <w:tr w14:paraId="787809B9">
        <w:tblPrEx>
          <w:tblCellMar>
            <w:top w:w="0" w:type="dxa"/>
            <w:left w:w="108" w:type="dxa"/>
            <w:bottom w:w="0" w:type="dxa"/>
            <w:right w:w="108" w:type="dxa"/>
          </w:tblCellMar>
        </w:tblPrEx>
        <w:trPr>
          <w:trHeight w:val="90" w:hRule="atLeast"/>
        </w:trPr>
        <w:tc>
          <w:tcPr>
            <w:tcW w:w="20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81B0C8">
            <w:pPr>
              <w:pStyle w:val="45"/>
              <w:bidi w:val="0"/>
              <w:ind w:firstLine="0" w:firstLineChars="0"/>
              <w:rPr>
                <w:rFonts w:hint="default"/>
                <w:highlight w:val="none"/>
              </w:rPr>
            </w:pPr>
            <w:r>
              <w:rPr>
                <w:rFonts w:hint="eastAsia"/>
                <w:highlight w:val="none"/>
                <w:lang w:val="en-US" w:eastAsia="zh-CN"/>
              </w:rPr>
              <w:t>除次钠尾气</w:t>
            </w:r>
          </w:p>
        </w:tc>
        <w:tc>
          <w:tcPr>
            <w:tcW w:w="4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9F12B6">
            <w:pPr>
              <w:pStyle w:val="45"/>
              <w:rPr>
                <w:rFonts w:hint="default"/>
                <w:highlight w:val="none"/>
              </w:rPr>
            </w:pPr>
            <w:r>
              <w:rPr>
                <w:highlight w:val="none"/>
              </w:rPr>
              <w:t>DA002</w:t>
            </w:r>
          </w:p>
        </w:tc>
        <w:tc>
          <w:tcPr>
            <w:tcW w:w="7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CC7382">
            <w:pPr>
              <w:pStyle w:val="45"/>
              <w:rPr>
                <w:rFonts w:hint="default"/>
                <w:highlight w:val="none"/>
              </w:rPr>
            </w:pPr>
            <w:r>
              <w:rPr>
                <w:highlight w:val="none"/>
              </w:rPr>
              <w:t>氯气、氯化氢</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AA47DD">
            <w:pPr>
              <w:pStyle w:val="45"/>
              <w:rPr>
                <w:rFonts w:hint="default"/>
                <w:highlight w:val="none"/>
              </w:rPr>
            </w:pPr>
            <w:r>
              <w:rPr>
                <w:highlight w:val="none"/>
              </w:rPr>
              <w:t>25</w:t>
            </w:r>
          </w:p>
        </w:tc>
        <w:tc>
          <w:tcPr>
            <w:tcW w:w="4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CC3483">
            <w:pPr>
              <w:pStyle w:val="45"/>
              <w:rPr>
                <w:rFonts w:hint="default"/>
                <w:highlight w:val="none"/>
              </w:rPr>
            </w:pPr>
            <w:r>
              <w:rPr>
                <w:highlight w:val="none"/>
              </w:rPr>
              <w:t>0.4</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9D7D2B">
            <w:pPr>
              <w:pStyle w:val="45"/>
              <w:rPr>
                <w:rFonts w:hint="default"/>
                <w:highlight w:val="none"/>
              </w:rPr>
            </w:pPr>
            <w:r>
              <w:rPr>
                <w:highlight w:val="none"/>
              </w:rPr>
              <w:t>25</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3721BD">
            <w:pPr>
              <w:pStyle w:val="45"/>
              <w:rPr>
                <w:rFonts w:hint="default"/>
                <w:highlight w:val="none"/>
              </w:rPr>
            </w:pPr>
            <w:r>
              <w:rPr>
                <w:highlight w:val="none"/>
              </w:rPr>
              <w:t>2000</w:t>
            </w:r>
          </w:p>
        </w:tc>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A269A3">
            <w:pPr>
              <w:pStyle w:val="45"/>
              <w:rPr>
                <w:rFonts w:hint="default"/>
                <w:highlight w:val="none"/>
              </w:rPr>
            </w:pPr>
            <w:r>
              <w:rPr>
                <w:highlight w:val="none"/>
              </w:rPr>
              <w:t>7200</w:t>
            </w:r>
          </w:p>
        </w:tc>
      </w:tr>
      <w:tr w14:paraId="45651011">
        <w:tblPrEx>
          <w:tblCellMar>
            <w:top w:w="0" w:type="dxa"/>
            <w:left w:w="108" w:type="dxa"/>
            <w:bottom w:w="0" w:type="dxa"/>
            <w:right w:w="108" w:type="dxa"/>
          </w:tblCellMar>
        </w:tblPrEx>
        <w:trPr>
          <w:trHeight w:val="90" w:hRule="atLeast"/>
        </w:trPr>
        <w:tc>
          <w:tcPr>
            <w:tcW w:w="20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342DAF">
            <w:pPr>
              <w:pStyle w:val="45"/>
              <w:bidi w:val="0"/>
              <w:ind w:firstLine="0" w:firstLineChars="0"/>
              <w:rPr>
                <w:rFonts w:hint="default"/>
                <w:highlight w:val="none"/>
              </w:rPr>
            </w:pPr>
            <w:r>
              <w:rPr>
                <w:rFonts w:hint="eastAsia"/>
                <w:highlight w:val="none"/>
                <w:lang w:val="en-US" w:eastAsia="zh-CN"/>
              </w:rPr>
              <w:t>二次电解尾气1</w:t>
            </w:r>
          </w:p>
        </w:tc>
        <w:tc>
          <w:tcPr>
            <w:tcW w:w="4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554ABF">
            <w:pPr>
              <w:pStyle w:val="45"/>
              <w:rPr>
                <w:rFonts w:hint="default"/>
                <w:highlight w:val="none"/>
              </w:rPr>
            </w:pPr>
            <w:r>
              <w:rPr>
                <w:highlight w:val="none"/>
              </w:rPr>
              <w:t>DA003</w:t>
            </w:r>
          </w:p>
        </w:tc>
        <w:tc>
          <w:tcPr>
            <w:tcW w:w="7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17CC14">
            <w:pPr>
              <w:pStyle w:val="45"/>
              <w:rPr>
                <w:rFonts w:hint="default"/>
                <w:highlight w:val="none"/>
              </w:rPr>
            </w:pPr>
            <w:r>
              <w:rPr>
                <w:highlight w:val="none"/>
              </w:rPr>
              <w:t>氯气、氯化氢</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832138">
            <w:pPr>
              <w:pStyle w:val="45"/>
              <w:rPr>
                <w:rFonts w:hint="default"/>
                <w:highlight w:val="none"/>
              </w:rPr>
            </w:pPr>
            <w:r>
              <w:rPr>
                <w:highlight w:val="none"/>
              </w:rPr>
              <w:t>25</w:t>
            </w:r>
          </w:p>
        </w:tc>
        <w:tc>
          <w:tcPr>
            <w:tcW w:w="4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B30046">
            <w:pPr>
              <w:pStyle w:val="45"/>
              <w:rPr>
                <w:rFonts w:hint="default"/>
                <w:highlight w:val="none"/>
              </w:rPr>
            </w:pPr>
            <w:r>
              <w:rPr>
                <w:highlight w:val="none"/>
              </w:rPr>
              <w:t>0.4</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E72D89">
            <w:pPr>
              <w:pStyle w:val="45"/>
              <w:rPr>
                <w:rFonts w:hint="default"/>
                <w:highlight w:val="none"/>
              </w:rPr>
            </w:pPr>
            <w:r>
              <w:rPr>
                <w:highlight w:val="none"/>
              </w:rPr>
              <w:t>25</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6CCD73">
            <w:pPr>
              <w:pStyle w:val="45"/>
              <w:rPr>
                <w:rFonts w:hint="default"/>
                <w:highlight w:val="none"/>
              </w:rPr>
            </w:pPr>
            <w:r>
              <w:rPr>
                <w:highlight w:val="none"/>
              </w:rPr>
              <w:t>2000</w:t>
            </w:r>
          </w:p>
        </w:tc>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340D67">
            <w:pPr>
              <w:pStyle w:val="45"/>
              <w:rPr>
                <w:rFonts w:hint="default"/>
                <w:highlight w:val="none"/>
              </w:rPr>
            </w:pPr>
            <w:r>
              <w:rPr>
                <w:highlight w:val="none"/>
              </w:rPr>
              <w:t>7200</w:t>
            </w:r>
          </w:p>
        </w:tc>
      </w:tr>
      <w:tr w14:paraId="5B940016">
        <w:tblPrEx>
          <w:tblCellMar>
            <w:top w:w="0" w:type="dxa"/>
            <w:left w:w="108" w:type="dxa"/>
            <w:bottom w:w="0" w:type="dxa"/>
            <w:right w:w="108" w:type="dxa"/>
          </w:tblCellMar>
        </w:tblPrEx>
        <w:trPr>
          <w:trHeight w:val="90" w:hRule="atLeast"/>
        </w:trPr>
        <w:tc>
          <w:tcPr>
            <w:tcW w:w="20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54D335">
            <w:pPr>
              <w:pStyle w:val="45"/>
              <w:bidi w:val="0"/>
              <w:ind w:firstLine="0" w:firstLineChars="0"/>
              <w:rPr>
                <w:rFonts w:hint="default"/>
                <w:highlight w:val="none"/>
              </w:rPr>
            </w:pPr>
            <w:r>
              <w:rPr>
                <w:rFonts w:hint="eastAsia"/>
                <w:highlight w:val="none"/>
                <w:lang w:val="en-US" w:eastAsia="zh-CN"/>
              </w:rPr>
              <w:t>二次电解尾气2</w:t>
            </w:r>
          </w:p>
        </w:tc>
        <w:tc>
          <w:tcPr>
            <w:tcW w:w="4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AEA537">
            <w:pPr>
              <w:pStyle w:val="45"/>
              <w:rPr>
                <w:rFonts w:hint="default"/>
                <w:highlight w:val="none"/>
              </w:rPr>
            </w:pPr>
            <w:r>
              <w:rPr>
                <w:highlight w:val="none"/>
              </w:rPr>
              <w:t>DA004</w:t>
            </w:r>
          </w:p>
        </w:tc>
        <w:tc>
          <w:tcPr>
            <w:tcW w:w="7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74CD37">
            <w:pPr>
              <w:pStyle w:val="45"/>
              <w:rPr>
                <w:rFonts w:hint="default"/>
                <w:highlight w:val="none"/>
              </w:rPr>
            </w:pPr>
            <w:r>
              <w:rPr>
                <w:highlight w:val="none"/>
              </w:rPr>
              <w:t>氯气、氯化氢</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D451F4">
            <w:pPr>
              <w:pStyle w:val="45"/>
              <w:rPr>
                <w:rFonts w:hint="default"/>
                <w:highlight w:val="none"/>
              </w:rPr>
            </w:pPr>
            <w:r>
              <w:rPr>
                <w:highlight w:val="none"/>
              </w:rPr>
              <w:t>25</w:t>
            </w:r>
          </w:p>
        </w:tc>
        <w:tc>
          <w:tcPr>
            <w:tcW w:w="4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1DBB64">
            <w:pPr>
              <w:pStyle w:val="45"/>
              <w:rPr>
                <w:rFonts w:hint="default"/>
                <w:highlight w:val="none"/>
              </w:rPr>
            </w:pPr>
            <w:r>
              <w:rPr>
                <w:highlight w:val="none"/>
              </w:rPr>
              <w:t>0.4</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963696">
            <w:pPr>
              <w:pStyle w:val="45"/>
              <w:rPr>
                <w:rFonts w:hint="default"/>
                <w:highlight w:val="none"/>
              </w:rPr>
            </w:pPr>
            <w:r>
              <w:rPr>
                <w:highlight w:val="none"/>
              </w:rPr>
              <w:t>25</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129ADF">
            <w:pPr>
              <w:pStyle w:val="45"/>
              <w:rPr>
                <w:rFonts w:hint="default"/>
                <w:highlight w:val="none"/>
              </w:rPr>
            </w:pPr>
            <w:r>
              <w:rPr>
                <w:highlight w:val="none"/>
              </w:rPr>
              <w:t>2000</w:t>
            </w:r>
          </w:p>
        </w:tc>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B7472B">
            <w:pPr>
              <w:pStyle w:val="45"/>
              <w:rPr>
                <w:rFonts w:hint="default"/>
                <w:highlight w:val="none"/>
              </w:rPr>
            </w:pPr>
            <w:r>
              <w:rPr>
                <w:highlight w:val="none"/>
              </w:rPr>
              <w:t>7200</w:t>
            </w:r>
          </w:p>
        </w:tc>
      </w:tr>
      <w:tr w14:paraId="16905FA7">
        <w:tblPrEx>
          <w:tblCellMar>
            <w:top w:w="0" w:type="dxa"/>
            <w:left w:w="108" w:type="dxa"/>
            <w:bottom w:w="0" w:type="dxa"/>
            <w:right w:w="108" w:type="dxa"/>
          </w:tblCellMar>
        </w:tblPrEx>
        <w:trPr>
          <w:trHeight w:val="90" w:hRule="atLeast"/>
        </w:trPr>
        <w:tc>
          <w:tcPr>
            <w:tcW w:w="20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A1C760">
            <w:pPr>
              <w:pStyle w:val="45"/>
              <w:bidi w:val="0"/>
              <w:ind w:firstLine="0" w:firstLineChars="0"/>
              <w:rPr>
                <w:rFonts w:hint="default"/>
                <w:highlight w:val="none"/>
              </w:rPr>
            </w:pPr>
            <w:r>
              <w:rPr>
                <w:rFonts w:hint="eastAsia"/>
                <w:highlight w:val="none"/>
                <w:lang w:val="en-US" w:eastAsia="zh-CN"/>
              </w:rPr>
              <w:t>复分解干燥粉尘1</w:t>
            </w:r>
          </w:p>
        </w:tc>
        <w:tc>
          <w:tcPr>
            <w:tcW w:w="4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DED4EA">
            <w:pPr>
              <w:pStyle w:val="45"/>
              <w:rPr>
                <w:rFonts w:hint="default"/>
                <w:highlight w:val="none"/>
              </w:rPr>
            </w:pPr>
            <w:r>
              <w:rPr>
                <w:highlight w:val="none"/>
              </w:rPr>
              <w:t>DA005</w:t>
            </w:r>
          </w:p>
        </w:tc>
        <w:tc>
          <w:tcPr>
            <w:tcW w:w="7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D1080B">
            <w:pPr>
              <w:pStyle w:val="45"/>
              <w:rPr>
                <w:rFonts w:hint="default"/>
                <w:highlight w:val="none"/>
              </w:rPr>
            </w:pPr>
            <w:r>
              <w:rPr>
                <w:highlight w:val="none"/>
              </w:rPr>
              <w:t>颗粒物</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B2A6CF">
            <w:pPr>
              <w:pStyle w:val="45"/>
              <w:rPr>
                <w:rFonts w:hint="default"/>
                <w:highlight w:val="none"/>
              </w:rPr>
            </w:pPr>
            <w:r>
              <w:rPr>
                <w:highlight w:val="none"/>
              </w:rPr>
              <w:t>15</w:t>
            </w:r>
          </w:p>
        </w:tc>
        <w:tc>
          <w:tcPr>
            <w:tcW w:w="4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02B6E0">
            <w:pPr>
              <w:pStyle w:val="45"/>
              <w:rPr>
                <w:rFonts w:hint="default"/>
                <w:highlight w:val="none"/>
              </w:rPr>
            </w:pPr>
            <w:r>
              <w:rPr>
                <w:highlight w:val="none"/>
              </w:rPr>
              <w:t>0.6</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C44148">
            <w:pPr>
              <w:pStyle w:val="45"/>
              <w:rPr>
                <w:rFonts w:hint="default"/>
                <w:highlight w:val="none"/>
              </w:rPr>
            </w:pPr>
            <w:r>
              <w:rPr>
                <w:highlight w:val="none"/>
              </w:rPr>
              <w:t>25</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96BB1F">
            <w:pPr>
              <w:pStyle w:val="45"/>
              <w:rPr>
                <w:rFonts w:hint="default" w:eastAsia="宋体"/>
                <w:highlight w:val="none"/>
                <w:lang w:val="en-US" w:eastAsia="zh-CN"/>
              </w:rPr>
            </w:pPr>
            <w:r>
              <w:rPr>
                <w:rFonts w:hint="eastAsia"/>
                <w:highlight w:val="none"/>
                <w:lang w:val="en-US" w:eastAsia="zh-CN"/>
              </w:rPr>
              <w:t>8000</w:t>
            </w:r>
          </w:p>
        </w:tc>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CE83F2">
            <w:pPr>
              <w:pStyle w:val="45"/>
              <w:rPr>
                <w:rFonts w:hint="default"/>
                <w:highlight w:val="none"/>
              </w:rPr>
            </w:pPr>
            <w:r>
              <w:rPr>
                <w:highlight w:val="none"/>
              </w:rPr>
              <w:t>7200</w:t>
            </w:r>
          </w:p>
        </w:tc>
      </w:tr>
      <w:tr w14:paraId="4BEDDCED">
        <w:tblPrEx>
          <w:tblCellMar>
            <w:top w:w="0" w:type="dxa"/>
            <w:left w:w="108" w:type="dxa"/>
            <w:bottom w:w="0" w:type="dxa"/>
            <w:right w:w="108" w:type="dxa"/>
          </w:tblCellMar>
        </w:tblPrEx>
        <w:trPr>
          <w:trHeight w:val="90" w:hRule="atLeast"/>
        </w:trPr>
        <w:tc>
          <w:tcPr>
            <w:tcW w:w="20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E8215E">
            <w:pPr>
              <w:pStyle w:val="45"/>
              <w:bidi w:val="0"/>
              <w:ind w:firstLine="0" w:firstLineChars="0"/>
              <w:rPr>
                <w:rFonts w:hint="eastAsia" w:eastAsia="宋体"/>
                <w:highlight w:val="none"/>
                <w:lang w:eastAsia="zh-CN"/>
              </w:rPr>
            </w:pPr>
            <w:r>
              <w:rPr>
                <w:rFonts w:hint="eastAsia"/>
                <w:highlight w:val="none"/>
                <w:lang w:val="en-US" w:eastAsia="zh-CN"/>
              </w:rPr>
              <w:t>复分解干燥粉尘2</w:t>
            </w:r>
          </w:p>
        </w:tc>
        <w:tc>
          <w:tcPr>
            <w:tcW w:w="4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E2FD9D">
            <w:pPr>
              <w:pStyle w:val="45"/>
              <w:rPr>
                <w:rFonts w:hint="default"/>
                <w:highlight w:val="none"/>
              </w:rPr>
            </w:pPr>
            <w:r>
              <w:rPr>
                <w:highlight w:val="none"/>
              </w:rPr>
              <w:t>DA006</w:t>
            </w:r>
          </w:p>
        </w:tc>
        <w:tc>
          <w:tcPr>
            <w:tcW w:w="7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72F286">
            <w:pPr>
              <w:pStyle w:val="45"/>
              <w:rPr>
                <w:rFonts w:hint="default"/>
                <w:highlight w:val="none"/>
              </w:rPr>
            </w:pPr>
            <w:r>
              <w:rPr>
                <w:highlight w:val="none"/>
              </w:rPr>
              <w:t>颗粒物</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66B54A">
            <w:pPr>
              <w:pStyle w:val="45"/>
              <w:rPr>
                <w:rFonts w:hint="default"/>
                <w:highlight w:val="none"/>
              </w:rPr>
            </w:pPr>
            <w:r>
              <w:rPr>
                <w:highlight w:val="none"/>
              </w:rPr>
              <w:t>15</w:t>
            </w:r>
          </w:p>
        </w:tc>
        <w:tc>
          <w:tcPr>
            <w:tcW w:w="4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EE222A">
            <w:pPr>
              <w:pStyle w:val="45"/>
              <w:rPr>
                <w:rFonts w:hint="default"/>
                <w:highlight w:val="none"/>
              </w:rPr>
            </w:pPr>
            <w:r>
              <w:rPr>
                <w:highlight w:val="none"/>
              </w:rPr>
              <w:t>0.6</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C2FE7B">
            <w:pPr>
              <w:pStyle w:val="45"/>
              <w:rPr>
                <w:rFonts w:hint="default"/>
                <w:highlight w:val="none"/>
              </w:rPr>
            </w:pPr>
            <w:r>
              <w:rPr>
                <w:highlight w:val="none"/>
              </w:rPr>
              <w:t>25</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63EE81">
            <w:pPr>
              <w:pStyle w:val="45"/>
              <w:rPr>
                <w:rFonts w:hint="default" w:eastAsia="宋体"/>
                <w:highlight w:val="none"/>
                <w:lang w:val="en-US" w:eastAsia="zh-CN"/>
              </w:rPr>
            </w:pPr>
            <w:r>
              <w:rPr>
                <w:rFonts w:hint="eastAsia"/>
                <w:highlight w:val="none"/>
                <w:lang w:val="en-US" w:eastAsia="zh-CN"/>
              </w:rPr>
              <w:t>8000</w:t>
            </w:r>
          </w:p>
        </w:tc>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173430">
            <w:pPr>
              <w:pStyle w:val="45"/>
              <w:rPr>
                <w:rFonts w:hint="default"/>
                <w:highlight w:val="none"/>
              </w:rPr>
            </w:pPr>
            <w:r>
              <w:rPr>
                <w:highlight w:val="none"/>
              </w:rPr>
              <w:t>7200</w:t>
            </w:r>
          </w:p>
        </w:tc>
      </w:tr>
      <w:tr w14:paraId="4C6A0E22">
        <w:tblPrEx>
          <w:tblCellMar>
            <w:top w:w="0" w:type="dxa"/>
            <w:left w:w="108" w:type="dxa"/>
            <w:bottom w:w="0" w:type="dxa"/>
            <w:right w:w="108" w:type="dxa"/>
          </w:tblCellMar>
        </w:tblPrEx>
        <w:trPr>
          <w:trHeight w:val="90" w:hRule="atLeast"/>
        </w:trPr>
        <w:tc>
          <w:tcPr>
            <w:tcW w:w="20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A8499">
            <w:pPr>
              <w:pStyle w:val="45"/>
              <w:bidi w:val="0"/>
              <w:ind w:firstLine="0" w:firstLineChars="0"/>
              <w:rPr>
                <w:highlight w:val="none"/>
              </w:rPr>
            </w:pPr>
            <w:r>
              <w:rPr>
                <w:rFonts w:hint="eastAsia"/>
                <w:highlight w:val="none"/>
                <w:lang w:val="en-US" w:eastAsia="zh-CN"/>
              </w:rPr>
              <w:t>锂盐中和尾气</w:t>
            </w:r>
          </w:p>
        </w:tc>
        <w:tc>
          <w:tcPr>
            <w:tcW w:w="4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0459F9">
            <w:pPr>
              <w:pStyle w:val="45"/>
              <w:rPr>
                <w:rFonts w:hint="default" w:eastAsia="宋体"/>
                <w:highlight w:val="none"/>
                <w:lang w:val="en-US" w:eastAsia="zh-CN"/>
              </w:rPr>
            </w:pPr>
            <w:r>
              <w:rPr>
                <w:rFonts w:hint="eastAsia"/>
                <w:highlight w:val="none"/>
                <w:lang w:val="en-US" w:eastAsia="zh-CN"/>
              </w:rPr>
              <w:t>DA007</w:t>
            </w:r>
          </w:p>
        </w:tc>
        <w:tc>
          <w:tcPr>
            <w:tcW w:w="7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39297D">
            <w:pPr>
              <w:pStyle w:val="45"/>
              <w:rPr>
                <w:rFonts w:hint="eastAsia" w:eastAsia="宋体"/>
                <w:highlight w:val="none"/>
                <w:lang w:val="en-US" w:eastAsia="zh-CN"/>
              </w:rPr>
            </w:pPr>
            <w:r>
              <w:rPr>
                <w:highlight w:val="none"/>
              </w:rPr>
              <w:t>氯化氢</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1CBBF0">
            <w:pPr>
              <w:pStyle w:val="45"/>
              <w:rPr>
                <w:rFonts w:hint="default" w:eastAsia="宋体"/>
                <w:highlight w:val="none"/>
                <w:lang w:val="en-US" w:eastAsia="zh-CN"/>
              </w:rPr>
            </w:pPr>
            <w:r>
              <w:rPr>
                <w:rFonts w:hint="eastAsia"/>
                <w:highlight w:val="none"/>
                <w:lang w:val="en-US" w:eastAsia="zh-CN"/>
              </w:rPr>
              <w:t>15</w:t>
            </w:r>
          </w:p>
        </w:tc>
        <w:tc>
          <w:tcPr>
            <w:tcW w:w="4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00163A">
            <w:pPr>
              <w:pStyle w:val="45"/>
              <w:rPr>
                <w:rFonts w:hint="default" w:eastAsia="宋体"/>
                <w:highlight w:val="none"/>
                <w:lang w:val="en-US" w:eastAsia="zh-CN"/>
              </w:rPr>
            </w:pPr>
            <w:r>
              <w:rPr>
                <w:rFonts w:hint="eastAsia"/>
                <w:highlight w:val="none"/>
                <w:lang w:val="en-US" w:eastAsia="zh-CN"/>
              </w:rPr>
              <w:t>0.4</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F8937D">
            <w:pPr>
              <w:pStyle w:val="45"/>
              <w:rPr>
                <w:rFonts w:hint="default" w:eastAsia="宋体"/>
                <w:highlight w:val="none"/>
                <w:lang w:val="en-US" w:eastAsia="zh-CN"/>
              </w:rPr>
            </w:pPr>
            <w:r>
              <w:rPr>
                <w:rFonts w:hint="eastAsia"/>
                <w:highlight w:val="none"/>
                <w:lang w:val="en-US" w:eastAsia="zh-CN"/>
              </w:rPr>
              <w:t>25</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1870F0">
            <w:pPr>
              <w:pStyle w:val="45"/>
              <w:rPr>
                <w:rFonts w:hint="default" w:eastAsia="宋体"/>
                <w:highlight w:val="none"/>
                <w:lang w:val="en-US" w:eastAsia="zh-CN"/>
              </w:rPr>
            </w:pPr>
            <w:r>
              <w:rPr>
                <w:highlight w:val="none"/>
              </w:rPr>
              <w:t>2000</w:t>
            </w:r>
          </w:p>
        </w:tc>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FD104E">
            <w:pPr>
              <w:pStyle w:val="45"/>
              <w:rPr>
                <w:rFonts w:hint="default" w:eastAsia="宋体"/>
                <w:highlight w:val="none"/>
                <w:lang w:val="en-US" w:eastAsia="zh-CN"/>
              </w:rPr>
            </w:pPr>
            <w:r>
              <w:rPr>
                <w:rFonts w:hint="eastAsia"/>
                <w:highlight w:val="none"/>
                <w:lang w:val="en-US" w:eastAsia="zh-CN"/>
              </w:rPr>
              <w:t>7200</w:t>
            </w:r>
          </w:p>
        </w:tc>
      </w:tr>
    </w:tbl>
    <w:p w14:paraId="3511AE56">
      <w:pPr>
        <w:ind w:firstLine="480"/>
        <w:rPr>
          <w:rFonts w:hint="eastAsia"/>
          <w:highlight w:val="yellow"/>
        </w:rPr>
      </w:pPr>
    </w:p>
    <w:p w14:paraId="12EECC63">
      <w:pPr>
        <w:ind w:firstLine="480"/>
        <w:rPr>
          <w:rFonts w:hint="eastAsia"/>
          <w:highlight w:val="yellow"/>
        </w:rPr>
      </w:pPr>
    </w:p>
    <w:p w14:paraId="59C8F7E2">
      <w:pPr>
        <w:ind w:firstLine="480"/>
        <w:rPr>
          <w:highlight w:val="none"/>
        </w:rPr>
      </w:pPr>
      <w:r>
        <w:rPr>
          <w:rFonts w:hint="eastAsia"/>
          <w:highlight w:val="none"/>
        </w:rPr>
        <w:t>本项目有组织废气</w:t>
      </w:r>
      <w:r>
        <w:rPr>
          <w:rFonts w:hint="eastAsia"/>
          <w:highlight w:val="none"/>
          <w:lang w:val="en-US" w:eastAsia="zh-CN"/>
        </w:rPr>
        <w:t>产排汇总</w:t>
      </w:r>
      <w:r>
        <w:rPr>
          <w:rFonts w:hint="eastAsia"/>
          <w:highlight w:val="none"/>
        </w:rPr>
        <w:t>情况见下表。</w:t>
      </w:r>
    </w:p>
    <w:p w14:paraId="6A0D1094">
      <w:pPr>
        <w:keepNext/>
        <w:numPr>
          <w:ilvl w:val="5"/>
          <w:numId w:val="1"/>
        </w:numPr>
        <w:snapToGrid w:val="0"/>
        <w:spacing w:line="240" w:lineRule="auto"/>
        <w:ind w:firstLine="420" w:firstLineChars="0"/>
        <w:jc w:val="center"/>
        <w:rPr>
          <w:b/>
          <w:bCs/>
          <w:sz w:val="21"/>
          <w:szCs w:val="21"/>
          <w:highlight w:val="none"/>
        </w:rPr>
      </w:pPr>
      <w:r>
        <w:rPr>
          <w:rFonts w:hint="eastAsia"/>
          <w:b/>
          <w:bCs/>
          <w:sz w:val="21"/>
          <w:szCs w:val="21"/>
          <w:highlight w:val="none"/>
        </w:rPr>
        <w:t>项目有组织废气产排情况一览表（正常工况）</w:t>
      </w:r>
    </w:p>
    <w:tbl>
      <w:tblPr>
        <w:tblStyle w:val="32"/>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36"/>
        <w:gridCol w:w="572"/>
        <w:gridCol w:w="881"/>
        <w:gridCol w:w="470"/>
        <w:gridCol w:w="915"/>
        <w:gridCol w:w="1099"/>
        <w:gridCol w:w="1641"/>
        <w:gridCol w:w="666"/>
        <w:gridCol w:w="618"/>
        <w:gridCol w:w="978"/>
        <w:gridCol w:w="1099"/>
        <w:gridCol w:w="1323"/>
        <w:gridCol w:w="1332"/>
        <w:gridCol w:w="1082"/>
        <w:gridCol w:w="956"/>
      </w:tblGrid>
      <w:tr w14:paraId="476926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8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C590BA9">
            <w:pPr>
              <w:pStyle w:val="45"/>
              <w:bidi w:val="0"/>
              <w:rPr>
                <w:rFonts w:hint="eastAsia"/>
                <w:b/>
                <w:bCs/>
              </w:rPr>
            </w:pPr>
            <w:r>
              <w:rPr>
                <w:rFonts w:hint="eastAsia"/>
                <w:b/>
                <w:bCs/>
                <w:lang w:val="en-US" w:eastAsia="zh-CN"/>
              </w:rPr>
              <w:t>产生位置</w:t>
            </w:r>
          </w:p>
        </w:tc>
        <w:tc>
          <w:tcPr>
            <w:tcW w:w="20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2EED653">
            <w:pPr>
              <w:pStyle w:val="45"/>
              <w:bidi w:val="0"/>
              <w:rPr>
                <w:rFonts w:hint="eastAsia"/>
                <w:b/>
                <w:bCs/>
              </w:rPr>
            </w:pPr>
            <w:r>
              <w:rPr>
                <w:rFonts w:hint="eastAsia"/>
                <w:b/>
                <w:bCs/>
                <w:lang w:val="en-US" w:eastAsia="zh-CN"/>
              </w:rPr>
              <w:t>污染源</w:t>
            </w:r>
          </w:p>
        </w:tc>
        <w:tc>
          <w:tcPr>
            <w:tcW w:w="31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7878C4D">
            <w:pPr>
              <w:pStyle w:val="45"/>
              <w:bidi w:val="0"/>
              <w:rPr>
                <w:rFonts w:hint="eastAsia"/>
                <w:b/>
                <w:bCs/>
              </w:rPr>
            </w:pPr>
            <w:r>
              <w:rPr>
                <w:rFonts w:hint="eastAsia"/>
                <w:b/>
                <w:bCs/>
                <w:lang w:val="en-US" w:eastAsia="zh-CN"/>
              </w:rPr>
              <w:t>排气筒编号</w:t>
            </w:r>
          </w:p>
        </w:tc>
        <w:tc>
          <w:tcPr>
            <w:tcW w:w="16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D2D3393">
            <w:pPr>
              <w:pStyle w:val="45"/>
              <w:bidi w:val="0"/>
              <w:rPr>
                <w:rFonts w:hint="eastAsia"/>
                <w:b/>
                <w:bCs/>
              </w:rPr>
            </w:pPr>
            <w:r>
              <w:rPr>
                <w:rFonts w:hint="eastAsia"/>
                <w:b/>
                <w:bCs/>
                <w:lang w:val="en-US" w:eastAsia="zh-CN"/>
              </w:rPr>
              <w:t>污染物</w:t>
            </w:r>
          </w:p>
        </w:tc>
        <w:tc>
          <w:tcPr>
            <w:tcW w:w="32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0ED3D84">
            <w:pPr>
              <w:pStyle w:val="45"/>
              <w:bidi w:val="0"/>
              <w:rPr>
                <w:rFonts w:hint="eastAsia"/>
                <w:b/>
                <w:bCs/>
              </w:rPr>
            </w:pPr>
            <w:r>
              <w:rPr>
                <w:rFonts w:hint="eastAsia"/>
                <w:b/>
                <w:bCs/>
                <w:lang w:val="en-US" w:eastAsia="zh-CN"/>
              </w:rPr>
              <w:t>产生量（</w:t>
            </w:r>
            <w:r>
              <w:rPr>
                <w:rFonts w:hint="default"/>
                <w:b/>
                <w:bCs/>
                <w:lang w:val="en-US" w:eastAsia="zh-CN"/>
              </w:rPr>
              <w:t>t/a</w:t>
            </w:r>
            <w:r>
              <w:rPr>
                <w:rFonts w:hint="eastAsia"/>
                <w:b/>
                <w:bCs/>
                <w:lang w:val="en-US" w:eastAsia="zh-CN"/>
              </w:rPr>
              <w:t>）</w:t>
            </w:r>
          </w:p>
        </w:tc>
        <w:tc>
          <w:tcPr>
            <w:tcW w:w="388"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C4BDAC3">
            <w:pPr>
              <w:pStyle w:val="45"/>
              <w:bidi w:val="0"/>
              <w:rPr>
                <w:rFonts w:hint="eastAsia"/>
                <w:b/>
                <w:bCs/>
              </w:rPr>
            </w:pPr>
            <w:r>
              <w:rPr>
                <w:rFonts w:hint="eastAsia"/>
                <w:b/>
                <w:bCs/>
                <w:lang w:val="en-US" w:eastAsia="zh-CN"/>
              </w:rPr>
              <w:t>产生速率（</w:t>
            </w:r>
            <w:r>
              <w:rPr>
                <w:rFonts w:hint="default"/>
                <w:b/>
                <w:bCs/>
                <w:lang w:val="en-US" w:eastAsia="zh-CN"/>
              </w:rPr>
              <w:t>kg/h</w:t>
            </w:r>
            <w:r>
              <w:rPr>
                <w:rFonts w:hint="eastAsia"/>
                <w:b/>
                <w:bCs/>
                <w:lang w:val="en-US" w:eastAsia="zh-CN"/>
              </w:rPr>
              <w:t>）</w:t>
            </w:r>
          </w:p>
        </w:tc>
        <w:tc>
          <w:tcPr>
            <w:tcW w:w="57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8DC3808">
            <w:pPr>
              <w:pStyle w:val="45"/>
              <w:bidi w:val="0"/>
              <w:rPr>
                <w:rFonts w:hint="eastAsia"/>
                <w:b/>
                <w:bCs/>
              </w:rPr>
            </w:pPr>
            <w:r>
              <w:rPr>
                <w:rFonts w:hint="eastAsia"/>
                <w:b/>
                <w:bCs/>
                <w:lang w:val="en-US" w:eastAsia="zh-CN"/>
              </w:rPr>
              <w:t>处理措施</w:t>
            </w:r>
          </w:p>
        </w:tc>
        <w:tc>
          <w:tcPr>
            <w:tcW w:w="235"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64BFB33">
            <w:pPr>
              <w:pStyle w:val="45"/>
              <w:bidi w:val="0"/>
              <w:rPr>
                <w:rFonts w:hint="eastAsia"/>
                <w:b/>
                <w:bCs/>
              </w:rPr>
            </w:pPr>
            <w:r>
              <w:rPr>
                <w:rFonts w:hint="eastAsia"/>
                <w:b/>
                <w:bCs/>
                <w:lang w:val="en-US" w:eastAsia="zh-CN"/>
              </w:rPr>
              <w:t>收集效率</w:t>
            </w:r>
            <w:r>
              <w:rPr>
                <w:rFonts w:hint="default"/>
                <w:b/>
                <w:bCs/>
                <w:lang w:val="en-US" w:eastAsia="zh-CN"/>
              </w:rPr>
              <w:t>(%)</w:t>
            </w:r>
          </w:p>
        </w:tc>
        <w:tc>
          <w:tcPr>
            <w:tcW w:w="218"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F405C9A">
            <w:pPr>
              <w:pStyle w:val="45"/>
              <w:bidi w:val="0"/>
              <w:rPr>
                <w:rFonts w:hint="eastAsia"/>
                <w:b/>
                <w:bCs/>
              </w:rPr>
            </w:pPr>
            <w:r>
              <w:rPr>
                <w:rFonts w:hint="eastAsia"/>
                <w:b/>
                <w:bCs/>
                <w:lang w:val="en-US" w:eastAsia="zh-CN"/>
              </w:rPr>
              <w:t>处理效率</w:t>
            </w:r>
            <w:r>
              <w:rPr>
                <w:rFonts w:hint="default"/>
                <w:b/>
                <w:bCs/>
                <w:lang w:val="en-US" w:eastAsia="zh-CN"/>
              </w:rPr>
              <w:t>(%)</w:t>
            </w:r>
          </w:p>
        </w:tc>
        <w:tc>
          <w:tcPr>
            <w:tcW w:w="1670" w:type="pct"/>
            <w:gridSpan w:val="4"/>
            <w:tcBorders>
              <w:top w:val="single" w:color="auto" w:sz="4" w:space="0"/>
              <w:left w:val="single" w:color="auto" w:sz="4" w:space="0"/>
              <w:bottom w:val="single" w:color="auto" w:sz="4" w:space="0"/>
              <w:right w:val="single" w:color="auto" w:sz="4" w:space="0"/>
            </w:tcBorders>
            <w:shd w:val="clear" w:color="auto" w:fill="auto"/>
            <w:noWrap/>
            <w:vAlign w:val="center"/>
          </w:tcPr>
          <w:p w14:paraId="33967495">
            <w:pPr>
              <w:pStyle w:val="45"/>
              <w:bidi w:val="0"/>
              <w:rPr>
                <w:rFonts w:hint="eastAsia"/>
                <w:b/>
                <w:bCs/>
              </w:rPr>
            </w:pPr>
            <w:r>
              <w:rPr>
                <w:rFonts w:hint="eastAsia"/>
                <w:b/>
                <w:bCs/>
                <w:lang w:val="en-US" w:eastAsia="zh-CN"/>
              </w:rPr>
              <w:t>有组织</w:t>
            </w:r>
          </w:p>
        </w:tc>
        <w:tc>
          <w:tcPr>
            <w:tcW w:w="38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822C758">
            <w:pPr>
              <w:pStyle w:val="45"/>
              <w:bidi w:val="0"/>
              <w:rPr>
                <w:rFonts w:hint="eastAsia"/>
                <w:b/>
                <w:bCs/>
              </w:rPr>
            </w:pPr>
            <w:r>
              <w:rPr>
                <w:rFonts w:hint="eastAsia"/>
                <w:b/>
                <w:bCs/>
                <w:lang w:val="en-US" w:eastAsia="zh-CN"/>
              </w:rPr>
              <w:t>无组织排放量（</w:t>
            </w:r>
            <w:r>
              <w:rPr>
                <w:rFonts w:hint="default"/>
                <w:b/>
                <w:bCs/>
                <w:lang w:val="en-US" w:eastAsia="zh-CN"/>
              </w:rPr>
              <w:t>t/a</w:t>
            </w:r>
            <w:r>
              <w:rPr>
                <w:rFonts w:hint="eastAsia"/>
                <w:b/>
                <w:bCs/>
                <w:lang w:val="en-US" w:eastAsia="zh-CN"/>
              </w:rPr>
              <w:t>）</w:t>
            </w:r>
          </w:p>
        </w:tc>
        <w:tc>
          <w:tcPr>
            <w:tcW w:w="330"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63D3FE7">
            <w:pPr>
              <w:pStyle w:val="45"/>
              <w:bidi w:val="0"/>
              <w:rPr>
                <w:rFonts w:hint="eastAsia"/>
                <w:b/>
                <w:bCs/>
              </w:rPr>
            </w:pPr>
            <w:r>
              <w:rPr>
                <w:rFonts w:hint="eastAsia"/>
                <w:b/>
                <w:bCs/>
                <w:lang w:val="en-US" w:eastAsia="zh-CN"/>
              </w:rPr>
              <w:t>排放总量（</w:t>
            </w:r>
            <w:r>
              <w:rPr>
                <w:rFonts w:hint="default"/>
                <w:b/>
                <w:bCs/>
                <w:lang w:val="en-US" w:eastAsia="zh-CN"/>
              </w:rPr>
              <w:t>t/a</w:t>
            </w:r>
            <w:r>
              <w:rPr>
                <w:rFonts w:hint="eastAsia"/>
                <w:b/>
                <w:bCs/>
                <w:lang w:val="en-US" w:eastAsia="zh-CN"/>
              </w:rPr>
              <w:t>）</w:t>
            </w:r>
          </w:p>
        </w:tc>
      </w:tr>
      <w:tr w14:paraId="20EEAA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18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70D3708">
            <w:pPr>
              <w:pStyle w:val="45"/>
              <w:bidi w:val="0"/>
              <w:rPr>
                <w:rFonts w:hint="eastAsia"/>
                <w:b/>
                <w:bCs/>
              </w:rPr>
            </w:pPr>
          </w:p>
        </w:tc>
        <w:tc>
          <w:tcPr>
            <w:tcW w:w="20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F83A50C">
            <w:pPr>
              <w:pStyle w:val="45"/>
              <w:bidi w:val="0"/>
              <w:rPr>
                <w:rFonts w:hint="eastAsia"/>
                <w:b/>
                <w:bCs/>
              </w:rPr>
            </w:pPr>
          </w:p>
        </w:tc>
        <w:tc>
          <w:tcPr>
            <w:tcW w:w="311"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7C2EC60">
            <w:pPr>
              <w:pStyle w:val="45"/>
              <w:bidi w:val="0"/>
              <w:rPr>
                <w:rFonts w:hint="eastAsia"/>
                <w:b/>
                <w:bCs/>
              </w:rPr>
            </w:pPr>
          </w:p>
        </w:tc>
        <w:tc>
          <w:tcPr>
            <w:tcW w:w="166"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3F39748">
            <w:pPr>
              <w:pStyle w:val="45"/>
              <w:bidi w:val="0"/>
              <w:rPr>
                <w:rFonts w:hint="eastAsia"/>
                <w:b/>
                <w:bCs/>
              </w:rPr>
            </w:pPr>
          </w:p>
        </w:tc>
        <w:tc>
          <w:tcPr>
            <w:tcW w:w="32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428BCA5">
            <w:pPr>
              <w:pStyle w:val="45"/>
              <w:bidi w:val="0"/>
              <w:rPr>
                <w:rFonts w:hint="eastAsia"/>
                <w:b/>
                <w:bCs/>
              </w:rPr>
            </w:pPr>
          </w:p>
        </w:tc>
        <w:tc>
          <w:tcPr>
            <w:tcW w:w="388"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ECC92DE">
            <w:pPr>
              <w:pStyle w:val="45"/>
              <w:bidi w:val="0"/>
              <w:rPr>
                <w:rFonts w:hint="eastAsia"/>
                <w:b/>
                <w:bCs/>
              </w:rPr>
            </w:pPr>
          </w:p>
        </w:tc>
        <w:tc>
          <w:tcPr>
            <w:tcW w:w="57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C627CCC">
            <w:pPr>
              <w:pStyle w:val="45"/>
              <w:bidi w:val="0"/>
              <w:rPr>
                <w:rFonts w:hint="eastAsia"/>
                <w:b/>
                <w:bCs/>
              </w:rPr>
            </w:pPr>
          </w:p>
        </w:tc>
        <w:tc>
          <w:tcPr>
            <w:tcW w:w="23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0625D74">
            <w:pPr>
              <w:pStyle w:val="45"/>
              <w:bidi w:val="0"/>
              <w:rPr>
                <w:rFonts w:hint="eastAsia"/>
                <w:b/>
                <w:bCs/>
              </w:rPr>
            </w:pPr>
          </w:p>
        </w:tc>
        <w:tc>
          <w:tcPr>
            <w:tcW w:w="218"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F7E200E">
            <w:pPr>
              <w:pStyle w:val="45"/>
              <w:bidi w:val="0"/>
              <w:rPr>
                <w:rFonts w:hint="eastAsia"/>
                <w:b/>
                <w:bCs/>
              </w:rPr>
            </w:pPr>
          </w:p>
        </w:tc>
        <w:tc>
          <w:tcPr>
            <w:tcW w:w="345" w:type="pct"/>
            <w:tcBorders>
              <w:top w:val="single" w:color="auto" w:sz="4" w:space="0"/>
              <w:left w:val="single" w:color="auto" w:sz="4" w:space="0"/>
              <w:bottom w:val="single" w:color="auto" w:sz="4" w:space="0"/>
              <w:right w:val="single" w:color="auto" w:sz="4" w:space="0"/>
            </w:tcBorders>
            <w:shd w:val="clear" w:color="auto" w:fill="auto"/>
            <w:vAlign w:val="center"/>
          </w:tcPr>
          <w:p w14:paraId="139EE9E9">
            <w:pPr>
              <w:pStyle w:val="45"/>
              <w:bidi w:val="0"/>
              <w:rPr>
                <w:rFonts w:hint="eastAsia"/>
                <w:b/>
                <w:bCs/>
              </w:rPr>
            </w:pPr>
            <w:r>
              <w:rPr>
                <w:rFonts w:hint="eastAsia"/>
                <w:b/>
                <w:bCs/>
                <w:lang w:val="en-US" w:eastAsia="zh-CN"/>
              </w:rPr>
              <w:t>有组织排放量（</w:t>
            </w:r>
            <w:r>
              <w:rPr>
                <w:rFonts w:hint="default"/>
                <w:b/>
                <w:bCs/>
                <w:lang w:val="en-US" w:eastAsia="zh-CN"/>
              </w:rPr>
              <w:t>t/a</w:t>
            </w:r>
            <w:r>
              <w:rPr>
                <w:rFonts w:hint="eastAsia"/>
                <w:b/>
                <w:bCs/>
                <w:lang w:val="en-US" w:eastAsia="zh-CN"/>
              </w:rPr>
              <w:t>）</w:t>
            </w:r>
          </w:p>
        </w:tc>
        <w:tc>
          <w:tcPr>
            <w:tcW w:w="388" w:type="pct"/>
            <w:tcBorders>
              <w:top w:val="single" w:color="auto" w:sz="4" w:space="0"/>
              <w:left w:val="single" w:color="auto" w:sz="4" w:space="0"/>
              <w:bottom w:val="single" w:color="auto" w:sz="4" w:space="0"/>
              <w:right w:val="single" w:color="auto" w:sz="4" w:space="0"/>
            </w:tcBorders>
            <w:shd w:val="clear" w:color="auto" w:fill="auto"/>
            <w:vAlign w:val="center"/>
          </w:tcPr>
          <w:p w14:paraId="6022AE55">
            <w:pPr>
              <w:pStyle w:val="45"/>
              <w:bidi w:val="0"/>
              <w:rPr>
                <w:rFonts w:hint="eastAsia"/>
                <w:b/>
                <w:bCs/>
              </w:rPr>
            </w:pPr>
            <w:r>
              <w:rPr>
                <w:rFonts w:hint="eastAsia"/>
                <w:b/>
                <w:bCs/>
                <w:lang w:val="en-US" w:eastAsia="zh-CN"/>
              </w:rPr>
              <w:t>排放速率（</w:t>
            </w:r>
            <w:r>
              <w:rPr>
                <w:rFonts w:hint="default"/>
                <w:b/>
                <w:bCs/>
                <w:lang w:val="en-US" w:eastAsia="zh-CN"/>
              </w:rPr>
              <w:t>kg/h</w:t>
            </w:r>
            <w:r>
              <w:rPr>
                <w:rFonts w:hint="eastAsia"/>
                <w:b/>
                <w:bCs/>
                <w:lang w:val="en-US" w:eastAsia="zh-CN"/>
              </w:rPr>
              <w:t>）</w:t>
            </w:r>
          </w:p>
        </w:tc>
        <w:tc>
          <w:tcPr>
            <w:tcW w:w="467" w:type="pct"/>
            <w:tcBorders>
              <w:top w:val="single" w:color="auto" w:sz="4" w:space="0"/>
              <w:left w:val="single" w:color="auto" w:sz="4" w:space="0"/>
              <w:bottom w:val="single" w:color="auto" w:sz="4" w:space="0"/>
              <w:right w:val="single" w:color="auto" w:sz="4" w:space="0"/>
            </w:tcBorders>
            <w:shd w:val="clear" w:color="auto" w:fill="auto"/>
            <w:vAlign w:val="center"/>
          </w:tcPr>
          <w:p w14:paraId="18DDF45F">
            <w:pPr>
              <w:pStyle w:val="45"/>
              <w:bidi w:val="0"/>
              <w:rPr>
                <w:rFonts w:hint="eastAsia"/>
                <w:b/>
                <w:bCs/>
              </w:rPr>
            </w:pPr>
            <w:r>
              <w:rPr>
                <w:rFonts w:hint="eastAsia"/>
                <w:b/>
                <w:bCs/>
                <w:lang w:val="en-US" w:eastAsia="zh-CN"/>
              </w:rPr>
              <w:t>排放浓度（</w:t>
            </w:r>
            <w:r>
              <w:rPr>
                <w:rFonts w:hint="default"/>
                <w:b/>
                <w:bCs/>
                <w:lang w:val="en-US" w:eastAsia="zh-CN"/>
              </w:rPr>
              <w:t>mg/m</w:t>
            </w:r>
            <w:r>
              <w:rPr>
                <w:rFonts w:hint="default"/>
                <w:b/>
                <w:bCs/>
                <w:vertAlign w:val="superscript"/>
                <w:lang w:val="en-US" w:eastAsia="zh-CN"/>
              </w:rPr>
              <w:t>3</w:t>
            </w:r>
            <w:r>
              <w:rPr>
                <w:rFonts w:hint="eastAsia"/>
                <w:b/>
                <w:bCs/>
                <w:lang w:val="en-US" w:eastAsia="zh-CN"/>
              </w:rPr>
              <w:t>）</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7A1FAD6C">
            <w:pPr>
              <w:pStyle w:val="45"/>
              <w:bidi w:val="0"/>
              <w:rPr>
                <w:rFonts w:hint="eastAsia"/>
                <w:b/>
                <w:bCs/>
              </w:rPr>
            </w:pPr>
            <w:r>
              <w:rPr>
                <w:rFonts w:hint="eastAsia"/>
                <w:b/>
                <w:bCs/>
                <w:lang w:val="en-US" w:eastAsia="zh-CN"/>
              </w:rPr>
              <w:t>标准限值（</w:t>
            </w:r>
            <w:r>
              <w:rPr>
                <w:rFonts w:hint="default"/>
                <w:b/>
                <w:bCs/>
                <w:lang w:val="en-US" w:eastAsia="zh-CN"/>
              </w:rPr>
              <w:t>mg/m</w:t>
            </w:r>
            <w:r>
              <w:rPr>
                <w:rFonts w:hint="default"/>
                <w:b/>
                <w:bCs/>
                <w:vertAlign w:val="superscript"/>
                <w:lang w:val="en-US" w:eastAsia="zh-CN"/>
              </w:rPr>
              <w:t>3</w:t>
            </w:r>
            <w:r>
              <w:rPr>
                <w:rFonts w:hint="eastAsia"/>
                <w:b/>
                <w:bCs/>
                <w:lang w:val="en-US" w:eastAsia="zh-CN"/>
              </w:rPr>
              <w:t>）</w:t>
            </w:r>
          </w:p>
        </w:tc>
        <w:tc>
          <w:tcPr>
            <w:tcW w:w="38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674D6BA">
            <w:pPr>
              <w:pStyle w:val="45"/>
              <w:bidi w:val="0"/>
              <w:rPr>
                <w:rFonts w:hint="eastAsia"/>
                <w:b/>
                <w:bCs/>
              </w:rPr>
            </w:pPr>
          </w:p>
        </w:tc>
        <w:tc>
          <w:tcPr>
            <w:tcW w:w="330"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7505008">
            <w:pPr>
              <w:pStyle w:val="45"/>
              <w:bidi w:val="0"/>
              <w:rPr>
                <w:rFonts w:hint="eastAsia"/>
                <w:b/>
                <w:bCs/>
              </w:rPr>
            </w:pPr>
          </w:p>
        </w:tc>
      </w:tr>
      <w:tr w14:paraId="2CB0FD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8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8298B6C">
            <w:pPr>
              <w:pStyle w:val="45"/>
              <w:bidi w:val="0"/>
              <w:rPr>
                <w:rFonts w:hint="eastAsia"/>
              </w:rPr>
            </w:pPr>
            <w:r>
              <w:rPr>
                <w:rFonts w:hint="eastAsia"/>
                <w:lang w:val="en-US" w:eastAsia="zh-CN"/>
              </w:rPr>
              <w:t>一次电解装置</w:t>
            </w:r>
          </w:p>
        </w:tc>
        <w:tc>
          <w:tcPr>
            <w:tcW w:w="20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387A8F4">
            <w:pPr>
              <w:pStyle w:val="45"/>
              <w:bidi w:val="0"/>
              <w:rPr>
                <w:rFonts w:hint="eastAsia"/>
              </w:rPr>
            </w:pPr>
            <w:r>
              <w:rPr>
                <w:rFonts w:hint="eastAsia"/>
                <w:lang w:val="en-US" w:eastAsia="zh-CN"/>
              </w:rPr>
              <w:t>一次电解尾气</w:t>
            </w:r>
          </w:p>
        </w:tc>
        <w:tc>
          <w:tcPr>
            <w:tcW w:w="31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AB01BEE">
            <w:pPr>
              <w:pStyle w:val="45"/>
              <w:bidi w:val="0"/>
              <w:rPr>
                <w:rFonts w:hint="default"/>
              </w:rPr>
            </w:pPr>
            <w:r>
              <w:rPr>
                <w:rFonts w:hint="default"/>
                <w:lang w:val="en-US" w:eastAsia="zh-CN"/>
              </w:rPr>
              <w:t>DA001</w:t>
            </w:r>
          </w:p>
        </w:tc>
        <w:tc>
          <w:tcPr>
            <w:tcW w:w="166" w:type="pct"/>
            <w:tcBorders>
              <w:top w:val="single" w:color="auto" w:sz="4" w:space="0"/>
              <w:left w:val="single" w:color="auto" w:sz="4" w:space="0"/>
              <w:bottom w:val="single" w:color="auto" w:sz="4" w:space="0"/>
              <w:right w:val="single" w:color="auto" w:sz="4" w:space="0"/>
            </w:tcBorders>
            <w:shd w:val="clear" w:color="auto" w:fill="auto"/>
            <w:vAlign w:val="center"/>
          </w:tcPr>
          <w:p w14:paraId="73161258">
            <w:pPr>
              <w:pStyle w:val="45"/>
              <w:bidi w:val="0"/>
              <w:rPr>
                <w:rFonts w:hint="eastAsia"/>
              </w:rPr>
            </w:pPr>
            <w:r>
              <w:rPr>
                <w:rFonts w:hint="eastAsia"/>
                <w:lang w:val="en-US" w:eastAsia="zh-CN"/>
              </w:rPr>
              <w:t>氯气</w:t>
            </w:r>
          </w:p>
        </w:tc>
        <w:tc>
          <w:tcPr>
            <w:tcW w:w="323" w:type="pct"/>
            <w:tcBorders>
              <w:top w:val="single" w:color="auto" w:sz="4" w:space="0"/>
              <w:left w:val="single" w:color="auto" w:sz="4" w:space="0"/>
              <w:bottom w:val="single" w:color="auto" w:sz="4" w:space="0"/>
              <w:right w:val="single" w:color="auto" w:sz="4" w:space="0"/>
            </w:tcBorders>
            <w:shd w:val="clear" w:color="auto" w:fill="auto"/>
            <w:vAlign w:val="center"/>
          </w:tcPr>
          <w:p w14:paraId="16215B5A">
            <w:pPr>
              <w:pStyle w:val="45"/>
              <w:bidi w:val="0"/>
              <w:rPr>
                <w:rFonts w:hint="default"/>
              </w:rPr>
            </w:pPr>
            <w:r>
              <w:rPr>
                <w:rFonts w:hint="default"/>
                <w:lang w:val="en-US" w:eastAsia="zh-CN"/>
              </w:rPr>
              <w:t>10.51</w:t>
            </w:r>
          </w:p>
        </w:tc>
        <w:tc>
          <w:tcPr>
            <w:tcW w:w="388" w:type="pct"/>
            <w:tcBorders>
              <w:top w:val="single" w:color="auto" w:sz="4" w:space="0"/>
              <w:left w:val="single" w:color="auto" w:sz="4" w:space="0"/>
              <w:bottom w:val="single" w:color="auto" w:sz="4" w:space="0"/>
              <w:right w:val="single" w:color="auto" w:sz="4" w:space="0"/>
            </w:tcBorders>
            <w:shd w:val="clear" w:color="auto" w:fill="auto"/>
            <w:vAlign w:val="center"/>
          </w:tcPr>
          <w:p w14:paraId="0D6D0E6E">
            <w:pPr>
              <w:pStyle w:val="45"/>
              <w:bidi w:val="0"/>
              <w:rPr>
                <w:rFonts w:hint="default"/>
              </w:rPr>
            </w:pPr>
            <w:r>
              <w:rPr>
                <w:rFonts w:hint="default"/>
                <w:lang w:val="en-US" w:eastAsia="zh-CN"/>
              </w:rPr>
              <w:t>1.46</w:t>
            </w:r>
          </w:p>
        </w:tc>
        <w:tc>
          <w:tcPr>
            <w:tcW w:w="57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5EE4AD0">
            <w:pPr>
              <w:pStyle w:val="45"/>
              <w:bidi w:val="0"/>
              <w:rPr>
                <w:rFonts w:hint="eastAsia"/>
              </w:rPr>
            </w:pPr>
            <w:r>
              <w:rPr>
                <w:rFonts w:hint="eastAsia"/>
                <w:lang w:val="en-US" w:eastAsia="zh-CN"/>
              </w:rPr>
              <w:t>盐水洗涤+一级碱洗+水洗+25m高排气筒（DA001）</w:t>
            </w:r>
          </w:p>
        </w:tc>
        <w:tc>
          <w:tcPr>
            <w:tcW w:w="235" w:type="pct"/>
            <w:tcBorders>
              <w:top w:val="single" w:color="auto" w:sz="4" w:space="0"/>
              <w:left w:val="single" w:color="auto" w:sz="4" w:space="0"/>
              <w:bottom w:val="single" w:color="auto" w:sz="4" w:space="0"/>
              <w:right w:val="single" w:color="auto" w:sz="4" w:space="0"/>
            </w:tcBorders>
            <w:shd w:val="clear" w:color="auto" w:fill="auto"/>
            <w:vAlign w:val="center"/>
          </w:tcPr>
          <w:p w14:paraId="5C858B60">
            <w:pPr>
              <w:pStyle w:val="45"/>
              <w:bidi w:val="0"/>
              <w:rPr>
                <w:rFonts w:hint="default"/>
              </w:rPr>
            </w:pPr>
            <w:r>
              <w:rPr>
                <w:rFonts w:hint="default"/>
                <w:lang w:val="en-US" w:eastAsia="zh-CN"/>
              </w:rPr>
              <w:t>99.9</w:t>
            </w:r>
          </w:p>
        </w:tc>
        <w:tc>
          <w:tcPr>
            <w:tcW w:w="218" w:type="pct"/>
            <w:tcBorders>
              <w:top w:val="single" w:color="auto" w:sz="4" w:space="0"/>
              <w:left w:val="single" w:color="auto" w:sz="4" w:space="0"/>
              <w:bottom w:val="single" w:color="auto" w:sz="4" w:space="0"/>
              <w:right w:val="single" w:color="auto" w:sz="4" w:space="0"/>
            </w:tcBorders>
            <w:shd w:val="clear" w:color="auto" w:fill="auto"/>
            <w:vAlign w:val="center"/>
          </w:tcPr>
          <w:p w14:paraId="5DD187D0">
            <w:pPr>
              <w:pStyle w:val="45"/>
              <w:bidi w:val="0"/>
              <w:rPr>
                <w:rFonts w:hint="default"/>
              </w:rPr>
            </w:pPr>
            <w:r>
              <w:rPr>
                <w:rFonts w:hint="default"/>
                <w:lang w:val="en-US" w:eastAsia="zh-CN"/>
              </w:rPr>
              <w:t>99</w:t>
            </w:r>
          </w:p>
        </w:tc>
        <w:tc>
          <w:tcPr>
            <w:tcW w:w="345" w:type="pct"/>
            <w:tcBorders>
              <w:top w:val="single" w:color="auto" w:sz="4" w:space="0"/>
              <w:left w:val="single" w:color="auto" w:sz="4" w:space="0"/>
              <w:bottom w:val="single" w:color="auto" w:sz="4" w:space="0"/>
              <w:right w:val="single" w:color="auto" w:sz="4" w:space="0"/>
            </w:tcBorders>
            <w:shd w:val="clear" w:color="auto" w:fill="auto"/>
            <w:vAlign w:val="center"/>
          </w:tcPr>
          <w:p w14:paraId="17BF462E">
            <w:pPr>
              <w:pStyle w:val="45"/>
              <w:bidi w:val="0"/>
              <w:rPr>
                <w:rFonts w:hint="default"/>
              </w:rPr>
            </w:pPr>
            <w:r>
              <w:rPr>
                <w:rFonts w:hint="default"/>
                <w:lang w:val="en-US" w:eastAsia="zh-CN"/>
              </w:rPr>
              <w:t>0.105</w:t>
            </w:r>
          </w:p>
        </w:tc>
        <w:tc>
          <w:tcPr>
            <w:tcW w:w="388" w:type="pct"/>
            <w:tcBorders>
              <w:top w:val="single" w:color="auto" w:sz="4" w:space="0"/>
              <w:left w:val="single" w:color="auto" w:sz="4" w:space="0"/>
              <w:bottom w:val="single" w:color="auto" w:sz="4" w:space="0"/>
              <w:right w:val="single" w:color="auto" w:sz="4" w:space="0"/>
            </w:tcBorders>
            <w:shd w:val="clear" w:color="auto" w:fill="auto"/>
            <w:vAlign w:val="center"/>
          </w:tcPr>
          <w:p w14:paraId="234A202F">
            <w:pPr>
              <w:pStyle w:val="45"/>
              <w:bidi w:val="0"/>
              <w:rPr>
                <w:rFonts w:hint="default"/>
              </w:rPr>
            </w:pPr>
            <w:r>
              <w:rPr>
                <w:rFonts w:hint="default"/>
                <w:lang w:val="en-US" w:eastAsia="zh-CN"/>
              </w:rPr>
              <w:t>0.0146</w:t>
            </w:r>
          </w:p>
        </w:tc>
        <w:tc>
          <w:tcPr>
            <w:tcW w:w="467" w:type="pct"/>
            <w:tcBorders>
              <w:top w:val="single" w:color="auto" w:sz="4" w:space="0"/>
              <w:left w:val="single" w:color="auto" w:sz="4" w:space="0"/>
              <w:bottom w:val="single" w:color="auto" w:sz="4" w:space="0"/>
              <w:right w:val="single" w:color="auto" w:sz="4" w:space="0"/>
            </w:tcBorders>
            <w:shd w:val="clear" w:color="auto" w:fill="auto"/>
            <w:vAlign w:val="center"/>
          </w:tcPr>
          <w:p w14:paraId="512083D4">
            <w:pPr>
              <w:pStyle w:val="45"/>
              <w:bidi w:val="0"/>
              <w:rPr>
                <w:rFonts w:hint="default"/>
              </w:rPr>
            </w:pPr>
            <w:r>
              <w:rPr>
                <w:rFonts w:hint="default"/>
                <w:lang w:val="en-US" w:eastAsia="zh-CN"/>
              </w:rPr>
              <w:t>7.29</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25C0EF13">
            <w:pPr>
              <w:pStyle w:val="45"/>
              <w:bidi w:val="0"/>
              <w:rPr>
                <w:rFonts w:hint="default"/>
              </w:rPr>
            </w:pPr>
            <w:r>
              <w:rPr>
                <w:rFonts w:hint="default"/>
                <w:lang w:val="en-US" w:eastAsia="zh-CN"/>
              </w:rPr>
              <w:t>8</w:t>
            </w:r>
          </w:p>
        </w:tc>
        <w:tc>
          <w:tcPr>
            <w:tcW w:w="382" w:type="pct"/>
            <w:tcBorders>
              <w:top w:val="single" w:color="auto" w:sz="4" w:space="0"/>
              <w:left w:val="single" w:color="auto" w:sz="4" w:space="0"/>
              <w:bottom w:val="single" w:color="auto" w:sz="4" w:space="0"/>
              <w:right w:val="single" w:color="auto" w:sz="4" w:space="0"/>
            </w:tcBorders>
            <w:shd w:val="clear" w:color="auto" w:fill="auto"/>
            <w:vAlign w:val="center"/>
          </w:tcPr>
          <w:p w14:paraId="4D8EA815">
            <w:pPr>
              <w:pStyle w:val="45"/>
              <w:bidi w:val="0"/>
              <w:rPr>
                <w:rFonts w:hint="eastAsia"/>
              </w:rPr>
            </w:pPr>
            <w:r>
              <w:rPr>
                <w:rFonts w:hint="eastAsia"/>
                <w:lang w:val="en-US" w:eastAsia="zh-CN"/>
              </w:rPr>
              <w:t>0.0105（逸散进入除次钠工段）</w:t>
            </w:r>
          </w:p>
        </w:tc>
        <w:tc>
          <w:tcPr>
            <w:tcW w:w="33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C6488A9">
            <w:pPr>
              <w:pStyle w:val="45"/>
              <w:bidi w:val="0"/>
              <w:rPr>
                <w:rFonts w:hint="eastAsia"/>
              </w:rPr>
            </w:pPr>
            <w:r>
              <w:rPr>
                <w:rFonts w:hint="eastAsia"/>
                <w:lang w:val="en-US" w:eastAsia="zh-CN"/>
              </w:rPr>
              <w:t>0.105</w:t>
            </w:r>
          </w:p>
        </w:tc>
      </w:tr>
      <w:tr w14:paraId="13A31E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5" w:hRule="atLeast"/>
        </w:trPr>
        <w:tc>
          <w:tcPr>
            <w:tcW w:w="18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A7F4749">
            <w:pPr>
              <w:pStyle w:val="45"/>
              <w:bidi w:val="0"/>
              <w:rPr>
                <w:rFonts w:hint="eastAsia"/>
              </w:rPr>
            </w:pPr>
          </w:p>
        </w:tc>
        <w:tc>
          <w:tcPr>
            <w:tcW w:w="20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6B7FE03">
            <w:pPr>
              <w:pStyle w:val="45"/>
              <w:bidi w:val="0"/>
              <w:rPr>
                <w:rFonts w:hint="eastAsia"/>
              </w:rPr>
            </w:pPr>
          </w:p>
        </w:tc>
        <w:tc>
          <w:tcPr>
            <w:tcW w:w="311"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99D5AF0">
            <w:pPr>
              <w:pStyle w:val="45"/>
              <w:bidi w:val="0"/>
              <w:rPr>
                <w:rFonts w:hint="default"/>
              </w:rPr>
            </w:pPr>
          </w:p>
        </w:tc>
        <w:tc>
          <w:tcPr>
            <w:tcW w:w="166" w:type="pct"/>
            <w:tcBorders>
              <w:top w:val="single" w:color="auto" w:sz="4" w:space="0"/>
              <w:left w:val="single" w:color="auto" w:sz="4" w:space="0"/>
              <w:bottom w:val="single" w:color="auto" w:sz="4" w:space="0"/>
              <w:right w:val="single" w:color="auto" w:sz="4" w:space="0"/>
            </w:tcBorders>
            <w:shd w:val="clear" w:color="auto" w:fill="auto"/>
            <w:vAlign w:val="center"/>
          </w:tcPr>
          <w:p w14:paraId="18CCD149">
            <w:pPr>
              <w:pStyle w:val="45"/>
              <w:bidi w:val="0"/>
              <w:rPr>
                <w:rFonts w:hint="eastAsia"/>
              </w:rPr>
            </w:pPr>
            <w:r>
              <w:rPr>
                <w:rFonts w:hint="eastAsia"/>
                <w:lang w:val="en-US" w:eastAsia="zh-CN"/>
              </w:rPr>
              <w:t>氯化氢</w:t>
            </w:r>
          </w:p>
        </w:tc>
        <w:tc>
          <w:tcPr>
            <w:tcW w:w="323" w:type="pct"/>
            <w:tcBorders>
              <w:top w:val="single" w:color="auto" w:sz="4" w:space="0"/>
              <w:left w:val="single" w:color="auto" w:sz="4" w:space="0"/>
              <w:bottom w:val="single" w:color="auto" w:sz="4" w:space="0"/>
              <w:right w:val="single" w:color="auto" w:sz="4" w:space="0"/>
            </w:tcBorders>
            <w:shd w:val="clear" w:color="auto" w:fill="auto"/>
            <w:vAlign w:val="center"/>
          </w:tcPr>
          <w:p w14:paraId="68F8248D">
            <w:pPr>
              <w:pStyle w:val="45"/>
              <w:bidi w:val="0"/>
              <w:rPr>
                <w:rFonts w:hint="default"/>
              </w:rPr>
            </w:pPr>
            <w:r>
              <w:rPr>
                <w:rFonts w:hint="default"/>
                <w:lang w:val="en-US" w:eastAsia="zh-CN"/>
              </w:rPr>
              <w:t>10.85</w:t>
            </w:r>
          </w:p>
        </w:tc>
        <w:tc>
          <w:tcPr>
            <w:tcW w:w="388" w:type="pct"/>
            <w:tcBorders>
              <w:top w:val="single" w:color="auto" w:sz="4" w:space="0"/>
              <w:left w:val="single" w:color="auto" w:sz="4" w:space="0"/>
              <w:bottom w:val="single" w:color="auto" w:sz="4" w:space="0"/>
              <w:right w:val="single" w:color="auto" w:sz="4" w:space="0"/>
            </w:tcBorders>
            <w:shd w:val="clear" w:color="auto" w:fill="auto"/>
            <w:vAlign w:val="center"/>
          </w:tcPr>
          <w:p w14:paraId="505BCA98">
            <w:pPr>
              <w:pStyle w:val="45"/>
              <w:bidi w:val="0"/>
              <w:rPr>
                <w:rFonts w:hint="default"/>
              </w:rPr>
            </w:pPr>
            <w:r>
              <w:rPr>
                <w:rFonts w:hint="default"/>
                <w:lang w:val="en-US" w:eastAsia="zh-CN"/>
              </w:rPr>
              <w:t>1.51</w:t>
            </w:r>
          </w:p>
        </w:tc>
        <w:tc>
          <w:tcPr>
            <w:tcW w:w="57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89498DD">
            <w:pPr>
              <w:pStyle w:val="45"/>
              <w:bidi w:val="0"/>
              <w:rPr>
                <w:rFonts w:hint="eastAsia"/>
              </w:rPr>
            </w:pPr>
          </w:p>
        </w:tc>
        <w:tc>
          <w:tcPr>
            <w:tcW w:w="235" w:type="pct"/>
            <w:tcBorders>
              <w:top w:val="single" w:color="auto" w:sz="4" w:space="0"/>
              <w:left w:val="single" w:color="auto" w:sz="4" w:space="0"/>
              <w:bottom w:val="single" w:color="auto" w:sz="4" w:space="0"/>
              <w:right w:val="single" w:color="auto" w:sz="4" w:space="0"/>
            </w:tcBorders>
            <w:shd w:val="clear" w:color="auto" w:fill="auto"/>
            <w:vAlign w:val="center"/>
          </w:tcPr>
          <w:p w14:paraId="4D2C1486">
            <w:pPr>
              <w:pStyle w:val="45"/>
              <w:bidi w:val="0"/>
              <w:rPr>
                <w:rFonts w:hint="default"/>
              </w:rPr>
            </w:pPr>
            <w:r>
              <w:rPr>
                <w:rFonts w:hint="default"/>
                <w:lang w:val="en-US" w:eastAsia="zh-CN"/>
              </w:rPr>
              <w:t>99.9</w:t>
            </w:r>
          </w:p>
        </w:tc>
        <w:tc>
          <w:tcPr>
            <w:tcW w:w="218" w:type="pct"/>
            <w:tcBorders>
              <w:top w:val="single" w:color="auto" w:sz="4" w:space="0"/>
              <w:left w:val="single" w:color="auto" w:sz="4" w:space="0"/>
              <w:bottom w:val="single" w:color="auto" w:sz="4" w:space="0"/>
              <w:right w:val="single" w:color="auto" w:sz="4" w:space="0"/>
            </w:tcBorders>
            <w:shd w:val="clear" w:color="auto" w:fill="auto"/>
            <w:vAlign w:val="center"/>
          </w:tcPr>
          <w:p w14:paraId="01206494">
            <w:pPr>
              <w:pStyle w:val="45"/>
              <w:bidi w:val="0"/>
              <w:rPr>
                <w:rFonts w:hint="default"/>
              </w:rPr>
            </w:pPr>
            <w:r>
              <w:rPr>
                <w:rFonts w:hint="default"/>
                <w:lang w:val="en-US" w:eastAsia="zh-CN"/>
              </w:rPr>
              <w:t>99</w:t>
            </w:r>
          </w:p>
        </w:tc>
        <w:tc>
          <w:tcPr>
            <w:tcW w:w="345" w:type="pct"/>
            <w:tcBorders>
              <w:top w:val="single" w:color="auto" w:sz="4" w:space="0"/>
              <w:left w:val="single" w:color="auto" w:sz="4" w:space="0"/>
              <w:bottom w:val="single" w:color="auto" w:sz="4" w:space="0"/>
              <w:right w:val="single" w:color="auto" w:sz="4" w:space="0"/>
            </w:tcBorders>
            <w:shd w:val="clear" w:color="auto" w:fill="auto"/>
            <w:vAlign w:val="center"/>
          </w:tcPr>
          <w:p w14:paraId="1E00176B">
            <w:pPr>
              <w:pStyle w:val="45"/>
              <w:bidi w:val="0"/>
              <w:rPr>
                <w:rFonts w:hint="default"/>
              </w:rPr>
            </w:pPr>
            <w:r>
              <w:rPr>
                <w:rFonts w:hint="default"/>
                <w:lang w:val="en-US" w:eastAsia="zh-CN"/>
              </w:rPr>
              <w:t>0.1084</w:t>
            </w:r>
          </w:p>
        </w:tc>
        <w:tc>
          <w:tcPr>
            <w:tcW w:w="388" w:type="pct"/>
            <w:tcBorders>
              <w:top w:val="single" w:color="auto" w:sz="4" w:space="0"/>
              <w:left w:val="single" w:color="auto" w:sz="4" w:space="0"/>
              <w:bottom w:val="single" w:color="auto" w:sz="4" w:space="0"/>
              <w:right w:val="single" w:color="auto" w:sz="4" w:space="0"/>
            </w:tcBorders>
            <w:shd w:val="clear" w:color="auto" w:fill="auto"/>
            <w:vAlign w:val="center"/>
          </w:tcPr>
          <w:p w14:paraId="66052A74">
            <w:pPr>
              <w:pStyle w:val="45"/>
              <w:bidi w:val="0"/>
              <w:rPr>
                <w:rFonts w:hint="default"/>
              </w:rPr>
            </w:pPr>
            <w:r>
              <w:rPr>
                <w:rFonts w:hint="default"/>
                <w:lang w:val="en-US" w:eastAsia="zh-CN"/>
              </w:rPr>
              <w:t>0.0151</w:t>
            </w:r>
          </w:p>
        </w:tc>
        <w:tc>
          <w:tcPr>
            <w:tcW w:w="467" w:type="pct"/>
            <w:tcBorders>
              <w:top w:val="single" w:color="auto" w:sz="4" w:space="0"/>
              <w:left w:val="single" w:color="auto" w:sz="4" w:space="0"/>
              <w:bottom w:val="single" w:color="auto" w:sz="4" w:space="0"/>
              <w:right w:val="single" w:color="auto" w:sz="4" w:space="0"/>
            </w:tcBorders>
            <w:shd w:val="clear" w:color="auto" w:fill="auto"/>
            <w:vAlign w:val="center"/>
          </w:tcPr>
          <w:p w14:paraId="7DEE6408">
            <w:pPr>
              <w:pStyle w:val="45"/>
              <w:bidi w:val="0"/>
              <w:rPr>
                <w:rFonts w:hint="default"/>
              </w:rPr>
            </w:pPr>
            <w:r>
              <w:rPr>
                <w:rFonts w:hint="default"/>
                <w:lang w:val="en-US" w:eastAsia="zh-CN"/>
              </w:rPr>
              <w:t>7.53</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62655CF8">
            <w:pPr>
              <w:pStyle w:val="45"/>
              <w:bidi w:val="0"/>
              <w:rPr>
                <w:rFonts w:hint="default"/>
              </w:rPr>
            </w:pPr>
            <w:r>
              <w:rPr>
                <w:rFonts w:hint="default"/>
                <w:lang w:val="en-US" w:eastAsia="zh-CN"/>
              </w:rPr>
              <w:t>20</w:t>
            </w:r>
          </w:p>
        </w:tc>
        <w:tc>
          <w:tcPr>
            <w:tcW w:w="382" w:type="pct"/>
            <w:tcBorders>
              <w:top w:val="single" w:color="auto" w:sz="4" w:space="0"/>
              <w:left w:val="single" w:color="auto" w:sz="4" w:space="0"/>
              <w:bottom w:val="single" w:color="auto" w:sz="4" w:space="0"/>
              <w:right w:val="single" w:color="auto" w:sz="4" w:space="0"/>
            </w:tcBorders>
            <w:shd w:val="clear" w:color="auto" w:fill="auto"/>
            <w:vAlign w:val="center"/>
          </w:tcPr>
          <w:p w14:paraId="197381A5">
            <w:pPr>
              <w:pStyle w:val="45"/>
              <w:bidi w:val="0"/>
              <w:rPr>
                <w:rFonts w:hint="eastAsia"/>
              </w:rPr>
            </w:pPr>
            <w:r>
              <w:rPr>
                <w:rFonts w:hint="eastAsia"/>
                <w:lang w:val="en-US" w:eastAsia="zh-CN"/>
              </w:rPr>
              <w:t>0.0109（逸散进入除次钠工段）</w:t>
            </w:r>
          </w:p>
        </w:tc>
        <w:tc>
          <w:tcPr>
            <w:tcW w:w="33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AC080EE">
            <w:pPr>
              <w:pStyle w:val="45"/>
              <w:bidi w:val="0"/>
              <w:rPr>
                <w:rFonts w:hint="eastAsia"/>
              </w:rPr>
            </w:pPr>
            <w:r>
              <w:rPr>
                <w:rFonts w:hint="eastAsia"/>
                <w:lang w:val="en-US" w:eastAsia="zh-CN"/>
              </w:rPr>
              <w:t>0.1084</w:t>
            </w:r>
          </w:p>
        </w:tc>
      </w:tr>
      <w:tr w14:paraId="37C150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18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51544C9">
            <w:pPr>
              <w:pStyle w:val="45"/>
              <w:bidi w:val="0"/>
              <w:rPr>
                <w:rFonts w:hint="eastAsia"/>
              </w:rPr>
            </w:pPr>
          </w:p>
        </w:tc>
        <w:tc>
          <w:tcPr>
            <w:tcW w:w="20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1222CB4">
            <w:pPr>
              <w:pStyle w:val="45"/>
              <w:bidi w:val="0"/>
              <w:rPr>
                <w:rFonts w:hint="eastAsia"/>
              </w:rPr>
            </w:pPr>
            <w:r>
              <w:rPr>
                <w:rFonts w:hint="eastAsia"/>
                <w:lang w:val="en-US" w:eastAsia="zh-CN"/>
              </w:rPr>
              <w:t>除次钠尾气</w:t>
            </w:r>
          </w:p>
        </w:tc>
        <w:tc>
          <w:tcPr>
            <w:tcW w:w="31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90DCFEC">
            <w:pPr>
              <w:pStyle w:val="45"/>
              <w:bidi w:val="0"/>
              <w:rPr>
                <w:rFonts w:hint="default"/>
              </w:rPr>
            </w:pPr>
            <w:r>
              <w:rPr>
                <w:rFonts w:hint="default"/>
                <w:lang w:val="en-US" w:eastAsia="zh-CN"/>
              </w:rPr>
              <w:t>DA002</w:t>
            </w:r>
          </w:p>
        </w:tc>
        <w:tc>
          <w:tcPr>
            <w:tcW w:w="166" w:type="pct"/>
            <w:tcBorders>
              <w:top w:val="single" w:color="auto" w:sz="4" w:space="0"/>
              <w:left w:val="single" w:color="auto" w:sz="4" w:space="0"/>
              <w:bottom w:val="single" w:color="auto" w:sz="4" w:space="0"/>
              <w:right w:val="single" w:color="auto" w:sz="4" w:space="0"/>
            </w:tcBorders>
            <w:shd w:val="clear" w:color="auto" w:fill="auto"/>
            <w:vAlign w:val="center"/>
          </w:tcPr>
          <w:p w14:paraId="11466587">
            <w:pPr>
              <w:pStyle w:val="45"/>
              <w:bidi w:val="0"/>
              <w:rPr>
                <w:rFonts w:hint="eastAsia"/>
              </w:rPr>
            </w:pPr>
            <w:r>
              <w:rPr>
                <w:rFonts w:hint="eastAsia"/>
                <w:lang w:val="en-US" w:eastAsia="zh-CN"/>
              </w:rPr>
              <w:t>氯气</w:t>
            </w:r>
          </w:p>
        </w:tc>
        <w:tc>
          <w:tcPr>
            <w:tcW w:w="323" w:type="pct"/>
            <w:tcBorders>
              <w:top w:val="single" w:color="auto" w:sz="4" w:space="0"/>
              <w:left w:val="single" w:color="auto" w:sz="4" w:space="0"/>
              <w:bottom w:val="single" w:color="auto" w:sz="4" w:space="0"/>
              <w:right w:val="single" w:color="auto" w:sz="4" w:space="0"/>
            </w:tcBorders>
            <w:shd w:val="clear" w:color="auto" w:fill="auto"/>
            <w:vAlign w:val="center"/>
          </w:tcPr>
          <w:p w14:paraId="751C0B32">
            <w:pPr>
              <w:pStyle w:val="45"/>
              <w:bidi w:val="0"/>
              <w:rPr>
                <w:rFonts w:hint="default"/>
              </w:rPr>
            </w:pPr>
            <w:r>
              <w:rPr>
                <w:rFonts w:hint="default"/>
                <w:lang w:val="en-US" w:eastAsia="zh-CN"/>
              </w:rPr>
              <w:t>0.0105</w:t>
            </w:r>
          </w:p>
        </w:tc>
        <w:tc>
          <w:tcPr>
            <w:tcW w:w="388" w:type="pct"/>
            <w:tcBorders>
              <w:top w:val="single" w:color="auto" w:sz="4" w:space="0"/>
              <w:left w:val="single" w:color="auto" w:sz="4" w:space="0"/>
              <w:bottom w:val="single" w:color="auto" w:sz="4" w:space="0"/>
              <w:right w:val="single" w:color="auto" w:sz="4" w:space="0"/>
            </w:tcBorders>
            <w:shd w:val="clear" w:color="auto" w:fill="auto"/>
            <w:vAlign w:val="center"/>
          </w:tcPr>
          <w:p w14:paraId="2D43AB39">
            <w:pPr>
              <w:pStyle w:val="45"/>
              <w:bidi w:val="0"/>
              <w:rPr>
                <w:rFonts w:hint="default"/>
              </w:rPr>
            </w:pPr>
            <w:r>
              <w:rPr>
                <w:rFonts w:hint="default"/>
                <w:lang w:val="en-US" w:eastAsia="zh-CN"/>
              </w:rPr>
              <w:t>0.0015</w:t>
            </w:r>
          </w:p>
        </w:tc>
        <w:tc>
          <w:tcPr>
            <w:tcW w:w="57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1B8F41B">
            <w:pPr>
              <w:pStyle w:val="45"/>
              <w:bidi w:val="0"/>
              <w:rPr>
                <w:rFonts w:hint="eastAsia"/>
              </w:rPr>
            </w:pPr>
            <w:r>
              <w:rPr>
                <w:rFonts w:hint="eastAsia"/>
                <w:lang w:val="en-US" w:eastAsia="zh-CN"/>
              </w:rPr>
              <w:t>一级碱洗+25m高排气筒（DA002）</w:t>
            </w:r>
          </w:p>
        </w:tc>
        <w:tc>
          <w:tcPr>
            <w:tcW w:w="235" w:type="pct"/>
            <w:tcBorders>
              <w:top w:val="single" w:color="auto" w:sz="4" w:space="0"/>
              <w:left w:val="single" w:color="auto" w:sz="4" w:space="0"/>
              <w:bottom w:val="single" w:color="auto" w:sz="4" w:space="0"/>
              <w:right w:val="single" w:color="auto" w:sz="4" w:space="0"/>
            </w:tcBorders>
            <w:shd w:val="clear" w:color="auto" w:fill="auto"/>
            <w:vAlign w:val="center"/>
          </w:tcPr>
          <w:p w14:paraId="7FC48C1A">
            <w:pPr>
              <w:pStyle w:val="45"/>
              <w:bidi w:val="0"/>
              <w:rPr>
                <w:rFonts w:hint="default"/>
              </w:rPr>
            </w:pPr>
            <w:r>
              <w:rPr>
                <w:rFonts w:hint="default"/>
                <w:lang w:val="en-US" w:eastAsia="zh-CN"/>
              </w:rPr>
              <w:t>100</w:t>
            </w:r>
          </w:p>
        </w:tc>
        <w:tc>
          <w:tcPr>
            <w:tcW w:w="218" w:type="pct"/>
            <w:tcBorders>
              <w:top w:val="single" w:color="auto" w:sz="4" w:space="0"/>
              <w:left w:val="single" w:color="auto" w:sz="4" w:space="0"/>
              <w:bottom w:val="single" w:color="auto" w:sz="4" w:space="0"/>
              <w:right w:val="single" w:color="auto" w:sz="4" w:space="0"/>
            </w:tcBorders>
            <w:shd w:val="clear" w:color="auto" w:fill="auto"/>
            <w:vAlign w:val="center"/>
          </w:tcPr>
          <w:p w14:paraId="248599ED">
            <w:pPr>
              <w:pStyle w:val="45"/>
              <w:bidi w:val="0"/>
              <w:rPr>
                <w:rFonts w:hint="default"/>
              </w:rPr>
            </w:pPr>
            <w:r>
              <w:rPr>
                <w:rFonts w:hint="default"/>
                <w:lang w:val="en-US" w:eastAsia="zh-CN"/>
              </w:rPr>
              <w:t>30</w:t>
            </w:r>
          </w:p>
        </w:tc>
        <w:tc>
          <w:tcPr>
            <w:tcW w:w="345" w:type="pct"/>
            <w:tcBorders>
              <w:top w:val="single" w:color="auto" w:sz="4" w:space="0"/>
              <w:left w:val="single" w:color="auto" w:sz="4" w:space="0"/>
              <w:bottom w:val="single" w:color="auto" w:sz="4" w:space="0"/>
              <w:right w:val="single" w:color="auto" w:sz="4" w:space="0"/>
            </w:tcBorders>
            <w:shd w:val="clear" w:color="auto" w:fill="auto"/>
            <w:vAlign w:val="center"/>
          </w:tcPr>
          <w:p w14:paraId="66F83E7B">
            <w:pPr>
              <w:pStyle w:val="45"/>
              <w:bidi w:val="0"/>
              <w:rPr>
                <w:rFonts w:hint="default"/>
              </w:rPr>
            </w:pPr>
            <w:r>
              <w:rPr>
                <w:rFonts w:hint="default"/>
                <w:lang w:val="en-US" w:eastAsia="zh-CN"/>
              </w:rPr>
              <w:t>0.0074</w:t>
            </w:r>
          </w:p>
        </w:tc>
        <w:tc>
          <w:tcPr>
            <w:tcW w:w="388" w:type="pct"/>
            <w:tcBorders>
              <w:top w:val="single" w:color="auto" w:sz="4" w:space="0"/>
              <w:left w:val="single" w:color="auto" w:sz="4" w:space="0"/>
              <w:bottom w:val="single" w:color="auto" w:sz="4" w:space="0"/>
              <w:right w:val="single" w:color="auto" w:sz="4" w:space="0"/>
            </w:tcBorders>
            <w:shd w:val="clear" w:color="auto" w:fill="auto"/>
            <w:vAlign w:val="center"/>
          </w:tcPr>
          <w:p w14:paraId="4C749662">
            <w:pPr>
              <w:pStyle w:val="45"/>
              <w:bidi w:val="0"/>
              <w:rPr>
                <w:rFonts w:hint="default"/>
              </w:rPr>
            </w:pPr>
            <w:r>
              <w:rPr>
                <w:rFonts w:hint="default"/>
                <w:lang w:val="en-US" w:eastAsia="zh-CN"/>
              </w:rPr>
              <w:t xml:space="preserve">0.0010 </w:t>
            </w:r>
          </w:p>
        </w:tc>
        <w:tc>
          <w:tcPr>
            <w:tcW w:w="467" w:type="pct"/>
            <w:tcBorders>
              <w:top w:val="single" w:color="auto" w:sz="4" w:space="0"/>
              <w:left w:val="single" w:color="auto" w:sz="4" w:space="0"/>
              <w:bottom w:val="single" w:color="auto" w:sz="4" w:space="0"/>
              <w:right w:val="single" w:color="auto" w:sz="4" w:space="0"/>
            </w:tcBorders>
            <w:shd w:val="clear" w:color="auto" w:fill="auto"/>
            <w:vAlign w:val="center"/>
          </w:tcPr>
          <w:p w14:paraId="0424D4A5">
            <w:pPr>
              <w:pStyle w:val="45"/>
              <w:bidi w:val="0"/>
              <w:rPr>
                <w:rFonts w:hint="default"/>
              </w:rPr>
            </w:pPr>
            <w:r>
              <w:rPr>
                <w:rFonts w:hint="default"/>
                <w:lang w:val="en-US" w:eastAsia="zh-CN"/>
              </w:rPr>
              <w:t>0.51</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1630BD3C">
            <w:pPr>
              <w:pStyle w:val="45"/>
              <w:bidi w:val="0"/>
              <w:rPr>
                <w:rFonts w:hint="default"/>
              </w:rPr>
            </w:pPr>
            <w:r>
              <w:rPr>
                <w:rFonts w:hint="default"/>
                <w:lang w:val="en-US" w:eastAsia="zh-CN"/>
              </w:rPr>
              <w:t>8</w:t>
            </w:r>
          </w:p>
        </w:tc>
        <w:tc>
          <w:tcPr>
            <w:tcW w:w="382"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F2EE97B">
            <w:pPr>
              <w:pStyle w:val="45"/>
              <w:bidi w:val="0"/>
              <w:rPr>
                <w:rFonts w:hint="eastAsia"/>
              </w:rPr>
            </w:pPr>
            <w:r>
              <w:rPr>
                <w:rFonts w:hint="eastAsia"/>
                <w:lang w:val="en-US" w:eastAsia="zh-CN"/>
              </w:rPr>
              <w:t>0</w:t>
            </w:r>
          </w:p>
        </w:tc>
        <w:tc>
          <w:tcPr>
            <w:tcW w:w="33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2E90434">
            <w:pPr>
              <w:pStyle w:val="45"/>
              <w:bidi w:val="0"/>
              <w:rPr>
                <w:rFonts w:hint="eastAsia"/>
              </w:rPr>
            </w:pPr>
            <w:r>
              <w:rPr>
                <w:rFonts w:hint="eastAsia"/>
                <w:lang w:val="en-US" w:eastAsia="zh-CN"/>
              </w:rPr>
              <w:t>0.0074</w:t>
            </w:r>
          </w:p>
        </w:tc>
      </w:tr>
      <w:tr w14:paraId="108B81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8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CC33674">
            <w:pPr>
              <w:pStyle w:val="45"/>
              <w:bidi w:val="0"/>
              <w:rPr>
                <w:rFonts w:hint="eastAsia"/>
              </w:rPr>
            </w:pPr>
          </w:p>
        </w:tc>
        <w:tc>
          <w:tcPr>
            <w:tcW w:w="20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4674454">
            <w:pPr>
              <w:pStyle w:val="45"/>
              <w:bidi w:val="0"/>
              <w:rPr>
                <w:rFonts w:hint="eastAsia"/>
              </w:rPr>
            </w:pPr>
          </w:p>
        </w:tc>
        <w:tc>
          <w:tcPr>
            <w:tcW w:w="311"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68DAF5F">
            <w:pPr>
              <w:pStyle w:val="45"/>
              <w:bidi w:val="0"/>
              <w:rPr>
                <w:rFonts w:hint="default"/>
              </w:rPr>
            </w:pPr>
          </w:p>
        </w:tc>
        <w:tc>
          <w:tcPr>
            <w:tcW w:w="166" w:type="pct"/>
            <w:tcBorders>
              <w:top w:val="single" w:color="auto" w:sz="4" w:space="0"/>
              <w:left w:val="single" w:color="auto" w:sz="4" w:space="0"/>
              <w:bottom w:val="single" w:color="auto" w:sz="4" w:space="0"/>
              <w:right w:val="single" w:color="auto" w:sz="4" w:space="0"/>
            </w:tcBorders>
            <w:shd w:val="clear" w:color="auto" w:fill="auto"/>
            <w:vAlign w:val="center"/>
          </w:tcPr>
          <w:p w14:paraId="1C2FD35B">
            <w:pPr>
              <w:pStyle w:val="45"/>
              <w:bidi w:val="0"/>
              <w:rPr>
                <w:rFonts w:hint="eastAsia"/>
              </w:rPr>
            </w:pPr>
            <w:r>
              <w:rPr>
                <w:rFonts w:hint="eastAsia"/>
                <w:lang w:val="en-US" w:eastAsia="zh-CN"/>
              </w:rPr>
              <w:t>氯化氢</w:t>
            </w:r>
          </w:p>
        </w:tc>
        <w:tc>
          <w:tcPr>
            <w:tcW w:w="323" w:type="pct"/>
            <w:tcBorders>
              <w:top w:val="single" w:color="auto" w:sz="4" w:space="0"/>
              <w:left w:val="single" w:color="auto" w:sz="4" w:space="0"/>
              <w:bottom w:val="single" w:color="auto" w:sz="4" w:space="0"/>
              <w:right w:val="single" w:color="auto" w:sz="4" w:space="0"/>
            </w:tcBorders>
            <w:shd w:val="clear" w:color="auto" w:fill="auto"/>
            <w:vAlign w:val="center"/>
          </w:tcPr>
          <w:p w14:paraId="1F638C16">
            <w:pPr>
              <w:pStyle w:val="45"/>
              <w:bidi w:val="0"/>
              <w:rPr>
                <w:rFonts w:hint="default"/>
              </w:rPr>
            </w:pPr>
            <w:r>
              <w:rPr>
                <w:rFonts w:hint="default"/>
                <w:lang w:val="en-US" w:eastAsia="zh-CN"/>
              </w:rPr>
              <w:t>0.0109</w:t>
            </w:r>
          </w:p>
        </w:tc>
        <w:tc>
          <w:tcPr>
            <w:tcW w:w="388" w:type="pct"/>
            <w:tcBorders>
              <w:top w:val="single" w:color="auto" w:sz="4" w:space="0"/>
              <w:left w:val="single" w:color="auto" w:sz="4" w:space="0"/>
              <w:bottom w:val="single" w:color="auto" w:sz="4" w:space="0"/>
              <w:right w:val="single" w:color="auto" w:sz="4" w:space="0"/>
            </w:tcBorders>
            <w:shd w:val="clear" w:color="auto" w:fill="auto"/>
            <w:vAlign w:val="center"/>
          </w:tcPr>
          <w:p w14:paraId="536C2272">
            <w:pPr>
              <w:pStyle w:val="45"/>
              <w:bidi w:val="0"/>
              <w:rPr>
                <w:rFonts w:hint="default"/>
              </w:rPr>
            </w:pPr>
            <w:r>
              <w:rPr>
                <w:rFonts w:hint="default"/>
                <w:lang w:val="en-US" w:eastAsia="zh-CN"/>
              </w:rPr>
              <w:t>0.0015</w:t>
            </w:r>
          </w:p>
        </w:tc>
        <w:tc>
          <w:tcPr>
            <w:tcW w:w="57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5F5D882">
            <w:pPr>
              <w:pStyle w:val="45"/>
              <w:bidi w:val="0"/>
              <w:rPr>
                <w:rFonts w:hint="eastAsia"/>
              </w:rPr>
            </w:pPr>
          </w:p>
        </w:tc>
        <w:tc>
          <w:tcPr>
            <w:tcW w:w="235" w:type="pct"/>
            <w:tcBorders>
              <w:top w:val="single" w:color="auto" w:sz="4" w:space="0"/>
              <w:left w:val="single" w:color="auto" w:sz="4" w:space="0"/>
              <w:bottom w:val="single" w:color="auto" w:sz="4" w:space="0"/>
              <w:right w:val="single" w:color="auto" w:sz="4" w:space="0"/>
            </w:tcBorders>
            <w:shd w:val="clear" w:color="auto" w:fill="auto"/>
            <w:vAlign w:val="center"/>
          </w:tcPr>
          <w:p w14:paraId="1AF579CC">
            <w:pPr>
              <w:pStyle w:val="45"/>
              <w:bidi w:val="0"/>
              <w:rPr>
                <w:rFonts w:hint="default"/>
              </w:rPr>
            </w:pPr>
            <w:r>
              <w:rPr>
                <w:rFonts w:hint="default"/>
                <w:lang w:val="en-US" w:eastAsia="zh-CN"/>
              </w:rPr>
              <w:t>100</w:t>
            </w:r>
          </w:p>
        </w:tc>
        <w:tc>
          <w:tcPr>
            <w:tcW w:w="218" w:type="pct"/>
            <w:tcBorders>
              <w:top w:val="single" w:color="auto" w:sz="4" w:space="0"/>
              <w:left w:val="single" w:color="auto" w:sz="4" w:space="0"/>
              <w:bottom w:val="single" w:color="auto" w:sz="4" w:space="0"/>
              <w:right w:val="single" w:color="auto" w:sz="4" w:space="0"/>
            </w:tcBorders>
            <w:shd w:val="clear" w:color="auto" w:fill="auto"/>
            <w:vAlign w:val="center"/>
          </w:tcPr>
          <w:p w14:paraId="1083D966">
            <w:pPr>
              <w:pStyle w:val="45"/>
              <w:bidi w:val="0"/>
              <w:rPr>
                <w:rFonts w:hint="default"/>
              </w:rPr>
            </w:pPr>
            <w:r>
              <w:rPr>
                <w:rFonts w:hint="default"/>
                <w:lang w:val="en-US" w:eastAsia="zh-CN"/>
              </w:rPr>
              <w:t>30</w:t>
            </w:r>
          </w:p>
        </w:tc>
        <w:tc>
          <w:tcPr>
            <w:tcW w:w="345" w:type="pct"/>
            <w:tcBorders>
              <w:top w:val="single" w:color="auto" w:sz="4" w:space="0"/>
              <w:left w:val="single" w:color="auto" w:sz="4" w:space="0"/>
              <w:bottom w:val="single" w:color="auto" w:sz="4" w:space="0"/>
              <w:right w:val="single" w:color="auto" w:sz="4" w:space="0"/>
            </w:tcBorders>
            <w:shd w:val="clear" w:color="auto" w:fill="auto"/>
            <w:vAlign w:val="center"/>
          </w:tcPr>
          <w:p w14:paraId="33EE8FC5">
            <w:pPr>
              <w:pStyle w:val="45"/>
              <w:bidi w:val="0"/>
              <w:rPr>
                <w:rFonts w:hint="default"/>
              </w:rPr>
            </w:pPr>
            <w:r>
              <w:rPr>
                <w:rFonts w:hint="default"/>
                <w:lang w:val="en-US" w:eastAsia="zh-CN"/>
              </w:rPr>
              <w:t>0.0076</w:t>
            </w:r>
          </w:p>
        </w:tc>
        <w:tc>
          <w:tcPr>
            <w:tcW w:w="388" w:type="pct"/>
            <w:tcBorders>
              <w:top w:val="single" w:color="auto" w:sz="4" w:space="0"/>
              <w:left w:val="single" w:color="auto" w:sz="4" w:space="0"/>
              <w:bottom w:val="single" w:color="auto" w:sz="4" w:space="0"/>
              <w:right w:val="single" w:color="auto" w:sz="4" w:space="0"/>
            </w:tcBorders>
            <w:shd w:val="clear" w:color="auto" w:fill="auto"/>
            <w:vAlign w:val="center"/>
          </w:tcPr>
          <w:p w14:paraId="7D364371">
            <w:pPr>
              <w:pStyle w:val="45"/>
              <w:bidi w:val="0"/>
              <w:rPr>
                <w:rFonts w:hint="default"/>
              </w:rPr>
            </w:pPr>
            <w:r>
              <w:rPr>
                <w:rFonts w:hint="default"/>
                <w:lang w:val="en-US" w:eastAsia="zh-CN"/>
              </w:rPr>
              <w:t>0.0011</w:t>
            </w:r>
          </w:p>
        </w:tc>
        <w:tc>
          <w:tcPr>
            <w:tcW w:w="467" w:type="pct"/>
            <w:tcBorders>
              <w:top w:val="single" w:color="auto" w:sz="4" w:space="0"/>
              <w:left w:val="single" w:color="auto" w:sz="4" w:space="0"/>
              <w:bottom w:val="single" w:color="auto" w:sz="4" w:space="0"/>
              <w:right w:val="single" w:color="auto" w:sz="4" w:space="0"/>
            </w:tcBorders>
            <w:shd w:val="clear" w:color="auto" w:fill="auto"/>
            <w:vAlign w:val="center"/>
          </w:tcPr>
          <w:p w14:paraId="06EF256C">
            <w:pPr>
              <w:pStyle w:val="45"/>
              <w:bidi w:val="0"/>
              <w:rPr>
                <w:rFonts w:hint="default"/>
              </w:rPr>
            </w:pPr>
            <w:r>
              <w:rPr>
                <w:rFonts w:hint="default"/>
                <w:lang w:val="en-US" w:eastAsia="zh-CN"/>
              </w:rPr>
              <w:t>0.53</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27E582C2">
            <w:pPr>
              <w:pStyle w:val="45"/>
              <w:bidi w:val="0"/>
              <w:rPr>
                <w:rFonts w:hint="default"/>
              </w:rPr>
            </w:pPr>
            <w:r>
              <w:rPr>
                <w:rFonts w:hint="default"/>
                <w:lang w:val="en-US" w:eastAsia="zh-CN"/>
              </w:rPr>
              <w:t>20</w:t>
            </w:r>
          </w:p>
        </w:tc>
        <w:tc>
          <w:tcPr>
            <w:tcW w:w="382"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C7F096F">
            <w:pPr>
              <w:pStyle w:val="45"/>
              <w:bidi w:val="0"/>
              <w:rPr>
                <w:rFonts w:hint="eastAsia"/>
              </w:rPr>
            </w:pPr>
            <w:r>
              <w:rPr>
                <w:rFonts w:hint="eastAsia"/>
                <w:lang w:val="en-US" w:eastAsia="zh-CN"/>
              </w:rPr>
              <w:t>0</w:t>
            </w:r>
          </w:p>
        </w:tc>
        <w:tc>
          <w:tcPr>
            <w:tcW w:w="33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8AF348D">
            <w:pPr>
              <w:pStyle w:val="45"/>
              <w:bidi w:val="0"/>
              <w:rPr>
                <w:rFonts w:hint="eastAsia"/>
              </w:rPr>
            </w:pPr>
            <w:r>
              <w:rPr>
                <w:rFonts w:hint="eastAsia"/>
                <w:lang w:val="en-US" w:eastAsia="zh-CN"/>
              </w:rPr>
              <w:t>0.0076</w:t>
            </w:r>
          </w:p>
        </w:tc>
      </w:tr>
      <w:tr w14:paraId="06E3F7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18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7D16F09">
            <w:pPr>
              <w:pStyle w:val="45"/>
              <w:bidi w:val="0"/>
              <w:rPr>
                <w:rFonts w:hint="eastAsia"/>
              </w:rPr>
            </w:pPr>
            <w:r>
              <w:rPr>
                <w:rFonts w:hint="eastAsia"/>
                <w:lang w:val="en-US" w:eastAsia="zh-CN"/>
              </w:rPr>
              <w:t>二次电解装置</w:t>
            </w:r>
          </w:p>
        </w:tc>
        <w:tc>
          <w:tcPr>
            <w:tcW w:w="20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C32E6BD">
            <w:pPr>
              <w:pStyle w:val="45"/>
              <w:bidi w:val="0"/>
              <w:rPr>
                <w:rFonts w:hint="eastAsia"/>
              </w:rPr>
            </w:pPr>
            <w:r>
              <w:rPr>
                <w:rFonts w:hint="eastAsia"/>
                <w:lang w:val="en-US" w:eastAsia="zh-CN"/>
              </w:rPr>
              <w:t>二次电解尾气</w:t>
            </w:r>
            <w:r>
              <w:rPr>
                <w:rFonts w:hint="default"/>
                <w:lang w:val="en-US" w:eastAsia="zh-CN"/>
              </w:rPr>
              <w:t>1</w:t>
            </w:r>
          </w:p>
        </w:tc>
        <w:tc>
          <w:tcPr>
            <w:tcW w:w="31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88099FA">
            <w:pPr>
              <w:pStyle w:val="45"/>
              <w:bidi w:val="0"/>
              <w:rPr>
                <w:rFonts w:hint="default"/>
              </w:rPr>
            </w:pPr>
            <w:r>
              <w:rPr>
                <w:rFonts w:hint="default"/>
                <w:lang w:val="en-US" w:eastAsia="zh-CN"/>
              </w:rPr>
              <w:t>DA003</w:t>
            </w:r>
          </w:p>
        </w:tc>
        <w:tc>
          <w:tcPr>
            <w:tcW w:w="166" w:type="pct"/>
            <w:tcBorders>
              <w:top w:val="single" w:color="auto" w:sz="4" w:space="0"/>
              <w:left w:val="single" w:color="auto" w:sz="4" w:space="0"/>
              <w:bottom w:val="single" w:color="auto" w:sz="4" w:space="0"/>
              <w:right w:val="single" w:color="auto" w:sz="4" w:space="0"/>
            </w:tcBorders>
            <w:shd w:val="clear" w:color="auto" w:fill="auto"/>
            <w:vAlign w:val="center"/>
          </w:tcPr>
          <w:p w14:paraId="2B55A714">
            <w:pPr>
              <w:pStyle w:val="45"/>
              <w:bidi w:val="0"/>
              <w:rPr>
                <w:rFonts w:hint="eastAsia"/>
              </w:rPr>
            </w:pPr>
            <w:r>
              <w:rPr>
                <w:rFonts w:hint="eastAsia"/>
                <w:lang w:val="en-US" w:eastAsia="zh-CN"/>
              </w:rPr>
              <w:t>氯气</w:t>
            </w:r>
          </w:p>
        </w:tc>
        <w:tc>
          <w:tcPr>
            <w:tcW w:w="323" w:type="pct"/>
            <w:tcBorders>
              <w:top w:val="single" w:color="auto" w:sz="4" w:space="0"/>
              <w:left w:val="single" w:color="auto" w:sz="4" w:space="0"/>
              <w:bottom w:val="single" w:color="auto" w:sz="4" w:space="0"/>
              <w:right w:val="single" w:color="auto" w:sz="4" w:space="0"/>
            </w:tcBorders>
            <w:shd w:val="clear" w:color="auto" w:fill="auto"/>
            <w:vAlign w:val="center"/>
          </w:tcPr>
          <w:p w14:paraId="662884D3">
            <w:pPr>
              <w:pStyle w:val="45"/>
              <w:bidi w:val="0"/>
              <w:rPr>
                <w:rFonts w:hint="default"/>
              </w:rPr>
            </w:pPr>
            <w:r>
              <w:rPr>
                <w:rFonts w:hint="default"/>
                <w:lang w:val="en-US" w:eastAsia="zh-CN"/>
              </w:rPr>
              <w:t>0.75</w:t>
            </w:r>
          </w:p>
        </w:tc>
        <w:tc>
          <w:tcPr>
            <w:tcW w:w="388" w:type="pct"/>
            <w:tcBorders>
              <w:top w:val="single" w:color="auto" w:sz="4" w:space="0"/>
              <w:left w:val="single" w:color="auto" w:sz="4" w:space="0"/>
              <w:bottom w:val="single" w:color="auto" w:sz="4" w:space="0"/>
              <w:right w:val="single" w:color="auto" w:sz="4" w:space="0"/>
            </w:tcBorders>
            <w:shd w:val="clear" w:color="auto" w:fill="auto"/>
            <w:vAlign w:val="center"/>
          </w:tcPr>
          <w:p w14:paraId="456FB025">
            <w:pPr>
              <w:pStyle w:val="45"/>
              <w:bidi w:val="0"/>
              <w:rPr>
                <w:rFonts w:hint="default"/>
              </w:rPr>
            </w:pPr>
            <w:r>
              <w:rPr>
                <w:rFonts w:hint="default"/>
                <w:lang w:val="en-US" w:eastAsia="zh-CN"/>
              </w:rPr>
              <w:t>0.104</w:t>
            </w:r>
          </w:p>
        </w:tc>
        <w:tc>
          <w:tcPr>
            <w:tcW w:w="57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F9D3DD6">
            <w:pPr>
              <w:pStyle w:val="45"/>
              <w:bidi w:val="0"/>
              <w:rPr>
                <w:rFonts w:hint="eastAsia"/>
              </w:rPr>
            </w:pPr>
            <w:r>
              <w:rPr>
                <w:rFonts w:hint="eastAsia"/>
                <w:lang w:val="en-US" w:eastAsia="zh-CN"/>
              </w:rPr>
              <w:t>一级碱洗+25m高排气筒（DA003）</w:t>
            </w:r>
          </w:p>
        </w:tc>
        <w:tc>
          <w:tcPr>
            <w:tcW w:w="235" w:type="pct"/>
            <w:tcBorders>
              <w:top w:val="single" w:color="auto" w:sz="4" w:space="0"/>
              <w:left w:val="single" w:color="auto" w:sz="4" w:space="0"/>
              <w:bottom w:val="single" w:color="auto" w:sz="4" w:space="0"/>
              <w:right w:val="single" w:color="auto" w:sz="4" w:space="0"/>
            </w:tcBorders>
            <w:shd w:val="clear" w:color="auto" w:fill="auto"/>
            <w:vAlign w:val="center"/>
          </w:tcPr>
          <w:p w14:paraId="7879AD90">
            <w:pPr>
              <w:pStyle w:val="45"/>
              <w:bidi w:val="0"/>
              <w:rPr>
                <w:rFonts w:hint="default"/>
              </w:rPr>
            </w:pPr>
            <w:r>
              <w:rPr>
                <w:rFonts w:hint="default"/>
                <w:lang w:val="en-US" w:eastAsia="zh-CN"/>
              </w:rPr>
              <w:t>100</w:t>
            </w:r>
          </w:p>
        </w:tc>
        <w:tc>
          <w:tcPr>
            <w:tcW w:w="218" w:type="pct"/>
            <w:tcBorders>
              <w:top w:val="single" w:color="auto" w:sz="4" w:space="0"/>
              <w:left w:val="single" w:color="auto" w:sz="4" w:space="0"/>
              <w:bottom w:val="single" w:color="auto" w:sz="4" w:space="0"/>
              <w:right w:val="single" w:color="auto" w:sz="4" w:space="0"/>
            </w:tcBorders>
            <w:shd w:val="clear" w:color="auto" w:fill="auto"/>
            <w:vAlign w:val="center"/>
          </w:tcPr>
          <w:p w14:paraId="2222C3F1">
            <w:pPr>
              <w:pStyle w:val="45"/>
              <w:bidi w:val="0"/>
              <w:rPr>
                <w:rFonts w:hint="default"/>
              </w:rPr>
            </w:pPr>
            <w:r>
              <w:rPr>
                <w:rFonts w:hint="default"/>
                <w:lang w:val="en-US" w:eastAsia="zh-CN"/>
              </w:rPr>
              <w:t>90</w:t>
            </w:r>
          </w:p>
        </w:tc>
        <w:tc>
          <w:tcPr>
            <w:tcW w:w="345" w:type="pct"/>
            <w:tcBorders>
              <w:top w:val="single" w:color="auto" w:sz="4" w:space="0"/>
              <w:left w:val="single" w:color="auto" w:sz="4" w:space="0"/>
              <w:bottom w:val="single" w:color="auto" w:sz="4" w:space="0"/>
              <w:right w:val="single" w:color="auto" w:sz="4" w:space="0"/>
            </w:tcBorders>
            <w:shd w:val="clear" w:color="auto" w:fill="auto"/>
            <w:vAlign w:val="center"/>
          </w:tcPr>
          <w:p w14:paraId="3E826158">
            <w:pPr>
              <w:pStyle w:val="45"/>
              <w:bidi w:val="0"/>
              <w:rPr>
                <w:rFonts w:hint="default"/>
              </w:rPr>
            </w:pPr>
            <w:r>
              <w:rPr>
                <w:rFonts w:hint="default"/>
                <w:lang w:val="en-US" w:eastAsia="zh-CN"/>
              </w:rPr>
              <w:t>0.075</w:t>
            </w:r>
          </w:p>
        </w:tc>
        <w:tc>
          <w:tcPr>
            <w:tcW w:w="388" w:type="pct"/>
            <w:tcBorders>
              <w:top w:val="single" w:color="auto" w:sz="4" w:space="0"/>
              <w:left w:val="single" w:color="auto" w:sz="4" w:space="0"/>
              <w:bottom w:val="single" w:color="auto" w:sz="4" w:space="0"/>
              <w:right w:val="single" w:color="auto" w:sz="4" w:space="0"/>
            </w:tcBorders>
            <w:shd w:val="clear" w:color="auto" w:fill="auto"/>
            <w:vAlign w:val="center"/>
          </w:tcPr>
          <w:p w14:paraId="32B0D94C">
            <w:pPr>
              <w:pStyle w:val="45"/>
              <w:bidi w:val="0"/>
              <w:rPr>
                <w:rFonts w:hint="default"/>
              </w:rPr>
            </w:pPr>
            <w:r>
              <w:rPr>
                <w:rFonts w:hint="default"/>
                <w:lang w:val="en-US" w:eastAsia="zh-CN"/>
              </w:rPr>
              <w:t>0.0104</w:t>
            </w:r>
          </w:p>
        </w:tc>
        <w:tc>
          <w:tcPr>
            <w:tcW w:w="467" w:type="pct"/>
            <w:tcBorders>
              <w:top w:val="single" w:color="auto" w:sz="4" w:space="0"/>
              <w:left w:val="single" w:color="auto" w:sz="4" w:space="0"/>
              <w:bottom w:val="single" w:color="auto" w:sz="4" w:space="0"/>
              <w:right w:val="single" w:color="auto" w:sz="4" w:space="0"/>
            </w:tcBorders>
            <w:shd w:val="clear" w:color="auto" w:fill="auto"/>
            <w:vAlign w:val="center"/>
          </w:tcPr>
          <w:p w14:paraId="6FB194B7">
            <w:pPr>
              <w:pStyle w:val="45"/>
              <w:bidi w:val="0"/>
              <w:rPr>
                <w:rFonts w:hint="default"/>
              </w:rPr>
            </w:pPr>
            <w:r>
              <w:rPr>
                <w:rFonts w:hint="default"/>
                <w:lang w:val="en-US" w:eastAsia="zh-CN"/>
              </w:rPr>
              <w:t>5.21</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511B9DA6">
            <w:pPr>
              <w:pStyle w:val="45"/>
              <w:bidi w:val="0"/>
              <w:rPr>
                <w:rFonts w:hint="default"/>
              </w:rPr>
            </w:pPr>
            <w:r>
              <w:rPr>
                <w:rFonts w:hint="default"/>
                <w:lang w:val="en-US" w:eastAsia="zh-CN"/>
              </w:rPr>
              <w:t>8</w:t>
            </w:r>
          </w:p>
        </w:tc>
        <w:tc>
          <w:tcPr>
            <w:tcW w:w="382"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1640A40">
            <w:pPr>
              <w:pStyle w:val="45"/>
              <w:bidi w:val="0"/>
              <w:rPr>
                <w:rFonts w:hint="eastAsia"/>
              </w:rPr>
            </w:pPr>
            <w:r>
              <w:rPr>
                <w:rFonts w:hint="eastAsia"/>
                <w:lang w:val="en-US" w:eastAsia="zh-CN"/>
              </w:rPr>
              <w:t>0</w:t>
            </w:r>
          </w:p>
        </w:tc>
        <w:tc>
          <w:tcPr>
            <w:tcW w:w="33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28DBB70">
            <w:pPr>
              <w:pStyle w:val="45"/>
              <w:bidi w:val="0"/>
              <w:rPr>
                <w:rFonts w:hint="eastAsia"/>
              </w:rPr>
            </w:pPr>
            <w:r>
              <w:rPr>
                <w:rFonts w:hint="eastAsia"/>
                <w:lang w:val="en-US" w:eastAsia="zh-CN"/>
              </w:rPr>
              <w:t>0.075</w:t>
            </w:r>
          </w:p>
        </w:tc>
      </w:tr>
      <w:tr w14:paraId="01A5FD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8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20CF072">
            <w:pPr>
              <w:pStyle w:val="45"/>
              <w:bidi w:val="0"/>
              <w:rPr>
                <w:rFonts w:hint="eastAsia"/>
              </w:rPr>
            </w:pPr>
          </w:p>
        </w:tc>
        <w:tc>
          <w:tcPr>
            <w:tcW w:w="20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72BA680">
            <w:pPr>
              <w:pStyle w:val="45"/>
              <w:bidi w:val="0"/>
              <w:rPr>
                <w:rFonts w:hint="eastAsia"/>
              </w:rPr>
            </w:pPr>
          </w:p>
        </w:tc>
        <w:tc>
          <w:tcPr>
            <w:tcW w:w="311"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E8E37A8">
            <w:pPr>
              <w:pStyle w:val="45"/>
              <w:bidi w:val="0"/>
              <w:rPr>
                <w:rFonts w:hint="default"/>
              </w:rPr>
            </w:pPr>
          </w:p>
        </w:tc>
        <w:tc>
          <w:tcPr>
            <w:tcW w:w="166" w:type="pct"/>
            <w:tcBorders>
              <w:top w:val="single" w:color="auto" w:sz="4" w:space="0"/>
              <w:left w:val="single" w:color="auto" w:sz="4" w:space="0"/>
              <w:bottom w:val="single" w:color="auto" w:sz="4" w:space="0"/>
              <w:right w:val="single" w:color="auto" w:sz="4" w:space="0"/>
            </w:tcBorders>
            <w:shd w:val="clear" w:color="auto" w:fill="auto"/>
            <w:vAlign w:val="center"/>
          </w:tcPr>
          <w:p w14:paraId="054BE126">
            <w:pPr>
              <w:pStyle w:val="45"/>
              <w:bidi w:val="0"/>
              <w:rPr>
                <w:rFonts w:hint="eastAsia"/>
              </w:rPr>
            </w:pPr>
            <w:r>
              <w:rPr>
                <w:rFonts w:hint="eastAsia"/>
                <w:lang w:val="en-US" w:eastAsia="zh-CN"/>
              </w:rPr>
              <w:t>氯化氢</w:t>
            </w:r>
          </w:p>
        </w:tc>
        <w:tc>
          <w:tcPr>
            <w:tcW w:w="323" w:type="pct"/>
            <w:tcBorders>
              <w:top w:val="single" w:color="auto" w:sz="4" w:space="0"/>
              <w:left w:val="single" w:color="auto" w:sz="4" w:space="0"/>
              <w:bottom w:val="single" w:color="auto" w:sz="4" w:space="0"/>
              <w:right w:val="single" w:color="auto" w:sz="4" w:space="0"/>
            </w:tcBorders>
            <w:shd w:val="clear" w:color="auto" w:fill="auto"/>
            <w:vAlign w:val="center"/>
          </w:tcPr>
          <w:p w14:paraId="2CAA332F">
            <w:pPr>
              <w:pStyle w:val="45"/>
              <w:bidi w:val="0"/>
              <w:rPr>
                <w:rFonts w:hint="default"/>
              </w:rPr>
            </w:pPr>
            <w:r>
              <w:rPr>
                <w:rFonts w:hint="default"/>
                <w:lang w:val="en-US" w:eastAsia="zh-CN"/>
              </w:rPr>
              <w:t>0.87</w:t>
            </w:r>
          </w:p>
        </w:tc>
        <w:tc>
          <w:tcPr>
            <w:tcW w:w="388" w:type="pct"/>
            <w:tcBorders>
              <w:top w:val="single" w:color="auto" w:sz="4" w:space="0"/>
              <w:left w:val="single" w:color="auto" w:sz="4" w:space="0"/>
              <w:bottom w:val="single" w:color="auto" w:sz="4" w:space="0"/>
              <w:right w:val="single" w:color="auto" w:sz="4" w:space="0"/>
            </w:tcBorders>
            <w:shd w:val="clear" w:color="auto" w:fill="auto"/>
            <w:vAlign w:val="center"/>
          </w:tcPr>
          <w:p w14:paraId="7E28C1E0">
            <w:pPr>
              <w:pStyle w:val="45"/>
              <w:bidi w:val="0"/>
              <w:rPr>
                <w:rFonts w:hint="default"/>
              </w:rPr>
            </w:pPr>
            <w:r>
              <w:rPr>
                <w:rFonts w:hint="default"/>
                <w:lang w:val="en-US" w:eastAsia="zh-CN"/>
              </w:rPr>
              <w:t>0.121</w:t>
            </w:r>
          </w:p>
        </w:tc>
        <w:tc>
          <w:tcPr>
            <w:tcW w:w="57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C9A0CFF">
            <w:pPr>
              <w:pStyle w:val="45"/>
              <w:bidi w:val="0"/>
              <w:rPr>
                <w:rFonts w:hint="eastAsia"/>
              </w:rPr>
            </w:pPr>
          </w:p>
        </w:tc>
        <w:tc>
          <w:tcPr>
            <w:tcW w:w="235" w:type="pct"/>
            <w:tcBorders>
              <w:top w:val="single" w:color="auto" w:sz="4" w:space="0"/>
              <w:left w:val="single" w:color="auto" w:sz="4" w:space="0"/>
              <w:bottom w:val="single" w:color="auto" w:sz="4" w:space="0"/>
              <w:right w:val="single" w:color="auto" w:sz="4" w:space="0"/>
            </w:tcBorders>
            <w:shd w:val="clear" w:color="auto" w:fill="auto"/>
            <w:vAlign w:val="center"/>
          </w:tcPr>
          <w:p w14:paraId="5FEB4D93">
            <w:pPr>
              <w:pStyle w:val="45"/>
              <w:bidi w:val="0"/>
              <w:rPr>
                <w:rFonts w:hint="default"/>
              </w:rPr>
            </w:pPr>
            <w:r>
              <w:rPr>
                <w:rFonts w:hint="default"/>
                <w:lang w:val="en-US" w:eastAsia="zh-CN"/>
              </w:rPr>
              <w:t>100</w:t>
            </w:r>
          </w:p>
        </w:tc>
        <w:tc>
          <w:tcPr>
            <w:tcW w:w="218" w:type="pct"/>
            <w:tcBorders>
              <w:top w:val="single" w:color="auto" w:sz="4" w:space="0"/>
              <w:left w:val="single" w:color="auto" w:sz="4" w:space="0"/>
              <w:bottom w:val="single" w:color="auto" w:sz="4" w:space="0"/>
              <w:right w:val="single" w:color="auto" w:sz="4" w:space="0"/>
            </w:tcBorders>
            <w:shd w:val="clear" w:color="auto" w:fill="auto"/>
            <w:vAlign w:val="center"/>
          </w:tcPr>
          <w:p w14:paraId="19B3A536">
            <w:pPr>
              <w:pStyle w:val="45"/>
              <w:bidi w:val="0"/>
              <w:rPr>
                <w:rFonts w:hint="default"/>
              </w:rPr>
            </w:pPr>
            <w:r>
              <w:rPr>
                <w:rFonts w:hint="default"/>
                <w:lang w:val="en-US" w:eastAsia="zh-CN"/>
              </w:rPr>
              <w:t>90</w:t>
            </w:r>
          </w:p>
        </w:tc>
        <w:tc>
          <w:tcPr>
            <w:tcW w:w="345" w:type="pct"/>
            <w:tcBorders>
              <w:top w:val="single" w:color="auto" w:sz="4" w:space="0"/>
              <w:left w:val="single" w:color="auto" w:sz="4" w:space="0"/>
              <w:bottom w:val="single" w:color="auto" w:sz="4" w:space="0"/>
              <w:right w:val="single" w:color="auto" w:sz="4" w:space="0"/>
            </w:tcBorders>
            <w:shd w:val="clear" w:color="auto" w:fill="auto"/>
            <w:vAlign w:val="center"/>
          </w:tcPr>
          <w:p w14:paraId="4E59A5FB">
            <w:pPr>
              <w:pStyle w:val="45"/>
              <w:bidi w:val="0"/>
              <w:rPr>
                <w:rFonts w:hint="default"/>
              </w:rPr>
            </w:pPr>
            <w:r>
              <w:rPr>
                <w:rFonts w:hint="default"/>
                <w:lang w:val="en-US" w:eastAsia="zh-CN"/>
              </w:rPr>
              <w:t>0.087</w:t>
            </w:r>
          </w:p>
        </w:tc>
        <w:tc>
          <w:tcPr>
            <w:tcW w:w="388" w:type="pct"/>
            <w:tcBorders>
              <w:top w:val="single" w:color="auto" w:sz="4" w:space="0"/>
              <w:left w:val="single" w:color="auto" w:sz="4" w:space="0"/>
              <w:bottom w:val="single" w:color="auto" w:sz="4" w:space="0"/>
              <w:right w:val="single" w:color="auto" w:sz="4" w:space="0"/>
            </w:tcBorders>
            <w:shd w:val="clear" w:color="auto" w:fill="auto"/>
            <w:vAlign w:val="center"/>
          </w:tcPr>
          <w:p w14:paraId="6DB2DABD">
            <w:pPr>
              <w:pStyle w:val="45"/>
              <w:bidi w:val="0"/>
              <w:rPr>
                <w:rFonts w:hint="default"/>
              </w:rPr>
            </w:pPr>
            <w:r>
              <w:rPr>
                <w:rFonts w:hint="default"/>
                <w:lang w:val="en-US" w:eastAsia="zh-CN"/>
              </w:rPr>
              <w:t>0.0121</w:t>
            </w:r>
          </w:p>
        </w:tc>
        <w:tc>
          <w:tcPr>
            <w:tcW w:w="467" w:type="pct"/>
            <w:tcBorders>
              <w:top w:val="single" w:color="auto" w:sz="4" w:space="0"/>
              <w:left w:val="single" w:color="auto" w:sz="4" w:space="0"/>
              <w:bottom w:val="single" w:color="auto" w:sz="4" w:space="0"/>
              <w:right w:val="single" w:color="auto" w:sz="4" w:space="0"/>
            </w:tcBorders>
            <w:shd w:val="clear" w:color="auto" w:fill="auto"/>
            <w:vAlign w:val="center"/>
          </w:tcPr>
          <w:p w14:paraId="4362B0A7">
            <w:pPr>
              <w:pStyle w:val="45"/>
              <w:bidi w:val="0"/>
              <w:rPr>
                <w:rFonts w:hint="default"/>
              </w:rPr>
            </w:pPr>
            <w:r>
              <w:rPr>
                <w:rFonts w:hint="default"/>
                <w:lang w:val="en-US" w:eastAsia="zh-CN"/>
              </w:rPr>
              <w:t>6.04</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63D34277">
            <w:pPr>
              <w:pStyle w:val="45"/>
              <w:bidi w:val="0"/>
              <w:rPr>
                <w:rFonts w:hint="default"/>
              </w:rPr>
            </w:pPr>
            <w:r>
              <w:rPr>
                <w:rFonts w:hint="default"/>
                <w:lang w:val="en-US" w:eastAsia="zh-CN"/>
              </w:rPr>
              <w:t>20</w:t>
            </w:r>
          </w:p>
        </w:tc>
        <w:tc>
          <w:tcPr>
            <w:tcW w:w="382"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CF33125">
            <w:pPr>
              <w:pStyle w:val="45"/>
              <w:bidi w:val="0"/>
              <w:rPr>
                <w:rFonts w:hint="eastAsia"/>
              </w:rPr>
            </w:pPr>
            <w:r>
              <w:rPr>
                <w:rFonts w:hint="eastAsia"/>
                <w:lang w:val="en-US" w:eastAsia="zh-CN"/>
              </w:rPr>
              <w:t>0</w:t>
            </w:r>
          </w:p>
        </w:tc>
        <w:tc>
          <w:tcPr>
            <w:tcW w:w="33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6CEA7DB">
            <w:pPr>
              <w:pStyle w:val="45"/>
              <w:bidi w:val="0"/>
              <w:rPr>
                <w:rFonts w:hint="eastAsia"/>
              </w:rPr>
            </w:pPr>
            <w:r>
              <w:rPr>
                <w:rFonts w:hint="eastAsia"/>
                <w:lang w:val="en-US" w:eastAsia="zh-CN"/>
              </w:rPr>
              <w:t>0.087</w:t>
            </w:r>
          </w:p>
        </w:tc>
      </w:tr>
      <w:tr w14:paraId="31C5E3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8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1D09C4C">
            <w:pPr>
              <w:pStyle w:val="45"/>
              <w:bidi w:val="0"/>
              <w:rPr>
                <w:rFonts w:hint="eastAsia"/>
              </w:rPr>
            </w:pPr>
          </w:p>
        </w:tc>
        <w:tc>
          <w:tcPr>
            <w:tcW w:w="20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1CFC44A">
            <w:pPr>
              <w:pStyle w:val="45"/>
              <w:bidi w:val="0"/>
              <w:rPr>
                <w:rFonts w:hint="eastAsia"/>
              </w:rPr>
            </w:pPr>
            <w:r>
              <w:rPr>
                <w:rFonts w:hint="eastAsia"/>
                <w:lang w:val="en-US" w:eastAsia="zh-CN"/>
              </w:rPr>
              <w:t>二次电解尾气</w:t>
            </w:r>
            <w:r>
              <w:rPr>
                <w:rFonts w:hint="default"/>
                <w:lang w:val="en-US" w:eastAsia="zh-CN"/>
              </w:rPr>
              <w:t>2</w:t>
            </w:r>
          </w:p>
        </w:tc>
        <w:tc>
          <w:tcPr>
            <w:tcW w:w="31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5AF6046">
            <w:pPr>
              <w:pStyle w:val="45"/>
              <w:bidi w:val="0"/>
              <w:rPr>
                <w:rFonts w:hint="default"/>
              </w:rPr>
            </w:pPr>
            <w:r>
              <w:rPr>
                <w:rFonts w:hint="default"/>
                <w:lang w:val="en-US" w:eastAsia="zh-CN"/>
              </w:rPr>
              <w:t>DA004</w:t>
            </w:r>
          </w:p>
        </w:tc>
        <w:tc>
          <w:tcPr>
            <w:tcW w:w="166" w:type="pct"/>
            <w:tcBorders>
              <w:top w:val="single" w:color="auto" w:sz="4" w:space="0"/>
              <w:left w:val="single" w:color="auto" w:sz="4" w:space="0"/>
              <w:bottom w:val="single" w:color="auto" w:sz="4" w:space="0"/>
              <w:right w:val="single" w:color="auto" w:sz="4" w:space="0"/>
            </w:tcBorders>
            <w:shd w:val="clear" w:color="auto" w:fill="auto"/>
            <w:vAlign w:val="center"/>
          </w:tcPr>
          <w:p w14:paraId="0FAE0774">
            <w:pPr>
              <w:pStyle w:val="45"/>
              <w:bidi w:val="0"/>
              <w:rPr>
                <w:rFonts w:hint="eastAsia"/>
              </w:rPr>
            </w:pPr>
            <w:r>
              <w:rPr>
                <w:rFonts w:hint="eastAsia"/>
                <w:lang w:val="en-US" w:eastAsia="zh-CN"/>
              </w:rPr>
              <w:t>氯气</w:t>
            </w:r>
          </w:p>
        </w:tc>
        <w:tc>
          <w:tcPr>
            <w:tcW w:w="323" w:type="pct"/>
            <w:tcBorders>
              <w:top w:val="single" w:color="auto" w:sz="4" w:space="0"/>
              <w:left w:val="single" w:color="auto" w:sz="4" w:space="0"/>
              <w:bottom w:val="single" w:color="auto" w:sz="4" w:space="0"/>
              <w:right w:val="single" w:color="auto" w:sz="4" w:space="0"/>
            </w:tcBorders>
            <w:shd w:val="clear" w:color="auto" w:fill="auto"/>
            <w:vAlign w:val="center"/>
          </w:tcPr>
          <w:p w14:paraId="19FD0500">
            <w:pPr>
              <w:pStyle w:val="45"/>
              <w:bidi w:val="0"/>
              <w:rPr>
                <w:rFonts w:hint="default"/>
              </w:rPr>
            </w:pPr>
            <w:r>
              <w:rPr>
                <w:rFonts w:hint="default"/>
                <w:lang w:val="en-US" w:eastAsia="zh-CN"/>
              </w:rPr>
              <w:t>0.75</w:t>
            </w:r>
          </w:p>
        </w:tc>
        <w:tc>
          <w:tcPr>
            <w:tcW w:w="388" w:type="pct"/>
            <w:tcBorders>
              <w:top w:val="single" w:color="auto" w:sz="4" w:space="0"/>
              <w:left w:val="single" w:color="auto" w:sz="4" w:space="0"/>
              <w:bottom w:val="single" w:color="auto" w:sz="4" w:space="0"/>
              <w:right w:val="single" w:color="auto" w:sz="4" w:space="0"/>
            </w:tcBorders>
            <w:shd w:val="clear" w:color="auto" w:fill="auto"/>
            <w:vAlign w:val="center"/>
          </w:tcPr>
          <w:p w14:paraId="7B7104EC">
            <w:pPr>
              <w:pStyle w:val="45"/>
              <w:bidi w:val="0"/>
              <w:rPr>
                <w:rFonts w:hint="default"/>
              </w:rPr>
            </w:pPr>
            <w:r>
              <w:rPr>
                <w:rFonts w:hint="default"/>
                <w:lang w:val="en-US" w:eastAsia="zh-CN"/>
              </w:rPr>
              <w:t>0.104</w:t>
            </w:r>
          </w:p>
        </w:tc>
        <w:tc>
          <w:tcPr>
            <w:tcW w:w="57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DCA8607">
            <w:pPr>
              <w:pStyle w:val="45"/>
              <w:bidi w:val="0"/>
              <w:rPr>
                <w:rFonts w:hint="eastAsia"/>
              </w:rPr>
            </w:pPr>
            <w:r>
              <w:rPr>
                <w:rFonts w:hint="eastAsia"/>
                <w:lang w:val="en-US" w:eastAsia="zh-CN"/>
              </w:rPr>
              <w:t>一级碱洗+25m高排气筒（DA004）</w:t>
            </w:r>
          </w:p>
        </w:tc>
        <w:tc>
          <w:tcPr>
            <w:tcW w:w="235" w:type="pct"/>
            <w:tcBorders>
              <w:top w:val="single" w:color="auto" w:sz="4" w:space="0"/>
              <w:left w:val="single" w:color="auto" w:sz="4" w:space="0"/>
              <w:bottom w:val="single" w:color="auto" w:sz="4" w:space="0"/>
              <w:right w:val="single" w:color="auto" w:sz="4" w:space="0"/>
            </w:tcBorders>
            <w:shd w:val="clear" w:color="auto" w:fill="auto"/>
            <w:vAlign w:val="center"/>
          </w:tcPr>
          <w:p w14:paraId="1BADA675">
            <w:pPr>
              <w:pStyle w:val="45"/>
              <w:bidi w:val="0"/>
              <w:rPr>
                <w:rFonts w:hint="default"/>
              </w:rPr>
            </w:pPr>
            <w:r>
              <w:rPr>
                <w:rFonts w:hint="default"/>
                <w:lang w:val="en-US" w:eastAsia="zh-CN"/>
              </w:rPr>
              <w:t>100</w:t>
            </w:r>
          </w:p>
        </w:tc>
        <w:tc>
          <w:tcPr>
            <w:tcW w:w="218" w:type="pct"/>
            <w:tcBorders>
              <w:top w:val="single" w:color="auto" w:sz="4" w:space="0"/>
              <w:left w:val="single" w:color="auto" w:sz="4" w:space="0"/>
              <w:bottom w:val="single" w:color="auto" w:sz="4" w:space="0"/>
              <w:right w:val="single" w:color="auto" w:sz="4" w:space="0"/>
            </w:tcBorders>
            <w:shd w:val="clear" w:color="auto" w:fill="auto"/>
            <w:vAlign w:val="center"/>
          </w:tcPr>
          <w:p w14:paraId="574D4AF3">
            <w:pPr>
              <w:pStyle w:val="45"/>
              <w:bidi w:val="0"/>
              <w:rPr>
                <w:rFonts w:hint="default"/>
              </w:rPr>
            </w:pPr>
            <w:r>
              <w:rPr>
                <w:rFonts w:hint="default"/>
                <w:lang w:val="en-US" w:eastAsia="zh-CN"/>
              </w:rPr>
              <w:t>90</w:t>
            </w:r>
          </w:p>
        </w:tc>
        <w:tc>
          <w:tcPr>
            <w:tcW w:w="345" w:type="pct"/>
            <w:tcBorders>
              <w:top w:val="single" w:color="auto" w:sz="4" w:space="0"/>
              <w:left w:val="single" w:color="auto" w:sz="4" w:space="0"/>
              <w:bottom w:val="single" w:color="auto" w:sz="4" w:space="0"/>
              <w:right w:val="single" w:color="auto" w:sz="4" w:space="0"/>
            </w:tcBorders>
            <w:shd w:val="clear" w:color="auto" w:fill="auto"/>
            <w:vAlign w:val="center"/>
          </w:tcPr>
          <w:p w14:paraId="1E2C1B0B">
            <w:pPr>
              <w:pStyle w:val="45"/>
              <w:bidi w:val="0"/>
              <w:rPr>
                <w:rFonts w:hint="default"/>
              </w:rPr>
            </w:pPr>
            <w:r>
              <w:rPr>
                <w:rFonts w:hint="default"/>
                <w:lang w:val="en-US" w:eastAsia="zh-CN"/>
              </w:rPr>
              <w:t>0.075</w:t>
            </w:r>
          </w:p>
        </w:tc>
        <w:tc>
          <w:tcPr>
            <w:tcW w:w="388" w:type="pct"/>
            <w:tcBorders>
              <w:top w:val="single" w:color="auto" w:sz="4" w:space="0"/>
              <w:left w:val="single" w:color="auto" w:sz="4" w:space="0"/>
              <w:bottom w:val="single" w:color="auto" w:sz="4" w:space="0"/>
              <w:right w:val="single" w:color="auto" w:sz="4" w:space="0"/>
            </w:tcBorders>
            <w:shd w:val="clear" w:color="auto" w:fill="auto"/>
            <w:vAlign w:val="center"/>
          </w:tcPr>
          <w:p w14:paraId="523085F4">
            <w:pPr>
              <w:pStyle w:val="45"/>
              <w:bidi w:val="0"/>
              <w:rPr>
                <w:rFonts w:hint="default"/>
              </w:rPr>
            </w:pPr>
            <w:r>
              <w:rPr>
                <w:rFonts w:hint="default"/>
                <w:lang w:val="en-US" w:eastAsia="zh-CN"/>
              </w:rPr>
              <w:t>0.0104</w:t>
            </w:r>
          </w:p>
        </w:tc>
        <w:tc>
          <w:tcPr>
            <w:tcW w:w="467" w:type="pct"/>
            <w:tcBorders>
              <w:top w:val="single" w:color="auto" w:sz="4" w:space="0"/>
              <w:left w:val="single" w:color="auto" w:sz="4" w:space="0"/>
              <w:bottom w:val="single" w:color="auto" w:sz="4" w:space="0"/>
              <w:right w:val="single" w:color="auto" w:sz="4" w:space="0"/>
            </w:tcBorders>
            <w:shd w:val="clear" w:color="auto" w:fill="auto"/>
            <w:vAlign w:val="center"/>
          </w:tcPr>
          <w:p w14:paraId="27606D5C">
            <w:pPr>
              <w:pStyle w:val="45"/>
              <w:bidi w:val="0"/>
              <w:rPr>
                <w:rFonts w:hint="default"/>
              </w:rPr>
            </w:pPr>
            <w:r>
              <w:rPr>
                <w:rFonts w:hint="default"/>
                <w:lang w:val="en-US" w:eastAsia="zh-CN"/>
              </w:rPr>
              <w:t>5.21</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296BE4EC">
            <w:pPr>
              <w:pStyle w:val="45"/>
              <w:bidi w:val="0"/>
              <w:rPr>
                <w:rFonts w:hint="default"/>
              </w:rPr>
            </w:pPr>
            <w:r>
              <w:rPr>
                <w:rFonts w:hint="default"/>
                <w:lang w:val="en-US" w:eastAsia="zh-CN"/>
              </w:rPr>
              <w:t>8</w:t>
            </w:r>
          </w:p>
        </w:tc>
        <w:tc>
          <w:tcPr>
            <w:tcW w:w="382"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6A5AB89">
            <w:pPr>
              <w:pStyle w:val="45"/>
              <w:bidi w:val="0"/>
              <w:rPr>
                <w:rFonts w:hint="eastAsia"/>
              </w:rPr>
            </w:pPr>
            <w:r>
              <w:rPr>
                <w:rFonts w:hint="eastAsia"/>
                <w:lang w:val="en-US" w:eastAsia="zh-CN"/>
              </w:rPr>
              <w:t>0</w:t>
            </w:r>
          </w:p>
        </w:tc>
        <w:tc>
          <w:tcPr>
            <w:tcW w:w="33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DC3D621">
            <w:pPr>
              <w:pStyle w:val="45"/>
              <w:bidi w:val="0"/>
              <w:rPr>
                <w:rFonts w:hint="eastAsia"/>
              </w:rPr>
            </w:pPr>
            <w:r>
              <w:rPr>
                <w:rFonts w:hint="eastAsia"/>
                <w:lang w:val="en-US" w:eastAsia="zh-CN"/>
              </w:rPr>
              <w:t>0.075</w:t>
            </w:r>
          </w:p>
        </w:tc>
      </w:tr>
      <w:tr w14:paraId="0DC489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8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B97E889">
            <w:pPr>
              <w:pStyle w:val="45"/>
              <w:bidi w:val="0"/>
              <w:rPr>
                <w:rFonts w:hint="eastAsia"/>
              </w:rPr>
            </w:pPr>
          </w:p>
        </w:tc>
        <w:tc>
          <w:tcPr>
            <w:tcW w:w="20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D119DDB">
            <w:pPr>
              <w:pStyle w:val="45"/>
              <w:bidi w:val="0"/>
              <w:rPr>
                <w:rFonts w:hint="eastAsia"/>
              </w:rPr>
            </w:pPr>
          </w:p>
        </w:tc>
        <w:tc>
          <w:tcPr>
            <w:tcW w:w="311"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78ABE7D">
            <w:pPr>
              <w:pStyle w:val="45"/>
              <w:bidi w:val="0"/>
              <w:rPr>
                <w:rFonts w:hint="default"/>
              </w:rPr>
            </w:pPr>
          </w:p>
        </w:tc>
        <w:tc>
          <w:tcPr>
            <w:tcW w:w="166" w:type="pct"/>
            <w:tcBorders>
              <w:top w:val="single" w:color="auto" w:sz="4" w:space="0"/>
              <w:left w:val="single" w:color="auto" w:sz="4" w:space="0"/>
              <w:bottom w:val="single" w:color="auto" w:sz="4" w:space="0"/>
              <w:right w:val="single" w:color="auto" w:sz="4" w:space="0"/>
            </w:tcBorders>
            <w:shd w:val="clear" w:color="auto" w:fill="auto"/>
            <w:vAlign w:val="center"/>
          </w:tcPr>
          <w:p w14:paraId="7080AD6F">
            <w:pPr>
              <w:pStyle w:val="45"/>
              <w:bidi w:val="0"/>
              <w:rPr>
                <w:rFonts w:hint="eastAsia"/>
              </w:rPr>
            </w:pPr>
            <w:r>
              <w:rPr>
                <w:rFonts w:hint="eastAsia"/>
                <w:lang w:val="en-US" w:eastAsia="zh-CN"/>
              </w:rPr>
              <w:t>氯化氢</w:t>
            </w:r>
          </w:p>
        </w:tc>
        <w:tc>
          <w:tcPr>
            <w:tcW w:w="323" w:type="pct"/>
            <w:tcBorders>
              <w:top w:val="single" w:color="auto" w:sz="4" w:space="0"/>
              <w:left w:val="single" w:color="auto" w:sz="4" w:space="0"/>
              <w:bottom w:val="single" w:color="auto" w:sz="4" w:space="0"/>
              <w:right w:val="single" w:color="auto" w:sz="4" w:space="0"/>
            </w:tcBorders>
            <w:shd w:val="clear" w:color="auto" w:fill="auto"/>
            <w:vAlign w:val="center"/>
          </w:tcPr>
          <w:p w14:paraId="2CD3A7B7">
            <w:pPr>
              <w:pStyle w:val="45"/>
              <w:bidi w:val="0"/>
              <w:rPr>
                <w:rFonts w:hint="default"/>
              </w:rPr>
            </w:pPr>
            <w:r>
              <w:rPr>
                <w:rFonts w:hint="default"/>
                <w:lang w:val="en-US" w:eastAsia="zh-CN"/>
              </w:rPr>
              <w:t>0.87</w:t>
            </w:r>
          </w:p>
        </w:tc>
        <w:tc>
          <w:tcPr>
            <w:tcW w:w="388" w:type="pct"/>
            <w:tcBorders>
              <w:top w:val="single" w:color="auto" w:sz="4" w:space="0"/>
              <w:left w:val="single" w:color="auto" w:sz="4" w:space="0"/>
              <w:bottom w:val="single" w:color="auto" w:sz="4" w:space="0"/>
              <w:right w:val="single" w:color="auto" w:sz="4" w:space="0"/>
            </w:tcBorders>
            <w:shd w:val="clear" w:color="auto" w:fill="auto"/>
            <w:vAlign w:val="center"/>
          </w:tcPr>
          <w:p w14:paraId="5043FBF0">
            <w:pPr>
              <w:pStyle w:val="45"/>
              <w:bidi w:val="0"/>
              <w:rPr>
                <w:rFonts w:hint="default"/>
              </w:rPr>
            </w:pPr>
            <w:r>
              <w:rPr>
                <w:rFonts w:hint="default"/>
                <w:lang w:val="en-US" w:eastAsia="zh-CN"/>
              </w:rPr>
              <w:t>0.121</w:t>
            </w:r>
          </w:p>
        </w:tc>
        <w:tc>
          <w:tcPr>
            <w:tcW w:w="57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A64B684">
            <w:pPr>
              <w:pStyle w:val="45"/>
              <w:bidi w:val="0"/>
              <w:rPr>
                <w:rFonts w:hint="eastAsia"/>
              </w:rPr>
            </w:pPr>
          </w:p>
        </w:tc>
        <w:tc>
          <w:tcPr>
            <w:tcW w:w="235" w:type="pct"/>
            <w:tcBorders>
              <w:top w:val="single" w:color="auto" w:sz="4" w:space="0"/>
              <w:left w:val="single" w:color="auto" w:sz="4" w:space="0"/>
              <w:bottom w:val="single" w:color="auto" w:sz="4" w:space="0"/>
              <w:right w:val="single" w:color="auto" w:sz="4" w:space="0"/>
            </w:tcBorders>
            <w:shd w:val="clear" w:color="auto" w:fill="auto"/>
            <w:vAlign w:val="center"/>
          </w:tcPr>
          <w:p w14:paraId="66863054">
            <w:pPr>
              <w:pStyle w:val="45"/>
              <w:bidi w:val="0"/>
              <w:rPr>
                <w:rFonts w:hint="default"/>
              </w:rPr>
            </w:pPr>
            <w:r>
              <w:rPr>
                <w:rFonts w:hint="default"/>
                <w:lang w:val="en-US" w:eastAsia="zh-CN"/>
              </w:rPr>
              <w:t>100</w:t>
            </w:r>
          </w:p>
        </w:tc>
        <w:tc>
          <w:tcPr>
            <w:tcW w:w="218" w:type="pct"/>
            <w:tcBorders>
              <w:top w:val="single" w:color="auto" w:sz="4" w:space="0"/>
              <w:left w:val="single" w:color="auto" w:sz="4" w:space="0"/>
              <w:bottom w:val="single" w:color="auto" w:sz="4" w:space="0"/>
              <w:right w:val="single" w:color="auto" w:sz="4" w:space="0"/>
            </w:tcBorders>
            <w:shd w:val="clear" w:color="auto" w:fill="auto"/>
            <w:vAlign w:val="center"/>
          </w:tcPr>
          <w:p w14:paraId="03AD0F93">
            <w:pPr>
              <w:pStyle w:val="45"/>
              <w:bidi w:val="0"/>
              <w:rPr>
                <w:rFonts w:hint="default"/>
              </w:rPr>
            </w:pPr>
            <w:r>
              <w:rPr>
                <w:rFonts w:hint="default"/>
                <w:lang w:val="en-US" w:eastAsia="zh-CN"/>
              </w:rPr>
              <w:t>90</w:t>
            </w:r>
          </w:p>
        </w:tc>
        <w:tc>
          <w:tcPr>
            <w:tcW w:w="345" w:type="pct"/>
            <w:tcBorders>
              <w:top w:val="single" w:color="auto" w:sz="4" w:space="0"/>
              <w:left w:val="single" w:color="auto" w:sz="4" w:space="0"/>
              <w:bottom w:val="single" w:color="auto" w:sz="4" w:space="0"/>
              <w:right w:val="single" w:color="auto" w:sz="4" w:space="0"/>
            </w:tcBorders>
            <w:shd w:val="clear" w:color="auto" w:fill="auto"/>
            <w:vAlign w:val="center"/>
          </w:tcPr>
          <w:p w14:paraId="342A002D">
            <w:pPr>
              <w:pStyle w:val="45"/>
              <w:bidi w:val="0"/>
              <w:rPr>
                <w:rFonts w:hint="default"/>
              </w:rPr>
            </w:pPr>
            <w:r>
              <w:rPr>
                <w:rFonts w:hint="default"/>
                <w:lang w:val="en-US" w:eastAsia="zh-CN"/>
              </w:rPr>
              <w:t>0.087</w:t>
            </w:r>
          </w:p>
        </w:tc>
        <w:tc>
          <w:tcPr>
            <w:tcW w:w="388" w:type="pct"/>
            <w:tcBorders>
              <w:top w:val="single" w:color="auto" w:sz="4" w:space="0"/>
              <w:left w:val="single" w:color="auto" w:sz="4" w:space="0"/>
              <w:bottom w:val="single" w:color="auto" w:sz="4" w:space="0"/>
              <w:right w:val="single" w:color="auto" w:sz="4" w:space="0"/>
            </w:tcBorders>
            <w:shd w:val="clear" w:color="auto" w:fill="auto"/>
            <w:vAlign w:val="center"/>
          </w:tcPr>
          <w:p w14:paraId="01F8500E">
            <w:pPr>
              <w:pStyle w:val="45"/>
              <w:bidi w:val="0"/>
              <w:rPr>
                <w:rFonts w:hint="default"/>
              </w:rPr>
            </w:pPr>
            <w:r>
              <w:rPr>
                <w:rFonts w:hint="default"/>
                <w:lang w:val="en-US" w:eastAsia="zh-CN"/>
              </w:rPr>
              <w:t>0.0121</w:t>
            </w:r>
          </w:p>
        </w:tc>
        <w:tc>
          <w:tcPr>
            <w:tcW w:w="467" w:type="pct"/>
            <w:tcBorders>
              <w:top w:val="single" w:color="auto" w:sz="4" w:space="0"/>
              <w:left w:val="single" w:color="auto" w:sz="4" w:space="0"/>
              <w:bottom w:val="single" w:color="auto" w:sz="4" w:space="0"/>
              <w:right w:val="single" w:color="auto" w:sz="4" w:space="0"/>
            </w:tcBorders>
            <w:shd w:val="clear" w:color="auto" w:fill="auto"/>
            <w:vAlign w:val="center"/>
          </w:tcPr>
          <w:p w14:paraId="6BA82855">
            <w:pPr>
              <w:pStyle w:val="45"/>
              <w:bidi w:val="0"/>
              <w:rPr>
                <w:rFonts w:hint="default"/>
              </w:rPr>
            </w:pPr>
            <w:r>
              <w:rPr>
                <w:rFonts w:hint="default"/>
                <w:lang w:val="en-US" w:eastAsia="zh-CN"/>
              </w:rPr>
              <w:t>6.04</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59C55D96">
            <w:pPr>
              <w:pStyle w:val="45"/>
              <w:bidi w:val="0"/>
              <w:rPr>
                <w:rFonts w:hint="default"/>
              </w:rPr>
            </w:pPr>
            <w:r>
              <w:rPr>
                <w:rFonts w:hint="default"/>
                <w:lang w:val="en-US" w:eastAsia="zh-CN"/>
              </w:rPr>
              <w:t>20</w:t>
            </w:r>
          </w:p>
        </w:tc>
        <w:tc>
          <w:tcPr>
            <w:tcW w:w="382"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29F3127">
            <w:pPr>
              <w:pStyle w:val="45"/>
              <w:bidi w:val="0"/>
              <w:rPr>
                <w:rFonts w:hint="eastAsia"/>
              </w:rPr>
            </w:pPr>
            <w:r>
              <w:rPr>
                <w:rFonts w:hint="eastAsia"/>
                <w:lang w:val="en-US" w:eastAsia="zh-CN"/>
              </w:rPr>
              <w:t>0</w:t>
            </w:r>
          </w:p>
        </w:tc>
        <w:tc>
          <w:tcPr>
            <w:tcW w:w="33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AC83E99">
            <w:pPr>
              <w:pStyle w:val="45"/>
              <w:bidi w:val="0"/>
              <w:rPr>
                <w:rFonts w:hint="eastAsia"/>
              </w:rPr>
            </w:pPr>
            <w:r>
              <w:rPr>
                <w:rFonts w:hint="eastAsia"/>
                <w:lang w:val="en-US" w:eastAsia="zh-CN"/>
              </w:rPr>
              <w:t>0.087</w:t>
            </w:r>
          </w:p>
        </w:tc>
      </w:tr>
      <w:tr w14:paraId="4704CC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8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30EE0AA">
            <w:pPr>
              <w:pStyle w:val="45"/>
              <w:bidi w:val="0"/>
              <w:rPr>
                <w:rFonts w:hint="eastAsia"/>
              </w:rPr>
            </w:pPr>
            <w:r>
              <w:rPr>
                <w:rFonts w:hint="eastAsia"/>
                <w:lang w:val="en-US" w:eastAsia="zh-CN"/>
              </w:rPr>
              <w:t>复分解装置</w:t>
            </w:r>
          </w:p>
        </w:tc>
        <w:tc>
          <w:tcPr>
            <w:tcW w:w="202" w:type="pct"/>
            <w:tcBorders>
              <w:top w:val="single" w:color="auto" w:sz="4" w:space="0"/>
              <w:left w:val="single" w:color="auto" w:sz="4" w:space="0"/>
              <w:bottom w:val="single" w:color="auto" w:sz="4" w:space="0"/>
              <w:right w:val="single" w:color="auto" w:sz="4" w:space="0"/>
            </w:tcBorders>
            <w:shd w:val="clear" w:color="auto" w:fill="auto"/>
            <w:vAlign w:val="center"/>
          </w:tcPr>
          <w:p w14:paraId="643A607F">
            <w:pPr>
              <w:pStyle w:val="45"/>
              <w:bidi w:val="0"/>
              <w:rPr>
                <w:rFonts w:hint="eastAsia"/>
              </w:rPr>
            </w:pPr>
            <w:r>
              <w:rPr>
                <w:rFonts w:hint="eastAsia"/>
                <w:lang w:val="en-US" w:eastAsia="zh-CN"/>
              </w:rPr>
              <w:t>复分解干燥粉尘</w:t>
            </w:r>
            <w:r>
              <w:rPr>
                <w:rFonts w:hint="default"/>
                <w:lang w:val="en-US" w:eastAsia="zh-CN"/>
              </w:rPr>
              <w:t>1</w:t>
            </w:r>
          </w:p>
        </w:tc>
        <w:tc>
          <w:tcPr>
            <w:tcW w:w="311" w:type="pct"/>
            <w:tcBorders>
              <w:top w:val="single" w:color="auto" w:sz="4" w:space="0"/>
              <w:left w:val="single" w:color="auto" w:sz="4" w:space="0"/>
              <w:bottom w:val="single" w:color="auto" w:sz="4" w:space="0"/>
              <w:right w:val="single" w:color="auto" w:sz="4" w:space="0"/>
            </w:tcBorders>
            <w:shd w:val="clear" w:color="auto" w:fill="auto"/>
            <w:vAlign w:val="center"/>
          </w:tcPr>
          <w:p w14:paraId="28D33181">
            <w:pPr>
              <w:pStyle w:val="45"/>
              <w:bidi w:val="0"/>
              <w:rPr>
                <w:rFonts w:hint="default"/>
              </w:rPr>
            </w:pPr>
            <w:r>
              <w:rPr>
                <w:rFonts w:hint="default"/>
                <w:lang w:val="en-US" w:eastAsia="zh-CN"/>
              </w:rPr>
              <w:t>DA005</w:t>
            </w:r>
          </w:p>
        </w:tc>
        <w:tc>
          <w:tcPr>
            <w:tcW w:w="166" w:type="pct"/>
            <w:tcBorders>
              <w:top w:val="single" w:color="auto" w:sz="4" w:space="0"/>
              <w:left w:val="single" w:color="auto" w:sz="4" w:space="0"/>
              <w:bottom w:val="single" w:color="auto" w:sz="4" w:space="0"/>
              <w:right w:val="single" w:color="auto" w:sz="4" w:space="0"/>
            </w:tcBorders>
            <w:shd w:val="clear" w:color="auto" w:fill="auto"/>
            <w:vAlign w:val="center"/>
          </w:tcPr>
          <w:p w14:paraId="30CFC627">
            <w:pPr>
              <w:pStyle w:val="45"/>
              <w:bidi w:val="0"/>
              <w:rPr>
                <w:rFonts w:hint="eastAsia"/>
              </w:rPr>
            </w:pPr>
            <w:r>
              <w:rPr>
                <w:rFonts w:hint="eastAsia"/>
                <w:lang w:val="en-US" w:eastAsia="zh-CN"/>
              </w:rPr>
              <w:t>颗粒物</w:t>
            </w:r>
          </w:p>
        </w:tc>
        <w:tc>
          <w:tcPr>
            <w:tcW w:w="323" w:type="pct"/>
            <w:tcBorders>
              <w:top w:val="single" w:color="auto" w:sz="4" w:space="0"/>
              <w:left w:val="single" w:color="auto" w:sz="4" w:space="0"/>
              <w:bottom w:val="single" w:color="auto" w:sz="4" w:space="0"/>
              <w:right w:val="single" w:color="auto" w:sz="4" w:space="0"/>
            </w:tcBorders>
            <w:shd w:val="clear" w:color="auto" w:fill="auto"/>
            <w:vAlign w:val="center"/>
          </w:tcPr>
          <w:p w14:paraId="458FEDFD">
            <w:pPr>
              <w:pStyle w:val="45"/>
              <w:bidi w:val="0"/>
              <w:rPr>
                <w:rFonts w:hint="default"/>
              </w:rPr>
            </w:pPr>
            <w:r>
              <w:rPr>
                <w:rFonts w:hint="default"/>
                <w:lang w:val="en-US" w:eastAsia="zh-CN"/>
              </w:rPr>
              <w:t>28</w:t>
            </w:r>
          </w:p>
        </w:tc>
        <w:tc>
          <w:tcPr>
            <w:tcW w:w="38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E936920">
            <w:pPr>
              <w:pStyle w:val="45"/>
              <w:bidi w:val="0"/>
              <w:rPr>
                <w:rFonts w:hint="default"/>
              </w:rPr>
            </w:pPr>
            <w:r>
              <w:rPr>
                <w:rFonts w:hint="default"/>
                <w:lang w:val="en-US" w:eastAsia="zh-CN"/>
              </w:rPr>
              <w:t>3.89</w:t>
            </w:r>
          </w:p>
        </w:tc>
        <w:tc>
          <w:tcPr>
            <w:tcW w:w="579" w:type="pct"/>
            <w:tcBorders>
              <w:top w:val="single" w:color="auto" w:sz="4" w:space="0"/>
              <w:left w:val="single" w:color="auto" w:sz="4" w:space="0"/>
              <w:bottom w:val="single" w:color="auto" w:sz="4" w:space="0"/>
              <w:right w:val="single" w:color="auto" w:sz="4" w:space="0"/>
            </w:tcBorders>
            <w:shd w:val="clear" w:color="auto" w:fill="auto"/>
            <w:vAlign w:val="center"/>
          </w:tcPr>
          <w:p w14:paraId="61EF9465">
            <w:pPr>
              <w:pStyle w:val="45"/>
              <w:bidi w:val="0"/>
              <w:rPr>
                <w:rFonts w:hint="eastAsia"/>
              </w:rPr>
            </w:pPr>
            <w:r>
              <w:rPr>
                <w:rFonts w:hint="eastAsia"/>
                <w:lang w:val="en-US" w:eastAsia="zh-CN"/>
              </w:rPr>
              <w:t>二次布袋除尘+15m高排气筒（DA005）</w:t>
            </w:r>
          </w:p>
        </w:tc>
        <w:tc>
          <w:tcPr>
            <w:tcW w:w="235" w:type="pct"/>
            <w:tcBorders>
              <w:top w:val="single" w:color="auto" w:sz="4" w:space="0"/>
              <w:left w:val="single" w:color="auto" w:sz="4" w:space="0"/>
              <w:bottom w:val="single" w:color="auto" w:sz="4" w:space="0"/>
              <w:right w:val="single" w:color="auto" w:sz="4" w:space="0"/>
            </w:tcBorders>
            <w:shd w:val="clear" w:color="auto" w:fill="auto"/>
            <w:vAlign w:val="center"/>
          </w:tcPr>
          <w:p w14:paraId="6B535877">
            <w:pPr>
              <w:pStyle w:val="45"/>
              <w:bidi w:val="0"/>
              <w:rPr>
                <w:rFonts w:hint="default"/>
              </w:rPr>
            </w:pPr>
            <w:r>
              <w:rPr>
                <w:rFonts w:hint="default"/>
                <w:lang w:val="en-US" w:eastAsia="zh-CN"/>
              </w:rPr>
              <w:t>99</w:t>
            </w:r>
          </w:p>
        </w:tc>
        <w:tc>
          <w:tcPr>
            <w:tcW w:w="218" w:type="pct"/>
            <w:tcBorders>
              <w:top w:val="single" w:color="auto" w:sz="4" w:space="0"/>
              <w:left w:val="single" w:color="auto" w:sz="4" w:space="0"/>
              <w:bottom w:val="single" w:color="auto" w:sz="4" w:space="0"/>
              <w:right w:val="single" w:color="auto" w:sz="4" w:space="0"/>
            </w:tcBorders>
            <w:shd w:val="clear" w:color="auto" w:fill="auto"/>
            <w:vAlign w:val="center"/>
          </w:tcPr>
          <w:p w14:paraId="573CD3DC">
            <w:pPr>
              <w:pStyle w:val="45"/>
              <w:bidi w:val="0"/>
              <w:rPr>
                <w:rFonts w:hint="default"/>
              </w:rPr>
            </w:pPr>
            <w:r>
              <w:rPr>
                <w:rFonts w:hint="default"/>
                <w:lang w:val="en-US" w:eastAsia="zh-CN"/>
              </w:rPr>
              <w:t>95</w:t>
            </w:r>
          </w:p>
        </w:tc>
        <w:tc>
          <w:tcPr>
            <w:tcW w:w="345" w:type="pct"/>
            <w:tcBorders>
              <w:top w:val="single" w:color="auto" w:sz="4" w:space="0"/>
              <w:left w:val="single" w:color="auto" w:sz="4" w:space="0"/>
              <w:bottom w:val="single" w:color="auto" w:sz="4" w:space="0"/>
              <w:right w:val="single" w:color="auto" w:sz="4" w:space="0"/>
            </w:tcBorders>
            <w:shd w:val="clear" w:color="auto" w:fill="auto"/>
            <w:vAlign w:val="center"/>
          </w:tcPr>
          <w:p w14:paraId="62F5CEA7">
            <w:pPr>
              <w:pStyle w:val="45"/>
              <w:bidi w:val="0"/>
              <w:rPr>
                <w:rFonts w:hint="default"/>
              </w:rPr>
            </w:pPr>
            <w:r>
              <w:rPr>
                <w:rFonts w:hint="default"/>
                <w:lang w:val="en-US" w:eastAsia="zh-CN"/>
              </w:rPr>
              <w:t>1.386</w:t>
            </w:r>
          </w:p>
        </w:tc>
        <w:tc>
          <w:tcPr>
            <w:tcW w:w="388" w:type="pct"/>
            <w:tcBorders>
              <w:top w:val="single" w:color="auto" w:sz="4" w:space="0"/>
              <w:left w:val="single" w:color="auto" w:sz="4" w:space="0"/>
              <w:bottom w:val="single" w:color="auto" w:sz="4" w:space="0"/>
              <w:right w:val="single" w:color="auto" w:sz="4" w:space="0"/>
            </w:tcBorders>
            <w:shd w:val="clear" w:color="auto" w:fill="auto"/>
            <w:vAlign w:val="center"/>
          </w:tcPr>
          <w:p w14:paraId="1D6090E4">
            <w:pPr>
              <w:pStyle w:val="45"/>
              <w:bidi w:val="0"/>
              <w:rPr>
                <w:rFonts w:hint="default"/>
              </w:rPr>
            </w:pPr>
            <w:r>
              <w:rPr>
                <w:rFonts w:hint="default"/>
                <w:lang w:val="en-US" w:eastAsia="zh-CN"/>
              </w:rPr>
              <w:t>0.1925</w:t>
            </w:r>
          </w:p>
        </w:tc>
        <w:tc>
          <w:tcPr>
            <w:tcW w:w="467" w:type="pct"/>
            <w:tcBorders>
              <w:top w:val="single" w:color="auto" w:sz="4" w:space="0"/>
              <w:left w:val="single" w:color="auto" w:sz="4" w:space="0"/>
              <w:bottom w:val="single" w:color="auto" w:sz="4" w:space="0"/>
              <w:right w:val="single" w:color="auto" w:sz="4" w:space="0"/>
            </w:tcBorders>
            <w:shd w:val="clear" w:color="auto" w:fill="auto"/>
            <w:vAlign w:val="center"/>
          </w:tcPr>
          <w:p w14:paraId="1671AEB2">
            <w:pPr>
              <w:pStyle w:val="45"/>
              <w:bidi w:val="0"/>
              <w:rPr>
                <w:rFonts w:hint="default"/>
              </w:rPr>
            </w:pPr>
            <w:r>
              <w:rPr>
                <w:rFonts w:hint="default"/>
                <w:lang w:val="en-US" w:eastAsia="zh-CN"/>
              </w:rPr>
              <w:t>24.06</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1C0B8937">
            <w:pPr>
              <w:pStyle w:val="45"/>
              <w:bidi w:val="0"/>
              <w:rPr>
                <w:rFonts w:hint="default"/>
              </w:rPr>
            </w:pPr>
            <w:r>
              <w:rPr>
                <w:rFonts w:hint="default"/>
                <w:lang w:val="en-US" w:eastAsia="zh-CN"/>
              </w:rPr>
              <w:t>30</w:t>
            </w:r>
          </w:p>
        </w:tc>
        <w:tc>
          <w:tcPr>
            <w:tcW w:w="382"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B515AD4">
            <w:pPr>
              <w:pStyle w:val="45"/>
              <w:bidi w:val="0"/>
              <w:rPr>
                <w:rFonts w:hint="eastAsia"/>
              </w:rPr>
            </w:pPr>
            <w:r>
              <w:rPr>
                <w:rFonts w:hint="eastAsia"/>
                <w:lang w:val="en-US" w:eastAsia="zh-CN"/>
              </w:rPr>
              <w:t>0.28</w:t>
            </w:r>
          </w:p>
        </w:tc>
        <w:tc>
          <w:tcPr>
            <w:tcW w:w="33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EA597B6">
            <w:pPr>
              <w:pStyle w:val="45"/>
              <w:bidi w:val="0"/>
              <w:rPr>
                <w:rFonts w:hint="eastAsia"/>
              </w:rPr>
            </w:pPr>
            <w:r>
              <w:rPr>
                <w:rFonts w:hint="eastAsia"/>
                <w:lang w:val="en-US" w:eastAsia="zh-CN"/>
              </w:rPr>
              <w:t>1.666</w:t>
            </w:r>
          </w:p>
        </w:tc>
      </w:tr>
      <w:tr w14:paraId="207412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35" w:hRule="atLeast"/>
        </w:trPr>
        <w:tc>
          <w:tcPr>
            <w:tcW w:w="18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66130CB">
            <w:pPr>
              <w:pStyle w:val="45"/>
              <w:bidi w:val="0"/>
              <w:rPr>
                <w:rFonts w:hint="eastAsia"/>
              </w:rPr>
            </w:pPr>
          </w:p>
        </w:tc>
        <w:tc>
          <w:tcPr>
            <w:tcW w:w="202" w:type="pct"/>
            <w:tcBorders>
              <w:top w:val="single" w:color="auto" w:sz="4" w:space="0"/>
              <w:left w:val="single" w:color="auto" w:sz="4" w:space="0"/>
              <w:bottom w:val="single" w:color="auto" w:sz="4" w:space="0"/>
              <w:right w:val="single" w:color="auto" w:sz="4" w:space="0"/>
            </w:tcBorders>
            <w:shd w:val="clear" w:color="auto" w:fill="auto"/>
            <w:vAlign w:val="center"/>
          </w:tcPr>
          <w:p w14:paraId="06144B61">
            <w:pPr>
              <w:pStyle w:val="45"/>
              <w:bidi w:val="0"/>
              <w:rPr>
                <w:rFonts w:hint="eastAsia"/>
              </w:rPr>
            </w:pPr>
            <w:r>
              <w:rPr>
                <w:rFonts w:hint="eastAsia"/>
                <w:lang w:val="en-US" w:eastAsia="zh-CN"/>
              </w:rPr>
              <w:t>复分解干燥粉尘</w:t>
            </w:r>
            <w:r>
              <w:rPr>
                <w:rFonts w:hint="default"/>
                <w:lang w:val="en-US" w:eastAsia="zh-CN"/>
              </w:rPr>
              <w:t>2</w:t>
            </w:r>
          </w:p>
        </w:tc>
        <w:tc>
          <w:tcPr>
            <w:tcW w:w="311" w:type="pct"/>
            <w:tcBorders>
              <w:top w:val="single" w:color="auto" w:sz="4" w:space="0"/>
              <w:left w:val="single" w:color="auto" w:sz="4" w:space="0"/>
              <w:bottom w:val="single" w:color="auto" w:sz="4" w:space="0"/>
              <w:right w:val="single" w:color="auto" w:sz="4" w:space="0"/>
            </w:tcBorders>
            <w:shd w:val="clear" w:color="auto" w:fill="auto"/>
            <w:vAlign w:val="center"/>
          </w:tcPr>
          <w:p w14:paraId="22A8A5D3">
            <w:pPr>
              <w:pStyle w:val="45"/>
              <w:bidi w:val="0"/>
              <w:rPr>
                <w:rFonts w:hint="default"/>
              </w:rPr>
            </w:pPr>
            <w:r>
              <w:rPr>
                <w:rFonts w:hint="default"/>
                <w:lang w:val="en-US" w:eastAsia="zh-CN"/>
              </w:rPr>
              <w:t>DA006</w:t>
            </w:r>
          </w:p>
        </w:tc>
        <w:tc>
          <w:tcPr>
            <w:tcW w:w="166" w:type="pct"/>
            <w:tcBorders>
              <w:top w:val="single" w:color="auto" w:sz="4" w:space="0"/>
              <w:left w:val="single" w:color="auto" w:sz="4" w:space="0"/>
              <w:bottom w:val="single" w:color="auto" w:sz="4" w:space="0"/>
              <w:right w:val="single" w:color="auto" w:sz="4" w:space="0"/>
            </w:tcBorders>
            <w:shd w:val="clear" w:color="auto" w:fill="auto"/>
            <w:vAlign w:val="center"/>
          </w:tcPr>
          <w:p w14:paraId="2E2ACBC8">
            <w:pPr>
              <w:pStyle w:val="45"/>
              <w:bidi w:val="0"/>
              <w:rPr>
                <w:rFonts w:hint="eastAsia"/>
              </w:rPr>
            </w:pPr>
            <w:r>
              <w:rPr>
                <w:rFonts w:hint="eastAsia"/>
                <w:lang w:val="en-US" w:eastAsia="zh-CN"/>
              </w:rPr>
              <w:t>颗粒物</w:t>
            </w:r>
          </w:p>
        </w:tc>
        <w:tc>
          <w:tcPr>
            <w:tcW w:w="323" w:type="pct"/>
            <w:tcBorders>
              <w:top w:val="single" w:color="auto" w:sz="4" w:space="0"/>
              <w:left w:val="single" w:color="auto" w:sz="4" w:space="0"/>
              <w:bottom w:val="single" w:color="auto" w:sz="4" w:space="0"/>
              <w:right w:val="single" w:color="auto" w:sz="4" w:space="0"/>
            </w:tcBorders>
            <w:shd w:val="clear" w:color="auto" w:fill="auto"/>
            <w:vAlign w:val="center"/>
          </w:tcPr>
          <w:p w14:paraId="74875440">
            <w:pPr>
              <w:pStyle w:val="45"/>
              <w:bidi w:val="0"/>
              <w:rPr>
                <w:rFonts w:hint="default"/>
              </w:rPr>
            </w:pPr>
            <w:r>
              <w:rPr>
                <w:rFonts w:hint="default"/>
                <w:lang w:val="en-US" w:eastAsia="zh-CN"/>
              </w:rPr>
              <w:t>28</w:t>
            </w:r>
          </w:p>
        </w:tc>
        <w:tc>
          <w:tcPr>
            <w:tcW w:w="38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7307099">
            <w:pPr>
              <w:pStyle w:val="45"/>
              <w:bidi w:val="0"/>
              <w:rPr>
                <w:rFonts w:hint="default"/>
              </w:rPr>
            </w:pPr>
            <w:r>
              <w:rPr>
                <w:rFonts w:hint="default"/>
                <w:lang w:val="en-US" w:eastAsia="zh-CN"/>
              </w:rPr>
              <w:t>3.89</w:t>
            </w:r>
          </w:p>
        </w:tc>
        <w:tc>
          <w:tcPr>
            <w:tcW w:w="579" w:type="pct"/>
            <w:tcBorders>
              <w:top w:val="single" w:color="auto" w:sz="4" w:space="0"/>
              <w:left w:val="single" w:color="auto" w:sz="4" w:space="0"/>
              <w:bottom w:val="single" w:color="auto" w:sz="4" w:space="0"/>
              <w:right w:val="single" w:color="auto" w:sz="4" w:space="0"/>
            </w:tcBorders>
            <w:shd w:val="clear" w:color="auto" w:fill="auto"/>
            <w:vAlign w:val="center"/>
          </w:tcPr>
          <w:p w14:paraId="1B5A2788">
            <w:pPr>
              <w:pStyle w:val="45"/>
              <w:bidi w:val="0"/>
              <w:rPr>
                <w:rFonts w:hint="eastAsia"/>
              </w:rPr>
            </w:pPr>
            <w:r>
              <w:rPr>
                <w:rFonts w:hint="eastAsia"/>
                <w:lang w:val="en-US" w:eastAsia="zh-CN"/>
              </w:rPr>
              <w:t>二次布袋除尘+15m高排气筒（DA006）</w:t>
            </w:r>
          </w:p>
        </w:tc>
        <w:tc>
          <w:tcPr>
            <w:tcW w:w="235" w:type="pct"/>
            <w:tcBorders>
              <w:top w:val="single" w:color="auto" w:sz="4" w:space="0"/>
              <w:left w:val="single" w:color="auto" w:sz="4" w:space="0"/>
              <w:bottom w:val="single" w:color="auto" w:sz="4" w:space="0"/>
              <w:right w:val="single" w:color="auto" w:sz="4" w:space="0"/>
            </w:tcBorders>
            <w:shd w:val="clear" w:color="auto" w:fill="auto"/>
            <w:vAlign w:val="center"/>
          </w:tcPr>
          <w:p w14:paraId="59395CAE">
            <w:pPr>
              <w:pStyle w:val="45"/>
              <w:bidi w:val="0"/>
              <w:rPr>
                <w:rFonts w:hint="default"/>
              </w:rPr>
            </w:pPr>
            <w:r>
              <w:rPr>
                <w:rFonts w:hint="default"/>
                <w:lang w:val="en-US" w:eastAsia="zh-CN"/>
              </w:rPr>
              <w:t>99</w:t>
            </w:r>
          </w:p>
        </w:tc>
        <w:tc>
          <w:tcPr>
            <w:tcW w:w="218" w:type="pct"/>
            <w:tcBorders>
              <w:top w:val="single" w:color="auto" w:sz="4" w:space="0"/>
              <w:left w:val="single" w:color="auto" w:sz="4" w:space="0"/>
              <w:bottom w:val="single" w:color="auto" w:sz="4" w:space="0"/>
              <w:right w:val="single" w:color="auto" w:sz="4" w:space="0"/>
            </w:tcBorders>
            <w:shd w:val="clear" w:color="auto" w:fill="auto"/>
            <w:vAlign w:val="center"/>
          </w:tcPr>
          <w:p w14:paraId="3AC1BF0C">
            <w:pPr>
              <w:pStyle w:val="45"/>
              <w:bidi w:val="0"/>
              <w:rPr>
                <w:rFonts w:hint="default"/>
              </w:rPr>
            </w:pPr>
            <w:r>
              <w:rPr>
                <w:rFonts w:hint="default"/>
                <w:lang w:val="en-US" w:eastAsia="zh-CN"/>
              </w:rPr>
              <w:t>95</w:t>
            </w:r>
          </w:p>
        </w:tc>
        <w:tc>
          <w:tcPr>
            <w:tcW w:w="345" w:type="pct"/>
            <w:tcBorders>
              <w:top w:val="single" w:color="auto" w:sz="4" w:space="0"/>
              <w:left w:val="single" w:color="auto" w:sz="4" w:space="0"/>
              <w:bottom w:val="single" w:color="auto" w:sz="4" w:space="0"/>
              <w:right w:val="single" w:color="auto" w:sz="4" w:space="0"/>
            </w:tcBorders>
            <w:shd w:val="clear" w:color="auto" w:fill="auto"/>
            <w:vAlign w:val="center"/>
          </w:tcPr>
          <w:p w14:paraId="324B0EBE">
            <w:pPr>
              <w:pStyle w:val="45"/>
              <w:bidi w:val="0"/>
              <w:rPr>
                <w:rFonts w:hint="default"/>
              </w:rPr>
            </w:pPr>
            <w:r>
              <w:rPr>
                <w:rFonts w:hint="default"/>
                <w:lang w:val="en-US" w:eastAsia="zh-CN"/>
              </w:rPr>
              <w:t>1.386</w:t>
            </w:r>
          </w:p>
        </w:tc>
        <w:tc>
          <w:tcPr>
            <w:tcW w:w="388" w:type="pct"/>
            <w:tcBorders>
              <w:top w:val="single" w:color="auto" w:sz="4" w:space="0"/>
              <w:left w:val="single" w:color="auto" w:sz="4" w:space="0"/>
              <w:bottom w:val="single" w:color="auto" w:sz="4" w:space="0"/>
              <w:right w:val="single" w:color="auto" w:sz="4" w:space="0"/>
            </w:tcBorders>
            <w:shd w:val="clear" w:color="auto" w:fill="auto"/>
            <w:vAlign w:val="center"/>
          </w:tcPr>
          <w:p w14:paraId="28A5C042">
            <w:pPr>
              <w:pStyle w:val="45"/>
              <w:bidi w:val="0"/>
              <w:rPr>
                <w:rFonts w:hint="default"/>
              </w:rPr>
            </w:pPr>
            <w:r>
              <w:rPr>
                <w:rFonts w:hint="default"/>
                <w:lang w:val="en-US" w:eastAsia="zh-CN"/>
              </w:rPr>
              <w:t>0.1925</w:t>
            </w:r>
          </w:p>
        </w:tc>
        <w:tc>
          <w:tcPr>
            <w:tcW w:w="467" w:type="pct"/>
            <w:tcBorders>
              <w:top w:val="single" w:color="auto" w:sz="4" w:space="0"/>
              <w:left w:val="single" w:color="auto" w:sz="4" w:space="0"/>
              <w:bottom w:val="single" w:color="auto" w:sz="4" w:space="0"/>
              <w:right w:val="single" w:color="auto" w:sz="4" w:space="0"/>
            </w:tcBorders>
            <w:shd w:val="clear" w:color="auto" w:fill="auto"/>
            <w:vAlign w:val="center"/>
          </w:tcPr>
          <w:p w14:paraId="732482F0">
            <w:pPr>
              <w:pStyle w:val="45"/>
              <w:bidi w:val="0"/>
              <w:rPr>
                <w:rFonts w:hint="default"/>
              </w:rPr>
            </w:pPr>
            <w:r>
              <w:rPr>
                <w:rFonts w:hint="default"/>
                <w:lang w:val="en-US" w:eastAsia="zh-CN"/>
              </w:rPr>
              <w:t>24.06</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07CB8303">
            <w:pPr>
              <w:pStyle w:val="45"/>
              <w:bidi w:val="0"/>
              <w:rPr>
                <w:rFonts w:hint="default"/>
              </w:rPr>
            </w:pPr>
            <w:r>
              <w:rPr>
                <w:rFonts w:hint="default"/>
                <w:lang w:val="en-US" w:eastAsia="zh-CN"/>
              </w:rPr>
              <w:t>30</w:t>
            </w:r>
          </w:p>
        </w:tc>
        <w:tc>
          <w:tcPr>
            <w:tcW w:w="382"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7BE252B">
            <w:pPr>
              <w:pStyle w:val="45"/>
              <w:bidi w:val="0"/>
              <w:rPr>
                <w:rFonts w:hint="eastAsia"/>
              </w:rPr>
            </w:pPr>
            <w:r>
              <w:rPr>
                <w:rFonts w:hint="eastAsia"/>
                <w:lang w:val="en-US" w:eastAsia="zh-CN"/>
              </w:rPr>
              <w:t>0.28</w:t>
            </w:r>
          </w:p>
        </w:tc>
        <w:tc>
          <w:tcPr>
            <w:tcW w:w="33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70853A2">
            <w:pPr>
              <w:pStyle w:val="45"/>
              <w:bidi w:val="0"/>
              <w:rPr>
                <w:rFonts w:hint="eastAsia"/>
              </w:rPr>
            </w:pPr>
            <w:r>
              <w:rPr>
                <w:rFonts w:hint="eastAsia"/>
                <w:lang w:val="en-US" w:eastAsia="zh-CN"/>
              </w:rPr>
              <w:t>1.666</w:t>
            </w:r>
          </w:p>
        </w:tc>
      </w:tr>
      <w:tr w14:paraId="5CC50E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35" w:hRule="atLeast"/>
        </w:trPr>
        <w:tc>
          <w:tcPr>
            <w:tcW w:w="189" w:type="pct"/>
            <w:tcBorders>
              <w:top w:val="single" w:color="auto" w:sz="4" w:space="0"/>
              <w:left w:val="single" w:color="auto" w:sz="4" w:space="0"/>
              <w:bottom w:val="single" w:color="auto" w:sz="4" w:space="0"/>
              <w:right w:val="single" w:color="auto" w:sz="4" w:space="0"/>
            </w:tcBorders>
            <w:shd w:val="clear" w:color="auto" w:fill="auto"/>
            <w:vAlign w:val="center"/>
          </w:tcPr>
          <w:p w14:paraId="545205BF">
            <w:pPr>
              <w:pStyle w:val="45"/>
              <w:bidi w:val="0"/>
              <w:rPr>
                <w:rFonts w:hint="eastAsia"/>
              </w:rPr>
            </w:pPr>
            <w:r>
              <w:rPr>
                <w:rFonts w:hint="eastAsia"/>
                <w:lang w:val="en-US" w:eastAsia="zh-CN"/>
              </w:rPr>
              <w:t>锂盐生产装置</w:t>
            </w:r>
          </w:p>
        </w:tc>
        <w:tc>
          <w:tcPr>
            <w:tcW w:w="202" w:type="pct"/>
            <w:tcBorders>
              <w:top w:val="single" w:color="auto" w:sz="4" w:space="0"/>
              <w:left w:val="single" w:color="auto" w:sz="4" w:space="0"/>
              <w:bottom w:val="single" w:color="auto" w:sz="4" w:space="0"/>
              <w:right w:val="single" w:color="auto" w:sz="4" w:space="0"/>
            </w:tcBorders>
            <w:shd w:val="clear" w:color="auto" w:fill="auto"/>
            <w:vAlign w:val="center"/>
          </w:tcPr>
          <w:p w14:paraId="615F8D5A">
            <w:pPr>
              <w:pStyle w:val="45"/>
              <w:bidi w:val="0"/>
              <w:rPr>
                <w:rFonts w:hint="eastAsia"/>
              </w:rPr>
            </w:pPr>
            <w:r>
              <w:rPr>
                <w:rFonts w:hint="eastAsia"/>
                <w:highlight w:val="none"/>
                <w:lang w:val="en-US" w:eastAsia="zh-CN"/>
              </w:rPr>
              <w:t>锂盐中和尾气</w:t>
            </w:r>
          </w:p>
        </w:tc>
        <w:tc>
          <w:tcPr>
            <w:tcW w:w="311" w:type="pct"/>
            <w:tcBorders>
              <w:top w:val="single" w:color="auto" w:sz="4" w:space="0"/>
              <w:left w:val="single" w:color="auto" w:sz="4" w:space="0"/>
              <w:bottom w:val="single" w:color="auto" w:sz="4" w:space="0"/>
              <w:right w:val="single" w:color="auto" w:sz="4" w:space="0"/>
            </w:tcBorders>
            <w:shd w:val="clear" w:color="auto" w:fill="auto"/>
            <w:vAlign w:val="center"/>
          </w:tcPr>
          <w:p w14:paraId="2ECCFBBB">
            <w:pPr>
              <w:pStyle w:val="45"/>
              <w:bidi w:val="0"/>
              <w:rPr>
                <w:rFonts w:hint="default"/>
              </w:rPr>
            </w:pPr>
            <w:r>
              <w:rPr>
                <w:rFonts w:hint="default"/>
                <w:lang w:val="en-US" w:eastAsia="zh-CN"/>
              </w:rPr>
              <w:t>DA007</w:t>
            </w:r>
          </w:p>
        </w:tc>
        <w:tc>
          <w:tcPr>
            <w:tcW w:w="166" w:type="pct"/>
            <w:tcBorders>
              <w:top w:val="single" w:color="auto" w:sz="4" w:space="0"/>
              <w:left w:val="single" w:color="auto" w:sz="4" w:space="0"/>
              <w:bottom w:val="single" w:color="auto" w:sz="4" w:space="0"/>
              <w:right w:val="single" w:color="auto" w:sz="4" w:space="0"/>
            </w:tcBorders>
            <w:shd w:val="clear" w:color="auto" w:fill="auto"/>
            <w:vAlign w:val="center"/>
          </w:tcPr>
          <w:p w14:paraId="67DEB48A">
            <w:pPr>
              <w:pStyle w:val="45"/>
              <w:bidi w:val="0"/>
              <w:rPr>
                <w:rFonts w:hint="eastAsia"/>
              </w:rPr>
            </w:pPr>
            <w:r>
              <w:rPr>
                <w:rFonts w:hint="eastAsia"/>
                <w:lang w:val="en-US" w:eastAsia="zh-CN"/>
              </w:rPr>
              <w:t>氯化氢</w:t>
            </w:r>
          </w:p>
        </w:tc>
        <w:tc>
          <w:tcPr>
            <w:tcW w:w="323" w:type="pct"/>
            <w:tcBorders>
              <w:top w:val="single" w:color="auto" w:sz="4" w:space="0"/>
              <w:left w:val="single" w:color="auto" w:sz="4" w:space="0"/>
              <w:bottom w:val="single" w:color="auto" w:sz="4" w:space="0"/>
              <w:right w:val="single" w:color="auto" w:sz="4" w:space="0"/>
            </w:tcBorders>
            <w:shd w:val="clear" w:color="auto" w:fill="auto"/>
            <w:vAlign w:val="center"/>
          </w:tcPr>
          <w:p w14:paraId="7B974961">
            <w:pPr>
              <w:pStyle w:val="45"/>
              <w:bidi w:val="0"/>
              <w:rPr>
                <w:rFonts w:hint="default"/>
                <w:lang w:val="en-US"/>
              </w:rPr>
            </w:pPr>
            <w:r>
              <w:rPr>
                <w:rFonts w:hint="eastAsia"/>
                <w:lang w:val="en-US" w:eastAsia="zh-CN"/>
              </w:rPr>
              <w:t>0.26</w:t>
            </w:r>
          </w:p>
        </w:tc>
        <w:tc>
          <w:tcPr>
            <w:tcW w:w="388" w:type="pct"/>
            <w:tcBorders>
              <w:top w:val="single" w:color="auto" w:sz="4" w:space="0"/>
              <w:left w:val="single" w:color="auto" w:sz="4" w:space="0"/>
              <w:bottom w:val="single" w:color="auto" w:sz="4" w:space="0"/>
              <w:right w:val="single" w:color="auto" w:sz="4" w:space="0"/>
            </w:tcBorders>
            <w:shd w:val="clear" w:color="auto" w:fill="auto"/>
            <w:vAlign w:val="center"/>
          </w:tcPr>
          <w:p w14:paraId="650F8472">
            <w:pPr>
              <w:pStyle w:val="45"/>
              <w:bidi w:val="0"/>
              <w:rPr>
                <w:rFonts w:hint="default"/>
                <w:lang w:val="en-US"/>
              </w:rPr>
            </w:pPr>
            <w:r>
              <w:rPr>
                <w:rFonts w:hint="eastAsia"/>
                <w:lang w:val="en-US" w:eastAsia="zh-CN"/>
              </w:rPr>
              <w:t>0.036</w:t>
            </w:r>
          </w:p>
        </w:tc>
        <w:tc>
          <w:tcPr>
            <w:tcW w:w="579" w:type="pct"/>
            <w:tcBorders>
              <w:top w:val="single" w:color="auto" w:sz="4" w:space="0"/>
              <w:left w:val="single" w:color="auto" w:sz="4" w:space="0"/>
              <w:bottom w:val="single" w:color="auto" w:sz="4" w:space="0"/>
              <w:right w:val="single" w:color="auto" w:sz="4" w:space="0"/>
            </w:tcBorders>
            <w:shd w:val="clear" w:color="auto" w:fill="auto"/>
            <w:vAlign w:val="center"/>
          </w:tcPr>
          <w:p w14:paraId="3DB017D4">
            <w:pPr>
              <w:pStyle w:val="45"/>
              <w:bidi w:val="0"/>
              <w:rPr>
                <w:rFonts w:hint="eastAsia"/>
              </w:rPr>
            </w:pPr>
            <w:r>
              <w:rPr>
                <w:rFonts w:hint="eastAsia"/>
                <w:lang w:val="en-US" w:eastAsia="zh-CN"/>
              </w:rPr>
              <w:t>一级碱洗+15m高排气筒（DA007）</w:t>
            </w:r>
          </w:p>
        </w:tc>
        <w:tc>
          <w:tcPr>
            <w:tcW w:w="235" w:type="pct"/>
            <w:tcBorders>
              <w:top w:val="single" w:color="auto" w:sz="4" w:space="0"/>
              <w:left w:val="single" w:color="auto" w:sz="4" w:space="0"/>
              <w:bottom w:val="single" w:color="auto" w:sz="4" w:space="0"/>
              <w:right w:val="single" w:color="auto" w:sz="4" w:space="0"/>
            </w:tcBorders>
            <w:shd w:val="clear" w:color="auto" w:fill="auto"/>
            <w:vAlign w:val="center"/>
          </w:tcPr>
          <w:p w14:paraId="6041EE13">
            <w:pPr>
              <w:pStyle w:val="45"/>
              <w:bidi w:val="0"/>
              <w:rPr>
                <w:rFonts w:hint="default"/>
                <w:lang w:val="en-US"/>
              </w:rPr>
            </w:pPr>
            <w:r>
              <w:rPr>
                <w:rFonts w:hint="eastAsia"/>
                <w:lang w:val="en-US" w:eastAsia="zh-CN"/>
              </w:rPr>
              <w:t>100</w:t>
            </w:r>
          </w:p>
        </w:tc>
        <w:tc>
          <w:tcPr>
            <w:tcW w:w="218" w:type="pct"/>
            <w:tcBorders>
              <w:top w:val="single" w:color="auto" w:sz="4" w:space="0"/>
              <w:left w:val="single" w:color="auto" w:sz="4" w:space="0"/>
              <w:bottom w:val="single" w:color="auto" w:sz="4" w:space="0"/>
              <w:right w:val="single" w:color="auto" w:sz="4" w:space="0"/>
            </w:tcBorders>
            <w:shd w:val="clear" w:color="auto" w:fill="auto"/>
            <w:vAlign w:val="center"/>
          </w:tcPr>
          <w:p w14:paraId="67EBD1F0">
            <w:pPr>
              <w:pStyle w:val="45"/>
              <w:bidi w:val="0"/>
              <w:rPr>
                <w:rFonts w:hint="default"/>
                <w:lang w:val="en-US"/>
              </w:rPr>
            </w:pPr>
            <w:r>
              <w:rPr>
                <w:rFonts w:hint="eastAsia"/>
                <w:lang w:val="en-US" w:eastAsia="zh-CN"/>
              </w:rPr>
              <w:t>60</w:t>
            </w:r>
          </w:p>
        </w:tc>
        <w:tc>
          <w:tcPr>
            <w:tcW w:w="345" w:type="pct"/>
            <w:tcBorders>
              <w:top w:val="single" w:color="auto" w:sz="4" w:space="0"/>
              <w:left w:val="single" w:color="auto" w:sz="4" w:space="0"/>
              <w:bottom w:val="single" w:color="auto" w:sz="4" w:space="0"/>
              <w:right w:val="single" w:color="auto" w:sz="4" w:space="0"/>
            </w:tcBorders>
            <w:shd w:val="clear" w:color="auto" w:fill="auto"/>
            <w:vAlign w:val="center"/>
          </w:tcPr>
          <w:p w14:paraId="595A5B99">
            <w:pPr>
              <w:pStyle w:val="45"/>
              <w:bidi w:val="0"/>
              <w:rPr>
                <w:rFonts w:hint="default"/>
                <w:lang w:val="en-US"/>
              </w:rPr>
            </w:pPr>
            <w:r>
              <w:rPr>
                <w:rFonts w:hint="eastAsia"/>
                <w:lang w:val="en-US" w:eastAsia="zh-CN"/>
              </w:rPr>
              <w:t>0.104</w:t>
            </w:r>
          </w:p>
        </w:tc>
        <w:tc>
          <w:tcPr>
            <w:tcW w:w="388" w:type="pct"/>
            <w:tcBorders>
              <w:top w:val="single" w:color="auto" w:sz="4" w:space="0"/>
              <w:left w:val="single" w:color="auto" w:sz="4" w:space="0"/>
              <w:bottom w:val="single" w:color="auto" w:sz="4" w:space="0"/>
              <w:right w:val="single" w:color="auto" w:sz="4" w:space="0"/>
            </w:tcBorders>
            <w:shd w:val="clear" w:color="auto" w:fill="auto"/>
            <w:vAlign w:val="center"/>
          </w:tcPr>
          <w:p w14:paraId="7A4D7456">
            <w:pPr>
              <w:pStyle w:val="45"/>
              <w:bidi w:val="0"/>
              <w:rPr>
                <w:rFonts w:hint="eastAsia"/>
              </w:rPr>
            </w:pPr>
            <w:r>
              <w:rPr>
                <w:rFonts w:hint="eastAsia"/>
                <w:lang w:val="en-US" w:eastAsia="zh-CN"/>
              </w:rPr>
              <w:t xml:space="preserve">0.0144 </w:t>
            </w:r>
          </w:p>
        </w:tc>
        <w:tc>
          <w:tcPr>
            <w:tcW w:w="467" w:type="pct"/>
            <w:tcBorders>
              <w:top w:val="single" w:color="auto" w:sz="4" w:space="0"/>
              <w:left w:val="single" w:color="auto" w:sz="4" w:space="0"/>
              <w:bottom w:val="single" w:color="auto" w:sz="4" w:space="0"/>
              <w:right w:val="single" w:color="auto" w:sz="4" w:space="0"/>
            </w:tcBorders>
            <w:shd w:val="clear" w:color="auto" w:fill="auto"/>
            <w:vAlign w:val="center"/>
          </w:tcPr>
          <w:p w14:paraId="5736964D">
            <w:pPr>
              <w:pStyle w:val="45"/>
              <w:bidi w:val="0"/>
              <w:rPr>
                <w:rFonts w:hint="eastAsia"/>
              </w:rPr>
            </w:pPr>
            <w:r>
              <w:rPr>
                <w:rFonts w:hint="eastAsia"/>
                <w:lang w:val="en-US" w:eastAsia="zh-CN"/>
              </w:rPr>
              <w:t xml:space="preserve">7.22 </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7F88D904">
            <w:pPr>
              <w:pStyle w:val="45"/>
              <w:bidi w:val="0"/>
              <w:rPr>
                <w:rFonts w:hint="default"/>
                <w:lang w:val="en-US"/>
              </w:rPr>
            </w:pPr>
            <w:r>
              <w:rPr>
                <w:rFonts w:hint="eastAsia"/>
                <w:lang w:val="en-US" w:eastAsia="zh-CN"/>
              </w:rPr>
              <w:t>20</w:t>
            </w:r>
          </w:p>
        </w:tc>
        <w:tc>
          <w:tcPr>
            <w:tcW w:w="382"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58E263E">
            <w:pPr>
              <w:pStyle w:val="45"/>
              <w:bidi w:val="0"/>
              <w:rPr>
                <w:rFonts w:hint="eastAsia"/>
              </w:rPr>
            </w:pPr>
            <w:r>
              <w:rPr>
                <w:rFonts w:hint="eastAsia"/>
                <w:lang w:val="en-US" w:eastAsia="zh-CN"/>
              </w:rPr>
              <w:t>0</w:t>
            </w:r>
          </w:p>
        </w:tc>
        <w:tc>
          <w:tcPr>
            <w:tcW w:w="33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DCE12A2">
            <w:pPr>
              <w:pStyle w:val="45"/>
              <w:bidi w:val="0"/>
              <w:rPr>
                <w:rFonts w:hint="default"/>
                <w:lang w:val="en-US"/>
              </w:rPr>
            </w:pPr>
            <w:r>
              <w:rPr>
                <w:rFonts w:hint="eastAsia"/>
                <w:lang w:val="en-US" w:eastAsia="zh-CN"/>
              </w:rPr>
              <w:t>0.104</w:t>
            </w:r>
          </w:p>
        </w:tc>
      </w:tr>
      <w:tr w14:paraId="225CB7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5000" w:type="pct"/>
            <w:gridSpan w:val="15"/>
            <w:tcBorders>
              <w:top w:val="single" w:color="auto" w:sz="4" w:space="0"/>
              <w:left w:val="single" w:color="auto" w:sz="4" w:space="0"/>
              <w:bottom w:val="single" w:color="auto" w:sz="4" w:space="0"/>
              <w:right w:val="single" w:color="auto" w:sz="4" w:space="0"/>
            </w:tcBorders>
            <w:shd w:val="clear" w:color="auto" w:fill="auto"/>
            <w:noWrap/>
            <w:vAlign w:val="center"/>
          </w:tcPr>
          <w:p w14:paraId="53B0667B">
            <w:pPr>
              <w:pStyle w:val="45"/>
              <w:bidi w:val="0"/>
              <w:rPr>
                <w:rFonts w:hint="eastAsia"/>
              </w:rPr>
            </w:pPr>
            <w:r>
              <w:rPr>
                <w:rFonts w:hint="eastAsia"/>
                <w:lang w:val="en-US" w:eastAsia="zh-CN"/>
              </w:rPr>
              <w:t>备注：（1）一次电解尾气未考虑氢气回收；（2）复分解干燥粉尘按照两套复分解生产装置均生产高氯酸钾计。</w:t>
            </w:r>
          </w:p>
        </w:tc>
      </w:tr>
    </w:tbl>
    <w:p w14:paraId="5958922B">
      <w:pPr>
        <w:ind w:firstLine="0" w:firstLineChars="0"/>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58E6F65A">
      <w:pPr>
        <w:pStyle w:val="6"/>
        <w:numPr>
          <w:ilvl w:val="4"/>
          <w:numId w:val="1"/>
        </w:numPr>
        <w:ind w:firstLine="482"/>
      </w:pPr>
      <w:r>
        <w:rPr>
          <w:rFonts w:hint="eastAsia"/>
        </w:rPr>
        <w:t>无组织排放废气</w:t>
      </w:r>
    </w:p>
    <w:p w14:paraId="44F15ECB">
      <w:pPr>
        <w:ind w:firstLine="480"/>
      </w:pPr>
      <w:r>
        <w:t>本项目</w:t>
      </w:r>
      <w:r>
        <w:rPr>
          <w:rFonts w:hint="eastAsia" w:cs="Times New Roman"/>
          <w:color w:val="000000"/>
        </w:rPr>
        <w:t>无组织废气包括电解车间</w:t>
      </w:r>
      <w:r>
        <w:rPr>
          <w:rFonts w:hint="eastAsia" w:cs="Times New Roman"/>
          <w:color w:val="000000"/>
          <w:lang w:val="en-US" w:eastAsia="zh-CN"/>
        </w:rPr>
        <w:t>氯气及氯化氢</w:t>
      </w:r>
      <w:r>
        <w:rPr>
          <w:rFonts w:hint="eastAsia" w:cs="Times New Roman"/>
          <w:color w:val="000000"/>
        </w:rPr>
        <w:t>逸散废气、盐酸储罐大小呼吸、干燥包装区无组织粉尘、投料无组织粉尘等。</w:t>
      </w:r>
    </w:p>
    <w:p w14:paraId="040AF052">
      <w:pPr>
        <w:ind w:firstLine="482"/>
        <w:outlineLvl w:val="5"/>
        <w:rPr>
          <w:rFonts w:hint="eastAsia" w:eastAsia="宋体"/>
          <w:b/>
          <w:bCs/>
          <w:lang w:val="en-US" w:eastAsia="zh-CN"/>
        </w:rPr>
      </w:pPr>
      <w:r>
        <w:rPr>
          <w:rFonts w:hint="eastAsia"/>
          <w:b/>
          <w:bCs/>
          <w:lang w:eastAsia="zh-CN"/>
        </w:rPr>
        <w:t>（</w:t>
      </w:r>
      <w:r>
        <w:rPr>
          <w:rFonts w:hint="eastAsia"/>
          <w:b/>
          <w:bCs/>
          <w:lang w:val="en-US" w:eastAsia="zh-CN"/>
        </w:rPr>
        <w:t>1</w:t>
      </w:r>
      <w:r>
        <w:rPr>
          <w:rFonts w:hint="eastAsia"/>
          <w:b/>
          <w:bCs/>
          <w:lang w:eastAsia="zh-CN"/>
        </w:rPr>
        <w:t>）</w:t>
      </w:r>
      <w:r>
        <w:rPr>
          <w:rFonts w:hint="eastAsia" w:cs="Times New Roman"/>
          <w:b/>
          <w:bCs/>
          <w:color w:val="000000"/>
        </w:rPr>
        <w:t>电解车间</w:t>
      </w:r>
      <w:r>
        <w:rPr>
          <w:rFonts w:hint="eastAsia" w:cs="Times New Roman"/>
          <w:b/>
          <w:bCs/>
          <w:color w:val="000000"/>
          <w:lang w:val="en-US" w:eastAsia="zh-CN"/>
        </w:rPr>
        <w:t>氯气及氯化氢</w:t>
      </w:r>
      <w:r>
        <w:rPr>
          <w:rFonts w:hint="eastAsia" w:cs="Times New Roman"/>
          <w:b/>
          <w:bCs/>
          <w:color w:val="000000"/>
        </w:rPr>
        <w:t>逸散废气</w:t>
      </w:r>
    </w:p>
    <w:p w14:paraId="642EFE70">
      <w:pPr>
        <w:ind w:firstLine="480"/>
      </w:pPr>
      <w:r>
        <w:t>本项目</w:t>
      </w:r>
      <w:r>
        <w:rPr>
          <w:rFonts w:hint="eastAsia"/>
          <w:lang w:val="en-US" w:eastAsia="zh-CN"/>
        </w:rPr>
        <w:t>电解车间在生产</w:t>
      </w:r>
      <w:r>
        <w:t>过程中</w:t>
      </w:r>
      <w:r>
        <w:rPr>
          <w:rFonts w:hint="eastAsia"/>
          <w:lang w:val="en-US" w:eastAsia="zh-CN"/>
        </w:rPr>
        <w:t>产生的氯气、氯化氢</w:t>
      </w:r>
      <w:r>
        <w:t>可能存在跑、冒、滴、漏（包括设备、阀门、管件和传动设备密封部位的泄漏等），并在空气中蒸发逸散引起无组织排放。无组织泄漏量一般与工艺装置的技术水平、设备管线和管件的质量、气候变化情况、生产操作管理水平等因素有关，各化工企业因具体情况的不同，其无组织排放有很大差异。</w:t>
      </w:r>
    </w:p>
    <w:p w14:paraId="18B634C0">
      <w:pPr>
        <w:ind w:firstLine="480"/>
        <w:rPr>
          <w:rFonts w:hint="eastAsia"/>
          <w:highlight w:val="none"/>
        </w:rPr>
      </w:pPr>
      <w:r>
        <w:rPr>
          <w:rFonts w:hint="eastAsia"/>
          <w:highlight w:val="none"/>
          <w:lang w:val="en-US" w:eastAsia="zh-CN"/>
        </w:rPr>
        <w:t>根据物料平衡，核算本项目一次</w:t>
      </w:r>
      <w:r>
        <w:rPr>
          <w:rFonts w:hint="eastAsia"/>
          <w:highlight w:val="none"/>
        </w:rPr>
        <w:t>电解</w:t>
      </w:r>
      <w:r>
        <w:rPr>
          <w:rFonts w:hint="eastAsia"/>
          <w:highlight w:val="none"/>
          <w:lang w:val="en-US" w:eastAsia="zh-CN"/>
        </w:rPr>
        <w:t>装置</w:t>
      </w:r>
      <w:r>
        <w:rPr>
          <w:rFonts w:hint="eastAsia"/>
          <w:highlight w:val="none"/>
        </w:rPr>
        <w:t>Cl</w:t>
      </w:r>
      <w:r>
        <w:rPr>
          <w:rFonts w:hint="eastAsia"/>
          <w:highlight w:val="none"/>
          <w:vertAlign w:val="subscript"/>
        </w:rPr>
        <w:t>2</w:t>
      </w:r>
      <w:r>
        <w:rPr>
          <w:rFonts w:hint="eastAsia"/>
          <w:highlight w:val="none"/>
        </w:rPr>
        <w:t>产生量为</w:t>
      </w:r>
      <w:r>
        <w:rPr>
          <w:rFonts w:hint="eastAsia"/>
          <w:highlight w:val="none"/>
          <w:lang w:val="en-US" w:eastAsia="zh-CN"/>
        </w:rPr>
        <w:t>10.51</w:t>
      </w:r>
      <w:r>
        <w:rPr>
          <w:rFonts w:hint="eastAsia"/>
          <w:highlight w:val="none"/>
        </w:rPr>
        <w:t>t/a，HCl产生量为</w:t>
      </w:r>
      <w:r>
        <w:rPr>
          <w:rFonts w:hint="eastAsia"/>
          <w:highlight w:val="none"/>
          <w:lang w:val="en-US" w:eastAsia="zh-CN"/>
        </w:rPr>
        <w:t>10.85</w:t>
      </w:r>
      <w:r>
        <w:rPr>
          <w:rFonts w:hint="eastAsia"/>
          <w:highlight w:val="none"/>
        </w:rPr>
        <w:t>t/a</w:t>
      </w:r>
      <w:r>
        <w:rPr>
          <w:rFonts w:hint="eastAsia"/>
          <w:highlight w:val="none"/>
          <w:lang w:eastAsia="zh-CN"/>
        </w:rPr>
        <w:t>；</w:t>
      </w:r>
      <w:r>
        <w:rPr>
          <w:rFonts w:hint="eastAsia"/>
          <w:highlight w:val="none"/>
          <w:lang w:val="en-US" w:eastAsia="zh-CN"/>
        </w:rPr>
        <w:t>二次</w:t>
      </w:r>
      <w:r>
        <w:rPr>
          <w:rFonts w:hint="eastAsia"/>
          <w:highlight w:val="none"/>
        </w:rPr>
        <w:t>电解</w:t>
      </w:r>
      <w:r>
        <w:rPr>
          <w:rFonts w:hint="eastAsia"/>
          <w:highlight w:val="none"/>
          <w:lang w:val="en-US" w:eastAsia="zh-CN"/>
        </w:rPr>
        <w:t>装置</w:t>
      </w:r>
      <w:r>
        <w:rPr>
          <w:rFonts w:hint="eastAsia"/>
          <w:highlight w:val="none"/>
        </w:rPr>
        <w:t>Cl</w:t>
      </w:r>
      <w:r>
        <w:rPr>
          <w:rFonts w:hint="eastAsia"/>
          <w:highlight w:val="none"/>
          <w:vertAlign w:val="subscript"/>
        </w:rPr>
        <w:t>2</w:t>
      </w:r>
      <w:r>
        <w:rPr>
          <w:rFonts w:hint="eastAsia"/>
          <w:highlight w:val="none"/>
        </w:rPr>
        <w:t>产生量为</w:t>
      </w:r>
      <w:r>
        <w:rPr>
          <w:rFonts w:hint="eastAsia"/>
          <w:highlight w:val="none"/>
          <w:lang w:val="en-US" w:eastAsia="zh-CN"/>
        </w:rPr>
        <w:t>1.5</w:t>
      </w:r>
      <w:r>
        <w:rPr>
          <w:rFonts w:hint="eastAsia"/>
          <w:highlight w:val="none"/>
        </w:rPr>
        <w:t>t/a，HCl产生量为</w:t>
      </w:r>
      <w:r>
        <w:rPr>
          <w:rFonts w:hint="eastAsia"/>
          <w:highlight w:val="none"/>
          <w:lang w:val="en-US" w:eastAsia="zh-CN"/>
        </w:rPr>
        <w:t>1.74</w:t>
      </w:r>
      <w:r>
        <w:rPr>
          <w:rFonts w:hint="eastAsia"/>
          <w:highlight w:val="none"/>
        </w:rPr>
        <w:t>t/a</w:t>
      </w:r>
      <w:r>
        <w:rPr>
          <w:rFonts w:hint="eastAsia"/>
          <w:highlight w:val="none"/>
          <w:lang w:eastAsia="zh-CN"/>
        </w:rPr>
        <w:t>。</w:t>
      </w:r>
      <w:r>
        <w:t>参照《大气环境影响评价实用技术手册》（王栋成主编，中国标准出版社）中介绍，根据美国对几十家化工企业长期跟踪测试结果，废气管道和阀门泄漏的排放为年用量的0.05‰~0.5‰。</w:t>
      </w:r>
      <w:r>
        <w:rPr>
          <w:highlight w:val="none"/>
        </w:rPr>
        <w:t>本</w:t>
      </w:r>
      <w:r>
        <w:rPr>
          <w:rFonts w:hint="eastAsia"/>
          <w:highlight w:val="none"/>
        </w:rPr>
        <w:t>项目</w:t>
      </w:r>
      <w:r>
        <w:rPr>
          <w:highlight w:val="none"/>
        </w:rPr>
        <w:t>按照</w:t>
      </w:r>
      <w:r>
        <w:rPr>
          <w:rFonts w:hint="eastAsia"/>
          <w:highlight w:val="none"/>
          <w:lang w:val="en-US" w:eastAsia="zh-CN"/>
        </w:rPr>
        <w:t>废气产生量</w:t>
      </w:r>
      <w:r>
        <w:rPr>
          <w:highlight w:val="none"/>
        </w:rPr>
        <w:t>的0.5‰泄漏量计算，</w:t>
      </w:r>
      <w:r>
        <w:rPr>
          <w:rFonts w:hint="eastAsia"/>
          <w:highlight w:val="none"/>
          <w:lang w:val="en-US" w:eastAsia="zh-CN"/>
        </w:rPr>
        <w:t>则电解车间氯气逸散量为0.0060t/a，氯化氢逸散量为0.0063t/a。</w:t>
      </w:r>
      <w:r>
        <w:rPr>
          <w:rFonts w:hint="eastAsia"/>
          <w:highlight w:val="none"/>
        </w:rPr>
        <w:t>电解车间面源面积为2928</w:t>
      </w:r>
      <w:r>
        <w:rPr>
          <w:highlight w:val="none"/>
        </w:rPr>
        <w:t>m</w:t>
      </w:r>
      <w:r>
        <w:rPr>
          <w:highlight w:val="none"/>
          <w:vertAlign w:val="superscript"/>
        </w:rPr>
        <w:t>2</w:t>
      </w:r>
      <w:r>
        <w:rPr>
          <w:rFonts w:hint="eastAsia"/>
          <w:highlight w:val="none"/>
        </w:rPr>
        <w:t>。</w:t>
      </w:r>
    </w:p>
    <w:p w14:paraId="5B6238D1">
      <w:pPr>
        <w:pStyle w:val="43"/>
        <w:bidi w:val="0"/>
        <w:rPr>
          <w:rFonts w:hint="eastAsia"/>
          <w:lang w:val="en-US" w:eastAsia="zh-CN"/>
        </w:rPr>
      </w:pPr>
      <w:r>
        <w:rPr>
          <w:rFonts w:hint="eastAsia"/>
        </w:rPr>
        <w:t>电解车间</w:t>
      </w:r>
      <w:r>
        <w:rPr>
          <w:rFonts w:hint="eastAsia"/>
          <w:lang w:val="en-US" w:eastAsia="zh-CN"/>
        </w:rPr>
        <w:t>氯气及氯化氢</w:t>
      </w:r>
      <w:r>
        <w:rPr>
          <w:rFonts w:hint="eastAsia"/>
        </w:rPr>
        <w:t>逸散废气</w:t>
      </w:r>
      <w:r>
        <w:rPr>
          <w:rFonts w:hint="eastAsia"/>
          <w:lang w:val="en-US" w:eastAsia="zh-CN"/>
        </w:rPr>
        <w:t>产生情况</w:t>
      </w:r>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828"/>
        <w:gridCol w:w="752"/>
        <w:gridCol w:w="1567"/>
        <w:gridCol w:w="1516"/>
        <w:gridCol w:w="885"/>
        <w:gridCol w:w="969"/>
        <w:gridCol w:w="1005"/>
      </w:tblGrid>
      <w:tr w14:paraId="7A14B28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70" w:hRule="atLeast"/>
          <w:tblHeader/>
          <w:jc w:val="center"/>
        </w:trPr>
        <w:tc>
          <w:tcPr>
            <w:tcW w:w="0" w:type="auto"/>
            <w:tcBorders>
              <w:top w:val="single" w:color="auto" w:sz="4" w:space="0"/>
              <w:left w:val="single" w:color="auto" w:sz="6" w:space="0"/>
              <w:bottom w:val="single" w:color="auto" w:sz="4" w:space="0"/>
              <w:right w:val="single" w:color="auto" w:sz="4" w:space="0"/>
            </w:tcBorders>
            <w:vAlign w:val="center"/>
          </w:tcPr>
          <w:p w14:paraId="2F07B707">
            <w:pPr>
              <w:pStyle w:val="45"/>
              <w:rPr>
                <w:rFonts w:hint="default"/>
                <w:b/>
                <w:bCs/>
                <w:lang w:val="en-US" w:eastAsia="zh-CN"/>
              </w:rPr>
            </w:pPr>
            <w:r>
              <w:rPr>
                <w:rFonts w:hint="eastAsia"/>
                <w:b/>
                <w:bCs/>
                <w:lang w:val="en-US" w:eastAsia="zh-CN"/>
              </w:rPr>
              <w:t>废气名称</w:t>
            </w:r>
          </w:p>
        </w:tc>
        <w:tc>
          <w:tcPr>
            <w:tcW w:w="0" w:type="auto"/>
            <w:tcBorders>
              <w:top w:val="single" w:color="auto" w:sz="4" w:space="0"/>
              <w:left w:val="single" w:color="auto" w:sz="6" w:space="0"/>
              <w:bottom w:val="single" w:color="auto" w:sz="4" w:space="0"/>
              <w:right w:val="single" w:color="auto" w:sz="4" w:space="0"/>
            </w:tcBorders>
            <w:vAlign w:val="center"/>
          </w:tcPr>
          <w:p w14:paraId="1A9F5B62">
            <w:pPr>
              <w:pStyle w:val="45"/>
              <w:rPr>
                <w:rFonts w:hint="default" w:eastAsia="宋体"/>
                <w:b/>
                <w:bCs/>
                <w:lang w:val="en-US" w:eastAsia="zh-CN"/>
              </w:rPr>
            </w:pPr>
            <w:r>
              <w:rPr>
                <w:rFonts w:hint="eastAsia"/>
                <w:b/>
                <w:bCs/>
                <w:lang w:val="en-US" w:eastAsia="zh-CN"/>
              </w:rPr>
              <w:t>污染因子</w:t>
            </w:r>
          </w:p>
        </w:tc>
        <w:tc>
          <w:tcPr>
            <w:tcW w:w="0" w:type="auto"/>
            <w:tcBorders>
              <w:top w:val="single" w:color="auto" w:sz="4" w:space="0"/>
              <w:left w:val="single" w:color="auto" w:sz="6" w:space="0"/>
              <w:bottom w:val="single" w:color="auto" w:sz="4" w:space="0"/>
              <w:right w:val="single" w:color="auto" w:sz="4" w:space="0"/>
            </w:tcBorders>
            <w:vAlign w:val="center"/>
          </w:tcPr>
          <w:p w14:paraId="29FB4672">
            <w:pPr>
              <w:pStyle w:val="45"/>
              <w:rPr>
                <w:rFonts w:hint="default"/>
                <w:b/>
                <w:bCs/>
                <w:lang w:val="en-US" w:eastAsia="zh-CN"/>
              </w:rPr>
            </w:pPr>
            <w:r>
              <w:rPr>
                <w:rFonts w:hint="eastAsia"/>
                <w:b/>
                <w:bCs/>
                <w:lang w:val="en-US" w:eastAsia="zh-CN"/>
              </w:rPr>
              <w:t>一次电解装置产生量t/a</w:t>
            </w:r>
          </w:p>
        </w:tc>
        <w:tc>
          <w:tcPr>
            <w:tcW w:w="0" w:type="auto"/>
            <w:tcBorders>
              <w:top w:val="single" w:color="auto" w:sz="4" w:space="0"/>
              <w:left w:val="single" w:color="auto" w:sz="6" w:space="0"/>
              <w:bottom w:val="single" w:color="auto" w:sz="4" w:space="0"/>
              <w:right w:val="single" w:color="auto" w:sz="4" w:space="0"/>
            </w:tcBorders>
            <w:vAlign w:val="center"/>
          </w:tcPr>
          <w:p w14:paraId="612FE22E">
            <w:pPr>
              <w:pStyle w:val="45"/>
              <w:rPr>
                <w:rFonts w:hint="default"/>
                <w:b/>
                <w:bCs/>
                <w:lang w:val="en-US" w:eastAsia="zh-CN"/>
              </w:rPr>
            </w:pPr>
            <w:r>
              <w:rPr>
                <w:rFonts w:hint="eastAsia"/>
                <w:b/>
                <w:bCs/>
                <w:lang w:val="en-US" w:eastAsia="zh-CN"/>
              </w:rPr>
              <w:t>二次电解装置产生量t/a</w:t>
            </w:r>
          </w:p>
        </w:tc>
        <w:tc>
          <w:tcPr>
            <w:tcW w:w="0" w:type="auto"/>
            <w:tcBorders>
              <w:top w:val="single" w:color="auto" w:sz="4" w:space="0"/>
              <w:left w:val="single" w:color="auto" w:sz="6" w:space="0"/>
              <w:bottom w:val="single" w:color="auto" w:sz="4" w:space="0"/>
              <w:right w:val="single" w:color="auto" w:sz="4" w:space="0"/>
            </w:tcBorders>
            <w:vAlign w:val="center"/>
          </w:tcPr>
          <w:p w14:paraId="3A490500">
            <w:pPr>
              <w:pStyle w:val="45"/>
              <w:rPr>
                <w:rFonts w:hint="default"/>
                <w:b/>
                <w:bCs/>
                <w:lang w:val="en-US" w:eastAsia="zh-CN"/>
              </w:rPr>
            </w:pPr>
            <w:r>
              <w:rPr>
                <w:rFonts w:hint="eastAsia"/>
                <w:b/>
                <w:bCs/>
                <w:lang w:val="en-US" w:eastAsia="zh-CN"/>
              </w:rPr>
              <w:t>泄漏系数</w:t>
            </w:r>
            <w:r>
              <w:rPr>
                <w:b/>
                <w:bCs/>
              </w:rPr>
              <w:t>‰</w:t>
            </w:r>
          </w:p>
        </w:tc>
        <w:tc>
          <w:tcPr>
            <w:tcW w:w="0" w:type="auto"/>
            <w:tcBorders>
              <w:top w:val="single" w:color="auto" w:sz="4" w:space="0"/>
              <w:left w:val="single" w:color="auto" w:sz="6" w:space="0"/>
              <w:bottom w:val="single" w:color="auto" w:sz="4" w:space="0"/>
              <w:right w:val="single" w:color="auto" w:sz="4" w:space="0"/>
            </w:tcBorders>
            <w:vAlign w:val="center"/>
          </w:tcPr>
          <w:p w14:paraId="44456DE1">
            <w:pPr>
              <w:pStyle w:val="45"/>
              <w:rPr>
                <w:rFonts w:hint="default"/>
                <w:b/>
                <w:bCs/>
                <w:lang w:val="en-US" w:eastAsia="zh-CN"/>
              </w:rPr>
            </w:pPr>
            <w:r>
              <w:rPr>
                <w:rFonts w:hint="eastAsia"/>
                <w:b/>
                <w:bCs/>
                <w:lang w:val="en-US" w:eastAsia="zh-CN"/>
              </w:rPr>
              <w:t>逸散量t/a</w:t>
            </w:r>
          </w:p>
        </w:tc>
        <w:tc>
          <w:tcPr>
            <w:tcW w:w="0" w:type="auto"/>
            <w:tcBorders>
              <w:top w:val="single" w:color="auto" w:sz="4" w:space="0"/>
              <w:left w:val="single" w:color="auto" w:sz="6" w:space="0"/>
              <w:bottom w:val="single" w:color="auto" w:sz="4" w:space="0"/>
              <w:right w:val="single" w:color="auto" w:sz="4" w:space="0"/>
            </w:tcBorders>
            <w:vAlign w:val="center"/>
          </w:tcPr>
          <w:p w14:paraId="17A901DC">
            <w:pPr>
              <w:pStyle w:val="45"/>
              <w:rPr>
                <w:rFonts w:hint="default"/>
                <w:b/>
                <w:bCs/>
                <w:lang w:val="en-US" w:eastAsia="zh-CN"/>
              </w:rPr>
            </w:pPr>
            <w:r>
              <w:rPr>
                <w:rFonts w:hint="eastAsia"/>
                <w:b/>
                <w:bCs/>
                <w:lang w:val="en-US" w:eastAsia="zh-CN"/>
              </w:rPr>
              <w:t>逸散面积</w:t>
            </w:r>
            <w:r>
              <w:rPr>
                <w:b/>
                <w:bCs/>
                <w:highlight w:val="none"/>
              </w:rPr>
              <w:t>m</w:t>
            </w:r>
            <w:r>
              <w:rPr>
                <w:b/>
                <w:bCs/>
                <w:highlight w:val="none"/>
                <w:vertAlign w:val="superscript"/>
              </w:rPr>
              <w:t>2</w:t>
            </w:r>
          </w:p>
        </w:tc>
      </w:tr>
      <w:tr w14:paraId="2612CE7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0" w:type="auto"/>
            <w:vMerge w:val="restart"/>
            <w:tcBorders>
              <w:top w:val="single" w:color="auto" w:sz="4" w:space="0"/>
              <w:left w:val="single" w:color="auto" w:sz="6" w:space="0"/>
              <w:right w:val="single" w:color="auto" w:sz="4" w:space="0"/>
            </w:tcBorders>
            <w:vAlign w:val="center"/>
          </w:tcPr>
          <w:p w14:paraId="6C262138">
            <w:pPr>
              <w:pStyle w:val="45"/>
              <w:rPr>
                <w:rFonts w:hint="default"/>
                <w:lang w:val="en-US" w:eastAsia="zh-CN"/>
              </w:rPr>
            </w:pPr>
            <w:r>
              <w:rPr>
                <w:rFonts w:hint="eastAsia"/>
              </w:rPr>
              <w:t>电解车间</w:t>
            </w:r>
            <w:r>
              <w:rPr>
                <w:rFonts w:hint="eastAsia"/>
                <w:lang w:val="en-US" w:eastAsia="zh-CN"/>
              </w:rPr>
              <w:t>氯气及氯化氢</w:t>
            </w:r>
            <w:r>
              <w:rPr>
                <w:rFonts w:hint="eastAsia"/>
              </w:rPr>
              <w:t>逸散废气</w:t>
            </w:r>
          </w:p>
        </w:tc>
        <w:tc>
          <w:tcPr>
            <w:tcW w:w="0" w:type="auto"/>
            <w:tcBorders>
              <w:top w:val="single" w:color="auto" w:sz="4" w:space="0"/>
              <w:left w:val="single" w:color="auto" w:sz="6" w:space="0"/>
              <w:bottom w:val="single" w:color="auto" w:sz="4" w:space="0"/>
              <w:right w:val="single" w:color="auto" w:sz="4" w:space="0"/>
            </w:tcBorders>
            <w:vAlign w:val="center"/>
          </w:tcPr>
          <w:p w14:paraId="2CBE73C9">
            <w:pPr>
              <w:pStyle w:val="45"/>
              <w:rPr>
                <w:rFonts w:hint="default" w:eastAsia="宋体"/>
                <w:lang w:val="en-US" w:eastAsia="zh-CN"/>
              </w:rPr>
            </w:pPr>
            <w:r>
              <w:rPr>
                <w:rFonts w:hint="eastAsia"/>
                <w:lang w:val="en-US" w:eastAsia="zh-CN"/>
              </w:rPr>
              <w:t>氯气</w:t>
            </w:r>
          </w:p>
        </w:tc>
        <w:tc>
          <w:tcPr>
            <w:tcW w:w="0" w:type="auto"/>
            <w:tcBorders>
              <w:top w:val="single" w:color="auto" w:sz="4" w:space="0"/>
              <w:left w:val="single" w:color="auto" w:sz="6" w:space="0"/>
              <w:bottom w:val="single" w:color="auto" w:sz="4" w:space="0"/>
              <w:right w:val="single" w:color="auto" w:sz="4" w:space="0"/>
            </w:tcBorders>
            <w:vAlign w:val="center"/>
          </w:tcPr>
          <w:p w14:paraId="7719CC51">
            <w:pPr>
              <w:pStyle w:val="45"/>
              <w:rPr>
                <w:rFonts w:hint="default"/>
                <w:lang w:val="en-US" w:eastAsia="zh-CN"/>
              </w:rPr>
            </w:pPr>
            <w:r>
              <w:rPr>
                <w:rFonts w:hint="eastAsia"/>
                <w:lang w:val="en-US" w:eastAsia="zh-CN"/>
              </w:rPr>
              <w:t>10.51</w:t>
            </w:r>
          </w:p>
        </w:tc>
        <w:tc>
          <w:tcPr>
            <w:tcW w:w="0" w:type="auto"/>
            <w:tcBorders>
              <w:top w:val="single" w:color="auto" w:sz="4" w:space="0"/>
              <w:left w:val="single" w:color="auto" w:sz="6" w:space="0"/>
              <w:bottom w:val="single" w:color="auto" w:sz="4" w:space="0"/>
              <w:right w:val="single" w:color="auto" w:sz="4" w:space="0"/>
            </w:tcBorders>
            <w:vAlign w:val="center"/>
          </w:tcPr>
          <w:p w14:paraId="6ECD51D7">
            <w:pPr>
              <w:pStyle w:val="45"/>
              <w:rPr>
                <w:rFonts w:hint="default"/>
                <w:lang w:val="en-US" w:eastAsia="zh-CN"/>
              </w:rPr>
            </w:pPr>
            <w:r>
              <w:rPr>
                <w:rFonts w:hint="eastAsia"/>
                <w:lang w:val="en-US" w:eastAsia="zh-CN"/>
              </w:rPr>
              <w:t>1.5</w:t>
            </w:r>
          </w:p>
        </w:tc>
        <w:tc>
          <w:tcPr>
            <w:tcW w:w="0" w:type="auto"/>
            <w:tcBorders>
              <w:top w:val="single" w:color="auto" w:sz="4" w:space="0"/>
              <w:left w:val="single" w:color="auto" w:sz="6" w:space="0"/>
              <w:bottom w:val="single" w:color="auto" w:sz="4" w:space="0"/>
              <w:right w:val="single" w:color="auto" w:sz="4" w:space="0"/>
            </w:tcBorders>
            <w:vAlign w:val="center"/>
          </w:tcPr>
          <w:p w14:paraId="782277BF">
            <w:pPr>
              <w:pStyle w:val="45"/>
              <w:bidi w:val="0"/>
              <w:rPr>
                <w:rFonts w:hint="default"/>
                <w:lang w:val="en-US" w:eastAsia="zh-CN"/>
              </w:rPr>
            </w:pPr>
            <w:r>
              <w:t>0.5</w:t>
            </w:r>
          </w:p>
        </w:tc>
        <w:tc>
          <w:tcPr>
            <w:tcW w:w="0" w:type="auto"/>
            <w:tcBorders>
              <w:top w:val="single" w:color="auto" w:sz="4" w:space="0"/>
              <w:left w:val="single" w:color="auto" w:sz="6" w:space="0"/>
              <w:bottom w:val="single" w:color="auto" w:sz="4" w:space="0"/>
              <w:right w:val="single" w:color="auto" w:sz="4" w:space="0"/>
            </w:tcBorders>
            <w:vAlign w:val="center"/>
          </w:tcPr>
          <w:p w14:paraId="79548B3F">
            <w:pPr>
              <w:pStyle w:val="45"/>
              <w:rPr>
                <w:rFonts w:hint="default"/>
                <w:lang w:val="en-US" w:eastAsia="zh-CN"/>
              </w:rPr>
            </w:pPr>
            <w:r>
              <w:rPr>
                <w:rFonts w:hint="eastAsia"/>
                <w:lang w:val="en-US" w:eastAsia="zh-CN"/>
              </w:rPr>
              <w:t>0.0060</w:t>
            </w:r>
          </w:p>
        </w:tc>
        <w:tc>
          <w:tcPr>
            <w:tcW w:w="0" w:type="auto"/>
            <w:vMerge w:val="restart"/>
            <w:tcBorders>
              <w:top w:val="single" w:color="auto" w:sz="4" w:space="0"/>
              <w:left w:val="single" w:color="auto" w:sz="6" w:space="0"/>
              <w:right w:val="single" w:color="auto" w:sz="4" w:space="0"/>
            </w:tcBorders>
            <w:vAlign w:val="center"/>
          </w:tcPr>
          <w:p w14:paraId="2C0FDC21">
            <w:pPr>
              <w:pStyle w:val="45"/>
              <w:rPr>
                <w:rFonts w:hint="default"/>
                <w:lang w:val="en-US" w:eastAsia="zh-CN"/>
              </w:rPr>
            </w:pPr>
            <w:r>
              <w:rPr>
                <w:rFonts w:hint="eastAsia"/>
                <w:lang w:val="en-US" w:eastAsia="zh-CN"/>
              </w:rPr>
              <w:t>2928</w:t>
            </w:r>
          </w:p>
        </w:tc>
      </w:tr>
      <w:tr w14:paraId="498A0B5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0" w:type="auto"/>
            <w:vMerge w:val="continue"/>
            <w:tcBorders>
              <w:left w:val="single" w:color="auto" w:sz="6" w:space="0"/>
              <w:right w:val="single" w:color="auto" w:sz="4" w:space="0"/>
            </w:tcBorders>
            <w:vAlign w:val="center"/>
          </w:tcPr>
          <w:p w14:paraId="4947A6ED">
            <w:pPr>
              <w:pStyle w:val="45"/>
              <w:rPr>
                <w:rFonts w:hint="eastAsia"/>
              </w:rPr>
            </w:pPr>
          </w:p>
        </w:tc>
        <w:tc>
          <w:tcPr>
            <w:tcW w:w="0" w:type="auto"/>
            <w:tcBorders>
              <w:top w:val="single" w:color="auto" w:sz="4" w:space="0"/>
              <w:left w:val="single" w:color="auto" w:sz="6" w:space="0"/>
              <w:bottom w:val="single" w:color="auto" w:sz="6" w:space="0"/>
              <w:right w:val="single" w:color="auto" w:sz="4" w:space="0"/>
            </w:tcBorders>
            <w:vAlign w:val="center"/>
          </w:tcPr>
          <w:p w14:paraId="76DA6150">
            <w:pPr>
              <w:pStyle w:val="45"/>
              <w:rPr>
                <w:rFonts w:hint="default"/>
                <w:lang w:val="en-US" w:eastAsia="zh-CN"/>
              </w:rPr>
            </w:pPr>
            <w:r>
              <w:rPr>
                <w:rFonts w:hint="eastAsia"/>
                <w:lang w:val="en-US" w:eastAsia="zh-CN"/>
              </w:rPr>
              <w:t>氯化氢</w:t>
            </w:r>
          </w:p>
        </w:tc>
        <w:tc>
          <w:tcPr>
            <w:tcW w:w="0" w:type="auto"/>
            <w:tcBorders>
              <w:top w:val="single" w:color="auto" w:sz="4" w:space="0"/>
              <w:left w:val="single" w:color="auto" w:sz="6" w:space="0"/>
              <w:bottom w:val="single" w:color="auto" w:sz="6" w:space="0"/>
              <w:right w:val="single" w:color="auto" w:sz="4" w:space="0"/>
            </w:tcBorders>
            <w:vAlign w:val="center"/>
          </w:tcPr>
          <w:p w14:paraId="12888EF2">
            <w:pPr>
              <w:pStyle w:val="45"/>
              <w:rPr>
                <w:rFonts w:hint="default"/>
                <w:lang w:val="en-US" w:eastAsia="zh-CN"/>
              </w:rPr>
            </w:pPr>
            <w:r>
              <w:rPr>
                <w:rFonts w:hint="eastAsia"/>
                <w:lang w:val="en-US" w:eastAsia="zh-CN"/>
              </w:rPr>
              <w:t>10.85</w:t>
            </w:r>
          </w:p>
        </w:tc>
        <w:tc>
          <w:tcPr>
            <w:tcW w:w="0" w:type="auto"/>
            <w:tcBorders>
              <w:top w:val="single" w:color="auto" w:sz="4" w:space="0"/>
              <w:left w:val="single" w:color="auto" w:sz="6" w:space="0"/>
              <w:bottom w:val="single" w:color="auto" w:sz="6" w:space="0"/>
              <w:right w:val="single" w:color="auto" w:sz="4" w:space="0"/>
            </w:tcBorders>
            <w:vAlign w:val="center"/>
          </w:tcPr>
          <w:p w14:paraId="5B5CC172">
            <w:pPr>
              <w:pStyle w:val="45"/>
              <w:rPr>
                <w:rFonts w:hint="default"/>
                <w:lang w:val="en-US" w:eastAsia="zh-CN"/>
              </w:rPr>
            </w:pPr>
            <w:r>
              <w:rPr>
                <w:rFonts w:hint="eastAsia"/>
                <w:lang w:val="en-US" w:eastAsia="zh-CN"/>
              </w:rPr>
              <w:t>1.74</w:t>
            </w:r>
          </w:p>
        </w:tc>
        <w:tc>
          <w:tcPr>
            <w:tcW w:w="0" w:type="auto"/>
            <w:tcBorders>
              <w:top w:val="single" w:color="auto" w:sz="4" w:space="0"/>
              <w:left w:val="single" w:color="auto" w:sz="6" w:space="0"/>
              <w:bottom w:val="single" w:color="auto" w:sz="6" w:space="0"/>
              <w:right w:val="single" w:color="auto" w:sz="4" w:space="0"/>
            </w:tcBorders>
            <w:vAlign w:val="center"/>
          </w:tcPr>
          <w:p w14:paraId="6B66B212">
            <w:pPr>
              <w:pStyle w:val="45"/>
              <w:bidi w:val="0"/>
              <w:rPr>
                <w:rFonts w:hint="eastAsia"/>
                <w:lang w:val="en-US" w:eastAsia="zh-CN"/>
              </w:rPr>
            </w:pPr>
            <w:r>
              <w:t>0.5</w:t>
            </w:r>
          </w:p>
        </w:tc>
        <w:tc>
          <w:tcPr>
            <w:tcW w:w="0" w:type="auto"/>
            <w:tcBorders>
              <w:top w:val="single" w:color="auto" w:sz="4" w:space="0"/>
              <w:left w:val="single" w:color="auto" w:sz="6" w:space="0"/>
              <w:bottom w:val="single" w:color="auto" w:sz="6" w:space="0"/>
              <w:right w:val="single" w:color="auto" w:sz="4" w:space="0"/>
            </w:tcBorders>
            <w:vAlign w:val="center"/>
          </w:tcPr>
          <w:p w14:paraId="55DCEEAC">
            <w:pPr>
              <w:pStyle w:val="45"/>
              <w:rPr>
                <w:rFonts w:hint="default"/>
                <w:lang w:val="en-US" w:eastAsia="zh-CN"/>
              </w:rPr>
            </w:pPr>
            <w:r>
              <w:rPr>
                <w:rFonts w:hint="eastAsia"/>
                <w:lang w:val="en-US" w:eastAsia="zh-CN"/>
              </w:rPr>
              <w:t>0.0063</w:t>
            </w:r>
          </w:p>
        </w:tc>
        <w:tc>
          <w:tcPr>
            <w:tcW w:w="0" w:type="auto"/>
            <w:vMerge w:val="continue"/>
            <w:tcBorders>
              <w:left w:val="single" w:color="auto" w:sz="6" w:space="0"/>
              <w:bottom w:val="single" w:color="auto" w:sz="6" w:space="0"/>
              <w:right w:val="single" w:color="auto" w:sz="4" w:space="0"/>
            </w:tcBorders>
            <w:vAlign w:val="center"/>
          </w:tcPr>
          <w:p w14:paraId="33363C10">
            <w:pPr>
              <w:pStyle w:val="45"/>
              <w:rPr>
                <w:rFonts w:hint="eastAsia"/>
                <w:lang w:val="en-US" w:eastAsia="zh-CN"/>
              </w:rPr>
            </w:pPr>
          </w:p>
        </w:tc>
      </w:tr>
    </w:tbl>
    <w:p w14:paraId="4C451EDB">
      <w:pPr>
        <w:ind w:left="0" w:leftChars="0" w:firstLine="0" w:firstLineChars="0"/>
        <w:rPr>
          <w:rFonts w:hint="eastAsia"/>
          <w:lang w:val="en-US" w:eastAsia="zh-CN"/>
        </w:rPr>
      </w:pPr>
    </w:p>
    <w:p w14:paraId="35104B05">
      <w:pPr>
        <w:ind w:firstLine="480"/>
      </w:pPr>
      <w:r>
        <w:t>为了减少</w:t>
      </w:r>
      <w:r>
        <w:rPr>
          <w:rFonts w:hint="eastAsia"/>
          <w:lang w:val="en-US" w:eastAsia="zh-CN"/>
        </w:rPr>
        <w:t>电解车间在生产</w:t>
      </w:r>
      <w:r>
        <w:t>过程中</w:t>
      </w:r>
      <w:r>
        <w:rPr>
          <w:rFonts w:hint="eastAsia"/>
          <w:lang w:val="en-US" w:eastAsia="zh-CN"/>
        </w:rPr>
        <w:t>产生的氯气、氯化氢</w:t>
      </w:r>
      <w:r>
        <w:t>的无组织排放，项目拟采取的控制措施如下：</w:t>
      </w:r>
    </w:p>
    <w:p w14:paraId="479711C7">
      <w:pPr>
        <w:ind w:firstLine="480"/>
      </w:pPr>
      <w:r>
        <w:t>1、采用先进的DCS 集散控制系统，各物料输送均采用密闭输送方式，防止泄露；</w:t>
      </w:r>
    </w:p>
    <w:p w14:paraId="2E9A2977">
      <w:pPr>
        <w:ind w:firstLine="480"/>
      </w:pPr>
      <w:r>
        <w:t>2、设计阶段按照设计标准和工程经验选用质量可靠的设备、管道、阀门及管路附件，增强运行管理，及时更换相关零部件，将设备和管道的腐蚀控制在合理范围之内，减少装置跑、冒、滴、漏现象的发生，降低污染物的无组织排放量；</w:t>
      </w:r>
    </w:p>
    <w:p w14:paraId="540B4856">
      <w:pPr>
        <w:ind w:firstLine="480"/>
      </w:pPr>
      <w:r>
        <w:t>3、在工艺允许的条件下，尽量减少物料输送管线阀门、法兰等连接，物料转移采用管道转移，尽量减少中间储罐物料存储时间；</w:t>
      </w:r>
    </w:p>
    <w:p w14:paraId="41DD668F">
      <w:pPr>
        <w:ind w:firstLine="480"/>
      </w:pPr>
      <w:r>
        <w:t>4、制定严谨的工艺操作规程和岗位操作法，减少误操作。</w:t>
      </w:r>
    </w:p>
    <w:p w14:paraId="759B35F4">
      <w:pPr>
        <w:ind w:firstLine="480"/>
      </w:pPr>
      <w:r>
        <w:t>本项目通过采取以上措施，装置区无组织排放的污染物较少。</w:t>
      </w:r>
    </w:p>
    <w:p w14:paraId="6D9475CC">
      <w:pPr>
        <w:ind w:firstLine="482"/>
        <w:outlineLvl w:val="5"/>
        <w:rPr>
          <w:b/>
          <w:bCs/>
        </w:rPr>
      </w:pPr>
      <w:r>
        <w:rPr>
          <w:rFonts w:hint="eastAsia"/>
          <w:b/>
          <w:bCs/>
          <w:lang w:eastAsia="zh-CN"/>
        </w:rPr>
        <w:t>（</w:t>
      </w:r>
      <w:r>
        <w:rPr>
          <w:rFonts w:hint="eastAsia"/>
          <w:b/>
          <w:bCs/>
          <w:lang w:val="en-US" w:eastAsia="zh-CN"/>
        </w:rPr>
        <w:t>2</w:t>
      </w:r>
      <w:r>
        <w:rPr>
          <w:rFonts w:hint="eastAsia"/>
          <w:b/>
          <w:bCs/>
          <w:lang w:eastAsia="zh-CN"/>
        </w:rPr>
        <w:t>）</w:t>
      </w:r>
      <w:r>
        <w:rPr>
          <w:rFonts w:hint="eastAsia"/>
          <w:b/>
          <w:bCs/>
        </w:rPr>
        <w:t>盐酸储罐大小呼吸无组织废气</w:t>
      </w:r>
    </w:p>
    <w:p w14:paraId="634A68B3">
      <w:pPr>
        <w:ind w:firstLine="480"/>
      </w:pPr>
      <w:r>
        <w:rPr>
          <w:rFonts w:hint="eastAsia"/>
        </w:rPr>
        <w:t>本项目罐区有氯化钾、氯化钠、氯酸钠、液碱、盐酸、冷凝水储罐，</w:t>
      </w:r>
      <w:r>
        <w:t>根据理化性质可知，</w:t>
      </w:r>
      <w:r>
        <w:rPr>
          <w:rFonts w:hint="eastAsia"/>
        </w:rPr>
        <w:t>储罐污染源</w:t>
      </w:r>
      <w:r>
        <w:t>主要为盐酸储罐大小呼吸排放的废气</w:t>
      </w:r>
      <w:r>
        <w:rPr>
          <w:rFonts w:hint="eastAsia"/>
        </w:rPr>
        <w:t>，其他储罐储存时性质稳定基本不会挥发出气体。</w:t>
      </w:r>
    </w:p>
    <w:p w14:paraId="6F424340">
      <w:pPr>
        <w:ind w:firstLine="480"/>
      </w:pPr>
      <w:r>
        <w:t>本项目罐区</w:t>
      </w:r>
      <w:r>
        <w:rPr>
          <w:rFonts w:hint="eastAsia"/>
        </w:rPr>
        <w:t>中设有1</w:t>
      </w:r>
      <w:r>
        <w:t>座盐酸储罐（</w:t>
      </w:r>
      <w:r>
        <w:rPr>
          <w:rFonts w:hint="eastAsia"/>
        </w:rPr>
        <w:t>5</w:t>
      </w:r>
      <w:r>
        <w:t>0m</w:t>
      </w:r>
      <w:r>
        <w:rPr>
          <w:vertAlign w:val="superscript"/>
        </w:rPr>
        <w:t>3</w:t>
      </w:r>
      <w:r>
        <w:rPr>
          <w:rFonts w:hint="eastAsia"/>
        </w:rPr>
        <w:t>，φ4000mm×4000mm</w:t>
      </w:r>
      <w:r>
        <w:t>）。盐酸储罐有呼吸阀，</w:t>
      </w:r>
      <w:r>
        <w:rPr>
          <w:rFonts w:hint="eastAsia"/>
        </w:rPr>
        <w:t>盐酸储罐无组织</w:t>
      </w:r>
      <w:r>
        <w:t>排放主要是“大呼吸”和“小呼吸”过程产生的挥发性气体。“大呼吸”过程指液体在容器与容器之间转移而发生气体的吸入或放出的现象。排出的气体多为饱和蒸汽，一般出现在转移的过程中；“小呼吸”过程指由于外界温度或压力变化而导致气体的吸入或排出的现象，排出的气体为相对饱和蒸汽。因本项目采用立式常压拱顶罐，本次评价参照固定储罐的大小呼吸计算公式进行计算。</w:t>
      </w:r>
    </w:p>
    <w:p w14:paraId="5A795C6D">
      <w:pPr>
        <w:ind w:firstLine="482"/>
        <w:rPr>
          <w:b/>
          <w:bCs/>
        </w:rPr>
      </w:pPr>
      <w:r>
        <w:rPr>
          <w:b/>
          <w:bCs/>
        </w:rPr>
        <w:t>公式1：固定顶罐小呼吸的计算</w:t>
      </w:r>
    </w:p>
    <w:p w14:paraId="1F0BD3DC">
      <w:pPr>
        <w:ind w:firstLine="480"/>
      </w:pPr>
      <w:r>
        <w:t>L</w:t>
      </w:r>
      <w:r>
        <w:rPr>
          <w:vertAlign w:val="subscript"/>
        </w:rPr>
        <w:t>B</w:t>
      </w:r>
      <w:r>
        <w:t>=0.191×M(P/(101283-P))</w:t>
      </w:r>
      <w:r>
        <w:rPr>
          <w:vertAlign w:val="superscript"/>
        </w:rPr>
        <w:t>0.68</w:t>
      </w:r>
      <w:r>
        <w:t>×D</w:t>
      </w:r>
      <w:r>
        <w:rPr>
          <w:vertAlign w:val="superscript"/>
        </w:rPr>
        <w:t>1.73</w:t>
      </w:r>
      <w:r>
        <w:t>×H</w:t>
      </w:r>
      <w:r>
        <w:rPr>
          <w:vertAlign w:val="superscript"/>
        </w:rPr>
        <w:t>0.51</w:t>
      </w:r>
      <w:r>
        <w:t>×ΔT</w:t>
      </w:r>
      <w:r>
        <w:rPr>
          <w:vertAlign w:val="superscript"/>
        </w:rPr>
        <w:t>0.45</w:t>
      </w:r>
      <w:r>
        <w:t>×F</w:t>
      </w:r>
      <w:r>
        <w:rPr>
          <w:vertAlign w:val="subscript"/>
        </w:rPr>
        <w:t>P</w:t>
      </w:r>
      <w:r>
        <w:t>×C×K</w:t>
      </w:r>
      <w:r>
        <w:rPr>
          <w:vertAlign w:val="subscript"/>
        </w:rPr>
        <w:t>C</w:t>
      </w:r>
    </w:p>
    <w:p w14:paraId="513E7236">
      <w:pPr>
        <w:ind w:firstLine="480"/>
      </w:pPr>
      <w:r>
        <w:t>式中：L</w:t>
      </w:r>
      <w:r>
        <w:rPr>
          <w:vertAlign w:val="subscript"/>
        </w:rPr>
        <w:t>B</w:t>
      </w:r>
      <w:r>
        <w:t>—固定罐的呼吸排放量(kg/a)；</w:t>
      </w:r>
    </w:p>
    <w:p w14:paraId="360FFA06">
      <w:pPr>
        <w:ind w:firstLine="480"/>
      </w:pPr>
      <w:r>
        <w:t>M—储罐内蒸汽的分子量；</w:t>
      </w:r>
    </w:p>
    <w:p w14:paraId="5CDB800F">
      <w:pPr>
        <w:ind w:firstLine="480"/>
      </w:pPr>
      <w:r>
        <w:t>P—在大量液体状态下，真实的蒸汽压力为(Pa)；</w:t>
      </w:r>
    </w:p>
    <w:p w14:paraId="4810CD0F">
      <w:pPr>
        <w:ind w:firstLine="480"/>
      </w:pPr>
      <w:r>
        <w:t>D—罐的直径(m)；</w:t>
      </w:r>
    </w:p>
    <w:p w14:paraId="5E96BA7E">
      <w:pPr>
        <w:ind w:firstLine="480"/>
      </w:pPr>
      <w:r>
        <w:t>H—平均蒸汽空间高度(m)；</w:t>
      </w:r>
    </w:p>
    <w:p w14:paraId="4D5CEEA0">
      <w:pPr>
        <w:ind w:firstLine="480"/>
      </w:pPr>
      <w:r>
        <w:t>ΔT—一天之内的平均温度差(℃)，按10℃计；</w:t>
      </w:r>
    </w:p>
    <w:p w14:paraId="54842A55">
      <w:pPr>
        <w:ind w:firstLine="480"/>
      </w:pPr>
      <w:r>
        <w:t>F</w:t>
      </w:r>
      <w:r>
        <w:rPr>
          <w:vertAlign w:val="subscript"/>
        </w:rPr>
        <w:t>P</w:t>
      </w:r>
      <w:r>
        <w:t>—涂层因子(无量纲)，根据油漆状况取1～1.5之间，本次取1；</w:t>
      </w:r>
    </w:p>
    <w:p w14:paraId="266D161B">
      <w:pPr>
        <w:ind w:firstLine="480"/>
      </w:pPr>
      <w:r>
        <w:t>C—用于小直径的调节因子，无量纲；直径在0～9m之间的罐体，C=1-0.0123(D-9)</w:t>
      </w:r>
      <w:r>
        <w:rPr>
          <w:vertAlign w:val="superscript"/>
        </w:rPr>
        <w:t>2</w:t>
      </w:r>
      <w:r>
        <w:t>，罐体大于9m的C=1；</w:t>
      </w:r>
    </w:p>
    <w:p w14:paraId="3E74D48F">
      <w:pPr>
        <w:ind w:firstLine="480"/>
      </w:pPr>
      <w:r>
        <w:t>Kc—产品因子，（石油0.65，其他有机液体1.0）。</w:t>
      </w:r>
    </w:p>
    <w:p w14:paraId="1D5C495D">
      <w:pPr>
        <w:keepNext/>
        <w:numPr>
          <w:ilvl w:val="5"/>
          <w:numId w:val="1"/>
        </w:numPr>
        <w:snapToGrid w:val="0"/>
        <w:spacing w:line="240" w:lineRule="auto"/>
        <w:ind w:firstLine="420" w:firstLineChars="0"/>
        <w:jc w:val="center"/>
        <w:rPr>
          <w:b/>
          <w:bCs/>
          <w:sz w:val="21"/>
          <w:szCs w:val="21"/>
        </w:rPr>
      </w:pPr>
      <w:r>
        <w:rPr>
          <w:b/>
          <w:bCs/>
          <w:sz w:val="21"/>
          <w:szCs w:val="21"/>
        </w:rPr>
        <w:t>固定顶罐小呼吸</w:t>
      </w:r>
      <w:r>
        <w:rPr>
          <w:rFonts w:hint="eastAsia"/>
          <w:b/>
          <w:bCs/>
          <w:sz w:val="21"/>
          <w:szCs w:val="21"/>
        </w:rPr>
        <w:t>排放量计算一览表</w:t>
      </w:r>
    </w:p>
    <w:tbl>
      <w:tblPr>
        <w:tblStyle w:val="3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0"/>
        <w:gridCol w:w="1014"/>
        <w:gridCol w:w="1065"/>
        <w:gridCol w:w="1065"/>
        <w:gridCol w:w="1218"/>
        <w:gridCol w:w="1121"/>
        <w:gridCol w:w="1054"/>
        <w:gridCol w:w="870"/>
      </w:tblGrid>
      <w:tr w14:paraId="2F7B1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2" w:type="pct"/>
            <w:vAlign w:val="center"/>
          </w:tcPr>
          <w:p w14:paraId="0CB7C4A8">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M</w:t>
            </w:r>
          </w:p>
        </w:tc>
        <w:tc>
          <w:tcPr>
            <w:tcW w:w="595" w:type="pct"/>
            <w:vAlign w:val="center"/>
          </w:tcPr>
          <w:p w14:paraId="3939332A">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P</w:t>
            </w:r>
          </w:p>
        </w:tc>
        <w:tc>
          <w:tcPr>
            <w:tcW w:w="625" w:type="pct"/>
            <w:vAlign w:val="center"/>
          </w:tcPr>
          <w:p w14:paraId="712760D0">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D</w:t>
            </w:r>
          </w:p>
        </w:tc>
        <w:tc>
          <w:tcPr>
            <w:tcW w:w="625" w:type="pct"/>
            <w:vAlign w:val="center"/>
          </w:tcPr>
          <w:p w14:paraId="62E09517">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H</w:t>
            </w:r>
          </w:p>
        </w:tc>
        <w:tc>
          <w:tcPr>
            <w:tcW w:w="715" w:type="pct"/>
            <w:vAlign w:val="center"/>
          </w:tcPr>
          <w:p w14:paraId="23732900">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ΔT</w:t>
            </w:r>
          </w:p>
        </w:tc>
        <w:tc>
          <w:tcPr>
            <w:tcW w:w="658" w:type="pct"/>
            <w:vAlign w:val="center"/>
          </w:tcPr>
          <w:p w14:paraId="1061120F">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F</w:t>
            </w:r>
            <w:r>
              <w:rPr>
                <w:rFonts w:cs="Times New Roman"/>
                <w:kern w:val="0"/>
                <w:sz w:val="21"/>
                <w:szCs w:val="21"/>
                <w:vertAlign w:val="subscript"/>
              </w:rPr>
              <w:t>P</w:t>
            </w:r>
          </w:p>
        </w:tc>
        <w:tc>
          <w:tcPr>
            <w:tcW w:w="619" w:type="pct"/>
            <w:vAlign w:val="center"/>
          </w:tcPr>
          <w:p w14:paraId="64054E27">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C</w:t>
            </w:r>
          </w:p>
        </w:tc>
        <w:tc>
          <w:tcPr>
            <w:tcW w:w="506" w:type="pct"/>
            <w:vAlign w:val="center"/>
          </w:tcPr>
          <w:p w14:paraId="70038524">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Kc</w:t>
            </w:r>
          </w:p>
        </w:tc>
      </w:tr>
      <w:tr w14:paraId="592CC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2" w:type="pct"/>
            <w:vAlign w:val="center"/>
          </w:tcPr>
          <w:p w14:paraId="09B86BF9">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36.5</w:t>
            </w:r>
          </w:p>
        </w:tc>
        <w:tc>
          <w:tcPr>
            <w:tcW w:w="595" w:type="pct"/>
            <w:vAlign w:val="center"/>
          </w:tcPr>
          <w:p w14:paraId="113CC21D">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2910</w:t>
            </w:r>
          </w:p>
        </w:tc>
        <w:tc>
          <w:tcPr>
            <w:tcW w:w="625" w:type="pct"/>
            <w:vAlign w:val="center"/>
          </w:tcPr>
          <w:p w14:paraId="7AF67512">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4</w:t>
            </w:r>
          </w:p>
        </w:tc>
        <w:tc>
          <w:tcPr>
            <w:tcW w:w="625" w:type="pct"/>
            <w:vAlign w:val="center"/>
          </w:tcPr>
          <w:p w14:paraId="1521F0F5">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4</w:t>
            </w:r>
          </w:p>
        </w:tc>
        <w:tc>
          <w:tcPr>
            <w:tcW w:w="715" w:type="pct"/>
            <w:vAlign w:val="center"/>
          </w:tcPr>
          <w:p w14:paraId="34A4E131">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10</w:t>
            </w:r>
          </w:p>
        </w:tc>
        <w:tc>
          <w:tcPr>
            <w:tcW w:w="658" w:type="pct"/>
            <w:vAlign w:val="center"/>
          </w:tcPr>
          <w:p w14:paraId="2D3DD123">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w:t>
            </w:r>
          </w:p>
        </w:tc>
        <w:tc>
          <w:tcPr>
            <w:tcW w:w="619" w:type="pct"/>
            <w:vAlign w:val="center"/>
          </w:tcPr>
          <w:p w14:paraId="43212D6A">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0.9877</w:t>
            </w:r>
          </w:p>
        </w:tc>
        <w:tc>
          <w:tcPr>
            <w:tcW w:w="506" w:type="pct"/>
            <w:vAlign w:val="center"/>
          </w:tcPr>
          <w:p w14:paraId="06FEF8D0">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1.0</w:t>
            </w:r>
          </w:p>
        </w:tc>
      </w:tr>
      <w:tr w14:paraId="02D5B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vAlign w:val="center"/>
          </w:tcPr>
          <w:p w14:paraId="3F247412">
            <w:pPr>
              <w:spacing w:line="240" w:lineRule="auto"/>
              <w:jc w:val="left"/>
              <w:rPr>
                <w:sz w:val="21"/>
                <w:szCs w:val="21"/>
                <w:vertAlign w:val="subscript"/>
              </w:rPr>
            </w:pPr>
            <w:r>
              <w:rPr>
                <w:sz w:val="21"/>
                <w:szCs w:val="21"/>
              </w:rPr>
              <w:t>L</w:t>
            </w:r>
            <w:r>
              <w:rPr>
                <w:sz w:val="21"/>
                <w:szCs w:val="21"/>
                <w:vertAlign w:val="subscript"/>
              </w:rPr>
              <w:t>B</w:t>
            </w:r>
            <w:r>
              <w:rPr>
                <w:sz w:val="21"/>
                <w:szCs w:val="21"/>
              </w:rPr>
              <w:t>=0.191×</w:t>
            </w:r>
            <w:r>
              <w:rPr>
                <w:rFonts w:hint="eastAsia"/>
                <w:sz w:val="21"/>
                <w:szCs w:val="21"/>
              </w:rPr>
              <w:t>36.5*</w:t>
            </w:r>
            <w:r>
              <w:rPr>
                <w:sz w:val="21"/>
                <w:szCs w:val="21"/>
              </w:rPr>
              <w:t>(</w:t>
            </w:r>
            <w:r>
              <w:rPr>
                <w:rFonts w:hint="eastAsia"/>
                <w:sz w:val="21"/>
                <w:szCs w:val="21"/>
              </w:rPr>
              <w:t>2910</w:t>
            </w:r>
            <w:r>
              <w:rPr>
                <w:sz w:val="21"/>
                <w:szCs w:val="21"/>
              </w:rPr>
              <w:t>/(101283-</w:t>
            </w:r>
            <w:r>
              <w:rPr>
                <w:rFonts w:hint="eastAsia"/>
                <w:sz w:val="21"/>
                <w:szCs w:val="21"/>
              </w:rPr>
              <w:t>2910</w:t>
            </w:r>
            <w:r>
              <w:rPr>
                <w:sz w:val="21"/>
                <w:szCs w:val="21"/>
              </w:rPr>
              <w:t>))</w:t>
            </w:r>
            <w:r>
              <w:rPr>
                <w:sz w:val="21"/>
                <w:szCs w:val="21"/>
                <w:vertAlign w:val="superscript"/>
              </w:rPr>
              <w:t>0.68</w:t>
            </w:r>
            <w:r>
              <w:rPr>
                <w:sz w:val="21"/>
                <w:szCs w:val="21"/>
              </w:rPr>
              <w:t>×</w:t>
            </w:r>
            <w:r>
              <w:rPr>
                <w:rFonts w:hint="eastAsia"/>
                <w:sz w:val="21"/>
                <w:szCs w:val="21"/>
              </w:rPr>
              <w:t>4</w:t>
            </w:r>
            <w:r>
              <w:rPr>
                <w:sz w:val="21"/>
                <w:szCs w:val="21"/>
                <w:vertAlign w:val="superscript"/>
              </w:rPr>
              <w:t>1.73</w:t>
            </w:r>
            <w:r>
              <w:rPr>
                <w:sz w:val="21"/>
                <w:szCs w:val="21"/>
              </w:rPr>
              <w:t>×</w:t>
            </w:r>
            <w:r>
              <w:rPr>
                <w:rFonts w:hint="eastAsia"/>
                <w:sz w:val="21"/>
                <w:szCs w:val="21"/>
              </w:rPr>
              <w:t>4</w:t>
            </w:r>
            <w:r>
              <w:rPr>
                <w:sz w:val="21"/>
                <w:szCs w:val="21"/>
                <w:vertAlign w:val="superscript"/>
              </w:rPr>
              <w:t>0.51</w:t>
            </w:r>
            <w:r>
              <w:rPr>
                <w:sz w:val="21"/>
                <w:szCs w:val="21"/>
              </w:rPr>
              <w:t>×</w:t>
            </w:r>
            <w:r>
              <w:rPr>
                <w:rFonts w:hint="eastAsia"/>
                <w:sz w:val="21"/>
                <w:szCs w:val="21"/>
              </w:rPr>
              <w:t>10</w:t>
            </w:r>
            <w:r>
              <w:rPr>
                <w:sz w:val="21"/>
                <w:szCs w:val="21"/>
                <w:vertAlign w:val="superscript"/>
              </w:rPr>
              <w:t>0.45</w:t>
            </w:r>
            <w:r>
              <w:rPr>
                <w:sz w:val="21"/>
                <w:szCs w:val="21"/>
              </w:rPr>
              <w:t>×</w:t>
            </w:r>
            <w:r>
              <w:rPr>
                <w:rFonts w:hint="eastAsia"/>
                <w:sz w:val="21"/>
                <w:szCs w:val="21"/>
              </w:rPr>
              <w:t>1</w:t>
            </w:r>
            <w:r>
              <w:rPr>
                <w:sz w:val="21"/>
                <w:szCs w:val="21"/>
              </w:rPr>
              <w:t>×C×K</w:t>
            </w:r>
            <w:r>
              <w:rPr>
                <w:sz w:val="21"/>
                <w:szCs w:val="21"/>
                <w:vertAlign w:val="subscript"/>
              </w:rPr>
              <w:t>C</w:t>
            </w:r>
          </w:p>
          <w:p w14:paraId="7ED543F9">
            <w:pPr>
              <w:spacing w:line="240" w:lineRule="auto"/>
              <w:jc w:val="left"/>
              <w:rPr>
                <w:sz w:val="21"/>
                <w:szCs w:val="21"/>
              </w:rPr>
            </w:pPr>
            <w:r>
              <w:rPr>
                <w:rFonts w:hint="eastAsia"/>
                <w:sz w:val="21"/>
                <w:szCs w:val="21"/>
              </w:rPr>
              <w:t>=L</w:t>
            </w:r>
            <w:r>
              <w:rPr>
                <w:rFonts w:hint="eastAsia"/>
                <w:sz w:val="21"/>
                <w:szCs w:val="21"/>
                <w:vertAlign w:val="subscript"/>
              </w:rPr>
              <w:t>B</w:t>
            </w:r>
            <w:r>
              <w:rPr>
                <w:rFonts w:hint="eastAsia"/>
                <w:sz w:val="21"/>
                <w:szCs w:val="21"/>
              </w:rPr>
              <w:t>=0.191×36.5(2910/(101283-2910))</w:t>
            </w:r>
            <w:r>
              <w:rPr>
                <w:rFonts w:hint="eastAsia"/>
                <w:sz w:val="21"/>
                <w:szCs w:val="21"/>
                <w:vertAlign w:val="superscript"/>
              </w:rPr>
              <w:t>0.68</w:t>
            </w:r>
            <w:r>
              <w:rPr>
                <w:rFonts w:hint="eastAsia"/>
                <w:sz w:val="21"/>
                <w:szCs w:val="21"/>
              </w:rPr>
              <w:t>×</w:t>
            </w:r>
            <w:r>
              <w:rPr>
                <w:rFonts w:hint="eastAsia"/>
                <w:sz w:val="21"/>
                <w:szCs w:val="21"/>
                <w:lang w:val="en-US" w:eastAsia="zh-CN"/>
              </w:rPr>
              <w:t>4</w:t>
            </w:r>
            <w:r>
              <w:rPr>
                <w:rFonts w:hint="eastAsia"/>
                <w:sz w:val="21"/>
                <w:szCs w:val="21"/>
                <w:vertAlign w:val="superscript"/>
              </w:rPr>
              <w:t>1.73</w:t>
            </w:r>
            <w:r>
              <w:rPr>
                <w:rFonts w:hint="eastAsia"/>
                <w:sz w:val="21"/>
                <w:szCs w:val="21"/>
              </w:rPr>
              <w:t>×</w:t>
            </w:r>
            <w:r>
              <w:rPr>
                <w:rFonts w:hint="eastAsia"/>
                <w:sz w:val="21"/>
                <w:szCs w:val="21"/>
                <w:lang w:val="en-US" w:eastAsia="zh-CN"/>
              </w:rPr>
              <w:t>4</w:t>
            </w:r>
            <w:r>
              <w:rPr>
                <w:rFonts w:hint="eastAsia"/>
                <w:sz w:val="21"/>
                <w:szCs w:val="21"/>
                <w:vertAlign w:val="superscript"/>
              </w:rPr>
              <w:t>0.51</w:t>
            </w:r>
            <w:r>
              <w:rPr>
                <w:rFonts w:hint="eastAsia"/>
                <w:sz w:val="21"/>
                <w:szCs w:val="21"/>
              </w:rPr>
              <w:t>×10</w:t>
            </w:r>
            <w:r>
              <w:rPr>
                <w:rFonts w:hint="eastAsia"/>
                <w:sz w:val="21"/>
                <w:szCs w:val="21"/>
                <w:vertAlign w:val="superscript"/>
              </w:rPr>
              <w:t>0.45</w:t>
            </w:r>
            <w:r>
              <w:rPr>
                <w:rFonts w:hint="eastAsia"/>
                <w:sz w:val="21"/>
                <w:szCs w:val="21"/>
              </w:rPr>
              <w:t>×1×0.9877×1.0</w:t>
            </w:r>
          </w:p>
          <w:p w14:paraId="0DE83752">
            <w:pPr>
              <w:spacing w:line="240" w:lineRule="auto"/>
              <w:jc w:val="left"/>
              <w:rPr>
                <w:sz w:val="21"/>
                <w:szCs w:val="21"/>
              </w:rPr>
            </w:pPr>
            <w:r>
              <w:rPr>
                <w:rFonts w:hint="eastAsia"/>
                <w:sz w:val="21"/>
                <w:szCs w:val="21"/>
              </w:rPr>
              <w:t>=39.3kg/a</w:t>
            </w:r>
          </w:p>
        </w:tc>
      </w:tr>
    </w:tbl>
    <w:p w14:paraId="16CAD0D6">
      <w:pPr>
        <w:ind w:firstLine="0" w:firstLineChars="0"/>
      </w:pPr>
    </w:p>
    <w:p w14:paraId="04D8B14E">
      <w:pPr>
        <w:ind w:firstLine="482"/>
        <w:rPr>
          <w:b/>
          <w:bCs/>
        </w:rPr>
      </w:pPr>
      <w:r>
        <w:rPr>
          <w:b/>
          <w:bCs/>
        </w:rPr>
        <w:t>公式2：固定顶罐大呼吸的计算</w:t>
      </w:r>
    </w:p>
    <w:p w14:paraId="1997EDF7">
      <w:pPr>
        <w:ind w:firstLine="0" w:firstLineChars="0"/>
        <w:jc w:val="center"/>
      </w:pPr>
      <w:r>
        <w:t>L</w:t>
      </w:r>
      <w:r>
        <w:rPr>
          <w:vertAlign w:val="subscript"/>
        </w:rPr>
        <w:t>W</w:t>
      </w:r>
      <w:r>
        <w:t>=4.188×10</w:t>
      </w:r>
      <w:r>
        <w:rPr>
          <w:vertAlign w:val="superscript"/>
        </w:rPr>
        <w:t>-7</w:t>
      </w:r>
      <w:r>
        <w:t>×M×P×K</w:t>
      </w:r>
      <w:r>
        <w:rPr>
          <w:vertAlign w:val="subscript"/>
        </w:rPr>
        <w:t>N</w:t>
      </w:r>
      <w:r>
        <w:t>×K</w:t>
      </w:r>
      <w:r>
        <w:rPr>
          <w:vertAlign w:val="subscript"/>
        </w:rPr>
        <w:t>C</w:t>
      </w:r>
    </w:p>
    <w:p w14:paraId="7E85424E">
      <w:pPr>
        <w:ind w:firstLine="480"/>
      </w:pPr>
      <w:r>
        <w:t>式中：L</w:t>
      </w:r>
      <w:r>
        <w:rPr>
          <w:vertAlign w:val="subscript"/>
        </w:rPr>
        <w:t>W</w:t>
      </w:r>
      <w:r>
        <w:t>—大呼吸的工作损失，kg/a；</w:t>
      </w:r>
    </w:p>
    <w:p w14:paraId="409C1306">
      <w:pPr>
        <w:ind w:firstLine="480"/>
      </w:pPr>
      <w:r>
        <w:t>M—储罐内蒸汽的分子量；</w:t>
      </w:r>
    </w:p>
    <w:p w14:paraId="3F160673">
      <w:pPr>
        <w:ind w:firstLine="480"/>
      </w:pPr>
      <w:r>
        <w:t>P—在大量液体状态下，真实的蒸汽压力为(Pa)；</w:t>
      </w:r>
    </w:p>
    <w:p w14:paraId="15C7128B">
      <w:r>
        <w:t>K</w:t>
      </w:r>
      <w:r>
        <w:rPr>
          <w:vertAlign w:val="subscript"/>
        </w:rPr>
        <w:t>N</w:t>
      </w:r>
      <w:r>
        <w:t>—周转因子，无量纲，取值按年周转次数K确定。K≤36，K</w:t>
      </w:r>
      <w:r>
        <w:rPr>
          <w:vertAlign w:val="subscript"/>
        </w:rPr>
        <w:t>N</w:t>
      </w:r>
      <w:r>
        <w:t>=1；36&lt;K≤220，K</w:t>
      </w:r>
      <w:r>
        <w:rPr>
          <w:vertAlign w:val="subscript"/>
        </w:rPr>
        <w:t>N</w:t>
      </w:r>
      <w:r>
        <w:t>=11.467×K</w:t>
      </w:r>
      <w:r>
        <w:rPr>
          <w:vertAlign w:val="superscript"/>
        </w:rPr>
        <w:t>-0.7026</w:t>
      </w:r>
      <w:r>
        <w:t>；K&gt;220，K</w:t>
      </w:r>
      <w:r>
        <w:rPr>
          <w:vertAlign w:val="subscript"/>
        </w:rPr>
        <w:t>N</w:t>
      </w:r>
      <w:r>
        <w:t>=0.26；本项目K&gt;220.，K</w:t>
      </w:r>
      <w:r>
        <w:rPr>
          <w:vertAlign w:val="subscript"/>
        </w:rPr>
        <w:t>N</w:t>
      </w:r>
      <w:r>
        <w:t>=0.26</w:t>
      </w:r>
    </w:p>
    <w:p w14:paraId="07232359">
      <w:pPr>
        <w:ind w:firstLine="480"/>
      </w:pPr>
      <w:r>
        <w:t>Kc—产品因子，有机液体取1.0；</w:t>
      </w:r>
    </w:p>
    <w:p w14:paraId="1E7D850F">
      <w:pPr>
        <w:keepNext/>
        <w:numPr>
          <w:ilvl w:val="5"/>
          <w:numId w:val="1"/>
        </w:numPr>
        <w:snapToGrid w:val="0"/>
        <w:spacing w:line="240" w:lineRule="auto"/>
        <w:ind w:firstLine="420" w:firstLineChars="0"/>
        <w:jc w:val="center"/>
        <w:rPr>
          <w:b/>
          <w:bCs/>
          <w:sz w:val="21"/>
          <w:szCs w:val="21"/>
        </w:rPr>
      </w:pPr>
      <w:r>
        <w:rPr>
          <w:b/>
          <w:bCs/>
          <w:sz w:val="21"/>
          <w:szCs w:val="21"/>
        </w:rPr>
        <w:t>固定顶罐</w:t>
      </w:r>
      <w:r>
        <w:rPr>
          <w:rFonts w:hint="eastAsia"/>
          <w:b/>
          <w:bCs/>
          <w:sz w:val="21"/>
          <w:szCs w:val="21"/>
        </w:rPr>
        <w:t>大</w:t>
      </w:r>
      <w:r>
        <w:rPr>
          <w:b/>
          <w:bCs/>
          <w:sz w:val="21"/>
          <w:szCs w:val="21"/>
        </w:rPr>
        <w:t>呼吸</w:t>
      </w:r>
      <w:r>
        <w:rPr>
          <w:rFonts w:hint="eastAsia"/>
          <w:b/>
          <w:bCs/>
          <w:sz w:val="21"/>
          <w:szCs w:val="21"/>
        </w:rPr>
        <w:t>排放量计算一览表</w:t>
      </w:r>
    </w:p>
    <w:tbl>
      <w:tblPr>
        <w:tblStyle w:val="3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41"/>
        <w:gridCol w:w="1687"/>
        <w:gridCol w:w="2360"/>
        <w:gridCol w:w="2432"/>
      </w:tblGrid>
      <w:tr w14:paraId="0D129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8" w:type="pct"/>
            <w:vAlign w:val="center"/>
          </w:tcPr>
          <w:p w14:paraId="5352E322">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M</w:t>
            </w:r>
          </w:p>
        </w:tc>
        <w:tc>
          <w:tcPr>
            <w:tcW w:w="990" w:type="pct"/>
            <w:vAlign w:val="center"/>
          </w:tcPr>
          <w:p w14:paraId="57492833">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P</w:t>
            </w:r>
          </w:p>
        </w:tc>
        <w:tc>
          <w:tcPr>
            <w:tcW w:w="1385" w:type="pct"/>
            <w:vAlign w:val="center"/>
          </w:tcPr>
          <w:p w14:paraId="410BE5DE">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K</w:t>
            </w:r>
            <w:r>
              <w:rPr>
                <w:rFonts w:hint="eastAsia" w:cs="Times New Roman"/>
                <w:kern w:val="0"/>
                <w:sz w:val="21"/>
                <w:szCs w:val="21"/>
                <w:vertAlign w:val="subscript"/>
              </w:rPr>
              <w:t>N</w:t>
            </w:r>
          </w:p>
        </w:tc>
        <w:tc>
          <w:tcPr>
            <w:tcW w:w="1424" w:type="pct"/>
            <w:vAlign w:val="center"/>
          </w:tcPr>
          <w:p w14:paraId="373030B4">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Kc</w:t>
            </w:r>
          </w:p>
        </w:tc>
      </w:tr>
      <w:tr w14:paraId="22FAC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8" w:type="pct"/>
            <w:vAlign w:val="center"/>
          </w:tcPr>
          <w:p w14:paraId="34E97C94">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36.5</w:t>
            </w:r>
          </w:p>
        </w:tc>
        <w:tc>
          <w:tcPr>
            <w:tcW w:w="990" w:type="pct"/>
            <w:vAlign w:val="center"/>
          </w:tcPr>
          <w:p w14:paraId="3286CC80">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2910</w:t>
            </w:r>
          </w:p>
        </w:tc>
        <w:tc>
          <w:tcPr>
            <w:tcW w:w="1385" w:type="pct"/>
            <w:vAlign w:val="center"/>
          </w:tcPr>
          <w:p w14:paraId="49314110">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0.26</w:t>
            </w:r>
          </w:p>
        </w:tc>
        <w:tc>
          <w:tcPr>
            <w:tcW w:w="1424" w:type="pct"/>
            <w:vAlign w:val="center"/>
          </w:tcPr>
          <w:p w14:paraId="520FC7EC">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1.0</w:t>
            </w:r>
          </w:p>
        </w:tc>
      </w:tr>
      <w:tr w14:paraId="18536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4C3C09EA">
            <w:pPr>
              <w:snapToGrid w:val="0"/>
              <w:spacing w:line="240" w:lineRule="auto"/>
              <w:ind w:firstLine="0" w:firstLineChars="0"/>
              <w:jc w:val="left"/>
              <w:textAlignment w:val="baseline"/>
              <w:rPr>
                <w:rFonts w:cs="Times New Roman"/>
                <w:kern w:val="0"/>
                <w:sz w:val="21"/>
                <w:szCs w:val="21"/>
              </w:rPr>
            </w:pPr>
            <w:r>
              <w:rPr>
                <w:rFonts w:hint="eastAsia" w:cs="Times New Roman"/>
                <w:kern w:val="0"/>
                <w:sz w:val="21"/>
                <w:szCs w:val="21"/>
              </w:rPr>
              <w:t>L</w:t>
            </w:r>
            <w:r>
              <w:rPr>
                <w:rFonts w:hint="eastAsia" w:cs="Times New Roman"/>
                <w:kern w:val="0"/>
                <w:sz w:val="21"/>
                <w:szCs w:val="21"/>
                <w:vertAlign w:val="subscript"/>
              </w:rPr>
              <w:t>W</w:t>
            </w:r>
            <w:r>
              <w:rPr>
                <w:rFonts w:hint="eastAsia" w:cs="Times New Roman"/>
                <w:kern w:val="0"/>
                <w:sz w:val="21"/>
                <w:szCs w:val="21"/>
              </w:rPr>
              <w:t>=4.188×10</w:t>
            </w:r>
            <w:r>
              <w:rPr>
                <w:rFonts w:hint="eastAsia" w:cs="Times New Roman"/>
                <w:kern w:val="0"/>
                <w:sz w:val="21"/>
                <w:szCs w:val="21"/>
                <w:vertAlign w:val="superscript"/>
              </w:rPr>
              <w:t>-7</w:t>
            </w:r>
            <w:r>
              <w:rPr>
                <w:rFonts w:hint="eastAsia" w:cs="Times New Roman"/>
                <w:kern w:val="0"/>
                <w:sz w:val="21"/>
                <w:szCs w:val="21"/>
              </w:rPr>
              <w:t>×36.5×2910×0.26×1=0.012kg/a</w:t>
            </w:r>
          </w:p>
        </w:tc>
      </w:tr>
    </w:tbl>
    <w:p w14:paraId="26EB919D">
      <w:pPr>
        <w:ind w:firstLine="0" w:firstLineChars="0"/>
      </w:pPr>
    </w:p>
    <w:p w14:paraId="2EF177DF">
      <w:pPr>
        <w:keepNext/>
        <w:numPr>
          <w:ilvl w:val="5"/>
          <w:numId w:val="1"/>
        </w:numPr>
        <w:snapToGrid w:val="0"/>
        <w:spacing w:line="240" w:lineRule="auto"/>
        <w:ind w:firstLine="420" w:firstLineChars="0"/>
        <w:jc w:val="center"/>
        <w:rPr>
          <w:b/>
          <w:bCs/>
          <w:sz w:val="21"/>
          <w:szCs w:val="21"/>
        </w:rPr>
      </w:pPr>
      <w:r>
        <w:rPr>
          <w:rFonts w:hint="eastAsia"/>
          <w:b/>
          <w:bCs/>
          <w:sz w:val="21"/>
          <w:szCs w:val="21"/>
        </w:rPr>
        <w:t>盐酸储罐废气产生源强核算表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6"/>
        <w:gridCol w:w="743"/>
        <w:gridCol w:w="934"/>
        <w:gridCol w:w="687"/>
        <w:gridCol w:w="689"/>
        <w:gridCol w:w="875"/>
        <w:gridCol w:w="895"/>
        <w:gridCol w:w="1049"/>
        <w:gridCol w:w="1030"/>
        <w:gridCol w:w="451"/>
      </w:tblGrid>
      <w:tr w14:paraId="0EFC7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blHeader/>
        </w:trPr>
        <w:tc>
          <w:tcPr>
            <w:tcW w:w="684" w:type="pct"/>
            <w:vMerge w:val="restart"/>
            <w:shd w:val="clear" w:color="auto" w:fill="auto"/>
            <w:vAlign w:val="center"/>
          </w:tcPr>
          <w:p w14:paraId="2E77487B">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物料名称</w:t>
            </w:r>
          </w:p>
        </w:tc>
        <w:tc>
          <w:tcPr>
            <w:tcW w:w="436" w:type="pct"/>
            <w:vMerge w:val="restart"/>
            <w:shd w:val="clear" w:color="auto" w:fill="auto"/>
            <w:vAlign w:val="center"/>
          </w:tcPr>
          <w:p w14:paraId="4639C30D">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年周转量（t）</w:t>
            </w:r>
          </w:p>
        </w:tc>
        <w:tc>
          <w:tcPr>
            <w:tcW w:w="1355" w:type="pct"/>
            <w:gridSpan w:val="3"/>
            <w:shd w:val="clear" w:color="auto" w:fill="auto"/>
            <w:vAlign w:val="center"/>
          </w:tcPr>
          <w:p w14:paraId="1E2D74A8">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储罐参数</w:t>
            </w:r>
          </w:p>
        </w:tc>
        <w:tc>
          <w:tcPr>
            <w:tcW w:w="513" w:type="pct"/>
            <w:vMerge w:val="restart"/>
            <w:shd w:val="clear" w:color="auto" w:fill="auto"/>
            <w:vAlign w:val="center"/>
          </w:tcPr>
          <w:p w14:paraId="5E033882">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数量（座）</w:t>
            </w:r>
          </w:p>
        </w:tc>
        <w:tc>
          <w:tcPr>
            <w:tcW w:w="1744" w:type="pct"/>
            <w:gridSpan w:val="3"/>
            <w:shd w:val="clear" w:color="auto" w:fill="auto"/>
            <w:vAlign w:val="center"/>
          </w:tcPr>
          <w:p w14:paraId="1432E996">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储罐呼吸损失</w:t>
            </w:r>
          </w:p>
        </w:tc>
        <w:tc>
          <w:tcPr>
            <w:tcW w:w="264" w:type="pct"/>
            <w:vMerge w:val="restart"/>
            <w:shd w:val="clear" w:color="auto" w:fill="auto"/>
            <w:vAlign w:val="center"/>
          </w:tcPr>
          <w:p w14:paraId="5766A461">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储罐型</w:t>
            </w:r>
          </w:p>
        </w:tc>
      </w:tr>
      <w:tr w14:paraId="14183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blHeader/>
        </w:trPr>
        <w:tc>
          <w:tcPr>
            <w:tcW w:w="684" w:type="pct"/>
            <w:vMerge w:val="continue"/>
            <w:shd w:val="clear" w:color="auto" w:fill="auto"/>
            <w:vAlign w:val="center"/>
          </w:tcPr>
          <w:p w14:paraId="706FACF7">
            <w:pPr>
              <w:snapToGrid w:val="0"/>
              <w:spacing w:line="240" w:lineRule="auto"/>
              <w:ind w:firstLine="0" w:firstLineChars="0"/>
              <w:jc w:val="center"/>
              <w:textAlignment w:val="baseline"/>
              <w:rPr>
                <w:rFonts w:cs="Times New Roman"/>
                <w:b/>
                <w:bCs/>
                <w:kern w:val="0"/>
                <w:sz w:val="21"/>
                <w:szCs w:val="21"/>
              </w:rPr>
            </w:pPr>
          </w:p>
        </w:tc>
        <w:tc>
          <w:tcPr>
            <w:tcW w:w="436" w:type="pct"/>
            <w:vMerge w:val="continue"/>
            <w:shd w:val="clear" w:color="auto" w:fill="auto"/>
            <w:vAlign w:val="center"/>
          </w:tcPr>
          <w:p w14:paraId="5ECDFE54">
            <w:pPr>
              <w:snapToGrid w:val="0"/>
              <w:spacing w:line="240" w:lineRule="auto"/>
              <w:ind w:firstLine="0" w:firstLineChars="0"/>
              <w:jc w:val="center"/>
              <w:textAlignment w:val="baseline"/>
              <w:rPr>
                <w:rFonts w:cs="Times New Roman"/>
                <w:b/>
                <w:bCs/>
                <w:kern w:val="0"/>
                <w:sz w:val="21"/>
                <w:szCs w:val="21"/>
              </w:rPr>
            </w:pPr>
          </w:p>
        </w:tc>
        <w:tc>
          <w:tcPr>
            <w:tcW w:w="548" w:type="pct"/>
            <w:shd w:val="clear" w:color="auto" w:fill="auto"/>
            <w:vAlign w:val="center"/>
          </w:tcPr>
          <w:p w14:paraId="3562DC3E">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容积（m</w:t>
            </w:r>
            <w:r>
              <w:rPr>
                <w:rFonts w:hint="eastAsia" w:cs="Times New Roman"/>
                <w:b/>
                <w:bCs/>
                <w:kern w:val="0"/>
                <w:sz w:val="21"/>
                <w:szCs w:val="21"/>
                <w:vertAlign w:val="superscript"/>
              </w:rPr>
              <w:t>3</w:t>
            </w:r>
            <w:r>
              <w:rPr>
                <w:rFonts w:hint="eastAsia" w:cs="Times New Roman"/>
                <w:b/>
                <w:bCs/>
                <w:kern w:val="0"/>
                <w:sz w:val="21"/>
                <w:szCs w:val="21"/>
              </w:rPr>
              <w:t>）</w:t>
            </w:r>
          </w:p>
        </w:tc>
        <w:tc>
          <w:tcPr>
            <w:tcW w:w="403" w:type="pct"/>
            <w:shd w:val="clear" w:color="auto" w:fill="auto"/>
            <w:vAlign w:val="center"/>
          </w:tcPr>
          <w:p w14:paraId="0CAA57C3">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直径（m)</w:t>
            </w:r>
          </w:p>
        </w:tc>
        <w:tc>
          <w:tcPr>
            <w:tcW w:w="403" w:type="pct"/>
            <w:shd w:val="clear" w:color="auto" w:fill="auto"/>
            <w:vAlign w:val="center"/>
          </w:tcPr>
          <w:p w14:paraId="742CFF59">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高度（m)</w:t>
            </w:r>
          </w:p>
        </w:tc>
        <w:tc>
          <w:tcPr>
            <w:tcW w:w="513" w:type="pct"/>
            <w:vMerge w:val="continue"/>
            <w:shd w:val="clear" w:color="auto" w:fill="auto"/>
            <w:vAlign w:val="center"/>
          </w:tcPr>
          <w:p w14:paraId="2C956862">
            <w:pPr>
              <w:snapToGrid w:val="0"/>
              <w:spacing w:line="240" w:lineRule="auto"/>
              <w:ind w:firstLine="0" w:firstLineChars="0"/>
              <w:jc w:val="center"/>
              <w:textAlignment w:val="baseline"/>
              <w:rPr>
                <w:rFonts w:cs="Times New Roman"/>
                <w:b/>
                <w:bCs/>
                <w:kern w:val="0"/>
                <w:sz w:val="21"/>
                <w:szCs w:val="21"/>
              </w:rPr>
            </w:pPr>
          </w:p>
        </w:tc>
        <w:tc>
          <w:tcPr>
            <w:tcW w:w="525" w:type="pct"/>
            <w:shd w:val="clear" w:color="auto" w:fill="auto"/>
            <w:vAlign w:val="center"/>
          </w:tcPr>
          <w:p w14:paraId="180511A2">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小呼吸量（t/a）</w:t>
            </w:r>
          </w:p>
        </w:tc>
        <w:tc>
          <w:tcPr>
            <w:tcW w:w="615" w:type="pct"/>
            <w:shd w:val="clear" w:color="auto" w:fill="auto"/>
            <w:vAlign w:val="center"/>
          </w:tcPr>
          <w:p w14:paraId="54DCE771">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大呼吸量（t/a）</w:t>
            </w:r>
          </w:p>
        </w:tc>
        <w:tc>
          <w:tcPr>
            <w:tcW w:w="604" w:type="pct"/>
            <w:shd w:val="clear" w:color="auto" w:fill="auto"/>
            <w:vAlign w:val="center"/>
          </w:tcPr>
          <w:p w14:paraId="30FBF2DB">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合计（t/a）</w:t>
            </w:r>
          </w:p>
        </w:tc>
        <w:tc>
          <w:tcPr>
            <w:tcW w:w="264" w:type="pct"/>
            <w:vMerge w:val="continue"/>
            <w:shd w:val="clear" w:color="auto" w:fill="auto"/>
            <w:vAlign w:val="center"/>
          </w:tcPr>
          <w:p w14:paraId="7E92BA84">
            <w:pPr>
              <w:snapToGrid w:val="0"/>
              <w:spacing w:line="240" w:lineRule="auto"/>
              <w:ind w:firstLine="0" w:firstLineChars="0"/>
              <w:jc w:val="center"/>
              <w:textAlignment w:val="baseline"/>
              <w:rPr>
                <w:rFonts w:cs="Times New Roman"/>
                <w:b/>
                <w:bCs/>
                <w:kern w:val="0"/>
                <w:sz w:val="21"/>
                <w:szCs w:val="21"/>
              </w:rPr>
            </w:pPr>
          </w:p>
        </w:tc>
      </w:tr>
      <w:tr w14:paraId="43C66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84" w:type="pct"/>
            <w:shd w:val="clear" w:color="auto" w:fill="auto"/>
            <w:vAlign w:val="center"/>
          </w:tcPr>
          <w:p w14:paraId="525A8F91">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盐酸（~31%）</w:t>
            </w:r>
          </w:p>
        </w:tc>
        <w:tc>
          <w:tcPr>
            <w:tcW w:w="436" w:type="pct"/>
            <w:shd w:val="clear" w:color="auto" w:fill="auto"/>
            <w:vAlign w:val="center"/>
          </w:tcPr>
          <w:p w14:paraId="39492285">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1328</w:t>
            </w:r>
          </w:p>
        </w:tc>
        <w:tc>
          <w:tcPr>
            <w:tcW w:w="548" w:type="pct"/>
            <w:shd w:val="clear" w:color="auto" w:fill="auto"/>
            <w:vAlign w:val="center"/>
          </w:tcPr>
          <w:p w14:paraId="0DC6D0A9">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50</w:t>
            </w:r>
          </w:p>
        </w:tc>
        <w:tc>
          <w:tcPr>
            <w:tcW w:w="403" w:type="pct"/>
            <w:shd w:val="clear" w:color="auto" w:fill="auto"/>
            <w:vAlign w:val="center"/>
          </w:tcPr>
          <w:p w14:paraId="4581E7D5">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4</w:t>
            </w:r>
          </w:p>
        </w:tc>
        <w:tc>
          <w:tcPr>
            <w:tcW w:w="403" w:type="pct"/>
            <w:shd w:val="clear" w:color="auto" w:fill="auto"/>
            <w:vAlign w:val="center"/>
          </w:tcPr>
          <w:p w14:paraId="769D4B80">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4</w:t>
            </w:r>
          </w:p>
        </w:tc>
        <w:tc>
          <w:tcPr>
            <w:tcW w:w="513" w:type="pct"/>
            <w:shd w:val="clear" w:color="auto" w:fill="auto"/>
            <w:vAlign w:val="center"/>
          </w:tcPr>
          <w:p w14:paraId="499559AE">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w:t>
            </w:r>
          </w:p>
        </w:tc>
        <w:tc>
          <w:tcPr>
            <w:tcW w:w="525" w:type="pct"/>
            <w:shd w:val="clear" w:color="auto" w:fill="auto"/>
            <w:vAlign w:val="center"/>
          </w:tcPr>
          <w:p w14:paraId="29984746">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0.0393</w:t>
            </w:r>
          </w:p>
        </w:tc>
        <w:tc>
          <w:tcPr>
            <w:tcW w:w="615" w:type="pct"/>
            <w:shd w:val="clear" w:color="auto" w:fill="auto"/>
            <w:vAlign w:val="center"/>
          </w:tcPr>
          <w:p w14:paraId="3D61FFC7">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0.000012</w:t>
            </w:r>
          </w:p>
        </w:tc>
        <w:tc>
          <w:tcPr>
            <w:tcW w:w="604" w:type="pct"/>
            <w:shd w:val="clear" w:color="auto" w:fill="auto"/>
            <w:vAlign w:val="center"/>
          </w:tcPr>
          <w:p w14:paraId="3B9FB6FF">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0.039312</w:t>
            </w:r>
          </w:p>
        </w:tc>
        <w:tc>
          <w:tcPr>
            <w:tcW w:w="264" w:type="pct"/>
            <w:shd w:val="clear" w:color="auto" w:fill="auto"/>
            <w:vAlign w:val="center"/>
          </w:tcPr>
          <w:p w14:paraId="44C18CC2">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拱顶型</w:t>
            </w:r>
          </w:p>
        </w:tc>
      </w:tr>
    </w:tbl>
    <w:p w14:paraId="37FAEA5D">
      <w:pPr>
        <w:ind w:firstLine="0" w:firstLineChars="0"/>
      </w:pPr>
    </w:p>
    <w:p w14:paraId="5467954E">
      <w:pPr>
        <w:ind w:firstLine="480"/>
      </w:pPr>
      <w:r>
        <w:t>本项目盐酸储罐为</w:t>
      </w:r>
      <w:r>
        <w:rPr>
          <w:rFonts w:hint="eastAsia"/>
        </w:rPr>
        <w:t>FRP</w:t>
      </w:r>
      <w:r>
        <w:t>材料制造的拱顶罐，罐顶排放出的尾气通过</w:t>
      </w:r>
      <w:r>
        <w:rPr>
          <w:rFonts w:hint="eastAsia"/>
        </w:rPr>
        <w:t>碱</w:t>
      </w:r>
      <w:r>
        <w:t>封罐（罐顶设置气相排空管，排空管的末端设置气相吸收罐，吸收介质为水，吸收效率</w:t>
      </w:r>
      <w:r>
        <w:rPr>
          <w:rFonts w:hint="eastAsia"/>
          <w:lang w:val="en-US" w:eastAsia="zh-CN"/>
        </w:rPr>
        <w:t>计</w:t>
      </w:r>
      <w:r>
        <w:t>9</w:t>
      </w:r>
      <w:r>
        <w:rPr>
          <w:rFonts w:hint="eastAsia"/>
          <w:lang w:val="en-US" w:eastAsia="zh-CN"/>
        </w:rPr>
        <w:t>0</w:t>
      </w:r>
      <w:r>
        <w:t>%）吸收后</w:t>
      </w:r>
      <w:r>
        <w:rPr>
          <w:rFonts w:hint="eastAsia"/>
        </w:rPr>
        <w:t>达标</w:t>
      </w:r>
      <w:r>
        <w:t>排放</w:t>
      </w:r>
      <w:r>
        <w:rPr>
          <w:rFonts w:hint="eastAsia"/>
        </w:rPr>
        <w:t>。</w:t>
      </w:r>
    </w:p>
    <w:p w14:paraId="6AAD50E7">
      <w:pPr>
        <w:ind w:firstLine="482"/>
        <w:outlineLvl w:val="5"/>
        <w:rPr>
          <w:b/>
          <w:bCs/>
        </w:rPr>
      </w:pPr>
      <w:r>
        <w:rPr>
          <w:rFonts w:hint="eastAsia"/>
          <w:b/>
          <w:bCs/>
          <w:lang w:eastAsia="zh-CN"/>
        </w:rPr>
        <w:t>（</w:t>
      </w:r>
      <w:r>
        <w:rPr>
          <w:rFonts w:hint="eastAsia"/>
          <w:b/>
          <w:bCs/>
          <w:lang w:val="en-US" w:eastAsia="zh-CN"/>
        </w:rPr>
        <w:t>3</w:t>
      </w:r>
      <w:r>
        <w:rPr>
          <w:rFonts w:hint="eastAsia"/>
          <w:b/>
          <w:bCs/>
          <w:lang w:eastAsia="zh-CN"/>
        </w:rPr>
        <w:t>）</w:t>
      </w:r>
      <w:r>
        <w:rPr>
          <w:rFonts w:hint="eastAsia" w:cs="Times New Roman"/>
          <w:b/>
          <w:bCs/>
          <w:color w:val="000000"/>
        </w:rPr>
        <w:t>干燥包装区无组织粉尘</w:t>
      </w:r>
    </w:p>
    <w:p w14:paraId="587B2A49">
      <w:pPr>
        <w:ind w:firstLine="480"/>
        <w:rPr>
          <w:rFonts w:hint="eastAsia"/>
          <w:b/>
          <w:bCs/>
          <w:highlight w:val="none"/>
          <w:lang w:val="en-US" w:eastAsia="zh-CN"/>
        </w:rPr>
      </w:pPr>
      <w:r>
        <w:rPr>
          <w:rFonts w:hint="eastAsia"/>
          <w:b/>
          <w:bCs/>
          <w:highlight w:val="none"/>
          <w:lang w:val="en-US" w:eastAsia="zh-CN"/>
        </w:rPr>
        <w:t>①复分解装置未经收集的干燥粉尘</w:t>
      </w:r>
    </w:p>
    <w:p w14:paraId="7253E107">
      <w:pPr>
        <w:ind w:firstLine="480"/>
        <w:rPr>
          <w:rFonts w:hint="eastAsia"/>
          <w:highlight w:val="none"/>
        </w:rPr>
      </w:pPr>
      <w:r>
        <w:rPr>
          <w:rFonts w:hint="eastAsia"/>
          <w:highlight w:val="none"/>
          <w:lang w:val="en-US" w:eastAsia="zh-CN"/>
        </w:rPr>
        <w:t>复分解装置未经收集的干燥粉尘</w:t>
      </w:r>
      <w:r>
        <w:rPr>
          <w:rFonts w:hint="eastAsia"/>
          <w:highlight w:val="none"/>
        </w:rPr>
        <w:t>主要包括未经收集的高钾</w:t>
      </w:r>
      <w:r>
        <w:rPr>
          <w:rFonts w:hint="eastAsia"/>
          <w:highlight w:val="none"/>
          <w:lang w:val="en-US" w:eastAsia="zh-CN"/>
        </w:rPr>
        <w:t>或氯酸钾</w:t>
      </w:r>
      <w:r>
        <w:rPr>
          <w:rFonts w:hint="eastAsia"/>
          <w:highlight w:val="none"/>
        </w:rPr>
        <w:t>干燥</w:t>
      </w:r>
      <w:r>
        <w:rPr>
          <w:rFonts w:hint="eastAsia"/>
          <w:highlight w:val="none"/>
          <w:lang w:val="en-US" w:eastAsia="zh-CN"/>
        </w:rPr>
        <w:t>粉尘</w:t>
      </w:r>
      <w:r>
        <w:rPr>
          <w:rFonts w:hint="eastAsia"/>
          <w:highlight w:val="none"/>
        </w:rPr>
        <w:t>。</w:t>
      </w:r>
      <w:r>
        <w:rPr>
          <w:rFonts w:hint="eastAsia"/>
          <w:highlight w:val="none"/>
          <w:lang w:val="en-US" w:eastAsia="zh-CN"/>
        </w:rPr>
        <w:t>根据前文核算</w:t>
      </w:r>
      <w:r>
        <w:rPr>
          <w:rFonts w:hint="eastAsia"/>
          <w:highlight w:val="none"/>
        </w:rPr>
        <w:t>，</w:t>
      </w:r>
      <w:r>
        <w:rPr>
          <w:rFonts w:hint="eastAsia"/>
          <w:lang w:val="en-US" w:eastAsia="zh-CN"/>
        </w:rPr>
        <w:t>按照两套复分解生产装置均生产高氯酸钾计时，</w:t>
      </w:r>
      <w:r>
        <w:rPr>
          <w:rFonts w:hint="eastAsia"/>
          <w:highlight w:val="none"/>
        </w:rPr>
        <w:t>未经收集干燥</w:t>
      </w:r>
      <w:r>
        <w:rPr>
          <w:rFonts w:hint="eastAsia"/>
          <w:highlight w:val="none"/>
          <w:lang w:val="en-US" w:eastAsia="zh-CN"/>
        </w:rPr>
        <w:t>粉尘</w:t>
      </w:r>
      <w:r>
        <w:rPr>
          <w:rFonts w:hint="eastAsia"/>
          <w:highlight w:val="none"/>
        </w:rPr>
        <w:t>约为</w:t>
      </w:r>
      <w:r>
        <w:rPr>
          <w:rFonts w:hint="eastAsia"/>
          <w:highlight w:val="none"/>
          <w:lang w:val="en-US" w:eastAsia="zh-CN"/>
        </w:rPr>
        <w:t>0.56</w:t>
      </w:r>
      <w:r>
        <w:rPr>
          <w:rFonts w:hint="eastAsia"/>
          <w:highlight w:val="none"/>
        </w:rPr>
        <w:t>t/a，粉尘以无组织形式扩散于</w:t>
      </w:r>
      <w:r>
        <w:rPr>
          <w:rFonts w:hint="eastAsia"/>
          <w:highlight w:val="none"/>
          <w:lang w:val="en-US" w:eastAsia="zh-CN"/>
        </w:rPr>
        <w:t>复分解</w:t>
      </w:r>
      <w:r>
        <w:rPr>
          <w:rFonts w:hint="eastAsia"/>
          <w:highlight w:val="none"/>
        </w:rPr>
        <w:t>车间内</w:t>
      </w:r>
      <w:r>
        <w:rPr>
          <w:rFonts w:hint="eastAsia"/>
          <w:highlight w:val="none"/>
          <w:lang w:eastAsia="zh-CN"/>
        </w:rPr>
        <w:t>，</w:t>
      </w:r>
      <w:r>
        <w:rPr>
          <w:rFonts w:hint="eastAsia"/>
          <w:highlight w:val="none"/>
        </w:rPr>
        <w:t>无组织面源参数为2760m</w:t>
      </w:r>
      <w:r>
        <w:rPr>
          <w:rFonts w:hint="eastAsia"/>
          <w:highlight w:val="none"/>
          <w:vertAlign w:val="superscript"/>
        </w:rPr>
        <w:t>2</w:t>
      </w:r>
      <w:r>
        <w:rPr>
          <w:rFonts w:hint="eastAsia"/>
          <w:highlight w:val="none"/>
        </w:rPr>
        <w:t>。</w:t>
      </w:r>
    </w:p>
    <w:p w14:paraId="389800A5">
      <w:pPr>
        <w:ind w:firstLine="480"/>
        <w:rPr>
          <w:rFonts w:hint="eastAsia"/>
          <w:b/>
          <w:bCs/>
          <w:highlight w:val="none"/>
          <w:lang w:val="en-US" w:eastAsia="zh-CN"/>
        </w:rPr>
      </w:pPr>
      <w:r>
        <w:rPr>
          <w:rFonts w:hint="eastAsia"/>
          <w:b/>
          <w:bCs/>
          <w:highlight w:val="none"/>
          <w:lang w:val="en-US" w:eastAsia="zh-CN"/>
        </w:rPr>
        <w:t>②钠钾盐产品包装无组织粉尘</w:t>
      </w:r>
    </w:p>
    <w:p w14:paraId="191931F6">
      <w:pPr>
        <w:ind w:firstLine="480"/>
        <w:rPr>
          <w:highlight w:val="none"/>
        </w:rPr>
      </w:pPr>
      <w:r>
        <w:rPr>
          <w:rFonts w:hint="eastAsia"/>
          <w:highlight w:val="none"/>
          <w:lang w:val="en-US" w:eastAsia="zh-CN"/>
        </w:rPr>
        <w:t>复分解车间设有钠钾盐产品包装区，项目钠钾盐年产2万吨，钠钾盐产品</w:t>
      </w:r>
      <w:r>
        <w:rPr>
          <w:rFonts w:hint="eastAsia"/>
          <w:highlight w:val="none"/>
        </w:rPr>
        <w:t>包装工序中会产生少量粉尘，包装粉尘产生量按产品产量的0.1‰计，</w:t>
      </w:r>
      <w:r>
        <w:rPr>
          <w:rFonts w:hint="eastAsia"/>
          <w:highlight w:val="none"/>
          <w:lang w:val="en-US" w:eastAsia="zh-CN"/>
        </w:rPr>
        <w:t>则钠钾盐产品包装粉尘产生量为2t/a，</w:t>
      </w:r>
      <w:r>
        <w:rPr>
          <w:rFonts w:hint="eastAsia"/>
          <w:highlight w:val="none"/>
        </w:rPr>
        <w:t>粉尘以无组织形式扩散于</w:t>
      </w:r>
      <w:r>
        <w:rPr>
          <w:rFonts w:hint="eastAsia"/>
          <w:highlight w:val="none"/>
          <w:lang w:val="en-US" w:eastAsia="zh-CN"/>
        </w:rPr>
        <w:t>复分解</w:t>
      </w:r>
      <w:r>
        <w:rPr>
          <w:rFonts w:hint="eastAsia"/>
          <w:highlight w:val="none"/>
        </w:rPr>
        <w:t>车间内</w:t>
      </w:r>
      <w:r>
        <w:rPr>
          <w:rFonts w:hint="eastAsia"/>
          <w:highlight w:val="none"/>
          <w:lang w:eastAsia="zh-CN"/>
        </w:rPr>
        <w:t>，</w:t>
      </w:r>
      <w:r>
        <w:rPr>
          <w:rFonts w:hint="eastAsia"/>
          <w:highlight w:val="none"/>
          <w:lang w:val="en-US" w:eastAsia="zh-CN"/>
        </w:rPr>
        <w:t>面源参数为2760m</w:t>
      </w:r>
      <w:r>
        <w:rPr>
          <w:rFonts w:hint="eastAsia"/>
          <w:highlight w:val="none"/>
          <w:vertAlign w:val="superscript"/>
          <w:lang w:val="en-US" w:eastAsia="zh-CN"/>
        </w:rPr>
        <w:t>2</w:t>
      </w:r>
      <w:r>
        <w:rPr>
          <w:rFonts w:hint="eastAsia"/>
          <w:highlight w:val="none"/>
          <w:lang w:val="en-US" w:eastAsia="zh-CN"/>
        </w:rPr>
        <w:t>。</w:t>
      </w:r>
    </w:p>
    <w:p w14:paraId="4477A67D">
      <w:pPr>
        <w:ind w:firstLine="480"/>
        <w:rPr>
          <w:rFonts w:hint="default"/>
          <w:b/>
          <w:bCs/>
          <w:highlight w:val="none"/>
          <w:lang w:val="en-US" w:eastAsia="zh-CN"/>
        </w:rPr>
      </w:pPr>
      <w:r>
        <w:rPr>
          <w:rFonts w:hint="eastAsia"/>
          <w:b/>
          <w:bCs/>
          <w:highlight w:val="none"/>
          <w:lang w:val="en-US" w:eastAsia="zh-CN"/>
        </w:rPr>
        <w:t>③锂盐无组织干燥包装粉尘</w:t>
      </w:r>
    </w:p>
    <w:p w14:paraId="0476B905">
      <w:pPr>
        <w:ind w:firstLine="480"/>
        <w:rPr>
          <w:rFonts w:hint="eastAsia"/>
          <w:highlight w:val="none"/>
          <w:lang w:val="en-US" w:eastAsia="zh-CN"/>
        </w:rPr>
      </w:pPr>
      <w:r>
        <w:rPr>
          <w:rFonts w:hint="eastAsia" w:cs="Times New Roman"/>
          <w:color w:val="000000"/>
          <w:lang w:val="en-US" w:eastAsia="zh-CN"/>
        </w:rPr>
        <w:t>锂盐生产</w:t>
      </w:r>
      <w:r>
        <w:rPr>
          <w:rFonts w:hint="eastAsia"/>
          <w:lang w:val="en-US" w:eastAsia="zh-CN"/>
        </w:rPr>
        <w:t>装置设有干燥工序。锂盐干燥包装废气主要污染因子为颗粒物。</w:t>
      </w:r>
      <w:r>
        <w:rPr>
          <w:rFonts w:hint="eastAsia"/>
          <w:highlight w:val="none"/>
        </w:rPr>
        <w:t>结合物料平衡和</w:t>
      </w:r>
      <w:r>
        <w:rPr>
          <w:rFonts w:hint="eastAsia"/>
          <w:highlight w:val="none"/>
          <w:lang w:val="en-US" w:eastAsia="zh-CN"/>
        </w:rPr>
        <w:t>锂</w:t>
      </w:r>
      <w:r>
        <w:rPr>
          <w:rFonts w:hint="eastAsia"/>
          <w:highlight w:val="none"/>
        </w:rPr>
        <w:t>元素平衡分析，</w:t>
      </w:r>
      <w:r>
        <w:rPr>
          <w:rFonts w:hint="eastAsia"/>
          <w:highlight w:val="none"/>
          <w:lang w:val="en-US" w:eastAsia="zh-CN"/>
        </w:rPr>
        <w:t>复分解法年产400吨高氯酸锂时，中间产氯化锂的干燥粉尘产生量为0.36t/a，产品高锂干燥粉尘产生量为0.31t/a；中和法年产200吨高氯酸锂时，产品高锂干燥粉尘产生量为0.23t/a。综上，</w:t>
      </w:r>
      <w:r>
        <w:rPr>
          <w:rFonts w:hint="eastAsia"/>
          <w:lang w:val="en-US" w:eastAsia="zh-CN"/>
        </w:rPr>
        <w:t>锂盐</w:t>
      </w:r>
      <w:r>
        <w:rPr>
          <w:rFonts w:hint="eastAsia"/>
          <w:highlight w:val="none"/>
          <w:lang w:val="en-US" w:eastAsia="zh-CN"/>
        </w:rPr>
        <w:t>干燥粉尘产生量为0.9t/a</w:t>
      </w:r>
      <w:r>
        <w:rPr>
          <w:rFonts w:hint="eastAsia"/>
          <w:lang w:val="en-US" w:eastAsia="zh-CN"/>
        </w:rPr>
        <w:t>；锂盐生产装置设计年产600吨，</w:t>
      </w:r>
      <w:r>
        <w:rPr>
          <w:rFonts w:hint="eastAsia"/>
          <w:highlight w:val="none"/>
        </w:rPr>
        <w:t>包装粉尘产生量按产品产量的0.1‰计，</w:t>
      </w:r>
      <w:r>
        <w:rPr>
          <w:rFonts w:hint="eastAsia"/>
          <w:highlight w:val="none"/>
          <w:lang w:val="en-US" w:eastAsia="zh-CN"/>
        </w:rPr>
        <w:t>则锂盐产品包装粉尘产生量为0.06t/a；则锂盐无组织干燥包装粉尘产生量为0.96t/a。</w:t>
      </w:r>
      <w:r>
        <w:rPr>
          <w:rFonts w:hint="eastAsia"/>
          <w:highlight w:val="none"/>
        </w:rPr>
        <w:t>粉尘以无组织形式扩散于</w:t>
      </w:r>
      <w:r>
        <w:rPr>
          <w:rFonts w:hint="eastAsia"/>
          <w:highlight w:val="none"/>
          <w:lang w:val="en-US" w:eastAsia="zh-CN"/>
        </w:rPr>
        <w:t>锂盐生产区</w:t>
      </w:r>
      <w:r>
        <w:rPr>
          <w:rFonts w:hint="eastAsia"/>
          <w:highlight w:val="none"/>
        </w:rPr>
        <w:t>内</w:t>
      </w:r>
      <w:r>
        <w:rPr>
          <w:rFonts w:hint="eastAsia"/>
          <w:highlight w:val="none"/>
          <w:lang w:eastAsia="zh-CN"/>
        </w:rPr>
        <w:t>，</w:t>
      </w:r>
      <w:r>
        <w:rPr>
          <w:rFonts w:hint="eastAsia"/>
          <w:highlight w:val="none"/>
          <w:lang w:val="en-US" w:eastAsia="zh-CN"/>
        </w:rPr>
        <w:t>面源参数约为600m</w:t>
      </w:r>
      <w:r>
        <w:rPr>
          <w:rFonts w:hint="eastAsia"/>
          <w:highlight w:val="none"/>
          <w:vertAlign w:val="superscript"/>
          <w:lang w:val="en-US" w:eastAsia="zh-CN"/>
        </w:rPr>
        <w:t>2</w:t>
      </w:r>
      <w:r>
        <w:rPr>
          <w:rFonts w:hint="eastAsia"/>
          <w:highlight w:val="none"/>
          <w:lang w:val="en-US" w:eastAsia="zh-CN"/>
        </w:rPr>
        <w:t>。</w:t>
      </w:r>
    </w:p>
    <w:p w14:paraId="0B290389">
      <w:pPr>
        <w:pStyle w:val="43"/>
        <w:bidi w:val="0"/>
        <w:rPr>
          <w:rFonts w:hint="eastAsia"/>
          <w:lang w:val="en-US" w:eastAsia="zh-CN"/>
        </w:rPr>
      </w:pPr>
      <w:r>
        <w:rPr>
          <w:rFonts w:hint="eastAsia"/>
        </w:rPr>
        <w:t>干燥包装区无组织粉尘</w:t>
      </w:r>
      <w:r>
        <w:rPr>
          <w:rFonts w:hint="eastAsia"/>
          <w:lang w:val="en-US" w:eastAsia="zh-CN"/>
        </w:rPr>
        <w:t>汇总</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4015"/>
        <w:gridCol w:w="1343"/>
        <w:gridCol w:w="1408"/>
        <w:gridCol w:w="1753"/>
      </w:tblGrid>
      <w:tr w14:paraId="0FEF21D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70" w:hRule="atLeast"/>
          <w:tblHeader/>
          <w:jc w:val="center"/>
        </w:trPr>
        <w:tc>
          <w:tcPr>
            <w:tcW w:w="2355" w:type="pct"/>
            <w:tcBorders>
              <w:top w:val="single" w:color="auto" w:sz="4" w:space="0"/>
              <w:left w:val="single" w:color="auto" w:sz="6" w:space="0"/>
              <w:bottom w:val="single" w:color="auto" w:sz="4" w:space="0"/>
              <w:right w:val="single" w:color="auto" w:sz="4" w:space="0"/>
            </w:tcBorders>
            <w:vAlign w:val="center"/>
          </w:tcPr>
          <w:p w14:paraId="7C0AD7D7">
            <w:pPr>
              <w:pStyle w:val="45"/>
              <w:bidi w:val="0"/>
              <w:rPr>
                <w:rFonts w:hint="default"/>
                <w:b/>
                <w:bCs/>
                <w:lang w:val="en-US" w:eastAsia="zh-CN"/>
              </w:rPr>
            </w:pPr>
            <w:r>
              <w:rPr>
                <w:rFonts w:hint="eastAsia"/>
                <w:b/>
                <w:bCs/>
                <w:lang w:val="en-US" w:eastAsia="zh-CN"/>
              </w:rPr>
              <w:t>废气名称</w:t>
            </w:r>
          </w:p>
        </w:tc>
        <w:tc>
          <w:tcPr>
            <w:tcW w:w="788" w:type="pct"/>
            <w:tcBorders>
              <w:top w:val="single" w:color="auto" w:sz="4" w:space="0"/>
              <w:left w:val="single" w:color="auto" w:sz="6" w:space="0"/>
              <w:bottom w:val="single" w:color="auto" w:sz="4" w:space="0"/>
              <w:right w:val="single" w:color="auto" w:sz="4" w:space="0"/>
            </w:tcBorders>
            <w:vAlign w:val="center"/>
          </w:tcPr>
          <w:p w14:paraId="65D8CC0B">
            <w:pPr>
              <w:pStyle w:val="45"/>
              <w:bidi w:val="0"/>
              <w:rPr>
                <w:rFonts w:hint="default"/>
                <w:b/>
                <w:bCs/>
                <w:lang w:val="en-US" w:eastAsia="zh-CN"/>
              </w:rPr>
            </w:pPr>
            <w:r>
              <w:rPr>
                <w:rFonts w:hint="eastAsia"/>
                <w:b/>
                <w:bCs/>
                <w:lang w:val="en-US" w:eastAsia="zh-CN"/>
              </w:rPr>
              <w:t>污染因子</w:t>
            </w:r>
          </w:p>
        </w:tc>
        <w:tc>
          <w:tcPr>
            <w:tcW w:w="826" w:type="pct"/>
            <w:tcBorders>
              <w:top w:val="single" w:color="auto" w:sz="4" w:space="0"/>
              <w:left w:val="single" w:color="auto" w:sz="6" w:space="0"/>
              <w:bottom w:val="single" w:color="auto" w:sz="4" w:space="0"/>
              <w:right w:val="single" w:color="auto" w:sz="4" w:space="0"/>
            </w:tcBorders>
            <w:vAlign w:val="center"/>
          </w:tcPr>
          <w:p w14:paraId="5E5618F4">
            <w:pPr>
              <w:pStyle w:val="45"/>
              <w:bidi w:val="0"/>
              <w:rPr>
                <w:rFonts w:hint="default"/>
                <w:b/>
                <w:bCs/>
                <w:lang w:val="en-US" w:eastAsia="zh-CN"/>
              </w:rPr>
            </w:pPr>
            <w:r>
              <w:rPr>
                <w:rFonts w:hint="eastAsia"/>
                <w:b/>
                <w:bCs/>
                <w:lang w:val="en-US" w:eastAsia="zh-CN"/>
              </w:rPr>
              <w:t>产排量t/a</w:t>
            </w:r>
          </w:p>
        </w:tc>
        <w:tc>
          <w:tcPr>
            <w:tcW w:w="1028" w:type="pct"/>
            <w:tcBorders>
              <w:top w:val="single" w:color="auto" w:sz="4" w:space="0"/>
              <w:left w:val="single" w:color="auto" w:sz="6" w:space="0"/>
              <w:bottom w:val="single" w:color="auto" w:sz="4" w:space="0"/>
              <w:right w:val="single" w:color="auto" w:sz="4" w:space="0"/>
            </w:tcBorders>
            <w:vAlign w:val="center"/>
          </w:tcPr>
          <w:p w14:paraId="22DB1AB8">
            <w:pPr>
              <w:pStyle w:val="45"/>
              <w:bidi w:val="0"/>
              <w:rPr>
                <w:rFonts w:hint="default"/>
                <w:b/>
                <w:bCs/>
                <w:lang w:val="en-US" w:eastAsia="zh-CN"/>
              </w:rPr>
            </w:pPr>
            <w:r>
              <w:rPr>
                <w:rFonts w:hint="eastAsia"/>
                <w:b/>
                <w:bCs/>
                <w:lang w:val="en-US" w:eastAsia="zh-CN"/>
              </w:rPr>
              <w:t>面源面积</w:t>
            </w:r>
            <w:r>
              <w:rPr>
                <w:b/>
                <w:bCs/>
              </w:rPr>
              <w:t>m</w:t>
            </w:r>
            <w:r>
              <w:rPr>
                <w:b/>
                <w:bCs/>
                <w:vertAlign w:val="superscript"/>
              </w:rPr>
              <w:t>2</w:t>
            </w:r>
          </w:p>
        </w:tc>
      </w:tr>
      <w:tr w14:paraId="2F96C09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355" w:type="pct"/>
            <w:tcBorders>
              <w:top w:val="single" w:color="auto" w:sz="4" w:space="0"/>
              <w:left w:val="single" w:color="auto" w:sz="6" w:space="0"/>
              <w:right w:val="single" w:color="auto" w:sz="4" w:space="0"/>
            </w:tcBorders>
            <w:vAlign w:val="center"/>
          </w:tcPr>
          <w:p w14:paraId="2DA0C389">
            <w:pPr>
              <w:pStyle w:val="45"/>
              <w:bidi w:val="0"/>
              <w:rPr>
                <w:rFonts w:hint="default"/>
                <w:lang w:val="en-US" w:eastAsia="zh-CN"/>
              </w:rPr>
            </w:pPr>
            <w:r>
              <w:rPr>
                <w:rFonts w:hint="eastAsia"/>
                <w:lang w:val="en-US" w:eastAsia="zh-CN"/>
              </w:rPr>
              <w:t>复分解装置未经收集的干燥粉尘</w:t>
            </w:r>
          </w:p>
        </w:tc>
        <w:tc>
          <w:tcPr>
            <w:tcW w:w="788" w:type="pct"/>
            <w:tcBorders>
              <w:top w:val="single" w:color="auto" w:sz="4" w:space="0"/>
              <w:left w:val="single" w:color="auto" w:sz="6" w:space="0"/>
              <w:bottom w:val="single" w:color="auto" w:sz="4" w:space="0"/>
              <w:right w:val="single" w:color="auto" w:sz="4" w:space="0"/>
            </w:tcBorders>
            <w:vAlign w:val="center"/>
          </w:tcPr>
          <w:p w14:paraId="57BDFDA4">
            <w:pPr>
              <w:pStyle w:val="45"/>
              <w:bidi w:val="0"/>
              <w:rPr>
                <w:rFonts w:hint="default"/>
                <w:lang w:val="en-US" w:eastAsia="zh-CN"/>
              </w:rPr>
            </w:pPr>
            <w:r>
              <w:rPr>
                <w:rFonts w:hint="eastAsia"/>
                <w:lang w:val="en-US" w:eastAsia="zh-CN"/>
              </w:rPr>
              <w:t>颗粒物</w:t>
            </w:r>
          </w:p>
        </w:tc>
        <w:tc>
          <w:tcPr>
            <w:tcW w:w="826" w:type="pct"/>
            <w:tcBorders>
              <w:top w:val="single" w:color="auto" w:sz="4" w:space="0"/>
              <w:left w:val="single" w:color="auto" w:sz="6" w:space="0"/>
              <w:bottom w:val="single" w:color="auto" w:sz="4" w:space="0"/>
              <w:right w:val="single" w:color="auto" w:sz="4" w:space="0"/>
            </w:tcBorders>
            <w:vAlign w:val="center"/>
          </w:tcPr>
          <w:p w14:paraId="5FE77F0D">
            <w:pPr>
              <w:pStyle w:val="45"/>
              <w:bidi w:val="0"/>
              <w:rPr>
                <w:rFonts w:hint="default"/>
                <w:lang w:val="en-US" w:eastAsia="zh-CN"/>
              </w:rPr>
            </w:pPr>
            <w:r>
              <w:rPr>
                <w:rFonts w:hint="eastAsia"/>
                <w:lang w:val="en-US" w:eastAsia="zh-CN"/>
              </w:rPr>
              <w:t>0.56</w:t>
            </w:r>
          </w:p>
        </w:tc>
        <w:tc>
          <w:tcPr>
            <w:tcW w:w="1028" w:type="pct"/>
            <w:tcBorders>
              <w:top w:val="single" w:color="auto" w:sz="4" w:space="0"/>
              <w:left w:val="single" w:color="auto" w:sz="6" w:space="0"/>
              <w:right w:val="single" w:color="auto" w:sz="4" w:space="0"/>
            </w:tcBorders>
            <w:vAlign w:val="center"/>
          </w:tcPr>
          <w:p w14:paraId="1FB6A955">
            <w:pPr>
              <w:pStyle w:val="45"/>
              <w:bidi w:val="0"/>
              <w:rPr>
                <w:rFonts w:hint="default"/>
                <w:lang w:val="en-US" w:eastAsia="zh-CN"/>
              </w:rPr>
            </w:pPr>
            <w:r>
              <w:rPr>
                <w:rFonts w:hint="eastAsia"/>
                <w:lang w:val="en-US" w:eastAsia="zh-CN"/>
              </w:rPr>
              <w:t>2760</w:t>
            </w:r>
          </w:p>
        </w:tc>
      </w:tr>
      <w:tr w14:paraId="2EB7220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355" w:type="pct"/>
            <w:tcBorders>
              <w:left w:val="single" w:color="auto" w:sz="6" w:space="0"/>
              <w:right w:val="single" w:color="auto" w:sz="4" w:space="0"/>
            </w:tcBorders>
            <w:vAlign w:val="center"/>
          </w:tcPr>
          <w:p w14:paraId="663889E1">
            <w:pPr>
              <w:pStyle w:val="45"/>
              <w:bidi w:val="0"/>
              <w:rPr>
                <w:rFonts w:hint="eastAsia"/>
              </w:rPr>
            </w:pPr>
            <w:r>
              <w:rPr>
                <w:rFonts w:hint="eastAsia"/>
                <w:lang w:val="en-US" w:eastAsia="zh-CN"/>
              </w:rPr>
              <w:t>钠钾盐产品包装无组织粉尘</w:t>
            </w:r>
          </w:p>
        </w:tc>
        <w:tc>
          <w:tcPr>
            <w:tcW w:w="788" w:type="pct"/>
            <w:tcBorders>
              <w:top w:val="single" w:color="auto" w:sz="4" w:space="0"/>
              <w:left w:val="single" w:color="auto" w:sz="6" w:space="0"/>
              <w:bottom w:val="single" w:color="auto" w:sz="4" w:space="0"/>
              <w:right w:val="single" w:color="auto" w:sz="4" w:space="0"/>
            </w:tcBorders>
            <w:vAlign w:val="center"/>
          </w:tcPr>
          <w:p w14:paraId="6B506FFF">
            <w:pPr>
              <w:pStyle w:val="45"/>
              <w:bidi w:val="0"/>
              <w:rPr>
                <w:rFonts w:hint="eastAsia"/>
                <w:lang w:val="en-US" w:eastAsia="zh-CN"/>
              </w:rPr>
            </w:pPr>
            <w:r>
              <w:rPr>
                <w:rFonts w:hint="eastAsia"/>
                <w:lang w:val="en-US" w:eastAsia="zh-CN"/>
              </w:rPr>
              <w:t>颗粒物</w:t>
            </w:r>
          </w:p>
        </w:tc>
        <w:tc>
          <w:tcPr>
            <w:tcW w:w="826" w:type="pct"/>
            <w:tcBorders>
              <w:top w:val="single" w:color="auto" w:sz="4" w:space="0"/>
              <w:left w:val="single" w:color="auto" w:sz="6" w:space="0"/>
              <w:bottom w:val="single" w:color="auto" w:sz="4" w:space="0"/>
              <w:right w:val="single" w:color="auto" w:sz="4" w:space="0"/>
            </w:tcBorders>
            <w:vAlign w:val="center"/>
          </w:tcPr>
          <w:p w14:paraId="556C53D4">
            <w:pPr>
              <w:pStyle w:val="45"/>
              <w:bidi w:val="0"/>
              <w:rPr>
                <w:rFonts w:hint="default"/>
                <w:lang w:val="en-US" w:eastAsia="zh-CN"/>
              </w:rPr>
            </w:pPr>
            <w:r>
              <w:rPr>
                <w:rFonts w:hint="eastAsia"/>
                <w:lang w:val="en-US" w:eastAsia="zh-CN"/>
              </w:rPr>
              <w:t>2</w:t>
            </w:r>
          </w:p>
        </w:tc>
        <w:tc>
          <w:tcPr>
            <w:tcW w:w="1028" w:type="pct"/>
            <w:tcBorders>
              <w:left w:val="single" w:color="auto" w:sz="6" w:space="0"/>
              <w:right w:val="single" w:color="auto" w:sz="4" w:space="0"/>
            </w:tcBorders>
            <w:vAlign w:val="center"/>
          </w:tcPr>
          <w:p w14:paraId="0990E09A">
            <w:pPr>
              <w:pStyle w:val="45"/>
              <w:bidi w:val="0"/>
              <w:rPr>
                <w:rFonts w:hint="default"/>
                <w:lang w:val="en-US" w:eastAsia="zh-CN"/>
              </w:rPr>
            </w:pPr>
            <w:r>
              <w:rPr>
                <w:rFonts w:hint="eastAsia"/>
                <w:lang w:val="en-US" w:eastAsia="zh-CN"/>
              </w:rPr>
              <w:t>2760</w:t>
            </w:r>
          </w:p>
        </w:tc>
      </w:tr>
      <w:tr w14:paraId="6300FDD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355" w:type="pct"/>
            <w:tcBorders>
              <w:left w:val="single" w:color="auto" w:sz="6" w:space="0"/>
              <w:right w:val="single" w:color="auto" w:sz="4" w:space="0"/>
            </w:tcBorders>
            <w:vAlign w:val="center"/>
          </w:tcPr>
          <w:p w14:paraId="41357448">
            <w:pPr>
              <w:pStyle w:val="45"/>
              <w:bidi w:val="0"/>
              <w:rPr>
                <w:rFonts w:hint="eastAsia"/>
                <w:lang w:val="en-US" w:eastAsia="zh-CN"/>
              </w:rPr>
            </w:pPr>
            <w:r>
              <w:rPr>
                <w:rFonts w:hint="eastAsia"/>
                <w:lang w:val="en-US" w:eastAsia="zh-CN"/>
              </w:rPr>
              <w:t>锂盐无组织干燥包装粉尘</w:t>
            </w:r>
          </w:p>
        </w:tc>
        <w:tc>
          <w:tcPr>
            <w:tcW w:w="788" w:type="pct"/>
            <w:tcBorders>
              <w:top w:val="single" w:color="auto" w:sz="4" w:space="0"/>
              <w:left w:val="single" w:color="auto" w:sz="6" w:space="0"/>
              <w:bottom w:val="single" w:color="auto" w:sz="6" w:space="0"/>
              <w:right w:val="single" w:color="auto" w:sz="4" w:space="0"/>
            </w:tcBorders>
            <w:vAlign w:val="center"/>
          </w:tcPr>
          <w:p w14:paraId="10DC175E">
            <w:pPr>
              <w:pStyle w:val="45"/>
              <w:bidi w:val="0"/>
              <w:rPr>
                <w:rFonts w:hint="eastAsia"/>
                <w:lang w:val="en-US" w:eastAsia="zh-CN"/>
              </w:rPr>
            </w:pPr>
            <w:r>
              <w:rPr>
                <w:rFonts w:hint="eastAsia"/>
                <w:lang w:val="en-US" w:eastAsia="zh-CN"/>
              </w:rPr>
              <w:t>颗粒物</w:t>
            </w:r>
          </w:p>
        </w:tc>
        <w:tc>
          <w:tcPr>
            <w:tcW w:w="826" w:type="pct"/>
            <w:tcBorders>
              <w:top w:val="single" w:color="auto" w:sz="4" w:space="0"/>
              <w:left w:val="single" w:color="auto" w:sz="6" w:space="0"/>
              <w:bottom w:val="single" w:color="auto" w:sz="6" w:space="0"/>
              <w:right w:val="single" w:color="auto" w:sz="4" w:space="0"/>
            </w:tcBorders>
            <w:vAlign w:val="center"/>
          </w:tcPr>
          <w:p w14:paraId="49F9C7C1">
            <w:pPr>
              <w:pStyle w:val="45"/>
              <w:bidi w:val="0"/>
              <w:rPr>
                <w:rFonts w:hint="default"/>
                <w:lang w:val="en-US" w:eastAsia="zh-CN"/>
              </w:rPr>
            </w:pPr>
            <w:r>
              <w:rPr>
                <w:rFonts w:hint="eastAsia"/>
                <w:lang w:val="en-US" w:eastAsia="zh-CN"/>
              </w:rPr>
              <w:t>0.96</w:t>
            </w:r>
          </w:p>
        </w:tc>
        <w:tc>
          <w:tcPr>
            <w:tcW w:w="1028" w:type="pct"/>
            <w:tcBorders>
              <w:left w:val="single" w:color="auto" w:sz="6" w:space="0"/>
              <w:bottom w:val="single" w:color="auto" w:sz="6" w:space="0"/>
              <w:right w:val="single" w:color="auto" w:sz="4" w:space="0"/>
            </w:tcBorders>
            <w:vAlign w:val="center"/>
          </w:tcPr>
          <w:p w14:paraId="2D2A3D72">
            <w:pPr>
              <w:pStyle w:val="45"/>
              <w:bidi w:val="0"/>
              <w:rPr>
                <w:rFonts w:hint="default"/>
                <w:lang w:val="en-US" w:eastAsia="zh-CN"/>
              </w:rPr>
            </w:pPr>
            <w:r>
              <w:rPr>
                <w:rFonts w:hint="eastAsia"/>
                <w:lang w:val="en-US" w:eastAsia="zh-CN"/>
              </w:rPr>
              <w:t>600</w:t>
            </w:r>
          </w:p>
        </w:tc>
      </w:tr>
    </w:tbl>
    <w:p w14:paraId="68DF9AAB">
      <w:pPr>
        <w:ind w:firstLine="482"/>
        <w:outlineLvl w:val="9"/>
        <w:rPr>
          <w:rFonts w:hint="eastAsia"/>
          <w:b/>
          <w:bCs/>
          <w:lang w:eastAsia="zh-CN"/>
        </w:rPr>
      </w:pPr>
    </w:p>
    <w:p w14:paraId="271EBA71">
      <w:pPr>
        <w:ind w:firstLine="482"/>
        <w:outlineLvl w:val="5"/>
        <w:rPr>
          <w:b/>
          <w:bCs/>
        </w:rPr>
      </w:pPr>
      <w:r>
        <w:rPr>
          <w:rFonts w:hint="eastAsia"/>
          <w:b/>
          <w:bCs/>
          <w:lang w:eastAsia="zh-CN"/>
        </w:rPr>
        <w:t>（</w:t>
      </w:r>
      <w:r>
        <w:rPr>
          <w:rFonts w:hint="eastAsia"/>
          <w:b/>
          <w:bCs/>
          <w:lang w:val="en-US" w:eastAsia="zh-CN"/>
        </w:rPr>
        <w:t>4</w:t>
      </w:r>
      <w:r>
        <w:rPr>
          <w:rFonts w:hint="eastAsia"/>
          <w:b/>
          <w:bCs/>
          <w:lang w:eastAsia="zh-CN"/>
        </w:rPr>
        <w:t>）</w:t>
      </w:r>
      <w:r>
        <w:rPr>
          <w:rFonts w:hint="eastAsia"/>
          <w:b/>
          <w:bCs/>
        </w:rPr>
        <w:t>投料</w:t>
      </w:r>
      <w:r>
        <w:rPr>
          <w:rFonts w:hint="eastAsia"/>
          <w:b/>
          <w:bCs/>
          <w:lang w:val="en-US" w:eastAsia="zh-CN"/>
        </w:rPr>
        <w:t>无组织</w:t>
      </w:r>
      <w:r>
        <w:rPr>
          <w:rFonts w:hint="eastAsia"/>
          <w:b/>
          <w:bCs/>
        </w:rPr>
        <w:t>粉尘</w:t>
      </w:r>
    </w:p>
    <w:p w14:paraId="22D7A921">
      <w:pPr>
        <w:ind w:firstLine="480"/>
        <w:rPr>
          <w:rFonts w:hint="eastAsia"/>
        </w:rPr>
      </w:pPr>
      <w:r>
        <w:rPr>
          <w:rFonts w:hint="eastAsia"/>
          <w:lang w:val="en-US" w:eastAsia="zh-CN"/>
        </w:rPr>
        <w:t>本项目投料无组织粉尘主要为化盐</w:t>
      </w:r>
      <w:r>
        <w:t>车间内</w:t>
      </w:r>
      <w:r>
        <w:rPr>
          <w:rFonts w:hint="eastAsia"/>
          <w:lang w:val="en-US" w:eastAsia="zh-CN"/>
        </w:rPr>
        <w:t>氯化钾、氯化钠投料粉尘，根据建设单位提供资料，氯化钠消耗量最大为11600t/a（包含自产回用盐），氯化钾消耗量为13000t/a</w:t>
      </w:r>
      <w:r>
        <w:rPr>
          <w:rFonts w:hint="eastAsia"/>
        </w:rPr>
        <w:t>。</w:t>
      </w:r>
      <w:r>
        <w:rPr>
          <w:rFonts w:hint="eastAsia"/>
          <w:lang w:val="en-US" w:eastAsia="zh-CN"/>
        </w:rPr>
        <w:t>投料粉尘产生系数参照《逸散型工业粉尘控制技术》中石灰生产时卸料的逸散尘排放因子0.015-0.2kg/t-原料，本次按0.2kg/t-原料计，则投料</w:t>
      </w:r>
      <w:r>
        <w:rPr>
          <w:rFonts w:hint="eastAsia"/>
        </w:rPr>
        <w:t>无组织</w:t>
      </w:r>
      <w:r>
        <w:rPr>
          <w:rFonts w:hint="eastAsia"/>
          <w:lang w:val="en-US" w:eastAsia="zh-CN"/>
        </w:rPr>
        <w:t>粉尘产生量为0.492t/a，</w:t>
      </w:r>
      <w:r>
        <w:rPr>
          <w:rFonts w:hint="eastAsia"/>
          <w:highlight w:val="none"/>
        </w:rPr>
        <w:t>粉尘以无组织形式扩散于</w:t>
      </w:r>
      <w:r>
        <w:rPr>
          <w:rFonts w:hint="eastAsia"/>
          <w:highlight w:val="none"/>
          <w:lang w:val="en-US" w:eastAsia="zh-CN"/>
        </w:rPr>
        <w:t>化盐</w:t>
      </w:r>
      <w:r>
        <w:rPr>
          <w:rFonts w:hint="eastAsia"/>
          <w:highlight w:val="none"/>
        </w:rPr>
        <w:t>车间内</w:t>
      </w:r>
      <w:r>
        <w:rPr>
          <w:rFonts w:hint="eastAsia"/>
          <w:highlight w:val="none"/>
          <w:lang w:eastAsia="zh-CN"/>
        </w:rPr>
        <w:t>，</w:t>
      </w:r>
      <w:r>
        <w:rPr>
          <w:rFonts w:hint="eastAsia"/>
        </w:rPr>
        <w:t>面源面积为450m</w:t>
      </w:r>
      <w:r>
        <w:rPr>
          <w:rFonts w:hint="eastAsia"/>
          <w:vertAlign w:val="superscript"/>
        </w:rPr>
        <w:t>2</w:t>
      </w:r>
      <w:r>
        <w:rPr>
          <w:rFonts w:hint="eastAsia"/>
        </w:rPr>
        <w:t>。</w:t>
      </w:r>
    </w:p>
    <w:p w14:paraId="001D0630">
      <w:pPr>
        <w:ind w:firstLine="480"/>
        <w:outlineLvl w:val="5"/>
        <w:rPr>
          <w:rFonts w:hint="default" w:eastAsia="宋体"/>
          <w:b/>
          <w:bCs/>
          <w:lang w:val="en-US" w:eastAsia="zh-CN"/>
        </w:rPr>
      </w:pPr>
      <w:r>
        <w:rPr>
          <w:rFonts w:hint="eastAsia"/>
          <w:b/>
          <w:bCs/>
          <w:lang w:eastAsia="zh-CN"/>
        </w:rPr>
        <w:t>（</w:t>
      </w:r>
      <w:r>
        <w:rPr>
          <w:rFonts w:hint="eastAsia"/>
          <w:b/>
          <w:bCs/>
          <w:lang w:val="en-US" w:eastAsia="zh-CN"/>
        </w:rPr>
        <w:t>5</w:t>
      </w:r>
      <w:r>
        <w:rPr>
          <w:rFonts w:hint="eastAsia"/>
          <w:b/>
          <w:bCs/>
          <w:lang w:eastAsia="zh-CN"/>
        </w:rPr>
        <w:t>）</w:t>
      </w:r>
      <w:r>
        <w:rPr>
          <w:rFonts w:hint="eastAsia"/>
          <w:b/>
          <w:bCs/>
          <w:lang w:val="en-US" w:eastAsia="zh-CN"/>
        </w:rPr>
        <w:t>无组织废气产排情况汇总</w:t>
      </w:r>
    </w:p>
    <w:p w14:paraId="4DF01BC1">
      <w:pPr>
        <w:ind w:firstLine="480"/>
        <w:rPr>
          <w:rFonts w:hint="eastAsia"/>
        </w:rPr>
      </w:pPr>
      <w:r>
        <w:rPr>
          <w:rFonts w:hint="eastAsia"/>
        </w:rPr>
        <w:t>本项目无组织废气源强统计见下表。</w:t>
      </w:r>
    </w:p>
    <w:p w14:paraId="57C9C8D8">
      <w:pPr>
        <w:keepNext/>
        <w:numPr>
          <w:ilvl w:val="5"/>
          <w:numId w:val="1"/>
        </w:numPr>
        <w:snapToGrid w:val="0"/>
        <w:spacing w:line="240" w:lineRule="auto"/>
        <w:ind w:firstLine="420" w:firstLineChars="0"/>
        <w:jc w:val="center"/>
        <w:rPr>
          <w:b/>
          <w:bCs/>
          <w:sz w:val="21"/>
          <w:szCs w:val="21"/>
        </w:rPr>
      </w:pPr>
      <w:r>
        <w:rPr>
          <w:rFonts w:hint="eastAsia"/>
          <w:b/>
          <w:bCs/>
          <w:sz w:val="21"/>
          <w:szCs w:val="21"/>
        </w:rPr>
        <w:t>本项目无组织废气源强统计一览表</w:t>
      </w:r>
    </w:p>
    <w:tbl>
      <w:tblPr>
        <w:tblStyle w:val="32"/>
        <w:tblW w:w="531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83"/>
        <w:gridCol w:w="1306"/>
        <w:gridCol w:w="825"/>
        <w:gridCol w:w="1069"/>
        <w:gridCol w:w="1125"/>
        <w:gridCol w:w="956"/>
        <w:gridCol w:w="1015"/>
        <w:gridCol w:w="1100"/>
        <w:gridCol w:w="976"/>
      </w:tblGrid>
      <w:tr w14:paraId="7CA96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377" w:type="pct"/>
            <w:shd w:val="clear" w:color="auto" w:fill="auto"/>
            <w:vAlign w:val="center"/>
          </w:tcPr>
          <w:p w14:paraId="5C984EE2">
            <w:pPr>
              <w:pStyle w:val="45"/>
              <w:bidi w:val="0"/>
              <w:rPr>
                <w:rFonts w:hint="eastAsia"/>
                <w:b/>
                <w:bCs/>
              </w:rPr>
            </w:pPr>
            <w:r>
              <w:rPr>
                <w:rFonts w:hint="eastAsia"/>
                <w:b/>
                <w:bCs/>
                <w:lang w:val="en-US" w:eastAsia="zh-CN"/>
              </w:rPr>
              <w:t>产生位置</w:t>
            </w:r>
          </w:p>
        </w:tc>
        <w:tc>
          <w:tcPr>
            <w:tcW w:w="721" w:type="pct"/>
            <w:shd w:val="clear" w:color="auto" w:fill="auto"/>
            <w:vAlign w:val="center"/>
          </w:tcPr>
          <w:p w14:paraId="25994A17">
            <w:pPr>
              <w:pStyle w:val="45"/>
              <w:bidi w:val="0"/>
              <w:rPr>
                <w:rFonts w:hint="eastAsia"/>
                <w:b/>
                <w:bCs/>
              </w:rPr>
            </w:pPr>
            <w:r>
              <w:rPr>
                <w:rFonts w:hint="eastAsia"/>
                <w:b/>
                <w:bCs/>
                <w:lang w:val="en-US" w:eastAsia="zh-CN"/>
              </w:rPr>
              <w:t>污染源</w:t>
            </w:r>
          </w:p>
        </w:tc>
        <w:tc>
          <w:tcPr>
            <w:tcW w:w="455" w:type="pct"/>
            <w:shd w:val="clear" w:color="auto" w:fill="auto"/>
            <w:vAlign w:val="center"/>
          </w:tcPr>
          <w:p w14:paraId="0C9026FD">
            <w:pPr>
              <w:pStyle w:val="45"/>
              <w:bidi w:val="0"/>
              <w:rPr>
                <w:rFonts w:hint="eastAsia"/>
                <w:b/>
                <w:bCs/>
              </w:rPr>
            </w:pPr>
            <w:r>
              <w:rPr>
                <w:rFonts w:hint="eastAsia"/>
                <w:b/>
                <w:bCs/>
                <w:lang w:val="en-US" w:eastAsia="zh-CN"/>
              </w:rPr>
              <w:t>污染物</w:t>
            </w:r>
          </w:p>
        </w:tc>
        <w:tc>
          <w:tcPr>
            <w:tcW w:w="590" w:type="pct"/>
            <w:shd w:val="clear" w:color="auto" w:fill="auto"/>
            <w:vAlign w:val="center"/>
          </w:tcPr>
          <w:p w14:paraId="7F009467">
            <w:pPr>
              <w:pStyle w:val="45"/>
              <w:bidi w:val="0"/>
              <w:rPr>
                <w:rFonts w:hint="eastAsia"/>
                <w:b/>
                <w:bCs/>
              </w:rPr>
            </w:pPr>
            <w:r>
              <w:rPr>
                <w:rFonts w:hint="eastAsia"/>
                <w:b/>
                <w:bCs/>
                <w:lang w:val="en-US" w:eastAsia="zh-CN"/>
              </w:rPr>
              <w:t>产生量（</w:t>
            </w:r>
            <w:r>
              <w:rPr>
                <w:rFonts w:hint="default"/>
                <w:b/>
                <w:bCs/>
                <w:lang w:val="en-US" w:eastAsia="zh-CN"/>
              </w:rPr>
              <w:t>t/a</w:t>
            </w:r>
            <w:r>
              <w:rPr>
                <w:rFonts w:hint="eastAsia"/>
                <w:b/>
                <w:bCs/>
                <w:lang w:val="en-US" w:eastAsia="zh-CN"/>
              </w:rPr>
              <w:t>）</w:t>
            </w:r>
          </w:p>
        </w:tc>
        <w:tc>
          <w:tcPr>
            <w:tcW w:w="621" w:type="pct"/>
            <w:shd w:val="clear" w:color="auto" w:fill="auto"/>
            <w:vAlign w:val="center"/>
          </w:tcPr>
          <w:p w14:paraId="23D58C56">
            <w:pPr>
              <w:pStyle w:val="45"/>
              <w:bidi w:val="0"/>
              <w:rPr>
                <w:rFonts w:hint="eastAsia"/>
                <w:b/>
                <w:bCs/>
              </w:rPr>
            </w:pPr>
            <w:r>
              <w:rPr>
                <w:rFonts w:hint="eastAsia"/>
                <w:b/>
                <w:bCs/>
                <w:lang w:val="en-US" w:eastAsia="zh-CN"/>
              </w:rPr>
              <w:t>处理措施</w:t>
            </w:r>
          </w:p>
        </w:tc>
        <w:tc>
          <w:tcPr>
            <w:tcW w:w="527" w:type="pct"/>
            <w:shd w:val="clear" w:color="auto" w:fill="auto"/>
            <w:vAlign w:val="center"/>
          </w:tcPr>
          <w:p w14:paraId="20079014">
            <w:pPr>
              <w:pStyle w:val="45"/>
              <w:bidi w:val="0"/>
              <w:rPr>
                <w:rFonts w:hint="eastAsia"/>
                <w:b/>
                <w:bCs/>
              </w:rPr>
            </w:pPr>
            <w:r>
              <w:rPr>
                <w:rFonts w:hint="eastAsia"/>
                <w:b/>
                <w:bCs/>
                <w:lang w:val="en-US" w:eastAsia="zh-CN"/>
              </w:rPr>
              <w:t>处理效率</w:t>
            </w:r>
            <w:r>
              <w:rPr>
                <w:rFonts w:hint="default"/>
                <w:b/>
                <w:bCs/>
                <w:lang w:val="en-US" w:eastAsia="zh-CN"/>
              </w:rPr>
              <w:t>(%)</w:t>
            </w:r>
          </w:p>
        </w:tc>
        <w:tc>
          <w:tcPr>
            <w:tcW w:w="560" w:type="pct"/>
            <w:shd w:val="clear" w:color="auto" w:fill="auto"/>
            <w:vAlign w:val="center"/>
          </w:tcPr>
          <w:p w14:paraId="75EEF7A0">
            <w:pPr>
              <w:pStyle w:val="45"/>
              <w:bidi w:val="0"/>
              <w:rPr>
                <w:rFonts w:hint="eastAsia"/>
                <w:b/>
                <w:bCs/>
              </w:rPr>
            </w:pPr>
            <w:r>
              <w:rPr>
                <w:rFonts w:hint="eastAsia"/>
                <w:b/>
                <w:bCs/>
                <w:lang w:val="en-US" w:eastAsia="zh-CN"/>
              </w:rPr>
              <w:t>排放量（</w:t>
            </w:r>
            <w:r>
              <w:rPr>
                <w:rFonts w:hint="default"/>
                <w:b/>
                <w:bCs/>
                <w:lang w:val="en-US" w:eastAsia="zh-CN"/>
              </w:rPr>
              <w:t>t/a)</w:t>
            </w:r>
          </w:p>
        </w:tc>
        <w:tc>
          <w:tcPr>
            <w:tcW w:w="607" w:type="pct"/>
            <w:shd w:val="clear" w:color="auto" w:fill="auto"/>
            <w:vAlign w:val="center"/>
          </w:tcPr>
          <w:p w14:paraId="02A2206C">
            <w:pPr>
              <w:pStyle w:val="45"/>
              <w:bidi w:val="0"/>
              <w:rPr>
                <w:rFonts w:hint="eastAsia"/>
                <w:b/>
                <w:bCs/>
              </w:rPr>
            </w:pPr>
            <w:r>
              <w:rPr>
                <w:rFonts w:hint="eastAsia"/>
                <w:b/>
                <w:bCs/>
                <w:lang w:val="en-US" w:eastAsia="zh-CN"/>
              </w:rPr>
              <w:t>排放速率（</w:t>
            </w:r>
            <w:r>
              <w:rPr>
                <w:rFonts w:hint="default"/>
                <w:b/>
                <w:bCs/>
                <w:lang w:val="en-US" w:eastAsia="zh-CN"/>
              </w:rPr>
              <w:t>kg/h</w:t>
            </w:r>
            <w:r>
              <w:rPr>
                <w:rFonts w:hint="eastAsia"/>
                <w:b/>
                <w:bCs/>
                <w:lang w:val="en-US" w:eastAsia="zh-CN"/>
              </w:rPr>
              <w:t>）</w:t>
            </w:r>
          </w:p>
        </w:tc>
        <w:tc>
          <w:tcPr>
            <w:tcW w:w="538" w:type="pct"/>
            <w:shd w:val="clear" w:color="auto" w:fill="auto"/>
            <w:vAlign w:val="center"/>
          </w:tcPr>
          <w:p w14:paraId="30EDE2DC">
            <w:pPr>
              <w:pStyle w:val="45"/>
              <w:bidi w:val="0"/>
              <w:rPr>
                <w:rFonts w:hint="eastAsia"/>
                <w:b/>
                <w:bCs/>
              </w:rPr>
            </w:pPr>
            <w:r>
              <w:rPr>
                <w:rFonts w:hint="eastAsia"/>
                <w:b/>
                <w:bCs/>
                <w:lang w:val="en-US" w:eastAsia="zh-CN"/>
              </w:rPr>
              <w:t>面源参数（</w:t>
            </w:r>
            <w:r>
              <w:rPr>
                <w:rFonts w:hint="default"/>
                <w:b/>
                <w:bCs/>
                <w:lang w:val="en-US" w:eastAsia="zh-CN"/>
              </w:rPr>
              <w:t>m2</w:t>
            </w:r>
            <w:r>
              <w:rPr>
                <w:rFonts w:hint="eastAsia"/>
                <w:b/>
                <w:bCs/>
                <w:lang w:val="en-US" w:eastAsia="zh-CN"/>
              </w:rPr>
              <w:t>）</w:t>
            </w:r>
          </w:p>
        </w:tc>
      </w:tr>
      <w:tr w14:paraId="6D7B2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377" w:type="pct"/>
            <w:vMerge w:val="restart"/>
            <w:shd w:val="clear" w:color="auto" w:fill="auto"/>
            <w:vAlign w:val="center"/>
          </w:tcPr>
          <w:p w14:paraId="07D00289">
            <w:pPr>
              <w:pStyle w:val="45"/>
              <w:bidi w:val="0"/>
              <w:rPr>
                <w:rFonts w:hint="eastAsia"/>
              </w:rPr>
            </w:pPr>
            <w:r>
              <w:rPr>
                <w:rFonts w:hint="eastAsia"/>
                <w:lang w:val="en-US" w:eastAsia="zh-CN"/>
              </w:rPr>
              <w:t>电解车间</w:t>
            </w:r>
          </w:p>
        </w:tc>
        <w:tc>
          <w:tcPr>
            <w:tcW w:w="721" w:type="pct"/>
            <w:vMerge w:val="restart"/>
            <w:shd w:val="clear" w:color="auto" w:fill="auto"/>
            <w:vAlign w:val="center"/>
          </w:tcPr>
          <w:p w14:paraId="49557FA3">
            <w:pPr>
              <w:pStyle w:val="45"/>
              <w:bidi w:val="0"/>
              <w:rPr>
                <w:rFonts w:hint="eastAsia"/>
              </w:rPr>
            </w:pPr>
            <w:r>
              <w:rPr>
                <w:rFonts w:hint="eastAsia"/>
                <w:lang w:val="en-US" w:eastAsia="zh-CN"/>
              </w:rPr>
              <w:t>电解区无组织氯气及氯化氢</w:t>
            </w:r>
          </w:p>
        </w:tc>
        <w:tc>
          <w:tcPr>
            <w:tcW w:w="455" w:type="pct"/>
            <w:shd w:val="clear" w:color="auto" w:fill="auto"/>
            <w:vAlign w:val="center"/>
          </w:tcPr>
          <w:p w14:paraId="25965948">
            <w:pPr>
              <w:pStyle w:val="45"/>
              <w:bidi w:val="0"/>
              <w:rPr>
                <w:rFonts w:hint="eastAsia"/>
              </w:rPr>
            </w:pPr>
            <w:r>
              <w:rPr>
                <w:rFonts w:hint="eastAsia"/>
                <w:lang w:val="en-US" w:eastAsia="zh-CN"/>
              </w:rPr>
              <w:t>氯气</w:t>
            </w:r>
          </w:p>
        </w:tc>
        <w:tc>
          <w:tcPr>
            <w:tcW w:w="590" w:type="pct"/>
            <w:shd w:val="clear" w:color="auto" w:fill="auto"/>
            <w:vAlign w:val="center"/>
          </w:tcPr>
          <w:p w14:paraId="5F1D8D39">
            <w:pPr>
              <w:pStyle w:val="45"/>
              <w:bidi w:val="0"/>
              <w:rPr>
                <w:rFonts w:hint="default"/>
              </w:rPr>
            </w:pPr>
            <w:r>
              <w:rPr>
                <w:rFonts w:hint="default"/>
                <w:lang w:val="en-US" w:eastAsia="zh-CN"/>
              </w:rPr>
              <w:t xml:space="preserve">0.0060 </w:t>
            </w:r>
          </w:p>
        </w:tc>
        <w:tc>
          <w:tcPr>
            <w:tcW w:w="621" w:type="pct"/>
            <w:shd w:val="clear" w:color="auto" w:fill="auto"/>
            <w:vAlign w:val="center"/>
          </w:tcPr>
          <w:p w14:paraId="6E2A6FC0">
            <w:pPr>
              <w:pStyle w:val="45"/>
              <w:bidi w:val="0"/>
              <w:rPr>
                <w:rFonts w:hint="eastAsia"/>
              </w:rPr>
            </w:pPr>
            <w:r>
              <w:rPr>
                <w:rFonts w:hint="eastAsia"/>
                <w:lang w:val="en-US" w:eastAsia="zh-CN"/>
              </w:rPr>
              <w:t>机械通风</w:t>
            </w:r>
          </w:p>
        </w:tc>
        <w:tc>
          <w:tcPr>
            <w:tcW w:w="527" w:type="pct"/>
            <w:shd w:val="clear" w:color="auto" w:fill="auto"/>
            <w:vAlign w:val="center"/>
          </w:tcPr>
          <w:p w14:paraId="15A3C79C">
            <w:pPr>
              <w:pStyle w:val="45"/>
              <w:bidi w:val="0"/>
              <w:rPr>
                <w:rFonts w:hint="default"/>
              </w:rPr>
            </w:pPr>
            <w:r>
              <w:rPr>
                <w:rFonts w:hint="default"/>
                <w:lang w:val="en-US" w:eastAsia="zh-CN"/>
              </w:rPr>
              <w:t>/</w:t>
            </w:r>
          </w:p>
        </w:tc>
        <w:tc>
          <w:tcPr>
            <w:tcW w:w="560" w:type="pct"/>
            <w:shd w:val="clear" w:color="auto" w:fill="auto"/>
            <w:vAlign w:val="center"/>
          </w:tcPr>
          <w:p w14:paraId="55CEA782">
            <w:pPr>
              <w:pStyle w:val="45"/>
              <w:bidi w:val="0"/>
              <w:rPr>
                <w:rFonts w:hint="default"/>
              </w:rPr>
            </w:pPr>
            <w:r>
              <w:rPr>
                <w:rFonts w:hint="default"/>
                <w:lang w:val="en-US" w:eastAsia="zh-CN"/>
              </w:rPr>
              <w:t xml:space="preserve">0.0060 </w:t>
            </w:r>
          </w:p>
        </w:tc>
        <w:tc>
          <w:tcPr>
            <w:tcW w:w="607" w:type="pct"/>
            <w:shd w:val="clear" w:color="auto" w:fill="auto"/>
            <w:vAlign w:val="center"/>
          </w:tcPr>
          <w:p w14:paraId="32274AAE">
            <w:pPr>
              <w:pStyle w:val="45"/>
              <w:bidi w:val="0"/>
              <w:rPr>
                <w:rFonts w:hint="default"/>
              </w:rPr>
            </w:pPr>
            <w:r>
              <w:rPr>
                <w:rFonts w:hint="default"/>
                <w:lang w:val="en-US" w:eastAsia="zh-CN"/>
              </w:rPr>
              <w:t xml:space="preserve">0.0008 </w:t>
            </w:r>
          </w:p>
        </w:tc>
        <w:tc>
          <w:tcPr>
            <w:tcW w:w="538" w:type="pct"/>
            <w:shd w:val="clear" w:color="auto" w:fill="auto"/>
            <w:noWrap/>
            <w:vAlign w:val="center"/>
          </w:tcPr>
          <w:p w14:paraId="49C2DA2E">
            <w:pPr>
              <w:pStyle w:val="45"/>
              <w:bidi w:val="0"/>
              <w:rPr>
                <w:rFonts w:hint="default"/>
              </w:rPr>
            </w:pPr>
            <w:r>
              <w:rPr>
                <w:rFonts w:hint="default"/>
                <w:lang w:val="en-US" w:eastAsia="zh-CN"/>
              </w:rPr>
              <w:t>2928</w:t>
            </w:r>
          </w:p>
        </w:tc>
      </w:tr>
      <w:tr w14:paraId="41B50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377" w:type="pct"/>
            <w:vMerge w:val="continue"/>
            <w:shd w:val="clear" w:color="auto" w:fill="auto"/>
            <w:vAlign w:val="center"/>
          </w:tcPr>
          <w:p w14:paraId="15CA24A5">
            <w:pPr>
              <w:pStyle w:val="45"/>
              <w:bidi w:val="0"/>
              <w:rPr>
                <w:rFonts w:hint="eastAsia"/>
              </w:rPr>
            </w:pPr>
          </w:p>
        </w:tc>
        <w:tc>
          <w:tcPr>
            <w:tcW w:w="721" w:type="pct"/>
            <w:vMerge w:val="continue"/>
            <w:shd w:val="clear" w:color="auto" w:fill="auto"/>
            <w:vAlign w:val="center"/>
          </w:tcPr>
          <w:p w14:paraId="7B59A29C">
            <w:pPr>
              <w:pStyle w:val="45"/>
              <w:bidi w:val="0"/>
              <w:rPr>
                <w:rFonts w:hint="eastAsia"/>
              </w:rPr>
            </w:pPr>
          </w:p>
        </w:tc>
        <w:tc>
          <w:tcPr>
            <w:tcW w:w="455" w:type="pct"/>
            <w:shd w:val="clear" w:color="auto" w:fill="auto"/>
            <w:vAlign w:val="center"/>
          </w:tcPr>
          <w:p w14:paraId="54D14796">
            <w:pPr>
              <w:pStyle w:val="45"/>
              <w:bidi w:val="0"/>
              <w:rPr>
                <w:rFonts w:hint="eastAsia"/>
              </w:rPr>
            </w:pPr>
            <w:r>
              <w:rPr>
                <w:rFonts w:hint="eastAsia"/>
                <w:lang w:val="en-US" w:eastAsia="zh-CN"/>
              </w:rPr>
              <w:t>氯化氢</w:t>
            </w:r>
          </w:p>
        </w:tc>
        <w:tc>
          <w:tcPr>
            <w:tcW w:w="590" w:type="pct"/>
            <w:shd w:val="clear" w:color="auto" w:fill="auto"/>
            <w:vAlign w:val="center"/>
          </w:tcPr>
          <w:p w14:paraId="32AFD400">
            <w:pPr>
              <w:pStyle w:val="45"/>
              <w:bidi w:val="0"/>
              <w:rPr>
                <w:rFonts w:hint="default"/>
              </w:rPr>
            </w:pPr>
            <w:r>
              <w:rPr>
                <w:rFonts w:hint="default"/>
                <w:lang w:val="en-US" w:eastAsia="zh-CN"/>
              </w:rPr>
              <w:t>0.0063</w:t>
            </w:r>
          </w:p>
        </w:tc>
        <w:tc>
          <w:tcPr>
            <w:tcW w:w="621" w:type="pct"/>
            <w:shd w:val="clear" w:color="auto" w:fill="auto"/>
            <w:vAlign w:val="center"/>
          </w:tcPr>
          <w:p w14:paraId="7A339CA0">
            <w:pPr>
              <w:pStyle w:val="45"/>
              <w:bidi w:val="0"/>
              <w:rPr>
                <w:rFonts w:hint="eastAsia"/>
              </w:rPr>
            </w:pPr>
            <w:r>
              <w:rPr>
                <w:rFonts w:hint="eastAsia"/>
                <w:lang w:val="en-US" w:eastAsia="zh-CN"/>
              </w:rPr>
              <w:t>机械通风</w:t>
            </w:r>
          </w:p>
        </w:tc>
        <w:tc>
          <w:tcPr>
            <w:tcW w:w="527" w:type="pct"/>
            <w:shd w:val="clear" w:color="auto" w:fill="auto"/>
            <w:vAlign w:val="center"/>
          </w:tcPr>
          <w:p w14:paraId="38A79844">
            <w:pPr>
              <w:pStyle w:val="45"/>
              <w:bidi w:val="0"/>
              <w:rPr>
                <w:rFonts w:hint="default"/>
              </w:rPr>
            </w:pPr>
            <w:r>
              <w:rPr>
                <w:rFonts w:hint="default"/>
                <w:lang w:val="en-US" w:eastAsia="zh-CN"/>
              </w:rPr>
              <w:t>/</w:t>
            </w:r>
          </w:p>
        </w:tc>
        <w:tc>
          <w:tcPr>
            <w:tcW w:w="560" w:type="pct"/>
            <w:shd w:val="clear" w:color="auto" w:fill="auto"/>
            <w:vAlign w:val="center"/>
          </w:tcPr>
          <w:p w14:paraId="5A90E1B0">
            <w:pPr>
              <w:pStyle w:val="45"/>
              <w:bidi w:val="0"/>
              <w:rPr>
                <w:rFonts w:hint="default"/>
              </w:rPr>
            </w:pPr>
            <w:r>
              <w:rPr>
                <w:rFonts w:hint="default"/>
                <w:lang w:val="en-US" w:eastAsia="zh-CN"/>
              </w:rPr>
              <w:t>0.0063</w:t>
            </w:r>
          </w:p>
        </w:tc>
        <w:tc>
          <w:tcPr>
            <w:tcW w:w="607" w:type="pct"/>
            <w:shd w:val="clear" w:color="auto" w:fill="auto"/>
            <w:vAlign w:val="center"/>
          </w:tcPr>
          <w:p w14:paraId="5877F617">
            <w:pPr>
              <w:pStyle w:val="45"/>
              <w:bidi w:val="0"/>
              <w:rPr>
                <w:rFonts w:hint="default"/>
              </w:rPr>
            </w:pPr>
            <w:r>
              <w:rPr>
                <w:rFonts w:hint="default"/>
                <w:lang w:val="en-US" w:eastAsia="zh-CN"/>
              </w:rPr>
              <w:t xml:space="preserve">0.0009 </w:t>
            </w:r>
          </w:p>
        </w:tc>
        <w:tc>
          <w:tcPr>
            <w:tcW w:w="538" w:type="pct"/>
            <w:shd w:val="clear" w:color="auto" w:fill="auto"/>
            <w:noWrap/>
            <w:vAlign w:val="center"/>
          </w:tcPr>
          <w:p w14:paraId="3B615D2B">
            <w:pPr>
              <w:pStyle w:val="45"/>
              <w:bidi w:val="0"/>
              <w:rPr>
                <w:rFonts w:hint="default"/>
              </w:rPr>
            </w:pPr>
            <w:r>
              <w:rPr>
                <w:rFonts w:hint="default"/>
                <w:lang w:val="en-US" w:eastAsia="zh-CN"/>
              </w:rPr>
              <w:t>2928</w:t>
            </w:r>
          </w:p>
        </w:tc>
      </w:tr>
      <w:tr w14:paraId="14C84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377" w:type="pct"/>
            <w:shd w:val="clear" w:color="auto" w:fill="auto"/>
            <w:noWrap/>
            <w:vAlign w:val="center"/>
          </w:tcPr>
          <w:p w14:paraId="4D407DED">
            <w:pPr>
              <w:pStyle w:val="45"/>
              <w:bidi w:val="0"/>
              <w:rPr>
                <w:rFonts w:hint="eastAsia"/>
              </w:rPr>
            </w:pPr>
            <w:r>
              <w:rPr>
                <w:rFonts w:hint="eastAsia"/>
                <w:lang w:val="en-US" w:eastAsia="zh-CN"/>
              </w:rPr>
              <w:t>盐酸储罐</w:t>
            </w:r>
          </w:p>
        </w:tc>
        <w:tc>
          <w:tcPr>
            <w:tcW w:w="721" w:type="pct"/>
            <w:shd w:val="clear" w:color="auto" w:fill="auto"/>
            <w:vAlign w:val="center"/>
          </w:tcPr>
          <w:p w14:paraId="59705CCF">
            <w:pPr>
              <w:pStyle w:val="45"/>
              <w:bidi w:val="0"/>
              <w:rPr>
                <w:rFonts w:hint="eastAsia"/>
              </w:rPr>
            </w:pPr>
            <w:r>
              <w:rPr>
                <w:rFonts w:hint="eastAsia"/>
                <w:lang w:val="en-US" w:eastAsia="zh-CN"/>
              </w:rPr>
              <w:t>盐酸储罐大小呼吸</w:t>
            </w:r>
          </w:p>
        </w:tc>
        <w:tc>
          <w:tcPr>
            <w:tcW w:w="455" w:type="pct"/>
            <w:shd w:val="clear" w:color="auto" w:fill="auto"/>
            <w:vAlign w:val="center"/>
          </w:tcPr>
          <w:p w14:paraId="42E728FE">
            <w:pPr>
              <w:pStyle w:val="45"/>
              <w:bidi w:val="0"/>
              <w:rPr>
                <w:rFonts w:hint="eastAsia"/>
              </w:rPr>
            </w:pPr>
            <w:r>
              <w:rPr>
                <w:rFonts w:hint="eastAsia"/>
                <w:lang w:val="en-US" w:eastAsia="zh-CN"/>
              </w:rPr>
              <w:t>氯化氢</w:t>
            </w:r>
          </w:p>
        </w:tc>
        <w:tc>
          <w:tcPr>
            <w:tcW w:w="590" w:type="pct"/>
            <w:shd w:val="clear" w:color="auto" w:fill="auto"/>
            <w:noWrap/>
            <w:vAlign w:val="center"/>
          </w:tcPr>
          <w:p w14:paraId="7C458D1A">
            <w:pPr>
              <w:pStyle w:val="45"/>
              <w:bidi w:val="0"/>
              <w:rPr>
                <w:rFonts w:hint="default"/>
              </w:rPr>
            </w:pPr>
            <w:r>
              <w:rPr>
                <w:rFonts w:hint="default"/>
                <w:lang w:val="en-US" w:eastAsia="zh-CN"/>
              </w:rPr>
              <w:t>0.039312</w:t>
            </w:r>
          </w:p>
        </w:tc>
        <w:tc>
          <w:tcPr>
            <w:tcW w:w="621" w:type="pct"/>
            <w:shd w:val="clear" w:color="auto" w:fill="auto"/>
            <w:noWrap/>
            <w:vAlign w:val="center"/>
          </w:tcPr>
          <w:p w14:paraId="723FF765">
            <w:pPr>
              <w:pStyle w:val="45"/>
              <w:bidi w:val="0"/>
              <w:rPr>
                <w:rFonts w:hint="eastAsia"/>
              </w:rPr>
            </w:pPr>
            <w:r>
              <w:rPr>
                <w:rFonts w:hint="eastAsia"/>
                <w:lang w:val="en-US" w:eastAsia="zh-CN"/>
              </w:rPr>
              <w:t>碱封</w:t>
            </w:r>
            <w:r>
              <w:rPr>
                <w:rFonts w:hint="default"/>
                <w:lang w:val="en-US" w:eastAsia="zh-CN"/>
              </w:rPr>
              <w:t>+</w:t>
            </w:r>
            <w:r>
              <w:rPr>
                <w:rFonts w:hint="eastAsia"/>
                <w:lang w:val="en-US" w:eastAsia="zh-CN"/>
              </w:rPr>
              <w:t>通风</w:t>
            </w:r>
          </w:p>
        </w:tc>
        <w:tc>
          <w:tcPr>
            <w:tcW w:w="527" w:type="pct"/>
            <w:shd w:val="clear" w:color="auto" w:fill="auto"/>
            <w:noWrap/>
            <w:vAlign w:val="center"/>
          </w:tcPr>
          <w:p w14:paraId="2440A98C">
            <w:pPr>
              <w:pStyle w:val="45"/>
              <w:bidi w:val="0"/>
              <w:rPr>
                <w:rFonts w:hint="default"/>
              </w:rPr>
            </w:pPr>
            <w:r>
              <w:rPr>
                <w:rFonts w:hint="default"/>
                <w:lang w:val="en-US" w:eastAsia="zh-CN"/>
              </w:rPr>
              <w:t>9</w:t>
            </w:r>
            <w:r>
              <w:rPr>
                <w:rFonts w:hint="eastAsia"/>
                <w:lang w:val="en-US" w:eastAsia="zh-CN"/>
              </w:rPr>
              <w:t>0</w:t>
            </w:r>
          </w:p>
        </w:tc>
        <w:tc>
          <w:tcPr>
            <w:tcW w:w="560" w:type="pct"/>
            <w:shd w:val="clear" w:color="auto" w:fill="auto"/>
            <w:noWrap/>
            <w:vAlign w:val="center"/>
          </w:tcPr>
          <w:p w14:paraId="49B6095F">
            <w:pPr>
              <w:pStyle w:val="45"/>
              <w:bidi w:val="0"/>
              <w:rPr>
                <w:rFonts w:hint="default"/>
              </w:rPr>
            </w:pPr>
            <w:r>
              <w:rPr>
                <w:rFonts w:hint="default"/>
                <w:lang w:val="en-US" w:eastAsia="zh-CN"/>
              </w:rPr>
              <w:t>0.0039312</w:t>
            </w:r>
          </w:p>
        </w:tc>
        <w:tc>
          <w:tcPr>
            <w:tcW w:w="607" w:type="pct"/>
            <w:shd w:val="clear" w:color="auto" w:fill="auto"/>
            <w:noWrap/>
            <w:vAlign w:val="center"/>
          </w:tcPr>
          <w:p w14:paraId="54247A60">
            <w:pPr>
              <w:pStyle w:val="45"/>
              <w:bidi w:val="0"/>
              <w:rPr>
                <w:rFonts w:hint="default"/>
              </w:rPr>
            </w:pPr>
            <w:r>
              <w:rPr>
                <w:rFonts w:hint="default"/>
                <w:lang w:val="en-US" w:eastAsia="zh-CN"/>
              </w:rPr>
              <w:t>0.000546</w:t>
            </w:r>
          </w:p>
        </w:tc>
        <w:tc>
          <w:tcPr>
            <w:tcW w:w="538" w:type="pct"/>
            <w:shd w:val="clear" w:color="auto" w:fill="auto"/>
            <w:noWrap/>
            <w:vAlign w:val="center"/>
          </w:tcPr>
          <w:p w14:paraId="1D697B8F">
            <w:pPr>
              <w:pStyle w:val="45"/>
              <w:bidi w:val="0"/>
              <w:rPr>
                <w:rFonts w:hint="default"/>
              </w:rPr>
            </w:pPr>
            <w:r>
              <w:rPr>
                <w:rFonts w:hint="default"/>
                <w:lang w:val="en-US" w:eastAsia="zh-CN"/>
              </w:rPr>
              <w:t>12.56</w:t>
            </w:r>
          </w:p>
        </w:tc>
      </w:tr>
      <w:tr w14:paraId="7B6E1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377" w:type="pct"/>
            <w:shd w:val="clear" w:color="auto" w:fill="auto"/>
            <w:noWrap/>
            <w:vAlign w:val="center"/>
          </w:tcPr>
          <w:p w14:paraId="3C3F8CB8">
            <w:pPr>
              <w:pStyle w:val="45"/>
              <w:bidi w:val="0"/>
              <w:rPr>
                <w:rFonts w:hint="eastAsia"/>
              </w:rPr>
            </w:pPr>
            <w:r>
              <w:rPr>
                <w:rFonts w:hint="eastAsia"/>
                <w:lang w:val="en-US" w:eastAsia="zh-CN"/>
              </w:rPr>
              <w:t>复分解车间</w:t>
            </w:r>
          </w:p>
        </w:tc>
        <w:tc>
          <w:tcPr>
            <w:tcW w:w="721" w:type="pct"/>
            <w:shd w:val="clear" w:color="auto" w:fill="auto"/>
            <w:vAlign w:val="center"/>
          </w:tcPr>
          <w:p w14:paraId="4315E26A">
            <w:pPr>
              <w:pStyle w:val="45"/>
              <w:bidi w:val="0"/>
              <w:rPr>
                <w:rFonts w:hint="eastAsia"/>
              </w:rPr>
            </w:pPr>
            <w:r>
              <w:rPr>
                <w:rFonts w:hint="eastAsia"/>
                <w:lang w:val="en-US" w:eastAsia="zh-CN"/>
              </w:rPr>
              <w:t>无组织干燥包装粉尘</w:t>
            </w:r>
          </w:p>
        </w:tc>
        <w:tc>
          <w:tcPr>
            <w:tcW w:w="455" w:type="pct"/>
            <w:shd w:val="clear" w:color="auto" w:fill="auto"/>
            <w:vAlign w:val="center"/>
          </w:tcPr>
          <w:p w14:paraId="0F63F29A">
            <w:pPr>
              <w:pStyle w:val="45"/>
              <w:bidi w:val="0"/>
              <w:rPr>
                <w:rFonts w:hint="eastAsia"/>
              </w:rPr>
            </w:pPr>
            <w:r>
              <w:rPr>
                <w:rFonts w:hint="eastAsia"/>
                <w:lang w:val="en-US" w:eastAsia="zh-CN"/>
              </w:rPr>
              <w:t>颗粒物</w:t>
            </w:r>
          </w:p>
        </w:tc>
        <w:tc>
          <w:tcPr>
            <w:tcW w:w="590" w:type="pct"/>
            <w:shd w:val="clear" w:color="auto" w:fill="auto"/>
            <w:noWrap/>
            <w:vAlign w:val="center"/>
          </w:tcPr>
          <w:p w14:paraId="7031A335">
            <w:pPr>
              <w:pStyle w:val="45"/>
              <w:bidi w:val="0"/>
              <w:rPr>
                <w:rFonts w:hint="default"/>
              </w:rPr>
            </w:pPr>
            <w:r>
              <w:rPr>
                <w:rFonts w:hint="default"/>
                <w:lang w:val="en-US" w:eastAsia="zh-CN"/>
              </w:rPr>
              <w:t>2.56</w:t>
            </w:r>
          </w:p>
        </w:tc>
        <w:tc>
          <w:tcPr>
            <w:tcW w:w="621" w:type="pct"/>
            <w:shd w:val="clear" w:color="auto" w:fill="auto"/>
            <w:vAlign w:val="center"/>
          </w:tcPr>
          <w:p w14:paraId="6964F8C8">
            <w:pPr>
              <w:pStyle w:val="45"/>
              <w:bidi w:val="0"/>
              <w:rPr>
                <w:rFonts w:hint="eastAsia"/>
              </w:rPr>
            </w:pPr>
            <w:r>
              <w:rPr>
                <w:rFonts w:hint="eastAsia"/>
                <w:lang w:val="en-US" w:eastAsia="zh-CN"/>
              </w:rPr>
              <w:t>机械通风</w:t>
            </w:r>
          </w:p>
        </w:tc>
        <w:tc>
          <w:tcPr>
            <w:tcW w:w="527" w:type="pct"/>
            <w:shd w:val="clear" w:color="auto" w:fill="auto"/>
            <w:noWrap/>
            <w:vAlign w:val="center"/>
          </w:tcPr>
          <w:p w14:paraId="2DF0C2B4">
            <w:pPr>
              <w:pStyle w:val="45"/>
              <w:bidi w:val="0"/>
              <w:rPr>
                <w:rFonts w:hint="default"/>
              </w:rPr>
            </w:pPr>
            <w:r>
              <w:rPr>
                <w:rFonts w:hint="default"/>
                <w:lang w:val="en-US" w:eastAsia="zh-CN"/>
              </w:rPr>
              <w:t>/</w:t>
            </w:r>
          </w:p>
        </w:tc>
        <w:tc>
          <w:tcPr>
            <w:tcW w:w="560" w:type="pct"/>
            <w:shd w:val="clear" w:color="auto" w:fill="auto"/>
            <w:noWrap/>
            <w:vAlign w:val="center"/>
          </w:tcPr>
          <w:p w14:paraId="74F95234">
            <w:pPr>
              <w:pStyle w:val="45"/>
              <w:bidi w:val="0"/>
              <w:rPr>
                <w:rFonts w:hint="default"/>
              </w:rPr>
            </w:pPr>
            <w:r>
              <w:rPr>
                <w:rFonts w:hint="default"/>
                <w:lang w:val="en-US" w:eastAsia="zh-CN"/>
              </w:rPr>
              <w:t>2.56</w:t>
            </w:r>
          </w:p>
        </w:tc>
        <w:tc>
          <w:tcPr>
            <w:tcW w:w="607" w:type="pct"/>
            <w:shd w:val="clear" w:color="auto" w:fill="auto"/>
            <w:vAlign w:val="center"/>
          </w:tcPr>
          <w:p w14:paraId="5E238506">
            <w:pPr>
              <w:pStyle w:val="45"/>
              <w:bidi w:val="0"/>
              <w:rPr>
                <w:rFonts w:hint="default"/>
              </w:rPr>
            </w:pPr>
            <w:r>
              <w:rPr>
                <w:rFonts w:hint="default"/>
                <w:lang w:val="en-US" w:eastAsia="zh-CN"/>
              </w:rPr>
              <w:t xml:space="preserve">0.3556 </w:t>
            </w:r>
          </w:p>
        </w:tc>
        <w:tc>
          <w:tcPr>
            <w:tcW w:w="538" w:type="pct"/>
            <w:shd w:val="clear" w:color="auto" w:fill="auto"/>
            <w:noWrap/>
            <w:vAlign w:val="center"/>
          </w:tcPr>
          <w:p w14:paraId="7BD177E7">
            <w:pPr>
              <w:pStyle w:val="45"/>
              <w:bidi w:val="0"/>
              <w:rPr>
                <w:rFonts w:hint="default"/>
              </w:rPr>
            </w:pPr>
            <w:r>
              <w:rPr>
                <w:rFonts w:hint="default"/>
                <w:lang w:val="en-US" w:eastAsia="zh-CN"/>
              </w:rPr>
              <w:t>2760</w:t>
            </w:r>
          </w:p>
        </w:tc>
      </w:tr>
      <w:tr w14:paraId="5D270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377" w:type="pct"/>
            <w:shd w:val="clear" w:color="auto" w:fill="auto"/>
            <w:noWrap/>
            <w:vAlign w:val="center"/>
          </w:tcPr>
          <w:p w14:paraId="52160B5E">
            <w:pPr>
              <w:pStyle w:val="45"/>
              <w:bidi w:val="0"/>
              <w:rPr>
                <w:rFonts w:hint="eastAsia"/>
              </w:rPr>
            </w:pPr>
            <w:r>
              <w:rPr>
                <w:rFonts w:hint="eastAsia"/>
                <w:lang w:val="en-US" w:eastAsia="zh-CN"/>
              </w:rPr>
              <w:t>锂盐生产区</w:t>
            </w:r>
          </w:p>
        </w:tc>
        <w:tc>
          <w:tcPr>
            <w:tcW w:w="721" w:type="pct"/>
            <w:shd w:val="clear" w:color="auto" w:fill="auto"/>
            <w:vAlign w:val="center"/>
          </w:tcPr>
          <w:p w14:paraId="5215B181">
            <w:pPr>
              <w:pStyle w:val="45"/>
              <w:bidi w:val="0"/>
              <w:rPr>
                <w:rFonts w:hint="eastAsia"/>
              </w:rPr>
            </w:pPr>
            <w:r>
              <w:rPr>
                <w:rFonts w:hint="eastAsia"/>
                <w:lang w:val="en-US" w:eastAsia="zh-CN"/>
              </w:rPr>
              <w:t>无组织干燥包装粉尘</w:t>
            </w:r>
          </w:p>
        </w:tc>
        <w:tc>
          <w:tcPr>
            <w:tcW w:w="455" w:type="pct"/>
            <w:shd w:val="clear" w:color="auto" w:fill="auto"/>
            <w:vAlign w:val="center"/>
          </w:tcPr>
          <w:p w14:paraId="4D236148">
            <w:pPr>
              <w:pStyle w:val="45"/>
              <w:bidi w:val="0"/>
              <w:rPr>
                <w:rFonts w:hint="eastAsia"/>
              </w:rPr>
            </w:pPr>
            <w:r>
              <w:rPr>
                <w:rFonts w:hint="eastAsia"/>
                <w:lang w:val="en-US" w:eastAsia="zh-CN"/>
              </w:rPr>
              <w:t>颗粒物</w:t>
            </w:r>
          </w:p>
        </w:tc>
        <w:tc>
          <w:tcPr>
            <w:tcW w:w="590" w:type="pct"/>
            <w:shd w:val="clear" w:color="auto" w:fill="auto"/>
            <w:noWrap/>
            <w:vAlign w:val="center"/>
          </w:tcPr>
          <w:p w14:paraId="3A9C3D94">
            <w:pPr>
              <w:pStyle w:val="45"/>
              <w:bidi w:val="0"/>
              <w:rPr>
                <w:rFonts w:hint="default"/>
                <w:lang w:val="en-US"/>
              </w:rPr>
            </w:pPr>
            <w:r>
              <w:rPr>
                <w:rFonts w:hint="eastAsia"/>
                <w:lang w:val="en-US" w:eastAsia="zh-CN"/>
              </w:rPr>
              <w:t>0.96</w:t>
            </w:r>
          </w:p>
        </w:tc>
        <w:tc>
          <w:tcPr>
            <w:tcW w:w="621" w:type="pct"/>
            <w:shd w:val="clear" w:color="auto" w:fill="auto"/>
            <w:vAlign w:val="center"/>
          </w:tcPr>
          <w:p w14:paraId="5CAAC96B">
            <w:pPr>
              <w:pStyle w:val="45"/>
              <w:bidi w:val="0"/>
              <w:rPr>
                <w:rFonts w:hint="eastAsia"/>
              </w:rPr>
            </w:pPr>
            <w:r>
              <w:rPr>
                <w:rFonts w:hint="eastAsia"/>
                <w:lang w:val="en-US" w:eastAsia="zh-CN"/>
              </w:rPr>
              <w:t>机械通风</w:t>
            </w:r>
          </w:p>
        </w:tc>
        <w:tc>
          <w:tcPr>
            <w:tcW w:w="527" w:type="pct"/>
            <w:shd w:val="clear" w:color="auto" w:fill="auto"/>
            <w:vAlign w:val="center"/>
          </w:tcPr>
          <w:p w14:paraId="703E4A4D">
            <w:pPr>
              <w:pStyle w:val="45"/>
              <w:bidi w:val="0"/>
              <w:rPr>
                <w:rFonts w:hint="default"/>
              </w:rPr>
            </w:pPr>
            <w:r>
              <w:rPr>
                <w:rFonts w:hint="default"/>
                <w:lang w:val="en-US" w:eastAsia="zh-CN"/>
              </w:rPr>
              <w:t>/</w:t>
            </w:r>
          </w:p>
        </w:tc>
        <w:tc>
          <w:tcPr>
            <w:tcW w:w="560" w:type="pct"/>
            <w:shd w:val="clear" w:color="auto" w:fill="auto"/>
            <w:noWrap/>
            <w:vAlign w:val="center"/>
          </w:tcPr>
          <w:p w14:paraId="080E9950">
            <w:pPr>
              <w:pStyle w:val="45"/>
              <w:bidi w:val="0"/>
              <w:rPr>
                <w:rFonts w:hint="default"/>
                <w:lang w:val="en-US"/>
              </w:rPr>
            </w:pPr>
            <w:r>
              <w:rPr>
                <w:rFonts w:hint="eastAsia"/>
                <w:lang w:val="en-US" w:eastAsia="zh-CN"/>
              </w:rPr>
              <w:t>0.96</w:t>
            </w:r>
          </w:p>
        </w:tc>
        <w:tc>
          <w:tcPr>
            <w:tcW w:w="607" w:type="pct"/>
            <w:shd w:val="clear" w:color="auto" w:fill="auto"/>
            <w:vAlign w:val="center"/>
          </w:tcPr>
          <w:p w14:paraId="5F48D296">
            <w:pPr>
              <w:pStyle w:val="45"/>
              <w:bidi w:val="0"/>
              <w:rPr>
                <w:rFonts w:hint="default"/>
                <w:lang w:val="en-US"/>
              </w:rPr>
            </w:pPr>
            <w:r>
              <w:rPr>
                <w:rFonts w:hint="eastAsia"/>
                <w:lang w:val="en-US" w:eastAsia="zh-CN"/>
              </w:rPr>
              <w:t>0.1333</w:t>
            </w:r>
          </w:p>
        </w:tc>
        <w:tc>
          <w:tcPr>
            <w:tcW w:w="538" w:type="pct"/>
            <w:shd w:val="clear" w:color="auto" w:fill="auto"/>
            <w:noWrap/>
            <w:vAlign w:val="center"/>
          </w:tcPr>
          <w:p w14:paraId="141FC5C1">
            <w:pPr>
              <w:pStyle w:val="45"/>
              <w:bidi w:val="0"/>
              <w:rPr>
                <w:rFonts w:hint="default"/>
              </w:rPr>
            </w:pPr>
            <w:r>
              <w:rPr>
                <w:rFonts w:hint="default"/>
                <w:lang w:val="en-US" w:eastAsia="zh-CN"/>
              </w:rPr>
              <w:t>600</w:t>
            </w:r>
          </w:p>
        </w:tc>
      </w:tr>
      <w:tr w14:paraId="691E5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377" w:type="pct"/>
            <w:shd w:val="clear" w:color="auto" w:fill="auto"/>
            <w:noWrap/>
            <w:vAlign w:val="center"/>
          </w:tcPr>
          <w:p w14:paraId="2873DA0C">
            <w:pPr>
              <w:pStyle w:val="45"/>
              <w:bidi w:val="0"/>
              <w:rPr>
                <w:rFonts w:hint="eastAsia"/>
              </w:rPr>
            </w:pPr>
            <w:r>
              <w:rPr>
                <w:rFonts w:hint="eastAsia"/>
                <w:lang w:val="en-US" w:eastAsia="zh-CN"/>
              </w:rPr>
              <w:t>化盐车间</w:t>
            </w:r>
          </w:p>
        </w:tc>
        <w:tc>
          <w:tcPr>
            <w:tcW w:w="721" w:type="pct"/>
            <w:shd w:val="clear" w:color="auto" w:fill="auto"/>
            <w:vAlign w:val="center"/>
          </w:tcPr>
          <w:p w14:paraId="34005748">
            <w:pPr>
              <w:pStyle w:val="45"/>
              <w:bidi w:val="0"/>
              <w:rPr>
                <w:rFonts w:hint="eastAsia"/>
              </w:rPr>
            </w:pPr>
            <w:r>
              <w:rPr>
                <w:rFonts w:hint="eastAsia"/>
                <w:lang w:val="en-US" w:eastAsia="zh-CN"/>
              </w:rPr>
              <w:t>投料无组织废气</w:t>
            </w:r>
          </w:p>
        </w:tc>
        <w:tc>
          <w:tcPr>
            <w:tcW w:w="455" w:type="pct"/>
            <w:shd w:val="clear" w:color="auto" w:fill="auto"/>
            <w:noWrap/>
            <w:vAlign w:val="center"/>
          </w:tcPr>
          <w:p w14:paraId="756C4469">
            <w:pPr>
              <w:pStyle w:val="45"/>
              <w:bidi w:val="0"/>
              <w:rPr>
                <w:rFonts w:hint="eastAsia"/>
              </w:rPr>
            </w:pPr>
            <w:r>
              <w:rPr>
                <w:rFonts w:hint="eastAsia"/>
                <w:lang w:val="en-US" w:eastAsia="zh-CN"/>
              </w:rPr>
              <w:t>颗粒物</w:t>
            </w:r>
          </w:p>
        </w:tc>
        <w:tc>
          <w:tcPr>
            <w:tcW w:w="590" w:type="pct"/>
            <w:shd w:val="clear" w:color="auto" w:fill="auto"/>
            <w:noWrap/>
            <w:vAlign w:val="center"/>
          </w:tcPr>
          <w:p w14:paraId="39B18763">
            <w:pPr>
              <w:pStyle w:val="45"/>
              <w:bidi w:val="0"/>
              <w:rPr>
                <w:rFonts w:hint="default"/>
              </w:rPr>
            </w:pPr>
            <w:r>
              <w:rPr>
                <w:rFonts w:hint="default"/>
                <w:lang w:val="en-US" w:eastAsia="zh-CN"/>
              </w:rPr>
              <w:t>0.492</w:t>
            </w:r>
          </w:p>
        </w:tc>
        <w:tc>
          <w:tcPr>
            <w:tcW w:w="621" w:type="pct"/>
            <w:shd w:val="clear" w:color="auto" w:fill="auto"/>
            <w:vAlign w:val="center"/>
          </w:tcPr>
          <w:p w14:paraId="5B35CA8B">
            <w:pPr>
              <w:pStyle w:val="45"/>
              <w:bidi w:val="0"/>
              <w:rPr>
                <w:rFonts w:hint="eastAsia"/>
              </w:rPr>
            </w:pPr>
            <w:r>
              <w:rPr>
                <w:rFonts w:hint="eastAsia"/>
                <w:lang w:val="en-US" w:eastAsia="zh-CN"/>
              </w:rPr>
              <w:t>机械通风</w:t>
            </w:r>
          </w:p>
        </w:tc>
        <w:tc>
          <w:tcPr>
            <w:tcW w:w="527" w:type="pct"/>
            <w:shd w:val="clear" w:color="auto" w:fill="auto"/>
            <w:vAlign w:val="center"/>
          </w:tcPr>
          <w:p w14:paraId="4E533B77">
            <w:pPr>
              <w:pStyle w:val="45"/>
              <w:bidi w:val="0"/>
              <w:rPr>
                <w:rFonts w:hint="default"/>
              </w:rPr>
            </w:pPr>
            <w:r>
              <w:rPr>
                <w:rFonts w:hint="default"/>
                <w:lang w:val="en-US" w:eastAsia="zh-CN"/>
              </w:rPr>
              <w:t>/</w:t>
            </w:r>
          </w:p>
        </w:tc>
        <w:tc>
          <w:tcPr>
            <w:tcW w:w="560" w:type="pct"/>
            <w:shd w:val="clear" w:color="auto" w:fill="auto"/>
            <w:noWrap/>
            <w:vAlign w:val="center"/>
          </w:tcPr>
          <w:p w14:paraId="4A46FAF0">
            <w:pPr>
              <w:pStyle w:val="45"/>
              <w:bidi w:val="0"/>
              <w:rPr>
                <w:rFonts w:hint="default"/>
              </w:rPr>
            </w:pPr>
            <w:r>
              <w:rPr>
                <w:rFonts w:hint="default"/>
                <w:lang w:val="en-US" w:eastAsia="zh-CN"/>
              </w:rPr>
              <w:t>0.492</w:t>
            </w:r>
          </w:p>
        </w:tc>
        <w:tc>
          <w:tcPr>
            <w:tcW w:w="607" w:type="pct"/>
            <w:shd w:val="clear" w:color="auto" w:fill="auto"/>
            <w:vAlign w:val="center"/>
          </w:tcPr>
          <w:p w14:paraId="7DF56466">
            <w:pPr>
              <w:pStyle w:val="45"/>
              <w:bidi w:val="0"/>
              <w:rPr>
                <w:rFonts w:hint="default"/>
              </w:rPr>
            </w:pPr>
            <w:r>
              <w:rPr>
                <w:rFonts w:hint="default"/>
                <w:lang w:val="en-US" w:eastAsia="zh-CN"/>
              </w:rPr>
              <w:t xml:space="preserve">0.0683 </w:t>
            </w:r>
          </w:p>
        </w:tc>
        <w:tc>
          <w:tcPr>
            <w:tcW w:w="538" w:type="pct"/>
            <w:shd w:val="clear" w:color="auto" w:fill="auto"/>
            <w:noWrap/>
            <w:vAlign w:val="center"/>
          </w:tcPr>
          <w:p w14:paraId="5A7D7407">
            <w:pPr>
              <w:pStyle w:val="45"/>
              <w:bidi w:val="0"/>
              <w:rPr>
                <w:rFonts w:hint="default"/>
              </w:rPr>
            </w:pPr>
            <w:r>
              <w:rPr>
                <w:rFonts w:hint="default"/>
                <w:lang w:val="en-US" w:eastAsia="zh-CN"/>
              </w:rPr>
              <w:t>450</w:t>
            </w:r>
          </w:p>
        </w:tc>
      </w:tr>
    </w:tbl>
    <w:p w14:paraId="0D6ECA6D">
      <w:pPr>
        <w:ind w:firstLine="480"/>
      </w:pPr>
    </w:p>
    <w:p w14:paraId="277A6587">
      <w:pPr>
        <w:pStyle w:val="4"/>
        <w:numPr>
          <w:ilvl w:val="2"/>
          <w:numId w:val="1"/>
        </w:numPr>
      </w:pPr>
      <w:r>
        <w:rPr>
          <w:rFonts w:hint="eastAsia"/>
        </w:rPr>
        <w:t>废水污染源强及拟采取污染治理措施分析</w:t>
      </w:r>
    </w:p>
    <w:p w14:paraId="5438C27F">
      <w:pPr>
        <w:pStyle w:val="5"/>
        <w:numPr>
          <w:ilvl w:val="3"/>
          <w:numId w:val="1"/>
        </w:numPr>
      </w:pPr>
      <w:r>
        <w:rPr>
          <w:rFonts w:hint="eastAsia"/>
        </w:rPr>
        <w:t>废水污染源强</w:t>
      </w:r>
    </w:p>
    <w:p w14:paraId="44E3A4C1">
      <w:pPr>
        <w:ind w:firstLine="480"/>
      </w:pPr>
      <w:r>
        <w:t>本项目建运营期产生的废水主要为生产废水</w:t>
      </w:r>
      <w:r>
        <w:rPr>
          <w:rFonts w:hint="eastAsia"/>
        </w:rPr>
        <w:t>、其他废水</w:t>
      </w:r>
      <w:r>
        <w:t>和生活污水。</w:t>
      </w:r>
      <w:r>
        <w:rPr>
          <w:rFonts w:hint="eastAsia"/>
        </w:rPr>
        <w:t>本项目生产废水主要包括</w:t>
      </w:r>
      <w:r>
        <w:rPr>
          <w:rFonts w:hint="eastAsia"/>
          <w:lang w:eastAsia="zh-CN"/>
        </w:rPr>
        <w:t>碱喷淋废水</w:t>
      </w:r>
      <w:r>
        <w:rPr>
          <w:rFonts w:hint="eastAsia"/>
        </w:rPr>
        <w:t>、真空冷凝水、</w:t>
      </w:r>
      <w:r>
        <w:rPr>
          <w:rFonts w:hint="eastAsia"/>
          <w:lang w:eastAsia="zh-CN"/>
        </w:rPr>
        <w:t>电解槽清洗废水</w:t>
      </w:r>
      <w:r>
        <w:rPr>
          <w:rFonts w:hint="eastAsia"/>
        </w:rPr>
        <w:t>、</w:t>
      </w:r>
      <w:r>
        <w:rPr>
          <w:rFonts w:hint="eastAsia"/>
          <w:lang w:eastAsia="zh-CN"/>
        </w:rPr>
        <w:t>膜酸洗废水</w:t>
      </w:r>
      <w:r>
        <w:rPr>
          <w:rFonts w:hint="eastAsia"/>
        </w:rPr>
        <w:t>等。</w:t>
      </w:r>
    </w:p>
    <w:p w14:paraId="384A70E5">
      <w:pPr>
        <w:pStyle w:val="6"/>
        <w:numPr>
          <w:ilvl w:val="4"/>
          <w:numId w:val="0"/>
        </w:numPr>
        <w:ind w:left="480" w:leftChars="200"/>
      </w:pPr>
      <w:r>
        <w:rPr>
          <w:rFonts w:hint="eastAsia"/>
        </w:rPr>
        <w:t>（1）生产</w:t>
      </w:r>
      <w:r>
        <w:rPr>
          <w:rFonts w:hint="eastAsia"/>
          <w:lang w:val="en-US" w:eastAsia="zh-CN"/>
        </w:rPr>
        <w:t>装置</w:t>
      </w:r>
      <w:r>
        <w:rPr>
          <w:rFonts w:hint="eastAsia"/>
        </w:rPr>
        <w:t>废水</w:t>
      </w:r>
    </w:p>
    <w:p w14:paraId="5F4E1E72">
      <w:pPr>
        <w:ind w:firstLine="480"/>
      </w:pPr>
      <w:r>
        <w:rPr>
          <w:rFonts w:hint="eastAsia"/>
        </w:rPr>
        <w:t>本项目生产废水主要包括</w:t>
      </w:r>
      <w:r>
        <w:rPr>
          <w:rFonts w:hint="eastAsia"/>
          <w:lang w:eastAsia="zh-CN"/>
        </w:rPr>
        <w:t>碱喷淋废水</w:t>
      </w:r>
      <w:r>
        <w:rPr>
          <w:rFonts w:hint="eastAsia"/>
        </w:rPr>
        <w:t>、真空冷凝水、</w:t>
      </w:r>
      <w:r>
        <w:rPr>
          <w:rFonts w:hint="eastAsia"/>
          <w:lang w:eastAsia="zh-CN"/>
        </w:rPr>
        <w:t>电解槽清洗废水</w:t>
      </w:r>
      <w:r>
        <w:rPr>
          <w:rFonts w:hint="eastAsia"/>
        </w:rPr>
        <w:t>、</w:t>
      </w:r>
      <w:r>
        <w:rPr>
          <w:rFonts w:hint="eastAsia"/>
          <w:lang w:eastAsia="zh-CN"/>
        </w:rPr>
        <w:t>膜酸洗废水</w:t>
      </w:r>
      <w:r>
        <w:rPr>
          <w:rFonts w:hint="eastAsia"/>
        </w:rPr>
        <w:t>等。</w:t>
      </w:r>
    </w:p>
    <w:p w14:paraId="3E3ECF97">
      <w:pPr>
        <w:ind w:firstLine="482"/>
      </w:pPr>
      <w:r>
        <w:rPr>
          <w:rFonts w:hint="eastAsia"/>
          <w:b/>
          <w:bCs/>
          <w:lang w:eastAsia="zh-CN"/>
        </w:rPr>
        <w:t>碱喷淋废水</w:t>
      </w:r>
      <w:r>
        <w:rPr>
          <w:rFonts w:hint="eastAsia"/>
          <w:b/>
          <w:bCs/>
        </w:rPr>
        <w:t>：</w:t>
      </w:r>
      <w:r>
        <w:rPr>
          <w:rFonts w:hint="eastAsia"/>
        </w:rPr>
        <w:t>本项目碱喷淋系统需定期更换一定数量的吸收液，吸收液</w:t>
      </w:r>
      <w:r>
        <w:t>主要成分为NaCl、NaClO、NaOH</w:t>
      </w:r>
      <w:r>
        <w:rPr>
          <w:rFonts w:hint="eastAsia"/>
        </w:rPr>
        <w:t>。排出的</w:t>
      </w:r>
      <w:r>
        <w:rPr>
          <w:rFonts w:hint="eastAsia"/>
          <w:b/>
          <w:bCs/>
          <w:lang w:eastAsia="zh-CN"/>
        </w:rPr>
        <w:t>碱喷淋废水</w:t>
      </w:r>
      <w:r>
        <w:rPr>
          <w:rFonts w:hint="eastAsia"/>
        </w:rPr>
        <w:t>进入残碱回收槽，返回电解工序使用，不外排。</w:t>
      </w:r>
    </w:p>
    <w:p w14:paraId="4BC76FA1">
      <w:pPr>
        <w:ind w:firstLine="482"/>
      </w:pPr>
      <w:r>
        <w:rPr>
          <w:rFonts w:hint="eastAsia"/>
          <w:b/>
          <w:bCs/>
        </w:rPr>
        <w:t>真空</w:t>
      </w:r>
      <w:r>
        <w:rPr>
          <w:b/>
          <w:bCs/>
        </w:rPr>
        <w:t>冷凝水</w:t>
      </w:r>
      <w:r>
        <w:rPr>
          <w:rFonts w:hint="eastAsia"/>
          <w:b/>
          <w:bCs/>
        </w:rPr>
        <w:t>：</w:t>
      </w:r>
      <w:r>
        <w:rPr>
          <w:rFonts w:hint="eastAsia"/>
        </w:rPr>
        <w:t>本项目在真空结晶工段会产生真空冷凝水。依据项目工艺方案及设计资料，本项目真空冷凝水产生量为</w:t>
      </w:r>
      <w:r>
        <w:rPr>
          <w:rFonts w:hint="eastAsia"/>
          <w:lang w:val="en-US" w:eastAsia="zh-CN"/>
        </w:rPr>
        <w:t>65497.4</w:t>
      </w:r>
      <w:r>
        <w:rPr>
          <w:rFonts w:hint="eastAsia"/>
        </w:rPr>
        <w:t>t/a，全部回用于</w:t>
      </w:r>
      <w:r>
        <w:rPr>
          <w:rFonts w:hint="eastAsia"/>
          <w:lang w:val="en-US" w:eastAsia="zh-CN"/>
        </w:rPr>
        <w:t>化盐</w:t>
      </w:r>
      <w:r>
        <w:rPr>
          <w:rFonts w:hint="eastAsia"/>
        </w:rPr>
        <w:t>，不外排</w:t>
      </w:r>
      <w:r>
        <w:t>。</w:t>
      </w:r>
    </w:p>
    <w:p w14:paraId="7AEBCDB7">
      <w:pPr>
        <w:ind w:firstLine="482"/>
      </w:pPr>
      <w:r>
        <w:rPr>
          <w:rFonts w:hint="eastAsia"/>
          <w:b/>
          <w:bCs/>
          <w:lang w:eastAsia="zh-CN"/>
        </w:rPr>
        <w:t>电解槽清洗废水</w:t>
      </w:r>
      <w:r>
        <w:rPr>
          <w:rFonts w:hint="eastAsia"/>
          <w:b/>
          <w:bCs/>
        </w:rPr>
        <w:t>：</w:t>
      </w:r>
      <w:r>
        <w:rPr>
          <w:rFonts w:hint="eastAsia"/>
        </w:rPr>
        <w:t>依据项目工艺方案及设计资料，项目二次电解槽无需清洗，直接打捞沉渣，一次</w:t>
      </w:r>
      <w:r>
        <w:rPr>
          <w:rFonts w:hint="eastAsia"/>
          <w:lang w:eastAsia="zh-CN"/>
        </w:rPr>
        <w:t>电解槽清洗废水</w:t>
      </w:r>
      <w:r>
        <w:rPr>
          <w:rFonts w:hint="eastAsia"/>
        </w:rPr>
        <w:t>约为14.5m</w:t>
      </w:r>
      <w:r>
        <w:rPr>
          <w:rFonts w:hint="eastAsia"/>
          <w:vertAlign w:val="superscript"/>
        </w:rPr>
        <w:t>3</w:t>
      </w:r>
      <w:r>
        <w:rPr>
          <w:rFonts w:hint="eastAsia"/>
        </w:rPr>
        <w:t>/a，</w:t>
      </w:r>
      <w:r>
        <w:rPr>
          <w:rFonts w:hint="eastAsia"/>
          <w:lang w:eastAsia="zh-CN"/>
        </w:rPr>
        <w:t>电解槽清洗废水</w:t>
      </w:r>
      <w:r>
        <w:rPr>
          <w:rFonts w:hint="eastAsia"/>
        </w:rPr>
        <w:t>回用于电解工序，不外排。</w:t>
      </w:r>
    </w:p>
    <w:p w14:paraId="1542554C">
      <w:pPr>
        <w:ind w:firstLine="482"/>
        <w:rPr>
          <w:rFonts w:hint="eastAsia"/>
        </w:rPr>
      </w:pPr>
      <w:r>
        <w:rPr>
          <w:rFonts w:hint="eastAsia"/>
          <w:b/>
          <w:bCs/>
          <w:lang w:eastAsia="zh-CN"/>
        </w:rPr>
        <w:t>膜酸洗废水</w:t>
      </w:r>
      <w:r>
        <w:rPr>
          <w:rFonts w:hint="eastAsia"/>
          <w:b/>
          <w:bCs/>
        </w:rPr>
        <w:t>：</w:t>
      </w:r>
      <w:r>
        <w:rPr>
          <w:rFonts w:hint="eastAsia"/>
        </w:rPr>
        <w:t>依据项目工艺方案及设计资料，本项目氯化钠、氯化钾精制过滤用陶瓷膜需定期酸洗，</w:t>
      </w:r>
      <w:r>
        <w:rPr>
          <w:rFonts w:hint="eastAsia"/>
          <w:lang w:val="en-US" w:eastAsia="zh-CN"/>
        </w:rPr>
        <w:t>酸洗废水</w:t>
      </w:r>
      <w:r>
        <w:rPr>
          <w:rFonts w:hint="eastAsia"/>
        </w:rPr>
        <w:t>产生量约为</w:t>
      </w:r>
      <w:r>
        <w:rPr>
          <w:rFonts w:hint="eastAsia"/>
          <w:lang w:val="en-US" w:eastAsia="zh-CN"/>
        </w:rPr>
        <w:t>840</w:t>
      </w:r>
      <w:r>
        <w:rPr>
          <w:rFonts w:hint="eastAsia"/>
        </w:rPr>
        <w:t>t/a，中和后回用于化盐工序，不外排。</w:t>
      </w:r>
    </w:p>
    <w:p w14:paraId="40B4D2B4">
      <w:pPr>
        <w:ind w:firstLine="480"/>
        <w:rPr>
          <w:rFonts w:hint="default"/>
          <w:b w:val="0"/>
          <w:bCs w:val="0"/>
          <w:lang w:val="en-US" w:eastAsia="zh-CN"/>
        </w:rPr>
      </w:pPr>
      <w:r>
        <w:rPr>
          <w:rFonts w:hint="eastAsia"/>
          <w:b/>
          <w:bCs/>
          <w:lang w:val="en-US" w:eastAsia="zh-CN"/>
        </w:rPr>
        <w:t>离子交换树脂清洗废水：</w:t>
      </w:r>
      <w:r>
        <w:rPr>
          <w:rFonts w:hint="eastAsia"/>
          <w:b w:val="0"/>
          <w:bCs w:val="0"/>
          <w:lang w:val="en-US" w:eastAsia="zh-CN"/>
        </w:rPr>
        <w:t>非生产期间初期雨水处理高氯酸盐需使用离子交换树脂。离子交换树脂在生产期进行清洗，离子交换树脂清洗废水主要含高氯酸盐，直接回用于化盐工序，不外排。</w:t>
      </w:r>
    </w:p>
    <w:p w14:paraId="7BA0CF7C">
      <w:pPr>
        <w:pStyle w:val="6"/>
        <w:numPr>
          <w:ilvl w:val="4"/>
          <w:numId w:val="0"/>
        </w:numPr>
        <w:ind w:left="480" w:leftChars="200"/>
      </w:pPr>
      <w:r>
        <w:rPr>
          <w:rFonts w:hint="eastAsia"/>
        </w:rPr>
        <w:t>（2）纯水制备排水</w:t>
      </w:r>
    </w:p>
    <w:p w14:paraId="5BF4B92A">
      <w:pPr>
        <w:ind w:firstLine="480"/>
      </w:pPr>
      <w:r>
        <w:rPr>
          <w:rFonts w:hint="eastAsia"/>
        </w:rPr>
        <w:t>项目纯水站采用</w:t>
      </w:r>
      <w:r>
        <w:rPr>
          <w:rFonts w:hint="eastAsia"/>
          <w:lang w:val="en-US" w:eastAsia="zh-CN"/>
        </w:rPr>
        <w:t>反渗透膜（RO法）制备纯水</w:t>
      </w:r>
      <w:r>
        <w:rPr>
          <w:rFonts w:hint="eastAsia"/>
        </w:rPr>
        <w:t>，纯水制备效率为80%，本项目需要纯水量约为</w:t>
      </w:r>
      <w:r>
        <w:rPr>
          <w:rFonts w:hint="eastAsia"/>
          <w:lang w:val="en-US" w:eastAsia="zh-CN"/>
        </w:rPr>
        <w:t>14986.15</w:t>
      </w:r>
      <w:r>
        <w:rPr>
          <w:rFonts w:hint="eastAsia"/>
        </w:rPr>
        <w:t>m</w:t>
      </w:r>
      <w:r>
        <w:rPr>
          <w:rFonts w:hint="eastAsia"/>
          <w:vertAlign w:val="superscript"/>
        </w:rPr>
        <w:t>3</w:t>
      </w:r>
      <w:r>
        <w:rPr>
          <w:rFonts w:hint="eastAsia"/>
        </w:rPr>
        <w:t>/a，则纯水制备所需新鲜水量约</w:t>
      </w:r>
      <w:r>
        <w:rPr>
          <w:rFonts w:hint="eastAsia"/>
          <w:lang w:val="en-US" w:eastAsia="zh-CN"/>
        </w:rPr>
        <w:t>18732.69</w:t>
      </w:r>
      <w:r>
        <w:rPr>
          <w:rFonts w:hint="eastAsia"/>
        </w:rPr>
        <w:t>m</w:t>
      </w:r>
      <w:r>
        <w:rPr>
          <w:rFonts w:hint="eastAsia"/>
          <w:vertAlign w:val="superscript"/>
        </w:rPr>
        <w:t>3</w:t>
      </w:r>
      <w:r>
        <w:rPr>
          <w:rFonts w:hint="eastAsia"/>
        </w:rPr>
        <w:t>/a，纯水制备排水产生量约</w:t>
      </w:r>
      <w:r>
        <w:rPr>
          <w:rFonts w:hint="eastAsia"/>
          <w:lang w:val="en-US" w:eastAsia="zh-CN"/>
        </w:rPr>
        <w:t>3746.54</w:t>
      </w:r>
      <w:r>
        <w:rPr>
          <w:rFonts w:hint="eastAsia"/>
        </w:rPr>
        <w:t>m</w:t>
      </w:r>
      <w:r>
        <w:rPr>
          <w:rFonts w:hint="eastAsia"/>
          <w:vertAlign w:val="superscript"/>
        </w:rPr>
        <w:t>3</w:t>
      </w:r>
      <w:r>
        <w:rPr>
          <w:rFonts w:hint="eastAsia"/>
        </w:rPr>
        <w:t>/a。纯水制备排水</w:t>
      </w:r>
      <w:r>
        <w:t>中主要污染因子为</w:t>
      </w:r>
      <w:r>
        <w:rPr>
          <w:rFonts w:hint="eastAsia"/>
        </w:rPr>
        <w:t>钙镁离子</w:t>
      </w:r>
      <w:r>
        <w:t>，</w:t>
      </w:r>
      <w:r>
        <w:rPr>
          <w:rFonts w:hint="eastAsia"/>
        </w:rPr>
        <w:t>纯水制备排水送至厂区废水站处理后回用于化盐工序，不外排。</w:t>
      </w:r>
    </w:p>
    <w:p w14:paraId="35562F31">
      <w:pPr>
        <w:pStyle w:val="6"/>
        <w:numPr>
          <w:ilvl w:val="4"/>
          <w:numId w:val="0"/>
        </w:numPr>
        <w:ind w:left="480" w:leftChars="200"/>
      </w:pPr>
      <w:r>
        <w:rPr>
          <w:rFonts w:hint="eastAsia"/>
        </w:rPr>
        <w:t>（3）循环冷却水排水</w:t>
      </w:r>
    </w:p>
    <w:p w14:paraId="294F8A66">
      <w:pPr>
        <w:ind w:firstLine="480"/>
      </w:pPr>
      <w:r>
        <w:rPr>
          <w:rFonts w:hint="eastAsia"/>
        </w:rPr>
        <w:t>循环冷却水系统在运行过程中水中会盐含量会累积，因此循环冷却水定期外排。依据项目工艺方案及设计资料，循环冷却系统补水量约为112000m</w:t>
      </w:r>
      <w:r>
        <w:rPr>
          <w:rFonts w:hint="eastAsia"/>
          <w:vertAlign w:val="superscript"/>
        </w:rPr>
        <w:t>3</w:t>
      </w:r>
      <w:r>
        <w:rPr>
          <w:rFonts w:hint="eastAsia"/>
        </w:rPr>
        <w:t>/a（15.56m</w:t>
      </w:r>
      <w:r>
        <w:rPr>
          <w:rFonts w:hint="eastAsia"/>
          <w:vertAlign w:val="superscript"/>
        </w:rPr>
        <w:t>3</w:t>
      </w:r>
      <w:r>
        <w:rPr>
          <w:rFonts w:hint="eastAsia"/>
        </w:rPr>
        <w:t>/h），循环冷却排水约为16000m</w:t>
      </w:r>
      <w:r>
        <w:rPr>
          <w:rFonts w:hint="eastAsia"/>
          <w:vertAlign w:val="superscript"/>
        </w:rPr>
        <w:t>3</w:t>
      </w:r>
      <w:r>
        <w:rPr>
          <w:rFonts w:hint="eastAsia"/>
        </w:rPr>
        <w:t>/a（2.22m</w:t>
      </w:r>
      <w:r>
        <w:rPr>
          <w:rFonts w:hint="eastAsia"/>
          <w:vertAlign w:val="superscript"/>
        </w:rPr>
        <w:t>3</w:t>
      </w:r>
      <w:r>
        <w:rPr>
          <w:rFonts w:hint="eastAsia"/>
        </w:rPr>
        <w:t>/h）。循环冷却水排水中主要污染因子为钙镁离子，循环冷却排水送至厂区废水站处理后回用于化盐工序，不外排。</w:t>
      </w:r>
    </w:p>
    <w:p w14:paraId="34DDE4DA">
      <w:pPr>
        <w:pStyle w:val="6"/>
        <w:numPr>
          <w:ilvl w:val="4"/>
          <w:numId w:val="0"/>
        </w:numPr>
        <w:ind w:left="480" w:leftChars="200"/>
        <w:rPr>
          <w:rFonts w:hint="default" w:eastAsia="宋体"/>
          <w:lang w:val="en-US" w:eastAsia="zh-CN"/>
        </w:rPr>
      </w:pPr>
      <w:r>
        <w:rPr>
          <w:rFonts w:hint="eastAsia"/>
        </w:rPr>
        <w:t>（4）地面清洗废水</w:t>
      </w:r>
      <w:r>
        <w:rPr>
          <w:rFonts w:hint="eastAsia"/>
          <w:lang w:eastAsia="zh-CN"/>
        </w:rPr>
        <w:t>、</w:t>
      </w:r>
      <w:r>
        <w:rPr>
          <w:rFonts w:hint="eastAsia"/>
          <w:lang w:val="en-US" w:eastAsia="zh-CN"/>
        </w:rPr>
        <w:t>洗车废水</w:t>
      </w:r>
    </w:p>
    <w:p w14:paraId="18C36A87">
      <w:pPr>
        <w:ind w:firstLine="480"/>
        <w:rPr>
          <w:rFonts w:hint="eastAsia"/>
          <w:highlight w:val="none"/>
          <w:lang w:eastAsia="zh-CN"/>
        </w:rPr>
      </w:pPr>
      <w:r>
        <w:rPr>
          <w:rFonts w:hint="eastAsia"/>
          <w:highlight w:val="none"/>
        </w:rPr>
        <w:t>厂区内地面清洗用水按2L/m</w:t>
      </w:r>
      <w:r>
        <w:rPr>
          <w:rFonts w:hint="eastAsia"/>
          <w:highlight w:val="none"/>
          <w:vertAlign w:val="superscript"/>
        </w:rPr>
        <w:t>2</w:t>
      </w:r>
      <w:r>
        <w:rPr>
          <w:rFonts w:hint="eastAsia"/>
          <w:highlight w:val="none"/>
        </w:rPr>
        <w:t>·d，车间地面清洗面积约为</w:t>
      </w:r>
      <w:r>
        <w:rPr>
          <w:rFonts w:hint="eastAsia"/>
          <w:highlight w:val="none"/>
          <w:lang w:val="en-US" w:eastAsia="zh-CN"/>
        </w:rPr>
        <w:t>1500</w:t>
      </w:r>
      <w:r>
        <w:rPr>
          <w:rFonts w:hint="eastAsia"/>
          <w:highlight w:val="none"/>
        </w:rPr>
        <w:t>m</w:t>
      </w:r>
      <w:r>
        <w:rPr>
          <w:rFonts w:hint="eastAsia"/>
          <w:highlight w:val="none"/>
          <w:vertAlign w:val="superscript"/>
        </w:rPr>
        <w:t>2</w:t>
      </w:r>
      <w:r>
        <w:rPr>
          <w:rFonts w:hint="eastAsia"/>
          <w:highlight w:val="none"/>
        </w:rPr>
        <w:t>，则地面清洗用水量约为</w:t>
      </w:r>
      <w:r>
        <w:rPr>
          <w:rFonts w:hint="eastAsia"/>
          <w:highlight w:val="none"/>
          <w:lang w:val="en-US" w:eastAsia="zh-CN"/>
        </w:rPr>
        <w:t>900</w:t>
      </w:r>
      <w:r>
        <w:rPr>
          <w:highlight w:val="none"/>
        </w:rPr>
        <w:t>m</w:t>
      </w:r>
      <w:r>
        <w:rPr>
          <w:highlight w:val="none"/>
          <w:vertAlign w:val="superscript"/>
        </w:rPr>
        <w:t>3</w:t>
      </w:r>
      <w:r>
        <w:rPr>
          <w:highlight w:val="none"/>
        </w:rPr>
        <w:t>/a</w:t>
      </w:r>
      <w:r>
        <w:rPr>
          <w:rFonts w:hint="eastAsia"/>
          <w:highlight w:val="none"/>
        </w:rPr>
        <w:t>。产污系数按0.8，则地面清洗废水量约为</w:t>
      </w:r>
      <w:r>
        <w:rPr>
          <w:rFonts w:hint="eastAsia"/>
          <w:highlight w:val="none"/>
          <w:lang w:val="en-US" w:eastAsia="zh-CN"/>
        </w:rPr>
        <w:t>720</w:t>
      </w:r>
      <w:r>
        <w:rPr>
          <w:highlight w:val="none"/>
        </w:rPr>
        <w:t>m</w:t>
      </w:r>
      <w:r>
        <w:rPr>
          <w:highlight w:val="none"/>
          <w:vertAlign w:val="superscript"/>
        </w:rPr>
        <w:t>3</w:t>
      </w:r>
      <w:r>
        <w:rPr>
          <w:highlight w:val="none"/>
        </w:rPr>
        <w:t>/a</w:t>
      </w:r>
      <w:r>
        <w:rPr>
          <w:rFonts w:hint="eastAsia"/>
          <w:highlight w:val="none"/>
          <w:lang w:eastAsia="zh-CN"/>
        </w:rPr>
        <w:t>。</w:t>
      </w:r>
    </w:p>
    <w:p w14:paraId="40C0BCFA">
      <w:pPr>
        <w:ind w:firstLine="480"/>
        <w:rPr>
          <w:rFonts w:hint="eastAsia"/>
          <w:highlight w:val="yellow"/>
        </w:rPr>
      </w:pPr>
      <w:r>
        <w:rPr>
          <w:rFonts w:hint="eastAsia"/>
          <w:highlight w:val="none"/>
          <w:lang w:val="en-US" w:eastAsia="zh-CN"/>
        </w:rPr>
        <w:t>据《用水定额》（DB43/T 388-2020），洗车用水定额按0.04m</w:t>
      </w:r>
      <w:r>
        <w:rPr>
          <w:rFonts w:hint="eastAsia"/>
          <w:highlight w:val="none"/>
          <w:vertAlign w:val="superscript"/>
          <w:lang w:val="en-US" w:eastAsia="zh-CN"/>
        </w:rPr>
        <w:t>3</w:t>
      </w:r>
      <w:r>
        <w:rPr>
          <w:rFonts w:hint="eastAsia"/>
          <w:highlight w:val="none"/>
          <w:lang w:val="en-US" w:eastAsia="zh-CN"/>
        </w:rPr>
        <w:t>/车·次，项目每日车辆总进出按50次计</w:t>
      </w:r>
      <w:r>
        <w:rPr>
          <w:rFonts w:hint="eastAsia"/>
          <w:highlight w:val="none"/>
        </w:rPr>
        <w:t>，</w:t>
      </w:r>
      <w:r>
        <w:rPr>
          <w:rFonts w:hint="eastAsia"/>
          <w:highlight w:val="none"/>
          <w:lang w:val="en-US" w:eastAsia="zh-CN"/>
        </w:rPr>
        <w:t>则洗车用水约为600</w:t>
      </w:r>
      <w:r>
        <w:rPr>
          <w:highlight w:val="none"/>
        </w:rPr>
        <w:t>m</w:t>
      </w:r>
      <w:r>
        <w:rPr>
          <w:highlight w:val="none"/>
          <w:vertAlign w:val="superscript"/>
        </w:rPr>
        <w:t>3</w:t>
      </w:r>
      <w:r>
        <w:rPr>
          <w:highlight w:val="none"/>
        </w:rPr>
        <w:t>/a</w:t>
      </w:r>
      <w:r>
        <w:rPr>
          <w:rFonts w:hint="eastAsia"/>
          <w:highlight w:val="none"/>
          <w:lang w:val="en-US" w:eastAsia="zh-CN"/>
        </w:rPr>
        <w:t>。</w:t>
      </w:r>
      <w:r>
        <w:rPr>
          <w:rFonts w:hint="eastAsia"/>
          <w:highlight w:val="none"/>
        </w:rPr>
        <w:t>产污系数按0.8，则地面清洗废水量约为</w:t>
      </w:r>
      <w:r>
        <w:rPr>
          <w:rFonts w:hint="eastAsia"/>
          <w:highlight w:val="none"/>
          <w:lang w:val="en-US" w:eastAsia="zh-CN"/>
        </w:rPr>
        <w:t>480</w:t>
      </w:r>
      <w:r>
        <w:rPr>
          <w:highlight w:val="none"/>
        </w:rPr>
        <w:t>m</w:t>
      </w:r>
      <w:r>
        <w:rPr>
          <w:highlight w:val="none"/>
          <w:vertAlign w:val="superscript"/>
        </w:rPr>
        <w:t>3</w:t>
      </w:r>
      <w:r>
        <w:rPr>
          <w:highlight w:val="none"/>
        </w:rPr>
        <w:t>/a</w:t>
      </w:r>
      <w:r>
        <w:rPr>
          <w:rFonts w:hint="eastAsia"/>
          <w:highlight w:val="none"/>
          <w:lang w:eastAsia="zh-CN"/>
        </w:rPr>
        <w:t>。</w:t>
      </w:r>
    </w:p>
    <w:p w14:paraId="02612E7A">
      <w:pPr>
        <w:ind w:firstLine="480"/>
      </w:pPr>
      <w:r>
        <w:rPr>
          <w:rFonts w:hint="eastAsia"/>
        </w:rPr>
        <w:t>地面清洗废水</w:t>
      </w:r>
      <w:r>
        <w:rPr>
          <w:rFonts w:hint="eastAsia"/>
          <w:lang w:eastAsia="zh-CN"/>
        </w:rPr>
        <w:t>、</w:t>
      </w:r>
      <w:r>
        <w:rPr>
          <w:rFonts w:hint="eastAsia"/>
          <w:lang w:val="en-US" w:eastAsia="zh-CN"/>
        </w:rPr>
        <w:t>洗车废水</w:t>
      </w:r>
      <w:r>
        <w:rPr>
          <w:rFonts w:hint="eastAsia"/>
        </w:rPr>
        <w:t>主要污染因子为</w:t>
      </w:r>
      <w:r>
        <w:rPr>
          <w:rFonts w:hint="eastAsia"/>
          <w:lang w:val="en-US" w:eastAsia="zh-CN"/>
        </w:rPr>
        <w:t>SS、盐类</w:t>
      </w:r>
      <w:r>
        <w:rPr>
          <w:rFonts w:hint="eastAsia"/>
        </w:rPr>
        <w:t>，收集进入废水站处理后</w:t>
      </w:r>
      <w:r>
        <w:rPr>
          <w:rFonts w:hint="eastAsia"/>
          <w:lang w:eastAsia="zh-CN"/>
        </w:rPr>
        <w:t>，</w:t>
      </w:r>
      <w:r>
        <w:rPr>
          <w:rFonts w:hint="eastAsia"/>
        </w:rPr>
        <w:t>回用于化盐工序，不外排。</w:t>
      </w:r>
    </w:p>
    <w:p w14:paraId="0527FE03">
      <w:pPr>
        <w:pStyle w:val="6"/>
        <w:numPr>
          <w:ilvl w:val="4"/>
          <w:numId w:val="0"/>
        </w:numPr>
        <w:ind w:left="480" w:leftChars="200"/>
        <w:rPr>
          <w:rFonts w:hint="eastAsia"/>
          <w:lang w:val="en-US" w:eastAsia="zh-CN"/>
        </w:rPr>
      </w:pPr>
      <w:r>
        <w:rPr>
          <w:rFonts w:hint="eastAsia"/>
        </w:rPr>
        <w:t>（5）</w:t>
      </w:r>
      <w:r>
        <w:rPr>
          <w:rFonts w:hint="eastAsia"/>
          <w:lang w:val="en-US" w:eastAsia="zh-CN"/>
        </w:rPr>
        <w:t>员工清洁废水</w:t>
      </w:r>
    </w:p>
    <w:p w14:paraId="56C76100">
      <w:pPr>
        <w:ind w:firstLine="480"/>
        <w:rPr>
          <w:rFonts w:hint="eastAsia"/>
        </w:rPr>
      </w:pPr>
      <w:r>
        <w:rPr>
          <w:rFonts w:hint="eastAsia"/>
          <w:highlight w:val="none"/>
          <w:lang w:val="en-US" w:eastAsia="zh-CN"/>
        </w:rPr>
        <w:t>项目劳动定员65人，生产区清洁用水按20L</w:t>
      </w:r>
      <w:r>
        <w:rPr>
          <w:rFonts w:hint="eastAsia"/>
          <w:highlight w:val="none"/>
        </w:rPr>
        <w:t>/人·</w:t>
      </w:r>
      <w:r>
        <w:rPr>
          <w:rFonts w:hint="eastAsia"/>
          <w:highlight w:val="none"/>
          <w:lang w:val="en-US" w:eastAsia="zh-CN"/>
        </w:rPr>
        <w:t>d计，项目年工作300天，则员工清洁用水量为390</w:t>
      </w:r>
      <w:r>
        <w:rPr>
          <w:highlight w:val="none"/>
        </w:rPr>
        <w:t>m</w:t>
      </w:r>
      <w:r>
        <w:rPr>
          <w:highlight w:val="none"/>
          <w:vertAlign w:val="superscript"/>
        </w:rPr>
        <w:t>3</w:t>
      </w:r>
      <w:r>
        <w:rPr>
          <w:highlight w:val="none"/>
        </w:rPr>
        <w:t>/a</w:t>
      </w:r>
      <w:r>
        <w:rPr>
          <w:rFonts w:hint="eastAsia"/>
          <w:highlight w:val="none"/>
        </w:rPr>
        <w:t>。</w:t>
      </w:r>
      <w:r>
        <w:rPr>
          <w:rFonts w:hint="eastAsia"/>
          <w:highlight w:val="none"/>
          <w:lang w:val="en-US" w:eastAsia="zh-CN"/>
        </w:rPr>
        <w:t>产污系数按0.8，则员工清洁废水量为312</w:t>
      </w:r>
      <w:r>
        <w:rPr>
          <w:highlight w:val="none"/>
        </w:rPr>
        <w:t>m</w:t>
      </w:r>
      <w:r>
        <w:rPr>
          <w:highlight w:val="none"/>
          <w:vertAlign w:val="superscript"/>
        </w:rPr>
        <w:t>3</w:t>
      </w:r>
      <w:r>
        <w:rPr>
          <w:highlight w:val="none"/>
        </w:rPr>
        <w:t>/a</w:t>
      </w:r>
      <w:r>
        <w:rPr>
          <w:rFonts w:hint="eastAsia"/>
          <w:highlight w:val="none"/>
          <w:lang w:val="en-US" w:eastAsia="zh-CN"/>
        </w:rPr>
        <w:t>。</w:t>
      </w:r>
      <w:r>
        <w:rPr>
          <w:rFonts w:hint="eastAsia"/>
          <w:lang w:val="en-US" w:eastAsia="zh-CN"/>
        </w:rPr>
        <w:t>员工清洁废水主要污染因子为SS、盐类，</w:t>
      </w:r>
      <w:r>
        <w:rPr>
          <w:rFonts w:hint="eastAsia"/>
        </w:rPr>
        <w:t>收集进入废水站处理后回用于化盐工序，不外排。</w:t>
      </w:r>
    </w:p>
    <w:p w14:paraId="7702D2EC">
      <w:pPr>
        <w:pStyle w:val="6"/>
        <w:numPr>
          <w:ilvl w:val="4"/>
          <w:numId w:val="0"/>
        </w:numPr>
        <w:ind w:left="480" w:leftChars="200"/>
      </w:pPr>
      <w:r>
        <w:rPr>
          <w:rFonts w:hint="eastAsia"/>
          <w:lang w:eastAsia="zh-CN"/>
        </w:rPr>
        <w:t>（</w:t>
      </w:r>
      <w:r>
        <w:rPr>
          <w:rFonts w:hint="eastAsia"/>
          <w:lang w:val="en-US" w:eastAsia="zh-CN"/>
        </w:rPr>
        <w:t>6</w:t>
      </w:r>
      <w:r>
        <w:rPr>
          <w:rFonts w:hint="eastAsia"/>
          <w:lang w:eastAsia="zh-CN"/>
        </w:rPr>
        <w:t>）</w:t>
      </w:r>
      <w:r>
        <w:t>化验室废水</w:t>
      </w:r>
    </w:p>
    <w:p w14:paraId="20471C58">
      <w:pPr>
        <w:ind w:firstLine="480"/>
      </w:pPr>
      <w:r>
        <w:t>本项目化验室用水较少，依据企业提供资料，按1.0m</w:t>
      </w:r>
      <w:r>
        <w:rPr>
          <w:vertAlign w:val="superscript"/>
        </w:rPr>
        <w:t>3</w:t>
      </w:r>
      <w:r>
        <w:t>/d计算。则化验室耗水量为300m</w:t>
      </w:r>
      <w:r>
        <w:rPr>
          <w:vertAlign w:val="superscript"/>
        </w:rPr>
        <w:t>3</w:t>
      </w:r>
      <w:r>
        <w:t>/a，废水量按80%计算，预计废水量240m</w:t>
      </w:r>
      <w:r>
        <w:rPr>
          <w:vertAlign w:val="superscript"/>
        </w:rPr>
        <w:t>3</w:t>
      </w:r>
      <w:r>
        <w:t>/a</w:t>
      </w:r>
      <w:r>
        <w:rPr>
          <w:rFonts w:hint="eastAsia"/>
        </w:rPr>
        <w:t>。化验室废水</w:t>
      </w:r>
      <w:r>
        <w:t>以含酸、碱废水为主</w:t>
      </w:r>
      <w:r>
        <w:rPr>
          <w:rFonts w:hint="eastAsia"/>
        </w:rPr>
        <w:t>，进废水站处理后回用于化盐工序，不外排。</w:t>
      </w:r>
    </w:p>
    <w:p w14:paraId="5056E45B">
      <w:pPr>
        <w:pStyle w:val="6"/>
        <w:numPr>
          <w:ilvl w:val="4"/>
          <w:numId w:val="0"/>
        </w:numPr>
        <w:ind w:left="480" w:leftChars="200"/>
      </w:pPr>
      <w:r>
        <w:rPr>
          <w:rFonts w:hint="eastAsia"/>
        </w:rPr>
        <w:t>（</w:t>
      </w:r>
      <w:r>
        <w:rPr>
          <w:rFonts w:hint="eastAsia"/>
          <w:lang w:val="en-US" w:eastAsia="zh-CN"/>
        </w:rPr>
        <w:t>7</w:t>
      </w:r>
      <w:r>
        <w:rPr>
          <w:rFonts w:hint="eastAsia"/>
        </w:rPr>
        <w:t>）初期雨水</w:t>
      </w:r>
    </w:p>
    <w:p w14:paraId="5D3CFC57">
      <w:pPr>
        <w:ind w:firstLine="480"/>
        <w:rPr>
          <w:rFonts w:hint="eastAsia"/>
          <w:lang w:eastAsia="zh-CN"/>
        </w:rPr>
      </w:pPr>
      <w:r>
        <w:t>本项目初期雨水量按降雨强度不小于</w:t>
      </w:r>
      <w:r>
        <w:rPr>
          <w:rFonts w:hint="eastAsia" w:ascii="Times New Roman" w:eastAsia="宋体"/>
          <w:lang w:val="en-US" w:eastAsia="zh-CN"/>
        </w:rPr>
        <w:t>30</w:t>
      </w:r>
      <w:r>
        <w:t>mm计算，厂区需收集初期雨水的生产区汇水面积约</w:t>
      </w:r>
      <w:r>
        <w:rPr>
          <w:rFonts w:hint="eastAsia"/>
        </w:rPr>
        <w:t>6000</w:t>
      </w:r>
      <w:r>
        <w:t>m</w:t>
      </w:r>
      <w:r>
        <w:rPr>
          <w:vertAlign w:val="superscript"/>
        </w:rPr>
        <w:t>2</w:t>
      </w:r>
      <w:r>
        <w:t>（扣除绿地、池体及非生产区占地），核算得到初期雨水量为</w:t>
      </w:r>
      <w:r>
        <w:rPr>
          <w:rFonts w:hint="eastAsia"/>
          <w:lang w:val="en-US" w:eastAsia="zh-CN"/>
        </w:rPr>
        <w:t>18</w:t>
      </w:r>
      <w:r>
        <w:rPr>
          <w:rFonts w:hint="eastAsia"/>
        </w:rPr>
        <w:t>0</w:t>
      </w:r>
      <w:r>
        <w:t>m</w:t>
      </w:r>
      <w:r>
        <w:rPr>
          <w:vertAlign w:val="superscript"/>
        </w:rPr>
        <w:t>3</w:t>
      </w:r>
      <w:r>
        <w:t>/次，年暴雨次数取20（不含连续雨天）</w:t>
      </w:r>
      <w:r>
        <w:rPr>
          <w:rFonts w:hint="eastAsia"/>
        </w:rPr>
        <w:t>，则年初期雨水量约为</w:t>
      </w:r>
      <w:r>
        <w:rPr>
          <w:rFonts w:hint="eastAsia" w:ascii="Times New Roman" w:eastAsia="宋体"/>
          <w:lang w:val="en-US" w:eastAsia="zh-CN"/>
        </w:rPr>
        <w:t>36</w:t>
      </w:r>
      <w:r>
        <w:rPr>
          <w:rFonts w:hint="eastAsia"/>
        </w:rPr>
        <w:t>00</w:t>
      </w:r>
      <w:r>
        <w:t>m</w:t>
      </w:r>
      <w:r>
        <w:rPr>
          <w:vertAlign w:val="superscript"/>
        </w:rPr>
        <w:t>3</w:t>
      </w:r>
      <w:r>
        <w:t>/a。类比同类项，初期雨水主要污染物及其浓度为COD</w:t>
      </w:r>
      <w:r>
        <w:rPr>
          <w:rFonts w:hint="eastAsia"/>
          <w:lang w:val="en-US" w:eastAsia="zh-CN"/>
        </w:rPr>
        <w:t>250</w:t>
      </w:r>
      <w:r>
        <w:t>mg/L、SS</w:t>
      </w:r>
      <w:r>
        <w:rPr>
          <w:rFonts w:hint="eastAsia"/>
          <w:lang w:val="en-US" w:eastAsia="zh-CN"/>
        </w:rPr>
        <w:t>3</w:t>
      </w:r>
      <w:r>
        <w:t>00mg/L、氨氮</w:t>
      </w:r>
      <w:r>
        <w:rPr>
          <w:rFonts w:hint="eastAsia"/>
          <w:lang w:val="en-US" w:eastAsia="zh-CN"/>
        </w:rPr>
        <w:t>10</w:t>
      </w:r>
      <w:r>
        <w:t>mg/L</w:t>
      </w:r>
      <w:r>
        <w:rPr>
          <w:rFonts w:hint="eastAsia"/>
        </w:rPr>
        <w:t>。</w:t>
      </w:r>
      <w:r>
        <w:t>本项目</w:t>
      </w:r>
      <w:r>
        <w:rPr>
          <w:rFonts w:hint="eastAsia"/>
        </w:rPr>
        <w:t>拟</w:t>
      </w:r>
      <w:r>
        <w:t>设置一个容积约2</w:t>
      </w:r>
      <w:r>
        <w:rPr>
          <w:rFonts w:hint="eastAsia"/>
        </w:rPr>
        <w:t>50</w:t>
      </w:r>
      <w:r>
        <w:t>m</w:t>
      </w:r>
      <w:r>
        <w:rPr>
          <w:vertAlign w:val="superscript"/>
        </w:rPr>
        <w:t>3</w:t>
      </w:r>
      <w:r>
        <w:t>的初期雨水池</w:t>
      </w:r>
      <w:r>
        <w:rPr>
          <w:rFonts w:hint="eastAsia"/>
          <w:lang w:eastAsia="zh-CN"/>
        </w:rPr>
        <w:t>。</w:t>
      </w:r>
    </w:p>
    <w:p w14:paraId="0AF92905">
      <w:pPr>
        <w:ind w:firstLine="480" w:firstLineChars="200"/>
        <w:rPr>
          <w:rFonts w:hint="eastAsia"/>
          <w:lang w:val="en-US" w:eastAsia="zh-CN"/>
        </w:rPr>
      </w:pPr>
      <w:r>
        <w:rPr>
          <w:rFonts w:hint="eastAsia"/>
          <w:lang w:val="en-US" w:eastAsia="zh-CN"/>
        </w:rPr>
        <w:t>正常生产期间，</w:t>
      </w:r>
      <w:r>
        <w:t>初期雨水经</w:t>
      </w:r>
      <w:r>
        <w:rPr>
          <w:rFonts w:hint="eastAsia"/>
        </w:rPr>
        <w:t>初期雨水收集池</w:t>
      </w:r>
      <w:r>
        <w:t>沉淀后送入</w:t>
      </w:r>
      <w:r>
        <w:rPr>
          <w:rFonts w:hint="eastAsia"/>
        </w:rPr>
        <w:t>厂区</w:t>
      </w:r>
      <w:r>
        <w:t>废水站处理后，回用于化盐工序</w:t>
      </w:r>
      <w:r>
        <w:rPr>
          <w:rFonts w:hint="eastAsia"/>
        </w:rPr>
        <w:t>，不外排</w:t>
      </w:r>
      <w:r>
        <w:rPr>
          <w:rFonts w:hint="eastAsia"/>
          <w:lang w:eastAsia="zh-CN"/>
        </w:rPr>
        <w:t>；</w:t>
      </w:r>
      <w:r>
        <w:rPr>
          <w:rFonts w:hint="eastAsia"/>
          <w:lang w:val="en-US" w:eastAsia="zh-CN"/>
        </w:rPr>
        <w:t>非生产期间，初期雨水经“混凝沉淀+砂滤+树脂离子交换处理”后达标排入松木污水处理厂处理。</w:t>
      </w:r>
    </w:p>
    <w:p w14:paraId="5A2D7E00">
      <w:pPr>
        <w:keepNext/>
        <w:numPr>
          <w:ilvl w:val="5"/>
          <w:numId w:val="1"/>
        </w:numPr>
        <w:snapToGrid w:val="0"/>
        <w:spacing w:line="240" w:lineRule="auto"/>
        <w:ind w:firstLine="420" w:firstLineChars="0"/>
        <w:jc w:val="center"/>
        <w:rPr>
          <w:b/>
          <w:bCs/>
          <w:sz w:val="21"/>
          <w:szCs w:val="21"/>
        </w:rPr>
      </w:pPr>
      <w:r>
        <w:rPr>
          <w:rFonts w:hint="eastAsia"/>
          <w:b/>
          <w:bCs/>
          <w:sz w:val="21"/>
          <w:szCs w:val="21"/>
          <w:lang w:val="en-US" w:eastAsia="zh-CN"/>
        </w:rPr>
        <w:t>非生产期初期雨水排放</w:t>
      </w:r>
      <w:r>
        <w:rPr>
          <w:rFonts w:hint="eastAsia"/>
          <w:b/>
          <w:bCs/>
          <w:sz w:val="21"/>
          <w:szCs w:val="21"/>
        </w:rPr>
        <w:t>情况</w:t>
      </w:r>
      <w:r>
        <w:rPr>
          <w:rFonts w:hint="eastAsia"/>
          <w:b/>
          <w:bCs/>
          <w:sz w:val="21"/>
          <w:szCs w:val="21"/>
          <w:lang w:eastAsia="zh-CN"/>
        </w:rPr>
        <w:t>（</w:t>
      </w:r>
      <w:r>
        <w:rPr>
          <w:rFonts w:hint="eastAsia"/>
          <w:b/>
          <w:bCs/>
          <w:sz w:val="21"/>
          <w:szCs w:val="21"/>
          <w:lang w:val="en-US" w:eastAsia="zh-CN"/>
        </w:rPr>
        <w:t>按年暴雨20次</w:t>
      </w:r>
      <w:r>
        <w:rPr>
          <w:rFonts w:hint="eastAsia"/>
          <w:b/>
          <w:bCs/>
          <w:sz w:val="21"/>
          <w:szCs w:val="21"/>
          <w:lang w:eastAsia="zh-CN"/>
        </w:rPr>
        <w:t>）</w:t>
      </w:r>
    </w:p>
    <w:tbl>
      <w:tblPr>
        <w:tblStyle w:val="32"/>
        <w:tblW w:w="4998" w:type="pct"/>
        <w:jc w:val="center"/>
        <w:tblLayout w:type="autofit"/>
        <w:tblCellMar>
          <w:top w:w="0" w:type="dxa"/>
          <w:left w:w="108" w:type="dxa"/>
          <w:bottom w:w="0" w:type="dxa"/>
          <w:right w:w="108" w:type="dxa"/>
        </w:tblCellMar>
      </w:tblPr>
      <w:tblGrid>
        <w:gridCol w:w="1701"/>
        <w:gridCol w:w="1704"/>
        <w:gridCol w:w="1704"/>
        <w:gridCol w:w="1704"/>
        <w:gridCol w:w="1706"/>
      </w:tblGrid>
      <w:tr w14:paraId="7D35AB7B">
        <w:tblPrEx>
          <w:tblCellMar>
            <w:top w:w="0" w:type="dxa"/>
            <w:left w:w="108" w:type="dxa"/>
            <w:bottom w:w="0" w:type="dxa"/>
            <w:right w:w="108" w:type="dxa"/>
          </w:tblCellMar>
        </w:tblPrEx>
        <w:trPr>
          <w:trHeight w:val="170" w:hRule="atLeast"/>
          <w:tblHeader/>
          <w:jc w:val="center"/>
        </w:trPr>
        <w:tc>
          <w:tcPr>
            <w:tcW w:w="9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6BF941">
            <w:pPr>
              <w:pStyle w:val="45"/>
              <w:rPr>
                <w:rFonts w:hint="default"/>
                <w:b/>
                <w:bCs/>
              </w:rPr>
            </w:pPr>
            <w:r>
              <w:rPr>
                <w:b/>
                <w:bCs/>
              </w:rPr>
              <w:t>污染源</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55B6D8">
            <w:pPr>
              <w:pStyle w:val="45"/>
              <w:rPr>
                <w:rFonts w:hint="default"/>
                <w:b/>
                <w:bCs/>
              </w:rPr>
            </w:pPr>
            <w:r>
              <w:rPr>
                <w:b/>
                <w:bCs/>
              </w:rPr>
              <w:t>产污浓度</w:t>
            </w:r>
            <w:r>
              <w:rPr>
                <w:rFonts w:hint="default"/>
                <w:b/>
                <w:bCs/>
              </w:rPr>
              <w:t>(mg/L)</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07ADFF">
            <w:pPr>
              <w:pStyle w:val="45"/>
              <w:rPr>
                <w:rFonts w:hint="default"/>
                <w:b/>
                <w:bCs/>
              </w:rPr>
            </w:pPr>
            <w:r>
              <w:rPr>
                <w:b/>
                <w:bCs/>
              </w:rPr>
              <w:t>产污量（</w:t>
            </w:r>
            <w:r>
              <w:rPr>
                <w:rFonts w:hint="default"/>
                <w:b/>
                <w:bCs/>
              </w:rPr>
              <w:t>t/a</w:t>
            </w:r>
            <w:r>
              <w:rPr>
                <w:b/>
                <w:bCs/>
              </w:rPr>
              <w:t>）</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3A1100">
            <w:pPr>
              <w:pStyle w:val="45"/>
              <w:rPr>
                <w:rFonts w:hint="default"/>
                <w:b/>
                <w:bCs/>
              </w:rPr>
            </w:pPr>
            <w:r>
              <w:rPr>
                <w:b/>
                <w:bCs/>
              </w:rPr>
              <w:t>排污浓度</w:t>
            </w:r>
            <w:r>
              <w:rPr>
                <w:rFonts w:hint="default"/>
                <w:b/>
                <w:bCs/>
              </w:rPr>
              <w:t>(mg/L)</w:t>
            </w:r>
          </w:p>
        </w:tc>
        <w:tc>
          <w:tcPr>
            <w:tcW w:w="10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EE48DA">
            <w:pPr>
              <w:pStyle w:val="45"/>
              <w:rPr>
                <w:rFonts w:hint="default"/>
                <w:b/>
                <w:bCs/>
              </w:rPr>
            </w:pPr>
            <w:r>
              <w:rPr>
                <w:b/>
                <w:bCs/>
              </w:rPr>
              <w:t>排污量（</w:t>
            </w:r>
            <w:r>
              <w:rPr>
                <w:rFonts w:hint="default"/>
                <w:b/>
                <w:bCs/>
              </w:rPr>
              <w:t>t/a</w:t>
            </w:r>
            <w:r>
              <w:rPr>
                <w:b/>
                <w:bCs/>
              </w:rPr>
              <w:t>）</w:t>
            </w:r>
          </w:p>
        </w:tc>
      </w:tr>
      <w:tr w14:paraId="4167DB5F">
        <w:tblPrEx>
          <w:tblCellMar>
            <w:top w:w="0" w:type="dxa"/>
            <w:left w:w="108" w:type="dxa"/>
            <w:bottom w:w="0" w:type="dxa"/>
            <w:right w:w="108" w:type="dxa"/>
          </w:tblCellMar>
        </w:tblPrEx>
        <w:trPr>
          <w:trHeight w:val="170" w:hRule="atLeast"/>
          <w:jc w:val="center"/>
        </w:trPr>
        <w:tc>
          <w:tcPr>
            <w:tcW w:w="9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CC9840">
            <w:pPr>
              <w:pStyle w:val="45"/>
              <w:rPr>
                <w:rFonts w:hint="default"/>
              </w:rPr>
            </w:pPr>
            <w:r>
              <w:t>水量</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DD0C93">
            <w:pPr>
              <w:pStyle w:val="45"/>
              <w:rPr>
                <w:rFonts w:hint="default"/>
              </w:rPr>
            </w:pPr>
            <w:r>
              <w:t>/</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8DB3C0">
            <w:pPr>
              <w:pStyle w:val="45"/>
              <w:rPr>
                <w:rFonts w:hint="default" w:eastAsia="宋体"/>
                <w:lang w:val="en-US" w:eastAsia="zh-CN"/>
              </w:rPr>
            </w:pPr>
            <w:r>
              <w:rPr>
                <w:rFonts w:hint="eastAsia"/>
                <w:lang w:val="en-US" w:eastAsia="zh-CN"/>
              </w:rPr>
              <w:t>3600</w:t>
            </w:r>
          </w:p>
        </w:tc>
        <w:tc>
          <w:tcPr>
            <w:tcW w:w="10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77350">
            <w:pPr>
              <w:pStyle w:val="45"/>
              <w:rPr>
                <w:rFonts w:hint="default"/>
              </w:rPr>
            </w:pPr>
            <w:r>
              <w:t>/</w:t>
            </w:r>
          </w:p>
        </w:tc>
        <w:tc>
          <w:tcPr>
            <w:tcW w:w="10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081BC">
            <w:pPr>
              <w:pStyle w:val="45"/>
              <w:rPr>
                <w:rFonts w:hint="default" w:eastAsia="宋体"/>
                <w:lang w:val="en-US" w:eastAsia="zh-CN"/>
              </w:rPr>
            </w:pPr>
            <w:r>
              <w:rPr>
                <w:rFonts w:hint="eastAsia"/>
                <w:lang w:val="en-US" w:eastAsia="zh-CN"/>
              </w:rPr>
              <w:t>3600</w:t>
            </w:r>
          </w:p>
        </w:tc>
      </w:tr>
      <w:tr w14:paraId="25E0D40A">
        <w:tblPrEx>
          <w:tblCellMar>
            <w:top w:w="0" w:type="dxa"/>
            <w:left w:w="108" w:type="dxa"/>
            <w:bottom w:w="0" w:type="dxa"/>
            <w:right w:w="108" w:type="dxa"/>
          </w:tblCellMar>
        </w:tblPrEx>
        <w:trPr>
          <w:trHeight w:val="90" w:hRule="atLeast"/>
          <w:jc w:val="center"/>
        </w:trPr>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09D8D">
            <w:pPr>
              <w:pStyle w:val="45"/>
              <w:rPr>
                <w:rFonts w:hint="default"/>
              </w:rPr>
            </w:pPr>
            <w:r>
              <w:rPr>
                <w:rFonts w:hint="default"/>
              </w:rPr>
              <w:t>COD</w:t>
            </w:r>
          </w:p>
        </w:tc>
        <w:tc>
          <w:tcPr>
            <w:tcW w:w="10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452E7">
            <w:pPr>
              <w:pStyle w:val="45"/>
              <w:rPr>
                <w:rFonts w:hint="default"/>
                <w:lang w:val="en-US"/>
              </w:rPr>
            </w:pPr>
            <w:r>
              <w:rPr>
                <w:rFonts w:hint="eastAsia"/>
                <w:lang w:val="en-US" w:eastAsia="zh-CN"/>
              </w:rPr>
              <w:t>250</w:t>
            </w:r>
          </w:p>
        </w:tc>
        <w:tc>
          <w:tcPr>
            <w:tcW w:w="10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D7C4C">
            <w:pPr>
              <w:pStyle w:val="45"/>
              <w:rPr>
                <w:rFonts w:hint="default"/>
                <w:lang w:val="en-US" w:eastAsia="zh-CN"/>
              </w:rPr>
            </w:pPr>
            <w:r>
              <w:rPr>
                <w:rFonts w:hint="eastAsia"/>
                <w:lang w:val="en-US" w:eastAsia="zh-CN"/>
              </w:rPr>
              <w:t>0.9</w:t>
            </w:r>
          </w:p>
        </w:tc>
        <w:tc>
          <w:tcPr>
            <w:tcW w:w="10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F15C4">
            <w:pPr>
              <w:pStyle w:val="45"/>
              <w:rPr>
                <w:rFonts w:hint="default"/>
                <w:lang w:val="en-US"/>
              </w:rPr>
            </w:pPr>
            <w:r>
              <w:rPr>
                <w:rFonts w:hint="eastAsia"/>
                <w:lang w:val="en-US" w:eastAsia="zh-CN"/>
              </w:rPr>
              <w:t>200</w:t>
            </w:r>
          </w:p>
        </w:tc>
        <w:tc>
          <w:tcPr>
            <w:tcW w:w="10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AF0E9">
            <w:pPr>
              <w:pStyle w:val="45"/>
              <w:rPr>
                <w:rFonts w:hint="default" w:eastAsia="宋体"/>
                <w:lang w:val="en-US" w:eastAsia="zh-CN"/>
              </w:rPr>
            </w:pPr>
            <w:r>
              <w:rPr>
                <w:rFonts w:hint="eastAsia"/>
                <w:lang w:val="en-US" w:eastAsia="zh-CN"/>
              </w:rPr>
              <w:t>0.72</w:t>
            </w:r>
          </w:p>
        </w:tc>
      </w:tr>
      <w:tr w14:paraId="4C91C52C">
        <w:tblPrEx>
          <w:tblCellMar>
            <w:top w:w="0" w:type="dxa"/>
            <w:left w:w="108" w:type="dxa"/>
            <w:bottom w:w="0" w:type="dxa"/>
            <w:right w:w="108" w:type="dxa"/>
          </w:tblCellMar>
        </w:tblPrEx>
        <w:trPr>
          <w:trHeight w:val="170" w:hRule="atLeast"/>
          <w:jc w:val="center"/>
        </w:trPr>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2A53A">
            <w:pPr>
              <w:pStyle w:val="45"/>
              <w:rPr>
                <w:rFonts w:hint="default"/>
              </w:rPr>
            </w:pPr>
            <w:r>
              <w:t>氨氮</w:t>
            </w:r>
          </w:p>
        </w:tc>
        <w:tc>
          <w:tcPr>
            <w:tcW w:w="10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72BE3">
            <w:pPr>
              <w:pStyle w:val="45"/>
              <w:rPr>
                <w:rFonts w:hint="default"/>
                <w:lang w:val="en-US" w:eastAsia="zh-CN"/>
              </w:rPr>
            </w:pPr>
            <w:r>
              <w:rPr>
                <w:rFonts w:hint="eastAsia"/>
                <w:lang w:val="en-US" w:eastAsia="zh-CN"/>
              </w:rPr>
              <w:t>10</w:t>
            </w:r>
          </w:p>
        </w:tc>
        <w:tc>
          <w:tcPr>
            <w:tcW w:w="10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B1633C">
            <w:pPr>
              <w:pStyle w:val="45"/>
              <w:rPr>
                <w:rFonts w:hint="default" w:eastAsia="宋体"/>
                <w:lang w:val="en-US" w:eastAsia="zh-CN"/>
              </w:rPr>
            </w:pPr>
            <w:r>
              <w:rPr>
                <w:rFonts w:hint="eastAsia"/>
                <w:lang w:val="en-US" w:eastAsia="zh-CN"/>
              </w:rPr>
              <w:t>0.036</w:t>
            </w:r>
          </w:p>
        </w:tc>
        <w:tc>
          <w:tcPr>
            <w:tcW w:w="10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E9D9C">
            <w:pPr>
              <w:pStyle w:val="45"/>
              <w:rPr>
                <w:rFonts w:hint="default"/>
              </w:rPr>
            </w:pPr>
            <w:r>
              <w:rPr>
                <w:rFonts w:hint="eastAsia"/>
                <w:lang w:val="en-US" w:eastAsia="zh-CN"/>
              </w:rPr>
              <w:t>5</w:t>
            </w:r>
          </w:p>
        </w:tc>
        <w:tc>
          <w:tcPr>
            <w:tcW w:w="10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0BAE7">
            <w:pPr>
              <w:pStyle w:val="45"/>
              <w:rPr>
                <w:rFonts w:hint="default" w:eastAsia="宋体"/>
                <w:lang w:val="en-US" w:eastAsia="zh-CN"/>
              </w:rPr>
            </w:pPr>
            <w:r>
              <w:rPr>
                <w:rFonts w:hint="eastAsia"/>
                <w:lang w:val="en-US" w:eastAsia="zh-CN"/>
              </w:rPr>
              <w:t>0.018</w:t>
            </w:r>
          </w:p>
        </w:tc>
      </w:tr>
      <w:tr w14:paraId="08CD8739">
        <w:tblPrEx>
          <w:tblCellMar>
            <w:top w:w="0" w:type="dxa"/>
            <w:left w:w="108" w:type="dxa"/>
            <w:bottom w:w="0" w:type="dxa"/>
            <w:right w:w="108" w:type="dxa"/>
          </w:tblCellMar>
        </w:tblPrEx>
        <w:trPr>
          <w:trHeight w:val="170" w:hRule="atLeast"/>
          <w:jc w:val="center"/>
        </w:trPr>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DEE30">
            <w:pPr>
              <w:pStyle w:val="45"/>
              <w:rPr>
                <w:rFonts w:hint="default"/>
              </w:rPr>
            </w:pPr>
            <w:r>
              <w:rPr>
                <w:rFonts w:hint="default"/>
              </w:rPr>
              <w:t>SS</w:t>
            </w:r>
          </w:p>
        </w:tc>
        <w:tc>
          <w:tcPr>
            <w:tcW w:w="10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861218">
            <w:pPr>
              <w:pStyle w:val="45"/>
              <w:rPr>
                <w:rFonts w:hint="default"/>
                <w:lang w:val="en-US" w:eastAsia="zh-CN"/>
              </w:rPr>
            </w:pPr>
            <w:r>
              <w:rPr>
                <w:rFonts w:hint="eastAsia"/>
                <w:lang w:val="en-US" w:eastAsia="zh-CN"/>
              </w:rPr>
              <w:t>300</w:t>
            </w:r>
          </w:p>
        </w:tc>
        <w:tc>
          <w:tcPr>
            <w:tcW w:w="10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63C14">
            <w:pPr>
              <w:pStyle w:val="45"/>
              <w:rPr>
                <w:rFonts w:hint="default" w:eastAsia="宋体"/>
                <w:lang w:val="en-US" w:eastAsia="zh-CN"/>
              </w:rPr>
            </w:pPr>
            <w:r>
              <w:rPr>
                <w:rFonts w:hint="eastAsia"/>
                <w:lang w:val="en-US" w:eastAsia="zh-CN"/>
              </w:rPr>
              <w:t>1.08</w:t>
            </w:r>
          </w:p>
        </w:tc>
        <w:tc>
          <w:tcPr>
            <w:tcW w:w="10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C5DC35">
            <w:pPr>
              <w:pStyle w:val="45"/>
              <w:rPr>
                <w:rFonts w:hint="default"/>
                <w:lang w:val="en-US"/>
              </w:rPr>
            </w:pPr>
            <w:r>
              <w:rPr>
                <w:rFonts w:hint="eastAsia"/>
                <w:lang w:val="en-US" w:eastAsia="zh-CN"/>
              </w:rPr>
              <w:t>100</w:t>
            </w:r>
          </w:p>
        </w:tc>
        <w:tc>
          <w:tcPr>
            <w:tcW w:w="10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B88BC">
            <w:pPr>
              <w:pStyle w:val="45"/>
              <w:rPr>
                <w:rFonts w:hint="default" w:eastAsia="宋体"/>
                <w:lang w:val="en-US" w:eastAsia="zh-CN"/>
              </w:rPr>
            </w:pPr>
            <w:r>
              <w:rPr>
                <w:rFonts w:hint="eastAsia"/>
                <w:lang w:val="en-US" w:eastAsia="zh-CN"/>
              </w:rPr>
              <w:t>0.36</w:t>
            </w:r>
          </w:p>
        </w:tc>
      </w:tr>
    </w:tbl>
    <w:p w14:paraId="34E9B640">
      <w:pPr>
        <w:rPr>
          <w:rFonts w:hint="eastAsia"/>
          <w:lang w:val="en-US" w:eastAsia="zh-CN"/>
        </w:rPr>
      </w:pPr>
    </w:p>
    <w:p w14:paraId="7C3226C2">
      <w:pPr>
        <w:pStyle w:val="6"/>
        <w:numPr>
          <w:ilvl w:val="4"/>
          <w:numId w:val="0"/>
        </w:numPr>
        <w:ind w:left="480" w:leftChars="200"/>
      </w:pPr>
      <w:r>
        <w:rPr>
          <w:rFonts w:hint="eastAsia"/>
        </w:rPr>
        <w:t>（</w:t>
      </w:r>
      <w:r>
        <w:rPr>
          <w:rFonts w:hint="eastAsia"/>
          <w:lang w:val="en-US" w:eastAsia="zh-CN"/>
        </w:rPr>
        <w:t>8</w:t>
      </w:r>
      <w:r>
        <w:rPr>
          <w:rFonts w:hint="eastAsia"/>
        </w:rPr>
        <w:t>）生活污水</w:t>
      </w:r>
    </w:p>
    <w:p w14:paraId="18BFD47D">
      <w:pPr>
        <w:ind w:firstLine="480"/>
      </w:pPr>
      <w:r>
        <w:rPr>
          <w:rFonts w:hint="eastAsia"/>
        </w:rPr>
        <w:t>本项</w:t>
      </w:r>
      <w:r>
        <w:t>目劳动定员</w:t>
      </w:r>
      <w:r>
        <w:rPr>
          <w:rFonts w:hint="eastAsia"/>
        </w:rPr>
        <w:t>65</w:t>
      </w:r>
      <w:r>
        <w:t>人，</w:t>
      </w:r>
      <w:r>
        <w:rPr>
          <w:rFonts w:hint="eastAsia"/>
        </w:rPr>
        <w:t>参照湖南省地方标准《用水定额》（DB43/T 388-2020），员工生活用水量按“办公楼”指标38m</w:t>
      </w:r>
      <w:r>
        <w:rPr>
          <w:rFonts w:hint="eastAsia"/>
          <w:vertAlign w:val="superscript"/>
        </w:rPr>
        <w:t>3</w:t>
      </w:r>
      <w:r>
        <w:rPr>
          <w:rFonts w:hint="eastAsia"/>
        </w:rPr>
        <w:t>/人·a计，则员工生活用水年用量为2470</w:t>
      </w:r>
      <w:r>
        <w:t>m</w:t>
      </w:r>
      <w:r>
        <w:rPr>
          <w:vertAlign w:val="superscript"/>
        </w:rPr>
        <w:t>3</w:t>
      </w:r>
      <w:r>
        <w:t>/a，</w:t>
      </w:r>
      <w:r>
        <w:rPr>
          <w:rFonts w:hint="eastAsia"/>
        </w:rPr>
        <w:t>产污系数按0.8</w:t>
      </w:r>
      <w:r>
        <w:t>计，</w:t>
      </w:r>
      <w:r>
        <w:rPr>
          <w:rFonts w:hint="eastAsia"/>
        </w:rPr>
        <w:t>则</w:t>
      </w:r>
      <w:r>
        <w:t>生活污水</w:t>
      </w:r>
      <w:r>
        <w:rPr>
          <w:rFonts w:hint="eastAsia"/>
        </w:rPr>
        <w:t>产生量为1976</w:t>
      </w:r>
      <w:r>
        <w:t>m</w:t>
      </w:r>
      <w:r>
        <w:rPr>
          <w:vertAlign w:val="superscript"/>
        </w:rPr>
        <w:t>3</w:t>
      </w:r>
      <w:r>
        <w:t>/a</w:t>
      </w:r>
      <w:r>
        <w:rPr>
          <w:rFonts w:hint="eastAsia"/>
        </w:rPr>
        <w:t>。</w:t>
      </w:r>
    </w:p>
    <w:p w14:paraId="2CC921AF">
      <w:pPr>
        <w:ind w:firstLine="480"/>
      </w:pPr>
      <w:r>
        <w:rPr>
          <w:rFonts w:hint="eastAsia"/>
        </w:rPr>
        <w:t>生活</w:t>
      </w:r>
      <w:r>
        <w:t>污水中</w:t>
      </w:r>
      <w:r>
        <w:rPr>
          <w:rFonts w:hint="eastAsia"/>
        </w:rPr>
        <w:t>的</w:t>
      </w:r>
      <w:r>
        <w:t>主要污染因子</w:t>
      </w:r>
      <w:r>
        <w:rPr>
          <w:rFonts w:hint="eastAsia"/>
        </w:rPr>
        <w:t>为</w:t>
      </w:r>
      <w:r>
        <w:t>COD、BOD</w:t>
      </w:r>
      <w:r>
        <w:rPr>
          <w:vertAlign w:val="subscript"/>
        </w:rPr>
        <w:t>5</w:t>
      </w:r>
      <w:r>
        <w:t>、氨氮、SS</w:t>
      </w:r>
      <w:r>
        <w:rPr>
          <w:rFonts w:hint="eastAsia"/>
        </w:rPr>
        <w:t>，产生</w:t>
      </w:r>
      <w:r>
        <w:t>浓度分别为</w:t>
      </w:r>
      <w:r>
        <w:rPr>
          <w:rFonts w:hint="eastAsia"/>
          <w:lang w:val="en-US" w:eastAsia="zh-CN"/>
        </w:rPr>
        <w:t>250</w:t>
      </w:r>
      <w:r>
        <w:t>mg/L、</w:t>
      </w:r>
      <w:r>
        <w:rPr>
          <w:rFonts w:hint="eastAsia"/>
          <w:lang w:val="en-US" w:eastAsia="zh-CN"/>
        </w:rPr>
        <w:t>200</w:t>
      </w:r>
      <w:r>
        <w:t>mg/L、</w:t>
      </w:r>
      <w:r>
        <w:rPr>
          <w:rFonts w:hint="eastAsia"/>
          <w:lang w:val="en-US" w:eastAsia="zh-CN"/>
        </w:rPr>
        <w:t>30</w:t>
      </w:r>
      <w:r>
        <w:t>mg/L、</w:t>
      </w:r>
      <w:r>
        <w:rPr>
          <w:rFonts w:hint="eastAsia"/>
          <w:lang w:val="en-US" w:eastAsia="zh-CN"/>
        </w:rPr>
        <w:t>200</w:t>
      </w:r>
      <w:r>
        <w:t>mg/L。生活污水经过化粪池预处理后，COD、BOD</w:t>
      </w:r>
      <w:r>
        <w:rPr>
          <w:vertAlign w:val="subscript"/>
        </w:rPr>
        <w:t>5</w:t>
      </w:r>
      <w:r>
        <w:t>、氨氮、SS</w:t>
      </w:r>
      <w:r>
        <w:rPr>
          <w:rFonts w:hint="eastAsia"/>
        </w:rPr>
        <w:t>排放浓度约为200mg/L、150mg/L、25mg/L、120mg/L，</w:t>
      </w:r>
      <w:r>
        <w:t>接管排入园区污水处理厂集中处理。</w:t>
      </w:r>
      <w:r>
        <w:rPr>
          <w:rFonts w:hint="eastAsia"/>
        </w:rPr>
        <w:t>经计算，本项目建成后COD、氨氮排放量分别为0.3952t/a、0.0494t/a。</w:t>
      </w:r>
    </w:p>
    <w:p w14:paraId="22D79E17">
      <w:pPr>
        <w:ind w:firstLine="480"/>
        <w:rPr>
          <w:rFonts w:hint="eastAsia"/>
          <w:lang w:eastAsia="zh-CN"/>
        </w:rPr>
      </w:pPr>
      <w:r>
        <w:rPr>
          <w:rFonts w:hint="eastAsia"/>
        </w:rPr>
        <w:t>综上，</w:t>
      </w:r>
      <w:r>
        <w:rPr>
          <w:rFonts w:hint="eastAsia"/>
          <w:lang w:val="en-US" w:eastAsia="zh-CN"/>
        </w:rPr>
        <w:t>本项目生产期间，生产废水、初期雨水不外排</w:t>
      </w:r>
      <w:r>
        <w:rPr>
          <w:rFonts w:hint="eastAsia"/>
        </w:rPr>
        <w:t>，</w:t>
      </w:r>
      <w:r>
        <w:t>生活污水经过化粪池预处理后，接管排入园区污水处理厂集中处理。</w:t>
      </w:r>
      <w:r>
        <w:rPr>
          <w:rFonts w:hint="eastAsia"/>
          <w:lang w:val="en-US" w:eastAsia="zh-CN"/>
        </w:rPr>
        <w:t>非生产期间，厂内初期雨水经废水站处理达标后</w:t>
      </w:r>
      <w:r>
        <w:t>接管排入园区污水处理厂集中处理</w:t>
      </w:r>
      <w:r>
        <w:rPr>
          <w:rFonts w:hint="eastAsia"/>
          <w:lang w:eastAsia="zh-CN"/>
        </w:rPr>
        <w:t>。</w:t>
      </w:r>
    </w:p>
    <w:p w14:paraId="4F655D83">
      <w:pPr>
        <w:ind w:firstLine="480"/>
      </w:pPr>
      <w:r>
        <w:rPr>
          <w:rFonts w:hint="eastAsia"/>
          <w:lang w:val="en-US" w:eastAsia="zh-CN"/>
        </w:rPr>
        <w:t>本项目</w:t>
      </w:r>
      <w:r>
        <w:rPr>
          <w:rFonts w:hint="eastAsia"/>
        </w:rPr>
        <w:t>生活污水产生及排放情况具体见下表。</w:t>
      </w:r>
    </w:p>
    <w:p w14:paraId="790EF4E7">
      <w:pPr>
        <w:keepNext/>
        <w:numPr>
          <w:ilvl w:val="5"/>
          <w:numId w:val="1"/>
        </w:numPr>
        <w:snapToGrid w:val="0"/>
        <w:spacing w:line="240" w:lineRule="auto"/>
        <w:ind w:firstLine="420" w:firstLineChars="0"/>
        <w:jc w:val="center"/>
        <w:rPr>
          <w:b/>
          <w:bCs/>
          <w:sz w:val="21"/>
          <w:szCs w:val="21"/>
        </w:rPr>
      </w:pPr>
      <w:r>
        <w:rPr>
          <w:rFonts w:hint="eastAsia"/>
          <w:b/>
          <w:bCs/>
          <w:sz w:val="21"/>
          <w:szCs w:val="21"/>
        </w:rPr>
        <w:t>本项目生活污水产排情况一览表</w:t>
      </w:r>
    </w:p>
    <w:tbl>
      <w:tblPr>
        <w:tblStyle w:val="32"/>
        <w:tblW w:w="4998" w:type="pct"/>
        <w:jc w:val="center"/>
        <w:tblLayout w:type="autofit"/>
        <w:tblCellMar>
          <w:top w:w="0" w:type="dxa"/>
          <w:left w:w="108" w:type="dxa"/>
          <w:bottom w:w="0" w:type="dxa"/>
          <w:right w:w="108" w:type="dxa"/>
        </w:tblCellMar>
      </w:tblPr>
      <w:tblGrid>
        <w:gridCol w:w="1701"/>
        <w:gridCol w:w="1704"/>
        <w:gridCol w:w="1704"/>
        <w:gridCol w:w="1704"/>
        <w:gridCol w:w="1706"/>
      </w:tblGrid>
      <w:tr w14:paraId="42832D99">
        <w:tblPrEx>
          <w:tblCellMar>
            <w:top w:w="0" w:type="dxa"/>
            <w:left w:w="108" w:type="dxa"/>
            <w:bottom w:w="0" w:type="dxa"/>
            <w:right w:w="108" w:type="dxa"/>
          </w:tblCellMar>
        </w:tblPrEx>
        <w:trPr>
          <w:trHeight w:val="170" w:hRule="atLeast"/>
          <w:tblHeader/>
          <w:jc w:val="center"/>
        </w:trPr>
        <w:tc>
          <w:tcPr>
            <w:tcW w:w="9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793D7D">
            <w:pPr>
              <w:pStyle w:val="45"/>
              <w:rPr>
                <w:rFonts w:hint="default"/>
                <w:b/>
                <w:bCs/>
              </w:rPr>
            </w:pPr>
            <w:r>
              <w:rPr>
                <w:b/>
                <w:bCs/>
              </w:rPr>
              <w:t>污染源</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D401A3">
            <w:pPr>
              <w:pStyle w:val="45"/>
              <w:rPr>
                <w:rFonts w:hint="default"/>
                <w:b/>
                <w:bCs/>
              </w:rPr>
            </w:pPr>
            <w:r>
              <w:rPr>
                <w:b/>
                <w:bCs/>
              </w:rPr>
              <w:t>产污浓度</w:t>
            </w:r>
            <w:r>
              <w:rPr>
                <w:rFonts w:hint="default"/>
                <w:b/>
                <w:bCs/>
              </w:rPr>
              <w:t>(mg/L)</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44680C">
            <w:pPr>
              <w:pStyle w:val="45"/>
              <w:rPr>
                <w:rFonts w:hint="default"/>
                <w:b/>
                <w:bCs/>
              </w:rPr>
            </w:pPr>
            <w:r>
              <w:rPr>
                <w:b/>
                <w:bCs/>
              </w:rPr>
              <w:t>产污量（</w:t>
            </w:r>
            <w:r>
              <w:rPr>
                <w:rFonts w:hint="default"/>
                <w:b/>
                <w:bCs/>
              </w:rPr>
              <w:t>t/a</w:t>
            </w:r>
            <w:r>
              <w:rPr>
                <w:b/>
                <w:bCs/>
              </w:rPr>
              <w:t>）</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115F51">
            <w:pPr>
              <w:pStyle w:val="45"/>
              <w:rPr>
                <w:rFonts w:hint="default"/>
                <w:b/>
                <w:bCs/>
              </w:rPr>
            </w:pPr>
            <w:r>
              <w:rPr>
                <w:b/>
                <w:bCs/>
              </w:rPr>
              <w:t>排污浓度</w:t>
            </w:r>
            <w:r>
              <w:rPr>
                <w:rFonts w:hint="default"/>
                <w:b/>
                <w:bCs/>
              </w:rPr>
              <w:t>(mg/L)</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4F39C0">
            <w:pPr>
              <w:pStyle w:val="45"/>
              <w:rPr>
                <w:rFonts w:hint="default"/>
                <w:b/>
                <w:bCs/>
              </w:rPr>
            </w:pPr>
            <w:r>
              <w:rPr>
                <w:b/>
                <w:bCs/>
              </w:rPr>
              <w:t>排污量（</w:t>
            </w:r>
            <w:r>
              <w:rPr>
                <w:rFonts w:hint="default"/>
                <w:b/>
                <w:bCs/>
              </w:rPr>
              <w:t>t/a</w:t>
            </w:r>
            <w:r>
              <w:rPr>
                <w:b/>
                <w:bCs/>
              </w:rPr>
              <w:t>）</w:t>
            </w:r>
          </w:p>
        </w:tc>
      </w:tr>
      <w:tr w14:paraId="71356518">
        <w:tblPrEx>
          <w:tblCellMar>
            <w:top w:w="0" w:type="dxa"/>
            <w:left w:w="108" w:type="dxa"/>
            <w:bottom w:w="0" w:type="dxa"/>
            <w:right w:w="108" w:type="dxa"/>
          </w:tblCellMar>
        </w:tblPrEx>
        <w:trPr>
          <w:trHeight w:val="170" w:hRule="atLeast"/>
          <w:jc w:val="center"/>
        </w:trPr>
        <w:tc>
          <w:tcPr>
            <w:tcW w:w="9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F0D4E3">
            <w:pPr>
              <w:pStyle w:val="45"/>
              <w:rPr>
                <w:rFonts w:hint="default"/>
              </w:rPr>
            </w:pPr>
            <w:r>
              <w:t>水量</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F800C7">
            <w:pPr>
              <w:pStyle w:val="45"/>
              <w:rPr>
                <w:rFonts w:hint="default"/>
              </w:rPr>
            </w:pPr>
            <w:r>
              <w:t>/</w:t>
            </w:r>
          </w:p>
        </w:tc>
        <w:tc>
          <w:tcPr>
            <w:tcW w:w="10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F32548">
            <w:pPr>
              <w:pStyle w:val="45"/>
              <w:rPr>
                <w:rFonts w:hint="default"/>
              </w:rPr>
            </w:pPr>
            <w:r>
              <w:t>1976</w:t>
            </w:r>
          </w:p>
        </w:tc>
        <w:tc>
          <w:tcPr>
            <w:tcW w:w="10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537B7F">
            <w:pPr>
              <w:pStyle w:val="45"/>
              <w:rPr>
                <w:rFonts w:hint="default"/>
              </w:rPr>
            </w:pPr>
            <w:r>
              <w:t>/</w:t>
            </w:r>
          </w:p>
        </w:tc>
        <w:tc>
          <w:tcPr>
            <w:tcW w:w="10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8662E">
            <w:pPr>
              <w:pStyle w:val="45"/>
              <w:rPr>
                <w:rFonts w:hint="default"/>
              </w:rPr>
            </w:pPr>
            <w:r>
              <w:t>1976</w:t>
            </w:r>
          </w:p>
        </w:tc>
      </w:tr>
      <w:tr w14:paraId="6386910E">
        <w:tblPrEx>
          <w:tblCellMar>
            <w:top w:w="0" w:type="dxa"/>
            <w:left w:w="108" w:type="dxa"/>
            <w:bottom w:w="0" w:type="dxa"/>
            <w:right w:w="108" w:type="dxa"/>
          </w:tblCellMar>
        </w:tblPrEx>
        <w:trPr>
          <w:trHeight w:val="170" w:hRule="atLeast"/>
          <w:jc w:val="center"/>
        </w:trPr>
        <w:tc>
          <w:tcPr>
            <w:tcW w:w="9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9B014">
            <w:pPr>
              <w:pStyle w:val="45"/>
              <w:rPr>
                <w:rFonts w:hint="default"/>
              </w:rPr>
            </w:pPr>
            <w:r>
              <w:rPr>
                <w:rFonts w:hint="default"/>
              </w:rPr>
              <w:t>COD</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62F54">
            <w:pPr>
              <w:pStyle w:val="45"/>
              <w:rPr>
                <w:rFonts w:hint="default"/>
                <w:lang w:val="en-US"/>
              </w:rPr>
            </w:pPr>
            <w:r>
              <w:rPr>
                <w:rFonts w:hint="default"/>
                <w:lang w:val="en-US" w:eastAsia="zh-CN"/>
              </w:rPr>
              <w:t>250</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8805C">
            <w:pPr>
              <w:pStyle w:val="45"/>
              <w:rPr>
                <w:rFonts w:hint="default"/>
                <w:lang w:val="en-US" w:eastAsia="zh-CN"/>
              </w:rPr>
            </w:pPr>
            <w:r>
              <w:rPr>
                <w:rFonts w:hint="default"/>
                <w:lang w:val="en-US" w:eastAsia="zh-CN"/>
              </w:rPr>
              <w:t>0.494</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2D8E6">
            <w:pPr>
              <w:pStyle w:val="45"/>
              <w:rPr>
                <w:rFonts w:hint="default"/>
              </w:rPr>
            </w:pPr>
            <w:r>
              <w:rPr>
                <w:rFonts w:hint="default"/>
                <w:lang w:val="en-US" w:eastAsia="zh-CN"/>
              </w:rPr>
              <w:t>200</w:t>
            </w:r>
          </w:p>
        </w:tc>
        <w:tc>
          <w:tcPr>
            <w:tcW w:w="1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4E16E">
            <w:pPr>
              <w:pStyle w:val="45"/>
              <w:rPr>
                <w:rFonts w:hint="default"/>
              </w:rPr>
            </w:pPr>
            <w:r>
              <w:rPr>
                <w:rFonts w:hint="default"/>
                <w:lang w:val="en-US" w:eastAsia="zh-CN"/>
              </w:rPr>
              <w:t>0.3952</w:t>
            </w:r>
          </w:p>
        </w:tc>
      </w:tr>
      <w:tr w14:paraId="38DD449C">
        <w:tblPrEx>
          <w:tblCellMar>
            <w:top w:w="0" w:type="dxa"/>
            <w:left w:w="108" w:type="dxa"/>
            <w:bottom w:w="0" w:type="dxa"/>
            <w:right w:w="108" w:type="dxa"/>
          </w:tblCellMar>
        </w:tblPrEx>
        <w:trPr>
          <w:trHeight w:val="170" w:hRule="atLeast"/>
          <w:jc w:val="center"/>
        </w:trPr>
        <w:tc>
          <w:tcPr>
            <w:tcW w:w="9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55440">
            <w:pPr>
              <w:pStyle w:val="45"/>
              <w:rPr>
                <w:rFonts w:hint="default"/>
              </w:rPr>
            </w:pPr>
            <w:r>
              <w:rPr>
                <w:rFonts w:hint="default"/>
              </w:rPr>
              <w:t>BOD</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327FE">
            <w:pPr>
              <w:pStyle w:val="45"/>
              <w:rPr>
                <w:rFonts w:hint="default"/>
                <w:lang w:val="en-US" w:eastAsia="zh-CN"/>
              </w:rPr>
            </w:pPr>
            <w:r>
              <w:rPr>
                <w:rFonts w:hint="default"/>
                <w:lang w:val="en-US" w:eastAsia="zh-CN"/>
              </w:rPr>
              <w:t>200</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9C9AC7">
            <w:pPr>
              <w:pStyle w:val="45"/>
              <w:rPr>
                <w:rFonts w:hint="default"/>
              </w:rPr>
            </w:pPr>
            <w:r>
              <w:rPr>
                <w:rFonts w:hint="default"/>
                <w:lang w:val="en-US" w:eastAsia="zh-CN"/>
              </w:rPr>
              <w:t>0.3952</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BBAFC">
            <w:pPr>
              <w:pStyle w:val="45"/>
              <w:rPr>
                <w:rFonts w:hint="default"/>
              </w:rPr>
            </w:pPr>
            <w:r>
              <w:rPr>
                <w:rFonts w:hint="default"/>
                <w:lang w:val="en-US" w:eastAsia="zh-CN"/>
              </w:rPr>
              <w:t>150</w:t>
            </w:r>
          </w:p>
        </w:tc>
        <w:tc>
          <w:tcPr>
            <w:tcW w:w="1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84812">
            <w:pPr>
              <w:pStyle w:val="45"/>
              <w:rPr>
                <w:rFonts w:hint="default"/>
              </w:rPr>
            </w:pPr>
            <w:r>
              <w:rPr>
                <w:rFonts w:hint="default"/>
                <w:lang w:val="en-US" w:eastAsia="zh-CN"/>
              </w:rPr>
              <w:t>0.2964</w:t>
            </w:r>
          </w:p>
        </w:tc>
      </w:tr>
      <w:tr w14:paraId="78E6D6B0">
        <w:tblPrEx>
          <w:tblCellMar>
            <w:top w:w="0" w:type="dxa"/>
            <w:left w:w="108" w:type="dxa"/>
            <w:bottom w:w="0" w:type="dxa"/>
            <w:right w:w="108" w:type="dxa"/>
          </w:tblCellMar>
        </w:tblPrEx>
        <w:trPr>
          <w:trHeight w:val="170" w:hRule="atLeast"/>
          <w:jc w:val="center"/>
        </w:trPr>
        <w:tc>
          <w:tcPr>
            <w:tcW w:w="9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CB17B">
            <w:pPr>
              <w:pStyle w:val="45"/>
              <w:rPr>
                <w:rFonts w:hint="default"/>
              </w:rPr>
            </w:pPr>
            <w:r>
              <w:t>氨氮</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1CB69">
            <w:pPr>
              <w:pStyle w:val="45"/>
              <w:rPr>
                <w:rFonts w:hint="default"/>
                <w:lang w:val="en-US" w:eastAsia="zh-CN"/>
              </w:rPr>
            </w:pPr>
            <w:r>
              <w:rPr>
                <w:rFonts w:hint="default"/>
                <w:lang w:val="en-US" w:eastAsia="zh-CN"/>
              </w:rPr>
              <w:t>30</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6EDF3">
            <w:pPr>
              <w:pStyle w:val="45"/>
              <w:rPr>
                <w:rFonts w:hint="default"/>
              </w:rPr>
            </w:pPr>
            <w:r>
              <w:rPr>
                <w:rFonts w:hint="default"/>
                <w:lang w:val="en-US" w:eastAsia="zh-CN"/>
              </w:rPr>
              <w:t>0.05928</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439C20">
            <w:pPr>
              <w:pStyle w:val="45"/>
              <w:rPr>
                <w:rFonts w:hint="default"/>
              </w:rPr>
            </w:pPr>
            <w:r>
              <w:rPr>
                <w:rFonts w:hint="default"/>
                <w:lang w:val="en-US" w:eastAsia="zh-CN"/>
              </w:rPr>
              <w:t>25</w:t>
            </w:r>
          </w:p>
        </w:tc>
        <w:tc>
          <w:tcPr>
            <w:tcW w:w="1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F9288">
            <w:pPr>
              <w:pStyle w:val="45"/>
              <w:rPr>
                <w:rFonts w:hint="default"/>
              </w:rPr>
            </w:pPr>
            <w:r>
              <w:rPr>
                <w:rFonts w:hint="default"/>
                <w:lang w:val="en-US" w:eastAsia="zh-CN"/>
              </w:rPr>
              <w:t>0.0494</w:t>
            </w:r>
          </w:p>
        </w:tc>
      </w:tr>
      <w:tr w14:paraId="7F7E180C">
        <w:tblPrEx>
          <w:tblCellMar>
            <w:top w:w="0" w:type="dxa"/>
            <w:left w:w="108" w:type="dxa"/>
            <w:bottom w:w="0" w:type="dxa"/>
            <w:right w:w="108" w:type="dxa"/>
          </w:tblCellMar>
        </w:tblPrEx>
        <w:trPr>
          <w:trHeight w:val="170" w:hRule="atLeast"/>
          <w:jc w:val="center"/>
        </w:trPr>
        <w:tc>
          <w:tcPr>
            <w:tcW w:w="9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CEA9A5">
            <w:pPr>
              <w:pStyle w:val="45"/>
              <w:rPr>
                <w:rFonts w:hint="default"/>
              </w:rPr>
            </w:pPr>
            <w:r>
              <w:rPr>
                <w:rFonts w:hint="default"/>
              </w:rPr>
              <w:t>SS</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33841">
            <w:pPr>
              <w:pStyle w:val="45"/>
              <w:rPr>
                <w:rFonts w:hint="default"/>
                <w:lang w:val="en-US" w:eastAsia="zh-CN"/>
              </w:rPr>
            </w:pPr>
            <w:r>
              <w:rPr>
                <w:rFonts w:hint="default"/>
                <w:lang w:val="en-US" w:eastAsia="zh-CN"/>
              </w:rPr>
              <w:t>200</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2FCA3">
            <w:pPr>
              <w:pStyle w:val="45"/>
              <w:rPr>
                <w:rFonts w:hint="default"/>
              </w:rPr>
            </w:pPr>
            <w:r>
              <w:rPr>
                <w:rFonts w:hint="default"/>
                <w:lang w:val="en-US" w:eastAsia="zh-CN"/>
              </w:rPr>
              <w:t>0.3952</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277C1">
            <w:pPr>
              <w:pStyle w:val="45"/>
              <w:rPr>
                <w:rFonts w:hint="default"/>
              </w:rPr>
            </w:pPr>
            <w:r>
              <w:rPr>
                <w:rFonts w:hint="default"/>
                <w:lang w:val="en-US" w:eastAsia="zh-CN"/>
              </w:rPr>
              <w:t>120</w:t>
            </w:r>
          </w:p>
        </w:tc>
        <w:tc>
          <w:tcPr>
            <w:tcW w:w="1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52CD2">
            <w:pPr>
              <w:pStyle w:val="45"/>
              <w:rPr>
                <w:rFonts w:hint="default"/>
              </w:rPr>
            </w:pPr>
            <w:r>
              <w:rPr>
                <w:rFonts w:hint="default"/>
                <w:lang w:val="en-US" w:eastAsia="zh-CN"/>
              </w:rPr>
              <w:t>0.23712</w:t>
            </w:r>
          </w:p>
        </w:tc>
      </w:tr>
    </w:tbl>
    <w:p w14:paraId="1A1E10A1">
      <w:pPr>
        <w:spacing w:line="240" w:lineRule="auto"/>
        <w:ind w:firstLine="480"/>
      </w:pPr>
    </w:p>
    <w:p w14:paraId="2F3A1D13">
      <w:pPr>
        <w:pStyle w:val="43"/>
        <w:numPr>
          <w:ilvl w:val="5"/>
          <w:numId w:val="1"/>
        </w:numPr>
        <w:bidi w:val="0"/>
        <w:rPr>
          <w:rFonts w:hint="eastAsia"/>
          <w:lang w:val="en-US" w:eastAsia="zh-CN"/>
        </w:rPr>
      </w:pPr>
      <w:r>
        <w:rPr>
          <w:rFonts w:hint="eastAsia"/>
          <w:lang w:val="en-US" w:eastAsia="zh-CN"/>
        </w:rPr>
        <w:t>项目废水处理措施情况一览表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35"/>
        <w:gridCol w:w="1280"/>
        <w:gridCol w:w="1200"/>
        <w:gridCol w:w="1177"/>
        <w:gridCol w:w="2735"/>
        <w:gridCol w:w="1295"/>
      </w:tblGrid>
      <w:tr w14:paraId="42B3E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jc w:val="center"/>
        </w:trPr>
        <w:tc>
          <w:tcPr>
            <w:tcW w:w="489" w:type="pct"/>
            <w:shd w:val="clear" w:color="auto" w:fill="auto"/>
            <w:noWrap/>
            <w:vAlign w:val="center"/>
          </w:tcPr>
          <w:p w14:paraId="2617AB8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产生单元</w:t>
            </w:r>
          </w:p>
        </w:tc>
        <w:tc>
          <w:tcPr>
            <w:tcW w:w="750" w:type="pct"/>
            <w:shd w:val="clear" w:color="auto" w:fill="auto"/>
            <w:noWrap/>
            <w:vAlign w:val="center"/>
          </w:tcPr>
          <w:p w14:paraId="6BAD552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污染物名称</w:t>
            </w:r>
          </w:p>
        </w:tc>
        <w:tc>
          <w:tcPr>
            <w:tcW w:w="704" w:type="pct"/>
            <w:shd w:val="clear" w:color="auto" w:fill="auto"/>
            <w:noWrap/>
            <w:vAlign w:val="center"/>
          </w:tcPr>
          <w:p w14:paraId="747124E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产污环节</w:t>
            </w:r>
          </w:p>
        </w:tc>
        <w:tc>
          <w:tcPr>
            <w:tcW w:w="690" w:type="pct"/>
            <w:shd w:val="clear" w:color="auto" w:fill="auto"/>
            <w:noWrap/>
            <w:vAlign w:val="center"/>
          </w:tcPr>
          <w:p w14:paraId="24C55BB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主要污染物成分</w:t>
            </w:r>
          </w:p>
        </w:tc>
        <w:tc>
          <w:tcPr>
            <w:tcW w:w="1604" w:type="pct"/>
            <w:shd w:val="clear" w:color="auto" w:fill="auto"/>
            <w:noWrap/>
            <w:vAlign w:val="center"/>
          </w:tcPr>
          <w:p w14:paraId="0B372B8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处理措施</w:t>
            </w:r>
          </w:p>
        </w:tc>
        <w:tc>
          <w:tcPr>
            <w:tcW w:w="759" w:type="pct"/>
            <w:shd w:val="clear" w:color="auto" w:fill="auto"/>
            <w:noWrap/>
            <w:vAlign w:val="center"/>
          </w:tcPr>
          <w:p w14:paraId="3BE5FEA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是否属于可行技术</w:t>
            </w:r>
          </w:p>
        </w:tc>
      </w:tr>
      <w:tr w14:paraId="65699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jc w:val="center"/>
        </w:trPr>
        <w:tc>
          <w:tcPr>
            <w:tcW w:w="489" w:type="pct"/>
            <w:vMerge w:val="restart"/>
            <w:shd w:val="clear" w:color="auto" w:fill="auto"/>
            <w:noWrap/>
            <w:vAlign w:val="center"/>
          </w:tcPr>
          <w:p w14:paraId="2FA04BB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工艺生产装置</w:t>
            </w:r>
          </w:p>
        </w:tc>
        <w:tc>
          <w:tcPr>
            <w:tcW w:w="750" w:type="pct"/>
            <w:shd w:val="clear" w:color="auto" w:fill="auto"/>
            <w:noWrap/>
            <w:vAlign w:val="center"/>
          </w:tcPr>
          <w:p w14:paraId="55DD61E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碱喷淋废水</w:t>
            </w:r>
          </w:p>
        </w:tc>
        <w:tc>
          <w:tcPr>
            <w:tcW w:w="704" w:type="pct"/>
            <w:shd w:val="clear" w:color="auto" w:fill="auto"/>
            <w:noWrap/>
            <w:vAlign w:val="center"/>
          </w:tcPr>
          <w:p w14:paraId="036771D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电解尾气尾气处理装置</w:t>
            </w:r>
          </w:p>
        </w:tc>
        <w:tc>
          <w:tcPr>
            <w:tcW w:w="690" w:type="pct"/>
            <w:shd w:val="clear" w:color="auto" w:fill="auto"/>
            <w:noWrap/>
            <w:vAlign w:val="center"/>
          </w:tcPr>
          <w:p w14:paraId="5DF7D1F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Cl</w:t>
            </w:r>
            <w:r>
              <w:rPr>
                <w:rFonts w:hint="default" w:ascii="Times New Roman" w:hAnsi="Times New Roman" w:eastAsia="宋体" w:cs="Times New Roman"/>
                <w:i w:val="0"/>
                <w:iCs w:val="0"/>
                <w:color w:val="000000"/>
                <w:kern w:val="0"/>
                <w:sz w:val="21"/>
                <w:szCs w:val="21"/>
                <w:u w:val="none"/>
                <w:vertAlign w:val="superscript"/>
                <w:lang w:val="en-US" w:eastAsia="zh-CN" w:bidi="ar"/>
              </w:rPr>
              <w:t>-</w:t>
            </w:r>
            <w:r>
              <w:rPr>
                <w:rFonts w:hint="eastAsia" w:ascii="Times New Roman" w:hAnsi="Times New Roman"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ClO</w:t>
            </w:r>
            <w:r>
              <w:rPr>
                <w:rFonts w:hint="default" w:ascii="Times New Roman" w:hAnsi="Times New Roman" w:eastAsia="宋体" w:cs="Times New Roman"/>
                <w:i w:val="0"/>
                <w:iCs w:val="0"/>
                <w:color w:val="000000"/>
                <w:kern w:val="0"/>
                <w:sz w:val="21"/>
                <w:szCs w:val="21"/>
                <w:u w:val="none"/>
                <w:vertAlign w:val="superscript"/>
                <w:lang w:val="en-US" w:eastAsia="zh-CN" w:bidi="ar"/>
              </w:rPr>
              <w:t>-</w:t>
            </w:r>
          </w:p>
        </w:tc>
        <w:tc>
          <w:tcPr>
            <w:tcW w:w="1604" w:type="pct"/>
            <w:shd w:val="clear" w:color="auto" w:fill="auto"/>
            <w:noWrap/>
            <w:vAlign w:val="center"/>
          </w:tcPr>
          <w:p w14:paraId="22CD731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返回电解工序使用，不外排</w:t>
            </w:r>
          </w:p>
        </w:tc>
        <w:tc>
          <w:tcPr>
            <w:tcW w:w="759" w:type="pct"/>
            <w:shd w:val="clear" w:color="auto" w:fill="auto"/>
            <w:noWrap/>
            <w:vAlign w:val="center"/>
          </w:tcPr>
          <w:p w14:paraId="0244195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w:t>
            </w:r>
          </w:p>
        </w:tc>
      </w:tr>
      <w:tr w14:paraId="4044A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jc w:val="center"/>
        </w:trPr>
        <w:tc>
          <w:tcPr>
            <w:tcW w:w="489" w:type="pct"/>
            <w:vMerge w:val="continue"/>
            <w:shd w:val="clear" w:color="auto" w:fill="auto"/>
            <w:noWrap/>
            <w:vAlign w:val="center"/>
          </w:tcPr>
          <w:p w14:paraId="3939C7BF">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750" w:type="pct"/>
            <w:shd w:val="clear" w:color="auto" w:fill="auto"/>
            <w:noWrap/>
            <w:vAlign w:val="center"/>
          </w:tcPr>
          <w:p w14:paraId="00249D0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真空冷凝水</w:t>
            </w:r>
          </w:p>
        </w:tc>
        <w:tc>
          <w:tcPr>
            <w:tcW w:w="704" w:type="pct"/>
            <w:shd w:val="clear" w:color="auto" w:fill="auto"/>
            <w:noWrap/>
            <w:vAlign w:val="center"/>
          </w:tcPr>
          <w:p w14:paraId="656C7D5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蒸发冷却</w:t>
            </w:r>
          </w:p>
        </w:tc>
        <w:tc>
          <w:tcPr>
            <w:tcW w:w="690" w:type="pct"/>
            <w:shd w:val="clear" w:color="auto" w:fill="auto"/>
            <w:noWrap/>
            <w:vAlign w:val="center"/>
          </w:tcPr>
          <w:p w14:paraId="72388A8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604" w:type="pct"/>
            <w:shd w:val="clear" w:color="auto" w:fill="auto"/>
            <w:noWrap/>
            <w:vAlign w:val="center"/>
          </w:tcPr>
          <w:p w14:paraId="0E00CF2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回用于工艺用水及循环冷却补水，不外排</w:t>
            </w:r>
          </w:p>
        </w:tc>
        <w:tc>
          <w:tcPr>
            <w:tcW w:w="759" w:type="pct"/>
            <w:shd w:val="clear" w:color="auto" w:fill="auto"/>
            <w:noWrap/>
            <w:vAlign w:val="center"/>
          </w:tcPr>
          <w:p w14:paraId="7BB9760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w:t>
            </w:r>
          </w:p>
        </w:tc>
      </w:tr>
      <w:tr w14:paraId="3CF12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jc w:val="center"/>
        </w:trPr>
        <w:tc>
          <w:tcPr>
            <w:tcW w:w="489" w:type="pct"/>
            <w:vMerge w:val="continue"/>
            <w:shd w:val="clear" w:color="auto" w:fill="auto"/>
            <w:noWrap/>
            <w:vAlign w:val="center"/>
          </w:tcPr>
          <w:p w14:paraId="7748F5CB">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750" w:type="pct"/>
            <w:shd w:val="clear" w:color="auto" w:fill="auto"/>
            <w:noWrap/>
            <w:vAlign w:val="center"/>
          </w:tcPr>
          <w:p w14:paraId="0BF5D26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电解槽清洗废水</w:t>
            </w:r>
          </w:p>
        </w:tc>
        <w:tc>
          <w:tcPr>
            <w:tcW w:w="704" w:type="pct"/>
            <w:shd w:val="clear" w:color="auto" w:fill="auto"/>
            <w:noWrap/>
            <w:vAlign w:val="center"/>
          </w:tcPr>
          <w:p w14:paraId="548D73F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电解槽清洗</w:t>
            </w:r>
          </w:p>
        </w:tc>
        <w:tc>
          <w:tcPr>
            <w:tcW w:w="690" w:type="pct"/>
            <w:shd w:val="clear" w:color="auto" w:fill="auto"/>
            <w:noWrap/>
            <w:vAlign w:val="center"/>
          </w:tcPr>
          <w:p w14:paraId="100995D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pH</w:t>
            </w:r>
            <w:r>
              <w:rPr>
                <w:rFonts w:hint="eastAsia" w:ascii="Times New Roman" w:hAnsi="Times New Roman"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Cl</w:t>
            </w:r>
            <w:r>
              <w:rPr>
                <w:rFonts w:hint="default" w:ascii="Times New Roman" w:hAnsi="Times New Roman" w:eastAsia="宋体" w:cs="Times New Roman"/>
                <w:i w:val="0"/>
                <w:iCs w:val="0"/>
                <w:color w:val="000000"/>
                <w:kern w:val="0"/>
                <w:sz w:val="21"/>
                <w:szCs w:val="21"/>
                <w:u w:val="none"/>
                <w:vertAlign w:val="superscript"/>
                <w:lang w:val="en-US" w:eastAsia="zh-CN" w:bidi="ar"/>
              </w:rPr>
              <w:t>-</w:t>
            </w:r>
          </w:p>
        </w:tc>
        <w:tc>
          <w:tcPr>
            <w:tcW w:w="1604" w:type="pct"/>
            <w:shd w:val="clear" w:color="auto" w:fill="auto"/>
            <w:noWrap/>
            <w:vAlign w:val="center"/>
          </w:tcPr>
          <w:p w14:paraId="109E320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回用于电解工序，不外排</w:t>
            </w:r>
          </w:p>
        </w:tc>
        <w:tc>
          <w:tcPr>
            <w:tcW w:w="759" w:type="pct"/>
            <w:shd w:val="clear" w:color="auto" w:fill="auto"/>
            <w:noWrap/>
            <w:vAlign w:val="center"/>
          </w:tcPr>
          <w:p w14:paraId="2E37841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w:t>
            </w:r>
          </w:p>
        </w:tc>
      </w:tr>
      <w:tr w14:paraId="24EF7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jc w:val="center"/>
        </w:trPr>
        <w:tc>
          <w:tcPr>
            <w:tcW w:w="489" w:type="pct"/>
            <w:vMerge w:val="continue"/>
            <w:shd w:val="clear" w:color="auto" w:fill="auto"/>
            <w:noWrap/>
            <w:vAlign w:val="center"/>
          </w:tcPr>
          <w:p w14:paraId="27736690">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750" w:type="pct"/>
            <w:shd w:val="clear" w:color="auto" w:fill="auto"/>
            <w:noWrap/>
            <w:vAlign w:val="center"/>
          </w:tcPr>
          <w:p w14:paraId="24894D7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膜酸洗废水</w:t>
            </w:r>
          </w:p>
        </w:tc>
        <w:tc>
          <w:tcPr>
            <w:tcW w:w="704" w:type="pct"/>
            <w:shd w:val="clear" w:color="auto" w:fill="auto"/>
            <w:noWrap/>
            <w:vAlign w:val="center"/>
          </w:tcPr>
          <w:p w14:paraId="0E3A8CA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膜清洗</w:t>
            </w:r>
          </w:p>
        </w:tc>
        <w:tc>
          <w:tcPr>
            <w:tcW w:w="690" w:type="pct"/>
            <w:shd w:val="clear" w:color="auto" w:fill="auto"/>
            <w:noWrap/>
            <w:vAlign w:val="center"/>
          </w:tcPr>
          <w:p w14:paraId="676D9A0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pH</w:t>
            </w:r>
          </w:p>
        </w:tc>
        <w:tc>
          <w:tcPr>
            <w:tcW w:w="1604" w:type="pct"/>
            <w:shd w:val="clear" w:color="auto" w:fill="auto"/>
            <w:noWrap/>
            <w:vAlign w:val="center"/>
          </w:tcPr>
          <w:p w14:paraId="6F6E1BB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中和后回用于化盐工序，不外排</w:t>
            </w:r>
          </w:p>
        </w:tc>
        <w:tc>
          <w:tcPr>
            <w:tcW w:w="759" w:type="pct"/>
            <w:shd w:val="clear" w:color="auto" w:fill="auto"/>
            <w:noWrap/>
            <w:vAlign w:val="center"/>
          </w:tcPr>
          <w:p w14:paraId="20B12A1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w:t>
            </w:r>
          </w:p>
        </w:tc>
      </w:tr>
      <w:tr w14:paraId="11D88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jc w:val="center"/>
        </w:trPr>
        <w:tc>
          <w:tcPr>
            <w:tcW w:w="489" w:type="pct"/>
            <w:shd w:val="clear" w:color="auto" w:fill="auto"/>
            <w:noWrap/>
            <w:vAlign w:val="center"/>
          </w:tcPr>
          <w:p w14:paraId="4F03DCA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纯水系统</w:t>
            </w:r>
          </w:p>
        </w:tc>
        <w:tc>
          <w:tcPr>
            <w:tcW w:w="750" w:type="pct"/>
            <w:shd w:val="clear" w:color="auto" w:fill="auto"/>
            <w:noWrap/>
            <w:vAlign w:val="center"/>
          </w:tcPr>
          <w:p w14:paraId="01021C3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纯水制备排水</w:t>
            </w:r>
          </w:p>
        </w:tc>
        <w:tc>
          <w:tcPr>
            <w:tcW w:w="704" w:type="pct"/>
            <w:shd w:val="clear" w:color="auto" w:fill="auto"/>
            <w:noWrap/>
            <w:vAlign w:val="center"/>
          </w:tcPr>
          <w:p w14:paraId="63A3684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纯水制备</w:t>
            </w:r>
          </w:p>
        </w:tc>
        <w:tc>
          <w:tcPr>
            <w:tcW w:w="690" w:type="pct"/>
            <w:shd w:val="clear" w:color="auto" w:fill="auto"/>
            <w:noWrap/>
            <w:vAlign w:val="center"/>
          </w:tcPr>
          <w:p w14:paraId="67B2306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Ca</w:t>
            </w:r>
            <w:r>
              <w:rPr>
                <w:rFonts w:hint="default" w:ascii="Times New Roman" w:hAnsi="Times New Roman" w:eastAsia="宋体" w:cs="Times New Roman"/>
                <w:i w:val="0"/>
                <w:iCs w:val="0"/>
                <w:color w:val="000000"/>
                <w:kern w:val="0"/>
                <w:sz w:val="21"/>
                <w:szCs w:val="21"/>
                <w:u w:val="none"/>
                <w:vertAlign w:val="superscript"/>
                <w:lang w:val="en-US" w:eastAsia="zh-CN" w:bidi="ar"/>
              </w:rPr>
              <w:t>2+</w:t>
            </w:r>
            <w:r>
              <w:rPr>
                <w:rFonts w:hint="eastAsia" w:ascii="Times New Roman" w:hAnsi="Times New Roman"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Mg</w:t>
            </w:r>
            <w:r>
              <w:rPr>
                <w:rFonts w:hint="default" w:ascii="Times New Roman" w:hAnsi="Times New Roman" w:eastAsia="宋体" w:cs="Times New Roman"/>
                <w:i w:val="0"/>
                <w:iCs w:val="0"/>
                <w:color w:val="000000"/>
                <w:kern w:val="0"/>
                <w:sz w:val="21"/>
                <w:szCs w:val="21"/>
                <w:u w:val="none"/>
                <w:vertAlign w:val="superscript"/>
                <w:lang w:val="en-US" w:eastAsia="zh-CN" w:bidi="ar"/>
              </w:rPr>
              <w:t>2+</w:t>
            </w:r>
          </w:p>
        </w:tc>
        <w:tc>
          <w:tcPr>
            <w:tcW w:w="1604" w:type="pct"/>
            <w:vMerge w:val="restart"/>
            <w:shd w:val="clear" w:color="auto" w:fill="auto"/>
            <w:vAlign w:val="center"/>
          </w:tcPr>
          <w:p w14:paraId="0B71496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混凝沉淀</w:t>
            </w:r>
            <w:r>
              <w:rPr>
                <w:rFonts w:hint="default" w:ascii="Times New Roman" w:hAnsi="Times New Roman" w:eastAsia="宋体" w:cs="Times New Roman"/>
                <w:i w:val="0"/>
                <w:iCs w:val="0"/>
                <w:color w:val="000000"/>
                <w:kern w:val="0"/>
                <w:sz w:val="21"/>
                <w:szCs w:val="21"/>
                <w:u w:val="none"/>
                <w:lang w:val="en-US" w:eastAsia="zh-CN" w:bidi="ar"/>
              </w:rPr>
              <w:t>+</w:t>
            </w:r>
            <w:r>
              <w:rPr>
                <w:rFonts w:hint="eastAsia" w:ascii="Times New Roman" w:hAnsi="Times New Roman" w:eastAsia="宋体" w:cs="宋体"/>
                <w:i w:val="0"/>
                <w:iCs w:val="0"/>
                <w:color w:val="000000"/>
                <w:kern w:val="0"/>
                <w:sz w:val="21"/>
                <w:szCs w:val="21"/>
                <w:u w:val="none"/>
                <w:lang w:val="en-US" w:eastAsia="zh-CN" w:bidi="ar"/>
              </w:rPr>
              <w:t>砂滤处理后回用于化盐工序，不外排</w:t>
            </w:r>
          </w:p>
        </w:tc>
        <w:tc>
          <w:tcPr>
            <w:tcW w:w="759" w:type="pct"/>
            <w:shd w:val="clear" w:color="auto" w:fill="auto"/>
            <w:noWrap/>
            <w:vAlign w:val="center"/>
          </w:tcPr>
          <w:p w14:paraId="7337929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w:t>
            </w:r>
          </w:p>
        </w:tc>
      </w:tr>
      <w:tr w14:paraId="5A399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jc w:val="center"/>
        </w:trPr>
        <w:tc>
          <w:tcPr>
            <w:tcW w:w="489" w:type="pct"/>
            <w:shd w:val="clear" w:color="auto" w:fill="auto"/>
            <w:noWrap/>
            <w:vAlign w:val="center"/>
          </w:tcPr>
          <w:p w14:paraId="158394A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循环冷却系统</w:t>
            </w:r>
          </w:p>
        </w:tc>
        <w:tc>
          <w:tcPr>
            <w:tcW w:w="750" w:type="pct"/>
            <w:shd w:val="clear" w:color="auto" w:fill="auto"/>
            <w:noWrap/>
            <w:vAlign w:val="center"/>
          </w:tcPr>
          <w:p w14:paraId="0416D15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循环冷却系统排水</w:t>
            </w:r>
          </w:p>
        </w:tc>
        <w:tc>
          <w:tcPr>
            <w:tcW w:w="704" w:type="pct"/>
            <w:shd w:val="clear" w:color="auto" w:fill="auto"/>
            <w:noWrap/>
            <w:vAlign w:val="center"/>
          </w:tcPr>
          <w:p w14:paraId="68DFD94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循环冷却</w:t>
            </w:r>
          </w:p>
        </w:tc>
        <w:tc>
          <w:tcPr>
            <w:tcW w:w="690" w:type="pct"/>
            <w:shd w:val="clear" w:color="auto" w:fill="auto"/>
            <w:noWrap/>
            <w:vAlign w:val="center"/>
          </w:tcPr>
          <w:p w14:paraId="5533DBB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Ca</w:t>
            </w:r>
            <w:r>
              <w:rPr>
                <w:rFonts w:hint="default" w:ascii="Times New Roman" w:hAnsi="Times New Roman" w:eastAsia="宋体" w:cs="Times New Roman"/>
                <w:i w:val="0"/>
                <w:iCs w:val="0"/>
                <w:color w:val="000000"/>
                <w:kern w:val="0"/>
                <w:sz w:val="21"/>
                <w:szCs w:val="21"/>
                <w:u w:val="none"/>
                <w:vertAlign w:val="superscript"/>
                <w:lang w:val="en-US" w:eastAsia="zh-CN" w:bidi="ar"/>
              </w:rPr>
              <w:t>2+</w:t>
            </w:r>
            <w:r>
              <w:rPr>
                <w:rFonts w:hint="eastAsia" w:ascii="Times New Roman" w:hAnsi="Times New Roman"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Mg</w:t>
            </w:r>
            <w:r>
              <w:rPr>
                <w:rFonts w:hint="default" w:ascii="Times New Roman" w:hAnsi="Times New Roman" w:eastAsia="宋体" w:cs="Times New Roman"/>
                <w:i w:val="0"/>
                <w:iCs w:val="0"/>
                <w:color w:val="000000"/>
                <w:kern w:val="0"/>
                <w:sz w:val="21"/>
                <w:szCs w:val="21"/>
                <w:u w:val="none"/>
                <w:vertAlign w:val="superscript"/>
                <w:lang w:val="en-US" w:eastAsia="zh-CN" w:bidi="ar"/>
              </w:rPr>
              <w:t>2+</w:t>
            </w:r>
            <w:r>
              <w:rPr>
                <w:rFonts w:hint="eastAsia" w:ascii="Times New Roman" w:hAnsi="Times New Roman"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Cl</w:t>
            </w:r>
            <w:r>
              <w:rPr>
                <w:rFonts w:hint="default" w:ascii="Times New Roman" w:hAnsi="Times New Roman" w:eastAsia="宋体" w:cs="Times New Roman"/>
                <w:i w:val="0"/>
                <w:iCs w:val="0"/>
                <w:color w:val="000000"/>
                <w:kern w:val="0"/>
                <w:sz w:val="21"/>
                <w:szCs w:val="21"/>
                <w:u w:val="none"/>
                <w:vertAlign w:val="superscript"/>
                <w:lang w:val="en-US" w:eastAsia="zh-CN" w:bidi="ar"/>
              </w:rPr>
              <w:t>-</w:t>
            </w:r>
          </w:p>
        </w:tc>
        <w:tc>
          <w:tcPr>
            <w:tcW w:w="1604" w:type="pct"/>
            <w:vMerge w:val="continue"/>
            <w:shd w:val="clear" w:color="auto" w:fill="auto"/>
            <w:vAlign w:val="center"/>
          </w:tcPr>
          <w:p w14:paraId="5D34F6AC">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759" w:type="pct"/>
            <w:shd w:val="clear" w:color="auto" w:fill="auto"/>
            <w:noWrap/>
            <w:vAlign w:val="center"/>
          </w:tcPr>
          <w:p w14:paraId="5A53180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w:t>
            </w:r>
          </w:p>
        </w:tc>
      </w:tr>
      <w:tr w14:paraId="16B8B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jc w:val="center"/>
        </w:trPr>
        <w:tc>
          <w:tcPr>
            <w:tcW w:w="489" w:type="pct"/>
            <w:vMerge w:val="restart"/>
            <w:shd w:val="clear" w:color="auto" w:fill="auto"/>
            <w:noWrap/>
            <w:vAlign w:val="center"/>
          </w:tcPr>
          <w:p w14:paraId="2B0193E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其他生产单元</w:t>
            </w:r>
          </w:p>
        </w:tc>
        <w:tc>
          <w:tcPr>
            <w:tcW w:w="750" w:type="pct"/>
            <w:shd w:val="clear" w:color="auto" w:fill="auto"/>
            <w:noWrap/>
            <w:vAlign w:val="center"/>
          </w:tcPr>
          <w:p w14:paraId="2F414CA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地面清洗废水</w:t>
            </w:r>
          </w:p>
        </w:tc>
        <w:tc>
          <w:tcPr>
            <w:tcW w:w="704" w:type="pct"/>
            <w:shd w:val="clear" w:color="auto" w:fill="auto"/>
            <w:noWrap/>
            <w:vAlign w:val="center"/>
          </w:tcPr>
          <w:p w14:paraId="58F493F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地面清洗</w:t>
            </w:r>
          </w:p>
        </w:tc>
        <w:tc>
          <w:tcPr>
            <w:tcW w:w="690" w:type="pct"/>
            <w:shd w:val="clear" w:color="auto" w:fill="auto"/>
            <w:noWrap/>
            <w:vAlign w:val="center"/>
          </w:tcPr>
          <w:p w14:paraId="58AEC91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SS</w:t>
            </w:r>
            <w:r>
              <w:rPr>
                <w:rFonts w:hint="eastAsia" w:ascii="Times New Roman" w:hAnsi="Times New Roman" w:eastAsia="宋体" w:cs="宋体"/>
                <w:i w:val="0"/>
                <w:iCs w:val="0"/>
                <w:color w:val="000000"/>
                <w:kern w:val="0"/>
                <w:sz w:val="21"/>
                <w:szCs w:val="21"/>
                <w:u w:val="none"/>
                <w:lang w:val="en-US" w:eastAsia="zh-CN" w:bidi="ar"/>
              </w:rPr>
              <w:t>、盐类</w:t>
            </w:r>
          </w:p>
        </w:tc>
        <w:tc>
          <w:tcPr>
            <w:tcW w:w="1604" w:type="pct"/>
            <w:vMerge w:val="continue"/>
            <w:shd w:val="clear" w:color="auto" w:fill="auto"/>
            <w:vAlign w:val="center"/>
          </w:tcPr>
          <w:p w14:paraId="4D9CD67D">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759" w:type="pct"/>
            <w:shd w:val="clear" w:color="auto" w:fill="auto"/>
            <w:noWrap/>
            <w:vAlign w:val="center"/>
          </w:tcPr>
          <w:p w14:paraId="791DD8B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w:t>
            </w:r>
          </w:p>
        </w:tc>
      </w:tr>
      <w:tr w14:paraId="7A167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jc w:val="center"/>
        </w:trPr>
        <w:tc>
          <w:tcPr>
            <w:tcW w:w="489" w:type="pct"/>
            <w:vMerge w:val="continue"/>
            <w:shd w:val="clear" w:color="auto" w:fill="auto"/>
            <w:noWrap/>
            <w:vAlign w:val="center"/>
          </w:tcPr>
          <w:p w14:paraId="0BEEBE74">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750" w:type="pct"/>
            <w:shd w:val="clear" w:color="auto" w:fill="auto"/>
            <w:noWrap/>
            <w:vAlign w:val="center"/>
          </w:tcPr>
          <w:p w14:paraId="378F3AD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洗车废水</w:t>
            </w:r>
          </w:p>
        </w:tc>
        <w:tc>
          <w:tcPr>
            <w:tcW w:w="704" w:type="pct"/>
            <w:shd w:val="clear" w:color="auto" w:fill="auto"/>
            <w:noWrap/>
            <w:vAlign w:val="center"/>
          </w:tcPr>
          <w:p w14:paraId="67AE79D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车辆清洗</w:t>
            </w:r>
          </w:p>
        </w:tc>
        <w:tc>
          <w:tcPr>
            <w:tcW w:w="690" w:type="pct"/>
            <w:shd w:val="clear" w:color="auto" w:fill="auto"/>
            <w:noWrap/>
            <w:vAlign w:val="center"/>
          </w:tcPr>
          <w:p w14:paraId="231929C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SS</w:t>
            </w:r>
            <w:r>
              <w:rPr>
                <w:rFonts w:hint="eastAsia" w:ascii="Times New Roman" w:hAnsi="Times New Roman" w:eastAsia="宋体" w:cs="宋体"/>
                <w:i w:val="0"/>
                <w:iCs w:val="0"/>
                <w:color w:val="000000"/>
                <w:kern w:val="0"/>
                <w:sz w:val="21"/>
                <w:szCs w:val="21"/>
                <w:u w:val="none"/>
                <w:lang w:val="en-US" w:eastAsia="zh-CN" w:bidi="ar"/>
              </w:rPr>
              <w:t>、盐类</w:t>
            </w:r>
          </w:p>
        </w:tc>
        <w:tc>
          <w:tcPr>
            <w:tcW w:w="1604" w:type="pct"/>
            <w:vMerge w:val="continue"/>
            <w:shd w:val="clear" w:color="auto" w:fill="auto"/>
            <w:vAlign w:val="center"/>
          </w:tcPr>
          <w:p w14:paraId="2E8EDD74">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759" w:type="pct"/>
            <w:shd w:val="clear" w:color="auto" w:fill="auto"/>
            <w:noWrap/>
            <w:vAlign w:val="center"/>
          </w:tcPr>
          <w:p w14:paraId="08F95A6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w:t>
            </w:r>
          </w:p>
        </w:tc>
      </w:tr>
      <w:tr w14:paraId="0053A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jc w:val="center"/>
        </w:trPr>
        <w:tc>
          <w:tcPr>
            <w:tcW w:w="489" w:type="pct"/>
            <w:vMerge w:val="continue"/>
            <w:shd w:val="clear" w:color="auto" w:fill="auto"/>
            <w:noWrap/>
            <w:vAlign w:val="center"/>
          </w:tcPr>
          <w:p w14:paraId="649EC0CE">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750" w:type="pct"/>
            <w:shd w:val="clear" w:color="auto" w:fill="auto"/>
            <w:noWrap/>
            <w:vAlign w:val="center"/>
          </w:tcPr>
          <w:p w14:paraId="20CBA3D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员工清洁废水</w:t>
            </w:r>
          </w:p>
        </w:tc>
        <w:tc>
          <w:tcPr>
            <w:tcW w:w="704" w:type="pct"/>
            <w:shd w:val="clear" w:color="auto" w:fill="auto"/>
            <w:noWrap/>
            <w:vAlign w:val="center"/>
          </w:tcPr>
          <w:p w14:paraId="59118B6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员工清洁</w:t>
            </w:r>
          </w:p>
        </w:tc>
        <w:tc>
          <w:tcPr>
            <w:tcW w:w="690" w:type="pct"/>
            <w:shd w:val="clear" w:color="auto" w:fill="auto"/>
            <w:noWrap/>
            <w:vAlign w:val="center"/>
          </w:tcPr>
          <w:p w14:paraId="0DBB435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盐类</w:t>
            </w:r>
          </w:p>
        </w:tc>
        <w:tc>
          <w:tcPr>
            <w:tcW w:w="1604" w:type="pct"/>
            <w:vMerge w:val="continue"/>
            <w:shd w:val="clear" w:color="auto" w:fill="auto"/>
            <w:vAlign w:val="center"/>
          </w:tcPr>
          <w:p w14:paraId="56CAFBF8">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759" w:type="pct"/>
            <w:shd w:val="clear" w:color="auto" w:fill="auto"/>
            <w:noWrap/>
            <w:vAlign w:val="center"/>
          </w:tcPr>
          <w:p w14:paraId="501DD2C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w:t>
            </w:r>
          </w:p>
        </w:tc>
      </w:tr>
      <w:tr w14:paraId="19754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jc w:val="center"/>
        </w:trPr>
        <w:tc>
          <w:tcPr>
            <w:tcW w:w="489" w:type="pct"/>
            <w:vMerge w:val="continue"/>
            <w:shd w:val="clear" w:color="auto" w:fill="auto"/>
            <w:noWrap/>
            <w:vAlign w:val="center"/>
          </w:tcPr>
          <w:p w14:paraId="59C4B7AF">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750" w:type="pct"/>
            <w:shd w:val="clear" w:color="auto" w:fill="auto"/>
            <w:noWrap/>
            <w:vAlign w:val="center"/>
          </w:tcPr>
          <w:p w14:paraId="0598785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化验室废水</w:t>
            </w:r>
          </w:p>
        </w:tc>
        <w:tc>
          <w:tcPr>
            <w:tcW w:w="704" w:type="pct"/>
            <w:shd w:val="clear" w:color="auto" w:fill="auto"/>
            <w:noWrap/>
            <w:vAlign w:val="center"/>
          </w:tcPr>
          <w:p w14:paraId="79298A2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化验</w:t>
            </w:r>
          </w:p>
        </w:tc>
        <w:tc>
          <w:tcPr>
            <w:tcW w:w="690" w:type="pct"/>
            <w:shd w:val="clear" w:color="auto" w:fill="auto"/>
            <w:noWrap/>
            <w:vAlign w:val="center"/>
          </w:tcPr>
          <w:p w14:paraId="1E76A4A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pH</w:t>
            </w:r>
            <w:r>
              <w:rPr>
                <w:rFonts w:hint="eastAsia" w:ascii="Times New Roman" w:hAnsi="Times New Roman" w:eastAsia="宋体" w:cs="宋体"/>
                <w:i w:val="0"/>
                <w:iCs w:val="0"/>
                <w:color w:val="000000"/>
                <w:kern w:val="0"/>
                <w:sz w:val="21"/>
                <w:szCs w:val="21"/>
                <w:u w:val="none"/>
                <w:lang w:val="en-US" w:eastAsia="zh-CN" w:bidi="ar"/>
              </w:rPr>
              <w:t>、盐类</w:t>
            </w:r>
          </w:p>
        </w:tc>
        <w:tc>
          <w:tcPr>
            <w:tcW w:w="1604" w:type="pct"/>
            <w:vMerge w:val="continue"/>
            <w:shd w:val="clear" w:color="auto" w:fill="auto"/>
            <w:vAlign w:val="center"/>
          </w:tcPr>
          <w:p w14:paraId="137EB5F8">
            <w:pPr>
              <w:keepNext w:val="0"/>
              <w:keepLines w:val="0"/>
              <w:pageBreakBefore w:val="0"/>
              <w:widowControl/>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759" w:type="pct"/>
            <w:shd w:val="clear" w:color="auto" w:fill="auto"/>
            <w:noWrap/>
            <w:vAlign w:val="center"/>
          </w:tcPr>
          <w:p w14:paraId="2A5D729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w:t>
            </w:r>
          </w:p>
        </w:tc>
      </w:tr>
      <w:tr w14:paraId="6EC3D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882" w:hRule="atLeast"/>
          <w:jc w:val="center"/>
        </w:trPr>
        <w:tc>
          <w:tcPr>
            <w:tcW w:w="1240" w:type="pct"/>
            <w:gridSpan w:val="2"/>
            <w:shd w:val="clear" w:color="auto" w:fill="auto"/>
            <w:noWrap/>
            <w:vAlign w:val="center"/>
          </w:tcPr>
          <w:p w14:paraId="064671F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初期雨水</w:t>
            </w:r>
          </w:p>
        </w:tc>
        <w:tc>
          <w:tcPr>
            <w:tcW w:w="704" w:type="pct"/>
            <w:shd w:val="clear" w:color="auto" w:fill="auto"/>
            <w:noWrap/>
            <w:vAlign w:val="center"/>
          </w:tcPr>
          <w:p w14:paraId="3E71248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降雨</w:t>
            </w:r>
          </w:p>
        </w:tc>
        <w:tc>
          <w:tcPr>
            <w:tcW w:w="690" w:type="pct"/>
            <w:shd w:val="clear" w:color="auto" w:fill="auto"/>
            <w:noWrap/>
            <w:vAlign w:val="center"/>
          </w:tcPr>
          <w:p w14:paraId="62CBC9B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SS</w:t>
            </w:r>
            <w:r>
              <w:rPr>
                <w:rFonts w:hint="eastAsia" w:ascii="Times New Roman" w:hAnsi="Times New Roman" w:eastAsia="宋体" w:cs="宋体"/>
                <w:i w:val="0"/>
                <w:iCs w:val="0"/>
                <w:color w:val="000000"/>
                <w:kern w:val="0"/>
                <w:sz w:val="21"/>
                <w:szCs w:val="21"/>
                <w:u w:val="none"/>
                <w:lang w:val="en-US" w:eastAsia="zh-CN" w:bidi="ar"/>
              </w:rPr>
              <w:t>、盐类</w:t>
            </w:r>
          </w:p>
        </w:tc>
        <w:tc>
          <w:tcPr>
            <w:tcW w:w="1604" w:type="pct"/>
            <w:shd w:val="clear" w:color="auto" w:fill="auto"/>
            <w:noWrap/>
            <w:vAlign w:val="center"/>
          </w:tcPr>
          <w:p w14:paraId="1C3B692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kern w:val="0"/>
                <w:sz w:val="21"/>
                <w:szCs w:val="21"/>
                <w:u w:val="none"/>
                <w:lang w:val="en-US" w:eastAsia="zh-CN" w:bidi="ar"/>
              </w:rPr>
            </w:pPr>
            <w:r>
              <w:rPr>
                <w:rFonts w:hint="eastAsia" w:ascii="Times New Roman" w:hAnsi="Times New Roman"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Times New Roman" w:hAnsi="Times New Roman" w:eastAsia="宋体" w:cs="宋体"/>
                <w:i w:val="0"/>
                <w:iCs w:val="0"/>
                <w:color w:val="000000"/>
                <w:kern w:val="0"/>
                <w:sz w:val="21"/>
                <w:szCs w:val="21"/>
                <w:u w:val="none"/>
                <w:lang w:val="en-US" w:eastAsia="zh-CN" w:bidi="ar"/>
              </w:rPr>
              <w:t>）屋面雨水单独设计排水系统，与地面雨水收集系统分开，同时对各池体上部加装雨棚，减少厂区初期雨水总量，设置一个有效容积约</w:t>
            </w:r>
            <w:r>
              <w:rPr>
                <w:rFonts w:hint="default" w:ascii="Times New Roman" w:hAnsi="Times New Roman" w:eastAsia="宋体" w:cs="Times New Roman"/>
                <w:i w:val="0"/>
                <w:iCs w:val="0"/>
                <w:color w:val="000000"/>
                <w:kern w:val="0"/>
                <w:sz w:val="21"/>
                <w:szCs w:val="21"/>
                <w:u w:val="none"/>
                <w:lang w:val="en-US" w:eastAsia="zh-CN" w:bidi="ar"/>
              </w:rPr>
              <w:t>250</w:t>
            </w:r>
            <w:r>
              <w:rPr>
                <w:rFonts w:hint="eastAsia" w:ascii="Times New Roman" w:hAnsi="Times New Roman" w:eastAsia="宋体" w:cs="宋体"/>
                <w:i w:val="0"/>
                <w:iCs w:val="0"/>
                <w:color w:val="000000"/>
                <w:kern w:val="0"/>
                <w:sz w:val="21"/>
                <w:szCs w:val="21"/>
                <w:u w:val="none"/>
                <w:lang w:val="en-US" w:eastAsia="zh-CN" w:bidi="ar"/>
              </w:rPr>
              <w:t>立方米的初期雨水池；</w:t>
            </w:r>
          </w:p>
          <w:p w14:paraId="05E88EE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w:t>
            </w:r>
            <w:r>
              <w:rPr>
                <w:rFonts w:hint="default" w:ascii="Times New Roman" w:hAnsi="Times New Roman" w:eastAsia="宋体" w:cs="Times New Roman"/>
                <w:b/>
                <w:bCs/>
                <w:i w:val="0"/>
                <w:iCs w:val="0"/>
                <w:color w:val="000000"/>
                <w:kern w:val="0"/>
                <w:sz w:val="21"/>
                <w:szCs w:val="21"/>
                <w:u w:val="none"/>
                <w:lang w:val="en-US" w:eastAsia="zh-CN" w:bidi="ar"/>
              </w:rPr>
              <w:t>2</w:t>
            </w:r>
            <w:r>
              <w:rPr>
                <w:rFonts w:hint="eastAsia" w:ascii="Times New Roman" w:hAnsi="Times New Roman" w:eastAsia="宋体" w:cs="宋体"/>
                <w:b/>
                <w:bCs/>
                <w:i w:val="0"/>
                <w:iCs w:val="0"/>
                <w:color w:val="000000"/>
                <w:kern w:val="0"/>
                <w:sz w:val="21"/>
                <w:szCs w:val="21"/>
                <w:u w:val="none"/>
                <w:lang w:val="en-US" w:eastAsia="zh-CN" w:bidi="ar"/>
              </w:rPr>
              <w:t>）正常生产期间，初期雨水经</w:t>
            </w:r>
            <w:r>
              <w:rPr>
                <w:rFonts w:hint="eastAsia" w:cs="宋体"/>
                <w:b/>
                <w:bCs/>
                <w:i w:val="0"/>
                <w:iCs w:val="0"/>
                <w:color w:val="000000"/>
                <w:kern w:val="0"/>
                <w:sz w:val="21"/>
                <w:szCs w:val="21"/>
                <w:u w:val="none"/>
                <w:lang w:val="en-US" w:eastAsia="zh-CN" w:bidi="ar"/>
              </w:rPr>
              <w:t>“</w:t>
            </w:r>
            <w:r>
              <w:rPr>
                <w:rFonts w:hint="eastAsia" w:ascii="Times New Roman" w:hAnsi="Times New Roman" w:eastAsia="宋体" w:cs="宋体"/>
                <w:b/>
                <w:bCs/>
                <w:i w:val="0"/>
                <w:iCs w:val="0"/>
                <w:color w:val="000000"/>
                <w:kern w:val="0"/>
                <w:sz w:val="21"/>
                <w:szCs w:val="21"/>
                <w:u w:val="none"/>
                <w:lang w:val="en-US" w:eastAsia="zh-CN" w:bidi="ar"/>
              </w:rPr>
              <w:t>混凝沉淀</w:t>
            </w:r>
            <w:r>
              <w:rPr>
                <w:rFonts w:hint="default" w:ascii="Times New Roman" w:hAnsi="Times New Roman" w:eastAsia="宋体" w:cs="Times New Roman"/>
                <w:b/>
                <w:bCs/>
                <w:i w:val="0"/>
                <w:iCs w:val="0"/>
                <w:color w:val="000000"/>
                <w:kern w:val="0"/>
                <w:sz w:val="21"/>
                <w:szCs w:val="21"/>
                <w:u w:val="none"/>
                <w:lang w:val="en-US" w:eastAsia="zh-CN" w:bidi="ar"/>
              </w:rPr>
              <w:t>+</w:t>
            </w:r>
            <w:r>
              <w:rPr>
                <w:rFonts w:hint="eastAsia" w:ascii="Times New Roman" w:hAnsi="Times New Roman" w:eastAsia="宋体" w:cs="宋体"/>
                <w:b/>
                <w:bCs/>
                <w:i w:val="0"/>
                <w:iCs w:val="0"/>
                <w:color w:val="000000"/>
                <w:kern w:val="0"/>
                <w:sz w:val="21"/>
                <w:szCs w:val="21"/>
                <w:u w:val="none"/>
                <w:lang w:val="en-US" w:eastAsia="zh-CN" w:bidi="ar"/>
              </w:rPr>
              <w:t>砂滤</w:t>
            </w:r>
            <w:r>
              <w:rPr>
                <w:rFonts w:hint="eastAsia" w:cs="宋体"/>
                <w:b/>
                <w:bCs/>
                <w:i w:val="0"/>
                <w:iCs w:val="0"/>
                <w:color w:val="000000"/>
                <w:kern w:val="0"/>
                <w:sz w:val="21"/>
                <w:szCs w:val="21"/>
                <w:u w:val="none"/>
                <w:lang w:val="en-US" w:eastAsia="zh-CN" w:bidi="ar"/>
              </w:rPr>
              <w:t>”</w:t>
            </w:r>
            <w:r>
              <w:rPr>
                <w:rFonts w:hint="eastAsia" w:ascii="Times New Roman" w:hAnsi="Times New Roman" w:eastAsia="宋体" w:cs="宋体"/>
                <w:b/>
                <w:bCs/>
                <w:i w:val="0"/>
                <w:iCs w:val="0"/>
                <w:color w:val="000000"/>
                <w:kern w:val="0"/>
                <w:sz w:val="21"/>
                <w:szCs w:val="21"/>
                <w:u w:val="none"/>
                <w:lang w:val="en-US" w:eastAsia="zh-CN" w:bidi="ar"/>
              </w:rPr>
              <w:t>处理后回用于化盐工序，不外排；非生产期间，初期雨水经“混凝沉淀</w:t>
            </w:r>
            <w:r>
              <w:rPr>
                <w:rFonts w:hint="default" w:ascii="Times New Roman" w:hAnsi="Times New Roman" w:eastAsia="宋体" w:cs="Times New Roman"/>
                <w:b/>
                <w:bCs/>
                <w:i w:val="0"/>
                <w:iCs w:val="0"/>
                <w:color w:val="000000"/>
                <w:kern w:val="0"/>
                <w:sz w:val="21"/>
                <w:szCs w:val="21"/>
                <w:u w:val="none"/>
                <w:lang w:val="en-US" w:eastAsia="zh-CN" w:bidi="ar"/>
              </w:rPr>
              <w:t>+</w:t>
            </w:r>
            <w:r>
              <w:rPr>
                <w:rFonts w:hint="eastAsia" w:ascii="Times New Roman" w:hAnsi="Times New Roman" w:eastAsia="宋体" w:cs="宋体"/>
                <w:b/>
                <w:bCs/>
                <w:i w:val="0"/>
                <w:iCs w:val="0"/>
                <w:color w:val="000000"/>
                <w:kern w:val="0"/>
                <w:sz w:val="21"/>
                <w:szCs w:val="21"/>
                <w:u w:val="none"/>
                <w:lang w:val="en-US" w:eastAsia="zh-CN" w:bidi="ar"/>
              </w:rPr>
              <w:t>砂滤</w:t>
            </w:r>
            <w:r>
              <w:rPr>
                <w:rFonts w:hint="default" w:ascii="Times New Roman" w:hAnsi="Times New Roman" w:eastAsia="宋体" w:cs="Times New Roman"/>
                <w:b/>
                <w:bCs/>
                <w:i w:val="0"/>
                <w:iCs w:val="0"/>
                <w:color w:val="000000"/>
                <w:kern w:val="0"/>
                <w:sz w:val="21"/>
                <w:szCs w:val="21"/>
                <w:u w:val="none"/>
                <w:lang w:val="en-US" w:eastAsia="zh-CN" w:bidi="ar"/>
              </w:rPr>
              <w:t>+</w:t>
            </w:r>
            <w:r>
              <w:rPr>
                <w:rFonts w:hint="eastAsia" w:ascii="Times New Roman" w:hAnsi="Times New Roman" w:eastAsia="宋体" w:cs="宋体"/>
                <w:b/>
                <w:bCs/>
                <w:i w:val="0"/>
                <w:iCs w:val="0"/>
                <w:color w:val="000000"/>
                <w:kern w:val="0"/>
                <w:sz w:val="21"/>
                <w:szCs w:val="21"/>
                <w:u w:val="none"/>
                <w:lang w:val="en-US" w:eastAsia="zh-CN" w:bidi="ar"/>
              </w:rPr>
              <w:t>离子交换”处理后排入园区污水管网后进入松木污水处理厂深度处理；离子交换树脂清洗废水返回化盐工序循环使用，不外排</w:t>
            </w:r>
          </w:p>
        </w:tc>
        <w:tc>
          <w:tcPr>
            <w:tcW w:w="759" w:type="pct"/>
            <w:shd w:val="clear" w:color="auto" w:fill="auto"/>
            <w:noWrap/>
            <w:vAlign w:val="center"/>
          </w:tcPr>
          <w:p w14:paraId="5F99FB6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根据湖南省制定高氯酸盐地方排放标准的编制说明，离子交换法属于目前处理高氯酸盐使用较多且效果较好的处理方法</w:t>
            </w:r>
          </w:p>
        </w:tc>
      </w:tr>
      <w:tr w14:paraId="56A11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jc w:val="center"/>
        </w:trPr>
        <w:tc>
          <w:tcPr>
            <w:tcW w:w="1240" w:type="pct"/>
            <w:gridSpan w:val="2"/>
            <w:shd w:val="clear" w:color="auto" w:fill="auto"/>
            <w:noWrap/>
            <w:vAlign w:val="center"/>
          </w:tcPr>
          <w:p w14:paraId="4268C50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生活污水</w:t>
            </w:r>
          </w:p>
        </w:tc>
        <w:tc>
          <w:tcPr>
            <w:tcW w:w="704" w:type="pct"/>
            <w:shd w:val="clear" w:color="auto" w:fill="auto"/>
            <w:noWrap/>
            <w:vAlign w:val="center"/>
          </w:tcPr>
          <w:p w14:paraId="6F3AC1D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办公生活</w:t>
            </w:r>
          </w:p>
        </w:tc>
        <w:tc>
          <w:tcPr>
            <w:tcW w:w="690" w:type="pct"/>
            <w:shd w:val="clear" w:color="auto" w:fill="auto"/>
            <w:noWrap/>
            <w:vAlign w:val="center"/>
          </w:tcPr>
          <w:p w14:paraId="71BAF86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COD</w:t>
            </w:r>
            <w:r>
              <w:rPr>
                <w:rFonts w:hint="eastAsia" w:ascii="Times New Roman" w:hAnsi="Times New Roman" w:eastAsia="宋体" w:cs="宋体"/>
                <w:i w:val="0"/>
                <w:iCs w:val="0"/>
                <w:color w:val="000000"/>
                <w:kern w:val="0"/>
                <w:sz w:val="21"/>
                <w:szCs w:val="21"/>
                <w:u w:val="none"/>
                <w:lang w:val="en-US" w:eastAsia="zh-CN" w:bidi="ar"/>
              </w:rPr>
              <w:t>、氨氮</w:t>
            </w:r>
          </w:p>
        </w:tc>
        <w:tc>
          <w:tcPr>
            <w:tcW w:w="1604" w:type="pct"/>
            <w:shd w:val="clear" w:color="auto" w:fill="auto"/>
            <w:noWrap/>
            <w:vAlign w:val="center"/>
          </w:tcPr>
          <w:p w14:paraId="3A517A8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经化粪池处理达标后排入园区污水管网后进入松木污水处理厂深度处理</w:t>
            </w:r>
          </w:p>
        </w:tc>
        <w:tc>
          <w:tcPr>
            <w:tcW w:w="759" w:type="pct"/>
            <w:shd w:val="clear" w:color="auto" w:fill="auto"/>
            <w:noWrap/>
            <w:vAlign w:val="center"/>
          </w:tcPr>
          <w:p w14:paraId="5E60D94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2"/>
                <w:u w:val="none"/>
              </w:rPr>
            </w:pPr>
            <w:r>
              <w:rPr>
                <w:rFonts w:hint="eastAsia" w:ascii="Times New Roman" w:hAnsi="Times New Roman" w:eastAsia="宋体" w:cs="宋体"/>
                <w:b/>
                <w:bCs/>
                <w:i w:val="0"/>
                <w:iCs w:val="0"/>
                <w:color w:val="000000"/>
                <w:kern w:val="0"/>
                <w:sz w:val="21"/>
                <w:szCs w:val="22"/>
                <w:u w:val="none"/>
                <w:lang w:val="en-US" w:eastAsia="zh-CN" w:bidi="ar"/>
              </w:rPr>
              <w:t>是</w:t>
            </w:r>
          </w:p>
        </w:tc>
      </w:tr>
    </w:tbl>
    <w:p w14:paraId="0C204D4D">
      <w:pPr>
        <w:ind w:left="0" w:leftChars="0" w:firstLine="0" w:firstLineChars="0"/>
        <w:rPr>
          <w:rFonts w:hint="eastAsia"/>
          <w:lang w:val="en-US" w:eastAsia="zh-CN"/>
        </w:rPr>
      </w:pPr>
    </w:p>
    <w:p w14:paraId="2111A934">
      <w:pPr>
        <w:spacing w:line="240" w:lineRule="auto"/>
        <w:ind w:firstLine="480"/>
        <w:rPr>
          <w:rFonts w:hint="eastAsia"/>
          <w:lang w:val="en-US" w:eastAsia="zh-CN"/>
        </w:rPr>
      </w:pPr>
    </w:p>
    <w:p w14:paraId="29AC2F87">
      <w:pPr>
        <w:pStyle w:val="4"/>
        <w:numPr>
          <w:ilvl w:val="2"/>
          <w:numId w:val="1"/>
        </w:numPr>
      </w:pPr>
      <w:r>
        <w:rPr>
          <w:rFonts w:hint="eastAsia"/>
        </w:rPr>
        <w:t>噪声</w:t>
      </w:r>
      <w:r>
        <w:t>污染源强及拟采取污染治理措施分析</w:t>
      </w:r>
    </w:p>
    <w:p w14:paraId="0824CBD3">
      <w:pPr>
        <w:ind w:firstLine="480"/>
      </w:pPr>
      <w:r>
        <w:t>噪声主要来源于空压机、各类液泵、离心机、鼓风机、引风机等，设备首先选用环保型低噪声设备，其次采用隔音材料或隔音室加以隔离隔声，风机进出口加消音器进行消音，为了减少震动，功率较大的动设备在基础设计时采取减震措施，安装时注意对称和平衡，随机带来的防震垫和弹簧垫必须调试安装好，通过以上措施，可以使噪声降至75dB(A)以下，经过厂界距离衰减，能够达到《工业企业厂界环境噪声排放标准》(GB12348-2008)3类标准的要求。</w:t>
      </w:r>
    </w:p>
    <w:p w14:paraId="0CB9472B">
      <w:pPr>
        <w:pStyle w:val="43"/>
        <w:numPr>
          <w:ilvl w:val="5"/>
          <w:numId w:val="1"/>
        </w:numPr>
        <w:rPr>
          <w:rFonts w:hint="default"/>
        </w:rPr>
      </w:pPr>
      <w:r>
        <w:rPr>
          <w:rFonts w:hint="default"/>
        </w:rPr>
        <w:t>主要噪声源源强及防治措施表</w:t>
      </w:r>
    </w:p>
    <w:tbl>
      <w:tblPr>
        <w:tblStyle w:val="32"/>
        <w:tblW w:w="4998" w:type="pct"/>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autofit"/>
        <w:tblCellMar>
          <w:top w:w="0" w:type="dxa"/>
          <w:left w:w="108" w:type="dxa"/>
          <w:bottom w:w="0" w:type="dxa"/>
          <w:right w:w="108" w:type="dxa"/>
        </w:tblCellMar>
      </w:tblPr>
      <w:tblGrid>
        <w:gridCol w:w="1269"/>
        <w:gridCol w:w="1269"/>
        <w:gridCol w:w="2230"/>
        <w:gridCol w:w="1521"/>
        <w:gridCol w:w="2230"/>
      </w:tblGrid>
      <w:tr w14:paraId="4CE7A7BF">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170" w:hRule="atLeast"/>
        </w:trPr>
        <w:tc>
          <w:tcPr>
            <w:tcW w:w="744" w:type="pct"/>
            <w:shd w:val="clear" w:color="auto" w:fill="auto"/>
            <w:vAlign w:val="center"/>
          </w:tcPr>
          <w:p w14:paraId="23302DFA">
            <w:pPr>
              <w:pStyle w:val="45"/>
              <w:rPr>
                <w:rFonts w:hint="default"/>
                <w:b/>
                <w:bCs/>
              </w:rPr>
            </w:pPr>
            <w:r>
              <w:rPr>
                <w:b/>
                <w:bCs/>
              </w:rPr>
              <w:t>噪声源</w:t>
            </w:r>
          </w:p>
        </w:tc>
        <w:tc>
          <w:tcPr>
            <w:tcW w:w="744" w:type="pct"/>
            <w:shd w:val="clear" w:color="auto" w:fill="auto"/>
            <w:vAlign w:val="center"/>
          </w:tcPr>
          <w:p w14:paraId="76492EBF">
            <w:pPr>
              <w:pStyle w:val="45"/>
              <w:rPr>
                <w:rFonts w:hint="default"/>
                <w:b/>
                <w:bCs/>
              </w:rPr>
            </w:pPr>
            <w:r>
              <w:rPr>
                <w:b/>
                <w:bCs/>
              </w:rPr>
              <w:t>发声方式</w:t>
            </w:r>
          </w:p>
        </w:tc>
        <w:tc>
          <w:tcPr>
            <w:tcW w:w="1308" w:type="pct"/>
            <w:shd w:val="clear" w:color="auto" w:fill="auto"/>
            <w:vAlign w:val="center"/>
          </w:tcPr>
          <w:p w14:paraId="7FCD24C1">
            <w:pPr>
              <w:pStyle w:val="45"/>
              <w:rPr>
                <w:rFonts w:hint="default"/>
                <w:b/>
                <w:bCs/>
              </w:rPr>
            </w:pPr>
            <w:r>
              <w:rPr>
                <w:b/>
                <w:bCs/>
              </w:rPr>
              <w:t>治理前声级</w:t>
            </w:r>
            <w:r>
              <w:rPr>
                <w:rFonts w:hint="default"/>
                <w:b/>
                <w:bCs/>
              </w:rPr>
              <w:t>dB(A)</w:t>
            </w:r>
          </w:p>
        </w:tc>
        <w:tc>
          <w:tcPr>
            <w:tcW w:w="892" w:type="pct"/>
            <w:shd w:val="clear" w:color="auto" w:fill="auto"/>
            <w:vAlign w:val="center"/>
          </w:tcPr>
          <w:p w14:paraId="5F1B0133">
            <w:pPr>
              <w:pStyle w:val="45"/>
              <w:rPr>
                <w:rFonts w:hint="default"/>
                <w:b/>
                <w:bCs/>
              </w:rPr>
            </w:pPr>
            <w:r>
              <w:rPr>
                <w:b/>
                <w:bCs/>
              </w:rPr>
              <w:t>治理措施</w:t>
            </w:r>
          </w:p>
        </w:tc>
        <w:tc>
          <w:tcPr>
            <w:tcW w:w="1308" w:type="pct"/>
            <w:shd w:val="clear" w:color="auto" w:fill="auto"/>
            <w:vAlign w:val="center"/>
          </w:tcPr>
          <w:p w14:paraId="73ACA086">
            <w:pPr>
              <w:pStyle w:val="45"/>
              <w:rPr>
                <w:rFonts w:hint="default"/>
                <w:b/>
                <w:bCs/>
              </w:rPr>
            </w:pPr>
            <w:r>
              <w:rPr>
                <w:b/>
                <w:bCs/>
              </w:rPr>
              <w:t>治理后声级</w:t>
            </w:r>
            <w:r>
              <w:rPr>
                <w:rFonts w:hint="default"/>
                <w:b/>
                <w:bCs/>
              </w:rPr>
              <w:t>dB(A)</w:t>
            </w:r>
          </w:p>
        </w:tc>
      </w:tr>
      <w:tr w14:paraId="03CC9B59">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170" w:hRule="atLeast"/>
        </w:trPr>
        <w:tc>
          <w:tcPr>
            <w:tcW w:w="744" w:type="pct"/>
            <w:shd w:val="clear" w:color="auto" w:fill="auto"/>
            <w:vAlign w:val="center"/>
          </w:tcPr>
          <w:p w14:paraId="74CC52FA">
            <w:pPr>
              <w:pStyle w:val="45"/>
              <w:rPr>
                <w:rFonts w:hint="default"/>
              </w:rPr>
            </w:pPr>
            <w:r>
              <w:t>机泵类</w:t>
            </w:r>
          </w:p>
        </w:tc>
        <w:tc>
          <w:tcPr>
            <w:tcW w:w="744" w:type="pct"/>
            <w:shd w:val="clear" w:color="auto" w:fill="auto"/>
            <w:vAlign w:val="center"/>
          </w:tcPr>
          <w:p w14:paraId="678FF99B">
            <w:pPr>
              <w:pStyle w:val="45"/>
              <w:rPr>
                <w:rFonts w:hint="default"/>
              </w:rPr>
            </w:pPr>
            <w:r>
              <w:t>连续</w:t>
            </w:r>
          </w:p>
        </w:tc>
        <w:tc>
          <w:tcPr>
            <w:tcW w:w="1308" w:type="pct"/>
            <w:shd w:val="clear" w:color="auto" w:fill="auto"/>
            <w:vAlign w:val="center"/>
          </w:tcPr>
          <w:p w14:paraId="2B9D88A9">
            <w:pPr>
              <w:pStyle w:val="45"/>
              <w:rPr>
                <w:rFonts w:hint="default"/>
              </w:rPr>
            </w:pPr>
            <w:r>
              <w:rPr>
                <w:rFonts w:hint="default"/>
              </w:rPr>
              <w:t>85</w:t>
            </w:r>
          </w:p>
        </w:tc>
        <w:tc>
          <w:tcPr>
            <w:tcW w:w="892" w:type="pct"/>
            <w:shd w:val="clear" w:color="auto" w:fill="auto"/>
            <w:vAlign w:val="center"/>
          </w:tcPr>
          <w:p w14:paraId="41B614EC">
            <w:pPr>
              <w:pStyle w:val="45"/>
              <w:rPr>
                <w:rFonts w:hint="default"/>
              </w:rPr>
            </w:pPr>
            <w:r>
              <w:t>隔声、减振</w:t>
            </w:r>
          </w:p>
        </w:tc>
        <w:tc>
          <w:tcPr>
            <w:tcW w:w="1308" w:type="pct"/>
            <w:shd w:val="clear" w:color="auto" w:fill="auto"/>
            <w:vAlign w:val="center"/>
          </w:tcPr>
          <w:p w14:paraId="5D725D5C">
            <w:pPr>
              <w:pStyle w:val="45"/>
              <w:rPr>
                <w:rFonts w:hint="default"/>
              </w:rPr>
            </w:pPr>
            <w:r>
              <w:rPr>
                <w:rFonts w:hint="default"/>
              </w:rPr>
              <w:t>60</w:t>
            </w:r>
          </w:p>
        </w:tc>
      </w:tr>
      <w:tr w14:paraId="09465115">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170" w:hRule="atLeast"/>
        </w:trPr>
        <w:tc>
          <w:tcPr>
            <w:tcW w:w="744" w:type="pct"/>
            <w:shd w:val="clear" w:color="auto" w:fill="auto"/>
            <w:vAlign w:val="center"/>
          </w:tcPr>
          <w:p w14:paraId="5C371363">
            <w:pPr>
              <w:pStyle w:val="45"/>
              <w:rPr>
                <w:rFonts w:hint="default"/>
              </w:rPr>
            </w:pPr>
            <w:r>
              <w:t>压滤机</w:t>
            </w:r>
          </w:p>
        </w:tc>
        <w:tc>
          <w:tcPr>
            <w:tcW w:w="744" w:type="pct"/>
            <w:shd w:val="clear" w:color="auto" w:fill="auto"/>
            <w:vAlign w:val="center"/>
          </w:tcPr>
          <w:p w14:paraId="227B9162">
            <w:pPr>
              <w:pStyle w:val="45"/>
              <w:rPr>
                <w:rFonts w:hint="default"/>
              </w:rPr>
            </w:pPr>
            <w:r>
              <w:t>连续</w:t>
            </w:r>
          </w:p>
        </w:tc>
        <w:tc>
          <w:tcPr>
            <w:tcW w:w="1308" w:type="pct"/>
            <w:shd w:val="clear" w:color="auto" w:fill="auto"/>
            <w:vAlign w:val="center"/>
          </w:tcPr>
          <w:p w14:paraId="314AECEA">
            <w:pPr>
              <w:pStyle w:val="45"/>
              <w:rPr>
                <w:rFonts w:hint="default"/>
              </w:rPr>
            </w:pPr>
            <w:r>
              <w:rPr>
                <w:rFonts w:hint="default"/>
              </w:rPr>
              <w:t>85</w:t>
            </w:r>
          </w:p>
        </w:tc>
        <w:tc>
          <w:tcPr>
            <w:tcW w:w="892" w:type="pct"/>
            <w:shd w:val="clear" w:color="auto" w:fill="auto"/>
            <w:vAlign w:val="center"/>
          </w:tcPr>
          <w:p w14:paraId="1A1D6B12">
            <w:pPr>
              <w:pStyle w:val="45"/>
              <w:rPr>
                <w:rFonts w:hint="default"/>
              </w:rPr>
            </w:pPr>
            <w:r>
              <w:t>隔声、减振</w:t>
            </w:r>
          </w:p>
        </w:tc>
        <w:tc>
          <w:tcPr>
            <w:tcW w:w="1308" w:type="pct"/>
            <w:shd w:val="clear" w:color="auto" w:fill="auto"/>
            <w:vAlign w:val="center"/>
          </w:tcPr>
          <w:p w14:paraId="26B05D42">
            <w:pPr>
              <w:pStyle w:val="45"/>
              <w:rPr>
                <w:rFonts w:hint="default"/>
              </w:rPr>
            </w:pPr>
            <w:r>
              <w:rPr>
                <w:rFonts w:hint="default"/>
              </w:rPr>
              <w:t>60</w:t>
            </w:r>
          </w:p>
        </w:tc>
      </w:tr>
      <w:tr w14:paraId="372CD5B8">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170" w:hRule="atLeast"/>
        </w:trPr>
        <w:tc>
          <w:tcPr>
            <w:tcW w:w="744" w:type="pct"/>
            <w:shd w:val="clear" w:color="auto" w:fill="auto"/>
            <w:vAlign w:val="center"/>
          </w:tcPr>
          <w:p w14:paraId="57EBDFC8">
            <w:pPr>
              <w:pStyle w:val="45"/>
              <w:rPr>
                <w:rFonts w:hint="default"/>
              </w:rPr>
            </w:pPr>
            <w:r>
              <w:t>引风机</w:t>
            </w:r>
          </w:p>
        </w:tc>
        <w:tc>
          <w:tcPr>
            <w:tcW w:w="744" w:type="pct"/>
            <w:shd w:val="clear" w:color="auto" w:fill="auto"/>
            <w:vAlign w:val="center"/>
          </w:tcPr>
          <w:p w14:paraId="7799A6F9">
            <w:pPr>
              <w:pStyle w:val="45"/>
              <w:rPr>
                <w:rFonts w:hint="default"/>
              </w:rPr>
            </w:pPr>
            <w:r>
              <w:t>连续</w:t>
            </w:r>
          </w:p>
        </w:tc>
        <w:tc>
          <w:tcPr>
            <w:tcW w:w="1308" w:type="pct"/>
            <w:shd w:val="clear" w:color="auto" w:fill="auto"/>
            <w:vAlign w:val="center"/>
          </w:tcPr>
          <w:p w14:paraId="5FEA7440">
            <w:pPr>
              <w:pStyle w:val="45"/>
              <w:rPr>
                <w:rFonts w:hint="default"/>
              </w:rPr>
            </w:pPr>
            <w:r>
              <w:rPr>
                <w:rFonts w:hint="default"/>
              </w:rPr>
              <w:t>90</w:t>
            </w:r>
          </w:p>
        </w:tc>
        <w:tc>
          <w:tcPr>
            <w:tcW w:w="892" w:type="pct"/>
            <w:shd w:val="clear" w:color="auto" w:fill="auto"/>
            <w:vAlign w:val="center"/>
          </w:tcPr>
          <w:p w14:paraId="7A60CA1C">
            <w:pPr>
              <w:pStyle w:val="45"/>
              <w:rPr>
                <w:rFonts w:hint="default"/>
              </w:rPr>
            </w:pPr>
            <w:r>
              <w:t>隔声、减振</w:t>
            </w:r>
          </w:p>
        </w:tc>
        <w:tc>
          <w:tcPr>
            <w:tcW w:w="1308" w:type="pct"/>
            <w:shd w:val="clear" w:color="auto" w:fill="auto"/>
            <w:vAlign w:val="center"/>
          </w:tcPr>
          <w:p w14:paraId="70774946">
            <w:pPr>
              <w:pStyle w:val="45"/>
              <w:rPr>
                <w:rFonts w:hint="default"/>
              </w:rPr>
            </w:pPr>
            <w:r>
              <w:rPr>
                <w:rFonts w:hint="default"/>
              </w:rPr>
              <w:t>65</w:t>
            </w:r>
          </w:p>
        </w:tc>
      </w:tr>
      <w:tr w14:paraId="6C3E9953">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170" w:hRule="atLeast"/>
        </w:trPr>
        <w:tc>
          <w:tcPr>
            <w:tcW w:w="744" w:type="pct"/>
            <w:shd w:val="clear" w:color="auto" w:fill="auto"/>
            <w:vAlign w:val="center"/>
          </w:tcPr>
          <w:p w14:paraId="7C2EAA1F">
            <w:pPr>
              <w:pStyle w:val="45"/>
              <w:rPr>
                <w:rFonts w:hint="default"/>
              </w:rPr>
            </w:pPr>
            <w:r>
              <w:t>离心机</w:t>
            </w:r>
          </w:p>
        </w:tc>
        <w:tc>
          <w:tcPr>
            <w:tcW w:w="744" w:type="pct"/>
            <w:shd w:val="clear" w:color="auto" w:fill="auto"/>
            <w:vAlign w:val="center"/>
          </w:tcPr>
          <w:p w14:paraId="483A3725">
            <w:pPr>
              <w:pStyle w:val="45"/>
              <w:rPr>
                <w:rFonts w:hint="default"/>
              </w:rPr>
            </w:pPr>
            <w:r>
              <w:t>连续</w:t>
            </w:r>
          </w:p>
        </w:tc>
        <w:tc>
          <w:tcPr>
            <w:tcW w:w="1308" w:type="pct"/>
            <w:shd w:val="clear" w:color="auto" w:fill="auto"/>
            <w:vAlign w:val="center"/>
          </w:tcPr>
          <w:p w14:paraId="4F7945DC">
            <w:pPr>
              <w:pStyle w:val="45"/>
              <w:rPr>
                <w:rFonts w:hint="default"/>
              </w:rPr>
            </w:pPr>
            <w:r>
              <w:rPr>
                <w:rFonts w:hint="default"/>
              </w:rPr>
              <w:t>95</w:t>
            </w:r>
          </w:p>
        </w:tc>
        <w:tc>
          <w:tcPr>
            <w:tcW w:w="892" w:type="pct"/>
            <w:shd w:val="clear" w:color="auto" w:fill="auto"/>
            <w:vAlign w:val="center"/>
          </w:tcPr>
          <w:p w14:paraId="6E9DA2D0">
            <w:pPr>
              <w:pStyle w:val="45"/>
              <w:rPr>
                <w:rFonts w:hint="default"/>
              </w:rPr>
            </w:pPr>
            <w:r>
              <w:t>隔声、减振</w:t>
            </w:r>
          </w:p>
        </w:tc>
        <w:tc>
          <w:tcPr>
            <w:tcW w:w="1308" w:type="pct"/>
            <w:shd w:val="clear" w:color="auto" w:fill="auto"/>
            <w:vAlign w:val="center"/>
          </w:tcPr>
          <w:p w14:paraId="7E1C26B5">
            <w:pPr>
              <w:pStyle w:val="45"/>
              <w:rPr>
                <w:rFonts w:hint="default"/>
              </w:rPr>
            </w:pPr>
            <w:r>
              <w:rPr>
                <w:rFonts w:hint="default"/>
              </w:rPr>
              <w:t>70</w:t>
            </w:r>
          </w:p>
        </w:tc>
      </w:tr>
      <w:tr w14:paraId="3FCC1F5D">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170" w:hRule="atLeast"/>
        </w:trPr>
        <w:tc>
          <w:tcPr>
            <w:tcW w:w="744" w:type="pct"/>
            <w:shd w:val="clear" w:color="auto" w:fill="auto"/>
            <w:vAlign w:val="center"/>
          </w:tcPr>
          <w:p w14:paraId="54901394">
            <w:pPr>
              <w:pStyle w:val="45"/>
              <w:rPr>
                <w:rFonts w:hint="default"/>
              </w:rPr>
            </w:pPr>
            <w:r>
              <w:t>真空机组</w:t>
            </w:r>
          </w:p>
        </w:tc>
        <w:tc>
          <w:tcPr>
            <w:tcW w:w="744" w:type="pct"/>
            <w:shd w:val="clear" w:color="auto" w:fill="auto"/>
            <w:vAlign w:val="center"/>
          </w:tcPr>
          <w:p w14:paraId="61E532E6">
            <w:pPr>
              <w:pStyle w:val="45"/>
              <w:rPr>
                <w:rFonts w:hint="default"/>
              </w:rPr>
            </w:pPr>
            <w:r>
              <w:t>连续</w:t>
            </w:r>
          </w:p>
        </w:tc>
        <w:tc>
          <w:tcPr>
            <w:tcW w:w="1308" w:type="pct"/>
            <w:shd w:val="clear" w:color="auto" w:fill="auto"/>
            <w:vAlign w:val="center"/>
          </w:tcPr>
          <w:p w14:paraId="60BAE676">
            <w:pPr>
              <w:pStyle w:val="45"/>
              <w:rPr>
                <w:rFonts w:hint="default"/>
              </w:rPr>
            </w:pPr>
            <w:r>
              <w:rPr>
                <w:rFonts w:hint="default"/>
              </w:rPr>
              <w:t>90</w:t>
            </w:r>
          </w:p>
        </w:tc>
        <w:tc>
          <w:tcPr>
            <w:tcW w:w="892" w:type="pct"/>
            <w:shd w:val="clear" w:color="auto" w:fill="auto"/>
            <w:vAlign w:val="center"/>
          </w:tcPr>
          <w:p w14:paraId="384D019B">
            <w:pPr>
              <w:pStyle w:val="45"/>
              <w:rPr>
                <w:rFonts w:hint="default"/>
              </w:rPr>
            </w:pPr>
            <w:r>
              <w:t>隔声、减振</w:t>
            </w:r>
          </w:p>
        </w:tc>
        <w:tc>
          <w:tcPr>
            <w:tcW w:w="1308" w:type="pct"/>
            <w:shd w:val="clear" w:color="auto" w:fill="auto"/>
            <w:vAlign w:val="center"/>
          </w:tcPr>
          <w:p w14:paraId="6D205206">
            <w:pPr>
              <w:pStyle w:val="45"/>
              <w:rPr>
                <w:rFonts w:hint="default"/>
              </w:rPr>
            </w:pPr>
            <w:r>
              <w:rPr>
                <w:rFonts w:hint="default"/>
              </w:rPr>
              <w:t>65</w:t>
            </w:r>
          </w:p>
        </w:tc>
      </w:tr>
      <w:tr w14:paraId="494579F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170" w:hRule="atLeast"/>
        </w:trPr>
        <w:tc>
          <w:tcPr>
            <w:tcW w:w="744" w:type="pct"/>
            <w:shd w:val="clear" w:color="auto" w:fill="auto"/>
            <w:vAlign w:val="center"/>
          </w:tcPr>
          <w:p w14:paraId="224E3411">
            <w:pPr>
              <w:pStyle w:val="45"/>
              <w:rPr>
                <w:rFonts w:hint="default"/>
              </w:rPr>
            </w:pPr>
            <w:r>
              <w:t>冷冻机组</w:t>
            </w:r>
          </w:p>
        </w:tc>
        <w:tc>
          <w:tcPr>
            <w:tcW w:w="744" w:type="pct"/>
            <w:shd w:val="clear" w:color="auto" w:fill="auto"/>
            <w:vAlign w:val="center"/>
          </w:tcPr>
          <w:p w14:paraId="315F1D11">
            <w:pPr>
              <w:pStyle w:val="45"/>
              <w:rPr>
                <w:rFonts w:hint="default"/>
              </w:rPr>
            </w:pPr>
            <w:r>
              <w:t>连续</w:t>
            </w:r>
          </w:p>
        </w:tc>
        <w:tc>
          <w:tcPr>
            <w:tcW w:w="1308" w:type="pct"/>
            <w:shd w:val="clear" w:color="auto" w:fill="auto"/>
            <w:vAlign w:val="center"/>
          </w:tcPr>
          <w:p w14:paraId="4DB78BE5">
            <w:pPr>
              <w:pStyle w:val="45"/>
              <w:rPr>
                <w:rFonts w:hint="default"/>
              </w:rPr>
            </w:pPr>
            <w:r>
              <w:rPr>
                <w:rFonts w:hint="default"/>
              </w:rPr>
              <w:t>90</w:t>
            </w:r>
          </w:p>
        </w:tc>
        <w:tc>
          <w:tcPr>
            <w:tcW w:w="892" w:type="pct"/>
            <w:shd w:val="clear" w:color="auto" w:fill="auto"/>
            <w:vAlign w:val="center"/>
          </w:tcPr>
          <w:p w14:paraId="4DC21E65">
            <w:pPr>
              <w:pStyle w:val="45"/>
              <w:rPr>
                <w:rFonts w:hint="default"/>
              </w:rPr>
            </w:pPr>
            <w:r>
              <w:t>隔声、减振</w:t>
            </w:r>
          </w:p>
        </w:tc>
        <w:tc>
          <w:tcPr>
            <w:tcW w:w="1308" w:type="pct"/>
            <w:shd w:val="clear" w:color="auto" w:fill="auto"/>
            <w:vAlign w:val="center"/>
          </w:tcPr>
          <w:p w14:paraId="2484AB8A">
            <w:pPr>
              <w:pStyle w:val="45"/>
              <w:rPr>
                <w:rFonts w:hint="default"/>
              </w:rPr>
            </w:pPr>
            <w:r>
              <w:rPr>
                <w:rFonts w:hint="default"/>
              </w:rPr>
              <w:t>65</w:t>
            </w:r>
          </w:p>
        </w:tc>
      </w:tr>
      <w:tr w14:paraId="2BFDF326">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170" w:hRule="atLeast"/>
        </w:trPr>
        <w:tc>
          <w:tcPr>
            <w:tcW w:w="744" w:type="pct"/>
            <w:shd w:val="clear" w:color="auto" w:fill="auto"/>
            <w:vAlign w:val="center"/>
          </w:tcPr>
          <w:p w14:paraId="11079657">
            <w:pPr>
              <w:pStyle w:val="45"/>
              <w:rPr>
                <w:rFonts w:hint="default" w:eastAsia="宋体"/>
                <w:lang w:val="en-US" w:eastAsia="zh-CN"/>
              </w:rPr>
            </w:pPr>
            <w:r>
              <w:rPr>
                <w:rFonts w:hint="eastAsia"/>
                <w:lang w:val="en-US" w:eastAsia="zh-CN"/>
              </w:rPr>
              <w:t>氢气压缩机</w:t>
            </w:r>
          </w:p>
        </w:tc>
        <w:tc>
          <w:tcPr>
            <w:tcW w:w="1269" w:type="dxa"/>
            <w:shd w:val="clear" w:color="auto" w:fill="auto"/>
            <w:vAlign w:val="center"/>
          </w:tcPr>
          <w:p w14:paraId="3B17B310">
            <w:pPr>
              <w:pStyle w:val="45"/>
              <w:ind w:firstLine="0" w:firstLineChars="0"/>
            </w:pPr>
            <w:r>
              <w:t>连续</w:t>
            </w:r>
          </w:p>
        </w:tc>
        <w:tc>
          <w:tcPr>
            <w:tcW w:w="2230" w:type="dxa"/>
            <w:shd w:val="clear" w:color="auto" w:fill="auto"/>
            <w:vAlign w:val="center"/>
          </w:tcPr>
          <w:p w14:paraId="26E21D12">
            <w:pPr>
              <w:pStyle w:val="45"/>
              <w:ind w:firstLine="0" w:firstLineChars="0"/>
              <w:rPr>
                <w:rFonts w:hint="default" w:eastAsia="宋体"/>
                <w:lang w:val="en-US" w:eastAsia="zh-CN"/>
              </w:rPr>
            </w:pPr>
            <w:r>
              <w:rPr>
                <w:rFonts w:hint="eastAsia"/>
                <w:lang w:val="en-US" w:eastAsia="zh-CN"/>
              </w:rPr>
              <w:t>85</w:t>
            </w:r>
          </w:p>
        </w:tc>
        <w:tc>
          <w:tcPr>
            <w:tcW w:w="892" w:type="pct"/>
            <w:shd w:val="clear" w:color="auto" w:fill="auto"/>
            <w:vAlign w:val="center"/>
          </w:tcPr>
          <w:p w14:paraId="3E797427">
            <w:pPr>
              <w:pStyle w:val="45"/>
            </w:pPr>
            <w:r>
              <w:t>隔声、减振</w:t>
            </w:r>
          </w:p>
        </w:tc>
        <w:tc>
          <w:tcPr>
            <w:tcW w:w="1308" w:type="pct"/>
            <w:shd w:val="clear" w:color="auto" w:fill="auto"/>
            <w:vAlign w:val="center"/>
          </w:tcPr>
          <w:p w14:paraId="05D713BF">
            <w:pPr>
              <w:pStyle w:val="45"/>
              <w:rPr>
                <w:rFonts w:hint="default" w:eastAsia="宋体"/>
                <w:lang w:val="en-US" w:eastAsia="zh-CN"/>
              </w:rPr>
            </w:pPr>
            <w:r>
              <w:rPr>
                <w:rFonts w:hint="eastAsia"/>
                <w:lang w:val="en-US" w:eastAsia="zh-CN"/>
              </w:rPr>
              <w:t>60</w:t>
            </w:r>
          </w:p>
        </w:tc>
      </w:tr>
    </w:tbl>
    <w:p w14:paraId="5F4F27B6">
      <w:pPr>
        <w:spacing w:line="240" w:lineRule="auto"/>
        <w:ind w:firstLine="0" w:firstLineChars="0"/>
      </w:pPr>
    </w:p>
    <w:p w14:paraId="4E2D087B">
      <w:pPr>
        <w:pStyle w:val="4"/>
        <w:numPr>
          <w:ilvl w:val="2"/>
          <w:numId w:val="1"/>
        </w:numPr>
      </w:pPr>
      <w:r>
        <w:rPr>
          <w:rFonts w:hint="eastAsia"/>
        </w:rPr>
        <w:t>固体废物</w:t>
      </w:r>
      <w:r>
        <w:t>污染源强及拟采取污染治理措施分析</w:t>
      </w:r>
    </w:p>
    <w:p w14:paraId="701286A3">
      <w:pPr>
        <w:ind w:firstLine="480"/>
      </w:pPr>
      <w:r>
        <w:t>本项目投产后，产生的固体废物主要有废渣、废电极、化验室废物、机修间废物、废包装材料、</w:t>
      </w:r>
      <w:r>
        <w:rPr>
          <w:rFonts w:hint="eastAsia"/>
        </w:rPr>
        <w:t>布袋除尘收集</w:t>
      </w:r>
      <w:r>
        <w:t>粉尘、</w:t>
      </w:r>
      <w:r>
        <w:rPr>
          <w:rFonts w:hint="eastAsia"/>
          <w:lang w:eastAsia="zh-CN"/>
        </w:rPr>
        <w:t>废RO膜、废活性炭（纯水制备）</w:t>
      </w:r>
      <w:r>
        <w:t>以及生活垃圾。</w:t>
      </w:r>
    </w:p>
    <w:p w14:paraId="3D3EB868">
      <w:pPr>
        <w:pStyle w:val="6"/>
        <w:bidi w:val="0"/>
      </w:pPr>
      <w:r>
        <w:rPr>
          <w:rFonts w:hint="eastAsia"/>
        </w:rPr>
        <w:t>生产废渣</w:t>
      </w:r>
    </w:p>
    <w:p w14:paraId="096E125D">
      <w:pPr>
        <w:ind w:firstLine="480"/>
      </w:pPr>
      <w:r>
        <w:rPr>
          <w:rFonts w:hint="eastAsia"/>
        </w:rPr>
        <w:t>项目生产废渣主要为首次投盐原料盐精制除杂滤渣、</w:t>
      </w:r>
      <w:r>
        <w:rPr>
          <w:rFonts w:hint="eastAsia"/>
          <w:lang w:val="en-US" w:eastAsia="zh-CN"/>
        </w:rPr>
        <w:t>氯酸钠</w:t>
      </w:r>
      <w:r>
        <w:rPr>
          <w:rFonts w:hint="eastAsia"/>
        </w:rPr>
        <w:t>除铬</w:t>
      </w:r>
      <w:r>
        <w:rPr>
          <w:rFonts w:hint="eastAsia"/>
          <w:lang w:val="en-US" w:eastAsia="zh-CN"/>
        </w:rPr>
        <w:t>滤渣</w:t>
      </w:r>
      <w:r>
        <w:rPr>
          <w:rFonts w:hint="eastAsia"/>
        </w:rPr>
        <w:t>、电解槽沉渣等。</w:t>
      </w:r>
    </w:p>
    <w:p w14:paraId="7A767CCC">
      <w:pPr>
        <w:ind w:firstLine="482"/>
        <w:rPr>
          <w:b/>
          <w:bCs/>
        </w:rPr>
      </w:pPr>
      <w:r>
        <w:rPr>
          <w:rFonts w:hint="eastAsia"/>
          <w:b/>
          <w:bCs/>
        </w:rPr>
        <w:t>①除杂滤渣</w:t>
      </w:r>
    </w:p>
    <w:p w14:paraId="359E08B6">
      <w:pPr>
        <w:ind w:firstLine="480"/>
        <w:rPr>
          <w:rFonts w:hint="eastAsia"/>
        </w:rPr>
      </w:pPr>
      <w:r>
        <w:rPr>
          <w:rFonts w:hint="eastAsia"/>
        </w:rPr>
        <w:t>首次开车时，</w:t>
      </w:r>
      <w:r>
        <w:rPr>
          <w:rFonts w:hint="eastAsia"/>
          <w:lang w:val="en-US" w:eastAsia="zh-CN"/>
        </w:rPr>
        <w:t>原料盐</w:t>
      </w:r>
      <w:r>
        <w:rPr>
          <w:rFonts w:hint="eastAsia"/>
        </w:rPr>
        <w:t>氯化钠、氯化钾化盐工序经压滤、精制将产生除杂滤渣，主要为盐水压滤、精制工序中钙</w:t>
      </w:r>
      <w:r>
        <w:rPr>
          <w:rFonts w:hint="eastAsia"/>
          <w:lang w:val="en-US" w:eastAsia="zh-CN"/>
        </w:rPr>
        <w:t>镁</w:t>
      </w:r>
      <w:r>
        <w:rPr>
          <w:rFonts w:hint="eastAsia"/>
        </w:rPr>
        <w:t>离子等经过沉淀后产生的</w:t>
      </w:r>
      <w:r>
        <w:rPr>
          <w:rFonts w:hint="eastAsia"/>
          <w:lang w:val="en-US" w:eastAsia="zh-CN"/>
        </w:rPr>
        <w:t>C</w:t>
      </w:r>
      <w:r>
        <w:rPr>
          <w:rFonts w:hint="eastAsia"/>
        </w:rPr>
        <w:t>aSO</w:t>
      </w:r>
      <w:r>
        <w:rPr>
          <w:rFonts w:hint="eastAsia"/>
          <w:vertAlign w:val="subscript"/>
        </w:rPr>
        <w:t>4</w:t>
      </w:r>
      <w:r>
        <w:rPr>
          <w:rFonts w:hint="eastAsia"/>
        </w:rPr>
        <w:t>、CaCO</w:t>
      </w:r>
      <w:r>
        <w:rPr>
          <w:rFonts w:hint="eastAsia"/>
          <w:vertAlign w:val="subscript"/>
        </w:rPr>
        <w:t>3</w:t>
      </w:r>
      <w:r>
        <w:rPr>
          <w:rFonts w:hint="eastAsia"/>
        </w:rPr>
        <w:t>氯化物等难溶物质。</w:t>
      </w:r>
    </w:p>
    <w:p w14:paraId="0704BBC7">
      <w:pPr>
        <w:ind w:firstLine="480"/>
      </w:pPr>
      <w:r>
        <w:rPr>
          <w:rFonts w:hint="eastAsia"/>
        </w:rPr>
        <w:t>结合本项目物料平衡分析，</w:t>
      </w:r>
      <w:r>
        <w:rPr>
          <w:rFonts w:hint="eastAsia"/>
          <w:lang w:val="en-US" w:eastAsia="zh-CN"/>
        </w:rPr>
        <w:t>氯化钠除杂滤渣产生量约为1880.36/a</w:t>
      </w:r>
      <w:r>
        <w:rPr>
          <w:rFonts w:hint="eastAsia"/>
          <w:lang w:eastAsia="zh-CN"/>
        </w:rPr>
        <w:t>，</w:t>
      </w:r>
      <w:r>
        <w:rPr>
          <w:rFonts w:hint="eastAsia"/>
        </w:rPr>
        <w:t>氯化钾除杂滤渣产生量约</w:t>
      </w:r>
      <w:r>
        <w:rPr>
          <w:rFonts w:hint="eastAsia"/>
          <w:lang w:val="en-US" w:eastAsia="zh-CN"/>
        </w:rPr>
        <w:t>218.47</w:t>
      </w:r>
      <w:r>
        <w:rPr>
          <w:rFonts w:hint="eastAsia"/>
        </w:rPr>
        <w:t>t/a</w:t>
      </w:r>
      <w:r>
        <w:rPr>
          <w:rFonts w:hint="eastAsia"/>
          <w:lang w:eastAsia="zh-CN"/>
        </w:rPr>
        <w:t>，</w:t>
      </w:r>
      <w:r>
        <w:rPr>
          <w:rFonts w:hint="eastAsia"/>
          <w:lang w:val="en-US" w:eastAsia="zh-CN"/>
        </w:rPr>
        <w:t>除杂滤总计2098.83t/a</w:t>
      </w:r>
      <w:r>
        <w:rPr>
          <w:rFonts w:hint="eastAsia"/>
          <w:lang w:eastAsia="zh-CN"/>
        </w:rPr>
        <w:t>（</w:t>
      </w:r>
      <w:r>
        <w:rPr>
          <w:rFonts w:hint="eastAsia"/>
          <w:lang w:val="en-US" w:eastAsia="zh-CN"/>
        </w:rPr>
        <w:t>压滤后含水率约40%</w:t>
      </w:r>
      <w:r>
        <w:rPr>
          <w:rFonts w:hint="eastAsia"/>
          <w:lang w:eastAsia="zh-CN"/>
        </w:rPr>
        <w:t>）</w:t>
      </w:r>
      <w:r>
        <w:rPr>
          <w:rFonts w:hint="eastAsia"/>
          <w:lang w:val="en-US" w:eastAsia="zh-CN"/>
        </w:rPr>
        <w:t>。</w:t>
      </w:r>
      <w:r>
        <w:rPr>
          <w:rFonts w:hint="eastAsia"/>
        </w:rPr>
        <w:t>除杂滤渣为一般工业固废，不含</w:t>
      </w:r>
      <w:r>
        <w:rPr>
          <w:rFonts w:hint="eastAsia"/>
          <w:lang w:val="en-US" w:eastAsia="zh-CN"/>
        </w:rPr>
        <w:t>有</w:t>
      </w:r>
      <w:r>
        <w:rPr>
          <w:rFonts w:hint="eastAsia"/>
        </w:rPr>
        <w:t>重金属，收集后暂存于一般固废暂存间，</w:t>
      </w:r>
      <w:r>
        <w:rPr>
          <w:rFonts w:hint="eastAsia"/>
          <w:lang w:val="en-US" w:eastAsia="zh-CN"/>
        </w:rPr>
        <w:t>外售综合利用</w:t>
      </w:r>
      <w:r>
        <w:rPr>
          <w:rFonts w:hint="eastAsia"/>
        </w:rPr>
        <w:t>。</w:t>
      </w:r>
    </w:p>
    <w:p w14:paraId="17C689D4">
      <w:pPr>
        <w:ind w:firstLine="482"/>
        <w:rPr>
          <w:rFonts w:hint="eastAsia" w:eastAsia="宋体"/>
          <w:b/>
          <w:bCs/>
          <w:lang w:eastAsia="zh-CN"/>
        </w:rPr>
      </w:pPr>
      <w:r>
        <w:rPr>
          <w:rFonts w:hint="eastAsia"/>
          <w:b/>
          <w:bCs/>
        </w:rPr>
        <w:t>②</w:t>
      </w:r>
      <w:r>
        <w:rPr>
          <w:b/>
          <w:bCs/>
        </w:rPr>
        <w:t>除铬</w:t>
      </w:r>
      <w:r>
        <w:rPr>
          <w:rFonts w:hint="eastAsia"/>
          <w:b/>
          <w:bCs/>
          <w:lang w:val="en-US" w:eastAsia="zh-CN"/>
        </w:rPr>
        <w:t>滤渣</w:t>
      </w:r>
    </w:p>
    <w:p w14:paraId="45AE2873">
      <w:pPr>
        <w:ind w:firstLine="480"/>
      </w:pPr>
      <w:r>
        <w:t>主要为氯酸钠精制产生的</w:t>
      </w:r>
      <w:r>
        <w:rPr>
          <w:rFonts w:hint="eastAsia"/>
          <w:lang w:val="en-US" w:eastAsia="zh-CN"/>
        </w:rPr>
        <w:t>少量</w:t>
      </w:r>
      <w:r>
        <w:t>铬酸钡（BaCrO</w:t>
      </w:r>
      <w:r>
        <w:rPr>
          <w:rFonts w:hint="eastAsia"/>
          <w:vertAlign w:val="subscript"/>
        </w:rPr>
        <w:t>4</w:t>
      </w:r>
      <w:r>
        <w:t>）沉淀</w:t>
      </w:r>
      <w:r>
        <w:rPr>
          <w:rFonts w:hint="eastAsia"/>
        </w:rPr>
        <w:t>和其他不溶沉淀</w:t>
      </w:r>
      <w:r>
        <w:rPr>
          <w:rFonts w:hint="eastAsia"/>
          <w:lang w:eastAsia="zh-CN"/>
        </w:rPr>
        <w:t>。</w:t>
      </w:r>
      <w:r>
        <w:t>依据物料平衡，除铬</w:t>
      </w:r>
      <w:r>
        <w:rPr>
          <w:rFonts w:hint="eastAsia"/>
          <w:lang w:val="en-US" w:eastAsia="zh-CN"/>
        </w:rPr>
        <w:t>滤渣</w:t>
      </w:r>
      <w:r>
        <w:t>约</w:t>
      </w:r>
      <w:r>
        <w:rPr>
          <w:rFonts w:hint="eastAsia"/>
          <w:lang w:val="en-US" w:eastAsia="zh-CN"/>
        </w:rPr>
        <w:t>为60.75</w:t>
      </w:r>
      <w:r>
        <w:rPr>
          <w:rFonts w:hint="eastAsia"/>
        </w:rPr>
        <w:t xml:space="preserve"> </w:t>
      </w:r>
      <w:r>
        <w:t>t/a</w:t>
      </w:r>
      <w:r>
        <w:rPr>
          <w:rFonts w:hint="eastAsia"/>
          <w:lang w:eastAsia="zh-CN"/>
        </w:rPr>
        <w:t>（压滤后含水率约40%）</w:t>
      </w:r>
      <w:r>
        <w:t>，</w:t>
      </w:r>
      <w:r>
        <w:rPr>
          <w:rFonts w:hint="eastAsia"/>
          <w:lang w:val="en-US" w:eastAsia="zh-CN"/>
        </w:rPr>
        <w:t>其中含铬元素约0.03t/a。</w:t>
      </w:r>
      <w:r>
        <w:rPr>
          <w:rFonts w:hint="eastAsia"/>
        </w:rPr>
        <w:t>分类收集后暂存于危废暂存间</w:t>
      </w:r>
      <w:r>
        <w:t>，</w:t>
      </w:r>
      <w:r>
        <w:rPr>
          <w:rFonts w:hint="eastAsia"/>
        </w:rPr>
        <w:t>定期</w:t>
      </w:r>
      <w:r>
        <w:t>交</w:t>
      </w:r>
      <w:r>
        <w:rPr>
          <w:rFonts w:hint="eastAsia"/>
        </w:rPr>
        <w:t>由有</w:t>
      </w:r>
      <w:r>
        <w:t>资质单位处置。</w:t>
      </w:r>
    </w:p>
    <w:p w14:paraId="590BB402">
      <w:pPr>
        <w:ind w:firstLine="482"/>
        <w:rPr>
          <w:b/>
          <w:bCs/>
        </w:rPr>
      </w:pPr>
      <w:r>
        <w:rPr>
          <w:rFonts w:hint="eastAsia"/>
          <w:b/>
          <w:bCs/>
        </w:rPr>
        <w:t>③电解槽沉渣</w:t>
      </w:r>
    </w:p>
    <w:p w14:paraId="0288AB90">
      <w:pPr>
        <w:ind w:firstLine="482"/>
        <w:rPr>
          <w:color w:val="FF0000"/>
        </w:rPr>
      </w:pPr>
      <w:r>
        <w:rPr>
          <w:rFonts w:hint="eastAsia"/>
          <w:b/>
          <w:bCs/>
        </w:rPr>
        <w:t>一次电解槽沉渣：</w:t>
      </w:r>
      <w:r>
        <w:rPr>
          <w:rFonts w:hint="eastAsia"/>
        </w:rPr>
        <w:t>主要为沉积的少量重铬酸钠（Na</w:t>
      </w:r>
      <w:r>
        <w:rPr>
          <w:rFonts w:hint="eastAsia"/>
          <w:vertAlign w:val="subscript"/>
        </w:rPr>
        <w:t>2</w:t>
      </w:r>
      <w:r>
        <w:rPr>
          <w:rFonts w:hint="eastAsia"/>
        </w:rPr>
        <w:t>Cr</w:t>
      </w:r>
      <w:r>
        <w:rPr>
          <w:rFonts w:hint="eastAsia"/>
          <w:vertAlign w:val="subscript"/>
        </w:rPr>
        <w:t>2</w:t>
      </w:r>
      <w:r>
        <w:rPr>
          <w:rFonts w:hint="eastAsia"/>
        </w:rPr>
        <w:t>O</w:t>
      </w:r>
      <w:r>
        <w:rPr>
          <w:rFonts w:hint="eastAsia"/>
          <w:vertAlign w:val="subscript"/>
        </w:rPr>
        <w:t>7</w:t>
      </w:r>
      <w:r>
        <w:rPr>
          <w:rFonts w:hint="eastAsia"/>
        </w:rPr>
        <w:t>）、钙离子沉淀，依据物料平衡，一次电解</w:t>
      </w:r>
      <w:r>
        <w:rPr>
          <w:rFonts w:hint="eastAsia"/>
          <w:highlight w:val="none"/>
        </w:rPr>
        <w:t>槽沉渣约0.</w:t>
      </w:r>
      <w:r>
        <w:rPr>
          <w:rFonts w:hint="eastAsia"/>
          <w:highlight w:val="none"/>
          <w:lang w:val="en-US" w:eastAsia="zh-CN"/>
        </w:rPr>
        <w:t>42</w:t>
      </w:r>
      <w:r>
        <w:rPr>
          <w:rFonts w:hint="eastAsia"/>
          <w:highlight w:val="none"/>
        </w:rPr>
        <w:t>t/a，</w:t>
      </w:r>
      <w:r>
        <w:rPr>
          <w:rFonts w:hint="eastAsia"/>
          <w:highlight w:val="none"/>
          <w:lang w:val="en-US" w:eastAsia="zh-CN"/>
        </w:rPr>
        <w:t>其中含铬元素约0.03t/a。</w:t>
      </w:r>
      <w:r>
        <w:rPr>
          <w:rFonts w:hint="eastAsia"/>
        </w:rPr>
        <w:t>收集后暂存于为</w:t>
      </w:r>
      <w:r>
        <w:rPr>
          <w:rFonts w:hint="eastAsia"/>
          <w:lang w:val="en-US" w:eastAsia="zh-CN"/>
        </w:rPr>
        <w:t>危</w:t>
      </w:r>
      <w:r>
        <w:rPr>
          <w:rFonts w:hint="eastAsia"/>
        </w:rPr>
        <w:t>废暂存间，</w:t>
      </w:r>
      <w:r>
        <w:rPr>
          <w:rFonts w:hint="eastAsia"/>
          <w:lang w:val="en-US" w:eastAsia="zh-CN"/>
        </w:rPr>
        <w:t>定期</w:t>
      </w:r>
      <w:r>
        <w:rPr>
          <w:rFonts w:hint="eastAsia"/>
        </w:rPr>
        <w:t>交由有资质单位处置。</w:t>
      </w:r>
    </w:p>
    <w:p w14:paraId="1BE907CA">
      <w:pPr>
        <w:ind w:firstLine="482"/>
      </w:pPr>
      <w:r>
        <w:rPr>
          <w:rFonts w:hint="eastAsia"/>
          <w:b/>
          <w:bCs/>
        </w:rPr>
        <w:t>二次电解槽沉渣：</w:t>
      </w:r>
      <w:r>
        <w:rPr>
          <w:rFonts w:hint="eastAsia"/>
        </w:rPr>
        <w:t>主要为沉积的少量钡离子沉淀，依据物料平衡，二次电解槽沉渣约5</w:t>
      </w:r>
      <w:r>
        <w:rPr>
          <w:rFonts w:hint="eastAsia"/>
          <w:lang w:val="en-US" w:eastAsia="zh-CN"/>
        </w:rPr>
        <w:t>.1</w:t>
      </w:r>
      <w:r>
        <w:rPr>
          <w:rFonts w:hint="eastAsia"/>
        </w:rPr>
        <w:t>t/a，收集后暂存于</w:t>
      </w:r>
      <w:r>
        <w:rPr>
          <w:rFonts w:hint="eastAsia"/>
          <w:lang w:val="en-US" w:eastAsia="zh-CN"/>
        </w:rPr>
        <w:t>危废</w:t>
      </w:r>
      <w:r>
        <w:rPr>
          <w:rFonts w:hint="eastAsia"/>
        </w:rPr>
        <w:t>暂存间，</w:t>
      </w:r>
      <w:r>
        <w:rPr>
          <w:rFonts w:hint="eastAsia"/>
          <w:lang w:val="en-US" w:eastAsia="zh-CN"/>
        </w:rPr>
        <w:t>定期</w:t>
      </w:r>
      <w:r>
        <w:rPr>
          <w:rFonts w:hint="eastAsia"/>
        </w:rPr>
        <w:t>交由有资质单位处置。</w:t>
      </w:r>
    </w:p>
    <w:p w14:paraId="5E0CB173">
      <w:pPr>
        <w:pStyle w:val="6"/>
        <w:bidi w:val="0"/>
      </w:pPr>
      <w:r>
        <w:rPr>
          <w:rFonts w:hint="eastAsia"/>
        </w:rPr>
        <w:t>布袋收集的干燥粉尘</w:t>
      </w:r>
    </w:p>
    <w:p w14:paraId="2FCFA4EF">
      <w:pPr>
        <w:ind w:firstLine="480"/>
      </w:pPr>
      <w:r>
        <w:t>依据物料平衡</w:t>
      </w:r>
      <w:r>
        <w:rPr>
          <w:rFonts w:hint="eastAsia"/>
          <w:lang w:eastAsia="zh-CN"/>
        </w:rPr>
        <w:t>，</w:t>
      </w:r>
      <w:r>
        <w:rPr>
          <w:rFonts w:hint="eastAsia"/>
        </w:rPr>
        <w:t>项目</w:t>
      </w:r>
      <w:r>
        <w:rPr>
          <w:rFonts w:hint="eastAsia"/>
          <w:lang w:val="en-US" w:eastAsia="zh-CN"/>
        </w:rPr>
        <w:t>单套复分解装置中，</w:t>
      </w:r>
      <w:r>
        <w:rPr>
          <w:rFonts w:hint="eastAsia"/>
        </w:rPr>
        <w:t>布袋处理收集</w:t>
      </w:r>
      <w:r>
        <w:rPr>
          <w:rFonts w:hint="eastAsia"/>
          <w:lang w:val="en-US" w:eastAsia="zh-CN"/>
        </w:rPr>
        <w:t>的干燥</w:t>
      </w:r>
      <w:r>
        <w:rPr>
          <w:rFonts w:hint="eastAsia"/>
        </w:rPr>
        <w:t>粉尘量</w:t>
      </w:r>
      <w:r>
        <w:rPr>
          <w:rFonts w:hint="eastAsia"/>
          <w:lang w:val="en-US" w:eastAsia="zh-CN"/>
        </w:rPr>
        <w:t>最大约为26.334</w:t>
      </w:r>
      <w:r>
        <w:rPr>
          <w:rFonts w:hint="eastAsia"/>
        </w:rPr>
        <w:t>t/a，</w:t>
      </w:r>
      <w:r>
        <w:rPr>
          <w:rFonts w:hint="eastAsia"/>
          <w:lang w:val="en-US" w:eastAsia="zh-CN"/>
        </w:rPr>
        <w:t>则两套复分解装置布袋收集的干燥粉尘量约为52.668t/a。布袋</w:t>
      </w:r>
      <w:r>
        <w:rPr>
          <w:rFonts w:hint="eastAsia"/>
        </w:rPr>
        <w:t>收集粉尘直接回用</w:t>
      </w:r>
      <w:r>
        <w:rPr>
          <w:rFonts w:hint="eastAsia"/>
          <w:lang w:val="en-US" w:eastAsia="zh-CN"/>
        </w:rPr>
        <w:t>于产品</w:t>
      </w:r>
      <w:r>
        <w:rPr>
          <w:rFonts w:hint="eastAsia"/>
        </w:rPr>
        <w:t>包装。</w:t>
      </w:r>
    </w:p>
    <w:p w14:paraId="6BCEB6C9">
      <w:pPr>
        <w:pStyle w:val="6"/>
        <w:bidi w:val="0"/>
      </w:pPr>
      <w:r>
        <w:t>化验室废物</w:t>
      </w:r>
    </w:p>
    <w:p w14:paraId="46596604">
      <w:pPr>
        <w:ind w:firstLine="480"/>
      </w:pPr>
      <w:r>
        <w:t>化验主要</w:t>
      </w:r>
      <w:r>
        <w:rPr>
          <w:rFonts w:hint="eastAsia"/>
        </w:rPr>
        <w:t>是</w:t>
      </w:r>
      <w:r>
        <w:t>对产品高氯酸钠、高氯酸钾质量进行抽检。使用到的试剂包括：盐酸、纯碱、烧碱、BaCl</w:t>
      </w:r>
      <w:r>
        <w:rPr>
          <w:vertAlign w:val="subscript"/>
        </w:rPr>
        <w:t>2</w:t>
      </w:r>
      <w:r>
        <w:t>等常规试剂。</w:t>
      </w:r>
      <w:r>
        <w:rPr>
          <w:rFonts w:hint="eastAsia"/>
        </w:rPr>
        <w:t>化验室</w:t>
      </w:r>
      <w:r>
        <w:t>废物主要包括废试剂瓶、检验废物、废试剂等，产生量约0.01t/a，收集后暂存于</w:t>
      </w:r>
      <w:r>
        <w:rPr>
          <w:rFonts w:hint="eastAsia"/>
          <w:lang w:val="en-US" w:eastAsia="zh-CN"/>
        </w:rPr>
        <w:t>危废</w:t>
      </w:r>
      <w:r>
        <w:t>暂存间，交由有资质单位处置。</w:t>
      </w:r>
    </w:p>
    <w:p w14:paraId="46CFA8D5">
      <w:pPr>
        <w:pStyle w:val="6"/>
        <w:bidi w:val="0"/>
      </w:pPr>
      <w:r>
        <w:rPr>
          <w:rFonts w:hint="eastAsia"/>
          <w:lang w:eastAsia="zh-CN"/>
        </w:rPr>
        <w:t>废机油</w:t>
      </w:r>
    </w:p>
    <w:p w14:paraId="0DE0E572">
      <w:pPr>
        <w:ind w:firstLine="480"/>
      </w:pPr>
      <w:r>
        <w:rPr>
          <w:rFonts w:hint="eastAsia"/>
        </w:rPr>
        <w:t>本项目进行设备检修和维护时会产生少量含机油废物，产生量约为0.2t/a，收集至危废暂存间，定期交由有资质单位处置。</w:t>
      </w:r>
    </w:p>
    <w:p w14:paraId="748CCFFE">
      <w:pPr>
        <w:pStyle w:val="6"/>
        <w:bidi w:val="0"/>
      </w:pPr>
      <w:r>
        <w:t>废电极</w:t>
      </w:r>
      <w:r>
        <w:rPr>
          <w:rFonts w:hint="eastAsia"/>
        </w:rPr>
        <w:t>材料</w:t>
      </w:r>
    </w:p>
    <w:p w14:paraId="38B6B068">
      <w:pPr>
        <w:ind w:firstLine="480"/>
      </w:pPr>
      <w:r>
        <w:rPr>
          <w:rFonts w:hint="eastAsia"/>
        </w:rPr>
        <w:t>项目氯酸钠电解槽阴阳极消耗会产废电极材料，产生量约为0.2t/a。废电极材料主要成分含铅尾渣，在一次电解槽清洗过程中收集，清洗时间根据企业生产负荷而定，经收集的废电极材料直接由固定供应企业回收处理。</w:t>
      </w:r>
    </w:p>
    <w:p w14:paraId="3BBCBA35">
      <w:pPr>
        <w:pStyle w:val="6"/>
        <w:bidi w:val="0"/>
      </w:pPr>
      <w:r>
        <w:rPr>
          <w:rFonts w:hint="eastAsia"/>
          <w:lang w:eastAsia="zh-CN"/>
        </w:rPr>
        <w:t>废RO膜、废活性炭（纯水制备）</w:t>
      </w:r>
    </w:p>
    <w:p w14:paraId="3DE81E53">
      <w:pPr>
        <w:ind w:firstLine="480"/>
      </w:pPr>
      <w:r>
        <w:rPr>
          <w:rFonts w:hint="eastAsia"/>
        </w:rPr>
        <w:t>项目生产过程中所需纯水由自备1 台</w:t>
      </w:r>
      <w:r>
        <w:rPr>
          <w:rFonts w:hint="eastAsia"/>
          <w:lang w:val="en-US" w:eastAsia="zh-CN"/>
        </w:rPr>
        <w:t>10</w:t>
      </w:r>
      <w:r>
        <w:rPr>
          <w:rFonts w:hint="eastAsia"/>
        </w:rPr>
        <w:t>t/h 纯水制备机组提供，纯水制备</w:t>
      </w:r>
      <w:r>
        <w:rPr>
          <w:rFonts w:hint="eastAsia"/>
          <w:lang w:val="en-US" w:eastAsia="zh-CN"/>
        </w:rPr>
        <w:t>采用</w:t>
      </w:r>
      <w:r>
        <w:rPr>
          <w:rFonts w:hint="eastAsia"/>
        </w:rPr>
        <w:t>反渗透制备工艺，纯水得率在</w:t>
      </w:r>
      <w:r>
        <w:rPr>
          <w:rFonts w:hint="eastAsia"/>
          <w:lang w:val="en-US" w:eastAsia="zh-CN"/>
        </w:rPr>
        <w:t>80</w:t>
      </w:r>
      <w:r>
        <w:rPr>
          <w:rFonts w:hint="eastAsia"/>
        </w:rPr>
        <w:t>%左右。在纯水制备过程中有定期更换的废RO膜</w:t>
      </w:r>
      <w:r>
        <w:rPr>
          <w:rFonts w:hint="eastAsia"/>
          <w:lang w:eastAsia="zh-CN"/>
        </w:rPr>
        <w:t>、</w:t>
      </w:r>
      <w:r>
        <w:rPr>
          <w:rFonts w:hint="eastAsia"/>
          <w:lang w:val="en-US" w:eastAsia="zh-CN"/>
        </w:rPr>
        <w:t>废活性炭</w:t>
      </w:r>
      <w:r>
        <w:rPr>
          <w:rFonts w:hint="eastAsia"/>
        </w:rPr>
        <w:t>等</w:t>
      </w:r>
      <w:r>
        <w:rPr>
          <w:rFonts w:hint="eastAsia"/>
          <w:lang w:val="en-US" w:eastAsia="zh-CN"/>
        </w:rPr>
        <w:t>纯水制备废弃物</w:t>
      </w:r>
      <w:r>
        <w:rPr>
          <w:rFonts w:hint="eastAsia"/>
        </w:rPr>
        <w:t>产生</w:t>
      </w:r>
      <w:r>
        <w:rPr>
          <w:rFonts w:hint="eastAsia"/>
          <w:lang w:eastAsia="zh-CN"/>
        </w:rPr>
        <w:t>。</w:t>
      </w:r>
      <w:r>
        <w:rPr>
          <w:rFonts w:hint="eastAsia"/>
          <w:lang w:val="en-US" w:eastAsia="zh-CN"/>
        </w:rPr>
        <w:t>纯水制备RO膜、活性炭每年更换一次，则废RO膜产生量约0.25t/a，废活性炭</w:t>
      </w:r>
      <w:r>
        <w:t>产生量约</w:t>
      </w:r>
      <w:r>
        <w:rPr>
          <w:rFonts w:hint="eastAsia"/>
          <w:lang w:val="en-US" w:eastAsia="zh-CN"/>
        </w:rPr>
        <w:t>0.75</w:t>
      </w:r>
      <w:r>
        <w:rPr>
          <w:rFonts w:hint="eastAsia"/>
        </w:rPr>
        <w:t>t</w:t>
      </w:r>
      <w:r>
        <w:t>/a</w:t>
      </w:r>
      <w:r>
        <w:rPr>
          <w:rFonts w:hint="eastAsia"/>
          <w:lang w:eastAsia="zh-CN"/>
        </w:rPr>
        <w:t>，</w:t>
      </w:r>
      <w:r>
        <w:rPr>
          <w:rFonts w:hint="eastAsia"/>
        </w:rPr>
        <w:t>经收集后</w:t>
      </w:r>
      <w:r>
        <w:t>直接由固定供应企业回收处理。</w:t>
      </w:r>
    </w:p>
    <w:p w14:paraId="71611C7D">
      <w:pPr>
        <w:pStyle w:val="6"/>
        <w:bidi w:val="0"/>
      </w:pPr>
      <w:r>
        <w:t>废包装材料</w:t>
      </w:r>
    </w:p>
    <w:p w14:paraId="66834C5E">
      <w:pPr>
        <w:ind w:firstLine="480"/>
      </w:pPr>
      <w:r>
        <w:t>本项目所使用的</w:t>
      </w:r>
      <w:r>
        <w:rPr>
          <w:rFonts w:hint="eastAsia"/>
        </w:rPr>
        <w:t>原辅材料除</w:t>
      </w:r>
      <w:r>
        <w:t>盐酸</w:t>
      </w:r>
      <w:r>
        <w:rPr>
          <w:rFonts w:hint="eastAsia"/>
        </w:rPr>
        <w:t>、</w:t>
      </w:r>
      <w:r>
        <w:t>氢氧化钠</w:t>
      </w:r>
      <w:r>
        <w:rPr>
          <w:rFonts w:hint="eastAsia"/>
        </w:rPr>
        <w:t>外</w:t>
      </w:r>
      <w:r>
        <w:t>其他</w:t>
      </w:r>
      <w:r>
        <w:rPr>
          <w:rFonts w:hint="eastAsia"/>
        </w:rPr>
        <w:t>材料</w:t>
      </w:r>
      <w:r>
        <w:t>均采用袋装</w:t>
      </w:r>
      <w:r>
        <w:rPr>
          <w:rFonts w:hint="eastAsia"/>
        </w:rPr>
        <w:t>。</w:t>
      </w:r>
      <w:r>
        <w:t>依据企业提供资料，重铬酸钠</w:t>
      </w:r>
      <w:r>
        <w:rPr>
          <w:rFonts w:hint="eastAsia"/>
        </w:rPr>
        <w:t>、</w:t>
      </w:r>
      <w:r>
        <w:t>氯化钡</w:t>
      </w:r>
      <w:r>
        <w:rPr>
          <w:rFonts w:hint="eastAsia"/>
        </w:rPr>
        <w:t>等危化品废</w:t>
      </w:r>
      <w:r>
        <w:t>包装</w:t>
      </w:r>
      <w:r>
        <w:rPr>
          <w:rFonts w:hint="eastAsia"/>
        </w:rPr>
        <w:t>约0.4</w:t>
      </w:r>
      <w:r>
        <w:t>t/a，</w:t>
      </w:r>
      <w:r>
        <w:rPr>
          <w:rFonts w:hint="eastAsia"/>
        </w:rPr>
        <w:t>其他普通废包装约6.2t/a</w:t>
      </w:r>
      <w:r>
        <w:t>。</w:t>
      </w:r>
      <w:r>
        <w:rPr>
          <w:rFonts w:hint="eastAsia"/>
        </w:rPr>
        <w:t>危化品废包装分类收集后暂存于危废暂存间，交由有资质单位处置，其他普通废包装收集后暂存于一般固废暂存间，外售给回收单位利用。</w:t>
      </w:r>
    </w:p>
    <w:p w14:paraId="12DE084B">
      <w:pPr>
        <w:pStyle w:val="6"/>
        <w:bidi w:val="0"/>
      </w:pPr>
      <w:r>
        <w:rPr>
          <w:rFonts w:hint="eastAsia"/>
        </w:rPr>
        <w:t>废水站污泥</w:t>
      </w:r>
    </w:p>
    <w:p w14:paraId="53355BA6">
      <w:pPr>
        <w:pStyle w:val="38"/>
        <w:rPr>
          <w:rFonts w:hint="eastAsia" w:eastAsia="Sim Sun"/>
          <w:highlight w:val="yellow"/>
          <w:lang w:val="en-US" w:eastAsia="zh-CN"/>
        </w:rPr>
      </w:pPr>
      <w:r>
        <w:rPr>
          <w:rFonts w:hint="eastAsia"/>
          <w:lang w:val="en-US" w:eastAsia="zh-CN"/>
        </w:rPr>
        <w:t>正常生产期间，</w:t>
      </w:r>
      <w:r>
        <w:rPr>
          <w:rFonts w:hint="eastAsia"/>
        </w:rPr>
        <w:t>废水站进水主要</w:t>
      </w:r>
      <w:r>
        <w:rPr>
          <w:rFonts w:hint="eastAsia"/>
          <w:lang w:val="en-US" w:eastAsia="zh-CN"/>
        </w:rPr>
        <w:t>为</w:t>
      </w:r>
      <w:r>
        <w:rPr>
          <w:rFonts w:hint="eastAsia"/>
        </w:rPr>
        <w:t>循环冷却排水、纯水制备排水</w:t>
      </w:r>
      <w:r>
        <w:rPr>
          <w:rFonts w:hint="eastAsia"/>
          <w:lang w:eastAsia="zh-CN"/>
        </w:rPr>
        <w:t>、</w:t>
      </w:r>
      <w:r>
        <w:rPr>
          <w:rFonts w:hint="eastAsia"/>
          <w:lang w:val="en-US" w:eastAsia="zh-CN"/>
        </w:rPr>
        <w:t>地面冲洗废水、员工清洁废水、初期雨水、化验室废水等，</w:t>
      </w:r>
      <w:r>
        <w:rPr>
          <w:rFonts w:hint="eastAsia"/>
        </w:rPr>
        <w:t>主要污染因子为SS</w:t>
      </w:r>
      <w:r>
        <w:rPr>
          <w:rFonts w:hint="eastAsia"/>
          <w:lang w:eastAsia="zh-CN"/>
        </w:rPr>
        <w:t>、</w:t>
      </w:r>
      <w:r>
        <w:rPr>
          <w:rFonts w:hint="eastAsia"/>
          <w:lang w:val="en-US" w:eastAsia="zh-CN"/>
        </w:rPr>
        <w:t>钙镁离子、盐类，生产期间</w:t>
      </w:r>
      <w:r>
        <w:rPr>
          <w:rFonts w:hint="eastAsia"/>
          <w:highlight w:val="none"/>
          <w:lang w:val="en-US" w:eastAsia="zh-CN"/>
        </w:rPr>
        <w:t>废水站进水经</w:t>
      </w:r>
      <w:r>
        <w:rPr>
          <w:rFonts w:hint="eastAsia"/>
          <w:highlight w:val="none"/>
        </w:rPr>
        <w:t>“混凝沉淀+砂滤”处理后回用于化盐工序，不外排</w:t>
      </w:r>
      <w:r>
        <w:rPr>
          <w:rFonts w:hint="eastAsia"/>
          <w:lang w:eastAsia="zh-CN"/>
        </w:rPr>
        <w:t>；</w:t>
      </w:r>
      <w:r>
        <w:rPr>
          <w:rFonts w:hint="eastAsia"/>
          <w:lang w:val="en-US" w:eastAsia="zh-CN"/>
        </w:rPr>
        <w:t>非生产期间，废水站进水主要为初期雨水，主要污染因子为SS、高</w:t>
      </w:r>
      <w:r>
        <w:rPr>
          <w:rFonts w:hint="eastAsia"/>
          <w:highlight w:val="none"/>
          <w:lang w:val="en-US" w:eastAsia="zh-CN"/>
        </w:rPr>
        <w:t>氯酸盐，</w:t>
      </w:r>
      <w:r>
        <w:rPr>
          <w:rFonts w:hint="eastAsia"/>
          <w:highlight w:val="none"/>
        </w:rPr>
        <w:t>非生产期间</w:t>
      </w:r>
      <w:r>
        <w:rPr>
          <w:rFonts w:hint="eastAsia"/>
          <w:highlight w:val="none"/>
          <w:lang w:val="en-US" w:eastAsia="zh-CN"/>
        </w:rPr>
        <w:t>废水站进水</w:t>
      </w:r>
      <w:r>
        <w:rPr>
          <w:rFonts w:hint="eastAsia"/>
          <w:highlight w:val="none"/>
        </w:rPr>
        <w:t>经“混凝沉淀+砂滤+离子交换”</w:t>
      </w:r>
      <w:r>
        <w:rPr>
          <w:rFonts w:hint="eastAsia"/>
          <w:highlight w:val="none"/>
          <w:lang w:val="en-US" w:eastAsia="zh-CN"/>
        </w:rPr>
        <w:t>处理。</w:t>
      </w:r>
    </w:p>
    <w:p w14:paraId="2C955147">
      <w:pPr>
        <w:ind w:firstLine="480"/>
      </w:pPr>
      <w:r>
        <w:rPr>
          <w:rFonts w:hint="eastAsia"/>
          <w:lang w:val="en-US" w:eastAsia="zh-CN"/>
        </w:rPr>
        <w:t>根据废水站进水情况判断，废水站</w:t>
      </w:r>
      <w:r>
        <w:rPr>
          <w:rFonts w:hint="eastAsia"/>
        </w:rPr>
        <w:t>污泥主要为投加药剂后产生的</w:t>
      </w:r>
      <w:r>
        <w:rPr>
          <w:rFonts w:hint="eastAsia"/>
          <w:lang w:val="en-US" w:eastAsia="zh-CN"/>
        </w:rPr>
        <w:t>钙镁不溶性</w:t>
      </w:r>
      <w:r>
        <w:rPr>
          <w:rFonts w:hint="eastAsia"/>
        </w:rPr>
        <w:t>沉淀</w:t>
      </w:r>
      <w:r>
        <w:rPr>
          <w:rFonts w:hint="eastAsia"/>
          <w:lang w:eastAsia="zh-CN"/>
        </w:rPr>
        <w:t>，</w:t>
      </w:r>
      <w:r>
        <w:rPr>
          <w:rFonts w:hint="eastAsia"/>
          <w:lang w:val="en-US" w:eastAsia="zh-CN"/>
        </w:rPr>
        <w:t>不含重金属，判定为一般工业固废，经收集后交外售综合利用。</w:t>
      </w:r>
      <w:r>
        <w:rPr>
          <w:rFonts w:hint="eastAsia"/>
        </w:rPr>
        <w:t>结合物料平衡分析，项目污泥</w:t>
      </w:r>
      <w:r>
        <w:rPr>
          <w:rFonts w:hint="eastAsia"/>
          <w:lang w:val="en-US" w:eastAsia="zh-CN"/>
        </w:rPr>
        <w:t>压滤后</w:t>
      </w:r>
      <w:r>
        <w:rPr>
          <w:rFonts w:hint="eastAsia"/>
        </w:rPr>
        <w:t>含水</w:t>
      </w:r>
      <w:r>
        <w:rPr>
          <w:rFonts w:hint="eastAsia"/>
          <w:lang w:val="en-US" w:eastAsia="zh-CN"/>
        </w:rPr>
        <w:t>率</w:t>
      </w:r>
      <w:r>
        <w:rPr>
          <w:rFonts w:hint="eastAsia"/>
        </w:rPr>
        <w:t>约为40%，污泥产生量约为</w:t>
      </w:r>
      <w:r>
        <w:rPr>
          <w:rFonts w:hint="eastAsia"/>
          <w:lang w:val="en-US" w:eastAsia="zh-CN"/>
        </w:rPr>
        <w:t>72.98</w:t>
      </w:r>
      <w:r>
        <w:rPr>
          <w:rFonts w:hint="eastAsia"/>
        </w:rPr>
        <w:t>t/a。</w:t>
      </w:r>
    </w:p>
    <w:p w14:paraId="1BF8E1CA">
      <w:pPr>
        <w:pStyle w:val="6"/>
        <w:bidi w:val="0"/>
      </w:pPr>
      <w:r>
        <w:rPr>
          <w:rFonts w:hint="eastAsia"/>
          <w:lang w:val="en-US" w:eastAsia="zh-CN"/>
        </w:rPr>
        <w:t>废催化剂、废吸附剂</w:t>
      </w:r>
    </w:p>
    <w:p w14:paraId="09948136">
      <w:pPr>
        <w:rPr>
          <w:rFonts w:hint="default" w:eastAsia="宋体"/>
          <w:lang w:val="en-US" w:eastAsia="zh-CN"/>
        </w:rPr>
      </w:pPr>
      <w:r>
        <w:rPr>
          <w:rFonts w:hint="eastAsia"/>
          <w:lang w:val="en-US" w:eastAsia="zh-CN"/>
        </w:rPr>
        <w:t>根据建设单位提供资料，项目氢气回收系统催化剂、吸附剂每15年更换一次，每次更换量约为10.5t，折算年产生量约为0.7t/a。废催化剂、废吸附剂</w:t>
      </w:r>
      <w:r>
        <w:t>收集后暂存于</w:t>
      </w:r>
      <w:r>
        <w:rPr>
          <w:rFonts w:hint="eastAsia"/>
          <w:lang w:val="en-US" w:eastAsia="zh-CN"/>
        </w:rPr>
        <w:t>危废</w:t>
      </w:r>
      <w:r>
        <w:t>暂存间，交由有资质单位处置。</w:t>
      </w:r>
    </w:p>
    <w:p w14:paraId="035DED8C">
      <w:pPr>
        <w:pStyle w:val="6"/>
        <w:bidi w:val="0"/>
      </w:pPr>
      <w:r>
        <w:t>生活垃圾</w:t>
      </w:r>
    </w:p>
    <w:p w14:paraId="7D8BC7BB">
      <w:pPr>
        <w:ind w:firstLine="480"/>
      </w:pPr>
      <w:r>
        <w:t>项目定员为</w:t>
      </w:r>
      <w:r>
        <w:rPr>
          <w:rFonts w:hint="eastAsia"/>
        </w:rPr>
        <w:t>65</w:t>
      </w:r>
      <w:r>
        <w:t>人，按每人每天产生0.5kg垃圾量计，</w:t>
      </w:r>
      <w:r>
        <w:rPr>
          <w:rFonts w:hint="eastAsia"/>
        </w:rPr>
        <w:t>年工作时间300天，则本项目</w:t>
      </w:r>
      <w:r>
        <w:t>全年产生生活垃圾量为</w:t>
      </w:r>
      <w:r>
        <w:rPr>
          <w:rFonts w:hint="eastAsia"/>
        </w:rPr>
        <w:t>9.75t</w:t>
      </w:r>
      <w:r>
        <w:t>/a，</w:t>
      </w:r>
      <w:r>
        <w:rPr>
          <w:rFonts w:hint="eastAsia"/>
          <w:lang w:val="en-US" w:eastAsia="zh-CN"/>
        </w:rPr>
        <w:t>统一</w:t>
      </w:r>
      <w:r>
        <w:rPr>
          <w:rFonts w:hint="eastAsia"/>
        </w:rPr>
        <w:t>收集后</w:t>
      </w:r>
      <w:r>
        <w:t>交环卫部门</w:t>
      </w:r>
      <w:r>
        <w:rPr>
          <w:rFonts w:hint="eastAsia"/>
        </w:rPr>
        <w:t>统一</w:t>
      </w:r>
      <w:r>
        <w:t>清运</w:t>
      </w:r>
      <w:r>
        <w:rPr>
          <w:rFonts w:hint="eastAsia"/>
        </w:rPr>
        <w:t>处置</w:t>
      </w:r>
      <w:r>
        <w:t>。</w:t>
      </w:r>
    </w:p>
    <w:p w14:paraId="1B43FD5F">
      <w:pPr>
        <w:pStyle w:val="43"/>
        <w:numPr>
          <w:ilvl w:val="5"/>
          <w:numId w:val="1"/>
        </w:numPr>
        <w:rPr>
          <w:rFonts w:hint="default"/>
        </w:rPr>
      </w:pPr>
      <w:r>
        <w:t>项目固体废物产生情况一览表</w:t>
      </w:r>
    </w:p>
    <w:tbl>
      <w:tblPr>
        <w:tblStyle w:val="32"/>
        <w:tblW w:w="500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1"/>
        <w:gridCol w:w="1330"/>
        <w:gridCol w:w="1402"/>
        <w:gridCol w:w="1083"/>
        <w:gridCol w:w="3648"/>
      </w:tblGrid>
      <w:tr w14:paraId="1A4A3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trPr>
        <w:tc>
          <w:tcPr>
            <w:tcW w:w="622" w:type="pct"/>
            <w:shd w:val="clear" w:color="auto" w:fill="auto"/>
            <w:vAlign w:val="center"/>
          </w:tcPr>
          <w:p w14:paraId="568D8A37">
            <w:pPr>
              <w:pStyle w:val="45"/>
              <w:rPr>
                <w:rFonts w:hint="default"/>
                <w:b/>
                <w:bCs/>
              </w:rPr>
            </w:pPr>
            <w:r>
              <w:rPr>
                <w:b/>
                <w:bCs/>
              </w:rPr>
              <w:t>固废类别</w:t>
            </w:r>
          </w:p>
        </w:tc>
        <w:tc>
          <w:tcPr>
            <w:tcW w:w="780" w:type="pct"/>
            <w:shd w:val="clear" w:color="auto" w:fill="auto"/>
            <w:vAlign w:val="center"/>
          </w:tcPr>
          <w:p w14:paraId="4345F4BD">
            <w:pPr>
              <w:pStyle w:val="45"/>
              <w:rPr>
                <w:rFonts w:hint="default"/>
                <w:b/>
                <w:bCs/>
              </w:rPr>
            </w:pPr>
            <w:r>
              <w:rPr>
                <w:b/>
                <w:bCs/>
              </w:rPr>
              <w:t>产生环节</w:t>
            </w:r>
          </w:p>
        </w:tc>
        <w:tc>
          <w:tcPr>
            <w:tcW w:w="822" w:type="pct"/>
            <w:shd w:val="clear" w:color="auto" w:fill="auto"/>
            <w:vAlign w:val="center"/>
          </w:tcPr>
          <w:p w14:paraId="4E031D56">
            <w:pPr>
              <w:pStyle w:val="45"/>
              <w:rPr>
                <w:rFonts w:hint="default"/>
                <w:b/>
                <w:bCs/>
              </w:rPr>
            </w:pPr>
            <w:r>
              <w:rPr>
                <w:b/>
                <w:bCs/>
              </w:rPr>
              <w:t>污染源</w:t>
            </w:r>
          </w:p>
        </w:tc>
        <w:tc>
          <w:tcPr>
            <w:tcW w:w="635" w:type="pct"/>
            <w:shd w:val="clear" w:color="auto" w:fill="auto"/>
            <w:vAlign w:val="center"/>
          </w:tcPr>
          <w:p w14:paraId="5E685B98">
            <w:pPr>
              <w:pStyle w:val="45"/>
              <w:rPr>
                <w:rFonts w:hint="default"/>
                <w:b/>
                <w:bCs/>
              </w:rPr>
            </w:pPr>
            <w:r>
              <w:rPr>
                <w:b/>
                <w:bCs/>
              </w:rPr>
              <w:t>产生量（t/a）</w:t>
            </w:r>
          </w:p>
        </w:tc>
        <w:tc>
          <w:tcPr>
            <w:tcW w:w="2139" w:type="pct"/>
            <w:shd w:val="clear" w:color="auto" w:fill="auto"/>
            <w:vAlign w:val="center"/>
          </w:tcPr>
          <w:p w14:paraId="503F7255">
            <w:pPr>
              <w:pStyle w:val="45"/>
              <w:rPr>
                <w:rFonts w:hint="default"/>
                <w:b/>
                <w:bCs/>
              </w:rPr>
            </w:pPr>
            <w:r>
              <w:rPr>
                <w:b/>
                <w:bCs/>
              </w:rPr>
              <w:t>处置方式</w:t>
            </w:r>
          </w:p>
        </w:tc>
      </w:tr>
      <w:tr w14:paraId="75444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22" w:type="pct"/>
            <w:shd w:val="clear" w:color="auto" w:fill="auto"/>
            <w:vAlign w:val="center"/>
          </w:tcPr>
          <w:p w14:paraId="3CF91EF6">
            <w:pPr>
              <w:pStyle w:val="45"/>
              <w:rPr>
                <w:rFonts w:hint="default"/>
              </w:rPr>
            </w:pPr>
            <w:bookmarkStart w:id="133" w:name="OLE_LINK3" w:colFirst="4" w:colLast="4"/>
            <w:bookmarkStart w:id="134" w:name="OLE_LINK1" w:colFirst="2" w:colLast="2"/>
            <w:bookmarkStart w:id="135" w:name="OLE_LINK2" w:colFirst="3" w:colLast="3"/>
            <w:r>
              <w:t>生活垃圾</w:t>
            </w:r>
          </w:p>
        </w:tc>
        <w:tc>
          <w:tcPr>
            <w:tcW w:w="780" w:type="pct"/>
            <w:shd w:val="clear" w:color="auto" w:fill="auto"/>
            <w:vAlign w:val="center"/>
          </w:tcPr>
          <w:p w14:paraId="55C2AF90">
            <w:pPr>
              <w:pStyle w:val="45"/>
              <w:rPr>
                <w:rFonts w:hint="default"/>
              </w:rPr>
            </w:pPr>
            <w:r>
              <w:t>办公生活</w:t>
            </w:r>
          </w:p>
        </w:tc>
        <w:tc>
          <w:tcPr>
            <w:tcW w:w="822" w:type="pct"/>
            <w:shd w:val="clear" w:color="auto" w:fill="auto"/>
            <w:vAlign w:val="center"/>
          </w:tcPr>
          <w:p w14:paraId="1B48DB3B">
            <w:pPr>
              <w:pStyle w:val="45"/>
              <w:rPr>
                <w:rFonts w:hint="default"/>
              </w:rPr>
            </w:pPr>
            <w:r>
              <w:t>生活垃圾</w:t>
            </w:r>
          </w:p>
        </w:tc>
        <w:tc>
          <w:tcPr>
            <w:tcW w:w="1801" w:type="dxa"/>
            <w:shd w:val="clear" w:color="auto" w:fill="auto"/>
            <w:vAlign w:val="center"/>
          </w:tcPr>
          <w:p w14:paraId="3C668996">
            <w:pPr>
              <w:pStyle w:val="45"/>
              <w:bidi w:val="0"/>
              <w:rPr>
                <w:rFonts w:hint="default"/>
              </w:rPr>
            </w:pPr>
            <w:r>
              <w:rPr>
                <w:rFonts w:hint="default"/>
                <w:lang w:val="en-US" w:eastAsia="zh-CN"/>
              </w:rPr>
              <w:t>9.75</w:t>
            </w:r>
          </w:p>
        </w:tc>
        <w:tc>
          <w:tcPr>
            <w:tcW w:w="2139" w:type="pct"/>
            <w:shd w:val="clear" w:color="auto" w:fill="auto"/>
            <w:vAlign w:val="center"/>
          </w:tcPr>
          <w:p w14:paraId="558FEA66">
            <w:pPr>
              <w:pStyle w:val="45"/>
              <w:rPr>
                <w:rFonts w:hint="default"/>
              </w:rPr>
            </w:pPr>
            <w:r>
              <w:t>集中收集后交由环卫部门统一清运处置</w:t>
            </w:r>
          </w:p>
        </w:tc>
      </w:tr>
      <w:tr w14:paraId="7AD1D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22" w:type="pct"/>
            <w:vMerge w:val="restart"/>
            <w:shd w:val="clear" w:color="auto" w:fill="auto"/>
            <w:vAlign w:val="center"/>
          </w:tcPr>
          <w:p w14:paraId="442B7D4D">
            <w:pPr>
              <w:pStyle w:val="45"/>
              <w:rPr>
                <w:rFonts w:hint="default" w:eastAsia="宋体"/>
                <w:lang w:val="en-US" w:eastAsia="zh-CN"/>
              </w:rPr>
            </w:pPr>
            <w:r>
              <w:rPr>
                <w:rFonts w:hint="eastAsia"/>
                <w:lang w:val="en-US" w:eastAsia="zh-CN"/>
              </w:rPr>
              <w:t>一般工业固废</w:t>
            </w:r>
          </w:p>
        </w:tc>
        <w:tc>
          <w:tcPr>
            <w:tcW w:w="780" w:type="pct"/>
            <w:shd w:val="clear" w:color="auto" w:fill="auto"/>
            <w:vAlign w:val="center"/>
          </w:tcPr>
          <w:p w14:paraId="46CAAE15">
            <w:pPr>
              <w:pStyle w:val="45"/>
              <w:rPr>
                <w:rFonts w:hint="default"/>
              </w:rPr>
            </w:pPr>
            <w:r>
              <w:t>布袋除尘</w:t>
            </w:r>
          </w:p>
        </w:tc>
        <w:tc>
          <w:tcPr>
            <w:tcW w:w="822" w:type="pct"/>
            <w:shd w:val="clear" w:color="auto" w:fill="auto"/>
            <w:vAlign w:val="center"/>
          </w:tcPr>
          <w:p w14:paraId="57E837ED">
            <w:pPr>
              <w:pStyle w:val="45"/>
              <w:rPr>
                <w:rFonts w:hint="default"/>
              </w:rPr>
            </w:pPr>
            <w:r>
              <w:t>布袋收集粉尘</w:t>
            </w:r>
          </w:p>
        </w:tc>
        <w:tc>
          <w:tcPr>
            <w:tcW w:w="1801" w:type="dxa"/>
            <w:shd w:val="clear" w:color="auto" w:fill="auto"/>
            <w:vAlign w:val="center"/>
          </w:tcPr>
          <w:p w14:paraId="4A7DAE8F">
            <w:pPr>
              <w:pStyle w:val="45"/>
              <w:bidi w:val="0"/>
              <w:rPr>
                <w:rFonts w:hint="default"/>
              </w:rPr>
            </w:pPr>
            <w:r>
              <w:rPr>
                <w:rFonts w:hint="default"/>
                <w:lang w:val="en-US" w:eastAsia="zh-CN"/>
              </w:rPr>
              <w:t>52.668</w:t>
            </w:r>
          </w:p>
        </w:tc>
        <w:tc>
          <w:tcPr>
            <w:tcW w:w="2139" w:type="pct"/>
            <w:shd w:val="clear" w:color="auto" w:fill="auto"/>
            <w:vAlign w:val="center"/>
          </w:tcPr>
          <w:p w14:paraId="4A9882AC">
            <w:pPr>
              <w:pStyle w:val="45"/>
              <w:rPr>
                <w:rFonts w:hint="default" w:eastAsia="宋体"/>
                <w:lang w:val="en-US" w:eastAsia="zh-CN"/>
              </w:rPr>
            </w:pPr>
            <w:r>
              <w:t>收集后回用</w:t>
            </w:r>
            <w:r>
              <w:rPr>
                <w:rFonts w:hint="eastAsia"/>
                <w:lang w:val="en-US" w:eastAsia="zh-CN"/>
              </w:rPr>
              <w:t>于产品包装</w:t>
            </w:r>
          </w:p>
        </w:tc>
      </w:tr>
      <w:tr w14:paraId="239CC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22" w:type="pct"/>
            <w:vMerge w:val="continue"/>
            <w:shd w:val="clear" w:color="auto" w:fill="auto"/>
            <w:vAlign w:val="center"/>
          </w:tcPr>
          <w:p w14:paraId="74F89AF7">
            <w:pPr>
              <w:pStyle w:val="45"/>
              <w:rPr>
                <w:rFonts w:hint="default"/>
              </w:rPr>
            </w:pPr>
          </w:p>
        </w:tc>
        <w:tc>
          <w:tcPr>
            <w:tcW w:w="780" w:type="pct"/>
            <w:shd w:val="clear" w:color="auto" w:fill="auto"/>
            <w:vAlign w:val="center"/>
          </w:tcPr>
          <w:p w14:paraId="377C4249">
            <w:pPr>
              <w:pStyle w:val="45"/>
              <w:rPr>
                <w:rFonts w:hint="default"/>
              </w:rPr>
            </w:pPr>
            <w:r>
              <w:rPr>
                <w:rFonts w:hint="eastAsia"/>
                <w:lang w:val="en-US" w:eastAsia="zh-CN"/>
              </w:rPr>
              <w:t>原辅料</w:t>
            </w:r>
            <w:r>
              <w:t>使用</w:t>
            </w:r>
          </w:p>
        </w:tc>
        <w:tc>
          <w:tcPr>
            <w:tcW w:w="822" w:type="pct"/>
            <w:shd w:val="clear" w:color="auto" w:fill="auto"/>
            <w:vAlign w:val="center"/>
          </w:tcPr>
          <w:p w14:paraId="08BB800F">
            <w:pPr>
              <w:pStyle w:val="45"/>
              <w:rPr>
                <w:rFonts w:hint="default"/>
              </w:rPr>
            </w:pPr>
            <w:r>
              <w:t>普通废包装</w:t>
            </w:r>
          </w:p>
        </w:tc>
        <w:tc>
          <w:tcPr>
            <w:tcW w:w="1801" w:type="dxa"/>
            <w:shd w:val="clear" w:color="auto" w:fill="auto"/>
            <w:vAlign w:val="center"/>
          </w:tcPr>
          <w:p w14:paraId="5DA8EAF1">
            <w:pPr>
              <w:pStyle w:val="45"/>
              <w:bidi w:val="0"/>
              <w:rPr>
                <w:rFonts w:hint="default"/>
              </w:rPr>
            </w:pPr>
            <w:r>
              <w:rPr>
                <w:rFonts w:hint="default"/>
                <w:lang w:val="en-US" w:eastAsia="zh-CN"/>
              </w:rPr>
              <w:t>6.2</w:t>
            </w:r>
          </w:p>
        </w:tc>
        <w:tc>
          <w:tcPr>
            <w:tcW w:w="2139" w:type="pct"/>
            <w:shd w:val="clear" w:color="auto" w:fill="auto"/>
            <w:vAlign w:val="center"/>
          </w:tcPr>
          <w:p w14:paraId="60E94089">
            <w:pPr>
              <w:pStyle w:val="45"/>
              <w:rPr>
                <w:rFonts w:hint="default"/>
              </w:rPr>
            </w:pPr>
            <w:r>
              <w:t>收集后暂存于一般固废暂存间，外售给回收单位利用</w:t>
            </w:r>
          </w:p>
        </w:tc>
      </w:tr>
      <w:tr w14:paraId="0D1C0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22" w:type="pct"/>
            <w:vMerge w:val="continue"/>
            <w:shd w:val="clear" w:color="auto" w:fill="auto"/>
            <w:vAlign w:val="center"/>
          </w:tcPr>
          <w:p w14:paraId="2BF93294">
            <w:pPr>
              <w:pStyle w:val="45"/>
              <w:rPr>
                <w:rFonts w:hint="default"/>
              </w:rPr>
            </w:pPr>
          </w:p>
        </w:tc>
        <w:tc>
          <w:tcPr>
            <w:tcW w:w="780" w:type="pct"/>
            <w:shd w:val="clear" w:color="auto" w:fill="auto"/>
            <w:vAlign w:val="center"/>
          </w:tcPr>
          <w:p w14:paraId="27707CD0">
            <w:pPr>
              <w:pStyle w:val="45"/>
              <w:rPr>
                <w:rFonts w:hint="default"/>
              </w:rPr>
            </w:pPr>
            <w:r>
              <w:t>纯水制备</w:t>
            </w:r>
          </w:p>
        </w:tc>
        <w:tc>
          <w:tcPr>
            <w:tcW w:w="822" w:type="pct"/>
            <w:shd w:val="clear" w:color="auto" w:fill="auto"/>
            <w:vAlign w:val="center"/>
          </w:tcPr>
          <w:p w14:paraId="23631774">
            <w:pPr>
              <w:pStyle w:val="45"/>
              <w:rPr>
                <w:rFonts w:hint="eastAsia" w:eastAsia="宋体"/>
                <w:lang w:eastAsia="zh-CN"/>
              </w:rPr>
            </w:pPr>
            <w:r>
              <w:rPr>
                <w:rFonts w:hint="eastAsia"/>
                <w:lang w:eastAsia="zh-CN"/>
              </w:rPr>
              <w:t>废RO膜</w:t>
            </w:r>
          </w:p>
        </w:tc>
        <w:tc>
          <w:tcPr>
            <w:tcW w:w="1801" w:type="dxa"/>
            <w:shd w:val="clear" w:color="auto" w:fill="auto"/>
            <w:vAlign w:val="center"/>
          </w:tcPr>
          <w:p w14:paraId="680640D8">
            <w:pPr>
              <w:pStyle w:val="45"/>
              <w:bidi w:val="0"/>
              <w:rPr>
                <w:rFonts w:hint="default"/>
                <w:lang w:val="en-US" w:eastAsia="zh-CN"/>
              </w:rPr>
            </w:pPr>
            <w:r>
              <w:rPr>
                <w:rFonts w:hint="default"/>
                <w:lang w:val="en-US" w:eastAsia="zh-CN"/>
              </w:rPr>
              <w:t>0.25</w:t>
            </w:r>
          </w:p>
        </w:tc>
        <w:tc>
          <w:tcPr>
            <w:tcW w:w="2139" w:type="pct"/>
            <w:vMerge w:val="restart"/>
            <w:shd w:val="clear" w:color="auto" w:fill="auto"/>
            <w:vAlign w:val="center"/>
          </w:tcPr>
          <w:p w14:paraId="561CF224">
            <w:pPr>
              <w:pStyle w:val="45"/>
              <w:rPr>
                <w:rFonts w:hint="default"/>
              </w:rPr>
            </w:pPr>
            <w:r>
              <w:t>收集后暂存于一般固废暂存间，交由厂家回收</w:t>
            </w:r>
          </w:p>
        </w:tc>
      </w:tr>
      <w:tr w14:paraId="1103A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22" w:type="pct"/>
            <w:vMerge w:val="continue"/>
            <w:shd w:val="clear" w:color="auto" w:fill="auto"/>
            <w:vAlign w:val="center"/>
          </w:tcPr>
          <w:p w14:paraId="55FDE1B0">
            <w:pPr>
              <w:pStyle w:val="45"/>
              <w:rPr>
                <w:rFonts w:hint="default"/>
              </w:rPr>
            </w:pPr>
          </w:p>
        </w:tc>
        <w:tc>
          <w:tcPr>
            <w:tcW w:w="780" w:type="pct"/>
            <w:shd w:val="clear" w:color="auto" w:fill="auto"/>
            <w:vAlign w:val="center"/>
          </w:tcPr>
          <w:p w14:paraId="2E5D708A">
            <w:pPr>
              <w:pStyle w:val="45"/>
            </w:pPr>
            <w:r>
              <w:t>纯水制备</w:t>
            </w:r>
          </w:p>
        </w:tc>
        <w:tc>
          <w:tcPr>
            <w:tcW w:w="822" w:type="pct"/>
            <w:shd w:val="clear" w:color="auto" w:fill="auto"/>
            <w:vAlign w:val="center"/>
          </w:tcPr>
          <w:p w14:paraId="305BA2EE">
            <w:pPr>
              <w:pStyle w:val="45"/>
              <w:rPr>
                <w:rFonts w:hint="eastAsia"/>
              </w:rPr>
            </w:pPr>
            <w:r>
              <w:rPr>
                <w:rFonts w:hint="eastAsia"/>
                <w:lang w:eastAsia="zh-CN"/>
              </w:rPr>
              <w:t>废活性炭（纯水制备）</w:t>
            </w:r>
          </w:p>
        </w:tc>
        <w:tc>
          <w:tcPr>
            <w:tcW w:w="1801" w:type="dxa"/>
            <w:shd w:val="clear" w:color="auto" w:fill="auto"/>
            <w:vAlign w:val="center"/>
          </w:tcPr>
          <w:p w14:paraId="13E7F5A4">
            <w:pPr>
              <w:pStyle w:val="45"/>
              <w:bidi w:val="0"/>
              <w:rPr>
                <w:rFonts w:hint="default"/>
                <w:lang w:val="en-US" w:eastAsia="zh-CN"/>
              </w:rPr>
            </w:pPr>
            <w:r>
              <w:rPr>
                <w:rFonts w:hint="default"/>
                <w:lang w:val="en-US" w:eastAsia="zh-CN"/>
              </w:rPr>
              <w:t>0.75</w:t>
            </w:r>
          </w:p>
        </w:tc>
        <w:tc>
          <w:tcPr>
            <w:tcW w:w="2139" w:type="pct"/>
            <w:vMerge w:val="continue"/>
            <w:shd w:val="clear" w:color="auto" w:fill="auto"/>
            <w:vAlign w:val="center"/>
          </w:tcPr>
          <w:p w14:paraId="30399583">
            <w:pPr>
              <w:pStyle w:val="45"/>
            </w:pPr>
          </w:p>
        </w:tc>
      </w:tr>
      <w:tr w14:paraId="0779C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22" w:type="pct"/>
            <w:vMerge w:val="continue"/>
            <w:shd w:val="clear" w:color="auto" w:fill="auto"/>
            <w:vAlign w:val="center"/>
          </w:tcPr>
          <w:p w14:paraId="79FBBC72">
            <w:pPr>
              <w:pStyle w:val="45"/>
              <w:rPr>
                <w:rFonts w:hint="default"/>
              </w:rPr>
            </w:pPr>
          </w:p>
        </w:tc>
        <w:tc>
          <w:tcPr>
            <w:tcW w:w="780" w:type="pct"/>
            <w:shd w:val="clear" w:color="auto" w:fill="auto"/>
            <w:vAlign w:val="center"/>
          </w:tcPr>
          <w:p w14:paraId="5CD2A8E8">
            <w:pPr>
              <w:pStyle w:val="45"/>
              <w:rPr>
                <w:rFonts w:hint="default"/>
              </w:rPr>
            </w:pPr>
            <w:r>
              <w:t>电解装置</w:t>
            </w:r>
          </w:p>
        </w:tc>
        <w:tc>
          <w:tcPr>
            <w:tcW w:w="822" w:type="pct"/>
            <w:shd w:val="clear" w:color="auto" w:fill="auto"/>
            <w:vAlign w:val="center"/>
          </w:tcPr>
          <w:p w14:paraId="12D7FB35">
            <w:pPr>
              <w:pStyle w:val="45"/>
              <w:rPr>
                <w:rFonts w:hint="eastAsia" w:eastAsia="宋体"/>
                <w:lang w:val="en-US" w:eastAsia="zh-CN"/>
              </w:rPr>
            </w:pPr>
            <w:r>
              <w:t>废电极</w:t>
            </w:r>
            <w:r>
              <w:rPr>
                <w:rFonts w:hint="eastAsia"/>
                <w:lang w:val="en-US" w:eastAsia="zh-CN"/>
              </w:rPr>
              <w:t>材料</w:t>
            </w:r>
          </w:p>
        </w:tc>
        <w:tc>
          <w:tcPr>
            <w:tcW w:w="1801" w:type="dxa"/>
            <w:shd w:val="clear" w:color="auto" w:fill="auto"/>
            <w:vAlign w:val="center"/>
          </w:tcPr>
          <w:p w14:paraId="7C6F4266">
            <w:pPr>
              <w:pStyle w:val="45"/>
              <w:bidi w:val="0"/>
              <w:rPr>
                <w:rFonts w:hint="default"/>
              </w:rPr>
            </w:pPr>
            <w:r>
              <w:rPr>
                <w:rFonts w:hint="default"/>
                <w:lang w:val="en-US" w:eastAsia="zh-CN"/>
              </w:rPr>
              <w:t>0.2</w:t>
            </w:r>
          </w:p>
        </w:tc>
        <w:tc>
          <w:tcPr>
            <w:tcW w:w="2139" w:type="pct"/>
            <w:vMerge w:val="continue"/>
            <w:shd w:val="clear" w:color="auto" w:fill="auto"/>
            <w:vAlign w:val="center"/>
          </w:tcPr>
          <w:p w14:paraId="11BDF629">
            <w:pPr>
              <w:pStyle w:val="45"/>
              <w:rPr>
                <w:rFonts w:hint="default"/>
              </w:rPr>
            </w:pPr>
          </w:p>
        </w:tc>
      </w:tr>
      <w:tr w14:paraId="50BD5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22" w:type="pct"/>
            <w:vMerge w:val="continue"/>
            <w:shd w:val="clear" w:color="auto" w:fill="auto"/>
            <w:vAlign w:val="center"/>
          </w:tcPr>
          <w:p w14:paraId="7C51189C">
            <w:pPr>
              <w:pStyle w:val="45"/>
              <w:rPr>
                <w:rFonts w:hint="default"/>
              </w:rPr>
            </w:pPr>
          </w:p>
        </w:tc>
        <w:tc>
          <w:tcPr>
            <w:tcW w:w="780" w:type="pct"/>
            <w:shd w:val="clear" w:color="auto" w:fill="auto"/>
            <w:vAlign w:val="center"/>
          </w:tcPr>
          <w:p w14:paraId="0A1D96E8">
            <w:pPr>
              <w:pStyle w:val="45"/>
              <w:rPr>
                <w:rFonts w:hint="default" w:eastAsia="宋体"/>
                <w:lang w:val="en-US" w:eastAsia="zh-CN"/>
              </w:rPr>
            </w:pPr>
            <w:r>
              <w:rPr>
                <w:rFonts w:hint="eastAsia"/>
                <w:lang w:val="en-US" w:eastAsia="zh-CN"/>
              </w:rPr>
              <w:t>化盐工序</w:t>
            </w:r>
          </w:p>
        </w:tc>
        <w:tc>
          <w:tcPr>
            <w:tcW w:w="822" w:type="pct"/>
            <w:shd w:val="clear" w:color="auto" w:fill="auto"/>
            <w:vAlign w:val="center"/>
          </w:tcPr>
          <w:p w14:paraId="33787316">
            <w:pPr>
              <w:pStyle w:val="45"/>
              <w:ind w:firstLine="0" w:firstLineChars="0"/>
            </w:pPr>
            <w:r>
              <w:t>除杂滤渣</w:t>
            </w:r>
          </w:p>
        </w:tc>
        <w:tc>
          <w:tcPr>
            <w:tcW w:w="1801" w:type="dxa"/>
            <w:shd w:val="clear" w:color="auto" w:fill="auto"/>
            <w:vAlign w:val="center"/>
          </w:tcPr>
          <w:p w14:paraId="6E33A41F">
            <w:pPr>
              <w:pStyle w:val="45"/>
              <w:bidi w:val="0"/>
              <w:rPr>
                <w:rFonts w:hint="eastAsia"/>
                <w:lang w:val="en-US" w:eastAsia="zh-CN"/>
              </w:rPr>
            </w:pPr>
            <w:r>
              <w:rPr>
                <w:rFonts w:hint="default"/>
                <w:lang w:val="en-US" w:eastAsia="zh-CN"/>
              </w:rPr>
              <w:t>2098.83</w:t>
            </w:r>
          </w:p>
        </w:tc>
        <w:tc>
          <w:tcPr>
            <w:tcW w:w="2139" w:type="pct"/>
            <w:vMerge w:val="restart"/>
            <w:shd w:val="clear" w:color="auto" w:fill="auto"/>
            <w:vAlign w:val="center"/>
          </w:tcPr>
          <w:p w14:paraId="22F6D67B">
            <w:pPr>
              <w:pStyle w:val="45"/>
              <w:ind w:firstLine="0" w:firstLineChars="0"/>
              <w:rPr>
                <w:rFonts w:hint="default" w:eastAsia="宋体"/>
                <w:lang w:val="en-US" w:eastAsia="zh-CN"/>
              </w:rPr>
            </w:pPr>
            <w:r>
              <w:t>收集后暂存于一般固废暂存间，交由建材厂利用</w:t>
            </w:r>
            <w:r>
              <w:rPr>
                <w:rFonts w:hint="eastAsia"/>
                <w:lang w:val="en-US" w:eastAsia="zh-CN"/>
              </w:rPr>
              <w:t>或外售综合利用</w:t>
            </w:r>
          </w:p>
        </w:tc>
      </w:tr>
      <w:tr w14:paraId="053B6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22" w:type="pct"/>
            <w:vMerge w:val="continue"/>
            <w:shd w:val="clear" w:color="auto" w:fill="auto"/>
            <w:vAlign w:val="center"/>
          </w:tcPr>
          <w:p w14:paraId="393226F8">
            <w:pPr>
              <w:pStyle w:val="45"/>
              <w:rPr>
                <w:rFonts w:hint="default"/>
              </w:rPr>
            </w:pPr>
          </w:p>
        </w:tc>
        <w:tc>
          <w:tcPr>
            <w:tcW w:w="780" w:type="pct"/>
            <w:shd w:val="clear" w:color="auto" w:fill="auto"/>
            <w:vAlign w:val="center"/>
          </w:tcPr>
          <w:p w14:paraId="22960233">
            <w:pPr>
              <w:pStyle w:val="45"/>
              <w:rPr>
                <w:rFonts w:hint="default"/>
              </w:rPr>
            </w:pPr>
            <w:r>
              <w:t>废水处理</w:t>
            </w:r>
          </w:p>
        </w:tc>
        <w:tc>
          <w:tcPr>
            <w:tcW w:w="822" w:type="pct"/>
            <w:shd w:val="clear" w:color="auto" w:fill="auto"/>
            <w:vAlign w:val="center"/>
          </w:tcPr>
          <w:p w14:paraId="74929F84">
            <w:pPr>
              <w:pStyle w:val="45"/>
              <w:rPr>
                <w:rFonts w:hint="default"/>
              </w:rPr>
            </w:pPr>
            <w:r>
              <w:t>废水站污泥</w:t>
            </w:r>
          </w:p>
        </w:tc>
        <w:tc>
          <w:tcPr>
            <w:tcW w:w="1801" w:type="dxa"/>
            <w:shd w:val="clear" w:color="auto" w:fill="auto"/>
            <w:vAlign w:val="center"/>
          </w:tcPr>
          <w:p w14:paraId="51C3E9A3">
            <w:pPr>
              <w:pStyle w:val="45"/>
              <w:bidi w:val="0"/>
              <w:rPr>
                <w:rFonts w:hint="default"/>
                <w:lang w:val="en-US" w:eastAsia="zh-CN"/>
              </w:rPr>
            </w:pPr>
            <w:r>
              <w:rPr>
                <w:rFonts w:hint="default"/>
                <w:lang w:val="en-US" w:eastAsia="zh-CN"/>
              </w:rPr>
              <w:t>72.98</w:t>
            </w:r>
          </w:p>
        </w:tc>
        <w:tc>
          <w:tcPr>
            <w:tcW w:w="2139" w:type="pct"/>
            <w:vMerge w:val="continue"/>
            <w:shd w:val="clear" w:color="auto" w:fill="auto"/>
            <w:vAlign w:val="center"/>
          </w:tcPr>
          <w:p w14:paraId="0351EC8A">
            <w:pPr>
              <w:pStyle w:val="45"/>
              <w:rPr>
                <w:rFonts w:hint="default"/>
              </w:rPr>
            </w:pPr>
          </w:p>
        </w:tc>
      </w:tr>
      <w:tr w14:paraId="561F7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22" w:type="pct"/>
            <w:vMerge w:val="restart"/>
            <w:shd w:val="clear" w:color="auto" w:fill="auto"/>
            <w:vAlign w:val="center"/>
          </w:tcPr>
          <w:p w14:paraId="769CA850">
            <w:pPr>
              <w:pStyle w:val="45"/>
              <w:rPr>
                <w:rFonts w:hint="default"/>
              </w:rPr>
            </w:pPr>
            <w:r>
              <w:t>危险废物</w:t>
            </w:r>
          </w:p>
        </w:tc>
        <w:tc>
          <w:tcPr>
            <w:tcW w:w="780" w:type="pct"/>
            <w:shd w:val="clear" w:color="auto" w:fill="auto"/>
            <w:vAlign w:val="center"/>
          </w:tcPr>
          <w:p w14:paraId="64507D69">
            <w:pPr>
              <w:pStyle w:val="45"/>
              <w:rPr>
                <w:rFonts w:hint="default"/>
              </w:rPr>
            </w:pPr>
            <w:r>
              <w:t>电解装置</w:t>
            </w:r>
          </w:p>
        </w:tc>
        <w:tc>
          <w:tcPr>
            <w:tcW w:w="822" w:type="pct"/>
            <w:shd w:val="clear" w:color="auto" w:fill="auto"/>
            <w:vAlign w:val="center"/>
          </w:tcPr>
          <w:p w14:paraId="5458B599">
            <w:pPr>
              <w:pStyle w:val="45"/>
              <w:rPr>
                <w:rFonts w:hint="default"/>
              </w:rPr>
            </w:pPr>
            <w:r>
              <w:t>一次电解槽沉渣</w:t>
            </w:r>
          </w:p>
        </w:tc>
        <w:tc>
          <w:tcPr>
            <w:tcW w:w="1801" w:type="dxa"/>
            <w:shd w:val="clear" w:color="auto" w:fill="auto"/>
            <w:vAlign w:val="center"/>
          </w:tcPr>
          <w:p w14:paraId="036C411A">
            <w:pPr>
              <w:pStyle w:val="45"/>
              <w:bidi w:val="0"/>
              <w:rPr>
                <w:rFonts w:hint="default"/>
              </w:rPr>
            </w:pPr>
            <w:r>
              <w:rPr>
                <w:rFonts w:hint="default"/>
                <w:lang w:val="en-US" w:eastAsia="zh-CN"/>
              </w:rPr>
              <w:t>0.42</w:t>
            </w:r>
          </w:p>
        </w:tc>
        <w:tc>
          <w:tcPr>
            <w:tcW w:w="2139" w:type="pct"/>
            <w:vMerge w:val="restart"/>
            <w:shd w:val="clear" w:color="auto" w:fill="auto"/>
            <w:vAlign w:val="center"/>
          </w:tcPr>
          <w:p w14:paraId="3E6726EE">
            <w:pPr>
              <w:pStyle w:val="45"/>
              <w:rPr>
                <w:rFonts w:hint="default"/>
              </w:rPr>
            </w:pPr>
            <w:r>
              <w:t>分类收集后暂存于危废暂存间，交由有资质单位处置</w:t>
            </w:r>
          </w:p>
        </w:tc>
      </w:tr>
      <w:tr w14:paraId="128FF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22" w:type="pct"/>
            <w:vMerge w:val="continue"/>
            <w:shd w:val="clear" w:color="auto" w:fill="auto"/>
            <w:vAlign w:val="center"/>
          </w:tcPr>
          <w:p w14:paraId="3AEBCBA9">
            <w:pPr>
              <w:pStyle w:val="45"/>
              <w:rPr>
                <w:rFonts w:hint="default"/>
              </w:rPr>
            </w:pPr>
          </w:p>
        </w:tc>
        <w:tc>
          <w:tcPr>
            <w:tcW w:w="780" w:type="pct"/>
            <w:shd w:val="clear" w:color="auto" w:fill="auto"/>
            <w:vAlign w:val="center"/>
          </w:tcPr>
          <w:p w14:paraId="71D37EFD">
            <w:pPr>
              <w:pStyle w:val="45"/>
              <w:rPr>
                <w:rFonts w:hint="default"/>
              </w:rPr>
            </w:pPr>
            <w:r>
              <w:t>电解装置</w:t>
            </w:r>
          </w:p>
        </w:tc>
        <w:tc>
          <w:tcPr>
            <w:tcW w:w="822" w:type="pct"/>
            <w:shd w:val="clear" w:color="auto" w:fill="auto"/>
            <w:vAlign w:val="center"/>
          </w:tcPr>
          <w:p w14:paraId="23962154">
            <w:pPr>
              <w:pStyle w:val="45"/>
              <w:rPr>
                <w:rFonts w:hint="default"/>
              </w:rPr>
            </w:pPr>
            <w:r>
              <w:t>二次电解槽沉渣</w:t>
            </w:r>
          </w:p>
        </w:tc>
        <w:tc>
          <w:tcPr>
            <w:tcW w:w="1801" w:type="dxa"/>
            <w:shd w:val="clear" w:color="auto" w:fill="auto"/>
            <w:vAlign w:val="center"/>
          </w:tcPr>
          <w:p w14:paraId="3F34F3E9">
            <w:pPr>
              <w:pStyle w:val="45"/>
              <w:bidi w:val="0"/>
              <w:rPr>
                <w:rFonts w:hint="default"/>
                <w:lang w:val="en-US" w:eastAsia="zh-CN"/>
              </w:rPr>
            </w:pPr>
            <w:r>
              <w:rPr>
                <w:rFonts w:hint="default"/>
                <w:lang w:val="en-US" w:eastAsia="zh-CN"/>
              </w:rPr>
              <w:t>5.1</w:t>
            </w:r>
          </w:p>
        </w:tc>
        <w:tc>
          <w:tcPr>
            <w:tcW w:w="2139" w:type="pct"/>
            <w:vMerge w:val="continue"/>
            <w:shd w:val="clear" w:color="auto" w:fill="auto"/>
            <w:vAlign w:val="center"/>
          </w:tcPr>
          <w:p w14:paraId="30D8CF73">
            <w:pPr>
              <w:pStyle w:val="45"/>
              <w:rPr>
                <w:rFonts w:hint="default"/>
              </w:rPr>
            </w:pPr>
          </w:p>
        </w:tc>
      </w:tr>
      <w:tr w14:paraId="63A5E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22" w:type="pct"/>
            <w:vMerge w:val="continue"/>
            <w:shd w:val="clear" w:color="auto" w:fill="auto"/>
            <w:vAlign w:val="center"/>
          </w:tcPr>
          <w:p w14:paraId="6F77E1F3">
            <w:pPr>
              <w:pStyle w:val="45"/>
              <w:rPr>
                <w:rFonts w:hint="default"/>
              </w:rPr>
            </w:pPr>
          </w:p>
        </w:tc>
        <w:tc>
          <w:tcPr>
            <w:tcW w:w="780" w:type="pct"/>
            <w:shd w:val="clear" w:color="auto" w:fill="auto"/>
            <w:vAlign w:val="center"/>
          </w:tcPr>
          <w:p w14:paraId="3AB9F814">
            <w:pPr>
              <w:pStyle w:val="45"/>
              <w:rPr>
                <w:rFonts w:hint="default"/>
              </w:rPr>
            </w:pPr>
            <w:r>
              <w:t>氯酸钠精制</w:t>
            </w:r>
          </w:p>
        </w:tc>
        <w:tc>
          <w:tcPr>
            <w:tcW w:w="822" w:type="pct"/>
            <w:shd w:val="clear" w:color="auto" w:fill="auto"/>
            <w:vAlign w:val="center"/>
          </w:tcPr>
          <w:p w14:paraId="318530E3">
            <w:pPr>
              <w:pStyle w:val="45"/>
              <w:rPr>
                <w:rFonts w:hint="eastAsia" w:eastAsia="宋体"/>
                <w:lang w:eastAsia="zh-CN"/>
              </w:rPr>
            </w:pPr>
            <w:r>
              <w:t>除铬</w:t>
            </w:r>
            <w:r>
              <w:rPr>
                <w:rFonts w:hint="eastAsia"/>
                <w:lang w:val="en-US" w:eastAsia="zh-CN"/>
              </w:rPr>
              <w:t>滤渣</w:t>
            </w:r>
          </w:p>
        </w:tc>
        <w:tc>
          <w:tcPr>
            <w:tcW w:w="1801" w:type="dxa"/>
            <w:shd w:val="clear" w:color="auto" w:fill="auto"/>
            <w:vAlign w:val="center"/>
          </w:tcPr>
          <w:p w14:paraId="1784DFBB">
            <w:pPr>
              <w:pStyle w:val="45"/>
              <w:bidi w:val="0"/>
              <w:rPr>
                <w:rFonts w:hint="default"/>
              </w:rPr>
            </w:pPr>
            <w:r>
              <w:rPr>
                <w:rFonts w:hint="default"/>
                <w:lang w:val="en-US" w:eastAsia="zh-CN"/>
              </w:rPr>
              <w:t>60.75</w:t>
            </w:r>
          </w:p>
        </w:tc>
        <w:tc>
          <w:tcPr>
            <w:tcW w:w="2139" w:type="pct"/>
            <w:vMerge w:val="continue"/>
            <w:shd w:val="clear" w:color="auto" w:fill="auto"/>
            <w:vAlign w:val="center"/>
          </w:tcPr>
          <w:p w14:paraId="0E532926">
            <w:pPr>
              <w:pStyle w:val="45"/>
              <w:rPr>
                <w:rFonts w:hint="default"/>
              </w:rPr>
            </w:pPr>
          </w:p>
        </w:tc>
      </w:tr>
      <w:tr w14:paraId="537AF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22" w:type="pct"/>
            <w:vMerge w:val="continue"/>
            <w:shd w:val="clear" w:color="auto" w:fill="auto"/>
            <w:vAlign w:val="center"/>
          </w:tcPr>
          <w:p w14:paraId="138B7108">
            <w:pPr>
              <w:pStyle w:val="45"/>
              <w:rPr>
                <w:rFonts w:hint="default"/>
              </w:rPr>
            </w:pPr>
            <w:r>
              <w:t xml:space="preserve"> </w:t>
            </w:r>
          </w:p>
        </w:tc>
        <w:tc>
          <w:tcPr>
            <w:tcW w:w="780" w:type="pct"/>
            <w:shd w:val="clear" w:color="auto" w:fill="auto"/>
            <w:vAlign w:val="center"/>
          </w:tcPr>
          <w:p w14:paraId="52AF1777">
            <w:pPr>
              <w:pStyle w:val="45"/>
              <w:rPr>
                <w:rFonts w:hint="default"/>
              </w:rPr>
            </w:pPr>
            <w:r>
              <w:rPr>
                <w:rFonts w:hint="eastAsia"/>
                <w:lang w:val="en-US" w:eastAsia="zh-CN"/>
              </w:rPr>
              <w:t>原辅料</w:t>
            </w:r>
            <w:r>
              <w:t>使用</w:t>
            </w:r>
          </w:p>
        </w:tc>
        <w:tc>
          <w:tcPr>
            <w:tcW w:w="822" w:type="pct"/>
            <w:shd w:val="clear" w:color="auto" w:fill="auto"/>
            <w:vAlign w:val="center"/>
          </w:tcPr>
          <w:p w14:paraId="7C2D39FC">
            <w:pPr>
              <w:pStyle w:val="45"/>
              <w:rPr>
                <w:rFonts w:hint="default"/>
              </w:rPr>
            </w:pPr>
            <w:r>
              <w:t>危化品废包装</w:t>
            </w:r>
          </w:p>
        </w:tc>
        <w:tc>
          <w:tcPr>
            <w:tcW w:w="1801" w:type="dxa"/>
            <w:shd w:val="clear" w:color="auto" w:fill="auto"/>
            <w:vAlign w:val="center"/>
          </w:tcPr>
          <w:p w14:paraId="4552E10F">
            <w:pPr>
              <w:pStyle w:val="45"/>
              <w:bidi w:val="0"/>
              <w:rPr>
                <w:rFonts w:hint="default"/>
              </w:rPr>
            </w:pPr>
            <w:r>
              <w:rPr>
                <w:rFonts w:hint="default"/>
                <w:lang w:val="en-US" w:eastAsia="zh-CN"/>
              </w:rPr>
              <w:t>0.4</w:t>
            </w:r>
          </w:p>
        </w:tc>
        <w:tc>
          <w:tcPr>
            <w:tcW w:w="2139" w:type="pct"/>
            <w:vMerge w:val="continue"/>
            <w:shd w:val="clear" w:color="auto" w:fill="auto"/>
            <w:vAlign w:val="center"/>
          </w:tcPr>
          <w:p w14:paraId="0A37559D">
            <w:pPr>
              <w:pStyle w:val="45"/>
              <w:rPr>
                <w:rFonts w:hint="default"/>
              </w:rPr>
            </w:pPr>
          </w:p>
        </w:tc>
      </w:tr>
      <w:tr w14:paraId="3396A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22" w:type="pct"/>
            <w:vMerge w:val="continue"/>
            <w:shd w:val="clear" w:color="auto" w:fill="auto"/>
            <w:vAlign w:val="center"/>
          </w:tcPr>
          <w:p w14:paraId="4907097D">
            <w:pPr>
              <w:pStyle w:val="45"/>
            </w:pPr>
          </w:p>
        </w:tc>
        <w:tc>
          <w:tcPr>
            <w:tcW w:w="780" w:type="pct"/>
            <w:shd w:val="clear" w:color="auto" w:fill="auto"/>
            <w:vAlign w:val="center"/>
          </w:tcPr>
          <w:p w14:paraId="641C390F">
            <w:pPr>
              <w:pStyle w:val="45"/>
              <w:rPr>
                <w:rFonts w:hint="default"/>
                <w:lang w:val="en-US" w:eastAsia="zh-CN"/>
              </w:rPr>
            </w:pPr>
            <w:r>
              <w:rPr>
                <w:rFonts w:hint="eastAsia"/>
                <w:lang w:val="en-US" w:eastAsia="zh-CN"/>
              </w:rPr>
              <w:t>氢气回收</w:t>
            </w:r>
          </w:p>
        </w:tc>
        <w:tc>
          <w:tcPr>
            <w:tcW w:w="822" w:type="pct"/>
            <w:shd w:val="clear" w:color="auto" w:fill="auto"/>
            <w:vAlign w:val="center"/>
          </w:tcPr>
          <w:p w14:paraId="75C6C68F">
            <w:pPr>
              <w:pStyle w:val="45"/>
              <w:rPr>
                <w:rFonts w:hint="eastAsia" w:eastAsia="宋体"/>
                <w:lang w:val="en-US" w:eastAsia="zh-CN"/>
              </w:rPr>
            </w:pPr>
            <w:r>
              <w:rPr>
                <w:rFonts w:hint="eastAsia"/>
                <w:lang w:val="en-US" w:eastAsia="zh-CN"/>
              </w:rPr>
              <w:t>废催化剂、废吸附剂</w:t>
            </w:r>
          </w:p>
        </w:tc>
        <w:tc>
          <w:tcPr>
            <w:tcW w:w="1801" w:type="dxa"/>
            <w:shd w:val="clear" w:color="auto" w:fill="auto"/>
            <w:vAlign w:val="center"/>
          </w:tcPr>
          <w:p w14:paraId="4ED47BD4">
            <w:pPr>
              <w:pStyle w:val="45"/>
              <w:bidi w:val="0"/>
              <w:rPr>
                <w:rFonts w:hint="default"/>
                <w:lang w:val="en-US" w:eastAsia="zh-CN"/>
              </w:rPr>
            </w:pPr>
            <w:r>
              <w:rPr>
                <w:rFonts w:hint="default"/>
                <w:lang w:val="en-US" w:eastAsia="zh-CN"/>
              </w:rPr>
              <w:t>0.7</w:t>
            </w:r>
          </w:p>
        </w:tc>
        <w:tc>
          <w:tcPr>
            <w:tcW w:w="2139" w:type="pct"/>
            <w:vMerge w:val="continue"/>
            <w:shd w:val="clear" w:color="auto" w:fill="auto"/>
            <w:vAlign w:val="center"/>
          </w:tcPr>
          <w:p w14:paraId="40678FCC">
            <w:pPr>
              <w:pStyle w:val="45"/>
            </w:pPr>
          </w:p>
        </w:tc>
      </w:tr>
      <w:tr w14:paraId="34341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22" w:type="pct"/>
            <w:vMerge w:val="continue"/>
            <w:shd w:val="clear" w:color="auto" w:fill="auto"/>
            <w:vAlign w:val="center"/>
          </w:tcPr>
          <w:p w14:paraId="3E6E57AC">
            <w:pPr>
              <w:pStyle w:val="45"/>
              <w:rPr>
                <w:rFonts w:hint="default"/>
              </w:rPr>
            </w:pPr>
          </w:p>
        </w:tc>
        <w:tc>
          <w:tcPr>
            <w:tcW w:w="780" w:type="pct"/>
            <w:shd w:val="clear" w:color="auto" w:fill="auto"/>
            <w:vAlign w:val="center"/>
          </w:tcPr>
          <w:p w14:paraId="5D72973A">
            <w:pPr>
              <w:pStyle w:val="45"/>
              <w:rPr>
                <w:rFonts w:hint="default"/>
              </w:rPr>
            </w:pPr>
            <w:r>
              <w:t>化验</w:t>
            </w:r>
          </w:p>
        </w:tc>
        <w:tc>
          <w:tcPr>
            <w:tcW w:w="822" w:type="pct"/>
            <w:shd w:val="clear" w:color="auto" w:fill="auto"/>
            <w:vAlign w:val="center"/>
          </w:tcPr>
          <w:p w14:paraId="462E5DEA">
            <w:pPr>
              <w:pStyle w:val="45"/>
              <w:rPr>
                <w:rFonts w:hint="default"/>
              </w:rPr>
            </w:pPr>
            <w:r>
              <w:t>化验废物</w:t>
            </w:r>
          </w:p>
        </w:tc>
        <w:tc>
          <w:tcPr>
            <w:tcW w:w="1801" w:type="dxa"/>
            <w:shd w:val="clear" w:color="auto" w:fill="auto"/>
            <w:vAlign w:val="center"/>
          </w:tcPr>
          <w:p w14:paraId="3708C991">
            <w:pPr>
              <w:pStyle w:val="45"/>
              <w:bidi w:val="0"/>
              <w:rPr>
                <w:rFonts w:hint="default"/>
              </w:rPr>
            </w:pPr>
            <w:r>
              <w:rPr>
                <w:rFonts w:hint="default"/>
                <w:lang w:val="en-US" w:eastAsia="zh-CN"/>
              </w:rPr>
              <w:t>0.01</w:t>
            </w:r>
          </w:p>
        </w:tc>
        <w:tc>
          <w:tcPr>
            <w:tcW w:w="2139" w:type="pct"/>
            <w:vMerge w:val="continue"/>
            <w:shd w:val="clear" w:color="auto" w:fill="auto"/>
            <w:vAlign w:val="center"/>
          </w:tcPr>
          <w:p w14:paraId="6A22B411">
            <w:pPr>
              <w:pStyle w:val="45"/>
              <w:rPr>
                <w:rFonts w:hint="default"/>
              </w:rPr>
            </w:pPr>
          </w:p>
        </w:tc>
      </w:tr>
      <w:tr w14:paraId="2A77B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22" w:type="pct"/>
            <w:vMerge w:val="continue"/>
            <w:shd w:val="clear" w:color="auto" w:fill="auto"/>
            <w:vAlign w:val="center"/>
          </w:tcPr>
          <w:p w14:paraId="5F648D38">
            <w:pPr>
              <w:pStyle w:val="45"/>
              <w:rPr>
                <w:rFonts w:hint="default"/>
              </w:rPr>
            </w:pPr>
          </w:p>
        </w:tc>
        <w:tc>
          <w:tcPr>
            <w:tcW w:w="780" w:type="pct"/>
            <w:shd w:val="clear" w:color="auto" w:fill="auto"/>
            <w:vAlign w:val="center"/>
          </w:tcPr>
          <w:p w14:paraId="3A7C44CA">
            <w:pPr>
              <w:pStyle w:val="45"/>
              <w:rPr>
                <w:rFonts w:hint="default"/>
              </w:rPr>
            </w:pPr>
            <w:r>
              <w:t>检修</w:t>
            </w:r>
          </w:p>
        </w:tc>
        <w:tc>
          <w:tcPr>
            <w:tcW w:w="822" w:type="pct"/>
            <w:shd w:val="clear" w:color="auto" w:fill="auto"/>
            <w:vAlign w:val="center"/>
          </w:tcPr>
          <w:p w14:paraId="3DF7C7B2">
            <w:pPr>
              <w:pStyle w:val="45"/>
              <w:rPr>
                <w:rFonts w:hint="eastAsia" w:eastAsia="宋体"/>
                <w:lang w:eastAsia="zh-CN"/>
              </w:rPr>
            </w:pPr>
            <w:r>
              <w:rPr>
                <w:rFonts w:hint="eastAsia"/>
                <w:lang w:eastAsia="zh-CN"/>
              </w:rPr>
              <w:t>废机油</w:t>
            </w:r>
          </w:p>
        </w:tc>
        <w:tc>
          <w:tcPr>
            <w:tcW w:w="1801" w:type="dxa"/>
            <w:shd w:val="clear" w:color="auto" w:fill="auto"/>
            <w:vAlign w:val="center"/>
          </w:tcPr>
          <w:p w14:paraId="7B303F96">
            <w:pPr>
              <w:pStyle w:val="45"/>
              <w:bidi w:val="0"/>
              <w:rPr>
                <w:rFonts w:hint="default"/>
              </w:rPr>
            </w:pPr>
            <w:r>
              <w:rPr>
                <w:rFonts w:hint="default"/>
                <w:lang w:val="en-US" w:eastAsia="zh-CN"/>
              </w:rPr>
              <w:t>0.2</w:t>
            </w:r>
          </w:p>
        </w:tc>
        <w:tc>
          <w:tcPr>
            <w:tcW w:w="2139" w:type="pct"/>
            <w:vMerge w:val="continue"/>
            <w:shd w:val="clear" w:color="auto" w:fill="auto"/>
            <w:vAlign w:val="center"/>
          </w:tcPr>
          <w:p w14:paraId="6697E7CE">
            <w:pPr>
              <w:pStyle w:val="45"/>
              <w:rPr>
                <w:rFonts w:hint="default"/>
              </w:rPr>
            </w:pPr>
          </w:p>
        </w:tc>
      </w:tr>
      <w:bookmarkEnd w:id="133"/>
      <w:bookmarkEnd w:id="134"/>
      <w:bookmarkEnd w:id="135"/>
    </w:tbl>
    <w:p w14:paraId="169742F0">
      <w:pPr>
        <w:ind w:firstLine="0" w:firstLineChars="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5206ED97">
      <w:pPr>
        <w:pStyle w:val="43"/>
        <w:numPr>
          <w:ilvl w:val="5"/>
          <w:numId w:val="1"/>
        </w:numPr>
        <w:rPr>
          <w:rFonts w:hint="default"/>
        </w:rPr>
      </w:pPr>
      <w:r>
        <w:t>本项目危险废物汇总表</w:t>
      </w:r>
    </w:p>
    <w:tbl>
      <w:tblPr>
        <w:tblStyle w:val="32"/>
        <w:tblW w:w="14135" w:type="dxa"/>
        <w:tblInd w:w="0" w:type="dxa"/>
        <w:tblLayout w:type="fixed"/>
        <w:tblCellMar>
          <w:top w:w="0" w:type="dxa"/>
          <w:left w:w="108" w:type="dxa"/>
          <w:bottom w:w="0" w:type="dxa"/>
          <w:right w:w="108" w:type="dxa"/>
        </w:tblCellMar>
      </w:tblPr>
      <w:tblGrid>
        <w:gridCol w:w="523"/>
        <w:gridCol w:w="1191"/>
        <w:gridCol w:w="1719"/>
        <w:gridCol w:w="1363"/>
        <w:gridCol w:w="1110"/>
        <w:gridCol w:w="1395"/>
        <w:gridCol w:w="951"/>
        <w:gridCol w:w="1410"/>
        <w:gridCol w:w="1110"/>
        <w:gridCol w:w="720"/>
        <w:gridCol w:w="1500"/>
        <w:gridCol w:w="1143"/>
      </w:tblGrid>
      <w:tr w14:paraId="21C7B469">
        <w:tblPrEx>
          <w:tblCellMar>
            <w:top w:w="0" w:type="dxa"/>
            <w:left w:w="108" w:type="dxa"/>
            <w:bottom w:w="0" w:type="dxa"/>
            <w:right w:w="108" w:type="dxa"/>
          </w:tblCellMar>
        </w:tblPrEx>
        <w:trPr>
          <w:trHeight w:val="396" w:hRule="atLeast"/>
          <w:tblHeader/>
        </w:trPr>
        <w:tc>
          <w:tcPr>
            <w:tcW w:w="5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34BC04">
            <w:pPr>
              <w:pStyle w:val="45"/>
              <w:rPr>
                <w:rFonts w:hint="default"/>
                <w:b/>
                <w:bCs/>
              </w:rPr>
            </w:pPr>
            <w:r>
              <w:rPr>
                <w:b/>
                <w:bCs/>
              </w:rPr>
              <w:t>序号</w:t>
            </w:r>
          </w:p>
        </w:tc>
        <w:tc>
          <w:tcPr>
            <w:tcW w:w="11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0BD504">
            <w:pPr>
              <w:pStyle w:val="45"/>
              <w:rPr>
                <w:rFonts w:hint="default"/>
                <w:b/>
                <w:bCs/>
              </w:rPr>
            </w:pPr>
            <w:r>
              <w:rPr>
                <w:b/>
                <w:bCs/>
              </w:rPr>
              <w:t>危险废物名称</w:t>
            </w:r>
          </w:p>
        </w:tc>
        <w:tc>
          <w:tcPr>
            <w:tcW w:w="17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E5954">
            <w:pPr>
              <w:pStyle w:val="45"/>
              <w:rPr>
                <w:rFonts w:hint="default"/>
                <w:b/>
                <w:bCs/>
              </w:rPr>
            </w:pPr>
            <w:r>
              <w:rPr>
                <w:b/>
                <w:bCs/>
              </w:rPr>
              <w:t>危险废物类别</w:t>
            </w:r>
          </w:p>
        </w:tc>
        <w:tc>
          <w:tcPr>
            <w:tcW w:w="13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8CE3BC">
            <w:pPr>
              <w:pStyle w:val="45"/>
              <w:rPr>
                <w:rFonts w:hint="default"/>
                <w:b/>
                <w:bCs/>
              </w:rPr>
            </w:pPr>
            <w:r>
              <w:rPr>
                <w:b/>
                <w:bCs/>
              </w:rPr>
              <w:t>危险废物代码</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87376E">
            <w:pPr>
              <w:pStyle w:val="45"/>
              <w:rPr>
                <w:rFonts w:hint="default"/>
                <w:b/>
                <w:bCs/>
              </w:rPr>
            </w:pPr>
            <w:r>
              <w:rPr>
                <w:b/>
                <w:bCs/>
              </w:rPr>
              <w:t>产生量（</w:t>
            </w:r>
            <w:r>
              <w:rPr>
                <w:rFonts w:hint="default"/>
                <w:b/>
                <w:bCs/>
              </w:rPr>
              <w:t>t/a</w:t>
            </w:r>
            <w:r>
              <w:rPr>
                <w:b/>
                <w:bCs/>
              </w:rPr>
              <w:t>）</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3364EE">
            <w:pPr>
              <w:pStyle w:val="45"/>
              <w:rPr>
                <w:rFonts w:hint="default"/>
                <w:b/>
                <w:bCs/>
              </w:rPr>
            </w:pPr>
            <w:r>
              <w:rPr>
                <w:b/>
                <w:bCs/>
              </w:rPr>
              <w:t>产生工序及装置</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D1CE82">
            <w:pPr>
              <w:pStyle w:val="45"/>
              <w:rPr>
                <w:rFonts w:hint="default"/>
                <w:b/>
                <w:bCs/>
              </w:rPr>
            </w:pPr>
            <w:r>
              <w:rPr>
                <w:b/>
                <w:bCs/>
              </w:rPr>
              <w:t>形态</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B4C7D1">
            <w:pPr>
              <w:pStyle w:val="45"/>
              <w:rPr>
                <w:rFonts w:hint="default"/>
                <w:b/>
                <w:bCs/>
              </w:rPr>
            </w:pPr>
            <w:r>
              <w:rPr>
                <w:b/>
                <w:bCs/>
              </w:rPr>
              <w:t>主要成分</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CC56EF">
            <w:pPr>
              <w:pStyle w:val="45"/>
              <w:rPr>
                <w:rFonts w:hint="default"/>
                <w:b/>
                <w:bCs/>
              </w:rPr>
            </w:pPr>
            <w:r>
              <w:rPr>
                <w:b/>
                <w:bCs/>
              </w:rPr>
              <w:t>有害成分</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6FA02E">
            <w:pPr>
              <w:pStyle w:val="45"/>
              <w:rPr>
                <w:rFonts w:hint="default"/>
                <w:b/>
                <w:bCs/>
              </w:rPr>
            </w:pPr>
            <w:r>
              <w:rPr>
                <w:b/>
                <w:bCs/>
              </w:rPr>
              <w:t>产废周期</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DC946D">
            <w:pPr>
              <w:pStyle w:val="45"/>
              <w:rPr>
                <w:rFonts w:hint="default"/>
                <w:b/>
                <w:bCs/>
              </w:rPr>
            </w:pPr>
            <w:r>
              <w:rPr>
                <w:b/>
                <w:bCs/>
              </w:rPr>
              <w:t>危险特性</w:t>
            </w:r>
          </w:p>
        </w:tc>
        <w:tc>
          <w:tcPr>
            <w:tcW w:w="11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BA6CD1">
            <w:pPr>
              <w:pStyle w:val="45"/>
              <w:rPr>
                <w:rFonts w:hint="default"/>
                <w:b/>
                <w:bCs/>
              </w:rPr>
            </w:pPr>
            <w:r>
              <w:rPr>
                <w:b/>
                <w:bCs/>
              </w:rPr>
              <w:t>污染防治措施</w:t>
            </w:r>
            <w:r>
              <w:rPr>
                <w:rFonts w:hint="default"/>
                <w:b/>
                <w:bCs/>
              </w:rPr>
              <w:t>*</w:t>
            </w:r>
          </w:p>
        </w:tc>
      </w:tr>
      <w:tr w14:paraId="6ACD2030">
        <w:tblPrEx>
          <w:tblCellMar>
            <w:top w:w="0" w:type="dxa"/>
            <w:left w:w="108" w:type="dxa"/>
            <w:bottom w:w="0" w:type="dxa"/>
            <w:right w:w="108" w:type="dxa"/>
          </w:tblCellMar>
        </w:tblPrEx>
        <w:trPr>
          <w:trHeight w:val="396" w:hRule="atLeast"/>
        </w:trPr>
        <w:tc>
          <w:tcPr>
            <w:tcW w:w="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802E40">
            <w:pPr>
              <w:pStyle w:val="45"/>
              <w:rPr>
                <w:rFonts w:hint="default"/>
              </w:rPr>
            </w:pPr>
            <w:r>
              <w:t>1</w:t>
            </w:r>
          </w:p>
        </w:tc>
        <w:tc>
          <w:tcPr>
            <w:tcW w:w="11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918FFB">
            <w:pPr>
              <w:pStyle w:val="45"/>
              <w:rPr>
                <w:rFonts w:hint="default"/>
              </w:rPr>
            </w:pPr>
            <w:r>
              <w:t>一次电解槽沉渣</w:t>
            </w:r>
          </w:p>
        </w:tc>
        <w:tc>
          <w:tcPr>
            <w:tcW w:w="17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E55053">
            <w:pPr>
              <w:pStyle w:val="45"/>
              <w:rPr>
                <w:rFonts w:hint="default"/>
              </w:rPr>
            </w:pPr>
            <w:r>
              <w:rPr>
                <w:rFonts w:hint="default"/>
              </w:rPr>
              <w:t>HW21</w:t>
            </w:r>
            <w:r>
              <w:t>含铬废物</w:t>
            </w:r>
          </w:p>
        </w:tc>
        <w:tc>
          <w:tcPr>
            <w:tcW w:w="13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B735B9">
            <w:pPr>
              <w:pStyle w:val="45"/>
              <w:rPr>
                <w:rFonts w:hint="default"/>
              </w:rPr>
            </w:pPr>
            <w:r>
              <w:rPr>
                <w:rFonts w:hint="default"/>
              </w:rPr>
              <w:t>900-00-21</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556429">
            <w:pPr>
              <w:pStyle w:val="45"/>
              <w:rPr>
                <w:rFonts w:hint="default" w:eastAsia="宋体"/>
                <w:lang w:val="en-US" w:eastAsia="zh-CN"/>
              </w:rPr>
            </w:pPr>
            <w:r>
              <w:rPr>
                <w:rFonts w:hint="eastAsia"/>
                <w:lang w:val="en-US" w:eastAsia="zh-CN"/>
              </w:rPr>
              <w:t>0.42</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35EC3D">
            <w:pPr>
              <w:pStyle w:val="45"/>
              <w:rPr>
                <w:rFonts w:hint="default"/>
              </w:rPr>
            </w:pPr>
            <w:r>
              <w:t>电解装置</w:t>
            </w:r>
          </w:p>
        </w:tc>
        <w:tc>
          <w:tcPr>
            <w:tcW w:w="9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82EEE">
            <w:pPr>
              <w:pStyle w:val="45"/>
              <w:rPr>
                <w:rFonts w:hint="default"/>
              </w:rPr>
            </w:pPr>
            <w:r>
              <w:t>固态</w:t>
            </w:r>
          </w:p>
        </w:tc>
        <w:tc>
          <w:tcPr>
            <w:tcW w:w="14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6165E">
            <w:pPr>
              <w:pStyle w:val="45"/>
              <w:rPr>
                <w:rFonts w:hint="default"/>
              </w:rPr>
            </w:pPr>
            <w:r>
              <w:t>化学残留</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66A75">
            <w:pPr>
              <w:pStyle w:val="45"/>
              <w:rPr>
                <w:rFonts w:hint="default"/>
              </w:rPr>
            </w:pPr>
            <w:r>
              <w:t>化学残留</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98D3D3">
            <w:pPr>
              <w:pStyle w:val="45"/>
              <w:rPr>
                <w:rFonts w:hint="default"/>
              </w:rPr>
            </w:pPr>
            <w:r>
              <w:t>1年</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B5391">
            <w:pPr>
              <w:pStyle w:val="45"/>
              <w:rPr>
                <w:rFonts w:hint="default"/>
              </w:rPr>
            </w:pPr>
            <w:r>
              <w:t>毒性</w:t>
            </w:r>
          </w:p>
        </w:tc>
        <w:tc>
          <w:tcPr>
            <w:tcW w:w="1143" w:type="dxa"/>
            <w:vMerge w:val="restart"/>
            <w:tcBorders>
              <w:top w:val="single" w:color="000000" w:sz="4" w:space="0"/>
              <w:left w:val="single" w:color="000000" w:sz="4" w:space="0"/>
              <w:right w:val="single" w:color="000000" w:sz="4" w:space="0"/>
            </w:tcBorders>
            <w:shd w:val="clear" w:color="auto" w:fill="auto"/>
            <w:vAlign w:val="center"/>
          </w:tcPr>
          <w:p w14:paraId="096DB2ED">
            <w:pPr>
              <w:pStyle w:val="45"/>
              <w:rPr>
                <w:rFonts w:hint="default"/>
              </w:rPr>
            </w:pPr>
            <w:r>
              <w:t>分类收集后暂存于危废暂存间，交由有资质单位处置</w:t>
            </w:r>
          </w:p>
        </w:tc>
      </w:tr>
      <w:tr w14:paraId="5FFD77C0">
        <w:tblPrEx>
          <w:tblCellMar>
            <w:top w:w="0" w:type="dxa"/>
            <w:left w:w="108" w:type="dxa"/>
            <w:bottom w:w="0" w:type="dxa"/>
            <w:right w:w="108" w:type="dxa"/>
          </w:tblCellMar>
        </w:tblPrEx>
        <w:trPr>
          <w:trHeight w:val="396" w:hRule="atLeast"/>
        </w:trPr>
        <w:tc>
          <w:tcPr>
            <w:tcW w:w="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4477F">
            <w:pPr>
              <w:pStyle w:val="45"/>
              <w:rPr>
                <w:rFonts w:hint="default"/>
              </w:rPr>
            </w:pPr>
            <w:r>
              <w:t>2</w:t>
            </w:r>
          </w:p>
        </w:tc>
        <w:tc>
          <w:tcPr>
            <w:tcW w:w="11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D3832E">
            <w:pPr>
              <w:pStyle w:val="45"/>
              <w:rPr>
                <w:rFonts w:hint="default"/>
              </w:rPr>
            </w:pPr>
            <w:r>
              <w:t>二次电解槽沉渣</w:t>
            </w:r>
          </w:p>
        </w:tc>
        <w:tc>
          <w:tcPr>
            <w:tcW w:w="17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327188">
            <w:pPr>
              <w:pStyle w:val="45"/>
              <w:rPr>
                <w:rFonts w:hint="default"/>
              </w:rPr>
            </w:pPr>
            <w:r>
              <w:rPr>
                <w:rFonts w:hint="default"/>
              </w:rPr>
              <w:t>HW47</w:t>
            </w:r>
            <w:r>
              <w:t>含钡废物</w:t>
            </w:r>
          </w:p>
        </w:tc>
        <w:tc>
          <w:tcPr>
            <w:tcW w:w="13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1FFFEF">
            <w:pPr>
              <w:pStyle w:val="45"/>
              <w:rPr>
                <w:rFonts w:hint="default"/>
              </w:rPr>
            </w:pPr>
            <w:r>
              <w:rPr>
                <w:rFonts w:hint="default"/>
              </w:rPr>
              <w:t>900-00-47</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E3CD7">
            <w:pPr>
              <w:pStyle w:val="45"/>
              <w:rPr>
                <w:rFonts w:hint="default" w:eastAsia="宋体"/>
                <w:lang w:val="en-US" w:eastAsia="zh-CN"/>
              </w:rPr>
            </w:pPr>
            <w:r>
              <w:rPr>
                <w:rFonts w:hint="default"/>
              </w:rPr>
              <w:t>5</w:t>
            </w:r>
            <w:r>
              <w:rPr>
                <w:rFonts w:hint="eastAsia"/>
                <w:lang w:val="en-US" w:eastAsia="zh-CN"/>
              </w:rPr>
              <w:t>.1</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87797">
            <w:pPr>
              <w:pStyle w:val="45"/>
              <w:rPr>
                <w:rFonts w:hint="default"/>
              </w:rPr>
            </w:pPr>
            <w:r>
              <w:t>电解装置</w:t>
            </w:r>
          </w:p>
        </w:tc>
        <w:tc>
          <w:tcPr>
            <w:tcW w:w="9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2C627D">
            <w:pPr>
              <w:pStyle w:val="45"/>
              <w:rPr>
                <w:rFonts w:hint="default"/>
              </w:rPr>
            </w:pPr>
            <w:r>
              <w:t>固态</w:t>
            </w:r>
          </w:p>
        </w:tc>
        <w:tc>
          <w:tcPr>
            <w:tcW w:w="14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87B4DA">
            <w:pPr>
              <w:pStyle w:val="45"/>
              <w:rPr>
                <w:rFonts w:hint="default"/>
              </w:rPr>
            </w:pPr>
            <w:r>
              <w:t>化学残留</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ED47B">
            <w:pPr>
              <w:pStyle w:val="45"/>
              <w:rPr>
                <w:rFonts w:hint="default"/>
              </w:rPr>
            </w:pPr>
            <w:r>
              <w:t>化学残留</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756E0A">
            <w:pPr>
              <w:pStyle w:val="45"/>
              <w:rPr>
                <w:rFonts w:hint="default"/>
              </w:rPr>
            </w:pPr>
            <w:r>
              <w:t>1年</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6276C5">
            <w:pPr>
              <w:pStyle w:val="45"/>
              <w:rPr>
                <w:rFonts w:hint="default"/>
              </w:rPr>
            </w:pPr>
            <w:r>
              <w:t>毒性</w:t>
            </w:r>
          </w:p>
        </w:tc>
        <w:tc>
          <w:tcPr>
            <w:tcW w:w="1143" w:type="dxa"/>
            <w:vMerge w:val="continue"/>
            <w:tcBorders>
              <w:left w:val="single" w:color="000000" w:sz="4" w:space="0"/>
              <w:right w:val="single" w:color="000000" w:sz="4" w:space="0"/>
            </w:tcBorders>
            <w:shd w:val="clear" w:color="auto" w:fill="auto"/>
            <w:vAlign w:val="center"/>
          </w:tcPr>
          <w:p w14:paraId="67CE6BF2">
            <w:pPr>
              <w:pStyle w:val="45"/>
              <w:rPr>
                <w:rFonts w:hint="default"/>
              </w:rPr>
            </w:pPr>
          </w:p>
        </w:tc>
      </w:tr>
      <w:tr w14:paraId="7022F553">
        <w:tblPrEx>
          <w:tblCellMar>
            <w:top w:w="0" w:type="dxa"/>
            <w:left w:w="108" w:type="dxa"/>
            <w:bottom w:w="0" w:type="dxa"/>
            <w:right w:w="108" w:type="dxa"/>
          </w:tblCellMar>
        </w:tblPrEx>
        <w:trPr>
          <w:trHeight w:val="297" w:hRule="atLeast"/>
        </w:trPr>
        <w:tc>
          <w:tcPr>
            <w:tcW w:w="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09491">
            <w:pPr>
              <w:pStyle w:val="45"/>
              <w:rPr>
                <w:rFonts w:hint="default"/>
              </w:rPr>
            </w:pPr>
            <w:r>
              <w:t>3</w:t>
            </w:r>
          </w:p>
        </w:tc>
        <w:tc>
          <w:tcPr>
            <w:tcW w:w="11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09787D">
            <w:pPr>
              <w:pStyle w:val="45"/>
              <w:rPr>
                <w:rFonts w:hint="eastAsia" w:eastAsia="宋体"/>
                <w:lang w:eastAsia="zh-CN"/>
              </w:rPr>
            </w:pPr>
            <w:r>
              <w:t>除铬</w:t>
            </w:r>
            <w:r>
              <w:rPr>
                <w:rFonts w:hint="eastAsia"/>
                <w:lang w:val="en-US" w:eastAsia="zh-CN"/>
              </w:rPr>
              <w:t>滤渣</w:t>
            </w:r>
          </w:p>
        </w:tc>
        <w:tc>
          <w:tcPr>
            <w:tcW w:w="17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040E8A">
            <w:pPr>
              <w:pStyle w:val="45"/>
              <w:rPr>
                <w:rFonts w:hint="default"/>
              </w:rPr>
            </w:pPr>
            <w:r>
              <w:rPr>
                <w:rFonts w:hint="default"/>
              </w:rPr>
              <w:t>HW21</w:t>
            </w:r>
            <w:r>
              <w:t>含铬废物</w:t>
            </w:r>
          </w:p>
        </w:tc>
        <w:tc>
          <w:tcPr>
            <w:tcW w:w="13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4E40E9">
            <w:pPr>
              <w:pStyle w:val="45"/>
              <w:rPr>
                <w:rFonts w:hint="default"/>
              </w:rPr>
            </w:pPr>
            <w:r>
              <w:rPr>
                <w:rFonts w:hint="default"/>
              </w:rPr>
              <w:t>900-00-21</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F2F8AD">
            <w:pPr>
              <w:pStyle w:val="45"/>
              <w:rPr>
                <w:rFonts w:hint="default" w:eastAsia="宋体"/>
                <w:lang w:val="en-US" w:eastAsia="zh-CN"/>
              </w:rPr>
            </w:pPr>
            <w:r>
              <w:rPr>
                <w:rFonts w:hint="eastAsia"/>
                <w:lang w:val="en-US" w:eastAsia="zh-CN"/>
              </w:rPr>
              <w:t>60.75</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09AB9">
            <w:pPr>
              <w:pStyle w:val="45"/>
              <w:rPr>
                <w:rFonts w:hint="default"/>
              </w:rPr>
            </w:pPr>
            <w:r>
              <w:t>氯酸钠精制</w:t>
            </w:r>
          </w:p>
        </w:tc>
        <w:tc>
          <w:tcPr>
            <w:tcW w:w="9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F1AA3">
            <w:pPr>
              <w:pStyle w:val="45"/>
              <w:rPr>
                <w:rFonts w:hint="default"/>
              </w:rPr>
            </w:pPr>
            <w:r>
              <w:t>固态</w:t>
            </w:r>
          </w:p>
        </w:tc>
        <w:tc>
          <w:tcPr>
            <w:tcW w:w="14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5EBB4">
            <w:pPr>
              <w:pStyle w:val="45"/>
              <w:rPr>
                <w:rFonts w:hint="default"/>
              </w:rPr>
            </w:pPr>
            <w:r>
              <w:t>化学残留</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15BEF">
            <w:pPr>
              <w:pStyle w:val="45"/>
              <w:rPr>
                <w:rFonts w:hint="default"/>
              </w:rPr>
            </w:pPr>
            <w:r>
              <w:t>化学残留</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542AF">
            <w:pPr>
              <w:pStyle w:val="45"/>
              <w:rPr>
                <w:rFonts w:hint="default"/>
              </w:rPr>
            </w:pPr>
            <w:r>
              <w:t>1年</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9006A">
            <w:pPr>
              <w:pStyle w:val="45"/>
              <w:rPr>
                <w:rFonts w:hint="default"/>
              </w:rPr>
            </w:pPr>
            <w:r>
              <w:t>毒性</w:t>
            </w:r>
          </w:p>
        </w:tc>
        <w:tc>
          <w:tcPr>
            <w:tcW w:w="1143" w:type="dxa"/>
            <w:vMerge w:val="continue"/>
            <w:tcBorders>
              <w:left w:val="single" w:color="000000" w:sz="4" w:space="0"/>
              <w:right w:val="single" w:color="000000" w:sz="4" w:space="0"/>
            </w:tcBorders>
            <w:shd w:val="clear" w:color="auto" w:fill="auto"/>
            <w:vAlign w:val="center"/>
          </w:tcPr>
          <w:p w14:paraId="64CAC37C">
            <w:pPr>
              <w:pStyle w:val="45"/>
              <w:rPr>
                <w:rFonts w:hint="default"/>
              </w:rPr>
            </w:pPr>
          </w:p>
        </w:tc>
      </w:tr>
      <w:tr w14:paraId="6D4D3C81">
        <w:tblPrEx>
          <w:tblCellMar>
            <w:top w:w="0" w:type="dxa"/>
            <w:left w:w="108" w:type="dxa"/>
            <w:bottom w:w="0" w:type="dxa"/>
            <w:right w:w="108" w:type="dxa"/>
          </w:tblCellMar>
        </w:tblPrEx>
        <w:trPr>
          <w:trHeight w:val="396" w:hRule="atLeast"/>
        </w:trPr>
        <w:tc>
          <w:tcPr>
            <w:tcW w:w="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9E63C">
            <w:pPr>
              <w:pStyle w:val="45"/>
              <w:rPr>
                <w:rFonts w:hint="default"/>
              </w:rPr>
            </w:pPr>
            <w:r>
              <w:t>4</w:t>
            </w:r>
          </w:p>
        </w:tc>
        <w:tc>
          <w:tcPr>
            <w:tcW w:w="11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ACB288">
            <w:pPr>
              <w:pStyle w:val="45"/>
              <w:rPr>
                <w:rFonts w:hint="default"/>
              </w:rPr>
            </w:pPr>
            <w:r>
              <w:t>危化品废包装</w:t>
            </w:r>
          </w:p>
        </w:tc>
        <w:tc>
          <w:tcPr>
            <w:tcW w:w="17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54813F">
            <w:pPr>
              <w:pStyle w:val="45"/>
              <w:rPr>
                <w:rFonts w:hint="default"/>
              </w:rPr>
            </w:pPr>
            <w:r>
              <w:rPr>
                <w:rFonts w:hint="default"/>
              </w:rPr>
              <w:t>HW49</w:t>
            </w:r>
            <w:r>
              <w:t>其他废物</w:t>
            </w:r>
          </w:p>
        </w:tc>
        <w:tc>
          <w:tcPr>
            <w:tcW w:w="13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C6585C">
            <w:pPr>
              <w:pStyle w:val="45"/>
              <w:rPr>
                <w:rFonts w:hint="default"/>
              </w:rPr>
            </w:pPr>
            <w:r>
              <w:rPr>
                <w:rFonts w:hint="default"/>
              </w:rPr>
              <w:t>900-041-49</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FF127A">
            <w:pPr>
              <w:pStyle w:val="45"/>
              <w:rPr>
                <w:rFonts w:hint="default"/>
              </w:rPr>
            </w:pPr>
            <w:r>
              <w:rPr>
                <w:rFonts w:hint="default"/>
              </w:rPr>
              <w:t>0.4</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105B0B">
            <w:pPr>
              <w:pStyle w:val="45"/>
              <w:rPr>
                <w:rFonts w:hint="default"/>
              </w:rPr>
            </w:pPr>
            <w:r>
              <w:t>原辅料使用</w:t>
            </w:r>
          </w:p>
        </w:tc>
        <w:tc>
          <w:tcPr>
            <w:tcW w:w="9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73959">
            <w:pPr>
              <w:pStyle w:val="45"/>
              <w:rPr>
                <w:rFonts w:hint="default"/>
              </w:rPr>
            </w:pPr>
            <w:r>
              <w:t>固态</w:t>
            </w:r>
          </w:p>
        </w:tc>
        <w:tc>
          <w:tcPr>
            <w:tcW w:w="14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C5CB7">
            <w:pPr>
              <w:pStyle w:val="45"/>
              <w:rPr>
                <w:rFonts w:hint="default"/>
              </w:rPr>
            </w:pPr>
            <w:r>
              <w:t>化学残留</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EF0D9">
            <w:pPr>
              <w:pStyle w:val="45"/>
              <w:rPr>
                <w:rFonts w:hint="default"/>
              </w:rPr>
            </w:pPr>
            <w:r>
              <w:t>化学残留</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A94D4">
            <w:pPr>
              <w:pStyle w:val="45"/>
              <w:rPr>
                <w:rFonts w:hint="default"/>
              </w:rPr>
            </w:pPr>
            <w:r>
              <w:t>1年</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213F5">
            <w:pPr>
              <w:pStyle w:val="45"/>
              <w:rPr>
                <w:rFonts w:hint="default"/>
              </w:rPr>
            </w:pPr>
            <w:r>
              <w:t>毒性</w:t>
            </w:r>
          </w:p>
        </w:tc>
        <w:tc>
          <w:tcPr>
            <w:tcW w:w="1143" w:type="dxa"/>
            <w:vMerge w:val="continue"/>
            <w:tcBorders>
              <w:left w:val="single" w:color="000000" w:sz="4" w:space="0"/>
              <w:right w:val="single" w:color="000000" w:sz="4" w:space="0"/>
            </w:tcBorders>
            <w:shd w:val="clear" w:color="auto" w:fill="auto"/>
            <w:vAlign w:val="center"/>
          </w:tcPr>
          <w:p w14:paraId="49D9FB0E">
            <w:pPr>
              <w:pStyle w:val="45"/>
              <w:rPr>
                <w:rFonts w:hint="default"/>
              </w:rPr>
            </w:pPr>
          </w:p>
        </w:tc>
      </w:tr>
      <w:tr w14:paraId="7D8FEBEF">
        <w:tblPrEx>
          <w:tblCellMar>
            <w:top w:w="0" w:type="dxa"/>
            <w:left w:w="108" w:type="dxa"/>
            <w:bottom w:w="0" w:type="dxa"/>
            <w:right w:w="108" w:type="dxa"/>
          </w:tblCellMar>
        </w:tblPrEx>
        <w:trPr>
          <w:trHeight w:val="352" w:hRule="atLeast"/>
        </w:trPr>
        <w:tc>
          <w:tcPr>
            <w:tcW w:w="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43A60A">
            <w:pPr>
              <w:pStyle w:val="45"/>
              <w:rPr>
                <w:rFonts w:hint="default"/>
              </w:rPr>
            </w:pPr>
            <w:r>
              <w:t>5</w:t>
            </w:r>
          </w:p>
        </w:tc>
        <w:tc>
          <w:tcPr>
            <w:tcW w:w="11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946EDE">
            <w:pPr>
              <w:pStyle w:val="45"/>
              <w:rPr>
                <w:rFonts w:hint="eastAsia" w:eastAsia="宋体"/>
                <w:lang w:val="en-US" w:eastAsia="zh-CN"/>
              </w:rPr>
            </w:pPr>
            <w:r>
              <w:rPr>
                <w:rFonts w:hint="eastAsia"/>
                <w:lang w:val="en-US" w:eastAsia="zh-CN"/>
              </w:rPr>
              <w:t>废催化剂、废吸附剂</w:t>
            </w:r>
          </w:p>
        </w:tc>
        <w:tc>
          <w:tcPr>
            <w:tcW w:w="17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690C0D">
            <w:pPr>
              <w:pStyle w:val="45"/>
              <w:ind w:firstLine="0" w:firstLineChars="0"/>
              <w:rPr>
                <w:rFonts w:hint="default"/>
              </w:rPr>
            </w:pPr>
            <w:r>
              <w:rPr>
                <w:rFonts w:hint="default"/>
              </w:rPr>
              <w:t>HW49</w:t>
            </w:r>
            <w:r>
              <w:t>其他废物</w:t>
            </w:r>
          </w:p>
        </w:tc>
        <w:tc>
          <w:tcPr>
            <w:tcW w:w="13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C5322D">
            <w:pPr>
              <w:pStyle w:val="45"/>
              <w:ind w:firstLine="0" w:firstLineChars="0"/>
              <w:rPr>
                <w:rFonts w:hint="default"/>
              </w:rPr>
            </w:pPr>
            <w:r>
              <w:rPr>
                <w:rFonts w:hint="default"/>
              </w:rPr>
              <w:t>900-041-49</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1F3CAF">
            <w:pPr>
              <w:pStyle w:val="45"/>
              <w:ind w:firstLine="0" w:firstLineChars="0"/>
              <w:rPr>
                <w:rFonts w:hint="default" w:eastAsia="宋体"/>
                <w:lang w:val="en-US" w:eastAsia="zh-CN"/>
              </w:rPr>
            </w:pPr>
            <w:r>
              <w:rPr>
                <w:rFonts w:hint="eastAsia"/>
                <w:lang w:val="en-US" w:eastAsia="zh-CN"/>
              </w:rPr>
              <w:t>0.7</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58711">
            <w:pPr>
              <w:pStyle w:val="45"/>
              <w:rPr>
                <w:rFonts w:hint="eastAsia" w:eastAsia="宋体"/>
                <w:lang w:val="en-US" w:eastAsia="zh-CN"/>
              </w:rPr>
            </w:pPr>
            <w:r>
              <w:rPr>
                <w:rFonts w:hint="eastAsia"/>
                <w:lang w:val="en-US" w:eastAsia="zh-CN"/>
              </w:rPr>
              <w:t>氢气回收</w:t>
            </w:r>
          </w:p>
        </w:tc>
        <w:tc>
          <w:tcPr>
            <w:tcW w:w="9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AD687">
            <w:pPr>
              <w:pStyle w:val="45"/>
              <w:rPr>
                <w:rFonts w:hint="eastAsia" w:eastAsia="宋体"/>
                <w:lang w:val="en-US" w:eastAsia="zh-CN"/>
              </w:rPr>
            </w:pPr>
            <w:r>
              <w:rPr>
                <w:rFonts w:hint="eastAsia"/>
                <w:lang w:val="en-US" w:eastAsia="zh-CN"/>
              </w:rPr>
              <w:t>固态</w:t>
            </w:r>
          </w:p>
        </w:tc>
        <w:tc>
          <w:tcPr>
            <w:tcW w:w="14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8AA105">
            <w:pPr>
              <w:pStyle w:val="45"/>
              <w:rPr>
                <w:rFonts w:hint="eastAsia" w:eastAsia="宋体"/>
                <w:lang w:val="en-US" w:eastAsia="zh-CN"/>
              </w:rPr>
            </w:pPr>
            <w:r>
              <w:rPr>
                <w:rFonts w:hint="eastAsia"/>
                <w:lang w:val="en-US" w:eastAsia="zh-CN"/>
              </w:rPr>
              <w:t>沾染物</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8F7082">
            <w:pPr>
              <w:pStyle w:val="45"/>
              <w:rPr>
                <w:rFonts w:hint="default"/>
              </w:rPr>
            </w:pPr>
            <w:r>
              <w:rPr>
                <w:rFonts w:hint="eastAsia"/>
                <w:lang w:val="en-US" w:eastAsia="zh-CN"/>
              </w:rPr>
              <w:t>沾染物</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18ACA">
            <w:pPr>
              <w:pStyle w:val="45"/>
              <w:rPr>
                <w:rFonts w:hint="default" w:eastAsia="宋体"/>
                <w:lang w:val="en-US" w:eastAsia="zh-CN"/>
              </w:rPr>
            </w:pPr>
            <w:r>
              <w:rPr>
                <w:rFonts w:hint="eastAsia"/>
                <w:lang w:val="en-US" w:eastAsia="zh-CN"/>
              </w:rPr>
              <w:t>15年</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039B6C">
            <w:pPr>
              <w:pStyle w:val="45"/>
              <w:rPr>
                <w:rFonts w:hint="default"/>
              </w:rPr>
            </w:pPr>
            <w:r>
              <w:t>毒性</w:t>
            </w:r>
          </w:p>
        </w:tc>
        <w:tc>
          <w:tcPr>
            <w:tcW w:w="1143" w:type="dxa"/>
            <w:vMerge w:val="continue"/>
            <w:tcBorders>
              <w:left w:val="single" w:color="000000" w:sz="4" w:space="0"/>
              <w:right w:val="single" w:color="000000" w:sz="4" w:space="0"/>
            </w:tcBorders>
            <w:shd w:val="clear" w:color="auto" w:fill="auto"/>
            <w:vAlign w:val="center"/>
          </w:tcPr>
          <w:p w14:paraId="557A9C96">
            <w:pPr>
              <w:pStyle w:val="45"/>
              <w:rPr>
                <w:rFonts w:hint="default"/>
              </w:rPr>
            </w:pPr>
          </w:p>
        </w:tc>
      </w:tr>
      <w:tr w14:paraId="1529FF37">
        <w:tblPrEx>
          <w:tblCellMar>
            <w:top w:w="0" w:type="dxa"/>
            <w:left w:w="108" w:type="dxa"/>
            <w:bottom w:w="0" w:type="dxa"/>
            <w:right w:w="108" w:type="dxa"/>
          </w:tblCellMar>
        </w:tblPrEx>
        <w:trPr>
          <w:trHeight w:val="426" w:hRule="atLeast"/>
        </w:trPr>
        <w:tc>
          <w:tcPr>
            <w:tcW w:w="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8AAD3">
            <w:pPr>
              <w:pStyle w:val="45"/>
              <w:rPr>
                <w:rFonts w:hint="default"/>
              </w:rPr>
            </w:pPr>
            <w:r>
              <w:t>6</w:t>
            </w:r>
          </w:p>
        </w:tc>
        <w:tc>
          <w:tcPr>
            <w:tcW w:w="11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62752C">
            <w:pPr>
              <w:pStyle w:val="45"/>
              <w:ind w:firstLine="0" w:firstLineChars="0"/>
              <w:rPr>
                <w:rFonts w:hint="eastAsia" w:eastAsia="宋体"/>
                <w:lang w:eastAsia="zh-CN"/>
              </w:rPr>
            </w:pPr>
            <w:r>
              <w:t>化验废物</w:t>
            </w:r>
          </w:p>
        </w:tc>
        <w:tc>
          <w:tcPr>
            <w:tcW w:w="17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911BDB">
            <w:pPr>
              <w:pStyle w:val="45"/>
              <w:ind w:firstLine="0" w:firstLineChars="0"/>
              <w:rPr>
                <w:rFonts w:hint="default"/>
              </w:rPr>
            </w:pPr>
            <w:r>
              <w:rPr>
                <w:rFonts w:hint="default"/>
              </w:rPr>
              <w:t>HW49</w:t>
            </w:r>
            <w:r>
              <w:t>其他废物</w:t>
            </w:r>
          </w:p>
        </w:tc>
        <w:tc>
          <w:tcPr>
            <w:tcW w:w="13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C578B6">
            <w:pPr>
              <w:pStyle w:val="45"/>
              <w:ind w:firstLine="0" w:firstLineChars="0"/>
              <w:rPr>
                <w:rFonts w:hint="default"/>
              </w:rPr>
            </w:pPr>
            <w:r>
              <w:rPr>
                <w:rFonts w:hint="default"/>
              </w:rPr>
              <w:t>900-047-49</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C9653C">
            <w:pPr>
              <w:pStyle w:val="45"/>
              <w:ind w:firstLine="0" w:firstLineChars="0"/>
              <w:rPr>
                <w:rFonts w:hint="default"/>
              </w:rPr>
            </w:pPr>
            <w:r>
              <w:rPr>
                <w:rFonts w:hint="default"/>
              </w:rPr>
              <w:t>0.01</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D5841">
            <w:pPr>
              <w:pStyle w:val="45"/>
              <w:ind w:firstLine="0" w:firstLineChars="0"/>
              <w:rPr>
                <w:rFonts w:hint="default"/>
              </w:rPr>
            </w:pPr>
            <w:r>
              <w:t>化验</w:t>
            </w:r>
          </w:p>
        </w:tc>
        <w:tc>
          <w:tcPr>
            <w:tcW w:w="9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B55E2">
            <w:pPr>
              <w:pStyle w:val="45"/>
              <w:ind w:firstLine="0" w:firstLineChars="0"/>
              <w:rPr>
                <w:rFonts w:hint="default"/>
              </w:rPr>
            </w:pPr>
            <w:r>
              <w:t>固态</w:t>
            </w:r>
          </w:p>
        </w:tc>
        <w:tc>
          <w:tcPr>
            <w:tcW w:w="14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4145D">
            <w:pPr>
              <w:pStyle w:val="45"/>
              <w:ind w:firstLine="0" w:firstLineChars="0"/>
              <w:rPr>
                <w:rFonts w:hint="default"/>
              </w:rPr>
            </w:pPr>
            <w:r>
              <w:t>化学残留</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2F425">
            <w:pPr>
              <w:pStyle w:val="45"/>
              <w:ind w:firstLine="0" w:firstLineChars="0"/>
              <w:rPr>
                <w:rFonts w:hint="default"/>
              </w:rPr>
            </w:pPr>
            <w:r>
              <w:t>化学残留</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DAD804">
            <w:pPr>
              <w:pStyle w:val="45"/>
              <w:ind w:firstLine="0" w:firstLineChars="0"/>
              <w:rPr>
                <w:rFonts w:hint="default"/>
              </w:rPr>
            </w:pPr>
            <w:r>
              <w:t>1年</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E7ABA5">
            <w:pPr>
              <w:pStyle w:val="45"/>
              <w:ind w:firstLine="0" w:firstLineChars="0"/>
              <w:rPr>
                <w:rFonts w:hint="default"/>
              </w:rPr>
            </w:pPr>
            <w:r>
              <w:t>毒性</w:t>
            </w:r>
          </w:p>
        </w:tc>
        <w:tc>
          <w:tcPr>
            <w:tcW w:w="1143" w:type="dxa"/>
            <w:vMerge w:val="continue"/>
            <w:tcBorders>
              <w:left w:val="single" w:color="000000" w:sz="4" w:space="0"/>
              <w:right w:val="single" w:color="000000" w:sz="4" w:space="0"/>
            </w:tcBorders>
            <w:shd w:val="clear" w:color="auto" w:fill="auto"/>
            <w:vAlign w:val="center"/>
          </w:tcPr>
          <w:p w14:paraId="201F9181">
            <w:pPr>
              <w:pStyle w:val="45"/>
              <w:rPr>
                <w:rFonts w:hint="default"/>
              </w:rPr>
            </w:pPr>
          </w:p>
        </w:tc>
      </w:tr>
      <w:tr w14:paraId="37E6F047">
        <w:tblPrEx>
          <w:tblCellMar>
            <w:top w:w="0" w:type="dxa"/>
            <w:left w:w="108" w:type="dxa"/>
            <w:bottom w:w="0" w:type="dxa"/>
            <w:right w:w="108" w:type="dxa"/>
          </w:tblCellMar>
        </w:tblPrEx>
        <w:trPr>
          <w:trHeight w:val="593" w:hRule="atLeast"/>
        </w:trPr>
        <w:tc>
          <w:tcPr>
            <w:tcW w:w="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BBB6B">
            <w:pPr>
              <w:pStyle w:val="45"/>
              <w:rPr>
                <w:rFonts w:hint="eastAsia" w:eastAsia="宋体"/>
                <w:lang w:val="en-US" w:eastAsia="zh-CN"/>
              </w:rPr>
            </w:pPr>
            <w:r>
              <w:rPr>
                <w:rFonts w:hint="eastAsia"/>
                <w:lang w:val="en-US" w:eastAsia="zh-CN"/>
              </w:rPr>
              <w:t>7</w:t>
            </w:r>
          </w:p>
        </w:tc>
        <w:tc>
          <w:tcPr>
            <w:tcW w:w="11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3E1F5C">
            <w:pPr>
              <w:pStyle w:val="45"/>
              <w:ind w:firstLine="0" w:firstLineChars="0"/>
              <w:rPr>
                <w:rFonts w:hint="eastAsia"/>
                <w:lang w:eastAsia="zh-CN"/>
              </w:rPr>
            </w:pPr>
            <w:r>
              <w:rPr>
                <w:rFonts w:hint="eastAsia"/>
                <w:lang w:eastAsia="zh-CN"/>
              </w:rPr>
              <w:t>废机油</w:t>
            </w:r>
          </w:p>
        </w:tc>
        <w:tc>
          <w:tcPr>
            <w:tcW w:w="17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7ECE6A">
            <w:pPr>
              <w:pStyle w:val="45"/>
              <w:ind w:firstLine="0" w:firstLineChars="0"/>
              <w:rPr>
                <w:rFonts w:hint="default"/>
              </w:rPr>
            </w:pPr>
            <w:r>
              <w:rPr>
                <w:rFonts w:hint="default"/>
              </w:rPr>
              <w:t>HW08</w:t>
            </w:r>
            <w:r>
              <w:t>废矿物油与含矿物油废物</w:t>
            </w:r>
          </w:p>
        </w:tc>
        <w:tc>
          <w:tcPr>
            <w:tcW w:w="13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E4388E">
            <w:pPr>
              <w:pStyle w:val="45"/>
              <w:ind w:firstLine="0" w:firstLineChars="0"/>
              <w:rPr>
                <w:rFonts w:hint="default"/>
              </w:rPr>
            </w:pPr>
            <w:r>
              <w:rPr>
                <w:rFonts w:hint="default"/>
              </w:rPr>
              <w:t>900-214-08</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D9E7F8">
            <w:pPr>
              <w:pStyle w:val="45"/>
              <w:ind w:firstLine="0" w:firstLineChars="0"/>
              <w:rPr>
                <w:rFonts w:hint="default"/>
              </w:rPr>
            </w:pPr>
            <w:r>
              <w:rPr>
                <w:rFonts w:hint="default"/>
              </w:rPr>
              <w:t>0.2</w:t>
            </w:r>
          </w:p>
        </w:tc>
        <w:tc>
          <w:tcPr>
            <w:tcW w:w="13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0C61B">
            <w:pPr>
              <w:pStyle w:val="45"/>
              <w:ind w:firstLine="0" w:firstLineChars="0"/>
            </w:pPr>
            <w:r>
              <w:t>设备维护保养</w:t>
            </w:r>
          </w:p>
        </w:tc>
        <w:tc>
          <w:tcPr>
            <w:tcW w:w="9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55B98">
            <w:pPr>
              <w:pStyle w:val="45"/>
              <w:ind w:firstLine="0" w:firstLineChars="0"/>
            </w:pPr>
            <w:r>
              <w:t>固态/液态</w:t>
            </w:r>
          </w:p>
        </w:tc>
        <w:tc>
          <w:tcPr>
            <w:tcW w:w="14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36212">
            <w:pPr>
              <w:pStyle w:val="45"/>
              <w:ind w:firstLine="0" w:firstLineChars="0"/>
            </w:pPr>
            <w:r>
              <w:t>有机物</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E4564">
            <w:pPr>
              <w:pStyle w:val="45"/>
              <w:ind w:firstLine="0" w:firstLineChars="0"/>
            </w:pPr>
            <w:r>
              <w:t>有机物</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B2105">
            <w:pPr>
              <w:pStyle w:val="45"/>
              <w:ind w:firstLine="0" w:firstLineChars="0"/>
            </w:pPr>
            <w:r>
              <w:t>1年</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82062">
            <w:pPr>
              <w:pStyle w:val="45"/>
              <w:ind w:firstLine="0" w:firstLineChars="0"/>
            </w:pPr>
            <w:r>
              <w:t>毒性、可燃性</w:t>
            </w:r>
          </w:p>
        </w:tc>
        <w:tc>
          <w:tcPr>
            <w:tcW w:w="1143" w:type="dxa"/>
            <w:vMerge w:val="continue"/>
            <w:tcBorders>
              <w:left w:val="single" w:color="000000" w:sz="4" w:space="0"/>
              <w:bottom w:val="single" w:color="000000" w:sz="4" w:space="0"/>
              <w:right w:val="single" w:color="000000" w:sz="4" w:space="0"/>
            </w:tcBorders>
            <w:shd w:val="clear" w:color="auto" w:fill="auto"/>
            <w:vAlign w:val="center"/>
          </w:tcPr>
          <w:p w14:paraId="5ECBB633">
            <w:pPr>
              <w:pStyle w:val="45"/>
              <w:rPr>
                <w:rFonts w:hint="default"/>
              </w:rPr>
            </w:pPr>
          </w:p>
        </w:tc>
      </w:tr>
    </w:tbl>
    <w:p w14:paraId="1BCC559E">
      <w:pPr>
        <w:ind w:firstLine="0" w:firstLineChars="0"/>
      </w:pPr>
    </w:p>
    <w:p w14:paraId="3A6A643D">
      <w:pPr>
        <w:ind w:firstLine="0" w:firstLineChars="0"/>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28A59411">
      <w:pPr>
        <w:pStyle w:val="4"/>
        <w:numPr>
          <w:ilvl w:val="2"/>
          <w:numId w:val="1"/>
        </w:numPr>
      </w:pPr>
      <w:r>
        <w:rPr>
          <w:rFonts w:hint="eastAsia"/>
        </w:rPr>
        <w:t>地下水和土壤污染源强及拟采取污染治理措施分析</w:t>
      </w:r>
    </w:p>
    <w:p w14:paraId="05872BC6">
      <w:pPr>
        <w:ind w:firstLine="480"/>
      </w:pPr>
      <w:r>
        <w:rPr>
          <w:rFonts w:hint="eastAsia"/>
        </w:rPr>
        <w:t>本项目主要土壤和地下水污染源如下：</w:t>
      </w:r>
    </w:p>
    <w:p w14:paraId="0DF1F6A3">
      <w:pPr>
        <w:ind w:firstLine="480"/>
      </w:pPr>
      <w:r>
        <w:rPr>
          <w:rFonts w:hint="eastAsia"/>
        </w:rPr>
        <w:t>1、生产环节：生产区的发生跑、冒、滴、漏，流到地面后，下渗至土壤，可能造成地下水和土壤的污染。</w:t>
      </w:r>
    </w:p>
    <w:p w14:paraId="11EDE975">
      <w:pPr>
        <w:ind w:firstLine="480"/>
      </w:pPr>
      <w:r>
        <w:rPr>
          <w:rFonts w:hint="eastAsia"/>
        </w:rPr>
        <w:t>2、物料储存区：厂区建设的各储罐区。正常储存条件下，不会对地下水造成污染，这些物料的存储装置发生泄漏时，污染物有可能进入到土壤中，将有可能污染场地的土壤及地下水。</w:t>
      </w:r>
    </w:p>
    <w:p w14:paraId="6B13919A">
      <w:pPr>
        <w:ind w:firstLine="480"/>
      </w:pPr>
      <w:r>
        <w:rPr>
          <w:rFonts w:hint="eastAsia"/>
        </w:rPr>
        <w:t>3、危废暂存场：危险废物暂存于厂区内危险废物暂存场，定期交有资质部门回收。若危废暂存场所不符合规范要求，造成危废泄漏或危废渗滤液下渗，都将造成地下水和土壤污染。</w:t>
      </w:r>
    </w:p>
    <w:p w14:paraId="5FEDE425">
      <w:pPr>
        <w:ind w:firstLine="480"/>
      </w:pPr>
      <w:r>
        <w:rPr>
          <w:rFonts w:hint="eastAsia"/>
        </w:rPr>
        <w:t>拟建项目地下水和土壤污染防治遵循源头控制、分区防治、污染监控、应急响应相结合的原则</w:t>
      </w:r>
      <w:r>
        <w:rPr>
          <w:rFonts w:hint="eastAsia"/>
          <w:highlight w:val="none"/>
        </w:rPr>
        <w:t>。从污染物的产生、运移、扩散、应急响应全阶段进行控制。拟建项目主要地下水和土壤污染防护措施包括源头控制措施及过程措施。</w:t>
      </w:r>
      <w:r>
        <w:rPr>
          <w:rFonts w:hint="eastAsia"/>
          <w:highlight w:val="none"/>
          <w:lang w:val="en-US" w:eastAsia="zh-CN"/>
        </w:rPr>
        <w:t>项目分区防渗分布图具体见附图7。</w:t>
      </w:r>
    </w:p>
    <w:p w14:paraId="03129CD2">
      <w:pPr>
        <w:ind w:firstLine="480"/>
      </w:pPr>
      <w:r>
        <w:rPr>
          <w:rFonts w:hint="eastAsia"/>
        </w:rPr>
        <w:t>因此，本项目采取以上措施可有效防止生产区废水泼洒、溢漏及渗透；有效防止储罐区泄漏后的下渗，有效保护地下水和土壤环境。</w:t>
      </w:r>
    </w:p>
    <w:p w14:paraId="6298F913">
      <w:pPr>
        <w:pStyle w:val="43"/>
        <w:numPr>
          <w:ilvl w:val="5"/>
          <w:numId w:val="1"/>
        </w:numPr>
        <w:rPr>
          <w:rFonts w:hint="default"/>
        </w:rPr>
      </w:pPr>
      <w:r>
        <w:t>项目分区防渗单元表</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9"/>
        <w:gridCol w:w="1181"/>
        <w:gridCol w:w="6622"/>
      </w:tblGrid>
      <w:tr w14:paraId="7ED6C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422" w:type="pct"/>
            <w:vAlign w:val="center"/>
          </w:tcPr>
          <w:p w14:paraId="278DBD82">
            <w:pPr>
              <w:pStyle w:val="45"/>
              <w:rPr>
                <w:rFonts w:hint="default"/>
                <w:b/>
                <w:bCs/>
              </w:rPr>
            </w:pPr>
            <w:r>
              <w:rPr>
                <w:rFonts w:hint="default"/>
                <w:b/>
                <w:bCs/>
              </w:rPr>
              <w:t>序号</w:t>
            </w:r>
          </w:p>
        </w:tc>
        <w:tc>
          <w:tcPr>
            <w:tcW w:w="693" w:type="pct"/>
            <w:vAlign w:val="center"/>
          </w:tcPr>
          <w:p w14:paraId="400774AC">
            <w:pPr>
              <w:pStyle w:val="45"/>
              <w:rPr>
                <w:rFonts w:hint="default"/>
                <w:b/>
                <w:bCs/>
              </w:rPr>
            </w:pPr>
            <w:r>
              <w:rPr>
                <w:rFonts w:hint="default"/>
                <w:b/>
                <w:bCs/>
              </w:rPr>
              <w:t>防渗级别</w:t>
            </w:r>
          </w:p>
        </w:tc>
        <w:tc>
          <w:tcPr>
            <w:tcW w:w="3884" w:type="pct"/>
            <w:vAlign w:val="center"/>
          </w:tcPr>
          <w:p w14:paraId="0368486F">
            <w:pPr>
              <w:pStyle w:val="45"/>
              <w:rPr>
                <w:rFonts w:hint="default"/>
                <w:b/>
                <w:bCs/>
              </w:rPr>
            </w:pPr>
            <w:r>
              <w:rPr>
                <w:rFonts w:hint="default"/>
                <w:b/>
                <w:bCs/>
              </w:rPr>
              <w:t>相关区域</w:t>
            </w:r>
          </w:p>
        </w:tc>
      </w:tr>
      <w:tr w14:paraId="6F348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pct"/>
            <w:vAlign w:val="center"/>
          </w:tcPr>
          <w:p w14:paraId="3E0DEA0F">
            <w:pPr>
              <w:pStyle w:val="45"/>
              <w:rPr>
                <w:rFonts w:hint="default"/>
              </w:rPr>
            </w:pPr>
            <w:r>
              <w:rPr>
                <w:rFonts w:hint="default"/>
              </w:rPr>
              <w:t>1</w:t>
            </w:r>
          </w:p>
        </w:tc>
        <w:tc>
          <w:tcPr>
            <w:tcW w:w="693" w:type="pct"/>
            <w:vAlign w:val="center"/>
          </w:tcPr>
          <w:p w14:paraId="7F02F327">
            <w:pPr>
              <w:pStyle w:val="45"/>
              <w:rPr>
                <w:rFonts w:hint="default"/>
              </w:rPr>
            </w:pPr>
            <w:r>
              <w:rPr>
                <w:rFonts w:hint="default"/>
              </w:rPr>
              <w:t>重点防渗</w:t>
            </w:r>
          </w:p>
        </w:tc>
        <w:tc>
          <w:tcPr>
            <w:tcW w:w="3884" w:type="pct"/>
            <w:vAlign w:val="center"/>
          </w:tcPr>
          <w:p w14:paraId="5BC7979D">
            <w:pPr>
              <w:pStyle w:val="45"/>
              <w:rPr>
                <w:rFonts w:hint="default"/>
              </w:rPr>
            </w:pPr>
            <w:r>
              <w:t>化盐车间、电解车间</w:t>
            </w:r>
            <w:r>
              <w:rPr>
                <w:rFonts w:hint="default"/>
              </w:rPr>
              <w:t>、</w:t>
            </w:r>
            <w:r>
              <w:t>复分解车间</w:t>
            </w:r>
            <w:r>
              <w:rPr>
                <w:rFonts w:hint="default"/>
              </w:rPr>
              <w:t>、</w:t>
            </w:r>
            <w:r>
              <w:t>厂区废水站</w:t>
            </w:r>
            <w:r>
              <w:rPr>
                <w:rFonts w:hint="default"/>
              </w:rPr>
              <w:t>、</w:t>
            </w:r>
            <w:r>
              <w:t>罐区1</w:t>
            </w:r>
            <w:r>
              <w:rPr>
                <w:rFonts w:hint="default"/>
              </w:rPr>
              <w:t>、</w:t>
            </w:r>
            <w:r>
              <w:t>罐区2、</w:t>
            </w:r>
            <w:r>
              <w:rPr>
                <w:rFonts w:hint="default"/>
              </w:rPr>
              <w:t>危废暂存间</w:t>
            </w:r>
            <w:r>
              <w:t>、一般固废暂存间、事故应急池</w:t>
            </w:r>
          </w:p>
        </w:tc>
      </w:tr>
      <w:tr w14:paraId="1E75A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pct"/>
            <w:vAlign w:val="center"/>
          </w:tcPr>
          <w:p w14:paraId="26DB472B">
            <w:pPr>
              <w:pStyle w:val="45"/>
              <w:rPr>
                <w:rFonts w:hint="default"/>
              </w:rPr>
            </w:pPr>
            <w:r>
              <w:rPr>
                <w:rFonts w:hint="default"/>
              </w:rPr>
              <w:t>2</w:t>
            </w:r>
          </w:p>
        </w:tc>
        <w:tc>
          <w:tcPr>
            <w:tcW w:w="693" w:type="pct"/>
            <w:vAlign w:val="center"/>
          </w:tcPr>
          <w:p w14:paraId="12A922D0">
            <w:pPr>
              <w:pStyle w:val="45"/>
              <w:rPr>
                <w:rFonts w:hint="default"/>
              </w:rPr>
            </w:pPr>
            <w:r>
              <w:rPr>
                <w:rFonts w:hint="default"/>
              </w:rPr>
              <w:t>一般防渗</w:t>
            </w:r>
          </w:p>
        </w:tc>
        <w:tc>
          <w:tcPr>
            <w:tcW w:w="3884" w:type="pct"/>
            <w:vAlign w:val="center"/>
          </w:tcPr>
          <w:p w14:paraId="11135428">
            <w:pPr>
              <w:pStyle w:val="45"/>
              <w:rPr>
                <w:rFonts w:hint="default"/>
              </w:rPr>
            </w:pPr>
            <w:r>
              <w:rPr>
                <w:rFonts w:hint="eastAsia"/>
              </w:rPr>
              <w:t>循环水站、消防水池、原辅料仓库、氢气回收区</w:t>
            </w:r>
          </w:p>
        </w:tc>
      </w:tr>
      <w:tr w14:paraId="0672A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pct"/>
            <w:vAlign w:val="center"/>
          </w:tcPr>
          <w:p w14:paraId="5E528916">
            <w:pPr>
              <w:pStyle w:val="45"/>
              <w:rPr>
                <w:rFonts w:hint="default"/>
              </w:rPr>
            </w:pPr>
            <w:r>
              <w:rPr>
                <w:rFonts w:hint="default"/>
              </w:rPr>
              <w:t>3</w:t>
            </w:r>
          </w:p>
        </w:tc>
        <w:tc>
          <w:tcPr>
            <w:tcW w:w="693" w:type="pct"/>
            <w:vAlign w:val="center"/>
          </w:tcPr>
          <w:p w14:paraId="5E0BE630">
            <w:pPr>
              <w:pStyle w:val="45"/>
              <w:rPr>
                <w:rFonts w:hint="default"/>
              </w:rPr>
            </w:pPr>
            <w:r>
              <w:rPr>
                <w:rFonts w:hint="default"/>
              </w:rPr>
              <w:t>简单防渗</w:t>
            </w:r>
          </w:p>
        </w:tc>
        <w:tc>
          <w:tcPr>
            <w:tcW w:w="3884" w:type="pct"/>
            <w:vAlign w:val="center"/>
          </w:tcPr>
          <w:p w14:paraId="3E4E7310">
            <w:pPr>
              <w:pStyle w:val="45"/>
              <w:rPr>
                <w:rFonts w:hint="default"/>
              </w:rPr>
            </w:pPr>
            <w:r>
              <w:rPr>
                <w:rFonts w:hint="default"/>
              </w:rPr>
              <w:t>除一般防渗区及重点防渗区以外的生产区及生活办公区</w:t>
            </w:r>
          </w:p>
        </w:tc>
      </w:tr>
    </w:tbl>
    <w:p w14:paraId="0C0F2E4D">
      <w:pPr>
        <w:spacing w:line="240" w:lineRule="auto"/>
        <w:ind w:firstLine="0" w:firstLineChars="0"/>
      </w:pPr>
    </w:p>
    <w:p w14:paraId="54FC546C">
      <w:pPr>
        <w:pStyle w:val="4"/>
        <w:numPr>
          <w:ilvl w:val="2"/>
          <w:numId w:val="1"/>
        </w:numPr>
        <w:rPr>
          <w:rFonts w:hint="eastAsia" w:ascii="Times New Roman" w:hAnsi="Times New Roman" w:eastAsia="宋体" w:cstheme="minorBidi"/>
          <w:b/>
          <w:kern w:val="2"/>
          <w:sz w:val="28"/>
          <w:szCs w:val="28"/>
          <w:lang w:val="en-US" w:eastAsia="zh-CN" w:bidi="ar-SA"/>
        </w:rPr>
      </w:pPr>
      <w:bookmarkStart w:id="136" w:name="_Toc16758"/>
      <w:bookmarkStart w:id="137" w:name="_Toc2803"/>
      <w:r>
        <w:rPr>
          <w:rFonts w:hint="eastAsia"/>
        </w:rPr>
        <w:t>项目污染物产排</w:t>
      </w:r>
      <w:r>
        <w:rPr>
          <w:rFonts w:hint="eastAsia"/>
          <w:lang w:val="en-US" w:eastAsia="zh-CN"/>
        </w:rPr>
        <w:t>情况汇总</w:t>
      </w:r>
    </w:p>
    <w:p w14:paraId="0FCC4916">
      <w:pPr>
        <w:rPr>
          <w:rFonts w:hint="eastAsia"/>
        </w:rPr>
      </w:pPr>
      <w:r>
        <w:rPr>
          <w:rFonts w:hint="eastAsia"/>
        </w:rPr>
        <w:t>综上所述，项目各类污染物产生排放情况见下表。</w:t>
      </w:r>
    </w:p>
    <w:p w14:paraId="7E77C422">
      <w:pPr>
        <w:pStyle w:val="43"/>
        <w:numPr>
          <w:ilvl w:val="5"/>
          <w:numId w:val="1"/>
        </w:numPr>
        <w:bidi w:val="0"/>
        <w:rPr>
          <w:rFonts w:hint="default"/>
          <w:lang w:val="en-US" w:eastAsia="zh-CN"/>
        </w:rPr>
      </w:pPr>
      <w:r>
        <w:rPr>
          <w:rFonts w:hint="eastAsia"/>
          <w:lang w:val="en-US" w:eastAsia="zh-CN"/>
        </w:rPr>
        <w:t>项目全厂污染物产排情况汇总表</w:t>
      </w:r>
    </w:p>
    <w:tbl>
      <w:tblPr>
        <w:tblStyle w:val="32"/>
        <w:tblW w:w="495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635"/>
        <w:gridCol w:w="1491"/>
        <w:gridCol w:w="2323"/>
        <w:gridCol w:w="1464"/>
        <w:gridCol w:w="1356"/>
        <w:gridCol w:w="1168"/>
      </w:tblGrid>
      <w:tr w14:paraId="5EAAA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7" w:hRule="atLeast"/>
          <w:tblHeader/>
        </w:trPr>
        <w:tc>
          <w:tcPr>
            <w:tcW w:w="1259" w:type="pct"/>
            <w:gridSpan w:val="2"/>
            <w:shd w:val="clear" w:color="auto" w:fill="auto"/>
            <w:vAlign w:val="center"/>
          </w:tcPr>
          <w:p w14:paraId="3E3BE446">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污染源种类</w:t>
            </w:r>
          </w:p>
        </w:tc>
        <w:tc>
          <w:tcPr>
            <w:tcW w:w="1376" w:type="pct"/>
            <w:shd w:val="clear" w:color="auto" w:fill="auto"/>
            <w:vAlign w:val="center"/>
          </w:tcPr>
          <w:p w14:paraId="6C611372">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污染物</w:t>
            </w:r>
          </w:p>
        </w:tc>
        <w:tc>
          <w:tcPr>
            <w:tcW w:w="867" w:type="pct"/>
            <w:shd w:val="clear" w:color="auto" w:fill="auto"/>
            <w:vAlign w:val="center"/>
          </w:tcPr>
          <w:p w14:paraId="0A2F8906">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产生量</w:t>
            </w:r>
            <w:r>
              <w:rPr>
                <w:rFonts w:hint="default" w:ascii="Times New Roman" w:hAnsi="Times New Roman" w:eastAsia="宋体" w:cs="Times New Roman"/>
                <w:b/>
                <w:bCs/>
                <w:i w:val="0"/>
                <w:iCs w:val="0"/>
                <w:color w:val="000000"/>
                <w:kern w:val="0"/>
                <w:sz w:val="21"/>
                <w:szCs w:val="21"/>
                <w:u w:val="none"/>
                <w:lang w:val="en-US" w:eastAsia="zh-CN" w:bidi="ar"/>
              </w:rPr>
              <w:t>t/a</w:t>
            </w:r>
          </w:p>
        </w:tc>
        <w:tc>
          <w:tcPr>
            <w:tcW w:w="803" w:type="pct"/>
            <w:shd w:val="clear" w:color="auto" w:fill="auto"/>
            <w:vAlign w:val="center"/>
          </w:tcPr>
          <w:p w14:paraId="4D538836">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排放量</w:t>
            </w:r>
            <w:r>
              <w:rPr>
                <w:rFonts w:hint="default" w:ascii="Times New Roman" w:hAnsi="Times New Roman" w:eastAsia="宋体" w:cs="Times New Roman"/>
                <w:b/>
                <w:bCs/>
                <w:i w:val="0"/>
                <w:iCs w:val="0"/>
                <w:color w:val="000000"/>
                <w:kern w:val="0"/>
                <w:sz w:val="21"/>
                <w:szCs w:val="21"/>
                <w:u w:val="none"/>
                <w:lang w:val="en-US" w:eastAsia="zh-CN" w:bidi="ar"/>
              </w:rPr>
              <w:t>t/a</w:t>
            </w:r>
          </w:p>
        </w:tc>
        <w:tc>
          <w:tcPr>
            <w:tcW w:w="692" w:type="pct"/>
            <w:shd w:val="clear" w:color="auto" w:fill="auto"/>
            <w:vAlign w:val="center"/>
          </w:tcPr>
          <w:p w14:paraId="4AEEDBEE">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削减量</w:t>
            </w:r>
            <w:r>
              <w:rPr>
                <w:rFonts w:hint="default" w:ascii="Times New Roman" w:hAnsi="Times New Roman" w:eastAsia="宋体" w:cs="Times New Roman"/>
                <w:b/>
                <w:bCs/>
                <w:i w:val="0"/>
                <w:iCs w:val="0"/>
                <w:color w:val="000000"/>
                <w:kern w:val="0"/>
                <w:sz w:val="21"/>
                <w:szCs w:val="21"/>
                <w:u w:val="none"/>
                <w:lang w:val="en-US" w:eastAsia="zh-CN" w:bidi="ar"/>
              </w:rPr>
              <w:t>t/a</w:t>
            </w:r>
          </w:p>
        </w:tc>
      </w:tr>
      <w:tr w14:paraId="6A2EF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7" w:hRule="atLeast"/>
        </w:trPr>
        <w:tc>
          <w:tcPr>
            <w:tcW w:w="376" w:type="pct"/>
            <w:vMerge w:val="restart"/>
            <w:shd w:val="clear" w:color="auto" w:fill="auto"/>
            <w:vAlign w:val="center"/>
          </w:tcPr>
          <w:p w14:paraId="74AB1843">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废水</w:t>
            </w:r>
          </w:p>
        </w:tc>
        <w:tc>
          <w:tcPr>
            <w:tcW w:w="883" w:type="pct"/>
            <w:vMerge w:val="restart"/>
            <w:shd w:val="clear" w:color="auto" w:fill="auto"/>
            <w:vAlign w:val="center"/>
          </w:tcPr>
          <w:p w14:paraId="433618A6">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cs="宋体"/>
                <w:i w:val="0"/>
                <w:iCs w:val="0"/>
                <w:color w:val="000000"/>
                <w:kern w:val="0"/>
                <w:sz w:val="21"/>
                <w:szCs w:val="21"/>
                <w:u w:val="none"/>
                <w:lang w:val="en-US" w:eastAsia="zh-CN" w:bidi="ar"/>
              </w:rPr>
              <w:t>生活污水</w:t>
            </w:r>
          </w:p>
        </w:tc>
        <w:tc>
          <w:tcPr>
            <w:tcW w:w="1376" w:type="pct"/>
            <w:shd w:val="clear" w:color="auto" w:fill="auto"/>
            <w:vAlign w:val="center"/>
          </w:tcPr>
          <w:p w14:paraId="3F67C4FD">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废水量</w:t>
            </w:r>
          </w:p>
        </w:tc>
        <w:tc>
          <w:tcPr>
            <w:tcW w:w="867" w:type="pct"/>
            <w:shd w:val="clear" w:color="auto" w:fill="auto"/>
            <w:vAlign w:val="center"/>
          </w:tcPr>
          <w:p w14:paraId="349CEA9E">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1976</w:t>
            </w:r>
          </w:p>
        </w:tc>
        <w:tc>
          <w:tcPr>
            <w:tcW w:w="803" w:type="pct"/>
            <w:shd w:val="clear" w:color="auto" w:fill="auto"/>
            <w:noWrap/>
            <w:vAlign w:val="center"/>
          </w:tcPr>
          <w:p w14:paraId="358396D4">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i w:val="0"/>
                <w:iCs w:val="0"/>
                <w:color w:val="000000"/>
                <w:sz w:val="21"/>
                <w:szCs w:val="22"/>
                <w:u w:val="none"/>
              </w:rPr>
            </w:pPr>
            <w:r>
              <w:rPr>
                <w:rFonts w:hint="eastAsia" w:ascii="Times New Roman" w:hAnsi="Times New Roman" w:eastAsia="宋体" w:cs="宋体"/>
                <w:i w:val="0"/>
                <w:iCs w:val="0"/>
                <w:color w:val="000000"/>
                <w:kern w:val="0"/>
                <w:sz w:val="21"/>
                <w:szCs w:val="22"/>
                <w:u w:val="none"/>
                <w:lang w:val="en-US" w:eastAsia="zh-CN" w:bidi="ar"/>
              </w:rPr>
              <w:t>1976</w:t>
            </w:r>
          </w:p>
        </w:tc>
        <w:tc>
          <w:tcPr>
            <w:tcW w:w="692" w:type="pct"/>
            <w:shd w:val="clear" w:color="auto" w:fill="auto"/>
            <w:vAlign w:val="center"/>
          </w:tcPr>
          <w:p w14:paraId="72216BD8">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w:t>
            </w:r>
          </w:p>
        </w:tc>
      </w:tr>
      <w:tr w14:paraId="1A4BC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2" w:hRule="atLeast"/>
        </w:trPr>
        <w:tc>
          <w:tcPr>
            <w:tcW w:w="376" w:type="pct"/>
            <w:vMerge w:val="continue"/>
            <w:shd w:val="clear" w:color="auto" w:fill="auto"/>
            <w:vAlign w:val="center"/>
          </w:tcPr>
          <w:p w14:paraId="327F0903">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883" w:type="pct"/>
            <w:vMerge w:val="continue"/>
            <w:shd w:val="clear" w:color="auto" w:fill="auto"/>
            <w:vAlign w:val="center"/>
          </w:tcPr>
          <w:p w14:paraId="59971337">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1376" w:type="pct"/>
            <w:shd w:val="clear" w:color="auto" w:fill="auto"/>
            <w:vAlign w:val="center"/>
          </w:tcPr>
          <w:p w14:paraId="2B13CDDE">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COD</w:t>
            </w:r>
          </w:p>
        </w:tc>
        <w:tc>
          <w:tcPr>
            <w:tcW w:w="867" w:type="pct"/>
            <w:shd w:val="clear" w:color="auto" w:fill="auto"/>
            <w:vAlign w:val="center"/>
          </w:tcPr>
          <w:p w14:paraId="58D6F5A2">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494</w:t>
            </w:r>
          </w:p>
        </w:tc>
        <w:tc>
          <w:tcPr>
            <w:tcW w:w="803" w:type="pct"/>
            <w:shd w:val="clear" w:color="auto" w:fill="auto"/>
            <w:vAlign w:val="center"/>
          </w:tcPr>
          <w:p w14:paraId="7F5A2220">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0.3952</w:t>
            </w:r>
          </w:p>
        </w:tc>
        <w:tc>
          <w:tcPr>
            <w:tcW w:w="692" w:type="pct"/>
            <w:shd w:val="clear" w:color="auto" w:fill="auto"/>
            <w:vAlign w:val="center"/>
          </w:tcPr>
          <w:p w14:paraId="47A9733A">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0988</w:t>
            </w:r>
          </w:p>
        </w:tc>
      </w:tr>
      <w:tr w14:paraId="34E5E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7" w:hRule="atLeast"/>
        </w:trPr>
        <w:tc>
          <w:tcPr>
            <w:tcW w:w="376" w:type="pct"/>
            <w:vMerge w:val="continue"/>
            <w:shd w:val="clear" w:color="auto" w:fill="auto"/>
            <w:vAlign w:val="center"/>
          </w:tcPr>
          <w:p w14:paraId="6B23A389">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883" w:type="pct"/>
            <w:vMerge w:val="continue"/>
            <w:shd w:val="clear" w:color="auto" w:fill="auto"/>
            <w:vAlign w:val="center"/>
          </w:tcPr>
          <w:p w14:paraId="64E02B10">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1376" w:type="pct"/>
            <w:shd w:val="clear" w:color="auto" w:fill="auto"/>
            <w:vAlign w:val="center"/>
          </w:tcPr>
          <w:p w14:paraId="3DDBBB44">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氨氮</w:t>
            </w:r>
          </w:p>
        </w:tc>
        <w:tc>
          <w:tcPr>
            <w:tcW w:w="867" w:type="pct"/>
            <w:shd w:val="clear" w:color="auto" w:fill="auto"/>
            <w:vAlign w:val="center"/>
          </w:tcPr>
          <w:p w14:paraId="2C969BA9">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0.0</w:t>
            </w:r>
            <w:r>
              <w:rPr>
                <w:rFonts w:hint="eastAsia" w:cs="Times New Roman"/>
                <w:i w:val="0"/>
                <w:iCs w:val="0"/>
                <w:color w:val="000000"/>
                <w:kern w:val="0"/>
                <w:sz w:val="21"/>
                <w:szCs w:val="21"/>
                <w:u w:val="none"/>
                <w:lang w:val="en-US" w:eastAsia="zh-CN" w:bidi="ar"/>
              </w:rPr>
              <w:t>5928</w:t>
            </w:r>
          </w:p>
        </w:tc>
        <w:tc>
          <w:tcPr>
            <w:tcW w:w="803" w:type="pct"/>
            <w:shd w:val="clear" w:color="auto" w:fill="auto"/>
            <w:vAlign w:val="center"/>
          </w:tcPr>
          <w:p w14:paraId="57FE2BF9">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0.0494</w:t>
            </w:r>
          </w:p>
        </w:tc>
        <w:tc>
          <w:tcPr>
            <w:tcW w:w="692" w:type="pct"/>
            <w:shd w:val="clear" w:color="auto" w:fill="auto"/>
            <w:vAlign w:val="center"/>
          </w:tcPr>
          <w:p w14:paraId="5989AF91">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0.0</w:t>
            </w:r>
            <w:r>
              <w:rPr>
                <w:rFonts w:hint="eastAsia" w:cs="Times New Roman"/>
                <w:i w:val="0"/>
                <w:iCs w:val="0"/>
                <w:color w:val="000000"/>
                <w:kern w:val="0"/>
                <w:sz w:val="21"/>
                <w:szCs w:val="21"/>
                <w:u w:val="none"/>
                <w:lang w:val="en-US" w:eastAsia="zh-CN" w:bidi="ar"/>
              </w:rPr>
              <w:t>0988</w:t>
            </w:r>
          </w:p>
        </w:tc>
      </w:tr>
      <w:tr w14:paraId="056C6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7" w:hRule="atLeast"/>
        </w:trPr>
        <w:tc>
          <w:tcPr>
            <w:tcW w:w="376" w:type="pct"/>
            <w:vMerge w:val="continue"/>
            <w:shd w:val="clear" w:color="auto" w:fill="auto"/>
            <w:vAlign w:val="center"/>
          </w:tcPr>
          <w:p w14:paraId="7A053928">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883" w:type="pct"/>
            <w:vMerge w:val="restart"/>
            <w:shd w:val="clear" w:color="auto" w:fill="auto"/>
            <w:vAlign w:val="center"/>
          </w:tcPr>
          <w:p w14:paraId="5350E1B9">
            <w:pPr>
              <w:keepNext w:val="0"/>
              <w:keepLines w:val="0"/>
              <w:suppressLineNumbers w:val="0"/>
              <w:adjustRightInd/>
              <w:spacing w:before="0" w:beforeAutospacing="0" w:after="0" w:afterAutospacing="0" w:line="240" w:lineRule="auto"/>
              <w:ind w:left="0" w:right="0" w:firstLine="0" w:firstLineChars="0"/>
              <w:jc w:val="center"/>
              <w:rPr>
                <w:rFonts w:hint="default" w:ascii="Times New Roman" w:hAnsi="Times New Roman" w:eastAsia="宋体" w:cs="宋体"/>
                <w:i w:val="0"/>
                <w:iCs w:val="0"/>
                <w:color w:val="000000"/>
                <w:sz w:val="21"/>
                <w:szCs w:val="21"/>
                <w:u w:val="none"/>
                <w:lang w:val="en-US" w:eastAsia="zh-CN"/>
              </w:rPr>
            </w:pPr>
            <w:r>
              <w:rPr>
                <w:rFonts w:hint="eastAsia" w:cs="宋体"/>
                <w:i w:val="0"/>
                <w:iCs w:val="0"/>
                <w:color w:val="000000"/>
                <w:sz w:val="21"/>
                <w:szCs w:val="21"/>
                <w:u w:val="none"/>
                <w:lang w:val="en-US" w:eastAsia="zh-CN"/>
              </w:rPr>
              <w:t>非生产期初期雨水（按年暴雨20次）</w:t>
            </w:r>
          </w:p>
        </w:tc>
        <w:tc>
          <w:tcPr>
            <w:tcW w:w="1376" w:type="pct"/>
            <w:shd w:val="clear" w:color="auto" w:fill="auto"/>
            <w:vAlign w:val="center"/>
          </w:tcPr>
          <w:p w14:paraId="3042A9E3">
            <w:pPr>
              <w:keepNext w:val="0"/>
              <w:keepLines w:val="0"/>
              <w:widowControl/>
              <w:suppressLineNumbers w:val="0"/>
              <w:adjustRightInd/>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宋体"/>
                <w:i w:val="0"/>
                <w:iCs w:val="0"/>
                <w:color w:val="000000"/>
                <w:kern w:val="0"/>
                <w:sz w:val="21"/>
                <w:szCs w:val="21"/>
                <w:u w:val="none"/>
                <w:lang w:val="en-US" w:eastAsia="zh-CN" w:bidi="ar"/>
              </w:rPr>
            </w:pPr>
            <w:r>
              <w:rPr>
                <w:rFonts w:hint="eastAsia" w:ascii="Times New Roman" w:hAnsi="Times New Roman" w:eastAsia="宋体" w:cs="宋体"/>
                <w:i w:val="0"/>
                <w:iCs w:val="0"/>
                <w:color w:val="000000"/>
                <w:kern w:val="0"/>
                <w:sz w:val="21"/>
                <w:szCs w:val="21"/>
                <w:u w:val="none"/>
                <w:lang w:val="en-US" w:eastAsia="zh-CN" w:bidi="ar"/>
              </w:rPr>
              <w:t>废水量</w:t>
            </w:r>
          </w:p>
        </w:tc>
        <w:tc>
          <w:tcPr>
            <w:tcW w:w="867" w:type="pct"/>
            <w:shd w:val="clear" w:color="auto" w:fill="auto"/>
            <w:vAlign w:val="center"/>
          </w:tcPr>
          <w:p w14:paraId="3F35A222">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3600</w:t>
            </w:r>
          </w:p>
        </w:tc>
        <w:tc>
          <w:tcPr>
            <w:tcW w:w="803" w:type="pct"/>
            <w:shd w:val="clear" w:color="auto" w:fill="auto"/>
            <w:vAlign w:val="center"/>
          </w:tcPr>
          <w:p w14:paraId="6EB4890A">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3600</w:t>
            </w:r>
          </w:p>
        </w:tc>
        <w:tc>
          <w:tcPr>
            <w:tcW w:w="692" w:type="pct"/>
            <w:shd w:val="clear" w:color="auto" w:fill="auto"/>
            <w:vAlign w:val="center"/>
          </w:tcPr>
          <w:p w14:paraId="15F73977">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w:t>
            </w:r>
          </w:p>
        </w:tc>
      </w:tr>
      <w:tr w14:paraId="1E4F4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2" w:hRule="atLeast"/>
        </w:trPr>
        <w:tc>
          <w:tcPr>
            <w:tcW w:w="376" w:type="pct"/>
            <w:vMerge w:val="continue"/>
            <w:shd w:val="clear" w:color="auto" w:fill="auto"/>
            <w:vAlign w:val="center"/>
          </w:tcPr>
          <w:p w14:paraId="4228416B">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883" w:type="pct"/>
            <w:vMerge w:val="continue"/>
            <w:shd w:val="clear" w:color="auto" w:fill="auto"/>
            <w:vAlign w:val="center"/>
          </w:tcPr>
          <w:p w14:paraId="24441C7E">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1376" w:type="pct"/>
            <w:shd w:val="clear" w:color="auto" w:fill="auto"/>
            <w:vAlign w:val="center"/>
          </w:tcPr>
          <w:p w14:paraId="6511BD50">
            <w:pPr>
              <w:keepNext w:val="0"/>
              <w:keepLines w:val="0"/>
              <w:widowControl/>
              <w:suppressLineNumbers w:val="0"/>
              <w:adjustRightInd/>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宋体"/>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COD</w:t>
            </w:r>
          </w:p>
        </w:tc>
        <w:tc>
          <w:tcPr>
            <w:tcW w:w="867" w:type="pct"/>
            <w:shd w:val="clear" w:color="auto" w:fill="auto"/>
            <w:vAlign w:val="center"/>
          </w:tcPr>
          <w:p w14:paraId="418A5E11">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0.9</w:t>
            </w:r>
          </w:p>
        </w:tc>
        <w:tc>
          <w:tcPr>
            <w:tcW w:w="803" w:type="pct"/>
            <w:shd w:val="clear" w:color="auto" w:fill="auto"/>
            <w:vAlign w:val="center"/>
          </w:tcPr>
          <w:p w14:paraId="606BD4AF">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0.72</w:t>
            </w:r>
          </w:p>
        </w:tc>
        <w:tc>
          <w:tcPr>
            <w:tcW w:w="692" w:type="pct"/>
            <w:shd w:val="clear" w:color="auto" w:fill="auto"/>
            <w:vAlign w:val="center"/>
          </w:tcPr>
          <w:p w14:paraId="4ED8F954">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0.18</w:t>
            </w:r>
          </w:p>
        </w:tc>
      </w:tr>
      <w:tr w14:paraId="4E9DB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2" w:hRule="atLeast"/>
        </w:trPr>
        <w:tc>
          <w:tcPr>
            <w:tcW w:w="376" w:type="pct"/>
            <w:vMerge w:val="continue"/>
            <w:shd w:val="clear" w:color="auto" w:fill="auto"/>
            <w:vAlign w:val="center"/>
          </w:tcPr>
          <w:p w14:paraId="08B8FE78">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883" w:type="pct"/>
            <w:vMerge w:val="continue"/>
            <w:shd w:val="clear" w:color="auto" w:fill="auto"/>
            <w:vAlign w:val="center"/>
          </w:tcPr>
          <w:p w14:paraId="65FABE06">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1376" w:type="pct"/>
            <w:shd w:val="clear" w:color="auto" w:fill="auto"/>
            <w:vAlign w:val="center"/>
          </w:tcPr>
          <w:p w14:paraId="321459CF">
            <w:pPr>
              <w:keepNext w:val="0"/>
              <w:keepLines w:val="0"/>
              <w:widowControl/>
              <w:suppressLineNumbers w:val="0"/>
              <w:adjustRightInd/>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宋体"/>
                <w:i w:val="0"/>
                <w:iCs w:val="0"/>
                <w:color w:val="000000"/>
                <w:kern w:val="0"/>
                <w:sz w:val="21"/>
                <w:szCs w:val="21"/>
                <w:u w:val="none"/>
                <w:lang w:val="en-US" w:eastAsia="zh-CN" w:bidi="ar"/>
              </w:rPr>
            </w:pPr>
            <w:r>
              <w:rPr>
                <w:rFonts w:hint="eastAsia" w:ascii="Times New Roman" w:hAnsi="Times New Roman" w:eastAsia="宋体" w:cs="宋体"/>
                <w:i w:val="0"/>
                <w:iCs w:val="0"/>
                <w:color w:val="000000"/>
                <w:kern w:val="0"/>
                <w:sz w:val="21"/>
                <w:szCs w:val="21"/>
                <w:u w:val="none"/>
                <w:lang w:val="en-US" w:eastAsia="zh-CN" w:bidi="ar"/>
              </w:rPr>
              <w:t>氨氮</w:t>
            </w:r>
          </w:p>
        </w:tc>
        <w:tc>
          <w:tcPr>
            <w:tcW w:w="867" w:type="pct"/>
            <w:shd w:val="clear" w:color="auto" w:fill="auto"/>
            <w:vAlign w:val="center"/>
          </w:tcPr>
          <w:p w14:paraId="5D628F8F">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0.036</w:t>
            </w:r>
          </w:p>
        </w:tc>
        <w:tc>
          <w:tcPr>
            <w:tcW w:w="803" w:type="pct"/>
            <w:shd w:val="clear" w:color="auto" w:fill="auto"/>
            <w:vAlign w:val="center"/>
          </w:tcPr>
          <w:p w14:paraId="67348C0C">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0.018</w:t>
            </w:r>
          </w:p>
        </w:tc>
        <w:tc>
          <w:tcPr>
            <w:tcW w:w="692" w:type="pct"/>
            <w:shd w:val="clear" w:color="auto" w:fill="auto"/>
            <w:vAlign w:val="center"/>
          </w:tcPr>
          <w:p w14:paraId="2376916F">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0.018</w:t>
            </w:r>
          </w:p>
        </w:tc>
      </w:tr>
      <w:tr w14:paraId="43DC9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76" w:type="pct"/>
            <w:vMerge w:val="restart"/>
            <w:shd w:val="clear" w:color="auto" w:fill="auto"/>
            <w:vAlign w:val="center"/>
          </w:tcPr>
          <w:p w14:paraId="59250465">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i w:val="0"/>
                <w:iCs w:val="0"/>
                <w:color w:val="000000"/>
                <w:sz w:val="21"/>
                <w:szCs w:val="21"/>
                <w:highlight w:val="none"/>
                <w:u w:val="none"/>
              </w:rPr>
            </w:pPr>
            <w:r>
              <w:rPr>
                <w:rFonts w:hint="eastAsia" w:ascii="Times New Roman" w:hAnsi="Times New Roman" w:eastAsia="宋体" w:cs="宋体"/>
                <w:i w:val="0"/>
                <w:iCs w:val="0"/>
                <w:color w:val="000000"/>
                <w:kern w:val="0"/>
                <w:sz w:val="21"/>
                <w:szCs w:val="21"/>
                <w:highlight w:val="none"/>
                <w:u w:val="none"/>
                <w:lang w:val="en-US" w:eastAsia="zh-CN" w:bidi="ar"/>
              </w:rPr>
              <w:t>废气</w:t>
            </w:r>
          </w:p>
        </w:tc>
        <w:tc>
          <w:tcPr>
            <w:tcW w:w="883" w:type="pct"/>
            <w:vMerge w:val="restart"/>
            <w:shd w:val="clear" w:color="auto" w:fill="auto"/>
            <w:vAlign w:val="center"/>
          </w:tcPr>
          <w:p w14:paraId="1A826B7E">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i w:val="0"/>
                <w:iCs w:val="0"/>
                <w:color w:val="000000"/>
                <w:kern w:val="0"/>
                <w:sz w:val="21"/>
                <w:szCs w:val="21"/>
                <w:highlight w:val="none"/>
                <w:u w:val="none"/>
                <w:lang w:val="en-US" w:eastAsia="zh-CN" w:bidi="ar"/>
              </w:rPr>
            </w:pPr>
            <w:r>
              <w:rPr>
                <w:rFonts w:hint="eastAsia" w:ascii="Times New Roman" w:hAnsi="Times New Roman" w:eastAsia="宋体" w:cs="宋体"/>
                <w:i w:val="0"/>
                <w:iCs w:val="0"/>
                <w:color w:val="000000"/>
                <w:kern w:val="0"/>
                <w:sz w:val="21"/>
                <w:szCs w:val="21"/>
                <w:highlight w:val="none"/>
                <w:u w:val="none"/>
                <w:lang w:val="en-US" w:eastAsia="zh-CN" w:bidi="ar"/>
              </w:rPr>
              <w:t>工艺废气</w:t>
            </w:r>
          </w:p>
          <w:p w14:paraId="584835CC">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i w:val="0"/>
                <w:iCs w:val="0"/>
                <w:color w:val="000000"/>
                <w:sz w:val="21"/>
                <w:szCs w:val="21"/>
                <w:highlight w:val="none"/>
                <w:u w:val="none"/>
              </w:rPr>
            </w:pPr>
            <w:r>
              <w:rPr>
                <w:rFonts w:hint="eastAsia" w:ascii="Times New Roman" w:hAnsi="Times New Roman" w:eastAsia="宋体" w:cs="宋体"/>
                <w:i w:val="0"/>
                <w:iCs w:val="0"/>
                <w:color w:val="000000"/>
                <w:kern w:val="0"/>
                <w:sz w:val="21"/>
                <w:szCs w:val="21"/>
                <w:highlight w:val="none"/>
                <w:u w:val="none"/>
                <w:lang w:val="en-US" w:eastAsia="zh-CN" w:bidi="ar"/>
              </w:rPr>
              <w:t>（有组织）</w:t>
            </w:r>
          </w:p>
        </w:tc>
        <w:tc>
          <w:tcPr>
            <w:tcW w:w="1376" w:type="pct"/>
            <w:shd w:val="clear" w:color="auto" w:fill="auto"/>
            <w:vAlign w:val="center"/>
          </w:tcPr>
          <w:p w14:paraId="6A400E7E">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i w:val="0"/>
                <w:iCs w:val="0"/>
                <w:color w:val="000000"/>
                <w:sz w:val="21"/>
                <w:szCs w:val="21"/>
                <w:highlight w:val="none"/>
                <w:u w:val="none"/>
              </w:rPr>
            </w:pPr>
            <w:r>
              <w:rPr>
                <w:rFonts w:hint="eastAsia" w:ascii="Times New Roman" w:hAnsi="Times New Roman" w:eastAsia="宋体" w:cs="宋体"/>
                <w:i w:val="0"/>
                <w:iCs w:val="0"/>
                <w:color w:val="000000"/>
                <w:kern w:val="0"/>
                <w:sz w:val="21"/>
                <w:szCs w:val="21"/>
                <w:highlight w:val="none"/>
                <w:u w:val="none"/>
                <w:lang w:val="en-US" w:eastAsia="zh-CN" w:bidi="ar"/>
              </w:rPr>
              <w:t>废气量（万</w:t>
            </w:r>
            <w:r>
              <w:rPr>
                <w:rFonts w:hint="default" w:ascii="Times New Roman" w:hAnsi="Times New Roman" w:eastAsia="宋体" w:cs="Times New Roman"/>
                <w:i w:val="0"/>
                <w:iCs w:val="0"/>
                <w:color w:val="000000"/>
                <w:kern w:val="0"/>
                <w:sz w:val="21"/>
                <w:szCs w:val="21"/>
                <w:highlight w:val="none"/>
                <w:u w:val="none"/>
                <w:lang w:val="en-US" w:eastAsia="zh-CN" w:bidi="ar"/>
              </w:rPr>
              <w:t>m</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000000"/>
                <w:kern w:val="0"/>
                <w:sz w:val="21"/>
                <w:szCs w:val="21"/>
                <w:highlight w:val="none"/>
                <w:u w:val="none"/>
                <w:lang w:val="en-US" w:eastAsia="zh-CN" w:bidi="ar"/>
              </w:rPr>
              <w:t>/a</w:t>
            </w:r>
            <w:r>
              <w:rPr>
                <w:rFonts w:hint="eastAsia" w:ascii="Times New Roman" w:hAnsi="Times New Roman" w:eastAsia="宋体" w:cs="宋体"/>
                <w:i w:val="0"/>
                <w:iCs w:val="0"/>
                <w:color w:val="000000"/>
                <w:kern w:val="0"/>
                <w:sz w:val="21"/>
                <w:szCs w:val="21"/>
                <w:highlight w:val="none"/>
                <w:u w:val="none"/>
                <w:lang w:val="en-US" w:eastAsia="zh-CN" w:bidi="ar"/>
              </w:rPr>
              <w:t>）</w:t>
            </w:r>
          </w:p>
        </w:tc>
        <w:tc>
          <w:tcPr>
            <w:tcW w:w="867" w:type="pct"/>
            <w:shd w:val="clear" w:color="auto" w:fill="auto"/>
            <w:vAlign w:val="center"/>
          </w:tcPr>
          <w:p w14:paraId="420D325F">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color w:val="000000"/>
                <w:kern w:val="0"/>
                <w:sz w:val="21"/>
                <w:szCs w:val="21"/>
                <w:highlight w:val="none"/>
                <w:u w:val="none"/>
                <w:lang w:val="en-US" w:eastAsia="zh-CN" w:bidi="ar"/>
              </w:rPr>
              <w:t>18720</w:t>
            </w:r>
          </w:p>
        </w:tc>
        <w:tc>
          <w:tcPr>
            <w:tcW w:w="803" w:type="pct"/>
            <w:shd w:val="clear" w:color="auto" w:fill="auto"/>
            <w:vAlign w:val="center"/>
          </w:tcPr>
          <w:p w14:paraId="0CED7DB9">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color w:val="000000"/>
                <w:kern w:val="0"/>
                <w:sz w:val="21"/>
                <w:szCs w:val="21"/>
                <w:highlight w:val="none"/>
                <w:u w:val="none"/>
                <w:lang w:val="en-US" w:eastAsia="zh-CN" w:bidi="ar"/>
              </w:rPr>
              <w:t>18720</w:t>
            </w:r>
          </w:p>
        </w:tc>
        <w:tc>
          <w:tcPr>
            <w:tcW w:w="692" w:type="pct"/>
            <w:shd w:val="clear" w:color="auto" w:fill="auto"/>
            <w:vAlign w:val="center"/>
          </w:tcPr>
          <w:p w14:paraId="67790B0E">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0</w:t>
            </w:r>
          </w:p>
        </w:tc>
      </w:tr>
      <w:tr w14:paraId="690C0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76" w:type="pct"/>
            <w:vMerge w:val="continue"/>
            <w:shd w:val="clear" w:color="auto" w:fill="auto"/>
            <w:vAlign w:val="center"/>
          </w:tcPr>
          <w:p w14:paraId="7931A176">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highlight w:val="yellow"/>
                <w:u w:val="none"/>
              </w:rPr>
            </w:pPr>
          </w:p>
        </w:tc>
        <w:tc>
          <w:tcPr>
            <w:tcW w:w="883" w:type="pct"/>
            <w:vMerge w:val="continue"/>
            <w:shd w:val="clear" w:color="auto" w:fill="auto"/>
            <w:vAlign w:val="center"/>
          </w:tcPr>
          <w:p w14:paraId="0F692DFE">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highlight w:val="none"/>
                <w:u w:val="none"/>
              </w:rPr>
            </w:pPr>
          </w:p>
        </w:tc>
        <w:tc>
          <w:tcPr>
            <w:tcW w:w="1376" w:type="pct"/>
            <w:shd w:val="clear" w:color="auto" w:fill="auto"/>
            <w:vAlign w:val="center"/>
          </w:tcPr>
          <w:p w14:paraId="238D6EC3">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i w:val="0"/>
                <w:iCs w:val="0"/>
                <w:color w:val="000000"/>
                <w:sz w:val="21"/>
                <w:szCs w:val="21"/>
                <w:highlight w:val="none"/>
                <w:u w:val="none"/>
              </w:rPr>
            </w:pPr>
            <w:r>
              <w:rPr>
                <w:rFonts w:hint="eastAsia" w:ascii="Times New Roman" w:hAnsi="Times New Roman" w:eastAsia="宋体" w:cs="宋体"/>
                <w:i w:val="0"/>
                <w:iCs w:val="0"/>
                <w:color w:val="000000"/>
                <w:kern w:val="0"/>
                <w:sz w:val="21"/>
                <w:szCs w:val="21"/>
                <w:highlight w:val="none"/>
                <w:u w:val="none"/>
                <w:lang w:val="en-US" w:eastAsia="zh-CN" w:bidi="ar"/>
              </w:rPr>
              <w:t>颗粒物</w:t>
            </w:r>
          </w:p>
        </w:tc>
        <w:tc>
          <w:tcPr>
            <w:tcW w:w="867" w:type="pct"/>
            <w:shd w:val="clear" w:color="auto" w:fill="auto"/>
            <w:vAlign w:val="center"/>
          </w:tcPr>
          <w:p w14:paraId="7FE6E929">
            <w:pPr>
              <w:pStyle w:val="45"/>
              <w:bidi w:val="0"/>
              <w:rPr>
                <w:rFonts w:hint="default"/>
                <w:lang w:val="en-US"/>
              </w:rPr>
            </w:pPr>
            <w:r>
              <w:rPr>
                <w:rFonts w:hint="eastAsia"/>
                <w:lang w:val="en-US" w:eastAsia="zh-CN"/>
              </w:rPr>
              <w:t>56</w:t>
            </w:r>
          </w:p>
        </w:tc>
        <w:tc>
          <w:tcPr>
            <w:tcW w:w="803" w:type="pct"/>
            <w:shd w:val="clear" w:color="auto" w:fill="auto"/>
            <w:vAlign w:val="center"/>
          </w:tcPr>
          <w:p w14:paraId="2E7CE328">
            <w:pPr>
              <w:pStyle w:val="45"/>
              <w:bidi w:val="0"/>
              <w:rPr>
                <w:rFonts w:hint="default"/>
              </w:rPr>
            </w:pPr>
            <w:r>
              <w:rPr>
                <w:rFonts w:hint="eastAsia"/>
                <w:lang w:val="en-US" w:eastAsia="zh-CN"/>
              </w:rPr>
              <w:t>2.772</w:t>
            </w:r>
          </w:p>
        </w:tc>
        <w:tc>
          <w:tcPr>
            <w:tcW w:w="692" w:type="pct"/>
            <w:shd w:val="clear" w:color="auto" w:fill="auto"/>
            <w:vAlign w:val="center"/>
          </w:tcPr>
          <w:p w14:paraId="32F5EF58">
            <w:pPr>
              <w:pStyle w:val="45"/>
              <w:bidi w:val="0"/>
              <w:rPr>
                <w:rFonts w:hint="default"/>
                <w:lang w:val="en-US"/>
              </w:rPr>
            </w:pPr>
            <w:r>
              <w:rPr>
                <w:rFonts w:hint="eastAsia"/>
                <w:lang w:val="en-US" w:eastAsia="zh-CN"/>
              </w:rPr>
              <w:t>53.228</w:t>
            </w:r>
          </w:p>
        </w:tc>
      </w:tr>
      <w:tr w14:paraId="66D67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7" w:hRule="atLeast"/>
        </w:trPr>
        <w:tc>
          <w:tcPr>
            <w:tcW w:w="376" w:type="pct"/>
            <w:vMerge w:val="continue"/>
            <w:shd w:val="clear" w:color="auto" w:fill="auto"/>
            <w:vAlign w:val="center"/>
          </w:tcPr>
          <w:p w14:paraId="4D281A2D">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highlight w:val="yellow"/>
                <w:u w:val="none"/>
              </w:rPr>
            </w:pPr>
          </w:p>
        </w:tc>
        <w:tc>
          <w:tcPr>
            <w:tcW w:w="883" w:type="pct"/>
            <w:vMerge w:val="continue"/>
            <w:shd w:val="clear" w:color="auto" w:fill="auto"/>
            <w:vAlign w:val="center"/>
          </w:tcPr>
          <w:p w14:paraId="45414E32">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highlight w:val="none"/>
                <w:u w:val="none"/>
              </w:rPr>
            </w:pPr>
          </w:p>
        </w:tc>
        <w:tc>
          <w:tcPr>
            <w:tcW w:w="1376" w:type="pct"/>
            <w:shd w:val="clear" w:color="auto" w:fill="auto"/>
            <w:vAlign w:val="center"/>
          </w:tcPr>
          <w:p w14:paraId="2DAD9455">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i w:val="0"/>
                <w:iCs w:val="0"/>
                <w:color w:val="000000"/>
                <w:sz w:val="21"/>
                <w:szCs w:val="21"/>
                <w:highlight w:val="none"/>
                <w:u w:val="none"/>
              </w:rPr>
            </w:pPr>
            <w:r>
              <w:rPr>
                <w:rFonts w:hint="eastAsia" w:ascii="Times New Roman" w:hAnsi="Times New Roman" w:eastAsia="宋体" w:cs="宋体"/>
                <w:i w:val="0"/>
                <w:iCs w:val="0"/>
                <w:color w:val="000000"/>
                <w:kern w:val="0"/>
                <w:sz w:val="21"/>
                <w:szCs w:val="21"/>
                <w:highlight w:val="none"/>
                <w:u w:val="none"/>
                <w:lang w:val="en-US" w:eastAsia="zh-CN" w:bidi="ar"/>
              </w:rPr>
              <w:t>氯气</w:t>
            </w:r>
          </w:p>
        </w:tc>
        <w:tc>
          <w:tcPr>
            <w:tcW w:w="867" w:type="pct"/>
            <w:shd w:val="clear" w:color="auto" w:fill="auto"/>
            <w:vAlign w:val="center"/>
          </w:tcPr>
          <w:p w14:paraId="1FC51A94">
            <w:pPr>
              <w:pStyle w:val="45"/>
              <w:bidi w:val="0"/>
              <w:rPr>
                <w:rFonts w:hint="default"/>
                <w:lang w:val="en-US"/>
              </w:rPr>
            </w:pPr>
            <w:r>
              <w:rPr>
                <w:rFonts w:hint="eastAsia"/>
                <w:lang w:val="en-US" w:eastAsia="zh-CN"/>
              </w:rPr>
              <w:t>12.0205</w:t>
            </w:r>
          </w:p>
        </w:tc>
        <w:tc>
          <w:tcPr>
            <w:tcW w:w="803" w:type="pct"/>
            <w:shd w:val="clear" w:color="auto" w:fill="auto"/>
            <w:vAlign w:val="center"/>
          </w:tcPr>
          <w:p w14:paraId="1B781840">
            <w:pPr>
              <w:pStyle w:val="45"/>
              <w:bidi w:val="0"/>
              <w:rPr>
                <w:rFonts w:hint="default"/>
              </w:rPr>
            </w:pPr>
            <w:r>
              <w:rPr>
                <w:rFonts w:hint="eastAsia"/>
                <w:lang w:val="en-US" w:eastAsia="zh-CN"/>
              </w:rPr>
              <w:t>0.2624</w:t>
            </w:r>
          </w:p>
        </w:tc>
        <w:tc>
          <w:tcPr>
            <w:tcW w:w="692" w:type="pct"/>
            <w:shd w:val="clear" w:color="auto" w:fill="auto"/>
            <w:vAlign w:val="center"/>
          </w:tcPr>
          <w:p w14:paraId="7F6395D6">
            <w:pPr>
              <w:pStyle w:val="45"/>
              <w:bidi w:val="0"/>
              <w:rPr>
                <w:rFonts w:hint="default"/>
                <w:lang w:val="en-US"/>
              </w:rPr>
            </w:pPr>
            <w:r>
              <w:rPr>
                <w:rFonts w:hint="eastAsia"/>
                <w:lang w:val="en-US" w:eastAsia="zh-CN"/>
              </w:rPr>
              <w:t>11.7581</w:t>
            </w:r>
          </w:p>
        </w:tc>
      </w:tr>
      <w:tr w14:paraId="54DBC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7" w:hRule="atLeast"/>
        </w:trPr>
        <w:tc>
          <w:tcPr>
            <w:tcW w:w="376" w:type="pct"/>
            <w:vMerge w:val="continue"/>
            <w:shd w:val="clear" w:color="auto" w:fill="auto"/>
            <w:vAlign w:val="center"/>
          </w:tcPr>
          <w:p w14:paraId="63AB596C">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highlight w:val="yellow"/>
                <w:u w:val="none"/>
              </w:rPr>
            </w:pPr>
          </w:p>
        </w:tc>
        <w:tc>
          <w:tcPr>
            <w:tcW w:w="883" w:type="pct"/>
            <w:vMerge w:val="continue"/>
            <w:shd w:val="clear" w:color="auto" w:fill="auto"/>
            <w:vAlign w:val="center"/>
          </w:tcPr>
          <w:p w14:paraId="028FC567">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highlight w:val="none"/>
                <w:u w:val="none"/>
              </w:rPr>
            </w:pPr>
          </w:p>
        </w:tc>
        <w:tc>
          <w:tcPr>
            <w:tcW w:w="1376" w:type="pct"/>
            <w:shd w:val="clear" w:color="auto" w:fill="auto"/>
            <w:vAlign w:val="center"/>
          </w:tcPr>
          <w:p w14:paraId="16FAAE20">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i w:val="0"/>
                <w:iCs w:val="0"/>
                <w:color w:val="000000"/>
                <w:sz w:val="21"/>
                <w:szCs w:val="21"/>
                <w:highlight w:val="none"/>
                <w:u w:val="none"/>
              </w:rPr>
            </w:pPr>
            <w:r>
              <w:rPr>
                <w:rFonts w:hint="eastAsia" w:ascii="Times New Roman" w:hAnsi="Times New Roman" w:eastAsia="宋体" w:cs="宋体"/>
                <w:i w:val="0"/>
                <w:iCs w:val="0"/>
                <w:color w:val="000000"/>
                <w:kern w:val="0"/>
                <w:sz w:val="21"/>
                <w:szCs w:val="21"/>
                <w:highlight w:val="none"/>
                <w:u w:val="none"/>
                <w:lang w:val="en-US" w:eastAsia="zh-CN" w:bidi="ar"/>
              </w:rPr>
              <w:t>氯化氢</w:t>
            </w:r>
          </w:p>
        </w:tc>
        <w:tc>
          <w:tcPr>
            <w:tcW w:w="867" w:type="pct"/>
            <w:shd w:val="clear" w:color="auto" w:fill="auto"/>
            <w:vAlign w:val="center"/>
          </w:tcPr>
          <w:p w14:paraId="1BE35164">
            <w:pPr>
              <w:pStyle w:val="45"/>
              <w:bidi w:val="0"/>
              <w:rPr>
                <w:rFonts w:hint="default"/>
                <w:lang w:val="en-US"/>
              </w:rPr>
            </w:pPr>
            <w:r>
              <w:rPr>
                <w:rFonts w:hint="eastAsia"/>
                <w:lang w:val="en-US" w:eastAsia="zh-CN"/>
              </w:rPr>
              <w:t>12.8609</w:t>
            </w:r>
          </w:p>
        </w:tc>
        <w:tc>
          <w:tcPr>
            <w:tcW w:w="803" w:type="pct"/>
            <w:shd w:val="clear" w:color="auto" w:fill="auto"/>
            <w:vAlign w:val="center"/>
          </w:tcPr>
          <w:p w14:paraId="6876C61B">
            <w:pPr>
              <w:pStyle w:val="45"/>
              <w:bidi w:val="0"/>
              <w:rPr>
                <w:rFonts w:hint="default"/>
              </w:rPr>
            </w:pPr>
            <w:r>
              <w:rPr>
                <w:rFonts w:hint="eastAsia"/>
                <w:lang w:val="en-US" w:eastAsia="zh-CN"/>
              </w:rPr>
              <w:t>0.394</w:t>
            </w:r>
          </w:p>
        </w:tc>
        <w:tc>
          <w:tcPr>
            <w:tcW w:w="692" w:type="pct"/>
            <w:shd w:val="clear" w:color="auto" w:fill="auto"/>
            <w:vAlign w:val="center"/>
          </w:tcPr>
          <w:p w14:paraId="736E8276">
            <w:pPr>
              <w:pStyle w:val="45"/>
              <w:bidi w:val="0"/>
              <w:rPr>
                <w:rFonts w:hint="default"/>
                <w:lang w:val="en-US"/>
              </w:rPr>
            </w:pPr>
            <w:r>
              <w:rPr>
                <w:rFonts w:hint="eastAsia"/>
                <w:lang w:val="en-US" w:eastAsia="zh-CN"/>
              </w:rPr>
              <w:t>12.4669</w:t>
            </w:r>
          </w:p>
        </w:tc>
      </w:tr>
      <w:tr w14:paraId="41AC4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7" w:hRule="atLeast"/>
        </w:trPr>
        <w:tc>
          <w:tcPr>
            <w:tcW w:w="376" w:type="pct"/>
            <w:vMerge w:val="continue"/>
            <w:shd w:val="clear" w:color="auto" w:fill="auto"/>
            <w:vAlign w:val="center"/>
          </w:tcPr>
          <w:p w14:paraId="0DCAF59A">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highlight w:val="yellow"/>
                <w:u w:val="none"/>
              </w:rPr>
            </w:pPr>
          </w:p>
        </w:tc>
        <w:tc>
          <w:tcPr>
            <w:tcW w:w="883" w:type="pct"/>
            <w:vMerge w:val="restart"/>
            <w:shd w:val="clear" w:color="auto" w:fill="auto"/>
            <w:vAlign w:val="center"/>
          </w:tcPr>
          <w:p w14:paraId="3760C970">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i w:val="0"/>
                <w:iCs w:val="0"/>
                <w:color w:val="000000"/>
                <w:kern w:val="0"/>
                <w:sz w:val="21"/>
                <w:szCs w:val="21"/>
                <w:highlight w:val="none"/>
                <w:u w:val="none"/>
                <w:lang w:val="en-US" w:eastAsia="zh-CN" w:bidi="ar"/>
              </w:rPr>
            </w:pPr>
            <w:r>
              <w:rPr>
                <w:rFonts w:hint="eastAsia" w:ascii="Times New Roman" w:hAnsi="Times New Roman" w:eastAsia="宋体" w:cs="宋体"/>
                <w:i w:val="0"/>
                <w:iCs w:val="0"/>
                <w:color w:val="000000"/>
                <w:kern w:val="0"/>
                <w:sz w:val="21"/>
                <w:szCs w:val="21"/>
                <w:highlight w:val="none"/>
                <w:u w:val="none"/>
                <w:lang w:val="en-US" w:eastAsia="zh-CN" w:bidi="ar"/>
              </w:rPr>
              <w:t>工艺废气</w:t>
            </w:r>
          </w:p>
          <w:p w14:paraId="5C0CA2DE">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i w:val="0"/>
                <w:iCs w:val="0"/>
                <w:color w:val="000000"/>
                <w:sz w:val="21"/>
                <w:szCs w:val="21"/>
                <w:highlight w:val="none"/>
                <w:u w:val="none"/>
              </w:rPr>
            </w:pPr>
            <w:r>
              <w:rPr>
                <w:rFonts w:hint="eastAsia" w:ascii="Times New Roman" w:hAnsi="Times New Roman" w:eastAsia="宋体" w:cs="宋体"/>
                <w:i w:val="0"/>
                <w:iCs w:val="0"/>
                <w:color w:val="000000"/>
                <w:kern w:val="0"/>
                <w:sz w:val="21"/>
                <w:szCs w:val="21"/>
                <w:highlight w:val="none"/>
                <w:u w:val="none"/>
                <w:lang w:val="en-US" w:eastAsia="zh-CN" w:bidi="ar"/>
              </w:rPr>
              <w:t>（无组织）</w:t>
            </w:r>
          </w:p>
        </w:tc>
        <w:tc>
          <w:tcPr>
            <w:tcW w:w="1376" w:type="pct"/>
            <w:shd w:val="clear" w:color="auto" w:fill="auto"/>
            <w:vAlign w:val="center"/>
          </w:tcPr>
          <w:p w14:paraId="5B68ECA9">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i w:val="0"/>
                <w:iCs w:val="0"/>
                <w:color w:val="000000"/>
                <w:sz w:val="21"/>
                <w:szCs w:val="21"/>
                <w:highlight w:val="none"/>
                <w:u w:val="none"/>
              </w:rPr>
            </w:pPr>
            <w:r>
              <w:rPr>
                <w:rFonts w:hint="eastAsia" w:ascii="Times New Roman" w:hAnsi="Times New Roman" w:eastAsia="宋体" w:cs="宋体"/>
                <w:i w:val="0"/>
                <w:iCs w:val="0"/>
                <w:color w:val="000000"/>
                <w:kern w:val="0"/>
                <w:sz w:val="21"/>
                <w:szCs w:val="21"/>
                <w:highlight w:val="none"/>
                <w:u w:val="none"/>
                <w:lang w:val="en-US" w:eastAsia="zh-CN" w:bidi="ar"/>
              </w:rPr>
              <w:t>颗粒物</w:t>
            </w:r>
          </w:p>
        </w:tc>
        <w:tc>
          <w:tcPr>
            <w:tcW w:w="867" w:type="pct"/>
            <w:shd w:val="clear" w:color="auto" w:fill="auto"/>
            <w:vAlign w:val="center"/>
          </w:tcPr>
          <w:p w14:paraId="77A4230A">
            <w:pPr>
              <w:pStyle w:val="45"/>
              <w:bidi w:val="0"/>
              <w:rPr>
                <w:rFonts w:hint="default"/>
              </w:rPr>
            </w:pPr>
            <w:r>
              <w:rPr>
                <w:rFonts w:hint="eastAsia"/>
                <w:lang w:val="en-US" w:eastAsia="zh-CN"/>
              </w:rPr>
              <w:t>4.012</w:t>
            </w:r>
          </w:p>
        </w:tc>
        <w:tc>
          <w:tcPr>
            <w:tcW w:w="803" w:type="pct"/>
            <w:shd w:val="clear" w:color="auto" w:fill="auto"/>
            <w:vAlign w:val="center"/>
          </w:tcPr>
          <w:p w14:paraId="7F445DF4">
            <w:pPr>
              <w:pStyle w:val="45"/>
              <w:bidi w:val="0"/>
              <w:rPr>
                <w:rFonts w:hint="default"/>
                <w:lang w:val="en-US"/>
              </w:rPr>
            </w:pPr>
            <w:r>
              <w:rPr>
                <w:rFonts w:hint="eastAsia"/>
                <w:lang w:val="en-US" w:eastAsia="zh-CN"/>
              </w:rPr>
              <w:t>4.012</w:t>
            </w:r>
          </w:p>
        </w:tc>
        <w:tc>
          <w:tcPr>
            <w:tcW w:w="692" w:type="pct"/>
            <w:shd w:val="clear" w:color="auto" w:fill="auto"/>
            <w:vAlign w:val="center"/>
          </w:tcPr>
          <w:p w14:paraId="72E49FB2">
            <w:pPr>
              <w:pStyle w:val="45"/>
              <w:bidi w:val="0"/>
              <w:rPr>
                <w:rFonts w:hint="default"/>
              </w:rPr>
            </w:pPr>
            <w:r>
              <w:rPr>
                <w:rFonts w:hint="eastAsia"/>
                <w:lang w:val="en-US" w:eastAsia="zh-CN"/>
              </w:rPr>
              <w:t>0</w:t>
            </w:r>
          </w:p>
        </w:tc>
      </w:tr>
      <w:tr w14:paraId="05699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7" w:hRule="atLeast"/>
        </w:trPr>
        <w:tc>
          <w:tcPr>
            <w:tcW w:w="376" w:type="pct"/>
            <w:vMerge w:val="continue"/>
            <w:shd w:val="clear" w:color="auto" w:fill="auto"/>
            <w:vAlign w:val="center"/>
          </w:tcPr>
          <w:p w14:paraId="211F41D2">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highlight w:val="yellow"/>
                <w:u w:val="none"/>
              </w:rPr>
            </w:pPr>
          </w:p>
        </w:tc>
        <w:tc>
          <w:tcPr>
            <w:tcW w:w="883" w:type="pct"/>
            <w:vMerge w:val="continue"/>
            <w:shd w:val="clear" w:color="auto" w:fill="auto"/>
            <w:vAlign w:val="center"/>
          </w:tcPr>
          <w:p w14:paraId="157D9F98">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i w:val="0"/>
                <w:iCs w:val="0"/>
                <w:color w:val="000000"/>
                <w:sz w:val="21"/>
                <w:szCs w:val="21"/>
                <w:highlight w:val="none"/>
                <w:u w:val="none"/>
              </w:rPr>
            </w:pPr>
          </w:p>
        </w:tc>
        <w:tc>
          <w:tcPr>
            <w:tcW w:w="1376" w:type="pct"/>
            <w:shd w:val="clear" w:color="auto" w:fill="auto"/>
            <w:vAlign w:val="center"/>
          </w:tcPr>
          <w:p w14:paraId="01FEBCB7">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i w:val="0"/>
                <w:iCs w:val="0"/>
                <w:color w:val="000000"/>
                <w:sz w:val="21"/>
                <w:szCs w:val="21"/>
                <w:highlight w:val="none"/>
                <w:u w:val="none"/>
              </w:rPr>
            </w:pPr>
            <w:r>
              <w:rPr>
                <w:rFonts w:hint="eastAsia" w:ascii="Times New Roman" w:hAnsi="Times New Roman" w:eastAsia="宋体" w:cs="宋体"/>
                <w:i w:val="0"/>
                <w:iCs w:val="0"/>
                <w:color w:val="000000"/>
                <w:kern w:val="0"/>
                <w:sz w:val="21"/>
                <w:szCs w:val="21"/>
                <w:highlight w:val="none"/>
                <w:u w:val="none"/>
                <w:lang w:val="en-US" w:eastAsia="zh-CN" w:bidi="ar"/>
              </w:rPr>
              <w:t>氯气</w:t>
            </w:r>
          </w:p>
        </w:tc>
        <w:tc>
          <w:tcPr>
            <w:tcW w:w="867" w:type="pct"/>
            <w:shd w:val="clear" w:color="auto" w:fill="auto"/>
            <w:vAlign w:val="center"/>
          </w:tcPr>
          <w:p w14:paraId="6E03B054">
            <w:pPr>
              <w:pStyle w:val="45"/>
              <w:bidi w:val="0"/>
              <w:rPr>
                <w:rFonts w:hint="default"/>
              </w:rPr>
            </w:pPr>
            <w:r>
              <w:rPr>
                <w:rFonts w:hint="eastAsia"/>
                <w:lang w:val="en-US" w:eastAsia="zh-CN"/>
              </w:rPr>
              <w:t>0.006</w:t>
            </w:r>
          </w:p>
        </w:tc>
        <w:tc>
          <w:tcPr>
            <w:tcW w:w="803" w:type="pct"/>
            <w:shd w:val="clear" w:color="auto" w:fill="auto"/>
            <w:vAlign w:val="center"/>
          </w:tcPr>
          <w:p w14:paraId="5B2C63E8">
            <w:pPr>
              <w:pStyle w:val="45"/>
              <w:bidi w:val="0"/>
              <w:rPr>
                <w:rFonts w:hint="default"/>
                <w:lang w:val="en-US"/>
              </w:rPr>
            </w:pPr>
            <w:r>
              <w:rPr>
                <w:rFonts w:hint="eastAsia"/>
                <w:lang w:val="en-US" w:eastAsia="zh-CN"/>
              </w:rPr>
              <w:t>0.006</w:t>
            </w:r>
          </w:p>
        </w:tc>
        <w:tc>
          <w:tcPr>
            <w:tcW w:w="692" w:type="pct"/>
            <w:shd w:val="clear" w:color="auto" w:fill="auto"/>
            <w:vAlign w:val="center"/>
          </w:tcPr>
          <w:p w14:paraId="434851B3">
            <w:pPr>
              <w:pStyle w:val="45"/>
              <w:bidi w:val="0"/>
              <w:rPr>
                <w:rFonts w:hint="default"/>
              </w:rPr>
            </w:pPr>
            <w:r>
              <w:rPr>
                <w:rFonts w:hint="eastAsia"/>
                <w:lang w:val="en-US" w:eastAsia="zh-CN"/>
              </w:rPr>
              <w:t>0</w:t>
            </w:r>
          </w:p>
        </w:tc>
      </w:tr>
      <w:tr w14:paraId="4EEC6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76" w:type="pct"/>
            <w:vMerge w:val="continue"/>
            <w:shd w:val="clear" w:color="auto" w:fill="auto"/>
            <w:vAlign w:val="center"/>
          </w:tcPr>
          <w:p w14:paraId="5D46B802">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highlight w:val="yellow"/>
                <w:u w:val="none"/>
              </w:rPr>
            </w:pPr>
          </w:p>
        </w:tc>
        <w:tc>
          <w:tcPr>
            <w:tcW w:w="883" w:type="pct"/>
            <w:vMerge w:val="continue"/>
            <w:shd w:val="clear" w:color="auto" w:fill="auto"/>
            <w:noWrap/>
            <w:vAlign w:val="center"/>
          </w:tcPr>
          <w:p w14:paraId="241897C9">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2"/>
                <w:highlight w:val="none"/>
                <w:u w:val="none"/>
              </w:rPr>
            </w:pPr>
          </w:p>
        </w:tc>
        <w:tc>
          <w:tcPr>
            <w:tcW w:w="1376" w:type="pct"/>
            <w:shd w:val="clear" w:color="auto" w:fill="auto"/>
            <w:vAlign w:val="center"/>
          </w:tcPr>
          <w:p w14:paraId="4357BA75">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宋体"/>
                <w:i w:val="0"/>
                <w:iCs w:val="0"/>
                <w:color w:val="000000"/>
                <w:sz w:val="21"/>
                <w:szCs w:val="21"/>
                <w:highlight w:val="none"/>
                <w:u w:val="none"/>
              </w:rPr>
            </w:pPr>
            <w:r>
              <w:rPr>
                <w:rFonts w:hint="eastAsia" w:ascii="Times New Roman" w:hAnsi="Times New Roman" w:eastAsia="宋体" w:cs="宋体"/>
                <w:i w:val="0"/>
                <w:iCs w:val="0"/>
                <w:color w:val="000000"/>
                <w:kern w:val="0"/>
                <w:sz w:val="21"/>
                <w:szCs w:val="21"/>
                <w:highlight w:val="none"/>
                <w:u w:val="none"/>
                <w:lang w:val="en-US" w:eastAsia="zh-CN" w:bidi="ar"/>
              </w:rPr>
              <w:t>氯化氢</w:t>
            </w:r>
          </w:p>
        </w:tc>
        <w:tc>
          <w:tcPr>
            <w:tcW w:w="867" w:type="pct"/>
            <w:shd w:val="clear" w:color="auto" w:fill="auto"/>
            <w:vAlign w:val="center"/>
          </w:tcPr>
          <w:p w14:paraId="3ADD30AF">
            <w:pPr>
              <w:pStyle w:val="45"/>
              <w:bidi w:val="0"/>
              <w:rPr>
                <w:rFonts w:hint="default"/>
                <w:lang w:val="en-US"/>
              </w:rPr>
            </w:pPr>
            <w:r>
              <w:rPr>
                <w:rFonts w:hint="eastAsia"/>
                <w:lang w:val="en-US" w:eastAsia="zh-CN"/>
              </w:rPr>
              <w:t>0.045612</w:t>
            </w:r>
          </w:p>
        </w:tc>
        <w:tc>
          <w:tcPr>
            <w:tcW w:w="803" w:type="pct"/>
            <w:shd w:val="clear" w:color="auto" w:fill="auto"/>
            <w:vAlign w:val="center"/>
          </w:tcPr>
          <w:p w14:paraId="695D4E6D">
            <w:pPr>
              <w:pStyle w:val="45"/>
              <w:bidi w:val="0"/>
              <w:rPr>
                <w:rFonts w:hint="default"/>
                <w:lang w:val="en-US"/>
              </w:rPr>
            </w:pPr>
            <w:r>
              <w:rPr>
                <w:rFonts w:hint="eastAsia"/>
                <w:lang w:val="en-US" w:eastAsia="zh-CN"/>
              </w:rPr>
              <w:t>0.0102312</w:t>
            </w:r>
          </w:p>
        </w:tc>
        <w:tc>
          <w:tcPr>
            <w:tcW w:w="692" w:type="pct"/>
            <w:shd w:val="clear" w:color="auto" w:fill="auto"/>
            <w:vAlign w:val="center"/>
          </w:tcPr>
          <w:p w14:paraId="035B675C">
            <w:pPr>
              <w:pStyle w:val="45"/>
              <w:bidi w:val="0"/>
              <w:rPr>
                <w:rFonts w:hint="default"/>
                <w:lang w:val="en-US"/>
              </w:rPr>
            </w:pPr>
            <w:r>
              <w:rPr>
                <w:rFonts w:hint="eastAsia"/>
                <w:lang w:val="en-US" w:eastAsia="zh-CN"/>
              </w:rPr>
              <w:t>0.0353808</w:t>
            </w:r>
          </w:p>
        </w:tc>
      </w:tr>
      <w:tr w14:paraId="1A0DB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7" w:hRule="atLeast"/>
        </w:trPr>
        <w:tc>
          <w:tcPr>
            <w:tcW w:w="376" w:type="pct"/>
            <w:vMerge w:val="restart"/>
            <w:shd w:val="clear" w:color="auto" w:fill="auto"/>
            <w:vAlign w:val="center"/>
          </w:tcPr>
          <w:p w14:paraId="6991CFFE">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lang w:val="en-US" w:eastAsia="zh-CN"/>
              </w:rPr>
            </w:pPr>
            <w:r>
              <w:rPr>
                <w:rFonts w:hint="eastAsia" w:cs="宋体"/>
                <w:i w:val="0"/>
                <w:iCs w:val="0"/>
                <w:color w:val="000000"/>
                <w:sz w:val="21"/>
                <w:szCs w:val="21"/>
                <w:u w:val="none"/>
                <w:lang w:val="en-US" w:eastAsia="zh-CN"/>
              </w:rPr>
              <w:t>固体废物</w:t>
            </w:r>
          </w:p>
        </w:tc>
        <w:tc>
          <w:tcPr>
            <w:tcW w:w="883" w:type="pct"/>
            <w:shd w:val="clear" w:color="auto" w:fill="auto"/>
            <w:vAlign w:val="center"/>
          </w:tcPr>
          <w:p w14:paraId="0BCAD131">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lang w:val="en-US" w:eastAsia="zh-CN"/>
              </w:rPr>
            </w:pPr>
            <w:r>
              <w:rPr>
                <w:rFonts w:hint="eastAsia" w:cs="宋体"/>
                <w:i w:val="0"/>
                <w:iCs w:val="0"/>
                <w:color w:val="000000"/>
                <w:sz w:val="21"/>
                <w:szCs w:val="21"/>
                <w:u w:val="none"/>
                <w:lang w:val="en-US" w:eastAsia="zh-CN"/>
              </w:rPr>
              <w:t>生活垃圾</w:t>
            </w:r>
          </w:p>
        </w:tc>
        <w:tc>
          <w:tcPr>
            <w:tcW w:w="1376" w:type="pct"/>
            <w:shd w:val="clear" w:color="auto" w:fill="auto"/>
            <w:noWrap/>
            <w:vAlign w:val="center"/>
          </w:tcPr>
          <w:p w14:paraId="264AAAC2">
            <w:pPr>
              <w:pStyle w:val="45"/>
              <w:bidi w:val="0"/>
              <w:rPr>
                <w:rFonts w:hint="eastAsia"/>
                <w:lang w:val="en-US" w:eastAsia="zh-CN"/>
              </w:rPr>
            </w:pPr>
            <w:r>
              <w:rPr>
                <w:rFonts w:hint="eastAsia"/>
                <w:lang w:val="en-US" w:eastAsia="zh-CN"/>
              </w:rPr>
              <w:t>生活垃圾</w:t>
            </w:r>
          </w:p>
        </w:tc>
        <w:tc>
          <w:tcPr>
            <w:tcW w:w="867" w:type="pct"/>
            <w:shd w:val="clear" w:color="auto" w:fill="auto"/>
            <w:noWrap/>
            <w:vAlign w:val="center"/>
          </w:tcPr>
          <w:p w14:paraId="01BB5099">
            <w:pPr>
              <w:pStyle w:val="45"/>
              <w:bidi w:val="0"/>
              <w:rPr>
                <w:rFonts w:hint="eastAsia"/>
                <w:lang w:val="en-US" w:eastAsia="zh-CN"/>
              </w:rPr>
            </w:pPr>
            <w:r>
              <w:rPr>
                <w:rFonts w:hint="default"/>
                <w:lang w:val="en-US" w:eastAsia="zh-CN"/>
              </w:rPr>
              <w:t>9.75</w:t>
            </w:r>
          </w:p>
        </w:tc>
        <w:tc>
          <w:tcPr>
            <w:tcW w:w="803" w:type="pct"/>
            <w:shd w:val="clear" w:color="auto" w:fill="auto"/>
            <w:vAlign w:val="center"/>
          </w:tcPr>
          <w:p w14:paraId="2A91F64C">
            <w:pPr>
              <w:keepNext w:val="0"/>
              <w:keepLines w:val="0"/>
              <w:widowControl/>
              <w:suppressLineNumbers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w:t>
            </w:r>
          </w:p>
        </w:tc>
        <w:tc>
          <w:tcPr>
            <w:tcW w:w="692" w:type="pct"/>
            <w:shd w:val="clear" w:color="auto" w:fill="auto"/>
            <w:noWrap/>
            <w:vAlign w:val="center"/>
          </w:tcPr>
          <w:p w14:paraId="37316B09">
            <w:pPr>
              <w:pStyle w:val="45"/>
              <w:bidi w:val="0"/>
              <w:ind w:firstLine="0" w:firstLineChars="0"/>
              <w:rPr>
                <w:rFonts w:hint="eastAsia" w:ascii="Times New Roman" w:hAnsi="Times New Roman" w:eastAsia="宋体" w:cs="宋体"/>
                <w:i w:val="0"/>
                <w:iCs w:val="0"/>
                <w:color w:val="000000"/>
                <w:kern w:val="0"/>
                <w:sz w:val="21"/>
                <w:szCs w:val="22"/>
                <w:u w:val="none"/>
                <w:lang w:val="en-US" w:eastAsia="zh-CN" w:bidi="ar"/>
              </w:rPr>
            </w:pPr>
            <w:r>
              <w:rPr>
                <w:rFonts w:hint="default"/>
                <w:lang w:val="en-US" w:eastAsia="zh-CN"/>
              </w:rPr>
              <w:t>9.75</w:t>
            </w:r>
          </w:p>
        </w:tc>
      </w:tr>
      <w:tr w14:paraId="4CEF3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76" w:type="pct"/>
            <w:vMerge w:val="continue"/>
            <w:shd w:val="clear" w:color="auto" w:fill="auto"/>
            <w:vAlign w:val="center"/>
          </w:tcPr>
          <w:p w14:paraId="4594A077">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883" w:type="pct"/>
            <w:vMerge w:val="restart"/>
            <w:shd w:val="clear" w:color="auto" w:fill="auto"/>
            <w:vAlign w:val="center"/>
          </w:tcPr>
          <w:p w14:paraId="5124AA34">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lang w:val="en-US" w:eastAsia="zh-CN"/>
              </w:rPr>
            </w:pPr>
            <w:r>
              <w:rPr>
                <w:rFonts w:hint="eastAsia" w:cs="宋体"/>
                <w:i w:val="0"/>
                <w:iCs w:val="0"/>
                <w:color w:val="000000"/>
                <w:sz w:val="21"/>
                <w:szCs w:val="21"/>
                <w:u w:val="none"/>
                <w:lang w:val="en-US" w:eastAsia="zh-CN"/>
              </w:rPr>
              <w:t>一般工业固废</w:t>
            </w:r>
          </w:p>
        </w:tc>
        <w:tc>
          <w:tcPr>
            <w:tcW w:w="1376" w:type="pct"/>
            <w:shd w:val="clear" w:color="auto" w:fill="auto"/>
            <w:noWrap/>
            <w:vAlign w:val="center"/>
          </w:tcPr>
          <w:p w14:paraId="7F16A5C9">
            <w:pPr>
              <w:pStyle w:val="45"/>
              <w:bidi w:val="0"/>
              <w:rPr>
                <w:rFonts w:hint="eastAsia"/>
                <w:lang w:val="en-US" w:eastAsia="zh-CN"/>
              </w:rPr>
            </w:pPr>
            <w:r>
              <w:rPr>
                <w:rFonts w:hint="eastAsia"/>
                <w:lang w:val="en-US" w:eastAsia="zh-CN"/>
              </w:rPr>
              <w:t>布袋收集粉尘</w:t>
            </w:r>
          </w:p>
        </w:tc>
        <w:tc>
          <w:tcPr>
            <w:tcW w:w="867" w:type="pct"/>
            <w:shd w:val="clear" w:color="auto" w:fill="auto"/>
            <w:noWrap/>
            <w:vAlign w:val="center"/>
          </w:tcPr>
          <w:p w14:paraId="5DD5B005">
            <w:pPr>
              <w:pStyle w:val="45"/>
              <w:bidi w:val="0"/>
              <w:rPr>
                <w:rFonts w:hint="eastAsia"/>
                <w:lang w:val="en-US" w:eastAsia="zh-CN"/>
              </w:rPr>
            </w:pPr>
            <w:r>
              <w:rPr>
                <w:rFonts w:hint="default"/>
                <w:lang w:val="en-US" w:eastAsia="zh-CN"/>
              </w:rPr>
              <w:t>52.668</w:t>
            </w:r>
          </w:p>
        </w:tc>
        <w:tc>
          <w:tcPr>
            <w:tcW w:w="803" w:type="pct"/>
            <w:shd w:val="clear" w:color="auto" w:fill="auto"/>
            <w:vAlign w:val="center"/>
          </w:tcPr>
          <w:p w14:paraId="51097E2E">
            <w:pPr>
              <w:pStyle w:val="45"/>
              <w:bidi w:val="0"/>
              <w:rPr>
                <w:rFonts w:hint="default"/>
                <w:lang w:val="en-US" w:eastAsia="zh-CN"/>
              </w:rPr>
            </w:pPr>
            <w:r>
              <w:rPr>
                <w:rFonts w:hint="eastAsia"/>
                <w:lang w:val="en-US" w:eastAsia="zh-CN"/>
              </w:rPr>
              <w:t>0</w:t>
            </w:r>
          </w:p>
        </w:tc>
        <w:tc>
          <w:tcPr>
            <w:tcW w:w="692" w:type="pct"/>
            <w:shd w:val="clear" w:color="auto" w:fill="auto"/>
            <w:noWrap/>
            <w:vAlign w:val="center"/>
          </w:tcPr>
          <w:p w14:paraId="373C8E1A">
            <w:pPr>
              <w:pStyle w:val="45"/>
              <w:bidi w:val="0"/>
              <w:ind w:firstLine="0" w:firstLineChars="0"/>
              <w:rPr>
                <w:rFonts w:hint="eastAsia" w:ascii="Times New Roman" w:hAnsi="Times New Roman" w:eastAsia="宋体" w:cs="宋体"/>
                <w:i w:val="0"/>
                <w:iCs w:val="0"/>
                <w:color w:val="000000"/>
                <w:kern w:val="0"/>
                <w:sz w:val="21"/>
                <w:szCs w:val="22"/>
                <w:u w:val="none"/>
                <w:lang w:val="en-US" w:eastAsia="zh-CN" w:bidi="ar"/>
              </w:rPr>
            </w:pPr>
            <w:r>
              <w:rPr>
                <w:rFonts w:hint="default"/>
                <w:lang w:val="en-US" w:eastAsia="zh-CN"/>
              </w:rPr>
              <w:t>52.668</w:t>
            </w:r>
          </w:p>
        </w:tc>
      </w:tr>
      <w:tr w14:paraId="7768E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7" w:hRule="atLeast"/>
        </w:trPr>
        <w:tc>
          <w:tcPr>
            <w:tcW w:w="376" w:type="pct"/>
            <w:vMerge w:val="continue"/>
            <w:shd w:val="clear" w:color="auto" w:fill="auto"/>
            <w:vAlign w:val="center"/>
          </w:tcPr>
          <w:p w14:paraId="2AFD3CD8">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883" w:type="pct"/>
            <w:vMerge w:val="continue"/>
            <w:shd w:val="clear" w:color="auto" w:fill="auto"/>
            <w:vAlign w:val="center"/>
          </w:tcPr>
          <w:p w14:paraId="6E462389">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1376" w:type="pct"/>
            <w:shd w:val="clear" w:color="auto" w:fill="auto"/>
            <w:noWrap/>
            <w:vAlign w:val="center"/>
          </w:tcPr>
          <w:p w14:paraId="291B8F32">
            <w:pPr>
              <w:pStyle w:val="45"/>
              <w:bidi w:val="0"/>
              <w:rPr>
                <w:rFonts w:hint="eastAsia"/>
                <w:lang w:val="en-US" w:eastAsia="zh-CN"/>
              </w:rPr>
            </w:pPr>
            <w:r>
              <w:rPr>
                <w:rFonts w:hint="eastAsia"/>
                <w:lang w:val="en-US" w:eastAsia="zh-CN"/>
              </w:rPr>
              <w:t>普通废包装</w:t>
            </w:r>
          </w:p>
        </w:tc>
        <w:tc>
          <w:tcPr>
            <w:tcW w:w="867" w:type="pct"/>
            <w:shd w:val="clear" w:color="auto" w:fill="auto"/>
            <w:noWrap/>
            <w:vAlign w:val="center"/>
          </w:tcPr>
          <w:p w14:paraId="3C1BBADD">
            <w:pPr>
              <w:pStyle w:val="45"/>
              <w:bidi w:val="0"/>
              <w:rPr>
                <w:rFonts w:hint="eastAsia"/>
                <w:lang w:val="en-US" w:eastAsia="zh-CN"/>
              </w:rPr>
            </w:pPr>
            <w:r>
              <w:rPr>
                <w:rFonts w:hint="default"/>
                <w:lang w:val="en-US" w:eastAsia="zh-CN"/>
              </w:rPr>
              <w:t>6.2</w:t>
            </w:r>
          </w:p>
        </w:tc>
        <w:tc>
          <w:tcPr>
            <w:tcW w:w="803" w:type="pct"/>
            <w:shd w:val="clear" w:color="auto" w:fill="auto"/>
            <w:vAlign w:val="center"/>
          </w:tcPr>
          <w:p w14:paraId="1E154D32">
            <w:pPr>
              <w:pStyle w:val="45"/>
              <w:bidi w:val="0"/>
              <w:rPr>
                <w:rFonts w:hint="default"/>
                <w:lang w:val="en-US" w:eastAsia="zh-CN"/>
              </w:rPr>
            </w:pPr>
            <w:r>
              <w:rPr>
                <w:rFonts w:hint="eastAsia"/>
                <w:lang w:val="en-US" w:eastAsia="zh-CN"/>
              </w:rPr>
              <w:t>0</w:t>
            </w:r>
          </w:p>
        </w:tc>
        <w:tc>
          <w:tcPr>
            <w:tcW w:w="692" w:type="pct"/>
            <w:shd w:val="clear" w:color="auto" w:fill="auto"/>
            <w:noWrap/>
            <w:vAlign w:val="center"/>
          </w:tcPr>
          <w:p w14:paraId="72675A62">
            <w:pPr>
              <w:pStyle w:val="45"/>
              <w:bidi w:val="0"/>
              <w:ind w:firstLine="0" w:firstLineChars="0"/>
              <w:rPr>
                <w:rFonts w:hint="eastAsia" w:ascii="Times New Roman" w:hAnsi="Times New Roman" w:eastAsia="宋体" w:cs="宋体"/>
                <w:i w:val="0"/>
                <w:iCs w:val="0"/>
                <w:color w:val="000000"/>
                <w:kern w:val="0"/>
                <w:sz w:val="21"/>
                <w:szCs w:val="22"/>
                <w:u w:val="none"/>
                <w:lang w:val="en-US" w:eastAsia="zh-CN" w:bidi="ar"/>
              </w:rPr>
            </w:pPr>
            <w:r>
              <w:rPr>
                <w:rFonts w:hint="default"/>
                <w:lang w:val="en-US" w:eastAsia="zh-CN"/>
              </w:rPr>
              <w:t>6.2</w:t>
            </w:r>
          </w:p>
        </w:tc>
      </w:tr>
      <w:tr w14:paraId="7C466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7" w:hRule="atLeast"/>
        </w:trPr>
        <w:tc>
          <w:tcPr>
            <w:tcW w:w="376" w:type="pct"/>
            <w:vMerge w:val="continue"/>
            <w:shd w:val="clear" w:color="auto" w:fill="auto"/>
            <w:vAlign w:val="center"/>
          </w:tcPr>
          <w:p w14:paraId="1F76CDDB">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883" w:type="pct"/>
            <w:vMerge w:val="continue"/>
            <w:shd w:val="clear" w:color="auto" w:fill="auto"/>
            <w:vAlign w:val="center"/>
          </w:tcPr>
          <w:p w14:paraId="3D5AA684">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1376" w:type="pct"/>
            <w:shd w:val="clear" w:color="auto" w:fill="auto"/>
            <w:noWrap/>
            <w:vAlign w:val="center"/>
          </w:tcPr>
          <w:p w14:paraId="5EEB235B">
            <w:pPr>
              <w:pStyle w:val="45"/>
              <w:bidi w:val="0"/>
              <w:rPr>
                <w:rFonts w:hint="eastAsia"/>
                <w:lang w:val="en-US" w:eastAsia="zh-CN"/>
              </w:rPr>
            </w:pPr>
            <w:r>
              <w:rPr>
                <w:rFonts w:hint="eastAsia"/>
                <w:lang w:val="en-US" w:eastAsia="zh-CN"/>
              </w:rPr>
              <w:t>废</w:t>
            </w:r>
            <w:r>
              <w:rPr>
                <w:rFonts w:hint="default"/>
                <w:lang w:val="en-US" w:eastAsia="zh-CN"/>
              </w:rPr>
              <w:t>RO</w:t>
            </w:r>
            <w:r>
              <w:rPr>
                <w:rFonts w:hint="eastAsia"/>
                <w:lang w:val="en-US" w:eastAsia="zh-CN"/>
              </w:rPr>
              <w:t>膜</w:t>
            </w:r>
          </w:p>
        </w:tc>
        <w:tc>
          <w:tcPr>
            <w:tcW w:w="867" w:type="pct"/>
            <w:shd w:val="clear" w:color="auto" w:fill="auto"/>
            <w:noWrap/>
            <w:vAlign w:val="center"/>
          </w:tcPr>
          <w:p w14:paraId="73A26DD7">
            <w:pPr>
              <w:pStyle w:val="45"/>
              <w:bidi w:val="0"/>
              <w:rPr>
                <w:rFonts w:hint="eastAsia"/>
                <w:lang w:val="en-US" w:eastAsia="zh-CN"/>
              </w:rPr>
            </w:pPr>
            <w:r>
              <w:rPr>
                <w:rFonts w:hint="default"/>
                <w:lang w:val="en-US" w:eastAsia="zh-CN"/>
              </w:rPr>
              <w:t>0.25</w:t>
            </w:r>
          </w:p>
        </w:tc>
        <w:tc>
          <w:tcPr>
            <w:tcW w:w="803" w:type="pct"/>
            <w:shd w:val="clear" w:color="auto" w:fill="auto"/>
            <w:vAlign w:val="center"/>
          </w:tcPr>
          <w:p w14:paraId="5428C0DC">
            <w:pPr>
              <w:pStyle w:val="45"/>
              <w:bidi w:val="0"/>
              <w:rPr>
                <w:rFonts w:hint="default"/>
                <w:lang w:val="en-US" w:eastAsia="zh-CN"/>
              </w:rPr>
            </w:pPr>
            <w:r>
              <w:rPr>
                <w:rFonts w:hint="eastAsia"/>
                <w:lang w:val="en-US" w:eastAsia="zh-CN"/>
              </w:rPr>
              <w:t>0</w:t>
            </w:r>
          </w:p>
        </w:tc>
        <w:tc>
          <w:tcPr>
            <w:tcW w:w="692" w:type="pct"/>
            <w:shd w:val="clear" w:color="auto" w:fill="auto"/>
            <w:noWrap/>
            <w:vAlign w:val="center"/>
          </w:tcPr>
          <w:p w14:paraId="2C7E8765">
            <w:pPr>
              <w:pStyle w:val="45"/>
              <w:bidi w:val="0"/>
              <w:ind w:firstLine="0" w:firstLineChars="0"/>
              <w:rPr>
                <w:rFonts w:hint="eastAsia" w:ascii="Times New Roman" w:hAnsi="Times New Roman" w:eastAsia="宋体" w:cs="宋体"/>
                <w:i w:val="0"/>
                <w:iCs w:val="0"/>
                <w:color w:val="000000"/>
                <w:kern w:val="0"/>
                <w:sz w:val="21"/>
                <w:szCs w:val="22"/>
                <w:u w:val="none"/>
                <w:lang w:val="en-US" w:eastAsia="zh-CN" w:bidi="ar"/>
              </w:rPr>
            </w:pPr>
            <w:r>
              <w:rPr>
                <w:rFonts w:hint="default"/>
                <w:lang w:val="en-US" w:eastAsia="zh-CN"/>
              </w:rPr>
              <w:t>0.25</w:t>
            </w:r>
          </w:p>
        </w:tc>
      </w:tr>
      <w:tr w14:paraId="78431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76" w:type="pct"/>
            <w:vMerge w:val="continue"/>
            <w:shd w:val="clear" w:color="auto" w:fill="auto"/>
            <w:vAlign w:val="center"/>
          </w:tcPr>
          <w:p w14:paraId="51EF441D">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883" w:type="pct"/>
            <w:vMerge w:val="continue"/>
            <w:shd w:val="clear" w:color="auto" w:fill="auto"/>
            <w:vAlign w:val="center"/>
          </w:tcPr>
          <w:p w14:paraId="391B763E">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1376" w:type="pct"/>
            <w:shd w:val="clear" w:color="auto" w:fill="auto"/>
            <w:noWrap/>
            <w:vAlign w:val="center"/>
          </w:tcPr>
          <w:p w14:paraId="775CE950">
            <w:pPr>
              <w:pStyle w:val="45"/>
              <w:bidi w:val="0"/>
              <w:rPr>
                <w:rFonts w:hint="eastAsia"/>
                <w:lang w:val="en-US" w:eastAsia="zh-CN"/>
              </w:rPr>
            </w:pPr>
            <w:r>
              <w:rPr>
                <w:rFonts w:hint="eastAsia"/>
                <w:lang w:val="en-US" w:eastAsia="zh-CN"/>
              </w:rPr>
              <w:t>废活性炭（纯水制备）</w:t>
            </w:r>
          </w:p>
        </w:tc>
        <w:tc>
          <w:tcPr>
            <w:tcW w:w="867" w:type="pct"/>
            <w:shd w:val="clear" w:color="auto" w:fill="auto"/>
            <w:noWrap/>
            <w:vAlign w:val="center"/>
          </w:tcPr>
          <w:p w14:paraId="758CA73C">
            <w:pPr>
              <w:pStyle w:val="45"/>
              <w:bidi w:val="0"/>
              <w:rPr>
                <w:rFonts w:hint="eastAsia"/>
                <w:lang w:val="en-US" w:eastAsia="zh-CN"/>
              </w:rPr>
            </w:pPr>
            <w:r>
              <w:rPr>
                <w:rFonts w:hint="default"/>
                <w:lang w:val="en-US" w:eastAsia="zh-CN"/>
              </w:rPr>
              <w:t>0.75</w:t>
            </w:r>
          </w:p>
        </w:tc>
        <w:tc>
          <w:tcPr>
            <w:tcW w:w="803" w:type="pct"/>
            <w:shd w:val="clear" w:color="auto" w:fill="auto"/>
            <w:vAlign w:val="center"/>
          </w:tcPr>
          <w:p w14:paraId="158367AB">
            <w:pPr>
              <w:pStyle w:val="45"/>
              <w:bidi w:val="0"/>
              <w:rPr>
                <w:rFonts w:hint="default"/>
                <w:lang w:val="en-US" w:eastAsia="zh-CN"/>
              </w:rPr>
            </w:pPr>
            <w:r>
              <w:rPr>
                <w:rFonts w:hint="eastAsia"/>
                <w:lang w:val="en-US" w:eastAsia="zh-CN"/>
              </w:rPr>
              <w:t>0</w:t>
            </w:r>
          </w:p>
        </w:tc>
        <w:tc>
          <w:tcPr>
            <w:tcW w:w="692" w:type="pct"/>
            <w:shd w:val="clear" w:color="auto" w:fill="auto"/>
            <w:noWrap/>
            <w:vAlign w:val="center"/>
          </w:tcPr>
          <w:p w14:paraId="726A58C0">
            <w:pPr>
              <w:pStyle w:val="45"/>
              <w:bidi w:val="0"/>
              <w:ind w:firstLine="0" w:firstLineChars="0"/>
              <w:rPr>
                <w:rFonts w:hint="eastAsia" w:ascii="Times New Roman" w:hAnsi="Times New Roman" w:eastAsia="宋体" w:cs="宋体"/>
                <w:i w:val="0"/>
                <w:iCs w:val="0"/>
                <w:color w:val="000000"/>
                <w:kern w:val="0"/>
                <w:sz w:val="21"/>
                <w:szCs w:val="22"/>
                <w:u w:val="none"/>
                <w:lang w:val="en-US" w:eastAsia="zh-CN" w:bidi="ar"/>
              </w:rPr>
            </w:pPr>
            <w:r>
              <w:rPr>
                <w:rFonts w:hint="default"/>
                <w:lang w:val="en-US" w:eastAsia="zh-CN"/>
              </w:rPr>
              <w:t>0.75</w:t>
            </w:r>
          </w:p>
        </w:tc>
      </w:tr>
      <w:tr w14:paraId="1F998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7" w:hRule="atLeast"/>
        </w:trPr>
        <w:tc>
          <w:tcPr>
            <w:tcW w:w="376" w:type="pct"/>
            <w:vMerge w:val="continue"/>
            <w:shd w:val="clear" w:color="auto" w:fill="auto"/>
            <w:vAlign w:val="center"/>
          </w:tcPr>
          <w:p w14:paraId="6DC95172">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883" w:type="pct"/>
            <w:vMerge w:val="continue"/>
            <w:shd w:val="clear" w:color="auto" w:fill="auto"/>
            <w:vAlign w:val="center"/>
          </w:tcPr>
          <w:p w14:paraId="3E770C6A">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1376" w:type="pct"/>
            <w:shd w:val="clear" w:color="auto" w:fill="auto"/>
            <w:noWrap/>
            <w:vAlign w:val="center"/>
          </w:tcPr>
          <w:p w14:paraId="77E1F31C">
            <w:pPr>
              <w:pStyle w:val="45"/>
              <w:bidi w:val="0"/>
              <w:rPr>
                <w:rFonts w:hint="eastAsia"/>
                <w:lang w:val="en-US" w:eastAsia="zh-CN"/>
              </w:rPr>
            </w:pPr>
            <w:r>
              <w:rPr>
                <w:rFonts w:hint="eastAsia"/>
                <w:lang w:val="en-US" w:eastAsia="zh-CN"/>
              </w:rPr>
              <w:t>废电极材料</w:t>
            </w:r>
          </w:p>
        </w:tc>
        <w:tc>
          <w:tcPr>
            <w:tcW w:w="867" w:type="pct"/>
            <w:shd w:val="clear" w:color="auto" w:fill="auto"/>
            <w:noWrap/>
            <w:vAlign w:val="center"/>
          </w:tcPr>
          <w:p w14:paraId="0794C168">
            <w:pPr>
              <w:pStyle w:val="45"/>
              <w:bidi w:val="0"/>
              <w:rPr>
                <w:rFonts w:hint="eastAsia"/>
                <w:lang w:val="en-US" w:eastAsia="zh-CN"/>
              </w:rPr>
            </w:pPr>
            <w:r>
              <w:rPr>
                <w:rFonts w:hint="default"/>
                <w:lang w:val="en-US" w:eastAsia="zh-CN"/>
              </w:rPr>
              <w:t>0.2</w:t>
            </w:r>
          </w:p>
        </w:tc>
        <w:tc>
          <w:tcPr>
            <w:tcW w:w="803" w:type="pct"/>
            <w:shd w:val="clear" w:color="auto" w:fill="auto"/>
            <w:vAlign w:val="center"/>
          </w:tcPr>
          <w:p w14:paraId="5BD5DEBD">
            <w:pPr>
              <w:pStyle w:val="45"/>
              <w:bidi w:val="0"/>
              <w:rPr>
                <w:rFonts w:hint="default"/>
                <w:lang w:val="en-US" w:eastAsia="zh-CN"/>
              </w:rPr>
            </w:pPr>
            <w:r>
              <w:rPr>
                <w:rFonts w:hint="eastAsia"/>
                <w:lang w:val="en-US" w:eastAsia="zh-CN"/>
              </w:rPr>
              <w:t>0</w:t>
            </w:r>
          </w:p>
        </w:tc>
        <w:tc>
          <w:tcPr>
            <w:tcW w:w="692" w:type="pct"/>
            <w:shd w:val="clear" w:color="auto" w:fill="auto"/>
            <w:noWrap/>
            <w:vAlign w:val="center"/>
          </w:tcPr>
          <w:p w14:paraId="513A55C9">
            <w:pPr>
              <w:pStyle w:val="45"/>
              <w:bidi w:val="0"/>
              <w:ind w:firstLine="0" w:firstLineChars="0"/>
              <w:rPr>
                <w:rFonts w:hint="eastAsia" w:ascii="Times New Roman" w:hAnsi="Times New Roman" w:eastAsia="宋体" w:cs="宋体"/>
                <w:i w:val="0"/>
                <w:iCs w:val="0"/>
                <w:color w:val="000000"/>
                <w:kern w:val="0"/>
                <w:sz w:val="21"/>
                <w:szCs w:val="22"/>
                <w:u w:val="none"/>
                <w:lang w:val="en-US" w:eastAsia="zh-CN" w:bidi="ar"/>
              </w:rPr>
            </w:pPr>
            <w:r>
              <w:rPr>
                <w:rFonts w:hint="default"/>
                <w:lang w:val="en-US" w:eastAsia="zh-CN"/>
              </w:rPr>
              <w:t>0.2</w:t>
            </w:r>
          </w:p>
        </w:tc>
      </w:tr>
      <w:tr w14:paraId="771EA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76" w:type="pct"/>
            <w:vMerge w:val="continue"/>
            <w:shd w:val="clear" w:color="auto" w:fill="auto"/>
            <w:vAlign w:val="center"/>
          </w:tcPr>
          <w:p w14:paraId="74A4CB9B">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883" w:type="pct"/>
            <w:vMerge w:val="continue"/>
            <w:shd w:val="clear" w:color="auto" w:fill="auto"/>
            <w:vAlign w:val="center"/>
          </w:tcPr>
          <w:p w14:paraId="33F28904">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1376" w:type="pct"/>
            <w:shd w:val="clear" w:color="auto" w:fill="auto"/>
            <w:noWrap/>
            <w:vAlign w:val="center"/>
          </w:tcPr>
          <w:p w14:paraId="16445FC1">
            <w:pPr>
              <w:pStyle w:val="45"/>
              <w:bidi w:val="0"/>
              <w:rPr>
                <w:rFonts w:hint="eastAsia"/>
                <w:lang w:val="en-US" w:eastAsia="zh-CN"/>
              </w:rPr>
            </w:pPr>
            <w:r>
              <w:rPr>
                <w:rFonts w:hint="eastAsia"/>
                <w:lang w:val="en-US" w:eastAsia="zh-CN"/>
              </w:rPr>
              <w:t>除杂滤渣</w:t>
            </w:r>
          </w:p>
        </w:tc>
        <w:tc>
          <w:tcPr>
            <w:tcW w:w="867" w:type="pct"/>
            <w:shd w:val="clear" w:color="auto" w:fill="auto"/>
            <w:noWrap/>
            <w:vAlign w:val="center"/>
          </w:tcPr>
          <w:p w14:paraId="608AB750">
            <w:pPr>
              <w:pStyle w:val="45"/>
              <w:bidi w:val="0"/>
              <w:rPr>
                <w:rFonts w:hint="eastAsia"/>
                <w:lang w:val="en-US" w:eastAsia="zh-CN"/>
              </w:rPr>
            </w:pPr>
            <w:r>
              <w:rPr>
                <w:rFonts w:hint="default"/>
                <w:lang w:val="en-US" w:eastAsia="zh-CN"/>
              </w:rPr>
              <w:t>2098.83</w:t>
            </w:r>
          </w:p>
        </w:tc>
        <w:tc>
          <w:tcPr>
            <w:tcW w:w="803" w:type="pct"/>
            <w:shd w:val="clear" w:color="auto" w:fill="auto"/>
            <w:vAlign w:val="center"/>
          </w:tcPr>
          <w:p w14:paraId="14916B83">
            <w:pPr>
              <w:pStyle w:val="45"/>
              <w:bidi w:val="0"/>
              <w:rPr>
                <w:rFonts w:hint="default"/>
                <w:lang w:val="en-US" w:eastAsia="zh-CN"/>
              </w:rPr>
            </w:pPr>
            <w:r>
              <w:rPr>
                <w:rFonts w:hint="eastAsia"/>
                <w:lang w:val="en-US" w:eastAsia="zh-CN"/>
              </w:rPr>
              <w:t>0</w:t>
            </w:r>
          </w:p>
        </w:tc>
        <w:tc>
          <w:tcPr>
            <w:tcW w:w="692" w:type="pct"/>
            <w:shd w:val="clear" w:color="auto" w:fill="auto"/>
            <w:noWrap/>
            <w:vAlign w:val="center"/>
          </w:tcPr>
          <w:p w14:paraId="08008394">
            <w:pPr>
              <w:pStyle w:val="45"/>
              <w:bidi w:val="0"/>
              <w:ind w:firstLine="0" w:firstLineChars="0"/>
              <w:rPr>
                <w:rFonts w:hint="eastAsia" w:ascii="Times New Roman" w:hAnsi="Times New Roman" w:eastAsia="宋体" w:cs="宋体"/>
                <w:i w:val="0"/>
                <w:iCs w:val="0"/>
                <w:color w:val="000000"/>
                <w:kern w:val="0"/>
                <w:sz w:val="21"/>
                <w:szCs w:val="22"/>
                <w:u w:val="none"/>
                <w:lang w:val="en-US" w:eastAsia="zh-CN" w:bidi="ar"/>
              </w:rPr>
            </w:pPr>
            <w:r>
              <w:rPr>
                <w:rFonts w:hint="default"/>
                <w:lang w:val="en-US" w:eastAsia="zh-CN"/>
              </w:rPr>
              <w:t>2098.83</w:t>
            </w:r>
          </w:p>
        </w:tc>
      </w:tr>
      <w:tr w14:paraId="4F004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7" w:hRule="atLeast"/>
        </w:trPr>
        <w:tc>
          <w:tcPr>
            <w:tcW w:w="376" w:type="pct"/>
            <w:vMerge w:val="continue"/>
            <w:shd w:val="clear" w:color="auto" w:fill="auto"/>
            <w:vAlign w:val="center"/>
          </w:tcPr>
          <w:p w14:paraId="23751C85">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883" w:type="pct"/>
            <w:vMerge w:val="continue"/>
            <w:shd w:val="clear" w:color="auto" w:fill="auto"/>
            <w:vAlign w:val="center"/>
          </w:tcPr>
          <w:p w14:paraId="3EADDD73">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1376" w:type="pct"/>
            <w:shd w:val="clear" w:color="auto" w:fill="auto"/>
            <w:noWrap/>
            <w:vAlign w:val="center"/>
          </w:tcPr>
          <w:p w14:paraId="23DDC6F7">
            <w:pPr>
              <w:pStyle w:val="45"/>
              <w:bidi w:val="0"/>
              <w:rPr>
                <w:rFonts w:hint="eastAsia"/>
                <w:lang w:val="en-US" w:eastAsia="zh-CN"/>
              </w:rPr>
            </w:pPr>
            <w:r>
              <w:rPr>
                <w:rFonts w:hint="eastAsia"/>
                <w:lang w:val="en-US" w:eastAsia="zh-CN"/>
              </w:rPr>
              <w:t>废水站污泥</w:t>
            </w:r>
          </w:p>
        </w:tc>
        <w:tc>
          <w:tcPr>
            <w:tcW w:w="867" w:type="pct"/>
            <w:shd w:val="clear" w:color="auto" w:fill="auto"/>
            <w:noWrap/>
            <w:vAlign w:val="center"/>
          </w:tcPr>
          <w:p w14:paraId="32D65847">
            <w:pPr>
              <w:pStyle w:val="45"/>
              <w:bidi w:val="0"/>
              <w:rPr>
                <w:rFonts w:hint="eastAsia"/>
                <w:lang w:val="en-US" w:eastAsia="zh-CN"/>
              </w:rPr>
            </w:pPr>
            <w:r>
              <w:rPr>
                <w:rFonts w:hint="default"/>
                <w:lang w:val="en-US" w:eastAsia="zh-CN"/>
              </w:rPr>
              <w:t>72.98</w:t>
            </w:r>
          </w:p>
        </w:tc>
        <w:tc>
          <w:tcPr>
            <w:tcW w:w="803" w:type="pct"/>
            <w:shd w:val="clear" w:color="auto" w:fill="auto"/>
            <w:vAlign w:val="center"/>
          </w:tcPr>
          <w:p w14:paraId="6E22D487">
            <w:pPr>
              <w:pStyle w:val="45"/>
              <w:bidi w:val="0"/>
              <w:rPr>
                <w:rFonts w:hint="default"/>
                <w:lang w:val="en-US" w:eastAsia="zh-CN"/>
              </w:rPr>
            </w:pPr>
            <w:r>
              <w:rPr>
                <w:rFonts w:hint="eastAsia"/>
                <w:lang w:val="en-US" w:eastAsia="zh-CN"/>
              </w:rPr>
              <w:t>0</w:t>
            </w:r>
          </w:p>
        </w:tc>
        <w:tc>
          <w:tcPr>
            <w:tcW w:w="692" w:type="pct"/>
            <w:shd w:val="clear" w:color="auto" w:fill="auto"/>
            <w:noWrap/>
            <w:vAlign w:val="center"/>
          </w:tcPr>
          <w:p w14:paraId="74CE422A">
            <w:pPr>
              <w:pStyle w:val="45"/>
              <w:bidi w:val="0"/>
              <w:ind w:firstLine="0" w:firstLineChars="0"/>
              <w:rPr>
                <w:rFonts w:hint="eastAsia" w:ascii="Times New Roman" w:hAnsi="Times New Roman" w:eastAsia="宋体" w:cs="宋体"/>
                <w:i w:val="0"/>
                <w:iCs w:val="0"/>
                <w:color w:val="000000"/>
                <w:kern w:val="0"/>
                <w:sz w:val="21"/>
                <w:szCs w:val="22"/>
                <w:u w:val="none"/>
                <w:lang w:val="en-US" w:eastAsia="zh-CN" w:bidi="ar"/>
              </w:rPr>
            </w:pPr>
            <w:r>
              <w:rPr>
                <w:rFonts w:hint="default"/>
                <w:lang w:val="en-US" w:eastAsia="zh-CN"/>
              </w:rPr>
              <w:t>72.98</w:t>
            </w:r>
          </w:p>
        </w:tc>
      </w:tr>
      <w:tr w14:paraId="128B0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7" w:hRule="atLeast"/>
        </w:trPr>
        <w:tc>
          <w:tcPr>
            <w:tcW w:w="376" w:type="pct"/>
            <w:vMerge w:val="continue"/>
            <w:shd w:val="clear" w:color="auto" w:fill="auto"/>
            <w:vAlign w:val="center"/>
          </w:tcPr>
          <w:p w14:paraId="410F6CA5">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883" w:type="pct"/>
            <w:vMerge w:val="restart"/>
            <w:shd w:val="clear" w:color="auto" w:fill="auto"/>
            <w:vAlign w:val="center"/>
          </w:tcPr>
          <w:p w14:paraId="7E776F15">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lang w:val="en-US" w:eastAsia="zh-CN"/>
              </w:rPr>
            </w:pPr>
            <w:r>
              <w:rPr>
                <w:rFonts w:hint="eastAsia" w:cs="宋体"/>
                <w:i w:val="0"/>
                <w:iCs w:val="0"/>
                <w:color w:val="000000"/>
                <w:sz w:val="21"/>
                <w:szCs w:val="21"/>
                <w:u w:val="none"/>
                <w:lang w:val="en-US" w:eastAsia="zh-CN"/>
              </w:rPr>
              <w:t>危险废物</w:t>
            </w:r>
          </w:p>
        </w:tc>
        <w:tc>
          <w:tcPr>
            <w:tcW w:w="1376" w:type="pct"/>
            <w:shd w:val="clear" w:color="auto" w:fill="auto"/>
            <w:noWrap/>
            <w:vAlign w:val="center"/>
          </w:tcPr>
          <w:p w14:paraId="3765F1BB">
            <w:pPr>
              <w:pStyle w:val="45"/>
              <w:bidi w:val="0"/>
              <w:rPr>
                <w:rFonts w:hint="eastAsia"/>
                <w:lang w:val="en-US" w:eastAsia="zh-CN"/>
              </w:rPr>
            </w:pPr>
            <w:r>
              <w:rPr>
                <w:rFonts w:hint="eastAsia"/>
                <w:lang w:val="en-US" w:eastAsia="zh-CN"/>
              </w:rPr>
              <w:t>一次电解槽沉渣</w:t>
            </w:r>
          </w:p>
        </w:tc>
        <w:tc>
          <w:tcPr>
            <w:tcW w:w="867" w:type="pct"/>
            <w:shd w:val="clear" w:color="auto" w:fill="auto"/>
            <w:noWrap/>
            <w:vAlign w:val="center"/>
          </w:tcPr>
          <w:p w14:paraId="0227E267">
            <w:pPr>
              <w:pStyle w:val="45"/>
              <w:bidi w:val="0"/>
              <w:rPr>
                <w:rFonts w:hint="eastAsia"/>
                <w:lang w:val="en-US" w:eastAsia="zh-CN"/>
              </w:rPr>
            </w:pPr>
            <w:r>
              <w:rPr>
                <w:rFonts w:hint="default"/>
                <w:lang w:val="en-US" w:eastAsia="zh-CN"/>
              </w:rPr>
              <w:t>0.42</w:t>
            </w:r>
          </w:p>
        </w:tc>
        <w:tc>
          <w:tcPr>
            <w:tcW w:w="803" w:type="pct"/>
            <w:shd w:val="clear" w:color="auto" w:fill="auto"/>
            <w:vAlign w:val="center"/>
          </w:tcPr>
          <w:p w14:paraId="1F048CE6">
            <w:pPr>
              <w:pStyle w:val="45"/>
              <w:bidi w:val="0"/>
              <w:rPr>
                <w:rFonts w:hint="default"/>
                <w:lang w:val="en-US" w:eastAsia="zh-CN"/>
              </w:rPr>
            </w:pPr>
            <w:r>
              <w:rPr>
                <w:rFonts w:hint="eastAsia"/>
                <w:lang w:val="en-US" w:eastAsia="zh-CN"/>
              </w:rPr>
              <w:t>0</w:t>
            </w:r>
          </w:p>
        </w:tc>
        <w:tc>
          <w:tcPr>
            <w:tcW w:w="692" w:type="pct"/>
            <w:shd w:val="clear" w:color="auto" w:fill="auto"/>
            <w:noWrap/>
            <w:vAlign w:val="center"/>
          </w:tcPr>
          <w:p w14:paraId="1D1A2779">
            <w:pPr>
              <w:pStyle w:val="45"/>
              <w:bidi w:val="0"/>
              <w:ind w:firstLine="0" w:firstLineChars="0"/>
              <w:rPr>
                <w:rFonts w:hint="eastAsia" w:ascii="Times New Roman" w:hAnsi="Times New Roman" w:eastAsia="宋体" w:cs="宋体"/>
                <w:i w:val="0"/>
                <w:iCs w:val="0"/>
                <w:color w:val="000000"/>
                <w:kern w:val="0"/>
                <w:sz w:val="21"/>
                <w:szCs w:val="22"/>
                <w:u w:val="none"/>
                <w:lang w:val="en-US" w:eastAsia="zh-CN" w:bidi="ar"/>
              </w:rPr>
            </w:pPr>
            <w:r>
              <w:rPr>
                <w:rFonts w:hint="default"/>
                <w:lang w:val="en-US" w:eastAsia="zh-CN"/>
              </w:rPr>
              <w:t>0.42</w:t>
            </w:r>
          </w:p>
        </w:tc>
      </w:tr>
      <w:tr w14:paraId="332A2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7" w:hRule="atLeast"/>
        </w:trPr>
        <w:tc>
          <w:tcPr>
            <w:tcW w:w="376" w:type="pct"/>
            <w:vMerge w:val="continue"/>
            <w:shd w:val="clear" w:color="auto" w:fill="auto"/>
            <w:vAlign w:val="center"/>
          </w:tcPr>
          <w:p w14:paraId="08459DE0">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883" w:type="pct"/>
            <w:vMerge w:val="continue"/>
            <w:shd w:val="clear" w:color="auto" w:fill="auto"/>
            <w:vAlign w:val="center"/>
          </w:tcPr>
          <w:p w14:paraId="1FF66946">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1376" w:type="pct"/>
            <w:shd w:val="clear" w:color="auto" w:fill="auto"/>
            <w:noWrap/>
            <w:vAlign w:val="center"/>
          </w:tcPr>
          <w:p w14:paraId="35E5E99A">
            <w:pPr>
              <w:pStyle w:val="45"/>
              <w:bidi w:val="0"/>
              <w:rPr>
                <w:rFonts w:hint="eastAsia"/>
                <w:lang w:val="en-US" w:eastAsia="zh-CN"/>
              </w:rPr>
            </w:pPr>
            <w:r>
              <w:rPr>
                <w:rFonts w:hint="eastAsia"/>
                <w:lang w:val="en-US" w:eastAsia="zh-CN"/>
              </w:rPr>
              <w:t>二次电解槽沉渣</w:t>
            </w:r>
          </w:p>
        </w:tc>
        <w:tc>
          <w:tcPr>
            <w:tcW w:w="867" w:type="pct"/>
            <w:shd w:val="clear" w:color="auto" w:fill="auto"/>
            <w:noWrap/>
            <w:vAlign w:val="center"/>
          </w:tcPr>
          <w:p w14:paraId="1B9F3DD8">
            <w:pPr>
              <w:pStyle w:val="45"/>
              <w:bidi w:val="0"/>
              <w:rPr>
                <w:rFonts w:hint="eastAsia"/>
                <w:lang w:val="en-US" w:eastAsia="zh-CN"/>
              </w:rPr>
            </w:pPr>
            <w:r>
              <w:rPr>
                <w:rFonts w:hint="default"/>
                <w:lang w:val="en-US" w:eastAsia="zh-CN"/>
              </w:rPr>
              <w:t>5.1</w:t>
            </w:r>
          </w:p>
        </w:tc>
        <w:tc>
          <w:tcPr>
            <w:tcW w:w="803" w:type="pct"/>
            <w:shd w:val="clear" w:color="auto" w:fill="auto"/>
            <w:vAlign w:val="center"/>
          </w:tcPr>
          <w:p w14:paraId="64BB7998">
            <w:pPr>
              <w:pStyle w:val="45"/>
              <w:bidi w:val="0"/>
              <w:rPr>
                <w:rFonts w:hint="default"/>
                <w:lang w:val="en-US" w:eastAsia="zh-CN"/>
              </w:rPr>
            </w:pPr>
            <w:r>
              <w:rPr>
                <w:rFonts w:hint="eastAsia"/>
                <w:lang w:val="en-US" w:eastAsia="zh-CN"/>
              </w:rPr>
              <w:t>0</w:t>
            </w:r>
          </w:p>
        </w:tc>
        <w:tc>
          <w:tcPr>
            <w:tcW w:w="692" w:type="pct"/>
            <w:shd w:val="clear" w:color="auto" w:fill="auto"/>
            <w:noWrap/>
            <w:vAlign w:val="center"/>
          </w:tcPr>
          <w:p w14:paraId="7990B14B">
            <w:pPr>
              <w:pStyle w:val="45"/>
              <w:bidi w:val="0"/>
              <w:ind w:firstLine="0" w:firstLineChars="0"/>
              <w:rPr>
                <w:rFonts w:hint="eastAsia" w:ascii="Times New Roman" w:hAnsi="Times New Roman" w:eastAsia="宋体" w:cs="宋体"/>
                <w:i w:val="0"/>
                <w:iCs w:val="0"/>
                <w:color w:val="000000"/>
                <w:kern w:val="0"/>
                <w:sz w:val="21"/>
                <w:szCs w:val="22"/>
                <w:u w:val="none"/>
                <w:lang w:val="en-US" w:eastAsia="zh-CN" w:bidi="ar"/>
              </w:rPr>
            </w:pPr>
            <w:r>
              <w:rPr>
                <w:rFonts w:hint="default"/>
                <w:lang w:val="en-US" w:eastAsia="zh-CN"/>
              </w:rPr>
              <w:t>5.1</w:t>
            </w:r>
          </w:p>
        </w:tc>
      </w:tr>
      <w:tr w14:paraId="4B5EF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7" w:hRule="atLeast"/>
        </w:trPr>
        <w:tc>
          <w:tcPr>
            <w:tcW w:w="376" w:type="pct"/>
            <w:vMerge w:val="continue"/>
            <w:shd w:val="clear" w:color="auto" w:fill="auto"/>
            <w:vAlign w:val="center"/>
          </w:tcPr>
          <w:p w14:paraId="37A1615B">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883" w:type="pct"/>
            <w:vMerge w:val="continue"/>
            <w:shd w:val="clear" w:color="auto" w:fill="auto"/>
            <w:vAlign w:val="center"/>
          </w:tcPr>
          <w:p w14:paraId="7FF89B04">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1376" w:type="pct"/>
            <w:shd w:val="clear" w:color="auto" w:fill="auto"/>
            <w:noWrap/>
            <w:vAlign w:val="center"/>
          </w:tcPr>
          <w:p w14:paraId="2F61FD2F">
            <w:pPr>
              <w:pStyle w:val="45"/>
              <w:bidi w:val="0"/>
              <w:rPr>
                <w:rFonts w:hint="eastAsia"/>
                <w:lang w:val="en-US" w:eastAsia="zh-CN"/>
              </w:rPr>
            </w:pPr>
            <w:r>
              <w:rPr>
                <w:rFonts w:hint="eastAsia"/>
                <w:lang w:val="en-US" w:eastAsia="zh-CN"/>
              </w:rPr>
              <w:t>除铬滤渣</w:t>
            </w:r>
          </w:p>
        </w:tc>
        <w:tc>
          <w:tcPr>
            <w:tcW w:w="867" w:type="pct"/>
            <w:shd w:val="clear" w:color="auto" w:fill="auto"/>
            <w:noWrap/>
            <w:vAlign w:val="center"/>
          </w:tcPr>
          <w:p w14:paraId="6D057F52">
            <w:pPr>
              <w:pStyle w:val="45"/>
              <w:bidi w:val="0"/>
              <w:rPr>
                <w:rFonts w:hint="eastAsia"/>
                <w:lang w:val="en-US" w:eastAsia="zh-CN"/>
              </w:rPr>
            </w:pPr>
            <w:r>
              <w:rPr>
                <w:rFonts w:hint="default"/>
                <w:lang w:val="en-US" w:eastAsia="zh-CN"/>
              </w:rPr>
              <w:t>60.75</w:t>
            </w:r>
          </w:p>
        </w:tc>
        <w:tc>
          <w:tcPr>
            <w:tcW w:w="803" w:type="pct"/>
            <w:shd w:val="clear" w:color="auto" w:fill="auto"/>
            <w:vAlign w:val="center"/>
          </w:tcPr>
          <w:p w14:paraId="7CBDBDED">
            <w:pPr>
              <w:pStyle w:val="45"/>
              <w:bidi w:val="0"/>
              <w:rPr>
                <w:rFonts w:hint="default"/>
                <w:lang w:val="en-US" w:eastAsia="zh-CN"/>
              </w:rPr>
            </w:pPr>
            <w:r>
              <w:rPr>
                <w:rFonts w:hint="eastAsia"/>
                <w:lang w:val="en-US" w:eastAsia="zh-CN"/>
              </w:rPr>
              <w:t>0</w:t>
            </w:r>
          </w:p>
        </w:tc>
        <w:tc>
          <w:tcPr>
            <w:tcW w:w="692" w:type="pct"/>
            <w:shd w:val="clear" w:color="auto" w:fill="auto"/>
            <w:noWrap/>
            <w:vAlign w:val="center"/>
          </w:tcPr>
          <w:p w14:paraId="39BDC7D1">
            <w:pPr>
              <w:pStyle w:val="45"/>
              <w:bidi w:val="0"/>
              <w:ind w:firstLine="0" w:firstLineChars="0"/>
              <w:rPr>
                <w:rFonts w:hint="eastAsia" w:ascii="Times New Roman" w:hAnsi="Times New Roman" w:eastAsia="宋体" w:cs="宋体"/>
                <w:i w:val="0"/>
                <w:iCs w:val="0"/>
                <w:color w:val="000000"/>
                <w:kern w:val="0"/>
                <w:sz w:val="21"/>
                <w:szCs w:val="22"/>
                <w:u w:val="none"/>
                <w:lang w:val="en-US" w:eastAsia="zh-CN" w:bidi="ar"/>
              </w:rPr>
            </w:pPr>
            <w:r>
              <w:rPr>
                <w:rFonts w:hint="default"/>
                <w:lang w:val="en-US" w:eastAsia="zh-CN"/>
              </w:rPr>
              <w:t>60.75</w:t>
            </w:r>
          </w:p>
        </w:tc>
      </w:tr>
      <w:tr w14:paraId="43393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76" w:type="pct"/>
            <w:vMerge w:val="continue"/>
            <w:shd w:val="clear" w:color="auto" w:fill="auto"/>
            <w:vAlign w:val="center"/>
          </w:tcPr>
          <w:p w14:paraId="49178E5D">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883" w:type="pct"/>
            <w:vMerge w:val="continue"/>
            <w:shd w:val="clear" w:color="auto" w:fill="auto"/>
            <w:vAlign w:val="center"/>
          </w:tcPr>
          <w:p w14:paraId="7EE12104">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1376" w:type="pct"/>
            <w:shd w:val="clear" w:color="auto" w:fill="auto"/>
            <w:noWrap/>
            <w:vAlign w:val="center"/>
          </w:tcPr>
          <w:p w14:paraId="170067FC">
            <w:pPr>
              <w:pStyle w:val="45"/>
              <w:bidi w:val="0"/>
              <w:rPr>
                <w:rFonts w:hint="eastAsia"/>
                <w:lang w:val="en-US" w:eastAsia="zh-CN"/>
              </w:rPr>
            </w:pPr>
            <w:r>
              <w:rPr>
                <w:rFonts w:hint="eastAsia"/>
                <w:lang w:val="en-US" w:eastAsia="zh-CN"/>
              </w:rPr>
              <w:t>危化品废包装</w:t>
            </w:r>
          </w:p>
        </w:tc>
        <w:tc>
          <w:tcPr>
            <w:tcW w:w="867" w:type="pct"/>
            <w:shd w:val="clear" w:color="auto" w:fill="auto"/>
            <w:noWrap/>
            <w:vAlign w:val="center"/>
          </w:tcPr>
          <w:p w14:paraId="3ACDBB9F">
            <w:pPr>
              <w:pStyle w:val="45"/>
              <w:bidi w:val="0"/>
              <w:rPr>
                <w:rFonts w:hint="eastAsia"/>
                <w:lang w:val="en-US" w:eastAsia="zh-CN"/>
              </w:rPr>
            </w:pPr>
            <w:r>
              <w:rPr>
                <w:rFonts w:hint="default"/>
                <w:lang w:val="en-US" w:eastAsia="zh-CN"/>
              </w:rPr>
              <w:t>0.4</w:t>
            </w:r>
          </w:p>
        </w:tc>
        <w:tc>
          <w:tcPr>
            <w:tcW w:w="803" w:type="pct"/>
            <w:shd w:val="clear" w:color="auto" w:fill="auto"/>
            <w:vAlign w:val="center"/>
          </w:tcPr>
          <w:p w14:paraId="088C4EA1">
            <w:pPr>
              <w:pStyle w:val="45"/>
              <w:bidi w:val="0"/>
              <w:rPr>
                <w:rFonts w:hint="default"/>
                <w:lang w:val="en-US" w:eastAsia="zh-CN"/>
              </w:rPr>
            </w:pPr>
            <w:r>
              <w:rPr>
                <w:rFonts w:hint="eastAsia"/>
                <w:lang w:val="en-US" w:eastAsia="zh-CN"/>
              </w:rPr>
              <w:t>0</w:t>
            </w:r>
          </w:p>
        </w:tc>
        <w:tc>
          <w:tcPr>
            <w:tcW w:w="692" w:type="pct"/>
            <w:shd w:val="clear" w:color="auto" w:fill="auto"/>
            <w:noWrap/>
            <w:vAlign w:val="center"/>
          </w:tcPr>
          <w:p w14:paraId="5F99DABA">
            <w:pPr>
              <w:pStyle w:val="45"/>
              <w:bidi w:val="0"/>
              <w:ind w:firstLine="0" w:firstLineChars="0"/>
              <w:rPr>
                <w:rFonts w:hint="eastAsia" w:ascii="Times New Roman" w:hAnsi="Times New Roman" w:eastAsia="宋体" w:cs="宋体"/>
                <w:i w:val="0"/>
                <w:iCs w:val="0"/>
                <w:color w:val="000000"/>
                <w:kern w:val="0"/>
                <w:sz w:val="21"/>
                <w:szCs w:val="22"/>
                <w:u w:val="none"/>
                <w:lang w:val="en-US" w:eastAsia="zh-CN" w:bidi="ar"/>
              </w:rPr>
            </w:pPr>
            <w:r>
              <w:rPr>
                <w:rFonts w:hint="default"/>
                <w:lang w:val="en-US" w:eastAsia="zh-CN"/>
              </w:rPr>
              <w:t>0.4</w:t>
            </w:r>
          </w:p>
        </w:tc>
      </w:tr>
      <w:tr w14:paraId="15BB2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7" w:hRule="atLeast"/>
        </w:trPr>
        <w:tc>
          <w:tcPr>
            <w:tcW w:w="376" w:type="pct"/>
            <w:vMerge w:val="continue"/>
            <w:shd w:val="clear" w:color="auto" w:fill="auto"/>
            <w:vAlign w:val="center"/>
          </w:tcPr>
          <w:p w14:paraId="1663DA61">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883" w:type="pct"/>
            <w:vMerge w:val="continue"/>
            <w:shd w:val="clear" w:color="auto" w:fill="auto"/>
            <w:vAlign w:val="center"/>
          </w:tcPr>
          <w:p w14:paraId="71E6345F">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1376" w:type="pct"/>
            <w:shd w:val="clear" w:color="auto" w:fill="auto"/>
            <w:noWrap/>
            <w:vAlign w:val="center"/>
          </w:tcPr>
          <w:p w14:paraId="636C0022">
            <w:pPr>
              <w:pStyle w:val="45"/>
              <w:bidi w:val="0"/>
              <w:rPr>
                <w:rFonts w:hint="eastAsia"/>
                <w:lang w:val="en-US" w:eastAsia="zh-CN"/>
              </w:rPr>
            </w:pPr>
            <w:r>
              <w:rPr>
                <w:rFonts w:hint="eastAsia"/>
                <w:lang w:val="en-US" w:eastAsia="zh-CN"/>
              </w:rPr>
              <w:t>废吸附剂、废催化剂</w:t>
            </w:r>
          </w:p>
        </w:tc>
        <w:tc>
          <w:tcPr>
            <w:tcW w:w="867" w:type="pct"/>
            <w:shd w:val="clear" w:color="auto" w:fill="auto"/>
            <w:noWrap/>
            <w:vAlign w:val="center"/>
          </w:tcPr>
          <w:p w14:paraId="2FD51F61">
            <w:pPr>
              <w:pStyle w:val="45"/>
              <w:bidi w:val="0"/>
              <w:rPr>
                <w:rFonts w:hint="eastAsia"/>
                <w:lang w:val="en-US" w:eastAsia="zh-CN"/>
              </w:rPr>
            </w:pPr>
            <w:r>
              <w:rPr>
                <w:rFonts w:hint="default"/>
                <w:lang w:val="en-US" w:eastAsia="zh-CN"/>
              </w:rPr>
              <w:t>0.7</w:t>
            </w:r>
          </w:p>
        </w:tc>
        <w:tc>
          <w:tcPr>
            <w:tcW w:w="803" w:type="pct"/>
            <w:shd w:val="clear" w:color="auto" w:fill="auto"/>
            <w:vAlign w:val="center"/>
          </w:tcPr>
          <w:p w14:paraId="0BC5318A">
            <w:pPr>
              <w:pStyle w:val="45"/>
              <w:bidi w:val="0"/>
              <w:rPr>
                <w:rFonts w:hint="default"/>
                <w:lang w:val="en-US" w:eastAsia="zh-CN"/>
              </w:rPr>
            </w:pPr>
            <w:r>
              <w:rPr>
                <w:rFonts w:hint="eastAsia"/>
                <w:lang w:val="en-US" w:eastAsia="zh-CN"/>
              </w:rPr>
              <w:t>0</w:t>
            </w:r>
          </w:p>
        </w:tc>
        <w:tc>
          <w:tcPr>
            <w:tcW w:w="692" w:type="pct"/>
            <w:shd w:val="clear" w:color="auto" w:fill="auto"/>
            <w:noWrap/>
            <w:vAlign w:val="center"/>
          </w:tcPr>
          <w:p w14:paraId="440CF56B">
            <w:pPr>
              <w:pStyle w:val="45"/>
              <w:bidi w:val="0"/>
              <w:ind w:firstLine="0" w:firstLineChars="0"/>
              <w:rPr>
                <w:rFonts w:hint="eastAsia" w:ascii="Times New Roman" w:hAnsi="Times New Roman" w:eastAsia="宋体" w:cs="宋体"/>
                <w:i w:val="0"/>
                <w:iCs w:val="0"/>
                <w:color w:val="000000"/>
                <w:kern w:val="0"/>
                <w:sz w:val="21"/>
                <w:szCs w:val="22"/>
                <w:u w:val="none"/>
                <w:lang w:val="en-US" w:eastAsia="zh-CN" w:bidi="ar"/>
              </w:rPr>
            </w:pPr>
            <w:r>
              <w:rPr>
                <w:rFonts w:hint="default"/>
                <w:lang w:val="en-US" w:eastAsia="zh-CN"/>
              </w:rPr>
              <w:t>0.7</w:t>
            </w:r>
          </w:p>
        </w:tc>
      </w:tr>
      <w:tr w14:paraId="0EDAC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7" w:hRule="atLeast"/>
        </w:trPr>
        <w:tc>
          <w:tcPr>
            <w:tcW w:w="376" w:type="pct"/>
            <w:vMerge w:val="continue"/>
            <w:shd w:val="clear" w:color="auto" w:fill="auto"/>
            <w:vAlign w:val="center"/>
          </w:tcPr>
          <w:p w14:paraId="26A1C50E">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883" w:type="pct"/>
            <w:vMerge w:val="continue"/>
            <w:shd w:val="clear" w:color="auto" w:fill="auto"/>
            <w:vAlign w:val="center"/>
          </w:tcPr>
          <w:p w14:paraId="639BBAC0">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1376" w:type="pct"/>
            <w:shd w:val="clear" w:color="auto" w:fill="auto"/>
            <w:noWrap/>
            <w:vAlign w:val="center"/>
          </w:tcPr>
          <w:p w14:paraId="2DE13DCB">
            <w:pPr>
              <w:pStyle w:val="45"/>
              <w:bidi w:val="0"/>
              <w:rPr>
                <w:rFonts w:hint="eastAsia"/>
                <w:lang w:val="en-US" w:eastAsia="zh-CN"/>
              </w:rPr>
            </w:pPr>
            <w:r>
              <w:rPr>
                <w:rFonts w:hint="eastAsia"/>
                <w:lang w:val="en-US" w:eastAsia="zh-CN"/>
              </w:rPr>
              <w:t>化验废物</w:t>
            </w:r>
          </w:p>
        </w:tc>
        <w:tc>
          <w:tcPr>
            <w:tcW w:w="867" w:type="pct"/>
            <w:shd w:val="clear" w:color="auto" w:fill="auto"/>
            <w:noWrap/>
            <w:vAlign w:val="center"/>
          </w:tcPr>
          <w:p w14:paraId="311AB05F">
            <w:pPr>
              <w:pStyle w:val="45"/>
              <w:bidi w:val="0"/>
              <w:rPr>
                <w:rFonts w:hint="eastAsia"/>
                <w:lang w:val="en-US" w:eastAsia="zh-CN"/>
              </w:rPr>
            </w:pPr>
            <w:r>
              <w:rPr>
                <w:rFonts w:hint="default"/>
                <w:lang w:val="en-US" w:eastAsia="zh-CN"/>
              </w:rPr>
              <w:t>0.01</w:t>
            </w:r>
          </w:p>
        </w:tc>
        <w:tc>
          <w:tcPr>
            <w:tcW w:w="803" w:type="pct"/>
            <w:shd w:val="clear" w:color="auto" w:fill="auto"/>
            <w:vAlign w:val="center"/>
          </w:tcPr>
          <w:p w14:paraId="58FF82D2">
            <w:pPr>
              <w:pStyle w:val="45"/>
              <w:bidi w:val="0"/>
              <w:rPr>
                <w:rFonts w:hint="default"/>
                <w:lang w:val="en-US" w:eastAsia="zh-CN"/>
              </w:rPr>
            </w:pPr>
            <w:r>
              <w:rPr>
                <w:rFonts w:hint="eastAsia"/>
                <w:lang w:val="en-US" w:eastAsia="zh-CN"/>
              </w:rPr>
              <w:t>0</w:t>
            </w:r>
          </w:p>
        </w:tc>
        <w:tc>
          <w:tcPr>
            <w:tcW w:w="692" w:type="pct"/>
            <w:shd w:val="clear" w:color="auto" w:fill="auto"/>
            <w:noWrap/>
            <w:vAlign w:val="center"/>
          </w:tcPr>
          <w:p w14:paraId="4F90E15A">
            <w:pPr>
              <w:pStyle w:val="45"/>
              <w:bidi w:val="0"/>
              <w:ind w:firstLine="0" w:firstLineChars="0"/>
              <w:rPr>
                <w:rFonts w:hint="eastAsia" w:ascii="Times New Roman" w:hAnsi="Times New Roman" w:eastAsia="宋体" w:cs="宋体"/>
                <w:i w:val="0"/>
                <w:iCs w:val="0"/>
                <w:color w:val="000000"/>
                <w:kern w:val="0"/>
                <w:sz w:val="21"/>
                <w:szCs w:val="22"/>
                <w:u w:val="none"/>
                <w:lang w:val="en-US" w:eastAsia="zh-CN" w:bidi="ar"/>
              </w:rPr>
            </w:pPr>
            <w:r>
              <w:rPr>
                <w:rFonts w:hint="default"/>
                <w:lang w:val="en-US" w:eastAsia="zh-CN"/>
              </w:rPr>
              <w:t>0.01</w:t>
            </w:r>
          </w:p>
        </w:tc>
      </w:tr>
      <w:tr w14:paraId="07A6D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5" w:hRule="atLeast"/>
        </w:trPr>
        <w:tc>
          <w:tcPr>
            <w:tcW w:w="376" w:type="pct"/>
            <w:vMerge w:val="continue"/>
            <w:shd w:val="clear" w:color="auto" w:fill="auto"/>
            <w:vAlign w:val="center"/>
          </w:tcPr>
          <w:p w14:paraId="6CF5E364">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883" w:type="pct"/>
            <w:vMerge w:val="continue"/>
            <w:shd w:val="clear" w:color="auto" w:fill="auto"/>
            <w:vAlign w:val="center"/>
          </w:tcPr>
          <w:p w14:paraId="5EC0E5A0">
            <w:pPr>
              <w:keepNext w:val="0"/>
              <w:keepLines w:val="0"/>
              <w:suppressLineNumbers w:val="0"/>
              <w:adjustRightInd/>
              <w:spacing w:before="0" w:beforeAutospacing="0" w:after="0" w:afterAutospacing="0" w:line="240" w:lineRule="auto"/>
              <w:ind w:left="0" w:right="0" w:firstLine="0" w:firstLineChars="0"/>
              <w:jc w:val="center"/>
              <w:rPr>
                <w:rFonts w:hint="eastAsia" w:ascii="Times New Roman" w:hAnsi="Times New Roman" w:eastAsia="宋体" w:cs="宋体"/>
                <w:i w:val="0"/>
                <w:iCs w:val="0"/>
                <w:color w:val="000000"/>
                <w:sz w:val="21"/>
                <w:szCs w:val="21"/>
                <w:u w:val="none"/>
              </w:rPr>
            </w:pPr>
          </w:p>
        </w:tc>
        <w:tc>
          <w:tcPr>
            <w:tcW w:w="1376" w:type="pct"/>
            <w:shd w:val="clear" w:color="auto" w:fill="auto"/>
            <w:noWrap/>
            <w:vAlign w:val="center"/>
          </w:tcPr>
          <w:p w14:paraId="77EFC933">
            <w:pPr>
              <w:pStyle w:val="45"/>
              <w:bidi w:val="0"/>
              <w:rPr>
                <w:rFonts w:hint="eastAsia"/>
                <w:lang w:val="en-US" w:eastAsia="zh-CN"/>
              </w:rPr>
            </w:pPr>
            <w:r>
              <w:rPr>
                <w:rFonts w:hint="eastAsia"/>
                <w:lang w:val="en-US" w:eastAsia="zh-CN"/>
              </w:rPr>
              <w:t>废机油</w:t>
            </w:r>
          </w:p>
        </w:tc>
        <w:tc>
          <w:tcPr>
            <w:tcW w:w="867" w:type="pct"/>
            <w:shd w:val="clear" w:color="auto" w:fill="auto"/>
            <w:noWrap/>
            <w:vAlign w:val="center"/>
          </w:tcPr>
          <w:p w14:paraId="0151377B">
            <w:pPr>
              <w:pStyle w:val="45"/>
              <w:bidi w:val="0"/>
              <w:rPr>
                <w:rFonts w:hint="eastAsia"/>
                <w:lang w:val="en-US" w:eastAsia="zh-CN"/>
              </w:rPr>
            </w:pPr>
            <w:r>
              <w:rPr>
                <w:rFonts w:hint="default"/>
                <w:lang w:val="en-US" w:eastAsia="zh-CN"/>
              </w:rPr>
              <w:t>0.2</w:t>
            </w:r>
          </w:p>
        </w:tc>
        <w:tc>
          <w:tcPr>
            <w:tcW w:w="803" w:type="pct"/>
            <w:shd w:val="clear" w:color="auto" w:fill="auto"/>
            <w:vAlign w:val="center"/>
          </w:tcPr>
          <w:p w14:paraId="2681CBF8">
            <w:pPr>
              <w:pStyle w:val="45"/>
              <w:bidi w:val="0"/>
              <w:rPr>
                <w:rFonts w:hint="default"/>
                <w:lang w:val="en-US" w:eastAsia="zh-CN"/>
              </w:rPr>
            </w:pPr>
            <w:r>
              <w:rPr>
                <w:rFonts w:hint="eastAsia"/>
                <w:lang w:val="en-US" w:eastAsia="zh-CN"/>
              </w:rPr>
              <w:t>0</w:t>
            </w:r>
          </w:p>
        </w:tc>
        <w:tc>
          <w:tcPr>
            <w:tcW w:w="692" w:type="pct"/>
            <w:shd w:val="clear" w:color="auto" w:fill="auto"/>
            <w:noWrap/>
            <w:vAlign w:val="center"/>
          </w:tcPr>
          <w:p w14:paraId="68EABF2B">
            <w:pPr>
              <w:pStyle w:val="45"/>
              <w:bidi w:val="0"/>
              <w:ind w:firstLine="0" w:firstLineChars="0"/>
              <w:rPr>
                <w:rFonts w:hint="eastAsia" w:ascii="Times New Roman" w:hAnsi="Times New Roman" w:eastAsia="宋体" w:cs="宋体"/>
                <w:i w:val="0"/>
                <w:iCs w:val="0"/>
                <w:color w:val="000000"/>
                <w:kern w:val="0"/>
                <w:sz w:val="21"/>
                <w:szCs w:val="22"/>
                <w:u w:val="none"/>
                <w:lang w:val="en-US" w:eastAsia="zh-CN" w:bidi="ar"/>
              </w:rPr>
            </w:pPr>
            <w:r>
              <w:rPr>
                <w:rFonts w:hint="default"/>
                <w:lang w:val="en-US" w:eastAsia="zh-CN"/>
              </w:rPr>
              <w:t>0.2</w:t>
            </w:r>
          </w:p>
        </w:tc>
      </w:tr>
    </w:tbl>
    <w:p w14:paraId="5FDBC4B3">
      <w:pPr>
        <w:ind w:left="0" w:leftChars="0" w:firstLine="0" w:firstLineChars="0"/>
        <w:rPr>
          <w:rFonts w:hint="default"/>
          <w:lang w:val="en-US" w:eastAsia="zh-CN"/>
        </w:rPr>
      </w:pPr>
    </w:p>
    <w:p w14:paraId="580E5252">
      <w:pPr>
        <w:pStyle w:val="3"/>
        <w:numPr>
          <w:ilvl w:val="1"/>
          <w:numId w:val="1"/>
        </w:numPr>
      </w:pPr>
      <w:bookmarkStart w:id="138" w:name="_Toc27666"/>
      <w:r>
        <w:rPr>
          <w:rFonts w:hint="eastAsia"/>
        </w:rPr>
        <w:t>总量控制指标</w:t>
      </w:r>
      <w:bookmarkEnd w:id="136"/>
      <w:bookmarkEnd w:id="137"/>
      <w:r>
        <w:rPr>
          <w:rFonts w:hint="eastAsia"/>
        </w:rPr>
        <w:t>和清洁生产分析</w:t>
      </w:r>
      <w:bookmarkEnd w:id="138"/>
    </w:p>
    <w:p w14:paraId="21AF02F3">
      <w:pPr>
        <w:pStyle w:val="4"/>
        <w:numPr>
          <w:ilvl w:val="2"/>
          <w:numId w:val="1"/>
        </w:numPr>
      </w:pPr>
      <w:r>
        <w:rPr>
          <w:rFonts w:hint="eastAsia"/>
        </w:rPr>
        <w:t>总量控制目标和因子</w:t>
      </w:r>
    </w:p>
    <w:p w14:paraId="4510670A">
      <w:pPr>
        <w:ind w:firstLine="480"/>
      </w:pPr>
      <w:r>
        <w:rPr>
          <w:rFonts w:hint="eastAsia"/>
        </w:rPr>
        <w:t>根据生态环境部“十三五”期间国家实行排放总量控制的污染物中所列的主要控制污染物和湖南省的有关要求，总量控制因子为：</w:t>
      </w:r>
    </w:p>
    <w:p w14:paraId="13A88A6E">
      <w:pPr>
        <w:ind w:firstLine="480"/>
      </w:pPr>
      <w:r>
        <w:rPr>
          <w:rFonts w:hint="eastAsia"/>
        </w:rPr>
        <w:t>废水：COD、氨氮；大气：SO</w:t>
      </w:r>
      <w:r>
        <w:rPr>
          <w:rFonts w:hint="eastAsia"/>
          <w:vertAlign w:val="subscript"/>
        </w:rPr>
        <w:t>2</w:t>
      </w:r>
      <w:r>
        <w:rPr>
          <w:rFonts w:hint="eastAsia"/>
        </w:rPr>
        <w:t>、NO</w:t>
      </w:r>
      <w:r>
        <w:rPr>
          <w:rFonts w:hint="eastAsia"/>
          <w:vertAlign w:val="subscript"/>
        </w:rPr>
        <w:t>x</w:t>
      </w:r>
      <w:r>
        <w:rPr>
          <w:rFonts w:hint="eastAsia"/>
        </w:rPr>
        <w:t>、VOCs。</w:t>
      </w:r>
    </w:p>
    <w:p w14:paraId="4DB573A8">
      <w:pPr>
        <w:pStyle w:val="4"/>
        <w:numPr>
          <w:ilvl w:val="2"/>
          <w:numId w:val="1"/>
        </w:numPr>
      </w:pPr>
      <w:r>
        <w:rPr>
          <w:rFonts w:hint="eastAsia"/>
        </w:rPr>
        <w:t>总量控制分析</w:t>
      </w:r>
    </w:p>
    <w:p w14:paraId="171F7FF8">
      <w:pPr>
        <w:numPr>
          <w:ilvl w:val="0"/>
          <w:numId w:val="12"/>
        </w:numPr>
        <w:ind w:firstLine="480"/>
      </w:pPr>
      <w:r>
        <w:rPr>
          <w:rFonts w:hint="eastAsia"/>
        </w:rPr>
        <w:t>废水总量指标</w:t>
      </w:r>
    </w:p>
    <w:p w14:paraId="52AB9420">
      <w:pPr>
        <w:ind w:firstLine="480"/>
        <w:rPr>
          <w:rFonts w:hint="eastAsia"/>
          <w:highlight w:val="none"/>
          <w:lang w:val="en-US" w:eastAsia="zh-CN"/>
        </w:rPr>
      </w:pPr>
      <w:r>
        <w:rPr>
          <w:rFonts w:hint="eastAsia"/>
          <w:lang w:val="en-US" w:eastAsia="zh-CN"/>
        </w:rPr>
        <w:t>正常生产期间，项目生产废水、初期雨水均经处理后回用于生产，不外排；非生产期间，多余的初期雨水经处理达标后排入松木污水处理厂处理；生活污水经厂内化粪池预处理达标后再排入松木污水处理厂深度处理达标后排入湘江</w:t>
      </w:r>
      <w:r>
        <w:rPr>
          <w:rFonts w:hint="eastAsia"/>
          <w:highlight w:val="none"/>
          <w:lang w:val="en-US" w:eastAsia="zh-CN"/>
        </w:rPr>
        <w:t>。</w:t>
      </w:r>
    </w:p>
    <w:p w14:paraId="008C037E">
      <w:pPr>
        <w:ind w:firstLine="480"/>
        <w:rPr>
          <w:rFonts w:hint="default"/>
          <w:highlight w:val="none"/>
          <w:lang w:val="en-US" w:eastAsia="zh-CN"/>
        </w:rPr>
      </w:pPr>
      <w:r>
        <w:rPr>
          <w:rFonts w:hint="eastAsia"/>
          <w:highlight w:val="none"/>
          <w:lang w:val="en-US" w:eastAsia="zh-CN"/>
        </w:rPr>
        <w:t>根据前文核算，进入松木污水厂的生活污水COD、氨氮</w:t>
      </w:r>
      <w:r>
        <w:rPr>
          <w:rFonts w:hint="eastAsia"/>
          <w:highlight w:val="none"/>
        </w:rPr>
        <w:t>排放量分别为</w:t>
      </w:r>
      <w:r>
        <w:rPr>
          <w:rFonts w:hint="eastAsia"/>
          <w:highlight w:val="none"/>
          <w:lang w:val="en-US" w:eastAsia="zh-CN"/>
        </w:rPr>
        <w:t>0.3952</w:t>
      </w:r>
      <w:r>
        <w:rPr>
          <w:rFonts w:hint="eastAsia"/>
          <w:highlight w:val="none"/>
        </w:rPr>
        <w:t>t/a、</w:t>
      </w:r>
      <w:r>
        <w:rPr>
          <w:rFonts w:hint="eastAsia"/>
          <w:highlight w:val="none"/>
          <w:lang w:val="en-US" w:eastAsia="zh-CN"/>
        </w:rPr>
        <w:t>0.0494</w:t>
      </w:r>
      <w:r>
        <w:rPr>
          <w:rFonts w:hint="eastAsia"/>
          <w:highlight w:val="none"/>
        </w:rPr>
        <w:t>t/a</w:t>
      </w:r>
      <w:r>
        <w:rPr>
          <w:rFonts w:hint="eastAsia"/>
          <w:highlight w:val="none"/>
          <w:lang w:eastAsia="zh-CN"/>
        </w:rPr>
        <w:t>。</w:t>
      </w:r>
      <w:r>
        <w:rPr>
          <w:rFonts w:hint="eastAsia"/>
          <w:highlight w:val="none"/>
          <w:lang w:val="en-US" w:eastAsia="zh-CN"/>
        </w:rPr>
        <w:t>按照非生产期间核算，本项目排入松木污水厂最大水量约为初期雨水3600m</w:t>
      </w:r>
      <w:r>
        <w:rPr>
          <w:rFonts w:hint="eastAsia"/>
          <w:highlight w:val="none"/>
          <w:vertAlign w:val="superscript"/>
          <w:lang w:val="en-US" w:eastAsia="zh-CN"/>
        </w:rPr>
        <w:t>3</w:t>
      </w:r>
      <w:r>
        <w:rPr>
          <w:rFonts w:hint="eastAsia"/>
          <w:highlight w:val="none"/>
          <w:lang w:val="en-US" w:eastAsia="zh-CN"/>
        </w:rPr>
        <w:t>/a（降雨强度30mm，按年20次计），初期雨水COD、氨氮</w:t>
      </w:r>
      <w:r>
        <w:rPr>
          <w:rFonts w:hint="eastAsia"/>
          <w:highlight w:val="none"/>
        </w:rPr>
        <w:t>排放量分别为</w:t>
      </w:r>
      <w:r>
        <w:rPr>
          <w:rFonts w:hint="eastAsia"/>
          <w:highlight w:val="none"/>
          <w:lang w:val="en-US" w:eastAsia="zh-CN"/>
        </w:rPr>
        <w:t>0.72</w:t>
      </w:r>
      <w:r>
        <w:rPr>
          <w:rFonts w:hint="eastAsia"/>
          <w:highlight w:val="none"/>
        </w:rPr>
        <w:t>t/a、</w:t>
      </w:r>
      <w:r>
        <w:rPr>
          <w:rFonts w:hint="eastAsia"/>
          <w:highlight w:val="none"/>
          <w:lang w:val="en-US" w:eastAsia="zh-CN"/>
        </w:rPr>
        <w:t>0.018</w:t>
      </w:r>
      <w:r>
        <w:rPr>
          <w:rFonts w:hint="eastAsia"/>
          <w:highlight w:val="none"/>
        </w:rPr>
        <w:t>t/a</w:t>
      </w:r>
      <w:r>
        <w:rPr>
          <w:rFonts w:hint="eastAsia"/>
          <w:highlight w:val="none"/>
          <w:lang w:val="en-US" w:eastAsia="zh-CN"/>
        </w:rPr>
        <w:t>。</w:t>
      </w:r>
    </w:p>
    <w:p w14:paraId="564AC167">
      <w:pPr>
        <w:ind w:firstLine="480"/>
        <w:rPr>
          <w:highlight w:val="none"/>
        </w:rPr>
      </w:pPr>
      <w:r>
        <w:rPr>
          <w:rFonts w:hint="eastAsia"/>
          <w:highlight w:val="none"/>
          <w:lang w:val="en-US" w:eastAsia="zh-CN"/>
        </w:rPr>
        <w:t>综上，本项目废水不直接进入外环境，综合考虑生产期间及非生产期间，项目进入松木污水厂的COD、氨氮总量分别为1.1152t/a、0.0674t/a。松木污水厂排入外环境</w:t>
      </w:r>
      <w:r>
        <w:rPr>
          <w:rFonts w:hint="eastAsia"/>
          <w:highlight w:val="none"/>
        </w:rPr>
        <w:t>COD、氨氮</w:t>
      </w:r>
      <w:r>
        <w:rPr>
          <w:rFonts w:hint="eastAsia"/>
          <w:highlight w:val="none"/>
          <w:lang w:val="en-US" w:eastAsia="zh-CN"/>
        </w:rPr>
        <w:t>浓度标准分别为50mg/L、8mg/L，据此计算本项目通过松木污水厂排入外环境的COD、氨氮</w:t>
      </w:r>
      <w:r>
        <w:rPr>
          <w:rFonts w:hint="eastAsia"/>
          <w:highlight w:val="none"/>
        </w:rPr>
        <w:t>排放</w:t>
      </w:r>
      <w:r>
        <w:rPr>
          <w:rFonts w:hint="eastAsia"/>
          <w:highlight w:val="none"/>
          <w:lang w:val="en-US" w:eastAsia="zh-CN"/>
        </w:rPr>
        <w:t>指标</w:t>
      </w:r>
      <w:r>
        <w:rPr>
          <w:rFonts w:hint="eastAsia"/>
          <w:highlight w:val="none"/>
        </w:rPr>
        <w:t>量分别为0.</w:t>
      </w:r>
      <w:r>
        <w:rPr>
          <w:rFonts w:hint="eastAsia"/>
          <w:highlight w:val="none"/>
          <w:lang w:val="en-US" w:eastAsia="zh-CN"/>
        </w:rPr>
        <w:t>279</w:t>
      </w:r>
      <w:r>
        <w:rPr>
          <w:rFonts w:hint="eastAsia"/>
          <w:highlight w:val="none"/>
        </w:rPr>
        <w:t>t/a、</w:t>
      </w:r>
      <w:r>
        <w:rPr>
          <w:rFonts w:hint="eastAsia"/>
          <w:highlight w:val="none"/>
          <w:lang w:val="en-US" w:eastAsia="zh-CN"/>
        </w:rPr>
        <w:t>0.045</w:t>
      </w:r>
      <w:r>
        <w:rPr>
          <w:rFonts w:hint="eastAsia"/>
          <w:highlight w:val="none"/>
        </w:rPr>
        <w:t>t/a。</w:t>
      </w:r>
      <w:r>
        <w:rPr>
          <w:rFonts w:hint="eastAsia"/>
          <w:highlight w:val="none"/>
          <w:lang w:val="en-US" w:eastAsia="zh-CN"/>
        </w:rPr>
        <w:t>综上，本报告建议项目申请</w:t>
      </w:r>
      <w:r>
        <w:rPr>
          <w:rFonts w:hint="eastAsia"/>
          <w:highlight w:val="none"/>
        </w:rPr>
        <w:t>COD、氨氮</w:t>
      </w:r>
      <w:r>
        <w:rPr>
          <w:rFonts w:hint="eastAsia"/>
          <w:highlight w:val="none"/>
          <w:lang w:val="en-US" w:eastAsia="zh-CN"/>
        </w:rPr>
        <w:t>排放总量指标1.1152t/a、0.0674t/a</w:t>
      </w:r>
      <w:r>
        <w:rPr>
          <w:rFonts w:hint="eastAsia"/>
          <w:highlight w:val="none"/>
        </w:rPr>
        <w:t>。</w:t>
      </w:r>
    </w:p>
    <w:p w14:paraId="16E22499">
      <w:pPr>
        <w:numPr>
          <w:ilvl w:val="0"/>
          <w:numId w:val="12"/>
        </w:numPr>
        <w:ind w:firstLine="480"/>
      </w:pPr>
      <w:r>
        <w:rPr>
          <w:rFonts w:hint="eastAsia"/>
        </w:rPr>
        <w:t>废气总量指标</w:t>
      </w:r>
    </w:p>
    <w:p w14:paraId="2320CFE5">
      <w:pPr>
        <w:ind w:firstLine="480"/>
      </w:pPr>
      <w:r>
        <w:rPr>
          <w:rFonts w:hint="eastAsia"/>
        </w:rPr>
        <w:t>本项目涉及的废气为氯气、氯化氢、颗粒物。均不属于总量控制因子。因此，本项目无需申请废气总量指标。</w:t>
      </w:r>
    </w:p>
    <w:p w14:paraId="2C9EBE0C">
      <w:pPr>
        <w:ind w:firstLine="480"/>
      </w:pPr>
      <w:r>
        <w:rPr>
          <w:rFonts w:hint="eastAsia"/>
        </w:rPr>
        <w:t>综上，</w:t>
      </w:r>
      <w:r>
        <w:rPr>
          <w:rFonts w:hint="eastAsia"/>
          <w:lang w:val="en-US" w:eastAsia="zh-CN"/>
        </w:rPr>
        <w:t>建议</w:t>
      </w:r>
      <w:r>
        <w:rPr>
          <w:rFonts w:hint="eastAsia"/>
        </w:rPr>
        <w:t>本项目申请</w:t>
      </w:r>
      <w:r>
        <w:rPr>
          <w:rFonts w:hint="eastAsia"/>
          <w:lang w:val="en-US" w:eastAsia="zh-CN"/>
        </w:rPr>
        <w:t>废水</w:t>
      </w:r>
      <w:r>
        <w:rPr>
          <w:rFonts w:hint="eastAsia"/>
        </w:rPr>
        <w:t>总量控制指标</w:t>
      </w:r>
      <w:r>
        <w:rPr>
          <w:rFonts w:hint="eastAsia"/>
          <w:highlight w:val="none"/>
          <w:lang w:val="en-US" w:eastAsia="zh-CN"/>
        </w:rPr>
        <w:t>COD、氨氮分别为1.1152t/a、0.0674t/a</w:t>
      </w:r>
      <w:r>
        <w:rPr>
          <w:rFonts w:hint="eastAsia"/>
        </w:rPr>
        <w:t>。</w:t>
      </w:r>
    </w:p>
    <w:p w14:paraId="24C5CEA8">
      <w:pPr>
        <w:pStyle w:val="4"/>
        <w:numPr>
          <w:ilvl w:val="2"/>
          <w:numId w:val="1"/>
        </w:numPr>
      </w:pPr>
      <w:r>
        <w:rPr>
          <w:rFonts w:hint="eastAsia"/>
        </w:rPr>
        <w:t>清洁生产分析</w:t>
      </w:r>
    </w:p>
    <w:p w14:paraId="39519AEC">
      <w:pPr>
        <w:ind w:firstLine="480"/>
      </w:pPr>
      <w:r>
        <w:t>清洁生产是指不断采取改进设计、使用清洁的能源和原料、采用先进的工艺技术与设备、改善管理、综合利用等从源头削减的措施，提高资源利用效率，减少或 者避免生产、服务和产品使用过程中污染物的产生和排放，以减轻或者消除对人类健康和环境的危害。</w:t>
      </w:r>
    </w:p>
    <w:p w14:paraId="07DFE441">
      <w:pPr>
        <w:ind w:firstLine="480"/>
      </w:pPr>
      <w:r>
        <w:t>本项目属于</w:t>
      </w:r>
      <w:r>
        <w:rPr>
          <w:rFonts w:hint="eastAsia"/>
        </w:rPr>
        <w:t>无机盐制造</w:t>
      </w:r>
      <w:r>
        <w:t>，目前国家尚未发布关于相关行业的清洁生产标准或清洁生产评价指标体系。本次评价按照清洁生产相关管理要求，</w:t>
      </w:r>
      <w:r>
        <w:rPr>
          <w:rFonts w:hint="eastAsia"/>
        </w:rPr>
        <w:t>从</w:t>
      </w:r>
      <w:r>
        <w:t>生产原辅材料和能源、技术工艺、设备、过程控制、产品、管理、员工和废物八个方面进行分析，来确定项目的清洁生产水平，并提出清洁生产的建议和措施。</w:t>
      </w:r>
    </w:p>
    <w:p w14:paraId="3FA92467">
      <w:pPr>
        <w:pStyle w:val="5"/>
        <w:numPr>
          <w:ilvl w:val="3"/>
          <w:numId w:val="1"/>
        </w:numPr>
      </w:pPr>
      <w:r>
        <w:rPr>
          <w:rFonts w:hint="eastAsia"/>
        </w:rPr>
        <w:t>产品</w:t>
      </w:r>
    </w:p>
    <w:p w14:paraId="2C42CB57">
      <w:pPr>
        <w:ind w:firstLine="480"/>
        <w:rPr>
          <w:rFonts w:hint="eastAsia"/>
        </w:rPr>
      </w:pPr>
      <w:r>
        <w:rPr>
          <w:rFonts w:hint="eastAsia"/>
        </w:rPr>
        <w:t>项目在生产、包装、储运等方面都必须向国际规则与标准靠拢。项目产品在包装过程中严格按照以下要求进行：</w:t>
      </w:r>
    </w:p>
    <w:p w14:paraId="3A8DC20B">
      <w:pPr>
        <w:ind w:firstLine="480"/>
        <w:rPr>
          <w:rFonts w:hint="eastAsia"/>
        </w:rPr>
      </w:pPr>
      <w:r>
        <w:rPr>
          <w:rFonts w:hint="eastAsia"/>
        </w:rPr>
        <w:t>⑴包装管理</w:t>
      </w:r>
    </w:p>
    <w:p w14:paraId="6C8C78BB">
      <w:pPr>
        <w:ind w:firstLine="480"/>
        <w:rPr>
          <w:rFonts w:hint="eastAsia"/>
        </w:rPr>
      </w:pPr>
      <w:r>
        <w:rPr>
          <w:rFonts w:hint="eastAsia"/>
        </w:rPr>
        <w:t>①供销部门负责按包装物标准要求采购包装物，产品必须用合格的包装物包装。</w:t>
      </w:r>
    </w:p>
    <w:p w14:paraId="4898D604">
      <w:pPr>
        <w:ind w:firstLine="480"/>
        <w:rPr>
          <w:rFonts w:hint="eastAsia"/>
        </w:rPr>
      </w:pPr>
      <w:r>
        <w:rPr>
          <w:rFonts w:hint="eastAsia"/>
        </w:rPr>
        <w:t>②包装环境条件要符合技术标准要求，防止外界杂质污染产品，包装所用的材质要适宜，不与所接触的产品发生物理、化学作用，并保持干净。</w:t>
      </w:r>
    </w:p>
    <w:p w14:paraId="5135B0A2">
      <w:pPr>
        <w:ind w:firstLine="480"/>
        <w:rPr>
          <w:rFonts w:hint="eastAsia"/>
        </w:rPr>
      </w:pPr>
      <w:r>
        <w:rPr>
          <w:rFonts w:hint="eastAsia"/>
        </w:rPr>
        <w:t>③包装前生产装置或产品储存装置必须对包装容器或包装袋进行检查，凡桶、罐、汽车、罐车等若有余液、铁锈、杂物或桶盖阀门不全者等均视为不合格包装物，严禁使用。</w:t>
      </w:r>
    </w:p>
    <w:p w14:paraId="2254C2D2">
      <w:pPr>
        <w:ind w:firstLine="480"/>
        <w:rPr>
          <w:rFonts w:hint="eastAsia"/>
        </w:rPr>
      </w:pPr>
      <w:r>
        <w:rPr>
          <w:rFonts w:hint="eastAsia"/>
        </w:rPr>
        <w:t>④包装容器必须专用，不得因包装而影响产品内在质量。改装其它品种时必须刷洗干净，更换产品标志，经检查合格，方可使用。</w:t>
      </w:r>
    </w:p>
    <w:p w14:paraId="060ED048">
      <w:pPr>
        <w:ind w:firstLine="480"/>
        <w:rPr>
          <w:rFonts w:hint="eastAsia"/>
        </w:rPr>
      </w:pPr>
      <w:r>
        <w:rPr>
          <w:rFonts w:hint="eastAsia"/>
        </w:rPr>
        <w:t>⑤包装时，不允许掺杂批次不同的产品和不合格品，包装液体产品时，不允许一边包装一边进料。包装结束后，密封容器封盖，并进行单件包装产品的额定重量抽查。</w:t>
      </w:r>
    </w:p>
    <w:p w14:paraId="5C4EF6AA">
      <w:pPr>
        <w:pStyle w:val="38"/>
        <w:ind w:firstLine="480" w:firstLineChars="200"/>
        <w:rPr>
          <w:rFonts w:hint="eastAsia"/>
        </w:rPr>
      </w:pPr>
      <w:r>
        <w:rPr>
          <w:rFonts w:hint="eastAsia"/>
        </w:rPr>
        <w:t>⑵产品标识管理</w:t>
      </w:r>
    </w:p>
    <w:p w14:paraId="610F8AEF">
      <w:pPr>
        <w:pStyle w:val="38"/>
        <w:ind w:firstLine="480" w:firstLineChars="200"/>
        <w:rPr>
          <w:rFonts w:hint="eastAsia"/>
        </w:rPr>
      </w:pPr>
      <w:r>
        <w:rPr>
          <w:rFonts w:hint="eastAsia"/>
        </w:rPr>
        <w:t>①产品标识应符合《产品标识标注规定》的要求。包装物必须有明显的标志，内容包括：产品名称、批号、毛重、净重、生产厂名称和地址等，需要时应标出防火、危险、剧毒等标志或字样。</w:t>
      </w:r>
    </w:p>
    <w:p w14:paraId="736A8A26">
      <w:pPr>
        <w:pStyle w:val="38"/>
        <w:ind w:firstLine="480" w:firstLineChars="200"/>
        <w:rPr>
          <w:rFonts w:hint="eastAsia"/>
        </w:rPr>
      </w:pPr>
      <w:r>
        <w:rPr>
          <w:rFonts w:hint="eastAsia"/>
        </w:rPr>
        <w:t>②出厂产品均按生产日期顺序进行批号标识。</w:t>
      </w:r>
    </w:p>
    <w:p w14:paraId="2BBA94A4">
      <w:pPr>
        <w:pStyle w:val="38"/>
        <w:ind w:firstLine="480" w:firstLineChars="200"/>
        <w:rPr>
          <w:rFonts w:hint="eastAsia"/>
        </w:rPr>
      </w:pPr>
      <w:r>
        <w:rPr>
          <w:rFonts w:hint="eastAsia"/>
        </w:rPr>
        <w:t>③进厂化工原料经化验室检验后，原料储存装置按质量管理部门出据的原料质量分析检验单对入库原料进行正确标记、存放。</w:t>
      </w:r>
    </w:p>
    <w:p w14:paraId="6E11B4A2">
      <w:pPr>
        <w:pStyle w:val="38"/>
        <w:ind w:firstLine="480" w:firstLineChars="200"/>
        <w:rPr>
          <w:rFonts w:hint="eastAsia"/>
        </w:rPr>
      </w:pPr>
      <w:r>
        <w:rPr>
          <w:rFonts w:hint="eastAsia"/>
        </w:rPr>
        <w:t>④化工生产必须使用带有合格标记的原料。没有合格标记的原料不准投入生产。</w:t>
      </w:r>
    </w:p>
    <w:p w14:paraId="44BA9A18">
      <w:pPr>
        <w:pStyle w:val="38"/>
        <w:ind w:firstLine="480" w:firstLineChars="200"/>
        <w:rPr>
          <w:rFonts w:hint="eastAsia"/>
        </w:rPr>
      </w:pPr>
      <w:r>
        <w:rPr>
          <w:rFonts w:hint="eastAsia"/>
        </w:rPr>
        <w:t>⑤产品标识应统一制定。按装置产品生产批号进行最终产品检验，做好记录，</w:t>
      </w:r>
    </w:p>
    <w:p w14:paraId="075F9FDC">
      <w:pPr>
        <w:pStyle w:val="38"/>
        <w:rPr>
          <w:rFonts w:hint="eastAsia"/>
        </w:rPr>
      </w:pPr>
      <w:r>
        <w:rPr>
          <w:rFonts w:hint="eastAsia"/>
        </w:rPr>
        <w:t>并在质量检验单中对最终产品的质量状态进行标记。</w:t>
      </w:r>
    </w:p>
    <w:p w14:paraId="2E3152A8">
      <w:pPr>
        <w:pStyle w:val="38"/>
        <w:ind w:firstLine="480" w:firstLineChars="200"/>
        <w:rPr>
          <w:rFonts w:hint="eastAsia"/>
        </w:rPr>
      </w:pPr>
      <w:r>
        <w:rPr>
          <w:rFonts w:hint="eastAsia"/>
        </w:rPr>
        <w:t>⑥最终产品在包装时，生产装置应在包装物上做好包装标记，并保证易于识别。</w:t>
      </w:r>
    </w:p>
    <w:p w14:paraId="756A1986">
      <w:pPr>
        <w:pStyle w:val="38"/>
        <w:ind w:firstLine="480" w:firstLineChars="200"/>
        <w:rPr>
          <w:rFonts w:hint="eastAsia"/>
        </w:rPr>
      </w:pPr>
      <w:r>
        <w:rPr>
          <w:rFonts w:hint="eastAsia"/>
        </w:rPr>
        <w:t>⑦最终产品入成品库后，成品库管理人员应按化验室出具的产品质量检验单，</w:t>
      </w:r>
    </w:p>
    <w:p w14:paraId="196D0281">
      <w:pPr>
        <w:pStyle w:val="38"/>
      </w:pPr>
      <w:r>
        <w:rPr>
          <w:rFonts w:hint="eastAsia"/>
        </w:rPr>
        <w:t>按产品的种类、等级等进行标记存放。</w:t>
      </w:r>
    </w:p>
    <w:p w14:paraId="33C27349">
      <w:pPr>
        <w:ind w:firstLine="480"/>
        <w:rPr>
          <w:rFonts w:hint="eastAsia"/>
        </w:rPr>
      </w:pPr>
      <w:r>
        <w:rPr>
          <w:rFonts w:hint="eastAsia"/>
        </w:rPr>
        <w:t>⑧产品出厂时，化验室随产品开据交付产品质量检验单，作为出厂产品质量合格的证据。</w:t>
      </w:r>
    </w:p>
    <w:p w14:paraId="213FFF75">
      <w:pPr>
        <w:ind w:firstLine="480"/>
        <w:rPr>
          <w:rFonts w:hint="eastAsia"/>
        </w:rPr>
      </w:pPr>
      <w:r>
        <w:rPr>
          <w:rFonts w:hint="eastAsia"/>
        </w:rPr>
        <w:t>⑨对不合格产品生产装置要作出特殊标记，同合格品严格加以区分，隔离存放。</w:t>
      </w:r>
    </w:p>
    <w:p w14:paraId="625925D0">
      <w:pPr>
        <w:ind w:firstLine="480"/>
        <w:rPr>
          <w:rFonts w:hint="eastAsia"/>
        </w:rPr>
      </w:pPr>
      <w:r>
        <w:rPr>
          <w:rFonts w:hint="eastAsia"/>
        </w:rPr>
        <w:t>⑩在进行产品标识时，应严格按标记要求进行，并妥善保管好产品标识记录，以保证在有可追溯要求时可以实现追溯。</w:t>
      </w:r>
    </w:p>
    <w:p w14:paraId="157E58FC">
      <w:pPr>
        <w:ind w:firstLine="480"/>
      </w:pPr>
      <w:r>
        <w:rPr>
          <w:rFonts w:hint="eastAsia"/>
        </w:rPr>
        <w:t>综上所述，本项目产品符合清洁生产的要求。</w:t>
      </w:r>
    </w:p>
    <w:p w14:paraId="40D58D63">
      <w:pPr>
        <w:pStyle w:val="5"/>
        <w:numPr>
          <w:ilvl w:val="3"/>
          <w:numId w:val="1"/>
        </w:numPr>
      </w:pPr>
      <w:r>
        <w:rPr>
          <w:rFonts w:hint="eastAsia"/>
        </w:rPr>
        <w:t>原料、生产工艺与设备</w:t>
      </w:r>
    </w:p>
    <w:p w14:paraId="5B6779C2">
      <w:pPr>
        <w:pStyle w:val="6"/>
        <w:bidi w:val="0"/>
      </w:pPr>
      <w:r>
        <w:rPr>
          <w:rFonts w:hint="eastAsia"/>
        </w:rPr>
        <w:t>原辅材料</w:t>
      </w:r>
    </w:p>
    <w:p w14:paraId="6329F831">
      <w:pPr>
        <w:ind w:firstLine="480"/>
      </w:pPr>
      <w:r>
        <w:rPr>
          <w:rFonts w:hint="eastAsia"/>
        </w:rPr>
        <w:t>项目所需的原辅材料主要有氯化钠、氯化钾、氯化钡、重铬酸钠、31%盐酸、液碱等，其中重铬酸钠和氯化钡具有毒性、液碱和31%盐酸具有腐蚀性，生产过程中的中间产物Cl</w:t>
      </w:r>
      <w:r>
        <w:rPr>
          <w:rFonts w:hint="eastAsia"/>
          <w:vertAlign w:val="subscript"/>
        </w:rPr>
        <w:t>2</w:t>
      </w:r>
      <w:r>
        <w:rPr>
          <w:rFonts w:hint="eastAsia"/>
        </w:rPr>
        <w:t>和HCl具有较强的毒性，因此工程原辅材料的清洁生产水平评价主要取决于能否采用无毒、低毒的原料替代毒性大的原料，采用优质的原材料替代低劣的原料，以减少污染物的产生。</w:t>
      </w:r>
    </w:p>
    <w:p w14:paraId="21407F81">
      <w:pPr>
        <w:ind w:firstLine="480"/>
      </w:pPr>
      <w:r>
        <w:rPr>
          <w:rFonts w:hint="eastAsia"/>
        </w:rPr>
        <w:t>项目的清洁生产水平主要体现在以下几个方面：</w:t>
      </w:r>
    </w:p>
    <w:p w14:paraId="77036676">
      <w:pPr>
        <w:ind w:firstLine="480"/>
      </w:pPr>
      <w:r>
        <w:rPr>
          <w:rFonts w:hint="eastAsia"/>
        </w:rPr>
        <w:t>（1）工程原辅材料选取低杂质、高纯度的化工原料，氯化钠、氯化钾和氯化铵纯度均达到国家质量标准一等品，以减少在生产过程中的副产物和有毒污染物的产生量；</w:t>
      </w:r>
    </w:p>
    <w:p w14:paraId="1AB5C3A9">
      <w:pPr>
        <w:ind w:firstLine="480"/>
      </w:pPr>
      <w:r>
        <w:rPr>
          <w:rFonts w:hint="eastAsia"/>
        </w:rPr>
        <w:t>（2）原辅材料的存储和输送设备选取密封性能好的生产设备，最大程度的减少物料的无组织散失；</w:t>
      </w:r>
    </w:p>
    <w:p w14:paraId="29F339BA">
      <w:pPr>
        <w:ind w:firstLine="480"/>
      </w:pPr>
      <w:r>
        <w:rPr>
          <w:rFonts w:hint="eastAsia"/>
        </w:rPr>
        <w:t>（3）本项目原辅材料不含氟化钠等有毒物质；</w:t>
      </w:r>
    </w:p>
    <w:p w14:paraId="2587CE95">
      <w:pPr>
        <w:ind w:firstLine="480"/>
      </w:pPr>
      <w:r>
        <w:rPr>
          <w:rFonts w:hint="eastAsia"/>
        </w:rPr>
        <w:t>（4）原辅材料的计量精准，生产连续，电解母液和真空冷凝全部回用，可有效减少物料消耗；</w:t>
      </w:r>
    </w:p>
    <w:p w14:paraId="1DBE6AF1">
      <w:pPr>
        <w:ind w:firstLine="480"/>
      </w:pPr>
      <w:r>
        <w:rPr>
          <w:rFonts w:hint="eastAsia"/>
        </w:rPr>
        <w:t>（5）原辅材料的管理规范化，设置专门人员对物料进行管理；</w:t>
      </w:r>
    </w:p>
    <w:p w14:paraId="01A373A6">
      <w:pPr>
        <w:ind w:firstLine="480"/>
      </w:pPr>
      <w:r>
        <w:rPr>
          <w:rFonts w:hint="eastAsia"/>
        </w:rPr>
        <w:t>本项目在满足以上条件的基础上，本工程原辅材料方面可以满足清洁生产的要求。</w:t>
      </w:r>
    </w:p>
    <w:p w14:paraId="62BAE574">
      <w:pPr>
        <w:pStyle w:val="6"/>
        <w:bidi w:val="0"/>
      </w:pPr>
      <w:r>
        <w:rPr>
          <w:rFonts w:hint="eastAsia"/>
        </w:rPr>
        <w:t>能源</w:t>
      </w:r>
    </w:p>
    <w:p w14:paraId="49C37A73">
      <w:pPr>
        <w:ind w:firstLine="480"/>
      </w:pPr>
      <w:r>
        <w:rPr>
          <w:rFonts w:hint="eastAsia"/>
        </w:rPr>
        <w:t>本项目生产过程中能源消耗主要为水和电，其中：水主要为两部分，分为新鲜水和回用水，新鲜水用量为71456m</w:t>
      </w:r>
      <w:r>
        <w:rPr>
          <w:rFonts w:hint="eastAsia"/>
          <w:vertAlign w:val="superscript"/>
        </w:rPr>
        <w:t>3</w:t>
      </w:r>
      <w:r>
        <w:rPr>
          <w:rFonts w:hint="eastAsia"/>
        </w:rPr>
        <w:t>/a，回用水量为34897m</w:t>
      </w:r>
      <w:r>
        <w:rPr>
          <w:rFonts w:hint="eastAsia"/>
          <w:vertAlign w:val="superscript"/>
        </w:rPr>
        <w:t>3</w:t>
      </w:r>
      <w:r>
        <w:rPr>
          <w:rFonts w:hint="eastAsia"/>
        </w:rPr>
        <w:t>/a；项目年用电量为</w:t>
      </w:r>
      <w:r>
        <w:rPr>
          <w:rFonts w:hint="default"/>
        </w:rPr>
        <w:t>7637.92</w:t>
      </w:r>
      <w:r>
        <w:rPr>
          <w:rFonts w:hint="eastAsia"/>
        </w:rPr>
        <w:t>万KWh/a。</w:t>
      </w:r>
      <w:r>
        <w:rPr>
          <w:rFonts w:hint="eastAsia"/>
          <w:lang w:val="en-US" w:eastAsia="zh-CN"/>
        </w:rPr>
        <w:t>项</w:t>
      </w:r>
      <w:r>
        <w:rPr>
          <w:rFonts w:hint="eastAsia"/>
        </w:rPr>
        <w:t>目水生产过程中回收氯化钠，减少了项目原料氯化钠的使用，同时，对于电解装置产生的蒸汽收集后用于蒸发工序，即节约了能源又减少了对环境的污染，其资源能源消耗水平较低，并且环境效益明显。</w:t>
      </w:r>
    </w:p>
    <w:p w14:paraId="010BBDD2">
      <w:pPr>
        <w:pStyle w:val="6"/>
        <w:bidi w:val="0"/>
      </w:pPr>
      <w:r>
        <w:rPr>
          <w:rFonts w:hint="eastAsia"/>
        </w:rPr>
        <w:t>技术工艺</w:t>
      </w:r>
    </w:p>
    <w:p w14:paraId="0FCE4C24">
      <w:pPr>
        <w:pStyle w:val="7"/>
        <w:bidi w:val="0"/>
      </w:pPr>
      <w:r>
        <w:rPr>
          <w:rFonts w:hint="eastAsia"/>
        </w:rPr>
        <w:t>（1）氯酸钠工艺选择</w:t>
      </w:r>
    </w:p>
    <w:p w14:paraId="327930E1">
      <w:pPr>
        <w:ind w:firstLine="480"/>
      </w:pPr>
      <w:r>
        <w:t>目前国际工业化生产氯酸钠的原料路线主要有两条：化学法和电解法。</w:t>
      </w:r>
    </w:p>
    <w:p w14:paraId="06A46B57">
      <w:pPr>
        <w:ind w:firstLine="480"/>
      </w:pPr>
      <w:r>
        <w:t>化学法是以石灰为原料将石灰制成石灰乳，然后氯化，再加入硫酸钠或碳酸钠进行复分解反应，生产氯酸钠和硫酸钙或碳酸钙混合溶液，经结晶、过滤、干燥后得到氯酸钠产品。由于生产工艺流程长、占地面积大、操作环境差、生产成本高等原因，目前国内氯酸钠生产多采用电解法。</w:t>
      </w:r>
    </w:p>
    <w:p w14:paraId="060A1EF8">
      <w:pPr>
        <w:ind w:firstLine="480"/>
      </w:pPr>
      <w:r>
        <w:t>电解法是将经精制后的氯化钠进入外循环金属阳极氯酸钠电解槽进行电解，使氯化钠电解成氯酸钠液体，液态氯酸钠利用氯酸钠电解反应过程中产生的热能，经低温真空蒸发析出氯酸钠晶体，最后经晶液分离即得氯酸钠成品，母液返回氯化钠精制循环利用，氯酸钠的蒸发结晶不需燃煤、蒸汽。</w:t>
      </w:r>
    </w:p>
    <w:p w14:paraId="50D231F2">
      <w:pPr>
        <w:ind w:firstLine="480"/>
      </w:pPr>
      <w:r>
        <w:t>①盐水精制工序</w:t>
      </w:r>
    </w:p>
    <w:p w14:paraId="3FF1463C">
      <w:pPr>
        <w:ind w:firstLine="480"/>
      </w:pPr>
      <w:r>
        <w:t>该工艺去除盐水中较高的有机物、氢氧化镁等杂质，技术具有工艺流程短、占地面积小、不受原盐中钙镁离子比例限制、单台过滤器处理量大、操作自动化程度高、精制盐水质量高等显著特点。因此本项目拟采用膜过滤分离技术，目前国内氯碱行业的生产厂家所采用的陶瓷膜分离技术并选用过滤器等成套设备。</w:t>
      </w:r>
    </w:p>
    <w:p w14:paraId="127F8C3A">
      <w:pPr>
        <w:ind w:firstLine="480"/>
      </w:pPr>
      <w:r>
        <w:t>②电解工序</w:t>
      </w:r>
    </w:p>
    <w:p w14:paraId="47C02EE2">
      <w:pPr>
        <w:ind w:firstLine="480"/>
      </w:pPr>
      <w:r>
        <w:t>氯酸钠生产有电解法和化学法，化学法生产工艺流程长、占地面积大、生产环境较差，劳动强度大，生产成本较高等原因，化学法工艺路线基本上逐渐被淘汰。目前生产氯酸钠主要采用电解法。而电解法生产氯酸钠的关键设备在于电解槽，对电解槽的型式的选择及电解技术的先进与否，将直接关系到生产氯酸钠的成本，因为生产氯酸钠的成本主要在于电耗，电耗约占产品成本的50～60%左右，因此国内外氯酸钠各生产厂家对电解槽型的选择及电解技术的改进都给予高度重视。</w:t>
      </w:r>
    </w:p>
    <w:p w14:paraId="64C52BFC">
      <w:pPr>
        <w:ind w:firstLine="480"/>
      </w:pPr>
      <w:r>
        <w:t>电解槽按其电极结构分为单极槽和复极槽两种，它们二者反应原理、电极过程和电极材质，电解过程的PH 值，电解温度等方面是相同的。但单极槽与复极槽相比有如下优点：</w:t>
      </w:r>
    </w:p>
    <w:p w14:paraId="703E10C5">
      <w:pPr>
        <w:ind w:firstLine="480"/>
      </w:pPr>
      <w:r>
        <w:t>A.单极槽结构简单，易于维修。</w:t>
      </w:r>
    </w:p>
    <w:p w14:paraId="0BD1B237">
      <w:pPr>
        <w:ind w:firstLine="480"/>
      </w:pPr>
      <w:r>
        <w:t>B.单极槽采用自然循环，寿命更长。</w:t>
      </w:r>
    </w:p>
    <w:p w14:paraId="3B75C5BF">
      <w:pPr>
        <w:ind w:firstLine="480"/>
      </w:pPr>
      <w:r>
        <w:t>C.单极槽由于运行电流高，可控硅调节可靠性比较高。单极槽除上述优点外，其技术的运用在国内更为成熟，目前国内大多数厂家均采用单极式电解槽。目前，国外电解槽一般都采用金属阳极电解槽，阳极材料以钛为基体，以保证金属阳极在周围氧化氛围中不受电化学过程的腐蚀。电极形状一般采用板式，而又分为单极式和复极式。电解操作是连续的，为了避免在电解过程中产生副反应，提高氯酸钠产量及电流效率，国外一般采用外循环电解技术。不论哪一种电解槽或电解系统，都是根据电解氯酸钠的反应原理，把电化学反应区和化学反应区分开，减少或避免副反应，从而提高电流效率；电解槽结构上通过最大限度地缩小极距，减少一类导体欧姆降和接触电阻，提高电压效率，以达到降低电耗之目的。</w:t>
      </w:r>
    </w:p>
    <w:p w14:paraId="366F723C">
      <w:pPr>
        <w:pStyle w:val="43"/>
        <w:numPr>
          <w:ilvl w:val="5"/>
          <w:numId w:val="1"/>
        </w:numPr>
        <w:rPr>
          <w:rFonts w:hint="default"/>
        </w:rPr>
      </w:pPr>
      <w:r>
        <w:rPr>
          <w:rFonts w:hint="default"/>
        </w:rPr>
        <w:t>国内外氯酸盐电解槽技术比较表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0"/>
        <w:gridCol w:w="1309"/>
        <w:gridCol w:w="1667"/>
        <w:gridCol w:w="1288"/>
        <w:gridCol w:w="1288"/>
        <w:gridCol w:w="1307"/>
      </w:tblGrid>
      <w:tr w14:paraId="3A473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blHeader/>
        </w:trPr>
        <w:tc>
          <w:tcPr>
            <w:tcW w:w="974" w:type="pct"/>
            <w:vMerge w:val="restart"/>
            <w:tcBorders>
              <w:tl2br w:val="nil"/>
              <w:tr2bl w:val="nil"/>
            </w:tcBorders>
            <w:vAlign w:val="center"/>
          </w:tcPr>
          <w:p w14:paraId="37208D91">
            <w:pPr>
              <w:pStyle w:val="45"/>
              <w:jc w:val="center"/>
              <w:rPr>
                <w:rFonts w:hint="default"/>
                <w:b/>
                <w:bCs/>
              </w:rPr>
            </w:pPr>
            <w:r>
              <w:rPr>
                <w:rFonts w:hint="default"/>
                <w:b/>
                <w:bCs/>
              </w:rPr>
              <w:t>项目</w:t>
            </w:r>
          </w:p>
        </w:tc>
        <w:tc>
          <w:tcPr>
            <w:tcW w:w="4025" w:type="pct"/>
            <w:gridSpan w:val="5"/>
            <w:tcBorders>
              <w:tl2br w:val="nil"/>
              <w:tr2bl w:val="nil"/>
            </w:tcBorders>
            <w:vAlign w:val="center"/>
          </w:tcPr>
          <w:p w14:paraId="6A2B0A35">
            <w:pPr>
              <w:pStyle w:val="45"/>
              <w:jc w:val="center"/>
              <w:rPr>
                <w:rFonts w:hint="default"/>
                <w:b/>
                <w:bCs/>
              </w:rPr>
            </w:pPr>
            <w:r>
              <w:rPr>
                <w:b/>
                <w:bCs/>
              </w:rPr>
              <w:t>槽型比较</w:t>
            </w:r>
          </w:p>
        </w:tc>
      </w:tr>
      <w:tr w14:paraId="0B359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blHeader/>
        </w:trPr>
        <w:tc>
          <w:tcPr>
            <w:tcW w:w="974" w:type="pct"/>
            <w:vMerge w:val="continue"/>
            <w:tcBorders>
              <w:tl2br w:val="nil"/>
              <w:tr2bl w:val="nil"/>
            </w:tcBorders>
            <w:vAlign w:val="center"/>
          </w:tcPr>
          <w:p w14:paraId="651B1DC6">
            <w:pPr>
              <w:pStyle w:val="45"/>
              <w:jc w:val="center"/>
              <w:rPr>
                <w:rFonts w:hint="default"/>
                <w:b/>
                <w:bCs/>
              </w:rPr>
            </w:pPr>
          </w:p>
        </w:tc>
        <w:tc>
          <w:tcPr>
            <w:tcW w:w="768" w:type="pct"/>
            <w:tcBorders>
              <w:tl2br w:val="nil"/>
              <w:tr2bl w:val="nil"/>
            </w:tcBorders>
            <w:vAlign w:val="center"/>
          </w:tcPr>
          <w:p w14:paraId="53219561">
            <w:pPr>
              <w:pStyle w:val="45"/>
              <w:jc w:val="center"/>
              <w:rPr>
                <w:rFonts w:hint="default"/>
                <w:b/>
                <w:bCs/>
              </w:rPr>
            </w:pPr>
            <w:r>
              <w:rPr>
                <w:rFonts w:hint="default"/>
                <w:b/>
                <w:bCs/>
              </w:rPr>
              <w:t>法国</w:t>
            </w:r>
          </w:p>
          <w:p w14:paraId="737BDD74">
            <w:pPr>
              <w:pStyle w:val="45"/>
              <w:jc w:val="center"/>
              <w:rPr>
                <w:rFonts w:hint="default"/>
                <w:b/>
                <w:bCs/>
              </w:rPr>
            </w:pPr>
            <w:r>
              <w:rPr>
                <w:rFonts w:hint="default"/>
                <w:b/>
                <w:bCs/>
              </w:rPr>
              <w:t>Krebs</w:t>
            </w:r>
          </w:p>
        </w:tc>
        <w:tc>
          <w:tcPr>
            <w:tcW w:w="978" w:type="pct"/>
            <w:tcBorders>
              <w:tl2br w:val="nil"/>
              <w:tr2bl w:val="nil"/>
            </w:tcBorders>
            <w:vAlign w:val="center"/>
          </w:tcPr>
          <w:p w14:paraId="00D767CC">
            <w:pPr>
              <w:pStyle w:val="45"/>
              <w:jc w:val="center"/>
              <w:rPr>
                <w:rFonts w:hint="default"/>
                <w:b/>
                <w:bCs/>
              </w:rPr>
            </w:pPr>
            <w:r>
              <w:rPr>
                <w:rFonts w:hint="default"/>
                <w:b/>
                <w:bCs/>
              </w:rPr>
              <w:t>芬兰</w:t>
            </w:r>
          </w:p>
          <w:p w14:paraId="308E42F4">
            <w:pPr>
              <w:pStyle w:val="45"/>
              <w:jc w:val="center"/>
              <w:rPr>
                <w:rFonts w:hint="default"/>
                <w:b/>
                <w:bCs/>
              </w:rPr>
            </w:pPr>
            <w:r>
              <w:rPr>
                <w:rFonts w:hint="default"/>
                <w:b/>
                <w:bCs/>
              </w:rPr>
              <w:t>Nokia FC</w:t>
            </w:r>
          </w:p>
        </w:tc>
        <w:tc>
          <w:tcPr>
            <w:tcW w:w="756" w:type="pct"/>
            <w:tcBorders>
              <w:tl2br w:val="nil"/>
              <w:tr2bl w:val="nil"/>
            </w:tcBorders>
            <w:vAlign w:val="center"/>
          </w:tcPr>
          <w:p w14:paraId="4E36E26E">
            <w:pPr>
              <w:pStyle w:val="45"/>
              <w:jc w:val="center"/>
              <w:rPr>
                <w:rFonts w:hint="default"/>
                <w:b/>
                <w:bCs/>
              </w:rPr>
            </w:pPr>
            <w:r>
              <w:rPr>
                <w:rFonts w:hint="default"/>
                <w:b/>
                <w:bCs/>
              </w:rPr>
              <w:t>意大利</w:t>
            </w:r>
          </w:p>
          <w:p w14:paraId="509226B8">
            <w:pPr>
              <w:pStyle w:val="45"/>
              <w:jc w:val="center"/>
              <w:rPr>
                <w:rFonts w:hint="default"/>
                <w:b/>
                <w:bCs/>
              </w:rPr>
            </w:pPr>
            <w:r>
              <w:rPr>
                <w:rFonts w:hint="default"/>
                <w:b/>
                <w:bCs/>
              </w:rPr>
              <w:t>DenorTA</w:t>
            </w:r>
          </w:p>
        </w:tc>
        <w:tc>
          <w:tcPr>
            <w:tcW w:w="756" w:type="pct"/>
            <w:tcBorders>
              <w:tl2br w:val="nil"/>
              <w:tr2bl w:val="nil"/>
            </w:tcBorders>
            <w:vAlign w:val="center"/>
          </w:tcPr>
          <w:p w14:paraId="2B63796A">
            <w:pPr>
              <w:pStyle w:val="45"/>
              <w:jc w:val="center"/>
              <w:rPr>
                <w:rFonts w:hint="default"/>
                <w:b/>
                <w:bCs/>
              </w:rPr>
            </w:pPr>
            <w:r>
              <w:rPr>
                <w:rFonts w:hint="default"/>
                <w:b/>
                <w:bCs/>
              </w:rPr>
              <w:t>福一化</w:t>
            </w:r>
          </w:p>
          <w:p w14:paraId="22F1C4F4">
            <w:pPr>
              <w:pStyle w:val="45"/>
              <w:jc w:val="center"/>
              <w:rPr>
                <w:rFonts w:hint="default"/>
                <w:b/>
                <w:bCs/>
              </w:rPr>
            </w:pPr>
            <w:r>
              <w:rPr>
                <w:rFonts w:hint="default"/>
                <w:b/>
                <w:bCs/>
              </w:rPr>
              <w:t>FA-Π80</w:t>
            </w:r>
          </w:p>
        </w:tc>
        <w:tc>
          <w:tcPr>
            <w:tcW w:w="765" w:type="pct"/>
            <w:tcBorders>
              <w:tl2br w:val="nil"/>
              <w:tr2bl w:val="nil"/>
            </w:tcBorders>
            <w:vAlign w:val="center"/>
          </w:tcPr>
          <w:p w14:paraId="6C97EC86">
            <w:pPr>
              <w:pStyle w:val="45"/>
              <w:jc w:val="center"/>
              <w:rPr>
                <w:rFonts w:hint="default"/>
                <w:b/>
                <w:bCs/>
              </w:rPr>
            </w:pPr>
            <w:r>
              <w:rPr>
                <w:rFonts w:hint="default"/>
                <w:b/>
                <w:bCs/>
              </w:rPr>
              <w:t>天津院</w:t>
            </w:r>
          </w:p>
          <w:p w14:paraId="4B7364D6">
            <w:pPr>
              <w:pStyle w:val="45"/>
              <w:jc w:val="center"/>
              <w:rPr>
                <w:rFonts w:hint="default"/>
                <w:b/>
                <w:bCs/>
              </w:rPr>
            </w:pPr>
            <w:r>
              <w:rPr>
                <w:rFonts w:hint="default"/>
                <w:b/>
                <w:bCs/>
              </w:rPr>
              <w:t>BE-X</w:t>
            </w:r>
          </w:p>
        </w:tc>
      </w:tr>
      <w:tr w14:paraId="11F89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pct"/>
            <w:tcBorders>
              <w:tl2br w:val="nil"/>
              <w:tr2bl w:val="nil"/>
            </w:tcBorders>
            <w:vAlign w:val="center"/>
          </w:tcPr>
          <w:p w14:paraId="61849301">
            <w:pPr>
              <w:pStyle w:val="45"/>
              <w:jc w:val="center"/>
              <w:rPr>
                <w:rFonts w:hint="default"/>
              </w:rPr>
            </w:pPr>
            <w:r>
              <w:rPr>
                <w:rFonts w:hint="default"/>
              </w:rPr>
              <w:t>结构形式</w:t>
            </w:r>
          </w:p>
        </w:tc>
        <w:tc>
          <w:tcPr>
            <w:tcW w:w="768" w:type="pct"/>
            <w:tcBorders>
              <w:tl2br w:val="nil"/>
              <w:tr2bl w:val="nil"/>
            </w:tcBorders>
            <w:vAlign w:val="center"/>
          </w:tcPr>
          <w:p w14:paraId="1EEE071F">
            <w:pPr>
              <w:pStyle w:val="45"/>
              <w:jc w:val="center"/>
              <w:rPr>
                <w:rFonts w:hint="default"/>
              </w:rPr>
            </w:pPr>
            <w:r>
              <w:rPr>
                <w:rFonts w:hint="default"/>
              </w:rPr>
              <w:t>单极气提外循环</w:t>
            </w:r>
          </w:p>
        </w:tc>
        <w:tc>
          <w:tcPr>
            <w:tcW w:w="978" w:type="pct"/>
            <w:tcBorders>
              <w:tl2br w:val="nil"/>
              <w:tr2bl w:val="nil"/>
            </w:tcBorders>
            <w:vAlign w:val="center"/>
          </w:tcPr>
          <w:p w14:paraId="5AC01015">
            <w:pPr>
              <w:pStyle w:val="45"/>
              <w:jc w:val="center"/>
              <w:rPr>
                <w:rFonts w:hint="default"/>
              </w:rPr>
            </w:pPr>
            <w:r>
              <w:rPr>
                <w:rFonts w:hint="default"/>
              </w:rPr>
              <w:t>单极气提外循环</w:t>
            </w:r>
          </w:p>
        </w:tc>
        <w:tc>
          <w:tcPr>
            <w:tcW w:w="756" w:type="pct"/>
            <w:tcBorders>
              <w:tl2br w:val="nil"/>
              <w:tr2bl w:val="nil"/>
            </w:tcBorders>
            <w:vAlign w:val="center"/>
          </w:tcPr>
          <w:p w14:paraId="5885ADDE">
            <w:pPr>
              <w:pStyle w:val="45"/>
              <w:jc w:val="center"/>
              <w:rPr>
                <w:rFonts w:hint="default"/>
              </w:rPr>
            </w:pPr>
            <w:r>
              <w:rPr>
                <w:rFonts w:hint="default"/>
              </w:rPr>
              <w:t>单极气提外循环</w:t>
            </w:r>
          </w:p>
        </w:tc>
        <w:tc>
          <w:tcPr>
            <w:tcW w:w="756" w:type="pct"/>
            <w:tcBorders>
              <w:tl2br w:val="nil"/>
              <w:tr2bl w:val="nil"/>
            </w:tcBorders>
            <w:vAlign w:val="center"/>
          </w:tcPr>
          <w:p w14:paraId="6CD4B57C">
            <w:pPr>
              <w:pStyle w:val="45"/>
              <w:jc w:val="center"/>
              <w:rPr>
                <w:rFonts w:hint="default"/>
              </w:rPr>
            </w:pPr>
            <w:r>
              <w:rPr>
                <w:rFonts w:hint="default"/>
              </w:rPr>
              <w:t>单极气提外循环</w:t>
            </w:r>
          </w:p>
        </w:tc>
        <w:tc>
          <w:tcPr>
            <w:tcW w:w="765" w:type="pct"/>
            <w:tcBorders>
              <w:tl2br w:val="nil"/>
              <w:tr2bl w:val="nil"/>
            </w:tcBorders>
            <w:vAlign w:val="center"/>
          </w:tcPr>
          <w:p w14:paraId="1AD6D2A9">
            <w:pPr>
              <w:pStyle w:val="45"/>
              <w:jc w:val="center"/>
              <w:rPr>
                <w:rFonts w:hint="default"/>
              </w:rPr>
            </w:pPr>
            <w:r>
              <w:rPr>
                <w:rFonts w:hint="default"/>
              </w:rPr>
              <w:t>单极气提外循环</w:t>
            </w:r>
          </w:p>
        </w:tc>
      </w:tr>
      <w:tr w14:paraId="3B28A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pct"/>
            <w:tcBorders>
              <w:tl2br w:val="nil"/>
              <w:tr2bl w:val="nil"/>
            </w:tcBorders>
            <w:vAlign w:val="center"/>
          </w:tcPr>
          <w:p w14:paraId="5AAEB902">
            <w:pPr>
              <w:pStyle w:val="45"/>
              <w:jc w:val="center"/>
              <w:rPr>
                <w:rFonts w:hint="default"/>
              </w:rPr>
            </w:pPr>
            <w:r>
              <w:rPr>
                <w:rFonts w:hint="default"/>
              </w:rPr>
              <w:t>电流负荷KA</w:t>
            </w:r>
          </w:p>
        </w:tc>
        <w:tc>
          <w:tcPr>
            <w:tcW w:w="768" w:type="pct"/>
            <w:tcBorders>
              <w:tl2br w:val="nil"/>
              <w:tr2bl w:val="nil"/>
            </w:tcBorders>
            <w:vAlign w:val="center"/>
          </w:tcPr>
          <w:p w14:paraId="7F755B54">
            <w:pPr>
              <w:pStyle w:val="45"/>
              <w:jc w:val="center"/>
              <w:rPr>
                <w:rFonts w:hint="default"/>
              </w:rPr>
            </w:pPr>
            <w:r>
              <w:rPr>
                <w:rFonts w:hint="default"/>
              </w:rPr>
              <w:t>33</w:t>
            </w:r>
          </w:p>
        </w:tc>
        <w:tc>
          <w:tcPr>
            <w:tcW w:w="978" w:type="pct"/>
            <w:tcBorders>
              <w:tl2br w:val="nil"/>
              <w:tr2bl w:val="nil"/>
            </w:tcBorders>
            <w:vAlign w:val="center"/>
          </w:tcPr>
          <w:p w14:paraId="7D9F2A45">
            <w:pPr>
              <w:pStyle w:val="45"/>
              <w:jc w:val="center"/>
              <w:rPr>
                <w:rFonts w:hint="default"/>
              </w:rPr>
            </w:pPr>
            <w:r>
              <w:rPr>
                <w:rFonts w:hint="default"/>
              </w:rPr>
              <w:t>85</w:t>
            </w:r>
          </w:p>
        </w:tc>
        <w:tc>
          <w:tcPr>
            <w:tcW w:w="756" w:type="pct"/>
            <w:tcBorders>
              <w:tl2br w:val="nil"/>
              <w:tr2bl w:val="nil"/>
            </w:tcBorders>
            <w:vAlign w:val="center"/>
          </w:tcPr>
          <w:p w14:paraId="417207E4">
            <w:pPr>
              <w:pStyle w:val="45"/>
              <w:jc w:val="center"/>
              <w:rPr>
                <w:rFonts w:hint="default"/>
              </w:rPr>
            </w:pPr>
            <w:r>
              <w:rPr>
                <w:rFonts w:hint="default"/>
              </w:rPr>
              <w:t>60</w:t>
            </w:r>
          </w:p>
        </w:tc>
        <w:tc>
          <w:tcPr>
            <w:tcW w:w="756" w:type="pct"/>
            <w:tcBorders>
              <w:tl2br w:val="nil"/>
              <w:tr2bl w:val="nil"/>
            </w:tcBorders>
            <w:vAlign w:val="center"/>
          </w:tcPr>
          <w:p w14:paraId="2B4FD469">
            <w:pPr>
              <w:pStyle w:val="45"/>
              <w:jc w:val="center"/>
              <w:rPr>
                <w:rFonts w:hint="default"/>
              </w:rPr>
            </w:pPr>
            <w:r>
              <w:rPr>
                <w:rFonts w:hint="default"/>
              </w:rPr>
              <w:t>20</w:t>
            </w:r>
          </w:p>
        </w:tc>
        <w:tc>
          <w:tcPr>
            <w:tcW w:w="765" w:type="pct"/>
            <w:tcBorders>
              <w:tl2br w:val="nil"/>
              <w:tr2bl w:val="nil"/>
            </w:tcBorders>
            <w:vAlign w:val="center"/>
          </w:tcPr>
          <w:p w14:paraId="66C70308">
            <w:pPr>
              <w:pStyle w:val="45"/>
              <w:jc w:val="center"/>
              <w:rPr>
                <w:rFonts w:hint="default"/>
              </w:rPr>
            </w:pPr>
            <w:r>
              <w:rPr>
                <w:rFonts w:hint="default"/>
              </w:rPr>
              <w:t>60-80</w:t>
            </w:r>
          </w:p>
        </w:tc>
      </w:tr>
      <w:tr w14:paraId="092B0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pct"/>
            <w:tcBorders>
              <w:tl2br w:val="nil"/>
              <w:tr2bl w:val="nil"/>
            </w:tcBorders>
            <w:vAlign w:val="center"/>
          </w:tcPr>
          <w:p w14:paraId="63B33768">
            <w:pPr>
              <w:pStyle w:val="45"/>
              <w:jc w:val="center"/>
              <w:rPr>
                <w:rFonts w:hint="default"/>
              </w:rPr>
            </w:pPr>
            <w:r>
              <w:rPr>
                <w:rFonts w:hint="default"/>
              </w:rPr>
              <w:t>阳极面积m</w:t>
            </w:r>
            <w:r>
              <w:rPr>
                <w:rFonts w:hint="default"/>
                <w:vertAlign w:val="superscript"/>
              </w:rPr>
              <w:t>2</w:t>
            </w:r>
          </w:p>
        </w:tc>
        <w:tc>
          <w:tcPr>
            <w:tcW w:w="768" w:type="pct"/>
            <w:tcBorders>
              <w:tl2br w:val="nil"/>
              <w:tr2bl w:val="nil"/>
            </w:tcBorders>
            <w:vAlign w:val="center"/>
          </w:tcPr>
          <w:p w14:paraId="0A9BD7C0">
            <w:pPr>
              <w:pStyle w:val="45"/>
              <w:jc w:val="center"/>
              <w:rPr>
                <w:rFonts w:hint="default"/>
              </w:rPr>
            </w:pPr>
            <w:r>
              <w:rPr>
                <w:rFonts w:hint="default"/>
              </w:rPr>
              <w:t>12</w:t>
            </w:r>
          </w:p>
        </w:tc>
        <w:tc>
          <w:tcPr>
            <w:tcW w:w="978" w:type="pct"/>
            <w:tcBorders>
              <w:tl2br w:val="nil"/>
              <w:tr2bl w:val="nil"/>
            </w:tcBorders>
            <w:vAlign w:val="center"/>
          </w:tcPr>
          <w:p w14:paraId="2ADADF22">
            <w:pPr>
              <w:pStyle w:val="45"/>
              <w:jc w:val="center"/>
              <w:rPr>
                <w:rFonts w:hint="default"/>
              </w:rPr>
            </w:pPr>
            <w:r>
              <w:rPr>
                <w:rFonts w:hint="default"/>
              </w:rPr>
              <w:t>43</w:t>
            </w:r>
          </w:p>
        </w:tc>
        <w:tc>
          <w:tcPr>
            <w:tcW w:w="756" w:type="pct"/>
            <w:tcBorders>
              <w:tl2br w:val="nil"/>
              <w:tr2bl w:val="nil"/>
            </w:tcBorders>
            <w:vAlign w:val="center"/>
          </w:tcPr>
          <w:p w14:paraId="5B8BC0A9">
            <w:pPr>
              <w:pStyle w:val="45"/>
              <w:jc w:val="center"/>
              <w:rPr>
                <w:rFonts w:hint="default"/>
              </w:rPr>
            </w:pPr>
            <w:r>
              <w:rPr>
                <w:rFonts w:hint="default"/>
              </w:rPr>
              <w:t>30</w:t>
            </w:r>
          </w:p>
        </w:tc>
        <w:tc>
          <w:tcPr>
            <w:tcW w:w="756" w:type="pct"/>
            <w:tcBorders>
              <w:tl2br w:val="nil"/>
              <w:tr2bl w:val="nil"/>
            </w:tcBorders>
            <w:vAlign w:val="center"/>
          </w:tcPr>
          <w:p w14:paraId="7E39F2F8">
            <w:pPr>
              <w:pStyle w:val="45"/>
              <w:jc w:val="center"/>
              <w:rPr>
                <w:rFonts w:hint="default"/>
              </w:rPr>
            </w:pPr>
            <w:r>
              <w:rPr>
                <w:rFonts w:hint="default"/>
              </w:rPr>
              <w:t>12.52</w:t>
            </w:r>
          </w:p>
        </w:tc>
        <w:tc>
          <w:tcPr>
            <w:tcW w:w="765" w:type="pct"/>
            <w:tcBorders>
              <w:tl2br w:val="nil"/>
              <w:tr2bl w:val="nil"/>
            </w:tcBorders>
            <w:vAlign w:val="center"/>
          </w:tcPr>
          <w:p w14:paraId="5BE34DB6">
            <w:pPr>
              <w:pStyle w:val="45"/>
              <w:jc w:val="center"/>
              <w:rPr>
                <w:rFonts w:hint="default"/>
              </w:rPr>
            </w:pPr>
            <w:r>
              <w:rPr>
                <w:rFonts w:hint="default"/>
              </w:rPr>
              <w:t>30-40</w:t>
            </w:r>
          </w:p>
        </w:tc>
      </w:tr>
      <w:tr w14:paraId="79997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pct"/>
            <w:tcBorders>
              <w:tl2br w:val="nil"/>
              <w:tr2bl w:val="nil"/>
            </w:tcBorders>
            <w:vAlign w:val="center"/>
          </w:tcPr>
          <w:p w14:paraId="05A66A8F">
            <w:pPr>
              <w:pStyle w:val="45"/>
              <w:jc w:val="center"/>
              <w:rPr>
                <w:rFonts w:hint="default"/>
              </w:rPr>
            </w:pPr>
            <w:r>
              <w:rPr>
                <w:rFonts w:hint="default"/>
              </w:rPr>
              <w:t>电流密度KA/m</w:t>
            </w:r>
            <w:r>
              <w:rPr>
                <w:rFonts w:hint="default"/>
                <w:vertAlign w:val="superscript"/>
              </w:rPr>
              <w:t>2</w:t>
            </w:r>
          </w:p>
        </w:tc>
        <w:tc>
          <w:tcPr>
            <w:tcW w:w="768" w:type="pct"/>
            <w:tcBorders>
              <w:tl2br w:val="nil"/>
              <w:tr2bl w:val="nil"/>
            </w:tcBorders>
            <w:vAlign w:val="center"/>
          </w:tcPr>
          <w:p w14:paraId="3B9FCB47">
            <w:pPr>
              <w:pStyle w:val="45"/>
              <w:jc w:val="center"/>
              <w:rPr>
                <w:rFonts w:hint="default"/>
              </w:rPr>
            </w:pPr>
            <w:r>
              <w:rPr>
                <w:rFonts w:hint="default"/>
              </w:rPr>
              <w:t>2.75</w:t>
            </w:r>
          </w:p>
        </w:tc>
        <w:tc>
          <w:tcPr>
            <w:tcW w:w="978" w:type="pct"/>
            <w:tcBorders>
              <w:tl2br w:val="nil"/>
              <w:tr2bl w:val="nil"/>
            </w:tcBorders>
            <w:vAlign w:val="center"/>
          </w:tcPr>
          <w:p w14:paraId="1B94D306">
            <w:pPr>
              <w:pStyle w:val="45"/>
              <w:jc w:val="center"/>
              <w:rPr>
                <w:rFonts w:hint="default"/>
              </w:rPr>
            </w:pPr>
            <w:r>
              <w:rPr>
                <w:rFonts w:hint="default"/>
              </w:rPr>
              <w:t>2</w:t>
            </w:r>
          </w:p>
        </w:tc>
        <w:tc>
          <w:tcPr>
            <w:tcW w:w="756" w:type="pct"/>
            <w:tcBorders>
              <w:tl2br w:val="nil"/>
              <w:tr2bl w:val="nil"/>
            </w:tcBorders>
            <w:vAlign w:val="center"/>
          </w:tcPr>
          <w:p w14:paraId="4697A2A3">
            <w:pPr>
              <w:pStyle w:val="45"/>
              <w:jc w:val="center"/>
              <w:rPr>
                <w:rFonts w:hint="default"/>
              </w:rPr>
            </w:pPr>
            <w:r>
              <w:rPr>
                <w:rFonts w:hint="default"/>
              </w:rPr>
              <w:t>2</w:t>
            </w:r>
          </w:p>
        </w:tc>
        <w:tc>
          <w:tcPr>
            <w:tcW w:w="756" w:type="pct"/>
            <w:tcBorders>
              <w:tl2br w:val="nil"/>
              <w:tr2bl w:val="nil"/>
            </w:tcBorders>
            <w:vAlign w:val="center"/>
          </w:tcPr>
          <w:p w14:paraId="73CD90AC">
            <w:pPr>
              <w:pStyle w:val="45"/>
              <w:jc w:val="center"/>
              <w:rPr>
                <w:rFonts w:hint="default"/>
              </w:rPr>
            </w:pPr>
            <w:r>
              <w:rPr>
                <w:rFonts w:hint="default"/>
              </w:rPr>
              <w:t>2</w:t>
            </w:r>
          </w:p>
        </w:tc>
        <w:tc>
          <w:tcPr>
            <w:tcW w:w="765" w:type="pct"/>
            <w:tcBorders>
              <w:tl2br w:val="nil"/>
              <w:tr2bl w:val="nil"/>
            </w:tcBorders>
            <w:vAlign w:val="center"/>
          </w:tcPr>
          <w:p w14:paraId="58A2C29F">
            <w:pPr>
              <w:pStyle w:val="45"/>
              <w:jc w:val="center"/>
              <w:rPr>
                <w:rFonts w:hint="default"/>
              </w:rPr>
            </w:pPr>
            <w:r>
              <w:rPr>
                <w:rFonts w:hint="default"/>
              </w:rPr>
              <w:t>2-2.5</w:t>
            </w:r>
          </w:p>
        </w:tc>
      </w:tr>
      <w:tr w14:paraId="49A90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pct"/>
            <w:tcBorders>
              <w:tl2br w:val="nil"/>
              <w:tr2bl w:val="nil"/>
            </w:tcBorders>
            <w:vAlign w:val="center"/>
          </w:tcPr>
          <w:p w14:paraId="3A91095B">
            <w:pPr>
              <w:pStyle w:val="45"/>
              <w:jc w:val="center"/>
              <w:rPr>
                <w:rFonts w:hint="default"/>
              </w:rPr>
            </w:pPr>
            <w:r>
              <w:rPr>
                <w:rFonts w:hint="default"/>
              </w:rPr>
              <w:t>槽电压V</w:t>
            </w:r>
          </w:p>
        </w:tc>
        <w:tc>
          <w:tcPr>
            <w:tcW w:w="768" w:type="pct"/>
            <w:tcBorders>
              <w:tl2br w:val="nil"/>
              <w:tr2bl w:val="nil"/>
            </w:tcBorders>
            <w:vAlign w:val="center"/>
          </w:tcPr>
          <w:p w14:paraId="6EC3A33B">
            <w:pPr>
              <w:pStyle w:val="45"/>
              <w:jc w:val="center"/>
              <w:rPr>
                <w:rFonts w:hint="default"/>
              </w:rPr>
            </w:pPr>
            <w:r>
              <w:rPr>
                <w:rFonts w:hint="default"/>
              </w:rPr>
              <w:t>3</w:t>
            </w:r>
          </w:p>
        </w:tc>
        <w:tc>
          <w:tcPr>
            <w:tcW w:w="978" w:type="pct"/>
            <w:tcBorders>
              <w:tl2br w:val="nil"/>
              <w:tr2bl w:val="nil"/>
            </w:tcBorders>
            <w:vAlign w:val="center"/>
          </w:tcPr>
          <w:p w14:paraId="390AB1C1">
            <w:pPr>
              <w:pStyle w:val="45"/>
              <w:jc w:val="center"/>
              <w:rPr>
                <w:rFonts w:hint="default"/>
              </w:rPr>
            </w:pPr>
            <w:r>
              <w:rPr>
                <w:rFonts w:hint="default"/>
              </w:rPr>
              <w:t>3</w:t>
            </w:r>
          </w:p>
        </w:tc>
        <w:tc>
          <w:tcPr>
            <w:tcW w:w="756" w:type="pct"/>
            <w:tcBorders>
              <w:tl2br w:val="nil"/>
              <w:tr2bl w:val="nil"/>
            </w:tcBorders>
            <w:vAlign w:val="center"/>
          </w:tcPr>
          <w:p w14:paraId="338A0894">
            <w:pPr>
              <w:pStyle w:val="45"/>
              <w:jc w:val="center"/>
              <w:rPr>
                <w:rFonts w:hint="default"/>
              </w:rPr>
            </w:pPr>
            <w:r>
              <w:rPr>
                <w:rFonts w:hint="default"/>
              </w:rPr>
              <w:t>3</w:t>
            </w:r>
          </w:p>
        </w:tc>
        <w:tc>
          <w:tcPr>
            <w:tcW w:w="756" w:type="pct"/>
            <w:tcBorders>
              <w:tl2br w:val="nil"/>
              <w:tr2bl w:val="nil"/>
            </w:tcBorders>
            <w:vAlign w:val="center"/>
          </w:tcPr>
          <w:p w14:paraId="5EBADA8C">
            <w:pPr>
              <w:pStyle w:val="45"/>
              <w:jc w:val="center"/>
              <w:rPr>
                <w:rFonts w:hint="default"/>
              </w:rPr>
            </w:pPr>
            <w:r>
              <w:rPr>
                <w:rFonts w:hint="default"/>
              </w:rPr>
              <w:t>2.87</w:t>
            </w:r>
          </w:p>
        </w:tc>
        <w:tc>
          <w:tcPr>
            <w:tcW w:w="765" w:type="pct"/>
            <w:tcBorders>
              <w:tl2br w:val="nil"/>
              <w:tr2bl w:val="nil"/>
            </w:tcBorders>
            <w:vAlign w:val="center"/>
          </w:tcPr>
          <w:p w14:paraId="2A9072B2">
            <w:pPr>
              <w:pStyle w:val="45"/>
              <w:jc w:val="center"/>
              <w:rPr>
                <w:rFonts w:hint="default"/>
              </w:rPr>
            </w:pPr>
            <w:r>
              <w:rPr>
                <w:rFonts w:hint="default"/>
              </w:rPr>
              <w:t>2.8-3.1</w:t>
            </w:r>
          </w:p>
        </w:tc>
      </w:tr>
      <w:tr w14:paraId="2B9A7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pct"/>
            <w:tcBorders>
              <w:tl2br w:val="nil"/>
              <w:tr2bl w:val="nil"/>
            </w:tcBorders>
            <w:vAlign w:val="center"/>
          </w:tcPr>
          <w:p w14:paraId="7F44582F">
            <w:pPr>
              <w:pStyle w:val="45"/>
              <w:jc w:val="center"/>
              <w:rPr>
                <w:rFonts w:hint="default"/>
              </w:rPr>
            </w:pPr>
            <w:r>
              <w:rPr>
                <w:rFonts w:hint="default"/>
              </w:rPr>
              <w:t>电流效率%</w:t>
            </w:r>
          </w:p>
        </w:tc>
        <w:tc>
          <w:tcPr>
            <w:tcW w:w="768" w:type="pct"/>
            <w:tcBorders>
              <w:tl2br w:val="nil"/>
              <w:tr2bl w:val="nil"/>
            </w:tcBorders>
            <w:vAlign w:val="center"/>
          </w:tcPr>
          <w:p w14:paraId="1F5A645D">
            <w:pPr>
              <w:pStyle w:val="45"/>
              <w:jc w:val="center"/>
              <w:rPr>
                <w:rFonts w:hint="default"/>
              </w:rPr>
            </w:pPr>
            <w:r>
              <w:rPr>
                <w:rFonts w:hint="default"/>
              </w:rPr>
              <w:t>95</w:t>
            </w:r>
          </w:p>
        </w:tc>
        <w:tc>
          <w:tcPr>
            <w:tcW w:w="978" w:type="pct"/>
            <w:tcBorders>
              <w:tl2br w:val="nil"/>
              <w:tr2bl w:val="nil"/>
            </w:tcBorders>
            <w:vAlign w:val="center"/>
          </w:tcPr>
          <w:p w14:paraId="02ACB948">
            <w:pPr>
              <w:pStyle w:val="45"/>
              <w:jc w:val="center"/>
              <w:rPr>
                <w:rFonts w:hint="default"/>
              </w:rPr>
            </w:pPr>
            <w:r>
              <w:rPr>
                <w:rFonts w:hint="default"/>
              </w:rPr>
              <w:t>95</w:t>
            </w:r>
          </w:p>
        </w:tc>
        <w:tc>
          <w:tcPr>
            <w:tcW w:w="756" w:type="pct"/>
            <w:tcBorders>
              <w:tl2br w:val="nil"/>
              <w:tr2bl w:val="nil"/>
            </w:tcBorders>
            <w:vAlign w:val="center"/>
          </w:tcPr>
          <w:p w14:paraId="7A8AD334">
            <w:pPr>
              <w:pStyle w:val="45"/>
              <w:jc w:val="center"/>
              <w:rPr>
                <w:rFonts w:hint="default"/>
              </w:rPr>
            </w:pPr>
            <w:r>
              <w:rPr>
                <w:rFonts w:hint="default"/>
              </w:rPr>
              <w:t>95</w:t>
            </w:r>
          </w:p>
        </w:tc>
        <w:tc>
          <w:tcPr>
            <w:tcW w:w="756" w:type="pct"/>
            <w:tcBorders>
              <w:tl2br w:val="nil"/>
              <w:tr2bl w:val="nil"/>
            </w:tcBorders>
            <w:vAlign w:val="center"/>
          </w:tcPr>
          <w:p w14:paraId="53850EE4">
            <w:pPr>
              <w:pStyle w:val="45"/>
              <w:jc w:val="center"/>
              <w:rPr>
                <w:rFonts w:hint="default"/>
              </w:rPr>
            </w:pPr>
            <w:r>
              <w:rPr>
                <w:rFonts w:hint="default"/>
              </w:rPr>
              <w:t>93</w:t>
            </w:r>
          </w:p>
        </w:tc>
        <w:tc>
          <w:tcPr>
            <w:tcW w:w="765" w:type="pct"/>
            <w:tcBorders>
              <w:tl2br w:val="nil"/>
              <w:tr2bl w:val="nil"/>
            </w:tcBorders>
            <w:vAlign w:val="center"/>
          </w:tcPr>
          <w:p w14:paraId="6276010C">
            <w:pPr>
              <w:pStyle w:val="45"/>
              <w:jc w:val="center"/>
              <w:rPr>
                <w:rFonts w:hint="default"/>
              </w:rPr>
            </w:pPr>
            <w:r>
              <w:rPr>
                <w:rFonts w:hint="default"/>
              </w:rPr>
              <w:t>95</w:t>
            </w:r>
          </w:p>
        </w:tc>
      </w:tr>
      <w:tr w14:paraId="3F448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pct"/>
            <w:tcBorders>
              <w:tl2br w:val="nil"/>
              <w:tr2bl w:val="nil"/>
            </w:tcBorders>
            <w:vAlign w:val="center"/>
          </w:tcPr>
          <w:p w14:paraId="2535A9C1">
            <w:pPr>
              <w:pStyle w:val="45"/>
              <w:jc w:val="center"/>
              <w:rPr>
                <w:rFonts w:hint="default"/>
              </w:rPr>
            </w:pPr>
            <w:r>
              <w:rPr>
                <w:rFonts w:hint="default"/>
              </w:rPr>
              <w:t>电耗KWH/t</w:t>
            </w:r>
          </w:p>
        </w:tc>
        <w:tc>
          <w:tcPr>
            <w:tcW w:w="768" w:type="pct"/>
            <w:tcBorders>
              <w:tl2br w:val="nil"/>
              <w:tr2bl w:val="nil"/>
            </w:tcBorders>
            <w:vAlign w:val="center"/>
          </w:tcPr>
          <w:p w14:paraId="7EE6A221">
            <w:pPr>
              <w:pStyle w:val="45"/>
              <w:jc w:val="center"/>
              <w:rPr>
                <w:rFonts w:hint="default"/>
              </w:rPr>
            </w:pPr>
            <w:r>
              <w:rPr>
                <w:rFonts w:hint="default"/>
              </w:rPr>
              <w:t>5200-5520</w:t>
            </w:r>
          </w:p>
        </w:tc>
        <w:tc>
          <w:tcPr>
            <w:tcW w:w="978" w:type="pct"/>
            <w:tcBorders>
              <w:tl2br w:val="nil"/>
              <w:tr2bl w:val="nil"/>
            </w:tcBorders>
            <w:vAlign w:val="center"/>
          </w:tcPr>
          <w:p w14:paraId="58ADBED5">
            <w:pPr>
              <w:pStyle w:val="45"/>
              <w:jc w:val="center"/>
              <w:rPr>
                <w:rFonts w:hint="default"/>
              </w:rPr>
            </w:pPr>
            <w:r>
              <w:rPr>
                <w:rFonts w:hint="default"/>
              </w:rPr>
              <w:t>5200</w:t>
            </w:r>
          </w:p>
        </w:tc>
        <w:tc>
          <w:tcPr>
            <w:tcW w:w="756" w:type="pct"/>
            <w:tcBorders>
              <w:tl2br w:val="nil"/>
              <w:tr2bl w:val="nil"/>
            </w:tcBorders>
            <w:vAlign w:val="center"/>
          </w:tcPr>
          <w:p w14:paraId="4EB49BB8">
            <w:pPr>
              <w:pStyle w:val="45"/>
              <w:jc w:val="center"/>
              <w:rPr>
                <w:rFonts w:hint="default"/>
              </w:rPr>
            </w:pPr>
            <w:r>
              <w:rPr>
                <w:rFonts w:hint="default"/>
              </w:rPr>
              <w:t>5320</w:t>
            </w:r>
          </w:p>
        </w:tc>
        <w:tc>
          <w:tcPr>
            <w:tcW w:w="756" w:type="pct"/>
            <w:tcBorders>
              <w:tl2br w:val="nil"/>
              <w:tr2bl w:val="nil"/>
            </w:tcBorders>
            <w:vAlign w:val="center"/>
          </w:tcPr>
          <w:p w14:paraId="7420E98E">
            <w:pPr>
              <w:pStyle w:val="45"/>
              <w:jc w:val="center"/>
              <w:rPr>
                <w:rFonts w:hint="default"/>
              </w:rPr>
            </w:pPr>
            <w:r>
              <w:rPr>
                <w:rFonts w:hint="default"/>
              </w:rPr>
              <w:t>5100</w:t>
            </w:r>
          </w:p>
        </w:tc>
        <w:tc>
          <w:tcPr>
            <w:tcW w:w="765" w:type="pct"/>
            <w:tcBorders>
              <w:tl2br w:val="nil"/>
              <w:tr2bl w:val="nil"/>
            </w:tcBorders>
            <w:vAlign w:val="center"/>
          </w:tcPr>
          <w:p w14:paraId="69D3B574">
            <w:pPr>
              <w:pStyle w:val="45"/>
              <w:jc w:val="center"/>
              <w:rPr>
                <w:rFonts w:hint="default"/>
              </w:rPr>
            </w:pPr>
            <w:r>
              <w:rPr>
                <w:rFonts w:hint="default"/>
              </w:rPr>
              <w:t>5350-5600</w:t>
            </w:r>
          </w:p>
        </w:tc>
      </w:tr>
      <w:tr w14:paraId="324AC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pct"/>
            <w:tcBorders>
              <w:tl2br w:val="nil"/>
              <w:tr2bl w:val="nil"/>
            </w:tcBorders>
            <w:vAlign w:val="center"/>
          </w:tcPr>
          <w:p w14:paraId="2B25FAFA">
            <w:pPr>
              <w:pStyle w:val="45"/>
              <w:jc w:val="center"/>
              <w:rPr>
                <w:rFonts w:hint="default"/>
              </w:rPr>
            </w:pPr>
            <w:r>
              <w:rPr>
                <w:rFonts w:hint="default"/>
              </w:rPr>
              <w:t>单槽产量t/a</w:t>
            </w:r>
          </w:p>
        </w:tc>
        <w:tc>
          <w:tcPr>
            <w:tcW w:w="768" w:type="pct"/>
            <w:tcBorders>
              <w:tl2br w:val="nil"/>
              <w:tr2bl w:val="nil"/>
            </w:tcBorders>
            <w:vAlign w:val="center"/>
          </w:tcPr>
          <w:p w14:paraId="6FD5D8F4">
            <w:pPr>
              <w:pStyle w:val="45"/>
              <w:jc w:val="center"/>
              <w:rPr>
                <w:rFonts w:hint="default"/>
              </w:rPr>
            </w:pPr>
            <w:r>
              <w:rPr>
                <w:rFonts w:hint="default"/>
              </w:rPr>
              <w:t>166</w:t>
            </w:r>
          </w:p>
        </w:tc>
        <w:tc>
          <w:tcPr>
            <w:tcW w:w="978" w:type="pct"/>
            <w:tcBorders>
              <w:tl2br w:val="nil"/>
              <w:tr2bl w:val="nil"/>
            </w:tcBorders>
            <w:vAlign w:val="center"/>
          </w:tcPr>
          <w:p w14:paraId="566840E5">
            <w:pPr>
              <w:pStyle w:val="45"/>
              <w:jc w:val="center"/>
              <w:rPr>
                <w:rFonts w:hint="default"/>
              </w:rPr>
            </w:pPr>
            <w:r>
              <w:rPr>
                <w:rFonts w:hint="default"/>
              </w:rPr>
              <w:t>440</w:t>
            </w:r>
          </w:p>
        </w:tc>
        <w:tc>
          <w:tcPr>
            <w:tcW w:w="756" w:type="pct"/>
            <w:tcBorders>
              <w:tl2br w:val="nil"/>
              <w:tr2bl w:val="nil"/>
            </w:tcBorders>
            <w:vAlign w:val="center"/>
          </w:tcPr>
          <w:p w14:paraId="0CA8DEFB">
            <w:pPr>
              <w:pStyle w:val="45"/>
              <w:jc w:val="center"/>
              <w:rPr>
                <w:rFonts w:hint="default"/>
              </w:rPr>
            </w:pPr>
            <w:r>
              <w:rPr>
                <w:rFonts w:hint="default"/>
              </w:rPr>
              <w:t>270</w:t>
            </w:r>
          </w:p>
        </w:tc>
        <w:tc>
          <w:tcPr>
            <w:tcW w:w="756" w:type="pct"/>
            <w:tcBorders>
              <w:tl2br w:val="nil"/>
              <w:tr2bl w:val="nil"/>
            </w:tcBorders>
            <w:vAlign w:val="center"/>
          </w:tcPr>
          <w:p w14:paraId="62DF1E5C">
            <w:pPr>
              <w:pStyle w:val="45"/>
              <w:jc w:val="center"/>
              <w:rPr>
                <w:rFonts w:hint="default"/>
              </w:rPr>
            </w:pPr>
            <w:r>
              <w:rPr>
                <w:rFonts w:hint="default"/>
              </w:rPr>
              <w:t>500</w:t>
            </w:r>
          </w:p>
        </w:tc>
        <w:tc>
          <w:tcPr>
            <w:tcW w:w="765" w:type="pct"/>
            <w:tcBorders>
              <w:tl2br w:val="nil"/>
              <w:tr2bl w:val="nil"/>
            </w:tcBorders>
            <w:vAlign w:val="center"/>
          </w:tcPr>
          <w:p w14:paraId="46A39424">
            <w:pPr>
              <w:pStyle w:val="45"/>
              <w:jc w:val="center"/>
              <w:rPr>
                <w:rFonts w:hint="default"/>
              </w:rPr>
            </w:pPr>
            <w:r>
              <w:rPr>
                <w:rFonts w:hint="default"/>
              </w:rPr>
              <w:t>280-380</w:t>
            </w:r>
          </w:p>
        </w:tc>
      </w:tr>
      <w:tr w14:paraId="50817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pct"/>
            <w:tcBorders>
              <w:tl2br w:val="nil"/>
              <w:tr2bl w:val="nil"/>
            </w:tcBorders>
            <w:vAlign w:val="center"/>
          </w:tcPr>
          <w:p w14:paraId="700B7F9D">
            <w:pPr>
              <w:pStyle w:val="45"/>
              <w:jc w:val="center"/>
              <w:rPr>
                <w:rFonts w:hint="default"/>
              </w:rPr>
            </w:pPr>
            <w:r>
              <w:rPr>
                <w:rFonts w:hint="default"/>
              </w:rPr>
              <w:t>阳极寿命 a</w:t>
            </w:r>
          </w:p>
        </w:tc>
        <w:tc>
          <w:tcPr>
            <w:tcW w:w="768" w:type="pct"/>
            <w:tcBorders>
              <w:tl2br w:val="nil"/>
              <w:tr2bl w:val="nil"/>
            </w:tcBorders>
            <w:vAlign w:val="center"/>
          </w:tcPr>
          <w:p w14:paraId="277FA07F">
            <w:pPr>
              <w:pStyle w:val="45"/>
              <w:jc w:val="center"/>
              <w:rPr>
                <w:rFonts w:hint="default"/>
              </w:rPr>
            </w:pPr>
            <w:r>
              <w:rPr>
                <w:rFonts w:hint="default"/>
              </w:rPr>
              <w:t>7</w:t>
            </w:r>
          </w:p>
        </w:tc>
        <w:tc>
          <w:tcPr>
            <w:tcW w:w="978" w:type="pct"/>
            <w:tcBorders>
              <w:tl2br w:val="nil"/>
              <w:tr2bl w:val="nil"/>
            </w:tcBorders>
            <w:vAlign w:val="center"/>
          </w:tcPr>
          <w:p w14:paraId="3B66C175">
            <w:pPr>
              <w:pStyle w:val="45"/>
              <w:jc w:val="center"/>
              <w:rPr>
                <w:rFonts w:hint="default"/>
              </w:rPr>
            </w:pPr>
            <w:r>
              <w:rPr>
                <w:rFonts w:hint="default"/>
              </w:rPr>
              <w:t>5</w:t>
            </w:r>
          </w:p>
        </w:tc>
        <w:tc>
          <w:tcPr>
            <w:tcW w:w="756" w:type="pct"/>
            <w:tcBorders>
              <w:tl2br w:val="nil"/>
              <w:tr2bl w:val="nil"/>
            </w:tcBorders>
            <w:vAlign w:val="center"/>
          </w:tcPr>
          <w:p w14:paraId="01F8FEF0">
            <w:pPr>
              <w:pStyle w:val="45"/>
              <w:jc w:val="center"/>
              <w:rPr>
                <w:rFonts w:hint="default"/>
              </w:rPr>
            </w:pPr>
            <w:r>
              <w:rPr>
                <w:rFonts w:hint="default"/>
              </w:rPr>
              <w:t>6</w:t>
            </w:r>
          </w:p>
        </w:tc>
        <w:tc>
          <w:tcPr>
            <w:tcW w:w="756" w:type="pct"/>
            <w:tcBorders>
              <w:tl2br w:val="nil"/>
              <w:tr2bl w:val="nil"/>
            </w:tcBorders>
            <w:vAlign w:val="center"/>
          </w:tcPr>
          <w:p w14:paraId="3F7C5F25">
            <w:pPr>
              <w:pStyle w:val="45"/>
              <w:jc w:val="center"/>
              <w:rPr>
                <w:rFonts w:hint="default"/>
              </w:rPr>
            </w:pPr>
            <w:r>
              <w:rPr>
                <w:rFonts w:hint="default"/>
              </w:rPr>
              <w:t>5</w:t>
            </w:r>
          </w:p>
        </w:tc>
        <w:tc>
          <w:tcPr>
            <w:tcW w:w="765" w:type="pct"/>
            <w:tcBorders>
              <w:tl2br w:val="nil"/>
              <w:tr2bl w:val="nil"/>
            </w:tcBorders>
            <w:vAlign w:val="center"/>
          </w:tcPr>
          <w:p w14:paraId="4E5C8027">
            <w:pPr>
              <w:pStyle w:val="45"/>
              <w:jc w:val="center"/>
              <w:rPr>
                <w:rFonts w:hint="default"/>
              </w:rPr>
            </w:pPr>
            <w:r>
              <w:rPr>
                <w:rFonts w:hint="default"/>
              </w:rPr>
              <w:t>7</w:t>
            </w:r>
          </w:p>
        </w:tc>
      </w:tr>
      <w:tr w14:paraId="7083A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pct"/>
            <w:tcBorders>
              <w:tl2br w:val="nil"/>
              <w:tr2bl w:val="nil"/>
            </w:tcBorders>
            <w:vAlign w:val="center"/>
          </w:tcPr>
          <w:p w14:paraId="09A87DAB">
            <w:pPr>
              <w:pStyle w:val="45"/>
              <w:jc w:val="center"/>
              <w:rPr>
                <w:rFonts w:hint="default"/>
              </w:rPr>
            </w:pPr>
            <w:r>
              <w:rPr>
                <w:rFonts w:hint="default"/>
              </w:rPr>
              <w:t>NaClO</w:t>
            </w:r>
            <w:r>
              <w:rPr>
                <w:rFonts w:hint="default"/>
                <w:vertAlign w:val="subscript"/>
              </w:rPr>
              <w:t>3</w:t>
            </w:r>
          </w:p>
          <w:p w14:paraId="3B0EB831">
            <w:pPr>
              <w:pStyle w:val="45"/>
              <w:jc w:val="center"/>
              <w:rPr>
                <w:rFonts w:hint="default"/>
              </w:rPr>
            </w:pPr>
            <w:r>
              <w:rPr>
                <w:rFonts w:hint="default"/>
              </w:rPr>
              <w:t>浓度 g/l</w:t>
            </w:r>
          </w:p>
        </w:tc>
        <w:tc>
          <w:tcPr>
            <w:tcW w:w="768" w:type="pct"/>
            <w:tcBorders>
              <w:tl2br w:val="nil"/>
              <w:tr2bl w:val="nil"/>
            </w:tcBorders>
            <w:vAlign w:val="center"/>
          </w:tcPr>
          <w:p w14:paraId="717C693F">
            <w:pPr>
              <w:pStyle w:val="45"/>
              <w:jc w:val="center"/>
              <w:rPr>
                <w:rFonts w:hint="default"/>
              </w:rPr>
            </w:pPr>
            <w:r>
              <w:rPr>
                <w:rFonts w:hint="default"/>
              </w:rPr>
              <w:t>550</w:t>
            </w:r>
          </w:p>
        </w:tc>
        <w:tc>
          <w:tcPr>
            <w:tcW w:w="978" w:type="pct"/>
            <w:tcBorders>
              <w:tl2br w:val="nil"/>
              <w:tr2bl w:val="nil"/>
            </w:tcBorders>
            <w:vAlign w:val="center"/>
          </w:tcPr>
          <w:p w14:paraId="16FC4589">
            <w:pPr>
              <w:pStyle w:val="45"/>
              <w:jc w:val="center"/>
              <w:rPr>
                <w:rFonts w:hint="default"/>
              </w:rPr>
            </w:pPr>
            <w:r>
              <w:rPr>
                <w:rFonts w:hint="default"/>
              </w:rPr>
              <w:t>570-620</w:t>
            </w:r>
          </w:p>
        </w:tc>
        <w:tc>
          <w:tcPr>
            <w:tcW w:w="756" w:type="pct"/>
            <w:tcBorders>
              <w:tl2br w:val="nil"/>
              <w:tr2bl w:val="nil"/>
            </w:tcBorders>
            <w:vAlign w:val="center"/>
          </w:tcPr>
          <w:p w14:paraId="327D11FB">
            <w:pPr>
              <w:pStyle w:val="45"/>
              <w:jc w:val="center"/>
              <w:rPr>
                <w:rFonts w:hint="default"/>
              </w:rPr>
            </w:pPr>
            <w:r>
              <w:rPr>
                <w:rFonts w:hint="default"/>
              </w:rPr>
              <w:t>520-550</w:t>
            </w:r>
          </w:p>
        </w:tc>
        <w:tc>
          <w:tcPr>
            <w:tcW w:w="756" w:type="pct"/>
            <w:tcBorders>
              <w:tl2br w:val="nil"/>
              <w:tr2bl w:val="nil"/>
            </w:tcBorders>
            <w:vAlign w:val="center"/>
          </w:tcPr>
          <w:p w14:paraId="7FD8713E">
            <w:pPr>
              <w:pStyle w:val="45"/>
              <w:jc w:val="center"/>
              <w:rPr>
                <w:rFonts w:hint="default"/>
              </w:rPr>
            </w:pPr>
            <w:r>
              <w:rPr>
                <w:rFonts w:hint="default"/>
              </w:rPr>
              <w:t>600</w:t>
            </w:r>
          </w:p>
        </w:tc>
        <w:tc>
          <w:tcPr>
            <w:tcW w:w="765" w:type="pct"/>
            <w:tcBorders>
              <w:tl2br w:val="nil"/>
              <w:tr2bl w:val="nil"/>
            </w:tcBorders>
            <w:vAlign w:val="center"/>
          </w:tcPr>
          <w:p w14:paraId="6C45991A">
            <w:pPr>
              <w:pStyle w:val="45"/>
              <w:jc w:val="center"/>
              <w:rPr>
                <w:rFonts w:hint="default"/>
              </w:rPr>
            </w:pPr>
            <w:r>
              <w:rPr>
                <w:rFonts w:hint="default"/>
              </w:rPr>
              <w:t>550-580</w:t>
            </w:r>
          </w:p>
        </w:tc>
      </w:tr>
    </w:tbl>
    <w:p w14:paraId="1F5F0EAC">
      <w:pPr>
        <w:ind w:firstLine="0" w:firstLineChars="0"/>
      </w:pPr>
    </w:p>
    <w:p w14:paraId="136E5532">
      <w:pPr>
        <w:ind w:firstLine="480"/>
      </w:pPr>
      <w:r>
        <w:t>通过分析国际氯酸盐生产技术发展，并经过对国内外现有氯酸盐电解槽进行总结，对国内生产现状及有关特殊用材的生产供应和加工技术状况反复调研认为：目前国内福州一化化学品公司引进的芬兰技术的氯酸钠生产技术较为先进，平均电耗仅有5100左右度/吨产品，阳极面积较大，单槽氯酸钠生产能力可达500吨/年，年产5万吨氯酸钠仅需120只单元电解槽(考虑了一定富裕)。国内氯酸盐制造业较为先进的单极气提外循环氯酸钠电解技术及电解槽都是借鉴国外的生产技术。目前内蒙古兰太实业股份有限公司引进的加拿大ERCO公司的氯酸钠制造成套技术，是目前国内单套规模最大（5万吨/年）的生产线，而后中盐江西盐化有限公司与内蒙古兰太实业股份有限公司在江西新建5万吨/年氯酸钠项目，这两个项目代表了氯酸钠制造业国内先进水平。</w:t>
      </w:r>
    </w:p>
    <w:p w14:paraId="299A37C0">
      <w:pPr>
        <w:ind w:firstLine="480"/>
      </w:pPr>
      <w:r>
        <w:t>本项目拟选用国内单极气提外循环氯酸钠电解技术及三元涂层无隔膜金属阳极电解槽。</w:t>
      </w:r>
    </w:p>
    <w:p w14:paraId="7AC5BA0C">
      <w:pPr>
        <w:ind w:firstLine="480"/>
      </w:pPr>
      <w:r>
        <w:t>③真空结晶</w:t>
      </w:r>
    </w:p>
    <w:p w14:paraId="74733469">
      <w:pPr>
        <w:ind w:firstLine="480"/>
      </w:pPr>
      <w:r>
        <w:t>氯酸钠的结晶有真空法和冷冻法，冷冻法设备多、占地面积大，操作不连续，而真空法为连续操作，占地面积小，工艺简单。能耗相比，虽然真空法蒸汽耗量大，但相对于冷冻法耗电所用费用，真空法费用低得多，因此本项目采用真空法。</w:t>
      </w:r>
    </w:p>
    <w:p w14:paraId="16C462E1">
      <w:pPr>
        <w:ind w:firstLine="480"/>
      </w:pPr>
      <w:r>
        <w:t>④干燥工艺</w:t>
      </w:r>
    </w:p>
    <w:p w14:paraId="2AF985D0">
      <w:pPr>
        <w:ind w:firstLine="480"/>
      </w:pPr>
      <w:r>
        <w:t>氯酸钠的干燥有多种方法，如烘箱干燥，沸腾床干燥，振动流化床干燥，气流干燥等。烘箱干燥处理量小，能耗高，间歇操作，不能满足本项目生产规模。沸腾床干燥从安全及环保角度考虑也很不适宜。气流干燥及振动流化床干燥是目前国内大多数厂家采用的干燥设备。由于气流干燥存在不易控制，过程易堵料等缺点，已逐渐被振动流化床干燥所取代，振动流化床采用振动电机驱动，运转平稳，噪音小，维修方便，干燥均匀，由于采用全封闭式结构，环境清洁。实践表明，振动流化床在氯酸钠行业中的运用是成功的。因此，选用振动流化床干燥工艺。</w:t>
      </w:r>
    </w:p>
    <w:p w14:paraId="4DE9DC96">
      <w:pPr>
        <w:ind w:firstLine="480"/>
      </w:pPr>
      <w:r>
        <w:t>通过以上比选，最终确定本项目氯酸钠生产拟采用工艺见下表：</w:t>
      </w:r>
    </w:p>
    <w:p w14:paraId="372823A4">
      <w:pPr>
        <w:pStyle w:val="43"/>
        <w:numPr>
          <w:ilvl w:val="5"/>
          <w:numId w:val="1"/>
        </w:numPr>
        <w:rPr>
          <w:rFonts w:hint="default"/>
        </w:rPr>
      </w:pPr>
      <w:r>
        <w:rPr>
          <w:rFonts w:hint="default"/>
        </w:rPr>
        <w:t>氯酸钠各生产工序拟采用工艺</w:t>
      </w:r>
    </w:p>
    <w:tbl>
      <w:tblPr>
        <w:tblStyle w:val="32"/>
        <w:tblW w:w="90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36"/>
        <w:gridCol w:w="4620"/>
        <w:gridCol w:w="1840"/>
      </w:tblGrid>
      <w:tr w14:paraId="6FC9E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exact"/>
          <w:tblHeader/>
          <w:jc w:val="center"/>
        </w:trPr>
        <w:tc>
          <w:tcPr>
            <w:tcW w:w="2636" w:type="dxa"/>
            <w:vAlign w:val="center"/>
          </w:tcPr>
          <w:p w14:paraId="72B80B78">
            <w:pPr>
              <w:pStyle w:val="45"/>
              <w:rPr>
                <w:rFonts w:hint="default"/>
                <w:b/>
                <w:bCs/>
              </w:rPr>
            </w:pPr>
            <w:r>
              <w:rPr>
                <w:rFonts w:hint="default"/>
                <w:b/>
                <w:bCs/>
              </w:rPr>
              <w:t>工序</w:t>
            </w:r>
          </w:p>
        </w:tc>
        <w:tc>
          <w:tcPr>
            <w:tcW w:w="4620" w:type="dxa"/>
            <w:vAlign w:val="center"/>
          </w:tcPr>
          <w:p w14:paraId="4F6E390A">
            <w:pPr>
              <w:pStyle w:val="45"/>
              <w:rPr>
                <w:rFonts w:hint="default"/>
                <w:b/>
                <w:bCs/>
              </w:rPr>
            </w:pPr>
            <w:r>
              <w:rPr>
                <w:rFonts w:hint="default"/>
                <w:b/>
                <w:bCs/>
              </w:rPr>
              <w:t>拟选用工艺</w:t>
            </w:r>
          </w:p>
        </w:tc>
        <w:tc>
          <w:tcPr>
            <w:tcW w:w="1840" w:type="dxa"/>
            <w:vAlign w:val="center"/>
          </w:tcPr>
          <w:p w14:paraId="6C677CEA">
            <w:pPr>
              <w:pStyle w:val="45"/>
              <w:rPr>
                <w:rFonts w:hint="default"/>
                <w:b/>
                <w:bCs/>
              </w:rPr>
            </w:pPr>
            <w:r>
              <w:rPr>
                <w:rFonts w:hint="default"/>
                <w:b/>
                <w:bCs/>
              </w:rPr>
              <w:t>备注</w:t>
            </w:r>
          </w:p>
        </w:tc>
      </w:tr>
      <w:tr w14:paraId="36CD9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exact"/>
          <w:jc w:val="center"/>
        </w:trPr>
        <w:tc>
          <w:tcPr>
            <w:tcW w:w="2636" w:type="dxa"/>
            <w:vAlign w:val="center"/>
          </w:tcPr>
          <w:p w14:paraId="0314A013">
            <w:pPr>
              <w:pStyle w:val="45"/>
              <w:rPr>
                <w:rFonts w:hint="default"/>
              </w:rPr>
            </w:pPr>
            <w:r>
              <w:rPr>
                <w:rFonts w:hint="default"/>
              </w:rPr>
              <w:t>盐水精制</w:t>
            </w:r>
          </w:p>
        </w:tc>
        <w:tc>
          <w:tcPr>
            <w:tcW w:w="4620" w:type="dxa"/>
            <w:vAlign w:val="center"/>
          </w:tcPr>
          <w:p w14:paraId="265ACDB3">
            <w:pPr>
              <w:pStyle w:val="45"/>
              <w:rPr>
                <w:rFonts w:hint="default"/>
              </w:rPr>
            </w:pPr>
            <w:r>
              <w:rPr>
                <w:rFonts w:hint="default"/>
              </w:rPr>
              <w:t>陶瓷膜分离技术</w:t>
            </w:r>
          </w:p>
        </w:tc>
        <w:tc>
          <w:tcPr>
            <w:tcW w:w="1840" w:type="dxa"/>
            <w:vAlign w:val="center"/>
          </w:tcPr>
          <w:p w14:paraId="0F699948">
            <w:pPr>
              <w:pStyle w:val="45"/>
              <w:rPr>
                <w:rFonts w:hint="default"/>
              </w:rPr>
            </w:pPr>
          </w:p>
        </w:tc>
      </w:tr>
      <w:tr w14:paraId="649AA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exact"/>
          <w:jc w:val="center"/>
        </w:trPr>
        <w:tc>
          <w:tcPr>
            <w:tcW w:w="2636" w:type="dxa"/>
            <w:vAlign w:val="center"/>
          </w:tcPr>
          <w:p w14:paraId="21165457">
            <w:pPr>
              <w:pStyle w:val="45"/>
              <w:rPr>
                <w:rFonts w:hint="default"/>
              </w:rPr>
            </w:pPr>
            <w:r>
              <w:rPr>
                <w:rFonts w:hint="default"/>
              </w:rPr>
              <w:t>电解</w:t>
            </w:r>
          </w:p>
        </w:tc>
        <w:tc>
          <w:tcPr>
            <w:tcW w:w="4620" w:type="dxa"/>
            <w:vAlign w:val="center"/>
          </w:tcPr>
          <w:p w14:paraId="2EFD2F05">
            <w:pPr>
              <w:pStyle w:val="45"/>
              <w:rPr>
                <w:rFonts w:hint="default"/>
              </w:rPr>
            </w:pPr>
            <w:r>
              <w:rPr>
                <w:rFonts w:hint="default"/>
              </w:rPr>
              <w:t>单极气提外循环氯酸钠电解技术</w:t>
            </w:r>
          </w:p>
        </w:tc>
        <w:tc>
          <w:tcPr>
            <w:tcW w:w="1840" w:type="dxa"/>
            <w:vAlign w:val="center"/>
          </w:tcPr>
          <w:p w14:paraId="2A0A3FB5">
            <w:pPr>
              <w:pStyle w:val="45"/>
              <w:rPr>
                <w:rFonts w:hint="default"/>
              </w:rPr>
            </w:pPr>
          </w:p>
        </w:tc>
      </w:tr>
      <w:tr w14:paraId="799FD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exact"/>
          <w:jc w:val="center"/>
        </w:trPr>
        <w:tc>
          <w:tcPr>
            <w:tcW w:w="2636" w:type="dxa"/>
            <w:vAlign w:val="center"/>
          </w:tcPr>
          <w:p w14:paraId="130284C9">
            <w:pPr>
              <w:pStyle w:val="45"/>
              <w:rPr>
                <w:rFonts w:hint="default"/>
              </w:rPr>
            </w:pPr>
            <w:r>
              <w:rPr>
                <w:rFonts w:hint="default"/>
              </w:rPr>
              <w:t>结晶</w:t>
            </w:r>
          </w:p>
        </w:tc>
        <w:tc>
          <w:tcPr>
            <w:tcW w:w="4620" w:type="dxa"/>
            <w:vAlign w:val="center"/>
          </w:tcPr>
          <w:p w14:paraId="48DF76FC">
            <w:pPr>
              <w:pStyle w:val="45"/>
              <w:rPr>
                <w:rFonts w:hint="default"/>
              </w:rPr>
            </w:pPr>
            <w:r>
              <w:rPr>
                <w:rFonts w:hint="default"/>
              </w:rPr>
              <w:t>真空结晶工艺</w:t>
            </w:r>
          </w:p>
        </w:tc>
        <w:tc>
          <w:tcPr>
            <w:tcW w:w="1840" w:type="dxa"/>
            <w:vAlign w:val="center"/>
          </w:tcPr>
          <w:p w14:paraId="692C1888">
            <w:pPr>
              <w:pStyle w:val="45"/>
              <w:rPr>
                <w:rFonts w:hint="default"/>
              </w:rPr>
            </w:pPr>
          </w:p>
        </w:tc>
      </w:tr>
    </w:tbl>
    <w:p w14:paraId="17849356">
      <w:pPr>
        <w:ind w:firstLine="0" w:firstLineChars="0"/>
      </w:pPr>
    </w:p>
    <w:p w14:paraId="10CCD34F">
      <w:pPr>
        <w:pStyle w:val="7"/>
        <w:bidi w:val="0"/>
      </w:pPr>
      <w:r>
        <w:rPr>
          <w:rFonts w:hint="eastAsia"/>
        </w:rPr>
        <w:t>（2）高氯酸钠工艺选择</w:t>
      </w:r>
    </w:p>
    <w:p w14:paraId="7F5E4A33">
      <w:pPr>
        <w:ind w:firstLine="480"/>
      </w:pPr>
      <w:r>
        <w:t>目前世界上生产高氯酸钠较为成熟的方法，是电解氧化氯酸钠。大多数工业化生产高氯酸钠的国家，都是采用这种工艺方法，对此项的进一步开发研究，各国都投入了很大的人力物力，使其得以不断的改进完善，至于其它一些化学方法都无法与之相比。但是在某些特殊的场合，或者在实验中，需要少量的高氯酸钠，便可以采用化学法来制取，简便快捷。如用氯酸钠加热，生产高氯酸钠和氯化钠；该方法也称自动氧化法，因为高氯酸钠是由氯酸钠受热后自身发生氧化生产。对所得融熔物，用浓盐酸</w:t>
      </w:r>
      <w:r>
        <w:rPr>
          <w:rFonts w:hint="eastAsia"/>
          <w:lang w:eastAsia="zh-CN"/>
        </w:rPr>
        <w:t>萃取</w:t>
      </w:r>
      <w:r>
        <w:t>其中的高氯酸钠再经蒸发除去盐酸即可。</w:t>
      </w:r>
    </w:p>
    <w:p w14:paraId="5D9AB740">
      <w:pPr>
        <w:ind w:firstLine="480"/>
      </w:pPr>
      <w:r>
        <w:t>本项目主要采用电解氧化氯酸钠方法。</w:t>
      </w:r>
    </w:p>
    <w:p w14:paraId="3C8D2AB7">
      <w:pPr>
        <w:pStyle w:val="6"/>
        <w:numPr>
          <w:ilvl w:val="4"/>
          <w:numId w:val="0"/>
        </w:numPr>
        <w:ind w:left="480" w:leftChars="200"/>
      </w:pPr>
      <w:r>
        <w:rPr>
          <w:rFonts w:hint="eastAsia"/>
        </w:rPr>
        <w:t>（3）高氯酸钾工艺选择</w:t>
      </w:r>
    </w:p>
    <w:p w14:paraId="7E8E1173">
      <w:pPr>
        <w:ind w:firstLine="480"/>
      </w:pPr>
      <w:r>
        <w:t>生产高氯酸盐有氯酸盐加热分解法和电解法两种。前者因不经济，已很少采用。电解法的步骤为：</w:t>
      </w:r>
    </w:p>
    <w:p w14:paraId="480B34B5">
      <w:pPr>
        <w:ind w:firstLine="480"/>
      </w:pPr>
      <w:r>
        <w:t>高氯酸钾生产是将氯酸钠精制后，进入高氯酸钠电解槽进行深度电解，使氯酸钠电解成高氯酸钠，高氯酸钠与经精制的氯化钾进行复分解反应制得高氯酸钾晶体，最后经晶液分离、洗涤、干燥、包装即得高氯酸钾成品，副产物氯化纳进入氯酸钠生产循环利用，所用氯酸钠不需干燥。</w:t>
      </w:r>
    </w:p>
    <w:p w14:paraId="4BB684D8">
      <w:pPr>
        <w:ind w:firstLine="480"/>
      </w:pPr>
      <w:r>
        <w:t>高氯酸钾生产过程主要化学方程式：</w:t>
      </w:r>
    </w:p>
    <w:p w14:paraId="0012BE52">
      <w:pPr>
        <w:ind w:firstLine="0" w:firstLineChars="0"/>
        <w:jc w:val="center"/>
      </w:pPr>
      <w:r>
        <w:t>NaClO</w:t>
      </w:r>
      <w:r>
        <w:rPr>
          <w:vertAlign w:val="subscript"/>
        </w:rPr>
        <w:t>3</w:t>
      </w:r>
      <w:r>
        <w:t>+ H</w:t>
      </w:r>
      <w:r>
        <w:rPr>
          <w:vertAlign w:val="subscript"/>
        </w:rPr>
        <w:t>2</w:t>
      </w:r>
      <w:r>
        <w:t>O →NaClO</w:t>
      </w:r>
      <w:r>
        <w:rPr>
          <w:vertAlign w:val="subscript"/>
        </w:rPr>
        <w:t>4</w:t>
      </w:r>
      <w:r>
        <w:t xml:space="preserve"> + H</w:t>
      </w:r>
      <w:r>
        <w:rPr>
          <w:vertAlign w:val="subscript"/>
        </w:rPr>
        <w:t>2</w:t>
      </w:r>
      <w:r>
        <w:t>↑</w:t>
      </w:r>
    </w:p>
    <w:p w14:paraId="15388FEE">
      <w:pPr>
        <w:ind w:firstLine="0" w:firstLineChars="0"/>
        <w:jc w:val="center"/>
      </w:pPr>
      <w:r>
        <w:t>NaClO</w:t>
      </w:r>
      <w:r>
        <w:rPr>
          <w:vertAlign w:val="subscript"/>
        </w:rPr>
        <w:t>4</w:t>
      </w:r>
      <w:r>
        <w:t xml:space="preserve"> + KCl →KClO</w:t>
      </w:r>
      <w:r>
        <w:rPr>
          <w:vertAlign w:val="subscript"/>
        </w:rPr>
        <w:t>4</w:t>
      </w:r>
      <w:r>
        <w:t xml:space="preserve"> +NaCl</w:t>
      </w:r>
    </w:p>
    <w:p w14:paraId="09FECAD8">
      <w:pPr>
        <w:ind w:firstLine="480"/>
      </w:pPr>
      <w:r>
        <w:t>基于以上考虑，本项目选用电解法生产高氯酸盐，由氯酸钠电解制得高氯酸钠，经复分解反应制得高氯酸钾。</w:t>
      </w:r>
    </w:p>
    <w:p w14:paraId="465D0899">
      <w:pPr>
        <w:ind w:firstLine="480"/>
      </w:pPr>
      <w:r>
        <w:t>本项目高氯酸钾工艺在目前国内最先进生产工艺基础上改进升级，采用先进的氯化钠母液低温真空蒸发浓缩、风冷结晶器技术和集中控制技术离技术。高氯酸钾生产后的母液回收使用，生产成本低，无污染物排放。过去很多高氯酸钾生产厂家没有氯酸钠生产线，都是采用将生产后的母液(主要成分为氯化钠，含少量的高氯酸钾和氯酸钠)直接排放，而有氯酸钠生产线的厂家由于回收母液时将高氯酸钾带回到氯酸钠生产线将会影响氯酸钠的生产，将造成氯酸钠生产线生产极不隐定。本项目母液回收采用先进的低温真空蒸发浓缩系统进行回收，利用冷冻结晶降低母液中高氯酸钾绝对量，从而影响氯酸钠的正常生产，真正做到清洁生产，无污染物排放。</w:t>
      </w:r>
    </w:p>
    <w:p w14:paraId="59B7DEB4">
      <w:pPr>
        <w:ind w:firstLine="480"/>
      </w:pPr>
      <w:r>
        <w:rPr>
          <w:rFonts w:hint="eastAsia"/>
          <w:lang w:val="en-US" w:eastAsia="zh-CN"/>
        </w:rPr>
        <w:t>综上，</w:t>
      </w:r>
      <w:r>
        <w:rPr>
          <w:rFonts w:hint="eastAsia"/>
        </w:rPr>
        <w:t>根据设计，项目生产产品主要作为无机盐制造原料制造，本项目建设符合《产业结构调整指导目录（</w:t>
      </w:r>
      <w:r>
        <w:rPr>
          <w:rFonts w:hint="eastAsia"/>
          <w:lang w:val="en-US" w:eastAsia="zh-CN"/>
        </w:rPr>
        <w:t>2024</w:t>
      </w:r>
      <w:r>
        <w:rPr>
          <w:rFonts w:hint="eastAsia"/>
        </w:rPr>
        <w:t xml:space="preserve"> 年）》中的产业政策要求。本项目属于无机盐制造原料制造，生产全过程采取废气进行收集、并进行处理。结合相关文献、专利以及国内生产企业的实际生产状况，目前，对国内外</w:t>
      </w:r>
      <w:r>
        <w:rPr>
          <w:rFonts w:hint="eastAsia"/>
          <w:lang w:val="en-US" w:eastAsia="zh-CN"/>
        </w:rPr>
        <w:t>同类</w:t>
      </w:r>
      <w:r>
        <w:rPr>
          <w:rFonts w:hint="eastAsia"/>
        </w:rPr>
        <w:t>生产线的工艺路线的选择、比对，从产业化工艺技术的先进性、可行性、成熟度、可靠性和稳定性等综合因素分析，</w:t>
      </w:r>
      <w:r>
        <w:rPr>
          <w:rFonts w:hint="eastAsia"/>
          <w:lang w:val="en-US" w:eastAsia="zh-CN"/>
        </w:rPr>
        <w:t>项目</w:t>
      </w:r>
      <w:r>
        <w:rPr>
          <w:rFonts w:hint="eastAsia"/>
        </w:rPr>
        <w:t>工艺属于国内先进。</w:t>
      </w:r>
    </w:p>
    <w:p w14:paraId="6BC933C0">
      <w:pPr>
        <w:pStyle w:val="6"/>
        <w:bidi w:val="0"/>
      </w:pPr>
      <w:r>
        <w:rPr>
          <w:rFonts w:hint="eastAsia"/>
        </w:rPr>
        <w:t>设备</w:t>
      </w:r>
    </w:p>
    <w:p w14:paraId="4F1418A1">
      <w:pPr>
        <w:ind w:firstLine="480"/>
      </w:pPr>
      <w:r>
        <w:t>（1）生产过程采用DCS 控制，自动化程度高，可靠程度强，生产运行稳定，收率高。</w:t>
      </w:r>
    </w:p>
    <w:p w14:paraId="5A0C5AAE">
      <w:pPr>
        <w:ind w:firstLine="480"/>
      </w:pPr>
      <w:r>
        <w:t>（2）将生产中能够回收的物料尽可能回收，不但减少了污染物的产生量，而且可以产生一定的经济效益。</w:t>
      </w:r>
    </w:p>
    <w:p w14:paraId="09B2E965">
      <w:pPr>
        <w:ind w:firstLine="480"/>
      </w:pPr>
      <w:r>
        <w:t>（3）该项目物料投入均采用自动化计量设备，投料更合理准确。</w:t>
      </w:r>
    </w:p>
    <w:p w14:paraId="5A92AE80">
      <w:pPr>
        <w:ind w:firstLine="480"/>
      </w:pPr>
      <w:r>
        <w:t>（4）该项目在设备方面本着以下原则进行选型：在满足工艺要求的前提下，选择生产可靠、结构简单、便于清洗、操作与维护的设备；设备选型立足于国产化，选用高效节能的设备；关键设备实现机械化，自动化；设备适用、寿命长。</w:t>
      </w:r>
    </w:p>
    <w:p w14:paraId="51AA30BC">
      <w:pPr>
        <w:pStyle w:val="5"/>
        <w:numPr>
          <w:ilvl w:val="3"/>
          <w:numId w:val="1"/>
        </w:numPr>
      </w:pPr>
      <w:r>
        <w:rPr>
          <w:rFonts w:hint="eastAsia"/>
        </w:rPr>
        <w:t>资源能源利用</w:t>
      </w:r>
    </w:p>
    <w:p w14:paraId="3C52534F">
      <w:pPr>
        <w:ind w:firstLine="480"/>
      </w:pPr>
      <w:r>
        <w:t>本项目</w:t>
      </w:r>
      <w:r>
        <w:rPr>
          <w:rFonts w:hint="eastAsia"/>
        </w:rPr>
        <w:t>原辅材料选取低杂质、高纯度的化工原料，氯化钠、氯化钾纯度均达到国家质量标准一等品，以减少在生产过程中的副产物和有毒污染物的产生量。</w:t>
      </w:r>
    </w:p>
    <w:p w14:paraId="7E97A015">
      <w:pPr>
        <w:ind w:firstLine="480"/>
      </w:pPr>
      <w:r>
        <w:rPr>
          <w:rFonts w:hint="eastAsia"/>
        </w:rPr>
        <w:t>原辅材料的存储和输送设备选取密封性能好的生产设备，最大程度的减少物料的无组织散失。</w:t>
      </w:r>
    </w:p>
    <w:p w14:paraId="7291E03E">
      <w:pPr>
        <w:ind w:firstLine="480"/>
      </w:pPr>
      <w:r>
        <w:rPr>
          <w:rFonts w:hint="eastAsia"/>
        </w:rPr>
        <w:t>原辅材料的计量精准，生产连续，生产母液和真空冷凝水全部回用，可有效减少物料消耗。</w:t>
      </w:r>
    </w:p>
    <w:p w14:paraId="216FA6C4">
      <w:pPr>
        <w:ind w:firstLine="480"/>
      </w:pPr>
      <w:r>
        <w:t>本项目氯酸钠原辅材料的消耗定额与同行业的比较见下表</w:t>
      </w:r>
      <w:r>
        <w:rPr>
          <w:rFonts w:hint="eastAsia"/>
        </w:rPr>
        <w:t>。</w:t>
      </w:r>
    </w:p>
    <w:p w14:paraId="557E2F0F">
      <w:pPr>
        <w:pStyle w:val="43"/>
        <w:numPr>
          <w:ilvl w:val="5"/>
          <w:numId w:val="1"/>
        </w:numPr>
        <w:rPr>
          <w:rFonts w:hint="default"/>
        </w:rPr>
      </w:pPr>
      <w:r>
        <w:t>本项目原辅材料消耗定额与同行业的比较情况</w:t>
      </w:r>
    </w:p>
    <w:tbl>
      <w:tblPr>
        <w:tblStyle w:val="32"/>
        <w:tblW w:w="84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3"/>
        <w:gridCol w:w="1845"/>
        <w:gridCol w:w="1905"/>
        <w:gridCol w:w="1681"/>
        <w:gridCol w:w="1815"/>
      </w:tblGrid>
      <w:tr w14:paraId="632CE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exact"/>
          <w:tblHeader/>
          <w:jc w:val="center"/>
        </w:trPr>
        <w:tc>
          <w:tcPr>
            <w:tcW w:w="0" w:type="auto"/>
            <w:vAlign w:val="center"/>
          </w:tcPr>
          <w:p w14:paraId="48A9568A">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物料名称</w:t>
            </w:r>
          </w:p>
        </w:tc>
        <w:tc>
          <w:tcPr>
            <w:tcW w:w="0" w:type="auto"/>
            <w:vAlign w:val="center"/>
          </w:tcPr>
          <w:p w14:paraId="7307B8F5">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同行业单耗</w:t>
            </w:r>
          </w:p>
        </w:tc>
        <w:tc>
          <w:tcPr>
            <w:tcW w:w="0" w:type="auto"/>
            <w:vAlign w:val="center"/>
          </w:tcPr>
          <w:p w14:paraId="4DB98120">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本项目单耗</w:t>
            </w:r>
          </w:p>
        </w:tc>
        <w:tc>
          <w:tcPr>
            <w:tcW w:w="0" w:type="auto"/>
            <w:vAlign w:val="center"/>
          </w:tcPr>
          <w:p w14:paraId="3912A473">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与同行业相比</w:t>
            </w:r>
          </w:p>
        </w:tc>
        <w:tc>
          <w:tcPr>
            <w:tcW w:w="0" w:type="auto"/>
            <w:vAlign w:val="center"/>
          </w:tcPr>
          <w:p w14:paraId="60AB1F4C">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备注</w:t>
            </w:r>
          </w:p>
        </w:tc>
      </w:tr>
      <w:tr w14:paraId="3B333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exact"/>
          <w:jc w:val="center"/>
        </w:trPr>
        <w:tc>
          <w:tcPr>
            <w:tcW w:w="0" w:type="auto"/>
            <w:vAlign w:val="center"/>
          </w:tcPr>
          <w:p w14:paraId="23C40985">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原料盐</w:t>
            </w:r>
          </w:p>
        </w:tc>
        <w:tc>
          <w:tcPr>
            <w:tcW w:w="0" w:type="auto"/>
            <w:vAlign w:val="center"/>
          </w:tcPr>
          <w:p w14:paraId="17D1DB22">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600 kg/tNaClO</w:t>
            </w:r>
            <w:r>
              <w:rPr>
                <w:rFonts w:hint="eastAsia" w:cs="Times New Roman"/>
                <w:kern w:val="0"/>
                <w:sz w:val="21"/>
                <w:szCs w:val="21"/>
                <w:vertAlign w:val="subscript"/>
              </w:rPr>
              <w:t>3</w:t>
            </w:r>
          </w:p>
        </w:tc>
        <w:tc>
          <w:tcPr>
            <w:tcW w:w="0" w:type="auto"/>
            <w:vAlign w:val="center"/>
          </w:tcPr>
          <w:p w14:paraId="7C0A8F09">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551 kg/tNaClO</w:t>
            </w:r>
            <w:r>
              <w:rPr>
                <w:rFonts w:hint="eastAsia" w:cs="Times New Roman"/>
                <w:kern w:val="0"/>
                <w:sz w:val="21"/>
                <w:szCs w:val="21"/>
                <w:vertAlign w:val="subscript"/>
              </w:rPr>
              <w:t>3</w:t>
            </w:r>
          </w:p>
        </w:tc>
        <w:tc>
          <w:tcPr>
            <w:tcW w:w="0" w:type="auto"/>
            <w:vAlign w:val="center"/>
          </w:tcPr>
          <w:p w14:paraId="1430D646">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-49</w:t>
            </w:r>
          </w:p>
        </w:tc>
        <w:tc>
          <w:tcPr>
            <w:tcW w:w="0" w:type="auto"/>
            <w:vAlign w:val="center"/>
          </w:tcPr>
          <w:p w14:paraId="15768B4D">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按100%纯度计</w:t>
            </w:r>
          </w:p>
        </w:tc>
      </w:tr>
      <w:tr w14:paraId="505CF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exact"/>
          <w:jc w:val="center"/>
        </w:trPr>
        <w:tc>
          <w:tcPr>
            <w:tcW w:w="0" w:type="auto"/>
            <w:vAlign w:val="center"/>
          </w:tcPr>
          <w:p w14:paraId="3649C64A">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氢氧化钠</w:t>
            </w:r>
          </w:p>
        </w:tc>
        <w:tc>
          <w:tcPr>
            <w:tcW w:w="0" w:type="auto"/>
            <w:vAlign w:val="center"/>
          </w:tcPr>
          <w:p w14:paraId="4BDECDAD">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58.5 kg/tNaClO</w:t>
            </w:r>
            <w:r>
              <w:rPr>
                <w:rFonts w:hint="eastAsia" w:cs="Times New Roman"/>
                <w:kern w:val="0"/>
                <w:sz w:val="21"/>
                <w:szCs w:val="21"/>
                <w:vertAlign w:val="subscript"/>
              </w:rPr>
              <w:t>3</w:t>
            </w:r>
          </w:p>
        </w:tc>
        <w:tc>
          <w:tcPr>
            <w:tcW w:w="0" w:type="auto"/>
            <w:vAlign w:val="center"/>
          </w:tcPr>
          <w:p w14:paraId="2A3DA533">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47kg/tNaClO</w:t>
            </w:r>
            <w:r>
              <w:rPr>
                <w:rFonts w:hint="eastAsia" w:cs="Times New Roman"/>
                <w:kern w:val="0"/>
                <w:sz w:val="21"/>
                <w:szCs w:val="21"/>
                <w:vertAlign w:val="subscript"/>
              </w:rPr>
              <w:t>3</w:t>
            </w:r>
          </w:p>
        </w:tc>
        <w:tc>
          <w:tcPr>
            <w:tcW w:w="0" w:type="auto"/>
            <w:vAlign w:val="center"/>
          </w:tcPr>
          <w:p w14:paraId="06212AA5">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-11.5</w:t>
            </w:r>
          </w:p>
        </w:tc>
        <w:tc>
          <w:tcPr>
            <w:tcW w:w="0" w:type="auto"/>
            <w:vAlign w:val="center"/>
          </w:tcPr>
          <w:p w14:paraId="67838ED6">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按100%纯度计</w:t>
            </w:r>
          </w:p>
        </w:tc>
      </w:tr>
      <w:tr w14:paraId="4AA7C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exact"/>
          <w:jc w:val="center"/>
        </w:trPr>
        <w:tc>
          <w:tcPr>
            <w:tcW w:w="0" w:type="auto"/>
            <w:vAlign w:val="center"/>
          </w:tcPr>
          <w:p w14:paraId="73F73601">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盐酸</w:t>
            </w:r>
          </w:p>
        </w:tc>
        <w:tc>
          <w:tcPr>
            <w:tcW w:w="0" w:type="auto"/>
            <w:vAlign w:val="center"/>
          </w:tcPr>
          <w:p w14:paraId="0536EB00">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42kg/tNaClO</w:t>
            </w:r>
            <w:r>
              <w:rPr>
                <w:rFonts w:hint="eastAsia" w:cs="Times New Roman"/>
                <w:kern w:val="0"/>
                <w:sz w:val="21"/>
                <w:szCs w:val="21"/>
                <w:vertAlign w:val="subscript"/>
              </w:rPr>
              <w:t>3</w:t>
            </w:r>
          </w:p>
        </w:tc>
        <w:tc>
          <w:tcPr>
            <w:tcW w:w="0" w:type="auto"/>
            <w:vAlign w:val="center"/>
          </w:tcPr>
          <w:p w14:paraId="1BE31401">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40kg/tNaClO</w:t>
            </w:r>
            <w:r>
              <w:rPr>
                <w:rFonts w:hint="eastAsia" w:cs="Times New Roman"/>
                <w:kern w:val="0"/>
                <w:sz w:val="21"/>
                <w:szCs w:val="21"/>
                <w:vertAlign w:val="subscript"/>
              </w:rPr>
              <w:t>3</w:t>
            </w:r>
          </w:p>
        </w:tc>
        <w:tc>
          <w:tcPr>
            <w:tcW w:w="0" w:type="auto"/>
            <w:vAlign w:val="center"/>
          </w:tcPr>
          <w:p w14:paraId="66BD4E13">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-2</w:t>
            </w:r>
          </w:p>
        </w:tc>
        <w:tc>
          <w:tcPr>
            <w:tcW w:w="0" w:type="auto"/>
            <w:vAlign w:val="center"/>
          </w:tcPr>
          <w:p w14:paraId="035E2FED">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按</w:t>
            </w:r>
            <w:r>
              <w:rPr>
                <w:rFonts w:hint="eastAsia" w:cs="Times New Roman"/>
                <w:kern w:val="0"/>
                <w:sz w:val="21"/>
                <w:szCs w:val="21"/>
                <w:lang w:val="en-US" w:eastAsia="zh-CN"/>
              </w:rPr>
              <w:t>31</w:t>
            </w:r>
            <w:r>
              <w:rPr>
                <w:rFonts w:cs="Times New Roman"/>
                <w:kern w:val="0"/>
                <w:sz w:val="21"/>
                <w:szCs w:val="21"/>
              </w:rPr>
              <w:t>%纯度计</w:t>
            </w:r>
          </w:p>
        </w:tc>
      </w:tr>
      <w:tr w14:paraId="49DA7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exact"/>
          <w:jc w:val="center"/>
        </w:trPr>
        <w:tc>
          <w:tcPr>
            <w:tcW w:w="0" w:type="auto"/>
            <w:vAlign w:val="center"/>
          </w:tcPr>
          <w:p w14:paraId="055FBE3E">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尿素</w:t>
            </w:r>
          </w:p>
        </w:tc>
        <w:tc>
          <w:tcPr>
            <w:tcW w:w="0" w:type="auto"/>
            <w:vAlign w:val="center"/>
          </w:tcPr>
          <w:p w14:paraId="6A517ABF">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3.0kg/tNaClO</w:t>
            </w:r>
            <w:r>
              <w:rPr>
                <w:rFonts w:hint="eastAsia" w:cs="Times New Roman"/>
                <w:kern w:val="0"/>
                <w:sz w:val="21"/>
                <w:szCs w:val="21"/>
                <w:vertAlign w:val="subscript"/>
              </w:rPr>
              <w:t>3</w:t>
            </w:r>
          </w:p>
        </w:tc>
        <w:tc>
          <w:tcPr>
            <w:tcW w:w="0" w:type="auto"/>
            <w:vAlign w:val="center"/>
          </w:tcPr>
          <w:p w14:paraId="060D8D39">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2.8kg/tNaClO</w:t>
            </w:r>
            <w:r>
              <w:rPr>
                <w:rFonts w:hint="eastAsia" w:cs="Times New Roman"/>
                <w:kern w:val="0"/>
                <w:sz w:val="21"/>
                <w:szCs w:val="21"/>
                <w:vertAlign w:val="subscript"/>
              </w:rPr>
              <w:t>3</w:t>
            </w:r>
          </w:p>
        </w:tc>
        <w:tc>
          <w:tcPr>
            <w:tcW w:w="0" w:type="auto"/>
            <w:vAlign w:val="center"/>
          </w:tcPr>
          <w:p w14:paraId="4145C5AF">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-0.2</w:t>
            </w:r>
          </w:p>
        </w:tc>
        <w:tc>
          <w:tcPr>
            <w:tcW w:w="0" w:type="auto"/>
            <w:vAlign w:val="center"/>
          </w:tcPr>
          <w:p w14:paraId="607F1FAB">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按100%纯度计</w:t>
            </w:r>
          </w:p>
        </w:tc>
      </w:tr>
      <w:tr w14:paraId="6EEA5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exact"/>
          <w:jc w:val="center"/>
        </w:trPr>
        <w:tc>
          <w:tcPr>
            <w:tcW w:w="0" w:type="auto"/>
            <w:vAlign w:val="center"/>
          </w:tcPr>
          <w:p w14:paraId="6BF5D2BA">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碳酸钠</w:t>
            </w:r>
          </w:p>
        </w:tc>
        <w:tc>
          <w:tcPr>
            <w:tcW w:w="0" w:type="auto"/>
            <w:vAlign w:val="center"/>
          </w:tcPr>
          <w:p w14:paraId="1398CBF2">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7.5kg/tNaClO</w:t>
            </w:r>
            <w:r>
              <w:rPr>
                <w:rFonts w:hint="eastAsia" w:cs="Times New Roman"/>
                <w:kern w:val="0"/>
                <w:sz w:val="21"/>
                <w:szCs w:val="21"/>
                <w:vertAlign w:val="subscript"/>
              </w:rPr>
              <w:t>3</w:t>
            </w:r>
          </w:p>
        </w:tc>
        <w:tc>
          <w:tcPr>
            <w:tcW w:w="0" w:type="auto"/>
            <w:vAlign w:val="center"/>
          </w:tcPr>
          <w:p w14:paraId="26FE90F0">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7.4kg/tNaClO</w:t>
            </w:r>
            <w:r>
              <w:rPr>
                <w:rFonts w:hint="eastAsia" w:cs="Times New Roman"/>
                <w:kern w:val="0"/>
                <w:sz w:val="21"/>
                <w:szCs w:val="21"/>
                <w:vertAlign w:val="subscript"/>
              </w:rPr>
              <w:t>3</w:t>
            </w:r>
          </w:p>
        </w:tc>
        <w:tc>
          <w:tcPr>
            <w:tcW w:w="0" w:type="auto"/>
            <w:vAlign w:val="center"/>
          </w:tcPr>
          <w:p w14:paraId="0964495C">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-0.1</w:t>
            </w:r>
          </w:p>
        </w:tc>
        <w:tc>
          <w:tcPr>
            <w:tcW w:w="0" w:type="auto"/>
            <w:vAlign w:val="center"/>
          </w:tcPr>
          <w:p w14:paraId="7358D969">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按100%纯度计</w:t>
            </w:r>
          </w:p>
        </w:tc>
      </w:tr>
      <w:tr w14:paraId="4367A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exact"/>
          <w:jc w:val="center"/>
        </w:trPr>
        <w:tc>
          <w:tcPr>
            <w:tcW w:w="0" w:type="auto"/>
            <w:vAlign w:val="center"/>
          </w:tcPr>
          <w:p w14:paraId="3E2DA443">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氯化钙</w:t>
            </w:r>
          </w:p>
        </w:tc>
        <w:tc>
          <w:tcPr>
            <w:tcW w:w="0" w:type="auto"/>
            <w:vAlign w:val="center"/>
          </w:tcPr>
          <w:p w14:paraId="39AF4626">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15.1kg/tNaClO</w:t>
            </w:r>
            <w:r>
              <w:rPr>
                <w:rFonts w:hint="eastAsia" w:cs="Times New Roman"/>
                <w:kern w:val="0"/>
                <w:sz w:val="21"/>
                <w:szCs w:val="21"/>
                <w:vertAlign w:val="subscript"/>
              </w:rPr>
              <w:t>3</w:t>
            </w:r>
          </w:p>
        </w:tc>
        <w:tc>
          <w:tcPr>
            <w:tcW w:w="0" w:type="auto"/>
            <w:vAlign w:val="center"/>
          </w:tcPr>
          <w:p w14:paraId="583C5E79">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8.2kg/tNaClO</w:t>
            </w:r>
            <w:r>
              <w:rPr>
                <w:rFonts w:hint="eastAsia" w:cs="Times New Roman"/>
                <w:kern w:val="0"/>
                <w:sz w:val="21"/>
                <w:szCs w:val="21"/>
                <w:vertAlign w:val="subscript"/>
              </w:rPr>
              <w:t>3</w:t>
            </w:r>
          </w:p>
        </w:tc>
        <w:tc>
          <w:tcPr>
            <w:tcW w:w="0" w:type="auto"/>
            <w:vAlign w:val="center"/>
          </w:tcPr>
          <w:p w14:paraId="27D2E7E6">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-6.9</w:t>
            </w:r>
          </w:p>
        </w:tc>
        <w:tc>
          <w:tcPr>
            <w:tcW w:w="0" w:type="auto"/>
            <w:vAlign w:val="center"/>
          </w:tcPr>
          <w:p w14:paraId="076B61EC">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按100%纯度计</w:t>
            </w:r>
          </w:p>
        </w:tc>
      </w:tr>
      <w:tr w14:paraId="5959D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exact"/>
          <w:jc w:val="center"/>
        </w:trPr>
        <w:tc>
          <w:tcPr>
            <w:tcW w:w="0" w:type="auto"/>
            <w:vAlign w:val="center"/>
          </w:tcPr>
          <w:p w14:paraId="4C1E2803">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重铬酸钠</w:t>
            </w:r>
          </w:p>
        </w:tc>
        <w:tc>
          <w:tcPr>
            <w:tcW w:w="0" w:type="auto"/>
            <w:vAlign w:val="center"/>
          </w:tcPr>
          <w:p w14:paraId="338B79A8">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0.07kg/tNaClO</w:t>
            </w:r>
            <w:r>
              <w:rPr>
                <w:rFonts w:hint="eastAsia" w:cs="Times New Roman"/>
                <w:kern w:val="0"/>
                <w:sz w:val="21"/>
                <w:szCs w:val="21"/>
                <w:vertAlign w:val="subscript"/>
              </w:rPr>
              <w:t>3</w:t>
            </w:r>
          </w:p>
        </w:tc>
        <w:tc>
          <w:tcPr>
            <w:tcW w:w="0" w:type="auto"/>
            <w:vAlign w:val="center"/>
          </w:tcPr>
          <w:p w14:paraId="21E094C9">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0.025kg/tNaClO</w:t>
            </w:r>
            <w:r>
              <w:rPr>
                <w:rFonts w:hint="eastAsia" w:cs="Times New Roman"/>
                <w:kern w:val="0"/>
                <w:sz w:val="21"/>
                <w:szCs w:val="21"/>
                <w:vertAlign w:val="subscript"/>
              </w:rPr>
              <w:t>3</w:t>
            </w:r>
          </w:p>
        </w:tc>
        <w:tc>
          <w:tcPr>
            <w:tcW w:w="0" w:type="auto"/>
            <w:vAlign w:val="center"/>
          </w:tcPr>
          <w:p w14:paraId="1F7EA790">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-0.045</w:t>
            </w:r>
          </w:p>
        </w:tc>
        <w:tc>
          <w:tcPr>
            <w:tcW w:w="0" w:type="auto"/>
            <w:vAlign w:val="center"/>
          </w:tcPr>
          <w:p w14:paraId="31461EBF">
            <w:pPr>
              <w:snapToGrid w:val="0"/>
              <w:spacing w:line="240" w:lineRule="auto"/>
              <w:ind w:firstLine="0" w:firstLineChars="0"/>
              <w:jc w:val="center"/>
              <w:textAlignment w:val="baseline"/>
              <w:rPr>
                <w:rFonts w:cs="Times New Roman"/>
                <w:kern w:val="0"/>
                <w:sz w:val="21"/>
                <w:szCs w:val="21"/>
              </w:rPr>
            </w:pPr>
            <w:r>
              <w:rPr>
                <w:rFonts w:cs="Times New Roman"/>
                <w:kern w:val="0"/>
                <w:sz w:val="21"/>
                <w:szCs w:val="21"/>
              </w:rPr>
              <w:t>按100%纯度计</w:t>
            </w:r>
          </w:p>
        </w:tc>
      </w:tr>
    </w:tbl>
    <w:p w14:paraId="14896FC5">
      <w:pPr>
        <w:ind w:firstLine="0" w:firstLineChars="0"/>
        <w:rPr>
          <w:color w:val="FF0000"/>
        </w:rPr>
      </w:pPr>
    </w:p>
    <w:p w14:paraId="1456F33D">
      <w:pPr>
        <w:pStyle w:val="5"/>
        <w:numPr>
          <w:ilvl w:val="3"/>
          <w:numId w:val="1"/>
        </w:numPr>
      </w:pPr>
      <w:r>
        <w:rPr>
          <w:rFonts w:hint="eastAsia"/>
        </w:rPr>
        <w:t>污染物排放以及废物回收利用</w:t>
      </w:r>
    </w:p>
    <w:p w14:paraId="230D539D">
      <w:pPr>
        <w:pStyle w:val="6"/>
        <w:numPr>
          <w:ilvl w:val="4"/>
          <w:numId w:val="1"/>
        </w:numPr>
        <w:ind w:firstLine="482"/>
      </w:pPr>
      <w:r>
        <w:rPr>
          <w:rFonts w:hint="eastAsia"/>
        </w:rPr>
        <w:t>废气</w:t>
      </w:r>
    </w:p>
    <w:p w14:paraId="197A3210">
      <w:pPr>
        <w:ind w:firstLine="480"/>
      </w:pPr>
      <w:r>
        <w:rPr>
          <w:rFonts w:hint="eastAsia"/>
        </w:rPr>
        <w:t>本项目运营期废气排放主要为电解尾气、干燥</w:t>
      </w:r>
      <w:r>
        <w:rPr>
          <w:rFonts w:hint="eastAsia"/>
          <w:lang w:val="en-US" w:eastAsia="zh-CN"/>
        </w:rPr>
        <w:t>废气</w:t>
      </w:r>
      <w:r>
        <w:rPr>
          <w:rFonts w:hint="eastAsia"/>
        </w:rPr>
        <w:t>、盐酸储罐大小呼吸。电解废气的主要成分为氯气、氢气；高氯酸盐干燥</w:t>
      </w:r>
      <w:r>
        <w:rPr>
          <w:rFonts w:hint="eastAsia"/>
          <w:lang w:val="en-US" w:eastAsia="zh-CN"/>
        </w:rPr>
        <w:t>废气</w:t>
      </w:r>
      <w:r>
        <w:rPr>
          <w:rFonts w:hint="eastAsia"/>
        </w:rPr>
        <w:t>的主要成分为高氯酸盐、水蒸气；盐酸储罐大小呼吸的主要成分为氯化氢。这些废气如不采取措施将对周边环境产生不利影响。工艺废气经环保设施处理后须满足《无机化学工业污染物排放标准》(GB31573-2015 )中表4大气污染物排放限值，实现达标排放。企业采取源头控制、过程强化管理等措施，尽可能的减少废气的排放。</w:t>
      </w:r>
    </w:p>
    <w:p w14:paraId="6AFB8283">
      <w:pPr>
        <w:pStyle w:val="6"/>
        <w:numPr>
          <w:ilvl w:val="4"/>
          <w:numId w:val="1"/>
        </w:numPr>
        <w:ind w:firstLine="482"/>
      </w:pPr>
      <w:r>
        <w:rPr>
          <w:rFonts w:hint="eastAsia"/>
        </w:rPr>
        <w:t>废水</w:t>
      </w:r>
    </w:p>
    <w:p w14:paraId="3B1A05C6">
      <w:pPr>
        <w:ind w:firstLine="480"/>
      </w:pPr>
      <w:r>
        <w:rPr>
          <w:rFonts w:hint="eastAsia"/>
        </w:rPr>
        <w:t>本项目最大的特点是</w:t>
      </w:r>
      <w:r>
        <w:rPr>
          <w:rFonts w:hint="eastAsia"/>
          <w:lang w:val="en-US" w:eastAsia="zh-CN"/>
        </w:rPr>
        <w:t>正常生产期间，</w:t>
      </w:r>
      <w:r>
        <w:rPr>
          <w:rFonts w:hint="eastAsia"/>
        </w:rPr>
        <w:t>生产过程工艺废水全部回用不外排，外排废水仅为办公生活污水，生活污水经化粪池处理后排入园区污水管网。非生产期间，初期雨水经“混凝沉淀+砂滤+离子树脂交换”处理后达标排入松木污水处理厂进一步处理。通过以上措施，本项目的实施对区域水环境影响较小。</w:t>
      </w:r>
    </w:p>
    <w:p w14:paraId="44EE8DDD">
      <w:pPr>
        <w:pStyle w:val="6"/>
        <w:numPr>
          <w:ilvl w:val="4"/>
          <w:numId w:val="1"/>
        </w:numPr>
        <w:ind w:firstLine="482"/>
      </w:pPr>
      <w:r>
        <w:rPr>
          <w:rFonts w:hint="eastAsia"/>
        </w:rPr>
        <w:t>固废</w:t>
      </w:r>
    </w:p>
    <w:p w14:paraId="54F203AA">
      <w:pPr>
        <w:ind w:firstLine="480"/>
        <w:rPr>
          <w:color w:val="FF0000"/>
        </w:rPr>
      </w:pPr>
      <w:r>
        <w:rPr>
          <w:rFonts w:hint="eastAsia"/>
        </w:rPr>
        <w:t>项目固体废物主要包括一般工业固废（除杂滤渣、废RO膜、废活性炭（纯水制备）、废电极材料、普通废包装、布袋除尘收集粉尘、废水站污泥等）、危险废物（除铬滤渣、电解槽沉渣、危化品废包装、机修废物、化验室废物、废吸附剂等）和生活垃圾。一般工业固废中除杂滤渣、废水站污泥、普通废包装外售综合利用，废RO膜、废活性炭（纯水制备）、废电极材料交由供应商回收综合利用，布袋收集的粉尘回用于包装工序；危险废物交由有资质单位处置；生活垃圾交环卫部门统一清运处置。综上所述，固体废物妥善处置后对周围产生的环境影响较小。</w:t>
      </w:r>
    </w:p>
    <w:p w14:paraId="71B107A4">
      <w:pPr>
        <w:pStyle w:val="5"/>
        <w:numPr>
          <w:ilvl w:val="3"/>
          <w:numId w:val="1"/>
        </w:numPr>
      </w:pPr>
      <w:r>
        <w:rPr>
          <w:rFonts w:hint="eastAsia"/>
        </w:rPr>
        <w:t>环境管理</w:t>
      </w:r>
    </w:p>
    <w:p w14:paraId="55153617">
      <w:pPr>
        <w:ind w:firstLine="480"/>
      </w:pPr>
      <w:r>
        <w:t>企业环境管理的作用主要体现在协调发展生产和保护环境的关系。环境管理应依据清洁生产与末端治理相结合的思路，从生产原料进厂到产品出厂整个过程中对原料使用、能源利用、设备维护、污染物治理等方面认真做到严格管理，加强员工清洁生产意识，严格操作规程，杜绝生产过程中不必要的原料及能源的损耗，保证清洁生产稳定持续发展，协调社会、经济、环境效益的统一。评价建议企业在以下方面加强环境管理：</w:t>
      </w:r>
    </w:p>
    <w:p w14:paraId="75FB188D">
      <w:pPr>
        <w:ind w:firstLine="480"/>
      </w:pPr>
      <w:r>
        <w:t>⑴制定有利于清洁生产的管理条例及岗位操作规程；</w:t>
      </w:r>
    </w:p>
    <w:p w14:paraId="27E73E79">
      <w:pPr>
        <w:ind w:firstLine="480"/>
      </w:pPr>
      <w:r>
        <w:t>⑵制定专门的管理制度及可持续清洁生产计划，推行ISO14001环境管理体系。</w:t>
      </w:r>
    </w:p>
    <w:p w14:paraId="0BB548D6">
      <w:pPr>
        <w:ind w:firstLine="480"/>
      </w:pPr>
      <w:r>
        <w:t>⑶选择有一定工作经验及文化素质较高的员工，并对其进行严格的岗前培训，培训合格方可上岗。</w:t>
      </w:r>
    </w:p>
    <w:p w14:paraId="04C0B024">
      <w:pPr>
        <w:ind w:firstLine="480"/>
      </w:pPr>
      <w:r>
        <w:t>⑷加强对员工的清洁生产意识教育，制定清洁生产的奖励及惩罚措施，提高员工参与清洁生产的积极性。</w:t>
      </w:r>
    </w:p>
    <w:p w14:paraId="4DBE42DD">
      <w:pPr>
        <w:pStyle w:val="5"/>
        <w:numPr>
          <w:ilvl w:val="3"/>
          <w:numId w:val="1"/>
        </w:numPr>
      </w:pPr>
      <w:r>
        <w:rPr>
          <w:rFonts w:hint="eastAsia"/>
        </w:rPr>
        <w:t>清洁生产小结</w:t>
      </w:r>
    </w:p>
    <w:p w14:paraId="79339945">
      <w:pPr>
        <w:ind w:firstLine="480"/>
      </w:pPr>
      <w:r>
        <w:t>综上所述，本项目工艺技术装备较为国内先进水平，项目建成投产后，通过各种节能、降耗及减污措施，将使工程能耗降低，同时也减少了对周围环境的污染，“三废”排放量少、性质简单且全部达标排放</w:t>
      </w:r>
      <w:r>
        <w:rPr>
          <w:rFonts w:hint="eastAsia"/>
        </w:rPr>
        <w:t>，</w:t>
      </w:r>
      <w:r>
        <w:t>综合评价本项目清洁生产水平为国内先进水平</w:t>
      </w:r>
      <w:r>
        <w:rPr>
          <w:rFonts w:hint="eastAsia"/>
        </w:rPr>
        <w:t>，</w:t>
      </w:r>
      <w:r>
        <w:t>符合清洁生产要求。</w:t>
      </w:r>
    </w:p>
    <w:p w14:paraId="5D5A3F6B">
      <w:pPr>
        <w:pStyle w:val="3"/>
        <w:numPr>
          <w:ilvl w:val="1"/>
          <w:numId w:val="1"/>
        </w:numPr>
      </w:pPr>
      <w:bookmarkStart w:id="139" w:name="_Toc848"/>
      <w:bookmarkStart w:id="140" w:name="_Toc22829"/>
      <w:bookmarkStart w:id="141" w:name="_Toc25918"/>
      <w:r>
        <w:rPr>
          <w:rFonts w:hint="eastAsia"/>
        </w:rPr>
        <w:t>非正常工况及事故排放情况下的污染源强分析</w:t>
      </w:r>
      <w:bookmarkEnd w:id="139"/>
    </w:p>
    <w:p w14:paraId="4D8D76C5">
      <w:pPr>
        <w:pStyle w:val="4"/>
        <w:numPr>
          <w:ilvl w:val="2"/>
          <w:numId w:val="1"/>
        </w:numPr>
      </w:pPr>
      <w:r>
        <w:rPr>
          <w:rFonts w:hint="eastAsia"/>
        </w:rPr>
        <w:t>非正常工况类型及事故影响分析</w:t>
      </w:r>
    </w:p>
    <w:p w14:paraId="6460DAAF">
      <w:pPr>
        <w:ind w:firstLine="480"/>
      </w:pPr>
      <w:r>
        <w:t>本项目生产过程可能产生的非正常工况包括：试车、停车检修，废气、废水治理设施发生故障等。在这些非正常工况中，尤以车间废气</w:t>
      </w:r>
      <w:r>
        <w:rPr>
          <w:rFonts w:hint="eastAsia"/>
        </w:rPr>
        <w:t>、废水</w:t>
      </w:r>
      <w:r>
        <w:t>治理设施发生故障，造成污染物不达标，甚至直接排放的影响最为严重，为此，按最不利原则，本评价按污染防治措施出现故障造成废气</w:t>
      </w:r>
      <w:r>
        <w:rPr>
          <w:rFonts w:hint="eastAsia"/>
        </w:rPr>
        <w:t>、废水</w:t>
      </w:r>
      <w:r>
        <w:t>未经处理事故排放作为后面章节分析本项目非正常工况污染事故影响的重点内容。</w:t>
      </w:r>
    </w:p>
    <w:p w14:paraId="124B4A9D">
      <w:pPr>
        <w:pStyle w:val="4"/>
        <w:numPr>
          <w:ilvl w:val="2"/>
          <w:numId w:val="1"/>
        </w:numPr>
      </w:pPr>
      <w:r>
        <w:rPr>
          <w:rFonts w:hint="eastAsia"/>
        </w:rPr>
        <w:t>废水非正常工况及事故排放源强</w:t>
      </w:r>
    </w:p>
    <w:p w14:paraId="308EEFD2">
      <w:pPr>
        <w:ind w:firstLine="480"/>
      </w:pPr>
      <w:r>
        <w:t>项目非正常废水主要是指装置开停车及设备检修过程中的罐体清空排水、当生产不正常造成工艺物料泄漏、生产污水排放量或者排放浓度大幅度增加超过了污水处理装置的承载负荷时、发生火灾时污染区域内产生消防废水、污染区域内产生的初期污染雨水</w:t>
      </w:r>
      <w:r>
        <w:rPr>
          <w:rFonts w:hint="eastAsia"/>
          <w:lang w:eastAsia="zh-CN"/>
        </w:rPr>
        <w:t>以及</w:t>
      </w:r>
      <w:r>
        <w:t>厂内污水预处理设置和污水处理站出现故障而造成废水不能及时处理等。</w:t>
      </w:r>
    </w:p>
    <w:p w14:paraId="3E8BDDFE">
      <w:pPr>
        <w:pStyle w:val="6"/>
        <w:numPr>
          <w:ilvl w:val="4"/>
          <w:numId w:val="1"/>
        </w:numPr>
        <w:ind w:firstLine="482"/>
      </w:pPr>
      <w:r>
        <w:t>装置开停工及设备检修过程的罐体清空排水及非正常生产排水</w:t>
      </w:r>
    </w:p>
    <w:p w14:paraId="7F94DA5E">
      <w:pPr>
        <w:ind w:firstLine="480"/>
      </w:pPr>
      <w:r>
        <w:t>装置开停车及设备检修过程中的罐体清空排水及非正常生产排水，装置临时性用水的排水及非正常生产排水等全部通过系统管网排入污水站事故污水调节池，再通过计量泵限流或经必要预处理后均匀排入污水处理系统处理。</w:t>
      </w:r>
    </w:p>
    <w:p w14:paraId="1BF2CE90">
      <w:pPr>
        <w:pStyle w:val="6"/>
        <w:numPr>
          <w:ilvl w:val="4"/>
          <w:numId w:val="1"/>
        </w:numPr>
        <w:ind w:firstLine="482"/>
      </w:pPr>
      <w:r>
        <w:rPr>
          <w:rFonts w:hint="eastAsia"/>
        </w:rPr>
        <w:t>事故废水及初期雨水</w:t>
      </w:r>
    </w:p>
    <w:p w14:paraId="2F29FF46">
      <w:pPr>
        <w:ind w:firstLine="480"/>
      </w:pPr>
      <w:r>
        <w:rPr>
          <w:rFonts w:hint="eastAsia"/>
        </w:rPr>
        <w:t>各工艺装置污染区、罐区周围设置围堰，围堰外设置初期污染雨水和清洁雨水切换阀门和初期污染雨水池，平时通往初期污染雨水池的阀门常开，当初期污染雨水池液位达到设定值且水质合格时，打开清洁雨水阀门，后期雨水通过清洁雨水管网排放。项目拟建初期雨水池，有效容积为250m</w:t>
      </w:r>
      <w:r>
        <w:rPr>
          <w:rFonts w:hint="eastAsia"/>
          <w:vertAlign w:val="superscript"/>
        </w:rPr>
        <w:t>3</w:t>
      </w:r>
      <w:r>
        <w:rPr>
          <w:rFonts w:hint="eastAsia"/>
        </w:rPr>
        <w:t>，能满足初期雨水收集要求。</w:t>
      </w:r>
    </w:p>
    <w:p w14:paraId="798CDA82">
      <w:pPr>
        <w:ind w:firstLine="480"/>
      </w:pPr>
      <w:r>
        <w:t>事故污水系统在装置区与雨水共管设计。主要收集装置区及罐区四周所设拦截沟在紧急（消防）状态下排放的污水。工程拟建1 座有效容积为</w:t>
      </w:r>
      <w:r>
        <w:rPr>
          <w:rFonts w:hint="eastAsia"/>
        </w:rPr>
        <w:t>550</w:t>
      </w:r>
      <w:r>
        <w:t>m</w:t>
      </w:r>
      <w:r>
        <w:rPr>
          <w:vertAlign w:val="superscript"/>
        </w:rPr>
        <w:t>3</w:t>
      </w:r>
      <w:r>
        <w:t xml:space="preserve"> 事故池，作为发生事故时整个厂区消防污染水的收集地，事故时将外排的雨水管的阀门关闭，打开事故池进水阀。事故结束后物料回收，污水用计量泵限流打到污水处理站处理。</w:t>
      </w:r>
    </w:p>
    <w:p w14:paraId="5279CDF0">
      <w:pPr>
        <w:pStyle w:val="6"/>
        <w:numPr>
          <w:ilvl w:val="4"/>
          <w:numId w:val="1"/>
        </w:numPr>
        <w:ind w:firstLine="482"/>
      </w:pPr>
      <w:r>
        <w:rPr>
          <w:rFonts w:hint="eastAsia"/>
        </w:rPr>
        <w:t>废水站处理效果下降</w:t>
      </w:r>
    </w:p>
    <w:p w14:paraId="59C1E709">
      <w:pPr>
        <w:ind w:firstLine="480"/>
      </w:pPr>
      <w:r>
        <w:t>项目</w:t>
      </w:r>
      <w:r>
        <w:rPr>
          <w:rFonts w:hint="eastAsia"/>
        </w:rPr>
        <w:t>废水</w:t>
      </w:r>
      <w:r>
        <w:t>处理站出水设置监控池，当出水水质合格时，</w:t>
      </w:r>
      <w:r>
        <w:rPr>
          <w:rFonts w:hint="eastAsia"/>
        </w:rPr>
        <w:t>回用于生产工序，不外排</w:t>
      </w:r>
      <w:r>
        <w:t>；若出水水质不合格，则抽回至污水调节池或事故池缓冲池再处理，严禁超标排放工业园区污水处理厂。</w:t>
      </w:r>
    </w:p>
    <w:p w14:paraId="48BB2FD4">
      <w:pPr>
        <w:pStyle w:val="4"/>
        <w:numPr>
          <w:ilvl w:val="2"/>
          <w:numId w:val="1"/>
        </w:numPr>
      </w:pPr>
      <w:r>
        <w:rPr>
          <w:rFonts w:hint="eastAsia"/>
        </w:rPr>
        <w:t>废气非正常工况及事故排放源强</w:t>
      </w:r>
    </w:p>
    <w:p w14:paraId="020A4AB0">
      <w:pPr>
        <w:ind w:firstLine="480"/>
      </w:pPr>
      <w:r>
        <w:t>本项目废气非正常排放的情景主要包括：</w:t>
      </w:r>
      <w:r>
        <w:rPr>
          <w:rFonts w:hint="eastAsia"/>
        </w:rPr>
        <w:t>生产过程中开停车、检修、废气处理设施故障等，项目产生的HCl、Cl</w:t>
      </w:r>
      <w:r>
        <w:rPr>
          <w:rFonts w:hint="eastAsia"/>
          <w:vertAlign w:val="subscript"/>
        </w:rPr>
        <w:t>2</w:t>
      </w:r>
      <w:r>
        <w:rPr>
          <w:rFonts w:hint="eastAsia"/>
        </w:rPr>
        <w:t>、颗粒物不能达标排放，甚至未经处理即直接排入周围大气环境中。</w:t>
      </w:r>
    </w:p>
    <w:p w14:paraId="15727966">
      <w:pPr>
        <w:ind w:firstLine="480"/>
        <w:rPr>
          <w:rFonts w:hint="eastAsia" w:eastAsia="宋体"/>
          <w:highlight w:val="yellow"/>
          <w:lang w:eastAsia="zh-CN"/>
        </w:rPr>
      </w:pPr>
      <w:r>
        <w:rPr>
          <w:rFonts w:hint="eastAsia"/>
        </w:rPr>
        <w:t>按最不利原则，各废气处理装置均发生故障导致各废气处理效率降低的情况下，废气处理设施非正常去除</w:t>
      </w:r>
      <w:r>
        <w:rPr>
          <w:rFonts w:hint="eastAsia"/>
          <w:highlight w:val="none"/>
        </w:rPr>
        <w:t>效率取0%</w:t>
      </w:r>
      <w:r>
        <w:rPr>
          <w:rFonts w:hint="eastAsia"/>
          <w:highlight w:val="none"/>
          <w:lang w:eastAsia="zh-CN"/>
        </w:rPr>
        <w:t>，</w:t>
      </w:r>
      <w:r>
        <w:rPr>
          <w:rFonts w:hint="eastAsia"/>
          <w:highlight w:val="none"/>
        </w:rPr>
        <w:t>本项目</w:t>
      </w:r>
      <w:r>
        <w:rPr>
          <w:rFonts w:hint="eastAsia"/>
        </w:rPr>
        <w:t>有组织废气污染物的非正常排放情况见下表</w:t>
      </w:r>
      <w:r>
        <w:rPr>
          <w:rFonts w:hint="eastAsia"/>
          <w:lang w:eastAsia="zh-CN"/>
        </w:rPr>
        <w:t>。</w:t>
      </w:r>
    </w:p>
    <w:p w14:paraId="5B85FC3C">
      <w:pPr>
        <w:ind w:firstLine="480"/>
        <w:sectPr>
          <w:type w:val="continuous"/>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24694288">
      <w:pPr>
        <w:keepNext/>
        <w:numPr>
          <w:ilvl w:val="5"/>
          <w:numId w:val="1"/>
        </w:numPr>
        <w:snapToGrid w:val="0"/>
        <w:spacing w:line="240" w:lineRule="auto"/>
        <w:ind w:firstLine="420" w:firstLineChars="0"/>
        <w:jc w:val="center"/>
        <w:rPr>
          <w:b/>
          <w:bCs/>
          <w:sz w:val="21"/>
          <w:szCs w:val="21"/>
          <w:highlight w:val="none"/>
        </w:rPr>
      </w:pPr>
      <w:r>
        <w:rPr>
          <w:rFonts w:hint="eastAsia"/>
          <w:b/>
          <w:bCs/>
          <w:sz w:val="21"/>
          <w:szCs w:val="21"/>
          <w:highlight w:val="none"/>
        </w:rPr>
        <w:t>本项目有组织废气源强统计一览表（非正常工况）</w:t>
      </w:r>
    </w:p>
    <w:tbl>
      <w:tblPr>
        <w:tblStyle w:val="32"/>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2528"/>
        <w:gridCol w:w="2529"/>
        <w:gridCol w:w="3175"/>
        <w:gridCol w:w="1987"/>
        <w:gridCol w:w="3949"/>
      </w:tblGrid>
      <w:tr w14:paraId="7E86FA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2" w:hRule="atLeast"/>
        </w:trPr>
        <w:tc>
          <w:tcPr>
            <w:tcW w:w="892" w:type="pct"/>
            <w:vMerge w:val="restart"/>
            <w:tcBorders>
              <w:tl2br w:val="nil"/>
              <w:tr2bl w:val="nil"/>
            </w:tcBorders>
            <w:shd w:val="clear" w:color="auto" w:fill="auto"/>
            <w:vAlign w:val="center"/>
          </w:tcPr>
          <w:p w14:paraId="502CC66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产生位置</w:t>
            </w:r>
          </w:p>
        </w:tc>
        <w:tc>
          <w:tcPr>
            <w:tcW w:w="892" w:type="pct"/>
            <w:vMerge w:val="restart"/>
            <w:tcBorders>
              <w:tl2br w:val="nil"/>
              <w:tr2bl w:val="nil"/>
            </w:tcBorders>
            <w:shd w:val="clear" w:color="auto" w:fill="auto"/>
            <w:vAlign w:val="center"/>
          </w:tcPr>
          <w:p w14:paraId="5F14B94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污染源</w:t>
            </w:r>
          </w:p>
        </w:tc>
        <w:tc>
          <w:tcPr>
            <w:tcW w:w="1120" w:type="pct"/>
            <w:vMerge w:val="restart"/>
            <w:tcBorders>
              <w:tl2br w:val="nil"/>
              <w:tr2bl w:val="nil"/>
            </w:tcBorders>
            <w:shd w:val="clear" w:color="auto" w:fill="auto"/>
            <w:vAlign w:val="center"/>
          </w:tcPr>
          <w:p w14:paraId="0B3529C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排气筒编号</w:t>
            </w:r>
          </w:p>
        </w:tc>
        <w:tc>
          <w:tcPr>
            <w:tcW w:w="701" w:type="pct"/>
            <w:vMerge w:val="restart"/>
            <w:tcBorders>
              <w:tl2br w:val="nil"/>
              <w:tr2bl w:val="nil"/>
            </w:tcBorders>
            <w:shd w:val="clear" w:color="auto" w:fill="auto"/>
            <w:vAlign w:val="center"/>
          </w:tcPr>
          <w:p w14:paraId="2C857B2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ascii="Times New Roman" w:hAnsi="Times New Roman" w:eastAsia="宋体" w:cs="宋体"/>
                <w:b/>
                <w:bCs/>
                <w:i w:val="0"/>
                <w:iCs w:val="0"/>
                <w:color w:val="000000"/>
                <w:kern w:val="0"/>
                <w:sz w:val="21"/>
                <w:szCs w:val="21"/>
                <w:u w:val="none"/>
                <w:lang w:val="en-US" w:eastAsia="zh-CN" w:bidi="ar"/>
              </w:rPr>
              <w:t>污染物</w:t>
            </w:r>
          </w:p>
        </w:tc>
        <w:tc>
          <w:tcPr>
            <w:tcW w:w="1393" w:type="pct"/>
            <w:vMerge w:val="restart"/>
            <w:tcBorders>
              <w:tl2br w:val="nil"/>
              <w:tr2bl w:val="nil"/>
            </w:tcBorders>
            <w:shd w:val="clear" w:color="auto" w:fill="auto"/>
            <w:vAlign w:val="center"/>
          </w:tcPr>
          <w:p w14:paraId="7EA3E44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b/>
                <w:bCs/>
                <w:i w:val="0"/>
                <w:iCs w:val="0"/>
                <w:color w:val="000000"/>
                <w:sz w:val="21"/>
                <w:szCs w:val="21"/>
                <w:u w:val="none"/>
              </w:rPr>
            </w:pPr>
            <w:r>
              <w:rPr>
                <w:rFonts w:hint="eastAsia" w:cs="宋体"/>
                <w:b/>
                <w:bCs/>
                <w:i w:val="0"/>
                <w:iCs w:val="0"/>
                <w:color w:val="000000"/>
                <w:kern w:val="0"/>
                <w:sz w:val="21"/>
                <w:szCs w:val="21"/>
                <w:u w:val="none"/>
                <w:lang w:val="en-US" w:eastAsia="zh-CN" w:bidi="ar"/>
              </w:rPr>
              <w:t>非正常情况下排放</w:t>
            </w:r>
            <w:r>
              <w:rPr>
                <w:rFonts w:hint="eastAsia" w:ascii="Times New Roman" w:hAnsi="Times New Roman" w:eastAsia="宋体" w:cs="宋体"/>
                <w:b/>
                <w:bCs/>
                <w:i w:val="0"/>
                <w:iCs w:val="0"/>
                <w:color w:val="000000"/>
                <w:kern w:val="0"/>
                <w:sz w:val="21"/>
                <w:szCs w:val="21"/>
                <w:u w:val="none"/>
                <w:lang w:val="en-US" w:eastAsia="zh-CN" w:bidi="ar"/>
              </w:rPr>
              <w:t>速率（</w:t>
            </w:r>
            <w:r>
              <w:rPr>
                <w:rFonts w:hint="default" w:ascii="Times New Roman" w:hAnsi="Times New Roman" w:eastAsia="宋体" w:cs="Times New Roman"/>
                <w:b/>
                <w:bCs/>
                <w:i w:val="0"/>
                <w:iCs w:val="0"/>
                <w:color w:val="000000"/>
                <w:kern w:val="0"/>
                <w:sz w:val="21"/>
                <w:szCs w:val="21"/>
                <w:u w:val="none"/>
                <w:lang w:val="en-US" w:eastAsia="zh-CN" w:bidi="ar"/>
              </w:rPr>
              <w:t>kg/h</w:t>
            </w:r>
            <w:r>
              <w:rPr>
                <w:rFonts w:hint="eastAsia" w:ascii="Times New Roman" w:hAnsi="Times New Roman" w:eastAsia="宋体" w:cs="宋体"/>
                <w:b/>
                <w:bCs/>
                <w:i w:val="0"/>
                <w:iCs w:val="0"/>
                <w:color w:val="000000"/>
                <w:kern w:val="0"/>
                <w:sz w:val="21"/>
                <w:szCs w:val="21"/>
                <w:u w:val="none"/>
                <w:lang w:val="en-US" w:eastAsia="zh-CN" w:bidi="ar"/>
              </w:rPr>
              <w:t>）</w:t>
            </w:r>
          </w:p>
        </w:tc>
      </w:tr>
      <w:tr w14:paraId="3483E0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892" w:type="pct"/>
            <w:vMerge w:val="continue"/>
            <w:tcBorders>
              <w:tl2br w:val="nil"/>
              <w:tr2bl w:val="nil"/>
            </w:tcBorders>
            <w:shd w:val="clear" w:color="auto" w:fill="auto"/>
            <w:vAlign w:val="center"/>
          </w:tcPr>
          <w:p w14:paraId="464C8F48">
            <w:pPr>
              <w:keepNext w:val="0"/>
              <w:keepLines w:val="0"/>
              <w:pageBreakBefore w:val="0"/>
              <w:kinsoku/>
              <w:wordWrap/>
              <w:overflowPunct/>
              <w:topLinePunct w:val="0"/>
              <w:autoSpaceDE/>
              <w:autoSpaceDN/>
              <w:bidi w:val="0"/>
              <w:spacing w:line="240" w:lineRule="auto"/>
              <w:ind w:firstLine="0" w:firstLineChars="0"/>
              <w:jc w:val="center"/>
              <w:rPr>
                <w:rFonts w:hint="eastAsia" w:ascii="Times New Roman" w:hAnsi="Times New Roman" w:eastAsia="宋体" w:cs="宋体"/>
                <w:b/>
                <w:bCs/>
                <w:i w:val="0"/>
                <w:iCs w:val="0"/>
                <w:color w:val="000000"/>
                <w:sz w:val="21"/>
                <w:szCs w:val="21"/>
                <w:u w:val="none"/>
              </w:rPr>
            </w:pPr>
          </w:p>
        </w:tc>
        <w:tc>
          <w:tcPr>
            <w:tcW w:w="892" w:type="pct"/>
            <w:vMerge w:val="continue"/>
            <w:tcBorders>
              <w:tl2br w:val="nil"/>
              <w:tr2bl w:val="nil"/>
            </w:tcBorders>
            <w:shd w:val="clear" w:color="auto" w:fill="auto"/>
            <w:vAlign w:val="center"/>
          </w:tcPr>
          <w:p w14:paraId="6115DA05">
            <w:pPr>
              <w:keepNext w:val="0"/>
              <w:keepLines w:val="0"/>
              <w:pageBreakBefore w:val="0"/>
              <w:kinsoku/>
              <w:wordWrap/>
              <w:overflowPunct/>
              <w:topLinePunct w:val="0"/>
              <w:autoSpaceDE/>
              <w:autoSpaceDN/>
              <w:bidi w:val="0"/>
              <w:spacing w:line="240" w:lineRule="auto"/>
              <w:ind w:firstLine="0" w:firstLineChars="0"/>
              <w:jc w:val="center"/>
              <w:rPr>
                <w:rFonts w:hint="eastAsia" w:ascii="Times New Roman" w:hAnsi="Times New Roman" w:eastAsia="宋体" w:cs="宋体"/>
                <w:b/>
                <w:bCs/>
                <w:i w:val="0"/>
                <w:iCs w:val="0"/>
                <w:color w:val="000000"/>
                <w:sz w:val="21"/>
                <w:szCs w:val="21"/>
                <w:u w:val="none"/>
              </w:rPr>
            </w:pPr>
          </w:p>
        </w:tc>
        <w:tc>
          <w:tcPr>
            <w:tcW w:w="1120" w:type="pct"/>
            <w:vMerge w:val="continue"/>
            <w:tcBorders>
              <w:tl2br w:val="nil"/>
              <w:tr2bl w:val="nil"/>
            </w:tcBorders>
            <w:shd w:val="clear" w:color="auto" w:fill="auto"/>
            <w:vAlign w:val="center"/>
          </w:tcPr>
          <w:p w14:paraId="088DAB29">
            <w:pPr>
              <w:keepNext w:val="0"/>
              <w:keepLines w:val="0"/>
              <w:pageBreakBefore w:val="0"/>
              <w:kinsoku/>
              <w:wordWrap/>
              <w:overflowPunct/>
              <w:topLinePunct w:val="0"/>
              <w:autoSpaceDE/>
              <w:autoSpaceDN/>
              <w:bidi w:val="0"/>
              <w:spacing w:line="240" w:lineRule="auto"/>
              <w:ind w:firstLine="0" w:firstLineChars="0"/>
              <w:jc w:val="center"/>
              <w:rPr>
                <w:rFonts w:hint="eastAsia" w:ascii="Times New Roman" w:hAnsi="Times New Roman" w:eastAsia="宋体" w:cs="宋体"/>
                <w:b/>
                <w:bCs/>
                <w:i w:val="0"/>
                <w:iCs w:val="0"/>
                <w:color w:val="000000"/>
                <w:sz w:val="21"/>
                <w:szCs w:val="21"/>
                <w:u w:val="none"/>
              </w:rPr>
            </w:pPr>
          </w:p>
        </w:tc>
        <w:tc>
          <w:tcPr>
            <w:tcW w:w="701" w:type="pct"/>
            <w:vMerge w:val="continue"/>
            <w:tcBorders>
              <w:tl2br w:val="nil"/>
              <w:tr2bl w:val="nil"/>
            </w:tcBorders>
            <w:shd w:val="clear" w:color="auto" w:fill="auto"/>
            <w:vAlign w:val="center"/>
          </w:tcPr>
          <w:p w14:paraId="04109254">
            <w:pPr>
              <w:keepNext w:val="0"/>
              <w:keepLines w:val="0"/>
              <w:pageBreakBefore w:val="0"/>
              <w:kinsoku/>
              <w:wordWrap/>
              <w:overflowPunct/>
              <w:topLinePunct w:val="0"/>
              <w:autoSpaceDE/>
              <w:autoSpaceDN/>
              <w:bidi w:val="0"/>
              <w:spacing w:line="240" w:lineRule="auto"/>
              <w:ind w:firstLine="0" w:firstLineChars="0"/>
              <w:jc w:val="center"/>
              <w:rPr>
                <w:rFonts w:hint="eastAsia" w:ascii="Times New Roman" w:hAnsi="Times New Roman" w:eastAsia="宋体" w:cs="宋体"/>
                <w:b/>
                <w:bCs/>
                <w:i w:val="0"/>
                <w:iCs w:val="0"/>
                <w:color w:val="000000"/>
                <w:sz w:val="21"/>
                <w:szCs w:val="21"/>
                <w:u w:val="none"/>
              </w:rPr>
            </w:pPr>
          </w:p>
        </w:tc>
        <w:tc>
          <w:tcPr>
            <w:tcW w:w="1393" w:type="pct"/>
            <w:vMerge w:val="continue"/>
            <w:tcBorders>
              <w:tl2br w:val="nil"/>
              <w:tr2bl w:val="nil"/>
            </w:tcBorders>
            <w:shd w:val="clear" w:color="auto" w:fill="auto"/>
            <w:vAlign w:val="center"/>
          </w:tcPr>
          <w:p w14:paraId="1DA3C733">
            <w:pPr>
              <w:keepNext w:val="0"/>
              <w:keepLines w:val="0"/>
              <w:pageBreakBefore w:val="0"/>
              <w:kinsoku/>
              <w:wordWrap/>
              <w:overflowPunct/>
              <w:topLinePunct w:val="0"/>
              <w:autoSpaceDE/>
              <w:autoSpaceDN/>
              <w:bidi w:val="0"/>
              <w:spacing w:line="240" w:lineRule="auto"/>
              <w:ind w:firstLine="0" w:firstLineChars="0"/>
              <w:jc w:val="center"/>
              <w:rPr>
                <w:rFonts w:hint="eastAsia" w:ascii="Times New Roman" w:hAnsi="Times New Roman" w:eastAsia="宋体" w:cs="宋体"/>
                <w:b/>
                <w:bCs/>
                <w:i w:val="0"/>
                <w:iCs w:val="0"/>
                <w:color w:val="000000"/>
                <w:sz w:val="21"/>
                <w:szCs w:val="21"/>
                <w:u w:val="none"/>
              </w:rPr>
            </w:pPr>
          </w:p>
        </w:tc>
      </w:tr>
      <w:tr w14:paraId="560029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892" w:type="pct"/>
            <w:vMerge w:val="restart"/>
            <w:tcBorders>
              <w:tl2br w:val="nil"/>
              <w:tr2bl w:val="nil"/>
            </w:tcBorders>
            <w:shd w:val="clear" w:color="auto" w:fill="auto"/>
            <w:vAlign w:val="center"/>
          </w:tcPr>
          <w:p w14:paraId="1E5B41F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一次电解装置</w:t>
            </w:r>
          </w:p>
        </w:tc>
        <w:tc>
          <w:tcPr>
            <w:tcW w:w="892" w:type="pct"/>
            <w:vMerge w:val="restart"/>
            <w:tcBorders>
              <w:tl2br w:val="nil"/>
              <w:tr2bl w:val="nil"/>
            </w:tcBorders>
            <w:shd w:val="clear" w:color="auto" w:fill="auto"/>
            <w:vAlign w:val="center"/>
          </w:tcPr>
          <w:p w14:paraId="7BBE053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一次电解尾气</w:t>
            </w:r>
          </w:p>
        </w:tc>
        <w:tc>
          <w:tcPr>
            <w:tcW w:w="1120" w:type="pct"/>
            <w:vMerge w:val="restart"/>
            <w:tcBorders>
              <w:tl2br w:val="nil"/>
              <w:tr2bl w:val="nil"/>
            </w:tcBorders>
            <w:shd w:val="clear" w:color="auto" w:fill="auto"/>
            <w:vAlign w:val="center"/>
          </w:tcPr>
          <w:p w14:paraId="23CB6F9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DA001</w:t>
            </w:r>
          </w:p>
        </w:tc>
        <w:tc>
          <w:tcPr>
            <w:tcW w:w="701" w:type="pct"/>
            <w:tcBorders>
              <w:tl2br w:val="nil"/>
              <w:tr2bl w:val="nil"/>
            </w:tcBorders>
            <w:shd w:val="clear" w:color="auto" w:fill="auto"/>
            <w:vAlign w:val="center"/>
          </w:tcPr>
          <w:p w14:paraId="4FBC6C1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氯气</w:t>
            </w:r>
          </w:p>
        </w:tc>
        <w:tc>
          <w:tcPr>
            <w:tcW w:w="1393" w:type="pct"/>
            <w:tcBorders>
              <w:tl2br w:val="nil"/>
              <w:tr2bl w:val="nil"/>
            </w:tcBorders>
            <w:shd w:val="clear" w:color="auto" w:fill="auto"/>
            <w:vAlign w:val="center"/>
          </w:tcPr>
          <w:p w14:paraId="25E65F3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1.46</w:t>
            </w:r>
          </w:p>
        </w:tc>
      </w:tr>
      <w:tr w14:paraId="2DDEF0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892" w:type="pct"/>
            <w:vMerge w:val="continue"/>
            <w:tcBorders>
              <w:tl2br w:val="nil"/>
              <w:tr2bl w:val="nil"/>
            </w:tcBorders>
            <w:shd w:val="clear" w:color="auto" w:fill="auto"/>
            <w:vAlign w:val="center"/>
          </w:tcPr>
          <w:p w14:paraId="75F235B8">
            <w:pPr>
              <w:keepNext w:val="0"/>
              <w:keepLines w:val="0"/>
              <w:pageBreakBefore w:val="0"/>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892" w:type="pct"/>
            <w:vMerge w:val="continue"/>
            <w:tcBorders>
              <w:tl2br w:val="nil"/>
              <w:tr2bl w:val="nil"/>
            </w:tcBorders>
            <w:shd w:val="clear" w:color="auto" w:fill="auto"/>
            <w:vAlign w:val="center"/>
          </w:tcPr>
          <w:p w14:paraId="56DE7E17">
            <w:pPr>
              <w:keepNext w:val="0"/>
              <w:keepLines w:val="0"/>
              <w:pageBreakBefore w:val="0"/>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1120" w:type="pct"/>
            <w:vMerge w:val="continue"/>
            <w:tcBorders>
              <w:tl2br w:val="nil"/>
              <w:tr2bl w:val="nil"/>
            </w:tcBorders>
            <w:shd w:val="clear" w:color="auto" w:fill="auto"/>
            <w:vAlign w:val="center"/>
          </w:tcPr>
          <w:p w14:paraId="115E98C2">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01" w:type="pct"/>
            <w:tcBorders>
              <w:tl2br w:val="nil"/>
              <w:tr2bl w:val="nil"/>
            </w:tcBorders>
            <w:shd w:val="clear" w:color="auto" w:fill="auto"/>
            <w:vAlign w:val="center"/>
          </w:tcPr>
          <w:p w14:paraId="69EADCB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氯化氢</w:t>
            </w:r>
          </w:p>
        </w:tc>
        <w:tc>
          <w:tcPr>
            <w:tcW w:w="1393" w:type="pct"/>
            <w:tcBorders>
              <w:tl2br w:val="nil"/>
              <w:tr2bl w:val="nil"/>
            </w:tcBorders>
            <w:shd w:val="clear" w:color="auto" w:fill="auto"/>
            <w:vAlign w:val="center"/>
          </w:tcPr>
          <w:p w14:paraId="41A72AA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1.51</w:t>
            </w:r>
          </w:p>
        </w:tc>
      </w:tr>
      <w:tr w14:paraId="305A4A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892" w:type="pct"/>
            <w:vMerge w:val="continue"/>
            <w:tcBorders>
              <w:tl2br w:val="nil"/>
              <w:tr2bl w:val="nil"/>
            </w:tcBorders>
            <w:shd w:val="clear" w:color="auto" w:fill="auto"/>
            <w:vAlign w:val="center"/>
          </w:tcPr>
          <w:p w14:paraId="56BFCC89">
            <w:pPr>
              <w:keepNext w:val="0"/>
              <w:keepLines w:val="0"/>
              <w:pageBreakBefore w:val="0"/>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892" w:type="pct"/>
            <w:vMerge w:val="restart"/>
            <w:tcBorders>
              <w:tl2br w:val="nil"/>
              <w:tr2bl w:val="nil"/>
            </w:tcBorders>
            <w:shd w:val="clear" w:color="auto" w:fill="auto"/>
            <w:vAlign w:val="center"/>
          </w:tcPr>
          <w:p w14:paraId="5C6079F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除次钠尾气</w:t>
            </w:r>
          </w:p>
        </w:tc>
        <w:tc>
          <w:tcPr>
            <w:tcW w:w="1120" w:type="pct"/>
            <w:vMerge w:val="restart"/>
            <w:tcBorders>
              <w:tl2br w:val="nil"/>
              <w:tr2bl w:val="nil"/>
            </w:tcBorders>
            <w:shd w:val="clear" w:color="auto" w:fill="auto"/>
            <w:vAlign w:val="center"/>
          </w:tcPr>
          <w:p w14:paraId="04D068B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DA002</w:t>
            </w:r>
          </w:p>
        </w:tc>
        <w:tc>
          <w:tcPr>
            <w:tcW w:w="701" w:type="pct"/>
            <w:tcBorders>
              <w:tl2br w:val="nil"/>
              <w:tr2bl w:val="nil"/>
            </w:tcBorders>
            <w:shd w:val="clear" w:color="auto" w:fill="auto"/>
            <w:vAlign w:val="center"/>
          </w:tcPr>
          <w:p w14:paraId="7D59179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氯气</w:t>
            </w:r>
          </w:p>
        </w:tc>
        <w:tc>
          <w:tcPr>
            <w:tcW w:w="1393" w:type="pct"/>
            <w:tcBorders>
              <w:tl2br w:val="nil"/>
              <w:tr2bl w:val="nil"/>
            </w:tcBorders>
            <w:shd w:val="clear" w:color="auto" w:fill="auto"/>
            <w:vAlign w:val="center"/>
          </w:tcPr>
          <w:p w14:paraId="0A46181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0.0015</w:t>
            </w:r>
          </w:p>
        </w:tc>
      </w:tr>
      <w:tr w14:paraId="56AAF9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892" w:type="pct"/>
            <w:vMerge w:val="continue"/>
            <w:tcBorders>
              <w:tl2br w:val="nil"/>
              <w:tr2bl w:val="nil"/>
            </w:tcBorders>
            <w:shd w:val="clear" w:color="auto" w:fill="auto"/>
            <w:vAlign w:val="center"/>
          </w:tcPr>
          <w:p w14:paraId="60D00829">
            <w:pPr>
              <w:keepNext w:val="0"/>
              <w:keepLines w:val="0"/>
              <w:pageBreakBefore w:val="0"/>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892" w:type="pct"/>
            <w:vMerge w:val="continue"/>
            <w:tcBorders>
              <w:tl2br w:val="nil"/>
              <w:tr2bl w:val="nil"/>
            </w:tcBorders>
            <w:shd w:val="clear" w:color="auto" w:fill="auto"/>
            <w:vAlign w:val="center"/>
          </w:tcPr>
          <w:p w14:paraId="6DA18EBE">
            <w:pPr>
              <w:keepNext w:val="0"/>
              <w:keepLines w:val="0"/>
              <w:pageBreakBefore w:val="0"/>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1120" w:type="pct"/>
            <w:vMerge w:val="continue"/>
            <w:tcBorders>
              <w:tl2br w:val="nil"/>
              <w:tr2bl w:val="nil"/>
            </w:tcBorders>
            <w:shd w:val="clear" w:color="auto" w:fill="auto"/>
            <w:vAlign w:val="center"/>
          </w:tcPr>
          <w:p w14:paraId="505BE7DB">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01" w:type="pct"/>
            <w:tcBorders>
              <w:tl2br w:val="nil"/>
              <w:tr2bl w:val="nil"/>
            </w:tcBorders>
            <w:shd w:val="clear" w:color="auto" w:fill="auto"/>
            <w:vAlign w:val="center"/>
          </w:tcPr>
          <w:p w14:paraId="380CCD1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氯化氢</w:t>
            </w:r>
          </w:p>
        </w:tc>
        <w:tc>
          <w:tcPr>
            <w:tcW w:w="1393" w:type="pct"/>
            <w:tcBorders>
              <w:tl2br w:val="nil"/>
              <w:tr2bl w:val="nil"/>
            </w:tcBorders>
            <w:shd w:val="clear" w:color="auto" w:fill="auto"/>
            <w:vAlign w:val="center"/>
          </w:tcPr>
          <w:p w14:paraId="6ABFE1B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0.0015</w:t>
            </w:r>
          </w:p>
        </w:tc>
      </w:tr>
      <w:tr w14:paraId="4FB008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892" w:type="pct"/>
            <w:vMerge w:val="restart"/>
            <w:tcBorders>
              <w:tl2br w:val="nil"/>
              <w:tr2bl w:val="nil"/>
            </w:tcBorders>
            <w:shd w:val="clear" w:color="auto" w:fill="auto"/>
            <w:vAlign w:val="center"/>
          </w:tcPr>
          <w:p w14:paraId="342BDEA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二次电解装置</w:t>
            </w:r>
          </w:p>
        </w:tc>
        <w:tc>
          <w:tcPr>
            <w:tcW w:w="892" w:type="pct"/>
            <w:vMerge w:val="restart"/>
            <w:tcBorders>
              <w:tl2br w:val="nil"/>
              <w:tr2bl w:val="nil"/>
            </w:tcBorders>
            <w:shd w:val="clear" w:color="auto" w:fill="auto"/>
            <w:vAlign w:val="center"/>
          </w:tcPr>
          <w:p w14:paraId="42E053C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二次电解尾气</w:t>
            </w:r>
            <w:r>
              <w:rPr>
                <w:rFonts w:hint="default" w:ascii="Times New Roman" w:hAnsi="Times New Roman" w:eastAsia="宋体" w:cs="Times New Roman"/>
                <w:i w:val="0"/>
                <w:iCs w:val="0"/>
                <w:color w:val="000000"/>
                <w:kern w:val="0"/>
                <w:sz w:val="21"/>
                <w:szCs w:val="21"/>
                <w:u w:val="none"/>
                <w:lang w:val="en-US" w:eastAsia="zh-CN" w:bidi="ar"/>
              </w:rPr>
              <w:t>1</w:t>
            </w:r>
          </w:p>
        </w:tc>
        <w:tc>
          <w:tcPr>
            <w:tcW w:w="1120" w:type="pct"/>
            <w:vMerge w:val="restart"/>
            <w:tcBorders>
              <w:tl2br w:val="nil"/>
              <w:tr2bl w:val="nil"/>
            </w:tcBorders>
            <w:shd w:val="clear" w:color="auto" w:fill="auto"/>
            <w:vAlign w:val="center"/>
          </w:tcPr>
          <w:p w14:paraId="49E5321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DA003</w:t>
            </w:r>
          </w:p>
        </w:tc>
        <w:tc>
          <w:tcPr>
            <w:tcW w:w="701" w:type="pct"/>
            <w:tcBorders>
              <w:tl2br w:val="nil"/>
              <w:tr2bl w:val="nil"/>
            </w:tcBorders>
            <w:shd w:val="clear" w:color="auto" w:fill="auto"/>
            <w:vAlign w:val="center"/>
          </w:tcPr>
          <w:p w14:paraId="4EA556D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氯气</w:t>
            </w:r>
          </w:p>
        </w:tc>
        <w:tc>
          <w:tcPr>
            <w:tcW w:w="1393" w:type="pct"/>
            <w:tcBorders>
              <w:tl2br w:val="nil"/>
              <w:tr2bl w:val="nil"/>
            </w:tcBorders>
            <w:shd w:val="clear" w:color="auto" w:fill="auto"/>
            <w:vAlign w:val="center"/>
          </w:tcPr>
          <w:p w14:paraId="624CF84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0.104</w:t>
            </w:r>
          </w:p>
        </w:tc>
      </w:tr>
      <w:tr w14:paraId="7BD570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892" w:type="pct"/>
            <w:vMerge w:val="continue"/>
            <w:tcBorders>
              <w:tl2br w:val="nil"/>
              <w:tr2bl w:val="nil"/>
            </w:tcBorders>
            <w:shd w:val="clear" w:color="auto" w:fill="auto"/>
            <w:vAlign w:val="center"/>
          </w:tcPr>
          <w:p w14:paraId="10EEBB83">
            <w:pPr>
              <w:keepNext w:val="0"/>
              <w:keepLines w:val="0"/>
              <w:pageBreakBefore w:val="0"/>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892" w:type="pct"/>
            <w:vMerge w:val="continue"/>
            <w:tcBorders>
              <w:tl2br w:val="nil"/>
              <w:tr2bl w:val="nil"/>
            </w:tcBorders>
            <w:shd w:val="clear" w:color="auto" w:fill="auto"/>
            <w:vAlign w:val="center"/>
          </w:tcPr>
          <w:p w14:paraId="4044E5E8">
            <w:pPr>
              <w:keepNext w:val="0"/>
              <w:keepLines w:val="0"/>
              <w:pageBreakBefore w:val="0"/>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1120" w:type="pct"/>
            <w:vMerge w:val="continue"/>
            <w:tcBorders>
              <w:tl2br w:val="nil"/>
              <w:tr2bl w:val="nil"/>
            </w:tcBorders>
            <w:shd w:val="clear" w:color="auto" w:fill="auto"/>
            <w:vAlign w:val="center"/>
          </w:tcPr>
          <w:p w14:paraId="097FC6F3">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01" w:type="pct"/>
            <w:tcBorders>
              <w:tl2br w:val="nil"/>
              <w:tr2bl w:val="nil"/>
            </w:tcBorders>
            <w:shd w:val="clear" w:color="auto" w:fill="auto"/>
            <w:vAlign w:val="center"/>
          </w:tcPr>
          <w:p w14:paraId="2812150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氯化氢</w:t>
            </w:r>
          </w:p>
        </w:tc>
        <w:tc>
          <w:tcPr>
            <w:tcW w:w="1393" w:type="pct"/>
            <w:tcBorders>
              <w:tl2br w:val="nil"/>
              <w:tr2bl w:val="nil"/>
            </w:tcBorders>
            <w:shd w:val="clear" w:color="auto" w:fill="auto"/>
            <w:vAlign w:val="center"/>
          </w:tcPr>
          <w:p w14:paraId="5F48385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0.121</w:t>
            </w:r>
          </w:p>
        </w:tc>
      </w:tr>
      <w:tr w14:paraId="14443B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892" w:type="pct"/>
            <w:vMerge w:val="continue"/>
            <w:tcBorders>
              <w:tl2br w:val="nil"/>
              <w:tr2bl w:val="nil"/>
            </w:tcBorders>
            <w:shd w:val="clear" w:color="auto" w:fill="auto"/>
            <w:vAlign w:val="center"/>
          </w:tcPr>
          <w:p w14:paraId="15538016">
            <w:pPr>
              <w:keepNext w:val="0"/>
              <w:keepLines w:val="0"/>
              <w:pageBreakBefore w:val="0"/>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892" w:type="pct"/>
            <w:vMerge w:val="restart"/>
            <w:tcBorders>
              <w:tl2br w:val="nil"/>
              <w:tr2bl w:val="nil"/>
            </w:tcBorders>
            <w:shd w:val="clear" w:color="auto" w:fill="auto"/>
            <w:vAlign w:val="center"/>
          </w:tcPr>
          <w:p w14:paraId="72E6EE1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二次电解尾气</w:t>
            </w:r>
            <w:r>
              <w:rPr>
                <w:rFonts w:hint="default" w:ascii="Times New Roman" w:hAnsi="Times New Roman" w:eastAsia="宋体" w:cs="Times New Roman"/>
                <w:i w:val="0"/>
                <w:iCs w:val="0"/>
                <w:color w:val="000000"/>
                <w:kern w:val="0"/>
                <w:sz w:val="21"/>
                <w:szCs w:val="21"/>
                <w:u w:val="none"/>
                <w:lang w:val="en-US" w:eastAsia="zh-CN" w:bidi="ar"/>
              </w:rPr>
              <w:t>2</w:t>
            </w:r>
          </w:p>
        </w:tc>
        <w:tc>
          <w:tcPr>
            <w:tcW w:w="1120" w:type="pct"/>
            <w:vMerge w:val="restart"/>
            <w:tcBorders>
              <w:tl2br w:val="nil"/>
              <w:tr2bl w:val="nil"/>
            </w:tcBorders>
            <w:shd w:val="clear" w:color="auto" w:fill="auto"/>
            <w:vAlign w:val="center"/>
          </w:tcPr>
          <w:p w14:paraId="30D2F88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DA004</w:t>
            </w:r>
          </w:p>
        </w:tc>
        <w:tc>
          <w:tcPr>
            <w:tcW w:w="701" w:type="pct"/>
            <w:tcBorders>
              <w:tl2br w:val="nil"/>
              <w:tr2bl w:val="nil"/>
            </w:tcBorders>
            <w:shd w:val="clear" w:color="auto" w:fill="auto"/>
            <w:vAlign w:val="center"/>
          </w:tcPr>
          <w:p w14:paraId="5FE20F0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氯气</w:t>
            </w:r>
          </w:p>
        </w:tc>
        <w:tc>
          <w:tcPr>
            <w:tcW w:w="1393" w:type="pct"/>
            <w:tcBorders>
              <w:tl2br w:val="nil"/>
              <w:tr2bl w:val="nil"/>
            </w:tcBorders>
            <w:shd w:val="clear" w:color="auto" w:fill="auto"/>
            <w:vAlign w:val="center"/>
          </w:tcPr>
          <w:p w14:paraId="3A81586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0.104</w:t>
            </w:r>
          </w:p>
        </w:tc>
      </w:tr>
      <w:tr w14:paraId="7DD332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892" w:type="pct"/>
            <w:vMerge w:val="continue"/>
            <w:tcBorders>
              <w:tl2br w:val="nil"/>
              <w:tr2bl w:val="nil"/>
            </w:tcBorders>
            <w:shd w:val="clear" w:color="auto" w:fill="auto"/>
            <w:vAlign w:val="center"/>
          </w:tcPr>
          <w:p w14:paraId="00CA4FD3">
            <w:pPr>
              <w:keepNext w:val="0"/>
              <w:keepLines w:val="0"/>
              <w:pageBreakBefore w:val="0"/>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892" w:type="pct"/>
            <w:vMerge w:val="continue"/>
            <w:tcBorders>
              <w:tl2br w:val="nil"/>
              <w:tr2bl w:val="nil"/>
            </w:tcBorders>
            <w:shd w:val="clear" w:color="auto" w:fill="auto"/>
            <w:vAlign w:val="center"/>
          </w:tcPr>
          <w:p w14:paraId="096668E2">
            <w:pPr>
              <w:keepNext w:val="0"/>
              <w:keepLines w:val="0"/>
              <w:pageBreakBefore w:val="0"/>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1120" w:type="pct"/>
            <w:vMerge w:val="continue"/>
            <w:tcBorders>
              <w:tl2br w:val="nil"/>
              <w:tr2bl w:val="nil"/>
            </w:tcBorders>
            <w:shd w:val="clear" w:color="auto" w:fill="auto"/>
            <w:vAlign w:val="center"/>
          </w:tcPr>
          <w:p w14:paraId="2706A1AC">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01" w:type="pct"/>
            <w:tcBorders>
              <w:tl2br w:val="nil"/>
              <w:tr2bl w:val="nil"/>
            </w:tcBorders>
            <w:shd w:val="clear" w:color="auto" w:fill="auto"/>
            <w:vAlign w:val="center"/>
          </w:tcPr>
          <w:p w14:paraId="258FCDF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氯化氢</w:t>
            </w:r>
          </w:p>
        </w:tc>
        <w:tc>
          <w:tcPr>
            <w:tcW w:w="1393" w:type="pct"/>
            <w:tcBorders>
              <w:tl2br w:val="nil"/>
              <w:tr2bl w:val="nil"/>
            </w:tcBorders>
            <w:shd w:val="clear" w:color="auto" w:fill="auto"/>
            <w:vAlign w:val="center"/>
          </w:tcPr>
          <w:p w14:paraId="75D92CE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0.121</w:t>
            </w:r>
          </w:p>
        </w:tc>
      </w:tr>
      <w:tr w14:paraId="18F26C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892" w:type="pct"/>
            <w:vMerge w:val="restart"/>
            <w:tcBorders>
              <w:tl2br w:val="nil"/>
              <w:tr2bl w:val="nil"/>
            </w:tcBorders>
            <w:shd w:val="clear" w:color="auto" w:fill="auto"/>
            <w:vAlign w:val="center"/>
          </w:tcPr>
          <w:p w14:paraId="07C08AC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复分解装置</w:t>
            </w:r>
          </w:p>
        </w:tc>
        <w:tc>
          <w:tcPr>
            <w:tcW w:w="892" w:type="pct"/>
            <w:tcBorders>
              <w:tl2br w:val="nil"/>
              <w:tr2bl w:val="nil"/>
            </w:tcBorders>
            <w:shd w:val="clear" w:color="auto" w:fill="auto"/>
            <w:vAlign w:val="center"/>
          </w:tcPr>
          <w:p w14:paraId="0ACF440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复分解干燥粉尘</w:t>
            </w:r>
            <w:r>
              <w:rPr>
                <w:rFonts w:hint="default" w:ascii="Times New Roman" w:hAnsi="Times New Roman" w:eastAsia="宋体" w:cs="Times New Roman"/>
                <w:i w:val="0"/>
                <w:iCs w:val="0"/>
                <w:color w:val="000000"/>
                <w:kern w:val="0"/>
                <w:sz w:val="21"/>
                <w:szCs w:val="21"/>
                <w:u w:val="none"/>
                <w:lang w:val="en-US" w:eastAsia="zh-CN" w:bidi="ar"/>
              </w:rPr>
              <w:t>1</w:t>
            </w:r>
          </w:p>
        </w:tc>
        <w:tc>
          <w:tcPr>
            <w:tcW w:w="1120" w:type="pct"/>
            <w:tcBorders>
              <w:tl2br w:val="nil"/>
              <w:tr2bl w:val="nil"/>
            </w:tcBorders>
            <w:shd w:val="clear" w:color="auto" w:fill="auto"/>
            <w:vAlign w:val="center"/>
          </w:tcPr>
          <w:p w14:paraId="7CD970D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DA005</w:t>
            </w:r>
          </w:p>
        </w:tc>
        <w:tc>
          <w:tcPr>
            <w:tcW w:w="701" w:type="pct"/>
            <w:tcBorders>
              <w:tl2br w:val="nil"/>
              <w:tr2bl w:val="nil"/>
            </w:tcBorders>
            <w:shd w:val="clear" w:color="auto" w:fill="auto"/>
            <w:vAlign w:val="center"/>
          </w:tcPr>
          <w:p w14:paraId="77E49F2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颗粒物</w:t>
            </w:r>
          </w:p>
        </w:tc>
        <w:tc>
          <w:tcPr>
            <w:tcW w:w="1393" w:type="pct"/>
            <w:tcBorders>
              <w:tl2br w:val="nil"/>
              <w:tr2bl w:val="nil"/>
            </w:tcBorders>
            <w:shd w:val="clear" w:color="auto" w:fill="auto"/>
            <w:noWrap/>
            <w:vAlign w:val="center"/>
          </w:tcPr>
          <w:p w14:paraId="409FA44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3.89</w:t>
            </w:r>
          </w:p>
        </w:tc>
      </w:tr>
      <w:tr w14:paraId="2BF3DE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892" w:type="pct"/>
            <w:vMerge w:val="continue"/>
            <w:tcBorders>
              <w:tl2br w:val="nil"/>
              <w:tr2bl w:val="nil"/>
            </w:tcBorders>
            <w:shd w:val="clear" w:color="auto" w:fill="auto"/>
            <w:vAlign w:val="center"/>
          </w:tcPr>
          <w:p w14:paraId="7D3A00A0">
            <w:pPr>
              <w:keepNext w:val="0"/>
              <w:keepLines w:val="0"/>
              <w:pageBreakBefore w:val="0"/>
              <w:kinsoku/>
              <w:wordWrap/>
              <w:overflowPunct/>
              <w:topLinePunct w:val="0"/>
              <w:autoSpaceDE/>
              <w:autoSpaceDN/>
              <w:bidi w:val="0"/>
              <w:spacing w:line="240" w:lineRule="auto"/>
              <w:ind w:firstLine="0" w:firstLineChars="0"/>
              <w:jc w:val="center"/>
              <w:rPr>
                <w:rFonts w:hint="eastAsia" w:ascii="Times New Roman" w:hAnsi="Times New Roman" w:eastAsia="宋体" w:cs="宋体"/>
                <w:i w:val="0"/>
                <w:iCs w:val="0"/>
                <w:color w:val="000000"/>
                <w:sz w:val="21"/>
                <w:szCs w:val="21"/>
                <w:u w:val="none"/>
              </w:rPr>
            </w:pPr>
          </w:p>
        </w:tc>
        <w:tc>
          <w:tcPr>
            <w:tcW w:w="892" w:type="pct"/>
            <w:tcBorders>
              <w:tl2br w:val="nil"/>
              <w:tr2bl w:val="nil"/>
            </w:tcBorders>
            <w:shd w:val="clear" w:color="auto" w:fill="auto"/>
            <w:vAlign w:val="center"/>
          </w:tcPr>
          <w:p w14:paraId="0C6E604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复分解干燥粉尘</w:t>
            </w:r>
            <w:r>
              <w:rPr>
                <w:rFonts w:hint="default" w:ascii="Times New Roman" w:hAnsi="Times New Roman" w:eastAsia="宋体" w:cs="Times New Roman"/>
                <w:i w:val="0"/>
                <w:iCs w:val="0"/>
                <w:color w:val="000000"/>
                <w:kern w:val="0"/>
                <w:sz w:val="21"/>
                <w:szCs w:val="21"/>
                <w:u w:val="none"/>
                <w:lang w:val="en-US" w:eastAsia="zh-CN" w:bidi="ar"/>
              </w:rPr>
              <w:t>2</w:t>
            </w:r>
          </w:p>
        </w:tc>
        <w:tc>
          <w:tcPr>
            <w:tcW w:w="1120" w:type="pct"/>
            <w:tcBorders>
              <w:tl2br w:val="nil"/>
              <w:tr2bl w:val="nil"/>
            </w:tcBorders>
            <w:shd w:val="clear" w:color="auto" w:fill="auto"/>
            <w:vAlign w:val="center"/>
          </w:tcPr>
          <w:p w14:paraId="3995D46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DA006</w:t>
            </w:r>
          </w:p>
        </w:tc>
        <w:tc>
          <w:tcPr>
            <w:tcW w:w="701" w:type="pct"/>
            <w:tcBorders>
              <w:tl2br w:val="nil"/>
              <w:tr2bl w:val="nil"/>
            </w:tcBorders>
            <w:shd w:val="clear" w:color="auto" w:fill="auto"/>
            <w:vAlign w:val="center"/>
          </w:tcPr>
          <w:p w14:paraId="10B12D1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颗粒物</w:t>
            </w:r>
          </w:p>
        </w:tc>
        <w:tc>
          <w:tcPr>
            <w:tcW w:w="1393" w:type="pct"/>
            <w:tcBorders>
              <w:tl2br w:val="nil"/>
              <w:tr2bl w:val="nil"/>
            </w:tcBorders>
            <w:shd w:val="clear" w:color="auto" w:fill="auto"/>
            <w:noWrap/>
            <w:vAlign w:val="center"/>
          </w:tcPr>
          <w:p w14:paraId="68C661E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3.89</w:t>
            </w:r>
          </w:p>
        </w:tc>
      </w:tr>
      <w:tr w14:paraId="418AA7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892" w:type="pct"/>
            <w:tcBorders>
              <w:tl2br w:val="nil"/>
              <w:tr2bl w:val="nil"/>
            </w:tcBorders>
            <w:shd w:val="clear" w:color="auto" w:fill="auto"/>
            <w:vAlign w:val="center"/>
          </w:tcPr>
          <w:p w14:paraId="31F4007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锂盐生产装置</w:t>
            </w:r>
          </w:p>
        </w:tc>
        <w:tc>
          <w:tcPr>
            <w:tcW w:w="892" w:type="pct"/>
            <w:tcBorders>
              <w:tl2br w:val="nil"/>
              <w:tr2bl w:val="nil"/>
            </w:tcBorders>
            <w:shd w:val="clear" w:color="auto" w:fill="auto"/>
            <w:vAlign w:val="center"/>
          </w:tcPr>
          <w:p w14:paraId="3378493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锂盐中和尾气</w:t>
            </w:r>
          </w:p>
        </w:tc>
        <w:tc>
          <w:tcPr>
            <w:tcW w:w="1120" w:type="pct"/>
            <w:tcBorders>
              <w:tl2br w:val="nil"/>
              <w:tr2bl w:val="nil"/>
            </w:tcBorders>
            <w:shd w:val="clear" w:color="auto" w:fill="auto"/>
            <w:vAlign w:val="center"/>
          </w:tcPr>
          <w:p w14:paraId="5189F56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DA007</w:t>
            </w:r>
          </w:p>
        </w:tc>
        <w:tc>
          <w:tcPr>
            <w:tcW w:w="701" w:type="pct"/>
            <w:tcBorders>
              <w:tl2br w:val="nil"/>
              <w:tr2bl w:val="nil"/>
            </w:tcBorders>
            <w:shd w:val="clear" w:color="auto" w:fill="auto"/>
            <w:vAlign w:val="center"/>
          </w:tcPr>
          <w:p w14:paraId="7384D49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eastAsia" w:ascii="Times New Roman" w:hAnsi="Times New Roman" w:eastAsia="宋体" w:cs="宋体"/>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氯化氢</w:t>
            </w:r>
          </w:p>
        </w:tc>
        <w:tc>
          <w:tcPr>
            <w:tcW w:w="1393" w:type="pct"/>
            <w:tcBorders>
              <w:tl2br w:val="nil"/>
              <w:tr2bl w:val="nil"/>
            </w:tcBorders>
            <w:shd w:val="clear" w:color="auto" w:fill="auto"/>
            <w:vAlign w:val="center"/>
          </w:tcPr>
          <w:p w14:paraId="56E05C3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0.036</w:t>
            </w:r>
          </w:p>
        </w:tc>
      </w:tr>
    </w:tbl>
    <w:p w14:paraId="03FA3AEE">
      <w:pPr>
        <w:keepNext w:val="0"/>
        <w:keepLines w:val="0"/>
        <w:pageBreakBefore w:val="0"/>
        <w:kinsoku/>
        <w:wordWrap/>
        <w:overflowPunct/>
        <w:topLinePunct w:val="0"/>
        <w:autoSpaceDE/>
        <w:autoSpaceDN/>
        <w:bidi w:val="0"/>
        <w:spacing w:line="240" w:lineRule="auto"/>
        <w:ind w:firstLine="0" w:firstLineChars="0"/>
        <w:rPr>
          <w:rFonts w:ascii="Times New Roman" w:hAnsi="Times New Roman" w:eastAsia="宋体"/>
          <w:sz w:val="21"/>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4AAA7E07">
      <w:pPr>
        <w:pStyle w:val="4"/>
        <w:numPr>
          <w:ilvl w:val="2"/>
          <w:numId w:val="1"/>
        </w:numPr>
      </w:pPr>
      <w:r>
        <w:rPr>
          <w:rFonts w:hint="eastAsia"/>
        </w:rPr>
        <w:t>危险废物暂存设施</w:t>
      </w:r>
    </w:p>
    <w:p w14:paraId="1C497441">
      <w:pPr>
        <w:ind w:firstLine="480"/>
      </w:pPr>
      <w:r>
        <w:t>若危废暂存仓地面发生破损，导致危废发生泄漏，特别是液态危废，如废液等液体发生泄漏，将有可能随地表径流排入周边的水体、土壤等环境，而污染地下水、地表水，影响土壤理化性质甚至破坏生态、影响人体健康等。</w:t>
      </w:r>
    </w:p>
    <w:p w14:paraId="6265D864">
      <w:pPr>
        <w:pStyle w:val="4"/>
        <w:numPr>
          <w:ilvl w:val="2"/>
          <w:numId w:val="1"/>
        </w:numPr>
      </w:pPr>
      <w:r>
        <w:rPr>
          <w:rFonts w:hint="eastAsia"/>
        </w:rPr>
        <w:t>拟采取的防止非正常工况和事故排放发生的预防措施</w:t>
      </w:r>
    </w:p>
    <w:p w14:paraId="5BEAA7D4">
      <w:pPr>
        <w:ind w:firstLine="480"/>
      </w:pPr>
      <w:r>
        <w:rPr>
          <w:rFonts w:hint="eastAsia"/>
        </w:rPr>
        <w:t>厂内设备每月全面检修一次，每天有专业人员检查生产设备，检查生产材料的浓度等；废气处理设施每天上下午各检查一次，故障处理措施具体如下：</w:t>
      </w:r>
    </w:p>
    <w:p w14:paraId="239B867F">
      <w:pPr>
        <w:ind w:firstLine="480"/>
      </w:pPr>
      <w:r>
        <w:rPr>
          <w:rFonts w:hint="eastAsia"/>
        </w:rPr>
        <w:t>（1）对于废气处理设施发生故障的情况，立即停止相关生产环节，避免废气不经处理直接排到大气中，并立即请有关技术人员进行维修。</w:t>
      </w:r>
    </w:p>
    <w:p w14:paraId="4E6A2919">
      <w:pPr>
        <w:ind w:firstLine="480"/>
      </w:pPr>
      <w:r>
        <w:rPr>
          <w:rFonts w:hint="eastAsia"/>
        </w:rPr>
        <w:t>（2）对于废水处理设施发生故障的情况，立即停止产生废水的相关环节的生产，将现有废水收集到事故应急池，并请技术人员检修污水处理设备，污水处理设备正常运行后将应急池中废水预处理达标后排入松木污水处理厂深度处理达到《城镇污水处理厂污染物排放标准》（GB18918-2002）一级A标准后排入湘江。</w:t>
      </w:r>
    </w:p>
    <w:p w14:paraId="7E11D1FD">
      <w:pPr>
        <w:ind w:firstLine="480"/>
      </w:pPr>
      <w:r>
        <w:rPr>
          <w:rFonts w:hint="eastAsia"/>
        </w:rPr>
        <w:t>（3）严格按照《危险废物贮存污染控制标准》（GB18597-2023）的要求，设置厂区危险废物的暂存场所，并根据废物化学特性和物理形态，对暂存装置贴上危险标识并定期检查。暂存场所周边设置截污沟，一旦发现废液泄漏，通过截污沟排入危废暂存间内收集池，以便采取相应的处理处置措施，防止污染周边环境。</w:t>
      </w:r>
    </w:p>
    <w:p w14:paraId="026F35FF">
      <w:pPr>
        <w:pStyle w:val="2"/>
        <w:numPr>
          <w:ilvl w:val="0"/>
          <w:numId w:val="1"/>
        </w:numPr>
        <w:spacing w:before="312" w:after="624"/>
      </w:pPr>
      <w:bookmarkStart w:id="142" w:name="_Toc20711"/>
      <w:r>
        <w:rPr>
          <w:rFonts w:hint="eastAsia"/>
        </w:rPr>
        <w:t>建设项目周边环境概况</w:t>
      </w:r>
      <w:bookmarkEnd w:id="140"/>
      <w:bookmarkEnd w:id="141"/>
      <w:bookmarkEnd w:id="142"/>
    </w:p>
    <w:p w14:paraId="7E4E6476">
      <w:pPr>
        <w:pStyle w:val="3"/>
        <w:numPr>
          <w:ilvl w:val="1"/>
          <w:numId w:val="1"/>
        </w:numPr>
      </w:pPr>
      <w:bookmarkStart w:id="143" w:name="_Toc12596"/>
      <w:bookmarkStart w:id="144" w:name="_Toc28875"/>
      <w:bookmarkStart w:id="145" w:name="_Toc20193"/>
      <w:r>
        <w:rPr>
          <w:rFonts w:hint="eastAsia"/>
        </w:rPr>
        <w:t>自然环境概况</w:t>
      </w:r>
      <w:bookmarkEnd w:id="143"/>
      <w:bookmarkEnd w:id="144"/>
      <w:bookmarkEnd w:id="145"/>
    </w:p>
    <w:p w14:paraId="36A20347">
      <w:pPr>
        <w:pStyle w:val="4"/>
        <w:numPr>
          <w:ilvl w:val="2"/>
          <w:numId w:val="1"/>
        </w:numPr>
      </w:pPr>
      <w:bookmarkStart w:id="146" w:name="_Toc6669"/>
      <w:r>
        <w:rPr>
          <w:rFonts w:hint="eastAsia"/>
        </w:rPr>
        <w:t>地理位置</w:t>
      </w:r>
      <w:bookmarkEnd w:id="146"/>
    </w:p>
    <w:p w14:paraId="5F65397C">
      <w:pPr>
        <w:ind w:firstLine="480"/>
      </w:pPr>
      <w:r>
        <w:t>衡阳市位于湖南省中南部，北背衡岳、南面五岭、西连黔滇、北通鄂豫，有“南北要冲、两广咽喉”之称，是湖南省第二大城市。衡阳市是我国南方的重要交通枢纽，京广、湘桂线交汇于市区，境内通车里程250公里，有火车站33个。公路纵横交错，四通八达，北京至广州的京珠高速公路、衡阳至广西、衡昆高速国道、连接湘赣闽三角的“三南公路”贯穿全境；全市100%的乡镇、88%的村通了公路，通车总里程7643公里。其中，高等级公路3140公里，高速公路149公里。水上运输也很便利，湘江上溯潇水，下入洞庭，耒水、蒸水等一级支流四季通航。</w:t>
      </w:r>
    </w:p>
    <w:p w14:paraId="3285EC40">
      <w:pPr>
        <w:ind w:firstLine="480"/>
        <w:rPr>
          <w:color w:val="FF0000"/>
        </w:rPr>
      </w:pPr>
      <w:r>
        <w:t>衡阳松木经济开发区位于衡阳市北郊，整体规划控制范围为107国道以东、东外环路以西，内外环线以北，南岳高速公路以南，湘江自南向北将经开区分为东西两片</w:t>
      </w:r>
      <w:r>
        <w:rPr>
          <w:color w:val="auto"/>
        </w:rPr>
        <w:t>。本项目位于衡阳市松木经济开发区</w:t>
      </w:r>
      <w:r>
        <w:rPr>
          <w:rFonts w:hint="eastAsia"/>
          <w:color w:val="auto"/>
        </w:rPr>
        <w:t>金山水泥</w:t>
      </w:r>
      <w:r>
        <w:rPr>
          <w:color w:val="auto"/>
        </w:rPr>
        <w:t>公司</w:t>
      </w:r>
      <w:r>
        <w:rPr>
          <w:rFonts w:hint="eastAsia"/>
          <w:color w:val="auto"/>
        </w:rPr>
        <w:t>南侧，</w:t>
      </w:r>
      <w:r>
        <w:rPr>
          <w:color w:val="auto"/>
        </w:rPr>
        <w:t>新安路和松枫路交汇的地块。项目地理位置</w:t>
      </w:r>
      <w:r>
        <w:rPr>
          <w:rFonts w:hint="eastAsia"/>
          <w:color w:val="auto"/>
        </w:rPr>
        <w:t>见附图。</w:t>
      </w:r>
    </w:p>
    <w:p w14:paraId="168AE897">
      <w:pPr>
        <w:pStyle w:val="4"/>
        <w:numPr>
          <w:ilvl w:val="2"/>
          <w:numId w:val="1"/>
        </w:numPr>
      </w:pPr>
      <w:bookmarkStart w:id="147" w:name="_Toc10491"/>
      <w:r>
        <w:rPr>
          <w:rFonts w:hint="eastAsia"/>
        </w:rPr>
        <w:t>气象气候</w:t>
      </w:r>
      <w:bookmarkEnd w:id="147"/>
    </w:p>
    <w:p w14:paraId="0D784B38">
      <w:pPr>
        <w:snapToGrid w:val="0"/>
        <w:ind w:firstLine="480"/>
        <w:rPr>
          <w:rFonts w:cs="Times New Roman"/>
        </w:rPr>
      </w:pPr>
      <w:r>
        <w:rPr>
          <w:rFonts w:cs="Times New Roman"/>
        </w:rPr>
        <w:t>衡阳市属湿润型亚热带大陆性气候，具有气候温和，四季分明，降水丰沛等特点。区域近20年平均气温18.8℃，年平均相对湿度73%，年平均气压1002.8hPa，多年年平均降水量1283.9mm，近20年平均风速1.8m/s，近20年主导风向NE（频率为15%），近20年年静风频率9.0%，夏季主导风向S（频率为20%）和SSE（频率为15%）。</w:t>
      </w:r>
    </w:p>
    <w:p w14:paraId="29D64670">
      <w:pPr>
        <w:pStyle w:val="43"/>
        <w:numPr>
          <w:ilvl w:val="5"/>
          <w:numId w:val="1"/>
        </w:numPr>
        <w:rPr>
          <w:rFonts w:hint="default"/>
        </w:rPr>
      </w:pPr>
      <w:r>
        <w:rPr>
          <w:rFonts w:hint="default"/>
        </w:rPr>
        <w:t>衡阳市气象站近20年的主要气候资料统计结果表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1222"/>
        <w:gridCol w:w="2642"/>
        <w:gridCol w:w="1357"/>
        <w:gridCol w:w="1735"/>
        <w:gridCol w:w="1367"/>
      </w:tblGrid>
      <w:tr w14:paraId="33607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5" w:hRule="atLeast"/>
          <w:tblHeader/>
          <w:jc w:val="center"/>
        </w:trPr>
        <w:tc>
          <w:tcPr>
            <w:tcW w:w="2321" w:type="pct"/>
            <w:gridSpan w:val="2"/>
            <w:shd w:val="clear" w:color="auto" w:fill="auto"/>
            <w:vAlign w:val="center"/>
          </w:tcPr>
          <w:p w14:paraId="11FA7782">
            <w:pPr>
              <w:pStyle w:val="45"/>
              <w:rPr>
                <w:rFonts w:hint="default"/>
                <w:b/>
                <w:bCs/>
              </w:rPr>
            </w:pPr>
            <w:r>
              <w:rPr>
                <w:rFonts w:hint="default"/>
                <w:b/>
                <w:bCs/>
              </w:rPr>
              <w:t>统计项目</w:t>
            </w:r>
          </w:p>
        </w:tc>
        <w:tc>
          <w:tcPr>
            <w:tcW w:w="815" w:type="pct"/>
            <w:shd w:val="clear" w:color="auto" w:fill="auto"/>
            <w:vAlign w:val="center"/>
          </w:tcPr>
          <w:p w14:paraId="21AB350A">
            <w:pPr>
              <w:pStyle w:val="45"/>
              <w:rPr>
                <w:rFonts w:hint="default"/>
                <w:b/>
                <w:bCs/>
              </w:rPr>
            </w:pPr>
            <w:r>
              <w:rPr>
                <w:rFonts w:hint="default"/>
                <w:b/>
                <w:bCs/>
              </w:rPr>
              <w:t>*统计值</w:t>
            </w:r>
          </w:p>
        </w:tc>
        <w:tc>
          <w:tcPr>
            <w:tcW w:w="1042" w:type="pct"/>
            <w:shd w:val="clear" w:color="auto" w:fill="auto"/>
            <w:vAlign w:val="center"/>
          </w:tcPr>
          <w:p w14:paraId="222FBB18">
            <w:pPr>
              <w:pStyle w:val="45"/>
              <w:rPr>
                <w:rFonts w:hint="default"/>
                <w:b/>
                <w:bCs/>
              </w:rPr>
            </w:pPr>
            <w:r>
              <w:rPr>
                <w:rFonts w:hint="default"/>
                <w:b/>
                <w:bCs/>
              </w:rPr>
              <w:t>极值出现时间</w:t>
            </w:r>
          </w:p>
        </w:tc>
        <w:tc>
          <w:tcPr>
            <w:tcW w:w="821" w:type="pct"/>
            <w:shd w:val="clear" w:color="auto" w:fill="auto"/>
            <w:vAlign w:val="center"/>
          </w:tcPr>
          <w:p w14:paraId="0131CE7E">
            <w:pPr>
              <w:pStyle w:val="45"/>
              <w:rPr>
                <w:rFonts w:hint="default"/>
                <w:b/>
                <w:bCs/>
              </w:rPr>
            </w:pPr>
            <w:r>
              <w:rPr>
                <w:rFonts w:hint="default"/>
                <w:b/>
                <w:bCs/>
              </w:rPr>
              <w:t>**极值</w:t>
            </w:r>
          </w:p>
        </w:tc>
      </w:tr>
      <w:tr w14:paraId="52AF4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70" w:hRule="atLeast"/>
          <w:jc w:val="center"/>
        </w:trPr>
        <w:tc>
          <w:tcPr>
            <w:tcW w:w="2321" w:type="pct"/>
            <w:gridSpan w:val="2"/>
            <w:shd w:val="clear" w:color="auto" w:fill="auto"/>
            <w:vAlign w:val="center"/>
          </w:tcPr>
          <w:p w14:paraId="6E118ABB">
            <w:pPr>
              <w:pStyle w:val="45"/>
              <w:rPr>
                <w:rFonts w:hint="default"/>
              </w:rPr>
            </w:pPr>
            <w:r>
              <w:rPr>
                <w:rFonts w:hint="default"/>
              </w:rPr>
              <w:t>多年平均气温(°C )</w:t>
            </w:r>
          </w:p>
        </w:tc>
        <w:tc>
          <w:tcPr>
            <w:tcW w:w="815" w:type="pct"/>
            <w:shd w:val="clear" w:color="auto" w:fill="auto"/>
            <w:vAlign w:val="center"/>
          </w:tcPr>
          <w:p w14:paraId="0743371E">
            <w:pPr>
              <w:pStyle w:val="45"/>
              <w:rPr>
                <w:rFonts w:hint="default"/>
              </w:rPr>
            </w:pPr>
            <w:r>
              <w:rPr>
                <w:rFonts w:hint="default"/>
              </w:rPr>
              <w:t>18.8</w:t>
            </w:r>
          </w:p>
        </w:tc>
        <w:tc>
          <w:tcPr>
            <w:tcW w:w="1042" w:type="pct"/>
            <w:shd w:val="clear" w:color="auto" w:fill="auto"/>
            <w:vAlign w:val="center"/>
          </w:tcPr>
          <w:p w14:paraId="72899695">
            <w:pPr>
              <w:pStyle w:val="45"/>
              <w:rPr>
                <w:rFonts w:hint="default"/>
              </w:rPr>
            </w:pPr>
          </w:p>
        </w:tc>
        <w:tc>
          <w:tcPr>
            <w:tcW w:w="821" w:type="pct"/>
            <w:shd w:val="clear" w:color="auto" w:fill="auto"/>
            <w:vAlign w:val="center"/>
          </w:tcPr>
          <w:p w14:paraId="562C1AA8">
            <w:pPr>
              <w:pStyle w:val="45"/>
              <w:rPr>
                <w:rFonts w:hint="default"/>
              </w:rPr>
            </w:pPr>
          </w:p>
        </w:tc>
      </w:tr>
      <w:tr w14:paraId="55292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70" w:hRule="atLeast"/>
          <w:jc w:val="center"/>
        </w:trPr>
        <w:tc>
          <w:tcPr>
            <w:tcW w:w="2321" w:type="pct"/>
            <w:gridSpan w:val="2"/>
            <w:shd w:val="clear" w:color="auto" w:fill="auto"/>
            <w:vAlign w:val="center"/>
          </w:tcPr>
          <w:p w14:paraId="52F2EC97">
            <w:pPr>
              <w:pStyle w:val="45"/>
              <w:rPr>
                <w:rFonts w:hint="default"/>
              </w:rPr>
            </w:pPr>
            <w:r>
              <w:rPr>
                <w:rFonts w:hint="default"/>
              </w:rPr>
              <w:t>累年极端最高气温(°C )</w:t>
            </w:r>
          </w:p>
        </w:tc>
        <w:tc>
          <w:tcPr>
            <w:tcW w:w="815" w:type="pct"/>
            <w:shd w:val="clear" w:color="auto" w:fill="auto"/>
            <w:vAlign w:val="center"/>
          </w:tcPr>
          <w:p w14:paraId="618AAD9A">
            <w:pPr>
              <w:pStyle w:val="45"/>
              <w:rPr>
                <w:rFonts w:hint="default"/>
              </w:rPr>
            </w:pPr>
            <w:r>
              <w:rPr>
                <w:rFonts w:hint="default"/>
              </w:rPr>
              <w:t>39.0</w:t>
            </w:r>
          </w:p>
        </w:tc>
        <w:tc>
          <w:tcPr>
            <w:tcW w:w="1042" w:type="pct"/>
            <w:shd w:val="clear" w:color="auto" w:fill="auto"/>
            <w:vAlign w:val="center"/>
          </w:tcPr>
          <w:p w14:paraId="48585C18">
            <w:pPr>
              <w:pStyle w:val="45"/>
              <w:rPr>
                <w:rFonts w:hint="default"/>
              </w:rPr>
            </w:pPr>
            <w:r>
              <w:rPr>
                <w:rFonts w:hint="default"/>
              </w:rPr>
              <w:t>2010-08-05</w:t>
            </w:r>
          </w:p>
        </w:tc>
        <w:tc>
          <w:tcPr>
            <w:tcW w:w="821" w:type="pct"/>
            <w:shd w:val="clear" w:color="auto" w:fill="auto"/>
            <w:vAlign w:val="center"/>
          </w:tcPr>
          <w:p w14:paraId="2820D08C">
            <w:pPr>
              <w:pStyle w:val="45"/>
              <w:rPr>
                <w:rFonts w:hint="default"/>
              </w:rPr>
            </w:pPr>
            <w:r>
              <w:rPr>
                <w:rFonts w:hint="default"/>
              </w:rPr>
              <w:t>41.3</w:t>
            </w:r>
          </w:p>
        </w:tc>
      </w:tr>
      <w:tr w14:paraId="0F41A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70" w:hRule="atLeast"/>
          <w:jc w:val="center"/>
        </w:trPr>
        <w:tc>
          <w:tcPr>
            <w:tcW w:w="2321" w:type="pct"/>
            <w:gridSpan w:val="2"/>
            <w:shd w:val="clear" w:color="auto" w:fill="auto"/>
            <w:vAlign w:val="center"/>
          </w:tcPr>
          <w:p w14:paraId="7FBE7AEC">
            <w:pPr>
              <w:pStyle w:val="45"/>
              <w:rPr>
                <w:rFonts w:hint="default"/>
              </w:rPr>
            </w:pPr>
            <w:r>
              <w:rPr>
                <w:rFonts w:hint="default"/>
              </w:rPr>
              <w:t>累年极端最低气温(°C )</w:t>
            </w:r>
          </w:p>
        </w:tc>
        <w:tc>
          <w:tcPr>
            <w:tcW w:w="815" w:type="pct"/>
            <w:shd w:val="clear" w:color="auto" w:fill="auto"/>
            <w:vAlign w:val="center"/>
          </w:tcPr>
          <w:p w14:paraId="773541C8">
            <w:pPr>
              <w:pStyle w:val="45"/>
              <w:rPr>
                <w:rFonts w:hint="default"/>
              </w:rPr>
            </w:pPr>
            <w:r>
              <w:rPr>
                <w:rFonts w:hint="default"/>
              </w:rPr>
              <w:t>-2.0</w:t>
            </w:r>
          </w:p>
        </w:tc>
        <w:tc>
          <w:tcPr>
            <w:tcW w:w="1042" w:type="pct"/>
            <w:shd w:val="clear" w:color="auto" w:fill="auto"/>
            <w:vAlign w:val="center"/>
          </w:tcPr>
          <w:p w14:paraId="3BD0B585">
            <w:pPr>
              <w:pStyle w:val="45"/>
              <w:rPr>
                <w:rFonts w:hint="default"/>
              </w:rPr>
            </w:pPr>
            <w:r>
              <w:rPr>
                <w:rFonts w:hint="default"/>
              </w:rPr>
              <w:t>2008-02-03</w:t>
            </w:r>
          </w:p>
        </w:tc>
        <w:tc>
          <w:tcPr>
            <w:tcW w:w="821" w:type="pct"/>
            <w:shd w:val="clear" w:color="auto" w:fill="auto"/>
            <w:vAlign w:val="center"/>
          </w:tcPr>
          <w:p w14:paraId="1D729A8C">
            <w:pPr>
              <w:pStyle w:val="45"/>
              <w:rPr>
                <w:rFonts w:hint="default"/>
              </w:rPr>
            </w:pPr>
            <w:r>
              <w:rPr>
                <w:rFonts w:hint="default"/>
              </w:rPr>
              <w:t>-4.8</w:t>
            </w:r>
          </w:p>
        </w:tc>
      </w:tr>
      <w:tr w14:paraId="08669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70" w:hRule="atLeast"/>
          <w:jc w:val="center"/>
        </w:trPr>
        <w:tc>
          <w:tcPr>
            <w:tcW w:w="2321" w:type="pct"/>
            <w:gridSpan w:val="2"/>
            <w:shd w:val="clear" w:color="auto" w:fill="auto"/>
            <w:vAlign w:val="center"/>
          </w:tcPr>
          <w:p w14:paraId="7FE5C06C">
            <w:pPr>
              <w:pStyle w:val="45"/>
              <w:rPr>
                <w:rFonts w:hint="default"/>
              </w:rPr>
            </w:pPr>
            <w:r>
              <w:rPr>
                <w:rFonts w:hint="default"/>
              </w:rPr>
              <w:t>多年平均气压(hPa)</w:t>
            </w:r>
          </w:p>
        </w:tc>
        <w:tc>
          <w:tcPr>
            <w:tcW w:w="815" w:type="pct"/>
            <w:shd w:val="clear" w:color="auto" w:fill="auto"/>
            <w:vAlign w:val="center"/>
          </w:tcPr>
          <w:p w14:paraId="25380007">
            <w:pPr>
              <w:pStyle w:val="45"/>
              <w:rPr>
                <w:rFonts w:hint="default"/>
              </w:rPr>
            </w:pPr>
            <w:r>
              <w:rPr>
                <w:rFonts w:hint="default"/>
              </w:rPr>
              <w:t>1002.8</w:t>
            </w:r>
          </w:p>
        </w:tc>
        <w:tc>
          <w:tcPr>
            <w:tcW w:w="1042" w:type="pct"/>
            <w:shd w:val="clear" w:color="auto" w:fill="auto"/>
            <w:vAlign w:val="center"/>
          </w:tcPr>
          <w:p w14:paraId="0F0155A6">
            <w:pPr>
              <w:pStyle w:val="45"/>
              <w:rPr>
                <w:rFonts w:hint="default"/>
              </w:rPr>
            </w:pPr>
          </w:p>
        </w:tc>
        <w:tc>
          <w:tcPr>
            <w:tcW w:w="821" w:type="pct"/>
            <w:shd w:val="clear" w:color="auto" w:fill="auto"/>
            <w:vAlign w:val="center"/>
          </w:tcPr>
          <w:p w14:paraId="2B22EEB6">
            <w:pPr>
              <w:pStyle w:val="45"/>
              <w:rPr>
                <w:rFonts w:hint="default"/>
              </w:rPr>
            </w:pPr>
          </w:p>
        </w:tc>
      </w:tr>
      <w:tr w14:paraId="63449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70" w:hRule="atLeast"/>
          <w:jc w:val="center"/>
        </w:trPr>
        <w:tc>
          <w:tcPr>
            <w:tcW w:w="2321" w:type="pct"/>
            <w:gridSpan w:val="2"/>
            <w:shd w:val="clear" w:color="auto" w:fill="auto"/>
            <w:vAlign w:val="center"/>
          </w:tcPr>
          <w:p w14:paraId="18C38C09">
            <w:pPr>
              <w:pStyle w:val="45"/>
              <w:rPr>
                <w:rFonts w:hint="default"/>
              </w:rPr>
            </w:pPr>
            <w:r>
              <w:rPr>
                <w:rFonts w:hint="default"/>
              </w:rPr>
              <w:t>多年平均水汽压hPa)</w:t>
            </w:r>
          </w:p>
        </w:tc>
        <w:tc>
          <w:tcPr>
            <w:tcW w:w="815" w:type="pct"/>
            <w:shd w:val="clear" w:color="auto" w:fill="auto"/>
            <w:vAlign w:val="center"/>
          </w:tcPr>
          <w:p w14:paraId="0F985082">
            <w:pPr>
              <w:pStyle w:val="45"/>
              <w:rPr>
                <w:rFonts w:hint="default"/>
              </w:rPr>
            </w:pPr>
            <w:r>
              <w:rPr>
                <w:rFonts w:hint="default"/>
              </w:rPr>
              <w:t>17.3</w:t>
            </w:r>
          </w:p>
        </w:tc>
        <w:tc>
          <w:tcPr>
            <w:tcW w:w="1042" w:type="pct"/>
            <w:shd w:val="clear" w:color="auto" w:fill="auto"/>
            <w:vAlign w:val="center"/>
          </w:tcPr>
          <w:p w14:paraId="3A8BDF2A">
            <w:pPr>
              <w:pStyle w:val="45"/>
              <w:rPr>
                <w:rFonts w:hint="default"/>
              </w:rPr>
            </w:pPr>
          </w:p>
        </w:tc>
        <w:tc>
          <w:tcPr>
            <w:tcW w:w="821" w:type="pct"/>
            <w:shd w:val="clear" w:color="auto" w:fill="auto"/>
            <w:vAlign w:val="center"/>
          </w:tcPr>
          <w:p w14:paraId="09697464">
            <w:pPr>
              <w:pStyle w:val="45"/>
              <w:rPr>
                <w:rFonts w:hint="default"/>
              </w:rPr>
            </w:pPr>
          </w:p>
        </w:tc>
      </w:tr>
      <w:tr w14:paraId="53E30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70" w:hRule="atLeast"/>
          <w:jc w:val="center"/>
        </w:trPr>
        <w:tc>
          <w:tcPr>
            <w:tcW w:w="2321" w:type="pct"/>
            <w:gridSpan w:val="2"/>
            <w:shd w:val="clear" w:color="auto" w:fill="auto"/>
            <w:vAlign w:val="center"/>
          </w:tcPr>
          <w:p w14:paraId="6A1EA1FE">
            <w:pPr>
              <w:pStyle w:val="45"/>
              <w:rPr>
                <w:rFonts w:hint="default"/>
              </w:rPr>
            </w:pPr>
            <w:r>
              <w:rPr>
                <w:rFonts w:hint="default"/>
              </w:rPr>
              <w:t>多年平均相对湿度(％)</w:t>
            </w:r>
          </w:p>
        </w:tc>
        <w:tc>
          <w:tcPr>
            <w:tcW w:w="815" w:type="pct"/>
            <w:shd w:val="clear" w:color="auto" w:fill="auto"/>
            <w:vAlign w:val="center"/>
          </w:tcPr>
          <w:p w14:paraId="3B4098F0">
            <w:pPr>
              <w:pStyle w:val="45"/>
              <w:rPr>
                <w:rFonts w:hint="default"/>
              </w:rPr>
            </w:pPr>
            <w:r>
              <w:rPr>
                <w:rFonts w:hint="default"/>
              </w:rPr>
              <w:t>73.0</w:t>
            </w:r>
          </w:p>
        </w:tc>
        <w:tc>
          <w:tcPr>
            <w:tcW w:w="1042" w:type="pct"/>
            <w:shd w:val="clear" w:color="auto" w:fill="auto"/>
            <w:vAlign w:val="center"/>
          </w:tcPr>
          <w:p w14:paraId="51C31B45">
            <w:pPr>
              <w:pStyle w:val="45"/>
              <w:rPr>
                <w:rFonts w:hint="default"/>
              </w:rPr>
            </w:pPr>
          </w:p>
        </w:tc>
        <w:tc>
          <w:tcPr>
            <w:tcW w:w="821" w:type="pct"/>
            <w:shd w:val="clear" w:color="auto" w:fill="auto"/>
            <w:vAlign w:val="center"/>
          </w:tcPr>
          <w:p w14:paraId="50BD4993">
            <w:pPr>
              <w:pStyle w:val="45"/>
              <w:rPr>
                <w:rFonts w:hint="default"/>
              </w:rPr>
            </w:pPr>
          </w:p>
        </w:tc>
      </w:tr>
      <w:tr w14:paraId="48238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70" w:hRule="atLeast"/>
          <w:jc w:val="center"/>
        </w:trPr>
        <w:tc>
          <w:tcPr>
            <w:tcW w:w="2321" w:type="pct"/>
            <w:gridSpan w:val="2"/>
            <w:shd w:val="clear" w:color="auto" w:fill="auto"/>
            <w:vAlign w:val="center"/>
          </w:tcPr>
          <w:p w14:paraId="22D70A8F">
            <w:pPr>
              <w:pStyle w:val="45"/>
              <w:rPr>
                <w:rFonts w:hint="default"/>
              </w:rPr>
            </w:pPr>
            <w:r>
              <w:rPr>
                <w:rFonts w:hint="default"/>
              </w:rPr>
              <w:t>多年平均降雨量(mm)</w:t>
            </w:r>
          </w:p>
        </w:tc>
        <w:tc>
          <w:tcPr>
            <w:tcW w:w="815" w:type="pct"/>
            <w:shd w:val="clear" w:color="auto" w:fill="auto"/>
            <w:vAlign w:val="center"/>
          </w:tcPr>
          <w:p w14:paraId="7C4181E3">
            <w:pPr>
              <w:pStyle w:val="45"/>
              <w:rPr>
                <w:rFonts w:hint="default"/>
              </w:rPr>
            </w:pPr>
            <w:r>
              <w:rPr>
                <w:rFonts w:hint="default"/>
              </w:rPr>
              <w:t>1283.9</w:t>
            </w:r>
          </w:p>
        </w:tc>
        <w:tc>
          <w:tcPr>
            <w:tcW w:w="1042" w:type="pct"/>
            <w:shd w:val="clear" w:color="auto" w:fill="auto"/>
            <w:vAlign w:val="center"/>
          </w:tcPr>
          <w:p w14:paraId="0A970DC3">
            <w:pPr>
              <w:pStyle w:val="45"/>
              <w:rPr>
                <w:rFonts w:hint="default"/>
              </w:rPr>
            </w:pPr>
            <w:r>
              <w:rPr>
                <w:rFonts w:hint="default"/>
              </w:rPr>
              <w:t>2014-06-02</w:t>
            </w:r>
          </w:p>
        </w:tc>
        <w:tc>
          <w:tcPr>
            <w:tcW w:w="821" w:type="pct"/>
            <w:shd w:val="clear" w:color="auto" w:fill="auto"/>
            <w:vAlign w:val="center"/>
          </w:tcPr>
          <w:p w14:paraId="01434582">
            <w:pPr>
              <w:pStyle w:val="45"/>
              <w:rPr>
                <w:rFonts w:hint="default"/>
              </w:rPr>
            </w:pPr>
            <w:r>
              <w:rPr>
                <w:rFonts w:hint="default"/>
              </w:rPr>
              <w:t>151.1</w:t>
            </w:r>
          </w:p>
        </w:tc>
      </w:tr>
      <w:tr w14:paraId="4F24A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70" w:hRule="atLeast"/>
          <w:jc w:val="center"/>
        </w:trPr>
        <w:tc>
          <w:tcPr>
            <w:tcW w:w="734" w:type="pct"/>
            <w:vMerge w:val="restart"/>
            <w:shd w:val="clear" w:color="auto" w:fill="auto"/>
            <w:vAlign w:val="center"/>
          </w:tcPr>
          <w:p w14:paraId="7C4399DC">
            <w:pPr>
              <w:pStyle w:val="45"/>
              <w:rPr>
                <w:rFonts w:hint="default"/>
              </w:rPr>
            </w:pPr>
            <w:r>
              <w:rPr>
                <w:rFonts w:hint="default"/>
              </w:rPr>
              <w:t>灾害天气</w:t>
            </w:r>
          </w:p>
          <w:p w14:paraId="39C6ACBD">
            <w:pPr>
              <w:pStyle w:val="45"/>
              <w:rPr>
                <w:rFonts w:hint="default"/>
              </w:rPr>
            </w:pPr>
            <w:r>
              <w:rPr>
                <w:rFonts w:hint="default"/>
              </w:rPr>
              <w:t>统计</w:t>
            </w:r>
          </w:p>
        </w:tc>
        <w:tc>
          <w:tcPr>
            <w:tcW w:w="1587" w:type="pct"/>
            <w:shd w:val="clear" w:color="auto" w:fill="auto"/>
            <w:vAlign w:val="center"/>
          </w:tcPr>
          <w:p w14:paraId="20E0D0D2">
            <w:pPr>
              <w:pStyle w:val="45"/>
              <w:rPr>
                <w:rFonts w:hint="default"/>
              </w:rPr>
            </w:pPr>
            <w:r>
              <w:rPr>
                <w:rFonts w:hint="default"/>
              </w:rPr>
              <w:t>多年平均沙暴日数(d)</w:t>
            </w:r>
          </w:p>
        </w:tc>
        <w:tc>
          <w:tcPr>
            <w:tcW w:w="815" w:type="pct"/>
            <w:shd w:val="clear" w:color="auto" w:fill="auto"/>
            <w:vAlign w:val="center"/>
          </w:tcPr>
          <w:p w14:paraId="01BD1B56">
            <w:pPr>
              <w:pStyle w:val="45"/>
              <w:rPr>
                <w:rFonts w:hint="default"/>
              </w:rPr>
            </w:pPr>
            <w:r>
              <w:rPr>
                <w:rFonts w:hint="default"/>
              </w:rPr>
              <w:t>0.0</w:t>
            </w:r>
          </w:p>
        </w:tc>
        <w:tc>
          <w:tcPr>
            <w:tcW w:w="1042" w:type="pct"/>
            <w:shd w:val="clear" w:color="auto" w:fill="auto"/>
            <w:vAlign w:val="center"/>
          </w:tcPr>
          <w:p w14:paraId="3ED6DB3A">
            <w:pPr>
              <w:pStyle w:val="45"/>
              <w:rPr>
                <w:rFonts w:hint="default"/>
              </w:rPr>
            </w:pPr>
          </w:p>
        </w:tc>
        <w:tc>
          <w:tcPr>
            <w:tcW w:w="821" w:type="pct"/>
            <w:shd w:val="clear" w:color="auto" w:fill="auto"/>
            <w:vAlign w:val="center"/>
          </w:tcPr>
          <w:p w14:paraId="54D54B54">
            <w:pPr>
              <w:pStyle w:val="45"/>
              <w:rPr>
                <w:rFonts w:hint="default"/>
              </w:rPr>
            </w:pPr>
          </w:p>
        </w:tc>
      </w:tr>
      <w:tr w14:paraId="76D77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70" w:hRule="atLeast"/>
          <w:jc w:val="center"/>
        </w:trPr>
        <w:tc>
          <w:tcPr>
            <w:tcW w:w="734" w:type="pct"/>
            <w:vMerge w:val="continue"/>
            <w:shd w:val="clear" w:color="auto" w:fill="auto"/>
            <w:vAlign w:val="center"/>
          </w:tcPr>
          <w:p w14:paraId="294B81BF">
            <w:pPr>
              <w:pStyle w:val="45"/>
              <w:rPr>
                <w:rFonts w:hint="default"/>
              </w:rPr>
            </w:pPr>
          </w:p>
        </w:tc>
        <w:tc>
          <w:tcPr>
            <w:tcW w:w="1587" w:type="pct"/>
            <w:shd w:val="clear" w:color="auto" w:fill="auto"/>
            <w:vAlign w:val="center"/>
          </w:tcPr>
          <w:p w14:paraId="467D247E">
            <w:pPr>
              <w:pStyle w:val="45"/>
              <w:rPr>
                <w:rFonts w:hint="default"/>
              </w:rPr>
            </w:pPr>
            <w:r>
              <w:rPr>
                <w:rFonts w:hint="default"/>
              </w:rPr>
              <w:t>多年平均雷暴日数(d)</w:t>
            </w:r>
          </w:p>
        </w:tc>
        <w:tc>
          <w:tcPr>
            <w:tcW w:w="815" w:type="pct"/>
            <w:shd w:val="clear" w:color="auto" w:fill="auto"/>
            <w:vAlign w:val="center"/>
          </w:tcPr>
          <w:p w14:paraId="4CEAF5DD">
            <w:pPr>
              <w:pStyle w:val="45"/>
              <w:rPr>
                <w:rFonts w:hint="default"/>
              </w:rPr>
            </w:pPr>
            <w:r>
              <w:rPr>
                <w:rFonts w:hint="default"/>
              </w:rPr>
              <w:t>34.8</w:t>
            </w:r>
          </w:p>
        </w:tc>
        <w:tc>
          <w:tcPr>
            <w:tcW w:w="1042" w:type="pct"/>
            <w:shd w:val="clear" w:color="auto" w:fill="auto"/>
            <w:vAlign w:val="center"/>
          </w:tcPr>
          <w:p w14:paraId="0F03D9C7">
            <w:pPr>
              <w:pStyle w:val="45"/>
              <w:rPr>
                <w:rFonts w:hint="default"/>
              </w:rPr>
            </w:pPr>
          </w:p>
        </w:tc>
        <w:tc>
          <w:tcPr>
            <w:tcW w:w="821" w:type="pct"/>
            <w:shd w:val="clear" w:color="auto" w:fill="auto"/>
            <w:vAlign w:val="center"/>
          </w:tcPr>
          <w:p w14:paraId="49E03859">
            <w:pPr>
              <w:pStyle w:val="45"/>
              <w:rPr>
                <w:rFonts w:hint="default"/>
              </w:rPr>
            </w:pPr>
          </w:p>
        </w:tc>
      </w:tr>
      <w:tr w14:paraId="2E415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70" w:hRule="atLeast"/>
          <w:jc w:val="center"/>
        </w:trPr>
        <w:tc>
          <w:tcPr>
            <w:tcW w:w="734" w:type="pct"/>
            <w:vMerge w:val="continue"/>
            <w:shd w:val="clear" w:color="auto" w:fill="auto"/>
            <w:vAlign w:val="center"/>
          </w:tcPr>
          <w:p w14:paraId="5782DEAB">
            <w:pPr>
              <w:pStyle w:val="45"/>
              <w:rPr>
                <w:rFonts w:hint="default"/>
              </w:rPr>
            </w:pPr>
          </w:p>
        </w:tc>
        <w:tc>
          <w:tcPr>
            <w:tcW w:w="1587" w:type="pct"/>
            <w:shd w:val="clear" w:color="auto" w:fill="auto"/>
            <w:vAlign w:val="center"/>
          </w:tcPr>
          <w:p w14:paraId="38A458A2">
            <w:pPr>
              <w:pStyle w:val="45"/>
              <w:rPr>
                <w:rFonts w:hint="default"/>
              </w:rPr>
            </w:pPr>
            <w:r>
              <w:rPr>
                <w:rFonts w:hint="default"/>
              </w:rPr>
              <w:t>多年平均冰雹日数(d)</w:t>
            </w:r>
          </w:p>
        </w:tc>
        <w:tc>
          <w:tcPr>
            <w:tcW w:w="815" w:type="pct"/>
            <w:shd w:val="clear" w:color="auto" w:fill="auto"/>
            <w:vAlign w:val="center"/>
          </w:tcPr>
          <w:p w14:paraId="51583BC5">
            <w:pPr>
              <w:pStyle w:val="45"/>
              <w:rPr>
                <w:rFonts w:hint="default"/>
              </w:rPr>
            </w:pPr>
            <w:r>
              <w:rPr>
                <w:rFonts w:hint="default"/>
              </w:rPr>
              <w:t>0.2</w:t>
            </w:r>
          </w:p>
        </w:tc>
        <w:tc>
          <w:tcPr>
            <w:tcW w:w="1042" w:type="pct"/>
            <w:shd w:val="clear" w:color="auto" w:fill="auto"/>
            <w:vAlign w:val="center"/>
          </w:tcPr>
          <w:p w14:paraId="5A3DB486">
            <w:pPr>
              <w:pStyle w:val="45"/>
              <w:rPr>
                <w:rFonts w:hint="default"/>
              </w:rPr>
            </w:pPr>
          </w:p>
        </w:tc>
        <w:tc>
          <w:tcPr>
            <w:tcW w:w="821" w:type="pct"/>
            <w:shd w:val="clear" w:color="auto" w:fill="auto"/>
            <w:vAlign w:val="center"/>
          </w:tcPr>
          <w:p w14:paraId="62BD2997">
            <w:pPr>
              <w:pStyle w:val="45"/>
              <w:rPr>
                <w:rFonts w:hint="default"/>
              </w:rPr>
            </w:pPr>
          </w:p>
        </w:tc>
      </w:tr>
      <w:tr w14:paraId="2FD83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70" w:hRule="atLeast"/>
          <w:jc w:val="center"/>
        </w:trPr>
        <w:tc>
          <w:tcPr>
            <w:tcW w:w="734" w:type="pct"/>
            <w:vMerge w:val="continue"/>
            <w:shd w:val="clear" w:color="auto" w:fill="auto"/>
            <w:vAlign w:val="center"/>
          </w:tcPr>
          <w:p w14:paraId="3AC5A3FE">
            <w:pPr>
              <w:pStyle w:val="45"/>
              <w:rPr>
                <w:rFonts w:hint="default"/>
              </w:rPr>
            </w:pPr>
          </w:p>
        </w:tc>
        <w:tc>
          <w:tcPr>
            <w:tcW w:w="1587" w:type="pct"/>
            <w:shd w:val="clear" w:color="auto" w:fill="auto"/>
            <w:vAlign w:val="center"/>
          </w:tcPr>
          <w:p w14:paraId="0551B1F2">
            <w:pPr>
              <w:pStyle w:val="45"/>
              <w:rPr>
                <w:rFonts w:hint="default"/>
              </w:rPr>
            </w:pPr>
            <w:r>
              <w:rPr>
                <w:rFonts w:hint="default"/>
              </w:rPr>
              <w:t>多年平均大风日数(d)</w:t>
            </w:r>
          </w:p>
        </w:tc>
        <w:tc>
          <w:tcPr>
            <w:tcW w:w="815" w:type="pct"/>
            <w:shd w:val="clear" w:color="auto" w:fill="auto"/>
            <w:vAlign w:val="center"/>
          </w:tcPr>
          <w:p w14:paraId="7B29B472">
            <w:pPr>
              <w:pStyle w:val="45"/>
              <w:rPr>
                <w:rFonts w:hint="default"/>
              </w:rPr>
            </w:pPr>
            <w:r>
              <w:rPr>
                <w:rFonts w:hint="default"/>
              </w:rPr>
              <w:t>1.2</w:t>
            </w:r>
          </w:p>
        </w:tc>
        <w:tc>
          <w:tcPr>
            <w:tcW w:w="1042" w:type="pct"/>
            <w:shd w:val="clear" w:color="auto" w:fill="auto"/>
            <w:vAlign w:val="center"/>
          </w:tcPr>
          <w:p w14:paraId="1C754277">
            <w:pPr>
              <w:pStyle w:val="45"/>
              <w:rPr>
                <w:rFonts w:hint="default"/>
              </w:rPr>
            </w:pPr>
          </w:p>
        </w:tc>
        <w:tc>
          <w:tcPr>
            <w:tcW w:w="821" w:type="pct"/>
            <w:shd w:val="clear" w:color="auto" w:fill="auto"/>
            <w:vAlign w:val="center"/>
          </w:tcPr>
          <w:p w14:paraId="39D23932">
            <w:pPr>
              <w:pStyle w:val="45"/>
              <w:rPr>
                <w:rFonts w:hint="default"/>
              </w:rPr>
            </w:pPr>
          </w:p>
        </w:tc>
      </w:tr>
      <w:tr w14:paraId="0CB4B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70" w:hRule="atLeast"/>
          <w:jc w:val="center"/>
        </w:trPr>
        <w:tc>
          <w:tcPr>
            <w:tcW w:w="2321" w:type="pct"/>
            <w:gridSpan w:val="2"/>
            <w:shd w:val="clear" w:color="auto" w:fill="auto"/>
            <w:vAlign w:val="center"/>
          </w:tcPr>
          <w:p w14:paraId="6E14BB93">
            <w:pPr>
              <w:pStyle w:val="45"/>
              <w:rPr>
                <w:rFonts w:hint="default"/>
              </w:rPr>
            </w:pPr>
            <w:r>
              <w:rPr>
                <w:rFonts w:hint="default"/>
              </w:rPr>
              <w:t>多年实测极大风速(m/s )、相应风向</w:t>
            </w:r>
          </w:p>
        </w:tc>
        <w:tc>
          <w:tcPr>
            <w:tcW w:w="815" w:type="pct"/>
            <w:shd w:val="clear" w:color="auto" w:fill="auto"/>
            <w:vAlign w:val="center"/>
          </w:tcPr>
          <w:p w14:paraId="03F12FBE">
            <w:pPr>
              <w:pStyle w:val="45"/>
              <w:rPr>
                <w:rFonts w:hint="default"/>
              </w:rPr>
            </w:pPr>
            <w:r>
              <w:rPr>
                <w:rFonts w:hint="default"/>
              </w:rPr>
              <w:t>17.4</w:t>
            </w:r>
          </w:p>
        </w:tc>
        <w:tc>
          <w:tcPr>
            <w:tcW w:w="1042" w:type="pct"/>
            <w:shd w:val="clear" w:color="auto" w:fill="auto"/>
            <w:vAlign w:val="center"/>
          </w:tcPr>
          <w:p w14:paraId="0838DFFF">
            <w:pPr>
              <w:pStyle w:val="45"/>
              <w:rPr>
                <w:rFonts w:hint="default"/>
              </w:rPr>
            </w:pPr>
            <w:r>
              <w:rPr>
                <w:rFonts w:hint="default"/>
              </w:rPr>
              <w:t>2004-04-22</w:t>
            </w:r>
          </w:p>
        </w:tc>
        <w:tc>
          <w:tcPr>
            <w:tcW w:w="821" w:type="pct"/>
            <w:shd w:val="clear" w:color="auto" w:fill="auto"/>
            <w:vAlign w:val="center"/>
          </w:tcPr>
          <w:p w14:paraId="08BD4B34">
            <w:pPr>
              <w:pStyle w:val="45"/>
              <w:rPr>
                <w:rFonts w:hint="default"/>
              </w:rPr>
            </w:pPr>
            <w:r>
              <w:rPr>
                <w:rFonts w:hint="default"/>
              </w:rPr>
              <w:t>23.5、NW</w:t>
            </w:r>
          </w:p>
        </w:tc>
      </w:tr>
      <w:tr w14:paraId="6D34A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70" w:hRule="atLeast"/>
          <w:jc w:val="center"/>
        </w:trPr>
        <w:tc>
          <w:tcPr>
            <w:tcW w:w="2321" w:type="pct"/>
            <w:gridSpan w:val="2"/>
            <w:shd w:val="clear" w:color="auto" w:fill="auto"/>
            <w:vAlign w:val="center"/>
          </w:tcPr>
          <w:p w14:paraId="234E65DA">
            <w:pPr>
              <w:pStyle w:val="45"/>
              <w:rPr>
                <w:rFonts w:hint="default"/>
              </w:rPr>
            </w:pPr>
            <w:r>
              <w:rPr>
                <w:rFonts w:hint="default"/>
              </w:rPr>
              <w:t>多年平均风速(m/s)</w:t>
            </w:r>
          </w:p>
        </w:tc>
        <w:tc>
          <w:tcPr>
            <w:tcW w:w="815" w:type="pct"/>
            <w:shd w:val="clear" w:color="auto" w:fill="auto"/>
            <w:vAlign w:val="center"/>
          </w:tcPr>
          <w:p w14:paraId="6FC1DE14">
            <w:pPr>
              <w:pStyle w:val="45"/>
              <w:rPr>
                <w:rFonts w:hint="default"/>
              </w:rPr>
            </w:pPr>
            <w:r>
              <w:rPr>
                <w:rFonts w:hint="default"/>
              </w:rPr>
              <w:t>1.8</w:t>
            </w:r>
          </w:p>
        </w:tc>
        <w:tc>
          <w:tcPr>
            <w:tcW w:w="1042" w:type="pct"/>
            <w:shd w:val="clear" w:color="auto" w:fill="auto"/>
            <w:vAlign w:val="center"/>
          </w:tcPr>
          <w:p w14:paraId="70898FF9">
            <w:pPr>
              <w:pStyle w:val="45"/>
              <w:rPr>
                <w:rFonts w:hint="default"/>
              </w:rPr>
            </w:pPr>
          </w:p>
        </w:tc>
        <w:tc>
          <w:tcPr>
            <w:tcW w:w="821" w:type="pct"/>
            <w:shd w:val="clear" w:color="auto" w:fill="auto"/>
            <w:vAlign w:val="center"/>
          </w:tcPr>
          <w:p w14:paraId="4F55A771">
            <w:pPr>
              <w:pStyle w:val="45"/>
              <w:rPr>
                <w:rFonts w:hint="default"/>
              </w:rPr>
            </w:pPr>
          </w:p>
        </w:tc>
      </w:tr>
      <w:tr w14:paraId="4E719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70" w:hRule="atLeast"/>
          <w:jc w:val="center"/>
        </w:trPr>
        <w:tc>
          <w:tcPr>
            <w:tcW w:w="2321" w:type="pct"/>
            <w:gridSpan w:val="2"/>
            <w:shd w:val="clear" w:color="auto" w:fill="auto"/>
            <w:vAlign w:val="center"/>
          </w:tcPr>
          <w:p w14:paraId="7295E129">
            <w:pPr>
              <w:pStyle w:val="45"/>
              <w:rPr>
                <w:rFonts w:hint="default"/>
              </w:rPr>
            </w:pPr>
            <w:r>
              <w:rPr>
                <w:rFonts w:hint="default"/>
              </w:rPr>
              <w:t>多年主导风向、风向频率(％)</w:t>
            </w:r>
          </w:p>
        </w:tc>
        <w:tc>
          <w:tcPr>
            <w:tcW w:w="815" w:type="pct"/>
            <w:shd w:val="clear" w:color="auto" w:fill="auto"/>
            <w:vAlign w:val="center"/>
          </w:tcPr>
          <w:p w14:paraId="042E7279">
            <w:pPr>
              <w:pStyle w:val="45"/>
              <w:rPr>
                <w:rFonts w:hint="default"/>
              </w:rPr>
            </w:pPr>
            <w:r>
              <w:rPr>
                <w:rFonts w:hint="default"/>
              </w:rPr>
              <w:t>NE、15.0%</w:t>
            </w:r>
          </w:p>
        </w:tc>
        <w:tc>
          <w:tcPr>
            <w:tcW w:w="1042" w:type="pct"/>
            <w:shd w:val="clear" w:color="auto" w:fill="auto"/>
            <w:vAlign w:val="center"/>
          </w:tcPr>
          <w:p w14:paraId="01EDE6B8">
            <w:pPr>
              <w:pStyle w:val="45"/>
              <w:rPr>
                <w:rFonts w:hint="default"/>
              </w:rPr>
            </w:pPr>
          </w:p>
        </w:tc>
        <w:tc>
          <w:tcPr>
            <w:tcW w:w="821" w:type="pct"/>
            <w:shd w:val="clear" w:color="auto" w:fill="auto"/>
            <w:vAlign w:val="center"/>
          </w:tcPr>
          <w:p w14:paraId="12E81D77">
            <w:pPr>
              <w:pStyle w:val="45"/>
              <w:rPr>
                <w:rFonts w:hint="default"/>
              </w:rPr>
            </w:pPr>
          </w:p>
        </w:tc>
      </w:tr>
      <w:tr w14:paraId="004EE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70" w:hRule="atLeast"/>
          <w:jc w:val="center"/>
        </w:trPr>
        <w:tc>
          <w:tcPr>
            <w:tcW w:w="2321" w:type="pct"/>
            <w:gridSpan w:val="2"/>
            <w:shd w:val="clear" w:color="auto" w:fill="auto"/>
            <w:vAlign w:val="center"/>
          </w:tcPr>
          <w:p w14:paraId="10B3DDB3">
            <w:pPr>
              <w:pStyle w:val="45"/>
              <w:rPr>
                <w:rFonts w:hint="default"/>
              </w:rPr>
            </w:pPr>
            <w:r>
              <w:rPr>
                <w:rFonts w:hint="default"/>
              </w:rPr>
              <w:t>年静风频率（风速≤0 2m/s）（%）</w:t>
            </w:r>
          </w:p>
        </w:tc>
        <w:tc>
          <w:tcPr>
            <w:tcW w:w="815" w:type="pct"/>
            <w:shd w:val="clear" w:color="auto" w:fill="auto"/>
            <w:vAlign w:val="center"/>
          </w:tcPr>
          <w:p w14:paraId="5A57D82B">
            <w:pPr>
              <w:pStyle w:val="45"/>
              <w:rPr>
                <w:rFonts w:hint="default"/>
              </w:rPr>
            </w:pPr>
            <w:r>
              <w:rPr>
                <w:rFonts w:hint="default"/>
              </w:rPr>
              <w:t>9.0</w:t>
            </w:r>
          </w:p>
        </w:tc>
        <w:tc>
          <w:tcPr>
            <w:tcW w:w="1042" w:type="pct"/>
            <w:shd w:val="clear" w:color="auto" w:fill="auto"/>
            <w:vAlign w:val="center"/>
          </w:tcPr>
          <w:p w14:paraId="0B2CEDA8">
            <w:pPr>
              <w:pStyle w:val="45"/>
              <w:rPr>
                <w:rFonts w:hint="default"/>
              </w:rPr>
            </w:pPr>
          </w:p>
        </w:tc>
        <w:tc>
          <w:tcPr>
            <w:tcW w:w="821" w:type="pct"/>
            <w:shd w:val="clear" w:color="auto" w:fill="auto"/>
            <w:vAlign w:val="center"/>
          </w:tcPr>
          <w:p w14:paraId="6E285EF2">
            <w:pPr>
              <w:pStyle w:val="45"/>
              <w:rPr>
                <w:rFonts w:hint="default"/>
              </w:rPr>
            </w:pPr>
          </w:p>
        </w:tc>
      </w:tr>
      <w:tr w14:paraId="1ED6A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70" w:hRule="atLeast"/>
          <w:jc w:val="center"/>
        </w:trPr>
        <w:tc>
          <w:tcPr>
            <w:tcW w:w="3864" w:type="dxa"/>
            <w:gridSpan w:val="2"/>
            <w:shd w:val="clear" w:color="auto" w:fill="auto"/>
          </w:tcPr>
          <w:p w14:paraId="2890FF5B">
            <w:pPr>
              <w:pStyle w:val="45"/>
              <w:rPr>
                <w:rFonts w:hint="default"/>
              </w:rPr>
            </w:pPr>
            <w:r>
              <w:rPr>
                <w:rFonts w:hint="default"/>
              </w:rPr>
              <w:t>*统计值代表均值 和极值代表极端值</w:t>
            </w:r>
          </w:p>
        </w:tc>
        <w:tc>
          <w:tcPr>
            <w:tcW w:w="1357" w:type="dxa"/>
            <w:shd w:val="clear" w:color="auto" w:fill="auto"/>
            <w:vAlign w:val="center"/>
          </w:tcPr>
          <w:p w14:paraId="7E4571F5">
            <w:pPr>
              <w:pStyle w:val="45"/>
              <w:rPr>
                <w:rFonts w:hint="default"/>
              </w:rPr>
            </w:pPr>
            <w:r>
              <w:rPr>
                <w:rFonts w:hint="default"/>
              </w:rPr>
              <w:t>举例：累年极端最高气温</w:t>
            </w:r>
          </w:p>
        </w:tc>
        <w:tc>
          <w:tcPr>
            <w:tcW w:w="1735" w:type="dxa"/>
            <w:shd w:val="clear" w:color="auto" w:fill="auto"/>
            <w:vAlign w:val="center"/>
          </w:tcPr>
          <w:p w14:paraId="5DF3FA2C">
            <w:pPr>
              <w:pStyle w:val="45"/>
              <w:rPr>
                <w:rFonts w:hint="default"/>
              </w:rPr>
            </w:pPr>
            <w:r>
              <w:rPr>
                <w:rFonts w:hint="default"/>
              </w:rPr>
              <w:t>*代表极端最高气温的累年平均值</w:t>
            </w:r>
          </w:p>
        </w:tc>
        <w:tc>
          <w:tcPr>
            <w:tcW w:w="1367" w:type="dxa"/>
            <w:shd w:val="clear" w:color="auto" w:fill="auto"/>
            <w:vAlign w:val="center"/>
          </w:tcPr>
          <w:p w14:paraId="259AF296">
            <w:pPr>
              <w:pStyle w:val="45"/>
              <w:rPr>
                <w:rFonts w:hint="default"/>
              </w:rPr>
            </w:pPr>
            <w:r>
              <w:rPr>
                <w:rFonts w:hint="default"/>
              </w:rPr>
              <w:t>**代表极端最高气温的累年</w:t>
            </w:r>
          </w:p>
        </w:tc>
      </w:tr>
    </w:tbl>
    <w:p w14:paraId="7ACC93B0">
      <w:pPr>
        <w:pStyle w:val="4"/>
        <w:numPr>
          <w:ilvl w:val="2"/>
          <w:numId w:val="1"/>
        </w:numPr>
      </w:pPr>
      <w:bookmarkStart w:id="148" w:name="_Toc20673"/>
      <w:r>
        <w:t>地质地貌</w:t>
      </w:r>
      <w:bookmarkEnd w:id="148"/>
    </w:p>
    <w:p w14:paraId="08EB8790">
      <w:pPr>
        <w:ind w:firstLine="480"/>
      </w:pPr>
      <w:r>
        <w:t>评价区域在“衡阳红色盆地”内，属堆积微丘平原地貌类型，地形起伏不大，丘顶平缓，丘顶最高海拔94.5m；湘江河漫滩和一级阶地，海拔标高45.5~60m。</w:t>
      </w:r>
    </w:p>
    <w:p w14:paraId="6F51C0A6">
      <w:pPr>
        <w:ind w:firstLine="480"/>
      </w:pPr>
      <w:r>
        <w:t>区域地层从上至下为第四纪中更新统亚粘土、轻亚粘土、粉细砂及砂卵石，基底第三系霞流市组茶山坳段主要为灰绿色泥岩、泥质粉砂岩、砂岩，含石膏、钙芒硝、石盐等，本区无域不良地质现象。</w:t>
      </w:r>
    </w:p>
    <w:p w14:paraId="4926966D">
      <w:pPr>
        <w:ind w:firstLine="480"/>
      </w:pPr>
      <w:r>
        <w:t>衡阳市地震基本烈度小于6度。</w:t>
      </w:r>
    </w:p>
    <w:p w14:paraId="45BD3B76">
      <w:pPr>
        <w:ind w:firstLine="480"/>
      </w:pPr>
      <w:r>
        <w:t>本项目所在地属于衡阳市松木经济开发区，用地性质属于工业用地。</w:t>
      </w:r>
    </w:p>
    <w:p w14:paraId="0183C9E9">
      <w:pPr>
        <w:pStyle w:val="4"/>
        <w:numPr>
          <w:ilvl w:val="2"/>
          <w:numId w:val="1"/>
        </w:numPr>
      </w:pPr>
      <w:bookmarkStart w:id="149" w:name="_Toc15793"/>
      <w:r>
        <w:t>水文</w:t>
      </w:r>
      <w:bookmarkEnd w:id="149"/>
    </w:p>
    <w:p w14:paraId="723D2611">
      <w:pPr>
        <w:ind w:firstLine="480"/>
      </w:pPr>
      <w:r>
        <w:t>评价区域地表水体发育，池塘星罗棋布，较大的地表水为湘江等。评价水域湘江衡阳段位于湘江中下游，大源渡航电枢纽建坝蓄水前后评价江段的水文特征发生了变化。</w:t>
      </w:r>
    </w:p>
    <w:p w14:paraId="1C4EAD6D">
      <w:pPr>
        <w:ind w:firstLine="480"/>
      </w:pPr>
      <w:r>
        <w:t>根据湘江衡阳水文站资料，工程纳水水体湘江衡阳段水文特征如下：</w:t>
      </w:r>
    </w:p>
    <w:p w14:paraId="560711E2">
      <w:pPr>
        <w:pStyle w:val="43"/>
        <w:numPr>
          <w:ilvl w:val="5"/>
          <w:numId w:val="1"/>
        </w:numPr>
        <w:rPr>
          <w:rFonts w:hint="default"/>
        </w:rPr>
      </w:pPr>
      <w:r>
        <w:rPr>
          <w:rFonts w:hint="default"/>
        </w:rPr>
        <w:t>建坝蓄水前后湘江衡阳段水文特征</w:t>
      </w:r>
    </w:p>
    <w:tbl>
      <w:tblPr>
        <w:tblStyle w:val="3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8"/>
        <w:gridCol w:w="4340"/>
        <w:gridCol w:w="1500"/>
        <w:gridCol w:w="1498"/>
      </w:tblGrid>
      <w:tr w14:paraId="521C4A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tblHeader/>
          <w:jc w:val="center"/>
        </w:trPr>
        <w:tc>
          <w:tcPr>
            <w:tcW w:w="1128" w:type="dxa"/>
            <w:tcBorders>
              <w:top w:val="single" w:color="auto" w:sz="4" w:space="0"/>
              <w:left w:val="single" w:color="auto" w:sz="4" w:space="0"/>
            </w:tcBorders>
            <w:vAlign w:val="center"/>
          </w:tcPr>
          <w:p w14:paraId="0E071617">
            <w:pPr>
              <w:pStyle w:val="45"/>
              <w:rPr>
                <w:rFonts w:hint="default"/>
                <w:b/>
                <w:bCs/>
              </w:rPr>
            </w:pPr>
            <w:r>
              <w:rPr>
                <w:rFonts w:hint="default"/>
                <w:b/>
                <w:bCs/>
              </w:rPr>
              <w:t>序号</w:t>
            </w:r>
          </w:p>
        </w:tc>
        <w:tc>
          <w:tcPr>
            <w:tcW w:w="4340" w:type="dxa"/>
            <w:tcBorders>
              <w:top w:val="single" w:color="auto" w:sz="4" w:space="0"/>
            </w:tcBorders>
            <w:vAlign w:val="center"/>
          </w:tcPr>
          <w:p w14:paraId="64D4EA9B">
            <w:pPr>
              <w:pStyle w:val="45"/>
              <w:rPr>
                <w:rFonts w:hint="default"/>
                <w:b/>
                <w:bCs/>
              </w:rPr>
            </w:pPr>
            <w:r>
              <w:rPr>
                <w:rFonts w:hint="default"/>
                <w:b/>
                <w:bCs/>
              </w:rPr>
              <w:t>项   目</w:t>
            </w:r>
          </w:p>
        </w:tc>
        <w:tc>
          <w:tcPr>
            <w:tcW w:w="1500" w:type="dxa"/>
            <w:tcBorders>
              <w:top w:val="single" w:color="auto" w:sz="4" w:space="0"/>
            </w:tcBorders>
            <w:vAlign w:val="center"/>
          </w:tcPr>
          <w:p w14:paraId="39788308">
            <w:pPr>
              <w:pStyle w:val="45"/>
              <w:rPr>
                <w:rFonts w:hint="default"/>
                <w:b/>
                <w:bCs/>
              </w:rPr>
            </w:pPr>
            <w:r>
              <w:rPr>
                <w:rFonts w:hint="default"/>
                <w:b/>
                <w:bCs/>
              </w:rPr>
              <w:t>蓄水前</w:t>
            </w:r>
          </w:p>
        </w:tc>
        <w:tc>
          <w:tcPr>
            <w:tcW w:w="1498" w:type="dxa"/>
            <w:tcBorders>
              <w:top w:val="single" w:color="auto" w:sz="4" w:space="0"/>
              <w:right w:val="single" w:color="auto" w:sz="4" w:space="0"/>
            </w:tcBorders>
            <w:vAlign w:val="center"/>
          </w:tcPr>
          <w:p w14:paraId="6EF1D606">
            <w:pPr>
              <w:pStyle w:val="45"/>
              <w:rPr>
                <w:rFonts w:hint="default"/>
                <w:b/>
                <w:bCs/>
              </w:rPr>
            </w:pPr>
            <w:r>
              <w:rPr>
                <w:rFonts w:hint="default"/>
                <w:b/>
                <w:bCs/>
              </w:rPr>
              <w:t>蓄水后</w:t>
            </w:r>
          </w:p>
        </w:tc>
      </w:tr>
      <w:tr w14:paraId="6CEFF5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128" w:type="dxa"/>
            <w:tcBorders>
              <w:left w:val="single" w:color="auto" w:sz="4" w:space="0"/>
            </w:tcBorders>
            <w:vAlign w:val="center"/>
          </w:tcPr>
          <w:p w14:paraId="4A4A36E0">
            <w:pPr>
              <w:pStyle w:val="45"/>
              <w:rPr>
                <w:rFonts w:hint="default"/>
              </w:rPr>
            </w:pPr>
            <w:r>
              <w:rPr>
                <w:rFonts w:hint="default"/>
              </w:rPr>
              <w:t>1</w:t>
            </w:r>
          </w:p>
        </w:tc>
        <w:tc>
          <w:tcPr>
            <w:tcW w:w="4340" w:type="dxa"/>
            <w:vAlign w:val="center"/>
          </w:tcPr>
          <w:p w14:paraId="26C65D5B">
            <w:pPr>
              <w:pStyle w:val="45"/>
              <w:rPr>
                <w:rFonts w:hint="default"/>
              </w:rPr>
            </w:pPr>
            <w:r>
              <w:rPr>
                <w:rFonts w:hint="default"/>
              </w:rPr>
              <w:t>平均流量m</w:t>
            </w:r>
            <w:r>
              <w:rPr>
                <w:rFonts w:hint="default"/>
                <w:vertAlign w:val="superscript"/>
              </w:rPr>
              <w:t>3</w:t>
            </w:r>
            <w:r>
              <w:rPr>
                <w:rFonts w:hint="default"/>
              </w:rPr>
              <w:t>/s</w:t>
            </w:r>
          </w:p>
        </w:tc>
        <w:tc>
          <w:tcPr>
            <w:tcW w:w="1500" w:type="dxa"/>
            <w:vAlign w:val="center"/>
          </w:tcPr>
          <w:p w14:paraId="103759BB">
            <w:pPr>
              <w:pStyle w:val="45"/>
              <w:rPr>
                <w:rFonts w:hint="default"/>
              </w:rPr>
            </w:pPr>
            <w:r>
              <w:rPr>
                <w:rFonts w:hint="default"/>
              </w:rPr>
              <w:t>1360</w:t>
            </w:r>
          </w:p>
        </w:tc>
        <w:tc>
          <w:tcPr>
            <w:tcW w:w="1498" w:type="dxa"/>
            <w:tcBorders>
              <w:right w:val="single" w:color="auto" w:sz="4" w:space="0"/>
            </w:tcBorders>
            <w:vAlign w:val="center"/>
          </w:tcPr>
          <w:p w14:paraId="0CDCC7BA">
            <w:pPr>
              <w:pStyle w:val="45"/>
              <w:rPr>
                <w:rFonts w:hint="default"/>
              </w:rPr>
            </w:pPr>
            <w:r>
              <w:rPr>
                <w:rFonts w:hint="default"/>
              </w:rPr>
              <w:t>1320</w:t>
            </w:r>
          </w:p>
        </w:tc>
      </w:tr>
      <w:tr w14:paraId="56F398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128" w:type="dxa"/>
            <w:tcBorders>
              <w:left w:val="single" w:color="auto" w:sz="4" w:space="0"/>
            </w:tcBorders>
            <w:vAlign w:val="center"/>
          </w:tcPr>
          <w:p w14:paraId="0BEDCD4C">
            <w:pPr>
              <w:pStyle w:val="45"/>
              <w:rPr>
                <w:rFonts w:hint="default"/>
              </w:rPr>
            </w:pPr>
            <w:r>
              <w:rPr>
                <w:rFonts w:hint="default"/>
              </w:rPr>
              <w:t>2</w:t>
            </w:r>
          </w:p>
        </w:tc>
        <w:tc>
          <w:tcPr>
            <w:tcW w:w="4340" w:type="dxa"/>
            <w:vAlign w:val="center"/>
          </w:tcPr>
          <w:p w14:paraId="376F0FC0">
            <w:pPr>
              <w:pStyle w:val="45"/>
              <w:rPr>
                <w:rFonts w:hint="default"/>
              </w:rPr>
            </w:pPr>
            <w:r>
              <w:rPr>
                <w:rFonts w:hint="default"/>
              </w:rPr>
              <w:t>最大流量m</w:t>
            </w:r>
            <w:r>
              <w:rPr>
                <w:rFonts w:hint="default"/>
                <w:vertAlign w:val="superscript"/>
              </w:rPr>
              <w:t>3</w:t>
            </w:r>
            <w:r>
              <w:rPr>
                <w:rFonts w:hint="default"/>
              </w:rPr>
              <w:t>/s</w:t>
            </w:r>
          </w:p>
        </w:tc>
        <w:tc>
          <w:tcPr>
            <w:tcW w:w="1500" w:type="dxa"/>
            <w:vAlign w:val="center"/>
          </w:tcPr>
          <w:p w14:paraId="77D2CD73">
            <w:pPr>
              <w:pStyle w:val="45"/>
              <w:rPr>
                <w:rFonts w:hint="default"/>
              </w:rPr>
            </w:pPr>
            <w:r>
              <w:rPr>
                <w:rFonts w:hint="default"/>
              </w:rPr>
              <w:t>18100</w:t>
            </w:r>
          </w:p>
        </w:tc>
        <w:tc>
          <w:tcPr>
            <w:tcW w:w="1498" w:type="dxa"/>
            <w:tcBorders>
              <w:right w:val="single" w:color="auto" w:sz="4" w:space="0"/>
            </w:tcBorders>
            <w:vAlign w:val="center"/>
          </w:tcPr>
          <w:p w14:paraId="729F635A">
            <w:pPr>
              <w:pStyle w:val="45"/>
              <w:rPr>
                <w:rFonts w:hint="default"/>
              </w:rPr>
            </w:pPr>
            <w:r>
              <w:rPr>
                <w:rFonts w:hint="default"/>
              </w:rPr>
              <w:t>2780</w:t>
            </w:r>
          </w:p>
        </w:tc>
      </w:tr>
      <w:tr w14:paraId="374869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128" w:type="dxa"/>
            <w:tcBorders>
              <w:left w:val="single" w:color="auto" w:sz="4" w:space="0"/>
            </w:tcBorders>
            <w:vAlign w:val="center"/>
          </w:tcPr>
          <w:p w14:paraId="0EDC6187">
            <w:pPr>
              <w:pStyle w:val="45"/>
              <w:rPr>
                <w:rFonts w:hint="default"/>
              </w:rPr>
            </w:pPr>
            <w:r>
              <w:rPr>
                <w:rFonts w:hint="default"/>
              </w:rPr>
              <w:t>3</w:t>
            </w:r>
          </w:p>
        </w:tc>
        <w:tc>
          <w:tcPr>
            <w:tcW w:w="4340" w:type="dxa"/>
            <w:vAlign w:val="center"/>
          </w:tcPr>
          <w:p w14:paraId="72B2D3CF">
            <w:pPr>
              <w:pStyle w:val="45"/>
              <w:rPr>
                <w:rFonts w:hint="default"/>
              </w:rPr>
            </w:pPr>
            <w:r>
              <w:rPr>
                <w:rFonts w:hint="default"/>
              </w:rPr>
              <w:t>最小流量m</w:t>
            </w:r>
            <w:r>
              <w:rPr>
                <w:rFonts w:hint="default"/>
                <w:vertAlign w:val="superscript"/>
              </w:rPr>
              <w:t>3</w:t>
            </w:r>
            <w:r>
              <w:rPr>
                <w:rFonts w:hint="default"/>
              </w:rPr>
              <w:t>/s</w:t>
            </w:r>
          </w:p>
        </w:tc>
        <w:tc>
          <w:tcPr>
            <w:tcW w:w="1500" w:type="dxa"/>
            <w:vAlign w:val="center"/>
          </w:tcPr>
          <w:p w14:paraId="19E1E2FF">
            <w:pPr>
              <w:pStyle w:val="45"/>
              <w:rPr>
                <w:rFonts w:hint="default"/>
              </w:rPr>
            </w:pPr>
            <w:r>
              <w:rPr>
                <w:rFonts w:hint="default"/>
              </w:rPr>
              <w:t>30</w:t>
            </w:r>
          </w:p>
        </w:tc>
        <w:tc>
          <w:tcPr>
            <w:tcW w:w="1498" w:type="dxa"/>
            <w:tcBorders>
              <w:right w:val="single" w:color="auto" w:sz="4" w:space="0"/>
            </w:tcBorders>
            <w:vAlign w:val="center"/>
          </w:tcPr>
          <w:p w14:paraId="43EEFCC7">
            <w:pPr>
              <w:pStyle w:val="45"/>
              <w:rPr>
                <w:rFonts w:hint="default"/>
              </w:rPr>
            </w:pPr>
            <w:r>
              <w:rPr>
                <w:rFonts w:hint="default"/>
              </w:rPr>
              <w:t>489</w:t>
            </w:r>
          </w:p>
        </w:tc>
      </w:tr>
      <w:tr w14:paraId="6BD7DF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128" w:type="dxa"/>
            <w:tcBorders>
              <w:left w:val="single" w:color="auto" w:sz="4" w:space="0"/>
            </w:tcBorders>
            <w:vAlign w:val="center"/>
          </w:tcPr>
          <w:p w14:paraId="2CF42489">
            <w:pPr>
              <w:pStyle w:val="45"/>
              <w:rPr>
                <w:rFonts w:hint="default"/>
              </w:rPr>
            </w:pPr>
            <w:r>
              <w:rPr>
                <w:rFonts w:hint="default"/>
              </w:rPr>
              <w:t>4</w:t>
            </w:r>
          </w:p>
        </w:tc>
        <w:tc>
          <w:tcPr>
            <w:tcW w:w="4340" w:type="dxa"/>
            <w:vAlign w:val="center"/>
          </w:tcPr>
          <w:p w14:paraId="3BFE79FC">
            <w:pPr>
              <w:pStyle w:val="45"/>
              <w:rPr>
                <w:rFonts w:hint="default"/>
              </w:rPr>
            </w:pPr>
            <w:r>
              <w:rPr>
                <w:rFonts w:hint="default"/>
              </w:rPr>
              <w:t>平均水位m</w:t>
            </w:r>
          </w:p>
        </w:tc>
        <w:tc>
          <w:tcPr>
            <w:tcW w:w="1500" w:type="dxa"/>
            <w:vAlign w:val="center"/>
          </w:tcPr>
          <w:p w14:paraId="4CD6E2AB">
            <w:pPr>
              <w:pStyle w:val="45"/>
              <w:rPr>
                <w:rFonts w:hint="default"/>
              </w:rPr>
            </w:pPr>
            <w:r>
              <w:rPr>
                <w:rFonts w:hint="default"/>
              </w:rPr>
              <w:t>47.86</w:t>
            </w:r>
          </w:p>
        </w:tc>
        <w:tc>
          <w:tcPr>
            <w:tcW w:w="1498" w:type="dxa"/>
            <w:tcBorders>
              <w:right w:val="single" w:color="auto" w:sz="4" w:space="0"/>
            </w:tcBorders>
            <w:vAlign w:val="center"/>
          </w:tcPr>
          <w:p w14:paraId="10ADE66C">
            <w:pPr>
              <w:pStyle w:val="45"/>
              <w:rPr>
                <w:rFonts w:hint="default"/>
              </w:rPr>
            </w:pPr>
            <w:r>
              <w:rPr>
                <w:rFonts w:hint="default"/>
              </w:rPr>
              <w:t>51.54</w:t>
            </w:r>
          </w:p>
        </w:tc>
      </w:tr>
      <w:tr w14:paraId="56F0F4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128" w:type="dxa"/>
            <w:tcBorders>
              <w:left w:val="single" w:color="auto" w:sz="4" w:space="0"/>
            </w:tcBorders>
            <w:vAlign w:val="center"/>
          </w:tcPr>
          <w:p w14:paraId="2B167981">
            <w:pPr>
              <w:pStyle w:val="45"/>
              <w:rPr>
                <w:rFonts w:hint="default"/>
              </w:rPr>
            </w:pPr>
            <w:r>
              <w:rPr>
                <w:rFonts w:hint="default"/>
              </w:rPr>
              <w:t>5</w:t>
            </w:r>
          </w:p>
        </w:tc>
        <w:tc>
          <w:tcPr>
            <w:tcW w:w="4340" w:type="dxa"/>
            <w:vAlign w:val="center"/>
          </w:tcPr>
          <w:p w14:paraId="1B93DF02">
            <w:pPr>
              <w:pStyle w:val="45"/>
              <w:rPr>
                <w:rFonts w:hint="default"/>
              </w:rPr>
            </w:pPr>
            <w:r>
              <w:rPr>
                <w:rFonts w:hint="default"/>
              </w:rPr>
              <w:t>最大水深m</w:t>
            </w:r>
          </w:p>
        </w:tc>
        <w:tc>
          <w:tcPr>
            <w:tcW w:w="1500" w:type="dxa"/>
            <w:vAlign w:val="center"/>
          </w:tcPr>
          <w:p w14:paraId="76D96D96">
            <w:pPr>
              <w:pStyle w:val="45"/>
              <w:rPr>
                <w:rFonts w:hint="default"/>
              </w:rPr>
            </w:pPr>
            <w:r>
              <w:rPr>
                <w:rFonts w:hint="default"/>
              </w:rPr>
              <w:t>8.20</w:t>
            </w:r>
          </w:p>
        </w:tc>
        <w:tc>
          <w:tcPr>
            <w:tcW w:w="1498" w:type="dxa"/>
            <w:tcBorders>
              <w:right w:val="single" w:color="auto" w:sz="4" w:space="0"/>
            </w:tcBorders>
            <w:vAlign w:val="center"/>
          </w:tcPr>
          <w:p w14:paraId="30398FEF">
            <w:pPr>
              <w:pStyle w:val="45"/>
              <w:rPr>
                <w:rFonts w:hint="default"/>
              </w:rPr>
            </w:pPr>
            <w:r>
              <w:rPr>
                <w:rFonts w:hint="default"/>
              </w:rPr>
              <w:t>16.54</w:t>
            </w:r>
          </w:p>
        </w:tc>
      </w:tr>
      <w:tr w14:paraId="0ED1C4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128" w:type="dxa"/>
            <w:tcBorders>
              <w:left w:val="single" w:color="auto" w:sz="4" w:space="0"/>
            </w:tcBorders>
            <w:vAlign w:val="center"/>
          </w:tcPr>
          <w:p w14:paraId="7767B8C1">
            <w:pPr>
              <w:pStyle w:val="45"/>
              <w:rPr>
                <w:rFonts w:hint="default"/>
              </w:rPr>
            </w:pPr>
            <w:r>
              <w:rPr>
                <w:rFonts w:hint="default"/>
              </w:rPr>
              <w:t>6</w:t>
            </w:r>
          </w:p>
        </w:tc>
        <w:tc>
          <w:tcPr>
            <w:tcW w:w="4340" w:type="dxa"/>
            <w:vAlign w:val="center"/>
          </w:tcPr>
          <w:p w14:paraId="0D398407">
            <w:pPr>
              <w:pStyle w:val="45"/>
              <w:rPr>
                <w:rFonts w:hint="default"/>
              </w:rPr>
            </w:pPr>
            <w:r>
              <w:rPr>
                <w:rFonts w:hint="default"/>
              </w:rPr>
              <w:t>最小水深m</w:t>
            </w:r>
          </w:p>
        </w:tc>
        <w:tc>
          <w:tcPr>
            <w:tcW w:w="1500" w:type="dxa"/>
            <w:vAlign w:val="center"/>
          </w:tcPr>
          <w:p w14:paraId="736A9756">
            <w:pPr>
              <w:pStyle w:val="45"/>
              <w:rPr>
                <w:rFonts w:hint="default"/>
              </w:rPr>
            </w:pPr>
            <w:r>
              <w:rPr>
                <w:rFonts w:hint="default"/>
              </w:rPr>
              <w:t>1.03</w:t>
            </w:r>
          </w:p>
        </w:tc>
        <w:tc>
          <w:tcPr>
            <w:tcW w:w="1498" w:type="dxa"/>
            <w:tcBorders>
              <w:right w:val="single" w:color="auto" w:sz="4" w:space="0"/>
            </w:tcBorders>
            <w:vAlign w:val="center"/>
          </w:tcPr>
          <w:p w14:paraId="265C0F40">
            <w:pPr>
              <w:pStyle w:val="45"/>
              <w:rPr>
                <w:rFonts w:hint="default"/>
              </w:rPr>
            </w:pPr>
            <w:r>
              <w:rPr>
                <w:rFonts w:hint="default"/>
              </w:rPr>
              <w:t>5.0</w:t>
            </w:r>
          </w:p>
        </w:tc>
      </w:tr>
      <w:tr w14:paraId="0C10DC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128" w:type="dxa"/>
            <w:tcBorders>
              <w:left w:val="single" w:color="auto" w:sz="4" w:space="0"/>
            </w:tcBorders>
            <w:vAlign w:val="center"/>
          </w:tcPr>
          <w:p w14:paraId="5E5C3EC1">
            <w:pPr>
              <w:pStyle w:val="45"/>
              <w:rPr>
                <w:rFonts w:hint="default"/>
              </w:rPr>
            </w:pPr>
            <w:r>
              <w:rPr>
                <w:rFonts w:hint="default"/>
              </w:rPr>
              <w:t>7</w:t>
            </w:r>
          </w:p>
        </w:tc>
        <w:tc>
          <w:tcPr>
            <w:tcW w:w="4340" w:type="dxa"/>
            <w:vAlign w:val="center"/>
          </w:tcPr>
          <w:p w14:paraId="1EEDA4FF">
            <w:pPr>
              <w:pStyle w:val="45"/>
              <w:rPr>
                <w:rFonts w:hint="default"/>
              </w:rPr>
            </w:pPr>
            <w:r>
              <w:rPr>
                <w:rFonts w:hint="default"/>
              </w:rPr>
              <w:t>平均水深m</w:t>
            </w:r>
          </w:p>
        </w:tc>
        <w:tc>
          <w:tcPr>
            <w:tcW w:w="1500" w:type="dxa"/>
            <w:vAlign w:val="center"/>
          </w:tcPr>
          <w:p w14:paraId="54B450FA">
            <w:pPr>
              <w:pStyle w:val="45"/>
              <w:rPr>
                <w:rFonts w:hint="default"/>
              </w:rPr>
            </w:pPr>
            <w:r>
              <w:rPr>
                <w:rFonts w:hint="default"/>
              </w:rPr>
              <w:t>3.85</w:t>
            </w:r>
          </w:p>
        </w:tc>
        <w:tc>
          <w:tcPr>
            <w:tcW w:w="1498" w:type="dxa"/>
            <w:tcBorders>
              <w:right w:val="single" w:color="auto" w:sz="4" w:space="0"/>
            </w:tcBorders>
            <w:vAlign w:val="center"/>
          </w:tcPr>
          <w:p w14:paraId="1910CC01">
            <w:pPr>
              <w:pStyle w:val="45"/>
              <w:rPr>
                <w:rFonts w:hint="default"/>
              </w:rPr>
            </w:pPr>
            <w:r>
              <w:rPr>
                <w:rFonts w:hint="default"/>
              </w:rPr>
              <w:t>7.12</w:t>
            </w:r>
          </w:p>
        </w:tc>
      </w:tr>
      <w:tr w14:paraId="0BA204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128" w:type="dxa"/>
            <w:tcBorders>
              <w:left w:val="single" w:color="auto" w:sz="4" w:space="0"/>
            </w:tcBorders>
            <w:vAlign w:val="center"/>
          </w:tcPr>
          <w:p w14:paraId="02D85C8A">
            <w:pPr>
              <w:pStyle w:val="45"/>
              <w:rPr>
                <w:rFonts w:hint="default"/>
              </w:rPr>
            </w:pPr>
            <w:r>
              <w:rPr>
                <w:rFonts w:hint="default"/>
              </w:rPr>
              <w:t>8</w:t>
            </w:r>
          </w:p>
        </w:tc>
        <w:tc>
          <w:tcPr>
            <w:tcW w:w="4340" w:type="dxa"/>
            <w:vAlign w:val="center"/>
          </w:tcPr>
          <w:p w14:paraId="3413807D">
            <w:pPr>
              <w:pStyle w:val="45"/>
              <w:rPr>
                <w:rFonts w:hint="default"/>
              </w:rPr>
            </w:pPr>
            <w:r>
              <w:rPr>
                <w:rFonts w:hint="default"/>
              </w:rPr>
              <w:t>平均流速m/s</w:t>
            </w:r>
          </w:p>
        </w:tc>
        <w:tc>
          <w:tcPr>
            <w:tcW w:w="1500" w:type="dxa"/>
            <w:vAlign w:val="center"/>
          </w:tcPr>
          <w:p w14:paraId="1ECCE671">
            <w:pPr>
              <w:pStyle w:val="45"/>
              <w:rPr>
                <w:rFonts w:hint="default"/>
              </w:rPr>
            </w:pPr>
            <w:r>
              <w:rPr>
                <w:rFonts w:hint="default"/>
              </w:rPr>
              <w:t>0.87</w:t>
            </w:r>
          </w:p>
        </w:tc>
        <w:tc>
          <w:tcPr>
            <w:tcW w:w="1498" w:type="dxa"/>
            <w:tcBorders>
              <w:right w:val="single" w:color="auto" w:sz="4" w:space="0"/>
            </w:tcBorders>
            <w:vAlign w:val="center"/>
          </w:tcPr>
          <w:p w14:paraId="286C38C1">
            <w:pPr>
              <w:pStyle w:val="45"/>
              <w:rPr>
                <w:rFonts w:hint="default"/>
              </w:rPr>
            </w:pPr>
            <w:r>
              <w:rPr>
                <w:rFonts w:hint="default"/>
              </w:rPr>
              <w:t>0.31</w:t>
            </w:r>
          </w:p>
        </w:tc>
      </w:tr>
      <w:tr w14:paraId="3DC9BC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128" w:type="dxa"/>
            <w:tcBorders>
              <w:left w:val="single" w:color="auto" w:sz="4" w:space="0"/>
            </w:tcBorders>
            <w:vAlign w:val="center"/>
          </w:tcPr>
          <w:p w14:paraId="0B727865">
            <w:pPr>
              <w:pStyle w:val="45"/>
              <w:rPr>
                <w:rFonts w:hint="default"/>
              </w:rPr>
            </w:pPr>
            <w:r>
              <w:rPr>
                <w:rFonts w:hint="default"/>
              </w:rPr>
              <w:t>9</w:t>
            </w:r>
          </w:p>
        </w:tc>
        <w:tc>
          <w:tcPr>
            <w:tcW w:w="4340" w:type="dxa"/>
            <w:vAlign w:val="center"/>
          </w:tcPr>
          <w:p w14:paraId="6E5BF4D1">
            <w:pPr>
              <w:pStyle w:val="45"/>
              <w:rPr>
                <w:rFonts w:hint="default"/>
              </w:rPr>
            </w:pPr>
            <w:r>
              <w:rPr>
                <w:rFonts w:hint="default"/>
              </w:rPr>
              <w:t>平均河宽m</w:t>
            </w:r>
          </w:p>
        </w:tc>
        <w:tc>
          <w:tcPr>
            <w:tcW w:w="1500" w:type="dxa"/>
            <w:vAlign w:val="center"/>
          </w:tcPr>
          <w:p w14:paraId="44648C5A">
            <w:pPr>
              <w:pStyle w:val="45"/>
              <w:rPr>
                <w:rFonts w:hint="default"/>
              </w:rPr>
            </w:pPr>
            <w:r>
              <w:rPr>
                <w:rFonts w:hint="default"/>
              </w:rPr>
              <w:t>414.5</w:t>
            </w:r>
          </w:p>
        </w:tc>
        <w:tc>
          <w:tcPr>
            <w:tcW w:w="1498" w:type="dxa"/>
            <w:tcBorders>
              <w:right w:val="single" w:color="auto" w:sz="4" w:space="0"/>
            </w:tcBorders>
            <w:vAlign w:val="center"/>
          </w:tcPr>
          <w:p w14:paraId="6F6DD557">
            <w:pPr>
              <w:pStyle w:val="45"/>
              <w:rPr>
                <w:rFonts w:hint="default"/>
              </w:rPr>
            </w:pPr>
            <w:r>
              <w:rPr>
                <w:rFonts w:hint="default"/>
              </w:rPr>
              <w:t>592</w:t>
            </w:r>
          </w:p>
        </w:tc>
      </w:tr>
      <w:tr w14:paraId="4410CA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128" w:type="dxa"/>
            <w:tcBorders>
              <w:left w:val="single" w:color="auto" w:sz="4" w:space="0"/>
            </w:tcBorders>
            <w:vAlign w:val="center"/>
          </w:tcPr>
          <w:p w14:paraId="3BA9D670">
            <w:pPr>
              <w:pStyle w:val="45"/>
              <w:rPr>
                <w:rFonts w:hint="default"/>
              </w:rPr>
            </w:pPr>
            <w:r>
              <w:rPr>
                <w:rFonts w:hint="default"/>
              </w:rPr>
              <w:t>10</w:t>
            </w:r>
          </w:p>
        </w:tc>
        <w:tc>
          <w:tcPr>
            <w:tcW w:w="4340" w:type="dxa"/>
            <w:vAlign w:val="center"/>
          </w:tcPr>
          <w:p w14:paraId="37440BC1">
            <w:pPr>
              <w:pStyle w:val="45"/>
              <w:rPr>
                <w:rFonts w:hint="default"/>
              </w:rPr>
            </w:pPr>
            <w:r>
              <w:rPr>
                <w:rFonts w:hint="default"/>
              </w:rPr>
              <w:t>平均水面比降(万分之一)</w:t>
            </w:r>
          </w:p>
        </w:tc>
        <w:tc>
          <w:tcPr>
            <w:tcW w:w="1500" w:type="dxa"/>
            <w:vAlign w:val="center"/>
          </w:tcPr>
          <w:p w14:paraId="276B203C">
            <w:pPr>
              <w:pStyle w:val="45"/>
              <w:rPr>
                <w:rFonts w:hint="default"/>
              </w:rPr>
            </w:pPr>
            <w:r>
              <w:rPr>
                <w:rFonts w:hint="default"/>
              </w:rPr>
              <w:t>1.24</w:t>
            </w:r>
          </w:p>
        </w:tc>
        <w:tc>
          <w:tcPr>
            <w:tcW w:w="1498" w:type="dxa"/>
            <w:tcBorders>
              <w:right w:val="single" w:color="auto" w:sz="4" w:space="0"/>
            </w:tcBorders>
            <w:vAlign w:val="center"/>
          </w:tcPr>
          <w:p w14:paraId="770142D6">
            <w:pPr>
              <w:pStyle w:val="45"/>
              <w:rPr>
                <w:rFonts w:hint="default"/>
              </w:rPr>
            </w:pPr>
            <w:r>
              <w:rPr>
                <w:rFonts w:hint="default"/>
              </w:rPr>
              <w:t>0.01</w:t>
            </w:r>
          </w:p>
        </w:tc>
      </w:tr>
      <w:tr w14:paraId="5E3244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128" w:type="dxa"/>
            <w:tcBorders>
              <w:left w:val="single" w:color="auto" w:sz="4" w:space="0"/>
              <w:bottom w:val="single" w:color="auto" w:sz="4" w:space="0"/>
            </w:tcBorders>
            <w:vAlign w:val="center"/>
          </w:tcPr>
          <w:p w14:paraId="4CC6AB87">
            <w:pPr>
              <w:pStyle w:val="45"/>
              <w:rPr>
                <w:rFonts w:hint="default"/>
              </w:rPr>
            </w:pPr>
            <w:r>
              <w:rPr>
                <w:rFonts w:hint="default"/>
              </w:rPr>
              <w:t>11</w:t>
            </w:r>
          </w:p>
        </w:tc>
        <w:tc>
          <w:tcPr>
            <w:tcW w:w="4340" w:type="dxa"/>
            <w:tcBorders>
              <w:bottom w:val="single" w:color="auto" w:sz="4" w:space="0"/>
            </w:tcBorders>
            <w:vAlign w:val="center"/>
          </w:tcPr>
          <w:p w14:paraId="4BC1C6A7">
            <w:pPr>
              <w:pStyle w:val="45"/>
              <w:rPr>
                <w:rFonts w:hint="default"/>
              </w:rPr>
            </w:pPr>
            <w:r>
              <w:rPr>
                <w:rFonts w:hint="default"/>
              </w:rPr>
              <w:t>年平均水温℃</w:t>
            </w:r>
          </w:p>
        </w:tc>
        <w:tc>
          <w:tcPr>
            <w:tcW w:w="1500" w:type="dxa"/>
            <w:tcBorders>
              <w:bottom w:val="single" w:color="auto" w:sz="4" w:space="0"/>
            </w:tcBorders>
            <w:vAlign w:val="center"/>
          </w:tcPr>
          <w:p w14:paraId="520216AA">
            <w:pPr>
              <w:pStyle w:val="45"/>
              <w:rPr>
                <w:rFonts w:hint="default"/>
              </w:rPr>
            </w:pPr>
            <w:r>
              <w:rPr>
                <w:rFonts w:hint="default"/>
              </w:rPr>
              <w:t>19.5</w:t>
            </w:r>
          </w:p>
        </w:tc>
        <w:tc>
          <w:tcPr>
            <w:tcW w:w="1498" w:type="dxa"/>
            <w:tcBorders>
              <w:bottom w:val="single" w:color="auto" w:sz="4" w:space="0"/>
              <w:right w:val="single" w:color="auto" w:sz="4" w:space="0"/>
            </w:tcBorders>
            <w:vAlign w:val="center"/>
          </w:tcPr>
          <w:p w14:paraId="61CAC554">
            <w:pPr>
              <w:pStyle w:val="45"/>
              <w:rPr>
                <w:rFonts w:hint="default"/>
              </w:rPr>
            </w:pPr>
            <w:r>
              <w:rPr>
                <w:rFonts w:hint="default"/>
              </w:rPr>
              <w:t>20.8</w:t>
            </w:r>
          </w:p>
        </w:tc>
      </w:tr>
    </w:tbl>
    <w:p w14:paraId="5AC08B70">
      <w:pPr>
        <w:ind w:firstLine="480"/>
      </w:pPr>
    </w:p>
    <w:p w14:paraId="5ED2B8C8">
      <w:pPr>
        <w:ind w:firstLine="480"/>
      </w:pPr>
      <w:r>
        <w:t>地下水自上而下可划分为三个含水层，即风化裂隙潜水含水层，易于接受降雨的渗漏补给，径流条件好，常在丘陵谷地形成下降泉出露地表，流量随季节变化，枯水季显著减少或干涸；裂隙承压水带，一般在地表以下40~120m之间，含水层延伸不稳定，呈透镜状，地下水具承压；盐层上部盐水带，厚度5~20m不等，呈透镜状，溶蚀明显。</w:t>
      </w:r>
    </w:p>
    <w:p w14:paraId="599D4F35">
      <w:pPr>
        <w:pStyle w:val="4"/>
        <w:numPr>
          <w:ilvl w:val="2"/>
          <w:numId w:val="1"/>
        </w:numPr>
      </w:pPr>
      <w:bookmarkStart w:id="150" w:name="_Toc25678"/>
      <w:r>
        <w:rPr>
          <w:rFonts w:hint="eastAsia"/>
        </w:rPr>
        <w:t>动植物</w:t>
      </w:r>
      <w:bookmarkEnd w:id="150"/>
    </w:p>
    <w:p w14:paraId="5A5644A0">
      <w:pPr>
        <w:ind w:firstLine="480"/>
      </w:pPr>
      <w:r>
        <w:t>所在地属于中亚热带常绿阔叶林带，原始植被已被破坏，现只存在次生植被和人工植被，以山地灌草丛和农业植被为主，有松、杉、竹等植物。经济林树种以油茶为主，干鲜果树种以桔、李、桃为主，主要种植的粮食作物为水稻，一年两熟。</w:t>
      </w:r>
    </w:p>
    <w:p w14:paraId="30E6F255">
      <w:pPr>
        <w:ind w:firstLine="480"/>
      </w:pPr>
      <w:r>
        <w:t>因园区内人为活动频繁，野生动物失去较适宜的栖息繁衍场所。主要动物是田鼠、青蛙、蛇、山雀等常见物种，未见国家保护的珍稀野生动物。家畜以牛、羊、猪为主，家禽以鸡、鸭、鹅为主。水塘中水生鱼类以青、草、鲤、鲫四大家鱼为主。</w:t>
      </w:r>
    </w:p>
    <w:p w14:paraId="4505BDD3">
      <w:pPr>
        <w:pStyle w:val="3"/>
        <w:numPr>
          <w:ilvl w:val="1"/>
          <w:numId w:val="1"/>
        </w:numPr>
      </w:pPr>
      <w:bookmarkStart w:id="151" w:name="_Toc23626"/>
      <w:bookmarkStart w:id="152" w:name="_Toc32422"/>
      <w:bookmarkStart w:id="153" w:name="_Toc6556"/>
      <w:r>
        <w:rPr>
          <w:rFonts w:hint="eastAsia"/>
        </w:rPr>
        <w:t>松木经济开发区简介</w:t>
      </w:r>
      <w:bookmarkEnd w:id="151"/>
      <w:bookmarkEnd w:id="152"/>
      <w:bookmarkEnd w:id="153"/>
    </w:p>
    <w:p w14:paraId="4797833B">
      <w:pPr>
        <w:bidi w:val="0"/>
        <w:rPr>
          <w:rFonts w:hint="eastAsia"/>
        </w:rPr>
      </w:pPr>
      <w:r>
        <w:rPr>
          <w:rFonts w:hint="eastAsia"/>
        </w:rPr>
        <w:t>湖南衡阳松木经济开发区（以下简称松木经开区）原名湖南衡阳松木工业园，位于湖南省衡阳市北部石鼓区和珠晖区，于2003年衡阳市人民政府批准成立，2006年经湖南省人民政府批准并报国家发改委审核通过成为省级经济开发区（湖南省人民政府湘政函[2006]79号、中华人民共和国国家发展和改革委员会公告[2006]41号），核准面积为420公顷，主导产业为化工、造纸。2008年，《湖南衡阳松木工业园总体规划》获得湖南省人民政府批复（湘政函[2008]135号），核准建设用地规模为420公顷，以化工、造纸等为主导产业。</w:t>
      </w:r>
    </w:p>
    <w:p w14:paraId="7274162B">
      <w:pPr>
        <w:bidi w:val="0"/>
        <w:rPr>
          <w:rFonts w:hint="eastAsia"/>
        </w:rPr>
      </w:pPr>
      <w:r>
        <w:rPr>
          <w:rFonts w:hint="eastAsia"/>
        </w:rPr>
        <w:t>2009年，《湖南衡阳松木工业园总体规划环境影响报告书》获得湖南省环境保护厅批复（湘环评[2009]40号），规划面积为420公顷，定位为以盐化工、精细化工为主导，适当发展有色金属深加工。</w:t>
      </w:r>
    </w:p>
    <w:p w14:paraId="77B3BAEA">
      <w:pPr>
        <w:bidi w:val="0"/>
        <w:rPr>
          <w:rFonts w:hint="eastAsia"/>
        </w:rPr>
      </w:pPr>
      <w:r>
        <w:rPr>
          <w:rFonts w:hint="eastAsia"/>
        </w:rPr>
        <w:t>2012年3月5日，根据《湖南省人民政府关于部分省级开发区更名的通知》（湘政函[2012]88号）精神，湖南衡阳松木工业园更名为湖南衡阳松木经济开发区。</w:t>
      </w:r>
    </w:p>
    <w:p w14:paraId="3BAC68D0">
      <w:pPr>
        <w:bidi w:val="0"/>
        <w:rPr>
          <w:rFonts w:hint="eastAsia"/>
        </w:rPr>
      </w:pPr>
      <w:r>
        <w:rPr>
          <w:rFonts w:hint="eastAsia"/>
        </w:rPr>
        <w:t>2012年松木经开区进行了调区扩区规划，并进行了扩区可行性研究（《湖南衡阳松木经济开发区扩区可行性研究报告》（衡阳市规划设计院，2012年）），2013年，《湖南衡阳松木经济开发区扩区环境影响评价报告书》获得湖南省环境保护厅批复（湘环评[2013]213号），扩区范围为江西片区东至湘江，西至107国道，南至松梅路，北至化工路，用地面积为461.84公顷，规划以发展一、二类工业为主，主导发展新能源、新材料及相关产业；江东片区东至垅塘村芭蕉冲组，西至垅塘村朱家坪组，南至垅塘村何家坪组，北至田心村，用地面积为183.16公顷，规划以区域物流运送为主，兼顾国际物流、区域城市加工培训物流，主要为企业的原材料、产品、能源提供综合性物流服务。扩区后，经开区面积为1065公顷，其中江西片区881.84公顷，江东片区183.16公顷。</w:t>
      </w:r>
    </w:p>
    <w:p w14:paraId="68512AA1">
      <w:pPr>
        <w:bidi w:val="0"/>
        <w:rPr>
          <w:rFonts w:hint="eastAsia"/>
        </w:rPr>
      </w:pPr>
      <w:r>
        <w:rPr>
          <w:rFonts w:hint="eastAsia"/>
        </w:rPr>
        <w:t>2018年国家发展改革委、科技部、国土资源部、住房城乡建设部、商务部、海关总署以联合公告[2018]4号文核准湖南衡阳松木经济开发区面积为777.4公顷，核准主导产业为盐卤化工及精细化工、新材料、新能源。</w:t>
      </w:r>
    </w:p>
    <w:p w14:paraId="7DDA8F36">
      <w:pPr>
        <w:bidi w:val="0"/>
        <w:rPr>
          <w:rFonts w:hint="eastAsia"/>
        </w:rPr>
      </w:pPr>
      <w:r>
        <w:rPr>
          <w:rFonts w:hint="eastAsia"/>
        </w:rPr>
        <w:t>2020年委托湖南省环境保护科学研究院编制《湖南衡阳松木经济开发区环境影响跟踪评价报告书》，并于2020年7月1日获得湖南省生态环境厅批复（湘环评函[2020]19号）。</w:t>
      </w:r>
    </w:p>
    <w:p w14:paraId="2AC0C304">
      <w:pPr>
        <w:bidi w:val="0"/>
        <w:rPr>
          <w:rFonts w:hint="eastAsia"/>
        </w:rPr>
      </w:pPr>
      <w:r>
        <w:rPr>
          <w:rFonts w:hint="eastAsia"/>
        </w:rPr>
        <w:t>2021年，《湖南衡阳松木经济开发区扩区规划（2020 2030）环境影响报告书》获得湖南省生态环境厅批复（湘环评函[2021]30号），本次调区后园区面积增加至1370.6公顷，四至范围为：东至湘江北路，西至衡岳大道，南至松梅路，北至怀邵衡铁路。依据不同功能分区，本次调扩区后园区划分为三个片区：其中片区一为《长江保护法》予以严格管控的区域，面积426.4公顷，东起湘江北路，西至距离湘江岸线1公里线，北起向衡路，南至友谊路，主要发展装备制造和现代物流仓储业；片区二规划为化工片区，面积328公顷，东起距离湘江岸线1公里线，西至金华路及蒸阳北路，北起向衡路，南至衡大北路，主要发展盐卤化工及精细化工（含医药化工和制药))；园区其他区域为片区三：面积616.2公顷，东起五一路、蒸阳北路及金华路、西至衡岳大道、北起云升路、南至松梅路，主要发展新能源、新材料及装备制造产业，其中新能源新材料主要包括电池制造、照明器具制造、电车制造、电子设备制造、废弃资源综合利用、钢压延加工、有色金属合金制造、铝铜压延加工、电子元件及电子材料制造、有色金属压延加工等。</w:t>
      </w:r>
    </w:p>
    <w:p w14:paraId="4459822E">
      <w:pPr>
        <w:bidi w:val="0"/>
        <w:rPr>
          <w:rFonts w:hint="eastAsia"/>
        </w:rPr>
      </w:pPr>
      <w:r>
        <w:rPr>
          <w:rFonts w:hint="eastAsia"/>
        </w:rPr>
        <w:t>2022年，湖南省发展和改革委员会、湖南省自然资源厅以湘发改园区[2022]601号文核准湖南衡阳松木经济开发区面积为1143.92公顷，分为四个区块，其中区块一面积858.21公顷，东至滨江路、南至衡大高速公路、西至G107国道、北至怀邵衡铁路以南150m处；区块二面积236.03公顷，东至湘江北、南至松梅路、西至蒸阳北路、北至向衡路；区块三面积37.6公顷，东至东三环、南至京广铁路、西至双江路、北至北三环；区块四12.08公顷，东至广铁工务大修段、南至衡州大道以北510m处、西至狮山路、北至狮山路。</w:t>
      </w:r>
    </w:p>
    <w:p w14:paraId="474DF03F">
      <w:pPr>
        <w:bidi w:val="0"/>
        <w:rPr>
          <w:rFonts w:hint="default"/>
        </w:rPr>
      </w:pPr>
      <w:r>
        <w:rPr>
          <w:rFonts w:hint="default"/>
        </w:rPr>
        <w:t>2023年4月13日，获得湖南省发展和改革委员会、湖南省工业和信息化厅、湖南省自然资源厅、湖南省生态环境厅、湖南省住房和城乡建设厅、湖南省交通运输厅、湖南省应急管理厅联合发文《关于认定松木经济开发区(松木化工片区)为化工园区的通知》（湘发改园区[2023]233号），认定松木经济开发区（松木化工片区）为化工园区，总面积为302.4公顷，四至范围为东至建滔化工，南至衡大高速公路，西至园区标准厂房一期，北至向衡路，化工片区范围不含湘江沿岸一公里范围内区域。园区依托丰富的盐卤资源和产业优势，大力发展盐卤化工及精细化工，着力打造中南地区最大的盐卤化工及精细化工产业基地。</w:t>
      </w:r>
    </w:p>
    <w:p w14:paraId="5A7419EB">
      <w:pPr>
        <w:bidi w:val="0"/>
        <w:rPr>
          <w:rFonts w:hint="default"/>
        </w:rPr>
      </w:pPr>
      <w:r>
        <w:rPr>
          <w:rFonts w:hint="default"/>
        </w:rPr>
        <w:t>2023年8月24日，湖南省产业园区建设领导小组协办公室印发《推进产业园区调区工作实施方案》的通知（湘园区办〔2023〕12号）。</w:t>
      </w:r>
    </w:p>
    <w:p w14:paraId="62FE6946">
      <w:pPr>
        <w:bidi w:val="0"/>
        <w:rPr>
          <w:rFonts w:hint="default"/>
        </w:rPr>
      </w:pPr>
      <w:r>
        <w:rPr>
          <w:rFonts w:hint="default"/>
        </w:rPr>
        <w:t>2023年11月，省发改委以“湘发改函〔2023〕86号”下发了《湖南省发</w:t>
      </w:r>
      <w:r>
        <w:rPr>
          <w:rFonts w:hint="eastAsia"/>
          <w:lang w:val="en-US" w:eastAsia="zh-CN"/>
        </w:rPr>
        <w:t>展</w:t>
      </w:r>
      <w:r>
        <w:rPr>
          <w:rFonts w:hint="default"/>
        </w:rPr>
        <w:t>和改革委员会关于同意衡阳松木经济开发区开展扩区前期工作的函》。</w:t>
      </w:r>
    </w:p>
    <w:p w14:paraId="031BDFFE">
      <w:pPr>
        <w:bidi w:val="0"/>
        <w:rPr>
          <w:rFonts w:hint="default"/>
          <w:lang w:val="en-US" w:eastAsia="zh-CN"/>
        </w:rPr>
      </w:pPr>
      <w:r>
        <w:rPr>
          <w:rFonts w:hint="default"/>
        </w:rPr>
        <w:t>2024年2月，湖南省自然资源厅印发了《关于衡阳松木经济开发区调区扩区用地审核意见的函》，在[2022]601号文核定范围的基础上，同意将426.25公顷依调区程序调出四至边界范围，将299.74公顷依扩区程序调入四至边界范围，调区扩区后园区总面积为1017.41公顷，共5</w:t>
      </w:r>
      <w:r>
        <w:rPr>
          <w:rFonts w:hint="eastAsia"/>
          <w:lang w:val="en-US" w:eastAsia="zh-CN"/>
        </w:rPr>
        <w:t>个区块。</w:t>
      </w:r>
    </w:p>
    <w:p w14:paraId="1EBF0C08">
      <w:pPr>
        <w:pStyle w:val="4"/>
        <w:numPr>
          <w:ilvl w:val="2"/>
          <w:numId w:val="1"/>
        </w:numPr>
      </w:pPr>
      <w:bookmarkStart w:id="154" w:name="_Toc27118"/>
      <w:r>
        <w:rPr>
          <w:rFonts w:hint="eastAsia"/>
        </w:rPr>
        <w:t>产业定位与</w:t>
      </w:r>
      <w:bookmarkEnd w:id="154"/>
      <w:r>
        <w:rPr>
          <w:rFonts w:hint="eastAsia"/>
          <w:lang w:val="en-US" w:eastAsia="zh-CN"/>
        </w:rPr>
        <w:t>用地布局</w:t>
      </w:r>
    </w:p>
    <w:p w14:paraId="50CB1629">
      <w:pPr>
        <w:ind w:firstLine="480"/>
      </w:pPr>
      <w:r>
        <w:rPr>
          <w:rFonts w:hint="eastAsia"/>
        </w:rPr>
        <w:t>一、产业定位</w:t>
      </w:r>
    </w:p>
    <w:p w14:paraId="6295E7E4">
      <w:pPr>
        <w:ind w:firstLine="480"/>
        <w:rPr>
          <w:rFonts w:hint="eastAsia"/>
        </w:rPr>
      </w:pPr>
      <w:r>
        <w:rPr>
          <w:rFonts w:hint="eastAsia"/>
        </w:rPr>
        <w:t>松木经济开发区以衡阳市丰富的盐卤资源和产业优势为依托，积极创新精细化工产业，优化提升新材料产业，根据定位“专而精”，加快传统优势产业转型升级。构建以高新技术产业为主导、优势产业为基础，科技创新与产业发展相互促进、资源综合利用与环境保护有机统一的产业体系。以精细化工为主导产业，以精细化工延伸出的新材料为特色产业，形成“一主一特”的产业体系。具体各片区产业布局细化如下：</w:t>
      </w:r>
    </w:p>
    <w:p w14:paraId="4636D8F9">
      <w:pPr>
        <w:ind w:firstLine="480"/>
        <w:rPr>
          <w:rFonts w:hint="eastAsia"/>
        </w:rPr>
      </w:pPr>
      <w:r>
        <w:rPr>
          <w:rFonts w:hint="eastAsia"/>
        </w:rPr>
        <w:t>松木片区（沿江1km）：装备制造。</w:t>
      </w:r>
    </w:p>
    <w:p w14:paraId="61086664">
      <w:pPr>
        <w:ind w:firstLine="480"/>
        <w:rPr>
          <w:rFonts w:hint="eastAsia"/>
        </w:rPr>
      </w:pPr>
      <w:r>
        <w:rPr>
          <w:rFonts w:hint="eastAsia"/>
        </w:rPr>
        <w:t>松木化工片区：精细化工。</w:t>
      </w:r>
    </w:p>
    <w:p w14:paraId="4D0FBA3D">
      <w:pPr>
        <w:ind w:firstLine="480"/>
        <w:rPr>
          <w:rFonts w:hint="eastAsia"/>
        </w:rPr>
      </w:pPr>
      <w:r>
        <w:rPr>
          <w:rFonts w:hint="eastAsia"/>
        </w:rPr>
        <w:t>松木片区（其他区域）：新材料、现代物流。</w:t>
      </w:r>
    </w:p>
    <w:p w14:paraId="761851DD">
      <w:pPr>
        <w:ind w:firstLine="480"/>
        <w:rPr>
          <w:rFonts w:hint="eastAsia"/>
        </w:rPr>
      </w:pPr>
      <w:r>
        <w:rPr>
          <w:rFonts w:hint="eastAsia"/>
        </w:rPr>
        <w:t>江东片区：新材料。</w:t>
      </w:r>
    </w:p>
    <w:p w14:paraId="3198B0AE">
      <w:pPr>
        <w:ind w:firstLine="480"/>
        <w:rPr>
          <w:rFonts w:hint="eastAsia"/>
        </w:rPr>
      </w:pPr>
      <w:r>
        <w:rPr>
          <w:rFonts w:hint="eastAsia"/>
        </w:rPr>
        <w:t>樟木片区：盐卤化工、新材料。</w:t>
      </w:r>
    </w:p>
    <w:p w14:paraId="51A36589">
      <w:pPr>
        <w:ind w:firstLine="480"/>
      </w:pPr>
      <w:r>
        <w:rPr>
          <w:rFonts w:hint="eastAsia"/>
        </w:rPr>
        <w:t>二、用地布局</w:t>
      </w:r>
    </w:p>
    <w:p w14:paraId="1CCF022D">
      <w:pPr>
        <w:ind w:firstLine="480"/>
        <w:rPr>
          <w:rFonts w:hint="eastAsia"/>
        </w:rPr>
      </w:pPr>
      <w:r>
        <w:rPr>
          <w:rFonts w:hint="eastAsia"/>
        </w:rPr>
        <w:t>园区调扩区的方案为以[2022]601号文核定范围为基数，调出426.25公顷，调入299.74公顷，调扩区后的规划面积共计1017.41hm</w:t>
      </w:r>
      <w:r>
        <w:rPr>
          <w:rFonts w:hint="eastAsia"/>
          <w:vertAlign w:val="superscript"/>
        </w:rPr>
        <w:t>2</w:t>
      </w:r>
      <w:r>
        <w:rPr>
          <w:rFonts w:hint="eastAsia"/>
        </w:rPr>
        <w:t>，调扩区之后松木经开区为一园三区，分别为松木片区（668.24hm</w:t>
      </w:r>
      <w:r>
        <w:rPr>
          <w:rFonts w:hint="eastAsia"/>
          <w:vertAlign w:val="superscript"/>
        </w:rPr>
        <w:t>2</w:t>
      </w:r>
      <w:r>
        <w:rPr>
          <w:rFonts w:hint="eastAsia"/>
        </w:rPr>
        <w:t>）、江东片区（49.43hm</w:t>
      </w:r>
      <w:r>
        <w:rPr>
          <w:rFonts w:hint="eastAsia"/>
          <w:vertAlign w:val="superscript"/>
        </w:rPr>
        <w:t>2</w:t>
      </w:r>
      <w:r>
        <w:rPr>
          <w:rFonts w:hint="eastAsia"/>
        </w:rPr>
        <w:t>）、樟木片区（299.74hm</w:t>
      </w:r>
      <w:r>
        <w:rPr>
          <w:rFonts w:hint="eastAsia"/>
          <w:vertAlign w:val="superscript"/>
        </w:rPr>
        <w:t>2</w:t>
      </w:r>
      <w:r>
        <w:rPr>
          <w:rFonts w:hint="eastAsia"/>
        </w:rPr>
        <w:t>）。具体情况如下。</w:t>
      </w:r>
    </w:p>
    <w:p w14:paraId="3C219B66">
      <w:pPr>
        <w:ind w:firstLine="480"/>
        <w:rPr>
          <w:rFonts w:hint="eastAsia"/>
        </w:rPr>
      </w:pPr>
      <w:r>
        <w:rPr>
          <w:rFonts w:hint="eastAsia"/>
        </w:rPr>
        <w:t>（1）松木片区土地利用规划</w:t>
      </w:r>
    </w:p>
    <w:p w14:paraId="3FD2E2D5">
      <w:pPr>
        <w:ind w:firstLine="480"/>
        <w:rPr>
          <w:rFonts w:hint="eastAsia"/>
        </w:rPr>
      </w:pPr>
      <w:r>
        <w:rPr>
          <w:rFonts w:hint="eastAsia"/>
        </w:rPr>
        <w:t>松木片区规划范围内总用地668.24公顷。</w:t>
      </w:r>
    </w:p>
    <w:p w14:paraId="6405E9EE">
      <w:pPr>
        <w:ind w:firstLine="480"/>
        <w:rPr>
          <w:rFonts w:hint="eastAsia"/>
        </w:rPr>
      </w:pPr>
      <w:r>
        <w:rPr>
          <w:rFonts w:hint="eastAsia"/>
        </w:rPr>
        <w:t>1.公共管理与公共服务设施用地</w:t>
      </w:r>
    </w:p>
    <w:p w14:paraId="744D5FC7">
      <w:pPr>
        <w:ind w:firstLine="480"/>
        <w:rPr>
          <w:rFonts w:hint="eastAsia"/>
        </w:rPr>
      </w:pPr>
      <w:r>
        <w:rPr>
          <w:rFonts w:hint="eastAsia"/>
        </w:rPr>
        <w:t>规划公共管理与公共服务设施用地总面积为2.28公顷，占规划用地的0.34%。现状公共管理与公共服务设施用地面积为2.19公顷，占规划公共管理与公共服务设施用地面积的96.15%。</w:t>
      </w:r>
    </w:p>
    <w:p w14:paraId="659E31DE">
      <w:pPr>
        <w:ind w:firstLine="480"/>
        <w:rPr>
          <w:rFonts w:hint="eastAsia"/>
        </w:rPr>
      </w:pPr>
      <w:r>
        <w:rPr>
          <w:rFonts w:hint="eastAsia"/>
        </w:rPr>
        <w:t>2.商业服务业用地</w:t>
      </w:r>
    </w:p>
    <w:p w14:paraId="332FA9D2">
      <w:pPr>
        <w:ind w:firstLine="480"/>
        <w:rPr>
          <w:rFonts w:hint="eastAsia"/>
        </w:rPr>
      </w:pPr>
      <w:r>
        <w:rPr>
          <w:rFonts w:hint="eastAsia"/>
        </w:rPr>
        <w:t>规划区内商业服务业用地总面积为1.76公顷，占规划用地的0.26%。现状商业服务业设施用地面积为0.46公顷，占规划商业服务业用地面积26.13%。</w:t>
      </w:r>
    </w:p>
    <w:p w14:paraId="69376A17">
      <w:pPr>
        <w:ind w:firstLine="480"/>
        <w:rPr>
          <w:rFonts w:hint="eastAsia"/>
        </w:rPr>
      </w:pPr>
      <w:r>
        <w:rPr>
          <w:rFonts w:hint="eastAsia"/>
        </w:rPr>
        <w:t>3.工矿用地</w:t>
      </w:r>
    </w:p>
    <w:p w14:paraId="42D60ED2">
      <w:pPr>
        <w:ind w:firstLine="480"/>
        <w:rPr>
          <w:rFonts w:hint="eastAsia"/>
        </w:rPr>
      </w:pPr>
      <w:r>
        <w:rPr>
          <w:rFonts w:hint="eastAsia"/>
        </w:rPr>
        <w:t>规划区内工矿用地面积为543.63公顷，占规划用地的81.35%，其中二类工业用地166.74公顷，三类工业用地376.89公顷，现状工矿用地面积为509.07公顷，占规划工矿用地面积93.64%</w:t>
      </w:r>
    </w:p>
    <w:p w14:paraId="49FE711C">
      <w:pPr>
        <w:ind w:firstLine="480"/>
        <w:rPr>
          <w:rFonts w:hint="eastAsia"/>
        </w:rPr>
      </w:pPr>
      <w:r>
        <w:rPr>
          <w:rFonts w:hint="eastAsia"/>
        </w:rPr>
        <w:t>4.仓储用地</w:t>
      </w:r>
    </w:p>
    <w:p w14:paraId="55EE17C2">
      <w:pPr>
        <w:ind w:firstLine="480"/>
        <w:rPr>
          <w:rFonts w:hint="eastAsia"/>
        </w:rPr>
      </w:pPr>
      <w:r>
        <w:rPr>
          <w:rFonts w:hint="eastAsia"/>
        </w:rPr>
        <w:t>仓储用地面积为40.24公顷，占规划用地的6.02%，现状仓储用地面积为20.29公顷，占规划仓储用地面积50.42%。</w:t>
      </w:r>
    </w:p>
    <w:p w14:paraId="304CDD51">
      <w:pPr>
        <w:ind w:firstLine="480"/>
        <w:rPr>
          <w:rFonts w:hint="eastAsia"/>
        </w:rPr>
      </w:pPr>
      <w:r>
        <w:rPr>
          <w:rFonts w:hint="eastAsia"/>
        </w:rPr>
        <w:t>5.交通运输用地</w:t>
      </w:r>
    </w:p>
    <w:p w14:paraId="44A99993">
      <w:pPr>
        <w:ind w:firstLine="480"/>
        <w:rPr>
          <w:rFonts w:hint="eastAsia"/>
        </w:rPr>
      </w:pPr>
      <w:r>
        <w:rPr>
          <w:rFonts w:hint="eastAsia"/>
        </w:rPr>
        <w:t>规划交通运输用地</w:t>
      </w:r>
    </w:p>
    <w:p w14:paraId="2ACF686F">
      <w:pPr>
        <w:ind w:firstLine="480"/>
        <w:rPr>
          <w:rFonts w:hint="eastAsia"/>
        </w:rPr>
      </w:pPr>
      <w:r>
        <w:rPr>
          <w:rFonts w:hint="eastAsia"/>
        </w:rPr>
        <w:t>54.05公顷，占规划用地的8.09%。</w:t>
      </w:r>
    </w:p>
    <w:p w14:paraId="2842183C">
      <w:pPr>
        <w:ind w:firstLine="480"/>
        <w:rPr>
          <w:rFonts w:hint="eastAsia"/>
        </w:rPr>
      </w:pPr>
      <w:r>
        <w:rPr>
          <w:rFonts w:hint="eastAsia"/>
        </w:rPr>
        <w:t>6.公用设施用地</w:t>
      </w:r>
    </w:p>
    <w:p w14:paraId="4335878B">
      <w:pPr>
        <w:ind w:firstLine="480"/>
        <w:rPr>
          <w:rFonts w:hint="eastAsia"/>
        </w:rPr>
      </w:pPr>
      <w:r>
        <w:rPr>
          <w:rFonts w:hint="eastAsia"/>
        </w:rPr>
        <w:t>规划区内公用设施用地1.92公顷，占规划用地的0.29%。</w:t>
      </w:r>
    </w:p>
    <w:p w14:paraId="0DD06916">
      <w:pPr>
        <w:ind w:firstLine="480"/>
        <w:rPr>
          <w:rFonts w:hint="eastAsia"/>
        </w:rPr>
      </w:pPr>
      <w:r>
        <w:rPr>
          <w:rFonts w:hint="eastAsia"/>
        </w:rPr>
        <w:t>7.绿地与开敞空间用地</w:t>
      </w:r>
    </w:p>
    <w:p w14:paraId="22290505">
      <w:pPr>
        <w:ind w:firstLine="480"/>
        <w:rPr>
          <w:rFonts w:hint="eastAsia"/>
        </w:rPr>
      </w:pPr>
      <w:r>
        <w:rPr>
          <w:rFonts w:hint="eastAsia"/>
        </w:rPr>
        <w:t>规划区绿地与开敞空间用地24.36公顷，占规划用地的3.64%3.64%，其中公园绿地7.55公顷，防护绿地16.81公顷。</w:t>
      </w:r>
    </w:p>
    <w:p w14:paraId="49C9B1D8">
      <w:pPr>
        <w:ind w:firstLine="480"/>
        <w:rPr>
          <w:rFonts w:hint="eastAsia"/>
        </w:rPr>
      </w:pPr>
      <w:r>
        <w:rPr>
          <w:rFonts w:hint="eastAsia"/>
        </w:rPr>
        <w:t>（2）江东片区土地利用规划</w:t>
      </w:r>
    </w:p>
    <w:p w14:paraId="4C7B4985">
      <w:pPr>
        <w:ind w:firstLine="480"/>
        <w:rPr>
          <w:rFonts w:hint="eastAsia"/>
        </w:rPr>
      </w:pPr>
      <w:r>
        <w:rPr>
          <w:rFonts w:hint="eastAsia"/>
        </w:rPr>
        <w:t>江东片区规划范围内总用地49.43公顷。</w:t>
      </w:r>
    </w:p>
    <w:p w14:paraId="5C0DDCD9">
      <w:pPr>
        <w:ind w:firstLine="480"/>
        <w:rPr>
          <w:rFonts w:hint="eastAsia"/>
        </w:rPr>
      </w:pPr>
      <w:r>
        <w:rPr>
          <w:rFonts w:hint="eastAsia"/>
        </w:rPr>
        <w:t>1.居住用地</w:t>
      </w:r>
    </w:p>
    <w:p w14:paraId="22DB9555">
      <w:pPr>
        <w:ind w:firstLine="480"/>
        <w:rPr>
          <w:rFonts w:hint="eastAsia"/>
        </w:rPr>
      </w:pPr>
      <w:r>
        <w:rPr>
          <w:rFonts w:hint="eastAsia"/>
        </w:rPr>
        <w:t>规划居住用地总面积为5.27公顷，占规划用地的10.61%。现状居住用地面积为3.04公顷，占规划居住用地面积57.68%。其中江东片区规划拟将运输机械用地（原为二类工业用地）调整为居住用地、商业用地，其规划情况与《衡阳市国土空间总体规划（2021 2035年）》一致，本轮规划环评建议按照规划要求逐步搬迁、退出衡阳机械，并按照企业退出或搬迁相关政策要求，完善场地调查及修复等工作，同时建议后续调出该地块范围至园区范围外。</w:t>
      </w:r>
    </w:p>
    <w:p w14:paraId="232C2D97">
      <w:pPr>
        <w:ind w:firstLine="480"/>
        <w:rPr>
          <w:rFonts w:hint="eastAsia"/>
        </w:rPr>
      </w:pPr>
      <w:r>
        <w:rPr>
          <w:rFonts w:hint="eastAsia"/>
        </w:rPr>
        <w:t>2.公共管理与公共服务设施用地</w:t>
      </w:r>
    </w:p>
    <w:p w14:paraId="773B43C6">
      <w:pPr>
        <w:ind w:firstLine="480"/>
        <w:rPr>
          <w:rFonts w:hint="eastAsia"/>
        </w:rPr>
      </w:pPr>
      <w:r>
        <w:rPr>
          <w:rFonts w:hint="eastAsia"/>
        </w:rPr>
        <w:t>规划公共管理与公共服务设施用地总面积为0.46公顷，占规划用地的0.94%。现状公共管理与公共服务设施用地面积为0公顷。</w:t>
      </w:r>
    </w:p>
    <w:p w14:paraId="5F93CB42">
      <w:pPr>
        <w:ind w:firstLine="480"/>
        <w:rPr>
          <w:rFonts w:hint="eastAsia"/>
        </w:rPr>
      </w:pPr>
      <w:r>
        <w:rPr>
          <w:rFonts w:hint="eastAsia"/>
        </w:rPr>
        <w:t>3.商业服务业用地</w:t>
      </w:r>
    </w:p>
    <w:p w14:paraId="24C169D0">
      <w:pPr>
        <w:ind w:firstLine="480"/>
        <w:rPr>
          <w:rFonts w:hint="eastAsia"/>
        </w:rPr>
      </w:pPr>
      <w:r>
        <w:rPr>
          <w:rFonts w:hint="eastAsia"/>
        </w:rPr>
        <w:t>规划区内商业服务业用地总面积为5.02公顷，占规划用地的10.16%。现状商业服务业用地面积为0公顷。</w:t>
      </w:r>
    </w:p>
    <w:p w14:paraId="5FB1048E">
      <w:pPr>
        <w:ind w:firstLine="480"/>
        <w:rPr>
          <w:rFonts w:hint="eastAsia"/>
        </w:rPr>
      </w:pPr>
      <w:r>
        <w:rPr>
          <w:rFonts w:hint="eastAsia"/>
        </w:rPr>
        <w:t>4.工矿用地</w:t>
      </w:r>
    </w:p>
    <w:p w14:paraId="0B1AC1F3">
      <w:pPr>
        <w:ind w:firstLine="480"/>
        <w:rPr>
          <w:rFonts w:hint="eastAsia"/>
        </w:rPr>
      </w:pPr>
      <w:r>
        <w:rPr>
          <w:rFonts w:hint="eastAsia"/>
        </w:rPr>
        <w:t>规划工矿用地面积为31.39公顷，占规划用地的63.50%63.50%，全部为三类工业用地（全部属于湘衡盐化企业），现状工矿用地面积为38.12公顷，占规划工业用地面积121.43%121.43%，本次规划用地拟退出6.73公顷工矿用地。</w:t>
      </w:r>
    </w:p>
    <w:p w14:paraId="734D2524">
      <w:pPr>
        <w:ind w:firstLine="480"/>
        <w:rPr>
          <w:rFonts w:hint="eastAsia"/>
        </w:rPr>
      </w:pPr>
      <w:r>
        <w:rPr>
          <w:rFonts w:hint="eastAsia"/>
        </w:rPr>
        <w:t>5.交通运输用地</w:t>
      </w:r>
    </w:p>
    <w:p w14:paraId="0900D342">
      <w:pPr>
        <w:ind w:firstLine="480"/>
        <w:rPr>
          <w:rFonts w:hint="eastAsia"/>
        </w:rPr>
      </w:pPr>
      <w:r>
        <w:rPr>
          <w:rFonts w:hint="eastAsia"/>
        </w:rPr>
        <w:t>规划交通运输用地6.13公顷，占规划用地的12.41%。</w:t>
      </w:r>
    </w:p>
    <w:p w14:paraId="4B1D168A">
      <w:pPr>
        <w:ind w:firstLine="480"/>
        <w:rPr>
          <w:rFonts w:hint="eastAsia"/>
        </w:rPr>
      </w:pPr>
      <w:r>
        <w:rPr>
          <w:rFonts w:hint="eastAsia"/>
        </w:rPr>
        <w:t>6.绿地与开敞空间用地</w:t>
      </w:r>
    </w:p>
    <w:p w14:paraId="3DFD38DD">
      <w:pPr>
        <w:ind w:firstLine="480"/>
        <w:rPr>
          <w:rFonts w:hint="eastAsia"/>
        </w:rPr>
      </w:pPr>
      <w:r>
        <w:rPr>
          <w:rFonts w:hint="eastAsia"/>
        </w:rPr>
        <w:t>规划区内绿地与开敞空间用地1.16公顷，占规划用地的2.34%2.34%，全部为防护绿地。</w:t>
      </w:r>
    </w:p>
    <w:p w14:paraId="0D7319A3">
      <w:pPr>
        <w:ind w:firstLine="480"/>
        <w:rPr>
          <w:rFonts w:hint="eastAsia"/>
        </w:rPr>
      </w:pPr>
      <w:r>
        <w:rPr>
          <w:rFonts w:hint="eastAsia"/>
        </w:rPr>
        <w:t>（3）樟木片区土地利用规划</w:t>
      </w:r>
    </w:p>
    <w:p w14:paraId="52DA1BA6">
      <w:pPr>
        <w:ind w:firstLine="480"/>
        <w:rPr>
          <w:rFonts w:hint="eastAsia"/>
        </w:rPr>
      </w:pPr>
      <w:r>
        <w:rPr>
          <w:rFonts w:hint="eastAsia"/>
        </w:rPr>
        <w:t>樟木片区规划范围内总用地299.74公顷，其现状用地均未开发利用。</w:t>
      </w:r>
    </w:p>
    <w:p w14:paraId="19DA4CB7">
      <w:pPr>
        <w:ind w:firstLine="480"/>
        <w:rPr>
          <w:rFonts w:hint="eastAsia"/>
        </w:rPr>
      </w:pPr>
      <w:r>
        <w:rPr>
          <w:rFonts w:hint="eastAsia"/>
        </w:rPr>
        <w:t>1.公共管理与公共服务设施用地</w:t>
      </w:r>
    </w:p>
    <w:p w14:paraId="56059E91">
      <w:pPr>
        <w:ind w:firstLine="480"/>
        <w:rPr>
          <w:rFonts w:hint="eastAsia"/>
        </w:rPr>
      </w:pPr>
      <w:r>
        <w:rPr>
          <w:rFonts w:hint="eastAsia"/>
        </w:rPr>
        <w:t>规划公共管理与公共服务设施用地总面积为0.29公顷，占城市建设用地的0.10%。</w:t>
      </w:r>
    </w:p>
    <w:p w14:paraId="474520E8">
      <w:pPr>
        <w:ind w:firstLine="480"/>
        <w:rPr>
          <w:rFonts w:hint="eastAsia"/>
        </w:rPr>
      </w:pPr>
      <w:r>
        <w:rPr>
          <w:rFonts w:hint="eastAsia"/>
        </w:rPr>
        <w:t>2.道路与交通设施用地</w:t>
      </w:r>
    </w:p>
    <w:p w14:paraId="210FA4B6">
      <w:pPr>
        <w:ind w:firstLine="480"/>
        <w:rPr>
          <w:rFonts w:hint="eastAsia"/>
        </w:rPr>
      </w:pPr>
      <w:r>
        <w:rPr>
          <w:rFonts w:hint="eastAsia"/>
        </w:rPr>
        <w:t>规划道路与交通设施用地28.85公顷，占城市建设用地的10.35%10.35%；其中城市道路用地28.19公顷，占城市建设用地的10.12%。</w:t>
      </w:r>
    </w:p>
    <w:p w14:paraId="68B83240">
      <w:pPr>
        <w:ind w:firstLine="480"/>
        <w:rPr>
          <w:rFonts w:hint="eastAsia"/>
        </w:rPr>
      </w:pPr>
      <w:r>
        <w:rPr>
          <w:rFonts w:hint="eastAsia"/>
        </w:rPr>
        <w:t>3.工矿用地</w:t>
      </w:r>
    </w:p>
    <w:p w14:paraId="359A6325">
      <w:pPr>
        <w:ind w:firstLine="480"/>
        <w:rPr>
          <w:rFonts w:hint="eastAsia"/>
        </w:rPr>
      </w:pPr>
      <w:r>
        <w:rPr>
          <w:rFonts w:hint="eastAsia"/>
        </w:rPr>
        <w:t>规划工业用地面积为233.86公顷，占城市建设用地的83.92%83.92%，其中二类工业用地66.07公顷，三类工业用地167.79公顷。</w:t>
      </w:r>
    </w:p>
    <w:p w14:paraId="44C9C7ED">
      <w:pPr>
        <w:ind w:firstLine="480"/>
        <w:rPr>
          <w:rFonts w:hint="eastAsia"/>
        </w:rPr>
      </w:pPr>
      <w:r>
        <w:rPr>
          <w:rFonts w:hint="eastAsia"/>
        </w:rPr>
        <w:t>6.公用设施用地</w:t>
      </w:r>
    </w:p>
    <w:p w14:paraId="76464E8A">
      <w:pPr>
        <w:ind w:firstLine="480"/>
        <w:rPr>
          <w:rFonts w:hint="eastAsia"/>
        </w:rPr>
      </w:pPr>
      <w:r>
        <w:rPr>
          <w:rFonts w:hint="eastAsia"/>
        </w:rPr>
        <w:t>规划区内公用设施用地6.58公顷，占城市建设用地的2.36%。</w:t>
      </w:r>
    </w:p>
    <w:p w14:paraId="71665915">
      <w:pPr>
        <w:ind w:firstLine="480"/>
        <w:rPr>
          <w:rFonts w:hint="eastAsia"/>
        </w:rPr>
      </w:pPr>
      <w:r>
        <w:rPr>
          <w:rFonts w:hint="eastAsia"/>
        </w:rPr>
        <w:t>7.绿地与广场用地</w:t>
      </w:r>
    </w:p>
    <w:p w14:paraId="481123C0">
      <w:pPr>
        <w:ind w:firstLine="480"/>
        <w:rPr>
          <w:rFonts w:hint="eastAsia"/>
        </w:rPr>
      </w:pPr>
      <w:r>
        <w:rPr>
          <w:rFonts w:hint="eastAsia"/>
        </w:rPr>
        <w:t>规划区内绿地与广场用地9.09公顷，占城市建设用地的3.26%3.26%，全部为防护绿地。</w:t>
      </w:r>
    </w:p>
    <w:p w14:paraId="1F4E2D61">
      <w:pPr>
        <w:pStyle w:val="4"/>
        <w:numPr>
          <w:ilvl w:val="2"/>
          <w:numId w:val="1"/>
        </w:numPr>
      </w:pPr>
      <w:bookmarkStart w:id="155" w:name="_Toc9528"/>
      <w:r>
        <w:rPr>
          <w:rFonts w:hint="eastAsia"/>
        </w:rPr>
        <w:t>给排水</w:t>
      </w:r>
      <w:bookmarkEnd w:id="155"/>
    </w:p>
    <w:p w14:paraId="67CD72E7">
      <w:pPr>
        <w:ind w:firstLine="480"/>
      </w:pPr>
      <w:r>
        <w:t>（1）给水</w:t>
      </w:r>
    </w:p>
    <w:p w14:paraId="14B93784">
      <w:pPr>
        <w:ind w:firstLine="480"/>
        <w:rPr>
          <w:rFonts w:hint="eastAsia"/>
        </w:rPr>
      </w:pPr>
      <w:r>
        <w:rPr>
          <w:rFonts w:hint="eastAsia"/>
        </w:rPr>
        <w:t>规划区松木片区范围内有水厂两座。松木水厂占地面积为2.5公顷，供水规模为3万吨/日，水源为湘江；建滔水厂位于建滔厂区内部，供水量5万吨/日，水源为湘江，主要满足建滔厂区内部用水需要。松木片区规划近期由松木水厂和演武坪水厂供水、远期由松木水厂和演武坪水厂及松梅水厂联网供水，水源为湘江，可满足园区的目前用水需求。</w:t>
      </w:r>
    </w:p>
    <w:p w14:paraId="1D626157">
      <w:pPr>
        <w:ind w:firstLine="480"/>
        <w:rPr>
          <w:rFonts w:hint="eastAsia"/>
        </w:rPr>
      </w:pPr>
      <w:r>
        <w:rPr>
          <w:rFonts w:hint="eastAsia"/>
        </w:rPr>
        <w:t>樟木片区由规划自来水厂供水及衡阳至南岳区供水管网联合供水，以樟木乡水厂为备用水源，规划自来水厂近期给水规模为1万吨/日，远期给水规模为2万吨/日，水源为湘江。</w:t>
      </w:r>
    </w:p>
    <w:p w14:paraId="4AC8C6FC">
      <w:pPr>
        <w:ind w:firstLine="480"/>
        <w:rPr>
          <w:rFonts w:hint="eastAsia"/>
        </w:rPr>
      </w:pPr>
      <w:r>
        <w:rPr>
          <w:rFonts w:hint="eastAsia"/>
        </w:rPr>
        <w:t>江东片区共2家企业，规划期间衡阳运输机械有限公司区块由衡阳市市政给水管网统一供水，湖南省湘衡盐化有限责任公司建有一座水厂，取水量为600万吨/年，水源为耒水，主要满足湘衡盐化内部用水需要。</w:t>
      </w:r>
    </w:p>
    <w:p w14:paraId="49E03D9D">
      <w:pPr>
        <w:ind w:firstLine="480"/>
        <w:rPr>
          <w:rFonts w:hint="eastAsia"/>
        </w:rPr>
      </w:pPr>
      <w:r>
        <w:rPr>
          <w:rFonts w:hint="eastAsia"/>
          <w:lang w:val="en-US" w:eastAsia="zh-CN"/>
        </w:rPr>
        <w:t>根据</w:t>
      </w:r>
      <w:r>
        <w:rPr>
          <w:rFonts w:hint="eastAsia"/>
        </w:rPr>
        <w:t>《衡阳市国土空间总体规划（2021-2035 年)》，松木片区内的供水主干管布置成网状，DN600 以上的主干管主要沿新安路、金源路、上倪路、化工路、松枫路、向衡路和云升路布置。樟木片区内的供水主干管布置成网状，DN500以上的主干管主要永升路、经三路和樟香路布置。江东片区给水管网由市政给水管统一布设。</w:t>
      </w:r>
    </w:p>
    <w:p w14:paraId="061B4CBC">
      <w:pPr>
        <w:ind w:firstLine="480"/>
      </w:pPr>
      <w:r>
        <w:t>（2）排水</w:t>
      </w:r>
    </w:p>
    <w:p w14:paraId="016F3E79">
      <w:pPr>
        <w:ind w:firstLine="480"/>
      </w:pPr>
      <w:r>
        <w:rPr>
          <w:rFonts w:hint="eastAsia"/>
        </w:rPr>
        <w:t>松木经开区雨水排放去向为湘江、栗山港、资家港、耒水、白鹭港，园区雨水目前处于按地势导流，分多处排放口直接进入周围水体，其中松木片区共规划3个雨水排放口，分别为建滔入湘江雨水排放口、资家港、栗山港。建滔入湘江雨水排放口（建滔共2个雨水排口，1个进入雨水管网，1个直接进入湘江）位于湘江干流，用来排放建滔部分后期雨水；衡邵高速以北其余雨水经收集后最终经资家港（入资家港的雨水口共5处）排放入湘江，资家港入湘江口处已有一处坑塘，规模约470m3，衡邵高速以南雨水经收集后排入栗山港，但由于栗山港收集有周边居民生活废水（园区范围外）及雨水，因此衡阳市在栗山港尾端设置有拦截坝，并将水全部泵入松木污水厂（生活）处理达标后排入湘江，同时拟开展栗山港周边区域的雨污管网的建设，待雨污管网建成后，区域雨水进入栗山港后直排湘江；江东片区不设雨水排口，雨水均经市政雨水管网流入耒水，最终进入湘江；樟木片区内设1个雨水排口，雨水经管网流入白鹭港最终汇入湘江。</w:t>
      </w:r>
    </w:p>
    <w:p w14:paraId="09C76244">
      <w:pPr>
        <w:ind w:firstLine="480"/>
      </w:pPr>
      <w:r>
        <w:rPr>
          <w:rFonts w:hint="eastAsia"/>
        </w:rPr>
        <w:t>松木片区企业排水采用雨污分流制，衡邵高速以北区域企业废水排入已建的松木工业污水处理厂其占地面积为3.64公顷，现状规模为1万吨/日，远期规划规模为3.5万吨/日，已于2013年3月15日通过原衡阳市环境保护局竣工环保验收，2017年增建重金属废水提质改造工程（10000m³/d），2022年6月，将重金属处理系统运行方式由应急运行调整为日常串联运行，2022年9月，衡阳市松木污水处理厂（工业）完成提标改造工程，出水达到《城镇污水处理厂污染物排放标准》（GB18918-2002）一级A标准后排入湘江，其排污口取得了湖南省水利厅《关于衡阳市松木污水处理厂排污口工程河道管理范围内建设项目同意书》（湘水许[2007]149号）；衡邵高速以南企业废水主要为生活废水，排入松木污水厂（生活）进行处理，该污水厂于2015年7月取得衡阳市环境保护局批复（衡环评[2015]056号），2018年6月开工，2021年6月建成，其现状规模为5万吨/日（2条线，每条2.5万吨/日），远期规模为10万吨/日，出水达到《城镇污水处理厂污染物排放标准》（GB18918-2002）一级A标准后排入湘江，目前正在调试阶段，暂未验收，排污口论证正在办理。</w:t>
      </w:r>
    </w:p>
    <w:p w14:paraId="6297A17D">
      <w:pPr>
        <w:pStyle w:val="4"/>
        <w:numPr>
          <w:ilvl w:val="2"/>
          <w:numId w:val="1"/>
        </w:numPr>
      </w:pPr>
      <w:bookmarkStart w:id="156" w:name="_Toc14280"/>
      <w:r>
        <w:t>配套基础设施建设现状</w:t>
      </w:r>
      <w:bookmarkEnd w:id="156"/>
    </w:p>
    <w:p w14:paraId="5A7CFA6A">
      <w:pPr>
        <w:ind w:firstLine="480"/>
      </w:pPr>
      <w:r>
        <w:t>园区内建滔水厂日供水能力5万吨，松木水厂日供水3万吨。松木污水处理厂位于新安村邓家台地段，首期工程处理能力为1万m</w:t>
      </w:r>
      <w:r>
        <w:rPr>
          <w:vertAlign w:val="superscript"/>
        </w:rPr>
        <w:t>3</w:t>
      </w:r>
      <w:r>
        <w:t>/d，首期工程已建成并投入试运行；目前实际处理量为0.6万m</w:t>
      </w:r>
      <w:r>
        <w:rPr>
          <w:vertAlign w:val="superscript"/>
        </w:rPr>
        <w:t>3</w:t>
      </w:r>
      <w:r>
        <w:t>/d，剩余处理能力为0.4万m</w:t>
      </w:r>
      <w:r>
        <w:rPr>
          <w:vertAlign w:val="superscript"/>
        </w:rPr>
        <w:t>3</w:t>
      </w:r>
      <w:r>
        <w:t>/d，处理后的出水水质能够达到《城镇污水处理厂污染物排放标准》（GB18918-2002）一级A标准；松木污水处理厂可接纳松木经济开发区</w:t>
      </w:r>
      <w:r>
        <w:rPr>
          <w:rFonts w:hint="eastAsia"/>
        </w:rPr>
        <w:t>衡邵高速以北区域</w:t>
      </w:r>
      <w:r>
        <w:t>范围用地内的污水，各主次干道都已敷设污水管道和雨水管道。</w:t>
      </w:r>
    </w:p>
    <w:p w14:paraId="60FF7D67">
      <w:pPr>
        <w:ind w:firstLine="480"/>
      </w:pPr>
      <w:r>
        <w:t>园区现有的建滔220kV变电站、三角塘110kV变电站及松木110kV变电站均已投入使用；在建的天然气调压站及储配站，储气量为30万m</w:t>
      </w:r>
      <w:r>
        <w:rPr>
          <w:vertAlign w:val="superscript"/>
        </w:rPr>
        <w:t>3</w:t>
      </w:r>
      <w:r>
        <w:t>，日供气量可达15万m</w:t>
      </w:r>
      <w:r>
        <w:rPr>
          <w:vertAlign w:val="superscript"/>
        </w:rPr>
        <w:t>3</w:t>
      </w:r>
      <w:r>
        <w:t>/天，天然气输气管道已经铺设到园区各主干道；区内集中供热蒸汽管廊正在加速建设，可提供1.0MPa生蒸汽。目前，园区内道路、水、电、通讯、有线电视、网络、天然气、码头等基础设施日臻完善，具备了承接大型企业和大项目入园投资建设的条件。</w:t>
      </w:r>
    </w:p>
    <w:p w14:paraId="682D0A0D">
      <w:pPr>
        <w:pStyle w:val="4"/>
        <w:numPr>
          <w:ilvl w:val="2"/>
          <w:numId w:val="1"/>
        </w:numPr>
      </w:pPr>
      <w:bookmarkStart w:id="157" w:name="_Toc5950"/>
      <w:r>
        <w:t>松木经济开发区环评情况</w:t>
      </w:r>
      <w:bookmarkEnd w:id="157"/>
    </w:p>
    <w:p w14:paraId="4D9E4724">
      <w:pPr>
        <w:ind w:firstLine="480"/>
      </w:pPr>
      <w:r>
        <w:rPr>
          <w:rFonts w:hint="eastAsia"/>
        </w:rPr>
        <w:t>松木</w:t>
      </w:r>
      <w:r>
        <w:t>经开区成立以来经历了</w:t>
      </w:r>
      <w:r>
        <w:rPr>
          <w:rFonts w:hint="eastAsia"/>
          <w:lang w:val="en-US" w:eastAsia="zh-CN"/>
        </w:rPr>
        <w:t>4</w:t>
      </w:r>
      <w:r>
        <w:t>次规划环评，1次跟踪评价。规划环评及跟踪评价具体详见下表。</w:t>
      </w:r>
    </w:p>
    <w:p w14:paraId="3EC54960">
      <w:pPr>
        <w:pStyle w:val="43"/>
        <w:numPr>
          <w:ilvl w:val="5"/>
          <w:numId w:val="1"/>
        </w:numPr>
        <w:rPr>
          <w:rFonts w:hint="default"/>
        </w:rPr>
      </w:pPr>
      <w:r>
        <w:t>松木</w:t>
      </w:r>
      <w:r>
        <w:rPr>
          <w:rFonts w:hint="default"/>
        </w:rPr>
        <w:t>经开区环保手续履行情况表</w:t>
      </w:r>
    </w:p>
    <w:tbl>
      <w:tblPr>
        <w:tblStyle w:val="32"/>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2"/>
        <w:gridCol w:w="3400"/>
        <w:gridCol w:w="1443"/>
        <w:gridCol w:w="1747"/>
        <w:gridCol w:w="1187"/>
      </w:tblGrid>
      <w:tr w14:paraId="7B80A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42" w:type="dxa"/>
            <w:vAlign w:val="center"/>
          </w:tcPr>
          <w:p w14:paraId="40CA4802">
            <w:pPr>
              <w:pStyle w:val="45"/>
              <w:rPr>
                <w:rFonts w:hint="default"/>
                <w:b/>
                <w:bCs/>
              </w:rPr>
            </w:pPr>
            <w:r>
              <w:rPr>
                <w:b/>
                <w:bCs/>
              </w:rPr>
              <w:t>序号</w:t>
            </w:r>
          </w:p>
        </w:tc>
        <w:tc>
          <w:tcPr>
            <w:tcW w:w="3400" w:type="dxa"/>
            <w:vAlign w:val="center"/>
          </w:tcPr>
          <w:p w14:paraId="18076B2A">
            <w:pPr>
              <w:pStyle w:val="45"/>
              <w:rPr>
                <w:rFonts w:hint="default"/>
                <w:b/>
                <w:bCs/>
              </w:rPr>
            </w:pPr>
            <w:r>
              <w:rPr>
                <w:b/>
                <w:bCs/>
              </w:rPr>
              <w:t>环评名称</w:t>
            </w:r>
          </w:p>
        </w:tc>
        <w:tc>
          <w:tcPr>
            <w:tcW w:w="1443" w:type="dxa"/>
            <w:vAlign w:val="center"/>
          </w:tcPr>
          <w:p w14:paraId="25F935DC">
            <w:pPr>
              <w:pStyle w:val="45"/>
              <w:rPr>
                <w:rFonts w:hint="default"/>
                <w:b/>
                <w:bCs/>
              </w:rPr>
            </w:pPr>
            <w:r>
              <w:rPr>
                <w:b/>
                <w:bCs/>
              </w:rPr>
              <w:t>批复单位</w:t>
            </w:r>
          </w:p>
        </w:tc>
        <w:tc>
          <w:tcPr>
            <w:tcW w:w="1747" w:type="dxa"/>
            <w:vAlign w:val="center"/>
          </w:tcPr>
          <w:p w14:paraId="519D7B93">
            <w:pPr>
              <w:pStyle w:val="45"/>
              <w:rPr>
                <w:rFonts w:hint="default"/>
                <w:b/>
                <w:bCs/>
              </w:rPr>
            </w:pPr>
            <w:r>
              <w:rPr>
                <w:b/>
                <w:bCs/>
              </w:rPr>
              <w:t>批复文号</w:t>
            </w:r>
          </w:p>
        </w:tc>
        <w:tc>
          <w:tcPr>
            <w:tcW w:w="1187" w:type="dxa"/>
            <w:vAlign w:val="center"/>
          </w:tcPr>
          <w:p w14:paraId="1A3F0256">
            <w:pPr>
              <w:pStyle w:val="45"/>
              <w:rPr>
                <w:rFonts w:hint="default"/>
                <w:b/>
                <w:bCs/>
              </w:rPr>
            </w:pPr>
            <w:r>
              <w:rPr>
                <w:b/>
                <w:bCs/>
              </w:rPr>
              <w:t>批复时间</w:t>
            </w:r>
          </w:p>
        </w:tc>
      </w:tr>
      <w:tr w14:paraId="57583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2" w:type="dxa"/>
            <w:vAlign w:val="center"/>
          </w:tcPr>
          <w:p w14:paraId="1E671066">
            <w:pPr>
              <w:pStyle w:val="45"/>
              <w:rPr>
                <w:rFonts w:hint="default"/>
              </w:rPr>
            </w:pPr>
            <w:r>
              <w:t>1</w:t>
            </w:r>
          </w:p>
        </w:tc>
        <w:tc>
          <w:tcPr>
            <w:tcW w:w="3400" w:type="dxa"/>
            <w:vAlign w:val="center"/>
          </w:tcPr>
          <w:p w14:paraId="3DD93C1C">
            <w:pPr>
              <w:pStyle w:val="45"/>
              <w:rPr>
                <w:rFonts w:hint="default"/>
              </w:rPr>
            </w:pPr>
            <w:r>
              <w:t>湖南衡阳松木工业园区总体规划环境影响报告书</w:t>
            </w:r>
          </w:p>
        </w:tc>
        <w:tc>
          <w:tcPr>
            <w:tcW w:w="1443" w:type="dxa"/>
            <w:vAlign w:val="center"/>
          </w:tcPr>
          <w:p w14:paraId="64C09C1C">
            <w:pPr>
              <w:pStyle w:val="45"/>
              <w:rPr>
                <w:rFonts w:hint="default"/>
              </w:rPr>
            </w:pPr>
            <w:r>
              <w:t>湖南省环境保护厅</w:t>
            </w:r>
          </w:p>
        </w:tc>
        <w:tc>
          <w:tcPr>
            <w:tcW w:w="1747" w:type="dxa"/>
            <w:vAlign w:val="center"/>
          </w:tcPr>
          <w:p w14:paraId="217C48F4">
            <w:pPr>
              <w:pStyle w:val="45"/>
              <w:rPr>
                <w:rFonts w:hint="default"/>
              </w:rPr>
            </w:pPr>
            <w:r>
              <w:t>湘环评[2009]40号</w:t>
            </w:r>
          </w:p>
        </w:tc>
        <w:tc>
          <w:tcPr>
            <w:tcW w:w="1187" w:type="dxa"/>
            <w:vAlign w:val="center"/>
          </w:tcPr>
          <w:p w14:paraId="0B5AA549">
            <w:pPr>
              <w:pStyle w:val="45"/>
              <w:rPr>
                <w:rFonts w:hint="default"/>
              </w:rPr>
            </w:pPr>
            <w:r>
              <w:t>2009年9月1日</w:t>
            </w:r>
          </w:p>
        </w:tc>
      </w:tr>
      <w:tr w14:paraId="3AEAC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2" w:type="dxa"/>
            <w:vAlign w:val="center"/>
          </w:tcPr>
          <w:p w14:paraId="6610FF8C">
            <w:pPr>
              <w:pStyle w:val="45"/>
              <w:rPr>
                <w:rFonts w:hint="default"/>
              </w:rPr>
            </w:pPr>
            <w:r>
              <w:t>2</w:t>
            </w:r>
          </w:p>
        </w:tc>
        <w:tc>
          <w:tcPr>
            <w:tcW w:w="3400" w:type="dxa"/>
            <w:vAlign w:val="center"/>
          </w:tcPr>
          <w:p w14:paraId="57AA6394">
            <w:pPr>
              <w:pStyle w:val="45"/>
              <w:rPr>
                <w:rFonts w:hint="default"/>
              </w:rPr>
            </w:pPr>
            <w:r>
              <w:t>湖南衡阳松木经济开发区扩区环境影响报告书</w:t>
            </w:r>
          </w:p>
        </w:tc>
        <w:tc>
          <w:tcPr>
            <w:tcW w:w="1443" w:type="dxa"/>
            <w:vAlign w:val="center"/>
          </w:tcPr>
          <w:p w14:paraId="2CD03C04">
            <w:pPr>
              <w:pStyle w:val="45"/>
              <w:rPr>
                <w:rFonts w:hint="default"/>
              </w:rPr>
            </w:pPr>
            <w:r>
              <w:t>湖南省环境保护厅</w:t>
            </w:r>
          </w:p>
        </w:tc>
        <w:tc>
          <w:tcPr>
            <w:tcW w:w="1747" w:type="dxa"/>
            <w:vAlign w:val="center"/>
          </w:tcPr>
          <w:p w14:paraId="2B5362ED">
            <w:pPr>
              <w:pStyle w:val="45"/>
              <w:rPr>
                <w:rFonts w:hint="default"/>
              </w:rPr>
            </w:pPr>
            <w:r>
              <w:t>湘环评[2013]213号</w:t>
            </w:r>
          </w:p>
        </w:tc>
        <w:tc>
          <w:tcPr>
            <w:tcW w:w="1187" w:type="dxa"/>
            <w:vAlign w:val="center"/>
          </w:tcPr>
          <w:p w14:paraId="39499069">
            <w:pPr>
              <w:pStyle w:val="45"/>
              <w:rPr>
                <w:rFonts w:hint="default"/>
              </w:rPr>
            </w:pPr>
            <w:r>
              <w:t>2013年8月22日</w:t>
            </w:r>
          </w:p>
        </w:tc>
      </w:tr>
      <w:tr w14:paraId="0EDBD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2" w:type="dxa"/>
            <w:vAlign w:val="center"/>
          </w:tcPr>
          <w:p w14:paraId="01A47901">
            <w:pPr>
              <w:pStyle w:val="45"/>
              <w:rPr>
                <w:rFonts w:hint="default"/>
              </w:rPr>
            </w:pPr>
            <w:r>
              <w:t>3</w:t>
            </w:r>
          </w:p>
        </w:tc>
        <w:tc>
          <w:tcPr>
            <w:tcW w:w="3400" w:type="dxa"/>
            <w:vAlign w:val="center"/>
          </w:tcPr>
          <w:p w14:paraId="5E1611EC">
            <w:pPr>
              <w:pStyle w:val="45"/>
              <w:rPr>
                <w:rFonts w:hint="default"/>
              </w:rPr>
            </w:pPr>
            <w:r>
              <w:t>湖南衡阳松木经济开发区环境影响跟踪评价报告书</w:t>
            </w:r>
          </w:p>
        </w:tc>
        <w:tc>
          <w:tcPr>
            <w:tcW w:w="1443" w:type="dxa"/>
            <w:vAlign w:val="center"/>
          </w:tcPr>
          <w:p w14:paraId="7D5EC264">
            <w:pPr>
              <w:pStyle w:val="45"/>
              <w:rPr>
                <w:rFonts w:hint="default"/>
              </w:rPr>
            </w:pPr>
            <w:r>
              <w:t>湖南省生态环境厅</w:t>
            </w:r>
          </w:p>
        </w:tc>
        <w:tc>
          <w:tcPr>
            <w:tcW w:w="1747" w:type="dxa"/>
            <w:vAlign w:val="center"/>
          </w:tcPr>
          <w:p w14:paraId="605326C8">
            <w:pPr>
              <w:pStyle w:val="45"/>
              <w:rPr>
                <w:rFonts w:hint="default"/>
              </w:rPr>
            </w:pPr>
            <w:r>
              <w:t>湘环评函[2020]19号</w:t>
            </w:r>
          </w:p>
        </w:tc>
        <w:tc>
          <w:tcPr>
            <w:tcW w:w="1187" w:type="dxa"/>
            <w:vAlign w:val="center"/>
          </w:tcPr>
          <w:p w14:paraId="6E075BB9">
            <w:pPr>
              <w:pStyle w:val="45"/>
              <w:rPr>
                <w:rFonts w:hint="default"/>
              </w:rPr>
            </w:pPr>
            <w:r>
              <w:t>2020年7月1日</w:t>
            </w:r>
          </w:p>
        </w:tc>
      </w:tr>
      <w:tr w14:paraId="6C586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2" w:type="dxa"/>
            <w:vAlign w:val="center"/>
          </w:tcPr>
          <w:p w14:paraId="79E2E2E7">
            <w:pPr>
              <w:pStyle w:val="45"/>
              <w:rPr>
                <w:rFonts w:hint="default"/>
              </w:rPr>
            </w:pPr>
            <w:r>
              <w:t>4</w:t>
            </w:r>
          </w:p>
        </w:tc>
        <w:tc>
          <w:tcPr>
            <w:tcW w:w="3400" w:type="dxa"/>
            <w:vAlign w:val="center"/>
          </w:tcPr>
          <w:p w14:paraId="651A7CD2">
            <w:pPr>
              <w:pStyle w:val="45"/>
              <w:rPr>
                <w:rFonts w:hint="default"/>
              </w:rPr>
            </w:pPr>
            <w:r>
              <w:t>湖南衡阳松木经济开发区调区扩区（2020-2030）境影响报告书</w:t>
            </w:r>
          </w:p>
        </w:tc>
        <w:tc>
          <w:tcPr>
            <w:tcW w:w="1443" w:type="dxa"/>
            <w:vAlign w:val="center"/>
          </w:tcPr>
          <w:p w14:paraId="7EC259F4">
            <w:pPr>
              <w:pStyle w:val="45"/>
              <w:rPr>
                <w:rFonts w:hint="default"/>
              </w:rPr>
            </w:pPr>
            <w:r>
              <w:t>湖南省生态环境厅</w:t>
            </w:r>
          </w:p>
        </w:tc>
        <w:tc>
          <w:tcPr>
            <w:tcW w:w="1747" w:type="dxa"/>
            <w:vAlign w:val="center"/>
          </w:tcPr>
          <w:p w14:paraId="1087E3DE">
            <w:pPr>
              <w:pStyle w:val="45"/>
              <w:rPr>
                <w:rFonts w:hint="default"/>
              </w:rPr>
            </w:pPr>
            <w:r>
              <w:t>湘环评函[2021]30号</w:t>
            </w:r>
          </w:p>
        </w:tc>
        <w:tc>
          <w:tcPr>
            <w:tcW w:w="1187" w:type="dxa"/>
            <w:vAlign w:val="center"/>
          </w:tcPr>
          <w:p w14:paraId="3B134466">
            <w:pPr>
              <w:pStyle w:val="45"/>
              <w:rPr>
                <w:rFonts w:hint="default"/>
              </w:rPr>
            </w:pPr>
            <w:r>
              <w:t>2021年10月19日</w:t>
            </w:r>
          </w:p>
        </w:tc>
      </w:tr>
      <w:tr w14:paraId="538E0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2" w:type="dxa"/>
            <w:vAlign w:val="center"/>
          </w:tcPr>
          <w:p w14:paraId="0176A256">
            <w:pPr>
              <w:pStyle w:val="45"/>
              <w:rPr>
                <w:rFonts w:hint="eastAsia" w:eastAsia="宋体"/>
                <w:lang w:val="en-US" w:eastAsia="zh-CN"/>
              </w:rPr>
            </w:pPr>
            <w:r>
              <w:rPr>
                <w:rFonts w:hint="eastAsia"/>
                <w:lang w:val="en-US" w:eastAsia="zh-CN"/>
              </w:rPr>
              <w:t>5</w:t>
            </w:r>
          </w:p>
        </w:tc>
        <w:tc>
          <w:tcPr>
            <w:tcW w:w="3400" w:type="dxa"/>
            <w:vAlign w:val="center"/>
          </w:tcPr>
          <w:p w14:paraId="67083B13">
            <w:pPr>
              <w:pStyle w:val="45"/>
            </w:pPr>
            <w:r>
              <w:rPr>
                <w:rFonts w:hint="eastAsia"/>
              </w:rPr>
              <w:t>湖南衡阳松木经济开发区调区扩区规划环境影响报告书</w:t>
            </w:r>
          </w:p>
        </w:tc>
        <w:tc>
          <w:tcPr>
            <w:tcW w:w="1443" w:type="dxa"/>
            <w:vAlign w:val="center"/>
          </w:tcPr>
          <w:p w14:paraId="7AFE40DF">
            <w:pPr>
              <w:pStyle w:val="45"/>
            </w:pPr>
            <w:r>
              <w:t>湖南省生态环境厅</w:t>
            </w:r>
          </w:p>
        </w:tc>
        <w:tc>
          <w:tcPr>
            <w:tcW w:w="1747" w:type="dxa"/>
            <w:vAlign w:val="center"/>
          </w:tcPr>
          <w:p w14:paraId="569F705A">
            <w:pPr>
              <w:pStyle w:val="45"/>
            </w:pPr>
            <w:r>
              <w:rPr>
                <w:rFonts w:hint="eastAsia"/>
              </w:rPr>
              <w:t>湘环评函</w:t>
            </w:r>
            <w:r>
              <w:rPr>
                <w:rFonts w:hint="eastAsia"/>
                <w:lang w:val="en-US" w:eastAsia="zh-CN"/>
              </w:rPr>
              <w:t>[</w:t>
            </w:r>
            <w:r>
              <w:rPr>
                <w:rFonts w:hint="eastAsia"/>
              </w:rPr>
              <w:t>2024</w:t>
            </w:r>
            <w:r>
              <w:rPr>
                <w:rFonts w:hint="eastAsia"/>
                <w:lang w:val="en-US" w:eastAsia="zh-CN"/>
              </w:rPr>
              <w:t>]</w:t>
            </w:r>
            <w:r>
              <w:rPr>
                <w:rFonts w:hint="eastAsia"/>
              </w:rPr>
              <w:t>20号</w:t>
            </w:r>
          </w:p>
        </w:tc>
        <w:tc>
          <w:tcPr>
            <w:tcW w:w="1187" w:type="dxa"/>
            <w:vAlign w:val="center"/>
          </w:tcPr>
          <w:p w14:paraId="1557CFEF">
            <w:pPr>
              <w:pStyle w:val="45"/>
            </w:pPr>
            <w:r>
              <w:rPr>
                <w:rFonts w:hint="eastAsia"/>
              </w:rPr>
              <w:t>202</w:t>
            </w:r>
            <w:r>
              <w:rPr>
                <w:rFonts w:hint="eastAsia"/>
                <w:lang w:val="en-US" w:eastAsia="zh-CN"/>
              </w:rPr>
              <w:t>4</w:t>
            </w:r>
            <w:r>
              <w:rPr>
                <w:rFonts w:hint="eastAsia"/>
              </w:rPr>
              <w:t>年</w:t>
            </w:r>
            <w:r>
              <w:rPr>
                <w:rFonts w:hint="eastAsia"/>
                <w:lang w:val="en-US" w:eastAsia="zh-CN"/>
              </w:rPr>
              <w:t>4</w:t>
            </w:r>
            <w:r>
              <w:rPr>
                <w:rFonts w:hint="eastAsia"/>
              </w:rPr>
              <w:t>月</w:t>
            </w:r>
            <w:r>
              <w:rPr>
                <w:rFonts w:hint="eastAsia"/>
                <w:lang w:val="en-US" w:eastAsia="zh-CN"/>
              </w:rPr>
              <w:t>10</w:t>
            </w:r>
            <w:r>
              <w:rPr>
                <w:rFonts w:hint="eastAsia"/>
              </w:rPr>
              <w:t>日</w:t>
            </w:r>
          </w:p>
        </w:tc>
      </w:tr>
    </w:tbl>
    <w:p w14:paraId="6326963D">
      <w:pPr>
        <w:ind w:firstLine="0" w:firstLineChars="0"/>
      </w:pPr>
    </w:p>
    <w:p w14:paraId="10578129">
      <w:pPr>
        <w:pStyle w:val="3"/>
        <w:numPr>
          <w:ilvl w:val="1"/>
          <w:numId w:val="1"/>
        </w:numPr>
      </w:pPr>
      <w:bookmarkStart w:id="158" w:name="_Toc17950"/>
      <w:bookmarkStart w:id="159" w:name="_Toc6252"/>
      <w:bookmarkStart w:id="160" w:name="_Toc20344"/>
      <w:r>
        <w:rPr>
          <w:rFonts w:hint="eastAsia"/>
        </w:rPr>
        <w:t>区域污染源调查</w:t>
      </w:r>
      <w:bookmarkEnd w:id="158"/>
      <w:bookmarkEnd w:id="159"/>
      <w:bookmarkEnd w:id="160"/>
    </w:p>
    <w:p w14:paraId="4518CD6D">
      <w:pPr>
        <w:ind w:firstLine="48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rPr>
        <w:t>松</w:t>
      </w:r>
      <w:r>
        <w:t>木经开区区域内污染源调查见下表。</w:t>
      </w:r>
    </w:p>
    <w:p w14:paraId="23BEE5D8">
      <w:pPr>
        <w:pStyle w:val="43"/>
        <w:numPr>
          <w:ilvl w:val="5"/>
          <w:numId w:val="1"/>
        </w:numPr>
        <w:rPr>
          <w:rFonts w:hint="default"/>
        </w:rPr>
      </w:pPr>
      <w:r>
        <w:t>松木经开区区域内污染源调查</w:t>
      </w:r>
    </w:p>
    <w:tbl>
      <w:tblPr>
        <w:tblStyle w:val="32"/>
        <w:tblW w:w="5012"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80"/>
        <w:gridCol w:w="647"/>
        <w:gridCol w:w="558"/>
        <w:gridCol w:w="1359"/>
        <w:gridCol w:w="1169"/>
        <w:gridCol w:w="8108"/>
        <w:gridCol w:w="1881"/>
      </w:tblGrid>
      <w:tr w14:paraId="57EC12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blHeader/>
        </w:trPr>
        <w:tc>
          <w:tcPr>
            <w:tcW w:w="100" w:type="pct"/>
            <w:vAlign w:val="center"/>
          </w:tcPr>
          <w:p w14:paraId="443E2714">
            <w:pPr>
              <w:autoSpaceDE w:val="0"/>
              <w:autoSpaceDN w:val="0"/>
              <w:snapToGrid w:val="0"/>
              <w:spacing w:line="240" w:lineRule="auto"/>
              <w:ind w:firstLine="0" w:firstLineChars="0"/>
              <w:jc w:val="center"/>
              <w:rPr>
                <w:rFonts w:cs="Times New Roman"/>
                <w:b/>
                <w:kern w:val="0"/>
                <w:sz w:val="18"/>
                <w:szCs w:val="18"/>
              </w:rPr>
            </w:pPr>
            <w:r>
              <w:rPr>
                <w:rFonts w:cs="Times New Roman"/>
                <w:b/>
                <w:kern w:val="0"/>
                <w:sz w:val="18"/>
                <w:szCs w:val="18"/>
              </w:rPr>
              <w:t>序号</w:t>
            </w:r>
          </w:p>
        </w:tc>
        <w:tc>
          <w:tcPr>
            <w:tcW w:w="231" w:type="pct"/>
            <w:vAlign w:val="center"/>
          </w:tcPr>
          <w:p w14:paraId="0AFED5CF">
            <w:pPr>
              <w:autoSpaceDE w:val="0"/>
              <w:autoSpaceDN w:val="0"/>
              <w:snapToGrid w:val="0"/>
              <w:spacing w:line="240" w:lineRule="auto"/>
              <w:ind w:firstLine="0" w:firstLineChars="0"/>
              <w:jc w:val="center"/>
              <w:rPr>
                <w:rFonts w:cs="Times New Roman"/>
                <w:b/>
                <w:kern w:val="0"/>
                <w:sz w:val="18"/>
                <w:szCs w:val="18"/>
              </w:rPr>
            </w:pPr>
            <w:r>
              <w:rPr>
                <w:rFonts w:cs="Times New Roman"/>
                <w:b/>
                <w:kern w:val="0"/>
                <w:sz w:val="18"/>
                <w:szCs w:val="18"/>
              </w:rPr>
              <w:t>企业名称</w:t>
            </w:r>
          </w:p>
        </w:tc>
        <w:tc>
          <w:tcPr>
            <w:tcW w:w="199" w:type="pct"/>
            <w:vAlign w:val="center"/>
          </w:tcPr>
          <w:p w14:paraId="7BE5A523">
            <w:pPr>
              <w:autoSpaceDE w:val="0"/>
              <w:autoSpaceDN w:val="0"/>
              <w:snapToGrid w:val="0"/>
              <w:spacing w:line="240" w:lineRule="auto"/>
              <w:ind w:firstLine="0" w:firstLineChars="0"/>
              <w:jc w:val="center"/>
              <w:rPr>
                <w:rFonts w:cs="Times New Roman"/>
                <w:b/>
                <w:kern w:val="0"/>
                <w:sz w:val="18"/>
                <w:szCs w:val="18"/>
              </w:rPr>
            </w:pPr>
            <w:r>
              <w:rPr>
                <w:rFonts w:cs="Times New Roman"/>
                <w:b/>
                <w:kern w:val="0"/>
                <w:sz w:val="18"/>
                <w:szCs w:val="18"/>
              </w:rPr>
              <w:t>污染源</w:t>
            </w:r>
          </w:p>
        </w:tc>
        <w:tc>
          <w:tcPr>
            <w:tcW w:w="485" w:type="pct"/>
            <w:vAlign w:val="center"/>
          </w:tcPr>
          <w:p w14:paraId="628DAF08">
            <w:pPr>
              <w:autoSpaceDE w:val="0"/>
              <w:autoSpaceDN w:val="0"/>
              <w:snapToGrid w:val="0"/>
              <w:spacing w:line="240" w:lineRule="auto"/>
              <w:ind w:firstLine="0" w:firstLineChars="0"/>
              <w:jc w:val="center"/>
              <w:rPr>
                <w:rFonts w:cs="Times New Roman"/>
                <w:b/>
                <w:kern w:val="0"/>
                <w:sz w:val="18"/>
                <w:szCs w:val="18"/>
              </w:rPr>
            </w:pPr>
            <w:r>
              <w:rPr>
                <w:rFonts w:cs="Times New Roman"/>
                <w:b/>
                <w:kern w:val="0"/>
                <w:sz w:val="18"/>
                <w:szCs w:val="18"/>
              </w:rPr>
              <w:t>主要污染因子</w:t>
            </w:r>
          </w:p>
        </w:tc>
        <w:tc>
          <w:tcPr>
            <w:tcW w:w="417" w:type="pct"/>
            <w:vAlign w:val="center"/>
          </w:tcPr>
          <w:p w14:paraId="7DC9DFA0">
            <w:pPr>
              <w:autoSpaceDE w:val="0"/>
              <w:autoSpaceDN w:val="0"/>
              <w:snapToGrid w:val="0"/>
              <w:spacing w:line="240" w:lineRule="auto"/>
              <w:ind w:firstLine="0" w:firstLineChars="0"/>
              <w:jc w:val="center"/>
              <w:rPr>
                <w:rFonts w:cs="Times New Roman"/>
                <w:b/>
                <w:kern w:val="0"/>
                <w:sz w:val="18"/>
                <w:szCs w:val="18"/>
              </w:rPr>
            </w:pPr>
            <w:r>
              <w:rPr>
                <w:rFonts w:cs="Times New Roman"/>
                <w:b/>
                <w:kern w:val="0"/>
                <w:sz w:val="18"/>
                <w:szCs w:val="18"/>
              </w:rPr>
              <w:t>排放量</w:t>
            </w:r>
          </w:p>
        </w:tc>
        <w:tc>
          <w:tcPr>
            <w:tcW w:w="2893" w:type="pct"/>
            <w:vAlign w:val="center"/>
          </w:tcPr>
          <w:p w14:paraId="2425276E">
            <w:pPr>
              <w:autoSpaceDE w:val="0"/>
              <w:autoSpaceDN w:val="0"/>
              <w:snapToGrid w:val="0"/>
              <w:spacing w:line="240" w:lineRule="auto"/>
              <w:ind w:firstLine="0" w:firstLineChars="0"/>
              <w:jc w:val="center"/>
              <w:rPr>
                <w:rFonts w:cs="Times New Roman"/>
                <w:b/>
                <w:kern w:val="0"/>
                <w:sz w:val="18"/>
                <w:szCs w:val="18"/>
              </w:rPr>
            </w:pPr>
            <w:r>
              <w:rPr>
                <w:rFonts w:cs="Times New Roman"/>
                <w:b/>
                <w:kern w:val="0"/>
                <w:sz w:val="18"/>
                <w:szCs w:val="18"/>
              </w:rPr>
              <w:t>环保措施（含处理规模）及排放去向情况</w:t>
            </w:r>
          </w:p>
        </w:tc>
        <w:tc>
          <w:tcPr>
            <w:tcW w:w="671" w:type="pct"/>
            <w:vAlign w:val="center"/>
          </w:tcPr>
          <w:p w14:paraId="47E11377">
            <w:pPr>
              <w:autoSpaceDE w:val="0"/>
              <w:autoSpaceDN w:val="0"/>
              <w:snapToGrid w:val="0"/>
              <w:spacing w:line="240" w:lineRule="auto"/>
              <w:ind w:firstLine="0" w:firstLineChars="0"/>
              <w:jc w:val="center"/>
              <w:rPr>
                <w:rFonts w:cs="Times New Roman"/>
                <w:b/>
                <w:kern w:val="0"/>
                <w:sz w:val="18"/>
                <w:szCs w:val="18"/>
              </w:rPr>
            </w:pPr>
            <w:r>
              <w:rPr>
                <w:rFonts w:cs="Times New Roman"/>
                <w:b/>
                <w:kern w:val="0"/>
                <w:sz w:val="18"/>
                <w:szCs w:val="18"/>
              </w:rPr>
              <w:t>在线监测设备安装情况</w:t>
            </w:r>
          </w:p>
        </w:tc>
      </w:tr>
      <w:tr w14:paraId="6656CF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restart"/>
            <w:vAlign w:val="center"/>
          </w:tcPr>
          <w:p w14:paraId="5D6D669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w:t>
            </w:r>
          </w:p>
        </w:tc>
        <w:tc>
          <w:tcPr>
            <w:tcW w:w="231" w:type="pct"/>
            <w:vMerge w:val="restart"/>
            <w:vAlign w:val="center"/>
          </w:tcPr>
          <w:p w14:paraId="5B7F0B6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衡阳市鸿志化工有限公司</w:t>
            </w:r>
          </w:p>
        </w:tc>
        <w:tc>
          <w:tcPr>
            <w:tcW w:w="199" w:type="pct"/>
            <w:vAlign w:val="center"/>
          </w:tcPr>
          <w:p w14:paraId="7831F19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34D4C11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pH、SS、COD、氨氮</w:t>
            </w:r>
          </w:p>
        </w:tc>
        <w:tc>
          <w:tcPr>
            <w:tcW w:w="417" w:type="pct"/>
            <w:vAlign w:val="center"/>
          </w:tcPr>
          <w:p w14:paraId="27A8A22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4164 m</w:t>
            </w:r>
            <w:r>
              <w:rPr>
                <w:rFonts w:cs="Times New Roman"/>
                <w:bCs/>
                <w:kern w:val="0"/>
                <w:position w:val="8"/>
                <w:sz w:val="18"/>
                <w:szCs w:val="18"/>
              </w:rPr>
              <w:t>3</w:t>
            </w:r>
            <w:r>
              <w:rPr>
                <w:rFonts w:cs="Times New Roman"/>
                <w:bCs/>
                <w:kern w:val="0"/>
                <w:sz w:val="18"/>
                <w:szCs w:val="18"/>
              </w:rPr>
              <w:t>/a</w:t>
            </w:r>
          </w:p>
        </w:tc>
        <w:tc>
          <w:tcPr>
            <w:tcW w:w="2893" w:type="pct"/>
            <w:vAlign w:val="center"/>
          </w:tcPr>
          <w:p w14:paraId="3553F3D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地面冲洗水、初期雨水经过污水管道送建滔化工中水循环处理站进行处理后再进入松木污水处理厂；</w:t>
            </w:r>
          </w:p>
          <w:p w14:paraId="35A1844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生活污水经化粪池预处理后排入建滔化工中水循环处理站处理再进入松木污水处理厂。</w:t>
            </w:r>
          </w:p>
        </w:tc>
        <w:tc>
          <w:tcPr>
            <w:tcW w:w="671" w:type="pct"/>
            <w:vMerge w:val="restart"/>
            <w:vAlign w:val="center"/>
          </w:tcPr>
          <w:p w14:paraId="61D2ED5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（1）氯气安装在线监测，并接入园区平台；</w:t>
            </w:r>
          </w:p>
          <w:p w14:paraId="6438032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（2）后期雨水排放监控池、巴歇尔槽及流量计、视频监控、pH在线监测仪及监控站房。</w:t>
            </w:r>
          </w:p>
        </w:tc>
      </w:tr>
      <w:tr w14:paraId="31E838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498E12A5">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00DF047">
            <w:pPr>
              <w:widowControl/>
              <w:snapToGrid w:val="0"/>
              <w:spacing w:line="240" w:lineRule="auto"/>
              <w:ind w:firstLine="0" w:firstLineChars="0"/>
              <w:jc w:val="center"/>
              <w:rPr>
                <w:rFonts w:cs="Times New Roman"/>
                <w:bCs/>
                <w:kern w:val="0"/>
                <w:sz w:val="18"/>
                <w:szCs w:val="18"/>
              </w:rPr>
            </w:pPr>
          </w:p>
        </w:tc>
        <w:tc>
          <w:tcPr>
            <w:tcW w:w="199" w:type="pct"/>
            <w:vAlign w:val="center"/>
          </w:tcPr>
          <w:p w14:paraId="3D55E2E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0E12804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粉尘、氯气</w:t>
            </w:r>
          </w:p>
        </w:tc>
        <w:tc>
          <w:tcPr>
            <w:tcW w:w="417" w:type="pct"/>
            <w:vAlign w:val="center"/>
          </w:tcPr>
          <w:p w14:paraId="621FAFB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8000 m</w:t>
            </w:r>
            <w:r>
              <w:rPr>
                <w:rFonts w:cs="Times New Roman"/>
                <w:bCs/>
                <w:kern w:val="0"/>
                <w:position w:val="8"/>
                <w:sz w:val="18"/>
                <w:szCs w:val="18"/>
              </w:rPr>
              <w:t>3</w:t>
            </w:r>
            <w:r>
              <w:rPr>
                <w:rFonts w:cs="Times New Roman"/>
                <w:bCs/>
                <w:kern w:val="0"/>
                <w:sz w:val="18"/>
                <w:szCs w:val="18"/>
              </w:rPr>
              <w:t>/h</w:t>
            </w:r>
          </w:p>
        </w:tc>
        <w:tc>
          <w:tcPr>
            <w:tcW w:w="2893" w:type="pct"/>
            <w:vAlign w:val="center"/>
          </w:tcPr>
          <w:p w14:paraId="148545F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回转窑以及次氯酸钠反应罐未参加反应的氯气和粉尘采用二级碱洗塔进行吸收，处理后经</w:t>
            </w:r>
          </w:p>
          <w:p w14:paraId="5D829C5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25m排气筒进行排放；油烟废气经净化处理后通过专用排气筒排放。</w:t>
            </w:r>
          </w:p>
        </w:tc>
        <w:tc>
          <w:tcPr>
            <w:tcW w:w="671" w:type="pct"/>
            <w:vMerge w:val="continue"/>
            <w:vAlign w:val="center"/>
          </w:tcPr>
          <w:p w14:paraId="1F9AA170">
            <w:pPr>
              <w:widowControl/>
              <w:snapToGrid w:val="0"/>
              <w:spacing w:line="240" w:lineRule="auto"/>
              <w:ind w:firstLine="0" w:firstLineChars="0"/>
              <w:jc w:val="center"/>
              <w:rPr>
                <w:rFonts w:cs="Times New Roman"/>
                <w:bCs/>
                <w:kern w:val="0"/>
                <w:sz w:val="18"/>
                <w:szCs w:val="18"/>
              </w:rPr>
            </w:pPr>
          </w:p>
        </w:tc>
      </w:tr>
      <w:tr w14:paraId="2B7AF3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58B6D868">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3AE2183">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6641EB3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2CB0850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515520E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125t/a</w:t>
            </w:r>
          </w:p>
        </w:tc>
        <w:tc>
          <w:tcPr>
            <w:tcW w:w="2893" w:type="pct"/>
            <w:vMerge w:val="restart"/>
            <w:vAlign w:val="center"/>
          </w:tcPr>
          <w:p w14:paraId="2CD188C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废漂白粉包装袋交由资质单位进行处理；</w:t>
            </w:r>
          </w:p>
          <w:p w14:paraId="15ADC79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生活垃圾交由环卫部门进行处理。</w:t>
            </w:r>
          </w:p>
        </w:tc>
        <w:tc>
          <w:tcPr>
            <w:tcW w:w="671" w:type="pct"/>
            <w:vMerge w:val="continue"/>
            <w:vAlign w:val="center"/>
          </w:tcPr>
          <w:p w14:paraId="2D5DDF04">
            <w:pPr>
              <w:widowControl/>
              <w:snapToGrid w:val="0"/>
              <w:spacing w:line="240" w:lineRule="auto"/>
              <w:ind w:firstLine="0" w:firstLineChars="0"/>
              <w:jc w:val="center"/>
              <w:rPr>
                <w:rFonts w:cs="Times New Roman"/>
                <w:bCs/>
                <w:kern w:val="0"/>
                <w:sz w:val="18"/>
                <w:szCs w:val="18"/>
              </w:rPr>
            </w:pPr>
          </w:p>
        </w:tc>
      </w:tr>
      <w:tr w14:paraId="5C638F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6EE92138">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EAD6B1A">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0B1681C3">
            <w:pPr>
              <w:widowControl/>
              <w:snapToGrid w:val="0"/>
              <w:spacing w:line="240" w:lineRule="auto"/>
              <w:ind w:firstLine="0" w:firstLineChars="0"/>
              <w:jc w:val="center"/>
              <w:rPr>
                <w:rFonts w:cs="Times New Roman"/>
                <w:bCs/>
                <w:kern w:val="0"/>
                <w:sz w:val="18"/>
                <w:szCs w:val="18"/>
              </w:rPr>
            </w:pPr>
          </w:p>
        </w:tc>
        <w:tc>
          <w:tcPr>
            <w:tcW w:w="485" w:type="pct"/>
            <w:vAlign w:val="center"/>
          </w:tcPr>
          <w:p w14:paraId="2F2E95F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0484BC5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2t/a</w:t>
            </w:r>
          </w:p>
        </w:tc>
        <w:tc>
          <w:tcPr>
            <w:tcW w:w="2893" w:type="pct"/>
            <w:vMerge w:val="continue"/>
            <w:vAlign w:val="center"/>
          </w:tcPr>
          <w:p w14:paraId="6EEA564F">
            <w:pPr>
              <w:autoSpaceDE w:val="0"/>
              <w:autoSpaceDN w:val="0"/>
              <w:snapToGrid w:val="0"/>
              <w:spacing w:line="240" w:lineRule="auto"/>
              <w:ind w:firstLine="0" w:firstLineChars="0"/>
              <w:jc w:val="center"/>
              <w:rPr>
                <w:rFonts w:cs="Times New Roman"/>
                <w:bCs/>
                <w:kern w:val="0"/>
                <w:sz w:val="18"/>
                <w:szCs w:val="18"/>
              </w:rPr>
            </w:pPr>
          </w:p>
        </w:tc>
        <w:tc>
          <w:tcPr>
            <w:tcW w:w="671" w:type="pct"/>
            <w:vMerge w:val="continue"/>
            <w:vAlign w:val="center"/>
          </w:tcPr>
          <w:p w14:paraId="6639BD84">
            <w:pPr>
              <w:autoSpaceDE w:val="0"/>
              <w:autoSpaceDN w:val="0"/>
              <w:snapToGrid w:val="0"/>
              <w:spacing w:line="240" w:lineRule="auto"/>
              <w:ind w:firstLine="0" w:firstLineChars="0"/>
              <w:jc w:val="center"/>
              <w:rPr>
                <w:rFonts w:cs="Times New Roman"/>
                <w:bCs/>
                <w:kern w:val="0"/>
                <w:sz w:val="18"/>
                <w:szCs w:val="18"/>
              </w:rPr>
            </w:pPr>
          </w:p>
        </w:tc>
      </w:tr>
      <w:tr w14:paraId="1B84DE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restart"/>
            <w:vAlign w:val="center"/>
          </w:tcPr>
          <w:p w14:paraId="6A720CD9">
            <w:pPr>
              <w:widowControl/>
              <w:tabs>
                <w:tab w:val="left" w:pos="0"/>
              </w:tabs>
              <w:snapToGrid w:val="0"/>
              <w:spacing w:line="240" w:lineRule="auto"/>
              <w:ind w:firstLine="0" w:firstLineChars="0"/>
              <w:jc w:val="center"/>
              <w:rPr>
                <w:rFonts w:cs="Times New Roman"/>
                <w:bCs/>
                <w:kern w:val="0"/>
                <w:sz w:val="18"/>
                <w:szCs w:val="18"/>
              </w:rPr>
            </w:pPr>
            <w:r>
              <w:rPr>
                <w:rFonts w:cs="Times New Roman"/>
                <w:bCs/>
                <w:kern w:val="0"/>
                <w:sz w:val="18"/>
                <w:szCs w:val="18"/>
              </w:rPr>
              <w:t>2</w:t>
            </w:r>
          </w:p>
        </w:tc>
        <w:tc>
          <w:tcPr>
            <w:tcW w:w="231" w:type="pct"/>
            <w:vMerge w:val="restart"/>
            <w:vAlign w:val="center"/>
          </w:tcPr>
          <w:p w14:paraId="05EDBE8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衡阳鸿宇化工有限责任公司</w:t>
            </w:r>
          </w:p>
        </w:tc>
        <w:tc>
          <w:tcPr>
            <w:tcW w:w="199" w:type="pct"/>
            <w:vAlign w:val="center"/>
          </w:tcPr>
          <w:p w14:paraId="6E7291D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4DCFF487">
            <w:pPr>
              <w:snapToGrid w:val="0"/>
              <w:spacing w:line="240" w:lineRule="auto"/>
              <w:ind w:firstLine="0" w:firstLineChars="0"/>
              <w:jc w:val="center"/>
              <w:rPr>
                <w:rFonts w:cs="Times New Roman"/>
                <w:bCs/>
                <w:kern w:val="0"/>
                <w:sz w:val="18"/>
                <w:szCs w:val="18"/>
              </w:rPr>
            </w:pPr>
            <w:r>
              <w:rPr>
                <w:rFonts w:cs="Times New Roman"/>
                <w:bCs/>
                <w:kern w:val="0"/>
                <w:sz w:val="18"/>
                <w:szCs w:val="18"/>
              </w:rPr>
              <w:t>pH</w:t>
            </w:r>
            <w:r>
              <w:rPr>
                <w:rFonts w:cs="Times New Roman"/>
                <w:bCs/>
                <w:spacing w:val="-62"/>
                <w:kern w:val="0"/>
                <w:sz w:val="18"/>
                <w:szCs w:val="18"/>
              </w:rPr>
              <w:t>、</w:t>
            </w:r>
            <w:r>
              <w:rPr>
                <w:rFonts w:cs="Times New Roman"/>
                <w:bCs/>
                <w:kern w:val="0"/>
                <w:sz w:val="18"/>
                <w:szCs w:val="18"/>
              </w:rPr>
              <w:t>SS</w:t>
            </w:r>
            <w:r>
              <w:rPr>
                <w:rFonts w:cs="Times New Roman"/>
                <w:bCs/>
                <w:spacing w:val="-62"/>
                <w:kern w:val="0"/>
                <w:sz w:val="18"/>
                <w:szCs w:val="18"/>
              </w:rPr>
              <w:t>、</w:t>
            </w:r>
            <w:r>
              <w:rPr>
                <w:rFonts w:cs="Times New Roman"/>
                <w:bCs/>
                <w:kern w:val="0"/>
                <w:sz w:val="18"/>
                <w:szCs w:val="18"/>
              </w:rPr>
              <w:t>ClO</w:t>
            </w:r>
            <w:r>
              <w:rPr>
                <w:rFonts w:cs="Times New Roman"/>
                <w:bCs/>
                <w:kern w:val="0"/>
                <w:position w:val="8"/>
                <w:sz w:val="18"/>
                <w:szCs w:val="18"/>
              </w:rPr>
              <w:t>-</w:t>
            </w:r>
            <w:r>
              <w:rPr>
                <w:rFonts w:cs="Times New Roman"/>
                <w:bCs/>
                <w:spacing w:val="-62"/>
                <w:kern w:val="0"/>
                <w:sz w:val="18"/>
                <w:szCs w:val="18"/>
              </w:rPr>
              <w:t>、</w:t>
            </w:r>
            <w:r>
              <w:rPr>
                <w:rFonts w:cs="Times New Roman"/>
                <w:bCs/>
                <w:kern w:val="0"/>
                <w:sz w:val="18"/>
                <w:szCs w:val="18"/>
              </w:rPr>
              <w:t>Al</w:t>
            </w:r>
            <w:r>
              <w:rPr>
                <w:rFonts w:cs="Times New Roman"/>
                <w:bCs/>
                <w:kern w:val="0"/>
                <w:position w:val="8"/>
                <w:sz w:val="18"/>
                <w:szCs w:val="18"/>
                <w:vertAlign w:val="superscript"/>
              </w:rPr>
              <w:t>3+</w:t>
            </w:r>
            <w:r>
              <w:rPr>
                <w:rFonts w:cs="Times New Roman"/>
                <w:bCs/>
                <w:kern w:val="0"/>
                <w:sz w:val="18"/>
                <w:szCs w:val="18"/>
              </w:rPr>
              <w:t>、Cl</w:t>
            </w:r>
            <w:r>
              <w:rPr>
                <w:rFonts w:cs="Times New Roman"/>
                <w:bCs/>
                <w:kern w:val="0"/>
                <w:position w:val="8"/>
                <w:sz w:val="18"/>
                <w:szCs w:val="18"/>
              </w:rPr>
              <w:t>-</w:t>
            </w:r>
            <w:r>
              <w:rPr>
                <w:rFonts w:cs="Times New Roman"/>
                <w:bCs/>
                <w:kern w:val="0"/>
                <w:sz w:val="18"/>
                <w:szCs w:val="18"/>
              </w:rPr>
              <w:t>、COD、氨氮</w:t>
            </w:r>
          </w:p>
        </w:tc>
        <w:tc>
          <w:tcPr>
            <w:tcW w:w="417" w:type="pct"/>
            <w:vAlign w:val="center"/>
          </w:tcPr>
          <w:p w14:paraId="460EA8D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5252t/a</w:t>
            </w:r>
          </w:p>
        </w:tc>
        <w:tc>
          <w:tcPr>
            <w:tcW w:w="2893" w:type="pct"/>
            <w:vAlign w:val="center"/>
          </w:tcPr>
          <w:p w14:paraId="5BF8226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碱洗塔洗涤水经调 pH-沉淀-澄清处理后循环利用，不外排；</w:t>
            </w:r>
          </w:p>
          <w:p w14:paraId="227B858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地坪清洁水及初期雨水经厂区污水处理站内用液碱调pH-沉淀-澄清处理后用于配置碱洗塔洗涤水，多余的废水送建滔化工中水循环处理站处理后再进入松木污水处理厂；</w:t>
            </w:r>
          </w:p>
          <w:p w14:paraId="4A99748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生活污水经厂区化粪池预处理后，送建滔化工中水循环处理站处理后再进入松木污水处理厂。</w:t>
            </w:r>
          </w:p>
        </w:tc>
        <w:tc>
          <w:tcPr>
            <w:tcW w:w="671" w:type="pct"/>
            <w:vMerge w:val="restart"/>
            <w:vAlign w:val="center"/>
          </w:tcPr>
          <w:p w14:paraId="36F6E00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（1）氯气安装在线监测，并接入园区平台；</w:t>
            </w:r>
          </w:p>
          <w:p w14:paraId="5F2B091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（2）后期雨水排放监控池、巴歇尔槽及流量计、视频监控、pH在线监测仪及监控站房。</w:t>
            </w:r>
          </w:p>
        </w:tc>
      </w:tr>
      <w:tr w14:paraId="0BF867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4C1C3835">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172D487">
            <w:pPr>
              <w:widowControl/>
              <w:snapToGrid w:val="0"/>
              <w:spacing w:line="240" w:lineRule="auto"/>
              <w:ind w:firstLine="0" w:firstLineChars="0"/>
              <w:jc w:val="center"/>
              <w:rPr>
                <w:rFonts w:cs="Times New Roman"/>
                <w:bCs/>
                <w:kern w:val="0"/>
                <w:sz w:val="18"/>
                <w:szCs w:val="18"/>
              </w:rPr>
            </w:pPr>
          </w:p>
        </w:tc>
        <w:tc>
          <w:tcPr>
            <w:tcW w:w="199" w:type="pct"/>
            <w:vAlign w:val="center"/>
          </w:tcPr>
          <w:p w14:paraId="14473B6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1DC99F9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氯气</w:t>
            </w:r>
          </w:p>
        </w:tc>
        <w:tc>
          <w:tcPr>
            <w:tcW w:w="417" w:type="pct"/>
            <w:vAlign w:val="center"/>
          </w:tcPr>
          <w:p w14:paraId="7E20284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45.7t/a</w:t>
            </w:r>
          </w:p>
        </w:tc>
        <w:tc>
          <w:tcPr>
            <w:tcW w:w="2893" w:type="pct"/>
            <w:vAlign w:val="center"/>
          </w:tcPr>
          <w:p w14:paraId="7BE3FB2D">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氯气（未参加反应部分）由尾气处理系统中的尾气风机抽出，汇集到尾气总管，进入循环碱液喷淋的二级碱洗塔去夹带的三氯化铝等固体颗粒和氯气后，再由尾气风机抽出通过25m高的烟囱外排</w:t>
            </w:r>
          </w:p>
        </w:tc>
        <w:tc>
          <w:tcPr>
            <w:tcW w:w="671" w:type="pct"/>
            <w:vMerge w:val="continue"/>
            <w:vAlign w:val="center"/>
          </w:tcPr>
          <w:p w14:paraId="7758BD52">
            <w:pPr>
              <w:widowControl/>
              <w:snapToGrid w:val="0"/>
              <w:spacing w:line="240" w:lineRule="auto"/>
              <w:ind w:firstLine="0" w:firstLineChars="0"/>
              <w:jc w:val="center"/>
              <w:rPr>
                <w:rFonts w:cs="Times New Roman"/>
                <w:bCs/>
                <w:kern w:val="0"/>
                <w:sz w:val="18"/>
                <w:szCs w:val="18"/>
              </w:rPr>
            </w:pPr>
          </w:p>
        </w:tc>
      </w:tr>
      <w:tr w14:paraId="0668CE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782B178D">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58DC81D">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4EC0BB1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79F0D21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35104D7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308.8t/a</w:t>
            </w:r>
          </w:p>
        </w:tc>
        <w:tc>
          <w:tcPr>
            <w:tcW w:w="2893" w:type="pct"/>
            <w:vAlign w:val="center"/>
          </w:tcPr>
          <w:p w14:paraId="2979B37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氧化铝渣、碱洗塔洗涤水沉淀渣外售综合利用；</w:t>
            </w:r>
          </w:p>
          <w:p w14:paraId="159D026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生活垃圾交由环卫部门进行处理</w:t>
            </w:r>
          </w:p>
        </w:tc>
        <w:tc>
          <w:tcPr>
            <w:tcW w:w="671" w:type="pct"/>
            <w:vMerge w:val="continue"/>
            <w:vAlign w:val="center"/>
          </w:tcPr>
          <w:p w14:paraId="783D65FF">
            <w:pPr>
              <w:widowControl/>
              <w:snapToGrid w:val="0"/>
              <w:spacing w:line="240" w:lineRule="auto"/>
              <w:ind w:firstLine="0" w:firstLineChars="0"/>
              <w:jc w:val="center"/>
              <w:rPr>
                <w:rFonts w:cs="Times New Roman"/>
                <w:bCs/>
                <w:kern w:val="0"/>
                <w:sz w:val="18"/>
                <w:szCs w:val="18"/>
              </w:rPr>
            </w:pPr>
          </w:p>
        </w:tc>
      </w:tr>
      <w:tr w14:paraId="15058D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0105740A">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2C8E53B">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7FF73BD5">
            <w:pPr>
              <w:widowControl/>
              <w:snapToGrid w:val="0"/>
              <w:spacing w:line="240" w:lineRule="auto"/>
              <w:ind w:firstLine="0" w:firstLineChars="0"/>
              <w:jc w:val="center"/>
              <w:rPr>
                <w:rFonts w:cs="Times New Roman"/>
                <w:bCs/>
                <w:kern w:val="0"/>
                <w:sz w:val="18"/>
                <w:szCs w:val="18"/>
              </w:rPr>
            </w:pPr>
          </w:p>
        </w:tc>
        <w:tc>
          <w:tcPr>
            <w:tcW w:w="485" w:type="pct"/>
            <w:vAlign w:val="center"/>
          </w:tcPr>
          <w:p w14:paraId="26D638D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16451C5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20t/a</w:t>
            </w:r>
          </w:p>
        </w:tc>
        <w:tc>
          <w:tcPr>
            <w:tcW w:w="2893" w:type="pct"/>
            <w:vAlign w:val="center"/>
          </w:tcPr>
          <w:p w14:paraId="02DD791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废碱液、无水三氯化铝包装袋收集后交由有资质单位处置</w:t>
            </w:r>
          </w:p>
        </w:tc>
        <w:tc>
          <w:tcPr>
            <w:tcW w:w="671" w:type="pct"/>
            <w:vMerge w:val="continue"/>
            <w:vAlign w:val="center"/>
          </w:tcPr>
          <w:p w14:paraId="423645E2">
            <w:pPr>
              <w:widowControl/>
              <w:snapToGrid w:val="0"/>
              <w:spacing w:line="240" w:lineRule="auto"/>
              <w:ind w:firstLine="0" w:firstLineChars="0"/>
              <w:jc w:val="center"/>
              <w:rPr>
                <w:rFonts w:cs="Times New Roman"/>
                <w:bCs/>
                <w:kern w:val="0"/>
                <w:sz w:val="18"/>
                <w:szCs w:val="18"/>
              </w:rPr>
            </w:pPr>
          </w:p>
        </w:tc>
      </w:tr>
      <w:tr w14:paraId="5EDB7A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restart"/>
            <w:vAlign w:val="center"/>
          </w:tcPr>
          <w:p w14:paraId="34E7168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w:t>
            </w:r>
          </w:p>
        </w:tc>
        <w:tc>
          <w:tcPr>
            <w:tcW w:w="231" w:type="pct"/>
            <w:vMerge w:val="restart"/>
            <w:vAlign w:val="center"/>
          </w:tcPr>
          <w:p w14:paraId="05953F0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衡阳市骏杰化工有限公司</w:t>
            </w:r>
          </w:p>
        </w:tc>
        <w:tc>
          <w:tcPr>
            <w:tcW w:w="199" w:type="pct"/>
            <w:vAlign w:val="center"/>
          </w:tcPr>
          <w:p w14:paraId="530FA1C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726A783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COD、SS、氨氮、pH 等</w:t>
            </w:r>
          </w:p>
        </w:tc>
        <w:tc>
          <w:tcPr>
            <w:tcW w:w="417" w:type="pct"/>
            <w:vAlign w:val="center"/>
          </w:tcPr>
          <w:p w14:paraId="08812D9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5948069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无生产工艺废水产生，反应釜冷却水经余热利用后循环使用不外排；</w:t>
            </w:r>
          </w:p>
          <w:p w14:paraId="054EF86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经化粪池预处理后的生活污水进入松木污水处理厂；地面冲洗水和初期雨水经隔油沉淀处理后回用。</w:t>
            </w:r>
          </w:p>
        </w:tc>
        <w:tc>
          <w:tcPr>
            <w:tcW w:w="671" w:type="pct"/>
            <w:vMerge w:val="restart"/>
            <w:vAlign w:val="center"/>
          </w:tcPr>
          <w:p w14:paraId="1571D4D5">
            <w:pPr>
              <w:widowControl/>
              <w:snapToGrid w:val="0"/>
              <w:spacing w:line="240" w:lineRule="atLeast"/>
              <w:ind w:firstLine="0" w:firstLineChars="0"/>
              <w:jc w:val="center"/>
              <w:rPr>
                <w:rFonts w:cs="Times New Roman"/>
                <w:kern w:val="0"/>
                <w:sz w:val="18"/>
                <w:szCs w:val="18"/>
              </w:rPr>
            </w:pPr>
            <w:r>
              <w:rPr>
                <w:rFonts w:cs="Times New Roman"/>
                <w:kern w:val="0"/>
                <w:sz w:val="18"/>
                <w:szCs w:val="18"/>
              </w:rPr>
              <w:t>（1）后期雨水排放监控池、巴歇尔槽及流量计、视频监控、pH及COD在线监测仪及监控站房。</w:t>
            </w:r>
          </w:p>
          <w:p w14:paraId="2B28ADC7">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（2）涉氯化氢尾气处理设施在线监测并接入园区监管平台；</w:t>
            </w:r>
          </w:p>
        </w:tc>
      </w:tr>
      <w:tr w14:paraId="230D45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4739C05B">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5F46714">
            <w:pPr>
              <w:widowControl/>
              <w:snapToGrid w:val="0"/>
              <w:spacing w:line="240" w:lineRule="auto"/>
              <w:ind w:firstLine="0" w:firstLineChars="0"/>
              <w:jc w:val="center"/>
              <w:rPr>
                <w:rFonts w:cs="Times New Roman"/>
                <w:bCs/>
                <w:kern w:val="0"/>
                <w:sz w:val="18"/>
                <w:szCs w:val="18"/>
              </w:rPr>
            </w:pPr>
          </w:p>
        </w:tc>
        <w:tc>
          <w:tcPr>
            <w:tcW w:w="199" w:type="pct"/>
            <w:vAlign w:val="center"/>
          </w:tcPr>
          <w:p w14:paraId="49CD559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6F59B00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氯气、氯化氢</w:t>
            </w:r>
          </w:p>
        </w:tc>
        <w:tc>
          <w:tcPr>
            <w:tcW w:w="417" w:type="pct"/>
            <w:vAlign w:val="center"/>
          </w:tcPr>
          <w:p w14:paraId="34221CA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11200m</w:t>
            </w:r>
            <w:r>
              <w:rPr>
                <w:rFonts w:cs="Times New Roman"/>
                <w:bCs/>
                <w:kern w:val="0"/>
                <w:position w:val="8"/>
                <w:sz w:val="18"/>
                <w:szCs w:val="18"/>
              </w:rPr>
              <w:t>3</w:t>
            </w:r>
            <w:r>
              <w:rPr>
                <w:rFonts w:cs="Times New Roman"/>
                <w:bCs/>
                <w:kern w:val="0"/>
                <w:sz w:val="18"/>
                <w:szCs w:val="18"/>
              </w:rPr>
              <w:t>/h</w:t>
            </w:r>
          </w:p>
        </w:tc>
        <w:tc>
          <w:tcPr>
            <w:tcW w:w="2893" w:type="pct"/>
            <w:vAlign w:val="center"/>
          </w:tcPr>
          <w:p w14:paraId="3C060DF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尾气进行喷淋+降膜+尾气吸收塔三级处理后经 25m 排气筒排放</w:t>
            </w:r>
          </w:p>
        </w:tc>
        <w:tc>
          <w:tcPr>
            <w:tcW w:w="671" w:type="pct"/>
            <w:vMerge w:val="continue"/>
            <w:vAlign w:val="center"/>
          </w:tcPr>
          <w:p w14:paraId="57AFE4BB">
            <w:pPr>
              <w:widowControl/>
              <w:snapToGrid w:val="0"/>
              <w:spacing w:line="240" w:lineRule="auto"/>
              <w:ind w:firstLine="0" w:firstLineChars="0"/>
              <w:jc w:val="center"/>
              <w:rPr>
                <w:rFonts w:cs="Times New Roman"/>
                <w:bCs/>
                <w:kern w:val="0"/>
                <w:sz w:val="18"/>
                <w:szCs w:val="18"/>
              </w:rPr>
            </w:pPr>
          </w:p>
        </w:tc>
      </w:tr>
      <w:tr w14:paraId="6BCB04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30A2662F">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691B733">
            <w:pPr>
              <w:widowControl/>
              <w:snapToGrid w:val="0"/>
              <w:spacing w:line="240" w:lineRule="auto"/>
              <w:ind w:firstLine="0" w:firstLineChars="0"/>
              <w:jc w:val="center"/>
              <w:rPr>
                <w:rFonts w:cs="Times New Roman"/>
                <w:bCs/>
                <w:kern w:val="0"/>
                <w:sz w:val="18"/>
                <w:szCs w:val="18"/>
              </w:rPr>
            </w:pPr>
          </w:p>
        </w:tc>
        <w:tc>
          <w:tcPr>
            <w:tcW w:w="199" w:type="pct"/>
            <w:vAlign w:val="center"/>
          </w:tcPr>
          <w:p w14:paraId="777524A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010B852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01F0D5A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30t/a</w:t>
            </w:r>
          </w:p>
        </w:tc>
        <w:tc>
          <w:tcPr>
            <w:tcW w:w="2893" w:type="pct"/>
            <w:vAlign w:val="center"/>
          </w:tcPr>
          <w:p w14:paraId="3EAF5B6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生活垃圾交由环卫部门进行处理</w:t>
            </w:r>
          </w:p>
        </w:tc>
        <w:tc>
          <w:tcPr>
            <w:tcW w:w="671" w:type="pct"/>
            <w:vMerge w:val="continue"/>
            <w:vAlign w:val="center"/>
          </w:tcPr>
          <w:p w14:paraId="15EB6114">
            <w:pPr>
              <w:widowControl/>
              <w:snapToGrid w:val="0"/>
              <w:spacing w:line="240" w:lineRule="auto"/>
              <w:ind w:firstLine="0" w:firstLineChars="0"/>
              <w:jc w:val="center"/>
              <w:rPr>
                <w:rFonts w:cs="Times New Roman"/>
                <w:bCs/>
                <w:kern w:val="0"/>
                <w:sz w:val="18"/>
                <w:szCs w:val="18"/>
              </w:rPr>
            </w:pPr>
          </w:p>
        </w:tc>
      </w:tr>
      <w:tr w14:paraId="1E4C56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9" w:hRule="atLeast"/>
        </w:trPr>
        <w:tc>
          <w:tcPr>
            <w:tcW w:w="100" w:type="pct"/>
            <w:vMerge w:val="restart"/>
            <w:vAlign w:val="center"/>
          </w:tcPr>
          <w:p w14:paraId="52266A9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w:t>
            </w:r>
          </w:p>
        </w:tc>
        <w:tc>
          <w:tcPr>
            <w:tcW w:w="231" w:type="pct"/>
            <w:vMerge w:val="restart"/>
            <w:vAlign w:val="center"/>
          </w:tcPr>
          <w:p w14:paraId="413CFB8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衡阳市建衡实业有限公司</w:t>
            </w:r>
          </w:p>
        </w:tc>
        <w:tc>
          <w:tcPr>
            <w:tcW w:w="199" w:type="pct"/>
            <w:vAlign w:val="center"/>
          </w:tcPr>
          <w:p w14:paraId="2967C6C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4BE0C56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COD、SS、氨氮</w:t>
            </w:r>
          </w:p>
        </w:tc>
        <w:tc>
          <w:tcPr>
            <w:tcW w:w="417" w:type="pct"/>
            <w:vAlign w:val="center"/>
          </w:tcPr>
          <w:p w14:paraId="3A4F95F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27420 m</w:t>
            </w:r>
            <w:r>
              <w:rPr>
                <w:rFonts w:cs="Times New Roman"/>
                <w:bCs/>
                <w:kern w:val="0"/>
                <w:position w:val="8"/>
                <w:sz w:val="18"/>
                <w:szCs w:val="18"/>
              </w:rPr>
              <w:t>3</w:t>
            </w:r>
            <w:r>
              <w:rPr>
                <w:rFonts w:cs="Times New Roman"/>
                <w:bCs/>
                <w:kern w:val="0"/>
                <w:sz w:val="18"/>
                <w:szCs w:val="18"/>
              </w:rPr>
              <w:t>/a</w:t>
            </w:r>
          </w:p>
        </w:tc>
        <w:tc>
          <w:tcPr>
            <w:tcW w:w="2893" w:type="pct"/>
            <w:vAlign w:val="center"/>
          </w:tcPr>
          <w:p w14:paraId="31D2CD31">
            <w:pPr>
              <w:widowControl/>
              <w:snapToGrid w:val="0"/>
              <w:spacing w:line="240" w:lineRule="atLeast"/>
              <w:ind w:firstLine="0" w:firstLineChars="0"/>
              <w:jc w:val="center"/>
              <w:rPr>
                <w:rFonts w:cs="Times New Roman"/>
                <w:kern w:val="0"/>
                <w:sz w:val="18"/>
                <w:szCs w:val="18"/>
              </w:rPr>
            </w:pPr>
            <w:r>
              <w:rPr>
                <w:rFonts w:cs="Times New Roman"/>
                <w:kern w:val="0"/>
                <w:sz w:val="18"/>
                <w:szCs w:val="18"/>
              </w:rPr>
              <w:t>废水：冷却水、锅炉脱硫除尘废水均循环利用，不外排；地面冲洗等废水、初期雨水、热风炉脱硫除尘废水、地面冲洗水利用现有工程已建的厂区废水处理站处理后（采用“中和+混凝沉淀”处理工艺）排入松木污水处理厂。</w:t>
            </w:r>
          </w:p>
          <w:p w14:paraId="463AF09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生活污水经化粪池处理后经经开区污水管网进入松木污水处理厂进行处理；</w:t>
            </w:r>
          </w:p>
          <w:p w14:paraId="4E81BCB0">
            <w:pPr>
              <w:widowControl/>
              <w:snapToGrid w:val="0"/>
              <w:spacing w:line="240" w:lineRule="auto"/>
              <w:ind w:firstLine="0" w:firstLineChars="0"/>
              <w:jc w:val="center"/>
              <w:rPr>
                <w:rFonts w:cs="Times New Roman"/>
                <w:bCs/>
                <w:kern w:val="0"/>
                <w:sz w:val="18"/>
                <w:szCs w:val="18"/>
              </w:rPr>
            </w:pPr>
          </w:p>
        </w:tc>
        <w:tc>
          <w:tcPr>
            <w:tcW w:w="671" w:type="pct"/>
            <w:vMerge w:val="restart"/>
            <w:vAlign w:val="center"/>
          </w:tcPr>
          <w:p w14:paraId="4083C20F">
            <w:pPr>
              <w:widowControl/>
              <w:snapToGrid w:val="0"/>
              <w:spacing w:line="240" w:lineRule="atLeast"/>
              <w:ind w:firstLine="0" w:firstLineChars="0"/>
              <w:jc w:val="center"/>
              <w:rPr>
                <w:rFonts w:cs="Times New Roman"/>
                <w:kern w:val="0"/>
                <w:sz w:val="18"/>
                <w:szCs w:val="18"/>
              </w:rPr>
            </w:pPr>
            <w:r>
              <w:rPr>
                <w:rFonts w:cs="Times New Roman"/>
                <w:kern w:val="0"/>
                <w:sz w:val="18"/>
                <w:szCs w:val="18"/>
              </w:rPr>
              <w:t>（1）后期雨水排放监控池、巴歇尔槽及流量计、视频监控、pH在线监测仪及监控站房（2套）</w:t>
            </w:r>
          </w:p>
          <w:p w14:paraId="494B142A">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（2）锅炉废气、涉氯化氢尾气处理设施在线监测并接入园区监管平台；</w:t>
            </w:r>
          </w:p>
        </w:tc>
      </w:tr>
      <w:tr w14:paraId="69A47B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3CD39529">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242DE98">
            <w:pPr>
              <w:widowControl/>
              <w:snapToGrid w:val="0"/>
              <w:spacing w:line="240" w:lineRule="auto"/>
              <w:ind w:firstLine="0" w:firstLineChars="0"/>
              <w:jc w:val="center"/>
              <w:rPr>
                <w:rFonts w:cs="Times New Roman"/>
                <w:bCs/>
                <w:kern w:val="0"/>
                <w:sz w:val="18"/>
                <w:szCs w:val="18"/>
              </w:rPr>
            </w:pPr>
          </w:p>
        </w:tc>
        <w:tc>
          <w:tcPr>
            <w:tcW w:w="199" w:type="pct"/>
            <w:vAlign w:val="center"/>
          </w:tcPr>
          <w:p w14:paraId="25B4FE8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3A87E6A4">
            <w:pPr>
              <w:widowControl/>
              <w:snapToGrid w:val="0"/>
              <w:spacing w:line="240" w:lineRule="auto"/>
              <w:ind w:firstLine="0" w:firstLineChars="0"/>
              <w:jc w:val="center"/>
              <w:rPr>
                <w:rFonts w:cs="Times New Roman"/>
                <w:bCs/>
                <w:kern w:val="0"/>
                <w:sz w:val="18"/>
                <w:szCs w:val="18"/>
              </w:rPr>
            </w:pPr>
            <w:r>
              <w:rPr>
                <w:rFonts w:cs="Times New Roman"/>
                <w:bCs/>
                <w:spacing w:val="-15"/>
                <w:kern w:val="0"/>
                <w:sz w:val="18"/>
                <w:szCs w:val="18"/>
              </w:rPr>
              <w:t>硫酸雾、烟尘、二氧</w:t>
            </w:r>
            <w:r>
              <w:rPr>
                <w:rFonts w:cs="Times New Roman"/>
                <w:bCs/>
                <w:kern w:val="0"/>
                <w:sz w:val="18"/>
                <w:szCs w:val="18"/>
              </w:rPr>
              <w:t>化硫等</w:t>
            </w:r>
          </w:p>
        </w:tc>
        <w:tc>
          <w:tcPr>
            <w:tcW w:w="417" w:type="pct"/>
            <w:vAlign w:val="center"/>
          </w:tcPr>
          <w:p w14:paraId="54B4C056">
            <w:pPr>
              <w:widowControl/>
              <w:snapToGrid w:val="0"/>
              <w:spacing w:line="240" w:lineRule="auto"/>
              <w:ind w:firstLine="0" w:firstLineChars="0"/>
              <w:jc w:val="center"/>
              <w:rPr>
                <w:rFonts w:cs="Times New Roman"/>
                <w:bCs/>
                <w:kern w:val="0"/>
                <w:sz w:val="18"/>
                <w:szCs w:val="18"/>
              </w:rPr>
            </w:pPr>
          </w:p>
          <w:p w14:paraId="457EA15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3EFF7420">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锅炉废气多管陶瓷除尘器+三塔串联水膜麻石脱硫除尘+SNCR脱硝处理后排气筒排放；各类工艺粉尘根据性质不</w:t>
            </w:r>
            <w:r>
              <w:rPr>
                <w:rFonts w:hint="eastAsia" w:cs="Times New Roman"/>
                <w:kern w:val="0"/>
                <w:sz w:val="18"/>
                <w:szCs w:val="18"/>
              </w:rPr>
              <w:t>同</w:t>
            </w:r>
            <w:r>
              <w:rPr>
                <w:rFonts w:cs="Times New Roman"/>
                <w:kern w:val="0"/>
                <w:sz w:val="18"/>
                <w:szCs w:val="18"/>
              </w:rPr>
              <w:t>分别采用旋风、袋式、喷淋等除尘方式处理达标后排放；硫酸雾、盐酸雾尾气采用冷凝+水喷淋+碱液喷淋处理后达标排放</w:t>
            </w:r>
          </w:p>
        </w:tc>
        <w:tc>
          <w:tcPr>
            <w:tcW w:w="671" w:type="pct"/>
            <w:vMerge w:val="continue"/>
            <w:vAlign w:val="center"/>
          </w:tcPr>
          <w:p w14:paraId="5706D24C">
            <w:pPr>
              <w:widowControl/>
              <w:snapToGrid w:val="0"/>
              <w:spacing w:line="240" w:lineRule="auto"/>
              <w:ind w:firstLine="0" w:firstLineChars="0"/>
              <w:jc w:val="center"/>
              <w:rPr>
                <w:rFonts w:cs="Times New Roman"/>
                <w:bCs/>
                <w:kern w:val="0"/>
                <w:sz w:val="18"/>
                <w:szCs w:val="18"/>
              </w:rPr>
            </w:pPr>
          </w:p>
        </w:tc>
      </w:tr>
      <w:tr w14:paraId="6E06E8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6DE97EEF">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AACCD6B">
            <w:pPr>
              <w:widowControl/>
              <w:snapToGrid w:val="0"/>
              <w:spacing w:line="240" w:lineRule="auto"/>
              <w:ind w:firstLine="0" w:firstLineChars="0"/>
              <w:jc w:val="center"/>
              <w:rPr>
                <w:rFonts w:cs="Times New Roman"/>
                <w:bCs/>
                <w:kern w:val="0"/>
                <w:sz w:val="18"/>
                <w:szCs w:val="18"/>
              </w:rPr>
            </w:pPr>
          </w:p>
        </w:tc>
        <w:tc>
          <w:tcPr>
            <w:tcW w:w="199" w:type="pct"/>
            <w:vAlign w:val="center"/>
          </w:tcPr>
          <w:p w14:paraId="336B184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2BAD32F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21222D6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6000t/a</w:t>
            </w:r>
          </w:p>
        </w:tc>
        <w:tc>
          <w:tcPr>
            <w:tcW w:w="2893" w:type="pct"/>
            <w:vAlign w:val="center"/>
          </w:tcPr>
          <w:p w14:paraId="4B77EC3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压滤渣外售做水泥原料，生活垃圾交由环卫部门进行处理</w:t>
            </w:r>
          </w:p>
        </w:tc>
        <w:tc>
          <w:tcPr>
            <w:tcW w:w="671" w:type="pct"/>
            <w:vMerge w:val="continue"/>
            <w:vAlign w:val="center"/>
          </w:tcPr>
          <w:p w14:paraId="1C223FF9">
            <w:pPr>
              <w:widowControl/>
              <w:snapToGrid w:val="0"/>
              <w:spacing w:line="240" w:lineRule="auto"/>
              <w:ind w:firstLine="0" w:firstLineChars="0"/>
              <w:jc w:val="center"/>
              <w:rPr>
                <w:rFonts w:cs="Times New Roman"/>
                <w:bCs/>
                <w:kern w:val="0"/>
                <w:sz w:val="18"/>
                <w:szCs w:val="18"/>
              </w:rPr>
            </w:pPr>
          </w:p>
        </w:tc>
      </w:tr>
      <w:tr w14:paraId="10EA8C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restart"/>
            <w:vAlign w:val="center"/>
          </w:tcPr>
          <w:p w14:paraId="40A3705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5</w:t>
            </w:r>
          </w:p>
        </w:tc>
        <w:tc>
          <w:tcPr>
            <w:tcW w:w="231" w:type="pct"/>
            <w:vMerge w:val="restart"/>
            <w:vAlign w:val="center"/>
          </w:tcPr>
          <w:p w14:paraId="6FBA4BF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湖南捷瑞化工有限公司</w:t>
            </w:r>
          </w:p>
        </w:tc>
        <w:tc>
          <w:tcPr>
            <w:tcW w:w="199" w:type="pct"/>
            <w:vAlign w:val="center"/>
          </w:tcPr>
          <w:p w14:paraId="50DA6C6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48D70D5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甲醇、二氯苯、醋酸、对苯二酚、HCl、SS、COD、氨氮</w:t>
            </w:r>
          </w:p>
        </w:tc>
        <w:tc>
          <w:tcPr>
            <w:tcW w:w="417" w:type="pct"/>
            <w:vAlign w:val="center"/>
          </w:tcPr>
          <w:p w14:paraId="45E6F90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9190t/a</w:t>
            </w:r>
          </w:p>
        </w:tc>
        <w:tc>
          <w:tcPr>
            <w:tcW w:w="2893" w:type="pct"/>
            <w:vAlign w:val="center"/>
          </w:tcPr>
          <w:p w14:paraId="1B6C140C">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生产废水经场内预处理后进入建滔双氧水废水处理系统处理后再进入松木污水处理厂处理</w:t>
            </w:r>
            <w:r>
              <w:rPr>
                <w:rFonts w:cs="Times New Roman"/>
                <w:bCs/>
                <w:kern w:val="0"/>
                <w:sz w:val="18"/>
                <w:szCs w:val="18"/>
              </w:rPr>
              <w:t>；</w:t>
            </w:r>
          </w:p>
          <w:p w14:paraId="0810C43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生活污水经化粪池处理后排入建滔中水循环处理站处理</w:t>
            </w:r>
          </w:p>
        </w:tc>
        <w:tc>
          <w:tcPr>
            <w:tcW w:w="671" w:type="pct"/>
            <w:vMerge w:val="restart"/>
            <w:vAlign w:val="center"/>
          </w:tcPr>
          <w:p w14:paraId="5AC7CC43">
            <w:pPr>
              <w:widowControl/>
              <w:snapToGrid w:val="0"/>
              <w:spacing w:line="240" w:lineRule="atLeast"/>
              <w:ind w:firstLine="0" w:firstLineChars="0"/>
              <w:jc w:val="center"/>
              <w:rPr>
                <w:rFonts w:cs="Times New Roman"/>
                <w:kern w:val="0"/>
                <w:sz w:val="18"/>
                <w:szCs w:val="18"/>
              </w:rPr>
            </w:pPr>
            <w:r>
              <w:rPr>
                <w:rFonts w:cs="Times New Roman"/>
                <w:kern w:val="0"/>
                <w:sz w:val="18"/>
                <w:szCs w:val="18"/>
              </w:rPr>
              <w:t>（1）氯气、氯化氢、非甲烷总烃安装在线监测，并接入园区平台；</w:t>
            </w:r>
          </w:p>
          <w:p w14:paraId="0AB07D8D">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（2）后期雨水排放监控池、巴歇尔槽及流量计、视频监控、pH在线监测仪及监控站房</w:t>
            </w:r>
          </w:p>
        </w:tc>
      </w:tr>
      <w:tr w14:paraId="55BA29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22CF8FC9">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1D64202A">
            <w:pPr>
              <w:widowControl/>
              <w:snapToGrid w:val="0"/>
              <w:spacing w:line="240" w:lineRule="auto"/>
              <w:ind w:firstLine="0" w:firstLineChars="0"/>
              <w:jc w:val="center"/>
              <w:rPr>
                <w:rFonts w:cs="Times New Roman"/>
                <w:bCs/>
                <w:kern w:val="0"/>
                <w:sz w:val="18"/>
                <w:szCs w:val="18"/>
              </w:rPr>
            </w:pPr>
          </w:p>
        </w:tc>
        <w:tc>
          <w:tcPr>
            <w:tcW w:w="199" w:type="pct"/>
            <w:vAlign w:val="center"/>
          </w:tcPr>
          <w:p w14:paraId="7AE47F6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7A858BE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HCl、Cl</w:t>
            </w:r>
            <w:r>
              <w:rPr>
                <w:rFonts w:cs="Times New Roman"/>
                <w:bCs/>
                <w:kern w:val="0"/>
                <w:sz w:val="18"/>
                <w:szCs w:val="18"/>
                <w:vertAlign w:val="subscript"/>
              </w:rPr>
              <w:t>2</w:t>
            </w:r>
            <w:r>
              <w:rPr>
                <w:rFonts w:cs="Times New Roman"/>
                <w:bCs/>
                <w:kern w:val="0"/>
                <w:sz w:val="18"/>
                <w:szCs w:val="18"/>
              </w:rPr>
              <w:t>、醋酸、粉尘、油烟</w:t>
            </w:r>
          </w:p>
        </w:tc>
        <w:tc>
          <w:tcPr>
            <w:tcW w:w="417" w:type="pct"/>
            <w:vAlign w:val="center"/>
          </w:tcPr>
          <w:p w14:paraId="4DA460E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59A1D815">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四氯苯醌反应挥发尾气经二级水洗+二级碱洗；四氯苯醌包装干燥粉尘水经喷淋除尘后并入反应挥发尾气排气筒；甲醇经精馏器+2级冷凝器回收处理后并入反应挥发尾气排气筒；五氯酚钠反应挥发尾气采用冷凝+活性炭吸附+水洗+碱洗处理后排放</w:t>
            </w:r>
            <w:r>
              <w:rPr>
                <w:rFonts w:cs="Times New Roman"/>
                <w:bCs/>
                <w:kern w:val="0"/>
                <w:sz w:val="18"/>
                <w:szCs w:val="18"/>
              </w:rPr>
              <w:t>；</w:t>
            </w:r>
          </w:p>
          <w:p w14:paraId="6CDFC47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食堂油烟废气净化处理后通过专用排气筒至屋顶高空排放</w:t>
            </w:r>
          </w:p>
        </w:tc>
        <w:tc>
          <w:tcPr>
            <w:tcW w:w="671" w:type="pct"/>
            <w:vMerge w:val="continue"/>
            <w:vAlign w:val="center"/>
          </w:tcPr>
          <w:p w14:paraId="32187516">
            <w:pPr>
              <w:widowControl/>
              <w:snapToGrid w:val="0"/>
              <w:spacing w:line="240" w:lineRule="auto"/>
              <w:ind w:firstLine="0" w:firstLineChars="0"/>
              <w:jc w:val="center"/>
              <w:rPr>
                <w:rFonts w:cs="Times New Roman"/>
                <w:bCs/>
                <w:kern w:val="0"/>
                <w:sz w:val="18"/>
                <w:szCs w:val="18"/>
              </w:rPr>
            </w:pPr>
          </w:p>
        </w:tc>
      </w:tr>
      <w:tr w14:paraId="3E1695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74CC4930">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7E419B3">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3A213FB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31B4934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6F84429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6.75t/a</w:t>
            </w:r>
          </w:p>
        </w:tc>
        <w:tc>
          <w:tcPr>
            <w:tcW w:w="2893" w:type="pct"/>
            <w:vAlign w:val="center"/>
          </w:tcPr>
          <w:p w14:paraId="3C98927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生活垃圾交由环卫部门进行处理</w:t>
            </w:r>
          </w:p>
        </w:tc>
        <w:tc>
          <w:tcPr>
            <w:tcW w:w="671" w:type="pct"/>
            <w:vMerge w:val="continue"/>
            <w:vAlign w:val="center"/>
          </w:tcPr>
          <w:p w14:paraId="06B7DC3C">
            <w:pPr>
              <w:widowControl/>
              <w:snapToGrid w:val="0"/>
              <w:spacing w:line="240" w:lineRule="auto"/>
              <w:ind w:firstLine="0" w:firstLineChars="0"/>
              <w:jc w:val="center"/>
              <w:rPr>
                <w:rFonts w:cs="Times New Roman"/>
                <w:bCs/>
                <w:kern w:val="0"/>
                <w:sz w:val="18"/>
                <w:szCs w:val="18"/>
              </w:rPr>
            </w:pPr>
          </w:p>
        </w:tc>
      </w:tr>
      <w:tr w14:paraId="7D81B0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3591F01F">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0A51E32">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7B6F0D7C">
            <w:pPr>
              <w:widowControl/>
              <w:snapToGrid w:val="0"/>
              <w:spacing w:line="240" w:lineRule="auto"/>
              <w:ind w:firstLine="0" w:firstLineChars="0"/>
              <w:jc w:val="center"/>
              <w:rPr>
                <w:rFonts w:cs="Times New Roman"/>
                <w:bCs/>
                <w:kern w:val="0"/>
                <w:sz w:val="18"/>
                <w:szCs w:val="18"/>
              </w:rPr>
            </w:pPr>
          </w:p>
        </w:tc>
        <w:tc>
          <w:tcPr>
            <w:tcW w:w="485" w:type="pct"/>
            <w:vAlign w:val="center"/>
          </w:tcPr>
          <w:p w14:paraId="6853023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0C3BC63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3t/a</w:t>
            </w:r>
          </w:p>
        </w:tc>
        <w:tc>
          <w:tcPr>
            <w:tcW w:w="2893" w:type="pct"/>
            <w:vAlign w:val="center"/>
          </w:tcPr>
          <w:p w14:paraId="10BE239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废包装袋、废机油、废手套等收集后交由有资质单位处理</w:t>
            </w:r>
          </w:p>
        </w:tc>
        <w:tc>
          <w:tcPr>
            <w:tcW w:w="671" w:type="pct"/>
            <w:vMerge w:val="continue"/>
            <w:vAlign w:val="center"/>
          </w:tcPr>
          <w:p w14:paraId="72F3E487">
            <w:pPr>
              <w:widowControl/>
              <w:snapToGrid w:val="0"/>
              <w:spacing w:line="240" w:lineRule="auto"/>
              <w:ind w:firstLine="0" w:firstLineChars="0"/>
              <w:jc w:val="center"/>
              <w:rPr>
                <w:rFonts w:cs="Times New Roman"/>
                <w:bCs/>
                <w:kern w:val="0"/>
                <w:sz w:val="18"/>
                <w:szCs w:val="18"/>
              </w:rPr>
            </w:pPr>
          </w:p>
        </w:tc>
      </w:tr>
      <w:tr w14:paraId="6BABC6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restart"/>
            <w:vAlign w:val="center"/>
          </w:tcPr>
          <w:p w14:paraId="32FB46A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6</w:t>
            </w:r>
          </w:p>
        </w:tc>
        <w:tc>
          <w:tcPr>
            <w:tcW w:w="231" w:type="pct"/>
            <w:vMerge w:val="restart"/>
            <w:vAlign w:val="center"/>
          </w:tcPr>
          <w:p w14:paraId="1D23760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衡阳市盛亚化工科技有限公司</w:t>
            </w:r>
          </w:p>
        </w:tc>
        <w:tc>
          <w:tcPr>
            <w:tcW w:w="199" w:type="pct"/>
            <w:vAlign w:val="center"/>
          </w:tcPr>
          <w:p w14:paraId="654DA73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15385AB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SS、COD、BOD</w:t>
            </w:r>
            <w:r>
              <w:rPr>
                <w:rFonts w:cs="Times New Roman"/>
                <w:bCs/>
                <w:kern w:val="0"/>
                <w:sz w:val="18"/>
                <w:szCs w:val="18"/>
                <w:vertAlign w:val="subscript"/>
              </w:rPr>
              <w:t>5</w:t>
            </w:r>
          </w:p>
        </w:tc>
        <w:tc>
          <w:tcPr>
            <w:tcW w:w="417" w:type="pct"/>
            <w:vAlign w:val="center"/>
          </w:tcPr>
          <w:p w14:paraId="61718FC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1359 m</w:t>
            </w:r>
            <w:r>
              <w:rPr>
                <w:rFonts w:cs="Times New Roman"/>
                <w:bCs/>
                <w:kern w:val="0"/>
                <w:position w:val="8"/>
                <w:sz w:val="18"/>
                <w:szCs w:val="18"/>
              </w:rPr>
              <w:t>3</w:t>
            </w:r>
            <w:r>
              <w:rPr>
                <w:rFonts w:cs="Times New Roman"/>
                <w:bCs/>
                <w:kern w:val="0"/>
                <w:sz w:val="18"/>
                <w:szCs w:val="18"/>
              </w:rPr>
              <w:t>/a</w:t>
            </w:r>
          </w:p>
        </w:tc>
        <w:tc>
          <w:tcPr>
            <w:tcW w:w="2893" w:type="pct"/>
            <w:vAlign w:val="center"/>
          </w:tcPr>
          <w:p w14:paraId="32E115D2">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车间地面清洁废水和初期雨水经厂区三级沉淀池预处理后，排至建滔公司污水管网，进入建滔公司烧碱装置区污水处理站处理后再排入松木污水处理厂处理</w:t>
            </w:r>
            <w:r>
              <w:rPr>
                <w:rFonts w:cs="Times New Roman"/>
                <w:bCs/>
                <w:kern w:val="0"/>
                <w:sz w:val="18"/>
                <w:szCs w:val="18"/>
              </w:rPr>
              <w:t>；</w:t>
            </w:r>
          </w:p>
          <w:p w14:paraId="133CB65D">
            <w:pPr>
              <w:widowControl/>
              <w:snapToGrid w:val="0"/>
              <w:spacing w:line="240" w:lineRule="auto"/>
              <w:ind w:firstLine="0" w:firstLineChars="0"/>
              <w:jc w:val="center"/>
              <w:rPr>
                <w:rFonts w:cs="Times New Roman"/>
                <w:bCs/>
                <w:kern w:val="0"/>
                <w:sz w:val="18"/>
                <w:szCs w:val="18"/>
              </w:rPr>
            </w:pPr>
            <w:r>
              <w:rPr>
                <w:rFonts w:cs="Times New Roman"/>
                <w:bCs/>
                <w:spacing w:val="-5"/>
                <w:kern w:val="0"/>
                <w:sz w:val="18"/>
                <w:szCs w:val="18"/>
              </w:rPr>
              <w:t>生活污水经化粪池预处理后进入经开区污水管网，进入松木污水处理站处理。</w:t>
            </w:r>
          </w:p>
        </w:tc>
        <w:tc>
          <w:tcPr>
            <w:tcW w:w="671" w:type="pct"/>
            <w:vMerge w:val="restart"/>
            <w:vAlign w:val="center"/>
          </w:tcPr>
          <w:p w14:paraId="4A9F6107">
            <w:pPr>
              <w:widowControl/>
              <w:snapToGrid w:val="0"/>
              <w:spacing w:line="240" w:lineRule="atLeast"/>
              <w:ind w:firstLine="0" w:firstLineChars="0"/>
              <w:jc w:val="center"/>
              <w:rPr>
                <w:rFonts w:cs="Times New Roman"/>
                <w:kern w:val="0"/>
                <w:sz w:val="18"/>
                <w:szCs w:val="18"/>
              </w:rPr>
            </w:pPr>
            <w:r>
              <w:rPr>
                <w:rFonts w:cs="Times New Roman"/>
                <w:kern w:val="0"/>
                <w:sz w:val="18"/>
                <w:szCs w:val="18"/>
              </w:rPr>
              <w:t>（1）氯气、氯化氢、非甲烷总烃安装在线监测，并接入园区平台；</w:t>
            </w:r>
          </w:p>
          <w:p w14:paraId="3A034899">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（2）后期雨水排放监控池、巴歇尔槽及流量计、视频监控、pH在线监测仪及监控站</w:t>
            </w:r>
          </w:p>
        </w:tc>
      </w:tr>
      <w:tr w14:paraId="6AB94D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19F43ED3">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49FE2E0">
            <w:pPr>
              <w:widowControl/>
              <w:snapToGrid w:val="0"/>
              <w:spacing w:line="240" w:lineRule="auto"/>
              <w:ind w:firstLine="0" w:firstLineChars="0"/>
              <w:jc w:val="center"/>
              <w:rPr>
                <w:rFonts w:cs="Times New Roman"/>
                <w:bCs/>
                <w:kern w:val="0"/>
                <w:sz w:val="18"/>
                <w:szCs w:val="18"/>
              </w:rPr>
            </w:pPr>
          </w:p>
        </w:tc>
        <w:tc>
          <w:tcPr>
            <w:tcW w:w="199" w:type="pct"/>
            <w:vAlign w:val="center"/>
          </w:tcPr>
          <w:p w14:paraId="7A6B5FE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06286A4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氯化氢、氯气</w:t>
            </w:r>
          </w:p>
        </w:tc>
        <w:tc>
          <w:tcPr>
            <w:tcW w:w="417" w:type="pct"/>
            <w:vAlign w:val="center"/>
          </w:tcPr>
          <w:p w14:paraId="3B5959C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2200 m</w:t>
            </w:r>
            <w:r>
              <w:rPr>
                <w:rFonts w:cs="Times New Roman"/>
                <w:bCs/>
                <w:kern w:val="0"/>
                <w:position w:val="8"/>
                <w:sz w:val="18"/>
                <w:szCs w:val="18"/>
              </w:rPr>
              <w:t>3</w:t>
            </w:r>
            <w:r>
              <w:rPr>
                <w:rFonts w:cs="Times New Roman"/>
                <w:bCs/>
                <w:kern w:val="0"/>
                <w:sz w:val="18"/>
                <w:szCs w:val="18"/>
              </w:rPr>
              <w:t>/h</w:t>
            </w:r>
          </w:p>
        </w:tc>
        <w:tc>
          <w:tcPr>
            <w:tcW w:w="2893" w:type="pct"/>
            <w:vAlign w:val="center"/>
          </w:tcPr>
          <w:p w14:paraId="41AACC55">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氯化尾气采用两级降膜吸收+两级液体石蜡（脂肪酸甲酯）吸收+两级填料塔吸收+碱洗塔的工艺进行处理后排放；盐酸储罐大小呼吸采用稀碱液进行液封</w:t>
            </w:r>
            <w:r>
              <w:rPr>
                <w:rFonts w:cs="Times New Roman"/>
                <w:bCs/>
                <w:kern w:val="0"/>
                <w:sz w:val="18"/>
                <w:szCs w:val="18"/>
              </w:rPr>
              <w:t>；</w:t>
            </w:r>
          </w:p>
          <w:p w14:paraId="3923790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食堂油烟采用油烟净化设施处理</w:t>
            </w:r>
          </w:p>
        </w:tc>
        <w:tc>
          <w:tcPr>
            <w:tcW w:w="671" w:type="pct"/>
            <w:vMerge w:val="continue"/>
            <w:vAlign w:val="center"/>
          </w:tcPr>
          <w:p w14:paraId="59E6304F">
            <w:pPr>
              <w:widowControl/>
              <w:snapToGrid w:val="0"/>
              <w:spacing w:line="240" w:lineRule="auto"/>
              <w:ind w:firstLine="0" w:firstLineChars="0"/>
              <w:jc w:val="center"/>
              <w:rPr>
                <w:rFonts w:cs="Times New Roman"/>
                <w:bCs/>
                <w:kern w:val="0"/>
                <w:sz w:val="18"/>
                <w:szCs w:val="18"/>
              </w:rPr>
            </w:pPr>
          </w:p>
        </w:tc>
      </w:tr>
      <w:tr w14:paraId="645394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769965B5">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7B297C1">
            <w:pPr>
              <w:widowControl/>
              <w:snapToGrid w:val="0"/>
              <w:spacing w:line="240" w:lineRule="auto"/>
              <w:ind w:firstLine="0" w:firstLineChars="0"/>
              <w:jc w:val="center"/>
              <w:rPr>
                <w:rFonts w:cs="Times New Roman"/>
                <w:bCs/>
                <w:kern w:val="0"/>
                <w:sz w:val="18"/>
                <w:szCs w:val="18"/>
              </w:rPr>
            </w:pPr>
          </w:p>
        </w:tc>
        <w:tc>
          <w:tcPr>
            <w:tcW w:w="199" w:type="pct"/>
            <w:vAlign w:val="center"/>
          </w:tcPr>
          <w:p w14:paraId="21FA1A6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7AB56E5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375A1B0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9.95t/a</w:t>
            </w:r>
          </w:p>
        </w:tc>
        <w:tc>
          <w:tcPr>
            <w:tcW w:w="2893" w:type="pct"/>
            <w:vAlign w:val="center"/>
          </w:tcPr>
          <w:p w14:paraId="548B4AD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生活垃圾及含油抹布交由环卫部门进行处理；</w:t>
            </w:r>
          </w:p>
        </w:tc>
        <w:tc>
          <w:tcPr>
            <w:tcW w:w="671" w:type="pct"/>
            <w:vMerge w:val="continue"/>
            <w:vAlign w:val="center"/>
          </w:tcPr>
          <w:p w14:paraId="06555C35">
            <w:pPr>
              <w:widowControl/>
              <w:snapToGrid w:val="0"/>
              <w:spacing w:line="240" w:lineRule="auto"/>
              <w:ind w:firstLine="0" w:firstLineChars="0"/>
              <w:jc w:val="center"/>
              <w:rPr>
                <w:rFonts w:cs="Times New Roman"/>
                <w:bCs/>
                <w:kern w:val="0"/>
                <w:sz w:val="18"/>
                <w:szCs w:val="18"/>
              </w:rPr>
            </w:pPr>
          </w:p>
        </w:tc>
      </w:tr>
      <w:tr w14:paraId="4FD42D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restart"/>
            <w:vAlign w:val="center"/>
          </w:tcPr>
          <w:p w14:paraId="6DF69F9A">
            <w:pPr>
              <w:widowControl/>
              <w:snapToGrid w:val="0"/>
              <w:spacing w:line="240" w:lineRule="auto"/>
              <w:ind w:firstLine="0" w:firstLineChars="0"/>
              <w:jc w:val="center"/>
              <w:rPr>
                <w:rFonts w:cs="Times New Roman"/>
                <w:bCs/>
                <w:kern w:val="0"/>
                <w:sz w:val="18"/>
                <w:szCs w:val="18"/>
              </w:rPr>
            </w:pPr>
          </w:p>
          <w:p w14:paraId="4D83303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7</w:t>
            </w:r>
          </w:p>
        </w:tc>
        <w:tc>
          <w:tcPr>
            <w:tcW w:w="231" w:type="pct"/>
            <w:vMerge w:val="restart"/>
            <w:vAlign w:val="center"/>
          </w:tcPr>
          <w:p w14:paraId="6E7DEBCB">
            <w:pPr>
              <w:widowControl/>
              <w:snapToGrid w:val="0"/>
              <w:spacing w:line="240" w:lineRule="auto"/>
              <w:ind w:firstLine="0" w:firstLineChars="0"/>
              <w:jc w:val="center"/>
              <w:rPr>
                <w:rFonts w:cs="Times New Roman"/>
                <w:bCs/>
                <w:kern w:val="0"/>
                <w:sz w:val="18"/>
                <w:szCs w:val="18"/>
              </w:rPr>
            </w:pPr>
            <w:r>
              <w:rPr>
                <w:rFonts w:cs="Times New Roman"/>
                <w:bCs/>
                <w:spacing w:val="-5"/>
                <w:kern w:val="0"/>
                <w:sz w:val="18"/>
                <w:szCs w:val="18"/>
              </w:rPr>
              <w:t>衡阳凌云特种材料</w:t>
            </w:r>
            <w:r>
              <w:rPr>
                <w:rFonts w:cs="Times New Roman"/>
                <w:bCs/>
                <w:kern w:val="0"/>
                <w:sz w:val="18"/>
                <w:szCs w:val="18"/>
              </w:rPr>
              <w:t>有限公司</w:t>
            </w:r>
          </w:p>
        </w:tc>
        <w:tc>
          <w:tcPr>
            <w:tcW w:w="199" w:type="pct"/>
            <w:vMerge w:val="restart"/>
            <w:vAlign w:val="center"/>
          </w:tcPr>
          <w:p w14:paraId="67DF161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Merge w:val="restart"/>
            <w:vAlign w:val="center"/>
          </w:tcPr>
          <w:p w14:paraId="1D9C329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COD、SS、动植物油</w:t>
            </w:r>
          </w:p>
        </w:tc>
        <w:tc>
          <w:tcPr>
            <w:tcW w:w="417" w:type="pct"/>
            <w:vMerge w:val="restart"/>
            <w:vAlign w:val="center"/>
          </w:tcPr>
          <w:p w14:paraId="5BCA33C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14818F16">
            <w:pPr>
              <w:widowControl/>
              <w:snapToGrid w:val="0"/>
              <w:spacing w:line="240" w:lineRule="auto"/>
              <w:ind w:firstLine="0" w:firstLineChars="0"/>
              <w:jc w:val="center"/>
              <w:rPr>
                <w:rFonts w:cs="Times New Roman"/>
                <w:bCs/>
                <w:kern w:val="0"/>
                <w:sz w:val="18"/>
                <w:szCs w:val="18"/>
              </w:rPr>
            </w:pPr>
            <w:r>
              <w:rPr>
                <w:rFonts w:cs="Times New Roman"/>
                <w:bCs/>
                <w:spacing w:val="-5"/>
                <w:kern w:val="0"/>
                <w:sz w:val="18"/>
                <w:szCs w:val="18"/>
              </w:rPr>
              <w:t>硫酸钡反应废水经中和处理后和地面清洗水排入厂区沉淀池，经处理后排入松木污水处理</w:t>
            </w:r>
            <w:r>
              <w:rPr>
                <w:rFonts w:cs="Times New Roman"/>
                <w:bCs/>
                <w:kern w:val="0"/>
                <w:sz w:val="18"/>
                <w:szCs w:val="18"/>
              </w:rPr>
              <w:t>厂处理；</w:t>
            </w:r>
          </w:p>
          <w:p w14:paraId="499FA75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反应釜冷却水循环使用；</w:t>
            </w:r>
          </w:p>
        </w:tc>
        <w:tc>
          <w:tcPr>
            <w:tcW w:w="671" w:type="pct"/>
            <w:vMerge w:val="restart"/>
            <w:vAlign w:val="center"/>
          </w:tcPr>
          <w:p w14:paraId="6DBA441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w:t>
            </w:r>
            <w:r>
              <w:rPr>
                <w:rFonts w:cs="Times New Roman"/>
                <w:kern w:val="0"/>
                <w:sz w:val="18"/>
                <w:szCs w:val="18"/>
              </w:rPr>
              <w:t>非甲烷总烃已安装在线监测，并接入园区平台；</w:t>
            </w:r>
          </w:p>
        </w:tc>
      </w:tr>
      <w:tr w14:paraId="2C5C99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703FF692">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B0DDE4D">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27ACBFB9">
            <w:pPr>
              <w:widowControl/>
              <w:snapToGrid w:val="0"/>
              <w:spacing w:line="240" w:lineRule="auto"/>
              <w:ind w:firstLine="0" w:firstLineChars="0"/>
              <w:jc w:val="center"/>
              <w:rPr>
                <w:rFonts w:cs="Times New Roman"/>
                <w:bCs/>
                <w:kern w:val="0"/>
                <w:sz w:val="18"/>
                <w:szCs w:val="18"/>
              </w:rPr>
            </w:pPr>
          </w:p>
        </w:tc>
        <w:tc>
          <w:tcPr>
            <w:tcW w:w="485" w:type="pct"/>
            <w:vMerge w:val="continue"/>
            <w:vAlign w:val="center"/>
          </w:tcPr>
          <w:p w14:paraId="5CB68FCA">
            <w:pPr>
              <w:widowControl/>
              <w:snapToGrid w:val="0"/>
              <w:spacing w:line="240" w:lineRule="auto"/>
              <w:ind w:firstLine="0" w:firstLineChars="0"/>
              <w:jc w:val="center"/>
              <w:rPr>
                <w:rFonts w:cs="Times New Roman"/>
                <w:bCs/>
                <w:kern w:val="0"/>
                <w:sz w:val="18"/>
                <w:szCs w:val="18"/>
              </w:rPr>
            </w:pPr>
          </w:p>
        </w:tc>
        <w:tc>
          <w:tcPr>
            <w:tcW w:w="417" w:type="pct"/>
            <w:vMerge w:val="continue"/>
            <w:vAlign w:val="center"/>
          </w:tcPr>
          <w:p w14:paraId="01A99F7A">
            <w:pPr>
              <w:widowControl/>
              <w:snapToGrid w:val="0"/>
              <w:spacing w:line="240" w:lineRule="auto"/>
              <w:ind w:firstLine="0" w:firstLineChars="0"/>
              <w:jc w:val="center"/>
              <w:rPr>
                <w:rFonts w:cs="Times New Roman"/>
                <w:bCs/>
                <w:kern w:val="0"/>
                <w:sz w:val="18"/>
                <w:szCs w:val="18"/>
              </w:rPr>
            </w:pPr>
          </w:p>
        </w:tc>
        <w:tc>
          <w:tcPr>
            <w:tcW w:w="2893" w:type="pct"/>
            <w:vAlign w:val="center"/>
          </w:tcPr>
          <w:p w14:paraId="6E4AC30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涂料制备反应废水用桶集中收集，蒸馏回收其醇类物质；</w:t>
            </w:r>
          </w:p>
          <w:p w14:paraId="01F2701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生活污水（食堂废水经隔油）经化粪池处理后进入松木污水处理厂处理</w:t>
            </w:r>
          </w:p>
        </w:tc>
        <w:tc>
          <w:tcPr>
            <w:tcW w:w="671" w:type="pct"/>
            <w:vMerge w:val="continue"/>
            <w:vAlign w:val="center"/>
          </w:tcPr>
          <w:p w14:paraId="1F82AEC9">
            <w:pPr>
              <w:widowControl/>
              <w:snapToGrid w:val="0"/>
              <w:spacing w:line="240" w:lineRule="auto"/>
              <w:ind w:firstLine="0" w:firstLineChars="0"/>
              <w:jc w:val="center"/>
              <w:rPr>
                <w:rFonts w:cs="Times New Roman"/>
                <w:bCs/>
                <w:kern w:val="0"/>
                <w:sz w:val="18"/>
                <w:szCs w:val="18"/>
              </w:rPr>
            </w:pPr>
          </w:p>
        </w:tc>
      </w:tr>
      <w:tr w14:paraId="5230D2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7962DF40">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1377C369">
            <w:pPr>
              <w:widowControl/>
              <w:snapToGrid w:val="0"/>
              <w:spacing w:line="240" w:lineRule="auto"/>
              <w:ind w:firstLine="0" w:firstLineChars="0"/>
              <w:jc w:val="center"/>
              <w:rPr>
                <w:rFonts w:cs="Times New Roman"/>
                <w:bCs/>
                <w:kern w:val="0"/>
                <w:sz w:val="18"/>
                <w:szCs w:val="18"/>
              </w:rPr>
            </w:pPr>
          </w:p>
        </w:tc>
        <w:tc>
          <w:tcPr>
            <w:tcW w:w="199" w:type="pct"/>
            <w:vAlign w:val="center"/>
          </w:tcPr>
          <w:p w14:paraId="78447E0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731D4B3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硫酸雾、粉尘、VOCs</w:t>
            </w:r>
          </w:p>
        </w:tc>
        <w:tc>
          <w:tcPr>
            <w:tcW w:w="417" w:type="pct"/>
            <w:vAlign w:val="center"/>
          </w:tcPr>
          <w:p w14:paraId="2F7DCBC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178975B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有机废气采用活性炭吸附+UV光解处理后排放；</w:t>
            </w:r>
          </w:p>
          <w:p w14:paraId="4EBB058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硫酸钡破碎含尘废气采用布袋除尘器处理后排放； 硫酸雾废气采用集气罩收集+碱液吸收处理后排放；</w:t>
            </w:r>
          </w:p>
        </w:tc>
        <w:tc>
          <w:tcPr>
            <w:tcW w:w="671" w:type="pct"/>
            <w:vMerge w:val="continue"/>
            <w:vAlign w:val="center"/>
          </w:tcPr>
          <w:p w14:paraId="3F3DB2E0">
            <w:pPr>
              <w:widowControl/>
              <w:snapToGrid w:val="0"/>
              <w:spacing w:line="240" w:lineRule="auto"/>
              <w:ind w:firstLine="0" w:firstLineChars="0"/>
              <w:jc w:val="center"/>
              <w:rPr>
                <w:rFonts w:cs="Times New Roman"/>
                <w:bCs/>
                <w:kern w:val="0"/>
                <w:sz w:val="18"/>
                <w:szCs w:val="18"/>
              </w:rPr>
            </w:pPr>
          </w:p>
        </w:tc>
      </w:tr>
      <w:tr w14:paraId="071A68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25C01179">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E26C951">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06C0784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12F6260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6CEB218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41t/a</w:t>
            </w:r>
          </w:p>
        </w:tc>
        <w:tc>
          <w:tcPr>
            <w:tcW w:w="2893" w:type="pct"/>
            <w:vMerge w:val="restart"/>
            <w:vAlign w:val="center"/>
          </w:tcPr>
          <w:p w14:paraId="3B6C58F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生活垃圾交由环卫人员清运；</w:t>
            </w:r>
          </w:p>
          <w:p w14:paraId="34F6832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原料包装桶收集于仓库，出售给废品站； 废危险化学品包装袋由厂家进行回收利用</w:t>
            </w:r>
          </w:p>
        </w:tc>
        <w:tc>
          <w:tcPr>
            <w:tcW w:w="671" w:type="pct"/>
            <w:vMerge w:val="continue"/>
            <w:vAlign w:val="center"/>
          </w:tcPr>
          <w:p w14:paraId="4897E4A8">
            <w:pPr>
              <w:widowControl/>
              <w:snapToGrid w:val="0"/>
              <w:spacing w:line="240" w:lineRule="auto"/>
              <w:ind w:firstLine="0" w:firstLineChars="0"/>
              <w:jc w:val="center"/>
              <w:rPr>
                <w:rFonts w:cs="Times New Roman"/>
                <w:bCs/>
                <w:kern w:val="0"/>
                <w:sz w:val="18"/>
                <w:szCs w:val="18"/>
              </w:rPr>
            </w:pPr>
          </w:p>
        </w:tc>
      </w:tr>
      <w:tr w14:paraId="77C484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7" w:hRule="atLeast"/>
        </w:trPr>
        <w:tc>
          <w:tcPr>
            <w:tcW w:w="100" w:type="pct"/>
            <w:vMerge w:val="continue"/>
            <w:vAlign w:val="center"/>
          </w:tcPr>
          <w:p w14:paraId="5FE6AF27">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268AC1F">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44C08E14">
            <w:pPr>
              <w:widowControl/>
              <w:snapToGrid w:val="0"/>
              <w:spacing w:line="240" w:lineRule="auto"/>
              <w:ind w:firstLine="0" w:firstLineChars="0"/>
              <w:jc w:val="center"/>
              <w:rPr>
                <w:rFonts w:cs="Times New Roman"/>
                <w:bCs/>
                <w:kern w:val="0"/>
                <w:sz w:val="18"/>
                <w:szCs w:val="18"/>
              </w:rPr>
            </w:pPr>
          </w:p>
        </w:tc>
        <w:tc>
          <w:tcPr>
            <w:tcW w:w="485" w:type="pct"/>
            <w:vAlign w:val="center"/>
          </w:tcPr>
          <w:p w14:paraId="1AF7411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116F509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2.4t/a</w:t>
            </w:r>
          </w:p>
        </w:tc>
        <w:tc>
          <w:tcPr>
            <w:tcW w:w="2893" w:type="pct"/>
            <w:vMerge w:val="continue"/>
            <w:vAlign w:val="center"/>
          </w:tcPr>
          <w:p w14:paraId="47F992A0">
            <w:pPr>
              <w:autoSpaceDE w:val="0"/>
              <w:autoSpaceDN w:val="0"/>
              <w:snapToGrid w:val="0"/>
              <w:spacing w:line="240" w:lineRule="auto"/>
              <w:ind w:firstLine="0" w:firstLineChars="0"/>
              <w:jc w:val="center"/>
              <w:rPr>
                <w:rFonts w:cs="Times New Roman"/>
                <w:bCs/>
                <w:kern w:val="0"/>
                <w:sz w:val="18"/>
                <w:szCs w:val="18"/>
              </w:rPr>
            </w:pPr>
          </w:p>
        </w:tc>
        <w:tc>
          <w:tcPr>
            <w:tcW w:w="671" w:type="pct"/>
            <w:vMerge w:val="continue"/>
            <w:vAlign w:val="center"/>
          </w:tcPr>
          <w:p w14:paraId="04DB00F1">
            <w:pPr>
              <w:autoSpaceDE w:val="0"/>
              <w:autoSpaceDN w:val="0"/>
              <w:snapToGrid w:val="0"/>
              <w:spacing w:line="240" w:lineRule="auto"/>
              <w:ind w:firstLine="0" w:firstLineChars="0"/>
              <w:jc w:val="center"/>
              <w:rPr>
                <w:rFonts w:cs="Times New Roman"/>
                <w:bCs/>
                <w:kern w:val="0"/>
                <w:sz w:val="18"/>
                <w:szCs w:val="18"/>
              </w:rPr>
            </w:pPr>
          </w:p>
        </w:tc>
      </w:tr>
      <w:tr w14:paraId="28412D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restart"/>
            <w:vAlign w:val="center"/>
          </w:tcPr>
          <w:p w14:paraId="1709A6B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8</w:t>
            </w:r>
          </w:p>
        </w:tc>
        <w:tc>
          <w:tcPr>
            <w:tcW w:w="231" w:type="pct"/>
            <w:vMerge w:val="restart"/>
            <w:vAlign w:val="center"/>
          </w:tcPr>
          <w:p w14:paraId="5797FF7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衡阳恒缘新材料科技股份有限公司</w:t>
            </w:r>
          </w:p>
        </w:tc>
        <w:tc>
          <w:tcPr>
            <w:tcW w:w="199" w:type="pct"/>
            <w:vAlign w:val="center"/>
          </w:tcPr>
          <w:p w14:paraId="067B097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6240C4D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COD、氨氮、石油类、SS、挥发酚</w:t>
            </w:r>
          </w:p>
        </w:tc>
        <w:tc>
          <w:tcPr>
            <w:tcW w:w="417" w:type="pct"/>
            <w:vAlign w:val="center"/>
          </w:tcPr>
          <w:p w14:paraId="42571B8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47574t/a</w:t>
            </w:r>
          </w:p>
        </w:tc>
        <w:tc>
          <w:tcPr>
            <w:tcW w:w="2893" w:type="pct"/>
            <w:vAlign w:val="center"/>
          </w:tcPr>
          <w:p w14:paraId="30446E5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酯化反应生成水等工艺废水经收集暂存后委托有资质单位处理；</w:t>
            </w:r>
          </w:p>
          <w:p w14:paraId="32FC4CF5">
            <w:pPr>
              <w:widowControl/>
              <w:snapToGrid w:val="0"/>
              <w:spacing w:line="240" w:lineRule="auto"/>
              <w:ind w:firstLine="0" w:firstLineChars="0"/>
              <w:jc w:val="center"/>
              <w:rPr>
                <w:rFonts w:cs="Times New Roman"/>
                <w:bCs/>
                <w:kern w:val="0"/>
                <w:sz w:val="18"/>
                <w:szCs w:val="18"/>
              </w:rPr>
            </w:pPr>
            <w:r>
              <w:rPr>
                <w:rFonts w:cs="Times New Roman"/>
                <w:bCs/>
                <w:spacing w:val="-10"/>
                <w:kern w:val="0"/>
                <w:sz w:val="18"/>
                <w:szCs w:val="18"/>
              </w:rPr>
              <w:t>车间地面冲洗废水、机泵冷却水排水经沉砂、隔油池处理达标后通过市政管网送至松木污</w:t>
            </w:r>
            <w:r>
              <w:rPr>
                <w:rFonts w:cs="Times New Roman"/>
                <w:bCs/>
                <w:kern w:val="0"/>
                <w:sz w:val="18"/>
                <w:szCs w:val="18"/>
              </w:rPr>
              <w:t>水处理厂处理；机加工废水经沉淀处理后循环回用；</w:t>
            </w:r>
            <w:r>
              <w:rPr>
                <w:rFonts w:cs="Times New Roman"/>
                <w:bCs/>
                <w:spacing w:val="-6"/>
                <w:kern w:val="0"/>
                <w:sz w:val="18"/>
                <w:szCs w:val="18"/>
              </w:rPr>
              <w:t>生活废水经化粪池预处理后排入园区污水管网，进入松木污水处理厂处理，处理达标后排</w:t>
            </w:r>
            <w:r>
              <w:rPr>
                <w:rFonts w:cs="Times New Roman"/>
                <w:bCs/>
                <w:kern w:val="0"/>
                <w:sz w:val="18"/>
                <w:szCs w:val="18"/>
              </w:rPr>
              <w:t>入湘江。</w:t>
            </w:r>
          </w:p>
        </w:tc>
        <w:tc>
          <w:tcPr>
            <w:tcW w:w="671" w:type="pct"/>
            <w:vMerge w:val="restart"/>
            <w:vAlign w:val="center"/>
          </w:tcPr>
          <w:p w14:paraId="08221DCF">
            <w:pPr>
              <w:widowControl/>
              <w:numPr>
                <w:ilvl w:val="0"/>
                <w:numId w:val="13"/>
              </w:numPr>
              <w:snapToGrid w:val="0"/>
              <w:spacing w:line="240" w:lineRule="auto"/>
              <w:ind w:firstLine="0" w:firstLineChars="0"/>
              <w:jc w:val="center"/>
              <w:rPr>
                <w:rFonts w:cs="Times New Roman"/>
                <w:kern w:val="0"/>
                <w:sz w:val="18"/>
                <w:szCs w:val="18"/>
              </w:rPr>
            </w:pPr>
            <w:r>
              <w:rPr>
                <w:rFonts w:cs="Times New Roman"/>
                <w:kern w:val="0"/>
                <w:sz w:val="18"/>
                <w:szCs w:val="18"/>
              </w:rPr>
              <w:t>后期雨水排放监控池、流量计、视频监控、 COD在线监测仪及监控站房；</w:t>
            </w:r>
          </w:p>
          <w:p w14:paraId="1DF82FC4">
            <w:pPr>
              <w:widowControl/>
              <w:numPr>
                <w:ilvl w:val="0"/>
                <w:numId w:val="13"/>
              </w:numPr>
              <w:snapToGrid w:val="0"/>
              <w:spacing w:line="240" w:lineRule="auto"/>
              <w:ind w:firstLine="0" w:firstLineChars="0"/>
              <w:jc w:val="center"/>
              <w:rPr>
                <w:rFonts w:cs="Times New Roman"/>
                <w:bCs/>
                <w:spacing w:val="-6"/>
                <w:kern w:val="0"/>
                <w:sz w:val="18"/>
                <w:szCs w:val="18"/>
              </w:rPr>
            </w:pPr>
            <w:r>
              <w:rPr>
                <w:rFonts w:cs="Times New Roman"/>
                <w:kern w:val="0"/>
                <w:sz w:val="18"/>
                <w:szCs w:val="18"/>
              </w:rPr>
              <w:t>焚烧后的非甲烷总烃已安装在线监测，并接入园区平台；</w:t>
            </w:r>
          </w:p>
        </w:tc>
      </w:tr>
      <w:tr w14:paraId="46D466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25933F37">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26DCC09">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45F0FD4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Merge w:val="restart"/>
            <w:vAlign w:val="center"/>
          </w:tcPr>
          <w:p w14:paraId="47DCC276">
            <w:pPr>
              <w:widowControl/>
              <w:snapToGrid w:val="0"/>
              <w:spacing w:line="240" w:lineRule="auto"/>
              <w:ind w:firstLine="0" w:firstLineChars="0"/>
              <w:jc w:val="center"/>
              <w:rPr>
                <w:rFonts w:cs="Times New Roman"/>
                <w:bCs/>
                <w:kern w:val="0"/>
                <w:sz w:val="18"/>
                <w:szCs w:val="18"/>
              </w:rPr>
            </w:pPr>
            <w:r>
              <w:rPr>
                <w:rFonts w:cs="Times New Roman"/>
                <w:bCs/>
                <w:spacing w:val="-2"/>
                <w:kern w:val="0"/>
                <w:sz w:val="18"/>
                <w:szCs w:val="18"/>
              </w:rPr>
              <w:t>粉尘、甲醇、甲苯、</w:t>
            </w:r>
            <w:r>
              <w:rPr>
                <w:rFonts w:cs="Times New Roman"/>
                <w:bCs/>
                <w:spacing w:val="-13"/>
                <w:kern w:val="0"/>
                <w:sz w:val="18"/>
                <w:szCs w:val="18"/>
              </w:rPr>
              <w:t>二甲苯、甲醛、非甲</w:t>
            </w:r>
            <w:r>
              <w:rPr>
                <w:rFonts w:cs="Times New Roman"/>
                <w:bCs/>
                <w:kern w:val="0"/>
                <w:sz w:val="18"/>
                <w:szCs w:val="18"/>
              </w:rPr>
              <w:t>烷总烃</w:t>
            </w:r>
          </w:p>
        </w:tc>
        <w:tc>
          <w:tcPr>
            <w:tcW w:w="417" w:type="pct"/>
            <w:vMerge w:val="restart"/>
            <w:vAlign w:val="center"/>
          </w:tcPr>
          <w:p w14:paraId="5214E30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4C08C84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成型件加工车间</w:t>
            </w:r>
            <w:r>
              <w:rPr>
                <w:rFonts w:cs="Times New Roman"/>
                <w:kern w:val="0"/>
                <w:sz w:val="18"/>
                <w:szCs w:val="18"/>
              </w:rPr>
              <w:t>含尘废气采用集气罩强制抽排风至废气净化系统，经布袋除尘后通过15m高排气筒高空排放</w:t>
            </w:r>
            <w:r>
              <w:rPr>
                <w:rFonts w:cs="Times New Roman"/>
                <w:bCs/>
                <w:kern w:val="0"/>
                <w:sz w:val="18"/>
                <w:szCs w:val="18"/>
              </w:rPr>
              <w:t>；</w:t>
            </w:r>
          </w:p>
        </w:tc>
        <w:tc>
          <w:tcPr>
            <w:tcW w:w="671" w:type="pct"/>
            <w:vMerge w:val="continue"/>
            <w:vAlign w:val="center"/>
          </w:tcPr>
          <w:p w14:paraId="26C5BBF4">
            <w:pPr>
              <w:widowControl/>
              <w:snapToGrid w:val="0"/>
              <w:spacing w:line="240" w:lineRule="auto"/>
              <w:ind w:firstLine="0" w:firstLineChars="0"/>
              <w:jc w:val="center"/>
              <w:rPr>
                <w:rFonts w:cs="Times New Roman"/>
                <w:bCs/>
                <w:kern w:val="0"/>
                <w:sz w:val="18"/>
                <w:szCs w:val="18"/>
              </w:rPr>
            </w:pPr>
          </w:p>
        </w:tc>
      </w:tr>
      <w:tr w14:paraId="6C8ED6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523A4A21">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8EFBADD">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0A2674F2">
            <w:pPr>
              <w:widowControl/>
              <w:snapToGrid w:val="0"/>
              <w:spacing w:line="240" w:lineRule="auto"/>
              <w:ind w:firstLine="0" w:firstLineChars="0"/>
              <w:jc w:val="center"/>
              <w:rPr>
                <w:rFonts w:cs="Times New Roman"/>
                <w:bCs/>
                <w:kern w:val="0"/>
                <w:sz w:val="18"/>
                <w:szCs w:val="18"/>
              </w:rPr>
            </w:pPr>
          </w:p>
        </w:tc>
        <w:tc>
          <w:tcPr>
            <w:tcW w:w="485" w:type="pct"/>
            <w:vMerge w:val="continue"/>
            <w:vAlign w:val="center"/>
          </w:tcPr>
          <w:p w14:paraId="3FE5BFCC">
            <w:pPr>
              <w:widowControl/>
              <w:snapToGrid w:val="0"/>
              <w:spacing w:line="240" w:lineRule="auto"/>
              <w:ind w:firstLine="0" w:firstLineChars="0"/>
              <w:jc w:val="center"/>
              <w:rPr>
                <w:rFonts w:cs="Times New Roman"/>
                <w:bCs/>
                <w:kern w:val="0"/>
                <w:sz w:val="18"/>
                <w:szCs w:val="18"/>
              </w:rPr>
            </w:pPr>
          </w:p>
        </w:tc>
        <w:tc>
          <w:tcPr>
            <w:tcW w:w="417" w:type="pct"/>
            <w:vMerge w:val="continue"/>
            <w:vAlign w:val="center"/>
          </w:tcPr>
          <w:p w14:paraId="0FFF6466">
            <w:pPr>
              <w:widowControl/>
              <w:snapToGrid w:val="0"/>
              <w:spacing w:line="240" w:lineRule="auto"/>
              <w:ind w:firstLine="0" w:firstLineChars="0"/>
              <w:jc w:val="center"/>
              <w:rPr>
                <w:rFonts w:cs="Times New Roman"/>
                <w:bCs/>
                <w:kern w:val="0"/>
                <w:sz w:val="18"/>
                <w:szCs w:val="18"/>
              </w:rPr>
            </w:pPr>
          </w:p>
        </w:tc>
        <w:tc>
          <w:tcPr>
            <w:tcW w:w="2893" w:type="pct"/>
            <w:vAlign w:val="center"/>
          </w:tcPr>
          <w:p w14:paraId="6B9023A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层压车间、油漆树脂车间工艺废气、云母管棒车间有机废气等经RTO蓄热焚烧炉焚烧后经15m高</w:t>
            </w:r>
          </w:p>
          <w:p w14:paraId="1697B2D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排气筒排放</w:t>
            </w:r>
          </w:p>
        </w:tc>
        <w:tc>
          <w:tcPr>
            <w:tcW w:w="671" w:type="pct"/>
            <w:vMerge w:val="continue"/>
            <w:vAlign w:val="center"/>
          </w:tcPr>
          <w:p w14:paraId="0C3D2F82">
            <w:pPr>
              <w:widowControl/>
              <w:snapToGrid w:val="0"/>
              <w:spacing w:line="240" w:lineRule="auto"/>
              <w:ind w:firstLine="0" w:firstLineChars="0"/>
              <w:jc w:val="center"/>
              <w:rPr>
                <w:rFonts w:cs="Times New Roman"/>
                <w:bCs/>
                <w:kern w:val="0"/>
                <w:sz w:val="18"/>
                <w:szCs w:val="18"/>
              </w:rPr>
            </w:pPr>
          </w:p>
        </w:tc>
      </w:tr>
      <w:tr w14:paraId="050564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7DCBF7A9">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3E966CA">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58FD480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65E587C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670A093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394t/a</w:t>
            </w:r>
          </w:p>
        </w:tc>
        <w:tc>
          <w:tcPr>
            <w:tcW w:w="2893" w:type="pct"/>
            <w:vAlign w:val="center"/>
          </w:tcPr>
          <w:p w14:paraId="23EA798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废水沉淀渣、布袋收尘灰、机加工废渣等收集后送生活垃圾填埋场处理； 废包装材料由厂家回收；生活垃圾交由环卫部门进行处理</w:t>
            </w:r>
          </w:p>
        </w:tc>
        <w:tc>
          <w:tcPr>
            <w:tcW w:w="671" w:type="pct"/>
            <w:vMerge w:val="continue"/>
            <w:vAlign w:val="center"/>
          </w:tcPr>
          <w:p w14:paraId="51EE7D7F">
            <w:pPr>
              <w:widowControl/>
              <w:snapToGrid w:val="0"/>
              <w:spacing w:line="240" w:lineRule="auto"/>
              <w:ind w:firstLine="0" w:firstLineChars="0"/>
              <w:jc w:val="center"/>
              <w:rPr>
                <w:rFonts w:cs="Times New Roman"/>
                <w:bCs/>
                <w:kern w:val="0"/>
                <w:sz w:val="18"/>
                <w:szCs w:val="18"/>
              </w:rPr>
            </w:pPr>
          </w:p>
        </w:tc>
      </w:tr>
      <w:tr w14:paraId="3AF722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5A6DAD00">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99E9B22">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37E92C2C">
            <w:pPr>
              <w:widowControl/>
              <w:snapToGrid w:val="0"/>
              <w:spacing w:line="240" w:lineRule="auto"/>
              <w:ind w:firstLine="0" w:firstLineChars="0"/>
              <w:jc w:val="center"/>
              <w:rPr>
                <w:rFonts w:cs="Times New Roman"/>
                <w:bCs/>
                <w:kern w:val="0"/>
                <w:sz w:val="18"/>
                <w:szCs w:val="18"/>
              </w:rPr>
            </w:pPr>
          </w:p>
        </w:tc>
        <w:tc>
          <w:tcPr>
            <w:tcW w:w="485" w:type="pct"/>
            <w:vAlign w:val="center"/>
          </w:tcPr>
          <w:p w14:paraId="6230C04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46EE620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123.399t/a</w:t>
            </w:r>
          </w:p>
        </w:tc>
        <w:tc>
          <w:tcPr>
            <w:tcW w:w="2893" w:type="pct"/>
            <w:vAlign w:val="center"/>
          </w:tcPr>
          <w:p w14:paraId="744FC54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过滤渣、废导热油、废劳保用品、酯化反应废水经收集后送有资质单位处理</w:t>
            </w:r>
          </w:p>
        </w:tc>
        <w:tc>
          <w:tcPr>
            <w:tcW w:w="671" w:type="pct"/>
            <w:vMerge w:val="continue"/>
            <w:vAlign w:val="center"/>
          </w:tcPr>
          <w:p w14:paraId="6210E0EA">
            <w:pPr>
              <w:widowControl/>
              <w:snapToGrid w:val="0"/>
              <w:spacing w:line="240" w:lineRule="auto"/>
              <w:ind w:firstLine="0" w:firstLineChars="0"/>
              <w:jc w:val="center"/>
              <w:rPr>
                <w:rFonts w:cs="Times New Roman"/>
                <w:bCs/>
                <w:kern w:val="0"/>
                <w:sz w:val="18"/>
                <w:szCs w:val="18"/>
              </w:rPr>
            </w:pPr>
          </w:p>
        </w:tc>
      </w:tr>
      <w:tr w14:paraId="04EEA8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restart"/>
            <w:vAlign w:val="center"/>
          </w:tcPr>
          <w:p w14:paraId="26D88E7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9</w:t>
            </w:r>
          </w:p>
        </w:tc>
        <w:tc>
          <w:tcPr>
            <w:tcW w:w="231" w:type="pct"/>
            <w:vMerge w:val="restart"/>
            <w:vAlign w:val="center"/>
          </w:tcPr>
          <w:p w14:paraId="23D29EE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湖南力泓新材料科技股份有限公司</w:t>
            </w:r>
          </w:p>
        </w:tc>
        <w:tc>
          <w:tcPr>
            <w:tcW w:w="199" w:type="pct"/>
            <w:vMerge w:val="restart"/>
            <w:vAlign w:val="center"/>
          </w:tcPr>
          <w:p w14:paraId="13D535C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Merge w:val="restart"/>
            <w:vAlign w:val="center"/>
          </w:tcPr>
          <w:p w14:paraId="5EB0AAE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SS、pH、Zn、Pb、Cu</w:t>
            </w:r>
          </w:p>
        </w:tc>
        <w:tc>
          <w:tcPr>
            <w:tcW w:w="417" w:type="pct"/>
            <w:vMerge w:val="restart"/>
            <w:vAlign w:val="center"/>
          </w:tcPr>
          <w:p w14:paraId="600B755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15900m</w:t>
            </w:r>
            <w:r>
              <w:rPr>
                <w:rFonts w:cs="Times New Roman"/>
                <w:bCs/>
                <w:kern w:val="0"/>
                <w:position w:val="8"/>
                <w:sz w:val="18"/>
                <w:szCs w:val="18"/>
              </w:rPr>
              <w:t>3</w:t>
            </w:r>
            <w:r>
              <w:rPr>
                <w:rFonts w:cs="Times New Roman"/>
                <w:bCs/>
                <w:kern w:val="0"/>
                <w:sz w:val="18"/>
                <w:szCs w:val="18"/>
              </w:rPr>
              <w:t>/a</w:t>
            </w:r>
          </w:p>
        </w:tc>
        <w:tc>
          <w:tcPr>
            <w:tcW w:w="2893" w:type="pct"/>
            <w:vAlign w:val="center"/>
          </w:tcPr>
          <w:p w14:paraId="31F9C4BC">
            <w:pPr>
              <w:widowControl/>
              <w:snapToGrid w:val="0"/>
              <w:spacing w:line="240" w:lineRule="auto"/>
              <w:ind w:firstLine="0" w:firstLineChars="0"/>
              <w:jc w:val="center"/>
              <w:rPr>
                <w:rFonts w:cs="Times New Roman"/>
                <w:bCs/>
                <w:kern w:val="0"/>
                <w:sz w:val="18"/>
                <w:szCs w:val="18"/>
              </w:rPr>
            </w:pPr>
            <w:r>
              <w:rPr>
                <w:rFonts w:cs="Times New Roman"/>
                <w:bCs/>
                <w:spacing w:val="-12"/>
                <w:kern w:val="0"/>
                <w:sz w:val="18"/>
                <w:szCs w:val="18"/>
              </w:rPr>
              <w:t>地面冲洗水、压滤机滤布和原料袋洗水经简单沉淀后进入循环水池回用于次氧化锌的浸出</w:t>
            </w:r>
            <w:r>
              <w:rPr>
                <w:rFonts w:cs="Times New Roman"/>
                <w:bCs/>
                <w:kern w:val="0"/>
                <w:sz w:val="18"/>
                <w:szCs w:val="18"/>
              </w:rPr>
              <w:t>工序；</w:t>
            </w:r>
          </w:p>
          <w:p w14:paraId="30FDCBD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实验室废水直接用作硫酸浸出的补充水、喷淋水循环使用不外排； 初期雨水经除铊废水处理站处理后回用于生产；</w:t>
            </w:r>
          </w:p>
          <w:p w14:paraId="6B13282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除铊废水处理站处理规模为 300m</w:t>
            </w:r>
            <w:r>
              <w:rPr>
                <w:rFonts w:cs="Times New Roman"/>
                <w:bCs/>
                <w:kern w:val="0"/>
                <w:position w:val="8"/>
                <w:sz w:val="18"/>
                <w:szCs w:val="18"/>
              </w:rPr>
              <w:t>3</w:t>
            </w:r>
            <w:r>
              <w:rPr>
                <w:rFonts w:cs="Times New Roman"/>
                <w:bCs/>
                <w:kern w:val="0"/>
                <w:sz w:val="18"/>
                <w:szCs w:val="18"/>
              </w:rPr>
              <w:t>/d，采用氧化反应+沉淀+锰沙过滤+活性炭过滤工艺；</w:t>
            </w:r>
          </w:p>
        </w:tc>
        <w:tc>
          <w:tcPr>
            <w:tcW w:w="671" w:type="pct"/>
            <w:vMerge w:val="restart"/>
            <w:vAlign w:val="center"/>
          </w:tcPr>
          <w:p w14:paraId="2A64662B">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后期雨水排放监控池、流量计、视频监控、总镉在线监测仪及监控站房。</w:t>
            </w:r>
          </w:p>
        </w:tc>
      </w:tr>
      <w:tr w14:paraId="792882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05381F9D">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0AF6A2C">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1493A304">
            <w:pPr>
              <w:widowControl/>
              <w:snapToGrid w:val="0"/>
              <w:spacing w:line="240" w:lineRule="auto"/>
              <w:ind w:firstLine="0" w:firstLineChars="0"/>
              <w:jc w:val="center"/>
              <w:rPr>
                <w:rFonts w:cs="Times New Roman"/>
                <w:bCs/>
                <w:kern w:val="0"/>
                <w:sz w:val="18"/>
                <w:szCs w:val="18"/>
              </w:rPr>
            </w:pPr>
          </w:p>
        </w:tc>
        <w:tc>
          <w:tcPr>
            <w:tcW w:w="485" w:type="pct"/>
            <w:vMerge w:val="continue"/>
            <w:vAlign w:val="center"/>
          </w:tcPr>
          <w:p w14:paraId="09E7320F">
            <w:pPr>
              <w:widowControl/>
              <w:snapToGrid w:val="0"/>
              <w:spacing w:line="240" w:lineRule="auto"/>
              <w:ind w:firstLine="0" w:firstLineChars="0"/>
              <w:jc w:val="center"/>
              <w:rPr>
                <w:rFonts w:cs="Times New Roman"/>
                <w:bCs/>
                <w:kern w:val="0"/>
                <w:sz w:val="18"/>
                <w:szCs w:val="18"/>
              </w:rPr>
            </w:pPr>
          </w:p>
        </w:tc>
        <w:tc>
          <w:tcPr>
            <w:tcW w:w="417" w:type="pct"/>
            <w:vMerge w:val="continue"/>
            <w:vAlign w:val="center"/>
          </w:tcPr>
          <w:p w14:paraId="5D776075">
            <w:pPr>
              <w:widowControl/>
              <w:snapToGrid w:val="0"/>
              <w:spacing w:line="240" w:lineRule="auto"/>
              <w:ind w:firstLine="0" w:firstLineChars="0"/>
              <w:jc w:val="center"/>
              <w:rPr>
                <w:rFonts w:cs="Times New Roman"/>
                <w:bCs/>
                <w:kern w:val="0"/>
                <w:sz w:val="18"/>
                <w:szCs w:val="18"/>
              </w:rPr>
            </w:pPr>
          </w:p>
        </w:tc>
        <w:tc>
          <w:tcPr>
            <w:tcW w:w="2893" w:type="pct"/>
            <w:vAlign w:val="center"/>
          </w:tcPr>
          <w:p w14:paraId="3C0E74D0">
            <w:pPr>
              <w:widowControl/>
              <w:snapToGrid w:val="0"/>
              <w:spacing w:line="240" w:lineRule="auto"/>
              <w:ind w:firstLine="0" w:firstLineChars="0"/>
              <w:jc w:val="center"/>
              <w:rPr>
                <w:rFonts w:cs="Times New Roman"/>
                <w:bCs/>
                <w:kern w:val="0"/>
                <w:sz w:val="18"/>
                <w:szCs w:val="18"/>
              </w:rPr>
            </w:pPr>
            <w:r>
              <w:rPr>
                <w:rFonts w:cs="Times New Roman"/>
                <w:bCs/>
                <w:spacing w:val="-6"/>
                <w:kern w:val="0"/>
                <w:sz w:val="18"/>
                <w:szCs w:val="18"/>
              </w:rPr>
              <w:t>生活污水经厂区化粪池处理后，汇入经开区污水管网，最终进入松木污水处理厂处理达标</w:t>
            </w:r>
          </w:p>
          <w:p w14:paraId="7FA9EC9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后外排湘江</w:t>
            </w:r>
          </w:p>
        </w:tc>
        <w:tc>
          <w:tcPr>
            <w:tcW w:w="671" w:type="pct"/>
            <w:vMerge w:val="continue"/>
            <w:vAlign w:val="center"/>
          </w:tcPr>
          <w:p w14:paraId="43151C67">
            <w:pPr>
              <w:widowControl/>
              <w:snapToGrid w:val="0"/>
              <w:spacing w:line="240" w:lineRule="auto"/>
              <w:ind w:firstLine="0" w:firstLineChars="0"/>
              <w:jc w:val="center"/>
              <w:rPr>
                <w:rFonts w:cs="Times New Roman"/>
                <w:bCs/>
                <w:kern w:val="0"/>
                <w:sz w:val="18"/>
                <w:szCs w:val="18"/>
              </w:rPr>
            </w:pPr>
          </w:p>
        </w:tc>
      </w:tr>
      <w:tr w14:paraId="40E06B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5B8E357E">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63A6AD9">
            <w:pPr>
              <w:widowControl/>
              <w:snapToGrid w:val="0"/>
              <w:spacing w:line="240" w:lineRule="auto"/>
              <w:ind w:firstLine="0" w:firstLineChars="0"/>
              <w:jc w:val="center"/>
              <w:rPr>
                <w:rFonts w:cs="Times New Roman"/>
                <w:bCs/>
                <w:kern w:val="0"/>
                <w:sz w:val="18"/>
                <w:szCs w:val="18"/>
              </w:rPr>
            </w:pPr>
          </w:p>
        </w:tc>
        <w:tc>
          <w:tcPr>
            <w:tcW w:w="199" w:type="pct"/>
            <w:vAlign w:val="center"/>
          </w:tcPr>
          <w:p w14:paraId="71AE3BC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240EACC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硫酸雾、SO</w:t>
            </w:r>
            <w:r>
              <w:rPr>
                <w:rFonts w:cs="Times New Roman"/>
                <w:bCs/>
                <w:kern w:val="0"/>
                <w:sz w:val="18"/>
                <w:szCs w:val="18"/>
                <w:vertAlign w:val="subscript"/>
              </w:rPr>
              <w:t>2</w:t>
            </w:r>
            <w:r>
              <w:rPr>
                <w:rFonts w:cs="Times New Roman"/>
                <w:bCs/>
                <w:kern w:val="0"/>
                <w:sz w:val="18"/>
                <w:szCs w:val="18"/>
              </w:rPr>
              <w:t>、NO</w:t>
            </w:r>
            <w:r>
              <w:rPr>
                <w:rFonts w:cs="Times New Roman"/>
                <w:bCs/>
                <w:kern w:val="0"/>
                <w:sz w:val="18"/>
                <w:szCs w:val="18"/>
                <w:vertAlign w:val="subscript"/>
              </w:rPr>
              <w:t>x</w:t>
            </w:r>
          </w:p>
        </w:tc>
        <w:tc>
          <w:tcPr>
            <w:tcW w:w="417" w:type="pct"/>
            <w:vAlign w:val="center"/>
          </w:tcPr>
          <w:p w14:paraId="4003DC0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363B12D3">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硫酸雾经水洗塔等经15m排气筒排放；砷化氢通过风机抽出，由车间顶棚15m高排气筒排出车间；氨气经水吸收和稀硫酸吸收塔两级吸收处理后，由15m高排气筒外排；镉粗生产废气经布袋收尘后再通过喷淋处理后排放；生物质锅炉尾气经布袋除尘后排放。</w:t>
            </w:r>
          </w:p>
        </w:tc>
        <w:tc>
          <w:tcPr>
            <w:tcW w:w="671" w:type="pct"/>
            <w:vMerge w:val="continue"/>
            <w:vAlign w:val="center"/>
          </w:tcPr>
          <w:p w14:paraId="741653E2">
            <w:pPr>
              <w:widowControl/>
              <w:snapToGrid w:val="0"/>
              <w:spacing w:line="240" w:lineRule="auto"/>
              <w:ind w:firstLine="0" w:firstLineChars="0"/>
              <w:jc w:val="center"/>
              <w:rPr>
                <w:rFonts w:cs="Times New Roman"/>
                <w:bCs/>
                <w:kern w:val="0"/>
                <w:sz w:val="18"/>
                <w:szCs w:val="18"/>
              </w:rPr>
            </w:pPr>
          </w:p>
        </w:tc>
      </w:tr>
      <w:tr w14:paraId="493168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7BE50229">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C6F73EE">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09E4FE4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21B4888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19D40CF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986t/a</w:t>
            </w:r>
          </w:p>
        </w:tc>
        <w:tc>
          <w:tcPr>
            <w:tcW w:w="2893" w:type="pct"/>
            <w:vMerge w:val="restart"/>
            <w:vAlign w:val="center"/>
          </w:tcPr>
          <w:p w14:paraId="284C4B2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燃煤渣、燃煤烟气处理渣外售综合利用； 生活垃圾交由环卫部门进行处理；</w:t>
            </w:r>
          </w:p>
          <w:p w14:paraId="4B143FC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铅泥、浸出渣、铜镉渣、污水处理污泥危险固废暂存于厂内，交由资质单位进行处理</w:t>
            </w:r>
          </w:p>
        </w:tc>
        <w:tc>
          <w:tcPr>
            <w:tcW w:w="671" w:type="pct"/>
            <w:vMerge w:val="continue"/>
            <w:vAlign w:val="center"/>
          </w:tcPr>
          <w:p w14:paraId="50E8F3EE">
            <w:pPr>
              <w:widowControl/>
              <w:snapToGrid w:val="0"/>
              <w:spacing w:line="240" w:lineRule="auto"/>
              <w:ind w:firstLine="0" w:firstLineChars="0"/>
              <w:jc w:val="center"/>
              <w:rPr>
                <w:rFonts w:cs="Times New Roman"/>
                <w:bCs/>
                <w:kern w:val="0"/>
                <w:sz w:val="18"/>
                <w:szCs w:val="18"/>
              </w:rPr>
            </w:pPr>
          </w:p>
        </w:tc>
      </w:tr>
      <w:tr w14:paraId="4B9853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547E950D">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9C8780B">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1E52E163">
            <w:pPr>
              <w:widowControl/>
              <w:snapToGrid w:val="0"/>
              <w:spacing w:line="240" w:lineRule="auto"/>
              <w:ind w:firstLine="0" w:firstLineChars="0"/>
              <w:jc w:val="center"/>
              <w:rPr>
                <w:rFonts w:cs="Times New Roman"/>
                <w:bCs/>
                <w:kern w:val="0"/>
                <w:sz w:val="18"/>
                <w:szCs w:val="18"/>
              </w:rPr>
            </w:pPr>
          </w:p>
        </w:tc>
        <w:tc>
          <w:tcPr>
            <w:tcW w:w="485" w:type="pct"/>
            <w:vAlign w:val="center"/>
          </w:tcPr>
          <w:p w14:paraId="268E4F2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1CD9AB1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6960t/a</w:t>
            </w:r>
          </w:p>
        </w:tc>
        <w:tc>
          <w:tcPr>
            <w:tcW w:w="2893" w:type="pct"/>
            <w:vMerge w:val="continue"/>
            <w:vAlign w:val="center"/>
          </w:tcPr>
          <w:p w14:paraId="16D22C46">
            <w:pPr>
              <w:autoSpaceDE w:val="0"/>
              <w:autoSpaceDN w:val="0"/>
              <w:snapToGrid w:val="0"/>
              <w:spacing w:line="240" w:lineRule="auto"/>
              <w:ind w:firstLine="0" w:firstLineChars="0"/>
              <w:jc w:val="center"/>
              <w:rPr>
                <w:rFonts w:cs="Times New Roman"/>
                <w:bCs/>
                <w:kern w:val="0"/>
                <w:sz w:val="18"/>
                <w:szCs w:val="18"/>
              </w:rPr>
            </w:pPr>
          </w:p>
        </w:tc>
        <w:tc>
          <w:tcPr>
            <w:tcW w:w="671" w:type="pct"/>
            <w:vMerge w:val="continue"/>
            <w:vAlign w:val="center"/>
          </w:tcPr>
          <w:p w14:paraId="5B9B1ACD">
            <w:pPr>
              <w:autoSpaceDE w:val="0"/>
              <w:autoSpaceDN w:val="0"/>
              <w:snapToGrid w:val="0"/>
              <w:spacing w:line="240" w:lineRule="auto"/>
              <w:ind w:firstLine="0" w:firstLineChars="0"/>
              <w:jc w:val="center"/>
              <w:rPr>
                <w:rFonts w:cs="Times New Roman"/>
                <w:bCs/>
                <w:kern w:val="0"/>
                <w:sz w:val="18"/>
                <w:szCs w:val="18"/>
              </w:rPr>
            </w:pPr>
          </w:p>
        </w:tc>
      </w:tr>
      <w:tr w14:paraId="2A1432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restart"/>
            <w:vAlign w:val="center"/>
          </w:tcPr>
          <w:p w14:paraId="49BCAAC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10</w:t>
            </w:r>
          </w:p>
        </w:tc>
        <w:tc>
          <w:tcPr>
            <w:tcW w:w="231" w:type="pct"/>
            <w:vMerge w:val="restart"/>
            <w:vAlign w:val="center"/>
          </w:tcPr>
          <w:p w14:paraId="2A43BC6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衡阳市鑫科思生物科技有限公司</w:t>
            </w:r>
          </w:p>
        </w:tc>
        <w:tc>
          <w:tcPr>
            <w:tcW w:w="199" w:type="pct"/>
            <w:vAlign w:val="center"/>
          </w:tcPr>
          <w:p w14:paraId="5E88398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06E6BB8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SS、COD、NH</w:t>
            </w:r>
            <w:r>
              <w:rPr>
                <w:rFonts w:cs="Times New Roman"/>
                <w:bCs/>
                <w:kern w:val="0"/>
                <w:sz w:val="18"/>
                <w:szCs w:val="18"/>
                <w:vertAlign w:val="subscript"/>
              </w:rPr>
              <w:t>3</w:t>
            </w:r>
            <w:r>
              <w:rPr>
                <w:rFonts w:cs="Times New Roman"/>
                <w:bCs/>
                <w:kern w:val="0"/>
                <w:sz w:val="18"/>
                <w:szCs w:val="18"/>
              </w:rPr>
              <w:t>-N</w:t>
            </w:r>
          </w:p>
        </w:tc>
        <w:tc>
          <w:tcPr>
            <w:tcW w:w="417" w:type="pct"/>
            <w:vAlign w:val="center"/>
          </w:tcPr>
          <w:p w14:paraId="38BA8CB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43710 m</w:t>
            </w:r>
            <w:r>
              <w:rPr>
                <w:rFonts w:cs="Times New Roman"/>
                <w:bCs/>
                <w:kern w:val="0"/>
                <w:position w:val="8"/>
                <w:sz w:val="18"/>
                <w:szCs w:val="18"/>
              </w:rPr>
              <w:t>3</w:t>
            </w:r>
            <w:r>
              <w:rPr>
                <w:rFonts w:cs="Times New Roman"/>
                <w:bCs/>
                <w:kern w:val="0"/>
                <w:sz w:val="18"/>
                <w:szCs w:val="18"/>
              </w:rPr>
              <w:t>/a</w:t>
            </w:r>
          </w:p>
        </w:tc>
        <w:tc>
          <w:tcPr>
            <w:tcW w:w="2893" w:type="pct"/>
            <w:vAlign w:val="center"/>
          </w:tcPr>
          <w:p w14:paraId="0F27D30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 xml:space="preserve">生产废水进行沉淀处理后进行回用，不外排； </w:t>
            </w:r>
            <w:r>
              <w:rPr>
                <w:rFonts w:cs="Times New Roman"/>
                <w:bCs/>
                <w:spacing w:val="-1"/>
                <w:kern w:val="0"/>
                <w:sz w:val="18"/>
                <w:szCs w:val="18"/>
              </w:rPr>
              <w:t>初期雨水经除铊处理设施处理后回用，不外排；</w:t>
            </w:r>
          </w:p>
          <w:p w14:paraId="795C75E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生活污水经化粪池处理后，进入经开区污水管网，最终进入松木污水处理厂进行处理</w:t>
            </w:r>
          </w:p>
        </w:tc>
        <w:tc>
          <w:tcPr>
            <w:tcW w:w="671" w:type="pct"/>
            <w:vMerge w:val="restart"/>
            <w:vAlign w:val="center"/>
          </w:tcPr>
          <w:p w14:paraId="21FBDECC">
            <w:pPr>
              <w:widowControl/>
              <w:snapToGrid w:val="0"/>
              <w:spacing w:line="240" w:lineRule="atLeast"/>
              <w:ind w:firstLine="0" w:firstLineChars="0"/>
              <w:jc w:val="center"/>
              <w:rPr>
                <w:rFonts w:cs="Times New Roman"/>
                <w:kern w:val="0"/>
                <w:sz w:val="18"/>
                <w:szCs w:val="18"/>
              </w:rPr>
            </w:pPr>
            <w:r>
              <w:rPr>
                <w:rFonts w:cs="Times New Roman"/>
                <w:kern w:val="0"/>
                <w:sz w:val="18"/>
                <w:szCs w:val="18"/>
              </w:rPr>
              <w:t>（1）回转窑脱硫塔烟气已安装在线监测设施并接入省平台；</w:t>
            </w:r>
          </w:p>
          <w:p w14:paraId="3B11704B">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（2）后期雨水排放监控池、流量计、视频监控、总镉在线监测仪及监控站房</w:t>
            </w:r>
          </w:p>
        </w:tc>
      </w:tr>
      <w:tr w14:paraId="0F6628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2D7A3394">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BEC934C">
            <w:pPr>
              <w:widowControl/>
              <w:snapToGrid w:val="0"/>
              <w:spacing w:line="240" w:lineRule="auto"/>
              <w:ind w:firstLine="0" w:firstLineChars="0"/>
              <w:jc w:val="center"/>
              <w:rPr>
                <w:rFonts w:cs="Times New Roman"/>
                <w:bCs/>
                <w:kern w:val="0"/>
                <w:sz w:val="18"/>
                <w:szCs w:val="18"/>
              </w:rPr>
            </w:pPr>
          </w:p>
        </w:tc>
        <w:tc>
          <w:tcPr>
            <w:tcW w:w="199" w:type="pct"/>
            <w:vAlign w:val="center"/>
          </w:tcPr>
          <w:p w14:paraId="196549E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18629629">
            <w:pPr>
              <w:widowControl/>
              <w:snapToGrid w:val="0"/>
              <w:spacing w:line="240" w:lineRule="auto"/>
              <w:ind w:firstLine="0" w:firstLineChars="0"/>
              <w:jc w:val="center"/>
              <w:rPr>
                <w:rFonts w:cs="Times New Roman"/>
                <w:bCs/>
                <w:kern w:val="0"/>
                <w:sz w:val="18"/>
                <w:szCs w:val="18"/>
              </w:rPr>
            </w:pPr>
            <w:r>
              <w:rPr>
                <w:rFonts w:cs="Times New Roman"/>
                <w:bCs/>
                <w:spacing w:val="-14"/>
                <w:kern w:val="0"/>
                <w:sz w:val="18"/>
                <w:szCs w:val="18"/>
              </w:rPr>
              <w:t>硫酸雾、砷化氢、粉</w:t>
            </w:r>
            <w:r>
              <w:rPr>
                <w:rFonts w:cs="Times New Roman"/>
                <w:bCs/>
                <w:kern w:val="0"/>
                <w:sz w:val="18"/>
                <w:szCs w:val="18"/>
              </w:rPr>
              <w:t>尘、SO</w:t>
            </w:r>
            <w:r>
              <w:rPr>
                <w:rFonts w:cs="Times New Roman"/>
                <w:bCs/>
                <w:kern w:val="0"/>
                <w:sz w:val="18"/>
                <w:szCs w:val="18"/>
                <w:vertAlign w:val="subscript"/>
              </w:rPr>
              <w:t>2</w:t>
            </w:r>
            <w:r>
              <w:rPr>
                <w:rFonts w:cs="Times New Roman"/>
                <w:bCs/>
                <w:kern w:val="0"/>
                <w:sz w:val="18"/>
                <w:szCs w:val="18"/>
              </w:rPr>
              <w:t>、NO</w:t>
            </w:r>
            <w:r>
              <w:rPr>
                <w:rFonts w:cs="Times New Roman"/>
                <w:bCs/>
                <w:kern w:val="0"/>
                <w:sz w:val="18"/>
                <w:szCs w:val="18"/>
                <w:vertAlign w:val="subscript"/>
              </w:rPr>
              <w:t>x</w:t>
            </w:r>
          </w:p>
        </w:tc>
        <w:tc>
          <w:tcPr>
            <w:tcW w:w="417" w:type="pct"/>
            <w:vAlign w:val="center"/>
          </w:tcPr>
          <w:p w14:paraId="138EA0B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56976BEC">
            <w:pPr>
              <w:widowControl/>
              <w:snapToGrid w:val="0"/>
              <w:spacing w:line="240" w:lineRule="atLeast"/>
              <w:ind w:firstLine="0" w:firstLineChars="0"/>
              <w:jc w:val="center"/>
              <w:rPr>
                <w:rFonts w:cs="Times New Roman"/>
                <w:kern w:val="0"/>
                <w:sz w:val="18"/>
                <w:szCs w:val="18"/>
              </w:rPr>
            </w:pPr>
            <w:r>
              <w:rPr>
                <w:rFonts w:cs="Times New Roman"/>
                <w:kern w:val="0"/>
                <w:sz w:val="18"/>
                <w:szCs w:val="18"/>
              </w:rPr>
              <w:t>硫酸雾经过酸雾净化塔吸收后经15m排气筒排放；</w:t>
            </w:r>
          </w:p>
          <w:p w14:paraId="7A76AB49">
            <w:pPr>
              <w:widowControl/>
              <w:snapToGrid w:val="0"/>
              <w:spacing w:line="240" w:lineRule="atLeast"/>
              <w:ind w:firstLine="0" w:firstLineChars="0"/>
              <w:jc w:val="center"/>
              <w:rPr>
                <w:rFonts w:cs="Times New Roman"/>
                <w:kern w:val="0"/>
                <w:sz w:val="18"/>
                <w:szCs w:val="18"/>
              </w:rPr>
            </w:pPr>
            <w:r>
              <w:rPr>
                <w:rFonts w:cs="Times New Roman"/>
                <w:kern w:val="0"/>
                <w:sz w:val="18"/>
                <w:szCs w:val="18"/>
              </w:rPr>
              <w:t>砷化氢经抽风机抽出后经15m排气筒排放；</w:t>
            </w:r>
          </w:p>
          <w:p w14:paraId="5E8403BF">
            <w:pPr>
              <w:widowControl/>
              <w:snapToGrid w:val="0"/>
              <w:spacing w:line="240" w:lineRule="atLeast"/>
              <w:ind w:firstLine="0" w:firstLineChars="0"/>
              <w:jc w:val="center"/>
              <w:rPr>
                <w:rFonts w:cs="Times New Roman"/>
                <w:kern w:val="0"/>
                <w:sz w:val="18"/>
                <w:szCs w:val="18"/>
              </w:rPr>
            </w:pPr>
            <w:r>
              <w:rPr>
                <w:rFonts w:cs="Times New Roman"/>
                <w:kern w:val="0"/>
                <w:sz w:val="18"/>
                <w:szCs w:val="18"/>
              </w:rPr>
              <w:t>回转窑烟气采用重力沉降+布袋除尘+脱硫塔处理后经50m排气筒排放；</w:t>
            </w:r>
          </w:p>
          <w:p w14:paraId="4DCAF518">
            <w:pPr>
              <w:widowControl/>
              <w:snapToGrid w:val="0"/>
              <w:spacing w:line="240" w:lineRule="atLeast"/>
              <w:ind w:firstLine="0" w:firstLineChars="0"/>
              <w:jc w:val="center"/>
              <w:rPr>
                <w:rFonts w:cs="Times New Roman"/>
                <w:kern w:val="0"/>
                <w:sz w:val="18"/>
                <w:szCs w:val="18"/>
              </w:rPr>
            </w:pPr>
            <w:r>
              <w:rPr>
                <w:rFonts w:cs="Times New Roman"/>
                <w:kern w:val="0"/>
                <w:sz w:val="18"/>
                <w:szCs w:val="18"/>
              </w:rPr>
              <w:t>热风炉干燥废气采用重力沉降+旋风除尘+碱液吸收塔处理后经25m排气筒排放；</w:t>
            </w:r>
          </w:p>
          <w:p w14:paraId="5AA6D519">
            <w:pPr>
              <w:widowControl/>
              <w:snapToGrid w:val="0"/>
              <w:spacing w:line="240" w:lineRule="atLeast"/>
              <w:ind w:firstLine="0" w:firstLineChars="0"/>
              <w:jc w:val="center"/>
              <w:rPr>
                <w:rFonts w:cs="Times New Roman"/>
                <w:bCs/>
                <w:kern w:val="0"/>
                <w:sz w:val="18"/>
                <w:szCs w:val="18"/>
              </w:rPr>
            </w:pPr>
            <w:r>
              <w:rPr>
                <w:rFonts w:cs="Times New Roman"/>
                <w:kern w:val="0"/>
                <w:sz w:val="18"/>
                <w:szCs w:val="18"/>
              </w:rPr>
              <w:t>包装废气采用旋风分离+布袋除尘处理后经20m排气筒排放</w:t>
            </w:r>
          </w:p>
        </w:tc>
        <w:tc>
          <w:tcPr>
            <w:tcW w:w="671" w:type="pct"/>
            <w:vMerge w:val="continue"/>
            <w:vAlign w:val="center"/>
          </w:tcPr>
          <w:p w14:paraId="21D09F98">
            <w:pPr>
              <w:widowControl/>
              <w:snapToGrid w:val="0"/>
              <w:spacing w:line="240" w:lineRule="auto"/>
              <w:ind w:firstLine="0" w:firstLineChars="0"/>
              <w:jc w:val="center"/>
              <w:rPr>
                <w:rFonts w:cs="Times New Roman"/>
                <w:bCs/>
                <w:kern w:val="0"/>
                <w:sz w:val="18"/>
                <w:szCs w:val="18"/>
              </w:rPr>
            </w:pPr>
          </w:p>
        </w:tc>
      </w:tr>
      <w:tr w14:paraId="16494A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28E03E86">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1858A5B6">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156D99E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32FC04F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3BFDCF4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35038.1t/a</w:t>
            </w:r>
          </w:p>
        </w:tc>
        <w:tc>
          <w:tcPr>
            <w:tcW w:w="2893" w:type="pct"/>
            <w:vMerge w:val="restart"/>
            <w:vAlign w:val="center"/>
          </w:tcPr>
          <w:p w14:paraId="3497493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生活垃圾交由环卫部门进行处理；</w:t>
            </w:r>
          </w:p>
          <w:p w14:paraId="630044E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漂洗净化渣、初期雨水污泥送次氧化锌回转窑处理；</w:t>
            </w:r>
          </w:p>
          <w:p w14:paraId="2F93658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铅泥、锌镉渣等危险固废暂存于临时危险废物仓库，交由资质单位进出处理；</w:t>
            </w:r>
          </w:p>
        </w:tc>
        <w:tc>
          <w:tcPr>
            <w:tcW w:w="671" w:type="pct"/>
            <w:vMerge w:val="continue"/>
            <w:vAlign w:val="center"/>
          </w:tcPr>
          <w:p w14:paraId="273A4B6B">
            <w:pPr>
              <w:widowControl/>
              <w:snapToGrid w:val="0"/>
              <w:spacing w:line="240" w:lineRule="auto"/>
              <w:ind w:firstLine="0" w:firstLineChars="0"/>
              <w:jc w:val="center"/>
              <w:rPr>
                <w:rFonts w:cs="Times New Roman"/>
                <w:bCs/>
                <w:kern w:val="0"/>
                <w:sz w:val="18"/>
                <w:szCs w:val="18"/>
              </w:rPr>
            </w:pPr>
          </w:p>
        </w:tc>
      </w:tr>
      <w:tr w14:paraId="4907EA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7C09E0CE">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29DC2DD">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462CC011">
            <w:pPr>
              <w:widowControl/>
              <w:snapToGrid w:val="0"/>
              <w:spacing w:line="240" w:lineRule="auto"/>
              <w:ind w:firstLine="0" w:firstLineChars="0"/>
              <w:jc w:val="center"/>
              <w:rPr>
                <w:rFonts w:cs="Times New Roman"/>
                <w:bCs/>
                <w:kern w:val="0"/>
                <w:sz w:val="18"/>
                <w:szCs w:val="18"/>
              </w:rPr>
            </w:pPr>
          </w:p>
        </w:tc>
        <w:tc>
          <w:tcPr>
            <w:tcW w:w="485" w:type="pct"/>
            <w:vAlign w:val="center"/>
          </w:tcPr>
          <w:p w14:paraId="1146ECC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35AF462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4000t/a</w:t>
            </w:r>
          </w:p>
        </w:tc>
        <w:tc>
          <w:tcPr>
            <w:tcW w:w="2893" w:type="pct"/>
            <w:vMerge w:val="continue"/>
            <w:vAlign w:val="center"/>
          </w:tcPr>
          <w:p w14:paraId="0BEABB2C">
            <w:pPr>
              <w:autoSpaceDE w:val="0"/>
              <w:autoSpaceDN w:val="0"/>
              <w:snapToGrid w:val="0"/>
              <w:spacing w:line="240" w:lineRule="auto"/>
              <w:ind w:firstLine="0" w:firstLineChars="0"/>
              <w:jc w:val="center"/>
              <w:rPr>
                <w:rFonts w:cs="Times New Roman"/>
                <w:bCs/>
                <w:kern w:val="0"/>
                <w:sz w:val="18"/>
                <w:szCs w:val="18"/>
              </w:rPr>
            </w:pPr>
          </w:p>
        </w:tc>
        <w:tc>
          <w:tcPr>
            <w:tcW w:w="671" w:type="pct"/>
            <w:vMerge w:val="continue"/>
            <w:vAlign w:val="center"/>
          </w:tcPr>
          <w:p w14:paraId="2CD60FF6">
            <w:pPr>
              <w:autoSpaceDE w:val="0"/>
              <w:autoSpaceDN w:val="0"/>
              <w:snapToGrid w:val="0"/>
              <w:spacing w:line="240" w:lineRule="auto"/>
              <w:ind w:firstLine="0" w:firstLineChars="0"/>
              <w:jc w:val="center"/>
              <w:rPr>
                <w:rFonts w:cs="Times New Roman"/>
                <w:bCs/>
                <w:kern w:val="0"/>
                <w:sz w:val="18"/>
                <w:szCs w:val="18"/>
              </w:rPr>
            </w:pPr>
          </w:p>
        </w:tc>
      </w:tr>
      <w:tr w14:paraId="7E5002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restart"/>
            <w:vAlign w:val="center"/>
          </w:tcPr>
          <w:p w14:paraId="281F3966">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11</w:t>
            </w:r>
          </w:p>
        </w:tc>
        <w:tc>
          <w:tcPr>
            <w:tcW w:w="231" w:type="pct"/>
            <w:vMerge w:val="restart"/>
            <w:vAlign w:val="center"/>
          </w:tcPr>
          <w:p w14:paraId="118FF996">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衡阳市铖昱锌品有限责任公司</w:t>
            </w:r>
          </w:p>
        </w:tc>
        <w:tc>
          <w:tcPr>
            <w:tcW w:w="199" w:type="pct"/>
            <w:vAlign w:val="center"/>
          </w:tcPr>
          <w:p w14:paraId="2FADFDB5">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7F0CB2B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SS、Pb、As、pH、Na</w:t>
            </w:r>
            <w:r>
              <w:rPr>
                <w:rFonts w:cs="Times New Roman"/>
                <w:bCs/>
                <w:kern w:val="0"/>
                <w:sz w:val="18"/>
                <w:szCs w:val="18"/>
                <w:vertAlign w:val="subscript"/>
              </w:rPr>
              <w:t>2</w:t>
            </w:r>
            <w:r>
              <w:rPr>
                <w:rFonts w:cs="Times New Roman"/>
                <w:bCs/>
                <w:kern w:val="0"/>
                <w:sz w:val="18"/>
                <w:szCs w:val="18"/>
              </w:rPr>
              <w:t>SO</w:t>
            </w:r>
            <w:r>
              <w:rPr>
                <w:rFonts w:cs="Times New Roman"/>
                <w:bCs/>
                <w:kern w:val="0"/>
                <w:sz w:val="18"/>
                <w:szCs w:val="18"/>
                <w:vertAlign w:val="subscript"/>
              </w:rPr>
              <w:t>4</w:t>
            </w:r>
            <w:r>
              <w:rPr>
                <w:rFonts w:cs="Times New Roman"/>
                <w:bCs/>
                <w:kern w:val="0"/>
                <w:sz w:val="18"/>
                <w:szCs w:val="18"/>
              </w:rPr>
              <w:t>、重金属、COD、</w:t>
            </w:r>
          </w:p>
          <w:p w14:paraId="280689F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NH</w:t>
            </w:r>
            <w:r>
              <w:rPr>
                <w:rFonts w:cs="Times New Roman"/>
                <w:bCs/>
                <w:kern w:val="0"/>
                <w:sz w:val="18"/>
                <w:szCs w:val="18"/>
                <w:vertAlign w:val="subscript"/>
              </w:rPr>
              <w:t>3</w:t>
            </w:r>
            <w:r>
              <w:rPr>
                <w:rFonts w:cs="Times New Roman"/>
                <w:bCs/>
                <w:kern w:val="0"/>
                <w:sz w:val="18"/>
                <w:szCs w:val="18"/>
              </w:rPr>
              <w:t>-N</w:t>
            </w:r>
          </w:p>
        </w:tc>
        <w:tc>
          <w:tcPr>
            <w:tcW w:w="417" w:type="pct"/>
            <w:vAlign w:val="center"/>
          </w:tcPr>
          <w:p w14:paraId="195F0922">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380000 m</w:t>
            </w:r>
            <w:r>
              <w:rPr>
                <w:rFonts w:cs="Times New Roman"/>
                <w:bCs/>
                <w:kern w:val="0"/>
                <w:position w:val="8"/>
                <w:sz w:val="18"/>
                <w:szCs w:val="18"/>
              </w:rPr>
              <w:t>3</w:t>
            </w:r>
            <w:r>
              <w:rPr>
                <w:rFonts w:cs="Times New Roman"/>
                <w:bCs/>
                <w:kern w:val="0"/>
                <w:sz w:val="18"/>
                <w:szCs w:val="18"/>
              </w:rPr>
              <w:t>/a</w:t>
            </w:r>
          </w:p>
        </w:tc>
        <w:tc>
          <w:tcPr>
            <w:tcW w:w="2893" w:type="pct"/>
            <w:vAlign w:val="center"/>
          </w:tcPr>
          <w:p w14:paraId="26BB71E0">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冲渣水在冲渣水循环池内沉淀后循环使用，定期加入石灰中和沉淀处理后循环使用；生活污水经化粪池处理后排至园区污水处理厂，最后排至湘江；初期雨水经雨水池收集后采用石灰中和沉淀处理，用于回转窑冲渣</w:t>
            </w:r>
          </w:p>
        </w:tc>
        <w:tc>
          <w:tcPr>
            <w:tcW w:w="671" w:type="pct"/>
            <w:vMerge w:val="restart"/>
            <w:vAlign w:val="center"/>
          </w:tcPr>
          <w:p w14:paraId="38F34D65">
            <w:pPr>
              <w:widowControl/>
              <w:snapToGrid w:val="0"/>
              <w:spacing w:line="240" w:lineRule="atLeast"/>
              <w:ind w:firstLine="0" w:firstLineChars="0"/>
              <w:jc w:val="center"/>
              <w:rPr>
                <w:rFonts w:cs="Times New Roman"/>
                <w:kern w:val="0"/>
                <w:sz w:val="18"/>
                <w:szCs w:val="18"/>
              </w:rPr>
            </w:pPr>
            <w:r>
              <w:rPr>
                <w:rFonts w:cs="Times New Roman"/>
                <w:kern w:val="0"/>
                <w:sz w:val="18"/>
                <w:szCs w:val="18"/>
              </w:rPr>
              <w:t>（1）回转窑脱硫塔烟气已安装在线监测设施并接入园区平台</w:t>
            </w:r>
          </w:p>
          <w:p w14:paraId="58258412">
            <w:pPr>
              <w:autoSpaceDE w:val="0"/>
              <w:autoSpaceDN w:val="0"/>
              <w:snapToGrid w:val="0"/>
              <w:spacing w:line="240" w:lineRule="auto"/>
              <w:ind w:firstLine="0" w:firstLineChars="0"/>
              <w:jc w:val="center"/>
              <w:rPr>
                <w:rFonts w:cs="Times New Roman"/>
                <w:bCs/>
                <w:kern w:val="0"/>
                <w:sz w:val="18"/>
                <w:szCs w:val="18"/>
              </w:rPr>
            </w:pPr>
            <w:r>
              <w:rPr>
                <w:rFonts w:cs="Times New Roman"/>
                <w:kern w:val="0"/>
                <w:sz w:val="18"/>
                <w:szCs w:val="18"/>
              </w:rPr>
              <w:t>（2）后期雨水排放监控池、流量计、视频监控、总镉在线监测仪及监控站房</w:t>
            </w:r>
          </w:p>
        </w:tc>
      </w:tr>
      <w:tr w14:paraId="3D2F81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5CBFA90A">
            <w:pPr>
              <w:autoSpaceDE w:val="0"/>
              <w:autoSpaceDN w:val="0"/>
              <w:snapToGrid w:val="0"/>
              <w:spacing w:line="240" w:lineRule="auto"/>
              <w:ind w:firstLine="0" w:firstLineChars="0"/>
              <w:jc w:val="center"/>
              <w:rPr>
                <w:rFonts w:cs="Times New Roman"/>
                <w:bCs/>
                <w:kern w:val="0"/>
                <w:sz w:val="18"/>
                <w:szCs w:val="18"/>
              </w:rPr>
            </w:pPr>
          </w:p>
        </w:tc>
        <w:tc>
          <w:tcPr>
            <w:tcW w:w="231" w:type="pct"/>
            <w:vMerge w:val="continue"/>
            <w:vAlign w:val="center"/>
          </w:tcPr>
          <w:p w14:paraId="141620E4">
            <w:pPr>
              <w:autoSpaceDE w:val="0"/>
              <w:autoSpaceDN w:val="0"/>
              <w:snapToGrid w:val="0"/>
              <w:spacing w:line="240" w:lineRule="auto"/>
              <w:ind w:firstLine="0" w:firstLineChars="0"/>
              <w:jc w:val="center"/>
              <w:rPr>
                <w:rFonts w:cs="Times New Roman"/>
                <w:bCs/>
                <w:kern w:val="0"/>
                <w:sz w:val="18"/>
                <w:szCs w:val="18"/>
              </w:rPr>
            </w:pPr>
          </w:p>
        </w:tc>
        <w:tc>
          <w:tcPr>
            <w:tcW w:w="199" w:type="pct"/>
            <w:vAlign w:val="center"/>
          </w:tcPr>
          <w:p w14:paraId="6643DEAC">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76D58984">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烟（粉）尘、SO2、NOx、Pb、As、Cd、硫酸雾、氨</w:t>
            </w:r>
          </w:p>
        </w:tc>
        <w:tc>
          <w:tcPr>
            <w:tcW w:w="417" w:type="pct"/>
            <w:vAlign w:val="center"/>
          </w:tcPr>
          <w:p w14:paraId="24801325">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7947CDF2">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余热锅炉+表冷烟道+布袋除尘器+碱液喷淋+水喷淋，总除尘效率99.95%，脱硫效率90%</w:t>
            </w:r>
          </w:p>
        </w:tc>
        <w:tc>
          <w:tcPr>
            <w:tcW w:w="671" w:type="pct"/>
            <w:vMerge w:val="continue"/>
            <w:vAlign w:val="center"/>
          </w:tcPr>
          <w:p w14:paraId="77C86BD3">
            <w:pPr>
              <w:autoSpaceDE w:val="0"/>
              <w:autoSpaceDN w:val="0"/>
              <w:snapToGrid w:val="0"/>
              <w:spacing w:line="240" w:lineRule="auto"/>
              <w:ind w:firstLine="0" w:firstLineChars="0"/>
              <w:jc w:val="center"/>
              <w:rPr>
                <w:rFonts w:cs="Times New Roman"/>
                <w:bCs/>
                <w:kern w:val="0"/>
                <w:sz w:val="18"/>
                <w:szCs w:val="18"/>
              </w:rPr>
            </w:pPr>
          </w:p>
        </w:tc>
      </w:tr>
      <w:tr w14:paraId="2DF0EA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1CB692DA">
            <w:pPr>
              <w:autoSpaceDE w:val="0"/>
              <w:autoSpaceDN w:val="0"/>
              <w:snapToGrid w:val="0"/>
              <w:spacing w:line="240" w:lineRule="auto"/>
              <w:ind w:firstLine="0" w:firstLineChars="0"/>
              <w:jc w:val="center"/>
              <w:rPr>
                <w:rFonts w:cs="Times New Roman"/>
                <w:bCs/>
                <w:kern w:val="0"/>
                <w:sz w:val="18"/>
                <w:szCs w:val="18"/>
              </w:rPr>
            </w:pPr>
          </w:p>
        </w:tc>
        <w:tc>
          <w:tcPr>
            <w:tcW w:w="231" w:type="pct"/>
            <w:vMerge w:val="continue"/>
            <w:vAlign w:val="center"/>
          </w:tcPr>
          <w:p w14:paraId="1CF076D3">
            <w:pPr>
              <w:autoSpaceDE w:val="0"/>
              <w:autoSpaceDN w:val="0"/>
              <w:snapToGrid w:val="0"/>
              <w:spacing w:line="240" w:lineRule="auto"/>
              <w:ind w:firstLine="0" w:firstLineChars="0"/>
              <w:jc w:val="center"/>
              <w:rPr>
                <w:rFonts w:cs="Times New Roman"/>
                <w:bCs/>
                <w:kern w:val="0"/>
                <w:sz w:val="18"/>
                <w:szCs w:val="18"/>
              </w:rPr>
            </w:pPr>
          </w:p>
        </w:tc>
        <w:tc>
          <w:tcPr>
            <w:tcW w:w="199" w:type="pct"/>
            <w:vMerge w:val="restart"/>
            <w:vAlign w:val="center"/>
          </w:tcPr>
          <w:p w14:paraId="5600D20A">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433DF4D8">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3AFF73E6">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5822.9t/a</w:t>
            </w:r>
          </w:p>
        </w:tc>
        <w:tc>
          <w:tcPr>
            <w:tcW w:w="2893" w:type="pct"/>
            <w:vAlign w:val="center"/>
          </w:tcPr>
          <w:p w14:paraId="7FC1C5F3">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返回转窑配料</w:t>
            </w:r>
          </w:p>
        </w:tc>
        <w:tc>
          <w:tcPr>
            <w:tcW w:w="671" w:type="pct"/>
            <w:vMerge w:val="continue"/>
            <w:vAlign w:val="center"/>
          </w:tcPr>
          <w:p w14:paraId="7A158174">
            <w:pPr>
              <w:autoSpaceDE w:val="0"/>
              <w:autoSpaceDN w:val="0"/>
              <w:snapToGrid w:val="0"/>
              <w:spacing w:line="240" w:lineRule="auto"/>
              <w:ind w:firstLine="0" w:firstLineChars="0"/>
              <w:jc w:val="center"/>
              <w:rPr>
                <w:rFonts w:cs="Times New Roman"/>
                <w:bCs/>
                <w:kern w:val="0"/>
                <w:sz w:val="18"/>
                <w:szCs w:val="18"/>
              </w:rPr>
            </w:pPr>
          </w:p>
        </w:tc>
      </w:tr>
      <w:tr w14:paraId="06F73F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25296074">
            <w:pPr>
              <w:autoSpaceDE w:val="0"/>
              <w:autoSpaceDN w:val="0"/>
              <w:snapToGrid w:val="0"/>
              <w:spacing w:line="240" w:lineRule="auto"/>
              <w:ind w:firstLine="0" w:firstLineChars="0"/>
              <w:jc w:val="center"/>
              <w:rPr>
                <w:rFonts w:cs="Times New Roman"/>
                <w:bCs/>
                <w:kern w:val="0"/>
                <w:sz w:val="18"/>
                <w:szCs w:val="18"/>
              </w:rPr>
            </w:pPr>
          </w:p>
        </w:tc>
        <w:tc>
          <w:tcPr>
            <w:tcW w:w="231" w:type="pct"/>
            <w:vMerge w:val="continue"/>
            <w:vAlign w:val="center"/>
          </w:tcPr>
          <w:p w14:paraId="623AB70F">
            <w:pPr>
              <w:autoSpaceDE w:val="0"/>
              <w:autoSpaceDN w:val="0"/>
              <w:snapToGrid w:val="0"/>
              <w:spacing w:line="240" w:lineRule="auto"/>
              <w:ind w:firstLine="0" w:firstLineChars="0"/>
              <w:jc w:val="center"/>
              <w:rPr>
                <w:rFonts w:cs="Times New Roman"/>
                <w:bCs/>
                <w:kern w:val="0"/>
                <w:sz w:val="18"/>
                <w:szCs w:val="18"/>
              </w:rPr>
            </w:pPr>
          </w:p>
        </w:tc>
        <w:tc>
          <w:tcPr>
            <w:tcW w:w="199" w:type="pct"/>
            <w:vMerge w:val="continue"/>
            <w:vAlign w:val="center"/>
          </w:tcPr>
          <w:p w14:paraId="0D68C775">
            <w:pPr>
              <w:autoSpaceDE w:val="0"/>
              <w:autoSpaceDN w:val="0"/>
              <w:snapToGrid w:val="0"/>
              <w:spacing w:line="240" w:lineRule="auto"/>
              <w:ind w:firstLine="0" w:firstLineChars="0"/>
              <w:jc w:val="center"/>
              <w:rPr>
                <w:rFonts w:cs="Times New Roman"/>
                <w:bCs/>
                <w:kern w:val="0"/>
                <w:sz w:val="18"/>
                <w:szCs w:val="18"/>
              </w:rPr>
            </w:pPr>
          </w:p>
        </w:tc>
        <w:tc>
          <w:tcPr>
            <w:tcW w:w="485" w:type="pct"/>
            <w:vAlign w:val="center"/>
          </w:tcPr>
          <w:p w14:paraId="60054AEF">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7811C3F5">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47000t/a</w:t>
            </w:r>
          </w:p>
        </w:tc>
        <w:tc>
          <w:tcPr>
            <w:tcW w:w="2893" w:type="pct"/>
            <w:vAlign w:val="center"/>
          </w:tcPr>
          <w:p w14:paraId="0FD8BB75">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外售衡南县旺宏粉末金属材料科技有限公司</w:t>
            </w:r>
          </w:p>
        </w:tc>
        <w:tc>
          <w:tcPr>
            <w:tcW w:w="671" w:type="pct"/>
            <w:vMerge w:val="continue"/>
            <w:vAlign w:val="center"/>
          </w:tcPr>
          <w:p w14:paraId="6E6741AB">
            <w:pPr>
              <w:autoSpaceDE w:val="0"/>
              <w:autoSpaceDN w:val="0"/>
              <w:snapToGrid w:val="0"/>
              <w:spacing w:line="240" w:lineRule="auto"/>
              <w:ind w:firstLine="0" w:firstLineChars="0"/>
              <w:jc w:val="center"/>
              <w:rPr>
                <w:rFonts w:cs="Times New Roman"/>
                <w:bCs/>
                <w:kern w:val="0"/>
                <w:sz w:val="18"/>
                <w:szCs w:val="18"/>
              </w:rPr>
            </w:pPr>
          </w:p>
        </w:tc>
      </w:tr>
      <w:tr w14:paraId="6239DD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restart"/>
            <w:vAlign w:val="center"/>
          </w:tcPr>
          <w:p w14:paraId="4346935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12</w:t>
            </w:r>
          </w:p>
        </w:tc>
        <w:tc>
          <w:tcPr>
            <w:tcW w:w="231" w:type="pct"/>
            <w:vMerge w:val="restart"/>
            <w:vAlign w:val="center"/>
          </w:tcPr>
          <w:p w14:paraId="1D79C64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湖南丰联精细化工有限公司</w:t>
            </w:r>
          </w:p>
        </w:tc>
        <w:tc>
          <w:tcPr>
            <w:tcW w:w="199" w:type="pct"/>
            <w:vAlign w:val="center"/>
          </w:tcPr>
          <w:p w14:paraId="7393C60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62EC604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pH</w:t>
            </w:r>
            <w:r>
              <w:rPr>
                <w:rFonts w:cs="Times New Roman"/>
                <w:bCs/>
                <w:spacing w:val="3"/>
                <w:kern w:val="0"/>
                <w:sz w:val="18"/>
                <w:szCs w:val="18"/>
              </w:rPr>
              <w:t>、</w:t>
            </w:r>
            <w:r>
              <w:rPr>
                <w:rFonts w:cs="Times New Roman"/>
                <w:bCs/>
                <w:kern w:val="0"/>
                <w:sz w:val="18"/>
                <w:szCs w:val="18"/>
              </w:rPr>
              <w:t>COD</w:t>
            </w:r>
            <w:r>
              <w:rPr>
                <w:rFonts w:cs="Times New Roman"/>
                <w:bCs/>
                <w:spacing w:val="4"/>
                <w:kern w:val="0"/>
                <w:sz w:val="18"/>
                <w:szCs w:val="18"/>
              </w:rPr>
              <w:t>、</w:t>
            </w:r>
            <w:r>
              <w:rPr>
                <w:rFonts w:cs="Times New Roman"/>
                <w:bCs/>
                <w:kern w:val="0"/>
                <w:sz w:val="18"/>
                <w:szCs w:val="18"/>
              </w:rPr>
              <w:t>SS</w:t>
            </w:r>
            <w:r>
              <w:rPr>
                <w:rFonts w:cs="Times New Roman"/>
                <w:bCs/>
                <w:spacing w:val="-3"/>
                <w:kern w:val="0"/>
                <w:sz w:val="18"/>
                <w:szCs w:val="18"/>
              </w:rPr>
              <w:t>、硫</w:t>
            </w:r>
            <w:r>
              <w:rPr>
                <w:rFonts w:cs="Times New Roman"/>
                <w:bCs/>
                <w:spacing w:val="-15"/>
                <w:kern w:val="0"/>
                <w:sz w:val="18"/>
                <w:szCs w:val="18"/>
              </w:rPr>
              <w:t>化物、硫酸盐、石油</w:t>
            </w:r>
            <w:r>
              <w:rPr>
                <w:rFonts w:cs="Times New Roman"/>
                <w:bCs/>
                <w:kern w:val="0"/>
                <w:sz w:val="18"/>
                <w:szCs w:val="18"/>
              </w:rPr>
              <w:t>类、氨氮</w:t>
            </w:r>
          </w:p>
        </w:tc>
        <w:tc>
          <w:tcPr>
            <w:tcW w:w="417" w:type="pct"/>
            <w:vAlign w:val="center"/>
          </w:tcPr>
          <w:p w14:paraId="1C96ABB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28226.55t/a</w:t>
            </w:r>
          </w:p>
        </w:tc>
        <w:tc>
          <w:tcPr>
            <w:tcW w:w="2893" w:type="pct"/>
            <w:vAlign w:val="center"/>
          </w:tcPr>
          <w:p w14:paraId="5CAC35A7">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生产废水、初期雨水收集后经硫酸亚铁沉淀+芬顿反应+催化氧化+MVR蒸发+生化处理后部分回用，部分处理达标后进入松木污水处理厂处理</w:t>
            </w:r>
          </w:p>
        </w:tc>
        <w:tc>
          <w:tcPr>
            <w:tcW w:w="671" w:type="pct"/>
            <w:vMerge w:val="restart"/>
            <w:vAlign w:val="center"/>
          </w:tcPr>
          <w:p w14:paraId="693C49A1">
            <w:pPr>
              <w:widowControl/>
              <w:snapToGrid w:val="0"/>
              <w:spacing w:line="240" w:lineRule="auto"/>
              <w:ind w:firstLine="0" w:firstLineChars="0"/>
              <w:jc w:val="center"/>
              <w:rPr>
                <w:rFonts w:cs="Times New Roman"/>
                <w:bCs/>
                <w:spacing w:val="-7"/>
                <w:kern w:val="0"/>
                <w:sz w:val="18"/>
                <w:szCs w:val="18"/>
              </w:rPr>
            </w:pPr>
            <w:r>
              <w:rPr>
                <w:rFonts w:cs="Times New Roman"/>
                <w:kern w:val="0"/>
                <w:sz w:val="18"/>
                <w:szCs w:val="18"/>
              </w:rPr>
              <w:t>后期雨水排放监控池、流量计、视频监控、pH及COD在线监测仪及监控站房</w:t>
            </w:r>
          </w:p>
        </w:tc>
      </w:tr>
      <w:tr w14:paraId="26929A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6718EC14">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359F1D1">
            <w:pPr>
              <w:widowControl/>
              <w:snapToGrid w:val="0"/>
              <w:spacing w:line="240" w:lineRule="auto"/>
              <w:ind w:firstLine="0" w:firstLineChars="0"/>
              <w:jc w:val="center"/>
              <w:rPr>
                <w:rFonts w:cs="Times New Roman"/>
                <w:bCs/>
                <w:kern w:val="0"/>
                <w:sz w:val="18"/>
                <w:szCs w:val="18"/>
              </w:rPr>
            </w:pPr>
          </w:p>
        </w:tc>
        <w:tc>
          <w:tcPr>
            <w:tcW w:w="199" w:type="pct"/>
            <w:vAlign w:val="center"/>
          </w:tcPr>
          <w:p w14:paraId="04EB2F3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08F77EED">
            <w:pPr>
              <w:widowControl/>
              <w:snapToGrid w:val="0"/>
              <w:spacing w:line="240" w:lineRule="auto"/>
              <w:ind w:firstLine="0" w:firstLineChars="0"/>
              <w:jc w:val="center"/>
              <w:rPr>
                <w:rFonts w:cs="Times New Roman"/>
                <w:bCs/>
                <w:kern w:val="0"/>
                <w:sz w:val="18"/>
                <w:szCs w:val="18"/>
              </w:rPr>
            </w:pPr>
            <w:r>
              <w:rPr>
                <w:rFonts w:cs="Times New Roman"/>
                <w:bCs/>
                <w:spacing w:val="-14"/>
                <w:kern w:val="0"/>
                <w:sz w:val="18"/>
                <w:szCs w:val="18"/>
              </w:rPr>
              <w:t>硫化氢、氯化氢、硫</w:t>
            </w:r>
            <w:r>
              <w:rPr>
                <w:rFonts w:cs="Times New Roman"/>
                <w:bCs/>
                <w:kern w:val="0"/>
                <w:sz w:val="18"/>
                <w:szCs w:val="18"/>
              </w:rPr>
              <w:t>化碳、氨、VOC</w:t>
            </w:r>
            <w:r>
              <w:rPr>
                <w:rFonts w:cs="Times New Roman"/>
                <w:bCs/>
                <w:kern w:val="0"/>
                <w:sz w:val="18"/>
                <w:szCs w:val="18"/>
                <w:vertAlign w:val="subscript"/>
              </w:rPr>
              <w:t>S</w:t>
            </w:r>
          </w:p>
        </w:tc>
        <w:tc>
          <w:tcPr>
            <w:tcW w:w="417" w:type="pct"/>
            <w:vAlign w:val="center"/>
          </w:tcPr>
          <w:p w14:paraId="5CDCC0A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4FEA6877">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水解尾气（二氧化硫,硫化氢,氯化氢,硫酸雾）经焚烧冷却排入湖南恒光化工有限公司30万吨硫铁矿制酸项目电除雾工序后+两转两吸制取硫酸后达标排放；MVR浓缩干燥尾气、真空泵排气、闪蒸精馏尾气、精馏精制尾气、环合反应尾气、储罐大小呼吸尾气通过高锰酸钾强氧化+碱吸收后达标排放</w:t>
            </w:r>
          </w:p>
        </w:tc>
        <w:tc>
          <w:tcPr>
            <w:tcW w:w="671" w:type="pct"/>
            <w:vMerge w:val="continue"/>
            <w:vAlign w:val="center"/>
          </w:tcPr>
          <w:p w14:paraId="0B9372E2">
            <w:pPr>
              <w:widowControl/>
              <w:snapToGrid w:val="0"/>
              <w:spacing w:line="240" w:lineRule="auto"/>
              <w:ind w:firstLine="0" w:firstLineChars="0"/>
              <w:jc w:val="center"/>
              <w:rPr>
                <w:rFonts w:cs="Times New Roman"/>
                <w:bCs/>
                <w:kern w:val="0"/>
                <w:sz w:val="18"/>
                <w:szCs w:val="18"/>
              </w:rPr>
            </w:pPr>
          </w:p>
        </w:tc>
      </w:tr>
      <w:tr w14:paraId="63DA69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4D2BFA63">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71CA40C">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7D93E14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430F756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4887483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702.2t/a</w:t>
            </w:r>
          </w:p>
        </w:tc>
        <w:tc>
          <w:tcPr>
            <w:tcW w:w="2893" w:type="pct"/>
            <w:vAlign w:val="center"/>
          </w:tcPr>
          <w:p w14:paraId="6ED9340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污水处理站污泥脱水后送垃圾填埋场填埋处理； 收尘器粉尘经收集后外售处理；废包装材料返回厂家利用；生活垃圾交由环卫部门进行处理</w:t>
            </w:r>
          </w:p>
        </w:tc>
        <w:tc>
          <w:tcPr>
            <w:tcW w:w="671" w:type="pct"/>
            <w:vMerge w:val="continue"/>
            <w:vAlign w:val="center"/>
          </w:tcPr>
          <w:p w14:paraId="7567FBEF">
            <w:pPr>
              <w:widowControl/>
              <w:snapToGrid w:val="0"/>
              <w:spacing w:line="240" w:lineRule="auto"/>
              <w:ind w:firstLine="0" w:firstLineChars="0"/>
              <w:jc w:val="center"/>
              <w:rPr>
                <w:rFonts w:cs="Times New Roman"/>
                <w:bCs/>
                <w:kern w:val="0"/>
                <w:sz w:val="18"/>
                <w:szCs w:val="18"/>
              </w:rPr>
            </w:pPr>
          </w:p>
        </w:tc>
      </w:tr>
      <w:tr w14:paraId="225E5C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528CF843">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2DC1BAA">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01B79C48">
            <w:pPr>
              <w:widowControl/>
              <w:snapToGrid w:val="0"/>
              <w:spacing w:line="240" w:lineRule="auto"/>
              <w:ind w:firstLine="0" w:firstLineChars="0"/>
              <w:jc w:val="center"/>
              <w:rPr>
                <w:rFonts w:cs="Times New Roman"/>
                <w:bCs/>
                <w:kern w:val="0"/>
                <w:sz w:val="18"/>
                <w:szCs w:val="18"/>
              </w:rPr>
            </w:pPr>
          </w:p>
        </w:tc>
        <w:tc>
          <w:tcPr>
            <w:tcW w:w="485" w:type="pct"/>
            <w:vAlign w:val="center"/>
          </w:tcPr>
          <w:p w14:paraId="78DDDCA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07114D3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3.2t/a</w:t>
            </w:r>
          </w:p>
        </w:tc>
        <w:tc>
          <w:tcPr>
            <w:tcW w:w="2893" w:type="pct"/>
            <w:vAlign w:val="center"/>
          </w:tcPr>
          <w:p w14:paraId="1B92693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外委有资质单位处理</w:t>
            </w:r>
          </w:p>
        </w:tc>
        <w:tc>
          <w:tcPr>
            <w:tcW w:w="671" w:type="pct"/>
            <w:vMerge w:val="continue"/>
            <w:vAlign w:val="center"/>
          </w:tcPr>
          <w:p w14:paraId="49536F4E">
            <w:pPr>
              <w:widowControl/>
              <w:snapToGrid w:val="0"/>
              <w:spacing w:line="240" w:lineRule="auto"/>
              <w:ind w:firstLine="0" w:firstLineChars="0"/>
              <w:jc w:val="center"/>
              <w:rPr>
                <w:rFonts w:cs="Times New Roman"/>
                <w:bCs/>
                <w:kern w:val="0"/>
                <w:sz w:val="18"/>
                <w:szCs w:val="18"/>
              </w:rPr>
            </w:pPr>
          </w:p>
        </w:tc>
      </w:tr>
      <w:tr w14:paraId="7258B3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01" w:hRule="atLeast"/>
        </w:trPr>
        <w:tc>
          <w:tcPr>
            <w:tcW w:w="100" w:type="pct"/>
            <w:vMerge w:val="restart"/>
            <w:vAlign w:val="center"/>
          </w:tcPr>
          <w:p w14:paraId="2324241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13</w:t>
            </w:r>
          </w:p>
        </w:tc>
        <w:tc>
          <w:tcPr>
            <w:tcW w:w="231" w:type="pct"/>
            <w:vMerge w:val="restart"/>
            <w:vAlign w:val="center"/>
          </w:tcPr>
          <w:p w14:paraId="4DA23DB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衡阳金新莱孚新材料有限公司</w:t>
            </w:r>
          </w:p>
        </w:tc>
        <w:tc>
          <w:tcPr>
            <w:tcW w:w="199" w:type="pct"/>
            <w:vAlign w:val="center"/>
          </w:tcPr>
          <w:p w14:paraId="14A26C0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26AC1DE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pH、F</w:t>
            </w:r>
            <w:r>
              <w:rPr>
                <w:rFonts w:cs="Times New Roman"/>
                <w:bCs/>
                <w:kern w:val="0"/>
                <w:sz w:val="18"/>
                <w:szCs w:val="18"/>
                <w:vertAlign w:val="superscript"/>
              </w:rPr>
              <w:t>-</w:t>
            </w:r>
            <w:r>
              <w:rPr>
                <w:rFonts w:cs="Times New Roman"/>
                <w:bCs/>
                <w:kern w:val="0"/>
                <w:sz w:val="18"/>
                <w:szCs w:val="18"/>
              </w:rPr>
              <w:t>、SO</w:t>
            </w:r>
            <w:r>
              <w:rPr>
                <w:rFonts w:cs="Times New Roman"/>
                <w:bCs/>
                <w:kern w:val="0"/>
                <w:sz w:val="18"/>
                <w:szCs w:val="18"/>
                <w:vertAlign w:val="subscript"/>
              </w:rPr>
              <w:t>4</w:t>
            </w:r>
            <w:r>
              <w:rPr>
                <w:rFonts w:cs="Times New Roman"/>
                <w:bCs/>
                <w:kern w:val="0"/>
                <w:sz w:val="18"/>
                <w:szCs w:val="18"/>
                <w:vertAlign w:val="superscript"/>
              </w:rPr>
              <w:t>2-</w:t>
            </w:r>
            <w:r>
              <w:rPr>
                <w:rFonts w:cs="Times New Roman"/>
                <w:bCs/>
                <w:kern w:val="0"/>
                <w:sz w:val="18"/>
                <w:szCs w:val="18"/>
              </w:rPr>
              <w:t>、NH</w:t>
            </w:r>
            <w:r>
              <w:rPr>
                <w:rFonts w:cs="Times New Roman"/>
                <w:bCs/>
                <w:kern w:val="0"/>
                <w:sz w:val="18"/>
                <w:szCs w:val="18"/>
                <w:vertAlign w:val="subscript"/>
              </w:rPr>
              <w:t>4</w:t>
            </w:r>
            <w:r>
              <w:rPr>
                <w:rFonts w:cs="Times New Roman"/>
                <w:bCs/>
                <w:kern w:val="0"/>
                <w:sz w:val="18"/>
                <w:szCs w:val="18"/>
                <w:vertAlign w:val="superscript"/>
              </w:rPr>
              <w:t>+</w:t>
            </w:r>
            <w:r>
              <w:rPr>
                <w:rFonts w:cs="Times New Roman"/>
                <w:bCs/>
                <w:kern w:val="0"/>
                <w:sz w:val="18"/>
                <w:szCs w:val="18"/>
              </w:rPr>
              <w:t>、COD</w:t>
            </w:r>
          </w:p>
        </w:tc>
        <w:tc>
          <w:tcPr>
            <w:tcW w:w="417" w:type="pct"/>
            <w:vAlign w:val="center"/>
          </w:tcPr>
          <w:p w14:paraId="0CD485F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74400t/a</w:t>
            </w:r>
          </w:p>
        </w:tc>
        <w:tc>
          <w:tcPr>
            <w:tcW w:w="2893" w:type="pct"/>
            <w:vAlign w:val="center"/>
          </w:tcPr>
          <w:p w14:paraId="3575AA4A">
            <w:pPr>
              <w:widowControl/>
              <w:snapToGrid w:val="0"/>
              <w:spacing w:line="240" w:lineRule="auto"/>
              <w:ind w:firstLine="0" w:firstLineChars="0"/>
              <w:jc w:val="center"/>
              <w:rPr>
                <w:rFonts w:cs="Times New Roman"/>
                <w:bCs/>
                <w:kern w:val="0"/>
                <w:sz w:val="18"/>
                <w:szCs w:val="18"/>
              </w:rPr>
            </w:pPr>
            <w:r>
              <w:rPr>
                <w:rFonts w:cs="Times New Roman"/>
                <w:bCs/>
                <w:spacing w:val="-5"/>
                <w:kern w:val="0"/>
                <w:sz w:val="18"/>
                <w:szCs w:val="18"/>
              </w:rPr>
              <w:t>淋洗塔冷凝废水及清水洗淋废水回用于钽铌矿分解；碱洗淋洗废水进入厂区污水处理站加</w:t>
            </w:r>
          </w:p>
          <w:p w14:paraId="7D56E95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石灰沉淀处理后排入园区污水管网进松木污水处理厂处理；</w:t>
            </w:r>
          </w:p>
          <w:p w14:paraId="508135FD">
            <w:pPr>
              <w:widowControl/>
              <w:snapToGrid w:val="0"/>
              <w:spacing w:line="240" w:lineRule="auto"/>
              <w:ind w:firstLine="0" w:firstLineChars="0"/>
              <w:jc w:val="center"/>
              <w:rPr>
                <w:rFonts w:cs="Times New Roman"/>
                <w:bCs/>
                <w:kern w:val="0"/>
                <w:sz w:val="18"/>
                <w:szCs w:val="18"/>
              </w:rPr>
            </w:pPr>
            <w:r>
              <w:rPr>
                <w:rFonts w:cs="Times New Roman"/>
                <w:bCs/>
                <w:spacing w:val="-7"/>
                <w:kern w:val="0"/>
                <w:sz w:val="18"/>
                <w:szCs w:val="18"/>
              </w:rPr>
              <w:t xml:space="preserve">矿萃车间含氟废水 </w:t>
            </w:r>
            <w:r>
              <w:rPr>
                <w:rFonts w:cs="Times New Roman"/>
                <w:bCs/>
                <w:kern w:val="0"/>
                <w:sz w:val="18"/>
                <w:szCs w:val="18"/>
              </w:rPr>
              <w:t>80%</w:t>
            </w:r>
            <w:r>
              <w:rPr>
                <w:rFonts w:cs="Times New Roman"/>
                <w:bCs/>
                <w:spacing w:val="-3"/>
                <w:kern w:val="0"/>
                <w:sz w:val="18"/>
                <w:szCs w:val="18"/>
              </w:rPr>
              <w:t>回用于钽铌矿分解，</w:t>
            </w:r>
            <w:r>
              <w:rPr>
                <w:rFonts w:cs="Times New Roman"/>
                <w:bCs/>
                <w:spacing w:val="-21"/>
                <w:kern w:val="0"/>
                <w:sz w:val="18"/>
                <w:szCs w:val="18"/>
              </w:rPr>
              <w:t>20%</w:t>
            </w:r>
            <w:r>
              <w:rPr>
                <w:rFonts w:cs="Times New Roman"/>
                <w:bCs/>
                <w:spacing w:val="-1"/>
                <w:kern w:val="0"/>
                <w:sz w:val="18"/>
                <w:szCs w:val="18"/>
              </w:rPr>
              <w:t>排入废水处理站加石灰浆后隔油沉淀处理</w:t>
            </w:r>
            <w:r>
              <w:rPr>
                <w:rFonts w:cs="Times New Roman"/>
                <w:bCs/>
                <w:kern w:val="0"/>
                <w:sz w:val="18"/>
                <w:szCs w:val="18"/>
              </w:rPr>
              <w:t>后排入松木污水处理厂处理；</w:t>
            </w:r>
          </w:p>
          <w:p w14:paraId="78DDC8B4">
            <w:pPr>
              <w:widowControl/>
              <w:snapToGrid w:val="0"/>
              <w:spacing w:line="240" w:lineRule="auto"/>
              <w:ind w:firstLine="0" w:firstLineChars="0"/>
              <w:jc w:val="center"/>
              <w:rPr>
                <w:rFonts w:cs="Times New Roman"/>
                <w:bCs/>
                <w:kern w:val="0"/>
                <w:sz w:val="18"/>
                <w:szCs w:val="18"/>
              </w:rPr>
            </w:pPr>
            <w:r>
              <w:rPr>
                <w:rFonts w:cs="Times New Roman"/>
                <w:bCs/>
                <w:spacing w:val="-5"/>
                <w:kern w:val="0"/>
                <w:sz w:val="18"/>
                <w:szCs w:val="18"/>
              </w:rPr>
              <w:t xml:space="preserve">含氨废水经过加石灰浆调 </w:t>
            </w:r>
            <w:r>
              <w:rPr>
                <w:rFonts w:cs="Times New Roman"/>
                <w:bCs/>
                <w:kern w:val="0"/>
                <w:sz w:val="18"/>
                <w:szCs w:val="18"/>
              </w:rPr>
              <w:t xml:space="preserve">pH </w:t>
            </w:r>
            <w:r>
              <w:rPr>
                <w:rFonts w:cs="Times New Roman"/>
                <w:bCs/>
                <w:spacing w:val="-9"/>
                <w:kern w:val="0"/>
                <w:sz w:val="18"/>
                <w:szCs w:val="18"/>
              </w:rPr>
              <w:t xml:space="preserve">值并且沉淀 </w:t>
            </w:r>
            <w:r>
              <w:rPr>
                <w:rFonts w:cs="Times New Roman"/>
                <w:bCs/>
                <w:kern w:val="0"/>
                <w:sz w:val="18"/>
                <w:szCs w:val="18"/>
              </w:rPr>
              <w:t>SO42-、F-</w:t>
            </w:r>
            <w:r>
              <w:rPr>
                <w:rFonts w:cs="Times New Roman"/>
                <w:bCs/>
                <w:spacing w:val="-1"/>
                <w:kern w:val="0"/>
                <w:sz w:val="18"/>
                <w:szCs w:val="18"/>
              </w:rPr>
              <w:t>，再通过蒸气进行三级吹脱脱氨、鸟</w:t>
            </w:r>
            <w:r>
              <w:rPr>
                <w:rFonts w:cs="Times New Roman"/>
                <w:bCs/>
                <w:kern w:val="0"/>
                <w:sz w:val="18"/>
                <w:szCs w:val="18"/>
              </w:rPr>
              <w:t>粪石沉淀、石灰乳和聚合硫酸铝沉淀法处理后排入松木污水处理厂处理；</w:t>
            </w:r>
          </w:p>
          <w:p w14:paraId="0F579B1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阴阳离子交换废水经中和处理后排入松木污水处理厂处理；</w:t>
            </w:r>
          </w:p>
          <w:p w14:paraId="17D3099C">
            <w:pPr>
              <w:widowControl/>
              <w:snapToGrid w:val="0"/>
              <w:spacing w:line="240" w:lineRule="auto"/>
              <w:ind w:firstLine="0" w:firstLineChars="0"/>
              <w:jc w:val="center"/>
              <w:rPr>
                <w:rFonts w:cs="Times New Roman"/>
                <w:bCs/>
                <w:kern w:val="0"/>
                <w:sz w:val="18"/>
                <w:szCs w:val="18"/>
              </w:rPr>
            </w:pPr>
            <w:r>
              <w:rPr>
                <w:rFonts w:cs="Times New Roman"/>
                <w:bCs/>
                <w:spacing w:val="-6"/>
                <w:kern w:val="0"/>
                <w:sz w:val="18"/>
                <w:szCs w:val="18"/>
              </w:rPr>
              <w:t>厂区车间清洁废水及初期雨水与含氨废水调节后，采用鸟粪石沉淀、石灰乳和聚合硫酸铝</w:t>
            </w:r>
            <w:r>
              <w:rPr>
                <w:rFonts w:cs="Times New Roman"/>
                <w:bCs/>
                <w:kern w:val="0"/>
                <w:sz w:val="18"/>
                <w:szCs w:val="18"/>
              </w:rPr>
              <w:t>沉淀法处理，而后排入松木污水处理厂处理；</w:t>
            </w:r>
          </w:p>
          <w:p w14:paraId="2EB80F1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生活污水经化粪池处理后，经园区污水管网排入松木污水处理厂处理</w:t>
            </w:r>
          </w:p>
        </w:tc>
        <w:tc>
          <w:tcPr>
            <w:tcW w:w="671" w:type="pct"/>
            <w:vMerge w:val="restart"/>
            <w:vAlign w:val="center"/>
          </w:tcPr>
          <w:p w14:paraId="649410B8">
            <w:pPr>
              <w:widowControl/>
              <w:snapToGrid w:val="0"/>
              <w:spacing w:line="240" w:lineRule="atLeast"/>
              <w:ind w:firstLine="0" w:firstLineChars="0"/>
              <w:jc w:val="center"/>
              <w:rPr>
                <w:rFonts w:cs="Times New Roman"/>
                <w:kern w:val="0"/>
                <w:sz w:val="18"/>
                <w:szCs w:val="18"/>
              </w:rPr>
            </w:pPr>
            <w:r>
              <w:rPr>
                <w:rFonts w:cs="Times New Roman"/>
                <w:kern w:val="0"/>
                <w:sz w:val="18"/>
                <w:szCs w:val="18"/>
              </w:rPr>
              <w:t>（1）涉氨尾气处理设施在线监测并接入园区监管平台；</w:t>
            </w:r>
          </w:p>
          <w:p w14:paraId="0FFB599E">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（2）后期雨水排放监控池、流量计、视频监控、pH、F、氨氮在线监测仪及监控站房</w:t>
            </w:r>
          </w:p>
        </w:tc>
      </w:tr>
      <w:tr w14:paraId="6BAB95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58D029B1">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6AB3852">
            <w:pPr>
              <w:widowControl/>
              <w:snapToGrid w:val="0"/>
              <w:spacing w:line="240" w:lineRule="auto"/>
              <w:ind w:firstLine="0" w:firstLineChars="0"/>
              <w:jc w:val="center"/>
              <w:rPr>
                <w:rFonts w:cs="Times New Roman"/>
                <w:bCs/>
                <w:kern w:val="0"/>
                <w:sz w:val="18"/>
                <w:szCs w:val="18"/>
              </w:rPr>
            </w:pPr>
          </w:p>
        </w:tc>
        <w:tc>
          <w:tcPr>
            <w:tcW w:w="199" w:type="pct"/>
            <w:vAlign w:val="center"/>
          </w:tcPr>
          <w:p w14:paraId="79B83E5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4706946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SO</w:t>
            </w:r>
            <w:r>
              <w:rPr>
                <w:rFonts w:cs="Times New Roman"/>
                <w:bCs/>
                <w:kern w:val="0"/>
                <w:sz w:val="18"/>
                <w:szCs w:val="18"/>
                <w:vertAlign w:val="subscript"/>
              </w:rPr>
              <w:t>2</w:t>
            </w:r>
            <w:r>
              <w:rPr>
                <w:rFonts w:cs="Times New Roman"/>
                <w:bCs/>
                <w:kern w:val="0"/>
                <w:sz w:val="18"/>
                <w:szCs w:val="18"/>
              </w:rPr>
              <w:t>、NO</w:t>
            </w:r>
            <w:r>
              <w:rPr>
                <w:rFonts w:cs="Times New Roman"/>
                <w:bCs/>
                <w:kern w:val="0"/>
                <w:sz w:val="18"/>
                <w:szCs w:val="18"/>
                <w:vertAlign w:val="subscript"/>
              </w:rPr>
              <w:t>X</w:t>
            </w:r>
            <w:r>
              <w:rPr>
                <w:rFonts w:cs="Times New Roman"/>
                <w:bCs/>
                <w:kern w:val="0"/>
                <w:sz w:val="18"/>
                <w:szCs w:val="18"/>
              </w:rPr>
              <w:t>、HF、硫酸雾、油烟</w:t>
            </w:r>
          </w:p>
        </w:tc>
        <w:tc>
          <w:tcPr>
            <w:tcW w:w="417" w:type="pct"/>
            <w:vAlign w:val="center"/>
          </w:tcPr>
          <w:p w14:paraId="0685609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7EF1DFD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燃气锅炉废气通过 15m 排气筒排放；</w:t>
            </w:r>
          </w:p>
          <w:p w14:paraId="05B8FFD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磨矿粉尘经过布袋除尘器处理后，通过 15m 高排气筒排放；</w:t>
            </w:r>
          </w:p>
          <w:p w14:paraId="2CBC777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分解过程中产生 HF、硫酸雾的酸性废气经过</w:t>
            </w:r>
            <w:r>
              <w:rPr>
                <w:rFonts w:cs="Times New Roman"/>
                <w:kern w:val="0"/>
                <w:sz w:val="18"/>
                <w:szCs w:val="18"/>
              </w:rPr>
              <w:t>石墨</w:t>
            </w:r>
            <w:r>
              <w:rPr>
                <w:rFonts w:cs="Times New Roman"/>
                <w:bCs/>
                <w:kern w:val="0"/>
                <w:sz w:val="18"/>
                <w:szCs w:val="18"/>
              </w:rPr>
              <w:t>冷凝、二级清水淋洗塔、二级碱洗淋洗塔淋洗后经过 15m 排气筒排放；</w:t>
            </w:r>
            <w:r>
              <w:rPr>
                <w:rFonts w:cs="Times New Roman"/>
                <w:kern w:val="0"/>
                <w:sz w:val="18"/>
                <w:szCs w:val="18"/>
              </w:rPr>
              <w:t>含氨废水吹脱废气采用稀硫酸淋洗吸收氨副产硫酸铵</w:t>
            </w:r>
          </w:p>
          <w:p w14:paraId="517D386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油烟废气净化处理后通过专用排气筒至屋顶高空排放</w:t>
            </w:r>
          </w:p>
        </w:tc>
        <w:tc>
          <w:tcPr>
            <w:tcW w:w="671" w:type="pct"/>
            <w:vMerge w:val="continue"/>
            <w:vAlign w:val="center"/>
          </w:tcPr>
          <w:p w14:paraId="033EE45E">
            <w:pPr>
              <w:widowControl/>
              <w:snapToGrid w:val="0"/>
              <w:spacing w:line="240" w:lineRule="auto"/>
              <w:ind w:firstLine="0" w:firstLineChars="0"/>
              <w:jc w:val="center"/>
              <w:rPr>
                <w:rFonts w:cs="Times New Roman"/>
                <w:bCs/>
                <w:kern w:val="0"/>
                <w:sz w:val="18"/>
                <w:szCs w:val="18"/>
              </w:rPr>
            </w:pPr>
          </w:p>
        </w:tc>
      </w:tr>
      <w:tr w14:paraId="0FBF4E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5A56CD2B">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2C6E8927">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3A2757B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07FBF99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642614E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236.7t/a</w:t>
            </w:r>
          </w:p>
        </w:tc>
        <w:tc>
          <w:tcPr>
            <w:tcW w:w="2893" w:type="pct"/>
            <w:vAlign w:val="center"/>
          </w:tcPr>
          <w:p w14:paraId="218E6DF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脱氨废水沉淀渣外售做肥料综合利用； 废离子交换树脂返回生产厂家处理；</w:t>
            </w:r>
          </w:p>
          <w:p w14:paraId="7CB2729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生活垃圾交由环卫部门进行处理</w:t>
            </w:r>
          </w:p>
        </w:tc>
        <w:tc>
          <w:tcPr>
            <w:tcW w:w="671" w:type="pct"/>
            <w:vMerge w:val="continue"/>
            <w:vAlign w:val="center"/>
          </w:tcPr>
          <w:p w14:paraId="047F86A3">
            <w:pPr>
              <w:widowControl/>
              <w:snapToGrid w:val="0"/>
              <w:spacing w:line="240" w:lineRule="auto"/>
              <w:ind w:firstLine="0" w:firstLineChars="0"/>
              <w:jc w:val="center"/>
              <w:rPr>
                <w:rFonts w:cs="Times New Roman"/>
                <w:bCs/>
                <w:kern w:val="0"/>
                <w:sz w:val="18"/>
                <w:szCs w:val="18"/>
              </w:rPr>
            </w:pPr>
          </w:p>
        </w:tc>
      </w:tr>
      <w:tr w14:paraId="29E691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7FF21D64">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74C2B44">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539CF01C">
            <w:pPr>
              <w:widowControl/>
              <w:snapToGrid w:val="0"/>
              <w:spacing w:line="240" w:lineRule="auto"/>
              <w:ind w:firstLine="0" w:firstLineChars="0"/>
              <w:jc w:val="center"/>
              <w:rPr>
                <w:rFonts w:cs="Times New Roman"/>
                <w:bCs/>
                <w:kern w:val="0"/>
                <w:sz w:val="18"/>
                <w:szCs w:val="18"/>
              </w:rPr>
            </w:pPr>
          </w:p>
        </w:tc>
        <w:tc>
          <w:tcPr>
            <w:tcW w:w="485" w:type="pct"/>
            <w:vAlign w:val="center"/>
          </w:tcPr>
          <w:p w14:paraId="45C9BF0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危险固废（低放射性）</w:t>
            </w:r>
          </w:p>
        </w:tc>
        <w:tc>
          <w:tcPr>
            <w:tcW w:w="417" w:type="pct"/>
            <w:vAlign w:val="center"/>
          </w:tcPr>
          <w:p w14:paraId="4179735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3070t/a</w:t>
            </w:r>
          </w:p>
        </w:tc>
        <w:tc>
          <w:tcPr>
            <w:tcW w:w="2893" w:type="pct"/>
            <w:vAlign w:val="center"/>
          </w:tcPr>
          <w:p w14:paraId="1987776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矿萃分解滤渣、中和沉渣等送湖南省放射性废物库</w:t>
            </w:r>
          </w:p>
        </w:tc>
        <w:tc>
          <w:tcPr>
            <w:tcW w:w="671" w:type="pct"/>
            <w:vMerge w:val="continue"/>
            <w:vAlign w:val="center"/>
          </w:tcPr>
          <w:p w14:paraId="24617D0C">
            <w:pPr>
              <w:widowControl/>
              <w:snapToGrid w:val="0"/>
              <w:spacing w:line="240" w:lineRule="auto"/>
              <w:ind w:firstLine="0" w:firstLineChars="0"/>
              <w:jc w:val="center"/>
              <w:rPr>
                <w:rFonts w:cs="Times New Roman"/>
                <w:bCs/>
                <w:kern w:val="0"/>
                <w:sz w:val="18"/>
                <w:szCs w:val="18"/>
              </w:rPr>
            </w:pPr>
          </w:p>
        </w:tc>
      </w:tr>
      <w:tr w14:paraId="44C96C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restart"/>
            <w:vAlign w:val="center"/>
          </w:tcPr>
          <w:p w14:paraId="581A491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14</w:t>
            </w:r>
          </w:p>
        </w:tc>
        <w:tc>
          <w:tcPr>
            <w:tcW w:w="231" w:type="pct"/>
            <w:vMerge w:val="restart"/>
            <w:vAlign w:val="center"/>
          </w:tcPr>
          <w:p w14:paraId="6D74A6C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湖南金山水泥有限公司/湖南金山环保建材有限公司</w:t>
            </w:r>
          </w:p>
        </w:tc>
        <w:tc>
          <w:tcPr>
            <w:tcW w:w="199" w:type="pct"/>
            <w:vAlign w:val="center"/>
          </w:tcPr>
          <w:p w14:paraId="742CD85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5CBF8B4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COD、氨氮、动植物油</w:t>
            </w:r>
          </w:p>
        </w:tc>
        <w:tc>
          <w:tcPr>
            <w:tcW w:w="417" w:type="pct"/>
            <w:vAlign w:val="center"/>
          </w:tcPr>
          <w:p w14:paraId="52A7129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46200 m</w:t>
            </w:r>
            <w:r>
              <w:rPr>
                <w:rFonts w:cs="Times New Roman"/>
                <w:bCs/>
                <w:kern w:val="0"/>
                <w:position w:val="8"/>
                <w:sz w:val="18"/>
                <w:szCs w:val="18"/>
              </w:rPr>
              <w:t>3</w:t>
            </w:r>
            <w:r>
              <w:rPr>
                <w:rFonts w:cs="Times New Roman"/>
                <w:bCs/>
                <w:kern w:val="0"/>
                <w:sz w:val="18"/>
                <w:szCs w:val="18"/>
              </w:rPr>
              <w:t>/a</w:t>
            </w:r>
          </w:p>
        </w:tc>
        <w:tc>
          <w:tcPr>
            <w:tcW w:w="2893" w:type="pct"/>
            <w:vAlign w:val="center"/>
          </w:tcPr>
          <w:p w14:paraId="089B9EC2">
            <w:pPr>
              <w:widowControl/>
              <w:snapToGrid w:val="0"/>
              <w:spacing w:line="240" w:lineRule="auto"/>
              <w:ind w:firstLine="0" w:firstLineChars="0"/>
              <w:jc w:val="center"/>
              <w:rPr>
                <w:rFonts w:cs="Times New Roman"/>
                <w:bCs/>
                <w:kern w:val="0"/>
                <w:sz w:val="18"/>
                <w:szCs w:val="18"/>
              </w:rPr>
            </w:pPr>
            <w:r>
              <w:rPr>
                <w:rFonts w:cs="Times New Roman"/>
                <w:bCs/>
                <w:spacing w:val="-6"/>
                <w:kern w:val="0"/>
                <w:sz w:val="18"/>
                <w:szCs w:val="18"/>
              </w:rPr>
              <w:t>循环冷却系统排污水用作设备冷却水、辅助生产设施废水、余热电站排污水大部分循环使</w:t>
            </w:r>
            <w:r>
              <w:rPr>
                <w:rFonts w:cs="Times New Roman"/>
                <w:bCs/>
                <w:spacing w:val="-10"/>
                <w:kern w:val="0"/>
                <w:sz w:val="18"/>
                <w:szCs w:val="18"/>
              </w:rPr>
              <w:t>用，少量进入沉淀池处理后用于地面洒水抑尘、绿化用水；其余部分及初期雨水与经化粪</w:t>
            </w:r>
          </w:p>
          <w:p w14:paraId="7524AC8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池预处理的生活污水经经开区污水管网进入松木污水处理厂进行处理</w:t>
            </w:r>
          </w:p>
        </w:tc>
        <w:tc>
          <w:tcPr>
            <w:tcW w:w="671" w:type="pct"/>
            <w:vMerge w:val="restart"/>
            <w:vAlign w:val="center"/>
          </w:tcPr>
          <w:p w14:paraId="7EFF20A0">
            <w:pPr>
              <w:widowControl/>
              <w:snapToGrid w:val="0"/>
              <w:spacing w:line="240" w:lineRule="atLeast"/>
              <w:ind w:firstLine="0" w:firstLineChars="0"/>
              <w:jc w:val="center"/>
              <w:rPr>
                <w:rFonts w:cs="Times New Roman"/>
                <w:kern w:val="0"/>
                <w:sz w:val="18"/>
                <w:szCs w:val="18"/>
              </w:rPr>
            </w:pPr>
            <w:r>
              <w:rPr>
                <w:rFonts w:cs="Times New Roman"/>
                <w:kern w:val="0"/>
                <w:sz w:val="18"/>
                <w:szCs w:val="18"/>
              </w:rPr>
              <w:t>（1）后期雨水排放监控池、流量计、视频监控、pH、SS在线监测仪及监控站房；</w:t>
            </w:r>
          </w:p>
          <w:p w14:paraId="4CCD3C90">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（2）尾气设置SO2、NOx、颗粒物在线监测并接入市监控平台</w:t>
            </w:r>
          </w:p>
        </w:tc>
      </w:tr>
      <w:tr w14:paraId="6A27F8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46338EED">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10B3517">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53E37FE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Merge w:val="restart"/>
            <w:vAlign w:val="center"/>
          </w:tcPr>
          <w:p w14:paraId="5F2A972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粉尘、SO</w:t>
            </w:r>
            <w:r>
              <w:rPr>
                <w:rFonts w:cs="Times New Roman"/>
                <w:bCs/>
                <w:kern w:val="0"/>
                <w:sz w:val="18"/>
                <w:szCs w:val="18"/>
                <w:vertAlign w:val="subscript"/>
              </w:rPr>
              <w:t>2</w:t>
            </w:r>
            <w:r>
              <w:rPr>
                <w:rFonts w:cs="Times New Roman"/>
                <w:bCs/>
                <w:kern w:val="0"/>
                <w:sz w:val="18"/>
                <w:szCs w:val="18"/>
              </w:rPr>
              <w:t>、NO</w:t>
            </w:r>
            <w:r>
              <w:rPr>
                <w:rFonts w:cs="Times New Roman"/>
                <w:bCs/>
                <w:kern w:val="0"/>
                <w:sz w:val="18"/>
                <w:szCs w:val="18"/>
                <w:vertAlign w:val="subscript"/>
              </w:rPr>
              <w:t>x</w:t>
            </w:r>
            <w:r>
              <w:rPr>
                <w:rFonts w:cs="Times New Roman"/>
                <w:bCs/>
                <w:kern w:val="0"/>
                <w:sz w:val="18"/>
                <w:szCs w:val="18"/>
              </w:rPr>
              <w:t>、NH</w:t>
            </w:r>
            <w:r>
              <w:rPr>
                <w:rFonts w:cs="Times New Roman"/>
                <w:bCs/>
                <w:kern w:val="0"/>
                <w:sz w:val="18"/>
                <w:szCs w:val="18"/>
                <w:vertAlign w:val="subscript"/>
              </w:rPr>
              <w:t>3</w:t>
            </w:r>
          </w:p>
        </w:tc>
        <w:tc>
          <w:tcPr>
            <w:tcW w:w="417" w:type="pct"/>
            <w:vMerge w:val="restart"/>
            <w:vAlign w:val="center"/>
          </w:tcPr>
          <w:p w14:paraId="789494E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0E394F4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窑尾废气经电收尘+SCNR 脱硝后经 100m 排气筒排放；</w:t>
            </w:r>
          </w:p>
        </w:tc>
        <w:tc>
          <w:tcPr>
            <w:tcW w:w="671" w:type="pct"/>
            <w:vMerge w:val="continue"/>
            <w:vAlign w:val="center"/>
          </w:tcPr>
          <w:p w14:paraId="1ABE3B9A">
            <w:pPr>
              <w:widowControl/>
              <w:snapToGrid w:val="0"/>
              <w:spacing w:line="240" w:lineRule="auto"/>
              <w:ind w:firstLine="0" w:firstLineChars="0"/>
              <w:jc w:val="center"/>
              <w:rPr>
                <w:rFonts w:cs="Times New Roman"/>
                <w:bCs/>
                <w:kern w:val="0"/>
                <w:sz w:val="18"/>
                <w:szCs w:val="18"/>
              </w:rPr>
            </w:pPr>
          </w:p>
        </w:tc>
      </w:tr>
      <w:tr w14:paraId="3CD398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298B3400">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1A7A33ED">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59BE81FC">
            <w:pPr>
              <w:widowControl/>
              <w:snapToGrid w:val="0"/>
              <w:spacing w:line="240" w:lineRule="auto"/>
              <w:ind w:firstLine="0" w:firstLineChars="0"/>
              <w:jc w:val="center"/>
              <w:rPr>
                <w:rFonts w:cs="Times New Roman"/>
                <w:bCs/>
                <w:kern w:val="0"/>
                <w:sz w:val="18"/>
                <w:szCs w:val="18"/>
              </w:rPr>
            </w:pPr>
          </w:p>
        </w:tc>
        <w:tc>
          <w:tcPr>
            <w:tcW w:w="485" w:type="pct"/>
            <w:vMerge w:val="continue"/>
            <w:vAlign w:val="center"/>
          </w:tcPr>
          <w:p w14:paraId="6767722C">
            <w:pPr>
              <w:widowControl/>
              <w:snapToGrid w:val="0"/>
              <w:spacing w:line="240" w:lineRule="auto"/>
              <w:ind w:firstLine="0" w:firstLineChars="0"/>
              <w:jc w:val="center"/>
              <w:rPr>
                <w:rFonts w:cs="Times New Roman"/>
                <w:bCs/>
                <w:kern w:val="0"/>
                <w:sz w:val="18"/>
                <w:szCs w:val="18"/>
              </w:rPr>
            </w:pPr>
          </w:p>
        </w:tc>
        <w:tc>
          <w:tcPr>
            <w:tcW w:w="417" w:type="pct"/>
            <w:vMerge w:val="continue"/>
            <w:vAlign w:val="center"/>
          </w:tcPr>
          <w:p w14:paraId="199D831F">
            <w:pPr>
              <w:widowControl/>
              <w:snapToGrid w:val="0"/>
              <w:spacing w:line="240" w:lineRule="auto"/>
              <w:ind w:firstLine="0" w:firstLineChars="0"/>
              <w:jc w:val="center"/>
              <w:rPr>
                <w:rFonts w:cs="Times New Roman"/>
                <w:bCs/>
                <w:kern w:val="0"/>
                <w:sz w:val="18"/>
                <w:szCs w:val="18"/>
              </w:rPr>
            </w:pPr>
          </w:p>
        </w:tc>
        <w:tc>
          <w:tcPr>
            <w:tcW w:w="2893" w:type="pct"/>
            <w:vAlign w:val="center"/>
          </w:tcPr>
          <w:p w14:paraId="5B1097A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烧成窑头废气经电收尘后经 40m 排气筒排放；</w:t>
            </w:r>
          </w:p>
          <w:p w14:paraId="629C6D9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煤粉制备粉尘经袋式收尘器处理后经 30m 排气筒排放；</w:t>
            </w:r>
          </w:p>
          <w:p w14:paraId="2C21D624">
            <w:pPr>
              <w:widowControl/>
              <w:snapToGrid w:val="0"/>
              <w:spacing w:line="240" w:lineRule="auto"/>
              <w:ind w:firstLine="0" w:firstLineChars="0"/>
              <w:jc w:val="center"/>
              <w:rPr>
                <w:rFonts w:cs="Times New Roman"/>
                <w:bCs/>
                <w:kern w:val="0"/>
                <w:sz w:val="18"/>
                <w:szCs w:val="18"/>
              </w:rPr>
            </w:pPr>
            <w:r>
              <w:rPr>
                <w:rFonts w:cs="Times New Roman"/>
                <w:bCs/>
                <w:spacing w:val="-3"/>
                <w:kern w:val="0"/>
                <w:sz w:val="18"/>
                <w:szCs w:val="18"/>
              </w:rPr>
              <w:t xml:space="preserve">熟料储存及输送产生的粉尘经袋式收尘器处理后经 </w:t>
            </w:r>
            <w:r>
              <w:rPr>
                <w:rFonts w:cs="Times New Roman"/>
                <w:bCs/>
                <w:kern w:val="0"/>
                <w:sz w:val="18"/>
                <w:szCs w:val="18"/>
              </w:rPr>
              <w:t xml:space="preserve">15m </w:t>
            </w:r>
            <w:r>
              <w:rPr>
                <w:rFonts w:cs="Times New Roman"/>
                <w:bCs/>
                <w:spacing w:val="-3"/>
                <w:kern w:val="0"/>
                <w:sz w:val="18"/>
                <w:szCs w:val="18"/>
              </w:rPr>
              <w:t xml:space="preserve">排气筒排放； 水泥粉磨、输送产生的粉尘经袋式除尘器处理后经 </w:t>
            </w:r>
            <w:r>
              <w:rPr>
                <w:rFonts w:cs="Times New Roman"/>
                <w:bCs/>
                <w:kern w:val="0"/>
                <w:sz w:val="18"/>
                <w:szCs w:val="18"/>
              </w:rPr>
              <w:t xml:space="preserve">30m </w:t>
            </w:r>
            <w:r>
              <w:rPr>
                <w:rFonts w:cs="Times New Roman"/>
                <w:bCs/>
                <w:spacing w:val="-3"/>
                <w:kern w:val="0"/>
                <w:sz w:val="18"/>
                <w:szCs w:val="18"/>
              </w:rPr>
              <w:t xml:space="preserve">排气筒排放； </w:t>
            </w:r>
            <w:r>
              <w:rPr>
                <w:rFonts w:cs="Times New Roman"/>
                <w:bCs/>
                <w:spacing w:val="-4"/>
                <w:kern w:val="0"/>
                <w:sz w:val="18"/>
                <w:szCs w:val="18"/>
              </w:rPr>
              <w:t xml:space="preserve">水泥包装粉尘经袋式除尘器处理后经 </w:t>
            </w:r>
            <w:r>
              <w:rPr>
                <w:rFonts w:cs="Times New Roman"/>
                <w:bCs/>
                <w:kern w:val="0"/>
                <w:sz w:val="18"/>
                <w:szCs w:val="18"/>
              </w:rPr>
              <w:t>15m 排气筒排放</w:t>
            </w:r>
          </w:p>
        </w:tc>
        <w:tc>
          <w:tcPr>
            <w:tcW w:w="671" w:type="pct"/>
            <w:vMerge w:val="continue"/>
            <w:vAlign w:val="center"/>
          </w:tcPr>
          <w:p w14:paraId="43ED063B">
            <w:pPr>
              <w:widowControl/>
              <w:snapToGrid w:val="0"/>
              <w:spacing w:line="240" w:lineRule="auto"/>
              <w:ind w:firstLine="0" w:firstLineChars="0"/>
              <w:jc w:val="center"/>
              <w:rPr>
                <w:rFonts w:cs="Times New Roman"/>
                <w:bCs/>
                <w:spacing w:val="-3"/>
                <w:kern w:val="0"/>
                <w:sz w:val="18"/>
                <w:szCs w:val="18"/>
              </w:rPr>
            </w:pPr>
          </w:p>
        </w:tc>
      </w:tr>
      <w:tr w14:paraId="1B4C2B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 w:type="pct"/>
            <w:vMerge w:val="continue"/>
            <w:vAlign w:val="center"/>
          </w:tcPr>
          <w:p w14:paraId="72A82714">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9BB0933">
            <w:pPr>
              <w:widowControl/>
              <w:snapToGrid w:val="0"/>
              <w:spacing w:line="240" w:lineRule="auto"/>
              <w:ind w:firstLine="0" w:firstLineChars="0"/>
              <w:jc w:val="center"/>
              <w:rPr>
                <w:rFonts w:cs="Times New Roman"/>
                <w:bCs/>
                <w:kern w:val="0"/>
                <w:sz w:val="18"/>
                <w:szCs w:val="18"/>
              </w:rPr>
            </w:pPr>
          </w:p>
        </w:tc>
        <w:tc>
          <w:tcPr>
            <w:tcW w:w="199" w:type="pct"/>
            <w:vAlign w:val="center"/>
          </w:tcPr>
          <w:p w14:paraId="2AA3FF9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7069DE5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13266B5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242.9t/a</w:t>
            </w:r>
          </w:p>
        </w:tc>
        <w:tc>
          <w:tcPr>
            <w:tcW w:w="2893" w:type="pct"/>
            <w:vAlign w:val="center"/>
          </w:tcPr>
          <w:p w14:paraId="6383A808">
            <w:pPr>
              <w:widowControl/>
              <w:snapToGrid w:val="0"/>
              <w:spacing w:line="240" w:lineRule="auto"/>
              <w:ind w:firstLine="0" w:firstLineChars="0"/>
              <w:jc w:val="center"/>
              <w:rPr>
                <w:rFonts w:cs="Times New Roman"/>
                <w:bCs/>
                <w:spacing w:val="-6"/>
                <w:kern w:val="0"/>
                <w:sz w:val="18"/>
                <w:szCs w:val="18"/>
              </w:rPr>
            </w:pPr>
            <w:r>
              <w:rPr>
                <w:rFonts w:cs="Times New Roman"/>
                <w:bCs/>
                <w:spacing w:val="-6"/>
                <w:kern w:val="0"/>
                <w:sz w:val="18"/>
                <w:szCs w:val="18"/>
              </w:rPr>
              <w:t>炉渣和尘灰回用于生产工艺；水泥包装袋由废品回收公司回收； 生活垃圾交由环卫部门进行处理</w:t>
            </w:r>
          </w:p>
        </w:tc>
        <w:tc>
          <w:tcPr>
            <w:tcW w:w="671" w:type="pct"/>
            <w:vMerge w:val="continue"/>
            <w:vAlign w:val="center"/>
          </w:tcPr>
          <w:p w14:paraId="7DFD7B98">
            <w:pPr>
              <w:widowControl/>
              <w:snapToGrid w:val="0"/>
              <w:spacing w:line="240" w:lineRule="auto"/>
              <w:ind w:firstLine="0" w:firstLineChars="0"/>
              <w:jc w:val="center"/>
              <w:rPr>
                <w:rFonts w:cs="Times New Roman"/>
                <w:bCs/>
                <w:kern w:val="0"/>
                <w:sz w:val="18"/>
                <w:szCs w:val="18"/>
              </w:rPr>
            </w:pPr>
          </w:p>
        </w:tc>
      </w:tr>
      <w:tr w14:paraId="68F38C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613EBCFF">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15</w:t>
            </w:r>
          </w:p>
          <w:p w14:paraId="11C2C503">
            <w:pPr>
              <w:autoSpaceDE w:val="0"/>
              <w:autoSpaceDN w:val="0"/>
              <w:snapToGrid w:val="0"/>
              <w:spacing w:line="240" w:lineRule="auto"/>
              <w:ind w:firstLine="0" w:firstLineChars="0"/>
              <w:jc w:val="center"/>
              <w:rPr>
                <w:rFonts w:cs="Times New Roman"/>
                <w:bCs/>
                <w:kern w:val="0"/>
                <w:sz w:val="18"/>
                <w:szCs w:val="18"/>
              </w:rPr>
            </w:pPr>
          </w:p>
        </w:tc>
        <w:tc>
          <w:tcPr>
            <w:tcW w:w="231" w:type="pct"/>
            <w:vMerge w:val="restart"/>
            <w:vAlign w:val="center"/>
          </w:tcPr>
          <w:p w14:paraId="318428F7">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湖南蓝旗格气体有限公司</w:t>
            </w:r>
          </w:p>
        </w:tc>
        <w:tc>
          <w:tcPr>
            <w:tcW w:w="199" w:type="pct"/>
            <w:vAlign w:val="center"/>
          </w:tcPr>
          <w:p w14:paraId="1BE14CCE">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2B79B8D7">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pH值、化学需氧量、五日生化需氧量、悬浮物、氨氮、动植物油</w:t>
            </w:r>
          </w:p>
        </w:tc>
        <w:tc>
          <w:tcPr>
            <w:tcW w:w="417" w:type="pct"/>
            <w:vAlign w:val="center"/>
          </w:tcPr>
          <w:p w14:paraId="5196CD08">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38BF32B9">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生产废水回用不外排；生活污水进入市政管网。</w:t>
            </w:r>
          </w:p>
        </w:tc>
        <w:tc>
          <w:tcPr>
            <w:tcW w:w="671" w:type="pct"/>
            <w:vMerge w:val="restart"/>
            <w:vAlign w:val="center"/>
          </w:tcPr>
          <w:p w14:paraId="6020EA6F">
            <w:pPr>
              <w:autoSpaceDE w:val="0"/>
              <w:autoSpaceDN w:val="0"/>
              <w:snapToGrid w:val="0"/>
              <w:spacing w:line="240" w:lineRule="auto"/>
              <w:ind w:firstLine="0" w:firstLineChars="0"/>
              <w:jc w:val="center"/>
              <w:rPr>
                <w:rFonts w:cs="Times New Roman"/>
                <w:bCs/>
                <w:kern w:val="0"/>
                <w:sz w:val="18"/>
                <w:szCs w:val="18"/>
              </w:rPr>
            </w:pPr>
            <w:r>
              <w:rPr>
                <w:rFonts w:cs="Times New Roman"/>
                <w:kern w:val="0"/>
                <w:sz w:val="18"/>
                <w:szCs w:val="18"/>
              </w:rPr>
              <w:t>后期雨水排放监控池、流量计、视频监控、pH在线监测仪及监控站房</w:t>
            </w:r>
          </w:p>
        </w:tc>
      </w:tr>
      <w:tr w14:paraId="493146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7B4FE37">
            <w:pPr>
              <w:autoSpaceDE w:val="0"/>
              <w:autoSpaceDN w:val="0"/>
              <w:snapToGrid w:val="0"/>
              <w:spacing w:line="240" w:lineRule="auto"/>
              <w:ind w:firstLine="0" w:firstLineChars="0"/>
              <w:jc w:val="center"/>
              <w:rPr>
                <w:rFonts w:cs="Times New Roman"/>
                <w:bCs/>
                <w:kern w:val="0"/>
                <w:sz w:val="18"/>
                <w:szCs w:val="18"/>
              </w:rPr>
            </w:pPr>
          </w:p>
        </w:tc>
        <w:tc>
          <w:tcPr>
            <w:tcW w:w="231" w:type="pct"/>
            <w:vMerge w:val="continue"/>
            <w:vAlign w:val="center"/>
          </w:tcPr>
          <w:p w14:paraId="324ADD19">
            <w:pPr>
              <w:autoSpaceDE w:val="0"/>
              <w:autoSpaceDN w:val="0"/>
              <w:snapToGrid w:val="0"/>
              <w:spacing w:line="240" w:lineRule="auto"/>
              <w:ind w:firstLine="0" w:firstLineChars="0"/>
              <w:jc w:val="center"/>
              <w:rPr>
                <w:rFonts w:cs="Times New Roman"/>
                <w:bCs/>
                <w:kern w:val="0"/>
                <w:sz w:val="18"/>
                <w:szCs w:val="18"/>
              </w:rPr>
            </w:pPr>
          </w:p>
        </w:tc>
        <w:tc>
          <w:tcPr>
            <w:tcW w:w="199" w:type="pct"/>
            <w:vAlign w:val="center"/>
          </w:tcPr>
          <w:p w14:paraId="1829A2EF">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4F75A7A6">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非甲烷总烃、硫化氢、丙酮</w:t>
            </w:r>
          </w:p>
        </w:tc>
        <w:tc>
          <w:tcPr>
            <w:tcW w:w="417" w:type="pct"/>
            <w:vAlign w:val="center"/>
          </w:tcPr>
          <w:p w14:paraId="0641A15E">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7963E65B">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通风</w:t>
            </w:r>
          </w:p>
        </w:tc>
        <w:tc>
          <w:tcPr>
            <w:tcW w:w="671" w:type="pct"/>
            <w:vMerge w:val="continue"/>
            <w:vAlign w:val="center"/>
          </w:tcPr>
          <w:p w14:paraId="45B5F9F1">
            <w:pPr>
              <w:autoSpaceDE w:val="0"/>
              <w:autoSpaceDN w:val="0"/>
              <w:snapToGrid w:val="0"/>
              <w:spacing w:line="240" w:lineRule="auto"/>
              <w:ind w:firstLine="0" w:firstLineChars="0"/>
              <w:jc w:val="center"/>
              <w:rPr>
                <w:rFonts w:cs="Times New Roman"/>
                <w:bCs/>
                <w:kern w:val="0"/>
                <w:sz w:val="18"/>
                <w:szCs w:val="18"/>
              </w:rPr>
            </w:pPr>
          </w:p>
        </w:tc>
      </w:tr>
      <w:tr w14:paraId="6FC47A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67B6BB21">
            <w:pPr>
              <w:autoSpaceDE w:val="0"/>
              <w:autoSpaceDN w:val="0"/>
              <w:snapToGrid w:val="0"/>
              <w:spacing w:line="240" w:lineRule="auto"/>
              <w:ind w:firstLine="0" w:firstLineChars="0"/>
              <w:jc w:val="center"/>
              <w:rPr>
                <w:rFonts w:cs="Times New Roman"/>
                <w:bCs/>
                <w:kern w:val="0"/>
                <w:sz w:val="18"/>
                <w:szCs w:val="18"/>
              </w:rPr>
            </w:pPr>
          </w:p>
        </w:tc>
        <w:tc>
          <w:tcPr>
            <w:tcW w:w="231" w:type="pct"/>
            <w:vMerge w:val="continue"/>
            <w:vAlign w:val="center"/>
          </w:tcPr>
          <w:p w14:paraId="547A1403">
            <w:pPr>
              <w:autoSpaceDE w:val="0"/>
              <w:autoSpaceDN w:val="0"/>
              <w:snapToGrid w:val="0"/>
              <w:spacing w:line="240" w:lineRule="auto"/>
              <w:ind w:firstLine="0" w:firstLineChars="0"/>
              <w:jc w:val="center"/>
              <w:rPr>
                <w:rFonts w:cs="Times New Roman"/>
                <w:bCs/>
                <w:kern w:val="0"/>
                <w:sz w:val="18"/>
                <w:szCs w:val="18"/>
              </w:rPr>
            </w:pPr>
          </w:p>
        </w:tc>
        <w:tc>
          <w:tcPr>
            <w:tcW w:w="199" w:type="pct"/>
            <w:vAlign w:val="center"/>
          </w:tcPr>
          <w:p w14:paraId="462D292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5B0AF5F5">
            <w:pPr>
              <w:autoSpaceDE w:val="0"/>
              <w:autoSpaceDN w:val="0"/>
              <w:snapToGrid w:val="0"/>
              <w:spacing w:line="240" w:lineRule="auto"/>
              <w:ind w:firstLine="0" w:firstLineChars="0"/>
              <w:jc w:val="center"/>
              <w:rPr>
                <w:rFonts w:cs="Times New Roman"/>
                <w:bCs/>
                <w:kern w:val="0"/>
                <w:sz w:val="18"/>
                <w:szCs w:val="18"/>
              </w:rPr>
            </w:pPr>
          </w:p>
        </w:tc>
        <w:tc>
          <w:tcPr>
            <w:tcW w:w="417" w:type="pct"/>
            <w:vAlign w:val="center"/>
          </w:tcPr>
          <w:p w14:paraId="1A0AFCD3">
            <w:pPr>
              <w:autoSpaceDE w:val="0"/>
              <w:autoSpaceDN w:val="0"/>
              <w:snapToGrid w:val="0"/>
              <w:spacing w:line="240" w:lineRule="auto"/>
              <w:ind w:firstLine="0" w:firstLineChars="0"/>
              <w:jc w:val="center"/>
              <w:rPr>
                <w:rFonts w:cs="Times New Roman"/>
                <w:bCs/>
                <w:kern w:val="0"/>
                <w:sz w:val="18"/>
                <w:szCs w:val="18"/>
              </w:rPr>
            </w:pPr>
          </w:p>
        </w:tc>
        <w:tc>
          <w:tcPr>
            <w:tcW w:w="2893" w:type="pct"/>
            <w:vAlign w:val="center"/>
          </w:tcPr>
          <w:p w14:paraId="3087E8D3">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废电石渣、废分子筛经压滤干化处理后作为水泥生产原料出售；废油设置了危废暂存间，定期委托危废资质单位处置</w:t>
            </w:r>
          </w:p>
        </w:tc>
        <w:tc>
          <w:tcPr>
            <w:tcW w:w="671" w:type="pct"/>
            <w:vMerge w:val="continue"/>
            <w:vAlign w:val="center"/>
          </w:tcPr>
          <w:p w14:paraId="33D97611">
            <w:pPr>
              <w:autoSpaceDE w:val="0"/>
              <w:autoSpaceDN w:val="0"/>
              <w:snapToGrid w:val="0"/>
              <w:spacing w:line="240" w:lineRule="auto"/>
              <w:ind w:firstLine="0" w:firstLineChars="0"/>
              <w:jc w:val="center"/>
              <w:rPr>
                <w:rFonts w:cs="Times New Roman"/>
                <w:bCs/>
                <w:kern w:val="0"/>
                <w:sz w:val="18"/>
                <w:szCs w:val="18"/>
              </w:rPr>
            </w:pPr>
          </w:p>
        </w:tc>
      </w:tr>
      <w:tr w14:paraId="45FAE5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1F42900D">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16</w:t>
            </w:r>
          </w:p>
          <w:p w14:paraId="263C7FE1">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7C040F2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衡阳屹顺化工有限公司</w:t>
            </w:r>
          </w:p>
        </w:tc>
        <w:tc>
          <w:tcPr>
            <w:tcW w:w="199" w:type="pct"/>
            <w:vAlign w:val="center"/>
          </w:tcPr>
          <w:p w14:paraId="6223B2E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402D6CE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SS、pH、COD</w:t>
            </w:r>
          </w:p>
        </w:tc>
        <w:tc>
          <w:tcPr>
            <w:tcW w:w="417" w:type="pct"/>
            <w:vAlign w:val="center"/>
          </w:tcPr>
          <w:p w14:paraId="20605AE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12000m</w:t>
            </w:r>
            <w:r>
              <w:rPr>
                <w:rFonts w:cs="Times New Roman"/>
                <w:bCs/>
                <w:kern w:val="0"/>
                <w:position w:val="8"/>
                <w:sz w:val="18"/>
                <w:szCs w:val="18"/>
              </w:rPr>
              <w:t>3</w:t>
            </w:r>
            <w:r>
              <w:rPr>
                <w:rFonts w:cs="Times New Roman"/>
                <w:bCs/>
                <w:kern w:val="0"/>
                <w:sz w:val="18"/>
                <w:szCs w:val="18"/>
              </w:rPr>
              <w:t>/a</w:t>
            </w:r>
          </w:p>
        </w:tc>
        <w:tc>
          <w:tcPr>
            <w:tcW w:w="2893" w:type="pct"/>
            <w:vAlign w:val="center"/>
          </w:tcPr>
          <w:p w14:paraId="1C81355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导热油炉除尘废水排入厂区经沉淀处理后循环利用；</w:t>
            </w:r>
          </w:p>
          <w:p w14:paraId="434155BA">
            <w:pPr>
              <w:widowControl/>
              <w:snapToGrid w:val="0"/>
              <w:spacing w:line="240" w:lineRule="auto"/>
              <w:ind w:firstLine="0" w:firstLineChars="0"/>
              <w:jc w:val="center"/>
              <w:rPr>
                <w:rFonts w:cs="Times New Roman"/>
                <w:bCs/>
                <w:kern w:val="0"/>
                <w:sz w:val="18"/>
                <w:szCs w:val="18"/>
              </w:rPr>
            </w:pPr>
            <w:r>
              <w:rPr>
                <w:rFonts w:cs="Times New Roman"/>
                <w:bCs/>
                <w:spacing w:val="-6"/>
                <w:kern w:val="0"/>
                <w:sz w:val="18"/>
                <w:szCs w:val="18"/>
              </w:rPr>
              <w:t>车间清洗水经污水管网流入污水处理站废水池，经臭氧氧化、氢氧化钠中和后送至松木污</w:t>
            </w:r>
            <w:r>
              <w:rPr>
                <w:rFonts w:cs="Times New Roman"/>
                <w:bCs/>
                <w:kern w:val="0"/>
                <w:sz w:val="18"/>
                <w:szCs w:val="18"/>
              </w:rPr>
              <w:t>水处理站处理；</w:t>
            </w:r>
          </w:p>
          <w:p w14:paraId="3A66B90F">
            <w:pPr>
              <w:widowControl/>
              <w:snapToGrid w:val="0"/>
              <w:spacing w:line="240" w:lineRule="auto"/>
              <w:ind w:firstLine="0" w:firstLineChars="0"/>
              <w:jc w:val="center"/>
              <w:rPr>
                <w:rFonts w:cs="Times New Roman"/>
                <w:bCs/>
                <w:kern w:val="0"/>
                <w:sz w:val="18"/>
                <w:szCs w:val="18"/>
              </w:rPr>
            </w:pPr>
            <w:r>
              <w:rPr>
                <w:rFonts w:cs="Times New Roman"/>
                <w:bCs/>
                <w:spacing w:val="-6"/>
                <w:kern w:val="0"/>
                <w:sz w:val="18"/>
                <w:szCs w:val="18"/>
              </w:rPr>
              <w:t>厂区初期雨水流入事故池后泵送至污水处理站废水池，经臭氧氧化、氢氧化钠中和后再经</w:t>
            </w:r>
            <w:r>
              <w:rPr>
                <w:rFonts w:cs="Times New Roman"/>
                <w:bCs/>
                <w:kern w:val="0"/>
                <w:sz w:val="18"/>
                <w:szCs w:val="18"/>
              </w:rPr>
              <w:t>经开区污水管网送松木污水处理站处理；</w:t>
            </w:r>
          </w:p>
          <w:p w14:paraId="1B84DAB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生活污水经化粪池处理后进入经开区污水管网，进入松木污水处理厂处理</w:t>
            </w:r>
          </w:p>
        </w:tc>
        <w:tc>
          <w:tcPr>
            <w:tcW w:w="671" w:type="pct"/>
            <w:vMerge w:val="restart"/>
            <w:vAlign w:val="center"/>
          </w:tcPr>
          <w:p w14:paraId="2BA7AB5B">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后期雨水排放监控池、流量计、视频监控、pH、COD在线监测仪及监控站房</w:t>
            </w:r>
          </w:p>
        </w:tc>
      </w:tr>
      <w:tr w14:paraId="3512F2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CE5F861">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8713770">
            <w:pPr>
              <w:widowControl/>
              <w:snapToGrid w:val="0"/>
              <w:spacing w:line="240" w:lineRule="auto"/>
              <w:ind w:firstLine="0" w:firstLineChars="0"/>
              <w:jc w:val="center"/>
              <w:rPr>
                <w:rFonts w:cs="Times New Roman"/>
                <w:bCs/>
                <w:kern w:val="0"/>
                <w:sz w:val="18"/>
                <w:szCs w:val="18"/>
              </w:rPr>
            </w:pPr>
          </w:p>
        </w:tc>
        <w:tc>
          <w:tcPr>
            <w:tcW w:w="199" w:type="pct"/>
            <w:vAlign w:val="center"/>
          </w:tcPr>
          <w:p w14:paraId="31BA296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49D2D4B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颗粒物、SO</w:t>
            </w:r>
            <w:r>
              <w:rPr>
                <w:rFonts w:cs="Times New Roman"/>
                <w:bCs/>
                <w:kern w:val="0"/>
                <w:sz w:val="18"/>
                <w:szCs w:val="18"/>
                <w:vertAlign w:val="subscript"/>
              </w:rPr>
              <w:t>2</w:t>
            </w:r>
            <w:r>
              <w:rPr>
                <w:rFonts w:cs="Times New Roman"/>
                <w:bCs/>
                <w:kern w:val="0"/>
                <w:sz w:val="18"/>
                <w:szCs w:val="18"/>
              </w:rPr>
              <w:t>、NO</w:t>
            </w:r>
            <w:r>
              <w:rPr>
                <w:rFonts w:cs="Times New Roman"/>
                <w:bCs/>
                <w:kern w:val="0"/>
                <w:sz w:val="18"/>
                <w:szCs w:val="18"/>
                <w:vertAlign w:val="subscript"/>
              </w:rPr>
              <w:t xml:space="preserve">x </w:t>
            </w:r>
            <w:r>
              <w:rPr>
                <w:rFonts w:cs="Times New Roman"/>
                <w:bCs/>
                <w:kern w:val="0"/>
                <w:sz w:val="18"/>
                <w:szCs w:val="18"/>
              </w:rPr>
              <w:t>等</w:t>
            </w:r>
          </w:p>
        </w:tc>
        <w:tc>
          <w:tcPr>
            <w:tcW w:w="417" w:type="pct"/>
            <w:vAlign w:val="center"/>
          </w:tcPr>
          <w:p w14:paraId="1D454DD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1CA99DA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导热油炉烟气采用麻石水膜除尘器+旋流板除尘器处理后经 30m 排气筒排放； 酸化废气经三级水吸收塔处理后经 20m 排气筒排放；</w:t>
            </w:r>
          </w:p>
          <w:p w14:paraId="201DCCE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硫酸钠回转冷却废气采用碱吸收塔进行吸收处理后经 20m 排气筒排放；</w:t>
            </w:r>
          </w:p>
          <w:p w14:paraId="03F9131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食堂油烟采用油烟净化设施处理后经专用排气筒排放</w:t>
            </w:r>
          </w:p>
        </w:tc>
        <w:tc>
          <w:tcPr>
            <w:tcW w:w="671" w:type="pct"/>
            <w:vMerge w:val="continue"/>
            <w:vAlign w:val="center"/>
          </w:tcPr>
          <w:p w14:paraId="6971D792">
            <w:pPr>
              <w:widowControl/>
              <w:snapToGrid w:val="0"/>
              <w:spacing w:line="240" w:lineRule="auto"/>
              <w:ind w:firstLine="0" w:firstLineChars="0"/>
              <w:jc w:val="center"/>
              <w:rPr>
                <w:rFonts w:cs="Times New Roman"/>
                <w:bCs/>
                <w:kern w:val="0"/>
                <w:sz w:val="18"/>
                <w:szCs w:val="18"/>
              </w:rPr>
            </w:pPr>
          </w:p>
        </w:tc>
      </w:tr>
      <w:tr w14:paraId="7A2BAB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6FF2CE1">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8B13775">
            <w:pPr>
              <w:widowControl/>
              <w:snapToGrid w:val="0"/>
              <w:spacing w:line="240" w:lineRule="auto"/>
              <w:ind w:firstLine="0" w:firstLineChars="0"/>
              <w:jc w:val="center"/>
              <w:rPr>
                <w:rFonts w:cs="Times New Roman"/>
                <w:bCs/>
                <w:kern w:val="0"/>
                <w:sz w:val="18"/>
                <w:szCs w:val="18"/>
              </w:rPr>
            </w:pPr>
          </w:p>
        </w:tc>
        <w:tc>
          <w:tcPr>
            <w:tcW w:w="199" w:type="pct"/>
            <w:vAlign w:val="center"/>
          </w:tcPr>
          <w:p w14:paraId="07834C6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5CED58D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358AF45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313.86t/a</w:t>
            </w:r>
          </w:p>
        </w:tc>
        <w:tc>
          <w:tcPr>
            <w:tcW w:w="2893" w:type="pct"/>
            <w:vAlign w:val="center"/>
          </w:tcPr>
          <w:p w14:paraId="546CCEE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生活垃圾厂内收集后交由环卫部门处理；</w:t>
            </w:r>
          </w:p>
          <w:p w14:paraId="09649A5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导热油炉炉渣、除尘渣外售作农肥</w:t>
            </w:r>
          </w:p>
        </w:tc>
        <w:tc>
          <w:tcPr>
            <w:tcW w:w="671" w:type="pct"/>
            <w:vMerge w:val="continue"/>
            <w:vAlign w:val="center"/>
          </w:tcPr>
          <w:p w14:paraId="040B32D7">
            <w:pPr>
              <w:widowControl/>
              <w:snapToGrid w:val="0"/>
              <w:spacing w:line="240" w:lineRule="auto"/>
              <w:ind w:firstLine="0" w:firstLineChars="0"/>
              <w:jc w:val="center"/>
              <w:rPr>
                <w:rFonts w:cs="Times New Roman"/>
                <w:bCs/>
                <w:kern w:val="0"/>
                <w:sz w:val="18"/>
                <w:szCs w:val="18"/>
              </w:rPr>
            </w:pPr>
          </w:p>
        </w:tc>
      </w:tr>
      <w:tr w14:paraId="09EECB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21183A3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17</w:t>
            </w:r>
          </w:p>
          <w:p w14:paraId="0C0CFDFC">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446EE67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衡阳市凯信化工试剂股份有限公司</w:t>
            </w:r>
          </w:p>
        </w:tc>
        <w:tc>
          <w:tcPr>
            <w:tcW w:w="199" w:type="pct"/>
            <w:vAlign w:val="center"/>
          </w:tcPr>
          <w:p w14:paraId="3868628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2083992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化学需氧量、五日生化需氧量、悬浮物、氨氮、石油类</w:t>
            </w:r>
          </w:p>
        </w:tc>
        <w:tc>
          <w:tcPr>
            <w:tcW w:w="417" w:type="pct"/>
            <w:vAlign w:val="center"/>
          </w:tcPr>
          <w:p w14:paraId="6118D2D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28296t/a</w:t>
            </w:r>
          </w:p>
        </w:tc>
        <w:tc>
          <w:tcPr>
            <w:tcW w:w="2893" w:type="pct"/>
            <w:vAlign w:val="center"/>
          </w:tcPr>
          <w:p w14:paraId="2B92F99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经厂废水处理站处理后通过市政管网进入园区污水处理站进行处理。</w:t>
            </w:r>
          </w:p>
        </w:tc>
        <w:tc>
          <w:tcPr>
            <w:tcW w:w="671" w:type="pct"/>
            <w:vMerge w:val="restart"/>
            <w:vAlign w:val="center"/>
          </w:tcPr>
          <w:p w14:paraId="58CEDBBB">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后期雨水排放监控池、流量计、视频监控、pH在线监测仪及监控站房</w:t>
            </w:r>
          </w:p>
        </w:tc>
      </w:tr>
      <w:tr w14:paraId="4AC581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909826C">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54B1A21">
            <w:pPr>
              <w:widowControl/>
              <w:snapToGrid w:val="0"/>
              <w:spacing w:line="240" w:lineRule="auto"/>
              <w:ind w:firstLine="0" w:firstLineChars="0"/>
              <w:jc w:val="center"/>
              <w:rPr>
                <w:rFonts w:cs="Times New Roman"/>
                <w:bCs/>
                <w:kern w:val="0"/>
                <w:sz w:val="18"/>
                <w:szCs w:val="18"/>
              </w:rPr>
            </w:pPr>
          </w:p>
        </w:tc>
        <w:tc>
          <w:tcPr>
            <w:tcW w:w="199" w:type="pct"/>
            <w:vAlign w:val="center"/>
          </w:tcPr>
          <w:p w14:paraId="7631DD0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1C6F032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硫酸雾、氯化氢、NO2、苯、甲苯、二甲苯、甲醇、甲醛、氨等</w:t>
            </w:r>
          </w:p>
        </w:tc>
        <w:tc>
          <w:tcPr>
            <w:tcW w:w="417" w:type="pct"/>
            <w:vAlign w:val="center"/>
          </w:tcPr>
          <w:p w14:paraId="1346B62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03490923">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硫酸、盐酸、硝酸生产过程中产生的酸雾采用“填料塔+碱洗塔”二级吸收处理后达标排放；有机化学试剂生产过程中产生的挥发性有机气体经活性炭吸附处理后达标排；氨水生产过程中产生的氨气，经引风机抽排通过排气筒有组织排放</w:t>
            </w:r>
          </w:p>
        </w:tc>
        <w:tc>
          <w:tcPr>
            <w:tcW w:w="671" w:type="pct"/>
            <w:vMerge w:val="continue"/>
            <w:vAlign w:val="center"/>
          </w:tcPr>
          <w:p w14:paraId="7BEC6AD4">
            <w:pPr>
              <w:widowControl/>
              <w:snapToGrid w:val="0"/>
              <w:spacing w:line="240" w:lineRule="auto"/>
              <w:ind w:firstLine="0" w:firstLineChars="0"/>
              <w:jc w:val="center"/>
              <w:rPr>
                <w:rFonts w:cs="Times New Roman"/>
                <w:bCs/>
                <w:kern w:val="0"/>
                <w:sz w:val="18"/>
                <w:szCs w:val="18"/>
              </w:rPr>
            </w:pPr>
          </w:p>
        </w:tc>
      </w:tr>
      <w:tr w14:paraId="06363D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62F8CE2">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BBB393F">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263537E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55479D6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7634D0C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20t/a</w:t>
            </w:r>
          </w:p>
        </w:tc>
        <w:tc>
          <w:tcPr>
            <w:tcW w:w="2893" w:type="pct"/>
            <w:vAlign w:val="center"/>
          </w:tcPr>
          <w:p w14:paraId="0B40990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一般固废由厂家回收或物资回收部门处理。</w:t>
            </w:r>
          </w:p>
        </w:tc>
        <w:tc>
          <w:tcPr>
            <w:tcW w:w="671" w:type="pct"/>
            <w:vMerge w:val="continue"/>
            <w:vAlign w:val="center"/>
          </w:tcPr>
          <w:p w14:paraId="29F3931C">
            <w:pPr>
              <w:widowControl/>
              <w:snapToGrid w:val="0"/>
              <w:spacing w:line="240" w:lineRule="auto"/>
              <w:ind w:firstLine="0" w:firstLineChars="0"/>
              <w:jc w:val="center"/>
              <w:rPr>
                <w:rFonts w:cs="Times New Roman"/>
                <w:bCs/>
                <w:kern w:val="0"/>
                <w:sz w:val="18"/>
                <w:szCs w:val="18"/>
              </w:rPr>
            </w:pPr>
          </w:p>
        </w:tc>
      </w:tr>
      <w:tr w14:paraId="71F225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11577D28">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56BA37F">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260D7931">
            <w:pPr>
              <w:widowControl/>
              <w:snapToGrid w:val="0"/>
              <w:spacing w:line="240" w:lineRule="auto"/>
              <w:ind w:firstLine="0" w:firstLineChars="0"/>
              <w:jc w:val="center"/>
              <w:rPr>
                <w:rFonts w:cs="Times New Roman"/>
                <w:bCs/>
                <w:kern w:val="0"/>
                <w:sz w:val="18"/>
                <w:szCs w:val="18"/>
              </w:rPr>
            </w:pPr>
          </w:p>
        </w:tc>
        <w:tc>
          <w:tcPr>
            <w:tcW w:w="485" w:type="pct"/>
            <w:vAlign w:val="center"/>
          </w:tcPr>
          <w:p w14:paraId="18045E5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危险废物</w:t>
            </w:r>
          </w:p>
        </w:tc>
        <w:tc>
          <w:tcPr>
            <w:tcW w:w="417" w:type="pct"/>
            <w:vAlign w:val="center"/>
          </w:tcPr>
          <w:p w14:paraId="1B63517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300t/a</w:t>
            </w:r>
          </w:p>
        </w:tc>
        <w:tc>
          <w:tcPr>
            <w:tcW w:w="2893" w:type="pct"/>
            <w:vAlign w:val="center"/>
          </w:tcPr>
          <w:p w14:paraId="059CF88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危险废物委托有资质单位处理，</w:t>
            </w:r>
          </w:p>
        </w:tc>
        <w:tc>
          <w:tcPr>
            <w:tcW w:w="671" w:type="pct"/>
            <w:vMerge w:val="continue"/>
            <w:vAlign w:val="center"/>
          </w:tcPr>
          <w:p w14:paraId="5133CDA3">
            <w:pPr>
              <w:widowControl/>
              <w:snapToGrid w:val="0"/>
              <w:spacing w:line="240" w:lineRule="auto"/>
              <w:ind w:firstLine="0" w:firstLineChars="0"/>
              <w:jc w:val="center"/>
              <w:rPr>
                <w:rFonts w:cs="Times New Roman"/>
                <w:bCs/>
                <w:kern w:val="0"/>
                <w:sz w:val="18"/>
                <w:szCs w:val="18"/>
              </w:rPr>
            </w:pPr>
          </w:p>
        </w:tc>
      </w:tr>
      <w:tr w14:paraId="4E9A11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70D85FB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18</w:t>
            </w:r>
          </w:p>
          <w:p w14:paraId="29A3FC24">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4497683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湖南湘硕化工有限公司</w:t>
            </w:r>
          </w:p>
        </w:tc>
        <w:tc>
          <w:tcPr>
            <w:tcW w:w="199" w:type="pct"/>
            <w:vAlign w:val="center"/>
          </w:tcPr>
          <w:p w14:paraId="71B95EE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603D51E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COD、pH、氨氮、SS</w:t>
            </w:r>
          </w:p>
        </w:tc>
        <w:tc>
          <w:tcPr>
            <w:tcW w:w="417" w:type="pct"/>
            <w:vAlign w:val="center"/>
          </w:tcPr>
          <w:p w14:paraId="0618E11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11758t/a</w:t>
            </w:r>
          </w:p>
        </w:tc>
        <w:tc>
          <w:tcPr>
            <w:tcW w:w="2893" w:type="pct"/>
            <w:vAlign w:val="center"/>
          </w:tcPr>
          <w:p w14:paraId="273DD9EF">
            <w:pPr>
              <w:widowControl/>
              <w:snapToGrid w:val="0"/>
              <w:spacing w:line="240" w:lineRule="auto"/>
              <w:ind w:firstLine="0" w:firstLineChars="0"/>
              <w:jc w:val="center"/>
              <w:rPr>
                <w:rFonts w:cs="Times New Roman"/>
                <w:bCs/>
                <w:kern w:val="0"/>
                <w:sz w:val="18"/>
                <w:szCs w:val="18"/>
              </w:rPr>
            </w:pPr>
            <w:r>
              <w:rPr>
                <w:rFonts w:cs="Times New Roman"/>
                <w:bCs/>
                <w:spacing w:val="-10"/>
                <w:kern w:val="0"/>
                <w:sz w:val="18"/>
                <w:szCs w:val="18"/>
              </w:rPr>
              <w:t>硫代卡巴肼、亚硝基二苯胺和硫酸肼母液蒸馏脱水产生的冷凝废水、硫化碱工序母液浓缩</w:t>
            </w:r>
            <w:r>
              <w:rPr>
                <w:rFonts w:cs="Times New Roman"/>
                <w:bCs/>
                <w:kern w:val="0"/>
                <w:sz w:val="18"/>
                <w:szCs w:val="18"/>
              </w:rPr>
              <w:t>蒸发冷凝水经酸碱中和处理后经园区污水管网送松木污水处理厂处理；</w:t>
            </w:r>
          </w:p>
          <w:p w14:paraId="5BE8B6D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锅炉软化水处理产生的浓水经酸碱中和处理后排入雨水管网；</w:t>
            </w:r>
          </w:p>
          <w:p w14:paraId="567379A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车间保洁废水经中和、鸟粪石沉淀处理后经园区污水管网送松木污水处理厂处理； 生活污水经化粪池处理后经污水管网进入松木污水处理厂</w:t>
            </w:r>
          </w:p>
        </w:tc>
        <w:tc>
          <w:tcPr>
            <w:tcW w:w="671" w:type="pct"/>
            <w:vMerge w:val="restart"/>
            <w:vAlign w:val="center"/>
          </w:tcPr>
          <w:p w14:paraId="7E9EB468">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后期雨水排放监控池、流量计、视频监控、pH、氨氮在线监测仪及监控站房</w:t>
            </w:r>
          </w:p>
        </w:tc>
      </w:tr>
      <w:tr w14:paraId="41DA4E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72DD673">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DB0CDCB">
            <w:pPr>
              <w:widowControl/>
              <w:snapToGrid w:val="0"/>
              <w:spacing w:line="240" w:lineRule="auto"/>
              <w:ind w:firstLine="0" w:firstLineChars="0"/>
              <w:jc w:val="center"/>
              <w:rPr>
                <w:rFonts w:cs="Times New Roman"/>
                <w:bCs/>
                <w:kern w:val="0"/>
                <w:sz w:val="18"/>
                <w:szCs w:val="18"/>
              </w:rPr>
            </w:pPr>
          </w:p>
        </w:tc>
        <w:tc>
          <w:tcPr>
            <w:tcW w:w="199" w:type="pct"/>
            <w:vAlign w:val="center"/>
          </w:tcPr>
          <w:p w14:paraId="772A679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6B34411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粉尘、VOC</w:t>
            </w:r>
            <w:r>
              <w:rPr>
                <w:rFonts w:cs="Times New Roman"/>
                <w:bCs/>
                <w:kern w:val="0"/>
                <w:sz w:val="18"/>
                <w:szCs w:val="18"/>
                <w:vertAlign w:val="subscript"/>
              </w:rPr>
              <w:t>S</w:t>
            </w:r>
            <w:r>
              <w:rPr>
                <w:rFonts w:cs="Times New Roman"/>
                <w:bCs/>
                <w:kern w:val="0"/>
                <w:sz w:val="18"/>
                <w:szCs w:val="18"/>
              </w:rPr>
              <w:t>、硫化氢、SO</w:t>
            </w:r>
            <w:r>
              <w:rPr>
                <w:rFonts w:cs="Times New Roman"/>
                <w:bCs/>
                <w:kern w:val="0"/>
                <w:sz w:val="18"/>
                <w:szCs w:val="18"/>
                <w:vertAlign w:val="subscript"/>
              </w:rPr>
              <w:t>2</w:t>
            </w:r>
            <w:r>
              <w:rPr>
                <w:rFonts w:cs="Times New Roman"/>
                <w:bCs/>
                <w:kern w:val="0"/>
                <w:sz w:val="18"/>
                <w:szCs w:val="18"/>
              </w:rPr>
              <w:t>、NO</w:t>
            </w:r>
            <w:r>
              <w:rPr>
                <w:rFonts w:cs="Times New Roman"/>
                <w:bCs/>
                <w:kern w:val="0"/>
                <w:sz w:val="18"/>
                <w:szCs w:val="18"/>
                <w:vertAlign w:val="subscript"/>
              </w:rPr>
              <w:t>X</w:t>
            </w:r>
            <w:r>
              <w:rPr>
                <w:rFonts w:cs="Times New Roman"/>
                <w:bCs/>
                <w:kern w:val="0"/>
                <w:sz w:val="18"/>
                <w:szCs w:val="18"/>
              </w:rPr>
              <w:t>、烟尘</w:t>
            </w:r>
          </w:p>
        </w:tc>
        <w:tc>
          <w:tcPr>
            <w:tcW w:w="417" w:type="pct"/>
            <w:vAlign w:val="center"/>
          </w:tcPr>
          <w:p w14:paraId="7661304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031E157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三氮唑钾盐/钠盐产品干燥及筛分产生的含尘废气经旋风除尘+布袋除尘净化处理后由</w:t>
            </w:r>
          </w:p>
          <w:p w14:paraId="230C325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15m 高排气筒排放；吩噻嗪产品粉碎产生的含尘废气经旋风除尘+布袋除尘净化处理后由 15m 高排气筒排放；甲酸工序酸化釜含酸废气及受槽废气经四级水吸收塔处理后由 20m 高排气筒排放；</w:t>
            </w:r>
            <w:r>
              <w:rPr>
                <w:rFonts w:cs="Times New Roman"/>
                <w:bCs/>
                <w:spacing w:val="-8"/>
                <w:kern w:val="0"/>
                <w:sz w:val="18"/>
                <w:szCs w:val="18"/>
              </w:rPr>
              <w:t>三氮唑成盐釜尾气、氨水分离系统尾气、氨水配置系统尾气等含氨废气经甲酸吸收、水吸</w:t>
            </w:r>
            <w:r>
              <w:rPr>
                <w:rFonts w:cs="Times New Roman"/>
                <w:bCs/>
                <w:spacing w:val="-14"/>
                <w:kern w:val="0"/>
                <w:sz w:val="18"/>
                <w:szCs w:val="18"/>
              </w:rPr>
              <w:t xml:space="preserve">收后经 </w:t>
            </w:r>
            <w:r>
              <w:rPr>
                <w:rFonts w:cs="Times New Roman"/>
                <w:bCs/>
                <w:kern w:val="0"/>
                <w:sz w:val="18"/>
                <w:szCs w:val="18"/>
              </w:rPr>
              <w:t>20m 排气筒排放；硫化碱工序硫化氢尾气经碱液吸收塔处理后由 25m 排气筒排放； 天然气锅炉烟气经由 8m 排气筒排放；食堂油烟废气净化处理后通过专用排气筒至屋顶高空排放</w:t>
            </w:r>
          </w:p>
        </w:tc>
        <w:tc>
          <w:tcPr>
            <w:tcW w:w="671" w:type="pct"/>
            <w:vMerge w:val="continue"/>
            <w:vAlign w:val="center"/>
          </w:tcPr>
          <w:p w14:paraId="091DA6D9">
            <w:pPr>
              <w:widowControl/>
              <w:snapToGrid w:val="0"/>
              <w:spacing w:line="240" w:lineRule="auto"/>
              <w:ind w:firstLine="0" w:firstLineChars="0"/>
              <w:jc w:val="center"/>
              <w:rPr>
                <w:rFonts w:cs="Times New Roman"/>
                <w:bCs/>
                <w:kern w:val="0"/>
                <w:sz w:val="18"/>
                <w:szCs w:val="18"/>
              </w:rPr>
            </w:pPr>
          </w:p>
        </w:tc>
      </w:tr>
      <w:tr w14:paraId="7CFB5B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E13AEE4">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FC118FA">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5EDF7DB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78F5204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73931C9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28.8t/a</w:t>
            </w:r>
          </w:p>
        </w:tc>
        <w:tc>
          <w:tcPr>
            <w:tcW w:w="2893" w:type="pct"/>
            <w:vAlign w:val="center"/>
          </w:tcPr>
          <w:p w14:paraId="29C7D75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生活垃圾交由环卫部门进行处理</w:t>
            </w:r>
          </w:p>
        </w:tc>
        <w:tc>
          <w:tcPr>
            <w:tcW w:w="671" w:type="pct"/>
            <w:vMerge w:val="continue"/>
            <w:vAlign w:val="center"/>
          </w:tcPr>
          <w:p w14:paraId="1613B176">
            <w:pPr>
              <w:widowControl/>
              <w:snapToGrid w:val="0"/>
              <w:spacing w:line="240" w:lineRule="auto"/>
              <w:ind w:firstLine="0" w:firstLineChars="0"/>
              <w:jc w:val="center"/>
              <w:rPr>
                <w:rFonts w:cs="Times New Roman"/>
                <w:bCs/>
                <w:kern w:val="0"/>
                <w:sz w:val="18"/>
                <w:szCs w:val="18"/>
              </w:rPr>
            </w:pPr>
          </w:p>
        </w:tc>
      </w:tr>
      <w:tr w14:paraId="6F8AA6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DAC7EED">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C66A31E">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59F846D9">
            <w:pPr>
              <w:widowControl/>
              <w:snapToGrid w:val="0"/>
              <w:spacing w:line="240" w:lineRule="auto"/>
              <w:ind w:firstLine="0" w:firstLineChars="0"/>
              <w:jc w:val="center"/>
              <w:rPr>
                <w:rFonts w:cs="Times New Roman"/>
                <w:bCs/>
                <w:kern w:val="0"/>
                <w:sz w:val="18"/>
                <w:szCs w:val="18"/>
              </w:rPr>
            </w:pPr>
          </w:p>
        </w:tc>
        <w:tc>
          <w:tcPr>
            <w:tcW w:w="485" w:type="pct"/>
            <w:vAlign w:val="center"/>
          </w:tcPr>
          <w:p w14:paraId="43C1C85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14DC50A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298.53t/a</w:t>
            </w:r>
          </w:p>
        </w:tc>
        <w:tc>
          <w:tcPr>
            <w:tcW w:w="2893" w:type="pct"/>
            <w:vAlign w:val="center"/>
          </w:tcPr>
          <w:p w14:paraId="2B80D8F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厂区污水处理产生的沉淀渣、N-亚硝基二苯胺车间蒸馏废液等交由有资质单位处置；</w:t>
            </w:r>
          </w:p>
          <w:p w14:paraId="707599B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废弃包装材料由厂家回收处理</w:t>
            </w:r>
          </w:p>
        </w:tc>
        <w:tc>
          <w:tcPr>
            <w:tcW w:w="671" w:type="pct"/>
            <w:vMerge w:val="continue"/>
            <w:vAlign w:val="center"/>
          </w:tcPr>
          <w:p w14:paraId="03A1710F">
            <w:pPr>
              <w:widowControl/>
              <w:snapToGrid w:val="0"/>
              <w:spacing w:line="240" w:lineRule="auto"/>
              <w:ind w:firstLine="0" w:firstLineChars="0"/>
              <w:jc w:val="center"/>
              <w:rPr>
                <w:rFonts w:cs="Times New Roman"/>
                <w:bCs/>
                <w:kern w:val="0"/>
                <w:sz w:val="18"/>
                <w:szCs w:val="18"/>
              </w:rPr>
            </w:pPr>
          </w:p>
        </w:tc>
      </w:tr>
      <w:tr w14:paraId="3FBE86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6D212D8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19</w:t>
            </w:r>
          </w:p>
          <w:p w14:paraId="32A7147C">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230140C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湖南开磷雁峰塔涂料有限公司</w:t>
            </w:r>
          </w:p>
        </w:tc>
        <w:tc>
          <w:tcPr>
            <w:tcW w:w="199" w:type="pct"/>
            <w:vAlign w:val="center"/>
          </w:tcPr>
          <w:p w14:paraId="7A37AC5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169D344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w:t>
            </w:r>
            <w:r>
              <w:rPr>
                <w:rFonts w:cs="Times New Roman"/>
                <w:bCs/>
                <w:spacing w:val="-17"/>
                <w:kern w:val="0"/>
                <w:sz w:val="18"/>
                <w:szCs w:val="18"/>
              </w:rPr>
              <w:t>、</w:t>
            </w:r>
            <w:r>
              <w:rPr>
                <w:rFonts w:cs="Times New Roman"/>
                <w:bCs/>
                <w:kern w:val="0"/>
                <w:sz w:val="18"/>
                <w:szCs w:val="18"/>
              </w:rPr>
              <w:t>SS</w:t>
            </w:r>
            <w:r>
              <w:rPr>
                <w:rFonts w:cs="Times New Roman"/>
                <w:bCs/>
                <w:spacing w:val="-4"/>
                <w:kern w:val="0"/>
                <w:sz w:val="18"/>
                <w:szCs w:val="18"/>
              </w:rPr>
              <w:t>、石油类、氨氮</w:t>
            </w:r>
          </w:p>
        </w:tc>
        <w:tc>
          <w:tcPr>
            <w:tcW w:w="417" w:type="pct"/>
            <w:vAlign w:val="center"/>
          </w:tcPr>
          <w:p w14:paraId="35D11E4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43718.4m</w:t>
            </w:r>
            <w:r>
              <w:rPr>
                <w:rFonts w:cs="Times New Roman"/>
                <w:bCs/>
                <w:kern w:val="0"/>
                <w:position w:val="8"/>
                <w:sz w:val="18"/>
                <w:szCs w:val="18"/>
              </w:rPr>
              <w:t>3</w:t>
            </w:r>
            <w:r>
              <w:rPr>
                <w:rFonts w:cs="Times New Roman"/>
                <w:bCs/>
                <w:kern w:val="0"/>
                <w:sz w:val="18"/>
                <w:szCs w:val="18"/>
              </w:rPr>
              <w:t>/a</w:t>
            </w:r>
          </w:p>
        </w:tc>
        <w:tc>
          <w:tcPr>
            <w:tcW w:w="2893" w:type="pct"/>
            <w:vAlign w:val="center"/>
          </w:tcPr>
          <w:p w14:paraId="54B7D14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酯化废水经收集后用焚烧炉处理；</w:t>
            </w:r>
          </w:p>
          <w:p w14:paraId="7C10F53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机泵冷却水与车间地面冲洗废水经隔油池处理达标后排入经开区污水管网进入松木污水处理厂进行处理；</w:t>
            </w:r>
          </w:p>
          <w:p w14:paraId="0DBC4F5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生活污水经化粪池预处理后进入经开区污水管网，最终进入松木污水处理厂进行处理</w:t>
            </w:r>
          </w:p>
        </w:tc>
        <w:tc>
          <w:tcPr>
            <w:tcW w:w="671" w:type="pct"/>
            <w:vMerge w:val="restart"/>
            <w:vAlign w:val="center"/>
          </w:tcPr>
          <w:p w14:paraId="1768C4A9">
            <w:pPr>
              <w:widowControl/>
              <w:snapToGrid w:val="0"/>
              <w:spacing w:line="240" w:lineRule="atLeast"/>
              <w:ind w:firstLine="0" w:firstLineChars="0"/>
              <w:jc w:val="center"/>
              <w:rPr>
                <w:rFonts w:cs="Times New Roman"/>
                <w:kern w:val="0"/>
                <w:sz w:val="18"/>
                <w:szCs w:val="18"/>
              </w:rPr>
            </w:pPr>
            <w:r>
              <w:rPr>
                <w:rFonts w:cs="Times New Roman"/>
                <w:kern w:val="0"/>
                <w:sz w:val="18"/>
                <w:szCs w:val="18"/>
              </w:rPr>
              <w:t>（1）有机废气焚烧炉排气筒设置在线监测设施并连接园区平台；</w:t>
            </w:r>
          </w:p>
          <w:p w14:paraId="12E08720">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（2）后期雨水排放监控池、流量计、视频监控、COD在线监测仪及监控站房</w:t>
            </w:r>
          </w:p>
        </w:tc>
      </w:tr>
      <w:tr w14:paraId="281851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68" w:hRule="atLeast"/>
        </w:trPr>
        <w:tc>
          <w:tcPr>
            <w:tcW w:w="100" w:type="pct"/>
            <w:vMerge w:val="continue"/>
            <w:vAlign w:val="center"/>
          </w:tcPr>
          <w:p w14:paraId="530C3505">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AC3898C">
            <w:pPr>
              <w:widowControl/>
              <w:snapToGrid w:val="0"/>
              <w:spacing w:line="240" w:lineRule="auto"/>
              <w:ind w:firstLine="0" w:firstLineChars="0"/>
              <w:jc w:val="center"/>
              <w:rPr>
                <w:rFonts w:cs="Times New Roman"/>
                <w:bCs/>
                <w:kern w:val="0"/>
                <w:sz w:val="18"/>
                <w:szCs w:val="18"/>
              </w:rPr>
            </w:pPr>
          </w:p>
        </w:tc>
        <w:tc>
          <w:tcPr>
            <w:tcW w:w="199" w:type="pct"/>
            <w:vAlign w:val="center"/>
          </w:tcPr>
          <w:p w14:paraId="14BF47D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1D472DF6">
            <w:pPr>
              <w:widowControl/>
              <w:snapToGrid w:val="0"/>
              <w:spacing w:line="240" w:lineRule="auto"/>
              <w:ind w:firstLine="0" w:firstLineChars="0"/>
              <w:jc w:val="center"/>
              <w:rPr>
                <w:rFonts w:cs="Times New Roman"/>
                <w:bCs/>
                <w:kern w:val="0"/>
                <w:sz w:val="18"/>
                <w:szCs w:val="18"/>
              </w:rPr>
            </w:pPr>
            <w:r>
              <w:rPr>
                <w:rFonts w:cs="Times New Roman"/>
                <w:bCs/>
                <w:spacing w:val="-13"/>
                <w:kern w:val="0"/>
                <w:sz w:val="18"/>
                <w:szCs w:val="18"/>
              </w:rPr>
              <w:t>甲苯、二甲苯、粉尘</w:t>
            </w:r>
          </w:p>
          <w:p w14:paraId="5220CF1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等</w:t>
            </w:r>
          </w:p>
        </w:tc>
        <w:tc>
          <w:tcPr>
            <w:tcW w:w="417" w:type="pct"/>
            <w:vAlign w:val="center"/>
          </w:tcPr>
          <w:p w14:paraId="16D01D2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14500 m</w:t>
            </w:r>
            <w:r>
              <w:rPr>
                <w:rFonts w:cs="Times New Roman"/>
                <w:bCs/>
                <w:kern w:val="0"/>
                <w:position w:val="8"/>
                <w:sz w:val="18"/>
                <w:szCs w:val="18"/>
              </w:rPr>
              <w:t>3</w:t>
            </w:r>
            <w:r>
              <w:rPr>
                <w:rFonts w:cs="Times New Roman"/>
                <w:bCs/>
                <w:kern w:val="0"/>
                <w:sz w:val="18"/>
                <w:szCs w:val="18"/>
              </w:rPr>
              <w:t>/h</w:t>
            </w:r>
          </w:p>
        </w:tc>
        <w:tc>
          <w:tcPr>
            <w:tcW w:w="2893" w:type="pct"/>
            <w:vAlign w:val="center"/>
          </w:tcPr>
          <w:p w14:paraId="0D17FD15">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脂投料粉尘通过布袋除尘处理后达标排放；车间无组织废气收集后经活性炭吸附+催化焚烧处理后达标排放；树脂生产工艺废气经喷淋+氧化催化+活性炭吸附处理后达标排放；灌装工序采用喷淋+活性炭吸附处理后达标排放；涂料车间投料工序有机废气通过经UV光解+活性炭吸附+催化焚烧处理后达标排放；</w:t>
            </w:r>
            <w:r>
              <w:rPr>
                <w:rFonts w:cs="Times New Roman"/>
                <w:bCs/>
                <w:kern w:val="0"/>
                <w:sz w:val="18"/>
                <w:szCs w:val="18"/>
              </w:rPr>
              <w:t>燃气锅炉烟气通过 18m 排气筒排放；焚烧炉烟气通过排气筒排放</w:t>
            </w:r>
          </w:p>
        </w:tc>
        <w:tc>
          <w:tcPr>
            <w:tcW w:w="671" w:type="pct"/>
            <w:vMerge w:val="continue"/>
            <w:vAlign w:val="center"/>
          </w:tcPr>
          <w:p w14:paraId="0AB0112B">
            <w:pPr>
              <w:widowControl/>
              <w:snapToGrid w:val="0"/>
              <w:spacing w:line="240" w:lineRule="auto"/>
              <w:ind w:firstLine="0" w:firstLineChars="0"/>
              <w:jc w:val="center"/>
              <w:rPr>
                <w:rFonts w:cs="Times New Roman"/>
                <w:bCs/>
                <w:kern w:val="0"/>
                <w:sz w:val="18"/>
                <w:szCs w:val="18"/>
              </w:rPr>
            </w:pPr>
          </w:p>
        </w:tc>
      </w:tr>
      <w:tr w14:paraId="56A510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6948847">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3C6E1B9">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30746FD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49CBADC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6F39F0B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11.25t/a</w:t>
            </w:r>
          </w:p>
        </w:tc>
        <w:tc>
          <w:tcPr>
            <w:tcW w:w="2893" w:type="pct"/>
            <w:vMerge w:val="restart"/>
            <w:vAlign w:val="center"/>
          </w:tcPr>
          <w:p w14:paraId="24A79B72">
            <w:pPr>
              <w:widowControl/>
              <w:snapToGrid w:val="0"/>
              <w:spacing w:line="240" w:lineRule="auto"/>
              <w:ind w:firstLine="0" w:firstLineChars="0"/>
              <w:jc w:val="center"/>
              <w:rPr>
                <w:rFonts w:cs="Times New Roman"/>
                <w:bCs/>
                <w:kern w:val="0"/>
                <w:sz w:val="18"/>
                <w:szCs w:val="18"/>
              </w:rPr>
            </w:pPr>
            <w:r>
              <w:rPr>
                <w:rFonts w:cs="Times New Roman"/>
                <w:bCs/>
                <w:spacing w:val="-11"/>
                <w:kern w:val="0"/>
                <w:sz w:val="18"/>
                <w:szCs w:val="18"/>
              </w:rPr>
              <w:t>过滤渣、设备清洗废液、废活性炭、布袋收尘灰、废导热油、废劳保用品等危险废物委托</w:t>
            </w:r>
            <w:r>
              <w:rPr>
                <w:rFonts w:cs="Times New Roman"/>
                <w:bCs/>
                <w:kern w:val="0"/>
                <w:sz w:val="18"/>
                <w:szCs w:val="18"/>
              </w:rPr>
              <w:t>有资质单位进行处理；布袋收尘灰回用；废包装材料由厂家进行回收或委托资质单位进行处理； 生活垃圾交由环卫部门进行处理。</w:t>
            </w:r>
          </w:p>
        </w:tc>
        <w:tc>
          <w:tcPr>
            <w:tcW w:w="671" w:type="pct"/>
            <w:vMerge w:val="continue"/>
            <w:vAlign w:val="center"/>
          </w:tcPr>
          <w:p w14:paraId="39229D74">
            <w:pPr>
              <w:widowControl/>
              <w:snapToGrid w:val="0"/>
              <w:spacing w:line="240" w:lineRule="auto"/>
              <w:ind w:firstLine="0" w:firstLineChars="0"/>
              <w:jc w:val="center"/>
              <w:rPr>
                <w:rFonts w:cs="Times New Roman"/>
                <w:bCs/>
                <w:spacing w:val="-11"/>
                <w:kern w:val="0"/>
                <w:sz w:val="18"/>
                <w:szCs w:val="18"/>
              </w:rPr>
            </w:pPr>
          </w:p>
        </w:tc>
      </w:tr>
      <w:tr w14:paraId="22BC1F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1508837">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08F8C9D">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0448D14E">
            <w:pPr>
              <w:widowControl/>
              <w:snapToGrid w:val="0"/>
              <w:spacing w:line="240" w:lineRule="auto"/>
              <w:ind w:firstLine="0" w:firstLineChars="0"/>
              <w:jc w:val="center"/>
              <w:rPr>
                <w:rFonts w:cs="Times New Roman"/>
                <w:bCs/>
                <w:kern w:val="0"/>
                <w:sz w:val="18"/>
                <w:szCs w:val="18"/>
              </w:rPr>
            </w:pPr>
          </w:p>
        </w:tc>
        <w:tc>
          <w:tcPr>
            <w:tcW w:w="485" w:type="pct"/>
            <w:vAlign w:val="center"/>
          </w:tcPr>
          <w:p w14:paraId="15F844A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12CC1E8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8t/a</w:t>
            </w:r>
          </w:p>
        </w:tc>
        <w:tc>
          <w:tcPr>
            <w:tcW w:w="2893" w:type="pct"/>
            <w:vMerge w:val="continue"/>
            <w:vAlign w:val="center"/>
          </w:tcPr>
          <w:p w14:paraId="668287DE">
            <w:pPr>
              <w:widowControl/>
              <w:snapToGrid w:val="0"/>
              <w:spacing w:line="240" w:lineRule="auto"/>
              <w:ind w:firstLine="0" w:firstLineChars="0"/>
              <w:jc w:val="center"/>
              <w:rPr>
                <w:rFonts w:cs="Times New Roman"/>
                <w:bCs/>
                <w:kern w:val="0"/>
                <w:sz w:val="18"/>
                <w:szCs w:val="18"/>
              </w:rPr>
            </w:pPr>
          </w:p>
        </w:tc>
        <w:tc>
          <w:tcPr>
            <w:tcW w:w="671" w:type="pct"/>
            <w:vMerge w:val="continue"/>
            <w:vAlign w:val="center"/>
          </w:tcPr>
          <w:p w14:paraId="68C530EB">
            <w:pPr>
              <w:widowControl/>
              <w:snapToGrid w:val="0"/>
              <w:spacing w:line="240" w:lineRule="auto"/>
              <w:ind w:firstLine="0" w:firstLineChars="0"/>
              <w:jc w:val="center"/>
              <w:rPr>
                <w:rFonts w:cs="Times New Roman"/>
                <w:bCs/>
                <w:kern w:val="0"/>
                <w:sz w:val="18"/>
                <w:szCs w:val="18"/>
              </w:rPr>
            </w:pPr>
          </w:p>
        </w:tc>
      </w:tr>
      <w:tr w14:paraId="651AAF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2344DBC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20</w:t>
            </w:r>
          </w:p>
          <w:p w14:paraId="6D17E924">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2CB8604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衡阳恒荣高纯半导体材料有限公司</w:t>
            </w:r>
          </w:p>
        </w:tc>
        <w:tc>
          <w:tcPr>
            <w:tcW w:w="199" w:type="pct"/>
            <w:vAlign w:val="center"/>
          </w:tcPr>
          <w:p w14:paraId="2D822BD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32CB832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417" w:type="pct"/>
            <w:vAlign w:val="center"/>
          </w:tcPr>
          <w:p w14:paraId="44CDD94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3DF44B9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循环冷却系统排污水和高纯水制备产生的反渗透浓水进入雨水系统；</w:t>
            </w:r>
          </w:p>
          <w:p w14:paraId="7539D3A7">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地面冲洗废水收集后排入恒光化工综合废水处理站（石灰+铁盐法）处理达标后进入松木污水处理厂处理</w:t>
            </w:r>
          </w:p>
        </w:tc>
        <w:tc>
          <w:tcPr>
            <w:tcW w:w="671" w:type="pct"/>
            <w:vMerge w:val="restart"/>
            <w:vAlign w:val="center"/>
          </w:tcPr>
          <w:p w14:paraId="247CF7C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5B2533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6A73AA6">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20C418D">
            <w:pPr>
              <w:widowControl/>
              <w:snapToGrid w:val="0"/>
              <w:spacing w:line="240" w:lineRule="auto"/>
              <w:ind w:firstLine="0" w:firstLineChars="0"/>
              <w:jc w:val="center"/>
              <w:rPr>
                <w:rFonts w:cs="Times New Roman"/>
                <w:bCs/>
                <w:kern w:val="0"/>
                <w:sz w:val="18"/>
                <w:szCs w:val="18"/>
              </w:rPr>
            </w:pPr>
          </w:p>
        </w:tc>
        <w:tc>
          <w:tcPr>
            <w:tcW w:w="199" w:type="pct"/>
            <w:vAlign w:val="center"/>
          </w:tcPr>
          <w:p w14:paraId="5E9FAD9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337C0C2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417" w:type="pct"/>
            <w:vAlign w:val="center"/>
          </w:tcPr>
          <w:p w14:paraId="723B4A6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3B54D1C0">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四氯化锗搪瓷反应及精馏涉氯尾气通过二级水喷淋吸收一级碱吸收处理后达标排放</w:t>
            </w:r>
          </w:p>
        </w:tc>
        <w:tc>
          <w:tcPr>
            <w:tcW w:w="671" w:type="pct"/>
            <w:vMerge w:val="continue"/>
            <w:vAlign w:val="center"/>
          </w:tcPr>
          <w:p w14:paraId="727E32CA">
            <w:pPr>
              <w:widowControl/>
              <w:snapToGrid w:val="0"/>
              <w:spacing w:line="240" w:lineRule="auto"/>
              <w:ind w:firstLine="0" w:firstLineChars="0"/>
              <w:jc w:val="center"/>
              <w:rPr>
                <w:rFonts w:cs="Times New Roman"/>
                <w:bCs/>
                <w:kern w:val="0"/>
                <w:sz w:val="18"/>
                <w:szCs w:val="18"/>
              </w:rPr>
            </w:pPr>
          </w:p>
        </w:tc>
      </w:tr>
      <w:tr w14:paraId="6E0828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E000FDA">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19899736">
            <w:pPr>
              <w:widowControl/>
              <w:snapToGrid w:val="0"/>
              <w:spacing w:line="240" w:lineRule="auto"/>
              <w:ind w:firstLine="0" w:firstLineChars="0"/>
              <w:jc w:val="center"/>
              <w:rPr>
                <w:rFonts w:cs="Times New Roman"/>
                <w:bCs/>
                <w:kern w:val="0"/>
                <w:sz w:val="18"/>
                <w:szCs w:val="18"/>
              </w:rPr>
            </w:pPr>
          </w:p>
        </w:tc>
        <w:tc>
          <w:tcPr>
            <w:tcW w:w="199" w:type="pct"/>
            <w:vAlign w:val="center"/>
          </w:tcPr>
          <w:p w14:paraId="2559BE7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0BE99A8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1B9A0D8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469.73t/a</w:t>
            </w:r>
          </w:p>
        </w:tc>
        <w:tc>
          <w:tcPr>
            <w:tcW w:w="2893" w:type="pct"/>
            <w:vAlign w:val="center"/>
          </w:tcPr>
          <w:p w14:paraId="566F076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稀盐酸交由建滔进行回收；二氧化锗废渣进行蒸发浓缩回用于氯化工序； 生活垃圾交由环卫部门进行处理</w:t>
            </w:r>
          </w:p>
        </w:tc>
        <w:tc>
          <w:tcPr>
            <w:tcW w:w="671" w:type="pct"/>
            <w:vMerge w:val="continue"/>
            <w:vAlign w:val="center"/>
          </w:tcPr>
          <w:p w14:paraId="59FE6BAB">
            <w:pPr>
              <w:widowControl/>
              <w:snapToGrid w:val="0"/>
              <w:spacing w:line="240" w:lineRule="auto"/>
              <w:ind w:firstLine="0" w:firstLineChars="0"/>
              <w:jc w:val="center"/>
              <w:rPr>
                <w:rFonts w:cs="Times New Roman"/>
                <w:bCs/>
                <w:kern w:val="0"/>
                <w:sz w:val="18"/>
                <w:szCs w:val="18"/>
              </w:rPr>
            </w:pPr>
          </w:p>
        </w:tc>
      </w:tr>
      <w:tr w14:paraId="45EBF8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44DABDB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21</w:t>
            </w:r>
          </w:p>
          <w:p w14:paraId="5412C93D">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225E5C7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湖南恒光化工有限公司</w:t>
            </w:r>
          </w:p>
        </w:tc>
        <w:tc>
          <w:tcPr>
            <w:tcW w:w="199" w:type="pct"/>
            <w:vAlign w:val="center"/>
          </w:tcPr>
          <w:p w14:paraId="186A1DB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17C198F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w:t>
            </w:r>
            <w:r>
              <w:rPr>
                <w:rFonts w:cs="Times New Roman"/>
                <w:bCs/>
                <w:spacing w:val="-11"/>
                <w:kern w:val="0"/>
                <w:sz w:val="18"/>
                <w:szCs w:val="18"/>
              </w:rPr>
              <w:t>、</w:t>
            </w:r>
            <w:r>
              <w:rPr>
                <w:rFonts w:cs="Times New Roman"/>
                <w:bCs/>
                <w:kern w:val="0"/>
                <w:sz w:val="18"/>
                <w:szCs w:val="18"/>
              </w:rPr>
              <w:t>SS</w:t>
            </w:r>
            <w:r>
              <w:rPr>
                <w:rFonts w:cs="Times New Roman"/>
                <w:bCs/>
                <w:spacing w:val="-5"/>
                <w:kern w:val="0"/>
                <w:sz w:val="18"/>
                <w:szCs w:val="18"/>
              </w:rPr>
              <w:t>、砷、铅、锌、pH</w:t>
            </w:r>
            <w:r>
              <w:rPr>
                <w:rFonts w:cs="Times New Roman"/>
                <w:bCs/>
                <w:spacing w:val="-1"/>
                <w:kern w:val="0"/>
                <w:sz w:val="18"/>
                <w:szCs w:val="18"/>
              </w:rPr>
              <w:t xml:space="preserve"> </w:t>
            </w:r>
            <w:r>
              <w:rPr>
                <w:rFonts w:cs="Times New Roman"/>
                <w:bCs/>
                <w:kern w:val="0"/>
                <w:sz w:val="18"/>
                <w:szCs w:val="18"/>
              </w:rPr>
              <w:t>等</w:t>
            </w:r>
          </w:p>
        </w:tc>
        <w:tc>
          <w:tcPr>
            <w:tcW w:w="417" w:type="pct"/>
            <w:vAlign w:val="center"/>
          </w:tcPr>
          <w:p w14:paraId="4A8EB59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15.8 万 m</w:t>
            </w:r>
            <w:r>
              <w:rPr>
                <w:rFonts w:cs="Times New Roman"/>
                <w:bCs/>
                <w:kern w:val="0"/>
                <w:position w:val="8"/>
                <w:sz w:val="18"/>
                <w:szCs w:val="18"/>
              </w:rPr>
              <w:t>3</w:t>
            </w:r>
            <w:r>
              <w:rPr>
                <w:rFonts w:cs="Times New Roman"/>
                <w:bCs/>
                <w:kern w:val="0"/>
                <w:sz w:val="18"/>
                <w:szCs w:val="18"/>
              </w:rPr>
              <w:t>/a</w:t>
            </w:r>
          </w:p>
        </w:tc>
        <w:tc>
          <w:tcPr>
            <w:tcW w:w="2893" w:type="pct"/>
            <w:vAlign w:val="center"/>
          </w:tcPr>
          <w:p w14:paraId="0551844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污酸废水采用硫化钠脱砷+石灰铁盐法中和处理工艺，处理后的废水回用； 冷却水系统排水经厂区雨水管网排放；</w:t>
            </w:r>
          </w:p>
          <w:p w14:paraId="4C2C0DE5">
            <w:pPr>
              <w:widowControl/>
              <w:snapToGrid w:val="0"/>
              <w:spacing w:line="240" w:lineRule="auto"/>
              <w:ind w:firstLine="0" w:firstLineChars="0"/>
              <w:jc w:val="center"/>
              <w:rPr>
                <w:rFonts w:cs="Times New Roman"/>
                <w:bCs/>
                <w:kern w:val="0"/>
                <w:sz w:val="18"/>
                <w:szCs w:val="18"/>
              </w:rPr>
            </w:pPr>
            <w:r>
              <w:rPr>
                <w:rFonts w:cs="Times New Roman"/>
                <w:bCs/>
                <w:spacing w:val="-13"/>
                <w:kern w:val="0"/>
                <w:sz w:val="18"/>
                <w:szCs w:val="18"/>
              </w:rPr>
              <w:t>酸碱废水、车间地面冲洗废水、初期雨水等进入厂区综合废水处理站处理后经开区污水管</w:t>
            </w:r>
            <w:r>
              <w:rPr>
                <w:rFonts w:cs="Times New Roman"/>
                <w:bCs/>
                <w:kern w:val="0"/>
                <w:sz w:val="18"/>
                <w:szCs w:val="18"/>
              </w:rPr>
              <w:t>网进入松木污水处理厂进行处理，处理达标后排入湘江；</w:t>
            </w:r>
          </w:p>
          <w:p w14:paraId="5D09DF9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生活污水经化粪池预处理后经厂区总排口排入松木污水处理站进行处理；</w:t>
            </w:r>
          </w:p>
          <w:p w14:paraId="66BDD6F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厂区综合废水处理站采用中和+铁盐氧化+沉淀处理工艺</w:t>
            </w:r>
          </w:p>
        </w:tc>
        <w:tc>
          <w:tcPr>
            <w:tcW w:w="671" w:type="pct"/>
            <w:vMerge w:val="restart"/>
            <w:vAlign w:val="center"/>
          </w:tcPr>
          <w:p w14:paraId="7245B086">
            <w:pPr>
              <w:widowControl/>
              <w:snapToGrid w:val="0"/>
              <w:spacing w:line="240" w:lineRule="atLeast"/>
              <w:ind w:firstLine="0" w:firstLineChars="0"/>
              <w:jc w:val="center"/>
              <w:rPr>
                <w:rFonts w:cs="Times New Roman"/>
                <w:kern w:val="0"/>
                <w:sz w:val="18"/>
                <w:szCs w:val="18"/>
              </w:rPr>
            </w:pPr>
            <w:r>
              <w:rPr>
                <w:rFonts w:cs="Times New Roman"/>
                <w:kern w:val="0"/>
                <w:sz w:val="18"/>
                <w:szCs w:val="18"/>
              </w:rPr>
              <w:t>（1）制酸尾气安装在线监测系统并接入市局监控平台；</w:t>
            </w:r>
          </w:p>
          <w:p w14:paraId="1B83829D">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（2）后期雨水排放监控池、流量计、视频监控、pH、总砷在线监测仪及监控站房</w:t>
            </w:r>
          </w:p>
        </w:tc>
      </w:tr>
      <w:tr w14:paraId="006AD5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1F182196">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2848FBE">
            <w:pPr>
              <w:widowControl/>
              <w:snapToGrid w:val="0"/>
              <w:spacing w:line="240" w:lineRule="auto"/>
              <w:ind w:firstLine="0" w:firstLineChars="0"/>
              <w:jc w:val="center"/>
              <w:rPr>
                <w:rFonts w:cs="Times New Roman"/>
                <w:bCs/>
                <w:kern w:val="0"/>
                <w:sz w:val="18"/>
                <w:szCs w:val="18"/>
              </w:rPr>
            </w:pPr>
          </w:p>
        </w:tc>
        <w:tc>
          <w:tcPr>
            <w:tcW w:w="199" w:type="pct"/>
            <w:vAlign w:val="center"/>
          </w:tcPr>
          <w:p w14:paraId="3C12D1C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1FB50C4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硫酸雾、SO</w:t>
            </w:r>
            <w:r>
              <w:rPr>
                <w:rFonts w:cs="Times New Roman"/>
                <w:bCs/>
                <w:kern w:val="0"/>
                <w:sz w:val="18"/>
                <w:szCs w:val="18"/>
                <w:vertAlign w:val="subscript"/>
              </w:rPr>
              <w:t>2</w:t>
            </w:r>
            <w:r>
              <w:rPr>
                <w:rFonts w:cs="Times New Roman"/>
                <w:bCs/>
                <w:kern w:val="0"/>
                <w:sz w:val="18"/>
                <w:szCs w:val="18"/>
              </w:rPr>
              <w:t>、NO</w:t>
            </w:r>
            <w:r>
              <w:rPr>
                <w:rFonts w:cs="Times New Roman"/>
                <w:bCs/>
                <w:kern w:val="0"/>
                <w:sz w:val="18"/>
                <w:szCs w:val="18"/>
                <w:vertAlign w:val="subscript"/>
              </w:rPr>
              <w:t>x</w:t>
            </w:r>
          </w:p>
        </w:tc>
        <w:tc>
          <w:tcPr>
            <w:tcW w:w="417" w:type="pct"/>
            <w:vAlign w:val="center"/>
          </w:tcPr>
          <w:p w14:paraId="7FC0A55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97400m</w:t>
            </w:r>
            <w:r>
              <w:rPr>
                <w:rFonts w:cs="Times New Roman"/>
                <w:bCs/>
                <w:kern w:val="0"/>
                <w:position w:val="8"/>
                <w:sz w:val="18"/>
                <w:szCs w:val="18"/>
              </w:rPr>
              <w:t>3</w:t>
            </w:r>
            <w:r>
              <w:rPr>
                <w:rFonts w:cs="Times New Roman"/>
                <w:bCs/>
                <w:kern w:val="0"/>
                <w:sz w:val="18"/>
                <w:szCs w:val="18"/>
              </w:rPr>
              <w:t>/h</w:t>
            </w:r>
          </w:p>
        </w:tc>
        <w:tc>
          <w:tcPr>
            <w:tcW w:w="2893" w:type="pct"/>
            <w:vAlign w:val="center"/>
          </w:tcPr>
          <w:p w14:paraId="70052B3E">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制酸工艺尾气通过中和+电除雾处理后达标排放；双钠反应尾气通过碱液吸收后达标排放；双钠干燥尾气通过布袋除尘+水喷淋除尘处理后达标排放；氨基磺酸合成及干燥通过洗涤+电除雾处理后达标排放；钙铝水滑石干燥尾气通过袋式除尘处理后达标排放；硫酸镁洗涤废气通过中和处理后达标排放；硫酸镁干燥尾气通过袋式除尘+水喷淋除尘处理后达标排放</w:t>
            </w:r>
          </w:p>
        </w:tc>
        <w:tc>
          <w:tcPr>
            <w:tcW w:w="671" w:type="pct"/>
            <w:vMerge w:val="continue"/>
            <w:vAlign w:val="center"/>
          </w:tcPr>
          <w:p w14:paraId="7554C9C6">
            <w:pPr>
              <w:widowControl/>
              <w:snapToGrid w:val="0"/>
              <w:spacing w:line="240" w:lineRule="auto"/>
              <w:ind w:firstLine="0" w:firstLineChars="0"/>
              <w:jc w:val="center"/>
              <w:rPr>
                <w:rFonts w:cs="Times New Roman"/>
                <w:bCs/>
                <w:kern w:val="0"/>
                <w:sz w:val="18"/>
                <w:szCs w:val="18"/>
              </w:rPr>
            </w:pPr>
          </w:p>
        </w:tc>
      </w:tr>
      <w:tr w14:paraId="2D0061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951C216">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2B0559C">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53D1215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4A4887A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605EAC9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44035.52t/a</w:t>
            </w:r>
          </w:p>
        </w:tc>
        <w:tc>
          <w:tcPr>
            <w:tcW w:w="2893" w:type="pct"/>
            <w:vMerge w:val="restart"/>
            <w:vAlign w:val="center"/>
          </w:tcPr>
          <w:p w14:paraId="3A3359E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生活垃圾交由环卫部门送城市垃圾填埋场； 废触媒交由生产厂家回收；</w:t>
            </w:r>
            <w:r>
              <w:rPr>
                <w:rFonts w:cs="Times New Roman"/>
                <w:bCs/>
                <w:spacing w:val="-9"/>
                <w:kern w:val="0"/>
                <w:sz w:val="18"/>
                <w:szCs w:val="18"/>
              </w:rPr>
              <w:t>高硫渣焙烧渣、砷渣、废水处理站污泥等危险固废暂存于危废暂存间内，达到一定数量后</w:t>
            </w:r>
            <w:r>
              <w:rPr>
                <w:rFonts w:cs="Times New Roman"/>
                <w:bCs/>
                <w:kern w:val="0"/>
                <w:sz w:val="18"/>
                <w:szCs w:val="18"/>
              </w:rPr>
              <w:t>委托资质单位进行处理</w:t>
            </w:r>
          </w:p>
        </w:tc>
        <w:tc>
          <w:tcPr>
            <w:tcW w:w="671" w:type="pct"/>
            <w:vMerge w:val="continue"/>
            <w:vAlign w:val="center"/>
          </w:tcPr>
          <w:p w14:paraId="1DA7C318">
            <w:pPr>
              <w:widowControl/>
              <w:snapToGrid w:val="0"/>
              <w:spacing w:line="240" w:lineRule="auto"/>
              <w:ind w:firstLine="0" w:firstLineChars="0"/>
              <w:jc w:val="center"/>
              <w:rPr>
                <w:rFonts w:cs="Times New Roman"/>
                <w:bCs/>
                <w:kern w:val="0"/>
                <w:sz w:val="18"/>
                <w:szCs w:val="18"/>
              </w:rPr>
            </w:pPr>
          </w:p>
        </w:tc>
      </w:tr>
      <w:tr w14:paraId="0F86A9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14A69033">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13530A72">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5A16C9E1">
            <w:pPr>
              <w:widowControl/>
              <w:snapToGrid w:val="0"/>
              <w:spacing w:line="240" w:lineRule="auto"/>
              <w:ind w:firstLine="0" w:firstLineChars="0"/>
              <w:jc w:val="center"/>
              <w:rPr>
                <w:rFonts w:cs="Times New Roman"/>
                <w:bCs/>
                <w:kern w:val="0"/>
                <w:sz w:val="18"/>
                <w:szCs w:val="18"/>
              </w:rPr>
            </w:pPr>
          </w:p>
        </w:tc>
        <w:tc>
          <w:tcPr>
            <w:tcW w:w="485" w:type="pct"/>
            <w:vAlign w:val="center"/>
          </w:tcPr>
          <w:p w14:paraId="0A9C7C5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2F11D41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6697t/a</w:t>
            </w:r>
          </w:p>
        </w:tc>
        <w:tc>
          <w:tcPr>
            <w:tcW w:w="2893" w:type="pct"/>
            <w:vMerge w:val="continue"/>
            <w:vAlign w:val="center"/>
          </w:tcPr>
          <w:p w14:paraId="2EBA47AD">
            <w:pPr>
              <w:widowControl/>
              <w:snapToGrid w:val="0"/>
              <w:spacing w:line="240" w:lineRule="auto"/>
              <w:ind w:firstLine="0" w:firstLineChars="0"/>
              <w:jc w:val="center"/>
              <w:rPr>
                <w:rFonts w:cs="Times New Roman"/>
                <w:bCs/>
                <w:kern w:val="0"/>
                <w:sz w:val="18"/>
                <w:szCs w:val="18"/>
              </w:rPr>
            </w:pPr>
          </w:p>
        </w:tc>
        <w:tc>
          <w:tcPr>
            <w:tcW w:w="671" w:type="pct"/>
            <w:vMerge w:val="continue"/>
            <w:vAlign w:val="center"/>
          </w:tcPr>
          <w:p w14:paraId="786B319D">
            <w:pPr>
              <w:widowControl/>
              <w:snapToGrid w:val="0"/>
              <w:spacing w:line="240" w:lineRule="auto"/>
              <w:ind w:firstLine="0" w:firstLineChars="0"/>
              <w:jc w:val="center"/>
              <w:rPr>
                <w:rFonts w:cs="Times New Roman"/>
                <w:bCs/>
                <w:kern w:val="0"/>
                <w:sz w:val="18"/>
                <w:szCs w:val="18"/>
              </w:rPr>
            </w:pPr>
          </w:p>
        </w:tc>
      </w:tr>
      <w:tr w14:paraId="7E00E4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16FF5C8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22</w:t>
            </w:r>
          </w:p>
          <w:p w14:paraId="759E350F">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7CB8184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衡阳志远新材料有限公司</w:t>
            </w:r>
          </w:p>
        </w:tc>
        <w:tc>
          <w:tcPr>
            <w:tcW w:w="199" w:type="pct"/>
            <w:vAlign w:val="center"/>
          </w:tcPr>
          <w:p w14:paraId="494DEAC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06F7243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悬浮物、化学需氧量、生化需氧量、石油类、氨氮、总铜、总锌</w:t>
            </w:r>
          </w:p>
        </w:tc>
        <w:tc>
          <w:tcPr>
            <w:tcW w:w="417" w:type="pct"/>
            <w:vAlign w:val="center"/>
          </w:tcPr>
          <w:p w14:paraId="4C592FBB">
            <w:pPr>
              <w:snapToGrid w:val="0"/>
              <w:spacing w:line="240" w:lineRule="auto"/>
              <w:ind w:firstLine="0" w:firstLineChars="0"/>
              <w:jc w:val="center"/>
              <w:rPr>
                <w:rFonts w:cs="Times New Roman"/>
                <w:bCs/>
                <w:kern w:val="0"/>
                <w:sz w:val="18"/>
                <w:szCs w:val="18"/>
              </w:rPr>
            </w:pPr>
            <w:r>
              <w:rPr>
                <w:rFonts w:cs="Times New Roman"/>
                <w:bCs/>
                <w:kern w:val="0"/>
                <w:sz w:val="18"/>
                <w:szCs w:val="18"/>
              </w:rPr>
              <w:t>1000t/a</w:t>
            </w:r>
          </w:p>
        </w:tc>
        <w:tc>
          <w:tcPr>
            <w:tcW w:w="2893" w:type="pct"/>
            <w:vAlign w:val="center"/>
          </w:tcPr>
          <w:p w14:paraId="5D6DFA7C">
            <w:pPr>
              <w:tabs>
                <w:tab w:val="left" w:pos="5012"/>
              </w:tabs>
              <w:snapToGrid w:val="0"/>
              <w:spacing w:line="240" w:lineRule="auto"/>
              <w:ind w:firstLine="0" w:firstLineChars="0"/>
              <w:jc w:val="center"/>
              <w:rPr>
                <w:rFonts w:cs="Times New Roman"/>
                <w:bCs/>
                <w:kern w:val="0"/>
                <w:sz w:val="18"/>
                <w:szCs w:val="18"/>
              </w:rPr>
            </w:pPr>
            <w:r>
              <w:rPr>
                <w:rFonts w:cs="Times New Roman"/>
                <w:bCs/>
                <w:kern w:val="0"/>
                <w:sz w:val="18"/>
                <w:szCs w:val="18"/>
                <w:lang w:val="zh-CN" w:bidi="zh-CN"/>
              </w:rPr>
              <w:t>滤渣洗涤废水、职工洗澡、洗衣、地面冲洗水经沉淀池沉淀后，上清液采取双效浓缩器（蒸发能力</w:t>
            </w:r>
            <w:r>
              <w:rPr>
                <w:rFonts w:cs="Times New Roman"/>
                <w:bCs/>
                <w:kern w:val="0"/>
                <w:sz w:val="18"/>
                <w:szCs w:val="18"/>
                <w:lang w:bidi="zh-CN"/>
              </w:rPr>
              <w:t>1200kg/h</w:t>
            </w:r>
            <w:r>
              <w:rPr>
                <w:rFonts w:cs="Times New Roman"/>
                <w:bCs/>
                <w:kern w:val="0"/>
                <w:sz w:val="18"/>
                <w:szCs w:val="18"/>
                <w:lang w:val="zh-CN" w:bidi="zh-CN"/>
              </w:rPr>
              <w:t>）蒸发处理后循环利用，不外排。生活污水经化粪池处理后排入园区管网进入松木污水处理厂处理达标后排入湘江。</w:t>
            </w:r>
          </w:p>
        </w:tc>
        <w:tc>
          <w:tcPr>
            <w:tcW w:w="671" w:type="pct"/>
            <w:vMerge w:val="restart"/>
            <w:vAlign w:val="center"/>
          </w:tcPr>
          <w:p w14:paraId="784A2A54">
            <w:pPr>
              <w:tabs>
                <w:tab w:val="left" w:pos="5012"/>
              </w:tabs>
              <w:snapToGrid w:val="0"/>
              <w:spacing w:line="240" w:lineRule="auto"/>
              <w:ind w:firstLine="0" w:firstLineChars="0"/>
              <w:jc w:val="center"/>
              <w:rPr>
                <w:rFonts w:cs="Times New Roman"/>
                <w:bCs/>
                <w:kern w:val="0"/>
                <w:sz w:val="18"/>
                <w:szCs w:val="18"/>
                <w:lang w:val="zh-CN" w:bidi="zh-CN"/>
              </w:rPr>
            </w:pPr>
            <w:r>
              <w:rPr>
                <w:rFonts w:cs="Times New Roman"/>
                <w:kern w:val="0"/>
                <w:sz w:val="18"/>
                <w:szCs w:val="18"/>
              </w:rPr>
              <w:t>后期雨水排放监控池、流量计、视频监控、总砷在线监测仪及监控站房</w:t>
            </w:r>
          </w:p>
        </w:tc>
      </w:tr>
      <w:tr w14:paraId="4BA52B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64BE4C24">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F1C1133">
            <w:pPr>
              <w:widowControl/>
              <w:snapToGrid w:val="0"/>
              <w:spacing w:line="240" w:lineRule="auto"/>
              <w:ind w:firstLine="0" w:firstLineChars="0"/>
              <w:jc w:val="center"/>
              <w:rPr>
                <w:rFonts w:cs="Times New Roman"/>
                <w:bCs/>
                <w:kern w:val="0"/>
                <w:sz w:val="18"/>
                <w:szCs w:val="18"/>
              </w:rPr>
            </w:pPr>
          </w:p>
        </w:tc>
        <w:tc>
          <w:tcPr>
            <w:tcW w:w="199" w:type="pct"/>
            <w:vAlign w:val="center"/>
          </w:tcPr>
          <w:p w14:paraId="2AB5213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7A93202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硫酸雾、氨</w:t>
            </w:r>
          </w:p>
        </w:tc>
        <w:tc>
          <w:tcPr>
            <w:tcW w:w="417" w:type="pct"/>
            <w:vAlign w:val="center"/>
          </w:tcPr>
          <w:p w14:paraId="494E8AA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4ADAA161">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浸出硫酸雾通过碱液喷淋洗涤后通过15米排气筒排放。氨水反萃和铼酸铵还原产生的含氨废气通过萃余液喷淋洗涤后通过15米排气筒排放。燃烧天然气产生的废气含烟尘浓度很低，直接通过烟囱排放</w:t>
            </w:r>
          </w:p>
        </w:tc>
        <w:tc>
          <w:tcPr>
            <w:tcW w:w="671" w:type="pct"/>
            <w:vMerge w:val="continue"/>
            <w:vAlign w:val="center"/>
          </w:tcPr>
          <w:p w14:paraId="456E7BA6">
            <w:pPr>
              <w:widowControl/>
              <w:snapToGrid w:val="0"/>
              <w:spacing w:line="240" w:lineRule="auto"/>
              <w:ind w:firstLine="0" w:firstLineChars="0"/>
              <w:jc w:val="center"/>
              <w:rPr>
                <w:rFonts w:cs="Times New Roman"/>
                <w:bCs/>
                <w:kern w:val="0"/>
                <w:sz w:val="18"/>
                <w:szCs w:val="18"/>
              </w:rPr>
            </w:pPr>
          </w:p>
        </w:tc>
      </w:tr>
      <w:tr w14:paraId="3DC3D6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D83637F">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1146E8AB">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0515B7B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4853B6F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3FA8D21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8330t/a</w:t>
            </w:r>
          </w:p>
        </w:tc>
        <w:tc>
          <w:tcPr>
            <w:tcW w:w="2893" w:type="pct"/>
            <w:vMerge w:val="restart"/>
            <w:vAlign w:val="center"/>
          </w:tcPr>
          <w:p w14:paraId="32A5A96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原液池除砷沉淀渣、萃余液池中和沉淀渣、雨水收集、职工洗澡、洗衣、地面冲洗水池沉淀渣，废水蒸发结晶渣等约1000t/a，外售给衡阳市黎达化工有限公司，浸出液压滤渣、硫酸铵结晶等外售金山水泥厂，生活垃圾由经开区环卫部门统一处理</w:t>
            </w:r>
          </w:p>
        </w:tc>
        <w:tc>
          <w:tcPr>
            <w:tcW w:w="671" w:type="pct"/>
            <w:vMerge w:val="continue"/>
            <w:vAlign w:val="center"/>
          </w:tcPr>
          <w:p w14:paraId="6F152163">
            <w:pPr>
              <w:widowControl/>
              <w:snapToGrid w:val="0"/>
              <w:spacing w:line="240" w:lineRule="auto"/>
              <w:ind w:firstLine="0" w:firstLineChars="0"/>
              <w:jc w:val="center"/>
              <w:rPr>
                <w:rFonts w:cs="Times New Roman"/>
                <w:bCs/>
                <w:kern w:val="0"/>
                <w:sz w:val="18"/>
                <w:szCs w:val="18"/>
              </w:rPr>
            </w:pPr>
          </w:p>
        </w:tc>
      </w:tr>
      <w:tr w14:paraId="3F5F8E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E3927AC">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EF73D54">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37A4B98D">
            <w:pPr>
              <w:widowControl/>
              <w:snapToGrid w:val="0"/>
              <w:spacing w:line="240" w:lineRule="auto"/>
              <w:ind w:firstLine="0" w:firstLineChars="0"/>
              <w:jc w:val="center"/>
              <w:rPr>
                <w:rFonts w:cs="Times New Roman"/>
                <w:bCs/>
                <w:kern w:val="0"/>
                <w:sz w:val="18"/>
                <w:szCs w:val="18"/>
              </w:rPr>
            </w:pPr>
          </w:p>
        </w:tc>
        <w:tc>
          <w:tcPr>
            <w:tcW w:w="485" w:type="pct"/>
            <w:vAlign w:val="center"/>
          </w:tcPr>
          <w:p w14:paraId="16093C4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666B1DC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1000t/a</w:t>
            </w:r>
          </w:p>
        </w:tc>
        <w:tc>
          <w:tcPr>
            <w:tcW w:w="2893" w:type="pct"/>
            <w:vMerge w:val="continue"/>
            <w:vAlign w:val="center"/>
          </w:tcPr>
          <w:p w14:paraId="5512B295">
            <w:pPr>
              <w:widowControl/>
              <w:snapToGrid w:val="0"/>
              <w:spacing w:line="240" w:lineRule="auto"/>
              <w:ind w:firstLine="0" w:firstLineChars="0"/>
              <w:jc w:val="center"/>
              <w:rPr>
                <w:rFonts w:cs="Times New Roman"/>
                <w:bCs/>
                <w:kern w:val="0"/>
                <w:sz w:val="18"/>
                <w:szCs w:val="18"/>
              </w:rPr>
            </w:pPr>
          </w:p>
        </w:tc>
        <w:tc>
          <w:tcPr>
            <w:tcW w:w="671" w:type="pct"/>
            <w:vMerge w:val="continue"/>
            <w:vAlign w:val="center"/>
          </w:tcPr>
          <w:p w14:paraId="1ACC2C5F">
            <w:pPr>
              <w:widowControl/>
              <w:snapToGrid w:val="0"/>
              <w:spacing w:line="240" w:lineRule="auto"/>
              <w:ind w:firstLine="0" w:firstLineChars="0"/>
              <w:jc w:val="center"/>
              <w:rPr>
                <w:rFonts w:cs="Times New Roman"/>
                <w:bCs/>
                <w:kern w:val="0"/>
                <w:sz w:val="18"/>
                <w:szCs w:val="18"/>
              </w:rPr>
            </w:pPr>
          </w:p>
        </w:tc>
      </w:tr>
      <w:tr w14:paraId="689E8F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144E823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23</w:t>
            </w:r>
          </w:p>
          <w:p w14:paraId="3E3F62DE">
            <w:pPr>
              <w:autoSpaceDE w:val="0"/>
              <w:autoSpaceDN w:val="0"/>
              <w:snapToGrid w:val="0"/>
              <w:spacing w:line="240" w:lineRule="auto"/>
              <w:ind w:firstLine="0" w:firstLineChars="0"/>
              <w:jc w:val="center"/>
              <w:rPr>
                <w:rFonts w:cs="Times New Roman"/>
                <w:bCs/>
                <w:kern w:val="0"/>
                <w:sz w:val="18"/>
                <w:szCs w:val="18"/>
              </w:rPr>
            </w:pPr>
          </w:p>
        </w:tc>
        <w:tc>
          <w:tcPr>
            <w:tcW w:w="231" w:type="pct"/>
            <w:vMerge w:val="restart"/>
            <w:vAlign w:val="center"/>
          </w:tcPr>
          <w:p w14:paraId="263301F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衡阳市黎达化工有限公司</w:t>
            </w:r>
          </w:p>
        </w:tc>
        <w:tc>
          <w:tcPr>
            <w:tcW w:w="199" w:type="pct"/>
            <w:vAlign w:val="center"/>
          </w:tcPr>
          <w:p w14:paraId="09393DF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2B0B029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SS、As、Pb、Zn</w:t>
            </w:r>
          </w:p>
        </w:tc>
        <w:tc>
          <w:tcPr>
            <w:tcW w:w="417" w:type="pct"/>
            <w:vAlign w:val="center"/>
          </w:tcPr>
          <w:p w14:paraId="2B4E8CE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5292t/a</w:t>
            </w:r>
          </w:p>
        </w:tc>
        <w:tc>
          <w:tcPr>
            <w:tcW w:w="2893" w:type="pct"/>
            <w:vAlign w:val="center"/>
          </w:tcPr>
          <w:p w14:paraId="7B53552A">
            <w:pPr>
              <w:tabs>
                <w:tab w:val="left" w:pos="3480"/>
              </w:tabs>
              <w:snapToGrid w:val="0"/>
              <w:spacing w:line="240" w:lineRule="auto"/>
              <w:ind w:firstLine="0" w:firstLineChars="0"/>
              <w:jc w:val="center"/>
              <w:rPr>
                <w:rFonts w:cs="Times New Roman"/>
                <w:bCs/>
                <w:kern w:val="0"/>
                <w:sz w:val="18"/>
                <w:szCs w:val="18"/>
              </w:rPr>
            </w:pPr>
            <w:r>
              <w:rPr>
                <w:rFonts w:cs="Times New Roman"/>
                <w:bCs/>
                <w:kern w:val="0"/>
                <w:sz w:val="18"/>
                <w:szCs w:val="18"/>
              </w:rPr>
              <w:t>污酸处理系统废水、填料洗涤塔稀酸喷淋废水回用于生产补充水，不外排。原料仓库喷淋收集废水、地面冲洗废水洗车废水经厂区内导流沟引入废水收集池沉淀；初期雨水前30min雨水收集至雨水收集池、后30min经管网统一送至松木污水处理厂，员工生活污水经管网统一送至松木污水处理厂</w:t>
            </w:r>
          </w:p>
        </w:tc>
        <w:tc>
          <w:tcPr>
            <w:tcW w:w="671" w:type="pct"/>
            <w:vMerge w:val="restart"/>
            <w:vAlign w:val="center"/>
          </w:tcPr>
          <w:p w14:paraId="37F6AB2B">
            <w:pPr>
              <w:tabs>
                <w:tab w:val="left" w:pos="3480"/>
              </w:tabs>
              <w:snapToGrid w:val="0"/>
              <w:spacing w:line="240" w:lineRule="auto"/>
              <w:ind w:firstLine="0" w:firstLineChars="0"/>
              <w:jc w:val="center"/>
              <w:rPr>
                <w:rFonts w:cs="Times New Roman"/>
                <w:bCs/>
                <w:kern w:val="0"/>
                <w:sz w:val="18"/>
                <w:szCs w:val="18"/>
              </w:rPr>
            </w:pPr>
            <w:r>
              <w:rPr>
                <w:rFonts w:cs="Times New Roman"/>
                <w:kern w:val="0"/>
                <w:sz w:val="18"/>
                <w:szCs w:val="18"/>
              </w:rPr>
              <w:t>后期雨水排放监控池、流量计、视频监控、总砷在线监测仪及监控站房</w:t>
            </w:r>
          </w:p>
        </w:tc>
      </w:tr>
      <w:tr w14:paraId="576AB1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13EABE80">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19B6D324">
            <w:pPr>
              <w:widowControl/>
              <w:snapToGrid w:val="0"/>
              <w:spacing w:line="240" w:lineRule="auto"/>
              <w:ind w:firstLine="0" w:firstLineChars="0"/>
              <w:jc w:val="center"/>
              <w:rPr>
                <w:rFonts w:cs="Times New Roman"/>
                <w:bCs/>
                <w:kern w:val="0"/>
                <w:sz w:val="18"/>
                <w:szCs w:val="18"/>
              </w:rPr>
            </w:pPr>
          </w:p>
        </w:tc>
        <w:tc>
          <w:tcPr>
            <w:tcW w:w="199" w:type="pct"/>
            <w:vAlign w:val="center"/>
          </w:tcPr>
          <w:p w14:paraId="2866F54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7917F2F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颗粒物、硫酸雾、二氧化硫、砷</w:t>
            </w:r>
          </w:p>
        </w:tc>
        <w:tc>
          <w:tcPr>
            <w:tcW w:w="417" w:type="pct"/>
            <w:vAlign w:val="center"/>
          </w:tcPr>
          <w:p w14:paraId="0A0FAEE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6DC7A346">
            <w:pPr>
              <w:widowControl/>
              <w:snapToGrid w:val="0"/>
              <w:spacing w:line="240" w:lineRule="auto"/>
              <w:ind w:firstLine="0" w:firstLineChars="0"/>
              <w:jc w:val="center"/>
              <w:rPr>
                <w:rFonts w:cs="Times New Roman"/>
                <w:kern w:val="0"/>
                <w:sz w:val="18"/>
                <w:szCs w:val="18"/>
              </w:rPr>
            </w:pPr>
            <w:r>
              <w:rPr>
                <w:rFonts w:cs="Times New Roman"/>
                <w:bCs/>
                <w:kern w:val="0"/>
                <w:sz w:val="18"/>
                <w:szCs w:val="18"/>
              </w:rPr>
              <w:t>经余热锅炉、旋风除尘器、布袋过滤除尘、急冷收砷净化器、文氏管、填料洗涤塔、电除尘器、电除雾器处理后，含</w:t>
            </w:r>
            <w:r>
              <w:rPr>
                <w:rFonts w:cs="Times New Roman"/>
                <w:kern w:val="0"/>
                <w:sz w:val="18"/>
                <w:szCs w:val="18"/>
              </w:rPr>
              <w:t>SO2尾气</w:t>
            </w:r>
            <w:r>
              <w:rPr>
                <w:rFonts w:cs="Times New Roman"/>
                <w:bCs/>
                <w:kern w:val="0"/>
                <w:sz w:val="18"/>
                <w:szCs w:val="18"/>
              </w:rPr>
              <w:t>进入</w:t>
            </w:r>
            <w:r>
              <w:rPr>
                <w:rFonts w:cs="Times New Roman"/>
                <w:kern w:val="0"/>
                <w:sz w:val="18"/>
                <w:szCs w:val="18"/>
              </w:rPr>
              <w:t>经六塔纯碱吸收后经过15m高排气筒排放；干燥</w:t>
            </w:r>
          </w:p>
          <w:p w14:paraId="4D346FDC">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经旋风+布袋除尘后并入SO2尾气六塔纯碱吸收；天然气锅炉尾气直接排放</w:t>
            </w:r>
          </w:p>
        </w:tc>
        <w:tc>
          <w:tcPr>
            <w:tcW w:w="671" w:type="pct"/>
            <w:vMerge w:val="continue"/>
            <w:vAlign w:val="center"/>
          </w:tcPr>
          <w:p w14:paraId="4B7694B5">
            <w:pPr>
              <w:widowControl/>
              <w:snapToGrid w:val="0"/>
              <w:spacing w:line="240" w:lineRule="auto"/>
              <w:ind w:firstLine="0" w:firstLineChars="0"/>
              <w:jc w:val="center"/>
              <w:rPr>
                <w:rFonts w:cs="Times New Roman"/>
                <w:bCs/>
                <w:kern w:val="0"/>
                <w:sz w:val="18"/>
                <w:szCs w:val="18"/>
              </w:rPr>
            </w:pPr>
          </w:p>
        </w:tc>
      </w:tr>
      <w:tr w14:paraId="2D91CE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C0EE514">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24B14CA">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4A54A1F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0590241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40B4CB6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38t/a</w:t>
            </w:r>
          </w:p>
        </w:tc>
        <w:tc>
          <w:tcPr>
            <w:tcW w:w="2893" w:type="pct"/>
            <w:vAlign w:val="center"/>
          </w:tcPr>
          <w:p w14:paraId="64D84BA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稀酸槽沉渣、洗车、雨水及地面冲洗水池沉淀渣送原料车间配料后返回回转窑，生活垃圾交由环卫部门处置</w:t>
            </w:r>
          </w:p>
        </w:tc>
        <w:tc>
          <w:tcPr>
            <w:tcW w:w="671" w:type="pct"/>
            <w:vMerge w:val="continue"/>
            <w:vAlign w:val="center"/>
          </w:tcPr>
          <w:p w14:paraId="6A467E59">
            <w:pPr>
              <w:widowControl/>
              <w:snapToGrid w:val="0"/>
              <w:spacing w:line="240" w:lineRule="auto"/>
              <w:ind w:firstLine="0" w:firstLineChars="0"/>
              <w:jc w:val="center"/>
              <w:rPr>
                <w:rFonts w:cs="Times New Roman"/>
                <w:bCs/>
                <w:kern w:val="0"/>
                <w:sz w:val="18"/>
                <w:szCs w:val="18"/>
              </w:rPr>
            </w:pPr>
          </w:p>
        </w:tc>
      </w:tr>
      <w:tr w14:paraId="6BB33F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601BC95">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0FAB72F">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448888C9">
            <w:pPr>
              <w:widowControl/>
              <w:snapToGrid w:val="0"/>
              <w:spacing w:line="240" w:lineRule="auto"/>
              <w:ind w:firstLine="0" w:firstLineChars="0"/>
              <w:jc w:val="center"/>
              <w:rPr>
                <w:rFonts w:cs="Times New Roman"/>
                <w:bCs/>
                <w:kern w:val="0"/>
                <w:sz w:val="18"/>
                <w:szCs w:val="18"/>
              </w:rPr>
            </w:pPr>
          </w:p>
        </w:tc>
        <w:tc>
          <w:tcPr>
            <w:tcW w:w="485" w:type="pct"/>
            <w:vAlign w:val="center"/>
          </w:tcPr>
          <w:p w14:paraId="35A4F74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危险废物</w:t>
            </w:r>
          </w:p>
        </w:tc>
        <w:tc>
          <w:tcPr>
            <w:tcW w:w="417" w:type="pct"/>
            <w:vAlign w:val="center"/>
          </w:tcPr>
          <w:p w14:paraId="0CA3ABD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2800t/a</w:t>
            </w:r>
          </w:p>
        </w:tc>
        <w:tc>
          <w:tcPr>
            <w:tcW w:w="2893" w:type="pct"/>
            <w:vAlign w:val="center"/>
          </w:tcPr>
          <w:p w14:paraId="219B6A5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回转窑渣交由有资质单位处理（由衡阳志远新材料公司回收）</w:t>
            </w:r>
          </w:p>
        </w:tc>
        <w:tc>
          <w:tcPr>
            <w:tcW w:w="671" w:type="pct"/>
            <w:vMerge w:val="continue"/>
            <w:vAlign w:val="center"/>
          </w:tcPr>
          <w:p w14:paraId="43125B41">
            <w:pPr>
              <w:widowControl/>
              <w:snapToGrid w:val="0"/>
              <w:spacing w:line="240" w:lineRule="auto"/>
              <w:ind w:firstLine="0" w:firstLineChars="0"/>
              <w:jc w:val="center"/>
              <w:rPr>
                <w:rFonts w:cs="Times New Roman"/>
                <w:bCs/>
                <w:kern w:val="0"/>
                <w:sz w:val="18"/>
                <w:szCs w:val="18"/>
              </w:rPr>
            </w:pPr>
          </w:p>
        </w:tc>
      </w:tr>
      <w:tr w14:paraId="0F48F3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07A3276F">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25</w:t>
            </w:r>
          </w:p>
          <w:p w14:paraId="4EACD8BF">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1D654F8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衡阳市锦轩化工有限公司</w:t>
            </w:r>
          </w:p>
        </w:tc>
        <w:tc>
          <w:tcPr>
            <w:tcW w:w="199" w:type="pct"/>
            <w:vAlign w:val="center"/>
          </w:tcPr>
          <w:p w14:paraId="12B8837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5F04D18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pH、SS、COD、BOD</w:t>
            </w:r>
            <w:r>
              <w:rPr>
                <w:rFonts w:cs="Times New Roman"/>
                <w:bCs/>
                <w:kern w:val="0"/>
                <w:sz w:val="18"/>
                <w:szCs w:val="18"/>
                <w:vertAlign w:val="subscript"/>
              </w:rPr>
              <w:t>5</w:t>
            </w:r>
            <w:r>
              <w:rPr>
                <w:rFonts w:cs="Times New Roman"/>
                <w:bCs/>
                <w:kern w:val="0"/>
                <w:sz w:val="18"/>
                <w:szCs w:val="18"/>
              </w:rPr>
              <w:t>、NH</w:t>
            </w:r>
            <w:r>
              <w:rPr>
                <w:rFonts w:cs="Times New Roman"/>
                <w:bCs/>
                <w:kern w:val="0"/>
                <w:sz w:val="18"/>
                <w:szCs w:val="18"/>
                <w:vertAlign w:val="subscript"/>
              </w:rPr>
              <w:t>3</w:t>
            </w:r>
            <w:r>
              <w:rPr>
                <w:rFonts w:cs="Times New Roman"/>
                <w:bCs/>
                <w:kern w:val="0"/>
                <w:sz w:val="18"/>
                <w:szCs w:val="18"/>
              </w:rPr>
              <w:t>-N、氟</w:t>
            </w:r>
          </w:p>
          <w:p w14:paraId="34CC9F5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化物</w:t>
            </w:r>
          </w:p>
        </w:tc>
        <w:tc>
          <w:tcPr>
            <w:tcW w:w="417" w:type="pct"/>
            <w:vAlign w:val="center"/>
          </w:tcPr>
          <w:p w14:paraId="42DDA34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421.2m</w:t>
            </w:r>
            <w:r>
              <w:rPr>
                <w:rFonts w:cs="Times New Roman"/>
                <w:bCs/>
                <w:kern w:val="0"/>
                <w:position w:val="8"/>
                <w:sz w:val="18"/>
                <w:szCs w:val="18"/>
              </w:rPr>
              <w:t>3</w:t>
            </w:r>
            <w:r>
              <w:rPr>
                <w:rFonts w:cs="Times New Roman"/>
                <w:bCs/>
                <w:kern w:val="0"/>
                <w:sz w:val="18"/>
                <w:szCs w:val="18"/>
              </w:rPr>
              <w:t>/a</w:t>
            </w:r>
          </w:p>
        </w:tc>
        <w:tc>
          <w:tcPr>
            <w:tcW w:w="2893" w:type="pct"/>
            <w:vAlign w:val="center"/>
          </w:tcPr>
          <w:p w14:paraId="5DC4C9C1">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取消了AC发泡剂的生产，相关涉高氨氮废水不再产生，新增氟硅酸钾清洗废水经中和沉淀（二级Ca(OH)</w:t>
            </w:r>
            <w:r>
              <w:rPr>
                <w:rFonts w:cs="Times New Roman"/>
                <w:kern w:val="0"/>
                <w:sz w:val="18"/>
                <w:szCs w:val="18"/>
                <w:vertAlign w:val="subscript"/>
              </w:rPr>
              <w:t>2</w:t>
            </w:r>
            <w:r>
              <w:rPr>
                <w:rFonts w:cs="Times New Roman"/>
                <w:kern w:val="0"/>
                <w:sz w:val="18"/>
                <w:szCs w:val="18"/>
              </w:rPr>
              <w:t>+一级CaCl</w:t>
            </w:r>
            <w:r>
              <w:rPr>
                <w:rFonts w:cs="Times New Roman"/>
                <w:kern w:val="0"/>
                <w:sz w:val="18"/>
                <w:szCs w:val="18"/>
                <w:vertAlign w:val="subscript"/>
              </w:rPr>
              <w:t>2</w:t>
            </w:r>
            <w:r>
              <w:rPr>
                <w:rFonts w:cs="Times New Roman"/>
                <w:kern w:val="0"/>
                <w:sz w:val="18"/>
                <w:szCs w:val="18"/>
              </w:rPr>
              <w:t>）后排入松木污水处理厂处理后排入湘江</w:t>
            </w:r>
            <w:r>
              <w:rPr>
                <w:rFonts w:cs="Times New Roman"/>
                <w:bCs/>
                <w:kern w:val="0"/>
                <w:sz w:val="18"/>
                <w:szCs w:val="18"/>
              </w:rPr>
              <w:t>”；</w:t>
            </w:r>
          </w:p>
          <w:p w14:paraId="1E0F3A9B">
            <w:pPr>
              <w:widowControl/>
              <w:snapToGrid w:val="0"/>
              <w:spacing w:line="240" w:lineRule="auto"/>
              <w:ind w:firstLine="0" w:firstLineChars="0"/>
              <w:jc w:val="center"/>
              <w:rPr>
                <w:rFonts w:cs="Times New Roman"/>
                <w:bCs/>
                <w:kern w:val="0"/>
                <w:sz w:val="18"/>
                <w:szCs w:val="18"/>
              </w:rPr>
            </w:pPr>
            <w:r>
              <w:rPr>
                <w:rFonts w:cs="Times New Roman"/>
                <w:bCs/>
                <w:spacing w:val="-6"/>
                <w:kern w:val="0"/>
                <w:sz w:val="18"/>
                <w:szCs w:val="18"/>
              </w:rPr>
              <w:t>生活污水经厂区化粪池处理后，汇入经开区污水管网，最终进入松木污水处理厂处理达标</w:t>
            </w:r>
          </w:p>
          <w:p w14:paraId="0F8F046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后外排湘江</w:t>
            </w:r>
          </w:p>
        </w:tc>
        <w:tc>
          <w:tcPr>
            <w:tcW w:w="671" w:type="pct"/>
            <w:vMerge w:val="restart"/>
            <w:vAlign w:val="center"/>
          </w:tcPr>
          <w:p w14:paraId="72335661">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后期雨水排放监控池、流量计、视频监控、pH、F在线监测仪及监控站房</w:t>
            </w:r>
          </w:p>
        </w:tc>
      </w:tr>
      <w:tr w14:paraId="4F5B23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6D085632">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DB9D702">
            <w:pPr>
              <w:widowControl/>
              <w:snapToGrid w:val="0"/>
              <w:spacing w:line="240" w:lineRule="auto"/>
              <w:ind w:firstLine="0" w:firstLineChars="0"/>
              <w:jc w:val="center"/>
              <w:rPr>
                <w:rFonts w:cs="Times New Roman"/>
                <w:bCs/>
                <w:kern w:val="0"/>
                <w:sz w:val="18"/>
                <w:szCs w:val="18"/>
              </w:rPr>
            </w:pPr>
          </w:p>
        </w:tc>
        <w:tc>
          <w:tcPr>
            <w:tcW w:w="199" w:type="pct"/>
            <w:vAlign w:val="center"/>
          </w:tcPr>
          <w:p w14:paraId="37A20C6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0C87044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颗粒物</w:t>
            </w:r>
          </w:p>
        </w:tc>
        <w:tc>
          <w:tcPr>
            <w:tcW w:w="417" w:type="pct"/>
            <w:vAlign w:val="center"/>
          </w:tcPr>
          <w:p w14:paraId="6A30F10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15BB927F">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氟化钠生产粉尘采用袋式除尘处理后达标排放；氟硅酸钾反应尾气经二级碳酸钾+一级KOH吸收后经25m高排气筒排放</w:t>
            </w:r>
          </w:p>
        </w:tc>
        <w:tc>
          <w:tcPr>
            <w:tcW w:w="671" w:type="pct"/>
            <w:vMerge w:val="continue"/>
            <w:vAlign w:val="center"/>
          </w:tcPr>
          <w:p w14:paraId="181AEF27">
            <w:pPr>
              <w:widowControl/>
              <w:snapToGrid w:val="0"/>
              <w:spacing w:line="240" w:lineRule="auto"/>
              <w:ind w:firstLine="0" w:firstLineChars="0"/>
              <w:jc w:val="center"/>
              <w:rPr>
                <w:rFonts w:cs="Times New Roman"/>
                <w:bCs/>
                <w:kern w:val="0"/>
                <w:sz w:val="18"/>
                <w:szCs w:val="18"/>
              </w:rPr>
            </w:pPr>
          </w:p>
        </w:tc>
      </w:tr>
      <w:tr w14:paraId="209814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93A6F84">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25A45D18">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20EC7D6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29AB380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1563DDE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28.765t/a</w:t>
            </w:r>
          </w:p>
        </w:tc>
        <w:tc>
          <w:tcPr>
            <w:tcW w:w="2893" w:type="pct"/>
            <w:vAlign w:val="center"/>
          </w:tcPr>
          <w:p w14:paraId="4CF3305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生活垃圾交由环卫部门进行处理；粉尘尘渣回用于生产</w:t>
            </w:r>
          </w:p>
        </w:tc>
        <w:tc>
          <w:tcPr>
            <w:tcW w:w="671" w:type="pct"/>
            <w:vMerge w:val="continue"/>
            <w:vAlign w:val="center"/>
          </w:tcPr>
          <w:p w14:paraId="555A3BF3">
            <w:pPr>
              <w:widowControl/>
              <w:snapToGrid w:val="0"/>
              <w:spacing w:line="240" w:lineRule="auto"/>
              <w:ind w:firstLine="0" w:firstLineChars="0"/>
              <w:jc w:val="center"/>
              <w:rPr>
                <w:rFonts w:cs="Times New Roman"/>
                <w:bCs/>
                <w:kern w:val="0"/>
                <w:sz w:val="18"/>
                <w:szCs w:val="18"/>
              </w:rPr>
            </w:pPr>
          </w:p>
        </w:tc>
      </w:tr>
      <w:tr w14:paraId="53B65E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75760EBF">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B55BD58">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13BA4DED">
            <w:pPr>
              <w:widowControl/>
              <w:snapToGrid w:val="0"/>
              <w:spacing w:line="240" w:lineRule="auto"/>
              <w:ind w:firstLine="0" w:firstLineChars="0"/>
              <w:jc w:val="center"/>
              <w:rPr>
                <w:rFonts w:cs="Times New Roman"/>
                <w:bCs/>
                <w:kern w:val="0"/>
                <w:sz w:val="18"/>
                <w:szCs w:val="18"/>
              </w:rPr>
            </w:pPr>
          </w:p>
        </w:tc>
        <w:tc>
          <w:tcPr>
            <w:tcW w:w="485" w:type="pct"/>
            <w:vAlign w:val="center"/>
          </w:tcPr>
          <w:p w14:paraId="0AF6D11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7FCA545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8t/a</w:t>
            </w:r>
          </w:p>
        </w:tc>
        <w:tc>
          <w:tcPr>
            <w:tcW w:w="2893" w:type="pct"/>
            <w:vAlign w:val="center"/>
          </w:tcPr>
          <w:p w14:paraId="645BE15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委托有相应危废资质的单位回收处置</w:t>
            </w:r>
          </w:p>
        </w:tc>
        <w:tc>
          <w:tcPr>
            <w:tcW w:w="671" w:type="pct"/>
            <w:vMerge w:val="continue"/>
            <w:vAlign w:val="center"/>
          </w:tcPr>
          <w:p w14:paraId="6CEA0AD3">
            <w:pPr>
              <w:widowControl/>
              <w:snapToGrid w:val="0"/>
              <w:spacing w:line="240" w:lineRule="auto"/>
              <w:ind w:firstLine="0" w:firstLineChars="0"/>
              <w:jc w:val="center"/>
              <w:rPr>
                <w:rFonts w:cs="Times New Roman"/>
                <w:bCs/>
                <w:kern w:val="0"/>
                <w:sz w:val="18"/>
                <w:szCs w:val="18"/>
              </w:rPr>
            </w:pPr>
          </w:p>
        </w:tc>
      </w:tr>
      <w:tr w14:paraId="7C1737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1006F5C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26</w:t>
            </w:r>
          </w:p>
          <w:p w14:paraId="54EA690F">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6321F14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湖南达利化工有限公司</w:t>
            </w:r>
          </w:p>
        </w:tc>
        <w:tc>
          <w:tcPr>
            <w:tcW w:w="199" w:type="pct"/>
            <w:vAlign w:val="center"/>
          </w:tcPr>
          <w:p w14:paraId="189DC4F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387A0A6E">
            <w:pPr>
              <w:widowControl/>
              <w:snapToGrid w:val="0"/>
              <w:spacing w:line="240" w:lineRule="auto"/>
              <w:ind w:firstLine="0" w:firstLineChars="0"/>
              <w:jc w:val="center"/>
              <w:rPr>
                <w:rFonts w:cs="Times New Roman"/>
                <w:bCs/>
                <w:kern w:val="0"/>
                <w:sz w:val="18"/>
                <w:szCs w:val="18"/>
              </w:rPr>
            </w:pPr>
            <w:r>
              <w:rPr>
                <w:rFonts w:cs="Times New Roman"/>
                <w:bCs/>
                <w:spacing w:val="-5"/>
                <w:kern w:val="0"/>
                <w:sz w:val="18"/>
                <w:szCs w:val="18"/>
              </w:rPr>
              <w:t>氯离子、</w:t>
            </w:r>
            <w:r>
              <w:rPr>
                <w:rFonts w:cs="Times New Roman"/>
                <w:bCs/>
                <w:kern w:val="0"/>
                <w:sz w:val="18"/>
                <w:szCs w:val="18"/>
              </w:rPr>
              <w:t>SS</w:t>
            </w:r>
            <w:r>
              <w:rPr>
                <w:rFonts w:cs="Times New Roman"/>
                <w:bCs/>
                <w:spacing w:val="-17"/>
                <w:kern w:val="0"/>
                <w:sz w:val="18"/>
                <w:szCs w:val="18"/>
              </w:rPr>
              <w:t>、</w:t>
            </w:r>
            <w:r>
              <w:rPr>
                <w:rFonts w:cs="Times New Roman"/>
                <w:bCs/>
                <w:kern w:val="0"/>
                <w:sz w:val="18"/>
                <w:szCs w:val="18"/>
              </w:rPr>
              <w:t>COD、</w:t>
            </w:r>
          </w:p>
          <w:p w14:paraId="1CC0585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氨氮</w:t>
            </w:r>
          </w:p>
        </w:tc>
        <w:tc>
          <w:tcPr>
            <w:tcW w:w="417" w:type="pct"/>
            <w:vAlign w:val="center"/>
          </w:tcPr>
          <w:p w14:paraId="4236D24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105740m</w:t>
            </w:r>
            <w:r>
              <w:rPr>
                <w:rFonts w:cs="Times New Roman"/>
                <w:bCs/>
                <w:kern w:val="0"/>
                <w:position w:val="8"/>
                <w:sz w:val="18"/>
                <w:szCs w:val="18"/>
              </w:rPr>
              <w:t>3</w:t>
            </w:r>
            <w:r>
              <w:rPr>
                <w:rFonts w:cs="Times New Roman"/>
                <w:bCs/>
                <w:kern w:val="0"/>
                <w:sz w:val="18"/>
                <w:szCs w:val="18"/>
              </w:rPr>
              <w:t>/a</w:t>
            </w:r>
          </w:p>
        </w:tc>
        <w:tc>
          <w:tcPr>
            <w:tcW w:w="2893" w:type="pct"/>
            <w:vAlign w:val="center"/>
          </w:tcPr>
          <w:p w14:paraId="5CFD130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离心母液、设备清洗水经中和处理后返建滔公司采卤井；</w:t>
            </w:r>
          </w:p>
          <w:p w14:paraId="53B813A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生活污水经化粪池处理后进入经开区污水管网，最终经松木污水处理厂处理后排放</w:t>
            </w:r>
          </w:p>
        </w:tc>
        <w:tc>
          <w:tcPr>
            <w:tcW w:w="671" w:type="pct"/>
            <w:vMerge w:val="restart"/>
            <w:vAlign w:val="center"/>
          </w:tcPr>
          <w:p w14:paraId="462743C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已停产</w:t>
            </w:r>
          </w:p>
        </w:tc>
      </w:tr>
      <w:tr w14:paraId="1499EF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BB5CF65">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15D193F">
            <w:pPr>
              <w:widowControl/>
              <w:snapToGrid w:val="0"/>
              <w:spacing w:line="240" w:lineRule="auto"/>
              <w:ind w:firstLine="0" w:firstLineChars="0"/>
              <w:jc w:val="center"/>
              <w:rPr>
                <w:rFonts w:cs="Times New Roman"/>
                <w:bCs/>
                <w:kern w:val="0"/>
                <w:sz w:val="18"/>
                <w:szCs w:val="18"/>
              </w:rPr>
            </w:pPr>
          </w:p>
        </w:tc>
        <w:tc>
          <w:tcPr>
            <w:tcW w:w="199" w:type="pct"/>
            <w:vAlign w:val="center"/>
          </w:tcPr>
          <w:p w14:paraId="774F164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30D9509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粉尘</w:t>
            </w:r>
          </w:p>
        </w:tc>
        <w:tc>
          <w:tcPr>
            <w:tcW w:w="417" w:type="pct"/>
            <w:vAlign w:val="center"/>
          </w:tcPr>
          <w:p w14:paraId="0E9CFD0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40000 m</w:t>
            </w:r>
            <w:r>
              <w:rPr>
                <w:rFonts w:cs="Times New Roman"/>
                <w:bCs/>
                <w:kern w:val="0"/>
                <w:position w:val="8"/>
                <w:sz w:val="18"/>
                <w:szCs w:val="18"/>
              </w:rPr>
              <w:t>3</w:t>
            </w:r>
            <w:r>
              <w:rPr>
                <w:rFonts w:cs="Times New Roman"/>
                <w:bCs/>
                <w:kern w:val="0"/>
                <w:sz w:val="18"/>
                <w:szCs w:val="18"/>
              </w:rPr>
              <w:t>/h</w:t>
            </w:r>
          </w:p>
        </w:tc>
        <w:tc>
          <w:tcPr>
            <w:tcW w:w="2893" w:type="pct"/>
            <w:vAlign w:val="center"/>
          </w:tcPr>
          <w:p w14:paraId="7AEF4C1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干燥尾气采用水雾除尘经 20m 排气筒排放</w:t>
            </w:r>
          </w:p>
        </w:tc>
        <w:tc>
          <w:tcPr>
            <w:tcW w:w="671" w:type="pct"/>
            <w:vMerge w:val="continue"/>
            <w:vAlign w:val="center"/>
          </w:tcPr>
          <w:p w14:paraId="02659CFA">
            <w:pPr>
              <w:widowControl/>
              <w:snapToGrid w:val="0"/>
              <w:spacing w:line="240" w:lineRule="auto"/>
              <w:ind w:firstLine="0" w:firstLineChars="0"/>
              <w:jc w:val="center"/>
              <w:rPr>
                <w:rFonts w:cs="Times New Roman"/>
                <w:bCs/>
                <w:kern w:val="0"/>
                <w:sz w:val="18"/>
                <w:szCs w:val="18"/>
              </w:rPr>
            </w:pPr>
          </w:p>
        </w:tc>
      </w:tr>
      <w:tr w14:paraId="31D8B9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1A8B47E4">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E06526F">
            <w:pPr>
              <w:widowControl/>
              <w:snapToGrid w:val="0"/>
              <w:spacing w:line="240" w:lineRule="auto"/>
              <w:ind w:firstLine="0" w:firstLineChars="0"/>
              <w:jc w:val="center"/>
              <w:rPr>
                <w:rFonts w:cs="Times New Roman"/>
                <w:bCs/>
                <w:kern w:val="0"/>
                <w:sz w:val="18"/>
                <w:szCs w:val="18"/>
              </w:rPr>
            </w:pPr>
          </w:p>
        </w:tc>
        <w:tc>
          <w:tcPr>
            <w:tcW w:w="199" w:type="pct"/>
            <w:vAlign w:val="center"/>
          </w:tcPr>
          <w:p w14:paraId="4B9DDC6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42370A0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1B925BE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44t/a</w:t>
            </w:r>
          </w:p>
        </w:tc>
        <w:tc>
          <w:tcPr>
            <w:tcW w:w="2893" w:type="pct"/>
            <w:vAlign w:val="center"/>
          </w:tcPr>
          <w:p w14:paraId="1CA155A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生活垃圾交由环卫部门进行处理</w:t>
            </w:r>
          </w:p>
        </w:tc>
        <w:tc>
          <w:tcPr>
            <w:tcW w:w="671" w:type="pct"/>
            <w:vMerge w:val="continue"/>
            <w:vAlign w:val="center"/>
          </w:tcPr>
          <w:p w14:paraId="4000F4AE">
            <w:pPr>
              <w:widowControl/>
              <w:snapToGrid w:val="0"/>
              <w:spacing w:line="240" w:lineRule="auto"/>
              <w:ind w:firstLine="0" w:firstLineChars="0"/>
              <w:jc w:val="center"/>
              <w:rPr>
                <w:rFonts w:cs="Times New Roman"/>
                <w:bCs/>
                <w:kern w:val="0"/>
                <w:sz w:val="18"/>
                <w:szCs w:val="18"/>
              </w:rPr>
            </w:pPr>
          </w:p>
        </w:tc>
      </w:tr>
      <w:tr w14:paraId="49AEBD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422CBD0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27</w:t>
            </w:r>
          </w:p>
          <w:p w14:paraId="4FDEA77F">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6C67706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衡阳华砷科技有限公司</w:t>
            </w:r>
          </w:p>
        </w:tc>
        <w:tc>
          <w:tcPr>
            <w:tcW w:w="199" w:type="pct"/>
            <w:vAlign w:val="center"/>
          </w:tcPr>
          <w:p w14:paraId="3C13C14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2203934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化学需氧量、悬浮物、氨氮、动植物油</w:t>
            </w:r>
          </w:p>
        </w:tc>
        <w:tc>
          <w:tcPr>
            <w:tcW w:w="417" w:type="pct"/>
            <w:vAlign w:val="center"/>
          </w:tcPr>
          <w:p w14:paraId="04C80F1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2592t/a</w:t>
            </w:r>
          </w:p>
        </w:tc>
        <w:tc>
          <w:tcPr>
            <w:tcW w:w="2893" w:type="pct"/>
            <w:vAlign w:val="center"/>
          </w:tcPr>
          <w:p w14:paraId="3CFFA9A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产冷却水蒸发；工艺废水含少量砷，向洗水中加入盐酸，调至pH=9左右，然后加入石灰，进行脱砷处理，脱砷后的废水经二级过滤后回用于氧化工序，车间保洁废水收集至车间保洁废水收集池沉淀处理后回用于氧化工序，生活废水进入松木污水处理厂排入湘江</w:t>
            </w:r>
          </w:p>
        </w:tc>
        <w:tc>
          <w:tcPr>
            <w:tcW w:w="671" w:type="pct"/>
            <w:vMerge w:val="restart"/>
            <w:vAlign w:val="center"/>
          </w:tcPr>
          <w:p w14:paraId="32B81213">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后期雨水排放监控池、流量计、视频监控、总砷在线监测仪及监控站房</w:t>
            </w:r>
          </w:p>
        </w:tc>
      </w:tr>
      <w:tr w14:paraId="6C8985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CB3A6E1">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139E69D3">
            <w:pPr>
              <w:widowControl/>
              <w:snapToGrid w:val="0"/>
              <w:spacing w:line="240" w:lineRule="auto"/>
              <w:ind w:firstLine="0" w:firstLineChars="0"/>
              <w:jc w:val="center"/>
              <w:rPr>
                <w:rFonts w:cs="Times New Roman"/>
                <w:bCs/>
                <w:kern w:val="0"/>
                <w:sz w:val="18"/>
                <w:szCs w:val="18"/>
              </w:rPr>
            </w:pPr>
          </w:p>
        </w:tc>
        <w:tc>
          <w:tcPr>
            <w:tcW w:w="199" w:type="pct"/>
            <w:vAlign w:val="center"/>
          </w:tcPr>
          <w:p w14:paraId="76E5575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77F3A0D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二氧化硫、氮氧化物、颗粒物、铅、砷、锑</w:t>
            </w:r>
          </w:p>
        </w:tc>
        <w:tc>
          <w:tcPr>
            <w:tcW w:w="417" w:type="pct"/>
            <w:vAlign w:val="center"/>
          </w:tcPr>
          <w:p w14:paraId="4758407C">
            <w:pPr>
              <w:widowControl/>
              <w:snapToGrid w:val="0"/>
              <w:spacing w:line="240" w:lineRule="auto"/>
              <w:ind w:firstLine="0" w:firstLineChars="0"/>
              <w:jc w:val="center"/>
              <w:rPr>
                <w:rFonts w:cs="Times New Roman"/>
                <w:bCs/>
                <w:kern w:val="0"/>
                <w:sz w:val="18"/>
                <w:szCs w:val="18"/>
              </w:rPr>
            </w:pPr>
          </w:p>
        </w:tc>
        <w:tc>
          <w:tcPr>
            <w:tcW w:w="2893" w:type="pct"/>
            <w:vAlign w:val="center"/>
          </w:tcPr>
          <w:p w14:paraId="46D915E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氧化反应中产生的水蒸气经排气管道由车间顶空排放；转化活性处理反应放热蒸发产生的水蒸气经排气管道由车间顶空排放；中间产品焙（烘）干废气通过布袋除尘器后经15m高的排气筒排放，收集的粉尘进行回收利用；产品高温转型及均细化加工产生的废气通过布袋除尘器后经15 m高的排气筒排放，焙干炉及高温转型窑炉使用天然气作为燃料，共用一个15m高（内径为0.2m）的烟囱直排大气。</w:t>
            </w:r>
          </w:p>
        </w:tc>
        <w:tc>
          <w:tcPr>
            <w:tcW w:w="671" w:type="pct"/>
            <w:vMerge w:val="continue"/>
            <w:vAlign w:val="center"/>
          </w:tcPr>
          <w:p w14:paraId="68E8DAEF">
            <w:pPr>
              <w:widowControl/>
              <w:snapToGrid w:val="0"/>
              <w:spacing w:line="240" w:lineRule="auto"/>
              <w:ind w:firstLine="0" w:firstLineChars="0"/>
              <w:jc w:val="center"/>
              <w:rPr>
                <w:rFonts w:cs="Times New Roman"/>
                <w:bCs/>
                <w:kern w:val="0"/>
                <w:sz w:val="18"/>
                <w:szCs w:val="18"/>
              </w:rPr>
            </w:pPr>
          </w:p>
        </w:tc>
      </w:tr>
      <w:tr w14:paraId="19E434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8315035">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CCAAEBE">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4B6EFDB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4BB6396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危险废物</w:t>
            </w:r>
          </w:p>
        </w:tc>
        <w:tc>
          <w:tcPr>
            <w:tcW w:w="417" w:type="pct"/>
            <w:vAlign w:val="center"/>
          </w:tcPr>
          <w:p w14:paraId="07EE813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118t/a</w:t>
            </w:r>
          </w:p>
        </w:tc>
        <w:tc>
          <w:tcPr>
            <w:tcW w:w="2893" w:type="pct"/>
            <w:vAlign w:val="center"/>
          </w:tcPr>
          <w:p w14:paraId="4EFA13E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袋装（内衬塑料膜）收集，仓库堆存防风、防雨、防渗，作为衡阳华砷科技有限公司（本单位）生产无机砷中的砷酸</w:t>
            </w:r>
          </w:p>
        </w:tc>
        <w:tc>
          <w:tcPr>
            <w:tcW w:w="671" w:type="pct"/>
            <w:vMerge w:val="continue"/>
            <w:vAlign w:val="center"/>
          </w:tcPr>
          <w:p w14:paraId="7D4081A4">
            <w:pPr>
              <w:widowControl/>
              <w:snapToGrid w:val="0"/>
              <w:spacing w:line="240" w:lineRule="auto"/>
              <w:ind w:firstLine="0" w:firstLineChars="0"/>
              <w:jc w:val="center"/>
              <w:rPr>
                <w:rFonts w:cs="Times New Roman"/>
                <w:bCs/>
                <w:kern w:val="0"/>
                <w:sz w:val="18"/>
                <w:szCs w:val="18"/>
              </w:rPr>
            </w:pPr>
          </w:p>
        </w:tc>
      </w:tr>
      <w:tr w14:paraId="0004AA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624B3804">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6ADE75C">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770D47C9">
            <w:pPr>
              <w:widowControl/>
              <w:snapToGrid w:val="0"/>
              <w:spacing w:line="240" w:lineRule="auto"/>
              <w:ind w:firstLine="0" w:firstLineChars="0"/>
              <w:jc w:val="center"/>
              <w:rPr>
                <w:rFonts w:cs="Times New Roman"/>
                <w:bCs/>
                <w:kern w:val="0"/>
                <w:sz w:val="18"/>
                <w:szCs w:val="18"/>
              </w:rPr>
            </w:pPr>
          </w:p>
        </w:tc>
        <w:tc>
          <w:tcPr>
            <w:tcW w:w="485" w:type="pct"/>
            <w:vAlign w:val="center"/>
          </w:tcPr>
          <w:p w14:paraId="5284B92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067CF4C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30t/a</w:t>
            </w:r>
          </w:p>
        </w:tc>
        <w:tc>
          <w:tcPr>
            <w:tcW w:w="2893" w:type="pct"/>
            <w:vAlign w:val="center"/>
          </w:tcPr>
          <w:p w14:paraId="2C2AD9C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中间产品及产品磁选产生的金属类杂质出售；废原料包装原料供应厂家回收；办公、生活垃圾由园区环卫清运处理</w:t>
            </w:r>
          </w:p>
        </w:tc>
        <w:tc>
          <w:tcPr>
            <w:tcW w:w="671" w:type="pct"/>
            <w:vMerge w:val="continue"/>
            <w:vAlign w:val="center"/>
          </w:tcPr>
          <w:p w14:paraId="4BE96A6E">
            <w:pPr>
              <w:widowControl/>
              <w:snapToGrid w:val="0"/>
              <w:spacing w:line="240" w:lineRule="auto"/>
              <w:ind w:firstLine="0" w:firstLineChars="0"/>
              <w:jc w:val="center"/>
              <w:rPr>
                <w:rFonts w:cs="Times New Roman"/>
                <w:bCs/>
                <w:kern w:val="0"/>
                <w:sz w:val="18"/>
                <w:szCs w:val="18"/>
              </w:rPr>
            </w:pPr>
          </w:p>
        </w:tc>
      </w:tr>
      <w:tr w14:paraId="50F570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34DA1C5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28</w:t>
            </w:r>
          </w:p>
          <w:p w14:paraId="7571A285">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2182621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衡阳市晨丰生物科技有限公司</w:t>
            </w:r>
          </w:p>
        </w:tc>
        <w:tc>
          <w:tcPr>
            <w:tcW w:w="199" w:type="pct"/>
            <w:vAlign w:val="center"/>
          </w:tcPr>
          <w:p w14:paraId="53D8536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323F50D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417" w:type="pct"/>
            <w:vAlign w:val="center"/>
          </w:tcPr>
          <w:p w14:paraId="3C11FE6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1B07FC8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雨污分流、污污分流，冷凝废水经蒸发器蒸发后回收精甘油不外排，地面冲洗水、初期雨水经隔油沉淀池预处理，生活污水经化粪池处理后排园区污水处理厂进一步处理。</w:t>
            </w:r>
          </w:p>
        </w:tc>
        <w:tc>
          <w:tcPr>
            <w:tcW w:w="671" w:type="pct"/>
            <w:vMerge w:val="restart"/>
            <w:vAlign w:val="center"/>
          </w:tcPr>
          <w:p w14:paraId="5348CEB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09E713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6520BBB6">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D81368B">
            <w:pPr>
              <w:widowControl/>
              <w:snapToGrid w:val="0"/>
              <w:spacing w:line="240" w:lineRule="auto"/>
              <w:ind w:firstLine="0" w:firstLineChars="0"/>
              <w:jc w:val="center"/>
              <w:rPr>
                <w:rFonts w:cs="Times New Roman"/>
                <w:bCs/>
                <w:kern w:val="0"/>
                <w:sz w:val="18"/>
                <w:szCs w:val="18"/>
              </w:rPr>
            </w:pPr>
          </w:p>
        </w:tc>
        <w:tc>
          <w:tcPr>
            <w:tcW w:w="199" w:type="pct"/>
            <w:vAlign w:val="center"/>
          </w:tcPr>
          <w:p w14:paraId="3BB03B6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2FB8A80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417" w:type="pct"/>
            <w:vAlign w:val="center"/>
          </w:tcPr>
          <w:p w14:paraId="601610B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18B368E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使用天然气锅炉，废气通过20米排气筒排放；蒸馏未凝尾气经活性炭吸附后15m排气筒排放。</w:t>
            </w:r>
          </w:p>
        </w:tc>
        <w:tc>
          <w:tcPr>
            <w:tcW w:w="671" w:type="pct"/>
            <w:vMerge w:val="continue"/>
            <w:vAlign w:val="center"/>
          </w:tcPr>
          <w:p w14:paraId="3C1CC045">
            <w:pPr>
              <w:widowControl/>
              <w:snapToGrid w:val="0"/>
              <w:spacing w:line="240" w:lineRule="auto"/>
              <w:ind w:firstLine="0" w:firstLineChars="0"/>
              <w:jc w:val="center"/>
              <w:rPr>
                <w:rFonts w:cs="Times New Roman"/>
                <w:bCs/>
                <w:kern w:val="0"/>
                <w:sz w:val="18"/>
                <w:szCs w:val="18"/>
              </w:rPr>
            </w:pPr>
          </w:p>
        </w:tc>
      </w:tr>
      <w:tr w14:paraId="1B15D8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4" w:hRule="atLeast"/>
        </w:trPr>
        <w:tc>
          <w:tcPr>
            <w:tcW w:w="100" w:type="pct"/>
            <w:vMerge w:val="continue"/>
            <w:vAlign w:val="center"/>
          </w:tcPr>
          <w:p w14:paraId="43DF7C71">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C691126">
            <w:pPr>
              <w:widowControl/>
              <w:snapToGrid w:val="0"/>
              <w:spacing w:line="240" w:lineRule="auto"/>
              <w:ind w:firstLine="0" w:firstLineChars="0"/>
              <w:jc w:val="center"/>
              <w:rPr>
                <w:rFonts w:cs="Times New Roman"/>
                <w:bCs/>
                <w:kern w:val="0"/>
                <w:sz w:val="18"/>
                <w:szCs w:val="18"/>
              </w:rPr>
            </w:pPr>
          </w:p>
        </w:tc>
        <w:tc>
          <w:tcPr>
            <w:tcW w:w="199" w:type="pct"/>
            <w:vAlign w:val="center"/>
          </w:tcPr>
          <w:p w14:paraId="63E7E54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0558BC1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417" w:type="pct"/>
            <w:vAlign w:val="center"/>
          </w:tcPr>
          <w:p w14:paraId="4E04DF9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7091BA5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危险废物交有资质 单位处置，蒸馏残渣外售水泥厂综合利用，办公、生活垃圾由园区环卫清运处理</w:t>
            </w:r>
          </w:p>
        </w:tc>
        <w:tc>
          <w:tcPr>
            <w:tcW w:w="671" w:type="pct"/>
            <w:vMerge w:val="continue"/>
            <w:vAlign w:val="center"/>
          </w:tcPr>
          <w:p w14:paraId="0C9DE0DA">
            <w:pPr>
              <w:widowControl/>
              <w:snapToGrid w:val="0"/>
              <w:spacing w:line="240" w:lineRule="auto"/>
              <w:ind w:firstLine="0" w:firstLineChars="0"/>
              <w:jc w:val="center"/>
              <w:rPr>
                <w:rFonts w:cs="Times New Roman"/>
                <w:bCs/>
                <w:kern w:val="0"/>
                <w:sz w:val="18"/>
                <w:szCs w:val="18"/>
              </w:rPr>
            </w:pPr>
          </w:p>
        </w:tc>
      </w:tr>
      <w:tr w14:paraId="7073AC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5B56B992">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29</w:t>
            </w:r>
          </w:p>
          <w:p w14:paraId="5072F0DF">
            <w:pPr>
              <w:widowControl/>
              <w:snapToGrid w:val="0"/>
              <w:spacing w:line="240" w:lineRule="auto"/>
              <w:ind w:firstLine="0" w:firstLineChars="0"/>
              <w:jc w:val="center"/>
              <w:rPr>
                <w:rFonts w:cs="Times New Roman"/>
                <w:bCs/>
                <w:kern w:val="0"/>
                <w:sz w:val="18"/>
                <w:szCs w:val="18"/>
              </w:rPr>
            </w:pPr>
          </w:p>
          <w:p w14:paraId="47FF1218">
            <w:pPr>
              <w:widowControl/>
              <w:snapToGrid w:val="0"/>
              <w:spacing w:line="240" w:lineRule="auto"/>
              <w:ind w:firstLine="0" w:firstLineChars="0"/>
              <w:jc w:val="center"/>
              <w:rPr>
                <w:rFonts w:cs="Times New Roman"/>
                <w:bCs/>
                <w:kern w:val="0"/>
                <w:sz w:val="18"/>
                <w:szCs w:val="18"/>
              </w:rPr>
            </w:pPr>
          </w:p>
          <w:p w14:paraId="12681F17">
            <w:pPr>
              <w:autoSpaceDE w:val="0"/>
              <w:autoSpaceDN w:val="0"/>
              <w:snapToGrid w:val="0"/>
              <w:spacing w:line="240" w:lineRule="auto"/>
              <w:ind w:firstLine="0" w:firstLineChars="0"/>
              <w:jc w:val="center"/>
              <w:rPr>
                <w:rFonts w:cs="Times New Roman"/>
                <w:bCs/>
                <w:kern w:val="0"/>
                <w:sz w:val="18"/>
                <w:szCs w:val="18"/>
              </w:rPr>
            </w:pPr>
          </w:p>
        </w:tc>
        <w:tc>
          <w:tcPr>
            <w:tcW w:w="231" w:type="pct"/>
            <w:vMerge w:val="restart"/>
            <w:vAlign w:val="center"/>
          </w:tcPr>
          <w:p w14:paraId="3643AD5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衡阳市湘旺再生资源有限责任公司</w:t>
            </w:r>
          </w:p>
        </w:tc>
        <w:tc>
          <w:tcPr>
            <w:tcW w:w="199" w:type="pct"/>
            <w:vAlign w:val="center"/>
          </w:tcPr>
          <w:p w14:paraId="1D5FD3C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731FA4B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化学需氧量、悬浮物、氨氮、动植物油</w:t>
            </w:r>
          </w:p>
        </w:tc>
        <w:tc>
          <w:tcPr>
            <w:tcW w:w="417" w:type="pct"/>
            <w:vAlign w:val="center"/>
          </w:tcPr>
          <w:p w14:paraId="2C866793">
            <w:pPr>
              <w:widowControl/>
              <w:snapToGrid w:val="0"/>
              <w:spacing w:line="240" w:lineRule="auto"/>
              <w:ind w:firstLine="0" w:firstLineChars="0"/>
              <w:jc w:val="center"/>
              <w:rPr>
                <w:rFonts w:cs="Times New Roman"/>
                <w:bCs/>
                <w:kern w:val="0"/>
                <w:sz w:val="18"/>
                <w:szCs w:val="18"/>
              </w:rPr>
            </w:pPr>
          </w:p>
        </w:tc>
        <w:tc>
          <w:tcPr>
            <w:tcW w:w="2893" w:type="pct"/>
            <w:vAlign w:val="center"/>
          </w:tcPr>
          <w:p w14:paraId="564613B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项目为废铅酸蓄电池回收仓储项目，不涉及生产废水，生活污水经化粪池处理后排园区污水处理厂进一步处理</w:t>
            </w:r>
          </w:p>
        </w:tc>
        <w:tc>
          <w:tcPr>
            <w:tcW w:w="671" w:type="pct"/>
            <w:vMerge w:val="restart"/>
            <w:vAlign w:val="center"/>
          </w:tcPr>
          <w:p w14:paraId="6257C57B">
            <w:pPr>
              <w:widowControl/>
              <w:snapToGrid w:val="0"/>
              <w:spacing w:line="240" w:lineRule="auto"/>
              <w:ind w:firstLine="0" w:firstLineChars="0"/>
              <w:jc w:val="center"/>
              <w:rPr>
                <w:rFonts w:cs="Times New Roman"/>
                <w:bCs/>
                <w:spacing w:val="-13"/>
                <w:kern w:val="0"/>
                <w:sz w:val="18"/>
                <w:szCs w:val="18"/>
              </w:rPr>
            </w:pPr>
            <w:r>
              <w:rPr>
                <w:rFonts w:cs="Times New Roman"/>
                <w:bCs/>
                <w:spacing w:val="-13"/>
                <w:kern w:val="0"/>
                <w:sz w:val="18"/>
                <w:szCs w:val="18"/>
              </w:rPr>
              <w:t>/</w:t>
            </w:r>
          </w:p>
        </w:tc>
      </w:tr>
      <w:tr w14:paraId="3ED162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0226D4A">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E02130C">
            <w:pPr>
              <w:widowControl/>
              <w:snapToGrid w:val="0"/>
              <w:spacing w:line="240" w:lineRule="auto"/>
              <w:ind w:firstLine="0" w:firstLineChars="0"/>
              <w:jc w:val="center"/>
              <w:rPr>
                <w:rFonts w:cs="Times New Roman"/>
                <w:bCs/>
                <w:kern w:val="0"/>
                <w:sz w:val="18"/>
                <w:szCs w:val="18"/>
              </w:rPr>
            </w:pPr>
          </w:p>
        </w:tc>
        <w:tc>
          <w:tcPr>
            <w:tcW w:w="199" w:type="pct"/>
            <w:vAlign w:val="center"/>
          </w:tcPr>
          <w:p w14:paraId="6C9BF29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7E62F3B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铅尘、硫酸雾</w:t>
            </w:r>
          </w:p>
        </w:tc>
        <w:tc>
          <w:tcPr>
            <w:tcW w:w="417" w:type="pct"/>
            <w:vAlign w:val="center"/>
          </w:tcPr>
          <w:p w14:paraId="73896AD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711900D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粉尘采用一级布袋除尘+一级水喷淋处理方法处理后经 18m 排气筒排放；硫酸雾采用碱液吸收处理后经 15m 排气筒排放</w:t>
            </w:r>
          </w:p>
        </w:tc>
        <w:tc>
          <w:tcPr>
            <w:tcW w:w="671" w:type="pct"/>
            <w:vMerge w:val="continue"/>
            <w:vAlign w:val="center"/>
          </w:tcPr>
          <w:p w14:paraId="0648D531">
            <w:pPr>
              <w:widowControl/>
              <w:snapToGrid w:val="0"/>
              <w:spacing w:line="240" w:lineRule="auto"/>
              <w:ind w:firstLine="0" w:firstLineChars="0"/>
              <w:jc w:val="center"/>
              <w:rPr>
                <w:rFonts w:cs="Times New Roman"/>
                <w:bCs/>
                <w:kern w:val="0"/>
                <w:sz w:val="18"/>
                <w:szCs w:val="18"/>
              </w:rPr>
            </w:pPr>
          </w:p>
        </w:tc>
      </w:tr>
      <w:tr w14:paraId="774F31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CA6A7BA">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402AE8F">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01812A4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583B98D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34C779E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80t/a</w:t>
            </w:r>
          </w:p>
        </w:tc>
        <w:tc>
          <w:tcPr>
            <w:tcW w:w="2893" w:type="pct"/>
            <w:vMerge w:val="restart"/>
            <w:vAlign w:val="center"/>
          </w:tcPr>
          <w:p w14:paraId="2581061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对于危险废物，公司采用统一收集后委托资质单位进行处理；废酸由供应商进行回收处置；生活垃圾交由环卫部门进行处理</w:t>
            </w:r>
          </w:p>
        </w:tc>
        <w:tc>
          <w:tcPr>
            <w:tcW w:w="671" w:type="pct"/>
            <w:vMerge w:val="continue"/>
            <w:vAlign w:val="center"/>
          </w:tcPr>
          <w:p w14:paraId="00A57D7F">
            <w:pPr>
              <w:widowControl/>
              <w:snapToGrid w:val="0"/>
              <w:spacing w:line="240" w:lineRule="auto"/>
              <w:ind w:firstLine="0" w:firstLineChars="0"/>
              <w:jc w:val="center"/>
              <w:rPr>
                <w:rFonts w:cs="Times New Roman"/>
                <w:bCs/>
                <w:kern w:val="0"/>
                <w:sz w:val="18"/>
                <w:szCs w:val="18"/>
              </w:rPr>
            </w:pPr>
          </w:p>
        </w:tc>
      </w:tr>
      <w:tr w14:paraId="2EBEE5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707A57E5">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DF07DFF">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15E6D39C">
            <w:pPr>
              <w:widowControl/>
              <w:snapToGrid w:val="0"/>
              <w:spacing w:line="240" w:lineRule="auto"/>
              <w:ind w:firstLine="0" w:firstLineChars="0"/>
              <w:jc w:val="center"/>
              <w:rPr>
                <w:rFonts w:cs="Times New Roman"/>
                <w:bCs/>
                <w:kern w:val="0"/>
                <w:sz w:val="18"/>
                <w:szCs w:val="18"/>
              </w:rPr>
            </w:pPr>
          </w:p>
        </w:tc>
        <w:tc>
          <w:tcPr>
            <w:tcW w:w="485" w:type="pct"/>
            <w:vAlign w:val="center"/>
          </w:tcPr>
          <w:p w14:paraId="0743714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危险废物</w:t>
            </w:r>
          </w:p>
        </w:tc>
        <w:tc>
          <w:tcPr>
            <w:tcW w:w="417" w:type="pct"/>
            <w:vAlign w:val="center"/>
          </w:tcPr>
          <w:p w14:paraId="7DFF5B8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293.29t/a</w:t>
            </w:r>
          </w:p>
        </w:tc>
        <w:tc>
          <w:tcPr>
            <w:tcW w:w="2893" w:type="pct"/>
            <w:vMerge w:val="continue"/>
            <w:vAlign w:val="center"/>
          </w:tcPr>
          <w:p w14:paraId="62539433">
            <w:pPr>
              <w:widowControl/>
              <w:snapToGrid w:val="0"/>
              <w:spacing w:line="240" w:lineRule="auto"/>
              <w:ind w:firstLine="0" w:firstLineChars="0"/>
              <w:jc w:val="center"/>
              <w:rPr>
                <w:rFonts w:cs="Times New Roman"/>
                <w:bCs/>
                <w:kern w:val="0"/>
                <w:sz w:val="18"/>
                <w:szCs w:val="18"/>
              </w:rPr>
            </w:pPr>
          </w:p>
        </w:tc>
        <w:tc>
          <w:tcPr>
            <w:tcW w:w="671" w:type="pct"/>
            <w:vMerge w:val="continue"/>
            <w:vAlign w:val="center"/>
          </w:tcPr>
          <w:p w14:paraId="1D8E4927">
            <w:pPr>
              <w:widowControl/>
              <w:snapToGrid w:val="0"/>
              <w:spacing w:line="240" w:lineRule="auto"/>
              <w:ind w:firstLine="0" w:firstLineChars="0"/>
              <w:jc w:val="center"/>
              <w:rPr>
                <w:rFonts w:cs="Times New Roman"/>
                <w:bCs/>
                <w:kern w:val="0"/>
                <w:sz w:val="18"/>
                <w:szCs w:val="18"/>
              </w:rPr>
            </w:pPr>
          </w:p>
        </w:tc>
      </w:tr>
      <w:tr w14:paraId="10F348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5AF29E83">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30</w:t>
            </w:r>
          </w:p>
          <w:p w14:paraId="028DF4B5">
            <w:pPr>
              <w:autoSpaceDE w:val="0"/>
              <w:autoSpaceDN w:val="0"/>
              <w:snapToGrid w:val="0"/>
              <w:spacing w:line="240" w:lineRule="auto"/>
              <w:ind w:firstLine="0" w:firstLineChars="0"/>
              <w:jc w:val="center"/>
              <w:rPr>
                <w:rFonts w:cs="Times New Roman"/>
                <w:bCs/>
                <w:kern w:val="0"/>
                <w:sz w:val="18"/>
                <w:szCs w:val="18"/>
              </w:rPr>
            </w:pPr>
          </w:p>
        </w:tc>
        <w:tc>
          <w:tcPr>
            <w:tcW w:w="231" w:type="pct"/>
            <w:vMerge w:val="restart"/>
            <w:vAlign w:val="center"/>
          </w:tcPr>
          <w:p w14:paraId="3593F63A">
            <w:pPr>
              <w:widowControl/>
              <w:snapToGrid w:val="0"/>
              <w:spacing w:line="240" w:lineRule="auto"/>
              <w:ind w:firstLine="0" w:firstLineChars="0"/>
              <w:jc w:val="center"/>
              <w:rPr>
                <w:rFonts w:cs="Times New Roman"/>
                <w:bCs/>
                <w:spacing w:val="4"/>
                <w:kern w:val="0"/>
                <w:sz w:val="18"/>
                <w:szCs w:val="18"/>
                <w:lang w:val="zh-CN" w:bidi="zh-CN"/>
              </w:rPr>
            </w:pPr>
            <w:r>
              <w:rPr>
                <w:rFonts w:cs="Times New Roman"/>
                <w:bCs/>
                <w:spacing w:val="4"/>
                <w:kern w:val="0"/>
                <w:sz w:val="18"/>
                <w:szCs w:val="18"/>
                <w:lang w:bidi="zh-CN"/>
              </w:rPr>
              <w:t>衡阳湘和再生资源有限公司</w:t>
            </w:r>
          </w:p>
          <w:p w14:paraId="5EAB752F">
            <w:pPr>
              <w:widowControl/>
              <w:snapToGrid w:val="0"/>
              <w:spacing w:line="240" w:lineRule="auto"/>
              <w:ind w:firstLine="0" w:firstLineChars="0"/>
              <w:jc w:val="center"/>
              <w:rPr>
                <w:rFonts w:cs="Times New Roman"/>
                <w:bCs/>
                <w:kern w:val="0"/>
                <w:sz w:val="18"/>
                <w:szCs w:val="18"/>
              </w:rPr>
            </w:pPr>
          </w:p>
        </w:tc>
        <w:tc>
          <w:tcPr>
            <w:tcW w:w="199" w:type="pct"/>
            <w:vAlign w:val="center"/>
          </w:tcPr>
          <w:p w14:paraId="613ACF2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6BA56C4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pH</w:t>
            </w:r>
            <w:r>
              <w:rPr>
                <w:rFonts w:cs="Times New Roman"/>
                <w:bCs/>
                <w:spacing w:val="-27"/>
                <w:kern w:val="0"/>
                <w:sz w:val="18"/>
                <w:szCs w:val="18"/>
              </w:rPr>
              <w:t>、</w:t>
            </w:r>
            <w:r>
              <w:rPr>
                <w:rFonts w:cs="Times New Roman"/>
                <w:bCs/>
                <w:kern w:val="0"/>
                <w:sz w:val="18"/>
                <w:szCs w:val="18"/>
              </w:rPr>
              <w:t>SS</w:t>
            </w:r>
            <w:r>
              <w:rPr>
                <w:rFonts w:cs="Times New Roman"/>
                <w:bCs/>
                <w:spacing w:val="-27"/>
                <w:kern w:val="0"/>
                <w:sz w:val="18"/>
                <w:szCs w:val="18"/>
              </w:rPr>
              <w:t>、</w:t>
            </w:r>
            <w:r>
              <w:rPr>
                <w:rFonts w:cs="Times New Roman"/>
                <w:bCs/>
                <w:kern w:val="0"/>
                <w:sz w:val="18"/>
                <w:szCs w:val="18"/>
              </w:rPr>
              <w:t>COD</w:t>
            </w:r>
            <w:r>
              <w:rPr>
                <w:rFonts w:cs="Times New Roman"/>
                <w:bCs/>
                <w:spacing w:val="-10"/>
                <w:kern w:val="0"/>
                <w:sz w:val="18"/>
                <w:szCs w:val="18"/>
              </w:rPr>
              <w:t>、铅、酸</w:t>
            </w:r>
          </w:p>
        </w:tc>
        <w:tc>
          <w:tcPr>
            <w:tcW w:w="417" w:type="pct"/>
            <w:vAlign w:val="center"/>
          </w:tcPr>
          <w:p w14:paraId="2615049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3000m</w:t>
            </w:r>
            <w:r>
              <w:rPr>
                <w:rFonts w:cs="Times New Roman"/>
                <w:bCs/>
                <w:kern w:val="0"/>
                <w:position w:val="8"/>
                <w:sz w:val="18"/>
                <w:szCs w:val="18"/>
              </w:rPr>
              <w:t>3</w:t>
            </w:r>
            <w:r>
              <w:rPr>
                <w:rFonts w:cs="Times New Roman"/>
                <w:bCs/>
                <w:kern w:val="0"/>
                <w:sz w:val="18"/>
                <w:szCs w:val="18"/>
              </w:rPr>
              <w:t>/a</w:t>
            </w:r>
          </w:p>
        </w:tc>
        <w:tc>
          <w:tcPr>
            <w:tcW w:w="2893" w:type="pct"/>
            <w:vAlign w:val="center"/>
          </w:tcPr>
          <w:p w14:paraId="395BD69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项目为废铅酸蓄电池回收仓储项目，不涉及生产废水，生活污水经化粪池处理后排园区污水处理厂进一步处理</w:t>
            </w:r>
          </w:p>
        </w:tc>
        <w:tc>
          <w:tcPr>
            <w:tcW w:w="671" w:type="pct"/>
            <w:vMerge w:val="restart"/>
            <w:vAlign w:val="center"/>
          </w:tcPr>
          <w:p w14:paraId="3DBEEEC2">
            <w:pPr>
              <w:widowControl/>
              <w:snapToGrid w:val="0"/>
              <w:spacing w:line="240" w:lineRule="auto"/>
              <w:ind w:firstLine="0" w:firstLineChars="0"/>
              <w:jc w:val="center"/>
              <w:rPr>
                <w:rFonts w:cs="Times New Roman"/>
                <w:bCs/>
                <w:spacing w:val="-13"/>
                <w:kern w:val="0"/>
                <w:sz w:val="18"/>
                <w:szCs w:val="18"/>
              </w:rPr>
            </w:pPr>
            <w:r>
              <w:rPr>
                <w:rFonts w:cs="Times New Roman"/>
                <w:bCs/>
                <w:spacing w:val="-13"/>
                <w:kern w:val="0"/>
                <w:sz w:val="18"/>
                <w:szCs w:val="18"/>
              </w:rPr>
              <w:t>/</w:t>
            </w:r>
          </w:p>
        </w:tc>
      </w:tr>
      <w:tr w14:paraId="0F37A2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457A3BCC">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1CE33EE7">
            <w:pPr>
              <w:widowControl/>
              <w:snapToGrid w:val="0"/>
              <w:spacing w:line="240" w:lineRule="auto"/>
              <w:ind w:firstLine="0" w:firstLineChars="0"/>
              <w:jc w:val="center"/>
              <w:rPr>
                <w:rFonts w:cs="Times New Roman"/>
                <w:bCs/>
                <w:kern w:val="0"/>
                <w:sz w:val="18"/>
                <w:szCs w:val="18"/>
              </w:rPr>
            </w:pPr>
          </w:p>
        </w:tc>
        <w:tc>
          <w:tcPr>
            <w:tcW w:w="199" w:type="pct"/>
            <w:vAlign w:val="center"/>
          </w:tcPr>
          <w:p w14:paraId="6F9701C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489F521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铅尘、硫酸雾</w:t>
            </w:r>
          </w:p>
        </w:tc>
        <w:tc>
          <w:tcPr>
            <w:tcW w:w="417" w:type="pct"/>
            <w:vAlign w:val="center"/>
          </w:tcPr>
          <w:p w14:paraId="3BA8A87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4975F04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粉尘采用一级布袋除尘+一级水喷淋处理方法处理后经 18m 排气筒排放；硫酸雾采用碱液吸收处理后经 15m 排气筒排放</w:t>
            </w:r>
          </w:p>
        </w:tc>
        <w:tc>
          <w:tcPr>
            <w:tcW w:w="671" w:type="pct"/>
            <w:vMerge w:val="continue"/>
            <w:vAlign w:val="center"/>
          </w:tcPr>
          <w:p w14:paraId="253F7D74">
            <w:pPr>
              <w:widowControl/>
              <w:snapToGrid w:val="0"/>
              <w:spacing w:line="240" w:lineRule="auto"/>
              <w:ind w:firstLine="0" w:firstLineChars="0"/>
              <w:jc w:val="center"/>
              <w:rPr>
                <w:rFonts w:cs="Times New Roman"/>
                <w:bCs/>
                <w:kern w:val="0"/>
                <w:sz w:val="18"/>
                <w:szCs w:val="18"/>
              </w:rPr>
            </w:pPr>
          </w:p>
        </w:tc>
      </w:tr>
      <w:tr w14:paraId="5518BC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6465D90">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F5208DF">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0727FA6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6084D1F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05C3E33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80t/a</w:t>
            </w:r>
          </w:p>
        </w:tc>
        <w:tc>
          <w:tcPr>
            <w:tcW w:w="2893" w:type="pct"/>
            <w:vMerge w:val="restart"/>
            <w:vAlign w:val="center"/>
          </w:tcPr>
          <w:p w14:paraId="6C06B7C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对于危险废物，公司采用统一收集后委托资质单位进行处理；废酸由供应商进行回收处置；生活垃圾交由环卫部门进行处理</w:t>
            </w:r>
          </w:p>
        </w:tc>
        <w:tc>
          <w:tcPr>
            <w:tcW w:w="671" w:type="pct"/>
            <w:vMerge w:val="continue"/>
            <w:vAlign w:val="center"/>
          </w:tcPr>
          <w:p w14:paraId="14AE436C">
            <w:pPr>
              <w:widowControl/>
              <w:snapToGrid w:val="0"/>
              <w:spacing w:line="240" w:lineRule="auto"/>
              <w:ind w:firstLine="0" w:firstLineChars="0"/>
              <w:jc w:val="center"/>
              <w:rPr>
                <w:rFonts w:cs="Times New Roman"/>
                <w:bCs/>
                <w:kern w:val="0"/>
                <w:sz w:val="18"/>
                <w:szCs w:val="18"/>
              </w:rPr>
            </w:pPr>
          </w:p>
        </w:tc>
      </w:tr>
      <w:tr w14:paraId="08BD1C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762902AC">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CA84111">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3A2C5AF4">
            <w:pPr>
              <w:widowControl/>
              <w:snapToGrid w:val="0"/>
              <w:spacing w:line="240" w:lineRule="auto"/>
              <w:ind w:firstLine="0" w:firstLineChars="0"/>
              <w:jc w:val="center"/>
              <w:rPr>
                <w:rFonts w:cs="Times New Roman"/>
                <w:bCs/>
                <w:kern w:val="0"/>
                <w:sz w:val="18"/>
                <w:szCs w:val="18"/>
              </w:rPr>
            </w:pPr>
          </w:p>
        </w:tc>
        <w:tc>
          <w:tcPr>
            <w:tcW w:w="485" w:type="pct"/>
            <w:vAlign w:val="center"/>
          </w:tcPr>
          <w:p w14:paraId="78AD7CC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危险废物</w:t>
            </w:r>
          </w:p>
        </w:tc>
        <w:tc>
          <w:tcPr>
            <w:tcW w:w="417" w:type="pct"/>
            <w:vAlign w:val="center"/>
          </w:tcPr>
          <w:p w14:paraId="442B05D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293.29t/a</w:t>
            </w:r>
          </w:p>
        </w:tc>
        <w:tc>
          <w:tcPr>
            <w:tcW w:w="2893" w:type="pct"/>
            <w:vMerge w:val="continue"/>
            <w:vAlign w:val="center"/>
          </w:tcPr>
          <w:p w14:paraId="2FEEC411">
            <w:pPr>
              <w:widowControl/>
              <w:snapToGrid w:val="0"/>
              <w:spacing w:line="240" w:lineRule="auto"/>
              <w:ind w:firstLine="0" w:firstLineChars="0"/>
              <w:jc w:val="center"/>
              <w:rPr>
                <w:rFonts w:cs="Times New Roman"/>
                <w:bCs/>
                <w:kern w:val="0"/>
                <w:sz w:val="18"/>
                <w:szCs w:val="18"/>
              </w:rPr>
            </w:pPr>
          </w:p>
        </w:tc>
        <w:tc>
          <w:tcPr>
            <w:tcW w:w="671" w:type="pct"/>
            <w:vMerge w:val="continue"/>
            <w:vAlign w:val="center"/>
          </w:tcPr>
          <w:p w14:paraId="2E6BA1DB">
            <w:pPr>
              <w:widowControl/>
              <w:snapToGrid w:val="0"/>
              <w:spacing w:line="240" w:lineRule="auto"/>
              <w:ind w:firstLine="0" w:firstLineChars="0"/>
              <w:jc w:val="center"/>
              <w:rPr>
                <w:rFonts w:cs="Times New Roman"/>
                <w:bCs/>
                <w:kern w:val="0"/>
                <w:sz w:val="18"/>
                <w:szCs w:val="18"/>
              </w:rPr>
            </w:pPr>
          </w:p>
        </w:tc>
      </w:tr>
      <w:tr w14:paraId="1E5043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73BDC3B3">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31</w:t>
            </w:r>
          </w:p>
          <w:p w14:paraId="6C84A2CF">
            <w:pPr>
              <w:autoSpaceDE w:val="0"/>
              <w:autoSpaceDN w:val="0"/>
              <w:snapToGrid w:val="0"/>
              <w:spacing w:line="240" w:lineRule="auto"/>
              <w:ind w:firstLine="0" w:firstLineChars="0"/>
              <w:jc w:val="center"/>
              <w:rPr>
                <w:rFonts w:cs="Times New Roman"/>
                <w:bCs/>
                <w:kern w:val="0"/>
                <w:sz w:val="18"/>
                <w:szCs w:val="18"/>
              </w:rPr>
            </w:pPr>
          </w:p>
        </w:tc>
        <w:tc>
          <w:tcPr>
            <w:tcW w:w="231" w:type="pct"/>
            <w:vMerge w:val="restart"/>
            <w:vAlign w:val="center"/>
          </w:tcPr>
          <w:p w14:paraId="6CBB249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湖南富而康科贸新材料有限公司</w:t>
            </w:r>
          </w:p>
        </w:tc>
        <w:tc>
          <w:tcPr>
            <w:tcW w:w="199" w:type="pct"/>
            <w:vAlign w:val="center"/>
          </w:tcPr>
          <w:p w14:paraId="02983D6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0852C88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pH、SS、COD、BOD</w:t>
            </w:r>
            <w:r>
              <w:rPr>
                <w:rFonts w:cs="Times New Roman"/>
                <w:bCs/>
                <w:kern w:val="0"/>
                <w:sz w:val="18"/>
                <w:szCs w:val="18"/>
                <w:vertAlign w:val="subscript"/>
              </w:rPr>
              <w:t>5</w:t>
            </w:r>
            <w:r>
              <w:rPr>
                <w:rFonts w:cs="Times New Roman"/>
                <w:bCs/>
                <w:kern w:val="0"/>
                <w:sz w:val="18"/>
                <w:szCs w:val="18"/>
              </w:rPr>
              <w:t>、NH</w:t>
            </w:r>
            <w:r>
              <w:rPr>
                <w:rFonts w:cs="Times New Roman"/>
                <w:bCs/>
                <w:kern w:val="0"/>
                <w:sz w:val="18"/>
                <w:szCs w:val="18"/>
                <w:vertAlign w:val="subscript"/>
              </w:rPr>
              <w:t>3</w:t>
            </w:r>
            <w:r>
              <w:rPr>
                <w:rFonts w:cs="Times New Roman"/>
                <w:bCs/>
                <w:kern w:val="0"/>
                <w:sz w:val="18"/>
                <w:szCs w:val="18"/>
              </w:rPr>
              <w:t>-N</w:t>
            </w:r>
          </w:p>
        </w:tc>
        <w:tc>
          <w:tcPr>
            <w:tcW w:w="417" w:type="pct"/>
            <w:vAlign w:val="center"/>
          </w:tcPr>
          <w:p w14:paraId="32A44E8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324m</w:t>
            </w:r>
            <w:r>
              <w:rPr>
                <w:rFonts w:cs="Times New Roman"/>
                <w:bCs/>
                <w:kern w:val="0"/>
                <w:sz w:val="18"/>
                <w:szCs w:val="18"/>
                <w:vertAlign w:val="superscript"/>
              </w:rPr>
              <w:t>3</w:t>
            </w:r>
            <w:r>
              <w:rPr>
                <w:rFonts w:cs="Times New Roman"/>
                <w:bCs/>
                <w:kern w:val="0"/>
                <w:sz w:val="18"/>
                <w:szCs w:val="18"/>
              </w:rPr>
              <w:t>/a</w:t>
            </w:r>
          </w:p>
        </w:tc>
        <w:tc>
          <w:tcPr>
            <w:tcW w:w="2893" w:type="pct"/>
            <w:vAlign w:val="center"/>
          </w:tcPr>
          <w:p w14:paraId="36EEB46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镀件后清洗废水、镀槽清洗废水、含有镍离子，无挥发性有机物，直接进入蒸发系统处理，不外排。生活污水经化粪池处理后，经市政管网排入松木污水处理厂处理，最终排入湘江。</w:t>
            </w:r>
          </w:p>
        </w:tc>
        <w:tc>
          <w:tcPr>
            <w:tcW w:w="671" w:type="pct"/>
            <w:vMerge w:val="restart"/>
            <w:vAlign w:val="center"/>
          </w:tcPr>
          <w:p w14:paraId="5D32D73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564DF5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68190C8C">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9BE3682">
            <w:pPr>
              <w:widowControl/>
              <w:snapToGrid w:val="0"/>
              <w:spacing w:line="240" w:lineRule="auto"/>
              <w:ind w:firstLine="0" w:firstLineChars="0"/>
              <w:jc w:val="center"/>
              <w:rPr>
                <w:rFonts w:cs="Times New Roman"/>
                <w:bCs/>
                <w:kern w:val="0"/>
                <w:sz w:val="18"/>
                <w:szCs w:val="18"/>
              </w:rPr>
            </w:pPr>
          </w:p>
        </w:tc>
        <w:tc>
          <w:tcPr>
            <w:tcW w:w="199" w:type="pct"/>
            <w:vAlign w:val="center"/>
          </w:tcPr>
          <w:p w14:paraId="3198450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2461659B">
            <w:pPr>
              <w:widowControl/>
              <w:snapToGrid w:val="0"/>
              <w:spacing w:line="240" w:lineRule="auto"/>
              <w:ind w:firstLine="0" w:firstLineChars="0"/>
              <w:jc w:val="center"/>
              <w:rPr>
                <w:rFonts w:cs="Times New Roman"/>
                <w:bCs/>
                <w:kern w:val="0"/>
                <w:sz w:val="18"/>
                <w:szCs w:val="18"/>
              </w:rPr>
            </w:pPr>
          </w:p>
        </w:tc>
        <w:tc>
          <w:tcPr>
            <w:tcW w:w="417" w:type="pct"/>
            <w:vAlign w:val="center"/>
          </w:tcPr>
          <w:p w14:paraId="3FB080F8">
            <w:pPr>
              <w:widowControl/>
              <w:snapToGrid w:val="0"/>
              <w:spacing w:line="240" w:lineRule="auto"/>
              <w:ind w:firstLine="0" w:firstLineChars="0"/>
              <w:jc w:val="center"/>
              <w:rPr>
                <w:rFonts w:cs="Times New Roman"/>
                <w:bCs/>
                <w:kern w:val="0"/>
                <w:sz w:val="18"/>
                <w:szCs w:val="18"/>
              </w:rPr>
            </w:pPr>
          </w:p>
        </w:tc>
        <w:tc>
          <w:tcPr>
            <w:tcW w:w="2893" w:type="pct"/>
            <w:vAlign w:val="center"/>
          </w:tcPr>
          <w:p w14:paraId="39B1BA1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液化气燃烧废气直接排放</w:t>
            </w:r>
          </w:p>
        </w:tc>
        <w:tc>
          <w:tcPr>
            <w:tcW w:w="671" w:type="pct"/>
            <w:vMerge w:val="continue"/>
            <w:vAlign w:val="center"/>
          </w:tcPr>
          <w:p w14:paraId="2FCDDA89">
            <w:pPr>
              <w:widowControl/>
              <w:snapToGrid w:val="0"/>
              <w:spacing w:line="240" w:lineRule="auto"/>
              <w:ind w:firstLine="0" w:firstLineChars="0"/>
              <w:jc w:val="center"/>
              <w:rPr>
                <w:rFonts w:cs="Times New Roman"/>
                <w:bCs/>
                <w:kern w:val="0"/>
                <w:sz w:val="18"/>
                <w:szCs w:val="18"/>
              </w:rPr>
            </w:pPr>
          </w:p>
        </w:tc>
      </w:tr>
      <w:tr w14:paraId="476B24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8676166">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C2B2230">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525CB58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4DFE912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07CF819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8t/a</w:t>
            </w:r>
          </w:p>
        </w:tc>
        <w:tc>
          <w:tcPr>
            <w:tcW w:w="2893" w:type="pct"/>
            <w:vMerge w:val="restart"/>
            <w:vAlign w:val="center"/>
          </w:tcPr>
          <w:p w14:paraId="4BDB694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镀槽沉渣、隔油池废油泥、废活性炭、废水蒸发残渣等危险废物交由有资质单位处置，废水处理沉渣送水泥厂处置、生活垃圾交由环卫部门处理</w:t>
            </w:r>
          </w:p>
        </w:tc>
        <w:tc>
          <w:tcPr>
            <w:tcW w:w="671" w:type="pct"/>
            <w:vMerge w:val="continue"/>
            <w:vAlign w:val="center"/>
          </w:tcPr>
          <w:p w14:paraId="4234EA48">
            <w:pPr>
              <w:widowControl/>
              <w:snapToGrid w:val="0"/>
              <w:spacing w:line="240" w:lineRule="auto"/>
              <w:ind w:firstLine="0" w:firstLineChars="0"/>
              <w:jc w:val="center"/>
              <w:rPr>
                <w:rFonts w:cs="Times New Roman"/>
                <w:bCs/>
                <w:kern w:val="0"/>
                <w:sz w:val="18"/>
                <w:szCs w:val="18"/>
              </w:rPr>
            </w:pPr>
          </w:p>
        </w:tc>
      </w:tr>
      <w:tr w14:paraId="5A5D36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16EEE67B">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5BC3BAE">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237A3DFC">
            <w:pPr>
              <w:widowControl/>
              <w:snapToGrid w:val="0"/>
              <w:spacing w:line="240" w:lineRule="auto"/>
              <w:ind w:firstLine="0" w:firstLineChars="0"/>
              <w:jc w:val="center"/>
              <w:rPr>
                <w:rFonts w:cs="Times New Roman"/>
                <w:bCs/>
                <w:kern w:val="0"/>
                <w:sz w:val="18"/>
                <w:szCs w:val="18"/>
              </w:rPr>
            </w:pPr>
          </w:p>
        </w:tc>
        <w:tc>
          <w:tcPr>
            <w:tcW w:w="485" w:type="pct"/>
            <w:vAlign w:val="center"/>
          </w:tcPr>
          <w:p w14:paraId="74DBEDA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危险废物</w:t>
            </w:r>
          </w:p>
        </w:tc>
        <w:tc>
          <w:tcPr>
            <w:tcW w:w="417" w:type="pct"/>
            <w:vAlign w:val="center"/>
          </w:tcPr>
          <w:p w14:paraId="2709B91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5t/a</w:t>
            </w:r>
          </w:p>
        </w:tc>
        <w:tc>
          <w:tcPr>
            <w:tcW w:w="2893" w:type="pct"/>
            <w:vMerge w:val="continue"/>
            <w:vAlign w:val="center"/>
          </w:tcPr>
          <w:p w14:paraId="4C59B624">
            <w:pPr>
              <w:widowControl/>
              <w:snapToGrid w:val="0"/>
              <w:spacing w:line="240" w:lineRule="auto"/>
              <w:ind w:firstLine="0" w:firstLineChars="0"/>
              <w:jc w:val="center"/>
              <w:rPr>
                <w:rFonts w:cs="Times New Roman"/>
                <w:bCs/>
                <w:kern w:val="0"/>
                <w:sz w:val="18"/>
                <w:szCs w:val="18"/>
              </w:rPr>
            </w:pPr>
          </w:p>
        </w:tc>
        <w:tc>
          <w:tcPr>
            <w:tcW w:w="671" w:type="pct"/>
            <w:vMerge w:val="continue"/>
            <w:vAlign w:val="center"/>
          </w:tcPr>
          <w:p w14:paraId="7DFCFDDE">
            <w:pPr>
              <w:widowControl/>
              <w:snapToGrid w:val="0"/>
              <w:spacing w:line="240" w:lineRule="auto"/>
              <w:ind w:firstLine="0" w:firstLineChars="0"/>
              <w:jc w:val="center"/>
              <w:rPr>
                <w:rFonts w:cs="Times New Roman"/>
                <w:bCs/>
                <w:kern w:val="0"/>
                <w:sz w:val="18"/>
                <w:szCs w:val="18"/>
              </w:rPr>
            </w:pPr>
          </w:p>
        </w:tc>
      </w:tr>
      <w:tr w14:paraId="335ECC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6BE66AEC">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32</w:t>
            </w:r>
          </w:p>
          <w:p w14:paraId="7F199287">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4DFBF7F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湖南中航电镀中心有限公司（含恒全及嘉励的电镀线）</w:t>
            </w:r>
          </w:p>
        </w:tc>
        <w:tc>
          <w:tcPr>
            <w:tcW w:w="199" w:type="pct"/>
            <w:vAlign w:val="center"/>
          </w:tcPr>
          <w:p w14:paraId="765347E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1C351654">
            <w:pPr>
              <w:widowControl/>
              <w:snapToGrid w:val="0"/>
              <w:spacing w:line="240" w:lineRule="auto"/>
              <w:ind w:firstLine="0" w:firstLineChars="0"/>
              <w:jc w:val="center"/>
              <w:rPr>
                <w:rFonts w:cs="Times New Roman"/>
                <w:bCs/>
                <w:kern w:val="0"/>
                <w:sz w:val="18"/>
                <w:szCs w:val="18"/>
              </w:rPr>
            </w:pPr>
            <w:r>
              <w:rPr>
                <w:rFonts w:cs="Times New Roman"/>
                <w:bCs/>
                <w:spacing w:val="-2"/>
                <w:kern w:val="0"/>
                <w:sz w:val="18"/>
                <w:szCs w:val="18"/>
              </w:rPr>
              <w:t>重金属离子、</w:t>
            </w:r>
            <w:r>
              <w:rPr>
                <w:rFonts w:cs="Times New Roman"/>
                <w:bCs/>
                <w:kern w:val="0"/>
                <w:sz w:val="18"/>
                <w:szCs w:val="18"/>
              </w:rPr>
              <w:t>COD、</w:t>
            </w:r>
          </w:p>
          <w:p w14:paraId="39F52A4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SS 等</w:t>
            </w:r>
          </w:p>
        </w:tc>
        <w:tc>
          <w:tcPr>
            <w:tcW w:w="417" w:type="pct"/>
            <w:vAlign w:val="center"/>
          </w:tcPr>
          <w:p w14:paraId="6464261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45000 m</w:t>
            </w:r>
            <w:r>
              <w:rPr>
                <w:rFonts w:cs="Times New Roman"/>
                <w:bCs/>
                <w:kern w:val="0"/>
                <w:position w:val="8"/>
                <w:sz w:val="18"/>
                <w:szCs w:val="18"/>
              </w:rPr>
              <w:t>3</w:t>
            </w:r>
            <w:r>
              <w:rPr>
                <w:rFonts w:cs="Times New Roman"/>
                <w:bCs/>
                <w:kern w:val="0"/>
                <w:sz w:val="18"/>
                <w:szCs w:val="18"/>
              </w:rPr>
              <w:t>/a</w:t>
            </w:r>
          </w:p>
        </w:tc>
        <w:tc>
          <w:tcPr>
            <w:tcW w:w="2893" w:type="pct"/>
            <w:vAlign w:val="center"/>
          </w:tcPr>
          <w:p w14:paraId="0606959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含铬废水经车间专用的还原、混凝、絮凝、沉淀后进入厂区污水处理站清水池；</w:t>
            </w:r>
          </w:p>
          <w:p w14:paraId="3F236529">
            <w:pPr>
              <w:widowControl/>
              <w:snapToGrid w:val="0"/>
              <w:spacing w:line="240" w:lineRule="auto"/>
              <w:ind w:firstLine="0" w:firstLineChars="0"/>
              <w:jc w:val="center"/>
              <w:rPr>
                <w:rFonts w:cs="Times New Roman"/>
                <w:bCs/>
                <w:kern w:val="0"/>
                <w:sz w:val="18"/>
                <w:szCs w:val="18"/>
              </w:rPr>
            </w:pPr>
            <w:r>
              <w:rPr>
                <w:rFonts w:cs="Times New Roman"/>
                <w:bCs/>
                <w:spacing w:val="-9"/>
                <w:kern w:val="0"/>
                <w:sz w:val="18"/>
                <w:szCs w:val="18"/>
              </w:rPr>
              <w:t>含镍废水、含锌废水经各自车间专用的氧化破铬、混凝、絮凝、沉淀后进入厂区污水处理</w:t>
            </w:r>
            <w:r>
              <w:rPr>
                <w:rFonts w:cs="Times New Roman"/>
                <w:bCs/>
                <w:kern w:val="0"/>
                <w:sz w:val="18"/>
                <w:szCs w:val="18"/>
              </w:rPr>
              <w:t>站清水池；</w:t>
            </w:r>
          </w:p>
          <w:p w14:paraId="32B08DF4">
            <w:pPr>
              <w:widowControl/>
              <w:snapToGrid w:val="0"/>
              <w:spacing w:line="240" w:lineRule="auto"/>
              <w:ind w:firstLine="0" w:firstLineChars="0"/>
              <w:jc w:val="center"/>
              <w:rPr>
                <w:rFonts w:cs="Times New Roman"/>
                <w:bCs/>
                <w:kern w:val="0"/>
                <w:sz w:val="18"/>
                <w:szCs w:val="18"/>
              </w:rPr>
            </w:pPr>
            <w:r>
              <w:rPr>
                <w:rFonts w:cs="Times New Roman"/>
                <w:bCs/>
                <w:spacing w:val="-7"/>
                <w:kern w:val="0"/>
                <w:sz w:val="18"/>
                <w:szCs w:val="18"/>
              </w:rPr>
              <w:t>前处理废水经专用的三级油水分离隔油、微电解、氧化、还原、混凝、絮凝、沉淀后与经</w:t>
            </w:r>
            <w:r>
              <w:rPr>
                <w:rFonts w:cs="Times New Roman"/>
                <w:bCs/>
                <w:spacing w:val="-3"/>
                <w:kern w:val="0"/>
                <w:sz w:val="18"/>
                <w:szCs w:val="18"/>
              </w:rPr>
              <w:t>专用的混凝、絮凝、沉淀后的混排废水一并进入厂区污水处理站</w:t>
            </w:r>
            <w:r>
              <w:rPr>
                <w:rFonts w:cs="Times New Roman"/>
                <w:bCs/>
                <w:kern w:val="0"/>
                <w:sz w:val="18"/>
                <w:szCs w:val="18"/>
              </w:rPr>
              <w:t>（工艺为水解酸化+</w:t>
            </w:r>
            <w:r>
              <w:rPr>
                <w:rFonts w:cs="Times New Roman"/>
                <w:bCs/>
                <w:spacing w:val="-7"/>
                <w:kern w:val="0"/>
                <w:sz w:val="18"/>
                <w:szCs w:val="18"/>
              </w:rPr>
              <w:t>厌氧</w:t>
            </w:r>
          </w:p>
          <w:p w14:paraId="6022CED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+缺氧+好氧+MBR 膜）处理后进入取水处理站清水池；</w:t>
            </w:r>
          </w:p>
          <w:p w14:paraId="5ABFF41B">
            <w:pPr>
              <w:widowControl/>
              <w:snapToGrid w:val="0"/>
              <w:spacing w:line="240" w:lineRule="auto"/>
              <w:ind w:firstLine="0" w:firstLineChars="0"/>
              <w:jc w:val="center"/>
              <w:rPr>
                <w:rFonts w:cs="Times New Roman"/>
                <w:bCs/>
                <w:kern w:val="0"/>
                <w:sz w:val="18"/>
                <w:szCs w:val="18"/>
              </w:rPr>
            </w:pPr>
            <w:r>
              <w:rPr>
                <w:rFonts w:cs="Times New Roman"/>
                <w:bCs/>
                <w:spacing w:val="-1"/>
                <w:kern w:val="0"/>
                <w:sz w:val="18"/>
                <w:szCs w:val="18"/>
              </w:rPr>
              <w:t xml:space="preserve">清水池废水通过总排口排入园区污水管网，再进入松木污水处理厂处理达标后排入湘江； </w:t>
            </w:r>
            <w:r>
              <w:rPr>
                <w:rFonts w:cs="Times New Roman"/>
                <w:bCs/>
                <w:kern w:val="0"/>
                <w:sz w:val="18"/>
                <w:szCs w:val="18"/>
              </w:rPr>
              <w:t>生活污水经化粪池预处理后经经开区污水管网进松木污水处理厂进行处理</w:t>
            </w:r>
          </w:p>
        </w:tc>
        <w:tc>
          <w:tcPr>
            <w:tcW w:w="671" w:type="pct"/>
            <w:vMerge w:val="restart"/>
            <w:vAlign w:val="center"/>
          </w:tcPr>
          <w:p w14:paraId="60F9C716">
            <w:pPr>
              <w:widowControl/>
              <w:snapToGrid w:val="0"/>
              <w:spacing w:line="240" w:lineRule="auto"/>
              <w:ind w:firstLine="0" w:firstLineChars="0"/>
              <w:jc w:val="center"/>
              <w:rPr>
                <w:rFonts w:cs="Times New Roman"/>
                <w:bCs/>
                <w:spacing w:val="-1"/>
                <w:kern w:val="0"/>
                <w:sz w:val="18"/>
                <w:szCs w:val="18"/>
              </w:rPr>
            </w:pPr>
            <w:r>
              <w:rPr>
                <w:rFonts w:cs="Times New Roman"/>
                <w:kern w:val="0"/>
                <w:sz w:val="18"/>
                <w:szCs w:val="18"/>
              </w:rPr>
              <w:t>生产废水设置重金属在线监控系统并连接市平台；后期雨水排放监控池、流量计、视频监控、pH在线监测仪及监控站房</w:t>
            </w:r>
          </w:p>
        </w:tc>
      </w:tr>
      <w:tr w14:paraId="4C0727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6DCD4BB">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07D884F">
            <w:pPr>
              <w:widowControl/>
              <w:snapToGrid w:val="0"/>
              <w:spacing w:line="240" w:lineRule="auto"/>
              <w:ind w:firstLine="0" w:firstLineChars="0"/>
              <w:jc w:val="center"/>
              <w:rPr>
                <w:rFonts w:cs="Times New Roman"/>
                <w:bCs/>
                <w:kern w:val="0"/>
                <w:sz w:val="18"/>
                <w:szCs w:val="18"/>
              </w:rPr>
            </w:pPr>
          </w:p>
        </w:tc>
        <w:tc>
          <w:tcPr>
            <w:tcW w:w="199" w:type="pct"/>
            <w:vAlign w:val="center"/>
          </w:tcPr>
          <w:p w14:paraId="05AF38B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766EF2E6">
            <w:pPr>
              <w:widowControl/>
              <w:snapToGrid w:val="0"/>
              <w:spacing w:line="240" w:lineRule="auto"/>
              <w:ind w:firstLine="0" w:firstLineChars="0"/>
              <w:jc w:val="center"/>
              <w:rPr>
                <w:rFonts w:cs="Times New Roman"/>
                <w:bCs/>
                <w:spacing w:val="-12"/>
                <w:kern w:val="0"/>
                <w:sz w:val="18"/>
                <w:szCs w:val="18"/>
              </w:rPr>
            </w:pPr>
            <w:r>
              <w:rPr>
                <w:rFonts w:cs="Times New Roman"/>
                <w:bCs/>
                <w:spacing w:val="-12"/>
                <w:kern w:val="0"/>
                <w:sz w:val="18"/>
                <w:szCs w:val="18"/>
              </w:rPr>
              <w:t>盐酸雾、铬酸雾、粉</w:t>
            </w:r>
          </w:p>
          <w:p w14:paraId="3C49EB5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尘等</w:t>
            </w:r>
          </w:p>
        </w:tc>
        <w:tc>
          <w:tcPr>
            <w:tcW w:w="417" w:type="pct"/>
            <w:vAlign w:val="center"/>
          </w:tcPr>
          <w:p w14:paraId="5FC8399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1FC94C3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碱锌电镀生产线、磷化氧化生产线产生的盐酸雾、碱性废气采用集气罩+二级碱液喷淋处理后经 25m 排气筒排放；</w:t>
            </w:r>
          </w:p>
          <w:p w14:paraId="1BEAD53C">
            <w:pPr>
              <w:widowControl/>
              <w:snapToGrid w:val="0"/>
              <w:spacing w:line="240" w:lineRule="auto"/>
              <w:ind w:firstLine="0" w:firstLineChars="0"/>
              <w:jc w:val="center"/>
              <w:rPr>
                <w:rFonts w:cs="Times New Roman"/>
                <w:bCs/>
                <w:kern w:val="0"/>
                <w:sz w:val="18"/>
                <w:szCs w:val="18"/>
              </w:rPr>
            </w:pPr>
            <w:r>
              <w:rPr>
                <w:rFonts w:cs="Times New Roman"/>
                <w:bCs/>
                <w:spacing w:val="-8"/>
                <w:kern w:val="0"/>
                <w:sz w:val="18"/>
                <w:szCs w:val="18"/>
              </w:rPr>
              <w:t>电镀镍、铬生产线产生的盐酸雾、碱性废气用集气罩</w:t>
            </w:r>
            <w:r>
              <w:rPr>
                <w:rFonts w:cs="Times New Roman"/>
                <w:bCs/>
                <w:kern w:val="0"/>
                <w:sz w:val="18"/>
                <w:szCs w:val="18"/>
              </w:rPr>
              <w:t>+</w:t>
            </w:r>
            <w:r>
              <w:rPr>
                <w:rFonts w:cs="Times New Roman"/>
                <w:bCs/>
                <w:spacing w:val="-5"/>
                <w:kern w:val="0"/>
                <w:sz w:val="18"/>
                <w:szCs w:val="18"/>
              </w:rPr>
              <w:t xml:space="preserve">二级碱液喷淋处理后经 </w:t>
            </w:r>
            <w:r>
              <w:rPr>
                <w:rFonts w:cs="Times New Roman"/>
                <w:bCs/>
                <w:kern w:val="0"/>
                <w:sz w:val="18"/>
                <w:szCs w:val="18"/>
              </w:rPr>
              <w:t xml:space="preserve">25m </w:t>
            </w:r>
            <w:r>
              <w:rPr>
                <w:rFonts w:cs="Times New Roman"/>
                <w:bCs/>
                <w:spacing w:val="-5"/>
                <w:kern w:val="0"/>
                <w:sz w:val="18"/>
                <w:szCs w:val="18"/>
              </w:rPr>
              <w:t>排气筒</w:t>
            </w:r>
            <w:r>
              <w:rPr>
                <w:rFonts w:cs="Times New Roman"/>
                <w:bCs/>
                <w:kern w:val="0"/>
                <w:sz w:val="18"/>
                <w:szCs w:val="18"/>
              </w:rPr>
              <w:t>排放；</w:t>
            </w:r>
          </w:p>
          <w:p w14:paraId="2773823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电镀镍、铬生产线产生的铬酸雾废气采用集气罩+二级碱液吸收处理后经 25m 排气筒排放；</w:t>
            </w:r>
          </w:p>
          <w:p w14:paraId="1623884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达克罗车间抛丸粉尘经布袋除尘处理后经 15m 排气筒排放（共 4 个）</w:t>
            </w:r>
          </w:p>
        </w:tc>
        <w:tc>
          <w:tcPr>
            <w:tcW w:w="671" w:type="pct"/>
            <w:vMerge w:val="continue"/>
            <w:vAlign w:val="center"/>
          </w:tcPr>
          <w:p w14:paraId="7509F8A4">
            <w:pPr>
              <w:widowControl/>
              <w:snapToGrid w:val="0"/>
              <w:spacing w:line="240" w:lineRule="auto"/>
              <w:ind w:firstLine="0" w:firstLineChars="0"/>
              <w:jc w:val="center"/>
              <w:rPr>
                <w:rFonts w:cs="Times New Roman"/>
                <w:bCs/>
                <w:kern w:val="0"/>
                <w:sz w:val="18"/>
                <w:szCs w:val="18"/>
              </w:rPr>
            </w:pPr>
          </w:p>
        </w:tc>
      </w:tr>
      <w:tr w14:paraId="0BC50F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9B10303">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25157D9B">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56D6471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1A7BEA2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18895D6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25t/a</w:t>
            </w:r>
          </w:p>
        </w:tc>
        <w:tc>
          <w:tcPr>
            <w:tcW w:w="2893" w:type="pct"/>
            <w:vMerge w:val="restart"/>
            <w:vAlign w:val="center"/>
          </w:tcPr>
          <w:p w14:paraId="7F78D5C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 xml:space="preserve">抛丸机除尘粉尘外卖综合利用； </w:t>
            </w:r>
            <w:r>
              <w:rPr>
                <w:rFonts w:cs="Times New Roman"/>
                <w:bCs/>
                <w:spacing w:val="-2"/>
                <w:kern w:val="0"/>
                <w:sz w:val="18"/>
                <w:szCs w:val="18"/>
              </w:rPr>
              <w:t>生活垃圾交由环卫部门进行处理；</w:t>
            </w:r>
          </w:p>
          <w:p w14:paraId="20DFDDD7">
            <w:pPr>
              <w:widowControl/>
              <w:snapToGrid w:val="0"/>
              <w:spacing w:line="240" w:lineRule="auto"/>
              <w:ind w:firstLine="0" w:firstLineChars="0"/>
              <w:jc w:val="center"/>
              <w:rPr>
                <w:rFonts w:cs="Times New Roman"/>
                <w:bCs/>
                <w:kern w:val="0"/>
                <w:sz w:val="18"/>
                <w:szCs w:val="18"/>
              </w:rPr>
            </w:pPr>
            <w:r>
              <w:rPr>
                <w:rFonts w:cs="Times New Roman"/>
                <w:bCs/>
                <w:spacing w:val="-9"/>
                <w:kern w:val="0"/>
                <w:sz w:val="18"/>
                <w:szCs w:val="18"/>
              </w:rPr>
              <w:t>电镀槽渣、除锈槽渣、钝化槽渣、废水处理污泥、废化学品包装袋</w:t>
            </w:r>
            <w:r>
              <w:rPr>
                <w:rFonts w:cs="Times New Roman"/>
                <w:bCs/>
                <w:kern w:val="0"/>
                <w:sz w:val="18"/>
                <w:szCs w:val="18"/>
              </w:rPr>
              <w:t>（桶</w:t>
            </w:r>
            <w:r>
              <w:rPr>
                <w:rFonts w:cs="Times New Roman"/>
                <w:bCs/>
                <w:spacing w:val="-17"/>
                <w:kern w:val="0"/>
                <w:sz w:val="18"/>
                <w:szCs w:val="18"/>
              </w:rPr>
              <w:t>）</w:t>
            </w:r>
            <w:r>
              <w:rPr>
                <w:rFonts w:cs="Times New Roman"/>
                <w:bCs/>
                <w:spacing w:val="-3"/>
                <w:kern w:val="0"/>
                <w:sz w:val="18"/>
                <w:szCs w:val="18"/>
              </w:rPr>
              <w:t>等危险废物送由</w:t>
            </w:r>
            <w:r>
              <w:rPr>
                <w:rFonts w:cs="Times New Roman"/>
                <w:bCs/>
                <w:kern w:val="0"/>
                <w:sz w:val="18"/>
                <w:szCs w:val="18"/>
              </w:rPr>
              <w:t>有资质单位处理；倒槽废液经回收重金属后如厂区电镀废水处理系统处理； 废油送湖南中航紧固系统公司回收废油设施回收；废离子交换树脂由生产厂家回收利用</w:t>
            </w:r>
          </w:p>
        </w:tc>
        <w:tc>
          <w:tcPr>
            <w:tcW w:w="671" w:type="pct"/>
            <w:vMerge w:val="continue"/>
            <w:vAlign w:val="center"/>
          </w:tcPr>
          <w:p w14:paraId="657860DD">
            <w:pPr>
              <w:widowControl/>
              <w:snapToGrid w:val="0"/>
              <w:spacing w:line="240" w:lineRule="auto"/>
              <w:ind w:firstLine="0" w:firstLineChars="0"/>
              <w:jc w:val="center"/>
              <w:rPr>
                <w:rFonts w:cs="Times New Roman"/>
                <w:bCs/>
                <w:spacing w:val="-9"/>
                <w:kern w:val="0"/>
                <w:sz w:val="18"/>
                <w:szCs w:val="18"/>
              </w:rPr>
            </w:pPr>
          </w:p>
        </w:tc>
      </w:tr>
      <w:tr w14:paraId="07578C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19BF505B">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8ACAA34">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24BC47B7">
            <w:pPr>
              <w:widowControl/>
              <w:snapToGrid w:val="0"/>
              <w:spacing w:line="240" w:lineRule="auto"/>
              <w:ind w:firstLine="0" w:firstLineChars="0"/>
              <w:jc w:val="center"/>
              <w:rPr>
                <w:rFonts w:cs="Times New Roman"/>
                <w:bCs/>
                <w:kern w:val="0"/>
                <w:sz w:val="18"/>
                <w:szCs w:val="18"/>
              </w:rPr>
            </w:pPr>
          </w:p>
        </w:tc>
        <w:tc>
          <w:tcPr>
            <w:tcW w:w="485" w:type="pct"/>
            <w:vAlign w:val="center"/>
          </w:tcPr>
          <w:p w14:paraId="1C14011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5482F2A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24.14t/a</w:t>
            </w:r>
          </w:p>
        </w:tc>
        <w:tc>
          <w:tcPr>
            <w:tcW w:w="2893" w:type="pct"/>
            <w:vMerge w:val="continue"/>
            <w:vAlign w:val="center"/>
          </w:tcPr>
          <w:p w14:paraId="0A95E68F">
            <w:pPr>
              <w:widowControl/>
              <w:snapToGrid w:val="0"/>
              <w:spacing w:line="240" w:lineRule="auto"/>
              <w:ind w:firstLine="0" w:firstLineChars="0"/>
              <w:jc w:val="center"/>
              <w:rPr>
                <w:rFonts w:cs="Times New Roman"/>
                <w:bCs/>
                <w:kern w:val="0"/>
                <w:sz w:val="18"/>
                <w:szCs w:val="18"/>
              </w:rPr>
            </w:pPr>
          </w:p>
        </w:tc>
        <w:tc>
          <w:tcPr>
            <w:tcW w:w="671" w:type="pct"/>
            <w:vMerge w:val="continue"/>
            <w:vAlign w:val="center"/>
          </w:tcPr>
          <w:p w14:paraId="1430A775">
            <w:pPr>
              <w:widowControl/>
              <w:snapToGrid w:val="0"/>
              <w:spacing w:line="240" w:lineRule="auto"/>
              <w:ind w:firstLine="0" w:firstLineChars="0"/>
              <w:jc w:val="center"/>
              <w:rPr>
                <w:rFonts w:cs="Times New Roman"/>
                <w:bCs/>
                <w:kern w:val="0"/>
                <w:sz w:val="18"/>
                <w:szCs w:val="18"/>
              </w:rPr>
            </w:pPr>
          </w:p>
        </w:tc>
      </w:tr>
      <w:tr w14:paraId="45670D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2F930FF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33</w:t>
            </w:r>
          </w:p>
          <w:p w14:paraId="0B318865">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1574999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衡阳德邦新金生物科技有限公司</w:t>
            </w:r>
          </w:p>
        </w:tc>
        <w:tc>
          <w:tcPr>
            <w:tcW w:w="199" w:type="pct"/>
            <w:vAlign w:val="center"/>
          </w:tcPr>
          <w:p w14:paraId="1515802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04F8C5F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pH、SS、COD、氨氮</w:t>
            </w:r>
          </w:p>
        </w:tc>
        <w:tc>
          <w:tcPr>
            <w:tcW w:w="417" w:type="pct"/>
            <w:vAlign w:val="center"/>
          </w:tcPr>
          <w:p w14:paraId="0624BEB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1530 m</w:t>
            </w:r>
            <w:r>
              <w:rPr>
                <w:rFonts w:cs="Times New Roman"/>
                <w:bCs/>
                <w:kern w:val="0"/>
                <w:position w:val="8"/>
                <w:sz w:val="18"/>
                <w:szCs w:val="18"/>
              </w:rPr>
              <w:t>3</w:t>
            </w:r>
            <w:r>
              <w:rPr>
                <w:rFonts w:cs="Times New Roman"/>
                <w:bCs/>
                <w:kern w:val="0"/>
                <w:sz w:val="18"/>
                <w:szCs w:val="18"/>
              </w:rPr>
              <w:t>/a</w:t>
            </w:r>
          </w:p>
        </w:tc>
        <w:tc>
          <w:tcPr>
            <w:tcW w:w="2893" w:type="pct"/>
            <w:vAlign w:val="center"/>
          </w:tcPr>
          <w:p w14:paraId="58AC284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生产工艺废水循环使用不外排；</w:t>
            </w:r>
          </w:p>
          <w:p w14:paraId="25EE534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初期雨水经收集后进入新金公司初期雨水收集池；</w:t>
            </w:r>
          </w:p>
          <w:p w14:paraId="0AF96D76">
            <w:pPr>
              <w:widowControl/>
              <w:snapToGrid w:val="0"/>
              <w:spacing w:line="240" w:lineRule="auto"/>
              <w:ind w:firstLine="0" w:firstLineChars="0"/>
              <w:jc w:val="center"/>
              <w:rPr>
                <w:rFonts w:cs="Times New Roman"/>
                <w:bCs/>
                <w:kern w:val="0"/>
                <w:sz w:val="18"/>
                <w:szCs w:val="18"/>
              </w:rPr>
            </w:pPr>
            <w:r>
              <w:rPr>
                <w:rFonts w:cs="Times New Roman"/>
                <w:bCs/>
                <w:spacing w:val="-5"/>
                <w:kern w:val="0"/>
                <w:sz w:val="18"/>
                <w:szCs w:val="18"/>
              </w:rPr>
              <w:t>生活污水经化粪池预处理后进入经开区污水管网，最终经松木污水处理厂处理后排至湘江</w:t>
            </w:r>
          </w:p>
        </w:tc>
        <w:tc>
          <w:tcPr>
            <w:tcW w:w="671" w:type="pct"/>
            <w:vMerge w:val="restart"/>
            <w:vAlign w:val="center"/>
          </w:tcPr>
          <w:p w14:paraId="1E07C2DC">
            <w:pPr>
              <w:widowControl/>
              <w:snapToGrid w:val="0"/>
              <w:spacing w:line="240" w:lineRule="auto"/>
              <w:ind w:firstLine="0" w:firstLineChars="0"/>
              <w:jc w:val="center"/>
              <w:rPr>
                <w:rFonts w:cs="Times New Roman"/>
                <w:bCs/>
                <w:spacing w:val="-5"/>
                <w:kern w:val="0"/>
                <w:sz w:val="18"/>
                <w:szCs w:val="18"/>
              </w:rPr>
            </w:pPr>
            <w:r>
              <w:rPr>
                <w:rFonts w:cs="Times New Roman"/>
                <w:bCs/>
                <w:spacing w:val="-5"/>
                <w:kern w:val="0"/>
                <w:sz w:val="18"/>
                <w:szCs w:val="18"/>
              </w:rPr>
              <w:t>已停产搬迁</w:t>
            </w:r>
          </w:p>
        </w:tc>
      </w:tr>
      <w:tr w14:paraId="0ECD8B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15ECD82B">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E6FABDF">
            <w:pPr>
              <w:widowControl/>
              <w:snapToGrid w:val="0"/>
              <w:spacing w:line="240" w:lineRule="auto"/>
              <w:ind w:firstLine="0" w:firstLineChars="0"/>
              <w:jc w:val="center"/>
              <w:rPr>
                <w:rFonts w:cs="Times New Roman"/>
                <w:bCs/>
                <w:kern w:val="0"/>
                <w:sz w:val="18"/>
                <w:szCs w:val="18"/>
              </w:rPr>
            </w:pPr>
          </w:p>
        </w:tc>
        <w:tc>
          <w:tcPr>
            <w:tcW w:w="199" w:type="pct"/>
            <w:vAlign w:val="center"/>
          </w:tcPr>
          <w:p w14:paraId="3B2F1B0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25228812">
            <w:pPr>
              <w:widowControl/>
              <w:snapToGrid w:val="0"/>
              <w:spacing w:line="240" w:lineRule="auto"/>
              <w:ind w:firstLine="0" w:firstLineChars="0"/>
              <w:jc w:val="center"/>
              <w:rPr>
                <w:rFonts w:cs="Times New Roman"/>
                <w:bCs/>
                <w:kern w:val="0"/>
                <w:sz w:val="18"/>
                <w:szCs w:val="18"/>
              </w:rPr>
            </w:pPr>
            <w:r>
              <w:rPr>
                <w:rFonts w:cs="Times New Roman"/>
                <w:bCs/>
                <w:spacing w:val="-17"/>
                <w:kern w:val="0"/>
                <w:sz w:val="18"/>
                <w:szCs w:val="18"/>
              </w:rPr>
              <w:t>粉尘、颗粒物、</w:t>
            </w:r>
            <w:r>
              <w:rPr>
                <w:rFonts w:cs="Times New Roman"/>
                <w:bCs/>
                <w:kern w:val="0"/>
                <w:sz w:val="18"/>
                <w:szCs w:val="18"/>
              </w:rPr>
              <w:t>SO</w:t>
            </w:r>
            <w:r>
              <w:rPr>
                <w:rFonts w:cs="Times New Roman"/>
                <w:bCs/>
                <w:kern w:val="0"/>
                <w:sz w:val="18"/>
                <w:szCs w:val="18"/>
                <w:vertAlign w:val="subscript"/>
              </w:rPr>
              <w:t>2</w:t>
            </w:r>
            <w:r>
              <w:rPr>
                <w:rFonts w:cs="Times New Roman"/>
                <w:bCs/>
                <w:kern w:val="0"/>
                <w:sz w:val="18"/>
                <w:szCs w:val="18"/>
              </w:rPr>
              <w:t>、NO</w:t>
            </w:r>
            <w:r>
              <w:rPr>
                <w:rFonts w:cs="Times New Roman"/>
                <w:bCs/>
                <w:kern w:val="0"/>
                <w:sz w:val="18"/>
                <w:szCs w:val="18"/>
                <w:vertAlign w:val="subscript"/>
              </w:rPr>
              <w:t>x</w:t>
            </w:r>
          </w:p>
        </w:tc>
        <w:tc>
          <w:tcPr>
            <w:tcW w:w="417" w:type="pct"/>
            <w:vAlign w:val="center"/>
          </w:tcPr>
          <w:p w14:paraId="0C0653B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44351A8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晶体生产线粉尘采用布袋除尘处理后经 15m 排气筒排放；非晶体生产线采用布袋除尘处理后经 15m 排气筒排放； 锅炉烟气采用布袋除尘处理后经 35m 排气筒排放</w:t>
            </w:r>
          </w:p>
        </w:tc>
        <w:tc>
          <w:tcPr>
            <w:tcW w:w="671" w:type="pct"/>
            <w:vMerge w:val="continue"/>
            <w:vAlign w:val="center"/>
          </w:tcPr>
          <w:p w14:paraId="30B96F12">
            <w:pPr>
              <w:widowControl/>
              <w:snapToGrid w:val="0"/>
              <w:spacing w:line="240" w:lineRule="auto"/>
              <w:ind w:firstLine="0" w:firstLineChars="0"/>
              <w:jc w:val="center"/>
              <w:rPr>
                <w:rFonts w:cs="Times New Roman"/>
                <w:bCs/>
                <w:kern w:val="0"/>
                <w:sz w:val="18"/>
                <w:szCs w:val="18"/>
              </w:rPr>
            </w:pPr>
          </w:p>
        </w:tc>
      </w:tr>
      <w:tr w14:paraId="07D864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B8B7542">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21FF60ED">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1B39534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3B339F9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070D97F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327.674t/a</w:t>
            </w:r>
          </w:p>
        </w:tc>
        <w:tc>
          <w:tcPr>
            <w:tcW w:w="2893" w:type="pct"/>
            <w:vMerge w:val="restart"/>
            <w:vAlign w:val="center"/>
          </w:tcPr>
          <w:p w14:paraId="5134CA9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生活垃圾交由环卫部门进行处理；其它一般固废外售；铬、锰化合物包装袋等危险固废由生产厂家进行回收</w:t>
            </w:r>
          </w:p>
        </w:tc>
        <w:tc>
          <w:tcPr>
            <w:tcW w:w="671" w:type="pct"/>
            <w:vMerge w:val="continue"/>
            <w:vAlign w:val="center"/>
          </w:tcPr>
          <w:p w14:paraId="5D478886">
            <w:pPr>
              <w:widowControl/>
              <w:snapToGrid w:val="0"/>
              <w:spacing w:line="240" w:lineRule="auto"/>
              <w:ind w:firstLine="0" w:firstLineChars="0"/>
              <w:jc w:val="center"/>
              <w:rPr>
                <w:rFonts w:cs="Times New Roman"/>
                <w:bCs/>
                <w:kern w:val="0"/>
                <w:sz w:val="18"/>
                <w:szCs w:val="18"/>
              </w:rPr>
            </w:pPr>
          </w:p>
        </w:tc>
      </w:tr>
      <w:tr w14:paraId="691737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13C44610">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4A111DD">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7A0D870F">
            <w:pPr>
              <w:widowControl/>
              <w:snapToGrid w:val="0"/>
              <w:spacing w:line="240" w:lineRule="auto"/>
              <w:ind w:firstLine="0" w:firstLineChars="0"/>
              <w:jc w:val="center"/>
              <w:rPr>
                <w:rFonts w:cs="Times New Roman"/>
                <w:bCs/>
                <w:kern w:val="0"/>
                <w:sz w:val="18"/>
                <w:szCs w:val="18"/>
              </w:rPr>
            </w:pPr>
          </w:p>
        </w:tc>
        <w:tc>
          <w:tcPr>
            <w:tcW w:w="485" w:type="pct"/>
            <w:vAlign w:val="center"/>
          </w:tcPr>
          <w:p w14:paraId="478C077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66B8DC2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0.4t/a</w:t>
            </w:r>
          </w:p>
        </w:tc>
        <w:tc>
          <w:tcPr>
            <w:tcW w:w="2893" w:type="pct"/>
            <w:vMerge w:val="continue"/>
            <w:vAlign w:val="center"/>
          </w:tcPr>
          <w:p w14:paraId="157D5F18">
            <w:pPr>
              <w:widowControl/>
              <w:snapToGrid w:val="0"/>
              <w:spacing w:line="240" w:lineRule="auto"/>
              <w:ind w:firstLine="0" w:firstLineChars="0"/>
              <w:jc w:val="center"/>
              <w:rPr>
                <w:rFonts w:cs="Times New Roman"/>
                <w:bCs/>
                <w:kern w:val="0"/>
                <w:sz w:val="18"/>
                <w:szCs w:val="18"/>
              </w:rPr>
            </w:pPr>
          </w:p>
        </w:tc>
        <w:tc>
          <w:tcPr>
            <w:tcW w:w="671" w:type="pct"/>
            <w:vMerge w:val="continue"/>
            <w:vAlign w:val="center"/>
          </w:tcPr>
          <w:p w14:paraId="7FE226E5">
            <w:pPr>
              <w:widowControl/>
              <w:snapToGrid w:val="0"/>
              <w:spacing w:line="240" w:lineRule="auto"/>
              <w:ind w:firstLine="0" w:firstLineChars="0"/>
              <w:jc w:val="center"/>
              <w:rPr>
                <w:rFonts w:cs="Times New Roman"/>
                <w:bCs/>
                <w:kern w:val="0"/>
                <w:sz w:val="18"/>
                <w:szCs w:val="18"/>
              </w:rPr>
            </w:pPr>
          </w:p>
        </w:tc>
      </w:tr>
      <w:tr w14:paraId="609718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605E38E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34</w:t>
            </w:r>
          </w:p>
          <w:p w14:paraId="3B642394">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7E9B61C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衡阳旭光锌锗科技有限公司</w:t>
            </w:r>
          </w:p>
        </w:tc>
        <w:tc>
          <w:tcPr>
            <w:tcW w:w="199" w:type="pct"/>
            <w:vAlign w:val="center"/>
          </w:tcPr>
          <w:p w14:paraId="44EDE06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6F5A97D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SS、COD、氨氮、重金属等</w:t>
            </w:r>
          </w:p>
        </w:tc>
        <w:tc>
          <w:tcPr>
            <w:tcW w:w="417" w:type="pct"/>
            <w:vAlign w:val="center"/>
          </w:tcPr>
          <w:p w14:paraId="6BC022B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2472 m</w:t>
            </w:r>
            <w:r>
              <w:rPr>
                <w:rFonts w:cs="Times New Roman"/>
                <w:bCs/>
                <w:kern w:val="0"/>
                <w:position w:val="8"/>
                <w:sz w:val="18"/>
                <w:szCs w:val="18"/>
              </w:rPr>
              <w:t>3</w:t>
            </w:r>
            <w:r>
              <w:rPr>
                <w:rFonts w:cs="Times New Roman"/>
                <w:bCs/>
                <w:kern w:val="0"/>
                <w:sz w:val="18"/>
                <w:szCs w:val="18"/>
              </w:rPr>
              <w:t>/a</w:t>
            </w:r>
          </w:p>
        </w:tc>
        <w:tc>
          <w:tcPr>
            <w:tcW w:w="2893" w:type="pct"/>
            <w:vAlign w:val="center"/>
          </w:tcPr>
          <w:p w14:paraId="02DC47A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企业无生产废水外排；</w:t>
            </w:r>
            <w:r>
              <w:rPr>
                <w:rFonts w:cs="Times New Roman"/>
                <w:bCs/>
                <w:spacing w:val="-7"/>
                <w:kern w:val="0"/>
                <w:sz w:val="18"/>
                <w:szCs w:val="18"/>
              </w:rPr>
              <w:t>碱洗除氟氯废水经加氯化钙除氟，加硫化钠除重金属后送多效蒸发系统回收氯盐，冷却水</w:t>
            </w:r>
            <w:r>
              <w:rPr>
                <w:rFonts w:cs="Times New Roman"/>
                <w:bCs/>
                <w:kern w:val="0"/>
                <w:sz w:val="18"/>
                <w:szCs w:val="18"/>
              </w:rPr>
              <w:t>回用于生产；各类废渣冲洗、地面冲洗废水经收集后回用于中性浸出；</w:t>
            </w:r>
            <w:r>
              <w:rPr>
                <w:rFonts w:cs="Times New Roman"/>
                <w:bCs/>
                <w:spacing w:val="-11"/>
                <w:kern w:val="0"/>
                <w:sz w:val="18"/>
                <w:szCs w:val="18"/>
              </w:rPr>
              <w:t>原料运输车、包装袋冲洗废水、水喷淋除硫酸雾废水、水喷淋除尘废水小部分收集后回用</w:t>
            </w:r>
            <w:r>
              <w:rPr>
                <w:rFonts w:cs="Times New Roman"/>
                <w:bCs/>
                <w:kern w:val="0"/>
                <w:sz w:val="18"/>
                <w:szCs w:val="18"/>
              </w:rPr>
              <w:t>于中性浸出，其余部分循环利用；硫酸锌蒸发废水经收集后回用于置换工序；</w:t>
            </w:r>
            <w:r>
              <w:rPr>
                <w:rFonts w:cs="Times New Roman"/>
                <w:bCs/>
                <w:spacing w:val="-7"/>
                <w:kern w:val="0"/>
                <w:sz w:val="18"/>
                <w:szCs w:val="18"/>
              </w:rPr>
              <w:t>生活污水经厂区化粪池处理后，汇入经开区污水管网，最终入松木污水处理厂处理达标后</w:t>
            </w:r>
            <w:r>
              <w:rPr>
                <w:rFonts w:cs="Times New Roman"/>
                <w:bCs/>
                <w:kern w:val="0"/>
                <w:sz w:val="18"/>
                <w:szCs w:val="18"/>
              </w:rPr>
              <w:t>外排至湘江；初期雨水在初期雨水收集池内收集后，经加石灰沉淀处理后回用于生产；</w:t>
            </w:r>
          </w:p>
        </w:tc>
        <w:tc>
          <w:tcPr>
            <w:tcW w:w="671" w:type="pct"/>
            <w:vMerge w:val="restart"/>
            <w:vAlign w:val="center"/>
          </w:tcPr>
          <w:p w14:paraId="4497D516">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后期雨水排放监控池、流量计、视频监控、总镉在线监测仪及监控站房</w:t>
            </w:r>
          </w:p>
        </w:tc>
      </w:tr>
      <w:tr w14:paraId="16FF73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47F347CF">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1858EB6B">
            <w:pPr>
              <w:widowControl/>
              <w:snapToGrid w:val="0"/>
              <w:spacing w:line="240" w:lineRule="auto"/>
              <w:ind w:firstLine="0" w:firstLineChars="0"/>
              <w:jc w:val="center"/>
              <w:rPr>
                <w:rFonts w:cs="Times New Roman"/>
                <w:bCs/>
                <w:kern w:val="0"/>
                <w:sz w:val="18"/>
                <w:szCs w:val="18"/>
              </w:rPr>
            </w:pPr>
          </w:p>
        </w:tc>
        <w:tc>
          <w:tcPr>
            <w:tcW w:w="199" w:type="pct"/>
            <w:vAlign w:val="center"/>
          </w:tcPr>
          <w:p w14:paraId="270D786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77AA58EF">
            <w:pPr>
              <w:widowControl/>
              <w:snapToGrid w:val="0"/>
              <w:spacing w:line="240" w:lineRule="auto"/>
              <w:ind w:firstLine="0" w:firstLineChars="0"/>
              <w:jc w:val="center"/>
              <w:rPr>
                <w:rFonts w:cs="Times New Roman"/>
                <w:bCs/>
                <w:kern w:val="0"/>
                <w:sz w:val="18"/>
                <w:szCs w:val="18"/>
              </w:rPr>
            </w:pPr>
            <w:r>
              <w:rPr>
                <w:rFonts w:cs="Times New Roman"/>
                <w:bCs/>
                <w:spacing w:val="-15"/>
                <w:kern w:val="0"/>
                <w:sz w:val="18"/>
                <w:szCs w:val="18"/>
              </w:rPr>
              <w:t>硫酸雾、砷化氢颗粒</w:t>
            </w:r>
            <w:r>
              <w:rPr>
                <w:rFonts w:cs="Times New Roman"/>
                <w:bCs/>
                <w:kern w:val="0"/>
                <w:sz w:val="18"/>
                <w:szCs w:val="18"/>
              </w:rPr>
              <w:t>物、SO</w:t>
            </w:r>
            <w:r>
              <w:rPr>
                <w:rFonts w:cs="Times New Roman"/>
                <w:bCs/>
                <w:kern w:val="0"/>
                <w:sz w:val="18"/>
                <w:szCs w:val="18"/>
                <w:vertAlign w:val="subscript"/>
              </w:rPr>
              <w:t>2</w:t>
            </w:r>
            <w:r>
              <w:rPr>
                <w:rFonts w:cs="Times New Roman"/>
                <w:bCs/>
                <w:kern w:val="0"/>
                <w:sz w:val="18"/>
                <w:szCs w:val="18"/>
              </w:rPr>
              <w:t>、NO</w:t>
            </w:r>
            <w:r>
              <w:rPr>
                <w:rFonts w:cs="Times New Roman"/>
                <w:bCs/>
                <w:kern w:val="0"/>
                <w:sz w:val="18"/>
                <w:szCs w:val="18"/>
                <w:vertAlign w:val="subscript"/>
              </w:rPr>
              <w:t>x</w:t>
            </w:r>
            <w:r>
              <w:rPr>
                <w:rFonts w:cs="Times New Roman"/>
                <w:bCs/>
                <w:kern w:val="0"/>
                <w:sz w:val="18"/>
                <w:szCs w:val="18"/>
              </w:rPr>
              <w:t xml:space="preserve"> 等、</w:t>
            </w:r>
          </w:p>
        </w:tc>
        <w:tc>
          <w:tcPr>
            <w:tcW w:w="417" w:type="pct"/>
            <w:vAlign w:val="center"/>
          </w:tcPr>
          <w:p w14:paraId="0ABFBD1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27B1E42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浸出废气经管道收集后送吸收塔用水进行吸收后经 20m 排气筒外排；除杂废气包括硫酸雾即砷化氢废气，其中硫酸雾废气经收集水喷淋塔处理后经 20m 排气筒外排，砷化氢经排气管收集后采用喷淋处理后经同一排气筒外排；</w:t>
            </w:r>
            <w:r>
              <w:rPr>
                <w:rFonts w:cs="Times New Roman"/>
                <w:bCs/>
                <w:spacing w:val="-3"/>
                <w:kern w:val="0"/>
                <w:sz w:val="18"/>
                <w:szCs w:val="18"/>
              </w:rPr>
              <w:t xml:space="preserve">干燥回转窑废气采用水喷淋处理后经 </w:t>
            </w:r>
            <w:r>
              <w:rPr>
                <w:rFonts w:cs="Times New Roman"/>
                <w:bCs/>
                <w:kern w:val="0"/>
                <w:sz w:val="18"/>
                <w:szCs w:val="18"/>
              </w:rPr>
              <w:t xml:space="preserve">20m 排气筒外排； </w:t>
            </w:r>
            <w:r>
              <w:rPr>
                <w:rFonts w:cs="Times New Roman"/>
                <w:bCs/>
                <w:spacing w:val="-3"/>
                <w:kern w:val="0"/>
                <w:sz w:val="18"/>
                <w:szCs w:val="18"/>
              </w:rPr>
              <w:t xml:space="preserve">干燥窑热风干燥尾气经降尘室除尘后经 </w:t>
            </w:r>
            <w:r>
              <w:rPr>
                <w:rFonts w:cs="Times New Roman"/>
                <w:bCs/>
                <w:kern w:val="0"/>
                <w:sz w:val="18"/>
                <w:szCs w:val="18"/>
              </w:rPr>
              <w:t>20m</w:t>
            </w:r>
            <w:r>
              <w:rPr>
                <w:rFonts w:cs="Times New Roman"/>
                <w:bCs/>
                <w:spacing w:val="-2"/>
                <w:kern w:val="0"/>
                <w:sz w:val="18"/>
                <w:szCs w:val="18"/>
              </w:rPr>
              <w:t xml:space="preserve"> </w:t>
            </w:r>
            <w:r>
              <w:rPr>
                <w:rFonts w:cs="Times New Roman"/>
                <w:bCs/>
                <w:spacing w:val="-3"/>
                <w:kern w:val="0"/>
                <w:sz w:val="18"/>
                <w:szCs w:val="18"/>
              </w:rPr>
              <w:t>排气筒排放；</w:t>
            </w:r>
          </w:p>
          <w:p w14:paraId="5439ECD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包装废气采用布袋除尘器进行除尘处理后经 20m 排气筒外排；蒸发浓缩废气主要含水蒸气，由 15m 排气筒排放</w:t>
            </w:r>
          </w:p>
        </w:tc>
        <w:tc>
          <w:tcPr>
            <w:tcW w:w="671" w:type="pct"/>
            <w:vMerge w:val="continue"/>
            <w:vAlign w:val="center"/>
          </w:tcPr>
          <w:p w14:paraId="7F244838">
            <w:pPr>
              <w:widowControl/>
              <w:snapToGrid w:val="0"/>
              <w:spacing w:line="240" w:lineRule="auto"/>
              <w:ind w:firstLine="0" w:firstLineChars="0"/>
              <w:jc w:val="center"/>
              <w:rPr>
                <w:rFonts w:cs="Times New Roman"/>
                <w:bCs/>
                <w:kern w:val="0"/>
                <w:sz w:val="18"/>
                <w:szCs w:val="18"/>
              </w:rPr>
            </w:pPr>
          </w:p>
        </w:tc>
      </w:tr>
      <w:tr w14:paraId="7D0944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0E34043">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3C85411">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67205AD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620F31A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0CA84A4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32.8t/a</w:t>
            </w:r>
          </w:p>
        </w:tc>
        <w:tc>
          <w:tcPr>
            <w:tcW w:w="2893" w:type="pct"/>
            <w:vMerge w:val="restart"/>
            <w:vAlign w:val="center"/>
          </w:tcPr>
          <w:p w14:paraId="033765D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生活垃圾由经开区统一收集后送至垃圾填埋场； 废包装袋经清洗后外售；</w:t>
            </w:r>
          </w:p>
          <w:p w14:paraId="3832714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包装收尘灰和废水处理站污泥经收集后返回中性浸出；</w:t>
            </w:r>
          </w:p>
        </w:tc>
        <w:tc>
          <w:tcPr>
            <w:tcW w:w="671" w:type="pct"/>
            <w:vMerge w:val="continue"/>
            <w:vAlign w:val="center"/>
          </w:tcPr>
          <w:p w14:paraId="41573667">
            <w:pPr>
              <w:widowControl/>
              <w:snapToGrid w:val="0"/>
              <w:spacing w:line="240" w:lineRule="auto"/>
              <w:ind w:firstLine="0" w:firstLineChars="0"/>
              <w:jc w:val="center"/>
              <w:rPr>
                <w:rFonts w:cs="Times New Roman"/>
                <w:bCs/>
                <w:kern w:val="0"/>
                <w:sz w:val="18"/>
                <w:szCs w:val="18"/>
              </w:rPr>
            </w:pPr>
          </w:p>
        </w:tc>
      </w:tr>
      <w:tr w14:paraId="2DF968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0E2129F">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9C7B8B3">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5B6A288E">
            <w:pPr>
              <w:widowControl/>
              <w:snapToGrid w:val="0"/>
              <w:spacing w:line="240" w:lineRule="auto"/>
              <w:ind w:firstLine="0" w:firstLineChars="0"/>
              <w:jc w:val="center"/>
              <w:rPr>
                <w:rFonts w:cs="Times New Roman"/>
                <w:bCs/>
                <w:kern w:val="0"/>
                <w:sz w:val="18"/>
                <w:szCs w:val="18"/>
              </w:rPr>
            </w:pPr>
          </w:p>
        </w:tc>
        <w:tc>
          <w:tcPr>
            <w:tcW w:w="485" w:type="pct"/>
            <w:vAlign w:val="center"/>
          </w:tcPr>
          <w:p w14:paraId="563FC96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0B8CC60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7676t/a</w:t>
            </w:r>
          </w:p>
        </w:tc>
        <w:tc>
          <w:tcPr>
            <w:tcW w:w="2893" w:type="pct"/>
            <w:vMerge w:val="continue"/>
            <w:vAlign w:val="center"/>
          </w:tcPr>
          <w:p w14:paraId="724489F5">
            <w:pPr>
              <w:widowControl/>
              <w:snapToGrid w:val="0"/>
              <w:spacing w:line="240" w:lineRule="auto"/>
              <w:ind w:firstLine="0" w:firstLineChars="0"/>
              <w:jc w:val="center"/>
              <w:rPr>
                <w:rFonts w:cs="Times New Roman"/>
                <w:bCs/>
                <w:kern w:val="0"/>
                <w:sz w:val="18"/>
                <w:szCs w:val="18"/>
              </w:rPr>
            </w:pPr>
          </w:p>
        </w:tc>
        <w:tc>
          <w:tcPr>
            <w:tcW w:w="671" w:type="pct"/>
            <w:vMerge w:val="continue"/>
            <w:vAlign w:val="center"/>
          </w:tcPr>
          <w:p w14:paraId="2E7B6349">
            <w:pPr>
              <w:widowControl/>
              <w:snapToGrid w:val="0"/>
              <w:spacing w:line="240" w:lineRule="auto"/>
              <w:ind w:firstLine="0" w:firstLineChars="0"/>
              <w:jc w:val="center"/>
              <w:rPr>
                <w:rFonts w:cs="Times New Roman"/>
                <w:bCs/>
                <w:kern w:val="0"/>
                <w:sz w:val="18"/>
                <w:szCs w:val="18"/>
              </w:rPr>
            </w:pPr>
          </w:p>
        </w:tc>
      </w:tr>
      <w:tr w14:paraId="6944E2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651739A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35</w:t>
            </w:r>
          </w:p>
          <w:p w14:paraId="620C7F82">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2759DEF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衡阳市晋宏精细化工有限公司</w:t>
            </w:r>
          </w:p>
        </w:tc>
        <w:tc>
          <w:tcPr>
            <w:tcW w:w="199" w:type="pct"/>
            <w:vAlign w:val="center"/>
          </w:tcPr>
          <w:p w14:paraId="6AF09E5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29DDC18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氰、Pb、Ag、SS、</w:t>
            </w:r>
          </w:p>
          <w:p w14:paraId="3C79315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COD、氨氮</w:t>
            </w:r>
          </w:p>
        </w:tc>
        <w:tc>
          <w:tcPr>
            <w:tcW w:w="417" w:type="pct"/>
            <w:vAlign w:val="center"/>
          </w:tcPr>
          <w:p w14:paraId="76469F9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3570t/a</w:t>
            </w:r>
          </w:p>
        </w:tc>
        <w:tc>
          <w:tcPr>
            <w:tcW w:w="2893" w:type="pct"/>
            <w:vAlign w:val="center"/>
          </w:tcPr>
          <w:p w14:paraId="5B3509B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氰化亚金钾生产废水经厂区自建污水处理管道进入含氰废水处理站处理； 车间地面清洗废水经收集后进入含氰废水处理站处理；员工生产洗手水，工服清洗水经过管道收集至回用桶后进入含氰废水处理站处理；纯水制备所产生的浓排水进入含氰废水处理站处理；含氰废水处理站处理达标后废水回用于生产；</w:t>
            </w:r>
            <w:r>
              <w:rPr>
                <w:rFonts w:cs="Times New Roman"/>
                <w:bCs/>
                <w:spacing w:val="-6"/>
                <w:kern w:val="0"/>
                <w:sz w:val="18"/>
                <w:szCs w:val="18"/>
              </w:rPr>
              <w:t>生活废水经化粪池预处理后排入园区污水管网，进入松木污水处理厂处理，处理达标后排</w:t>
            </w:r>
            <w:r>
              <w:rPr>
                <w:rFonts w:cs="Times New Roman"/>
                <w:bCs/>
                <w:kern w:val="0"/>
                <w:sz w:val="18"/>
                <w:szCs w:val="18"/>
              </w:rPr>
              <w:t>入湘江。</w:t>
            </w:r>
          </w:p>
        </w:tc>
        <w:tc>
          <w:tcPr>
            <w:tcW w:w="671" w:type="pct"/>
            <w:vMerge w:val="restart"/>
            <w:vAlign w:val="center"/>
          </w:tcPr>
          <w:p w14:paraId="01CEF67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49AFE7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1FEBD090">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F7829DA">
            <w:pPr>
              <w:widowControl/>
              <w:snapToGrid w:val="0"/>
              <w:spacing w:line="240" w:lineRule="auto"/>
              <w:ind w:firstLine="0" w:firstLineChars="0"/>
              <w:jc w:val="center"/>
              <w:rPr>
                <w:rFonts w:cs="Times New Roman"/>
                <w:bCs/>
                <w:kern w:val="0"/>
                <w:sz w:val="18"/>
                <w:szCs w:val="18"/>
              </w:rPr>
            </w:pPr>
          </w:p>
        </w:tc>
        <w:tc>
          <w:tcPr>
            <w:tcW w:w="199" w:type="pct"/>
            <w:vAlign w:val="center"/>
          </w:tcPr>
          <w:p w14:paraId="47E40AF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5B45A40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氰、烟尘</w:t>
            </w:r>
          </w:p>
        </w:tc>
        <w:tc>
          <w:tcPr>
            <w:tcW w:w="417" w:type="pct"/>
            <w:vAlign w:val="center"/>
          </w:tcPr>
          <w:p w14:paraId="5B3D8B4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33ECC0C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电解含氰废气先通过冷却系统进行冷却，冷却后的废气采用两级喷淋（焦亚硫酸钠+双氧水）+锌丝吸金法处理，最后经过气水分离，经由 30m 排气筒外排；烘干废气经管道收集抽到含氰废气处理塔中处理后通过两级喷淋（焦亚硫酸钠+双氧水）+锌丝吸金法处理 30m 排气筒外排；再生金粉中频熔炉烟尘通过负压收集抽至综合废气吸收塔通过双氧水喷淋处理后通过28m 排气筒外排</w:t>
            </w:r>
          </w:p>
        </w:tc>
        <w:tc>
          <w:tcPr>
            <w:tcW w:w="671" w:type="pct"/>
            <w:vMerge w:val="continue"/>
            <w:vAlign w:val="center"/>
          </w:tcPr>
          <w:p w14:paraId="6B4E5C89">
            <w:pPr>
              <w:widowControl/>
              <w:snapToGrid w:val="0"/>
              <w:spacing w:line="240" w:lineRule="auto"/>
              <w:ind w:firstLine="0" w:firstLineChars="0"/>
              <w:jc w:val="center"/>
              <w:rPr>
                <w:rFonts w:cs="Times New Roman"/>
                <w:bCs/>
                <w:kern w:val="0"/>
                <w:sz w:val="18"/>
                <w:szCs w:val="18"/>
              </w:rPr>
            </w:pPr>
          </w:p>
        </w:tc>
      </w:tr>
      <w:tr w14:paraId="74FDFE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2F201D7">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AC8495F">
            <w:pPr>
              <w:widowControl/>
              <w:snapToGrid w:val="0"/>
              <w:spacing w:line="240" w:lineRule="auto"/>
              <w:ind w:firstLine="0" w:firstLineChars="0"/>
              <w:jc w:val="center"/>
              <w:rPr>
                <w:rFonts w:cs="Times New Roman"/>
                <w:bCs/>
                <w:kern w:val="0"/>
                <w:sz w:val="18"/>
                <w:szCs w:val="18"/>
              </w:rPr>
            </w:pPr>
          </w:p>
        </w:tc>
        <w:tc>
          <w:tcPr>
            <w:tcW w:w="199" w:type="pct"/>
            <w:vAlign w:val="center"/>
          </w:tcPr>
          <w:p w14:paraId="794CF9D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5669101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1FFAC60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4.8t/a</w:t>
            </w:r>
          </w:p>
        </w:tc>
        <w:tc>
          <w:tcPr>
            <w:tcW w:w="2893" w:type="pct"/>
            <w:vAlign w:val="center"/>
          </w:tcPr>
          <w:p w14:paraId="3B8ABFF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废反渗透膜由厂家回收处置；废包装材料及生活垃圾交由环卫部门进行处理</w:t>
            </w:r>
          </w:p>
        </w:tc>
        <w:tc>
          <w:tcPr>
            <w:tcW w:w="671" w:type="pct"/>
            <w:vMerge w:val="continue"/>
            <w:vAlign w:val="center"/>
          </w:tcPr>
          <w:p w14:paraId="361714E1">
            <w:pPr>
              <w:widowControl/>
              <w:snapToGrid w:val="0"/>
              <w:spacing w:line="240" w:lineRule="auto"/>
              <w:ind w:firstLine="0" w:firstLineChars="0"/>
              <w:jc w:val="center"/>
              <w:rPr>
                <w:rFonts w:cs="Times New Roman"/>
                <w:bCs/>
                <w:kern w:val="0"/>
                <w:sz w:val="18"/>
                <w:szCs w:val="18"/>
              </w:rPr>
            </w:pPr>
          </w:p>
        </w:tc>
      </w:tr>
      <w:tr w14:paraId="33BF26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65FD816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36</w:t>
            </w:r>
          </w:p>
          <w:p w14:paraId="4CF3743F">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2C1ED61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湖南衡阳新澧化工有限公司</w:t>
            </w:r>
          </w:p>
        </w:tc>
        <w:tc>
          <w:tcPr>
            <w:tcW w:w="199" w:type="pct"/>
            <w:vAlign w:val="center"/>
          </w:tcPr>
          <w:p w14:paraId="7C71882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21119F2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COD、SS、氨氮</w:t>
            </w:r>
          </w:p>
        </w:tc>
        <w:tc>
          <w:tcPr>
            <w:tcW w:w="417" w:type="pct"/>
            <w:vAlign w:val="center"/>
          </w:tcPr>
          <w:p w14:paraId="409A789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23000 m</w:t>
            </w:r>
            <w:r>
              <w:rPr>
                <w:rFonts w:cs="Times New Roman"/>
                <w:bCs/>
                <w:kern w:val="0"/>
                <w:position w:val="8"/>
                <w:sz w:val="18"/>
                <w:szCs w:val="18"/>
              </w:rPr>
              <w:t>3</w:t>
            </w:r>
            <w:r>
              <w:rPr>
                <w:rFonts w:cs="Times New Roman"/>
                <w:bCs/>
                <w:kern w:val="0"/>
                <w:sz w:val="18"/>
                <w:szCs w:val="18"/>
              </w:rPr>
              <w:t>/a</w:t>
            </w:r>
          </w:p>
        </w:tc>
        <w:tc>
          <w:tcPr>
            <w:tcW w:w="2893" w:type="pct"/>
            <w:vAlign w:val="center"/>
          </w:tcPr>
          <w:p w14:paraId="7E17E7E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生产废水返回矿井溶硝不外排；</w:t>
            </w:r>
          </w:p>
          <w:p w14:paraId="73647D9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生活污水经化粪池预处理达标后经厂区污水排口进入湘江</w:t>
            </w:r>
          </w:p>
        </w:tc>
        <w:tc>
          <w:tcPr>
            <w:tcW w:w="671" w:type="pct"/>
            <w:vMerge w:val="restart"/>
            <w:vAlign w:val="center"/>
          </w:tcPr>
          <w:p w14:paraId="3E5E22A8">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锅炉尾气安装在线监测系统并接入市局监控平台</w:t>
            </w:r>
          </w:p>
        </w:tc>
      </w:tr>
      <w:tr w14:paraId="21B66F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1CA76E2">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46E829F">
            <w:pPr>
              <w:widowControl/>
              <w:snapToGrid w:val="0"/>
              <w:spacing w:line="240" w:lineRule="auto"/>
              <w:ind w:firstLine="0" w:firstLineChars="0"/>
              <w:jc w:val="center"/>
              <w:rPr>
                <w:rFonts w:cs="Times New Roman"/>
                <w:bCs/>
                <w:kern w:val="0"/>
                <w:sz w:val="18"/>
                <w:szCs w:val="18"/>
              </w:rPr>
            </w:pPr>
          </w:p>
        </w:tc>
        <w:tc>
          <w:tcPr>
            <w:tcW w:w="199" w:type="pct"/>
            <w:vAlign w:val="center"/>
          </w:tcPr>
          <w:p w14:paraId="3B11A5C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3BE7B9E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NOx、粉尘、SO</w:t>
            </w:r>
            <w:r>
              <w:rPr>
                <w:rFonts w:cs="Times New Roman"/>
                <w:bCs/>
                <w:kern w:val="0"/>
                <w:sz w:val="18"/>
                <w:szCs w:val="18"/>
                <w:vertAlign w:val="subscript"/>
              </w:rPr>
              <w:t>2</w:t>
            </w:r>
          </w:p>
        </w:tc>
        <w:tc>
          <w:tcPr>
            <w:tcW w:w="417" w:type="pct"/>
            <w:vAlign w:val="center"/>
          </w:tcPr>
          <w:p w14:paraId="697197C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140600m</w:t>
            </w:r>
            <w:r>
              <w:rPr>
                <w:rFonts w:cs="Times New Roman"/>
                <w:bCs/>
                <w:kern w:val="0"/>
                <w:position w:val="8"/>
                <w:sz w:val="18"/>
                <w:szCs w:val="18"/>
              </w:rPr>
              <w:t>3</w:t>
            </w:r>
            <w:r>
              <w:rPr>
                <w:rFonts w:cs="Times New Roman"/>
                <w:bCs/>
                <w:kern w:val="0"/>
                <w:sz w:val="18"/>
                <w:szCs w:val="18"/>
              </w:rPr>
              <w:t>/h</w:t>
            </w:r>
          </w:p>
        </w:tc>
        <w:tc>
          <w:tcPr>
            <w:tcW w:w="2893" w:type="pct"/>
            <w:vAlign w:val="center"/>
          </w:tcPr>
          <w:p w14:paraId="5C9B898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燃煤锅炉烟气采用石灰石脱硫+SNCR 脱硝+</w:t>
            </w:r>
            <w:r>
              <w:rPr>
                <w:rFonts w:cs="Times New Roman"/>
                <w:bCs/>
                <w:spacing w:val="-10"/>
                <w:kern w:val="0"/>
                <w:sz w:val="18"/>
                <w:szCs w:val="18"/>
              </w:rPr>
              <w:t xml:space="preserve">布袋除尘器进行处理，处理后经 </w:t>
            </w:r>
            <w:r>
              <w:rPr>
                <w:rFonts w:cs="Times New Roman"/>
                <w:bCs/>
                <w:kern w:val="0"/>
                <w:sz w:val="18"/>
                <w:szCs w:val="18"/>
              </w:rPr>
              <w:t>100m 排气筒排放；干燥工序产生粉尘采用旋风除尘+水喷淋处理后经 30m 排气筒排放；包装粉尘经布袋收尘后排放</w:t>
            </w:r>
          </w:p>
        </w:tc>
        <w:tc>
          <w:tcPr>
            <w:tcW w:w="671" w:type="pct"/>
            <w:vMerge w:val="continue"/>
            <w:vAlign w:val="center"/>
          </w:tcPr>
          <w:p w14:paraId="624F2A43">
            <w:pPr>
              <w:widowControl/>
              <w:snapToGrid w:val="0"/>
              <w:spacing w:line="240" w:lineRule="auto"/>
              <w:ind w:firstLine="0" w:firstLineChars="0"/>
              <w:jc w:val="center"/>
              <w:rPr>
                <w:rFonts w:cs="Times New Roman"/>
                <w:bCs/>
                <w:kern w:val="0"/>
                <w:sz w:val="18"/>
                <w:szCs w:val="18"/>
              </w:rPr>
            </w:pPr>
          </w:p>
        </w:tc>
      </w:tr>
      <w:tr w14:paraId="0B3113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44A4F3D4">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CBBCC15">
            <w:pPr>
              <w:widowControl/>
              <w:snapToGrid w:val="0"/>
              <w:spacing w:line="240" w:lineRule="auto"/>
              <w:ind w:firstLine="0" w:firstLineChars="0"/>
              <w:jc w:val="center"/>
              <w:rPr>
                <w:rFonts w:cs="Times New Roman"/>
                <w:bCs/>
                <w:kern w:val="0"/>
                <w:sz w:val="18"/>
                <w:szCs w:val="18"/>
              </w:rPr>
            </w:pPr>
          </w:p>
        </w:tc>
        <w:tc>
          <w:tcPr>
            <w:tcW w:w="199" w:type="pct"/>
            <w:vAlign w:val="center"/>
          </w:tcPr>
          <w:p w14:paraId="38B952B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11F904D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53F29ED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29889t/a</w:t>
            </w:r>
          </w:p>
        </w:tc>
        <w:tc>
          <w:tcPr>
            <w:tcW w:w="2893" w:type="pct"/>
            <w:vAlign w:val="center"/>
          </w:tcPr>
          <w:p w14:paraId="4CB6625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生活垃圾交由环卫部门进行处理；废矿石暂存于排土场，拟外售综合利用； 煤渣外售至水泥厂综合利用；干燥及包装粉尘经收集后回溶至原硝水中作原料</w:t>
            </w:r>
          </w:p>
        </w:tc>
        <w:tc>
          <w:tcPr>
            <w:tcW w:w="671" w:type="pct"/>
            <w:vMerge w:val="continue"/>
            <w:vAlign w:val="center"/>
          </w:tcPr>
          <w:p w14:paraId="3902C836">
            <w:pPr>
              <w:widowControl/>
              <w:snapToGrid w:val="0"/>
              <w:spacing w:line="240" w:lineRule="auto"/>
              <w:ind w:firstLine="0" w:firstLineChars="0"/>
              <w:jc w:val="center"/>
              <w:rPr>
                <w:rFonts w:cs="Times New Roman"/>
                <w:bCs/>
                <w:kern w:val="0"/>
                <w:sz w:val="18"/>
                <w:szCs w:val="18"/>
              </w:rPr>
            </w:pPr>
          </w:p>
        </w:tc>
      </w:tr>
      <w:tr w14:paraId="331166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7F3C595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37</w:t>
            </w:r>
          </w:p>
          <w:p w14:paraId="6D042F45">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0A073E6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衡阳瑞达电源有限公司</w:t>
            </w:r>
          </w:p>
        </w:tc>
        <w:tc>
          <w:tcPr>
            <w:tcW w:w="199" w:type="pct"/>
            <w:vAlign w:val="center"/>
          </w:tcPr>
          <w:p w14:paraId="7DB5652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17E641B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pH</w:t>
            </w:r>
            <w:r>
              <w:rPr>
                <w:rFonts w:cs="Times New Roman"/>
                <w:bCs/>
                <w:spacing w:val="-27"/>
                <w:kern w:val="0"/>
                <w:sz w:val="18"/>
                <w:szCs w:val="18"/>
              </w:rPr>
              <w:t>、</w:t>
            </w:r>
            <w:r>
              <w:rPr>
                <w:rFonts w:cs="Times New Roman"/>
                <w:bCs/>
                <w:kern w:val="0"/>
                <w:sz w:val="18"/>
                <w:szCs w:val="18"/>
              </w:rPr>
              <w:t>SS</w:t>
            </w:r>
            <w:r>
              <w:rPr>
                <w:rFonts w:cs="Times New Roman"/>
                <w:bCs/>
                <w:spacing w:val="-27"/>
                <w:kern w:val="0"/>
                <w:sz w:val="18"/>
                <w:szCs w:val="18"/>
              </w:rPr>
              <w:t>、</w:t>
            </w:r>
            <w:r>
              <w:rPr>
                <w:rFonts w:cs="Times New Roman"/>
                <w:bCs/>
                <w:kern w:val="0"/>
                <w:sz w:val="18"/>
                <w:szCs w:val="18"/>
              </w:rPr>
              <w:t>COD</w:t>
            </w:r>
            <w:r>
              <w:rPr>
                <w:rFonts w:cs="Times New Roman"/>
                <w:bCs/>
                <w:spacing w:val="-10"/>
                <w:kern w:val="0"/>
                <w:sz w:val="18"/>
                <w:szCs w:val="18"/>
              </w:rPr>
              <w:t>、铅、酸</w:t>
            </w:r>
          </w:p>
        </w:tc>
        <w:tc>
          <w:tcPr>
            <w:tcW w:w="417" w:type="pct"/>
            <w:vAlign w:val="center"/>
          </w:tcPr>
          <w:p w14:paraId="3BB64AD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29170m</w:t>
            </w:r>
            <w:r>
              <w:rPr>
                <w:rFonts w:cs="Times New Roman"/>
                <w:bCs/>
                <w:kern w:val="0"/>
                <w:position w:val="8"/>
                <w:sz w:val="18"/>
                <w:szCs w:val="18"/>
              </w:rPr>
              <w:t>3</w:t>
            </w:r>
            <w:r>
              <w:rPr>
                <w:rFonts w:cs="Times New Roman"/>
                <w:bCs/>
                <w:kern w:val="0"/>
                <w:sz w:val="18"/>
                <w:szCs w:val="18"/>
              </w:rPr>
              <w:t>/a</w:t>
            </w:r>
          </w:p>
        </w:tc>
        <w:tc>
          <w:tcPr>
            <w:tcW w:w="2893" w:type="pct"/>
            <w:vAlign w:val="center"/>
          </w:tcPr>
          <w:p w14:paraId="68935F23">
            <w:pPr>
              <w:widowControl/>
              <w:snapToGrid w:val="0"/>
              <w:spacing w:line="240" w:lineRule="auto"/>
              <w:ind w:firstLine="0" w:firstLineChars="0"/>
              <w:jc w:val="center"/>
              <w:rPr>
                <w:rFonts w:cs="Times New Roman"/>
                <w:bCs/>
                <w:kern w:val="0"/>
                <w:sz w:val="18"/>
                <w:szCs w:val="18"/>
              </w:rPr>
            </w:pPr>
            <w:r>
              <w:rPr>
                <w:rFonts w:cs="Times New Roman"/>
                <w:bCs/>
                <w:spacing w:val="-13"/>
                <w:kern w:val="0"/>
                <w:sz w:val="18"/>
                <w:szCs w:val="18"/>
              </w:rPr>
              <w:t>涂膏、化成工序和设备冲洗、地面冲洗等生产废水经厂区污水处理站处理达标后排入园区</w:t>
            </w:r>
            <w:r>
              <w:rPr>
                <w:rFonts w:cs="Times New Roman"/>
                <w:bCs/>
                <w:spacing w:val="-2"/>
                <w:kern w:val="0"/>
                <w:sz w:val="18"/>
                <w:szCs w:val="18"/>
              </w:rPr>
              <w:t>污水管网，进入松木污水处理厂进行处理，厂区污水处理站采用</w:t>
            </w:r>
            <w:r>
              <w:rPr>
                <w:rFonts w:cs="Times New Roman"/>
                <w:bCs/>
                <w:kern w:val="0"/>
                <w:sz w:val="18"/>
                <w:szCs w:val="18"/>
              </w:rPr>
              <w:t>“隔油沉淀+混凝沉淀+</w:t>
            </w:r>
            <w:r>
              <w:rPr>
                <w:rFonts w:cs="Times New Roman"/>
                <w:bCs/>
                <w:spacing w:val="-16"/>
                <w:kern w:val="0"/>
                <w:sz w:val="18"/>
                <w:szCs w:val="18"/>
              </w:rPr>
              <w:t>砂</w:t>
            </w:r>
            <w:r>
              <w:rPr>
                <w:rFonts w:cs="Times New Roman"/>
                <w:bCs/>
                <w:kern w:val="0"/>
                <w:sz w:val="18"/>
                <w:szCs w:val="18"/>
              </w:rPr>
              <w:t>滤”工艺；</w:t>
            </w:r>
            <w:r>
              <w:rPr>
                <w:rFonts w:cs="Times New Roman"/>
                <w:bCs/>
                <w:spacing w:val="-5"/>
                <w:kern w:val="0"/>
                <w:sz w:val="18"/>
                <w:szCs w:val="18"/>
              </w:rPr>
              <w:t>生活污水经化粪池预处理后进入经开区污水管网，最终经松木污水处理厂处理达标后排至</w:t>
            </w:r>
            <w:r>
              <w:rPr>
                <w:rFonts w:cs="Times New Roman"/>
                <w:bCs/>
                <w:kern w:val="0"/>
                <w:sz w:val="18"/>
                <w:szCs w:val="18"/>
              </w:rPr>
              <w:t>湘江；</w:t>
            </w:r>
          </w:p>
        </w:tc>
        <w:tc>
          <w:tcPr>
            <w:tcW w:w="671" w:type="pct"/>
            <w:vMerge w:val="restart"/>
            <w:vAlign w:val="center"/>
          </w:tcPr>
          <w:p w14:paraId="0D9602FF">
            <w:pPr>
              <w:widowControl/>
              <w:snapToGrid w:val="0"/>
              <w:spacing w:line="240" w:lineRule="auto"/>
              <w:ind w:firstLine="0" w:firstLineChars="0"/>
              <w:jc w:val="center"/>
              <w:rPr>
                <w:rFonts w:cs="Times New Roman"/>
                <w:bCs/>
                <w:spacing w:val="-13"/>
                <w:kern w:val="0"/>
                <w:sz w:val="18"/>
                <w:szCs w:val="18"/>
              </w:rPr>
            </w:pPr>
            <w:r>
              <w:rPr>
                <w:rFonts w:cs="Times New Roman"/>
                <w:kern w:val="0"/>
                <w:sz w:val="18"/>
                <w:szCs w:val="18"/>
              </w:rPr>
              <w:t>后期雨水排放监控池、流量计、视频监控、总铅在线监测仪及监控站房</w:t>
            </w:r>
          </w:p>
        </w:tc>
      </w:tr>
      <w:tr w14:paraId="3CF4F6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67E7C81">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9C1B0DD">
            <w:pPr>
              <w:widowControl/>
              <w:snapToGrid w:val="0"/>
              <w:spacing w:line="240" w:lineRule="auto"/>
              <w:ind w:firstLine="0" w:firstLineChars="0"/>
              <w:jc w:val="center"/>
              <w:rPr>
                <w:rFonts w:cs="Times New Roman"/>
                <w:bCs/>
                <w:kern w:val="0"/>
                <w:sz w:val="18"/>
                <w:szCs w:val="18"/>
              </w:rPr>
            </w:pPr>
          </w:p>
        </w:tc>
        <w:tc>
          <w:tcPr>
            <w:tcW w:w="199" w:type="pct"/>
            <w:vAlign w:val="center"/>
          </w:tcPr>
          <w:p w14:paraId="7E7304F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4E0641A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铅尘、硫酸雾</w:t>
            </w:r>
          </w:p>
        </w:tc>
        <w:tc>
          <w:tcPr>
            <w:tcW w:w="417" w:type="pct"/>
            <w:vAlign w:val="center"/>
          </w:tcPr>
          <w:p w14:paraId="62F75D7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546BFCC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铅尘采用一级布袋除尘+一级水喷淋处理方法处理后经 18m 排气筒排放（共 5 个）；</w:t>
            </w:r>
          </w:p>
          <w:p w14:paraId="53AE097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硫酸雾采用物理捕捉+碱液吸收的逆流洗涤方法处理后经 15m 排气筒排放</w:t>
            </w:r>
          </w:p>
        </w:tc>
        <w:tc>
          <w:tcPr>
            <w:tcW w:w="671" w:type="pct"/>
            <w:vMerge w:val="continue"/>
            <w:vAlign w:val="center"/>
          </w:tcPr>
          <w:p w14:paraId="045E9068">
            <w:pPr>
              <w:widowControl/>
              <w:snapToGrid w:val="0"/>
              <w:spacing w:line="240" w:lineRule="auto"/>
              <w:ind w:firstLine="0" w:firstLineChars="0"/>
              <w:jc w:val="center"/>
              <w:rPr>
                <w:rFonts w:cs="Times New Roman"/>
                <w:bCs/>
                <w:kern w:val="0"/>
                <w:sz w:val="18"/>
                <w:szCs w:val="18"/>
              </w:rPr>
            </w:pPr>
          </w:p>
        </w:tc>
      </w:tr>
      <w:tr w14:paraId="35BC4F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74832753">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7FAA56F">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4D12E7F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6130F9E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3B4EA4D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80t/a</w:t>
            </w:r>
          </w:p>
        </w:tc>
        <w:tc>
          <w:tcPr>
            <w:tcW w:w="2893" w:type="pct"/>
            <w:vMerge w:val="restart"/>
            <w:vAlign w:val="center"/>
          </w:tcPr>
          <w:p w14:paraId="5C4C041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对于铅渣、铅泥、铅膏、铅尘、废水处理站污泥、废弃劳保用品等危险废物，公司采用统一收集后委托资质单位进行处理；废酸由供应商进行回收处置；生活垃圾交由环卫部门进行处理</w:t>
            </w:r>
          </w:p>
        </w:tc>
        <w:tc>
          <w:tcPr>
            <w:tcW w:w="671" w:type="pct"/>
            <w:vMerge w:val="continue"/>
            <w:vAlign w:val="center"/>
          </w:tcPr>
          <w:p w14:paraId="410564DD">
            <w:pPr>
              <w:widowControl/>
              <w:snapToGrid w:val="0"/>
              <w:spacing w:line="240" w:lineRule="auto"/>
              <w:ind w:firstLine="0" w:firstLineChars="0"/>
              <w:jc w:val="center"/>
              <w:rPr>
                <w:rFonts w:cs="Times New Roman"/>
                <w:bCs/>
                <w:kern w:val="0"/>
                <w:sz w:val="18"/>
                <w:szCs w:val="18"/>
              </w:rPr>
            </w:pPr>
          </w:p>
        </w:tc>
      </w:tr>
      <w:tr w14:paraId="23267B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C618D00">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43050C7">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02F388EA">
            <w:pPr>
              <w:widowControl/>
              <w:snapToGrid w:val="0"/>
              <w:spacing w:line="240" w:lineRule="auto"/>
              <w:ind w:firstLine="0" w:firstLineChars="0"/>
              <w:jc w:val="center"/>
              <w:rPr>
                <w:rFonts w:cs="Times New Roman"/>
                <w:bCs/>
                <w:kern w:val="0"/>
                <w:sz w:val="18"/>
                <w:szCs w:val="18"/>
              </w:rPr>
            </w:pPr>
          </w:p>
        </w:tc>
        <w:tc>
          <w:tcPr>
            <w:tcW w:w="485" w:type="pct"/>
            <w:vAlign w:val="center"/>
          </w:tcPr>
          <w:p w14:paraId="3D8ABE8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危险废物</w:t>
            </w:r>
          </w:p>
        </w:tc>
        <w:tc>
          <w:tcPr>
            <w:tcW w:w="417" w:type="pct"/>
            <w:vAlign w:val="center"/>
          </w:tcPr>
          <w:p w14:paraId="300DE49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293.29t/a</w:t>
            </w:r>
          </w:p>
        </w:tc>
        <w:tc>
          <w:tcPr>
            <w:tcW w:w="2893" w:type="pct"/>
            <w:vMerge w:val="continue"/>
            <w:vAlign w:val="center"/>
          </w:tcPr>
          <w:p w14:paraId="6E403735">
            <w:pPr>
              <w:widowControl/>
              <w:snapToGrid w:val="0"/>
              <w:spacing w:line="240" w:lineRule="auto"/>
              <w:ind w:firstLine="0" w:firstLineChars="0"/>
              <w:jc w:val="center"/>
              <w:rPr>
                <w:rFonts w:cs="Times New Roman"/>
                <w:bCs/>
                <w:kern w:val="0"/>
                <w:sz w:val="18"/>
                <w:szCs w:val="18"/>
              </w:rPr>
            </w:pPr>
          </w:p>
        </w:tc>
        <w:tc>
          <w:tcPr>
            <w:tcW w:w="671" w:type="pct"/>
            <w:vMerge w:val="continue"/>
            <w:vAlign w:val="center"/>
          </w:tcPr>
          <w:p w14:paraId="7CD643D3">
            <w:pPr>
              <w:widowControl/>
              <w:snapToGrid w:val="0"/>
              <w:spacing w:line="240" w:lineRule="auto"/>
              <w:ind w:firstLine="0" w:firstLineChars="0"/>
              <w:jc w:val="center"/>
              <w:rPr>
                <w:rFonts w:cs="Times New Roman"/>
                <w:bCs/>
                <w:kern w:val="0"/>
                <w:sz w:val="18"/>
                <w:szCs w:val="18"/>
              </w:rPr>
            </w:pPr>
          </w:p>
        </w:tc>
      </w:tr>
      <w:tr w14:paraId="4F5269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53B5D4D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38</w:t>
            </w:r>
          </w:p>
          <w:p w14:paraId="71D9117E">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1A5BB4C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衡阳瑞科电源有限公司</w:t>
            </w:r>
          </w:p>
        </w:tc>
        <w:tc>
          <w:tcPr>
            <w:tcW w:w="199" w:type="pct"/>
            <w:vAlign w:val="center"/>
          </w:tcPr>
          <w:p w14:paraId="0E04B6B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2B27F7F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pH、COD、SS、氨氮</w:t>
            </w:r>
          </w:p>
        </w:tc>
        <w:tc>
          <w:tcPr>
            <w:tcW w:w="417" w:type="pct"/>
            <w:vAlign w:val="center"/>
          </w:tcPr>
          <w:p w14:paraId="088767F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1656 m</w:t>
            </w:r>
            <w:r>
              <w:rPr>
                <w:rFonts w:cs="Times New Roman"/>
                <w:bCs/>
                <w:kern w:val="0"/>
                <w:position w:val="8"/>
                <w:sz w:val="18"/>
                <w:szCs w:val="18"/>
              </w:rPr>
              <w:t>3</w:t>
            </w:r>
            <w:r>
              <w:rPr>
                <w:rFonts w:cs="Times New Roman"/>
                <w:bCs/>
                <w:kern w:val="0"/>
                <w:sz w:val="18"/>
                <w:szCs w:val="18"/>
              </w:rPr>
              <w:t>/a</w:t>
            </w:r>
          </w:p>
        </w:tc>
        <w:tc>
          <w:tcPr>
            <w:tcW w:w="2893" w:type="pct"/>
            <w:vAlign w:val="center"/>
          </w:tcPr>
          <w:p w14:paraId="7064124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洗手废水、地面冲洗废水经三级过滤后排至清水池循环利用；生活污水化粪池处理后经经开区污水管网进入松木污水处理厂进行处理</w:t>
            </w:r>
          </w:p>
        </w:tc>
        <w:tc>
          <w:tcPr>
            <w:tcW w:w="671" w:type="pct"/>
            <w:vMerge w:val="restart"/>
            <w:vAlign w:val="center"/>
          </w:tcPr>
          <w:p w14:paraId="1A8D2A9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43684C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75000109">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10F25BE">
            <w:pPr>
              <w:widowControl/>
              <w:snapToGrid w:val="0"/>
              <w:spacing w:line="240" w:lineRule="auto"/>
              <w:ind w:firstLine="0" w:firstLineChars="0"/>
              <w:jc w:val="center"/>
              <w:rPr>
                <w:rFonts w:cs="Times New Roman"/>
                <w:bCs/>
                <w:kern w:val="0"/>
                <w:sz w:val="18"/>
                <w:szCs w:val="18"/>
              </w:rPr>
            </w:pPr>
          </w:p>
        </w:tc>
        <w:tc>
          <w:tcPr>
            <w:tcW w:w="199" w:type="pct"/>
            <w:vAlign w:val="center"/>
          </w:tcPr>
          <w:p w14:paraId="7E7DC65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43168C69">
            <w:pPr>
              <w:widowControl/>
              <w:snapToGrid w:val="0"/>
              <w:spacing w:line="240" w:lineRule="auto"/>
              <w:ind w:firstLine="0" w:firstLineChars="0"/>
              <w:jc w:val="center"/>
              <w:rPr>
                <w:rFonts w:cs="Times New Roman"/>
                <w:bCs/>
                <w:kern w:val="0"/>
                <w:sz w:val="18"/>
                <w:szCs w:val="18"/>
              </w:rPr>
            </w:pPr>
            <w:r>
              <w:rPr>
                <w:rFonts w:cs="Times New Roman"/>
                <w:bCs/>
                <w:spacing w:val="-13"/>
                <w:kern w:val="0"/>
                <w:sz w:val="18"/>
                <w:szCs w:val="18"/>
              </w:rPr>
              <w:t>铅烟、铅尘、硫酸雾</w:t>
            </w:r>
          </w:p>
        </w:tc>
        <w:tc>
          <w:tcPr>
            <w:tcW w:w="417" w:type="pct"/>
            <w:vAlign w:val="center"/>
          </w:tcPr>
          <w:p w14:paraId="2201D01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14400000</w:t>
            </w:r>
          </w:p>
          <w:p w14:paraId="5FFD131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m</w:t>
            </w:r>
            <w:r>
              <w:rPr>
                <w:rFonts w:cs="Times New Roman"/>
                <w:bCs/>
                <w:kern w:val="0"/>
                <w:position w:val="8"/>
                <w:sz w:val="18"/>
                <w:szCs w:val="18"/>
              </w:rPr>
              <w:t>3</w:t>
            </w:r>
            <w:r>
              <w:rPr>
                <w:rFonts w:cs="Times New Roman"/>
                <w:bCs/>
                <w:kern w:val="0"/>
                <w:sz w:val="18"/>
                <w:szCs w:val="18"/>
              </w:rPr>
              <w:t>/a</w:t>
            </w:r>
          </w:p>
        </w:tc>
        <w:tc>
          <w:tcPr>
            <w:tcW w:w="2893" w:type="pct"/>
            <w:vAlign w:val="center"/>
          </w:tcPr>
          <w:p w14:paraId="778357D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焊接烟气及包极组、装壳过程中产生的铅尘经吸尘罩+HKE 铅烟净化处理装置+活性炭进行处理后经 25m 排气筒排放；硫酸雾采用酸雾收集中和装置进行处理后外排</w:t>
            </w:r>
          </w:p>
        </w:tc>
        <w:tc>
          <w:tcPr>
            <w:tcW w:w="671" w:type="pct"/>
            <w:vMerge w:val="continue"/>
            <w:vAlign w:val="center"/>
          </w:tcPr>
          <w:p w14:paraId="4FEFA79C">
            <w:pPr>
              <w:widowControl/>
              <w:snapToGrid w:val="0"/>
              <w:spacing w:line="240" w:lineRule="auto"/>
              <w:ind w:firstLine="0" w:firstLineChars="0"/>
              <w:jc w:val="center"/>
              <w:rPr>
                <w:rFonts w:cs="Times New Roman"/>
                <w:bCs/>
                <w:kern w:val="0"/>
                <w:sz w:val="18"/>
                <w:szCs w:val="18"/>
              </w:rPr>
            </w:pPr>
          </w:p>
        </w:tc>
      </w:tr>
      <w:tr w14:paraId="08710D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4192532F">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4C82BF0">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4D52CE9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2A16191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6E2D7D0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2.5t/a</w:t>
            </w:r>
          </w:p>
        </w:tc>
        <w:tc>
          <w:tcPr>
            <w:tcW w:w="2893" w:type="pct"/>
            <w:vMerge w:val="restart"/>
            <w:vAlign w:val="center"/>
          </w:tcPr>
          <w:p w14:paraId="4F7BB32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生活垃圾交由环卫部门进行处理；</w:t>
            </w:r>
          </w:p>
          <w:p w14:paraId="5555406C">
            <w:pPr>
              <w:widowControl/>
              <w:snapToGrid w:val="0"/>
              <w:spacing w:line="240" w:lineRule="auto"/>
              <w:ind w:firstLine="0" w:firstLineChars="0"/>
              <w:jc w:val="center"/>
              <w:rPr>
                <w:rFonts w:cs="Times New Roman"/>
                <w:bCs/>
                <w:kern w:val="0"/>
                <w:sz w:val="18"/>
                <w:szCs w:val="18"/>
              </w:rPr>
            </w:pPr>
            <w:r>
              <w:rPr>
                <w:rFonts w:cs="Times New Roman"/>
                <w:bCs/>
                <w:spacing w:val="-1"/>
                <w:kern w:val="0"/>
                <w:sz w:val="18"/>
                <w:szCs w:val="18"/>
              </w:rPr>
              <w:t xml:space="preserve">铅尘、废活性炭、铅渣、废电池、废劳保用品等危险固废暂存于危废暂存库中进行存储， </w:t>
            </w:r>
            <w:r>
              <w:rPr>
                <w:rFonts w:cs="Times New Roman"/>
                <w:bCs/>
                <w:kern w:val="0"/>
                <w:sz w:val="18"/>
                <w:szCs w:val="18"/>
              </w:rPr>
              <w:t>达到一定数量后交由资质单位进行处理；离子交换树脂返回厂家进行处理</w:t>
            </w:r>
          </w:p>
        </w:tc>
        <w:tc>
          <w:tcPr>
            <w:tcW w:w="671" w:type="pct"/>
            <w:vMerge w:val="continue"/>
            <w:vAlign w:val="center"/>
          </w:tcPr>
          <w:p w14:paraId="4A7C43CA">
            <w:pPr>
              <w:widowControl/>
              <w:snapToGrid w:val="0"/>
              <w:spacing w:line="240" w:lineRule="auto"/>
              <w:ind w:firstLine="0" w:firstLineChars="0"/>
              <w:jc w:val="center"/>
              <w:rPr>
                <w:rFonts w:cs="Times New Roman"/>
                <w:bCs/>
                <w:spacing w:val="-1"/>
                <w:kern w:val="0"/>
                <w:sz w:val="18"/>
                <w:szCs w:val="18"/>
              </w:rPr>
            </w:pPr>
          </w:p>
        </w:tc>
      </w:tr>
      <w:tr w14:paraId="1EEDF6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4E5E0A3F">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5B8000E">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63CD68B5">
            <w:pPr>
              <w:widowControl/>
              <w:snapToGrid w:val="0"/>
              <w:spacing w:line="240" w:lineRule="auto"/>
              <w:ind w:firstLine="0" w:firstLineChars="0"/>
              <w:jc w:val="center"/>
              <w:rPr>
                <w:rFonts w:cs="Times New Roman"/>
                <w:bCs/>
                <w:kern w:val="0"/>
                <w:sz w:val="18"/>
                <w:szCs w:val="18"/>
              </w:rPr>
            </w:pPr>
          </w:p>
        </w:tc>
        <w:tc>
          <w:tcPr>
            <w:tcW w:w="485" w:type="pct"/>
            <w:vAlign w:val="center"/>
          </w:tcPr>
          <w:p w14:paraId="5935716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749E260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5.605t/a</w:t>
            </w:r>
          </w:p>
        </w:tc>
        <w:tc>
          <w:tcPr>
            <w:tcW w:w="2893" w:type="pct"/>
            <w:vMerge w:val="continue"/>
            <w:vAlign w:val="center"/>
          </w:tcPr>
          <w:p w14:paraId="0040583E">
            <w:pPr>
              <w:widowControl/>
              <w:snapToGrid w:val="0"/>
              <w:spacing w:line="240" w:lineRule="auto"/>
              <w:ind w:firstLine="0" w:firstLineChars="0"/>
              <w:jc w:val="center"/>
              <w:rPr>
                <w:rFonts w:cs="Times New Roman"/>
                <w:bCs/>
                <w:kern w:val="0"/>
                <w:sz w:val="18"/>
                <w:szCs w:val="18"/>
              </w:rPr>
            </w:pPr>
          </w:p>
        </w:tc>
        <w:tc>
          <w:tcPr>
            <w:tcW w:w="671" w:type="pct"/>
            <w:vMerge w:val="continue"/>
            <w:vAlign w:val="center"/>
          </w:tcPr>
          <w:p w14:paraId="579069A6">
            <w:pPr>
              <w:widowControl/>
              <w:snapToGrid w:val="0"/>
              <w:spacing w:line="240" w:lineRule="auto"/>
              <w:ind w:firstLine="0" w:firstLineChars="0"/>
              <w:jc w:val="center"/>
              <w:rPr>
                <w:rFonts w:cs="Times New Roman"/>
                <w:bCs/>
                <w:kern w:val="0"/>
                <w:sz w:val="18"/>
                <w:szCs w:val="18"/>
              </w:rPr>
            </w:pPr>
          </w:p>
        </w:tc>
      </w:tr>
      <w:tr w14:paraId="7404DC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74CA956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39</w:t>
            </w:r>
          </w:p>
          <w:p w14:paraId="00916E3F">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1B4C66A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衡阳市嘉励运动器材有限公司</w:t>
            </w:r>
          </w:p>
        </w:tc>
        <w:tc>
          <w:tcPr>
            <w:tcW w:w="199" w:type="pct"/>
            <w:vAlign w:val="center"/>
          </w:tcPr>
          <w:p w14:paraId="0E39E35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1639973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COD、SS、氨氮、石油类</w:t>
            </w:r>
          </w:p>
        </w:tc>
        <w:tc>
          <w:tcPr>
            <w:tcW w:w="417" w:type="pct"/>
            <w:vAlign w:val="center"/>
          </w:tcPr>
          <w:p w14:paraId="35472F9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13939.6 m</w:t>
            </w:r>
            <w:r>
              <w:rPr>
                <w:rFonts w:cs="Times New Roman"/>
                <w:bCs/>
                <w:kern w:val="0"/>
                <w:position w:val="8"/>
                <w:sz w:val="18"/>
                <w:szCs w:val="18"/>
              </w:rPr>
              <w:t>3</w:t>
            </w:r>
            <w:r>
              <w:rPr>
                <w:rFonts w:cs="Times New Roman"/>
                <w:bCs/>
                <w:kern w:val="0"/>
                <w:sz w:val="18"/>
                <w:szCs w:val="18"/>
              </w:rPr>
              <w:t>/a</w:t>
            </w:r>
          </w:p>
        </w:tc>
        <w:tc>
          <w:tcPr>
            <w:tcW w:w="2893" w:type="pct"/>
            <w:vAlign w:val="center"/>
          </w:tcPr>
          <w:p w14:paraId="748148F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生产废水、车间地面冲洗水经厂区污水处理站（采用隔油+絮凝沉淀处理工艺）进行处理后排入经开区污水管网，进入松木污水处理厂进行处理；</w:t>
            </w:r>
            <w:r>
              <w:rPr>
                <w:rFonts w:cs="Times New Roman"/>
                <w:bCs/>
                <w:spacing w:val="-4"/>
                <w:kern w:val="0"/>
                <w:sz w:val="18"/>
                <w:szCs w:val="18"/>
              </w:rPr>
              <w:t>生活污水经化粪池预处理后汇入总排口进入经开区污水管网，经松木污水处理厂处理达标</w:t>
            </w:r>
            <w:r>
              <w:rPr>
                <w:rFonts w:cs="Times New Roman"/>
                <w:bCs/>
                <w:kern w:val="0"/>
                <w:sz w:val="18"/>
                <w:szCs w:val="18"/>
              </w:rPr>
              <w:t>后排入湘江</w:t>
            </w:r>
          </w:p>
        </w:tc>
        <w:tc>
          <w:tcPr>
            <w:tcW w:w="671" w:type="pct"/>
            <w:vMerge w:val="restart"/>
            <w:vAlign w:val="center"/>
          </w:tcPr>
          <w:p w14:paraId="050BA64F">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后期雨水排放监控池、流量计、视频监控、pH、SS在线监测仪及监控站房</w:t>
            </w:r>
          </w:p>
        </w:tc>
      </w:tr>
      <w:tr w14:paraId="529118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188C4C30">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144AB56A">
            <w:pPr>
              <w:widowControl/>
              <w:snapToGrid w:val="0"/>
              <w:spacing w:line="240" w:lineRule="auto"/>
              <w:ind w:firstLine="0" w:firstLineChars="0"/>
              <w:jc w:val="center"/>
              <w:rPr>
                <w:rFonts w:cs="Times New Roman"/>
                <w:bCs/>
                <w:kern w:val="0"/>
                <w:sz w:val="18"/>
                <w:szCs w:val="18"/>
              </w:rPr>
            </w:pPr>
          </w:p>
        </w:tc>
        <w:tc>
          <w:tcPr>
            <w:tcW w:w="199" w:type="pct"/>
            <w:vAlign w:val="center"/>
          </w:tcPr>
          <w:p w14:paraId="1CE9FB7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067E0D8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VOC、氟化物、颗粒物</w:t>
            </w:r>
          </w:p>
        </w:tc>
        <w:tc>
          <w:tcPr>
            <w:tcW w:w="417" w:type="pct"/>
            <w:vAlign w:val="center"/>
          </w:tcPr>
          <w:p w14:paraId="4F40229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08A7DCC1">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浇注尾气通过除尘+喷淋处理后达标排放；打磨抛丸尾气通过除尘+喷淋处理后达标排放；钝化酸雾通过喷淋塔中和处理后达标排放；涂装废气通过水幕喷淋+活性炭吸附+UV光解处理后达标排放</w:t>
            </w:r>
          </w:p>
        </w:tc>
        <w:tc>
          <w:tcPr>
            <w:tcW w:w="671" w:type="pct"/>
            <w:vMerge w:val="continue"/>
            <w:vAlign w:val="center"/>
          </w:tcPr>
          <w:p w14:paraId="0F8C02F3">
            <w:pPr>
              <w:widowControl/>
              <w:snapToGrid w:val="0"/>
              <w:spacing w:line="240" w:lineRule="auto"/>
              <w:ind w:firstLine="0" w:firstLineChars="0"/>
              <w:jc w:val="center"/>
              <w:rPr>
                <w:rFonts w:cs="Times New Roman"/>
                <w:bCs/>
                <w:kern w:val="0"/>
                <w:sz w:val="18"/>
                <w:szCs w:val="18"/>
              </w:rPr>
            </w:pPr>
          </w:p>
        </w:tc>
      </w:tr>
      <w:tr w14:paraId="0FB4B3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7A7E460">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0DF06E3">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55CFE39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29CF626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13EFC9F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116.6t/a</w:t>
            </w:r>
          </w:p>
        </w:tc>
        <w:tc>
          <w:tcPr>
            <w:tcW w:w="2893" w:type="pct"/>
            <w:vMerge w:val="restart"/>
            <w:vAlign w:val="center"/>
          </w:tcPr>
          <w:p w14:paraId="02D7B57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 xml:space="preserve">生活垃圾交由环卫部门进行处理； 废坯壳、废合金料等一般固废外售 </w:t>
            </w:r>
            <w:r>
              <w:rPr>
                <w:rFonts w:cs="Times New Roman"/>
                <w:bCs/>
                <w:spacing w:val="-2"/>
                <w:kern w:val="0"/>
                <w:sz w:val="18"/>
                <w:szCs w:val="18"/>
              </w:rPr>
              <w:t>危化品包装袋由生产厂家进行回收；</w:t>
            </w:r>
            <w:r>
              <w:rPr>
                <w:rFonts w:cs="Times New Roman"/>
                <w:bCs/>
                <w:kern w:val="0"/>
                <w:sz w:val="18"/>
                <w:szCs w:val="18"/>
              </w:rPr>
              <w:t>除蜡、除油废液、脱模废液、废酸液、废活性炭等其他危险废物交由资质单位进行处理。</w:t>
            </w:r>
          </w:p>
        </w:tc>
        <w:tc>
          <w:tcPr>
            <w:tcW w:w="671" w:type="pct"/>
            <w:vMerge w:val="continue"/>
            <w:vAlign w:val="center"/>
          </w:tcPr>
          <w:p w14:paraId="00EB44E1">
            <w:pPr>
              <w:widowControl/>
              <w:snapToGrid w:val="0"/>
              <w:spacing w:line="240" w:lineRule="auto"/>
              <w:ind w:firstLine="0" w:firstLineChars="0"/>
              <w:jc w:val="center"/>
              <w:rPr>
                <w:rFonts w:cs="Times New Roman"/>
                <w:bCs/>
                <w:kern w:val="0"/>
                <w:sz w:val="18"/>
                <w:szCs w:val="18"/>
              </w:rPr>
            </w:pPr>
          </w:p>
        </w:tc>
      </w:tr>
      <w:tr w14:paraId="6CBEAB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493CB27F">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89AFDA3">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03608D46">
            <w:pPr>
              <w:widowControl/>
              <w:snapToGrid w:val="0"/>
              <w:spacing w:line="240" w:lineRule="auto"/>
              <w:ind w:firstLine="0" w:firstLineChars="0"/>
              <w:jc w:val="center"/>
              <w:rPr>
                <w:rFonts w:cs="Times New Roman"/>
                <w:bCs/>
                <w:kern w:val="0"/>
                <w:sz w:val="18"/>
                <w:szCs w:val="18"/>
              </w:rPr>
            </w:pPr>
          </w:p>
        </w:tc>
        <w:tc>
          <w:tcPr>
            <w:tcW w:w="485" w:type="pct"/>
            <w:vAlign w:val="center"/>
          </w:tcPr>
          <w:p w14:paraId="21EAC85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78BCBBE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5.01t/a</w:t>
            </w:r>
          </w:p>
        </w:tc>
        <w:tc>
          <w:tcPr>
            <w:tcW w:w="2893" w:type="pct"/>
            <w:vMerge w:val="continue"/>
            <w:vAlign w:val="center"/>
          </w:tcPr>
          <w:p w14:paraId="7E6B2FAB">
            <w:pPr>
              <w:widowControl/>
              <w:snapToGrid w:val="0"/>
              <w:spacing w:line="240" w:lineRule="auto"/>
              <w:ind w:firstLine="0" w:firstLineChars="0"/>
              <w:jc w:val="center"/>
              <w:rPr>
                <w:rFonts w:cs="Times New Roman"/>
                <w:bCs/>
                <w:kern w:val="0"/>
                <w:sz w:val="18"/>
                <w:szCs w:val="18"/>
              </w:rPr>
            </w:pPr>
          </w:p>
        </w:tc>
        <w:tc>
          <w:tcPr>
            <w:tcW w:w="671" w:type="pct"/>
            <w:vMerge w:val="continue"/>
            <w:vAlign w:val="center"/>
          </w:tcPr>
          <w:p w14:paraId="4B93C4D2">
            <w:pPr>
              <w:widowControl/>
              <w:snapToGrid w:val="0"/>
              <w:spacing w:line="240" w:lineRule="auto"/>
              <w:ind w:firstLine="0" w:firstLineChars="0"/>
              <w:jc w:val="center"/>
              <w:rPr>
                <w:rFonts w:cs="Times New Roman"/>
                <w:bCs/>
                <w:kern w:val="0"/>
                <w:sz w:val="18"/>
                <w:szCs w:val="18"/>
              </w:rPr>
            </w:pPr>
          </w:p>
        </w:tc>
      </w:tr>
      <w:tr w14:paraId="462718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7BC62BB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40</w:t>
            </w:r>
          </w:p>
          <w:p w14:paraId="7C2E535E">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4867E70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衡阳市松木污水处理厂</w:t>
            </w:r>
          </w:p>
        </w:tc>
        <w:tc>
          <w:tcPr>
            <w:tcW w:w="199" w:type="pct"/>
            <w:vAlign w:val="center"/>
          </w:tcPr>
          <w:p w14:paraId="662045F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107EAD5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COD、SS、氨氮、</w:t>
            </w:r>
          </w:p>
          <w:p w14:paraId="732BE24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石油类</w:t>
            </w:r>
          </w:p>
        </w:tc>
        <w:tc>
          <w:tcPr>
            <w:tcW w:w="417" w:type="pct"/>
            <w:vAlign w:val="center"/>
          </w:tcPr>
          <w:p w14:paraId="7497616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10000m</w:t>
            </w:r>
            <w:r>
              <w:rPr>
                <w:rFonts w:cs="Times New Roman"/>
                <w:bCs/>
                <w:kern w:val="0"/>
                <w:position w:val="8"/>
                <w:sz w:val="18"/>
                <w:szCs w:val="18"/>
              </w:rPr>
              <w:t>3</w:t>
            </w:r>
            <w:r>
              <w:rPr>
                <w:rFonts w:cs="Times New Roman"/>
                <w:bCs/>
                <w:kern w:val="0"/>
                <w:sz w:val="18"/>
                <w:szCs w:val="18"/>
              </w:rPr>
              <w:t>/d</w:t>
            </w:r>
          </w:p>
        </w:tc>
        <w:tc>
          <w:tcPr>
            <w:tcW w:w="2893" w:type="pct"/>
            <w:vAlign w:val="center"/>
          </w:tcPr>
          <w:p w14:paraId="3066796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污水采用格栅+絮凝沉淀+水解酸化+A/O 生化+二次沉淀+混凝+气浮+接触消毒处理工艺处理后经总排口排至湘江</w:t>
            </w:r>
          </w:p>
        </w:tc>
        <w:tc>
          <w:tcPr>
            <w:tcW w:w="671" w:type="pct"/>
            <w:vMerge w:val="restart"/>
            <w:vAlign w:val="center"/>
          </w:tcPr>
          <w:p w14:paraId="50A59FD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废水设置在线监测设施，并连入省平台</w:t>
            </w:r>
          </w:p>
        </w:tc>
      </w:tr>
      <w:tr w14:paraId="242013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616D8FE">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0ACA7C5">
            <w:pPr>
              <w:widowControl/>
              <w:snapToGrid w:val="0"/>
              <w:spacing w:line="240" w:lineRule="auto"/>
              <w:ind w:firstLine="0" w:firstLineChars="0"/>
              <w:jc w:val="center"/>
              <w:rPr>
                <w:rFonts w:cs="Times New Roman"/>
                <w:bCs/>
                <w:kern w:val="0"/>
                <w:sz w:val="18"/>
                <w:szCs w:val="18"/>
              </w:rPr>
            </w:pPr>
          </w:p>
        </w:tc>
        <w:tc>
          <w:tcPr>
            <w:tcW w:w="199" w:type="pct"/>
            <w:vAlign w:val="center"/>
          </w:tcPr>
          <w:p w14:paraId="46E13B6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189B991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硫化氢、氨气</w:t>
            </w:r>
          </w:p>
        </w:tc>
        <w:tc>
          <w:tcPr>
            <w:tcW w:w="417" w:type="pct"/>
            <w:vAlign w:val="center"/>
          </w:tcPr>
          <w:p w14:paraId="6B9F96C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69D014B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671" w:type="pct"/>
            <w:vMerge w:val="continue"/>
            <w:vAlign w:val="center"/>
          </w:tcPr>
          <w:p w14:paraId="764FC2B0">
            <w:pPr>
              <w:widowControl/>
              <w:snapToGrid w:val="0"/>
              <w:spacing w:line="240" w:lineRule="auto"/>
              <w:ind w:firstLine="0" w:firstLineChars="0"/>
              <w:jc w:val="center"/>
              <w:rPr>
                <w:rFonts w:cs="Times New Roman"/>
                <w:bCs/>
                <w:kern w:val="0"/>
                <w:sz w:val="18"/>
                <w:szCs w:val="18"/>
              </w:rPr>
            </w:pPr>
          </w:p>
        </w:tc>
      </w:tr>
      <w:tr w14:paraId="439121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32E42A1">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016B945">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6C4B3CF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2A2ED13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34EB753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5.5t/a</w:t>
            </w:r>
          </w:p>
        </w:tc>
        <w:tc>
          <w:tcPr>
            <w:tcW w:w="2893" w:type="pct"/>
            <w:vMerge w:val="restart"/>
            <w:vAlign w:val="center"/>
          </w:tcPr>
          <w:p w14:paraId="14D9F39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污泥暂存于危废暂存间内，达到一定数量后委托资质单位进行处理；生活垃圾交由环卫部门进行处理</w:t>
            </w:r>
          </w:p>
        </w:tc>
        <w:tc>
          <w:tcPr>
            <w:tcW w:w="671" w:type="pct"/>
            <w:vMerge w:val="continue"/>
            <w:vAlign w:val="center"/>
          </w:tcPr>
          <w:p w14:paraId="7B342F7E">
            <w:pPr>
              <w:widowControl/>
              <w:snapToGrid w:val="0"/>
              <w:spacing w:line="240" w:lineRule="auto"/>
              <w:ind w:firstLine="0" w:firstLineChars="0"/>
              <w:jc w:val="center"/>
              <w:rPr>
                <w:rFonts w:cs="Times New Roman"/>
                <w:bCs/>
                <w:kern w:val="0"/>
                <w:sz w:val="18"/>
                <w:szCs w:val="18"/>
              </w:rPr>
            </w:pPr>
          </w:p>
        </w:tc>
      </w:tr>
      <w:tr w14:paraId="5B24A9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71C2C6B9">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BD9387B">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7DDE08BE">
            <w:pPr>
              <w:widowControl/>
              <w:snapToGrid w:val="0"/>
              <w:spacing w:line="240" w:lineRule="auto"/>
              <w:ind w:firstLine="0" w:firstLineChars="0"/>
              <w:jc w:val="center"/>
              <w:rPr>
                <w:rFonts w:cs="Times New Roman"/>
                <w:bCs/>
                <w:kern w:val="0"/>
                <w:sz w:val="18"/>
                <w:szCs w:val="18"/>
              </w:rPr>
            </w:pPr>
          </w:p>
        </w:tc>
        <w:tc>
          <w:tcPr>
            <w:tcW w:w="485" w:type="pct"/>
            <w:vAlign w:val="center"/>
          </w:tcPr>
          <w:p w14:paraId="2260C02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3ED7FAC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650t/a</w:t>
            </w:r>
          </w:p>
        </w:tc>
        <w:tc>
          <w:tcPr>
            <w:tcW w:w="2893" w:type="pct"/>
            <w:vMerge w:val="continue"/>
            <w:vAlign w:val="center"/>
          </w:tcPr>
          <w:p w14:paraId="01B334BB">
            <w:pPr>
              <w:widowControl/>
              <w:snapToGrid w:val="0"/>
              <w:spacing w:line="240" w:lineRule="auto"/>
              <w:ind w:firstLine="0" w:firstLineChars="0"/>
              <w:jc w:val="center"/>
              <w:rPr>
                <w:rFonts w:cs="Times New Roman"/>
                <w:bCs/>
                <w:kern w:val="0"/>
                <w:sz w:val="18"/>
                <w:szCs w:val="18"/>
              </w:rPr>
            </w:pPr>
          </w:p>
        </w:tc>
        <w:tc>
          <w:tcPr>
            <w:tcW w:w="671" w:type="pct"/>
            <w:vMerge w:val="continue"/>
            <w:vAlign w:val="center"/>
          </w:tcPr>
          <w:p w14:paraId="3ED015AF">
            <w:pPr>
              <w:widowControl/>
              <w:snapToGrid w:val="0"/>
              <w:spacing w:line="240" w:lineRule="auto"/>
              <w:ind w:firstLine="0" w:firstLineChars="0"/>
              <w:jc w:val="center"/>
              <w:rPr>
                <w:rFonts w:cs="Times New Roman"/>
                <w:bCs/>
                <w:kern w:val="0"/>
                <w:sz w:val="18"/>
                <w:szCs w:val="18"/>
              </w:rPr>
            </w:pPr>
          </w:p>
        </w:tc>
      </w:tr>
      <w:tr w14:paraId="052403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5402496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41</w:t>
            </w:r>
          </w:p>
          <w:p w14:paraId="7A0B60FD">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2437BA9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衡阳新金生物科技有限公司</w:t>
            </w:r>
          </w:p>
        </w:tc>
        <w:tc>
          <w:tcPr>
            <w:tcW w:w="199" w:type="pct"/>
            <w:vAlign w:val="center"/>
          </w:tcPr>
          <w:p w14:paraId="6CCB317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7F2BEA2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pH、SS、COD、氨氮</w:t>
            </w:r>
          </w:p>
        </w:tc>
        <w:tc>
          <w:tcPr>
            <w:tcW w:w="417" w:type="pct"/>
            <w:vAlign w:val="center"/>
          </w:tcPr>
          <w:p w14:paraId="4242547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0BB55F81">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生产废水和初期雨水经处理后回用于生产</w:t>
            </w:r>
            <w:r>
              <w:rPr>
                <w:rFonts w:cs="Times New Roman"/>
                <w:bCs/>
                <w:kern w:val="0"/>
                <w:sz w:val="18"/>
                <w:szCs w:val="18"/>
              </w:rPr>
              <w:t>；</w:t>
            </w:r>
          </w:p>
          <w:p w14:paraId="73183A87">
            <w:pPr>
              <w:widowControl/>
              <w:snapToGrid w:val="0"/>
              <w:spacing w:line="240" w:lineRule="auto"/>
              <w:ind w:firstLine="0" w:firstLineChars="0"/>
              <w:jc w:val="center"/>
              <w:rPr>
                <w:rFonts w:cs="Times New Roman"/>
                <w:bCs/>
                <w:kern w:val="0"/>
                <w:sz w:val="18"/>
                <w:szCs w:val="18"/>
              </w:rPr>
            </w:pPr>
            <w:r>
              <w:rPr>
                <w:rFonts w:cs="Times New Roman"/>
                <w:bCs/>
                <w:spacing w:val="-5"/>
                <w:kern w:val="0"/>
                <w:sz w:val="18"/>
                <w:szCs w:val="18"/>
              </w:rPr>
              <w:t>生活污水经化粪池预处理后进入经开区污水管网，最终经松木污水处理厂处理后排至湘江</w:t>
            </w:r>
          </w:p>
        </w:tc>
        <w:tc>
          <w:tcPr>
            <w:tcW w:w="671" w:type="pct"/>
            <w:vMerge w:val="restart"/>
            <w:vAlign w:val="center"/>
          </w:tcPr>
          <w:p w14:paraId="25E69B1B">
            <w:pPr>
              <w:widowControl/>
              <w:snapToGrid w:val="0"/>
              <w:spacing w:line="240" w:lineRule="auto"/>
              <w:ind w:firstLine="0" w:firstLineChars="0"/>
              <w:jc w:val="center"/>
              <w:rPr>
                <w:rFonts w:cs="Times New Roman"/>
                <w:bCs/>
                <w:spacing w:val="-5"/>
                <w:kern w:val="0"/>
                <w:sz w:val="18"/>
                <w:szCs w:val="18"/>
              </w:rPr>
            </w:pPr>
            <w:r>
              <w:rPr>
                <w:rFonts w:cs="Times New Roman"/>
                <w:kern w:val="0"/>
                <w:sz w:val="18"/>
                <w:szCs w:val="18"/>
              </w:rPr>
              <w:t>后期雨水排放监控池、流量计、视频监控、总镉在线监测仪及监控站房</w:t>
            </w:r>
          </w:p>
        </w:tc>
      </w:tr>
      <w:tr w14:paraId="43C6BA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C5D57C3">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2D63347C">
            <w:pPr>
              <w:widowControl/>
              <w:snapToGrid w:val="0"/>
              <w:spacing w:line="240" w:lineRule="auto"/>
              <w:ind w:firstLine="0" w:firstLineChars="0"/>
              <w:jc w:val="center"/>
              <w:rPr>
                <w:rFonts w:cs="Times New Roman"/>
                <w:bCs/>
                <w:kern w:val="0"/>
                <w:sz w:val="18"/>
                <w:szCs w:val="18"/>
              </w:rPr>
            </w:pPr>
          </w:p>
        </w:tc>
        <w:tc>
          <w:tcPr>
            <w:tcW w:w="199" w:type="pct"/>
            <w:vAlign w:val="center"/>
          </w:tcPr>
          <w:p w14:paraId="4A781D2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72BA1EE1">
            <w:pPr>
              <w:widowControl/>
              <w:snapToGrid w:val="0"/>
              <w:spacing w:line="240" w:lineRule="auto"/>
              <w:ind w:firstLine="0" w:firstLineChars="0"/>
              <w:jc w:val="center"/>
              <w:rPr>
                <w:rFonts w:cs="Times New Roman"/>
                <w:bCs/>
                <w:kern w:val="0"/>
                <w:sz w:val="18"/>
                <w:szCs w:val="18"/>
              </w:rPr>
            </w:pPr>
            <w:r>
              <w:rPr>
                <w:rFonts w:cs="Times New Roman"/>
                <w:bCs/>
                <w:spacing w:val="-17"/>
                <w:kern w:val="0"/>
                <w:sz w:val="18"/>
                <w:szCs w:val="18"/>
              </w:rPr>
              <w:t>粉尘、颗粒物、</w:t>
            </w:r>
            <w:r>
              <w:rPr>
                <w:rFonts w:cs="Times New Roman"/>
                <w:bCs/>
                <w:kern w:val="0"/>
                <w:sz w:val="18"/>
                <w:szCs w:val="18"/>
              </w:rPr>
              <w:t>SO</w:t>
            </w:r>
            <w:r>
              <w:rPr>
                <w:rFonts w:cs="Times New Roman"/>
                <w:bCs/>
                <w:kern w:val="0"/>
                <w:sz w:val="18"/>
                <w:szCs w:val="18"/>
                <w:vertAlign w:val="subscript"/>
              </w:rPr>
              <w:t>2</w:t>
            </w:r>
            <w:r>
              <w:rPr>
                <w:rFonts w:cs="Times New Roman"/>
                <w:bCs/>
                <w:kern w:val="0"/>
                <w:sz w:val="18"/>
                <w:szCs w:val="18"/>
              </w:rPr>
              <w:t>、</w:t>
            </w:r>
          </w:p>
          <w:p w14:paraId="44B7519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NO</w:t>
            </w:r>
            <w:r>
              <w:rPr>
                <w:rFonts w:cs="Times New Roman"/>
                <w:bCs/>
                <w:kern w:val="0"/>
                <w:sz w:val="18"/>
                <w:szCs w:val="18"/>
                <w:vertAlign w:val="subscript"/>
              </w:rPr>
              <w:t>x</w:t>
            </w:r>
            <w:r>
              <w:rPr>
                <w:rFonts w:cs="Times New Roman"/>
                <w:bCs/>
                <w:kern w:val="0"/>
                <w:sz w:val="18"/>
                <w:szCs w:val="18"/>
              </w:rPr>
              <w:t>、酸雾、砷化氢等</w:t>
            </w:r>
          </w:p>
        </w:tc>
        <w:tc>
          <w:tcPr>
            <w:tcW w:w="417" w:type="pct"/>
            <w:vAlign w:val="center"/>
          </w:tcPr>
          <w:p w14:paraId="59C8917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3864373E">
            <w:pPr>
              <w:widowControl/>
              <w:snapToGrid w:val="0"/>
              <w:spacing w:line="240" w:lineRule="auto"/>
              <w:ind w:firstLine="0" w:firstLineChars="0"/>
              <w:jc w:val="center"/>
              <w:rPr>
                <w:rFonts w:cs="Times New Roman"/>
                <w:bCs/>
                <w:kern w:val="0"/>
                <w:sz w:val="18"/>
                <w:szCs w:val="18"/>
              </w:rPr>
            </w:pPr>
            <w:r>
              <w:rPr>
                <w:rFonts w:cs="Times New Roman"/>
                <w:kern w:val="0"/>
                <w:sz w:val="18"/>
                <w:szCs w:val="18"/>
                <w:lang w:val="zh-CN"/>
              </w:rPr>
              <w:t>硫酸锌系统中性浸出、铜镉渣浸出硫酸雾</w:t>
            </w:r>
            <w:r>
              <w:rPr>
                <w:rFonts w:cs="Times New Roman"/>
                <w:kern w:val="0"/>
                <w:sz w:val="18"/>
                <w:szCs w:val="18"/>
              </w:rPr>
              <w:t>经碱液喷淋处理后排放；</w:t>
            </w:r>
            <w:r>
              <w:rPr>
                <w:rFonts w:cs="Times New Roman"/>
                <w:kern w:val="0"/>
                <w:sz w:val="18"/>
                <w:szCs w:val="18"/>
                <w:lang w:val="zh-CN"/>
              </w:rPr>
              <w:t>硫酸锌系统酸性浸出（包括含铜废物酸性浸出）硫酸雾</w:t>
            </w:r>
            <w:r>
              <w:rPr>
                <w:rFonts w:cs="Times New Roman"/>
                <w:kern w:val="0"/>
                <w:sz w:val="18"/>
                <w:szCs w:val="18"/>
              </w:rPr>
              <w:t>经二级碱液喷淋处理后排放；</w:t>
            </w:r>
            <w:r>
              <w:rPr>
                <w:rFonts w:cs="Times New Roman"/>
                <w:kern w:val="0"/>
                <w:sz w:val="18"/>
                <w:szCs w:val="18"/>
                <w:lang w:val="zh-CN"/>
              </w:rPr>
              <w:t>硫酸锌系统净化、置换废气（</w:t>
            </w:r>
            <w:r>
              <w:rPr>
                <w:rFonts w:cs="Times New Roman"/>
                <w:kern w:val="0"/>
                <w:sz w:val="18"/>
                <w:szCs w:val="18"/>
              </w:rPr>
              <w:t>砷化氢</w:t>
            </w:r>
            <w:r>
              <w:rPr>
                <w:rFonts w:cs="Times New Roman"/>
                <w:kern w:val="0"/>
                <w:sz w:val="18"/>
                <w:szCs w:val="18"/>
                <w:lang w:val="zh-CN"/>
              </w:rPr>
              <w:t>）</w:t>
            </w:r>
            <w:r>
              <w:rPr>
                <w:rFonts w:cs="Times New Roman"/>
                <w:kern w:val="0"/>
                <w:sz w:val="18"/>
                <w:szCs w:val="18"/>
              </w:rPr>
              <w:t>高空排放；</w:t>
            </w:r>
            <w:r>
              <w:rPr>
                <w:rFonts w:cs="Times New Roman"/>
                <w:kern w:val="0"/>
                <w:sz w:val="18"/>
                <w:szCs w:val="18"/>
                <w:lang w:val="zh-CN"/>
              </w:rPr>
              <w:t>镉熔铸烟气</w:t>
            </w:r>
            <w:r>
              <w:rPr>
                <w:rFonts w:cs="Times New Roman"/>
                <w:kern w:val="0"/>
                <w:sz w:val="18"/>
                <w:szCs w:val="18"/>
              </w:rPr>
              <w:t>经布袋除尘器+</w:t>
            </w:r>
            <w:r>
              <w:rPr>
                <w:rFonts w:cs="Times New Roman"/>
                <w:kern w:val="0"/>
                <w:sz w:val="18"/>
                <w:szCs w:val="18"/>
                <w:lang w:val="zh-CN"/>
              </w:rPr>
              <w:t>水喷淋</w:t>
            </w:r>
            <w:r>
              <w:rPr>
                <w:rFonts w:cs="Times New Roman"/>
                <w:kern w:val="0"/>
                <w:sz w:val="18"/>
                <w:szCs w:val="18"/>
              </w:rPr>
              <w:t>处理后排放；</w:t>
            </w:r>
            <w:r>
              <w:rPr>
                <w:rFonts w:cs="Times New Roman"/>
                <w:kern w:val="0"/>
                <w:sz w:val="18"/>
                <w:szCs w:val="18"/>
                <w:lang w:val="zh-CN"/>
              </w:rPr>
              <w:t>硫酸锌回转窑烟气</w:t>
            </w:r>
            <w:r>
              <w:rPr>
                <w:rFonts w:cs="Times New Roman"/>
                <w:kern w:val="0"/>
                <w:sz w:val="18"/>
                <w:szCs w:val="18"/>
              </w:rPr>
              <w:t>经布袋除尘器+水膜除尘器处理后排放；</w:t>
            </w:r>
            <w:r>
              <w:rPr>
                <w:rFonts w:cs="Times New Roman"/>
                <w:kern w:val="0"/>
                <w:sz w:val="18"/>
                <w:szCs w:val="18"/>
                <w:lang w:val="zh-CN"/>
              </w:rPr>
              <w:t>硫酸铜回转窑烟气</w:t>
            </w:r>
            <w:r>
              <w:rPr>
                <w:rFonts w:cs="Times New Roman"/>
                <w:kern w:val="0"/>
                <w:sz w:val="18"/>
                <w:szCs w:val="18"/>
              </w:rPr>
              <w:t>经布袋除尘器+水膜除尘器处理后排放；</w:t>
            </w:r>
            <w:r>
              <w:rPr>
                <w:rFonts w:cs="Times New Roman"/>
                <w:kern w:val="0"/>
                <w:sz w:val="18"/>
                <w:szCs w:val="18"/>
                <w:lang w:val="zh-CN"/>
              </w:rPr>
              <w:t>燃生物质锅炉烟气</w:t>
            </w:r>
            <w:r>
              <w:rPr>
                <w:rFonts w:cs="Times New Roman"/>
                <w:kern w:val="0"/>
                <w:sz w:val="18"/>
                <w:szCs w:val="18"/>
              </w:rPr>
              <w:t>经</w:t>
            </w:r>
            <w:r>
              <w:rPr>
                <w:rFonts w:cs="Times New Roman"/>
                <w:kern w:val="0"/>
                <w:sz w:val="18"/>
                <w:szCs w:val="18"/>
                <w:lang w:val="zh-CN"/>
              </w:rPr>
              <w:t>旋风除尘+布袋除尘器</w:t>
            </w:r>
            <w:r>
              <w:rPr>
                <w:rFonts w:cs="Times New Roman"/>
                <w:kern w:val="0"/>
                <w:sz w:val="18"/>
                <w:szCs w:val="18"/>
              </w:rPr>
              <w:t>处理后排放；硫酸铜破碎粉尘经布袋除尘+水膜除尘处理后排放；</w:t>
            </w:r>
            <w:r>
              <w:rPr>
                <w:rFonts w:cs="Times New Roman"/>
                <w:kern w:val="0"/>
                <w:sz w:val="18"/>
                <w:szCs w:val="18"/>
                <w:lang w:val="zh-CN"/>
              </w:rPr>
              <w:t>单质铜渣</w:t>
            </w:r>
            <w:r>
              <w:rPr>
                <w:rFonts w:cs="Times New Roman"/>
                <w:kern w:val="0"/>
                <w:sz w:val="18"/>
                <w:szCs w:val="18"/>
              </w:rPr>
              <w:t>回转窑焙烧烟气经布袋除尘器+水膜除尘器处理后排放</w:t>
            </w:r>
          </w:p>
        </w:tc>
        <w:tc>
          <w:tcPr>
            <w:tcW w:w="671" w:type="pct"/>
            <w:vMerge w:val="continue"/>
            <w:vAlign w:val="center"/>
          </w:tcPr>
          <w:p w14:paraId="0250C3F0">
            <w:pPr>
              <w:widowControl/>
              <w:snapToGrid w:val="0"/>
              <w:spacing w:line="240" w:lineRule="auto"/>
              <w:ind w:firstLine="0" w:firstLineChars="0"/>
              <w:jc w:val="center"/>
              <w:rPr>
                <w:rFonts w:cs="Times New Roman"/>
                <w:bCs/>
                <w:kern w:val="0"/>
                <w:sz w:val="18"/>
                <w:szCs w:val="18"/>
              </w:rPr>
            </w:pPr>
          </w:p>
        </w:tc>
      </w:tr>
      <w:tr w14:paraId="1FAF79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464F7315">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047DC33">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10C8EE8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4562FF8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00FC8AF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Merge w:val="restart"/>
            <w:vAlign w:val="center"/>
          </w:tcPr>
          <w:p w14:paraId="3215C63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生活垃圾交由环卫部门进行处理；</w:t>
            </w:r>
            <w:r>
              <w:rPr>
                <w:rFonts w:cs="Times New Roman"/>
                <w:kern w:val="0"/>
                <w:sz w:val="18"/>
                <w:szCs w:val="18"/>
              </w:rPr>
              <w:t>一般工业固废外售综合利用；危险废物交由有资质单位处理</w:t>
            </w:r>
          </w:p>
        </w:tc>
        <w:tc>
          <w:tcPr>
            <w:tcW w:w="671" w:type="pct"/>
            <w:vMerge w:val="continue"/>
            <w:vAlign w:val="center"/>
          </w:tcPr>
          <w:p w14:paraId="338E385D">
            <w:pPr>
              <w:widowControl/>
              <w:snapToGrid w:val="0"/>
              <w:spacing w:line="240" w:lineRule="auto"/>
              <w:ind w:firstLine="0" w:firstLineChars="0"/>
              <w:jc w:val="center"/>
              <w:rPr>
                <w:rFonts w:cs="Times New Roman"/>
                <w:bCs/>
                <w:kern w:val="0"/>
                <w:sz w:val="18"/>
                <w:szCs w:val="18"/>
              </w:rPr>
            </w:pPr>
          </w:p>
        </w:tc>
      </w:tr>
      <w:tr w14:paraId="016349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8AD1824">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466A096">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6DEC38E5">
            <w:pPr>
              <w:widowControl/>
              <w:snapToGrid w:val="0"/>
              <w:spacing w:line="240" w:lineRule="auto"/>
              <w:ind w:firstLine="0" w:firstLineChars="0"/>
              <w:jc w:val="center"/>
              <w:rPr>
                <w:rFonts w:cs="Times New Roman"/>
                <w:bCs/>
                <w:kern w:val="0"/>
                <w:sz w:val="18"/>
                <w:szCs w:val="18"/>
              </w:rPr>
            </w:pPr>
          </w:p>
        </w:tc>
        <w:tc>
          <w:tcPr>
            <w:tcW w:w="485" w:type="pct"/>
            <w:vAlign w:val="center"/>
          </w:tcPr>
          <w:p w14:paraId="2ACBE82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3A027FB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Merge w:val="continue"/>
            <w:vAlign w:val="center"/>
          </w:tcPr>
          <w:p w14:paraId="6A8718F0">
            <w:pPr>
              <w:widowControl/>
              <w:snapToGrid w:val="0"/>
              <w:spacing w:line="240" w:lineRule="auto"/>
              <w:ind w:firstLine="0" w:firstLineChars="0"/>
              <w:jc w:val="center"/>
              <w:rPr>
                <w:rFonts w:cs="Times New Roman"/>
                <w:bCs/>
                <w:kern w:val="0"/>
                <w:sz w:val="18"/>
                <w:szCs w:val="18"/>
              </w:rPr>
            </w:pPr>
          </w:p>
        </w:tc>
        <w:tc>
          <w:tcPr>
            <w:tcW w:w="671" w:type="pct"/>
            <w:vMerge w:val="continue"/>
            <w:vAlign w:val="center"/>
          </w:tcPr>
          <w:p w14:paraId="2C392129">
            <w:pPr>
              <w:widowControl/>
              <w:snapToGrid w:val="0"/>
              <w:spacing w:line="240" w:lineRule="auto"/>
              <w:ind w:firstLine="0" w:firstLineChars="0"/>
              <w:jc w:val="center"/>
              <w:rPr>
                <w:rFonts w:cs="Times New Roman"/>
                <w:bCs/>
                <w:kern w:val="0"/>
                <w:sz w:val="18"/>
                <w:szCs w:val="18"/>
              </w:rPr>
            </w:pPr>
          </w:p>
        </w:tc>
      </w:tr>
      <w:tr w14:paraId="1E1B9C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5BB5B30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42</w:t>
            </w:r>
          </w:p>
          <w:p w14:paraId="5170D9D3">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79D1841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电科电源（深圳</w:t>
            </w:r>
            <w:r>
              <w:rPr>
                <w:rFonts w:cs="Times New Roman"/>
                <w:bCs/>
                <w:spacing w:val="-17"/>
                <w:kern w:val="0"/>
                <w:sz w:val="18"/>
                <w:szCs w:val="18"/>
              </w:rPr>
              <w:t xml:space="preserve">） </w:t>
            </w:r>
            <w:r>
              <w:rPr>
                <w:rFonts w:cs="Times New Roman"/>
                <w:bCs/>
                <w:spacing w:val="-5"/>
                <w:kern w:val="0"/>
                <w:sz w:val="18"/>
                <w:szCs w:val="18"/>
              </w:rPr>
              <w:t>有限公司</w:t>
            </w:r>
          </w:p>
        </w:tc>
        <w:tc>
          <w:tcPr>
            <w:tcW w:w="199" w:type="pct"/>
            <w:vAlign w:val="center"/>
          </w:tcPr>
          <w:p w14:paraId="2B8F8FA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0D8B992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COD、SS、氨氮</w:t>
            </w:r>
          </w:p>
        </w:tc>
        <w:tc>
          <w:tcPr>
            <w:tcW w:w="417" w:type="pct"/>
            <w:vAlign w:val="center"/>
          </w:tcPr>
          <w:p w14:paraId="3A7A5BD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52830 m</w:t>
            </w:r>
            <w:r>
              <w:rPr>
                <w:rFonts w:cs="Times New Roman"/>
                <w:bCs/>
                <w:kern w:val="0"/>
                <w:position w:val="8"/>
                <w:sz w:val="18"/>
                <w:szCs w:val="18"/>
              </w:rPr>
              <w:t>3</w:t>
            </w:r>
            <w:r>
              <w:rPr>
                <w:rFonts w:cs="Times New Roman"/>
                <w:bCs/>
                <w:kern w:val="0"/>
                <w:sz w:val="18"/>
                <w:szCs w:val="18"/>
              </w:rPr>
              <w:t>/a</w:t>
            </w:r>
          </w:p>
        </w:tc>
        <w:tc>
          <w:tcPr>
            <w:tcW w:w="2893" w:type="pct"/>
            <w:vAlign w:val="center"/>
          </w:tcPr>
          <w:p w14:paraId="70B33F5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生产废水进行沉淀处理后循环使用；</w:t>
            </w:r>
          </w:p>
          <w:p w14:paraId="0706EE5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生活污水经化粪池预处理后进入经开区污水管网入松木污水处理厂进行处理</w:t>
            </w:r>
          </w:p>
        </w:tc>
        <w:tc>
          <w:tcPr>
            <w:tcW w:w="671" w:type="pct"/>
            <w:vMerge w:val="restart"/>
            <w:vAlign w:val="center"/>
          </w:tcPr>
          <w:p w14:paraId="3F54BF9E">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后期雨水排放监控池、流量计、视频监控、总镉在线监测仪及监控站房</w:t>
            </w:r>
          </w:p>
        </w:tc>
      </w:tr>
      <w:tr w14:paraId="12E090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0780908">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CDB63CF">
            <w:pPr>
              <w:widowControl/>
              <w:snapToGrid w:val="0"/>
              <w:spacing w:line="240" w:lineRule="auto"/>
              <w:ind w:firstLine="0" w:firstLineChars="0"/>
              <w:jc w:val="center"/>
              <w:rPr>
                <w:rFonts w:cs="Times New Roman"/>
                <w:bCs/>
                <w:kern w:val="0"/>
                <w:sz w:val="18"/>
                <w:szCs w:val="18"/>
              </w:rPr>
            </w:pPr>
          </w:p>
        </w:tc>
        <w:tc>
          <w:tcPr>
            <w:tcW w:w="199" w:type="pct"/>
            <w:vAlign w:val="center"/>
          </w:tcPr>
          <w:p w14:paraId="6728FC6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3B97860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镍尘、镉尘</w:t>
            </w:r>
          </w:p>
        </w:tc>
        <w:tc>
          <w:tcPr>
            <w:tcW w:w="417" w:type="pct"/>
            <w:vAlign w:val="center"/>
          </w:tcPr>
          <w:p w14:paraId="67D3D04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19001 m</w:t>
            </w:r>
            <w:r>
              <w:rPr>
                <w:rFonts w:cs="Times New Roman"/>
                <w:bCs/>
                <w:kern w:val="0"/>
                <w:position w:val="8"/>
                <w:sz w:val="18"/>
                <w:szCs w:val="18"/>
              </w:rPr>
              <w:t>3</w:t>
            </w:r>
            <w:r>
              <w:rPr>
                <w:rFonts w:cs="Times New Roman"/>
                <w:bCs/>
                <w:kern w:val="0"/>
                <w:sz w:val="18"/>
                <w:szCs w:val="18"/>
              </w:rPr>
              <w:t>/h</w:t>
            </w:r>
          </w:p>
        </w:tc>
        <w:tc>
          <w:tcPr>
            <w:tcW w:w="2893" w:type="pct"/>
            <w:vAlign w:val="center"/>
          </w:tcPr>
          <w:p w14:paraId="6E55FD3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正极清粉产生的镍尘采用集气管道+布袋除尘处理后经 15m 排气筒排放；</w:t>
            </w:r>
          </w:p>
          <w:p w14:paraId="1B4C68E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负极清粉产生的镉尘采用集气管道+水浴除尘处理后经 15m 排气筒排放</w:t>
            </w:r>
          </w:p>
        </w:tc>
        <w:tc>
          <w:tcPr>
            <w:tcW w:w="671" w:type="pct"/>
            <w:vMerge w:val="continue"/>
            <w:vAlign w:val="center"/>
          </w:tcPr>
          <w:p w14:paraId="48F72C29">
            <w:pPr>
              <w:widowControl/>
              <w:snapToGrid w:val="0"/>
              <w:spacing w:line="240" w:lineRule="auto"/>
              <w:ind w:firstLine="0" w:firstLineChars="0"/>
              <w:jc w:val="center"/>
              <w:rPr>
                <w:rFonts w:cs="Times New Roman"/>
                <w:bCs/>
                <w:kern w:val="0"/>
                <w:sz w:val="18"/>
                <w:szCs w:val="18"/>
              </w:rPr>
            </w:pPr>
          </w:p>
        </w:tc>
      </w:tr>
      <w:tr w14:paraId="04759C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65509888">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2EFB3D4">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3A5AFE2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1FFDCB6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2F8AA48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330t/a</w:t>
            </w:r>
          </w:p>
        </w:tc>
        <w:tc>
          <w:tcPr>
            <w:tcW w:w="2893" w:type="pct"/>
            <w:vMerge w:val="restart"/>
            <w:vAlign w:val="center"/>
          </w:tcPr>
          <w:p w14:paraId="4BF6AD9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正极清粉废气布袋收尘返回生产线重复利用；</w:t>
            </w:r>
            <w:r>
              <w:rPr>
                <w:rFonts w:cs="Times New Roman"/>
                <w:bCs/>
                <w:spacing w:val="-12"/>
                <w:kern w:val="0"/>
                <w:sz w:val="18"/>
                <w:szCs w:val="18"/>
              </w:rPr>
              <w:t>镍材料桶、镉材料包装袋、职工防护受体、废水处理池污泥及水浴除尘沉渣等危险固废委</w:t>
            </w:r>
            <w:r>
              <w:rPr>
                <w:rFonts w:cs="Times New Roman"/>
                <w:bCs/>
                <w:kern w:val="0"/>
                <w:sz w:val="18"/>
                <w:szCs w:val="18"/>
              </w:rPr>
              <w:t>托资质单位进行处理；生活垃圾交由环卫部门进行处理</w:t>
            </w:r>
          </w:p>
        </w:tc>
        <w:tc>
          <w:tcPr>
            <w:tcW w:w="671" w:type="pct"/>
            <w:vMerge w:val="continue"/>
            <w:vAlign w:val="center"/>
          </w:tcPr>
          <w:p w14:paraId="4BA32055">
            <w:pPr>
              <w:widowControl/>
              <w:snapToGrid w:val="0"/>
              <w:spacing w:line="240" w:lineRule="auto"/>
              <w:ind w:firstLine="0" w:firstLineChars="0"/>
              <w:jc w:val="center"/>
              <w:rPr>
                <w:rFonts w:cs="Times New Roman"/>
                <w:bCs/>
                <w:kern w:val="0"/>
                <w:sz w:val="18"/>
                <w:szCs w:val="18"/>
              </w:rPr>
            </w:pPr>
          </w:p>
        </w:tc>
      </w:tr>
      <w:tr w14:paraId="3D062A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FAB34C9">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3B5D222">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76B1F735">
            <w:pPr>
              <w:widowControl/>
              <w:snapToGrid w:val="0"/>
              <w:spacing w:line="240" w:lineRule="auto"/>
              <w:ind w:firstLine="0" w:firstLineChars="0"/>
              <w:jc w:val="center"/>
              <w:rPr>
                <w:rFonts w:cs="Times New Roman"/>
                <w:bCs/>
                <w:kern w:val="0"/>
                <w:sz w:val="18"/>
                <w:szCs w:val="18"/>
              </w:rPr>
            </w:pPr>
          </w:p>
        </w:tc>
        <w:tc>
          <w:tcPr>
            <w:tcW w:w="485" w:type="pct"/>
            <w:vAlign w:val="center"/>
          </w:tcPr>
          <w:p w14:paraId="3779604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518A7BF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42.548t/a</w:t>
            </w:r>
          </w:p>
        </w:tc>
        <w:tc>
          <w:tcPr>
            <w:tcW w:w="2893" w:type="pct"/>
            <w:vMerge w:val="continue"/>
            <w:vAlign w:val="center"/>
          </w:tcPr>
          <w:p w14:paraId="7946791D">
            <w:pPr>
              <w:autoSpaceDE w:val="0"/>
              <w:autoSpaceDN w:val="0"/>
              <w:snapToGrid w:val="0"/>
              <w:spacing w:line="240" w:lineRule="auto"/>
              <w:ind w:firstLine="0" w:firstLineChars="0"/>
              <w:jc w:val="center"/>
              <w:rPr>
                <w:rFonts w:cs="Times New Roman"/>
                <w:bCs/>
                <w:kern w:val="0"/>
                <w:sz w:val="18"/>
                <w:szCs w:val="18"/>
              </w:rPr>
            </w:pPr>
          </w:p>
        </w:tc>
        <w:tc>
          <w:tcPr>
            <w:tcW w:w="671" w:type="pct"/>
            <w:vMerge w:val="continue"/>
            <w:vAlign w:val="center"/>
          </w:tcPr>
          <w:p w14:paraId="046C8A1C">
            <w:pPr>
              <w:autoSpaceDE w:val="0"/>
              <w:autoSpaceDN w:val="0"/>
              <w:snapToGrid w:val="0"/>
              <w:spacing w:line="240" w:lineRule="auto"/>
              <w:ind w:firstLine="0" w:firstLineChars="0"/>
              <w:jc w:val="center"/>
              <w:rPr>
                <w:rFonts w:cs="Times New Roman"/>
                <w:bCs/>
                <w:kern w:val="0"/>
                <w:sz w:val="18"/>
                <w:szCs w:val="18"/>
              </w:rPr>
            </w:pPr>
          </w:p>
        </w:tc>
      </w:tr>
      <w:tr w14:paraId="275E27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6D7B773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43</w:t>
            </w:r>
          </w:p>
          <w:p w14:paraId="54C0102B">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2A4F45C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衡阳理昂生物质发电有限公司</w:t>
            </w:r>
          </w:p>
        </w:tc>
        <w:tc>
          <w:tcPr>
            <w:tcW w:w="199" w:type="pct"/>
            <w:vAlign w:val="center"/>
          </w:tcPr>
          <w:p w14:paraId="169180F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568310E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SS、COD、氨氮</w:t>
            </w:r>
          </w:p>
        </w:tc>
        <w:tc>
          <w:tcPr>
            <w:tcW w:w="417" w:type="pct"/>
            <w:vAlign w:val="center"/>
          </w:tcPr>
          <w:p w14:paraId="191B9C3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616 m</w:t>
            </w:r>
            <w:r>
              <w:rPr>
                <w:rFonts w:cs="Times New Roman"/>
                <w:bCs/>
                <w:kern w:val="0"/>
                <w:position w:val="8"/>
                <w:sz w:val="18"/>
                <w:szCs w:val="18"/>
              </w:rPr>
              <w:t>3</w:t>
            </w:r>
            <w:r>
              <w:rPr>
                <w:rFonts w:cs="Times New Roman"/>
                <w:bCs/>
                <w:kern w:val="0"/>
                <w:sz w:val="18"/>
                <w:szCs w:val="18"/>
              </w:rPr>
              <w:t>/a</w:t>
            </w:r>
          </w:p>
        </w:tc>
        <w:tc>
          <w:tcPr>
            <w:tcW w:w="2893" w:type="pct"/>
            <w:vAlign w:val="center"/>
          </w:tcPr>
          <w:p w14:paraId="62EDF36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锅炉排污水、化学水处理系统排水收集后回用于干灰调湿、地面冲洗和绿化；地面冲洗水经油水分离器处理后进入经开区污水管网，最终进入松木污水处理厂进行处理；</w:t>
            </w:r>
          </w:p>
          <w:p w14:paraId="3E38D79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生活废水经化粪池预处理后进入经开区污水管网，最终进入松木污水处理厂进行处理</w:t>
            </w:r>
          </w:p>
        </w:tc>
        <w:tc>
          <w:tcPr>
            <w:tcW w:w="671" w:type="pct"/>
            <w:vMerge w:val="restart"/>
            <w:vAlign w:val="center"/>
          </w:tcPr>
          <w:p w14:paraId="754FD5A1">
            <w:pPr>
              <w:widowControl/>
              <w:snapToGrid w:val="0"/>
              <w:spacing w:line="240" w:lineRule="atLeast"/>
              <w:ind w:firstLine="0" w:firstLineChars="0"/>
              <w:jc w:val="center"/>
              <w:rPr>
                <w:rFonts w:cs="Times New Roman"/>
                <w:kern w:val="0"/>
                <w:sz w:val="18"/>
                <w:szCs w:val="18"/>
              </w:rPr>
            </w:pPr>
            <w:r>
              <w:rPr>
                <w:rFonts w:cs="Times New Roman"/>
                <w:kern w:val="0"/>
                <w:sz w:val="18"/>
                <w:szCs w:val="18"/>
              </w:rPr>
              <w:t>（1）锅炉废气设置在线监测设施并连入省平台；</w:t>
            </w:r>
          </w:p>
          <w:p w14:paraId="04D128D7">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（2）后期雨水排放监控池、流量计、视频监控、SS在线监测仪及监控站房。</w:t>
            </w:r>
          </w:p>
        </w:tc>
      </w:tr>
      <w:tr w14:paraId="560144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4E3F77F9">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D9EDEAF">
            <w:pPr>
              <w:widowControl/>
              <w:snapToGrid w:val="0"/>
              <w:spacing w:line="240" w:lineRule="auto"/>
              <w:ind w:firstLine="0" w:firstLineChars="0"/>
              <w:jc w:val="center"/>
              <w:rPr>
                <w:rFonts w:cs="Times New Roman"/>
                <w:bCs/>
                <w:kern w:val="0"/>
                <w:sz w:val="18"/>
                <w:szCs w:val="18"/>
              </w:rPr>
            </w:pPr>
          </w:p>
        </w:tc>
        <w:tc>
          <w:tcPr>
            <w:tcW w:w="199" w:type="pct"/>
            <w:vAlign w:val="center"/>
          </w:tcPr>
          <w:p w14:paraId="3F0942B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4B2F952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二氧化硫、NOx、颗粒物</w:t>
            </w:r>
          </w:p>
        </w:tc>
        <w:tc>
          <w:tcPr>
            <w:tcW w:w="417" w:type="pct"/>
            <w:vAlign w:val="center"/>
          </w:tcPr>
          <w:p w14:paraId="4CD073A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468F000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锅炉废气</w:t>
            </w:r>
            <w:r>
              <w:rPr>
                <w:rFonts w:cs="Times New Roman"/>
                <w:kern w:val="0"/>
                <w:sz w:val="18"/>
                <w:szCs w:val="18"/>
              </w:rPr>
              <w:t>经SNCR脱硝+旋风除尘+布袋除尘器处理高空排放</w:t>
            </w:r>
            <w:r>
              <w:rPr>
                <w:rFonts w:cs="Times New Roman"/>
                <w:bCs/>
                <w:kern w:val="0"/>
                <w:sz w:val="18"/>
                <w:szCs w:val="18"/>
              </w:rPr>
              <w:t>；食堂油烟经净化处理后经排气筒排放</w:t>
            </w:r>
          </w:p>
        </w:tc>
        <w:tc>
          <w:tcPr>
            <w:tcW w:w="671" w:type="pct"/>
            <w:vMerge w:val="continue"/>
            <w:vAlign w:val="center"/>
          </w:tcPr>
          <w:p w14:paraId="578E3E5E">
            <w:pPr>
              <w:widowControl/>
              <w:snapToGrid w:val="0"/>
              <w:spacing w:line="240" w:lineRule="auto"/>
              <w:ind w:firstLine="0" w:firstLineChars="0"/>
              <w:jc w:val="center"/>
              <w:rPr>
                <w:rFonts w:cs="Times New Roman"/>
                <w:bCs/>
                <w:kern w:val="0"/>
                <w:sz w:val="18"/>
                <w:szCs w:val="18"/>
              </w:rPr>
            </w:pPr>
          </w:p>
        </w:tc>
      </w:tr>
      <w:tr w14:paraId="067D98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7A1DA56F">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2070129">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62ECAA3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6517B59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3537A46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21t/a</w:t>
            </w:r>
          </w:p>
        </w:tc>
        <w:tc>
          <w:tcPr>
            <w:tcW w:w="2893" w:type="pct"/>
            <w:vMerge w:val="restart"/>
            <w:vAlign w:val="center"/>
          </w:tcPr>
          <w:p w14:paraId="3F628A0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生活垃圾交由环卫部门进行处理；飞灰、底渣全部外售综合利用</w:t>
            </w:r>
          </w:p>
        </w:tc>
        <w:tc>
          <w:tcPr>
            <w:tcW w:w="671" w:type="pct"/>
            <w:vMerge w:val="continue"/>
            <w:vAlign w:val="center"/>
          </w:tcPr>
          <w:p w14:paraId="46B21782">
            <w:pPr>
              <w:widowControl/>
              <w:snapToGrid w:val="0"/>
              <w:spacing w:line="240" w:lineRule="auto"/>
              <w:ind w:firstLine="0" w:firstLineChars="0"/>
              <w:jc w:val="center"/>
              <w:rPr>
                <w:rFonts w:cs="Times New Roman"/>
                <w:bCs/>
                <w:kern w:val="0"/>
                <w:sz w:val="18"/>
                <w:szCs w:val="18"/>
              </w:rPr>
            </w:pPr>
          </w:p>
        </w:tc>
      </w:tr>
      <w:tr w14:paraId="1B912C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FC41EB9">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F60F87F">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5917D8BD">
            <w:pPr>
              <w:widowControl/>
              <w:snapToGrid w:val="0"/>
              <w:spacing w:line="240" w:lineRule="auto"/>
              <w:ind w:firstLine="0" w:firstLineChars="0"/>
              <w:jc w:val="center"/>
              <w:rPr>
                <w:rFonts w:cs="Times New Roman"/>
                <w:bCs/>
                <w:kern w:val="0"/>
                <w:sz w:val="18"/>
                <w:szCs w:val="18"/>
              </w:rPr>
            </w:pPr>
          </w:p>
        </w:tc>
        <w:tc>
          <w:tcPr>
            <w:tcW w:w="485" w:type="pct"/>
            <w:vAlign w:val="center"/>
          </w:tcPr>
          <w:p w14:paraId="698EE76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175A6B7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Merge w:val="continue"/>
            <w:vAlign w:val="center"/>
          </w:tcPr>
          <w:p w14:paraId="442761F8">
            <w:pPr>
              <w:autoSpaceDE w:val="0"/>
              <w:autoSpaceDN w:val="0"/>
              <w:snapToGrid w:val="0"/>
              <w:spacing w:line="240" w:lineRule="auto"/>
              <w:ind w:firstLine="0" w:firstLineChars="0"/>
              <w:jc w:val="center"/>
              <w:rPr>
                <w:rFonts w:cs="Times New Roman"/>
                <w:bCs/>
                <w:kern w:val="0"/>
                <w:sz w:val="18"/>
                <w:szCs w:val="18"/>
              </w:rPr>
            </w:pPr>
          </w:p>
        </w:tc>
        <w:tc>
          <w:tcPr>
            <w:tcW w:w="671" w:type="pct"/>
            <w:vMerge w:val="continue"/>
            <w:vAlign w:val="center"/>
          </w:tcPr>
          <w:p w14:paraId="6ED01363">
            <w:pPr>
              <w:autoSpaceDE w:val="0"/>
              <w:autoSpaceDN w:val="0"/>
              <w:snapToGrid w:val="0"/>
              <w:spacing w:line="240" w:lineRule="auto"/>
              <w:ind w:firstLine="0" w:firstLineChars="0"/>
              <w:jc w:val="center"/>
              <w:rPr>
                <w:rFonts w:cs="Times New Roman"/>
                <w:bCs/>
                <w:kern w:val="0"/>
                <w:sz w:val="18"/>
                <w:szCs w:val="18"/>
              </w:rPr>
            </w:pPr>
          </w:p>
        </w:tc>
      </w:tr>
      <w:tr w14:paraId="6D03EE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3BB79FD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44</w:t>
            </w:r>
          </w:p>
          <w:p w14:paraId="705AB143">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26E22D4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衡阳力赛储能有限公司</w:t>
            </w:r>
          </w:p>
        </w:tc>
        <w:tc>
          <w:tcPr>
            <w:tcW w:w="199" w:type="pct"/>
            <w:vAlign w:val="center"/>
          </w:tcPr>
          <w:p w14:paraId="3306787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3A310C8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w:t>
            </w:r>
            <w:r>
              <w:rPr>
                <w:rFonts w:cs="Times New Roman"/>
                <w:bCs/>
                <w:spacing w:val="-35"/>
                <w:kern w:val="0"/>
                <w:sz w:val="18"/>
                <w:szCs w:val="18"/>
              </w:rPr>
              <w:t>、</w:t>
            </w:r>
            <w:r>
              <w:rPr>
                <w:rFonts w:cs="Times New Roman"/>
                <w:bCs/>
                <w:kern w:val="0"/>
                <w:sz w:val="18"/>
                <w:szCs w:val="18"/>
              </w:rPr>
              <w:t>P</w:t>
            </w:r>
            <w:r>
              <w:rPr>
                <w:rFonts w:cs="Times New Roman"/>
                <w:bCs/>
                <w:spacing w:val="-35"/>
                <w:kern w:val="0"/>
                <w:sz w:val="18"/>
                <w:szCs w:val="18"/>
              </w:rPr>
              <w:t>、</w:t>
            </w:r>
            <w:r>
              <w:rPr>
                <w:rFonts w:cs="Times New Roman"/>
                <w:bCs/>
                <w:kern w:val="0"/>
                <w:sz w:val="18"/>
                <w:szCs w:val="18"/>
              </w:rPr>
              <w:t>Li</w:t>
            </w:r>
            <w:r>
              <w:rPr>
                <w:rFonts w:cs="Times New Roman"/>
                <w:bCs/>
                <w:spacing w:val="-9"/>
                <w:kern w:val="0"/>
                <w:sz w:val="18"/>
                <w:szCs w:val="18"/>
              </w:rPr>
              <w:t>、氨氮、SS</w:t>
            </w:r>
          </w:p>
        </w:tc>
        <w:tc>
          <w:tcPr>
            <w:tcW w:w="417" w:type="pct"/>
            <w:vAlign w:val="center"/>
          </w:tcPr>
          <w:p w14:paraId="6B86696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1726.35t/a</w:t>
            </w:r>
          </w:p>
        </w:tc>
        <w:tc>
          <w:tcPr>
            <w:tcW w:w="2893" w:type="pct"/>
            <w:vAlign w:val="center"/>
          </w:tcPr>
          <w:p w14:paraId="1BCF5751">
            <w:pPr>
              <w:widowControl/>
              <w:snapToGrid w:val="0"/>
              <w:spacing w:line="240" w:lineRule="auto"/>
              <w:ind w:firstLine="0" w:firstLineChars="0"/>
              <w:jc w:val="center"/>
              <w:rPr>
                <w:rFonts w:cs="Times New Roman"/>
                <w:bCs/>
                <w:kern w:val="0"/>
                <w:sz w:val="18"/>
                <w:szCs w:val="18"/>
              </w:rPr>
            </w:pPr>
            <w:r>
              <w:rPr>
                <w:rFonts w:cs="Times New Roman"/>
                <w:bCs/>
                <w:spacing w:val="-6"/>
                <w:kern w:val="0"/>
                <w:sz w:val="18"/>
                <w:szCs w:val="18"/>
              </w:rPr>
              <w:t>电池清洗废水经厂区污水处理站</w:t>
            </w:r>
            <w:r>
              <w:rPr>
                <w:rFonts w:cs="Times New Roman"/>
                <w:bCs/>
                <w:kern w:val="0"/>
                <w:sz w:val="18"/>
                <w:szCs w:val="18"/>
              </w:rPr>
              <w:t>（</w:t>
            </w:r>
            <w:r>
              <w:rPr>
                <w:rFonts w:cs="Times New Roman"/>
                <w:bCs/>
                <w:spacing w:val="-18"/>
                <w:kern w:val="0"/>
                <w:sz w:val="18"/>
                <w:szCs w:val="18"/>
              </w:rPr>
              <w:t xml:space="preserve">调节 </w:t>
            </w:r>
            <w:r>
              <w:rPr>
                <w:rFonts w:cs="Times New Roman"/>
                <w:bCs/>
                <w:kern w:val="0"/>
                <w:sz w:val="18"/>
                <w:szCs w:val="18"/>
              </w:rPr>
              <w:t>pH</w:t>
            </w:r>
            <w:r>
              <w:rPr>
                <w:rFonts w:cs="Times New Roman"/>
                <w:bCs/>
                <w:spacing w:val="-2"/>
                <w:kern w:val="0"/>
                <w:sz w:val="18"/>
                <w:szCs w:val="18"/>
              </w:rPr>
              <w:t xml:space="preserve"> </w:t>
            </w:r>
            <w:r>
              <w:rPr>
                <w:rFonts w:cs="Times New Roman"/>
                <w:bCs/>
                <w:kern w:val="0"/>
                <w:sz w:val="18"/>
                <w:szCs w:val="18"/>
              </w:rPr>
              <w:t>值+一级氧化处理+二级强氧化处理+絮凝沉淀） 处理后排入松木污水处理厂处理；</w:t>
            </w:r>
            <w:r>
              <w:rPr>
                <w:rFonts w:cs="Times New Roman"/>
                <w:bCs/>
                <w:spacing w:val="-5"/>
                <w:kern w:val="0"/>
                <w:sz w:val="18"/>
                <w:szCs w:val="18"/>
              </w:rPr>
              <w:t>生活废水经化粪池预处理后排入园区污水管网，进入松木污水处理厂处理，处理达标后排</w:t>
            </w:r>
            <w:r>
              <w:rPr>
                <w:rFonts w:cs="Times New Roman"/>
                <w:bCs/>
                <w:kern w:val="0"/>
                <w:sz w:val="18"/>
                <w:szCs w:val="18"/>
              </w:rPr>
              <w:t>入湘江</w:t>
            </w:r>
          </w:p>
        </w:tc>
        <w:tc>
          <w:tcPr>
            <w:tcW w:w="671" w:type="pct"/>
            <w:vMerge w:val="restart"/>
            <w:vAlign w:val="center"/>
          </w:tcPr>
          <w:p w14:paraId="01EE0922">
            <w:pPr>
              <w:widowControl/>
              <w:snapToGrid w:val="0"/>
              <w:spacing w:line="240" w:lineRule="auto"/>
              <w:ind w:firstLine="0" w:firstLineChars="0"/>
              <w:jc w:val="center"/>
              <w:rPr>
                <w:rFonts w:cs="Times New Roman"/>
                <w:bCs/>
                <w:spacing w:val="-6"/>
                <w:kern w:val="0"/>
                <w:sz w:val="18"/>
                <w:szCs w:val="18"/>
              </w:rPr>
            </w:pPr>
            <w:r>
              <w:rPr>
                <w:rFonts w:cs="Times New Roman"/>
                <w:kern w:val="0"/>
                <w:sz w:val="18"/>
                <w:szCs w:val="18"/>
              </w:rPr>
              <w:t>后期雨水排放监控池、流量计、视频监控、pH、COD在线监测仪及监控站房</w:t>
            </w:r>
          </w:p>
        </w:tc>
      </w:tr>
      <w:tr w14:paraId="3C49DA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434B22DD">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115897FF">
            <w:pPr>
              <w:widowControl/>
              <w:snapToGrid w:val="0"/>
              <w:spacing w:line="240" w:lineRule="auto"/>
              <w:ind w:firstLine="0" w:firstLineChars="0"/>
              <w:jc w:val="center"/>
              <w:rPr>
                <w:rFonts w:cs="Times New Roman"/>
                <w:bCs/>
                <w:kern w:val="0"/>
                <w:sz w:val="18"/>
                <w:szCs w:val="18"/>
              </w:rPr>
            </w:pPr>
          </w:p>
        </w:tc>
        <w:tc>
          <w:tcPr>
            <w:tcW w:w="199" w:type="pct"/>
            <w:vAlign w:val="center"/>
          </w:tcPr>
          <w:p w14:paraId="348B6B5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0AEC200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VOC</w:t>
            </w:r>
            <w:r>
              <w:rPr>
                <w:rFonts w:cs="Times New Roman"/>
                <w:bCs/>
                <w:kern w:val="0"/>
                <w:sz w:val="18"/>
                <w:szCs w:val="18"/>
                <w:vertAlign w:val="subscript"/>
              </w:rPr>
              <w:t>S</w:t>
            </w:r>
          </w:p>
        </w:tc>
        <w:tc>
          <w:tcPr>
            <w:tcW w:w="417" w:type="pct"/>
            <w:vAlign w:val="center"/>
          </w:tcPr>
          <w:p w14:paraId="201F943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43588C1F">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涂布烘干溶剂、NMP挥发废气通过NMP冷凝回收后达标排放；注液有机废气通过转轮吸附后达标排放；配料粉尘通过真空吸尘处理后排放</w:t>
            </w:r>
            <w:r>
              <w:rPr>
                <w:rFonts w:cs="Times New Roman"/>
                <w:bCs/>
                <w:kern w:val="0"/>
                <w:sz w:val="18"/>
                <w:szCs w:val="18"/>
              </w:rPr>
              <w:t>；</w:t>
            </w:r>
          </w:p>
        </w:tc>
        <w:tc>
          <w:tcPr>
            <w:tcW w:w="671" w:type="pct"/>
            <w:vMerge w:val="continue"/>
            <w:vAlign w:val="center"/>
          </w:tcPr>
          <w:p w14:paraId="45C31BE6">
            <w:pPr>
              <w:widowControl/>
              <w:snapToGrid w:val="0"/>
              <w:spacing w:line="240" w:lineRule="auto"/>
              <w:ind w:firstLine="0" w:firstLineChars="0"/>
              <w:jc w:val="center"/>
              <w:rPr>
                <w:rFonts w:cs="Times New Roman"/>
                <w:bCs/>
                <w:kern w:val="0"/>
                <w:sz w:val="18"/>
                <w:szCs w:val="18"/>
              </w:rPr>
            </w:pPr>
          </w:p>
        </w:tc>
      </w:tr>
      <w:tr w14:paraId="6B17B9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218DBD5">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273F9373">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79B67C6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1213F91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06163D1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43.675t/a</w:t>
            </w:r>
          </w:p>
        </w:tc>
        <w:tc>
          <w:tcPr>
            <w:tcW w:w="2893" w:type="pct"/>
            <w:vAlign w:val="center"/>
          </w:tcPr>
          <w:p w14:paraId="0765104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废包装材料、正负极板下角料、废极耳、废铜箔等外售综合利用；生活垃圾交由环卫部门进行处理</w:t>
            </w:r>
          </w:p>
        </w:tc>
        <w:tc>
          <w:tcPr>
            <w:tcW w:w="671" w:type="pct"/>
            <w:vMerge w:val="continue"/>
            <w:vAlign w:val="center"/>
          </w:tcPr>
          <w:p w14:paraId="781F9D8F">
            <w:pPr>
              <w:widowControl/>
              <w:snapToGrid w:val="0"/>
              <w:spacing w:line="240" w:lineRule="auto"/>
              <w:ind w:firstLine="0" w:firstLineChars="0"/>
              <w:jc w:val="center"/>
              <w:rPr>
                <w:rFonts w:cs="Times New Roman"/>
                <w:bCs/>
                <w:kern w:val="0"/>
                <w:sz w:val="18"/>
                <w:szCs w:val="18"/>
              </w:rPr>
            </w:pPr>
          </w:p>
        </w:tc>
      </w:tr>
      <w:tr w14:paraId="142D0C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7B6CFF1F">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29E7A83E">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1B5D5FC8">
            <w:pPr>
              <w:widowControl/>
              <w:snapToGrid w:val="0"/>
              <w:spacing w:line="240" w:lineRule="auto"/>
              <w:ind w:firstLine="0" w:firstLineChars="0"/>
              <w:jc w:val="center"/>
              <w:rPr>
                <w:rFonts w:cs="Times New Roman"/>
                <w:bCs/>
                <w:kern w:val="0"/>
                <w:sz w:val="18"/>
                <w:szCs w:val="18"/>
              </w:rPr>
            </w:pPr>
          </w:p>
        </w:tc>
        <w:tc>
          <w:tcPr>
            <w:tcW w:w="485" w:type="pct"/>
            <w:vAlign w:val="center"/>
          </w:tcPr>
          <w:p w14:paraId="5C2FD6A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5557820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952.6t/a</w:t>
            </w:r>
          </w:p>
        </w:tc>
        <w:tc>
          <w:tcPr>
            <w:tcW w:w="2893" w:type="pct"/>
            <w:vAlign w:val="center"/>
          </w:tcPr>
          <w:p w14:paraId="6694A76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污泥委托有资质单位处理；NMP 冷凝回收液送生产厂家回收处理</w:t>
            </w:r>
          </w:p>
        </w:tc>
        <w:tc>
          <w:tcPr>
            <w:tcW w:w="671" w:type="pct"/>
            <w:vMerge w:val="continue"/>
            <w:vAlign w:val="center"/>
          </w:tcPr>
          <w:p w14:paraId="6FEDDB8F">
            <w:pPr>
              <w:widowControl/>
              <w:snapToGrid w:val="0"/>
              <w:spacing w:line="240" w:lineRule="auto"/>
              <w:ind w:firstLine="0" w:firstLineChars="0"/>
              <w:jc w:val="center"/>
              <w:rPr>
                <w:rFonts w:cs="Times New Roman"/>
                <w:bCs/>
                <w:kern w:val="0"/>
                <w:sz w:val="18"/>
                <w:szCs w:val="18"/>
              </w:rPr>
            </w:pPr>
          </w:p>
        </w:tc>
      </w:tr>
      <w:tr w14:paraId="1E822B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3DC75FA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45</w:t>
            </w:r>
          </w:p>
          <w:p w14:paraId="0DF4A6C3">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2199043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衡阳市鑫晟新能源有限公司</w:t>
            </w:r>
          </w:p>
        </w:tc>
        <w:tc>
          <w:tcPr>
            <w:tcW w:w="199" w:type="pct"/>
            <w:vAlign w:val="center"/>
          </w:tcPr>
          <w:p w14:paraId="63C348E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1F50363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COD、SS、氨氮</w:t>
            </w:r>
          </w:p>
        </w:tc>
        <w:tc>
          <w:tcPr>
            <w:tcW w:w="417" w:type="pct"/>
            <w:vAlign w:val="center"/>
          </w:tcPr>
          <w:p w14:paraId="35BBAF8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3200 m</w:t>
            </w:r>
            <w:r>
              <w:rPr>
                <w:rFonts w:cs="Times New Roman"/>
                <w:bCs/>
                <w:kern w:val="0"/>
                <w:position w:val="8"/>
                <w:sz w:val="18"/>
                <w:szCs w:val="18"/>
              </w:rPr>
              <w:t>3</w:t>
            </w:r>
            <w:r>
              <w:rPr>
                <w:rFonts w:cs="Times New Roman"/>
                <w:bCs/>
                <w:kern w:val="0"/>
                <w:sz w:val="18"/>
                <w:szCs w:val="18"/>
              </w:rPr>
              <w:t>/a</w:t>
            </w:r>
          </w:p>
        </w:tc>
        <w:tc>
          <w:tcPr>
            <w:tcW w:w="2893" w:type="pct"/>
            <w:vAlign w:val="center"/>
          </w:tcPr>
          <w:p w14:paraId="1B8B927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拖地废水、离子交换树脂再生废水经中和+沉淀处理后回用于地面拖地；</w:t>
            </w:r>
          </w:p>
          <w:p w14:paraId="73357EA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生活污水经化粪池预处理后进入经开区污水管网，最终进入松木污水处理厂进行处理</w:t>
            </w:r>
          </w:p>
        </w:tc>
        <w:tc>
          <w:tcPr>
            <w:tcW w:w="671" w:type="pct"/>
            <w:vMerge w:val="restart"/>
            <w:vAlign w:val="center"/>
          </w:tcPr>
          <w:p w14:paraId="560CC12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74A403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4F18FED5">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22DA4A9">
            <w:pPr>
              <w:widowControl/>
              <w:snapToGrid w:val="0"/>
              <w:spacing w:line="240" w:lineRule="auto"/>
              <w:ind w:firstLine="0" w:firstLineChars="0"/>
              <w:jc w:val="center"/>
              <w:rPr>
                <w:rFonts w:cs="Times New Roman"/>
                <w:bCs/>
                <w:kern w:val="0"/>
                <w:sz w:val="18"/>
                <w:szCs w:val="18"/>
              </w:rPr>
            </w:pPr>
          </w:p>
        </w:tc>
        <w:tc>
          <w:tcPr>
            <w:tcW w:w="199" w:type="pct"/>
            <w:vAlign w:val="center"/>
          </w:tcPr>
          <w:p w14:paraId="44C2556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638DA18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有机废气</w:t>
            </w:r>
          </w:p>
        </w:tc>
        <w:tc>
          <w:tcPr>
            <w:tcW w:w="417" w:type="pct"/>
            <w:vAlign w:val="center"/>
          </w:tcPr>
          <w:p w14:paraId="092C996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569C8903">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涂布工序烘干废气经活性炭吸附后排放；注液工序产生的电解液废气经活性炭吸附后外排；正负极配料间产生的粉尘项目通过配备集气罩和布袋除尘器处理后排放</w:t>
            </w:r>
          </w:p>
        </w:tc>
        <w:tc>
          <w:tcPr>
            <w:tcW w:w="671" w:type="pct"/>
            <w:vMerge w:val="continue"/>
            <w:vAlign w:val="center"/>
          </w:tcPr>
          <w:p w14:paraId="6A31A787">
            <w:pPr>
              <w:widowControl/>
              <w:snapToGrid w:val="0"/>
              <w:spacing w:line="240" w:lineRule="auto"/>
              <w:ind w:firstLine="0" w:firstLineChars="0"/>
              <w:jc w:val="center"/>
              <w:rPr>
                <w:rFonts w:cs="Times New Roman"/>
                <w:bCs/>
                <w:kern w:val="0"/>
                <w:sz w:val="18"/>
                <w:szCs w:val="18"/>
              </w:rPr>
            </w:pPr>
          </w:p>
        </w:tc>
      </w:tr>
      <w:tr w14:paraId="6378B2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8A4E22D">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59D967D">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55D5BD2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081E4F4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22FE647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40.285t/a</w:t>
            </w:r>
          </w:p>
        </w:tc>
        <w:tc>
          <w:tcPr>
            <w:tcW w:w="2893" w:type="pct"/>
            <w:vMerge w:val="restart"/>
            <w:vAlign w:val="center"/>
          </w:tcPr>
          <w:p w14:paraId="17AE249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生活垃圾交由环卫人员清运；废铜箔、废铝箔、废隔膜、废极耳等一般固废收集后外售；</w:t>
            </w:r>
            <w:r>
              <w:rPr>
                <w:rFonts w:cs="Times New Roman"/>
                <w:bCs/>
                <w:spacing w:val="-9"/>
                <w:kern w:val="0"/>
                <w:sz w:val="18"/>
                <w:szCs w:val="18"/>
              </w:rPr>
              <w:t>废抹布、废手套、废电池、废包装材料、废活性炭、</w:t>
            </w:r>
            <w:r>
              <w:rPr>
                <w:rFonts w:cs="Times New Roman"/>
                <w:bCs/>
                <w:kern w:val="0"/>
                <w:sz w:val="18"/>
                <w:szCs w:val="18"/>
              </w:rPr>
              <w:t>NMP</w:t>
            </w:r>
            <w:r>
              <w:rPr>
                <w:rFonts w:cs="Times New Roman"/>
                <w:bCs/>
                <w:spacing w:val="-8"/>
                <w:kern w:val="0"/>
                <w:sz w:val="18"/>
                <w:szCs w:val="18"/>
              </w:rPr>
              <w:t xml:space="preserve"> </w:t>
            </w:r>
            <w:r>
              <w:rPr>
                <w:rFonts w:cs="Times New Roman"/>
                <w:bCs/>
                <w:spacing w:val="-3"/>
                <w:kern w:val="0"/>
                <w:sz w:val="18"/>
                <w:szCs w:val="18"/>
              </w:rPr>
              <w:t>冷凝回收液、废离子交换树脂、配料车间地面废渣等危险固废交由资质单位进行处理。</w:t>
            </w:r>
          </w:p>
        </w:tc>
        <w:tc>
          <w:tcPr>
            <w:tcW w:w="671" w:type="pct"/>
            <w:vMerge w:val="continue"/>
            <w:vAlign w:val="center"/>
          </w:tcPr>
          <w:p w14:paraId="188E2068">
            <w:pPr>
              <w:widowControl/>
              <w:snapToGrid w:val="0"/>
              <w:spacing w:line="240" w:lineRule="auto"/>
              <w:ind w:firstLine="0" w:firstLineChars="0"/>
              <w:jc w:val="center"/>
              <w:rPr>
                <w:rFonts w:cs="Times New Roman"/>
                <w:bCs/>
                <w:kern w:val="0"/>
                <w:sz w:val="18"/>
                <w:szCs w:val="18"/>
              </w:rPr>
            </w:pPr>
          </w:p>
        </w:tc>
      </w:tr>
      <w:tr w14:paraId="62CD13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BDF9DAD">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326CC10">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45DEF1E2">
            <w:pPr>
              <w:widowControl/>
              <w:snapToGrid w:val="0"/>
              <w:spacing w:line="240" w:lineRule="auto"/>
              <w:ind w:firstLine="0" w:firstLineChars="0"/>
              <w:jc w:val="center"/>
              <w:rPr>
                <w:rFonts w:cs="Times New Roman"/>
                <w:bCs/>
                <w:kern w:val="0"/>
                <w:sz w:val="18"/>
                <w:szCs w:val="18"/>
              </w:rPr>
            </w:pPr>
          </w:p>
        </w:tc>
        <w:tc>
          <w:tcPr>
            <w:tcW w:w="485" w:type="pct"/>
            <w:vAlign w:val="center"/>
          </w:tcPr>
          <w:p w14:paraId="3D15086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1E7C010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45.9t/a</w:t>
            </w:r>
          </w:p>
        </w:tc>
        <w:tc>
          <w:tcPr>
            <w:tcW w:w="2893" w:type="pct"/>
            <w:vMerge w:val="continue"/>
            <w:vAlign w:val="center"/>
          </w:tcPr>
          <w:p w14:paraId="333124C8">
            <w:pPr>
              <w:autoSpaceDE w:val="0"/>
              <w:autoSpaceDN w:val="0"/>
              <w:snapToGrid w:val="0"/>
              <w:spacing w:line="240" w:lineRule="auto"/>
              <w:ind w:firstLine="0" w:firstLineChars="0"/>
              <w:jc w:val="center"/>
              <w:rPr>
                <w:rFonts w:cs="Times New Roman"/>
                <w:bCs/>
                <w:kern w:val="0"/>
                <w:sz w:val="18"/>
                <w:szCs w:val="18"/>
              </w:rPr>
            </w:pPr>
          </w:p>
        </w:tc>
        <w:tc>
          <w:tcPr>
            <w:tcW w:w="671" w:type="pct"/>
            <w:vMerge w:val="continue"/>
            <w:vAlign w:val="center"/>
          </w:tcPr>
          <w:p w14:paraId="66880DFF">
            <w:pPr>
              <w:autoSpaceDE w:val="0"/>
              <w:autoSpaceDN w:val="0"/>
              <w:snapToGrid w:val="0"/>
              <w:spacing w:line="240" w:lineRule="auto"/>
              <w:ind w:firstLine="0" w:firstLineChars="0"/>
              <w:jc w:val="center"/>
              <w:rPr>
                <w:rFonts w:cs="Times New Roman"/>
                <w:bCs/>
                <w:kern w:val="0"/>
                <w:sz w:val="18"/>
                <w:szCs w:val="18"/>
              </w:rPr>
            </w:pPr>
          </w:p>
        </w:tc>
      </w:tr>
      <w:tr w14:paraId="6032FA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5" w:hRule="atLeast"/>
        </w:trPr>
        <w:tc>
          <w:tcPr>
            <w:tcW w:w="100" w:type="pct"/>
            <w:vMerge w:val="restart"/>
            <w:vAlign w:val="center"/>
          </w:tcPr>
          <w:p w14:paraId="14CBF0C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46</w:t>
            </w:r>
          </w:p>
          <w:p w14:paraId="2ED3A74B">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0B1F1E2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衡阳市诺顿焊材有限公司</w:t>
            </w:r>
          </w:p>
        </w:tc>
        <w:tc>
          <w:tcPr>
            <w:tcW w:w="199" w:type="pct"/>
            <w:vAlign w:val="center"/>
          </w:tcPr>
          <w:p w14:paraId="60CA937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0796C20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SS、COD、石油类</w:t>
            </w:r>
          </w:p>
        </w:tc>
        <w:tc>
          <w:tcPr>
            <w:tcW w:w="417" w:type="pct"/>
            <w:vAlign w:val="center"/>
          </w:tcPr>
          <w:p w14:paraId="31DE8DB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720 m</w:t>
            </w:r>
            <w:r>
              <w:rPr>
                <w:rFonts w:cs="Times New Roman"/>
                <w:bCs/>
                <w:kern w:val="0"/>
                <w:position w:val="8"/>
                <w:sz w:val="18"/>
                <w:szCs w:val="18"/>
              </w:rPr>
              <w:t>3</w:t>
            </w:r>
            <w:r>
              <w:rPr>
                <w:rFonts w:cs="Times New Roman"/>
                <w:bCs/>
                <w:kern w:val="0"/>
                <w:sz w:val="18"/>
                <w:szCs w:val="18"/>
              </w:rPr>
              <w:t>/a</w:t>
            </w:r>
          </w:p>
        </w:tc>
        <w:tc>
          <w:tcPr>
            <w:tcW w:w="2893" w:type="pct"/>
            <w:vAlign w:val="center"/>
          </w:tcPr>
          <w:p w14:paraId="1C3EE75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酸洗、碱洗及清洗产生的废水经中和、絮凝沉淀、过滤后回用；</w:t>
            </w:r>
            <w:r>
              <w:rPr>
                <w:rFonts w:cs="Times New Roman"/>
                <w:bCs/>
                <w:spacing w:val="-5"/>
                <w:kern w:val="0"/>
                <w:sz w:val="18"/>
                <w:szCs w:val="18"/>
              </w:rPr>
              <w:t>经沉淀预处理的保洁废水与经隔油预处理的生活污水进入化粪池进行处理，处理后的污水</w:t>
            </w:r>
            <w:r>
              <w:rPr>
                <w:rFonts w:cs="Times New Roman"/>
                <w:bCs/>
                <w:kern w:val="0"/>
                <w:sz w:val="18"/>
                <w:szCs w:val="18"/>
              </w:rPr>
              <w:t>经经开区污水管网进入松木污水处理厂进行处理</w:t>
            </w:r>
          </w:p>
        </w:tc>
        <w:tc>
          <w:tcPr>
            <w:tcW w:w="671" w:type="pct"/>
            <w:vMerge w:val="restart"/>
            <w:vAlign w:val="center"/>
          </w:tcPr>
          <w:p w14:paraId="27C778FE">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后期雨水排放监控池、流量计、视频监控、pH、总铜在线监测仪及监控站房</w:t>
            </w:r>
          </w:p>
        </w:tc>
      </w:tr>
      <w:tr w14:paraId="49A7E8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6D78BD9">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2A44F3DD">
            <w:pPr>
              <w:widowControl/>
              <w:snapToGrid w:val="0"/>
              <w:spacing w:line="240" w:lineRule="auto"/>
              <w:ind w:firstLine="0" w:firstLineChars="0"/>
              <w:jc w:val="center"/>
              <w:rPr>
                <w:rFonts w:cs="Times New Roman"/>
                <w:bCs/>
                <w:kern w:val="0"/>
                <w:sz w:val="18"/>
                <w:szCs w:val="18"/>
              </w:rPr>
            </w:pPr>
          </w:p>
        </w:tc>
        <w:tc>
          <w:tcPr>
            <w:tcW w:w="199" w:type="pct"/>
            <w:vAlign w:val="center"/>
          </w:tcPr>
          <w:p w14:paraId="0E03C3C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7E8F9577">
            <w:pPr>
              <w:widowControl/>
              <w:snapToGrid w:val="0"/>
              <w:spacing w:line="240" w:lineRule="auto"/>
              <w:ind w:firstLine="0" w:firstLineChars="0"/>
              <w:jc w:val="center"/>
              <w:rPr>
                <w:rFonts w:cs="Times New Roman"/>
                <w:bCs/>
                <w:kern w:val="0"/>
                <w:sz w:val="18"/>
                <w:szCs w:val="18"/>
              </w:rPr>
            </w:pPr>
            <w:r>
              <w:rPr>
                <w:rFonts w:cs="Times New Roman"/>
                <w:bCs/>
                <w:spacing w:val="-2"/>
                <w:kern w:val="0"/>
                <w:sz w:val="18"/>
                <w:szCs w:val="18"/>
              </w:rPr>
              <w:t>硫酸雾、二氧化硫、</w:t>
            </w:r>
            <w:r>
              <w:rPr>
                <w:rFonts w:cs="Times New Roman"/>
                <w:bCs/>
                <w:kern w:val="0"/>
                <w:sz w:val="18"/>
                <w:szCs w:val="18"/>
              </w:rPr>
              <w:t>氮氧化物、油烟</w:t>
            </w:r>
          </w:p>
        </w:tc>
        <w:tc>
          <w:tcPr>
            <w:tcW w:w="417" w:type="pct"/>
            <w:vAlign w:val="center"/>
          </w:tcPr>
          <w:p w14:paraId="3505EC3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447C593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硫酸雾经水喷淋处理装置处理后经 15m 排气筒排放；</w:t>
            </w:r>
          </w:p>
          <w:p w14:paraId="0638B60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食堂油烟经油烟净化器处理后排放</w:t>
            </w:r>
          </w:p>
        </w:tc>
        <w:tc>
          <w:tcPr>
            <w:tcW w:w="671" w:type="pct"/>
            <w:vMerge w:val="continue"/>
            <w:vAlign w:val="center"/>
          </w:tcPr>
          <w:p w14:paraId="27D387CC">
            <w:pPr>
              <w:widowControl/>
              <w:snapToGrid w:val="0"/>
              <w:spacing w:line="240" w:lineRule="auto"/>
              <w:ind w:firstLine="0" w:firstLineChars="0"/>
              <w:jc w:val="center"/>
              <w:rPr>
                <w:rFonts w:cs="Times New Roman"/>
                <w:bCs/>
                <w:kern w:val="0"/>
                <w:sz w:val="18"/>
                <w:szCs w:val="18"/>
              </w:rPr>
            </w:pPr>
          </w:p>
        </w:tc>
      </w:tr>
      <w:tr w14:paraId="2EF317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94C3931">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2E443BB">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6B0AB37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464D3F9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7565ABA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35.4t/a</w:t>
            </w:r>
          </w:p>
        </w:tc>
        <w:tc>
          <w:tcPr>
            <w:tcW w:w="2893" w:type="pct"/>
            <w:vMerge w:val="restart"/>
            <w:vAlign w:val="center"/>
          </w:tcPr>
          <w:p w14:paraId="70DDA73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废边角料、铁灰等外售综合利用； 生活垃圾交由环卫部门进行处理；</w:t>
            </w:r>
          </w:p>
          <w:p w14:paraId="449DE40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镀铜泥、污泥、废抛光油等危废进行分类收集达到一定数量后委托资质单位进行处理</w:t>
            </w:r>
          </w:p>
        </w:tc>
        <w:tc>
          <w:tcPr>
            <w:tcW w:w="671" w:type="pct"/>
            <w:vMerge w:val="continue"/>
            <w:vAlign w:val="center"/>
          </w:tcPr>
          <w:p w14:paraId="15C24EB5">
            <w:pPr>
              <w:widowControl/>
              <w:snapToGrid w:val="0"/>
              <w:spacing w:line="240" w:lineRule="auto"/>
              <w:ind w:firstLine="0" w:firstLineChars="0"/>
              <w:jc w:val="center"/>
              <w:rPr>
                <w:rFonts w:cs="Times New Roman"/>
                <w:bCs/>
                <w:kern w:val="0"/>
                <w:sz w:val="18"/>
                <w:szCs w:val="18"/>
              </w:rPr>
            </w:pPr>
          </w:p>
        </w:tc>
      </w:tr>
      <w:tr w14:paraId="76C5BE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CDDA46F">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D3FC6CD">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5BCF41E3">
            <w:pPr>
              <w:widowControl/>
              <w:snapToGrid w:val="0"/>
              <w:spacing w:line="240" w:lineRule="auto"/>
              <w:ind w:firstLine="0" w:firstLineChars="0"/>
              <w:jc w:val="center"/>
              <w:rPr>
                <w:rFonts w:cs="Times New Roman"/>
                <w:bCs/>
                <w:kern w:val="0"/>
                <w:sz w:val="18"/>
                <w:szCs w:val="18"/>
              </w:rPr>
            </w:pPr>
          </w:p>
        </w:tc>
        <w:tc>
          <w:tcPr>
            <w:tcW w:w="485" w:type="pct"/>
            <w:vAlign w:val="center"/>
          </w:tcPr>
          <w:p w14:paraId="08F5D72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3AD07F6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0.3t/a</w:t>
            </w:r>
          </w:p>
        </w:tc>
        <w:tc>
          <w:tcPr>
            <w:tcW w:w="2893" w:type="pct"/>
            <w:vMerge w:val="continue"/>
            <w:vAlign w:val="center"/>
          </w:tcPr>
          <w:p w14:paraId="1092C5D5">
            <w:pPr>
              <w:autoSpaceDE w:val="0"/>
              <w:autoSpaceDN w:val="0"/>
              <w:snapToGrid w:val="0"/>
              <w:spacing w:line="240" w:lineRule="auto"/>
              <w:ind w:firstLine="0" w:firstLineChars="0"/>
              <w:jc w:val="center"/>
              <w:rPr>
                <w:rFonts w:cs="Times New Roman"/>
                <w:bCs/>
                <w:kern w:val="0"/>
                <w:sz w:val="18"/>
                <w:szCs w:val="18"/>
              </w:rPr>
            </w:pPr>
          </w:p>
        </w:tc>
        <w:tc>
          <w:tcPr>
            <w:tcW w:w="671" w:type="pct"/>
            <w:vMerge w:val="continue"/>
            <w:vAlign w:val="center"/>
          </w:tcPr>
          <w:p w14:paraId="2C806D80">
            <w:pPr>
              <w:autoSpaceDE w:val="0"/>
              <w:autoSpaceDN w:val="0"/>
              <w:snapToGrid w:val="0"/>
              <w:spacing w:line="240" w:lineRule="auto"/>
              <w:ind w:firstLine="0" w:firstLineChars="0"/>
              <w:jc w:val="center"/>
              <w:rPr>
                <w:rFonts w:cs="Times New Roman"/>
                <w:bCs/>
                <w:kern w:val="0"/>
                <w:sz w:val="18"/>
                <w:szCs w:val="18"/>
              </w:rPr>
            </w:pPr>
          </w:p>
        </w:tc>
      </w:tr>
      <w:tr w14:paraId="5FA1EA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10EBA65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47</w:t>
            </w:r>
          </w:p>
          <w:p w14:paraId="7DE5FC5C">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02F4AED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湖南大好新型墙体材料有限公司</w:t>
            </w:r>
          </w:p>
        </w:tc>
        <w:tc>
          <w:tcPr>
            <w:tcW w:w="199" w:type="pct"/>
            <w:vAlign w:val="center"/>
          </w:tcPr>
          <w:p w14:paraId="2AFF925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3C45DDD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COD、氨氮、动植物油</w:t>
            </w:r>
          </w:p>
        </w:tc>
        <w:tc>
          <w:tcPr>
            <w:tcW w:w="417" w:type="pct"/>
            <w:vAlign w:val="center"/>
          </w:tcPr>
          <w:p w14:paraId="6EB5F6C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7271 m</w:t>
            </w:r>
            <w:r>
              <w:rPr>
                <w:rFonts w:cs="Times New Roman"/>
                <w:bCs/>
                <w:kern w:val="0"/>
                <w:position w:val="8"/>
                <w:sz w:val="18"/>
                <w:szCs w:val="18"/>
              </w:rPr>
              <w:t>3</w:t>
            </w:r>
            <w:r>
              <w:rPr>
                <w:rFonts w:cs="Times New Roman"/>
                <w:bCs/>
                <w:kern w:val="0"/>
                <w:sz w:val="18"/>
                <w:szCs w:val="18"/>
              </w:rPr>
              <w:t>/a</w:t>
            </w:r>
          </w:p>
        </w:tc>
        <w:tc>
          <w:tcPr>
            <w:tcW w:w="2893" w:type="pct"/>
            <w:vAlign w:val="center"/>
          </w:tcPr>
          <w:p w14:paraId="1053FFB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生产工艺废水循环使用不外排，锅炉脱硫除尘废水经沉淀处理后循环使用，不外排；</w:t>
            </w:r>
          </w:p>
          <w:p w14:paraId="3B0A813B">
            <w:pPr>
              <w:widowControl/>
              <w:snapToGrid w:val="0"/>
              <w:spacing w:line="240" w:lineRule="auto"/>
              <w:ind w:firstLine="0" w:firstLineChars="0"/>
              <w:jc w:val="center"/>
              <w:rPr>
                <w:rFonts w:cs="Times New Roman"/>
                <w:bCs/>
                <w:kern w:val="0"/>
                <w:sz w:val="18"/>
                <w:szCs w:val="18"/>
              </w:rPr>
            </w:pPr>
            <w:r>
              <w:rPr>
                <w:rFonts w:cs="Times New Roman"/>
                <w:bCs/>
                <w:spacing w:val="-5"/>
                <w:kern w:val="0"/>
                <w:sz w:val="18"/>
                <w:szCs w:val="18"/>
              </w:rPr>
              <w:t>生活污水经化粪池预处理后经污水排放口进入经开区污水管道，最终经松木污水处理站处</w:t>
            </w:r>
            <w:r>
              <w:rPr>
                <w:rFonts w:cs="Times New Roman"/>
                <w:bCs/>
                <w:kern w:val="0"/>
                <w:sz w:val="18"/>
                <w:szCs w:val="18"/>
              </w:rPr>
              <w:t>理后排放至湘江</w:t>
            </w:r>
          </w:p>
        </w:tc>
        <w:tc>
          <w:tcPr>
            <w:tcW w:w="671" w:type="pct"/>
            <w:vMerge w:val="restart"/>
            <w:vAlign w:val="center"/>
          </w:tcPr>
          <w:p w14:paraId="7154AA4F">
            <w:pPr>
              <w:widowControl/>
              <w:snapToGrid w:val="0"/>
              <w:spacing w:line="240" w:lineRule="auto"/>
              <w:ind w:firstLine="0" w:firstLineChars="0"/>
              <w:jc w:val="center"/>
              <w:rPr>
                <w:rFonts w:cs="Times New Roman"/>
                <w:bCs/>
                <w:spacing w:val="-5"/>
                <w:kern w:val="0"/>
                <w:sz w:val="18"/>
                <w:szCs w:val="18"/>
              </w:rPr>
            </w:pPr>
            <w:r>
              <w:rPr>
                <w:rFonts w:cs="Times New Roman"/>
                <w:kern w:val="0"/>
                <w:sz w:val="18"/>
                <w:szCs w:val="18"/>
              </w:rPr>
              <w:t>后期雨水排放监控池、流量计、视频监控、pH在线监测仪、SS在线监测仪及监控站房</w:t>
            </w:r>
          </w:p>
        </w:tc>
      </w:tr>
      <w:tr w14:paraId="329D62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47F793FA">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777CB72">
            <w:pPr>
              <w:widowControl/>
              <w:snapToGrid w:val="0"/>
              <w:spacing w:line="240" w:lineRule="auto"/>
              <w:ind w:firstLine="0" w:firstLineChars="0"/>
              <w:jc w:val="center"/>
              <w:rPr>
                <w:rFonts w:cs="Times New Roman"/>
                <w:bCs/>
                <w:kern w:val="0"/>
                <w:sz w:val="18"/>
                <w:szCs w:val="18"/>
              </w:rPr>
            </w:pPr>
          </w:p>
        </w:tc>
        <w:tc>
          <w:tcPr>
            <w:tcW w:w="199" w:type="pct"/>
            <w:vAlign w:val="center"/>
          </w:tcPr>
          <w:p w14:paraId="424E10E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5CEDCD0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粉尘、SO</w:t>
            </w:r>
            <w:r>
              <w:rPr>
                <w:rFonts w:cs="Times New Roman"/>
                <w:bCs/>
                <w:kern w:val="0"/>
                <w:sz w:val="18"/>
                <w:szCs w:val="18"/>
                <w:vertAlign w:val="subscript"/>
              </w:rPr>
              <w:t>2</w:t>
            </w:r>
            <w:r>
              <w:rPr>
                <w:rFonts w:cs="Times New Roman"/>
                <w:bCs/>
                <w:kern w:val="0"/>
                <w:sz w:val="18"/>
                <w:szCs w:val="18"/>
              </w:rPr>
              <w:t>、NO</w:t>
            </w:r>
            <w:r>
              <w:rPr>
                <w:rFonts w:cs="Times New Roman"/>
                <w:bCs/>
                <w:kern w:val="0"/>
                <w:sz w:val="18"/>
                <w:szCs w:val="18"/>
                <w:vertAlign w:val="subscript"/>
              </w:rPr>
              <w:t>x</w:t>
            </w:r>
          </w:p>
        </w:tc>
        <w:tc>
          <w:tcPr>
            <w:tcW w:w="417" w:type="pct"/>
            <w:vAlign w:val="center"/>
          </w:tcPr>
          <w:p w14:paraId="699C67D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1DCA2AB8">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破碎、进砂、搅拌粉尘通过布袋除尘处理后达标排放；生物质锅炉尾气通过旋风+布袋除尘器处理后达标排放</w:t>
            </w:r>
            <w:r>
              <w:rPr>
                <w:rFonts w:cs="Times New Roman"/>
                <w:bCs/>
                <w:kern w:val="0"/>
                <w:sz w:val="18"/>
                <w:szCs w:val="18"/>
              </w:rPr>
              <w:t>；食堂油烟采用油烟净化设施处理后经专用排气筒排放</w:t>
            </w:r>
          </w:p>
        </w:tc>
        <w:tc>
          <w:tcPr>
            <w:tcW w:w="671" w:type="pct"/>
            <w:vMerge w:val="continue"/>
            <w:vAlign w:val="center"/>
          </w:tcPr>
          <w:p w14:paraId="23887EDC">
            <w:pPr>
              <w:widowControl/>
              <w:snapToGrid w:val="0"/>
              <w:spacing w:line="240" w:lineRule="auto"/>
              <w:ind w:firstLine="0" w:firstLineChars="0"/>
              <w:jc w:val="center"/>
              <w:rPr>
                <w:rFonts w:cs="Times New Roman"/>
                <w:bCs/>
                <w:kern w:val="0"/>
                <w:sz w:val="18"/>
                <w:szCs w:val="18"/>
              </w:rPr>
            </w:pPr>
          </w:p>
        </w:tc>
      </w:tr>
      <w:tr w14:paraId="4D8010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4D039711">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18A18AF5">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76E1A7D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1117FA4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5094598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1125.97t/a</w:t>
            </w:r>
          </w:p>
        </w:tc>
        <w:tc>
          <w:tcPr>
            <w:tcW w:w="2893" w:type="pct"/>
            <w:vMerge w:val="restart"/>
            <w:vAlign w:val="center"/>
          </w:tcPr>
          <w:p w14:paraId="3C963D72">
            <w:pPr>
              <w:widowControl/>
              <w:snapToGrid w:val="0"/>
              <w:spacing w:line="240" w:lineRule="auto"/>
              <w:ind w:firstLine="0" w:firstLineChars="0"/>
              <w:jc w:val="center"/>
              <w:rPr>
                <w:rFonts w:cs="Times New Roman"/>
                <w:bCs/>
                <w:kern w:val="0"/>
                <w:sz w:val="18"/>
                <w:szCs w:val="18"/>
              </w:rPr>
            </w:pPr>
            <w:r>
              <w:rPr>
                <w:rFonts w:cs="Times New Roman"/>
                <w:bCs/>
                <w:spacing w:val="-1"/>
                <w:kern w:val="0"/>
                <w:sz w:val="18"/>
                <w:szCs w:val="18"/>
              </w:rPr>
              <w:t xml:space="preserve">布袋收集的粉尘、边角料、锅炉炉渣回用于原材料制备工序； </w:t>
            </w:r>
            <w:r>
              <w:rPr>
                <w:rFonts w:cs="Times New Roman"/>
                <w:bCs/>
                <w:kern w:val="0"/>
                <w:sz w:val="18"/>
                <w:szCs w:val="18"/>
              </w:rPr>
              <w:t>生活垃圾交由环卫部门进行处理；危险固废废油桶交由厂家回收利用</w:t>
            </w:r>
          </w:p>
        </w:tc>
        <w:tc>
          <w:tcPr>
            <w:tcW w:w="671" w:type="pct"/>
            <w:vMerge w:val="continue"/>
            <w:vAlign w:val="center"/>
          </w:tcPr>
          <w:p w14:paraId="50AF890B">
            <w:pPr>
              <w:widowControl/>
              <w:snapToGrid w:val="0"/>
              <w:spacing w:line="240" w:lineRule="auto"/>
              <w:ind w:firstLine="0" w:firstLineChars="0"/>
              <w:jc w:val="center"/>
              <w:rPr>
                <w:rFonts w:cs="Times New Roman"/>
                <w:bCs/>
                <w:spacing w:val="-1"/>
                <w:kern w:val="0"/>
                <w:sz w:val="18"/>
                <w:szCs w:val="18"/>
              </w:rPr>
            </w:pPr>
          </w:p>
        </w:tc>
      </w:tr>
      <w:tr w14:paraId="75E6EA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4EB08E78">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8022B73">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29590157">
            <w:pPr>
              <w:widowControl/>
              <w:snapToGrid w:val="0"/>
              <w:spacing w:line="240" w:lineRule="auto"/>
              <w:ind w:firstLine="0" w:firstLineChars="0"/>
              <w:jc w:val="center"/>
              <w:rPr>
                <w:rFonts w:cs="Times New Roman"/>
                <w:bCs/>
                <w:kern w:val="0"/>
                <w:sz w:val="18"/>
                <w:szCs w:val="18"/>
              </w:rPr>
            </w:pPr>
          </w:p>
        </w:tc>
        <w:tc>
          <w:tcPr>
            <w:tcW w:w="485" w:type="pct"/>
            <w:vAlign w:val="center"/>
          </w:tcPr>
          <w:p w14:paraId="2175229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22B81EA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0.2t/a</w:t>
            </w:r>
          </w:p>
        </w:tc>
        <w:tc>
          <w:tcPr>
            <w:tcW w:w="2893" w:type="pct"/>
            <w:vMerge w:val="continue"/>
            <w:vAlign w:val="center"/>
          </w:tcPr>
          <w:p w14:paraId="348DD5A0">
            <w:pPr>
              <w:autoSpaceDE w:val="0"/>
              <w:autoSpaceDN w:val="0"/>
              <w:snapToGrid w:val="0"/>
              <w:spacing w:line="240" w:lineRule="auto"/>
              <w:ind w:firstLine="0" w:firstLineChars="0"/>
              <w:jc w:val="center"/>
              <w:rPr>
                <w:rFonts w:cs="Times New Roman"/>
                <w:bCs/>
                <w:kern w:val="0"/>
                <w:sz w:val="18"/>
                <w:szCs w:val="18"/>
              </w:rPr>
            </w:pPr>
          </w:p>
        </w:tc>
        <w:tc>
          <w:tcPr>
            <w:tcW w:w="671" w:type="pct"/>
            <w:vMerge w:val="continue"/>
            <w:vAlign w:val="center"/>
          </w:tcPr>
          <w:p w14:paraId="6D673DE5">
            <w:pPr>
              <w:autoSpaceDE w:val="0"/>
              <w:autoSpaceDN w:val="0"/>
              <w:snapToGrid w:val="0"/>
              <w:spacing w:line="240" w:lineRule="auto"/>
              <w:ind w:firstLine="0" w:firstLineChars="0"/>
              <w:jc w:val="center"/>
              <w:rPr>
                <w:rFonts w:cs="Times New Roman"/>
                <w:bCs/>
                <w:kern w:val="0"/>
                <w:sz w:val="18"/>
                <w:szCs w:val="18"/>
              </w:rPr>
            </w:pPr>
          </w:p>
        </w:tc>
      </w:tr>
      <w:tr w14:paraId="322751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trPr>
        <w:tc>
          <w:tcPr>
            <w:tcW w:w="100" w:type="pct"/>
            <w:vMerge w:val="restart"/>
            <w:vAlign w:val="center"/>
          </w:tcPr>
          <w:p w14:paraId="568A497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48</w:t>
            </w:r>
          </w:p>
          <w:p w14:paraId="7E5EF7EA">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32310AB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湖南中航紧固系统有限公司</w:t>
            </w:r>
          </w:p>
        </w:tc>
        <w:tc>
          <w:tcPr>
            <w:tcW w:w="199" w:type="pct"/>
            <w:vAlign w:val="center"/>
          </w:tcPr>
          <w:p w14:paraId="1B5B871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6B1FE51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石油类、SS、COD</w:t>
            </w:r>
          </w:p>
        </w:tc>
        <w:tc>
          <w:tcPr>
            <w:tcW w:w="417" w:type="pct"/>
            <w:vAlign w:val="center"/>
          </w:tcPr>
          <w:p w14:paraId="5D66DF4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50820 m</w:t>
            </w:r>
            <w:r>
              <w:rPr>
                <w:rFonts w:cs="Times New Roman"/>
                <w:bCs/>
                <w:kern w:val="0"/>
                <w:position w:val="8"/>
                <w:sz w:val="18"/>
                <w:szCs w:val="18"/>
              </w:rPr>
              <w:t>3</w:t>
            </w:r>
            <w:r>
              <w:rPr>
                <w:rFonts w:cs="Times New Roman"/>
                <w:bCs/>
                <w:kern w:val="0"/>
                <w:sz w:val="18"/>
                <w:szCs w:val="18"/>
              </w:rPr>
              <w:t>/a</w:t>
            </w:r>
          </w:p>
        </w:tc>
        <w:tc>
          <w:tcPr>
            <w:tcW w:w="2893" w:type="pct"/>
            <w:vAlign w:val="center"/>
          </w:tcPr>
          <w:p w14:paraId="15027F6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车间地面含油废水经隔油处理后与经化粪池简单处理后的生活污水一起排入经开区污水管网，进入松木污水处理厂进行处理</w:t>
            </w:r>
          </w:p>
        </w:tc>
        <w:tc>
          <w:tcPr>
            <w:tcW w:w="671" w:type="pct"/>
            <w:vMerge w:val="restart"/>
            <w:vAlign w:val="center"/>
          </w:tcPr>
          <w:p w14:paraId="34694469">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后期雨水排放监控池、流量计、COD在线监测、视频监控及监控站房</w:t>
            </w:r>
          </w:p>
        </w:tc>
      </w:tr>
      <w:tr w14:paraId="7AB69A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3A841F4">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5EAB8DE">
            <w:pPr>
              <w:widowControl/>
              <w:snapToGrid w:val="0"/>
              <w:spacing w:line="240" w:lineRule="auto"/>
              <w:ind w:firstLine="0" w:firstLineChars="0"/>
              <w:jc w:val="center"/>
              <w:rPr>
                <w:rFonts w:cs="Times New Roman"/>
                <w:bCs/>
                <w:kern w:val="0"/>
                <w:sz w:val="18"/>
                <w:szCs w:val="18"/>
              </w:rPr>
            </w:pPr>
          </w:p>
        </w:tc>
        <w:tc>
          <w:tcPr>
            <w:tcW w:w="199" w:type="pct"/>
            <w:vAlign w:val="center"/>
          </w:tcPr>
          <w:p w14:paraId="43A31B8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3834A2B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非甲烷总烃、油烟</w:t>
            </w:r>
          </w:p>
        </w:tc>
        <w:tc>
          <w:tcPr>
            <w:tcW w:w="417" w:type="pct"/>
            <w:vAlign w:val="center"/>
          </w:tcPr>
          <w:p w14:paraId="7935EBE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27C61BAE">
            <w:pPr>
              <w:widowControl/>
              <w:snapToGrid w:val="0"/>
              <w:spacing w:line="240" w:lineRule="auto"/>
              <w:ind w:firstLine="0" w:firstLineChars="0"/>
              <w:jc w:val="center"/>
              <w:rPr>
                <w:rFonts w:cs="Times New Roman"/>
                <w:bCs/>
                <w:kern w:val="0"/>
                <w:sz w:val="18"/>
                <w:szCs w:val="18"/>
              </w:rPr>
            </w:pPr>
            <w:r>
              <w:rPr>
                <w:rFonts w:cs="Times New Roman"/>
                <w:bCs/>
                <w:spacing w:val="-5"/>
                <w:kern w:val="0"/>
                <w:sz w:val="18"/>
                <w:szCs w:val="18"/>
              </w:rPr>
              <w:t xml:space="preserve">有机废气经集气罩收集后送至活性炭吸附塔进行处理，处理后的废气经 </w:t>
            </w:r>
            <w:r>
              <w:rPr>
                <w:rFonts w:cs="Times New Roman"/>
                <w:bCs/>
                <w:kern w:val="0"/>
                <w:sz w:val="18"/>
                <w:szCs w:val="18"/>
              </w:rPr>
              <w:t>20m</w:t>
            </w:r>
            <w:r>
              <w:rPr>
                <w:rFonts w:cs="Times New Roman"/>
                <w:bCs/>
                <w:spacing w:val="-3"/>
                <w:kern w:val="0"/>
                <w:sz w:val="18"/>
                <w:szCs w:val="18"/>
              </w:rPr>
              <w:t xml:space="preserve"> </w:t>
            </w:r>
            <w:r>
              <w:rPr>
                <w:rFonts w:cs="Times New Roman"/>
                <w:bCs/>
                <w:kern w:val="0"/>
                <w:sz w:val="18"/>
                <w:szCs w:val="18"/>
              </w:rPr>
              <w:t>排气筒排放；</w:t>
            </w:r>
            <w:r>
              <w:rPr>
                <w:rFonts w:cs="Times New Roman"/>
                <w:kern w:val="0"/>
                <w:sz w:val="18"/>
                <w:szCs w:val="18"/>
              </w:rPr>
              <w:t>淬火、冷镦尾气（非甲烷总烃）经焚烧处理后达标排放；</w:t>
            </w:r>
            <w:r>
              <w:rPr>
                <w:rFonts w:cs="Times New Roman"/>
                <w:bCs/>
                <w:kern w:val="0"/>
                <w:sz w:val="18"/>
                <w:szCs w:val="18"/>
              </w:rPr>
              <w:t>食堂油烟废气经静电油烟净化装置处理后高空排放</w:t>
            </w:r>
          </w:p>
        </w:tc>
        <w:tc>
          <w:tcPr>
            <w:tcW w:w="671" w:type="pct"/>
            <w:vMerge w:val="continue"/>
            <w:vAlign w:val="center"/>
          </w:tcPr>
          <w:p w14:paraId="7D93BBF8">
            <w:pPr>
              <w:widowControl/>
              <w:snapToGrid w:val="0"/>
              <w:spacing w:line="240" w:lineRule="auto"/>
              <w:ind w:firstLine="0" w:firstLineChars="0"/>
              <w:jc w:val="center"/>
              <w:rPr>
                <w:rFonts w:cs="Times New Roman"/>
                <w:bCs/>
                <w:kern w:val="0"/>
                <w:sz w:val="18"/>
                <w:szCs w:val="18"/>
              </w:rPr>
            </w:pPr>
          </w:p>
        </w:tc>
      </w:tr>
      <w:tr w14:paraId="670DA7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18D7F0A">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04FD0D4">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065BB7E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5657916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7CAB757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320t/a</w:t>
            </w:r>
          </w:p>
        </w:tc>
        <w:tc>
          <w:tcPr>
            <w:tcW w:w="2893" w:type="pct"/>
            <w:vMerge w:val="restart"/>
            <w:vAlign w:val="center"/>
          </w:tcPr>
          <w:p w14:paraId="04A475C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金属废料、废活性炭由厂家进行回收处理；废油重复利用，废油渣过滤后交给电镀中心处理； 生活垃圾交由环卫部门进行处理</w:t>
            </w:r>
          </w:p>
        </w:tc>
        <w:tc>
          <w:tcPr>
            <w:tcW w:w="671" w:type="pct"/>
            <w:vMerge w:val="continue"/>
            <w:vAlign w:val="center"/>
          </w:tcPr>
          <w:p w14:paraId="649D579A">
            <w:pPr>
              <w:widowControl/>
              <w:snapToGrid w:val="0"/>
              <w:spacing w:line="240" w:lineRule="auto"/>
              <w:ind w:firstLine="0" w:firstLineChars="0"/>
              <w:jc w:val="center"/>
              <w:rPr>
                <w:rFonts w:cs="Times New Roman"/>
                <w:bCs/>
                <w:kern w:val="0"/>
                <w:sz w:val="18"/>
                <w:szCs w:val="18"/>
              </w:rPr>
            </w:pPr>
          </w:p>
        </w:tc>
      </w:tr>
      <w:tr w14:paraId="27AF0C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63278CAE">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9127587">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20D78BCF">
            <w:pPr>
              <w:widowControl/>
              <w:snapToGrid w:val="0"/>
              <w:spacing w:line="240" w:lineRule="auto"/>
              <w:ind w:firstLine="0" w:firstLineChars="0"/>
              <w:jc w:val="center"/>
              <w:rPr>
                <w:rFonts w:cs="Times New Roman"/>
                <w:bCs/>
                <w:kern w:val="0"/>
                <w:sz w:val="18"/>
                <w:szCs w:val="18"/>
              </w:rPr>
            </w:pPr>
          </w:p>
        </w:tc>
        <w:tc>
          <w:tcPr>
            <w:tcW w:w="485" w:type="pct"/>
            <w:vAlign w:val="center"/>
          </w:tcPr>
          <w:p w14:paraId="1A3B3E7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2069F3A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124t/a</w:t>
            </w:r>
          </w:p>
        </w:tc>
        <w:tc>
          <w:tcPr>
            <w:tcW w:w="2893" w:type="pct"/>
            <w:vMerge w:val="continue"/>
            <w:vAlign w:val="center"/>
          </w:tcPr>
          <w:p w14:paraId="0D3CF9F3">
            <w:pPr>
              <w:autoSpaceDE w:val="0"/>
              <w:autoSpaceDN w:val="0"/>
              <w:snapToGrid w:val="0"/>
              <w:spacing w:line="240" w:lineRule="auto"/>
              <w:ind w:firstLine="0" w:firstLineChars="0"/>
              <w:jc w:val="center"/>
              <w:rPr>
                <w:rFonts w:cs="Times New Roman"/>
                <w:bCs/>
                <w:kern w:val="0"/>
                <w:sz w:val="18"/>
                <w:szCs w:val="18"/>
              </w:rPr>
            </w:pPr>
          </w:p>
        </w:tc>
        <w:tc>
          <w:tcPr>
            <w:tcW w:w="671" w:type="pct"/>
            <w:vMerge w:val="continue"/>
            <w:vAlign w:val="center"/>
          </w:tcPr>
          <w:p w14:paraId="4D8E8CC8">
            <w:pPr>
              <w:autoSpaceDE w:val="0"/>
              <w:autoSpaceDN w:val="0"/>
              <w:snapToGrid w:val="0"/>
              <w:spacing w:line="240" w:lineRule="auto"/>
              <w:ind w:firstLine="0" w:firstLineChars="0"/>
              <w:jc w:val="center"/>
              <w:rPr>
                <w:rFonts w:cs="Times New Roman"/>
                <w:bCs/>
                <w:kern w:val="0"/>
                <w:sz w:val="18"/>
                <w:szCs w:val="18"/>
              </w:rPr>
            </w:pPr>
          </w:p>
        </w:tc>
      </w:tr>
      <w:tr w14:paraId="59FB90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7502C2E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49</w:t>
            </w:r>
          </w:p>
          <w:p w14:paraId="1B258DE2">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0B3E5E1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衡阳市金化高压容器有限公司</w:t>
            </w:r>
          </w:p>
        </w:tc>
        <w:tc>
          <w:tcPr>
            <w:tcW w:w="199" w:type="pct"/>
            <w:vAlign w:val="center"/>
          </w:tcPr>
          <w:p w14:paraId="791350C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493D370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pH、COD、SS</w:t>
            </w:r>
          </w:p>
        </w:tc>
        <w:tc>
          <w:tcPr>
            <w:tcW w:w="417" w:type="pct"/>
            <w:vAlign w:val="center"/>
          </w:tcPr>
          <w:p w14:paraId="2F8C1E2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23BF4EDB">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酸洗废水及酸性废气喷淋废水采用“中和-混凝沉淀-多介质过滤”处理达标后通过工业园污水管网送松木污水处理厂处理</w:t>
            </w:r>
            <w:r>
              <w:rPr>
                <w:rFonts w:cs="Times New Roman"/>
                <w:bCs/>
                <w:kern w:val="0"/>
                <w:sz w:val="18"/>
                <w:szCs w:val="18"/>
              </w:rPr>
              <w:t>；</w:t>
            </w:r>
          </w:p>
          <w:p w14:paraId="31C07EA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生活污水经化粪池预处理后经经开区污水管网进入松木污水处理厂进行处理</w:t>
            </w:r>
          </w:p>
        </w:tc>
        <w:tc>
          <w:tcPr>
            <w:tcW w:w="671" w:type="pct"/>
            <w:vMerge w:val="restart"/>
            <w:vAlign w:val="center"/>
          </w:tcPr>
          <w:p w14:paraId="144A65D4">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后期雨水排放监控池、流量计、视频监控、pH、COD在线监测仪及监控站房</w:t>
            </w:r>
          </w:p>
        </w:tc>
      </w:tr>
      <w:tr w14:paraId="553338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FAAF0F8">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3294F70">
            <w:pPr>
              <w:widowControl/>
              <w:snapToGrid w:val="0"/>
              <w:spacing w:line="240" w:lineRule="auto"/>
              <w:ind w:firstLine="0" w:firstLineChars="0"/>
              <w:jc w:val="center"/>
              <w:rPr>
                <w:rFonts w:cs="Times New Roman"/>
                <w:bCs/>
                <w:kern w:val="0"/>
                <w:sz w:val="18"/>
                <w:szCs w:val="18"/>
              </w:rPr>
            </w:pPr>
          </w:p>
        </w:tc>
        <w:tc>
          <w:tcPr>
            <w:tcW w:w="199" w:type="pct"/>
            <w:vAlign w:val="center"/>
          </w:tcPr>
          <w:p w14:paraId="2A42DF5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1B819E0C">
            <w:pPr>
              <w:widowControl/>
              <w:snapToGrid w:val="0"/>
              <w:spacing w:line="240" w:lineRule="auto"/>
              <w:ind w:firstLine="0" w:firstLineChars="0"/>
              <w:jc w:val="center"/>
              <w:rPr>
                <w:rFonts w:cs="Times New Roman"/>
                <w:bCs/>
                <w:kern w:val="0"/>
                <w:sz w:val="18"/>
                <w:szCs w:val="18"/>
              </w:rPr>
            </w:pPr>
            <w:r>
              <w:rPr>
                <w:rFonts w:cs="Times New Roman"/>
                <w:bCs/>
                <w:spacing w:val="-15"/>
                <w:kern w:val="0"/>
                <w:sz w:val="18"/>
                <w:szCs w:val="18"/>
              </w:rPr>
              <w:t>粉尘、油烟、有机废</w:t>
            </w:r>
            <w:r>
              <w:rPr>
                <w:rFonts w:cs="Times New Roman"/>
                <w:bCs/>
                <w:kern w:val="0"/>
                <w:sz w:val="18"/>
                <w:szCs w:val="18"/>
              </w:rPr>
              <w:t>气</w:t>
            </w:r>
          </w:p>
        </w:tc>
        <w:tc>
          <w:tcPr>
            <w:tcW w:w="417" w:type="pct"/>
            <w:vAlign w:val="center"/>
          </w:tcPr>
          <w:p w14:paraId="300F42B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3FCEFCF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油烟经油烟净化器处理后经排烟竖井引至屋顶排放；</w:t>
            </w:r>
            <w:r>
              <w:rPr>
                <w:rFonts w:cs="Times New Roman"/>
                <w:kern w:val="0"/>
                <w:sz w:val="18"/>
                <w:szCs w:val="18"/>
              </w:rPr>
              <w:t>抛丸废气经自带的旋风+布袋除尘器处理后排放；切定尺过程的等离子切割烟尘采用集气罩+经水喷淋除尘后排放；酸洗产生的酸性废气采用集气罩+碱液喷淋处理后排放；喷漆有机废气和烘干有机废气收集经循环水帘冲洗及活性炭吸附处理后排放；收底粉尘经除尘器处理后排放</w:t>
            </w:r>
          </w:p>
        </w:tc>
        <w:tc>
          <w:tcPr>
            <w:tcW w:w="671" w:type="pct"/>
            <w:vMerge w:val="continue"/>
            <w:vAlign w:val="center"/>
          </w:tcPr>
          <w:p w14:paraId="7742F288">
            <w:pPr>
              <w:widowControl/>
              <w:snapToGrid w:val="0"/>
              <w:spacing w:line="240" w:lineRule="auto"/>
              <w:ind w:firstLine="0" w:firstLineChars="0"/>
              <w:jc w:val="center"/>
              <w:rPr>
                <w:rFonts w:cs="Times New Roman"/>
                <w:bCs/>
                <w:kern w:val="0"/>
                <w:sz w:val="18"/>
                <w:szCs w:val="18"/>
              </w:rPr>
            </w:pPr>
          </w:p>
        </w:tc>
      </w:tr>
      <w:tr w14:paraId="2E4529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8C90C83">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82DB12D">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0B4F9B5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70641CC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0391E7F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1141.376t/a</w:t>
            </w:r>
          </w:p>
        </w:tc>
        <w:tc>
          <w:tcPr>
            <w:tcW w:w="2893" w:type="pct"/>
            <w:vMerge w:val="restart"/>
            <w:vAlign w:val="center"/>
          </w:tcPr>
          <w:p w14:paraId="7D4052A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粉尘经收集后外售给衡阳钢管厂；</w:t>
            </w:r>
            <w:r>
              <w:rPr>
                <w:rFonts w:cs="Times New Roman"/>
                <w:bCs/>
                <w:spacing w:val="-12"/>
                <w:kern w:val="0"/>
                <w:sz w:val="18"/>
                <w:szCs w:val="18"/>
              </w:rPr>
              <w:t>油漆渣、废酒精、铅、铬、镉混合废液、汞、砷混合废液、二硫化碳、三氯甲烷、四氯化</w:t>
            </w:r>
            <w:r>
              <w:rPr>
                <w:rFonts w:cs="Times New Roman"/>
                <w:bCs/>
                <w:spacing w:val="-11"/>
                <w:kern w:val="0"/>
                <w:sz w:val="18"/>
                <w:szCs w:val="18"/>
              </w:rPr>
              <w:t>碳、正丁醇混合废液等危险固废暂存于危废暂存间，达到一定数量后交由资质单位进行处</w:t>
            </w:r>
            <w:r>
              <w:rPr>
                <w:rFonts w:cs="Times New Roman"/>
                <w:bCs/>
                <w:kern w:val="0"/>
                <w:sz w:val="18"/>
                <w:szCs w:val="18"/>
              </w:rPr>
              <w:t>理；生活垃圾交由环卫部门进行处理</w:t>
            </w:r>
          </w:p>
        </w:tc>
        <w:tc>
          <w:tcPr>
            <w:tcW w:w="671" w:type="pct"/>
            <w:vMerge w:val="continue"/>
            <w:vAlign w:val="center"/>
          </w:tcPr>
          <w:p w14:paraId="0DDB1EA8">
            <w:pPr>
              <w:widowControl/>
              <w:snapToGrid w:val="0"/>
              <w:spacing w:line="240" w:lineRule="auto"/>
              <w:ind w:firstLine="0" w:firstLineChars="0"/>
              <w:jc w:val="center"/>
              <w:rPr>
                <w:rFonts w:cs="Times New Roman"/>
                <w:bCs/>
                <w:kern w:val="0"/>
                <w:sz w:val="18"/>
                <w:szCs w:val="18"/>
              </w:rPr>
            </w:pPr>
          </w:p>
        </w:tc>
      </w:tr>
      <w:tr w14:paraId="10C059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6A6E5708">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16476E3">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0E27DE64">
            <w:pPr>
              <w:widowControl/>
              <w:snapToGrid w:val="0"/>
              <w:spacing w:line="240" w:lineRule="auto"/>
              <w:ind w:firstLine="0" w:firstLineChars="0"/>
              <w:jc w:val="center"/>
              <w:rPr>
                <w:rFonts w:cs="Times New Roman"/>
                <w:bCs/>
                <w:kern w:val="0"/>
                <w:sz w:val="18"/>
                <w:szCs w:val="18"/>
              </w:rPr>
            </w:pPr>
          </w:p>
        </w:tc>
        <w:tc>
          <w:tcPr>
            <w:tcW w:w="485" w:type="pct"/>
            <w:vAlign w:val="center"/>
          </w:tcPr>
          <w:p w14:paraId="432E74E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27F9879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2.7t/a</w:t>
            </w:r>
          </w:p>
        </w:tc>
        <w:tc>
          <w:tcPr>
            <w:tcW w:w="2893" w:type="pct"/>
            <w:vMerge w:val="continue"/>
            <w:vAlign w:val="center"/>
          </w:tcPr>
          <w:p w14:paraId="49FB3854">
            <w:pPr>
              <w:widowControl/>
              <w:snapToGrid w:val="0"/>
              <w:spacing w:line="240" w:lineRule="auto"/>
              <w:ind w:firstLine="0" w:firstLineChars="0"/>
              <w:jc w:val="center"/>
              <w:rPr>
                <w:rFonts w:cs="Times New Roman"/>
                <w:bCs/>
                <w:kern w:val="0"/>
                <w:sz w:val="18"/>
                <w:szCs w:val="18"/>
              </w:rPr>
            </w:pPr>
          </w:p>
        </w:tc>
        <w:tc>
          <w:tcPr>
            <w:tcW w:w="671" w:type="pct"/>
            <w:vMerge w:val="continue"/>
            <w:vAlign w:val="center"/>
          </w:tcPr>
          <w:p w14:paraId="0555BAF9">
            <w:pPr>
              <w:widowControl/>
              <w:snapToGrid w:val="0"/>
              <w:spacing w:line="240" w:lineRule="auto"/>
              <w:ind w:firstLine="0" w:firstLineChars="0"/>
              <w:jc w:val="center"/>
              <w:rPr>
                <w:rFonts w:cs="Times New Roman"/>
                <w:bCs/>
                <w:kern w:val="0"/>
                <w:sz w:val="18"/>
                <w:szCs w:val="18"/>
              </w:rPr>
            </w:pPr>
          </w:p>
        </w:tc>
      </w:tr>
      <w:tr w14:paraId="7A5196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7BBF6AB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50</w:t>
            </w:r>
          </w:p>
          <w:p w14:paraId="0A47CF58">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19552EC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衡阳市金源开发建设投资有限责任公</w:t>
            </w:r>
          </w:p>
          <w:p w14:paraId="40F9F82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司（金兰砂场）、</w:t>
            </w:r>
          </w:p>
          <w:p w14:paraId="14339C9C">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湖南森特实业投资有限公司</w:t>
            </w:r>
          </w:p>
        </w:tc>
        <w:tc>
          <w:tcPr>
            <w:tcW w:w="199" w:type="pct"/>
            <w:vAlign w:val="center"/>
          </w:tcPr>
          <w:p w14:paraId="7F3905C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42047A2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SS、COD、氨氮</w:t>
            </w:r>
          </w:p>
        </w:tc>
        <w:tc>
          <w:tcPr>
            <w:tcW w:w="417" w:type="pct"/>
            <w:vAlign w:val="center"/>
          </w:tcPr>
          <w:p w14:paraId="2E1AC68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4504t/a</w:t>
            </w:r>
          </w:p>
        </w:tc>
        <w:tc>
          <w:tcPr>
            <w:tcW w:w="2893" w:type="pct"/>
            <w:vAlign w:val="center"/>
          </w:tcPr>
          <w:p w14:paraId="04175C8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地面、车辆、道路冲洗废水、初期雨水经初期雨水池沉淀后回用于生产； 生活污水经化粪池处理后，经园区污水管网排入松木污水处理厂处理</w:t>
            </w:r>
          </w:p>
        </w:tc>
        <w:tc>
          <w:tcPr>
            <w:tcW w:w="671" w:type="pct"/>
            <w:vMerge w:val="restart"/>
            <w:vAlign w:val="center"/>
          </w:tcPr>
          <w:p w14:paraId="01CDD55A">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后期雨水排放监控池、流量计、视频监控、SS在线监测仪及监控站房</w:t>
            </w:r>
          </w:p>
        </w:tc>
      </w:tr>
      <w:tr w14:paraId="5CCABD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605F994">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6451ADC">
            <w:pPr>
              <w:widowControl/>
              <w:snapToGrid w:val="0"/>
              <w:spacing w:line="240" w:lineRule="auto"/>
              <w:ind w:firstLine="0" w:firstLineChars="0"/>
              <w:jc w:val="center"/>
              <w:rPr>
                <w:rFonts w:cs="Times New Roman"/>
                <w:bCs/>
                <w:kern w:val="0"/>
                <w:sz w:val="18"/>
                <w:szCs w:val="18"/>
              </w:rPr>
            </w:pPr>
          </w:p>
        </w:tc>
        <w:tc>
          <w:tcPr>
            <w:tcW w:w="199" w:type="pct"/>
            <w:vAlign w:val="center"/>
          </w:tcPr>
          <w:p w14:paraId="5DB3EEB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1696FC1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粉尘、油烟</w:t>
            </w:r>
          </w:p>
        </w:tc>
        <w:tc>
          <w:tcPr>
            <w:tcW w:w="417" w:type="pct"/>
            <w:vAlign w:val="center"/>
          </w:tcPr>
          <w:p w14:paraId="2B520F35">
            <w:pPr>
              <w:widowControl/>
              <w:snapToGrid w:val="0"/>
              <w:spacing w:line="240" w:lineRule="auto"/>
              <w:ind w:firstLine="0" w:firstLineChars="0"/>
              <w:jc w:val="center"/>
              <w:rPr>
                <w:rFonts w:cs="Times New Roman"/>
                <w:bCs/>
                <w:kern w:val="0"/>
                <w:sz w:val="18"/>
                <w:szCs w:val="18"/>
              </w:rPr>
            </w:pPr>
          </w:p>
        </w:tc>
        <w:tc>
          <w:tcPr>
            <w:tcW w:w="2893" w:type="pct"/>
            <w:vAlign w:val="center"/>
          </w:tcPr>
          <w:p w14:paraId="39EBE93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振动筛分产生粉尘通过喷淋降尘措施；</w:t>
            </w:r>
          </w:p>
          <w:p w14:paraId="2849ED8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油烟废气净化处理后通过专用排气筒至屋顶高空排放</w:t>
            </w:r>
          </w:p>
        </w:tc>
        <w:tc>
          <w:tcPr>
            <w:tcW w:w="671" w:type="pct"/>
            <w:vMerge w:val="continue"/>
            <w:vAlign w:val="center"/>
          </w:tcPr>
          <w:p w14:paraId="4D741BE9">
            <w:pPr>
              <w:widowControl/>
              <w:snapToGrid w:val="0"/>
              <w:spacing w:line="240" w:lineRule="auto"/>
              <w:ind w:firstLine="0" w:firstLineChars="0"/>
              <w:jc w:val="center"/>
              <w:rPr>
                <w:rFonts w:cs="Times New Roman"/>
                <w:bCs/>
                <w:kern w:val="0"/>
                <w:sz w:val="18"/>
                <w:szCs w:val="18"/>
              </w:rPr>
            </w:pPr>
          </w:p>
        </w:tc>
      </w:tr>
      <w:tr w14:paraId="7AC902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84E67DA">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1AC4B57">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548560F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22FC93B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7562964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2003t/a</w:t>
            </w:r>
          </w:p>
        </w:tc>
        <w:tc>
          <w:tcPr>
            <w:tcW w:w="2893" w:type="pct"/>
            <w:vMerge w:val="restart"/>
            <w:vAlign w:val="center"/>
          </w:tcPr>
          <w:p w14:paraId="40EFA41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废水处理设施沉淀渣定期清捞；</w:t>
            </w:r>
            <w:r>
              <w:rPr>
                <w:rFonts w:cs="Times New Roman"/>
                <w:bCs/>
                <w:spacing w:val="-1"/>
                <w:kern w:val="0"/>
                <w:sz w:val="18"/>
                <w:szCs w:val="18"/>
              </w:rPr>
              <w:t xml:space="preserve">废弃设备零部件收集后送废品回收站回收利用； </w:t>
            </w:r>
            <w:r>
              <w:rPr>
                <w:rFonts w:cs="Times New Roman"/>
                <w:bCs/>
                <w:kern w:val="0"/>
                <w:sz w:val="18"/>
                <w:szCs w:val="18"/>
              </w:rPr>
              <w:t>生活垃圾交由环卫部门进行处理废润滑油送衡阳市危险废物处置中心</w:t>
            </w:r>
          </w:p>
        </w:tc>
        <w:tc>
          <w:tcPr>
            <w:tcW w:w="671" w:type="pct"/>
            <w:vMerge w:val="continue"/>
            <w:vAlign w:val="center"/>
          </w:tcPr>
          <w:p w14:paraId="6CE0DAFB">
            <w:pPr>
              <w:widowControl/>
              <w:snapToGrid w:val="0"/>
              <w:spacing w:line="240" w:lineRule="auto"/>
              <w:ind w:firstLine="0" w:firstLineChars="0"/>
              <w:jc w:val="center"/>
              <w:rPr>
                <w:rFonts w:cs="Times New Roman"/>
                <w:bCs/>
                <w:kern w:val="0"/>
                <w:sz w:val="18"/>
                <w:szCs w:val="18"/>
              </w:rPr>
            </w:pPr>
          </w:p>
        </w:tc>
      </w:tr>
      <w:tr w14:paraId="191183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00" w:type="pct"/>
            <w:vMerge w:val="continue"/>
            <w:vAlign w:val="center"/>
          </w:tcPr>
          <w:p w14:paraId="6157E8FB">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35CE55A">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2F793090">
            <w:pPr>
              <w:widowControl/>
              <w:snapToGrid w:val="0"/>
              <w:spacing w:line="240" w:lineRule="auto"/>
              <w:ind w:firstLine="0" w:firstLineChars="0"/>
              <w:jc w:val="center"/>
              <w:rPr>
                <w:rFonts w:cs="Times New Roman"/>
                <w:bCs/>
                <w:kern w:val="0"/>
                <w:sz w:val="18"/>
                <w:szCs w:val="18"/>
              </w:rPr>
            </w:pPr>
          </w:p>
        </w:tc>
        <w:tc>
          <w:tcPr>
            <w:tcW w:w="485" w:type="pct"/>
            <w:vMerge w:val="restart"/>
            <w:vAlign w:val="center"/>
          </w:tcPr>
          <w:p w14:paraId="2AB8E22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Merge w:val="restart"/>
            <w:vAlign w:val="center"/>
          </w:tcPr>
          <w:p w14:paraId="75CEC2D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0.01t/a</w:t>
            </w:r>
          </w:p>
        </w:tc>
        <w:tc>
          <w:tcPr>
            <w:tcW w:w="2893" w:type="pct"/>
            <w:vMerge w:val="continue"/>
            <w:vAlign w:val="center"/>
          </w:tcPr>
          <w:p w14:paraId="0E105CA7">
            <w:pPr>
              <w:widowControl/>
              <w:snapToGrid w:val="0"/>
              <w:spacing w:line="240" w:lineRule="auto"/>
              <w:ind w:firstLine="0" w:firstLineChars="0"/>
              <w:jc w:val="center"/>
              <w:rPr>
                <w:rFonts w:cs="Times New Roman"/>
                <w:bCs/>
                <w:kern w:val="0"/>
                <w:sz w:val="18"/>
                <w:szCs w:val="18"/>
              </w:rPr>
            </w:pPr>
          </w:p>
        </w:tc>
        <w:tc>
          <w:tcPr>
            <w:tcW w:w="671" w:type="pct"/>
            <w:vMerge w:val="continue"/>
            <w:vAlign w:val="center"/>
          </w:tcPr>
          <w:p w14:paraId="575CBF78">
            <w:pPr>
              <w:widowControl/>
              <w:snapToGrid w:val="0"/>
              <w:spacing w:line="240" w:lineRule="auto"/>
              <w:ind w:firstLine="0" w:firstLineChars="0"/>
              <w:jc w:val="center"/>
              <w:rPr>
                <w:rFonts w:cs="Times New Roman"/>
                <w:bCs/>
                <w:kern w:val="0"/>
                <w:sz w:val="18"/>
                <w:szCs w:val="18"/>
              </w:rPr>
            </w:pPr>
          </w:p>
        </w:tc>
      </w:tr>
      <w:tr w14:paraId="0850AA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Align w:val="center"/>
          </w:tcPr>
          <w:p w14:paraId="052EBD3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53</w:t>
            </w:r>
          </w:p>
        </w:tc>
        <w:tc>
          <w:tcPr>
            <w:tcW w:w="231" w:type="pct"/>
            <w:vMerge w:val="continue"/>
            <w:vAlign w:val="center"/>
          </w:tcPr>
          <w:p w14:paraId="490F68DF">
            <w:pPr>
              <w:autoSpaceDE w:val="0"/>
              <w:autoSpaceDN w:val="0"/>
              <w:snapToGrid w:val="0"/>
              <w:spacing w:line="240" w:lineRule="auto"/>
              <w:ind w:firstLine="0" w:firstLineChars="0"/>
              <w:jc w:val="center"/>
              <w:rPr>
                <w:rFonts w:cs="Times New Roman"/>
                <w:bCs/>
                <w:kern w:val="0"/>
                <w:sz w:val="18"/>
                <w:szCs w:val="18"/>
              </w:rPr>
            </w:pPr>
          </w:p>
        </w:tc>
        <w:tc>
          <w:tcPr>
            <w:tcW w:w="199" w:type="pct"/>
            <w:vMerge w:val="continue"/>
            <w:vAlign w:val="center"/>
          </w:tcPr>
          <w:p w14:paraId="159FD3ED">
            <w:pPr>
              <w:autoSpaceDE w:val="0"/>
              <w:autoSpaceDN w:val="0"/>
              <w:snapToGrid w:val="0"/>
              <w:spacing w:line="240" w:lineRule="auto"/>
              <w:ind w:firstLine="0" w:firstLineChars="0"/>
              <w:jc w:val="center"/>
              <w:rPr>
                <w:rFonts w:cs="Times New Roman"/>
                <w:bCs/>
                <w:kern w:val="0"/>
                <w:sz w:val="18"/>
                <w:szCs w:val="18"/>
              </w:rPr>
            </w:pPr>
          </w:p>
        </w:tc>
        <w:tc>
          <w:tcPr>
            <w:tcW w:w="485" w:type="pct"/>
            <w:vMerge w:val="continue"/>
            <w:vAlign w:val="center"/>
          </w:tcPr>
          <w:p w14:paraId="03ED398C">
            <w:pPr>
              <w:autoSpaceDE w:val="0"/>
              <w:autoSpaceDN w:val="0"/>
              <w:snapToGrid w:val="0"/>
              <w:spacing w:line="240" w:lineRule="auto"/>
              <w:ind w:firstLine="0" w:firstLineChars="0"/>
              <w:jc w:val="center"/>
              <w:rPr>
                <w:rFonts w:cs="Times New Roman"/>
                <w:bCs/>
                <w:kern w:val="0"/>
                <w:sz w:val="18"/>
                <w:szCs w:val="18"/>
              </w:rPr>
            </w:pPr>
          </w:p>
        </w:tc>
        <w:tc>
          <w:tcPr>
            <w:tcW w:w="417" w:type="pct"/>
            <w:vMerge w:val="continue"/>
            <w:vAlign w:val="center"/>
          </w:tcPr>
          <w:p w14:paraId="35EE3AB7">
            <w:pPr>
              <w:autoSpaceDE w:val="0"/>
              <w:autoSpaceDN w:val="0"/>
              <w:snapToGrid w:val="0"/>
              <w:spacing w:line="240" w:lineRule="auto"/>
              <w:ind w:firstLine="0" w:firstLineChars="0"/>
              <w:jc w:val="center"/>
              <w:rPr>
                <w:rFonts w:cs="Times New Roman"/>
                <w:bCs/>
                <w:kern w:val="0"/>
                <w:sz w:val="18"/>
                <w:szCs w:val="18"/>
              </w:rPr>
            </w:pPr>
          </w:p>
        </w:tc>
        <w:tc>
          <w:tcPr>
            <w:tcW w:w="2893" w:type="pct"/>
            <w:vMerge w:val="continue"/>
            <w:vAlign w:val="center"/>
          </w:tcPr>
          <w:p w14:paraId="7ADC5C8A">
            <w:pPr>
              <w:autoSpaceDE w:val="0"/>
              <w:autoSpaceDN w:val="0"/>
              <w:snapToGrid w:val="0"/>
              <w:spacing w:line="240" w:lineRule="auto"/>
              <w:ind w:firstLine="0" w:firstLineChars="0"/>
              <w:jc w:val="center"/>
              <w:rPr>
                <w:rFonts w:cs="Times New Roman"/>
                <w:bCs/>
                <w:kern w:val="0"/>
                <w:sz w:val="18"/>
                <w:szCs w:val="18"/>
              </w:rPr>
            </w:pPr>
          </w:p>
        </w:tc>
        <w:tc>
          <w:tcPr>
            <w:tcW w:w="671" w:type="pct"/>
            <w:vMerge w:val="continue"/>
            <w:vAlign w:val="center"/>
          </w:tcPr>
          <w:p w14:paraId="76B4E18C">
            <w:pPr>
              <w:autoSpaceDE w:val="0"/>
              <w:autoSpaceDN w:val="0"/>
              <w:snapToGrid w:val="0"/>
              <w:spacing w:line="240" w:lineRule="auto"/>
              <w:ind w:firstLine="0" w:firstLineChars="0"/>
              <w:jc w:val="center"/>
              <w:rPr>
                <w:rFonts w:cs="Times New Roman"/>
                <w:bCs/>
                <w:kern w:val="0"/>
                <w:sz w:val="18"/>
                <w:szCs w:val="18"/>
              </w:rPr>
            </w:pPr>
          </w:p>
        </w:tc>
      </w:tr>
      <w:tr w14:paraId="2C5142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7" w:hRule="atLeast"/>
        </w:trPr>
        <w:tc>
          <w:tcPr>
            <w:tcW w:w="100" w:type="pct"/>
            <w:vMerge w:val="restart"/>
            <w:vAlign w:val="center"/>
          </w:tcPr>
          <w:p w14:paraId="25DC0B7F">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713C077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松木港一期</w:t>
            </w:r>
          </w:p>
        </w:tc>
        <w:tc>
          <w:tcPr>
            <w:tcW w:w="199" w:type="pct"/>
            <w:vAlign w:val="center"/>
          </w:tcPr>
          <w:p w14:paraId="130D817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7CBBEBCD">
            <w:pPr>
              <w:widowControl/>
              <w:snapToGrid w:val="0"/>
              <w:spacing w:line="240" w:lineRule="auto"/>
              <w:ind w:firstLine="0" w:firstLineChars="0"/>
              <w:jc w:val="center"/>
              <w:rPr>
                <w:rFonts w:cs="Times New Roman"/>
                <w:bCs/>
                <w:spacing w:val="-5"/>
                <w:kern w:val="0"/>
                <w:sz w:val="18"/>
                <w:szCs w:val="18"/>
              </w:rPr>
            </w:pPr>
            <w:r>
              <w:rPr>
                <w:rFonts w:cs="Times New Roman"/>
                <w:bCs/>
                <w:spacing w:val="-5"/>
                <w:kern w:val="0"/>
                <w:sz w:val="18"/>
                <w:szCs w:val="18"/>
              </w:rPr>
              <w:t>石油类、</w:t>
            </w:r>
            <w:r>
              <w:rPr>
                <w:rFonts w:cs="Times New Roman"/>
                <w:bCs/>
                <w:kern w:val="0"/>
                <w:sz w:val="18"/>
                <w:szCs w:val="18"/>
              </w:rPr>
              <w:t>SS</w:t>
            </w:r>
            <w:r>
              <w:rPr>
                <w:rFonts w:cs="Times New Roman"/>
                <w:bCs/>
                <w:spacing w:val="-17"/>
                <w:kern w:val="0"/>
                <w:sz w:val="18"/>
                <w:szCs w:val="18"/>
              </w:rPr>
              <w:t>、</w:t>
            </w:r>
            <w:r>
              <w:rPr>
                <w:rFonts w:cs="Times New Roman"/>
                <w:bCs/>
                <w:kern w:val="0"/>
                <w:sz w:val="18"/>
                <w:szCs w:val="18"/>
              </w:rPr>
              <w:t>COD、</w:t>
            </w:r>
          </w:p>
          <w:p w14:paraId="3486A13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氨氮</w:t>
            </w:r>
          </w:p>
        </w:tc>
        <w:tc>
          <w:tcPr>
            <w:tcW w:w="417" w:type="pct"/>
            <w:vAlign w:val="center"/>
          </w:tcPr>
          <w:p w14:paraId="67A34C7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11788.95t/a</w:t>
            </w:r>
          </w:p>
        </w:tc>
        <w:tc>
          <w:tcPr>
            <w:tcW w:w="2893" w:type="pct"/>
            <w:vAlign w:val="center"/>
          </w:tcPr>
          <w:p w14:paraId="39B482E1">
            <w:pPr>
              <w:widowControl/>
              <w:snapToGrid w:val="0"/>
              <w:spacing w:line="240" w:lineRule="auto"/>
              <w:ind w:firstLine="0" w:firstLineChars="0"/>
              <w:jc w:val="center"/>
              <w:rPr>
                <w:rFonts w:cs="Times New Roman"/>
                <w:bCs/>
                <w:spacing w:val="-5"/>
                <w:kern w:val="0"/>
                <w:sz w:val="18"/>
                <w:szCs w:val="18"/>
              </w:rPr>
            </w:pPr>
            <w:r>
              <w:rPr>
                <w:rFonts w:cs="Times New Roman"/>
                <w:bCs/>
                <w:spacing w:val="-5"/>
                <w:kern w:val="0"/>
                <w:sz w:val="18"/>
                <w:szCs w:val="18"/>
              </w:rPr>
              <w:t>船舶含油废水收集后由有条件的码头接收并处理；船舶生活污水经船舶生活污水处理装置</w:t>
            </w:r>
          </w:p>
          <w:p w14:paraId="1BF357D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处理后交由有接收条件的码头接收处理；地面冲洗废水经管沟收集后纳入松木污水处理厂处理；</w:t>
            </w:r>
            <w:r>
              <w:rPr>
                <w:rFonts w:cs="Times New Roman"/>
                <w:bCs/>
                <w:spacing w:val="-15"/>
                <w:kern w:val="0"/>
                <w:sz w:val="18"/>
                <w:szCs w:val="18"/>
              </w:rPr>
              <w:t>机械冲洗、修理含油废水经隔油沉淀后进入园区污水管网，最终进入松木污水处理厂处理； 生活污水经化粪池处理后排入园区污水管网，送至松木污水处理厂处理</w:t>
            </w:r>
          </w:p>
        </w:tc>
        <w:tc>
          <w:tcPr>
            <w:tcW w:w="671" w:type="pct"/>
            <w:vMerge w:val="restart"/>
            <w:vAlign w:val="center"/>
          </w:tcPr>
          <w:p w14:paraId="6FDC6A4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3A12BC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47029A6">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82F08A0">
            <w:pPr>
              <w:widowControl/>
              <w:snapToGrid w:val="0"/>
              <w:spacing w:line="240" w:lineRule="auto"/>
              <w:ind w:firstLine="0" w:firstLineChars="0"/>
              <w:jc w:val="center"/>
              <w:rPr>
                <w:rFonts w:cs="Times New Roman"/>
                <w:bCs/>
                <w:kern w:val="0"/>
                <w:sz w:val="18"/>
                <w:szCs w:val="18"/>
              </w:rPr>
            </w:pPr>
          </w:p>
        </w:tc>
        <w:tc>
          <w:tcPr>
            <w:tcW w:w="199" w:type="pct"/>
            <w:vAlign w:val="center"/>
          </w:tcPr>
          <w:p w14:paraId="432AC41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1881E6C1">
            <w:pPr>
              <w:widowControl/>
              <w:snapToGrid w:val="0"/>
              <w:spacing w:line="240" w:lineRule="auto"/>
              <w:ind w:firstLine="0" w:firstLineChars="0"/>
              <w:jc w:val="center"/>
              <w:rPr>
                <w:rFonts w:cs="Times New Roman"/>
                <w:bCs/>
                <w:kern w:val="0"/>
                <w:sz w:val="18"/>
                <w:szCs w:val="18"/>
              </w:rPr>
            </w:pPr>
            <w:r>
              <w:rPr>
                <w:rFonts w:cs="Times New Roman"/>
                <w:bCs/>
                <w:spacing w:val="-12"/>
                <w:kern w:val="0"/>
                <w:sz w:val="18"/>
                <w:szCs w:val="18"/>
              </w:rPr>
              <w:t>一氧化碳、氮氧化物</w:t>
            </w:r>
          </w:p>
        </w:tc>
        <w:tc>
          <w:tcPr>
            <w:tcW w:w="417" w:type="pct"/>
            <w:vAlign w:val="center"/>
          </w:tcPr>
          <w:p w14:paraId="4675B28B">
            <w:pPr>
              <w:widowControl/>
              <w:snapToGrid w:val="0"/>
              <w:spacing w:line="240" w:lineRule="auto"/>
              <w:ind w:firstLine="0" w:firstLineChars="0"/>
              <w:jc w:val="center"/>
              <w:rPr>
                <w:rFonts w:cs="Times New Roman"/>
                <w:bCs/>
                <w:kern w:val="0"/>
                <w:sz w:val="18"/>
                <w:szCs w:val="18"/>
              </w:rPr>
            </w:pPr>
          </w:p>
        </w:tc>
        <w:tc>
          <w:tcPr>
            <w:tcW w:w="2893" w:type="pct"/>
            <w:vAlign w:val="center"/>
          </w:tcPr>
          <w:p w14:paraId="2FF84BEF">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扬尘通过洒水抑尘进行控制；</w:t>
            </w:r>
            <w:r>
              <w:rPr>
                <w:rFonts w:cs="Times New Roman"/>
                <w:bCs/>
                <w:kern w:val="0"/>
                <w:sz w:val="18"/>
                <w:szCs w:val="18"/>
              </w:rPr>
              <w:t>车辆及船舶排放尾气呈无组织排放</w:t>
            </w:r>
          </w:p>
        </w:tc>
        <w:tc>
          <w:tcPr>
            <w:tcW w:w="671" w:type="pct"/>
            <w:vMerge w:val="continue"/>
            <w:vAlign w:val="center"/>
          </w:tcPr>
          <w:p w14:paraId="26A2D389">
            <w:pPr>
              <w:widowControl/>
              <w:snapToGrid w:val="0"/>
              <w:spacing w:line="240" w:lineRule="auto"/>
              <w:ind w:firstLine="0" w:firstLineChars="0"/>
              <w:jc w:val="center"/>
              <w:rPr>
                <w:rFonts w:cs="Times New Roman"/>
                <w:bCs/>
                <w:kern w:val="0"/>
                <w:sz w:val="18"/>
                <w:szCs w:val="18"/>
              </w:rPr>
            </w:pPr>
          </w:p>
        </w:tc>
      </w:tr>
      <w:tr w14:paraId="4E5FE2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1ED525A6">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E684D2F">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59A0BEB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498A867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7CC33BD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100t/a</w:t>
            </w:r>
          </w:p>
        </w:tc>
        <w:tc>
          <w:tcPr>
            <w:tcW w:w="2893" w:type="pct"/>
            <w:vMerge w:val="restart"/>
            <w:vAlign w:val="center"/>
          </w:tcPr>
          <w:p w14:paraId="62AAD79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生活垃圾交由环卫部门进行处理； 废油交由有资质单位处理</w:t>
            </w:r>
          </w:p>
        </w:tc>
        <w:tc>
          <w:tcPr>
            <w:tcW w:w="671" w:type="pct"/>
            <w:vMerge w:val="continue"/>
            <w:vAlign w:val="center"/>
          </w:tcPr>
          <w:p w14:paraId="5BA08947">
            <w:pPr>
              <w:widowControl/>
              <w:snapToGrid w:val="0"/>
              <w:spacing w:line="240" w:lineRule="auto"/>
              <w:ind w:firstLine="0" w:firstLineChars="0"/>
              <w:jc w:val="center"/>
              <w:rPr>
                <w:rFonts w:cs="Times New Roman"/>
                <w:bCs/>
                <w:kern w:val="0"/>
                <w:sz w:val="18"/>
                <w:szCs w:val="18"/>
              </w:rPr>
            </w:pPr>
          </w:p>
        </w:tc>
      </w:tr>
      <w:tr w14:paraId="4D9F8E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AA148C9">
            <w:pPr>
              <w:autoSpaceDE w:val="0"/>
              <w:autoSpaceDN w:val="0"/>
              <w:snapToGrid w:val="0"/>
              <w:spacing w:line="240" w:lineRule="auto"/>
              <w:ind w:firstLine="0" w:firstLineChars="0"/>
              <w:jc w:val="center"/>
              <w:rPr>
                <w:rFonts w:cs="Times New Roman"/>
                <w:bCs/>
                <w:kern w:val="0"/>
                <w:sz w:val="18"/>
                <w:szCs w:val="18"/>
              </w:rPr>
            </w:pPr>
          </w:p>
        </w:tc>
        <w:tc>
          <w:tcPr>
            <w:tcW w:w="231" w:type="pct"/>
            <w:vMerge w:val="continue"/>
            <w:vAlign w:val="center"/>
          </w:tcPr>
          <w:p w14:paraId="1C14CAB1">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4E8BBE46">
            <w:pPr>
              <w:widowControl/>
              <w:snapToGrid w:val="0"/>
              <w:spacing w:line="240" w:lineRule="auto"/>
              <w:ind w:firstLine="0" w:firstLineChars="0"/>
              <w:jc w:val="center"/>
              <w:rPr>
                <w:rFonts w:cs="Times New Roman"/>
                <w:bCs/>
                <w:kern w:val="0"/>
                <w:sz w:val="18"/>
                <w:szCs w:val="18"/>
              </w:rPr>
            </w:pPr>
          </w:p>
        </w:tc>
        <w:tc>
          <w:tcPr>
            <w:tcW w:w="485" w:type="pct"/>
            <w:vAlign w:val="center"/>
          </w:tcPr>
          <w:p w14:paraId="5A04F91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7171386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3.6t/a</w:t>
            </w:r>
          </w:p>
        </w:tc>
        <w:tc>
          <w:tcPr>
            <w:tcW w:w="2893" w:type="pct"/>
            <w:vMerge w:val="continue"/>
            <w:vAlign w:val="center"/>
          </w:tcPr>
          <w:p w14:paraId="7F949A67">
            <w:pPr>
              <w:autoSpaceDE w:val="0"/>
              <w:autoSpaceDN w:val="0"/>
              <w:snapToGrid w:val="0"/>
              <w:spacing w:line="240" w:lineRule="auto"/>
              <w:ind w:firstLine="0" w:firstLineChars="0"/>
              <w:jc w:val="center"/>
              <w:rPr>
                <w:rFonts w:cs="Times New Roman"/>
                <w:bCs/>
                <w:kern w:val="0"/>
                <w:sz w:val="18"/>
                <w:szCs w:val="18"/>
              </w:rPr>
            </w:pPr>
          </w:p>
        </w:tc>
        <w:tc>
          <w:tcPr>
            <w:tcW w:w="671" w:type="pct"/>
            <w:vMerge w:val="continue"/>
            <w:vAlign w:val="center"/>
          </w:tcPr>
          <w:p w14:paraId="68118343">
            <w:pPr>
              <w:autoSpaceDE w:val="0"/>
              <w:autoSpaceDN w:val="0"/>
              <w:snapToGrid w:val="0"/>
              <w:spacing w:line="240" w:lineRule="auto"/>
              <w:ind w:firstLine="0" w:firstLineChars="0"/>
              <w:jc w:val="center"/>
              <w:rPr>
                <w:rFonts w:cs="Times New Roman"/>
                <w:bCs/>
                <w:kern w:val="0"/>
                <w:sz w:val="18"/>
                <w:szCs w:val="18"/>
              </w:rPr>
            </w:pPr>
          </w:p>
        </w:tc>
      </w:tr>
      <w:tr w14:paraId="7B69CF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3CC8BFE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55</w:t>
            </w:r>
          </w:p>
          <w:p w14:paraId="7113BFA0">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6A77743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衡阳市佳众再生资源有限责任公司</w:t>
            </w:r>
          </w:p>
        </w:tc>
        <w:tc>
          <w:tcPr>
            <w:tcW w:w="199" w:type="pct"/>
            <w:vAlign w:val="center"/>
          </w:tcPr>
          <w:p w14:paraId="28D4874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50CA46D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COD、氨氮、SS</w:t>
            </w:r>
          </w:p>
        </w:tc>
        <w:tc>
          <w:tcPr>
            <w:tcW w:w="417" w:type="pct"/>
            <w:vAlign w:val="center"/>
          </w:tcPr>
          <w:p w14:paraId="13B5D17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294.4t/a</w:t>
            </w:r>
          </w:p>
        </w:tc>
        <w:tc>
          <w:tcPr>
            <w:tcW w:w="2893" w:type="pct"/>
            <w:vAlign w:val="center"/>
          </w:tcPr>
          <w:p w14:paraId="0463111B">
            <w:pPr>
              <w:widowControl/>
              <w:snapToGrid w:val="0"/>
              <w:spacing w:line="240" w:lineRule="auto"/>
              <w:ind w:firstLine="0" w:firstLineChars="0"/>
              <w:jc w:val="center"/>
              <w:rPr>
                <w:rFonts w:cs="Times New Roman"/>
                <w:bCs/>
                <w:kern w:val="0"/>
                <w:sz w:val="18"/>
                <w:szCs w:val="18"/>
              </w:rPr>
            </w:pPr>
            <w:r>
              <w:rPr>
                <w:rFonts w:cs="Times New Roman"/>
                <w:bCs/>
                <w:spacing w:val="-4"/>
                <w:kern w:val="0"/>
                <w:sz w:val="18"/>
                <w:szCs w:val="18"/>
              </w:rPr>
              <w:t>厂区地面清洁拖洗废水：经沉淀池沉淀后收集至吨桶内</w:t>
            </w:r>
            <w:r>
              <w:rPr>
                <w:rFonts w:cs="Times New Roman"/>
                <w:bCs/>
                <w:kern w:val="0"/>
                <w:sz w:val="18"/>
                <w:szCs w:val="18"/>
              </w:rPr>
              <w:t>（</w:t>
            </w:r>
            <w:r>
              <w:rPr>
                <w:rFonts w:cs="Times New Roman"/>
                <w:bCs/>
                <w:spacing w:val="-6"/>
                <w:kern w:val="0"/>
                <w:sz w:val="18"/>
                <w:szCs w:val="18"/>
              </w:rPr>
              <w:t>耐酸、防渗</w:t>
            </w:r>
            <w:r>
              <w:rPr>
                <w:rFonts w:cs="Times New Roman"/>
                <w:bCs/>
                <w:spacing w:val="-26"/>
                <w:kern w:val="0"/>
                <w:sz w:val="18"/>
                <w:szCs w:val="18"/>
              </w:rPr>
              <w:t>）</w:t>
            </w:r>
            <w:r>
              <w:rPr>
                <w:rFonts w:cs="Times New Roman"/>
                <w:bCs/>
                <w:spacing w:val="-2"/>
                <w:kern w:val="0"/>
                <w:sz w:val="18"/>
                <w:szCs w:val="18"/>
              </w:rPr>
              <w:t>与沉淀渣一起定期</w:t>
            </w:r>
            <w:r>
              <w:rPr>
                <w:rFonts w:cs="Times New Roman"/>
                <w:bCs/>
                <w:kern w:val="0"/>
                <w:sz w:val="18"/>
                <w:szCs w:val="18"/>
              </w:rPr>
              <w:t>送至有资质单位处理，不外排；生活污水经化粪池处理后进入城市污水管网送至松木污水处理厂处理达标后排放</w:t>
            </w:r>
          </w:p>
        </w:tc>
        <w:tc>
          <w:tcPr>
            <w:tcW w:w="671" w:type="pct"/>
            <w:vMerge w:val="restart"/>
            <w:vAlign w:val="center"/>
          </w:tcPr>
          <w:p w14:paraId="50C2BA78">
            <w:pPr>
              <w:widowControl/>
              <w:snapToGrid w:val="0"/>
              <w:spacing w:line="240" w:lineRule="auto"/>
              <w:ind w:firstLine="0" w:firstLineChars="0"/>
              <w:jc w:val="center"/>
              <w:rPr>
                <w:rFonts w:cs="Times New Roman"/>
                <w:bCs/>
                <w:spacing w:val="-4"/>
                <w:kern w:val="0"/>
                <w:sz w:val="18"/>
                <w:szCs w:val="18"/>
              </w:rPr>
            </w:pPr>
            <w:r>
              <w:rPr>
                <w:rFonts w:cs="Times New Roman"/>
                <w:kern w:val="0"/>
                <w:sz w:val="18"/>
                <w:szCs w:val="18"/>
              </w:rPr>
              <w:t>停产</w:t>
            </w:r>
          </w:p>
        </w:tc>
      </w:tr>
      <w:tr w14:paraId="6BEB3A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12BA4BEE">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3EE1B05">
            <w:pPr>
              <w:widowControl/>
              <w:snapToGrid w:val="0"/>
              <w:spacing w:line="240" w:lineRule="auto"/>
              <w:ind w:firstLine="0" w:firstLineChars="0"/>
              <w:jc w:val="center"/>
              <w:rPr>
                <w:rFonts w:cs="Times New Roman"/>
                <w:bCs/>
                <w:kern w:val="0"/>
                <w:sz w:val="18"/>
                <w:szCs w:val="18"/>
              </w:rPr>
            </w:pPr>
          </w:p>
        </w:tc>
        <w:tc>
          <w:tcPr>
            <w:tcW w:w="199" w:type="pct"/>
            <w:vAlign w:val="center"/>
          </w:tcPr>
          <w:p w14:paraId="595D560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76C8DF6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颗粒物、硫酸雾</w:t>
            </w:r>
          </w:p>
        </w:tc>
        <w:tc>
          <w:tcPr>
            <w:tcW w:w="417" w:type="pct"/>
            <w:vAlign w:val="center"/>
          </w:tcPr>
          <w:p w14:paraId="6E194EC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少量</w:t>
            </w:r>
          </w:p>
        </w:tc>
        <w:tc>
          <w:tcPr>
            <w:tcW w:w="2893" w:type="pct"/>
            <w:vAlign w:val="center"/>
          </w:tcPr>
          <w:p w14:paraId="1EBD711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车间废气经活性炭净化后外排；食堂油烟废气经油烟净化设施处理后由专用烟道至屋顶后高空排放</w:t>
            </w:r>
          </w:p>
        </w:tc>
        <w:tc>
          <w:tcPr>
            <w:tcW w:w="671" w:type="pct"/>
            <w:vMerge w:val="continue"/>
            <w:vAlign w:val="center"/>
          </w:tcPr>
          <w:p w14:paraId="7B54D5C6">
            <w:pPr>
              <w:widowControl/>
              <w:snapToGrid w:val="0"/>
              <w:spacing w:line="240" w:lineRule="auto"/>
              <w:ind w:firstLine="0" w:firstLineChars="0"/>
              <w:jc w:val="center"/>
              <w:rPr>
                <w:rFonts w:cs="Times New Roman"/>
                <w:bCs/>
                <w:kern w:val="0"/>
                <w:sz w:val="18"/>
                <w:szCs w:val="18"/>
              </w:rPr>
            </w:pPr>
          </w:p>
        </w:tc>
      </w:tr>
      <w:tr w14:paraId="1D232F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869B265">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FECCC4E">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422F617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4A1CE07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7E6A683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1.08t/a</w:t>
            </w:r>
          </w:p>
        </w:tc>
        <w:tc>
          <w:tcPr>
            <w:tcW w:w="2893" w:type="pct"/>
            <w:vAlign w:val="center"/>
          </w:tcPr>
          <w:p w14:paraId="230D3EB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生活垃圾交由环卫部门进行处理</w:t>
            </w:r>
          </w:p>
        </w:tc>
        <w:tc>
          <w:tcPr>
            <w:tcW w:w="671" w:type="pct"/>
            <w:vMerge w:val="continue"/>
            <w:vAlign w:val="center"/>
          </w:tcPr>
          <w:p w14:paraId="48304DAC">
            <w:pPr>
              <w:widowControl/>
              <w:snapToGrid w:val="0"/>
              <w:spacing w:line="240" w:lineRule="auto"/>
              <w:ind w:firstLine="0" w:firstLineChars="0"/>
              <w:jc w:val="center"/>
              <w:rPr>
                <w:rFonts w:cs="Times New Roman"/>
                <w:bCs/>
                <w:kern w:val="0"/>
                <w:sz w:val="18"/>
                <w:szCs w:val="18"/>
              </w:rPr>
            </w:pPr>
          </w:p>
        </w:tc>
      </w:tr>
      <w:tr w14:paraId="318CB8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7F37B575">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341D689">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0C765261">
            <w:pPr>
              <w:widowControl/>
              <w:snapToGrid w:val="0"/>
              <w:spacing w:line="240" w:lineRule="auto"/>
              <w:ind w:firstLine="0" w:firstLineChars="0"/>
              <w:jc w:val="center"/>
              <w:rPr>
                <w:rFonts w:cs="Times New Roman"/>
                <w:bCs/>
                <w:kern w:val="0"/>
                <w:sz w:val="18"/>
                <w:szCs w:val="18"/>
              </w:rPr>
            </w:pPr>
          </w:p>
        </w:tc>
        <w:tc>
          <w:tcPr>
            <w:tcW w:w="485" w:type="pct"/>
            <w:vAlign w:val="center"/>
          </w:tcPr>
          <w:p w14:paraId="33069C6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73C6FBA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0.515t/a</w:t>
            </w:r>
          </w:p>
        </w:tc>
        <w:tc>
          <w:tcPr>
            <w:tcW w:w="2893" w:type="pct"/>
            <w:vAlign w:val="center"/>
          </w:tcPr>
          <w:p w14:paraId="33F19FF8">
            <w:pPr>
              <w:widowControl/>
              <w:snapToGrid w:val="0"/>
              <w:spacing w:line="240" w:lineRule="auto"/>
              <w:ind w:firstLine="0" w:firstLineChars="0"/>
              <w:jc w:val="center"/>
              <w:rPr>
                <w:rFonts w:cs="Times New Roman"/>
                <w:bCs/>
                <w:kern w:val="0"/>
                <w:sz w:val="18"/>
                <w:szCs w:val="18"/>
              </w:rPr>
            </w:pPr>
            <w:r>
              <w:rPr>
                <w:rFonts w:cs="Times New Roman"/>
                <w:bCs/>
                <w:spacing w:val="-8"/>
                <w:kern w:val="0"/>
                <w:sz w:val="18"/>
                <w:szCs w:val="18"/>
              </w:rPr>
              <w:t>废旧个体防护装备、废拖把、废抹布、废铅酸蓄电池泄漏液、废防酸滤铅网等由带盖专用</w:t>
            </w:r>
          </w:p>
        </w:tc>
        <w:tc>
          <w:tcPr>
            <w:tcW w:w="671" w:type="pct"/>
            <w:vMerge w:val="continue"/>
            <w:vAlign w:val="center"/>
          </w:tcPr>
          <w:p w14:paraId="24A6EF92">
            <w:pPr>
              <w:widowControl/>
              <w:snapToGrid w:val="0"/>
              <w:spacing w:line="240" w:lineRule="auto"/>
              <w:ind w:firstLine="0" w:firstLineChars="0"/>
              <w:jc w:val="center"/>
              <w:rPr>
                <w:rFonts w:cs="Times New Roman"/>
                <w:bCs/>
                <w:spacing w:val="-8"/>
                <w:kern w:val="0"/>
                <w:sz w:val="18"/>
                <w:szCs w:val="18"/>
              </w:rPr>
            </w:pPr>
          </w:p>
        </w:tc>
      </w:tr>
      <w:tr w14:paraId="3B5920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733A067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56</w:t>
            </w:r>
          </w:p>
          <w:p w14:paraId="0A9E1484">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33B3E99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衡阳市康仕达化工实业有限公司</w:t>
            </w:r>
          </w:p>
        </w:tc>
        <w:tc>
          <w:tcPr>
            <w:tcW w:w="199" w:type="pct"/>
            <w:vAlign w:val="center"/>
          </w:tcPr>
          <w:p w14:paraId="2EFBC2A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6D8B651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pH、SS、COD、氨氮</w:t>
            </w:r>
          </w:p>
        </w:tc>
        <w:tc>
          <w:tcPr>
            <w:tcW w:w="417" w:type="pct"/>
            <w:vAlign w:val="center"/>
          </w:tcPr>
          <w:p w14:paraId="7DBCF03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120 m</w:t>
            </w:r>
            <w:r>
              <w:rPr>
                <w:rFonts w:cs="Times New Roman"/>
                <w:bCs/>
                <w:kern w:val="0"/>
                <w:position w:val="8"/>
                <w:sz w:val="18"/>
                <w:szCs w:val="18"/>
              </w:rPr>
              <w:t>3</w:t>
            </w:r>
            <w:r>
              <w:rPr>
                <w:rFonts w:cs="Times New Roman"/>
                <w:bCs/>
                <w:kern w:val="0"/>
                <w:sz w:val="18"/>
                <w:szCs w:val="18"/>
              </w:rPr>
              <w:t>/a</w:t>
            </w:r>
          </w:p>
        </w:tc>
        <w:tc>
          <w:tcPr>
            <w:tcW w:w="2893" w:type="pct"/>
            <w:vAlign w:val="center"/>
          </w:tcPr>
          <w:p w14:paraId="2ED3DCE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洗罐废水回用于生产工艺；实验室废水委托资质单位进行处理，不外排；生活污水经化粪池预处理后经经开区污水管网进入松木污水处理厂进行处理</w:t>
            </w:r>
          </w:p>
        </w:tc>
        <w:tc>
          <w:tcPr>
            <w:tcW w:w="671" w:type="pct"/>
            <w:vMerge w:val="restart"/>
            <w:vAlign w:val="center"/>
          </w:tcPr>
          <w:p w14:paraId="298731A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12358B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4DC6B25">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6D2B2E7">
            <w:pPr>
              <w:widowControl/>
              <w:snapToGrid w:val="0"/>
              <w:spacing w:line="240" w:lineRule="auto"/>
              <w:ind w:firstLine="0" w:firstLineChars="0"/>
              <w:jc w:val="center"/>
              <w:rPr>
                <w:rFonts w:cs="Times New Roman"/>
                <w:bCs/>
                <w:kern w:val="0"/>
                <w:sz w:val="18"/>
                <w:szCs w:val="18"/>
              </w:rPr>
            </w:pPr>
          </w:p>
        </w:tc>
        <w:tc>
          <w:tcPr>
            <w:tcW w:w="199" w:type="pct"/>
            <w:vAlign w:val="center"/>
          </w:tcPr>
          <w:p w14:paraId="397EB3C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78A2BFA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TVOC</w:t>
            </w:r>
          </w:p>
        </w:tc>
        <w:tc>
          <w:tcPr>
            <w:tcW w:w="417" w:type="pct"/>
            <w:vAlign w:val="center"/>
          </w:tcPr>
          <w:p w14:paraId="4C98708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5244C65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671" w:type="pct"/>
            <w:vMerge w:val="continue"/>
            <w:vAlign w:val="center"/>
          </w:tcPr>
          <w:p w14:paraId="27F6EFEE">
            <w:pPr>
              <w:widowControl/>
              <w:snapToGrid w:val="0"/>
              <w:spacing w:line="240" w:lineRule="auto"/>
              <w:ind w:firstLine="0" w:firstLineChars="0"/>
              <w:jc w:val="center"/>
              <w:rPr>
                <w:rFonts w:cs="Times New Roman"/>
                <w:bCs/>
                <w:kern w:val="0"/>
                <w:sz w:val="18"/>
                <w:szCs w:val="18"/>
              </w:rPr>
            </w:pPr>
          </w:p>
        </w:tc>
      </w:tr>
      <w:tr w14:paraId="417DCE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7FD4D49F">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1A99A0F9">
            <w:pPr>
              <w:widowControl/>
              <w:snapToGrid w:val="0"/>
              <w:spacing w:line="240" w:lineRule="auto"/>
              <w:ind w:firstLine="0" w:firstLineChars="0"/>
              <w:jc w:val="center"/>
              <w:rPr>
                <w:rFonts w:cs="Times New Roman"/>
                <w:bCs/>
                <w:kern w:val="0"/>
                <w:sz w:val="18"/>
                <w:szCs w:val="18"/>
              </w:rPr>
            </w:pPr>
          </w:p>
        </w:tc>
        <w:tc>
          <w:tcPr>
            <w:tcW w:w="199" w:type="pct"/>
            <w:vAlign w:val="center"/>
          </w:tcPr>
          <w:p w14:paraId="5A0E2DA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6077E4B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46E2DA5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2.1t/a</w:t>
            </w:r>
          </w:p>
        </w:tc>
        <w:tc>
          <w:tcPr>
            <w:tcW w:w="2893" w:type="pct"/>
            <w:vAlign w:val="center"/>
          </w:tcPr>
          <w:p w14:paraId="7996872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生活垃圾交由环卫部门进行处理</w:t>
            </w:r>
          </w:p>
        </w:tc>
        <w:tc>
          <w:tcPr>
            <w:tcW w:w="671" w:type="pct"/>
            <w:vMerge w:val="continue"/>
            <w:vAlign w:val="center"/>
          </w:tcPr>
          <w:p w14:paraId="5C9D7733">
            <w:pPr>
              <w:widowControl/>
              <w:snapToGrid w:val="0"/>
              <w:spacing w:line="240" w:lineRule="auto"/>
              <w:ind w:firstLine="0" w:firstLineChars="0"/>
              <w:jc w:val="center"/>
              <w:rPr>
                <w:rFonts w:cs="Times New Roman"/>
                <w:bCs/>
                <w:kern w:val="0"/>
                <w:sz w:val="18"/>
                <w:szCs w:val="18"/>
              </w:rPr>
            </w:pPr>
          </w:p>
        </w:tc>
      </w:tr>
      <w:tr w14:paraId="52B64F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4E1E558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57</w:t>
            </w:r>
          </w:p>
          <w:p w14:paraId="6BD28AE2">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786EC32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中民筑友科技集团有限公司</w:t>
            </w:r>
          </w:p>
        </w:tc>
        <w:tc>
          <w:tcPr>
            <w:tcW w:w="199" w:type="pct"/>
            <w:vAlign w:val="center"/>
          </w:tcPr>
          <w:p w14:paraId="221C63D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3564C69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SS、COD、氨氮等</w:t>
            </w:r>
          </w:p>
        </w:tc>
        <w:tc>
          <w:tcPr>
            <w:tcW w:w="417" w:type="pct"/>
            <w:vAlign w:val="center"/>
          </w:tcPr>
          <w:p w14:paraId="3D10539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960 m</w:t>
            </w:r>
            <w:r>
              <w:rPr>
                <w:rFonts w:cs="Times New Roman"/>
                <w:bCs/>
                <w:kern w:val="0"/>
                <w:position w:val="8"/>
                <w:sz w:val="18"/>
                <w:szCs w:val="18"/>
              </w:rPr>
              <w:t>3</w:t>
            </w:r>
            <w:r>
              <w:rPr>
                <w:rFonts w:cs="Times New Roman"/>
                <w:bCs/>
                <w:kern w:val="0"/>
                <w:sz w:val="18"/>
                <w:szCs w:val="18"/>
              </w:rPr>
              <w:t>/a</w:t>
            </w:r>
          </w:p>
        </w:tc>
        <w:tc>
          <w:tcPr>
            <w:tcW w:w="2893" w:type="pct"/>
            <w:vAlign w:val="center"/>
          </w:tcPr>
          <w:p w14:paraId="7ED12E1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清洗废水、冲洗水经隔油+沉淀处理后进行回用； 初期雨水经隔油沉淀后回用于厂区绿化带用水；生活废水经化粪池预处理后经经开区污水管网进入松木污水处理厂进行处理</w:t>
            </w:r>
          </w:p>
        </w:tc>
        <w:tc>
          <w:tcPr>
            <w:tcW w:w="671" w:type="pct"/>
            <w:vMerge w:val="restart"/>
            <w:vAlign w:val="center"/>
          </w:tcPr>
          <w:p w14:paraId="26A09E4D">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后期雨水排放监控池、流量计、视频监控、pH在线监测仪、SS在线监测仪及监控站房</w:t>
            </w:r>
          </w:p>
        </w:tc>
      </w:tr>
      <w:tr w14:paraId="2C27FE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trPr>
        <w:tc>
          <w:tcPr>
            <w:tcW w:w="100" w:type="pct"/>
            <w:vMerge w:val="continue"/>
            <w:vAlign w:val="center"/>
          </w:tcPr>
          <w:p w14:paraId="09021529">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2CF4DA3B">
            <w:pPr>
              <w:widowControl/>
              <w:snapToGrid w:val="0"/>
              <w:spacing w:line="240" w:lineRule="auto"/>
              <w:ind w:firstLine="0" w:firstLineChars="0"/>
              <w:jc w:val="center"/>
              <w:rPr>
                <w:rFonts w:cs="Times New Roman"/>
                <w:bCs/>
                <w:kern w:val="0"/>
                <w:sz w:val="18"/>
                <w:szCs w:val="18"/>
              </w:rPr>
            </w:pPr>
          </w:p>
        </w:tc>
        <w:tc>
          <w:tcPr>
            <w:tcW w:w="199" w:type="pct"/>
            <w:vAlign w:val="center"/>
          </w:tcPr>
          <w:p w14:paraId="257DADA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37792BE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粉尘</w:t>
            </w:r>
          </w:p>
        </w:tc>
        <w:tc>
          <w:tcPr>
            <w:tcW w:w="417" w:type="pct"/>
            <w:vAlign w:val="center"/>
          </w:tcPr>
          <w:p w14:paraId="1F0C415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5C71F57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输送、计量、投料及交办分厂经布袋除尘后排放；</w:t>
            </w:r>
          </w:p>
          <w:p w14:paraId="769357F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水泥筒仓呼吸孔和仓底分厂经布袋除尘处理后经 15m 排气筒排放；</w:t>
            </w:r>
          </w:p>
        </w:tc>
        <w:tc>
          <w:tcPr>
            <w:tcW w:w="671" w:type="pct"/>
            <w:vMerge w:val="continue"/>
            <w:vAlign w:val="center"/>
          </w:tcPr>
          <w:p w14:paraId="638E6D94">
            <w:pPr>
              <w:widowControl/>
              <w:snapToGrid w:val="0"/>
              <w:spacing w:line="240" w:lineRule="auto"/>
              <w:ind w:firstLine="0" w:firstLineChars="0"/>
              <w:jc w:val="center"/>
              <w:rPr>
                <w:rFonts w:cs="Times New Roman"/>
                <w:bCs/>
                <w:kern w:val="0"/>
                <w:sz w:val="18"/>
                <w:szCs w:val="18"/>
              </w:rPr>
            </w:pPr>
          </w:p>
        </w:tc>
      </w:tr>
      <w:tr w14:paraId="0C4EF8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B1B405A">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055096F">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554E597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007AB35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5EB7904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461.657t/a</w:t>
            </w:r>
          </w:p>
        </w:tc>
        <w:tc>
          <w:tcPr>
            <w:tcW w:w="2893" w:type="pct"/>
            <w:vMerge w:val="restart"/>
            <w:vAlign w:val="center"/>
          </w:tcPr>
          <w:p w14:paraId="17D361A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模具废弃料、布袋除尘器收集的粉尘、沉淀池等回用于混凝土生产线； 生活垃圾等一般固废交由环卫部门进行处理；废机油、废脱模剂等危废交由资质单位进行处理</w:t>
            </w:r>
          </w:p>
        </w:tc>
        <w:tc>
          <w:tcPr>
            <w:tcW w:w="671" w:type="pct"/>
            <w:vMerge w:val="continue"/>
            <w:vAlign w:val="center"/>
          </w:tcPr>
          <w:p w14:paraId="2C3ACC88">
            <w:pPr>
              <w:widowControl/>
              <w:snapToGrid w:val="0"/>
              <w:spacing w:line="240" w:lineRule="auto"/>
              <w:ind w:firstLine="0" w:firstLineChars="0"/>
              <w:jc w:val="center"/>
              <w:rPr>
                <w:rFonts w:cs="Times New Roman"/>
                <w:bCs/>
                <w:kern w:val="0"/>
                <w:sz w:val="18"/>
                <w:szCs w:val="18"/>
              </w:rPr>
            </w:pPr>
          </w:p>
        </w:tc>
      </w:tr>
      <w:tr w14:paraId="36E9C0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C3698CA">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F4C80C6">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46F7FBB0">
            <w:pPr>
              <w:widowControl/>
              <w:snapToGrid w:val="0"/>
              <w:spacing w:line="240" w:lineRule="auto"/>
              <w:ind w:firstLine="0" w:firstLineChars="0"/>
              <w:jc w:val="center"/>
              <w:rPr>
                <w:rFonts w:cs="Times New Roman"/>
                <w:bCs/>
                <w:kern w:val="0"/>
                <w:sz w:val="18"/>
                <w:szCs w:val="18"/>
              </w:rPr>
            </w:pPr>
          </w:p>
        </w:tc>
        <w:tc>
          <w:tcPr>
            <w:tcW w:w="485" w:type="pct"/>
            <w:vAlign w:val="center"/>
          </w:tcPr>
          <w:p w14:paraId="067541C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7EFB263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0.3t/a</w:t>
            </w:r>
          </w:p>
        </w:tc>
        <w:tc>
          <w:tcPr>
            <w:tcW w:w="2893" w:type="pct"/>
            <w:vMerge w:val="continue"/>
            <w:vAlign w:val="center"/>
          </w:tcPr>
          <w:p w14:paraId="0328D3FC">
            <w:pPr>
              <w:autoSpaceDE w:val="0"/>
              <w:autoSpaceDN w:val="0"/>
              <w:snapToGrid w:val="0"/>
              <w:spacing w:line="240" w:lineRule="auto"/>
              <w:ind w:firstLine="0" w:firstLineChars="0"/>
              <w:jc w:val="center"/>
              <w:rPr>
                <w:rFonts w:cs="Times New Roman"/>
                <w:bCs/>
                <w:kern w:val="0"/>
                <w:sz w:val="18"/>
                <w:szCs w:val="18"/>
              </w:rPr>
            </w:pPr>
          </w:p>
        </w:tc>
        <w:tc>
          <w:tcPr>
            <w:tcW w:w="671" w:type="pct"/>
            <w:vMerge w:val="continue"/>
            <w:vAlign w:val="center"/>
          </w:tcPr>
          <w:p w14:paraId="7E469921">
            <w:pPr>
              <w:autoSpaceDE w:val="0"/>
              <w:autoSpaceDN w:val="0"/>
              <w:snapToGrid w:val="0"/>
              <w:spacing w:line="240" w:lineRule="auto"/>
              <w:ind w:firstLine="0" w:firstLineChars="0"/>
              <w:jc w:val="center"/>
              <w:rPr>
                <w:rFonts w:cs="Times New Roman"/>
                <w:bCs/>
                <w:kern w:val="0"/>
                <w:sz w:val="18"/>
                <w:szCs w:val="18"/>
              </w:rPr>
            </w:pPr>
          </w:p>
        </w:tc>
      </w:tr>
      <w:tr w14:paraId="11430F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63DDE3E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58</w:t>
            </w:r>
          </w:p>
          <w:p w14:paraId="1416906B">
            <w:pPr>
              <w:autoSpaceDE w:val="0"/>
              <w:autoSpaceDN w:val="0"/>
              <w:snapToGrid w:val="0"/>
              <w:spacing w:line="240" w:lineRule="auto"/>
              <w:ind w:firstLine="0" w:firstLineChars="0"/>
              <w:jc w:val="center"/>
              <w:rPr>
                <w:rFonts w:cs="Times New Roman"/>
                <w:bCs/>
                <w:kern w:val="0"/>
                <w:sz w:val="18"/>
                <w:szCs w:val="18"/>
              </w:rPr>
            </w:pPr>
          </w:p>
        </w:tc>
        <w:tc>
          <w:tcPr>
            <w:tcW w:w="231" w:type="pct"/>
            <w:vMerge w:val="restart"/>
            <w:vAlign w:val="center"/>
          </w:tcPr>
          <w:p w14:paraId="141413C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衡阳市泰和机械实业有限公司</w:t>
            </w:r>
          </w:p>
        </w:tc>
        <w:tc>
          <w:tcPr>
            <w:tcW w:w="199" w:type="pct"/>
            <w:vAlign w:val="center"/>
          </w:tcPr>
          <w:p w14:paraId="2545B08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326D5C7C">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SS、COD、氨氮等</w:t>
            </w:r>
          </w:p>
        </w:tc>
        <w:tc>
          <w:tcPr>
            <w:tcW w:w="417" w:type="pct"/>
            <w:vAlign w:val="center"/>
          </w:tcPr>
          <w:p w14:paraId="091C5D88">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304260FB">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通过市政污水管网进入松木污水处理厂</w:t>
            </w:r>
          </w:p>
        </w:tc>
        <w:tc>
          <w:tcPr>
            <w:tcW w:w="671" w:type="pct"/>
            <w:vMerge w:val="restart"/>
            <w:vAlign w:val="center"/>
          </w:tcPr>
          <w:p w14:paraId="61801340">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167314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6E3A8C4B">
            <w:pPr>
              <w:autoSpaceDE w:val="0"/>
              <w:autoSpaceDN w:val="0"/>
              <w:snapToGrid w:val="0"/>
              <w:spacing w:line="240" w:lineRule="auto"/>
              <w:ind w:firstLine="0" w:firstLineChars="0"/>
              <w:jc w:val="center"/>
              <w:rPr>
                <w:rFonts w:cs="Times New Roman"/>
                <w:bCs/>
                <w:kern w:val="0"/>
                <w:sz w:val="18"/>
                <w:szCs w:val="18"/>
              </w:rPr>
            </w:pPr>
          </w:p>
        </w:tc>
        <w:tc>
          <w:tcPr>
            <w:tcW w:w="231" w:type="pct"/>
            <w:vMerge w:val="continue"/>
            <w:vAlign w:val="center"/>
          </w:tcPr>
          <w:p w14:paraId="09D1634D">
            <w:pPr>
              <w:autoSpaceDE w:val="0"/>
              <w:autoSpaceDN w:val="0"/>
              <w:snapToGrid w:val="0"/>
              <w:spacing w:line="240" w:lineRule="auto"/>
              <w:ind w:firstLine="0" w:firstLineChars="0"/>
              <w:jc w:val="center"/>
              <w:rPr>
                <w:rFonts w:cs="Times New Roman"/>
                <w:bCs/>
                <w:kern w:val="0"/>
                <w:sz w:val="18"/>
                <w:szCs w:val="18"/>
              </w:rPr>
            </w:pPr>
          </w:p>
        </w:tc>
        <w:tc>
          <w:tcPr>
            <w:tcW w:w="199" w:type="pct"/>
            <w:vAlign w:val="center"/>
          </w:tcPr>
          <w:p w14:paraId="3802B23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0333188F">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VOCs、苯、甲苯、二甲苯</w:t>
            </w:r>
          </w:p>
        </w:tc>
        <w:tc>
          <w:tcPr>
            <w:tcW w:w="417" w:type="pct"/>
            <w:vAlign w:val="center"/>
          </w:tcPr>
          <w:p w14:paraId="157CC930">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57994DC1">
            <w:pPr>
              <w:autoSpaceDE w:val="0"/>
              <w:autoSpaceDN w:val="0"/>
              <w:snapToGrid w:val="0"/>
              <w:spacing w:line="240" w:lineRule="auto"/>
              <w:ind w:firstLine="0" w:firstLineChars="0"/>
              <w:jc w:val="center"/>
              <w:rPr>
                <w:rFonts w:cs="Times New Roman"/>
                <w:bCs/>
                <w:kern w:val="0"/>
                <w:sz w:val="18"/>
                <w:szCs w:val="18"/>
              </w:rPr>
            </w:pPr>
            <w:r>
              <w:rPr>
                <w:rFonts w:cs="Times New Roman"/>
                <w:kern w:val="0"/>
                <w:sz w:val="18"/>
                <w:szCs w:val="18"/>
              </w:rPr>
              <w:t>喷漆废气经</w:t>
            </w:r>
            <w:r>
              <w:rPr>
                <w:rFonts w:cs="Times New Roman"/>
                <w:bCs/>
                <w:kern w:val="0"/>
                <w:sz w:val="18"/>
                <w:szCs w:val="18"/>
              </w:rPr>
              <w:t>过滤棉+光氧催化+15m高排气筒</w:t>
            </w:r>
          </w:p>
        </w:tc>
        <w:tc>
          <w:tcPr>
            <w:tcW w:w="671" w:type="pct"/>
            <w:vMerge w:val="continue"/>
            <w:vAlign w:val="center"/>
          </w:tcPr>
          <w:p w14:paraId="0254C878">
            <w:pPr>
              <w:autoSpaceDE w:val="0"/>
              <w:autoSpaceDN w:val="0"/>
              <w:snapToGrid w:val="0"/>
              <w:spacing w:line="240" w:lineRule="auto"/>
              <w:ind w:firstLine="0" w:firstLineChars="0"/>
              <w:jc w:val="center"/>
              <w:rPr>
                <w:rFonts w:cs="Times New Roman"/>
                <w:bCs/>
                <w:kern w:val="0"/>
                <w:sz w:val="18"/>
                <w:szCs w:val="18"/>
              </w:rPr>
            </w:pPr>
          </w:p>
        </w:tc>
      </w:tr>
      <w:tr w14:paraId="3D947B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41CE6D5">
            <w:pPr>
              <w:autoSpaceDE w:val="0"/>
              <w:autoSpaceDN w:val="0"/>
              <w:snapToGrid w:val="0"/>
              <w:spacing w:line="240" w:lineRule="auto"/>
              <w:ind w:firstLine="0" w:firstLineChars="0"/>
              <w:jc w:val="center"/>
              <w:rPr>
                <w:rFonts w:cs="Times New Roman"/>
                <w:bCs/>
                <w:kern w:val="0"/>
                <w:sz w:val="18"/>
                <w:szCs w:val="18"/>
              </w:rPr>
            </w:pPr>
          </w:p>
        </w:tc>
        <w:tc>
          <w:tcPr>
            <w:tcW w:w="231" w:type="pct"/>
            <w:vMerge w:val="continue"/>
            <w:vAlign w:val="center"/>
          </w:tcPr>
          <w:p w14:paraId="7A71D719">
            <w:pPr>
              <w:autoSpaceDE w:val="0"/>
              <w:autoSpaceDN w:val="0"/>
              <w:snapToGrid w:val="0"/>
              <w:spacing w:line="240" w:lineRule="auto"/>
              <w:ind w:firstLine="0" w:firstLineChars="0"/>
              <w:jc w:val="center"/>
              <w:rPr>
                <w:rFonts w:cs="Times New Roman"/>
                <w:bCs/>
                <w:kern w:val="0"/>
                <w:sz w:val="18"/>
                <w:szCs w:val="18"/>
              </w:rPr>
            </w:pPr>
          </w:p>
        </w:tc>
        <w:tc>
          <w:tcPr>
            <w:tcW w:w="199" w:type="pct"/>
            <w:vMerge w:val="restart"/>
            <w:vAlign w:val="center"/>
          </w:tcPr>
          <w:p w14:paraId="46557B0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3C41C465">
            <w:pPr>
              <w:autoSpaceDE w:val="0"/>
              <w:autoSpaceDN w:val="0"/>
              <w:snapToGrid w:val="0"/>
              <w:ind w:firstLine="0" w:firstLineChars="0"/>
              <w:jc w:val="center"/>
              <w:rPr>
                <w:rFonts w:cs="Times New Roman"/>
                <w:bCs/>
                <w:kern w:val="0"/>
                <w:sz w:val="18"/>
                <w:szCs w:val="18"/>
              </w:rPr>
            </w:pPr>
            <w:r>
              <w:rPr>
                <w:rFonts w:cs="Times New Roman"/>
                <w:bCs/>
                <w:kern w:val="0"/>
                <w:sz w:val="18"/>
                <w:szCs w:val="18"/>
                <w:lang w:eastAsia="en-US"/>
              </w:rPr>
              <w:t>一般废物</w:t>
            </w:r>
          </w:p>
        </w:tc>
        <w:tc>
          <w:tcPr>
            <w:tcW w:w="417" w:type="pct"/>
            <w:vAlign w:val="center"/>
          </w:tcPr>
          <w:p w14:paraId="3BE8072C">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15t/a</w:t>
            </w:r>
          </w:p>
        </w:tc>
        <w:tc>
          <w:tcPr>
            <w:tcW w:w="2893" w:type="pct"/>
            <w:vMerge w:val="restart"/>
            <w:vAlign w:val="center"/>
          </w:tcPr>
          <w:p w14:paraId="4347E7EC">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废铁边角料统一收集，外卖；废过滤棉统一收集，暂存由厂家回收， 生活垃圾等一般固废交由环卫部门进行处理；</w:t>
            </w:r>
          </w:p>
        </w:tc>
        <w:tc>
          <w:tcPr>
            <w:tcW w:w="671" w:type="pct"/>
            <w:vMerge w:val="continue"/>
            <w:vAlign w:val="center"/>
          </w:tcPr>
          <w:p w14:paraId="73AA61AC">
            <w:pPr>
              <w:autoSpaceDE w:val="0"/>
              <w:autoSpaceDN w:val="0"/>
              <w:snapToGrid w:val="0"/>
              <w:spacing w:line="240" w:lineRule="auto"/>
              <w:ind w:firstLine="0" w:firstLineChars="0"/>
              <w:jc w:val="center"/>
              <w:rPr>
                <w:rFonts w:cs="Times New Roman"/>
                <w:bCs/>
                <w:kern w:val="0"/>
                <w:sz w:val="18"/>
                <w:szCs w:val="18"/>
              </w:rPr>
            </w:pPr>
          </w:p>
        </w:tc>
      </w:tr>
      <w:tr w14:paraId="49868F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19AAA360">
            <w:pPr>
              <w:autoSpaceDE w:val="0"/>
              <w:autoSpaceDN w:val="0"/>
              <w:snapToGrid w:val="0"/>
              <w:spacing w:line="240" w:lineRule="auto"/>
              <w:ind w:firstLine="0" w:firstLineChars="0"/>
              <w:jc w:val="center"/>
              <w:rPr>
                <w:rFonts w:cs="Times New Roman"/>
                <w:bCs/>
                <w:kern w:val="0"/>
                <w:sz w:val="18"/>
                <w:szCs w:val="18"/>
              </w:rPr>
            </w:pPr>
          </w:p>
        </w:tc>
        <w:tc>
          <w:tcPr>
            <w:tcW w:w="231" w:type="pct"/>
            <w:vMerge w:val="continue"/>
            <w:vAlign w:val="center"/>
          </w:tcPr>
          <w:p w14:paraId="6856BC10">
            <w:pPr>
              <w:autoSpaceDE w:val="0"/>
              <w:autoSpaceDN w:val="0"/>
              <w:snapToGrid w:val="0"/>
              <w:spacing w:line="240" w:lineRule="auto"/>
              <w:ind w:firstLine="0" w:firstLineChars="0"/>
              <w:jc w:val="center"/>
              <w:rPr>
                <w:rFonts w:cs="Times New Roman"/>
                <w:bCs/>
                <w:kern w:val="0"/>
                <w:sz w:val="18"/>
                <w:szCs w:val="18"/>
              </w:rPr>
            </w:pPr>
          </w:p>
        </w:tc>
        <w:tc>
          <w:tcPr>
            <w:tcW w:w="199" w:type="pct"/>
            <w:vMerge w:val="continue"/>
            <w:vAlign w:val="center"/>
          </w:tcPr>
          <w:p w14:paraId="51906B86">
            <w:pPr>
              <w:autoSpaceDE w:val="0"/>
              <w:autoSpaceDN w:val="0"/>
              <w:snapToGrid w:val="0"/>
              <w:spacing w:line="240" w:lineRule="auto"/>
              <w:ind w:firstLine="0" w:firstLineChars="0"/>
              <w:jc w:val="center"/>
              <w:rPr>
                <w:rFonts w:cs="Times New Roman"/>
                <w:bCs/>
                <w:kern w:val="0"/>
                <w:sz w:val="18"/>
                <w:szCs w:val="18"/>
              </w:rPr>
            </w:pPr>
          </w:p>
        </w:tc>
        <w:tc>
          <w:tcPr>
            <w:tcW w:w="485" w:type="pct"/>
            <w:vAlign w:val="center"/>
          </w:tcPr>
          <w:p w14:paraId="6D4DA617">
            <w:pPr>
              <w:autoSpaceDE w:val="0"/>
              <w:autoSpaceDN w:val="0"/>
              <w:snapToGrid w:val="0"/>
              <w:ind w:firstLine="0" w:firstLineChars="0"/>
              <w:jc w:val="center"/>
              <w:rPr>
                <w:rFonts w:cs="Times New Roman"/>
                <w:bCs/>
                <w:kern w:val="0"/>
                <w:sz w:val="18"/>
                <w:szCs w:val="18"/>
              </w:rPr>
            </w:pPr>
            <w:r>
              <w:rPr>
                <w:rFonts w:cs="Times New Roman"/>
                <w:bCs/>
                <w:kern w:val="0"/>
                <w:sz w:val="18"/>
                <w:szCs w:val="18"/>
              </w:rPr>
              <w:t>危险</w:t>
            </w:r>
            <w:r>
              <w:rPr>
                <w:rFonts w:cs="Times New Roman"/>
                <w:bCs/>
                <w:kern w:val="0"/>
                <w:sz w:val="18"/>
                <w:szCs w:val="18"/>
                <w:lang w:eastAsia="en-US"/>
              </w:rPr>
              <w:t>废物</w:t>
            </w:r>
          </w:p>
        </w:tc>
        <w:tc>
          <w:tcPr>
            <w:tcW w:w="417" w:type="pct"/>
            <w:vAlign w:val="center"/>
          </w:tcPr>
          <w:p w14:paraId="1C3B2B4D">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0.5t/a</w:t>
            </w:r>
          </w:p>
        </w:tc>
        <w:tc>
          <w:tcPr>
            <w:tcW w:w="2893" w:type="pct"/>
            <w:vMerge w:val="continue"/>
            <w:vAlign w:val="center"/>
          </w:tcPr>
          <w:p w14:paraId="5C1A769E">
            <w:pPr>
              <w:autoSpaceDE w:val="0"/>
              <w:autoSpaceDN w:val="0"/>
              <w:snapToGrid w:val="0"/>
              <w:spacing w:line="240" w:lineRule="auto"/>
              <w:ind w:firstLine="0" w:firstLineChars="0"/>
              <w:jc w:val="center"/>
              <w:rPr>
                <w:rFonts w:cs="Times New Roman"/>
                <w:bCs/>
                <w:kern w:val="0"/>
                <w:sz w:val="18"/>
                <w:szCs w:val="18"/>
              </w:rPr>
            </w:pPr>
          </w:p>
        </w:tc>
        <w:tc>
          <w:tcPr>
            <w:tcW w:w="671" w:type="pct"/>
            <w:vMerge w:val="continue"/>
            <w:vAlign w:val="center"/>
          </w:tcPr>
          <w:p w14:paraId="51D81999">
            <w:pPr>
              <w:autoSpaceDE w:val="0"/>
              <w:autoSpaceDN w:val="0"/>
              <w:snapToGrid w:val="0"/>
              <w:spacing w:line="240" w:lineRule="auto"/>
              <w:ind w:firstLine="0" w:firstLineChars="0"/>
              <w:jc w:val="center"/>
              <w:rPr>
                <w:rFonts w:cs="Times New Roman"/>
                <w:bCs/>
                <w:kern w:val="0"/>
                <w:sz w:val="18"/>
                <w:szCs w:val="18"/>
              </w:rPr>
            </w:pPr>
          </w:p>
        </w:tc>
      </w:tr>
      <w:tr w14:paraId="3E296F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1B518A3A">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59</w:t>
            </w:r>
          </w:p>
          <w:p w14:paraId="3584967A">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73D80E1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衡阳市成大混凝土有限公司</w:t>
            </w:r>
          </w:p>
        </w:tc>
        <w:tc>
          <w:tcPr>
            <w:tcW w:w="199" w:type="pct"/>
            <w:vAlign w:val="center"/>
          </w:tcPr>
          <w:p w14:paraId="3451F4E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27A010E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pH、SS、COD、氨</w:t>
            </w:r>
          </w:p>
          <w:p w14:paraId="6E5E6CE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氮</w:t>
            </w:r>
          </w:p>
        </w:tc>
        <w:tc>
          <w:tcPr>
            <w:tcW w:w="417" w:type="pct"/>
            <w:vAlign w:val="center"/>
          </w:tcPr>
          <w:p w14:paraId="74B700C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3060 m</w:t>
            </w:r>
            <w:r>
              <w:rPr>
                <w:rFonts w:cs="Times New Roman"/>
                <w:bCs/>
                <w:kern w:val="0"/>
                <w:position w:val="8"/>
                <w:sz w:val="18"/>
                <w:szCs w:val="18"/>
              </w:rPr>
              <w:t>3</w:t>
            </w:r>
            <w:r>
              <w:rPr>
                <w:rFonts w:cs="Times New Roman"/>
                <w:bCs/>
                <w:kern w:val="0"/>
                <w:sz w:val="18"/>
                <w:szCs w:val="18"/>
              </w:rPr>
              <w:t>/a</w:t>
            </w:r>
          </w:p>
        </w:tc>
        <w:tc>
          <w:tcPr>
            <w:tcW w:w="2893" w:type="pct"/>
            <w:vAlign w:val="center"/>
          </w:tcPr>
          <w:p w14:paraId="59C2E56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生产废水经二级沉淀处理后回用，不外排；</w:t>
            </w:r>
          </w:p>
          <w:p w14:paraId="17183366">
            <w:pPr>
              <w:widowControl/>
              <w:snapToGrid w:val="0"/>
              <w:spacing w:line="240" w:lineRule="auto"/>
              <w:ind w:firstLine="0" w:firstLineChars="0"/>
              <w:jc w:val="center"/>
              <w:rPr>
                <w:rFonts w:cs="Times New Roman"/>
                <w:bCs/>
                <w:kern w:val="0"/>
                <w:sz w:val="18"/>
                <w:szCs w:val="18"/>
              </w:rPr>
            </w:pPr>
            <w:r>
              <w:rPr>
                <w:rFonts w:cs="Times New Roman"/>
                <w:bCs/>
                <w:spacing w:val="-5"/>
                <w:kern w:val="0"/>
                <w:sz w:val="18"/>
                <w:szCs w:val="18"/>
              </w:rPr>
              <w:t>生活污水经化粪池预处理后进入经开区污水管网，最终经松木污水处理厂处理后排至湘江</w:t>
            </w:r>
          </w:p>
        </w:tc>
        <w:tc>
          <w:tcPr>
            <w:tcW w:w="671" w:type="pct"/>
            <w:vMerge w:val="restart"/>
            <w:vAlign w:val="center"/>
          </w:tcPr>
          <w:p w14:paraId="686C1C98">
            <w:pPr>
              <w:widowControl/>
              <w:snapToGrid w:val="0"/>
              <w:spacing w:line="240" w:lineRule="auto"/>
              <w:ind w:firstLine="0" w:firstLineChars="0"/>
              <w:jc w:val="center"/>
              <w:rPr>
                <w:rFonts w:cs="Times New Roman"/>
                <w:bCs/>
                <w:spacing w:val="-5"/>
                <w:kern w:val="0"/>
                <w:sz w:val="18"/>
                <w:szCs w:val="18"/>
              </w:rPr>
            </w:pPr>
            <w:r>
              <w:rPr>
                <w:rFonts w:cs="Times New Roman"/>
                <w:kern w:val="0"/>
                <w:sz w:val="18"/>
                <w:szCs w:val="18"/>
              </w:rPr>
              <w:t>后期雨水排放监控池、流量计、视频监控、pH在线监测仪、SS在线监测仪及监控站房</w:t>
            </w:r>
          </w:p>
        </w:tc>
      </w:tr>
      <w:tr w14:paraId="057630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486D682B">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92F9A0F">
            <w:pPr>
              <w:widowControl/>
              <w:snapToGrid w:val="0"/>
              <w:spacing w:line="240" w:lineRule="auto"/>
              <w:ind w:firstLine="0" w:firstLineChars="0"/>
              <w:jc w:val="center"/>
              <w:rPr>
                <w:rFonts w:cs="Times New Roman"/>
                <w:bCs/>
                <w:kern w:val="0"/>
                <w:sz w:val="18"/>
                <w:szCs w:val="18"/>
              </w:rPr>
            </w:pPr>
          </w:p>
        </w:tc>
        <w:tc>
          <w:tcPr>
            <w:tcW w:w="199" w:type="pct"/>
            <w:vAlign w:val="center"/>
          </w:tcPr>
          <w:p w14:paraId="636FA96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1ED440D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粉尘</w:t>
            </w:r>
          </w:p>
        </w:tc>
        <w:tc>
          <w:tcPr>
            <w:tcW w:w="417" w:type="pct"/>
            <w:vAlign w:val="center"/>
          </w:tcPr>
          <w:p w14:paraId="1C89C56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4EFF5CC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筒仓顶部呼吸孔及筒仓底部粉尘采用脉冲式布袋除尘系统进行处理后排放</w:t>
            </w:r>
          </w:p>
        </w:tc>
        <w:tc>
          <w:tcPr>
            <w:tcW w:w="671" w:type="pct"/>
            <w:vMerge w:val="continue"/>
            <w:vAlign w:val="center"/>
          </w:tcPr>
          <w:p w14:paraId="21DB47D8">
            <w:pPr>
              <w:widowControl/>
              <w:snapToGrid w:val="0"/>
              <w:spacing w:line="240" w:lineRule="auto"/>
              <w:ind w:firstLine="0" w:firstLineChars="0"/>
              <w:jc w:val="center"/>
              <w:rPr>
                <w:rFonts w:cs="Times New Roman"/>
                <w:bCs/>
                <w:kern w:val="0"/>
                <w:sz w:val="18"/>
                <w:szCs w:val="18"/>
              </w:rPr>
            </w:pPr>
          </w:p>
        </w:tc>
      </w:tr>
      <w:tr w14:paraId="73C12D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40A5075">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E32C002">
            <w:pPr>
              <w:widowControl/>
              <w:snapToGrid w:val="0"/>
              <w:spacing w:line="240" w:lineRule="auto"/>
              <w:ind w:firstLine="0" w:firstLineChars="0"/>
              <w:jc w:val="center"/>
              <w:rPr>
                <w:rFonts w:cs="Times New Roman"/>
                <w:bCs/>
                <w:kern w:val="0"/>
                <w:sz w:val="18"/>
                <w:szCs w:val="18"/>
              </w:rPr>
            </w:pPr>
          </w:p>
        </w:tc>
        <w:tc>
          <w:tcPr>
            <w:tcW w:w="199" w:type="pct"/>
            <w:vAlign w:val="center"/>
          </w:tcPr>
          <w:p w14:paraId="2FE13D3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2C176DC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51ACE9B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2286.6t/a</w:t>
            </w:r>
          </w:p>
        </w:tc>
        <w:tc>
          <w:tcPr>
            <w:tcW w:w="2893" w:type="pct"/>
            <w:vAlign w:val="center"/>
          </w:tcPr>
          <w:p w14:paraId="156F0C0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沉淀池沉渣和剩余混凝土回用于生产； 污水处理污泥（主要为水泥渣）出售；</w:t>
            </w:r>
          </w:p>
          <w:p w14:paraId="62645B0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生活垃圾由环卫部门统一处理</w:t>
            </w:r>
          </w:p>
        </w:tc>
        <w:tc>
          <w:tcPr>
            <w:tcW w:w="671" w:type="pct"/>
            <w:vMerge w:val="continue"/>
            <w:vAlign w:val="center"/>
          </w:tcPr>
          <w:p w14:paraId="5D8B8A5E">
            <w:pPr>
              <w:widowControl/>
              <w:snapToGrid w:val="0"/>
              <w:spacing w:line="240" w:lineRule="auto"/>
              <w:ind w:firstLine="0" w:firstLineChars="0"/>
              <w:jc w:val="center"/>
              <w:rPr>
                <w:rFonts w:cs="Times New Roman"/>
                <w:bCs/>
                <w:kern w:val="0"/>
                <w:sz w:val="18"/>
                <w:szCs w:val="18"/>
              </w:rPr>
            </w:pPr>
          </w:p>
        </w:tc>
      </w:tr>
      <w:tr w14:paraId="0D1D11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33C3E24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60</w:t>
            </w:r>
          </w:p>
          <w:p w14:paraId="3570F2BC">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5523D4D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湖南超声人防设备有限公司</w:t>
            </w:r>
          </w:p>
        </w:tc>
        <w:tc>
          <w:tcPr>
            <w:tcW w:w="199" w:type="pct"/>
            <w:vAlign w:val="center"/>
          </w:tcPr>
          <w:p w14:paraId="226FE27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717FDCC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pH、SS、COD、氨</w:t>
            </w:r>
          </w:p>
          <w:p w14:paraId="316EAE4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氮</w:t>
            </w:r>
          </w:p>
        </w:tc>
        <w:tc>
          <w:tcPr>
            <w:tcW w:w="417" w:type="pct"/>
            <w:vAlign w:val="center"/>
          </w:tcPr>
          <w:p w14:paraId="43AA7E8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427.2 m</w:t>
            </w:r>
            <w:r>
              <w:rPr>
                <w:rFonts w:cs="Times New Roman"/>
                <w:bCs/>
                <w:kern w:val="0"/>
                <w:position w:val="8"/>
                <w:sz w:val="18"/>
                <w:szCs w:val="18"/>
              </w:rPr>
              <w:t>3</w:t>
            </w:r>
            <w:r>
              <w:rPr>
                <w:rFonts w:cs="Times New Roman"/>
                <w:bCs/>
                <w:kern w:val="0"/>
                <w:sz w:val="18"/>
                <w:szCs w:val="18"/>
              </w:rPr>
              <w:t>/a</w:t>
            </w:r>
          </w:p>
        </w:tc>
        <w:tc>
          <w:tcPr>
            <w:tcW w:w="2893" w:type="pct"/>
            <w:vAlign w:val="center"/>
          </w:tcPr>
          <w:p w14:paraId="694949C6">
            <w:pPr>
              <w:widowControl/>
              <w:snapToGrid w:val="0"/>
              <w:spacing w:line="240" w:lineRule="auto"/>
              <w:ind w:firstLine="0" w:firstLineChars="0"/>
              <w:jc w:val="center"/>
              <w:rPr>
                <w:rFonts w:cs="Times New Roman"/>
                <w:bCs/>
                <w:kern w:val="0"/>
                <w:sz w:val="18"/>
                <w:szCs w:val="18"/>
              </w:rPr>
            </w:pPr>
            <w:r>
              <w:rPr>
                <w:rFonts w:cs="Times New Roman"/>
                <w:bCs/>
                <w:spacing w:val="-4"/>
                <w:kern w:val="0"/>
                <w:sz w:val="18"/>
                <w:szCs w:val="18"/>
              </w:rPr>
              <w:t>食堂含油污水经隔油处理后与生活污水进入化粪池进行预处理，处理后的污水经经开区污</w:t>
            </w:r>
          </w:p>
          <w:p w14:paraId="7F78F02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水管网进入松木污水处理厂进行处理</w:t>
            </w:r>
          </w:p>
        </w:tc>
        <w:tc>
          <w:tcPr>
            <w:tcW w:w="671" w:type="pct"/>
            <w:vMerge w:val="restart"/>
            <w:vAlign w:val="center"/>
          </w:tcPr>
          <w:p w14:paraId="68B0F22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6D2DC0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A00D18A">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CBA2D49">
            <w:pPr>
              <w:widowControl/>
              <w:snapToGrid w:val="0"/>
              <w:spacing w:line="240" w:lineRule="auto"/>
              <w:ind w:firstLine="0" w:firstLineChars="0"/>
              <w:jc w:val="center"/>
              <w:rPr>
                <w:rFonts w:cs="Times New Roman"/>
                <w:bCs/>
                <w:kern w:val="0"/>
                <w:sz w:val="18"/>
                <w:szCs w:val="18"/>
              </w:rPr>
            </w:pPr>
          </w:p>
        </w:tc>
        <w:tc>
          <w:tcPr>
            <w:tcW w:w="199" w:type="pct"/>
            <w:vAlign w:val="center"/>
          </w:tcPr>
          <w:p w14:paraId="04146C3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2EAD914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粉尘、有机废气等</w:t>
            </w:r>
          </w:p>
        </w:tc>
        <w:tc>
          <w:tcPr>
            <w:tcW w:w="417" w:type="pct"/>
            <w:vAlign w:val="center"/>
          </w:tcPr>
          <w:p w14:paraId="0DD6D1B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06138FA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打磨粉尘、切割粉尘、焊接烟尘经动力风机进行收集处理后经屋顶排气筒排放；</w:t>
            </w:r>
            <w:r>
              <w:rPr>
                <w:rFonts w:cs="Times New Roman"/>
                <w:kern w:val="0"/>
                <w:sz w:val="18"/>
                <w:szCs w:val="18"/>
              </w:rPr>
              <w:t>刷漆有机废气通过活性炭吸附处理后排放</w:t>
            </w:r>
          </w:p>
          <w:p w14:paraId="02A7281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油烟废气经油烟净化装置处理后排放</w:t>
            </w:r>
          </w:p>
        </w:tc>
        <w:tc>
          <w:tcPr>
            <w:tcW w:w="671" w:type="pct"/>
            <w:vMerge w:val="continue"/>
            <w:vAlign w:val="center"/>
          </w:tcPr>
          <w:p w14:paraId="0CB49220">
            <w:pPr>
              <w:widowControl/>
              <w:snapToGrid w:val="0"/>
              <w:spacing w:line="240" w:lineRule="auto"/>
              <w:ind w:firstLine="0" w:firstLineChars="0"/>
              <w:jc w:val="center"/>
              <w:rPr>
                <w:rFonts w:cs="Times New Roman"/>
                <w:bCs/>
                <w:kern w:val="0"/>
                <w:sz w:val="18"/>
                <w:szCs w:val="18"/>
              </w:rPr>
            </w:pPr>
          </w:p>
        </w:tc>
      </w:tr>
      <w:tr w14:paraId="0AA508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7F4CD8FD">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DE0EB6D">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101C628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28CB6AC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64194B7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12.315t/a</w:t>
            </w:r>
          </w:p>
        </w:tc>
        <w:tc>
          <w:tcPr>
            <w:tcW w:w="2893" w:type="pct"/>
            <w:vMerge w:val="restart"/>
            <w:vAlign w:val="center"/>
          </w:tcPr>
          <w:p w14:paraId="19A99B0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危险固废分类收集暂存于危废暂存间，交由资质单位进行处理； 焊渣、钢屑出售综合利用；生活垃圾交由环卫部门进行处理</w:t>
            </w:r>
          </w:p>
        </w:tc>
        <w:tc>
          <w:tcPr>
            <w:tcW w:w="671" w:type="pct"/>
            <w:vMerge w:val="continue"/>
            <w:vAlign w:val="center"/>
          </w:tcPr>
          <w:p w14:paraId="328FFA3D">
            <w:pPr>
              <w:widowControl/>
              <w:snapToGrid w:val="0"/>
              <w:spacing w:line="240" w:lineRule="auto"/>
              <w:ind w:firstLine="0" w:firstLineChars="0"/>
              <w:jc w:val="center"/>
              <w:rPr>
                <w:rFonts w:cs="Times New Roman"/>
                <w:bCs/>
                <w:kern w:val="0"/>
                <w:sz w:val="18"/>
                <w:szCs w:val="18"/>
              </w:rPr>
            </w:pPr>
          </w:p>
        </w:tc>
      </w:tr>
      <w:tr w14:paraId="1BACC2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422844D">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12C8791">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68ABA285">
            <w:pPr>
              <w:widowControl/>
              <w:snapToGrid w:val="0"/>
              <w:spacing w:line="240" w:lineRule="auto"/>
              <w:ind w:firstLine="0" w:firstLineChars="0"/>
              <w:jc w:val="center"/>
              <w:rPr>
                <w:rFonts w:cs="Times New Roman"/>
                <w:bCs/>
                <w:kern w:val="0"/>
                <w:sz w:val="18"/>
                <w:szCs w:val="18"/>
              </w:rPr>
            </w:pPr>
          </w:p>
        </w:tc>
        <w:tc>
          <w:tcPr>
            <w:tcW w:w="485" w:type="pct"/>
            <w:vAlign w:val="center"/>
          </w:tcPr>
          <w:p w14:paraId="3D24F68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3CECD7B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0.345t/a</w:t>
            </w:r>
          </w:p>
        </w:tc>
        <w:tc>
          <w:tcPr>
            <w:tcW w:w="2893" w:type="pct"/>
            <w:vMerge w:val="continue"/>
            <w:vAlign w:val="center"/>
          </w:tcPr>
          <w:p w14:paraId="57A64CD6">
            <w:pPr>
              <w:autoSpaceDE w:val="0"/>
              <w:autoSpaceDN w:val="0"/>
              <w:snapToGrid w:val="0"/>
              <w:spacing w:line="240" w:lineRule="auto"/>
              <w:ind w:firstLine="0" w:firstLineChars="0"/>
              <w:jc w:val="center"/>
              <w:rPr>
                <w:rFonts w:cs="Times New Roman"/>
                <w:bCs/>
                <w:kern w:val="0"/>
                <w:sz w:val="18"/>
                <w:szCs w:val="18"/>
              </w:rPr>
            </w:pPr>
          </w:p>
        </w:tc>
        <w:tc>
          <w:tcPr>
            <w:tcW w:w="671" w:type="pct"/>
            <w:vMerge w:val="continue"/>
            <w:vAlign w:val="center"/>
          </w:tcPr>
          <w:p w14:paraId="4669F7DF">
            <w:pPr>
              <w:autoSpaceDE w:val="0"/>
              <w:autoSpaceDN w:val="0"/>
              <w:snapToGrid w:val="0"/>
              <w:spacing w:line="240" w:lineRule="auto"/>
              <w:ind w:firstLine="0" w:firstLineChars="0"/>
              <w:jc w:val="center"/>
              <w:rPr>
                <w:rFonts w:cs="Times New Roman"/>
                <w:bCs/>
                <w:kern w:val="0"/>
                <w:sz w:val="18"/>
                <w:szCs w:val="18"/>
              </w:rPr>
            </w:pPr>
          </w:p>
        </w:tc>
      </w:tr>
      <w:tr w14:paraId="42335F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72A791F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61</w:t>
            </w:r>
          </w:p>
          <w:p w14:paraId="63BB72DC">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69572C4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衡阳大为建材实业有限公司</w:t>
            </w:r>
          </w:p>
        </w:tc>
        <w:tc>
          <w:tcPr>
            <w:tcW w:w="199" w:type="pct"/>
            <w:vAlign w:val="center"/>
          </w:tcPr>
          <w:p w14:paraId="5DAC494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71447F6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SS</w:t>
            </w:r>
          </w:p>
        </w:tc>
        <w:tc>
          <w:tcPr>
            <w:tcW w:w="417" w:type="pct"/>
            <w:vAlign w:val="center"/>
          </w:tcPr>
          <w:p w14:paraId="5FCFED6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271505m</w:t>
            </w:r>
            <w:r>
              <w:rPr>
                <w:rFonts w:cs="Times New Roman"/>
                <w:bCs/>
                <w:kern w:val="0"/>
                <w:position w:val="8"/>
                <w:sz w:val="18"/>
                <w:szCs w:val="18"/>
              </w:rPr>
              <w:t>3</w:t>
            </w:r>
            <w:r>
              <w:rPr>
                <w:rFonts w:cs="Times New Roman"/>
                <w:bCs/>
                <w:kern w:val="0"/>
                <w:sz w:val="18"/>
                <w:szCs w:val="18"/>
              </w:rPr>
              <w:t>/a</w:t>
            </w:r>
          </w:p>
        </w:tc>
        <w:tc>
          <w:tcPr>
            <w:tcW w:w="2893" w:type="pct"/>
            <w:vAlign w:val="center"/>
          </w:tcPr>
          <w:p w14:paraId="3FE2E96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清洗废水、地面冲洗水经厂区二级沉淀后回用，不外排；</w:t>
            </w:r>
          </w:p>
          <w:p w14:paraId="68ECB40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生活污水经化粪池预处理后进入经开区污水管网进入松木污水厂进行处理</w:t>
            </w:r>
          </w:p>
        </w:tc>
        <w:tc>
          <w:tcPr>
            <w:tcW w:w="671" w:type="pct"/>
            <w:vMerge w:val="restart"/>
            <w:vAlign w:val="center"/>
          </w:tcPr>
          <w:p w14:paraId="3FA6A10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5CABCB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46D20D89">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40DC1CF">
            <w:pPr>
              <w:widowControl/>
              <w:snapToGrid w:val="0"/>
              <w:spacing w:line="240" w:lineRule="auto"/>
              <w:ind w:firstLine="0" w:firstLineChars="0"/>
              <w:jc w:val="center"/>
              <w:rPr>
                <w:rFonts w:cs="Times New Roman"/>
                <w:bCs/>
                <w:kern w:val="0"/>
                <w:sz w:val="18"/>
                <w:szCs w:val="18"/>
              </w:rPr>
            </w:pPr>
          </w:p>
        </w:tc>
        <w:tc>
          <w:tcPr>
            <w:tcW w:w="199" w:type="pct"/>
            <w:vAlign w:val="center"/>
          </w:tcPr>
          <w:p w14:paraId="13B37B2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6DFB58E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粉尘</w:t>
            </w:r>
          </w:p>
        </w:tc>
        <w:tc>
          <w:tcPr>
            <w:tcW w:w="417" w:type="pct"/>
            <w:vAlign w:val="center"/>
          </w:tcPr>
          <w:p w14:paraId="49ECECD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64EBE271">
            <w:pPr>
              <w:widowControl/>
              <w:snapToGrid w:val="0"/>
              <w:spacing w:line="240" w:lineRule="auto"/>
              <w:ind w:firstLine="0" w:firstLineChars="0"/>
              <w:jc w:val="center"/>
              <w:rPr>
                <w:rFonts w:cs="Times New Roman"/>
                <w:bCs/>
                <w:kern w:val="0"/>
                <w:sz w:val="18"/>
                <w:szCs w:val="18"/>
              </w:rPr>
            </w:pPr>
            <w:r>
              <w:rPr>
                <w:rFonts w:cs="Times New Roman"/>
                <w:bCs/>
                <w:spacing w:val="-6"/>
                <w:kern w:val="0"/>
                <w:sz w:val="18"/>
                <w:szCs w:val="18"/>
              </w:rPr>
              <w:t>筒仓顶部自带滤芯除尘器进行除尘，筒仓底部采用负压吸风收尘装置，与顶部呼吸孔共用</w:t>
            </w:r>
          </w:p>
          <w:p w14:paraId="3DC0579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一台除尘器</w:t>
            </w:r>
          </w:p>
        </w:tc>
        <w:tc>
          <w:tcPr>
            <w:tcW w:w="671" w:type="pct"/>
            <w:vMerge w:val="continue"/>
            <w:vAlign w:val="center"/>
          </w:tcPr>
          <w:p w14:paraId="01295935">
            <w:pPr>
              <w:widowControl/>
              <w:snapToGrid w:val="0"/>
              <w:spacing w:line="240" w:lineRule="auto"/>
              <w:ind w:firstLine="0" w:firstLineChars="0"/>
              <w:jc w:val="center"/>
              <w:rPr>
                <w:rFonts w:cs="Times New Roman"/>
                <w:bCs/>
                <w:kern w:val="0"/>
                <w:sz w:val="18"/>
                <w:szCs w:val="18"/>
              </w:rPr>
            </w:pPr>
          </w:p>
        </w:tc>
      </w:tr>
      <w:tr w14:paraId="466D1B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941A730">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C3173B9">
            <w:pPr>
              <w:widowControl/>
              <w:snapToGrid w:val="0"/>
              <w:spacing w:line="240" w:lineRule="auto"/>
              <w:ind w:firstLine="0" w:firstLineChars="0"/>
              <w:jc w:val="center"/>
              <w:rPr>
                <w:rFonts w:cs="Times New Roman"/>
                <w:bCs/>
                <w:kern w:val="0"/>
                <w:sz w:val="18"/>
                <w:szCs w:val="18"/>
              </w:rPr>
            </w:pPr>
          </w:p>
        </w:tc>
        <w:tc>
          <w:tcPr>
            <w:tcW w:w="199" w:type="pct"/>
            <w:vAlign w:val="center"/>
          </w:tcPr>
          <w:p w14:paraId="3B1BB6D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2205E22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35B07EC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2289t/a</w:t>
            </w:r>
          </w:p>
        </w:tc>
        <w:tc>
          <w:tcPr>
            <w:tcW w:w="2893" w:type="pct"/>
            <w:vAlign w:val="center"/>
          </w:tcPr>
          <w:p w14:paraId="79B3D13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沉渣、水泥渣等回用于生产，生活垃圾与废弃滤芯交由环卫部门进行处理</w:t>
            </w:r>
          </w:p>
        </w:tc>
        <w:tc>
          <w:tcPr>
            <w:tcW w:w="671" w:type="pct"/>
            <w:vMerge w:val="continue"/>
            <w:vAlign w:val="center"/>
          </w:tcPr>
          <w:p w14:paraId="4B506CFB">
            <w:pPr>
              <w:widowControl/>
              <w:snapToGrid w:val="0"/>
              <w:spacing w:line="240" w:lineRule="auto"/>
              <w:ind w:firstLine="0" w:firstLineChars="0"/>
              <w:jc w:val="center"/>
              <w:rPr>
                <w:rFonts w:cs="Times New Roman"/>
                <w:bCs/>
                <w:kern w:val="0"/>
                <w:sz w:val="18"/>
                <w:szCs w:val="18"/>
              </w:rPr>
            </w:pPr>
          </w:p>
        </w:tc>
      </w:tr>
      <w:tr w14:paraId="0D2634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4B586FE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62</w:t>
            </w:r>
          </w:p>
          <w:p w14:paraId="074E16EE">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26A45B6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湖南春晓明珠门窗有限公司</w:t>
            </w:r>
          </w:p>
        </w:tc>
        <w:tc>
          <w:tcPr>
            <w:tcW w:w="199" w:type="pct"/>
            <w:vAlign w:val="center"/>
          </w:tcPr>
          <w:p w14:paraId="21FEDF8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3E70039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COD、氨氮、SS</w:t>
            </w:r>
          </w:p>
        </w:tc>
        <w:tc>
          <w:tcPr>
            <w:tcW w:w="417" w:type="pct"/>
            <w:vAlign w:val="center"/>
          </w:tcPr>
          <w:p w14:paraId="7E22654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10058.4t/a</w:t>
            </w:r>
          </w:p>
        </w:tc>
        <w:tc>
          <w:tcPr>
            <w:tcW w:w="2893" w:type="pct"/>
            <w:vAlign w:val="center"/>
          </w:tcPr>
          <w:p w14:paraId="0187FB4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清洗废水经二级沉淀池处理后，再经园区污水管网排入松木污水处理厂处理； 磨边冲洗水经静置沉淀后循环利用不外排；</w:t>
            </w:r>
          </w:p>
          <w:p w14:paraId="0921BFC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生活污水经化粪池处理后，经园区污水管网排入松木污水处理厂处理</w:t>
            </w:r>
          </w:p>
        </w:tc>
        <w:tc>
          <w:tcPr>
            <w:tcW w:w="671" w:type="pct"/>
            <w:vMerge w:val="restart"/>
            <w:vAlign w:val="center"/>
          </w:tcPr>
          <w:p w14:paraId="465E554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001C29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9B2CB7E">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269E348">
            <w:pPr>
              <w:widowControl/>
              <w:snapToGrid w:val="0"/>
              <w:spacing w:line="240" w:lineRule="auto"/>
              <w:ind w:firstLine="0" w:firstLineChars="0"/>
              <w:jc w:val="center"/>
              <w:rPr>
                <w:rFonts w:cs="Times New Roman"/>
                <w:bCs/>
                <w:kern w:val="0"/>
                <w:sz w:val="18"/>
                <w:szCs w:val="18"/>
              </w:rPr>
            </w:pPr>
          </w:p>
        </w:tc>
        <w:tc>
          <w:tcPr>
            <w:tcW w:w="199" w:type="pct"/>
            <w:vAlign w:val="center"/>
          </w:tcPr>
          <w:p w14:paraId="0469722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0369020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VOC</w:t>
            </w:r>
            <w:r>
              <w:rPr>
                <w:rFonts w:cs="Times New Roman"/>
                <w:bCs/>
                <w:kern w:val="0"/>
                <w:sz w:val="18"/>
                <w:szCs w:val="18"/>
                <w:vertAlign w:val="subscript"/>
              </w:rPr>
              <w:t>S</w:t>
            </w:r>
            <w:r>
              <w:rPr>
                <w:rFonts w:cs="Times New Roman"/>
                <w:bCs/>
                <w:kern w:val="0"/>
                <w:sz w:val="18"/>
                <w:szCs w:val="18"/>
              </w:rPr>
              <w:t>、油烟</w:t>
            </w:r>
          </w:p>
        </w:tc>
        <w:tc>
          <w:tcPr>
            <w:tcW w:w="417" w:type="pct"/>
            <w:vAlign w:val="center"/>
          </w:tcPr>
          <w:p w14:paraId="6895C726">
            <w:pPr>
              <w:widowControl/>
              <w:snapToGrid w:val="0"/>
              <w:spacing w:line="240" w:lineRule="auto"/>
              <w:ind w:firstLine="0" w:firstLineChars="0"/>
              <w:jc w:val="center"/>
              <w:rPr>
                <w:rFonts w:cs="Times New Roman"/>
                <w:bCs/>
                <w:kern w:val="0"/>
                <w:sz w:val="18"/>
                <w:szCs w:val="18"/>
              </w:rPr>
            </w:pPr>
          </w:p>
        </w:tc>
        <w:tc>
          <w:tcPr>
            <w:tcW w:w="2893" w:type="pct"/>
            <w:vAlign w:val="center"/>
          </w:tcPr>
          <w:p w14:paraId="7292F4B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打胶机、涂丁基胶等工序会产生有机废气经收集后高空排放；</w:t>
            </w:r>
          </w:p>
          <w:p w14:paraId="0CEAA2D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食堂油烟废气净化处理后通过专用排气筒至屋顶高空排放</w:t>
            </w:r>
          </w:p>
        </w:tc>
        <w:tc>
          <w:tcPr>
            <w:tcW w:w="671" w:type="pct"/>
            <w:vMerge w:val="continue"/>
            <w:vAlign w:val="center"/>
          </w:tcPr>
          <w:p w14:paraId="2A64D0D5">
            <w:pPr>
              <w:widowControl/>
              <w:snapToGrid w:val="0"/>
              <w:spacing w:line="240" w:lineRule="auto"/>
              <w:ind w:firstLine="0" w:firstLineChars="0"/>
              <w:jc w:val="center"/>
              <w:rPr>
                <w:rFonts w:cs="Times New Roman"/>
                <w:bCs/>
                <w:kern w:val="0"/>
                <w:sz w:val="18"/>
                <w:szCs w:val="18"/>
              </w:rPr>
            </w:pPr>
          </w:p>
        </w:tc>
      </w:tr>
      <w:tr w14:paraId="6647D2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F6B4CB1">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277BE73B">
            <w:pPr>
              <w:widowControl/>
              <w:snapToGrid w:val="0"/>
              <w:spacing w:line="240" w:lineRule="auto"/>
              <w:ind w:firstLine="0" w:firstLineChars="0"/>
              <w:jc w:val="center"/>
              <w:rPr>
                <w:rFonts w:cs="Times New Roman"/>
                <w:bCs/>
                <w:kern w:val="0"/>
                <w:sz w:val="18"/>
                <w:szCs w:val="18"/>
              </w:rPr>
            </w:pPr>
          </w:p>
        </w:tc>
        <w:tc>
          <w:tcPr>
            <w:tcW w:w="199" w:type="pct"/>
            <w:vAlign w:val="center"/>
          </w:tcPr>
          <w:p w14:paraId="671CBB4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42883EC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403A60C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428.45t/a</w:t>
            </w:r>
          </w:p>
        </w:tc>
        <w:tc>
          <w:tcPr>
            <w:tcW w:w="2893" w:type="pct"/>
            <w:vAlign w:val="center"/>
          </w:tcPr>
          <w:p w14:paraId="2549FB5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玻璃边角料、铝材边角料、金属粉尘等收集后外卖； 残留焊丝收集后回用；</w:t>
            </w:r>
          </w:p>
          <w:p w14:paraId="7A7FDEA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生活垃圾、玻璃泥、清洗废水沉淀渣交由环卫部门进行处理</w:t>
            </w:r>
          </w:p>
        </w:tc>
        <w:tc>
          <w:tcPr>
            <w:tcW w:w="671" w:type="pct"/>
            <w:vMerge w:val="continue"/>
            <w:vAlign w:val="center"/>
          </w:tcPr>
          <w:p w14:paraId="5F6372E1">
            <w:pPr>
              <w:widowControl/>
              <w:snapToGrid w:val="0"/>
              <w:spacing w:line="240" w:lineRule="auto"/>
              <w:ind w:firstLine="0" w:firstLineChars="0"/>
              <w:jc w:val="center"/>
              <w:rPr>
                <w:rFonts w:cs="Times New Roman"/>
                <w:bCs/>
                <w:kern w:val="0"/>
                <w:sz w:val="18"/>
                <w:szCs w:val="18"/>
              </w:rPr>
            </w:pPr>
          </w:p>
        </w:tc>
      </w:tr>
      <w:tr w14:paraId="2A9A8F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17D56B2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63</w:t>
            </w:r>
          </w:p>
          <w:p w14:paraId="79BB7B0A">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7ED61F6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衡阳凯恒商品混凝土有限公司</w:t>
            </w:r>
          </w:p>
        </w:tc>
        <w:tc>
          <w:tcPr>
            <w:tcW w:w="199" w:type="pct"/>
            <w:vAlign w:val="center"/>
          </w:tcPr>
          <w:p w14:paraId="7CD8C2D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5F3C5FE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pH、SS、COD、氨</w:t>
            </w:r>
          </w:p>
          <w:p w14:paraId="771FE50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氮</w:t>
            </w:r>
          </w:p>
        </w:tc>
        <w:tc>
          <w:tcPr>
            <w:tcW w:w="417" w:type="pct"/>
            <w:vAlign w:val="center"/>
          </w:tcPr>
          <w:p w14:paraId="4BDCBDD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1500 m</w:t>
            </w:r>
            <w:r>
              <w:rPr>
                <w:rFonts w:cs="Times New Roman"/>
                <w:bCs/>
                <w:kern w:val="0"/>
                <w:position w:val="8"/>
                <w:sz w:val="18"/>
                <w:szCs w:val="18"/>
              </w:rPr>
              <w:t>3</w:t>
            </w:r>
            <w:r>
              <w:rPr>
                <w:rFonts w:cs="Times New Roman"/>
                <w:bCs/>
                <w:kern w:val="0"/>
                <w:sz w:val="18"/>
                <w:szCs w:val="18"/>
              </w:rPr>
              <w:t>/a</w:t>
            </w:r>
          </w:p>
        </w:tc>
        <w:tc>
          <w:tcPr>
            <w:tcW w:w="2893" w:type="pct"/>
            <w:vAlign w:val="center"/>
          </w:tcPr>
          <w:p w14:paraId="309F74D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清洗废水、冲洗废水经沉淀、压滤处理后回用于生产工序；</w:t>
            </w:r>
          </w:p>
          <w:p w14:paraId="37FB4137">
            <w:pPr>
              <w:widowControl/>
              <w:snapToGrid w:val="0"/>
              <w:spacing w:line="240" w:lineRule="auto"/>
              <w:ind w:firstLine="0" w:firstLineChars="0"/>
              <w:jc w:val="center"/>
              <w:rPr>
                <w:rFonts w:cs="Times New Roman"/>
                <w:bCs/>
                <w:kern w:val="0"/>
                <w:sz w:val="18"/>
                <w:szCs w:val="18"/>
              </w:rPr>
            </w:pPr>
            <w:r>
              <w:rPr>
                <w:rFonts w:cs="Times New Roman"/>
                <w:bCs/>
                <w:spacing w:val="-5"/>
                <w:kern w:val="0"/>
                <w:sz w:val="18"/>
                <w:szCs w:val="18"/>
              </w:rPr>
              <w:t>生活污水经化粪池预处理后进入经开区污水管网，最终经松木污水处理厂处理后排至湘江</w:t>
            </w:r>
          </w:p>
        </w:tc>
        <w:tc>
          <w:tcPr>
            <w:tcW w:w="671" w:type="pct"/>
            <w:vMerge w:val="restart"/>
            <w:vAlign w:val="center"/>
          </w:tcPr>
          <w:p w14:paraId="5418B1D6">
            <w:pPr>
              <w:widowControl/>
              <w:snapToGrid w:val="0"/>
              <w:spacing w:line="240" w:lineRule="auto"/>
              <w:ind w:firstLine="0" w:firstLineChars="0"/>
              <w:jc w:val="center"/>
              <w:rPr>
                <w:rFonts w:cs="Times New Roman"/>
                <w:bCs/>
                <w:spacing w:val="-5"/>
                <w:kern w:val="0"/>
                <w:sz w:val="18"/>
                <w:szCs w:val="18"/>
              </w:rPr>
            </w:pPr>
            <w:r>
              <w:rPr>
                <w:rFonts w:cs="Times New Roman"/>
                <w:kern w:val="0"/>
                <w:sz w:val="18"/>
                <w:szCs w:val="18"/>
              </w:rPr>
              <w:t>后期雨水排放监控池、流量计、视频监控、pH在线监测仪、SS在线监测仪及监控站房</w:t>
            </w:r>
          </w:p>
        </w:tc>
      </w:tr>
      <w:tr w14:paraId="69088F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9098178">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51876A6">
            <w:pPr>
              <w:widowControl/>
              <w:snapToGrid w:val="0"/>
              <w:spacing w:line="240" w:lineRule="auto"/>
              <w:ind w:firstLine="0" w:firstLineChars="0"/>
              <w:jc w:val="center"/>
              <w:rPr>
                <w:rFonts w:cs="Times New Roman"/>
                <w:bCs/>
                <w:kern w:val="0"/>
                <w:sz w:val="18"/>
                <w:szCs w:val="18"/>
              </w:rPr>
            </w:pPr>
          </w:p>
        </w:tc>
        <w:tc>
          <w:tcPr>
            <w:tcW w:w="199" w:type="pct"/>
            <w:vAlign w:val="center"/>
          </w:tcPr>
          <w:p w14:paraId="061B367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68FAAB5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粉尘</w:t>
            </w:r>
          </w:p>
        </w:tc>
        <w:tc>
          <w:tcPr>
            <w:tcW w:w="417" w:type="pct"/>
            <w:vAlign w:val="center"/>
          </w:tcPr>
          <w:p w14:paraId="5B41079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378EEF1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筒仓顶部自带滤芯过滤粉尘，高度为 30m</w:t>
            </w:r>
          </w:p>
        </w:tc>
        <w:tc>
          <w:tcPr>
            <w:tcW w:w="671" w:type="pct"/>
            <w:vMerge w:val="continue"/>
            <w:vAlign w:val="center"/>
          </w:tcPr>
          <w:p w14:paraId="512A0AA1">
            <w:pPr>
              <w:widowControl/>
              <w:snapToGrid w:val="0"/>
              <w:spacing w:line="240" w:lineRule="auto"/>
              <w:ind w:firstLine="0" w:firstLineChars="0"/>
              <w:jc w:val="center"/>
              <w:rPr>
                <w:rFonts w:cs="Times New Roman"/>
                <w:bCs/>
                <w:kern w:val="0"/>
                <w:sz w:val="18"/>
                <w:szCs w:val="18"/>
              </w:rPr>
            </w:pPr>
          </w:p>
        </w:tc>
      </w:tr>
      <w:tr w14:paraId="38F82A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441171C">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16F6CBF9">
            <w:pPr>
              <w:widowControl/>
              <w:snapToGrid w:val="0"/>
              <w:spacing w:line="240" w:lineRule="auto"/>
              <w:ind w:firstLine="0" w:firstLineChars="0"/>
              <w:jc w:val="center"/>
              <w:rPr>
                <w:rFonts w:cs="Times New Roman"/>
                <w:bCs/>
                <w:kern w:val="0"/>
                <w:sz w:val="18"/>
                <w:szCs w:val="18"/>
              </w:rPr>
            </w:pPr>
          </w:p>
        </w:tc>
        <w:tc>
          <w:tcPr>
            <w:tcW w:w="199" w:type="pct"/>
            <w:vAlign w:val="center"/>
          </w:tcPr>
          <w:p w14:paraId="48CC29A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5ACC7BE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3E3A7A1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2286.6t/a</w:t>
            </w:r>
          </w:p>
        </w:tc>
        <w:tc>
          <w:tcPr>
            <w:tcW w:w="2893" w:type="pct"/>
            <w:vAlign w:val="center"/>
          </w:tcPr>
          <w:p w14:paraId="2DF1543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沉淀池沉渣和剩余混凝土回用于生产； 污水处理污泥（主要为水泥渣）出售；</w:t>
            </w:r>
          </w:p>
          <w:p w14:paraId="278FADE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废弃滤芯和生活垃圾由环卫部门统一处理</w:t>
            </w:r>
          </w:p>
        </w:tc>
        <w:tc>
          <w:tcPr>
            <w:tcW w:w="671" w:type="pct"/>
            <w:vMerge w:val="continue"/>
            <w:vAlign w:val="center"/>
          </w:tcPr>
          <w:p w14:paraId="61A8A392">
            <w:pPr>
              <w:widowControl/>
              <w:snapToGrid w:val="0"/>
              <w:spacing w:line="240" w:lineRule="auto"/>
              <w:ind w:firstLine="0" w:firstLineChars="0"/>
              <w:jc w:val="center"/>
              <w:rPr>
                <w:rFonts w:cs="Times New Roman"/>
                <w:bCs/>
                <w:kern w:val="0"/>
                <w:sz w:val="18"/>
                <w:szCs w:val="18"/>
              </w:rPr>
            </w:pPr>
          </w:p>
        </w:tc>
      </w:tr>
      <w:tr w14:paraId="71A909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76B4FF8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64</w:t>
            </w:r>
          </w:p>
          <w:p w14:paraId="68C2A474">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267926C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衡阳市群立新科机械有限公司</w:t>
            </w:r>
          </w:p>
        </w:tc>
        <w:tc>
          <w:tcPr>
            <w:tcW w:w="199" w:type="pct"/>
            <w:vAlign w:val="center"/>
          </w:tcPr>
          <w:p w14:paraId="17D6D47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02A2EA85">
            <w:pPr>
              <w:widowControl/>
              <w:snapToGrid w:val="0"/>
              <w:spacing w:line="240" w:lineRule="auto"/>
              <w:ind w:firstLine="0" w:firstLineChars="0"/>
              <w:jc w:val="center"/>
              <w:rPr>
                <w:rFonts w:cs="Times New Roman"/>
                <w:bCs/>
                <w:kern w:val="0"/>
                <w:sz w:val="18"/>
                <w:szCs w:val="18"/>
              </w:rPr>
            </w:pPr>
            <w:r>
              <w:rPr>
                <w:rFonts w:cs="Times New Roman"/>
                <w:bCs/>
                <w:spacing w:val="-5"/>
                <w:kern w:val="0"/>
                <w:sz w:val="18"/>
                <w:szCs w:val="18"/>
              </w:rPr>
              <w:t>石油类、</w:t>
            </w:r>
            <w:r>
              <w:rPr>
                <w:rFonts w:cs="Times New Roman"/>
                <w:bCs/>
                <w:kern w:val="0"/>
                <w:sz w:val="18"/>
                <w:szCs w:val="18"/>
              </w:rPr>
              <w:t>SS</w:t>
            </w:r>
            <w:r>
              <w:rPr>
                <w:rFonts w:cs="Times New Roman"/>
                <w:bCs/>
                <w:spacing w:val="-17"/>
                <w:kern w:val="0"/>
                <w:sz w:val="18"/>
                <w:szCs w:val="18"/>
              </w:rPr>
              <w:t>、</w:t>
            </w:r>
            <w:r>
              <w:rPr>
                <w:rFonts w:cs="Times New Roman"/>
                <w:bCs/>
                <w:kern w:val="0"/>
                <w:sz w:val="18"/>
                <w:szCs w:val="18"/>
              </w:rPr>
              <w:t>COD、</w:t>
            </w:r>
          </w:p>
          <w:p w14:paraId="1A2F9A5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氨氮</w:t>
            </w:r>
          </w:p>
        </w:tc>
        <w:tc>
          <w:tcPr>
            <w:tcW w:w="417" w:type="pct"/>
            <w:vAlign w:val="center"/>
          </w:tcPr>
          <w:p w14:paraId="260ECE76">
            <w:pPr>
              <w:widowControl/>
              <w:snapToGrid w:val="0"/>
              <w:spacing w:line="240" w:lineRule="auto"/>
              <w:ind w:firstLine="0" w:firstLineChars="0"/>
              <w:jc w:val="center"/>
              <w:rPr>
                <w:rFonts w:cs="Times New Roman"/>
                <w:bCs/>
                <w:kern w:val="0"/>
                <w:sz w:val="18"/>
                <w:szCs w:val="18"/>
              </w:rPr>
            </w:pPr>
          </w:p>
        </w:tc>
        <w:tc>
          <w:tcPr>
            <w:tcW w:w="2893" w:type="pct"/>
            <w:vAlign w:val="center"/>
          </w:tcPr>
          <w:p w14:paraId="725747F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清洗废水、脱模废水等经隔油+混凝沉淀处理后回用；</w:t>
            </w:r>
          </w:p>
          <w:p w14:paraId="08E7A58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生活污水经化粪池、沉淀池预处理后经污水管网进入松木污水处理厂</w:t>
            </w:r>
          </w:p>
        </w:tc>
        <w:tc>
          <w:tcPr>
            <w:tcW w:w="671" w:type="pct"/>
            <w:vMerge w:val="restart"/>
            <w:vAlign w:val="center"/>
          </w:tcPr>
          <w:p w14:paraId="34B5F79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14A3C8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122A813">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2DEF700D">
            <w:pPr>
              <w:widowControl/>
              <w:snapToGrid w:val="0"/>
              <w:spacing w:line="240" w:lineRule="auto"/>
              <w:ind w:firstLine="0" w:firstLineChars="0"/>
              <w:jc w:val="center"/>
              <w:rPr>
                <w:rFonts w:cs="Times New Roman"/>
                <w:bCs/>
                <w:kern w:val="0"/>
                <w:sz w:val="18"/>
                <w:szCs w:val="18"/>
              </w:rPr>
            </w:pPr>
          </w:p>
        </w:tc>
        <w:tc>
          <w:tcPr>
            <w:tcW w:w="199" w:type="pct"/>
            <w:vAlign w:val="center"/>
          </w:tcPr>
          <w:p w14:paraId="4ECAFF4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108D53D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油烟</w:t>
            </w:r>
          </w:p>
        </w:tc>
        <w:tc>
          <w:tcPr>
            <w:tcW w:w="417" w:type="pct"/>
            <w:vAlign w:val="center"/>
          </w:tcPr>
          <w:p w14:paraId="60232DF5">
            <w:pPr>
              <w:widowControl/>
              <w:snapToGrid w:val="0"/>
              <w:spacing w:line="240" w:lineRule="auto"/>
              <w:ind w:firstLine="0" w:firstLineChars="0"/>
              <w:jc w:val="center"/>
              <w:rPr>
                <w:rFonts w:cs="Times New Roman"/>
                <w:bCs/>
                <w:kern w:val="0"/>
                <w:sz w:val="18"/>
                <w:szCs w:val="18"/>
              </w:rPr>
            </w:pPr>
          </w:p>
        </w:tc>
        <w:tc>
          <w:tcPr>
            <w:tcW w:w="2893" w:type="pct"/>
            <w:vAlign w:val="center"/>
          </w:tcPr>
          <w:p w14:paraId="26FA661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食堂油烟废气净化处理后通过专用排气筒至屋顶高空排放</w:t>
            </w:r>
          </w:p>
        </w:tc>
        <w:tc>
          <w:tcPr>
            <w:tcW w:w="671" w:type="pct"/>
            <w:vMerge w:val="continue"/>
            <w:vAlign w:val="center"/>
          </w:tcPr>
          <w:p w14:paraId="3985ED52">
            <w:pPr>
              <w:widowControl/>
              <w:snapToGrid w:val="0"/>
              <w:spacing w:line="240" w:lineRule="auto"/>
              <w:ind w:firstLine="0" w:firstLineChars="0"/>
              <w:jc w:val="center"/>
              <w:rPr>
                <w:rFonts w:cs="Times New Roman"/>
                <w:bCs/>
                <w:kern w:val="0"/>
                <w:sz w:val="18"/>
                <w:szCs w:val="18"/>
              </w:rPr>
            </w:pPr>
          </w:p>
        </w:tc>
      </w:tr>
      <w:tr w14:paraId="69F36C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12016AE5">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43175D6">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41D1026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0D046F1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1A79A5E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60t/a</w:t>
            </w:r>
          </w:p>
        </w:tc>
        <w:tc>
          <w:tcPr>
            <w:tcW w:w="2893" w:type="pct"/>
            <w:vMerge w:val="restart"/>
            <w:vAlign w:val="center"/>
          </w:tcPr>
          <w:p w14:paraId="6850052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金属边角料经收集后外售；生活垃圾交由环卫部门进行处理。废液压油、废机油、污水处理污泥等危险废物交由有资质单位处理</w:t>
            </w:r>
          </w:p>
        </w:tc>
        <w:tc>
          <w:tcPr>
            <w:tcW w:w="671" w:type="pct"/>
            <w:vMerge w:val="continue"/>
            <w:vAlign w:val="center"/>
          </w:tcPr>
          <w:p w14:paraId="4D0D6D38">
            <w:pPr>
              <w:widowControl/>
              <w:snapToGrid w:val="0"/>
              <w:spacing w:line="240" w:lineRule="auto"/>
              <w:ind w:firstLine="0" w:firstLineChars="0"/>
              <w:jc w:val="center"/>
              <w:rPr>
                <w:rFonts w:cs="Times New Roman"/>
                <w:bCs/>
                <w:kern w:val="0"/>
                <w:sz w:val="18"/>
                <w:szCs w:val="18"/>
              </w:rPr>
            </w:pPr>
          </w:p>
        </w:tc>
      </w:tr>
      <w:tr w14:paraId="4D2135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62612D63">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E864067">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248D6406">
            <w:pPr>
              <w:widowControl/>
              <w:snapToGrid w:val="0"/>
              <w:spacing w:line="240" w:lineRule="auto"/>
              <w:ind w:firstLine="0" w:firstLineChars="0"/>
              <w:jc w:val="center"/>
              <w:rPr>
                <w:rFonts w:cs="Times New Roman"/>
                <w:bCs/>
                <w:kern w:val="0"/>
                <w:sz w:val="18"/>
                <w:szCs w:val="18"/>
              </w:rPr>
            </w:pPr>
          </w:p>
        </w:tc>
        <w:tc>
          <w:tcPr>
            <w:tcW w:w="485" w:type="pct"/>
            <w:vAlign w:val="center"/>
          </w:tcPr>
          <w:p w14:paraId="6705CE0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危险废物</w:t>
            </w:r>
          </w:p>
        </w:tc>
        <w:tc>
          <w:tcPr>
            <w:tcW w:w="417" w:type="pct"/>
            <w:vAlign w:val="center"/>
          </w:tcPr>
          <w:p w14:paraId="097668B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5t/a</w:t>
            </w:r>
          </w:p>
        </w:tc>
        <w:tc>
          <w:tcPr>
            <w:tcW w:w="2893" w:type="pct"/>
            <w:vMerge w:val="continue"/>
            <w:vAlign w:val="center"/>
          </w:tcPr>
          <w:p w14:paraId="1AB881A6">
            <w:pPr>
              <w:widowControl/>
              <w:snapToGrid w:val="0"/>
              <w:spacing w:line="240" w:lineRule="auto"/>
              <w:ind w:firstLine="0" w:firstLineChars="0"/>
              <w:jc w:val="center"/>
              <w:rPr>
                <w:rFonts w:cs="Times New Roman"/>
                <w:bCs/>
                <w:kern w:val="0"/>
                <w:sz w:val="18"/>
                <w:szCs w:val="18"/>
              </w:rPr>
            </w:pPr>
          </w:p>
        </w:tc>
        <w:tc>
          <w:tcPr>
            <w:tcW w:w="671" w:type="pct"/>
            <w:vMerge w:val="continue"/>
            <w:vAlign w:val="center"/>
          </w:tcPr>
          <w:p w14:paraId="3AA62BEB">
            <w:pPr>
              <w:widowControl/>
              <w:snapToGrid w:val="0"/>
              <w:spacing w:line="240" w:lineRule="auto"/>
              <w:ind w:firstLine="0" w:firstLineChars="0"/>
              <w:jc w:val="center"/>
              <w:rPr>
                <w:rFonts w:cs="Times New Roman"/>
                <w:bCs/>
                <w:kern w:val="0"/>
                <w:sz w:val="18"/>
                <w:szCs w:val="18"/>
              </w:rPr>
            </w:pPr>
          </w:p>
        </w:tc>
      </w:tr>
      <w:tr w14:paraId="63A318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27B350C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65</w:t>
            </w:r>
          </w:p>
          <w:p w14:paraId="535AA52E">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7F0E591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湖南鑫威门业有限公司</w:t>
            </w:r>
          </w:p>
        </w:tc>
        <w:tc>
          <w:tcPr>
            <w:tcW w:w="199" w:type="pct"/>
            <w:vAlign w:val="center"/>
          </w:tcPr>
          <w:p w14:paraId="1F12155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020B5DF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pH、SS、COD、氨氮</w:t>
            </w:r>
          </w:p>
        </w:tc>
        <w:tc>
          <w:tcPr>
            <w:tcW w:w="417" w:type="pct"/>
            <w:vAlign w:val="center"/>
          </w:tcPr>
          <w:p w14:paraId="1C3079C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3131B06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无生产工艺废水产生；</w:t>
            </w:r>
            <w:r>
              <w:rPr>
                <w:rFonts w:cs="Times New Roman"/>
                <w:bCs/>
                <w:spacing w:val="-9"/>
                <w:kern w:val="0"/>
                <w:sz w:val="18"/>
                <w:szCs w:val="18"/>
              </w:rPr>
              <w:t>经二级沉淀处理后的清洗废水、冲洗水与经化粪池预处理后的生活污水经经开区污水管网</w:t>
            </w:r>
            <w:r>
              <w:rPr>
                <w:rFonts w:cs="Times New Roman"/>
                <w:bCs/>
                <w:kern w:val="0"/>
                <w:sz w:val="18"/>
                <w:szCs w:val="18"/>
              </w:rPr>
              <w:t>进入松木污水处理厂进行处理</w:t>
            </w:r>
          </w:p>
        </w:tc>
        <w:tc>
          <w:tcPr>
            <w:tcW w:w="671" w:type="pct"/>
            <w:vMerge w:val="restart"/>
            <w:vAlign w:val="center"/>
          </w:tcPr>
          <w:p w14:paraId="15C8C31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0F897C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C21B937">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2A8262AD">
            <w:pPr>
              <w:widowControl/>
              <w:snapToGrid w:val="0"/>
              <w:spacing w:line="240" w:lineRule="auto"/>
              <w:ind w:firstLine="0" w:firstLineChars="0"/>
              <w:jc w:val="center"/>
              <w:rPr>
                <w:rFonts w:cs="Times New Roman"/>
                <w:bCs/>
                <w:kern w:val="0"/>
                <w:sz w:val="18"/>
                <w:szCs w:val="18"/>
              </w:rPr>
            </w:pPr>
          </w:p>
        </w:tc>
        <w:tc>
          <w:tcPr>
            <w:tcW w:w="199" w:type="pct"/>
            <w:vAlign w:val="center"/>
          </w:tcPr>
          <w:p w14:paraId="61FB707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1A095BB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粉尘</w:t>
            </w:r>
          </w:p>
        </w:tc>
        <w:tc>
          <w:tcPr>
            <w:tcW w:w="417" w:type="pct"/>
            <w:vAlign w:val="center"/>
          </w:tcPr>
          <w:p w14:paraId="5B3CDF3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73288AE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焊接烟气经焊接烟气净化装置净化后排放；</w:t>
            </w:r>
          </w:p>
          <w:p w14:paraId="1CCDD4D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油烟废气经过油烟净化机处理后经 15m 排气筒排放</w:t>
            </w:r>
          </w:p>
        </w:tc>
        <w:tc>
          <w:tcPr>
            <w:tcW w:w="671" w:type="pct"/>
            <w:vMerge w:val="continue"/>
            <w:vAlign w:val="center"/>
          </w:tcPr>
          <w:p w14:paraId="746A1746">
            <w:pPr>
              <w:widowControl/>
              <w:snapToGrid w:val="0"/>
              <w:spacing w:line="240" w:lineRule="auto"/>
              <w:ind w:firstLine="0" w:firstLineChars="0"/>
              <w:jc w:val="center"/>
              <w:rPr>
                <w:rFonts w:cs="Times New Roman"/>
                <w:bCs/>
                <w:kern w:val="0"/>
                <w:sz w:val="18"/>
                <w:szCs w:val="18"/>
              </w:rPr>
            </w:pPr>
          </w:p>
        </w:tc>
      </w:tr>
      <w:tr w14:paraId="0CD59C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64697AD9">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FC0A30F">
            <w:pPr>
              <w:widowControl/>
              <w:snapToGrid w:val="0"/>
              <w:spacing w:line="240" w:lineRule="auto"/>
              <w:ind w:firstLine="0" w:firstLineChars="0"/>
              <w:jc w:val="center"/>
              <w:rPr>
                <w:rFonts w:cs="Times New Roman"/>
                <w:bCs/>
                <w:kern w:val="0"/>
                <w:sz w:val="18"/>
                <w:szCs w:val="18"/>
              </w:rPr>
            </w:pPr>
          </w:p>
        </w:tc>
        <w:tc>
          <w:tcPr>
            <w:tcW w:w="199" w:type="pct"/>
            <w:vAlign w:val="center"/>
          </w:tcPr>
          <w:p w14:paraId="0800B33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17BE6CA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760C86C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214F8DE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生活垃圾交由环卫部门进行收集处理；废金属边角料外售</w:t>
            </w:r>
          </w:p>
        </w:tc>
        <w:tc>
          <w:tcPr>
            <w:tcW w:w="671" w:type="pct"/>
            <w:vMerge w:val="continue"/>
            <w:vAlign w:val="center"/>
          </w:tcPr>
          <w:p w14:paraId="62ECAB68">
            <w:pPr>
              <w:widowControl/>
              <w:snapToGrid w:val="0"/>
              <w:spacing w:line="240" w:lineRule="auto"/>
              <w:ind w:firstLine="0" w:firstLineChars="0"/>
              <w:jc w:val="center"/>
              <w:rPr>
                <w:rFonts w:cs="Times New Roman"/>
                <w:bCs/>
                <w:kern w:val="0"/>
                <w:sz w:val="18"/>
                <w:szCs w:val="18"/>
              </w:rPr>
            </w:pPr>
          </w:p>
        </w:tc>
      </w:tr>
      <w:tr w14:paraId="6A1645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7" w:hRule="atLeast"/>
        </w:trPr>
        <w:tc>
          <w:tcPr>
            <w:tcW w:w="100" w:type="pct"/>
            <w:vMerge w:val="restart"/>
            <w:vAlign w:val="center"/>
          </w:tcPr>
          <w:p w14:paraId="716E7F7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66</w:t>
            </w:r>
          </w:p>
          <w:p w14:paraId="1E2ADE64">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2D3687E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衡阳市优艺美雅松木水务有限责任公司</w:t>
            </w:r>
          </w:p>
        </w:tc>
        <w:tc>
          <w:tcPr>
            <w:tcW w:w="199" w:type="pct"/>
            <w:vAlign w:val="center"/>
          </w:tcPr>
          <w:p w14:paraId="2282B64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5D4C60D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COD、SS、氨氮</w:t>
            </w:r>
          </w:p>
        </w:tc>
        <w:tc>
          <w:tcPr>
            <w:tcW w:w="417" w:type="pct"/>
            <w:vAlign w:val="center"/>
          </w:tcPr>
          <w:p w14:paraId="40C217A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20ADD7F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反冲洗废水及沉淀池废水经沉淀后回用；</w:t>
            </w:r>
          </w:p>
          <w:p w14:paraId="446D908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生活污水经化粪池预处理后由环卫部门上门运出厂区处理。</w:t>
            </w:r>
          </w:p>
        </w:tc>
        <w:tc>
          <w:tcPr>
            <w:tcW w:w="671" w:type="pct"/>
            <w:vMerge w:val="restart"/>
            <w:vAlign w:val="center"/>
          </w:tcPr>
          <w:p w14:paraId="664E4AD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60EBB5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0DEB8F0">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F13C77A">
            <w:pPr>
              <w:widowControl/>
              <w:snapToGrid w:val="0"/>
              <w:spacing w:line="240" w:lineRule="auto"/>
              <w:ind w:firstLine="0" w:firstLineChars="0"/>
              <w:jc w:val="center"/>
              <w:rPr>
                <w:rFonts w:cs="Times New Roman"/>
                <w:bCs/>
                <w:kern w:val="0"/>
                <w:sz w:val="18"/>
                <w:szCs w:val="18"/>
              </w:rPr>
            </w:pPr>
          </w:p>
        </w:tc>
        <w:tc>
          <w:tcPr>
            <w:tcW w:w="199" w:type="pct"/>
            <w:vAlign w:val="center"/>
          </w:tcPr>
          <w:p w14:paraId="5C88DBB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4FFD93E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417" w:type="pct"/>
            <w:vAlign w:val="center"/>
          </w:tcPr>
          <w:p w14:paraId="5F85879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0E0CFBD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671" w:type="pct"/>
            <w:vMerge w:val="continue"/>
            <w:vAlign w:val="center"/>
          </w:tcPr>
          <w:p w14:paraId="4488FA7C">
            <w:pPr>
              <w:widowControl/>
              <w:snapToGrid w:val="0"/>
              <w:spacing w:line="240" w:lineRule="auto"/>
              <w:ind w:firstLine="0" w:firstLineChars="0"/>
              <w:jc w:val="center"/>
              <w:rPr>
                <w:rFonts w:cs="Times New Roman"/>
                <w:bCs/>
                <w:kern w:val="0"/>
                <w:sz w:val="18"/>
                <w:szCs w:val="18"/>
              </w:rPr>
            </w:pPr>
          </w:p>
        </w:tc>
      </w:tr>
      <w:tr w14:paraId="77A30D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BA1817D">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09CB6A6">
            <w:pPr>
              <w:widowControl/>
              <w:snapToGrid w:val="0"/>
              <w:spacing w:line="240" w:lineRule="auto"/>
              <w:ind w:firstLine="0" w:firstLineChars="0"/>
              <w:jc w:val="center"/>
              <w:rPr>
                <w:rFonts w:cs="Times New Roman"/>
                <w:bCs/>
                <w:kern w:val="0"/>
                <w:sz w:val="18"/>
                <w:szCs w:val="18"/>
              </w:rPr>
            </w:pPr>
          </w:p>
        </w:tc>
        <w:tc>
          <w:tcPr>
            <w:tcW w:w="199" w:type="pct"/>
            <w:vAlign w:val="center"/>
          </w:tcPr>
          <w:p w14:paraId="1064490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7CAC2EB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5D9B59F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495t/a</w:t>
            </w:r>
          </w:p>
        </w:tc>
        <w:tc>
          <w:tcPr>
            <w:tcW w:w="2893" w:type="pct"/>
            <w:vAlign w:val="center"/>
          </w:tcPr>
          <w:p w14:paraId="4D80503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生活垃圾交由环卫部门进行处理；沉淀池污泥、脱水泥饼等与生活垃圾一并处理</w:t>
            </w:r>
          </w:p>
        </w:tc>
        <w:tc>
          <w:tcPr>
            <w:tcW w:w="671" w:type="pct"/>
            <w:vMerge w:val="continue"/>
            <w:vAlign w:val="center"/>
          </w:tcPr>
          <w:p w14:paraId="171CD03F">
            <w:pPr>
              <w:widowControl/>
              <w:snapToGrid w:val="0"/>
              <w:spacing w:line="240" w:lineRule="auto"/>
              <w:ind w:firstLine="0" w:firstLineChars="0"/>
              <w:jc w:val="center"/>
              <w:rPr>
                <w:rFonts w:cs="Times New Roman"/>
                <w:bCs/>
                <w:kern w:val="0"/>
                <w:sz w:val="18"/>
                <w:szCs w:val="18"/>
              </w:rPr>
            </w:pPr>
          </w:p>
        </w:tc>
      </w:tr>
      <w:tr w14:paraId="5F6890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1CFE0AE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67</w:t>
            </w:r>
          </w:p>
          <w:p w14:paraId="61629AB1">
            <w:pPr>
              <w:autoSpaceDE w:val="0"/>
              <w:autoSpaceDN w:val="0"/>
              <w:snapToGrid w:val="0"/>
              <w:spacing w:line="240" w:lineRule="auto"/>
              <w:ind w:firstLine="0" w:firstLineChars="0"/>
              <w:jc w:val="center"/>
              <w:rPr>
                <w:rFonts w:cs="Times New Roman"/>
                <w:bCs/>
                <w:kern w:val="0"/>
                <w:sz w:val="18"/>
                <w:szCs w:val="18"/>
              </w:rPr>
            </w:pPr>
          </w:p>
        </w:tc>
        <w:tc>
          <w:tcPr>
            <w:tcW w:w="231" w:type="pct"/>
            <w:vMerge w:val="restart"/>
            <w:vAlign w:val="center"/>
          </w:tcPr>
          <w:p w14:paraId="67858985">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衡阳市蓝光特种琉璃有限公司</w:t>
            </w:r>
          </w:p>
        </w:tc>
        <w:tc>
          <w:tcPr>
            <w:tcW w:w="199" w:type="pct"/>
            <w:vAlign w:val="center"/>
          </w:tcPr>
          <w:p w14:paraId="775143A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5BB31895">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COD、SS、氨氮</w:t>
            </w:r>
          </w:p>
        </w:tc>
        <w:tc>
          <w:tcPr>
            <w:tcW w:w="417" w:type="pct"/>
            <w:vAlign w:val="center"/>
          </w:tcPr>
          <w:p w14:paraId="14990C79">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648t/a</w:t>
            </w:r>
          </w:p>
        </w:tc>
        <w:tc>
          <w:tcPr>
            <w:tcW w:w="2893" w:type="pct"/>
            <w:vAlign w:val="center"/>
          </w:tcPr>
          <w:p w14:paraId="3EC206A9">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无生产废水产生，生活污水经化粪池预处理后经污水管网进入松木污水处理厂</w:t>
            </w:r>
          </w:p>
        </w:tc>
        <w:tc>
          <w:tcPr>
            <w:tcW w:w="671" w:type="pct"/>
            <w:vMerge w:val="restart"/>
            <w:vAlign w:val="center"/>
          </w:tcPr>
          <w:p w14:paraId="321BC897">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55BD2B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1F11344A">
            <w:pPr>
              <w:autoSpaceDE w:val="0"/>
              <w:autoSpaceDN w:val="0"/>
              <w:snapToGrid w:val="0"/>
              <w:spacing w:line="240" w:lineRule="auto"/>
              <w:ind w:firstLine="0" w:firstLineChars="0"/>
              <w:jc w:val="center"/>
              <w:rPr>
                <w:rFonts w:cs="Times New Roman"/>
                <w:bCs/>
                <w:kern w:val="0"/>
                <w:sz w:val="18"/>
                <w:szCs w:val="18"/>
              </w:rPr>
            </w:pPr>
          </w:p>
        </w:tc>
        <w:tc>
          <w:tcPr>
            <w:tcW w:w="231" w:type="pct"/>
            <w:vMerge w:val="continue"/>
            <w:vAlign w:val="center"/>
          </w:tcPr>
          <w:p w14:paraId="59FDEDE4">
            <w:pPr>
              <w:autoSpaceDE w:val="0"/>
              <w:autoSpaceDN w:val="0"/>
              <w:snapToGrid w:val="0"/>
              <w:spacing w:line="240" w:lineRule="auto"/>
              <w:ind w:firstLine="0" w:firstLineChars="0"/>
              <w:jc w:val="center"/>
              <w:rPr>
                <w:rFonts w:cs="Times New Roman"/>
                <w:bCs/>
                <w:kern w:val="0"/>
                <w:sz w:val="18"/>
                <w:szCs w:val="18"/>
              </w:rPr>
            </w:pPr>
          </w:p>
        </w:tc>
        <w:tc>
          <w:tcPr>
            <w:tcW w:w="199" w:type="pct"/>
            <w:vAlign w:val="center"/>
          </w:tcPr>
          <w:p w14:paraId="18B0309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2AB8D977">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VOCs</w:t>
            </w:r>
          </w:p>
        </w:tc>
        <w:tc>
          <w:tcPr>
            <w:tcW w:w="417" w:type="pct"/>
            <w:vAlign w:val="center"/>
          </w:tcPr>
          <w:p w14:paraId="39E7EFB4">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2C546C94">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少量VOCs无组织排放</w:t>
            </w:r>
          </w:p>
        </w:tc>
        <w:tc>
          <w:tcPr>
            <w:tcW w:w="671" w:type="pct"/>
            <w:vMerge w:val="continue"/>
            <w:vAlign w:val="center"/>
          </w:tcPr>
          <w:p w14:paraId="28A20ACA">
            <w:pPr>
              <w:autoSpaceDE w:val="0"/>
              <w:autoSpaceDN w:val="0"/>
              <w:snapToGrid w:val="0"/>
              <w:spacing w:line="240" w:lineRule="auto"/>
              <w:ind w:firstLine="0" w:firstLineChars="0"/>
              <w:jc w:val="center"/>
              <w:rPr>
                <w:rFonts w:cs="Times New Roman"/>
                <w:bCs/>
                <w:kern w:val="0"/>
                <w:sz w:val="18"/>
                <w:szCs w:val="18"/>
              </w:rPr>
            </w:pPr>
          </w:p>
        </w:tc>
      </w:tr>
      <w:tr w14:paraId="502DAC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408014FC">
            <w:pPr>
              <w:autoSpaceDE w:val="0"/>
              <w:autoSpaceDN w:val="0"/>
              <w:snapToGrid w:val="0"/>
              <w:spacing w:line="240" w:lineRule="auto"/>
              <w:ind w:firstLine="0" w:firstLineChars="0"/>
              <w:jc w:val="center"/>
              <w:rPr>
                <w:rFonts w:cs="Times New Roman"/>
                <w:bCs/>
                <w:kern w:val="0"/>
                <w:sz w:val="18"/>
                <w:szCs w:val="18"/>
              </w:rPr>
            </w:pPr>
          </w:p>
        </w:tc>
        <w:tc>
          <w:tcPr>
            <w:tcW w:w="231" w:type="pct"/>
            <w:vMerge w:val="continue"/>
            <w:vAlign w:val="center"/>
          </w:tcPr>
          <w:p w14:paraId="06B0958E">
            <w:pPr>
              <w:autoSpaceDE w:val="0"/>
              <w:autoSpaceDN w:val="0"/>
              <w:snapToGrid w:val="0"/>
              <w:spacing w:line="240" w:lineRule="auto"/>
              <w:ind w:firstLine="0" w:firstLineChars="0"/>
              <w:jc w:val="center"/>
              <w:rPr>
                <w:rFonts w:cs="Times New Roman"/>
                <w:bCs/>
                <w:kern w:val="0"/>
                <w:sz w:val="18"/>
                <w:szCs w:val="18"/>
              </w:rPr>
            </w:pPr>
          </w:p>
        </w:tc>
        <w:tc>
          <w:tcPr>
            <w:tcW w:w="199" w:type="pct"/>
            <w:vAlign w:val="center"/>
          </w:tcPr>
          <w:p w14:paraId="75FECD7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2918A14B">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496907A5">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20t/a</w:t>
            </w:r>
          </w:p>
        </w:tc>
        <w:tc>
          <w:tcPr>
            <w:tcW w:w="2893" w:type="pct"/>
            <w:vAlign w:val="center"/>
          </w:tcPr>
          <w:p w14:paraId="3073E4CC">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玻璃边角料由物资回收公司处理，生活垃圾交由环卫部门进行处理；</w:t>
            </w:r>
          </w:p>
        </w:tc>
        <w:tc>
          <w:tcPr>
            <w:tcW w:w="671" w:type="pct"/>
            <w:vMerge w:val="continue"/>
            <w:vAlign w:val="center"/>
          </w:tcPr>
          <w:p w14:paraId="44D3370D">
            <w:pPr>
              <w:autoSpaceDE w:val="0"/>
              <w:autoSpaceDN w:val="0"/>
              <w:snapToGrid w:val="0"/>
              <w:spacing w:line="240" w:lineRule="auto"/>
              <w:ind w:firstLine="0" w:firstLineChars="0"/>
              <w:jc w:val="center"/>
              <w:rPr>
                <w:rFonts w:cs="Times New Roman"/>
                <w:bCs/>
                <w:kern w:val="0"/>
                <w:sz w:val="18"/>
                <w:szCs w:val="18"/>
              </w:rPr>
            </w:pPr>
          </w:p>
        </w:tc>
      </w:tr>
      <w:tr w14:paraId="3B5C3D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5F4517C4">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68</w:t>
            </w:r>
          </w:p>
          <w:p w14:paraId="247B50E4">
            <w:pPr>
              <w:autoSpaceDE w:val="0"/>
              <w:autoSpaceDN w:val="0"/>
              <w:snapToGrid w:val="0"/>
              <w:spacing w:line="240" w:lineRule="auto"/>
              <w:ind w:firstLine="0" w:firstLineChars="0"/>
              <w:jc w:val="center"/>
              <w:rPr>
                <w:rFonts w:cs="Times New Roman"/>
                <w:bCs/>
                <w:kern w:val="0"/>
                <w:sz w:val="18"/>
                <w:szCs w:val="18"/>
              </w:rPr>
            </w:pPr>
          </w:p>
        </w:tc>
        <w:tc>
          <w:tcPr>
            <w:tcW w:w="231" w:type="pct"/>
            <w:vMerge w:val="restart"/>
            <w:vAlign w:val="center"/>
          </w:tcPr>
          <w:p w14:paraId="6C8CF3CB">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衡阳市威豪门窗有限公司</w:t>
            </w:r>
          </w:p>
        </w:tc>
        <w:tc>
          <w:tcPr>
            <w:tcW w:w="199" w:type="pct"/>
            <w:vAlign w:val="center"/>
          </w:tcPr>
          <w:p w14:paraId="0DB2605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69EDE207">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COD、SS、氨氮</w:t>
            </w:r>
          </w:p>
        </w:tc>
        <w:tc>
          <w:tcPr>
            <w:tcW w:w="417" w:type="pct"/>
            <w:vAlign w:val="center"/>
          </w:tcPr>
          <w:p w14:paraId="5BEF60FF">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648t/a</w:t>
            </w:r>
          </w:p>
        </w:tc>
        <w:tc>
          <w:tcPr>
            <w:tcW w:w="2893" w:type="pct"/>
            <w:vAlign w:val="center"/>
          </w:tcPr>
          <w:p w14:paraId="16768FDD">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无生产废水产生，生活污水经化粪池预处理后经污水管网进入松木污水处理厂</w:t>
            </w:r>
          </w:p>
        </w:tc>
        <w:tc>
          <w:tcPr>
            <w:tcW w:w="671" w:type="pct"/>
            <w:vMerge w:val="restart"/>
            <w:vAlign w:val="center"/>
          </w:tcPr>
          <w:p w14:paraId="26B2C31B">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07D22D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A08EC94">
            <w:pPr>
              <w:autoSpaceDE w:val="0"/>
              <w:autoSpaceDN w:val="0"/>
              <w:snapToGrid w:val="0"/>
              <w:spacing w:line="240" w:lineRule="auto"/>
              <w:ind w:firstLine="0" w:firstLineChars="0"/>
              <w:jc w:val="center"/>
              <w:rPr>
                <w:rFonts w:cs="Times New Roman"/>
                <w:bCs/>
                <w:kern w:val="0"/>
                <w:sz w:val="18"/>
                <w:szCs w:val="18"/>
              </w:rPr>
            </w:pPr>
          </w:p>
        </w:tc>
        <w:tc>
          <w:tcPr>
            <w:tcW w:w="231" w:type="pct"/>
            <w:vMerge w:val="continue"/>
            <w:vAlign w:val="center"/>
          </w:tcPr>
          <w:p w14:paraId="60C43771">
            <w:pPr>
              <w:autoSpaceDE w:val="0"/>
              <w:autoSpaceDN w:val="0"/>
              <w:snapToGrid w:val="0"/>
              <w:spacing w:line="240" w:lineRule="auto"/>
              <w:ind w:firstLine="0" w:firstLineChars="0"/>
              <w:jc w:val="center"/>
              <w:rPr>
                <w:rFonts w:cs="Times New Roman"/>
                <w:bCs/>
                <w:kern w:val="0"/>
                <w:sz w:val="18"/>
                <w:szCs w:val="18"/>
              </w:rPr>
            </w:pPr>
          </w:p>
        </w:tc>
        <w:tc>
          <w:tcPr>
            <w:tcW w:w="199" w:type="pct"/>
            <w:vAlign w:val="center"/>
          </w:tcPr>
          <w:p w14:paraId="7FCE416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0C737431">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VOC</w:t>
            </w:r>
          </w:p>
        </w:tc>
        <w:tc>
          <w:tcPr>
            <w:tcW w:w="417" w:type="pct"/>
            <w:vAlign w:val="center"/>
          </w:tcPr>
          <w:p w14:paraId="12557450">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340983D0">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少量VOCs无组织排放</w:t>
            </w:r>
          </w:p>
        </w:tc>
        <w:tc>
          <w:tcPr>
            <w:tcW w:w="671" w:type="pct"/>
            <w:vMerge w:val="continue"/>
            <w:vAlign w:val="center"/>
          </w:tcPr>
          <w:p w14:paraId="45C95C92">
            <w:pPr>
              <w:autoSpaceDE w:val="0"/>
              <w:autoSpaceDN w:val="0"/>
              <w:snapToGrid w:val="0"/>
              <w:spacing w:line="240" w:lineRule="auto"/>
              <w:ind w:firstLine="0" w:firstLineChars="0"/>
              <w:jc w:val="center"/>
              <w:rPr>
                <w:rFonts w:cs="Times New Roman"/>
                <w:bCs/>
                <w:kern w:val="0"/>
                <w:sz w:val="18"/>
                <w:szCs w:val="18"/>
              </w:rPr>
            </w:pPr>
          </w:p>
        </w:tc>
      </w:tr>
      <w:tr w14:paraId="793BF5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16E5C6B3">
            <w:pPr>
              <w:autoSpaceDE w:val="0"/>
              <w:autoSpaceDN w:val="0"/>
              <w:snapToGrid w:val="0"/>
              <w:spacing w:line="240" w:lineRule="auto"/>
              <w:ind w:firstLine="0" w:firstLineChars="0"/>
              <w:jc w:val="center"/>
              <w:rPr>
                <w:rFonts w:cs="Times New Roman"/>
                <w:bCs/>
                <w:kern w:val="0"/>
                <w:sz w:val="18"/>
                <w:szCs w:val="18"/>
              </w:rPr>
            </w:pPr>
          </w:p>
        </w:tc>
        <w:tc>
          <w:tcPr>
            <w:tcW w:w="231" w:type="pct"/>
            <w:vMerge w:val="continue"/>
            <w:vAlign w:val="center"/>
          </w:tcPr>
          <w:p w14:paraId="02DB1564">
            <w:pPr>
              <w:autoSpaceDE w:val="0"/>
              <w:autoSpaceDN w:val="0"/>
              <w:snapToGrid w:val="0"/>
              <w:spacing w:line="240" w:lineRule="auto"/>
              <w:ind w:firstLine="0" w:firstLineChars="0"/>
              <w:jc w:val="center"/>
              <w:rPr>
                <w:rFonts w:cs="Times New Roman"/>
                <w:bCs/>
                <w:kern w:val="0"/>
                <w:sz w:val="18"/>
                <w:szCs w:val="18"/>
              </w:rPr>
            </w:pPr>
          </w:p>
        </w:tc>
        <w:tc>
          <w:tcPr>
            <w:tcW w:w="199" w:type="pct"/>
            <w:vAlign w:val="center"/>
          </w:tcPr>
          <w:p w14:paraId="4F0AF26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093AC9F5">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5CDD163C">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20t/a</w:t>
            </w:r>
          </w:p>
        </w:tc>
        <w:tc>
          <w:tcPr>
            <w:tcW w:w="2893" w:type="pct"/>
            <w:vAlign w:val="center"/>
          </w:tcPr>
          <w:p w14:paraId="5FE61A26">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边角料由物资回收公司处理，生活垃圾交由环卫部门进行处理；</w:t>
            </w:r>
          </w:p>
        </w:tc>
        <w:tc>
          <w:tcPr>
            <w:tcW w:w="671" w:type="pct"/>
            <w:vMerge w:val="continue"/>
            <w:vAlign w:val="center"/>
          </w:tcPr>
          <w:p w14:paraId="147B7EBA">
            <w:pPr>
              <w:autoSpaceDE w:val="0"/>
              <w:autoSpaceDN w:val="0"/>
              <w:snapToGrid w:val="0"/>
              <w:spacing w:line="240" w:lineRule="auto"/>
              <w:ind w:firstLine="0" w:firstLineChars="0"/>
              <w:jc w:val="center"/>
              <w:rPr>
                <w:rFonts w:cs="Times New Roman"/>
                <w:bCs/>
                <w:kern w:val="0"/>
                <w:sz w:val="18"/>
                <w:szCs w:val="18"/>
              </w:rPr>
            </w:pPr>
          </w:p>
        </w:tc>
      </w:tr>
      <w:tr w14:paraId="5AB382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2A357CDB">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69</w:t>
            </w:r>
          </w:p>
          <w:p w14:paraId="488E2FEB">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4003CC15">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湖南利美防爆装备制造股份有限公司</w:t>
            </w:r>
          </w:p>
        </w:tc>
        <w:tc>
          <w:tcPr>
            <w:tcW w:w="199" w:type="pct"/>
            <w:vAlign w:val="center"/>
          </w:tcPr>
          <w:p w14:paraId="121F41C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563BD09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SS、COD、氨氮</w:t>
            </w:r>
          </w:p>
        </w:tc>
        <w:tc>
          <w:tcPr>
            <w:tcW w:w="417" w:type="pct"/>
            <w:vAlign w:val="center"/>
          </w:tcPr>
          <w:p w14:paraId="05020D9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18t/d</w:t>
            </w:r>
          </w:p>
        </w:tc>
        <w:tc>
          <w:tcPr>
            <w:tcW w:w="2893" w:type="pct"/>
            <w:vAlign w:val="center"/>
          </w:tcPr>
          <w:p w14:paraId="4BB5247E">
            <w:pPr>
              <w:widowControl/>
              <w:snapToGrid w:val="0"/>
              <w:spacing w:line="240" w:lineRule="auto"/>
              <w:ind w:firstLine="0" w:firstLineChars="0"/>
              <w:jc w:val="center"/>
              <w:rPr>
                <w:rFonts w:cs="Times New Roman"/>
                <w:bCs/>
                <w:kern w:val="0"/>
                <w:sz w:val="18"/>
                <w:szCs w:val="18"/>
              </w:rPr>
            </w:pPr>
            <w:r>
              <w:rPr>
                <w:rFonts w:cs="Times New Roman"/>
                <w:bCs/>
                <w:spacing w:val="-5"/>
                <w:kern w:val="0"/>
                <w:sz w:val="18"/>
                <w:szCs w:val="18"/>
              </w:rPr>
              <w:t>生活废水经化粪池预处理后排入园区污水管网，进入松木污水处理厂处理，处理达标后排</w:t>
            </w:r>
          </w:p>
          <w:p w14:paraId="7E2EF8C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入湘江。</w:t>
            </w:r>
          </w:p>
        </w:tc>
        <w:tc>
          <w:tcPr>
            <w:tcW w:w="671" w:type="pct"/>
            <w:vMerge w:val="restart"/>
            <w:vAlign w:val="center"/>
          </w:tcPr>
          <w:p w14:paraId="3BD7B03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699F39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2EC991F">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18B54F98">
            <w:pPr>
              <w:widowControl/>
              <w:snapToGrid w:val="0"/>
              <w:spacing w:line="240" w:lineRule="auto"/>
              <w:ind w:firstLine="0" w:firstLineChars="0"/>
              <w:jc w:val="center"/>
              <w:rPr>
                <w:rFonts w:cs="Times New Roman"/>
                <w:bCs/>
                <w:kern w:val="0"/>
                <w:sz w:val="18"/>
                <w:szCs w:val="18"/>
              </w:rPr>
            </w:pPr>
          </w:p>
        </w:tc>
        <w:tc>
          <w:tcPr>
            <w:tcW w:w="199" w:type="pct"/>
            <w:vAlign w:val="center"/>
          </w:tcPr>
          <w:p w14:paraId="7EC7D41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188AB78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VOC</w:t>
            </w:r>
            <w:r>
              <w:rPr>
                <w:rFonts w:cs="Times New Roman"/>
                <w:bCs/>
                <w:kern w:val="0"/>
                <w:sz w:val="18"/>
                <w:szCs w:val="18"/>
                <w:vertAlign w:val="subscript"/>
              </w:rPr>
              <w:t>S</w:t>
            </w:r>
          </w:p>
        </w:tc>
        <w:tc>
          <w:tcPr>
            <w:tcW w:w="417" w:type="pct"/>
            <w:vAlign w:val="center"/>
          </w:tcPr>
          <w:p w14:paraId="204E6EB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5000m</w:t>
            </w:r>
            <w:r>
              <w:rPr>
                <w:rFonts w:cs="Times New Roman"/>
                <w:bCs/>
                <w:kern w:val="0"/>
                <w:position w:val="8"/>
                <w:sz w:val="18"/>
                <w:szCs w:val="18"/>
              </w:rPr>
              <w:t>3</w:t>
            </w:r>
            <w:r>
              <w:rPr>
                <w:rFonts w:cs="Times New Roman"/>
                <w:bCs/>
                <w:kern w:val="0"/>
                <w:sz w:val="18"/>
                <w:szCs w:val="18"/>
              </w:rPr>
              <w:t>/h</w:t>
            </w:r>
          </w:p>
        </w:tc>
        <w:tc>
          <w:tcPr>
            <w:tcW w:w="2893" w:type="pct"/>
            <w:vAlign w:val="center"/>
          </w:tcPr>
          <w:p w14:paraId="56871F1C">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喷涂有机废气采用集气罩收集+活性炭吸附处理后排放</w:t>
            </w:r>
          </w:p>
        </w:tc>
        <w:tc>
          <w:tcPr>
            <w:tcW w:w="671" w:type="pct"/>
            <w:vMerge w:val="continue"/>
            <w:vAlign w:val="center"/>
          </w:tcPr>
          <w:p w14:paraId="499591CA">
            <w:pPr>
              <w:widowControl/>
              <w:snapToGrid w:val="0"/>
              <w:spacing w:line="240" w:lineRule="auto"/>
              <w:ind w:firstLine="0" w:firstLineChars="0"/>
              <w:jc w:val="center"/>
              <w:rPr>
                <w:rFonts w:cs="Times New Roman"/>
                <w:bCs/>
                <w:kern w:val="0"/>
                <w:sz w:val="18"/>
                <w:szCs w:val="18"/>
              </w:rPr>
            </w:pPr>
          </w:p>
        </w:tc>
      </w:tr>
      <w:tr w14:paraId="776BBF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7475C7C8">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11DBD528">
            <w:pPr>
              <w:widowControl/>
              <w:snapToGrid w:val="0"/>
              <w:spacing w:line="240" w:lineRule="auto"/>
              <w:ind w:firstLine="0" w:firstLineChars="0"/>
              <w:jc w:val="center"/>
              <w:rPr>
                <w:rFonts w:cs="Times New Roman"/>
                <w:bCs/>
                <w:kern w:val="0"/>
                <w:sz w:val="18"/>
                <w:szCs w:val="18"/>
              </w:rPr>
            </w:pPr>
          </w:p>
        </w:tc>
        <w:tc>
          <w:tcPr>
            <w:tcW w:w="199" w:type="pct"/>
            <w:vAlign w:val="center"/>
          </w:tcPr>
          <w:p w14:paraId="569AAB3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782497C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4C313FC7">
            <w:pPr>
              <w:widowControl/>
              <w:snapToGrid w:val="0"/>
              <w:spacing w:line="240" w:lineRule="auto"/>
              <w:ind w:firstLine="0" w:firstLineChars="0"/>
              <w:jc w:val="center"/>
              <w:rPr>
                <w:rFonts w:cs="Times New Roman"/>
                <w:bCs/>
                <w:kern w:val="0"/>
                <w:sz w:val="18"/>
                <w:szCs w:val="18"/>
              </w:rPr>
            </w:pPr>
          </w:p>
        </w:tc>
        <w:tc>
          <w:tcPr>
            <w:tcW w:w="2893" w:type="pct"/>
            <w:vAlign w:val="center"/>
          </w:tcPr>
          <w:p w14:paraId="0954B9B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生活垃圾交由环卫部门进行处理</w:t>
            </w:r>
          </w:p>
        </w:tc>
        <w:tc>
          <w:tcPr>
            <w:tcW w:w="671" w:type="pct"/>
            <w:vMerge w:val="continue"/>
            <w:vAlign w:val="center"/>
          </w:tcPr>
          <w:p w14:paraId="5653BFCF">
            <w:pPr>
              <w:widowControl/>
              <w:snapToGrid w:val="0"/>
              <w:spacing w:line="240" w:lineRule="auto"/>
              <w:ind w:firstLine="0" w:firstLineChars="0"/>
              <w:jc w:val="center"/>
              <w:rPr>
                <w:rFonts w:cs="Times New Roman"/>
                <w:bCs/>
                <w:kern w:val="0"/>
                <w:sz w:val="18"/>
                <w:szCs w:val="18"/>
              </w:rPr>
            </w:pPr>
          </w:p>
        </w:tc>
      </w:tr>
      <w:tr w14:paraId="6C236C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0072398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70</w:t>
            </w:r>
          </w:p>
          <w:p w14:paraId="0744B909">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77C8691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湖南潇峰化工科技有限公司</w:t>
            </w:r>
          </w:p>
        </w:tc>
        <w:tc>
          <w:tcPr>
            <w:tcW w:w="199" w:type="pct"/>
            <w:vAlign w:val="center"/>
          </w:tcPr>
          <w:p w14:paraId="0AC71E7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3F8389A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COD、氨氮、SS</w:t>
            </w:r>
          </w:p>
        </w:tc>
        <w:tc>
          <w:tcPr>
            <w:tcW w:w="417" w:type="pct"/>
            <w:vAlign w:val="center"/>
          </w:tcPr>
          <w:p w14:paraId="6971769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280t/a</w:t>
            </w:r>
          </w:p>
        </w:tc>
        <w:tc>
          <w:tcPr>
            <w:tcW w:w="2893" w:type="pct"/>
            <w:vAlign w:val="center"/>
          </w:tcPr>
          <w:p w14:paraId="20473F60">
            <w:pPr>
              <w:widowControl/>
              <w:snapToGrid w:val="0"/>
              <w:spacing w:line="240" w:lineRule="auto"/>
              <w:ind w:firstLine="0" w:firstLineChars="0"/>
              <w:jc w:val="center"/>
              <w:rPr>
                <w:rFonts w:cs="Times New Roman"/>
                <w:bCs/>
                <w:kern w:val="0"/>
                <w:sz w:val="18"/>
                <w:szCs w:val="18"/>
              </w:rPr>
            </w:pPr>
            <w:r>
              <w:rPr>
                <w:rFonts w:cs="Times New Roman"/>
                <w:bCs/>
                <w:spacing w:val="-4"/>
                <w:kern w:val="0"/>
                <w:sz w:val="18"/>
                <w:szCs w:val="18"/>
              </w:rPr>
              <w:t>地面冲洗废水经沉淀隔油池处理后进入松木污水处理厂；生活污水经化粪池预处理后进入</w:t>
            </w:r>
          </w:p>
          <w:p w14:paraId="2870BB9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松木污水处理厂；</w:t>
            </w:r>
          </w:p>
        </w:tc>
        <w:tc>
          <w:tcPr>
            <w:tcW w:w="671" w:type="pct"/>
            <w:vMerge w:val="restart"/>
            <w:vAlign w:val="center"/>
          </w:tcPr>
          <w:p w14:paraId="487AA67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45914A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D32C5B2">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1ED14C4">
            <w:pPr>
              <w:widowControl/>
              <w:snapToGrid w:val="0"/>
              <w:spacing w:line="240" w:lineRule="auto"/>
              <w:ind w:firstLine="0" w:firstLineChars="0"/>
              <w:jc w:val="center"/>
              <w:rPr>
                <w:rFonts w:cs="Times New Roman"/>
                <w:bCs/>
                <w:kern w:val="0"/>
                <w:sz w:val="18"/>
                <w:szCs w:val="18"/>
              </w:rPr>
            </w:pPr>
          </w:p>
        </w:tc>
        <w:tc>
          <w:tcPr>
            <w:tcW w:w="199" w:type="pct"/>
            <w:vAlign w:val="center"/>
          </w:tcPr>
          <w:p w14:paraId="62CB231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1A0BFE5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VOC</w:t>
            </w:r>
            <w:r>
              <w:rPr>
                <w:rFonts w:cs="Times New Roman"/>
                <w:bCs/>
                <w:kern w:val="0"/>
                <w:sz w:val="18"/>
                <w:szCs w:val="18"/>
                <w:vertAlign w:val="subscript"/>
              </w:rPr>
              <w:t>S</w:t>
            </w:r>
          </w:p>
        </w:tc>
        <w:tc>
          <w:tcPr>
            <w:tcW w:w="417" w:type="pct"/>
            <w:vAlign w:val="center"/>
          </w:tcPr>
          <w:p w14:paraId="6A6E3BC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18E5FD7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聚合有机废气经活性炭吸附+光催化氧化设施处理后经 15m 排气筒外排；</w:t>
            </w:r>
          </w:p>
        </w:tc>
        <w:tc>
          <w:tcPr>
            <w:tcW w:w="671" w:type="pct"/>
            <w:vMerge w:val="continue"/>
            <w:vAlign w:val="center"/>
          </w:tcPr>
          <w:p w14:paraId="4C7442EF">
            <w:pPr>
              <w:widowControl/>
              <w:snapToGrid w:val="0"/>
              <w:spacing w:line="240" w:lineRule="auto"/>
              <w:ind w:firstLine="0" w:firstLineChars="0"/>
              <w:jc w:val="center"/>
              <w:rPr>
                <w:rFonts w:cs="Times New Roman"/>
                <w:bCs/>
                <w:kern w:val="0"/>
                <w:sz w:val="18"/>
                <w:szCs w:val="18"/>
              </w:rPr>
            </w:pPr>
          </w:p>
        </w:tc>
      </w:tr>
      <w:tr w14:paraId="501315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98ED560">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BE552C3">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34C8700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36BF7BF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6F7D5E2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4.6t/a</w:t>
            </w:r>
          </w:p>
        </w:tc>
        <w:tc>
          <w:tcPr>
            <w:tcW w:w="2893" w:type="pct"/>
            <w:vAlign w:val="center"/>
          </w:tcPr>
          <w:p w14:paraId="1AEC609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生活垃圾及废旧包装袋交由环卫部门进行处理</w:t>
            </w:r>
          </w:p>
        </w:tc>
        <w:tc>
          <w:tcPr>
            <w:tcW w:w="671" w:type="pct"/>
            <w:vMerge w:val="continue"/>
            <w:vAlign w:val="center"/>
          </w:tcPr>
          <w:p w14:paraId="105AFD06">
            <w:pPr>
              <w:widowControl/>
              <w:snapToGrid w:val="0"/>
              <w:spacing w:line="240" w:lineRule="auto"/>
              <w:ind w:firstLine="0" w:firstLineChars="0"/>
              <w:jc w:val="center"/>
              <w:rPr>
                <w:rFonts w:cs="Times New Roman"/>
                <w:bCs/>
                <w:kern w:val="0"/>
                <w:sz w:val="18"/>
                <w:szCs w:val="18"/>
              </w:rPr>
            </w:pPr>
          </w:p>
        </w:tc>
      </w:tr>
      <w:tr w14:paraId="0FD84F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B8C36B0">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17E0B86">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352276A1">
            <w:pPr>
              <w:widowControl/>
              <w:snapToGrid w:val="0"/>
              <w:spacing w:line="240" w:lineRule="auto"/>
              <w:ind w:firstLine="0" w:firstLineChars="0"/>
              <w:jc w:val="center"/>
              <w:rPr>
                <w:rFonts w:cs="Times New Roman"/>
                <w:bCs/>
                <w:kern w:val="0"/>
                <w:sz w:val="18"/>
                <w:szCs w:val="18"/>
              </w:rPr>
            </w:pPr>
          </w:p>
        </w:tc>
        <w:tc>
          <w:tcPr>
            <w:tcW w:w="485" w:type="pct"/>
            <w:vAlign w:val="center"/>
          </w:tcPr>
          <w:p w14:paraId="58EB419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73E669D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14.6t/a</w:t>
            </w:r>
          </w:p>
        </w:tc>
        <w:tc>
          <w:tcPr>
            <w:tcW w:w="2893" w:type="pct"/>
            <w:vAlign w:val="center"/>
          </w:tcPr>
          <w:p w14:paraId="2A7F70F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滤渣、沉淀池沉渣、废导热油、废活性炭交由有资质单位处理</w:t>
            </w:r>
          </w:p>
        </w:tc>
        <w:tc>
          <w:tcPr>
            <w:tcW w:w="671" w:type="pct"/>
            <w:vMerge w:val="continue"/>
            <w:vAlign w:val="center"/>
          </w:tcPr>
          <w:p w14:paraId="2864ACE7">
            <w:pPr>
              <w:widowControl/>
              <w:snapToGrid w:val="0"/>
              <w:spacing w:line="240" w:lineRule="auto"/>
              <w:ind w:firstLine="0" w:firstLineChars="0"/>
              <w:jc w:val="center"/>
              <w:rPr>
                <w:rFonts w:cs="Times New Roman"/>
                <w:bCs/>
                <w:kern w:val="0"/>
                <w:sz w:val="18"/>
                <w:szCs w:val="18"/>
              </w:rPr>
            </w:pPr>
          </w:p>
        </w:tc>
      </w:tr>
      <w:tr w14:paraId="450ECE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576B7FC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71</w:t>
            </w:r>
          </w:p>
          <w:p w14:paraId="7A6C5FC5">
            <w:pPr>
              <w:autoSpaceDE w:val="0"/>
              <w:autoSpaceDN w:val="0"/>
              <w:snapToGrid w:val="0"/>
              <w:spacing w:line="240" w:lineRule="auto"/>
              <w:ind w:firstLine="0" w:firstLineChars="0"/>
              <w:jc w:val="center"/>
              <w:rPr>
                <w:rFonts w:cs="Times New Roman"/>
                <w:bCs/>
                <w:kern w:val="0"/>
                <w:sz w:val="18"/>
                <w:szCs w:val="18"/>
              </w:rPr>
            </w:pPr>
          </w:p>
        </w:tc>
        <w:tc>
          <w:tcPr>
            <w:tcW w:w="231" w:type="pct"/>
            <w:vMerge w:val="restart"/>
            <w:vAlign w:val="center"/>
          </w:tcPr>
          <w:p w14:paraId="47931C00">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衡阳大华建材有限公司</w:t>
            </w:r>
          </w:p>
        </w:tc>
        <w:tc>
          <w:tcPr>
            <w:tcW w:w="199" w:type="pct"/>
            <w:vAlign w:val="center"/>
          </w:tcPr>
          <w:p w14:paraId="3136789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47BD0D29">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SS、COD、氨氮</w:t>
            </w:r>
          </w:p>
        </w:tc>
        <w:tc>
          <w:tcPr>
            <w:tcW w:w="417" w:type="pct"/>
            <w:vAlign w:val="center"/>
          </w:tcPr>
          <w:p w14:paraId="40EC6B37">
            <w:pPr>
              <w:autoSpaceDE w:val="0"/>
              <w:autoSpaceDN w:val="0"/>
              <w:snapToGrid w:val="0"/>
              <w:spacing w:line="240" w:lineRule="auto"/>
              <w:ind w:firstLine="0" w:firstLineChars="0"/>
              <w:jc w:val="center"/>
              <w:rPr>
                <w:rFonts w:cs="Times New Roman"/>
                <w:bCs/>
                <w:kern w:val="0"/>
                <w:sz w:val="18"/>
                <w:szCs w:val="18"/>
              </w:rPr>
            </w:pPr>
          </w:p>
        </w:tc>
        <w:tc>
          <w:tcPr>
            <w:tcW w:w="2893" w:type="pct"/>
            <w:vAlign w:val="center"/>
          </w:tcPr>
          <w:p w14:paraId="294D3705">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无生产废水外排，生活污水经化粪池处理后排入园区污水管网，进入松木污水处理厂最终进入湘江。</w:t>
            </w:r>
          </w:p>
        </w:tc>
        <w:tc>
          <w:tcPr>
            <w:tcW w:w="671" w:type="pct"/>
            <w:vMerge w:val="restart"/>
            <w:vAlign w:val="center"/>
          </w:tcPr>
          <w:p w14:paraId="22986642">
            <w:pPr>
              <w:autoSpaceDE w:val="0"/>
              <w:autoSpaceDN w:val="0"/>
              <w:snapToGrid w:val="0"/>
              <w:spacing w:line="240" w:lineRule="auto"/>
              <w:ind w:firstLine="0" w:firstLineChars="0"/>
              <w:jc w:val="center"/>
              <w:rPr>
                <w:rFonts w:cs="Times New Roman"/>
                <w:bCs/>
                <w:kern w:val="0"/>
                <w:sz w:val="18"/>
                <w:szCs w:val="18"/>
              </w:rPr>
            </w:pPr>
            <w:r>
              <w:rPr>
                <w:rFonts w:cs="Times New Roman"/>
                <w:kern w:val="0"/>
                <w:sz w:val="18"/>
                <w:szCs w:val="18"/>
              </w:rPr>
              <w:t>后期雨水排放监控池、流量计、视频监控、pH在线监测仪、SS在线监测仪及监控站房</w:t>
            </w:r>
          </w:p>
        </w:tc>
      </w:tr>
      <w:tr w14:paraId="6C4ADD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4D1CE727">
            <w:pPr>
              <w:autoSpaceDE w:val="0"/>
              <w:autoSpaceDN w:val="0"/>
              <w:snapToGrid w:val="0"/>
              <w:spacing w:line="240" w:lineRule="auto"/>
              <w:ind w:firstLine="0" w:firstLineChars="0"/>
              <w:jc w:val="center"/>
              <w:rPr>
                <w:rFonts w:cs="Times New Roman"/>
                <w:bCs/>
                <w:kern w:val="0"/>
                <w:sz w:val="18"/>
                <w:szCs w:val="18"/>
              </w:rPr>
            </w:pPr>
          </w:p>
        </w:tc>
        <w:tc>
          <w:tcPr>
            <w:tcW w:w="231" w:type="pct"/>
            <w:vMerge w:val="continue"/>
            <w:vAlign w:val="center"/>
          </w:tcPr>
          <w:p w14:paraId="36A0EFBE">
            <w:pPr>
              <w:autoSpaceDE w:val="0"/>
              <w:autoSpaceDN w:val="0"/>
              <w:snapToGrid w:val="0"/>
              <w:spacing w:line="240" w:lineRule="auto"/>
              <w:ind w:firstLine="0" w:firstLineChars="0"/>
              <w:jc w:val="center"/>
              <w:rPr>
                <w:rFonts w:cs="Times New Roman"/>
                <w:bCs/>
                <w:kern w:val="0"/>
                <w:sz w:val="18"/>
                <w:szCs w:val="18"/>
              </w:rPr>
            </w:pPr>
          </w:p>
        </w:tc>
        <w:tc>
          <w:tcPr>
            <w:tcW w:w="199" w:type="pct"/>
            <w:vAlign w:val="center"/>
          </w:tcPr>
          <w:p w14:paraId="64CDD1A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262CBAC4">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粉尘</w:t>
            </w:r>
          </w:p>
        </w:tc>
        <w:tc>
          <w:tcPr>
            <w:tcW w:w="417" w:type="pct"/>
            <w:vAlign w:val="center"/>
          </w:tcPr>
          <w:p w14:paraId="2485163A">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320D9D17">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储罐仓顶自带布袋收集除尘装置，粉尘通过处理后经呼吸阀高空排放；</w:t>
            </w:r>
            <w:r>
              <w:rPr>
                <w:rFonts w:cs="Times New Roman"/>
                <w:bCs/>
                <w:kern w:val="0"/>
                <w:sz w:val="18"/>
                <w:szCs w:val="18"/>
                <w:lang w:val="zh-TW"/>
              </w:rPr>
              <w:t>物料</w:t>
            </w:r>
            <w:r>
              <w:rPr>
                <w:rFonts w:cs="Times New Roman"/>
                <w:bCs/>
                <w:kern w:val="0"/>
                <w:sz w:val="18"/>
                <w:szCs w:val="18"/>
              </w:rPr>
              <w:t>输送</w:t>
            </w:r>
            <w:r>
              <w:rPr>
                <w:rFonts w:cs="Times New Roman"/>
                <w:bCs/>
                <w:kern w:val="0"/>
                <w:sz w:val="18"/>
                <w:szCs w:val="18"/>
                <w:lang w:val="zh-TW"/>
              </w:rPr>
              <w:t>粉尘，</w:t>
            </w:r>
            <w:r>
              <w:rPr>
                <w:rFonts w:cs="Times New Roman"/>
                <w:bCs/>
                <w:kern w:val="0"/>
                <w:sz w:val="18"/>
                <w:szCs w:val="18"/>
              </w:rPr>
              <w:t>由布袋收集除尘装置，粉尘通过处理后经呼吸阀高空排放。</w:t>
            </w:r>
          </w:p>
        </w:tc>
        <w:tc>
          <w:tcPr>
            <w:tcW w:w="671" w:type="pct"/>
            <w:vMerge w:val="continue"/>
            <w:vAlign w:val="center"/>
          </w:tcPr>
          <w:p w14:paraId="69B51EB8">
            <w:pPr>
              <w:autoSpaceDE w:val="0"/>
              <w:autoSpaceDN w:val="0"/>
              <w:snapToGrid w:val="0"/>
              <w:spacing w:line="240" w:lineRule="auto"/>
              <w:ind w:firstLine="0" w:firstLineChars="0"/>
              <w:jc w:val="center"/>
              <w:rPr>
                <w:rFonts w:cs="Times New Roman"/>
                <w:bCs/>
                <w:kern w:val="0"/>
                <w:sz w:val="18"/>
                <w:szCs w:val="18"/>
              </w:rPr>
            </w:pPr>
          </w:p>
        </w:tc>
      </w:tr>
      <w:tr w14:paraId="61D1BA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63E3D460">
            <w:pPr>
              <w:autoSpaceDE w:val="0"/>
              <w:autoSpaceDN w:val="0"/>
              <w:snapToGrid w:val="0"/>
              <w:spacing w:line="240" w:lineRule="auto"/>
              <w:ind w:firstLine="0" w:firstLineChars="0"/>
              <w:jc w:val="center"/>
              <w:rPr>
                <w:rFonts w:cs="Times New Roman"/>
                <w:bCs/>
                <w:kern w:val="0"/>
                <w:sz w:val="18"/>
                <w:szCs w:val="18"/>
              </w:rPr>
            </w:pPr>
          </w:p>
        </w:tc>
        <w:tc>
          <w:tcPr>
            <w:tcW w:w="231" w:type="pct"/>
            <w:vMerge w:val="continue"/>
            <w:vAlign w:val="center"/>
          </w:tcPr>
          <w:p w14:paraId="73B4BAA5">
            <w:pPr>
              <w:autoSpaceDE w:val="0"/>
              <w:autoSpaceDN w:val="0"/>
              <w:snapToGrid w:val="0"/>
              <w:spacing w:line="240" w:lineRule="auto"/>
              <w:ind w:firstLine="0" w:firstLineChars="0"/>
              <w:jc w:val="center"/>
              <w:rPr>
                <w:rFonts w:cs="Times New Roman"/>
                <w:bCs/>
                <w:kern w:val="0"/>
                <w:sz w:val="18"/>
                <w:szCs w:val="18"/>
              </w:rPr>
            </w:pPr>
          </w:p>
        </w:tc>
        <w:tc>
          <w:tcPr>
            <w:tcW w:w="199" w:type="pct"/>
            <w:vAlign w:val="center"/>
          </w:tcPr>
          <w:p w14:paraId="17FDC8D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42E3CF56">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417" w:type="pct"/>
            <w:vAlign w:val="center"/>
          </w:tcPr>
          <w:p w14:paraId="75DB845B">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2E687655">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生活垃圾及废旧包装袋交由环卫部门进行处理</w:t>
            </w:r>
          </w:p>
        </w:tc>
        <w:tc>
          <w:tcPr>
            <w:tcW w:w="671" w:type="pct"/>
            <w:vMerge w:val="continue"/>
            <w:vAlign w:val="center"/>
          </w:tcPr>
          <w:p w14:paraId="69B49F31">
            <w:pPr>
              <w:autoSpaceDE w:val="0"/>
              <w:autoSpaceDN w:val="0"/>
              <w:snapToGrid w:val="0"/>
              <w:spacing w:line="240" w:lineRule="auto"/>
              <w:ind w:firstLine="0" w:firstLineChars="0"/>
              <w:jc w:val="center"/>
              <w:rPr>
                <w:rFonts w:cs="Times New Roman"/>
                <w:bCs/>
                <w:kern w:val="0"/>
                <w:sz w:val="18"/>
                <w:szCs w:val="18"/>
              </w:rPr>
            </w:pPr>
          </w:p>
        </w:tc>
      </w:tr>
      <w:tr w14:paraId="5FAF1E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286E681B">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72</w:t>
            </w:r>
          </w:p>
          <w:p w14:paraId="748C1D7F">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4EA0349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湖南大合新材料有限公司</w:t>
            </w:r>
          </w:p>
        </w:tc>
        <w:tc>
          <w:tcPr>
            <w:tcW w:w="199" w:type="pct"/>
            <w:vAlign w:val="center"/>
          </w:tcPr>
          <w:p w14:paraId="24F1665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10091B8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pH、SS</w:t>
            </w:r>
            <w:r>
              <w:rPr>
                <w:rFonts w:cs="Times New Roman"/>
                <w:bCs/>
                <w:spacing w:val="-17"/>
                <w:kern w:val="0"/>
                <w:sz w:val="18"/>
                <w:szCs w:val="18"/>
              </w:rPr>
              <w:t>、</w:t>
            </w:r>
            <w:r>
              <w:rPr>
                <w:rFonts w:cs="Times New Roman"/>
                <w:bCs/>
                <w:kern w:val="0"/>
                <w:sz w:val="18"/>
                <w:szCs w:val="18"/>
              </w:rPr>
              <w:t>COD</w:t>
            </w:r>
            <w:r>
              <w:rPr>
                <w:rFonts w:cs="Times New Roman"/>
                <w:bCs/>
                <w:spacing w:val="-4"/>
                <w:kern w:val="0"/>
                <w:sz w:val="18"/>
                <w:szCs w:val="18"/>
              </w:rPr>
              <w:t>、</w:t>
            </w:r>
          </w:p>
        </w:tc>
        <w:tc>
          <w:tcPr>
            <w:tcW w:w="417" w:type="pct"/>
            <w:vAlign w:val="center"/>
          </w:tcPr>
          <w:p w14:paraId="6D5F485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30967t/a</w:t>
            </w:r>
          </w:p>
        </w:tc>
        <w:tc>
          <w:tcPr>
            <w:tcW w:w="2893" w:type="pct"/>
            <w:vAlign w:val="center"/>
          </w:tcPr>
          <w:p w14:paraId="2BB8F01E">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酸洗废水、酸雾吸收塔废水采用碳酸氢钠进行酸碱中和后，进入松木污水处理厂处理</w:t>
            </w:r>
            <w:r>
              <w:rPr>
                <w:rFonts w:cs="Times New Roman"/>
                <w:bCs/>
                <w:kern w:val="0"/>
                <w:sz w:val="18"/>
                <w:szCs w:val="18"/>
              </w:rPr>
              <w:t>；</w:t>
            </w:r>
          </w:p>
          <w:p w14:paraId="34F967EF">
            <w:pPr>
              <w:widowControl/>
              <w:snapToGrid w:val="0"/>
              <w:spacing w:line="240" w:lineRule="auto"/>
              <w:ind w:firstLine="0" w:firstLineChars="0"/>
              <w:jc w:val="center"/>
              <w:rPr>
                <w:rFonts w:cs="Times New Roman"/>
                <w:bCs/>
                <w:kern w:val="0"/>
                <w:sz w:val="18"/>
                <w:szCs w:val="18"/>
              </w:rPr>
            </w:pPr>
            <w:r>
              <w:rPr>
                <w:rFonts w:cs="Times New Roman"/>
                <w:bCs/>
                <w:spacing w:val="-5"/>
                <w:kern w:val="0"/>
                <w:sz w:val="18"/>
                <w:szCs w:val="18"/>
              </w:rPr>
              <w:t>生活废水经化粪池预处理后排入园区污水管网，进入松木污水处理厂处理，处理达标后排</w:t>
            </w:r>
          </w:p>
          <w:p w14:paraId="621223A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入湘江</w:t>
            </w:r>
          </w:p>
        </w:tc>
        <w:tc>
          <w:tcPr>
            <w:tcW w:w="671" w:type="pct"/>
            <w:vMerge w:val="restart"/>
            <w:vAlign w:val="center"/>
          </w:tcPr>
          <w:p w14:paraId="3D2CFF0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1D65D2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79" w:hRule="atLeast"/>
        </w:trPr>
        <w:tc>
          <w:tcPr>
            <w:tcW w:w="100" w:type="pct"/>
            <w:vMerge w:val="continue"/>
            <w:vAlign w:val="center"/>
          </w:tcPr>
          <w:p w14:paraId="1B50F952">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2F8D09C5">
            <w:pPr>
              <w:widowControl/>
              <w:snapToGrid w:val="0"/>
              <w:spacing w:line="240" w:lineRule="auto"/>
              <w:ind w:firstLine="0" w:firstLineChars="0"/>
              <w:jc w:val="center"/>
              <w:rPr>
                <w:rFonts w:cs="Times New Roman"/>
                <w:bCs/>
                <w:kern w:val="0"/>
                <w:sz w:val="18"/>
                <w:szCs w:val="18"/>
              </w:rPr>
            </w:pPr>
          </w:p>
        </w:tc>
        <w:tc>
          <w:tcPr>
            <w:tcW w:w="199" w:type="pct"/>
            <w:vAlign w:val="center"/>
          </w:tcPr>
          <w:p w14:paraId="4B4DF4B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3DDBF80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HCl、NOx、VOCs等</w:t>
            </w:r>
          </w:p>
        </w:tc>
        <w:tc>
          <w:tcPr>
            <w:tcW w:w="417" w:type="pct"/>
            <w:vAlign w:val="center"/>
          </w:tcPr>
          <w:p w14:paraId="307BF1E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2DDAF6CF">
            <w:pPr>
              <w:widowControl/>
              <w:snapToGrid w:val="0"/>
              <w:spacing w:line="240" w:lineRule="auto"/>
              <w:ind w:firstLine="0" w:firstLineChars="0"/>
              <w:jc w:val="center"/>
              <w:rPr>
                <w:rFonts w:cs="Times New Roman"/>
                <w:bCs/>
                <w:kern w:val="0"/>
                <w:sz w:val="18"/>
                <w:szCs w:val="18"/>
              </w:rPr>
            </w:pPr>
            <w:r>
              <w:rPr>
                <w:rFonts w:cs="Times New Roman"/>
                <w:kern w:val="0"/>
                <w:sz w:val="18"/>
                <w:szCs w:val="18"/>
              </w:rPr>
              <w:t>含HCl、硝酸、醋酸采用碱液喷淋吸收处理后达标排放；酒精废气通过喷淋处理后达标排放</w:t>
            </w:r>
          </w:p>
        </w:tc>
        <w:tc>
          <w:tcPr>
            <w:tcW w:w="671" w:type="pct"/>
            <w:vMerge w:val="continue"/>
            <w:vAlign w:val="center"/>
          </w:tcPr>
          <w:p w14:paraId="11A112BF">
            <w:pPr>
              <w:widowControl/>
              <w:snapToGrid w:val="0"/>
              <w:spacing w:line="240" w:lineRule="auto"/>
              <w:ind w:firstLine="0" w:firstLineChars="0"/>
              <w:jc w:val="center"/>
              <w:rPr>
                <w:rFonts w:cs="Times New Roman"/>
                <w:bCs/>
                <w:kern w:val="0"/>
                <w:sz w:val="18"/>
                <w:szCs w:val="18"/>
              </w:rPr>
            </w:pPr>
          </w:p>
        </w:tc>
      </w:tr>
      <w:tr w14:paraId="5DE845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1879A7F">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E0F70DD">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30AD606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5AA9716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0AD92BF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689t/a</w:t>
            </w:r>
          </w:p>
        </w:tc>
        <w:tc>
          <w:tcPr>
            <w:tcW w:w="2893" w:type="pct"/>
            <w:vMerge w:val="restart"/>
            <w:vAlign w:val="center"/>
          </w:tcPr>
          <w:p w14:paraId="6896E077">
            <w:pPr>
              <w:widowControl/>
              <w:snapToGrid w:val="0"/>
              <w:spacing w:line="240" w:lineRule="auto"/>
              <w:ind w:firstLine="0" w:firstLineChars="0"/>
              <w:jc w:val="center"/>
              <w:rPr>
                <w:rFonts w:cs="Times New Roman"/>
                <w:bCs/>
                <w:kern w:val="0"/>
                <w:sz w:val="18"/>
                <w:szCs w:val="18"/>
              </w:rPr>
            </w:pPr>
            <w:r>
              <w:rPr>
                <w:rFonts w:cs="Times New Roman"/>
                <w:bCs/>
                <w:spacing w:val="-3"/>
                <w:kern w:val="0"/>
                <w:sz w:val="18"/>
                <w:szCs w:val="18"/>
              </w:rPr>
              <w:t>废水处理站污泥经脱水后送至垃圾填埋场填埋、粉尘外售、废旧包装袋</w:t>
            </w:r>
            <w:r>
              <w:rPr>
                <w:rFonts w:cs="Times New Roman"/>
                <w:bCs/>
                <w:kern w:val="0"/>
                <w:sz w:val="18"/>
                <w:szCs w:val="18"/>
              </w:rPr>
              <w:t>/桶返回厂家利用；</w:t>
            </w:r>
          </w:p>
          <w:p w14:paraId="37C9F59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生活垃圾交由环卫部门处理，危险废物交由资质单位处理。</w:t>
            </w:r>
          </w:p>
        </w:tc>
        <w:tc>
          <w:tcPr>
            <w:tcW w:w="671" w:type="pct"/>
            <w:vMerge w:val="continue"/>
            <w:vAlign w:val="center"/>
          </w:tcPr>
          <w:p w14:paraId="59F1CDC2">
            <w:pPr>
              <w:widowControl/>
              <w:snapToGrid w:val="0"/>
              <w:spacing w:line="240" w:lineRule="auto"/>
              <w:ind w:firstLine="0" w:firstLineChars="0"/>
              <w:jc w:val="center"/>
              <w:rPr>
                <w:rFonts w:cs="Times New Roman"/>
                <w:bCs/>
                <w:kern w:val="0"/>
                <w:sz w:val="18"/>
                <w:szCs w:val="18"/>
              </w:rPr>
            </w:pPr>
          </w:p>
        </w:tc>
      </w:tr>
      <w:tr w14:paraId="2BA361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100" w:type="pct"/>
            <w:vMerge w:val="continue"/>
            <w:vAlign w:val="center"/>
          </w:tcPr>
          <w:p w14:paraId="108CF63D">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6F40259">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4D3661FA">
            <w:pPr>
              <w:widowControl/>
              <w:snapToGrid w:val="0"/>
              <w:spacing w:line="240" w:lineRule="auto"/>
              <w:ind w:firstLine="0" w:firstLineChars="0"/>
              <w:jc w:val="center"/>
              <w:rPr>
                <w:rFonts w:cs="Times New Roman"/>
                <w:bCs/>
                <w:kern w:val="0"/>
                <w:sz w:val="18"/>
                <w:szCs w:val="18"/>
              </w:rPr>
            </w:pPr>
          </w:p>
        </w:tc>
        <w:tc>
          <w:tcPr>
            <w:tcW w:w="485" w:type="pct"/>
            <w:vAlign w:val="center"/>
          </w:tcPr>
          <w:p w14:paraId="525279B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22DD918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3.236t/a</w:t>
            </w:r>
          </w:p>
        </w:tc>
        <w:tc>
          <w:tcPr>
            <w:tcW w:w="2893" w:type="pct"/>
            <w:vMerge w:val="continue"/>
            <w:vAlign w:val="center"/>
          </w:tcPr>
          <w:p w14:paraId="0F9132DE">
            <w:pPr>
              <w:widowControl/>
              <w:snapToGrid w:val="0"/>
              <w:spacing w:line="240" w:lineRule="auto"/>
              <w:ind w:firstLine="0" w:firstLineChars="0"/>
              <w:jc w:val="center"/>
              <w:rPr>
                <w:rFonts w:cs="Times New Roman"/>
                <w:bCs/>
                <w:kern w:val="0"/>
                <w:sz w:val="18"/>
                <w:szCs w:val="18"/>
              </w:rPr>
            </w:pPr>
          </w:p>
        </w:tc>
        <w:tc>
          <w:tcPr>
            <w:tcW w:w="671" w:type="pct"/>
            <w:vMerge w:val="continue"/>
            <w:vAlign w:val="center"/>
          </w:tcPr>
          <w:p w14:paraId="0FBEAAD5">
            <w:pPr>
              <w:widowControl/>
              <w:snapToGrid w:val="0"/>
              <w:spacing w:line="240" w:lineRule="auto"/>
              <w:ind w:firstLine="0" w:firstLineChars="0"/>
              <w:jc w:val="center"/>
              <w:rPr>
                <w:rFonts w:cs="Times New Roman"/>
                <w:bCs/>
                <w:kern w:val="0"/>
                <w:sz w:val="18"/>
                <w:szCs w:val="18"/>
              </w:rPr>
            </w:pPr>
          </w:p>
        </w:tc>
      </w:tr>
      <w:tr w14:paraId="744D7D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565C121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73</w:t>
            </w:r>
          </w:p>
          <w:p w14:paraId="5090DB36">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7FE85FB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湖南鸿业变压器有限公司</w:t>
            </w:r>
          </w:p>
        </w:tc>
        <w:tc>
          <w:tcPr>
            <w:tcW w:w="199" w:type="pct"/>
            <w:vAlign w:val="center"/>
          </w:tcPr>
          <w:p w14:paraId="17C0136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12D468C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COD、BOD</w:t>
            </w:r>
            <w:r>
              <w:rPr>
                <w:rFonts w:cs="Times New Roman"/>
                <w:bCs/>
                <w:kern w:val="0"/>
                <w:sz w:val="18"/>
                <w:szCs w:val="18"/>
                <w:vertAlign w:val="subscript"/>
              </w:rPr>
              <w:t>5</w:t>
            </w:r>
            <w:r>
              <w:rPr>
                <w:rFonts w:cs="Times New Roman"/>
                <w:bCs/>
                <w:kern w:val="0"/>
                <w:sz w:val="18"/>
                <w:szCs w:val="18"/>
              </w:rPr>
              <w:t>、氨氮</w:t>
            </w:r>
          </w:p>
        </w:tc>
        <w:tc>
          <w:tcPr>
            <w:tcW w:w="417" w:type="pct"/>
            <w:vAlign w:val="center"/>
          </w:tcPr>
          <w:p w14:paraId="12C8B19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1183.5t/a</w:t>
            </w:r>
          </w:p>
        </w:tc>
        <w:tc>
          <w:tcPr>
            <w:tcW w:w="2893" w:type="pct"/>
            <w:vAlign w:val="center"/>
          </w:tcPr>
          <w:p w14:paraId="770B49D5">
            <w:pPr>
              <w:widowControl/>
              <w:snapToGrid w:val="0"/>
              <w:spacing w:line="240" w:lineRule="auto"/>
              <w:ind w:firstLine="0" w:firstLineChars="0"/>
              <w:jc w:val="center"/>
              <w:rPr>
                <w:rFonts w:cs="Times New Roman"/>
                <w:bCs/>
                <w:spacing w:val="-3"/>
                <w:kern w:val="0"/>
                <w:sz w:val="18"/>
                <w:szCs w:val="18"/>
              </w:rPr>
            </w:pPr>
            <w:r>
              <w:rPr>
                <w:rFonts w:cs="Times New Roman"/>
                <w:bCs/>
                <w:spacing w:val="-3"/>
                <w:kern w:val="0"/>
                <w:sz w:val="18"/>
                <w:szCs w:val="18"/>
              </w:rPr>
              <w:t>生活污水经化粪池处理后排入松木污水处理厂处理</w:t>
            </w:r>
          </w:p>
        </w:tc>
        <w:tc>
          <w:tcPr>
            <w:tcW w:w="671" w:type="pct"/>
            <w:vMerge w:val="restart"/>
            <w:vAlign w:val="center"/>
          </w:tcPr>
          <w:p w14:paraId="36B4748F">
            <w:pPr>
              <w:widowControl/>
              <w:snapToGrid w:val="0"/>
              <w:spacing w:line="240" w:lineRule="auto"/>
              <w:ind w:firstLine="0" w:firstLineChars="0"/>
              <w:jc w:val="center"/>
              <w:rPr>
                <w:rFonts w:cs="Times New Roman"/>
                <w:bCs/>
                <w:spacing w:val="-3"/>
                <w:kern w:val="0"/>
                <w:sz w:val="18"/>
                <w:szCs w:val="18"/>
              </w:rPr>
            </w:pPr>
            <w:r>
              <w:rPr>
                <w:rFonts w:cs="Times New Roman"/>
                <w:bCs/>
                <w:spacing w:val="-3"/>
                <w:kern w:val="0"/>
                <w:sz w:val="18"/>
                <w:szCs w:val="18"/>
              </w:rPr>
              <w:t>/</w:t>
            </w:r>
          </w:p>
        </w:tc>
      </w:tr>
      <w:tr w14:paraId="65A2B4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A14B6C2">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7F77F31">
            <w:pPr>
              <w:widowControl/>
              <w:snapToGrid w:val="0"/>
              <w:spacing w:line="240" w:lineRule="auto"/>
              <w:ind w:firstLine="0" w:firstLineChars="0"/>
              <w:jc w:val="center"/>
              <w:rPr>
                <w:rFonts w:cs="Times New Roman"/>
                <w:bCs/>
                <w:kern w:val="0"/>
                <w:sz w:val="18"/>
                <w:szCs w:val="18"/>
              </w:rPr>
            </w:pPr>
          </w:p>
        </w:tc>
        <w:tc>
          <w:tcPr>
            <w:tcW w:w="199" w:type="pct"/>
            <w:vAlign w:val="center"/>
          </w:tcPr>
          <w:p w14:paraId="20DB60B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49AD69B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油烟</w:t>
            </w:r>
          </w:p>
        </w:tc>
        <w:tc>
          <w:tcPr>
            <w:tcW w:w="417" w:type="pct"/>
            <w:vAlign w:val="center"/>
          </w:tcPr>
          <w:p w14:paraId="69E0571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0611BF58">
            <w:pPr>
              <w:widowControl/>
              <w:snapToGrid w:val="0"/>
              <w:spacing w:line="240" w:lineRule="auto"/>
              <w:ind w:firstLine="0" w:firstLineChars="0"/>
              <w:jc w:val="center"/>
              <w:rPr>
                <w:rFonts w:cs="Times New Roman"/>
                <w:kern w:val="0"/>
                <w:sz w:val="18"/>
                <w:szCs w:val="18"/>
              </w:rPr>
            </w:pPr>
            <w:r>
              <w:rPr>
                <w:rFonts w:cs="Times New Roman"/>
                <w:kern w:val="0"/>
                <w:sz w:val="18"/>
                <w:szCs w:val="18"/>
              </w:rPr>
              <w:t>废气主要来源于烘干和焊接工序产生的少量的废气，呈无组织排放；</w:t>
            </w:r>
          </w:p>
          <w:p w14:paraId="3CF2A477">
            <w:pPr>
              <w:widowControl/>
              <w:snapToGrid w:val="0"/>
              <w:spacing w:line="240" w:lineRule="auto"/>
              <w:ind w:firstLine="0" w:firstLineChars="0"/>
              <w:jc w:val="center"/>
              <w:rPr>
                <w:rFonts w:cs="Times New Roman"/>
                <w:bCs/>
                <w:spacing w:val="-3"/>
                <w:kern w:val="0"/>
                <w:sz w:val="18"/>
                <w:szCs w:val="18"/>
              </w:rPr>
            </w:pPr>
            <w:r>
              <w:rPr>
                <w:rFonts w:cs="Times New Roman"/>
                <w:bCs/>
                <w:spacing w:val="-3"/>
                <w:kern w:val="0"/>
                <w:sz w:val="18"/>
                <w:szCs w:val="18"/>
              </w:rPr>
              <w:t>食堂油烟经油烟净化器进行净化后引至食堂楼顶排放。</w:t>
            </w:r>
          </w:p>
        </w:tc>
        <w:tc>
          <w:tcPr>
            <w:tcW w:w="671" w:type="pct"/>
            <w:vMerge w:val="continue"/>
            <w:vAlign w:val="center"/>
          </w:tcPr>
          <w:p w14:paraId="3F6D7B77">
            <w:pPr>
              <w:widowControl/>
              <w:snapToGrid w:val="0"/>
              <w:spacing w:line="240" w:lineRule="auto"/>
              <w:ind w:firstLine="0" w:firstLineChars="0"/>
              <w:jc w:val="center"/>
              <w:rPr>
                <w:rFonts w:cs="Times New Roman"/>
                <w:bCs/>
                <w:spacing w:val="-3"/>
                <w:kern w:val="0"/>
                <w:sz w:val="18"/>
                <w:szCs w:val="18"/>
              </w:rPr>
            </w:pPr>
          </w:p>
        </w:tc>
      </w:tr>
      <w:tr w14:paraId="7D57E6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42932D0">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1FCBDD97">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207A654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11843FB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2C62F47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12.3t/a</w:t>
            </w:r>
          </w:p>
        </w:tc>
        <w:tc>
          <w:tcPr>
            <w:tcW w:w="2893" w:type="pct"/>
            <w:vMerge w:val="restart"/>
            <w:vAlign w:val="center"/>
          </w:tcPr>
          <w:p w14:paraId="3C7EE6E8">
            <w:pPr>
              <w:widowControl/>
              <w:snapToGrid w:val="0"/>
              <w:spacing w:line="240" w:lineRule="auto"/>
              <w:ind w:firstLine="0" w:firstLineChars="0"/>
              <w:jc w:val="center"/>
              <w:rPr>
                <w:rFonts w:cs="Times New Roman"/>
                <w:bCs/>
                <w:spacing w:val="-3"/>
                <w:kern w:val="0"/>
                <w:sz w:val="18"/>
                <w:szCs w:val="18"/>
              </w:rPr>
            </w:pPr>
            <w:r>
              <w:rPr>
                <w:rFonts w:cs="Times New Roman"/>
                <w:bCs/>
                <w:spacing w:val="-3"/>
                <w:kern w:val="0"/>
                <w:sz w:val="18"/>
                <w:szCs w:val="18"/>
              </w:rPr>
              <w:t>废变压器油、废油渣等由有资质单位处理；硅钢片剪切边角料、绝缘板材边角料等由生产厂家回收；废包装材料作为废品出售；生活垃圾经收集后由环卫部门处理。</w:t>
            </w:r>
          </w:p>
        </w:tc>
        <w:tc>
          <w:tcPr>
            <w:tcW w:w="671" w:type="pct"/>
            <w:vMerge w:val="continue"/>
            <w:vAlign w:val="center"/>
          </w:tcPr>
          <w:p w14:paraId="6EF86D8C">
            <w:pPr>
              <w:widowControl/>
              <w:snapToGrid w:val="0"/>
              <w:spacing w:line="240" w:lineRule="auto"/>
              <w:ind w:firstLine="0" w:firstLineChars="0"/>
              <w:jc w:val="center"/>
              <w:rPr>
                <w:rFonts w:cs="Times New Roman"/>
                <w:bCs/>
                <w:spacing w:val="-3"/>
                <w:kern w:val="0"/>
                <w:sz w:val="18"/>
                <w:szCs w:val="18"/>
              </w:rPr>
            </w:pPr>
          </w:p>
        </w:tc>
      </w:tr>
      <w:tr w14:paraId="654962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BA6D8E2">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80008D8">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23E2C549">
            <w:pPr>
              <w:widowControl/>
              <w:snapToGrid w:val="0"/>
              <w:spacing w:line="240" w:lineRule="auto"/>
              <w:ind w:firstLine="0" w:firstLineChars="0"/>
              <w:jc w:val="center"/>
              <w:rPr>
                <w:rFonts w:cs="Times New Roman"/>
                <w:bCs/>
                <w:kern w:val="0"/>
                <w:sz w:val="18"/>
                <w:szCs w:val="18"/>
              </w:rPr>
            </w:pPr>
          </w:p>
        </w:tc>
        <w:tc>
          <w:tcPr>
            <w:tcW w:w="485" w:type="pct"/>
            <w:vAlign w:val="center"/>
          </w:tcPr>
          <w:p w14:paraId="0E4C6D1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3334959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3.2t/a</w:t>
            </w:r>
          </w:p>
        </w:tc>
        <w:tc>
          <w:tcPr>
            <w:tcW w:w="2893" w:type="pct"/>
            <w:vMerge w:val="continue"/>
            <w:vAlign w:val="center"/>
          </w:tcPr>
          <w:p w14:paraId="61380352">
            <w:pPr>
              <w:autoSpaceDE w:val="0"/>
              <w:autoSpaceDN w:val="0"/>
              <w:snapToGrid w:val="0"/>
              <w:spacing w:line="240" w:lineRule="auto"/>
              <w:ind w:firstLine="0" w:firstLineChars="0"/>
              <w:jc w:val="center"/>
              <w:rPr>
                <w:rFonts w:cs="Times New Roman"/>
                <w:bCs/>
                <w:kern w:val="0"/>
                <w:sz w:val="18"/>
                <w:szCs w:val="18"/>
              </w:rPr>
            </w:pPr>
          </w:p>
        </w:tc>
        <w:tc>
          <w:tcPr>
            <w:tcW w:w="671" w:type="pct"/>
            <w:vMerge w:val="continue"/>
            <w:vAlign w:val="center"/>
          </w:tcPr>
          <w:p w14:paraId="4B8E1943">
            <w:pPr>
              <w:autoSpaceDE w:val="0"/>
              <w:autoSpaceDN w:val="0"/>
              <w:snapToGrid w:val="0"/>
              <w:spacing w:line="240" w:lineRule="auto"/>
              <w:ind w:firstLine="0" w:firstLineChars="0"/>
              <w:jc w:val="center"/>
              <w:rPr>
                <w:rFonts w:cs="Times New Roman"/>
                <w:bCs/>
                <w:kern w:val="0"/>
                <w:sz w:val="18"/>
                <w:szCs w:val="18"/>
              </w:rPr>
            </w:pPr>
          </w:p>
        </w:tc>
      </w:tr>
      <w:tr w14:paraId="5AEAF7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120ABE6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74</w:t>
            </w:r>
          </w:p>
          <w:p w14:paraId="046795A8">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1E241DE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 xml:space="preserve">衡阳市 </w:t>
            </w:r>
            <w:r>
              <w:rPr>
                <w:rFonts w:cs="Times New Roman"/>
                <w:bCs/>
                <w:spacing w:val="-5"/>
                <w:kern w:val="0"/>
                <w:sz w:val="18"/>
                <w:szCs w:val="18"/>
              </w:rPr>
              <w:t>大成洗涤科技有限责任公司</w:t>
            </w:r>
          </w:p>
        </w:tc>
        <w:tc>
          <w:tcPr>
            <w:tcW w:w="199" w:type="pct"/>
            <w:vAlign w:val="center"/>
          </w:tcPr>
          <w:p w14:paraId="44F9A51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4D133EA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COD、BOD</w:t>
            </w:r>
            <w:r>
              <w:rPr>
                <w:rFonts w:cs="Times New Roman"/>
                <w:bCs/>
                <w:kern w:val="0"/>
                <w:sz w:val="18"/>
                <w:szCs w:val="18"/>
                <w:vertAlign w:val="subscript"/>
              </w:rPr>
              <w:t>5</w:t>
            </w:r>
            <w:r>
              <w:rPr>
                <w:rFonts w:cs="Times New Roman"/>
                <w:bCs/>
                <w:kern w:val="0"/>
                <w:sz w:val="18"/>
                <w:szCs w:val="18"/>
              </w:rPr>
              <w:t>、SS、</w:t>
            </w:r>
          </w:p>
          <w:p w14:paraId="7872A30F">
            <w:pPr>
              <w:widowControl/>
              <w:snapToGrid w:val="0"/>
              <w:spacing w:line="240" w:lineRule="auto"/>
              <w:ind w:firstLine="0" w:firstLineChars="0"/>
              <w:jc w:val="center"/>
              <w:rPr>
                <w:rFonts w:cs="Times New Roman"/>
                <w:bCs/>
                <w:kern w:val="0"/>
                <w:sz w:val="18"/>
                <w:szCs w:val="18"/>
              </w:rPr>
            </w:pPr>
            <w:r>
              <w:rPr>
                <w:rFonts w:cs="Times New Roman"/>
                <w:bCs/>
                <w:spacing w:val="-15"/>
                <w:kern w:val="0"/>
                <w:sz w:val="18"/>
                <w:szCs w:val="18"/>
              </w:rPr>
              <w:t>氨氮、阴离子表面活</w:t>
            </w:r>
            <w:r>
              <w:rPr>
                <w:rFonts w:cs="Times New Roman"/>
                <w:bCs/>
                <w:kern w:val="0"/>
                <w:sz w:val="18"/>
                <w:szCs w:val="18"/>
              </w:rPr>
              <w:t>性剂</w:t>
            </w:r>
          </w:p>
        </w:tc>
        <w:tc>
          <w:tcPr>
            <w:tcW w:w="417" w:type="pct"/>
            <w:vAlign w:val="center"/>
          </w:tcPr>
          <w:p w14:paraId="1E86384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5841t/a</w:t>
            </w:r>
          </w:p>
        </w:tc>
        <w:tc>
          <w:tcPr>
            <w:tcW w:w="2893" w:type="pct"/>
            <w:vAlign w:val="center"/>
          </w:tcPr>
          <w:p w14:paraId="45AFD3C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布草清洗废水经自建污水处理厂（处理工艺为接触氧化+絮凝沉淀+过滤）</w:t>
            </w:r>
            <w:r>
              <w:rPr>
                <w:rFonts w:cs="Times New Roman"/>
                <w:bCs/>
                <w:spacing w:val="2"/>
                <w:kern w:val="0"/>
                <w:sz w:val="18"/>
                <w:szCs w:val="18"/>
              </w:rPr>
              <w:t xml:space="preserve">处理后 </w:t>
            </w:r>
            <w:r>
              <w:rPr>
                <w:rFonts w:cs="Times New Roman"/>
                <w:bCs/>
                <w:kern w:val="0"/>
                <w:sz w:val="18"/>
                <w:szCs w:val="18"/>
              </w:rPr>
              <w:t>60</w:t>
            </w:r>
            <w:r>
              <w:rPr>
                <w:rFonts w:cs="Times New Roman"/>
                <w:bCs/>
                <w:spacing w:val="-3"/>
                <w:kern w:val="0"/>
                <w:sz w:val="18"/>
                <w:szCs w:val="18"/>
              </w:rPr>
              <w:t>%的废水回用于洗涤工序，其余外排至经开区污水管网后进入松木污水处理厂处理；</w:t>
            </w:r>
          </w:p>
          <w:p w14:paraId="61C7C47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生活污水经化粪池处理后排入松木污水处理厂处理。</w:t>
            </w:r>
          </w:p>
        </w:tc>
        <w:tc>
          <w:tcPr>
            <w:tcW w:w="671" w:type="pct"/>
            <w:vAlign w:val="center"/>
          </w:tcPr>
          <w:p w14:paraId="271500FC">
            <w:pPr>
              <w:widowControl/>
              <w:snapToGrid w:val="0"/>
              <w:spacing w:line="240" w:lineRule="auto"/>
              <w:ind w:firstLine="0" w:firstLineChars="0"/>
              <w:jc w:val="center"/>
              <w:rPr>
                <w:rFonts w:cs="Times New Roman"/>
                <w:bCs/>
                <w:kern w:val="0"/>
                <w:sz w:val="18"/>
                <w:szCs w:val="18"/>
              </w:rPr>
            </w:pPr>
          </w:p>
        </w:tc>
      </w:tr>
      <w:tr w14:paraId="04FEF7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7F0B8296">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3A59AF5">
            <w:pPr>
              <w:widowControl/>
              <w:snapToGrid w:val="0"/>
              <w:spacing w:line="240" w:lineRule="auto"/>
              <w:ind w:firstLine="0" w:firstLineChars="0"/>
              <w:jc w:val="center"/>
              <w:rPr>
                <w:rFonts w:cs="Times New Roman"/>
                <w:bCs/>
                <w:kern w:val="0"/>
                <w:sz w:val="18"/>
                <w:szCs w:val="18"/>
              </w:rPr>
            </w:pPr>
          </w:p>
        </w:tc>
        <w:tc>
          <w:tcPr>
            <w:tcW w:w="199" w:type="pct"/>
            <w:vAlign w:val="center"/>
          </w:tcPr>
          <w:p w14:paraId="454980D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7407B9D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油烟</w:t>
            </w:r>
          </w:p>
        </w:tc>
        <w:tc>
          <w:tcPr>
            <w:tcW w:w="417" w:type="pct"/>
            <w:vAlign w:val="center"/>
          </w:tcPr>
          <w:p w14:paraId="33FE22F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28E9C67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食堂油烟经油烟净化器进行净化后引至食堂楼顶排放。</w:t>
            </w:r>
          </w:p>
        </w:tc>
        <w:tc>
          <w:tcPr>
            <w:tcW w:w="671" w:type="pct"/>
            <w:vAlign w:val="center"/>
          </w:tcPr>
          <w:p w14:paraId="768A2F68">
            <w:pPr>
              <w:widowControl/>
              <w:snapToGrid w:val="0"/>
              <w:spacing w:line="240" w:lineRule="auto"/>
              <w:ind w:firstLine="0" w:firstLineChars="0"/>
              <w:jc w:val="center"/>
              <w:rPr>
                <w:rFonts w:cs="Times New Roman"/>
                <w:bCs/>
                <w:kern w:val="0"/>
                <w:sz w:val="18"/>
                <w:szCs w:val="18"/>
              </w:rPr>
            </w:pPr>
          </w:p>
        </w:tc>
      </w:tr>
      <w:tr w14:paraId="7F5E20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183A3D46">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7498811">
            <w:pPr>
              <w:widowControl/>
              <w:snapToGrid w:val="0"/>
              <w:spacing w:line="240" w:lineRule="auto"/>
              <w:ind w:firstLine="0" w:firstLineChars="0"/>
              <w:jc w:val="center"/>
              <w:rPr>
                <w:rFonts w:cs="Times New Roman"/>
                <w:bCs/>
                <w:kern w:val="0"/>
                <w:sz w:val="18"/>
                <w:szCs w:val="18"/>
              </w:rPr>
            </w:pPr>
          </w:p>
        </w:tc>
        <w:tc>
          <w:tcPr>
            <w:tcW w:w="199" w:type="pct"/>
            <w:vAlign w:val="center"/>
          </w:tcPr>
          <w:p w14:paraId="3823216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24C4222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17A8D32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68t/a</w:t>
            </w:r>
          </w:p>
        </w:tc>
        <w:tc>
          <w:tcPr>
            <w:tcW w:w="2893" w:type="pct"/>
            <w:vAlign w:val="center"/>
          </w:tcPr>
          <w:p w14:paraId="07B5806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污水处理站污泥经板框压滤后运至填埋场处置； 废包装材料交物资回收部门回收利用；烘干纤维、生活垃圾经收集后交由环卫部门处置。</w:t>
            </w:r>
          </w:p>
        </w:tc>
        <w:tc>
          <w:tcPr>
            <w:tcW w:w="671" w:type="pct"/>
            <w:vAlign w:val="center"/>
          </w:tcPr>
          <w:p w14:paraId="29A58F78">
            <w:pPr>
              <w:widowControl/>
              <w:snapToGrid w:val="0"/>
              <w:spacing w:line="240" w:lineRule="auto"/>
              <w:ind w:firstLine="0" w:firstLineChars="0"/>
              <w:jc w:val="center"/>
              <w:rPr>
                <w:rFonts w:cs="Times New Roman"/>
                <w:bCs/>
                <w:kern w:val="0"/>
                <w:sz w:val="18"/>
                <w:szCs w:val="18"/>
              </w:rPr>
            </w:pPr>
          </w:p>
        </w:tc>
      </w:tr>
      <w:tr w14:paraId="2A0A86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29D1D41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75</w:t>
            </w:r>
          </w:p>
          <w:p w14:paraId="7AF6C9C3">
            <w:pPr>
              <w:widowControl/>
              <w:snapToGrid w:val="0"/>
              <w:spacing w:line="240" w:lineRule="auto"/>
              <w:ind w:firstLine="0" w:firstLineChars="0"/>
              <w:jc w:val="center"/>
              <w:rPr>
                <w:rFonts w:cs="Times New Roman"/>
                <w:bCs/>
                <w:spacing w:val="-5"/>
                <w:kern w:val="0"/>
                <w:sz w:val="18"/>
                <w:szCs w:val="18"/>
              </w:rPr>
            </w:pPr>
          </w:p>
        </w:tc>
        <w:tc>
          <w:tcPr>
            <w:tcW w:w="231" w:type="pct"/>
            <w:vMerge w:val="restart"/>
            <w:vAlign w:val="center"/>
          </w:tcPr>
          <w:p w14:paraId="0448F825">
            <w:pPr>
              <w:widowControl/>
              <w:snapToGrid w:val="0"/>
              <w:spacing w:line="240" w:lineRule="auto"/>
              <w:ind w:firstLine="0" w:firstLineChars="0"/>
              <w:jc w:val="center"/>
              <w:rPr>
                <w:rFonts w:cs="Times New Roman"/>
                <w:bCs/>
                <w:spacing w:val="-5"/>
                <w:kern w:val="0"/>
                <w:sz w:val="18"/>
                <w:szCs w:val="18"/>
              </w:rPr>
            </w:pPr>
            <w:r>
              <w:rPr>
                <w:rFonts w:cs="Times New Roman"/>
                <w:bCs/>
                <w:spacing w:val="-5"/>
                <w:kern w:val="0"/>
                <w:sz w:val="18"/>
                <w:szCs w:val="18"/>
              </w:rPr>
              <w:t>湖南金化科技集团有限公司</w:t>
            </w:r>
          </w:p>
          <w:p w14:paraId="7C8A8F3A">
            <w:pPr>
              <w:widowControl/>
              <w:snapToGrid w:val="0"/>
              <w:spacing w:line="240" w:lineRule="auto"/>
              <w:ind w:firstLine="0" w:firstLineChars="0"/>
              <w:jc w:val="center"/>
              <w:rPr>
                <w:rFonts w:cs="Times New Roman"/>
                <w:bCs/>
                <w:spacing w:val="-5"/>
                <w:kern w:val="0"/>
                <w:sz w:val="18"/>
                <w:szCs w:val="18"/>
              </w:rPr>
            </w:pPr>
          </w:p>
        </w:tc>
        <w:tc>
          <w:tcPr>
            <w:tcW w:w="199" w:type="pct"/>
            <w:vAlign w:val="center"/>
          </w:tcPr>
          <w:p w14:paraId="3424B9AD">
            <w:pPr>
              <w:widowControl/>
              <w:snapToGrid w:val="0"/>
              <w:spacing w:line="240" w:lineRule="auto"/>
              <w:ind w:firstLine="0" w:firstLineChars="0"/>
              <w:jc w:val="center"/>
              <w:rPr>
                <w:rFonts w:cs="Times New Roman"/>
                <w:bCs/>
                <w:spacing w:val="-5"/>
                <w:kern w:val="0"/>
                <w:sz w:val="18"/>
                <w:szCs w:val="18"/>
              </w:rPr>
            </w:pPr>
            <w:r>
              <w:rPr>
                <w:rFonts w:cs="Times New Roman"/>
                <w:bCs/>
                <w:spacing w:val="-5"/>
                <w:kern w:val="0"/>
                <w:sz w:val="18"/>
                <w:szCs w:val="18"/>
              </w:rPr>
              <w:t>废水</w:t>
            </w:r>
          </w:p>
        </w:tc>
        <w:tc>
          <w:tcPr>
            <w:tcW w:w="485" w:type="pct"/>
            <w:vAlign w:val="center"/>
          </w:tcPr>
          <w:p w14:paraId="57C66475">
            <w:pPr>
              <w:widowControl/>
              <w:snapToGrid w:val="0"/>
              <w:spacing w:line="240" w:lineRule="auto"/>
              <w:ind w:firstLine="0" w:firstLineChars="0"/>
              <w:jc w:val="center"/>
              <w:rPr>
                <w:rFonts w:cs="Times New Roman"/>
                <w:bCs/>
                <w:spacing w:val="-5"/>
                <w:kern w:val="0"/>
                <w:sz w:val="18"/>
                <w:szCs w:val="18"/>
              </w:rPr>
            </w:pPr>
            <w:r>
              <w:rPr>
                <w:rFonts w:cs="Times New Roman"/>
                <w:bCs/>
                <w:spacing w:val="-5"/>
                <w:kern w:val="0"/>
                <w:sz w:val="18"/>
                <w:szCs w:val="18"/>
              </w:rPr>
              <w:t>COD、SS、BOD5、NH3-N</w:t>
            </w:r>
          </w:p>
        </w:tc>
        <w:tc>
          <w:tcPr>
            <w:tcW w:w="417" w:type="pct"/>
            <w:vAlign w:val="center"/>
          </w:tcPr>
          <w:p w14:paraId="3DC245DA">
            <w:pPr>
              <w:widowControl/>
              <w:snapToGrid w:val="0"/>
              <w:spacing w:line="240" w:lineRule="auto"/>
              <w:ind w:firstLine="0" w:firstLineChars="0"/>
              <w:jc w:val="center"/>
              <w:rPr>
                <w:rFonts w:cs="Times New Roman"/>
                <w:bCs/>
                <w:spacing w:val="-5"/>
                <w:kern w:val="0"/>
                <w:sz w:val="18"/>
                <w:szCs w:val="18"/>
              </w:rPr>
            </w:pPr>
            <w:r>
              <w:rPr>
                <w:rFonts w:cs="Times New Roman"/>
                <w:bCs/>
                <w:spacing w:val="-5"/>
                <w:kern w:val="0"/>
                <w:sz w:val="18"/>
                <w:szCs w:val="18"/>
              </w:rPr>
              <w:t>/</w:t>
            </w:r>
          </w:p>
        </w:tc>
        <w:tc>
          <w:tcPr>
            <w:tcW w:w="2893" w:type="pct"/>
            <w:vAlign w:val="center"/>
          </w:tcPr>
          <w:p w14:paraId="6646B38C">
            <w:pPr>
              <w:widowControl/>
              <w:snapToGrid w:val="0"/>
              <w:spacing w:line="240" w:lineRule="auto"/>
              <w:ind w:firstLine="0" w:firstLineChars="0"/>
              <w:jc w:val="center"/>
              <w:rPr>
                <w:rFonts w:cs="Times New Roman"/>
                <w:bCs/>
                <w:spacing w:val="-5"/>
                <w:kern w:val="0"/>
                <w:sz w:val="18"/>
                <w:szCs w:val="18"/>
              </w:rPr>
            </w:pPr>
            <w:r>
              <w:rPr>
                <w:rFonts w:cs="Times New Roman"/>
                <w:bCs/>
                <w:spacing w:val="-5"/>
                <w:kern w:val="0"/>
                <w:sz w:val="18"/>
                <w:szCs w:val="18"/>
              </w:rPr>
              <w:t>生活污水经化粪池预处理后经经开区污水管网进入松木污水处理厂进行处理</w:t>
            </w:r>
          </w:p>
        </w:tc>
        <w:tc>
          <w:tcPr>
            <w:tcW w:w="671" w:type="pct"/>
            <w:vMerge w:val="restart"/>
            <w:vAlign w:val="center"/>
          </w:tcPr>
          <w:p w14:paraId="1BC2DE7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3E6065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723F4436">
            <w:pPr>
              <w:widowControl/>
              <w:snapToGrid w:val="0"/>
              <w:spacing w:line="240" w:lineRule="auto"/>
              <w:ind w:firstLine="0" w:firstLineChars="0"/>
              <w:jc w:val="center"/>
              <w:rPr>
                <w:rFonts w:cs="Times New Roman"/>
                <w:bCs/>
                <w:spacing w:val="-5"/>
                <w:kern w:val="0"/>
                <w:sz w:val="18"/>
                <w:szCs w:val="18"/>
              </w:rPr>
            </w:pPr>
          </w:p>
        </w:tc>
        <w:tc>
          <w:tcPr>
            <w:tcW w:w="231" w:type="pct"/>
            <w:vMerge w:val="continue"/>
            <w:vAlign w:val="center"/>
          </w:tcPr>
          <w:p w14:paraId="3894D161">
            <w:pPr>
              <w:widowControl/>
              <w:snapToGrid w:val="0"/>
              <w:spacing w:line="240" w:lineRule="auto"/>
              <w:ind w:firstLine="0" w:firstLineChars="0"/>
              <w:jc w:val="center"/>
              <w:rPr>
                <w:rFonts w:cs="Times New Roman"/>
                <w:bCs/>
                <w:spacing w:val="-5"/>
                <w:kern w:val="0"/>
                <w:sz w:val="18"/>
                <w:szCs w:val="18"/>
              </w:rPr>
            </w:pPr>
          </w:p>
        </w:tc>
        <w:tc>
          <w:tcPr>
            <w:tcW w:w="199" w:type="pct"/>
            <w:vAlign w:val="center"/>
          </w:tcPr>
          <w:p w14:paraId="61EBDE9A">
            <w:pPr>
              <w:widowControl/>
              <w:snapToGrid w:val="0"/>
              <w:spacing w:line="240" w:lineRule="auto"/>
              <w:ind w:firstLine="0" w:firstLineChars="0"/>
              <w:jc w:val="center"/>
              <w:rPr>
                <w:rFonts w:cs="Times New Roman"/>
                <w:bCs/>
                <w:spacing w:val="-5"/>
                <w:kern w:val="0"/>
                <w:sz w:val="18"/>
                <w:szCs w:val="18"/>
              </w:rPr>
            </w:pPr>
            <w:r>
              <w:rPr>
                <w:rFonts w:cs="Times New Roman"/>
                <w:bCs/>
                <w:spacing w:val="-5"/>
                <w:kern w:val="0"/>
                <w:sz w:val="18"/>
                <w:szCs w:val="18"/>
              </w:rPr>
              <w:t>废气</w:t>
            </w:r>
          </w:p>
        </w:tc>
        <w:tc>
          <w:tcPr>
            <w:tcW w:w="485" w:type="pct"/>
            <w:vAlign w:val="center"/>
          </w:tcPr>
          <w:p w14:paraId="77190E04">
            <w:pPr>
              <w:widowControl/>
              <w:snapToGrid w:val="0"/>
              <w:spacing w:line="240" w:lineRule="auto"/>
              <w:ind w:firstLine="0" w:firstLineChars="0"/>
              <w:jc w:val="center"/>
              <w:rPr>
                <w:rFonts w:cs="Times New Roman"/>
                <w:bCs/>
                <w:spacing w:val="-5"/>
                <w:kern w:val="0"/>
                <w:sz w:val="18"/>
                <w:szCs w:val="18"/>
              </w:rPr>
            </w:pPr>
            <w:r>
              <w:rPr>
                <w:rFonts w:cs="Times New Roman"/>
                <w:bCs/>
                <w:spacing w:val="-5"/>
                <w:kern w:val="0"/>
                <w:sz w:val="18"/>
                <w:szCs w:val="18"/>
              </w:rPr>
              <w:t>粉尘</w:t>
            </w:r>
          </w:p>
        </w:tc>
        <w:tc>
          <w:tcPr>
            <w:tcW w:w="417" w:type="pct"/>
            <w:vAlign w:val="center"/>
          </w:tcPr>
          <w:p w14:paraId="1C2B044A">
            <w:pPr>
              <w:widowControl/>
              <w:snapToGrid w:val="0"/>
              <w:spacing w:line="240" w:lineRule="auto"/>
              <w:ind w:firstLine="0" w:firstLineChars="0"/>
              <w:jc w:val="center"/>
              <w:rPr>
                <w:rFonts w:cs="Times New Roman"/>
                <w:bCs/>
                <w:spacing w:val="-5"/>
                <w:kern w:val="0"/>
                <w:sz w:val="18"/>
                <w:szCs w:val="18"/>
              </w:rPr>
            </w:pPr>
            <w:r>
              <w:rPr>
                <w:rFonts w:cs="Times New Roman"/>
                <w:bCs/>
                <w:spacing w:val="-5"/>
                <w:kern w:val="0"/>
                <w:sz w:val="18"/>
                <w:szCs w:val="18"/>
              </w:rPr>
              <w:t>/</w:t>
            </w:r>
          </w:p>
        </w:tc>
        <w:tc>
          <w:tcPr>
            <w:tcW w:w="2893" w:type="pct"/>
            <w:vAlign w:val="center"/>
          </w:tcPr>
          <w:p w14:paraId="2CF4E4EA">
            <w:pPr>
              <w:widowControl/>
              <w:snapToGrid w:val="0"/>
              <w:spacing w:line="240" w:lineRule="auto"/>
              <w:ind w:firstLine="0" w:firstLineChars="0"/>
              <w:jc w:val="center"/>
              <w:rPr>
                <w:rFonts w:cs="Times New Roman"/>
                <w:bCs/>
                <w:spacing w:val="-5"/>
                <w:kern w:val="0"/>
                <w:sz w:val="18"/>
                <w:szCs w:val="18"/>
              </w:rPr>
            </w:pPr>
            <w:r>
              <w:rPr>
                <w:rFonts w:cs="Times New Roman"/>
                <w:bCs/>
                <w:spacing w:val="-5"/>
                <w:kern w:val="0"/>
                <w:sz w:val="18"/>
                <w:szCs w:val="18"/>
              </w:rPr>
              <w:t>粉尘经布袋除尘器处理后排放</w:t>
            </w:r>
          </w:p>
        </w:tc>
        <w:tc>
          <w:tcPr>
            <w:tcW w:w="671" w:type="pct"/>
            <w:vMerge w:val="continue"/>
            <w:vAlign w:val="center"/>
          </w:tcPr>
          <w:p w14:paraId="5F0175A8">
            <w:pPr>
              <w:widowControl/>
              <w:snapToGrid w:val="0"/>
              <w:spacing w:line="240" w:lineRule="auto"/>
              <w:ind w:firstLine="0" w:firstLineChars="0"/>
              <w:jc w:val="center"/>
              <w:rPr>
                <w:rFonts w:cs="Times New Roman"/>
                <w:bCs/>
                <w:kern w:val="0"/>
                <w:sz w:val="18"/>
                <w:szCs w:val="18"/>
              </w:rPr>
            </w:pPr>
          </w:p>
        </w:tc>
      </w:tr>
      <w:tr w14:paraId="6E2463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68CB03F0">
            <w:pPr>
              <w:widowControl/>
              <w:snapToGrid w:val="0"/>
              <w:spacing w:line="240" w:lineRule="auto"/>
              <w:ind w:firstLine="0" w:firstLineChars="0"/>
              <w:jc w:val="center"/>
              <w:rPr>
                <w:rFonts w:cs="Times New Roman"/>
                <w:bCs/>
                <w:spacing w:val="-5"/>
                <w:kern w:val="0"/>
                <w:sz w:val="18"/>
                <w:szCs w:val="18"/>
              </w:rPr>
            </w:pPr>
          </w:p>
        </w:tc>
        <w:tc>
          <w:tcPr>
            <w:tcW w:w="231" w:type="pct"/>
            <w:vMerge w:val="continue"/>
            <w:vAlign w:val="center"/>
          </w:tcPr>
          <w:p w14:paraId="68BEA793">
            <w:pPr>
              <w:widowControl/>
              <w:snapToGrid w:val="0"/>
              <w:spacing w:line="240" w:lineRule="auto"/>
              <w:ind w:firstLine="0" w:firstLineChars="0"/>
              <w:jc w:val="center"/>
              <w:rPr>
                <w:rFonts w:cs="Times New Roman"/>
                <w:bCs/>
                <w:spacing w:val="-5"/>
                <w:kern w:val="0"/>
                <w:sz w:val="18"/>
                <w:szCs w:val="18"/>
              </w:rPr>
            </w:pPr>
          </w:p>
        </w:tc>
        <w:tc>
          <w:tcPr>
            <w:tcW w:w="199" w:type="pct"/>
            <w:vMerge w:val="restart"/>
            <w:vAlign w:val="center"/>
          </w:tcPr>
          <w:p w14:paraId="238CADAC">
            <w:pPr>
              <w:widowControl/>
              <w:snapToGrid w:val="0"/>
              <w:spacing w:line="240" w:lineRule="auto"/>
              <w:ind w:firstLine="0" w:firstLineChars="0"/>
              <w:jc w:val="center"/>
              <w:rPr>
                <w:rFonts w:cs="Times New Roman"/>
                <w:bCs/>
                <w:spacing w:val="-5"/>
                <w:kern w:val="0"/>
                <w:sz w:val="18"/>
                <w:szCs w:val="18"/>
              </w:rPr>
            </w:pPr>
            <w:r>
              <w:rPr>
                <w:rFonts w:cs="Times New Roman"/>
                <w:bCs/>
                <w:spacing w:val="-5"/>
                <w:kern w:val="0"/>
                <w:sz w:val="18"/>
                <w:szCs w:val="18"/>
              </w:rPr>
              <w:t>固废</w:t>
            </w:r>
          </w:p>
        </w:tc>
        <w:tc>
          <w:tcPr>
            <w:tcW w:w="485" w:type="pct"/>
            <w:vAlign w:val="center"/>
          </w:tcPr>
          <w:p w14:paraId="2454F79D">
            <w:pPr>
              <w:widowControl/>
              <w:snapToGrid w:val="0"/>
              <w:spacing w:line="240" w:lineRule="auto"/>
              <w:ind w:firstLine="0" w:firstLineChars="0"/>
              <w:jc w:val="center"/>
              <w:rPr>
                <w:rFonts w:cs="Times New Roman"/>
                <w:bCs/>
                <w:spacing w:val="-5"/>
                <w:kern w:val="0"/>
                <w:sz w:val="18"/>
                <w:szCs w:val="18"/>
              </w:rPr>
            </w:pPr>
            <w:r>
              <w:rPr>
                <w:rFonts w:cs="Times New Roman"/>
                <w:bCs/>
                <w:spacing w:val="-5"/>
                <w:kern w:val="0"/>
                <w:sz w:val="18"/>
                <w:szCs w:val="18"/>
              </w:rPr>
              <w:t>一般固废</w:t>
            </w:r>
          </w:p>
        </w:tc>
        <w:tc>
          <w:tcPr>
            <w:tcW w:w="417" w:type="pct"/>
            <w:vAlign w:val="center"/>
          </w:tcPr>
          <w:p w14:paraId="55791F6B">
            <w:pPr>
              <w:widowControl/>
              <w:snapToGrid w:val="0"/>
              <w:spacing w:line="240" w:lineRule="auto"/>
              <w:ind w:firstLine="0" w:firstLineChars="0"/>
              <w:jc w:val="center"/>
              <w:rPr>
                <w:rFonts w:cs="Times New Roman"/>
                <w:bCs/>
                <w:spacing w:val="-5"/>
                <w:kern w:val="0"/>
                <w:sz w:val="18"/>
                <w:szCs w:val="18"/>
              </w:rPr>
            </w:pPr>
            <w:r>
              <w:rPr>
                <w:rFonts w:cs="Times New Roman"/>
                <w:bCs/>
                <w:spacing w:val="-5"/>
                <w:kern w:val="0"/>
                <w:sz w:val="18"/>
                <w:szCs w:val="18"/>
              </w:rPr>
              <w:t>/</w:t>
            </w:r>
          </w:p>
        </w:tc>
        <w:tc>
          <w:tcPr>
            <w:tcW w:w="2893" w:type="pct"/>
            <w:vMerge w:val="restart"/>
            <w:vAlign w:val="center"/>
          </w:tcPr>
          <w:p w14:paraId="6A103B70">
            <w:pPr>
              <w:widowControl/>
              <w:snapToGrid w:val="0"/>
              <w:spacing w:line="240" w:lineRule="auto"/>
              <w:ind w:firstLine="0" w:firstLineChars="0"/>
              <w:jc w:val="center"/>
              <w:rPr>
                <w:rFonts w:cs="Times New Roman"/>
                <w:bCs/>
                <w:spacing w:val="-5"/>
                <w:kern w:val="0"/>
                <w:sz w:val="18"/>
                <w:szCs w:val="18"/>
              </w:rPr>
            </w:pPr>
            <w:r>
              <w:rPr>
                <w:rFonts w:cs="Times New Roman"/>
                <w:bCs/>
                <w:spacing w:val="-5"/>
                <w:kern w:val="0"/>
                <w:sz w:val="18"/>
                <w:szCs w:val="18"/>
              </w:rPr>
              <w:t>一般工业固废外售综合利用；生活垃圾交由环卫部门进行处理</w:t>
            </w:r>
          </w:p>
        </w:tc>
        <w:tc>
          <w:tcPr>
            <w:tcW w:w="671" w:type="pct"/>
            <w:vMerge w:val="continue"/>
            <w:vAlign w:val="center"/>
          </w:tcPr>
          <w:p w14:paraId="6442E66A">
            <w:pPr>
              <w:widowControl/>
              <w:snapToGrid w:val="0"/>
              <w:spacing w:line="240" w:lineRule="auto"/>
              <w:ind w:firstLine="0" w:firstLineChars="0"/>
              <w:jc w:val="center"/>
              <w:rPr>
                <w:rFonts w:cs="Times New Roman"/>
                <w:bCs/>
                <w:kern w:val="0"/>
                <w:sz w:val="18"/>
                <w:szCs w:val="18"/>
              </w:rPr>
            </w:pPr>
          </w:p>
        </w:tc>
      </w:tr>
      <w:tr w14:paraId="394B96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2A7BF6F">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A50E2D5">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7C2F89B6">
            <w:pPr>
              <w:widowControl/>
              <w:snapToGrid w:val="0"/>
              <w:spacing w:line="240" w:lineRule="auto"/>
              <w:ind w:firstLine="0" w:firstLineChars="0"/>
              <w:jc w:val="center"/>
              <w:rPr>
                <w:rFonts w:cs="Times New Roman"/>
                <w:bCs/>
                <w:kern w:val="0"/>
                <w:sz w:val="18"/>
                <w:szCs w:val="18"/>
              </w:rPr>
            </w:pPr>
          </w:p>
        </w:tc>
        <w:tc>
          <w:tcPr>
            <w:tcW w:w="485" w:type="pct"/>
            <w:vAlign w:val="center"/>
          </w:tcPr>
          <w:p w14:paraId="3C61E02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01EC00E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Merge w:val="continue"/>
            <w:vAlign w:val="center"/>
          </w:tcPr>
          <w:p w14:paraId="712DC246">
            <w:pPr>
              <w:autoSpaceDE w:val="0"/>
              <w:autoSpaceDN w:val="0"/>
              <w:snapToGrid w:val="0"/>
              <w:spacing w:line="240" w:lineRule="auto"/>
              <w:ind w:firstLine="0" w:firstLineChars="0"/>
              <w:jc w:val="center"/>
              <w:rPr>
                <w:rFonts w:cs="Times New Roman"/>
                <w:bCs/>
                <w:kern w:val="0"/>
                <w:sz w:val="18"/>
                <w:szCs w:val="18"/>
              </w:rPr>
            </w:pPr>
          </w:p>
        </w:tc>
        <w:tc>
          <w:tcPr>
            <w:tcW w:w="671" w:type="pct"/>
            <w:vMerge w:val="continue"/>
            <w:vAlign w:val="center"/>
          </w:tcPr>
          <w:p w14:paraId="2C48DC77">
            <w:pPr>
              <w:autoSpaceDE w:val="0"/>
              <w:autoSpaceDN w:val="0"/>
              <w:snapToGrid w:val="0"/>
              <w:spacing w:line="240" w:lineRule="auto"/>
              <w:ind w:firstLine="0" w:firstLineChars="0"/>
              <w:jc w:val="center"/>
              <w:rPr>
                <w:rFonts w:cs="Times New Roman"/>
                <w:bCs/>
                <w:kern w:val="0"/>
                <w:sz w:val="18"/>
                <w:szCs w:val="18"/>
              </w:rPr>
            </w:pPr>
          </w:p>
        </w:tc>
      </w:tr>
      <w:tr w14:paraId="288C94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08BD9940">
            <w:pPr>
              <w:widowControl/>
              <w:snapToGrid w:val="0"/>
              <w:spacing w:line="240" w:lineRule="auto"/>
              <w:ind w:firstLine="0" w:firstLineChars="0"/>
              <w:jc w:val="center"/>
              <w:rPr>
                <w:rFonts w:cs="Times New Roman"/>
                <w:bCs/>
                <w:spacing w:val="-5"/>
                <w:kern w:val="0"/>
                <w:sz w:val="18"/>
                <w:szCs w:val="18"/>
              </w:rPr>
            </w:pPr>
            <w:r>
              <w:rPr>
                <w:rFonts w:cs="Times New Roman"/>
                <w:bCs/>
                <w:spacing w:val="-5"/>
                <w:kern w:val="0"/>
                <w:sz w:val="18"/>
                <w:szCs w:val="18"/>
              </w:rPr>
              <w:t>76</w:t>
            </w:r>
          </w:p>
          <w:p w14:paraId="5C6B9217">
            <w:pPr>
              <w:autoSpaceDE w:val="0"/>
              <w:autoSpaceDN w:val="0"/>
              <w:snapToGrid w:val="0"/>
              <w:spacing w:line="240" w:lineRule="auto"/>
              <w:ind w:firstLine="0" w:firstLineChars="0"/>
              <w:jc w:val="center"/>
              <w:rPr>
                <w:rFonts w:cs="Times New Roman"/>
                <w:bCs/>
                <w:kern w:val="0"/>
                <w:sz w:val="18"/>
                <w:szCs w:val="18"/>
              </w:rPr>
            </w:pPr>
          </w:p>
        </w:tc>
        <w:tc>
          <w:tcPr>
            <w:tcW w:w="231" w:type="pct"/>
            <w:vMerge w:val="restart"/>
            <w:vAlign w:val="center"/>
          </w:tcPr>
          <w:p w14:paraId="3A11019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湖南泷汐洗涤科技有限责任公司</w:t>
            </w:r>
          </w:p>
        </w:tc>
        <w:tc>
          <w:tcPr>
            <w:tcW w:w="199" w:type="pct"/>
            <w:vAlign w:val="center"/>
          </w:tcPr>
          <w:p w14:paraId="2B213E7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111A6BA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COD、BOD</w:t>
            </w:r>
            <w:r>
              <w:rPr>
                <w:rFonts w:cs="Times New Roman"/>
                <w:bCs/>
                <w:kern w:val="0"/>
                <w:sz w:val="18"/>
                <w:szCs w:val="18"/>
                <w:vertAlign w:val="subscript"/>
              </w:rPr>
              <w:t>5</w:t>
            </w:r>
            <w:r>
              <w:rPr>
                <w:rFonts w:cs="Times New Roman"/>
                <w:bCs/>
                <w:kern w:val="0"/>
                <w:sz w:val="18"/>
                <w:szCs w:val="18"/>
              </w:rPr>
              <w:t>、SS、</w:t>
            </w:r>
          </w:p>
          <w:p w14:paraId="12B2A50B">
            <w:pPr>
              <w:widowControl/>
              <w:snapToGrid w:val="0"/>
              <w:spacing w:line="240" w:lineRule="auto"/>
              <w:ind w:firstLine="0" w:firstLineChars="0"/>
              <w:jc w:val="center"/>
              <w:rPr>
                <w:rFonts w:cs="Times New Roman"/>
                <w:bCs/>
                <w:kern w:val="0"/>
                <w:sz w:val="18"/>
                <w:szCs w:val="18"/>
              </w:rPr>
            </w:pPr>
            <w:r>
              <w:rPr>
                <w:rFonts w:cs="Times New Roman"/>
                <w:bCs/>
                <w:spacing w:val="-15"/>
                <w:kern w:val="0"/>
                <w:sz w:val="18"/>
                <w:szCs w:val="18"/>
              </w:rPr>
              <w:t>氨氮、阴离子表面活</w:t>
            </w:r>
            <w:r>
              <w:rPr>
                <w:rFonts w:cs="Times New Roman"/>
                <w:bCs/>
                <w:kern w:val="0"/>
                <w:sz w:val="18"/>
                <w:szCs w:val="18"/>
              </w:rPr>
              <w:t>性剂</w:t>
            </w:r>
          </w:p>
        </w:tc>
        <w:tc>
          <w:tcPr>
            <w:tcW w:w="417" w:type="pct"/>
            <w:vAlign w:val="center"/>
          </w:tcPr>
          <w:p w14:paraId="280049E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6000t/a</w:t>
            </w:r>
          </w:p>
        </w:tc>
        <w:tc>
          <w:tcPr>
            <w:tcW w:w="2893" w:type="pct"/>
            <w:vAlign w:val="center"/>
          </w:tcPr>
          <w:p w14:paraId="5AB65C8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布草清洗废水经自建污水处理厂（处理工艺为接触氧化+絮凝沉淀+过滤</w:t>
            </w:r>
            <w:r>
              <w:rPr>
                <w:rFonts w:cs="Times New Roman"/>
                <w:bCs/>
                <w:spacing w:val="-5"/>
                <w:kern w:val="0"/>
                <w:sz w:val="18"/>
                <w:szCs w:val="18"/>
              </w:rPr>
              <w:t>）处理后 60%的废水回用于洗涤工序，其余外排至经开区污水管网后进入松木污水处理厂处理；</w:t>
            </w:r>
          </w:p>
          <w:p w14:paraId="524DCAF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生活污水经化粪池处理后排入松木污水处理厂处理。</w:t>
            </w:r>
          </w:p>
        </w:tc>
        <w:tc>
          <w:tcPr>
            <w:tcW w:w="671" w:type="pct"/>
            <w:vMerge w:val="restart"/>
            <w:vAlign w:val="center"/>
          </w:tcPr>
          <w:p w14:paraId="2C79302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1D2EE9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F7F5983">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54D818E">
            <w:pPr>
              <w:widowControl/>
              <w:snapToGrid w:val="0"/>
              <w:spacing w:line="240" w:lineRule="auto"/>
              <w:ind w:firstLine="0" w:firstLineChars="0"/>
              <w:jc w:val="center"/>
              <w:rPr>
                <w:rFonts w:cs="Times New Roman"/>
                <w:bCs/>
                <w:kern w:val="0"/>
                <w:sz w:val="18"/>
                <w:szCs w:val="18"/>
              </w:rPr>
            </w:pPr>
          </w:p>
        </w:tc>
        <w:tc>
          <w:tcPr>
            <w:tcW w:w="199" w:type="pct"/>
            <w:vAlign w:val="center"/>
          </w:tcPr>
          <w:p w14:paraId="784384D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2ED140F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油烟</w:t>
            </w:r>
          </w:p>
        </w:tc>
        <w:tc>
          <w:tcPr>
            <w:tcW w:w="417" w:type="pct"/>
            <w:vAlign w:val="center"/>
          </w:tcPr>
          <w:p w14:paraId="2895780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2EF73C4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食堂油烟经油烟净化器进行净化后引至食堂楼顶排放。</w:t>
            </w:r>
          </w:p>
        </w:tc>
        <w:tc>
          <w:tcPr>
            <w:tcW w:w="671" w:type="pct"/>
            <w:vMerge w:val="continue"/>
            <w:vAlign w:val="center"/>
          </w:tcPr>
          <w:p w14:paraId="57C69F51">
            <w:pPr>
              <w:widowControl/>
              <w:snapToGrid w:val="0"/>
              <w:spacing w:line="240" w:lineRule="auto"/>
              <w:ind w:firstLine="0" w:firstLineChars="0"/>
              <w:jc w:val="center"/>
              <w:rPr>
                <w:rFonts w:cs="Times New Roman"/>
                <w:bCs/>
                <w:kern w:val="0"/>
                <w:sz w:val="18"/>
                <w:szCs w:val="18"/>
              </w:rPr>
            </w:pPr>
          </w:p>
        </w:tc>
      </w:tr>
      <w:tr w14:paraId="417D9C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13F031CD">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11E0368">
            <w:pPr>
              <w:widowControl/>
              <w:snapToGrid w:val="0"/>
              <w:spacing w:line="240" w:lineRule="auto"/>
              <w:ind w:firstLine="0" w:firstLineChars="0"/>
              <w:jc w:val="center"/>
              <w:rPr>
                <w:rFonts w:cs="Times New Roman"/>
                <w:bCs/>
                <w:kern w:val="0"/>
                <w:sz w:val="18"/>
                <w:szCs w:val="18"/>
              </w:rPr>
            </w:pPr>
          </w:p>
        </w:tc>
        <w:tc>
          <w:tcPr>
            <w:tcW w:w="199" w:type="pct"/>
            <w:vAlign w:val="center"/>
          </w:tcPr>
          <w:p w14:paraId="147B573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08A11C6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0325CDC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60t/a</w:t>
            </w:r>
          </w:p>
        </w:tc>
        <w:tc>
          <w:tcPr>
            <w:tcW w:w="2893" w:type="pct"/>
            <w:vAlign w:val="center"/>
          </w:tcPr>
          <w:p w14:paraId="3C093F3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污水处理站污泥经板框压滤后运至填埋场处置； 废包装材料交物资回收部门回收利用；烘干纤维、生活垃圾经收集后交由环卫部门处置。</w:t>
            </w:r>
          </w:p>
        </w:tc>
        <w:tc>
          <w:tcPr>
            <w:tcW w:w="671" w:type="pct"/>
            <w:vMerge w:val="continue"/>
            <w:vAlign w:val="center"/>
          </w:tcPr>
          <w:p w14:paraId="51364C2A">
            <w:pPr>
              <w:widowControl/>
              <w:snapToGrid w:val="0"/>
              <w:spacing w:line="240" w:lineRule="auto"/>
              <w:ind w:firstLine="0" w:firstLineChars="0"/>
              <w:jc w:val="center"/>
              <w:rPr>
                <w:rFonts w:cs="Times New Roman"/>
                <w:bCs/>
                <w:kern w:val="0"/>
                <w:sz w:val="18"/>
                <w:szCs w:val="18"/>
              </w:rPr>
            </w:pPr>
          </w:p>
        </w:tc>
      </w:tr>
      <w:tr w14:paraId="18845A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72795276">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77</w:t>
            </w:r>
          </w:p>
          <w:p w14:paraId="0E26FE7A">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6A1E2F6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衡阳瑞盛包装材料有限公司</w:t>
            </w:r>
          </w:p>
        </w:tc>
        <w:tc>
          <w:tcPr>
            <w:tcW w:w="199" w:type="pct"/>
            <w:vAlign w:val="center"/>
          </w:tcPr>
          <w:p w14:paraId="28DBE4F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4AD0AD3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COD、BOD</w:t>
            </w:r>
            <w:r>
              <w:rPr>
                <w:rFonts w:cs="Times New Roman"/>
                <w:bCs/>
                <w:kern w:val="0"/>
                <w:sz w:val="18"/>
                <w:szCs w:val="18"/>
                <w:vertAlign w:val="subscript"/>
              </w:rPr>
              <w:t>5</w:t>
            </w:r>
            <w:r>
              <w:rPr>
                <w:rFonts w:cs="Times New Roman"/>
                <w:bCs/>
                <w:kern w:val="0"/>
                <w:sz w:val="18"/>
                <w:szCs w:val="18"/>
              </w:rPr>
              <w:t>、SS、</w:t>
            </w:r>
          </w:p>
          <w:p w14:paraId="6A646A23">
            <w:pPr>
              <w:widowControl/>
              <w:snapToGrid w:val="0"/>
              <w:spacing w:line="240" w:lineRule="auto"/>
              <w:ind w:firstLine="0" w:firstLineChars="0"/>
              <w:jc w:val="center"/>
              <w:rPr>
                <w:rFonts w:cs="Times New Roman"/>
                <w:bCs/>
                <w:kern w:val="0"/>
                <w:sz w:val="18"/>
                <w:szCs w:val="18"/>
              </w:rPr>
            </w:pPr>
            <w:r>
              <w:rPr>
                <w:rFonts w:cs="Times New Roman"/>
                <w:bCs/>
                <w:spacing w:val="-15"/>
                <w:kern w:val="0"/>
                <w:sz w:val="18"/>
                <w:szCs w:val="18"/>
              </w:rPr>
              <w:t>氨氮、</w:t>
            </w:r>
          </w:p>
        </w:tc>
        <w:tc>
          <w:tcPr>
            <w:tcW w:w="417" w:type="pct"/>
            <w:vAlign w:val="center"/>
          </w:tcPr>
          <w:p w14:paraId="5ECB821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1041m</w:t>
            </w:r>
            <w:r>
              <w:rPr>
                <w:rFonts w:cs="Times New Roman"/>
                <w:bCs/>
                <w:kern w:val="0"/>
                <w:sz w:val="18"/>
                <w:szCs w:val="18"/>
                <w:vertAlign w:val="superscript"/>
              </w:rPr>
              <w:t>3</w:t>
            </w:r>
            <w:r>
              <w:rPr>
                <w:rFonts w:cs="Times New Roman"/>
                <w:bCs/>
                <w:kern w:val="0"/>
                <w:sz w:val="18"/>
                <w:szCs w:val="18"/>
              </w:rPr>
              <w:t>/a</w:t>
            </w:r>
          </w:p>
        </w:tc>
        <w:tc>
          <w:tcPr>
            <w:tcW w:w="2893" w:type="pct"/>
            <w:vAlign w:val="center"/>
          </w:tcPr>
          <w:p w14:paraId="2CFDA2A5">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生活污水经化粪池处理后排入松木污水处理厂处理。</w:t>
            </w:r>
          </w:p>
        </w:tc>
        <w:tc>
          <w:tcPr>
            <w:tcW w:w="671" w:type="pct"/>
            <w:vMerge w:val="restart"/>
            <w:vAlign w:val="center"/>
          </w:tcPr>
          <w:p w14:paraId="22F36894">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618937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7564225D">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8D42A8C">
            <w:pPr>
              <w:widowControl/>
              <w:snapToGrid w:val="0"/>
              <w:spacing w:line="240" w:lineRule="auto"/>
              <w:ind w:firstLine="0" w:firstLineChars="0"/>
              <w:jc w:val="center"/>
              <w:rPr>
                <w:rFonts w:cs="Times New Roman"/>
                <w:bCs/>
                <w:kern w:val="0"/>
                <w:sz w:val="18"/>
                <w:szCs w:val="18"/>
              </w:rPr>
            </w:pPr>
          </w:p>
        </w:tc>
        <w:tc>
          <w:tcPr>
            <w:tcW w:w="199" w:type="pct"/>
            <w:vAlign w:val="center"/>
          </w:tcPr>
          <w:p w14:paraId="64A4624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41AFB82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粉尘</w:t>
            </w:r>
          </w:p>
        </w:tc>
        <w:tc>
          <w:tcPr>
            <w:tcW w:w="417" w:type="pct"/>
            <w:vAlign w:val="center"/>
          </w:tcPr>
          <w:p w14:paraId="656169F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6DAB2B85">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断料工序产生的锯木粉尘经布袋除尘器收集后经15m高排气筒排放</w:t>
            </w:r>
          </w:p>
        </w:tc>
        <w:tc>
          <w:tcPr>
            <w:tcW w:w="671" w:type="pct"/>
            <w:vMerge w:val="continue"/>
            <w:vAlign w:val="center"/>
          </w:tcPr>
          <w:p w14:paraId="6ABF0FEC">
            <w:pPr>
              <w:autoSpaceDE w:val="0"/>
              <w:autoSpaceDN w:val="0"/>
              <w:snapToGrid w:val="0"/>
              <w:spacing w:line="240" w:lineRule="auto"/>
              <w:ind w:firstLine="0" w:firstLineChars="0"/>
              <w:jc w:val="center"/>
              <w:rPr>
                <w:rFonts w:cs="Times New Roman"/>
                <w:bCs/>
                <w:kern w:val="0"/>
                <w:sz w:val="18"/>
                <w:szCs w:val="18"/>
              </w:rPr>
            </w:pPr>
          </w:p>
        </w:tc>
      </w:tr>
      <w:tr w14:paraId="4D0819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7C0102D6">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114FC9C1">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15A9D23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0F57F1F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67785C8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20t/a</w:t>
            </w:r>
          </w:p>
        </w:tc>
        <w:tc>
          <w:tcPr>
            <w:tcW w:w="2893" w:type="pct"/>
            <w:vMerge w:val="restart"/>
            <w:vAlign w:val="center"/>
          </w:tcPr>
          <w:p w14:paraId="79E61606">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边角料、收集的粉尘、不合格产品、边角料作为可回收资源外售，油墨废水、废油墨桶暂存危废间后交由厂家回收处理，生活垃圾交由环卫部门处理</w:t>
            </w:r>
          </w:p>
        </w:tc>
        <w:tc>
          <w:tcPr>
            <w:tcW w:w="671" w:type="pct"/>
            <w:vMerge w:val="continue"/>
            <w:vAlign w:val="center"/>
          </w:tcPr>
          <w:p w14:paraId="3459AB0E">
            <w:pPr>
              <w:autoSpaceDE w:val="0"/>
              <w:autoSpaceDN w:val="0"/>
              <w:snapToGrid w:val="0"/>
              <w:spacing w:line="240" w:lineRule="auto"/>
              <w:ind w:firstLine="0" w:firstLineChars="0"/>
              <w:jc w:val="center"/>
              <w:rPr>
                <w:rFonts w:cs="Times New Roman"/>
                <w:bCs/>
                <w:kern w:val="0"/>
                <w:sz w:val="18"/>
                <w:szCs w:val="18"/>
              </w:rPr>
            </w:pPr>
          </w:p>
        </w:tc>
      </w:tr>
      <w:tr w14:paraId="1A2174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7D9AFD4">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B90833B">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2E3F5EBD">
            <w:pPr>
              <w:widowControl/>
              <w:snapToGrid w:val="0"/>
              <w:spacing w:line="240" w:lineRule="auto"/>
              <w:ind w:firstLine="0" w:firstLineChars="0"/>
              <w:jc w:val="center"/>
              <w:rPr>
                <w:rFonts w:cs="Times New Roman"/>
                <w:bCs/>
                <w:kern w:val="0"/>
                <w:sz w:val="18"/>
                <w:szCs w:val="18"/>
              </w:rPr>
            </w:pPr>
          </w:p>
        </w:tc>
        <w:tc>
          <w:tcPr>
            <w:tcW w:w="485" w:type="pct"/>
            <w:vAlign w:val="center"/>
          </w:tcPr>
          <w:p w14:paraId="64F4B02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2D80755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0.5t/a</w:t>
            </w:r>
          </w:p>
        </w:tc>
        <w:tc>
          <w:tcPr>
            <w:tcW w:w="2893" w:type="pct"/>
            <w:vMerge w:val="continue"/>
            <w:vAlign w:val="center"/>
          </w:tcPr>
          <w:p w14:paraId="24ADFB6E">
            <w:pPr>
              <w:autoSpaceDE w:val="0"/>
              <w:autoSpaceDN w:val="0"/>
              <w:snapToGrid w:val="0"/>
              <w:spacing w:line="240" w:lineRule="auto"/>
              <w:ind w:firstLine="0" w:firstLineChars="0"/>
              <w:jc w:val="center"/>
              <w:rPr>
                <w:rFonts w:cs="Times New Roman"/>
                <w:bCs/>
                <w:kern w:val="0"/>
                <w:sz w:val="18"/>
                <w:szCs w:val="18"/>
              </w:rPr>
            </w:pPr>
          </w:p>
        </w:tc>
        <w:tc>
          <w:tcPr>
            <w:tcW w:w="671" w:type="pct"/>
            <w:vMerge w:val="continue"/>
            <w:vAlign w:val="center"/>
          </w:tcPr>
          <w:p w14:paraId="0E6EBE97">
            <w:pPr>
              <w:autoSpaceDE w:val="0"/>
              <w:autoSpaceDN w:val="0"/>
              <w:snapToGrid w:val="0"/>
              <w:spacing w:line="240" w:lineRule="auto"/>
              <w:ind w:firstLine="0" w:firstLineChars="0"/>
              <w:jc w:val="center"/>
              <w:rPr>
                <w:rFonts w:cs="Times New Roman"/>
                <w:bCs/>
                <w:kern w:val="0"/>
                <w:sz w:val="18"/>
                <w:szCs w:val="18"/>
              </w:rPr>
            </w:pPr>
          </w:p>
        </w:tc>
      </w:tr>
      <w:tr w14:paraId="6A6310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642E523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78</w:t>
            </w:r>
          </w:p>
          <w:p w14:paraId="065F2AF8">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6962113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衡阳瑞秾森农业发展有限公司</w:t>
            </w:r>
          </w:p>
        </w:tc>
        <w:tc>
          <w:tcPr>
            <w:tcW w:w="199" w:type="pct"/>
            <w:vAlign w:val="center"/>
          </w:tcPr>
          <w:p w14:paraId="7C5EF3E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7B53BDA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COD、BOD</w:t>
            </w:r>
            <w:r>
              <w:rPr>
                <w:rFonts w:cs="Times New Roman"/>
                <w:bCs/>
                <w:kern w:val="0"/>
                <w:sz w:val="18"/>
                <w:szCs w:val="18"/>
                <w:vertAlign w:val="subscript"/>
              </w:rPr>
              <w:t>5</w:t>
            </w:r>
            <w:r>
              <w:rPr>
                <w:rFonts w:cs="Times New Roman"/>
                <w:bCs/>
                <w:kern w:val="0"/>
                <w:sz w:val="18"/>
                <w:szCs w:val="18"/>
              </w:rPr>
              <w:t>、SS、</w:t>
            </w:r>
          </w:p>
          <w:p w14:paraId="41DD3E64">
            <w:pPr>
              <w:widowControl/>
              <w:snapToGrid w:val="0"/>
              <w:spacing w:line="240" w:lineRule="auto"/>
              <w:ind w:firstLine="0" w:firstLineChars="0"/>
              <w:jc w:val="center"/>
              <w:rPr>
                <w:rFonts w:cs="Times New Roman"/>
                <w:bCs/>
                <w:kern w:val="0"/>
                <w:sz w:val="18"/>
                <w:szCs w:val="18"/>
              </w:rPr>
            </w:pPr>
            <w:r>
              <w:rPr>
                <w:rFonts w:cs="Times New Roman"/>
                <w:bCs/>
                <w:spacing w:val="-15"/>
                <w:kern w:val="0"/>
                <w:sz w:val="18"/>
                <w:szCs w:val="18"/>
              </w:rPr>
              <w:t>氨氮、</w:t>
            </w:r>
          </w:p>
        </w:tc>
        <w:tc>
          <w:tcPr>
            <w:tcW w:w="417" w:type="pct"/>
            <w:vAlign w:val="center"/>
          </w:tcPr>
          <w:p w14:paraId="625872D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26.78m</w:t>
            </w:r>
            <w:r>
              <w:rPr>
                <w:rFonts w:cs="Times New Roman"/>
                <w:bCs/>
                <w:kern w:val="0"/>
                <w:sz w:val="18"/>
                <w:szCs w:val="18"/>
                <w:vertAlign w:val="superscript"/>
              </w:rPr>
              <w:t>3</w:t>
            </w:r>
            <w:r>
              <w:rPr>
                <w:rFonts w:cs="Times New Roman"/>
                <w:bCs/>
                <w:kern w:val="0"/>
                <w:sz w:val="18"/>
                <w:szCs w:val="18"/>
              </w:rPr>
              <w:t>/a</w:t>
            </w:r>
          </w:p>
        </w:tc>
        <w:tc>
          <w:tcPr>
            <w:tcW w:w="2893" w:type="pct"/>
            <w:vAlign w:val="center"/>
          </w:tcPr>
          <w:p w14:paraId="546B1F2E">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无生产废水外排，生活污水经化粪池处理后排入松木污水处理厂处理。</w:t>
            </w:r>
          </w:p>
        </w:tc>
        <w:tc>
          <w:tcPr>
            <w:tcW w:w="671" w:type="pct"/>
            <w:vMerge w:val="restart"/>
            <w:vAlign w:val="center"/>
          </w:tcPr>
          <w:p w14:paraId="46C8795E">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14B19F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2AAB1B70">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42440A6">
            <w:pPr>
              <w:widowControl/>
              <w:snapToGrid w:val="0"/>
              <w:spacing w:line="240" w:lineRule="auto"/>
              <w:ind w:firstLine="0" w:firstLineChars="0"/>
              <w:jc w:val="center"/>
              <w:rPr>
                <w:rFonts w:cs="Times New Roman"/>
                <w:bCs/>
                <w:kern w:val="0"/>
                <w:sz w:val="18"/>
                <w:szCs w:val="18"/>
              </w:rPr>
            </w:pPr>
          </w:p>
        </w:tc>
        <w:tc>
          <w:tcPr>
            <w:tcW w:w="199" w:type="pct"/>
            <w:vAlign w:val="center"/>
          </w:tcPr>
          <w:p w14:paraId="267120C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0581CB2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粉尘</w:t>
            </w:r>
          </w:p>
        </w:tc>
        <w:tc>
          <w:tcPr>
            <w:tcW w:w="417" w:type="pct"/>
            <w:vAlign w:val="center"/>
          </w:tcPr>
          <w:p w14:paraId="7E44829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6C99E6AB">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经布袋除尘后在车间内无组织排放。</w:t>
            </w:r>
          </w:p>
        </w:tc>
        <w:tc>
          <w:tcPr>
            <w:tcW w:w="671" w:type="pct"/>
            <w:vMerge w:val="continue"/>
            <w:vAlign w:val="center"/>
          </w:tcPr>
          <w:p w14:paraId="758AFCB8">
            <w:pPr>
              <w:autoSpaceDE w:val="0"/>
              <w:autoSpaceDN w:val="0"/>
              <w:snapToGrid w:val="0"/>
              <w:spacing w:line="240" w:lineRule="auto"/>
              <w:ind w:firstLine="0" w:firstLineChars="0"/>
              <w:jc w:val="center"/>
              <w:rPr>
                <w:rFonts w:cs="Times New Roman"/>
                <w:bCs/>
                <w:kern w:val="0"/>
                <w:sz w:val="18"/>
                <w:szCs w:val="18"/>
              </w:rPr>
            </w:pPr>
          </w:p>
        </w:tc>
      </w:tr>
      <w:tr w14:paraId="2B7ECF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67EB944">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CB9BF86">
            <w:pPr>
              <w:widowControl/>
              <w:snapToGrid w:val="0"/>
              <w:spacing w:line="240" w:lineRule="auto"/>
              <w:ind w:firstLine="0" w:firstLineChars="0"/>
              <w:jc w:val="center"/>
              <w:rPr>
                <w:rFonts w:cs="Times New Roman"/>
                <w:bCs/>
                <w:kern w:val="0"/>
                <w:sz w:val="18"/>
                <w:szCs w:val="18"/>
              </w:rPr>
            </w:pPr>
          </w:p>
        </w:tc>
        <w:tc>
          <w:tcPr>
            <w:tcW w:w="199" w:type="pct"/>
            <w:vAlign w:val="center"/>
          </w:tcPr>
          <w:p w14:paraId="64648F8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414ACE7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4633B84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2t/a</w:t>
            </w:r>
          </w:p>
        </w:tc>
        <w:tc>
          <w:tcPr>
            <w:tcW w:w="2893" w:type="pct"/>
            <w:vAlign w:val="center"/>
          </w:tcPr>
          <w:p w14:paraId="2405DC3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压滤滤渣及储存罐沉渣外售给衡南县益忠生态园林花卉产销专业合作社使用，生活垃圾经收集后交由环卫部门处置</w:t>
            </w:r>
          </w:p>
          <w:p w14:paraId="32C6B4D4">
            <w:pPr>
              <w:autoSpaceDE w:val="0"/>
              <w:autoSpaceDN w:val="0"/>
              <w:snapToGrid w:val="0"/>
              <w:spacing w:line="240" w:lineRule="auto"/>
              <w:ind w:firstLine="0" w:firstLineChars="0"/>
              <w:jc w:val="center"/>
              <w:rPr>
                <w:rFonts w:cs="Times New Roman"/>
                <w:bCs/>
                <w:kern w:val="0"/>
                <w:sz w:val="18"/>
                <w:szCs w:val="18"/>
              </w:rPr>
            </w:pPr>
          </w:p>
        </w:tc>
        <w:tc>
          <w:tcPr>
            <w:tcW w:w="671" w:type="pct"/>
            <w:vMerge w:val="continue"/>
            <w:vAlign w:val="center"/>
          </w:tcPr>
          <w:p w14:paraId="77A48496">
            <w:pPr>
              <w:autoSpaceDE w:val="0"/>
              <w:autoSpaceDN w:val="0"/>
              <w:snapToGrid w:val="0"/>
              <w:spacing w:line="240" w:lineRule="auto"/>
              <w:ind w:firstLine="0" w:firstLineChars="0"/>
              <w:jc w:val="center"/>
              <w:rPr>
                <w:rFonts w:cs="Times New Roman"/>
                <w:bCs/>
                <w:kern w:val="0"/>
                <w:sz w:val="18"/>
                <w:szCs w:val="18"/>
              </w:rPr>
            </w:pPr>
          </w:p>
        </w:tc>
      </w:tr>
      <w:tr w14:paraId="794EBF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21D7D93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79</w:t>
            </w:r>
          </w:p>
          <w:p w14:paraId="34FB6C93">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61C4C1B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衡阳湘洁洗涤有限公司</w:t>
            </w:r>
          </w:p>
        </w:tc>
        <w:tc>
          <w:tcPr>
            <w:tcW w:w="199" w:type="pct"/>
            <w:vAlign w:val="center"/>
          </w:tcPr>
          <w:p w14:paraId="430130C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4F1017A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COD、BOD</w:t>
            </w:r>
            <w:r>
              <w:rPr>
                <w:rFonts w:cs="Times New Roman"/>
                <w:bCs/>
                <w:kern w:val="0"/>
                <w:sz w:val="18"/>
                <w:szCs w:val="18"/>
                <w:vertAlign w:val="subscript"/>
              </w:rPr>
              <w:t>5</w:t>
            </w:r>
            <w:r>
              <w:rPr>
                <w:rFonts w:cs="Times New Roman"/>
                <w:bCs/>
                <w:kern w:val="0"/>
                <w:sz w:val="18"/>
                <w:szCs w:val="18"/>
              </w:rPr>
              <w:t>、SS、</w:t>
            </w:r>
          </w:p>
          <w:p w14:paraId="39DA9B25">
            <w:pPr>
              <w:widowControl/>
              <w:snapToGrid w:val="0"/>
              <w:spacing w:line="240" w:lineRule="auto"/>
              <w:ind w:firstLine="0" w:firstLineChars="0"/>
              <w:jc w:val="center"/>
              <w:rPr>
                <w:rFonts w:cs="Times New Roman"/>
                <w:bCs/>
                <w:kern w:val="0"/>
                <w:sz w:val="18"/>
                <w:szCs w:val="18"/>
              </w:rPr>
            </w:pPr>
            <w:r>
              <w:rPr>
                <w:rFonts w:cs="Times New Roman"/>
                <w:bCs/>
                <w:spacing w:val="-15"/>
                <w:kern w:val="0"/>
                <w:sz w:val="18"/>
                <w:szCs w:val="18"/>
              </w:rPr>
              <w:t>氨氮、阴离子表面活</w:t>
            </w:r>
            <w:r>
              <w:rPr>
                <w:rFonts w:cs="Times New Roman"/>
                <w:bCs/>
                <w:kern w:val="0"/>
                <w:sz w:val="18"/>
                <w:szCs w:val="18"/>
              </w:rPr>
              <w:t>性剂</w:t>
            </w:r>
          </w:p>
        </w:tc>
        <w:tc>
          <w:tcPr>
            <w:tcW w:w="417" w:type="pct"/>
            <w:vAlign w:val="center"/>
          </w:tcPr>
          <w:p w14:paraId="29CEC59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6000t/a</w:t>
            </w:r>
          </w:p>
        </w:tc>
        <w:tc>
          <w:tcPr>
            <w:tcW w:w="2893" w:type="pct"/>
            <w:vAlign w:val="center"/>
          </w:tcPr>
          <w:p w14:paraId="311ECDBF">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布草清洗废水经自建污水处理厂（处理工艺为接触氧化+絮凝沉淀+过滤）处理后 60%的废水回用于洗涤工序，其余外排至经开区污水管网后进入松木污水处理厂处理；</w:t>
            </w:r>
          </w:p>
          <w:p w14:paraId="55B79329">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生活污水经化粪池处理后排入松木污水处理厂处理。</w:t>
            </w:r>
          </w:p>
        </w:tc>
        <w:tc>
          <w:tcPr>
            <w:tcW w:w="671" w:type="pct"/>
            <w:vMerge w:val="restart"/>
            <w:vAlign w:val="center"/>
          </w:tcPr>
          <w:p w14:paraId="4A889FC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686555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99A15BC">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12D8B5D5">
            <w:pPr>
              <w:widowControl/>
              <w:snapToGrid w:val="0"/>
              <w:spacing w:line="240" w:lineRule="auto"/>
              <w:ind w:firstLine="0" w:firstLineChars="0"/>
              <w:jc w:val="center"/>
              <w:rPr>
                <w:rFonts w:cs="Times New Roman"/>
                <w:bCs/>
                <w:kern w:val="0"/>
                <w:sz w:val="18"/>
                <w:szCs w:val="18"/>
              </w:rPr>
            </w:pPr>
          </w:p>
        </w:tc>
        <w:tc>
          <w:tcPr>
            <w:tcW w:w="199" w:type="pct"/>
            <w:vAlign w:val="center"/>
          </w:tcPr>
          <w:p w14:paraId="404712A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69F79A0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油烟</w:t>
            </w:r>
          </w:p>
        </w:tc>
        <w:tc>
          <w:tcPr>
            <w:tcW w:w="417" w:type="pct"/>
            <w:vAlign w:val="center"/>
          </w:tcPr>
          <w:p w14:paraId="51A087E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14425052">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食堂油烟经油烟净化器进行净化后引至食堂楼顶排放。</w:t>
            </w:r>
          </w:p>
        </w:tc>
        <w:tc>
          <w:tcPr>
            <w:tcW w:w="671" w:type="pct"/>
            <w:vMerge w:val="continue"/>
            <w:vAlign w:val="center"/>
          </w:tcPr>
          <w:p w14:paraId="401B570E">
            <w:pPr>
              <w:widowControl/>
              <w:snapToGrid w:val="0"/>
              <w:spacing w:line="240" w:lineRule="auto"/>
              <w:ind w:firstLine="0" w:firstLineChars="0"/>
              <w:jc w:val="center"/>
              <w:rPr>
                <w:rFonts w:cs="Times New Roman"/>
                <w:bCs/>
                <w:kern w:val="0"/>
                <w:sz w:val="18"/>
                <w:szCs w:val="18"/>
              </w:rPr>
            </w:pPr>
          </w:p>
        </w:tc>
      </w:tr>
      <w:tr w14:paraId="4272B7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50D6DCA">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2429692">
            <w:pPr>
              <w:widowControl/>
              <w:snapToGrid w:val="0"/>
              <w:spacing w:line="240" w:lineRule="auto"/>
              <w:ind w:firstLine="0" w:firstLineChars="0"/>
              <w:jc w:val="center"/>
              <w:rPr>
                <w:rFonts w:cs="Times New Roman"/>
                <w:bCs/>
                <w:kern w:val="0"/>
                <w:sz w:val="18"/>
                <w:szCs w:val="18"/>
              </w:rPr>
            </w:pPr>
          </w:p>
        </w:tc>
        <w:tc>
          <w:tcPr>
            <w:tcW w:w="199" w:type="pct"/>
            <w:vAlign w:val="center"/>
          </w:tcPr>
          <w:p w14:paraId="2B95566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4D09095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0F72D4E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60t/a</w:t>
            </w:r>
          </w:p>
        </w:tc>
        <w:tc>
          <w:tcPr>
            <w:tcW w:w="2893" w:type="pct"/>
            <w:vAlign w:val="center"/>
          </w:tcPr>
          <w:p w14:paraId="2F0BB6EC">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污水处理站污泥经板框压滤后运至填埋场处置； 废包装材料交物资回收部门回收利用；烘干纤维、生活垃圾经收集后交由环卫部门处置。</w:t>
            </w:r>
          </w:p>
        </w:tc>
        <w:tc>
          <w:tcPr>
            <w:tcW w:w="671" w:type="pct"/>
            <w:vMerge w:val="continue"/>
            <w:vAlign w:val="center"/>
          </w:tcPr>
          <w:p w14:paraId="0283678C">
            <w:pPr>
              <w:widowControl/>
              <w:snapToGrid w:val="0"/>
              <w:spacing w:line="240" w:lineRule="auto"/>
              <w:ind w:firstLine="0" w:firstLineChars="0"/>
              <w:jc w:val="center"/>
              <w:rPr>
                <w:rFonts w:cs="Times New Roman"/>
                <w:bCs/>
                <w:kern w:val="0"/>
                <w:sz w:val="18"/>
                <w:szCs w:val="18"/>
              </w:rPr>
            </w:pPr>
          </w:p>
        </w:tc>
      </w:tr>
      <w:tr w14:paraId="098A72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69CB039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80</w:t>
            </w:r>
          </w:p>
          <w:p w14:paraId="6D670D47">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3C55E14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衡阳比亚迪实业有限公司</w:t>
            </w:r>
          </w:p>
        </w:tc>
        <w:tc>
          <w:tcPr>
            <w:tcW w:w="199" w:type="pct"/>
            <w:vAlign w:val="center"/>
          </w:tcPr>
          <w:p w14:paraId="70B5E2C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1A5E6C4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COD、BOD</w:t>
            </w:r>
            <w:r>
              <w:rPr>
                <w:rFonts w:cs="Times New Roman"/>
                <w:bCs/>
                <w:kern w:val="0"/>
                <w:sz w:val="18"/>
                <w:szCs w:val="18"/>
                <w:vertAlign w:val="subscript"/>
              </w:rPr>
              <w:t>5</w:t>
            </w:r>
            <w:r>
              <w:rPr>
                <w:rFonts w:cs="Times New Roman"/>
                <w:bCs/>
                <w:kern w:val="0"/>
                <w:sz w:val="18"/>
                <w:szCs w:val="18"/>
              </w:rPr>
              <w:t>、SS、</w:t>
            </w:r>
          </w:p>
          <w:p w14:paraId="21C80D94">
            <w:pPr>
              <w:widowControl/>
              <w:snapToGrid w:val="0"/>
              <w:spacing w:line="240" w:lineRule="auto"/>
              <w:ind w:firstLine="0" w:firstLineChars="0"/>
              <w:jc w:val="center"/>
              <w:rPr>
                <w:rFonts w:cs="Times New Roman"/>
                <w:bCs/>
                <w:kern w:val="0"/>
                <w:sz w:val="18"/>
                <w:szCs w:val="18"/>
              </w:rPr>
            </w:pPr>
            <w:r>
              <w:rPr>
                <w:rFonts w:cs="Times New Roman"/>
                <w:bCs/>
                <w:spacing w:val="-15"/>
                <w:kern w:val="0"/>
                <w:sz w:val="18"/>
                <w:szCs w:val="18"/>
              </w:rPr>
              <w:t>氨氮、</w:t>
            </w:r>
          </w:p>
        </w:tc>
        <w:tc>
          <w:tcPr>
            <w:tcW w:w="417" w:type="pct"/>
            <w:vAlign w:val="center"/>
          </w:tcPr>
          <w:p w14:paraId="42C3209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0A3AF96A">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无生产废水外排，生活污水经化粪池处理后排入松木污水处理厂处理。</w:t>
            </w:r>
          </w:p>
        </w:tc>
        <w:tc>
          <w:tcPr>
            <w:tcW w:w="671" w:type="pct"/>
            <w:vMerge w:val="restart"/>
            <w:vAlign w:val="center"/>
          </w:tcPr>
          <w:p w14:paraId="4008A3E6">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379254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0" w:type="pct"/>
            <w:vMerge w:val="continue"/>
            <w:vAlign w:val="center"/>
          </w:tcPr>
          <w:p w14:paraId="17D39F8E">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372AE49">
            <w:pPr>
              <w:widowControl/>
              <w:snapToGrid w:val="0"/>
              <w:spacing w:line="240" w:lineRule="auto"/>
              <w:ind w:firstLine="0" w:firstLineChars="0"/>
              <w:jc w:val="center"/>
              <w:rPr>
                <w:rFonts w:cs="Times New Roman"/>
                <w:bCs/>
                <w:kern w:val="0"/>
                <w:sz w:val="18"/>
                <w:szCs w:val="18"/>
              </w:rPr>
            </w:pPr>
          </w:p>
        </w:tc>
        <w:tc>
          <w:tcPr>
            <w:tcW w:w="199" w:type="pct"/>
            <w:vAlign w:val="center"/>
          </w:tcPr>
          <w:p w14:paraId="1883B55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65FE854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VOCs</w:t>
            </w:r>
          </w:p>
        </w:tc>
        <w:tc>
          <w:tcPr>
            <w:tcW w:w="417" w:type="pct"/>
            <w:vAlign w:val="center"/>
          </w:tcPr>
          <w:p w14:paraId="334BE5C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6ED037C0">
            <w:pPr>
              <w:autoSpaceDE w:val="0"/>
              <w:autoSpaceDN w:val="0"/>
              <w:snapToGrid w:val="0"/>
              <w:spacing w:line="240" w:lineRule="auto"/>
              <w:ind w:firstLine="0" w:firstLineChars="0"/>
              <w:jc w:val="center"/>
              <w:rPr>
                <w:rFonts w:cs="Times New Roman"/>
                <w:bCs/>
                <w:kern w:val="0"/>
                <w:sz w:val="18"/>
                <w:szCs w:val="18"/>
              </w:rPr>
            </w:pPr>
            <w:r>
              <w:rPr>
                <w:rFonts w:cs="Times New Roman"/>
                <w:kern w:val="0"/>
                <w:sz w:val="18"/>
                <w:szCs w:val="18"/>
              </w:rPr>
              <w:t>注塑废气通过活性炭吸附处理后达标排放；喷涂及烘干有机废气通过吸附+RTO蓄热焚烧炉燃烧处理达标排放</w:t>
            </w:r>
          </w:p>
        </w:tc>
        <w:tc>
          <w:tcPr>
            <w:tcW w:w="671" w:type="pct"/>
            <w:vMerge w:val="continue"/>
            <w:vAlign w:val="center"/>
          </w:tcPr>
          <w:p w14:paraId="6413FE89">
            <w:pPr>
              <w:autoSpaceDE w:val="0"/>
              <w:autoSpaceDN w:val="0"/>
              <w:snapToGrid w:val="0"/>
              <w:spacing w:line="240" w:lineRule="auto"/>
              <w:ind w:firstLine="0" w:firstLineChars="0"/>
              <w:jc w:val="center"/>
              <w:rPr>
                <w:rFonts w:cs="Times New Roman"/>
                <w:bCs/>
                <w:kern w:val="0"/>
                <w:sz w:val="18"/>
                <w:szCs w:val="18"/>
              </w:rPr>
            </w:pPr>
          </w:p>
        </w:tc>
      </w:tr>
      <w:tr w14:paraId="3C13D8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AFE8830">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4965B7C">
            <w:pPr>
              <w:widowControl/>
              <w:snapToGrid w:val="0"/>
              <w:spacing w:line="240" w:lineRule="auto"/>
              <w:ind w:firstLine="0" w:firstLineChars="0"/>
              <w:jc w:val="center"/>
              <w:rPr>
                <w:rFonts w:cs="Times New Roman"/>
                <w:bCs/>
                <w:kern w:val="0"/>
                <w:sz w:val="18"/>
                <w:szCs w:val="18"/>
              </w:rPr>
            </w:pPr>
          </w:p>
        </w:tc>
        <w:tc>
          <w:tcPr>
            <w:tcW w:w="199" w:type="pct"/>
            <w:vAlign w:val="center"/>
          </w:tcPr>
          <w:p w14:paraId="74A78535">
            <w:pPr>
              <w:widowControl/>
              <w:snapToGrid w:val="0"/>
              <w:spacing w:line="240" w:lineRule="auto"/>
              <w:ind w:firstLine="0" w:firstLineChars="0"/>
              <w:jc w:val="center"/>
              <w:rPr>
                <w:rFonts w:cs="Times New Roman"/>
                <w:bCs/>
                <w:kern w:val="0"/>
                <w:sz w:val="18"/>
                <w:szCs w:val="18"/>
              </w:rPr>
            </w:pPr>
          </w:p>
        </w:tc>
        <w:tc>
          <w:tcPr>
            <w:tcW w:w="485" w:type="pct"/>
            <w:vAlign w:val="center"/>
          </w:tcPr>
          <w:p w14:paraId="4DE16FF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危险废物</w:t>
            </w:r>
          </w:p>
        </w:tc>
        <w:tc>
          <w:tcPr>
            <w:tcW w:w="417" w:type="pct"/>
            <w:vAlign w:val="center"/>
          </w:tcPr>
          <w:p w14:paraId="275CB2A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0184AE1F">
            <w:pPr>
              <w:autoSpaceDE w:val="0"/>
              <w:autoSpaceDN w:val="0"/>
              <w:snapToGrid w:val="0"/>
              <w:spacing w:line="240" w:lineRule="auto"/>
              <w:ind w:firstLine="0" w:firstLineChars="0"/>
              <w:jc w:val="center"/>
              <w:rPr>
                <w:rFonts w:cs="Times New Roman"/>
                <w:bCs/>
                <w:kern w:val="0"/>
                <w:sz w:val="18"/>
                <w:szCs w:val="18"/>
              </w:rPr>
            </w:pPr>
            <w:r>
              <w:rPr>
                <w:rFonts w:cs="Times New Roman"/>
                <w:kern w:val="0"/>
                <w:sz w:val="18"/>
                <w:szCs w:val="18"/>
              </w:rPr>
              <w:t>废油漆桶、废漆渣等危废交由有资质单位处置</w:t>
            </w:r>
          </w:p>
        </w:tc>
        <w:tc>
          <w:tcPr>
            <w:tcW w:w="671" w:type="pct"/>
            <w:vMerge w:val="continue"/>
            <w:vAlign w:val="center"/>
          </w:tcPr>
          <w:p w14:paraId="716D47EC">
            <w:pPr>
              <w:autoSpaceDE w:val="0"/>
              <w:autoSpaceDN w:val="0"/>
              <w:snapToGrid w:val="0"/>
              <w:spacing w:line="240" w:lineRule="auto"/>
              <w:ind w:firstLine="0" w:firstLineChars="0"/>
              <w:jc w:val="center"/>
              <w:rPr>
                <w:rFonts w:cs="Times New Roman"/>
                <w:bCs/>
                <w:kern w:val="0"/>
                <w:sz w:val="18"/>
                <w:szCs w:val="18"/>
              </w:rPr>
            </w:pPr>
          </w:p>
        </w:tc>
      </w:tr>
      <w:tr w14:paraId="20241C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6276085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82</w:t>
            </w:r>
          </w:p>
          <w:p w14:paraId="2BECCCBF">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7CFE4EC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衡阳市东氟新材料股份有限公司</w:t>
            </w:r>
          </w:p>
        </w:tc>
        <w:tc>
          <w:tcPr>
            <w:tcW w:w="199" w:type="pct"/>
            <w:vAlign w:val="center"/>
          </w:tcPr>
          <w:p w14:paraId="24AEE9F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12AEA01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pH、F、SS、NH</w:t>
            </w:r>
            <w:r>
              <w:rPr>
                <w:rFonts w:cs="Times New Roman"/>
                <w:bCs/>
                <w:kern w:val="0"/>
                <w:sz w:val="18"/>
                <w:szCs w:val="18"/>
                <w:vertAlign w:val="subscript"/>
              </w:rPr>
              <w:t>3</w:t>
            </w:r>
            <w:r>
              <w:rPr>
                <w:rFonts w:cs="Times New Roman"/>
                <w:bCs/>
                <w:kern w:val="0"/>
                <w:sz w:val="18"/>
                <w:szCs w:val="18"/>
              </w:rPr>
              <w:t>-N、COD、TN、TP、Cl</w:t>
            </w:r>
          </w:p>
        </w:tc>
        <w:tc>
          <w:tcPr>
            <w:tcW w:w="417" w:type="pct"/>
            <w:vAlign w:val="center"/>
          </w:tcPr>
          <w:p w14:paraId="31D98DA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79142m</w:t>
            </w:r>
            <w:r>
              <w:rPr>
                <w:rFonts w:cs="Times New Roman"/>
                <w:bCs/>
                <w:kern w:val="0"/>
                <w:sz w:val="18"/>
                <w:szCs w:val="18"/>
                <w:vertAlign w:val="superscript"/>
              </w:rPr>
              <w:t>3</w:t>
            </w:r>
            <w:r>
              <w:rPr>
                <w:rFonts w:cs="Times New Roman"/>
                <w:bCs/>
                <w:kern w:val="0"/>
                <w:sz w:val="18"/>
                <w:szCs w:val="18"/>
              </w:rPr>
              <w:t>/a</w:t>
            </w:r>
          </w:p>
        </w:tc>
        <w:tc>
          <w:tcPr>
            <w:tcW w:w="2893" w:type="pct"/>
            <w:vAlign w:val="center"/>
          </w:tcPr>
          <w:p w14:paraId="4D10F830">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生活污水经厂区化粪池处理后排入松木经济开发区污水处理厂处理；</w:t>
            </w:r>
            <w:r>
              <w:rPr>
                <w:rFonts w:cs="Times New Roman"/>
                <w:kern w:val="0"/>
                <w:sz w:val="18"/>
                <w:szCs w:val="18"/>
              </w:rPr>
              <w:t>低浓度含盐废水中和沉淀处理后进入松木污水处理厂处理；对于高浓度母液，一部分母液氧化后用于复配聚合氯化铝（聚合氯化铝铁）溶液；一部分母液氧化后送建衡实业作原料；剩余部分仍利用原环评批复的设施设备处理后送建滔采卤脱硝（建滔无法消纳时，利用已建氯化钙生产线生产氯化钙，但部分氯化钙产品以液体形式外售）</w:t>
            </w:r>
            <w:r>
              <w:rPr>
                <w:rFonts w:cs="Times New Roman"/>
                <w:bCs/>
                <w:kern w:val="0"/>
                <w:sz w:val="18"/>
                <w:szCs w:val="18"/>
              </w:rPr>
              <w:t>。</w:t>
            </w:r>
          </w:p>
        </w:tc>
        <w:tc>
          <w:tcPr>
            <w:tcW w:w="671" w:type="pct"/>
            <w:vMerge w:val="restart"/>
            <w:vAlign w:val="center"/>
          </w:tcPr>
          <w:p w14:paraId="6CCA9C17">
            <w:pPr>
              <w:autoSpaceDE w:val="0"/>
              <w:autoSpaceDN w:val="0"/>
              <w:snapToGrid w:val="0"/>
              <w:spacing w:line="240" w:lineRule="auto"/>
              <w:ind w:firstLine="0" w:firstLineChars="0"/>
              <w:jc w:val="center"/>
              <w:rPr>
                <w:rFonts w:cs="Times New Roman"/>
                <w:bCs/>
                <w:kern w:val="0"/>
                <w:sz w:val="18"/>
                <w:szCs w:val="18"/>
              </w:rPr>
            </w:pPr>
            <w:r>
              <w:rPr>
                <w:rFonts w:cs="Times New Roman"/>
                <w:kern w:val="0"/>
                <w:sz w:val="18"/>
                <w:szCs w:val="18"/>
              </w:rPr>
              <w:t>安装氯化氢、氟化物在线监测设施并连入园区平台；</w:t>
            </w:r>
          </w:p>
        </w:tc>
      </w:tr>
      <w:tr w14:paraId="310328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E4E2922">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19DCEFE9">
            <w:pPr>
              <w:widowControl/>
              <w:snapToGrid w:val="0"/>
              <w:spacing w:line="240" w:lineRule="auto"/>
              <w:ind w:firstLine="0" w:firstLineChars="0"/>
              <w:jc w:val="center"/>
              <w:rPr>
                <w:rFonts w:cs="Times New Roman"/>
                <w:bCs/>
                <w:kern w:val="0"/>
                <w:sz w:val="18"/>
                <w:szCs w:val="18"/>
              </w:rPr>
            </w:pPr>
          </w:p>
        </w:tc>
        <w:tc>
          <w:tcPr>
            <w:tcW w:w="199" w:type="pct"/>
            <w:vAlign w:val="center"/>
          </w:tcPr>
          <w:p w14:paraId="0C9E789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0E97C9F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HF、HCl、粉尘</w:t>
            </w:r>
          </w:p>
        </w:tc>
        <w:tc>
          <w:tcPr>
            <w:tcW w:w="417" w:type="pct"/>
            <w:vAlign w:val="center"/>
          </w:tcPr>
          <w:p w14:paraId="6151686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4871C5F0">
            <w:pPr>
              <w:autoSpaceDE w:val="0"/>
              <w:autoSpaceDN w:val="0"/>
              <w:snapToGrid w:val="0"/>
              <w:spacing w:line="240" w:lineRule="auto"/>
              <w:ind w:firstLine="0" w:firstLineChars="0"/>
              <w:jc w:val="center"/>
              <w:rPr>
                <w:rFonts w:cs="Times New Roman"/>
                <w:bCs/>
                <w:kern w:val="0"/>
                <w:sz w:val="18"/>
                <w:szCs w:val="18"/>
              </w:rPr>
            </w:pPr>
            <w:r>
              <w:rPr>
                <w:rFonts w:cs="Times New Roman"/>
                <w:kern w:val="0"/>
                <w:sz w:val="18"/>
                <w:szCs w:val="18"/>
              </w:rPr>
              <w:t>HF、HCl等酸雾经水喷淋+碱液喷淋处理后排放；工艺粉尘经布袋除尘处理后排放</w:t>
            </w:r>
          </w:p>
        </w:tc>
        <w:tc>
          <w:tcPr>
            <w:tcW w:w="671" w:type="pct"/>
            <w:vMerge w:val="continue"/>
            <w:vAlign w:val="center"/>
          </w:tcPr>
          <w:p w14:paraId="61FDE038">
            <w:pPr>
              <w:autoSpaceDE w:val="0"/>
              <w:autoSpaceDN w:val="0"/>
              <w:snapToGrid w:val="0"/>
              <w:spacing w:line="240" w:lineRule="auto"/>
              <w:ind w:firstLine="0" w:firstLineChars="0"/>
              <w:jc w:val="center"/>
              <w:rPr>
                <w:rFonts w:cs="Times New Roman"/>
                <w:bCs/>
                <w:kern w:val="0"/>
                <w:sz w:val="18"/>
                <w:szCs w:val="18"/>
              </w:rPr>
            </w:pPr>
          </w:p>
        </w:tc>
      </w:tr>
      <w:tr w14:paraId="2BC881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67E5B668">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D8EB357">
            <w:pPr>
              <w:widowControl/>
              <w:snapToGrid w:val="0"/>
              <w:spacing w:line="240" w:lineRule="auto"/>
              <w:ind w:firstLine="0" w:firstLineChars="0"/>
              <w:jc w:val="center"/>
              <w:rPr>
                <w:rFonts w:cs="Times New Roman"/>
                <w:bCs/>
                <w:kern w:val="0"/>
                <w:sz w:val="18"/>
                <w:szCs w:val="18"/>
              </w:rPr>
            </w:pPr>
          </w:p>
        </w:tc>
        <w:tc>
          <w:tcPr>
            <w:tcW w:w="199" w:type="pct"/>
            <w:vAlign w:val="center"/>
          </w:tcPr>
          <w:p w14:paraId="152EBB1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215E7A1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2AB52BD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10000t/a</w:t>
            </w:r>
          </w:p>
        </w:tc>
        <w:tc>
          <w:tcPr>
            <w:tcW w:w="2893" w:type="pct"/>
            <w:vAlign w:val="center"/>
          </w:tcPr>
          <w:p w14:paraId="287ECC82">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外售水泥厂</w:t>
            </w:r>
          </w:p>
        </w:tc>
        <w:tc>
          <w:tcPr>
            <w:tcW w:w="671" w:type="pct"/>
            <w:vMerge w:val="continue"/>
            <w:vAlign w:val="center"/>
          </w:tcPr>
          <w:p w14:paraId="07131792">
            <w:pPr>
              <w:autoSpaceDE w:val="0"/>
              <w:autoSpaceDN w:val="0"/>
              <w:snapToGrid w:val="0"/>
              <w:spacing w:line="240" w:lineRule="auto"/>
              <w:ind w:firstLine="0" w:firstLineChars="0"/>
              <w:jc w:val="center"/>
              <w:rPr>
                <w:rFonts w:cs="Times New Roman"/>
                <w:bCs/>
                <w:kern w:val="0"/>
                <w:sz w:val="18"/>
                <w:szCs w:val="18"/>
              </w:rPr>
            </w:pPr>
          </w:p>
        </w:tc>
      </w:tr>
      <w:tr w14:paraId="092302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3EEB98E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83</w:t>
            </w:r>
          </w:p>
          <w:p w14:paraId="588553C1">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1D44F1E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衡阳市天然气有限公司</w:t>
            </w:r>
          </w:p>
        </w:tc>
        <w:tc>
          <w:tcPr>
            <w:tcW w:w="199" w:type="pct"/>
            <w:vAlign w:val="center"/>
          </w:tcPr>
          <w:p w14:paraId="5523B49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40149E3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COD、SS、氨氮</w:t>
            </w:r>
          </w:p>
        </w:tc>
        <w:tc>
          <w:tcPr>
            <w:tcW w:w="417" w:type="pct"/>
            <w:vAlign w:val="center"/>
          </w:tcPr>
          <w:p w14:paraId="5E758CD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548 m</w:t>
            </w:r>
            <w:r>
              <w:rPr>
                <w:rFonts w:cs="Times New Roman"/>
                <w:bCs/>
                <w:kern w:val="0"/>
                <w:position w:val="8"/>
                <w:sz w:val="18"/>
                <w:szCs w:val="18"/>
              </w:rPr>
              <w:t>3</w:t>
            </w:r>
            <w:r>
              <w:rPr>
                <w:rFonts w:cs="Times New Roman"/>
                <w:bCs/>
                <w:kern w:val="0"/>
                <w:sz w:val="18"/>
                <w:szCs w:val="18"/>
              </w:rPr>
              <w:t>/a</w:t>
            </w:r>
          </w:p>
        </w:tc>
        <w:tc>
          <w:tcPr>
            <w:tcW w:w="2893" w:type="pct"/>
            <w:vAlign w:val="center"/>
          </w:tcPr>
          <w:p w14:paraId="3DD1328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不产生工艺废水；</w:t>
            </w:r>
            <w:r>
              <w:rPr>
                <w:rFonts w:cs="Times New Roman"/>
                <w:bCs/>
                <w:spacing w:val="-5"/>
                <w:kern w:val="0"/>
                <w:sz w:val="18"/>
                <w:szCs w:val="18"/>
              </w:rPr>
              <w:t>食堂废水经隔油池处理后与生活污水合流经化粪池处理，处理后的废水经经开区污水管</w:t>
            </w:r>
            <w:r>
              <w:rPr>
                <w:rFonts w:cs="Times New Roman"/>
                <w:bCs/>
                <w:kern w:val="0"/>
                <w:sz w:val="18"/>
                <w:szCs w:val="18"/>
              </w:rPr>
              <w:t>网进入松木污水处理厂进行处理</w:t>
            </w:r>
          </w:p>
        </w:tc>
        <w:tc>
          <w:tcPr>
            <w:tcW w:w="671" w:type="pct"/>
            <w:vMerge w:val="restart"/>
            <w:vAlign w:val="center"/>
          </w:tcPr>
          <w:p w14:paraId="2FA308B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27B198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1784E438">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A271492">
            <w:pPr>
              <w:widowControl/>
              <w:snapToGrid w:val="0"/>
              <w:spacing w:line="240" w:lineRule="auto"/>
              <w:ind w:firstLine="0" w:firstLineChars="0"/>
              <w:jc w:val="center"/>
              <w:rPr>
                <w:rFonts w:cs="Times New Roman"/>
                <w:bCs/>
                <w:kern w:val="0"/>
                <w:sz w:val="18"/>
                <w:szCs w:val="18"/>
              </w:rPr>
            </w:pPr>
          </w:p>
        </w:tc>
        <w:tc>
          <w:tcPr>
            <w:tcW w:w="199" w:type="pct"/>
            <w:vAlign w:val="center"/>
          </w:tcPr>
          <w:p w14:paraId="4E79911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4BB8087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甲烷、油烟</w:t>
            </w:r>
          </w:p>
        </w:tc>
        <w:tc>
          <w:tcPr>
            <w:tcW w:w="417" w:type="pct"/>
            <w:vAlign w:val="center"/>
          </w:tcPr>
          <w:p w14:paraId="3CE3F72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2774CD4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放空废气在放空管处进行燃烧；油烟废气经油烟净化器处理后经屋顶排放</w:t>
            </w:r>
          </w:p>
        </w:tc>
        <w:tc>
          <w:tcPr>
            <w:tcW w:w="671" w:type="pct"/>
            <w:vMerge w:val="continue"/>
            <w:vAlign w:val="center"/>
          </w:tcPr>
          <w:p w14:paraId="4FA74B66">
            <w:pPr>
              <w:widowControl/>
              <w:snapToGrid w:val="0"/>
              <w:spacing w:line="240" w:lineRule="auto"/>
              <w:ind w:firstLine="0" w:firstLineChars="0"/>
              <w:jc w:val="center"/>
              <w:rPr>
                <w:rFonts w:cs="Times New Roman"/>
                <w:bCs/>
                <w:kern w:val="0"/>
                <w:sz w:val="18"/>
                <w:szCs w:val="18"/>
              </w:rPr>
            </w:pPr>
          </w:p>
        </w:tc>
      </w:tr>
      <w:tr w14:paraId="091507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E8187F2">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F13275C">
            <w:pPr>
              <w:widowControl/>
              <w:snapToGrid w:val="0"/>
              <w:spacing w:line="240" w:lineRule="auto"/>
              <w:ind w:firstLine="0" w:firstLineChars="0"/>
              <w:jc w:val="center"/>
              <w:rPr>
                <w:rFonts w:cs="Times New Roman"/>
                <w:bCs/>
                <w:kern w:val="0"/>
                <w:sz w:val="18"/>
                <w:szCs w:val="18"/>
              </w:rPr>
            </w:pPr>
          </w:p>
        </w:tc>
        <w:tc>
          <w:tcPr>
            <w:tcW w:w="199" w:type="pct"/>
            <w:vAlign w:val="center"/>
          </w:tcPr>
          <w:p w14:paraId="599CEF6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746F9D4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027DFFC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7.001t/a</w:t>
            </w:r>
          </w:p>
        </w:tc>
        <w:tc>
          <w:tcPr>
            <w:tcW w:w="2893" w:type="pct"/>
            <w:vAlign w:val="center"/>
          </w:tcPr>
          <w:p w14:paraId="1F81BC7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清管产生的废渣送专业回收单位回收处理；生活垃圾交由环卫部门进行处理</w:t>
            </w:r>
          </w:p>
        </w:tc>
        <w:tc>
          <w:tcPr>
            <w:tcW w:w="671" w:type="pct"/>
            <w:vMerge w:val="continue"/>
            <w:vAlign w:val="center"/>
          </w:tcPr>
          <w:p w14:paraId="10CD781D">
            <w:pPr>
              <w:widowControl/>
              <w:snapToGrid w:val="0"/>
              <w:spacing w:line="240" w:lineRule="auto"/>
              <w:ind w:firstLine="0" w:firstLineChars="0"/>
              <w:jc w:val="center"/>
              <w:rPr>
                <w:rFonts w:cs="Times New Roman"/>
                <w:bCs/>
                <w:kern w:val="0"/>
                <w:sz w:val="18"/>
                <w:szCs w:val="18"/>
              </w:rPr>
            </w:pPr>
          </w:p>
        </w:tc>
      </w:tr>
      <w:tr w14:paraId="76824C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2099882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84</w:t>
            </w:r>
          </w:p>
          <w:p w14:paraId="202E24CC">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6D26784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衡阳市瑞启新能源有限公司</w:t>
            </w:r>
          </w:p>
        </w:tc>
        <w:tc>
          <w:tcPr>
            <w:tcW w:w="199" w:type="pct"/>
            <w:vAlign w:val="center"/>
          </w:tcPr>
          <w:p w14:paraId="4208C22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41A6B61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COD、SS、NH</w:t>
            </w:r>
            <w:r>
              <w:rPr>
                <w:rFonts w:cs="Times New Roman"/>
                <w:bCs/>
                <w:kern w:val="0"/>
                <w:sz w:val="18"/>
                <w:szCs w:val="18"/>
                <w:vertAlign w:val="subscript"/>
              </w:rPr>
              <w:t>3</w:t>
            </w:r>
            <w:r>
              <w:rPr>
                <w:rFonts w:cs="Times New Roman"/>
                <w:bCs/>
                <w:kern w:val="0"/>
                <w:sz w:val="18"/>
                <w:szCs w:val="18"/>
              </w:rPr>
              <w:t>-N</w:t>
            </w:r>
          </w:p>
        </w:tc>
        <w:tc>
          <w:tcPr>
            <w:tcW w:w="417" w:type="pct"/>
            <w:vAlign w:val="center"/>
          </w:tcPr>
          <w:p w14:paraId="2B442240">
            <w:pPr>
              <w:widowControl/>
              <w:snapToGrid w:val="0"/>
              <w:spacing w:line="240" w:lineRule="auto"/>
              <w:ind w:firstLine="0" w:firstLineChars="0"/>
              <w:jc w:val="center"/>
              <w:rPr>
                <w:rFonts w:cs="Times New Roman"/>
                <w:bCs/>
                <w:kern w:val="0"/>
                <w:sz w:val="18"/>
                <w:szCs w:val="18"/>
              </w:rPr>
            </w:pPr>
            <w:r>
              <w:rPr>
                <w:rFonts w:cs="Times New Roman"/>
                <w:bCs/>
                <w:spacing w:val="4"/>
                <w:kern w:val="0"/>
                <w:sz w:val="18"/>
                <w:szCs w:val="18"/>
              </w:rPr>
              <w:t>1134m</w:t>
            </w:r>
            <w:r>
              <w:rPr>
                <w:rFonts w:cs="Times New Roman"/>
                <w:bCs/>
                <w:spacing w:val="4"/>
                <w:kern w:val="0"/>
                <w:sz w:val="18"/>
                <w:szCs w:val="18"/>
                <w:vertAlign w:val="superscript"/>
              </w:rPr>
              <w:t>3</w:t>
            </w:r>
            <w:r>
              <w:rPr>
                <w:rFonts w:cs="Times New Roman"/>
                <w:bCs/>
                <w:spacing w:val="4"/>
                <w:kern w:val="0"/>
                <w:sz w:val="18"/>
                <w:szCs w:val="18"/>
              </w:rPr>
              <w:t>/a</w:t>
            </w:r>
          </w:p>
        </w:tc>
        <w:tc>
          <w:tcPr>
            <w:tcW w:w="2893" w:type="pct"/>
            <w:vAlign w:val="center"/>
          </w:tcPr>
          <w:p w14:paraId="6B8E42D8">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厂内化粪池预处理后排入园区污水管网输送至松木污水处理厂处理达标后排入湘江</w:t>
            </w:r>
          </w:p>
        </w:tc>
        <w:tc>
          <w:tcPr>
            <w:tcW w:w="671" w:type="pct"/>
            <w:vMerge w:val="restart"/>
            <w:vAlign w:val="center"/>
          </w:tcPr>
          <w:p w14:paraId="532929DB">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150509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596ED430">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8D005B1">
            <w:pPr>
              <w:widowControl/>
              <w:snapToGrid w:val="0"/>
              <w:spacing w:line="240" w:lineRule="auto"/>
              <w:ind w:firstLine="0" w:firstLineChars="0"/>
              <w:jc w:val="center"/>
              <w:rPr>
                <w:rFonts w:cs="Times New Roman"/>
                <w:bCs/>
                <w:kern w:val="0"/>
                <w:sz w:val="18"/>
                <w:szCs w:val="18"/>
              </w:rPr>
            </w:pPr>
          </w:p>
        </w:tc>
        <w:tc>
          <w:tcPr>
            <w:tcW w:w="199" w:type="pct"/>
            <w:vAlign w:val="center"/>
          </w:tcPr>
          <w:p w14:paraId="1E3668D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4D4FAB2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非甲烷总烃、粉尘</w:t>
            </w:r>
          </w:p>
        </w:tc>
        <w:tc>
          <w:tcPr>
            <w:tcW w:w="417" w:type="pct"/>
            <w:vAlign w:val="center"/>
          </w:tcPr>
          <w:p w14:paraId="763CB09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2B39FEA3">
            <w:pPr>
              <w:autoSpaceDE w:val="0"/>
              <w:autoSpaceDN w:val="0"/>
              <w:snapToGrid w:val="0"/>
              <w:spacing w:line="240" w:lineRule="auto"/>
              <w:ind w:firstLine="0" w:firstLineChars="0"/>
              <w:jc w:val="center"/>
              <w:rPr>
                <w:rFonts w:cs="Times New Roman"/>
                <w:bCs/>
                <w:kern w:val="0"/>
                <w:sz w:val="18"/>
                <w:szCs w:val="18"/>
              </w:rPr>
            </w:pPr>
            <w:r>
              <w:rPr>
                <w:rFonts w:cs="Times New Roman"/>
                <w:kern w:val="0"/>
                <w:sz w:val="18"/>
                <w:szCs w:val="18"/>
              </w:rPr>
              <w:t>注塑废气经活性炭吸附处理后排放；塑料边角料破碎粉尘经布袋除尘处理后排放</w:t>
            </w:r>
          </w:p>
        </w:tc>
        <w:tc>
          <w:tcPr>
            <w:tcW w:w="671" w:type="pct"/>
            <w:vMerge w:val="continue"/>
            <w:vAlign w:val="center"/>
          </w:tcPr>
          <w:p w14:paraId="13AD27E7">
            <w:pPr>
              <w:autoSpaceDE w:val="0"/>
              <w:autoSpaceDN w:val="0"/>
              <w:snapToGrid w:val="0"/>
              <w:spacing w:line="240" w:lineRule="auto"/>
              <w:ind w:firstLine="0" w:firstLineChars="0"/>
              <w:jc w:val="center"/>
              <w:rPr>
                <w:rFonts w:cs="Times New Roman"/>
                <w:bCs/>
                <w:kern w:val="0"/>
                <w:sz w:val="18"/>
                <w:szCs w:val="18"/>
              </w:rPr>
            </w:pPr>
          </w:p>
        </w:tc>
      </w:tr>
      <w:tr w14:paraId="2B151D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4925F4B7">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296D182">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4FB1B40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672CC0B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55BAE65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20t/a</w:t>
            </w:r>
          </w:p>
        </w:tc>
        <w:tc>
          <w:tcPr>
            <w:tcW w:w="2893" w:type="pct"/>
            <w:vAlign w:val="center"/>
          </w:tcPr>
          <w:p w14:paraId="4FBED5E5">
            <w:pPr>
              <w:widowControl/>
              <w:snapToGrid w:val="0"/>
              <w:ind w:firstLine="0" w:firstLineChars="0"/>
              <w:jc w:val="center"/>
              <w:rPr>
                <w:rFonts w:cs="Times New Roman"/>
                <w:bCs/>
                <w:kern w:val="0"/>
                <w:sz w:val="18"/>
                <w:szCs w:val="18"/>
              </w:rPr>
            </w:pPr>
            <w:r>
              <w:rPr>
                <w:rFonts w:cs="Times New Roman"/>
                <w:bCs/>
                <w:kern w:val="0"/>
                <w:sz w:val="18"/>
                <w:szCs w:val="18"/>
                <w:shd w:val="clear" w:color="auto" w:fill="FFFFFF"/>
              </w:rPr>
              <w:t>生活垃圾</w:t>
            </w:r>
            <w:r>
              <w:rPr>
                <w:rFonts w:cs="Times New Roman"/>
                <w:bCs/>
                <w:kern w:val="0"/>
                <w:sz w:val="18"/>
                <w:szCs w:val="18"/>
              </w:rPr>
              <w:t>集中收集后</w:t>
            </w:r>
            <w:r>
              <w:rPr>
                <w:rFonts w:cs="Times New Roman"/>
                <w:bCs/>
                <w:kern w:val="0"/>
                <w:sz w:val="18"/>
                <w:szCs w:val="18"/>
                <w:shd w:val="clear" w:color="auto" w:fill="FFFFFF"/>
              </w:rPr>
              <w:t>交由环卫部门处理</w:t>
            </w:r>
          </w:p>
        </w:tc>
        <w:tc>
          <w:tcPr>
            <w:tcW w:w="671" w:type="pct"/>
            <w:vMerge w:val="continue"/>
            <w:vAlign w:val="center"/>
          </w:tcPr>
          <w:p w14:paraId="08EE7C3E">
            <w:pPr>
              <w:widowControl/>
              <w:snapToGrid w:val="0"/>
              <w:ind w:firstLine="0" w:firstLineChars="0"/>
              <w:jc w:val="center"/>
              <w:rPr>
                <w:rFonts w:cs="Times New Roman"/>
                <w:bCs/>
                <w:kern w:val="0"/>
                <w:sz w:val="18"/>
                <w:szCs w:val="18"/>
                <w:shd w:val="clear" w:color="auto" w:fill="FFFFFF"/>
              </w:rPr>
            </w:pPr>
          </w:p>
        </w:tc>
      </w:tr>
      <w:tr w14:paraId="58D970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70B0B49">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31F1FCCE">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7A483D28">
            <w:pPr>
              <w:widowControl/>
              <w:snapToGrid w:val="0"/>
              <w:spacing w:line="240" w:lineRule="auto"/>
              <w:ind w:firstLine="0" w:firstLineChars="0"/>
              <w:jc w:val="center"/>
              <w:rPr>
                <w:rFonts w:cs="Times New Roman"/>
                <w:bCs/>
                <w:kern w:val="0"/>
                <w:sz w:val="18"/>
                <w:szCs w:val="18"/>
              </w:rPr>
            </w:pPr>
          </w:p>
        </w:tc>
        <w:tc>
          <w:tcPr>
            <w:tcW w:w="485" w:type="pct"/>
            <w:vAlign w:val="center"/>
          </w:tcPr>
          <w:p w14:paraId="428C7B1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危险废物</w:t>
            </w:r>
          </w:p>
        </w:tc>
        <w:tc>
          <w:tcPr>
            <w:tcW w:w="417" w:type="pct"/>
            <w:vAlign w:val="center"/>
          </w:tcPr>
          <w:p w14:paraId="54772A4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10.8t/a</w:t>
            </w:r>
          </w:p>
        </w:tc>
        <w:tc>
          <w:tcPr>
            <w:tcW w:w="2893" w:type="pct"/>
            <w:vAlign w:val="center"/>
          </w:tcPr>
          <w:p w14:paraId="17115214">
            <w:pPr>
              <w:widowControl/>
              <w:snapToGrid w:val="0"/>
              <w:ind w:firstLine="0" w:firstLineChars="0"/>
              <w:jc w:val="center"/>
              <w:rPr>
                <w:rFonts w:cs="Times New Roman"/>
                <w:bCs/>
                <w:kern w:val="0"/>
                <w:sz w:val="18"/>
                <w:szCs w:val="18"/>
              </w:rPr>
            </w:pPr>
            <w:r>
              <w:rPr>
                <w:rFonts w:cs="Times New Roman"/>
                <w:bCs/>
                <w:kern w:val="0"/>
                <w:sz w:val="18"/>
                <w:szCs w:val="18"/>
                <w:shd w:val="clear" w:color="auto" w:fill="FFFFFF"/>
              </w:rPr>
              <w:t>废活性炭</w:t>
            </w:r>
            <w:r>
              <w:rPr>
                <w:rFonts w:cs="Times New Roman"/>
                <w:bCs/>
                <w:kern w:val="0"/>
                <w:sz w:val="18"/>
                <w:szCs w:val="18"/>
              </w:rPr>
              <w:t>暂存危废间后，委托有危废资质的单位处理</w:t>
            </w:r>
          </w:p>
        </w:tc>
        <w:tc>
          <w:tcPr>
            <w:tcW w:w="671" w:type="pct"/>
            <w:vMerge w:val="continue"/>
            <w:vAlign w:val="center"/>
          </w:tcPr>
          <w:p w14:paraId="08469940">
            <w:pPr>
              <w:widowControl/>
              <w:snapToGrid w:val="0"/>
              <w:ind w:firstLine="0" w:firstLineChars="0"/>
              <w:jc w:val="center"/>
              <w:rPr>
                <w:rFonts w:cs="Times New Roman"/>
                <w:bCs/>
                <w:kern w:val="0"/>
                <w:sz w:val="18"/>
                <w:szCs w:val="18"/>
                <w:shd w:val="clear" w:color="auto" w:fill="FFFFFF"/>
              </w:rPr>
            </w:pPr>
          </w:p>
        </w:tc>
      </w:tr>
      <w:tr w14:paraId="0BFC0D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236C478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85</w:t>
            </w:r>
          </w:p>
          <w:p w14:paraId="1729FC83">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79C0BE7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衡阳森纳美涂装技术有限公司</w:t>
            </w:r>
          </w:p>
        </w:tc>
        <w:tc>
          <w:tcPr>
            <w:tcW w:w="199" w:type="pct"/>
            <w:vAlign w:val="center"/>
          </w:tcPr>
          <w:p w14:paraId="7A08788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282983A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pH、悬浮物、化学需氧量、五日生化需氧量、氨氮、石油类、总磷</w:t>
            </w:r>
          </w:p>
        </w:tc>
        <w:tc>
          <w:tcPr>
            <w:tcW w:w="417" w:type="pct"/>
            <w:vAlign w:val="center"/>
          </w:tcPr>
          <w:p w14:paraId="1524F44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4F0ED3BC">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生产废水经自建的污水处理站处理达到《污水综合排放标准》（GB8978-1996）三级标准后、生活污水经化粪池处理达到《污水综合排放标准》（GB8978-1996）三级标准排入松木污水处理厂</w:t>
            </w:r>
          </w:p>
        </w:tc>
        <w:tc>
          <w:tcPr>
            <w:tcW w:w="671" w:type="pct"/>
            <w:vMerge w:val="restart"/>
            <w:vAlign w:val="center"/>
          </w:tcPr>
          <w:p w14:paraId="34A21D42">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214921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514006B">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B4CBF50">
            <w:pPr>
              <w:widowControl/>
              <w:snapToGrid w:val="0"/>
              <w:spacing w:line="240" w:lineRule="auto"/>
              <w:ind w:firstLine="0" w:firstLineChars="0"/>
              <w:jc w:val="center"/>
              <w:rPr>
                <w:rFonts w:cs="Times New Roman"/>
                <w:bCs/>
                <w:kern w:val="0"/>
                <w:sz w:val="18"/>
                <w:szCs w:val="18"/>
              </w:rPr>
            </w:pPr>
          </w:p>
        </w:tc>
        <w:tc>
          <w:tcPr>
            <w:tcW w:w="199" w:type="pct"/>
            <w:vAlign w:val="center"/>
          </w:tcPr>
          <w:p w14:paraId="3575F4C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7610017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VOCs、烟尘、二氧化硫、NOx</w:t>
            </w:r>
          </w:p>
        </w:tc>
        <w:tc>
          <w:tcPr>
            <w:tcW w:w="417" w:type="pct"/>
            <w:vAlign w:val="center"/>
          </w:tcPr>
          <w:p w14:paraId="5CEB20F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74936874">
            <w:pPr>
              <w:autoSpaceDE w:val="0"/>
              <w:autoSpaceDN w:val="0"/>
              <w:snapToGrid w:val="0"/>
              <w:spacing w:line="240" w:lineRule="auto"/>
              <w:ind w:firstLine="0" w:firstLineChars="0"/>
              <w:jc w:val="center"/>
              <w:rPr>
                <w:rFonts w:cs="Times New Roman"/>
                <w:bCs/>
                <w:kern w:val="0"/>
                <w:sz w:val="18"/>
                <w:szCs w:val="18"/>
              </w:rPr>
            </w:pPr>
            <w:r>
              <w:rPr>
                <w:rFonts w:cs="Times New Roman"/>
                <w:bCs/>
                <w:kern w:val="0"/>
                <w:sz w:val="18"/>
                <w:szCs w:val="18"/>
              </w:rPr>
              <w:t>有机废气催化净化+脱臭炉处理装置处理后排放；抛丸粉尘经自带滤芯过滤后排放。</w:t>
            </w:r>
          </w:p>
        </w:tc>
        <w:tc>
          <w:tcPr>
            <w:tcW w:w="671" w:type="pct"/>
            <w:vMerge w:val="continue"/>
            <w:vAlign w:val="center"/>
          </w:tcPr>
          <w:p w14:paraId="6EB7D89C">
            <w:pPr>
              <w:autoSpaceDE w:val="0"/>
              <w:autoSpaceDN w:val="0"/>
              <w:snapToGrid w:val="0"/>
              <w:spacing w:line="240" w:lineRule="auto"/>
              <w:ind w:firstLine="0" w:firstLineChars="0"/>
              <w:jc w:val="center"/>
              <w:rPr>
                <w:rFonts w:cs="Times New Roman"/>
                <w:bCs/>
                <w:kern w:val="0"/>
                <w:sz w:val="18"/>
                <w:szCs w:val="18"/>
              </w:rPr>
            </w:pPr>
          </w:p>
        </w:tc>
      </w:tr>
      <w:tr w14:paraId="23BB1D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67AF7723">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500AD256">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4E5C145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27D4BD1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7C264A5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20t/a</w:t>
            </w:r>
          </w:p>
        </w:tc>
        <w:tc>
          <w:tcPr>
            <w:tcW w:w="2893" w:type="pct"/>
            <w:vAlign w:val="center"/>
          </w:tcPr>
          <w:p w14:paraId="2F2D6C3B">
            <w:pPr>
              <w:widowControl/>
              <w:snapToGrid w:val="0"/>
              <w:ind w:firstLine="0" w:firstLineChars="0"/>
              <w:jc w:val="center"/>
              <w:rPr>
                <w:rFonts w:cs="Times New Roman"/>
                <w:bCs/>
                <w:kern w:val="0"/>
                <w:sz w:val="18"/>
                <w:szCs w:val="18"/>
              </w:rPr>
            </w:pPr>
            <w:r>
              <w:rPr>
                <w:rFonts w:cs="Times New Roman"/>
                <w:bCs/>
                <w:kern w:val="0"/>
                <w:sz w:val="18"/>
                <w:szCs w:val="18"/>
                <w:shd w:val="clear" w:color="auto" w:fill="FFFFFF"/>
              </w:rPr>
              <w:t>生活垃圾</w:t>
            </w:r>
            <w:r>
              <w:rPr>
                <w:rFonts w:cs="Times New Roman"/>
                <w:bCs/>
                <w:kern w:val="0"/>
                <w:sz w:val="18"/>
                <w:szCs w:val="18"/>
              </w:rPr>
              <w:t>集中收集后</w:t>
            </w:r>
            <w:r>
              <w:rPr>
                <w:rFonts w:cs="Times New Roman"/>
                <w:bCs/>
                <w:kern w:val="0"/>
                <w:sz w:val="18"/>
                <w:szCs w:val="18"/>
                <w:shd w:val="clear" w:color="auto" w:fill="FFFFFF"/>
              </w:rPr>
              <w:t>交由环卫部门处理</w:t>
            </w:r>
          </w:p>
        </w:tc>
        <w:tc>
          <w:tcPr>
            <w:tcW w:w="671" w:type="pct"/>
            <w:vMerge w:val="continue"/>
            <w:vAlign w:val="center"/>
          </w:tcPr>
          <w:p w14:paraId="0D2A6B9C">
            <w:pPr>
              <w:widowControl/>
              <w:snapToGrid w:val="0"/>
              <w:ind w:firstLine="0" w:firstLineChars="0"/>
              <w:jc w:val="center"/>
              <w:rPr>
                <w:rFonts w:cs="Times New Roman"/>
                <w:bCs/>
                <w:kern w:val="0"/>
                <w:sz w:val="18"/>
                <w:szCs w:val="18"/>
                <w:shd w:val="clear" w:color="auto" w:fill="FFFFFF"/>
              </w:rPr>
            </w:pPr>
          </w:p>
        </w:tc>
      </w:tr>
      <w:tr w14:paraId="7686D9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5E157E1">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994311B">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66A8A7EA">
            <w:pPr>
              <w:widowControl/>
              <w:snapToGrid w:val="0"/>
              <w:spacing w:line="240" w:lineRule="auto"/>
              <w:ind w:firstLine="0" w:firstLineChars="0"/>
              <w:jc w:val="center"/>
              <w:rPr>
                <w:rFonts w:cs="Times New Roman"/>
                <w:bCs/>
                <w:kern w:val="0"/>
                <w:sz w:val="18"/>
                <w:szCs w:val="18"/>
              </w:rPr>
            </w:pPr>
          </w:p>
        </w:tc>
        <w:tc>
          <w:tcPr>
            <w:tcW w:w="485" w:type="pct"/>
            <w:vAlign w:val="center"/>
          </w:tcPr>
          <w:p w14:paraId="2A3E7A8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危险废物</w:t>
            </w:r>
          </w:p>
        </w:tc>
        <w:tc>
          <w:tcPr>
            <w:tcW w:w="417" w:type="pct"/>
            <w:vAlign w:val="center"/>
          </w:tcPr>
          <w:p w14:paraId="5A65CC2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4/a</w:t>
            </w:r>
          </w:p>
        </w:tc>
        <w:tc>
          <w:tcPr>
            <w:tcW w:w="2893" w:type="pct"/>
            <w:vAlign w:val="center"/>
          </w:tcPr>
          <w:p w14:paraId="6F75B723">
            <w:pPr>
              <w:widowControl/>
              <w:snapToGrid w:val="0"/>
              <w:ind w:firstLine="0" w:firstLineChars="0"/>
              <w:jc w:val="center"/>
              <w:rPr>
                <w:rFonts w:cs="Times New Roman"/>
                <w:bCs/>
                <w:kern w:val="0"/>
                <w:sz w:val="18"/>
                <w:szCs w:val="18"/>
              </w:rPr>
            </w:pPr>
            <w:r>
              <w:rPr>
                <w:rFonts w:cs="Times New Roman"/>
                <w:bCs/>
                <w:kern w:val="0"/>
                <w:sz w:val="18"/>
                <w:szCs w:val="18"/>
                <w:shd w:val="clear" w:color="auto" w:fill="FFFFFF"/>
              </w:rPr>
              <w:t>危险废物</w:t>
            </w:r>
            <w:r>
              <w:rPr>
                <w:rFonts w:cs="Times New Roman"/>
                <w:bCs/>
                <w:kern w:val="0"/>
                <w:sz w:val="18"/>
                <w:szCs w:val="18"/>
              </w:rPr>
              <w:t>暂存危废间后，委托有危废资质的单位处理</w:t>
            </w:r>
          </w:p>
        </w:tc>
        <w:tc>
          <w:tcPr>
            <w:tcW w:w="671" w:type="pct"/>
            <w:vMerge w:val="continue"/>
            <w:vAlign w:val="center"/>
          </w:tcPr>
          <w:p w14:paraId="24CE73D7">
            <w:pPr>
              <w:widowControl/>
              <w:snapToGrid w:val="0"/>
              <w:ind w:firstLine="0" w:firstLineChars="0"/>
              <w:jc w:val="center"/>
              <w:rPr>
                <w:rFonts w:cs="Times New Roman"/>
                <w:bCs/>
                <w:kern w:val="0"/>
                <w:sz w:val="18"/>
                <w:szCs w:val="18"/>
                <w:shd w:val="clear" w:color="auto" w:fill="FFFFFF"/>
              </w:rPr>
            </w:pPr>
          </w:p>
        </w:tc>
      </w:tr>
      <w:tr w14:paraId="0CD9F0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2DCAE8B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86</w:t>
            </w:r>
          </w:p>
          <w:p w14:paraId="57F3FF5B">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6CC4143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衡阳市盛泰物流有限公司</w:t>
            </w:r>
          </w:p>
        </w:tc>
        <w:tc>
          <w:tcPr>
            <w:tcW w:w="199" w:type="pct"/>
            <w:vAlign w:val="center"/>
          </w:tcPr>
          <w:p w14:paraId="52ED356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0A1C2ACD">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SS、COD、氨氮</w:t>
            </w:r>
          </w:p>
        </w:tc>
        <w:tc>
          <w:tcPr>
            <w:tcW w:w="417" w:type="pct"/>
            <w:vAlign w:val="center"/>
          </w:tcPr>
          <w:p w14:paraId="76E459E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6194257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生活污水经化粪池预处理后经经开区污水管网进入松木污水处理厂进行处理</w:t>
            </w:r>
          </w:p>
        </w:tc>
        <w:tc>
          <w:tcPr>
            <w:tcW w:w="671" w:type="pct"/>
            <w:vMerge w:val="restart"/>
            <w:vAlign w:val="center"/>
          </w:tcPr>
          <w:p w14:paraId="7B675A8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595261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1A880B48">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0E16C49E">
            <w:pPr>
              <w:widowControl/>
              <w:snapToGrid w:val="0"/>
              <w:spacing w:line="240" w:lineRule="auto"/>
              <w:ind w:firstLine="0" w:firstLineChars="0"/>
              <w:jc w:val="center"/>
              <w:rPr>
                <w:rFonts w:cs="Times New Roman"/>
                <w:bCs/>
                <w:kern w:val="0"/>
                <w:sz w:val="18"/>
                <w:szCs w:val="18"/>
              </w:rPr>
            </w:pPr>
          </w:p>
        </w:tc>
        <w:tc>
          <w:tcPr>
            <w:tcW w:w="199" w:type="pct"/>
            <w:vAlign w:val="center"/>
          </w:tcPr>
          <w:p w14:paraId="5BD1ADA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66E114D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汽车尾气</w:t>
            </w:r>
          </w:p>
        </w:tc>
        <w:tc>
          <w:tcPr>
            <w:tcW w:w="417" w:type="pct"/>
            <w:vAlign w:val="center"/>
          </w:tcPr>
          <w:p w14:paraId="6F097B9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27F16660">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不进行处理，直接排至大气中</w:t>
            </w:r>
          </w:p>
        </w:tc>
        <w:tc>
          <w:tcPr>
            <w:tcW w:w="671" w:type="pct"/>
            <w:vMerge w:val="continue"/>
            <w:vAlign w:val="center"/>
          </w:tcPr>
          <w:p w14:paraId="74F83FF0">
            <w:pPr>
              <w:widowControl/>
              <w:snapToGrid w:val="0"/>
              <w:spacing w:line="240" w:lineRule="auto"/>
              <w:ind w:firstLine="0" w:firstLineChars="0"/>
              <w:jc w:val="center"/>
              <w:rPr>
                <w:rFonts w:cs="Times New Roman"/>
                <w:bCs/>
                <w:kern w:val="0"/>
                <w:sz w:val="18"/>
                <w:szCs w:val="18"/>
              </w:rPr>
            </w:pPr>
          </w:p>
        </w:tc>
      </w:tr>
      <w:tr w14:paraId="67A332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70AA34A3">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2926C24C">
            <w:pPr>
              <w:widowControl/>
              <w:snapToGrid w:val="0"/>
              <w:spacing w:line="240" w:lineRule="auto"/>
              <w:ind w:firstLine="0" w:firstLineChars="0"/>
              <w:jc w:val="center"/>
              <w:rPr>
                <w:rFonts w:cs="Times New Roman"/>
                <w:bCs/>
                <w:kern w:val="0"/>
                <w:sz w:val="18"/>
                <w:szCs w:val="18"/>
              </w:rPr>
            </w:pPr>
          </w:p>
        </w:tc>
        <w:tc>
          <w:tcPr>
            <w:tcW w:w="199" w:type="pct"/>
            <w:vAlign w:val="center"/>
          </w:tcPr>
          <w:p w14:paraId="2917D77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59C136A6">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6ED63EFC">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c>
          <w:tcPr>
            <w:tcW w:w="2893" w:type="pct"/>
            <w:vAlign w:val="center"/>
          </w:tcPr>
          <w:p w14:paraId="5457C07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生活垃圾交由环卫部门进行处理</w:t>
            </w:r>
          </w:p>
        </w:tc>
        <w:tc>
          <w:tcPr>
            <w:tcW w:w="671" w:type="pct"/>
            <w:vMerge w:val="continue"/>
            <w:vAlign w:val="center"/>
          </w:tcPr>
          <w:p w14:paraId="249B73C0">
            <w:pPr>
              <w:widowControl/>
              <w:snapToGrid w:val="0"/>
              <w:spacing w:line="240" w:lineRule="auto"/>
              <w:ind w:firstLine="0" w:firstLineChars="0"/>
              <w:jc w:val="center"/>
              <w:rPr>
                <w:rFonts w:cs="Times New Roman"/>
                <w:bCs/>
                <w:kern w:val="0"/>
                <w:sz w:val="18"/>
                <w:szCs w:val="18"/>
              </w:rPr>
            </w:pPr>
          </w:p>
        </w:tc>
      </w:tr>
      <w:tr w14:paraId="6E3EFF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restart"/>
            <w:vAlign w:val="center"/>
          </w:tcPr>
          <w:p w14:paraId="35BF10D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87</w:t>
            </w:r>
          </w:p>
          <w:p w14:paraId="73B728F6">
            <w:pPr>
              <w:widowControl/>
              <w:snapToGrid w:val="0"/>
              <w:spacing w:line="240" w:lineRule="auto"/>
              <w:ind w:firstLine="0" w:firstLineChars="0"/>
              <w:jc w:val="center"/>
              <w:rPr>
                <w:rFonts w:cs="Times New Roman"/>
                <w:bCs/>
                <w:kern w:val="0"/>
                <w:sz w:val="18"/>
                <w:szCs w:val="18"/>
              </w:rPr>
            </w:pPr>
          </w:p>
        </w:tc>
        <w:tc>
          <w:tcPr>
            <w:tcW w:w="231" w:type="pct"/>
            <w:vMerge w:val="restart"/>
            <w:vAlign w:val="center"/>
          </w:tcPr>
          <w:p w14:paraId="6B52D24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湖南兆瑞华展再生资源回收有限公司</w:t>
            </w:r>
          </w:p>
        </w:tc>
        <w:tc>
          <w:tcPr>
            <w:tcW w:w="199" w:type="pct"/>
            <w:vAlign w:val="center"/>
          </w:tcPr>
          <w:p w14:paraId="1318E2C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废水</w:t>
            </w:r>
          </w:p>
        </w:tc>
        <w:tc>
          <w:tcPr>
            <w:tcW w:w="485" w:type="pct"/>
            <w:vAlign w:val="center"/>
          </w:tcPr>
          <w:p w14:paraId="70CA5BD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COD、氨氮、SS、Pb</w:t>
            </w:r>
          </w:p>
        </w:tc>
        <w:tc>
          <w:tcPr>
            <w:tcW w:w="417" w:type="pct"/>
            <w:vAlign w:val="center"/>
          </w:tcPr>
          <w:p w14:paraId="51BC9759">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290.88t/a</w:t>
            </w:r>
          </w:p>
        </w:tc>
        <w:tc>
          <w:tcPr>
            <w:tcW w:w="2893" w:type="pct"/>
            <w:vAlign w:val="center"/>
          </w:tcPr>
          <w:p w14:paraId="3DEB0FB8">
            <w:pPr>
              <w:widowControl/>
              <w:snapToGrid w:val="0"/>
              <w:spacing w:line="240" w:lineRule="auto"/>
              <w:ind w:firstLine="0" w:firstLineChars="0"/>
              <w:jc w:val="center"/>
              <w:rPr>
                <w:rFonts w:cs="Times New Roman"/>
                <w:bCs/>
                <w:kern w:val="0"/>
                <w:sz w:val="18"/>
                <w:szCs w:val="18"/>
              </w:rPr>
            </w:pPr>
            <w:r>
              <w:rPr>
                <w:rFonts w:cs="Times New Roman"/>
                <w:bCs/>
                <w:spacing w:val="-4"/>
                <w:kern w:val="0"/>
                <w:sz w:val="18"/>
                <w:szCs w:val="18"/>
              </w:rPr>
              <w:t>厂区地面清洁拖洗废水：经沉淀池沉淀后收集至吨桶内</w:t>
            </w:r>
            <w:r>
              <w:rPr>
                <w:rFonts w:cs="Times New Roman"/>
                <w:bCs/>
                <w:kern w:val="0"/>
                <w:sz w:val="18"/>
                <w:szCs w:val="18"/>
              </w:rPr>
              <w:t>（</w:t>
            </w:r>
            <w:r>
              <w:rPr>
                <w:rFonts w:cs="Times New Roman"/>
                <w:bCs/>
                <w:spacing w:val="-6"/>
                <w:kern w:val="0"/>
                <w:sz w:val="18"/>
                <w:szCs w:val="18"/>
              </w:rPr>
              <w:t>耐酸、防渗</w:t>
            </w:r>
            <w:r>
              <w:rPr>
                <w:rFonts w:cs="Times New Roman"/>
                <w:bCs/>
                <w:spacing w:val="-26"/>
                <w:kern w:val="0"/>
                <w:sz w:val="18"/>
                <w:szCs w:val="18"/>
              </w:rPr>
              <w:t>）</w:t>
            </w:r>
            <w:r>
              <w:rPr>
                <w:rFonts w:cs="Times New Roman"/>
                <w:bCs/>
                <w:spacing w:val="-2"/>
                <w:kern w:val="0"/>
                <w:sz w:val="18"/>
                <w:szCs w:val="18"/>
              </w:rPr>
              <w:t>与沉淀渣一起定期</w:t>
            </w:r>
            <w:r>
              <w:rPr>
                <w:rFonts w:cs="Times New Roman"/>
                <w:bCs/>
                <w:kern w:val="0"/>
                <w:sz w:val="18"/>
                <w:szCs w:val="18"/>
              </w:rPr>
              <w:t>送至有资质单位处理，不外排；</w:t>
            </w:r>
          </w:p>
          <w:p w14:paraId="350B2C4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生活污水经化粪池处理后进入城市污水管网送至松木污水处理厂处理达标后排放</w:t>
            </w:r>
          </w:p>
        </w:tc>
        <w:tc>
          <w:tcPr>
            <w:tcW w:w="671" w:type="pct"/>
            <w:vMerge w:val="restart"/>
            <w:vAlign w:val="center"/>
          </w:tcPr>
          <w:p w14:paraId="6610726E">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w:t>
            </w:r>
          </w:p>
        </w:tc>
      </w:tr>
      <w:tr w14:paraId="561C2A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39EBFF01">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7B1B420F">
            <w:pPr>
              <w:widowControl/>
              <w:snapToGrid w:val="0"/>
              <w:spacing w:line="240" w:lineRule="auto"/>
              <w:ind w:firstLine="0" w:firstLineChars="0"/>
              <w:jc w:val="center"/>
              <w:rPr>
                <w:rFonts w:cs="Times New Roman"/>
                <w:bCs/>
                <w:kern w:val="0"/>
                <w:sz w:val="18"/>
                <w:szCs w:val="18"/>
              </w:rPr>
            </w:pPr>
          </w:p>
        </w:tc>
        <w:tc>
          <w:tcPr>
            <w:tcW w:w="199" w:type="pct"/>
            <w:vAlign w:val="center"/>
          </w:tcPr>
          <w:p w14:paraId="56632261">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废气</w:t>
            </w:r>
          </w:p>
        </w:tc>
        <w:tc>
          <w:tcPr>
            <w:tcW w:w="485" w:type="pct"/>
            <w:vAlign w:val="center"/>
          </w:tcPr>
          <w:p w14:paraId="54CCEF43">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颗粒物、硫酸雾</w:t>
            </w:r>
          </w:p>
        </w:tc>
        <w:tc>
          <w:tcPr>
            <w:tcW w:w="417" w:type="pct"/>
            <w:vAlign w:val="center"/>
          </w:tcPr>
          <w:p w14:paraId="37E85CA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少量</w:t>
            </w:r>
          </w:p>
        </w:tc>
        <w:tc>
          <w:tcPr>
            <w:tcW w:w="2893" w:type="pct"/>
            <w:vAlign w:val="center"/>
          </w:tcPr>
          <w:p w14:paraId="38E7746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车间废气经抽风系统外排；</w:t>
            </w:r>
          </w:p>
          <w:p w14:paraId="50825EB4">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食堂油烟废气经油烟净化设施处理后由专用烟道至屋顶后高空排放</w:t>
            </w:r>
          </w:p>
        </w:tc>
        <w:tc>
          <w:tcPr>
            <w:tcW w:w="671" w:type="pct"/>
            <w:vMerge w:val="continue"/>
            <w:vAlign w:val="center"/>
          </w:tcPr>
          <w:p w14:paraId="3F173969">
            <w:pPr>
              <w:widowControl/>
              <w:snapToGrid w:val="0"/>
              <w:spacing w:line="240" w:lineRule="auto"/>
              <w:ind w:firstLine="0" w:firstLineChars="0"/>
              <w:jc w:val="center"/>
              <w:rPr>
                <w:rFonts w:cs="Times New Roman"/>
                <w:bCs/>
                <w:kern w:val="0"/>
                <w:sz w:val="18"/>
                <w:szCs w:val="18"/>
              </w:rPr>
            </w:pPr>
          </w:p>
        </w:tc>
      </w:tr>
      <w:tr w14:paraId="691E45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469DD80F">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649A65F6">
            <w:pPr>
              <w:widowControl/>
              <w:snapToGrid w:val="0"/>
              <w:spacing w:line="240" w:lineRule="auto"/>
              <w:ind w:firstLine="0" w:firstLineChars="0"/>
              <w:jc w:val="center"/>
              <w:rPr>
                <w:rFonts w:cs="Times New Roman"/>
                <w:bCs/>
                <w:kern w:val="0"/>
                <w:sz w:val="18"/>
                <w:szCs w:val="18"/>
              </w:rPr>
            </w:pPr>
          </w:p>
        </w:tc>
        <w:tc>
          <w:tcPr>
            <w:tcW w:w="199" w:type="pct"/>
            <w:vMerge w:val="restart"/>
            <w:vAlign w:val="center"/>
          </w:tcPr>
          <w:p w14:paraId="2B262377">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固废</w:t>
            </w:r>
          </w:p>
        </w:tc>
        <w:tc>
          <w:tcPr>
            <w:tcW w:w="485" w:type="pct"/>
            <w:vAlign w:val="center"/>
          </w:tcPr>
          <w:p w14:paraId="6179D742">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一般固废</w:t>
            </w:r>
          </w:p>
        </w:tc>
        <w:tc>
          <w:tcPr>
            <w:tcW w:w="417" w:type="pct"/>
            <w:vAlign w:val="center"/>
          </w:tcPr>
          <w:p w14:paraId="0A7BD7A8">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0.75t/a</w:t>
            </w:r>
          </w:p>
        </w:tc>
        <w:tc>
          <w:tcPr>
            <w:tcW w:w="2893" w:type="pct"/>
            <w:vAlign w:val="center"/>
          </w:tcPr>
          <w:p w14:paraId="18D56955">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生活垃圾交由环卫部门进行处理</w:t>
            </w:r>
          </w:p>
        </w:tc>
        <w:tc>
          <w:tcPr>
            <w:tcW w:w="671" w:type="pct"/>
            <w:vMerge w:val="continue"/>
            <w:vAlign w:val="center"/>
          </w:tcPr>
          <w:p w14:paraId="519F455B">
            <w:pPr>
              <w:widowControl/>
              <w:snapToGrid w:val="0"/>
              <w:spacing w:line="240" w:lineRule="auto"/>
              <w:ind w:firstLine="0" w:firstLineChars="0"/>
              <w:jc w:val="center"/>
              <w:rPr>
                <w:rFonts w:cs="Times New Roman"/>
                <w:bCs/>
                <w:kern w:val="0"/>
                <w:sz w:val="18"/>
                <w:szCs w:val="18"/>
              </w:rPr>
            </w:pPr>
          </w:p>
        </w:tc>
      </w:tr>
      <w:tr w14:paraId="7AC663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100" w:type="pct"/>
            <w:vMerge w:val="continue"/>
            <w:vAlign w:val="center"/>
          </w:tcPr>
          <w:p w14:paraId="07A6040B">
            <w:pPr>
              <w:widowControl/>
              <w:snapToGrid w:val="0"/>
              <w:spacing w:line="240" w:lineRule="auto"/>
              <w:ind w:firstLine="0" w:firstLineChars="0"/>
              <w:jc w:val="center"/>
              <w:rPr>
                <w:rFonts w:cs="Times New Roman"/>
                <w:bCs/>
                <w:kern w:val="0"/>
                <w:sz w:val="18"/>
                <w:szCs w:val="18"/>
              </w:rPr>
            </w:pPr>
          </w:p>
        </w:tc>
        <w:tc>
          <w:tcPr>
            <w:tcW w:w="231" w:type="pct"/>
            <w:vMerge w:val="continue"/>
            <w:vAlign w:val="center"/>
          </w:tcPr>
          <w:p w14:paraId="4B759A2B">
            <w:pPr>
              <w:widowControl/>
              <w:snapToGrid w:val="0"/>
              <w:spacing w:line="240" w:lineRule="auto"/>
              <w:ind w:firstLine="0" w:firstLineChars="0"/>
              <w:jc w:val="center"/>
              <w:rPr>
                <w:rFonts w:cs="Times New Roman"/>
                <w:bCs/>
                <w:kern w:val="0"/>
                <w:sz w:val="18"/>
                <w:szCs w:val="18"/>
              </w:rPr>
            </w:pPr>
          </w:p>
        </w:tc>
        <w:tc>
          <w:tcPr>
            <w:tcW w:w="199" w:type="pct"/>
            <w:vMerge w:val="continue"/>
            <w:vAlign w:val="center"/>
          </w:tcPr>
          <w:p w14:paraId="025EE605">
            <w:pPr>
              <w:widowControl/>
              <w:snapToGrid w:val="0"/>
              <w:spacing w:line="240" w:lineRule="auto"/>
              <w:ind w:firstLine="0" w:firstLineChars="0"/>
              <w:jc w:val="center"/>
              <w:rPr>
                <w:rFonts w:cs="Times New Roman"/>
                <w:bCs/>
                <w:kern w:val="0"/>
                <w:sz w:val="18"/>
                <w:szCs w:val="18"/>
              </w:rPr>
            </w:pPr>
          </w:p>
        </w:tc>
        <w:tc>
          <w:tcPr>
            <w:tcW w:w="485" w:type="pct"/>
            <w:vAlign w:val="center"/>
          </w:tcPr>
          <w:p w14:paraId="79BAB20B">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危险固废</w:t>
            </w:r>
          </w:p>
        </w:tc>
        <w:tc>
          <w:tcPr>
            <w:tcW w:w="417" w:type="pct"/>
            <w:vAlign w:val="center"/>
          </w:tcPr>
          <w:p w14:paraId="1036FF3A">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0.45t/a</w:t>
            </w:r>
          </w:p>
        </w:tc>
        <w:tc>
          <w:tcPr>
            <w:tcW w:w="2893" w:type="pct"/>
            <w:vAlign w:val="center"/>
          </w:tcPr>
          <w:p w14:paraId="64348F1B">
            <w:pPr>
              <w:widowControl/>
              <w:snapToGrid w:val="0"/>
              <w:spacing w:line="240" w:lineRule="auto"/>
              <w:ind w:firstLine="0" w:firstLineChars="0"/>
              <w:jc w:val="center"/>
              <w:rPr>
                <w:rFonts w:cs="Times New Roman"/>
                <w:bCs/>
                <w:kern w:val="0"/>
                <w:sz w:val="18"/>
                <w:szCs w:val="18"/>
              </w:rPr>
            </w:pPr>
            <w:r>
              <w:rPr>
                <w:rFonts w:cs="Times New Roman"/>
                <w:bCs/>
                <w:spacing w:val="-8"/>
                <w:kern w:val="0"/>
                <w:sz w:val="18"/>
                <w:szCs w:val="18"/>
              </w:rPr>
              <w:t>废旧个体防护装备、废拖把、废抹布、废铅酸蓄电池泄漏液、厂区地面清洁废水沉渣等由</w:t>
            </w:r>
          </w:p>
          <w:p w14:paraId="1F0340AF">
            <w:pPr>
              <w:widowControl/>
              <w:snapToGrid w:val="0"/>
              <w:spacing w:line="240" w:lineRule="auto"/>
              <w:ind w:firstLine="0" w:firstLineChars="0"/>
              <w:jc w:val="center"/>
              <w:rPr>
                <w:rFonts w:cs="Times New Roman"/>
                <w:bCs/>
                <w:kern w:val="0"/>
                <w:sz w:val="18"/>
                <w:szCs w:val="18"/>
              </w:rPr>
            </w:pPr>
            <w:r>
              <w:rPr>
                <w:rFonts w:cs="Times New Roman"/>
                <w:bCs/>
                <w:kern w:val="0"/>
                <w:sz w:val="18"/>
                <w:szCs w:val="18"/>
              </w:rPr>
              <w:t>带盖专用桶收集暂存后交由有资质单位进行处理</w:t>
            </w:r>
          </w:p>
        </w:tc>
        <w:tc>
          <w:tcPr>
            <w:tcW w:w="671" w:type="pct"/>
            <w:vMerge w:val="continue"/>
            <w:vAlign w:val="center"/>
          </w:tcPr>
          <w:p w14:paraId="04E11F09">
            <w:pPr>
              <w:widowControl/>
              <w:snapToGrid w:val="0"/>
              <w:spacing w:line="240" w:lineRule="auto"/>
              <w:ind w:firstLine="0" w:firstLineChars="0"/>
              <w:jc w:val="center"/>
              <w:rPr>
                <w:rFonts w:cs="Times New Roman"/>
                <w:bCs/>
                <w:kern w:val="0"/>
                <w:sz w:val="18"/>
                <w:szCs w:val="18"/>
              </w:rPr>
            </w:pPr>
          </w:p>
        </w:tc>
      </w:tr>
    </w:tbl>
    <w:p w14:paraId="2D718189">
      <w:pPr>
        <w:ind w:firstLine="0" w:firstLineChars="0"/>
      </w:pPr>
    </w:p>
    <w:p w14:paraId="5FFB68F5">
      <w:pPr>
        <w:ind w:firstLine="0" w:firstLineChars="0"/>
      </w:pPr>
    </w:p>
    <w:p w14:paraId="0E9BB6ED">
      <w:pPr>
        <w:ind w:firstLine="0" w:firstLineChars="0"/>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7C64B388">
      <w:pPr>
        <w:pStyle w:val="3"/>
        <w:numPr>
          <w:ilvl w:val="1"/>
          <w:numId w:val="1"/>
        </w:numPr>
      </w:pPr>
      <w:bookmarkStart w:id="161" w:name="_Toc7498"/>
      <w:bookmarkStart w:id="162" w:name="_Toc11982"/>
      <w:bookmarkStart w:id="163" w:name="_Toc22953"/>
      <w:r>
        <w:rPr>
          <w:rFonts w:hint="eastAsia"/>
        </w:rPr>
        <w:t>松木经开区近几年环境质量改善工作及成效</w:t>
      </w:r>
      <w:bookmarkEnd w:id="161"/>
    </w:p>
    <w:p w14:paraId="07B78135">
      <w:pPr>
        <w:pStyle w:val="4"/>
        <w:numPr>
          <w:ilvl w:val="2"/>
          <w:numId w:val="1"/>
        </w:numPr>
      </w:pPr>
      <w:r>
        <w:rPr>
          <w:rFonts w:hint="eastAsia"/>
        </w:rPr>
        <w:t>大气环境质量改善方面</w:t>
      </w:r>
    </w:p>
    <w:p w14:paraId="1D6199C5">
      <w:pPr>
        <w:ind w:firstLine="482"/>
        <w:rPr>
          <w:b/>
          <w:bCs/>
        </w:rPr>
      </w:pPr>
      <w:r>
        <w:rPr>
          <w:rFonts w:hint="eastAsia"/>
          <w:b/>
          <w:bCs/>
        </w:rPr>
        <w:t>1、企业废气治理提标改造工作情况</w:t>
      </w:r>
    </w:p>
    <w:p w14:paraId="0A9C3509">
      <w:pPr>
        <w:ind w:firstLine="480"/>
      </w:pPr>
      <w:r>
        <w:rPr>
          <w:rFonts w:hint="eastAsia"/>
        </w:rPr>
        <w:t>在衡阳市委市政府、市直相关部门、松木经开区管委会的高度重视下，园区先后委托和聘请省市监测中心、南京开元公司、生态环境部华南环科所进行走航监测，并精准溯源，全面掌握了园区大气污染特征，建立污染源管控清单。</w:t>
      </w:r>
    </w:p>
    <w:p w14:paraId="2E9184B2">
      <w:pPr>
        <w:ind w:firstLine="480"/>
      </w:pPr>
      <w:r>
        <w:rPr>
          <w:rFonts w:hint="eastAsia"/>
        </w:rPr>
        <w:t>2019年12月至2020年2月，根据南京开元公司的走航溯源成果，实施第一轮提标改造，制定了氯气、氯化氢排放量减少50%的整改方案，责令企业按照“一企一策”实施超低排改造。2020年5月，针对一些短板问题，又启动了第二轮特别排放限值改造。到2020年年底，企业共投入9000余万元进行改造，除了达利化工停产退出园区、捷瑞化工五氯酚钠项目整改无望现已搬迁外，其他企业都已完成第一轮、第二轮的提标改造。</w:t>
      </w:r>
    </w:p>
    <w:p w14:paraId="40DAF911">
      <w:pPr>
        <w:ind w:firstLine="480"/>
      </w:pPr>
      <w:r>
        <w:rPr>
          <w:rFonts w:hint="eastAsia"/>
        </w:rPr>
        <w:t>2021年7月，根据生态环境部华南环科所提供的溯源结果，经开区开始实施第三轮深度治理，并明确了深度治理的目标任务：在2020年的基础上，SO2、硫酸雾、VOCs分别再减排30%、20%、10%以上。经开区下发整改交办函，企业制定了“一企一策”整治方案。目前，除个别企业因整治工程量大尚未完成外，其他企业已全部完成深度治理工作。</w:t>
      </w:r>
    </w:p>
    <w:p w14:paraId="691BC8EF">
      <w:pPr>
        <w:ind w:firstLine="482"/>
        <w:rPr>
          <w:b/>
          <w:bCs/>
        </w:rPr>
      </w:pPr>
      <w:r>
        <w:rPr>
          <w:rFonts w:hint="eastAsia"/>
          <w:b/>
          <w:bCs/>
        </w:rPr>
        <w:t>2、监管监督执法方面工作情况</w:t>
      </w:r>
    </w:p>
    <w:p w14:paraId="6069B84A">
      <w:pPr>
        <w:ind w:firstLine="480"/>
      </w:pPr>
      <w:r>
        <w:rPr>
          <w:rFonts w:hint="eastAsia"/>
        </w:rPr>
        <w:t>（1）加强智能监管。园区及企业投入近5000万元，建成了环保监控平台，将企业的监控视频、在线监测数据接入平台，进行预警；安装了1个空气综合监测站、5个环境空气监测小微站、43台在线监控设备。在15家企业36处环保设施上安装了215个电能监测点，实时掌握环保设施的运行情况。</w:t>
      </w:r>
    </w:p>
    <w:p w14:paraId="520BF5EE">
      <w:pPr>
        <w:ind w:firstLine="480"/>
      </w:pPr>
      <w:r>
        <w:rPr>
          <w:rFonts w:hint="eastAsia"/>
        </w:rPr>
        <w:t>（2）加强巡查排查。通过成立环保志愿者协会，组织园区干部、企业职工、“衡阳群众”开展日查夜巡；聘请两个专业机构担任园区“环保管家”，为经开区提供技术服务和专业指导，指导帮助企业排查问题、解决问题。对排气筒，除了安装在线监测仪器外，在安全无害的情况下，设立了人工嗅味引流管，便于检查时就近闻异味。</w:t>
      </w:r>
    </w:p>
    <w:p w14:paraId="1C769D70">
      <w:pPr>
        <w:ind w:firstLine="480"/>
      </w:pPr>
      <w:r>
        <w:rPr>
          <w:rFonts w:hint="eastAsia"/>
        </w:rPr>
        <w:t>（3）加强执法检查。设立了市生态环境综合执法支队园区大队，增强了执法工作力度。对生态环境违法非法行为予以坚决打击，今年已对鸿宇化工、嘉励器材等4家存在环境违法非法行为的企业进行了处罚。</w:t>
      </w:r>
    </w:p>
    <w:p w14:paraId="405F2893">
      <w:pPr>
        <w:ind w:firstLine="480"/>
      </w:pPr>
      <w:r>
        <w:rPr>
          <w:rFonts w:hint="eastAsia"/>
        </w:rPr>
        <w:t>（4）加强精细管控。在全省第一个在园区内建设了小微站；在国内第一个在排气筒上设置了人工嗅味管；在国内第一个实行超标积分制考核管理，小时均值超过园区管控标准或瞬时值超过国家标准，将予以扣分，达到12分将停产一周；在国内第一个将瞬间值超标纳入环境管理，瞬时值超过国家标准将扣分，促进企业稳定超低排放；在国内第一个对企业开停机实行审批管理，企业开停机必须报经开区管委会、生态环境部门审批，并报备开停机环保预案，防止开停机时超标；在国内第一个制定了园区大气污染物管控标准，园区管控标准达到或严于特别排放限值或超低排放标准，小时均值超过园区管控标准，将予以扣分。</w:t>
      </w:r>
    </w:p>
    <w:p w14:paraId="2B25A59E">
      <w:pPr>
        <w:ind w:firstLine="480"/>
      </w:pPr>
      <w:r>
        <w:rPr>
          <w:rFonts w:hint="eastAsia"/>
        </w:rPr>
        <w:t>（5）积极沟通交流，及时通报大气整治情况。从2021年8月29日开始，经开区主要领导、分管领导租住鸿豪城小区，与群众代表面对面沟通交流。近两年来，经开区领导与群众代表进行座谈交流超过10次以上，同时，组织部分群众代表到企业监督其提标改造。不断完善居民小区环境空气质量综合监测体系，对居民群众关心的环境空气质量指标进行实时监测，群众代表可在手机APP上随时查看监测数据。租住在鸿豪城小区的华南环科所的科研人员也利用专业知识，引导居民群众理性看待空气质量问题。</w:t>
      </w:r>
    </w:p>
    <w:p w14:paraId="57E270BA">
      <w:pPr>
        <w:ind w:firstLine="482"/>
        <w:rPr>
          <w:b/>
          <w:bCs/>
        </w:rPr>
      </w:pPr>
      <w:r>
        <w:rPr>
          <w:rFonts w:hint="eastAsia"/>
          <w:b/>
          <w:bCs/>
        </w:rPr>
        <w:t>3、取得的成效</w:t>
      </w:r>
    </w:p>
    <w:p w14:paraId="5AC7BB13">
      <w:pPr>
        <w:ind w:firstLine="480"/>
      </w:pPr>
      <w:r>
        <w:rPr>
          <w:rFonts w:hint="eastAsia"/>
        </w:rPr>
        <w:t>（1）污染因子、投诉的异味种类明显减少。2019年11月走航监测发现的甲硫醇、萘等有机物已彻底消除。2019年投诉的热点是氯气、氯化氢和环氧氯丙烷的异味，经过提标改造，居民小区基本没有反映这3个特征因子的异味。</w:t>
      </w:r>
    </w:p>
    <w:p w14:paraId="4E6238AB">
      <w:pPr>
        <w:ind w:firstLine="480"/>
      </w:pPr>
      <w:r>
        <w:rPr>
          <w:rFonts w:hint="eastAsia"/>
        </w:rPr>
        <w:t>（2）排污浓度、异味强度、异味持续时间大幅下降。经过第一轮、第二轮提标改造后，企业排污均达到超低排或者特别排放限值，排污浓度较环评批复要求下降50%以上；VOCs排放浓度下降40%以上。许多指标只有国家排放标准的20%，一些指标甚至在国家排放标准的5%以下。有时只有异味敏感者反映闻到异味，持续时间短。</w:t>
      </w:r>
    </w:p>
    <w:p w14:paraId="6E06640E">
      <w:pPr>
        <w:ind w:firstLine="480"/>
      </w:pPr>
      <w:r>
        <w:rPr>
          <w:rFonts w:hint="eastAsia"/>
        </w:rPr>
        <w:t>（3）环境空气质量明显提升。园区内5个小微站的数据显示，2020年氯化氢、氯气日均浓度较2019年分别下降43.4%、50.7%；2021年上半年，市区6个国控站点中，紧邻经开区的衡阳化工总厂站点空气质量综合指数居第二位；4个城区中，石鼓区综合指数排第一；居民小区5个小微站的数据显示，2021年5-8月，经开区特征因子没有出现日均值超标现象。</w:t>
      </w:r>
    </w:p>
    <w:p w14:paraId="0D4CBF9A">
      <w:pPr>
        <w:ind w:firstLine="480"/>
      </w:pPr>
      <w:r>
        <w:rPr>
          <w:rFonts w:hint="eastAsia"/>
        </w:rPr>
        <w:t>（4）投诉人数明显减少。2019年年底以前，经开区周边居民在微信群里经常投诉的人员有100人左右。目前，只有气象扩散条件非常不好的情况下，才会有投诉，而且，经常投诉的人员只有几个人。</w:t>
      </w:r>
    </w:p>
    <w:p w14:paraId="57CCF2F2">
      <w:pPr>
        <w:pStyle w:val="4"/>
        <w:numPr>
          <w:ilvl w:val="2"/>
          <w:numId w:val="1"/>
        </w:numPr>
      </w:pPr>
      <w:r>
        <w:rPr>
          <w:rFonts w:hint="eastAsia"/>
        </w:rPr>
        <w:t>水环境质量改善方面</w:t>
      </w:r>
    </w:p>
    <w:p w14:paraId="26E8E14A">
      <w:pPr>
        <w:ind w:firstLine="482"/>
        <w:rPr>
          <w:b/>
          <w:bCs/>
        </w:rPr>
      </w:pPr>
      <w:r>
        <w:rPr>
          <w:rFonts w:hint="eastAsia"/>
          <w:b/>
          <w:bCs/>
        </w:rPr>
        <w:t>1、主要工作情况简介</w:t>
      </w:r>
    </w:p>
    <w:p w14:paraId="0D21EEE0">
      <w:pPr>
        <w:ind w:firstLine="480"/>
      </w:pPr>
      <w:r>
        <w:rPr>
          <w:rFonts w:hint="eastAsia"/>
        </w:rPr>
        <w:t>（1）园区在前期铊风险排查、涉铊企业整改的基础上，编制了《松木经开区涉铊企业监管规程暨企业涉铊风险排查与建设指南》，内容涵盖了“原料采购、生产设备、厂区道路、原料暂存、生产车间、转窑收尘、雨污分流、初雨收集及废水处理、事故池、其他方面监管”共十个方面的涉铊企业监管要点，初步形成涉铊企业检查、涉铊企业控铊能力建设的指南。对涉铊企业，在全国率先提出后期雨水排放“排水留痕、排水可查”的“一池四监控”管控方案。</w:t>
      </w:r>
    </w:p>
    <w:p w14:paraId="7173C936">
      <w:pPr>
        <w:ind w:firstLine="480"/>
      </w:pPr>
      <w:r>
        <w:rPr>
          <w:rFonts w:hint="eastAsia"/>
        </w:rPr>
        <w:t>（2）园区已委托矿冶科技集团有限公司编制了《湖南衡阳松木经济开发区涉铊污染源综合整治方案》，各企业编制了涉铊整改一企一策，并按要求</w:t>
      </w:r>
      <w:r>
        <w:rPr>
          <w:rFonts w:hint="eastAsia"/>
          <w:lang w:eastAsia="zh-CN"/>
        </w:rPr>
        <w:t>实施</w:t>
      </w:r>
      <w:r>
        <w:rPr>
          <w:rFonts w:hint="eastAsia"/>
        </w:rPr>
        <w:t>，目前除一家停产企业尚未验收外，其余均完成整改，涉铊风险防控能力显著提高</w:t>
      </w:r>
    </w:p>
    <w:p w14:paraId="158F8A19">
      <w:pPr>
        <w:ind w:firstLine="480"/>
      </w:pPr>
      <w:r>
        <w:rPr>
          <w:rFonts w:hint="eastAsia"/>
        </w:rPr>
        <w:t>（3）落实好生产管控措施，整改好漂洗、烟粉尘收集、漂洗废水蒸发、废水除铊设施；做好雨水收集，提高应急能力建设；落实好雨污分流，做好一企一管一池；落实重金属废水处理设施监测监管措施。</w:t>
      </w:r>
    </w:p>
    <w:p w14:paraId="6DE4808C">
      <w:pPr>
        <w:ind w:firstLine="480"/>
      </w:pPr>
      <w:r>
        <w:rPr>
          <w:rFonts w:hint="eastAsia"/>
        </w:rPr>
        <w:t>（4）强化园区污水厂除铊能力建设，防范湘江铊污染风险：对处理工艺进行升级改造，一旦发现铊超标可切换至铊处理系统，确保排水达标。同时，对园区资家港铊风险防范能力进行整体提升，将建设紧急关闭闸门和一万方事故池，目前，方案基本完成，年底前开始实施。</w:t>
      </w:r>
    </w:p>
    <w:p w14:paraId="0F38E5CE">
      <w:pPr>
        <w:ind w:firstLine="480"/>
      </w:pPr>
      <w:r>
        <w:rPr>
          <w:rFonts w:hint="eastAsia"/>
        </w:rPr>
        <w:t>（5）要求企业做到原料检测全覆盖，增加铊、氯等因子的检测；完善雨污分流、污污分流，雨污水做到应收尽收；对产尘环节和雨水沟渠积泥部分进行清洁管控；对后期雨水排放实行“排水留痕、排水可查”的“一池四监控”管控方案，即有效容积20方左右的后期雨水排放监控池（并加盖上锁）、排口安装流量监测设施、排口及污水站24小时视频监控、重金属监测系统、污水站电能监控系统，并全部接入经开区“六大平台”。</w:t>
      </w:r>
    </w:p>
    <w:p w14:paraId="4C1B310E">
      <w:pPr>
        <w:ind w:firstLine="480"/>
      </w:pPr>
      <w:r>
        <w:rPr>
          <w:rFonts w:hint="eastAsia"/>
        </w:rPr>
        <w:t>（6）加强监管：除上述“一池四监控”外，还通过加强原料抽样检测、环保台账检查、加强巡查检查、加密雨天监管、加密排水监测等途径防范铊污染物的排放</w:t>
      </w:r>
    </w:p>
    <w:p w14:paraId="7F5BF95B">
      <w:pPr>
        <w:ind w:firstLine="480"/>
      </w:pPr>
      <w:r>
        <w:rPr>
          <w:rFonts w:hint="eastAsia"/>
        </w:rPr>
        <w:t>（7）加强风险管控，防范事故排污。严格管控企业循环池废水铊浓度，对铊浓度高于10</w:t>
      </w:r>
      <w:r>
        <w:rPr>
          <w:rFonts w:hint="default"/>
          <w:b w:val="0"/>
          <w:bCs w:val="0"/>
          <w:highlight w:val="none"/>
        </w:rPr>
        <w:t>μ</w:t>
      </w:r>
      <w:r>
        <w:rPr>
          <w:rFonts w:hint="eastAsia"/>
        </w:rPr>
        <w:t>g/L等存在重大环境风险隐患的企业，督促其制定整改方案，在原料来源、生产环节、污防设施、应急处置等方面进行系统整改，防患环境风险。深入持久地开展环境隐患排查，认真落实枯水期环境监管要求。加强辖区涉铊企业环境监管，防止“跑、冒、滴、漏”。</w:t>
      </w:r>
    </w:p>
    <w:p w14:paraId="26BB9FB4">
      <w:pPr>
        <w:ind w:firstLine="482"/>
        <w:rPr>
          <w:b/>
          <w:bCs/>
        </w:rPr>
      </w:pPr>
      <w:r>
        <w:rPr>
          <w:rFonts w:hint="eastAsia"/>
          <w:b/>
          <w:bCs/>
        </w:rPr>
        <w:t>2、主要成果成效</w:t>
      </w:r>
    </w:p>
    <w:p w14:paraId="233D2616">
      <w:pPr>
        <w:ind w:firstLine="480"/>
      </w:pPr>
      <w:r>
        <w:rPr>
          <w:rFonts w:hint="eastAsia"/>
        </w:rPr>
        <w:t>通过上述工作，辖区内涉铊企业综合整治工作取得显著成效，松木污水处理厂出水口没有出现铊污染因子超标现象，同时形成了松木控铊经验，相关管控要求和方案在全市得到推广应用，并在松木多次召开涉铊企业控铊经验现场交流会。</w:t>
      </w:r>
    </w:p>
    <w:p w14:paraId="71F8C132">
      <w:pPr>
        <w:pStyle w:val="4"/>
        <w:numPr>
          <w:ilvl w:val="2"/>
          <w:numId w:val="1"/>
        </w:numPr>
      </w:pPr>
      <w:r>
        <w:rPr>
          <w:rFonts w:hint="eastAsia"/>
        </w:rPr>
        <w:t>小结</w:t>
      </w:r>
    </w:p>
    <w:p w14:paraId="3265517C">
      <w:pPr>
        <w:ind w:firstLine="480"/>
      </w:pPr>
      <w:r>
        <w:rPr>
          <w:rFonts w:hint="eastAsia"/>
        </w:rPr>
        <w:t>松木经开区切实履行生态环境监管职能，不断规范强化生态环境管理，全力以赴抓好大气整治、涉铊整治等工作，致力于不断改善区域环境空气质量和水环境质量，工作成效明显。</w:t>
      </w:r>
    </w:p>
    <w:p w14:paraId="242474FF">
      <w:pPr>
        <w:pStyle w:val="2"/>
        <w:numPr>
          <w:ilvl w:val="0"/>
          <w:numId w:val="1"/>
        </w:numPr>
        <w:spacing w:before="312" w:after="624"/>
      </w:pPr>
      <w:bookmarkStart w:id="164" w:name="_Toc28618"/>
      <w:r>
        <w:rPr>
          <w:rFonts w:hint="eastAsia"/>
        </w:rPr>
        <w:t>环境质量现状调查与评价</w:t>
      </w:r>
      <w:bookmarkEnd w:id="162"/>
      <w:bookmarkEnd w:id="163"/>
      <w:bookmarkEnd w:id="164"/>
    </w:p>
    <w:p w14:paraId="6BDA2B0F">
      <w:pPr>
        <w:pStyle w:val="3"/>
        <w:numPr>
          <w:ilvl w:val="1"/>
          <w:numId w:val="1"/>
        </w:numPr>
      </w:pPr>
      <w:bookmarkStart w:id="165" w:name="_Toc25498"/>
      <w:bookmarkStart w:id="166" w:name="_Toc26293"/>
      <w:bookmarkStart w:id="167" w:name="_Toc3568"/>
      <w:r>
        <w:rPr>
          <w:rFonts w:hint="eastAsia"/>
        </w:rPr>
        <w:t>环境空气环境质量现状调查与评价</w:t>
      </w:r>
      <w:bookmarkEnd w:id="165"/>
      <w:bookmarkEnd w:id="166"/>
      <w:bookmarkEnd w:id="167"/>
    </w:p>
    <w:p w14:paraId="4A108729">
      <w:pPr>
        <w:pStyle w:val="4"/>
        <w:numPr>
          <w:ilvl w:val="2"/>
          <w:numId w:val="1"/>
        </w:numPr>
      </w:pPr>
      <w:bookmarkStart w:id="168" w:name="_Toc12287"/>
      <w:r>
        <w:rPr>
          <w:rFonts w:hint="eastAsia"/>
        </w:rPr>
        <w:t>环境空气质量区域数据分析</w:t>
      </w:r>
      <w:bookmarkEnd w:id="168"/>
    </w:p>
    <w:p w14:paraId="4F1DF7B8">
      <w:pPr>
        <w:ind w:firstLine="480"/>
      </w:pPr>
      <w:r>
        <w:rPr>
          <w:rFonts w:hint="eastAsia"/>
        </w:rPr>
        <w:t>本次评价区域达标判定选取202</w:t>
      </w:r>
      <w:r>
        <w:rPr>
          <w:rFonts w:hint="eastAsia"/>
          <w:lang w:val="en-US" w:eastAsia="zh-CN"/>
        </w:rPr>
        <w:t>3</w:t>
      </w:r>
      <w:r>
        <w:rPr>
          <w:rFonts w:hint="eastAsia"/>
        </w:rPr>
        <w:t>年为评价基准年。</w:t>
      </w:r>
    </w:p>
    <w:p w14:paraId="099BE161">
      <w:pPr>
        <w:ind w:firstLine="480"/>
      </w:pPr>
      <w:r>
        <w:rPr>
          <w:rFonts w:hint="eastAsia"/>
        </w:rPr>
        <w:t>按照《环境影响评价技术导则大气环境》（HJ2.2-2018）的要求，“项目所在区域达标判定，优先采用国家或地方生态环境主管部门公开发布的评价基准年环境质量公告或环境质量报告中的数据或结论。”</w:t>
      </w:r>
    </w:p>
    <w:p w14:paraId="1CC263DD">
      <w:pPr>
        <w:ind w:firstLine="480"/>
        <w:rPr>
          <w:rFonts w:hint="default" w:eastAsia="宋体"/>
          <w:color w:val="FF0000"/>
          <w:lang w:val="en-US" w:eastAsia="zh-CN"/>
        </w:rPr>
      </w:pPr>
      <w:r>
        <w:rPr>
          <w:rFonts w:hint="eastAsia"/>
          <w:color w:val="auto"/>
        </w:rPr>
        <w:t>根据衡阳市生态环境局公布的《关于202</w:t>
      </w:r>
      <w:r>
        <w:rPr>
          <w:rFonts w:hint="eastAsia"/>
          <w:color w:val="auto"/>
          <w:lang w:val="en-US" w:eastAsia="zh-CN"/>
        </w:rPr>
        <w:t>3</w:t>
      </w:r>
      <w:r>
        <w:rPr>
          <w:rFonts w:hint="eastAsia"/>
          <w:color w:val="auto"/>
        </w:rPr>
        <w:t>年12月及1-12月全市环境质量状况的通报》，</w:t>
      </w:r>
      <w:r>
        <w:rPr>
          <w:color w:val="auto"/>
        </w:rPr>
        <w:t>202</w:t>
      </w:r>
      <w:r>
        <w:rPr>
          <w:rFonts w:hint="eastAsia"/>
          <w:color w:val="auto"/>
          <w:lang w:val="en-US" w:eastAsia="zh-CN"/>
        </w:rPr>
        <w:t>3</w:t>
      </w:r>
      <w:r>
        <w:rPr>
          <w:color w:val="auto"/>
        </w:rPr>
        <w:t>年1-12月，衡阳市城区环境空气质量优良天数比例为</w:t>
      </w:r>
      <w:r>
        <w:rPr>
          <w:rFonts w:hint="eastAsia"/>
          <w:color w:val="auto"/>
          <w:lang w:val="en-US" w:eastAsia="zh-CN"/>
        </w:rPr>
        <w:t>89.3</w:t>
      </w:r>
      <w:r>
        <w:rPr>
          <w:color w:val="auto"/>
        </w:rPr>
        <w:t>%，相比上年同期</w:t>
      </w:r>
      <w:r>
        <w:rPr>
          <w:rFonts w:hint="eastAsia"/>
          <w:color w:val="auto"/>
          <w:lang w:val="en-US" w:eastAsia="zh-CN"/>
        </w:rPr>
        <w:t>上升2.2</w:t>
      </w:r>
      <w:r>
        <w:rPr>
          <w:color w:val="auto"/>
        </w:rPr>
        <w:t>个百分点；市城区空气质量综合指数为</w:t>
      </w:r>
      <w:r>
        <w:rPr>
          <w:rFonts w:hint="eastAsia"/>
          <w:color w:val="auto"/>
          <w:lang w:val="en-US" w:eastAsia="zh-CN"/>
        </w:rPr>
        <w:t>3.69</w:t>
      </w:r>
      <w:r>
        <w:rPr>
          <w:color w:val="auto"/>
        </w:rPr>
        <w:t>，相比上年同期</w:t>
      </w:r>
      <w:r>
        <w:rPr>
          <w:rFonts w:hint="eastAsia"/>
          <w:color w:val="auto"/>
          <w:lang w:val="en-US" w:eastAsia="zh-CN"/>
        </w:rPr>
        <w:t>上升6.3</w:t>
      </w:r>
      <w:r>
        <w:rPr>
          <w:color w:val="auto"/>
        </w:rPr>
        <w:t>%；市城区PM</w:t>
      </w:r>
      <w:r>
        <w:rPr>
          <w:color w:val="auto"/>
          <w:vertAlign w:val="subscript"/>
        </w:rPr>
        <w:t>2.5</w:t>
      </w:r>
      <w:r>
        <w:rPr>
          <w:color w:val="auto"/>
        </w:rPr>
        <w:t>、PM</w:t>
      </w:r>
      <w:r>
        <w:rPr>
          <w:color w:val="auto"/>
          <w:vertAlign w:val="subscript"/>
        </w:rPr>
        <w:t>10</w:t>
      </w:r>
      <w:r>
        <w:rPr>
          <w:rFonts w:hint="eastAsia"/>
          <w:color w:val="auto"/>
          <w:lang w:eastAsia="zh-CN"/>
        </w:rPr>
        <w:t>、</w:t>
      </w:r>
      <w:r>
        <w:rPr>
          <w:rFonts w:hint="eastAsia"/>
          <w:color w:val="auto"/>
          <w:lang w:val="en-US" w:eastAsia="zh-CN"/>
        </w:rPr>
        <w:t>S</w:t>
      </w:r>
      <w:r>
        <w:rPr>
          <w:color w:val="auto"/>
        </w:rPr>
        <w:t>O</w:t>
      </w:r>
      <w:r>
        <w:rPr>
          <w:rFonts w:hint="eastAsia"/>
          <w:color w:val="auto"/>
          <w:vertAlign w:val="subscript"/>
          <w:lang w:val="en-US" w:eastAsia="zh-CN"/>
        </w:rPr>
        <w:t>2</w:t>
      </w:r>
      <w:r>
        <w:rPr>
          <w:rFonts w:hint="eastAsia"/>
          <w:color w:val="auto"/>
          <w:lang w:eastAsia="zh-CN"/>
        </w:rPr>
        <w:t>、</w:t>
      </w:r>
      <w:r>
        <w:rPr>
          <w:rFonts w:hint="eastAsia"/>
          <w:color w:val="auto"/>
          <w:lang w:val="en-US" w:eastAsia="zh-CN"/>
        </w:rPr>
        <w:t>CO</w:t>
      </w:r>
      <w:r>
        <w:rPr>
          <w:color w:val="auto"/>
        </w:rPr>
        <w:t>的</w:t>
      </w:r>
      <w:r>
        <w:rPr>
          <w:rFonts w:hint="eastAsia"/>
          <w:color w:val="auto"/>
          <w:lang w:val="en-US" w:eastAsia="zh-CN"/>
        </w:rPr>
        <w:t>平均</w:t>
      </w:r>
      <w:r>
        <w:rPr>
          <w:color w:val="auto"/>
        </w:rPr>
        <w:t>浓度分别为3</w:t>
      </w:r>
      <w:r>
        <w:rPr>
          <w:rFonts w:hint="eastAsia"/>
          <w:color w:val="auto"/>
          <w:lang w:val="en-US" w:eastAsia="zh-CN"/>
        </w:rPr>
        <w:t>9</w:t>
      </w:r>
      <w:r>
        <w:rPr>
          <w:color w:val="auto"/>
        </w:rPr>
        <w:t>ug/m</w:t>
      </w:r>
      <w:r>
        <w:rPr>
          <w:color w:val="auto"/>
          <w:vertAlign w:val="superscript"/>
        </w:rPr>
        <w:t>3</w:t>
      </w:r>
      <w:r>
        <w:rPr>
          <w:color w:val="auto"/>
        </w:rPr>
        <w:t>、</w:t>
      </w:r>
      <w:r>
        <w:rPr>
          <w:rFonts w:hint="eastAsia"/>
          <w:color w:val="auto"/>
          <w:lang w:val="en-US" w:eastAsia="zh-CN"/>
        </w:rPr>
        <w:t>55</w:t>
      </w:r>
      <w:r>
        <w:rPr>
          <w:color w:val="auto"/>
        </w:rPr>
        <w:t>ug/m</w:t>
      </w:r>
      <w:r>
        <w:rPr>
          <w:color w:val="auto"/>
          <w:vertAlign w:val="superscript"/>
        </w:rPr>
        <w:t>3</w:t>
      </w:r>
      <w:r>
        <w:rPr>
          <w:rFonts w:hint="eastAsia"/>
          <w:color w:val="auto"/>
          <w:lang w:eastAsia="zh-CN"/>
        </w:rPr>
        <w:t>、</w:t>
      </w:r>
      <w:r>
        <w:rPr>
          <w:rFonts w:hint="eastAsia"/>
          <w:color w:val="auto"/>
          <w:lang w:val="en-US" w:eastAsia="zh-CN"/>
        </w:rPr>
        <w:t>11</w:t>
      </w:r>
      <w:r>
        <w:rPr>
          <w:color w:val="auto"/>
        </w:rPr>
        <w:t>ug/m</w:t>
      </w:r>
      <w:r>
        <w:rPr>
          <w:color w:val="auto"/>
          <w:vertAlign w:val="superscript"/>
        </w:rPr>
        <w:t>3</w:t>
      </w:r>
      <w:r>
        <w:rPr>
          <w:rFonts w:hint="eastAsia"/>
          <w:color w:val="auto"/>
          <w:lang w:eastAsia="zh-CN"/>
        </w:rPr>
        <w:t>、</w:t>
      </w:r>
      <w:r>
        <w:rPr>
          <w:rFonts w:hint="eastAsia"/>
          <w:color w:val="auto"/>
          <w:lang w:val="en-US" w:eastAsia="zh-CN"/>
        </w:rPr>
        <w:t>1.2</w:t>
      </w:r>
      <w:r>
        <w:rPr>
          <w:color w:val="auto"/>
        </w:rPr>
        <w:t>ug/m</w:t>
      </w:r>
      <w:r>
        <w:rPr>
          <w:color w:val="auto"/>
          <w:vertAlign w:val="superscript"/>
        </w:rPr>
        <w:t>3</w:t>
      </w:r>
      <w:r>
        <w:rPr>
          <w:color w:val="auto"/>
        </w:rPr>
        <w:t>，相比上年同期分别</w:t>
      </w:r>
      <w:r>
        <w:rPr>
          <w:rFonts w:hint="eastAsia"/>
          <w:color w:val="auto"/>
          <w:lang w:val="en-US" w:eastAsia="zh-CN"/>
        </w:rPr>
        <w:t>上升21.9</w:t>
      </w:r>
      <w:r>
        <w:rPr>
          <w:color w:val="auto"/>
        </w:rPr>
        <w:t>%、</w:t>
      </w:r>
      <w:r>
        <w:rPr>
          <w:rFonts w:hint="eastAsia"/>
          <w:color w:val="auto"/>
          <w:lang w:val="en-US" w:eastAsia="zh-CN"/>
        </w:rPr>
        <w:t>12.2</w:t>
      </w:r>
      <w:r>
        <w:rPr>
          <w:color w:val="auto"/>
        </w:rPr>
        <w:t>%</w:t>
      </w:r>
      <w:r>
        <w:rPr>
          <w:rFonts w:hint="eastAsia"/>
          <w:color w:val="auto"/>
          <w:lang w:eastAsia="zh-CN"/>
        </w:rPr>
        <w:t>、</w:t>
      </w:r>
      <w:r>
        <w:rPr>
          <w:rFonts w:hint="eastAsia"/>
          <w:color w:val="auto"/>
          <w:lang w:val="en-US" w:eastAsia="zh-CN"/>
        </w:rPr>
        <w:t>10.0</w:t>
      </w:r>
      <w:r>
        <w:rPr>
          <w:color w:val="auto"/>
        </w:rPr>
        <w:t>%</w:t>
      </w:r>
      <w:r>
        <w:rPr>
          <w:rFonts w:hint="eastAsia"/>
          <w:color w:val="auto"/>
          <w:lang w:eastAsia="zh-CN"/>
        </w:rPr>
        <w:t>、</w:t>
      </w:r>
      <w:r>
        <w:rPr>
          <w:rFonts w:hint="eastAsia"/>
          <w:color w:val="auto"/>
          <w:lang w:val="en-US" w:eastAsia="zh-CN"/>
        </w:rPr>
        <w:t>9.1</w:t>
      </w:r>
      <w:r>
        <w:rPr>
          <w:color w:val="auto"/>
        </w:rPr>
        <w:t>%；</w:t>
      </w:r>
      <w:r>
        <w:rPr>
          <w:rFonts w:hint="eastAsia"/>
          <w:color w:val="auto"/>
          <w:lang w:val="en-US" w:eastAsia="zh-CN"/>
        </w:rPr>
        <w:t>平均浓度城区6个站点均超过国家二级标准值；</w:t>
      </w:r>
      <w:r>
        <w:rPr>
          <w:color w:val="auto"/>
        </w:rPr>
        <w:t>O</w:t>
      </w:r>
      <w:r>
        <w:rPr>
          <w:rFonts w:hint="eastAsia"/>
          <w:color w:val="auto"/>
          <w:vertAlign w:val="subscript"/>
          <w:lang w:val="en-US" w:eastAsia="zh-CN"/>
        </w:rPr>
        <w:t>3</w:t>
      </w:r>
      <w:r>
        <w:rPr>
          <w:rFonts w:hint="eastAsia"/>
          <w:color w:val="auto"/>
          <w:lang w:val="en-US" w:eastAsia="zh-CN"/>
        </w:rPr>
        <w:t>平均浓度为137</w:t>
      </w:r>
      <w:r>
        <w:rPr>
          <w:color w:val="auto"/>
        </w:rPr>
        <w:t>ug/m</w:t>
      </w:r>
      <w:r>
        <w:rPr>
          <w:color w:val="auto"/>
          <w:vertAlign w:val="superscript"/>
        </w:rPr>
        <w:t>3</w:t>
      </w:r>
      <w:r>
        <w:rPr>
          <w:rFonts w:hint="eastAsia"/>
          <w:color w:val="auto"/>
          <w:lang w:eastAsia="zh-CN"/>
        </w:rPr>
        <w:t>，</w:t>
      </w:r>
      <w:r>
        <w:rPr>
          <w:rFonts w:hint="eastAsia"/>
          <w:color w:val="auto"/>
          <w:lang w:val="en-US" w:eastAsia="zh-CN"/>
        </w:rPr>
        <w:t>相比上年同期下降11.0%；N</w:t>
      </w:r>
      <w:r>
        <w:rPr>
          <w:color w:val="auto"/>
        </w:rPr>
        <w:t>O</w:t>
      </w:r>
      <w:r>
        <w:rPr>
          <w:rFonts w:hint="eastAsia"/>
          <w:color w:val="auto"/>
          <w:vertAlign w:val="subscript"/>
          <w:lang w:val="en-US" w:eastAsia="zh-CN"/>
        </w:rPr>
        <w:t>2</w:t>
      </w:r>
      <w:r>
        <w:rPr>
          <w:rFonts w:hint="eastAsia"/>
          <w:color w:val="auto"/>
          <w:lang w:val="en-US" w:eastAsia="zh-CN"/>
        </w:rPr>
        <w:t>平均浓度为18</w:t>
      </w:r>
      <w:r>
        <w:rPr>
          <w:color w:val="auto"/>
        </w:rPr>
        <w:t>ug/m</w:t>
      </w:r>
      <w:r>
        <w:rPr>
          <w:color w:val="auto"/>
          <w:vertAlign w:val="superscript"/>
        </w:rPr>
        <w:t>3</w:t>
      </w:r>
      <w:r>
        <w:rPr>
          <w:rFonts w:hint="eastAsia"/>
          <w:color w:val="auto"/>
          <w:lang w:eastAsia="zh-CN"/>
        </w:rPr>
        <w:t>，</w:t>
      </w:r>
      <w:r>
        <w:rPr>
          <w:rFonts w:hint="eastAsia"/>
          <w:color w:val="auto"/>
          <w:lang w:val="en-US" w:eastAsia="zh-CN"/>
        </w:rPr>
        <w:t>与上年同期持平。</w:t>
      </w:r>
    </w:p>
    <w:p w14:paraId="07F6E48E">
      <w:pPr>
        <w:ind w:firstLine="480"/>
        <w:rPr>
          <w:highlight w:val="none"/>
        </w:rPr>
      </w:pPr>
      <w:r>
        <w:rPr>
          <w:rFonts w:hint="eastAsia"/>
          <w:highlight w:val="none"/>
        </w:rPr>
        <w:t>本项目位于湖南衡阳松木经济开发区，衡阳化工总厂点位的考核区域为石鼓区、松木经开区，因此该点位数据可以代表本项目所在区域环境空气质量情况。</w:t>
      </w:r>
    </w:p>
    <w:p w14:paraId="2CA244CA">
      <w:pPr>
        <w:ind w:firstLine="0" w:firstLineChars="0"/>
        <w:jc w:val="center"/>
        <w:rPr>
          <w:highlight w:val="yellow"/>
        </w:rPr>
      </w:pPr>
      <w:r>
        <w:drawing>
          <wp:inline distT="0" distB="0" distL="114300" distR="114300">
            <wp:extent cx="5269865" cy="2786380"/>
            <wp:effectExtent l="0" t="0" r="6985" b="13970"/>
            <wp:docPr id="5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9"/>
                    <pic:cNvPicPr>
                      <a:picLocks noChangeAspect="1"/>
                    </pic:cNvPicPr>
                  </pic:nvPicPr>
                  <pic:blipFill>
                    <a:blip r:embed="rId133"/>
                    <a:stretch>
                      <a:fillRect/>
                    </a:stretch>
                  </pic:blipFill>
                  <pic:spPr>
                    <a:xfrm>
                      <a:off x="0" y="0"/>
                      <a:ext cx="5269865" cy="2786380"/>
                    </a:xfrm>
                    <a:prstGeom prst="rect">
                      <a:avLst/>
                    </a:prstGeom>
                    <a:noFill/>
                    <a:ln>
                      <a:noFill/>
                    </a:ln>
                  </pic:spPr>
                </pic:pic>
              </a:graphicData>
            </a:graphic>
          </wp:inline>
        </w:drawing>
      </w:r>
    </w:p>
    <w:p w14:paraId="05080E26">
      <w:pPr>
        <w:pStyle w:val="42"/>
        <w:numPr>
          <w:ilvl w:val="6"/>
          <w:numId w:val="1"/>
        </w:numPr>
        <w:rPr>
          <w:rFonts w:hint="default"/>
          <w:highlight w:val="none"/>
        </w:rPr>
      </w:pPr>
      <w:r>
        <w:rPr>
          <w:rFonts w:hint="default"/>
          <w:highlight w:val="none"/>
        </w:rPr>
        <w:t>202</w:t>
      </w:r>
      <w:r>
        <w:rPr>
          <w:rFonts w:hint="eastAsia"/>
          <w:highlight w:val="none"/>
          <w:lang w:val="en-US" w:eastAsia="zh-CN"/>
        </w:rPr>
        <w:t>3</w:t>
      </w:r>
      <w:r>
        <w:rPr>
          <w:rFonts w:hint="default"/>
          <w:highlight w:val="none"/>
        </w:rPr>
        <w:t>年1-12月项目所在区域</w:t>
      </w:r>
      <w:r>
        <w:rPr>
          <w:highlight w:val="none"/>
        </w:rPr>
        <w:t>环境空气污染物浓度</w:t>
      </w:r>
      <w:r>
        <w:rPr>
          <w:rFonts w:hint="default"/>
          <w:highlight w:val="none"/>
        </w:rPr>
        <w:t>情况</w:t>
      </w:r>
    </w:p>
    <w:p w14:paraId="67FB28C5">
      <w:pPr>
        <w:ind w:firstLine="480"/>
        <w:rPr>
          <w:highlight w:val="none"/>
        </w:rPr>
      </w:pPr>
      <w:r>
        <w:rPr>
          <w:rFonts w:hint="eastAsia"/>
          <w:highlight w:val="none"/>
        </w:rPr>
        <w:t>根据各污染物浓度情况，本项目区域环境空气质量现状评价情况如下表。</w:t>
      </w:r>
    </w:p>
    <w:p w14:paraId="4A50E28B">
      <w:pPr>
        <w:pStyle w:val="43"/>
        <w:numPr>
          <w:ilvl w:val="5"/>
          <w:numId w:val="1"/>
        </w:numPr>
        <w:rPr>
          <w:rFonts w:hint="default"/>
          <w:highlight w:val="none"/>
        </w:rPr>
      </w:pPr>
      <w:r>
        <w:rPr>
          <w:highlight w:val="none"/>
        </w:rPr>
        <w:t>项目所在</w:t>
      </w:r>
      <w:r>
        <w:rPr>
          <w:rFonts w:hint="default"/>
          <w:highlight w:val="none"/>
        </w:rPr>
        <w:t>区域空气质量现状评价表</w:t>
      </w:r>
    </w:p>
    <w:tbl>
      <w:tblPr>
        <w:tblStyle w:val="32"/>
        <w:tblW w:w="487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13"/>
        <w:gridCol w:w="2834"/>
        <w:gridCol w:w="1163"/>
        <w:gridCol w:w="1163"/>
        <w:gridCol w:w="1221"/>
        <w:gridCol w:w="1018"/>
      </w:tblGrid>
      <w:tr w14:paraId="2D3D5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tblHeader/>
          <w:jc w:val="center"/>
        </w:trPr>
        <w:tc>
          <w:tcPr>
            <w:tcW w:w="499" w:type="pct"/>
            <w:shd w:val="clear" w:color="auto" w:fill="auto"/>
            <w:tcMar>
              <w:top w:w="0" w:type="dxa"/>
              <w:left w:w="108" w:type="dxa"/>
              <w:bottom w:w="0" w:type="dxa"/>
              <w:right w:w="108" w:type="dxa"/>
            </w:tcMar>
            <w:vAlign w:val="center"/>
          </w:tcPr>
          <w:p w14:paraId="69A3EF96">
            <w:pPr>
              <w:pStyle w:val="45"/>
              <w:rPr>
                <w:rFonts w:hint="default"/>
                <w:b/>
                <w:bCs/>
                <w:highlight w:val="none"/>
              </w:rPr>
            </w:pPr>
            <w:r>
              <w:rPr>
                <w:rFonts w:hint="default"/>
                <w:b/>
                <w:bCs/>
                <w:highlight w:val="none"/>
              </w:rPr>
              <w:t>评价因子</w:t>
            </w:r>
          </w:p>
        </w:tc>
        <w:tc>
          <w:tcPr>
            <w:tcW w:w="1729" w:type="pct"/>
            <w:shd w:val="clear" w:color="auto" w:fill="auto"/>
            <w:tcMar>
              <w:top w:w="0" w:type="dxa"/>
              <w:left w:w="108" w:type="dxa"/>
              <w:bottom w:w="0" w:type="dxa"/>
              <w:right w:w="108" w:type="dxa"/>
            </w:tcMar>
            <w:vAlign w:val="center"/>
          </w:tcPr>
          <w:p w14:paraId="1363A997">
            <w:pPr>
              <w:pStyle w:val="45"/>
              <w:rPr>
                <w:rFonts w:hint="default"/>
                <w:b/>
                <w:bCs/>
                <w:highlight w:val="none"/>
              </w:rPr>
            </w:pPr>
            <w:r>
              <w:rPr>
                <w:rFonts w:hint="default"/>
                <w:b/>
                <w:bCs/>
                <w:highlight w:val="none"/>
              </w:rPr>
              <w:t>年评价指标</w:t>
            </w:r>
          </w:p>
        </w:tc>
        <w:tc>
          <w:tcPr>
            <w:tcW w:w="699" w:type="pct"/>
            <w:shd w:val="clear" w:color="auto" w:fill="auto"/>
            <w:tcMar>
              <w:top w:w="0" w:type="dxa"/>
              <w:left w:w="108" w:type="dxa"/>
              <w:bottom w:w="0" w:type="dxa"/>
              <w:right w:w="108" w:type="dxa"/>
            </w:tcMar>
            <w:vAlign w:val="center"/>
          </w:tcPr>
          <w:p w14:paraId="650E912F">
            <w:pPr>
              <w:pStyle w:val="45"/>
              <w:rPr>
                <w:rFonts w:hint="default"/>
                <w:b/>
                <w:bCs/>
                <w:highlight w:val="none"/>
              </w:rPr>
            </w:pPr>
            <w:r>
              <w:rPr>
                <w:rFonts w:hint="default"/>
                <w:b/>
                <w:bCs/>
                <w:highlight w:val="none"/>
              </w:rPr>
              <w:t>现状浓度</w:t>
            </w:r>
          </w:p>
          <w:p w14:paraId="7F82C9A5">
            <w:pPr>
              <w:pStyle w:val="45"/>
              <w:rPr>
                <w:rFonts w:hint="default"/>
                <w:b/>
                <w:bCs/>
                <w:highlight w:val="none"/>
              </w:rPr>
            </w:pPr>
            <w:r>
              <w:rPr>
                <w:rFonts w:hint="default"/>
                <w:b/>
                <w:bCs/>
                <w:highlight w:val="none"/>
              </w:rPr>
              <w:t>（μg/m</w:t>
            </w:r>
            <w:r>
              <w:rPr>
                <w:rFonts w:hint="default"/>
                <w:b/>
                <w:bCs/>
                <w:highlight w:val="none"/>
                <w:vertAlign w:val="superscript"/>
              </w:rPr>
              <w:t>3</w:t>
            </w:r>
            <w:r>
              <w:rPr>
                <w:rFonts w:hint="default"/>
                <w:b/>
                <w:bCs/>
                <w:highlight w:val="none"/>
              </w:rPr>
              <w:t>）</w:t>
            </w:r>
          </w:p>
        </w:tc>
        <w:tc>
          <w:tcPr>
            <w:tcW w:w="699" w:type="pct"/>
            <w:shd w:val="clear" w:color="auto" w:fill="auto"/>
            <w:tcMar>
              <w:top w:w="0" w:type="dxa"/>
              <w:left w:w="108" w:type="dxa"/>
              <w:bottom w:w="0" w:type="dxa"/>
              <w:right w:w="108" w:type="dxa"/>
            </w:tcMar>
            <w:vAlign w:val="center"/>
          </w:tcPr>
          <w:p w14:paraId="337FD6D5">
            <w:pPr>
              <w:pStyle w:val="45"/>
              <w:rPr>
                <w:rFonts w:hint="default"/>
                <w:b/>
                <w:bCs/>
                <w:highlight w:val="none"/>
              </w:rPr>
            </w:pPr>
            <w:r>
              <w:rPr>
                <w:rFonts w:hint="default"/>
                <w:b/>
                <w:bCs/>
                <w:highlight w:val="none"/>
              </w:rPr>
              <w:t>标准值</w:t>
            </w:r>
          </w:p>
          <w:p w14:paraId="4CF3FCE4">
            <w:pPr>
              <w:pStyle w:val="45"/>
              <w:rPr>
                <w:rFonts w:hint="default"/>
                <w:b/>
                <w:bCs/>
                <w:highlight w:val="none"/>
              </w:rPr>
            </w:pPr>
            <w:r>
              <w:rPr>
                <w:rFonts w:hint="default"/>
                <w:b/>
                <w:bCs/>
                <w:highlight w:val="none"/>
              </w:rPr>
              <w:t>（μg/m</w:t>
            </w:r>
            <w:r>
              <w:rPr>
                <w:rFonts w:hint="default"/>
                <w:b/>
                <w:bCs/>
                <w:highlight w:val="none"/>
                <w:vertAlign w:val="superscript"/>
              </w:rPr>
              <w:t>3</w:t>
            </w:r>
            <w:r>
              <w:rPr>
                <w:rFonts w:hint="default"/>
                <w:b/>
                <w:bCs/>
                <w:highlight w:val="none"/>
              </w:rPr>
              <w:t>）</w:t>
            </w:r>
          </w:p>
        </w:tc>
        <w:tc>
          <w:tcPr>
            <w:tcW w:w="747" w:type="pct"/>
            <w:shd w:val="clear" w:color="auto" w:fill="auto"/>
            <w:tcMar>
              <w:top w:w="0" w:type="dxa"/>
              <w:left w:w="108" w:type="dxa"/>
              <w:bottom w:w="0" w:type="dxa"/>
              <w:right w:w="108" w:type="dxa"/>
            </w:tcMar>
            <w:vAlign w:val="center"/>
          </w:tcPr>
          <w:p w14:paraId="7CA12416">
            <w:pPr>
              <w:pStyle w:val="45"/>
              <w:rPr>
                <w:rFonts w:hint="default"/>
                <w:b/>
                <w:bCs/>
                <w:highlight w:val="none"/>
              </w:rPr>
            </w:pPr>
            <w:r>
              <w:rPr>
                <w:rFonts w:hint="default"/>
                <w:b/>
                <w:bCs/>
                <w:highlight w:val="none"/>
              </w:rPr>
              <w:t>占标率（%）</w:t>
            </w:r>
          </w:p>
        </w:tc>
        <w:tc>
          <w:tcPr>
            <w:tcW w:w="624" w:type="pct"/>
            <w:shd w:val="clear" w:color="auto" w:fill="auto"/>
            <w:vAlign w:val="center"/>
          </w:tcPr>
          <w:p w14:paraId="729EAFCE">
            <w:pPr>
              <w:pStyle w:val="45"/>
              <w:rPr>
                <w:rFonts w:hint="default"/>
                <w:b/>
                <w:bCs/>
                <w:highlight w:val="none"/>
              </w:rPr>
            </w:pPr>
            <w:r>
              <w:rPr>
                <w:rFonts w:hint="default"/>
                <w:b/>
                <w:bCs/>
                <w:highlight w:val="none"/>
              </w:rPr>
              <w:t>达标情况</w:t>
            </w:r>
          </w:p>
        </w:tc>
      </w:tr>
      <w:tr w14:paraId="4E0E5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499" w:type="pct"/>
            <w:tcMar>
              <w:top w:w="0" w:type="dxa"/>
              <w:left w:w="108" w:type="dxa"/>
              <w:bottom w:w="0" w:type="dxa"/>
              <w:right w:w="108" w:type="dxa"/>
            </w:tcMar>
            <w:vAlign w:val="center"/>
          </w:tcPr>
          <w:p w14:paraId="65681236">
            <w:pPr>
              <w:pStyle w:val="45"/>
              <w:rPr>
                <w:rFonts w:hint="default"/>
                <w:highlight w:val="none"/>
              </w:rPr>
            </w:pPr>
            <w:r>
              <w:rPr>
                <w:rFonts w:hint="default"/>
                <w:highlight w:val="none"/>
              </w:rPr>
              <w:t>SO</w:t>
            </w:r>
            <w:r>
              <w:rPr>
                <w:rFonts w:hint="default"/>
                <w:highlight w:val="none"/>
                <w:vertAlign w:val="subscript"/>
              </w:rPr>
              <w:t>2</w:t>
            </w:r>
          </w:p>
        </w:tc>
        <w:tc>
          <w:tcPr>
            <w:tcW w:w="1729" w:type="pct"/>
            <w:tcMar>
              <w:top w:w="0" w:type="dxa"/>
              <w:left w:w="108" w:type="dxa"/>
              <w:bottom w:w="0" w:type="dxa"/>
              <w:right w:w="108" w:type="dxa"/>
            </w:tcMar>
            <w:vAlign w:val="center"/>
          </w:tcPr>
          <w:p w14:paraId="3707AEF8">
            <w:pPr>
              <w:pStyle w:val="45"/>
              <w:rPr>
                <w:rFonts w:hint="eastAsia" w:eastAsia="宋体"/>
                <w:highlight w:val="none"/>
                <w:lang w:eastAsia="zh-CN"/>
              </w:rPr>
            </w:pPr>
            <w:r>
              <w:rPr>
                <w:rFonts w:hint="default"/>
                <w:highlight w:val="none"/>
              </w:rPr>
              <w:t>年平均质量</w:t>
            </w:r>
            <w:r>
              <w:rPr>
                <w:rFonts w:hint="eastAsia"/>
                <w:highlight w:val="none"/>
                <w:lang w:eastAsia="zh-CN"/>
              </w:rPr>
              <w:t>浓度</w:t>
            </w:r>
          </w:p>
        </w:tc>
        <w:tc>
          <w:tcPr>
            <w:tcW w:w="699" w:type="pct"/>
            <w:tcMar>
              <w:top w:w="0" w:type="dxa"/>
              <w:left w:w="108" w:type="dxa"/>
              <w:bottom w:w="0" w:type="dxa"/>
              <w:right w:w="108" w:type="dxa"/>
            </w:tcMar>
            <w:vAlign w:val="center"/>
          </w:tcPr>
          <w:p w14:paraId="3FAAA327">
            <w:pPr>
              <w:pStyle w:val="45"/>
              <w:rPr>
                <w:rFonts w:hint="default" w:eastAsia="宋体"/>
                <w:highlight w:val="none"/>
                <w:lang w:val="en-US" w:eastAsia="zh-CN"/>
              </w:rPr>
            </w:pPr>
            <w:r>
              <w:rPr>
                <w:rFonts w:hint="eastAsia"/>
                <w:highlight w:val="none"/>
                <w:lang w:val="en-US" w:eastAsia="zh-CN"/>
              </w:rPr>
              <w:t>12</w:t>
            </w:r>
          </w:p>
        </w:tc>
        <w:tc>
          <w:tcPr>
            <w:tcW w:w="699" w:type="pct"/>
            <w:tcMar>
              <w:top w:w="0" w:type="dxa"/>
              <w:left w:w="108" w:type="dxa"/>
              <w:bottom w:w="0" w:type="dxa"/>
              <w:right w:w="108" w:type="dxa"/>
            </w:tcMar>
            <w:vAlign w:val="center"/>
          </w:tcPr>
          <w:p w14:paraId="2E4EC2A7">
            <w:pPr>
              <w:pStyle w:val="45"/>
              <w:rPr>
                <w:rFonts w:hint="default"/>
                <w:highlight w:val="none"/>
              </w:rPr>
            </w:pPr>
            <w:r>
              <w:rPr>
                <w:rFonts w:hint="default"/>
                <w:highlight w:val="none"/>
              </w:rPr>
              <w:t>60</w:t>
            </w:r>
          </w:p>
        </w:tc>
        <w:tc>
          <w:tcPr>
            <w:tcW w:w="747" w:type="pct"/>
            <w:tcMar>
              <w:top w:w="0" w:type="dxa"/>
              <w:left w:w="108" w:type="dxa"/>
              <w:bottom w:w="0" w:type="dxa"/>
              <w:right w:w="108" w:type="dxa"/>
            </w:tcMar>
            <w:vAlign w:val="center"/>
          </w:tcPr>
          <w:p w14:paraId="544FB717">
            <w:pPr>
              <w:pStyle w:val="45"/>
              <w:bidi w:val="0"/>
              <w:rPr>
                <w:rFonts w:hint="default"/>
              </w:rPr>
            </w:pPr>
            <w:r>
              <w:rPr>
                <w:rFonts w:hint="default"/>
                <w:lang w:val="en-US" w:eastAsia="zh-CN"/>
              </w:rPr>
              <w:t xml:space="preserve">20.0 </w:t>
            </w:r>
          </w:p>
        </w:tc>
        <w:tc>
          <w:tcPr>
            <w:tcW w:w="624" w:type="pct"/>
            <w:vAlign w:val="center"/>
          </w:tcPr>
          <w:p w14:paraId="58ED4578">
            <w:pPr>
              <w:pStyle w:val="45"/>
              <w:rPr>
                <w:rFonts w:hint="default"/>
                <w:highlight w:val="none"/>
              </w:rPr>
            </w:pPr>
            <w:r>
              <w:rPr>
                <w:rFonts w:hint="default"/>
                <w:highlight w:val="none"/>
              </w:rPr>
              <w:t>达标</w:t>
            </w:r>
          </w:p>
        </w:tc>
      </w:tr>
      <w:tr w14:paraId="1DB60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499" w:type="pct"/>
            <w:tcMar>
              <w:top w:w="0" w:type="dxa"/>
              <w:left w:w="108" w:type="dxa"/>
              <w:bottom w:w="0" w:type="dxa"/>
              <w:right w:w="108" w:type="dxa"/>
            </w:tcMar>
            <w:vAlign w:val="center"/>
          </w:tcPr>
          <w:p w14:paraId="57CB0900">
            <w:pPr>
              <w:pStyle w:val="45"/>
              <w:rPr>
                <w:rFonts w:hint="default"/>
                <w:highlight w:val="none"/>
              </w:rPr>
            </w:pPr>
            <w:r>
              <w:rPr>
                <w:rFonts w:hint="default"/>
                <w:highlight w:val="none"/>
              </w:rPr>
              <w:t>NO</w:t>
            </w:r>
            <w:r>
              <w:rPr>
                <w:rFonts w:hint="default"/>
                <w:highlight w:val="none"/>
                <w:vertAlign w:val="subscript"/>
              </w:rPr>
              <w:t>2</w:t>
            </w:r>
          </w:p>
        </w:tc>
        <w:tc>
          <w:tcPr>
            <w:tcW w:w="1729" w:type="pct"/>
            <w:tcMar>
              <w:top w:w="0" w:type="dxa"/>
              <w:left w:w="108" w:type="dxa"/>
              <w:bottom w:w="0" w:type="dxa"/>
              <w:right w:w="108" w:type="dxa"/>
            </w:tcMar>
            <w:vAlign w:val="center"/>
          </w:tcPr>
          <w:p w14:paraId="7DC6E213">
            <w:pPr>
              <w:pStyle w:val="45"/>
              <w:rPr>
                <w:rFonts w:hint="default"/>
                <w:highlight w:val="none"/>
              </w:rPr>
            </w:pPr>
            <w:r>
              <w:rPr>
                <w:rFonts w:hint="default"/>
                <w:highlight w:val="none"/>
              </w:rPr>
              <w:t>年平均质量浓度</w:t>
            </w:r>
          </w:p>
        </w:tc>
        <w:tc>
          <w:tcPr>
            <w:tcW w:w="699" w:type="pct"/>
            <w:tcMar>
              <w:top w:w="0" w:type="dxa"/>
              <w:left w:w="108" w:type="dxa"/>
              <w:bottom w:w="0" w:type="dxa"/>
              <w:right w:w="108" w:type="dxa"/>
            </w:tcMar>
            <w:vAlign w:val="center"/>
          </w:tcPr>
          <w:p w14:paraId="7AE03A3D">
            <w:pPr>
              <w:pStyle w:val="45"/>
              <w:rPr>
                <w:rFonts w:hint="default"/>
                <w:highlight w:val="none"/>
              </w:rPr>
            </w:pPr>
            <w:r>
              <w:rPr>
                <w:highlight w:val="none"/>
              </w:rPr>
              <w:t>17</w:t>
            </w:r>
          </w:p>
        </w:tc>
        <w:tc>
          <w:tcPr>
            <w:tcW w:w="699" w:type="pct"/>
            <w:tcMar>
              <w:top w:w="0" w:type="dxa"/>
              <w:left w:w="108" w:type="dxa"/>
              <w:bottom w:w="0" w:type="dxa"/>
              <w:right w:w="108" w:type="dxa"/>
            </w:tcMar>
            <w:vAlign w:val="center"/>
          </w:tcPr>
          <w:p w14:paraId="03694EB0">
            <w:pPr>
              <w:pStyle w:val="45"/>
              <w:rPr>
                <w:rFonts w:hint="default"/>
                <w:highlight w:val="none"/>
              </w:rPr>
            </w:pPr>
            <w:r>
              <w:rPr>
                <w:rFonts w:hint="default"/>
                <w:highlight w:val="none"/>
              </w:rPr>
              <w:t>40</w:t>
            </w:r>
          </w:p>
        </w:tc>
        <w:tc>
          <w:tcPr>
            <w:tcW w:w="747" w:type="pct"/>
            <w:tcMar>
              <w:top w:w="0" w:type="dxa"/>
              <w:left w:w="108" w:type="dxa"/>
              <w:bottom w:w="0" w:type="dxa"/>
              <w:right w:w="108" w:type="dxa"/>
            </w:tcMar>
            <w:vAlign w:val="center"/>
          </w:tcPr>
          <w:p w14:paraId="711AE657">
            <w:pPr>
              <w:pStyle w:val="45"/>
              <w:bidi w:val="0"/>
              <w:rPr>
                <w:rFonts w:hint="default"/>
              </w:rPr>
            </w:pPr>
            <w:r>
              <w:rPr>
                <w:rFonts w:hint="default"/>
                <w:lang w:val="en-US" w:eastAsia="zh-CN"/>
              </w:rPr>
              <w:t xml:space="preserve">42.5 </w:t>
            </w:r>
          </w:p>
        </w:tc>
        <w:tc>
          <w:tcPr>
            <w:tcW w:w="624" w:type="pct"/>
            <w:vAlign w:val="center"/>
          </w:tcPr>
          <w:p w14:paraId="0EC312D6">
            <w:pPr>
              <w:pStyle w:val="45"/>
              <w:rPr>
                <w:rFonts w:hint="default"/>
                <w:highlight w:val="none"/>
              </w:rPr>
            </w:pPr>
            <w:r>
              <w:rPr>
                <w:rFonts w:hint="default"/>
                <w:highlight w:val="none"/>
              </w:rPr>
              <w:t>达标</w:t>
            </w:r>
          </w:p>
        </w:tc>
      </w:tr>
      <w:tr w14:paraId="12F4B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499" w:type="pct"/>
            <w:tcMar>
              <w:top w:w="0" w:type="dxa"/>
              <w:left w:w="108" w:type="dxa"/>
              <w:bottom w:w="0" w:type="dxa"/>
              <w:right w:w="108" w:type="dxa"/>
            </w:tcMar>
            <w:vAlign w:val="center"/>
          </w:tcPr>
          <w:p w14:paraId="51B92294">
            <w:pPr>
              <w:pStyle w:val="45"/>
              <w:rPr>
                <w:rFonts w:hint="default"/>
                <w:highlight w:val="none"/>
              </w:rPr>
            </w:pPr>
            <w:r>
              <w:rPr>
                <w:rFonts w:hint="default"/>
                <w:highlight w:val="none"/>
              </w:rPr>
              <w:t>CO</w:t>
            </w:r>
          </w:p>
        </w:tc>
        <w:tc>
          <w:tcPr>
            <w:tcW w:w="1729" w:type="pct"/>
            <w:tcMar>
              <w:top w:w="0" w:type="dxa"/>
              <w:left w:w="108" w:type="dxa"/>
              <w:bottom w:w="0" w:type="dxa"/>
              <w:right w:w="108" w:type="dxa"/>
            </w:tcMar>
            <w:vAlign w:val="center"/>
          </w:tcPr>
          <w:p w14:paraId="55314252">
            <w:pPr>
              <w:pStyle w:val="45"/>
              <w:rPr>
                <w:rFonts w:hint="default"/>
                <w:highlight w:val="none"/>
              </w:rPr>
            </w:pPr>
            <w:r>
              <w:rPr>
                <w:rFonts w:hint="default"/>
                <w:highlight w:val="none"/>
              </w:rPr>
              <w:t>百分位数日平均质量</w:t>
            </w:r>
          </w:p>
        </w:tc>
        <w:tc>
          <w:tcPr>
            <w:tcW w:w="699" w:type="pct"/>
            <w:tcMar>
              <w:top w:w="0" w:type="dxa"/>
              <w:left w:w="108" w:type="dxa"/>
              <w:bottom w:w="0" w:type="dxa"/>
              <w:right w:w="108" w:type="dxa"/>
            </w:tcMar>
            <w:vAlign w:val="center"/>
          </w:tcPr>
          <w:p w14:paraId="38B8B635">
            <w:pPr>
              <w:pStyle w:val="45"/>
              <w:rPr>
                <w:rFonts w:hint="default"/>
                <w:highlight w:val="none"/>
              </w:rPr>
            </w:pPr>
            <w:r>
              <w:rPr>
                <w:highlight w:val="none"/>
              </w:rPr>
              <w:t>1.0</w:t>
            </w:r>
          </w:p>
        </w:tc>
        <w:tc>
          <w:tcPr>
            <w:tcW w:w="699" w:type="pct"/>
            <w:tcMar>
              <w:top w:w="0" w:type="dxa"/>
              <w:left w:w="108" w:type="dxa"/>
              <w:bottom w:w="0" w:type="dxa"/>
              <w:right w:w="108" w:type="dxa"/>
            </w:tcMar>
            <w:vAlign w:val="center"/>
          </w:tcPr>
          <w:p w14:paraId="03913F38">
            <w:pPr>
              <w:pStyle w:val="45"/>
              <w:rPr>
                <w:rFonts w:hint="default"/>
                <w:highlight w:val="none"/>
              </w:rPr>
            </w:pPr>
            <w:r>
              <w:rPr>
                <w:rFonts w:hint="default"/>
                <w:highlight w:val="none"/>
              </w:rPr>
              <w:t>4</w:t>
            </w:r>
          </w:p>
        </w:tc>
        <w:tc>
          <w:tcPr>
            <w:tcW w:w="747" w:type="pct"/>
            <w:tcMar>
              <w:top w:w="0" w:type="dxa"/>
              <w:left w:w="108" w:type="dxa"/>
              <w:bottom w:w="0" w:type="dxa"/>
              <w:right w:w="108" w:type="dxa"/>
            </w:tcMar>
            <w:vAlign w:val="center"/>
          </w:tcPr>
          <w:p w14:paraId="0D1AD93B">
            <w:pPr>
              <w:pStyle w:val="45"/>
              <w:bidi w:val="0"/>
              <w:rPr>
                <w:rFonts w:hint="default"/>
              </w:rPr>
            </w:pPr>
            <w:r>
              <w:rPr>
                <w:rFonts w:hint="default"/>
                <w:lang w:val="en-US" w:eastAsia="zh-CN"/>
              </w:rPr>
              <w:t xml:space="preserve">25.0 </w:t>
            </w:r>
          </w:p>
        </w:tc>
        <w:tc>
          <w:tcPr>
            <w:tcW w:w="624" w:type="pct"/>
            <w:vAlign w:val="center"/>
          </w:tcPr>
          <w:p w14:paraId="39014424">
            <w:pPr>
              <w:pStyle w:val="45"/>
              <w:rPr>
                <w:rFonts w:hint="default"/>
                <w:highlight w:val="none"/>
              </w:rPr>
            </w:pPr>
            <w:r>
              <w:rPr>
                <w:rFonts w:hint="default"/>
                <w:highlight w:val="none"/>
              </w:rPr>
              <w:t>达标</w:t>
            </w:r>
          </w:p>
        </w:tc>
      </w:tr>
      <w:tr w14:paraId="022C7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499" w:type="pct"/>
            <w:tcMar>
              <w:top w:w="0" w:type="dxa"/>
              <w:left w:w="108" w:type="dxa"/>
              <w:bottom w:w="0" w:type="dxa"/>
              <w:right w:w="108" w:type="dxa"/>
            </w:tcMar>
            <w:vAlign w:val="center"/>
          </w:tcPr>
          <w:p w14:paraId="6CD7BC5F">
            <w:pPr>
              <w:pStyle w:val="45"/>
              <w:rPr>
                <w:rFonts w:hint="default"/>
                <w:highlight w:val="none"/>
              </w:rPr>
            </w:pPr>
            <w:r>
              <w:rPr>
                <w:rFonts w:hint="default"/>
                <w:highlight w:val="none"/>
              </w:rPr>
              <w:t>O</w:t>
            </w:r>
            <w:r>
              <w:rPr>
                <w:rFonts w:hint="default"/>
                <w:highlight w:val="none"/>
                <w:vertAlign w:val="subscript"/>
              </w:rPr>
              <w:t>3</w:t>
            </w:r>
          </w:p>
        </w:tc>
        <w:tc>
          <w:tcPr>
            <w:tcW w:w="1729" w:type="pct"/>
            <w:tcMar>
              <w:top w:w="0" w:type="dxa"/>
              <w:left w:w="108" w:type="dxa"/>
              <w:bottom w:w="0" w:type="dxa"/>
              <w:right w:w="108" w:type="dxa"/>
            </w:tcMar>
            <w:vAlign w:val="center"/>
          </w:tcPr>
          <w:p w14:paraId="19521CB8">
            <w:pPr>
              <w:pStyle w:val="45"/>
              <w:rPr>
                <w:rFonts w:hint="default"/>
                <w:highlight w:val="none"/>
              </w:rPr>
            </w:pPr>
            <w:r>
              <w:rPr>
                <w:rFonts w:hint="default"/>
                <w:highlight w:val="none"/>
              </w:rPr>
              <w:t>百分位数 8h 平均质量浓度</w:t>
            </w:r>
          </w:p>
        </w:tc>
        <w:tc>
          <w:tcPr>
            <w:tcW w:w="699" w:type="pct"/>
            <w:tcMar>
              <w:top w:w="0" w:type="dxa"/>
              <w:left w:w="108" w:type="dxa"/>
              <w:bottom w:w="0" w:type="dxa"/>
              <w:right w:w="108" w:type="dxa"/>
            </w:tcMar>
            <w:vAlign w:val="center"/>
          </w:tcPr>
          <w:p w14:paraId="118AD018">
            <w:pPr>
              <w:pStyle w:val="45"/>
              <w:rPr>
                <w:rFonts w:hint="default" w:eastAsia="宋体"/>
                <w:highlight w:val="none"/>
                <w:lang w:val="en-US" w:eastAsia="zh-CN"/>
              </w:rPr>
            </w:pPr>
            <w:r>
              <w:rPr>
                <w:rFonts w:hint="eastAsia"/>
                <w:highlight w:val="none"/>
                <w:lang w:val="en-US" w:eastAsia="zh-CN"/>
              </w:rPr>
              <w:t>138</w:t>
            </w:r>
          </w:p>
        </w:tc>
        <w:tc>
          <w:tcPr>
            <w:tcW w:w="699" w:type="pct"/>
            <w:tcMar>
              <w:top w:w="0" w:type="dxa"/>
              <w:left w:w="108" w:type="dxa"/>
              <w:bottom w:w="0" w:type="dxa"/>
              <w:right w:w="108" w:type="dxa"/>
            </w:tcMar>
            <w:vAlign w:val="center"/>
          </w:tcPr>
          <w:p w14:paraId="7BB80F06">
            <w:pPr>
              <w:pStyle w:val="45"/>
              <w:rPr>
                <w:rFonts w:hint="default"/>
                <w:highlight w:val="none"/>
              </w:rPr>
            </w:pPr>
            <w:r>
              <w:rPr>
                <w:rFonts w:hint="default"/>
                <w:highlight w:val="none"/>
              </w:rPr>
              <w:t>160</w:t>
            </w:r>
          </w:p>
        </w:tc>
        <w:tc>
          <w:tcPr>
            <w:tcW w:w="747" w:type="pct"/>
            <w:tcMar>
              <w:top w:w="0" w:type="dxa"/>
              <w:left w:w="108" w:type="dxa"/>
              <w:bottom w:w="0" w:type="dxa"/>
              <w:right w:w="108" w:type="dxa"/>
            </w:tcMar>
            <w:vAlign w:val="center"/>
          </w:tcPr>
          <w:p w14:paraId="571A2594">
            <w:pPr>
              <w:pStyle w:val="45"/>
              <w:bidi w:val="0"/>
              <w:rPr>
                <w:rFonts w:hint="default"/>
              </w:rPr>
            </w:pPr>
            <w:r>
              <w:rPr>
                <w:rFonts w:hint="default"/>
                <w:lang w:val="en-US" w:eastAsia="zh-CN"/>
              </w:rPr>
              <w:t xml:space="preserve">86.3 </w:t>
            </w:r>
          </w:p>
        </w:tc>
        <w:tc>
          <w:tcPr>
            <w:tcW w:w="624" w:type="pct"/>
            <w:vAlign w:val="center"/>
          </w:tcPr>
          <w:p w14:paraId="7CC14BFA">
            <w:pPr>
              <w:pStyle w:val="45"/>
              <w:rPr>
                <w:rFonts w:hint="default"/>
                <w:highlight w:val="none"/>
              </w:rPr>
            </w:pPr>
            <w:r>
              <w:rPr>
                <w:rFonts w:hint="default"/>
                <w:highlight w:val="none"/>
              </w:rPr>
              <w:t>达标</w:t>
            </w:r>
          </w:p>
        </w:tc>
      </w:tr>
      <w:tr w14:paraId="2726A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499" w:type="pct"/>
            <w:tcMar>
              <w:top w:w="0" w:type="dxa"/>
              <w:left w:w="108" w:type="dxa"/>
              <w:bottom w:w="0" w:type="dxa"/>
              <w:right w:w="108" w:type="dxa"/>
            </w:tcMar>
            <w:vAlign w:val="center"/>
          </w:tcPr>
          <w:p w14:paraId="48EBED23">
            <w:pPr>
              <w:pStyle w:val="45"/>
              <w:rPr>
                <w:rFonts w:hint="default"/>
                <w:highlight w:val="none"/>
              </w:rPr>
            </w:pPr>
            <w:r>
              <w:rPr>
                <w:rFonts w:hint="default"/>
                <w:highlight w:val="none"/>
              </w:rPr>
              <w:t>PM</w:t>
            </w:r>
            <w:r>
              <w:rPr>
                <w:rFonts w:hint="default"/>
                <w:highlight w:val="none"/>
                <w:vertAlign w:val="subscript"/>
              </w:rPr>
              <w:t>10</w:t>
            </w:r>
          </w:p>
        </w:tc>
        <w:tc>
          <w:tcPr>
            <w:tcW w:w="1729" w:type="pct"/>
            <w:tcMar>
              <w:top w:w="0" w:type="dxa"/>
              <w:left w:w="108" w:type="dxa"/>
              <w:bottom w:w="0" w:type="dxa"/>
              <w:right w:w="108" w:type="dxa"/>
            </w:tcMar>
            <w:vAlign w:val="center"/>
          </w:tcPr>
          <w:p w14:paraId="649CE678">
            <w:pPr>
              <w:pStyle w:val="45"/>
              <w:rPr>
                <w:rFonts w:hint="default"/>
                <w:highlight w:val="none"/>
              </w:rPr>
            </w:pPr>
            <w:r>
              <w:rPr>
                <w:rFonts w:hint="default"/>
                <w:highlight w:val="none"/>
              </w:rPr>
              <w:t>年平均质量浓度</w:t>
            </w:r>
          </w:p>
        </w:tc>
        <w:tc>
          <w:tcPr>
            <w:tcW w:w="699" w:type="pct"/>
            <w:tcMar>
              <w:top w:w="0" w:type="dxa"/>
              <w:left w:w="108" w:type="dxa"/>
              <w:bottom w:w="0" w:type="dxa"/>
              <w:right w:w="108" w:type="dxa"/>
            </w:tcMar>
            <w:vAlign w:val="center"/>
          </w:tcPr>
          <w:p w14:paraId="55352D90">
            <w:pPr>
              <w:pStyle w:val="45"/>
              <w:rPr>
                <w:rFonts w:hint="default" w:eastAsia="宋体"/>
                <w:highlight w:val="none"/>
                <w:lang w:val="en-US" w:eastAsia="zh-CN"/>
              </w:rPr>
            </w:pPr>
            <w:r>
              <w:rPr>
                <w:rFonts w:hint="eastAsia"/>
                <w:highlight w:val="none"/>
                <w:lang w:val="en-US" w:eastAsia="zh-CN"/>
              </w:rPr>
              <w:t>59</w:t>
            </w:r>
          </w:p>
        </w:tc>
        <w:tc>
          <w:tcPr>
            <w:tcW w:w="699" w:type="pct"/>
            <w:tcMar>
              <w:top w:w="0" w:type="dxa"/>
              <w:left w:w="108" w:type="dxa"/>
              <w:bottom w:w="0" w:type="dxa"/>
              <w:right w:w="108" w:type="dxa"/>
            </w:tcMar>
            <w:vAlign w:val="center"/>
          </w:tcPr>
          <w:p w14:paraId="45A49FC9">
            <w:pPr>
              <w:pStyle w:val="45"/>
              <w:rPr>
                <w:rFonts w:hint="default"/>
                <w:highlight w:val="none"/>
              </w:rPr>
            </w:pPr>
            <w:r>
              <w:rPr>
                <w:rFonts w:hint="default"/>
                <w:highlight w:val="none"/>
              </w:rPr>
              <w:t>70</w:t>
            </w:r>
          </w:p>
        </w:tc>
        <w:tc>
          <w:tcPr>
            <w:tcW w:w="747" w:type="pct"/>
            <w:tcMar>
              <w:top w:w="0" w:type="dxa"/>
              <w:left w:w="108" w:type="dxa"/>
              <w:bottom w:w="0" w:type="dxa"/>
              <w:right w:w="108" w:type="dxa"/>
            </w:tcMar>
            <w:vAlign w:val="center"/>
          </w:tcPr>
          <w:p w14:paraId="0405AB0F">
            <w:pPr>
              <w:pStyle w:val="45"/>
              <w:bidi w:val="0"/>
              <w:rPr>
                <w:rFonts w:hint="default"/>
              </w:rPr>
            </w:pPr>
            <w:r>
              <w:rPr>
                <w:rFonts w:hint="default"/>
                <w:lang w:val="en-US" w:eastAsia="zh-CN"/>
              </w:rPr>
              <w:t xml:space="preserve">84.3 </w:t>
            </w:r>
          </w:p>
        </w:tc>
        <w:tc>
          <w:tcPr>
            <w:tcW w:w="624" w:type="pct"/>
            <w:vAlign w:val="center"/>
          </w:tcPr>
          <w:p w14:paraId="6CA90356">
            <w:pPr>
              <w:pStyle w:val="45"/>
              <w:rPr>
                <w:rFonts w:hint="default"/>
                <w:highlight w:val="none"/>
              </w:rPr>
            </w:pPr>
            <w:r>
              <w:rPr>
                <w:rFonts w:hint="default"/>
                <w:highlight w:val="none"/>
              </w:rPr>
              <w:t>达标</w:t>
            </w:r>
          </w:p>
        </w:tc>
      </w:tr>
      <w:tr w14:paraId="169CC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499" w:type="pct"/>
            <w:tcMar>
              <w:top w:w="0" w:type="dxa"/>
              <w:left w:w="108" w:type="dxa"/>
              <w:bottom w:w="0" w:type="dxa"/>
              <w:right w:w="108" w:type="dxa"/>
            </w:tcMar>
            <w:vAlign w:val="center"/>
          </w:tcPr>
          <w:p w14:paraId="30C01FC5">
            <w:pPr>
              <w:pStyle w:val="45"/>
              <w:rPr>
                <w:rFonts w:hint="default"/>
                <w:highlight w:val="none"/>
              </w:rPr>
            </w:pPr>
            <w:r>
              <w:rPr>
                <w:rFonts w:hint="default"/>
                <w:highlight w:val="none"/>
              </w:rPr>
              <w:t>PM</w:t>
            </w:r>
            <w:r>
              <w:rPr>
                <w:rFonts w:hint="default"/>
                <w:highlight w:val="none"/>
                <w:vertAlign w:val="subscript"/>
              </w:rPr>
              <w:t>2.5</w:t>
            </w:r>
          </w:p>
        </w:tc>
        <w:tc>
          <w:tcPr>
            <w:tcW w:w="1729" w:type="pct"/>
            <w:tcMar>
              <w:top w:w="0" w:type="dxa"/>
              <w:left w:w="108" w:type="dxa"/>
              <w:bottom w:w="0" w:type="dxa"/>
              <w:right w:w="108" w:type="dxa"/>
            </w:tcMar>
            <w:vAlign w:val="center"/>
          </w:tcPr>
          <w:p w14:paraId="290AEC4C">
            <w:pPr>
              <w:pStyle w:val="45"/>
              <w:rPr>
                <w:rFonts w:hint="default"/>
                <w:highlight w:val="none"/>
              </w:rPr>
            </w:pPr>
            <w:r>
              <w:rPr>
                <w:rFonts w:hint="default"/>
                <w:highlight w:val="none"/>
              </w:rPr>
              <w:t>年平均质量浓度</w:t>
            </w:r>
          </w:p>
        </w:tc>
        <w:tc>
          <w:tcPr>
            <w:tcW w:w="699" w:type="pct"/>
            <w:tcMar>
              <w:top w:w="0" w:type="dxa"/>
              <w:left w:w="108" w:type="dxa"/>
              <w:bottom w:w="0" w:type="dxa"/>
              <w:right w:w="108" w:type="dxa"/>
            </w:tcMar>
            <w:vAlign w:val="center"/>
          </w:tcPr>
          <w:p w14:paraId="4980A8B0">
            <w:pPr>
              <w:pStyle w:val="45"/>
              <w:rPr>
                <w:rFonts w:hint="default" w:eastAsia="宋体"/>
                <w:highlight w:val="none"/>
                <w:lang w:val="en-US" w:eastAsia="zh-CN"/>
              </w:rPr>
            </w:pPr>
            <w:r>
              <w:rPr>
                <w:rFonts w:hint="eastAsia"/>
                <w:highlight w:val="none"/>
                <w:lang w:val="en-US" w:eastAsia="zh-CN"/>
              </w:rPr>
              <w:t>39</w:t>
            </w:r>
          </w:p>
        </w:tc>
        <w:tc>
          <w:tcPr>
            <w:tcW w:w="699" w:type="pct"/>
            <w:tcMar>
              <w:top w:w="0" w:type="dxa"/>
              <w:left w:w="108" w:type="dxa"/>
              <w:bottom w:w="0" w:type="dxa"/>
              <w:right w:w="108" w:type="dxa"/>
            </w:tcMar>
            <w:vAlign w:val="center"/>
          </w:tcPr>
          <w:p w14:paraId="146A8AA8">
            <w:pPr>
              <w:pStyle w:val="45"/>
              <w:rPr>
                <w:rFonts w:hint="default"/>
                <w:highlight w:val="none"/>
              </w:rPr>
            </w:pPr>
            <w:r>
              <w:rPr>
                <w:rFonts w:hint="default"/>
                <w:highlight w:val="none"/>
              </w:rPr>
              <w:t>35</w:t>
            </w:r>
          </w:p>
        </w:tc>
        <w:tc>
          <w:tcPr>
            <w:tcW w:w="747" w:type="pct"/>
            <w:tcMar>
              <w:top w:w="0" w:type="dxa"/>
              <w:left w:w="108" w:type="dxa"/>
              <w:bottom w:w="0" w:type="dxa"/>
              <w:right w:w="108" w:type="dxa"/>
            </w:tcMar>
            <w:vAlign w:val="center"/>
          </w:tcPr>
          <w:p w14:paraId="1851AA71">
            <w:pPr>
              <w:pStyle w:val="45"/>
              <w:bidi w:val="0"/>
              <w:rPr>
                <w:rFonts w:hint="default"/>
              </w:rPr>
            </w:pPr>
            <w:r>
              <w:rPr>
                <w:rFonts w:hint="default"/>
                <w:lang w:val="en-US" w:eastAsia="zh-CN"/>
              </w:rPr>
              <w:t xml:space="preserve">111.4 </w:t>
            </w:r>
          </w:p>
        </w:tc>
        <w:tc>
          <w:tcPr>
            <w:tcW w:w="624" w:type="pct"/>
            <w:vAlign w:val="center"/>
          </w:tcPr>
          <w:p w14:paraId="2E55AF43">
            <w:pPr>
              <w:pStyle w:val="45"/>
              <w:rPr>
                <w:rFonts w:hint="default"/>
                <w:highlight w:val="none"/>
              </w:rPr>
            </w:pPr>
            <w:r>
              <w:rPr>
                <w:rFonts w:hint="eastAsia"/>
                <w:highlight w:val="none"/>
                <w:lang w:val="en-US" w:eastAsia="zh-CN"/>
              </w:rPr>
              <w:t>不</w:t>
            </w:r>
            <w:r>
              <w:rPr>
                <w:rFonts w:hint="default"/>
                <w:highlight w:val="none"/>
              </w:rPr>
              <w:t>达标</w:t>
            </w:r>
          </w:p>
        </w:tc>
      </w:tr>
    </w:tbl>
    <w:p w14:paraId="36F50FFB">
      <w:pPr>
        <w:spacing w:line="240" w:lineRule="auto"/>
        <w:ind w:firstLine="480"/>
        <w:rPr>
          <w:rFonts w:hint="eastAsia"/>
          <w:highlight w:val="yellow"/>
        </w:rPr>
      </w:pPr>
    </w:p>
    <w:p w14:paraId="2D4F6B09">
      <w:pPr>
        <w:shd w:val="clear" w:color="auto" w:fill="auto"/>
        <w:spacing w:line="240" w:lineRule="auto"/>
        <w:ind w:firstLine="480" w:firstLineChars="200"/>
        <w:rPr>
          <w:rFonts w:hint="eastAsia"/>
          <w:color w:val="auto"/>
          <w:lang w:val="en-US" w:eastAsia="zh-CN"/>
        </w:rPr>
      </w:pPr>
      <w:r>
        <w:rPr>
          <w:rFonts w:hint="eastAsia"/>
          <w:color w:val="auto"/>
          <w:lang w:val="en-US" w:eastAsia="zh-CN"/>
        </w:rPr>
        <w:t>本项目所在区域为环境空气质量不达标区，主要不达标因子为</w:t>
      </w:r>
      <w:r>
        <w:rPr>
          <w:rFonts w:hint="default"/>
          <w:color w:val="auto"/>
        </w:rPr>
        <w:t>PM</w:t>
      </w:r>
      <w:r>
        <w:rPr>
          <w:rFonts w:hint="default"/>
          <w:color w:val="auto"/>
          <w:vertAlign w:val="subscript"/>
        </w:rPr>
        <w:t>2.5</w:t>
      </w:r>
      <w:r>
        <w:rPr>
          <w:rFonts w:hint="eastAsia"/>
          <w:color w:val="auto"/>
          <w:lang w:val="en-US" w:eastAsia="zh-CN"/>
        </w:rPr>
        <w:t>。</w:t>
      </w:r>
    </w:p>
    <w:p w14:paraId="19846033">
      <w:pPr>
        <w:ind w:firstLine="480"/>
        <w:rPr>
          <w:highlight w:val="yellow"/>
        </w:rPr>
      </w:pPr>
    </w:p>
    <w:p w14:paraId="610ABE66">
      <w:pPr>
        <w:pStyle w:val="4"/>
        <w:numPr>
          <w:ilvl w:val="2"/>
          <w:numId w:val="1"/>
        </w:numPr>
        <w:rPr>
          <w:rFonts w:hint="eastAsia" w:ascii="Times New Roman" w:hAnsi="Times New Roman" w:eastAsia="宋体" w:cstheme="minorBidi"/>
          <w:b/>
          <w:kern w:val="2"/>
          <w:sz w:val="28"/>
          <w:szCs w:val="28"/>
          <w:lang w:val="en-US" w:eastAsia="zh-CN" w:bidi="ar-SA"/>
        </w:rPr>
      </w:pPr>
      <w:bookmarkStart w:id="169" w:name="_Toc27780"/>
      <w:r>
        <w:rPr>
          <w:rFonts w:hint="eastAsia" w:ascii="Times New Roman" w:hAnsi="Times New Roman" w:eastAsia="宋体" w:cstheme="minorBidi"/>
          <w:b/>
          <w:kern w:val="2"/>
          <w:sz w:val="28"/>
          <w:szCs w:val="28"/>
          <w:lang w:val="en-US" w:eastAsia="zh-CN" w:bidi="ar-SA"/>
        </w:rPr>
        <w:t>空气质量限期达标规划</w:t>
      </w:r>
    </w:p>
    <w:p w14:paraId="6A011CAC">
      <w:pPr>
        <w:bidi w:val="0"/>
        <w:ind w:firstLine="480" w:firstLineChars="200"/>
        <w:rPr>
          <w:rFonts w:hint="eastAsia"/>
          <w:lang w:val="en-US" w:eastAsia="zh-CN"/>
        </w:rPr>
      </w:pPr>
      <w:r>
        <w:rPr>
          <w:rFonts w:hint="default"/>
          <w:lang w:val="en-US" w:eastAsia="zh-CN"/>
        </w:rPr>
        <w:t>针对环境空气质量未达标的情况</w:t>
      </w:r>
      <w:r>
        <w:rPr>
          <w:rFonts w:hint="eastAsia"/>
          <w:lang w:val="en-US" w:eastAsia="zh-CN"/>
        </w:rPr>
        <w:t>，衡阳市生态环境局于2020年7月制定了《衡阳市大气环境质量限期达标规划（2020-2025）》，明确于采取一系列产业和能源结构调整措施、大气污染治理措施，到 2025 年，环境空气 PM</w:t>
      </w:r>
      <w:r>
        <w:rPr>
          <w:rFonts w:hint="eastAsia"/>
          <w:vertAlign w:val="subscript"/>
          <w:lang w:val="en-US" w:eastAsia="zh-CN"/>
        </w:rPr>
        <w:t>2.5</w:t>
      </w:r>
      <w:r>
        <w:rPr>
          <w:rFonts w:hint="eastAsia"/>
          <w:lang w:val="en-US" w:eastAsia="zh-CN"/>
        </w:rPr>
        <w:t>年均浓度小于35</w:t>
      </w:r>
      <w:r>
        <w:rPr>
          <w:rFonts w:hint="default"/>
          <w:b w:val="0"/>
          <w:bCs w:val="0"/>
          <w:color w:val="auto"/>
        </w:rPr>
        <w:t>μ</w:t>
      </w:r>
      <w:r>
        <w:rPr>
          <w:rFonts w:hint="eastAsia"/>
          <w:lang w:val="en-US" w:eastAsia="zh-CN"/>
        </w:rPr>
        <w:t>g/m</w:t>
      </w:r>
      <w:r>
        <w:rPr>
          <w:rFonts w:hint="eastAsia"/>
          <w:vertAlign w:val="superscript"/>
          <w:lang w:val="en-US" w:eastAsia="zh-CN"/>
        </w:rPr>
        <w:t>3</w:t>
      </w:r>
      <w:r>
        <w:rPr>
          <w:rFonts w:hint="eastAsia"/>
          <w:lang w:val="en-US" w:eastAsia="zh-CN"/>
        </w:rPr>
        <w:t>，实现环境空气质量全面达标。按照达标规划要求，项目所在区域不达标指标 PM</w:t>
      </w:r>
      <w:r>
        <w:rPr>
          <w:rFonts w:hint="eastAsia"/>
          <w:vertAlign w:val="subscript"/>
          <w:lang w:val="en-US" w:eastAsia="zh-CN"/>
        </w:rPr>
        <w:t>2.5</w:t>
      </w:r>
      <w:r>
        <w:rPr>
          <w:rFonts w:hint="eastAsia"/>
          <w:lang w:val="en-US" w:eastAsia="zh-CN"/>
        </w:rPr>
        <w:t>年均浓度可达到小于35</w:t>
      </w:r>
      <w:r>
        <w:rPr>
          <w:rFonts w:hint="default"/>
          <w:b w:val="0"/>
          <w:bCs w:val="0"/>
          <w:color w:val="auto"/>
        </w:rPr>
        <w:t>μ</w:t>
      </w:r>
      <w:r>
        <w:rPr>
          <w:rFonts w:hint="eastAsia"/>
          <w:lang w:val="en-US" w:eastAsia="zh-CN"/>
        </w:rPr>
        <w:t>g/m</w:t>
      </w:r>
      <w:r>
        <w:rPr>
          <w:rFonts w:hint="eastAsia"/>
          <w:vertAlign w:val="superscript"/>
          <w:lang w:val="en-US" w:eastAsia="zh-CN"/>
        </w:rPr>
        <w:t>3</w:t>
      </w:r>
      <w:r>
        <w:rPr>
          <w:rFonts w:hint="eastAsia"/>
          <w:lang w:val="en-US" w:eastAsia="zh-CN"/>
        </w:rPr>
        <w:t>的要求，满足《环境空气质量标准》（GB3095-2012）及其修改单中二级标准要求。</w:t>
      </w:r>
    </w:p>
    <w:p w14:paraId="58F61B9E">
      <w:pPr>
        <w:pStyle w:val="43"/>
        <w:bidi w:val="0"/>
        <w:rPr>
          <w:rFonts w:hint="default"/>
          <w:lang w:val="en-US" w:eastAsia="zh-CN"/>
        </w:rPr>
      </w:pPr>
      <w:r>
        <w:rPr>
          <w:rFonts w:hint="eastAsia"/>
          <w:lang w:val="en-US" w:eastAsia="zh-CN"/>
        </w:rPr>
        <w:t>衡阳市环境空气质量规划指标</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5"/>
        <w:gridCol w:w="2019"/>
        <w:gridCol w:w="2376"/>
        <w:gridCol w:w="2989"/>
      </w:tblGrid>
      <w:tr w14:paraId="06A27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6" w:type="pct"/>
            <w:tcBorders>
              <w:tl2br w:val="nil"/>
              <w:tr2bl w:val="nil"/>
            </w:tcBorders>
            <w:noWrap w:val="0"/>
            <w:vAlign w:val="center"/>
          </w:tcPr>
          <w:p w14:paraId="42C9A6AC">
            <w:pPr>
              <w:pStyle w:val="45"/>
              <w:bidi w:val="0"/>
              <w:rPr>
                <w:rFonts w:hint="default"/>
                <w:b/>
                <w:bCs/>
                <w:lang w:val="en-US" w:eastAsia="zh-CN"/>
              </w:rPr>
            </w:pPr>
            <w:r>
              <w:rPr>
                <w:rFonts w:hint="eastAsia"/>
                <w:b/>
                <w:bCs/>
                <w:lang w:val="en-US" w:eastAsia="zh-CN"/>
              </w:rPr>
              <w:t>环境质量指标</w:t>
            </w:r>
          </w:p>
        </w:tc>
        <w:tc>
          <w:tcPr>
            <w:tcW w:w="1185" w:type="pct"/>
            <w:tcBorders>
              <w:tl2br w:val="nil"/>
              <w:tr2bl w:val="nil"/>
            </w:tcBorders>
            <w:noWrap w:val="0"/>
            <w:vAlign w:val="center"/>
          </w:tcPr>
          <w:p w14:paraId="05643BCF">
            <w:pPr>
              <w:pStyle w:val="45"/>
              <w:bidi w:val="0"/>
              <w:rPr>
                <w:rFonts w:hint="default"/>
                <w:b/>
                <w:bCs/>
                <w:lang w:val="en-US" w:eastAsia="zh-CN"/>
              </w:rPr>
            </w:pPr>
            <w:r>
              <w:rPr>
                <w:rFonts w:hint="default"/>
                <w:b/>
                <w:bCs/>
              </w:rPr>
              <w:t>评价指标</w:t>
            </w:r>
          </w:p>
        </w:tc>
        <w:tc>
          <w:tcPr>
            <w:tcW w:w="1394" w:type="pct"/>
            <w:tcBorders>
              <w:tl2br w:val="nil"/>
              <w:tr2bl w:val="nil"/>
            </w:tcBorders>
            <w:noWrap w:val="0"/>
            <w:vAlign w:val="center"/>
          </w:tcPr>
          <w:p w14:paraId="27AFD727">
            <w:pPr>
              <w:pStyle w:val="45"/>
              <w:bidi w:val="0"/>
              <w:rPr>
                <w:rFonts w:hint="eastAsia"/>
                <w:b/>
                <w:bCs/>
                <w:lang w:val="en-US" w:eastAsia="zh-CN"/>
              </w:rPr>
            </w:pPr>
            <w:r>
              <w:rPr>
                <w:rFonts w:hint="eastAsia"/>
                <w:b/>
                <w:bCs/>
                <w:lang w:val="en-US" w:eastAsia="zh-CN"/>
              </w:rPr>
              <w:t>2025年规划指标</w:t>
            </w:r>
          </w:p>
          <w:p w14:paraId="3960DA20">
            <w:pPr>
              <w:pStyle w:val="45"/>
              <w:bidi w:val="0"/>
              <w:rPr>
                <w:rFonts w:hint="default"/>
                <w:b/>
                <w:bCs/>
                <w:lang w:val="en-US" w:eastAsia="zh-CN"/>
              </w:rPr>
            </w:pPr>
            <w:r>
              <w:rPr>
                <w:rFonts w:hint="default"/>
                <w:b/>
                <w:bCs/>
              </w:rPr>
              <w:t>μg/m</w:t>
            </w:r>
            <w:r>
              <w:rPr>
                <w:rFonts w:hint="default"/>
                <w:b/>
                <w:bCs/>
                <w:vertAlign w:val="superscript"/>
              </w:rPr>
              <w:t>3</w:t>
            </w:r>
          </w:p>
        </w:tc>
        <w:tc>
          <w:tcPr>
            <w:tcW w:w="1754" w:type="pct"/>
            <w:tcBorders>
              <w:tl2br w:val="nil"/>
              <w:tr2bl w:val="nil"/>
            </w:tcBorders>
            <w:noWrap w:val="0"/>
            <w:vAlign w:val="center"/>
          </w:tcPr>
          <w:p w14:paraId="04637BE2">
            <w:pPr>
              <w:pStyle w:val="45"/>
              <w:bidi w:val="0"/>
              <w:rPr>
                <w:rFonts w:hint="eastAsia"/>
                <w:b/>
                <w:bCs/>
                <w:lang w:val="en-US" w:eastAsia="zh-CN"/>
              </w:rPr>
            </w:pPr>
            <w:r>
              <w:rPr>
                <w:rFonts w:hint="eastAsia"/>
                <w:b/>
                <w:bCs/>
                <w:lang w:val="en-US" w:eastAsia="zh-CN"/>
              </w:rPr>
              <w:t>（GB3095-2012）标准</w:t>
            </w:r>
          </w:p>
          <w:p w14:paraId="0A683D5C">
            <w:pPr>
              <w:pStyle w:val="45"/>
              <w:bidi w:val="0"/>
              <w:rPr>
                <w:rFonts w:hint="default"/>
                <w:b/>
                <w:bCs/>
                <w:lang w:val="en-US" w:eastAsia="zh-CN"/>
              </w:rPr>
            </w:pPr>
            <w:r>
              <w:rPr>
                <w:rFonts w:hint="default"/>
                <w:b/>
                <w:bCs/>
              </w:rPr>
              <w:t>μg/m</w:t>
            </w:r>
            <w:r>
              <w:rPr>
                <w:rFonts w:hint="default"/>
                <w:b/>
                <w:bCs/>
                <w:vertAlign w:val="superscript"/>
              </w:rPr>
              <w:t>3</w:t>
            </w:r>
          </w:p>
        </w:tc>
      </w:tr>
      <w:tr w14:paraId="49DEB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6" w:type="pct"/>
            <w:tcBorders>
              <w:tl2br w:val="nil"/>
              <w:tr2bl w:val="nil"/>
            </w:tcBorders>
            <w:noWrap w:val="0"/>
            <w:vAlign w:val="center"/>
          </w:tcPr>
          <w:p w14:paraId="682BBA92">
            <w:pPr>
              <w:pStyle w:val="45"/>
              <w:bidi w:val="0"/>
              <w:rPr>
                <w:rFonts w:hint="default"/>
                <w:lang w:val="en-US" w:eastAsia="zh-CN"/>
              </w:rPr>
            </w:pPr>
            <w:r>
              <w:rPr>
                <w:rFonts w:hint="eastAsia"/>
                <w:lang w:val="en-US" w:eastAsia="zh-CN"/>
              </w:rPr>
              <w:t>PM</w:t>
            </w:r>
            <w:r>
              <w:rPr>
                <w:rFonts w:hint="eastAsia"/>
                <w:vertAlign w:val="subscript"/>
                <w:lang w:val="en-US" w:eastAsia="zh-CN"/>
              </w:rPr>
              <w:t>2.5</w:t>
            </w:r>
          </w:p>
        </w:tc>
        <w:tc>
          <w:tcPr>
            <w:tcW w:w="1185" w:type="pct"/>
            <w:tcBorders>
              <w:tl2br w:val="nil"/>
              <w:tr2bl w:val="nil"/>
            </w:tcBorders>
            <w:noWrap w:val="0"/>
            <w:vAlign w:val="center"/>
          </w:tcPr>
          <w:p w14:paraId="57342995">
            <w:pPr>
              <w:pStyle w:val="45"/>
              <w:bidi w:val="0"/>
              <w:rPr>
                <w:rFonts w:hint="default"/>
                <w:lang w:val="en-US" w:eastAsia="zh-CN"/>
              </w:rPr>
            </w:pPr>
            <w:r>
              <w:rPr>
                <w:rFonts w:hint="default"/>
              </w:rPr>
              <w:t>年平均质量浓度</w:t>
            </w:r>
          </w:p>
        </w:tc>
        <w:tc>
          <w:tcPr>
            <w:tcW w:w="1394" w:type="pct"/>
            <w:tcBorders>
              <w:tl2br w:val="nil"/>
              <w:tr2bl w:val="nil"/>
            </w:tcBorders>
            <w:noWrap w:val="0"/>
            <w:vAlign w:val="center"/>
          </w:tcPr>
          <w:p w14:paraId="4DAD707B">
            <w:pPr>
              <w:pStyle w:val="45"/>
              <w:bidi w:val="0"/>
              <w:rPr>
                <w:rFonts w:hint="default"/>
                <w:lang w:val="en-US" w:eastAsia="zh-CN"/>
              </w:rPr>
            </w:pPr>
            <w:r>
              <w:rPr>
                <w:rFonts w:hint="eastAsia"/>
                <w:lang w:val="en-US" w:eastAsia="zh-CN"/>
              </w:rPr>
              <w:t>≤35</w:t>
            </w:r>
          </w:p>
        </w:tc>
        <w:tc>
          <w:tcPr>
            <w:tcW w:w="1754" w:type="pct"/>
            <w:tcBorders>
              <w:tl2br w:val="nil"/>
              <w:tr2bl w:val="nil"/>
            </w:tcBorders>
            <w:noWrap w:val="0"/>
            <w:vAlign w:val="center"/>
          </w:tcPr>
          <w:p w14:paraId="682862B3">
            <w:pPr>
              <w:pStyle w:val="45"/>
              <w:bidi w:val="0"/>
              <w:rPr>
                <w:rFonts w:hint="default"/>
                <w:lang w:val="en-US" w:eastAsia="zh-CN"/>
              </w:rPr>
            </w:pPr>
            <w:r>
              <w:rPr>
                <w:rFonts w:hint="eastAsia"/>
                <w:lang w:val="en-US" w:eastAsia="zh-CN"/>
              </w:rPr>
              <w:t>≤35</w:t>
            </w:r>
          </w:p>
        </w:tc>
      </w:tr>
    </w:tbl>
    <w:p w14:paraId="78E0789B">
      <w:pPr>
        <w:rPr>
          <w:rFonts w:hint="eastAsia"/>
          <w:lang w:val="en-US" w:eastAsia="zh-CN"/>
        </w:rPr>
      </w:pPr>
    </w:p>
    <w:p w14:paraId="4AB45720">
      <w:pPr>
        <w:pStyle w:val="4"/>
        <w:numPr>
          <w:ilvl w:val="2"/>
          <w:numId w:val="1"/>
        </w:numPr>
      </w:pPr>
      <w:r>
        <w:rPr>
          <w:rFonts w:hint="eastAsia"/>
        </w:rPr>
        <w:t>特征污染物环境空气质量</w:t>
      </w:r>
      <w:bookmarkEnd w:id="169"/>
      <w:r>
        <w:rPr>
          <w:rFonts w:hint="eastAsia"/>
        </w:rPr>
        <w:t>情况</w:t>
      </w:r>
    </w:p>
    <w:p w14:paraId="563CE86C">
      <w:pPr>
        <w:ind w:firstLine="480"/>
      </w:pPr>
      <w:r>
        <w:rPr>
          <w:rFonts w:hint="eastAsia"/>
        </w:rPr>
        <w:t>本次评价针对氯化氢、氯气、TSP等特征因子引用《衡阳小桔制药有限公司年产500t西地那非碱生产线建设项目变更（年产100t西地那非、100t对氨基苯甲酰谷氨酸、100t盐酸普鲁卡因、200t邻氯西林酰氯、100t 2-甲基蒽醌生产线）环境影响报告书》中委托湖南桓泓检测技术有限公司于2022年11月1日-7日监测的环境空气数据，其监测的特征因子包括TSP、HCl、</w:t>
      </w:r>
      <w:r>
        <w:t>Cl</w:t>
      </w:r>
      <w:r>
        <w:rPr>
          <w:vertAlign w:val="subscript"/>
        </w:rPr>
        <w:t>2</w:t>
      </w:r>
      <w:r>
        <w:rPr>
          <w:rFonts w:hint="eastAsia"/>
        </w:rPr>
        <w:t>等。引用的监测数据满足引用数据的时效性和有效性要求，引用具体情况如下：</w:t>
      </w:r>
    </w:p>
    <w:p w14:paraId="6940B4DB">
      <w:pPr>
        <w:numPr>
          <w:ilvl w:val="0"/>
          <w:numId w:val="0"/>
        </w:numPr>
        <w:ind w:firstLine="480"/>
      </w:pPr>
      <w:r>
        <w:rPr>
          <w:rFonts w:ascii="Times New Roman" w:hAnsi="Times New Roman" w:eastAsia="宋体" w:cstheme="minorBidi"/>
          <w:kern w:val="2"/>
          <w:sz w:val="24"/>
          <w:szCs w:val="24"/>
          <w:lang w:val="en-US" w:eastAsia="zh-CN" w:bidi="ar-SA"/>
        </w:rPr>
        <w:t>1、</w:t>
      </w:r>
      <w:r>
        <w:rPr>
          <w:rFonts w:hint="eastAsia"/>
        </w:rPr>
        <w:t>监测点位</w:t>
      </w:r>
    </w:p>
    <w:p w14:paraId="4C7A55DA">
      <w:pPr>
        <w:ind w:firstLine="480"/>
      </w:pPr>
      <w:r>
        <w:rPr>
          <w:rFonts w:hint="eastAsia"/>
        </w:rPr>
        <w:t>结合厂址的主导风向、敏感目标分布等情况，共布设了以下监测点，具体监测点位置见下表。</w:t>
      </w:r>
    </w:p>
    <w:p w14:paraId="27A0C488">
      <w:pPr>
        <w:pStyle w:val="43"/>
        <w:numPr>
          <w:ilvl w:val="5"/>
          <w:numId w:val="1"/>
        </w:numPr>
        <w:rPr>
          <w:rFonts w:hint="default"/>
        </w:rPr>
      </w:pPr>
      <w:r>
        <w:t>环境空气质量监测点位</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9"/>
        <w:gridCol w:w="1374"/>
        <w:gridCol w:w="1558"/>
        <w:gridCol w:w="4901"/>
      </w:tblGrid>
      <w:tr w14:paraId="68B12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404" w:type="pct"/>
            <w:vAlign w:val="center"/>
          </w:tcPr>
          <w:p w14:paraId="78543793">
            <w:pPr>
              <w:pStyle w:val="45"/>
              <w:rPr>
                <w:rFonts w:hint="default"/>
                <w:b/>
                <w:bCs/>
              </w:rPr>
            </w:pPr>
            <w:r>
              <w:rPr>
                <w:b/>
                <w:bCs/>
              </w:rPr>
              <w:t>序号</w:t>
            </w:r>
          </w:p>
        </w:tc>
        <w:tc>
          <w:tcPr>
            <w:tcW w:w="806" w:type="pct"/>
            <w:vAlign w:val="center"/>
          </w:tcPr>
          <w:p w14:paraId="23FDCE30">
            <w:pPr>
              <w:pStyle w:val="45"/>
              <w:rPr>
                <w:rFonts w:hint="default"/>
                <w:b/>
                <w:bCs/>
              </w:rPr>
            </w:pPr>
            <w:r>
              <w:rPr>
                <w:b/>
                <w:bCs/>
              </w:rPr>
              <w:t>测点名称</w:t>
            </w:r>
          </w:p>
        </w:tc>
        <w:tc>
          <w:tcPr>
            <w:tcW w:w="914" w:type="pct"/>
            <w:vAlign w:val="center"/>
          </w:tcPr>
          <w:p w14:paraId="66B36952">
            <w:pPr>
              <w:pStyle w:val="45"/>
              <w:rPr>
                <w:rFonts w:hint="default"/>
                <w:b/>
                <w:bCs/>
              </w:rPr>
            </w:pPr>
            <w:r>
              <w:rPr>
                <w:b/>
                <w:bCs/>
              </w:rPr>
              <w:t>距</w:t>
            </w:r>
            <w:r>
              <w:rPr>
                <w:rFonts w:hint="eastAsia"/>
                <w:b/>
                <w:bCs/>
                <w:lang w:val="en-US" w:eastAsia="zh-CN"/>
              </w:rPr>
              <w:t>本</w:t>
            </w:r>
            <w:r>
              <w:rPr>
                <w:b/>
                <w:bCs/>
              </w:rPr>
              <w:t>项目厂界方位和距离</w:t>
            </w:r>
          </w:p>
        </w:tc>
        <w:tc>
          <w:tcPr>
            <w:tcW w:w="2874" w:type="pct"/>
            <w:vAlign w:val="center"/>
          </w:tcPr>
          <w:p w14:paraId="6DC3C8C4">
            <w:pPr>
              <w:pStyle w:val="45"/>
              <w:rPr>
                <w:rFonts w:hint="default"/>
                <w:b/>
                <w:bCs/>
              </w:rPr>
            </w:pPr>
            <w:r>
              <w:rPr>
                <w:b/>
                <w:bCs/>
              </w:rPr>
              <w:t>监测因子</w:t>
            </w:r>
          </w:p>
        </w:tc>
      </w:tr>
      <w:tr w14:paraId="56130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4" w:type="pct"/>
            <w:vAlign w:val="center"/>
          </w:tcPr>
          <w:p w14:paraId="64940D53">
            <w:pPr>
              <w:pStyle w:val="45"/>
              <w:rPr>
                <w:rFonts w:hint="default"/>
              </w:rPr>
            </w:pPr>
            <w:r>
              <w:t>1</w:t>
            </w:r>
          </w:p>
        </w:tc>
        <w:tc>
          <w:tcPr>
            <w:tcW w:w="806" w:type="pct"/>
            <w:vAlign w:val="center"/>
          </w:tcPr>
          <w:p w14:paraId="46F6E807">
            <w:pPr>
              <w:pStyle w:val="45"/>
              <w:rPr>
                <w:rFonts w:hint="default"/>
              </w:rPr>
            </w:pPr>
            <w:r>
              <w:t>经开区管委会A1</w:t>
            </w:r>
          </w:p>
        </w:tc>
        <w:tc>
          <w:tcPr>
            <w:tcW w:w="914" w:type="pct"/>
            <w:vAlign w:val="center"/>
          </w:tcPr>
          <w:p w14:paraId="755203E3">
            <w:pPr>
              <w:pStyle w:val="45"/>
              <w:rPr>
                <w:rFonts w:hint="default"/>
              </w:rPr>
            </w:pPr>
            <w:r>
              <w:t>SW，</w:t>
            </w:r>
            <w:r>
              <w:rPr>
                <w:rFonts w:hint="eastAsia"/>
                <w:lang w:val="en-US" w:eastAsia="zh-CN"/>
              </w:rPr>
              <w:t>1750</w:t>
            </w:r>
            <w:r>
              <w:t>m</w:t>
            </w:r>
          </w:p>
        </w:tc>
        <w:tc>
          <w:tcPr>
            <w:tcW w:w="2874" w:type="pct"/>
            <w:vAlign w:val="center"/>
          </w:tcPr>
          <w:p w14:paraId="258E7179">
            <w:pPr>
              <w:pStyle w:val="45"/>
              <w:rPr>
                <w:rFonts w:hint="default"/>
              </w:rPr>
            </w:pPr>
            <w:r>
              <w:t>连续监测7天</w:t>
            </w:r>
          </w:p>
          <w:p w14:paraId="1CC2841B">
            <w:pPr>
              <w:pStyle w:val="45"/>
              <w:rPr>
                <w:rFonts w:hint="default"/>
              </w:rPr>
            </w:pPr>
            <w:r>
              <w:t>1h 均值：氯化氢、氯气</w:t>
            </w:r>
          </w:p>
          <w:p w14:paraId="0A56953C">
            <w:pPr>
              <w:pStyle w:val="45"/>
              <w:rPr>
                <w:rFonts w:hint="default"/>
              </w:rPr>
            </w:pPr>
            <w:r>
              <w:t>日均值：氯化氢、氯气、TSP</w:t>
            </w:r>
          </w:p>
        </w:tc>
      </w:tr>
    </w:tbl>
    <w:p w14:paraId="667E0DDC">
      <w:pPr>
        <w:numPr>
          <w:ilvl w:val="-1"/>
          <w:numId w:val="0"/>
        </w:numPr>
        <w:spacing w:line="240" w:lineRule="auto"/>
        <w:ind w:firstLine="0" w:firstLineChars="0"/>
      </w:pPr>
    </w:p>
    <w:p w14:paraId="1D407CDE">
      <w:pPr>
        <w:numPr>
          <w:ilvl w:val="0"/>
          <w:numId w:val="0"/>
        </w:numPr>
        <w:ind w:firstLine="480"/>
      </w:pPr>
      <w:r>
        <w:rPr>
          <w:rFonts w:hint="eastAsia"/>
          <w:lang w:val="en-US" w:eastAsia="zh-CN"/>
        </w:rPr>
        <w:t>2、</w:t>
      </w:r>
      <w:r>
        <w:rPr>
          <w:rFonts w:hint="eastAsia"/>
        </w:rPr>
        <w:t>评价标准</w:t>
      </w:r>
    </w:p>
    <w:p w14:paraId="1737ECBA">
      <w:pPr>
        <w:ind w:firstLine="480"/>
      </w:pPr>
      <w:r>
        <w:rPr>
          <w:rFonts w:hint="eastAsia"/>
        </w:rPr>
        <w:t>氯化氢、氯气和氨执行《环境影响评价技术导则 大气环境》（HJ2.2-2018）附录表D.1中标准值；TSP执行《环境空气质量标准》（GB 3095-2012）的标准值。</w:t>
      </w:r>
    </w:p>
    <w:p w14:paraId="05C577AE">
      <w:pPr>
        <w:numPr>
          <w:ilvl w:val="0"/>
          <w:numId w:val="0"/>
        </w:numPr>
        <w:ind w:firstLine="480"/>
      </w:pPr>
      <w:r>
        <w:rPr>
          <w:rFonts w:hint="eastAsia" w:cstheme="minorBidi"/>
          <w:kern w:val="2"/>
          <w:sz w:val="24"/>
          <w:szCs w:val="24"/>
          <w:lang w:val="en-US" w:eastAsia="zh-CN" w:bidi="ar-SA"/>
        </w:rPr>
        <w:t>3</w:t>
      </w:r>
      <w:r>
        <w:rPr>
          <w:rFonts w:ascii="Times New Roman" w:hAnsi="Times New Roman" w:eastAsia="宋体" w:cstheme="minorBidi"/>
          <w:kern w:val="2"/>
          <w:sz w:val="24"/>
          <w:szCs w:val="24"/>
          <w:lang w:val="en-US" w:eastAsia="zh-CN" w:bidi="ar-SA"/>
        </w:rPr>
        <w:t>、</w:t>
      </w:r>
      <w:r>
        <w:rPr>
          <w:rFonts w:hint="eastAsia"/>
        </w:rPr>
        <w:t>监测结果</w:t>
      </w:r>
    </w:p>
    <w:p w14:paraId="2B93CD79">
      <w:pPr>
        <w:pStyle w:val="43"/>
        <w:numPr>
          <w:ilvl w:val="5"/>
          <w:numId w:val="1"/>
        </w:numPr>
        <w:rPr>
          <w:rFonts w:hint="default"/>
        </w:rPr>
      </w:pPr>
      <w:r>
        <w:t>环境空气监测结果一览表 单位：mg/m</w:t>
      </w:r>
      <w:r>
        <w:rPr>
          <w:vertAlign w:val="superscript"/>
        </w:rPr>
        <w:t>3</w:t>
      </w:r>
      <w:r>
        <w:t xml:space="preserve"> </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108" w:type="dxa"/>
          <w:bottom w:w="0" w:type="dxa"/>
          <w:right w:w="108" w:type="dxa"/>
        </w:tblCellMar>
      </w:tblPr>
      <w:tblGrid>
        <w:gridCol w:w="768"/>
        <w:gridCol w:w="1987"/>
        <w:gridCol w:w="846"/>
        <w:gridCol w:w="650"/>
        <w:gridCol w:w="773"/>
        <w:gridCol w:w="967"/>
        <w:gridCol w:w="954"/>
        <w:gridCol w:w="750"/>
        <w:gridCol w:w="827"/>
      </w:tblGrid>
      <w:tr w14:paraId="2DCE8ED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690" w:hRule="atLeast"/>
          <w:tblHeader/>
        </w:trPr>
        <w:tc>
          <w:tcPr>
            <w:tcW w:w="450" w:type="pct"/>
            <w:vAlign w:val="center"/>
          </w:tcPr>
          <w:p w14:paraId="0BDAA2BD">
            <w:pPr>
              <w:pStyle w:val="45"/>
              <w:rPr>
                <w:rFonts w:hint="default"/>
                <w:b/>
                <w:bCs/>
              </w:rPr>
            </w:pPr>
            <w:r>
              <w:rPr>
                <w:rFonts w:hint="default"/>
                <w:b/>
                <w:bCs/>
              </w:rPr>
              <w:t>监测点位</w:t>
            </w:r>
          </w:p>
        </w:tc>
        <w:tc>
          <w:tcPr>
            <w:tcW w:w="1164" w:type="pct"/>
            <w:vAlign w:val="center"/>
          </w:tcPr>
          <w:p w14:paraId="5C5CD913">
            <w:pPr>
              <w:pStyle w:val="45"/>
              <w:rPr>
                <w:rFonts w:hint="default"/>
                <w:b/>
                <w:bCs/>
              </w:rPr>
            </w:pPr>
            <w:r>
              <w:rPr>
                <w:rFonts w:hint="default"/>
                <w:b/>
                <w:bCs/>
              </w:rPr>
              <w:t>监测点坐标/m</w:t>
            </w:r>
          </w:p>
        </w:tc>
        <w:tc>
          <w:tcPr>
            <w:tcW w:w="496" w:type="pct"/>
            <w:vAlign w:val="center"/>
          </w:tcPr>
          <w:p w14:paraId="3D0DABD4">
            <w:pPr>
              <w:pStyle w:val="45"/>
              <w:rPr>
                <w:rFonts w:hint="default"/>
                <w:b/>
                <w:bCs/>
              </w:rPr>
            </w:pPr>
            <w:r>
              <w:rPr>
                <w:rFonts w:hint="default"/>
                <w:b/>
                <w:bCs/>
              </w:rPr>
              <w:t>污染物</w:t>
            </w:r>
          </w:p>
        </w:tc>
        <w:tc>
          <w:tcPr>
            <w:tcW w:w="381" w:type="pct"/>
            <w:vAlign w:val="center"/>
          </w:tcPr>
          <w:p w14:paraId="017992E1">
            <w:pPr>
              <w:pStyle w:val="45"/>
              <w:rPr>
                <w:rFonts w:hint="default"/>
                <w:b/>
                <w:bCs/>
              </w:rPr>
            </w:pPr>
            <w:r>
              <w:rPr>
                <w:rFonts w:hint="default"/>
                <w:b/>
                <w:bCs/>
              </w:rPr>
              <w:t>平均时间</w:t>
            </w:r>
          </w:p>
        </w:tc>
        <w:tc>
          <w:tcPr>
            <w:tcW w:w="453" w:type="pct"/>
            <w:vAlign w:val="center"/>
          </w:tcPr>
          <w:p w14:paraId="696FB754">
            <w:pPr>
              <w:pStyle w:val="45"/>
              <w:rPr>
                <w:rFonts w:hint="default"/>
                <w:b/>
                <w:bCs/>
              </w:rPr>
            </w:pPr>
            <w:r>
              <w:rPr>
                <w:rFonts w:hint="default"/>
                <w:b/>
                <w:bCs/>
              </w:rPr>
              <w:t>评价标准</w:t>
            </w:r>
          </w:p>
        </w:tc>
        <w:tc>
          <w:tcPr>
            <w:tcW w:w="567" w:type="pct"/>
            <w:vAlign w:val="center"/>
          </w:tcPr>
          <w:p w14:paraId="4C000D9B">
            <w:pPr>
              <w:pStyle w:val="45"/>
              <w:rPr>
                <w:rFonts w:hint="default"/>
                <w:b/>
                <w:bCs/>
              </w:rPr>
            </w:pPr>
            <w:r>
              <w:rPr>
                <w:rFonts w:hint="default"/>
                <w:b/>
                <w:bCs/>
              </w:rPr>
              <w:t>监测浓度范围</w:t>
            </w:r>
          </w:p>
        </w:tc>
        <w:tc>
          <w:tcPr>
            <w:tcW w:w="560" w:type="pct"/>
            <w:vAlign w:val="center"/>
          </w:tcPr>
          <w:p w14:paraId="4D999A7B">
            <w:pPr>
              <w:pStyle w:val="45"/>
              <w:rPr>
                <w:rFonts w:hint="default"/>
                <w:b/>
                <w:bCs/>
              </w:rPr>
            </w:pPr>
            <w:r>
              <w:rPr>
                <w:rFonts w:hint="default"/>
                <w:b/>
                <w:bCs/>
              </w:rPr>
              <w:t>最大浓度占标率/%</w:t>
            </w:r>
          </w:p>
        </w:tc>
        <w:tc>
          <w:tcPr>
            <w:tcW w:w="440" w:type="pct"/>
            <w:vAlign w:val="center"/>
          </w:tcPr>
          <w:p w14:paraId="1A557974">
            <w:pPr>
              <w:pStyle w:val="45"/>
              <w:rPr>
                <w:rFonts w:hint="default"/>
                <w:b/>
                <w:bCs/>
              </w:rPr>
            </w:pPr>
            <w:r>
              <w:rPr>
                <w:rFonts w:hint="default"/>
                <w:b/>
                <w:bCs/>
              </w:rPr>
              <w:t>超标率/%</w:t>
            </w:r>
          </w:p>
        </w:tc>
        <w:tc>
          <w:tcPr>
            <w:tcW w:w="485" w:type="pct"/>
            <w:vAlign w:val="center"/>
          </w:tcPr>
          <w:p w14:paraId="5E6AD8C8">
            <w:pPr>
              <w:pStyle w:val="45"/>
              <w:rPr>
                <w:rFonts w:hint="default"/>
                <w:b/>
                <w:bCs/>
              </w:rPr>
            </w:pPr>
            <w:r>
              <w:rPr>
                <w:rFonts w:hint="default"/>
                <w:b/>
                <w:bCs/>
              </w:rPr>
              <w:t>达标情况</w:t>
            </w:r>
          </w:p>
        </w:tc>
      </w:tr>
      <w:tr w14:paraId="5499591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450" w:type="pct"/>
            <w:vMerge w:val="restart"/>
            <w:vAlign w:val="center"/>
          </w:tcPr>
          <w:p w14:paraId="76BDEB06">
            <w:pPr>
              <w:pStyle w:val="45"/>
              <w:rPr>
                <w:rFonts w:hint="default"/>
              </w:rPr>
            </w:pPr>
            <w:r>
              <w:rPr>
                <w:rFonts w:hint="default"/>
              </w:rPr>
              <w:t>经开区管委会A1</w:t>
            </w:r>
          </w:p>
        </w:tc>
        <w:tc>
          <w:tcPr>
            <w:tcW w:w="1164" w:type="pct"/>
            <w:vMerge w:val="restart"/>
            <w:vAlign w:val="center"/>
          </w:tcPr>
          <w:p w14:paraId="5D874E17">
            <w:pPr>
              <w:pStyle w:val="45"/>
              <w:rPr>
                <w:rFonts w:hint="default"/>
              </w:rPr>
            </w:pPr>
            <w:r>
              <w:rPr>
                <w:rFonts w:hint="default"/>
              </w:rPr>
              <w:t>E112°37′1.4946564″</w:t>
            </w:r>
          </w:p>
          <w:p w14:paraId="0A1B48E5">
            <w:pPr>
              <w:pStyle w:val="45"/>
              <w:rPr>
                <w:rFonts w:hint="default"/>
              </w:rPr>
            </w:pPr>
            <w:r>
              <w:rPr>
                <w:rFonts w:hint="default"/>
              </w:rPr>
              <w:t>N26°58′1.4552292″</w:t>
            </w:r>
          </w:p>
        </w:tc>
        <w:tc>
          <w:tcPr>
            <w:tcW w:w="496" w:type="pct"/>
            <w:noWrap/>
            <w:vAlign w:val="center"/>
          </w:tcPr>
          <w:p w14:paraId="7C08DF28">
            <w:pPr>
              <w:pStyle w:val="45"/>
              <w:rPr>
                <w:rFonts w:hint="default"/>
              </w:rPr>
            </w:pPr>
            <w:r>
              <w:rPr>
                <w:rFonts w:hint="default"/>
              </w:rPr>
              <w:t>氯化氢</w:t>
            </w:r>
          </w:p>
        </w:tc>
        <w:tc>
          <w:tcPr>
            <w:tcW w:w="381" w:type="pct"/>
            <w:vAlign w:val="center"/>
          </w:tcPr>
          <w:p w14:paraId="71873EC8">
            <w:pPr>
              <w:pStyle w:val="45"/>
              <w:rPr>
                <w:rFonts w:hint="default"/>
              </w:rPr>
            </w:pPr>
            <w:r>
              <w:rPr>
                <w:rFonts w:hint="default"/>
              </w:rPr>
              <w:t>1h</w:t>
            </w:r>
          </w:p>
        </w:tc>
        <w:tc>
          <w:tcPr>
            <w:tcW w:w="453" w:type="pct"/>
            <w:noWrap/>
            <w:vAlign w:val="center"/>
          </w:tcPr>
          <w:p w14:paraId="4153EC6E">
            <w:pPr>
              <w:pStyle w:val="45"/>
              <w:rPr>
                <w:rFonts w:hint="default"/>
              </w:rPr>
            </w:pPr>
            <w:r>
              <w:rPr>
                <w:rFonts w:hint="default"/>
              </w:rPr>
              <w:t>0.05</w:t>
            </w:r>
          </w:p>
        </w:tc>
        <w:tc>
          <w:tcPr>
            <w:tcW w:w="567" w:type="pct"/>
            <w:vAlign w:val="center"/>
          </w:tcPr>
          <w:p w14:paraId="00F7ACC2">
            <w:pPr>
              <w:pStyle w:val="45"/>
              <w:rPr>
                <w:rFonts w:hint="default"/>
              </w:rPr>
            </w:pPr>
            <w:r>
              <w:rPr>
                <w:rFonts w:hint="default"/>
              </w:rPr>
              <w:t>0.004L</w:t>
            </w:r>
          </w:p>
        </w:tc>
        <w:tc>
          <w:tcPr>
            <w:tcW w:w="560" w:type="pct"/>
            <w:noWrap/>
            <w:vAlign w:val="center"/>
          </w:tcPr>
          <w:p w14:paraId="2BCB6EFC">
            <w:pPr>
              <w:pStyle w:val="45"/>
              <w:rPr>
                <w:rFonts w:hint="default"/>
              </w:rPr>
            </w:pPr>
            <w:r>
              <w:rPr>
                <w:rFonts w:hint="default"/>
              </w:rPr>
              <w:t>/</w:t>
            </w:r>
          </w:p>
        </w:tc>
        <w:tc>
          <w:tcPr>
            <w:tcW w:w="440" w:type="pct"/>
            <w:vAlign w:val="center"/>
          </w:tcPr>
          <w:p w14:paraId="7367190D">
            <w:pPr>
              <w:pStyle w:val="45"/>
              <w:rPr>
                <w:rFonts w:hint="default"/>
              </w:rPr>
            </w:pPr>
            <w:r>
              <w:rPr>
                <w:rFonts w:hint="default"/>
              </w:rPr>
              <w:t>0</w:t>
            </w:r>
          </w:p>
        </w:tc>
        <w:tc>
          <w:tcPr>
            <w:tcW w:w="485" w:type="pct"/>
            <w:vAlign w:val="center"/>
          </w:tcPr>
          <w:p w14:paraId="374242D0">
            <w:pPr>
              <w:pStyle w:val="45"/>
              <w:rPr>
                <w:rFonts w:hint="default"/>
              </w:rPr>
            </w:pPr>
            <w:r>
              <w:rPr>
                <w:rFonts w:hint="default"/>
              </w:rPr>
              <w:t>达标</w:t>
            </w:r>
          </w:p>
        </w:tc>
      </w:tr>
      <w:tr w14:paraId="74D5D81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450" w:type="pct"/>
            <w:vMerge w:val="continue"/>
            <w:vAlign w:val="center"/>
          </w:tcPr>
          <w:p w14:paraId="6E2DEB58">
            <w:pPr>
              <w:pStyle w:val="45"/>
              <w:rPr>
                <w:rFonts w:hint="default"/>
              </w:rPr>
            </w:pPr>
          </w:p>
        </w:tc>
        <w:tc>
          <w:tcPr>
            <w:tcW w:w="1164" w:type="pct"/>
            <w:vMerge w:val="continue"/>
            <w:vAlign w:val="center"/>
          </w:tcPr>
          <w:p w14:paraId="3E57EF2C">
            <w:pPr>
              <w:pStyle w:val="45"/>
              <w:rPr>
                <w:rFonts w:hint="default"/>
              </w:rPr>
            </w:pPr>
          </w:p>
        </w:tc>
        <w:tc>
          <w:tcPr>
            <w:tcW w:w="496" w:type="pct"/>
            <w:noWrap/>
            <w:vAlign w:val="center"/>
          </w:tcPr>
          <w:p w14:paraId="00A70596">
            <w:pPr>
              <w:pStyle w:val="45"/>
              <w:rPr>
                <w:rFonts w:hint="default"/>
              </w:rPr>
            </w:pPr>
            <w:r>
              <w:rPr>
                <w:rFonts w:hint="default"/>
              </w:rPr>
              <w:t>氯化氢</w:t>
            </w:r>
          </w:p>
        </w:tc>
        <w:tc>
          <w:tcPr>
            <w:tcW w:w="381" w:type="pct"/>
            <w:vAlign w:val="center"/>
          </w:tcPr>
          <w:p w14:paraId="1EC58830">
            <w:pPr>
              <w:pStyle w:val="45"/>
              <w:rPr>
                <w:rFonts w:hint="default"/>
              </w:rPr>
            </w:pPr>
            <w:r>
              <w:rPr>
                <w:rFonts w:hint="default"/>
              </w:rPr>
              <w:t>24h</w:t>
            </w:r>
          </w:p>
        </w:tc>
        <w:tc>
          <w:tcPr>
            <w:tcW w:w="453" w:type="pct"/>
            <w:noWrap/>
            <w:vAlign w:val="center"/>
          </w:tcPr>
          <w:p w14:paraId="411B82D5">
            <w:pPr>
              <w:pStyle w:val="45"/>
              <w:rPr>
                <w:rFonts w:hint="default"/>
              </w:rPr>
            </w:pPr>
            <w:r>
              <w:rPr>
                <w:rFonts w:hint="default"/>
              </w:rPr>
              <w:t>0.015</w:t>
            </w:r>
          </w:p>
        </w:tc>
        <w:tc>
          <w:tcPr>
            <w:tcW w:w="567" w:type="pct"/>
            <w:vAlign w:val="center"/>
          </w:tcPr>
          <w:p w14:paraId="0D667E73">
            <w:pPr>
              <w:pStyle w:val="45"/>
              <w:rPr>
                <w:rFonts w:hint="default"/>
              </w:rPr>
            </w:pPr>
            <w:r>
              <w:rPr>
                <w:rFonts w:hint="default"/>
              </w:rPr>
              <w:t>0.004L</w:t>
            </w:r>
          </w:p>
        </w:tc>
        <w:tc>
          <w:tcPr>
            <w:tcW w:w="560" w:type="pct"/>
            <w:noWrap/>
            <w:vAlign w:val="center"/>
          </w:tcPr>
          <w:p w14:paraId="6B508BFB">
            <w:pPr>
              <w:pStyle w:val="45"/>
              <w:rPr>
                <w:rFonts w:hint="default"/>
              </w:rPr>
            </w:pPr>
            <w:r>
              <w:rPr>
                <w:rFonts w:hint="default"/>
              </w:rPr>
              <w:t>/</w:t>
            </w:r>
          </w:p>
        </w:tc>
        <w:tc>
          <w:tcPr>
            <w:tcW w:w="440" w:type="pct"/>
            <w:vAlign w:val="center"/>
          </w:tcPr>
          <w:p w14:paraId="285B5781">
            <w:pPr>
              <w:pStyle w:val="45"/>
              <w:rPr>
                <w:rFonts w:hint="default"/>
              </w:rPr>
            </w:pPr>
            <w:r>
              <w:rPr>
                <w:rFonts w:hint="default"/>
              </w:rPr>
              <w:t>0</w:t>
            </w:r>
          </w:p>
        </w:tc>
        <w:tc>
          <w:tcPr>
            <w:tcW w:w="485" w:type="pct"/>
            <w:vAlign w:val="center"/>
          </w:tcPr>
          <w:p w14:paraId="07384E35">
            <w:pPr>
              <w:pStyle w:val="45"/>
              <w:rPr>
                <w:rFonts w:hint="default"/>
              </w:rPr>
            </w:pPr>
            <w:r>
              <w:rPr>
                <w:rFonts w:hint="default"/>
              </w:rPr>
              <w:t>达标</w:t>
            </w:r>
          </w:p>
        </w:tc>
      </w:tr>
      <w:tr w14:paraId="4B30E51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450" w:type="pct"/>
            <w:vMerge w:val="continue"/>
            <w:vAlign w:val="center"/>
          </w:tcPr>
          <w:p w14:paraId="0CDF8FE0">
            <w:pPr>
              <w:pStyle w:val="45"/>
              <w:rPr>
                <w:rFonts w:hint="default"/>
              </w:rPr>
            </w:pPr>
          </w:p>
        </w:tc>
        <w:tc>
          <w:tcPr>
            <w:tcW w:w="1164" w:type="pct"/>
            <w:vMerge w:val="continue"/>
            <w:vAlign w:val="center"/>
          </w:tcPr>
          <w:p w14:paraId="7799AE08">
            <w:pPr>
              <w:pStyle w:val="45"/>
              <w:rPr>
                <w:rFonts w:hint="default"/>
              </w:rPr>
            </w:pPr>
          </w:p>
        </w:tc>
        <w:tc>
          <w:tcPr>
            <w:tcW w:w="496" w:type="pct"/>
            <w:noWrap/>
            <w:vAlign w:val="center"/>
          </w:tcPr>
          <w:p w14:paraId="13FB9106">
            <w:pPr>
              <w:pStyle w:val="45"/>
              <w:rPr>
                <w:rFonts w:hint="default"/>
              </w:rPr>
            </w:pPr>
            <w:r>
              <w:rPr>
                <w:rFonts w:hint="default"/>
              </w:rPr>
              <w:t>氯气</w:t>
            </w:r>
          </w:p>
        </w:tc>
        <w:tc>
          <w:tcPr>
            <w:tcW w:w="381" w:type="pct"/>
            <w:vAlign w:val="center"/>
          </w:tcPr>
          <w:p w14:paraId="2AF7DE6C">
            <w:pPr>
              <w:pStyle w:val="45"/>
              <w:rPr>
                <w:rFonts w:hint="default"/>
              </w:rPr>
            </w:pPr>
            <w:r>
              <w:rPr>
                <w:rFonts w:hint="default"/>
              </w:rPr>
              <w:t>1h</w:t>
            </w:r>
          </w:p>
        </w:tc>
        <w:tc>
          <w:tcPr>
            <w:tcW w:w="453" w:type="pct"/>
            <w:noWrap/>
            <w:vAlign w:val="center"/>
          </w:tcPr>
          <w:p w14:paraId="00E082CE">
            <w:pPr>
              <w:pStyle w:val="45"/>
              <w:rPr>
                <w:rFonts w:hint="default"/>
              </w:rPr>
            </w:pPr>
            <w:r>
              <w:rPr>
                <w:rFonts w:hint="default"/>
              </w:rPr>
              <w:t>0.1</w:t>
            </w:r>
          </w:p>
        </w:tc>
        <w:tc>
          <w:tcPr>
            <w:tcW w:w="567" w:type="pct"/>
            <w:vAlign w:val="center"/>
          </w:tcPr>
          <w:p w14:paraId="02E7F300">
            <w:pPr>
              <w:pStyle w:val="45"/>
              <w:rPr>
                <w:rFonts w:hint="default"/>
              </w:rPr>
            </w:pPr>
            <w:r>
              <w:rPr>
                <w:rFonts w:hint="default"/>
              </w:rPr>
              <w:t>0.003L</w:t>
            </w:r>
          </w:p>
        </w:tc>
        <w:tc>
          <w:tcPr>
            <w:tcW w:w="560" w:type="pct"/>
            <w:noWrap/>
            <w:vAlign w:val="center"/>
          </w:tcPr>
          <w:p w14:paraId="20998A54">
            <w:pPr>
              <w:pStyle w:val="45"/>
              <w:rPr>
                <w:rFonts w:hint="default"/>
              </w:rPr>
            </w:pPr>
            <w:r>
              <w:rPr>
                <w:rFonts w:hint="default"/>
              </w:rPr>
              <w:t>/</w:t>
            </w:r>
          </w:p>
        </w:tc>
        <w:tc>
          <w:tcPr>
            <w:tcW w:w="440" w:type="pct"/>
            <w:vAlign w:val="center"/>
          </w:tcPr>
          <w:p w14:paraId="29B2D362">
            <w:pPr>
              <w:pStyle w:val="45"/>
              <w:rPr>
                <w:rFonts w:hint="default"/>
              </w:rPr>
            </w:pPr>
            <w:r>
              <w:rPr>
                <w:rFonts w:hint="default"/>
              </w:rPr>
              <w:t>0</w:t>
            </w:r>
          </w:p>
        </w:tc>
        <w:tc>
          <w:tcPr>
            <w:tcW w:w="485" w:type="pct"/>
            <w:vAlign w:val="center"/>
          </w:tcPr>
          <w:p w14:paraId="4C4CA2A6">
            <w:pPr>
              <w:pStyle w:val="45"/>
              <w:rPr>
                <w:rFonts w:hint="default"/>
              </w:rPr>
            </w:pPr>
            <w:r>
              <w:rPr>
                <w:rFonts w:hint="default"/>
              </w:rPr>
              <w:t>达标</w:t>
            </w:r>
          </w:p>
        </w:tc>
      </w:tr>
      <w:tr w14:paraId="3493053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450" w:type="pct"/>
            <w:vMerge w:val="continue"/>
            <w:vAlign w:val="center"/>
          </w:tcPr>
          <w:p w14:paraId="27657C22">
            <w:pPr>
              <w:pStyle w:val="45"/>
              <w:rPr>
                <w:rFonts w:hint="default"/>
              </w:rPr>
            </w:pPr>
          </w:p>
        </w:tc>
        <w:tc>
          <w:tcPr>
            <w:tcW w:w="1164" w:type="pct"/>
            <w:vMerge w:val="continue"/>
            <w:vAlign w:val="center"/>
          </w:tcPr>
          <w:p w14:paraId="3214621E">
            <w:pPr>
              <w:pStyle w:val="45"/>
              <w:rPr>
                <w:rFonts w:hint="default"/>
              </w:rPr>
            </w:pPr>
          </w:p>
        </w:tc>
        <w:tc>
          <w:tcPr>
            <w:tcW w:w="496" w:type="pct"/>
            <w:noWrap/>
            <w:vAlign w:val="center"/>
          </w:tcPr>
          <w:p w14:paraId="69107BA6">
            <w:pPr>
              <w:pStyle w:val="45"/>
              <w:rPr>
                <w:rFonts w:hint="default"/>
              </w:rPr>
            </w:pPr>
            <w:r>
              <w:rPr>
                <w:rFonts w:hint="default"/>
              </w:rPr>
              <w:t>氯气</w:t>
            </w:r>
          </w:p>
        </w:tc>
        <w:tc>
          <w:tcPr>
            <w:tcW w:w="381" w:type="pct"/>
            <w:vAlign w:val="center"/>
          </w:tcPr>
          <w:p w14:paraId="78EF6838">
            <w:pPr>
              <w:pStyle w:val="45"/>
              <w:rPr>
                <w:rFonts w:hint="default"/>
              </w:rPr>
            </w:pPr>
            <w:r>
              <w:rPr>
                <w:rFonts w:hint="default"/>
              </w:rPr>
              <w:t>24h</w:t>
            </w:r>
          </w:p>
        </w:tc>
        <w:tc>
          <w:tcPr>
            <w:tcW w:w="453" w:type="pct"/>
            <w:noWrap/>
            <w:vAlign w:val="center"/>
          </w:tcPr>
          <w:p w14:paraId="0DFAA530">
            <w:pPr>
              <w:pStyle w:val="45"/>
              <w:rPr>
                <w:rFonts w:hint="default"/>
              </w:rPr>
            </w:pPr>
            <w:r>
              <w:rPr>
                <w:rFonts w:hint="default"/>
              </w:rPr>
              <w:t>0.03</w:t>
            </w:r>
          </w:p>
        </w:tc>
        <w:tc>
          <w:tcPr>
            <w:tcW w:w="567" w:type="pct"/>
            <w:vAlign w:val="center"/>
          </w:tcPr>
          <w:p w14:paraId="4FF84431">
            <w:pPr>
              <w:pStyle w:val="45"/>
              <w:rPr>
                <w:rFonts w:hint="default"/>
              </w:rPr>
            </w:pPr>
            <w:r>
              <w:rPr>
                <w:rFonts w:hint="default"/>
              </w:rPr>
              <w:t>0.003L</w:t>
            </w:r>
          </w:p>
        </w:tc>
        <w:tc>
          <w:tcPr>
            <w:tcW w:w="560" w:type="pct"/>
            <w:noWrap/>
            <w:vAlign w:val="center"/>
          </w:tcPr>
          <w:p w14:paraId="692BF3F0">
            <w:pPr>
              <w:pStyle w:val="45"/>
              <w:rPr>
                <w:rFonts w:hint="default"/>
              </w:rPr>
            </w:pPr>
            <w:r>
              <w:rPr>
                <w:rFonts w:hint="default"/>
              </w:rPr>
              <w:t>/</w:t>
            </w:r>
          </w:p>
        </w:tc>
        <w:tc>
          <w:tcPr>
            <w:tcW w:w="440" w:type="pct"/>
            <w:vAlign w:val="center"/>
          </w:tcPr>
          <w:p w14:paraId="78586BCF">
            <w:pPr>
              <w:pStyle w:val="45"/>
              <w:rPr>
                <w:rFonts w:hint="default"/>
              </w:rPr>
            </w:pPr>
            <w:r>
              <w:rPr>
                <w:rFonts w:hint="default"/>
              </w:rPr>
              <w:t>0</w:t>
            </w:r>
          </w:p>
        </w:tc>
        <w:tc>
          <w:tcPr>
            <w:tcW w:w="485" w:type="pct"/>
            <w:vAlign w:val="center"/>
          </w:tcPr>
          <w:p w14:paraId="7317FB9B">
            <w:pPr>
              <w:pStyle w:val="45"/>
              <w:rPr>
                <w:rFonts w:hint="default"/>
              </w:rPr>
            </w:pPr>
            <w:r>
              <w:rPr>
                <w:rFonts w:hint="default"/>
              </w:rPr>
              <w:t>达标</w:t>
            </w:r>
          </w:p>
        </w:tc>
      </w:tr>
      <w:tr w14:paraId="5389010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55" w:hRule="atLeast"/>
        </w:trPr>
        <w:tc>
          <w:tcPr>
            <w:tcW w:w="450" w:type="pct"/>
            <w:vMerge w:val="continue"/>
            <w:vAlign w:val="center"/>
          </w:tcPr>
          <w:p w14:paraId="232ABAC9">
            <w:pPr>
              <w:pStyle w:val="45"/>
              <w:rPr>
                <w:rFonts w:hint="default"/>
              </w:rPr>
            </w:pPr>
          </w:p>
        </w:tc>
        <w:tc>
          <w:tcPr>
            <w:tcW w:w="1164" w:type="pct"/>
            <w:vMerge w:val="continue"/>
            <w:vAlign w:val="center"/>
          </w:tcPr>
          <w:p w14:paraId="7213CC44">
            <w:pPr>
              <w:pStyle w:val="45"/>
              <w:rPr>
                <w:rFonts w:hint="default"/>
              </w:rPr>
            </w:pPr>
          </w:p>
        </w:tc>
        <w:tc>
          <w:tcPr>
            <w:tcW w:w="496" w:type="pct"/>
            <w:noWrap/>
            <w:vAlign w:val="center"/>
          </w:tcPr>
          <w:p w14:paraId="205426BD">
            <w:pPr>
              <w:pStyle w:val="45"/>
              <w:rPr>
                <w:rFonts w:hint="default"/>
              </w:rPr>
            </w:pPr>
            <w:r>
              <w:rPr>
                <w:rFonts w:hint="default"/>
              </w:rPr>
              <w:t>TSP</w:t>
            </w:r>
          </w:p>
        </w:tc>
        <w:tc>
          <w:tcPr>
            <w:tcW w:w="381" w:type="pct"/>
            <w:vAlign w:val="center"/>
          </w:tcPr>
          <w:p w14:paraId="505DA1FD">
            <w:pPr>
              <w:pStyle w:val="45"/>
              <w:rPr>
                <w:rFonts w:hint="default"/>
              </w:rPr>
            </w:pPr>
            <w:r>
              <w:rPr>
                <w:rFonts w:hint="default"/>
              </w:rPr>
              <w:t>24h</w:t>
            </w:r>
          </w:p>
        </w:tc>
        <w:tc>
          <w:tcPr>
            <w:tcW w:w="453" w:type="pct"/>
            <w:noWrap/>
            <w:vAlign w:val="center"/>
          </w:tcPr>
          <w:p w14:paraId="6754FF3D">
            <w:pPr>
              <w:pStyle w:val="45"/>
              <w:rPr>
                <w:rFonts w:hint="default"/>
              </w:rPr>
            </w:pPr>
            <w:r>
              <w:rPr>
                <w:rFonts w:hint="default"/>
              </w:rPr>
              <w:t>0.3</w:t>
            </w:r>
          </w:p>
        </w:tc>
        <w:tc>
          <w:tcPr>
            <w:tcW w:w="567" w:type="pct"/>
            <w:vAlign w:val="center"/>
          </w:tcPr>
          <w:p w14:paraId="60473C56">
            <w:pPr>
              <w:pStyle w:val="45"/>
              <w:rPr>
                <w:rFonts w:hint="default"/>
              </w:rPr>
            </w:pPr>
            <w:r>
              <w:rPr>
                <w:rFonts w:hint="default"/>
              </w:rPr>
              <w:t>0.106~0.117</w:t>
            </w:r>
          </w:p>
        </w:tc>
        <w:tc>
          <w:tcPr>
            <w:tcW w:w="560" w:type="pct"/>
            <w:noWrap/>
            <w:vAlign w:val="center"/>
          </w:tcPr>
          <w:p w14:paraId="26C45C3C">
            <w:pPr>
              <w:pStyle w:val="45"/>
              <w:rPr>
                <w:rFonts w:hint="default"/>
              </w:rPr>
            </w:pPr>
            <w:r>
              <w:rPr>
                <w:rFonts w:hint="default"/>
              </w:rPr>
              <w:t>39.00</w:t>
            </w:r>
          </w:p>
        </w:tc>
        <w:tc>
          <w:tcPr>
            <w:tcW w:w="440" w:type="pct"/>
            <w:vAlign w:val="center"/>
          </w:tcPr>
          <w:p w14:paraId="495611F1">
            <w:pPr>
              <w:pStyle w:val="45"/>
              <w:rPr>
                <w:rFonts w:hint="default"/>
              </w:rPr>
            </w:pPr>
            <w:r>
              <w:rPr>
                <w:rFonts w:hint="default"/>
              </w:rPr>
              <w:t>0</w:t>
            </w:r>
          </w:p>
        </w:tc>
        <w:tc>
          <w:tcPr>
            <w:tcW w:w="485" w:type="pct"/>
            <w:vAlign w:val="center"/>
          </w:tcPr>
          <w:p w14:paraId="595D9B4E">
            <w:pPr>
              <w:pStyle w:val="45"/>
              <w:rPr>
                <w:rFonts w:hint="default"/>
              </w:rPr>
            </w:pPr>
            <w:r>
              <w:rPr>
                <w:rFonts w:hint="default"/>
              </w:rPr>
              <w:t>达标</w:t>
            </w:r>
          </w:p>
        </w:tc>
      </w:tr>
    </w:tbl>
    <w:p w14:paraId="5A5B48BF">
      <w:pPr>
        <w:spacing w:line="240" w:lineRule="auto"/>
        <w:ind w:firstLine="0" w:firstLineChars="0"/>
      </w:pPr>
    </w:p>
    <w:p w14:paraId="523BD42E">
      <w:pPr>
        <w:ind w:firstLine="480"/>
      </w:pPr>
      <w:r>
        <w:rPr>
          <w:rFonts w:hint="eastAsia"/>
        </w:rPr>
        <w:t>根据监测结果可知，监测点位各监测因子均满足《环境影响评价技术导则 大气环境》（HJ 2.2-2018）附录D和《环境空气质量标准》（GB 3095-2012）表2和附录A的要求。</w:t>
      </w:r>
    </w:p>
    <w:p w14:paraId="7047B9C2">
      <w:pPr>
        <w:pStyle w:val="3"/>
        <w:numPr>
          <w:ilvl w:val="1"/>
          <w:numId w:val="1"/>
        </w:numPr>
      </w:pPr>
      <w:bookmarkStart w:id="170" w:name="_Toc28858"/>
      <w:bookmarkStart w:id="171" w:name="_Toc5244"/>
      <w:bookmarkStart w:id="172" w:name="_Toc1986"/>
      <w:r>
        <w:rPr>
          <w:rFonts w:hint="eastAsia"/>
        </w:rPr>
        <w:t>地表水环境质量现状调查与评价</w:t>
      </w:r>
      <w:bookmarkEnd w:id="170"/>
      <w:bookmarkEnd w:id="171"/>
      <w:bookmarkEnd w:id="172"/>
    </w:p>
    <w:p w14:paraId="49D9B01D">
      <w:pPr>
        <w:pStyle w:val="4"/>
        <w:numPr>
          <w:ilvl w:val="2"/>
          <w:numId w:val="1"/>
        </w:numPr>
      </w:pPr>
      <w:bookmarkStart w:id="173" w:name="_Toc28155"/>
      <w:r>
        <w:rPr>
          <w:rFonts w:hint="eastAsia"/>
        </w:rPr>
        <w:t>区域水质情况</w:t>
      </w:r>
      <w:bookmarkEnd w:id="173"/>
    </w:p>
    <w:p w14:paraId="246A66E8">
      <w:pPr>
        <w:ind w:firstLine="480"/>
      </w:pPr>
      <w:r>
        <w:rPr>
          <w:rFonts w:hint="eastAsia"/>
        </w:rPr>
        <w:t>本项目位于湖南衡阳松木经济开发区，根据衡阳市生态环境局公布的《关于202</w:t>
      </w:r>
      <w:r>
        <w:rPr>
          <w:rFonts w:hint="eastAsia"/>
          <w:lang w:val="en-US" w:eastAsia="zh-CN"/>
        </w:rPr>
        <w:t>3</w:t>
      </w:r>
      <w:r>
        <w:rPr>
          <w:rFonts w:hint="eastAsia"/>
        </w:rPr>
        <w:t>年12月及1-12月全市环境质量状况的通报》，本项目所在区域的水质情况如下。</w:t>
      </w:r>
    </w:p>
    <w:p w14:paraId="436156FB">
      <w:pPr>
        <w:ind w:firstLine="0" w:firstLineChars="0"/>
        <w:jc w:val="center"/>
      </w:pPr>
      <w:r>
        <w:rPr>
          <w:color w:val="auto"/>
        </w:rPr>
        <w:drawing>
          <wp:inline distT="0" distB="0" distL="114300" distR="114300">
            <wp:extent cx="5273675" cy="3124200"/>
            <wp:effectExtent l="0" t="0" r="3175" b="0"/>
            <wp:docPr id="7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0"/>
                    <pic:cNvPicPr>
                      <a:picLocks noChangeAspect="1"/>
                    </pic:cNvPicPr>
                  </pic:nvPicPr>
                  <pic:blipFill>
                    <a:blip r:embed="rId134"/>
                    <a:stretch>
                      <a:fillRect/>
                    </a:stretch>
                  </pic:blipFill>
                  <pic:spPr>
                    <a:xfrm>
                      <a:off x="0" y="0"/>
                      <a:ext cx="5273675" cy="3124200"/>
                    </a:xfrm>
                    <a:prstGeom prst="rect">
                      <a:avLst/>
                    </a:prstGeom>
                    <a:noFill/>
                    <a:ln>
                      <a:noFill/>
                    </a:ln>
                  </pic:spPr>
                </pic:pic>
              </a:graphicData>
            </a:graphic>
          </wp:inline>
        </w:drawing>
      </w:r>
    </w:p>
    <w:p w14:paraId="492A8476">
      <w:pPr>
        <w:pStyle w:val="42"/>
        <w:numPr>
          <w:ilvl w:val="6"/>
          <w:numId w:val="1"/>
        </w:numPr>
        <w:rPr>
          <w:rFonts w:hint="default"/>
        </w:rPr>
      </w:pPr>
      <w:r>
        <w:t>202</w:t>
      </w:r>
      <w:r>
        <w:rPr>
          <w:rFonts w:hint="eastAsia"/>
          <w:lang w:val="en-US" w:eastAsia="zh-CN"/>
        </w:rPr>
        <w:t>3</w:t>
      </w:r>
      <w:r>
        <w:t>年1-12月项目所在区域水质情况</w:t>
      </w:r>
    </w:p>
    <w:p w14:paraId="4DE05D53">
      <w:pPr>
        <w:spacing w:line="240" w:lineRule="auto"/>
        <w:rPr>
          <w:rFonts w:hint="default"/>
        </w:rPr>
      </w:pPr>
    </w:p>
    <w:p w14:paraId="60676D19">
      <w:pPr>
        <w:ind w:firstLine="480"/>
      </w:pPr>
      <w:r>
        <w:t>根据上图可知，衡阳市湘江各水环境监测断面水质均较好，本项目所在的园区污水处理厂排污口下游的考核断面鱼石村水质类别可达到《地表水环境质量标准》（GB3838-2002）II类，水质优于该河段水环境功能区划的III类要求。</w:t>
      </w:r>
      <w:r>
        <w:rPr>
          <w:rFonts w:hint="eastAsia"/>
        </w:rPr>
        <w:t>因此</w:t>
      </w:r>
      <w:r>
        <w:t>，项目所在区域水环境控制单元</w:t>
      </w:r>
      <w:r>
        <w:rPr>
          <w:rFonts w:hint="eastAsia"/>
        </w:rPr>
        <w:t>为</w:t>
      </w:r>
      <w:r>
        <w:t>水质达标</w:t>
      </w:r>
      <w:r>
        <w:rPr>
          <w:rFonts w:hint="eastAsia"/>
        </w:rPr>
        <w:t>区</w:t>
      </w:r>
      <w:r>
        <w:t>，区域水段</w:t>
      </w:r>
      <w:r>
        <w:rPr>
          <w:rFonts w:hint="eastAsia"/>
        </w:rPr>
        <w:t>水质情况良好</w:t>
      </w:r>
      <w:r>
        <w:t>。</w:t>
      </w:r>
    </w:p>
    <w:p w14:paraId="0887A08F">
      <w:pPr>
        <w:pStyle w:val="4"/>
        <w:numPr>
          <w:ilvl w:val="2"/>
          <w:numId w:val="1"/>
        </w:numPr>
      </w:pPr>
      <w:bookmarkStart w:id="174" w:name="_Toc29435"/>
      <w:r>
        <w:rPr>
          <w:rFonts w:hint="eastAsia"/>
        </w:rPr>
        <w:t>地表水环境质量现状监测</w:t>
      </w:r>
      <w:bookmarkEnd w:id="174"/>
    </w:p>
    <w:p w14:paraId="53F50044">
      <w:pPr>
        <w:ind w:firstLine="480"/>
      </w:pPr>
      <w:r>
        <w:t>因鱼石村断面距离松木经开区污水处理厂排污口10km以上，为了解排污口附近的水环境质量情况，本次地表水环境质量现状评价引用《衡阳小桔制药有限公司年产500t西地那非碱生产线建设项目变更（年产100t西地那非、100t对氨基苯甲酰谷氨酸、100t盐酸普鲁卡因、200t邻氯西林酰氯、100t 2-甲基蒽醌生产线）环境影响报告书》中委托湖南桓泓检测技术有限公司于2022年11月1日-3</w:t>
      </w:r>
      <w:r>
        <w:rPr>
          <w:rFonts w:hint="eastAsia"/>
        </w:rPr>
        <w:t>日</w:t>
      </w:r>
      <w:r>
        <w:t>监测的</w:t>
      </w:r>
      <w:r>
        <w:rPr>
          <w:rFonts w:hint="eastAsia"/>
        </w:rPr>
        <w:t>地表水环境</w:t>
      </w:r>
      <w:r>
        <w:t>数据。</w:t>
      </w:r>
      <w:r>
        <w:rPr>
          <w:rFonts w:hint="eastAsia"/>
        </w:rPr>
        <w:t>引用情况如下：</w:t>
      </w:r>
    </w:p>
    <w:p w14:paraId="1E0C6968">
      <w:pPr>
        <w:ind w:firstLine="480"/>
      </w:pPr>
      <w:r>
        <w:t>1、监测点位、时间、因子和频次</w:t>
      </w:r>
    </w:p>
    <w:p w14:paraId="2BFFCA20">
      <w:pPr>
        <w:ind w:firstLine="480"/>
      </w:pPr>
      <w:r>
        <w:t>地表水监测断面共设置3处，分别位于松木污水厂排污口上游500m处、松木污水厂排污口下游500m处和松木污水厂排污口下游3000m处</w:t>
      </w:r>
      <w:r>
        <w:rPr>
          <w:rFonts w:hint="eastAsia"/>
        </w:rPr>
        <w:t>，具体见下表。</w:t>
      </w:r>
    </w:p>
    <w:p w14:paraId="64C39F92">
      <w:pPr>
        <w:pStyle w:val="43"/>
        <w:numPr>
          <w:ilvl w:val="5"/>
          <w:numId w:val="1"/>
        </w:numPr>
        <w:rPr>
          <w:rFonts w:hint="default"/>
        </w:rPr>
      </w:pPr>
      <w:r>
        <w:rPr>
          <w:rFonts w:hint="default"/>
        </w:rPr>
        <w:t>地表水水质监测断面布设一览表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2"/>
        <w:gridCol w:w="1730"/>
        <w:gridCol w:w="3739"/>
        <w:gridCol w:w="2438"/>
      </w:tblGrid>
      <w:tr w14:paraId="50D94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blHeader/>
          <w:jc w:val="center"/>
        </w:trPr>
        <w:tc>
          <w:tcPr>
            <w:tcW w:w="359" w:type="pct"/>
            <w:vAlign w:val="center"/>
          </w:tcPr>
          <w:p w14:paraId="424D990C">
            <w:pPr>
              <w:pStyle w:val="45"/>
              <w:rPr>
                <w:rFonts w:hint="default"/>
                <w:b/>
                <w:bCs/>
              </w:rPr>
            </w:pPr>
            <w:r>
              <w:rPr>
                <w:rFonts w:hint="default"/>
                <w:b/>
                <w:bCs/>
              </w:rPr>
              <w:t>编号</w:t>
            </w:r>
          </w:p>
        </w:tc>
        <w:tc>
          <w:tcPr>
            <w:tcW w:w="1015" w:type="pct"/>
            <w:vAlign w:val="center"/>
          </w:tcPr>
          <w:p w14:paraId="776154B7">
            <w:pPr>
              <w:pStyle w:val="45"/>
              <w:rPr>
                <w:rFonts w:hint="default"/>
                <w:b/>
                <w:bCs/>
              </w:rPr>
            </w:pPr>
            <w:r>
              <w:rPr>
                <w:rFonts w:hint="default"/>
                <w:b/>
                <w:bCs/>
              </w:rPr>
              <w:t>断面位置</w:t>
            </w:r>
          </w:p>
        </w:tc>
        <w:tc>
          <w:tcPr>
            <w:tcW w:w="2194" w:type="pct"/>
            <w:vAlign w:val="center"/>
          </w:tcPr>
          <w:p w14:paraId="1346D26F">
            <w:pPr>
              <w:pStyle w:val="45"/>
              <w:rPr>
                <w:rFonts w:hint="default"/>
                <w:b/>
                <w:bCs/>
              </w:rPr>
            </w:pPr>
            <w:r>
              <w:rPr>
                <w:rFonts w:hint="default"/>
                <w:b/>
                <w:bCs/>
              </w:rPr>
              <w:t>监测因子</w:t>
            </w:r>
          </w:p>
        </w:tc>
        <w:tc>
          <w:tcPr>
            <w:tcW w:w="1430" w:type="pct"/>
            <w:vAlign w:val="center"/>
          </w:tcPr>
          <w:p w14:paraId="60B08B84">
            <w:pPr>
              <w:pStyle w:val="45"/>
              <w:rPr>
                <w:rFonts w:hint="default"/>
                <w:b/>
                <w:bCs/>
              </w:rPr>
            </w:pPr>
            <w:r>
              <w:rPr>
                <w:rFonts w:hint="default"/>
                <w:b/>
                <w:bCs/>
              </w:rPr>
              <w:t>监测频次和监测时间</w:t>
            </w:r>
          </w:p>
        </w:tc>
      </w:tr>
      <w:tr w14:paraId="444CD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359" w:type="pct"/>
            <w:vAlign w:val="center"/>
          </w:tcPr>
          <w:p w14:paraId="76421C70">
            <w:pPr>
              <w:pStyle w:val="45"/>
              <w:rPr>
                <w:rFonts w:hint="default"/>
              </w:rPr>
            </w:pPr>
            <w:r>
              <w:rPr>
                <w:rFonts w:hint="default"/>
              </w:rPr>
              <w:t>W1</w:t>
            </w:r>
          </w:p>
        </w:tc>
        <w:tc>
          <w:tcPr>
            <w:tcW w:w="1015" w:type="pct"/>
            <w:vAlign w:val="center"/>
          </w:tcPr>
          <w:p w14:paraId="3DE571B8">
            <w:pPr>
              <w:pStyle w:val="45"/>
              <w:rPr>
                <w:rFonts w:hint="default"/>
              </w:rPr>
            </w:pPr>
            <w:r>
              <w:rPr>
                <w:rFonts w:hint="default"/>
              </w:rPr>
              <w:t>松木园区污水排放口上游 500m 断面</w:t>
            </w:r>
          </w:p>
        </w:tc>
        <w:tc>
          <w:tcPr>
            <w:tcW w:w="2194" w:type="pct"/>
            <w:vMerge w:val="restart"/>
            <w:vAlign w:val="center"/>
          </w:tcPr>
          <w:p w14:paraId="6E983B01">
            <w:pPr>
              <w:pStyle w:val="45"/>
              <w:rPr>
                <w:rFonts w:hint="default"/>
              </w:rPr>
            </w:pPr>
            <w:r>
              <w:rPr>
                <w:rFonts w:hint="default"/>
              </w:rPr>
              <w:t>水温、流量、流速、河宽、河深、pH 值、溶解氧、化学需氧量、五日生化需氧量、总磷、氨氮、石油类、氟化物、硫化物、硫酸盐、挥发酚、阴离子表面活性剂、铅、砷、镉、铬（六价）、汞、铜、锌、镍、铊、粪大肠菌群、氯化物、氰化物、甲苯、二甲苯、二氯甲烷、氯乙烯</w:t>
            </w:r>
          </w:p>
        </w:tc>
        <w:tc>
          <w:tcPr>
            <w:tcW w:w="1430" w:type="pct"/>
            <w:vMerge w:val="restart"/>
            <w:vAlign w:val="center"/>
          </w:tcPr>
          <w:p w14:paraId="7AB9FC82">
            <w:pPr>
              <w:pStyle w:val="45"/>
              <w:rPr>
                <w:rFonts w:hint="default"/>
              </w:rPr>
            </w:pPr>
            <w:r>
              <w:rPr>
                <w:rFonts w:hint="default"/>
              </w:rPr>
              <w:t>1 天 1 次，监测 3 天</w:t>
            </w:r>
          </w:p>
          <w:p w14:paraId="41FD52E6">
            <w:pPr>
              <w:pStyle w:val="45"/>
              <w:rPr>
                <w:rFonts w:hint="default"/>
              </w:rPr>
            </w:pPr>
            <w:r>
              <w:rPr>
                <w:rFonts w:hint="default"/>
              </w:rPr>
              <w:t>2022年11月1日~11月3日</w:t>
            </w:r>
          </w:p>
        </w:tc>
      </w:tr>
      <w:tr w14:paraId="55389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359" w:type="pct"/>
            <w:vAlign w:val="center"/>
          </w:tcPr>
          <w:p w14:paraId="12FC936A">
            <w:pPr>
              <w:pStyle w:val="45"/>
              <w:rPr>
                <w:rFonts w:hint="default"/>
              </w:rPr>
            </w:pPr>
            <w:r>
              <w:rPr>
                <w:rFonts w:hint="default"/>
              </w:rPr>
              <w:t>W2</w:t>
            </w:r>
          </w:p>
        </w:tc>
        <w:tc>
          <w:tcPr>
            <w:tcW w:w="1015" w:type="pct"/>
            <w:vAlign w:val="center"/>
          </w:tcPr>
          <w:p w14:paraId="47F7FD4F">
            <w:pPr>
              <w:pStyle w:val="45"/>
              <w:rPr>
                <w:rFonts w:hint="default"/>
              </w:rPr>
            </w:pPr>
            <w:r>
              <w:rPr>
                <w:rFonts w:hint="default"/>
              </w:rPr>
              <w:t>松木园区污水排放口下游500m断面</w:t>
            </w:r>
          </w:p>
        </w:tc>
        <w:tc>
          <w:tcPr>
            <w:tcW w:w="2194" w:type="pct"/>
            <w:vMerge w:val="continue"/>
            <w:vAlign w:val="center"/>
          </w:tcPr>
          <w:p w14:paraId="7A378F3F">
            <w:pPr>
              <w:pStyle w:val="45"/>
              <w:rPr>
                <w:rFonts w:hint="default"/>
              </w:rPr>
            </w:pPr>
          </w:p>
        </w:tc>
        <w:tc>
          <w:tcPr>
            <w:tcW w:w="1430" w:type="pct"/>
            <w:vMerge w:val="continue"/>
            <w:vAlign w:val="center"/>
          </w:tcPr>
          <w:p w14:paraId="53169AC8">
            <w:pPr>
              <w:pStyle w:val="45"/>
              <w:rPr>
                <w:rFonts w:hint="default"/>
              </w:rPr>
            </w:pPr>
          </w:p>
        </w:tc>
      </w:tr>
      <w:tr w14:paraId="77101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359" w:type="pct"/>
            <w:vAlign w:val="center"/>
          </w:tcPr>
          <w:p w14:paraId="4232BC72">
            <w:pPr>
              <w:pStyle w:val="45"/>
              <w:rPr>
                <w:rFonts w:hint="default"/>
              </w:rPr>
            </w:pPr>
            <w:r>
              <w:rPr>
                <w:rFonts w:hint="default"/>
              </w:rPr>
              <w:t>W3</w:t>
            </w:r>
          </w:p>
        </w:tc>
        <w:tc>
          <w:tcPr>
            <w:tcW w:w="1015" w:type="pct"/>
            <w:vAlign w:val="center"/>
          </w:tcPr>
          <w:p w14:paraId="4BECCD37">
            <w:pPr>
              <w:pStyle w:val="45"/>
              <w:rPr>
                <w:rFonts w:hint="default"/>
              </w:rPr>
            </w:pPr>
            <w:r>
              <w:rPr>
                <w:rFonts w:hint="default"/>
              </w:rPr>
              <w:t>松木园区污水排放口下游3000m断面</w:t>
            </w:r>
          </w:p>
        </w:tc>
        <w:tc>
          <w:tcPr>
            <w:tcW w:w="2194" w:type="pct"/>
            <w:vMerge w:val="continue"/>
            <w:vAlign w:val="center"/>
          </w:tcPr>
          <w:p w14:paraId="193CF288">
            <w:pPr>
              <w:pStyle w:val="45"/>
              <w:rPr>
                <w:rFonts w:hint="default"/>
              </w:rPr>
            </w:pPr>
          </w:p>
        </w:tc>
        <w:tc>
          <w:tcPr>
            <w:tcW w:w="1430" w:type="pct"/>
            <w:vMerge w:val="continue"/>
            <w:vAlign w:val="center"/>
          </w:tcPr>
          <w:p w14:paraId="6663B44C">
            <w:pPr>
              <w:pStyle w:val="45"/>
              <w:rPr>
                <w:rFonts w:hint="default"/>
              </w:rPr>
            </w:pPr>
          </w:p>
        </w:tc>
      </w:tr>
    </w:tbl>
    <w:p w14:paraId="698EA36D">
      <w:pPr>
        <w:spacing w:line="240" w:lineRule="auto"/>
        <w:ind w:firstLine="480"/>
      </w:pPr>
    </w:p>
    <w:p w14:paraId="496E33B9">
      <w:pPr>
        <w:ind w:firstLine="480"/>
      </w:pPr>
      <w:r>
        <w:t>2、评价标准</w:t>
      </w:r>
    </w:p>
    <w:p w14:paraId="51287E59">
      <w:pPr>
        <w:ind w:firstLine="480"/>
      </w:pPr>
      <w:r>
        <w:t>监测断面执行《地表水环境质量标准》GB3838-2002 Ⅲ类标准。</w:t>
      </w:r>
    </w:p>
    <w:p w14:paraId="141C67CE">
      <w:pPr>
        <w:ind w:firstLine="480"/>
      </w:pPr>
      <w:r>
        <w:rPr>
          <w:rFonts w:hint="eastAsia"/>
          <w:lang w:val="en-US" w:eastAsia="zh-CN"/>
        </w:rPr>
        <w:t>3</w:t>
      </w:r>
      <w:r>
        <w:t>、监测结果统计</w:t>
      </w:r>
    </w:p>
    <w:p w14:paraId="56653DF1">
      <w:pPr>
        <w:ind w:firstLine="480"/>
      </w:pPr>
      <w:r>
        <w:t>各监测点位监测结果统计详见</w:t>
      </w:r>
      <w:r>
        <w:rPr>
          <w:rFonts w:hint="eastAsia"/>
        </w:rPr>
        <w:t>下</w:t>
      </w:r>
      <w:r>
        <w:t>表</w:t>
      </w:r>
      <w:r>
        <w:rPr>
          <w:rFonts w:hint="eastAsia"/>
        </w:rPr>
        <w:t>。</w:t>
      </w:r>
    </w:p>
    <w:p w14:paraId="1E0F59A8">
      <w:pPr>
        <w:pStyle w:val="43"/>
        <w:numPr>
          <w:ilvl w:val="5"/>
          <w:numId w:val="1"/>
        </w:numPr>
        <w:rPr>
          <w:rFonts w:hint="default"/>
        </w:rPr>
      </w:pPr>
      <w:r>
        <w:rPr>
          <w:rFonts w:hint="default"/>
        </w:rPr>
        <w:t>地表水监测因子统计结果一览表</w:t>
      </w:r>
      <w:r>
        <w:t xml:space="preserve"> 单位：mg/L，pH除外</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0"/>
        <w:gridCol w:w="1829"/>
        <w:gridCol w:w="991"/>
        <w:gridCol w:w="699"/>
        <w:gridCol w:w="861"/>
        <w:gridCol w:w="861"/>
        <w:gridCol w:w="699"/>
        <w:gridCol w:w="861"/>
        <w:gridCol w:w="861"/>
      </w:tblGrid>
      <w:tr w14:paraId="3E9E7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jc w:val="center"/>
        </w:trPr>
        <w:tc>
          <w:tcPr>
            <w:tcW w:w="504" w:type="pct"/>
            <w:noWrap/>
            <w:vAlign w:val="center"/>
          </w:tcPr>
          <w:p w14:paraId="79B4E383">
            <w:pPr>
              <w:pStyle w:val="45"/>
              <w:rPr>
                <w:rFonts w:hint="default"/>
                <w:b/>
                <w:bCs/>
              </w:rPr>
            </w:pPr>
            <w:r>
              <w:rPr>
                <w:rFonts w:hint="default"/>
                <w:b/>
                <w:bCs/>
              </w:rPr>
              <w:t>监测点位</w:t>
            </w:r>
          </w:p>
        </w:tc>
        <w:tc>
          <w:tcPr>
            <w:tcW w:w="1073" w:type="pct"/>
            <w:noWrap/>
            <w:vAlign w:val="center"/>
          </w:tcPr>
          <w:p w14:paraId="2F8821FA">
            <w:pPr>
              <w:pStyle w:val="45"/>
              <w:rPr>
                <w:rFonts w:hint="default"/>
                <w:b/>
                <w:bCs/>
              </w:rPr>
            </w:pPr>
            <w:r>
              <w:rPr>
                <w:rFonts w:hint="default"/>
                <w:b/>
                <w:bCs/>
              </w:rPr>
              <w:t>监测项目</w:t>
            </w:r>
          </w:p>
        </w:tc>
        <w:tc>
          <w:tcPr>
            <w:tcW w:w="581" w:type="pct"/>
            <w:noWrap/>
            <w:vAlign w:val="center"/>
          </w:tcPr>
          <w:p w14:paraId="46944AC9">
            <w:pPr>
              <w:pStyle w:val="45"/>
              <w:rPr>
                <w:rFonts w:hint="default"/>
                <w:b/>
                <w:bCs/>
              </w:rPr>
            </w:pPr>
            <w:r>
              <w:rPr>
                <w:rFonts w:hint="default"/>
                <w:b/>
                <w:bCs/>
              </w:rPr>
              <w:t>浓度范围</w:t>
            </w:r>
          </w:p>
        </w:tc>
        <w:tc>
          <w:tcPr>
            <w:tcW w:w="410" w:type="pct"/>
            <w:noWrap/>
            <w:vAlign w:val="center"/>
          </w:tcPr>
          <w:p w14:paraId="315E7F8C">
            <w:pPr>
              <w:pStyle w:val="45"/>
              <w:rPr>
                <w:rFonts w:hint="default"/>
                <w:b/>
                <w:bCs/>
              </w:rPr>
            </w:pPr>
            <w:r>
              <w:rPr>
                <w:rFonts w:hint="default"/>
                <w:b/>
                <w:bCs/>
              </w:rPr>
              <w:t>平均值</w:t>
            </w:r>
          </w:p>
        </w:tc>
        <w:tc>
          <w:tcPr>
            <w:tcW w:w="505" w:type="pct"/>
            <w:noWrap/>
            <w:vAlign w:val="center"/>
          </w:tcPr>
          <w:p w14:paraId="02F698B0">
            <w:pPr>
              <w:pStyle w:val="45"/>
              <w:rPr>
                <w:rFonts w:hint="default"/>
                <w:b/>
                <w:bCs/>
              </w:rPr>
            </w:pPr>
            <w:r>
              <w:rPr>
                <w:rFonts w:hint="default"/>
                <w:b/>
                <w:bCs/>
              </w:rPr>
              <w:t>标准限值</w:t>
            </w:r>
          </w:p>
        </w:tc>
        <w:tc>
          <w:tcPr>
            <w:tcW w:w="505" w:type="pct"/>
            <w:noWrap/>
            <w:vAlign w:val="center"/>
          </w:tcPr>
          <w:p w14:paraId="51EBB4D0">
            <w:pPr>
              <w:pStyle w:val="45"/>
              <w:rPr>
                <w:rFonts w:hint="default"/>
                <w:b/>
                <w:bCs/>
              </w:rPr>
            </w:pPr>
            <w:r>
              <w:rPr>
                <w:rFonts w:hint="default"/>
                <w:b/>
                <w:bCs/>
              </w:rPr>
              <w:t>标准指数</w:t>
            </w:r>
          </w:p>
        </w:tc>
        <w:tc>
          <w:tcPr>
            <w:tcW w:w="410" w:type="pct"/>
            <w:noWrap/>
            <w:vAlign w:val="center"/>
          </w:tcPr>
          <w:p w14:paraId="375904FC">
            <w:pPr>
              <w:pStyle w:val="45"/>
              <w:rPr>
                <w:rFonts w:hint="default"/>
                <w:b/>
                <w:bCs/>
              </w:rPr>
            </w:pPr>
            <w:r>
              <w:rPr>
                <w:rFonts w:hint="default"/>
                <w:b/>
                <w:bCs/>
              </w:rPr>
              <w:t>超标率</w:t>
            </w:r>
          </w:p>
        </w:tc>
        <w:tc>
          <w:tcPr>
            <w:tcW w:w="505" w:type="pct"/>
            <w:noWrap/>
            <w:vAlign w:val="center"/>
          </w:tcPr>
          <w:p w14:paraId="7A516247">
            <w:pPr>
              <w:pStyle w:val="45"/>
              <w:rPr>
                <w:rFonts w:hint="default"/>
                <w:b/>
                <w:bCs/>
              </w:rPr>
            </w:pPr>
            <w:r>
              <w:rPr>
                <w:rFonts w:hint="default"/>
                <w:b/>
                <w:bCs/>
              </w:rPr>
              <w:t>超标倍数</w:t>
            </w:r>
          </w:p>
        </w:tc>
        <w:tc>
          <w:tcPr>
            <w:tcW w:w="505" w:type="pct"/>
            <w:noWrap/>
            <w:vAlign w:val="center"/>
          </w:tcPr>
          <w:p w14:paraId="4C7ABFCF">
            <w:pPr>
              <w:pStyle w:val="45"/>
              <w:rPr>
                <w:rFonts w:hint="default"/>
                <w:b/>
                <w:bCs/>
              </w:rPr>
            </w:pPr>
            <w:r>
              <w:rPr>
                <w:rFonts w:hint="default"/>
                <w:b/>
                <w:bCs/>
              </w:rPr>
              <w:t>达标情况</w:t>
            </w:r>
          </w:p>
        </w:tc>
      </w:tr>
      <w:tr w14:paraId="64D3D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04" w:type="pct"/>
            <w:vMerge w:val="restart"/>
            <w:vAlign w:val="center"/>
          </w:tcPr>
          <w:p w14:paraId="182BFD0D">
            <w:pPr>
              <w:pStyle w:val="45"/>
              <w:rPr>
                <w:rFonts w:hint="default"/>
              </w:rPr>
            </w:pPr>
            <w:r>
              <w:rPr>
                <w:rFonts w:hint="default"/>
              </w:rPr>
              <w:t>W1松木污水处理厂排放</w:t>
            </w:r>
          </w:p>
          <w:p w14:paraId="109E6525">
            <w:pPr>
              <w:pStyle w:val="45"/>
              <w:rPr>
                <w:rFonts w:hint="default"/>
              </w:rPr>
            </w:pPr>
            <w:r>
              <w:rPr>
                <w:rFonts w:hint="default"/>
              </w:rPr>
              <w:t>口上游 500 米断面</w:t>
            </w:r>
          </w:p>
        </w:tc>
        <w:tc>
          <w:tcPr>
            <w:tcW w:w="1073" w:type="pct"/>
            <w:noWrap/>
            <w:vAlign w:val="center"/>
          </w:tcPr>
          <w:p w14:paraId="7852BCF6">
            <w:pPr>
              <w:pStyle w:val="45"/>
              <w:rPr>
                <w:rFonts w:hint="default"/>
              </w:rPr>
            </w:pPr>
            <w:r>
              <w:rPr>
                <w:rFonts w:hint="default"/>
              </w:rPr>
              <w:t>水温（℃）</w:t>
            </w:r>
          </w:p>
        </w:tc>
        <w:tc>
          <w:tcPr>
            <w:tcW w:w="581" w:type="pct"/>
            <w:noWrap/>
            <w:vAlign w:val="center"/>
          </w:tcPr>
          <w:p w14:paraId="5907B176">
            <w:pPr>
              <w:pStyle w:val="45"/>
              <w:rPr>
                <w:rFonts w:hint="default"/>
              </w:rPr>
            </w:pPr>
            <w:r>
              <w:rPr>
                <w:rFonts w:hint="default"/>
              </w:rPr>
              <w:t>19.6-19.8</w:t>
            </w:r>
          </w:p>
        </w:tc>
        <w:tc>
          <w:tcPr>
            <w:tcW w:w="410" w:type="pct"/>
            <w:noWrap/>
            <w:vAlign w:val="center"/>
          </w:tcPr>
          <w:p w14:paraId="3B1EB0F3">
            <w:pPr>
              <w:pStyle w:val="45"/>
              <w:rPr>
                <w:rFonts w:hint="default"/>
              </w:rPr>
            </w:pPr>
            <w:r>
              <w:rPr>
                <w:rFonts w:hint="default"/>
              </w:rPr>
              <w:t>19.7</w:t>
            </w:r>
          </w:p>
        </w:tc>
        <w:tc>
          <w:tcPr>
            <w:tcW w:w="505" w:type="pct"/>
            <w:noWrap/>
            <w:vAlign w:val="center"/>
          </w:tcPr>
          <w:p w14:paraId="5F3549A2">
            <w:pPr>
              <w:pStyle w:val="45"/>
              <w:rPr>
                <w:rFonts w:hint="default"/>
              </w:rPr>
            </w:pPr>
            <w:r>
              <w:rPr>
                <w:rFonts w:hint="default"/>
              </w:rPr>
              <w:t>/</w:t>
            </w:r>
          </w:p>
        </w:tc>
        <w:tc>
          <w:tcPr>
            <w:tcW w:w="505" w:type="pct"/>
            <w:noWrap/>
            <w:vAlign w:val="center"/>
          </w:tcPr>
          <w:p w14:paraId="57EB6C7A">
            <w:pPr>
              <w:pStyle w:val="45"/>
              <w:rPr>
                <w:rFonts w:hint="default"/>
              </w:rPr>
            </w:pPr>
            <w:r>
              <w:rPr>
                <w:rFonts w:hint="default"/>
              </w:rPr>
              <w:t>/</w:t>
            </w:r>
          </w:p>
        </w:tc>
        <w:tc>
          <w:tcPr>
            <w:tcW w:w="410" w:type="pct"/>
            <w:noWrap/>
            <w:vAlign w:val="center"/>
          </w:tcPr>
          <w:p w14:paraId="6A0813B5">
            <w:pPr>
              <w:pStyle w:val="45"/>
              <w:rPr>
                <w:rFonts w:hint="default"/>
              </w:rPr>
            </w:pPr>
            <w:r>
              <w:rPr>
                <w:rFonts w:hint="default"/>
              </w:rPr>
              <w:t>0</w:t>
            </w:r>
          </w:p>
        </w:tc>
        <w:tc>
          <w:tcPr>
            <w:tcW w:w="505" w:type="pct"/>
            <w:noWrap/>
            <w:vAlign w:val="center"/>
          </w:tcPr>
          <w:p w14:paraId="0D39AD37">
            <w:pPr>
              <w:pStyle w:val="45"/>
              <w:rPr>
                <w:rFonts w:hint="default"/>
              </w:rPr>
            </w:pPr>
            <w:r>
              <w:rPr>
                <w:rFonts w:hint="default"/>
              </w:rPr>
              <w:t>0</w:t>
            </w:r>
          </w:p>
        </w:tc>
        <w:tc>
          <w:tcPr>
            <w:tcW w:w="505" w:type="pct"/>
            <w:noWrap/>
            <w:vAlign w:val="center"/>
          </w:tcPr>
          <w:p w14:paraId="0AA8F6FB">
            <w:pPr>
              <w:pStyle w:val="45"/>
              <w:rPr>
                <w:rFonts w:hint="default"/>
              </w:rPr>
            </w:pPr>
            <w:r>
              <w:rPr>
                <w:rFonts w:hint="default"/>
              </w:rPr>
              <w:t>达标</w:t>
            </w:r>
          </w:p>
        </w:tc>
      </w:tr>
      <w:tr w14:paraId="50C45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0BC45B00">
            <w:pPr>
              <w:pStyle w:val="45"/>
              <w:rPr>
                <w:rFonts w:hint="default"/>
              </w:rPr>
            </w:pPr>
          </w:p>
        </w:tc>
        <w:tc>
          <w:tcPr>
            <w:tcW w:w="1073" w:type="pct"/>
            <w:noWrap/>
            <w:vAlign w:val="center"/>
          </w:tcPr>
          <w:p w14:paraId="12CEE3CB">
            <w:pPr>
              <w:pStyle w:val="45"/>
              <w:rPr>
                <w:rFonts w:hint="default"/>
              </w:rPr>
            </w:pPr>
            <w:r>
              <w:rPr>
                <w:rFonts w:hint="default"/>
              </w:rPr>
              <w:t>流量（m</w:t>
            </w:r>
            <w:r>
              <w:rPr>
                <w:rFonts w:hint="default"/>
                <w:vertAlign w:val="superscript"/>
              </w:rPr>
              <w:t>3</w:t>
            </w:r>
            <w:r>
              <w:rPr>
                <w:rFonts w:hint="default"/>
              </w:rPr>
              <w:t>/s）</w:t>
            </w:r>
          </w:p>
        </w:tc>
        <w:tc>
          <w:tcPr>
            <w:tcW w:w="581" w:type="pct"/>
            <w:noWrap/>
            <w:vAlign w:val="center"/>
          </w:tcPr>
          <w:p w14:paraId="15F4701C">
            <w:pPr>
              <w:pStyle w:val="45"/>
              <w:rPr>
                <w:rFonts w:hint="default"/>
              </w:rPr>
            </w:pPr>
            <w:r>
              <w:rPr>
                <w:rFonts w:hint="default"/>
              </w:rPr>
              <w:t>258</w:t>
            </w:r>
          </w:p>
        </w:tc>
        <w:tc>
          <w:tcPr>
            <w:tcW w:w="410" w:type="pct"/>
            <w:noWrap/>
            <w:vAlign w:val="center"/>
          </w:tcPr>
          <w:p w14:paraId="448AA8FB">
            <w:pPr>
              <w:pStyle w:val="45"/>
              <w:rPr>
                <w:rFonts w:hint="default"/>
              </w:rPr>
            </w:pPr>
            <w:r>
              <w:rPr>
                <w:rFonts w:hint="default"/>
              </w:rPr>
              <w:t>258</w:t>
            </w:r>
          </w:p>
        </w:tc>
        <w:tc>
          <w:tcPr>
            <w:tcW w:w="505" w:type="pct"/>
            <w:noWrap/>
            <w:vAlign w:val="center"/>
          </w:tcPr>
          <w:p w14:paraId="6EB9CEDF">
            <w:pPr>
              <w:pStyle w:val="45"/>
              <w:rPr>
                <w:rFonts w:hint="default"/>
              </w:rPr>
            </w:pPr>
            <w:r>
              <w:rPr>
                <w:rFonts w:hint="default"/>
              </w:rPr>
              <w:t>/</w:t>
            </w:r>
          </w:p>
        </w:tc>
        <w:tc>
          <w:tcPr>
            <w:tcW w:w="505" w:type="pct"/>
            <w:noWrap/>
            <w:vAlign w:val="center"/>
          </w:tcPr>
          <w:p w14:paraId="30CBAEB6">
            <w:pPr>
              <w:pStyle w:val="45"/>
              <w:rPr>
                <w:rFonts w:hint="default"/>
              </w:rPr>
            </w:pPr>
            <w:r>
              <w:rPr>
                <w:rFonts w:hint="default"/>
              </w:rPr>
              <w:t>/</w:t>
            </w:r>
          </w:p>
        </w:tc>
        <w:tc>
          <w:tcPr>
            <w:tcW w:w="410" w:type="pct"/>
            <w:noWrap/>
            <w:vAlign w:val="center"/>
          </w:tcPr>
          <w:p w14:paraId="6CF4B360">
            <w:pPr>
              <w:pStyle w:val="45"/>
              <w:rPr>
                <w:rFonts w:hint="default"/>
              </w:rPr>
            </w:pPr>
            <w:r>
              <w:rPr>
                <w:rFonts w:hint="default"/>
              </w:rPr>
              <w:t>0</w:t>
            </w:r>
          </w:p>
        </w:tc>
        <w:tc>
          <w:tcPr>
            <w:tcW w:w="505" w:type="pct"/>
            <w:noWrap/>
            <w:vAlign w:val="center"/>
          </w:tcPr>
          <w:p w14:paraId="058EFB3C">
            <w:pPr>
              <w:pStyle w:val="45"/>
              <w:rPr>
                <w:rFonts w:hint="default"/>
              </w:rPr>
            </w:pPr>
            <w:r>
              <w:rPr>
                <w:rFonts w:hint="default"/>
              </w:rPr>
              <w:t>0</w:t>
            </w:r>
          </w:p>
        </w:tc>
        <w:tc>
          <w:tcPr>
            <w:tcW w:w="505" w:type="pct"/>
            <w:noWrap/>
            <w:vAlign w:val="center"/>
          </w:tcPr>
          <w:p w14:paraId="58C36757">
            <w:pPr>
              <w:pStyle w:val="45"/>
              <w:rPr>
                <w:rFonts w:hint="default"/>
              </w:rPr>
            </w:pPr>
            <w:r>
              <w:rPr>
                <w:rFonts w:hint="default"/>
              </w:rPr>
              <w:t>达标</w:t>
            </w:r>
          </w:p>
        </w:tc>
      </w:tr>
      <w:tr w14:paraId="6A02C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70B0F546">
            <w:pPr>
              <w:pStyle w:val="45"/>
              <w:rPr>
                <w:rFonts w:hint="default"/>
              </w:rPr>
            </w:pPr>
          </w:p>
        </w:tc>
        <w:tc>
          <w:tcPr>
            <w:tcW w:w="1073" w:type="pct"/>
            <w:noWrap/>
            <w:vAlign w:val="center"/>
          </w:tcPr>
          <w:p w14:paraId="0B419E15">
            <w:pPr>
              <w:pStyle w:val="45"/>
              <w:rPr>
                <w:rFonts w:hint="default"/>
              </w:rPr>
            </w:pPr>
            <w:r>
              <w:rPr>
                <w:rFonts w:hint="default"/>
              </w:rPr>
              <w:t>流速（m/s）</w:t>
            </w:r>
          </w:p>
        </w:tc>
        <w:tc>
          <w:tcPr>
            <w:tcW w:w="581" w:type="pct"/>
            <w:noWrap/>
            <w:vAlign w:val="center"/>
          </w:tcPr>
          <w:p w14:paraId="7BD44DC2">
            <w:pPr>
              <w:pStyle w:val="45"/>
              <w:rPr>
                <w:rFonts w:hint="default"/>
              </w:rPr>
            </w:pPr>
            <w:r>
              <w:rPr>
                <w:rFonts w:hint="default"/>
              </w:rPr>
              <w:t>0.04</w:t>
            </w:r>
          </w:p>
        </w:tc>
        <w:tc>
          <w:tcPr>
            <w:tcW w:w="410" w:type="pct"/>
            <w:noWrap/>
            <w:vAlign w:val="center"/>
          </w:tcPr>
          <w:p w14:paraId="70BB38D8">
            <w:pPr>
              <w:pStyle w:val="45"/>
              <w:rPr>
                <w:rFonts w:hint="default"/>
              </w:rPr>
            </w:pPr>
            <w:r>
              <w:rPr>
                <w:rFonts w:hint="default"/>
              </w:rPr>
              <w:t>0.04</w:t>
            </w:r>
          </w:p>
        </w:tc>
        <w:tc>
          <w:tcPr>
            <w:tcW w:w="505" w:type="pct"/>
            <w:noWrap/>
            <w:vAlign w:val="center"/>
          </w:tcPr>
          <w:p w14:paraId="4CB9D46F">
            <w:pPr>
              <w:pStyle w:val="45"/>
              <w:rPr>
                <w:rFonts w:hint="default"/>
              </w:rPr>
            </w:pPr>
            <w:r>
              <w:rPr>
                <w:rFonts w:hint="default"/>
              </w:rPr>
              <w:t>/</w:t>
            </w:r>
          </w:p>
        </w:tc>
        <w:tc>
          <w:tcPr>
            <w:tcW w:w="505" w:type="pct"/>
            <w:noWrap/>
            <w:vAlign w:val="center"/>
          </w:tcPr>
          <w:p w14:paraId="2BC2B449">
            <w:pPr>
              <w:pStyle w:val="45"/>
              <w:rPr>
                <w:rFonts w:hint="default"/>
              </w:rPr>
            </w:pPr>
            <w:r>
              <w:rPr>
                <w:rFonts w:hint="default"/>
              </w:rPr>
              <w:t>/</w:t>
            </w:r>
          </w:p>
        </w:tc>
        <w:tc>
          <w:tcPr>
            <w:tcW w:w="410" w:type="pct"/>
            <w:noWrap/>
            <w:vAlign w:val="center"/>
          </w:tcPr>
          <w:p w14:paraId="79DB344B">
            <w:pPr>
              <w:pStyle w:val="45"/>
              <w:rPr>
                <w:rFonts w:hint="default"/>
              </w:rPr>
            </w:pPr>
            <w:r>
              <w:rPr>
                <w:rFonts w:hint="default"/>
              </w:rPr>
              <w:t>0</w:t>
            </w:r>
          </w:p>
        </w:tc>
        <w:tc>
          <w:tcPr>
            <w:tcW w:w="505" w:type="pct"/>
            <w:noWrap/>
            <w:vAlign w:val="center"/>
          </w:tcPr>
          <w:p w14:paraId="64FCB78E">
            <w:pPr>
              <w:pStyle w:val="45"/>
              <w:rPr>
                <w:rFonts w:hint="default"/>
              </w:rPr>
            </w:pPr>
            <w:r>
              <w:rPr>
                <w:rFonts w:hint="default"/>
              </w:rPr>
              <w:t>0</w:t>
            </w:r>
          </w:p>
        </w:tc>
        <w:tc>
          <w:tcPr>
            <w:tcW w:w="505" w:type="pct"/>
            <w:noWrap/>
            <w:vAlign w:val="center"/>
          </w:tcPr>
          <w:p w14:paraId="7A2B68FB">
            <w:pPr>
              <w:pStyle w:val="45"/>
              <w:rPr>
                <w:rFonts w:hint="default"/>
              </w:rPr>
            </w:pPr>
            <w:r>
              <w:rPr>
                <w:rFonts w:hint="default"/>
              </w:rPr>
              <w:t>达标</w:t>
            </w:r>
          </w:p>
        </w:tc>
      </w:tr>
      <w:tr w14:paraId="5CC11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5EAFE3FB">
            <w:pPr>
              <w:pStyle w:val="45"/>
              <w:rPr>
                <w:rFonts w:hint="default"/>
              </w:rPr>
            </w:pPr>
          </w:p>
        </w:tc>
        <w:tc>
          <w:tcPr>
            <w:tcW w:w="1073" w:type="pct"/>
            <w:noWrap/>
            <w:vAlign w:val="center"/>
          </w:tcPr>
          <w:p w14:paraId="6F871868">
            <w:pPr>
              <w:pStyle w:val="45"/>
              <w:rPr>
                <w:rFonts w:hint="default"/>
              </w:rPr>
            </w:pPr>
            <w:r>
              <w:rPr>
                <w:rFonts w:hint="default"/>
              </w:rPr>
              <w:t>河宽（m）</w:t>
            </w:r>
          </w:p>
        </w:tc>
        <w:tc>
          <w:tcPr>
            <w:tcW w:w="581" w:type="pct"/>
            <w:noWrap/>
            <w:vAlign w:val="center"/>
          </w:tcPr>
          <w:p w14:paraId="49AB974C">
            <w:pPr>
              <w:pStyle w:val="45"/>
              <w:rPr>
                <w:rFonts w:hint="default"/>
              </w:rPr>
            </w:pPr>
            <w:r>
              <w:rPr>
                <w:rFonts w:hint="default"/>
              </w:rPr>
              <w:t>583</w:t>
            </w:r>
          </w:p>
        </w:tc>
        <w:tc>
          <w:tcPr>
            <w:tcW w:w="410" w:type="pct"/>
            <w:noWrap/>
            <w:vAlign w:val="center"/>
          </w:tcPr>
          <w:p w14:paraId="26FD0F41">
            <w:pPr>
              <w:pStyle w:val="45"/>
              <w:rPr>
                <w:rFonts w:hint="default"/>
              </w:rPr>
            </w:pPr>
            <w:r>
              <w:rPr>
                <w:rFonts w:hint="default"/>
              </w:rPr>
              <w:t>583</w:t>
            </w:r>
          </w:p>
        </w:tc>
        <w:tc>
          <w:tcPr>
            <w:tcW w:w="505" w:type="pct"/>
            <w:noWrap/>
            <w:vAlign w:val="center"/>
          </w:tcPr>
          <w:p w14:paraId="370AD8E2">
            <w:pPr>
              <w:pStyle w:val="45"/>
              <w:rPr>
                <w:rFonts w:hint="default"/>
              </w:rPr>
            </w:pPr>
            <w:r>
              <w:rPr>
                <w:rFonts w:hint="default"/>
              </w:rPr>
              <w:t>/</w:t>
            </w:r>
          </w:p>
        </w:tc>
        <w:tc>
          <w:tcPr>
            <w:tcW w:w="505" w:type="pct"/>
            <w:noWrap/>
            <w:vAlign w:val="center"/>
          </w:tcPr>
          <w:p w14:paraId="64DC74AF">
            <w:pPr>
              <w:pStyle w:val="45"/>
              <w:rPr>
                <w:rFonts w:hint="default"/>
              </w:rPr>
            </w:pPr>
            <w:r>
              <w:rPr>
                <w:rFonts w:hint="default"/>
              </w:rPr>
              <w:t>/</w:t>
            </w:r>
          </w:p>
        </w:tc>
        <w:tc>
          <w:tcPr>
            <w:tcW w:w="410" w:type="pct"/>
            <w:noWrap/>
            <w:vAlign w:val="center"/>
          </w:tcPr>
          <w:p w14:paraId="307B89B6">
            <w:pPr>
              <w:pStyle w:val="45"/>
              <w:rPr>
                <w:rFonts w:hint="default"/>
              </w:rPr>
            </w:pPr>
            <w:r>
              <w:rPr>
                <w:rFonts w:hint="default"/>
              </w:rPr>
              <w:t>0</w:t>
            </w:r>
          </w:p>
        </w:tc>
        <w:tc>
          <w:tcPr>
            <w:tcW w:w="505" w:type="pct"/>
            <w:noWrap/>
            <w:vAlign w:val="center"/>
          </w:tcPr>
          <w:p w14:paraId="468DB89E">
            <w:pPr>
              <w:pStyle w:val="45"/>
              <w:rPr>
                <w:rFonts w:hint="default"/>
              </w:rPr>
            </w:pPr>
            <w:r>
              <w:rPr>
                <w:rFonts w:hint="default"/>
              </w:rPr>
              <w:t>0</w:t>
            </w:r>
          </w:p>
        </w:tc>
        <w:tc>
          <w:tcPr>
            <w:tcW w:w="505" w:type="pct"/>
            <w:noWrap/>
            <w:vAlign w:val="center"/>
          </w:tcPr>
          <w:p w14:paraId="4E14B1AF">
            <w:pPr>
              <w:pStyle w:val="45"/>
              <w:rPr>
                <w:rFonts w:hint="default"/>
              </w:rPr>
            </w:pPr>
            <w:r>
              <w:rPr>
                <w:rFonts w:hint="default"/>
              </w:rPr>
              <w:t>达标</w:t>
            </w:r>
          </w:p>
        </w:tc>
      </w:tr>
      <w:tr w14:paraId="4B17E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1A805FE1">
            <w:pPr>
              <w:pStyle w:val="45"/>
              <w:rPr>
                <w:rFonts w:hint="default"/>
              </w:rPr>
            </w:pPr>
          </w:p>
        </w:tc>
        <w:tc>
          <w:tcPr>
            <w:tcW w:w="1073" w:type="pct"/>
            <w:noWrap/>
            <w:vAlign w:val="center"/>
          </w:tcPr>
          <w:p w14:paraId="78ACDFD3">
            <w:pPr>
              <w:pStyle w:val="45"/>
              <w:rPr>
                <w:rFonts w:hint="default"/>
              </w:rPr>
            </w:pPr>
            <w:r>
              <w:rPr>
                <w:rFonts w:hint="default"/>
              </w:rPr>
              <w:t>河深（m）</w:t>
            </w:r>
          </w:p>
        </w:tc>
        <w:tc>
          <w:tcPr>
            <w:tcW w:w="581" w:type="pct"/>
            <w:noWrap/>
            <w:vAlign w:val="center"/>
          </w:tcPr>
          <w:p w14:paraId="1003022E">
            <w:pPr>
              <w:pStyle w:val="45"/>
              <w:rPr>
                <w:rFonts w:hint="default"/>
              </w:rPr>
            </w:pPr>
            <w:r>
              <w:rPr>
                <w:rFonts w:hint="default"/>
              </w:rPr>
              <w:t>11.1</w:t>
            </w:r>
          </w:p>
        </w:tc>
        <w:tc>
          <w:tcPr>
            <w:tcW w:w="410" w:type="pct"/>
            <w:noWrap/>
            <w:vAlign w:val="center"/>
          </w:tcPr>
          <w:p w14:paraId="199745EC">
            <w:pPr>
              <w:pStyle w:val="45"/>
              <w:rPr>
                <w:rFonts w:hint="default"/>
              </w:rPr>
            </w:pPr>
            <w:r>
              <w:rPr>
                <w:rFonts w:hint="default"/>
              </w:rPr>
              <w:t>11.1</w:t>
            </w:r>
          </w:p>
        </w:tc>
        <w:tc>
          <w:tcPr>
            <w:tcW w:w="505" w:type="pct"/>
            <w:noWrap/>
            <w:vAlign w:val="center"/>
          </w:tcPr>
          <w:p w14:paraId="3AAA5C16">
            <w:pPr>
              <w:pStyle w:val="45"/>
              <w:rPr>
                <w:rFonts w:hint="default"/>
              </w:rPr>
            </w:pPr>
            <w:r>
              <w:rPr>
                <w:rFonts w:hint="default"/>
              </w:rPr>
              <w:t>/</w:t>
            </w:r>
          </w:p>
        </w:tc>
        <w:tc>
          <w:tcPr>
            <w:tcW w:w="505" w:type="pct"/>
            <w:noWrap/>
            <w:vAlign w:val="center"/>
          </w:tcPr>
          <w:p w14:paraId="0D41975B">
            <w:pPr>
              <w:pStyle w:val="45"/>
              <w:rPr>
                <w:rFonts w:hint="default"/>
              </w:rPr>
            </w:pPr>
            <w:r>
              <w:rPr>
                <w:rFonts w:hint="default"/>
              </w:rPr>
              <w:t>/</w:t>
            </w:r>
          </w:p>
        </w:tc>
        <w:tc>
          <w:tcPr>
            <w:tcW w:w="410" w:type="pct"/>
            <w:noWrap/>
            <w:vAlign w:val="center"/>
          </w:tcPr>
          <w:p w14:paraId="33B5844C">
            <w:pPr>
              <w:pStyle w:val="45"/>
              <w:rPr>
                <w:rFonts w:hint="default"/>
              </w:rPr>
            </w:pPr>
            <w:r>
              <w:rPr>
                <w:rFonts w:hint="default"/>
              </w:rPr>
              <w:t>0</w:t>
            </w:r>
          </w:p>
        </w:tc>
        <w:tc>
          <w:tcPr>
            <w:tcW w:w="505" w:type="pct"/>
            <w:noWrap/>
            <w:vAlign w:val="center"/>
          </w:tcPr>
          <w:p w14:paraId="582E870C">
            <w:pPr>
              <w:pStyle w:val="45"/>
              <w:rPr>
                <w:rFonts w:hint="default"/>
              </w:rPr>
            </w:pPr>
            <w:r>
              <w:rPr>
                <w:rFonts w:hint="default"/>
              </w:rPr>
              <w:t>0</w:t>
            </w:r>
          </w:p>
        </w:tc>
        <w:tc>
          <w:tcPr>
            <w:tcW w:w="505" w:type="pct"/>
            <w:noWrap/>
            <w:vAlign w:val="center"/>
          </w:tcPr>
          <w:p w14:paraId="58505C83">
            <w:pPr>
              <w:pStyle w:val="45"/>
              <w:rPr>
                <w:rFonts w:hint="default"/>
              </w:rPr>
            </w:pPr>
            <w:r>
              <w:rPr>
                <w:rFonts w:hint="default"/>
              </w:rPr>
              <w:t>达标</w:t>
            </w:r>
          </w:p>
        </w:tc>
      </w:tr>
      <w:tr w14:paraId="367EC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7AE92076">
            <w:pPr>
              <w:pStyle w:val="45"/>
              <w:rPr>
                <w:rFonts w:hint="default"/>
              </w:rPr>
            </w:pPr>
          </w:p>
        </w:tc>
        <w:tc>
          <w:tcPr>
            <w:tcW w:w="1073" w:type="pct"/>
            <w:noWrap/>
            <w:vAlign w:val="center"/>
          </w:tcPr>
          <w:p w14:paraId="6ED71C34">
            <w:pPr>
              <w:pStyle w:val="45"/>
              <w:rPr>
                <w:rFonts w:hint="default"/>
              </w:rPr>
            </w:pPr>
            <w:r>
              <w:rPr>
                <w:rFonts w:hint="default"/>
              </w:rPr>
              <w:t>pH值</w:t>
            </w:r>
          </w:p>
        </w:tc>
        <w:tc>
          <w:tcPr>
            <w:tcW w:w="581" w:type="pct"/>
            <w:noWrap/>
            <w:vAlign w:val="center"/>
          </w:tcPr>
          <w:p w14:paraId="07E02DB6">
            <w:pPr>
              <w:pStyle w:val="45"/>
              <w:rPr>
                <w:rFonts w:hint="default"/>
              </w:rPr>
            </w:pPr>
            <w:r>
              <w:rPr>
                <w:rFonts w:hint="default"/>
              </w:rPr>
              <w:t>7-7.2</w:t>
            </w:r>
          </w:p>
        </w:tc>
        <w:tc>
          <w:tcPr>
            <w:tcW w:w="410" w:type="pct"/>
            <w:noWrap/>
            <w:vAlign w:val="center"/>
          </w:tcPr>
          <w:p w14:paraId="0B04F0DD">
            <w:pPr>
              <w:pStyle w:val="45"/>
              <w:rPr>
                <w:rFonts w:hint="default"/>
              </w:rPr>
            </w:pPr>
            <w:r>
              <w:rPr>
                <w:rFonts w:hint="default"/>
              </w:rPr>
              <w:t>7.13</w:t>
            </w:r>
          </w:p>
        </w:tc>
        <w:tc>
          <w:tcPr>
            <w:tcW w:w="505" w:type="pct"/>
            <w:noWrap/>
            <w:vAlign w:val="center"/>
          </w:tcPr>
          <w:p w14:paraId="6A5DE49C">
            <w:pPr>
              <w:pStyle w:val="45"/>
              <w:rPr>
                <w:rFonts w:hint="default"/>
              </w:rPr>
            </w:pPr>
            <w:r>
              <w:rPr>
                <w:rFonts w:hint="default"/>
              </w:rPr>
              <w:t>6-9</w:t>
            </w:r>
          </w:p>
        </w:tc>
        <w:tc>
          <w:tcPr>
            <w:tcW w:w="505" w:type="pct"/>
            <w:noWrap/>
            <w:vAlign w:val="center"/>
          </w:tcPr>
          <w:p w14:paraId="0B357711">
            <w:pPr>
              <w:pStyle w:val="45"/>
              <w:rPr>
                <w:rFonts w:hint="default"/>
              </w:rPr>
            </w:pPr>
            <w:r>
              <w:rPr>
                <w:rFonts w:hint="default"/>
              </w:rPr>
              <w:t>0.65</w:t>
            </w:r>
          </w:p>
        </w:tc>
        <w:tc>
          <w:tcPr>
            <w:tcW w:w="410" w:type="pct"/>
            <w:noWrap/>
            <w:vAlign w:val="center"/>
          </w:tcPr>
          <w:p w14:paraId="3FBB76C8">
            <w:pPr>
              <w:pStyle w:val="45"/>
              <w:rPr>
                <w:rFonts w:hint="default"/>
              </w:rPr>
            </w:pPr>
            <w:r>
              <w:rPr>
                <w:rFonts w:hint="default"/>
              </w:rPr>
              <w:t>0</w:t>
            </w:r>
          </w:p>
        </w:tc>
        <w:tc>
          <w:tcPr>
            <w:tcW w:w="505" w:type="pct"/>
            <w:noWrap/>
            <w:vAlign w:val="center"/>
          </w:tcPr>
          <w:p w14:paraId="312537C3">
            <w:pPr>
              <w:pStyle w:val="45"/>
              <w:rPr>
                <w:rFonts w:hint="default"/>
              </w:rPr>
            </w:pPr>
            <w:r>
              <w:rPr>
                <w:rFonts w:hint="default"/>
              </w:rPr>
              <w:t>0</w:t>
            </w:r>
          </w:p>
        </w:tc>
        <w:tc>
          <w:tcPr>
            <w:tcW w:w="505" w:type="pct"/>
            <w:noWrap/>
            <w:vAlign w:val="center"/>
          </w:tcPr>
          <w:p w14:paraId="1B3EA000">
            <w:pPr>
              <w:pStyle w:val="45"/>
              <w:rPr>
                <w:rFonts w:hint="default"/>
              </w:rPr>
            </w:pPr>
            <w:r>
              <w:rPr>
                <w:rFonts w:hint="default"/>
              </w:rPr>
              <w:t>达标</w:t>
            </w:r>
          </w:p>
        </w:tc>
      </w:tr>
      <w:tr w14:paraId="1022F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0F38095D">
            <w:pPr>
              <w:pStyle w:val="45"/>
              <w:rPr>
                <w:rFonts w:hint="default"/>
              </w:rPr>
            </w:pPr>
          </w:p>
        </w:tc>
        <w:tc>
          <w:tcPr>
            <w:tcW w:w="1073" w:type="pct"/>
            <w:noWrap/>
            <w:vAlign w:val="center"/>
          </w:tcPr>
          <w:p w14:paraId="20EC28B9">
            <w:pPr>
              <w:pStyle w:val="45"/>
              <w:rPr>
                <w:rFonts w:hint="default"/>
              </w:rPr>
            </w:pPr>
            <w:r>
              <w:rPr>
                <w:rFonts w:hint="default"/>
              </w:rPr>
              <w:t>溶解氧</w:t>
            </w:r>
          </w:p>
        </w:tc>
        <w:tc>
          <w:tcPr>
            <w:tcW w:w="581" w:type="pct"/>
            <w:noWrap/>
            <w:vAlign w:val="center"/>
          </w:tcPr>
          <w:p w14:paraId="348AC69A">
            <w:pPr>
              <w:pStyle w:val="45"/>
              <w:rPr>
                <w:rFonts w:hint="default"/>
              </w:rPr>
            </w:pPr>
            <w:r>
              <w:rPr>
                <w:rFonts w:hint="default"/>
              </w:rPr>
              <w:t>5.5-5.7</w:t>
            </w:r>
          </w:p>
        </w:tc>
        <w:tc>
          <w:tcPr>
            <w:tcW w:w="410" w:type="pct"/>
            <w:noWrap/>
            <w:vAlign w:val="center"/>
          </w:tcPr>
          <w:p w14:paraId="6DAC2E14">
            <w:pPr>
              <w:pStyle w:val="45"/>
              <w:rPr>
                <w:rFonts w:hint="default"/>
              </w:rPr>
            </w:pPr>
            <w:r>
              <w:rPr>
                <w:rFonts w:hint="default"/>
              </w:rPr>
              <w:t>5.6</w:t>
            </w:r>
          </w:p>
        </w:tc>
        <w:tc>
          <w:tcPr>
            <w:tcW w:w="505" w:type="pct"/>
            <w:noWrap/>
            <w:vAlign w:val="center"/>
          </w:tcPr>
          <w:p w14:paraId="27105AE6">
            <w:pPr>
              <w:pStyle w:val="45"/>
              <w:rPr>
                <w:rFonts w:hint="default"/>
              </w:rPr>
            </w:pPr>
            <w:r>
              <w:rPr>
                <w:rFonts w:hint="default"/>
              </w:rPr>
              <w:t>≥5</w:t>
            </w:r>
          </w:p>
        </w:tc>
        <w:tc>
          <w:tcPr>
            <w:tcW w:w="505" w:type="pct"/>
            <w:noWrap/>
            <w:vAlign w:val="center"/>
          </w:tcPr>
          <w:p w14:paraId="5A1C5029">
            <w:pPr>
              <w:pStyle w:val="45"/>
              <w:rPr>
                <w:rFonts w:hint="default"/>
              </w:rPr>
            </w:pPr>
            <w:r>
              <w:rPr>
                <w:rFonts w:hint="default"/>
              </w:rPr>
              <w:t>0.893</w:t>
            </w:r>
          </w:p>
        </w:tc>
        <w:tc>
          <w:tcPr>
            <w:tcW w:w="410" w:type="pct"/>
            <w:noWrap/>
            <w:vAlign w:val="center"/>
          </w:tcPr>
          <w:p w14:paraId="42A0D0BE">
            <w:pPr>
              <w:pStyle w:val="45"/>
              <w:rPr>
                <w:rFonts w:hint="default"/>
              </w:rPr>
            </w:pPr>
            <w:r>
              <w:rPr>
                <w:rFonts w:hint="default"/>
              </w:rPr>
              <w:t>0</w:t>
            </w:r>
          </w:p>
        </w:tc>
        <w:tc>
          <w:tcPr>
            <w:tcW w:w="505" w:type="pct"/>
            <w:noWrap/>
            <w:vAlign w:val="center"/>
          </w:tcPr>
          <w:p w14:paraId="1A928AF7">
            <w:pPr>
              <w:pStyle w:val="45"/>
              <w:rPr>
                <w:rFonts w:hint="default"/>
              </w:rPr>
            </w:pPr>
            <w:r>
              <w:rPr>
                <w:rFonts w:hint="default"/>
              </w:rPr>
              <w:t>0</w:t>
            </w:r>
          </w:p>
        </w:tc>
        <w:tc>
          <w:tcPr>
            <w:tcW w:w="505" w:type="pct"/>
            <w:noWrap/>
            <w:vAlign w:val="center"/>
          </w:tcPr>
          <w:p w14:paraId="2BCA934D">
            <w:pPr>
              <w:pStyle w:val="45"/>
              <w:rPr>
                <w:rFonts w:hint="default"/>
              </w:rPr>
            </w:pPr>
            <w:r>
              <w:rPr>
                <w:rFonts w:hint="default"/>
              </w:rPr>
              <w:t>达标</w:t>
            </w:r>
          </w:p>
        </w:tc>
      </w:tr>
      <w:tr w14:paraId="2C69D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753D8504">
            <w:pPr>
              <w:pStyle w:val="45"/>
              <w:rPr>
                <w:rFonts w:hint="default"/>
              </w:rPr>
            </w:pPr>
          </w:p>
        </w:tc>
        <w:tc>
          <w:tcPr>
            <w:tcW w:w="1073" w:type="pct"/>
            <w:noWrap/>
            <w:vAlign w:val="center"/>
          </w:tcPr>
          <w:p w14:paraId="125FA612">
            <w:pPr>
              <w:pStyle w:val="45"/>
              <w:rPr>
                <w:rFonts w:hint="default"/>
              </w:rPr>
            </w:pPr>
            <w:r>
              <w:rPr>
                <w:rFonts w:hint="default"/>
              </w:rPr>
              <w:t>化学需氧量</w:t>
            </w:r>
          </w:p>
        </w:tc>
        <w:tc>
          <w:tcPr>
            <w:tcW w:w="581" w:type="pct"/>
            <w:noWrap/>
            <w:vAlign w:val="center"/>
          </w:tcPr>
          <w:p w14:paraId="60C14AD0">
            <w:pPr>
              <w:pStyle w:val="45"/>
              <w:rPr>
                <w:rFonts w:hint="default"/>
              </w:rPr>
            </w:pPr>
            <w:r>
              <w:rPr>
                <w:rFonts w:hint="default"/>
              </w:rPr>
              <w:t>8-9</w:t>
            </w:r>
          </w:p>
        </w:tc>
        <w:tc>
          <w:tcPr>
            <w:tcW w:w="410" w:type="pct"/>
            <w:noWrap/>
            <w:vAlign w:val="center"/>
          </w:tcPr>
          <w:p w14:paraId="508204D9">
            <w:pPr>
              <w:pStyle w:val="45"/>
              <w:rPr>
                <w:rFonts w:hint="default"/>
              </w:rPr>
            </w:pPr>
            <w:r>
              <w:rPr>
                <w:rFonts w:hint="default"/>
              </w:rPr>
              <w:t>8.33</w:t>
            </w:r>
          </w:p>
        </w:tc>
        <w:tc>
          <w:tcPr>
            <w:tcW w:w="505" w:type="pct"/>
            <w:noWrap/>
            <w:vAlign w:val="center"/>
          </w:tcPr>
          <w:p w14:paraId="6C4A68B8">
            <w:pPr>
              <w:pStyle w:val="45"/>
              <w:rPr>
                <w:rFonts w:hint="default"/>
              </w:rPr>
            </w:pPr>
            <w:r>
              <w:rPr>
                <w:rFonts w:hint="default"/>
              </w:rPr>
              <w:t>20</w:t>
            </w:r>
          </w:p>
        </w:tc>
        <w:tc>
          <w:tcPr>
            <w:tcW w:w="505" w:type="pct"/>
            <w:noWrap/>
            <w:vAlign w:val="center"/>
          </w:tcPr>
          <w:p w14:paraId="54FCB04E">
            <w:pPr>
              <w:pStyle w:val="45"/>
              <w:rPr>
                <w:rFonts w:hint="default"/>
              </w:rPr>
            </w:pPr>
            <w:r>
              <w:rPr>
                <w:rFonts w:hint="default"/>
              </w:rPr>
              <w:t>0.45</w:t>
            </w:r>
          </w:p>
        </w:tc>
        <w:tc>
          <w:tcPr>
            <w:tcW w:w="410" w:type="pct"/>
            <w:noWrap/>
            <w:vAlign w:val="center"/>
          </w:tcPr>
          <w:p w14:paraId="59140D8E">
            <w:pPr>
              <w:pStyle w:val="45"/>
              <w:rPr>
                <w:rFonts w:hint="default"/>
              </w:rPr>
            </w:pPr>
            <w:r>
              <w:rPr>
                <w:rFonts w:hint="default"/>
              </w:rPr>
              <w:t>0</w:t>
            </w:r>
          </w:p>
        </w:tc>
        <w:tc>
          <w:tcPr>
            <w:tcW w:w="505" w:type="pct"/>
            <w:noWrap/>
            <w:vAlign w:val="center"/>
          </w:tcPr>
          <w:p w14:paraId="7DFCE7A9">
            <w:pPr>
              <w:pStyle w:val="45"/>
              <w:rPr>
                <w:rFonts w:hint="default"/>
              </w:rPr>
            </w:pPr>
            <w:r>
              <w:rPr>
                <w:rFonts w:hint="default"/>
              </w:rPr>
              <w:t>0</w:t>
            </w:r>
          </w:p>
        </w:tc>
        <w:tc>
          <w:tcPr>
            <w:tcW w:w="505" w:type="pct"/>
            <w:noWrap/>
            <w:vAlign w:val="center"/>
          </w:tcPr>
          <w:p w14:paraId="103E3A62">
            <w:pPr>
              <w:pStyle w:val="45"/>
              <w:rPr>
                <w:rFonts w:hint="default"/>
              </w:rPr>
            </w:pPr>
            <w:r>
              <w:rPr>
                <w:rFonts w:hint="default"/>
              </w:rPr>
              <w:t>达标</w:t>
            </w:r>
          </w:p>
        </w:tc>
      </w:tr>
      <w:tr w14:paraId="5B93B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79C1E1EB">
            <w:pPr>
              <w:pStyle w:val="45"/>
              <w:rPr>
                <w:rFonts w:hint="default"/>
              </w:rPr>
            </w:pPr>
          </w:p>
        </w:tc>
        <w:tc>
          <w:tcPr>
            <w:tcW w:w="1073" w:type="pct"/>
            <w:noWrap/>
            <w:vAlign w:val="center"/>
          </w:tcPr>
          <w:p w14:paraId="73AE080C">
            <w:pPr>
              <w:pStyle w:val="45"/>
              <w:rPr>
                <w:rFonts w:hint="default"/>
              </w:rPr>
            </w:pPr>
            <w:r>
              <w:rPr>
                <w:rFonts w:hint="default"/>
              </w:rPr>
              <w:t>五日生化需氧量</w:t>
            </w:r>
          </w:p>
        </w:tc>
        <w:tc>
          <w:tcPr>
            <w:tcW w:w="581" w:type="pct"/>
            <w:noWrap/>
            <w:vAlign w:val="center"/>
          </w:tcPr>
          <w:p w14:paraId="1BE920C6">
            <w:pPr>
              <w:pStyle w:val="45"/>
              <w:rPr>
                <w:rFonts w:hint="default"/>
              </w:rPr>
            </w:pPr>
            <w:r>
              <w:rPr>
                <w:rFonts w:hint="default"/>
              </w:rPr>
              <w:t>1.6-1.8</w:t>
            </w:r>
          </w:p>
        </w:tc>
        <w:tc>
          <w:tcPr>
            <w:tcW w:w="410" w:type="pct"/>
            <w:noWrap/>
            <w:vAlign w:val="center"/>
          </w:tcPr>
          <w:p w14:paraId="3ECA1CA4">
            <w:pPr>
              <w:pStyle w:val="45"/>
              <w:rPr>
                <w:rFonts w:hint="default"/>
              </w:rPr>
            </w:pPr>
            <w:r>
              <w:rPr>
                <w:rFonts w:hint="default"/>
              </w:rPr>
              <w:t>1.7</w:t>
            </w:r>
          </w:p>
        </w:tc>
        <w:tc>
          <w:tcPr>
            <w:tcW w:w="505" w:type="pct"/>
            <w:noWrap/>
            <w:vAlign w:val="center"/>
          </w:tcPr>
          <w:p w14:paraId="2576A50B">
            <w:pPr>
              <w:pStyle w:val="45"/>
              <w:rPr>
                <w:rFonts w:hint="default"/>
              </w:rPr>
            </w:pPr>
            <w:r>
              <w:rPr>
                <w:rFonts w:hint="default"/>
              </w:rPr>
              <w:t>4</w:t>
            </w:r>
          </w:p>
        </w:tc>
        <w:tc>
          <w:tcPr>
            <w:tcW w:w="505" w:type="pct"/>
            <w:noWrap/>
            <w:vAlign w:val="center"/>
          </w:tcPr>
          <w:p w14:paraId="5FE631FB">
            <w:pPr>
              <w:pStyle w:val="45"/>
              <w:rPr>
                <w:rFonts w:hint="default"/>
              </w:rPr>
            </w:pPr>
            <w:r>
              <w:rPr>
                <w:rFonts w:hint="default"/>
              </w:rPr>
              <w:t>0.45</w:t>
            </w:r>
          </w:p>
        </w:tc>
        <w:tc>
          <w:tcPr>
            <w:tcW w:w="410" w:type="pct"/>
            <w:noWrap/>
            <w:vAlign w:val="center"/>
          </w:tcPr>
          <w:p w14:paraId="5116D8BD">
            <w:pPr>
              <w:pStyle w:val="45"/>
              <w:rPr>
                <w:rFonts w:hint="default"/>
              </w:rPr>
            </w:pPr>
            <w:r>
              <w:rPr>
                <w:rFonts w:hint="default"/>
              </w:rPr>
              <w:t>0</w:t>
            </w:r>
          </w:p>
        </w:tc>
        <w:tc>
          <w:tcPr>
            <w:tcW w:w="505" w:type="pct"/>
            <w:noWrap/>
            <w:vAlign w:val="center"/>
          </w:tcPr>
          <w:p w14:paraId="47878885">
            <w:pPr>
              <w:pStyle w:val="45"/>
              <w:rPr>
                <w:rFonts w:hint="default"/>
              </w:rPr>
            </w:pPr>
            <w:r>
              <w:rPr>
                <w:rFonts w:hint="default"/>
              </w:rPr>
              <w:t>0</w:t>
            </w:r>
          </w:p>
        </w:tc>
        <w:tc>
          <w:tcPr>
            <w:tcW w:w="505" w:type="pct"/>
            <w:noWrap/>
            <w:vAlign w:val="center"/>
          </w:tcPr>
          <w:p w14:paraId="45AD48D1">
            <w:pPr>
              <w:pStyle w:val="45"/>
              <w:rPr>
                <w:rFonts w:hint="default"/>
              </w:rPr>
            </w:pPr>
            <w:r>
              <w:rPr>
                <w:rFonts w:hint="default"/>
              </w:rPr>
              <w:t>达标</w:t>
            </w:r>
          </w:p>
        </w:tc>
      </w:tr>
      <w:tr w14:paraId="6660C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59254464">
            <w:pPr>
              <w:pStyle w:val="45"/>
              <w:rPr>
                <w:rFonts w:hint="default"/>
              </w:rPr>
            </w:pPr>
          </w:p>
        </w:tc>
        <w:tc>
          <w:tcPr>
            <w:tcW w:w="1073" w:type="pct"/>
            <w:noWrap/>
            <w:vAlign w:val="center"/>
          </w:tcPr>
          <w:p w14:paraId="58213F71">
            <w:pPr>
              <w:pStyle w:val="45"/>
              <w:rPr>
                <w:rFonts w:hint="default"/>
              </w:rPr>
            </w:pPr>
            <w:r>
              <w:rPr>
                <w:rFonts w:hint="default"/>
              </w:rPr>
              <w:t>总磷</w:t>
            </w:r>
          </w:p>
        </w:tc>
        <w:tc>
          <w:tcPr>
            <w:tcW w:w="581" w:type="pct"/>
            <w:noWrap/>
            <w:vAlign w:val="center"/>
          </w:tcPr>
          <w:p w14:paraId="3112A6A1">
            <w:pPr>
              <w:pStyle w:val="45"/>
              <w:rPr>
                <w:rFonts w:hint="default"/>
              </w:rPr>
            </w:pPr>
            <w:r>
              <w:rPr>
                <w:rFonts w:hint="default"/>
              </w:rPr>
              <w:t>0.04</w:t>
            </w:r>
          </w:p>
        </w:tc>
        <w:tc>
          <w:tcPr>
            <w:tcW w:w="410" w:type="pct"/>
            <w:noWrap/>
            <w:vAlign w:val="center"/>
          </w:tcPr>
          <w:p w14:paraId="44DA6982">
            <w:pPr>
              <w:pStyle w:val="45"/>
              <w:rPr>
                <w:rFonts w:hint="default"/>
              </w:rPr>
            </w:pPr>
            <w:r>
              <w:rPr>
                <w:rFonts w:hint="default"/>
              </w:rPr>
              <w:t>0.04</w:t>
            </w:r>
          </w:p>
        </w:tc>
        <w:tc>
          <w:tcPr>
            <w:tcW w:w="505" w:type="pct"/>
            <w:noWrap/>
            <w:vAlign w:val="center"/>
          </w:tcPr>
          <w:p w14:paraId="529B6623">
            <w:pPr>
              <w:pStyle w:val="45"/>
              <w:rPr>
                <w:rFonts w:hint="default"/>
              </w:rPr>
            </w:pPr>
            <w:r>
              <w:rPr>
                <w:rFonts w:hint="default"/>
              </w:rPr>
              <w:t>0.2</w:t>
            </w:r>
          </w:p>
        </w:tc>
        <w:tc>
          <w:tcPr>
            <w:tcW w:w="505" w:type="pct"/>
            <w:noWrap/>
            <w:vAlign w:val="center"/>
          </w:tcPr>
          <w:p w14:paraId="53F3C81E">
            <w:pPr>
              <w:pStyle w:val="45"/>
              <w:rPr>
                <w:rFonts w:hint="default"/>
              </w:rPr>
            </w:pPr>
            <w:r>
              <w:rPr>
                <w:rFonts w:hint="default"/>
              </w:rPr>
              <w:t>0.2</w:t>
            </w:r>
          </w:p>
        </w:tc>
        <w:tc>
          <w:tcPr>
            <w:tcW w:w="410" w:type="pct"/>
            <w:noWrap/>
            <w:vAlign w:val="center"/>
          </w:tcPr>
          <w:p w14:paraId="4BAC78EC">
            <w:pPr>
              <w:pStyle w:val="45"/>
              <w:rPr>
                <w:rFonts w:hint="default"/>
              </w:rPr>
            </w:pPr>
            <w:r>
              <w:rPr>
                <w:rFonts w:hint="default"/>
              </w:rPr>
              <w:t>0</w:t>
            </w:r>
          </w:p>
        </w:tc>
        <w:tc>
          <w:tcPr>
            <w:tcW w:w="505" w:type="pct"/>
            <w:noWrap/>
            <w:vAlign w:val="center"/>
          </w:tcPr>
          <w:p w14:paraId="3324B9F0">
            <w:pPr>
              <w:pStyle w:val="45"/>
              <w:rPr>
                <w:rFonts w:hint="default"/>
              </w:rPr>
            </w:pPr>
            <w:r>
              <w:rPr>
                <w:rFonts w:hint="default"/>
              </w:rPr>
              <w:t>0</w:t>
            </w:r>
          </w:p>
        </w:tc>
        <w:tc>
          <w:tcPr>
            <w:tcW w:w="505" w:type="pct"/>
            <w:noWrap/>
            <w:vAlign w:val="center"/>
          </w:tcPr>
          <w:p w14:paraId="312F2915">
            <w:pPr>
              <w:pStyle w:val="45"/>
              <w:rPr>
                <w:rFonts w:hint="default"/>
              </w:rPr>
            </w:pPr>
            <w:r>
              <w:rPr>
                <w:rFonts w:hint="default"/>
              </w:rPr>
              <w:t>达标</w:t>
            </w:r>
          </w:p>
        </w:tc>
      </w:tr>
      <w:tr w14:paraId="3CC53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386D2462">
            <w:pPr>
              <w:pStyle w:val="45"/>
              <w:rPr>
                <w:rFonts w:hint="default"/>
              </w:rPr>
            </w:pPr>
          </w:p>
        </w:tc>
        <w:tc>
          <w:tcPr>
            <w:tcW w:w="1073" w:type="pct"/>
            <w:noWrap/>
            <w:vAlign w:val="center"/>
          </w:tcPr>
          <w:p w14:paraId="38F432C4">
            <w:pPr>
              <w:pStyle w:val="45"/>
              <w:rPr>
                <w:rFonts w:hint="default"/>
              </w:rPr>
            </w:pPr>
            <w:r>
              <w:rPr>
                <w:rFonts w:hint="default"/>
              </w:rPr>
              <w:t>氨氮</w:t>
            </w:r>
          </w:p>
        </w:tc>
        <w:tc>
          <w:tcPr>
            <w:tcW w:w="581" w:type="pct"/>
            <w:noWrap/>
            <w:vAlign w:val="center"/>
          </w:tcPr>
          <w:p w14:paraId="32BA8059">
            <w:pPr>
              <w:pStyle w:val="45"/>
              <w:rPr>
                <w:rFonts w:hint="default"/>
              </w:rPr>
            </w:pPr>
            <w:r>
              <w:rPr>
                <w:rFonts w:hint="default"/>
              </w:rPr>
              <w:t>0.16-0.17</w:t>
            </w:r>
          </w:p>
        </w:tc>
        <w:tc>
          <w:tcPr>
            <w:tcW w:w="410" w:type="pct"/>
            <w:noWrap/>
            <w:vAlign w:val="center"/>
          </w:tcPr>
          <w:p w14:paraId="1231DB22">
            <w:pPr>
              <w:pStyle w:val="45"/>
              <w:rPr>
                <w:rFonts w:hint="default"/>
              </w:rPr>
            </w:pPr>
            <w:r>
              <w:rPr>
                <w:rFonts w:hint="default"/>
              </w:rPr>
              <w:t>0.165</w:t>
            </w:r>
          </w:p>
        </w:tc>
        <w:tc>
          <w:tcPr>
            <w:tcW w:w="505" w:type="pct"/>
            <w:noWrap/>
            <w:vAlign w:val="center"/>
          </w:tcPr>
          <w:p w14:paraId="10E25921">
            <w:pPr>
              <w:pStyle w:val="45"/>
              <w:rPr>
                <w:rFonts w:hint="default"/>
              </w:rPr>
            </w:pPr>
            <w:r>
              <w:rPr>
                <w:rFonts w:hint="default"/>
              </w:rPr>
              <w:t>1</w:t>
            </w:r>
          </w:p>
        </w:tc>
        <w:tc>
          <w:tcPr>
            <w:tcW w:w="505" w:type="pct"/>
            <w:noWrap/>
            <w:vAlign w:val="center"/>
          </w:tcPr>
          <w:p w14:paraId="4E062B5D">
            <w:pPr>
              <w:pStyle w:val="45"/>
              <w:rPr>
                <w:rFonts w:hint="default"/>
              </w:rPr>
            </w:pPr>
            <w:r>
              <w:rPr>
                <w:rFonts w:hint="default"/>
              </w:rPr>
              <w:t>0.17</w:t>
            </w:r>
          </w:p>
        </w:tc>
        <w:tc>
          <w:tcPr>
            <w:tcW w:w="410" w:type="pct"/>
            <w:noWrap/>
            <w:vAlign w:val="center"/>
          </w:tcPr>
          <w:p w14:paraId="2AEE2E39">
            <w:pPr>
              <w:pStyle w:val="45"/>
              <w:rPr>
                <w:rFonts w:hint="default"/>
              </w:rPr>
            </w:pPr>
            <w:r>
              <w:rPr>
                <w:rFonts w:hint="default"/>
              </w:rPr>
              <w:t>0</w:t>
            </w:r>
          </w:p>
        </w:tc>
        <w:tc>
          <w:tcPr>
            <w:tcW w:w="505" w:type="pct"/>
            <w:noWrap/>
            <w:vAlign w:val="center"/>
          </w:tcPr>
          <w:p w14:paraId="303CFD1B">
            <w:pPr>
              <w:pStyle w:val="45"/>
              <w:rPr>
                <w:rFonts w:hint="default"/>
              </w:rPr>
            </w:pPr>
            <w:r>
              <w:rPr>
                <w:rFonts w:hint="default"/>
              </w:rPr>
              <w:t>0</w:t>
            </w:r>
          </w:p>
        </w:tc>
        <w:tc>
          <w:tcPr>
            <w:tcW w:w="505" w:type="pct"/>
            <w:noWrap/>
            <w:vAlign w:val="center"/>
          </w:tcPr>
          <w:p w14:paraId="538EBB9F">
            <w:pPr>
              <w:pStyle w:val="45"/>
              <w:rPr>
                <w:rFonts w:hint="default"/>
              </w:rPr>
            </w:pPr>
            <w:r>
              <w:rPr>
                <w:rFonts w:hint="default"/>
              </w:rPr>
              <w:t>达标</w:t>
            </w:r>
          </w:p>
        </w:tc>
      </w:tr>
      <w:tr w14:paraId="7E4A5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0C0FD4D8">
            <w:pPr>
              <w:pStyle w:val="45"/>
              <w:rPr>
                <w:rFonts w:hint="default"/>
              </w:rPr>
            </w:pPr>
          </w:p>
        </w:tc>
        <w:tc>
          <w:tcPr>
            <w:tcW w:w="1073" w:type="pct"/>
            <w:noWrap/>
            <w:vAlign w:val="center"/>
          </w:tcPr>
          <w:p w14:paraId="2EC0AB23">
            <w:pPr>
              <w:pStyle w:val="45"/>
              <w:rPr>
                <w:rFonts w:hint="default"/>
              </w:rPr>
            </w:pPr>
            <w:r>
              <w:rPr>
                <w:rFonts w:hint="default"/>
              </w:rPr>
              <w:t>石油类</w:t>
            </w:r>
          </w:p>
        </w:tc>
        <w:tc>
          <w:tcPr>
            <w:tcW w:w="581" w:type="pct"/>
            <w:noWrap/>
            <w:vAlign w:val="center"/>
          </w:tcPr>
          <w:p w14:paraId="7DBB2807">
            <w:pPr>
              <w:pStyle w:val="45"/>
              <w:rPr>
                <w:rFonts w:hint="default"/>
              </w:rPr>
            </w:pPr>
            <w:r>
              <w:rPr>
                <w:rFonts w:hint="default"/>
              </w:rPr>
              <w:t>0.03</w:t>
            </w:r>
          </w:p>
        </w:tc>
        <w:tc>
          <w:tcPr>
            <w:tcW w:w="410" w:type="pct"/>
            <w:noWrap/>
            <w:vAlign w:val="center"/>
          </w:tcPr>
          <w:p w14:paraId="7E92443A">
            <w:pPr>
              <w:pStyle w:val="45"/>
              <w:rPr>
                <w:rFonts w:hint="default"/>
              </w:rPr>
            </w:pPr>
            <w:r>
              <w:rPr>
                <w:rFonts w:hint="default"/>
              </w:rPr>
              <w:t>0.03</w:t>
            </w:r>
          </w:p>
        </w:tc>
        <w:tc>
          <w:tcPr>
            <w:tcW w:w="505" w:type="pct"/>
            <w:noWrap/>
            <w:vAlign w:val="center"/>
          </w:tcPr>
          <w:p w14:paraId="3DB41AEC">
            <w:pPr>
              <w:pStyle w:val="45"/>
              <w:rPr>
                <w:rFonts w:hint="default"/>
              </w:rPr>
            </w:pPr>
            <w:r>
              <w:rPr>
                <w:rFonts w:hint="default"/>
              </w:rPr>
              <w:t>0.05</w:t>
            </w:r>
          </w:p>
        </w:tc>
        <w:tc>
          <w:tcPr>
            <w:tcW w:w="505" w:type="pct"/>
            <w:noWrap/>
            <w:vAlign w:val="center"/>
          </w:tcPr>
          <w:p w14:paraId="48305DB9">
            <w:pPr>
              <w:pStyle w:val="45"/>
              <w:rPr>
                <w:rFonts w:hint="default"/>
              </w:rPr>
            </w:pPr>
            <w:r>
              <w:rPr>
                <w:rFonts w:hint="default"/>
              </w:rPr>
              <w:t>0.6</w:t>
            </w:r>
          </w:p>
        </w:tc>
        <w:tc>
          <w:tcPr>
            <w:tcW w:w="410" w:type="pct"/>
            <w:noWrap/>
            <w:vAlign w:val="center"/>
          </w:tcPr>
          <w:p w14:paraId="5119645E">
            <w:pPr>
              <w:pStyle w:val="45"/>
              <w:rPr>
                <w:rFonts w:hint="default"/>
              </w:rPr>
            </w:pPr>
            <w:r>
              <w:rPr>
                <w:rFonts w:hint="default"/>
              </w:rPr>
              <w:t>0</w:t>
            </w:r>
          </w:p>
        </w:tc>
        <w:tc>
          <w:tcPr>
            <w:tcW w:w="505" w:type="pct"/>
            <w:noWrap/>
            <w:vAlign w:val="center"/>
          </w:tcPr>
          <w:p w14:paraId="2473EF8F">
            <w:pPr>
              <w:pStyle w:val="45"/>
              <w:rPr>
                <w:rFonts w:hint="default"/>
              </w:rPr>
            </w:pPr>
            <w:r>
              <w:rPr>
                <w:rFonts w:hint="default"/>
              </w:rPr>
              <w:t>0</w:t>
            </w:r>
          </w:p>
        </w:tc>
        <w:tc>
          <w:tcPr>
            <w:tcW w:w="505" w:type="pct"/>
            <w:noWrap/>
            <w:vAlign w:val="center"/>
          </w:tcPr>
          <w:p w14:paraId="6C1398AE">
            <w:pPr>
              <w:pStyle w:val="45"/>
              <w:rPr>
                <w:rFonts w:hint="default"/>
              </w:rPr>
            </w:pPr>
            <w:r>
              <w:rPr>
                <w:rFonts w:hint="default"/>
              </w:rPr>
              <w:t>达标</w:t>
            </w:r>
          </w:p>
        </w:tc>
      </w:tr>
      <w:tr w14:paraId="7C4F6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3F9F1D1F">
            <w:pPr>
              <w:pStyle w:val="45"/>
              <w:rPr>
                <w:rFonts w:hint="default"/>
              </w:rPr>
            </w:pPr>
          </w:p>
        </w:tc>
        <w:tc>
          <w:tcPr>
            <w:tcW w:w="1073" w:type="pct"/>
            <w:noWrap/>
            <w:vAlign w:val="center"/>
          </w:tcPr>
          <w:p w14:paraId="2F5FD9F4">
            <w:pPr>
              <w:pStyle w:val="45"/>
              <w:rPr>
                <w:rFonts w:hint="default"/>
              </w:rPr>
            </w:pPr>
            <w:r>
              <w:rPr>
                <w:rFonts w:hint="default"/>
              </w:rPr>
              <w:t>氟化物</w:t>
            </w:r>
          </w:p>
        </w:tc>
        <w:tc>
          <w:tcPr>
            <w:tcW w:w="581" w:type="pct"/>
            <w:noWrap/>
            <w:vAlign w:val="center"/>
          </w:tcPr>
          <w:p w14:paraId="7E368265">
            <w:pPr>
              <w:pStyle w:val="45"/>
              <w:rPr>
                <w:rFonts w:hint="default"/>
              </w:rPr>
            </w:pPr>
            <w:r>
              <w:rPr>
                <w:rFonts w:hint="default"/>
              </w:rPr>
              <w:t>0.276-0.303</w:t>
            </w:r>
          </w:p>
        </w:tc>
        <w:tc>
          <w:tcPr>
            <w:tcW w:w="410" w:type="pct"/>
            <w:noWrap/>
            <w:vAlign w:val="center"/>
          </w:tcPr>
          <w:p w14:paraId="6015A675">
            <w:pPr>
              <w:pStyle w:val="45"/>
              <w:rPr>
                <w:rFonts w:hint="default"/>
              </w:rPr>
            </w:pPr>
            <w:r>
              <w:rPr>
                <w:rFonts w:hint="default"/>
              </w:rPr>
              <w:t>0.288</w:t>
            </w:r>
          </w:p>
        </w:tc>
        <w:tc>
          <w:tcPr>
            <w:tcW w:w="505" w:type="pct"/>
            <w:noWrap/>
            <w:vAlign w:val="center"/>
          </w:tcPr>
          <w:p w14:paraId="4E7EA8B6">
            <w:pPr>
              <w:pStyle w:val="45"/>
              <w:rPr>
                <w:rFonts w:hint="default"/>
              </w:rPr>
            </w:pPr>
            <w:r>
              <w:rPr>
                <w:rFonts w:hint="default"/>
              </w:rPr>
              <w:t>1</w:t>
            </w:r>
          </w:p>
        </w:tc>
        <w:tc>
          <w:tcPr>
            <w:tcW w:w="505" w:type="pct"/>
            <w:noWrap/>
            <w:vAlign w:val="center"/>
          </w:tcPr>
          <w:p w14:paraId="118C17FC">
            <w:pPr>
              <w:pStyle w:val="45"/>
              <w:rPr>
                <w:rFonts w:hint="default"/>
              </w:rPr>
            </w:pPr>
            <w:r>
              <w:rPr>
                <w:rFonts w:hint="default"/>
              </w:rPr>
              <w:t>0.303</w:t>
            </w:r>
          </w:p>
        </w:tc>
        <w:tc>
          <w:tcPr>
            <w:tcW w:w="410" w:type="pct"/>
            <w:noWrap/>
            <w:vAlign w:val="center"/>
          </w:tcPr>
          <w:p w14:paraId="74B1737E">
            <w:pPr>
              <w:pStyle w:val="45"/>
              <w:rPr>
                <w:rFonts w:hint="default"/>
              </w:rPr>
            </w:pPr>
            <w:r>
              <w:rPr>
                <w:rFonts w:hint="default"/>
              </w:rPr>
              <w:t>0</w:t>
            </w:r>
          </w:p>
        </w:tc>
        <w:tc>
          <w:tcPr>
            <w:tcW w:w="505" w:type="pct"/>
            <w:noWrap/>
            <w:vAlign w:val="center"/>
          </w:tcPr>
          <w:p w14:paraId="0FA6FA8E">
            <w:pPr>
              <w:pStyle w:val="45"/>
              <w:rPr>
                <w:rFonts w:hint="default"/>
              </w:rPr>
            </w:pPr>
            <w:r>
              <w:rPr>
                <w:rFonts w:hint="default"/>
              </w:rPr>
              <w:t>0</w:t>
            </w:r>
          </w:p>
        </w:tc>
        <w:tc>
          <w:tcPr>
            <w:tcW w:w="505" w:type="pct"/>
            <w:noWrap/>
            <w:vAlign w:val="center"/>
          </w:tcPr>
          <w:p w14:paraId="5FD137E3">
            <w:pPr>
              <w:pStyle w:val="45"/>
              <w:rPr>
                <w:rFonts w:hint="default"/>
              </w:rPr>
            </w:pPr>
            <w:r>
              <w:rPr>
                <w:rFonts w:hint="default"/>
              </w:rPr>
              <w:t>达标</w:t>
            </w:r>
          </w:p>
        </w:tc>
      </w:tr>
      <w:tr w14:paraId="487C4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26E84823">
            <w:pPr>
              <w:pStyle w:val="45"/>
              <w:rPr>
                <w:rFonts w:hint="default"/>
              </w:rPr>
            </w:pPr>
          </w:p>
        </w:tc>
        <w:tc>
          <w:tcPr>
            <w:tcW w:w="1073" w:type="pct"/>
            <w:noWrap/>
            <w:vAlign w:val="center"/>
          </w:tcPr>
          <w:p w14:paraId="32E8DF4F">
            <w:pPr>
              <w:pStyle w:val="45"/>
              <w:rPr>
                <w:rFonts w:hint="default"/>
              </w:rPr>
            </w:pPr>
            <w:r>
              <w:rPr>
                <w:rFonts w:hint="default"/>
              </w:rPr>
              <w:t>硫化物</w:t>
            </w:r>
          </w:p>
        </w:tc>
        <w:tc>
          <w:tcPr>
            <w:tcW w:w="581" w:type="pct"/>
            <w:noWrap/>
            <w:vAlign w:val="center"/>
          </w:tcPr>
          <w:p w14:paraId="38F7B308">
            <w:pPr>
              <w:pStyle w:val="45"/>
              <w:rPr>
                <w:rFonts w:hint="default"/>
              </w:rPr>
            </w:pPr>
            <w:r>
              <w:rPr>
                <w:rFonts w:hint="default"/>
              </w:rPr>
              <w:t>0.01L</w:t>
            </w:r>
          </w:p>
        </w:tc>
        <w:tc>
          <w:tcPr>
            <w:tcW w:w="410" w:type="pct"/>
            <w:noWrap/>
            <w:vAlign w:val="center"/>
          </w:tcPr>
          <w:p w14:paraId="4D16C414">
            <w:pPr>
              <w:pStyle w:val="45"/>
              <w:rPr>
                <w:rFonts w:hint="default"/>
              </w:rPr>
            </w:pPr>
            <w:r>
              <w:rPr>
                <w:rFonts w:hint="default"/>
              </w:rPr>
              <w:t>/</w:t>
            </w:r>
          </w:p>
        </w:tc>
        <w:tc>
          <w:tcPr>
            <w:tcW w:w="505" w:type="pct"/>
            <w:noWrap/>
            <w:vAlign w:val="center"/>
          </w:tcPr>
          <w:p w14:paraId="4E53A66D">
            <w:pPr>
              <w:pStyle w:val="45"/>
              <w:rPr>
                <w:rFonts w:hint="default"/>
              </w:rPr>
            </w:pPr>
            <w:r>
              <w:rPr>
                <w:rFonts w:hint="default"/>
              </w:rPr>
              <w:t>0.2</w:t>
            </w:r>
          </w:p>
        </w:tc>
        <w:tc>
          <w:tcPr>
            <w:tcW w:w="505" w:type="pct"/>
            <w:noWrap/>
            <w:vAlign w:val="center"/>
          </w:tcPr>
          <w:p w14:paraId="5255E3B6">
            <w:pPr>
              <w:pStyle w:val="45"/>
              <w:rPr>
                <w:rFonts w:hint="default"/>
              </w:rPr>
            </w:pPr>
            <w:r>
              <w:rPr>
                <w:rFonts w:hint="default"/>
              </w:rPr>
              <w:t>/</w:t>
            </w:r>
          </w:p>
        </w:tc>
        <w:tc>
          <w:tcPr>
            <w:tcW w:w="410" w:type="pct"/>
            <w:noWrap/>
            <w:vAlign w:val="center"/>
          </w:tcPr>
          <w:p w14:paraId="60EDDFE8">
            <w:pPr>
              <w:pStyle w:val="45"/>
              <w:rPr>
                <w:rFonts w:hint="default"/>
              </w:rPr>
            </w:pPr>
            <w:r>
              <w:rPr>
                <w:rFonts w:hint="default"/>
              </w:rPr>
              <w:t>0</w:t>
            </w:r>
          </w:p>
        </w:tc>
        <w:tc>
          <w:tcPr>
            <w:tcW w:w="505" w:type="pct"/>
            <w:noWrap/>
            <w:vAlign w:val="center"/>
          </w:tcPr>
          <w:p w14:paraId="5DA2D333">
            <w:pPr>
              <w:pStyle w:val="45"/>
              <w:rPr>
                <w:rFonts w:hint="default"/>
              </w:rPr>
            </w:pPr>
            <w:r>
              <w:rPr>
                <w:rFonts w:hint="default"/>
              </w:rPr>
              <w:t>0</w:t>
            </w:r>
          </w:p>
        </w:tc>
        <w:tc>
          <w:tcPr>
            <w:tcW w:w="505" w:type="pct"/>
            <w:noWrap/>
            <w:vAlign w:val="center"/>
          </w:tcPr>
          <w:p w14:paraId="16F8B678">
            <w:pPr>
              <w:pStyle w:val="45"/>
              <w:rPr>
                <w:rFonts w:hint="default"/>
              </w:rPr>
            </w:pPr>
            <w:r>
              <w:rPr>
                <w:rFonts w:hint="default"/>
              </w:rPr>
              <w:t>达标</w:t>
            </w:r>
          </w:p>
        </w:tc>
      </w:tr>
      <w:tr w14:paraId="1BEB9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3841A537">
            <w:pPr>
              <w:pStyle w:val="45"/>
              <w:rPr>
                <w:rFonts w:hint="default"/>
              </w:rPr>
            </w:pPr>
          </w:p>
        </w:tc>
        <w:tc>
          <w:tcPr>
            <w:tcW w:w="1073" w:type="pct"/>
            <w:noWrap/>
            <w:vAlign w:val="center"/>
          </w:tcPr>
          <w:p w14:paraId="5B2D24A9">
            <w:pPr>
              <w:pStyle w:val="45"/>
              <w:rPr>
                <w:rFonts w:hint="default"/>
              </w:rPr>
            </w:pPr>
            <w:r>
              <w:rPr>
                <w:rFonts w:hint="default"/>
              </w:rPr>
              <w:t>硫酸盐</w:t>
            </w:r>
          </w:p>
        </w:tc>
        <w:tc>
          <w:tcPr>
            <w:tcW w:w="581" w:type="pct"/>
            <w:noWrap/>
            <w:vAlign w:val="center"/>
          </w:tcPr>
          <w:p w14:paraId="22083EC1">
            <w:pPr>
              <w:pStyle w:val="45"/>
              <w:rPr>
                <w:rFonts w:hint="default"/>
              </w:rPr>
            </w:pPr>
            <w:r>
              <w:rPr>
                <w:rFonts w:hint="default"/>
              </w:rPr>
              <w:t>17.7-17.9</w:t>
            </w:r>
          </w:p>
        </w:tc>
        <w:tc>
          <w:tcPr>
            <w:tcW w:w="410" w:type="pct"/>
            <w:noWrap/>
            <w:vAlign w:val="center"/>
          </w:tcPr>
          <w:p w14:paraId="2FFD5CB0">
            <w:pPr>
              <w:pStyle w:val="45"/>
              <w:rPr>
                <w:rFonts w:hint="default"/>
              </w:rPr>
            </w:pPr>
            <w:r>
              <w:rPr>
                <w:rFonts w:hint="default"/>
              </w:rPr>
              <w:t>17.83</w:t>
            </w:r>
          </w:p>
        </w:tc>
        <w:tc>
          <w:tcPr>
            <w:tcW w:w="505" w:type="pct"/>
            <w:noWrap/>
            <w:vAlign w:val="center"/>
          </w:tcPr>
          <w:p w14:paraId="7C502D25">
            <w:pPr>
              <w:pStyle w:val="45"/>
              <w:rPr>
                <w:rFonts w:hint="default"/>
              </w:rPr>
            </w:pPr>
            <w:r>
              <w:rPr>
                <w:rFonts w:hint="default"/>
              </w:rPr>
              <w:t>250</w:t>
            </w:r>
          </w:p>
        </w:tc>
        <w:tc>
          <w:tcPr>
            <w:tcW w:w="505" w:type="pct"/>
            <w:noWrap/>
            <w:vAlign w:val="center"/>
          </w:tcPr>
          <w:p w14:paraId="39B2E901">
            <w:pPr>
              <w:pStyle w:val="45"/>
              <w:rPr>
                <w:rFonts w:hint="default"/>
              </w:rPr>
            </w:pPr>
            <w:r>
              <w:rPr>
                <w:rFonts w:hint="default"/>
              </w:rPr>
              <w:t>0.072</w:t>
            </w:r>
          </w:p>
        </w:tc>
        <w:tc>
          <w:tcPr>
            <w:tcW w:w="410" w:type="pct"/>
            <w:noWrap/>
            <w:vAlign w:val="center"/>
          </w:tcPr>
          <w:p w14:paraId="7999F336">
            <w:pPr>
              <w:pStyle w:val="45"/>
              <w:rPr>
                <w:rFonts w:hint="default"/>
              </w:rPr>
            </w:pPr>
            <w:r>
              <w:rPr>
                <w:rFonts w:hint="default"/>
              </w:rPr>
              <w:t>0</w:t>
            </w:r>
          </w:p>
        </w:tc>
        <w:tc>
          <w:tcPr>
            <w:tcW w:w="505" w:type="pct"/>
            <w:noWrap/>
            <w:vAlign w:val="center"/>
          </w:tcPr>
          <w:p w14:paraId="5699B300">
            <w:pPr>
              <w:pStyle w:val="45"/>
              <w:rPr>
                <w:rFonts w:hint="default"/>
              </w:rPr>
            </w:pPr>
            <w:r>
              <w:rPr>
                <w:rFonts w:hint="default"/>
              </w:rPr>
              <w:t>0</w:t>
            </w:r>
          </w:p>
        </w:tc>
        <w:tc>
          <w:tcPr>
            <w:tcW w:w="505" w:type="pct"/>
            <w:noWrap/>
            <w:vAlign w:val="center"/>
          </w:tcPr>
          <w:p w14:paraId="193C7194">
            <w:pPr>
              <w:pStyle w:val="45"/>
              <w:rPr>
                <w:rFonts w:hint="default"/>
              </w:rPr>
            </w:pPr>
            <w:r>
              <w:rPr>
                <w:rFonts w:hint="default"/>
              </w:rPr>
              <w:t>达标</w:t>
            </w:r>
          </w:p>
        </w:tc>
      </w:tr>
      <w:tr w14:paraId="705C3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2E0D5C98">
            <w:pPr>
              <w:pStyle w:val="45"/>
              <w:rPr>
                <w:rFonts w:hint="default"/>
              </w:rPr>
            </w:pPr>
          </w:p>
        </w:tc>
        <w:tc>
          <w:tcPr>
            <w:tcW w:w="1073" w:type="pct"/>
            <w:noWrap/>
            <w:vAlign w:val="center"/>
          </w:tcPr>
          <w:p w14:paraId="7D3ED1E7">
            <w:pPr>
              <w:pStyle w:val="45"/>
              <w:rPr>
                <w:rFonts w:hint="default"/>
              </w:rPr>
            </w:pPr>
            <w:r>
              <w:rPr>
                <w:rFonts w:hint="default"/>
              </w:rPr>
              <w:t>挥发酚</w:t>
            </w:r>
          </w:p>
        </w:tc>
        <w:tc>
          <w:tcPr>
            <w:tcW w:w="581" w:type="pct"/>
            <w:noWrap/>
            <w:vAlign w:val="center"/>
          </w:tcPr>
          <w:p w14:paraId="691276AC">
            <w:pPr>
              <w:pStyle w:val="45"/>
              <w:rPr>
                <w:rFonts w:hint="default"/>
              </w:rPr>
            </w:pPr>
            <w:r>
              <w:rPr>
                <w:rFonts w:hint="default"/>
              </w:rPr>
              <w:t>0.0003L</w:t>
            </w:r>
          </w:p>
        </w:tc>
        <w:tc>
          <w:tcPr>
            <w:tcW w:w="410" w:type="pct"/>
            <w:noWrap/>
            <w:vAlign w:val="center"/>
          </w:tcPr>
          <w:p w14:paraId="40F5E0DF">
            <w:pPr>
              <w:pStyle w:val="45"/>
              <w:rPr>
                <w:rFonts w:hint="default"/>
              </w:rPr>
            </w:pPr>
            <w:r>
              <w:rPr>
                <w:rFonts w:hint="default"/>
              </w:rPr>
              <w:t>/</w:t>
            </w:r>
          </w:p>
        </w:tc>
        <w:tc>
          <w:tcPr>
            <w:tcW w:w="505" w:type="pct"/>
            <w:noWrap/>
            <w:vAlign w:val="center"/>
          </w:tcPr>
          <w:p w14:paraId="5E82CBA5">
            <w:pPr>
              <w:pStyle w:val="45"/>
              <w:rPr>
                <w:rFonts w:hint="default"/>
              </w:rPr>
            </w:pPr>
            <w:r>
              <w:rPr>
                <w:rFonts w:hint="default"/>
              </w:rPr>
              <w:t>0.005</w:t>
            </w:r>
          </w:p>
        </w:tc>
        <w:tc>
          <w:tcPr>
            <w:tcW w:w="505" w:type="pct"/>
            <w:noWrap/>
            <w:vAlign w:val="center"/>
          </w:tcPr>
          <w:p w14:paraId="76DD3F78">
            <w:pPr>
              <w:pStyle w:val="45"/>
              <w:rPr>
                <w:rFonts w:hint="default"/>
              </w:rPr>
            </w:pPr>
            <w:r>
              <w:rPr>
                <w:rFonts w:hint="default"/>
              </w:rPr>
              <w:t>/</w:t>
            </w:r>
          </w:p>
        </w:tc>
        <w:tc>
          <w:tcPr>
            <w:tcW w:w="410" w:type="pct"/>
            <w:noWrap/>
            <w:vAlign w:val="center"/>
          </w:tcPr>
          <w:p w14:paraId="1147C0C0">
            <w:pPr>
              <w:pStyle w:val="45"/>
              <w:rPr>
                <w:rFonts w:hint="default"/>
              </w:rPr>
            </w:pPr>
            <w:r>
              <w:rPr>
                <w:rFonts w:hint="default"/>
              </w:rPr>
              <w:t>0</w:t>
            </w:r>
          </w:p>
        </w:tc>
        <w:tc>
          <w:tcPr>
            <w:tcW w:w="505" w:type="pct"/>
            <w:noWrap/>
            <w:vAlign w:val="center"/>
          </w:tcPr>
          <w:p w14:paraId="752FDA0F">
            <w:pPr>
              <w:pStyle w:val="45"/>
              <w:rPr>
                <w:rFonts w:hint="default"/>
              </w:rPr>
            </w:pPr>
            <w:r>
              <w:rPr>
                <w:rFonts w:hint="default"/>
              </w:rPr>
              <w:t>0</w:t>
            </w:r>
          </w:p>
        </w:tc>
        <w:tc>
          <w:tcPr>
            <w:tcW w:w="505" w:type="pct"/>
            <w:noWrap/>
            <w:vAlign w:val="center"/>
          </w:tcPr>
          <w:p w14:paraId="221F79A9">
            <w:pPr>
              <w:pStyle w:val="45"/>
              <w:rPr>
                <w:rFonts w:hint="default"/>
              </w:rPr>
            </w:pPr>
            <w:r>
              <w:rPr>
                <w:rFonts w:hint="default"/>
              </w:rPr>
              <w:t>达标</w:t>
            </w:r>
          </w:p>
        </w:tc>
      </w:tr>
      <w:tr w14:paraId="6B2D3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52E47C23">
            <w:pPr>
              <w:pStyle w:val="45"/>
              <w:rPr>
                <w:rFonts w:hint="default"/>
              </w:rPr>
            </w:pPr>
          </w:p>
        </w:tc>
        <w:tc>
          <w:tcPr>
            <w:tcW w:w="1073" w:type="pct"/>
            <w:noWrap/>
            <w:vAlign w:val="center"/>
          </w:tcPr>
          <w:p w14:paraId="540D4CCF">
            <w:pPr>
              <w:pStyle w:val="45"/>
              <w:rPr>
                <w:rFonts w:hint="default"/>
              </w:rPr>
            </w:pPr>
            <w:r>
              <w:rPr>
                <w:rFonts w:hint="default"/>
              </w:rPr>
              <w:t>阴离子表面活性剂</w:t>
            </w:r>
          </w:p>
        </w:tc>
        <w:tc>
          <w:tcPr>
            <w:tcW w:w="581" w:type="pct"/>
            <w:noWrap/>
            <w:vAlign w:val="center"/>
          </w:tcPr>
          <w:p w14:paraId="3B147CD9">
            <w:pPr>
              <w:pStyle w:val="45"/>
              <w:rPr>
                <w:rFonts w:hint="default"/>
              </w:rPr>
            </w:pPr>
            <w:r>
              <w:rPr>
                <w:rFonts w:hint="default"/>
              </w:rPr>
              <w:t>0.05L</w:t>
            </w:r>
          </w:p>
        </w:tc>
        <w:tc>
          <w:tcPr>
            <w:tcW w:w="410" w:type="pct"/>
            <w:noWrap/>
            <w:vAlign w:val="center"/>
          </w:tcPr>
          <w:p w14:paraId="4950A097">
            <w:pPr>
              <w:pStyle w:val="45"/>
              <w:rPr>
                <w:rFonts w:hint="default"/>
              </w:rPr>
            </w:pPr>
            <w:r>
              <w:rPr>
                <w:rFonts w:hint="default"/>
              </w:rPr>
              <w:t>/</w:t>
            </w:r>
          </w:p>
        </w:tc>
        <w:tc>
          <w:tcPr>
            <w:tcW w:w="505" w:type="pct"/>
            <w:noWrap/>
            <w:vAlign w:val="center"/>
          </w:tcPr>
          <w:p w14:paraId="23A93129">
            <w:pPr>
              <w:pStyle w:val="45"/>
              <w:rPr>
                <w:rFonts w:hint="default"/>
              </w:rPr>
            </w:pPr>
            <w:r>
              <w:rPr>
                <w:rFonts w:hint="default"/>
              </w:rPr>
              <w:t>0.2</w:t>
            </w:r>
          </w:p>
        </w:tc>
        <w:tc>
          <w:tcPr>
            <w:tcW w:w="505" w:type="pct"/>
            <w:noWrap/>
            <w:vAlign w:val="center"/>
          </w:tcPr>
          <w:p w14:paraId="73028D4C">
            <w:pPr>
              <w:pStyle w:val="45"/>
              <w:rPr>
                <w:rFonts w:hint="default"/>
              </w:rPr>
            </w:pPr>
            <w:r>
              <w:rPr>
                <w:rFonts w:hint="default"/>
              </w:rPr>
              <w:t>/</w:t>
            </w:r>
          </w:p>
        </w:tc>
        <w:tc>
          <w:tcPr>
            <w:tcW w:w="410" w:type="pct"/>
            <w:noWrap/>
            <w:vAlign w:val="center"/>
          </w:tcPr>
          <w:p w14:paraId="2758EF22">
            <w:pPr>
              <w:pStyle w:val="45"/>
              <w:rPr>
                <w:rFonts w:hint="default"/>
              </w:rPr>
            </w:pPr>
            <w:r>
              <w:rPr>
                <w:rFonts w:hint="default"/>
              </w:rPr>
              <w:t>0</w:t>
            </w:r>
          </w:p>
        </w:tc>
        <w:tc>
          <w:tcPr>
            <w:tcW w:w="505" w:type="pct"/>
            <w:noWrap/>
            <w:vAlign w:val="center"/>
          </w:tcPr>
          <w:p w14:paraId="1A4EF4BB">
            <w:pPr>
              <w:pStyle w:val="45"/>
              <w:rPr>
                <w:rFonts w:hint="default"/>
              </w:rPr>
            </w:pPr>
            <w:r>
              <w:rPr>
                <w:rFonts w:hint="default"/>
              </w:rPr>
              <w:t>0</w:t>
            </w:r>
          </w:p>
        </w:tc>
        <w:tc>
          <w:tcPr>
            <w:tcW w:w="505" w:type="pct"/>
            <w:noWrap/>
            <w:vAlign w:val="center"/>
          </w:tcPr>
          <w:p w14:paraId="5F65F6AB">
            <w:pPr>
              <w:pStyle w:val="45"/>
              <w:rPr>
                <w:rFonts w:hint="default"/>
              </w:rPr>
            </w:pPr>
            <w:r>
              <w:rPr>
                <w:rFonts w:hint="default"/>
              </w:rPr>
              <w:t>达标</w:t>
            </w:r>
          </w:p>
        </w:tc>
      </w:tr>
      <w:tr w14:paraId="3A206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6A17C0D9">
            <w:pPr>
              <w:pStyle w:val="45"/>
              <w:rPr>
                <w:rFonts w:hint="default"/>
              </w:rPr>
            </w:pPr>
          </w:p>
        </w:tc>
        <w:tc>
          <w:tcPr>
            <w:tcW w:w="1073" w:type="pct"/>
            <w:noWrap/>
            <w:vAlign w:val="center"/>
          </w:tcPr>
          <w:p w14:paraId="27A3905C">
            <w:pPr>
              <w:pStyle w:val="45"/>
              <w:rPr>
                <w:rFonts w:hint="default"/>
              </w:rPr>
            </w:pPr>
            <w:r>
              <w:rPr>
                <w:rFonts w:hint="default"/>
              </w:rPr>
              <w:t>铅</w:t>
            </w:r>
          </w:p>
        </w:tc>
        <w:tc>
          <w:tcPr>
            <w:tcW w:w="581" w:type="pct"/>
            <w:noWrap/>
            <w:vAlign w:val="center"/>
          </w:tcPr>
          <w:p w14:paraId="5978E39A">
            <w:pPr>
              <w:pStyle w:val="45"/>
              <w:rPr>
                <w:rFonts w:hint="default"/>
              </w:rPr>
            </w:pPr>
            <w:r>
              <w:rPr>
                <w:rFonts w:hint="default"/>
              </w:rPr>
              <w:t>0.001L</w:t>
            </w:r>
          </w:p>
        </w:tc>
        <w:tc>
          <w:tcPr>
            <w:tcW w:w="410" w:type="pct"/>
            <w:noWrap/>
            <w:vAlign w:val="center"/>
          </w:tcPr>
          <w:p w14:paraId="218AC747">
            <w:pPr>
              <w:pStyle w:val="45"/>
              <w:rPr>
                <w:rFonts w:hint="default"/>
              </w:rPr>
            </w:pPr>
            <w:r>
              <w:rPr>
                <w:rFonts w:hint="default"/>
              </w:rPr>
              <w:t>/</w:t>
            </w:r>
          </w:p>
        </w:tc>
        <w:tc>
          <w:tcPr>
            <w:tcW w:w="505" w:type="pct"/>
            <w:noWrap/>
            <w:vAlign w:val="center"/>
          </w:tcPr>
          <w:p w14:paraId="30DE9F30">
            <w:pPr>
              <w:pStyle w:val="45"/>
              <w:rPr>
                <w:rFonts w:hint="default"/>
              </w:rPr>
            </w:pPr>
            <w:r>
              <w:rPr>
                <w:rFonts w:hint="default"/>
              </w:rPr>
              <w:t>0.05</w:t>
            </w:r>
          </w:p>
        </w:tc>
        <w:tc>
          <w:tcPr>
            <w:tcW w:w="505" w:type="pct"/>
            <w:noWrap/>
            <w:vAlign w:val="center"/>
          </w:tcPr>
          <w:p w14:paraId="340816A3">
            <w:pPr>
              <w:pStyle w:val="45"/>
              <w:rPr>
                <w:rFonts w:hint="default"/>
              </w:rPr>
            </w:pPr>
            <w:r>
              <w:rPr>
                <w:rFonts w:hint="default"/>
              </w:rPr>
              <w:t>/</w:t>
            </w:r>
          </w:p>
        </w:tc>
        <w:tc>
          <w:tcPr>
            <w:tcW w:w="410" w:type="pct"/>
            <w:noWrap/>
            <w:vAlign w:val="center"/>
          </w:tcPr>
          <w:p w14:paraId="58D17FED">
            <w:pPr>
              <w:pStyle w:val="45"/>
              <w:rPr>
                <w:rFonts w:hint="default"/>
              </w:rPr>
            </w:pPr>
            <w:r>
              <w:rPr>
                <w:rFonts w:hint="default"/>
              </w:rPr>
              <w:t>0</w:t>
            </w:r>
          </w:p>
        </w:tc>
        <w:tc>
          <w:tcPr>
            <w:tcW w:w="505" w:type="pct"/>
            <w:noWrap/>
            <w:vAlign w:val="center"/>
          </w:tcPr>
          <w:p w14:paraId="3B47F52D">
            <w:pPr>
              <w:pStyle w:val="45"/>
              <w:rPr>
                <w:rFonts w:hint="default"/>
              </w:rPr>
            </w:pPr>
            <w:r>
              <w:rPr>
                <w:rFonts w:hint="default"/>
              </w:rPr>
              <w:t>0</w:t>
            </w:r>
          </w:p>
        </w:tc>
        <w:tc>
          <w:tcPr>
            <w:tcW w:w="505" w:type="pct"/>
            <w:noWrap/>
            <w:vAlign w:val="center"/>
          </w:tcPr>
          <w:p w14:paraId="451F6A5A">
            <w:pPr>
              <w:pStyle w:val="45"/>
              <w:rPr>
                <w:rFonts w:hint="default"/>
              </w:rPr>
            </w:pPr>
            <w:r>
              <w:rPr>
                <w:rFonts w:hint="default"/>
              </w:rPr>
              <w:t>达标</w:t>
            </w:r>
          </w:p>
        </w:tc>
      </w:tr>
      <w:tr w14:paraId="79272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4757E364">
            <w:pPr>
              <w:pStyle w:val="45"/>
              <w:rPr>
                <w:rFonts w:hint="default"/>
              </w:rPr>
            </w:pPr>
          </w:p>
        </w:tc>
        <w:tc>
          <w:tcPr>
            <w:tcW w:w="1073" w:type="pct"/>
            <w:noWrap/>
            <w:vAlign w:val="center"/>
          </w:tcPr>
          <w:p w14:paraId="1D4B5200">
            <w:pPr>
              <w:pStyle w:val="45"/>
              <w:rPr>
                <w:rFonts w:hint="default"/>
              </w:rPr>
            </w:pPr>
            <w:r>
              <w:rPr>
                <w:rFonts w:hint="default"/>
              </w:rPr>
              <w:t>砷</w:t>
            </w:r>
          </w:p>
        </w:tc>
        <w:tc>
          <w:tcPr>
            <w:tcW w:w="581" w:type="pct"/>
            <w:noWrap/>
            <w:vAlign w:val="center"/>
          </w:tcPr>
          <w:p w14:paraId="017EE9FB">
            <w:pPr>
              <w:pStyle w:val="45"/>
              <w:rPr>
                <w:rFonts w:hint="default"/>
              </w:rPr>
            </w:pPr>
            <w:r>
              <w:rPr>
                <w:rFonts w:hint="default"/>
              </w:rPr>
              <w:t>0.0003L</w:t>
            </w:r>
          </w:p>
        </w:tc>
        <w:tc>
          <w:tcPr>
            <w:tcW w:w="410" w:type="pct"/>
            <w:noWrap/>
            <w:vAlign w:val="center"/>
          </w:tcPr>
          <w:p w14:paraId="4870DD1D">
            <w:pPr>
              <w:pStyle w:val="45"/>
              <w:rPr>
                <w:rFonts w:hint="default"/>
              </w:rPr>
            </w:pPr>
            <w:r>
              <w:rPr>
                <w:rFonts w:hint="default"/>
              </w:rPr>
              <w:t>/</w:t>
            </w:r>
          </w:p>
        </w:tc>
        <w:tc>
          <w:tcPr>
            <w:tcW w:w="505" w:type="pct"/>
            <w:noWrap/>
            <w:vAlign w:val="center"/>
          </w:tcPr>
          <w:p w14:paraId="327E3BA1">
            <w:pPr>
              <w:pStyle w:val="45"/>
              <w:rPr>
                <w:rFonts w:hint="default"/>
              </w:rPr>
            </w:pPr>
            <w:r>
              <w:rPr>
                <w:rFonts w:hint="default"/>
              </w:rPr>
              <w:t>0.05</w:t>
            </w:r>
          </w:p>
        </w:tc>
        <w:tc>
          <w:tcPr>
            <w:tcW w:w="505" w:type="pct"/>
            <w:noWrap/>
            <w:vAlign w:val="center"/>
          </w:tcPr>
          <w:p w14:paraId="3336CDC7">
            <w:pPr>
              <w:pStyle w:val="45"/>
              <w:rPr>
                <w:rFonts w:hint="default"/>
              </w:rPr>
            </w:pPr>
            <w:r>
              <w:rPr>
                <w:rFonts w:hint="default"/>
              </w:rPr>
              <w:t>/</w:t>
            </w:r>
          </w:p>
        </w:tc>
        <w:tc>
          <w:tcPr>
            <w:tcW w:w="410" w:type="pct"/>
            <w:noWrap/>
            <w:vAlign w:val="center"/>
          </w:tcPr>
          <w:p w14:paraId="26BF5F91">
            <w:pPr>
              <w:pStyle w:val="45"/>
              <w:rPr>
                <w:rFonts w:hint="default"/>
              </w:rPr>
            </w:pPr>
            <w:r>
              <w:rPr>
                <w:rFonts w:hint="default"/>
              </w:rPr>
              <w:t>0</w:t>
            </w:r>
          </w:p>
        </w:tc>
        <w:tc>
          <w:tcPr>
            <w:tcW w:w="505" w:type="pct"/>
            <w:noWrap/>
            <w:vAlign w:val="center"/>
          </w:tcPr>
          <w:p w14:paraId="33C6FC5D">
            <w:pPr>
              <w:pStyle w:val="45"/>
              <w:rPr>
                <w:rFonts w:hint="default"/>
              </w:rPr>
            </w:pPr>
            <w:r>
              <w:rPr>
                <w:rFonts w:hint="default"/>
              </w:rPr>
              <w:t>0</w:t>
            </w:r>
          </w:p>
        </w:tc>
        <w:tc>
          <w:tcPr>
            <w:tcW w:w="505" w:type="pct"/>
            <w:noWrap/>
            <w:vAlign w:val="center"/>
          </w:tcPr>
          <w:p w14:paraId="6736EFD0">
            <w:pPr>
              <w:pStyle w:val="45"/>
              <w:rPr>
                <w:rFonts w:hint="default"/>
              </w:rPr>
            </w:pPr>
            <w:r>
              <w:rPr>
                <w:rFonts w:hint="default"/>
              </w:rPr>
              <w:t>达标</w:t>
            </w:r>
          </w:p>
        </w:tc>
      </w:tr>
      <w:tr w14:paraId="5E8FC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3D4D7710">
            <w:pPr>
              <w:pStyle w:val="45"/>
              <w:rPr>
                <w:rFonts w:hint="default"/>
              </w:rPr>
            </w:pPr>
          </w:p>
        </w:tc>
        <w:tc>
          <w:tcPr>
            <w:tcW w:w="1073" w:type="pct"/>
            <w:noWrap/>
            <w:vAlign w:val="center"/>
          </w:tcPr>
          <w:p w14:paraId="380759C2">
            <w:pPr>
              <w:pStyle w:val="45"/>
              <w:rPr>
                <w:rFonts w:hint="default"/>
              </w:rPr>
            </w:pPr>
            <w:r>
              <w:rPr>
                <w:rFonts w:hint="default"/>
              </w:rPr>
              <w:t>镉</w:t>
            </w:r>
          </w:p>
        </w:tc>
        <w:tc>
          <w:tcPr>
            <w:tcW w:w="581" w:type="pct"/>
            <w:noWrap/>
            <w:vAlign w:val="center"/>
          </w:tcPr>
          <w:p w14:paraId="3AD38FD6">
            <w:pPr>
              <w:pStyle w:val="45"/>
              <w:rPr>
                <w:rFonts w:hint="default"/>
              </w:rPr>
            </w:pPr>
            <w:r>
              <w:rPr>
                <w:rFonts w:hint="default"/>
              </w:rPr>
              <w:t>0.0001L</w:t>
            </w:r>
          </w:p>
        </w:tc>
        <w:tc>
          <w:tcPr>
            <w:tcW w:w="410" w:type="pct"/>
            <w:noWrap/>
            <w:vAlign w:val="center"/>
          </w:tcPr>
          <w:p w14:paraId="4DFABCA4">
            <w:pPr>
              <w:pStyle w:val="45"/>
              <w:rPr>
                <w:rFonts w:hint="default"/>
              </w:rPr>
            </w:pPr>
            <w:r>
              <w:rPr>
                <w:rFonts w:hint="default"/>
              </w:rPr>
              <w:t>/</w:t>
            </w:r>
          </w:p>
        </w:tc>
        <w:tc>
          <w:tcPr>
            <w:tcW w:w="505" w:type="pct"/>
            <w:noWrap/>
            <w:vAlign w:val="center"/>
          </w:tcPr>
          <w:p w14:paraId="10F9B30B">
            <w:pPr>
              <w:pStyle w:val="45"/>
              <w:rPr>
                <w:rFonts w:hint="default"/>
              </w:rPr>
            </w:pPr>
            <w:r>
              <w:rPr>
                <w:rFonts w:hint="default"/>
              </w:rPr>
              <w:t>0.005</w:t>
            </w:r>
          </w:p>
        </w:tc>
        <w:tc>
          <w:tcPr>
            <w:tcW w:w="505" w:type="pct"/>
            <w:noWrap/>
            <w:vAlign w:val="center"/>
          </w:tcPr>
          <w:p w14:paraId="24F05407">
            <w:pPr>
              <w:pStyle w:val="45"/>
              <w:rPr>
                <w:rFonts w:hint="default"/>
              </w:rPr>
            </w:pPr>
            <w:r>
              <w:rPr>
                <w:rFonts w:hint="default"/>
              </w:rPr>
              <w:t>/</w:t>
            </w:r>
          </w:p>
        </w:tc>
        <w:tc>
          <w:tcPr>
            <w:tcW w:w="410" w:type="pct"/>
            <w:noWrap/>
            <w:vAlign w:val="center"/>
          </w:tcPr>
          <w:p w14:paraId="2D9E791C">
            <w:pPr>
              <w:pStyle w:val="45"/>
              <w:rPr>
                <w:rFonts w:hint="default"/>
              </w:rPr>
            </w:pPr>
            <w:r>
              <w:rPr>
                <w:rFonts w:hint="default"/>
              </w:rPr>
              <w:t>0</w:t>
            </w:r>
          </w:p>
        </w:tc>
        <w:tc>
          <w:tcPr>
            <w:tcW w:w="505" w:type="pct"/>
            <w:noWrap/>
            <w:vAlign w:val="center"/>
          </w:tcPr>
          <w:p w14:paraId="1D62C3F9">
            <w:pPr>
              <w:pStyle w:val="45"/>
              <w:rPr>
                <w:rFonts w:hint="default"/>
              </w:rPr>
            </w:pPr>
            <w:r>
              <w:rPr>
                <w:rFonts w:hint="default"/>
              </w:rPr>
              <w:t>0</w:t>
            </w:r>
          </w:p>
        </w:tc>
        <w:tc>
          <w:tcPr>
            <w:tcW w:w="505" w:type="pct"/>
            <w:noWrap/>
            <w:vAlign w:val="center"/>
          </w:tcPr>
          <w:p w14:paraId="76743C50">
            <w:pPr>
              <w:pStyle w:val="45"/>
              <w:rPr>
                <w:rFonts w:hint="default"/>
              </w:rPr>
            </w:pPr>
            <w:r>
              <w:rPr>
                <w:rFonts w:hint="default"/>
              </w:rPr>
              <w:t>达标</w:t>
            </w:r>
          </w:p>
        </w:tc>
      </w:tr>
      <w:tr w14:paraId="5B96F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0D6D447F">
            <w:pPr>
              <w:pStyle w:val="45"/>
              <w:rPr>
                <w:rFonts w:hint="default"/>
              </w:rPr>
            </w:pPr>
          </w:p>
        </w:tc>
        <w:tc>
          <w:tcPr>
            <w:tcW w:w="1073" w:type="pct"/>
            <w:noWrap/>
            <w:vAlign w:val="center"/>
          </w:tcPr>
          <w:p w14:paraId="74B6CD39">
            <w:pPr>
              <w:pStyle w:val="45"/>
              <w:rPr>
                <w:rFonts w:hint="default"/>
              </w:rPr>
            </w:pPr>
            <w:r>
              <w:rPr>
                <w:rFonts w:hint="default"/>
              </w:rPr>
              <w:t>铬（六价）</w:t>
            </w:r>
          </w:p>
        </w:tc>
        <w:tc>
          <w:tcPr>
            <w:tcW w:w="581" w:type="pct"/>
            <w:noWrap/>
            <w:vAlign w:val="center"/>
          </w:tcPr>
          <w:p w14:paraId="6964EF7E">
            <w:pPr>
              <w:pStyle w:val="45"/>
              <w:rPr>
                <w:rFonts w:hint="default"/>
              </w:rPr>
            </w:pPr>
            <w:r>
              <w:rPr>
                <w:rFonts w:hint="default"/>
              </w:rPr>
              <w:t>0.004L</w:t>
            </w:r>
          </w:p>
        </w:tc>
        <w:tc>
          <w:tcPr>
            <w:tcW w:w="410" w:type="pct"/>
            <w:noWrap/>
            <w:vAlign w:val="center"/>
          </w:tcPr>
          <w:p w14:paraId="0526DD95">
            <w:pPr>
              <w:pStyle w:val="45"/>
              <w:rPr>
                <w:rFonts w:hint="default"/>
              </w:rPr>
            </w:pPr>
            <w:r>
              <w:rPr>
                <w:rFonts w:hint="default"/>
              </w:rPr>
              <w:t>/</w:t>
            </w:r>
          </w:p>
        </w:tc>
        <w:tc>
          <w:tcPr>
            <w:tcW w:w="505" w:type="pct"/>
            <w:noWrap/>
            <w:vAlign w:val="center"/>
          </w:tcPr>
          <w:p w14:paraId="07D2C364">
            <w:pPr>
              <w:pStyle w:val="45"/>
              <w:rPr>
                <w:rFonts w:hint="default"/>
              </w:rPr>
            </w:pPr>
            <w:r>
              <w:rPr>
                <w:rFonts w:hint="default"/>
              </w:rPr>
              <w:t>0.05</w:t>
            </w:r>
          </w:p>
        </w:tc>
        <w:tc>
          <w:tcPr>
            <w:tcW w:w="505" w:type="pct"/>
            <w:noWrap/>
            <w:vAlign w:val="center"/>
          </w:tcPr>
          <w:p w14:paraId="18C2DB43">
            <w:pPr>
              <w:pStyle w:val="45"/>
              <w:rPr>
                <w:rFonts w:hint="default"/>
              </w:rPr>
            </w:pPr>
            <w:r>
              <w:rPr>
                <w:rFonts w:hint="default"/>
              </w:rPr>
              <w:t>/</w:t>
            </w:r>
          </w:p>
        </w:tc>
        <w:tc>
          <w:tcPr>
            <w:tcW w:w="410" w:type="pct"/>
            <w:noWrap/>
            <w:vAlign w:val="center"/>
          </w:tcPr>
          <w:p w14:paraId="6209AF7E">
            <w:pPr>
              <w:pStyle w:val="45"/>
              <w:rPr>
                <w:rFonts w:hint="default"/>
              </w:rPr>
            </w:pPr>
            <w:r>
              <w:rPr>
                <w:rFonts w:hint="default"/>
              </w:rPr>
              <w:t>0</w:t>
            </w:r>
          </w:p>
        </w:tc>
        <w:tc>
          <w:tcPr>
            <w:tcW w:w="505" w:type="pct"/>
            <w:noWrap/>
            <w:vAlign w:val="center"/>
          </w:tcPr>
          <w:p w14:paraId="455AAEEB">
            <w:pPr>
              <w:pStyle w:val="45"/>
              <w:rPr>
                <w:rFonts w:hint="default"/>
              </w:rPr>
            </w:pPr>
            <w:r>
              <w:rPr>
                <w:rFonts w:hint="default"/>
              </w:rPr>
              <w:t>0</w:t>
            </w:r>
          </w:p>
        </w:tc>
        <w:tc>
          <w:tcPr>
            <w:tcW w:w="505" w:type="pct"/>
            <w:noWrap/>
            <w:vAlign w:val="center"/>
          </w:tcPr>
          <w:p w14:paraId="6557F4C1">
            <w:pPr>
              <w:pStyle w:val="45"/>
              <w:rPr>
                <w:rFonts w:hint="default"/>
              </w:rPr>
            </w:pPr>
            <w:r>
              <w:rPr>
                <w:rFonts w:hint="default"/>
              </w:rPr>
              <w:t>达标</w:t>
            </w:r>
          </w:p>
        </w:tc>
      </w:tr>
      <w:tr w14:paraId="6F179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6E5DD62D">
            <w:pPr>
              <w:pStyle w:val="45"/>
              <w:rPr>
                <w:rFonts w:hint="default"/>
              </w:rPr>
            </w:pPr>
          </w:p>
        </w:tc>
        <w:tc>
          <w:tcPr>
            <w:tcW w:w="1073" w:type="pct"/>
            <w:noWrap/>
            <w:vAlign w:val="center"/>
          </w:tcPr>
          <w:p w14:paraId="30AE6EDF">
            <w:pPr>
              <w:pStyle w:val="45"/>
              <w:rPr>
                <w:rFonts w:hint="default"/>
              </w:rPr>
            </w:pPr>
            <w:r>
              <w:rPr>
                <w:rFonts w:hint="default"/>
              </w:rPr>
              <w:t>汞</w:t>
            </w:r>
          </w:p>
        </w:tc>
        <w:tc>
          <w:tcPr>
            <w:tcW w:w="581" w:type="pct"/>
            <w:noWrap/>
            <w:vAlign w:val="center"/>
          </w:tcPr>
          <w:p w14:paraId="0C7F0DEF">
            <w:pPr>
              <w:pStyle w:val="45"/>
              <w:rPr>
                <w:rFonts w:hint="default"/>
              </w:rPr>
            </w:pPr>
            <w:r>
              <w:rPr>
                <w:rFonts w:hint="default"/>
              </w:rPr>
              <w:t>0.00004L</w:t>
            </w:r>
          </w:p>
        </w:tc>
        <w:tc>
          <w:tcPr>
            <w:tcW w:w="410" w:type="pct"/>
            <w:noWrap/>
            <w:vAlign w:val="center"/>
          </w:tcPr>
          <w:p w14:paraId="2E40297B">
            <w:pPr>
              <w:pStyle w:val="45"/>
              <w:rPr>
                <w:rFonts w:hint="default"/>
              </w:rPr>
            </w:pPr>
            <w:r>
              <w:rPr>
                <w:rFonts w:hint="default"/>
              </w:rPr>
              <w:t>/</w:t>
            </w:r>
          </w:p>
        </w:tc>
        <w:tc>
          <w:tcPr>
            <w:tcW w:w="505" w:type="pct"/>
            <w:noWrap/>
            <w:vAlign w:val="center"/>
          </w:tcPr>
          <w:p w14:paraId="2D61EAB3">
            <w:pPr>
              <w:pStyle w:val="45"/>
              <w:rPr>
                <w:rFonts w:hint="default"/>
              </w:rPr>
            </w:pPr>
            <w:r>
              <w:rPr>
                <w:rFonts w:hint="default"/>
              </w:rPr>
              <w:t>0.0001</w:t>
            </w:r>
          </w:p>
        </w:tc>
        <w:tc>
          <w:tcPr>
            <w:tcW w:w="505" w:type="pct"/>
            <w:noWrap/>
            <w:vAlign w:val="center"/>
          </w:tcPr>
          <w:p w14:paraId="4DA56F7C">
            <w:pPr>
              <w:pStyle w:val="45"/>
              <w:rPr>
                <w:rFonts w:hint="default"/>
              </w:rPr>
            </w:pPr>
            <w:r>
              <w:rPr>
                <w:rFonts w:hint="default"/>
              </w:rPr>
              <w:t>/</w:t>
            </w:r>
          </w:p>
        </w:tc>
        <w:tc>
          <w:tcPr>
            <w:tcW w:w="410" w:type="pct"/>
            <w:noWrap/>
            <w:vAlign w:val="center"/>
          </w:tcPr>
          <w:p w14:paraId="75B874E2">
            <w:pPr>
              <w:pStyle w:val="45"/>
              <w:rPr>
                <w:rFonts w:hint="default"/>
              </w:rPr>
            </w:pPr>
            <w:r>
              <w:rPr>
                <w:rFonts w:hint="default"/>
              </w:rPr>
              <w:t>0</w:t>
            </w:r>
          </w:p>
        </w:tc>
        <w:tc>
          <w:tcPr>
            <w:tcW w:w="505" w:type="pct"/>
            <w:noWrap/>
            <w:vAlign w:val="center"/>
          </w:tcPr>
          <w:p w14:paraId="0D351031">
            <w:pPr>
              <w:pStyle w:val="45"/>
              <w:rPr>
                <w:rFonts w:hint="default"/>
              </w:rPr>
            </w:pPr>
            <w:r>
              <w:rPr>
                <w:rFonts w:hint="default"/>
              </w:rPr>
              <w:t>0</w:t>
            </w:r>
          </w:p>
        </w:tc>
        <w:tc>
          <w:tcPr>
            <w:tcW w:w="505" w:type="pct"/>
            <w:noWrap/>
            <w:vAlign w:val="center"/>
          </w:tcPr>
          <w:p w14:paraId="17E8C4A5">
            <w:pPr>
              <w:pStyle w:val="45"/>
              <w:rPr>
                <w:rFonts w:hint="default"/>
              </w:rPr>
            </w:pPr>
            <w:r>
              <w:rPr>
                <w:rFonts w:hint="default"/>
              </w:rPr>
              <w:t>达标</w:t>
            </w:r>
          </w:p>
        </w:tc>
      </w:tr>
      <w:tr w14:paraId="79983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7E910AF2">
            <w:pPr>
              <w:pStyle w:val="45"/>
              <w:rPr>
                <w:rFonts w:hint="default"/>
              </w:rPr>
            </w:pPr>
          </w:p>
        </w:tc>
        <w:tc>
          <w:tcPr>
            <w:tcW w:w="1073" w:type="pct"/>
            <w:noWrap/>
            <w:vAlign w:val="center"/>
          </w:tcPr>
          <w:p w14:paraId="13C974DC">
            <w:pPr>
              <w:pStyle w:val="45"/>
              <w:rPr>
                <w:rFonts w:hint="default"/>
              </w:rPr>
            </w:pPr>
            <w:r>
              <w:rPr>
                <w:rFonts w:hint="default"/>
              </w:rPr>
              <w:t>铜</w:t>
            </w:r>
          </w:p>
        </w:tc>
        <w:tc>
          <w:tcPr>
            <w:tcW w:w="581" w:type="pct"/>
            <w:noWrap/>
            <w:vAlign w:val="center"/>
          </w:tcPr>
          <w:p w14:paraId="6269B397">
            <w:pPr>
              <w:pStyle w:val="45"/>
              <w:rPr>
                <w:rFonts w:hint="default"/>
              </w:rPr>
            </w:pPr>
            <w:r>
              <w:rPr>
                <w:rFonts w:hint="default"/>
              </w:rPr>
              <w:t>0.05L</w:t>
            </w:r>
          </w:p>
        </w:tc>
        <w:tc>
          <w:tcPr>
            <w:tcW w:w="410" w:type="pct"/>
            <w:noWrap/>
            <w:vAlign w:val="center"/>
          </w:tcPr>
          <w:p w14:paraId="63BFBD58">
            <w:pPr>
              <w:pStyle w:val="45"/>
              <w:rPr>
                <w:rFonts w:hint="default"/>
              </w:rPr>
            </w:pPr>
            <w:r>
              <w:rPr>
                <w:rFonts w:hint="default"/>
              </w:rPr>
              <w:t>/</w:t>
            </w:r>
          </w:p>
        </w:tc>
        <w:tc>
          <w:tcPr>
            <w:tcW w:w="505" w:type="pct"/>
            <w:noWrap/>
            <w:vAlign w:val="center"/>
          </w:tcPr>
          <w:p w14:paraId="62DE77B2">
            <w:pPr>
              <w:pStyle w:val="45"/>
              <w:rPr>
                <w:rFonts w:hint="default"/>
              </w:rPr>
            </w:pPr>
            <w:r>
              <w:rPr>
                <w:rFonts w:hint="default"/>
              </w:rPr>
              <w:t>1</w:t>
            </w:r>
          </w:p>
        </w:tc>
        <w:tc>
          <w:tcPr>
            <w:tcW w:w="505" w:type="pct"/>
            <w:noWrap/>
            <w:vAlign w:val="center"/>
          </w:tcPr>
          <w:p w14:paraId="22DE669A">
            <w:pPr>
              <w:pStyle w:val="45"/>
              <w:rPr>
                <w:rFonts w:hint="default"/>
              </w:rPr>
            </w:pPr>
            <w:r>
              <w:rPr>
                <w:rFonts w:hint="default"/>
              </w:rPr>
              <w:t>/</w:t>
            </w:r>
          </w:p>
        </w:tc>
        <w:tc>
          <w:tcPr>
            <w:tcW w:w="410" w:type="pct"/>
            <w:noWrap/>
            <w:vAlign w:val="center"/>
          </w:tcPr>
          <w:p w14:paraId="076A8597">
            <w:pPr>
              <w:pStyle w:val="45"/>
              <w:rPr>
                <w:rFonts w:hint="default"/>
              </w:rPr>
            </w:pPr>
            <w:r>
              <w:rPr>
                <w:rFonts w:hint="default"/>
              </w:rPr>
              <w:t>0</w:t>
            </w:r>
          </w:p>
        </w:tc>
        <w:tc>
          <w:tcPr>
            <w:tcW w:w="505" w:type="pct"/>
            <w:noWrap/>
            <w:vAlign w:val="center"/>
          </w:tcPr>
          <w:p w14:paraId="749BAC26">
            <w:pPr>
              <w:pStyle w:val="45"/>
              <w:rPr>
                <w:rFonts w:hint="default"/>
              </w:rPr>
            </w:pPr>
            <w:r>
              <w:rPr>
                <w:rFonts w:hint="default"/>
              </w:rPr>
              <w:t>0</w:t>
            </w:r>
          </w:p>
        </w:tc>
        <w:tc>
          <w:tcPr>
            <w:tcW w:w="505" w:type="pct"/>
            <w:noWrap/>
            <w:vAlign w:val="center"/>
          </w:tcPr>
          <w:p w14:paraId="5946C7FE">
            <w:pPr>
              <w:pStyle w:val="45"/>
              <w:rPr>
                <w:rFonts w:hint="default"/>
              </w:rPr>
            </w:pPr>
            <w:r>
              <w:rPr>
                <w:rFonts w:hint="default"/>
              </w:rPr>
              <w:t>达标</w:t>
            </w:r>
          </w:p>
        </w:tc>
      </w:tr>
      <w:tr w14:paraId="2A612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489474C5">
            <w:pPr>
              <w:pStyle w:val="45"/>
              <w:rPr>
                <w:rFonts w:hint="default"/>
              </w:rPr>
            </w:pPr>
          </w:p>
        </w:tc>
        <w:tc>
          <w:tcPr>
            <w:tcW w:w="1073" w:type="pct"/>
            <w:noWrap/>
            <w:vAlign w:val="center"/>
          </w:tcPr>
          <w:p w14:paraId="17627932">
            <w:pPr>
              <w:pStyle w:val="45"/>
              <w:rPr>
                <w:rFonts w:hint="default"/>
              </w:rPr>
            </w:pPr>
            <w:r>
              <w:rPr>
                <w:rFonts w:hint="default"/>
              </w:rPr>
              <w:t>锌</w:t>
            </w:r>
          </w:p>
        </w:tc>
        <w:tc>
          <w:tcPr>
            <w:tcW w:w="581" w:type="pct"/>
            <w:noWrap/>
            <w:vAlign w:val="center"/>
          </w:tcPr>
          <w:p w14:paraId="5C698291">
            <w:pPr>
              <w:pStyle w:val="45"/>
              <w:rPr>
                <w:rFonts w:hint="default"/>
              </w:rPr>
            </w:pPr>
            <w:r>
              <w:rPr>
                <w:rFonts w:hint="default"/>
              </w:rPr>
              <w:t>0.05L</w:t>
            </w:r>
          </w:p>
        </w:tc>
        <w:tc>
          <w:tcPr>
            <w:tcW w:w="410" w:type="pct"/>
            <w:noWrap/>
            <w:vAlign w:val="center"/>
          </w:tcPr>
          <w:p w14:paraId="038933DA">
            <w:pPr>
              <w:pStyle w:val="45"/>
              <w:rPr>
                <w:rFonts w:hint="default"/>
              </w:rPr>
            </w:pPr>
            <w:r>
              <w:rPr>
                <w:rFonts w:hint="default"/>
              </w:rPr>
              <w:t>/</w:t>
            </w:r>
          </w:p>
        </w:tc>
        <w:tc>
          <w:tcPr>
            <w:tcW w:w="505" w:type="pct"/>
            <w:noWrap/>
            <w:vAlign w:val="center"/>
          </w:tcPr>
          <w:p w14:paraId="21232206">
            <w:pPr>
              <w:pStyle w:val="45"/>
              <w:rPr>
                <w:rFonts w:hint="default"/>
              </w:rPr>
            </w:pPr>
            <w:r>
              <w:rPr>
                <w:rFonts w:hint="default"/>
              </w:rPr>
              <w:t>1</w:t>
            </w:r>
          </w:p>
        </w:tc>
        <w:tc>
          <w:tcPr>
            <w:tcW w:w="505" w:type="pct"/>
            <w:noWrap/>
            <w:vAlign w:val="center"/>
          </w:tcPr>
          <w:p w14:paraId="35F2CFC0">
            <w:pPr>
              <w:pStyle w:val="45"/>
              <w:rPr>
                <w:rFonts w:hint="default"/>
              </w:rPr>
            </w:pPr>
            <w:r>
              <w:rPr>
                <w:rFonts w:hint="default"/>
              </w:rPr>
              <w:t>/</w:t>
            </w:r>
          </w:p>
        </w:tc>
        <w:tc>
          <w:tcPr>
            <w:tcW w:w="410" w:type="pct"/>
            <w:noWrap/>
            <w:vAlign w:val="center"/>
          </w:tcPr>
          <w:p w14:paraId="7BABA866">
            <w:pPr>
              <w:pStyle w:val="45"/>
              <w:rPr>
                <w:rFonts w:hint="default"/>
              </w:rPr>
            </w:pPr>
            <w:r>
              <w:rPr>
                <w:rFonts w:hint="default"/>
              </w:rPr>
              <w:t>0</w:t>
            </w:r>
          </w:p>
        </w:tc>
        <w:tc>
          <w:tcPr>
            <w:tcW w:w="505" w:type="pct"/>
            <w:noWrap/>
            <w:vAlign w:val="center"/>
          </w:tcPr>
          <w:p w14:paraId="45611223">
            <w:pPr>
              <w:pStyle w:val="45"/>
              <w:rPr>
                <w:rFonts w:hint="default"/>
              </w:rPr>
            </w:pPr>
            <w:r>
              <w:rPr>
                <w:rFonts w:hint="default"/>
              </w:rPr>
              <w:t>0</w:t>
            </w:r>
          </w:p>
        </w:tc>
        <w:tc>
          <w:tcPr>
            <w:tcW w:w="505" w:type="pct"/>
            <w:noWrap/>
            <w:vAlign w:val="center"/>
          </w:tcPr>
          <w:p w14:paraId="3BAC1525">
            <w:pPr>
              <w:pStyle w:val="45"/>
              <w:rPr>
                <w:rFonts w:hint="default"/>
              </w:rPr>
            </w:pPr>
            <w:r>
              <w:rPr>
                <w:rFonts w:hint="default"/>
              </w:rPr>
              <w:t>达标</w:t>
            </w:r>
          </w:p>
        </w:tc>
      </w:tr>
      <w:tr w14:paraId="6601A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55ACC73F">
            <w:pPr>
              <w:pStyle w:val="45"/>
              <w:rPr>
                <w:rFonts w:hint="default"/>
              </w:rPr>
            </w:pPr>
          </w:p>
        </w:tc>
        <w:tc>
          <w:tcPr>
            <w:tcW w:w="1073" w:type="pct"/>
            <w:noWrap/>
            <w:vAlign w:val="center"/>
          </w:tcPr>
          <w:p w14:paraId="758DE8A1">
            <w:pPr>
              <w:pStyle w:val="45"/>
              <w:rPr>
                <w:rFonts w:hint="default"/>
              </w:rPr>
            </w:pPr>
            <w:r>
              <w:rPr>
                <w:rFonts w:hint="default"/>
              </w:rPr>
              <w:t>镍</w:t>
            </w:r>
          </w:p>
        </w:tc>
        <w:tc>
          <w:tcPr>
            <w:tcW w:w="581" w:type="pct"/>
            <w:noWrap/>
            <w:vAlign w:val="center"/>
          </w:tcPr>
          <w:p w14:paraId="10A51EE2">
            <w:pPr>
              <w:pStyle w:val="45"/>
              <w:rPr>
                <w:rFonts w:hint="default"/>
              </w:rPr>
            </w:pPr>
            <w:r>
              <w:rPr>
                <w:rFonts w:hint="default"/>
              </w:rPr>
              <w:t>0.005L</w:t>
            </w:r>
          </w:p>
        </w:tc>
        <w:tc>
          <w:tcPr>
            <w:tcW w:w="410" w:type="pct"/>
            <w:noWrap/>
            <w:vAlign w:val="center"/>
          </w:tcPr>
          <w:p w14:paraId="5043AD64">
            <w:pPr>
              <w:pStyle w:val="45"/>
              <w:rPr>
                <w:rFonts w:hint="default"/>
              </w:rPr>
            </w:pPr>
            <w:r>
              <w:rPr>
                <w:rFonts w:hint="default"/>
              </w:rPr>
              <w:t>/</w:t>
            </w:r>
          </w:p>
        </w:tc>
        <w:tc>
          <w:tcPr>
            <w:tcW w:w="505" w:type="pct"/>
            <w:noWrap/>
            <w:vAlign w:val="center"/>
          </w:tcPr>
          <w:p w14:paraId="78CAE744">
            <w:pPr>
              <w:pStyle w:val="45"/>
              <w:rPr>
                <w:rFonts w:hint="default"/>
              </w:rPr>
            </w:pPr>
            <w:r>
              <w:rPr>
                <w:rFonts w:hint="default"/>
              </w:rPr>
              <w:t>0.02</w:t>
            </w:r>
          </w:p>
        </w:tc>
        <w:tc>
          <w:tcPr>
            <w:tcW w:w="505" w:type="pct"/>
            <w:noWrap/>
            <w:vAlign w:val="center"/>
          </w:tcPr>
          <w:p w14:paraId="0FE5534C">
            <w:pPr>
              <w:pStyle w:val="45"/>
              <w:rPr>
                <w:rFonts w:hint="default"/>
              </w:rPr>
            </w:pPr>
            <w:r>
              <w:rPr>
                <w:rFonts w:hint="default"/>
              </w:rPr>
              <w:t>/</w:t>
            </w:r>
          </w:p>
        </w:tc>
        <w:tc>
          <w:tcPr>
            <w:tcW w:w="410" w:type="pct"/>
            <w:noWrap/>
            <w:vAlign w:val="center"/>
          </w:tcPr>
          <w:p w14:paraId="1ABEE53D">
            <w:pPr>
              <w:pStyle w:val="45"/>
              <w:rPr>
                <w:rFonts w:hint="default"/>
              </w:rPr>
            </w:pPr>
            <w:r>
              <w:rPr>
                <w:rFonts w:hint="default"/>
              </w:rPr>
              <w:t>0</w:t>
            </w:r>
          </w:p>
        </w:tc>
        <w:tc>
          <w:tcPr>
            <w:tcW w:w="505" w:type="pct"/>
            <w:noWrap/>
            <w:vAlign w:val="center"/>
          </w:tcPr>
          <w:p w14:paraId="68955148">
            <w:pPr>
              <w:pStyle w:val="45"/>
              <w:rPr>
                <w:rFonts w:hint="default"/>
              </w:rPr>
            </w:pPr>
            <w:r>
              <w:rPr>
                <w:rFonts w:hint="default"/>
              </w:rPr>
              <w:t>0</w:t>
            </w:r>
          </w:p>
        </w:tc>
        <w:tc>
          <w:tcPr>
            <w:tcW w:w="505" w:type="pct"/>
            <w:noWrap/>
            <w:vAlign w:val="center"/>
          </w:tcPr>
          <w:p w14:paraId="08AF1BF1">
            <w:pPr>
              <w:pStyle w:val="45"/>
              <w:rPr>
                <w:rFonts w:hint="default"/>
              </w:rPr>
            </w:pPr>
            <w:r>
              <w:rPr>
                <w:rFonts w:hint="default"/>
              </w:rPr>
              <w:t>达标</w:t>
            </w:r>
          </w:p>
        </w:tc>
      </w:tr>
      <w:tr w14:paraId="7AAB8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5967B3C3">
            <w:pPr>
              <w:pStyle w:val="45"/>
              <w:rPr>
                <w:rFonts w:hint="default"/>
              </w:rPr>
            </w:pPr>
          </w:p>
        </w:tc>
        <w:tc>
          <w:tcPr>
            <w:tcW w:w="1073" w:type="pct"/>
            <w:noWrap/>
            <w:vAlign w:val="center"/>
          </w:tcPr>
          <w:p w14:paraId="2D3385F4">
            <w:pPr>
              <w:pStyle w:val="45"/>
              <w:rPr>
                <w:rFonts w:hint="default"/>
              </w:rPr>
            </w:pPr>
            <w:r>
              <w:rPr>
                <w:rFonts w:hint="default"/>
              </w:rPr>
              <w:t>铊</w:t>
            </w:r>
          </w:p>
        </w:tc>
        <w:tc>
          <w:tcPr>
            <w:tcW w:w="581" w:type="pct"/>
            <w:noWrap/>
            <w:vAlign w:val="center"/>
          </w:tcPr>
          <w:p w14:paraId="15474443">
            <w:pPr>
              <w:pStyle w:val="45"/>
              <w:rPr>
                <w:rFonts w:hint="default"/>
              </w:rPr>
            </w:pPr>
            <w:r>
              <w:rPr>
                <w:rFonts w:hint="default"/>
              </w:rPr>
              <w:t>0.00003L</w:t>
            </w:r>
          </w:p>
        </w:tc>
        <w:tc>
          <w:tcPr>
            <w:tcW w:w="410" w:type="pct"/>
            <w:noWrap/>
            <w:vAlign w:val="center"/>
          </w:tcPr>
          <w:p w14:paraId="15864D0C">
            <w:pPr>
              <w:pStyle w:val="45"/>
              <w:rPr>
                <w:rFonts w:hint="default"/>
              </w:rPr>
            </w:pPr>
            <w:r>
              <w:rPr>
                <w:rFonts w:hint="default"/>
              </w:rPr>
              <w:t>/</w:t>
            </w:r>
          </w:p>
        </w:tc>
        <w:tc>
          <w:tcPr>
            <w:tcW w:w="505" w:type="pct"/>
            <w:noWrap/>
            <w:vAlign w:val="center"/>
          </w:tcPr>
          <w:p w14:paraId="0DA576C3">
            <w:pPr>
              <w:pStyle w:val="45"/>
              <w:rPr>
                <w:rFonts w:hint="default"/>
              </w:rPr>
            </w:pPr>
            <w:r>
              <w:rPr>
                <w:rFonts w:hint="default"/>
              </w:rPr>
              <w:t>0.0001</w:t>
            </w:r>
          </w:p>
        </w:tc>
        <w:tc>
          <w:tcPr>
            <w:tcW w:w="505" w:type="pct"/>
            <w:noWrap/>
            <w:vAlign w:val="center"/>
          </w:tcPr>
          <w:p w14:paraId="3E8C2B29">
            <w:pPr>
              <w:pStyle w:val="45"/>
              <w:rPr>
                <w:rFonts w:hint="default"/>
              </w:rPr>
            </w:pPr>
            <w:r>
              <w:rPr>
                <w:rFonts w:hint="default"/>
              </w:rPr>
              <w:t>/</w:t>
            </w:r>
          </w:p>
        </w:tc>
        <w:tc>
          <w:tcPr>
            <w:tcW w:w="410" w:type="pct"/>
            <w:noWrap/>
            <w:vAlign w:val="center"/>
          </w:tcPr>
          <w:p w14:paraId="1E65532F">
            <w:pPr>
              <w:pStyle w:val="45"/>
              <w:rPr>
                <w:rFonts w:hint="default"/>
              </w:rPr>
            </w:pPr>
            <w:r>
              <w:rPr>
                <w:rFonts w:hint="default"/>
              </w:rPr>
              <w:t>0</w:t>
            </w:r>
          </w:p>
        </w:tc>
        <w:tc>
          <w:tcPr>
            <w:tcW w:w="505" w:type="pct"/>
            <w:noWrap/>
            <w:vAlign w:val="center"/>
          </w:tcPr>
          <w:p w14:paraId="6A08D2E2">
            <w:pPr>
              <w:pStyle w:val="45"/>
              <w:rPr>
                <w:rFonts w:hint="default"/>
              </w:rPr>
            </w:pPr>
            <w:r>
              <w:rPr>
                <w:rFonts w:hint="default"/>
              </w:rPr>
              <w:t>0</w:t>
            </w:r>
          </w:p>
        </w:tc>
        <w:tc>
          <w:tcPr>
            <w:tcW w:w="505" w:type="pct"/>
            <w:noWrap/>
            <w:vAlign w:val="center"/>
          </w:tcPr>
          <w:p w14:paraId="5E42167D">
            <w:pPr>
              <w:pStyle w:val="45"/>
              <w:rPr>
                <w:rFonts w:hint="default"/>
              </w:rPr>
            </w:pPr>
            <w:r>
              <w:rPr>
                <w:rFonts w:hint="default"/>
              </w:rPr>
              <w:t>达标</w:t>
            </w:r>
          </w:p>
        </w:tc>
      </w:tr>
      <w:tr w14:paraId="5705C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255CD998">
            <w:pPr>
              <w:pStyle w:val="45"/>
              <w:rPr>
                <w:rFonts w:hint="default"/>
              </w:rPr>
            </w:pPr>
          </w:p>
        </w:tc>
        <w:tc>
          <w:tcPr>
            <w:tcW w:w="1073" w:type="pct"/>
            <w:noWrap/>
            <w:vAlign w:val="center"/>
          </w:tcPr>
          <w:p w14:paraId="3BFBB276">
            <w:pPr>
              <w:pStyle w:val="45"/>
              <w:rPr>
                <w:rFonts w:hint="default"/>
              </w:rPr>
            </w:pPr>
            <w:r>
              <w:rPr>
                <w:rFonts w:hint="default"/>
              </w:rPr>
              <w:t>粪大肠菌群（MPN/L）</w:t>
            </w:r>
          </w:p>
        </w:tc>
        <w:tc>
          <w:tcPr>
            <w:tcW w:w="581" w:type="pct"/>
            <w:noWrap/>
            <w:vAlign w:val="center"/>
          </w:tcPr>
          <w:p w14:paraId="4B0220F5">
            <w:pPr>
              <w:pStyle w:val="45"/>
              <w:rPr>
                <w:rFonts w:hint="default"/>
              </w:rPr>
            </w:pPr>
            <w:r>
              <w:rPr>
                <w:rFonts w:hint="default"/>
              </w:rPr>
              <w:t>360-420</w:t>
            </w:r>
          </w:p>
        </w:tc>
        <w:tc>
          <w:tcPr>
            <w:tcW w:w="410" w:type="pct"/>
            <w:noWrap/>
            <w:vAlign w:val="center"/>
          </w:tcPr>
          <w:p w14:paraId="61E50754">
            <w:pPr>
              <w:pStyle w:val="45"/>
              <w:rPr>
                <w:rFonts w:hint="default"/>
              </w:rPr>
            </w:pPr>
            <w:r>
              <w:rPr>
                <w:rFonts w:hint="default"/>
              </w:rPr>
              <w:t>383.33</w:t>
            </w:r>
          </w:p>
        </w:tc>
        <w:tc>
          <w:tcPr>
            <w:tcW w:w="505" w:type="pct"/>
            <w:noWrap/>
            <w:vAlign w:val="center"/>
          </w:tcPr>
          <w:p w14:paraId="7B90460A">
            <w:pPr>
              <w:pStyle w:val="45"/>
              <w:rPr>
                <w:rFonts w:hint="default"/>
              </w:rPr>
            </w:pPr>
            <w:r>
              <w:rPr>
                <w:rFonts w:hint="default"/>
              </w:rPr>
              <w:t>10000</w:t>
            </w:r>
          </w:p>
        </w:tc>
        <w:tc>
          <w:tcPr>
            <w:tcW w:w="505" w:type="pct"/>
            <w:noWrap/>
            <w:vAlign w:val="center"/>
          </w:tcPr>
          <w:p w14:paraId="0A1DE6F2">
            <w:pPr>
              <w:pStyle w:val="45"/>
              <w:rPr>
                <w:rFonts w:hint="default"/>
              </w:rPr>
            </w:pPr>
            <w:r>
              <w:rPr>
                <w:rFonts w:hint="default"/>
              </w:rPr>
              <w:t>0.042</w:t>
            </w:r>
          </w:p>
        </w:tc>
        <w:tc>
          <w:tcPr>
            <w:tcW w:w="410" w:type="pct"/>
            <w:noWrap/>
            <w:vAlign w:val="center"/>
          </w:tcPr>
          <w:p w14:paraId="3EC0F7A4">
            <w:pPr>
              <w:pStyle w:val="45"/>
              <w:rPr>
                <w:rFonts w:hint="default"/>
              </w:rPr>
            </w:pPr>
            <w:r>
              <w:rPr>
                <w:rFonts w:hint="default"/>
              </w:rPr>
              <w:t>0</w:t>
            </w:r>
          </w:p>
        </w:tc>
        <w:tc>
          <w:tcPr>
            <w:tcW w:w="505" w:type="pct"/>
            <w:noWrap/>
            <w:vAlign w:val="center"/>
          </w:tcPr>
          <w:p w14:paraId="2977DB95">
            <w:pPr>
              <w:pStyle w:val="45"/>
              <w:rPr>
                <w:rFonts w:hint="default"/>
              </w:rPr>
            </w:pPr>
            <w:r>
              <w:rPr>
                <w:rFonts w:hint="default"/>
              </w:rPr>
              <w:t>0</w:t>
            </w:r>
          </w:p>
        </w:tc>
        <w:tc>
          <w:tcPr>
            <w:tcW w:w="505" w:type="pct"/>
            <w:noWrap/>
            <w:vAlign w:val="center"/>
          </w:tcPr>
          <w:p w14:paraId="36295B32">
            <w:pPr>
              <w:pStyle w:val="45"/>
              <w:rPr>
                <w:rFonts w:hint="default"/>
              </w:rPr>
            </w:pPr>
            <w:r>
              <w:rPr>
                <w:rFonts w:hint="default"/>
              </w:rPr>
              <w:t>达标</w:t>
            </w:r>
          </w:p>
        </w:tc>
      </w:tr>
      <w:tr w14:paraId="70790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4084D14D">
            <w:pPr>
              <w:pStyle w:val="45"/>
              <w:rPr>
                <w:rFonts w:hint="default"/>
              </w:rPr>
            </w:pPr>
          </w:p>
        </w:tc>
        <w:tc>
          <w:tcPr>
            <w:tcW w:w="1073" w:type="pct"/>
            <w:noWrap/>
            <w:vAlign w:val="center"/>
          </w:tcPr>
          <w:p w14:paraId="51F9A300">
            <w:pPr>
              <w:pStyle w:val="45"/>
              <w:rPr>
                <w:rFonts w:hint="default"/>
              </w:rPr>
            </w:pPr>
            <w:r>
              <w:rPr>
                <w:rFonts w:hint="default"/>
              </w:rPr>
              <w:t>氯化物</w:t>
            </w:r>
          </w:p>
        </w:tc>
        <w:tc>
          <w:tcPr>
            <w:tcW w:w="581" w:type="pct"/>
            <w:noWrap/>
            <w:vAlign w:val="center"/>
          </w:tcPr>
          <w:p w14:paraId="6250A135">
            <w:pPr>
              <w:pStyle w:val="45"/>
              <w:rPr>
                <w:rFonts w:hint="default"/>
              </w:rPr>
            </w:pPr>
            <w:r>
              <w:rPr>
                <w:rFonts w:hint="default"/>
              </w:rPr>
              <w:t>9.08-9.32</w:t>
            </w:r>
          </w:p>
        </w:tc>
        <w:tc>
          <w:tcPr>
            <w:tcW w:w="410" w:type="pct"/>
            <w:noWrap/>
            <w:vAlign w:val="center"/>
          </w:tcPr>
          <w:p w14:paraId="2EC459FA">
            <w:pPr>
              <w:pStyle w:val="45"/>
              <w:rPr>
                <w:rFonts w:hint="default"/>
              </w:rPr>
            </w:pPr>
            <w:r>
              <w:rPr>
                <w:rFonts w:hint="default"/>
              </w:rPr>
              <w:t>9.24</w:t>
            </w:r>
          </w:p>
        </w:tc>
        <w:tc>
          <w:tcPr>
            <w:tcW w:w="505" w:type="pct"/>
            <w:noWrap/>
            <w:vAlign w:val="center"/>
          </w:tcPr>
          <w:p w14:paraId="442EDA82">
            <w:pPr>
              <w:pStyle w:val="45"/>
              <w:rPr>
                <w:rFonts w:hint="default"/>
              </w:rPr>
            </w:pPr>
            <w:r>
              <w:rPr>
                <w:rFonts w:hint="default"/>
              </w:rPr>
              <w:t>250</w:t>
            </w:r>
          </w:p>
        </w:tc>
        <w:tc>
          <w:tcPr>
            <w:tcW w:w="505" w:type="pct"/>
            <w:noWrap/>
            <w:vAlign w:val="center"/>
          </w:tcPr>
          <w:p w14:paraId="23DE4AF8">
            <w:pPr>
              <w:pStyle w:val="45"/>
              <w:rPr>
                <w:rFonts w:hint="default"/>
              </w:rPr>
            </w:pPr>
            <w:r>
              <w:rPr>
                <w:rFonts w:hint="default"/>
              </w:rPr>
              <w:t>0.037</w:t>
            </w:r>
          </w:p>
        </w:tc>
        <w:tc>
          <w:tcPr>
            <w:tcW w:w="410" w:type="pct"/>
            <w:noWrap/>
            <w:vAlign w:val="center"/>
          </w:tcPr>
          <w:p w14:paraId="0BCE53A0">
            <w:pPr>
              <w:pStyle w:val="45"/>
              <w:rPr>
                <w:rFonts w:hint="default"/>
              </w:rPr>
            </w:pPr>
            <w:r>
              <w:rPr>
                <w:rFonts w:hint="default"/>
              </w:rPr>
              <w:t>0</w:t>
            </w:r>
          </w:p>
        </w:tc>
        <w:tc>
          <w:tcPr>
            <w:tcW w:w="505" w:type="pct"/>
            <w:noWrap/>
            <w:vAlign w:val="center"/>
          </w:tcPr>
          <w:p w14:paraId="77CD3414">
            <w:pPr>
              <w:pStyle w:val="45"/>
              <w:rPr>
                <w:rFonts w:hint="default"/>
              </w:rPr>
            </w:pPr>
            <w:r>
              <w:rPr>
                <w:rFonts w:hint="default"/>
              </w:rPr>
              <w:t>0</w:t>
            </w:r>
          </w:p>
        </w:tc>
        <w:tc>
          <w:tcPr>
            <w:tcW w:w="505" w:type="pct"/>
            <w:noWrap/>
            <w:vAlign w:val="center"/>
          </w:tcPr>
          <w:p w14:paraId="192B3363">
            <w:pPr>
              <w:pStyle w:val="45"/>
              <w:rPr>
                <w:rFonts w:hint="default"/>
              </w:rPr>
            </w:pPr>
            <w:r>
              <w:rPr>
                <w:rFonts w:hint="default"/>
              </w:rPr>
              <w:t>达标</w:t>
            </w:r>
          </w:p>
        </w:tc>
      </w:tr>
      <w:tr w14:paraId="55FCC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17B53681">
            <w:pPr>
              <w:pStyle w:val="45"/>
              <w:rPr>
                <w:rFonts w:hint="default"/>
              </w:rPr>
            </w:pPr>
          </w:p>
        </w:tc>
        <w:tc>
          <w:tcPr>
            <w:tcW w:w="1073" w:type="pct"/>
            <w:noWrap/>
            <w:vAlign w:val="center"/>
          </w:tcPr>
          <w:p w14:paraId="25A825AD">
            <w:pPr>
              <w:pStyle w:val="45"/>
              <w:rPr>
                <w:rFonts w:hint="default"/>
              </w:rPr>
            </w:pPr>
            <w:r>
              <w:rPr>
                <w:rFonts w:hint="default"/>
              </w:rPr>
              <w:t>氰化物</w:t>
            </w:r>
          </w:p>
        </w:tc>
        <w:tc>
          <w:tcPr>
            <w:tcW w:w="581" w:type="pct"/>
            <w:noWrap/>
            <w:vAlign w:val="center"/>
          </w:tcPr>
          <w:p w14:paraId="34A70646">
            <w:pPr>
              <w:pStyle w:val="45"/>
              <w:rPr>
                <w:rFonts w:hint="default"/>
              </w:rPr>
            </w:pPr>
            <w:r>
              <w:rPr>
                <w:rFonts w:hint="default"/>
              </w:rPr>
              <w:t>0.004L</w:t>
            </w:r>
          </w:p>
        </w:tc>
        <w:tc>
          <w:tcPr>
            <w:tcW w:w="410" w:type="pct"/>
            <w:noWrap/>
            <w:vAlign w:val="center"/>
          </w:tcPr>
          <w:p w14:paraId="4779937F">
            <w:pPr>
              <w:pStyle w:val="45"/>
              <w:rPr>
                <w:rFonts w:hint="default"/>
              </w:rPr>
            </w:pPr>
            <w:r>
              <w:rPr>
                <w:rFonts w:hint="default"/>
              </w:rPr>
              <w:t>/</w:t>
            </w:r>
          </w:p>
        </w:tc>
        <w:tc>
          <w:tcPr>
            <w:tcW w:w="505" w:type="pct"/>
            <w:noWrap/>
            <w:vAlign w:val="center"/>
          </w:tcPr>
          <w:p w14:paraId="0931B89F">
            <w:pPr>
              <w:pStyle w:val="45"/>
              <w:rPr>
                <w:rFonts w:hint="default"/>
              </w:rPr>
            </w:pPr>
            <w:r>
              <w:rPr>
                <w:rFonts w:hint="default"/>
              </w:rPr>
              <w:t>0.2</w:t>
            </w:r>
          </w:p>
        </w:tc>
        <w:tc>
          <w:tcPr>
            <w:tcW w:w="505" w:type="pct"/>
            <w:noWrap/>
            <w:vAlign w:val="center"/>
          </w:tcPr>
          <w:p w14:paraId="2DF10C57">
            <w:pPr>
              <w:pStyle w:val="45"/>
              <w:rPr>
                <w:rFonts w:hint="default"/>
              </w:rPr>
            </w:pPr>
            <w:r>
              <w:rPr>
                <w:rFonts w:hint="default"/>
              </w:rPr>
              <w:t>/</w:t>
            </w:r>
          </w:p>
        </w:tc>
        <w:tc>
          <w:tcPr>
            <w:tcW w:w="410" w:type="pct"/>
            <w:noWrap/>
            <w:vAlign w:val="center"/>
          </w:tcPr>
          <w:p w14:paraId="1F1A3A3D">
            <w:pPr>
              <w:pStyle w:val="45"/>
              <w:rPr>
                <w:rFonts w:hint="default"/>
              </w:rPr>
            </w:pPr>
            <w:r>
              <w:rPr>
                <w:rFonts w:hint="default"/>
              </w:rPr>
              <w:t>0</w:t>
            </w:r>
          </w:p>
        </w:tc>
        <w:tc>
          <w:tcPr>
            <w:tcW w:w="505" w:type="pct"/>
            <w:noWrap/>
            <w:vAlign w:val="center"/>
          </w:tcPr>
          <w:p w14:paraId="5776A185">
            <w:pPr>
              <w:pStyle w:val="45"/>
              <w:rPr>
                <w:rFonts w:hint="default"/>
              </w:rPr>
            </w:pPr>
            <w:r>
              <w:rPr>
                <w:rFonts w:hint="default"/>
              </w:rPr>
              <w:t>0</w:t>
            </w:r>
          </w:p>
        </w:tc>
        <w:tc>
          <w:tcPr>
            <w:tcW w:w="505" w:type="pct"/>
            <w:noWrap/>
            <w:vAlign w:val="center"/>
          </w:tcPr>
          <w:p w14:paraId="0847A0FF">
            <w:pPr>
              <w:pStyle w:val="45"/>
              <w:rPr>
                <w:rFonts w:hint="default"/>
              </w:rPr>
            </w:pPr>
            <w:r>
              <w:rPr>
                <w:rFonts w:hint="default"/>
              </w:rPr>
              <w:t>达标</w:t>
            </w:r>
          </w:p>
        </w:tc>
      </w:tr>
      <w:tr w14:paraId="18D12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11173D73">
            <w:pPr>
              <w:pStyle w:val="45"/>
              <w:rPr>
                <w:rFonts w:hint="default"/>
              </w:rPr>
            </w:pPr>
          </w:p>
        </w:tc>
        <w:tc>
          <w:tcPr>
            <w:tcW w:w="1073" w:type="pct"/>
            <w:noWrap/>
            <w:vAlign w:val="center"/>
          </w:tcPr>
          <w:p w14:paraId="71A409EC">
            <w:pPr>
              <w:pStyle w:val="45"/>
              <w:rPr>
                <w:rFonts w:hint="default"/>
              </w:rPr>
            </w:pPr>
            <w:r>
              <w:rPr>
                <w:rFonts w:hint="default"/>
              </w:rPr>
              <w:t>甲苯</w:t>
            </w:r>
          </w:p>
        </w:tc>
        <w:tc>
          <w:tcPr>
            <w:tcW w:w="581" w:type="pct"/>
            <w:noWrap/>
            <w:vAlign w:val="center"/>
          </w:tcPr>
          <w:p w14:paraId="1932C8BB">
            <w:pPr>
              <w:pStyle w:val="45"/>
              <w:rPr>
                <w:rFonts w:hint="default"/>
              </w:rPr>
            </w:pPr>
            <w:r>
              <w:rPr>
                <w:rFonts w:hint="default"/>
              </w:rPr>
              <w:t>0.002L</w:t>
            </w:r>
          </w:p>
        </w:tc>
        <w:tc>
          <w:tcPr>
            <w:tcW w:w="410" w:type="pct"/>
            <w:noWrap/>
            <w:vAlign w:val="center"/>
          </w:tcPr>
          <w:p w14:paraId="3E4F0AAE">
            <w:pPr>
              <w:pStyle w:val="45"/>
              <w:rPr>
                <w:rFonts w:hint="default"/>
              </w:rPr>
            </w:pPr>
            <w:r>
              <w:rPr>
                <w:rFonts w:hint="default"/>
              </w:rPr>
              <w:t>/</w:t>
            </w:r>
          </w:p>
        </w:tc>
        <w:tc>
          <w:tcPr>
            <w:tcW w:w="505" w:type="pct"/>
            <w:noWrap/>
            <w:vAlign w:val="center"/>
          </w:tcPr>
          <w:p w14:paraId="4318731C">
            <w:pPr>
              <w:pStyle w:val="45"/>
              <w:rPr>
                <w:rFonts w:hint="default"/>
              </w:rPr>
            </w:pPr>
            <w:r>
              <w:rPr>
                <w:rFonts w:hint="default"/>
              </w:rPr>
              <w:t>0.7</w:t>
            </w:r>
          </w:p>
        </w:tc>
        <w:tc>
          <w:tcPr>
            <w:tcW w:w="505" w:type="pct"/>
            <w:noWrap/>
            <w:vAlign w:val="center"/>
          </w:tcPr>
          <w:p w14:paraId="4CAC92CB">
            <w:pPr>
              <w:pStyle w:val="45"/>
              <w:rPr>
                <w:rFonts w:hint="default"/>
              </w:rPr>
            </w:pPr>
            <w:r>
              <w:rPr>
                <w:rFonts w:hint="default"/>
              </w:rPr>
              <w:t>/</w:t>
            </w:r>
          </w:p>
        </w:tc>
        <w:tc>
          <w:tcPr>
            <w:tcW w:w="410" w:type="pct"/>
            <w:noWrap/>
            <w:vAlign w:val="center"/>
          </w:tcPr>
          <w:p w14:paraId="01C82332">
            <w:pPr>
              <w:pStyle w:val="45"/>
              <w:rPr>
                <w:rFonts w:hint="default"/>
              </w:rPr>
            </w:pPr>
            <w:r>
              <w:rPr>
                <w:rFonts w:hint="default"/>
              </w:rPr>
              <w:t>0</w:t>
            </w:r>
          </w:p>
        </w:tc>
        <w:tc>
          <w:tcPr>
            <w:tcW w:w="505" w:type="pct"/>
            <w:noWrap/>
            <w:vAlign w:val="center"/>
          </w:tcPr>
          <w:p w14:paraId="265AA84D">
            <w:pPr>
              <w:pStyle w:val="45"/>
              <w:rPr>
                <w:rFonts w:hint="default"/>
              </w:rPr>
            </w:pPr>
            <w:r>
              <w:rPr>
                <w:rFonts w:hint="default"/>
              </w:rPr>
              <w:t>0</w:t>
            </w:r>
          </w:p>
        </w:tc>
        <w:tc>
          <w:tcPr>
            <w:tcW w:w="505" w:type="pct"/>
            <w:noWrap/>
            <w:vAlign w:val="center"/>
          </w:tcPr>
          <w:p w14:paraId="762ED712">
            <w:pPr>
              <w:pStyle w:val="45"/>
              <w:rPr>
                <w:rFonts w:hint="default"/>
              </w:rPr>
            </w:pPr>
            <w:r>
              <w:rPr>
                <w:rFonts w:hint="default"/>
              </w:rPr>
              <w:t>达标</w:t>
            </w:r>
          </w:p>
        </w:tc>
      </w:tr>
      <w:tr w14:paraId="31BF8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03A9CBF3">
            <w:pPr>
              <w:pStyle w:val="45"/>
              <w:rPr>
                <w:rFonts w:hint="default"/>
              </w:rPr>
            </w:pPr>
          </w:p>
        </w:tc>
        <w:tc>
          <w:tcPr>
            <w:tcW w:w="1073" w:type="pct"/>
            <w:noWrap/>
            <w:vAlign w:val="center"/>
          </w:tcPr>
          <w:p w14:paraId="255726A6">
            <w:pPr>
              <w:pStyle w:val="45"/>
              <w:rPr>
                <w:rFonts w:hint="default"/>
              </w:rPr>
            </w:pPr>
            <w:r>
              <w:rPr>
                <w:rFonts w:hint="default"/>
              </w:rPr>
              <w:t>二甲苯</w:t>
            </w:r>
          </w:p>
        </w:tc>
        <w:tc>
          <w:tcPr>
            <w:tcW w:w="581" w:type="pct"/>
            <w:noWrap/>
            <w:vAlign w:val="center"/>
          </w:tcPr>
          <w:p w14:paraId="45E4F37D">
            <w:pPr>
              <w:pStyle w:val="45"/>
              <w:rPr>
                <w:rFonts w:hint="default"/>
              </w:rPr>
            </w:pPr>
            <w:r>
              <w:rPr>
                <w:rFonts w:hint="default"/>
              </w:rPr>
              <w:t>0.002L</w:t>
            </w:r>
          </w:p>
        </w:tc>
        <w:tc>
          <w:tcPr>
            <w:tcW w:w="410" w:type="pct"/>
            <w:noWrap/>
            <w:vAlign w:val="center"/>
          </w:tcPr>
          <w:p w14:paraId="46C7798C">
            <w:pPr>
              <w:pStyle w:val="45"/>
              <w:rPr>
                <w:rFonts w:hint="default"/>
              </w:rPr>
            </w:pPr>
            <w:r>
              <w:rPr>
                <w:rFonts w:hint="default"/>
              </w:rPr>
              <w:t>/</w:t>
            </w:r>
          </w:p>
        </w:tc>
        <w:tc>
          <w:tcPr>
            <w:tcW w:w="505" w:type="pct"/>
            <w:noWrap/>
            <w:vAlign w:val="center"/>
          </w:tcPr>
          <w:p w14:paraId="686EF0B5">
            <w:pPr>
              <w:pStyle w:val="45"/>
              <w:rPr>
                <w:rFonts w:hint="default"/>
              </w:rPr>
            </w:pPr>
            <w:r>
              <w:rPr>
                <w:rFonts w:hint="default"/>
              </w:rPr>
              <w:t>0.5</w:t>
            </w:r>
          </w:p>
        </w:tc>
        <w:tc>
          <w:tcPr>
            <w:tcW w:w="505" w:type="pct"/>
            <w:noWrap/>
            <w:vAlign w:val="center"/>
          </w:tcPr>
          <w:p w14:paraId="362B695A">
            <w:pPr>
              <w:pStyle w:val="45"/>
              <w:rPr>
                <w:rFonts w:hint="default"/>
              </w:rPr>
            </w:pPr>
            <w:r>
              <w:rPr>
                <w:rFonts w:hint="default"/>
              </w:rPr>
              <w:t>/</w:t>
            </w:r>
          </w:p>
        </w:tc>
        <w:tc>
          <w:tcPr>
            <w:tcW w:w="410" w:type="pct"/>
            <w:noWrap/>
            <w:vAlign w:val="center"/>
          </w:tcPr>
          <w:p w14:paraId="3CDE67FB">
            <w:pPr>
              <w:pStyle w:val="45"/>
              <w:rPr>
                <w:rFonts w:hint="default"/>
              </w:rPr>
            </w:pPr>
            <w:r>
              <w:rPr>
                <w:rFonts w:hint="default"/>
              </w:rPr>
              <w:t>0</w:t>
            </w:r>
          </w:p>
        </w:tc>
        <w:tc>
          <w:tcPr>
            <w:tcW w:w="505" w:type="pct"/>
            <w:noWrap/>
            <w:vAlign w:val="center"/>
          </w:tcPr>
          <w:p w14:paraId="6C5263ED">
            <w:pPr>
              <w:pStyle w:val="45"/>
              <w:rPr>
                <w:rFonts w:hint="default"/>
              </w:rPr>
            </w:pPr>
            <w:r>
              <w:rPr>
                <w:rFonts w:hint="default"/>
              </w:rPr>
              <w:t>0</w:t>
            </w:r>
          </w:p>
        </w:tc>
        <w:tc>
          <w:tcPr>
            <w:tcW w:w="505" w:type="pct"/>
            <w:noWrap/>
            <w:vAlign w:val="center"/>
          </w:tcPr>
          <w:p w14:paraId="6FFF05FA">
            <w:pPr>
              <w:pStyle w:val="45"/>
              <w:rPr>
                <w:rFonts w:hint="default"/>
              </w:rPr>
            </w:pPr>
            <w:r>
              <w:rPr>
                <w:rFonts w:hint="default"/>
              </w:rPr>
              <w:t>达标</w:t>
            </w:r>
          </w:p>
        </w:tc>
      </w:tr>
      <w:tr w14:paraId="49CEE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21A5CA1B">
            <w:pPr>
              <w:pStyle w:val="45"/>
              <w:rPr>
                <w:rFonts w:hint="default"/>
              </w:rPr>
            </w:pPr>
          </w:p>
        </w:tc>
        <w:tc>
          <w:tcPr>
            <w:tcW w:w="1073" w:type="pct"/>
            <w:noWrap/>
            <w:vAlign w:val="center"/>
          </w:tcPr>
          <w:p w14:paraId="1AA02E2F">
            <w:pPr>
              <w:pStyle w:val="45"/>
              <w:rPr>
                <w:rFonts w:hint="default"/>
              </w:rPr>
            </w:pPr>
            <w:r>
              <w:rPr>
                <w:rFonts w:hint="default"/>
              </w:rPr>
              <w:t>二氯甲烷</w:t>
            </w:r>
          </w:p>
        </w:tc>
        <w:tc>
          <w:tcPr>
            <w:tcW w:w="581" w:type="pct"/>
            <w:noWrap/>
            <w:vAlign w:val="center"/>
          </w:tcPr>
          <w:p w14:paraId="4A85F3F9">
            <w:pPr>
              <w:pStyle w:val="45"/>
              <w:rPr>
                <w:rFonts w:hint="default"/>
              </w:rPr>
            </w:pPr>
            <w:r>
              <w:rPr>
                <w:rFonts w:hint="default"/>
              </w:rPr>
              <w:t>0.006L</w:t>
            </w:r>
          </w:p>
        </w:tc>
        <w:tc>
          <w:tcPr>
            <w:tcW w:w="410" w:type="pct"/>
            <w:noWrap/>
            <w:vAlign w:val="center"/>
          </w:tcPr>
          <w:p w14:paraId="785CC06C">
            <w:pPr>
              <w:pStyle w:val="45"/>
              <w:rPr>
                <w:rFonts w:hint="default"/>
              </w:rPr>
            </w:pPr>
            <w:r>
              <w:rPr>
                <w:rFonts w:hint="default"/>
              </w:rPr>
              <w:t>/</w:t>
            </w:r>
          </w:p>
        </w:tc>
        <w:tc>
          <w:tcPr>
            <w:tcW w:w="505" w:type="pct"/>
            <w:noWrap/>
            <w:vAlign w:val="center"/>
          </w:tcPr>
          <w:p w14:paraId="6A64B756">
            <w:pPr>
              <w:pStyle w:val="45"/>
              <w:rPr>
                <w:rFonts w:hint="default"/>
              </w:rPr>
            </w:pPr>
            <w:r>
              <w:rPr>
                <w:rFonts w:hint="default"/>
              </w:rPr>
              <w:t>0.02</w:t>
            </w:r>
          </w:p>
        </w:tc>
        <w:tc>
          <w:tcPr>
            <w:tcW w:w="505" w:type="pct"/>
            <w:noWrap/>
            <w:vAlign w:val="center"/>
          </w:tcPr>
          <w:p w14:paraId="17836125">
            <w:pPr>
              <w:pStyle w:val="45"/>
              <w:rPr>
                <w:rFonts w:hint="default"/>
              </w:rPr>
            </w:pPr>
            <w:r>
              <w:rPr>
                <w:rFonts w:hint="default"/>
              </w:rPr>
              <w:t>/</w:t>
            </w:r>
          </w:p>
        </w:tc>
        <w:tc>
          <w:tcPr>
            <w:tcW w:w="410" w:type="pct"/>
            <w:noWrap/>
            <w:vAlign w:val="center"/>
          </w:tcPr>
          <w:p w14:paraId="30BFD104">
            <w:pPr>
              <w:pStyle w:val="45"/>
              <w:rPr>
                <w:rFonts w:hint="default"/>
              </w:rPr>
            </w:pPr>
            <w:r>
              <w:rPr>
                <w:rFonts w:hint="default"/>
              </w:rPr>
              <w:t>0</w:t>
            </w:r>
          </w:p>
        </w:tc>
        <w:tc>
          <w:tcPr>
            <w:tcW w:w="505" w:type="pct"/>
            <w:noWrap/>
            <w:vAlign w:val="center"/>
          </w:tcPr>
          <w:p w14:paraId="73661DB6">
            <w:pPr>
              <w:pStyle w:val="45"/>
              <w:rPr>
                <w:rFonts w:hint="default"/>
              </w:rPr>
            </w:pPr>
            <w:r>
              <w:rPr>
                <w:rFonts w:hint="default"/>
              </w:rPr>
              <w:t>0</w:t>
            </w:r>
          </w:p>
        </w:tc>
        <w:tc>
          <w:tcPr>
            <w:tcW w:w="505" w:type="pct"/>
            <w:noWrap/>
            <w:vAlign w:val="center"/>
          </w:tcPr>
          <w:p w14:paraId="6B41E452">
            <w:pPr>
              <w:pStyle w:val="45"/>
              <w:rPr>
                <w:rFonts w:hint="default"/>
              </w:rPr>
            </w:pPr>
            <w:r>
              <w:rPr>
                <w:rFonts w:hint="default"/>
              </w:rPr>
              <w:t>达标</w:t>
            </w:r>
          </w:p>
        </w:tc>
      </w:tr>
      <w:tr w14:paraId="4BC56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6D55EFB3">
            <w:pPr>
              <w:pStyle w:val="45"/>
              <w:rPr>
                <w:rFonts w:hint="default"/>
              </w:rPr>
            </w:pPr>
          </w:p>
        </w:tc>
        <w:tc>
          <w:tcPr>
            <w:tcW w:w="1073" w:type="pct"/>
            <w:noWrap/>
            <w:vAlign w:val="center"/>
          </w:tcPr>
          <w:p w14:paraId="6A64F222">
            <w:pPr>
              <w:pStyle w:val="45"/>
              <w:rPr>
                <w:rFonts w:hint="default"/>
              </w:rPr>
            </w:pPr>
            <w:r>
              <w:rPr>
                <w:rFonts w:hint="default"/>
              </w:rPr>
              <w:t>氯乙烯</w:t>
            </w:r>
          </w:p>
        </w:tc>
        <w:tc>
          <w:tcPr>
            <w:tcW w:w="581" w:type="pct"/>
            <w:noWrap/>
            <w:vAlign w:val="center"/>
          </w:tcPr>
          <w:p w14:paraId="75848E54">
            <w:pPr>
              <w:pStyle w:val="45"/>
              <w:rPr>
                <w:rFonts w:hint="default"/>
              </w:rPr>
            </w:pPr>
            <w:r>
              <w:rPr>
                <w:rFonts w:hint="default"/>
              </w:rPr>
              <w:t>0.0007L</w:t>
            </w:r>
          </w:p>
        </w:tc>
        <w:tc>
          <w:tcPr>
            <w:tcW w:w="410" w:type="pct"/>
            <w:noWrap/>
            <w:vAlign w:val="center"/>
          </w:tcPr>
          <w:p w14:paraId="6C9CE515">
            <w:pPr>
              <w:pStyle w:val="45"/>
              <w:rPr>
                <w:rFonts w:hint="default"/>
              </w:rPr>
            </w:pPr>
            <w:r>
              <w:rPr>
                <w:rFonts w:hint="default"/>
              </w:rPr>
              <w:t>/</w:t>
            </w:r>
          </w:p>
        </w:tc>
        <w:tc>
          <w:tcPr>
            <w:tcW w:w="505" w:type="pct"/>
            <w:noWrap/>
            <w:vAlign w:val="center"/>
          </w:tcPr>
          <w:p w14:paraId="2FB15613">
            <w:pPr>
              <w:pStyle w:val="45"/>
              <w:rPr>
                <w:rFonts w:hint="default"/>
              </w:rPr>
            </w:pPr>
            <w:r>
              <w:rPr>
                <w:rFonts w:hint="default"/>
              </w:rPr>
              <w:t>0.005</w:t>
            </w:r>
          </w:p>
        </w:tc>
        <w:tc>
          <w:tcPr>
            <w:tcW w:w="505" w:type="pct"/>
            <w:noWrap/>
            <w:vAlign w:val="center"/>
          </w:tcPr>
          <w:p w14:paraId="7C445C91">
            <w:pPr>
              <w:pStyle w:val="45"/>
              <w:rPr>
                <w:rFonts w:hint="default"/>
              </w:rPr>
            </w:pPr>
            <w:r>
              <w:rPr>
                <w:rFonts w:hint="default"/>
              </w:rPr>
              <w:t>/</w:t>
            </w:r>
          </w:p>
        </w:tc>
        <w:tc>
          <w:tcPr>
            <w:tcW w:w="410" w:type="pct"/>
            <w:noWrap/>
            <w:vAlign w:val="center"/>
          </w:tcPr>
          <w:p w14:paraId="412D37CE">
            <w:pPr>
              <w:pStyle w:val="45"/>
              <w:rPr>
                <w:rFonts w:hint="default"/>
              </w:rPr>
            </w:pPr>
            <w:r>
              <w:rPr>
                <w:rFonts w:hint="default"/>
              </w:rPr>
              <w:t>0</w:t>
            </w:r>
          </w:p>
        </w:tc>
        <w:tc>
          <w:tcPr>
            <w:tcW w:w="505" w:type="pct"/>
            <w:noWrap/>
            <w:vAlign w:val="center"/>
          </w:tcPr>
          <w:p w14:paraId="7CEBD0CE">
            <w:pPr>
              <w:pStyle w:val="45"/>
              <w:rPr>
                <w:rFonts w:hint="default"/>
              </w:rPr>
            </w:pPr>
            <w:r>
              <w:rPr>
                <w:rFonts w:hint="default"/>
              </w:rPr>
              <w:t>0</w:t>
            </w:r>
          </w:p>
        </w:tc>
        <w:tc>
          <w:tcPr>
            <w:tcW w:w="505" w:type="pct"/>
            <w:noWrap/>
            <w:vAlign w:val="center"/>
          </w:tcPr>
          <w:p w14:paraId="002BC4F0">
            <w:pPr>
              <w:pStyle w:val="45"/>
              <w:rPr>
                <w:rFonts w:hint="default"/>
              </w:rPr>
            </w:pPr>
            <w:r>
              <w:rPr>
                <w:rFonts w:hint="default"/>
              </w:rPr>
              <w:t>达标</w:t>
            </w:r>
          </w:p>
        </w:tc>
      </w:tr>
      <w:tr w14:paraId="36AE9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restart"/>
            <w:vAlign w:val="center"/>
          </w:tcPr>
          <w:p w14:paraId="2AE7877D">
            <w:pPr>
              <w:pStyle w:val="45"/>
              <w:rPr>
                <w:rFonts w:hint="default"/>
              </w:rPr>
            </w:pPr>
            <w:r>
              <w:rPr>
                <w:rFonts w:hint="default"/>
              </w:rPr>
              <w:t>W2松木污水处理厂排放</w:t>
            </w:r>
          </w:p>
          <w:p w14:paraId="4143D3E0">
            <w:pPr>
              <w:pStyle w:val="45"/>
              <w:rPr>
                <w:rFonts w:hint="default"/>
              </w:rPr>
            </w:pPr>
            <w:r>
              <w:rPr>
                <w:rFonts w:hint="default"/>
              </w:rPr>
              <w:t>口下游 500米断面</w:t>
            </w:r>
          </w:p>
        </w:tc>
        <w:tc>
          <w:tcPr>
            <w:tcW w:w="1073" w:type="pct"/>
            <w:noWrap/>
            <w:vAlign w:val="center"/>
          </w:tcPr>
          <w:p w14:paraId="109B9DC1">
            <w:pPr>
              <w:pStyle w:val="45"/>
              <w:rPr>
                <w:rFonts w:hint="default"/>
              </w:rPr>
            </w:pPr>
            <w:r>
              <w:rPr>
                <w:rFonts w:hint="default"/>
              </w:rPr>
              <w:t>水温（℃）</w:t>
            </w:r>
          </w:p>
        </w:tc>
        <w:tc>
          <w:tcPr>
            <w:tcW w:w="581" w:type="pct"/>
            <w:noWrap/>
            <w:vAlign w:val="center"/>
          </w:tcPr>
          <w:p w14:paraId="3C5CEFEF">
            <w:pPr>
              <w:pStyle w:val="45"/>
              <w:rPr>
                <w:rFonts w:hint="default"/>
              </w:rPr>
            </w:pPr>
            <w:r>
              <w:rPr>
                <w:rFonts w:hint="default"/>
              </w:rPr>
              <w:t>19.5-19.8</w:t>
            </w:r>
          </w:p>
        </w:tc>
        <w:tc>
          <w:tcPr>
            <w:tcW w:w="410" w:type="pct"/>
            <w:noWrap/>
            <w:vAlign w:val="center"/>
          </w:tcPr>
          <w:p w14:paraId="4C262A3A">
            <w:pPr>
              <w:pStyle w:val="45"/>
              <w:rPr>
                <w:rFonts w:hint="default"/>
              </w:rPr>
            </w:pPr>
            <w:r>
              <w:rPr>
                <w:rFonts w:hint="default"/>
              </w:rPr>
              <w:t>19.67</w:t>
            </w:r>
          </w:p>
        </w:tc>
        <w:tc>
          <w:tcPr>
            <w:tcW w:w="505" w:type="pct"/>
            <w:noWrap/>
            <w:vAlign w:val="center"/>
          </w:tcPr>
          <w:p w14:paraId="57717759">
            <w:pPr>
              <w:pStyle w:val="45"/>
              <w:rPr>
                <w:rFonts w:hint="default"/>
              </w:rPr>
            </w:pPr>
            <w:r>
              <w:rPr>
                <w:rFonts w:hint="default"/>
              </w:rPr>
              <w:t>/</w:t>
            </w:r>
          </w:p>
        </w:tc>
        <w:tc>
          <w:tcPr>
            <w:tcW w:w="505" w:type="pct"/>
            <w:noWrap/>
            <w:vAlign w:val="center"/>
          </w:tcPr>
          <w:p w14:paraId="759ED4DC">
            <w:pPr>
              <w:pStyle w:val="45"/>
              <w:rPr>
                <w:rFonts w:hint="default"/>
              </w:rPr>
            </w:pPr>
            <w:r>
              <w:rPr>
                <w:rFonts w:hint="default"/>
              </w:rPr>
              <w:t>/</w:t>
            </w:r>
          </w:p>
        </w:tc>
        <w:tc>
          <w:tcPr>
            <w:tcW w:w="410" w:type="pct"/>
            <w:noWrap/>
            <w:vAlign w:val="center"/>
          </w:tcPr>
          <w:p w14:paraId="2E190BDD">
            <w:pPr>
              <w:pStyle w:val="45"/>
              <w:rPr>
                <w:rFonts w:hint="default"/>
              </w:rPr>
            </w:pPr>
            <w:r>
              <w:rPr>
                <w:rFonts w:hint="default"/>
              </w:rPr>
              <w:t>0</w:t>
            </w:r>
          </w:p>
        </w:tc>
        <w:tc>
          <w:tcPr>
            <w:tcW w:w="505" w:type="pct"/>
            <w:noWrap/>
            <w:vAlign w:val="center"/>
          </w:tcPr>
          <w:p w14:paraId="657C2DF9">
            <w:pPr>
              <w:pStyle w:val="45"/>
              <w:rPr>
                <w:rFonts w:hint="default"/>
              </w:rPr>
            </w:pPr>
            <w:r>
              <w:rPr>
                <w:rFonts w:hint="default"/>
              </w:rPr>
              <w:t>0</w:t>
            </w:r>
          </w:p>
        </w:tc>
        <w:tc>
          <w:tcPr>
            <w:tcW w:w="505" w:type="pct"/>
            <w:noWrap/>
            <w:vAlign w:val="center"/>
          </w:tcPr>
          <w:p w14:paraId="019033B6">
            <w:pPr>
              <w:pStyle w:val="45"/>
              <w:rPr>
                <w:rFonts w:hint="default"/>
              </w:rPr>
            </w:pPr>
            <w:r>
              <w:rPr>
                <w:rFonts w:hint="default"/>
              </w:rPr>
              <w:t>达标</w:t>
            </w:r>
          </w:p>
        </w:tc>
      </w:tr>
      <w:tr w14:paraId="0EA24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269F89AA">
            <w:pPr>
              <w:pStyle w:val="45"/>
              <w:rPr>
                <w:rFonts w:hint="default"/>
              </w:rPr>
            </w:pPr>
          </w:p>
        </w:tc>
        <w:tc>
          <w:tcPr>
            <w:tcW w:w="1073" w:type="pct"/>
            <w:noWrap/>
            <w:vAlign w:val="center"/>
          </w:tcPr>
          <w:p w14:paraId="67FD9E6F">
            <w:pPr>
              <w:pStyle w:val="45"/>
              <w:rPr>
                <w:rFonts w:hint="default"/>
              </w:rPr>
            </w:pPr>
            <w:r>
              <w:rPr>
                <w:rFonts w:hint="default"/>
              </w:rPr>
              <w:t>流量（m</w:t>
            </w:r>
            <w:r>
              <w:rPr>
                <w:rFonts w:hint="default"/>
                <w:vertAlign w:val="superscript"/>
              </w:rPr>
              <w:t>3</w:t>
            </w:r>
            <w:r>
              <w:rPr>
                <w:rFonts w:hint="default"/>
              </w:rPr>
              <w:t>/s）</w:t>
            </w:r>
          </w:p>
        </w:tc>
        <w:tc>
          <w:tcPr>
            <w:tcW w:w="581" w:type="pct"/>
            <w:noWrap/>
            <w:vAlign w:val="center"/>
          </w:tcPr>
          <w:p w14:paraId="10584550">
            <w:pPr>
              <w:pStyle w:val="45"/>
              <w:rPr>
                <w:rFonts w:hint="default"/>
              </w:rPr>
            </w:pPr>
            <w:r>
              <w:rPr>
                <w:rFonts w:hint="default"/>
              </w:rPr>
              <w:t>321-324</w:t>
            </w:r>
          </w:p>
        </w:tc>
        <w:tc>
          <w:tcPr>
            <w:tcW w:w="410" w:type="pct"/>
            <w:noWrap/>
            <w:vAlign w:val="center"/>
          </w:tcPr>
          <w:p w14:paraId="78395E02">
            <w:pPr>
              <w:pStyle w:val="45"/>
              <w:rPr>
                <w:rFonts w:hint="default"/>
              </w:rPr>
            </w:pPr>
            <w:r>
              <w:rPr>
                <w:rFonts w:hint="default"/>
              </w:rPr>
              <w:t>323</w:t>
            </w:r>
          </w:p>
        </w:tc>
        <w:tc>
          <w:tcPr>
            <w:tcW w:w="505" w:type="pct"/>
            <w:noWrap/>
            <w:vAlign w:val="center"/>
          </w:tcPr>
          <w:p w14:paraId="64A7E16C">
            <w:pPr>
              <w:pStyle w:val="45"/>
              <w:rPr>
                <w:rFonts w:hint="default"/>
              </w:rPr>
            </w:pPr>
            <w:r>
              <w:rPr>
                <w:rFonts w:hint="default"/>
              </w:rPr>
              <w:t>/</w:t>
            </w:r>
          </w:p>
        </w:tc>
        <w:tc>
          <w:tcPr>
            <w:tcW w:w="505" w:type="pct"/>
            <w:noWrap/>
            <w:vAlign w:val="center"/>
          </w:tcPr>
          <w:p w14:paraId="055B4EDC">
            <w:pPr>
              <w:pStyle w:val="45"/>
              <w:rPr>
                <w:rFonts w:hint="default"/>
              </w:rPr>
            </w:pPr>
            <w:r>
              <w:rPr>
                <w:rFonts w:hint="default"/>
              </w:rPr>
              <w:t>/</w:t>
            </w:r>
          </w:p>
        </w:tc>
        <w:tc>
          <w:tcPr>
            <w:tcW w:w="410" w:type="pct"/>
            <w:noWrap/>
            <w:vAlign w:val="center"/>
          </w:tcPr>
          <w:p w14:paraId="726E0F4D">
            <w:pPr>
              <w:pStyle w:val="45"/>
              <w:rPr>
                <w:rFonts w:hint="default"/>
              </w:rPr>
            </w:pPr>
            <w:r>
              <w:rPr>
                <w:rFonts w:hint="default"/>
              </w:rPr>
              <w:t>0</w:t>
            </w:r>
          </w:p>
        </w:tc>
        <w:tc>
          <w:tcPr>
            <w:tcW w:w="505" w:type="pct"/>
            <w:noWrap/>
            <w:vAlign w:val="center"/>
          </w:tcPr>
          <w:p w14:paraId="1A042C42">
            <w:pPr>
              <w:pStyle w:val="45"/>
              <w:rPr>
                <w:rFonts w:hint="default"/>
              </w:rPr>
            </w:pPr>
            <w:r>
              <w:rPr>
                <w:rFonts w:hint="default"/>
              </w:rPr>
              <w:t>0</w:t>
            </w:r>
          </w:p>
        </w:tc>
        <w:tc>
          <w:tcPr>
            <w:tcW w:w="505" w:type="pct"/>
            <w:noWrap/>
            <w:vAlign w:val="center"/>
          </w:tcPr>
          <w:p w14:paraId="6F2D2CE5">
            <w:pPr>
              <w:pStyle w:val="45"/>
              <w:rPr>
                <w:rFonts w:hint="default"/>
              </w:rPr>
            </w:pPr>
            <w:r>
              <w:rPr>
                <w:rFonts w:hint="default"/>
              </w:rPr>
              <w:t>达标</w:t>
            </w:r>
          </w:p>
        </w:tc>
      </w:tr>
      <w:tr w14:paraId="69DE3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5C6EACF8">
            <w:pPr>
              <w:pStyle w:val="45"/>
              <w:rPr>
                <w:rFonts w:hint="default"/>
              </w:rPr>
            </w:pPr>
          </w:p>
        </w:tc>
        <w:tc>
          <w:tcPr>
            <w:tcW w:w="1073" w:type="pct"/>
            <w:noWrap/>
            <w:vAlign w:val="center"/>
          </w:tcPr>
          <w:p w14:paraId="7A26DDBF">
            <w:pPr>
              <w:pStyle w:val="45"/>
              <w:rPr>
                <w:rFonts w:hint="default"/>
              </w:rPr>
            </w:pPr>
            <w:r>
              <w:rPr>
                <w:rFonts w:hint="default"/>
              </w:rPr>
              <w:t>流速（m/s）</w:t>
            </w:r>
          </w:p>
        </w:tc>
        <w:tc>
          <w:tcPr>
            <w:tcW w:w="581" w:type="pct"/>
            <w:noWrap/>
            <w:vAlign w:val="center"/>
          </w:tcPr>
          <w:p w14:paraId="5B3671DC">
            <w:pPr>
              <w:pStyle w:val="45"/>
              <w:rPr>
                <w:rFonts w:hint="default"/>
              </w:rPr>
            </w:pPr>
            <w:r>
              <w:rPr>
                <w:rFonts w:hint="default"/>
              </w:rPr>
              <w:t>0.05</w:t>
            </w:r>
          </w:p>
        </w:tc>
        <w:tc>
          <w:tcPr>
            <w:tcW w:w="410" w:type="pct"/>
            <w:noWrap/>
            <w:vAlign w:val="center"/>
          </w:tcPr>
          <w:p w14:paraId="40AA9939">
            <w:pPr>
              <w:pStyle w:val="45"/>
              <w:rPr>
                <w:rFonts w:hint="default"/>
              </w:rPr>
            </w:pPr>
            <w:r>
              <w:rPr>
                <w:rFonts w:hint="default"/>
              </w:rPr>
              <w:t>0.05</w:t>
            </w:r>
          </w:p>
        </w:tc>
        <w:tc>
          <w:tcPr>
            <w:tcW w:w="505" w:type="pct"/>
            <w:noWrap/>
            <w:vAlign w:val="center"/>
          </w:tcPr>
          <w:p w14:paraId="161AF150">
            <w:pPr>
              <w:pStyle w:val="45"/>
              <w:rPr>
                <w:rFonts w:hint="default"/>
              </w:rPr>
            </w:pPr>
            <w:r>
              <w:rPr>
                <w:rFonts w:hint="default"/>
              </w:rPr>
              <w:t>/</w:t>
            </w:r>
          </w:p>
        </w:tc>
        <w:tc>
          <w:tcPr>
            <w:tcW w:w="505" w:type="pct"/>
            <w:noWrap/>
            <w:vAlign w:val="center"/>
          </w:tcPr>
          <w:p w14:paraId="10E6154A">
            <w:pPr>
              <w:pStyle w:val="45"/>
              <w:rPr>
                <w:rFonts w:hint="default"/>
              </w:rPr>
            </w:pPr>
            <w:r>
              <w:rPr>
                <w:rFonts w:hint="default"/>
              </w:rPr>
              <w:t>/</w:t>
            </w:r>
          </w:p>
        </w:tc>
        <w:tc>
          <w:tcPr>
            <w:tcW w:w="410" w:type="pct"/>
            <w:noWrap/>
            <w:vAlign w:val="center"/>
          </w:tcPr>
          <w:p w14:paraId="195697FB">
            <w:pPr>
              <w:pStyle w:val="45"/>
              <w:rPr>
                <w:rFonts w:hint="default"/>
              </w:rPr>
            </w:pPr>
            <w:r>
              <w:rPr>
                <w:rFonts w:hint="default"/>
              </w:rPr>
              <w:t>0</w:t>
            </w:r>
          </w:p>
        </w:tc>
        <w:tc>
          <w:tcPr>
            <w:tcW w:w="505" w:type="pct"/>
            <w:noWrap/>
            <w:vAlign w:val="center"/>
          </w:tcPr>
          <w:p w14:paraId="2F35D434">
            <w:pPr>
              <w:pStyle w:val="45"/>
              <w:rPr>
                <w:rFonts w:hint="default"/>
              </w:rPr>
            </w:pPr>
            <w:r>
              <w:rPr>
                <w:rFonts w:hint="default"/>
              </w:rPr>
              <w:t>0</w:t>
            </w:r>
          </w:p>
        </w:tc>
        <w:tc>
          <w:tcPr>
            <w:tcW w:w="505" w:type="pct"/>
            <w:noWrap/>
            <w:vAlign w:val="center"/>
          </w:tcPr>
          <w:p w14:paraId="391C4569">
            <w:pPr>
              <w:pStyle w:val="45"/>
              <w:rPr>
                <w:rFonts w:hint="default"/>
              </w:rPr>
            </w:pPr>
            <w:r>
              <w:rPr>
                <w:rFonts w:hint="default"/>
              </w:rPr>
              <w:t>达标</w:t>
            </w:r>
          </w:p>
        </w:tc>
      </w:tr>
      <w:tr w14:paraId="29227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28555DC6">
            <w:pPr>
              <w:pStyle w:val="45"/>
              <w:rPr>
                <w:rFonts w:hint="default"/>
              </w:rPr>
            </w:pPr>
          </w:p>
        </w:tc>
        <w:tc>
          <w:tcPr>
            <w:tcW w:w="1073" w:type="pct"/>
            <w:noWrap/>
            <w:vAlign w:val="center"/>
          </w:tcPr>
          <w:p w14:paraId="110ACEEF">
            <w:pPr>
              <w:pStyle w:val="45"/>
              <w:rPr>
                <w:rFonts w:hint="default"/>
              </w:rPr>
            </w:pPr>
            <w:r>
              <w:rPr>
                <w:rFonts w:hint="default"/>
              </w:rPr>
              <w:t>河宽（m）</w:t>
            </w:r>
          </w:p>
        </w:tc>
        <w:tc>
          <w:tcPr>
            <w:tcW w:w="581" w:type="pct"/>
            <w:noWrap/>
            <w:vAlign w:val="center"/>
          </w:tcPr>
          <w:p w14:paraId="71B94D0C">
            <w:pPr>
              <w:pStyle w:val="45"/>
              <w:rPr>
                <w:rFonts w:hint="default"/>
              </w:rPr>
            </w:pPr>
            <w:r>
              <w:rPr>
                <w:rFonts w:hint="default"/>
              </w:rPr>
              <w:t>550</w:t>
            </w:r>
          </w:p>
        </w:tc>
        <w:tc>
          <w:tcPr>
            <w:tcW w:w="410" w:type="pct"/>
            <w:noWrap/>
            <w:vAlign w:val="center"/>
          </w:tcPr>
          <w:p w14:paraId="472E32E6">
            <w:pPr>
              <w:pStyle w:val="45"/>
              <w:rPr>
                <w:rFonts w:hint="default"/>
              </w:rPr>
            </w:pPr>
            <w:r>
              <w:rPr>
                <w:rFonts w:hint="default"/>
              </w:rPr>
              <w:t>550</w:t>
            </w:r>
          </w:p>
        </w:tc>
        <w:tc>
          <w:tcPr>
            <w:tcW w:w="505" w:type="pct"/>
            <w:noWrap/>
            <w:vAlign w:val="center"/>
          </w:tcPr>
          <w:p w14:paraId="3948BEBD">
            <w:pPr>
              <w:pStyle w:val="45"/>
              <w:rPr>
                <w:rFonts w:hint="default"/>
              </w:rPr>
            </w:pPr>
            <w:r>
              <w:rPr>
                <w:rFonts w:hint="default"/>
              </w:rPr>
              <w:t>/</w:t>
            </w:r>
          </w:p>
        </w:tc>
        <w:tc>
          <w:tcPr>
            <w:tcW w:w="505" w:type="pct"/>
            <w:noWrap/>
            <w:vAlign w:val="center"/>
          </w:tcPr>
          <w:p w14:paraId="3DBF9041">
            <w:pPr>
              <w:pStyle w:val="45"/>
              <w:rPr>
                <w:rFonts w:hint="default"/>
              </w:rPr>
            </w:pPr>
            <w:r>
              <w:rPr>
                <w:rFonts w:hint="default"/>
              </w:rPr>
              <w:t>/</w:t>
            </w:r>
          </w:p>
        </w:tc>
        <w:tc>
          <w:tcPr>
            <w:tcW w:w="410" w:type="pct"/>
            <w:noWrap/>
            <w:vAlign w:val="center"/>
          </w:tcPr>
          <w:p w14:paraId="3A19D1AD">
            <w:pPr>
              <w:pStyle w:val="45"/>
              <w:rPr>
                <w:rFonts w:hint="default"/>
              </w:rPr>
            </w:pPr>
            <w:r>
              <w:rPr>
                <w:rFonts w:hint="default"/>
              </w:rPr>
              <w:t>0</w:t>
            </w:r>
          </w:p>
        </w:tc>
        <w:tc>
          <w:tcPr>
            <w:tcW w:w="505" w:type="pct"/>
            <w:noWrap/>
            <w:vAlign w:val="center"/>
          </w:tcPr>
          <w:p w14:paraId="3AD20C70">
            <w:pPr>
              <w:pStyle w:val="45"/>
              <w:rPr>
                <w:rFonts w:hint="default"/>
              </w:rPr>
            </w:pPr>
            <w:r>
              <w:rPr>
                <w:rFonts w:hint="default"/>
              </w:rPr>
              <w:t>0</w:t>
            </w:r>
          </w:p>
        </w:tc>
        <w:tc>
          <w:tcPr>
            <w:tcW w:w="505" w:type="pct"/>
            <w:noWrap/>
            <w:vAlign w:val="center"/>
          </w:tcPr>
          <w:p w14:paraId="44E9BB94">
            <w:pPr>
              <w:pStyle w:val="45"/>
              <w:rPr>
                <w:rFonts w:hint="default"/>
              </w:rPr>
            </w:pPr>
            <w:r>
              <w:rPr>
                <w:rFonts w:hint="default"/>
              </w:rPr>
              <w:t>达标</w:t>
            </w:r>
          </w:p>
        </w:tc>
      </w:tr>
      <w:tr w14:paraId="3DB01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36E345CA">
            <w:pPr>
              <w:pStyle w:val="45"/>
              <w:rPr>
                <w:rFonts w:hint="default"/>
              </w:rPr>
            </w:pPr>
          </w:p>
        </w:tc>
        <w:tc>
          <w:tcPr>
            <w:tcW w:w="1073" w:type="pct"/>
            <w:noWrap/>
            <w:vAlign w:val="center"/>
          </w:tcPr>
          <w:p w14:paraId="143E438E">
            <w:pPr>
              <w:pStyle w:val="45"/>
              <w:rPr>
                <w:rFonts w:hint="default"/>
              </w:rPr>
            </w:pPr>
            <w:r>
              <w:rPr>
                <w:rFonts w:hint="default"/>
              </w:rPr>
              <w:t>河深（m）</w:t>
            </w:r>
          </w:p>
        </w:tc>
        <w:tc>
          <w:tcPr>
            <w:tcW w:w="581" w:type="pct"/>
            <w:noWrap/>
            <w:vAlign w:val="center"/>
          </w:tcPr>
          <w:p w14:paraId="1FC7636B">
            <w:pPr>
              <w:pStyle w:val="45"/>
              <w:rPr>
                <w:rFonts w:hint="default"/>
              </w:rPr>
            </w:pPr>
            <w:r>
              <w:rPr>
                <w:rFonts w:hint="default"/>
              </w:rPr>
              <w:t>11.7-11.8</w:t>
            </w:r>
          </w:p>
        </w:tc>
        <w:tc>
          <w:tcPr>
            <w:tcW w:w="410" w:type="pct"/>
            <w:noWrap/>
            <w:vAlign w:val="center"/>
          </w:tcPr>
          <w:p w14:paraId="4D97F8D8">
            <w:pPr>
              <w:pStyle w:val="45"/>
              <w:rPr>
                <w:rFonts w:hint="default"/>
              </w:rPr>
            </w:pPr>
            <w:r>
              <w:rPr>
                <w:rFonts w:hint="default"/>
              </w:rPr>
              <w:t>11.77</w:t>
            </w:r>
          </w:p>
        </w:tc>
        <w:tc>
          <w:tcPr>
            <w:tcW w:w="505" w:type="pct"/>
            <w:noWrap/>
            <w:vAlign w:val="center"/>
          </w:tcPr>
          <w:p w14:paraId="0C52C653">
            <w:pPr>
              <w:pStyle w:val="45"/>
              <w:rPr>
                <w:rFonts w:hint="default"/>
              </w:rPr>
            </w:pPr>
            <w:r>
              <w:rPr>
                <w:rFonts w:hint="default"/>
              </w:rPr>
              <w:t>/</w:t>
            </w:r>
          </w:p>
        </w:tc>
        <w:tc>
          <w:tcPr>
            <w:tcW w:w="505" w:type="pct"/>
            <w:noWrap/>
            <w:vAlign w:val="center"/>
          </w:tcPr>
          <w:p w14:paraId="2353D1D3">
            <w:pPr>
              <w:pStyle w:val="45"/>
              <w:rPr>
                <w:rFonts w:hint="default"/>
              </w:rPr>
            </w:pPr>
            <w:r>
              <w:rPr>
                <w:rFonts w:hint="default"/>
              </w:rPr>
              <w:t>/</w:t>
            </w:r>
          </w:p>
        </w:tc>
        <w:tc>
          <w:tcPr>
            <w:tcW w:w="410" w:type="pct"/>
            <w:noWrap/>
            <w:vAlign w:val="center"/>
          </w:tcPr>
          <w:p w14:paraId="2A1DF3EE">
            <w:pPr>
              <w:pStyle w:val="45"/>
              <w:rPr>
                <w:rFonts w:hint="default"/>
              </w:rPr>
            </w:pPr>
            <w:r>
              <w:rPr>
                <w:rFonts w:hint="default"/>
              </w:rPr>
              <w:t>0</w:t>
            </w:r>
          </w:p>
        </w:tc>
        <w:tc>
          <w:tcPr>
            <w:tcW w:w="505" w:type="pct"/>
            <w:noWrap/>
            <w:vAlign w:val="center"/>
          </w:tcPr>
          <w:p w14:paraId="6A1BB8C4">
            <w:pPr>
              <w:pStyle w:val="45"/>
              <w:rPr>
                <w:rFonts w:hint="default"/>
              </w:rPr>
            </w:pPr>
            <w:r>
              <w:rPr>
                <w:rFonts w:hint="default"/>
              </w:rPr>
              <w:t>0</w:t>
            </w:r>
          </w:p>
        </w:tc>
        <w:tc>
          <w:tcPr>
            <w:tcW w:w="505" w:type="pct"/>
            <w:noWrap/>
            <w:vAlign w:val="center"/>
          </w:tcPr>
          <w:p w14:paraId="372F773B">
            <w:pPr>
              <w:pStyle w:val="45"/>
              <w:rPr>
                <w:rFonts w:hint="default"/>
              </w:rPr>
            </w:pPr>
            <w:r>
              <w:rPr>
                <w:rFonts w:hint="default"/>
              </w:rPr>
              <w:t>达标</w:t>
            </w:r>
          </w:p>
        </w:tc>
      </w:tr>
      <w:tr w14:paraId="40161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518273B4">
            <w:pPr>
              <w:pStyle w:val="45"/>
              <w:rPr>
                <w:rFonts w:hint="default"/>
              </w:rPr>
            </w:pPr>
          </w:p>
        </w:tc>
        <w:tc>
          <w:tcPr>
            <w:tcW w:w="1073" w:type="pct"/>
            <w:noWrap/>
            <w:vAlign w:val="center"/>
          </w:tcPr>
          <w:p w14:paraId="384ECC16">
            <w:pPr>
              <w:pStyle w:val="45"/>
              <w:rPr>
                <w:rFonts w:hint="default"/>
              </w:rPr>
            </w:pPr>
            <w:r>
              <w:rPr>
                <w:rFonts w:hint="default"/>
              </w:rPr>
              <w:t>pH值</w:t>
            </w:r>
          </w:p>
        </w:tc>
        <w:tc>
          <w:tcPr>
            <w:tcW w:w="581" w:type="pct"/>
            <w:noWrap/>
            <w:vAlign w:val="center"/>
          </w:tcPr>
          <w:p w14:paraId="0C905C58">
            <w:pPr>
              <w:pStyle w:val="45"/>
              <w:rPr>
                <w:rFonts w:hint="default"/>
              </w:rPr>
            </w:pPr>
            <w:r>
              <w:rPr>
                <w:rFonts w:hint="default"/>
              </w:rPr>
              <w:t>7-7.1</w:t>
            </w:r>
          </w:p>
        </w:tc>
        <w:tc>
          <w:tcPr>
            <w:tcW w:w="410" w:type="pct"/>
            <w:noWrap/>
            <w:vAlign w:val="center"/>
          </w:tcPr>
          <w:p w14:paraId="23C85BD0">
            <w:pPr>
              <w:pStyle w:val="45"/>
              <w:rPr>
                <w:rFonts w:hint="default"/>
              </w:rPr>
            </w:pPr>
            <w:r>
              <w:rPr>
                <w:rFonts w:hint="default"/>
              </w:rPr>
              <w:t>7.07</w:t>
            </w:r>
          </w:p>
        </w:tc>
        <w:tc>
          <w:tcPr>
            <w:tcW w:w="505" w:type="pct"/>
            <w:noWrap/>
            <w:vAlign w:val="center"/>
          </w:tcPr>
          <w:p w14:paraId="70D6E142">
            <w:pPr>
              <w:pStyle w:val="45"/>
              <w:rPr>
                <w:rFonts w:hint="default"/>
              </w:rPr>
            </w:pPr>
            <w:r>
              <w:rPr>
                <w:rFonts w:hint="default"/>
              </w:rPr>
              <w:t>6-9</w:t>
            </w:r>
          </w:p>
        </w:tc>
        <w:tc>
          <w:tcPr>
            <w:tcW w:w="505" w:type="pct"/>
            <w:noWrap/>
            <w:vAlign w:val="center"/>
          </w:tcPr>
          <w:p w14:paraId="0DEC4212">
            <w:pPr>
              <w:pStyle w:val="45"/>
              <w:rPr>
                <w:rFonts w:hint="default"/>
              </w:rPr>
            </w:pPr>
            <w:r>
              <w:rPr>
                <w:rFonts w:hint="default"/>
              </w:rPr>
              <w:t>0.7</w:t>
            </w:r>
          </w:p>
        </w:tc>
        <w:tc>
          <w:tcPr>
            <w:tcW w:w="410" w:type="pct"/>
            <w:noWrap/>
            <w:vAlign w:val="center"/>
          </w:tcPr>
          <w:p w14:paraId="0CF9325A">
            <w:pPr>
              <w:pStyle w:val="45"/>
              <w:rPr>
                <w:rFonts w:hint="default"/>
              </w:rPr>
            </w:pPr>
            <w:r>
              <w:rPr>
                <w:rFonts w:hint="default"/>
              </w:rPr>
              <w:t>0</w:t>
            </w:r>
          </w:p>
        </w:tc>
        <w:tc>
          <w:tcPr>
            <w:tcW w:w="505" w:type="pct"/>
            <w:noWrap/>
            <w:vAlign w:val="center"/>
          </w:tcPr>
          <w:p w14:paraId="5060A87F">
            <w:pPr>
              <w:pStyle w:val="45"/>
              <w:rPr>
                <w:rFonts w:hint="default"/>
              </w:rPr>
            </w:pPr>
            <w:r>
              <w:rPr>
                <w:rFonts w:hint="default"/>
              </w:rPr>
              <w:t>0</w:t>
            </w:r>
          </w:p>
        </w:tc>
        <w:tc>
          <w:tcPr>
            <w:tcW w:w="505" w:type="pct"/>
            <w:noWrap/>
            <w:vAlign w:val="center"/>
          </w:tcPr>
          <w:p w14:paraId="10B36A5D">
            <w:pPr>
              <w:pStyle w:val="45"/>
              <w:rPr>
                <w:rFonts w:hint="default"/>
              </w:rPr>
            </w:pPr>
            <w:r>
              <w:rPr>
                <w:rFonts w:hint="default"/>
              </w:rPr>
              <w:t>达标</w:t>
            </w:r>
          </w:p>
        </w:tc>
      </w:tr>
      <w:tr w14:paraId="3212A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15962251">
            <w:pPr>
              <w:pStyle w:val="45"/>
              <w:rPr>
                <w:rFonts w:hint="default"/>
              </w:rPr>
            </w:pPr>
          </w:p>
        </w:tc>
        <w:tc>
          <w:tcPr>
            <w:tcW w:w="1073" w:type="pct"/>
            <w:noWrap/>
            <w:vAlign w:val="center"/>
          </w:tcPr>
          <w:p w14:paraId="61ACCEA0">
            <w:pPr>
              <w:pStyle w:val="45"/>
              <w:rPr>
                <w:rFonts w:hint="default"/>
              </w:rPr>
            </w:pPr>
            <w:r>
              <w:rPr>
                <w:rFonts w:hint="default"/>
              </w:rPr>
              <w:t>溶解氧</w:t>
            </w:r>
          </w:p>
        </w:tc>
        <w:tc>
          <w:tcPr>
            <w:tcW w:w="581" w:type="pct"/>
            <w:noWrap/>
            <w:vAlign w:val="center"/>
          </w:tcPr>
          <w:p w14:paraId="037A682A">
            <w:pPr>
              <w:pStyle w:val="45"/>
              <w:rPr>
                <w:rFonts w:hint="default"/>
              </w:rPr>
            </w:pPr>
            <w:r>
              <w:rPr>
                <w:rFonts w:hint="default"/>
              </w:rPr>
              <w:t>5.6-5.7</w:t>
            </w:r>
          </w:p>
        </w:tc>
        <w:tc>
          <w:tcPr>
            <w:tcW w:w="410" w:type="pct"/>
            <w:noWrap/>
            <w:vAlign w:val="center"/>
          </w:tcPr>
          <w:p w14:paraId="5692CE6C">
            <w:pPr>
              <w:pStyle w:val="45"/>
              <w:rPr>
                <w:rFonts w:hint="default"/>
              </w:rPr>
            </w:pPr>
            <w:r>
              <w:rPr>
                <w:rFonts w:hint="default"/>
              </w:rPr>
              <w:t>5.67</w:t>
            </w:r>
          </w:p>
        </w:tc>
        <w:tc>
          <w:tcPr>
            <w:tcW w:w="505" w:type="pct"/>
            <w:noWrap/>
            <w:vAlign w:val="center"/>
          </w:tcPr>
          <w:p w14:paraId="1CBC9BA2">
            <w:pPr>
              <w:pStyle w:val="45"/>
              <w:rPr>
                <w:rFonts w:hint="default"/>
              </w:rPr>
            </w:pPr>
            <w:r>
              <w:rPr>
                <w:rFonts w:hint="default"/>
              </w:rPr>
              <w:t>≥5</w:t>
            </w:r>
          </w:p>
        </w:tc>
        <w:tc>
          <w:tcPr>
            <w:tcW w:w="505" w:type="pct"/>
            <w:noWrap/>
            <w:vAlign w:val="center"/>
          </w:tcPr>
          <w:p w14:paraId="53A16BEC">
            <w:pPr>
              <w:pStyle w:val="45"/>
              <w:rPr>
                <w:rFonts w:hint="default"/>
              </w:rPr>
            </w:pPr>
            <w:r>
              <w:rPr>
                <w:rFonts w:hint="default"/>
              </w:rPr>
              <w:t>0.882</w:t>
            </w:r>
          </w:p>
        </w:tc>
        <w:tc>
          <w:tcPr>
            <w:tcW w:w="410" w:type="pct"/>
            <w:noWrap/>
            <w:vAlign w:val="center"/>
          </w:tcPr>
          <w:p w14:paraId="2E55FDA4">
            <w:pPr>
              <w:pStyle w:val="45"/>
              <w:rPr>
                <w:rFonts w:hint="default"/>
              </w:rPr>
            </w:pPr>
            <w:r>
              <w:rPr>
                <w:rFonts w:hint="default"/>
              </w:rPr>
              <w:t>0</w:t>
            </w:r>
          </w:p>
        </w:tc>
        <w:tc>
          <w:tcPr>
            <w:tcW w:w="505" w:type="pct"/>
            <w:noWrap/>
            <w:vAlign w:val="center"/>
          </w:tcPr>
          <w:p w14:paraId="37430C57">
            <w:pPr>
              <w:pStyle w:val="45"/>
              <w:rPr>
                <w:rFonts w:hint="default"/>
              </w:rPr>
            </w:pPr>
            <w:r>
              <w:rPr>
                <w:rFonts w:hint="default"/>
              </w:rPr>
              <w:t>0</w:t>
            </w:r>
          </w:p>
        </w:tc>
        <w:tc>
          <w:tcPr>
            <w:tcW w:w="505" w:type="pct"/>
            <w:noWrap/>
            <w:vAlign w:val="center"/>
          </w:tcPr>
          <w:p w14:paraId="46639D31">
            <w:pPr>
              <w:pStyle w:val="45"/>
              <w:rPr>
                <w:rFonts w:hint="default"/>
              </w:rPr>
            </w:pPr>
            <w:r>
              <w:rPr>
                <w:rFonts w:hint="default"/>
              </w:rPr>
              <w:t>达标</w:t>
            </w:r>
          </w:p>
        </w:tc>
      </w:tr>
      <w:tr w14:paraId="7DF99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057C5EC1">
            <w:pPr>
              <w:pStyle w:val="45"/>
              <w:rPr>
                <w:rFonts w:hint="default"/>
              </w:rPr>
            </w:pPr>
          </w:p>
        </w:tc>
        <w:tc>
          <w:tcPr>
            <w:tcW w:w="1073" w:type="pct"/>
            <w:noWrap/>
            <w:vAlign w:val="center"/>
          </w:tcPr>
          <w:p w14:paraId="77324CB6">
            <w:pPr>
              <w:pStyle w:val="45"/>
              <w:rPr>
                <w:rFonts w:hint="default"/>
              </w:rPr>
            </w:pPr>
            <w:r>
              <w:rPr>
                <w:rFonts w:hint="default"/>
              </w:rPr>
              <w:t>化学需氧量</w:t>
            </w:r>
          </w:p>
        </w:tc>
        <w:tc>
          <w:tcPr>
            <w:tcW w:w="581" w:type="pct"/>
            <w:noWrap/>
            <w:vAlign w:val="center"/>
          </w:tcPr>
          <w:p w14:paraId="31848A85">
            <w:pPr>
              <w:pStyle w:val="45"/>
              <w:rPr>
                <w:rFonts w:hint="default"/>
              </w:rPr>
            </w:pPr>
            <w:r>
              <w:rPr>
                <w:rFonts w:hint="default"/>
              </w:rPr>
              <w:t>7-8</w:t>
            </w:r>
          </w:p>
        </w:tc>
        <w:tc>
          <w:tcPr>
            <w:tcW w:w="410" w:type="pct"/>
            <w:noWrap/>
            <w:vAlign w:val="center"/>
          </w:tcPr>
          <w:p w14:paraId="3786191E">
            <w:pPr>
              <w:pStyle w:val="45"/>
              <w:rPr>
                <w:rFonts w:hint="default"/>
              </w:rPr>
            </w:pPr>
            <w:r>
              <w:rPr>
                <w:rFonts w:hint="default"/>
              </w:rPr>
              <w:t>7.33</w:t>
            </w:r>
          </w:p>
        </w:tc>
        <w:tc>
          <w:tcPr>
            <w:tcW w:w="505" w:type="pct"/>
            <w:noWrap/>
            <w:vAlign w:val="center"/>
          </w:tcPr>
          <w:p w14:paraId="005E4D3D">
            <w:pPr>
              <w:pStyle w:val="45"/>
              <w:rPr>
                <w:rFonts w:hint="default"/>
              </w:rPr>
            </w:pPr>
            <w:r>
              <w:rPr>
                <w:rFonts w:hint="default"/>
              </w:rPr>
              <w:t>20</w:t>
            </w:r>
          </w:p>
        </w:tc>
        <w:tc>
          <w:tcPr>
            <w:tcW w:w="505" w:type="pct"/>
            <w:noWrap/>
            <w:vAlign w:val="center"/>
          </w:tcPr>
          <w:p w14:paraId="307AE859">
            <w:pPr>
              <w:pStyle w:val="45"/>
              <w:rPr>
                <w:rFonts w:hint="default"/>
              </w:rPr>
            </w:pPr>
            <w:r>
              <w:rPr>
                <w:rFonts w:hint="default"/>
              </w:rPr>
              <w:t>0.4</w:t>
            </w:r>
          </w:p>
        </w:tc>
        <w:tc>
          <w:tcPr>
            <w:tcW w:w="410" w:type="pct"/>
            <w:noWrap/>
            <w:vAlign w:val="center"/>
          </w:tcPr>
          <w:p w14:paraId="52B0EBCD">
            <w:pPr>
              <w:pStyle w:val="45"/>
              <w:rPr>
                <w:rFonts w:hint="default"/>
              </w:rPr>
            </w:pPr>
            <w:r>
              <w:rPr>
                <w:rFonts w:hint="default"/>
              </w:rPr>
              <w:t>0</w:t>
            </w:r>
          </w:p>
        </w:tc>
        <w:tc>
          <w:tcPr>
            <w:tcW w:w="505" w:type="pct"/>
            <w:noWrap/>
            <w:vAlign w:val="center"/>
          </w:tcPr>
          <w:p w14:paraId="754AEEC6">
            <w:pPr>
              <w:pStyle w:val="45"/>
              <w:rPr>
                <w:rFonts w:hint="default"/>
              </w:rPr>
            </w:pPr>
            <w:r>
              <w:rPr>
                <w:rFonts w:hint="default"/>
              </w:rPr>
              <w:t>0</w:t>
            </w:r>
          </w:p>
        </w:tc>
        <w:tc>
          <w:tcPr>
            <w:tcW w:w="505" w:type="pct"/>
            <w:noWrap/>
            <w:vAlign w:val="center"/>
          </w:tcPr>
          <w:p w14:paraId="6EB47624">
            <w:pPr>
              <w:pStyle w:val="45"/>
              <w:rPr>
                <w:rFonts w:hint="default"/>
              </w:rPr>
            </w:pPr>
            <w:r>
              <w:rPr>
                <w:rFonts w:hint="default"/>
              </w:rPr>
              <w:t>达标</w:t>
            </w:r>
          </w:p>
        </w:tc>
      </w:tr>
      <w:tr w14:paraId="3B627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2A48BA45">
            <w:pPr>
              <w:pStyle w:val="45"/>
              <w:rPr>
                <w:rFonts w:hint="default"/>
              </w:rPr>
            </w:pPr>
          </w:p>
        </w:tc>
        <w:tc>
          <w:tcPr>
            <w:tcW w:w="1073" w:type="pct"/>
            <w:noWrap/>
            <w:vAlign w:val="center"/>
          </w:tcPr>
          <w:p w14:paraId="72910E4D">
            <w:pPr>
              <w:pStyle w:val="45"/>
              <w:rPr>
                <w:rFonts w:hint="default"/>
              </w:rPr>
            </w:pPr>
            <w:r>
              <w:rPr>
                <w:rFonts w:hint="default"/>
              </w:rPr>
              <w:t>五日生化需氧量</w:t>
            </w:r>
          </w:p>
        </w:tc>
        <w:tc>
          <w:tcPr>
            <w:tcW w:w="581" w:type="pct"/>
            <w:noWrap/>
            <w:vAlign w:val="center"/>
          </w:tcPr>
          <w:p w14:paraId="2673666B">
            <w:pPr>
              <w:pStyle w:val="45"/>
              <w:rPr>
                <w:rFonts w:hint="default"/>
              </w:rPr>
            </w:pPr>
            <w:r>
              <w:rPr>
                <w:rFonts w:hint="default"/>
              </w:rPr>
              <w:t>1.5-1.8</w:t>
            </w:r>
          </w:p>
        </w:tc>
        <w:tc>
          <w:tcPr>
            <w:tcW w:w="410" w:type="pct"/>
            <w:noWrap/>
            <w:vAlign w:val="center"/>
          </w:tcPr>
          <w:p w14:paraId="5D35DF7E">
            <w:pPr>
              <w:pStyle w:val="45"/>
              <w:rPr>
                <w:rFonts w:hint="default"/>
              </w:rPr>
            </w:pPr>
            <w:r>
              <w:rPr>
                <w:rFonts w:hint="default"/>
              </w:rPr>
              <w:t>1.67</w:t>
            </w:r>
          </w:p>
        </w:tc>
        <w:tc>
          <w:tcPr>
            <w:tcW w:w="505" w:type="pct"/>
            <w:noWrap/>
            <w:vAlign w:val="center"/>
          </w:tcPr>
          <w:p w14:paraId="624E7ED1">
            <w:pPr>
              <w:pStyle w:val="45"/>
              <w:rPr>
                <w:rFonts w:hint="default"/>
              </w:rPr>
            </w:pPr>
            <w:r>
              <w:rPr>
                <w:rFonts w:hint="default"/>
              </w:rPr>
              <w:t>4</w:t>
            </w:r>
          </w:p>
        </w:tc>
        <w:tc>
          <w:tcPr>
            <w:tcW w:w="505" w:type="pct"/>
            <w:noWrap/>
            <w:vAlign w:val="center"/>
          </w:tcPr>
          <w:p w14:paraId="7F48A783">
            <w:pPr>
              <w:pStyle w:val="45"/>
              <w:rPr>
                <w:rFonts w:hint="default"/>
              </w:rPr>
            </w:pPr>
            <w:r>
              <w:rPr>
                <w:rFonts w:hint="default"/>
              </w:rPr>
              <w:t>0.45</w:t>
            </w:r>
          </w:p>
        </w:tc>
        <w:tc>
          <w:tcPr>
            <w:tcW w:w="410" w:type="pct"/>
            <w:noWrap/>
            <w:vAlign w:val="center"/>
          </w:tcPr>
          <w:p w14:paraId="1E4701F8">
            <w:pPr>
              <w:pStyle w:val="45"/>
              <w:rPr>
                <w:rFonts w:hint="default"/>
              </w:rPr>
            </w:pPr>
            <w:r>
              <w:rPr>
                <w:rFonts w:hint="default"/>
              </w:rPr>
              <w:t>0</w:t>
            </w:r>
          </w:p>
        </w:tc>
        <w:tc>
          <w:tcPr>
            <w:tcW w:w="505" w:type="pct"/>
            <w:noWrap/>
            <w:vAlign w:val="center"/>
          </w:tcPr>
          <w:p w14:paraId="70A5098F">
            <w:pPr>
              <w:pStyle w:val="45"/>
              <w:rPr>
                <w:rFonts w:hint="default"/>
              </w:rPr>
            </w:pPr>
            <w:r>
              <w:rPr>
                <w:rFonts w:hint="default"/>
              </w:rPr>
              <w:t>0</w:t>
            </w:r>
          </w:p>
        </w:tc>
        <w:tc>
          <w:tcPr>
            <w:tcW w:w="505" w:type="pct"/>
            <w:noWrap/>
            <w:vAlign w:val="center"/>
          </w:tcPr>
          <w:p w14:paraId="1DA184AD">
            <w:pPr>
              <w:pStyle w:val="45"/>
              <w:rPr>
                <w:rFonts w:hint="default"/>
              </w:rPr>
            </w:pPr>
            <w:r>
              <w:rPr>
                <w:rFonts w:hint="default"/>
              </w:rPr>
              <w:t>达标</w:t>
            </w:r>
          </w:p>
        </w:tc>
      </w:tr>
      <w:tr w14:paraId="1F328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1AE6FB2F">
            <w:pPr>
              <w:pStyle w:val="45"/>
              <w:rPr>
                <w:rFonts w:hint="default"/>
              </w:rPr>
            </w:pPr>
          </w:p>
        </w:tc>
        <w:tc>
          <w:tcPr>
            <w:tcW w:w="1073" w:type="pct"/>
            <w:noWrap/>
            <w:vAlign w:val="center"/>
          </w:tcPr>
          <w:p w14:paraId="55BD76DF">
            <w:pPr>
              <w:pStyle w:val="45"/>
              <w:rPr>
                <w:rFonts w:hint="default"/>
              </w:rPr>
            </w:pPr>
            <w:r>
              <w:rPr>
                <w:rFonts w:hint="default"/>
              </w:rPr>
              <w:t>总磷</w:t>
            </w:r>
          </w:p>
        </w:tc>
        <w:tc>
          <w:tcPr>
            <w:tcW w:w="581" w:type="pct"/>
            <w:noWrap/>
            <w:vAlign w:val="center"/>
          </w:tcPr>
          <w:p w14:paraId="196DFC9D">
            <w:pPr>
              <w:pStyle w:val="45"/>
              <w:rPr>
                <w:rFonts w:hint="default"/>
              </w:rPr>
            </w:pPr>
            <w:r>
              <w:rPr>
                <w:rFonts w:hint="default"/>
              </w:rPr>
              <w:t>0.03-0.05</w:t>
            </w:r>
          </w:p>
        </w:tc>
        <w:tc>
          <w:tcPr>
            <w:tcW w:w="410" w:type="pct"/>
            <w:noWrap/>
            <w:vAlign w:val="center"/>
          </w:tcPr>
          <w:p w14:paraId="25C28B9E">
            <w:pPr>
              <w:pStyle w:val="45"/>
              <w:rPr>
                <w:rFonts w:hint="default"/>
              </w:rPr>
            </w:pPr>
            <w:r>
              <w:rPr>
                <w:rFonts w:hint="default"/>
              </w:rPr>
              <w:t>0.037</w:t>
            </w:r>
          </w:p>
        </w:tc>
        <w:tc>
          <w:tcPr>
            <w:tcW w:w="505" w:type="pct"/>
            <w:noWrap/>
            <w:vAlign w:val="center"/>
          </w:tcPr>
          <w:p w14:paraId="64BFBC63">
            <w:pPr>
              <w:pStyle w:val="45"/>
              <w:rPr>
                <w:rFonts w:hint="default"/>
              </w:rPr>
            </w:pPr>
            <w:r>
              <w:rPr>
                <w:rFonts w:hint="default"/>
              </w:rPr>
              <w:t>0.2</w:t>
            </w:r>
          </w:p>
        </w:tc>
        <w:tc>
          <w:tcPr>
            <w:tcW w:w="505" w:type="pct"/>
            <w:noWrap/>
            <w:vAlign w:val="center"/>
          </w:tcPr>
          <w:p w14:paraId="49633087">
            <w:pPr>
              <w:pStyle w:val="45"/>
              <w:rPr>
                <w:rFonts w:hint="default"/>
              </w:rPr>
            </w:pPr>
            <w:r>
              <w:rPr>
                <w:rFonts w:hint="default"/>
              </w:rPr>
              <w:t>0.25</w:t>
            </w:r>
          </w:p>
        </w:tc>
        <w:tc>
          <w:tcPr>
            <w:tcW w:w="410" w:type="pct"/>
            <w:noWrap/>
            <w:vAlign w:val="center"/>
          </w:tcPr>
          <w:p w14:paraId="3CE7CD6C">
            <w:pPr>
              <w:pStyle w:val="45"/>
              <w:rPr>
                <w:rFonts w:hint="default"/>
              </w:rPr>
            </w:pPr>
            <w:r>
              <w:rPr>
                <w:rFonts w:hint="default"/>
              </w:rPr>
              <w:t>0</w:t>
            </w:r>
          </w:p>
        </w:tc>
        <w:tc>
          <w:tcPr>
            <w:tcW w:w="505" w:type="pct"/>
            <w:noWrap/>
            <w:vAlign w:val="center"/>
          </w:tcPr>
          <w:p w14:paraId="3EC32397">
            <w:pPr>
              <w:pStyle w:val="45"/>
              <w:rPr>
                <w:rFonts w:hint="default"/>
              </w:rPr>
            </w:pPr>
            <w:r>
              <w:rPr>
                <w:rFonts w:hint="default"/>
              </w:rPr>
              <w:t>0</w:t>
            </w:r>
          </w:p>
        </w:tc>
        <w:tc>
          <w:tcPr>
            <w:tcW w:w="505" w:type="pct"/>
            <w:noWrap/>
            <w:vAlign w:val="center"/>
          </w:tcPr>
          <w:p w14:paraId="2864DA50">
            <w:pPr>
              <w:pStyle w:val="45"/>
              <w:rPr>
                <w:rFonts w:hint="default"/>
              </w:rPr>
            </w:pPr>
            <w:r>
              <w:rPr>
                <w:rFonts w:hint="default"/>
              </w:rPr>
              <w:t>达标</w:t>
            </w:r>
          </w:p>
        </w:tc>
      </w:tr>
      <w:tr w14:paraId="2555E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5B64132A">
            <w:pPr>
              <w:pStyle w:val="45"/>
              <w:rPr>
                <w:rFonts w:hint="default"/>
              </w:rPr>
            </w:pPr>
          </w:p>
        </w:tc>
        <w:tc>
          <w:tcPr>
            <w:tcW w:w="1073" w:type="pct"/>
            <w:noWrap/>
            <w:vAlign w:val="center"/>
          </w:tcPr>
          <w:p w14:paraId="2132E6F2">
            <w:pPr>
              <w:pStyle w:val="45"/>
              <w:rPr>
                <w:rFonts w:hint="default"/>
              </w:rPr>
            </w:pPr>
            <w:r>
              <w:rPr>
                <w:rFonts w:hint="default"/>
              </w:rPr>
              <w:t>氨氮</w:t>
            </w:r>
          </w:p>
        </w:tc>
        <w:tc>
          <w:tcPr>
            <w:tcW w:w="581" w:type="pct"/>
            <w:noWrap/>
            <w:vAlign w:val="center"/>
          </w:tcPr>
          <w:p w14:paraId="6A7B1EBB">
            <w:pPr>
              <w:pStyle w:val="45"/>
              <w:rPr>
                <w:rFonts w:hint="default"/>
              </w:rPr>
            </w:pPr>
            <w:r>
              <w:rPr>
                <w:rFonts w:hint="default"/>
              </w:rPr>
              <w:t>0.17-0.178</w:t>
            </w:r>
          </w:p>
        </w:tc>
        <w:tc>
          <w:tcPr>
            <w:tcW w:w="410" w:type="pct"/>
            <w:noWrap/>
            <w:vAlign w:val="center"/>
          </w:tcPr>
          <w:p w14:paraId="03F73C03">
            <w:pPr>
              <w:pStyle w:val="45"/>
              <w:rPr>
                <w:rFonts w:hint="default"/>
              </w:rPr>
            </w:pPr>
            <w:r>
              <w:rPr>
                <w:rFonts w:hint="default"/>
              </w:rPr>
              <w:t>0.175</w:t>
            </w:r>
          </w:p>
        </w:tc>
        <w:tc>
          <w:tcPr>
            <w:tcW w:w="505" w:type="pct"/>
            <w:noWrap/>
            <w:vAlign w:val="center"/>
          </w:tcPr>
          <w:p w14:paraId="7F9DBF6E">
            <w:pPr>
              <w:pStyle w:val="45"/>
              <w:rPr>
                <w:rFonts w:hint="default"/>
              </w:rPr>
            </w:pPr>
            <w:r>
              <w:rPr>
                <w:rFonts w:hint="default"/>
              </w:rPr>
              <w:t>1</w:t>
            </w:r>
          </w:p>
        </w:tc>
        <w:tc>
          <w:tcPr>
            <w:tcW w:w="505" w:type="pct"/>
            <w:noWrap/>
            <w:vAlign w:val="center"/>
          </w:tcPr>
          <w:p w14:paraId="4E07AF82">
            <w:pPr>
              <w:pStyle w:val="45"/>
              <w:rPr>
                <w:rFonts w:hint="default"/>
              </w:rPr>
            </w:pPr>
            <w:r>
              <w:rPr>
                <w:rFonts w:hint="default"/>
              </w:rPr>
              <w:t>0.178</w:t>
            </w:r>
          </w:p>
        </w:tc>
        <w:tc>
          <w:tcPr>
            <w:tcW w:w="410" w:type="pct"/>
            <w:noWrap/>
            <w:vAlign w:val="center"/>
          </w:tcPr>
          <w:p w14:paraId="6A20C113">
            <w:pPr>
              <w:pStyle w:val="45"/>
              <w:rPr>
                <w:rFonts w:hint="default"/>
              </w:rPr>
            </w:pPr>
            <w:r>
              <w:rPr>
                <w:rFonts w:hint="default"/>
              </w:rPr>
              <w:t>0</w:t>
            </w:r>
          </w:p>
        </w:tc>
        <w:tc>
          <w:tcPr>
            <w:tcW w:w="505" w:type="pct"/>
            <w:noWrap/>
            <w:vAlign w:val="center"/>
          </w:tcPr>
          <w:p w14:paraId="7804B966">
            <w:pPr>
              <w:pStyle w:val="45"/>
              <w:rPr>
                <w:rFonts w:hint="default"/>
              </w:rPr>
            </w:pPr>
            <w:r>
              <w:rPr>
                <w:rFonts w:hint="default"/>
              </w:rPr>
              <w:t>0</w:t>
            </w:r>
          </w:p>
        </w:tc>
        <w:tc>
          <w:tcPr>
            <w:tcW w:w="505" w:type="pct"/>
            <w:noWrap/>
            <w:vAlign w:val="center"/>
          </w:tcPr>
          <w:p w14:paraId="3FD3DE9E">
            <w:pPr>
              <w:pStyle w:val="45"/>
              <w:rPr>
                <w:rFonts w:hint="default"/>
              </w:rPr>
            </w:pPr>
            <w:r>
              <w:rPr>
                <w:rFonts w:hint="default"/>
              </w:rPr>
              <w:t>达标</w:t>
            </w:r>
          </w:p>
        </w:tc>
      </w:tr>
      <w:tr w14:paraId="586E3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1F2BC189">
            <w:pPr>
              <w:pStyle w:val="45"/>
              <w:rPr>
                <w:rFonts w:hint="default"/>
              </w:rPr>
            </w:pPr>
          </w:p>
        </w:tc>
        <w:tc>
          <w:tcPr>
            <w:tcW w:w="1073" w:type="pct"/>
            <w:noWrap/>
            <w:vAlign w:val="center"/>
          </w:tcPr>
          <w:p w14:paraId="3284AB2F">
            <w:pPr>
              <w:pStyle w:val="45"/>
              <w:rPr>
                <w:rFonts w:hint="default"/>
              </w:rPr>
            </w:pPr>
            <w:r>
              <w:rPr>
                <w:rFonts w:hint="default"/>
              </w:rPr>
              <w:t>石油类</w:t>
            </w:r>
          </w:p>
        </w:tc>
        <w:tc>
          <w:tcPr>
            <w:tcW w:w="581" w:type="pct"/>
            <w:noWrap/>
            <w:vAlign w:val="center"/>
          </w:tcPr>
          <w:p w14:paraId="3072A79B">
            <w:pPr>
              <w:pStyle w:val="45"/>
              <w:rPr>
                <w:rFonts w:hint="default"/>
              </w:rPr>
            </w:pPr>
            <w:r>
              <w:rPr>
                <w:rFonts w:hint="default"/>
              </w:rPr>
              <w:t>0.02-0.04</w:t>
            </w:r>
          </w:p>
        </w:tc>
        <w:tc>
          <w:tcPr>
            <w:tcW w:w="410" w:type="pct"/>
            <w:noWrap/>
            <w:vAlign w:val="center"/>
          </w:tcPr>
          <w:p w14:paraId="4ADF2A7D">
            <w:pPr>
              <w:pStyle w:val="45"/>
              <w:rPr>
                <w:rFonts w:hint="default"/>
              </w:rPr>
            </w:pPr>
            <w:r>
              <w:rPr>
                <w:rFonts w:hint="default"/>
              </w:rPr>
              <w:t>0.03</w:t>
            </w:r>
          </w:p>
        </w:tc>
        <w:tc>
          <w:tcPr>
            <w:tcW w:w="505" w:type="pct"/>
            <w:noWrap/>
            <w:vAlign w:val="center"/>
          </w:tcPr>
          <w:p w14:paraId="33685B5B">
            <w:pPr>
              <w:pStyle w:val="45"/>
              <w:rPr>
                <w:rFonts w:hint="default"/>
              </w:rPr>
            </w:pPr>
            <w:r>
              <w:rPr>
                <w:rFonts w:hint="default"/>
              </w:rPr>
              <w:t>0.05</w:t>
            </w:r>
          </w:p>
        </w:tc>
        <w:tc>
          <w:tcPr>
            <w:tcW w:w="505" w:type="pct"/>
            <w:noWrap/>
            <w:vAlign w:val="center"/>
          </w:tcPr>
          <w:p w14:paraId="20E7CD23">
            <w:pPr>
              <w:pStyle w:val="45"/>
              <w:rPr>
                <w:rFonts w:hint="default"/>
              </w:rPr>
            </w:pPr>
            <w:r>
              <w:rPr>
                <w:rFonts w:hint="default"/>
              </w:rPr>
              <w:t>0.8</w:t>
            </w:r>
          </w:p>
        </w:tc>
        <w:tc>
          <w:tcPr>
            <w:tcW w:w="410" w:type="pct"/>
            <w:noWrap/>
            <w:vAlign w:val="center"/>
          </w:tcPr>
          <w:p w14:paraId="79651776">
            <w:pPr>
              <w:pStyle w:val="45"/>
              <w:rPr>
                <w:rFonts w:hint="default"/>
              </w:rPr>
            </w:pPr>
            <w:r>
              <w:rPr>
                <w:rFonts w:hint="default"/>
              </w:rPr>
              <w:t>0</w:t>
            </w:r>
          </w:p>
        </w:tc>
        <w:tc>
          <w:tcPr>
            <w:tcW w:w="505" w:type="pct"/>
            <w:noWrap/>
            <w:vAlign w:val="center"/>
          </w:tcPr>
          <w:p w14:paraId="6F37CDA4">
            <w:pPr>
              <w:pStyle w:val="45"/>
              <w:rPr>
                <w:rFonts w:hint="default"/>
              </w:rPr>
            </w:pPr>
            <w:r>
              <w:rPr>
                <w:rFonts w:hint="default"/>
              </w:rPr>
              <w:t>0</w:t>
            </w:r>
          </w:p>
        </w:tc>
        <w:tc>
          <w:tcPr>
            <w:tcW w:w="505" w:type="pct"/>
            <w:noWrap/>
            <w:vAlign w:val="center"/>
          </w:tcPr>
          <w:p w14:paraId="52A0392D">
            <w:pPr>
              <w:pStyle w:val="45"/>
              <w:rPr>
                <w:rFonts w:hint="default"/>
              </w:rPr>
            </w:pPr>
            <w:r>
              <w:rPr>
                <w:rFonts w:hint="default"/>
              </w:rPr>
              <w:t>达标</w:t>
            </w:r>
          </w:p>
        </w:tc>
      </w:tr>
      <w:tr w14:paraId="1B8B0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5165D095">
            <w:pPr>
              <w:pStyle w:val="45"/>
              <w:rPr>
                <w:rFonts w:hint="default"/>
              </w:rPr>
            </w:pPr>
          </w:p>
        </w:tc>
        <w:tc>
          <w:tcPr>
            <w:tcW w:w="1073" w:type="pct"/>
            <w:noWrap/>
            <w:vAlign w:val="center"/>
          </w:tcPr>
          <w:p w14:paraId="2AD6A367">
            <w:pPr>
              <w:pStyle w:val="45"/>
              <w:rPr>
                <w:rFonts w:hint="default"/>
              </w:rPr>
            </w:pPr>
            <w:r>
              <w:rPr>
                <w:rFonts w:hint="default"/>
              </w:rPr>
              <w:t>氟化物</w:t>
            </w:r>
          </w:p>
        </w:tc>
        <w:tc>
          <w:tcPr>
            <w:tcW w:w="581" w:type="pct"/>
            <w:noWrap/>
            <w:vAlign w:val="center"/>
          </w:tcPr>
          <w:p w14:paraId="2E3A406A">
            <w:pPr>
              <w:pStyle w:val="45"/>
              <w:rPr>
                <w:rFonts w:hint="default"/>
              </w:rPr>
            </w:pPr>
            <w:r>
              <w:rPr>
                <w:rFonts w:hint="default"/>
              </w:rPr>
              <w:t>0.284-0.294</w:t>
            </w:r>
          </w:p>
        </w:tc>
        <w:tc>
          <w:tcPr>
            <w:tcW w:w="410" w:type="pct"/>
            <w:noWrap/>
            <w:vAlign w:val="center"/>
          </w:tcPr>
          <w:p w14:paraId="12B18EA3">
            <w:pPr>
              <w:pStyle w:val="45"/>
              <w:rPr>
                <w:rFonts w:hint="default"/>
              </w:rPr>
            </w:pPr>
            <w:r>
              <w:rPr>
                <w:rFonts w:hint="default"/>
              </w:rPr>
              <w:t>0.289</w:t>
            </w:r>
          </w:p>
        </w:tc>
        <w:tc>
          <w:tcPr>
            <w:tcW w:w="505" w:type="pct"/>
            <w:noWrap/>
            <w:vAlign w:val="center"/>
          </w:tcPr>
          <w:p w14:paraId="4A789C6F">
            <w:pPr>
              <w:pStyle w:val="45"/>
              <w:rPr>
                <w:rFonts w:hint="default"/>
              </w:rPr>
            </w:pPr>
            <w:r>
              <w:rPr>
                <w:rFonts w:hint="default"/>
              </w:rPr>
              <w:t>1</w:t>
            </w:r>
          </w:p>
        </w:tc>
        <w:tc>
          <w:tcPr>
            <w:tcW w:w="505" w:type="pct"/>
            <w:noWrap/>
            <w:vAlign w:val="center"/>
          </w:tcPr>
          <w:p w14:paraId="29328E36">
            <w:pPr>
              <w:pStyle w:val="45"/>
              <w:rPr>
                <w:rFonts w:hint="default"/>
              </w:rPr>
            </w:pPr>
            <w:r>
              <w:rPr>
                <w:rFonts w:hint="default"/>
              </w:rPr>
              <w:t>0.294</w:t>
            </w:r>
          </w:p>
        </w:tc>
        <w:tc>
          <w:tcPr>
            <w:tcW w:w="410" w:type="pct"/>
            <w:noWrap/>
            <w:vAlign w:val="center"/>
          </w:tcPr>
          <w:p w14:paraId="2209A267">
            <w:pPr>
              <w:pStyle w:val="45"/>
              <w:rPr>
                <w:rFonts w:hint="default"/>
              </w:rPr>
            </w:pPr>
            <w:r>
              <w:rPr>
                <w:rFonts w:hint="default"/>
              </w:rPr>
              <w:t>0</w:t>
            </w:r>
          </w:p>
        </w:tc>
        <w:tc>
          <w:tcPr>
            <w:tcW w:w="505" w:type="pct"/>
            <w:noWrap/>
            <w:vAlign w:val="center"/>
          </w:tcPr>
          <w:p w14:paraId="0B7EFD19">
            <w:pPr>
              <w:pStyle w:val="45"/>
              <w:rPr>
                <w:rFonts w:hint="default"/>
              </w:rPr>
            </w:pPr>
            <w:r>
              <w:rPr>
                <w:rFonts w:hint="default"/>
              </w:rPr>
              <w:t>0</w:t>
            </w:r>
          </w:p>
        </w:tc>
        <w:tc>
          <w:tcPr>
            <w:tcW w:w="505" w:type="pct"/>
            <w:noWrap/>
            <w:vAlign w:val="center"/>
          </w:tcPr>
          <w:p w14:paraId="5A767EB1">
            <w:pPr>
              <w:pStyle w:val="45"/>
              <w:rPr>
                <w:rFonts w:hint="default"/>
              </w:rPr>
            </w:pPr>
            <w:r>
              <w:rPr>
                <w:rFonts w:hint="default"/>
              </w:rPr>
              <w:t>达标</w:t>
            </w:r>
          </w:p>
        </w:tc>
      </w:tr>
      <w:tr w14:paraId="5BF64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6FB932A8">
            <w:pPr>
              <w:pStyle w:val="45"/>
              <w:rPr>
                <w:rFonts w:hint="default"/>
              </w:rPr>
            </w:pPr>
          </w:p>
        </w:tc>
        <w:tc>
          <w:tcPr>
            <w:tcW w:w="1073" w:type="pct"/>
            <w:noWrap/>
            <w:vAlign w:val="center"/>
          </w:tcPr>
          <w:p w14:paraId="5BCEE73A">
            <w:pPr>
              <w:pStyle w:val="45"/>
              <w:rPr>
                <w:rFonts w:hint="default"/>
              </w:rPr>
            </w:pPr>
            <w:r>
              <w:rPr>
                <w:rFonts w:hint="default"/>
              </w:rPr>
              <w:t>硫化物</w:t>
            </w:r>
          </w:p>
        </w:tc>
        <w:tc>
          <w:tcPr>
            <w:tcW w:w="581" w:type="pct"/>
            <w:noWrap/>
            <w:vAlign w:val="center"/>
          </w:tcPr>
          <w:p w14:paraId="743E3CBD">
            <w:pPr>
              <w:pStyle w:val="45"/>
              <w:rPr>
                <w:rFonts w:hint="default"/>
              </w:rPr>
            </w:pPr>
            <w:r>
              <w:rPr>
                <w:rFonts w:hint="default"/>
              </w:rPr>
              <w:t>0.01L</w:t>
            </w:r>
          </w:p>
        </w:tc>
        <w:tc>
          <w:tcPr>
            <w:tcW w:w="410" w:type="pct"/>
            <w:noWrap/>
            <w:vAlign w:val="center"/>
          </w:tcPr>
          <w:p w14:paraId="1A913826">
            <w:pPr>
              <w:pStyle w:val="45"/>
              <w:rPr>
                <w:rFonts w:hint="default"/>
              </w:rPr>
            </w:pPr>
            <w:r>
              <w:rPr>
                <w:rFonts w:hint="default"/>
              </w:rPr>
              <w:t>/</w:t>
            </w:r>
          </w:p>
        </w:tc>
        <w:tc>
          <w:tcPr>
            <w:tcW w:w="505" w:type="pct"/>
            <w:noWrap/>
            <w:vAlign w:val="center"/>
          </w:tcPr>
          <w:p w14:paraId="563F8A14">
            <w:pPr>
              <w:pStyle w:val="45"/>
              <w:rPr>
                <w:rFonts w:hint="default"/>
              </w:rPr>
            </w:pPr>
            <w:r>
              <w:rPr>
                <w:rFonts w:hint="default"/>
              </w:rPr>
              <w:t>0.2</w:t>
            </w:r>
          </w:p>
        </w:tc>
        <w:tc>
          <w:tcPr>
            <w:tcW w:w="505" w:type="pct"/>
            <w:noWrap/>
            <w:vAlign w:val="center"/>
          </w:tcPr>
          <w:p w14:paraId="0846AFF3">
            <w:pPr>
              <w:pStyle w:val="45"/>
              <w:rPr>
                <w:rFonts w:hint="default"/>
              </w:rPr>
            </w:pPr>
            <w:r>
              <w:rPr>
                <w:rFonts w:hint="default"/>
              </w:rPr>
              <w:t>/</w:t>
            </w:r>
          </w:p>
        </w:tc>
        <w:tc>
          <w:tcPr>
            <w:tcW w:w="410" w:type="pct"/>
            <w:noWrap/>
            <w:vAlign w:val="center"/>
          </w:tcPr>
          <w:p w14:paraId="63F0D84C">
            <w:pPr>
              <w:pStyle w:val="45"/>
              <w:rPr>
                <w:rFonts w:hint="default"/>
              </w:rPr>
            </w:pPr>
            <w:r>
              <w:rPr>
                <w:rFonts w:hint="default"/>
              </w:rPr>
              <w:t>0</w:t>
            </w:r>
          </w:p>
        </w:tc>
        <w:tc>
          <w:tcPr>
            <w:tcW w:w="505" w:type="pct"/>
            <w:noWrap/>
            <w:vAlign w:val="center"/>
          </w:tcPr>
          <w:p w14:paraId="3B34975B">
            <w:pPr>
              <w:pStyle w:val="45"/>
              <w:rPr>
                <w:rFonts w:hint="default"/>
              </w:rPr>
            </w:pPr>
            <w:r>
              <w:rPr>
                <w:rFonts w:hint="default"/>
              </w:rPr>
              <w:t>0</w:t>
            </w:r>
          </w:p>
        </w:tc>
        <w:tc>
          <w:tcPr>
            <w:tcW w:w="505" w:type="pct"/>
            <w:noWrap/>
            <w:vAlign w:val="center"/>
          </w:tcPr>
          <w:p w14:paraId="044748FA">
            <w:pPr>
              <w:pStyle w:val="45"/>
              <w:rPr>
                <w:rFonts w:hint="default"/>
              </w:rPr>
            </w:pPr>
            <w:r>
              <w:rPr>
                <w:rFonts w:hint="default"/>
              </w:rPr>
              <w:t>达标</w:t>
            </w:r>
          </w:p>
        </w:tc>
      </w:tr>
      <w:tr w14:paraId="12B24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4B338B8A">
            <w:pPr>
              <w:pStyle w:val="45"/>
              <w:rPr>
                <w:rFonts w:hint="default"/>
              </w:rPr>
            </w:pPr>
          </w:p>
        </w:tc>
        <w:tc>
          <w:tcPr>
            <w:tcW w:w="1073" w:type="pct"/>
            <w:noWrap/>
            <w:vAlign w:val="center"/>
          </w:tcPr>
          <w:p w14:paraId="35B0012A">
            <w:pPr>
              <w:pStyle w:val="45"/>
              <w:rPr>
                <w:rFonts w:hint="default"/>
              </w:rPr>
            </w:pPr>
            <w:r>
              <w:rPr>
                <w:rFonts w:hint="default"/>
              </w:rPr>
              <w:t>硫酸盐</w:t>
            </w:r>
          </w:p>
        </w:tc>
        <w:tc>
          <w:tcPr>
            <w:tcW w:w="581" w:type="pct"/>
            <w:noWrap/>
            <w:vAlign w:val="center"/>
          </w:tcPr>
          <w:p w14:paraId="181E3C51">
            <w:pPr>
              <w:pStyle w:val="45"/>
              <w:rPr>
                <w:rFonts w:hint="default"/>
              </w:rPr>
            </w:pPr>
            <w:r>
              <w:rPr>
                <w:rFonts w:hint="default"/>
              </w:rPr>
              <w:t>18.4-18.5</w:t>
            </w:r>
          </w:p>
        </w:tc>
        <w:tc>
          <w:tcPr>
            <w:tcW w:w="410" w:type="pct"/>
            <w:noWrap/>
            <w:vAlign w:val="center"/>
          </w:tcPr>
          <w:p w14:paraId="16EECA52">
            <w:pPr>
              <w:pStyle w:val="45"/>
              <w:rPr>
                <w:rFonts w:hint="default"/>
              </w:rPr>
            </w:pPr>
            <w:r>
              <w:rPr>
                <w:rFonts w:hint="default"/>
              </w:rPr>
              <w:t>18.47</w:t>
            </w:r>
          </w:p>
        </w:tc>
        <w:tc>
          <w:tcPr>
            <w:tcW w:w="505" w:type="pct"/>
            <w:noWrap/>
            <w:vAlign w:val="center"/>
          </w:tcPr>
          <w:p w14:paraId="0D50E89C">
            <w:pPr>
              <w:pStyle w:val="45"/>
              <w:rPr>
                <w:rFonts w:hint="default"/>
              </w:rPr>
            </w:pPr>
            <w:r>
              <w:rPr>
                <w:rFonts w:hint="default"/>
              </w:rPr>
              <w:t>250</w:t>
            </w:r>
          </w:p>
        </w:tc>
        <w:tc>
          <w:tcPr>
            <w:tcW w:w="505" w:type="pct"/>
            <w:noWrap/>
            <w:vAlign w:val="center"/>
          </w:tcPr>
          <w:p w14:paraId="030BCE16">
            <w:pPr>
              <w:pStyle w:val="45"/>
              <w:rPr>
                <w:rFonts w:hint="default"/>
              </w:rPr>
            </w:pPr>
            <w:r>
              <w:rPr>
                <w:rFonts w:hint="default"/>
              </w:rPr>
              <w:t>0.074</w:t>
            </w:r>
          </w:p>
        </w:tc>
        <w:tc>
          <w:tcPr>
            <w:tcW w:w="410" w:type="pct"/>
            <w:noWrap/>
            <w:vAlign w:val="center"/>
          </w:tcPr>
          <w:p w14:paraId="3026245E">
            <w:pPr>
              <w:pStyle w:val="45"/>
              <w:rPr>
                <w:rFonts w:hint="default"/>
              </w:rPr>
            </w:pPr>
            <w:r>
              <w:rPr>
                <w:rFonts w:hint="default"/>
              </w:rPr>
              <w:t>0</w:t>
            </w:r>
          </w:p>
        </w:tc>
        <w:tc>
          <w:tcPr>
            <w:tcW w:w="505" w:type="pct"/>
            <w:noWrap/>
            <w:vAlign w:val="center"/>
          </w:tcPr>
          <w:p w14:paraId="67357806">
            <w:pPr>
              <w:pStyle w:val="45"/>
              <w:rPr>
                <w:rFonts w:hint="default"/>
              </w:rPr>
            </w:pPr>
            <w:r>
              <w:rPr>
                <w:rFonts w:hint="default"/>
              </w:rPr>
              <w:t>0</w:t>
            </w:r>
          </w:p>
        </w:tc>
        <w:tc>
          <w:tcPr>
            <w:tcW w:w="505" w:type="pct"/>
            <w:noWrap/>
            <w:vAlign w:val="center"/>
          </w:tcPr>
          <w:p w14:paraId="10CC63AB">
            <w:pPr>
              <w:pStyle w:val="45"/>
              <w:rPr>
                <w:rFonts w:hint="default"/>
              </w:rPr>
            </w:pPr>
            <w:r>
              <w:rPr>
                <w:rFonts w:hint="default"/>
              </w:rPr>
              <w:t>达标</w:t>
            </w:r>
          </w:p>
        </w:tc>
      </w:tr>
      <w:tr w14:paraId="3FD6D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113F267D">
            <w:pPr>
              <w:pStyle w:val="45"/>
              <w:rPr>
                <w:rFonts w:hint="default"/>
              </w:rPr>
            </w:pPr>
          </w:p>
        </w:tc>
        <w:tc>
          <w:tcPr>
            <w:tcW w:w="1073" w:type="pct"/>
            <w:noWrap/>
            <w:vAlign w:val="center"/>
          </w:tcPr>
          <w:p w14:paraId="6BCAD3E2">
            <w:pPr>
              <w:pStyle w:val="45"/>
              <w:rPr>
                <w:rFonts w:hint="default"/>
              </w:rPr>
            </w:pPr>
            <w:r>
              <w:rPr>
                <w:rFonts w:hint="default"/>
              </w:rPr>
              <w:t>挥发酚</w:t>
            </w:r>
          </w:p>
        </w:tc>
        <w:tc>
          <w:tcPr>
            <w:tcW w:w="581" w:type="pct"/>
            <w:noWrap/>
            <w:vAlign w:val="center"/>
          </w:tcPr>
          <w:p w14:paraId="1BECB1B1">
            <w:pPr>
              <w:pStyle w:val="45"/>
              <w:rPr>
                <w:rFonts w:hint="default"/>
              </w:rPr>
            </w:pPr>
            <w:r>
              <w:rPr>
                <w:rFonts w:hint="default"/>
              </w:rPr>
              <w:t>0.0003L</w:t>
            </w:r>
          </w:p>
        </w:tc>
        <w:tc>
          <w:tcPr>
            <w:tcW w:w="410" w:type="pct"/>
            <w:noWrap/>
            <w:vAlign w:val="center"/>
          </w:tcPr>
          <w:p w14:paraId="75CA489D">
            <w:pPr>
              <w:pStyle w:val="45"/>
              <w:rPr>
                <w:rFonts w:hint="default"/>
              </w:rPr>
            </w:pPr>
            <w:r>
              <w:rPr>
                <w:rFonts w:hint="default"/>
              </w:rPr>
              <w:t>/</w:t>
            </w:r>
          </w:p>
        </w:tc>
        <w:tc>
          <w:tcPr>
            <w:tcW w:w="505" w:type="pct"/>
            <w:noWrap/>
            <w:vAlign w:val="center"/>
          </w:tcPr>
          <w:p w14:paraId="2BD5E277">
            <w:pPr>
              <w:pStyle w:val="45"/>
              <w:rPr>
                <w:rFonts w:hint="default"/>
              </w:rPr>
            </w:pPr>
            <w:r>
              <w:rPr>
                <w:rFonts w:hint="default"/>
              </w:rPr>
              <w:t>0.005</w:t>
            </w:r>
          </w:p>
        </w:tc>
        <w:tc>
          <w:tcPr>
            <w:tcW w:w="505" w:type="pct"/>
            <w:noWrap/>
            <w:vAlign w:val="center"/>
          </w:tcPr>
          <w:p w14:paraId="5032C281">
            <w:pPr>
              <w:pStyle w:val="45"/>
              <w:rPr>
                <w:rFonts w:hint="default"/>
              </w:rPr>
            </w:pPr>
            <w:r>
              <w:rPr>
                <w:rFonts w:hint="default"/>
              </w:rPr>
              <w:t>/</w:t>
            </w:r>
          </w:p>
        </w:tc>
        <w:tc>
          <w:tcPr>
            <w:tcW w:w="410" w:type="pct"/>
            <w:noWrap/>
            <w:vAlign w:val="center"/>
          </w:tcPr>
          <w:p w14:paraId="29603A73">
            <w:pPr>
              <w:pStyle w:val="45"/>
              <w:rPr>
                <w:rFonts w:hint="default"/>
              </w:rPr>
            </w:pPr>
            <w:r>
              <w:rPr>
                <w:rFonts w:hint="default"/>
              </w:rPr>
              <w:t>0</w:t>
            </w:r>
          </w:p>
        </w:tc>
        <w:tc>
          <w:tcPr>
            <w:tcW w:w="505" w:type="pct"/>
            <w:noWrap/>
            <w:vAlign w:val="center"/>
          </w:tcPr>
          <w:p w14:paraId="65FAEDAF">
            <w:pPr>
              <w:pStyle w:val="45"/>
              <w:rPr>
                <w:rFonts w:hint="default"/>
              </w:rPr>
            </w:pPr>
            <w:r>
              <w:rPr>
                <w:rFonts w:hint="default"/>
              </w:rPr>
              <w:t>0</w:t>
            </w:r>
          </w:p>
        </w:tc>
        <w:tc>
          <w:tcPr>
            <w:tcW w:w="505" w:type="pct"/>
            <w:noWrap/>
            <w:vAlign w:val="center"/>
          </w:tcPr>
          <w:p w14:paraId="599B6D16">
            <w:pPr>
              <w:pStyle w:val="45"/>
              <w:rPr>
                <w:rFonts w:hint="default"/>
              </w:rPr>
            </w:pPr>
            <w:r>
              <w:rPr>
                <w:rFonts w:hint="default"/>
              </w:rPr>
              <w:t>达标</w:t>
            </w:r>
          </w:p>
        </w:tc>
      </w:tr>
      <w:tr w14:paraId="3D27A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674481AB">
            <w:pPr>
              <w:pStyle w:val="45"/>
              <w:rPr>
                <w:rFonts w:hint="default"/>
              </w:rPr>
            </w:pPr>
          </w:p>
        </w:tc>
        <w:tc>
          <w:tcPr>
            <w:tcW w:w="1073" w:type="pct"/>
            <w:noWrap/>
            <w:vAlign w:val="center"/>
          </w:tcPr>
          <w:p w14:paraId="262F2292">
            <w:pPr>
              <w:pStyle w:val="45"/>
              <w:rPr>
                <w:rFonts w:hint="default"/>
              </w:rPr>
            </w:pPr>
            <w:r>
              <w:rPr>
                <w:rFonts w:hint="default"/>
              </w:rPr>
              <w:t>阴离子表面活性剂</w:t>
            </w:r>
          </w:p>
        </w:tc>
        <w:tc>
          <w:tcPr>
            <w:tcW w:w="581" w:type="pct"/>
            <w:noWrap/>
            <w:vAlign w:val="center"/>
          </w:tcPr>
          <w:p w14:paraId="5325F981">
            <w:pPr>
              <w:pStyle w:val="45"/>
              <w:rPr>
                <w:rFonts w:hint="default"/>
              </w:rPr>
            </w:pPr>
            <w:r>
              <w:rPr>
                <w:rFonts w:hint="default"/>
              </w:rPr>
              <w:t>0.05L</w:t>
            </w:r>
          </w:p>
        </w:tc>
        <w:tc>
          <w:tcPr>
            <w:tcW w:w="410" w:type="pct"/>
            <w:noWrap/>
            <w:vAlign w:val="center"/>
          </w:tcPr>
          <w:p w14:paraId="1E8EFB65">
            <w:pPr>
              <w:pStyle w:val="45"/>
              <w:rPr>
                <w:rFonts w:hint="default"/>
              </w:rPr>
            </w:pPr>
            <w:r>
              <w:rPr>
                <w:rFonts w:hint="default"/>
              </w:rPr>
              <w:t>/</w:t>
            </w:r>
          </w:p>
        </w:tc>
        <w:tc>
          <w:tcPr>
            <w:tcW w:w="505" w:type="pct"/>
            <w:noWrap/>
            <w:vAlign w:val="center"/>
          </w:tcPr>
          <w:p w14:paraId="6FE2745D">
            <w:pPr>
              <w:pStyle w:val="45"/>
              <w:rPr>
                <w:rFonts w:hint="default"/>
              </w:rPr>
            </w:pPr>
            <w:r>
              <w:rPr>
                <w:rFonts w:hint="default"/>
              </w:rPr>
              <w:t>0.2</w:t>
            </w:r>
          </w:p>
        </w:tc>
        <w:tc>
          <w:tcPr>
            <w:tcW w:w="505" w:type="pct"/>
            <w:noWrap/>
            <w:vAlign w:val="center"/>
          </w:tcPr>
          <w:p w14:paraId="3B6D9C12">
            <w:pPr>
              <w:pStyle w:val="45"/>
              <w:rPr>
                <w:rFonts w:hint="default"/>
              </w:rPr>
            </w:pPr>
            <w:r>
              <w:rPr>
                <w:rFonts w:hint="default"/>
              </w:rPr>
              <w:t>/</w:t>
            </w:r>
          </w:p>
        </w:tc>
        <w:tc>
          <w:tcPr>
            <w:tcW w:w="410" w:type="pct"/>
            <w:noWrap/>
            <w:vAlign w:val="center"/>
          </w:tcPr>
          <w:p w14:paraId="2F39F22A">
            <w:pPr>
              <w:pStyle w:val="45"/>
              <w:rPr>
                <w:rFonts w:hint="default"/>
              </w:rPr>
            </w:pPr>
            <w:r>
              <w:rPr>
                <w:rFonts w:hint="default"/>
              </w:rPr>
              <w:t>0</w:t>
            </w:r>
          </w:p>
        </w:tc>
        <w:tc>
          <w:tcPr>
            <w:tcW w:w="505" w:type="pct"/>
            <w:noWrap/>
            <w:vAlign w:val="center"/>
          </w:tcPr>
          <w:p w14:paraId="27FE2AF1">
            <w:pPr>
              <w:pStyle w:val="45"/>
              <w:rPr>
                <w:rFonts w:hint="default"/>
              </w:rPr>
            </w:pPr>
            <w:r>
              <w:rPr>
                <w:rFonts w:hint="default"/>
              </w:rPr>
              <w:t>0</w:t>
            </w:r>
          </w:p>
        </w:tc>
        <w:tc>
          <w:tcPr>
            <w:tcW w:w="505" w:type="pct"/>
            <w:noWrap/>
            <w:vAlign w:val="center"/>
          </w:tcPr>
          <w:p w14:paraId="0B78CDDC">
            <w:pPr>
              <w:pStyle w:val="45"/>
              <w:rPr>
                <w:rFonts w:hint="default"/>
              </w:rPr>
            </w:pPr>
            <w:r>
              <w:rPr>
                <w:rFonts w:hint="default"/>
              </w:rPr>
              <w:t>达标</w:t>
            </w:r>
          </w:p>
        </w:tc>
      </w:tr>
      <w:tr w14:paraId="2400C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26075C5A">
            <w:pPr>
              <w:pStyle w:val="45"/>
              <w:rPr>
                <w:rFonts w:hint="default"/>
              </w:rPr>
            </w:pPr>
          </w:p>
        </w:tc>
        <w:tc>
          <w:tcPr>
            <w:tcW w:w="1073" w:type="pct"/>
            <w:noWrap/>
            <w:vAlign w:val="center"/>
          </w:tcPr>
          <w:p w14:paraId="39471630">
            <w:pPr>
              <w:pStyle w:val="45"/>
              <w:rPr>
                <w:rFonts w:hint="default"/>
              </w:rPr>
            </w:pPr>
            <w:r>
              <w:rPr>
                <w:rFonts w:hint="default"/>
              </w:rPr>
              <w:t>铅</w:t>
            </w:r>
          </w:p>
        </w:tc>
        <w:tc>
          <w:tcPr>
            <w:tcW w:w="581" w:type="pct"/>
            <w:noWrap/>
            <w:vAlign w:val="center"/>
          </w:tcPr>
          <w:p w14:paraId="19114D77">
            <w:pPr>
              <w:pStyle w:val="45"/>
              <w:rPr>
                <w:rFonts w:hint="default"/>
              </w:rPr>
            </w:pPr>
            <w:r>
              <w:rPr>
                <w:rFonts w:hint="default"/>
              </w:rPr>
              <w:t>0.001L</w:t>
            </w:r>
          </w:p>
        </w:tc>
        <w:tc>
          <w:tcPr>
            <w:tcW w:w="410" w:type="pct"/>
            <w:noWrap/>
            <w:vAlign w:val="center"/>
          </w:tcPr>
          <w:p w14:paraId="21869A37">
            <w:pPr>
              <w:pStyle w:val="45"/>
              <w:rPr>
                <w:rFonts w:hint="default"/>
              </w:rPr>
            </w:pPr>
            <w:r>
              <w:rPr>
                <w:rFonts w:hint="default"/>
              </w:rPr>
              <w:t>/</w:t>
            </w:r>
          </w:p>
        </w:tc>
        <w:tc>
          <w:tcPr>
            <w:tcW w:w="505" w:type="pct"/>
            <w:noWrap/>
            <w:vAlign w:val="center"/>
          </w:tcPr>
          <w:p w14:paraId="24C3BB2F">
            <w:pPr>
              <w:pStyle w:val="45"/>
              <w:rPr>
                <w:rFonts w:hint="default"/>
              </w:rPr>
            </w:pPr>
            <w:r>
              <w:rPr>
                <w:rFonts w:hint="default"/>
              </w:rPr>
              <w:t>0.05</w:t>
            </w:r>
          </w:p>
        </w:tc>
        <w:tc>
          <w:tcPr>
            <w:tcW w:w="505" w:type="pct"/>
            <w:noWrap/>
            <w:vAlign w:val="center"/>
          </w:tcPr>
          <w:p w14:paraId="087725AB">
            <w:pPr>
              <w:pStyle w:val="45"/>
              <w:rPr>
                <w:rFonts w:hint="default"/>
              </w:rPr>
            </w:pPr>
            <w:r>
              <w:rPr>
                <w:rFonts w:hint="default"/>
              </w:rPr>
              <w:t>/</w:t>
            </w:r>
          </w:p>
        </w:tc>
        <w:tc>
          <w:tcPr>
            <w:tcW w:w="410" w:type="pct"/>
            <w:noWrap/>
            <w:vAlign w:val="center"/>
          </w:tcPr>
          <w:p w14:paraId="5CBB3060">
            <w:pPr>
              <w:pStyle w:val="45"/>
              <w:rPr>
                <w:rFonts w:hint="default"/>
              </w:rPr>
            </w:pPr>
            <w:r>
              <w:rPr>
                <w:rFonts w:hint="default"/>
              </w:rPr>
              <w:t>0</w:t>
            </w:r>
          </w:p>
        </w:tc>
        <w:tc>
          <w:tcPr>
            <w:tcW w:w="505" w:type="pct"/>
            <w:noWrap/>
            <w:vAlign w:val="center"/>
          </w:tcPr>
          <w:p w14:paraId="6A93A9D8">
            <w:pPr>
              <w:pStyle w:val="45"/>
              <w:rPr>
                <w:rFonts w:hint="default"/>
              </w:rPr>
            </w:pPr>
            <w:r>
              <w:rPr>
                <w:rFonts w:hint="default"/>
              </w:rPr>
              <w:t>0</w:t>
            </w:r>
          </w:p>
        </w:tc>
        <w:tc>
          <w:tcPr>
            <w:tcW w:w="505" w:type="pct"/>
            <w:noWrap/>
            <w:vAlign w:val="center"/>
          </w:tcPr>
          <w:p w14:paraId="21AD3844">
            <w:pPr>
              <w:pStyle w:val="45"/>
              <w:rPr>
                <w:rFonts w:hint="default"/>
              </w:rPr>
            </w:pPr>
            <w:r>
              <w:rPr>
                <w:rFonts w:hint="default"/>
              </w:rPr>
              <w:t>达标</w:t>
            </w:r>
          </w:p>
        </w:tc>
      </w:tr>
      <w:tr w14:paraId="42855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1984D023">
            <w:pPr>
              <w:pStyle w:val="45"/>
              <w:rPr>
                <w:rFonts w:hint="default"/>
              </w:rPr>
            </w:pPr>
          </w:p>
        </w:tc>
        <w:tc>
          <w:tcPr>
            <w:tcW w:w="1073" w:type="pct"/>
            <w:noWrap/>
            <w:vAlign w:val="center"/>
          </w:tcPr>
          <w:p w14:paraId="2CEBF9B1">
            <w:pPr>
              <w:pStyle w:val="45"/>
              <w:rPr>
                <w:rFonts w:hint="default"/>
              </w:rPr>
            </w:pPr>
            <w:r>
              <w:rPr>
                <w:rFonts w:hint="default"/>
              </w:rPr>
              <w:t>砷</w:t>
            </w:r>
          </w:p>
        </w:tc>
        <w:tc>
          <w:tcPr>
            <w:tcW w:w="581" w:type="pct"/>
            <w:noWrap/>
            <w:vAlign w:val="center"/>
          </w:tcPr>
          <w:p w14:paraId="35F61B28">
            <w:pPr>
              <w:pStyle w:val="45"/>
              <w:rPr>
                <w:rFonts w:hint="default"/>
              </w:rPr>
            </w:pPr>
            <w:r>
              <w:rPr>
                <w:rFonts w:hint="default"/>
              </w:rPr>
              <w:t>0.0003L</w:t>
            </w:r>
          </w:p>
        </w:tc>
        <w:tc>
          <w:tcPr>
            <w:tcW w:w="410" w:type="pct"/>
            <w:noWrap/>
            <w:vAlign w:val="center"/>
          </w:tcPr>
          <w:p w14:paraId="3708DB97">
            <w:pPr>
              <w:pStyle w:val="45"/>
              <w:rPr>
                <w:rFonts w:hint="default"/>
              </w:rPr>
            </w:pPr>
            <w:r>
              <w:rPr>
                <w:rFonts w:hint="default"/>
              </w:rPr>
              <w:t>/</w:t>
            </w:r>
          </w:p>
        </w:tc>
        <w:tc>
          <w:tcPr>
            <w:tcW w:w="505" w:type="pct"/>
            <w:noWrap/>
            <w:vAlign w:val="center"/>
          </w:tcPr>
          <w:p w14:paraId="74CC9EA2">
            <w:pPr>
              <w:pStyle w:val="45"/>
              <w:rPr>
                <w:rFonts w:hint="default"/>
              </w:rPr>
            </w:pPr>
            <w:r>
              <w:rPr>
                <w:rFonts w:hint="default"/>
              </w:rPr>
              <w:t>0.05</w:t>
            </w:r>
          </w:p>
        </w:tc>
        <w:tc>
          <w:tcPr>
            <w:tcW w:w="505" w:type="pct"/>
            <w:noWrap/>
            <w:vAlign w:val="center"/>
          </w:tcPr>
          <w:p w14:paraId="3483C910">
            <w:pPr>
              <w:pStyle w:val="45"/>
              <w:rPr>
                <w:rFonts w:hint="default"/>
              </w:rPr>
            </w:pPr>
            <w:r>
              <w:rPr>
                <w:rFonts w:hint="default"/>
              </w:rPr>
              <w:t>/</w:t>
            </w:r>
          </w:p>
        </w:tc>
        <w:tc>
          <w:tcPr>
            <w:tcW w:w="410" w:type="pct"/>
            <w:noWrap/>
            <w:vAlign w:val="center"/>
          </w:tcPr>
          <w:p w14:paraId="4F88BD35">
            <w:pPr>
              <w:pStyle w:val="45"/>
              <w:rPr>
                <w:rFonts w:hint="default"/>
              </w:rPr>
            </w:pPr>
            <w:r>
              <w:rPr>
                <w:rFonts w:hint="default"/>
              </w:rPr>
              <w:t>0</w:t>
            </w:r>
          </w:p>
        </w:tc>
        <w:tc>
          <w:tcPr>
            <w:tcW w:w="505" w:type="pct"/>
            <w:noWrap/>
            <w:vAlign w:val="center"/>
          </w:tcPr>
          <w:p w14:paraId="2AFC2C03">
            <w:pPr>
              <w:pStyle w:val="45"/>
              <w:rPr>
                <w:rFonts w:hint="default"/>
              </w:rPr>
            </w:pPr>
            <w:r>
              <w:rPr>
                <w:rFonts w:hint="default"/>
              </w:rPr>
              <w:t>0</w:t>
            </w:r>
          </w:p>
        </w:tc>
        <w:tc>
          <w:tcPr>
            <w:tcW w:w="505" w:type="pct"/>
            <w:noWrap/>
            <w:vAlign w:val="center"/>
          </w:tcPr>
          <w:p w14:paraId="63BA428E">
            <w:pPr>
              <w:pStyle w:val="45"/>
              <w:rPr>
                <w:rFonts w:hint="default"/>
              </w:rPr>
            </w:pPr>
            <w:r>
              <w:rPr>
                <w:rFonts w:hint="default"/>
              </w:rPr>
              <w:t>达标</w:t>
            </w:r>
          </w:p>
        </w:tc>
      </w:tr>
      <w:tr w14:paraId="3FF14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7B726533">
            <w:pPr>
              <w:pStyle w:val="45"/>
              <w:rPr>
                <w:rFonts w:hint="default"/>
              </w:rPr>
            </w:pPr>
          </w:p>
        </w:tc>
        <w:tc>
          <w:tcPr>
            <w:tcW w:w="1073" w:type="pct"/>
            <w:noWrap/>
            <w:vAlign w:val="center"/>
          </w:tcPr>
          <w:p w14:paraId="0DFE6F97">
            <w:pPr>
              <w:pStyle w:val="45"/>
              <w:rPr>
                <w:rFonts w:hint="default"/>
              </w:rPr>
            </w:pPr>
            <w:r>
              <w:rPr>
                <w:rFonts w:hint="default"/>
              </w:rPr>
              <w:t>镉</w:t>
            </w:r>
          </w:p>
        </w:tc>
        <w:tc>
          <w:tcPr>
            <w:tcW w:w="581" w:type="pct"/>
            <w:noWrap/>
            <w:vAlign w:val="center"/>
          </w:tcPr>
          <w:p w14:paraId="53E567A3">
            <w:pPr>
              <w:pStyle w:val="45"/>
              <w:rPr>
                <w:rFonts w:hint="default"/>
              </w:rPr>
            </w:pPr>
            <w:r>
              <w:rPr>
                <w:rFonts w:hint="default"/>
              </w:rPr>
              <w:t>0.0001L</w:t>
            </w:r>
          </w:p>
        </w:tc>
        <w:tc>
          <w:tcPr>
            <w:tcW w:w="410" w:type="pct"/>
            <w:noWrap/>
            <w:vAlign w:val="center"/>
          </w:tcPr>
          <w:p w14:paraId="1D3277D9">
            <w:pPr>
              <w:pStyle w:val="45"/>
              <w:rPr>
                <w:rFonts w:hint="default"/>
              </w:rPr>
            </w:pPr>
            <w:r>
              <w:rPr>
                <w:rFonts w:hint="default"/>
              </w:rPr>
              <w:t>/</w:t>
            </w:r>
          </w:p>
        </w:tc>
        <w:tc>
          <w:tcPr>
            <w:tcW w:w="505" w:type="pct"/>
            <w:noWrap/>
            <w:vAlign w:val="center"/>
          </w:tcPr>
          <w:p w14:paraId="5C6EC149">
            <w:pPr>
              <w:pStyle w:val="45"/>
              <w:rPr>
                <w:rFonts w:hint="default"/>
              </w:rPr>
            </w:pPr>
            <w:r>
              <w:rPr>
                <w:rFonts w:hint="default"/>
              </w:rPr>
              <w:t>0.005</w:t>
            </w:r>
          </w:p>
        </w:tc>
        <w:tc>
          <w:tcPr>
            <w:tcW w:w="505" w:type="pct"/>
            <w:noWrap/>
            <w:vAlign w:val="center"/>
          </w:tcPr>
          <w:p w14:paraId="3F95FA16">
            <w:pPr>
              <w:pStyle w:val="45"/>
              <w:rPr>
                <w:rFonts w:hint="default"/>
              </w:rPr>
            </w:pPr>
            <w:r>
              <w:rPr>
                <w:rFonts w:hint="default"/>
              </w:rPr>
              <w:t>/</w:t>
            </w:r>
          </w:p>
        </w:tc>
        <w:tc>
          <w:tcPr>
            <w:tcW w:w="410" w:type="pct"/>
            <w:noWrap/>
            <w:vAlign w:val="center"/>
          </w:tcPr>
          <w:p w14:paraId="499D571E">
            <w:pPr>
              <w:pStyle w:val="45"/>
              <w:rPr>
                <w:rFonts w:hint="default"/>
              </w:rPr>
            </w:pPr>
            <w:r>
              <w:rPr>
                <w:rFonts w:hint="default"/>
              </w:rPr>
              <w:t>0</w:t>
            </w:r>
          </w:p>
        </w:tc>
        <w:tc>
          <w:tcPr>
            <w:tcW w:w="505" w:type="pct"/>
            <w:noWrap/>
            <w:vAlign w:val="center"/>
          </w:tcPr>
          <w:p w14:paraId="0AF10A4B">
            <w:pPr>
              <w:pStyle w:val="45"/>
              <w:rPr>
                <w:rFonts w:hint="default"/>
              </w:rPr>
            </w:pPr>
            <w:r>
              <w:rPr>
                <w:rFonts w:hint="default"/>
              </w:rPr>
              <w:t>0</w:t>
            </w:r>
          </w:p>
        </w:tc>
        <w:tc>
          <w:tcPr>
            <w:tcW w:w="505" w:type="pct"/>
            <w:noWrap/>
            <w:vAlign w:val="center"/>
          </w:tcPr>
          <w:p w14:paraId="1C974766">
            <w:pPr>
              <w:pStyle w:val="45"/>
              <w:rPr>
                <w:rFonts w:hint="default"/>
              </w:rPr>
            </w:pPr>
            <w:r>
              <w:rPr>
                <w:rFonts w:hint="default"/>
              </w:rPr>
              <w:t>达标</w:t>
            </w:r>
          </w:p>
        </w:tc>
      </w:tr>
      <w:tr w14:paraId="063E4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6120B012">
            <w:pPr>
              <w:pStyle w:val="45"/>
              <w:rPr>
                <w:rFonts w:hint="default"/>
              </w:rPr>
            </w:pPr>
          </w:p>
        </w:tc>
        <w:tc>
          <w:tcPr>
            <w:tcW w:w="1073" w:type="pct"/>
            <w:noWrap/>
            <w:vAlign w:val="center"/>
          </w:tcPr>
          <w:p w14:paraId="287524DD">
            <w:pPr>
              <w:pStyle w:val="45"/>
              <w:rPr>
                <w:rFonts w:hint="default"/>
              </w:rPr>
            </w:pPr>
            <w:r>
              <w:rPr>
                <w:rFonts w:hint="default"/>
              </w:rPr>
              <w:t>铬（六价）</w:t>
            </w:r>
          </w:p>
        </w:tc>
        <w:tc>
          <w:tcPr>
            <w:tcW w:w="581" w:type="pct"/>
            <w:noWrap/>
            <w:vAlign w:val="center"/>
          </w:tcPr>
          <w:p w14:paraId="15DA75D3">
            <w:pPr>
              <w:pStyle w:val="45"/>
              <w:rPr>
                <w:rFonts w:hint="default"/>
              </w:rPr>
            </w:pPr>
            <w:r>
              <w:rPr>
                <w:rFonts w:hint="default"/>
              </w:rPr>
              <w:t>0.004L</w:t>
            </w:r>
          </w:p>
        </w:tc>
        <w:tc>
          <w:tcPr>
            <w:tcW w:w="410" w:type="pct"/>
            <w:noWrap/>
            <w:vAlign w:val="center"/>
          </w:tcPr>
          <w:p w14:paraId="50B38433">
            <w:pPr>
              <w:pStyle w:val="45"/>
              <w:rPr>
                <w:rFonts w:hint="default"/>
              </w:rPr>
            </w:pPr>
            <w:r>
              <w:rPr>
                <w:rFonts w:hint="default"/>
              </w:rPr>
              <w:t>/</w:t>
            </w:r>
          </w:p>
        </w:tc>
        <w:tc>
          <w:tcPr>
            <w:tcW w:w="505" w:type="pct"/>
            <w:noWrap/>
            <w:vAlign w:val="center"/>
          </w:tcPr>
          <w:p w14:paraId="14858B8A">
            <w:pPr>
              <w:pStyle w:val="45"/>
              <w:rPr>
                <w:rFonts w:hint="default"/>
              </w:rPr>
            </w:pPr>
            <w:r>
              <w:rPr>
                <w:rFonts w:hint="default"/>
              </w:rPr>
              <w:t>0.05</w:t>
            </w:r>
          </w:p>
        </w:tc>
        <w:tc>
          <w:tcPr>
            <w:tcW w:w="505" w:type="pct"/>
            <w:noWrap/>
            <w:vAlign w:val="center"/>
          </w:tcPr>
          <w:p w14:paraId="4B57E7F0">
            <w:pPr>
              <w:pStyle w:val="45"/>
              <w:rPr>
                <w:rFonts w:hint="default"/>
              </w:rPr>
            </w:pPr>
            <w:r>
              <w:rPr>
                <w:rFonts w:hint="default"/>
              </w:rPr>
              <w:t>/</w:t>
            </w:r>
          </w:p>
        </w:tc>
        <w:tc>
          <w:tcPr>
            <w:tcW w:w="410" w:type="pct"/>
            <w:noWrap/>
            <w:vAlign w:val="center"/>
          </w:tcPr>
          <w:p w14:paraId="051BB77A">
            <w:pPr>
              <w:pStyle w:val="45"/>
              <w:rPr>
                <w:rFonts w:hint="default"/>
              </w:rPr>
            </w:pPr>
            <w:r>
              <w:rPr>
                <w:rFonts w:hint="default"/>
              </w:rPr>
              <w:t>0</w:t>
            </w:r>
          </w:p>
        </w:tc>
        <w:tc>
          <w:tcPr>
            <w:tcW w:w="505" w:type="pct"/>
            <w:noWrap/>
            <w:vAlign w:val="center"/>
          </w:tcPr>
          <w:p w14:paraId="36D72077">
            <w:pPr>
              <w:pStyle w:val="45"/>
              <w:rPr>
                <w:rFonts w:hint="default"/>
              </w:rPr>
            </w:pPr>
            <w:r>
              <w:rPr>
                <w:rFonts w:hint="default"/>
              </w:rPr>
              <w:t>0</w:t>
            </w:r>
          </w:p>
        </w:tc>
        <w:tc>
          <w:tcPr>
            <w:tcW w:w="505" w:type="pct"/>
            <w:noWrap/>
            <w:vAlign w:val="center"/>
          </w:tcPr>
          <w:p w14:paraId="27AB8B3F">
            <w:pPr>
              <w:pStyle w:val="45"/>
              <w:rPr>
                <w:rFonts w:hint="default"/>
              </w:rPr>
            </w:pPr>
            <w:r>
              <w:rPr>
                <w:rFonts w:hint="default"/>
              </w:rPr>
              <w:t>达标</w:t>
            </w:r>
          </w:p>
        </w:tc>
      </w:tr>
      <w:tr w14:paraId="085C0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6AC1DE61">
            <w:pPr>
              <w:pStyle w:val="45"/>
              <w:rPr>
                <w:rFonts w:hint="default"/>
              </w:rPr>
            </w:pPr>
          </w:p>
        </w:tc>
        <w:tc>
          <w:tcPr>
            <w:tcW w:w="1073" w:type="pct"/>
            <w:noWrap/>
            <w:vAlign w:val="center"/>
          </w:tcPr>
          <w:p w14:paraId="1CADF7F5">
            <w:pPr>
              <w:pStyle w:val="45"/>
              <w:rPr>
                <w:rFonts w:hint="default"/>
              </w:rPr>
            </w:pPr>
            <w:r>
              <w:rPr>
                <w:rFonts w:hint="default"/>
              </w:rPr>
              <w:t>汞</w:t>
            </w:r>
          </w:p>
        </w:tc>
        <w:tc>
          <w:tcPr>
            <w:tcW w:w="581" w:type="pct"/>
            <w:noWrap/>
            <w:vAlign w:val="center"/>
          </w:tcPr>
          <w:p w14:paraId="20FFABE7">
            <w:pPr>
              <w:pStyle w:val="45"/>
              <w:rPr>
                <w:rFonts w:hint="default"/>
              </w:rPr>
            </w:pPr>
            <w:r>
              <w:rPr>
                <w:rFonts w:hint="default"/>
              </w:rPr>
              <w:t>0.00004L</w:t>
            </w:r>
          </w:p>
        </w:tc>
        <w:tc>
          <w:tcPr>
            <w:tcW w:w="410" w:type="pct"/>
            <w:noWrap/>
            <w:vAlign w:val="center"/>
          </w:tcPr>
          <w:p w14:paraId="65E69C4D">
            <w:pPr>
              <w:pStyle w:val="45"/>
              <w:rPr>
                <w:rFonts w:hint="default"/>
              </w:rPr>
            </w:pPr>
            <w:r>
              <w:rPr>
                <w:rFonts w:hint="default"/>
              </w:rPr>
              <w:t>/</w:t>
            </w:r>
          </w:p>
        </w:tc>
        <w:tc>
          <w:tcPr>
            <w:tcW w:w="505" w:type="pct"/>
            <w:noWrap/>
            <w:vAlign w:val="center"/>
          </w:tcPr>
          <w:p w14:paraId="0B8CCE2E">
            <w:pPr>
              <w:pStyle w:val="45"/>
              <w:rPr>
                <w:rFonts w:hint="default"/>
              </w:rPr>
            </w:pPr>
            <w:r>
              <w:rPr>
                <w:rFonts w:hint="default"/>
              </w:rPr>
              <w:t>0.0001</w:t>
            </w:r>
          </w:p>
        </w:tc>
        <w:tc>
          <w:tcPr>
            <w:tcW w:w="505" w:type="pct"/>
            <w:noWrap/>
            <w:vAlign w:val="center"/>
          </w:tcPr>
          <w:p w14:paraId="49F819CF">
            <w:pPr>
              <w:pStyle w:val="45"/>
              <w:rPr>
                <w:rFonts w:hint="default"/>
              </w:rPr>
            </w:pPr>
            <w:r>
              <w:rPr>
                <w:rFonts w:hint="default"/>
              </w:rPr>
              <w:t>/</w:t>
            </w:r>
          </w:p>
        </w:tc>
        <w:tc>
          <w:tcPr>
            <w:tcW w:w="410" w:type="pct"/>
            <w:noWrap/>
            <w:vAlign w:val="center"/>
          </w:tcPr>
          <w:p w14:paraId="3C87061C">
            <w:pPr>
              <w:pStyle w:val="45"/>
              <w:rPr>
                <w:rFonts w:hint="default"/>
              </w:rPr>
            </w:pPr>
            <w:r>
              <w:rPr>
                <w:rFonts w:hint="default"/>
              </w:rPr>
              <w:t>0</w:t>
            </w:r>
          </w:p>
        </w:tc>
        <w:tc>
          <w:tcPr>
            <w:tcW w:w="505" w:type="pct"/>
            <w:noWrap/>
            <w:vAlign w:val="center"/>
          </w:tcPr>
          <w:p w14:paraId="39BFD24D">
            <w:pPr>
              <w:pStyle w:val="45"/>
              <w:rPr>
                <w:rFonts w:hint="default"/>
              </w:rPr>
            </w:pPr>
            <w:r>
              <w:rPr>
                <w:rFonts w:hint="default"/>
              </w:rPr>
              <w:t>0</w:t>
            </w:r>
          </w:p>
        </w:tc>
        <w:tc>
          <w:tcPr>
            <w:tcW w:w="505" w:type="pct"/>
            <w:noWrap/>
            <w:vAlign w:val="center"/>
          </w:tcPr>
          <w:p w14:paraId="40CD635D">
            <w:pPr>
              <w:pStyle w:val="45"/>
              <w:rPr>
                <w:rFonts w:hint="default"/>
              </w:rPr>
            </w:pPr>
            <w:r>
              <w:rPr>
                <w:rFonts w:hint="default"/>
              </w:rPr>
              <w:t>达标</w:t>
            </w:r>
          </w:p>
        </w:tc>
      </w:tr>
      <w:tr w14:paraId="174CB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76110424">
            <w:pPr>
              <w:pStyle w:val="45"/>
              <w:rPr>
                <w:rFonts w:hint="default"/>
              </w:rPr>
            </w:pPr>
          </w:p>
        </w:tc>
        <w:tc>
          <w:tcPr>
            <w:tcW w:w="1073" w:type="pct"/>
            <w:noWrap/>
            <w:vAlign w:val="center"/>
          </w:tcPr>
          <w:p w14:paraId="1AAB4A86">
            <w:pPr>
              <w:pStyle w:val="45"/>
              <w:rPr>
                <w:rFonts w:hint="default"/>
              </w:rPr>
            </w:pPr>
            <w:r>
              <w:rPr>
                <w:rFonts w:hint="default"/>
              </w:rPr>
              <w:t>铜</w:t>
            </w:r>
          </w:p>
        </w:tc>
        <w:tc>
          <w:tcPr>
            <w:tcW w:w="581" w:type="pct"/>
            <w:noWrap/>
            <w:vAlign w:val="center"/>
          </w:tcPr>
          <w:p w14:paraId="753B8323">
            <w:pPr>
              <w:pStyle w:val="45"/>
              <w:rPr>
                <w:rFonts w:hint="default"/>
              </w:rPr>
            </w:pPr>
            <w:r>
              <w:rPr>
                <w:rFonts w:hint="default"/>
              </w:rPr>
              <w:t>0.05L</w:t>
            </w:r>
          </w:p>
        </w:tc>
        <w:tc>
          <w:tcPr>
            <w:tcW w:w="410" w:type="pct"/>
            <w:noWrap/>
            <w:vAlign w:val="center"/>
          </w:tcPr>
          <w:p w14:paraId="3D868F91">
            <w:pPr>
              <w:pStyle w:val="45"/>
              <w:rPr>
                <w:rFonts w:hint="default"/>
              </w:rPr>
            </w:pPr>
            <w:r>
              <w:rPr>
                <w:rFonts w:hint="default"/>
              </w:rPr>
              <w:t>/</w:t>
            </w:r>
          </w:p>
        </w:tc>
        <w:tc>
          <w:tcPr>
            <w:tcW w:w="505" w:type="pct"/>
            <w:noWrap/>
            <w:vAlign w:val="center"/>
          </w:tcPr>
          <w:p w14:paraId="28CDAEDB">
            <w:pPr>
              <w:pStyle w:val="45"/>
              <w:rPr>
                <w:rFonts w:hint="default"/>
              </w:rPr>
            </w:pPr>
            <w:r>
              <w:rPr>
                <w:rFonts w:hint="default"/>
              </w:rPr>
              <w:t>1</w:t>
            </w:r>
          </w:p>
        </w:tc>
        <w:tc>
          <w:tcPr>
            <w:tcW w:w="505" w:type="pct"/>
            <w:noWrap/>
            <w:vAlign w:val="center"/>
          </w:tcPr>
          <w:p w14:paraId="0137FC14">
            <w:pPr>
              <w:pStyle w:val="45"/>
              <w:rPr>
                <w:rFonts w:hint="default"/>
              </w:rPr>
            </w:pPr>
            <w:r>
              <w:rPr>
                <w:rFonts w:hint="default"/>
              </w:rPr>
              <w:t>/</w:t>
            </w:r>
          </w:p>
        </w:tc>
        <w:tc>
          <w:tcPr>
            <w:tcW w:w="410" w:type="pct"/>
            <w:noWrap/>
            <w:vAlign w:val="center"/>
          </w:tcPr>
          <w:p w14:paraId="4EC5F476">
            <w:pPr>
              <w:pStyle w:val="45"/>
              <w:rPr>
                <w:rFonts w:hint="default"/>
              </w:rPr>
            </w:pPr>
            <w:r>
              <w:rPr>
                <w:rFonts w:hint="default"/>
              </w:rPr>
              <w:t>0</w:t>
            </w:r>
          </w:p>
        </w:tc>
        <w:tc>
          <w:tcPr>
            <w:tcW w:w="505" w:type="pct"/>
            <w:noWrap/>
            <w:vAlign w:val="center"/>
          </w:tcPr>
          <w:p w14:paraId="0ECD6ABE">
            <w:pPr>
              <w:pStyle w:val="45"/>
              <w:rPr>
                <w:rFonts w:hint="default"/>
              </w:rPr>
            </w:pPr>
            <w:r>
              <w:rPr>
                <w:rFonts w:hint="default"/>
              </w:rPr>
              <w:t>0</w:t>
            </w:r>
          </w:p>
        </w:tc>
        <w:tc>
          <w:tcPr>
            <w:tcW w:w="505" w:type="pct"/>
            <w:noWrap/>
            <w:vAlign w:val="center"/>
          </w:tcPr>
          <w:p w14:paraId="7A05EC9F">
            <w:pPr>
              <w:pStyle w:val="45"/>
              <w:rPr>
                <w:rFonts w:hint="default"/>
              </w:rPr>
            </w:pPr>
            <w:r>
              <w:rPr>
                <w:rFonts w:hint="default"/>
              </w:rPr>
              <w:t>达标</w:t>
            </w:r>
          </w:p>
        </w:tc>
      </w:tr>
      <w:tr w14:paraId="47CFF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066EFC10">
            <w:pPr>
              <w:pStyle w:val="45"/>
              <w:rPr>
                <w:rFonts w:hint="default"/>
              </w:rPr>
            </w:pPr>
          </w:p>
        </w:tc>
        <w:tc>
          <w:tcPr>
            <w:tcW w:w="1073" w:type="pct"/>
            <w:noWrap/>
            <w:vAlign w:val="center"/>
          </w:tcPr>
          <w:p w14:paraId="51BACF28">
            <w:pPr>
              <w:pStyle w:val="45"/>
              <w:rPr>
                <w:rFonts w:hint="default"/>
              </w:rPr>
            </w:pPr>
            <w:r>
              <w:rPr>
                <w:rFonts w:hint="default"/>
              </w:rPr>
              <w:t>锌</w:t>
            </w:r>
          </w:p>
        </w:tc>
        <w:tc>
          <w:tcPr>
            <w:tcW w:w="581" w:type="pct"/>
            <w:noWrap/>
            <w:vAlign w:val="center"/>
          </w:tcPr>
          <w:p w14:paraId="16715787">
            <w:pPr>
              <w:pStyle w:val="45"/>
              <w:rPr>
                <w:rFonts w:hint="default"/>
              </w:rPr>
            </w:pPr>
            <w:r>
              <w:rPr>
                <w:rFonts w:hint="default"/>
              </w:rPr>
              <w:t>0.05L</w:t>
            </w:r>
          </w:p>
        </w:tc>
        <w:tc>
          <w:tcPr>
            <w:tcW w:w="410" w:type="pct"/>
            <w:noWrap/>
            <w:vAlign w:val="center"/>
          </w:tcPr>
          <w:p w14:paraId="5E093755">
            <w:pPr>
              <w:pStyle w:val="45"/>
              <w:rPr>
                <w:rFonts w:hint="default"/>
              </w:rPr>
            </w:pPr>
            <w:r>
              <w:rPr>
                <w:rFonts w:hint="default"/>
              </w:rPr>
              <w:t>/</w:t>
            </w:r>
          </w:p>
        </w:tc>
        <w:tc>
          <w:tcPr>
            <w:tcW w:w="505" w:type="pct"/>
            <w:noWrap/>
            <w:vAlign w:val="center"/>
          </w:tcPr>
          <w:p w14:paraId="2417AC52">
            <w:pPr>
              <w:pStyle w:val="45"/>
              <w:rPr>
                <w:rFonts w:hint="default"/>
              </w:rPr>
            </w:pPr>
            <w:r>
              <w:rPr>
                <w:rFonts w:hint="default"/>
              </w:rPr>
              <w:t>1</w:t>
            </w:r>
          </w:p>
        </w:tc>
        <w:tc>
          <w:tcPr>
            <w:tcW w:w="505" w:type="pct"/>
            <w:noWrap/>
            <w:vAlign w:val="center"/>
          </w:tcPr>
          <w:p w14:paraId="063B4F44">
            <w:pPr>
              <w:pStyle w:val="45"/>
              <w:rPr>
                <w:rFonts w:hint="default"/>
              </w:rPr>
            </w:pPr>
            <w:r>
              <w:rPr>
                <w:rFonts w:hint="default"/>
              </w:rPr>
              <w:t>/</w:t>
            </w:r>
          </w:p>
        </w:tc>
        <w:tc>
          <w:tcPr>
            <w:tcW w:w="410" w:type="pct"/>
            <w:noWrap/>
            <w:vAlign w:val="center"/>
          </w:tcPr>
          <w:p w14:paraId="6E6D40FA">
            <w:pPr>
              <w:pStyle w:val="45"/>
              <w:rPr>
                <w:rFonts w:hint="default"/>
              </w:rPr>
            </w:pPr>
            <w:r>
              <w:rPr>
                <w:rFonts w:hint="default"/>
              </w:rPr>
              <w:t>0</w:t>
            </w:r>
          </w:p>
        </w:tc>
        <w:tc>
          <w:tcPr>
            <w:tcW w:w="505" w:type="pct"/>
            <w:noWrap/>
            <w:vAlign w:val="center"/>
          </w:tcPr>
          <w:p w14:paraId="5CC91DE1">
            <w:pPr>
              <w:pStyle w:val="45"/>
              <w:rPr>
                <w:rFonts w:hint="default"/>
              </w:rPr>
            </w:pPr>
            <w:r>
              <w:rPr>
                <w:rFonts w:hint="default"/>
              </w:rPr>
              <w:t>0</w:t>
            </w:r>
          </w:p>
        </w:tc>
        <w:tc>
          <w:tcPr>
            <w:tcW w:w="505" w:type="pct"/>
            <w:noWrap/>
            <w:vAlign w:val="center"/>
          </w:tcPr>
          <w:p w14:paraId="6C344B9C">
            <w:pPr>
              <w:pStyle w:val="45"/>
              <w:rPr>
                <w:rFonts w:hint="default"/>
              </w:rPr>
            </w:pPr>
            <w:r>
              <w:rPr>
                <w:rFonts w:hint="default"/>
              </w:rPr>
              <w:t>达标</w:t>
            </w:r>
          </w:p>
        </w:tc>
      </w:tr>
      <w:tr w14:paraId="311B7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7378C65A">
            <w:pPr>
              <w:pStyle w:val="45"/>
              <w:rPr>
                <w:rFonts w:hint="default"/>
              </w:rPr>
            </w:pPr>
          </w:p>
        </w:tc>
        <w:tc>
          <w:tcPr>
            <w:tcW w:w="1073" w:type="pct"/>
            <w:noWrap/>
            <w:vAlign w:val="center"/>
          </w:tcPr>
          <w:p w14:paraId="2D4423B5">
            <w:pPr>
              <w:pStyle w:val="45"/>
              <w:rPr>
                <w:rFonts w:hint="default"/>
              </w:rPr>
            </w:pPr>
            <w:r>
              <w:rPr>
                <w:rFonts w:hint="default"/>
              </w:rPr>
              <w:t>镍</w:t>
            </w:r>
          </w:p>
        </w:tc>
        <w:tc>
          <w:tcPr>
            <w:tcW w:w="581" w:type="pct"/>
            <w:noWrap/>
            <w:vAlign w:val="center"/>
          </w:tcPr>
          <w:p w14:paraId="44426ADC">
            <w:pPr>
              <w:pStyle w:val="45"/>
              <w:rPr>
                <w:rFonts w:hint="default"/>
              </w:rPr>
            </w:pPr>
            <w:r>
              <w:rPr>
                <w:rFonts w:hint="default"/>
              </w:rPr>
              <w:t>0.005L</w:t>
            </w:r>
          </w:p>
        </w:tc>
        <w:tc>
          <w:tcPr>
            <w:tcW w:w="410" w:type="pct"/>
            <w:noWrap/>
            <w:vAlign w:val="center"/>
          </w:tcPr>
          <w:p w14:paraId="57357302">
            <w:pPr>
              <w:pStyle w:val="45"/>
              <w:rPr>
                <w:rFonts w:hint="default"/>
              </w:rPr>
            </w:pPr>
            <w:r>
              <w:rPr>
                <w:rFonts w:hint="default"/>
              </w:rPr>
              <w:t>/</w:t>
            </w:r>
          </w:p>
        </w:tc>
        <w:tc>
          <w:tcPr>
            <w:tcW w:w="505" w:type="pct"/>
            <w:noWrap/>
            <w:vAlign w:val="center"/>
          </w:tcPr>
          <w:p w14:paraId="11F84381">
            <w:pPr>
              <w:pStyle w:val="45"/>
              <w:rPr>
                <w:rFonts w:hint="default"/>
              </w:rPr>
            </w:pPr>
            <w:r>
              <w:rPr>
                <w:rFonts w:hint="default"/>
              </w:rPr>
              <w:t>0.02</w:t>
            </w:r>
          </w:p>
        </w:tc>
        <w:tc>
          <w:tcPr>
            <w:tcW w:w="505" w:type="pct"/>
            <w:noWrap/>
            <w:vAlign w:val="center"/>
          </w:tcPr>
          <w:p w14:paraId="2E9C18EB">
            <w:pPr>
              <w:pStyle w:val="45"/>
              <w:rPr>
                <w:rFonts w:hint="default"/>
              </w:rPr>
            </w:pPr>
            <w:r>
              <w:rPr>
                <w:rFonts w:hint="default"/>
              </w:rPr>
              <w:t>/</w:t>
            </w:r>
          </w:p>
        </w:tc>
        <w:tc>
          <w:tcPr>
            <w:tcW w:w="410" w:type="pct"/>
            <w:noWrap/>
            <w:vAlign w:val="center"/>
          </w:tcPr>
          <w:p w14:paraId="334D5E39">
            <w:pPr>
              <w:pStyle w:val="45"/>
              <w:rPr>
                <w:rFonts w:hint="default"/>
              </w:rPr>
            </w:pPr>
            <w:r>
              <w:rPr>
                <w:rFonts w:hint="default"/>
              </w:rPr>
              <w:t>0</w:t>
            </w:r>
          </w:p>
        </w:tc>
        <w:tc>
          <w:tcPr>
            <w:tcW w:w="505" w:type="pct"/>
            <w:noWrap/>
            <w:vAlign w:val="center"/>
          </w:tcPr>
          <w:p w14:paraId="3DF1C063">
            <w:pPr>
              <w:pStyle w:val="45"/>
              <w:rPr>
                <w:rFonts w:hint="default"/>
              </w:rPr>
            </w:pPr>
            <w:r>
              <w:rPr>
                <w:rFonts w:hint="default"/>
              </w:rPr>
              <w:t>0</w:t>
            </w:r>
          </w:p>
        </w:tc>
        <w:tc>
          <w:tcPr>
            <w:tcW w:w="505" w:type="pct"/>
            <w:noWrap/>
            <w:vAlign w:val="center"/>
          </w:tcPr>
          <w:p w14:paraId="2464E511">
            <w:pPr>
              <w:pStyle w:val="45"/>
              <w:rPr>
                <w:rFonts w:hint="default"/>
              </w:rPr>
            </w:pPr>
            <w:r>
              <w:rPr>
                <w:rFonts w:hint="default"/>
              </w:rPr>
              <w:t>达标</w:t>
            </w:r>
          </w:p>
        </w:tc>
      </w:tr>
      <w:tr w14:paraId="6CD95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680414FF">
            <w:pPr>
              <w:pStyle w:val="45"/>
              <w:rPr>
                <w:rFonts w:hint="default"/>
              </w:rPr>
            </w:pPr>
          </w:p>
        </w:tc>
        <w:tc>
          <w:tcPr>
            <w:tcW w:w="1073" w:type="pct"/>
            <w:noWrap/>
            <w:vAlign w:val="center"/>
          </w:tcPr>
          <w:p w14:paraId="366B8F4F">
            <w:pPr>
              <w:pStyle w:val="45"/>
              <w:rPr>
                <w:rFonts w:hint="default"/>
              </w:rPr>
            </w:pPr>
            <w:r>
              <w:rPr>
                <w:rFonts w:hint="default"/>
              </w:rPr>
              <w:t>铊</w:t>
            </w:r>
          </w:p>
        </w:tc>
        <w:tc>
          <w:tcPr>
            <w:tcW w:w="581" w:type="pct"/>
            <w:noWrap/>
            <w:vAlign w:val="center"/>
          </w:tcPr>
          <w:p w14:paraId="3542AD78">
            <w:pPr>
              <w:pStyle w:val="45"/>
              <w:rPr>
                <w:rFonts w:hint="default"/>
              </w:rPr>
            </w:pPr>
            <w:r>
              <w:rPr>
                <w:rFonts w:hint="default"/>
              </w:rPr>
              <w:t>0.00003L</w:t>
            </w:r>
          </w:p>
        </w:tc>
        <w:tc>
          <w:tcPr>
            <w:tcW w:w="410" w:type="pct"/>
            <w:noWrap/>
            <w:vAlign w:val="center"/>
          </w:tcPr>
          <w:p w14:paraId="7B91E21D">
            <w:pPr>
              <w:pStyle w:val="45"/>
              <w:rPr>
                <w:rFonts w:hint="default"/>
              </w:rPr>
            </w:pPr>
            <w:r>
              <w:rPr>
                <w:rFonts w:hint="default"/>
              </w:rPr>
              <w:t>/</w:t>
            </w:r>
          </w:p>
        </w:tc>
        <w:tc>
          <w:tcPr>
            <w:tcW w:w="505" w:type="pct"/>
            <w:noWrap/>
            <w:vAlign w:val="center"/>
          </w:tcPr>
          <w:p w14:paraId="41A0EF67">
            <w:pPr>
              <w:pStyle w:val="45"/>
              <w:rPr>
                <w:rFonts w:hint="default"/>
              </w:rPr>
            </w:pPr>
            <w:r>
              <w:rPr>
                <w:rFonts w:hint="default"/>
              </w:rPr>
              <w:t>0.0001</w:t>
            </w:r>
          </w:p>
        </w:tc>
        <w:tc>
          <w:tcPr>
            <w:tcW w:w="505" w:type="pct"/>
            <w:noWrap/>
            <w:vAlign w:val="center"/>
          </w:tcPr>
          <w:p w14:paraId="5623BB1C">
            <w:pPr>
              <w:pStyle w:val="45"/>
              <w:rPr>
                <w:rFonts w:hint="default"/>
              </w:rPr>
            </w:pPr>
            <w:r>
              <w:rPr>
                <w:rFonts w:hint="default"/>
              </w:rPr>
              <w:t>/</w:t>
            </w:r>
          </w:p>
        </w:tc>
        <w:tc>
          <w:tcPr>
            <w:tcW w:w="410" w:type="pct"/>
            <w:noWrap/>
            <w:vAlign w:val="center"/>
          </w:tcPr>
          <w:p w14:paraId="531C1267">
            <w:pPr>
              <w:pStyle w:val="45"/>
              <w:rPr>
                <w:rFonts w:hint="default"/>
              </w:rPr>
            </w:pPr>
            <w:r>
              <w:rPr>
                <w:rFonts w:hint="default"/>
              </w:rPr>
              <w:t>0</w:t>
            </w:r>
          </w:p>
        </w:tc>
        <w:tc>
          <w:tcPr>
            <w:tcW w:w="505" w:type="pct"/>
            <w:noWrap/>
            <w:vAlign w:val="center"/>
          </w:tcPr>
          <w:p w14:paraId="0CE724F0">
            <w:pPr>
              <w:pStyle w:val="45"/>
              <w:rPr>
                <w:rFonts w:hint="default"/>
              </w:rPr>
            </w:pPr>
            <w:r>
              <w:rPr>
                <w:rFonts w:hint="default"/>
              </w:rPr>
              <w:t>0</w:t>
            </w:r>
          </w:p>
        </w:tc>
        <w:tc>
          <w:tcPr>
            <w:tcW w:w="505" w:type="pct"/>
            <w:noWrap/>
            <w:vAlign w:val="center"/>
          </w:tcPr>
          <w:p w14:paraId="617E06DA">
            <w:pPr>
              <w:pStyle w:val="45"/>
              <w:rPr>
                <w:rFonts w:hint="default"/>
              </w:rPr>
            </w:pPr>
            <w:r>
              <w:rPr>
                <w:rFonts w:hint="default"/>
              </w:rPr>
              <w:t>达标</w:t>
            </w:r>
          </w:p>
        </w:tc>
      </w:tr>
      <w:tr w14:paraId="616BC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41D10749">
            <w:pPr>
              <w:pStyle w:val="45"/>
              <w:rPr>
                <w:rFonts w:hint="default"/>
              </w:rPr>
            </w:pPr>
          </w:p>
        </w:tc>
        <w:tc>
          <w:tcPr>
            <w:tcW w:w="1073" w:type="pct"/>
            <w:noWrap/>
            <w:vAlign w:val="center"/>
          </w:tcPr>
          <w:p w14:paraId="04001DD9">
            <w:pPr>
              <w:pStyle w:val="45"/>
              <w:rPr>
                <w:rFonts w:hint="default"/>
              </w:rPr>
            </w:pPr>
            <w:r>
              <w:rPr>
                <w:rFonts w:hint="default"/>
              </w:rPr>
              <w:t>粪大肠菌群（MPN/L）</w:t>
            </w:r>
          </w:p>
        </w:tc>
        <w:tc>
          <w:tcPr>
            <w:tcW w:w="581" w:type="pct"/>
            <w:noWrap/>
            <w:vAlign w:val="center"/>
          </w:tcPr>
          <w:p w14:paraId="6A600EC1">
            <w:pPr>
              <w:pStyle w:val="45"/>
              <w:rPr>
                <w:rFonts w:hint="default"/>
              </w:rPr>
            </w:pPr>
            <w:r>
              <w:rPr>
                <w:rFonts w:hint="default"/>
              </w:rPr>
              <w:t>380-450</w:t>
            </w:r>
          </w:p>
        </w:tc>
        <w:tc>
          <w:tcPr>
            <w:tcW w:w="410" w:type="pct"/>
            <w:noWrap/>
            <w:vAlign w:val="center"/>
          </w:tcPr>
          <w:p w14:paraId="135A33E1">
            <w:pPr>
              <w:pStyle w:val="45"/>
              <w:rPr>
                <w:rFonts w:hint="default"/>
              </w:rPr>
            </w:pPr>
            <w:r>
              <w:rPr>
                <w:rFonts w:hint="default"/>
              </w:rPr>
              <w:t>423.33</w:t>
            </w:r>
          </w:p>
        </w:tc>
        <w:tc>
          <w:tcPr>
            <w:tcW w:w="505" w:type="pct"/>
            <w:noWrap/>
            <w:vAlign w:val="center"/>
          </w:tcPr>
          <w:p w14:paraId="702D41B0">
            <w:pPr>
              <w:pStyle w:val="45"/>
              <w:rPr>
                <w:rFonts w:hint="default"/>
              </w:rPr>
            </w:pPr>
            <w:r>
              <w:rPr>
                <w:rFonts w:hint="default"/>
              </w:rPr>
              <w:t>10000</w:t>
            </w:r>
          </w:p>
        </w:tc>
        <w:tc>
          <w:tcPr>
            <w:tcW w:w="505" w:type="pct"/>
            <w:noWrap/>
            <w:vAlign w:val="center"/>
          </w:tcPr>
          <w:p w14:paraId="26B5E9EF">
            <w:pPr>
              <w:pStyle w:val="45"/>
              <w:rPr>
                <w:rFonts w:hint="default"/>
              </w:rPr>
            </w:pPr>
            <w:r>
              <w:rPr>
                <w:rFonts w:hint="default"/>
              </w:rPr>
              <w:t>0.045</w:t>
            </w:r>
          </w:p>
        </w:tc>
        <w:tc>
          <w:tcPr>
            <w:tcW w:w="410" w:type="pct"/>
            <w:noWrap/>
            <w:vAlign w:val="center"/>
          </w:tcPr>
          <w:p w14:paraId="20092883">
            <w:pPr>
              <w:pStyle w:val="45"/>
              <w:rPr>
                <w:rFonts w:hint="default"/>
              </w:rPr>
            </w:pPr>
            <w:r>
              <w:rPr>
                <w:rFonts w:hint="default"/>
              </w:rPr>
              <w:t>0</w:t>
            </w:r>
          </w:p>
        </w:tc>
        <w:tc>
          <w:tcPr>
            <w:tcW w:w="505" w:type="pct"/>
            <w:noWrap/>
            <w:vAlign w:val="center"/>
          </w:tcPr>
          <w:p w14:paraId="3AEC38C9">
            <w:pPr>
              <w:pStyle w:val="45"/>
              <w:rPr>
                <w:rFonts w:hint="default"/>
              </w:rPr>
            </w:pPr>
            <w:r>
              <w:rPr>
                <w:rFonts w:hint="default"/>
              </w:rPr>
              <w:t>0</w:t>
            </w:r>
          </w:p>
        </w:tc>
        <w:tc>
          <w:tcPr>
            <w:tcW w:w="505" w:type="pct"/>
            <w:noWrap/>
            <w:vAlign w:val="center"/>
          </w:tcPr>
          <w:p w14:paraId="60ACA3AE">
            <w:pPr>
              <w:pStyle w:val="45"/>
              <w:rPr>
                <w:rFonts w:hint="default"/>
              </w:rPr>
            </w:pPr>
            <w:r>
              <w:rPr>
                <w:rFonts w:hint="default"/>
              </w:rPr>
              <w:t>达标</w:t>
            </w:r>
          </w:p>
        </w:tc>
      </w:tr>
      <w:tr w14:paraId="4AEFA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3BF58DE1">
            <w:pPr>
              <w:pStyle w:val="45"/>
              <w:rPr>
                <w:rFonts w:hint="default"/>
              </w:rPr>
            </w:pPr>
          </w:p>
        </w:tc>
        <w:tc>
          <w:tcPr>
            <w:tcW w:w="1073" w:type="pct"/>
            <w:noWrap/>
            <w:vAlign w:val="center"/>
          </w:tcPr>
          <w:p w14:paraId="680F8391">
            <w:pPr>
              <w:pStyle w:val="45"/>
              <w:rPr>
                <w:rFonts w:hint="default"/>
              </w:rPr>
            </w:pPr>
            <w:r>
              <w:rPr>
                <w:rFonts w:hint="default"/>
              </w:rPr>
              <w:t>氯化物</w:t>
            </w:r>
          </w:p>
        </w:tc>
        <w:tc>
          <w:tcPr>
            <w:tcW w:w="581" w:type="pct"/>
            <w:noWrap/>
            <w:vAlign w:val="center"/>
          </w:tcPr>
          <w:p w14:paraId="433D84E4">
            <w:pPr>
              <w:pStyle w:val="45"/>
              <w:rPr>
                <w:rFonts w:hint="default"/>
              </w:rPr>
            </w:pPr>
            <w:r>
              <w:rPr>
                <w:rFonts w:hint="default"/>
              </w:rPr>
              <w:t>10.6-10.7</w:t>
            </w:r>
          </w:p>
        </w:tc>
        <w:tc>
          <w:tcPr>
            <w:tcW w:w="410" w:type="pct"/>
            <w:noWrap/>
            <w:vAlign w:val="center"/>
          </w:tcPr>
          <w:p w14:paraId="6614AC9B">
            <w:pPr>
              <w:pStyle w:val="45"/>
              <w:rPr>
                <w:rFonts w:hint="default"/>
              </w:rPr>
            </w:pPr>
            <w:r>
              <w:rPr>
                <w:rFonts w:hint="default"/>
              </w:rPr>
              <w:t>10.63</w:t>
            </w:r>
          </w:p>
        </w:tc>
        <w:tc>
          <w:tcPr>
            <w:tcW w:w="505" w:type="pct"/>
            <w:noWrap/>
            <w:vAlign w:val="center"/>
          </w:tcPr>
          <w:p w14:paraId="4452D59B">
            <w:pPr>
              <w:pStyle w:val="45"/>
              <w:rPr>
                <w:rFonts w:hint="default"/>
              </w:rPr>
            </w:pPr>
            <w:r>
              <w:rPr>
                <w:rFonts w:hint="default"/>
              </w:rPr>
              <w:t>250</w:t>
            </w:r>
          </w:p>
        </w:tc>
        <w:tc>
          <w:tcPr>
            <w:tcW w:w="505" w:type="pct"/>
            <w:noWrap/>
            <w:vAlign w:val="center"/>
          </w:tcPr>
          <w:p w14:paraId="1D22E3E5">
            <w:pPr>
              <w:pStyle w:val="45"/>
              <w:rPr>
                <w:rFonts w:hint="default"/>
              </w:rPr>
            </w:pPr>
            <w:r>
              <w:rPr>
                <w:rFonts w:hint="default"/>
              </w:rPr>
              <w:t>0.0428</w:t>
            </w:r>
          </w:p>
        </w:tc>
        <w:tc>
          <w:tcPr>
            <w:tcW w:w="410" w:type="pct"/>
            <w:noWrap/>
            <w:vAlign w:val="center"/>
          </w:tcPr>
          <w:p w14:paraId="26F59E09">
            <w:pPr>
              <w:pStyle w:val="45"/>
              <w:rPr>
                <w:rFonts w:hint="default"/>
              </w:rPr>
            </w:pPr>
            <w:r>
              <w:rPr>
                <w:rFonts w:hint="default"/>
              </w:rPr>
              <w:t>0</w:t>
            </w:r>
          </w:p>
        </w:tc>
        <w:tc>
          <w:tcPr>
            <w:tcW w:w="505" w:type="pct"/>
            <w:noWrap/>
            <w:vAlign w:val="center"/>
          </w:tcPr>
          <w:p w14:paraId="739C48E3">
            <w:pPr>
              <w:pStyle w:val="45"/>
              <w:rPr>
                <w:rFonts w:hint="default"/>
              </w:rPr>
            </w:pPr>
            <w:r>
              <w:rPr>
                <w:rFonts w:hint="default"/>
              </w:rPr>
              <w:t>0</w:t>
            </w:r>
          </w:p>
        </w:tc>
        <w:tc>
          <w:tcPr>
            <w:tcW w:w="505" w:type="pct"/>
            <w:noWrap/>
            <w:vAlign w:val="center"/>
          </w:tcPr>
          <w:p w14:paraId="05DCD43D">
            <w:pPr>
              <w:pStyle w:val="45"/>
              <w:rPr>
                <w:rFonts w:hint="default"/>
              </w:rPr>
            </w:pPr>
            <w:r>
              <w:rPr>
                <w:rFonts w:hint="default"/>
              </w:rPr>
              <w:t>达标</w:t>
            </w:r>
          </w:p>
        </w:tc>
      </w:tr>
      <w:tr w14:paraId="36486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537A4AEE">
            <w:pPr>
              <w:pStyle w:val="45"/>
              <w:rPr>
                <w:rFonts w:hint="default"/>
              </w:rPr>
            </w:pPr>
          </w:p>
        </w:tc>
        <w:tc>
          <w:tcPr>
            <w:tcW w:w="1073" w:type="pct"/>
            <w:noWrap/>
            <w:vAlign w:val="center"/>
          </w:tcPr>
          <w:p w14:paraId="37CBB8F4">
            <w:pPr>
              <w:pStyle w:val="45"/>
              <w:rPr>
                <w:rFonts w:hint="default"/>
              </w:rPr>
            </w:pPr>
            <w:r>
              <w:rPr>
                <w:rFonts w:hint="default"/>
              </w:rPr>
              <w:t>氰化物</w:t>
            </w:r>
          </w:p>
        </w:tc>
        <w:tc>
          <w:tcPr>
            <w:tcW w:w="581" w:type="pct"/>
            <w:noWrap/>
            <w:vAlign w:val="center"/>
          </w:tcPr>
          <w:p w14:paraId="28F2C0AF">
            <w:pPr>
              <w:pStyle w:val="45"/>
              <w:rPr>
                <w:rFonts w:hint="default"/>
              </w:rPr>
            </w:pPr>
            <w:r>
              <w:rPr>
                <w:rFonts w:hint="default"/>
              </w:rPr>
              <w:t>0.004L</w:t>
            </w:r>
          </w:p>
        </w:tc>
        <w:tc>
          <w:tcPr>
            <w:tcW w:w="410" w:type="pct"/>
            <w:noWrap/>
            <w:vAlign w:val="center"/>
          </w:tcPr>
          <w:p w14:paraId="7AC55842">
            <w:pPr>
              <w:pStyle w:val="45"/>
              <w:rPr>
                <w:rFonts w:hint="default"/>
              </w:rPr>
            </w:pPr>
            <w:r>
              <w:rPr>
                <w:rFonts w:hint="default"/>
              </w:rPr>
              <w:t>/</w:t>
            </w:r>
          </w:p>
        </w:tc>
        <w:tc>
          <w:tcPr>
            <w:tcW w:w="505" w:type="pct"/>
            <w:noWrap/>
            <w:vAlign w:val="center"/>
          </w:tcPr>
          <w:p w14:paraId="02DFBB57">
            <w:pPr>
              <w:pStyle w:val="45"/>
              <w:rPr>
                <w:rFonts w:hint="default"/>
              </w:rPr>
            </w:pPr>
            <w:r>
              <w:rPr>
                <w:rFonts w:hint="default"/>
              </w:rPr>
              <w:t>0.2</w:t>
            </w:r>
          </w:p>
        </w:tc>
        <w:tc>
          <w:tcPr>
            <w:tcW w:w="505" w:type="pct"/>
            <w:noWrap/>
            <w:vAlign w:val="center"/>
          </w:tcPr>
          <w:p w14:paraId="40540087">
            <w:pPr>
              <w:pStyle w:val="45"/>
              <w:rPr>
                <w:rFonts w:hint="default"/>
              </w:rPr>
            </w:pPr>
            <w:r>
              <w:rPr>
                <w:rFonts w:hint="default"/>
              </w:rPr>
              <w:t>/</w:t>
            </w:r>
          </w:p>
        </w:tc>
        <w:tc>
          <w:tcPr>
            <w:tcW w:w="410" w:type="pct"/>
            <w:noWrap/>
            <w:vAlign w:val="center"/>
          </w:tcPr>
          <w:p w14:paraId="3AEB2DEA">
            <w:pPr>
              <w:pStyle w:val="45"/>
              <w:rPr>
                <w:rFonts w:hint="default"/>
              </w:rPr>
            </w:pPr>
            <w:r>
              <w:rPr>
                <w:rFonts w:hint="default"/>
              </w:rPr>
              <w:t>0</w:t>
            </w:r>
          </w:p>
        </w:tc>
        <w:tc>
          <w:tcPr>
            <w:tcW w:w="505" w:type="pct"/>
            <w:noWrap/>
            <w:vAlign w:val="center"/>
          </w:tcPr>
          <w:p w14:paraId="52D7D0F5">
            <w:pPr>
              <w:pStyle w:val="45"/>
              <w:rPr>
                <w:rFonts w:hint="default"/>
              </w:rPr>
            </w:pPr>
            <w:r>
              <w:rPr>
                <w:rFonts w:hint="default"/>
              </w:rPr>
              <w:t>0</w:t>
            </w:r>
          </w:p>
        </w:tc>
        <w:tc>
          <w:tcPr>
            <w:tcW w:w="505" w:type="pct"/>
            <w:noWrap/>
            <w:vAlign w:val="center"/>
          </w:tcPr>
          <w:p w14:paraId="5F488CAF">
            <w:pPr>
              <w:pStyle w:val="45"/>
              <w:rPr>
                <w:rFonts w:hint="default"/>
              </w:rPr>
            </w:pPr>
            <w:r>
              <w:rPr>
                <w:rFonts w:hint="default"/>
              </w:rPr>
              <w:t>达标</w:t>
            </w:r>
          </w:p>
        </w:tc>
      </w:tr>
      <w:tr w14:paraId="16C50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2684ABB4">
            <w:pPr>
              <w:pStyle w:val="45"/>
              <w:rPr>
                <w:rFonts w:hint="default"/>
              </w:rPr>
            </w:pPr>
          </w:p>
        </w:tc>
        <w:tc>
          <w:tcPr>
            <w:tcW w:w="1073" w:type="pct"/>
            <w:noWrap/>
            <w:vAlign w:val="center"/>
          </w:tcPr>
          <w:p w14:paraId="7788E460">
            <w:pPr>
              <w:pStyle w:val="45"/>
              <w:rPr>
                <w:rFonts w:hint="default"/>
              </w:rPr>
            </w:pPr>
            <w:r>
              <w:rPr>
                <w:rFonts w:hint="default"/>
              </w:rPr>
              <w:t>甲苯</w:t>
            </w:r>
          </w:p>
        </w:tc>
        <w:tc>
          <w:tcPr>
            <w:tcW w:w="581" w:type="pct"/>
            <w:noWrap/>
            <w:vAlign w:val="center"/>
          </w:tcPr>
          <w:p w14:paraId="2D0C65AD">
            <w:pPr>
              <w:pStyle w:val="45"/>
              <w:rPr>
                <w:rFonts w:hint="default"/>
              </w:rPr>
            </w:pPr>
            <w:r>
              <w:rPr>
                <w:rFonts w:hint="default"/>
              </w:rPr>
              <w:t>0.002L</w:t>
            </w:r>
          </w:p>
        </w:tc>
        <w:tc>
          <w:tcPr>
            <w:tcW w:w="410" w:type="pct"/>
            <w:noWrap/>
            <w:vAlign w:val="center"/>
          </w:tcPr>
          <w:p w14:paraId="04A2236F">
            <w:pPr>
              <w:pStyle w:val="45"/>
              <w:rPr>
                <w:rFonts w:hint="default"/>
              </w:rPr>
            </w:pPr>
            <w:r>
              <w:rPr>
                <w:rFonts w:hint="default"/>
              </w:rPr>
              <w:t>/</w:t>
            </w:r>
          </w:p>
        </w:tc>
        <w:tc>
          <w:tcPr>
            <w:tcW w:w="505" w:type="pct"/>
            <w:noWrap/>
            <w:vAlign w:val="center"/>
          </w:tcPr>
          <w:p w14:paraId="573272B1">
            <w:pPr>
              <w:pStyle w:val="45"/>
              <w:rPr>
                <w:rFonts w:hint="default"/>
              </w:rPr>
            </w:pPr>
            <w:r>
              <w:rPr>
                <w:rFonts w:hint="default"/>
              </w:rPr>
              <w:t>0.7</w:t>
            </w:r>
          </w:p>
        </w:tc>
        <w:tc>
          <w:tcPr>
            <w:tcW w:w="505" w:type="pct"/>
            <w:noWrap/>
            <w:vAlign w:val="center"/>
          </w:tcPr>
          <w:p w14:paraId="0F1C51EB">
            <w:pPr>
              <w:pStyle w:val="45"/>
              <w:rPr>
                <w:rFonts w:hint="default"/>
              </w:rPr>
            </w:pPr>
            <w:r>
              <w:rPr>
                <w:rFonts w:hint="default"/>
              </w:rPr>
              <w:t>/</w:t>
            </w:r>
          </w:p>
        </w:tc>
        <w:tc>
          <w:tcPr>
            <w:tcW w:w="410" w:type="pct"/>
            <w:noWrap/>
            <w:vAlign w:val="center"/>
          </w:tcPr>
          <w:p w14:paraId="1A2A5F55">
            <w:pPr>
              <w:pStyle w:val="45"/>
              <w:rPr>
                <w:rFonts w:hint="default"/>
              </w:rPr>
            </w:pPr>
            <w:r>
              <w:rPr>
                <w:rFonts w:hint="default"/>
              </w:rPr>
              <w:t>0</w:t>
            </w:r>
          </w:p>
        </w:tc>
        <w:tc>
          <w:tcPr>
            <w:tcW w:w="505" w:type="pct"/>
            <w:noWrap/>
            <w:vAlign w:val="center"/>
          </w:tcPr>
          <w:p w14:paraId="14ECB18A">
            <w:pPr>
              <w:pStyle w:val="45"/>
              <w:rPr>
                <w:rFonts w:hint="default"/>
              </w:rPr>
            </w:pPr>
            <w:r>
              <w:rPr>
                <w:rFonts w:hint="default"/>
              </w:rPr>
              <w:t>0</w:t>
            </w:r>
          </w:p>
        </w:tc>
        <w:tc>
          <w:tcPr>
            <w:tcW w:w="505" w:type="pct"/>
            <w:noWrap/>
            <w:vAlign w:val="center"/>
          </w:tcPr>
          <w:p w14:paraId="72E247AA">
            <w:pPr>
              <w:pStyle w:val="45"/>
              <w:rPr>
                <w:rFonts w:hint="default"/>
              </w:rPr>
            </w:pPr>
            <w:r>
              <w:rPr>
                <w:rFonts w:hint="default"/>
              </w:rPr>
              <w:t>达标</w:t>
            </w:r>
          </w:p>
        </w:tc>
      </w:tr>
      <w:tr w14:paraId="4A37D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3B2204FF">
            <w:pPr>
              <w:pStyle w:val="45"/>
              <w:rPr>
                <w:rFonts w:hint="default"/>
              </w:rPr>
            </w:pPr>
          </w:p>
        </w:tc>
        <w:tc>
          <w:tcPr>
            <w:tcW w:w="1073" w:type="pct"/>
            <w:noWrap/>
            <w:vAlign w:val="center"/>
          </w:tcPr>
          <w:p w14:paraId="115B74E5">
            <w:pPr>
              <w:pStyle w:val="45"/>
              <w:rPr>
                <w:rFonts w:hint="default"/>
              </w:rPr>
            </w:pPr>
            <w:r>
              <w:rPr>
                <w:rFonts w:hint="default"/>
              </w:rPr>
              <w:t>二甲苯</w:t>
            </w:r>
          </w:p>
        </w:tc>
        <w:tc>
          <w:tcPr>
            <w:tcW w:w="581" w:type="pct"/>
            <w:noWrap/>
            <w:vAlign w:val="center"/>
          </w:tcPr>
          <w:p w14:paraId="18FCF54B">
            <w:pPr>
              <w:pStyle w:val="45"/>
              <w:rPr>
                <w:rFonts w:hint="default"/>
              </w:rPr>
            </w:pPr>
            <w:r>
              <w:rPr>
                <w:rFonts w:hint="default"/>
              </w:rPr>
              <w:t>0.002L</w:t>
            </w:r>
          </w:p>
        </w:tc>
        <w:tc>
          <w:tcPr>
            <w:tcW w:w="410" w:type="pct"/>
            <w:noWrap/>
            <w:vAlign w:val="center"/>
          </w:tcPr>
          <w:p w14:paraId="1BC5C321">
            <w:pPr>
              <w:pStyle w:val="45"/>
              <w:rPr>
                <w:rFonts w:hint="default"/>
              </w:rPr>
            </w:pPr>
            <w:r>
              <w:rPr>
                <w:rFonts w:hint="default"/>
              </w:rPr>
              <w:t>/</w:t>
            </w:r>
          </w:p>
        </w:tc>
        <w:tc>
          <w:tcPr>
            <w:tcW w:w="505" w:type="pct"/>
            <w:noWrap/>
            <w:vAlign w:val="center"/>
          </w:tcPr>
          <w:p w14:paraId="42E5582D">
            <w:pPr>
              <w:pStyle w:val="45"/>
              <w:rPr>
                <w:rFonts w:hint="default"/>
              </w:rPr>
            </w:pPr>
            <w:r>
              <w:rPr>
                <w:rFonts w:hint="default"/>
              </w:rPr>
              <w:t>0.5</w:t>
            </w:r>
          </w:p>
        </w:tc>
        <w:tc>
          <w:tcPr>
            <w:tcW w:w="505" w:type="pct"/>
            <w:noWrap/>
            <w:vAlign w:val="center"/>
          </w:tcPr>
          <w:p w14:paraId="1EF7F6FD">
            <w:pPr>
              <w:pStyle w:val="45"/>
              <w:rPr>
                <w:rFonts w:hint="default"/>
              </w:rPr>
            </w:pPr>
            <w:r>
              <w:rPr>
                <w:rFonts w:hint="default"/>
              </w:rPr>
              <w:t>/</w:t>
            </w:r>
          </w:p>
        </w:tc>
        <w:tc>
          <w:tcPr>
            <w:tcW w:w="410" w:type="pct"/>
            <w:noWrap/>
            <w:vAlign w:val="center"/>
          </w:tcPr>
          <w:p w14:paraId="36427375">
            <w:pPr>
              <w:pStyle w:val="45"/>
              <w:rPr>
                <w:rFonts w:hint="default"/>
              </w:rPr>
            </w:pPr>
            <w:r>
              <w:rPr>
                <w:rFonts w:hint="default"/>
              </w:rPr>
              <w:t>0</w:t>
            </w:r>
          </w:p>
        </w:tc>
        <w:tc>
          <w:tcPr>
            <w:tcW w:w="505" w:type="pct"/>
            <w:noWrap/>
            <w:vAlign w:val="center"/>
          </w:tcPr>
          <w:p w14:paraId="27966081">
            <w:pPr>
              <w:pStyle w:val="45"/>
              <w:rPr>
                <w:rFonts w:hint="default"/>
              </w:rPr>
            </w:pPr>
            <w:r>
              <w:rPr>
                <w:rFonts w:hint="default"/>
              </w:rPr>
              <w:t>0</w:t>
            </w:r>
          </w:p>
        </w:tc>
        <w:tc>
          <w:tcPr>
            <w:tcW w:w="505" w:type="pct"/>
            <w:noWrap/>
            <w:vAlign w:val="center"/>
          </w:tcPr>
          <w:p w14:paraId="6E0ECE27">
            <w:pPr>
              <w:pStyle w:val="45"/>
              <w:rPr>
                <w:rFonts w:hint="default"/>
              </w:rPr>
            </w:pPr>
            <w:r>
              <w:rPr>
                <w:rFonts w:hint="default"/>
              </w:rPr>
              <w:t>达标</w:t>
            </w:r>
          </w:p>
        </w:tc>
      </w:tr>
      <w:tr w14:paraId="752CB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4E31574D">
            <w:pPr>
              <w:pStyle w:val="45"/>
              <w:rPr>
                <w:rFonts w:hint="default"/>
              </w:rPr>
            </w:pPr>
          </w:p>
        </w:tc>
        <w:tc>
          <w:tcPr>
            <w:tcW w:w="1073" w:type="pct"/>
            <w:noWrap/>
            <w:vAlign w:val="center"/>
          </w:tcPr>
          <w:p w14:paraId="5E1BCFCC">
            <w:pPr>
              <w:pStyle w:val="45"/>
              <w:rPr>
                <w:rFonts w:hint="default"/>
              </w:rPr>
            </w:pPr>
            <w:r>
              <w:rPr>
                <w:rFonts w:hint="default"/>
              </w:rPr>
              <w:t>二氯甲烷</w:t>
            </w:r>
          </w:p>
        </w:tc>
        <w:tc>
          <w:tcPr>
            <w:tcW w:w="581" w:type="pct"/>
            <w:noWrap/>
            <w:vAlign w:val="center"/>
          </w:tcPr>
          <w:p w14:paraId="75B296C8">
            <w:pPr>
              <w:pStyle w:val="45"/>
              <w:rPr>
                <w:rFonts w:hint="default"/>
              </w:rPr>
            </w:pPr>
            <w:r>
              <w:rPr>
                <w:rFonts w:hint="default"/>
              </w:rPr>
              <w:t>0.006L</w:t>
            </w:r>
          </w:p>
        </w:tc>
        <w:tc>
          <w:tcPr>
            <w:tcW w:w="410" w:type="pct"/>
            <w:noWrap/>
            <w:vAlign w:val="center"/>
          </w:tcPr>
          <w:p w14:paraId="16BEFBB3">
            <w:pPr>
              <w:pStyle w:val="45"/>
              <w:rPr>
                <w:rFonts w:hint="default"/>
              </w:rPr>
            </w:pPr>
            <w:r>
              <w:rPr>
                <w:rFonts w:hint="default"/>
              </w:rPr>
              <w:t>/</w:t>
            </w:r>
          </w:p>
        </w:tc>
        <w:tc>
          <w:tcPr>
            <w:tcW w:w="505" w:type="pct"/>
            <w:noWrap/>
            <w:vAlign w:val="center"/>
          </w:tcPr>
          <w:p w14:paraId="45A263B5">
            <w:pPr>
              <w:pStyle w:val="45"/>
              <w:rPr>
                <w:rFonts w:hint="default"/>
              </w:rPr>
            </w:pPr>
            <w:r>
              <w:rPr>
                <w:rFonts w:hint="default"/>
              </w:rPr>
              <w:t>0.02</w:t>
            </w:r>
          </w:p>
        </w:tc>
        <w:tc>
          <w:tcPr>
            <w:tcW w:w="505" w:type="pct"/>
            <w:noWrap/>
            <w:vAlign w:val="center"/>
          </w:tcPr>
          <w:p w14:paraId="1E411FA7">
            <w:pPr>
              <w:pStyle w:val="45"/>
              <w:rPr>
                <w:rFonts w:hint="default"/>
              </w:rPr>
            </w:pPr>
            <w:r>
              <w:rPr>
                <w:rFonts w:hint="default"/>
              </w:rPr>
              <w:t>/</w:t>
            </w:r>
          </w:p>
        </w:tc>
        <w:tc>
          <w:tcPr>
            <w:tcW w:w="410" w:type="pct"/>
            <w:noWrap/>
            <w:vAlign w:val="center"/>
          </w:tcPr>
          <w:p w14:paraId="30D2668B">
            <w:pPr>
              <w:pStyle w:val="45"/>
              <w:rPr>
                <w:rFonts w:hint="default"/>
              </w:rPr>
            </w:pPr>
            <w:r>
              <w:rPr>
                <w:rFonts w:hint="default"/>
              </w:rPr>
              <w:t>0</w:t>
            </w:r>
          </w:p>
        </w:tc>
        <w:tc>
          <w:tcPr>
            <w:tcW w:w="505" w:type="pct"/>
            <w:noWrap/>
            <w:vAlign w:val="center"/>
          </w:tcPr>
          <w:p w14:paraId="759AE077">
            <w:pPr>
              <w:pStyle w:val="45"/>
              <w:rPr>
                <w:rFonts w:hint="default"/>
              </w:rPr>
            </w:pPr>
            <w:r>
              <w:rPr>
                <w:rFonts w:hint="default"/>
              </w:rPr>
              <w:t>0</w:t>
            </w:r>
          </w:p>
        </w:tc>
        <w:tc>
          <w:tcPr>
            <w:tcW w:w="505" w:type="pct"/>
            <w:noWrap/>
            <w:vAlign w:val="center"/>
          </w:tcPr>
          <w:p w14:paraId="4A927E27">
            <w:pPr>
              <w:pStyle w:val="45"/>
              <w:rPr>
                <w:rFonts w:hint="default"/>
              </w:rPr>
            </w:pPr>
            <w:r>
              <w:rPr>
                <w:rFonts w:hint="default"/>
              </w:rPr>
              <w:t>达标</w:t>
            </w:r>
          </w:p>
        </w:tc>
      </w:tr>
      <w:tr w14:paraId="532B9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5B186D85">
            <w:pPr>
              <w:pStyle w:val="45"/>
              <w:rPr>
                <w:rFonts w:hint="default"/>
              </w:rPr>
            </w:pPr>
          </w:p>
        </w:tc>
        <w:tc>
          <w:tcPr>
            <w:tcW w:w="1073" w:type="pct"/>
            <w:noWrap/>
            <w:vAlign w:val="center"/>
          </w:tcPr>
          <w:p w14:paraId="2A195E5D">
            <w:pPr>
              <w:pStyle w:val="45"/>
              <w:rPr>
                <w:rFonts w:hint="default"/>
              </w:rPr>
            </w:pPr>
            <w:r>
              <w:rPr>
                <w:rFonts w:hint="default"/>
              </w:rPr>
              <w:t>氯乙烯</w:t>
            </w:r>
          </w:p>
        </w:tc>
        <w:tc>
          <w:tcPr>
            <w:tcW w:w="581" w:type="pct"/>
            <w:noWrap/>
            <w:vAlign w:val="center"/>
          </w:tcPr>
          <w:p w14:paraId="74468301">
            <w:pPr>
              <w:pStyle w:val="45"/>
              <w:rPr>
                <w:rFonts w:hint="default"/>
              </w:rPr>
            </w:pPr>
            <w:r>
              <w:rPr>
                <w:rFonts w:hint="default"/>
              </w:rPr>
              <w:t>0.001L</w:t>
            </w:r>
          </w:p>
        </w:tc>
        <w:tc>
          <w:tcPr>
            <w:tcW w:w="410" w:type="pct"/>
            <w:noWrap/>
            <w:vAlign w:val="center"/>
          </w:tcPr>
          <w:p w14:paraId="382C2148">
            <w:pPr>
              <w:pStyle w:val="45"/>
              <w:rPr>
                <w:rFonts w:hint="default"/>
              </w:rPr>
            </w:pPr>
            <w:r>
              <w:rPr>
                <w:rFonts w:hint="default"/>
              </w:rPr>
              <w:t>/</w:t>
            </w:r>
          </w:p>
        </w:tc>
        <w:tc>
          <w:tcPr>
            <w:tcW w:w="505" w:type="pct"/>
            <w:noWrap/>
            <w:vAlign w:val="center"/>
          </w:tcPr>
          <w:p w14:paraId="7D5CB67B">
            <w:pPr>
              <w:pStyle w:val="45"/>
              <w:rPr>
                <w:rFonts w:hint="default"/>
              </w:rPr>
            </w:pPr>
            <w:r>
              <w:rPr>
                <w:rFonts w:hint="default"/>
              </w:rPr>
              <w:t>0.005</w:t>
            </w:r>
          </w:p>
        </w:tc>
        <w:tc>
          <w:tcPr>
            <w:tcW w:w="505" w:type="pct"/>
            <w:noWrap/>
            <w:vAlign w:val="center"/>
          </w:tcPr>
          <w:p w14:paraId="257B485C">
            <w:pPr>
              <w:pStyle w:val="45"/>
              <w:rPr>
                <w:rFonts w:hint="default"/>
              </w:rPr>
            </w:pPr>
            <w:r>
              <w:rPr>
                <w:rFonts w:hint="default"/>
              </w:rPr>
              <w:t>/</w:t>
            </w:r>
          </w:p>
        </w:tc>
        <w:tc>
          <w:tcPr>
            <w:tcW w:w="410" w:type="pct"/>
            <w:noWrap/>
            <w:vAlign w:val="center"/>
          </w:tcPr>
          <w:p w14:paraId="4E477866">
            <w:pPr>
              <w:pStyle w:val="45"/>
              <w:rPr>
                <w:rFonts w:hint="default"/>
              </w:rPr>
            </w:pPr>
            <w:r>
              <w:rPr>
                <w:rFonts w:hint="default"/>
              </w:rPr>
              <w:t>0</w:t>
            </w:r>
          </w:p>
        </w:tc>
        <w:tc>
          <w:tcPr>
            <w:tcW w:w="505" w:type="pct"/>
            <w:noWrap/>
            <w:vAlign w:val="center"/>
          </w:tcPr>
          <w:p w14:paraId="598DD871">
            <w:pPr>
              <w:pStyle w:val="45"/>
              <w:rPr>
                <w:rFonts w:hint="default"/>
              </w:rPr>
            </w:pPr>
            <w:r>
              <w:rPr>
                <w:rFonts w:hint="default"/>
              </w:rPr>
              <w:t>0</w:t>
            </w:r>
          </w:p>
        </w:tc>
        <w:tc>
          <w:tcPr>
            <w:tcW w:w="505" w:type="pct"/>
            <w:noWrap/>
            <w:vAlign w:val="center"/>
          </w:tcPr>
          <w:p w14:paraId="37786E20">
            <w:pPr>
              <w:pStyle w:val="45"/>
              <w:rPr>
                <w:rFonts w:hint="default"/>
              </w:rPr>
            </w:pPr>
            <w:r>
              <w:rPr>
                <w:rFonts w:hint="default"/>
              </w:rPr>
              <w:t>达标</w:t>
            </w:r>
          </w:p>
        </w:tc>
      </w:tr>
      <w:tr w14:paraId="277B2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restart"/>
            <w:vAlign w:val="center"/>
          </w:tcPr>
          <w:p w14:paraId="359FDCAE">
            <w:pPr>
              <w:pStyle w:val="45"/>
              <w:rPr>
                <w:rFonts w:hint="default"/>
              </w:rPr>
            </w:pPr>
            <w:r>
              <w:rPr>
                <w:rFonts w:hint="default"/>
              </w:rPr>
              <w:t>W3松木污水处理厂排放</w:t>
            </w:r>
          </w:p>
          <w:p w14:paraId="21AAB608">
            <w:pPr>
              <w:pStyle w:val="45"/>
              <w:rPr>
                <w:rFonts w:hint="default"/>
              </w:rPr>
            </w:pPr>
            <w:r>
              <w:rPr>
                <w:rFonts w:hint="default"/>
              </w:rPr>
              <w:t>口下游 3000米断面</w:t>
            </w:r>
          </w:p>
        </w:tc>
        <w:tc>
          <w:tcPr>
            <w:tcW w:w="1073" w:type="pct"/>
            <w:noWrap/>
            <w:vAlign w:val="center"/>
          </w:tcPr>
          <w:p w14:paraId="46FD2A2C">
            <w:pPr>
              <w:pStyle w:val="45"/>
              <w:rPr>
                <w:rFonts w:hint="default"/>
              </w:rPr>
            </w:pPr>
            <w:r>
              <w:rPr>
                <w:rFonts w:hint="default"/>
              </w:rPr>
              <w:t>水温（℃）</w:t>
            </w:r>
          </w:p>
        </w:tc>
        <w:tc>
          <w:tcPr>
            <w:tcW w:w="581" w:type="pct"/>
            <w:noWrap/>
            <w:vAlign w:val="center"/>
          </w:tcPr>
          <w:p w14:paraId="24EF52E6">
            <w:pPr>
              <w:pStyle w:val="45"/>
              <w:rPr>
                <w:rFonts w:hint="default"/>
              </w:rPr>
            </w:pPr>
            <w:r>
              <w:rPr>
                <w:rFonts w:hint="default"/>
              </w:rPr>
              <w:t>19.6-19.9</w:t>
            </w:r>
          </w:p>
        </w:tc>
        <w:tc>
          <w:tcPr>
            <w:tcW w:w="410" w:type="pct"/>
            <w:noWrap/>
            <w:vAlign w:val="center"/>
          </w:tcPr>
          <w:p w14:paraId="4732CDF4">
            <w:pPr>
              <w:pStyle w:val="45"/>
              <w:rPr>
                <w:rFonts w:hint="default"/>
              </w:rPr>
            </w:pPr>
            <w:r>
              <w:rPr>
                <w:rFonts w:hint="default"/>
              </w:rPr>
              <w:t>19.77</w:t>
            </w:r>
          </w:p>
        </w:tc>
        <w:tc>
          <w:tcPr>
            <w:tcW w:w="505" w:type="pct"/>
            <w:noWrap/>
            <w:vAlign w:val="center"/>
          </w:tcPr>
          <w:p w14:paraId="30F8EAE2">
            <w:pPr>
              <w:pStyle w:val="45"/>
              <w:rPr>
                <w:rFonts w:hint="default"/>
              </w:rPr>
            </w:pPr>
            <w:r>
              <w:rPr>
                <w:rFonts w:hint="default"/>
              </w:rPr>
              <w:t>/</w:t>
            </w:r>
          </w:p>
        </w:tc>
        <w:tc>
          <w:tcPr>
            <w:tcW w:w="505" w:type="pct"/>
            <w:noWrap/>
            <w:vAlign w:val="center"/>
          </w:tcPr>
          <w:p w14:paraId="460B6499">
            <w:pPr>
              <w:pStyle w:val="45"/>
              <w:rPr>
                <w:rFonts w:hint="default"/>
              </w:rPr>
            </w:pPr>
            <w:r>
              <w:rPr>
                <w:rFonts w:hint="default"/>
              </w:rPr>
              <w:t>/</w:t>
            </w:r>
          </w:p>
        </w:tc>
        <w:tc>
          <w:tcPr>
            <w:tcW w:w="410" w:type="pct"/>
            <w:noWrap/>
            <w:vAlign w:val="center"/>
          </w:tcPr>
          <w:p w14:paraId="3EBE22CD">
            <w:pPr>
              <w:pStyle w:val="45"/>
              <w:rPr>
                <w:rFonts w:hint="default"/>
              </w:rPr>
            </w:pPr>
            <w:r>
              <w:rPr>
                <w:rFonts w:hint="default"/>
              </w:rPr>
              <w:t>0</w:t>
            </w:r>
          </w:p>
        </w:tc>
        <w:tc>
          <w:tcPr>
            <w:tcW w:w="505" w:type="pct"/>
            <w:noWrap/>
            <w:vAlign w:val="center"/>
          </w:tcPr>
          <w:p w14:paraId="5FD1CA9F">
            <w:pPr>
              <w:pStyle w:val="45"/>
              <w:rPr>
                <w:rFonts w:hint="default"/>
              </w:rPr>
            </w:pPr>
            <w:r>
              <w:rPr>
                <w:rFonts w:hint="default"/>
              </w:rPr>
              <w:t>0</w:t>
            </w:r>
          </w:p>
        </w:tc>
        <w:tc>
          <w:tcPr>
            <w:tcW w:w="505" w:type="pct"/>
            <w:noWrap/>
            <w:vAlign w:val="center"/>
          </w:tcPr>
          <w:p w14:paraId="183D992D">
            <w:pPr>
              <w:pStyle w:val="45"/>
              <w:rPr>
                <w:rFonts w:hint="default"/>
              </w:rPr>
            </w:pPr>
            <w:r>
              <w:rPr>
                <w:rFonts w:hint="default"/>
              </w:rPr>
              <w:t>达标</w:t>
            </w:r>
          </w:p>
        </w:tc>
      </w:tr>
      <w:tr w14:paraId="71575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1403570D">
            <w:pPr>
              <w:pStyle w:val="45"/>
              <w:rPr>
                <w:rFonts w:hint="default"/>
              </w:rPr>
            </w:pPr>
          </w:p>
        </w:tc>
        <w:tc>
          <w:tcPr>
            <w:tcW w:w="1073" w:type="pct"/>
            <w:noWrap/>
            <w:vAlign w:val="center"/>
          </w:tcPr>
          <w:p w14:paraId="617C8C27">
            <w:pPr>
              <w:pStyle w:val="45"/>
              <w:rPr>
                <w:rFonts w:hint="default"/>
              </w:rPr>
            </w:pPr>
            <w:r>
              <w:rPr>
                <w:rFonts w:hint="default"/>
              </w:rPr>
              <w:t>流量（m</w:t>
            </w:r>
            <w:r>
              <w:rPr>
                <w:rFonts w:hint="default"/>
                <w:vertAlign w:val="superscript"/>
              </w:rPr>
              <w:t>3</w:t>
            </w:r>
            <w:r>
              <w:rPr>
                <w:rFonts w:hint="default"/>
              </w:rPr>
              <w:t>/s）</w:t>
            </w:r>
          </w:p>
        </w:tc>
        <w:tc>
          <w:tcPr>
            <w:tcW w:w="581" w:type="pct"/>
            <w:noWrap/>
            <w:vAlign w:val="center"/>
          </w:tcPr>
          <w:p w14:paraId="41453E9B">
            <w:pPr>
              <w:pStyle w:val="45"/>
              <w:rPr>
                <w:rFonts w:hint="default"/>
              </w:rPr>
            </w:pPr>
            <w:r>
              <w:rPr>
                <w:rFonts w:hint="default"/>
              </w:rPr>
              <w:t>367-373</w:t>
            </w:r>
          </w:p>
        </w:tc>
        <w:tc>
          <w:tcPr>
            <w:tcW w:w="410" w:type="pct"/>
            <w:noWrap/>
            <w:vAlign w:val="center"/>
          </w:tcPr>
          <w:p w14:paraId="44DB4E2C">
            <w:pPr>
              <w:pStyle w:val="45"/>
              <w:rPr>
                <w:rFonts w:hint="default"/>
              </w:rPr>
            </w:pPr>
            <w:r>
              <w:rPr>
                <w:rFonts w:hint="default"/>
              </w:rPr>
              <w:t>370</w:t>
            </w:r>
          </w:p>
        </w:tc>
        <w:tc>
          <w:tcPr>
            <w:tcW w:w="505" w:type="pct"/>
            <w:noWrap/>
            <w:vAlign w:val="center"/>
          </w:tcPr>
          <w:p w14:paraId="42E7F99B">
            <w:pPr>
              <w:pStyle w:val="45"/>
              <w:rPr>
                <w:rFonts w:hint="default"/>
              </w:rPr>
            </w:pPr>
            <w:r>
              <w:rPr>
                <w:rFonts w:hint="default"/>
              </w:rPr>
              <w:t>/</w:t>
            </w:r>
          </w:p>
        </w:tc>
        <w:tc>
          <w:tcPr>
            <w:tcW w:w="505" w:type="pct"/>
            <w:noWrap/>
            <w:vAlign w:val="center"/>
          </w:tcPr>
          <w:p w14:paraId="0B6F1B0D">
            <w:pPr>
              <w:pStyle w:val="45"/>
              <w:rPr>
                <w:rFonts w:hint="default"/>
              </w:rPr>
            </w:pPr>
            <w:r>
              <w:rPr>
                <w:rFonts w:hint="default"/>
              </w:rPr>
              <w:t>/</w:t>
            </w:r>
          </w:p>
        </w:tc>
        <w:tc>
          <w:tcPr>
            <w:tcW w:w="410" w:type="pct"/>
            <w:noWrap/>
            <w:vAlign w:val="center"/>
          </w:tcPr>
          <w:p w14:paraId="2094F0C3">
            <w:pPr>
              <w:pStyle w:val="45"/>
              <w:rPr>
                <w:rFonts w:hint="default"/>
              </w:rPr>
            </w:pPr>
            <w:r>
              <w:rPr>
                <w:rFonts w:hint="default"/>
              </w:rPr>
              <w:t>0</w:t>
            </w:r>
          </w:p>
        </w:tc>
        <w:tc>
          <w:tcPr>
            <w:tcW w:w="505" w:type="pct"/>
            <w:noWrap/>
            <w:vAlign w:val="center"/>
          </w:tcPr>
          <w:p w14:paraId="28863FD1">
            <w:pPr>
              <w:pStyle w:val="45"/>
              <w:rPr>
                <w:rFonts w:hint="default"/>
              </w:rPr>
            </w:pPr>
            <w:r>
              <w:rPr>
                <w:rFonts w:hint="default"/>
              </w:rPr>
              <w:t>0</w:t>
            </w:r>
          </w:p>
        </w:tc>
        <w:tc>
          <w:tcPr>
            <w:tcW w:w="505" w:type="pct"/>
            <w:noWrap/>
            <w:vAlign w:val="center"/>
          </w:tcPr>
          <w:p w14:paraId="164294DE">
            <w:pPr>
              <w:pStyle w:val="45"/>
              <w:rPr>
                <w:rFonts w:hint="default"/>
              </w:rPr>
            </w:pPr>
            <w:r>
              <w:rPr>
                <w:rFonts w:hint="default"/>
              </w:rPr>
              <w:t>达标</w:t>
            </w:r>
          </w:p>
        </w:tc>
      </w:tr>
      <w:tr w14:paraId="5EDF7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29256527">
            <w:pPr>
              <w:pStyle w:val="45"/>
              <w:rPr>
                <w:rFonts w:hint="default"/>
              </w:rPr>
            </w:pPr>
          </w:p>
        </w:tc>
        <w:tc>
          <w:tcPr>
            <w:tcW w:w="1073" w:type="pct"/>
            <w:noWrap/>
            <w:vAlign w:val="center"/>
          </w:tcPr>
          <w:p w14:paraId="5B689FB9">
            <w:pPr>
              <w:pStyle w:val="45"/>
              <w:rPr>
                <w:rFonts w:hint="default"/>
              </w:rPr>
            </w:pPr>
            <w:r>
              <w:rPr>
                <w:rFonts w:hint="default"/>
              </w:rPr>
              <w:t>流速（m/s）</w:t>
            </w:r>
          </w:p>
        </w:tc>
        <w:tc>
          <w:tcPr>
            <w:tcW w:w="581" w:type="pct"/>
            <w:noWrap/>
            <w:vAlign w:val="center"/>
          </w:tcPr>
          <w:p w14:paraId="30F2897F">
            <w:pPr>
              <w:pStyle w:val="45"/>
              <w:rPr>
                <w:rFonts w:hint="default"/>
              </w:rPr>
            </w:pPr>
            <w:r>
              <w:rPr>
                <w:rFonts w:hint="default"/>
              </w:rPr>
              <w:t>0.045</w:t>
            </w:r>
          </w:p>
        </w:tc>
        <w:tc>
          <w:tcPr>
            <w:tcW w:w="410" w:type="pct"/>
            <w:noWrap/>
            <w:vAlign w:val="center"/>
          </w:tcPr>
          <w:p w14:paraId="04512F13">
            <w:pPr>
              <w:pStyle w:val="45"/>
              <w:rPr>
                <w:rFonts w:hint="default"/>
              </w:rPr>
            </w:pPr>
            <w:r>
              <w:rPr>
                <w:rFonts w:hint="default"/>
              </w:rPr>
              <w:t>0.045</w:t>
            </w:r>
          </w:p>
        </w:tc>
        <w:tc>
          <w:tcPr>
            <w:tcW w:w="505" w:type="pct"/>
            <w:noWrap/>
            <w:vAlign w:val="center"/>
          </w:tcPr>
          <w:p w14:paraId="22AD66F9">
            <w:pPr>
              <w:pStyle w:val="45"/>
              <w:rPr>
                <w:rFonts w:hint="default"/>
              </w:rPr>
            </w:pPr>
            <w:r>
              <w:rPr>
                <w:rFonts w:hint="default"/>
              </w:rPr>
              <w:t>/</w:t>
            </w:r>
          </w:p>
        </w:tc>
        <w:tc>
          <w:tcPr>
            <w:tcW w:w="505" w:type="pct"/>
            <w:noWrap/>
            <w:vAlign w:val="center"/>
          </w:tcPr>
          <w:p w14:paraId="46671E16">
            <w:pPr>
              <w:pStyle w:val="45"/>
              <w:rPr>
                <w:rFonts w:hint="default"/>
              </w:rPr>
            </w:pPr>
            <w:r>
              <w:rPr>
                <w:rFonts w:hint="default"/>
              </w:rPr>
              <w:t>/</w:t>
            </w:r>
          </w:p>
        </w:tc>
        <w:tc>
          <w:tcPr>
            <w:tcW w:w="410" w:type="pct"/>
            <w:noWrap/>
            <w:vAlign w:val="center"/>
          </w:tcPr>
          <w:p w14:paraId="4BE49C12">
            <w:pPr>
              <w:pStyle w:val="45"/>
              <w:rPr>
                <w:rFonts w:hint="default"/>
              </w:rPr>
            </w:pPr>
            <w:r>
              <w:rPr>
                <w:rFonts w:hint="default"/>
              </w:rPr>
              <w:t>0</w:t>
            </w:r>
          </w:p>
        </w:tc>
        <w:tc>
          <w:tcPr>
            <w:tcW w:w="505" w:type="pct"/>
            <w:noWrap/>
            <w:vAlign w:val="center"/>
          </w:tcPr>
          <w:p w14:paraId="74DC8283">
            <w:pPr>
              <w:pStyle w:val="45"/>
              <w:rPr>
                <w:rFonts w:hint="default"/>
              </w:rPr>
            </w:pPr>
            <w:r>
              <w:rPr>
                <w:rFonts w:hint="default"/>
              </w:rPr>
              <w:t>0</w:t>
            </w:r>
          </w:p>
        </w:tc>
        <w:tc>
          <w:tcPr>
            <w:tcW w:w="505" w:type="pct"/>
            <w:noWrap/>
            <w:vAlign w:val="center"/>
          </w:tcPr>
          <w:p w14:paraId="6C15E988">
            <w:pPr>
              <w:pStyle w:val="45"/>
              <w:rPr>
                <w:rFonts w:hint="default"/>
              </w:rPr>
            </w:pPr>
            <w:r>
              <w:rPr>
                <w:rFonts w:hint="default"/>
              </w:rPr>
              <w:t>达标</w:t>
            </w:r>
          </w:p>
        </w:tc>
      </w:tr>
      <w:tr w14:paraId="3BF63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65539F3A">
            <w:pPr>
              <w:pStyle w:val="45"/>
              <w:rPr>
                <w:rFonts w:hint="default"/>
              </w:rPr>
            </w:pPr>
          </w:p>
        </w:tc>
        <w:tc>
          <w:tcPr>
            <w:tcW w:w="1073" w:type="pct"/>
            <w:noWrap/>
            <w:vAlign w:val="center"/>
          </w:tcPr>
          <w:p w14:paraId="1B1687DE">
            <w:pPr>
              <w:pStyle w:val="45"/>
              <w:rPr>
                <w:rFonts w:hint="default"/>
              </w:rPr>
            </w:pPr>
            <w:r>
              <w:rPr>
                <w:rFonts w:hint="default"/>
              </w:rPr>
              <w:t>河宽（m）</w:t>
            </w:r>
          </w:p>
        </w:tc>
        <w:tc>
          <w:tcPr>
            <w:tcW w:w="581" w:type="pct"/>
            <w:noWrap/>
            <w:vAlign w:val="center"/>
          </w:tcPr>
          <w:p w14:paraId="1BF0990F">
            <w:pPr>
              <w:pStyle w:val="45"/>
              <w:rPr>
                <w:rFonts w:hint="default"/>
              </w:rPr>
            </w:pPr>
            <w:r>
              <w:rPr>
                <w:rFonts w:hint="default"/>
              </w:rPr>
              <w:t>653</w:t>
            </w:r>
          </w:p>
        </w:tc>
        <w:tc>
          <w:tcPr>
            <w:tcW w:w="410" w:type="pct"/>
            <w:noWrap/>
            <w:vAlign w:val="center"/>
          </w:tcPr>
          <w:p w14:paraId="5C3D04FD">
            <w:pPr>
              <w:pStyle w:val="45"/>
              <w:rPr>
                <w:rFonts w:hint="default"/>
              </w:rPr>
            </w:pPr>
            <w:r>
              <w:rPr>
                <w:rFonts w:hint="default"/>
              </w:rPr>
              <w:t>653</w:t>
            </w:r>
          </w:p>
        </w:tc>
        <w:tc>
          <w:tcPr>
            <w:tcW w:w="505" w:type="pct"/>
            <w:noWrap/>
            <w:vAlign w:val="center"/>
          </w:tcPr>
          <w:p w14:paraId="35A8AEB5">
            <w:pPr>
              <w:pStyle w:val="45"/>
              <w:rPr>
                <w:rFonts w:hint="default"/>
              </w:rPr>
            </w:pPr>
            <w:r>
              <w:rPr>
                <w:rFonts w:hint="default"/>
              </w:rPr>
              <w:t>/</w:t>
            </w:r>
          </w:p>
        </w:tc>
        <w:tc>
          <w:tcPr>
            <w:tcW w:w="505" w:type="pct"/>
            <w:noWrap/>
            <w:vAlign w:val="center"/>
          </w:tcPr>
          <w:p w14:paraId="625202C5">
            <w:pPr>
              <w:pStyle w:val="45"/>
              <w:rPr>
                <w:rFonts w:hint="default"/>
              </w:rPr>
            </w:pPr>
            <w:r>
              <w:rPr>
                <w:rFonts w:hint="default"/>
              </w:rPr>
              <w:t>/</w:t>
            </w:r>
          </w:p>
        </w:tc>
        <w:tc>
          <w:tcPr>
            <w:tcW w:w="410" w:type="pct"/>
            <w:noWrap/>
            <w:vAlign w:val="center"/>
          </w:tcPr>
          <w:p w14:paraId="30BE898B">
            <w:pPr>
              <w:pStyle w:val="45"/>
              <w:rPr>
                <w:rFonts w:hint="default"/>
              </w:rPr>
            </w:pPr>
            <w:r>
              <w:rPr>
                <w:rFonts w:hint="default"/>
              </w:rPr>
              <w:t>0</w:t>
            </w:r>
          </w:p>
        </w:tc>
        <w:tc>
          <w:tcPr>
            <w:tcW w:w="505" w:type="pct"/>
            <w:noWrap/>
            <w:vAlign w:val="center"/>
          </w:tcPr>
          <w:p w14:paraId="157FC0FA">
            <w:pPr>
              <w:pStyle w:val="45"/>
              <w:rPr>
                <w:rFonts w:hint="default"/>
              </w:rPr>
            </w:pPr>
            <w:r>
              <w:rPr>
                <w:rFonts w:hint="default"/>
              </w:rPr>
              <w:t>0</w:t>
            </w:r>
          </w:p>
        </w:tc>
        <w:tc>
          <w:tcPr>
            <w:tcW w:w="505" w:type="pct"/>
            <w:noWrap/>
            <w:vAlign w:val="center"/>
          </w:tcPr>
          <w:p w14:paraId="08F586F5">
            <w:pPr>
              <w:pStyle w:val="45"/>
              <w:rPr>
                <w:rFonts w:hint="default"/>
              </w:rPr>
            </w:pPr>
            <w:r>
              <w:rPr>
                <w:rFonts w:hint="default"/>
              </w:rPr>
              <w:t>达标</w:t>
            </w:r>
          </w:p>
        </w:tc>
      </w:tr>
      <w:tr w14:paraId="36A78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1EE9C2B0">
            <w:pPr>
              <w:pStyle w:val="45"/>
              <w:rPr>
                <w:rFonts w:hint="default"/>
              </w:rPr>
            </w:pPr>
          </w:p>
        </w:tc>
        <w:tc>
          <w:tcPr>
            <w:tcW w:w="1073" w:type="pct"/>
            <w:noWrap/>
            <w:vAlign w:val="center"/>
          </w:tcPr>
          <w:p w14:paraId="17162B3D">
            <w:pPr>
              <w:pStyle w:val="45"/>
              <w:rPr>
                <w:rFonts w:hint="default"/>
              </w:rPr>
            </w:pPr>
            <w:r>
              <w:rPr>
                <w:rFonts w:hint="default"/>
              </w:rPr>
              <w:t>河深（m）</w:t>
            </w:r>
          </w:p>
        </w:tc>
        <w:tc>
          <w:tcPr>
            <w:tcW w:w="581" w:type="pct"/>
            <w:noWrap/>
            <w:vAlign w:val="center"/>
          </w:tcPr>
          <w:p w14:paraId="59B20959">
            <w:pPr>
              <w:pStyle w:val="45"/>
              <w:rPr>
                <w:rFonts w:hint="default"/>
              </w:rPr>
            </w:pPr>
            <w:r>
              <w:rPr>
                <w:rFonts w:hint="default"/>
              </w:rPr>
              <w:t>12.5-12.7</w:t>
            </w:r>
          </w:p>
        </w:tc>
        <w:tc>
          <w:tcPr>
            <w:tcW w:w="410" w:type="pct"/>
            <w:noWrap/>
            <w:vAlign w:val="center"/>
          </w:tcPr>
          <w:p w14:paraId="72869919">
            <w:pPr>
              <w:pStyle w:val="45"/>
              <w:rPr>
                <w:rFonts w:hint="default"/>
              </w:rPr>
            </w:pPr>
            <w:r>
              <w:rPr>
                <w:rFonts w:hint="default"/>
              </w:rPr>
              <w:t>12.6</w:t>
            </w:r>
          </w:p>
        </w:tc>
        <w:tc>
          <w:tcPr>
            <w:tcW w:w="505" w:type="pct"/>
            <w:noWrap/>
            <w:vAlign w:val="center"/>
          </w:tcPr>
          <w:p w14:paraId="5C4B76BA">
            <w:pPr>
              <w:pStyle w:val="45"/>
              <w:rPr>
                <w:rFonts w:hint="default"/>
              </w:rPr>
            </w:pPr>
            <w:r>
              <w:rPr>
                <w:rFonts w:hint="default"/>
              </w:rPr>
              <w:t>/</w:t>
            </w:r>
          </w:p>
        </w:tc>
        <w:tc>
          <w:tcPr>
            <w:tcW w:w="505" w:type="pct"/>
            <w:noWrap/>
            <w:vAlign w:val="center"/>
          </w:tcPr>
          <w:p w14:paraId="0D7FB71C">
            <w:pPr>
              <w:pStyle w:val="45"/>
              <w:rPr>
                <w:rFonts w:hint="default"/>
              </w:rPr>
            </w:pPr>
            <w:r>
              <w:rPr>
                <w:rFonts w:hint="default"/>
              </w:rPr>
              <w:t>/</w:t>
            </w:r>
          </w:p>
        </w:tc>
        <w:tc>
          <w:tcPr>
            <w:tcW w:w="410" w:type="pct"/>
            <w:noWrap/>
            <w:vAlign w:val="center"/>
          </w:tcPr>
          <w:p w14:paraId="2A330A00">
            <w:pPr>
              <w:pStyle w:val="45"/>
              <w:rPr>
                <w:rFonts w:hint="default"/>
              </w:rPr>
            </w:pPr>
            <w:r>
              <w:rPr>
                <w:rFonts w:hint="default"/>
              </w:rPr>
              <w:t>0</w:t>
            </w:r>
          </w:p>
        </w:tc>
        <w:tc>
          <w:tcPr>
            <w:tcW w:w="505" w:type="pct"/>
            <w:noWrap/>
            <w:vAlign w:val="center"/>
          </w:tcPr>
          <w:p w14:paraId="4D8597DD">
            <w:pPr>
              <w:pStyle w:val="45"/>
              <w:rPr>
                <w:rFonts w:hint="default"/>
              </w:rPr>
            </w:pPr>
            <w:r>
              <w:rPr>
                <w:rFonts w:hint="default"/>
              </w:rPr>
              <w:t>0</w:t>
            </w:r>
          </w:p>
        </w:tc>
        <w:tc>
          <w:tcPr>
            <w:tcW w:w="505" w:type="pct"/>
            <w:noWrap/>
            <w:vAlign w:val="center"/>
          </w:tcPr>
          <w:p w14:paraId="76981F92">
            <w:pPr>
              <w:pStyle w:val="45"/>
              <w:rPr>
                <w:rFonts w:hint="default"/>
              </w:rPr>
            </w:pPr>
            <w:r>
              <w:rPr>
                <w:rFonts w:hint="default"/>
              </w:rPr>
              <w:t>达标</w:t>
            </w:r>
          </w:p>
        </w:tc>
      </w:tr>
      <w:tr w14:paraId="646C9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05E06AA5">
            <w:pPr>
              <w:pStyle w:val="45"/>
              <w:rPr>
                <w:rFonts w:hint="default"/>
              </w:rPr>
            </w:pPr>
          </w:p>
        </w:tc>
        <w:tc>
          <w:tcPr>
            <w:tcW w:w="1073" w:type="pct"/>
            <w:noWrap/>
            <w:vAlign w:val="center"/>
          </w:tcPr>
          <w:p w14:paraId="342FA265">
            <w:pPr>
              <w:pStyle w:val="45"/>
              <w:rPr>
                <w:rFonts w:hint="default"/>
              </w:rPr>
            </w:pPr>
            <w:r>
              <w:rPr>
                <w:rFonts w:hint="default"/>
              </w:rPr>
              <w:t>pH值</w:t>
            </w:r>
          </w:p>
        </w:tc>
        <w:tc>
          <w:tcPr>
            <w:tcW w:w="581" w:type="pct"/>
            <w:noWrap/>
            <w:vAlign w:val="center"/>
          </w:tcPr>
          <w:p w14:paraId="0D56ED27">
            <w:pPr>
              <w:pStyle w:val="45"/>
              <w:rPr>
                <w:rFonts w:hint="default"/>
              </w:rPr>
            </w:pPr>
            <w:r>
              <w:rPr>
                <w:rFonts w:hint="default"/>
              </w:rPr>
              <w:t>6.9-7</w:t>
            </w:r>
          </w:p>
        </w:tc>
        <w:tc>
          <w:tcPr>
            <w:tcW w:w="410" w:type="pct"/>
            <w:noWrap/>
            <w:vAlign w:val="center"/>
          </w:tcPr>
          <w:p w14:paraId="3679901E">
            <w:pPr>
              <w:pStyle w:val="45"/>
              <w:rPr>
                <w:rFonts w:hint="default"/>
              </w:rPr>
            </w:pPr>
            <w:r>
              <w:rPr>
                <w:rFonts w:hint="default"/>
              </w:rPr>
              <w:t>6.93</w:t>
            </w:r>
          </w:p>
        </w:tc>
        <w:tc>
          <w:tcPr>
            <w:tcW w:w="505" w:type="pct"/>
            <w:noWrap/>
            <w:vAlign w:val="center"/>
          </w:tcPr>
          <w:p w14:paraId="04A60634">
            <w:pPr>
              <w:pStyle w:val="45"/>
              <w:rPr>
                <w:rFonts w:hint="default"/>
              </w:rPr>
            </w:pPr>
            <w:r>
              <w:rPr>
                <w:rFonts w:hint="default"/>
              </w:rPr>
              <w:t>6-9</w:t>
            </w:r>
          </w:p>
        </w:tc>
        <w:tc>
          <w:tcPr>
            <w:tcW w:w="505" w:type="pct"/>
            <w:noWrap/>
            <w:vAlign w:val="center"/>
          </w:tcPr>
          <w:p w14:paraId="3B06B6F9">
            <w:pPr>
              <w:pStyle w:val="45"/>
              <w:rPr>
                <w:rFonts w:hint="default"/>
              </w:rPr>
            </w:pPr>
            <w:r>
              <w:rPr>
                <w:rFonts w:hint="default"/>
              </w:rPr>
              <w:t>0.7</w:t>
            </w:r>
          </w:p>
        </w:tc>
        <w:tc>
          <w:tcPr>
            <w:tcW w:w="410" w:type="pct"/>
            <w:noWrap/>
            <w:vAlign w:val="center"/>
          </w:tcPr>
          <w:p w14:paraId="26030A87">
            <w:pPr>
              <w:pStyle w:val="45"/>
              <w:rPr>
                <w:rFonts w:hint="default"/>
              </w:rPr>
            </w:pPr>
            <w:r>
              <w:rPr>
                <w:rFonts w:hint="default"/>
              </w:rPr>
              <w:t>0</w:t>
            </w:r>
          </w:p>
        </w:tc>
        <w:tc>
          <w:tcPr>
            <w:tcW w:w="505" w:type="pct"/>
            <w:noWrap/>
            <w:vAlign w:val="center"/>
          </w:tcPr>
          <w:p w14:paraId="279DE893">
            <w:pPr>
              <w:pStyle w:val="45"/>
              <w:rPr>
                <w:rFonts w:hint="default"/>
              </w:rPr>
            </w:pPr>
            <w:r>
              <w:rPr>
                <w:rFonts w:hint="default"/>
              </w:rPr>
              <w:t>0</w:t>
            </w:r>
          </w:p>
        </w:tc>
        <w:tc>
          <w:tcPr>
            <w:tcW w:w="505" w:type="pct"/>
            <w:noWrap/>
            <w:vAlign w:val="center"/>
          </w:tcPr>
          <w:p w14:paraId="08173BA9">
            <w:pPr>
              <w:pStyle w:val="45"/>
              <w:rPr>
                <w:rFonts w:hint="default"/>
              </w:rPr>
            </w:pPr>
            <w:r>
              <w:rPr>
                <w:rFonts w:hint="default"/>
              </w:rPr>
              <w:t>达标</w:t>
            </w:r>
          </w:p>
        </w:tc>
      </w:tr>
      <w:tr w14:paraId="092E3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465066A4">
            <w:pPr>
              <w:pStyle w:val="45"/>
              <w:rPr>
                <w:rFonts w:hint="default"/>
              </w:rPr>
            </w:pPr>
          </w:p>
        </w:tc>
        <w:tc>
          <w:tcPr>
            <w:tcW w:w="1073" w:type="pct"/>
            <w:noWrap/>
            <w:vAlign w:val="center"/>
          </w:tcPr>
          <w:p w14:paraId="21414FDF">
            <w:pPr>
              <w:pStyle w:val="45"/>
              <w:rPr>
                <w:rFonts w:hint="default"/>
              </w:rPr>
            </w:pPr>
            <w:r>
              <w:rPr>
                <w:rFonts w:hint="default"/>
              </w:rPr>
              <w:t>溶解氧</w:t>
            </w:r>
          </w:p>
        </w:tc>
        <w:tc>
          <w:tcPr>
            <w:tcW w:w="581" w:type="pct"/>
            <w:noWrap/>
            <w:vAlign w:val="center"/>
          </w:tcPr>
          <w:p w14:paraId="0E420A77">
            <w:pPr>
              <w:pStyle w:val="45"/>
              <w:rPr>
                <w:rFonts w:hint="default"/>
              </w:rPr>
            </w:pPr>
            <w:r>
              <w:rPr>
                <w:rFonts w:hint="default"/>
              </w:rPr>
              <w:t>5.6-5.7</w:t>
            </w:r>
          </w:p>
        </w:tc>
        <w:tc>
          <w:tcPr>
            <w:tcW w:w="410" w:type="pct"/>
            <w:noWrap/>
            <w:vAlign w:val="center"/>
          </w:tcPr>
          <w:p w14:paraId="1D82C6A9">
            <w:pPr>
              <w:pStyle w:val="45"/>
              <w:rPr>
                <w:rFonts w:hint="default"/>
              </w:rPr>
            </w:pPr>
            <w:r>
              <w:rPr>
                <w:rFonts w:hint="default"/>
              </w:rPr>
              <w:t>5.63</w:t>
            </w:r>
          </w:p>
        </w:tc>
        <w:tc>
          <w:tcPr>
            <w:tcW w:w="505" w:type="pct"/>
            <w:noWrap/>
            <w:vAlign w:val="center"/>
          </w:tcPr>
          <w:p w14:paraId="0168746A">
            <w:pPr>
              <w:pStyle w:val="45"/>
              <w:rPr>
                <w:rFonts w:hint="default"/>
              </w:rPr>
            </w:pPr>
            <w:r>
              <w:rPr>
                <w:rFonts w:hint="default"/>
              </w:rPr>
              <w:t>≥5</w:t>
            </w:r>
          </w:p>
        </w:tc>
        <w:tc>
          <w:tcPr>
            <w:tcW w:w="505" w:type="pct"/>
            <w:noWrap/>
            <w:vAlign w:val="center"/>
          </w:tcPr>
          <w:p w14:paraId="2AB63462">
            <w:pPr>
              <w:pStyle w:val="45"/>
              <w:rPr>
                <w:rFonts w:hint="default"/>
              </w:rPr>
            </w:pPr>
            <w:r>
              <w:rPr>
                <w:rFonts w:hint="default"/>
              </w:rPr>
              <w:t>0.888</w:t>
            </w:r>
          </w:p>
        </w:tc>
        <w:tc>
          <w:tcPr>
            <w:tcW w:w="410" w:type="pct"/>
            <w:noWrap/>
            <w:vAlign w:val="center"/>
          </w:tcPr>
          <w:p w14:paraId="2FB5FDCB">
            <w:pPr>
              <w:pStyle w:val="45"/>
              <w:rPr>
                <w:rFonts w:hint="default"/>
              </w:rPr>
            </w:pPr>
            <w:r>
              <w:rPr>
                <w:rFonts w:hint="default"/>
              </w:rPr>
              <w:t>0</w:t>
            </w:r>
          </w:p>
        </w:tc>
        <w:tc>
          <w:tcPr>
            <w:tcW w:w="505" w:type="pct"/>
            <w:noWrap/>
            <w:vAlign w:val="center"/>
          </w:tcPr>
          <w:p w14:paraId="702FF9F2">
            <w:pPr>
              <w:pStyle w:val="45"/>
              <w:rPr>
                <w:rFonts w:hint="default"/>
              </w:rPr>
            </w:pPr>
            <w:r>
              <w:rPr>
                <w:rFonts w:hint="default"/>
              </w:rPr>
              <w:t>0</w:t>
            </w:r>
          </w:p>
        </w:tc>
        <w:tc>
          <w:tcPr>
            <w:tcW w:w="505" w:type="pct"/>
            <w:noWrap/>
            <w:vAlign w:val="center"/>
          </w:tcPr>
          <w:p w14:paraId="192351B3">
            <w:pPr>
              <w:pStyle w:val="45"/>
              <w:rPr>
                <w:rFonts w:hint="default"/>
              </w:rPr>
            </w:pPr>
            <w:r>
              <w:rPr>
                <w:rFonts w:hint="default"/>
              </w:rPr>
              <w:t>达标</w:t>
            </w:r>
          </w:p>
        </w:tc>
      </w:tr>
      <w:tr w14:paraId="2DB06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0A54D667">
            <w:pPr>
              <w:pStyle w:val="45"/>
              <w:rPr>
                <w:rFonts w:hint="default"/>
              </w:rPr>
            </w:pPr>
          </w:p>
        </w:tc>
        <w:tc>
          <w:tcPr>
            <w:tcW w:w="1073" w:type="pct"/>
            <w:noWrap/>
            <w:vAlign w:val="center"/>
          </w:tcPr>
          <w:p w14:paraId="7ECEBBEB">
            <w:pPr>
              <w:pStyle w:val="45"/>
              <w:rPr>
                <w:rFonts w:hint="default"/>
              </w:rPr>
            </w:pPr>
            <w:r>
              <w:rPr>
                <w:rFonts w:hint="default"/>
              </w:rPr>
              <w:t>化学需氧量</w:t>
            </w:r>
          </w:p>
        </w:tc>
        <w:tc>
          <w:tcPr>
            <w:tcW w:w="581" w:type="pct"/>
            <w:noWrap/>
            <w:vAlign w:val="center"/>
          </w:tcPr>
          <w:p w14:paraId="4D461D49">
            <w:pPr>
              <w:pStyle w:val="45"/>
              <w:rPr>
                <w:rFonts w:hint="default"/>
              </w:rPr>
            </w:pPr>
            <w:r>
              <w:rPr>
                <w:rFonts w:hint="default"/>
              </w:rPr>
              <w:t>6-8</w:t>
            </w:r>
          </w:p>
        </w:tc>
        <w:tc>
          <w:tcPr>
            <w:tcW w:w="410" w:type="pct"/>
            <w:noWrap/>
            <w:vAlign w:val="center"/>
          </w:tcPr>
          <w:p w14:paraId="371B8626">
            <w:pPr>
              <w:pStyle w:val="45"/>
              <w:rPr>
                <w:rFonts w:hint="default"/>
              </w:rPr>
            </w:pPr>
            <w:r>
              <w:rPr>
                <w:rFonts w:hint="default"/>
              </w:rPr>
              <w:t>6.67</w:t>
            </w:r>
          </w:p>
        </w:tc>
        <w:tc>
          <w:tcPr>
            <w:tcW w:w="505" w:type="pct"/>
            <w:noWrap/>
            <w:vAlign w:val="center"/>
          </w:tcPr>
          <w:p w14:paraId="112F635C">
            <w:pPr>
              <w:pStyle w:val="45"/>
              <w:rPr>
                <w:rFonts w:hint="default"/>
              </w:rPr>
            </w:pPr>
            <w:r>
              <w:rPr>
                <w:rFonts w:hint="default"/>
              </w:rPr>
              <w:t>20</w:t>
            </w:r>
          </w:p>
        </w:tc>
        <w:tc>
          <w:tcPr>
            <w:tcW w:w="505" w:type="pct"/>
            <w:noWrap/>
            <w:vAlign w:val="center"/>
          </w:tcPr>
          <w:p w14:paraId="6CE1B54A">
            <w:pPr>
              <w:pStyle w:val="45"/>
              <w:rPr>
                <w:rFonts w:hint="default"/>
              </w:rPr>
            </w:pPr>
            <w:r>
              <w:rPr>
                <w:rFonts w:hint="default"/>
              </w:rPr>
              <w:t>0.4</w:t>
            </w:r>
          </w:p>
        </w:tc>
        <w:tc>
          <w:tcPr>
            <w:tcW w:w="410" w:type="pct"/>
            <w:noWrap/>
            <w:vAlign w:val="center"/>
          </w:tcPr>
          <w:p w14:paraId="45F8521C">
            <w:pPr>
              <w:pStyle w:val="45"/>
              <w:rPr>
                <w:rFonts w:hint="default"/>
              </w:rPr>
            </w:pPr>
            <w:r>
              <w:rPr>
                <w:rFonts w:hint="default"/>
              </w:rPr>
              <w:t>0</w:t>
            </w:r>
          </w:p>
        </w:tc>
        <w:tc>
          <w:tcPr>
            <w:tcW w:w="505" w:type="pct"/>
            <w:noWrap/>
            <w:vAlign w:val="center"/>
          </w:tcPr>
          <w:p w14:paraId="5B23C522">
            <w:pPr>
              <w:pStyle w:val="45"/>
              <w:rPr>
                <w:rFonts w:hint="default"/>
              </w:rPr>
            </w:pPr>
            <w:r>
              <w:rPr>
                <w:rFonts w:hint="default"/>
              </w:rPr>
              <w:t>0</w:t>
            </w:r>
          </w:p>
        </w:tc>
        <w:tc>
          <w:tcPr>
            <w:tcW w:w="505" w:type="pct"/>
            <w:noWrap/>
            <w:vAlign w:val="center"/>
          </w:tcPr>
          <w:p w14:paraId="5542A0C6">
            <w:pPr>
              <w:pStyle w:val="45"/>
              <w:rPr>
                <w:rFonts w:hint="default"/>
              </w:rPr>
            </w:pPr>
            <w:r>
              <w:rPr>
                <w:rFonts w:hint="default"/>
              </w:rPr>
              <w:t>达标</w:t>
            </w:r>
          </w:p>
        </w:tc>
      </w:tr>
      <w:tr w14:paraId="0D50D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34427F16">
            <w:pPr>
              <w:pStyle w:val="45"/>
              <w:rPr>
                <w:rFonts w:hint="default"/>
              </w:rPr>
            </w:pPr>
          </w:p>
        </w:tc>
        <w:tc>
          <w:tcPr>
            <w:tcW w:w="1073" w:type="pct"/>
            <w:noWrap/>
            <w:vAlign w:val="center"/>
          </w:tcPr>
          <w:p w14:paraId="7C2D1F08">
            <w:pPr>
              <w:pStyle w:val="45"/>
              <w:rPr>
                <w:rFonts w:hint="default"/>
              </w:rPr>
            </w:pPr>
            <w:r>
              <w:rPr>
                <w:rFonts w:hint="default"/>
              </w:rPr>
              <w:t>五日生化需氧量</w:t>
            </w:r>
          </w:p>
        </w:tc>
        <w:tc>
          <w:tcPr>
            <w:tcW w:w="581" w:type="pct"/>
            <w:noWrap/>
            <w:vAlign w:val="center"/>
          </w:tcPr>
          <w:p w14:paraId="4CEAB69A">
            <w:pPr>
              <w:pStyle w:val="45"/>
              <w:rPr>
                <w:rFonts w:hint="default"/>
              </w:rPr>
            </w:pPr>
            <w:r>
              <w:rPr>
                <w:rFonts w:hint="default"/>
              </w:rPr>
              <w:t>1.2-1.6</w:t>
            </w:r>
          </w:p>
        </w:tc>
        <w:tc>
          <w:tcPr>
            <w:tcW w:w="410" w:type="pct"/>
            <w:noWrap/>
            <w:vAlign w:val="center"/>
          </w:tcPr>
          <w:p w14:paraId="08E7F50C">
            <w:pPr>
              <w:pStyle w:val="45"/>
              <w:rPr>
                <w:rFonts w:hint="default"/>
              </w:rPr>
            </w:pPr>
            <w:r>
              <w:rPr>
                <w:rFonts w:hint="default"/>
              </w:rPr>
              <w:t>1.37</w:t>
            </w:r>
          </w:p>
        </w:tc>
        <w:tc>
          <w:tcPr>
            <w:tcW w:w="505" w:type="pct"/>
            <w:noWrap/>
            <w:vAlign w:val="center"/>
          </w:tcPr>
          <w:p w14:paraId="2512A5ED">
            <w:pPr>
              <w:pStyle w:val="45"/>
              <w:rPr>
                <w:rFonts w:hint="default"/>
              </w:rPr>
            </w:pPr>
            <w:r>
              <w:rPr>
                <w:rFonts w:hint="default"/>
              </w:rPr>
              <w:t>4</w:t>
            </w:r>
          </w:p>
        </w:tc>
        <w:tc>
          <w:tcPr>
            <w:tcW w:w="505" w:type="pct"/>
            <w:noWrap/>
            <w:vAlign w:val="center"/>
          </w:tcPr>
          <w:p w14:paraId="080F1206">
            <w:pPr>
              <w:pStyle w:val="45"/>
              <w:rPr>
                <w:rFonts w:hint="default"/>
              </w:rPr>
            </w:pPr>
            <w:r>
              <w:rPr>
                <w:rFonts w:hint="default"/>
              </w:rPr>
              <w:t>0.4</w:t>
            </w:r>
          </w:p>
        </w:tc>
        <w:tc>
          <w:tcPr>
            <w:tcW w:w="410" w:type="pct"/>
            <w:noWrap/>
            <w:vAlign w:val="center"/>
          </w:tcPr>
          <w:p w14:paraId="47D754B8">
            <w:pPr>
              <w:pStyle w:val="45"/>
              <w:rPr>
                <w:rFonts w:hint="default"/>
              </w:rPr>
            </w:pPr>
            <w:r>
              <w:rPr>
                <w:rFonts w:hint="default"/>
              </w:rPr>
              <w:t>0</w:t>
            </w:r>
          </w:p>
        </w:tc>
        <w:tc>
          <w:tcPr>
            <w:tcW w:w="505" w:type="pct"/>
            <w:noWrap/>
            <w:vAlign w:val="center"/>
          </w:tcPr>
          <w:p w14:paraId="33F8031F">
            <w:pPr>
              <w:pStyle w:val="45"/>
              <w:rPr>
                <w:rFonts w:hint="default"/>
              </w:rPr>
            </w:pPr>
            <w:r>
              <w:rPr>
                <w:rFonts w:hint="default"/>
              </w:rPr>
              <w:t>0</w:t>
            </w:r>
          </w:p>
        </w:tc>
        <w:tc>
          <w:tcPr>
            <w:tcW w:w="505" w:type="pct"/>
            <w:noWrap/>
            <w:vAlign w:val="center"/>
          </w:tcPr>
          <w:p w14:paraId="35EC071E">
            <w:pPr>
              <w:pStyle w:val="45"/>
              <w:rPr>
                <w:rFonts w:hint="default"/>
              </w:rPr>
            </w:pPr>
            <w:r>
              <w:rPr>
                <w:rFonts w:hint="default"/>
              </w:rPr>
              <w:t>达标</w:t>
            </w:r>
          </w:p>
        </w:tc>
      </w:tr>
      <w:tr w14:paraId="0DFF5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072F6C92">
            <w:pPr>
              <w:pStyle w:val="45"/>
              <w:rPr>
                <w:rFonts w:hint="default"/>
              </w:rPr>
            </w:pPr>
          </w:p>
        </w:tc>
        <w:tc>
          <w:tcPr>
            <w:tcW w:w="1073" w:type="pct"/>
            <w:noWrap/>
            <w:vAlign w:val="center"/>
          </w:tcPr>
          <w:p w14:paraId="40612098">
            <w:pPr>
              <w:pStyle w:val="45"/>
              <w:rPr>
                <w:rFonts w:hint="default"/>
              </w:rPr>
            </w:pPr>
            <w:r>
              <w:rPr>
                <w:rFonts w:hint="default"/>
              </w:rPr>
              <w:t>总磷</w:t>
            </w:r>
          </w:p>
        </w:tc>
        <w:tc>
          <w:tcPr>
            <w:tcW w:w="581" w:type="pct"/>
            <w:noWrap/>
            <w:vAlign w:val="center"/>
          </w:tcPr>
          <w:p w14:paraId="2E139BC6">
            <w:pPr>
              <w:pStyle w:val="45"/>
              <w:rPr>
                <w:rFonts w:hint="default"/>
              </w:rPr>
            </w:pPr>
            <w:r>
              <w:rPr>
                <w:rFonts w:hint="default"/>
              </w:rPr>
              <w:t>0.03-0.04</w:t>
            </w:r>
          </w:p>
        </w:tc>
        <w:tc>
          <w:tcPr>
            <w:tcW w:w="410" w:type="pct"/>
            <w:noWrap/>
            <w:vAlign w:val="center"/>
          </w:tcPr>
          <w:p w14:paraId="4F917D29">
            <w:pPr>
              <w:pStyle w:val="45"/>
              <w:rPr>
                <w:rFonts w:hint="default"/>
              </w:rPr>
            </w:pPr>
            <w:r>
              <w:rPr>
                <w:rFonts w:hint="default"/>
              </w:rPr>
              <w:t>0.037</w:t>
            </w:r>
          </w:p>
        </w:tc>
        <w:tc>
          <w:tcPr>
            <w:tcW w:w="505" w:type="pct"/>
            <w:noWrap/>
            <w:vAlign w:val="center"/>
          </w:tcPr>
          <w:p w14:paraId="6AED4D7D">
            <w:pPr>
              <w:pStyle w:val="45"/>
              <w:rPr>
                <w:rFonts w:hint="default"/>
              </w:rPr>
            </w:pPr>
            <w:r>
              <w:rPr>
                <w:rFonts w:hint="default"/>
              </w:rPr>
              <w:t>0.2</w:t>
            </w:r>
          </w:p>
        </w:tc>
        <w:tc>
          <w:tcPr>
            <w:tcW w:w="505" w:type="pct"/>
            <w:noWrap/>
            <w:vAlign w:val="center"/>
          </w:tcPr>
          <w:p w14:paraId="43AC6406">
            <w:pPr>
              <w:pStyle w:val="45"/>
              <w:rPr>
                <w:rFonts w:hint="default"/>
              </w:rPr>
            </w:pPr>
            <w:r>
              <w:rPr>
                <w:rFonts w:hint="default"/>
              </w:rPr>
              <w:t>0.2</w:t>
            </w:r>
          </w:p>
        </w:tc>
        <w:tc>
          <w:tcPr>
            <w:tcW w:w="410" w:type="pct"/>
            <w:noWrap/>
            <w:vAlign w:val="center"/>
          </w:tcPr>
          <w:p w14:paraId="2E0ED39A">
            <w:pPr>
              <w:pStyle w:val="45"/>
              <w:rPr>
                <w:rFonts w:hint="default"/>
              </w:rPr>
            </w:pPr>
            <w:r>
              <w:rPr>
                <w:rFonts w:hint="default"/>
              </w:rPr>
              <w:t>0</w:t>
            </w:r>
          </w:p>
        </w:tc>
        <w:tc>
          <w:tcPr>
            <w:tcW w:w="505" w:type="pct"/>
            <w:noWrap/>
            <w:vAlign w:val="center"/>
          </w:tcPr>
          <w:p w14:paraId="6C49636B">
            <w:pPr>
              <w:pStyle w:val="45"/>
              <w:rPr>
                <w:rFonts w:hint="default"/>
              </w:rPr>
            </w:pPr>
            <w:r>
              <w:rPr>
                <w:rFonts w:hint="default"/>
              </w:rPr>
              <w:t>0</w:t>
            </w:r>
          </w:p>
        </w:tc>
        <w:tc>
          <w:tcPr>
            <w:tcW w:w="505" w:type="pct"/>
            <w:noWrap/>
            <w:vAlign w:val="center"/>
          </w:tcPr>
          <w:p w14:paraId="4F215005">
            <w:pPr>
              <w:pStyle w:val="45"/>
              <w:rPr>
                <w:rFonts w:hint="default"/>
              </w:rPr>
            </w:pPr>
            <w:r>
              <w:rPr>
                <w:rFonts w:hint="default"/>
              </w:rPr>
              <w:t>达标</w:t>
            </w:r>
          </w:p>
        </w:tc>
      </w:tr>
      <w:tr w14:paraId="10F66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60B01BAF">
            <w:pPr>
              <w:pStyle w:val="45"/>
              <w:rPr>
                <w:rFonts w:hint="default"/>
              </w:rPr>
            </w:pPr>
          </w:p>
        </w:tc>
        <w:tc>
          <w:tcPr>
            <w:tcW w:w="1073" w:type="pct"/>
            <w:noWrap/>
            <w:vAlign w:val="center"/>
          </w:tcPr>
          <w:p w14:paraId="19A147F5">
            <w:pPr>
              <w:pStyle w:val="45"/>
              <w:rPr>
                <w:rFonts w:hint="default"/>
              </w:rPr>
            </w:pPr>
            <w:r>
              <w:rPr>
                <w:rFonts w:hint="default"/>
              </w:rPr>
              <w:t>氨氮</w:t>
            </w:r>
          </w:p>
        </w:tc>
        <w:tc>
          <w:tcPr>
            <w:tcW w:w="581" w:type="pct"/>
            <w:noWrap/>
            <w:vAlign w:val="center"/>
          </w:tcPr>
          <w:p w14:paraId="4A1C271F">
            <w:pPr>
              <w:pStyle w:val="45"/>
              <w:rPr>
                <w:rFonts w:hint="default"/>
              </w:rPr>
            </w:pPr>
            <w:r>
              <w:rPr>
                <w:rFonts w:hint="default"/>
              </w:rPr>
              <w:t>0.178-0.189</w:t>
            </w:r>
          </w:p>
        </w:tc>
        <w:tc>
          <w:tcPr>
            <w:tcW w:w="410" w:type="pct"/>
            <w:noWrap/>
            <w:vAlign w:val="center"/>
          </w:tcPr>
          <w:p w14:paraId="56A85598">
            <w:pPr>
              <w:pStyle w:val="45"/>
              <w:rPr>
                <w:rFonts w:hint="default"/>
              </w:rPr>
            </w:pPr>
            <w:r>
              <w:rPr>
                <w:rFonts w:hint="default"/>
              </w:rPr>
              <w:t>0.183</w:t>
            </w:r>
          </w:p>
        </w:tc>
        <w:tc>
          <w:tcPr>
            <w:tcW w:w="505" w:type="pct"/>
            <w:noWrap/>
            <w:vAlign w:val="center"/>
          </w:tcPr>
          <w:p w14:paraId="42FF8F64">
            <w:pPr>
              <w:pStyle w:val="45"/>
              <w:rPr>
                <w:rFonts w:hint="default"/>
              </w:rPr>
            </w:pPr>
            <w:r>
              <w:rPr>
                <w:rFonts w:hint="default"/>
              </w:rPr>
              <w:t>1</w:t>
            </w:r>
          </w:p>
        </w:tc>
        <w:tc>
          <w:tcPr>
            <w:tcW w:w="505" w:type="pct"/>
            <w:noWrap/>
            <w:vAlign w:val="center"/>
          </w:tcPr>
          <w:p w14:paraId="679C1895">
            <w:pPr>
              <w:pStyle w:val="45"/>
              <w:rPr>
                <w:rFonts w:hint="default"/>
              </w:rPr>
            </w:pPr>
            <w:r>
              <w:rPr>
                <w:rFonts w:hint="default"/>
              </w:rPr>
              <w:t>0.189</w:t>
            </w:r>
          </w:p>
        </w:tc>
        <w:tc>
          <w:tcPr>
            <w:tcW w:w="410" w:type="pct"/>
            <w:noWrap/>
            <w:vAlign w:val="center"/>
          </w:tcPr>
          <w:p w14:paraId="77672355">
            <w:pPr>
              <w:pStyle w:val="45"/>
              <w:rPr>
                <w:rFonts w:hint="default"/>
              </w:rPr>
            </w:pPr>
            <w:r>
              <w:rPr>
                <w:rFonts w:hint="default"/>
              </w:rPr>
              <w:t>0</w:t>
            </w:r>
          </w:p>
        </w:tc>
        <w:tc>
          <w:tcPr>
            <w:tcW w:w="505" w:type="pct"/>
            <w:noWrap/>
            <w:vAlign w:val="center"/>
          </w:tcPr>
          <w:p w14:paraId="3E16484C">
            <w:pPr>
              <w:pStyle w:val="45"/>
              <w:rPr>
                <w:rFonts w:hint="default"/>
              </w:rPr>
            </w:pPr>
            <w:r>
              <w:rPr>
                <w:rFonts w:hint="default"/>
              </w:rPr>
              <w:t>0</w:t>
            </w:r>
          </w:p>
        </w:tc>
        <w:tc>
          <w:tcPr>
            <w:tcW w:w="505" w:type="pct"/>
            <w:noWrap/>
            <w:vAlign w:val="center"/>
          </w:tcPr>
          <w:p w14:paraId="026829FD">
            <w:pPr>
              <w:pStyle w:val="45"/>
              <w:rPr>
                <w:rFonts w:hint="default"/>
              </w:rPr>
            </w:pPr>
            <w:r>
              <w:rPr>
                <w:rFonts w:hint="default"/>
              </w:rPr>
              <w:t>达标</w:t>
            </w:r>
          </w:p>
        </w:tc>
      </w:tr>
      <w:tr w14:paraId="531C2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1B6C6679">
            <w:pPr>
              <w:pStyle w:val="45"/>
              <w:rPr>
                <w:rFonts w:hint="default"/>
              </w:rPr>
            </w:pPr>
          </w:p>
        </w:tc>
        <w:tc>
          <w:tcPr>
            <w:tcW w:w="1073" w:type="pct"/>
            <w:noWrap/>
            <w:vAlign w:val="center"/>
          </w:tcPr>
          <w:p w14:paraId="2EEBB150">
            <w:pPr>
              <w:pStyle w:val="45"/>
              <w:rPr>
                <w:rFonts w:hint="default"/>
              </w:rPr>
            </w:pPr>
            <w:r>
              <w:rPr>
                <w:rFonts w:hint="default"/>
              </w:rPr>
              <w:t>石油类</w:t>
            </w:r>
          </w:p>
        </w:tc>
        <w:tc>
          <w:tcPr>
            <w:tcW w:w="581" w:type="pct"/>
            <w:noWrap/>
            <w:vAlign w:val="center"/>
          </w:tcPr>
          <w:p w14:paraId="12B0F588">
            <w:pPr>
              <w:pStyle w:val="45"/>
              <w:rPr>
                <w:rFonts w:hint="default"/>
              </w:rPr>
            </w:pPr>
            <w:r>
              <w:rPr>
                <w:rFonts w:hint="default"/>
              </w:rPr>
              <w:t>0.02-0.03</w:t>
            </w:r>
          </w:p>
        </w:tc>
        <w:tc>
          <w:tcPr>
            <w:tcW w:w="410" w:type="pct"/>
            <w:noWrap/>
            <w:vAlign w:val="center"/>
          </w:tcPr>
          <w:p w14:paraId="7A67E91B">
            <w:pPr>
              <w:pStyle w:val="45"/>
              <w:rPr>
                <w:rFonts w:hint="default"/>
              </w:rPr>
            </w:pPr>
            <w:r>
              <w:rPr>
                <w:rFonts w:hint="default"/>
              </w:rPr>
              <w:t>0.027</w:t>
            </w:r>
          </w:p>
        </w:tc>
        <w:tc>
          <w:tcPr>
            <w:tcW w:w="505" w:type="pct"/>
            <w:noWrap/>
            <w:vAlign w:val="center"/>
          </w:tcPr>
          <w:p w14:paraId="085356C2">
            <w:pPr>
              <w:pStyle w:val="45"/>
              <w:rPr>
                <w:rFonts w:hint="default"/>
              </w:rPr>
            </w:pPr>
            <w:r>
              <w:rPr>
                <w:rFonts w:hint="default"/>
              </w:rPr>
              <w:t>0.05</w:t>
            </w:r>
          </w:p>
        </w:tc>
        <w:tc>
          <w:tcPr>
            <w:tcW w:w="505" w:type="pct"/>
            <w:noWrap/>
            <w:vAlign w:val="center"/>
          </w:tcPr>
          <w:p w14:paraId="24173D5C">
            <w:pPr>
              <w:pStyle w:val="45"/>
              <w:rPr>
                <w:rFonts w:hint="default"/>
              </w:rPr>
            </w:pPr>
            <w:r>
              <w:rPr>
                <w:rFonts w:hint="default"/>
              </w:rPr>
              <w:t>0.6</w:t>
            </w:r>
          </w:p>
        </w:tc>
        <w:tc>
          <w:tcPr>
            <w:tcW w:w="410" w:type="pct"/>
            <w:noWrap/>
            <w:vAlign w:val="center"/>
          </w:tcPr>
          <w:p w14:paraId="378D1058">
            <w:pPr>
              <w:pStyle w:val="45"/>
              <w:rPr>
                <w:rFonts w:hint="default"/>
              </w:rPr>
            </w:pPr>
            <w:r>
              <w:rPr>
                <w:rFonts w:hint="default"/>
              </w:rPr>
              <w:t>0</w:t>
            </w:r>
          </w:p>
        </w:tc>
        <w:tc>
          <w:tcPr>
            <w:tcW w:w="505" w:type="pct"/>
            <w:noWrap/>
            <w:vAlign w:val="center"/>
          </w:tcPr>
          <w:p w14:paraId="54390604">
            <w:pPr>
              <w:pStyle w:val="45"/>
              <w:rPr>
                <w:rFonts w:hint="default"/>
              </w:rPr>
            </w:pPr>
            <w:r>
              <w:rPr>
                <w:rFonts w:hint="default"/>
              </w:rPr>
              <w:t>0</w:t>
            </w:r>
          </w:p>
        </w:tc>
        <w:tc>
          <w:tcPr>
            <w:tcW w:w="505" w:type="pct"/>
            <w:noWrap/>
            <w:vAlign w:val="center"/>
          </w:tcPr>
          <w:p w14:paraId="05471871">
            <w:pPr>
              <w:pStyle w:val="45"/>
              <w:rPr>
                <w:rFonts w:hint="default"/>
              </w:rPr>
            </w:pPr>
            <w:r>
              <w:rPr>
                <w:rFonts w:hint="default"/>
              </w:rPr>
              <w:t>达标</w:t>
            </w:r>
          </w:p>
        </w:tc>
      </w:tr>
      <w:tr w14:paraId="3F001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0AEE7958">
            <w:pPr>
              <w:pStyle w:val="45"/>
              <w:rPr>
                <w:rFonts w:hint="default"/>
              </w:rPr>
            </w:pPr>
          </w:p>
        </w:tc>
        <w:tc>
          <w:tcPr>
            <w:tcW w:w="1073" w:type="pct"/>
            <w:noWrap/>
            <w:vAlign w:val="center"/>
          </w:tcPr>
          <w:p w14:paraId="6E5A485A">
            <w:pPr>
              <w:pStyle w:val="45"/>
              <w:rPr>
                <w:rFonts w:hint="default"/>
              </w:rPr>
            </w:pPr>
            <w:r>
              <w:rPr>
                <w:rFonts w:hint="default"/>
              </w:rPr>
              <w:t>氟化物</w:t>
            </w:r>
          </w:p>
        </w:tc>
        <w:tc>
          <w:tcPr>
            <w:tcW w:w="581" w:type="pct"/>
            <w:noWrap/>
            <w:vAlign w:val="center"/>
          </w:tcPr>
          <w:p w14:paraId="44646894">
            <w:pPr>
              <w:pStyle w:val="45"/>
              <w:rPr>
                <w:rFonts w:hint="default"/>
              </w:rPr>
            </w:pPr>
            <w:r>
              <w:rPr>
                <w:rFonts w:hint="default"/>
              </w:rPr>
              <w:t>0.285-0.31</w:t>
            </w:r>
          </w:p>
        </w:tc>
        <w:tc>
          <w:tcPr>
            <w:tcW w:w="410" w:type="pct"/>
            <w:noWrap/>
            <w:vAlign w:val="center"/>
          </w:tcPr>
          <w:p w14:paraId="18943B0F">
            <w:pPr>
              <w:pStyle w:val="45"/>
              <w:rPr>
                <w:rFonts w:hint="default"/>
              </w:rPr>
            </w:pPr>
            <w:r>
              <w:rPr>
                <w:rFonts w:hint="default"/>
              </w:rPr>
              <w:t>0.295</w:t>
            </w:r>
          </w:p>
        </w:tc>
        <w:tc>
          <w:tcPr>
            <w:tcW w:w="505" w:type="pct"/>
            <w:noWrap/>
            <w:vAlign w:val="center"/>
          </w:tcPr>
          <w:p w14:paraId="6DF7EFD2">
            <w:pPr>
              <w:pStyle w:val="45"/>
              <w:rPr>
                <w:rFonts w:hint="default"/>
              </w:rPr>
            </w:pPr>
            <w:r>
              <w:rPr>
                <w:rFonts w:hint="default"/>
              </w:rPr>
              <w:t>1</w:t>
            </w:r>
          </w:p>
        </w:tc>
        <w:tc>
          <w:tcPr>
            <w:tcW w:w="505" w:type="pct"/>
            <w:noWrap/>
            <w:vAlign w:val="center"/>
          </w:tcPr>
          <w:p w14:paraId="0335D5B1">
            <w:pPr>
              <w:pStyle w:val="45"/>
              <w:rPr>
                <w:rFonts w:hint="default"/>
              </w:rPr>
            </w:pPr>
            <w:r>
              <w:rPr>
                <w:rFonts w:hint="default"/>
              </w:rPr>
              <w:t>0.31</w:t>
            </w:r>
          </w:p>
        </w:tc>
        <w:tc>
          <w:tcPr>
            <w:tcW w:w="410" w:type="pct"/>
            <w:noWrap/>
            <w:vAlign w:val="center"/>
          </w:tcPr>
          <w:p w14:paraId="6203630C">
            <w:pPr>
              <w:pStyle w:val="45"/>
              <w:rPr>
                <w:rFonts w:hint="default"/>
              </w:rPr>
            </w:pPr>
            <w:r>
              <w:rPr>
                <w:rFonts w:hint="default"/>
              </w:rPr>
              <w:t>0</w:t>
            </w:r>
          </w:p>
        </w:tc>
        <w:tc>
          <w:tcPr>
            <w:tcW w:w="505" w:type="pct"/>
            <w:noWrap/>
            <w:vAlign w:val="center"/>
          </w:tcPr>
          <w:p w14:paraId="23DE4C1C">
            <w:pPr>
              <w:pStyle w:val="45"/>
              <w:rPr>
                <w:rFonts w:hint="default"/>
              </w:rPr>
            </w:pPr>
            <w:r>
              <w:rPr>
                <w:rFonts w:hint="default"/>
              </w:rPr>
              <w:t>0</w:t>
            </w:r>
          </w:p>
        </w:tc>
        <w:tc>
          <w:tcPr>
            <w:tcW w:w="505" w:type="pct"/>
            <w:noWrap/>
            <w:vAlign w:val="center"/>
          </w:tcPr>
          <w:p w14:paraId="7EFF1667">
            <w:pPr>
              <w:pStyle w:val="45"/>
              <w:rPr>
                <w:rFonts w:hint="default"/>
              </w:rPr>
            </w:pPr>
            <w:r>
              <w:rPr>
                <w:rFonts w:hint="default"/>
              </w:rPr>
              <w:t>达标</w:t>
            </w:r>
          </w:p>
        </w:tc>
      </w:tr>
      <w:tr w14:paraId="0E11E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7C2D6D52">
            <w:pPr>
              <w:pStyle w:val="45"/>
              <w:rPr>
                <w:rFonts w:hint="default"/>
              </w:rPr>
            </w:pPr>
          </w:p>
        </w:tc>
        <w:tc>
          <w:tcPr>
            <w:tcW w:w="1073" w:type="pct"/>
            <w:noWrap/>
            <w:vAlign w:val="center"/>
          </w:tcPr>
          <w:p w14:paraId="086D5EBD">
            <w:pPr>
              <w:pStyle w:val="45"/>
              <w:rPr>
                <w:rFonts w:hint="default"/>
              </w:rPr>
            </w:pPr>
            <w:r>
              <w:rPr>
                <w:rFonts w:hint="default"/>
              </w:rPr>
              <w:t>硫化物</w:t>
            </w:r>
          </w:p>
        </w:tc>
        <w:tc>
          <w:tcPr>
            <w:tcW w:w="581" w:type="pct"/>
            <w:noWrap/>
            <w:vAlign w:val="center"/>
          </w:tcPr>
          <w:p w14:paraId="7B894A1F">
            <w:pPr>
              <w:pStyle w:val="45"/>
              <w:rPr>
                <w:rFonts w:hint="default"/>
              </w:rPr>
            </w:pPr>
            <w:r>
              <w:rPr>
                <w:rFonts w:hint="default"/>
              </w:rPr>
              <w:t>0.01L</w:t>
            </w:r>
          </w:p>
        </w:tc>
        <w:tc>
          <w:tcPr>
            <w:tcW w:w="410" w:type="pct"/>
            <w:noWrap/>
            <w:vAlign w:val="center"/>
          </w:tcPr>
          <w:p w14:paraId="525F24C7">
            <w:pPr>
              <w:pStyle w:val="45"/>
              <w:rPr>
                <w:rFonts w:hint="default"/>
              </w:rPr>
            </w:pPr>
            <w:r>
              <w:rPr>
                <w:rFonts w:hint="default"/>
              </w:rPr>
              <w:t>/</w:t>
            </w:r>
          </w:p>
        </w:tc>
        <w:tc>
          <w:tcPr>
            <w:tcW w:w="505" w:type="pct"/>
            <w:noWrap/>
            <w:vAlign w:val="center"/>
          </w:tcPr>
          <w:p w14:paraId="04217077">
            <w:pPr>
              <w:pStyle w:val="45"/>
              <w:rPr>
                <w:rFonts w:hint="default"/>
              </w:rPr>
            </w:pPr>
            <w:r>
              <w:rPr>
                <w:rFonts w:hint="default"/>
              </w:rPr>
              <w:t>0.2</w:t>
            </w:r>
          </w:p>
        </w:tc>
        <w:tc>
          <w:tcPr>
            <w:tcW w:w="505" w:type="pct"/>
            <w:noWrap/>
            <w:vAlign w:val="center"/>
          </w:tcPr>
          <w:p w14:paraId="07DDEC01">
            <w:pPr>
              <w:pStyle w:val="45"/>
              <w:rPr>
                <w:rFonts w:hint="default"/>
              </w:rPr>
            </w:pPr>
            <w:r>
              <w:rPr>
                <w:rFonts w:hint="default"/>
              </w:rPr>
              <w:t>/</w:t>
            </w:r>
          </w:p>
        </w:tc>
        <w:tc>
          <w:tcPr>
            <w:tcW w:w="410" w:type="pct"/>
            <w:noWrap/>
            <w:vAlign w:val="center"/>
          </w:tcPr>
          <w:p w14:paraId="08288F1D">
            <w:pPr>
              <w:pStyle w:val="45"/>
              <w:rPr>
                <w:rFonts w:hint="default"/>
              </w:rPr>
            </w:pPr>
            <w:r>
              <w:rPr>
                <w:rFonts w:hint="default"/>
              </w:rPr>
              <w:t>0</w:t>
            </w:r>
          </w:p>
        </w:tc>
        <w:tc>
          <w:tcPr>
            <w:tcW w:w="505" w:type="pct"/>
            <w:noWrap/>
            <w:vAlign w:val="center"/>
          </w:tcPr>
          <w:p w14:paraId="048A636D">
            <w:pPr>
              <w:pStyle w:val="45"/>
              <w:rPr>
                <w:rFonts w:hint="default"/>
              </w:rPr>
            </w:pPr>
            <w:r>
              <w:rPr>
                <w:rFonts w:hint="default"/>
              </w:rPr>
              <w:t>0</w:t>
            </w:r>
          </w:p>
        </w:tc>
        <w:tc>
          <w:tcPr>
            <w:tcW w:w="505" w:type="pct"/>
            <w:noWrap/>
            <w:vAlign w:val="center"/>
          </w:tcPr>
          <w:p w14:paraId="2E995CA0">
            <w:pPr>
              <w:pStyle w:val="45"/>
              <w:rPr>
                <w:rFonts w:hint="default"/>
              </w:rPr>
            </w:pPr>
            <w:r>
              <w:rPr>
                <w:rFonts w:hint="default"/>
              </w:rPr>
              <w:t>达标</w:t>
            </w:r>
          </w:p>
        </w:tc>
      </w:tr>
      <w:tr w14:paraId="2C472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6D19217F">
            <w:pPr>
              <w:pStyle w:val="45"/>
              <w:rPr>
                <w:rFonts w:hint="default"/>
              </w:rPr>
            </w:pPr>
          </w:p>
        </w:tc>
        <w:tc>
          <w:tcPr>
            <w:tcW w:w="1073" w:type="pct"/>
            <w:noWrap/>
            <w:vAlign w:val="center"/>
          </w:tcPr>
          <w:p w14:paraId="620DFC36">
            <w:pPr>
              <w:pStyle w:val="45"/>
              <w:rPr>
                <w:rFonts w:hint="default"/>
              </w:rPr>
            </w:pPr>
            <w:r>
              <w:rPr>
                <w:rFonts w:hint="default"/>
              </w:rPr>
              <w:t>硫酸盐</w:t>
            </w:r>
          </w:p>
        </w:tc>
        <w:tc>
          <w:tcPr>
            <w:tcW w:w="581" w:type="pct"/>
            <w:noWrap/>
            <w:vAlign w:val="center"/>
          </w:tcPr>
          <w:p w14:paraId="67301039">
            <w:pPr>
              <w:pStyle w:val="45"/>
              <w:rPr>
                <w:rFonts w:hint="default"/>
              </w:rPr>
            </w:pPr>
            <w:r>
              <w:rPr>
                <w:rFonts w:hint="default"/>
              </w:rPr>
              <w:t>18.7-18.9</w:t>
            </w:r>
          </w:p>
        </w:tc>
        <w:tc>
          <w:tcPr>
            <w:tcW w:w="410" w:type="pct"/>
            <w:noWrap/>
            <w:vAlign w:val="center"/>
          </w:tcPr>
          <w:p w14:paraId="6EEC986E">
            <w:pPr>
              <w:pStyle w:val="45"/>
              <w:rPr>
                <w:rFonts w:hint="default"/>
              </w:rPr>
            </w:pPr>
            <w:r>
              <w:rPr>
                <w:rFonts w:hint="default"/>
              </w:rPr>
              <w:t>18.77</w:t>
            </w:r>
          </w:p>
        </w:tc>
        <w:tc>
          <w:tcPr>
            <w:tcW w:w="505" w:type="pct"/>
            <w:noWrap/>
            <w:vAlign w:val="center"/>
          </w:tcPr>
          <w:p w14:paraId="6D633B5C">
            <w:pPr>
              <w:pStyle w:val="45"/>
              <w:rPr>
                <w:rFonts w:hint="default"/>
              </w:rPr>
            </w:pPr>
            <w:r>
              <w:rPr>
                <w:rFonts w:hint="default"/>
              </w:rPr>
              <w:t>250</w:t>
            </w:r>
          </w:p>
        </w:tc>
        <w:tc>
          <w:tcPr>
            <w:tcW w:w="505" w:type="pct"/>
            <w:noWrap/>
            <w:vAlign w:val="center"/>
          </w:tcPr>
          <w:p w14:paraId="6371863C">
            <w:pPr>
              <w:pStyle w:val="45"/>
              <w:rPr>
                <w:rFonts w:hint="default"/>
              </w:rPr>
            </w:pPr>
            <w:r>
              <w:rPr>
                <w:rFonts w:hint="default"/>
              </w:rPr>
              <w:t>0.076</w:t>
            </w:r>
          </w:p>
        </w:tc>
        <w:tc>
          <w:tcPr>
            <w:tcW w:w="410" w:type="pct"/>
            <w:noWrap/>
            <w:vAlign w:val="center"/>
          </w:tcPr>
          <w:p w14:paraId="31591BFE">
            <w:pPr>
              <w:pStyle w:val="45"/>
              <w:rPr>
                <w:rFonts w:hint="default"/>
              </w:rPr>
            </w:pPr>
            <w:r>
              <w:rPr>
                <w:rFonts w:hint="default"/>
              </w:rPr>
              <w:t>0</w:t>
            </w:r>
          </w:p>
        </w:tc>
        <w:tc>
          <w:tcPr>
            <w:tcW w:w="505" w:type="pct"/>
            <w:noWrap/>
            <w:vAlign w:val="center"/>
          </w:tcPr>
          <w:p w14:paraId="5015BB79">
            <w:pPr>
              <w:pStyle w:val="45"/>
              <w:rPr>
                <w:rFonts w:hint="default"/>
              </w:rPr>
            </w:pPr>
            <w:r>
              <w:rPr>
                <w:rFonts w:hint="default"/>
              </w:rPr>
              <w:t>0</w:t>
            </w:r>
          </w:p>
        </w:tc>
        <w:tc>
          <w:tcPr>
            <w:tcW w:w="505" w:type="pct"/>
            <w:noWrap/>
            <w:vAlign w:val="center"/>
          </w:tcPr>
          <w:p w14:paraId="3D0E0950">
            <w:pPr>
              <w:pStyle w:val="45"/>
              <w:rPr>
                <w:rFonts w:hint="default"/>
              </w:rPr>
            </w:pPr>
            <w:r>
              <w:rPr>
                <w:rFonts w:hint="default"/>
              </w:rPr>
              <w:t>达标</w:t>
            </w:r>
          </w:p>
        </w:tc>
      </w:tr>
      <w:tr w14:paraId="45DC3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5BD13D77">
            <w:pPr>
              <w:pStyle w:val="45"/>
              <w:rPr>
                <w:rFonts w:hint="default"/>
              </w:rPr>
            </w:pPr>
          </w:p>
        </w:tc>
        <w:tc>
          <w:tcPr>
            <w:tcW w:w="1073" w:type="pct"/>
            <w:noWrap/>
            <w:vAlign w:val="center"/>
          </w:tcPr>
          <w:p w14:paraId="6B003798">
            <w:pPr>
              <w:pStyle w:val="45"/>
              <w:rPr>
                <w:rFonts w:hint="default"/>
              </w:rPr>
            </w:pPr>
            <w:r>
              <w:rPr>
                <w:rFonts w:hint="default"/>
              </w:rPr>
              <w:t>挥发酚</w:t>
            </w:r>
          </w:p>
        </w:tc>
        <w:tc>
          <w:tcPr>
            <w:tcW w:w="581" w:type="pct"/>
            <w:noWrap/>
            <w:vAlign w:val="center"/>
          </w:tcPr>
          <w:p w14:paraId="25F99613">
            <w:pPr>
              <w:pStyle w:val="45"/>
              <w:rPr>
                <w:rFonts w:hint="default"/>
              </w:rPr>
            </w:pPr>
            <w:r>
              <w:rPr>
                <w:rFonts w:hint="default"/>
              </w:rPr>
              <w:t>0.0003L</w:t>
            </w:r>
          </w:p>
        </w:tc>
        <w:tc>
          <w:tcPr>
            <w:tcW w:w="410" w:type="pct"/>
            <w:noWrap/>
            <w:vAlign w:val="center"/>
          </w:tcPr>
          <w:p w14:paraId="5233C78A">
            <w:pPr>
              <w:pStyle w:val="45"/>
              <w:rPr>
                <w:rFonts w:hint="default"/>
              </w:rPr>
            </w:pPr>
            <w:r>
              <w:rPr>
                <w:rFonts w:hint="default"/>
              </w:rPr>
              <w:t>/</w:t>
            </w:r>
          </w:p>
        </w:tc>
        <w:tc>
          <w:tcPr>
            <w:tcW w:w="505" w:type="pct"/>
            <w:noWrap/>
            <w:vAlign w:val="center"/>
          </w:tcPr>
          <w:p w14:paraId="6E3705C1">
            <w:pPr>
              <w:pStyle w:val="45"/>
              <w:rPr>
                <w:rFonts w:hint="default"/>
              </w:rPr>
            </w:pPr>
            <w:r>
              <w:rPr>
                <w:rFonts w:hint="default"/>
              </w:rPr>
              <w:t>0.005</w:t>
            </w:r>
          </w:p>
        </w:tc>
        <w:tc>
          <w:tcPr>
            <w:tcW w:w="505" w:type="pct"/>
            <w:noWrap/>
            <w:vAlign w:val="center"/>
          </w:tcPr>
          <w:p w14:paraId="72E30287">
            <w:pPr>
              <w:pStyle w:val="45"/>
              <w:rPr>
                <w:rFonts w:hint="default"/>
              </w:rPr>
            </w:pPr>
            <w:r>
              <w:rPr>
                <w:rFonts w:hint="default"/>
              </w:rPr>
              <w:t>/</w:t>
            </w:r>
          </w:p>
        </w:tc>
        <w:tc>
          <w:tcPr>
            <w:tcW w:w="410" w:type="pct"/>
            <w:noWrap/>
            <w:vAlign w:val="center"/>
          </w:tcPr>
          <w:p w14:paraId="632CBAA0">
            <w:pPr>
              <w:pStyle w:val="45"/>
              <w:rPr>
                <w:rFonts w:hint="default"/>
              </w:rPr>
            </w:pPr>
            <w:r>
              <w:rPr>
                <w:rFonts w:hint="default"/>
              </w:rPr>
              <w:t>0</w:t>
            </w:r>
          </w:p>
        </w:tc>
        <w:tc>
          <w:tcPr>
            <w:tcW w:w="505" w:type="pct"/>
            <w:noWrap/>
            <w:vAlign w:val="center"/>
          </w:tcPr>
          <w:p w14:paraId="2731CA0C">
            <w:pPr>
              <w:pStyle w:val="45"/>
              <w:rPr>
                <w:rFonts w:hint="default"/>
              </w:rPr>
            </w:pPr>
            <w:r>
              <w:rPr>
                <w:rFonts w:hint="default"/>
              </w:rPr>
              <w:t>0</w:t>
            </w:r>
          </w:p>
        </w:tc>
        <w:tc>
          <w:tcPr>
            <w:tcW w:w="505" w:type="pct"/>
            <w:noWrap/>
            <w:vAlign w:val="center"/>
          </w:tcPr>
          <w:p w14:paraId="10847340">
            <w:pPr>
              <w:pStyle w:val="45"/>
              <w:rPr>
                <w:rFonts w:hint="default"/>
              </w:rPr>
            </w:pPr>
            <w:r>
              <w:rPr>
                <w:rFonts w:hint="default"/>
              </w:rPr>
              <w:t>达标</w:t>
            </w:r>
          </w:p>
        </w:tc>
      </w:tr>
      <w:tr w14:paraId="376CC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40949EC2">
            <w:pPr>
              <w:pStyle w:val="45"/>
              <w:rPr>
                <w:rFonts w:hint="default"/>
              </w:rPr>
            </w:pPr>
          </w:p>
        </w:tc>
        <w:tc>
          <w:tcPr>
            <w:tcW w:w="1073" w:type="pct"/>
            <w:noWrap/>
            <w:vAlign w:val="center"/>
          </w:tcPr>
          <w:p w14:paraId="2E6C4807">
            <w:pPr>
              <w:pStyle w:val="45"/>
              <w:rPr>
                <w:rFonts w:hint="default"/>
              </w:rPr>
            </w:pPr>
            <w:r>
              <w:rPr>
                <w:rFonts w:hint="default"/>
              </w:rPr>
              <w:t>阴离子表面活性剂</w:t>
            </w:r>
          </w:p>
        </w:tc>
        <w:tc>
          <w:tcPr>
            <w:tcW w:w="581" w:type="pct"/>
            <w:noWrap/>
            <w:vAlign w:val="center"/>
          </w:tcPr>
          <w:p w14:paraId="334AB544">
            <w:pPr>
              <w:pStyle w:val="45"/>
              <w:rPr>
                <w:rFonts w:hint="default"/>
              </w:rPr>
            </w:pPr>
            <w:r>
              <w:rPr>
                <w:rFonts w:hint="default"/>
              </w:rPr>
              <w:t>0.05L</w:t>
            </w:r>
          </w:p>
        </w:tc>
        <w:tc>
          <w:tcPr>
            <w:tcW w:w="410" w:type="pct"/>
            <w:noWrap/>
            <w:vAlign w:val="center"/>
          </w:tcPr>
          <w:p w14:paraId="401AEEED">
            <w:pPr>
              <w:pStyle w:val="45"/>
              <w:rPr>
                <w:rFonts w:hint="default"/>
              </w:rPr>
            </w:pPr>
            <w:r>
              <w:rPr>
                <w:rFonts w:hint="default"/>
              </w:rPr>
              <w:t>/</w:t>
            </w:r>
          </w:p>
        </w:tc>
        <w:tc>
          <w:tcPr>
            <w:tcW w:w="505" w:type="pct"/>
            <w:noWrap/>
            <w:vAlign w:val="center"/>
          </w:tcPr>
          <w:p w14:paraId="5B91C6BD">
            <w:pPr>
              <w:pStyle w:val="45"/>
              <w:rPr>
                <w:rFonts w:hint="default"/>
              </w:rPr>
            </w:pPr>
            <w:r>
              <w:rPr>
                <w:rFonts w:hint="default"/>
              </w:rPr>
              <w:t>0.2</w:t>
            </w:r>
          </w:p>
        </w:tc>
        <w:tc>
          <w:tcPr>
            <w:tcW w:w="505" w:type="pct"/>
            <w:noWrap/>
            <w:vAlign w:val="center"/>
          </w:tcPr>
          <w:p w14:paraId="47687291">
            <w:pPr>
              <w:pStyle w:val="45"/>
              <w:rPr>
                <w:rFonts w:hint="default"/>
              </w:rPr>
            </w:pPr>
            <w:r>
              <w:rPr>
                <w:rFonts w:hint="default"/>
              </w:rPr>
              <w:t>/</w:t>
            </w:r>
          </w:p>
        </w:tc>
        <w:tc>
          <w:tcPr>
            <w:tcW w:w="410" w:type="pct"/>
            <w:noWrap/>
            <w:vAlign w:val="center"/>
          </w:tcPr>
          <w:p w14:paraId="27B45A27">
            <w:pPr>
              <w:pStyle w:val="45"/>
              <w:rPr>
                <w:rFonts w:hint="default"/>
              </w:rPr>
            </w:pPr>
            <w:r>
              <w:rPr>
                <w:rFonts w:hint="default"/>
              </w:rPr>
              <w:t>0</w:t>
            </w:r>
          </w:p>
        </w:tc>
        <w:tc>
          <w:tcPr>
            <w:tcW w:w="505" w:type="pct"/>
            <w:noWrap/>
            <w:vAlign w:val="center"/>
          </w:tcPr>
          <w:p w14:paraId="3BCA768C">
            <w:pPr>
              <w:pStyle w:val="45"/>
              <w:rPr>
                <w:rFonts w:hint="default"/>
              </w:rPr>
            </w:pPr>
            <w:r>
              <w:rPr>
                <w:rFonts w:hint="default"/>
              </w:rPr>
              <w:t>0</w:t>
            </w:r>
          </w:p>
        </w:tc>
        <w:tc>
          <w:tcPr>
            <w:tcW w:w="505" w:type="pct"/>
            <w:noWrap/>
            <w:vAlign w:val="center"/>
          </w:tcPr>
          <w:p w14:paraId="0BF3AFA9">
            <w:pPr>
              <w:pStyle w:val="45"/>
              <w:rPr>
                <w:rFonts w:hint="default"/>
              </w:rPr>
            </w:pPr>
            <w:r>
              <w:rPr>
                <w:rFonts w:hint="default"/>
              </w:rPr>
              <w:t>达标</w:t>
            </w:r>
          </w:p>
        </w:tc>
      </w:tr>
      <w:tr w14:paraId="0E5DC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1EA888EA">
            <w:pPr>
              <w:pStyle w:val="45"/>
              <w:rPr>
                <w:rFonts w:hint="default"/>
              </w:rPr>
            </w:pPr>
          </w:p>
        </w:tc>
        <w:tc>
          <w:tcPr>
            <w:tcW w:w="1073" w:type="pct"/>
            <w:noWrap/>
            <w:vAlign w:val="center"/>
          </w:tcPr>
          <w:p w14:paraId="6EF9EB69">
            <w:pPr>
              <w:pStyle w:val="45"/>
              <w:rPr>
                <w:rFonts w:hint="default"/>
              </w:rPr>
            </w:pPr>
            <w:r>
              <w:rPr>
                <w:rFonts w:hint="default"/>
              </w:rPr>
              <w:t>铅</w:t>
            </w:r>
          </w:p>
        </w:tc>
        <w:tc>
          <w:tcPr>
            <w:tcW w:w="581" w:type="pct"/>
            <w:noWrap/>
            <w:vAlign w:val="center"/>
          </w:tcPr>
          <w:p w14:paraId="612EC1DF">
            <w:pPr>
              <w:pStyle w:val="45"/>
              <w:rPr>
                <w:rFonts w:hint="default"/>
              </w:rPr>
            </w:pPr>
            <w:r>
              <w:rPr>
                <w:rFonts w:hint="default"/>
              </w:rPr>
              <w:t>0.001L</w:t>
            </w:r>
          </w:p>
        </w:tc>
        <w:tc>
          <w:tcPr>
            <w:tcW w:w="410" w:type="pct"/>
            <w:noWrap/>
            <w:vAlign w:val="center"/>
          </w:tcPr>
          <w:p w14:paraId="7A6E176B">
            <w:pPr>
              <w:pStyle w:val="45"/>
              <w:rPr>
                <w:rFonts w:hint="default"/>
              </w:rPr>
            </w:pPr>
            <w:r>
              <w:rPr>
                <w:rFonts w:hint="default"/>
              </w:rPr>
              <w:t>/</w:t>
            </w:r>
          </w:p>
        </w:tc>
        <w:tc>
          <w:tcPr>
            <w:tcW w:w="505" w:type="pct"/>
            <w:noWrap/>
            <w:vAlign w:val="center"/>
          </w:tcPr>
          <w:p w14:paraId="6ABE3510">
            <w:pPr>
              <w:pStyle w:val="45"/>
              <w:rPr>
                <w:rFonts w:hint="default"/>
              </w:rPr>
            </w:pPr>
            <w:r>
              <w:rPr>
                <w:rFonts w:hint="default"/>
              </w:rPr>
              <w:t>0.05</w:t>
            </w:r>
          </w:p>
        </w:tc>
        <w:tc>
          <w:tcPr>
            <w:tcW w:w="505" w:type="pct"/>
            <w:noWrap/>
            <w:vAlign w:val="center"/>
          </w:tcPr>
          <w:p w14:paraId="20009953">
            <w:pPr>
              <w:pStyle w:val="45"/>
              <w:rPr>
                <w:rFonts w:hint="default"/>
              </w:rPr>
            </w:pPr>
            <w:r>
              <w:rPr>
                <w:rFonts w:hint="default"/>
              </w:rPr>
              <w:t>/</w:t>
            </w:r>
          </w:p>
        </w:tc>
        <w:tc>
          <w:tcPr>
            <w:tcW w:w="410" w:type="pct"/>
            <w:noWrap/>
            <w:vAlign w:val="center"/>
          </w:tcPr>
          <w:p w14:paraId="27C396B8">
            <w:pPr>
              <w:pStyle w:val="45"/>
              <w:rPr>
                <w:rFonts w:hint="default"/>
              </w:rPr>
            </w:pPr>
            <w:r>
              <w:rPr>
                <w:rFonts w:hint="default"/>
              </w:rPr>
              <w:t>0</w:t>
            </w:r>
          </w:p>
        </w:tc>
        <w:tc>
          <w:tcPr>
            <w:tcW w:w="505" w:type="pct"/>
            <w:noWrap/>
            <w:vAlign w:val="center"/>
          </w:tcPr>
          <w:p w14:paraId="7BF20819">
            <w:pPr>
              <w:pStyle w:val="45"/>
              <w:rPr>
                <w:rFonts w:hint="default"/>
              </w:rPr>
            </w:pPr>
            <w:r>
              <w:rPr>
                <w:rFonts w:hint="default"/>
              </w:rPr>
              <w:t>0</w:t>
            </w:r>
          </w:p>
        </w:tc>
        <w:tc>
          <w:tcPr>
            <w:tcW w:w="505" w:type="pct"/>
            <w:noWrap/>
            <w:vAlign w:val="center"/>
          </w:tcPr>
          <w:p w14:paraId="302F8FBF">
            <w:pPr>
              <w:pStyle w:val="45"/>
              <w:rPr>
                <w:rFonts w:hint="default"/>
              </w:rPr>
            </w:pPr>
            <w:r>
              <w:rPr>
                <w:rFonts w:hint="default"/>
              </w:rPr>
              <w:t>达标</w:t>
            </w:r>
          </w:p>
        </w:tc>
      </w:tr>
      <w:tr w14:paraId="1C2EA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52393317">
            <w:pPr>
              <w:pStyle w:val="45"/>
              <w:rPr>
                <w:rFonts w:hint="default"/>
              </w:rPr>
            </w:pPr>
          </w:p>
        </w:tc>
        <w:tc>
          <w:tcPr>
            <w:tcW w:w="1073" w:type="pct"/>
            <w:noWrap/>
            <w:vAlign w:val="center"/>
          </w:tcPr>
          <w:p w14:paraId="53B01CDE">
            <w:pPr>
              <w:pStyle w:val="45"/>
              <w:rPr>
                <w:rFonts w:hint="default"/>
              </w:rPr>
            </w:pPr>
            <w:r>
              <w:rPr>
                <w:rFonts w:hint="default"/>
              </w:rPr>
              <w:t>砷</w:t>
            </w:r>
          </w:p>
        </w:tc>
        <w:tc>
          <w:tcPr>
            <w:tcW w:w="581" w:type="pct"/>
            <w:noWrap/>
            <w:vAlign w:val="center"/>
          </w:tcPr>
          <w:p w14:paraId="03DA0D0E">
            <w:pPr>
              <w:pStyle w:val="45"/>
              <w:rPr>
                <w:rFonts w:hint="default"/>
              </w:rPr>
            </w:pPr>
            <w:r>
              <w:rPr>
                <w:rFonts w:hint="default"/>
              </w:rPr>
              <w:t>0.0003L</w:t>
            </w:r>
          </w:p>
        </w:tc>
        <w:tc>
          <w:tcPr>
            <w:tcW w:w="410" w:type="pct"/>
            <w:noWrap/>
            <w:vAlign w:val="center"/>
          </w:tcPr>
          <w:p w14:paraId="6F5CF60E">
            <w:pPr>
              <w:pStyle w:val="45"/>
              <w:rPr>
                <w:rFonts w:hint="default"/>
              </w:rPr>
            </w:pPr>
            <w:r>
              <w:rPr>
                <w:rFonts w:hint="default"/>
              </w:rPr>
              <w:t>/</w:t>
            </w:r>
          </w:p>
        </w:tc>
        <w:tc>
          <w:tcPr>
            <w:tcW w:w="505" w:type="pct"/>
            <w:noWrap/>
            <w:vAlign w:val="center"/>
          </w:tcPr>
          <w:p w14:paraId="273FA00E">
            <w:pPr>
              <w:pStyle w:val="45"/>
              <w:rPr>
                <w:rFonts w:hint="default"/>
              </w:rPr>
            </w:pPr>
            <w:r>
              <w:rPr>
                <w:rFonts w:hint="default"/>
              </w:rPr>
              <w:t>0.05</w:t>
            </w:r>
          </w:p>
        </w:tc>
        <w:tc>
          <w:tcPr>
            <w:tcW w:w="505" w:type="pct"/>
            <w:noWrap/>
            <w:vAlign w:val="center"/>
          </w:tcPr>
          <w:p w14:paraId="7A53D6C9">
            <w:pPr>
              <w:pStyle w:val="45"/>
              <w:rPr>
                <w:rFonts w:hint="default"/>
              </w:rPr>
            </w:pPr>
            <w:r>
              <w:rPr>
                <w:rFonts w:hint="default"/>
              </w:rPr>
              <w:t>/</w:t>
            </w:r>
          </w:p>
        </w:tc>
        <w:tc>
          <w:tcPr>
            <w:tcW w:w="410" w:type="pct"/>
            <w:noWrap/>
            <w:vAlign w:val="center"/>
          </w:tcPr>
          <w:p w14:paraId="23335144">
            <w:pPr>
              <w:pStyle w:val="45"/>
              <w:rPr>
                <w:rFonts w:hint="default"/>
              </w:rPr>
            </w:pPr>
            <w:r>
              <w:rPr>
                <w:rFonts w:hint="default"/>
              </w:rPr>
              <w:t>0</w:t>
            </w:r>
          </w:p>
        </w:tc>
        <w:tc>
          <w:tcPr>
            <w:tcW w:w="505" w:type="pct"/>
            <w:noWrap/>
            <w:vAlign w:val="center"/>
          </w:tcPr>
          <w:p w14:paraId="72B37F93">
            <w:pPr>
              <w:pStyle w:val="45"/>
              <w:rPr>
                <w:rFonts w:hint="default"/>
              </w:rPr>
            </w:pPr>
            <w:r>
              <w:rPr>
                <w:rFonts w:hint="default"/>
              </w:rPr>
              <w:t>0</w:t>
            </w:r>
          </w:p>
        </w:tc>
        <w:tc>
          <w:tcPr>
            <w:tcW w:w="505" w:type="pct"/>
            <w:noWrap/>
            <w:vAlign w:val="center"/>
          </w:tcPr>
          <w:p w14:paraId="0F2415B8">
            <w:pPr>
              <w:pStyle w:val="45"/>
              <w:rPr>
                <w:rFonts w:hint="default"/>
              </w:rPr>
            </w:pPr>
            <w:r>
              <w:rPr>
                <w:rFonts w:hint="default"/>
              </w:rPr>
              <w:t>达标</w:t>
            </w:r>
          </w:p>
        </w:tc>
      </w:tr>
      <w:tr w14:paraId="582B4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0278B581">
            <w:pPr>
              <w:pStyle w:val="45"/>
              <w:rPr>
                <w:rFonts w:hint="default"/>
              </w:rPr>
            </w:pPr>
          </w:p>
        </w:tc>
        <w:tc>
          <w:tcPr>
            <w:tcW w:w="1073" w:type="pct"/>
            <w:noWrap/>
            <w:vAlign w:val="center"/>
          </w:tcPr>
          <w:p w14:paraId="5D41459F">
            <w:pPr>
              <w:pStyle w:val="45"/>
              <w:rPr>
                <w:rFonts w:hint="default"/>
              </w:rPr>
            </w:pPr>
            <w:r>
              <w:rPr>
                <w:rFonts w:hint="default"/>
              </w:rPr>
              <w:t>镉</w:t>
            </w:r>
          </w:p>
        </w:tc>
        <w:tc>
          <w:tcPr>
            <w:tcW w:w="581" w:type="pct"/>
            <w:noWrap/>
            <w:vAlign w:val="center"/>
          </w:tcPr>
          <w:p w14:paraId="528AE251">
            <w:pPr>
              <w:pStyle w:val="45"/>
              <w:rPr>
                <w:rFonts w:hint="default"/>
              </w:rPr>
            </w:pPr>
            <w:r>
              <w:rPr>
                <w:rFonts w:hint="default"/>
              </w:rPr>
              <w:t>0.0001L</w:t>
            </w:r>
          </w:p>
        </w:tc>
        <w:tc>
          <w:tcPr>
            <w:tcW w:w="410" w:type="pct"/>
            <w:noWrap/>
            <w:vAlign w:val="center"/>
          </w:tcPr>
          <w:p w14:paraId="4256ABD4">
            <w:pPr>
              <w:pStyle w:val="45"/>
              <w:rPr>
                <w:rFonts w:hint="default"/>
              </w:rPr>
            </w:pPr>
            <w:r>
              <w:rPr>
                <w:rFonts w:hint="default"/>
              </w:rPr>
              <w:t>/</w:t>
            </w:r>
          </w:p>
        </w:tc>
        <w:tc>
          <w:tcPr>
            <w:tcW w:w="505" w:type="pct"/>
            <w:noWrap/>
            <w:vAlign w:val="center"/>
          </w:tcPr>
          <w:p w14:paraId="3752BA43">
            <w:pPr>
              <w:pStyle w:val="45"/>
              <w:rPr>
                <w:rFonts w:hint="default"/>
              </w:rPr>
            </w:pPr>
            <w:r>
              <w:rPr>
                <w:rFonts w:hint="default"/>
              </w:rPr>
              <w:t>0.005</w:t>
            </w:r>
          </w:p>
        </w:tc>
        <w:tc>
          <w:tcPr>
            <w:tcW w:w="505" w:type="pct"/>
            <w:noWrap/>
            <w:vAlign w:val="center"/>
          </w:tcPr>
          <w:p w14:paraId="7DCE25A9">
            <w:pPr>
              <w:pStyle w:val="45"/>
              <w:rPr>
                <w:rFonts w:hint="default"/>
              </w:rPr>
            </w:pPr>
            <w:r>
              <w:rPr>
                <w:rFonts w:hint="default"/>
              </w:rPr>
              <w:t>/</w:t>
            </w:r>
          </w:p>
        </w:tc>
        <w:tc>
          <w:tcPr>
            <w:tcW w:w="410" w:type="pct"/>
            <w:noWrap/>
            <w:vAlign w:val="center"/>
          </w:tcPr>
          <w:p w14:paraId="2AFD952D">
            <w:pPr>
              <w:pStyle w:val="45"/>
              <w:rPr>
                <w:rFonts w:hint="default"/>
              </w:rPr>
            </w:pPr>
            <w:r>
              <w:rPr>
                <w:rFonts w:hint="default"/>
              </w:rPr>
              <w:t>0</w:t>
            </w:r>
          </w:p>
        </w:tc>
        <w:tc>
          <w:tcPr>
            <w:tcW w:w="505" w:type="pct"/>
            <w:noWrap/>
            <w:vAlign w:val="center"/>
          </w:tcPr>
          <w:p w14:paraId="4FF9C799">
            <w:pPr>
              <w:pStyle w:val="45"/>
              <w:rPr>
                <w:rFonts w:hint="default"/>
              </w:rPr>
            </w:pPr>
            <w:r>
              <w:rPr>
                <w:rFonts w:hint="default"/>
              </w:rPr>
              <w:t>0</w:t>
            </w:r>
          </w:p>
        </w:tc>
        <w:tc>
          <w:tcPr>
            <w:tcW w:w="505" w:type="pct"/>
            <w:noWrap/>
            <w:vAlign w:val="center"/>
          </w:tcPr>
          <w:p w14:paraId="35176D00">
            <w:pPr>
              <w:pStyle w:val="45"/>
              <w:rPr>
                <w:rFonts w:hint="default"/>
              </w:rPr>
            </w:pPr>
            <w:r>
              <w:rPr>
                <w:rFonts w:hint="default"/>
              </w:rPr>
              <w:t>达标</w:t>
            </w:r>
          </w:p>
        </w:tc>
      </w:tr>
      <w:tr w14:paraId="0C05E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0F88A33D">
            <w:pPr>
              <w:pStyle w:val="45"/>
              <w:rPr>
                <w:rFonts w:hint="default"/>
              </w:rPr>
            </w:pPr>
          </w:p>
        </w:tc>
        <w:tc>
          <w:tcPr>
            <w:tcW w:w="1073" w:type="pct"/>
            <w:noWrap/>
            <w:vAlign w:val="center"/>
          </w:tcPr>
          <w:p w14:paraId="239CA22E">
            <w:pPr>
              <w:pStyle w:val="45"/>
              <w:rPr>
                <w:rFonts w:hint="default"/>
              </w:rPr>
            </w:pPr>
            <w:r>
              <w:rPr>
                <w:rFonts w:hint="default"/>
              </w:rPr>
              <w:t>铬（六价）</w:t>
            </w:r>
          </w:p>
        </w:tc>
        <w:tc>
          <w:tcPr>
            <w:tcW w:w="581" w:type="pct"/>
            <w:noWrap/>
            <w:vAlign w:val="center"/>
          </w:tcPr>
          <w:p w14:paraId="3E0810C6">
            <w:pPr>
              <w:pStyle w:val="45"/>
              <w:rPr>
                <w:rFonts w:hint="default"/>
              </w:rPr>
            </w:pPr>
            <w:r>
              <w:rPr>
                <w:rFonts w:hint="default"/>
              </w:rPr>
              <w:t>0.004L</w:t>
            </w:r>
          </w:p>
        </w:tc>
        <w:tc>
          <w:tcPr>
            <w:tcW w:w="410" w:type="pct"/>
            <w:noWrap/>
            <w:vAlign w:val="center"/>
          </w:tcPr>
          <w:p w14:paraId="5500CD97">
            <w:pPr>
              <w:pStyle w:val="45"/>
              <w:rPr>
                <w:rFonts w:hint="default"/>
              </w:rPr>
            </w:pPr>
            <w:r>
              <w:rPr>
                <w:rFonts w:hint="default"/>
              </w:rPr>
              <w:t>/</w:t>
            </w:r>
          </w:p>
        </w:tc>
        <w:tc>
          <w:tcPr>
            <w:tcW w:w="505" w:type="pct"/>
            <w:noWrap/>
            <w:vAlign w:val="center"/>
          </w:tcPr>
          <w:p w14:paraId="56535500">
            <w:pPr>
              <w:pStyle w:val="45"/>
              <w:rPr>
                <w:rFonts w:hint="default"/>
              </w:rPr>
            </w:pPr>
            <w:r>
              <w:rPr>
                <w:rFonts w:hint="default"/>
              </w:rPr>
              <w:t>0.05</w:t>
            </w:r>
          </w:p>
        </w:tc>
        <w:tc>
          <w:tcPr>
            <w:tcW w:w="505" w:type="pct"/>
            <w:noWrap/>
            <w:vAlign w:val="center"/>
          </w:tcPr>
          <w:p w14:paraId="065D0A42">
            <w:pPr>
              <w:pStyle w:val="45"/>
              <w:rPr>
                <w:rFonts w:hint="default"/>
              </w:rPr>
            </w:pPr>
            <w:r>
              <w:rPr>
                <w:rFonts w:hint="default"/>
              </w:rPr>
              <w:t>/</w:t>
            </w:r>
          </w:p>
        </w:tc>
        <w:tc>
          <w:tcPr>
            <w:tcW w:w="410" w:type="pct"/>
            <w:noWrap/>
            <w:vAlign w:val="center"/>
          </w:tcPr>
          <w:p w14:paraId="4CF72C28">
            <w:pPr>
              <w:pStyle w:val="45"/>
              <w:rPr>
                <w:rFonts w:hint="default"/>
              </w:rPr>
            </w:pPr>
            <w:r>
              <w:rPr>
                <w:rFonts w:hint="default"/>
              </w:rPr>
              <w:t>0</w:t>
            </w:r>
          </w:p>
        </w:tc>
        <w:tc>
          <w:tcPr>
            <w:tcW w:w="505" w:type="pct"/>
            <w:noWrap/>
            <w:vAlign w:val="center"/>
          </w:tcPr>
          <w:p w14:paraId="2DA383FB">
            <w:pPr>
              <w:pStyle w:val="45"/>
              <w:rPr>
                <w:rFonts w:hint="default"/>
              </w:rPr>
            </w:pPr>
            <w:r>
              <w:rPr>
                <w:rFonts w:hint="default"/>
              </w:rPr>
              <w:t>0</w:t>
            </w:r>
          </w:p>
        </w:tc>
        <w:tc>
          <w:tcPr>
            <w:tcW w:w="505" w:type="pct"/>
            <w:noWrap/>
            <w:vAlign w:val="center"/>
          </w:tcPr>
          <w:p w14:paraId="2F2084A1">
            <w:pPr>
              <w:pStyle w:val="45"/>
              <w:rPr>
                <w:rFonts w:hint="default"/>
              </w:rPr>
            </w:pPr>
            <w:r>
              <w:rPr>
                <w:rFonts w:hint="default"/>
              </w:rPr>
              <w:t>达标</w:t>
            </w:r>
          </w:p>
        </w:tc>
      </w:tr>
      <w:tr w14:paraId="4849B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573736FC">
            <w:pPr>
              <w:pStyle w:val="45"/>
              <w:rPr>
                <w:rFonts w:hint="default"/>
              </w:rPr>
            </w:pPr>
          </w:p>
        </w:tc>
        <w:tc>
          <w:tcPr>
            <w:tcW w:w="1073" w:type="pct"/>
            <w:noWrap/>
            <w:vAlign w:val="center"/>
          </w:tcPr>
          <w:p w14:paraId="314BDE6B">
            <w:pPr>
              <w:pStyle w:val="45"/>
              <w:rPr>
                <w:rFonts w:hint="default"/>
              </w:rPr>
            </w:pPr>
            <w:r>
              <w:rPr>
                <w:rFonts w:hint="default"/>
              </w:rPr>
              <w:t>汞</w:t>
            </w:r>
          </w:p>
        </w:tc>
        <w:tc>
          <w:tcPr>
            <w:tcW w:w="581" w:type="pct"/>
            <w:noWrap/>
            <w:vAlign w:val="center"/>
          </w:tcPr>
          <w:p w14:paraId="545BACA9">
            <w:pPr>
              <w:pStyle w:val="45"/>
              <w:rPr>
                <w:rFonts w:hint="default"/>
              </w:rPr>
            </w:pPr>
            <w:r>
              <w:rPr>
                <w:rFonts w:hint="default"/>
              </w:rPr>
              <w:t>0.00004L</w:t>
            </w:r>
          </w:p>
        </w:tc>
        <w:tc>
          <w:tcPr>
            <w:tcW w:w="410" w:type="pct"/>
            <w:noWrap/>
            <w:vAlign w:val="center"/>
          </w:tcPr>
          <w:p w14:paraId="646F9E0C">
            <w:pPr>
              <w:pStyle w:val="45"/>
              <w:rPr>
                <w:rFonts w:hint="default"/>
              </w:rPr>
            </w:pPr>
            <w:r>
              <w:rPr>
                <w:rFonts w:hint="default"/>
              </w:rPr>
              <w:t>/</w:t>
            </w:r>
          </w:p>
        </w:tc>
        <w:tc>
          <w:tcPr>
            <w:tcW w:w="505" w:type="pct"/>
            <w:noWrap/>
            <w:vAlign w:val="center"/>
          </w:tcPr>
          <w:p w14:paraId="75E13924">
            <w:pPr>
              <w:pStyle w:val="45"/>
              <w:rPr>
                <w:rFonts w:hint="default"/>
              </w:rPr>
            </w:pPr>
            <w:r>
              <w:rPr>
                <w:rFonts w:hint="default"/>
              </w:rPr>
              <w:t>0.0001</w:t>
            </w:r>
          </w:p>
        </w:tc>
        <w:tc>
          <w:tcPr>
            <w:tcW w:w="505" w:type="pct"/>
            <w:noWrap/>
            <w:vAlign w:val="center"/>
          </w:tcPr>
          <w:p w14:paraId="4365CAEE">
            <w:pPr>
              <w:pStyle w:val="45"/>
              <w:rPr>
                <w:rFonts w:hint="default"/>
              </w:rPr>
            </w:pPr>
            <w:r>
              <w:rPr>
                <w:rFonts w:hint="default"/>
              </w:rPr>
              <w:t>/</w:t>
            </w:r>
          </w:p>
        </w:tc>
        <w:tc>
          <w:tcPr>
            <w:tcW w:w="410" w:type="pct"/>
            <w:noWrap/>
            <w:vAlign w:val="center"/>
          </w:tcPr>
          <w:p w14:paraId="739A85C7">
            <w:pPr>
              <w:pStyle w:val="45"/>
              <w:rPr>
                <w:rFonts w:hint="default"/>
              </w:rPr>
            </w:pPr>
            <w:r>
              <w:rPr>
                <w:rFonts w:hint="default"/>
              </w:rPr>
              <w:t>0</w:t>
            </w:r>
          </w:p>
        </w:tc>
        <w:tc>
          <w:tcPr>
            <w:tcW w:w="505" w:type="pct"/>
            <w:noWrap/>
            <w:vAlign w:val="center"/>
          </w:tcPr>
          <w:p w14:paraId="7103F847">
            <w:pPr>
              <w:pStyle w:val="45"/>
              <w:rPr>
                <w:rFonts w:hint="default"/>
              </w:rPr>
            </w:pPr>
            <w:r>
              <w:rPr>
                <w:rFonts w:hint="default"/>
              </w:rPr>
              <w:t>0</w:t>
            </w:r>
          </w:p>
        </w:tc>
        <w:tc>
          <w:tcPr>
            <w:tcW w:w="505" w:type="pct"/>
            <w:noWrap/>
            <w:vAlign w:val="center"/>
          </w:tcPr>
          <w:p w14:paraId="73DE50D5">
            <w:pPr>
              <w:pStyle w:val="45"/>
              <w:rPr>
                <w:rFonts w:hint="default"/>
              </w:rPr>
            </w:pPr>
            <w:r>
              <w:rPr>
                <w:rFonts w:hint="default"/>
              </w:rPr>
              <w:t>达标</w:t>
            </w:r>
          </w:p>
        </w:tc>
      </w:tr>
      <w:tr w14:paraId="3F1C8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1E256332">
            <w:pPr>
              <w:pStyle w:val="45"/>
              <w:rPr>
                <w:rFonts w:hint="default"/>
              </w:rPr>
            </w:pPr>
          </w:p>
        </w:tc>
        <w:tc>
          <w:tcPr>
            <w:tcW w:w="1073" w:type="pct"/>
            <w:noWrap/>
            <w:vAlign w:val="center"/>
          </w:tcPr>
          <w:p w14:paraId="0F079FAA">
            <w:pPr>
              <w:pStyle w:val="45"/>
              <w:rPr>
                <w:rFonts w:hint="default"/>
              </w:rPr>
            </w:pPr>
            <w:r>
              <w:rPr>
                <w:rFonts w:hint="default"/>
              </w:rPr>
              <w:t>铜</w:t>
            </w:r>
          </w:p>
        </w:tc>
        <w:tc>
          <w:tcPr>
            <w:tcW w:w="581" w:type="pct"/>
            <w:noWrap/>
            <w:vAlign w:val="center"/>
          </w:tcPr>
          <w:p w14:paraId="6CA1BD5E">
            <w:pPr>
              <w:pStyle w:val="45"/>
              <w:rPr>
                <w:rFonts w:hint="default"/>
              </w:rPr>
            </w:pPr>
            <w:r>
              <w:rPr>
                <w:rFonts w:hint="default"/>
              </w:rPr>
              <w:t>0.05L</w:t>
            </w:r>
          </w:p>
        </w:tc>
        <w:tc>
          <w:tcPr>
            <w:tcW w:w="410" w:type="pct"/>
            <w:noWrap/>
            <w:vAlign w:val="center"/>
          </w:tcPr>
          <w:p w14:paraId="354F34EA">
            <w:pPr>
              <w:pStyle w:val="45"/>
              <w:rPr>
                <w:rFonts w:hint="default"/>
              </w:rPr>
            </w:pPr>
            <w:r>
              <w:rPr>
                <w:rFonts w:hint="default"/>
              </w:rPr>
              <w:t>/</w:t>
            </w:r>
          </w:p>
        </w:tc>
        <w:tc>
          <w:tcPr>
            <w:tcW w:w="505" w:type="pct"/>
            <w:noWrap/>
            <w:vAlign w:val="center"/>
          </w:tcPr>
          <w:p w14:paraId="30B488E7">
            <w:pPr>
              <w:pStyle w:val="45"/>
              <w:rPr>
                <w:rFonts w:hint="default"/>
              </w:rPr>
            </w:pPr>
            <w:r>
              <w:rPr>
                <w:rFonts w:hint="default"/>
              </w:rPr>
              <w:t>1</w:t>
            </w:r>
          </w:p>
        </w:tc>
        <w:tc>
          <w:tcPr>
            <w:tcW w:w="505" w:type="pct"/>
            <w:noWrap/>
            <w:vAlign w:val="center"/>
          </w:tcPr>
          <w:p w14:paraId="01B2BA21">
            <w:pPr>
              <w:pStyle w:val="45"/>
              <w:rPr>
                <w:rFonts w:hint="default"/>
              </w:rPr>
            </w:pPr>
            <w:r>
              <w:rPr>
                <w:rFonts w:hint="default"/>
              </w:rPr>
              <w:t>/</w:t>
            </w:r>
          </w:p>
        </w:tc>
        <w:tc>
          <w:tcPr>
            <w:tcW w:w="410" w:type="pct"/>
            <w:noWrap/>
            <w:vAlign w:val="center"/>
          </w:tcPr>
          <w:p w14:paraId="76A9FA00">
            <w:pPr>
              <w:pStyle w:val="45"/>
              <w:rPr>
                <w:rFonts w:hint="default"/>
              </w:rPr>
            </w:pPr>
            <w:r>
              <w:rPr>
                <w:rFonts w:hint="default"/>
              </w:rPr>
              <w:t>0</w:t>
            </w:r>
          </w:p>
        </w:tc>
        <w:tc>
          <w:tcPr>
            <w:tcW w:w="505" w:type="pct"/>
            <w:noWrap/>
            <w:vAlign w:val="center"/>
          </w:tcPr>
          <w:p w14:paraId="1847B1FC">
            <w:pPr>
              <w:pStyle w:val="45"/>
              <w:rPr>
                <w:rFonts w:hint="default"/>
              </w:rPr>
            </w:pPr>
            <w:r>
              <w:rPr>
                <w:rFonts w:hint="default"/>
              </w:rPr>
              <w:t>0</w:t>
            </w:r>
          </w:p>
        </w:tc>
        <w:tc>
          <w:tcPr>
            <w:tcW w:w="505" w:type="pct"/>
            <w:noWrap/>
            <w:vAlign w:val="center"/>
          </w:tcPr>
          <w:p w14:paraId="36A51666">
            <w:pPr>
              <w:pStyle w:val="45"/>
              <w:rPr>
                <w:rFonts w:hint="default"/>
              </w:rPr>
            </w:pPr>
            <w:r>
              <w:rPr>
                <w:rFonts w:hint="default"/>
              </w:rPr>
              <w:t>达标</w:t>
            </w:r>
          </w:p>
        </w:tc>
      </w:tr>
      <w:tr w14:paraId="67D89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27EE7BF5">
            <w:pPr>
              <w:pStyle w:val="45"/>
              <w:rPr>
                <w:rFonts w:hint="default"/>
              </w:rPr>
            </w:pPr>
          </w:p>
        </w:tc>
        <w:tc>
          <w:tcPr>
            <w:tcW w:w="1073" w:type="pct"/>
            <w:noWrap/>
            <w:vAlign w:val="center"/>
          </w:tcPr>
          <w:p w14:paraId="40078F92">
            <w:pPr>
              <w:pStyle w:val="45"/>
              <w:rPr>
                <w:rFonts w:hint="default"/>
              </w:rPr>
            </w:pPr>
            <w:r>
              <w:rPr>
                <w:rFonts w:hint="default"/>
              </w:rPr>
              <w:t>锌</w:t>
            </w:r>
          </w:p>
        </w:tc>
        <w:tc>
          <w:tcPr>
            <w:tcW w:w="581" w:type="pct"/>
            <w:noWrap/>
            <w:vAlign w:val="center"/>
          </w:tcPr>
          <w:p w14:paraId="7A843849">
            <w:pPr>
              <w:pStyle w:val="45"/>
              <w:rPr>
                <w:rFonts w:hint="default"/>
              </w:rPr>
            </w:pPr>
            <w:r>
              <w:rPr>
                <w:rFonts w:hint="default"/>
              </w:rPr>
              <w:t>0.05L</w:t>
            </w:r>
          </w:p>
        </w:tc>
        <w:tc>
          <w:tcPr>
            <w:tcW w:w="410" w:type="pct"/>
            <w:noWrap/>
            <w:vAlign w:val="center"/>
          </w:tcPr>
          <w:p w14:paraId="2DDB532B">
            <w:pPr>
              <w:pStyle w:val="45"/>
              <w:rPr>
                <w:rFonts w:hint="default"/>
              </w:rPr>
            </w:pPr>
            <w:r>
              <w:rPr>
                <w:rFonts w:hint="default"/>
              </w:rPr>
              <w:t>/</w:t>
            </w:r>
          </w:p>
        </w:tc>
        <w:tc>
          <w:tcPr>
            <w:tcW w:w="505" w:type="pct"/>
            <w:noWrap/>
            <w:vAlign w:val="center"/>
          </w:tcPr>
          <w:p w14:paraId="1F8F65E4">
            <w:pPr>
              <w:pStyle w:val="45"/>
              <w:rPr>
                <w:rFonts w:hint="default"/>
              </w:rPr>
            </w:pPr>
            <w:r>
              <w:rPr>
                <w:rFonts w:hint="default"/>
              </w:rPr>
              <w:t>1</w:t>
            </w:r>
          </w:p>
        </w:tc>
        <w:tc>
          <w:tcPr>
            <w:tcW w:w="505" w:type="pct"/>
            <w:noWrap/>
            <w:vAlign w:val="center"/>
          </w:tcPr>
          <w:p w14:paraId="70AED6DC">
            <w:pPr>
              <w:pStyle w:val="45"/>
              <w:rPr>
                <w:rFonts w:hint="default"/>
              </w:rPr>
            </w:pPr>
            <w:r>
              <w:rPr>
                <w:rFonts w:hint="default"/>
              </w:rPr>
              <w:t>/</w:t>
            </w:r>
          </w:p>
        </w:tc>
        <w:tc>
          <w:tcPr>
            <w:tcW w:w="410" w:type="pct"/>
            <w:noWrap/>
            <w:vAlign w:val="center"/>
          </w:tcPr>
          <w:p w14:paraId="242235FF">
            <w:pPr>
              <w:pStyle w:val="45"/>
              <w:rPr>
                <w:rFonts w:hint="default"/>
              </w:rPr>
            </w:pPr>
            <w:r>
              <w:rPr>
                <w:rFonts w:hint="default"/>
              </w:rPr>
              <w:t>0</w:t>
            </w:r>
          </w:p>
        </w:tc>
        <w:tc>
          <w:tcPr>
            <w:tcW w:w="505" w:type="pct"/>
            <w:noWrap/>
            <w:vAlign w:val="center"/>
          </w:tcPr>
          <w:p w14:paraId="0BAE8B5A">
            <w:pPr>
              <w:pStyle w:val="45"/>
              <w:rPr>
                <w:rFonts w:hint="default"/>
              </w:rPr>
            </w:pPr>
            <w:r>
              <w:rPr>
                <w:rFonts w:hint="default"/>
              </w:rPr>
              <w:t>0</w:t>
            </w:r>
          </w:p>
        </w:tc>
        <w:tc>
          <w:tcPr>
            <w:tcW w:w="505" w:type="pct"/>
            <w:noWrap/>
            <w:vAlign w:val="center"/>
          </w:tcPr>
          <w:p w14:paraId="0B3B1DAF">
            <w:pPr>
              <w:pStyle w:val="45"/>
              <w:rPr>
                <w:rFonts w:hint="default"/>
              </w:rPr>
            </w:pPr>
            <w:r>
              <w:rPr>
                <w:rFonts w:hint="default"/>
              </w:rPr>
              <w:t>达标</w:t>
            </w:r>
          </w:p>
        </w:tc>
      </w:tr>
      <w:tr w14:paraId="3235A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549AECB7">
            <w:pPr>
              <w:pStyle w:val="45"/>
              <w:rPr>
                <w:rFonts w:hint="default"/>
              </w:rPr>
            </w:pPr>
          </w:p>
        </w:tc>
        <w:tc>
          <w:tcPr>
            <w:tcW w:w="1073" w:type="pct"/>
            <w:noWrap/>
            <w:vAlign w:val="center"/>
          </w:tcPr>
          <w:p w14:paraId="06425279">
            <w:pPr>
              <w:pStyle w:val="45"/>
              <w:rPr>
                <w:rFonts w:hint="default"/>
              </w:rPr>
            </w:pPr>
            <w:r>
              <w:rPr>
                <w:rFonts w:hint="default"/>
              </w:rPr>
              <w:t>镍</w:t>
            </w:r>
          </w:p>
        </w:tc>
        <w:tc>
          <w:tcPr>
            <w:tcW w:w="581" w:type="pct"/>
            <w:noWrap/>
            <w:vAlign w:val="center"/>
          </w:tcPr>
          <w:p w14:paraId="13FD713D">
            <w:pPr>
              <w:pStyle w:val="45"/>
              <w:rPr>
                <w:rFonts w:hint="default"/>
              </w:rPr>
            </w:pPr>
            <w:r>
              <w:rPr>
                <w:rFonts w:hint="default"/>
              </w:rPr>
              <w:t>0.005L</w:t>
            </w:r>
          </w:p>
        </w:tc>
        <w:tc>
          <w:tcPr>
            <w:tcW w:w="410" w:type="pct"/>
            <w:noWrap/>
            <w:vAlign w:val="center"/>
          </w:tcPr>
          <w:p w14:paraId="59A75729">
            <w:pPr>
              <w:pStyle w:val="45"/>
              <w:rPr>
                <w:rFonts w:hint="default"/>
              </w:rPr>
            </w:pPr>
            <w:r>
              <w:rPr>
                <w:rFonts w:hint="default"/>
              </w:rPr>
              <w:t>/</w:t>
            </w:r>
          </w:p>
        </w:tc>
        <w:tc>
          <w:tcPr>
            <w:tcW w:w="505" w:type="pct"/>
            <w:noWrap/>
            <w:vAlign w:val="center"/>
          </w:tcPr>
          <w:p w14:paraId="467AAAA2">
            <w:pPr>
              <w:pStyle w:val="45"/>
              <w:rPr>
                <w:rFonts w:hint="default"/>
              </w:rPr>
            </w:pPr>
            <w:r>
              <w:rPr>
                <w:rFonts w:hint="default"/>
              </w:rPr>
              <w:t>0.02</w:t>
            </w:r>
          </w:p>
        </w:tc>
        <w:tc>
          <w:tcPr>
            <w:tcW w:w="505" w:type="pct"/>
            <w:noWrap/>
            <w:vAlign w:val="center"/>
          </w:tcPr>
          <w:p w14:paraId="012BF37E">
            <w:pPr>
              <w:pStyle w:val="45"/>
              <w:rPr>
                <w:rFonts w:hint="default"/>
              </w:rPr>
            </w:pPr>
            <w:r>
              <w:rPr>
                <w:rFonts w:hint="default"/>
              </w:rPr>
              <w:t>/</w:t>
            </w:r>
          </w:p>
        </w:tc>
        <w:tc>
          <w:tcPr>
            <w:tcW w:w="410" w:type="pct"/>
            <w:noWrap/>
            <w:vAlign w:val="center"/>
          </w:tcPr>
          <w:p w14:paraId="076E0C61">
            <w:pPr>
              <w:pStyle w:val="45"/>
              <w:rPr>
                <w:rFonts w:hint="default"/>
              </w:rPr>
            </w:pPr>
            <w:r>
              <w:rPr>
                <w:rFonts w:hint="default"/>
              </w:rPr>
              <w:t>0</w:t>
            </w:r>
          </w:p>
        </w:tc>
        <w:tc>
          <w:tcPr>
            <w:tcW w:w="505" w:type="pct"/>
            <w:noWrap/>
            <w:vAlign w:val="center"/>
          </w:tcPr>
          <w:p w14:paraId="7B45B1F5">
            <w:pPr>
              <w:pStyle w:val="45"/>
              <w:rPr>
                <w:rFonts w:hint="default"/>
              </w:rPr>
            </w:pPr>
            <w:r>
              <w:rPr>
                <w:rFonts w:hint="default"/>
              </w:rPr>
              <w:t>0</w:t>
            </w:r>
          </w:p>
        </w:tc>
        <w:tc>
          <w:tcPr>
            <w:tcW w:w="505" w:type="pct"/>
            <w:noWrap/>
            <w:vAlign w:val="center"/>
          </w:tcPr>
          <w:p w14:paraId="785ADFDC">
            <w:pPr>
              <w:pStyle w:val="45"/>
              <w:rPr>
                <w:rFonts w:hint="default"/>
              </w:rPr>
            </w:pPr>
            <w:r>
              <w:rPr>
                <w:rFonts w:hint="default"/>
              </w:rPr>
              <w:t>达标</w:t>
            </w:r>
          </w:p>
        </w:tc>
      </w:tr>
      <w:tr w14:paraId="018BF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6D6F252C">
            <w:pPr>
              <w:pStyle w:val="45"/>
              <w:rPr>
                <w:rFonts w:hint="default"/>
              </w:rPr>
            </w:pPr>
          </w:p>
        </w:tc>
        <w:tc>
          <w:tcPr>
            <w:tcW w:w="1073" w:type="pct"/>
            <w:noWrap/>
            <w:vAlign w:val="center"/>
          </w:tcPr>
          <w:p w14:paraId="062C2E19">
            <w:pPr>
              <w:pStyle w:val="45"/>
              <w:rPr>
                <w:rFonts w:hint="default"/>
              </w:rPr>
            </w:pPr>
            <w:r>
              <w:rPr>
                <w:rFonts w:hint="default"/>
              </w:rPr>
              <w:t>铊</w:t>
            </w:r>
          </w:p>
        </w:tc>
        <w:tc>
          <w:tcPr>
            <w:tcW w:w="581" w:type="pct"/>
            <w:noWrap/>
            <w:vAlign w:val="center"/>
          </w:tcPr>
          <w:p w14:paraId="41D00F60">
            <w:pPr>
              <w:pStyle w:val="45"/>
              <w:rPr>
                <w:rFonts w:hint="default"/>
              </w:rPr>
            </w:pPr>
            <w:r>
              <w:rPr>
                <w:rFonts w:hint="default"/>
              </w:rPr>
              <w:t>0.00003L</w:t>
            </w:r>
          </w:p>
        </w:tc>
        <w:tc>
          <w:tcPr>
            <w:tcW w:w="410" w:type="pct"/>
            <w:noWrap/>
            <w:vAlign w:val="center"/>
          </w:tcPr>
          <w:p w14:paraId="6CAF982F">
            <w:pPr>
              <w:pStyle w:val="45"/>
              <w:rPr>
                <w:rFonts w:hint="default"/>
              </w:rPr>
            </w:pPr>
            <w:r>
              <w:rPr>
                <w:rFonts w:hint="default"/>
              </w:rPr>
              <w:t>/</w:t>
            </w:r>
          </w:p>
        </w:tc>
        <w:tc>
          <w:tcPr>
            <w:tcW w:w="505" w:type="pct"/>
            <w:noWrap/>
            <w:vAlign w:val="center"/>
          </w:tcPr>
          <w:p w14:paraId="572FAFE3">
            <w:pPr>
              <w:pStyle w:val="45"/>
              <w:rPr>
                <w:rFonts w:hint="default"/>
              </w:rPr>
            </w:pPr>
            <w:r>
              <w:rPr>
                <w:rFonts w:hint="default"/>
              </w:rPr>
              <w:t>0.0001</w:t>
            </w:r>
          </w:p>
        </w:tc>
        <w:tc>
          <w:tcPr>
            <w:tcW w:w="505" w:type="pct"/>
            <w:noWrap/>
            <w:vAlign w:val="center"/>
          </w:tcPr>
          <w:p w14:paraId="737A1F74">
            <w:pPr>
              <w:pStyle w:val="45"/>
              <w:rPr>
                <w:rFonts w:hint="default"/>
              </w:rPr>
            </w:pPr>
            <w:r>
              <w:rPr>
                <w:rFonts w:hint="default"/>
              </w:rPr>
              <w:t>/</w:t>
            </w:r>
          </w:p>
        </w:tc>
        <w:tc>
          <w:tcPr>
            <w:tcW w:w="410" w:type="pct"/>
            <w:noWrap/>
            <w:vAlign w:val="center"/>
          </w:tcPr>
          <w:p w14:paraId="2610C109">
            <w:pPr>
              <w:pStyle w:val="45"/>
              <w:rPr>
                <w:rFonts w:hint="default"/>
              </w:rPr>
            </w:pPr>
            <w:r>
              <w:rPr>
                <w:rFonts w:hint="default"/>
              </w:rPr>
              <w:t>0</w:t>
            </w:r>
          </w:p>
        </w:tc>
        <w:tc>
          <w:tcPr>
            <w:tcW w:w="505" w:type="pct"/>
            <w:noWrap/>
            <w:vAlign w:val="center"/>
          </w:tcPr>
          <w:p w14:paraId="3632513F">
            <w:pPr>
              <w:pStyle w:val="45"/>
              <w:rPr>
                <w:rFonts w:hint="default"/>
              </w:rPr>
            </w:pPr>
            <w:r>
              <w:rPr>
                <w:rFonts w:hint="default"/>
              </w:rPr>
              <w:t>0</w:t>
            </w:r>
          </w:p>
        </w:tc>
        <w:tc>
          <w:tcPr>
            <w:tcW w:w="505" w:type="pct"/>
            <w:noWrap/>
            <w:vAlign w:val="center"/>
          </w:tcPr>
          <w:p w14:paraId="3E0E9FBE">
            <w:pPr>
              <w:pStyle w:val="45"/>
              <w:rPr>
                <w:rFonts w:hint="default"/>
              </w:rPr>
            </w:pPr>
            <w:r>
              <w:rPr>
                <w:rFonts w:hint="default"/>
              </w:rPr>
              <w:t>达标</w:t>
            </w:r>
          </w:p>
        </w:tc>
      </w:tr>
      <w:tr w14:paraId="277B6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332E9995">
            <w:pPr>
              <w:pStyle w:val="45"/>
              <w:rPr>
                <w:rFonts w:hint="default"/>
              </w:rPr>
            </w:pPr>
          </w:p>
        </w:tc>
        <w:tc>
          <w:tcPr>
            <w:tcW w:w="1073" w:type="pct"/>
            <w:noWrap/>
            <w:vAlign w:val="center"/>
          </w:tcPr>
          <w:p w14:paraId="39D41F5F">
            <w:pPr>
              <w:pStyle w:val="45"/>
              <w:rPr>
                <w:rFonts w:hint="default"/>
              </w:rPr>
            </w:pPr>
            <w:r>
              <w:rPr>
                <w:rFonts w:hint="default"/>
              </w:rPr>
              <w:t>粪大肠菌群（MPN/L）</w:t>
            </w:r>
          </w:p>
        </w:tc>
        <w:tc>
          <w:tcPr>
            <w:tcW w:w="581" w:type="pct"/>
            <w:noWrap/>
            <w:vAlign w:val="center"/>
          </w:tcPr>
          <w:p w14:paraId="362CF2C9">
            <w:pPr>
              <w:pStyle w:val="45"/>
              <w:rPr>
                <w:rFonts w:hint="default"/>
              </w:rPr>
            </w:pPr>
            <w:r>
              <w:rPr>
                <w:rFonts w:hint="default"/>
              </w:rPr>
              <w:t>400-450</w:t>
            </w:r>
          </w:p>
        </w:tc>
        <w:tc>
          <w:tcPr>
            <w:tcW w:w="410" w:type="pct"/>
            <w:noWrap/>
            <w:vAlign w:val="center"/>
          </w:tcPr>
          <w:p w14:paraId="433486AE">
            <w:pPr>
              <w:pStyle w:val="45"/>
              <w:rPr>
                <w:rFonts w:hint="default"/>
              </w:rPr>
            </w:pPr>
            <w:r>
              <w:rPr>
                <w:rFonts w:hint="default"/>
              </w:rPr>
              <w:t>420</w:t>
            </w:r>
          </w:p>
        </w:tc>
        <w:tc>
          <w:tcPr>
            <w:tcW w:w="505" w:type="pct"/>
            <w:noWrap/>
            <w:vAlign w:val="center"/>
          </w:tcPr>
          <w:p w14:paraId="4A6EEE98">
            <w:pPr>
              <w:pStyle w:val="45"/>
              <w:rPr>
                <w:rFonts w:hint="default"/>
              </w:rPr>
            </w:pPr>
            <w:r>
              <w:rPr>
                <w:rFonts w:hint="default"/>
              </w:rPr>
              <w:t>10000</w:t>
            </w:r>
          </w:p>
        </w:tc>
        <w:tc>
          <w:tcPr>
            <w:tcW w:w="505" w:type="pct"/>
            <w:noWrap/>
            <w:vAlign w:val="center"/>
          </w:tcPr>
          <w:p w14:paraId="7FF1C1EF">
            <w:pPr>
              <w:pStyle w:val="45"/>
              <w:rPr>
                <w:rFonts w:hint="default"/>
              </w:rPr>
            </w:pPr>
            <w:r>
              <w:rPr>
                <w:rFonts w:hint="default"/>
              </w:rPr>
              <w:t>0.045</w:t>
            </w:r>
          </w:p>
        </w:tc>
        <w:tc>
          <w:tcPr>
            <w:tcW w:w="410" w:type="pct"/>
            <w:noWrap/>
            <w:vAlign w:val="center"/>
          </w:tcPr>
          <w:p w14:paraId="3A4EC91A">
            <w:pPr>
              <w:pStyle w:val="45"/>
              <w:rPr>
                <w:rFonts w:hint="default"/>
              </w:rPr>
            </w:pPr>
            <w:r>
              <w:rPr>
                <w:rFonts w:hint="default"/>
              </w:rPr>
              <w:t>0</w:t>
            </w:r>
          </w:p>
        </w:tc>
        <w:tc>
          <w:tcPr>
            <w:tcW w:w="505" w:type="pct"/>
            <w:noWrap/>
            <w:vAlign w:val="center"/>
          </w:tcPr>
          <w:p w14:paraId="54500287">
            <w:pPr>
              <w:pStyle w:val="45"/>
              <w:rPr>
                <w:rFonts w:hint="default"/>
              </w:rPr>
            </w:pPr>
            <w:r>
              <w:rPr>
                <w:rFonts w:hint="default"/>
              </w:rPr>
              <w:t>0</w:t>
            </w:r>
          </w:p>
        </w:tc>
        <w:tc>
          <w:tcPr>
            <w:tcW w:w="505" w:type="pct"/>
            <w:noWrap/>
            <w:vAlign w:val="center"/>
          </w:tcPr>
          <w:p w14:paraId="266A265C">
            <w:pPr>
              <w:pStyle w:val="45"/>
              <w:rPr>
                <w:rFonts w:hint="default"/>
              </w:rPr>
            </w:pPr>
            <w:r>
              <w:rPr>
                <w:rFonts w:hint="default"/>
              </w:rPr>
              <w:t>达标</w:t>
            </w:r>
          </w:p>
        </w:tc>
      </w:tr>
      <w:tr w14:paraId="3B99F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1107E746">
            <w:pPr>
              <w:pStyle w:val="45"/>
              <w:rPr>
                <w:rFonts w:hint="default"/>
              </w:rPr>
            </w:pPr>
          </w:p>
        </w:tc>
        <w:tc>
          <w:tcPr>
            <w:tcW w:w="1073" w:type="pct"/>
            <w:noWrap/>
            <w:vAlign w:val="center"/>
          </w:tcPr>
          <w:p w14:paraId="545F8D84">
            <w:pPr>
              <w:pStyle w:val="45"/>
              <w:rPr>
                <w:rFonts w:hint="default"/>
              </w:rPr>
            </w:pPr>
            <w:r>
              <w:rPr>
                <w:rFonts w:hint="default"/>
              </w:rPr>
              <w:t>氯化物</w:t>
            </w:r>
          </w:p>
        </w:tc>
        <w:tc>
          <w:tcPr>
            <w:tcW w:w="581" w:type="pct"/>
            <w:noWrap/>
            <w:vAlign w:val="center"/>
          </w:tcPr>
          <w:p w14:paraId="0648D6A7">
            <w:pPr>
              <w:pStyle w:val="45"/>
              <w:rPr>
                <w:rFonts w:hint="default"/>
              </w:rPr>
            </w:pPr>
            <w:r>
              <w:rPr>
                <w:rFonts w:hint="default"/>
              </w:rPr>
              <w:t>11.9-12</w:t>
            </w:r>
          </w:p>
        </w:tc>
        <w:tc>
          <w:tcPr>
            <w:tcW w:w="410" w:type="pct"/>
            <w:noWrap/>
            <w:vAlign w:val="center"/>
          </w:tcPr>
          <w:p w14:paraId="48C0EC33">
            <w:pPr>
              <w:pStyle w:val="45"/>
              <w:rPr>
                <w:rFonts w:hint="default"/>
              </w:rPr>
            </w:pPr>
            <w:r>
              <w:rPr>
                <w:rFonts w:hint="default"/>
              </w:rPr>
              <w:t>11.93</w:t>
            </w:r>
          </w:p>
        </w:tc>
        <w:tc>
          <w:tcPr>
            <w:tcW w:w="505" w:type="pct"/>
            <w:noWrap/>
            <w:vAlign w:val="center"/>
          </w:tcPr>
          <w:p w14:paraId="0B0EE552">
            <w:pPr>
              <w:pStyle w:val="45"/>
              <w:rPr>
                <w:rFonts w:hint="default"/>
              </w:rPr>
            </w:pPr>
            <w:r>
              <w:rPr>
                <w:rFonts w:hint="default"/>
              </w:rPr>
              <w:t>250</w:t>
            </w:r>
          </w:p>
        </w:tc>
        <w:tc>
          <w:tcPr>
            <w:tcW w:w="505" w:type="pct"/>
            <w:noWrap/>
            <w:vAlign w:val="center"/>
          </w:tcPr>
          <w:p w14:paraId="79C351E6">
            <w:pPr>
              <w:pStyle w:val="45"/>
              <w:rPr>
                <w:rFonts w:hint="default"/>
              </w:rPr>
            </w:pPr>
            <w:r>
              <w:rPr>
                <w:rFonts w:hint="default"/>
              </w:rPr>
              <w:t>0.048</w:t>
            </w:r>
          </w:p>
        </w:tc>
        <w:tc>
          <w:tcPr>
            <w:tcW w:w="410" w:type="pct"/>
            <w:noWrap/>
            <w:vAlign w:val="center"/>
          </w:tcPr>
          <w:p w14:paraId="58F86910">
            <w:pPr>
              <w:pStyle w:val="45"/>
              <w:rPr>
                <w:rFonts w:hint="default"/>
              </w:rPr>
            </w:pPr>
            <w:r>
              <w:rPr>
                <w:rFonts w:hint="default"/>
              </w:rPr>
              <w:t>0</w:t>
            </w:r>
          </w:p>
        </w:tc>
        <w:tc>
          <w:tcPr>
            <w:tcW w:w="505" w:type="pct"/>
            <w:noWrap/>
            <w:vAlign w:val="center"/>
          </w:tcPr>
          <w:p w14:paraId="07D22AA5">
            <w:pPr>
              <w:pStyle w:val="45"/>
              <w:rPr>
                <w:rFonts w:hint="default"/>
              </w:rPr>
            </w:pPr>
            <w:r>
              <w:rPr>
                <w:rFonts w:hint="default"/>
              </w:rPr>
              <w:t>0</w:t>
            </w:r>
          </w:p>
        </w:tc>
        <w:tc>
          <w:tcPr>
            <w:tcW w:w="505" w:type="pct"/>
            <w:noWrap/>
            <w:vAlign w:val="center"/>
          </w:tcPr>
          <w:p w14:paraId="38217CB3">
            <w:pPr>
              <w:pStyle w:val="45"/>
              <w:rPr>
                <w:rFonts w:hint="default"/>
              </w:rPr>
            </w:pPr>
            <w:r>
              <w:rPr>
                <w:rFonts w:hint="default"/>
              </w:rPr>
              <w:t>达标</w:t>
            </w:r>
          </w:p>
        </w:tc>
      </w:tr>
      <w:tr w14:paraId="487F5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4EAA0248">
            <w:pPr>
              <w:pStyle w:val="45"/>
              <w:rPr>
                <w:rFonts w:hint="default"/>
              </w:rPr>
            </w:pPr>
          </w:p>
        </w:tc>
        <w:tc>
          <w:tcPr>
            <w:tcW w:w="1073" w:type="pct"/>
            <w:noWrap/>
            <w:vAlign w:val="center"/>
          </w:tcPr>
          <w:p w14:paraId="43EA7B35">
            <w:pPr>
              <w:pStyle w:val="45"/>
              <w:rPr>
                <w:rFonts w:hint="default"/>
              </w:rPr>
            </w:pPr>
            <w:r>
              <w:rPr>
                <w:rFonts w:hint="default"/>
              </w:rPr>
              <w:t>氰化物</w:t>
            </w:r>
          </w:p>
        </w:tc>
        <w:tc>
          <w:tcPr>
            <w:tcW w:w="581" w:type="pct"/>
            <w:noWrap/>
            <w:vAlign w:val="center"/>
          </w:tcPr>
          <w:p w14:paraId="54028796">
            <w:pPr>
              <w:pStyle w:val="45"/>
              <w:rPr>
                <w:rFonts w:hint="default"/>
              </w:rPr>
            </w:pPr>
            <w:r>
              <w:rPr>
                <w:rFonts w:hint="default"/>
              </w:rPr>
              <w:t>0.004L</w:t>
            </w:r>
          </w:p>
        </w:tc>
        <w:tc>
          <w:tcPr>
            <w:tcW w:w="410" w:type="pct"/>
            <w:noWrap/>
            <w:vAlign w:val="center"/>
          </w:tcPr>
          <w:p w14:paraId="784755F2">
            <w:pPr>
              <w:pStyle w:val="45"/>
              <w:rPr>
                <w:rFonts w:hint="default"/>
              </w:rPr>
            </w:pPr>
            <w:r>
              <w:rPr>
                <w:rFonts w:hint="default"/>
              </w:rPr>
              <w:t>/</w:t>
            </w:r>
          </w:p>
        </w:tc>
        <w:tc>
          <w:tcPr>
            <w:tcW w:w="505" w:type="pct"/>
            <w:noWrap/>
            <w:vAlign w:val="center"/>
          </w:tcPr>
          <w:p w14:paraId="098948EC">
            <w:pPr>
              <w:pStyle w:val="45"/>
              <w:rPr>
                <w:rFonts w:hint="default"/>
              </w:rPr>
            </w:pPr>
            <w:r>
              <w:rPr>
                <w:rFonts w:hint="default"/>
              </w:rPr>
              <w:t>0.2</w:t>
            </w:r>
          </w:p>
        </w:tc>
        <w:tc>
          <w:tcPr>
            <w:tcW w:w="505" w:type="pct"/>
            <w:noWrap/>
            <w:vAlign w:val="center"/>
          </w:tcPr>
          <w:p w14:paraId="10BA3957">
            <w:pPr>
              <w:pStyle w:val="45"/>
              <w:rPr>
                <w:rFonts w:hint="default"/>
              </w:rPr>
            </w:pPr>
            <w:r>
              <w:rPr>
                <w:rFonts w:hint="default"/>
              </w:rPr>
              <w:t>/</w:t>
            </w:r>
          </w:p>
        </w:tc>
        <w:tc>
          <w:tcPr>
            <w:tcW w:w="410" w:type="pct"/>
            <w:noWrap/>
            <w:vAlign w:val="center"/>
          </w:tcPr>
          <w:p w14:paraId="21B8986F">
            <w:pPr>
              <w:pStyle w:val="45"/>
              <w:rPr>
                <w:rFonts w:hint="default"/>
              </w:rPr>
            </w:pPr>
            <w:r>
              <w:rPr>
                <w:rFonts w:hint="default"/>
              </w:rPr>
              <w:t>0</w:t>
            </w:r>
          </w:p>
        </w:tc>
        <w:tc>
          <w:tcPr>
            <w:tcW w:w="505" w:type="pct"/>
            <w:noWrap/>
            <w:vAlign w:val="center"/>
          </w:tcPr>
          <w:p w14:paraId="2D4541C5">
            <w:pPr>
              <w:pStyle w:val="45"/>
              <w:rPr>
                <w:rFonts w:hint="default"/>
              </w:rPr>
            </w:pPr>
            <w:r>
              <w:rPr>
                <w:rFonts w:hint="default"/>
              </w:rPr>
              <w:t>0</w:t>
            </w:r>
          </w:p>
        </w:tc>
        <w:tc>
          <w:tcPr>
            <w:tcW w:w="505" w:type="pct"/>
            <w:noWrap/>
            <w:vAlign w:val="center"/>
          </w:tcPr>
          <w:p w14:paraId="21362C95">
            <w:pPr>
              <w:pStyle w:val="45"/>
              <w:rPr>
                <w:rFonts w:hint="default"/>
              </w:rPr>
            </w:pPr>
            <w:r>
              <w:rPr>
                <w:rFonts w:hint="default"/>
              </w:rPr>
              <w:t>达标</w:t>
            </w:r>
          </w:p>
        </w:tc>
      </w:tr>
      <w:tr w14:paraId="20D83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540B12B6">
            <w:pPr>
              <w:pStyle w:val="45"/>
              <w:rPr>
                <w:rFonts w:hint="default"/>
              </w:rPr>
            </w:pPr>
          </w:p>
        </w:tc>
        <w:tc>
          <w:tcPr>
            <w:tcW w:w="1073" w:type="pct"/>
            <w:noWrap/>
            <w:vAlign w:val="center"/>
          </w:tcPr>
          <w:p w14:paraId="3DC78882">
            <w:pPr>
              <w:pStyle w:val="45"/>
              <w:rPr>
                <w:rFonts w:hint="default"/>
              </w:rPr>
            </w:pPr>
            <w:r>
              <w:rPr>
                <w:rFonts w:hint="default"/>
              </w:rPr>
              <w:t>甲苯</w:t>
            </w:r>
          </w:p>
        </w:tc>
        <w:tc>
          <w:tcPr>
            <w:tcW w:w="581" w:type="pct"/>
            <w:noWrap/>
            <w:vAlign w:val="center"/>
          </w:tcPr>
          <w:p w14:paraId="1795E291">
            <w:pPr>
              <w:pStyle w:val="45"/>
              <w:rPr>
                <w:rFonts w:hint="default"/>
              </w:rPr>
            </w:pPr>
            <w:r>
              <w:rPr>
                <w:rFonts w:hint="default"/>
              </w:rPr>
              <w:t>0.002L</w:t>
            </w:r>
          </w:p>
        </w:tc>
        <w:tc>
          <w:tcPr>
            <w:tcW w:w="410" w:type="pct"/>
            <w:noWrap/>
            <w:vAlign w:val="center"/>
          </w:tcPr>
          <w:p w14:paraId="720FAE11">
            <w:pPr>
              <w:pStyle w:val="45"/>
              <w:rPr>
                <w:rFonts w:hint="default"/>
              </w:rPr>
            </w:pPr>
            <w:r>
              <w:rPr>
                <w:rFonts w:hint="default"/>
              </w:rPr>
              <w:t>/</w:t>
            </w:r>
          </w:p>
        </w:tc>
        <w:tc>
          <w:tcPr>
            <w:tcW w:w="505" w:type="pct"/>
            <w:noWrap/>
            <w:vAlign w:val="center"/>
          </w:tcPr>
          <w:p w14:paraId="6106F00F">
            <w:pPr>
              <w:pStyle w:val="45"/>
              <w:rPr>
                <w:rFonts w:hint="default"/>
              </w:rPr>
            </w:pPr>
            <w:r>
              <w:rPr>
                <w:rFonts w:hint="default"/>
              </w:rPr>
              <w:t>0.7</w:t>
            </w:r>
          </w:p>
        </w:tc>
        <w:tc>
          <w:tcPr>
            <w:tcW w:w="505" w:type="pct"/>
            <w:noWrap/>
            <w:vAlign w:val="center"/>
          </w:tcPr>
          <w:p w14:paraId="2913309B">
            <w:pPr>
              <w:pStyle w:val="45"/>
              <w:rPr>
                <w:rFonts w:hint="default"/>
              </w:rPr>
            </w:pPr>
            <w:r>
              <w:rPr>
                <w:rFonts w:hint="default"/>
              </w:rPr>
              <w:t>/</w:t>
            </w:r>
          </w:p>
        </w:tc>
        <w:tc>
          <w:tcPr>
            <w:tcW w:w="410" w:type="pct"/>
            <w:noWrap/>
            <w:vAlign w:val="center"/>
          </w:tcPr>
          <w:p w14:paraId="20387797">
            <w:pPr>
              <w:pStyle w:val="45"/>
              <w:rPr>
                <w:rFonts w:hint="default"/>
              </w:rPr>
            </w:pPr>
            <w:r>
              <w:rPr>
                <w:rFonts w:hint="default"/>
              </w:rPr>
              <w:t>0</w:t>
            </w:r>
          </w:p>
        </w:tc>
        <w:tc>
          <w:tcPr>
            <w:tcW w:w="505" w:type="pct"/>
            <w:noWrap/>
            <w:vAlign w:val="center"/>
          </w:tcPr>
          <w:p w14:paraId="432D6665">
            <w:pPr>
              <w:pStyle w:val="45"/>
              <w:rPr>
                <w:rFonts w:hint="default"/>
              </w:rPr>
            </w:pPr>
            <w:r>
              <w:rPr>
                <w:rFonts w:hint="default"/>
              </w:rPr>
              <w:t>0</w:t>
            </w:r>
          </w:p>
        </w:tc>
        <w:tc>
          <w:tcPr>
            <w:tcW w:w="505" w:type="pct"/>
            <w:noWrap/>
            <w:vAlign w:val="center"/>
          </w:tcPr>
          <w:p w14:paraId="5B5B92E1">
            <w:pPr>
              <w:pStyle w:val="45"/>
              <w:rPr>
                <w:rFonts w:hint="default"/>
              </w:rPr>
            </w:pPr>
            <w:r>
              <w:rPr>
                <w:rFonts w:hint="default"/>
              </w:rPr>
              <w:t>达标</w:t>
            </w:r>
          </w:p>
        </w:tc>
      </w:tr>
      <w:tr w14:paraId="67237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3C614629">
            <w:pPr>
              <w:pStyle w:val="45"/>
              <w:rPr>
                <w:rFonts w:hint="default"/>
              </w:rPr>
            </w:pPr>
          </w:p>
        </w:tc>
        <w:tc>
          <w:tcPr>
            <w:tcW w:w="1073" w:type="pct"/>
            <w:noWrap/>
            <w:vAlign w:val="center"/>
          </w:tcPr>
          <w:p w14:paraId="6F686200">
            <w:pPr>
              <w:pStyle w:val="45"/>
              <w:rPr>
                <w:rFonts w:hint="default"/>
              </w:rPr>
            </w:pPr>
            <w:r>
              <w:rPr>
                <w:rFonts w:hint="default"/>
              </w:rPr>
              <w:t>二甲苯</w:t>
            </w:r>
          </w:p>
        </w:tc>
        <w:tc>
          <w:tcPr>
            <w:tcW w:w="581" w:type="pct"/>
            <w:noWrap/>
            <w:vAlign w:val="center"/>
          </w:tcPr>
          <w:p w14:paraId="1817BD20">
            <w:pPr>
              <w:pStyle w:val="45"/>
              <w:rPr>
                <w:rFonts w:hint="default"/>
              </w:rPr>
            </w:pPr>
            <w:r>
              <w:rPr>
                <w:rFonts w:hint="default"/>
              </w:rPr>
              <w:t>0.002L</w:t>
            </w:r>
          </w:p>
        </w:tc>
        <w:tc>
          <w:tcPr>
            <w:tcW w:w="410" w:type="pct"/>
            <w:noWrap/>
            <w:vAlign w:val="center"/>
          </w:tcPr>
          <w:p w14:paraId="68A99951">
            <w:pPr>
              <w:pStyle w:val="45"/>
              <w:rPr>
                <w:rFonts w:hint="default"/>
              </w:rPr>
            </w:pPr>
            <w:r>
              <w:rPr>
                <w:rFonts w:hint="default"/>
              </w:rPr>
              <w:t>/</w:t>
            </w:r>
          </w:p>
        </w:tc>
        <w:tc>
          <w:tcPr>
            <w:tcW w:w="505" w:type="pct"/>
            <w:noWrap/>
            <w:vAlign w:val="center"/>
          </w:tcPr>
          <w:p w14:paraId="27306861">
            <w:pPr>
              <w:pStyle w:val="45"/>
              <w:rPr>
                <w:rFonts w:hint="default"/>
              </w:rPr>
            </w:pPr>
            <w:r>
              <w:rPr>
                <w:rFonts w:hint="default"/>
              </w:rPr>
              <w:t>0.5</w:t>
            </w:r>
          </w:p>
        </w:tc>
        <w:tc>
          <w:tcPr>
            <w:tcW w:w="505" w:type="pct"/>
            <w:noWrap/>
            <w:vAlign w:val="center"/>
          </w:tcPr>
          <w:p w14:paraId="5ED6863F">
            <w:pPr>
              <w:pStyle w:val="45"/>
              <w:rPr>
                <w:rFonts w:hint="default"/>
              </w:rPr>
            </w:pPr>
            <w:r>
              <w:rPr>
                <w:rFonts w:hint="default"/>
              </w:rPr>
              <w:t>/</w:t>
            </w:r>
          </w:p>
        </w:tc>
        <w:tc>
          <w:tcPr>
            <w:tcW w:w="410" w:type="pct"/>
            <w:noWrap/>
            <w:vAlign w:val="center"/>
          </w:tcPr>
          <w:p w14:paraId="5B06DEE4">
            <w:pPr>
              <w:pStyle w:val="45"/>
              <w:rPr>
                <w:rFonts w:hint="default"/>
              </w:rPr>
            </w:pPr>
            <w:r>
              <w:rPr>
                <w:rFonts w:hint="default"/>
              </w:rPr>
              <w:t>0</w:t>
            </w:r>
          </w:p>
        </w:tc>
        <w:tc>
          <w:tcPr>
            <w:tcW w:w="505" w:type="pct"/>
            <w:noWrap/>
            <w:vAlign w:val="center"/>
          </w:tcPr>
          <w:p w14:paraId="2186826F">
            <w:pPr>
              <w:pStyle w:val="45"/>
              <w:rPr>
                <w:rFonts w:hint="default"/>
              </w:rPr>
            </w:pPr>
            <w:r>
              <w:rPr>
                <w:rFonts w:hint="default"/>
              </w:rPr>
              <w:t>0</w:t>
            </w:r>
          </w:p>
        </w:tc>
        <w:tc>
          <w:tcPr>
            <w:tcW w:w="505" w:type="pct"/>
            <w:noWrap/>
            <w:vAlign w:val="center"/>
          </w:tcPr>
          <w:p w14:paraId="0096C6B1">
            <w:pPr>
              <w:pStyle w:val="45"/>
              <w:rPr>
                <w:rFonts w:hint="default"/>
              </w:rPr>
            </w:pPr>
            <w:r>
              <w:rPr>
                <w:rFonts w:hint="default"/>
              </w:rPr>
              <w:t>达标</w:t>
            </w:r>
          </w:p>
        </w:tc>
      </w:tr>
      <w:tr w14:paraId="69C28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71481011">
            <w:pPr>
              <w:pStyle w:val="45"/>
              <w:rPr>
                <w:rFonts w:hint="default"/>
              </w:rPr>
            </w:pPr>
          </w:p>
        </w:tc>
        <w:tc>
          <w:tcPr>
            <w:tcW w:w="1073" w:type="pct"/>
            <w:noWrap/>
            <w:vAlign w:val="center"/>
          </w:tcPr>
          <w:p w14:paraId="43C9E20F">
            <w:pPr>
              <w:pStyle w:val="45"/>
              <w:rPr>
                <w:rFonts w:hint="default"/>
              </w:rPr>
            </w:pPr>
            <w:r>
              <w:rPr>
                <w:rFonts w:hint="default"/>
              </w:rPr>
              <w:t>二氯甲烷</w:t>
            </w:r>
          </w:p>
        </w:tc>
        <w:tc>
          <w:tcPr>
            <w:tcW w:w="581" w:type="pct"/>
            <w:noWrap/>
            <w:vAlign w:val="center"/>
          </w:tcPr>
          <w:p w14:paraId="583C2CF5">
            <w:pPr>
              <w:pStyle w:val="45"/>
              <w:rPr>
                <w:rFonts w:hint="default"/>
              </w:rPr>
            </w:pPr>
            <w:r>
              <w:rPr>
                <w:rFonts w:hint="default"/>
              </w:rPr>
              <w:t>0.006L</w:t>
            </w:r>
          </w:p>
        </w:tc>
        <w:tc>
          <w:tcPr>
            <w:tcW w:w="410" w:type="pct"/>
            <w:noWrap/>
            <w:vAlign w:val="center"/>
          </w:tcPr>
          <w:p w14:paraId="7BB6DDA7">
            <w:pPr>
              <w:pStyle w:val="45"/>
              <w:rPr>
                <w:rFonts w:hint="default"/>
              </w:rPr>
            </w:pPr>
            <w:r>
              <w:rPr>
                <w:rFonts w:hint="default"/>
              </w:rPr>
              <w:t>/</w:t>
            </w:r>
          </w:p>
        </w:tc>
        <w:tc>
          <w:tcPr>
            <w:tcW w:w="505" w:type="pct"/>
            <w:noWrap/>
            <w:vAlign w:val="center"/>
          </w:tcPr>
          <w:p w14:paraId="1B7836CB">
            <w:pPr>
              <w:pStyle w:val="45"/>
              <w:rPr>
                <w:rFonts w:hint="default"/>
              </w:rPr>
            </w:pPr>
            <w:r>
              <w:rPr>
                <w:rFonts w:hint="default"/>
              </w:rPr>
              <w:t>0.02</w:t>
            </w:r>
          </w:p>
        </w:tc>
        <w:tc>
          <w:tcPr>
            <w:tcW w:w="505" w:type="pct"/>
            <w:noWrap/>
            <w:vAlign w:val="center"/>
          </w:tcPr>
          <w:p w14:paraId="242757C1">
            <w:pPr>
              <w:pStyle w:val="45"/>
              <w:rPr>
                <w:rFonts w:hint="default"/>
              </w:rPr>
            </w:pPr>
            <w:r>
              <w:rPr>
                <w:rFonts w:hint="default"/>
              </w:rPr>
              <w:t>/</w:t>
            </w:r>
          </w:p>
        </w:tc>
        <w:tc>
          <w:tcPr>
            <w:tcW w:w="410" w:type="pct"/>
            <w:noWrap/>
            <w:vAlign w:val="center"/>
          </w:tcPr>
          <w:p w14:paraId="4FEC2538">
            <w:pPr>
              <w:pStyle w:val="45"/>
              <w:rPr>
                <w:rFonts w:hint="default"/>
              </w:rPr>
            </w:pPr>
            <w:r>
              <w:rPr>
                <w:rFonts w:hint="default"/>
              </w:rPr>
              <w:t>0</w:t>
            </w:r>
          </w:p>
        </w:tc>
        <w:tc>
          <w:tcPr>
            <w:tcW w:w="505" w:type="pct"/>
            <w:noWrap/>
            <w:vAlign w:val="center"/>
          </w:tcPr>
          <w:p w14:paraId="729DC183">
            <w:pPr>
              <w:pStyle w:val="45"/>
              <w:rPr>
                <w:rFonts w:hint="default"/>
              </w:rPr>
            </w:pPr>
            <w:r>
              <w:rPr>
                <w:rFonts w:hint="default"/>
              </w:rPr>
              <w:t>0</w:t>
            </w:r>
          </w:p>
        </w:tc>
        <w:tc>
          <w:tcPr>
            <w:tcW w:w="505" w:type="pct"/>
            <w:noWrap/>
            <w:vAlign w:val="center"/>
          </w:tcPr>
          <w:p w14:paraId="7F1C6AEF">
            <w:pPr>
              <w:pStyle w:val="45"/>
              <w:rPr>
                <w:rFonts w:hint="default"/>
              </w:rPr>
            </w:pPr>
            <w:r>
              <w:rPr>
                <w:rFonts w:hint="default"/>
              </w:rPr>
              <w:t>达标</w:t>
            </w:r>
          </w:p>
        </w:tc>
      </w:tr>
      <w:tr w14:paraId="552DA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4" w:type="pct"/>
            <w:vMerge w:val="continue"/>
            <w:vAlign w:val="center"/>
          </w:tcPr>
          <w:p w14:paraId="114BACA8">
            <w:pPr>
              <w:pStyle w:val="45"/>
              <w:rPr>
                <w:rFonts w:hint="default"/>
              </w:rPr>
            </w:pPr>
          </w:p>
        </w:tc>
        <w:tc>
          <w:tcPr>
            <w:tcW w:w="1073" w:type="pct"/>
            <w:noWrap/>
            <w:vAlign w:val="center"/>
          </w:tcPr>
          <w:p w14:paraId="58DB15E9">
            <w:pPr>
              <w:pStyle w:val="45"/>
              <w:rPr>
                <w:rFonts w:hint="default"/>
              </w:rPr>
            </w:pPr>
            <w:r>
              <w:rPr>
                <w:rFonts w:hint="default"/>
              </w:rPr>
              <w:t>氯乙烯</w:t>
            </w:r>
          </w:p>
        </w:tc>
        <w:tc>
          <w:tcPr>
            <w:tcW w:w="581" w:type="pct"/>
            <w:noWrap/>
            <w:vAlign w:val="center"/>
          </w:tcPr>
          <w:p w14:paraId="3F5BBD75">
            <w:pPr>
              <w:pStyle w:val="45"/>
              <w:rPr>
                <w:rFonts w:hint="default"/>
              </w:rPr>
            </w:pPr>
            <w:r>
              <w:rPr>
                <w:rFonts w:hint="default"/>
              </w:rPr>
              <w:t>0.001L</w:t>
            </w:r>
          </w:p>
        </w:tc>
        <w:tc>
          <w:tcPr>
            <w:tcW w:w="410" w:type="pct"/>
            <w:noWrap/>
            <w:vAlign w:val="center"/>
          </w:tcPr>
          <w:p w14:paraId="089D29BE">
            <w:pPr>
              <w:pStyle w:val="45"/>
              <w:rPr>
                <w:rFonts w:hint="default"/>
              </w:rPr>
            </w:pPr>
            <w:r>
              <w:rPr>
                <w:rFonts w:hint="default"/>
              </w:rPr>
              <w:t>/</w:t>
            </w:r>
          </w:p>
        </w:tc>
        <w:tc>
          <w:tcPr>
            <w:tcW w:w="505" w:type="pct"/>
            <w:noWrap/>
            <w:vAlign w:val="center"/>
          </w:tcPr>
          <w:p w14:paraId="4F02BBF9">
            <w:pPr>
              <w:pStyle w:val="45"/>
              <w:rPr>
                <w:rFonts w:hint="default"/>
              </w:rPr>
            </w:pPr>
            <w:r>
              <w:rPr>
                <w:rFonts w:hint="default"/>
              </w:rPr>
              <w:t>0.005</w:t>
            </w:r>
          </w:p>
        </w:tc>
        <w:tc>
          <w:tcPr>
            <w:tcW w:w="505" w:type="pct"/>
            <w:noWrap/>
            <w:vAlign w:val="center"/>
          </w:tcPr>
          <w:p w14:paraId="59FE5975">
            <w:pPr>
              <w:pStyle w:val="45"/>
              <w:rPr>
                <w:rFonts w:hint="default"/>
              </w:rPr>
            </w:pPr>
            <w:r>
              <w:rPr>
                <w:rFonts w:hint="default"/>
              </w:rPr>
              <w:t>/</w:t>
            </w:r>
          </w:p>
        </w:tc>
        <w:tc>
          <w:tcPr>
            <w:tcW w:w="410" w:type="pct"/>
            <w:noWrap/>
            <w:vAlign w:val="center"/>
          </w:tcPr>
          <w:p w14:paraId="54A80D15">
            <w:pPr>
              <w:pStyle w:val="45"/>
              <w:rPr>
                <w:rFonts w:hint="default"/>
              </w:rPr>
            </w:pPr>
            <w:r>
              <w:rPr>
                <w:rFonts w:hint="default"/>
              </w:rPr>
              <w:t>0</w:t>
            </w:r>
          </w:p>
        </w:tc>
        <w:tc>
          <w:tcPr>
            <w:tcW w:w="505" w:type="pct"/>
            <w:noWrap/>
            <w:vAlign w:val="center"/>
          </w:tcPr>
          <w:p w14:paraId="094CF492">
            <w:pPr>
              <w:pStyle w:val="45"/>
              <w:rPr>
                <w:rFonts w:hint="default"/>
              </w:rPr>
            </w:pPr>
            <w:r>
              <w:rPr>
                <w:rFonts w:hint="default"/>
              </w:rPr>
              <w:t>0</w:t>
            </w:r>
          </w:p>
        </w:tc>
        <w:tc>
          <w:tcPr>
            <w:tcW w:w="505" w:type="pct"/>
            <w:noWrap/>
            <w:vAlign w:val="center"/>
          </w:tcPr>
          <w:p w14:paraId="262F8AA6">
            <w:pPr>
              <w:pStyle w:val="45"/>
              <w:rPr>
                <w:rFonts w:hint="default"/>
              </w:rPr>
            </w:pPr>
            <w:r>
              <w:rPr>
                <w:rFonts w:hint="default"/>
              </w:rPr>
              <w:t>达标</w:t>
            </w:r>
          </w:p>
        </w:tc>
      </w:tr>
    </w:tbl>
    <w:p w14:paraId="163B3D6F">
      <w:pPr>
        <w:spacing w:line="240" w:lineRule="auto"/>
        <w:ind w:firstLine="480"/>
      </w:pPr>
    </w:p>
    <w:p w14:paraId="735F35A8">
      <w:pPr>
        <w:ind w:firstLine="480"/>
      </w:pPr>
      <w:r>
        <w:t>根据</w:t>
      </w:r>
      <w:r>
        <w:rPr>
          <w:rFonts w:hint="eastAsia"/>
        </w:rPr>
        <w:t>上表结果，监测点中各类</w:t>
      </w:r>
      <w:r>
        <w:t>监测因子均满足《地表水环境质量标准》（GB3838-2002）III类标准限值</w:t>
      </w:r>
      <w:r>
        <w:rPr>
          <w:rFonts w:hint="eastAsia"/>
        </w:rPr>
        <w:t>，松木经开区污水处理厂排污口附近水环境质量良好。</w:t>
      </w:r>
    </w:p>
    <w:p w14:paraId="3C20983D">
      <w:pPr>
        <w:pStyle w:val="4"/>
        <w:numPr>
          <w:ilvl w:val="2"/>
          <w:numId w:val="1"/>
        </w:numPr>
      </w:pPr>
      <w:bookmarkStart w:id="175" w:name="_Toc24159"/>
      <w:r>
        <w:rPr>
          <w:rFonts w:hint="eastAsia"/>
        </w:rPr>
        <w:t>地表水补充监测</w:t>
      </w:r>
      <w:bookmarkEnd w:id="175"/>
    </w:p>
    <w:p w14:paraId="36BA9366">
      <w:pPr>
        <w:ind w:firstLine="480"/>
      </w:pPr>
      <w:r>
        <w:t>本项目委托</w:t>
      </w:r>
      <w:r>
        <w:rPr>
          <w:rFonts w:hint="eastAsia"/>
        </w:rPr>
        <w:t>湖南华环检测技术有限公司</w:t>
      </w:r>
      <w:r>
        <w:t>于202</w:t>
      </w:r>
      <w:r>
        <w:rPr>
          <w:rFonts w:hint="eastAsia"/>
        </w:rPr>
        <w:t>3</w:t>
      </w:r>
      <w:r>
        <w:t>年</w:t>
      </w:r>
      <w:r>
        <w:rPr>
          <w:rFonts w:hint="eastAsia"/>
        </w:rPr>
        <w:t>8</w:t>
      </w:r>
      <w:r>
        <w:t>月</w:t>
      </w:r>
      <w:r>
        <w:rPr>
          <w:rFonts w:hint="eastAsia"/>
        </w:rPr>
        <w:t>27</w:t>
      </w:r>
      <w:r>
        <w:t>日-</w:t>
      </w:r>
      <w:r>
        <w:rPr>
          <w:rFonts w:hint="eastAsia"/>
        </w:rPr>
        <w:t>29日对地表水环境进行检测。</w:t>
      </w:r>
    </w:p>
    <w:p w14:paraId="35DB3218">
      <w:pPr>
        <w:numPr>
          <w:ilvl w:val="0"/>
          <w:numId w:val="14"/>
        </w:numPr>
        <w:ind w:firstLine="480"/>
      </w:pPr>
      <w:r>
        <w:rPr>
          <w:rFonts w:hint="eastAsia"/>
        </w:rPr>
        <w:t>采样方法：</w:t>
      </w:r>
    </w:p>
    <w:p w14:paraId="34537A63">
      <w:pPr>
        <w:ind w:firstLine="480" w:firstLineChars="200"/>
      </w:pPr>
      <w:r>
        <w:rPr>
          <w:rFonts w:hint="eastAsia"/>
        </w:rPr>
        <w:t>《地表水环境质量监测技术规范》HJ 91.2-2022；</w:t>
      </w:r>
    </w:p>
    <w:p w14:paraId="4FDB45EF">
      <w:pPr>
        <w:numPr>
          <w:ilvl w:val="0"/>
          <w:numId w:val="14"/>
        </w:numPr>
        <w:ind w:firstLine="480"/>
      </w:pPr>
      <w:r>
        <w:rPr>
          <w:rFonts w:hint="eastAsia"/>
        </w:rPr>
        <w:t>检测内容及方法：</w:t>
      </w:r>
    </w:p>
    <w:p w14:paraId="76E679C2">
      <w:pPr>
        <w:ind w:left="480" w:leftChars="200" w:firstLine="0" w:firstLineChars="0"/>
      </w:pPr>
      <w:r>
        <w:rPr>
          <w:rFonts w:hint="eastAsia"/>
        </w:rPr>
        <w:t>检测内容：氯化物、铅、钡、铬、高氯酸盐，</w:t>
      </w:r>
    </w:p>
    <w:p w14:paraId="0ED010B0">
      <w:pPr>
        <w:ind w:left="480" w:leftChars="200" w:firstLine="0" w:firstLineChars="0"/>
      </w:pPr>
      <w:r>
        <w:rPr>
          <w:rFonts w:hint="eastAsia"/>
        </w:rPr>
        <w:t>检测频次：共5个监测断面，每天1次，连续监测3天；</w:t>
      </w:r>
    </w:p>
    <w:p w14:paraId="46A648F4">
      <w:pPr>
        <w:ind w:firstLine="480"/>
      </w:pPr>
      <w:r>
        <w:rPr>
          <w:rFonts w:hint="eastAsia"/>
        </w:rPr>
        <w:t>检测方法：</w:t>
      </w:r>
    </w:p>
    <w:p w14:paraId="06BE3C69">
      <w:pPr>
        <w:pStyle w:val="43"/>
        <w:numPr>
          <w:ilvl w:val="5"/>
          <w:numId w:val="1"/>
        </w:numPr>
        <w:rPr>
          <w:rFonts w:hint="default"/>
        </w:rPr>
      </w:pPr>
      <w:r>
        <w:t>地表水检测方法</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3"/>
        <w:gridCol w:w="1009"/>
        <w:gridCol w:w="5346"/>
        <w:gridCol w:w="1354"/>
      </w:tblGrid>
      <w:tr w14:paraId="28F9D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069" w:type="pct"/>
            <w:gridSpan w:val="2"/>
            <w:vAlign w:val="center"/>
          </w:tcPr>
          <w:p w14:paraId="144D7EF1">
            <w:pPr>
              <w:pStyle w:val="45"/>
              <w:rPr>
                <w:rFonts w:hint="default"/>
                <w:b/>
                <w:bCs/>
              </w:rPr>
            </w:pPr>
            <w:r>
              <w:rPr>
                <w:b/>
                <w:bCs/>
              </w:rPr>
              <w:t>检测项目</w:t>
            </w:r>
          </w:p>
        </w:tc>
        <w:tc>
          <w:tcPr>
            <w:tcW w:w="3136" w:type="pct"/>
            <w:vAlign w:val="center"/>
          </w:tcPr>
          <w:p w14:paraId="5C29EAFF">
            <w:pPr>
              <w:pStyle w:val="45"/>
              <w:rPr>
                <w:rFonts w:hint="default"/>
                <w:b/>
                <w:bCs/>
              </w:rPr>
            </w:pPr>
            <w:r>
              <w:rPr>
                <w:b/>
                <w:bCs/>
              </w:rPr>
              <w:t>检测依据</w:t>
            </w:r>
          </w:p>
        </w:tc>
        <w:tc>
          <w:tcPr>
            <w:tcW w:w="794" w:type="pct"/>
            <w:vAlign w:val="center"/>
          </w:tcPr>
          <w:p w14:paraId="16FFB7A4">
            <w:pPr>
              <w:pStyle w:val="45"/>
              <w:rPr>
                <w:rFonts w:hint="default"/>
                <w:b/>
                <w:bCs/>
              </w:rPr>
            </w:pPr>
            <w:r>
              <w:rPr>
                <w:b/>
                <w:bCs/>
              </w:rPr>
              <w:t>检出限</w:t>
            </w:r>
          </w:p>
        </w:tc>
      </w:tr>
      <w:tr w14:paraId="753D7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restart"/>
            <w:vAlign w:val="center"/>
          </w:tcPr>
          <w:p w14:paraId="56CA0188">
            <w:pPr>
              <w:pStyle w:val="45"/>
              <w:rPr>
                <w:rFonts w:hint="default"/>
              </w:rPr>
            </w:pPr>
            <w:r>
              <w:t>地表水</w:t>
            </w:r>
          </w:p>
        </w:tc>
        <w:tc>
          <w:tcPr>
            <w:tcW w:w="591" w:type="pct"/>
            <w:vAlign w:val="center"/>
          </w:tcPr>
          <w:p w14:paraId="3DA2BA6D">
            <w:pPr>
              <w:pStyle w:val="45"/>
              <w:rPr>
                <w:rFonts w:hint="default"/>
              </w:rPr>
            </w:pPr>
            <w:r>
              <w:t>氯化物</w:t>
            </w:r>
          </w:p>
        </w:tc>
        <w:tc>
          <w:tcPr>
            <w:tcW w:w="3136" w:type="pct"/>
            <w:vAlign w:val="center"/>
          </w:tcPr>
          <w:p w14:paraId="13B7BA20">
            <w:pPr>
              <w:pStyle w:val="45"/>
              <w:rPr>
                <w:rFonts w:hint="default"/>
              </w:rPr>
            </w:pPr>
            <w:r>
              <w:rPr>
                <w:rFonts w:hint="default"/>
              </w:rPr>
              <w:t>《水质 氯化物的测定 硝酸银滴定法》GB 11896-1989</w:t>
            </w:r>
          </w:p>
        </w:tc>
        <w:tc>
          <w:tcPr>
            <w:tcW w:w="794" w:type="pct"/>
            <w:vAlign w:val="center"/>
          </w:tcPr>
          <w:p w14:paraId="2E1437A4">
            <w:pPr>
              <w:pStyle w:val="45"/>
              <w:rPr>
                <w:rFonts w:hint="default"/>
              </w:rPr>
            </w:pPr>
            <w:r>
              <w:rPr>
                <w:rFonts w:hint="default"/>
              </w:rPr>
              <w:t>1.0mg/L</w:t>
            </w:r>
          </w:p>
        </w:tc>
      </w:tr>
      <w:tr w14:paraId="67ABF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14:paraId="45FF4634">
            <w:pPr>
              <w:pStyle w:val="45"/>
              <w:rPr>
                <w:rFonts w:hint="default"/>
              </w:rPr>
            </w:pPr>
          </w:p>
        </w:tc>
        <w:tc>
          <w:tcPr>
            <w:tcW w:w="591" w:type="pct"/>
            <w:vAlign w:val="center"/>
          </w:tcPr>
          <w:p w14:paraId="42B652EA">
            <w:pPr>
              <w:pStyle w:val="45"/>
              <w:rPr>
                <w:rFonts w:hint="default"/>
              </w:rPr>
            </w:pPr>
            <w:r>
              <w:t>铅</w:t>
            </w:r>
          </w:p>
        </w:tc>
        <w:tc>
          <w:tcPr>
            <w:tcW w:w="3136" w:type="pct"/>
            <w:vAlign w:val="center"/>
          </w:tcPr>
          <w:p w14:paraId="2A91B3A1">
            <w:pPr>
              <w:pStyle w:val="45"/>
              <w:rPr>
                <w:rFonts w:hint="default"/>
              </w:rPr>
            </w:pPr>
            <w:r>
              <w:rPr>
                <w:rFonts w:hint="default"/>
              </w:rPr>
              <w:t>《水质 65 种元素的测定 电感耦合等离子体质谱法》HJ 700-2014</w:t>
            </w:r>
          </w:p>
        </w:tc>
        <w:tc>
          <w:tcPr>
            <w:tcW w:w="794" w:type="pct"/>
            <w:vAlign w:val="center"/>
          </w:tcPr>
          <w:p w14:paraId="3AC8232B">
            <w:pPr>
              <w:pStyle w:val="45"/>
              <w:rPr>
                <w:rFonts w:hint="default"/>
              </w:rPr>
            </w:pPr>
            <w:r>
              <w:rPr>
                <w:rFonts w:hint="default"/>
              </w:rPr>
              <w:t>0.00009mg/L</w:t>
            </w:r>
          </w:p>
        </w:tc>
      </w:tr>
      <w:tr w14:paraId="45B12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14:paraId="41C6F601">
            <w:pPr>
              <w:pStyle w:val="45"/>
              <w:rPr>
                <w:rFonts w:hint="default"/>
              </w:rPr>
            </w:pPr>
          </w:p>
        </w:tc>
        <w:tc>
          <w:tcPr>
            <w:tcW w:w="591" w:type="pct"/>
            <w:vAlign w:val="center"/>
          </w:tcPr>
          <w:p w14:paraId="1047B04E">
            <w:pPr>
              <w:pStyle w:val="45"/>
              <w:rPr>
                <w:rFonts w:hint="default"/>
              </w:rPr>
            </w:pPr>
            <w:r>
              <w:t>钡</w:t>
            </w:r>
          </w:p>
        </w:tc>
        <w:tc>
          <w:tcPr>
            <w:tcW w:w="3136" w:type="pct"/>
            <w:vAlign w:val="center"/>
          </w:tcPr>
          <w:p w14:paraId="5A1E3188">
            <w:pPr>
              <w:pStyle w:val="45"/>
              <w:rPr>
                <w:rFonts w:hint="default"/>
              </w:rPr>
            </w:pPr>
            <w:r>
              <w:rPr>
                <w:rFonts w:hint="default"/>
              </w:rPr>
              <w:t>《水质 65 种元素的测定 电感耦合等离子体质谱法》HJ 700-2014</w:t>
            </w:r>
          </w:p>
        </w:tc>
        <w:tc>
          <w:tcPr>
            <w:tcW w:w="794" w:type="pct"/>
            <w:vAlign w:val="center"/>
          </w:tcPr>
          <w:p w14:paraId="5E5BE185">
            <w:pPr>
              <w:pStyle w:val="45"/>
              <w:rPr>
                <w:rFonts w:hint="default"/>
              </w:rPr>
            </w:pPr>
            <w:r>
              <w:rPr>
                <w:rFonts w:hint="default"/>
              </w:rPr>
              <w:t>0.0002mg/L</w:t>
            </w:r>
          </w:p>
        </w:tc>
      </w:tr>
      <w:tr w14:paraId="3AACB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14:paraId="177E7F60">
            <w:pPr>
              <w:pStyle w:val="45"/>
              <w:rPr>
                <w:rFonts w:hint="default"/>
              </w:rPr>
            </w:pPr>
          </w:p>
        </w:tc>
        <w:tc>
          <w:tcPr>
            <w:tcW w:w="591" w:type="pct"/>
            <w:vAlign w:val="center"/>
          </w:tcPr>
          <w:p w14:paraId="473745BD">
            <w:pPr>
              <w:pStyle w:val="45"/>
              <w:rPr>
                <w:rFonts w:hint="default"/>
              </w:rPr>
            </w:pPr>
            <w:r>
              <w:t>铬</w:t>
            </w:r>
          </w:p>
        </w:tc>
        <w:tc>
          <w:tcPr>
            <w:tcW w:w="3136" w:type="pct"/>
            <w:vAlign w:val="center"/>
          </w:tcPr>
          <w:p w14:paraId="0EA4D2DD">
            <w:pPr>
              <w:pStyle w:val="45"/>
              <w:rPr>
                <w:rFonts w:hint="default"/>
              </w:rPr>
            </w:pPr>
            <w:r>
              <w:rPr>
                <w:rFonts w:hint="default"/>
              </w:rPr>
              <w:t>《水质 65 种元素的测定 电感耦合等离子体质谱法》HJ 700-2014</w:t>
            </w:r>
          </w:p>
        </w:tc>
        <w:tc>
          <w:tcPr>
            <w:tcW w:w="794" w:type="pct"/>
            <w:vAlign w:val="center"/>
          </w:tcPr>
          <w:p w14:paraId="03FD1D53">
            <w:pPr>
              <w:pStyle w:val="45"/>
              <w:rPr>
                <w:rFonts w:hint="default"/>
              </w:rPr>
            </w:pPr>
            <w:r>
              <w:rPr>
                <w:rFonts w:hint="default"/>
              </w:rPr>
              <w:t>0.00011mg/L</w:t>
            </w:r>
          </w:p>
        </w:tc>
      </w:tr>
      <w:tr w14:paraId="771C2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 w:type="pct"/>
            <w:vMerge w:val="continue"/>
            <w:vAlign w:val="center"/>
          </w:tcPr>
          <w:p w14:paraId="6672B5CB">
            <w:pPr>
              <w:pStyle w:val="45"/>
              <w:rPr>
                <w:rFonts w:hint="default"/>
              </w:rPr>
            </w:pPr>
          </w:p>
        </w:tc>
        <w:tc>
          <w:tcPr>
            <w:tcW w:w="591" w:type="pct"/>
            <w:vAlign w:val="center"/>
          </w:tcPr>
          <w:p w14:paraId="4AD10AE7">
            <w:pPr>
              <w:pStyle w:val="45"/>
              <w:rPr>
                <w:rFonts w:hint="default"/>
              </w:rPr>
            </w:pPr>
            <w:r>
              <w:t>高氯酸盐</w:t>
            </w:r>
          </w:p>
        </w:tc>
        <w:tc>
          <w:tcPr>
            <w:tcW w:w="3136" w:type="pct"/>
            <w:vAlign w:val="center"/>
          </w:tcPr>
          <w:p w14:paraId="7EEA0129">
            <w:pPr>
              <w:pStyle w:val="45"/>
              <w:rPr>
                <w:rFonts w:hint="default"/>
              </w:rPr>
            </w:pPr>
            <w:r>
              <w:rPr>
                <w:rFonts w:hint="default"/>
              </w:rPr>
              <w:t>《生活饮用水标准检验方法 第 5 部分：无机非金属指标》GB/T 5750.5-2023（14.1 离子色谱法-氢氧根系统淋洗液）</w:t>
            </w:r>
          </w:p>
        </w:tc>
        <w:tc>
          <w:tcPr>
            <w:tcW w:w="794" w:type="pct"/>
            <w:vAlign w:val="center"/>
          </w:tcPr>
          <w:p w14:paraId="48C55CE1">
            <w:pPr>
              <w:pStyle w:val="45"/>
              <w:rPr>
                <w:rFonts w:hint="default"/>
              </w:rPr>
            </w:pPr>
            <w:r>
              <w:rPr>
                <w:rFonts w:hint="default"/>
              </w:rPr>
              <w:t>0.006mg/L</w:t>
            </w:r>
          </w:p>
        </w:tc>
      </w:tr>
    </w:tbl>
    <w:p w14:paraId="7726DB6C">
      <w:pPr>
        <w:spacing w:line="240" w:lineRule="auto"/>
        <w:ind w:firstLine="0" w:firstLineChars="0"/>
      </w:pPr>
    </w:p>
    <w:p w14:paraId="2C1BB3DF">
      <w:pPr>
        <w:ind w:firstLine="480"/>
      </w:pPr>
      <w:r>
        <w:rPr>
          <w:rFonts w:hint="eastAsia"/>
        </w:rPr>
        <w:t>（3）检测结果</w:t>
      </w:r>
    </w:p>
    <w:p w14:paraId="7D9BA223">
      <w:pPr>
        <w:pStyle w:val="43"/>
        <w:numPr>
          <w:ilvl w:val="5"/>
          <w:numId w:val="1"/>
        </w:numPr>
        <w:rPr>
          <w:rFonts w:hint="default"/>
        </w:rPr>
      </w:pPr>
      <w:r>
        <w:t>地表水环境质量检测结果</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6"/>
        <w:gridCol w:w="1050"/>
        <w:gridCol w:w="1421"/>
        <w:gridCol w:w="635"/>
        <w:gridCol w:w="946"/>
        <w:gridCol w:w="894"/>
        <w:gridCol w:w="894"/>
        <w:gridCol w:w="894"/>
        <w:gridCol w:w="692"/>
      </w:tblGrid>
      <w:tr w14:paraId="24163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blHeader/>
        </w:trPr>
        <w:tc>
          <w:tcPr>
            <w:tcW w:w="555" w:type="pct"/>
            <w:shd w:val="clear" w:color="auto" w:fill="auto"/>
            <w:vAlign w:val="center"/>
          </w:tcPr>
          <w:p w14:paraId="31A27BDD">
            <w:pPr>
              <w:pStyle w:val="45"/>
              <w:rPr>
                <w:rFonts w:hint="default"/>
                <w:b/>
                <w:bCs/>
              </w:rPr>
            </w:pPr>
            <w:r>
              <w:rPr>
                <w:b/>
                <w:bCs/>
              </w:rPr>
              <w:t>采样点位</w:t>
            </w:r>
          </w:p>
        </w:tc>
        <w:tc>
          <w:tcPr>
            <w:tcW w:w="532" w:type="pct"/>
            <w:shd w:val="clear" w:color="auto" w:fill="auto"/>
            <w:vAlign w:val="center"/>
          </w:tcPr>
          <w:p w14:paraId="70F94B1D">
            <w:pPr>
              <w:pStyle w:val="45"/>
              <w:rPr>
                <w:rFonts w:hint="default"/>
                <w:b/>
                <w:bCs/>
              </w:rPr>
            </w:pPr>
            <w:r>
              <w:rPr>
                <w:b/>
                <w:bCs/>
              </w:rPr>
              <w:t>采样时间</w:t>
            </w:r>
          </w:p>
        </w:tc>
        <w:tc>
          <w:tcPr>
            <w:tcW w:w="713" w:type="pct"/>
            <w:shd w:val="clear" w:color="auto" w:fill="auto"/>
            <w:vAlign w:val="center"/>
          </w:tcPr>
          <w:p w14:paraId="38A4A0D0">
            <w:pPr>
              <w:pStyle w:val="45"/>
              <w:rPr>
                <w:rFonts w:hint="default"/>
                <w:b/>
                <w:bCs/>
              </w:rPr>
            </w:pPr>
            <w:r>
              <w:rPr>
                <w:b/>
                <w:bCs/>
              </w:rPr>
              <w:t>样品编号</w:t>
            </w:r>
          </w:p>
        </w:tc>
        <w:tc>
          <w:tcPr>
            <w:tcW w:w="617" w:type="pct"/>
            <w:shd w:val="clear" w:color="auto" w:fill="auto"/>
            <w:vAlign w:val="center"/>
          </w:tcPr>
          <w:p w14:paraId="2BC54202">
            <w:pPr>
              <w:pStyle w:val="45"/>
              <w:rPr>
                <w:rFonts w:hint="default"/>
                <w:b/>
                <w:bCs/>
              </w:rPr>
            </w:pPr>
            <w:r>
              <w:rPr>
                <w:b/>
                <w:bCs/>
              </w:rPr>
              <w:t>水温℃</w:t>
            </w:r>
          </w:p>
        </w:tc>
        <w:tc>
          <w:tcPr>
            <w:tcW w:w="617" w:type="pct"/>
            <w:shd w:val="clear" w:color="auto" w:fill="auto"/>
            <w:vAlign w:val="center"/>
          </w:tcPr>
          <w:p w14:paraId="0BD1ABB8">
            <w:pPr>
              <w:pStyle w:val="45"/>
              <w:rPr>
                <w:rFonts w:hint="default"/>
                <w:b/>
                <w:bCs/>
              </w:rPr>
            </w:pPr>
            <w:r>
              <w:rPr>
                <w:b/>
                <w:bCs/>
              </w:rPr>
              <w:t>氯化物    mg/L</w:t>
            </w:r>
          </w:p>
        </w:tc>
        <w:tc>
          <w:tcPr>
            <w:tcW w:w="457" w:type="pct"/>
            <w:shd w:val="clear" w:color="auto" w:fill="auto"/>
            <w:vAlign w:val="center"/>
          </w:tcPr>
          <w:p w14:paraId="18C004D6">
            <w:pPr>
              <w:pStyle w:val="45"/>
              <w:rPr>
                <w:rFonts w:hint="default"/>
                <w:b/>
                <w:bCs/>
              </w:rPr>
            </w:pPr>
            <w:r>
              <w:rPr>
                <w:b/>
                <w:bCs/>
              </w:rPr>
              <w:t>铅     mg/L</w:t>
            </w:r>
          </w:p>
        </w:tc>
        <w:tc>
          <w:tcPr>
            <w:tcW w:w="406" w:type="pct"/>
            <w:shd w:val="clear" w:color="auto" w:fill="auto"/>
            <w:vAlign w:val="center"/>
          </w:tcPr>
          <w:p w14:paraId="269FE93A">
            <w:pPr>
              <w:pStyle w:val="45"/>
              <w:rPr>
                <w:rFonts w:hint="default"/>
                <w:b/>
                <w:bCs/>
              </w:rPr>
            </w:pPr>
            <w:r>
              <w:rPr>
                <w:b/>
                <w:bCs/>
              </w:rPr>
              <w:t>钡     mg/L</w:t>
            </w:r>
          </w:p>
        </w:tc>
        <w:tc>
          <w:tcPr>
            <w:tcW w:w="457" w:type="pct"/>
            <w:shd w:val="clear" w:color="auto" w:fill="auto"/>
            <w:vAlign w:val="center"/>
          </w:tcPr>
          <w:p w14:paraId="5290679B">
            <w:pPr>
              <w:pStyle w:val="45"/>
              <w:rPr>
                <w:rFonts w:hint="default"/>
                <w:b/>
                <w:bCs/>
              </w:rPr>
            </w:pPr>
            <w:r>
              <w:rPr>
                <w:b/>
                <w:bCs/>
              </w:rPr>
              <w:t>铬     mg/L</w:t>
            </w:r>
          </w:p>
        </w:tc>
        <w:tc>
          <w:tcPr>
            <w:tcW w:w="643" w:type="pct"/>
            <w:shd w:val="clear" w:color="auto" w:fill="auto"/>
            <w:vAlign w:val="center"/>
          </w:tcPr>
          <w:p w14:paraId="7046D2CF">
            <w:pPr>
              <w:pStyle w:val="45"/>
              <w:rPr>
                <w:rFonts w:hint="default"/>
                <w:b/>
                <w:bCs/>
              </w:rPr>
            </w:pPr>
            <w:r>
              <w:rPr>
                <w:b/>
                <w:bCs/>
              </w:rPr>
              <w:t>高氯酸盐     mg/L</w:t>
            </w:r>
          </w:p>
        </w:tc>
      </w:tr>
      <w:tr w14:paraId="6DC72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55" w:type="pct"/>
            <w:vMerge w:val="restart"/>
            <w:shd w:val="clear" w:color="auto" w:fill="auto"/>
            <w:vAlign w:val="center"/>
          </w:tcPr>
          <w:p w14:paraId="0EDDB171">
            <w:pPr>
              <w:pStyle w:val="45"/>
              <w:rPr>
                <w:rFonts w:hint="default"/>
              </w:rPr>
            </w:pPr>
            <w:r>
              <w:t>松木污水处理厂排口上游500mW1</w:t>
            </w:r>
          </w:p>
        </w:tc>
        <w:tc>
          <w:tcPr>
            <w:tcW w:w="532" w:type="pct"/>
            <w:shd w:val="clear" w:color="auto" w:fill="auto"/>
            <w:vAlign w:val="center"/>
          </w:tcPr>
          <w:p w14:paraId="710315C8">
            <w:pPr>
              <w:pStyle w:val="45"/>
              <w:rPr>
                <w:rFonts w:hint="default"/>
              </w:rPr>
            </w:pPr>
            <w:r>
              <w:rPr>
                <w:rFonts w:hint="default"/>
              </w:rPr>
              <w:t>2023.8.27</w:t>
            </w:r>
          </w:p>
        </w:tc>
        <w:tc>
          <w:tcPr>
            <w:tcW w:w="713" w:type="pct"/>
            <w:shd w:val="clear" w:color="auto" w:fill="auto"/>
            <w:vAlign w:val="center"/>
          </w:tcPr>
          <w:p w14:paraId="15A98C16">
            <w:pPr>
              <w:pStyle w:val="45"/>
              <w:rPr>
                <w:rFonts w:hint="default"/>
              </w:rPr>
            </w:pPr>
            <w:r>
              <w:rPr>
                <w:rFonts w:hint="default"/>
              </w:rPr>
              <w:t>14218DBS1-1</w:t>
            </w:r>
          </w:p>
        </w:tc>
        <w:tc>
          <w:tcPr>
            <w:tcW w:w="617" w:type="pct"/>
            <w:shd w:val="clear" w:color="auto" w:fill="auto"/>
            <w:vAlign w:val="center"/>
          </w:tcPr>
          <w:p w14:paraId="3700AC01">
            <w:pPr>
              <w:pStyle w:val="45"/>
              <w:rPr>
                <w:rFonts w:hint="default"/>
              </w:rPr>
            </w:pPr>
            <w:r>
              <w:rPr>
                <w:rFonts w:hint="default"/>
              </w:rPr>
              <w:t xml:space="preserve">20.8 </w:t>
            </w:r>
          </w:p>
        </w:tc>
        <w:tc>
          <w:tcPr>
            <w:tcW w:w="617" w:type="pct"/>
            <w:shd w:val="clear" w:color="auto" w:fill="auto"/>
            <w:noWrap/>
            <w:vAlign w:val="center"/>
          </w:tcPr>
          <w:p w14:paraId="397FD1FF">
            <w:pPr>
              <w:pStyle w:val="45"/>
              <w:rPr>
                <w:rFonts w:hint="default"/>
              </w:rPr>
            </w:pPr>
            <w:r>
              <w:rPr>
                <w:rFonts w:hint="default"/>
              </w:rPr>
              <w:t xml:space="preserve">7.0 </w:t>
            </w:r>
          </w:p>
        </w:tc>
        <w:tc>
          <w:tcPr>
            <w:tcW w:w="457" w:type="pct"/>
            <w:shd w:val="clear" w:color="auto" w:fill="auto"/>
            <w:vAlign w:val="center"/>
          </w:tcPr>
          <w:p w14:paraId="7C23FBB5">
            <w:pPr>
              <w:pStyle w:val="45"/>
              <w:rPr>
                <w:rFonts w:hint="default"/>
              </w:rPr>
            </w:pPr>
            <w:r>
              <w:rPr>
                <w:rFonts w:hint="default"/>
              </w:rPr>
              <w:t>ND</w:t>
            </w:r>
          </w:p>
        </w:tc>
        <w:tc>
          <w:tcPr>
            <w:tcW w:w="406" w:type="pct"/>
            <w:shd w:val="clear" w:color="auto" w:fill="auto"/>
            <w:vAlign w:val="center"/>
          </w:tcPr>
          <w:p w14:paraId="5455165A">
            <w:pPr>
              <w:pStyle w:val="45"/>
              <w:rPr>
                <w:rFonts w:hint="default"/>
              </w:rPr>
            </w:pPr>
            <w:r>
              <w:rPr>
                <w:rFonts w:hint="default"/>
              </w:rPr>
              <w:t xml:space="preserve">0.0233 </w:t>
            </w:r>
          </w:p>
        </w:tc>
        <w:tc>
          <w:tcPr>
            <w:tcW w:w="457" w:type="pct"/>
            <w:shd w:val="clear" w:color="auto" w:fill="auto"/>
            <w:vAlign w:val="center"/>
          </w:tcPr>
          <w:p w14:paraId="6887FC3E">
            <w:pPr>
              <w:pStyle w:val="45"/>
              <w:rPr>
                <w:rFonts w:hint="default"/>
              </w:rPr>
            </w:pPr>
            <w:r>
              <w:rPr>
                <w:rFonts w:hint="default"/>
              </w:rPr>
              <w:t xml:space="preserve">0.00020 </w:t>
            </w:r>
          </w:p>
        </w:tc>
        <w:tc>
          <w:tcPr>
            <w:tcW w:w="643" w:type="pct"/>
            <w:shd w:val="clear" w:color="auto" w:fill="auto"/>
            <w:vAlign w:val="center"/>
          </w:tcPr>
          <w:p w14:paraId="66F8CF3C">
            <w:pPr>
              <w:pStyle w:val="45"/>
              <w:rPr>
                <w:rFonts w:hint="default"/>
              </w:rPr>
            </w:pPr>
            <w:r>
              <w:rPr>
                <w:rFonts w:hint="default"/>
              </w:rPr>
              <w:t xml:space="preserve">0.016 </w:t>
            </w:r>
          </w:p>
        </w:tc>
      </w:tr>
      <w:tr w14:paraId="15F0F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55" w:type="pct"/>
            <w:vMerge w:val="continue"/>
            <w:shd w:val="clear" w:color="auto" w:fill="auto"/>
            <w:vAlign w:val="center"/>
          </w:tcPr>
          <w:p w14:paraId="67258B07">
            <w:pPr>
              <w:pStyle w:val="45"/>
              <w:rPr>
                <w:rFonts w:hint="default"/>
              </w:rPr>
            </w:pPr>
          </w:p>
        </w:tc>
        <w:tc>
          <w:tcPr>
            <w:tcW w:w="532" w:type="pct"/>
            <w:shd w:val="clear" w:color="auto" w:fill="auto"/>
            <w:vAlign w:val="center"/>
          </w:tcPr>
          <w:p w14:paraId="1972ED6E">
            <w:pPr>
              <w:pStyle w:val="45"/>
              <w:rPr>
                <w:rFonts w:hint="default"/>
              </w:rPr>
            </w:pPr>
            <w:r>
              <w:rPr>
                <w:rFonts w:hint="default"/>
              </w:rPr>
              <w:t>2023.8.28</w:t>
            </w:r>
          </w:p>
        </w:tc>
        <w:tc>
          <w:tcPr>
            <w:tcW w:w="713" w:type="pct"/>
            <w:shd w:val="clear" w:color="auto" w:fill="auto"/>
            <w:vAlign w:val="center"/>
          </w:tcPr>
          <w:p w14:paraId="213C3DD2">
            <w:pPr>
              <w:pStyle w:val="45"/>
              <w:rPr>
                <w:rFonts w:hint="default"/>
              </w:rPr>
            </w:pPr>
            <w:r>
              <w:rPr>
                <w:rFonts w:hint="default"/>
              </w:rPr>
              <w:t>14218DBS1-2</w:t>
            </w:r>
          </w:p>
        </w:tc>
        <w:tc>
          <w:tcPr>
            <w:tcW w:w="617" w:type="pct"/>
            <w:shd w:val="clear" w:color="auto" w:fill="auto"/>
            <w:vAlign w:val="center"/>
          </w:tcPr>
          <w:p w14:paraId="391BF1BB">
            <w:pPr>
              <w:pStyle w:val="45"/>
              <w:rPr>
                <w:rFonts w:hint="default"/>
              </w:rPr>
            </w:pPr>
            <w:r>
              <w:rPr>
                <w:rFonts w:hint="default"/>
              </w:rPr>
              <w:t xml:space="preserve">20.8 </w:t>
            </w:r>
          </w:p>
        </w:tc>
        <w:tc>
          <w:tcPr>
            <w:tcW w:w="617" w:type="pct"/>
            <w:shd w:val="clear" w:color="auto" w:fill="auto"/>
            <w:noWrap/>
            <w:vAlign w:val="center"/>
          </w:tcPr>
          <w:p w14:paraId="082A45F0">
            <w:pPr>
              <w:pStyle w:val="45"/>
              <w:rPr>
                <w:rFonts w:hint="default"/>
              </w:rPr>
            </w:pPr>
            <w:r>
              <w:rPr>
                <w:rFonts w:hint="default"/>
              </w:rPr>
              <w:t xml:space="preserve">6.7 </w:t>
            </w:r>
          </w:p>
        </w:tc>
        <w:tc>
          <w:tcPr>
            <w:tcW w:w="457" w:type="pct"/>
            <w:shd w:val="clear" w:color="auto" w:fill="auto"/>
            <w:vAlign w:val="center"/>
          </w:tcPr>
          <w:p w14:paraId="020CCC3E">
            <w:pPr>
              <w:pStyle w:val="45"/>
              <w:rPr>
                <w:rFonts w:hint="default"/>
              </w:rPr>
            </w:pPr>
            <w:r>
              <w:rPr>
                <w:rFonts w:hint="default"/>
              </w:rPr>
              <w:t>ND</w:t>
            </w:r>
          </w:p>
        </w:tc>
        <w:tc>
          <w:tcPr>
            <w:tcW w:w="406" w:type="pct"/>
            <w:shd w:val="clear" w:color="auto" w:fill="auto"/>
            <w:vAlign w:val="center"/>
          </w:tcPr>
          <w:p w14:paraId="591C0148">
            <w:pPr>
              <w:pStyle w:val="45"/>
              <w:rPr>
                <w:rFonts w:hint="default"/>
              </w:rPr>
            </w:pPr>
            <w:r>
              <w:rPr>
                <w:rFonts w:hint="default"/>
              </w:rPr>
              <w:t xml:space="preserve">0.0257 </w:t>
            </w:r>
          </w:p>
        </w:tc>
        <w:tc>
          <w:tcPr>
            <w:tcW w:w="457" w:type="pct"/>
            <w:shd w:val="clear" w:color="auto" w:fill="auto"/>
            <w:vAlign w:val="center"/>
          </w:tcPr>
          <w:p w14:paraId="2B86C882">
            <w:pPr>
              <w:pStyle w:val="45"/>
              <w:rPr>
                <w:rFonts w:hint="default"/>
              </w:rPr>
            </w:pPr>
            <w:r>
              <w:rPr>
                <w:rFonts w:hint="default"/>
              </w:rPr>
              <w:t xml:space="preserve">0.00022 </w:t>
            </w:r>
          </w:p>
        </w:tc>
        <w:tc>
          <w:tcPr>
            <w:tcW w:w="643" w:type="pct"/>
            <w:shd w:val="clear" w:color="auto" w:fill="auto"/>
            <w:vAlign w:val="center"/>
          </w:tcPr>
          <w:p w14:paraId="029890AD">
            <w:pPr>
              <w:pStyle w:val="45"/>
              <w:rPr>
                <w:rFonts w:hint="default"/>
              </w:rPr>
            </w:pPr>
            <w:r>
              <w:rPr>
                <w:rFonts w:hint="default"/>
              </w:rPr>
              <w:t xml:space="preserve">0.024 </w:t>
            </w:r>
          </w:p>
        </w:tc>
      </w:tr>
      <w:tr w14:paraId="66304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55" w:type="pct"/>
            <w:vMerge w:val="continue"/>
            <w:shd w:val="clear" w:color="auto" w:fill="auto"/>
            <w:vAlign w:val="center"/>
          </w:tcPr>
          <w:p w14:paraId="2ECF87E7">
            <w:pPr>
              <w:pStyle w:val="45"/>
              <w:rPr>
                <w:rFonts w:hint="default"/>
              </w:rPr>
            </w:pPr>
          </w:p>
        </w:tc>
        <w:tc>
          <w:tcPr>
            <w:tcW w:w="532" w:type="pct"/>
            <w:shd w:val="clear" w:color="auto" w:fill="auto"/>
            <w:vAlign w:val="center"/>
          </w:tcPr>
          <w:p w14:paraId="10A910A3">
            <w:pPr>
              <w:pStyle w:val="45"/>
              <w:rPr>
                <w:rFonts w:hint="default"/>
              </w:rPr>
            </w:pPr>
            <w:r>
              <w:rPr>
                <w:rFonts w:hint="default"/>
              </w:rPr>
              <w:t>2023.8.29</w:t>
            </w:r>
          </w:p>
        </w:tc>
        <w:tc>
          <w:tcPr>
            <w:tcW w:w="713" w:type="pct"/>
            <w:shd w:val="clear" w:color="auto" w:fill="auto"/>
            <w:vAlign w:val="center"/>
          </w:tcPr>
          <w:p w14:paraId="1D82306C">
            <w:pPr>
              <w:pStyle w:val="45"/>
              <w:rPr>
                <w:rFonts w:hint="default"/>
              </w:rPr>
            </w:pPr>
            <w:r>
              <w:rPr>
                <w:rFonts w:hint="default"/>
              </w:rPr>
              <w:t>14218DBS1-3</w:t>
            </w:r>
          </w:p>
        </w:tc>
        <w:tc>
          <w:tcPr>
            <w:tcW w:w="617" w:type="pct"/>
            <w:shd w:val="clear" w:color="auto" w:fill="auto"/>
            <w:vAlign w:val="center"/>
          </w:tcPr>
          <w:p w14:paraId="6A933D73">
            <w:pPr>
              <w:pStyle w:val="45"/>
              <w:rPr>
                <w:rFonts w:hint="default"/>
              </w:rPr>
            </w:pPr>
            <w:r>
              <w:rPr>
                <w:rFonts w:hint="default"/>
              </w:rPr>
              <w:t xml:space="preserve">20.9 </w:t>
            </w:r>
          </w:p>
        </w:tc>
        <w:tc>
          <w:tcPr>
            <w:tcW w:w="617" w:type="pct"/>
            <w:shd w:val="clear" w:color="auto" w:fill="auto"/>
            <w:noWrap/>
            <w:vAlign w:val="center"/>
          </w:tcPr>
          <w:p w14:paraId="255C1D6B">
            <w:pPr>
              <w:pStyle w:val="45"/>
              <w:rPr>
                <w:rFonts w:hint="default"/>
              </w:rPr>
            </w:pPr>
            <w:r>
              <w:rPr>
                <w:rFonts w:hint="default"/>
              </w:rPr>
              <w:t xml:space="preserve">7.3 </w:t>
            </w:r>
          </w:p>
        </w:tc>
        <w:tc>
          <w:tcPr>
            <w:tcW w:w="457" w:type="pct"/>
            <w:shd w:val="clear" w:color="auto" w:fill="auto"/>
            <w:vAlign w:val="center"/>
          </w:tcPr>
          <w:p w14:paraId="6DB8B022">
            <w:pPr>
              <w:pStyle w:val="45"/>
              <w:rPr>
                <w:rFonts w:hint="default"/>
              </w:rPr>
            </w:pPr>
            <w:r>
              <w:rPr>
                <w:rFonts w:hint="default"/>
              </w:rPr>
              <w:t>ND</w:t>
            </w:r>
          </w:p>
        </w:tc>
        <w:tc>
          <w:tcPr>
            <w:tcW w:w="406" w:type="pct"/>
            <w:shd w:val="clear" w:color="auto" w:fill="auto"/>
            <w:vAlign w:val="center"/>
          </w:tcPr>
          <w:p w14:paraId="4F23F91B">
            <w:pPr>
              <w:pStyle w:val="45"/>
              <w:rPr>
                <w:rFonts w:hint="default"/>
              </w:rPr>
            </w:pPr>
            <w:r>
              <w:rPr>
                <w:rFonts w:hint="default"/>
              </w:rPr>
              <w:t xml:space="preserve">0.0255 </w:t>
            </w:r>
          </w:p>
        </w:tc>
        <w:tc>
          <w:tcPr>
            <w:tcW w:w="457" w:type="pct"/>
            <w:shd w:val="clear" w:color="auto" w:fill="auto"/>
            <w:vAlign w:val="center"/>
          </w:tcPr>
          <w:p w14:paraId="39B036C8">
            <w:pPr>
              <w:pStyle w:val="45"/>
              <w:rPr>
                <w:rFonts w:hint="default"/>
              </w:rPr>
            </w:pPr>
            <w:r>
              <w:rPr>
                <w:rFonts w:hint="default"/>
              </w:rPr>
              <w:t xml:space="preserve">0.00019 </w:t>
            </w:r>
          </w:p>
        </w:tc>
        <w:tc>
          <w:tcPr>
            <w:tcW w:w="643" w:type="pct"/>
            <w:shd w:val="clear" w:color="auto" w:fill="auto"/>
            <w:vAlign w:val="center"/>
          </w:tcPr>
          <w:p w14:paraId="78CDA667">
            <w:pPr>
              <w:pStyle w:val="45"/>
              <w:rPr>
                <w:rFonts w:hint="default"/>
              </w:rPr>
            </w:pPr>
            <w:r>
              <w:rPr>
                <w:rFonts w:hint="default"/>
              </w:rPr>
              <w:t xml:space="preserve">0.018 </w:t>
            </w:r>
          </w:p>
        </w:tc>
      </w:tr>
      <w:tr w14:paraId="13B47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55" w:type="pct"/>
            <w:vMerge w:val="restart"/>
            <w:shd w:val="clear" w:color="auto" w:fill="auto"/>
            <w:vAlign w:val="center"/>
          </w:tcPr>
          <w:p w14:paraId="23262BA8">
            <w:pPr>
              <w:pStyle w:val="45"/>
              <w:rPr>
                <w:rFonts w:hint="default"/>
              </w:rPr>
            </w:pPr>
            <w:r>
              <w:t>松木污水处理厂排口下游500mW2</w:t>
            </w:r>
          </w:p>
        </w:tc>
        <w:tc>
          <w:tcPr>
            <w:tcW w:w="532" w:type="pct"/>
            <w:shd w:val="clear" w:color="auto" w:fill="auto"/>
            <w:vAlign w:val="center"/>
          </w:tcPr>
          <w:p w14:paraId="3A8AFCF4">
            <w:pPr>
              <w:pStyle w:val="45"/>
              <w:rPr>
                <w:rFonts w:hint="default"/>
              </w:rPr>
            </w:pPr>
            <w:r>
              <w:rPr>
                <w:rFonts w:hint="default"/>
              </w:rPr>
              <w:t>2023.8.27</w:t>
            </w:r>
          </w:p>
        </w:tc>
        <w:tc>
          <w:tcPr>
            <w:tcW w:w="713" w:type="pct"/>
            <w:shd w:val="clear" w:color="auto" w:fill="auto"/>
            <w:vAlign w:val="center"/>
          </w:tcPr>
          <w:p w14:paraId="40ED465A">
            <w:pPr>
              <w:pStyle w:val="45"/>
              <w:rPr>
                <w:rFonts w:hint="default"/>
              </w:rPr>
            </w:pPr>
            <w:r>
              <w:rPr>
                <w:rFonts w:hint="default"/>
              </w:rPr>
              <w:t>14218DBS2-1</w:t>
            </w:r>
          </w:p>
        </w:tc>
        <w:tc>
          <w:tcPr>
            <w:tcW w:w="617" w:type="pct"/>
            <w:shd w:val="clear" w:color="auto" w:fill="auto"/>
            <w:vAlign w:val="center"/>
          </w:tcPr>
          <w:p w14:paraId="7EB4A283">
            <w:pPr>
              <w:pStyle w:val="45"/>
              <w:rPr>
                <w:rFonts w:hint="default"/>
              </w:rPr>
            </w:pPr>
            <w:r>
              <w:rPr>
                <w:rFonts w:hint="default"/>
              </w:rPr>
              <w:t xml:space="preserve">20.9 </w:t>
            </w:r>
          </w:p>
        </w:tc>
        <w:tc>
          <w:tcPr>
            <w:tcW w:w="617" w:type="pct"/>
            <w:shd w:val="clear" w:color="auto" w:fill="auto"/>
            <w:noWrap/>
            <w:vAlign w:val="center"/>
          </w:tcPr>
          <w:p w14:paraId="4F293F0E">
            <w:pPr>
              <w:pStyle w:val="45"/>
              <w:rPr>
                <w:rFonts w:hint="default"/>
              </w:rPr>
            </w:pPr>
            <w:r>
              <w:rPr>
                <w:rFonts w:hint="default"/>
              </w:rPr>
              <w:t xml:space="preserve">14.3 </w:t>
            </w:r>
          </w:p>
        </w:tc>
        <w:tc>
          <w:tcPr>
            <w:tcW w:w="457" w:type="pct"/>
            <w:shd w:val="clear" w:color="auto" w:fill="auto"/>
            <w:vAlign w:val="center"/>
          </w:tcPr>
          <w:p w14:paraId="0EAAD0A0">
            <w:pPr>
              <w:pStyle w:val="45"/>
              <w:rPr>
                <w:rFonts w:hint="default"/>
              </w:rPr>
            </w:pPr>
            <w:r>
              <w:rPr>
                <w:rFonts w:hint="default"/>
              </w:rPr>
              <w:t>ND</w:t>
            </w:r>
          </w:p>
        </w:tc>
        <w:tc>
          <w:tcPr>
            <w:tcW w:w="406" w:type="pct"/>
            <w:shd w:val="clear" w:color="auto" w:fill="auto"/>
            <w:vAlign w:val="center"/>
          </w:tcPr>
          <w:p w14:paraId="27CB65DF">
            <w:pPr>
              <w:pStyle w:val="45"/>
              <w:rPr>
                <w:rFonts w:hint="default"/>
              </w:rPr>
            </w:pPr>
            <w:r>
              <w:rPr>
                <w:rFonts w:hint="default"/>
              </w:rPr>
              <w:t xml:space="preserve">0.0262 </w:t>
            </w:r>
          </w:p>
        </w:tc>
        <w:tc>
          <w:tcPr>
            <w:tcW w:w="457" w:type="pct"/>
            <w:shd w:val="clear" w:color="auto" w:fill="auto"/>
            <w:vAlign w:val="center"/>
          </w:tcPr>
          <w:p w14:paraId="2BCD42BB">
            <w:pPr>
              <w:pStyle w:val="45"/>
              <w:rPr>
                <w:rFonts w:hint="default"/>
              </w:rPr>
            </w:pPr>
            <w:r>
              <w:rPr>
                <w:rFonts w:hint="default"/>
              </w:rPr>
              <w:t xml:space="preserve">0.00016 </w:t>
            </w:r>
          </w:p>
        </w:tc>
        <w:tc>
          <w:tcPr>
            <w:tcW w:w="643" w:type="pct"/>
            <w:shd w:val="clear" w:color="auto" w:fill="auto"/>
            <w:vAlign w:val="center"/>
          </w:tcPr>
          <w:p w14:paraId="0EEA8A0E">
            <w:pPr>
              <w:pStyle w:val="45"/>
              <w:rPr>
                <w:rFonts w:hint="default"/>
              </w:rPr>
            </w:pPr>
            <w:r>
              <w:rPr>
                <w:rFonts w:hint="default"/>
              </w:rPr>
              <w:t xml:space="preserve">0.022 </w:t>
            </w:r>
          </w:p>
        </w:tc>
      </w:tr>
      <w:tr w14:paraId="3A737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55" w:type="pct"/>
            <w:vMerge w:val="continue"/>
            <w:shd w:val="clear" w:color="auto" w:fill="auto"/>
            <w:vAlign w:val="center"/>
          </w:tcPr>
          <w:p w14:paraId="2823BFB5">
            <w:pPr>
              <w:pStyle w:val="45"/>
              <w:rPr>
                <w:rFonts w:hint="default"/>
              </w:rPr>
            </w:pPr>
          </w:p>
        </w:tc>
        <w:tc>
          <w:tcPr>
            <w:tcW w:w="532" w:type="pct"/>
            <w:shd w:val="clear" w:color="auto" w:fill="auto"/>
            <w:vAlign w:val="center"/>
          </w:tcPr>
          <w:p w14:paraId="462249A4">
            <w:pPr>
              <w:pStyle w:val="45"/>
              <w:rPr>
                <w:rFonts w:hint="default"/>
              </w:rPr>
            </w:pPr>
            <w:r>
              <w:rPr>
                <w:rFonts w:hint="default"/>
              </w:rPr>
              <w:t>2023.8.28</w:t>
            </w:r>
          </w:p>
        </w:tc>
        <w:tc>
          <w:tcPr>
            <w:tcW w:w="713" w:type="pct"/>
            <w:shd w:val="clear" w:color="auto" w:fill="auto"/>
            <w:vAlign w:val="center"/>
          </w:tcPr>
          <w:p w14:paraId="0F806395">
            <w:pPr>
              <w:pStyle w:val="45"/>
              <w:rPr>
                <w:rFonts w:hint="default"/>
              </w:rPr>
            </w:pPr>
            <w:r>
              <w:rPr>
                <w:rFonts w:hint="default"/>
              </w:rPr>
              <w:t>14218DBS2-2</w:t>
            </w:r>
          </w:p>
        </w:tc>
        <w:tc>
          <w:tcPr>
            <w:tcW w:w="617" w:type="pct"/>
            <w:shd w:val="clear" w:color="auto" w:fill="auto"/>
            <w:vAlign w:val="center"/>
          </w:tcPr>
          <w:p w14:paraId="36BA57DD">
            <w:pPr>
              <w:pStyle w:val="45"/>
              <w:rPr>
                <w:rFonts w:hint="default"/>
              </w:rPr>
            </w:pPr>
            <w:r>
              <w:rPr>
                <w:rFonts w:hint="default"/>
              </w:rPr>
              <w:t xml:space="preserve">20.8 </w:t>
            </w:r>
          </w:p>
        </w:tc>
        <w:tc>
          <w:tcPr>
            <w:tcW w:w="617" w:type="pct"/>
            <w:shd w:val="clear" w:color="auto" w:fill="auto"/>
            <w:noWrap/>
            <w:vAlign w:val="center"/>
          </w:tcPr>
          <w:p w14:paraId="1C788DBA">
            <w:pPr>
              <w:pStyle w:val="45"/>
              <w:rPr>
                <w:rFonts w:hint="default"/>
              </w:rPr>
            </w:pPr>
            <w:r>
              <w:rPr>
                <w:rFonts w:hint="default"/>
              </w:rPr>
              <w:t xml:space="preserve">14.5 </w:t>
            </w:r>
          </w:p>
        </w:tc>
        <w:tc>
          <w:tcPr>
            <w:tcW w:w="457" w:type="pct"/>
            <w:shd w:val="clear" w:color="auto" w:fill="auto"/>
            <w:vAlign w:val="center"/>
          </w:tcPr>
          <w:p w14:paraId="36368D77">
            <w:pPr>
              <w:pStyle w:val="45"/>
              <w:rPr>
                <w:rFonts w:hint="default"/>
              </w:rPr>
            </w:pPr>
            <w:r>
              <w:rPr>
                <w:rFonts w:hint="default"/>
              </w:rPr>
              <w:t>ND</w:t>
            </w:r>
          </w:p>
        </w:tc>
        <w:tc>
          <w:tcPr>
            <w:tcW w:w="406" w:type="pct"/>
            <w:shd w:val="clear" w:color="auto" w:fill="auto"/>
            <w:vAlign w:val="center"/>
          </w:tcPr>
          <w:p w14:paraId="14838A48">
            <w:pPr>
              <w:pStyle w:val="45"/>
              <w:rPr>
                <w:rFonts w:hint="default"/>
              </w:rPr>
            </w:pPr>
            <w:r>
              <w:rPr>
                <w:rFonts w:hint="default"/>
              </w:rPr>
              <w:t xml:space="preserve">0.0267 </w:t>
            </w:r>
          </w:p>
        </w:tc>
        <w:tc>
          <w:tcPr>
            <w:tcW w:w="457" w:type="pct"/>
            <w:shd w:val="clear" w:color="auto" w:fill="auto"/>
            <w:vAlign w:val="center"/>
          </w:tcPr>
          <w:p w14:paraId="5C2550C4">
            <w:pPr>
              <w:pStyle w:val="45"/>
              <w:rPr>
                <w:rFonts w:hint="default"/>
              </w:rPr>
            </w:pPr>
            <w:r>
              <w:rPr>
                <w:rFonts w:hint="default"/>
              </w:rPr>
              <w:t xml:space="preserve">0.00016 </w:t>
            </w:r>
          </w:p>
        </w:tc>
        <w:tc>
          <w:tcPr>
            <w:tcW w:w="643" w:type="pct"/>
            <w:shd w:val="clear" w:color="auto" w:fill="auto"/>
            <w:vAlign w:val="center"/>
          </w:tcPr>
          <w:p w14:paraId="6BF155A0">
            <w:pPr>
              <w:pStyle w:val="45"/>
              <w:rPr>
                <w:rFonts w:hint="default"/>
              </w:rPr>
            </w:pPr>
            <w:r>
              <w:rPr>
                <w:rFonts w:hint="default"/>
              </w:rPr>
              <w:t xml:space="preserve">0.015 </w:t>
            </w:r>
          </w:p>
        </w:tc>
      </w:tr>
      <w:tr w14:paraId="3DA2C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55" w:type="pct"/>
            <w:vMerge w:val="continue"/>
            <w:shd w:val="clear" w:color="auto" w:fill="auto"/>
            <w:vAlign w:val="center"/>
          </w:tcPr>
          <w:p w14:paraId="45CB7728">
            <w:pPr>
              <w:pStyle w:val="45"/>
              <w:rPr>
                <w:rFonts w:hint="default"/>
              </w:rPr>
            </w:pPr>
          </w:p>
        </w:tc>
        <w:tc>
          <w:tcPr>
            <w:tcW w:w="532" w:type="pct"/>
            <w:shd w:val="clear" w:color="auto" w:fill="auto"/>
            <w:vAlign w:val="center"/>
          </w:tcPr>
          <w:p w14:paraId="7F7FB690">
            <w:pPr>
              <w:pStyle w:val="45"/>
              <w:rPr>
                <w:rFonts w:hint="default"/>
              </w:rPr>
            </w:pPr>
            <w:r>
              <w:rPr>
                <w:rFonts w:hint="default"/>
              </w:rPr>
              <w:t>2023.8.29</w:t>
            </w:r>
          </w:p>
        </w:tc>
        <w:tc>
          <w:tcPr>
            <w:tcW w:w="713" w:type="pct"/>
            <w:shd w:val="clear" w:color="auto" w:fill="auto"/>
            <w:vAlign w:val="center"/>
          </w:tcPr>
          <w:p w14:paraId="3075F5DC">
            <w:pPr>
              <w:pStyle w:val="45"/>
              <w:rPr>
                <w:rFonts w:hint="default"/>
              </w:rPr>
            </w:pPr>
            <w:r>
              <w:rPr>
                <w:rFonts w:hint="default"/>
              </w:rPr>
              <w:t>14218DBS2-3</w:t>
            </w:r>
          </w:p>
        </w:tc>
        <w:tc>
          <w:tcPr>
            <w:tcW w:w="617" w:type="pct"/>
            <w:shd w:val="clear" w:color="auto" w:fill="auto"/>
            <w:vAlign w:val="center"/>
          </w:tcPr>
          <w:p w14:paraId="4468584F">
            <w:pPr>
              <w:pStyle w:val="45"/>
              <w:rPr>
                <w:rFonts w:hint="default"/>
              </w:rPr>
            </w:pPr>
            <w:r>
              <w:rPr>
                <w:rFonts w:hint="default"/>
              </w:rPr>
              <w:t xml:space="preserve">20.9 </w:t>
            </w:r>
          </w:p>
        </w:tc>
        <w:tc>
          <w:tcPr>
            <w:tcW w:w="617" w:type="pct"/>
            <w:shd w:val="clear" w:color="auto" w:fill="auto"/>
            <w:noWrap/>
            <w:vAlign w:val="center"/>
          </w:tcPr>
          <w:p w14:paraId="7CBDAEB2">
            <w:pPr>
              <w:pStyle w:val="45"/>
              <w:rPr>
                <w:rFonts w:hint="default"/>
              </w:rPr>
            </w:pPr>
            <w:r>
              <w:rPr>
                <w:rFonts w:hint="default"/>
              </w:rPr>
              <w:t xml:space="preserve">14.7 </w:t>
            </w:r>
          </w:p>
        </w:tc>
        <w:tc>
          <w:tcPr>
            <w:tcW w:w="457" w:type="pct"/>
            <w:shd w:val="clear" w:color="auto" w:fill="auto"/>
            <w:vAlign w:val="center"/>
          </w:tcPr>
          <w:p w14:paraId="4B2C931B">
            <w:pPr>
              <w:pStyle w:val="45"/>
              <w:rPr>
                <w:rFonts w:hint="default"/>
              </w:rPr>
            </w:pPr>
            <w:r>
              <w:rPr>
                <w:rFonts w:hint="default"/>
              </w:rPr>
              <w:t>ND</w:t>
            </w:r>
          </w:p>
        </w:tc>
        <w:tc>
          <w:tcPr>
            <w:tcW w:w="406" w:type="pct"/>
            <w:shd w:val="clear" w:color="auto" w:fill="auto"/>
            <w:vAlign w:val="center"/>
          </w:tcPr>
          <w:p w14:paraId="17520FCD">
            <w:pPr>
              <w:pStyle w:val="45"/>
              <w:rPr>
                <w:rFonts w:hint="default"/>
              </w:rPr>
            </w:pPr>
            <w:r>
              <w:rPr>
                <w:rFonts w:hint="default"/>
              </w:rPr>
              <w:t xml:space="preserve">0.0269 </w:t>
            </w:r>
          </w:p>
        </w:tc>
        <w:tc>
          <w:tcPr>
            <w:tcW w:w="457" w:type="pct"/>
            <w:shd w:val="clear" w:color="auto" w:fill="auto"/>
            <w:vAlign w:val="center"/>
          </w:tcPr>
          <w:p w14:paraId="1A26360F">
            <w:pPr>
              <w:pStyle w:val="45"/>
              <w:rPr>
                <w:rFonts w:hint="default"/>
              </w:rPr>
            </w:pPr>
            <w:r>
              <w:rPr>
                <w:rFonts w:hint="default"/>
              </w:rPr>
              <w:t xml:space="preserve">0.00018 </w:t>
            </w:r>
          </w:p>
        </w:tc>
        <w:tc>
          <w:tcPr>
            <w:tcW w:w="643" w:type="pct"/>
            <w:shd w:val="clear" w:color="auto" w:fill="auto"/>
            <w:vAlign w:val="center"/>
          </w:tcPr>
          <w:p w14:paraId="0DA0A1CD">
            <w:pPr>
              <w:pStyle w:val="45"/>
              <w:rPr>
                <w:rFonts w:hint="default"/>
              </w:rPr>
            </w:pPr>
            <w:r>
              <w:rPr>
                <w:rFonts w:hint="default"/>
              </w:rPr>
              <w:t xml:space="preserve">0.020 </w:t>
            </w:r>
          </w:p>
        </w:tc>
      </w:tr>
      <w:tr w14:paraId="7E7FA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55" w:type="pct"/>
            <w:vMerge w:val="restart"/>
            <w:shd w:val="clear" w:color="auto" w:fill="auto"/>
            <w:vAlign w:val="center"/>
          </w:tcPr>
          <w:p w14:paraId="71149397">
            <w:pPr>
              <w:pStyle w:val="45"/>
              <w:rPr>
                <w:rFonts w:hint="default"/>
              </w:rPr>
            </w:pPr>
            <w:r>
              <w:t>松木污水处理厂排口下游3000mW3</w:t>
            </w:r>
          </w:p>
        </w:tc>
        <w:tc>
          <w:tcPr>
            <w:tcW w:w="532" w:type="pct"/>
            <w:shd w:val="clear" w:color="auto" w:fill="auto"/>
            <w:vAlign w:val="center"/>
          </w:tcPr>
          <w:p w14:paraId="2A42BDB4">
            <w:pPr>
              <w:pStyle w:val="45"/>
              <w:rPr>
                <w:rFonts w:hint="default"/>
              </w:rPr>
            </w:pPr>
            <w:r>
              <w:rPr>
                <w:rFonts w:hint="default"/>
              </w:rPr>
              <w:t>2023.8.27</w:t>
            </w:r>
          </w:p>
        </w:tc>
        <w:tc>
          <w:tcPr>
            <w:tcW w:w="713" w:type="pct"/>
            <w:shd w:val="clear" w:color="auto" w:fill="auto"/>
            <w:vAlign w:val="center"/>
          </w:tcPr>
          <w:p w14:paraId="3BBB3496">
            <w:pPr>
              <w:pStyle w:val="45"/>
              <w:rPr>
                <w:rFonts w:hint="default"/>
              </w:rPr>
            </w:pPr>
            <w:r>
              <w:rPr>
                <w:rFonts w:hint="default"/>
              </w:rPr>
              <w:t>14218DBS3-1</w:t>
            </w:r>
          </w:p>
        </w:tc>
        <w:tc>
          <w:tcPr>
            <w:tcW w:w="617" w:type="pct"/>
            <w:shd w:val="clear" w:color="auto" w:fill="auto"/>
            <w:vAlign w:val="center"/>
          </w:tcPr>
          <w:p w14:paraId="66392537">
            <w:pPr>
              <w:pStyle w:val="45"/>
              <w:rPr>
                <w:rFonts w:hint="default"/>
              </w:rPr>
            </w:pPr>
            <w:r>
              <w:rPr>
                <w:rFonts w:hint="default"/>
              </w:rPr>
              <w:t xml:space="preserve">20.9 </w:t>
            </w:r>
          </w:p>
        </w:tc>
        <w:tc>
          <w:tcPr>
            <w:tcW w:w="617" w:type="pct"/>
            <w:shd w:val="clear" w:color="auto" w:fill="auto"/>
            <w:noWrap/>
            <w:vAlign w:val="center"/>
          </w:tcPr>
          <w:p w14:paraId="2C13D968">
            <w:pPr>
              <w:pStyle w:val="45"/>
              <w:rPr>
                <w:rFonts w:hint="default"/>
              </w:rPr>
            </w:pPr>
            <w:r>
              <w:rPr>
                <w:rFonts w:hint="default"/>
              </w:rPr>
              <w:t xml:space="preserve">9.0 </w:t>
            </w:r>
          </w:p>
        </w:tc>
        <w:tc>
          <w:tcPr>
            <w:tcW w:w="457" w:type="pct"/>
            <w:shd w:val="clear" w:color="auto" w:fill="auto"/>
            <w:vAlign w:val="center"/>
          </w:tcPr>
          <w:p w14:paraId="560042C2">
            <w:pPr>
              <w:pStyle w:val="45"/>
              <w:rPr>
                <w:rFonts w:hint="default"/>
              </w:rPr>
            </w:pPr>
            <w:r>
              <w:rPr>
                <w:rFonts w:hint="default"/>
              </w:rPr>
              <w:t>ND</w:t>
            </w:r>
          </w:p>
        </w:tc>
        <w:tc>
          <w:tcPr>
            <w:tcW w:w="406" w:type="pct"/>
            <w:shd w:val="clear" w:color="auto" w:fill="auto"/>
            <w:vAlign w:val="center"/>
          </w:tcPr>
          <w:p w14:paraId="280B889F">
            <w:pPr>
              <w:pStyle w:val="45"/>
              <w:rPr>
                <w:rFonts w:hint="default"/>
              </w:rPr>
            </w:pPr>
            <w:r>
              <w:rPr>
                <w:rFonts w:hint="default"/>
              </w:rPr>
              <w:t xml:space="preserve">0.0263 </w:t>
            </w:r>
          </w:p>
        </w:tc>
        <w:tc>
          <w:tcPr>
            <w:tcW w:w="457" w:type="pct"/>
            <w:shd w:val="clear" w:color="auto" w:fill="auto"/>
            <w:vAlign w:val="center"/>
          </w:tcPr>
          <w:p w14:paraId="2133AD7C">
            <w:pPr>
              <w:pStyle w:val="45"/>
              <w:rPr>
                <w:rFonts w:hint="default"/>
              </w:rPr>
            </w:pPr>
            <w:r>
              <w:rPr>
                <w:rFonts w:hint="default"/>
              </w:rPr>
              <w:t xml:space="preserve">0.00018 </w:t>
            </w:r>
          </w:p>
        </w:tc>
        <w:tc>
          <w:tcPr>
            <w:tcW w:w="643" w:type="pct"/>
            <w:shd w:val="clear" w:color="auto" w:fill="auto"/>
            <w:vAlign w:val="center"/>
          </w:tcPr>
          <w:p w14:paraId="548E8185">
            <w:pPr>
              <w:pStyle w:val="45"/>
              <w:rPr>
                <w:rFonts w:hint="default"/>
              </w:rPr>
            </w:pPr>
            <w:r>
              <w:rPr>
                <w:rFonts w:hint="default"/>
              </w:rPr>
              <w:t xml:space="preserve">0.019 </w:t>
            </w:r>
          </w:p>
        </w:tc>
      </w:tr>
      <w:tr w14:paraId="61111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55" w:type="pct"/>
            <w:vMerge w:val="continue"/>
            <w:shd w:val="clear" w:color="auto" w:fill="auto"/>
            <w:vAlign w:val="center"/>
          </w:tcPr>
          <w:p w14:paraId="5895F513">
            <w:pPr>
              <w:pStyle w:val="45"/>
              <w:rPr>
                <w:rFonts w:hint="default"/>
              </w:rPr>
            </w:pPr>
          </w:p>
        </w:tc>
        <w:tc>
          <w:tcPr>
            <w:tcW w:w="532" w:type="pct"/>
            <w:shd w:val="clear" w:color="auto" w:fill="auto"/>
            <w:vAlign w:val="center"/>
          </w:tcPr>
          <w:p w14:paraId="58900FD9">
            <w:pPr>
              <w:pStyle w:val="45"/>
              <w:rPr>
                <w:rFonts w:hint="default"/>
              </w:rPr>
            </w:pPr>
            <w:r>
              <w:rPr>
                <w:rFonts w:hint="default"/>
              </w:rPr>
              <w:t>2023.8.28</w:t>
            </w:r>
          </w:p>
        </w:tc>
        <w:tc>
          <w:tcPr>
            <w:tcW w:w="713" w:type="pct"/>
            <w:shd w:val="clear" w:color="auto" w:fill="auto"/>
            <w:vAlign w:val="center"/>
          </w:tcPr>
          <w:p w14:paraId="2134CA7A">
            <w:pPr>
              <w:pStyle w:val="45"/>
              <w:rPr>
                <w:rFonts w:hint="default"/>
              </w:rPr>
            </w:pPr>
            <w:r>
              <w:rPr>
                <w:rFonts w:hint="default"/>
              </w:rPr>
              <w:t>14218DBS3-2</w:t>
            </w:r>
          </w:p>
        </w:tc>
        <w:tc>
          <w:tcPr>
            <w:tcW w:w="617" w:type="pct"/>
            <w:shd w:val="clear" w:color="auto" w:fill="auto"/>
            <w:vAlign w:val="center"/>
          </w:tcPr>
          <w:p w14:paraId="4EE4CB37">
            <w:pPr>
              <w:pStyle w:val="45"/>
              <w:rPr>
                <w:rFonts w:hint="default"/>
              </w:rPr>
            </w:pPr>
            <w:r>
              <w:rPr>
                <w:rFonts w:hint="default"/>
              </w:rPr>
              <w:t xml:space="preserve">20.8 </w:t>
            </w:r>
          </w:p>
        </w:tc>
        <w:tc>
          <w:tcPr>
            <w:tcW w:w="617" w:type="pct"/>
            <w:shd w:val="clear" w:color="auto" w:fill="auto"/>
            <w:noWrap/>
            <w:vAlign w:val="center"/>
          </w:tcPr>
          <w:p w14:paraId="7EC2BC3E">
            <w:pPr>
              <w:pStyle w:val="45"/>
              <w:rPr>
                <w:rFonts w:hint="default"/>
              </w:rPr>
            </w:pPr>
            <w:r>
              <w:rPr>
                <w:rFonts w:hint="default"/>
              </w:rPr>
              <w:t xml:space="preserve">9.3 </w:t>
            </w:r>
          </w:p>
        </w:tc>
        <w:tc>
          <w:tcPr>
            <w:tcW w:w="457" w:type="pct"/>
            <w:shd w:val="clear" w:color="auto" w:fill="auto"/>
            <w:vAlign w:val="center"/>
          </w:tcPr>
          <w:p w14:paraId="25E529B6">
            <w:pPr>
              <w:pStyle w:val="45"/>
              <w:rPr>
                <w:rFonts w:hint="default"/>
              </w:rPr>
            </w:pPr>
            <w:r>
              <w:rPr>
                <w:rFonts w:hint="default"/>
              </w:rPr>
              <w:t>ND</w:t>
            </w:r>
          </w:p>
        </w:tc>
        <w:tc>
          <w:tcPr>
            <w:tcW w:w="406" w:type="pct"/>
            <w:shd w:val="clear" w:color="auto" w:fill="auto"/>
            <w:vAlign w:val="center"/>
          </w:tcPr>
          <w:p w14:paraId="6B292990">
            <w:pPr>
              <w:pStyle w:val="45"/>
              <w:rPr>
                <w:rFonts w:hint="default"/>
              </w:rPr>
            </w:pPr>
            <w:r>
              <w:rPr>
                <w:rFonts w:hint="default"/>
              </w:rPr>
              <w:t xml:space="preserve">0.0258 </w:t>
            </w:r>
          </w:p>
        </w:tc>
        <w:tc>
          <w:tcPr>
            <w:tcW w:w="457" w:type="pct"/>
            <w:shd w:val="clear" w:color="auto" w:fill="auto"/>
            <w:vAlign w:val="center"/>
          </w:tcPr>
          <w:p w14:paraId="7412D3BE">
            <w:pPr>
              <w:pStyle w:val="45"/>
              <w:rPr>
                <w:rFonts w:hint="default"/>
              </w:rPr>
            </w:pPr>
            <w:r>
              <w:rPr>
                <w:rFonts w:hint="default"/>
              </w:rPr>
              <w:t xml:space="preserve">0.00016 </w:t>
            </w:r>
          </w:p>
        </w:tc>
        <w:tc>
          <w:tcPr>
            <w:tcW w:w="643" w:type="pct"/>
            <w:shd w:val="clear" w:color="auto" w:fill="auto"/>
            <w:vAlign w:val="center"/>
          </w:tcPr>
          <w:p w14:paraId="4C4A18DD">
            <w:pPr>
              <w:pStyle w:val="45"/>
              <w:rPr>
                <w:rFonts w:hint="default"/>
              </w:rPr>
            </w:pPr>
            <w:r>
              <w:rPr>
                <w:rFonts w:hint="default"/>
              </w:rPr>
              <w:t xml:space="preserve">0.017 </w:t>
            </w:r>
          </w:p>
        </w:tc>
      </w:tr>
      <w:tr w14:paraId="6AE07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55" w:type="pct"/>
            <w:vMerge w:val="continue"/>
            <w:shd w:val="clear" w:color="auto" w:fill="auto"/>
            <w:vAlign w:val="center"/>
          </w:tcPr>
          <w:p w14:paraId="5A9804EB">
            <w:pPr>
              <w:pStyle w:val="45"/>
              <w:rPr>
                <w:rFonts w:hint="default"/>
              </w:rPr>
            </w:pPr>
          </w:p>
        </w:tc>
        <w:tc>
          <w:tcPr>
            <w:tcW w:w="532" w:type="pct"/>
            <w:shd w:val="clear" w:color="auto" w:fill="auto"/>
            <w:vAlign w:val="center"/>
          </w:tcPr>
          <w:p w14:paraId="552C437A">
            <w:pPr>
              <w:pStyle w:val="45"/>
              <w:rPr>
                <w:rFonts w:hint="default"/>
              </w:rPr>
            </w:pPr>
            <w:r>
              <w:rPr>
                <w:rFonts w:hint="default"/>
              </w:rPr>
              <w:t>2023.8.29</w:t>
            </w:r>
          </w:p>
        </w:tc>
        <w:tc>
          <w:tcPr>
            <w:tcW w:w="713" w:type="pct"/>
            <w:shd w:val="clear" w:color="auto" w:fill="auto"/>
            <w:vAlign w:val="center"/>
          </w:tcPr>
          <w:p w14:paraId="4AFB3486">
            <w:pPr>
              <w:pStyle w:val="45"/>
              <w:rPr>
                <w:rFonts w:hint="default"/>
              </w:rPr>
            </w:pPr>
            <w:r>
              <w:rPr>
                <w:rFonts w:hint="default"/>
              </w:rPr>
              <w:t>14218DBS3-3</w:t>
            </w:r>
          </w:p>
        </w:tc>
        <w:tc>
          <w:tcPr>
            <w:tcW w:w="617" w:type="pct"/>
            <w:shd w:val="clear" w:color="auto" w:fill="auto"/>
            <w:vAlign w:val="center"/>
          </w:tcPr>
          <w:p w14:paraId="6CB13A83">
            <w:pPr>
              <w:pStyle w:val="45"/>
              <w:rPr>
                <w:rFonts w:hint="default"/>
              </w:rPr>
            </w:pPr>
            <w:r>
              <w:rPr>
                <w:rFonts w:hint="default"/>
              </w:rPr>
              <w:t xml:space="preserve">21.0 </w:t>
            </w:r>
          </w:p>
        </w:tc>
        <w:tc>
          <w:tcPr>
            <w:tcW w:w="617" w:type="pct"/>
            <w:shd w:val="clear" w:color="auto" w:fill="auto"/>
            <w:noWrap/>
            <w:vAlign w:val="center"/>
          </w:tcPr>
          <w:p w14:paraId="7AA2EBA9">
            <w:pPr>
              <w:pStyle w:val="45"/>
              <w:rPr>
                <w:rFonts w:hint="default"/>
              </w:rPr>
            </w:pPr>
            <w:r>
              <w:rPr>
                <w:rFonts w:hint="default"/>
              </w:rPr>
              <w:t xml:space="preserve">9.0 </w:t>
            </w:r>
          </w:p>
        </w:tc>
        <w:tc>
          <w:tcPr>
            <w:tcW w:w="457" w:type="pct"/>
            <w:shd w:val="clear" w:color="auto" w:fill="auto"/>
            <w:vAlign w:val="center"/>
          </w:tcPr>
          <w:p w14:paraId="3D28DDD4">
            <w:pPr>
              <w:pStyle w:val="45"/>
              <w:rPr>
                <w:rFonts w:hint="default"/>
              </w:rPr>
            </w:pPr>
            <w:r>
              <w:rPr>
                <w:rFonts w:hint="default"/>
              </w:rPr>
              <w:t>ND</w:t>
            </w:r>
          </w:p>
        </w:tc>
        <w:tc>
          <w:tcPr>
            <w:tcW w:w="406" w:type="pct"/>
            <w:shd w:val="clear" w:color="auto" w:fill="auto"/>
            <w:vAlign w:val="center"/>
          </w:tcPr>
          <w:p w14:paraId="744F62DB">
            <w:pPr>
              <w:pStyle w:val="45"/>
              <w:rPr>
                <w:rFonts w:hint="default"/>
              </w:rPr>
            </w:pPr>
            <w:r>
              <w:rPr>
                <w:rFonts w:hint="default"/>
              </w:rPr>
              <w:t xml:space="preserve">0.0266 </w:t>
            </w:r>
          </w:p>
        </w:tc>
        <w:tc>
          <w:tcPr>
            <w:tcW w:w="457" w:type="pct"/>
            <w:shd w:val="clear" w:color="auto" w:fill="auto"/>
            <w:vAlign w:val="center"/>
          </w:tcPr>
          <w:p w14:paraId="790E7920">
            <w:pPr>
              <w:pStyle w:val="45"/>
              <w:rPr>
                <w:rFonts w:hint="default"/>
              </w:rPr>
            </w:pPr>
            <w:r>
              <w:rPr>
                <w:rFonts w:hint="default"/>
              </w:rPr>
              <w:t xml:space="preserve">0.00020 </w:t>
            </w:r>
          </w:p>
        </w:tc>
        <w:tc>
          <w:tcPr>
            <w:tcW w:w="643" w:type="pct"/>
            <w:shd w:val="clear" w:color="auto" w:fill="auto"/>
            <w:vAlign w:val="center"/>
          </w:tcPr>
          <w:p w14:paraId="06378E25">
            <w:pPr>
              <w:pStyle w:val="45"/>
              <w:rPr>
                <w:rFonts w:hint="default"/>
              </w:rPr>
            </w:pPr>
            <w:r>
              <w:rPr>
                <w:rFonts w:hint="default"/>
              </w:rPr>
              <w:t xml:space="preserve">0.015 </w:t>
            </w:r>
          </w:p>
        </w:tc>
      </w:tr>
      <w:tr w14:paraId="3417D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55" w:type="pct"/>
            <w:vMerge w:val="restart"/>
            <w:shd w:val="clear" w:color="auto" w:fill="auto"/>
            <w:vAlign w:val="center"/>
          </w:tcPr>
          <w:p w14:paraId="4B2B194E">
            <w:pPr>
              <w:pStyle w:val="45"/>
              <w:rPr>
                <w:rFonts w:hint="default"/>
              </w:rPr>
            </w:pPr>
            <w:r>
              <w:t>资家港W4</w:t>
            </w:r>
          </w:p>
        </w:tc>
        <w:tc>
          <w:tcPr>
            <w:tcW w:w="532" w:type="pct"/>
            <w:shd w:val="clear" w:color="auto" w:fill="auto"/>
            <w:vAlign w:val="center"/>
          </w:tcPr>
          <w:p w14:paraId="3E1835BF">
            <w:pPr>
              <w:pStyle w:val="45"/>
              <w:rPr>
                <w:rFonts w:hint="default"/>
              </w:rPr>
            </w:pPr>
            <w:r>
              <w:rPr>
                <w:rFonts w:hint="default"/>
              </w:rPr>
              <w:t>2023.8.27</w:t>
            </w:r>
          </w:p>
        </w:tc>
        <w:tc>
          <w:tcPr>
            <w:tcW w:w="713" w:type="pct"/>
            <w:shd w:val="clear" w:color="auto" w:fill="auto"/>
            <w:vAlign w:val="center"/>
          </w:tcPr>
          <w:p w14:paraId="0D8D4102">
            <w:pPr>
              <w:pStyle w:val="45"/>
              <w:rPr>
                <w:rFonts w:hint="default"/>
              </w:rPr>
            </w:pPr>
            <w:r>
              <w:rPr>
                <w:rFonts w:hint="default"/>
              </w:rPr>
              <w:t>14218DBS4-1</w:t>
            </w:r>
          </w:p>
        </w:tc>
        <w:tc>
          <w:tcPr>
            <w:tcW w:w="617" w:type="pct"/>
            <w:shd w:val="clear" w:color="auto" w:fill="auto"/>
            <w:vAlign w:val="center"/>
          </w:tcPr>
          <w:p w14:paraId="4A3C1878">
            <w:pPr>
              <w:pStyle w:val="45"/>
              <w:rPr>
                <w:rFonts w:hint="default"/>
              </w:rPr>
            </w:pPr>
            <w:r>
              <w:rPr>
                <w:rFonts w:hint="default"/>
              </w:rPr>
              <w:t xml:space="preserve">21.5 </w:t>
            </w:r>
          </w:p>
        </w:tc>
        <w:tc>
          <w:tcPr>
            <w:tcW w:w="617" w:type="pct"/>
            <w:shd w:val="clear" w:color="auto" w:fill="auto"/>
            <w:noWrap/>
            <w:vAlign w:val="center"/>
          </w:tcPr>
          <w:p w14:paraId="1A743A43">
            <w:pPr>
              <w:pStyle w:val="45"/>
              <w:rPr>
                <w:rFonts w:hint="default"/>
              </w:rPr>
            </w:pPr>
            <w:r>
              <w:rPr>
                <w:rFonts w:hint="default"/>
              </w:rPr>
              <w:t xml:space="preserve">32.9 </w:t>
            </w:r>
          </w:p>
        </w:tc>
        <w:tc>
          <w:tcPr>
            <w:tcW w:w="457" w:type="pct"/>
            <w:shd w:val="clear" w:color="auto" w:fill="auto"/>
            <w:vAlign w:val="center"/>
          </w:tcPr>
          <w:p w14:paraId="22A1788F">
            <w:pPr>
              <w:pStyle w:val="45"/>
              <w:rPr>
                <w:rFonts w:hint="default"/>
              </w:rPr>
            </w:pPr>
            <w:r>
              <w:rPr>
                <w:rFonts w:hint="default"/>
              </w:rPr>
              <w:t>ND</w:t>
            </w:r>
          </w:p>
        </w:tc>
        <w:tc>
          <w:tcPr>
            <w:tcW w:w="406" w:type="pct"/>
            <w:shd w:val="clear" w:color="auto" w:fill="auto"/>
            <w:vAlign w:val="center"/>
          </w:tcPr>
          <w:p w14:paraId="39966292">
            <w:pPr>
              <w:pStyle w:val="45"/>
              <w:rPr>
                <w:rFonts w:hint="default"/>
              </w:rPr>
            </w:pPr>
            <w:r>
              <w:rPr>
                <w:rFonts w:hint="default"/>
              </w:rPr>
              <w:t xml:space="preserve">0.0552 </w:t>
            </w:r>
          </w:p>
        </w:tc>
        <w:tc>
          <w:tcPr>
            <w:tcW w:w="457" w:type="pct"/>
            <w:shd w:val="clear" w:color="auto" w:fill="auto"/>
            <w:vAlign w:val="center"/>
          </w:tcPr>
          <w:p w14:paraId="7DC28005">
            <w:pPr>
              <w:pStyle w:val="45"/>
              <w:rPr>
                <w:rFonts w:hint="default"/>
              </w:rPr>
            </w:pPr>
            <w:r>
              <w:rPr>
                <w:rFonts w:hint="default"/>
              </w:rPr>
              <w:t xml:space="preserve">0.00032 </w:t>
            </w:r>
          </w:p>
        </w:tc>
        <w:tc>
          <w:tcPr>
            <w:tcW w:w="643" w:type="pct"/>
            <w:shd w:val="clear" w:color="auto" w:fill="auto"/>
            <w:vAlign w:val="center"/>
          </w:tcPr>
          <w:p w14:paraId="59355CC4">
            <w:pPr>
              <w:pStyle w:val="45"/>
              <w:rPr>
                <w:rFonts w:hint="default"/>
              </w:rPr>
            </w:pPr>
            <w:r>
              <w:rPr>
                <w:rFonts w:hint="default"/>
              </w:rPr>
              <w:t xml:space="preserve">0.016 </w:t>
            </w:r>
          </w:p>
        </w:tc>
      </w:tr>
      <w:tr w14:paraId="40E14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55" w:type="pct"/>
            <w:vMerge w:val="continue"/>
            <w:shd w:val="clear" w:color="auto" w:fill="auto"/>
            <w:vAlign w:val="center"/>
          </w:tcPr>
          <w:p w14:paraId="64563805">
            <w:pPr>
              <w:pStyle w:val="45"/>
              <w:rPr>
                <w:rFonts w:hint="default"/>
              </w:rPr>
            </w:pPr>
          </w:p>
        </w:tc>
        <w:tc>
          <w:tcPr>
            <w:tcW w:w="532" w:type="pct"/>
            <w:shd w:val="clear" w:color="auto" w:fill="auto"/>
            <w:vAlign w:val="center"/>
          </w:tcPr>
          <w:p w14:paraId="7095E761">
            <w:pPr>
              <w:pStyle w:val="45"/>
              <w:rPr>
                <w:rFonts w:hint="default"/>
              </w:rPr>
            </w:pPr>
            <w:r>
              <w:rPr>
                <w:rFonts w:hint="default"/>
              </w:rPr>
              <w:t>2023.8.28</w:t>
            </w:r>
          </w:p>
        </w:tc>
        <w:tc>
          <w:tcPr>
            <w:tcW w:w="713" w:type="pct"/>
            <w:shd w:val="clear" w:color="auto" w:fill="auto"/>
            <w:vAlign w:val="center"/>
          </w:tcPr>
          <w:p w14:paraId="6C96AFA2">
            <w:pPr>
              <w:pStyle w:val="45"/>
              <w:rPr>
                <w:rFonts w:hint="default"/>
              </w:rPr>
            </w:pPr>
            <w:r>
              <w:rPr>
                <w:rFonts w:hint="default"/>
              </w:rPr>
              <w:t>14218DBS4-2</w:t>
            </w:r>
          </w:p>
        </w:tc>
        <w:tc>
          <w:tcPr>
            <w:tcW w:w="617" w:type="pct"/>
            <w:shd w:val="clear" w:color="auto" w:fill="auto"/>
            <w:vAlign w:val="center"/>
          </w:tcPr>
          <w:p w14:paraId="491EA3CF">
            <w:pPr>
              <w:pStyle w:val="45"/>
              <w:rPr>
                <w:rFonts w:hint="default"/>
              </w:rPr>
            </w:pPr>
            <w:r>
              <w:rPr>
                <w:rFonts w:hint="default"/>
              </w:rPr>
              <w:t xml:space="preserve">20.1 </w:t>
            </w:r>
          </w:p>
        </w:tc>
        <w:tc>
          <w:tcPr>
            <w:tcW w:w="617" w:type="pct"/>
            <w:shd w:val="clear" w:color="auto" w:fill="auto"/>
            <w:noWrap/>
            <w:vAlign w:val="center"/>
          </w:tcPr>
          <w:p w14:paraId="188B8EA3">
            <w:pPr>
              <w:pStyle w:val="45"/>
              <w:rPr>
                <w:rFonts w:hint="default"/>
              </w:rPr>
            </w:pPr>
            <w:r>
              <w:rPr>
                <w:rFonts w:hint="default"/>
              </w:rPr>
              <w:t xml:space="preserve">33.4 </w:t>
            </w:r>
          </w:p>
        </w:tc>
        <w:tc>
          <w:tcPr>
            <w:tcW w:w="457" w:type="pct"/>
            <w:shd w:val="clear" w:color="auto" w:fill="auto"/>
            <w:vAlign w:val="center"/>
          </w:tcPr>
          <w:p w14:paraId="111071CC">
            <w:pPr>
              <w:pStyle w:val="45"/>
              <w:rPr>
                <w:rFonts w:hint="default"/>
              </w:rPr>
            </w:pPr>
            <w:r>
              <w:rPr>
                <w:rFonts w:hint="default"/>
              </w:rPr>
              <w:t>ND</w:t>
            </w:r>
          </w:p>
        </w:tc>
        <w:tc>
          <w:tcPr>
            <w:tcW w:w="406" w:type="pct"/>
            <w:shd w:val="clear" w:color="auto" w:fill="auto"/>
            <w:vAlign w:val="center"/>
          </w:tcPr>
          <w:p w14:paraId="379FBF72">
            <w:pPr>
              <w:pStyle w:val="45"/>
              <w:rPr>
                <w:rFonts w:hint="default"/>
              </w:rPr>
            </w:pPr>
            <w:r>
              <w:rPr>
                <w:rFonts w:hint="default"/>
              </w:rPr>
              <w:t xml:space="preserve">0.0547 </w:t>
            </w:r>
          </w:p>
        </w:tc>
        <w:tc>
          <w:tcPr>
            <w:tcW w:w="457" w:type="pct"/>
            <w:shd w:val="clear" w:color="auto" w:fill="auto"/>
            <w:vAlign w:val="center"/>
          </w:tcPr>
          <w:p w14:paraId="79F2F2B2">
            <w:pPr>
              <w:pStyle w:val="45"/>
              <w:rPr>
                <w:rFonts w:hint="default"/>
              </w:rPr>
            </w:pPr>
            <w:r>
              <w:rPr>
                <w:rFonts w:hint="default"/>
              </w:rPr>
              <w:t xml:space="preserve">0.00032 </w:t>
            </w:r>
          </w:p>
        </w:tc>
        <w:tc>
          <w:tcPr>
            <w:tcW w:w="643" w:type="pct"/>
            <w:shd w:val="clear" w:color="auto" w:fill="auto"/>
            <w:vAlign w:val="center"/>
          </w:tcPr>
          <w:p w14:paraId="70A8609C">
            <w:pPr>
              <w:pStyle w:val="45"/>
              <w:rPr>
                <w:rFonts w:hint="default"/>
              </w:rPr>
            </w:pPr>
            <w:r>
              <w:rPr>
                <w:rFonts w:hint="default"/>
              </w:rPr>
              <w:t xml:space="preserve">0.014 </w:t>
            </w:r>
          </w:p>
        </w:tc>
      </w:tr>
      <w:tr w14:paraId="10118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55" w:type="pct"/>
            <w:vMerge w:val="continue"/>
            <w:shd w:val="clear" w:color="auto" w:fill="auto"/>
            <w:vAlign w:val="center"/>
          </w:tcPr>
          <w:p w14:paraId="09C9B598">
            <w:pPr>
              <w:pStyle w:val="45"/>
              <w:rPr>
                <w:rFonts w:hint="default"/>
              </w:rPr>
            </w:pPr>
          </w:p>
        </w:tc>
        <w:tc>
          <w:tcPr>
            <w:tcW w:w="532" w:type="pct"/>
            <w:shd w:val="clear" w:color="auto" w:fill="auto"/>
            <w:vAlign w:val="center"/>
          </w:tcPr>
          <w:p w14:paraId="477EBA7D">
            <w:pPr>
              <w:pStyle w:val="45"/>
              <w:rPr>
                <w:rFonts w:hint="default"/>
              </w:rPr>
            </w:pPr>
            <w:r>
              <w:rPr>
                <w:rFonts w:hint="default"/>
              </w:rPr>
              <w:t>2023.8.29</w:t>
            </w:r>
          </w:p>
        </w:tc>
        <w:tc>
          <w:tcPr>
            <w:tcW w:w="713" w:type="pct"/>
            <w:shd w:val="clear" w:color="auto" w:fill="auto"/>
            <w:vAlign w:val="center"/>
          </w:tcPr>
          <w:p w14:paraId="739AC0A3">
            <w:pPr>
              <w:pStyle w:val="45"/>
              <w:rPr>
                <w:rFonts w:hint="default"/>
              </w:rPr>
            </w:pPr>
            <w:r>
              <w:rPr>
                <w:rFonts w:hint="default"/>
              </w:rPr>
              <w:t>14218DBS4-3</w:t>
            </w:r>
          </w:p>
        </w:tc>
        <w:tc>
          <w:tcPr>
            <w:tcW w:w="617" w:type="pct"/>
            <w:shd w:val="clear" w:color="auto" w:fill="auto"/>
            <w:vAlign w:val="center"/>
          </w:tcPr>
          <w:p w14:paraId="5670D5D6">
            <w:pPr>
              <w:pStyle w:val="45"/>
              <w:rPr>
                <w:rFonts w:hint="default"/>
              </w:rPr>
            </w:pPr>
            <w:r>
              <w:rPr>
                <w:rFonts w:hint="default"/>
              </w:rPr>
              <w:t xml:space="preserve">20.3 </w:t>
            </w:r>
          </w:p>
        </w:tc>
        <w:tc>
          <w:tcPr>
            <w:tcW w:w="617" w:type="pct"/>
            <w:shd w:val="clear" w:color="auto" w:fill="auto"/>
            <w:noWrap/>
            <w:vAlign w:val="center"/>
          </w:tcPr>
          <w:p w14:paraId="1E672C48">
            <w:pPr>
              <w:pStyle w:val="45"/>
              <w:rPr>
                <w:rFonts w:hint="default"/>
              </w:rPr>
            </w:pPr>
            <w:r>
              <w:rPr>
                <w:rFonts w:hint="default"/>
              </w:rPr>
              <w:t xml:space="preserve">33.2 </w:t>
            </w:r>
          </w:p>
        </w:tc>
        <w:tc>
          <w:tcPr>
            <w:tcW w:w="457" w:type="pct"/>
            <w:shd w:val="clear" w:color="auto" w:fill="auto"/>
            <w:vAlign w:val="center"/>
          </w:tcPr>
          <w:p w14:paraId="0DBF5096">
            <w:pPr>
              <w:pStyle w:val="45"/>
              <w:rPr>
                <w:rFonts w:hint="default"/>
              </w:rPr>
            </w:pPr>
            <w:r>
              <w:rPr>
                <w:rFonts w:hint="default"/>
              </w:rPr>
              <w:t xml:space="preserve">0.0001 </w:t>
            </w:r>
          </w:p>
        </w:tc>
        <w:tc>
          <w:tcPr>
            <w:tcW w:w="406" w:type="pct"/>
            <w:shd w:val="clear" w:color="auto" w:fill="auto"/>
            <w:vAlign w:val="center"/>
          </w:tcPr>
          <w:p w14:paraId="491EAE7C">
            <w:pPr>
              <w:pStyle w:val="45"/>
              <w:rPr>
                <w:rFonts w:hint="default"/>
              </w:rPr>
            </w:pPr>
            <w:r>
              <w:rPr>
                <w:rFonts w:hint="default"/>
              </w:rPr>
              <w:t xml:space="preserve">0.0561 </w:t>
            </w:r>
          </w:p>
        </w:tc>
        <w:tc>
          <w:tcPr>
            <w:tcW w:w="457" w:type="pct"/>
            <w:shd w:val="clear" w:color="auto" w:fill="auto"/>
            <w:vAlign w:val="center"/>
          </w:tcPr>
          <w:p w14:paraId="34E85A6A">
            <w:pPr>
              <w:pStyle w:val="45"/>
              <w:rPr>
                <w:rFonts w:hint="default"/>
              </w:rPr>
            </w:pPr>
            <w:r>
              <w:rPr>
                <w:rFonts w:hint="default"/>
              </w:rPr>
              <w:t xml:space="preserve">0.00028 </w:t>
            </w:r>
          </w:p>
        </w:tc>
        <w:tc>
          <w:tcPr>
            <w:tcW w:w="643" w:type="pct"/>
            <w:shd w:val="clear" w:color="auto" w:fill="auto"/>
            <w:vAlign w:val="center"/>
          </w:tcPr>
          <w:p w14:paraId="55EAEAD6">
            <w:pPr>
              <w:pStyle w:val="45"/>
              <w:rPr>
                <w:rFonts w:hint="default"/>
              </w:rPr>
            </w:pPr>
            <w:r>
              <w:rPr>
                <w:rFonts w:hint="default"/>
              </w:rPr>
              <w:t xml:space="preserve">0.018 </w:t>
            </w:r>
          </w:p>
        </w:tc>
      </w:tr>
      <w:tr w14:paraId="466A3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55" w:type="pct"/>
            <w:vMerge w:val="restart"/>
            <w:shd w:val="clear" w:color="auto" w:fill="auto"/>
            <w:vAlign w:val="center"/>
          </w:tcPr>
          <w:p w14:paraId="23963400">
            <w:pPr>
              <w:pStyle w:val="45"/>
              <w:rPr>
                <w:rFonts w:hint="default"/>
              </w:rPr>
            </w:pPr>
            <w:r>
              <w:t>金山水泥公司内部池塘W5</w:t>
            </w:r>
          </w:p>
        </w:tc>
        <w:tc>
          <w:tcPr>
            <w:tcW w:w="532" w:type="pct"/>
            <w:shd w:val="clear" w:color="auto" w:fill="auto"/>
            <w:vAlign w:val="center"/>
          </w:tcPr>
          <w:p w14:paraId="293939E7">
            <w:pPr>
              <w:pStyle w:val="45"/>
              <w:rPr>
                <w:rFonts w:hint="default"/>
              </w:rPr>
            </w:pPr>
            <w:r>
              <w:rPr>
                <w:rFonts w:hint="default"/>
              </w:rPr>
              <w:t>2023.8.27</w:t>
            </w:r>
          </w:p>
        </w:tc>
        <w:tc>
          <w:tcPr>
            <w:tcW w:w="713" w:type="pct"/>
            <w:shd w:val="clear" w:color="auto" w:fill="auto"/>
            <w:vAlign w:val="center"/>
          </w:tcPr>
          <w:p w14:paraId="065CE862">
            <w:pPr>
              <w:pStyle w:val="45"/>
              <w:rPr>
                <w:rFonts w:hint="default"/>
              </w:rPr>
            </w:pPr>
            <w:r>
              <w:rPr>
                <w:rFonts w:hint="default"/>
              </w:rPr>
              <w:t>14218DBS5-1</w:t>
            </w:r>
          </w:p>
        </w:tc>
        <w:tc>
          <w:tcPr>
            <w:tcW w:w="617" w:type="pct"/>
            <w:shd w:val="clear" w:color="auto" w:fill="auto"/>
            <w:vAlign w:val="center"/>
          </w:tcPr>
          <w:p w14:paraId="4E48A41C">
            <w:pPr>
              <w:pStyle w:val="45"/>
              <w:rPr>
                <w:rFonts w:hint="default"/>
              </w:rPr>
            </w:pPr>
            <w:r>
              <w:rPr>
                <w:rFonts w:hint="default"/>
              </w:rPr>
              <w:t xml:space="preserve">21.2 </w:t>
            </w:r>
          </w:p>
        </w:tc>
        <w:tc>
          <w:tcPr>
            <w:tcW w:w="617" w:type="pct"/>
            <w:shd w:val="clear" w:color="auto" w:fill="auto"/>
            <w:noWrap/>
            <w:vAlign w:val="center"/>
          </w:tcPr>
          <w:p w14:paraId="6F409F77">
            <w:pPr>
              <w:pStyle w:val="45"/>
              <w:rPr>
                <w:rFonts w:hint="default"/>
              </w:rPr>
            </w:pPr>
            <w:r>
              <w:rPr>
                <w:rFonts w:hint="default"/>
              </w:rPr>
              <w:t xml:space="preserve">39.1 </w:t>
            </w:r>
          </w:p>
        </w:tc>
        <w:tc>
          <w:tcPr>
            <w:tcW w:w="457" w:type="pct"/>
            <w:shd w:val="clear" w:color="auto" w:fill="auto"/>
            <w:vAlign w:val="center"/>
          </w:tcPr>
          <w:p w14:paraId="19061F51">
            <w:pPr>
              <w:pStyle w:val="45"/>
              <w:rPr>
                <w:rFonts w:hint="default"/>
              </w:rPr>
            </w:pPr>
            <w:r>
              <w:rPr>
                <w:rFonts w:hint="default"/>
              </w:rPr>
              <w:t>ND</w:t>
            </w:r>
          </w:p>
        </w:tc>
        <w:tc>
          <w:tcPr>
            <w:tcW w:w="406" w:type="pct"/>
            <w:shd w:val="clear" w:color="auto" w:fill="auto"/>
            <w:vAlign w:val="center"/>
          </w:tcPr>
          <w:p w14:paraId="245EFF5B">
            <w:pPr>
              <w:pStyle w:val="45"/>
              <w:rPr>
                <w:rFonts w:hint="default"/>
              </w:rPr>
            </w:pPr>
            <w:r>
              <w:rPr>
                <w:rFonts w:hint="default"/>
              </w:rPr>
              <w:t xml:space="preserve">0.106 </w:t>
            </w:r>
          </w:p>
        </w:tc>
        <w:tc>
          <w:tcPr>
            <w:tcW w:w="457" w:type="pct"/>
            <w:shd w:val="clear" w:color="auto" w:fill="auto"/>
            <w:vAlign w:val="center"/>
          </w:tcPr>
          <w:p w14:paraId="7A9F0132">
            <w:pPr>
              <w:pStyle w:val="45"/>
              <w:rPr>
                <w:rFonts w:hint="default"/>
              </w:rPr>
            </w:pPr>
            <w:r>
              <w:rPr>
                <w:rFonts w:hint="default"/>
              </w:rPr>
              <w:t xml:space="preserve">0.00026 </w:t>
            </w:r>
          </w:p>
        </w:tc>
        <w:tc>
          <w:tcPr>
            <w:tcW w:w="643" w:type="pct"/>
            <w:shd w:val="clear" w:color="auto" w:fill="auto"/>
            <w:vAlign w:val="center"/>
          </w:tcPr>
          <w:p w14:paraId="0D6AB4C2">
            <w:pPr>
              <w:pStyle w:val="45"/>
              <w:rPr>
                <w:rFonts w:hint="default"/>
              </w:rPr>
            </w:pPr>
            <w:r>
              <w:rPr>
                <w:rFonts w:hint="default"/>
              </w:rPr>
              <w:t xml:space="preserve">0.015 </w:t>
            </w:r>
          </w:p>
        </w:tc>
      </w:tr>
      <w:tr w14:paraId="2B3D9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55" w:type="pct"/>
            <w:vMerge w:val="continue"/>
            <w:shd w:val="clear" w:color="auto" w:fill="auto"/>
            <w:vAlign w:val="center"/>
          </w:tcPr>
          <w:p w14:paraId="7F7D069D">
            <w:pPr>
              <w:pStyle w:val="45"/>
              <w:rPr>
                <w:rFonts w:hint="default"/>
              </w:rPr>
            </w:pPr>
          </w:p>
        </w:tc>
        <w:tc>
          <w:tcPr>
            <w:tcW w:w="532" w:type="pct"/>
            <w:shd w:val="clear" w:color="auto" w:fill="auto"/>
            <w:vAlign w:val="center"/>
          </w:tcPr>
          <w:p w14:paraId="60126E20">
            <w:pPr>
              <w:pStyle w:val="45"/>
              <w:rPr>
                <w:rFonts w:hint="default"/>
              </w:rPr>
            </w:pPr>
            <w:r>
              <w:rPr>
                <w:rFonts w:hint="default"/>
              </w:rPr>
              <w:t>2023.8.28</w:t>
            </w:r>
          </w:p>
        </w:tc>
        <w:tc>
          <w:tcPr>
            <w:tcW w:w="713" w:type="pct"/>
            <w:shd w:val="clear" w:color="auto" w:fill="auto"/>
            <w:vAlign w:val="center"/>
          </w:tcPr>
          <w:p w14:paraId="0DB4014D">
            <w:pPr>
              <w:pStyle w:val="45"/>
              <w:rPr>
                <w:rFonts w:hint="default"/>
              </w:rPr>
            </w:pPr>
            <w:r>
              <w:rPr>
                <w:rFonts w:hint="default"/>
              </w:rPr>
              <w:t>14218DBS5-2</w:t>
            </w:r>
          </w:p>
        </w:tc>
        <w:tc>
          <w:tcPr>
            <w:tcW w:w="617" w:type="pct"/>
            <w:shd w:val="clear" w:color="auto" w:fill="auto"/>
            <w:vAlign w:val="center"/>
          </w:tcPr>
          <w:p w14:paraId="616C2ABA">
            <w:pPr>
              <w:pStyle w:val="45"/>
              <w:rPr>
                <w:rFonts w:hint="default"/>
              </w:rPr>
            </w:pPr>
            <w:r>
              <w:rPr>
                <w:rFonts w:hint="default"/>
              </w:rPr>
              <w:t xml:space="preserve">20.4 </w:t>
            </w:r>
          </w:p>
        </w:tc>
        <w:tc>
          <w:tcPr>
            <w:tcW w:w="617" w:type="pct"/>
            <w:shd w:val="clear" w:color="auto" w:fill="auto"/>
            <w:noWrap/>
            <w:vAlign w:val="center"/>
          </w:tcPr>
          <w:p w14:paraId="320B3C37">
            <w:pPr>
              <w:pStyle w:val="45"/>
              <w:rPr>
                <w:rFonts w:hint="default"/>
              </w:rPr>
            </w:pPr>
            <w:r>
              <w:rPr>
                <w:rFonts w:hint="default"/>
              </w:rPr>
              <w:t xml:space="preserve">38.3 </w:t>
            </w:r>
          </w:p>
        </w:tc>
        <w:tc>
          <w:tcPr>
            <w:tcW w:w="457" w:type="pct"/>
            <w:shd w:val="clear" w:color="auto" w:fill="auto"/>
            <w:vAlign w:val="center"/>
          </w:tcPr>
          <w:p w14:paraId="34ADDB8E">
            <w:pPr>
              <w:pStyle w:val="45"/>
              <w:rPr>
                <w:rFonts w:hint="default"/>
              </w:rPr>
            </w:pPr>
            <w:r>
              <w:rPr>
                <w:rFonts w:hint="default"/>
              </w:rPr>
              <w:t>ND</w:t>
            </w:r>
          </w:p>
        </w:tc>
        <w:tc>
          <w:tcPr>
            <w:tcW w:w="406" w:type="pct"/>
            <w:shd w:val="clear" w:color="auto" w:fill="auto"/>
            <w:vAlign w:val="center"/>
          </w:tcPr>
          <w:p w14:paraId="5CFA000A">
            <w:pPr>
              <w:pStyle w:val="45"/>
              <w:rPr>
                <w:rFonts w:hint="default"/>
              </w:rPr>
            </w:pPr>
            <w:r>
              <w:rPr>
                <w:rFonts w:hint="default"/>
              </w:rPr>
              <w:t xml:space="preserve">0.110 </w:t>
            </w:r>
          </w:p>
        </w:tc>
        <w:tc>
          <w:tcPr>
            <w:tcW w:w="457" w:type="pct"/>
            <w:shd w:val="clear" w:color="auto" w:fill="auto"/>
            <w:vAlign w:val="center"/>
          </w:tcPr>
          <w:p w14:paraId="33D8CD23">
            <w:pPr>
              <w:pStyle w:val="45"/>
              <w:rPr>
                <w:rFonts w:hint="default"/>
              </w:rPr>
            </w:pPr>
            <w:r>
              <w:rPr>
                <w:rFonts w:hint="default"/>
              </w:rPr>
              <w:t xml:space="preserve">0.00034 </w:t>
            </w:r>
          </w:p>
        </w:tc>
        <w:tc>
          <w:tcPr>
            <w:tcW w:w="643" w:type="pct"/>
            <w:shd w:val="clear" w:color="auto" w:fill="auto"/>
            <w:vAlign w:val="center"/>
          </w:tcPr>
          <w:p w14:paraId="2A6AC7BC">
            <w:pPr>
              <w:pStyle w:val="45"/>
              <w:rPr>
                <w:rFonts w:hint="default"/>
              </w:rPr>
            </w:pPr>
            <w:r>
              <w:rPr>
                <w:rFonts w:hint="default"/>
              </w:rPr>
              <w:t xml:space="preserve">0.014 </w:t>
            </w:r>
          </w:p>
        </w:tc>
      </w:tr>
      <w:tr w14:paraId="15414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55" w:type="pct"/>
            <w:vMerge w:val="continue"/>
            <w:shd w:val="clear" w:color="auto" w:fill="auto"/>
            <w:vAlign w:val="center"/>
          </w:tcPr>
          <w:p w14:paraId="764BB87A">
            <w:pPr>
              <w:pStyle w:val="45"/>
              <w:rPr>
                <w:rFonts w:hint="default"/>
              </w:rPr>
            </w:pPr>
          </w:p>
        </w:tc>
        <w:tc>
          <w:tcPr>
            <w:tcW w:w="532" w:type="pct"/>
            <w:shd w:val="clear" w:color="auto" w:fill="auto"/>
            <w:vAlign w:val="center"/>
          </w:tcPr>
          <w:p w14:paraId="7EC9C6A6">
            <w:pPr>
              <w:pStyle w:val="45"/>
              <w:rPr>
                <w:rFonts w:hint="default"/>
              </w:rPr>
            </w:pPr>
            <w:r>
              <w:rPr>
                <w:rFonts w:hint="default"/>
              </w:rPr>
              <w:t>2023.8.29</w:t>
            </w:r>
          </w:p>
        </w:tc>
        <w:tc>
          <w:tcPr>
            <w:tcW w:w="713" w:type="pct"/>
            <w:shd w:val="clear" w:color="auto" w:fill="auto"/>
            <w:vAlign w:val="center"/>
          </w:tcPr>
          <w:p w14:paraId="2506D169">
            <w:pPr>
              <w:pStyle w:val="45"/>
              <w:rPr>
                <w:rFonts w:hint="default"/>
              </w:rPr>
            </w:pPr>
            <w:r>
              <w:rPr>
                <w:rFonts w:hint="default"/>
              </w:rPr>
              <w:t>14218DBS5-3</w:t>
            </w:r>
          </w:p>
        </w:tc>
        <w:tc>
          <w:tcPr>
            <w:tcW w:w="617" w:type="pct"/>
            <w:shd w:val="clear" w:color="auto" w:fill="auto"/>
            <w:vAlign w:val="center"/>
          </w:tcPr>
          <w:p w14:paraId="4F6F2E9B">
            <w:pPr>
              <w:pStyle w:val="45"/>
              <w:rPr>
                <w:rFonts w:hint="default"/>
              </w:rPr>
            </w:pPr>
            <w:r>
              <w:rPr>
                <w:rFonts w:hint="default"/>
              </w:rPr>
              <w:t xml:space="preserve">20.7 </w:t>
            </w:r>
          </w:p>
        </w:tc>
        <w:tc>
          <w:tcPr>
            <w:tcW w:w="617" w:type="pct"/>
            <w:shd w:val="clear" w:color="auto" w:fill="auto"/>
            <w:noWrap/>
            <w:vAlign w:val="center"/>
          </w:tcPr>
          <w:p w14:paraId="66AB206F">
            <w:pPr>
              <w:pStyle w:val="45"/>
              <w:rPr>
                <w:rFonts w:hint="default"/>
              </w:rPr>
            </w:pPr>
            <w:r>
              <w:rPr>
                <w:rFonts w:hint="default"/>
              </w:rPr>
              <w:t xml:space="preserve">38.8 </w:t>
            </w:r>
          </w:p>
        </w:tc>
        <w:tc>
          <w:tcPr>
            <w:tcW w:w="457" w:type="pct"/>
            <w:shd w:val="clear" w:color="auto" w:fill="auto"/>
            <w:vAlign w:val="center"/>
          </w:tcPr>
          <w:p w14:paraId="70580214">
            <w:pPr>
              <w:pStyle w:val="45"/>
              <w:rPr>
                <w:rFonts w:hint="default"/>
              </w:rPr>
            </w:pPr>
            <w:r>
              <w:rPr>
                <w:rFonts w:hint="default"/>
              </w:rPr>
              <w:t>ND</w:t>
            </w:r>
          </w:p>
        </w:tc>
        <w:tc>
          <w:tcPr>
            <w:tcW w:w="406" w:type="pct"/>
            <w:shd w:val="clear" w:color="auto" w:fill="auto"/>
            <w:vAlign w:val="center"/>
          </w:tcPr>
          <w:p w14:paraId="07BC57A5">
            <w:pPr>
              <w:pStyle w:val="45"/>
              <w:rPr>
                <w:rFonts w:hint="default"/>
              </w:rPr>
            </w:pPr>
            <w:r>
              <w:rPr>
                <w:rFonts w:hint="default"/>
              </w:rPr>
              <w:t xml:space="preserve">0.107 </w:t>
            </w:r>
          </w:p>
        </w:tc>
        <w:tc>
          <w:tcPr>
            <w:tcW w:w="457" w:type="pct"/>
            <w:shd w:val="clear" w:color="auto" w:fill="auto"/>
            <w:vAlign w:val="center"/>
          </w:tcPr>
          <w:p w14:paraId="420E59BD">
            <w:pPr>
              <w:pStyle w:val="45"/>
              <w:rPr>
                <w:rFonts w:hint="default"/>
              </w:rPr>
            </w:pPr>
            <w:r>
              <w:rPr>
                <w:rFonts w:hint="default"/>
              </w:rPr>
              <w:t xml:space="preserve">0.00029 </w:t>
            </w:r>
          </w:p>
        </w:tc>
        <w:tc>
          <w:tcPr>
            <w:tcW w:w="643" w:type="pct"/>
            <w:shd w:val="clear" w:color="auto" w:fill="auto"/>
            <w:vAlign w:val="center"/>
          </w:tcPr>
          <w:p w14:paraId="588EC599">
            <w:pPr>
              <w:pStyle w:val="45"/>
              <w:rPr>
                <w:rFonts w:hint="default"/>
              </w:rPr>
            </w:pPr>
            <w:r>
              <w:rPr>
                <w:rFonts w:hint="default"/>
              </w:rPr>
              <w:t xml:space="preserve">0.016 </w:t>
            </w:r>
          </w:p>
        </w:tc>
      </w:tr>
      <w:tr w14:paraId="606A8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801" w:type="pct"/>
            <w:gridSpan w:val="3"/>
            <w:shd w:val="clear" w:color="auto" w:fill="auto"/>
            <w:vAlign w:val="center"/>
          </w:tcPr>
          <w:p w14:paraId="7B857799">
            <w:pPr>
              <w:pStyle w:val="45"/>
              <w:rPr>
                <w:rFonts w:hint="default"/>
              </w:rPr>
            </w:pPr>
            <w:r>
              <w:t>检出限</w:t>
            </w:r>
          </w:p>
        </w:tc>
        <w:tc>
          <w:tcPr>
            <w:tcW w:w="617" w:type="pct"/>
            <w:shd w:val="clear" w:color="auto" w:fill="auto"/>
            <w:vAlign w:val="center"/>
          </w:tcPr>
          <w:p w14:paraId="20E8C7B5">
            <w:pPr>
              <w:pStyle w:val="45"/>
              <w:rPr>
                <w:rFonts w:hint="default"/>
              </w:rPr>
            </w:pPr>
            <w:r>
              <w:rPr>
                <w:rFonts w:hint="default"/>
              </w:rPr>
              <w:t>/</w:t>
            </w:r>
          </w:p>
        </w:tc>
        <w:tc>
          <w:tcPr>
            <w:tcW w:w="617" w:type="pct"/>
            <w:shd w:val="clear" w:color="auto" w:fill="auto"/>
            <w:vAlign w:val="center"/>
          </w:tcPr>
          <w:p w14:paraId="42B88D77">
            <w:pPr>
              <w:pStyle w:val="45"/>
              <w:rPr>
                <w:rFonts w:hint="default"/>
              </w:rPr>
            </w:pPr>
            <w:r>
              <w:t xml:space="preserve">1.0 </w:t>
            </w:r>
          </w:p>
        </w:tc>
        <w:tc>
          <w:tcPr>
            <w:tcW w:w="457" w:type="pct"/>
            <w:shd w:val="clear" w:color="auto" w:fill="auto"/>
            <w:noWrap/>
            <w:vAlign w:val="center"/>
          </w:tcPr>
          <w:p w14:paraId="17F7B77E">
            <w:pPr>
              <w:pStyle w:val="45"/>
              <w:rPr>
                <w:rFonts w:hint="default"/>
              </w:rPr>
            </w:pPr>
            <w:r>
              <w:rPr>
                <w:rFonts w:hint="default"/>
              </w:rPr>
              <w:t>0.00009</w:t>
            </w:r>
          </w:p>
        </w:tc>
        <w:tc>
          <w:tcPr>
            <w:tcW w:w="406" w:type="pct"/>
            <w:shd w:val="clear" w:color="auto" w:fill="auto"/>
            <w:noWrap/>
            <w:vAlign w:val="center"/>
          </w:tcPr>
          <w:p w14:paraId="524B9F7A">
            <w:pPr>
              <w:pStyle w:val="45"/>
              <w:rPr>
                <w:rFonts w:hint="default"/>
              </w:rPr>
            </w:pPr>
            <w:r>
              <w:rPr>
                <w:rFonts w:hint="default"/>
              </w:rPr>
              <w:t>0.0002</w:t>
            </w:r>
          </w:p>
        </w:tc>
        <w:tc>
          <w:tcPr>
            <w:tcW w:w="457" w:type="pct"/>
            <w:shd w:val="clear" w:color="auto" w:fill="auto"/>
            <w:noWrap/>
            <w:vAlign w:val="center"/>
          </w:tcPr>
          <w:p w14:paraId="0BFD001A">
            <w:pPr>
              <w:pStyle w:val="45"/>
              <w:rPr>
                <w:rFonts w:hint="default"/>
              </w:rPr>
            </w:pPr>
            <w:r>
              <w:rPr>
                <w:rFonts w:hint="default"/>
              </w:rPr>
              <w:t>0.00011</w:t>
            </w:r>
          </w:p>
        </w:tc>
        <w:tc>
          <w:tcPr>
            <w:tcW w:w="643" w:type="pct"/>
            <w:shd w:val="clear" w:color="auto" w:fill="auto"/>
            <w:noWrap/>
            <w:vAlign w:val="center"/>
          </w:tcPr>
          <w:p w14:paraId="5325A7EE">
            <w:pPr>
              <w:pStyle w:val="45"/>
              <w:rPr>
                <w:rFonts w:hint="default"/>
              </w:rPr>
            </w:pPr>
            <w:r>
              <w:rPr>
                <w:rFonts w:hint="default"/>
              </w:rPr>
              <w:t>0.006</w:t>
            </w:r>
          </w:p>
        </w:tc>
      </w:tr>
      <w:tr w14:paraId="16389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801" w:type="pct"/>
            <w:gridSpan w:val="3"/>
            <w:shd w:val="clear" w:color="auto" w:fill="auto"/>
            <w:vAlign w:val="center"/>
          </w:tcPr>
          <w:p w14:paraId="119E06E5">
            <w:pPr>
              <w:pStyle w:val="45"/>
              <w:rPr>
                <w:rFonts w:hint="eastAsia" w:eastAsia="宋体"/>
                <w:lang w:val="en-US" w:eastAsia="zh-CN"/>
              </w:rPr>
            </w:pPr>
            <w:r>
              <w:rPr>
                <w:rFonts w:hint="eastAsia" w:eastAsia="宋体"/>
                <w:lang w:val="en-US" w:eastAsia="zh-CN"/>
              </w:rPr>
              <w:t>III类标准限值</w:t>
            </w:r>
          </w:p>
        </w:tc>
        <w:tc>
          <w:tcPr>
            <w:tcW w:w="617" w:type="pct"/>
            <w:shd w:val="clear" w:color="auto" w:fill="auto"/>
            <w:vAlign w:val="center"/>
          </w:tcPr>
          <w:p w14:paraId="1AF16884">
            <w:pPr>
              <w:pStyle w:val="45"/>
              <w:rPr>
                <w:rFonts w:hint="eastAsia" w:eastAsia="宋体"/>
                <w:lang w:val="en-US" w:eastAsia="zh-CN"/>
              </w:rPr>
            </w:pPr>
            <w:r>
              <w:rPr>
                <w:rFonts w:hint="eastAsia"/>
                <w:lang w:val="en-US" w:eastAsia="zh-CN"/>
              </w:rPr>
              <w:t>/</w:t>
            </w:r>
          </w:p>
        </w:tc>
        <w:tc>
          <w:tcPr>
            <w:tcW w:w="617" w:type="pct"/>
            <w:shd w:val="clear" w:color="auto" w:fill="auto"/>
            <w:vAlign w:val="center"/>
          </w:tcPr>
          <w:p w14:paraId="46D9F963">
            <w:pPr>
              <w:pStyle w:val="45"/>
              <w:rPr>
                <w:rFonts w:hint="default" w:eastAsia="宋体"/>
                <w:lang w:val="en-US" w:eastAsia="zh-CN"/>
              </w:rPr>
            </w:pPr>
            <w:r>
              <w:rPr>
                <w:rFonts w:hint="eastAsia"/>
                <w:lang w:val="en-US" w:eastAsia="zh-CN"/>
              </w:rPr>
              <w:t>（250）</w:t>
            </w:r>
          </w:p>
        </w:tc>
        <w:tc>
          <w:tcPr>
            <w:tcW w:w="457" w:type="pct"/>
            <w:shd w:val="clear" w:color="auto" w:fill="auto"/>
            <w:noWrap/>
            <w:vAlign w:val="center"/>
          </w:tcPr>
          <w:p w14:paraId="278FABC2">
            <w:pPr>
              <w:pStyle w:val="45"/>
              <w:rPr>
                <w:rFonts w:hint="default" w:eastAsia="宋体"/>
                <w:lang w:val="en-US" w:eastAsia="zh-CN"/>
              </w:rPr>
            </w:pPr>
            <w:r>
              <w:rPr>
                <w:rFonts w:hint="eastAsia"/>
                <w:lang w:val="en-US" w:eastAsia="zh-CN"/>
              </w:rPr>
              <w:t>0.05</w:t>
            </w:r>
          </w:p>
        </w:tc>
        <w:tc>
          <w:tcPr>
            <w:tcW w:w="406" w:type="pct"/>
            <w:shd w:val="clear" w:color="auto" w:fill="auto"/>
            <w:noWrap/>
            <w:vAlign w:val="center"/>
          </w:tcPr>
          <w:p w14:paraId="73392B66">
            <w:pPr>
              <w:pStyle w:val="45"/>
              <w:rPr>
                <w:rFonts w:hint="default" w:eastAsia="宋体"/>
                <w:lang w:val="en-US" w:eastAsia="zh-CN"/>
              </w:rPr>
            </w:pPr>
            <w:r>
              <w:rPr>
                <w:rFonts w:hint="eastAsia"/>
                <w:lang w:val="en-US" w:eastAsia="zh-CN"/>
              </w:rPr>
              <w:t>（0.7）</w:t>
            </w:r>
          </w:p>
        </w:tc>
        <w:tc>
          <w:tcPr>
            <w:tcW w:w="457" w:type="pct"/>
            <w:shd w:val="clear" w:color="auto" w:fill="auto"/>
            <w:noWrap/>
            <w:vAlign w:val="center"/>
          </w:tcPr>
          <w:p w14:paraId="60AFA2A2">
            <w:pPr>
              <w:pStyle w:val="45"/>
              <w:rPr>
                <w:rFonts w:hint="default" w:eastAsia="宋体"/>
                <w:lang w:val="en-US" w:eastAsia="zh-CN"/>
              </w:rPr>
            </w:pPr>
            <w:r>
              <w:rPr>
                <w:rFonts w:hint="eastAsia"/>
                <w:lang w:val="en-US" w:eastAsia="zh-CN"/>
              </w:rPr>
              <w:t>0.05</w:t>
            </w:r>
          </w:p>
        </w:tc>
        <w:tc>
          <w:tcPr>
            <w:tcW w:w="643" w:type="pct"/>
            <w:shd w:val="clear" w:color="auto" w:fill="auto"/>
            <w:noWrap/>
            <w:vAlign w:val="center"/>
          </w:tcPr>
          <w:p w14:paraId="0CBA9031">
            <w:pPr>
              <w:pStyle w:val="45"/>
              <w:rPr>
                <w:rFonts w:hint="eastAsia" w:eastAsia="宋体"/>
                <w:lang w:val="en-US" w:eastAsia="zh-CN"/>
              </w:rPr>
            </w:pPr>
            <w:r>
              <w:rPr>
                <w:rFonts w:hint="eastAsia"/>
                <w:lang w:val="en-US" w:eastAsia="zh-CN"/>
              </w:rPr>
              <w:t>/</w:t>
            </w:r>
          </w:p>
        </w:tc>
      </w:tr>
      <w:tr w14:paraId="2AF9E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801" w:type="pct"/>
            <w:gridSpan w:val="3"/>
            <w:shd w:val="clear" w:color="auto" w:fill="auto"/>
            <w:vAlign w:val="center"/>
          </w:tcPr>
          <w:p w14:paraId="74F5949D">
            <w:pPr>
              <w:pStyle w:val="45"/>
              <w:rPr>
                <w:rFonts w:hint="default" w:eastAsia="宋体"/>
                <w:lang w:val="en-US" w:eastAsia="zh-CN"/>
              </w:rPr>
            </w:pPr>
            <w:r>
              <w:rPr>
                <w:rFonts w:hint="eastAsia"/>
                <w:lang w:val="en-US" w:eastAsia="zh-CN"/>
              </w:rPr>
              <w:t>达标情况</w:t>
            </w:r>
          </w:p>
        </w:tc>
        <w:tc>
          <w:tcPr>
            <w:tcW w:w="617" w:type="pct"/>
            <w:shd w:val="clear" w:color="auto" w:fill="auto"/>
            <w:vAlign w:val="center"/>
          </w:tcPr>
          <w:p w14:paraId="0E78DAB2">
            <w:pPr>
              <w:pStyle w:val="45"/>
              <w:rPr>
                <w:rFonts w:hint="eastAsia" w:eastAsia="宋体"/>
                <w:lang w:val="en-US" w:eastAsia="zh-CN"/>
              </w:rPr>
            </w:pPr>
            <w:r>
              <w:rPr>
                <w:rFonts w:hint="eastAsia"/>
                <w:lang w:val="en-US" w:eastAsia="zh-CN"/>
              </w:rPr>
              <w:t>/</w:t>
            </w:r>
          </w:p>
        </w:tc>
        <w:tc>
          <w:tcPr>
            <w:tcW w:w="617" w:type="pct"/>
            <w:shd w:val="clear" w:color="auto" w:fill="auto"/>
            <w:vAlign w:val="center"/>
          </w:tcPr>
          <w:p w14:paraId="4D2ACD43">
            <w:pPr>
              <w:pStyle w:val="45"/>
              <w:rPr>
                <w:rFonts w:hint="eastAsia" w:eastAsia="宋体"/>
                <w:lang w:val="en-US" w:eastAsia="zh-CN"/>
              </w:rPr>
            </w:pPr>
            <w:r>
              <w:rPr>
                <w:rFonts w:hint="eastAsia"/>
                <w:lang w:val="en-US" w:eastAsia="zh-CN"/>
              </w:rPr>
              <w:t>达标</w:t>
            </w:r>
          </w:p>
        </w:tc>
        <w:tc>
          <w:tcPr>
            <w:tcW w:w="457" w:type="pct"/>
            <w:shd w:val="clear" w:color="auto" w:fill="auto"/>
            <w:noWrap/>
            <w:vAlign w:val="center"/>
          </w:tcPr>
          <w:p w14:paraId="71663A1E">
            <w:pPr>
              <w:pStyle w:val="45"/>
              <w:bidi w:val="0"/>
              <w:rPr>
                <w:rFonts w:hint="default"/>
              </w:rPr>
            </w:pPr>
            <w:r>
              <w:rPr>
                <w:rFonts w:hint="eastAsia"/>
                <w:lang w:val="en-US" w:eastAsia="zh-CN"/>
              </w:rPr>
              <w:t>达标</w:t>
            </w:r>
          </w:p>
        </w:tc>
        <w:tc>
          <w:tcPr>
            <w:tcW w:w="406" w:type="pct"/>
            <w:shd w:val="clear" w:color="auto" w:fill="auto"/>
            <w:noWrap/>
            <w:vAlign w:val="center"/>
          </w:tcPr>
          <w:p w14:paraId="28EDA25E">
            <w:pPr>
              <w:pStyle w:val="45"/>
              <w:bidi w:val="0"/>
              <w:rPr>
                <w:rFonts w:hint="default"/>
              </w:rPr>
            </w:pPr>
            <w:r>
              <w:rPr>
                <w:rFonts w:hint="eastAsia"/>
                <w:lang w:val="en-US" w:eastAsia="zh-CN"/>
              </w:rPr>
              <w:t>达标</w:t>
            </w:r>
          </w:p>
        </w:tc>
        <w:tc>
          <w:tcPr>
            <w:tcW w:w="457" w:type="pct"/>
            <w:shd w:val="clear" w:color="auto" w:fill="auto"/>
            <w:noWrap/>
            <w:vAlign w:val="center"/>
          </w:tcPr>
          <w:p w14:paraId="763DABE0">
            <w:pPr>
              <w:pStyle w:val="45"/>
              <w:bidi w:val="0"/>
              <w:rPr>
                <w:rFonts w:hint="default"/>
              </w:rPr>
            </w:pPr>
            <w:r>
              <w:rPr>
                <w:rFonts w:hint="eastAsia"/>
                <w:lang w:val="en-US" w:eastAsia="zh-CN"/>
              </w:rPr>
              <w:t>达标</w:t>
            </w:r>
          </w:p>
        </w:tc>
        <w:tc>
          <w:tcPr>
            <w:tcW w:w="643" w:type="pct"/>
            <w:shd w:val="clear" w:color="auto" w:fill="auto"/>
            <w:noWrap/>
            <w:vAlign w:val="center"/>
          </w:tcPr>
          <w:p w14:paraId="0F12EADB">
            <w:pPr>
              <w:pStyle w:val="45"/>
              <w:bidi w:val="0"/>
              <w:rPr>
                <w:rFonts w:hint="default"/>
              </w:rPr>
            </w:pPr>
            <w:r>
              <w:rPr>
                <w:rFonts w:hint="eastAsia"/>
                <w:lang w:val="en-US" w:eastAsia="zh-CN"/>
              </w:rPr>
              <w:t>/</w:t>
            </w:r>
          </w:p>
        </w:tc>
      </w:tr>
    </w:tbl>
    <w:p w14:paraId="037B8055">
      <w:pPr>
        <w:spacing w:line="240" w:lineRule="auto"/>
        <w:ind w:firstLine="0" w:firstLineChars="0"/>
      </w:pPr>
    </w:p>
    <w:p w14:paraId="51FE1711">
      <w:pPr>
        <w:ind w:firstLine="480"/>
      </w:pPr>
      <w:r>
        <w:t>根据</w:t>
      </w:r>
      <w:r>
        <w:rPr>
          <w:rFonts w:hint="eastAsia"/>
        </w:rPr>
        <w:t>上表结果，监测点中各类</w:t>
      </w:r>
      <w:r>
        <w:t>监测因子均满足《地表水环境质量标准》（GB3838-2002）III类标准限值</w:t>
      </w:r>
      <w:r>
        <w:rPr>
          <w:rFonts w:hint="eastAsia"/>
        </w:rPr>
        <w:t>，项目周边地表水环境质量良好。</w:t>
      </w:r>
    </w:p>
    <w:p w14:paraId="75A96E41">
      <w:pPr>
        <w:spacing w:line="240" w:lineRule="auto"/>
        <w:ind w:firstLine="480"/>
      </w:pPr>
    </w:p>
    <w:p w14:paraId="36D8D417">
      <w:pPr>
        <w:pStyle w:val="3"/>
        <w:numPr>
          <w:ilvl w:val="1"/>
          <w:numId w:val="1"/>
        </w:numPr>
      </w:pPr>
      <w:bookmarkStart w:id="176" w:name="_Toc31989"/>
      <w:bookmarkStart w:id="177" w:name="_Toc7658"/>
      <w:bookmarkStart w:id="178" w:name="_Toc6905"/>
      <w:r>
        <w:rPr>
          <w:rFonts w:hint="eastAsia"/>
        </w:rPr>
        <w:t>声环境质量现状调查与评价</w:t>
      </w:r>
      <w:bookmarkEnd w:id="176"/>
      <w:bookmarkEnd w:id="177"/>
      <w:bookmarkEnd w:id="178"/>
    </w:p>
    <w:p w14:paraId="720CE85F">
      <w:pPr>
        <w:pStyle w:val="4"/>
        <w:numPr>
          <w:ilvl w:val="2"/>
          <w:numId w:val="1"/>
        </w:numPr>
      </w:pPr>
      <w:bookmarkStart w:id="179" w:name="_Toc24324"/>
      <w:r>
        <w:rPr>
          <w:rFonts w:hint="eastAsia"/>
        </w:rPr>
        <w:t>现状调查</w:t>
      </w:r>
      <w:bookmarkEnd w:id="179"/>
    </w:p>
    <w:p w14:paraId="48743FA5">
      <w:pPr>
        <w:pStyle w:val="6"/>
        <w:bidi w:val="0"/>
      </w:pPr>
      <w:bookmarkStart w:id="180" w:name="_Toc715"/>
      <w:r>
        <w:rPr>
          <w:rFonts w:hint="eastAsia"/>
        </w:rPr>
        <w:t>监测点位</w:t>
      </w:r>
      <w:bookmarkEnd w:id="180"/>
    </w:p>
    <w:p w14:paraId="13C733F9">
      <w:pPr>
        <w:pStyle w:val="43"/>
        <w:numPr>
          <w:ilvl w:val="5"/>
          <w:numId w:val="1"/>
        </w:numPr>
        <w:rPr>
          <w:rFonts w:hint="default"/>
        </w:rPr>
      </w:pPr>
      <w:r>
        <w:t>声环境质量现状调查监测点位一览表</w:t>
      </w:r>
    </w:p>
    <w:tbl>
      <w:tblPr>
        <w:tblStyle w:val="32"/>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234"/>
        <w:gridCol w:w="6288"/>
      </w:tblGrid>
      <w:tr w14:paraId="17F1F8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blHeader/>
          <w:jc w:val="center"/>
        </w:trPr>
        <w:tc>
          <w:tcPr>
            <w:tcW w:w="2234" w:type="dxa"/>
            <w:vAlign w:val="center"/>
          </w:tcPr>
          <w:p w14:paraId="7842B412">
            <w:pPr>
              <w:pStyle w:val="45"/>
              <w:rPr>
                <w:rFonts w:hint="default"/>
                <w:b/>
                <w:bCs/>
              </w:rPr>
            </w:pPr>
            <w:r>
              <w:rPr>
                <w:rFonts w:hint="default"/>
                <w:b/>
                <w:bCs/>
              </w:rPr>
              <w:t>编号</w:t>
            </w:r>
          </w:p>
        </w:tc>
        <w:tc>
          <w:tcPr>
            <w:tcW w:w="6288" w:type="dxa"/>
            <w:tcBorders>
              <w:left w:val="single" w:color="auto" w:sz="4" w:space="0"/>
            </w:tcBorders>
            <w:vAlign w:val="center"/>
          </w:tcPr>
          <w:p w14:paraId="3F55F54C">
            <w:pPr>
              <w:pStyle w:val="45"/>
              <w:rPr>
                <w:rFonts w:hint="default"/>
                <w:b/>
                <w:bCs/>
              </w:rPr>
            </w:pPr>
            <w:r>
              <w:rPr>
                <w:rFonts w:hint="default"/>
                <w:b/>
                <w:bCs/>
              </w:rPr>
              <w:t>监测点位</w:t>
            </w:r>
          </w:p>
        </w:tc>
      </w:tr>
      <w:tr w14:paraId="15266A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2234" w:type="dxa"/>
            <w:vAlign w:val="center"/>
          </w:tcPr>
          <w:p w14:paraId="01329890">
            <w:pPr>
              <w:pStyle w:val="45"/>
              <w:rPr>
                <w:rFonts w:hint="default"/>
              </w:rPr>
            </w:pPr>
            <w:r>
              <w:rPr>
                <w:rFonts w:hint="default"/>
              </w:rPr>
              <w:t>N1</w:t>
            </w:r>
          </w:p>
        </w:tc>
        <w:tc>
          <w:tcPr>
            <w:tcW w:w="6288" w:type="dxa"/>
            <w:tcBorders>
              <w:left w:val="single" w:color="auto" w:sz="4" w:space="0"/>
            </w:tcBorders>
            <w:vAlign w:val="center"/>
          </w:tcPr>
          <w:p w14:paraId="6818C946">
            <w:pPr>
              <w:pStyle w:val="45"/>
              <w:rPr>
                <w:rFonts w:hint="default"/>
              </w:rPr>
            </w:pPr>
            <w:r>
              <w:rPr>
                <w:rFonts w:hint="default"/>
              </w:rPr>
              <w:t>项目东边界</w:t>
            </w:r>
          </w:p>
        </w:tc>
      </w:tr>
      <w:tr w14:paraId="1BDC38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2234" w:type="dxa"/>
            <w:vAlign w:val="center"/>
          </w:tcPr>
          <w:p w14:paraId="7BC8C2E2">
            <w:pPr>
              <w:pStyle w:val="45"/>
              <w:rPr>
                <w:rFonts w:hint="default"/>
              </w:rPr>
            </w:pPr>
            <w:r>
              <w:rPr>
                <w:rFonts w:hint="default"/>
              </w:rPr>
              <w:t>N2</w:t>
            </w:r>
          </w:p>
        </w:tc>
        <w:tc>
          <w:tcPr>
            <w:tcW w:w="6288" w:type="dxa"/>
            <w:tcBorders>
              <w:left w:val="single" w:color="auto" w:sz="4" w:space="0"/>
            </w:tcBorders>
            <w:vAlign w:val="center"/>
          </w:tcPr>
          <w:p w14:paraId="30881F71">
            <w:pPr>
              <w:pStyle w:val="45"/>
              <w:rPr>
                <w:rFonts w:hint="default"/>
              </w:rPr>
            </w:pPr>
            <w:r>
              <w:rPr>
                <w:rFonts w:hint="default"/>
              </w:rPr>
              <w:t>项目南边界</w:t>
            </w:r>
          </w:p>
        </w:tc>
      </w:tr>
      <w:tr w14:paraId="243563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2234" w:type="dxa"/>
            <w:vAlign w:val="center"/>
          </w:tcPr>
          <w:p w14:paraId="21101B88">
            <w:pPr>
              <w:pStyle w:val="45"/>
              <w:rPr>
                <w:rFonts w:hint="default"/>
              </w:rPr>
            </w:pPr>
            <w:r>
              <w:rPr>
                <w:rFonts w:hint="default"/>
              </w:rPr>
              <w:t>N3</w:t>
            </w:r>
          </w:p>
        </w:tc>
        <w:tc>
          <w:tcPr>
            <w:tcW w:w="6288" w:type="dxa"/>
            <w:tcBorders>
              <w:left w:val="single" w:color="auto" w:sz="4" w:space="0"/>
            </w:tcBorders>
            <w:vAlign w:val="center"/>
          </w:tcPr>
          <w:p w14:paraId="21259FE4">
            <w:pPr>
              <w:pStyle w:val="45"/>
              <w:rPr>
                <w:rFonts w:hint="default"/>
              </w:rPr>
            </w:pPr>
            <w:r>
              <w:rPr>
                <w:rFonts w:hint="default"/>
              </w:rPr>
              <w:t>项目西边界</w:t>
            </w:r>
          </w:p>
        </w:tc>
      </w:tr>
      <w:tr w14:paraId="75D63E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jc w:val="center"/>
        </w:trPr>
        <w:tc>
          <w:tcPr>
            <w:tcW w:w="2234" w:type="dxa"/>
            <w:vAlign w:val="center"/>
          </w:tcPr>
          <w:p w14:paraId="2F4A2952">
            <w:pPr>
              <w:pStyle w:val="45"/>
              <w:rPr>
                <w:rFonts w:hint="default"/>
              </w:rPr>
            </w:pPr>
            <w:r>
              <w:rPr>
                <w:rFonts w:hint="default"/>
              </w:rPr>
              <w:t>N4</w:t>
            </w:r>
          </w:p>
        </w:tc>
        <w:tc>
          <w:tcPr>
            <w:tcW w:w="6288" w:type="dxa"/>
            <w:tcBorders>
              <w:left w:val="single" w:color="auto" w:sz="4" w:space="0"/>
            </w:tcBorders>
            <w:vAlign w:val="center"/>
          </w:tcPr>
          <w:p w14:paraId="07CB0858">
            <w:pPr>
              <w:pStyle w:val="45"/>
              <w:rPr>
                <w:rFonts w:hint="default"/>
              </w:rPr>
            </w:pPr>
            <w:r>
              <w:rPr>
                <w:rFonts w:hint="default"/>
              </w:rPr>
              <w:t>项目北边界</w:t>
            </w:r>
          </w:p>
        </w:tc>
      </w:tr>
    </w:tbl>
    <w:p w14:paraId="602C4F1F">
      <w:pPr>
        <w:spacing w:line="240" w:lineRule="auto"/>
        <w:ind w:firstLine="482"/>
      </w:pPr>
      <w:bookmarkStart w:id="181" w:name="_Toc28532"/>
    </w:p>
    <w:p w14:paraId="413BE60F">
      <w:pPr>
        <w:pStyle w:val="6"/>
        <w:bidi w:val="0"/>
      </w:pPr>
      <w:r>
        <w:rPr>
          <w:rFonts w:hint="eastAsia"/>
        </w:rPr>
        <w:t>监测项目</w:t>
      </w:r>
      <w:bookmarkEnd w:id="181"/>
    </w:p>
    <w:p w14:paraId="0A06AF46">
      <w:pPr>
        <w:ind w:firstLine="480"/>
      </w:pPr>
      <w:r>
        <w:rPr>
          <w:rFonts w:hint="eastAsia"/>
        </w:rPr>
        <w:t>按《环境影响评价技术导则（声环境）（HJ/T 2.4-2021）》的要求，选取A声级作为测量。</w:t>
      </w:r>
    </w:p>
    <w:p w14:paraId="575E9C45">
      <w:pPr>
        <w:pStyle w:val="6"/>
        <w:bidi w:val="0"/>
      </w:pPr>
      <w:bookmarkStart w:id="182" w:name="_Toc27246"/>
      <w:r>
        <w:rPr>
          <w:rFonts w:hint="eastAsia"/>
        </w:rPr>
        <w:t>监测时间和频率</w:t>
      </w:r>
      <w:bookmarkEnd w:id="182"/>
    </w:p>
    <w:p w14:paraId="4A947A2A">
      <w:pPr>
        <w:ind w:firstLine="480"/>
      </w:pPr>
      <w:r>
        <w:rPr>
          <w:rFonts w:hint="eastAsia"/>
        </w:rPr>
        <w:t>连续监测2天，每天昼夜各监测1次。</w:t>
      </w:r>
    </w:p>
    <w:p w14:paraId="5393F82A">
      <w:pPr>
        <w:pStyle w:val="6"/>
        <w:bidi w:val="0"/>
      </w:pPr>
      <w:bookmarkStart w:id="183" w:name="_Toc7114"/>
      <w:r>
        <w:rPr>
          <w:rFonts w:hint="eastAsia"/>
        </w:rPr>
        <w:t>监测方法</w:t>
      </w:r>
      <w:bookmarkEnd w:id="183"/>
    </w:p>
    <w:p w14:paraId="6F7B848D">
      <w:pPr>
        <w:ind w:firstLine="480"/>
      </w:pPr>
      <w:r>
        <w:t>测量方法和规范按《环境影响评价技术导则 声导则（HJ/T2.4-2021）》、《声环境质量标准》（GB3096-2008）中的有关规定，监测期间天气良好，无雨、风速小于5m/s，传声器设置户外1米处，高度为1.2～1.5米。</w:t>
      </w:r>
    </w:p>
    <w:p w14:paraId="793B57DB">
      <w:pPr>
        <w:pStyle w:val="4"/>
        <w:numPr>
          <w:ilvl w:val="2"/>
          <w:numId w:val="1"/>
        </w:numPr>
      </w:pPr>
      <w:bookmarkStart w:id="184" w:name="_Toc12619"/>
      <w:r>
        <w:rPr>
          <w:rFonts w:hint="eastAsia"/>
        </w:rPr>
        <w:t>评价标准及方法</w:t>
      </w:r>
      <w:bookmarkEnd w:id="184"/>
    </w:p>
    <w:p w14:paraId="0E25938D">
      <w:pPr>
        <w:pStyle w:val="6"/>
        <w:bidi w:val="0"/>
      </w:pPr>
      <w:bookmarkStart w:id="185" w:name="_Toc700"/>
      <w:r>
        <w:rPr>
          <w:rFonts w:hint="eastAsia"/>
        </w:rPr>
        <w:t>评价标准</w:t>
      </w:r>
      <w:bookmarkEnd w:id="185"/>
    </w:p>
    <w:p w14:paraId="5CC2E6F9">
      <w:pPr>
        <w:ind w:firstLine="480"/>
      </w:pPr>
      <w:r>
        <w:rPr>
          <w:rFonts w:hint="eastAsia"/>
        </w:rPr>
        <w:t>本项目东、南厂界执行《声环境质量标准》（GB3096-2008）4a类标准，西、北厂界执行《声环境质量标准》（GB3096-2008）3类标准。</w:t>
      </w:r>
    </w:p>
    <w:p w14:paraId="730336B8">
      <w:pPr>
        <w:pStyle w:val="6"/>
        <w:bidi w:val="0"/>
      </w:pPr>
      <w:bookmarkStart w:id="186" w:name="_Toc27772"/>
      <w:r>
        <w:rPr>
          <w:rFonts w:hint="eastAsia"/>
        </w:rPr>
        <w:t>评价方法</w:t>
      </w:r>
      <w:bookmarkEnd w:id="186"/>
    </w:p>
    <w:p w14:paraId="56473F90">
      <w:pPr>
        <w:ind w:firstLine="480"/>
      </w:pPr>
      <w:r>
        <w:t>按《环境影响评价技术导则 声环境》（HJ/T2.4-2021）和《声环境质量标准》（GB3096-2008）进行。</w:t>
      </w:r>
    </w:p>
    <w:p w14:paraId="45D2C586">
      <w:pPr>
        <w:pStyle w:val="4"/>
        <w:numPr>
          <w:ilvl w:val="2"/>
          <w:numId w:val="1"/>
        </w:numPr>
      </w:pPr>
      <w:bookmarkStart w:id="187" w:name="_Toc6449"/>
      <w:r>
        <w:rPr>
          <w:rFonts w:hint="eastAsia"/>
        </w:rPr>
        <w:t>监测结果</w:t>
      </w:r>
      <w:bookmarkEnd w:id="187"/>
    </w:p>
    <w:p w14:paraId="6D52EB2B">
      <w:pPr>
        <w:ind w:firstLine="480"/>
      </w:pPr>
      <w:r>
        <w:rPr>
          <w:rFonts w:hint="eastAsia"/>
        </w:rPr>
        <w:t>本项目声环境质量现状监测结果见下表，监测报告见附件。</w:t>
      </w:r>
    </w:p>
    <w:p w14:paraId="35512F03">
      <w:pPr>
        <w:pStyle w:val="43"/>
        <w:numPr>
          <w:ilvl w:val="5"/>
          <w:numId w:val="1"/>
        </w:numPr>
        <w:rPr>
          <w:rFonts w:hint="default"/>
        </w:rPr>
      </w:pPr>
      <w:r>
        <w:t>声环境质量现状检测结果</w:t>
      </w:r>
    </w:p>
    <w:tbl>
      <w:tblPr>
        <w:tblStyle w:val="32"/>
        <w:tblW w:w="4998" w:type="pct"/>
        <w:tblInd w:w="0" w:type="dxa"/>
        <w:tblLayout w:type="autofit"/>
        <w:tblCellMar>
          <w:top w:w="0" w:type="dxa"/>
          <w:left w:w="108" w:type="dxa"/>
          <w:bottom w:w="0" w:type="dxa"/>
          <w:right w:w="108" w:type="dxa"/>
        </w:tblCellMar>
      </w:tblPr>
      <w:tblGrid>
        <w:gridCol w:w="1067"/>
        <w:gridCol w:w="1350"/>
        <w:gridCol w:w="750"/>
        <w:gridCol w:w="1433"/>
        <w:gridCol w:w="1333"/>
        <w:gridCol w:w="2586"/>
      </w:tblGrid>
      <w:tr w14:paraId="5F5AB1CB">
        <w:tblPrEx>
          <w:tblCellMar>
            <w:top w:w="0" w:type="dxa"/>
            <w:left w:w="108" w:type="dxa"/>
            <w:bottom w:w="0" w:type="dxa"/>
            <w:right w:w="108" w:type="dxa"/>
          </w:tblCellMar>
        </w:tblPrEx>
        <w:trPr>
          <w:trHeight w:val="170" w:hRule="atLeast"/>
          <w:tblHeader/>
        </w:trPr>
        <w:tc>
          <w:tcPr>
            <w:tcW w:w="6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0B0DD9">
            <w:pPr>
              <w:pStyle w:val="45"/>
              <w:rPr>
                <w:rFonts w:hint="default"/>
                <w:b/>
                <w:bCs/>
              </w:rPr>
            </w:pPr>
            <w:r>
              <w:rPr>
                <w:b/>
                <w:bCs/>
              </w:rPr>
              <w:t>监测日期</w:t>
            </w:r>
          </w:p>
        </w:tc>
        <w:tc>
          <w:tcPr>
            <w:tcW w:w="1232"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665956D">
            <w:pPr>
              <w:pStyle w:val="45"/>
              <w:rPr>
                <w:rFonts w:hint="default"/>
                <w:b/>
                <w:bCs/>
              </w:rPr>
            </w:pPr>
            <w:r>
              <w:rPr>
                <w:rFonts w:hint="eastAsia"/>
                <w:b/>
                <w:bCs/>
                <w:lang w:val="en-US" w:eastAsia="zh-CN"/>
              </w:rPr>
              <w:t>监测</w:t>
            </w:r>
            <w:r>
              <w:rPr>
                <w:b/>
                <w:bCs/>
              </w:rPr>
              <w:t>点位</w:t>
            </w:r>
          </w:p>
        </w:tc>
        <w:tc>
          <w:tcPr>
            <w:tcW w:w="8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B47BC9">
            <w:pPr>
              <w:pStyle w:val="45"/>
              <w:rPr>
                <w:b/>
                <w:bCs/>
              </w:rPr>
            </w:pPr>
            <w:r>
              <w:rPr>
                <w:b/>
                <w:bCs/>
              </w:rPr>
              <w:t xml:space="preserve">昼间 </w:t>
            </w:r>
          </w:p>
          <w:p w14:paraId="161CC921">
            <w:pPr>
              <w:pStyle w:val="45"/>
              <w:rPr>
                <w:rFonts w:hint="default"/>
                <w:b/>
                <w:bCs/>
              </w:rPr>
            </w:pPr>
            <w:r>
              <w:rPr>
                <w:b/>
                <w:bCs/>
              </w:rPr>
              <w:t xml:space="preserve"> dB（A）</w:t>
            </w:r>
          </w:p>
        </w:tc>
        <w:tc>
          <w:tcPr>
            <w:tcW w:w="7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EA2B8F">
            <w:pPr>
              <w:pStyle w:val="45"/>
              <w:rPr>
                <w:b/>
                <w:bCs/>
              </w:rPr>
            </w:pPr>
            <w:r>
              <w:rPr>
                <w:b/>
                <w:bCs/>
              </w:rPr>
              <w:t>夜间</w:t>
            </w:r>
          </w:p>
          <w:p w14:paraId="47F0B9B0">
            <w:pPr>
              <w:pStyle w:val="45"/>
              <w:rPr>
                <w:rFonts w:hint="default"/>
                <w:b/>
                <w:bCs/>
              </w:rPr>
            </w:pPr>
            <w:r>
              <w:rPr>
                <w:b/>
                <w:bCs/>
              </w:rPr>
              <w:t xml:space="preserve"> dB（A）</w:t>
            </w:r>
          </w:p>
        </w:tc>
        <w:tc>
          <w:tcPr>
            <w:tcW w:w="1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20B44D">
            <w:pPr>
              <w:pStyle w:val="45"/>
              <w:rPr>
                <w:b/>
                <w:bCs/>
              </w:rPr>
            </w:pPr>
            <w:r>
              <w:rPr>
                <w:b/>
                <w:bCs/>
              </w:rPr>
              <w:t>GB 3096-2008 3类标准</w:t>
            </w:r>
          </w:p>
          <w:p w14:paraId="51D707BF">
            <w:pPr>
              <w:pStyle w:val="45"/>
              <w:rPr>
                <w:rFonts w:hint="default"/>
                <w:b/>
                <w:bCs/>
              </w:rPr>
            </w:pPr>
            <w:r>
              <w:rPr>
                <w:b/>
                <w:bCs/>
              </w:rPr>
              <w:t>dB（A）</w:t>
            </w:r>
          </w:p>
        </w:tc>
      </w:tr>
      <w:tr w14:paraId="464151E7">
        <w:tblPrEx>
          <w:tblCellMar>
            <w:top w:w="0" w:type="dxa"/>
            <w:left w:w="108" w:type="dxa"/>
            <w:bottom w:w="0" w:type="dxa"/>
            <w:right w:w="108" w:type="dxa"/>
          </w:tblCellMar>
        </w:tblPrEx>
        <w:trPr>
          <w:trHeight w:val="170" w:hRule="atLeast"/>
        </w:trPr>
        <w:tc>
          <w:tcPr>
            <w:tcW w:w="62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6AFEEB5">
            <w:pPr>
              <w:pStyle w:val="45"/>
              <w:rPr>
                <w:rFonts w:hint="default"/>
              </w:rPr>
            </w:pPr>
            <w:r>
              <w:t>2023.8.27</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76EFBC">
            <w:pPr>
              <w:pStyle w:val="45"/>
              <w:rPr>
                <w:rFonts w:hint="default"/>
              </w:rPr>
            </w:pPr>
            <w:r>
              <w:t>厂区东边界</w:t>
            </w:r>
          </w:p>
        </w:tc>
        <w:tc>
          <w:tcPr>
            <w:tcW w:w="4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8CCDD6">
            <w:pPr>
              <w:pStyle w:val="45"/>
              <w:rPr>
                <w:rFonts w:hint="default"/>
              </w:rPr>
            </w:pPr>
            <w:r>
              <w:t>N1</w:t>
            </w:r>
          </w:p>
        </w:tc>
        <w:tc>
          <w:tcPr>
            <w:tcW w:w="8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887147">
            <w:pPr>
              <w:pStyle w:val="45"/>
              <w:rPr>
                <w:rFonts w:hint="default"/>
              </w:rPr>
            </w:pPr>
            <w:r>
              <w:t>59</w:t>
            </w:r>
          </w:p>
        </w:tc>
        <w:tc>
          <w:tcPr>
            <w:tcW w:w="7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D8E56F">
            <w:pPr>
              <w:pStyle w:val="45"/>
              <w:rPr>
                <w:rFonts w:hint="default"/>
              </w:rPr>
            </w:pPr>
            <w:r>
              <w:t>46</w:t>
            </w:r>
          </w:p>
        </w:tc>
        <w:tc>
          <w:tcPr>
            <w:tcW w:w="1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20EEF0">
            <w:pPr>
              <w:pStyle w:val="45"/>
              <w:rPr>
                <w:rFonts w:hint="default"/>
              </w:rPr>
            </w:pPr>
            <w:r>
              <w:t>昼间</w:t>
            </w:r>
            <w:r>
              <w:rPr>
                <w:rFonts w:hint="eastAsia"/>
                <w:lang w:val="en-US" w:eastAsia="zh-CN"/>
              </w:rPr>
              <w:t>70</w:t>
            </w:r>
            <w:r>
              <w:t>/夜间55</w:t>
            </w:r>
          </w:p>
        </w:tc>
      </w:tr>
      <w:tr w14:paraId="3D7885F6">
        <w:tblPrEx>
          <w:tblCellMar>
            <w:top w:w="0" w:type="dxa"/>
            <w:left w:w="108" w:type="dxa"/>
            <w:bottom w:w="0" w:type="dxa"/>
            <w:right w:w="108" w:type="dxa"/>
          </w:tblCellMar>
        </w:tblPrEx>
        <w:trPr>
          <w:trHeight w:val="170" w:hRule="atLeast"/>
        </w:trPr>
        <w:tc>
          <w:tcPr>
            <w:tcW w:w="62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9A129C">
            <w:pPr>
              <w:pStyle w:val="45"/>
              <w:rPr>
                <w:rFonts w:hint="default"/>
              </w:rPr>
            </w:pP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F233FD">
            <w:pPr>
              <w:pStyle w:val="45"/>
              <w:rPr>
                <w:rFonts w:hint="default"/>
              </w:rPr>
            </w:pPr>
            <w:r>
              <w:t>厂区南边界</w:t>
            </w:r>
          </w:p>
        </w:tc>
        <w:tc>
          <w:tcPr>
            <w:tcW w:w="4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74284F">
            <w:pPr>
              <w:pStyle w:val="45"/>
              <w:rPr>
                <w:rFonts w:hint="default"/>
              </w:rPr>
            </w:pPr>
            <w:r>
              <w:t>N2</w:t>
            </w:r>
          </w:p>
        </w:tc>
        <w:tc>
          <w:tcPr>
            <w:tcW w:w="8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B812C0">
            <w:pPr>
              <w:pStyle w:val="45"/>
              <w:rPr>
                <w:rFonts w:hint="default"/>
              </w:rPr>
            </w:pPr>
            <w:r>
              <w:t>59</w:t>
            </w:r>
          </w:p>
        </w:tc>
        <w:tc>
          <w:tcPr>
            <w:tcW w:w="7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95172E">
            <w:pPr>
              <w:pStyle w:val="45"/>
              <w:rPr>
                <w:rFonts w:hint="default"/>
              </w:rPr>
            </w:pPr>
            <w:r>
              <w:t>46</w:t>
            </w:r>
          </w:p>
        </w:tc>
        <w:tc>
          <w:tcPr>
            <w:tcW w:w="1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A77ACB">
            <w:pPr>
              <w:pStyle w:val="45"/>
              <w:rPr>
                <w:rFonts w:hint="default"/>
              </w:rPr>
            </w:pPr>
            <w:r>
              <w:t>昼间</w:t>
            </w:r>
            <w:r>
              <w:rPr>
                <w:rFonts w:hint="eastAsia"/>
                <w:lang w:val="en-US" w:eastAsia="zh-CN"/>
              </w:rPr>
              <w:t>70</w:t>
            </w:r>
            <w:r>
              <w:t>/夜间55</w:t>
            </w:r>
          </w:p>
        </w:tc>
      </w:tr>
      <w:tr w14:paraId="621DC708">
        <w:tblPrEx>
          <w:tblCellMar>
            <w:top w:w="0" w:type="dxa"/>
            <w:left w:w="108" w:type="dxa"/>
            <w:bottom w:w="0" w:type="dxa"/>
            <w:right w:w="108" w:type="dxa"/>
          </w:tblCellMar>
        </w:tblPrEx>
        <w:trPr>
          <w:trHeight w:val="170" w:hRule="atLeast"/>
        </w:trPr>
        <w:tc>
          <w:tcPr>
            <w:tcW w:w="62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3B4C3F">
            <w:pPr>
              <w:pStyle w:val="45"/>
              <w:rPr>
                <w:rFonts w:hint="default"/>
              </w:rPr>
            </w:pP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351BAB">
            <w:pPr>
              <w:pStyle w:val="45"/>
              <w:rPr>
                <w:rFonts w:hint="default"/>
              </w:rPr>
            </w:pPr>
            <w:r>
              <w:t>厂区西边界</w:t>
            </w:r>
          </w:p>
        </w:tc>
        <w:tc>
          <w:tcPr>
            <w:tcW w:w="4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DFEAB6">
            <w:pPr>
              <w:pStyle w:val="45"/>
              <w:rPr>
                <w:rFonts w:hint="default"/>
              </w:rPr>
            </w:pPr>
            <w:r>
              <w:t>N3</w:t>
            </w:r>
          </w:p>
        </w:tc>
        <w:tc>
          <w:tcPr>
            <w:tcW w:w="8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63EBC9">
            <w:pPr>
              <w:pStyle w:val="45"/>
              <w:rPr>
                <w:rFonts w:hint="default"/>
              </w:rPr>
            </w:pPr>
            <w:r>
              <w:t>54</w:t>
            </w:r>
          </w:p>
        </w:tc>
        <w:tc>
          <w:tcPr>
            <w:tcW w:w="7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B0BF35">
            <w:pPr>
              <w:pStyle w:val="45"/>
              <w:rPr>
                <w:rFonts w:hint="default"/>
              </w:rPr>
            </w:pPr>
            <w:r>
              <w:t>46</w:t>
            </w:r>
          </w:p>
        </w:tc>
        <w:tc>
          <w:tcPr>
            <w:tcW w:w="1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46B6AB">
            <w:pPr>
              <w:pStyle w:val="45"/>
              <w:rPr>
                <w:rFonts w:hint="default"/>
              </w:rPr>
            </w:pPr>
            <w:r>
              <w:t>昼间65/夜间55</w:t>
            </w:r>
          </w:p>
        </w:tc>
      </w:tr>
      <w:tr w14:paraId="228EE4E6">
        <w:tblPrEx>
          <w:tblCellMar>
            <w:top w:w="0" w:type="dxa"/>
            <w:left w:w="108" w:type="dxa"/>
            <w:bottom w:w="0" w:type="dxa"/>
            <w:right w:w="108" w:type="dxa"/>
          </w:tblCellMar>
        </w:tblPrEx>
        <w:trPr>
          <w:trHeight w:val="170" w:hRule="atLeast"/>
        </w:trPr>
        <w:tc>
          <w:tcPr>
            <w:tcW w:w="62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ADB536">
            <w:pPr>
              <w:pStyle w:val="45"/>
              <w:rPr>
                <w:rFonts w:hint="default"/>
              </w:rPr>
            </w:pP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BD2866">
            <w:pPr>
              <w:pStyle w:val="45"/>
              <w:rPr>
                <w:rFonts w:hint="default"/>
              </w:rPr>
            </w:pPr>
            <w:r>
              <w:t>厂区北边界</w:t>
            </w:r>
          </w:p>
        </w:tc>
        <w:tc>
          <w:tcPr>
            <w:tcW w:w="4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0B8B5D">
            <w:pPr>
              <w:pStyle w:val="45"/>
              <w:rPr>
                <w:rFonts w:hint="default"/>
              </w:rPr>
            </w:pPr>
            <w:r>
              <w:t>N4</w:t>
            </w:r>
          </w:p>
        </w:tc>
        <w:tc>
          <w:tcPr>
            <w:tcW w:w="8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778FEA">
            <w:pPr>
              <w:pStyle w:val="45"/>
              <w:rPr>
                <w:rFonts w:hint="default"/>
              </w:rPr>
            </w:pPr>
            <w:r>
              <w:t>55</w:t>
            </w:r>
          </w:p>
        </w:tc>
        <w:tc>
          <w:tcPr>
            <w:tcW w:w="7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3C6A32">
            <w:pPr>
              <w:pStyle w:val="45"/>
              <w:rPr>
                <w:rFonts w:hint="default"/>
              </w:rPr>
            </w:pPr>
            <w:r>
              <w:t>47</w:t>
            </w:r>
          </w:p>
        </w:tc>
        <w:tc>
          <w:tcPr>
            <w:tcW w:w="1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5543C7">
            <w:pPr>
              <w:pStyle w:val="45"/>
              <w:rPr>
                <w:rFonts w:hint="default"/>
              </w:rPr>
            </w:pPr>
            <w:r>
              <w:t>昼间65/夜间55</w:t>
            </w:r>
          </w:p>
        </w:tc>
      </w:tr>
      <w:tr w14:paraId="78F45416">
        <w:tblPrEx>
          <w:tblCellMar>
            <w:top w:w="0" w:type="dxa"/>
            <w:left w:w="108" w:type="dxa"/>
            <w:bottom w:w="0" w:type="dxa"/>
            <w:right w:w="108" w:type="dxa"/>
          </w:tblCellMar>
        </w:tblPrEx>
        <w:trPr>
          <w:trHeight w:val="170" w:hRule="atLeast"/>
        </w:trPr>
        <w:tc>
          <w:tcPr>
            <w:tcW w:w="62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D9A66F5">
            <w:pPr>
              <w:pStyle w:val="45"/>
              <w:rPr>
                <w:rFonts w:hint="default"/>
              </w:rPr>
            </w:pPr>
            <w:r>
              <w:t>2023.8.28</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53F5BE">
            <w:pPr>
              <w:pStyle w:val="45"/>
              <w:rPr>
                <w:rFonts w:hint="default"/>
              </w:rPr>
            </w:pPr>
            <w:r>
              <w:t>厂区东边界</w:t>
            </w:r>
          </w:p>
        </w:tc>
        <w:tc>
          <w:tcPr>
            <w:tcW w:w="4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2AD9D9">
            <w:pPr>
              <w:pStyle w:val="45"/>
              <w:rPr>
                <w:rFonts w:hint="default"/>
              </w:rPr>
            </w:pPr>
            <w:r>
              <w:t>N1</w:t>
            </w:r>
          </w:p>
        </w:tc>
        <w:tc>
          <w:tcPr>
            <w:tcW w:w="8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93680D">
            <w:pPr>
              <w:pStyle w:val="45"/>
              <w:rPr>
                <w:rFonts w:hint="default"/>
              </w:rPr>
            </w:pPr>
            <w:r>
              <w:t>58</w:t>
            </w:r>
          </w:p>
        </w:tc>
        <w:tc>
          <w:tcPr>
            <w:tcW w:w="7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26654C">
            <w:pPr>
              <w:pStyle w:val="45"/>
              <w:rPr>
                <w:rFonts w:hint="default"/>
              </w:rPr>
            </w:pPr>
            <w:r>
              <w:t>46</w:t>
            </w:r>
          </w:p>
        </w:tc>
        <w:tc>
          <w:tcPr>
            <w:tcW w:w="1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FEED0C">
            <w:pPr>
              <w:pStyle w:val="45"/>
              <w:rPr>
                <w:rFonts w:hint="default"/>
              </w:rPr>
            </w:pPr>
            <w:r>
              <w:t>昼间</w:t>
            </w:r>
            <w:r>
              <w:rPr>
                <w:rFonts w:hint="eastAsia"/>
                <w:lang w:val="en-US" w:eastAsia="zh-CN"/>
              </w:rPr>
              <w:t>70</w:t>
            </w:r>
            <w:r>
              <w:t>/夜间55</w:t>
            </w:r>
          </w:p>
        </w:tc>
      </w:tr>
      <w:tr w14:paraId="51C7BD7A">
        <w:tblPrEx>
          <w:tblCellMar>
            <w:top w:w="0" w:type="dxa"/>
            <w:left w:w="108" w:type="dxa"/>
            <w:bottom w:w="0" w:type="dxa"/>
            <w:right w:w="108" w:type="dxa"/>
          </w:tblCellMar>
        </w:tblPrEx>
        <w:trPr>
          <w:trHeight w:val="170" w:hRule="atLeast"/>
        </w:trPr>
        <w:tc>
          <w:tcPr>
            <w:tcW w:w="62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D71B3A">
            <w:pPr>
              <w:pStyle w:val="45"/>
              <w:rPr>
                <w:rFonts w:hint="default"/>
              </w:rPr>
            </w:pP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2A6009">
            <w:pPr>
              <w:pStyle w:val="45"/>
              <w:rPr>
                <w:rFonts w:hint="default"/>
              </w:rPr>
            </w:pPr>
            <w:r>
              <w:t>厂区南边界</w:t>
            </w:r>
          </w:p>
        </w:tc>
        <w:tc>
          <w:tcPr>
            <w:tcW w:w="4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92890B">
            <w:pPr>
              <w:pStyle w:val="45"/>
              <w:rPr>
                <w:rFonts w:hint="default"/>
              </w:rPr>
            </w:pPr>
            <w:r>
              <w:t>N2</w:t>
            </w:r>
          </w:p>
        </w:tc>
        <w:tc>
          <w:tcPr>
            <w:tcW w:w="8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F770B3">
            <w:pPr>
              <w:pStyle w:val="45"/>
              <w:rPr>
                <w:rFonts w:hint="default"/>
              </w:rPr>
            </w:pPr>
            <w:r>
              <w:t>59</w:t>
            </w:r>
          </w:p>
        </w:tc>
        <w:tc>
          <w:tcPr>
            <w:tcW w:w="7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41E318">
            <w:pPr>
              <w:pStyle w:val="45"/>
              <w:rPr>
                <w:rFonts w:hint="default"/>
              </w:rPr>
            </w:pPr>
            <w:r>
              <w:t>45</w:t>
            </w:r>
          </w:p>
        </w:tc>
        <w:tc>
          <w:tcPr>
            <w:tcW w:w="1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86F838">
            <w:pPr>
              <w:pStyle w:val="45"/>
              <w:rPr>
                <w:rFonts w:hint="default"/>
              </w:rPr>
            </w:pPr>
            <w:r>
              <w:t>昼间</w:t>
            </w:r>
            <w:r>
              <w:rPr>
                <w:rFonts w:hint="eastAsia"/>
                <w:lang w:val="en-US" w:eastAsia="zh-CN"/>
              </w:rPr>
              <w:t>70/</w:t>
            </w:r>
            <w:r>
              <w:t>夜间55</w:t>
            </w:r>
          </w:p>
        </w:tc>
      </w:tr>
      <w:tr w14:paraId="58210A64">
        <w:tblPrEx>
          <w:tblCellMar>
            <w:top w:w="0" w:type="dxa"/>
            <w:left w:w="108" w:type="dxa"/>
            <w:bottom w:w="0" w:type="dxa"/>
            <w:right w:w="108" w:type="dxa"/>
          </w:tblCellMar>
        </w:tblPrEx>
        <w:trPr>
          <w:trHeight w:val="170" w:hRule="atLeast"/>
        </w:trPr>
        <w:tc>
          <w:tcPr>
            <w:tcW w:w="62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5D4CD5">
            <w:pPr>
              <w:pStyle w:val="45"/>
              <w:rPr>
                <w:rFonts w:hint="default"/>
              </w:rPr>
            </w:pP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2032D1">
            <w:pPr>
              <w:pStyle w:val="45"/>
              <w:rPr>
                <w:rFonts w:hint="default"/>
              </w:rPr>
            </w:pPr>
            <w:r>
              <w:t>厂区西边界</w:t>
            </w:r>
          </w:p>
        </w:tc>
        <w:tc>
          <w:tcPr>
            <w:tcW w:w="4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4F643B">
            <w:pPr>
              <w:pStyle w:val="45"/>
              <w:rPr>
                <w:rFonts w:hint="default"/>
              </w:rPr>
            </w:pPr>
            <w:r>
              <w:t>N3</w:t>
            </w:r>
          </w:p>
        </w:tc>
        <w:tc>
          <w:tcPr>
            <w:tcW w:w="8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130C85">
            <w:pPr>
              <w:pStyle w:val="45"/>
              <w:rPr>
                <w:rFonts w:hint="default"/>
              </w:rPr>
            </w:pPr>
            <w:r>
              <w:t>54</w:t>
            </w:r>
          </w:p>
        </w:tc>
        <w:tc>
          <w:tcPr>
            <w:tcW w:w="7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28D7C0">
            <w:pPr>
              <w:pStyle w:val="45"/>
              <w:rPr>
                <w:rFonts w:hint="default"/>
              </w:rPr>
            </w:pPr>
            <w:r>
              <w:t>45</w:t>
            </w:r>
          </w:p>
        </w:tc>
        <w:tc>
          <w:tcPr>
            <w:tcW w:w="1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1032B0">
            <w:pPr>
              <w:pStyle w:val="45"/>
              <w:rPr>
                <w:rFonts w:hint="default"/>
              </w:rPr>
            </w:pPr>
            <w:r>
              <w:t>昼间65/夜间55</w:t>
            </w:r>
          </w:p>
        </w:tc>
      </w:tr>
      <w:tr w14:paraId="217495D1">
        <w:tblPrEx>
          <w:tblCellMar>
            <w:top w:w="0" w:type="dxa"/>
            <w:left w:w="108" w:type="dxa"/>
            <w:bottom w:w="0" w:type="dxa"/>
            <w:right w:w="108" w:type="dxa"/>
          </w:tblCellMar>
        </w:tblPrEx>
        <w:trPr>
          <w:trHeight w:val="170" w:hRule="atLeast"/>
        </w:trPr>
        <w:tc>
          <w:tcPr>
            <w:tcW w:w="62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FAC22B">
            <w:pPr>
              <w:pStyle w:val="45"/>
              <w:rPr>
                <w:rFonts w:hint="default"/>
              </w:rPr>
            </w:pP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649A81">
            <w:pPr>
              <w:pStyle w:val="45"/>
              <w:rPr>
                <w:rFonts w:hint="default"/>
              </w:rPr>
            </w:pPr>
            <w:r>
              <w:t>厂区北边界</w:t>
            </w:r>
          </w:p>
        </w:tc>
        <w:tc>
          <w:tcPr>
            <w:tcW w:w="4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BF92D6">
            <w:pPr>
              <w:pStyle w:val="45"/>
              <w:rPr>
                <w:rFonts w:hint="default"/>
              </w:rPr>
            </w:pPr>
            <w:r>
              <w:t>N4</w:t>
            </w:r>
          </w:p>
        </w:tc>
        <w:tc>
          <w:tcPr>
            <w:tcW w:w="8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2F43E7">
            <w:pPr>
              <w:pStyle w:val="45"/>
              <w:rPr>
                <w:rFonts w:hint="default"/>
              </w:rPr>
            </w:pPr>
            <w:r>
              <w:t>55</w:t>
            </w:r>
          </w:p>
        </w:tc>
        <w:tc>
          <w:tcPr>
            <w:tcW w:w="7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A701E6">
            <w:pPr>
              <w:pStyle w:val="45"/>
              <w:rPr>
                <w:rFonts w:hint="default"/>
              </w:rPr>
            </w:pPr>
            <w:r>
              <w:t>47</w:t>
            </w:r>
          </w:p>
        </w:tc>
        <w:tc>
          <w:tcPr>
            <w:tcW w:w="1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542B1D">
            <w:pPr>
              <w:pStyle w:val="45"/>
              <w:rPr>
                <w:rFonts w:hint="default"/>
              </w:rPr>
            </w:pPr>
            <w:r>
              <w:t>昼间65/夜间55</w:t>
            </w:r>
          </w:p>
        </w:tc>
      </w:tr>
    </w:tbl>
    <w:p w14:paraId="2332A9D0">
      <w:pPr>
        <w:spacing w:line="240" w:lineRule="auto"/>
        <w:ind w:firstLine="0" w:firstLineChars="0"/>
      </w:pPr>
    </w:p>
    <w:p w14:paraId="0CA920E6">
      <w:pPr>
        <w:ind w:firstLine="480"/>
      </w:pPr>
      <w:r>
        <w:rPr>
          <w:rFonts w:hint="eastAsia"/>
        </w:rPr>
        <w:t>根据上表监测结果，本项目西、北厂界昼、夜间噪声达均到《声环境质量标准》（GB3096-2008）3类标准要求，</w:t>
      </w:r>
      <w:r>
        <w:rPr>
          <w:rFonts w:hint="eastAsia"/>
          <w:lang w:val="en-US" w:eastAsia="zh-CN"/>
        </w:rPr>
        <w:t>东、南厂界</w:t>
      </w:r>
      <w:r>
        <w:rPr>
          <w:rFonts w:hint="eastAsia"/>
        </w:rPr>
        <w:t>昼、夜间噪声达均到《声环境质量标准》（GB3096-2008）</w:t>
      </w:r>
      <w:r>
        <w:rPr>
          <w:rFonts w:hint="eastAsia"/>
          <w:lang w:val="en-US" w:eastAsia="zh-CN"/>
        </w:rPr>
        <w:t>4</w:t>
      </w:r>
      <w:r>
        <w:rPr>
          <w:rFonts w:hint="eastAsia"/>
        </w:rPr>
        <w:t>类标准要求</w:t>
      </w:r>
      <w:r>
        <w:rPr>
          <w:rFonts w:hint="eastAsia"/>
          <w:lang w:eastAsia="zh-CN"/>
        </w:rPr>
        <w:t>，</w:t>
      </w:r>
      <w:r>
        <w:rPr>
          <w:rFonts w:hint="eastAsia"/>
        </w:rPr>
        <w:t>项目所在区域声环境质量良好。</w:t>
      </w:r>
    </w:p>
    <w:p w14:paraId="672AE9D1">
      <w:pPr>
        <w:pStyle w:val="3"/>
        <w:numPr>
          <w:ilvl w:val="1"/>
          <w:numId w:val="1"/>
        </w:numPr>
      </w:pPr>
      <w:bookmarkStart w:id="188" w:name="_Toc2208"/>
      <w:bookmarkStart w:id="189" w:name="_Toc3907"/>
      <w:bookmarkStart w:id="190" w:name="_Toc22364"/>
      <w:r>
        <w:rPr>
          <w:rFonts w:hint="eastAsia"/>
        </w:rPr>
        <w:t>地下水环境质量现状调查与评价</w:t>
      </w:r>
      <w:bookmarkEnd w:id="188"/>
      <w:bookmarkEnd w:id="189"/>
      <w:bookmarkEnd w:id="190"/>
    </w:p>
    <w:p w14:paraId="2554AB39">
      <w:pPr>
        <w:pStyle w:val="4"/>
        <w:numPr>
          <w:ilvl w:val="2"/>
          <w:numId w:val="1"/>
        </w:numPr>
      </w:pPr>
      <w:bookmarkStart w:id="191" w:name="_Toc32602"/>
      <w:r>
        <w:rPr>
          <w:rFonts w:hint="eastAsia"/>
        </w:rPr>
        <w:t>区域水文地质情况</w:t>
      </w:r>
      <w:bookmarkEnd w:id="191"/>
    </w:p>
    <w:p w14:paraId="7C799937">
      <w:pPr>
        <w:pStyle w:val="5"/>
        <w:numPr>
          <w:ilvl w:val="3"/>
          <w:numId w:val="1"/>
        </w:numPr>
      </w:pPr>
      <w:bookmarkStart w:id="192" w:name="_Toc6921"/>
      <w:r>
        <w:rPr>
          <w:rFonts w:hint="eastAsia"/>
        </w:rPr>
        <w:t>地质构造</w:t>
      </w:r>
      <w:bookmarkEnd w:id="192"/>
    </w:p>
    <w:p w14:paraId="2262D94E">
      <w:pPr>
        <w:ind w:firstLine="480"/>
      </w:pPr>
      <w:r>
        <w:t>根据《1：20万衡阳幅区域地质报告》、《湖南省地质图》及《湖南省构造纲要图》，场区位于华南断块区，长江中下游断凹陷中南部的衡阳盆地地区内，在构造体系上位于平（江）——衡（阳）新华夏凹陷带边沿处，属陆相稳定盆地。</w:t>
      </w:r>
    </w:p>
    <w:p w14:paraId="7C3791FC">
      <w:pPr>
        <w:pStyle w:val="5"/>
        <w:numPr>
          <w:ilvl w:val="3"/>
          <w:numId w:val="1"/>
        </w:numPr>
      </w:pPr>
      <w:bookmarkStart w:id="193" w:name="_Toc7066"/>
      <w:r>
        <w:t>含水岩组与地下水类型</w:t>
      </w:r>
      <w:bookmarkEnd w:id="193"/>
    </w:p>
    <w:p w14:paraId="560E2F84">
      <w:pPr>
        <w:ind w:firstLine="480"/>
      </w:pPr>
      <w:r>
        <w:t>区域地下水自上而下可划分为三个含水层，即风化裂隙潜水含水层，易于接受降雨的渗漏补给，径流条件好，常在丘陵谷地形成下降泉出露地表，流量随季节变化，枯水季显著减少或</w:t>
      </w:r>
      <w:r>
        <w:rPr>
          <w:rFonts w:hint="eastAsia"/>
        </w:rPr>
        <w:t>干涸</w:t>
      </w:r>
      <w:r>
        <w:t>；裂隙承压水带，一般在地表以下40-120m之间，含水层延伸不稳定，呈透镜状，地下水具承压；盐层上部盐水带，厚度5-20m不等，呈透镜状，溶蚀明显。</w:t>
      </w:r>
    </w:p>
    <w:p w14:paraId="43CFDD34">
      <w:pPr>
        <w:ind w:firstLine="480"/>
      </w:pPr>
      <w:r>
        <w:t>（1）粉质粘土层</w:t>
      </w:r>
    </w:p>
    <w:p w14:paraId="31CCF7E7">
      <w:pPr>
        <w:ind w:firstLine="480"/>
      </w:pPr>
      <w:r>
        <w:t>该层含松散岩类孔隙水，大多承压。单井涌水量94.95-223.54m3/d，水量中渗透系数53.70-80.97m/d。水化学类型以HCO</w:t>
      </w:r>
      <w:r>
        <w:rPr>
          <w:vertAlign w:val="subscript"/>
        </w:rPr>
        <w:t>3</w:t>
      </w:r>
      <w:r>
        <w:t>-Ca（或Ca·Mg；Ca·K+Na；K+Na·Mg）、HCO</w:t>
      </w:r>
      <w:r>
        <w:rPr>
          <w:vertAlign w:val="subscript"/>
        </w:rPr>
        <w:t>3</w:t>
      </w:r>
      <w:r>
        <w:t>·Cl-Ca（或Ca·Mg；Ca·K+Na；K+Na·Mg）型水为主。总硬度一般为0.094-4.852mmol/L，矿化度一般小于0.5g/L，pH值5.0-7。</w:t>
      </w:r>
    </w:p>
    <w:p w14:paraId="0AF3F193">
      <w:pPr>
        <w:ind w:firstLine="480"/>
      </w:pPr>
      <w:r>
        <w:t>（2）圆砾层</w:t>
      </w:r>
    </w:p>
    <w:p w14:paraId="3252BB3C">
      <w:pPr>
        <w:ind w:firstLine="480"/>
      </w:pPr>
      <w:r>
        <w:t>该层含松散类孔隙潜水，单井涌水量6.91m</w:t>
      </w:r>
      <w:r>
        <w:rPr>
          <w:vertAlign w:val="superscript"/>
        </w:rPr>
        <w:t>3</w:t>
      </w:r>
      <w:r>
        <w:t>/d，泉井流量小于0.5L/s，水量贫乏。水化学类型以HCO</w:t>
      </w:r>
      <w:r>
        <w:rPr>
          <w:vertAlign w:val="subscript"/>
        </w:rPr>
        <w:t>3</w:t>
      </w:r>
      <w:r>
        <w:t>-Ca（或Ca·K+Na；HCO</w:t>
      </w:r>
      <w:r>
        <w:rPr>
          <w:vertAlign w:val="subscript"/>
        </w:rPr>
        <w:t>3</w:t>
      </w:r>
      <w:r>
        <w:t>·Cl-Ca）型水为主。总硬度一般为0.134-0.724mmol/L，矿化度一般小于0.008-0.064g/L，pH值5.1-6.5。</w:t>
      </w:r>
    </w:p>
    <w:p w14:paraId="4AC05459">
      <w:pPr>
        <w:ind w:firstLine="480"/>
      </w:pPr>
      <w:r>
        <w:t>（3）砂质泥岩层</w:t>
      </w:r>
    </w:p>
    <w:p w14:paraId="5A1C01EE">
      <w:pPr>
        <w:ind w:firstLine="480"/>
      </w:pPr>
      <w:r>
        <w:t>该层含红层溶孔裂隙水，钻孔涌水量为100-500m</w:t>
      </w:r>
      <w:r>
        <w:rPr>
          <w:vertAlign w:val="superscript"/>
        </w:rPr>
        <w:t>3</w:t>
      </w:r>
      <w:r>
        <w:t>/d，地下</w:t>
      </w:r>
      <w:r>
        <w:rPr>
          <w:rFonts w:hint="eastAsia"/>
        </w:rPr>
        <w:t>径流</w:t>
      </w:r>
      <w:r>
        <w:t>模数0.1667-0.6393L/s·km</w:t>
      </w:r>
      <w:r>
        <w:rPr>
          <w:vertAlign w:val="superscript"/>
        </w:rPr>
        <w:t>2</w:t>
      </w:r>
      <w:r>
        <w:t>，水量中等。水化学类型以HCO</w:t>
      </w:r>
      <w:r>
        <w:rPr>
          <w:vertAlign w:val="subscript"/>
        </w:rPr>
        <w:t>3</w:t>
      </w:r>
      <w:r>
        <w:t>-Ca（或Ca·Mg；Ca·Na+K）型水为主。总硬度一般为0.26-6.39mmol/L，矿化度一般小于0.012-0.654g/L，pH值5.3-8.3。</w:t>
      </w:r>
    </w:p>
    <w:p w14:paraId="589F83D4">
      <w:pPr>
        <w:ind w:firstLine="0" w:firstLineChars="0"/>
      </w:pPr>
    </w:p>
    <w:p w14:paraId="0543DD5B">
      <w:pPr>
        <w:pStyle w:val="26"/>
        <w:ind w:firstLine="0" w:firstLineChars="0"/>
      </w:pPr>
      <w:r>
        <w:rPr>
          <w:rFonts w:hint="eastAsia"/>
        </w:rPr>
        <w:drawing>
          <wp:inline distT="0" distB="0" distL="114300" distR="114300">
            <wp:extent cx="5167630" cy="5713095"/>
            <wp:effectExtent l="0" t="0" r="13970" b="1905"/>
            <wp:docPr id="9" name="图片 9" descr="附图24 区域水文地质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附图24 区域水文地质图"/>
                    <pic:cNvPicPr>
                      <a:picLocks noChangeAspect="1"/>
                    </pic:cNvPicPr>
                  </pic:nvPicPr>
                  <pic:blipFill>
                    <a:blip r:embed="rId135" cstate="print"/>
                    <a:srcRect l="6814" t="7090" r="6164" b="13548"/>
                    <a:stretch>
                      <a:fillRect/>
                    </a:stretch>
                  </pic:blipFill>
                  <pic:spPr>
                    <a:xfrm>
                      <a:off x="0" y="0"/>
                      <a:ext cx="5167630" cy="5713095"/>
                    </a:xfrm>
                    <a:prstGeom prst="rect">
                      <a:avLst/>
                    </a:prstGeom>
                  </pic:spPr>
                </pic:pic>
              </a:graphicData>
            </a:graphic>
          </wp:inline>
        </w:drawing>
      </w:r>
    </w:p>
    <w:p w14:paraId="53465534">
      <w:pPr>
        <w:pStyle w:val="42"/>
        <w:numPr>
          <w:ilvl w:val="6"/>
          <w:numId w:val="1"/>
        </w:numPr>
        <w:rPr>
          <w:rFonts w:hint="default"/>
        </w:rPr>
      </w:pPr>
      <w:r>
        <w:rPr>
          <w:rFonts w:hint="default"/>
        </w:rPr>
        <w:t>项目所在区域水文地质图（1：50000）</w:t>
      </w:r>
    </w:p>
    <w:p w14:paraId="15A6170C">
      <w:pPr>
        <w:spacing w:line="240" w:lineRule="auto"/>
        <w:rPr>
          <w:rFonts w:hint="default"/>
        </w:rPr>
      </w:pPr>
    </w:p>
    <w:p w14:paraId="06E1995E">
      <w:pPr>
        <w:pStyle w:val="5"/>
        <w:numPr>
          <w:ilvl w:val="3"/>
          <w:numId w:val="1"/>
        </w:numPr>
      </w:pPr>
      <w:bookmarkStart w:id="194" w:name="_Toc25978"/>
      <w:r>
        <w:t>地下水化学特征</w:t>
      </w:r>
      <w:bookmarkEnd w:id="194"/>
    </w:p>
    <w:p w14:paraId="07EAFD27">
      <w:pPr>
        <w:ind w:firstLine="480"/>
      </w:pPr>
      <w:r>
        <w:t>根据水文地质资料调查，区内地下水基本呈中性，个别点呈现酸性水。水的硬度较大，一般为硬水。地下水化学类型为HCO</w:t>
      </w:r>
      <w:r>
        <w:rPr>
          <w:vertAlign w:val="subscript"/>
        </w:rPr>
        <w:t>3</w:t>
      </w:r>
      <w:r>
        <w:t>-Ca、HCO</w:t>
      </w:r>
      <w:r>
        <w:rPr>
          <w:vertAlign w:val="subscript"/>
        </w:rPr>
        <w:t>3</w:t>
      </w:r>
      <w:r>
        <w:t>·Cl-Ca 型水。</w:t>
      </w:r>
    </w:p>
    <w:p w14:paraId="2DC9151F">
      <w:pPr>
        <w:pStyle w:val="5"/>
        <w:numPr>
          <w:ilvl w:val="3"/>
          <w:numId w:val="1"/>
        </w:numPr>
      </w:pPr>
      <w:bookmarkStart w:id="195" w:name="_Toc4559"/>
      <w:r>
        <w:t>含水组特征、包气带及富水性</w:t>
      </w:r>
      <w:bookmarkEnd w:id="195"/>
    </w:p>
    <w:p w14:paraId="1590C55F">
      <w:pPr>
        <w:ind w:firstLine="480"/>
      </w:pPr>
      <w:r>
        <w:rPr>
          <w:rFonts w:hint="eastAsia"/>
        </w:rPr>
        <w:t>1、地形地貌</w:t>
      </w:r>
    </w:p>
    <w:p w14:paraId="3D5D98B2">
      <w:pPr>
        <w:ind w:firstLine="480"/>
      </w:pPr>
      <w:r>
        <w:rPr>
          <w:rFonts w:hint="eastAsia"/>
        </w:rPr>
        <w:t>本项目地址位于湖南省衡阳市松木经济开发区，属于湖南省中南部，东依湘江。场地属低山丘陵和丘陵间的洼地，地形起伏不大，地面标高一般介于60~110m。</w:t>
      </w:r>
    </w:p>
    <w:p w14:paraId="4DF1F9F9">
      <w:pPr>
        <w:numPr>
          <w:ilvl w:val="0"/>
          <w:numId w:val="15"/>
        </w:numPr>
        <w:ind w:firstLine="480"/>
      </w:pPr>
      <w:r>
        <w:rPr>
          <w:rFonts w:hint="eastAsia"/>
        </w:rPr>
        <w:t>区域包气带地层结构</w:t>
      </w:r>
    </w:p>
    <w:p w14:paraId="2E6F38FE">
      <w:pPr>
        <w:keepNext w:val="0"/>
        <w:keepLines w:val="0"/>
        <w:widowControl/>
        <w:suppressLineNumbers w:val="0"/>
        <w:ind w:firstLine="0" w:firstLineChars="0"/>
        <w:jc w:val="center"/>
      </w:pPr>
      <w:r>
        <w:rPr>
          <w:rFonts w:ascii="宋体" w:hAnsi="宋体" w:eastAsia="宋体" w:cs="宋体"/>
          <w:kern w:val="0"/>
          <w:sz w:val="24"/>
          <w:szCs w:val="24"/>
          <w:bdr w:val="single" w:sz="4" w:space="0"/>
          <w:lang w:val="en-US" w:eastAsia="zh-CN" w:bidi="ar"/>
        </w:rPr>
        <w:drawing>
          <wp:inline distT="0" distB="0" distL="114300" distR="114300">
            <wp:extent cx="4884420" cy="6480175"/>
            <wp:effectExtent l="0" t="0" r="11430" b="15875"/>
            <wp:docPr id="6" name="图片 6" descr="170139624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701396241652"/>
                    <pic:cNvPicPr>
                      <a:picLocks noChangeAspect="1"/>
                    </pic:cNvPicPr>
                  </pic:nvPicPr>
                  <pic:blipFill>
                    <a:blip r:embed="rId136"/>
                    <a:stretch>
                      <a:fillRect/>
                    </a:stretch>
                  </pic:blipFill>
                  <pic:spPr>
                    <a:xfrm>
                      <a:off x="0" y="0"/>
                      <a:ext cx="4884420" cy="6480175"/>
                    </a:xfrm>
                    <a:prstGeom prst="rect">
                      <a:avLst/>
                    </a:prstGeom>
                  </pic:spPr>
                </pic:pic>
              </a:graphicData>
            </a:graphic>
          </wp:inline>
        </w:drawing>
      </w:r>
    </w:p>
    <w:p w14:paraId="6813052E">
      <w:pPr>
        <w:pStyle w:val="42"/>
        <w:numPr>
          <w:ilvl w:val="6"/>
          <w:numId w:val="1"/>
        </w:numPr>
        <w:rPr>
          <w:rFonts w:hint="default"/>
        </w:rPr>
      </w:pPr>
      <w:r>
        <w:rPr>
          <w:rFonts w:hint="default"/>
        </w:rPr>
        <w:t>（1）地勘</w:t>
      </w:r>
      <w:r>
        <w:rPr>
          <w:rFonts w:hint="eastAsia"/>
          <w:lang w:val="en-US" w:eastAsia="zh-CN"/>
        </w:rPr>
        <w:t>柱状</w:t>
      </w:r>
      <w:r>
        <w:rPr>
          <w:rFonts w:hint="default"/>
        </w:rPr>
        <w:t>图（</w:t>
      </w:r>
      <w:r>
        <w:rPr>
          <w:rFonts w:hint="eastAsia"/>
          <w:lang w:val="en-US" w:eastAsia="zh-CN"/>
        </w:rPr>
        <w:t>厂内化盐车间</w:t>
      </w:r>
      <w:r>
        <w:rPr>
          <w:rFonts w:hint="default"/>
        </w:rPr>
        <w:t>）</w:t>
      </w:r>
    </w:p>
    <w:p w14:paraId="4095AA24">
      <w:pPr>
        <w:ind w:firstLine="480"/>
      </w:pPr>
    </w:p>
    <w:p w14:paraId="37A977DE">
      <w:pPr>
        <w:ind w:firstLine="720" w:firstLineChars="300"/>
      </w:pPr>
    </w:p>
    <w:p w14:paraId="7039C9AD">
      <w:pPr>
        <w:pStyle w:val="42"/>
        <w:numPr>
          <w:ilvl w:val="-1"/>
          <w:numId w:val="0"/>
        </w:numPr>
        <w:ind w:firstLine="0"/>
        <w:jc w:val="center"/>
        <w:rPr>
          <w:rFonts w:hint="eastAsia" w:eastAsia="宋体"/>
          <w:lang w:eastAsia="zh-CN"/>
        </w:rPr>
      </w:pPr>
      <w:r>
        <w:rPr>
          <w:rFonts w:hint="eastAsia" w:eastAsia="宋体"/>
          <w:bdr w:val="single" w:sz="4" w:space="0"/>
          <w:lang w:eastAsia="zh-CN"/>
        </w:rPr>
        <w:drawing>
          <wp:inline distT="0" distB="0" distL="114300" distR="114300">
            <wp:extent cx="4853940" cy="6480175"/>
            <wp:effectExtent l="0" t="0" r="3810" b="15875"/>
            <wp:docPr id="23" name="图片 23" descr="170139648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701396483844"/>
                    <pic:cNvPicPr>
                      <a:picLocks noChangeAspect="1"/>
                    </pic:cNvPicPr>
                  </pic:nvPicPr>
                  <pic:blipFill>
                    <a:blip r:embed="rId137"/>
                    <a:stretch>
                      <a:fillRect/>
                    </a:stretch>
                  </pic:blipFill>
                  <pic:spPr>
                    <a:xfrm>
                      <a:off x="0" y="0"/>
                      <a:ext cx="4853940" cy="6480175"/>
                    </a:xfrm>
                    <a:prstGeom prst="rect">
                      <a:avLst/>
                    </a:prstGeom>
                  </pic:spPr>
                </pic:pic>
              </a:graphicData>
            </a:graphic>
          </wp:inline>
        </w:drawing>
      </w:r>
    </w:p>
    <w:p w14:paraId="1CC849FF">
      <w:pPr>
        <w:pStyle w:val="42"/>
        <w:numPr>
          <w:ilvl w:val="6"/>
          <w:numId w:val="1"/>
        </w:numPr>
        <w:rPr>
          <w:rFonts w:hint="default"/>
        </w:rPr>
      </w:pPr>
      <w:r>
        <w:rPr>
          <w:rFonts w:hint="default"/>
        </w:rPr>
        <w:t>（2）地勘</w:t>
      </w:r>
      <w:r>
        <w:rPr>
          <w:rFonts w:hint="eastAsia"/>
          <w:lang w:val="en-US" w:eastAsia="zh-CN"/>
        </w:rPr>
        <w:t>柱状</w:t>
      </w:r>
      <w:r>
        <w:rPr>
          <w:rFonts w:hint="default"/>
        </w:rPr>
        <w:t>图（</w:t>
      </w:r>
      <w:r>
        <w:rPr>
          <w:rFonts w:hint="eastAsia"/>
          <w:lang w:val="en-US" w:eastAsia="zh-CN"/>
        </w:rPr>
        <w:t>厂内电解车间</w:t>
      </w:r>
      <w:r>
        <w:rPr>
          <w:rFonts w:hint="default"/>
        </w:rPr>
        <w:t>）</w:t>
      </w:r>
    </w:p>
    <w:p w14:paraId="16927D5D">
      <w:pPr>
        <w:ind w:firstLine="0" w:firstLineChars="0"/>
      </w:pPr>
    </w:p>
    <w:p w14:paraId="567E760E">
      <w:pPr>
        <w:keepNext w:val="0"/>
        <w:keepLines w:val="0"/>
        <w:widowControl/>
        <w:suppressLineNumbers w:val="0"/>
        <w:pBdr>
          <w:top w:val="none" w:color="auto" w:sz="0" w:space="0"/>
          <w:left w:val="none" w:color="auto" w:sz="0" w:space="0"/>
          <w:bottom w:val="none" w:color="auto" w:sz="0" w:space="0"/>
          <w:right w:val="none" w:color="auto" w:sz="0" w:space="0"/>
        </w:pBdr>
        <w:ind w:left="0" w:leftChars="0" w:firstLine="0" w:firstLineChars="0"/>
        <w:jc w:val="center"/>
        <w:rPr>
          <w:rFonts w:hint="eastAsia" w:eastAsia="宋体"/>
          <w:lang w:eastAsia="zh-CN"/>
        </w:rPr>
      </w:pPr>
      <w:r>
        <w:rPr>
          <w:rFonts w:hint="eastAsia" w:eastAsia="宋体"/>
          <w:bdr w:val="single" w:sz="4" w:space="0"/>
          <w:lang w:eastAsia="zh-CN"/>
        </w:rPr>
        <w:drawing>
          <wp:inline distT="0" distB="0" distL="114300" distR="114300">
            <wp:extent cx="4876165" cy="6480175"/>
            <wp:effectExtent l="0" t="0" r="635" b="15875"/>
            <wp:docPr id="28" name="图片 28" descr="1701396548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701396548609"/>
                    <pic:cNvPicPr>
                      <a:picLocks noChangeAspect="1"/>
                    </pic:cNvPicPr>
                  </pic:nvPicPr>
                  <pic:blipFill>
                    <a:blip r:embed="rId138"/>
                    <a:stretch>
                      <a:fillRect/>
                    </a:stretch>
                  </pic:blipFill>
                  <pic:spPr>
                    <a:xfrm>
                      <a:off x="0" y="0"/>
                      <a:ext cx="4876165" cy="6480175"/>
                    </a:xfrm>
                    <a:prstGeom prst="rect">
                      <a:avLst/>
                    </a:prstGeom>
                  </pic:spPr>
                </pic:pic>
              </a:graphicData>
            </a:graphic>
          </wp:inline>
        </w:drawing>
      </w:r>
    </w:p>
    <w:p w14:paraId="5DD0A9AD">
      <w:pPr>
        <w:pStyle w:val="42"/>
        <w:numPr>
          <w:ilvl w:val="6"/>
          <w:numId w:val="1"/>
        </w:numPr>
        <w:rPr>
          <w:rFonts w:hint="default"/>
        </w:rPr>
      </w:pPr>
      <w:r>
        <w:rPr>
          <w:rFonts w:hint="default"/>
        </w:rPr>
        <w:t>（3）地勘</w:t>
      </w:r>
      <w:r>
        <w:rPr>
          <w:rFonts w:hint="eastAsia"/>
          <w:lang w:val="en-US" w:eastAsia="zh-CN"/>
        </w:rPr>
        <w:t>柱状</w:t>
      </w:r>
      <w:r>
        <w:rPr>
          <w:rFonts w:hint="default"/>
        </w:rPr>
        <w:t>图（</w:t>
      </w:r>
      <w:r>
        <w:rPr>
          <w:rFonts w:hint="eastAsia"/>
          <w:lang w:val="en-US" w:eastAsia="zh-CN"/>
        </w:rPr>
        <w:t>厂内复分解车间</w:t>
      </w:r>
      <w:r>
        <w:rPr>
          <w:rFonts w:hint="default"/>
        </w:rPr>
        <w:t>）</w:t>
      </w:r>
    </w:p>
    <w:p w14:paraId="0913CA97">
      <w:pPr>
        <w:ind w:firstLine="0" w:firstLineChars="0"/>
      </w:pPr>
    </w:p>
    <w:p w14:paraId="3CA0F198">
      <w:pPr>
        <w:keepNext w:val="0"/>
        <w:keepLines w:val="0"/>
        <w:widowControl/>
        <w:suppressLineNumbers w:val="0"/>
        <w:ind w:left="0" w:leftChars="0" w:firstLine="0" w:firstLineChars="0"/>
        <w:jc w:val="center"/>
      </w:pPr>
      <w:r>
        <w:rPr>
          <w:rFonts w:ascii="宋体" w:hAnsi="宋体" w:eastAsia="宋体" w:cs="宋体"/>
          <w:kern w:val="0"/>
          <w:sz w:val="24"/>
          <w:szCs w:val="24"/>
          <w:bdr w:val="single" w:sz="4" w:space="0"/>
          <w:lang w:val="en-US" w:eastAsia="zh-CN" w:bidi="ar"/>
        </w:rPr>
        <w:drawing>
          <wp:inline distT="0" distB="0" distL="114300" distR="114300">
            <wp:extent cx="4856480" cy="6480175"/>
            <wp:effectExtent l="0" t="0" r="1270" b="15875"/>
            <wp:docPr id="20" name="图片 20" descr="1701396396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701396396087"/>
                    <pic:cNvPicPr>
                      <a:picLocks noChangeAspect="1"/>
                    </pic:cNvPicPr>
                  </pic:nvPicPr>
                  <pic:blipFill>
                    <a:blip r:embed="rId139"/>
                    <a:stretch>
                      <a:fillRect/>
                    </a:stretch>
                  </pic:blipFill>
                  <pic:spPr>
                    <a:xfrm>
                      <a:off x="0" y="0"/>
                      <a:ext cx="4856480" cy="6480175"/>
                    </a:xfrm>
                    <a:prstGeom prst="rect">
                      <a:avLst/>
                    </a:prstGeom>
                  </pic:spPr>
                </pic:pic>
              </a:graphicData>
            </a:graphic>
          </wp:inline>
        </w:drawing>
      </w:r>
    </w:p>
    <w:p w14:paraId="38636B48">
      <w:pPr>
        <w:pStyle w:val="42"/>
        <w:numPr>
          <w:ilvl w:val="6"/>
          <w:numId w:val="1"/>
        </w:numPr>
        <w:rPr>
          <w:rFonts w:hint="default"/>
        </w:rPr>
      </w:pPr>
      <w:r>
        <w:rPr>
          <w:rFonts w:hint="default"/>
        </w:rPr>
        <w:t>（4）地勘</w:t>
      </w:r>
      <w:r>
        <w:rPr>
          <w:rFonts w:hint="eastAsia"/>
          <w:lang w:val="en-US" w:eastAsia="zh-CN"/>
        </w:rPr>
        <w:t>柱状</w:t>
      </w:r>
      <w:r>
        <w:rPr>
          <w:rFonts w:hint="default"/>
        </w:rPr>
        <w:t>图（</w:t>
      </w:r>
      <w:r>
        <w:rPr>
          <w:rFonts w:hint="eastAsia"/>
          <w:lang w:val="en-US" w:eastAsia="zh-CN"/>
        </w:rPr>
        <w:t>厂内罐区1</w:t>
      </w:r>
      <w:r>
        <w:rPr>
          <w:rFonts w:hint="default"/>
        </w:rPr>
        <w:t>）</w:t>
      </w:r>
    </w:p>
    <w:p w14:paraId="76A3A0F7">
      <w:pPr>
        <w:ind w:firstLine="0" w:firstLineChars="0"/>
      </w:pPr>
    </w:p>
    <w:p w14:paraId="61A2AE90">
      <w:pPr>
        <w:keepNext w:val="0"/>
        <w:keepLines w:val="0"/>
        <w:widowControl/>
        <w:suppressLineNumbers w:val="0"/>
        <w:jc w:val="left"/>
      </w:pPr>
      <w:r>
        <w:rPr>
          <w:rFonts w:ascii="宋体" w:hAnsi="宋体" w:eastAsia="宋体" w:cs="宋体"/>
          <w:kern w:val="0"/>
          <w:sz w:val="24"/>
          <w:szCs w:val="24"/>
          <w:bdr w:val="single" w:sz="4" w:space="0"/>
          <w:lang w:val="en-US" w:eastAsia="zh-CN" w:bidi="ar"/>
        </w:rPr>
        <w:drawing>
          <wp:inline distT="0" distB="0" distL="114300" distR="114300">
            <wp:extent cx="4803140" cy="6480175"/>
            <wp:effectExtent l="0" t="0" r="16510" b="15875"/>
            <wp:docPr id="33" name="图片 33" descr="170139664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701396642186"/>
                    <pic:cNvPicPr>
                      <a:picLocks noChangeAspect="1"/>
                    </pic:cNvPicPr>
                  </pic:nvPicPr>
                  <pic:blipFill>
                    <a:blip r:embed="rId140"/>
                    <a:stretch>
                      <a:fillRect/>
                    </a:stretch>
                  </pic:blipFill>
                  <pic:spPr>
                    <a:xfrm>
                      <a:off x="0" y="0"/>
                      <a:ext cx="4803140" cy="6480175"/>
                    </a:xfrm>
                    <a:prstGeom prst="rect">
                      <a:avLst/>
                    </a:prstGeom>
                  </pic:spPr>
                </pic:pic>
              </a:graphicData>
            </a:graphic>
          </wp:inline>
        </w:drawing>
      </w:r>
    </w:p>
    <w:p w14:paraId="7EBA9ED4">
      <w:pPr>
        <w:pStyle w:val="42"/>
        <w:numPr>
          <w:ilvl w:val="6"/>
          <w:numId w:val="1"/>
        </w:numPr>
        <w:rPr>
          <w:rFonts w:hint="default"/>
        </w:rPr>
      </w:pPr>
      <w:r>
        <w:rPr>
          <w:rFonts w:hint="default"/>
        </w:rPr>
        <w:t>（5）地勘</w:t>
      </w:r>
      <w:r>
        <w:rPr>
          <w:rFonts w:hint="eastAsia"/>
          <w:lang w:val="en-US" w:eastAsia="zh-CN"/>
        </w:rPr>
        <w:t>柱状</w:t>
      </w:r>
      <w:r>
        <w:rPr>
          <w:rFonts w:hint="default"/>
        </w:rPr>
        <w:t>图（</w:t>
      </w:r>
      <w:r>
        <w:rPr>
          <w:rFonts w:hint="eastAsia"/>
          <w:lang w:val="en-US" w:eastAsia="zh-CN"/>
        </w:rPr>
        <w:t>厂内罐区2</w:t>
      </w:r>
      <w:r>
        <w:rPr>
          <w:rFonts w:hint="default"/>
        </w:rPr>
        <w:t>）</w:t>
      </w:r>
    </w:p>
    <w:p w14:paraId="4802F522">
      <w:pPr>
        <w:rPr>
          <w:rFonts w:hint="default"/>
        </w:rPr>
      </w:pPr>
    </w:p>
    <w:p w14:paraId="0D6CF171">
      <w:pPr>
        <w:keepNext w:val="0"/>
        <w:keepLines w:val="0"/>
        <w:widowControl/>
        <w:suppressLineNumbers w:val="0"/>
        <w:ind w:left="0" w:leftChars="0" w:firstLine="0" w:firstLineChars="0"/>
        <w:jc w:val="center"/>
      </w:pPr>
      <w:r>
        <w:rPr>
          <w:rFonts w:ascii="宋体" w:hAnsi="宋体" w:eastAsia="宋体" w:cs="宋体"/>
          <w:kern w:val="0"/>
          <w:sz w:val="24"/>
          <w:szCs w:val="24"/>
          <w:bdr w:val="single" w:sz="4" w:space="0"/>
          <w:lang w:val="en-US" w:eastAsia="zh-CN" w:bidi="ar"/>
        </w:rPr>
        <w:drawing>
          <wp:inline distT="0" distB="0" distL="114300" distR="114300">
            <wp:extent cx="4865370" cy="6480175"/>
            <wp:effectExtent l="0" t="0" r="11430" b="15875"/>
            <wp:docPr id="35" name="图片 35" descr="170139680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701396800812"/>
                    <pic:cNvPicPr>
                      <a:picLocks noChangeAspect="1"/>
                    </pic:cNvPicPr>
                  </pic:nvPicPr>
                  <pic:blipFill>
                    <a:blip r:embed="rId141"/>
                    <a:stretch>
                      <a:fillRect/>
                    </a:stretch>
                  </pic:blipFill>
                  <pic:spPr>
                    <a:xfrm>
                      <a:off x="0" y="0"/>
                      <a:ext cx="4865370" cy="6480175"/>
                    </a:xfrm>
                    <a:prstGeom prst="rect">
                      <a:avLst/>
                    </a:prstGeom>
                  </pic:spPr>
                </pic:pic>
              </a:graphicData>
            </a:graphic>
          </wp:inline>
        </w:drawing>
      </w:r>
    </w:p>
    <w:p w14:paraId="4E2DB5BF">
      <w:pPr>
        <w:pStyle w:val="42"/>
        <w:numPr>
          <w:ilvl w:val="6"/>
          <w:numId w:val="1"/>
        </w:numPr>
        <w:rPr>
          <w:rFonts w:hint="default"/>
        </w:rPr>
      </w:pPr>
      <w:r>
        <w:rPr>
          <w:rFonts w:hint="default"/>
        </w:rPr>
        <w:t>（</w:t>
      </w:r>
      <w:r>
        <w:rPr>
          <w:rFonts w:hint="eastAsia"/>
          <w:lang w:val="en-US" w:eastAsia="zh-CN"/>
        </w:rPr>
        <w:t>6</w:t>
      </w:r>
      <w:r>
        <w:rPr>
          <w:rFonts w:hint="default"/>
        </w:rPr>
        <w:t>）地勘</w:t>
      </w:r>
      <w:r>
        <w:rPr>
          <w:rFonts w:hint="eastAsia"/>
          <w:lang w:val="en-US" w:eastAsia="zh-CN"/>
        </w:rPr>
        <w:t>柱状</w:t>
      </w:r>
      <w:r>
        <w:rPr>
          <w:rFonts w:hint="default"/>
        </w:rPr>
        <w:t>图（</w:t>
      </w:r>
      <w:r>
        <w:rPr>
          <w:rFonts w:hint="eastAsia"/>
          <w:lang w:val="en-US" w:eastAsia="zh-CN"/>
        </w:rPr>
        <w:t>厂内废水站</w:t>
      </w:r>
      <w:r>
        <w:rPr>
          <w:rFonts w:hint="default"/>
        </w:rPr>
        <w:t>）</w:t>
      </w:r>
    </w:p>
    <w:p w14:paraId="74BAE716">
      <w:pPr>
        <w:spacing w:line="240" w:lineRule="auto"/>
        <w:rPr>
          <w:rFonts w:hint="default"/>
        </w:rPr>
      </w:pPr>
    </w:p>
    <w:p w14:paraId="7698076F">
      <w:pPr>
        <w:ind w:firstLine="480"/>
        <w:rPr>
          <w:rFonts w:hint="eastAsia"/>
        </w:rPr>
      </w:pPr>
      <w:r>
        <w:rPr>
          <w:rFonts w:hint="eastAsia"/>
        </w:rPr>
        <w:t>根据野外勘察结果，结合室内土工试验，场地岩土层自上而下描述如下：</w:t>
      </w:r>
    </w:p>
    <w:p w14:paraId="4BDEA3E8">
      <w:pPr>
        <w:ind w:firstLine="480"/>
        <w:rPr>
          <w:rFonts w:hint="eastAsia"/>
        </w:rPr>
      </w:pPr>
      <w:r>
        <w:rPr>
          <w:rFonts w:hint="eastAsia"/>
          <w:lang w:eastAsia="zh-CN"/>
        </w:rPr>
        <w:t>（</w:t>
      </w:r>
      <w:r>
        <w:rPr>
          <w:rFonts w:hint="eastAsia"/>
        </w:rPr>
        <w:t>1</w:t>
      </w:r>
      <w:r>
        <w:rPr>
          <w:rFonts w:hint="eastAsia"/>
          <w:lang w:eastAsia="zh-CN"/>
        </w:rPr>
        <w:t>）</w:t>
      </w:r>
      <w:r>
        <w:rPr>
          <w:rFonts w:hint="eastAsia"/>
        </w:rPr>
        <w:t>杂填土（Q4ml）①（①为地层编号，下同）：褐红色，主要由风化岩块组成，块径约2~50cm，机械倾倒堆填，均匀性差，夹少量黏性土及建筑垃圾，稍湿，新近回填而成，回填时间小于五年，未完成自重固结。</w:t>
      </w:r>
    </w:p>
    <w:p w14:paraId="709AB6DB">
      <w:pPr>
        <w:ind w:firstLine="480"/>
        <w:rPr>
          <w:rFonts w:hint="eastAsia"/>
        </w:rPr>
      </w:pPr>
      <w:r>
        <w:rPr>
          <w:rFonts w:hint="eastAsia"/>
          <w:lang w:eastAsia="zh-CN"/>
        </w:rPr>
        <w:t>（</w:t>
      </w:r>
      <w:r>
        <w:rPr>
          <w:rFonts w:hint="eastAsia"/>
        </w:rPr>
        <w:t>2</w:t>
      </w:r>
      <w:r>
        <w:rPr>
          <w:rFonts w:hint="eastAsia"/>
          <w:lang w:eastAsia="zh-CN"/>
        </w:rPr>
        <w:t>）</w:t>
      </w:r>
      <w:r>
        <w:rPr>
          <w:rFonts w:hint="eastAsia"/>
        </w:rPr>
        <w:t>粉质黏土(Q4al)②：褐黄色，稍湿，可~硬塑，土质较均匀，切面较光滑，压缩性中等，韧性中等，干强度中等，无摇震反应。</w:t>
      </w:r>
    </w:p>
    <w:p w14:paraId="50F75C63">
      <w:pPr>
        <w:ind w:firstLine="480"/>
        <w:rPr>
          <w:rFonts w:hint="eastAsia"/>
        </w:rPr>
      </w:pPr>
      <w:r>
        <w:rPr>
          <w:rFonts w:hint="eastAsia"/>
          <w:lang w:eastAsia="zh-CN"/>
        </w:rPr>
        <w:t>（</w:t>
      </w:r>
      <w:r>
        <w:rPr>
          <w:rFonts w:hint="eastAsia"/>
        </w:rPr>
        <w:t>3</w:t>
      </w:r>
      <w:r>
        <w:rPr>
          <w:rFonts w:hint="eastAsia"/>
          <w:lang w:eastAsia="zh-CN"/>
        </w:rPr>
        <w:t>）</w:t>
      </w:r>
      <w:r>
        <w:rPr>
          <w:rFonts w:hint="eastAsia"/>
        </w:rPr>
        <w:t>圆砾(Q4al+pl)③ ：灰黄色，稍密~中密，圆砾母岩成分主要为石英，呈次圆状，粒径2-30mm，最大50mm，砾含量约60%，间隙充填中粗砂及黏粒，级配较好。</w:t>
      </w:r>
    </w:p>
    <w:p w14:paraId="2626141E">
      <w:pPr>
        <w:ind w:firstLine="480"/>
        <w:rPr>
          <w:rFonts w:hint="eastAsia"/>
        </w:rPr>
      </w:pPr>
      <w:r>
        <w:rPr>
          <w:rFonts w:hint="eastAsia"/>
          <w:lang w:eastAsia="zh-CN"/>
        </w:rPr>
        <w:t>（</w:t>
      </w:r>
      <w:r>
        <w:rPr>
          <w:rFonts w:hint="eastAsia"/>
        </w:rPr>
        <w:t>4</w:t>
      </w:r>
      <w:r>
        <w:rPr>
          <w:rFonts w:hint="eastAsia"/>
          <w:lang w:eastAsia="zh-CN"/>
        </w:rPr>
        <w:t>）</w:t>
      </w:r>
      <w:r>
        <w:rPr>
          <w:rFonts w:hint="eastAsia"/>
        </w:rPr>
        <w:t>强风化粉砂质泥岩(E)④ ：紫红色，泥质结构，节理裂隙极发育，岩芯呈土夹岩块状，少量饼状、短柱状，碎块可折断或捏碎，遇水易软化、泥化，久露易崩解，岩石坚硬程度属极软岩，岩体完整程度为极破碎，RQD值为0-20，岩体基本质量等级属V级。</w:t>
      </w:r>
    </w:p>
    <w:p w14:paraId="0FD0BA89">
      <w:pPr>
        <w:ind w:firstLine="480"/>
        <w:rPr>
          <w:rFonts w:hint="eastAsia"/>
        </w:rPr>
      </w:pPr>
      <w:r>
        <w:rPr>
          <w:rFonts w:hint="eastAsia"/>
          <w:lang w:eastAsia="zh-CN"/>
        </w:rPr>
        <w:t>（</w:t>
      </w:r>
      <w:r>
        <w:rPr>
          <w:rFonts w:hint="eastAsia"/>
        </w:rPr>
        <w:t>5</w:t>
      </w:r>
      <w:r>
        <w:rPr>
          <w:rFonts w:hint="eastAsia"/>
          <w:lang w:eastAsia="zh-CN"/>
        </w:rPr>
        <w:t>）</w:t>
      </w:r>
      <w:r>
        <w:rPr>
          <w:rFonts w:hint="eastAsia"/>
        </w:rPr>
        <w:t>中风化粉砂质泥岩(E)⑤ ：紫红色、青灰色，泥质结构，中厚层状构造，节理裂隙稍发育，岩体较完整，岩芯多呈短柱状，局部夹碎块状，岩芯锤击声哑，易击碎，属软岩。岩体完整程度为较完整，RQD值为55-60，岩体基本质量等级为Ⅳ级。</w:t>
      </w:r>
    </w:p>
    <w:p w14:paraId="7906D45B">
      <w:pPr>
        <w:pStyle w:val="5"/>
        <w:numPr>
          <w:ilvl w:val="3"/>
          <w:numId w:val="1"/>
        </w:numPr>
      </w:pPr>
      <w:bookmarkStart w:id="196" w:name="_Toc26847"/>
      <w:r>
        <w:t>地下水补给、径流、排泄</w:t>
      </w:r>
      <w:bookmarkEnd w:id="196"/>
    </w:p>
    <w:p w14:paraId="00D29888">
      <w:pPr>
        <w:ind w:firstLine="480"/>
      </w:pPr>
      <w:r>
        <w:t>区域地下水补给主要是大气降水补给，多以径流的形式侧向补给松散岩类孔隙水，其次是上游流入补给，局部是以泉的形式出露地表。地下水排泄方式以下游河流排泄补给地表水体、蒸发为主。地下水流向主要受地形影响从地势高的地方流向地势低的地方，总体走势从西向东流入湘江。</w:t>
      </w:r>
    </w:p>
    <w:p w14:paraId="78B2F5EF">
      <w:pPr>
        <w:pStyle w:val="5"/>
        <w:numPr>
          <w:ilvl w:val="3"/>
          <w:numId w:val="1"/>
        </w:numPr>
      </w:pPr>
      <w:bookmarkStart w:id="197" w:name="_Toc8629"/>
      <w:r>
        <w:t>地下水动态</w:t>
      </w:r>
      <w:bookmarkEnd w:id="197"/>
    </w:p>
    <w:p w14:paraId="7613FFA7">
      <w:pPr>
        <w:ind w:firstLine="480"/>
      </w:pPr>
      <w:r>
        <w:t>本区地下水位年内动态：地下水位年内变化与降水量密切相关，动态类型为降水入渗—径流—蒸发—下游排泄型，季节性变化明显。每年10月底进入秋季的影响，降雨开始减少，水位由升转降，出现单独水文年最高水位。11月至次年5月水位明显下降，出现地下水位出现年内最低水位，6月至10月进入雨季，受降水入渗补给的影响，地下水位开始明显回升，出现年内最高水位。年内山谷观测点水位变化平均在2m左右。</w:t>
      </w:r>
    </w:p>
    <w:p w14:paraId="0AC5D7A1">
      <w:pPr>
        <w:pStyle w:val="4"/>
        <w:numPr>
          <w:ilvl w:val="2"/>
          <w:numId w:val="1"/>
        </w:numPr>
      </w:pPr>
      <w:bookmarkStart w:id="198" w:name="_Toc1687"/>
      <w:r>
        <w:rPr>
          <w:rFonts w:hint="eastAsia"/>
        </w:rPr>
        <w:t>地下水环境质量现状监测</w:t>
      </w:r>
      <w:bookmarkEnd w:id="198"/>
    </w:p>
    <w:p w14:paraId="66FA6CCE">
      <w:pPr>
        <w:rPr>
          <w:rFonts w:hint="default"/>
          <w:lang w:val="en-US" w:eastAsia="zh-CN"/>
        </w:rPr>
      </w:pPr>
      <w:r>
        <w:rPr>
          <w:rFonts w:hint="eastAsia"/>
          <w:lang w:val="en-US" w:eastAsia="zh-CN"/>
        </w:rPr>
        <w:t>为</w:t>
      </w:r>
      <w:r>
        <w:rPr>
          <w:rFonts w:hint="default"/>
          <w:lang w:val="en-US" w:eastAsia="zh-CN"/>
        </w:rPr>
        <w:t>了解区域地下水环境质量现状，本次评价引用《建滔（衡阳）实业有限公司烧碱生产装置节能技术改造项目环境影响报告书》中2022年11月14日~2022年11月18日地下水D1~D10点位的历史监测数据</w:t>
      </w:r>
      <w:r>
        <w:rPr>
          <w:rFonts w:hint="eastAsia"/>
          <w:lang w:val="en-US" w:eastAsia="zh-CN"/>
        </w:rPr>
        <w:t>。</w:t>
      </w:r>
      <w:r>
        <w:rPr>
          <w:rFonts w:hint="default"/>
          <w:lang w:val="en-US" w:eastAsia="zh-CN"/>
        </w:rPr>
        <w:t>为进一步了解地下水环境质量现状，本项目还委托湖南华环检测技术有限公司于2023年8月28日对项目地进行了地下水监测。</w:t>
      </w:r>
    </w:p>
    <w:p w14:paraId="67880BDA">
      <w:pPr>
        <w:rPr>
          <w:rFonts w:hint="default"/>
          <w:lang w:val="en-US" w:eastAsia="zh-CN"/>
        </w:rPr>
      </w:pPr>
      <w:r>
        <w:rPr>
          <w:rFonts w:hint="default"/>
          <w:lang w:val="en-US" w:eastAsia="zh-CN"/>
        </w:rPr>
        <w:t>根据地下水导则，一般情况下，地下水水位监测点数宜大于相应评价级别地下水水质监测点数的2倍。二级评价项目潜水含水层的水质监测点应不少于5个，可能受建设项目影响且具有饮用水开发利用价值的含水层2-4个。原则上建设项目场地上游和两侧的地下水水质监测点均不得少于1个，建设项目场地及其下游影响区的地下水水质监测点不得少于2个。本项目地下水评价等级为二级，所引用的数据共布设了5个水质监测点，10个水位监测点，在项目场地、场地上游、场地两侧均各布设了1个水质点，场地下游布设了2个水质点，符合地下水二级评价布点原则；本次引用的环评报告建滔</w:t>
      </w:r>
      <w:r>
        <w:rPr>
          <w:rFonts w:hint="eastAsia"/>
          <w:lang w:val="en-US" w:eastAsia="zh-CN"/>
        </w:rPr>
        <w:t>（衡阳）公司</w:t>
      </w:r>
      <w:r>
        <w:rPr>
          <w:rFonts w:hint="default"/>
          <w:lang w:val="en-US" w:eastAsia="zh-CN"/>
        </w:rPr>
        <w:t>项目场地与本项目均位于松木经开区，属于同一个水文地质单元，且监测数据在3年内，因此可以引用。</w:t>
      </w:r>
    </w:p>
    <w:p w14:paraId="40D419E5">
      <w:pPr>
        <w:pStyle w:val="6"/>
        <w:bidi w:val="0"/>
        <w:rPr>
          <w:rFonts w:hint="eastAsia"/>
          <w:lang w:val="en-US" w:eastAsia="zh-CN"/>
        </w:rPr>
      </w:pPr>
      <w:r>
        <w:rPr>
          <w:rFonts w:hint="eastAsia"/>
          <w:lang w:val="en-US" w:eastAsia="zh-CN"/>
        </w:rPr>
        <w:t>监测布点</w:t>
      </w:r>
    </w:p>
    <w:p w14:paraId="7B1F366F">
      <w:pPr>
        <w:rPr>
          <w:rFonts w:hint="default"/>
          <w:lang w:val="en-US" w:eastAsia="zh-CN"/>
        </w:rPr>
      </w:pPr>
      <w:r>
        <w:rPr>
          <w:rFonts w:hint="eastAsia"/>
          <w:lang w:val="en-US" w:eastAsia="zh-CN"/>
        </w:rPr>
        <w:t>引用的数据共布设了5个水质监测点，10个水位监测点。</w:t>
      </w:r>
    </w:p>
    <w:p w14:paraId="28BD04AF">
      <w:pPr>
        <w:pStyle w:val="43"/>
        <w:numPr>
          <w:ilvl w:val="5"/>
          <w:numId w:val="1"/>
        </w:numPr>
        <w:bidi w:val="0"/>
        <w:rPr>
          <w:rFonts w:hint="eastAsia"/>
          <w:lang w:val="en-US" w:eastAsia="zh-CN"/>
        </w:rPr>
      </w:pPr>
      <w:r>
        <w:rPr>
          <w:rFonts w:hint="eastAsia"/>
          <w:lang w:val="en-US" w:eastAsia="zh-CN"/>
        </w:rPr>
        <w:t>引用建滔（衡阳）项目地下水监测布点及监测因子</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3"/>
        <w:gridCol w:w="3642"/>
        <w:gridCol w:w="2650"/>
        <w:gridCol w:w="1507"/>
      </w:tblGrid>
      <w:tr w14:paraId="56B5E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noWrap w:val="0"/>
            <w:vAlign w:val="center"/>
          </w:tcPr>
          <w:p w14:paraId="05265299">
            <w:pPr>
              <w:keepNext/>
              <w:keepLines/>
              <w:widowControl w:val="0"/>
              <w:adjustRightInd/>
              <w:snapToGrid/>
              <w:spacing w:line="240" w:lineRule="auto"/>
              <w:ind w:firstLine="0" w:firstLineChars="0"/>
              <w:jc w:val="center"/>
              <w:rPr>
                <w:rFonts w:ascii="Times New Roman" w:hAnsi="Times New Roman" w:cs="Times New Roman"/>
                <w:b/>
                <w:bCs/>
                <w:kern w:val="0"/>
                <w:sz w:val="21"/>
                <w:szCs w:val="21"/>
              </w:rPr>
            </w:pPr>
            <w:r>
              <w:rPr>
                <w:rFonts w:ascii="Times New Roman" w:hAnsi="Times New Roman" w:cs="Times New Roman"/>
                <w:b/>
                <w:bCs/>
                <w:kern w:val="0"/>
                <w:sz w:val="21"/>
                <w:szCs w:val="21"/>
              </w:rPr>
              <w:t>编号</w:t>
            </w:r>
          </w:p>
        </w:tc>
        <w:tc>
          <w:tcPr>
            <w:tcW w:w="2136" w:type="pct"/>
            <w:noWrap w:val="0"/>
            <w:vAlign w:val="center"/>
          </w:tcPr>
          <w:p w14:paraId="12FB3D3F">
            <w:pPr>
              <w:keepNext/>
              <w:keepLines/>
              <w:widowControl w:val="0"/>
              <w:adjustRightInd/>
              <w:snapToGrid/>
              <w:spacing w:line="240" w:lineRule="auto"/>
              <w:ind w:firstLine="0" w:firstLineChars="0"/>
              <w:jc w:val="center"/>
              <w:rPr>
                <w:rFonts w:ascii="Times New Roman" w:hAnsi="Times New Roman" w:cs="Times New Roman"/>
                <w:b/>
                <w:bCs/>
                <w:kern w:val="0"/>
                <w:sz w:val="21"/>
                <w:szCs w:val="21"/>
              </w:rPr>
            </w:pPr>
            <w:r>
              <w:rPr>
                <w:rFonts w:ascii="Times New Roman" w:hAnsi="Times New Roman" w:cs="Times New Roman"/>
                <w:b/>
                <w:bCs/>
                <w:kern w:val="0"/>
                <w:sz w:val="21"/>
                <w:szCs w:val="21"/>
              </w:rPr>
              <w:t>监测点位</w:t>
            </w:r>
          </w:p>
        </w:tc>
        <w:tc>
          <w:tcPr>
            <w:tcW w:w="1554" w:type="pct"/>
            <w:noWrap w:val="0"/>
            <w:vAlign w:val="center"/>
          </w:tcPr>
          <w:p w14:paraId="505A8AF7">
            <w:pPr>
              <w:keepNext/>
              <w:keepLines/>
              <w:widowControl w:val="0"/>
              <w:adjustRightInd/>
              <w:snapToGrid/>
              <w:spacing w:line="240" w:lineRule="auto"/>
              <w:ind w:firstLine="0" w:firstLineChars="0"/>
              <w:jc w:val="center"/>
              <w:rPr>
                <w:rFonts w:ascii="Times New Roman" w:hAnsi="Times New Roman" w:cs="Times New Roman"/>
                <w:b/>
                <w:bCs/>
                <w:kern w:val="0"/>
                <w:sz w:val="21"/>
                <w:szCs w:val="21"/>
              </w:rPr>
            </w:pPr>
            <w:r>
              <w:rPr>
                <w:rFonts w:ascii="Times New Roman" w:hAnsi="Times New Roman" w:cs="Times New Roman"/>
                <w:b/>
                <w:bCs/>
                <w:kern w:val="0"/>
                <w:sz w:val="21"/>
                <w:szCs w:val="21"/>
              </w:rPr>
              <w:t>监测水质、水位</w:t>
            </w:r>
          </w:p>
        </w:tc>
        <w:tc>
          <w:tcPr>
            <w:tcW w:w="884" w:type="pct"/>
            <w:noWrap w:val="0"/>
            <w:vAlign w:val="center"/>
          </w:tcPr>
          <w:p w14:paraId="2BBD84E9">
            <w:pPr>
              <w:keepNext/>
              <w:keepLines/>
              <w:widowControl w:val="0"/>
              <w:adjustRightInd/>
              <w:snapToGrid/>
              <w:spacing w:line="240" w:lineRule="auto"/>
              <w:ind w:firstLine="0" w:firstLineChars="0"/>
              <w:jc w:val="center"/>
              <w:rPr>
                <w:rFonts w:ascii="Times New Roman" w:hAnsi="Times New Roman" w:cs="Times New Roman"/>
                <w:b/>
                <w:bCs/>
                <w:kern w:val="0"/>
                <w:sz w:val="21"/>
                <w:szCs w:val="21"/>
              </w:rPr>
            </w:pPr>
            <w:r>
              <w:rPr>
                <w:rFonts w:ascii="Times New Roman" w:hAnsi="Times New Roman" w:cs="Times New Roman"/>
                <w:b/>
                <w:bCs/>
                <w:kern w:val="0"/>
                <w:sz w:val="21"/>
                <w:szCs w:val="21"/>
              </w:rPr>
              <w:t>备注</w:t>
            </w:r>
          </w:p>
        </w:tc>
      </w:tr>
      <w:tr w14:paraId="70241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noWrap w:val="0"/>
            <w:vAlign w:val="center"/>
          </w:tcPr>
          <w:p w14:paraId="40E9019E">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D1</w:t>
            </w:r>
          </w:p>
        </w:tc>
        <w:tc>
          <w:tcPr>
            <w:tcW w:w="2136" w:type="pct"/>
            <w:noWrap w:val="0"/>
            <w:vAlign w:val="center"/>
          </w:tcPr>
          <w:p w14:paraId="0D118987">
            <w:pPr>
              <w:widowControl w:val="0"/>
              <w:adjustRightInd/>
              <w:snapToGrid/>
              <w:spacing w:line="240" w:lineRule="auto"/>
              <w:ind w:firstLine="0" w:firstLineChars="0"/>
              <w:jc w:val="center"/>
              <w:rPr>
                <w:rFonts w:ascii="Times New Roman" w:hAnsi="Times New Roman" w:cs="Times New Roman"/>
                <w:kern w:val="0"/>
                <w:sz w:val="21"/>
                <w:szCs w:val="21"/>
              </w:rPr>
            </w:pPr>
            <w:r>
              <w:rPr>
                <w:rFonts w:hint="eastAsia" w:ascii="Times New Roman" w:hAnsi="Times New Roman" w:cs="Times New Roman"/>
                <w:kern w:val="0"/>
                <w:sz w:val="21"/>
                <w:szCs w:val="21"/>
              </w:rPr>
              <w:t>项目西南面2100m松木乡</w:t>
            </w:r>
            <w:r>
              <w:rPr>
                <w:rFonts w:ascii="Times New Roman" w:hAnsi="Times New Roman" w:cs="Times New Roman"/>
                <w:kern w:val="0"/>
                <w:sz w:val="21"/>
                <w:szCs w:val="21"/>
              </w:rPr>
              <w:t>水井</w:t>
            </w:r>
          </w:p>
        </w:tc>
        <w:tc>
          <w:tcPr>
            <w:tcW w:w="1554" w:type="pct"/>
            <w:vMerge w:val="restart"/>
            <w:noWrap w:val="0"/>
            <w:vAlign w:val="center"/>
          </w:tcPr>
          <w:p w14:paraId="38B8708E">
            <w:pPr>
              <w:keepNext/>
              <w:keepLines/>
              <w:widowControl w:val="0"/>
              <w:adjustRightInd/>
              <w:snapToGrid/>
              <w:spacing w:line="240" w:lineRule="auto"/>
              <w:ind w:firstLine="0" w:firstLineChars="0"/>
              <w:jc w:val="center"/>
              <w:rPr>
                <w:rFonts w:hint="default" w:ascii="Times New Roman" w:hAnsi="Times New Roman" w:eastAsia="Sim Sun" w:cs="Times New Roman"/>
                <w:color w:val="000000"/>
                <w:kern w:val="2"/>
                <w:sz w:val="21"/>
                <w:szCs w:val="21"/>
                <w:lang w:val="en-US" w:eastAsia="zh-CN" w:bidi="ar-SA"/>
              </w:rPr>
            </w:pPr>
            <w:r>
              <w:rPr>
                <w:rFonts w:ascii="Times New Roman" w:hAnsi="Times New Roman" w:cs="Times New Roman"/>
                <w:kern w:val="0"/>
                <w:sz w:val="21"/>
                <w:szCs w:val="21"/>
              </w:rPr>
              <w:t>（1）水位；</w:t>
            </w:r>
            <w:r>
              <w:rPr>
                <w:rFonts w:hint="default" w:ascii="Times New Roman" w:hAnsi="Times New Roman" w:eastAsia="宋体" w:cs="Times New Roman"/>
                <w:color w:val="auto"/>
                <w:kern w:val="2"/>
                <w:sz w:val="21"/>
                <w:szCs w:val="21"/>
                <w:lang w:val="en-US" w:eastAsia="zh-CN" w:bidi="ar-SA"/>
              </w:rPr>
              <w:t>（2）八大离子：K</w:t>
            </w:r>
            <w:r>
              <w:rPr>
                <w:rFonts w:hint="default" w:ascii="Times New Roman" w:hAnsi="Times New Roman" w:eastAsia="宋体" w:cs="Times New Roman"/>
                <w:color w:val="auto"/>
                <w:kern w:val="2"/>
                <w:sz w:val="21"/>
                <w:szCs w:val="21"/>
                <w:vertAlign w:val="superscript"/>
                <w:lang w:val="en-US" w:eastAsia="zh-CN" w:bidi="ar-SA"/>
              </w:rPr>
              <w:t>+</w:t>
            </w:r>
            <w:r>
              <w:rPr>
                <w:rFonts w:hint="default" w:ascii="Times New Roman" w:hAnsi="Times New Roman" w:eastAsia="宋体" w:cs="Times New Roman"/>
                <w:color w:val="auto"/>
                <w:kern w:val="2"/>
                <w:sz w:val="21"/>
                <w:szCs w:val="21"/>
                <w:lang w:val="en-US" w:eastAsia="zh-CN" w:bidi="ar-SA"/>
              </w:rPr>
              <w:t>、Na</w:t>
            </w:r>
            <w:r>
              <w:rPr>
                <w:rFonts w:hint="default" w:ascii="Times New Roman" w:hAnsi="Times New Roman" w:eastAsia="宋体" w:cs="Times New Roman"/>
                <w:color w:val="auto"/>
                <w:kern w:val="2"/>
                <w:sz w:val="21"/>
                <w:szCs w:val="21"/>
                <w:vertAlign w:val="superscript"/>
                <w:lang w:val="en-US" w:eastAsia="zh-CN" w:bidi="ar-SA"/>
              </w:rPr>
              <w:t>+</w:t>
            </w:r>
            <w:r>
              <w:rPr>
                <w:rFonts w:hint="default" w:ascii="Times New Roman" w:hAnsi="Times New Roman" w:eastAsia="宋体" w:cs="Times New Roman"/>
                <w:color w:val="auto"/>
                <w:kern w:val="2"/>
                <w:sz w:val="21"/>
                <w:szCs w:val="21"/>
                <w:lang w:val="en-US" w:eastAsia="zh-CN" w:bidi="ar-SA"/>
              </w:rPr>
              <w:t>、Ca</w:t>
            </w:r>
            <w:r>
              <w:rPr>
                <w:rFonts w:hint="default" w:ascii="Times New Roman" w:hAnsi="Times New Roman" w:eastAsia="宋体" w:cs="Times New Roman"/>
                <w:color w:val="auto"/>
                <w:kern w:val="2"/>
                <w:sz w:val="21"/>
                <w:szCs w:val="21"/>
                <w:vertAlign w:val="superscript"/>
                <w:lang w:val="en-US" w:eastAsia="zh-CN" w:bidi="ar-SA"/>
              </w:rPr>
              <w:t>2+</w:t>
            </w:r>
            <w:r>
              <w:rPr>
                <w:rFonts w:hint="default" w:ascii="Times New Roman" w:hAnsi="Times New Roman" w:eastAsia="宋体" w:cs="Times New Roman"/>
                <w:color w:val="auto"/>
                <w:kern w:val="2"/>
                <w:sz w:val="21"/>
                <w:szCs w:val="21"/>
                <w:lang w:val="en-US" w:eastAsia="zh-CN" w:bidi="ar-SA"/>
              </w:rPr>
              <w:t>、Mg</w:t>
            </w:r>
            <w:r>
              <w:rPr>
                <w:rFonts w:hint="default" w:ascii="Times New Roman" w:hAnsi="Times New Roman" w:eastAsia="宋体" w:cs="Times New Roman"/>
                <w:color w:val="auto"/>
                <w:kern w:val="2"/>
                <w:sz w:val="21"/>
                <w:szCs w:val="21"/>
                <w:vertAlign w:val="superscript"/>
                <w:lang w:val="en-US" w:eastAsia="zh-CN" w:bidi="ar-SA"/>
              </w:rPr>
              <w:t>2+</w:t>
            </w:r>
            <w:r>
              <w:rPr>
                <w:rFonts w:hint="default" w:ascii="Times New Roman" w:hAnsi="Times New Roman" w:eastAsia="宋体" w:cs="Times New Roman"/>
                <w:color w:val="auto"/>
                <w:kern w:val="2"/>
                <w:sz w:val="21"/>
                <w:szCs w:val="21"/>
                <w:lang w:val="en-US" w:eastAsia="zh-CN" w:bidi="ar-SA"/>
              </w:rPr>
              <w:t>、CO</w:t>
            </w:r>
            <w:r>
              <w:rPr>
                <w:rFonts w:hint="default" w:ascii="Times New Roman" w:hAnsi="Times New Roman" w:eastAsia="宋体" w:cs="Times New Roman"/>
                <w:color w:val="auto"/>
                <w:kern w:val="2"/>
                <w:sz w:val="21"/>
                <w:szCs w:val="21"/>
                <w:vertAlign w:val="subscript"/>
                <w:lang w:val="en-US" w:eastAsia="zh-CN" w:bidi="ar-SA"/>
              </w:rPr>
              <w:t>3</w:t>
            </w:r>
            <w:r>
              <w:rPr>
                <w:rFonts w:hint="default" w:ascii="Times New Roman" w:hAnsi="Times New Roman" w:eastAsia="宋体" w:cs="Times New Roman"/>
                <w:color w:val="auto"/>
                <w:kern w:val="2"/>
                <w:sz w:val="21"/>
                <w:szCs w:val="21"/>
                <w:vertAlign w:val="superscript"/>
                <w:lang w:val="en-US" w:eastAsia="zh-CN" w:bidi="ar-SA"/>
              </w:rPr>
              <w:t>2-</w:t>
            </w:r>
            <w:r>
              <w:rPr>
                <w:rFonts w:hint="default" w:ascii="Times New Roman" w:hAnsi="Times New Roman" w:eastAsia="宋体" w:cs="Times New Roman"/>
                <w:color w:val="auto"/>
                <w:kern w:val="2"/>
                <w:sz w:val="21"/>
                <w:szCs w:val="21"/>
                <w:lang w:val="en-US" w:eastAsia="zh-CN" w:bidi="ar-SA"/>
              </w:rPr>
              <w:t>、HCO</w:t>
            </w:r>
            <w:r>
              <w:rPr>
                <w:rFonts w:hint="default" w:ascii="Times New Roman" w:hAnsi="Times New Roman" w:eastAsia="宋体" w:cs="Times New Roman"/>
                <w:color w:val="auto"/>
                <w:kern w:val="2"/>
                <w:sz w:val="21"/>
                <w:szCs w:val="21"/>
                <w:vertAlign w:val="subscript"/>
                <w:lang w:val="en-US" w:eastAsia="zh-CN" w:bidi="ar-SA"/>
              </w:rPr>
              <w:t>3</w:t>
            </w:r>
            <w:r>
              <w:rPr>
                <w:rFonts w:hint="default" w:ascii="Times New Roman" w:hAnsi="Times New Roman" w:eastAsia="宋体" w:cs="Times New Roman"/>
                <w:color w:val="auto"/>
                <w:kern w:val="2"/>
                <w:sz w:val="21"/>
                <w:szCs w:val="21"/>
                <w:vertAlign w:val="superscript"/>
                <w:lang w:val="en-US" w:eastAsia="zh-CN" w:bidi="ar-SA"/>
              </w:rPr>
              <w:t>-</w:t>
            </w:r>
            <w:r>
              <w:rPr>
                <w:rFonts w:hint="default" w:ascii="Times New Roman" w:hAnsi="Times New Roman" w:eastAsia="宋体" w:cs="Times New Roman"/>
                <w:color w:val="auto"/>
                <w:kern w:val="2"/>
                <w:sz w:val="21"/>
                <w:szCs w:val="21"/>
                <w:lang w:val="en-US" w:eastAsia="zh-CN" w:bidi="ar-SA"/>
              </w:rPr>
              <w:t>、Cl</w:t>
            </w:r>
            <w:r>
              <w:rPr>
                <w:rFonts w:hint="default" w:ascii="Times New Roman" w:hAnsi="Times New Roman" w:eastAsia="宋体" w:cs="Times New Roman"/>
                <w:color w:val="auto"/>
                <w:kern w:val="2"/>
                <w:sz w:val="21"/>
                <w:szCs w:val="21"/>
                <w:vertAlign w:val="superscript"/>
                <w:lang w:val="en-US" w:eastAsia="zh-CN" w:bidi="ar-SA"/>
              </w:rPr>
              <w:t>-</w:t>
            </w:r>
            <w:r>
              <w:rPr>
                <w:rFonts w:hint="default" w:ascii="Times New Roman" w:hAnsi="Times New Roman" w:eastAsia="宋体" w:cs="Times New Roman"/>
                <w:color w:val="auto"/>
                <w:kern w:val="2"/>
                <w:sz w:val="21"/>
                <w:szCs w:val="21"/>
                <w:lang w:val="en-US" w:eastAsia="zh-CN" w:bidi="ar-SA"/>
              </w:rPr>
              <w:t>、SO</w:t>
            </w:r>
            <w:r>
              <w:rPr>
                <w:rFonts w:hint="default" w:ascii="Times New Roman" w:hAnsi="Times New Roman" w:eastAsia="宋体" w:cs="Times New Roman"/>
                <w:color w:val="auto"/>
                <w:kern w:val="2"/>
                <w:sz w:val="21"/>
                <w:szCs w:val="21"/>
                <w:vertAlign w:val="subscript"/>
                <w:lang w:val="en-US" w:eastAsia="zh-CN" w:bidi="ar-SA"/>
              </w:rPr>
              <w:t>4</w:t>
            </w:r>
            <w:r>
              <w:rPr>
                <w:rFonts w:hint="default" w:ascii="Times New Roman" w:hAnsi="Times New Roman" w:eastAsia="宋体" w:cs="Times New Roman"/>
                <w:color w:val="auto"/>
                <w:kern w:val="2"/>
                <w:sz w:val="21"/>
                <w:szCs w:val="21"/>
                <w:vertAlign w:val="superscript"/>
                <w:lang w:val="en-US" w:eastAsia="zh-CN" w:bidi="ar-SA"/>
              </w:rPr>
              <w:t>2-</w:t>
            </w:r>
            <w:r>
              <w:rPr>
                <w:rFonts w:hint="default" w:ascii="Times New Roman" w:hAnsi="Times New Roman" w:eastAsia="宋体" w:cs="Times New Roman"/>
                <w:color w:val="auto"/>
                <w:kern w:val="2"/>
                <w:sz w:val="21"/>
                <w:szCs w:val="21"/>
                <w:lang w:val="en-US" w:eastAsia="zh-CN" w:bidi="ar-SA"/>
              </w:rPr>
              <w:t>；（3）pH、氨氮、高锰酸盐指数、硝酸盐、亚硝酸盐、总硬度、溶解性总固体、氯化物、硫酸盐、硫化物、挥发酚</w:t>
            </w:r>
          </w:p>
        </w:tc>
        <w:tc>
          <w:tcPr>
            <w:tcW w:w="884" w:type="pct"/>
            <w:noWrap w:val="0"/>
            <w:vAlign w:val="center"/>
          </w:tcPr>
          <w:p w14:paraId="36B2B12F">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项目场地上游</w:t>
            </w:r>
          </w:p>
        </w:tc>
      </w:tr>
      <w:tr w14:paraId="2FAFE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noWrap w:val="0"/>
            <w:vAlign w:val="center"/>
          </w:tcPr>
          <w:p w14:paraId="7B52D5A8">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D2</w:t>
            </w:r>
          </w:p>
        </w:tc>
        <w:tc>
          <w:tcPr>
            <w:tcW w:w="2136" w:type="pct"/>
            <w:noWrap w:val="0"/>
            <w:vAlign w:val="center"/>
          </w:tcPr>
          <w:p w14:paraId="5C3FA77D">
            <w:pPr>
              <w:widowControl w:val="0"/>
              <w:adjustRightInd/>
              <w:snapToGrid/>
              <w:spacing w:line="240" w:lineRule="auto"/>
              <w:ind w:firstLine="0" w:firstLineChars="0"/>
              <w:jc w:val="center"/>
              <w:rPr>
                <w:rFonts w:ascii="Times New Roman" w:hAnsi="Times New Roman" w:cs="Times New Roman"/>
                <w:kern w:val="0"/>
                <w:sz w:val="21"/>
                <w:szCs w:val="21"/>
              </w:rPr>
            </w:pPr>
            <w:r>
              <w:rPr>
                <w:rFonts w:hint="eastAsia" w:cs="Times New Roman"/>
                <w:kern w:val="0"/>
                <w:sz w:val="21"/>
                <w:szCs w:val="21"/>
                <w:lang w:val="en-US" w:eastAsia="zh-CN"/>
              </w:rPr>
              <w:t>项目东北面1200m</w:t>
            </w:r>
            <w:r>
              <w:rPr>
                <w:rFonts w:ascii="Times New Roman" w:hAnsi="Times New Roman" w:cs="Times New Roman"/>
                <w:kern w:val="0"/>
                <w:sz w:val="21"/>
                <w:szCs w:val="21"/>
              </w:rPr>
              <w:t>建滔化工烧碱</w:t>
            </w:r>
          </w:p>
          <w:p w14:paraId="7F56B071">
            <w:pPr>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生产区</w:t>
            </w:r>
          </w:p>
        </w:tc>
        <w:tc>
          <w:tcPr>
            <w:tcW w:w="1554" w:type="pct"/>
            <w:vMerge w:val="continue"/>
            <w:noWrap w:val="0"/>
            <w:vAlign w:val="center"/>
          </w:tcPr>
          <w:p w14:paraId="573A1330">
            <w:pPr>
              <w:keepNext/>
              <w:keepLines/>
              <w:widowControl w:val="0"/>
              <w:adjustRightInd/>
              <w:snapToGrid/>
              <w:spacing w:line="240" w:lineRule="auto"/>
              <w:ind w:firstLine="0" w:firstLineChars="0"/>
              <w:jc w:val="center"/>
              <w:rPr>
                <w:rFonts w:ascii="Times New Roman" w:hAnsi="Times New Roman" w:cs="Times New Roman"/>
                <w:kern w:val="0"/>
                <w:sz w:val="21"/>
                <w:szCs w:val="21"/>
              </w:rPr>
            </w:pPr>
          </w:p>
        </w:tc>
        <w:tc>
          <w:tcPr>
            <w:tcW w:w="884" w:type="pct"/>
            <w:noWrap w:val="0"/>
            <w:vAlign w:val="center"/>
          </w:tcPr>
          <w:p w14:paraId="2C165FE3">
            <w:pPr>
              <w:keepNext/>
              <w:keepLines/>
              <w:widowControl w:val="0"/>
              <w:adjustRightInd/>
              <w:snapToGrid/>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ascii="Times New Roman" w:hAnsi="Times New Roman" w:cs="Times New Roman"/>
                <w:kern w:val="0"/>
                <w:sz w:val="21"/>
                <w:szCs w:val="21"/>
              </w:rPr>
              <w:t>项目场地</w:t>
            </w:r>
            <w:r>
              <w:rPr>
                <w:rFonts w:hint="eastAsia" w:ascii="Times New Roman" w:hAnsi="Times New Roman" w:cs="Times New Roman"/>
                <w:kern w:val="0"/>
                <w:sz w:val="21"/>
                <w:szCs w:val="21"/>
                <w:lang w:val="en-US" w:eastAsia="zh-CN"/>
              </w:rPr>
              <w:t>下游</w:t>
            </w:r>
          </w:p>
        </w:tc>
      </w:tr>
      <w:tr w14:paraId="4E295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noWrap w:val="0"/>
            <w:vAlign w:val="center"/>
          </w:tcPr>
          <w:p w14:paraId="4B60CFCF">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D3</w:t>
            </w:r>
          </w:p>
        </w:tc>
        <w:tc>
          <w:tcPr>
            <w:tcW w:w="2136" w:type="pct"/>
            <w:noWrap w:val="0"/>
            <w:vAlign w:val="center"/>
          </w:tcPr>
          <w:p w14:paraId="37A2C5BC">
            <w:pPr>
              <w:widowControl w:val="0"/>
              <w:adjustRightInd/>
              <w:snapToGrid/>
              <w:spacing w:line="240" w:lineRule="auto"/>
              <w:ind w:firstLine="0" w:firstLineChars="0"/>
              <w:jc w:val="center"/>
              <w:rPr>
                <w:rFonts w:ascii="Times New Roman" w:hAnsi="Times New Roman" w:cs="Times New Roman"/>
                <w:kern w:val="0"/>
                <w:sz w:val="21"/>
                <w:szCs w:val="21"/>
              </w:rPr>
            </w:pPr>
            <w:r>
              <w:rPr>
                <w:rFonts w:hint="eastAsia" w:cs="Times New Roman"/>
                <w:kern w:val="0"/>
                <w:sz w:val="21"/>
                <w:szCs w:val="21"/>
                <w:lang w:eastAsia="zh-CN"/>
              </w:rPr>
              <w:t>项目北面2000m新安村</w:t>
            </w:r>
            <w:r>
              <w:rPr>
                <w:rFonts w:ascii="Times New Roman" w:hAnsi="Times New Roman" w:cs="Times New Roman"/>
                <w:kern w:val="0"/>
                <w:sz w:val="21"/>
                <w:szCs w:val="21"/>
              </w:rPr>
              <w:t>水井</w:t>
            </w:r>
          </w:p>
        </w:tc>
        <w:tc>
          <w:tcPr>
            <w:tcW w:w="1554" w:type="pct"/>
            <w:vMerge w:val="continue"/>
            <w:noWrap w:val="0"/>
            <w:vAlign w:val="center"/>
          </w:tcPr>
          <w:p w14:paraId="3225CC30">
            <w:pPr>
              <w:keepNext/>
              <w:keepLines/>
              <w:widowControl w:val="0"/>
              <w:adjustRightInd/>
              <w:snapToGrid/>
              <w:spacing w:line="240" w:lineRule="auto"/>
              <w:ind w:firstLine="0" w:firstLineChars="0"/>
              <w:jc w:val="center"/>
              <w:rPr>
                <w:rFonts w:ascii="Times New Roman" w:hAnsi="Times New Roman" w:cs="Times New Roman"/>
                <w:kern w:val="0"/>
                <w:sz w:val="21"/>
                <w:szCs w:val="21"/>
              </w:rPr>
            </w:pPr>
          </w:p>
        </w:tc>
        <w:tc>
          <w:tcPr>
            <w:tcW w:w="884" w:type="pct"/>
            <w:noWrap w:val="0"/>
            <w:vAlign w:val="center"/>
          </w:tcPr>
          <w:p w14:paraId="0BB689C8">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项目场地</w:t>
            </w:r>
            <w:r>
              <w:rPr>
                <w:rFonts w:hint="eastAsia" w:ascii="Times New Roman" w:hAnsi="Times New Roman" w:cs="Times New Roman"/>
                <w:kern w:val="0"/>
                <w:sz w:val="21"/>
                <w:szCs w:val="21"/>
                <w:lang w:val="en-US" w:eastAsia="zh-CN"/>
              </w:rPr>
              <w:t>下游</w:t>
            </w:r>
          </w:p>
        </w:tc>
      </w:tr>
      <w:tr w14:paraId="7C1B8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noWrap w:val="0"/>
            <w:vAlign w:val="center"/>
          </w:tcPr>
          <w:p w14:paraId="41824F00">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D4</w:t>
            </w:r>
          </w:p>
        </w:tc>
        <w:tc>
          <w:tcPr>
            <w:tcW w:w="2136" w:type="pct"/>
            <w:noWrap w:val="0"/>
            <w:vAlign w:val="center"/>
          </w:tcPr>
          <w:p w14:paraId="47EDBCC3">
            <w:pPr>
              <w:widowControl w:val="0"/>
              <w:adjustRightInd/>
              <w:snapToGrid/>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cs="Times New Roman"/>
                <w:kern w:val="0"/>
                <w:sz w:val="21"/>
                <w:szCs w:val="21"/>
              </w:rPr>
              <w:t>项目南面600m处新竹村</w:t>
            </w:r>
            <w:r>
              <w:rPr>
                <w:rFonts w:hint="eastAsia" w:cs="Times New Roman"/>
                <w:kern w:val="0"/>
                <w:sz w:val="21"/>
                <w:szCs w:val="21"/>
                <w:lang w:val="en-US" w:eastAsia="zh-CN"/>
              </w:rPr>
              <w:t>水井</w:t>
            </w:r>
          </w:p>
        </w:tc>
        <w:tc>
          <w:tcPr>
            <w:tcW w:w="1554" w:type="pct"/>
            <w:vMerge w:val="continue"/>
            <w:noWrap w:val="0"/>
            <w:vAlign w:val="center"/>
          </w:tcPr>
          <w:p w14:paraId="48AF21F0">
            <w:pPr>
              <w:keepNext/>
              <w:keepLines/>
              <w:widowControl w:val="0"/>
              <w:adjustRightInd/>
              <w:snapToGrid/>
              <w:spacing w:line="240" w:lineRule="auto"/>
              <w:ind w:firstLine="0" w:firstLineChars="0"/>
              <w:jc w:val="center"/>
              <w:rPr>
                <w:rFonts w:ascii="Times New Roman" w:hAnsi="Times New Roman" w:cs="Times New Roman"/>
                <w:kern w:val="0"/>
                <w:sz w:val="21"/>
                <w:szCs w:val="21"/>
              </w:rPr>
            </w:pPr>
          </w:p>
        </w:tc>
        <w:tc>
          <w:tcPr>
            <w:tcW w:w="884" w:type="pct"/>
            <w:noWrap w:val="0"/>
            <w:vAlign w:val="center"/>
          </w:tcPr>
          <w:p w14:paraId="36003EA8">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项目场地</w:t>
            </w:r>
            <w:r>
              <w:rPr>
                <w:rFonts w:hint="eastAsia" w:ascii="Times New Roman" w:hAnsi="Times New Roman" w:cs="Times New Roman"/>
                <w:kern w:val="0"/>
                <w:sz w:val="21"/>
                <w:szCs w:val="21"/>
                <w:lang w:val="en-US" w:eastAsia="zh-CN"/>
              </w:rPr>
              <w:t>两侧</w:t>
            </w:r>
          </w:p>
        </w:tc>
      </w:tr>
      <w:tr w14:paraId="150C6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noWrap w:val="0"/>
            <w:vAlign w:val="center"/>
          </w:tcPr>
          <w:p w14:paraId="2334264F">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D5</w:t>
            </w:r>
          </w:p>
        </w:tc>
        <w:tc>
          <w:tcPr>
            <w:tcW w:w="2136" w:type="pct"/>
            <w:noWrap w:val="0"/>
            <w:vAlign w:val="center"/>
          </w:tcPr>
          <w:p w14:paraId="414536F1">
            <w:pPr>
              <w:widowControl w:val="0"/>
              <w:adjustRightInd/>
              <w:snapToGrid/>
              <w:spacing w:line="240" w:lineRule="auto"/>
              <w:ind w:firstLine="0" w:firstLineChars="0"/>
              <w:jc w:val="center"/>
              <w:rPr>
                <w:rFonts w:ascii="Times New Roman" w:hAnsi="Times New Roman" w:cs="Times New Roman"/>
                <w:kern w:val="0"/>
                <w:sz w:val="21"/>
                <w:szCs w:val="21"/>
              </w:rPr>
            </w:pPr>
            <w:r>
              <w:rPr>
                <w:rFonts w:hint="eastAsia" w:ascii="Times New Roman" w:hAnsi="Times New Roman" w:cs="Times New Roman"/>
                <w:kern w:val="0"/>
                <w:sz w:val="21"/>
                <w:szCs w:val="21"/>
              </w:rPr>
              <w:t>项目东面1400m处金兰村</w:t>
            </w:r>
            <w:r>
              <w:rPr>
                <w:rFonts w:ascii="Times New Roman" w:hAnsi="Times New Roman" w:cs="Times New Roman"/>
                <w:kern w:val="0"/>
                <w:sz w:val="21"/>
                <w:szCs w:val="21"/>
              </w:rPr>
              <w:t>水井</w:t>
            </w:r>
          </w:p>
        </w:tc>
        <w:tc>
          <w:tcPr>
            <w:tcW w:w="1554" w:type="pct"/>
            <w:vMerge w:val="continue"/>
            <w:noWrap w:val="0"/>
            <w:vAlign w:val="center"/>
          </w:tcPr>
          <w:p w14:paraId="17AF236D">
            <w:pPr>
              <w:keepNext/>
              <w:keepLines/>
              <w:widowControl w:val="0"/>
              <w:adjustRightInd/>
              <w:snapToGrid/>
              <w:spacing w:line="240" w:lineRule="auto"/>
              <w:ind w:firstLine="0" w:firstLineChars="0"/>
              <w:jc w:val="center"/>
              <w:rPr>
                <w:rFonts w:ascii="Times New Roman" w:hAnsi="Times New Roman" w:cs="Times New Roman"/>
                <w:kern w:val="0"/>
                <w:sz w:val="21"/>
                <w:szCs w:val="21"/>
              </w:rPr>
            </w:pPr>
          </w:p>
        </w:tc>
        <w:tc>
          <w:tcPr>
            <w:tcW w:w="884" w:type="pct"/>
            <w:noWrap w:val="0"/>
            <w:vAlign w:val="center"/>
          </w:tcPr>
          <w:p w14:paraId="57110BCF">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项目场地下游</w:t>
            </w:r>
          </w:p>
        </w:tc>
      </w:tr>
      <w:tr w14:paraId="699F28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noWrap w:val="0"/>
            <w:vAlign w:val="center"/>
          </w:tcPr>
          <w:p w14:paraId="1CBF038A">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D6</w:t>
            </w:r>
          </w:p>
        </w:tc>
        <w:tc>
          <w:tcPr>
            <w:tcW w:w="2136" w:type="pct"/>
            <w:noWrap w:val="0"/>
            <w:vAlign w:val="center"/>
          </w:tcPr>
          <w:p w14:paraId="7DC76A2C">
            <w:pPr>
              <w:keepNext/>
              <w:keepLines/>
              <w:widowControl w:val="0"/>
              <w:adjustRightInd/>
              <w:snapToGrid/>
              <w:spacing w:line="240" w:lineRule="auto"/>
              <w:ind w:firstLine="0" w:firstLineChars="0"/>
              <w:jc w:val="center"/>
              <w:rPr>
                <w:rFonts w:ascii="Times New Roman" w:hAnsi="Times New Roman" w:cs="Times New Roman"/>
                <w:color w:val="000000"/>
                <w:kern w:val="2"/>
                <w:sz w:val="21"/>
                <w:szCs w:val="21"/>
              </w:rPr>
            </w:pPr>
            <w:r>
              <w:rPr>
                <w:rFonts w:hint="eastAsia" w:cs="Times New Roman"/>
                <w:color w:val="000000"/>
                <w:kern w:val="0"/>
                <w:sz w:val="21"/>
                <w:szCs w:val="21"/>
                <w:lang w:eastAsia="zh-CN"/>
              </w:rPr>
              <w:t>项目北面2900m三里村</w:t>
            </w:r>
            <w:r>
              <w:rPr>
                <w:rFonts w:ascii="Times New Roman" w:hAnsi="Times New Roman" w:cs="Times New Roman"/>
                <w:color w:val="000000"/>
                <w:kern w:val="0"/>
                <w:sz w:val="21"/>
                <w:szCs w:val="21"/>
              </w:rPr>
              <w:t>水井</w:t>
            </w:r>
          </w:p>
        </w:tc>
        <w:tc>
          <w:tcPr>
            <w:tcW w:w="1554" w:type="pct"/>
            <w:noWrap w:val="0"/>
            <w:vAlign w:val="center"/>
          </w:tcPr>
          <w:p w14:paraId="4F36D906">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水位</w:t>
            </w:r>
          </w:p>
        </w:tc>
        <w:tc>
          <w:tcPr>
            <w:tcW w:w="884" w:type="pct"/>
            <w:noWrap w:val="0"/>
            <w:vAlign w:val="center"/>
          </w:tcPr>
          <w:p w14:paraId="03495159">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项目场地</w:t>
            </w:r>
            <w:r>
              <w:rPr>
                <w:rFonts w:hint="eastAsia" w:ascii="Times New Roman" w:hAnsi="Times New Roman" w:cs="Times New Roman"/>
                <w:kern w:val="0"/>
                <w:sz w:val="21"/>
                <w:szCs w:val="21"/>
                <w:lang w:val="en-US" w:eastAsia="zh-CN"/>
              </w:rPr>
              <w:t>下游</w:t>
            </w:r>
          </w:p>
        </w:tc>
      </w:tr>
      <w:tr w14:paraId="71765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noWrap w:val="0"/>
            <w:vAlign w:val="center"/>
          </w:tcPr>
          <w:p w14:paraId="6B25AD8A">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D7</w:t>
            </w:r>
          </w:p>
        </w:tc>
        <w:tc>
          <w:tcPr>
            <w:tcW w:w="2136" w:type="pct"/>
            <w:noWrap w:val="0"/>
            <w:vAlign w:val="center"/>
          </w:tcPr>
          <w:p w14:paraId="1EA36A52">
            <w:pPr>
              <w:keepNext/>
              <w:keepLines/>
              <w:widowControl w:val="0"/>
              <w:adjustRightInd/>
              <w:snapToGrid/>
              <w:spacing w:line="240" w:lineRule="auto"/>
              <w:ind w:firstLine="0" w:firstLineChars="0"/>
              <w:jc w:val="center"/>
              <w:rPr>
                <w:rFonts w:ascii="Times New Roman" w:hAnsi="Times New Roman" w:cs="Times New Roman"/>
                <w:color w:val="000000"/>
                <w:kern w:val="2"/>
                <w:sz w:val="21"/>
                <w:szCs w:val="21"/>
              </w:rPr>
            </w:pPr>
            <w:r>
              <w:rPr>
                <w:rFonts w:ascii="Times New Roman" w:hAnsi="Times New Roman" w:cs="Times New Roman"/>
                <w:color w:val="000000"/>
                <w:kern w:val="0"/>
                <w:sz w:val="21"/>
                <w:szCs w:val="21"/>
              </w:rPr>
              <w:t>项目南面700m龙谊村水井</w:t>
            </w:r>
          </w:p>
        </w:tc>
        <w:tc>
          <w:tcPr>
            <w:tcW w:w="1554" w:type="pct"/>
            <w:noWrap w:val="0"/>
            <w:vAlign w:val="center"/>
          </w:tcPr>
          <w:p w14:paraId="21DFD19A">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水位</w:t>
            </w:r>
          </w:p>
        </w:tc>
        <w:tc>
          <w:tcPr>
            <w:tcW w:w="884" w:type="pct"/>
            <w:noWrap w:val="0"/>
            <w:vAlign w:val="center"/>
          </w:tcPr>
          <w:p w14:paraId="0D1C7EBC">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项目场地两侧</w:t>
            </w:r>
          </w:p>
        </w:tc>
      </w:tr>
      <w:tr w14:paraId="06349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noWrap w:val="0"/>
            <w:vAlign w:val="center"/>
          </w:tcPr>
          <w:p w14:paraId="1284F7DE">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D8</w:t>
            </w:r>
          </w:p>
        </w:tc>
        <w:tc>
          <w:tcPr>
            <w:tcW w:w="2136" w:type="pct"/>
            <w:noWrap w:val="0"/>
            <w:vAlign w:val="center"/>
          </w:tcPr>
          <w:p w14:paraId="21054DC8">
            <w:pPr>
              <w:keepNext/>
              <w:keepLines/>
              <w:widowControl w:val="0"/>
              <w:adjustRightInd/>
              <w:snapToGrid/>
              <w:spacing w:line="240" w:lineRule="auto"/>
              <w:ind w:firstLine="0" w:firstLineChars="0"/>
              <w:jc w:val="center"/>
              <w:rPr>
                <w:rFonts w:ascii="Times New Roman" w:hAnsi="Times New Roman" w:cs="Times New Roman"/>
                <w:color w:val="000000"/>
                <w:kern w:val="2"/>
                <w:sz w:val="21"/>
                <w:szCs w:val="21"/>
              </w:rPr>
            </w:pPr>
            <w:r>
              <w:rPr>
                <w:rFonts w:hint="eastAsia" w:ascii="Times New Roman" w:hAnsi="Times New Roman" w:cs="Times New Roman"/>
                <w:kern w:val="0"/>
                <w:sz w:val="21"/>
                <w:szCs w:val="21"/>
              </w:rPr>
              <w:t>项目北面2000m新安村</w:t>
            </w:r>
            <w:r>
              <w:rPr>
                <w:rFonts w:ascii="Times New Roman" w:hAnsi="Times New Roman" w:cs="Times New Roman"/>
                <w:color w:val="000000"/>
                <w:kern w:val="0"/>
                <w:sz w:val="21"/>
                <w:szCs w:val="21"/>
              </w:rPr>
              <w:t>水井</w:t>
            </w:r>
          </w:p>
        </w:tc>
        <w:tc>
          <w:tcPr>
            <w:tcW w:w="1554" w:type="pct"/>
            <w:noWrap w:val="0"/>
            <w:vAlign w:val="center"/>
          </w:tcPr>
          <w:p w14:paraId="75E5EC52">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水位</w:t>
            </w:r>
          </w:p>
        </w:tc>
        <w:tc>
          <w:tcPr>
            <w:tcW w:w="884" w:type="pct"/>
            <w:noWrap w:val="0"/>
            <w:vAlign w:val="center"/>
          </w:tcPr>
          <w:p w14:paraId="5FA3D526">
            <w:pPr>
              <w:keepNext/>
              <w:keepLines/>
              <w:widowControl w:val="0"/>
              <w:adjustRightInd/>
              <w:snapToGrid/>
              <w:spacing w:line="240" w:lineRule="auto"/>
              <w:ind w:firstLine="0" w:firstLineChars="0"/>
              <w:jc w:val="center"/>
              <w:rPr>
                <w:rFonts w:hint="eastAsia" w:ascii="Times New Roman" w:hAnsi="Times New Roman" w:eastAsia="宋体" w:cs="Times New Roman"/>
                <w:kern w:val="0"/>
                <w:sz w:val="21"/>
                <w:szCs w:val="21"/>
                <w:lang w:eastAsia="zh-CN"/>
              </w:rPr>
            </w:pPr>
            <w:r>
              <w:rPr>
                <w:rFonts w:ascii="Times New Roman" w:hAnsi="Times New Roman" w:cs="Times New Roman"/>
                <w:kern w:val="0"/>
                <w:sz w:val="21"/>
                <w:szCs w:val="21"/>
              </w:rPr>
              <w:t>项目场地</w:t>
            </w:r>
            <w:r>
              <w:rPr>
                <w:rFonts w:hint="eastAsia" w:ascii="Times New Roman" w:hAnsi="Times New Roman" w:cs="Times New Roman"/>
                <w:kern w:val="0"/>
                <w:sz w:val="21"/>
                <w:szCs w:val="21"/>
                <w:lang w:val="en-US" w:eastAsia="zh-CN"/>
              </w:rPr>
              <w:t>下游</w:t>
            </w:r>
          </w:p>
        </w:tc>
      </w:tr>
      <w:tr w14:paraId="6BC9D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noWrap w:val="0"/>
            <w:vAlign w:val="center"/>
          </w:tcPr>
          <w:p w14:paraId="358BDCDA">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D9</w:t>
            </w:r>
          </w:p>
        </w:tc>
        <w:tc>
          <w:tcPr>
            <w:tcW w:w="2136" w:type="pct"/>
            <w:noWrap w:val="0"/>
            <w:vAlign w:val="center"/>
          </w:tcPr>
          <w:p w14:paraId="12D445FD">
            <w:pPr>
              <w:keepNext/>
              <w:keepLines/>
              <w:widowControl w:val="0"/>
              <w:adjustRightInd/>
              <w:snapToGrid/>
              <w:spacing w:line="240" w:lineRule="auto"/>
              <w:ind w:firstLine="0" w:firstLineChars="0"/>
              <w:jc w:val="center"/>
              <w:rPr>
                <w:rFonts w:ascii="Times New Roman" w:hAnsi="Times New Roman" w:cs="Times New Roman"/>
                <w:color w:val="000000"/>
                <w:kern w:val="2"/>
                <w:sz w:val="21"/>
                <w:szCs w:val="21"/>
              </w:rPr>
            </w:pPr>
            <w:r>
              <w:rPr>
                <w:rFonts w:hint="eastAsia" w:cs="Times New Roman"/>
                <w:color w:val="000000"/>
                <w:kern w:val="0"/>
                <w:sz w:val="21"/>
                <w:szCs w:val="21"/>
                <w:lang w:eastAsia="zh-CN"/>
              </w:rPr>
              <w:t>项目东南面1800m曾家组屋</w:t>
            </w:r>
            <w:r>
              <w:rPr>
                <w:rFonts w:ascii="Times New Roman" w:hAnsi="Times New Roman" w:cs="Times New Roman"/>
                <w:color w:val="000000"/>
                <w:kern w:val="0"/>
                <w:sz w:val="21"/>
                <w:szCs w:val="21"/>
              </w:rPr>
              <w:t>水井</w:t>
            </w:r>
          </w:p>
        </w:tc>
        <w:tc>
          <w:tcPr>
            <w:tcW w:w="1554" w:type="pct"/>
            <w:noWrap w:val="0"/>
            <w:vAlign w:val="center"/>
          </w:tcPr>
          <w:p w14:paraId="4F604FA4">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水位</w:t>
            </w:r>
          </w:p>
        </w:tc>
        <w:tc>
          <w:tcPr>
            <w:tcW w:w="884" w:type="pct"/>
            <w:noWrap w:val="0"/>
            <w:vAlign w:val="center"/>
          </w:tcPr>
          <w:p w14:paraId="6F9C34FB">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项目场地下游</w:t>
            </w:r>
          </w:p>
        </w:tc>
      </w:tr>
      <w:tr w14:paraId="2A71C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noWrap w:val="0"/>
            <w:vAlign w:val="center"/>
          </w:tcPr>
          <w:p w14:paraId="6EEF10B4">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D10</w:t>
            </w:r>
          </w:p>
        </w:tc>
        <w:tc>
          <w:tcPr>
            <w:tcW w:w="2136" w:type="pct"/>
            <w:noWrap w:val="0"/>
            <w:vAlign w:val="center"/>
          </w:tcPr>
          <w:p w14:paraId="02A52B0F">
            <w:pPr>
              <w:keepNext/>
              <w:keepLines/>
              <w:widowControl w:val="0"/>
              <w:adjustRightInd/>
              <w:snapToGrid/>
              <w:spacing w:line="240" w:lineRule="auto"/>
              <w:ind w:firstLine="0" w:firstLineChars="0"/>
              <w:jc w:val="center"/>
              <w:rPr>
                <w:rFonts w:ascii="Times New Roman" w:hAnsi="Times New Roman" w:cs="Times New Roman"/>
                <w:color w:val="000000"/>
                <w:kern w:val="2"/>
                <w:sz w:val="21"/>
                <w:szCs w:val="21"/>
              </w:rPr>
            </w:pPr>
            <w:r>
              <w:rPr>
                <w:rFonts w:ascii="Times New Roman" w:hAnsi="Times New Roman" w:cs="Times New Roman"/>
                <w:color w:val="000000"/>
                <w:kern w:val="0"/>
                <w:sz w:val="21"/>
                <w:szCs w:val="21"/>
              </w:rPr>
              <w:t>西面2340m金源社区水井</w:t>
            </w:r>
          </w:p>
        </w:tc>
        <w:tc>
          <w:tcPr>
            <w:tcW w:w="1554" w:type="pct"/>
            <w:noWrap w:val="0"/>
            <w:vAlign w:val="center"/>
          </w:tcPr>
          <w:p w14:paraId="236CE498">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水位</w:t>
            </w:r>
          </w:p>
        </w:tc>
        <w:tc>
          <w:tcPr>
            <w:tcW w:w="884" w:type="pct"/>
            <w:noWrap w:val="0"/>
            <w:vAlign w:val="center"/>
          </w:tcPr>
          <w:p w14:paraId="06FC245C">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项目场地上游</w:t>
            </w:r>
          </w:p>
        </w:tc>
      </w:tr>
    </w:tbl>
    <w:p w14:paraId="29A4F4D5">
      <w:pPr>
        <w:spacing w:line="240" w:lineRule="auto"/>
        <w:rPr>
          <w:rFonts w:hint="eastAsia"/>
          <w:lang w:val="en-US" w:eastAsia="zh-CN"/>
        </w:rPr>
      </w:pPr>
    </w:p>
    <w:p w14:paraId="3910AA41">
      <w:pPr>
        <w:rPr>
          <w:rFonts w:hint="eastAsia"/>
          <w:lang w:val="en-US" w:eastAsia="zh-CN"/>
        </w:rPr>
      </w:pPr>
      <w:r>
        <w:rPr>
          <w:rFonts w:hint="eastAsia"/>
          <w:lang w:val="en-US" w:eastAsia="zh-CN"/>
        </w:rPr>
        <w:t>补充监测共布设了5个水质监测点。</w:t>
      </w:r>
    </w:p>
    <w:p w14:paraId="5C00C998">
      <w:pPr>
        <w:pStyle w:val="43"/>
        <w:numPr>
          <w:ilvl w:val="5"/>
          <w:numId w:val="1"/>
        </w:numPr>
        <w:bidi w:val="0"/>
        <w:rPr>
          <w:rFonts w:hint="default"/>
          <w:lang w:val="en-US" w:eastAsia="zh-CN"/>
        </w:rPr>
      </w:pPr>
      <w:r>
        <w:rPr>
          <w:rFonts w:hint="eastAsia"/>
          <w:lang w:val="en-US" w:eastAsia="zh-CN"/>
        </w:rPr>
        <w:t>项目地下水补充监测布点及监测因子</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9"/>
        <w:gridCol w:w="3362"/>
        <w:gridCol w:w="2360"/>
        <w:gridCol w:w="1901"/>
      </w:tblGrid>
      <w:tr w14:paraId="78B82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noWrap w:val="0"/>
            <w:vAlign w:val="center"/>
          </w:tcPr>
          <w:p w14:paraId="1A8F0046">
            <w:pPr>
              <w:keepNext/>
              <w:keepLines/>
              <w:widowControl w:val="0"/>
              <w:adjustRightInd/>
              <w:snapToGrid/>
              <w:spacing w:line="240" w:lineRule="auto"/>
              <w:ind w:firstLine="0" w:firstLineChars="0"/>
              <w:jc w:val="center"/>
              <w:rPr>
                <w:rFonts w:ascii="Times New Roman" w:hAnsi="Times New Roman" w:cs="Times New Roman"/>
                <w:b/>
                <w:bCs/>
                <w:kern w:val="0"/>
                <w:sz w:val="21"/>
                <w:szCs w:val="21"/>
              </w:rPr>
            </w:pPr>
            <w:r>
              <w:rPr>
                <w:rFonts w:ascii="Times New Roman" w:hAnsi="Times New Roman" w:cs="Times New Roman"/>
                <w:b/>
                <w:bCs/>
                <w:kern w:val="0"/>
                <w:sz w:val="21"/>
                <w:szCs w:val="21"/>
              </w:rPr>
              <w:t>编号</w:t>
            </w:r>
          </w:p>
        </w:tc>
        <w:tc>
          <w:tcPr>
            <w:tcW w:w="1972" w:type="pct"/>
            <w:noWrap w:val="0"/>
            <w:vAlign w:val="center"/>
          </w:tcPr>
          <w:p w14:paraId="1F308A0D">
            <w:pPr>
              <w:keepNext/>
              <w:keepLines/>
              <w:widowControl w:val="0"/>
              <w:adjustRightInd/>
              <w:snapToGrid/>
              <w:spacing w:line="240" w:lineRule="auto"/>
              <w:ind w:firstLine="0" w:firstLineChars="0"/>
              <w:jc w:val="center"/>
              <w:rPr>
                <w:rFonts w:ascii="Times New Roman" w:hAnsi="Times New Roman" w:cs="Times New Roman"/>
                <w:b/>
                <w:bCs/>
                <w:kern w:val="0"/>
                <w:sz w:val="21"/>
                <w:szCs w:val="21"/>
              </w:rPr>
            </w:pPr>
            <w:r>
              <w:rPr>
                <w:rFonts w:ascii="Times New Roman" w:hAnsi="Times New Roman" w:cs="Times New Roman"/>
                <w:b/>
                <w:bCs/>
                <w:kern w:val="0"/>
                <w:sz w:val="21"/>
                <w:szCs w:val="21"/>
              </w:rPr>
              <w:t>监测点位</w:t>
            </w:r>
          </w:p>
        </w:tc>
        <w:tc>
          <w:tcPr>
            <w:tcW w:w="1384" w:type="pct"/>
            <w:noWrap w:val="0"/>
            <w:vAlign w:val="center"/>
          </w:tcPr>
          <w:p w14:paraId="7D403C65">
            <w:pPr>
              <w:keepNext/>
              <w:keepLines/>
              <w:widowControl w:val="0"/>
              <w:adjustRightInd/>
              <w:snapToGrid/>
              <w:spacing w:line="240" w:lineRule="auto"/>
              <w:ind w:firstLine="0" w:firstLineChars="0"/>
              <w:jc w:val="center"/>
              <w:rPr>
                <w:rFonts w:ascii="Times New Roman" w:hAnsi="Times New Roman" w:cs="Times New Roman"/>
                <w:b/>
                <w:bCs/>
                <w:kern w:val="0"/>
                <w:sz w:val="21"/>
                <w:szCs w:val="21"/>
              </w:rPr>
            </w:pPr>
            <w:r>
              <w:rPr>
                <w:rFonts w:ascii="Times New Roman" w:hAnsi="Times New Roman" w:cs="Times New Roman"/>
                <w:b/>
                <w:bCs/>
                <w:kern w:val="0"/>
                <w:sz w:val="21"/>
                <w:szCs w:val="21"/>
              </w:rPr>
              <w:t>监测水质、水位</w:t>
            </w:r>
          </w:p>
        </w:tc>
        <w:tc>
          <w:tcPr>
            <w:tcW w:w="1115" w:type="pct"/>
            <w:noWrap w:val="0"/>
            <w:vAlign w:val="center"/>
          </w:tcPr>
          <w:p w14:paraId="06116F38">
            <w:pPr>
              <w:keepNext/>
              <w:keepLines/>
              <w:widowControl w:val="0"/>
              <w:adjustRightInd/>
              <w:snapToGrid/>
              <w:spacing w:line="240" w:lineRule="auto"/>
              <w:ind w:firstLine="0" w:firstLineChars="0"/>
              <w:jc w:val="center"/>
              <w:rPr>
                <w:rFonts w:ascii="Times New Roman" w:hAnsi="Times New Roman" w:cs="Times New Roman"/>
                <w:b/>
                <w:bCs/>
                <w:kern w:val="0"/>
                <w:sz w:val="21"/>
                <w:szCs w:val="21"/>
              </w:rPr>
            </w:pPr>
            <w:r>
              <w:rPr>
                <w:rFonts w:ascii="Times New Roman" w:hAnsi="Times New Roman" w:cs="Times New Roman"/>
                <w:b/>
                <w:bCs/>
                <w:kern w:val="0"/>
                <w:sz w:val="21"/>
                <w:szCs w:val="21"/>
              </w:rPr>
              <w:t>备注</w:t>
            </w:r>
          </w:p>
        </w:tc>
      </w:tr>
      <w:tr w14:paraId="1291D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noWrap w:val="0"/>
            <w:vAlign w:val="center"/>
          </w:tcPr>
          <w:p w14:paraId="65577F1B">
            <w:pPr>
              <w:keepNext/>
              <w:keepLines/>
              <w:widowControl w:val="0"/>
              <w:adjustRightInd/>
              <w:snapToGrid/>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ascii="Times New Roman" w:hAnsi="Times New Roman" w:cs="Times New Roman"/>
                <w:kern w:val="0"/>
                <w:sz w:val="21"/>
                <w:szCs w:val="21"/>
              </w:rPr>
              <w:t>D1</w:t>
            </w:r>
            <w:r>
              <w:rPr>
                <w:rFonts w:hint="eastAsia" w:ascii="Times New Roman" w:hAnsi="Times New Roman" w:cs="Times New Roman"/>
                <w:kern w:val="0"/>
                <w:sz w:val="21"/>
                <w:szCs w:val="21"/>
                <w:lang w:val="en-US" w:eastAsia="zh-CN"/>
              </w:rPr>
              <w:t>*</w:t>
            </w:r>
          </w:p>
        </w:tc>
        <w:tc>
          <w:tcPr>
            <w:tcW w:w="1972" w:type="pct"/>
            <w:noWrap w:val="0"/>
            <w:vAlign w:val="center"/>
          </w:tcPr>
          <w:p w14:paraId="6D2989B7">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hint="eastAsia" w:ascii="Times New Roman" w:hAnsi="Times New Roman" w:cs="Times New Roman"/>
                <w:kern w:val="0"/>
                <w:sz w:val="21"/>
                <w:szCs w:val="21"/>
              </w:rPr>
              <w:t>项目西南面2100m松木乡</w:t>
            </w:r>
          </w:p>
        </w:tc>
        <w:tc>
          <w:tcPr>
            <w:tcW w:w="1384" w:type="pct"/>
            <w:vMerge w:val="restart"/>
            <w:noWrap w:val="0"/>
            <w:vAlign w:val="center"/>
          </w:tcPr>
          <w:p w14:paraId="0F0802D2">
            <w:pPr>
              <w:widowControl w:val="0"/>
              <w:autoSpaceDE w:val="0"/>
              <w:autoSpaceDN w:val="0"/>
              <w:adjustRightInd w:val="0"/>
              <w:spacing w:line="240" w:lineRule="auto"/>
              <w:ind w:firstLine="0" w:firstLineChars="0"/>
              <w:jc w:val="center"/>
              <w:rPr>
                <w:rFonts w:hint="default" w:ascii="Times New Roman" w:hAnsi="Times New Roman" w:eastAsia="Sim Sun" w:cs="Times New Roman"/>
                <w:color w:val="000000"/>
                <w:kern w:val="2"/>
                <w:sz w:val="21"/>
                <w:szCs w:val="21"/>
                <w:lang w:val="en-US" w:eastAsia="zh-CN" w:bidi="ar-SA"/>
              </w:rPr>
            </w:pPr>
            <w:r>
              <w:rPr>
                <w:rFonts w:hint="eastAsia" w:ascii="Times New Roman" w:hAnsi="Times New Roman" w:eastAsia="Sim Sun" w:cs="Times New Roman"/>
                <w:color w:val="000000"/>
                <w:kern w:val="2"/>
                <w:sz w:val="21"/>
                <w:szCs w:val="21"/>
                <w:lang w:val="en-US" w:eastAsia="zh-CN" w:bidi="ar-SA"/>
              </w:rPr>
              <w:t>六价铬、钡、铅、氯化物、高氯酸盐</w:t>
            </w:r>
          </w:p>
        </w:tc>
        <w:tc>
          <w:tcPr>
            <w:tcW w:w="1115" w:type="pct"/>
            <w:noWrap w:val="0"/>
            <w:vAlign w:val="center"/>
          </w:tcPr>
          <w:p w14:paraId="3F9FD442">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项目场地上游</w:t>
            </w:r>
          </w:p>
        </w:tc>
      </w:tr>
      <w:tr w14:paraId="246CD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noWrap w:val="0"/>
            <w:vAlign w:val="center"/>
          </w:tcPr>
          <w:p w14:paraId="0147378E">
            <w:pPr>
              <w:keepNext/>
              <w:keepLines/>
              <w:widowControl w:val="0"/>
              <w:adjustRightInd/>
              <w:snapToGrid/>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ascii="Times New Roman" w:hAnsi="Times New Roman" w:cs="Times New Roman"/>
                <w:kern w:val="0"/>
                <w:sz w:val="21"/>
                <w:szCs w:val="21"/>
              </w:rPr>
              <w:t>D2</w:t>
            </w:r>
            <w:r>
              <w:rPr>
                <w:rFonts w:hint="eastAsia" w:ascii="Times New Roman" w:hAnsi="Times New Roman" w:cs="Times New Roman"/>
                <w:kern w:val="0"/>
                <w:sz w:val="21"/>
                <w:szCs w:val="21"/>
                <w:lang w:val="en-US" w:eastAsia="zh-CN"/>
              </w:rPr>
              <w:t>*</w:t>
            </w:r>
          </w:p>
        </w:tc>
        <w:tc>
          <w:tcPr>
            <w:tcW w:w="1972" w:type="pct"/>
            <w:noWrap w:val="0"/>
            <w:vAlign w:val="center"/>
          </w:tcPr>
          <w:p w14:paraId="4C15BC36">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hint="eastAsia" w:ascii="Times New Roman" w:hAnsi="Times New Roman" w:cs="Times New Roman"/>
                <w:kern w:val="0"/>
                <w:sz w:val="21"/>
                <w:szCs w:val="21"/>
              </w:rPr>
              <w:t>本项目中心点</w:t>
            </w:r>
          </w:p>
        </w:tc>
        <w:tc>
          <w:tcPr>
            <w:tcW w:w="1384" w:type="pct"/>
            <w:vMerge w:val="continue"/>
            <w:noWrap w:val="0"/>
            <w:vAlign w:val="center"/>
          </w:tcPr>
          <w:p w14:paraId="20B47390">
            <w:pPr>
              <w:keepNext/>
              <w:keepLines/>
              <w:widowControl w:val="0"/>
              <w:adjustRightInd/>
              <w:snapToGrid/>
              <w:spacing w:line="240" w:lineRule="auto"/>
              <w:ind w:firstLine="0" w:firstLineChars="0"/>
              <w:jc w:val="center"/>
              <w:rPr>
                <w:rFonts w:ascii="Times New Roman" w:hAnsi="Times New Roman" w:cs="Times New Roman"/>
                <w:kern w:val="0"/>
                <w:sz w:val="21"/>
                <w:szCs w:val="21"/>
              </w:rPr>
            </w:pPr>
          </w:p>
        </w:tc>
        <w:tc>
          <w:tcPr>
            <w:tcW w:w="1115" w:type="pct"/>
            <w:noWrap w:val="0"/>
            <w:vAlign w:val="center"/>
          </w:tcPr>
          <w:p w14:paraId="3E534664">
            <w:pPr>
              <w:keepNext/>
              <w:keepLines/>
              <w:widowControl w:val="0"/>
              <w:adjustRightInd/>
              <w:snapToGrid/>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项目场地</w:t>
            </w:r>
          </w:p>
        </w:tc>
      </w:tr>
      <w:tr w14:paraId="12A87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noWrap w:val="0"/>
            <w:vAlign w:val="center"/>
          </w:tcPr>
          <w:p w14:paraId="41BC57DF">
            <w:pPr>
              <w:keepNext/>
              <w:keepLines/>
              <w:widowControl w:val="0"/>
              <w:adjustRightInd/>
              <w:snapToGrid/>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ascii="Times New Roman" w:hAnsi="Times New Roman" w:cs="Times New Roman"/>
                <w:kern w:val="0"/>
                <w:sz w:val="21"/>
                <w:szCs w:val="21"/>
              </w:rPr>
              <w:t>D3</w:t>
            </w:r>
            <w:r>
              <w:rPr>
                <w:rFonts w:hint="eastAsia" w:ascii="Times New Roman" w:hAnsi="Times New Roman" w:cs="Times New Roman"/>
                <w:kern w:val="0"/>
                <w:sz w:val="21"/>
                <w:szCs w:val="21"/>
                <w:lang w:val="en-US" w:eastAsia="zh-CN"/>
              </w:rPr>
              <w:t>*</w:t>
            </w:r>
          </w:p>
        </w:tc>
        <w:tc>
          <w:tcPr>
            <w:tcW w:w="1972" w:type="pct"/>
            <w:noWrap w:val="0"/>
            <w:vAlign w:val="center"/>
          </w:tcPr>
          <w:p w14:paraId="113F4FDD">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hint="eastAsia" w:ascii="Times New Roman" w:hAnsi="Times New Roman" w:cs="Times New Roman"/>
                <w:kern w:val="0"/>
                <w:sz w:val="21"/>
                <w:szCs w:val="21"/>
              </w:rPr>
              <w:t>项目北面2000m新安村</w:t>
            </w:r>
          </w:p>
        </w:tc>
        <w:tc>
          <w:tcPr>
            <w:tcW w:w="1384" w:type="pct"/>
            <w:vMerge w:val="continue"/>
            <w:noWrap w:val="0"/>
            <w:vAlign w:val="center"/>
          </w:tcPr>
          <w:p w14:paraId="2BA078B4">
            <w:pPr>
              <w:keepNext/>
              <w:keepLines/>
              <w:widowControl w:val="0"/>
              <w:adjustRightInd/>
              <w:snapToGrid/>
              <w:spacing w:line="240" w:lineRule="auto"/>
              <w:ind w:firstLine="0" w:firstLineChars="0"/>
              <w:jc w:val="center"/>
              <w:rPr>
                <w:rFonts w:ascii="Times New Roman" w:hAnsi="Times New Roman" w:cs="Times New Roman"/>
                <w:kern w:val="0"/>
                <w:sz w:val="21"/>
                <w:szCs w:val="21"/>
              </w:rPr>
            </w:pPr>
          </w:p>
        </w:tc>
        <w:tc>
          <w:tcPr>
            <w:tcW w:w="1115" w:type="pct"/>
            <w:noWrap w:val="0"/>
            <w:vAlign w:val="center"/>
          </w:tcPr>
          <w:p w14:paraId="46D181CC">
            <w:pPr>
              <w:keepNext/>
              <w:keepLines/>
              <w:widowControl w:val="0"/>
              <w:adjustRightInd/>
              <w:snapToGrid/>
              <w:spacing w:line="240" w:lineRule="auto"/>
              <w:ind w:firstLine="0" w:firstLineChars="0"/>
              <w:jc w:val="center"/>
              <w:rPr>
                <w:rFonts w:hint="eastAsia" w:ascii="Times New Roman" w:hAnsi="Times New Roman" w:eastAsia="宋体" w:cs="Times New Roman"/>
                <w:kern w:val="0"/>
                <w:sz w:val="21"/>
                <w:szCs w:val="21"/>
                <w:lang w:eastAsia="zh-CN"/>
              </w:rPr>
            </w:pPr>
            <w:r>
              <w:rPr>
                <w:rFonts w:ascii="Times New Roman" w:hAnsi="Times New Roman" w:cs="Times New Roman"/>
                <w:kern w:val="0"/>
                <w:sz w:val="21"/>
                <w:szCs w:val="21"/>
              </w:rPr>
              <w:t>项目场地</w:t>
            </w:r>
            <w:r>
              <w:rPr>
                <w:rFonts w:hint="eastAsia" w:ascii="Times New Roman" w:hAnsi="Times New Roman" w:cs="Times New Roman"/>
                <w:kern w:val="0"/>
                <w:sz w:val="21"/>
                <w:szCs w:val="21"/>
                <w:lang w:val="en-US" w:eastAsia="zh-CN"/>
              </w:rPr>
              <w:t>下游</w:t>
            </w:r>
          </w:p>
        </w:tc>
      </w:tr>
      <w:tr w14:paraId="68A00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noWrap w:val="0"/>
            <w:vAlign w:val="center"/>
          </w:tcPr>
          <w:p w14:paraId="4FDE66F6">
            <w:pPr>
              <w:keepNext/>
              <w:keepLines/>
              <w:widowControl w:val="0"/>
              <w:adjustRightInd/>
              <w:snapToGrid/>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ascii="Times New Roman" w:hAnsi="Times New Roman" w:cs="Times New Roman"/>
                <w:kern w:val="0"/>
                <w:sz w:val="21"/>
                <w:szCs w:val="21"/>
              </w:rPr>
              <w:t>D4</w:t>
            </w:r>
            <w:r>
              <w:rPr>
                <w:rFonts w:hint="eastAsia" w:ascii="Times New Roman" w:hAnsi="Times New Roman" w:cs="Times New Roman"/>
                <w:kern w:val="0"/>
                <w:sz w:val="21"/>
                <w:szCs w:val="21"/>
                <w:lang w:val="en-US" w:eastAsia="zh-CN"/>
              </w:rPr>
              <w:t>*</w:t>
            </w:r>
          </w:p>
        </w:tc>
        <w:tc>
          <w:tcPr>
            <w:tcW w:w="1972" w:type="pct"/>
            <w:noWrap w:val="0"/>
            <w:vAlign w:val="center"/>
          </w:tcPr>
          <w:p w14:paraId="64F1E008">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hint="eastAsia" w:ascii="Times New Roman" w:hAnsi="Times New Roman" w:cs="Times New Roman"/>
                <w:kern w:val="0"/>
                <w:sz w:val="21"/>
                <w:szCs w:val="21"/>
              </w:rPr>
              <w:t>项目南面600m处新竹村</w:t>
            </w:r>
          </w:p>
        </w:tc>
        <w:tc>
          <w:tcPr>
            <w:tcW w:w="1384" w:type="pct"/>
            <w:vMerge w:val="continue"/>
            <w:noWrap w:val="0"/>
            <w:vAlign w:val="center"/>
          </w:tcPr>
          <w:p w14:paraId="7A50391D">
            <w:pPr>
              <w:keepNext/>
              <w:keepLines/>
              <w:widowControl w:val="0"/>
              <w:adjustRightInd/>
              <w:snapToGrid/>
              <w:spacing w:line="240" w:lineRule="auto"/>
              <w:ind w:firstLine="0" w:firstLineChars="0"/>
              <w:jc w:val="center"/>
              <w:rPr>
                <w:rFonts w:ascii="Times New Roman" w:hAnsi="Times New Roman" w:cs="Times New Roman"/>
                <w:kern w:val="0"/>
                <w:sz w:val="21"/>
                <w:szCs w:val="21"/>
              </w:rPr>
            </w:pPr>
          </w:p>
        </w:tc>
        <w:tc>
          <w:tcPr>
            <w:tcW w:w="1115" w:type="pct"/>
            <w:noWrap w:val="0"/>
            <w:vAlign w:val="center"/>
          </w:tcPr>
          <w:p w14:paraId="664604D5">
            <w:pPr>
              <w:keepNext/>
              <w:keepLines/>
              <w:widowControl w:val="0"/>
              <w:adjustRightInd/>
              <w:snapToGrid/>
              <w:spacing w:line="240" w:lineRule="auto"/>
              <w:ind w:firstLine="0" w:firstLineChars="0"/>
              <w:jc w:val="center"/>
              <w:rPr>
                <w:rFonts w:hint="default" w:ascii="Times New Roman" w:hAnsi="Times New Roman" w:cs="Times New Roman"/>
                <w:kern w:val="0"/>
                <w:sz w:val="21"/>
                <w:szCs w:val="21"/>
                <w:lang w:val="en-US"/>
              </w:rPr>
            </w:pPr>
            <w:r>
              <w:rPr>
                <w:rFonts w:ascii="Times New Roman" w:hAnsi="Times New Roman" w:cs="Times New Roman"/>
                <w:kern w:val="0"/>
                <w:sz w:val="21"/>
                <w:szCs w:val="21"/>
              </w:rPr>
              <w:t>项目场地</w:t>
            </w:r>
            <w:r>
              <w:rPr>
                <w:rFonts w:hint="eastAsia" w:ascii="Times New Roman" w:hAnsi="Times New Roman" w:cs="Times New Roman"/>
                <w:kern w:val="0"/>
                <w:sz w:val="21"/>
                <w:szCs w:val="21"/>
                <w:lang w:val="en-US" w:eastAsia="zh-CN"/>
              </w:rPr>
              <w:t>两侧</w:t>
            </w:r>
          </w:p>
        </w:tc>
      </w:tr>
      <w:tr w14:paraId="6F855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noWrap w:val="0"/>
            <w:vAlign w:val="center"/>
          </w:tcPr>
          <w:p w14:paraId="3177DEA5">
            <w:pPr>
              <w:keepNext/>
              <w:keepLines/>
              <w:widowControl w:val="0"/>
              <w:adjustRightInd/>
              <w:snapToGrid/>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ascii="Times New Roman" w:hAnsi="Times New Roman" w:cs="Times New Roman"/>
                <w:kern w:val="0"/>
                <w:sz w:val="21"/>
                <w:szCs w:val="21"/>
              </w:rPr>
              <w:t>D5</w:t>
            </w:r>
            <w:r>
              <w:rPr>
                <w:rFonts w:hint="eastAsia" w:ascii="Times New Roman" w:hAnsi="Times New Roman" w:cs="Times New Roman"/>
                <w:kern w:val="0"/>
                <w:sz w:val="21"/>
                <w:szCs w:val="21"/>
                <w:lang w:val="en-US" w:eastAsia="zh-CN"/>
              </w:rPr>
              <w:t>*</w:t>
            </w:r>
          </w:p>
        </w:tc>
        <w:tc>
          <w:tcPr>
            <w:tcW w:w="1972" w:type="pct"/>
            <w:noWrap w:val="0"/>
            <w:vAlign w:val="center"/>
          </w:tcPr>
          <w:p w14:paraId="7FFCEA69">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hint="eastAsia" w:ascii="Times New Roman" w:hAnsi="Times New Roman" w:cs="Times New Roman"/>
                <w:kern w:val="0"/>
                <w:sz w:val="21"/>
                <w:szCs w:val="21"/>
              </w:rPr>
              <w:t>项目东面1400m处金兰村</w:t>
            </w:r>
          </w:p>
        </w:tc>
        <w:tc>
          <w:tcPr>
            <w:tcW w:w="1384" w:type="pct"/>
            <w:vMerge w:val="continue"/>
            <w:noWrap w:val="0"/>
            <w:vAlign w:val="center"/>
          </w:tcPr>
          <w:p w14:paraId="4F443BC4">
            <w:pPr>
              <w:keepNext/>
              <w:keepLines/>
              <w:widowControl w:val="0"/>
              <w:adjustRightInd/>
              <w:snapToGrid/>
              <w:spacing w:line="240" w:lineRule="auto"/>
              <w:ind w:firstLine="0" w:firstLineChars="0"/>
              <w:jc w:val="center"/>
              <w:rPr>
                <w:rFonts w:ascii="Times New Roman" w:hAnsi="Times New Roman" w:cs="Times New Roman"/>
                <w:kern w:val="0"/>
                <w:sz w:val="21"/>
                <w:szCs w:val="21"/>
              </w:rPr>
            </w:pPr>
          </w:p>
        </w:tc>
        <w:tc>
          <w:tcPr>
            <w:tcW w:w="1115" w:type="pct"/>
            <w:noWrap w:val="0"/>
            <w:vAlign w:val="center"/>
          </w:tcPr>
          <w:p w14:paraId="531D3C03">
            <w:pPr>
              <w:keepNext/>
              <w:keepLines/>
              <w:widowControl w:val="0"/>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项目场地下游</w:t>
            </w:r>
          </w:p>
        </w:tc>
      </w:tr>
    </w:tbl>
    <w:p w14:paraId="2F334390">
      <w:pPr>
        <w:spacing w:line="240" w:lineRule="auto"/>
        <w:rPr>
          <w:rFonts w:hint="default"/>
          <w:lang w:val="en-US" w:eastAsia="zh-CN"/>
        </w:rPr>
      </w:pPr>
    </w:p>
    <w:p w14:paraId="583D974B">
      <w:pPr>
        <w:pStyle w:val="6"/>
        <w:bidi w:val="0"/>
        <w:rPr>
          <w:rFonts w:hint="default"/>
          <w:lang w:val="en-US" w:eastAsia="zh-CN"/>
        </w:rPr>
      </w:pPr>
      <w:r>
        <w:rPr>
          <w:rFonts w:hint="eastAsia"/>
          <w:lang w:val="en-US" w:eastAsia="zh-CN"/>
        </w:rPr>
        <w:t>评价标准</w:t>
      </w:r>
    </w:p>
    <w:p w14:paraId="24B4437B">
      <w:pPr>
        <w:rPr>
          <w:rFonts w:hint="default"/>
          <w:lang w:val="en-US" w:eastAsia="zh-CN"/>
        </w:rPr>
      </w:pPr>
      <w:r>
        <w:rPr>
          <w:rFonts w:hint="default"/>
          <w:lang w:val="en-US" w:eastAsia="zh-CN"/>
        </w:rPr>
        <w:t>采用《地下水质量标准》（GB/T 14848-2017）中的Ⅲ类标准进行评价。</w:t>
      </w:r>
    </w:p>
    <w:p w14:paraId="50263AB4">
      <w:pPr>
        <w:pStyle w:val="6"/>
        <w:bidi w:val="0"/>
        <w:rPr>
          <w:rFonts w:hint="default"/>
          <w:lang w:val="en-US" w:eastAsia="zh-CN"/>
        </w:rPr>
      </w:pPr>
      <w:r>
        <w:rPr>
          <w:rFonts w:hint="eastAsia"/>
          <w:lang w:val="en-US" w:eastAsia="zh-CN"/>
        </w:rPr>
        <w:t>评价结果分析</w:t>
      </w:r>
    </w:p>
    <w:p w14:paraId="1A30320D">
      <w:pPr>
        <w:numPr>
          <w:ilvl w:val="0"/>
          <w:numId w:val="16"/>
        </w:numPr>
        <w:ind w:firstLine="480"/>
      </w:pPr>
      <w:r>
        <w:rPr>
          <w:rFonts w:hint="eastAsia"/>
        </w:rPr>
        <w:t>检测结果</w:t>
      </w:r>
    </w:p>
    <w:p w14:paraId="2C5816A5">
      <w:pPr>
        <w:pStyle w:val="43"/>
        <w:numPr>
          <w:ilvl w:val="5"/>
          <w:numId w:val="1"/>
        </w:numPr>
        <w:bidi w:val="0"/>
        <w:rPr>
          <w:rFonts w:hint="default"/>
          <w:lang w:val="en-US" w:eastAsia="zh-CN"/>
        </w:rPr>
      </w:pPr>
      <w:r>
        <w:rPr>
          <w:rFonts w:hint="eastAsia"/>
          <w:lang w:val="en-US" w:eastAsia="zh-CN"/>
        </w:rPr>
        <w:t>引用</w:t>
      </w:r>
      <w:r>
        <w:rPr>
          <w:rFonts w:hint="default"/>
          <w:lang w:val="en-US" w:eastAsia="zh-CN"/>
        </w:rPr>
        <w:t>建滔</w:t>
      </w:r>
      <w:r>
        <w:rPr>
          <w:rFonts w:hint="eastAsia"/>
          <w:lang w:val="en-US" w:eastAsia="zh-CN"/>
        </w:rPr>
        <w:t>（衡阳）公司监测点位的地下水水位</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8"/>
        <w:gridCol w:w="3289"/>
        <w:gridCol w:w="1333"/>
        <w:gridCol w:w="1412"/>
        <w:gridCol w:w="1694"/>
      </w:tblGrid>
      <w:tr w14:paraId="30B18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38" w:type="dxa"/>
            <w:noWrap w:val="0"/>
            <w:vAlign w:val="center"/>
          </w:tcPr>
          <w:p w14:paraId="5B455067">
            <w:pPr>
              <w:widowControl w:val="0"/>
              <w:adjustRightInd/>
              <w:snapToGrid/>
              <w:spacing w:line="240" w:lineRule="auto"/>
              <w:ind w:firstLine="0" w:firstLineChars="0"/>
              <w:jc w:val="center"/>
              <w:rPr>
                <w:rFonts w:ascii="Times New Roman" w:hAnsi="Times New Roman" w:cs="Times New Roman"/>
                <w:b/>
                <w:bCs/>
                <w:kern w:val="0"/>
                <w:sz w:val="21"/>
                <w:szCs w:val="21"/>
              </w:rPr>
            </w:pPr>
            <w:r>
              <w:rPr>
                <w:rFonts w:ascii="Times New Roman" w:hAnsi="Times New Roman" w:cs="Times New Roman"/>
                <w:b/>
                <w:bCs/>
                <w:kern w:val="0"/>
                <w:sz w:val="21"/>
                <w:szCs w:val="21"/>
              </w:rPr>
              <w:t>编号</w:t>
            </w:r>
          </w:p>
        </w:tc>
        <w:tc>
          <w:tcPr>
            <w:tcW w:w="3289" w:type="dxa"/>
            <w:noWrap w:val="0"/>
            <w:vAlign w:val="center"/>
          </w:tcPr>
          <w:p w14:paraId="6A15D040">
            <w:pPr>
              <w:widowControl w:val="0"/>
              <w:adjustRightInd/>
              <w:snapToGrid/>
              <w:spacing w:line="240" w:lineRule="auto"/>
              <w:ind w:firstLine="0" w:firstLineChars="0"/>
              <w:jc w:val="center"/>
              <w:rPr>
                <w:rFonts w:ascii="Times New Roman" w:hAnsi="Times New Roman" w:cs="Times New Roman"/>
                <w:b/>
                <w:bCs/>
                <w:kern w:val="0"/>
                <w:sz w:val="21"/>
                <w:szCs w:val="21"/>
              </w:rPr>
            </w:pPr>
            <w:r>
              <w:rPr>
                <w:rFonts w:ascii="Times New Roman" w:hAnsi="Times New Roman" w:cs="Times New Roman"/>
                <w:b/>
                <w:bCs/>
                <w:kern w:val="0"/>
                <w:sz w:val="21"/>
                <w:szCs w:val="21"/>
              </w:rPr>
              <w:t>监测点位</w:t>
            </w:r>
          </w:p>
        </w:tc>
        <w:tc>
          <w:tcPr>
            <w:tcW w:w="1333" w:type="dxa"/>
            <w:noWrap w:val="0"/>
            <w:vAlign w:val="center"/>
          </w:tcPr>
          <w:p w14:paraId="5876EAD2">
            <w:pPr>
              <w:widowControl w:val="0"/>
              <w:adjustRightInd/>
              <w:snapToGrid/>
              <w:spacing w:line="240" w:lineRule="auto"/>
              <w:ind w:firstLine="0" w:firstLineChars="0"/>
              <w:jc w:val="center"/>
              <w:rPr>
                <w:rFonts w:ascii="Times New Roman" w:hAnsi="Times New Roman" w:cs="Times New Roman"/>
                <w:b/>
                <w:bCs/>
                <w:color w:val="000000"/>
                <w:kern w:val="0"/>
                <w:sz w:val="21"/>
                <w:szCs w:val="21"/>
              </w:rPr>
            </w:pPr>
            <w:r>
              <w:rPr>
                <w:rFonts w:ascii="Times New Roman" w:hAnsi="Times New Roman" w:cs="Times New Roman"/>
                <w:b/>
                <w:bCs/>
                <w:color w:val="000000"/>
                <w:kern w:val="0"/>
                <w:sz w:val="21"/>
                <w:szCs w:val="21"/>
              </w:rPr>
              <w:t>地下水埋深</w:t>
            </w:r>
            <w:r>
              <w:rPr>
                <w:rFonts w:hint="eastAsia" w:ascii="Times New Roman" w:hAnsi="Times New Roman" w:cs="Times New Roman"/>
                <w:b/>
                <w:bCs/>
                <w:color w:val="000000"/>
                <w:kern w:val="0"/>
                <w:sz w:val="21"/>
                <w:szCs w:val="21"/>
              </w:rPr>
              <w:t>（m）</w:t>
            </w:r>
          </w:p>
        </w:tc>
        <w:tc>
          <w:tcPr>
            <w:tcW w:w="1412" w:type="dxa"/>
            <w:noWrap w:val="0"/>
            <w:vAlign w:val="center"/>
          </w:tcPr>
          <w:p w14:paraId="5AEB3492">
            <w:pPr>
              <w:widowControl w:val="0"/>
              <w:adjustRightInd/>
              <w:snapToGrid/>
              <w:spacing w:line="240" w:lineRule="auto"/>
              <w:ind w:firstLine="0" w:firstLineChars="0"/>
              <w:jc w:val="center"/>
              <w:rPr>
                <w:rFonts w:ascii="Times New Roman" w:hAnsi="Times New Roman" w:cs="Times New Roman"/>
                <w:b/>
                <w:bCs/>
                <w:color w:val="000000"/>
                <w:kern w:val="0"/>
                <w:sz w:val="21"/>
                <w:szCs w:val="21"/>
              </w:rPr>
            </w:pPr>
            <w:r>
              <w:rPr>
                <w:rFonts w:ascii="Times New Roman" w:hAnsi="Times New Roman" w:cs="Times New Roman"/>
                <w:b/>
                <w:bCs/>
                <w:color w:val="000000"/>
                <w:kern w:val="0"/>
                <w:sz w:val="21"/>
                <w:szCs w:val="21"/>
              </w:rPr>
              <w:t>地形高程（m）</w:t>
            </w:r>
          </w:p>
        </w:tc>
        <w:tc>
          <w:tcPr>
            <w:tcW w:w="1694" w:type="dxa"/>
            <w:noWrap w:val="0"/>
            <w:vAlign w:val="center"/>
          </w:tcPr>
          <w:p w14:paraId="211E7466">
            <w:pPr>
              <w:widowControl w:val="0"/>
              <w:adjustRightInd/>
              <w:snapToGrid/>
              <w:spacing w:line="240" w:lineRule="auto"/>
              <w:ind w:firstLine="0" w:firstLineChars="0"/>
              <w:jc w:val="center"/>
              <w:rPr>
                <w:rFonts w:ascii="Times New Roman" w:hAnsi="Times New Roman" w:cs="Times New Roman"/>
                <w:b/>
                <w:bCs/>
                <w:color w:val="000000"/>
                <w:kern w:val="0"/>
                <w:sz w:val="21"/>
                <w:szCs w:val="21"/>
              </w:rPr>
            </w:pPr>
            <w:r>
              <w:rPr>
                <w:rFonts w:ascii="Times New Roman" w:hAnsi="Times New Roman" w:cs="Times New Roman"/>
                <w:b/>
                <w:bCs/>
                <w:color w:val="000000"/>
                <w:kern w:val="0"/>
                <w:sz w:val="21"/>
                <w:szCs w:val="21"/>
              </w:rPr>
              <w:t>地下水水位（m）</w:t>
            </w:r>
          </w:p>
        </w:tc>
      </w:tr>
      <w:tr w14:paraId="0F4FF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center"/>
          </w:tcPr>
          <w:p w14:paraId="1E909662">
            <w:pPr>
              <w:widowControl w:val="0"/>
              <w:adjustRightInd w:val="0"/>
              <w:snapToGrid w:val="0"/>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D1</w:t>
            </w:r>
          </w:p>
        </w:tc>
        <w:tc>
          <w:tcPr>
            <w:tcW w:w="3289" w:type="dxa"/>
            <w:noWrap w:val="0"/>
            <w:vAlign w:val="center"/>
          </w:tcPr>
          <w:p w14:paraId="01D6EEC7">
            <w:pPr>
              <w:widowControl w:val="0"/>
              <w:adjustRightInd/>
              <w:snapToGrid/>
              <w:spacing w:line="240" w:lineRule="auto"/>
              <w:ind w:firstLine="0" w:firstLineChars="0"/>
              <w:jc w:val="center"/>
              <w:rPr>
                <w:rFonts w:ascii="Times New Roman" w:hAnsi="Times New Roman" w:cs="Times New Roman"/>
                <w:kern w:val="0"/>
                <w:sz w:val="21"/>
                <w:szCs w:val="21"/>
              </w:rPr>
            </w:pPr>
            <w:r>
              <w:rPr>
                <w:rFonts w:hint="eastAsia" w:cs="Times New Roman"/>
                <w:kern w:val="0"/>
                <w:sz w:val="21"/>
                <w:szCs w:val="21"/>
                <w:lang w:eastAsia="zh-CN"/>
              </w:rPr>
              <w:t>项目西南面2100m松木乡</w:t>
            </w:r>
            <w:r>
              <w:rPr>
                <w:rFonts w:ascii="Times New Roman" w:hAnsi="Times New Roman" w:cs="Times New Roman"/>
                <w:kern w:val="0"/>
                <w:sz w:val="21"/>
                <w:szCs w:val="21"/>
              </w:rPr>
              <w:t>水井</w:t>
            </w:r>
          </w:p>
        </w:tc>
        <w:tc>
          <w:tcPr>
            <w:tcW w:w="1333" w:type="dxa"/>
            <w:noWrap w:val="0"/>
            <w:vAlign w:val="center"/>
          </w:tcPr>
          <w:p w14:paraId="0856A7D2">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1.8</w:t>
            </w:r>
          </w:p>
        </w:tc>
        <w:tc>
          <w:tcPr>
            <w:tcW w:w="1412" w:type="dxa"/>
            <w:noWrap w:val="0"/>
            <w:vAlign w:val="center"/>
          </w:tcPr>
          <w:p w14:paraId="2778D461">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91.55</w:t>
            </w:r>
          </w:p>
        </w:tc>
        <w:tc>
          <w:tcPr>
            <w:tcW w:w="1694" w:type="dxa"/>
            <w:noWrap w:val="0"/>
            <w:vAlign w:val="center"/>
          </w:tcPr>
          <w:p w14:paraId="3221645C">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89.75</w:t>
            </w:r>
          </w:p>
        </w:tc>
      </w:tr>
      <w:tr w14:paraId="010D9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center"/>
          </w:tcPr>
          <w:p w14:paraId="0759A6D9">
            <w:pPr>
              <w:widowControl w:val="0"/>
              <w:adjustRightInd w:val="0"/>
              <w:snapToGrid w:val="0"/>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D2</w:t>
            </w:r>
          </w:p>
        </w:tc>
        <w:tc>
          <w:tcPr>
            <w:tcW w:w="3289" w:type="dxa"/>
            <w:noWrap w:val="0"/>
            <w:vAlign w:val="center"/>
          </w:tcPr>
          <w:p w14:paraId="68A946F2">
            <w:pPr>
              <w:widowControl w:val="0"/>
              <w:adjustRightInd/>
              <w:snapToGrid/>
              <w:spacing w:line="240" w:lineRule="auto"/>
              <w:ind w:firstLine="0" w:firstLineChars="0"/>
              <w:jc w:val="center"/>
              <w:rPr>
                <w:rFonts w:ascii="Times New Roman" w:hAnsi="Times New Roman" w:cs="Times New Roman"/>
                <w:kern w:val="0"/>
                <w:sz w:val="21"/>
                <w:szCs w:val="21"/>
              </w:rPr>
            </w:pPr>
            <w:r>
              <w:rPr>
                <w:rFonts w:hint="eastAsia" w:cs="Times New Roman"/>
                <w:kern w:val="0"/>
                <w:sz w:val="21"/>
                <w:szCs w:val="21"/>
                <w:lang w:val="en-US" w:eastAsia="zh-CN"/>
              </w:rPr>
              <w:t>项目东北面1200m</w:t>
            </w:r>
            <w:r>
              <w:rPr>
                <w:rFonts w:ascii="Times New Roman" w:hAnsi="Times New Roman" w:cs="Times New Roman"/>
                <w:kern w:val="0"/>
                <w:sz w:val="21"/>
                <w:szCs w:val="21"/>
              </w:rPr>
              <w:t>建滔化工烧碱生产区</w:t>
            </w:r>
          </w:p>
        </w:tc>
        <w:tc>
          <w:tcPr>
            <w:tcW w:w="1333" w:type="dxa"/>
            <w:noWrap w:val="0"/>
            <w:vAlign w:val="center"/>
          </w:tcPr>
          <w:p w14:paraId="309B3D8F">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12</w:t>
            </w:r>
          </w:p>
        </w:tc>
        <w:tc>
          <w:tcPr>
            <w:tcW w:w="1412" w:type="dxa"/>
            <w:noWrap w:val="0"/>
            <w:vAlign w:val="center"/>
          </w:tcPr>
          <w:p w14:paraId="5ED90419">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65.35</w:t>
            </w:r>
          </w:p>
        </w:tc>
        <w:tc>
          <w:tcPr>
            <w:tcW w:w="1694" w:type="dxa"/>
            <w:noWrap w:val="0"/>
            <w:vAlign w:val="center"/>
          </w:tcPr>
          <w:p w14:paraId="517E09BA">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53.35</w:t>
            </w:r>
          </w:p>
        </w:tc>
      </w:tr>
      <w:tr w14:paraId="7E2E4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center"/>
          </w:tcPr>
          <w:p w14:paraId="3CFEF8DD">
            <w:pPr>
              <w:keepNext/>
              <w:keepLines/>
              <w:widowControl w:val="0"/>
              <w:adjustRightInd w:val="0"/>
              <w:snapToGrid w:val="0"/>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D3</w:t>
            </w:r>
          </w:p>
        </w:tc>
        <w:tc>
          <w:tcPr>
            <w:tcW w:w="3289" w:type="dxa"/>
            <w:noWrap w:val="0"/>
            <w:vAlign w:val="center"/>
          </w:tcPr>
          <w:p w14:paraId="5555A84C">
            <w:pPr>
              <w:widowControl w:val="0"/>
              <w:adjustRightInd/>
              <w:snapToGrid/>
              <w:spacing w:line="240" w:lineRule="auto"/>
              <w:ind w:firstLine="0" w:firstLineChars="0"/>
              <w:jc w:val="center"/>
              <w:rPr>
                <w:rFonts w:ascii="Times New Roman" w:hAnsi="Times New Roman" w:cs="Times New Roman"/>
                <w:kern w:val="0"/>
                <w:sz w:val="21"/>
                <w:szCs w:val="21"/>
              </w:rPr>
            </w:pPr>
            <w:r>
              <w:rPr>
                <w:rFonts w:hint="eastAsia" w:cs="Times New Roman"/>
                <w:kern w:val="0"/>
                <w:sz w:val="21"/>
                <w:szCs w:val="21"/>
                <w:lang w:eastAsia="zh-CN"/>
              </w:rPr>
              <w:t>项目北面2000m新安村</w:t>
            </w:r>
            <w:r>
              <w:rPr>
                <w:rFonts w:ascii="Times New Roman" w:hAnsi="Times New Roman" w:cs="Times New Roman"/>
                <w:kern w:val="0"/>
                <w:sz w:val="21"/>
                <w:szCs w:val="21"/>
              </w:rPr>
              <w:t>水井</w:t>
            </w:r>
          </w:p>
        </w:tc>
        <w:tc>
          <w:tcPr>
            <w:tcW w:w="1333" w:type="dxa"/>
            <w:noWrap w:val="0"/>
            <w:vAlign w:val="center"/>
          </w:tcPr>
          <w:p w14:paraId="776F9284">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9</w:t>
            </w:r>
          </w:p>
        </w:tc>
        <w:tc>
          <w:tcPr>
            <w:tcW w:w="1412" w:type="dxa"/>
            <w:noWrap w:val="0"/>
            <w:vAlign w:val="center"/>
          </w:tcPr>
          <w:p w14:paraId="553C8955">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63.25</w:t>
            </w:r>
          </w:p>
        </w:tc>
        <w:tc>
          <w:tcPr>
            <w:tcW w:w="1694" w:type="dxa"/>
            <w:noWrap w:val="0"/>
            <w:vAlign w:val="center"/>
          </w:tcPr>
          <w:p w14:paraId="1144F047">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54.25</w:t>
            </w:r>
          </w:p>
        </w:tc>
      </w:tr>
      <w:tr w14:paraId="6DD15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center"/>
          </w:tcPr>
          <w:p w14:paraId="6A36E70B">
            <w:pPr>
              <w:keepNext/>
              <w:keepLines/>
              <w:widowControl w:val="0"/>
              <w:adjustRightInd w:val="0"/>
              <w:snapToGrid w:val="0"/>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D4</w:t>
            </w:r>
          </w:p>
        </w:tc>
        <w:tc>
          <w:tcPr>
            <w:tcW w:w="3289" w:type="dxa"/>
            <w:noWrap w:val="0"/>
            <w:vAlign w:val="center"/>
          </w:tcPr>
          <w:p w14:paraId="6AE6EF5D">
            <w:pPr>
              <w:widowControl w:val="0"/>
              <w:adjustRightInd/>
              <w:snapToGrid/>
              <w:spacing w:line="240" w:lineRule="auto"/>
              <w:ind w:firstLine="0" w:firstLineChars="0"/>
              <w:jc w:val="center"/>
              <w:rPr>
                <w:rFonts w:ascii="Times New Roman" w:hAnsi="Times New Roman" w:cs="Times New Roman"/>
                <w:kern w:val="0"/>
                <w:sz w:val="21"/>
                <w:szCs w:val="21"/>
              </w:rPr>
            </w:pPr>
            <w:r>
              <w:rPr>
                <w:rFonts w:hint="eastAsia" w:cs="Times New Roman"/>
                <w:kern w:val="0"/>
                <w:sz w:val="21"/>
                <w:szCs w:val="21"/>
                <w:lang w:eastAsia="zh-CN"/>
              </w:rPr>
              <w:t>项目东南面</w:t>
            </w:r>
            <w:r>
              <w:rPr>
                <w:rFonts w:hint="eastAsia" w:cs="Times New Roman"/>
                <w:kern w:val="0"/>
                <w:sz w:val="21"/>
                <w:szCs w:val="21"/>
                <w:lang w:val="en-US" w:eastAsia="zh-CN"/>
              </w:rPr>
              <w:t>600</w:t>
            </w:r>
            <w:r>
              <w:rPr>
                <w:rFonts w:hint="eastAsia" w:cs="Times New Roman"/>
                <w:kern w:val="0"/>
                <w:sz w:val="21"/>
                <w:szCs w:val="21"/>
                <w:lang w:eastAsia="zh-CN"/>
              </w:rPr>
              <w:t>m处新竹村</w:t>
            </w:r>
            <w:r>
              <w:rPr>
                <w:rFonts w:ascii="Times New Roman" w:hAnsi="Times New Roman" w:cs="Times New Roman"/>
                <w:kern w:val="0"/>
                <w:sz w:val="21"/>
                <w:szCs w:val="21"/>
              </w:rPr>
              <w:t>水井</w:t>
            </w:r>
          </w:p>
        </w:tc>
        <w:tc>
          <w:tcPr>
            <w:tcW w:w="1333" w:type="dxa"/>
            <w:noWrap w:val="0"/>
            <w:vAlign w:val="center"/>
          </w:tcPr>
          <w:p w14:paraId="52016D2A">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5</w:t>
            </w:r>
          </w:p>
        </w:tc>
        <w:tc>
          <w:tcPr>
            <w:tcW w:w="1412" w:type="dxa"/>
            <w:noWrap w:val="0"/>
            <w:vAlign w:val="center"/>
          </w:tcPr>
          <w:p w14:paraId="6B473209">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73.28</w:t>
            </w:r>
          </w:p>
        </w:tc>
        <w:tc>
          <w:tcPr>
            <w:tcW w:w="1694" w:type="dxa"/>
            <w:noWrap w:val="0"/>
            <w:vAlign w:val="center"/>
          </w:tcPr>
          <w:p w14:paraId="456981A4">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68.28</w:t>
            </w:r>
          </w:p>
        </w:tc>
      </w:tr>
      <w:tr w14:paraId="05716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center"/>
          </w:tcPr>
          <w:p w14:paraId="215D8E03">
            <w:pPr>
              <w:keepNext/>
              <w:keepLines/>
              <w:widowControl w:val="0"/>
              <w:adjustRightInd w:val="0"/>
              <w:snapToGrid w:val="0"/>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D5</w:t>
            </w:r>
          </w:p>
        </w:tc>
        <w:tc>
          <w:tcPr>
            <w:tcW w:w="3289" w:type="dxa"/>
            <w:noWrap w:val="0"/>
            <w:vAlign w:val="center"/>
          </w:tcPr>
          <w:p w14:paraId="24A0718F">
            <w:pPr>
              <w:widowControl w:val="0"/>
              <w:adjustRightInd/>
              <w:snapToGrid/>
              <w:spacing w:line="240" w:lineRule="auto"/>
              <w:ind w:firstLine="0" w:firstLineChars="0"/>
              <w:jc w:val="center"/>
              <w:rPr>
                <w:rFonts w:ascii="Times New Roman" w:hAnsi="Times New Roman" w:cs="Times New Roman"/>
                <w:kern w:val="0"/>
                <w:sz w:val="21"/>
                <w:szCs w:val="21"/>
              </w:rPr>
            </w:pPr>
            <w:r>
              <w:rPr>
                <w:rFonts w:hint="eastAsia" w:cs="Times New Roman"/>
                <w:kern w:val="0"/>
                <w:sz w:val="21"/>
                <w:szCs w:val="21"/>
                <w:lang w:eastAsia="zh-CN"/>
              </w:rPr>
              <w:t>项目东面1400m处金兰村</w:t>
            </w:r>
            <w:r>
              <w:rPr>
                <w:rFonts w:ascii="Times New Roman" w:hAnsi="Times New Roman" w:cs="Times New Roman"/>
                <w:kern w:val="0"/>
                <w:sz w:val="21"/>
                <w:szCs w:val="21"/>
              </w:rPr>
              <w:t>水井</w:t>
            </w:r>
          </w:p>
        </w:tc>
        <w:tc>
          <w:tcPr>
            <w:tcW w:w="1333" w:type="dxa"/>
            <w:noWrap w:val="0"/>
            <w:vAlign w:val="center"/>
          </w:tcPr>
          <w:p w14:paraId="55EDBE38">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5</w:t>
            </w:r>
          </w:p>
        </w:tc>
        <w:tc>
          <w:tcPr>
            <w:tcW w:w="1412" w:type="dxa"/>
            <w:noWrap w:val="0"/>
            <w:vAlign w:val="center"/>
          </w:tcPr>
          <w:p w14:paraId="3E8E87E6">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56.60</w:t>
            </w:r>
          </w:p>
        </w:tc>
        <w:tc>
          <w:tcPr>
            <w:tcW w:w="1694" w:type="dxa"/>
            <w:noWrap w:val="0"/>
            <w:vAlign w:val="center"/>
          </w:tcPr>
          <w:p w14:paraId="3651043E">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51.6</w:t>
            </w:r>
          </w:p>
        </w:tc>
      </w:tr>
      <w:tr w14:paraId="38E1C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center"/>
          </w:tcPr>
          <w:p w14:paraId="2F758402">
            <w:pPr>
              <w:widowControl/>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D6</w:t>
            </w:r>
          </w:p>
        </w:tc>
        <w:tc>
          <w:tcPr>
            <w:tcW w:w="3289" w:type="dxa"/>
            <w:noWrap w:val="0"/>
            <w:vAlign w:val="center"/>
          </w:tcPr>
          <w:p w14:paraId="59686D09">
            <w:pPr>
              <w:widowControl w:val="0"/>
              <w:adjustRightInd/>
              <w:snapToGrid/>
              <w:spacing w:line="240" w:lineRule="auto"/>
              <w:ind w:firstLine="0" w:firstLineChars="0"/>
              <w:jc w:val="center"/>
              <w:rPr>
                <w:rFonts w:ascii="Times New Roman" w:hAnsi="Times New Roman" w:cs="Times New Roman"/>
                <w:kern w:val="0"/>
                <w:sz w:val="21"/>
                <w:szCs w:val="21"/>
              </w:rPr>
            </w:pPr>
            <w:r>
              <w:rPr>
                <w:rFonts w:hint="eastAsia" w:cs="Times New Roman"/>
                <w:color w:val="000000"/>
                <w:kern w:val="0"/>
                <w:sz w:val="21"/>
                <w:szCs w:val="21"/>
                <w:lang w:eastAsia="zh-CN"/>
              </w:rPr>
              <w:t>项目北面2900m三里村</w:t>
            </w:r>
            <w:r>
              <w:rPr>
                <w:rFonts w:ascii="Times New Roman" w:hAnsi="Times New Roman" w:cs="Times New Roman"/>
                <w:color w:val="000000"/>
                <w:kern w:val="0"/>
                <w:sz w:val="21"/>
                <w:szCs w:val="21"/>
              </w:rPr>
              <w:t>水井</w:t>
            </w:r>
          </w:p>
        </w:tc>
        <w:tc>
          <w:tcPr>
            <w:tcW w:w="1333" w:type="dxa"/>
            <w:noWrap w:val="0"/>
            <w:vAlign w:val="center"/>
          </w:tcPr>
          <w:p w14:paraId="2D1C290B">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2</w:t>
            </w:r>
          </w:p>
        </w:tc>
        <w:tc>
          <w:tcPr>
            <w:tcW w:w="1412" w:type="dxa"/>
            <w:noWrap w:val="0"/>
            <w:vAlign w:val="center"/>
          </w:tcPr>
          <w:p w14:paraId="22040078">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58.42</w:t>
            </w:r>
          </w:p>
        </w:tc>
        <w:tc>
          <w:tcPr>
            <w:tcW w:w="1694" w:type="dxa"/>
            <w:noWrap w:val="0"/>
            <w:vAlign w:val="center"/>
          </w:tcPr>
          <w:p w14:paraId="769395CF">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56.42</w:t>
            </w:r>
          </w:p>
        </w:tc>
      </w:tr>
      <w:tr w14:paraId="0DC81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center"/>
          </w:tcPr>
          <w:p w14:paraId="61CEEC34">
            <w:pPr>
              <w:widowControl/>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D7</w:t>
            </w:r>
          </w:p>
        </w:tc>
        <w:tc>
          <w:tcPr>
            <w:tcW w:w="3289" w:type="dxa"/>
            <w:noWrap w:val="0"/>
            <w:vAlign w:val="center"/>
          </w:tcPr>
          <w:p w14:paraId="08333F30">
            <w:pPr>
              <w:widowControl w:val="0"/>
              <w:adjustRightInd/>
              <w:snapToGrid/>
              <w:spacing w:line="240" w:lineRule="auto"/>
              <w:ind w:firstLine="0" w:firstLineChars="0"/>
              <w:jc w:val="center"/>
              <w:rPr>
                <w:rFonts w:ascii="Times New Roman" w:hAnsi="Times New Roman" w:cs="Times New Roman"/>
                <w:kern w:val="0"/>
                <w:sz w:val="21"/>
                <w:szCs w:val="21"/>
              </w:rPr>
            </w:pPr>
            <w:r>
              <w:rPr>
                <w:rFonts w:hint="eastAsia" w:cs="Times New Roman"/>
                <w:color w:val="000000"/>
                <w:kern w:val="0"/>
                <w:sz w:val="21"/>
                <w:szCs w:val="21"/>
                <w:lang w:eastAsia="zh-CN"/>
              </w:rPr>
              <w:t>项目东南面800m龙谊村</w:t>
            </w:r>
            <w:r>
              <w:rPr>
                <w:rFonts w:ascii="Times New Roman" w:hAnsi="Times New Roman" w:cs="Times New Roman"/>
                <w:color w:val="000000"/>
                <w:kern w:val="0"/>
                <w:sz w:val="21"/>
                <w:szCs w:val="21"/>
              </w:rPr>
              <w:t>水井</w:t>
            </w:r>
          </w:p>
        </w:tc>
        <w:tc>
          <w:tcPr>
            <w:tcW w:w="1333" w:type="dxa"/>
            <w:noWrap w:val="0"/>
            <w:vAlign w:val="center"/>
          </w:tcPr>
          <w:p w14:paraId="3CBF09C0">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2</w:t>
            </w:r>
          </w:p>
        </w:tc>
        <w:tc>
          <w:tcPr>
            <w:tcW w:w="1412" w:type="dxa"/>
            <w:noWrap w:val="0"/>
            <w:vAlign w:val="center"/>
          </w:tcPr>
          <w:p w14:paraId="5766AC61">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64.14</w:t>
            </w:r>
          </w:p>
        </w:tc>
        <w:tc>
          <w:tcPr>
            <w:tcW w:w="1694" w:type="dxa"/>
            <w:noWrap w:val="0"/>
            <w:vAlign w:val="center"/>
          </w:tcPr>
          <w:p w14:paraId="09F41250">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62.14</w:t>
            </w:r>
          </w:p>
        </w:tc>
      </w:tr>
      <w:tr w14:paraId="73B58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center"/>
          </w:tcPr>
          <w:p w14:paraId="1A40A781">
            <w:pPr>
              <w:widowControl/>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D8</w:t>
            </w:r>
          </w:p>
        </w:tc>
        <w:tc>
          <w:tcPr>
            <w:tcW w:w="3289" w:type="dxa"/>
            <w:noWrap w:val="0"/>
            <w:vAlign w:val="center"/>
          </w:tcPr>
          <w:p w14:paraId="0172FC61">
            <w:pPr>
              <w:widowControl w:val="0"/>
              <w:adjustRightInd/>
              <w:snapToGrid/>
              <w:spacing w:line="240" w:lineRule="auto"/>
              <w:ind w:firstLine="0" w:firstLineChars="0"/>
              <w:jc w:val="center"/>
              <w:rPr>
                <w:rFonts w:ascii="Times New Roman" w:hAnsi="Times New Roman" w:cs="Times New Roman"/>
                <w:kern w:val="0"/>
                <w:sz w:val="21"/>
                <w:szCs w:val="21"/>
              </w:rPr>
            </w:pPr>
            <w:r>
              <w:rPr>
                <w:rFonts w:hint="eastAsia" w:cs="Times New Roman"/>
                <w:color w:val="000000"/>
                <w:kern w:val="0"/>
                <w:sz w:val="21"/>
                <w:szCs w:val="21"/>
                <w:lang w:eastAsia="zh-CN"/>
              </w:rPr>
              <w:t>项目北面2000m新安村</w:t>
            </w:r>
            <w:r>
              <w:rPr>
                <w:rFonts w:ascii="Times New Roman" w:hAnsi="Times New Roman" w:cs="Times New Roman"/>
                <w:color w:val="000000"/>
                <w:kern w:val="0"/>
                <w:sz w:val="21"/>
                <w:szCs w:val="21"/>
              </w:rPr>
              <w:t>水井</w:t>
            </w:r>
          </w:p>
        </w:tc>
        <w:tc>
          <w:tcPr>
            <w:tcW w:w="1333" w:type="dxa"/>
            <w:noWrap w:val="0"/>
            <w:vAlign w:val="center"/>
          </w:tcPr>
          <w:p w14:paraId="5B9D1489">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3.5</w:t>
            </w:r>
          </w:p>
        </w:tc>
        <w:tc>
          <w:tcPr>
            <w:tcW w:w="1412" w:type="dxa"/>
            <w:noWrap w:val="0"/>
            <w:vAlign w:val="center"/>
          </w:tcPr>
          <w:p w14:paraId="7CCD7274">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56.90</w:t>
            </w:r>
          </w:p>
        </w:tc>
        <w:tc>
          <w:tcPr>
            <w:tcW w:w="0" w:type="auto"/>
            <w:noWrap w:val="0"/>
            <w:vAlign w:val="center"/>
          </w:tcPr>
          <w:p w14:paraId="0B2EC7AD">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53.4</w:t>
            </w:r>
          </w:p>
        </w:tc>
      </w:tr>
      <w:tr w14:paraId="69401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center"/>
          </w:tcPr>
          <w:p w14:paraId="1A64FFB8">
            <w:pPr>
              <w:widowControl/>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D9</w:t>
            </w:r>
          </w:p>
        </w:tc>
        <w:tc>
          <w:tcPr>
            <w:tcW w:w="3289" w:type="dxa"/>
            <w:noWrap w:val="0"/>
            <w:vAlign w:val="center"/>
          </w:tcPr>
          <w:p w14:paraId="32EDFE10">
            <w:pPr>
              <w:widowControl w:val="0"/>
              <w:adjustRightInd/>
              <w:snapToGrid/>
              <w:spacing w:line="240" w:lineRule="auto"/>
              <w:ind w:firstLine="0" w:firstLineChars="0"/>
              <w:jc w:val="center"/>
              <w:rPr>
                <w:rFonts w:ascii="Times New Roman" w:hAnsi="Times New Roman" w:cs="Times New Roman"/>
                <w:kern w:val="0"/>
                <w:sz w:val="21"/>
                <w:szCs w:val="21"/>
              </w:rPr>
            </w:pPr>
            <w:r>
              <w:rPr>
                <w:rFonts w:hint="eastAsia" w:cs="Times New Roman"/>
                <w:color w:val="000000"/>
                <w:kern w:val="0"/>
                <w:sz w:val="21"/>
                <w:szCs w:val="21"/>
                <w:lang w:eastAsia="zh-CN"/>
              </w:rPr>
              <w:t>项目东南面1800m曾家组屋</w:t>
            </w:r>
            <w:r>
              <w:rPr>
                <w:rFonts w:ascii="Times New Roman" w:hAnsi="Times New Roman" w:cs="Times New Roman"/>
                <w:color w:val="000000"/>
                <w:kern w:val="0"/>
                <w:sz w:val="21"/>
                <w:szCs w:val="21"/>
              </w:rPr>
              <w:t>水井</w:t>
            </w:r>
          </w:p>
        </w:tc>
        <w:tc>
          <w:tcPr>
            <w:tcW w:w="1333" w:type="dxa"/>
            <w:noWrap w:val="0"/>
            <w:vAlign w:val="center"/>
          </w:tcPr>
          <w:p w14:paraId="65C7E009">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3</w:t>
            </w:r>
          </w:p>
        </w:tc>
        <w:tc>
          <w:tcPr>
            <w:tcW w:w="1412" w:type="dxa"/>
            <w:noWrap w:val="0"/>
            <w:vAlign w:val="center"/>
          </w:tcPr>
          <w:p w14:paraId="15860752">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54.21</w:t>
            </w:r>
          </w:p>
        </w:tc>
        <w:tc>
          <w:tcPr>
            <w:tcW w:w="0" w:type="auto"/>
            <w:noWrap w:val="0"/>
            <w:vAlign w:val="center"/>
          </w:tcPr>
          <w:p w14:paraId="78AB0468">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51.21</w:t>
            </w:r>
          </w:p>
        </w:tc>
      </w:tr>
      <w:tr w14:paraId="50E6C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center"/>
          </w:tcPr>
          <w:p w14:paraId="5157DB59">
            <w:pPr>
              <w:widowControl/>
              <w:adjustRightInd/>
              <w:snapToGrid/>
              <w:spacing w:line="240" w:lineRule="auto"/>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D10</w:t>
            </w:r>
          </w:p>
        </w:tc>
        <w:tc>
          <w:tcPr>
            <w:tcW w:w="3289" w:type="dxa"/>
            <w:noWrap w:val="0"/>
            <w:vAlign w:val="center"/>
          </w:tcPr>
          <w:p w14:paraId="59ECDB42">
            <w:pPr>
              <w:widowControl w:val="0"/>
              <w:adjustRightInd/>
              <w:snapToGrid/>
              <w:spacing w:line="240" w:lineRule="auto"/>
              <w:ind w:firstLine="0" w:firstLineChars="0"/>
              <w:jc w:val="center"/>
              <w:rPr>
                <w:rFonts w:ascii="Times New Roman" w:hAnsi="Times New Roman" w:cs="Times New Roman"/>
                <w:kern w:val="0"/>
                <w:sz w:val="21"/>
                <w:szCs w:val="21"/>
              </w:rPr>
            </w:pPr>
            <w:r>
              <w:rPr>
                <w:rFonts w:hint="eastAsia" w:cs="Times New Roman"/>
                <w:color w:val="000000"/>
                <w:kern w:val="0"/>
                <w:sz w:val="21"/>
                <w:szCs w:val="21"/>
                <w:lang w:eastAsia="zh-CN"/>
              </w:rPr>
              <w:t>项目西北面2200m金源社区</w:t>
            </w:r>
            <w:r>
              <w:rPr>
                <w:rFonts w:ascii="Times New Roman" w:hAnsi="Times New Roman" w:cs="Times New Roman"/>
                <w:color w:val="000000"/>
                <w:kern w:val="0"/>
                <w:sz w:val="21"/>
                <w:szCs w:val="21"/>
              </w:rPr>
              <w:t>水井</w:t>
            </w:r>
          </w:p>
        </w:tc>
        <w:tc>
          <w:tcPr>
            <w:tcW w:w="1333" w:type="dxa"/>
            <w:noWrap w:val="0"/>
            <w:vAlign w:val="center"/>
          </w:tcPr>
          <w:p w14:paraId="44ED25F7">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1.5</w:t>
            </w:r>
          </w:p>
        </w:tc>
        <w:tc>
          <w:tcPr>
            <w:tcW w:w="1412" w:type="dxa"/>
            <w:noWrap w:val="0"/>
            <w:vAlign w:val="center"/>
          </w:tcPr>
          <w:p w14:paraId="267BA1DD">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87.52</w:t>
            </w:r>
          </w:p>
        </w:tc>
        <w:tc>
          <w:tcPr>
            <w:tcW w:w="0" w:type="auto"/>
            <w:noWrap w:val="0"/>
            <w:vAlign w:val="center"/>
          </w:tcPr>
          <w:p w14:paraId="5E226A9F">
            <w:pPr>
              <w:widowControl w:val="0"/>
              <w:adjustRightInd/>
              <w:snapToGrid/>
              <w:spacing w:line="240" w:lineRule="auto"/>
              <w:ind w:firstLine="0" w:firstLineChars="0"/>
              <w:jc w:val="center"/>
              <w:rPr>
                <w:rFonts w:ascii="Times New Roman" w:hAnsi="Times New Roman" w:cs="Times New Roman"/>
                <w:color w:val="000000"/>
                <w:kern w:val="0"/>
                <w:sz w:val="21"/>
                <w:szCs w:val="21"/>
              </w:rPr>
            </w:pPr>
            <w:r>
              <w:rPr>
                <w:rFonts w:hint="eastAsia" w:ascii="Times New Roman" w:hAnsi="Times New Roman" w:cs="Times New Roman"/>
                <w:color w:val="000000"/>
                <w:kern w:val="0"/>
                <w:sz w:val="21"/>
                <w:szCs w:val="21"/>
              </w:rPr>
              <w:t>86.02</w:t>
            </w:r>
          </w:p>
        </w:tc>
      </w:tr>
    </w:tbl>
    <w:p w14:paraId="2D12482B">
      <w:pPr>
        <w:widowControl/>
        <w:adjustRightInd w:val="0"/>
        <w:snapToGrid w:val="0"/>
        <w:spacing w:line="240" w:lineRule="auto"/>
        <w:ind w:firstLine="422" w:firstLineChars="200"/>
        <w:jc w:val="center"/>
        <w:rPr>
          <w:rFonts w:ascii="Times New Roman" w:hAnsi="Times New Roman" w:cs="Times New Roman"/>
          <w:b/>
          <w:bCs/>
          <w:kern w:val="0"/>
          <w:sz w:val="21"/>
          <w:szCs w:val="21"/>
        </w:rPr>
      </w:pPr>
    </w:p>
    <w:p w14:paraId="07372432">
      <w:pPr>
        <w:pStyle w:val="43"/>
        <w:numPr>
          <w:ilvl w:val="5"/>
          <w:numId w:val="1"/>
        </w:numPr>
        <w:bidi w:val="0"/>
      </w:pPr>
      <w:r>
        <w:t>202</w:t>
      </w:r>
      <w:r>
        <w:rPr>
          <w:rFonts w:hint="eastAsia"/>
        </w:rPr>
        <w:t>2</w:t>
      </w:r>
      <w:r>
        <w:t>年1</w:t>
      </w:r>
      <w:r>
        <w:rPr>
          <w:rFonts w:hint="eastAsia"/>
        </w:rPr>
        <w:t>1月14日~2022年11月18</w:t>
      </w:r>
      <w:r>
        <w:t>日地下水监测结果</w:t>
      </w:r>
      <w:r>
        <w:rPr>
          <w:rFonts w:hint="eastAsia"/>
        </w:rPr>
        <w:t xml:space="preserve">（1）  </w:t>
      </w:r>
      <w:r>
        <w:t>单位mg/L</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3"/>
        <w:gridCol w:w="1654"/>
        <w:gridCol w:w="1622"/>
        <w:gridCol w:w="1533"/>
        <w:gridCol w:w="1286"/>
        <w:gridCol w:w="1261"/>
      </w:tblGrid>
      <w:tr w14:paraId="62AED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682" w:type="pct"/>
            <w:vMerge w:val="restart"/>
            <w:noWrap w:val="0"/>
            <w:vAlign w:val="center"/>
          </w:tcPr>
          <w:p w14:paraId="23AF7689">
            <w:pPr>
              <w:widowControl/>
              <w:adjustRightInd/>
              <w:snapToGrid/>
              <w:spacing w:line="240" w:lineRule="auto"/>
              <w:ind w:firstLine="0" w:firstLineChars="0"/>
              <w:jc w:val="center"/>
              <w:rPr>
                <w:rFonts w:ascii="Times New Roman" w:hAnsi="Times New Roman" w:cs="Times New Roman"/>
                <w:b/>
                <w:bCs/>
                <w:color w:val="000000"/>
                <w:kern w:val="44"/>
                <w:sz w:val="21"/>
                <w:szCs w:val="21"/>
              </w:rPr>
            </w:pPr>
            <w:r>
              <w:rPr>
                <w:rFonts w:ascii="Times New Roman" w:hAnsi="Times New Roman" w:cs="Times New Roman"/>
                <w:b/>
                <w:bCs/>
                <w:kern w:val="0"/>
                <w:sz w:val="21"/>
                <w:szCs w:val="21"/>
              </w:rPr>
              <w:t>采样时间</w:t>
            </w:r>
          </w:p>
        </w:tc>
        <w:tc>
          <w:tcPr>
            <w:tcW w:w="970" w:type="pct"/>
            <w:vMerge w:val="restart"/>
            <w:noWrap w:val="0"/>
            <w:vAlign w:val="center"/>
          </w:tcPr>
          <w:p w14:paraId="75ABDC93">
            <w:pPr>
              <w:widowControl/>
              <w:adjustRightInd/>
              <w:snapToGrid/>
              <w:spacing w:line="240" w:lineRule="auto"/>
              <w:ind w:firstLine="0" w:firstLineChars="0"/>
              <w:jc w:val="center"/>
              <w:rPr>
                <w:rFonts w:ascii="Times New Roman" w:hAnsi="Times New Roman" w:cs="Times New Roman"/>
                <w:b/>
                <w:bCs/>
                <w:kern w:val="0"/>
                <w:sz w:val="21"/>
                <w:szCs w:val="21"/>
              </w:rPr>
            </w:pPr>
            <w:r>
              <w:rPr>
                <w:rFonts w:ascii="Times New Roman" w:hAnsi="Times New Roman" w:cs="Times New Roman"/>
                <w:b/>
                <w:bCs/>
                <w:kern w:val="0"/>
                <w:sz w:val="21"/>
                <w:szCs w:val="21"/>
              </w:rPr>
              <w:t>检测项目</w:t>
            </w:r>
          </w:p>
        </w:tc>
        <w:tc>
          <w:tcPr>
            <w:tcW w:w="2607" w:type="pct"/>
            <w:gridSpan w:val="3"/>
            <w:noWrap w:val="0"/>
            <w:vAlign w:val="center"/>
          </w:tcPr>
          <w:p w14:paraId="2A3C8752">
            <w:pPr>
              <w:widowControl/>
              <w:adjustRightInd/>
              <w:snapToGrid/>
              <w:spacing w:line="240" w:lineRule="auto"/>
              <w:ind w:firstLine="0" w:firstLineChars="0"/>
              <w:jc w:val="center"/>
              <w:rPr>
                <w:rFonts w:ascii="Times New Roman" w:hAnsi="Times New Roman" w:cs="Times New Roman"/>
                <w:b/>
                <w:bCs/>
                <w:kern w:val="0"/>
                <w:sz w:val="21"/>
                <w:szCs w:val="21"/>
              </w:rPr>
            </w:pPr>
            <w:r>
              <w:rPr>
                <w:rFonts w:ascii="Times New Roman" w:hAnsi="Times New Roman" w:cs="Times New Roman"/>
                <w:b/>
                <w:bCs/>
                <w:kern w:val="0"/>
                <w:sz w:val="21"/>
                <w:szCs w:val="21"/>
              </w:rPr>
              <w:t>检测结果</w:t>
            </w:r>
          </w:p>
        </w:tc>
        <w:tc>
          <w:tcPr>
            <w:tcW w:w="740" w:type="pct"/>
            <w:vMerge w:val="restart"/>
            <w:noWrap w:val="0"/>
            <w:vAlign w:val="center"/>
          </w:tcPr>
          <w:p w14:paraId="680C58E3">
            <w:pPr>
              <w:widowControl/>
              <w:adjustRightInd/>
              <w:snapToGrid/>
              <w:spacing w:line="240" w:lineRule="auto"/>
              <w:ind w:firstLine="0" w:firstLineChars="0"/>
              <w:jc w:val="center"/>
              <w:rPr>
                <w:rFonts w:ascii="Times New Roman" w:hAnsi="Times New Roman" w:cs="Times New Roman"/>
                <w:b/>
                <w:bCs/>
                <w:kern w:val="0"/>
                <w:sz w:val="21"/>
                <w:szCs w:val="21"/>
              </w:rPr>
            </w:pPr>
            <w:r>
              <w:rPr>
                <w:rFonts w:ascii="Times New Roman" w:hAnsi="Times New Roman" w:cs="Times New Roman"/>
                <w:b/>
                <w:bCs/>
                <w:kern w:val="0"/>
                <w:sz w:val="21"/>
                <w:szCs w:val="21"/>
              </w:rPr>
              <w:t>标准限值</w:t>
            </w:r>
          </w:p>
        </w:tc>
      </w:tr>
      <w:tr w14:paraId="6F075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682" w:type="pct"/>
            <w:vMerge w:val="continue"/>
            <w:noWrap w:val="0"/>
            <w:vAlign w:val="center"/>
          </w:tcPr>
          <w:p w14:paraId="5F152FE1">
            <w:pPr>
              <w:widowControl/>
              <w:adjustRightInd/>
              <w:snapToGrid/>
              <w:spacing w:line="240" w:lineRule="auto"/>
              <w:ind w:firstLine="0" w:firstLineChars="0"/>
              <w:jc w:val="center"/>
              <w:rPr>
                <w:rFonts w:ascii="Times New Roman" w:hAnsi="Times New Roman" w:cs="Times New Roman"/>
                <w:b/>
                <w:bCs/>
                <w:kern w:val="0"/>
                <w:sz w:val="21"/>
                <w:szCs w:val="21"/>
              </w:rPr>
            </w:pPr>
          </w:p>
        </w:tc>
        <w:tc>
          <w:tcPr>
            <w:tcW w:w="970" w:type="pct"/>
            <w:vMerge w:val="continue"/>
            <w:noWrap w:val="0"/>
            <w:vAlign w:val="center"/>
          </w:tcPr>
          <w:p w14:paraId="1E4A9265">
            <w:pPr>
              <w:widowControl/>
              <w:adjustRightInd/>
              <w:snapToGrid/>
              <w:spacing w:line="240" w:lineRule="auto"/>
              <w:ind w:firstLine="0" w:firstLineChars="0"/>
              <w:jc w:val="center"/>
              <w:rPr>
                <w:rFonts w:ascii="Times New Roman" w:hAnsi="Times New Roman" w:cs="Times New Roman"/>
                <w:b/>
                <w:bCs/>
                <w:kern w:val="0"/>
                <w:sz w:val="21"/>
                <w:szCs w:val="21"/>
              </w:rPr>
            </w:pPr>
          </w:p>
        </w:tc>
        <w:tc>
          <w:tcPr>
            <w:tcW w:w="952" w:type="pct"/>
            <w:noWrap w:val="0"/>
            <w:vAlign w:val="center"/>
          </w:tcPr>
          <w:p w14:paraId="4046DBB5">
            <w:pPr>
              <w:widowControl/>
              <w:adjustRightInd/>
              <w:snapToGrid/>
              <w:spacing w:line="240" w:lineRule="auto"/>
              <w:ind w:firstLine="0" w:firstLineChars="0"/>
              <w:jc w:val="center"/>
              <w:rPr>
                <w:rFonts w:ascii="Times New Roman" w:hAnsi="Times New Roman" w:cs="Times New Roman"/>
                <w:b/>
                <w:bCs/>
                <w:kern w:val="0"/>
                <w:sz w:val="21"/>
                <w:szCs w:val="21"/>
              </w:rPr>
            </w:pPr>
            <w:r>
              <w:rPr>
                <w:rFonts w:ascii="Times New Roman" w:hAnsi="Times New Roman" w:cs="Times New Roman"/>
                <w:b/>
                <w:bCs/>
                <w:kern w:val="2"/>
                <w:sz w:val="21"/>
                <w:szCs w:val="21"/>
              </w:rPr>
              <w:t>D1</w:t>
            </w:r>
            <w:r>
              <w:rPr>
                <w:rFonts w:hint="eastAsia" w:cs="Times New Roman"/>
                <w:b/>
                <w:bCs/>
                <w:kern w:val="2"/>
                <w:sz w:val="21"/>
                <w:szCs w:val="21"/>
                <w:lang w:eastAsia="zh-CN"/>
              </w:rPr>
              <w:t>项目西南面2100m松木乡</w:t>
            </w:r>
            <w:r>
              <w:rPr>
                <w:rFonts w:ascii="Times New Roman" w:hAnsi="Times New Roman" w:cs="Times New Roman"/>
                <w:b/>
                <w:bCs/>
                <w:kern w:val="2"/>
                <w:sz w:val="21"/>
                <w:szCs w:val="21"/>
              </w:rPr>
              <w:t>水井</w:t>
            </w:r>
          </w:p>
        </w:tc>
        <w:tc>
          <w:tcPr>
            <w:tcW w:w="900" w:type="pct"/>
            <w:noWrap w:val="0"/>
            <w:vAlign w:val="center"/>
          </w:tcPr>
          <w:p w14:paraId="761D45AE">
            <w:pPr>
              <w:widowControl/>
              <w:adjustRightInd/>
              <w:snapToGrid/>
              <w:spacing w:line="240" w:lineRule="auto"/>
              <w:ind w:firstLine="0" w:firstLineChars="0"/>
              <w:jc w:val="center"/>
              <w:rPr>
                <w:rFonts w:ascii="Times New Roman" w:hAnsi="Times New Roman" w:cs="Times New Roman"/>
                <w:b/>
                <w:bCs/>
                <w:kern w:val="0"/>
                <w:sz w:val="21"/>
                <w:szCs w:val="21"/>
              </w:rPr>
            </w:pPr>
            <w:r>
              <w:rPr>
                <w:rFonts w:ascii="Times New Roman" w:hAnsi="Times New Roman" w:cs="Times New Roman"/>
                <w:b/>
                <w:bCs/>
                <w:kern w:val="2"/>
                <w:sz w:val="21"/>
                <w:szCs w:val="21"/>
              </w:rPr>
              <w:t>D3</w:t>
            </w:r>
            <w:r>
              <w:rPr>
                <w:rFonts w:hint="eastAsia" w:cs="Times New Roman"/>
                <w:b/>
                <w:bCs/>
                <w:kern w:val="2"/>
                <w:sz w:val="21"/>
                <w:szCs w:val="21"/>
                <w:lang w:eastAsia="zh-CN"/>
              </w:rPr>
              <w:t>项目北面2000m新安村</w:t>
            </w:r>
            <w:r>
              <w:rPr>
                <w:rFonts w:ascii="Times New Roman" w:hAnsi="Times New Roman" w:cs="Times New Roman"/>
                <w:b/>
                <w:bCs/>
                <w:kern w:val="2"/>
                <w:sz w:val="21"/>
                <w:szCs w:val="21"/>
              </w:rPr>
              <w:t>水井</w:t>
            </w:r>
          </w:p>
        </w:tc>
        <w:tc>
          <w:tcPr>
            <w:tcW w:w="753" w:type="pct"/>
            <w:noWrap w:val="0"/>
            <w:vAlign w:val="center"/>
          </w:tcPr>
          <w:p w14:paraId="650E87BE">
            <w:pPr>
              <w:widowControl/>
              <w:adjustRightInd/>
              <w:snapToGrid/>
              <w:spacing w:line="240" w:lineRule="auto"/>
              <w:ind w:firstLine="0" w:firstLineChars="0"/>
              <w:jc w:val="center"/>
              <w:rPr>
                <w:rFonts w:ascii="Times New Roman" w:hAnsi="Times New Roman" w:cs="Times New Roman"/>
                <w:b/>
                <w:bCs/>
                <w:kern w:val="0"/>
                <w:sz w:val="21"/>
                <w:szCs w:val="21"/>
              </w:rPr>
            </w:pPr>
            <w:r>
              <w:rPr>
                <w:rFonts w:ascii="Times New Roman" w:hAnsi="Times New Roman" w:cs="Times New Roman"/>
                <w:b/>
                <w:bCs/>
                <w:kern w:val="2"/>
                <w:sz w:val="21"/>
                <w:szCs w:val="21"/>
              </w:rPr>
              <w:t>D5</w:t>
            </w:r>
            <w:r>
              <w:rPr>
                <w:rFonts w:hint="eastAsia" w:cs="Times New Roman"/>
                <w:b/>
                <w:bCs/>
                <w:kern w:val="2"/>
                <w:sz w:val="21"/>
                <w:szCs w:val="21"/>
                <w:lang w:eastAsia="zh-CN"/>
              </w:rPr>
              <w:t>项目东面1400m处金兰村</w:t>
            </w:r>
            <w:r>
              <w:rPr>
                <w:rFonts w:ascii="Times New Roman" w:hAnsi="Times New Roman" w:cs="Times New Roman"/>
                <w:b/>
                <w:bCs/>
                <w:kern w:val="2"/>
                <w:sz w:val="21"/>
                <w:szCs w:val="21"/>
              </w:rPr>
              <w:t>水井</w:t>
            </w:r>
          </w:p>
        </w:tc>
        <w:tc>
          <w:tcPr>
            <w:tcW w:w="740" w:type="pct"/>
            <w:vMerge w:val="continue"/>
            <w:noWrap w:val="0"/>
            <w:vAlign w:val="center"/>
          </w:tcPr>
          <w:p w14:paraId="539B02DA">
            <w:pPr>
              <w:widowControl/>
              <w:adjustRightInd/>
              <w:snapToGrid/>
              <w:spacing w:line="240" w:lineRule="auto"/>
              <w:ind w:firstLine="0" w:firstLineChars="0"/>
              <w:jc w:val="center"/>
              <w:rPr>
                <w:rFonts w:ascii="Times New Roman" w:hAnsi="Times New Roman" w:cs="Times New Roman"/>
                <w:b/>
                <w:bCs/>
                <w:kern w:val="0"/>
                <w:sz w:val="21"/>
                <w:szCs w:val="21"/>
              </w:rPr>
            </w:pPr>
          </w:p>
        </w:tc>
      </w:tr>
      <w:tr w14:paraId="44058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2" w:type="pct"/>
            <w:vMerge w:val="restart"/>
            <w:noWrap w:val="0"/>
            <w:vAlign w:val="center"/>
          </w:tcPr>
          <w:p w14:paraId="3BAECEC1">
            <w:pPr>
              <w:widowControl/>
              <w:adjustRightInd/>
              <w:snapToGrid/>
              <w:spacing w:line="240" w:lineRule="auto"/>
              <w:ind w:firstLine="0" w:firstLineChars="0"/>
              <w:jc w:val="center"/>
              <w:rPr>
                <w:rFonts w:ascii="Times New Roman" w:hAnsi="Times New Roman" w:cs="Times New Roman"/>
                <w:b/>
                <w:kern w:val="0"/>
                <w:sz w:val="21"/>
                <w:szCs w:val="21"/>
              </w:rPr>
            </w:pPr>
            <w:r>
              <w:rPr>
                <w:rFonts w:ascii="Times New Roman" w:hAnsi="Times New Roman" w:cs="Times New Roman"/>
                <w:bCs/>
                <w:kern w:val="0"/>
                <w:sz w:val="21"/>
                <w:szCs w:val="21"/>
              </w:rPr>
              <w:t>2022年11月14日</w:t>
            </w:r>
          </w:p>
        </w:tc>
        <w:tc>
          <w:tcPr>
            <w:tcW w:w="970" w:type="pct"/>
            <w:noWrap w:val="0"/>
            <w:vAlign w:val="center"/>
          </w:tcPr>
          <w:p w14:paraId="40ADDC82">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pH（无量纲）</w:t>
            </w:r>
          </w:p>
        </w:tc>
        <w:tc>
          <w:tcPr>
            <w:tcW w:w="952" w:type="pct"/>
            <w:noWrap w:val="0"/>
            <w:vAlign w:val="center"/>
          </w:tcPr>
          <w:p w14:paraId="311793D3">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6.8</w:t>
            </w:r>
          </w:p>
        </w:tc>
        <w:tc>
          <w:tcPr>
            <w:tcW w:w="900" w:type="pct"/>
            <w:noWrap w:val="0"/>
            <w:vAlign w:val="center"/>
          </w:tcPr>
          <w:p w14:paraId="184E0457">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2"/>
                <w:sz w:val="21"/>
                <w:szCs w:val="21"/>
              </w:rPr>
              <w:t>6.9</w:t>
            </w:r>
          </w:p>
        </w:tc>
        <w:tc>
          <w:tcPr>
            <w:tcW w:w="753" w:type="pct"/>
            <w:noWrap w:val="0"/>
            <w:vAlign w:val="center"/>
          </w:tcPr>
          <w:p w14:paraId="04AD6FA9">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2"/>
                <w:sz w:val="21"/>
                <w:szCs w:val="21"/>
              </w:rPr>
              <w:t>7.2</w:t>
            </w:r>
          </w:p>
        </w:tc>
        <w:tc>
          <w:tcPr>
            <w:tcW w:w="740" w:type="pct"/>
            <w:noWrap w:val="0"/>
            <w:vAlign w:val="center"/>
          </w:tcPr>
          <w:p w14:paraId="77F90ABA">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2"/>
                <w:sz w:val="21"/>
                <w:szCs w:val="21"/>
              </w:rPr>
              <w:t>6.5≤</w:t>
            </w:r>
            <w:r>
              <w:rPr>
                <w:rFonts w:ascii="Times New Roman" w:hAnsi="Times New Roman" w:cs="Times New Roman"/>
                <w:bCs/>
                <w:kern w:val="0"/>
                <w:sz w:val="21"/>
                <w:szCs w:val="21"/>
              </w:rPr>
              <w:t>pH</w:t>
            </w:r>
            <w:r>
              <w:rPr>
                <w:rFonts w:ascii="Times New Roman" w:hAnsi="Times New Roman" w:cs="Times New Roman"/>
                <w:bCs/>
                <w:kern w:val="2"/>
                <w:sz w:val="21"/>
                <w:szCs w:val="21"/>
              </w:rPr>
              <w:t>≤8.5</w:t>
            </w:r>
          </w:p>
        </w:tc>
      </w:tr>
      <w:tr w14:paraId="011D9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2" w:type="pct"/>
            <w:vMerge w:val="continue"/>
            <w:noWrap w:val="0"/>
            <w:vAlign w:val="center"/>
          </w:tcPr>
          <w:p w14:paraId="016339D2">
            <w:pPr>
              <w:widowControl/>
              <w:adjustRightInd/>
              <w:snapToGrid/>
              <w:spacing w:line="240" w:lineRule="auto"/>
              <w:ind w:firstLine="0" w:firstLineChars="0"/>
              <w:jc w:val="center"/>
              <w:rPr>
                <w:rFonts w:ascii="Times New Roman" w:hAnsi="Times New Roman" w:cs="Times New Roman"/>
                <w:kern w:val="0"/>
                <w:sz w:val="21"/>
                <w:szCs w:val="21"/>
              </w:rPr>
            </w:pPr>
          </w:p>
        </w:tc>
        <w:tc>
          <w:tcPr>
            <w:tcW w:w="970" w:type="pct"/>
            <w:noWrap w:val="0"/>
            <w:vAlign w:val="center"/>
          </w:tcPr>
          <w:p w14:paraId="12B8BD89">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溶解性总固体</w:t>
            </w:r>
          </w:p>
        </w:tc>
        <w:tc>
          <w:tcPr>
            <w:tcW w:w="952" w:type="pct"/>
            <w:noWrap w:val="0"/>
            <w:vAlign w:val="center"/>
          </w:tcPr>
          <w:p w14:paraId="7864F14D">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115</w:t>
            </w:r>
          </w:p>
        </w:tc>
        <w:tc>
          <w:tcPr>
            <w:tcW w:w="900" w:type="pct"/>
            <w:noWrap w:val="0"/>
            <w:vAlign w:val="center"/>
          </w:tcPr>
          <w:p w14:paraId="073F19FA">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79</w:t>
            </w:r>
          </w:p>
        </w:tc>
        <w:tc>
          <w:tcPr>
            <w:tcW w:w="753" w:type="pct"/>
            <w:noWrap w:val="0"/>
            <w:vAlign w:val="center"/>
          </w:tcPr>
          <w:p w14:paraId="75EBEBFD">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698</w:t>
            </w:r>
          </w:p>
        </w:tc>
        <w:tc>
          <w:tcPr>
            <w:tcW w:w="740" w:type="pct"/>
            <w:noWrap w:val="0"/>
            <w:vAlign w:val="center"/>
          </w:tcPr>
          <w:p w14:paraId="3389A8A9">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≤1000</w:t>
            </w:r>
          </w:p>
        </w:tc>
      </w:tr>
      <w:tr w14:paraId="4EA5C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2" w:type="pct"/>
            <w:vMerge w:val="continue"/>
            <w:noWrap w:val="0"/>
            <w:vAlign w:val="center"/>
          </w:tcPr>
          <w:p w14:paraId="757498A5">
            <w:pPr>
              <w:widowControl/>
              <w:adjustRightInd/>
              <w:snapToGrid/>
              <w:spacing w:line="240" w:lineRule="auto"/>
              <w:ind w:firstLine="0" w:firstLineChars="0"/>
              <w:jc w:val="center"/>
              <w:rPr>
                <w:rFonts w:ascii="Times New Roman" w:hAnsi="Times New Roman" w:cs="Times New Roman"/>
                <w:b/>
                <w:kern w:val="0"/>
                <w:sz w:val="21"/>
                <w:szCs w:val="21"/>
              </w:rPr>
            </w:pPr>
          </w:p>
        </w:tc>
        <w:tc>
          <w:tcPr>
            <w:tcW w:w="970" w:type="pct"/>
            <w:noWrap w:val="0"/>
            <w:vAlign w:val="center"/>
          </w:tcPr>
          <w:p w14:paraId="035CA515">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总硬度</w:t>
            </w:r>
          </w:p>
        </w:tc>
        <w:tc>
          <w:tcPr>
            <w:tcW w:w="952" w:type="pct"/>
            <w:noWrap w:val="0"/>
            <w:vAlign w:val="center"/>
          </w:tcPr>
          <w:p w14:paraId="1C2EB3BC">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70.6</w:t>
            </w:r>
          </w:p>
        </w:tc>
        <w:tc>
          <w:tcPr>
            <w:tcW w:w="900" w:type="pct"/>
            <w:noWrap w:val="0"/>
            <w:vAlign w:val="center"/>
          </w:tcPr>
          <w:p w14:paraId="0BF03F6B">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45.2</w:t>
            </w:r>
          </w:p>
        </w:tc>
        <w:tc>
          <w:tcPr>
            <w:tcW w:w="753" w:type="pct"/>
            <w:noWrap w:val="0"/>
            <w:vAlign w:val="center"/>
          </w:tcPr>
          <w:p w14:paraId="3EFEC823">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378</w:t>
            </w:r>
          </w:p>
        </w:tc>
        <w:tc>
          <w:tcPr>
            <w:tcW w:w="740" w:type="pct"/>
            <w:noWrap w:val="0"/>
            <w:vAlign w:val="center"/>
          </w:tcPr>
          <w:p w14:paraId="1A0D1679">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≤450</w:t>
            </w:r>
          </w:p>
        </w:tc>
      </w:tr>
      <w:tr w14:paraId="627B9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2" w:type="pct"/>
            <w:vMerge w:val="continue"/>
            <w:noWrap w:val="0"/>
            <w:vAlign w:val="center"/>
          </w:tcPr>
          <w:p w14:paraId="684E4C4A">
            <w:pPr>
              <w:widowControl/>
              <w:adjustRightInd/>
              <w:snapToGrid/>
              <w:spacing w:line="240" w:lineRule="auto"/>
              <w:ind w:firstLine="0" w:firstLineChars="0"/>
              <w:jc w:val="center"/>
              <w:rPr>
                <w:rFonts w:ascii="Times New Roman" w:hAnsi="Times New Roman" w:cs="Times New Roman"/>
                <w:b/>
                <w:kern w:val="0"/>
                <w:sz w:val="21"/>
                <w:szCs w:val="21"/>
              </w:rPr>
            </w:pPr>
          </w:p>
        </w:tc>
        <w:tc>
          <w:tcPr>
            <w:tcW w:w="970" w:type="pct"/>
            <w:noWrap w:val="0"/>
            <w:vAlign w:val="center"/>
          </w:tcPr>
          <w:p w14:paraId="4D80BA49">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耗氧量</w:t>
            </w:r>
          </w:p>
        </w:tc>
        <w:tc>
          <w:tcPr>
            <w:tcW w:w="952" w:type="pct"/>
            <w:noWrap w:val="0"/>
            <w:vAlign w:val="center"/>
          </w:tcPr>
          <w:p w14:paraId="081BF05E">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0.87</w:t>
            </w:r>
          </w:p>
        </w:tc>
        <w:tc>
          <w:tcPr>
            <w:tcW w:w="900" w:type="pct"/>
            <w:noWrap w:val="0"/>
            <w:vAlign w:val="center"/>
          </w:tcPr>
          <w:p w14:paraId="27A483A8">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0.78</w:t>
            </w:r>
          </w:p>
        </w:tc>
        <w:tc>
          <w:tcPr>
            <w:tcW w:w="753" w:type="pct"/>
            <w:noWrap w:val="0"/>
            <w:vAlign w:val="center"/>
          </w:tcPr>
          <w:p w14:paraId="7955BB98">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0.95</w:t>
            </w:r>
          </w:p>
        </w:tc>
        <w:tc>
          <w:tcPr>
            <w:tcW w:w="740" w:type="pct"/>
            <w:noWrap w:val="0"/>
            <w:vAlign w:val="center"/>
          </w:tcPr>
          <w:p w14:paraId="484B99D4">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≤3.0</w:t>
            </w:r>
          </w:p>
        </w:tc>
      </w:tr>
      <w:tr w14:paraId="7F800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2" w:type="pct"/>
            <w:vMerge w:val="continue"/>
            <w:noWrap w:val="0"/>
            <w:vAlign w:val="center"/>
          </w:tcPr>
          <w:p w14:paraId="69362D06">
            <w:pPr>
              <w:widowControl/>
              <w:adjustRightInd/>
              <w:snapToGrid/>
              <w:spacing w:line="240" w:lineRule="auto"/>
              <w:ind w:firstLine="0" w:firstLineChars="0"/>
              <w:jc w:val="center"/>
              <w:rPr>
                <w:rFonts w:ascii="Times New Roman" w:hAnsi="Times New Roman" w:cs="Times New Roman"/>
                <w:b/>
                <w:kern w:val="0"/>
                <w:sz w:val="21"/>
                <w:szCs w:val="21"/>
              </w:rPr>
            </w:pPr>
          </w:p>
        </w:tc>
        <w:tc>
          <w:tcPr>
            <w:tcW w:w="970" w:type="pct"/>
            <w:noWrap w:val="0"/>
            <w:vAlign w:val="center"/>
          </w:tcPr>
          <w:p w14:paraId="298FB0CB">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氨氮</w:t>
            </w:r>
          </w:p>
        </w:tc>
        <w:tc>
          <w:tcPr>
            <w:tcW w:w="952" w:type="pct"/>
            <w:noWrap w:val="0"/>
            <w:vAlign w:val="center"/>
          </w:tcPr>
          <w:p w14:paraId="44F4E2DF">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0.212</w:t>
            </w:r>
          </w:p>
        </w:tc>
        <w:tc>
          <w:tcPr>
            <w:tcW w:w="900" w:type="pct"/>
            <w:noWrap w:val="0"/>
            <w:vAlign w:val="center"/>
          </w:tcPr>
          <w:p w14:paraId="4198D5B3">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0.025L</w:t>
            </w:r>
          </w:p>
        </w:tc>
        <w:tc>
          <w:tcPr>
            <w:tcW w:w="753" w:type="pct"/>
            <w:noWrap w:val="0"/>
            <w:vAlign w:val="center"/>
          </w:tcPr>
          <w:p w14:paraId="569047B7">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0.173</w:t>
            </w:r>
          </w:p>
        </w:tc>
        <w:tc>
          <w:tcPr>
            <w:tcW w:w="740" w:type="pct"/>
            <w:noWrap w:val="0"/>
            <w:vAlign w:val="center"/>
          </w:tcPr>
          <w:p w14:paraId="07A64BEE">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≤0.50</w:t>
            </w:r>
          </w:p>
        </w:tc>
      </w:tr>
      <w:tr w14:paraId="27196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2" w:type="pct"/>
            <w:vMerge w:val="continue"/>
            <w:noWrap w:val="0"/>
            <w:vAlign w:val="center"/>
          </w:tcPr>
          <w:p w14:paraId="5BD3DD0B">
            <w:pPr>
              <w:widowControl/>
              <w:adjustRightInd/>
              <w:snapToGrid/>
              <w:spacing w:line="240" w:lineRule="auto"/>
              <w:ind w:firstLine="0" w:firstLineChars="0"/>
              <w:jc w:val="center"/>
              <w:rPr>
                <w:rFonts w:ascii="Times New Roman" w:hAnsi="Times New Roman" w:cs="Times New Roman"/>
                <w:b/>
                <w:kern w:val="0"/>
                <w:sz w:val="21"/>
                <w:szCs w:val="21"/>
              </w:rPr>
            </w:pPr>
          </w:p>
        </w:tc>
        <w:tc>
          <w:tcPr>
            <w:tcW w:w="970" w:type="pct"/>
            <w:noWrap w:val="0"/>
            <w:vAlign w:val="center"/>
          </w:tcPr>
          <w:p w14:paraId="7DD08983">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钙离子</w:t>
            </w:r>
          </w:p>
        </w:tc>
        <w:tc>
          <w:tcPr>
            <w:tcW w:w="952" w:type="pct"/>
            <w:noWrap w:val="0"/>
            <w:vAlign w:val="center"/>
          </w:tcPr>
          <w:p w14:paraId="2157EAF7">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28.8</w:t>
            </w:r>
          </w:p>
        </w:tc>
        <w:tc>
          <w:tcPr>
            <w:tcW w:w="900" w:type="pct"/>
            <w:noWrap w:val="0"/>
            <w:vAlign w:val="center"/>
          </w:tcPr>
          <w:p w14:paraId="4B9CDE75">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17.6</w:t>
            </w:r>
          </w:p>
        </w:tc>
        <w:tc>
          <w:tcPr>
            <w:tcW w:w="753" w:type="pct"/>
            <w:noWrap w:val="0"/>
            <w:vAlign w:val="center"/>
          </w:tcPr>
          <w:p w14:paraId="31E95063">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74.4</w:t>
            </w:r>
          </w:p>
        </w:tc>
        <w:tc>
          <w:tcPr>
            <w:tcW w:w="740" w:type="pct"/>
            <w:noWrap w:val="0"/>
            <w:vAlign w:val="center"/>
          </w:tcPr>
          <w:p w14:paraId="707D7BFD">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4B52D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2" w:type="pct"/>
            <w:vMerge w:val="continue"/>
            <w:noWrap w:val="0"/>
            <w:vAlign w:val="center"/>
          </w:tcPr>
          <w:p w14:paraId="52D5806A">
            <w:pPr>
              <w:widowControl/>
              <w:adjustRightInd/>
              <w:snapToGrid/>
              <w:spacing w:line="240" w:lineRule="auto"/>
              <w:ind w:firstLine="0" w:firstLineChars="0"/>
              <w:jc w:val="center"/>
              <w:rPr>
                <w:rFonts w:ascii="Times New Roman" w:hAnsi="Times New Roman" w:cs="Times New Roman"/>
                <w:b/>
                <w:kern w:val="0"/>
                <w:sz w:val="21"/>
                <w:szCs w:val="21"/>
              </w:rPr>
            </w:pPr>
          </w:p>
        </w:tc>
        <w:tc>
          <w:tcPr>
            <w:tcW w:w="970" w:type="pct"/>
            <w:noWrap w:val="0"/>
            <w:vAlign w:val="center"/>
          </w:tcPr>
          <w:p w14:paraId="74E57149">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钾离子</w:t>
            </w:r>
          </w:p>
        </w:tc>
        <w:tc>
          <w:tcPr>
            <w:tcW w:w="952" w:type="pct"/>
            <w:noWrap w:val="0"/>
            <w:vAlign w:val="center"/>
          </w:tcPr>
          <w:p w14:paraId="6E3EE1F3">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2.87</w:t>
            </w:r>
          </w:p>
        </w:tc>
        <w:tc>
          <w:tcPr>
            <w:tcW w:w="900" w:type="pct"/>
            <w:noWrap w:val="0"/>
            <w:vAlign w:val="center"/>
          </w:tcPr>
          <w:p w14:paraId="0452A863">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1.85</w:t>
            </w:r>
          </w:p>
        </w:tc>
        <w:tc>
          <w:tcPr>
            <w:tcW w:w="753" w:type="pct"/>
            <w:noWrap w:val="0"/>
            <w:vAlign w:val="center"/>
          </w:tcPr>
          <w:p w14:paraId="6892DF97">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9.67</w:t>
            </w:r>
          </w:p>
        </w:tc>
        <w:tc>
          <w:tcPr>
            <w:tcW w:w="740" w:type="pct"/>
            <w:noWrap w:val="0"/>
            <w:vAlign w:val="center"/>
          </w:tcPr>
          <w:p w14:paraId="7137CDAF">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30F6B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2" w:type="pct"/>
            <w:vMerge w:val="continue"/>
            <w:noWrap w:val="0"/>
            <w:vAlign w:val="center"/>
          </w:tcPr>
          <w:p w14:paraId="2A190E1A">
            <w:pPr>
              <w:widowControl/>
              <w:adjustRightInd/>
              <w:snapToGrid/>
              <w:spacing w:line="240" w:lineRule="auto"/>
              <w:ind w:firstLine="0" w:firstLineChars="0"/>
              <w:jc w:val="center"/>
              <w:rPr>
                <w:rFonts w:ascii="Times New Roman" w:hAnsi="Times New Roman" w:cs="Times New Roman"/>
                <w:b/>
                <w:kern w:val="0"/>
                <w:sz w:val="21"/>
                <w:szCs w:val="21"/>
              </w:rPr>
            </w:pPr>
          </w:p>
        </w:tc>
        <w:tc>
          <w:tcPr>
            <w:tcW w:w="970" w:type="pct"/>
            <w:noWrap w:val="0"/>
            <w:vAlign w:val="center"/>
          </w:tcPr>
          <w:p w14:paraId="6E23BFBA">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镁离子</w:t>
            </w:r>
          </w:p>
        </w:tc>
        <w:tc>
          <w:tcPr>
            <w:tcW w:w="952" w:type="pct"/>
            <w:noWrap w:val="0"/>
            <w:vAlign w:val="center"/>
          </w:tcPr>
          <w:p w14:paraId="2E7FE579">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4.83</w:t>
            </w:r>
          </w:p>
        </w:tc>
        <w:tc>
          <w:tcPr>
            <w:tcW w:w="900" w:type="pct"/>
            <w:noWrap w:val="0"/>
            <w:vAlign w:val="center"/>
          </w:tcPr>
          <w:p w14:paraId="236A25FD">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1.77</w:t>
            </w:r>
          </w:p>
        </w:tc>
        <w:tc>
          <w:tcPr>
            <w:tcW w:w="753" w:type="pct"/>
            <w:noWrap w:val="0"/>
            <w:vAlign w:val="center"/>
          </w:tcPr>
          <w:p w14:paraId="0EC9CC28">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26.6</w:t>
            </w:r>
          </w:p>
        </w:tc>
        <w:tc>
          <w:tcPr>
            <w:tcW w:w="740" w:type="pct"/>
            <w:noWrap w:val="0"/>
            <w:vAlign w:val="center"/>
          </w:tcPr>
          <w:p w14:paraId="10E728F0">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14B4B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2" w:type="pct"/>
            <w:vMerge w:val="continue"/>
            <w:noWrap w:val="0"/>
            <w:vAlign w:val="center"/>
          </w:tcPr>
          <w:p w14:paraId="7657BEF7">
            <w:pPr>
              <w:widowControl/>
              <w:adjustRightInd/>
              <w:snapToGrid/>
              <w:spacing w:line="240" w:lineRule="auto"/>
              <w:ind w:firstLine="0" w:firstLineChars="0"/>
              <w:jc w:val="center"/>
              <w:rPr>
                <w:rFonts w:ascii="Times New Roman" w:hAnsi="Times New Roman" w:cs="Times New Roman"/>
                <w:b/>
                <w:kern w:val="0"/>
                <w:sz w:val="21"/>
                <w:szCs w:val="21"/>
              </w:rPr>
            </w:pPr>
          </w:p>
        </w:tc>
        <w:tc>
          <w:tcPr>
            <w:tcW w:w="970" w:type="pct"/>
            <w:noWrap w:val="0"/>
            <w:vAlign w:val="center"/>
          </w:tcPr>
          <w:p w14:paraId="6359C9FE">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钠离子</w:t>
            </w:r>
          </w:p>
        </w:tc>
        <w:tc>
          <w:tcPr>
            <w:tcW w:w="952" w:type="pct"/>
            <w:noWrap w:val="0"/>
            <w:vAlign w:val="center"/>
          </w:tcPr>
          <w:p w14:paraId="5E8BE18C">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15.8</w:t>
            </w:r>
          </w:p>
        </w:tc>
        <w:tc>
          <w:tcPr>
            <w:tcW w:w="900" w:type="pct"/>
            <w:noWrap w:val="0"/>
            <w:vAlign w:val="center"/>
          </w:tcPr>
          <w:p w14:paraId="3C1CA9FB">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14.9</w:t>
            </w:r>
          </w:p>
        </w:tc>
        <w:tc>
          <w:tcPr>
            <w:tcW w:w="753" w:type="pct"/>
            <w:noWrap w:val="0"/>
            <w:vAlign w:val="center"/>
          </w:tcPr>
          <w:p w14:paraId="7C5DB8D3">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74.9</w:t>
            </w:r>
          </w:p>
        </w:tc>
        <w:tc>
          <w:tcPr>
            <w:tcW w:w="740" w:type="pct"/>
            <w:noWrap w:val="0"/>
            <w:vAlign w:val="center"/>
          </w:tcPr>
          <w:p w14:paraId="6684C75D">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487FE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2" w:type="pct"/>
            <w:vMerge w:val="continue"/>
            <w:noWrap w:val="0"/>
            <w:vAlign w:val="center"/>
          </w:tcPr>
          <w:p w14:paraId="261AA923">
            <w:pPr>
              <w:widowControl/>
              <w:adjustRightInd/>
              <w:snapToGrid/>
              <w:spacing w:line="240" w:lineRule="auto"/>
              <w:ind w:firstLine="0" w:firstLineChars="0"/>
              <w:jc w:val="center"/>
              <w:rPr>
                <w:rFonts w:ascii="Times New Roman" w:hAnsi="Times New Roman" w:cs="Times New Roman"/>
                <w:b/>
                <w:kern w:val="0"/>
                <w:sz w:val="21"/>
                <w:szCs w:val="21"/>
              </w:rPr>
            </w:pPr>
          </w:p>
        </w:tc>
        <w:tc>
          <w:tcPr>
            <w:tcW w:w="970" w:type="pct"/>
            <w:noWrap w:val="0"/>
            <w:vAlign w:val="center"/>
          </w:tcPr>
          <w:p w14:paraId="6999DBB9">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碳酸根</w:t>
            </w:r>
          </w:p>
        </w:tc>
        <w:tc>
          <w:tcPr>
            <w:tcW w:w="952" w:type="pct"/>
            <w:noWrap w:val="0"/>
            <w:vAlign w:val="center"/>
          </w:tcPr>
          <w:p w14:paraId="064FE828">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0L</w:t>
            </w:r>
          </w:p>
        </w:tc>
        <w:tc>
          <w:tcPr>
            <w:tcW w:w="900" w:type="pct"/>
            <w:noWrap w:val="0"/>
            <w:vAlign w:val="center"/>
          </w:tcPr>
          <w:p w14:paraId="2BDAF17F">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0L</w:t>
            </w:r>
          </w:p>
        </w:tc>
        <w:tc>
          <w:tcPr>
            <w:tcW w:w="753" w:type="pct"/>
            <w:noWrap w:val="0"/>
            <w:vAlign w:val="center"/>
          </w:tcPr>
          <w:p w14:paraId="476849E9">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0L</w:t>
            </w:r>
          </w:p>
        </w:tc>
        <w:tc>
          <w:tcPr>
            <w:tcW w:w="740" w:type="pct"/>
            <w:noWrap w:val="0"/>
            <w:vAlign w:val="center"/>
          </w:tcPr>
          <w:p w14:paraId="585FD25B">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39DDB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2" w:type="pct"/>
            <w:vMerge w:val="continue"/>
            <w:noWrap w:val="0"/>
            <w:vAlign w:val="center"/>
          </w:tcPr>
          <w:p w14:paraId="275DF9CF">
            <w:pPr>
              <w:widowControl/>
              <w:adjustRightInd/>
              <w:snapToGrid/>
              <w:spacing w:line="240" w:lineRule="auto"/>
              <w:ind w:firstLine="0" w:firstLineChars="0"/>
              <w:jc w:val="center"/>
              <w:rPr>
                <w:rFonts w:ascii="Times New Roman" w:hAnsi="Times New Roman" w:cs="Times New Roman"/>
                <w:b/>
                <w:kern w:val="0"/>
                <w:sz w:val="21"/>
                <w:szCs w:val="21"/>
              </w:rPr>
            </w:pPr>
          </w:p>
        </w:tc>
        <w:tc>
          <w:tcPr>
            <w:tcW w:w="970" w:type="pct"/>
            <w:noWrap w:val="0"/>
            <w:vAlign w:val="center"/>
          </w:tcPr>
          <w:p w14:paraId="36B85A74">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碳酸氢根</w:t>
            </w:r>
          </w:p>
        </w:tc>
        <w:tc>
          <w:tcPr>
            <w:tcW w:w="952" w:type="pct"/>
            <w:noWrap w:val="0"/>
            <w:vAlign w:val="center"/>
          </w:tcPr>
          <w:p w14:paraId="20C7AC90">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55.0</w:t>
            </w:r>
          </w:p>
        </w:tc>
        <w:tc>
          <w:tcPr>
            <w:tcW w:w="900" w:type="pct"/>
            <w:noWrap w:val="0"/>
            <w:vAlign w:val="center"/>
          </w:tcPr>
          <w:p w14:paraId="4D25019F">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19.3</w:t>
            </w:r>
          </w:p>
        </w:tc>
        <w:tc>
          <w:tcPr>
            <w:tcW w:w="753" w:type="pct"/>
            <w:noWrap w:val="0"/>
            <w:vAlign w:val="center"/>
          </w:tcPr>
          <w:p w14:paraId="2276C311">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110</w:t>
            </w:r>
          </w:p>
        </w:tc>
        <w:tc>
          <w:tcPr>
            <w:tcW w:w="740" w:type="pct"/>
            <w:noWrap w:val="0"/>
            <w:vAlign w:val="center"/>
          </w:tcPr>
          <w:p w14:paraId="56D4D757">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04D75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2" w:type="pct"/>
            <w:vMerge w:val="continue"/>
            <w:noWrap w:val="0"/>
            <w:vAlign w:val="center"/>
          </w:tcPr>
          <w:p w14:paraId="56AC6161">
            <w:pPr>
              <w:widowControl/>
              <w:adjustRightInd/>
              <w:snapToGrid/>
              <w:spacing w:line="240" w:lineRule="auto"/>
              <w:ind w:firstLine="0" w:firstLineChars="0"/>
              <w:jc w:val="center"/>
              <w:rPr>
                <w:rFonts w:ascii="Times New Roman" w:hAnsi="Times New Roman" w:cs="Times New Roman"/>
                <w:b/>
                <w:kern w:val="0"/>
                <w:sz w:val="21"/>
                <w:szCs w:val="21"/>
              </w:rPr>
            </w:pPr>
          </w:p>
        </w:tc>
        <w:tc>
          <w:tcPr>
            <w:tcW w:w="970" w:type="pct"/>
            <w:noWrap w:val="0"/>
            <w:vAlign w:val="center"/>
          </w:tcPr>
          <w:p w14:paraId="47C32E04">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氯离子</w:t>
            </w:r>
          </w:p>
        </w:tc>
        <w:tc>
          <w:tcPr>
            <w:tcW w:w="952" w:type="pct"/>
            <w:noWrap w:val="0"/>
            <w:vAlign w:val="center"/>
          </w:tcPr>
          <w:p w14:paraId="4069B246">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16.4</w:t>
            </w:r>
          </w:p>
        </w:tc>
        <w:tc>
          <w:tcPr>
            <w:tcW w:w="900" w:type="pct"/>
            <w:noWrap w:val="0"/>
            <w:vAlign w:val="center"/>
          </w:tcPr>
          <w:p w14:paraId="57EB1C59">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17.9</w:t>
            </w:r>
          </w:p>
        </w:tc>
        <w:tc>
          <w:tcPr>
            <w:tcW w:w="753" w:type="pct"/>
            <w:noWrap w:val="0"/>
            <w:vAlign w:val="center"/>
          </w:tcPr>
          <w:p w14:paraId="30BD28DD">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141</w:t>
            </w:r>
          </w:p>
        </w:tc>
        <w:tc>
          <w:tcPr>
            <w:tcW w:w="740" w:type="pct"/>
            <w:noWrap w:val="0"/>
            <w:vAlign w:val="center"/>
          </w:tcPr>
          <w:p w14:paraId="0D87E688">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347E0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2" w:type="pct"/>
            <w:vMerge w:val="continue"/>
            <w:noWrap w:val="0"/>
            <w:vAlign w:val="center"/>
          </w:tcPr>
          <w:p w14:paraId="1F30CD0D">
            <w:pPr>
              <w:widowControl/>
              <w:adjustRightInd/>
              <w:snapToGrid/>
              <w:spacing w:line="240" w:lineRule="auto"/>
              <w:ind w:firstLine="0" w:firstLineChars="0"/>
              <w:jc w:val="center"/>
              <w:rPr>
                <w:rFonts w:ascii="Times New Roman" w:hAnsi="Times New Roman" w:cs="Times New Roman"/>
                <w:b/>
                <w:kern w:val="0"/>
                <w:sz w:val="21"/>
                <w:szCs w:val="21"/>
              </w:rPr>
            </w:pPr>
          </w:p>
        </w:tc>
        <w:tc>
          <w:tcPr>
            <w:tcW w:w="970" w:type="pct"/>
            <w:noWrap w:val="0"/>
            <w:vAlign w:val="center"/>
          </w:tcPr>
          <w:p w14:paraId="1E5E4DDC">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硫酸根</w:t>
            </w:r>
          </w:p>
        </w:tc>
        <w:tc>
          <w:tcPr>
            <w:tcW w:w="952" w:type="pct"/>
            <w:noWrap w:val="0"/>
            <w:vAlign w:val="center"/>
          </w:tcPr>
          <w:p w14:paraId="0721F730">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15.7</w:t>
            </w:r>
          </w:p>
        </w:tc>
        <w:tc>
          <w:tcPr>
            <w:tcW w:w="900" w:type="pct"/>
            <w:noWrap w:val="0"/>
            <w:vAlign w:val="center"/>
          </w:tcPr>
          <w:p w14:paraId="103BEF8C">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4.12</w:t>
            </w:r>
          </w:p>
        </w:tc>
        <w:tc>
          <w:tcPr>
            <w:tcW w:w="753" w:type="pct"/>
            <w:noWrap w:val="0"/>
            <w:vAlign w:val="center"/>
          </w:tcPr>
          <w:p w14:paraId="7956B824">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98.1</w:t>
            </w:r>
          </w:p>
        </w:tc>
        <w:tc>
          <w:tcPr>
            <w:tcW w:w="740" w:type="pct"/>
            <w:noWrap w:val="0"/>
            <w:vAlign w:val="center"/>
          </w:tcPr>
          <w:p w14:paraId="6F3B03C3">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69E3B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2" w:type="pct"/>
            <w:vMerge w:val="continue"/>
            <w:noWrap w:val="0"/>
            <w:vAlign w:val="center"/>
          </w:tcPr>
          <w:p w14:paraId="21411CF1">
            <w:pPr>
              <w:widowControl/>
              <w:adjustRightInd/>
              <w:snapToGrid/>
              <w:spacing w:line="240" w:lineRule="auto"/>
              <w:ind w:firstLine="0" w:firstLineChars="0"/>
              <w:jc w:val="center"/>
              <w:rPr>
                <w:rFonts w:ascii="Times New Roman" w:hAnsi="Times New Roman" w:cs="Times New Roman"/>
                <w:b/>
                <w:kern w:val="0"/>
                <w:sz w:val="21"/>
                <w:szCs w:val="21"/>
              </w:rPr>
            </w:pPr>
          </w:p>
        </w:tc>
        <w:tc>
          <w:tcPr>
            <w:tcW w:w="970" w:type="pct"/>
            <w:noWrap w:val="0"/>
            <w:vAlign w:val="center"/>
          </w:tcPr>
          <w:p w14:paraId="62E6DB1E">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硝酸盐</w:t>
            </w:r>
          </w:p>
        </w:tc>
        <w:tc>
          <w:tcPr>
            <w:tcW w:w="952" w:type="pct"/>
            <w:noWrap w:val="0"/>
            <w:vAlign w:val="center"/>
          </w:tcPr>
          <w:p w14:paraId="4DDE82DF">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5.55</w:t>
            </w:r>
          </w:p>
        </w:tc>
        <w:tc>
          <w:tcPr>
            <w:tcW w:w="900" w:type="pct"/>
            <w:noWrap w:val="0"/>
            <w:vAlign w:val="center"/>
          </w:tcPr>
          <w:p w14:paraId="418EC14A">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5.11</w:t>
            </w:r>
          </w:p>
        </w:tc>
        <w:tc>
          <w:tcPr>
            <w:tcW w:w="753" w:type="pct"/>
            <w:noWrap w:val="0"/>
            <w:vAlign w:val="center"/>
          </w:tcPr>
          <w:p w14:paraId="7957A0D4">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7.87</w:t>
            </w:r>
          </w:p>
        </w:tc>
        <w:tc>
          <w:tcPr>
            <w:tcW w:w="740" w:type="pct"/>
            <w:noWrap w:val="0"/>
            <w:vAlign w:val="center"/>
          </w:tcPr>
          <w:p w14:paraId="364D57F7">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≤20.0</w:t>
            </w:r>
          </w:p>
        </w:tc>
      </w:tr>
      <w:tr w14:paraId="0A8CB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2" w:type="pct"/>
            <w:vMerge w:val="continue"/>
            <w:noWrap w:val="0"/>
            <w:vAlign w:val="center"/>
          </w:tcPr>
          <w:p w14:paraId="4EA7BBFC">
            <w:pPr>
              <w:widowControl/>
              <w:adjustRightInd/>
              <w:snapToGrid/>
              <w:spacing w:line="240" w:lineRule="auto"/>
              <w:ind w:firstLine="0" w:firstLineChars="0"/>
              <w:jc w:val="center"/>
              <w:rPr>
                <w:rFonts w:ascii="Times New Roman" w:hAnsi="Times New Roman" w:cs="Times New Roman"/>
                <w:b/>
                <w:kern w:val="0"/>
                <w:sz w:val="21"/>
                <w:szCs w:val="21"/>
              </w:rPr>
            </w:pPr>
          </w:p>
        </w:tc>
        <w:tc>
          <w:tcPr>
            <w:tcW w:w="970" w:type="pct"/>
            <w:noWrap w:val="0"/>
            <w:vAlign w:val="center"/>
          </w:tcPr>
          <w:p w14:paraId="3B5359DB">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亚硝酸盐</w:t>
            </w:r>
          </w:p>
        </w:tc>
        <w:tc>
          <w:tcPr>
            <w:tcW w:w="952" w:type="pct"/>
            <w:noWrap w:val="0"/>
            <w:vAlign w:val="center"/>
          </w:tcPr>
          <w:p w14:paraId="66DFDA33">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0.016L</w:t>
            </w:r>
          </w:p>
        </w:tc>
        <w:tc>
          <w:tcPr>
            <w:tcW w:w="900" w:type="pct"/>
            <w:noWrap w:val="0"/>
            <w:vAlign w:val="center"/>
          </w:tcPr>
          <w:p w14:paraId="256E02F7">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0.016L</w:t>
            </w:r>
          </w:p>
        </w:tc>
        <w:tc>
          <w:tcPr>
            <w:tcW w:w="753" w:type="pct"/>
            <w:noWrap w:val="0"/>
            <w:vAlign w:val="center"/>
          </w:tcPr>
          <w:p w14:paraId="4FE13AD4">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0.016L</w:t>
            </w:r>
          </w:p>
        </w:tc>
        <w:tc>
          <w:tcPr>
            <w:tcW w:w="740" w:type="pct"/>
            <w:noWrap w:val="0"/>
            <w:vAlign w:val="center"/>
          </w:tcPr>
          <w:p w14:paraId="14AC3FC6">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≤1.00</w:t>
            </w:r>
          </w:p>
        </w:tc>
      </w:tr>
      <w:tr w14:paraId="555C6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2" w:type="pct"/>
            <w:vMerge w:val="continue"/>
            <w:noWrap w:val="0"/>
            <w:vAlign w:val="center"/>
          </w:tcPr>
          <w:p w14:paraId="4AF2C0EC">
            <w:pPr>
              <w:widowControl/>
              <w:adjustRightInd/>
              <w:snapToGrid/>
              <w:spacing w:line="240" w:lineRule="auto"/>
              <w:ind w:firstLine="0" w:firstLineChars="0"/>
              <w:jc w:val="center"/>
              <w:rPr>
                <w:rFonts w:ascii="Times New Roman" w:hAnsi="Times New Roman" w:cs="Times New Roman"/>
                <w:b/>
                <w:kern w:val="0"/>
                <w:sz w:val="21"/>
                <w:szCs w:val="21"/>
              </w:rPr>
            </w:pPr>
          </w:p>
        </w:tc>
        <w:tc>
          <w:tcPr>
            <w:tcW w:w="970" w:type="pct"/>
            <w:noWrap w:val="0"/>
            <w:vAlign w:val="center"/>
          </w:tcPr>
          <w:p w14:paraId="6055DC5D">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硫化物</w:t>
            </w:r>
          </w:p>
        </w:tc>
        <w:tc>
          <w:tcPr>
            <w:tcW w:w="952" w:type="pct"/>
            <w:noWrap w:val="0"/>
            <w:vAlign w:val="center"/>
          </w:tcPr>
          <w:p w14:paraId="73EA8471">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0.01L</w:t>
            </w:r>
          </w:p>
        </w:tc>
        <w:tc>
          <w:tcPr>
            <w:tcW w:w="900" w:type="pct"/>
            <w:noWrap w:val="0"/>
            <w:vAlign w:val="center"/>
          </w:tcPr>
          <w:p w14:paraId="2BD19E90">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0.01L</w:t>
            </w:r>
          </w:p>
        </w:tc>
        <w:tc>
          <w:tcPr>
            <w:tcW w:w="753" w:type="pct"/>
            <w:noWrap w:val="0"/>
            <w:vAlign w:val="center"/>
          </w:tcPr>
          <w:p w14:paraId="3787D4F5">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0.01L</w:t>
            </w:r>
          </w:p>
        </w:tc>
        <w:tc>
          <w:tcPr>
            <w:tcW w:w="740" w:type="pct"/>
            <w:noWrap w:val="0"/>
            <w:vAlign w:val="center"/>
          </w:tcPr>
          <w:p w14:paraId="6242201F">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≤0.02</w:t>
            </w:r>
          </w:p>
        </w:tc>
      </w:tr>
      <w:tr w14:paraId="7C4AE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2" w:type="pct"/>
            <w:vMerge w:val="continue"/>
            <w:noWrap w:val="0"/>
            <w:vAlign w:val="center"/>
          </w:tcPr>
          <w:p w14:paraId="6D98C278">
            <w:pPr>
              <w:widowControl/>
              <w:adjustRightInd/>
              <w:snapToGrid/>
              <w:spacing w:line="240" w:lineRule="auto"/>
              <w:ind w:firstLine="0" w:firstLineChars="0"/>
              <w:jc w:val="center"/>
              <w:rPr>
                <w:rFonts w:ascii="Times New Roman" w:hAnsi="Times New Roman" w:cs="Times New Roman"/>
                <w:b/>
                <w:kern w:val="0"/>
                <w:sz w:val="21"/>
                <w:szCs w:val="21"/>
              </w:rPr>
            </w:pPr>
          </w:p>
        </w:tc>
        <w:tc>
          <w:tcPr>
            <w:tcW w:w="970" w:type="pct"/>
            <w:noWrap w:val="0"/>
            <w:vAlign w:val="center"/>
          </w:tcPr>
          <w:p w14:paraId="0EA62B86">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挥发性酚类</w:t>
            </w:r>
          </w:p>
        </w:tc>
        <w:tc>
          <w:tcPr>
            <w:tcW w:w="952" w:type="pct"/>
            <w:noWrap w:val="0"/>
            <w:vAlign w:val="center"/>
          </w:tcPr>
          <w:p w14:paraId="611B9FAB">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0.0003L</w:t>
            </w:r>
          </w:p>
        </w:tc>
        <w:tc>
          <w:tcPr>
            <w:tcW w:w="900" w:type="pct"/>
            <w:noWrap w:val="0"/>
            <w:vAlign w:val="center"/>
          </w:tcPr>
          <w:p w14:paraId="30DB7C98">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0.0003L</w:t>
            </w:r>
          </w:p>
        </w:tc>
        <w:tc>
          <w:tcPr>
            <w:tcW w:w="753" w:type="pct"/>
            <w:noWrap w:val="0"/>
            <w:vAlign w:val="center"/>
          </w:tcPr>
          <w:p w14:paraId="0F81F366">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0.0003L</w:t>
            </w:r>
          </w:p>
        </w:tc>
        <w:tc>
          <w:tcPr>
            <w:tcW w:w="740" w:type="pct"/>
            <w:noWrap w:val="0"/>
            <w:vAlign w:val="center"/>
          </w:tcPr>
          <w:p w14:paraId="24EA7474">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≤0.002</w:t>
            </w:r>
          </w:p>
        </w:tc>
      </w:tr>
    </w:tbl>
    <w:p w14:paraId="2203A8E0">
      <w:pPr>
        <w:widowControl/>
        <w:adjustRightInd w:val="0"/>
        <w:snapToGrid w:val="0"/>
        <w:spacing w:line="240" w:lineRule="auto"/>
        <w:ind w:firstLine="0" w:firstLineChars="0"/>
        <w:jc w:val="both"/>
        <w:rPr>
          <w:rFonts w:ascii="Times New Roman" w:hAnsi="Times New Roman" w:cs="Times New Roman"/>
          <w:kern w:val="0"/>
          <w:highlight w:val="yellow"/>
        </w:rPr>
      </w:pPr>
    </w:p>
    <w:p w14:paraId="3E8C2E5A">
      <w:pPr>
        <w:pStyle w:val="43"/>
        <w:numPr>
          <w:ilvl w:val="5"/>
          <w:numId w:val="1"/>
        </w:numPr>
        <w:bidi w:val="0"/>
      </w:pPr>
      <w:r>
        <w:t>202</w:t>
      </w:r>
      <w:r>
        <w:rPr>
          <w:rFonts w:hint="eastAsia"/>
        </w:rPr>
        <w:t>2</w:t>
      </w:r>
      <w:r>
        <w:t>年1</w:t>
      </w:r>
      <w:r>
        <w:rPr>
          <w:rFonts w:hint="eastAsia"/>
        </w:rPr>
        <w:t>1月14日~2022年11月18</w:t>
      </w:r>
      <w:r>
        <w:t>日地下水监测结果</w:t>
      </w:r>
      <w:r>
        <w:rPr>
          <w:rFonts w:hint="eastAsia"/>
        </w:rPr>
        <w:t xml:space="preserve">（2）  </w:t>
      </w:r>
      <w:r>
        <w:t>单位mg/L</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1"/>
        <w:gridCol w:w="1687"/>
        <w:gridCol w:w="1687"/>
        <w:gridCol w:w="1692"/>
        <w:gridCol w:w="1772"/>
      </w:tblGrid>
      <w:tr w14:paraId="212E0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986" w:type="pct"/>
            <w:noWrap w:val="0"/>
            <w:vAlign w:val="center"/>
          </w:tcPr>
          <w:p w14:paraId="3A973703">
            <w:pPr>
              <w:widowControl/>
              <w:adjustRightInd/>
              <w:snapToGrid/>
              <w:spacing w:line="240" w:lineRule="auto"/>
              <w:ind w:firstLine="0" w:firstLineChars="0"/>
              <w:jc w:val="center"/>
              <w:rPr>
                <w:rFonts w:ascii="Times New Roman" w:hAnsi="Times New Roman" w:cs="Times New Roman"/>
                <w:b/>
                <w:kern w:val="0"/>
                <w:sz w:val="21"/>
                <w:szCs w:val="21"/>
              </w:rPr>
            </w:pPr>
            <w:r>
              <w:rPr>
                <w:rFonts w:ascii="Times New Roman" w:hAnsi="Times New Roman" w:cs="Times New Roman"/>
                <w:b/>
                <w:kern w:val="0"/>
                <w:sz w:val="21"/>
                <w:szCs w:val="21"/>
              </w:rPr>
              <w:t>采样时间</w:t>
            </w:r>
          </w:p>
        </w:tc>
        <w:tc>
          <w:tcPr>
            <w:tcW w:w="990" w:type="pct"/>
            <w:noWrap w:val="0"/>
            <w:vAlign w:val="center"/>
          </w:tcPr>
          <w:p w14:paraId="3FABBB57">
            <w:pPr>
              <w:widowControl/>
              <w:adjustRightInd/>
              <w:snapToGrid/>
              <w:spacing w:line="240" w:lineRule="auto"/>
              <w:ind w:firstLine="0" w:firstLineChars="0"/>
              <w:jc w:val="center"/>
              <w:rPr>
                <w:rFonts w:ascii="Times New Roman" w:hAnsi="Times New Roman" w:cs="Times New Roman"/>
                <w:b/>
                <w:kern w:val="0"/>
                <w:sz w:val="21"/>
                <w:szCs w:val="21"/>
              </w:rPr>
            </w:pPr>
            <w:r>
              <w:rPr>
                <w:rFonts w:ascii="Times New Roman" w:hAnsi="Times New Roman" w:cs="Times New Roman"/>
                <w:b/>
                <w:kern w:val="0"/>
                <w:sz w:val="21"/>
                <w:szCs w:val="21"/>
              </w:rPr>
              <w:t>采样点位</w:t>
            </w:r>
          </w:p>
        </w:tc>
        <w:tc>
          <w:tcPr>
            <w:tcW w:w="990" w:type="pct"/>
            <w:noWrap w:val="0"/>
            <w:vAlign w:val="center"/>
          </w:tcPr>
          <w:p w14:paraId="5ED8B9F8">
            <w:pPr>
              <w:widowControl/>
              <w:adjustRightInd/>
              <w:snapToGrid/>
              <w:spacing w:line="240" w:lineRule="auto"/>
              <w:ind w:firstLine="0" w:firstLineChars="0"/>
              <w:jc w:val="center"/>
              <w:rPr>
                <w:rFonts w:ascii="Times New Roman" w:hAnsi="Times New Roman" w:cs="Times New Roman"/>
                <w:b/>
                <w:kern w:val="0"/>
                <w:sz w:val="21"/>
                <w:szCs w:val="21"/>
              </w:rPr>
            </w:pPr>
            <w:r>
              <w:rPr>
                <w:rFonts w:ascii="Times New Roman" w:hAnsi="Times New Roman" w:cs="Times New Roman"/>
                <w:b/>
                <w:kern w:val="0"/>
                <w:sz w:val="21"/>
                <w:szCs w:val="21"/>
              </w:rPr>
              <w:t>检测项目</w:t>
            </w:r>
          </w:p>
        </w:tc>
        <w:tc>
          <w:tcPr>
            <w:tcW w:w="993" w:type="pct"/>
            <w:noWrap w:val="0"/>
            <w:vAlign w:val="center"/>
          </w:tcPr>
          <w:p w14:paraId="1185EE11">
            <w:pPr>
              <w:widowControl/>
              <w:adjustRightInd/>
              <w:snapToGrid/>
              <w:spacing w:line="240" w:lineRule="auto"/>
              <w:ind w:firstLine="0" w:firstLineChars="0"/>
              <w:jc w:val="center"/>
              <w:rPr>
                <w:rFonts w:ascii="Times New Roman" w:hAnsi="Times New Roman" w:cs="Times New Roman"/>
                <w:b/>
                <w:kern w:val="0"/>
                <w:sz w:val="21"/>
                <w:szCs w:val="21"/>
              </w:rPr>
            </w:pPr>
            <w:r>
              <w:rPr>
                <w:rFonts w:ascii="Times New Roman" w:hAnsi="Times New Roman" w:cs="Times New Roman"/>
                <w:b/>
                <w:kern w:val="0"/>
                <w:sz w:val="21"/>
                <w:szCs w:val="21"/>
              </w:rPr>
              <w:t>检测结果</w:t>
            </w:r>
          </w:p>
        </w:tc>
        <w:tc>
          <w:tcPr>
            <w:tcW w:w="1039" w:type="pct"/>
            <w:noWrap w:val="0"/>
            <w:vAlign w:val="center"/>
          </w:tcPr>
          <w:p w14:paraId="5FBB1232">
            <w:pPr>
              <w:widowControl/>
              <w:adjustRightInd/>
              <w:snapToGrid/>
              <w:spacing w:line="240" w:lineRule="auto"/>
              <w:ind w:firstLine="0" w:firstLineChars="0"/>
              <w:jc w:val="center"/>
              <w:rPr>
                <w:rFonts w:ascii="Times New Roman" w:hAnsi="Times New Roman" w:cs="Times New Roman"/>
                <w:b/>
                <w:kern w:val="0"/>
                <w:sz w:val="21"/>
                <w:szCs w:val="21"/>
              </w:rPr>
            </w:pPr>
            <w:r>
              <w:rPr>
                <w:rFonts w:ascii="Times New Roman" w:hAnsi="Times New Roman" w:cs="Times New Roman"/>
                <w:b/>
                <w:kern w:val="0"/>
                <w:sz w:val="21"/>
                <w:szCs w:val="21"/>
              </w:rPr>
              <w:t>标准限值</w:t>
            </w:r>
          </w:p>
        </w:tc>
      </w:tr>
      <w:tr w14:paraId="217AA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6" w:type="pct"/>
            <w:vMerge w:val="restart"/>
            <w:noWrap w:val="0"/>
            <w:vAlign w:val="center"/>
          </w:tcPr>
          <w:p w14:paraId="6CEFD3A3">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2022年11月18日</w:t>
            </w:r>
          </w:p>
        </w:tc>
        <w:tc>
          <w:tcPr>
            <w:tcW w:w="990" w:type="pct"/>
            <w:vMerge w:val="restart"/>
            <w:noWrap w:val="0"/>
            <w:vAlign w:val="center"/>
          </w:tcPr>
          <w:p w14:paraId="1A1F0244">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2"/>
                <w:sz w:val="21"/>
                <w:szCs w:val="21"/>
              </w:rPr>
              <w:t>D2</w:t>
            </w:r>
            <w:r>
              <w:rPr>
                <w:rFonts w:hint="eastAsia" w:cs="Times New Roman"/>
                <w:kern w:val="0"/>
                <w:sz w:val="21"/>
                <w:szCs w:val="21"/>
                <w:lang w:val="en-US" w:eastAsia="zh-CN"/>
              </w:rPr>
              <w:t>项目东北面1200m</w:t>
            </w:r>
            <w:r>
              <w:rPr>
                <w:rFonts w:ascii="Times New Roman" w:hAnsi="Times New Roman" w:cs="Times New Roman"/>
                <w:kern w:val="0"/>
                <w:sz w:val="21"/>
                <w:szCs w:val="21"/>
              </w:rPr>
              <w:t>建滔化工烧碱生产区</w:t>
            </w:r>
          </w:p>
        </w:tc>
        <w:tc>
          <w:tcPr>
            <w:tcW w:w="990" w:type="pct"/>
            <w:noWrap w:val="0"/>
            <w:vAlign w:val="center"/>
          </w:tcPr>
          <w:p w14:paraId="37FA216D">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pH（无量纲）</w:t>
            </w:r>
          </w:p>
        </w:tc>
        <w:tc>
          <w:tcPr>
            <w:tcW w:w="993" w:type="pct"/>
            <w:noWrap w:val="0"/>
            <w:vAlign w:val="center"/>
          </w:tcPr>
          <w:p w14:paraId="10DB587D">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2"/>
                <w:sz w:val="21"/>
                <w:szCs w:val="21"/>
              </w:rPr>
              <w:t>6.9</w:t>
            </w:r>
          </w:p>
        </w:tc>
        <w:tc>
          <w:tcPr>
            <w:tcW w:w="1039" w:type="pct"/>
            <w:noWrap w:val="0"/>
            <w:vAlign w:val="center"/>
          </w:tcPr>
          <w:p w14:paraId="4AA78E50">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2"/>
                <w:sz w:val="21"/>
                <w:szCs w:val="21"/>
              </w:rPr>
              <w:t>6.5≤</w:t>
            </w:r>
            <w:r>
              <w:rPr>
                <w:rFonts w:ascii="Times New Roman" w:hAnsi="Times New Roman" w:cs="Times New Roman"/>
                <w:bCs/>
                <w:kern w:val="0"/>
                <w:sz w:val="21"/>
                <w:szCs w:val="21"/>
              </w:rPr>
              <w:t>pH</w:t>
            </w:r>
            <w:r>
              <w:rPr>
                <w:rFonts w:ascii="Times New Roman" w:hAnsi="Times New Roman" w:cs="Times New Roman"/>
                <w:bCs/>
                <w:kern w:val="2"/>
                <w:sz w:val="21"/>
                <w:szCs w:val="21"/>
              </w:rPr>
              <w:t>≤8.5</w:t>
            </w:r>
          </w:p>
        </w:tc>
      </w:tr>
      <w:tr w14:paraId="4EC64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6" w:type="pct"/>
            <w:vMerge w:val="continue"/>
            <w:noWrap w:val="0"/>
            <w:vAlign w:val="center"/>
          </w:tcPr>
          <w:p w14:paraId="09281FD6">
            <w:pPr>
              <w:widowControl/>
              <w:adjustRightInd/>
              <w:snapToGrid/>
              <w:spacing w:line="240" w:lineRule="auto"/>
              <w:ind w:firstLine="0" w:firstLineChars="0"/>
              <w:jc w:val="center"/>
              <w:rPr>
                <w:rFonts w:ascii="Times New Roman" w:hAnsi="Times New Roman" w:cs="Times New Roman"/>
                <w:kern w:val="0"/>
                <w:sz w:val="21"/>
                <w:szCs w:val="21"/>
              </w:rPr>
            </w:pPr>
          </w:p>
        </w:tc>
        <w:tc>
          <w:tcPr>
            <w:tcW w:w="990" w:type="pct"/>
            <w:vMerge w:val="continue"/>
            <w:noWrap w:val="0"/>
            <w:vAlign w:val="center"/>
          </w:tcPr>
          <w:p w14:paraId="0773FC38">
            <w:pPr>
              <w:widowControl/>
              <w:adjustRightInd/>
              <w:snapToGrid/>
              <w:spacing w:line="240" w:lineRule="auto"/>
              <w:ind w:firstLine="0" w:firstLineChars="0"/>
              <w:jc w:val="center"/>
              <w:rPr>
                <w:rFonts w:ascii="Times New Roman" w:hAnsi="Times New Roman" w:cs="Times New Roman"/>
                <w:kern w:val="0"/>
                <w:sz w:val="21"/>
                <w:szCs w:val="21"/>
              </w:rPr>
            </w:pPr>
          </w:p>
        </w:tc>
        <w:tc>
          <w:tcPr>
            <w:tcW w:w="990" w:type="pct"/>
            <w:noWrap w:val="0"/>
            <w:vAlign w:val="center"/>
          </w:tcPr>
          <w:p w14:paraId="0484A404">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溶解性总固体</w:t>
            </w:r>
          </w:p>
        </w:tc>
        <w:tc>
          <w:tcPr>
            <w:tcW w:w="993" w:type="pct"/>
            <w:noWrap w:val="0"/>
            <w:vAlign w:val="center"/>
          </w:tcPr>
          <w:p w14:paraId="1D711FAE">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164</w:t>
            </w:r>
          </w:p>
        </w:tc>
        <w:tc>
          <w:tcPr>
            <w:tcW w:w="1039" w:type="pct"/>
            <w:noWrap w:val="0"/>
            <w:vAlign w:val="center"/>
          </w:tcPr>
          <w:p w14:paraId="3404E1CE">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≤1000</w:t>
            </w:r>
          </w:p>
        </w:tc>
      </w:tr>
      <w:tr w14:paraId="6DE8C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6" w:type="pct"/>
            <w:vMerge w:val="continue"/>
            <w:noWrap w:val="0"/>
            <w:vAlign w:val="center"/>
          </w:tcPr>
          <w:p w14:paraId="0DAD4EC5">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vMerge w:val="continue"/>
            <w:noWrap w:val="0"/>
            <w:vAlign w:val="center"/>
          </w:tcPr>
          <w:p w14:paraId="09436AC1">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noWrap w:val="0"/>
            <w:vAlign w:val="center"/>
          </w:tcPr>
          <w:p w14:paraId="34B42DA4">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总硬度</w:t>
            </w:r>
          </w:p>
        </w:tc>
        <w:tc>
          <w:tcPr>
            <w:tcW w:w="993" w:type="pct"/>
            <w:noWrap w:val="0"/>
            <w:vAlign w:val="center"/>
          </w:tcPr>
          <w:p w14:paraId="453E7450">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142</w:t>
            </w:r>
          </w:p>
        </w:tc>
        <w:tc>
          <w:tcPr>
            <w:tcW w:w="1039" w:type="pct"/>
            <w:noWrap w:val="0"/>
            <w:vAlign w:val="center"/>
          </w:tcPr>
          <w:p w14:paraId="339520B1">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≤450</w:t>
            </w:r>
          </w:p>
        </w:tc>
      </w:tr>
      <w:tr w14:paraId="54259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6" w:type="pct"/>
            <w:vMerge w:val="continue"/>
            <w:noWrap w:val="0"/>
            <w:vAlign w:val="center"/>
          </w:tcPr>
          <w:p w14:paraId="6999AF17">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vMerge w:val="continue"/>
            <w:noWrap w:val="0"/>
            <w:vAlign w:val="center"/>
          </w:tcPr>
          <w:p w14:paraId="3AD72883">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noWrap w:val="0"/>
            <w:vAlign w:val="center"/>
          </w:tcPr>
          <w:p w14:paraId="1540D034">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耗氧量</w:t>
            </w:r>
          </w:p>
        </w:tc>
        <w:tc>
          <w:tcPr>
            <w:tcW w:w="993" w:type="pct"/>
            <w:noWrap w:val="0"/>
            <w:vAlign w:val="center"/>
          </w:tcPr>
          <w:p w14:paraId="5D56D149">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1.56</w:t>
            </w:r>
          </w:p>
        </w:tc>
        <w:tc>
          <w:tcPr>
            <w:tcW w:w="1039" w:type="pct"/>
            <w:noWrap w:val="0"/>
            <w:vAlign w:val="center"/>
          </w:tcPr>
          <w:p w14:paraId="5F2CE138">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≤3.0</w:t>
            </w:r>
          </w:p>
        </w:tc>
      </w:tr>
      <w:tr w14:paraId="1D6D7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6" w:type="pct"/>
            <w:vMerge w:val="continue"/>
            <w:noWrap w:val="0"/>
            <w:vAlign w:val="center"/>
          </w:tcPr>
          <w:p w14:paraId="5C073649">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vMerge w:val="continue"/>
            <w:noWrap w:val="0"/>
            <w:vAlign w:val="center"/>
          </w:tcPr>
          <w:p w14:paraId="76552A72">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noWrap w:val="0"/>
            <w:vAlign w:val="center"/>
          </w:tcPr>
          <w:p w14:paraId="2A0D6A16">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氨氮</w:t>
            </w:r>
          </w:p>
        </w:tc>
        <w:tc>
          <w:tcPr>
            <w:tcW w:w="993" w:type="pct"/>
            <w:noWrap w:val="0"/>
            <w:vAlign w:val="center"/>
          </w:tcPr>
          <w:p w14:paraId="058AF525">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0.449</w:t>
            </w:r>
          </w:p>
        </w:tc>
        <w:tc>
          <w:tcPr>
            <w:tcW w:w="1039" w:type="pct"/>
            <w:noWrap w:val="0"/>
            <w:vAlign w:val="center"/>
          </w:tcPr>
          <w:p w14:paraId="35C6F297">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≤0.50</w:t>
            </w:r>
          </w:p>
        </w:tc>
      </w:tr>
      <w:tr w14:paraId="360AB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6" w:type="pct"/>
            <w:vMerge w:val="continue"/>
            <w:noWrap w:val="0"/>
            <w:vAlign w:val="center"/>
          </w:tcPr>
          <w:p w14:paraId="65891171">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vMerge w:val="continue"/>
            <w:noWrap w:val="0"/>
            <w:vAlign w:val="center"/>
          </w:tcPr>
          <w:p w14:paraId="2CA90ED3">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noWrap w:val="0"/>
            <w:vAlign w:val="center"/>
          </w:tcPr>
          <w:p w14:paraId="6D20BE5B">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钙离子</w:t>
            </w:r>
          </w:p>
        </w:tc>
        <w:tc>
          <w:tcPr>
            <w:tcW w:w="993" w:type="pct"/>
            <w:noWrap w:val="0"/>
            <w:vAlign w:val="center"/>
          </w:tcPr>
          <w:p w14:paraId="2FB7EB2F">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82.2</w:t>
            </w:r>
          </w:p>
        </w:tc>
        <w:tc>
          <w:tcPr>
            <w:tcW w:w="1039" w:type="pct"/>
            <w:noWrap w:val="0"/>
            <w:vAlign w:val="center"/>
          </w:tcPr>
          <w:p w14:paraId="009977F8">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11729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6" w:type="pct"/>
            <w:vMerge w:val="continue"/>
            <w:noWrap w:val="0"/>
            <w:vAlign w:val="center"/>
          </w:tcPr>
          <w:p w14:paraId="66F86FEC">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vMerge w:val="continue"/>
            <w:noWrap w:val="0"/>
            <w:vAlign w:val="center"/>
          </w:tcPr>
          <w:p w14:paraId="7C4B15EB">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noWrap w:val="0"/>
            <w:vAlign w:val="center"/>
          </w:tcPr>
          <w:p w14:paraId="011D8E6E">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钾离子</w:t>
            </w:r>
          </w:p>
        </w:tc>
        <w:tc>
          <w:tcPr>
            <w:tcW w:w="993" w:type="pct"/>
            <w:noWrap w:val="0"/>
            <w:vAlign w:val="center"/>
          </w:tcPr>
          <w:p w14:paraId="2ACD4B9F">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5.08</w:t>
            </w:r>
          </w:p>
        </w:tc>
        <w:tc>
          <w:tcPr>
            <w:tcW w:w="1039" w:type="pct"/>
            <w:noWrap w:val="0"/>
            <w:vAlign w:val="center"/>
          </w:tcPr>
          <w:p w14:paraId="67FC72B9">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286C4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6" w:type="pct"/>
            <w:vMerge w:val="continue"/>
            <w:noWrap w:val="0"/>
            <w:vAlign w:val="center"/>
          </w:tcPr>
          <w:p w14:paraId="603CA0F1">
            <w:pPr>
              <w:widowControl/>
              <w:adjustRightInd/>
              <w:snapToGrid/>
              <w:spacing w:line="240" w:lineRule="auto"/>
              <w:ind w:firstLine="0" w:firstLineChars="0"/>
              <w:jc w:val="center"/>
              <w:rPr>
                <w:rFonts w:ascii="Times New Roman" w:hAnsi="Times New Roman" w:cs="Times New Roman"/>
                <w:bCs/>
                <w:kern w:val="2"/>
                <w:sz w:val="21"/>
                <w:szCs w:val="21"/>
              </w:rPr>
            </w:pPr>
          </w:p>
        </w:tc>
        <w:tc>
          <w:tcPr>
            <w:tcW w:w="990" w:type="pct"/>
            <w:vMerge w:val="continue"/>
            <w:noWrap w:val="0"/>
            <w:vAlign w:val="center"/>
          </w:tcPr>
          <w:p w14:paraId="4744A835">
            <w:pPr>
              <w:widowControl/>
              <w:adjustRightInd/>
              <w:snapToGrid/>
              <w:spacing w:line="240" w:lineRule="auto"/>
              <w:ind w:firstLine="0" w:firstLineChars="0"/>
              <w:jc w:val="center"/>
              <w:rPr>
                <w:rFonts w:ascii="Times New Roman" w:hAnsi="Times New Roman" w:cs="Times New Roman"/>
                <w:bCs/>
                <w:kern w:val="2"/>
                <w:sz w:val="21"/>
                <w:szCs w:val="21"/>
              </w:rPr>
            </w:pPr>
          </w:p>
        </w:tc>
        <w:tc>
          <w:tcPr>
            <w:tcW w:w="990" w:type="pct"/>
            <w:noWrap w:val="0"/>
            <w:vAlign w:val="center"/>
          </w:tcPr>
          <w:p w14:paraId="08841C14">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镁离子</w:t>
            </w:r>
          </w:p>
        </w:tc>
        <w:tc>
          <w:tcPr>
            <w:tcW w:w="993" w:type="pct"/>
            <w:noWrap w:val="0"/>
            <w:vAlign w:val="center"/>
          </w:tcPr>
          <w:p w14:paraId="6B94D532">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6.06</w:t>
            </w:r>
          </w:p>
        </w:tc>
        <w:tc>
          <w:tcPr>
            <w:tcW w:w="1039" w:type="pct"/>
            <w:noWrap w:val="0"/>
            <w:vAlign w:val="center"/>
          </w:tcPr>
          <w:p w14:paraId="43362E21">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63490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6" w:type="pct"/>
            <w:vMerge w:val="continue"/>
            <w:noWrap w:val="0"/>
            <w:vAlign w:val="center"/>
          </w:tcPr>
          <w:p w14:paraId="15AA4A60">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vMerge w:val="continue"/>
            <w:noWrap w:val="0"/>
            <w:vAlign w:val="center"/>
          </w:tcPr>
          <w:p w14:paraId="1E4F9BB2">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noWrap w:val="0"/>
            <w:vAlign w:val="center"/>
          </w:tcPr>
          <w:p w14:paraId="409F9A0B">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钠离子</w:t>
            </w:r>
          </w:p>
        </w:tc>
        <w:tc>
          <w:tcPr>
            <w:tcW w:w="993" w:type="pct"/>
            <w:noWrap w:val="0"/>
            <w:vAlign w:val="center"/>
          </w:tcPr>
          <w:p w14:paraId="11D7DFB9">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15.9</w:t>
            </w:r>
          </w:p>
        </w:tc>
        <w:tc>
          <w:tcPr>
            <w:tcW w:w="1039" w:type="pct"/>
            <w:noWrap w:val="0"/>
            <w:vAlign w:val="center"/>
          </w:tcPr>
          <w:p w14:paraId="482F153F">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651CE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6" w:type="pct"/>
            <w:vMerge w:val="continue"/>
            <w:noWrap w:val="0"/>
            <w:vAlign w:val="center"/>
          </w:tcPr>
          <w:p w14:paraId="7D2329A3">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vMerge w:val="continue"/>
            <w:noWrap w:val="0"/>
            <w:vAlign w:val="center"/>
          </w:tcPr>
          <w:p w14:paraId="424938AD">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noWrap w:val="0"/>
            <w:vAlign w:val="center"/>
          </w:tcPr>
          <w:p w14:paraId="0543E6BE">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碳酸根</w:t>
            </w:r>
          </w:p>
        </w:tc>
        <w:tc>
          <w:tcPr>
            <w:tcW w:w="993" w:type="pct"/>
            <w:noWrap w:val="0"/>
            <w:vAlign w:val="center"/>
          </w:tcPr>
          <w:p w14:paraId="2A843116">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0L</w:t>
            </w:r>
          </w:p>
        </w:tc>
        <w:tc>
          <w:tcPr>
            <w:tcW w:w="1039" w:type="pct"/>
            <w:noWrap w:val="0"/>
            <w:vAlign w:val="center"/>
          </w:tcPr>
          <w:p w14:paraId="39D4F012">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72D9C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6" w:type="pct"/>
            <w:vMerge w:val="continue"/>
            <w:noWrap w:val="0"/>
            <w:vAlign w:val="center"/>
          </w:tcPr>
          <w:p w14:paraId="5190DB83">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vMerge w:val="continue"/>
            <w:noWrap w:val="0"/>
            <w:vAlign w:val="center"/>
          </w:tcPr>
          <w:p w14:paraId="3E52CBC3">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noWrap w:val="0"/>
            <w:vAlign w:val="center"/>
          </w:tcPr>
          <w:p w14:paraId="141943B7">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碳酸氢根</w:t>
            </w:r>
          </w:p>
        </w:tc>
        <w:tc>
          <w:tcPr>
            <w:tcW w:w="993" w:type="pct"/>
            <w:noWrap w:val="0"/>
            <w:vAlign w:val="center"/>
          </w:tcPr>
          <w:p w14:paraId="398F252A">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147</w:t>
            </w:r>
          </w:p>
        </w:tc>
        <w:tc>
          <w:tcPr>
            <w:tcW w:w="1039" w:type="pct"/>
            <w:noWrap w:val="0"/>
            <w:vAlign w:val="center"/>
          </w:tcPr>
          <w:p w14:paraId="70A17882">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13FBA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6" w:type="pct"/>
            <w:vMerge w:val="continue"/>
            <w:noWrap w:val="0"/>
            <w:vAlign w:val="center"/>
          </w:tcPr>
          <w:p w14:paraId="3F24C642">
            <w:pPr>
              <w:widowControl/>
              <w:adjustRightInd/>
              <w:snapToGrid/>
              <w:spacing w:line="240" w:lineRule="auto"/>
              <w:ind w:firstLine="0" w:firstLineChars="0"/>
              <w:jc w:val="center"/>
              <w:rPr>
                <w:rFonts w:ascii="Times New Roman" w:hAnsi="Times New Roman" w:cs="Times New Roman"/>
                <w:bCs/>
                <w:kern w:val="2"/>
                <w:sz w:val="21"/>
                <w:szCs w:val="21"/>
              </w:rPr>
            </w:pPr>
          </w:p>
        </w:tc>
        <w:tc>
          <w:tcPr>
            <w:tcW w:w="990" w:type="pct"/>
            <w:vMerge w:val="continue"/>
            <w:noWrap w:val="0"/>
            <w:vAlign w:val="center"/>
          </w:tcPr>
          <w:p w14:paraId="075E64C8">
            <w:pPr>
              <w:widowControl/>
              <w:adjustRightInd/>
              <w:snapToGrid/>
              <w:spacing w:line="240" w:lineRule="auto"/>
              <w:ind w:firstLine="0" w:firstLineChars="0"/>
              <w:jc w:val="center"/>
              <w:rPr>
                <w:rFonts w:ascii="Times New Roman" w:hAnsi="Times New Roman" w:cs="Times New Roman"/>
                <w:bCs/>
                <w:kern w:val="2"/>
                <w:sz w:val="21"/>
                <w:szCs w:val="21"/>
              </w:rPr>
            </w:pPr>
          </w:p>
        </w:tc>
        <w:tc>
          <w:tcPr>
            <w:tcW w:w="990" w:type="pct"/>
            <w:noWrap w:val="0"/>
            <w:vAlign w:val="center"/>
          </w:tcPr>
          <w:p w14:paraId="12C7EB6F">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氯离子</w:t>
            </w:r>
          </w:p>
        </w:tc>
        <w:tc>
          <w:tcPr>
            <w:tcW w:w="993" w:type="pct"/>
            <w:noWrap w:val="0"/>
            <w:vAlign w:val="center"/>
          </w:tcPr>
          <w:p w14:paraId="441A1717">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24.1</w:t>
            </w:r>
          </w:p>
        </w:tc>
        <w:tc>
          <w:tcPr>
            <w:tcW w:w="1039" w:type="pct"/>
            <w:noWrap w:val="0"/>
            <w:vAlign w:val="center"/>
          </w:tcPr>
          <w:p w14:paraId="35CA81C5">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6F8F0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6" w:type="pct"/>
            <w:vMerge w:val="continue"/>
            <w:noWrap w:val="0"/>
            <w:vAlign w:val="center"/>
          </w:tcPr>
          <w:p w14:paraId="0A8093F7">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vMerge w:val="continue"/>
            <w:noWrap w:val="0"/>
            <w:vAlign w:val="center"/>
          </w:tcPr>
          <w:p w14:paraId="52A070AF">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noWrap w:val="0"/>
            <w:vAlign w:val="center"/>
          </w:tcPr>
          <w:p w14:paraId="6D45B4B2">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硫酸根</w:t>
            </w:r>
          </w:p>
        </w:tc>
        <w:tc>
          <w:tcPr>
            <w:tcW w:w="993" w:type="pct"/>
            <w:noWrap w:val="0"/>
            <w:vAlign w:val="center"/>
          </w:tcPr>
          <w:p w14:paraId="6A713117">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3.15</w:t>
            </w:r>
          </w:p>
        </w:tc>
        <w:tc>
          <w:tcPr>
            <w:tcW w:w="1039" w:type="pct"/>
            <w:noWrap w:val="0"/>
            <w:vAlign w:val="center"/>
          </w:tcPr>
          <w:p w14:paraId="64EB10FD">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16DC7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6" w:type="pct"/>
            <w:vMerge w:val="continue"/>
            <w:noWrap w:val="0"/>
            <w:vAlign w:val="center"/>
          </w:tcPr>
          <w:p w14:paraId="4556B067">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vMerge w:val="continue"/>
            <w:noWrap w:val="0"/>
            <w:vAlign w:val="center"/>
          </w:tcPr>
          <w:p w14:paraId="547E766C">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noWrap w:val="0"/>
            <w:vAlign w:val="center"/>
          </w:tcPr>
          <w:p w14:paraId="17DE9E0C">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硝酸盐</w:t>
            </w:r>
          </w:p>
        </w:tc>
        <w:tc>
          <w:tcPr>
            <w:tcW w:w="993" w:type="pct"/>
            <w:noWrap w:val="0"/>
            <w:vAlign w:val="center"/>
          </w:tcPr>
          <w:p w14:paraId="77794767">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0.016L</w:t>
            </w:r>
          </w:p>
        </w:tc>
        <w:tc>
          <w:tcPr>
            <w:tcW w:w="1039" w:type="pct"/>
            <w:noWrap w:val="0"/>
            <w:vAlign w:val="center"/>
          </w:tcPr>
          <w:p w14:paraId="00052809">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≤20.0</w:t>
            </w:r>
          </w:p>
        </w:tc>
      </w:tr>
      <w:tr w14:paraId="111EA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6" w:type="pct"/>
            <w:vMerge w:val="continue"/>
            <w:noWrap w:val="0"/>
            <w:vAlign w:val="center"/>
          </w:tcPr>
          <w:p w14:paraId="12143E78">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vMerge w:val="continue"/>
            <w:noWrap w:val="0"/>
            <w:vAlign w:val="center"/>
          </w:tcPr>
          <w:p w14:paraId="3A4B2F7E">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noWrap w:val="0"/>
            <w:vAlign w:val="center"/>
          </w:tcPr>
          <w:p w14:paraId="554CE405">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亚硝酸盐</w:t>
            </w:r>
          </w:p>
        </w:tc>
        <w:tc>
          <w:tcPr>
            <w:tcW w:w="993" w:type="pct"/>
            <w:noWrap w:val="0"/>
            <w:vAlign w:val="center"/>
          </w:tcPr>
          <w:p w14:paraId="02908C17">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0.016L</w:t>
            </w:r>
          </w:p>
        </w:tc>
        <w:tc>
          <w:tcPr>
            <w:tcW w:w="1039" w:type="pct"/>
            <w:noWrap w:val="0"/>
            <w:vAlign w:val="center"/>
          </w:tcPr>
          <w:p w14:paraId="15F6DEB8">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≤1.00</w:t>
            </w:r>
          </w:p>
        </w:tc>
      </w:tr>
      <w:tr w14:paraId="23C26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6" w:type="pct"/>
            <w:vMerge w:val="continue"/>
            <w:noWrap w:val="0"/>
            <w:vAlign w:val="center"/>
          </w:tcPr>
          <w:p w14:paraId="5B70EA95">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vMerge w:val="continue"/>
            <w:noWrap w:val="0"/>
            <w:vAlign w:val="center"/>
          </w:tcPr>
          <w:p w14:paraId="6C3BA155">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noWrap w:val="0"/>
            <w:vAlign w:val="center"/>
          </w:tcPr>
          <w:p w14:paraId="7B46FEC2">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硫化物</w:t>
            </w:r>
          </w:p>
        </w:tc>
        <w:tc>
          <w:tcPr>
            <w:tcW w:w="993" w:type="pct"/>
            <w:noWrap w:val="0"/>
            <w:vAlign w:val="center"/>
          </w:tcPr>
          <w:p w14:paraId="3E101197">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0.01L</w:t>
            </w:r>
          </w:p>
        </w:tc>
        <w:tc>
          <w:tcPr>
            <w:tcW w:w="1039" w:type="pct"/>
            <w:noWrap w:val="0"/>
            <w:vAlign w:val="center"/>
          </w:tcPr>
          <w:p w14:paraId="076AD091">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≤0.02</w:t>
            </w:r>
          </w:p>
        </w:tc>
      </w:tr>
      <w:tr w14:paraId="59DB6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6" w:type="pct"/>
            <w:vMerge w:val="continue"/>
            <w:noWrap w:val="0"/>
            <w:vAlign w:val="center"/>
          </w:tcPr>
          <w:p w14:paraId="5483B20E">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vMerge w:val="continue"/>
            <w:noWrap w:val="0"/>
            <w:vAlign w:val="center"/>
          </w:tcPr>
          <w:p w14:paraId="46660177">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0" w:type="pct"/>
            <w:noWrap w:val="0"/>
            <w:vAlign w:val="center"/>
          </w:tcPr>
          <w:p w14:paraId="5E875B9B">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挥发性酚类</w:t>
            </w:r>
          </w:p>
        </w:tc>
        <w:tc>
          <w:tcPr>
            <w:tcW w:w="993" w:type="pct"/>
            <w:noWrap w:val="0"/>
            <w:vAlign w:val="center"/>
          </w:tcPr>
          <w:p w14:paraId="2FD070C1">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0.0003L</w:t>
            </w:r>
          </w:p>
        </w:tc>
        <w:tc>
          <w:tcPr>
            <w:tcW w:w="1039" w:type="pct"/>
            <w:noWrap w:val="0"/>
            <w:vAlign w:val="center"/>
          </w:tcPr>
          <w:p w14:paraId="5519CE4B">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≤0.002</w:t>
            </w:r>
          </w:p>
        </w:tc>
      </w:tr>
    </w:tbl>
    <w:p w14:paraId="715607AE">
      <w:pPr>
        <w:widowControl/>
        <w:adjustRightInd/>
        <w:snapToGrid/>
        <w:spacing w:line="240" w:lineRule="auto"/>
        <w:ind w:firstLine="480" w:firstLineChars="200"/>
        <w:jc w:val="both"/>
        <w:rPr>
          <w:rFonts w:ascii="宋体" w:hAnsi="宋体" w:cs="宋体"/>
          <w:kern w:val="0"/>
        </w:rPr>
      </w:pPr>
    </w:p>
    <w:p w14:paraId="588CA71D">
      <w:pPr>
        <w:pStyle w:val="43"/>
        <w:numPr>
          <w:ilvl w:val="5"/>
          <w:numId w:val="1"/>
        </w:numPr>
        <w:bidi w:val="0"/>
      </w:pPr>
      <w:r>
        <w:rPr>
          <w:rFonts w:hint="eastAsia"/>
          <w:lang w:val="en-US" w:eastAsia="zh-CN"/>
        </w:rPr>
        <w:t>2</w:t>
      </w:r>
      <w:r>
        <w:t>02</w:t>
      </w:r>
      <w:r>
        <w:rPr>
          <w:rFonts w:hint="eastAsia"/>
        </w:rPr>
        <w:t>2</w:t>
      </w:r>
      <w:r>
        <w:t>年1</w:t>
      </w:r>
      <w:r>
        <w:rPr>
          <w:rFonts w:hint="eastAsia"/>
        </w:rPr>
        <w:t>1月14日~2022年11月18</w:t>
      </w:r>
      <w:r>
        <w:t>日地下水监测结果</w:t>
      </w:r>
      <w:r>
        <w:rPr>
          <w:rFonts w:hint="eastAsia"/>
        </w:rPr>
        <w:t xml:space="preserve">（3）  </w:t>
      </w:r>
      <w:r>
        <w:t>单位mg/L</w:t>
      </w:r>
    </w:p>
    <w:tbl>
      <w:tblPr>
        <w:tblStyle w:val="3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5"/>
        <w:gridCol w:w="1695"/>
        <w:gridCol w:w="1695"/>
        <w:gridCol w:w="1703"/>
        <w:gridCol w:w="1729"/>
      </w:tblGrid>
      <w:tr w14:paraId="511ED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995" w:type="pct"/>
            <w:noWrap w:val="0"/>
            <w:vAlign w:val="center"/>
          </w:tcPr>
          <w:p w14:paraId="38B1B0EE">
            <w:pPr>
              <w:widowControl/>
              <w:adjustRightInd/>
              <w:snapToGrid/>
              <w:spacing w:line="240" w:lineRule="auto"/>
              <w:ind w:firstLine="0" w:firstLineChars="0"/>
              <w:jc w:val="center"/>
              <w:rPr>
                <w:rFonts w:ascii="Times New Roman" w:hAnsi="Times New Roman" w:cs="Times New Roman"/>
                <w:b/>
                <w:kern w:val="0"/>
                <w:sz w:val="21"/>
                <w:szCs w:val="21"/>
              </w:rPr>
            </w:pPr>
            <w:r>
              <w:rPr>
                <w:rFonts w:ascii="Times New Roman" w:hAnsi="Times New Roman" w:cs="Times New Roman"/>
                <w:b/>
                <w:kern w:val="0"/>
                <w:sz w:val="21"/>
                <w:szCs w:val="21"/>
              </w:rPr>
              <w:t>采样时间</w:t>
            </w:r>
          </w:p>
        </w:tc>
        <w:tc>
          <w:tcPr>
            <w:tcW w:w="995" w:type="pct"/>
            <w:noWrap w:val="0"/>
            <w:vAlign w:val="center"/>
          </w:tcPr>
          <w:p w14:paraId="6EED3271">
            <w:pPr>
              <w:widowControl/>
              <w:adjustRightInd/>
              <w:snapToGrid/>
              <w:spacing w:line="240" w:lineRule="auto"/>
              <w:ind w:firstLine="0" w:firstLineChars="0"/>
              <w:jc w:val="center"/>
              <w:rPr>
                <w:rFonts w:ascii="Times New Roman" w:hAnsi="Times New Roman" w:cs="Times New Roman"/>
                <w:b/>
                <w:kern w:val="0"/>
                <w:sz w:val="21"/>
                <w:szCs w:val="21"/>
              </w:rPr>
            </w:pPr>
            <w:r>
              <w:rPr>
                <w:rFonts w:ascii="Times New Roman" w:hAnsi="Times New Roman" w:cs="Times New Roman"/>
                <w:b/>
                <w:kern w:val="0"/>
                <w:sz w:val="21"/>
                <w:szCs w:val="21"/>
              </w:rPr>
              <w:t>采样点位</w:t>
            </w:r>
          </w:p>
        </w:tc>
        <w:tc>
          <w:tcPr>
            <w:tcW w:w="995" w:type="pct"/>
            <w:noWrap w:val="0"/>
            <w:vAlign w:val="center"/>
          </w:tcPr>
          <w:p w14:paraId="096DC63A">
            <w:pPr>
              <w:widowControl/>
              <w:adjustRightInd/>
              <w:snapToGrid/>
              <w:spacing w:line="240" w:lineRule="auto"/>
              <w:ind w:firstLine="0" w:firstLineChars="0"/>
              <w:jc w:val="center"/>
              <w:rPr>
                <w:rFonts w:ascii="Times New Roman" w:hAnsi="Times New Roman" w:cs="Times New Roman"/>
                <w:b/>
                <w:kern w:val="0"/>
                <w:sz w:val="21"/>
                <w:szCs w:val="21"/>
              </w:rPr>
            </w:pPr>
            <w:r>
              <w:rPr>
                <w:rFonts w:ascii="Times New Roman" w:hAnsi="Times New Roman" w:cs="Times New Roman"/>
                <w:b/>
                <w:kern w:val="0"/>
                <w:sz w:val="21"/>
                <w:szCs w:val="21"/>
              </w:rPr>
              <w:t>检测项目</w:t>
            </w:r>
          </w:p>
        </w:tc>
        <w:tc>
          <w:tcPr>
            <w:tcW w:w="999" w:type="pct"/>
            <w:noWrap w:val="0"/>
            <w:vAlign w:val="center"/>
          </w:tcPr>
          <w:p w14:paraId="5B1E9C1F">
            <w:pPr>
              <w:widowControl/>
              <w:adjustRightInd/>
              <w:snapToGrid/>
              <w:spacing w:line="240" w:lineRule="auto"/>
              <w:ind w:firstLine="0" w:firstLineChars="0"/>
              <w:jc w:val="center"/>
              <w:rPr>
                <w:rFonts w:ascii="Times New Roman" w:hAnsi="Times New Roman" w:cs="Times New Roman"/>
                <w:b/>
                <w:kern w:val="0"/>
                <w:sz w:val="21"/>
                <w:szCs w:val="21"/>
              </w:rPr>
            </w:pPr>
            <w:r>
              <w:rPr>
                <w:rFonts w:ascii="Times New Roman" w:hAnsi="Times New Roman" w:cs="Times New Roman"/>
                <w:b/>
                <w:kern w:val="0"/>
                <w:sz w:val="21"/>
                <w:szCs w:val="21"/>
              </w:rPr>
              <w:t>检测结果</w:t>
            </w:r>
          </w:p>
        </w:tc>
        <w:tc>
          <w:tcPr>
            <w:tcW w:w="1014" w:type="pct"/>
            <w:noWrap w:val="0"/>
            <w:vAlign w:val="center"/>
          </w:tcPr>
          <w:p w14:paraId="1007C999">
            <w:pPr>
              <w:widowControl/>
              <w:adjustRightInd/>
              <w:snapToGrid/>
              <w:spacing w:line="240" w:lineRule="auto"/>
              <w:ind w:firstLine="0" w:firstLineChars="0"/>
              <w:jc w:val="center"/>
              <w:rPr>
                <w:rFonts w:ascii="Times New Roman" w:hAnsi="Times New Roman" w:cs="Times New Roman"/>
                <w:b/>
                <w:kern w:val="0"/>
                <w:sz w:val="21"/>
                <w:szCs w:val="21"/>
              </w:rPr>
            </w:pPr>
            <w:r>
              <w:rPr>
                <w:rFonts w:ascii="Times New Roman" w:hAnsi="Times New Roman" w:cs="Times New Roman"/>
                <w:b/>
                <w:kern w:val="0"/>
                <w:sz w:val="21"/>
                <w:szCs w:val="21"/>
              </w:rPr>
              <w:t>标准限值</w:t>
            </w:r>
          </w:p>
        </w:tc>
      </w:tr>
      <w:tr w14:paraId="6CF45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95" w:type="pct"/>
            <w:vMerge w:val="restart"/>
            <w:noWrap w:val="0"/>
            <w:vAlign w:val="center"/>
          </w:tcPr>
          <w:p w14:paraId="7B31FFE2">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2022年11月15日</w:t>
            </w:r>
          </w:p>
        </w:tc>
        <w:tc>
          <w:tcPr>
            <w:tcW w:w="995" w:type="pct"/>
            <w:vMerge w:val="restart"/>
            <w:noWrap w:val="0"/>
            <w:vAlign w:val="center"/>
          </w:tcPr>
          <w:p w14:paraId="16BAB515">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2"/>
                <w:sz w:val="21"/>
                <w:szCs w:val="21"/>
              </w:rPr>
              <w:t>D4</w:t>
            </w:r>
            <w:r>
              <w:rPr>
                <w:rFonts w:hint="eastAsia" w:cs="Times New Roman"/>
                <w:bCs/>
                <w:kern w:val="2"/>
                <w:sz w:val="21"/>
                <w:szCs w:val="21"/>
                <w:lang w:eastAsia="zh-CN"/>
              </w:rPr>
              <w:t>项目东南面</w:t>
            </w:r>
            <w:r>
              <w:rPr>
                <w:rFonts w:hint="eastAsia" w:cs="Times New Roman"/>
                <w:bCs/>
                <w:kern w:val="2"/>
                <w:sz w:val="21"/>
                <w:szCs w:val="21"/>
                <w:lang w:val="en-US" w:eastAsia="zh-CN"/>
              </w:rPr>
              <w:t>60</w:t>
            </w:r>
            <w:r>
              <w:rPr>
                <w:rFonts w:hint="eastAsia" w:cs="Times New Roman"/>
                <w:bCs/>
                <w:kern w:val="2"/>
                <w:sz w:val="21"/>
                <w:szCs w:val="21"/>
                <w:lang w:eastAsia="zh-CN"/>
              </w:rPr>
              <w:t>0m处新竹村</w:t>
            </w:r>
            <w:r>
              <w:rPr>
                <w:rFonts w:ascii="Times New Roman" w:hAnsi="Times New Roman" w:cs="Times New Roman"/>
                <w:bCs/>
                <w:kern w:val="2"/>
                <w:sz w:val="21"/>
                <w:szCs w:val="21"/>
              </w:rPr>
              <w:t>水井</w:t>
            </w:r>
          </w:p>
        </w:tc>
        <w:tc>
          <w:tcPr>
            <w:tcW w:w="995" w:type="pct"/>
            <w:noWrap w:val="0"/>
            <w:vAlign w:val="center"/>
          </w:tcPr>
          <w:p w14:paraId="3D215E63">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bCs/>
                <w:kern w:val="0"/>
                <w:sz w:val="21"/>
                <w:szCs w:val="21"/>
              </w:rPr>
              <w:t>pH（无量纲）</w:t>
            </w:r>
          </w:p>
        </w:tc>
        <w:tc>
          <w:tcPr>
            <w:tcW w:w="999" w:type="pct"/>
            <w:noWrap w:val="0"/>
            <w:vAlign w:val="center"/>
          </w:tcPr>
          <w:p w14:paraId="410990AA">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2"/>
                <w:sz w:val="21"/>
                <w:szCs w:val="21"/>
              </w:rPr>
              <w:t>7.1</w:t>
            </w:r>
          </w:p>
        </w:tc>
        <w:tc>
          <w:tcPr>
            <w:tcW w:w="1014" w:type="pct"/>
            <w:noWrap w:val="0"/>
            <w:vAlign w:val="center"/>
          </w:tcPr>
          <w:p w14:paraId="2D0F0C3F">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2"/>
                <w:sz w:val="21"/>
                <w:szCs w:val="21"/>
              </w:rPr>
              <w:t>6.5≤</w:t>
            </w:r>
            <w:r>
              <w:rPr>
                <w:rFonts w:ascii="Times New Roman" w:hAnsi="Times New Roman" w:cs="Times New Roman"/>
                <w:bCs/>
                <w:kern w:val="0"/>
                <w:sz w:val="21"/>
                <w:szCs w:val="21"/>
              </w:rPr>
              <w:t>pH</w:t>
            </w:r>
            <w:r>
              <w:rPr>
                <w:rFonts w:ascii="Times New Roman" w:hAnsi="Times New Roman" w:cs="Times New Roman"/>
                <w:bCs/>
                <w:kern w:val="2"/>
                <w:sz w:val="21"/>
                <w:szCs w:val="21"/>
              </w:rPr>
              <w:t>≤8.5</w:t>
            </w:r>
          </w:p>
        </w:tc>
      </w:tr>
      <w:tr w14:paraId="4713F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95" w:type="pct"/>
            <w:vMerge w:val="continue"/>
            <w:noWrap w:val="0"/>
            <w:vAlign w:val="center"/>
          </w:tcPr>
          <w:p w14:paraId="10BE6756">
            <w:pPr>
              <w:widowControl/>
              <w:adjustRightInd/>
              <w:snapToGrid/>
              <w:spacing w:line="240" w:lineRule="auto"/>
              <w:ind w:firstLine="0" w:firstLineChars="0"/>
              <w:jc w:val="center"/>
              <w:rPr>
                <w:rFonts w:ascii="Times New Roman" w:hAnsi="Times New Roman" w:cs="Times New Roman"/>
                <w:kern w:val="0"/>
                <w:sz w:val="21"/>
                <w:szCs w:val="21"/>
              </w:rPr>
            </w:pPr>
          </w:p>
        </w:tc>
        <w:tc>
          <w:tcPr>
            <w:tcW w:w="995" w:type="pct"/>
            <w:vMerge w:val="continue"/>
            <w:noWrap w:val="0"/>
            <w:vAlign w:val="center"/>
          </w:tcPr>
          <w:p w14:paraId="3158794A">
            <w:pPr>
              <w:widowControl/>
              <w:adjustRightInd/>
              <w:snapToGrid/>
              <w:spacing w:line="240" w:lineRule="auto"/>
              <w:ind w:firstLine="0" w:firstLineChars="0"/>
              <w:jc w:val="center"/>
              <w:rPr>
                <w:rFonts w:ascii="Times New Roman" w:hAnsi="Times New Roman" w:cs="Times New Roman"/>
                <w:kern w:val="0"/>
                <w:sz w:val="21"/>
                <w:szCs w:val="21"/>
              </w:rPr>
            </w:pPr>
          </w:p>
        </w:tc>
        <w:tc>
          <w:tcPr>
            <w:tcW w:w="995" w:type="pct"/>
            <w:noWrap w:val="0"/>
            <w:vAlign w:val="center"/>
          </w:tcPr>
          <w:p w14:paraId="780FCC02">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溶解性总固体</w:t>
            </w:r>
          </w:p>
        </w:tc>
        <w:tc>
          <w:tcPr>
            <w:tcW w:w="999" w:type="pct"/>
            <w:noWrap w:val="0"/>
            <w:vAlign w:val="center"/>
          </w:tcPr>
          <w:p w14:paraId="0653C65B">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30</w:t>
            </w:r>
          </w:p>
        </w:tc>
        <w:tc>
          <w:tcPr>
            <w:tcW w:w="1014" w:type="pct"/>
            <w:noWrap w:val="0"/>
            <w:vAlign w:val="center"/>
          </w:tcPr>
          <w:p w14:paraId="593E689B">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≤1000</w:t>
            </w:r>
          </w:p>
        </w:tc>
      </w:tr>
      <w:tr w14:paraId="1D47A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95" w:type="pct"/>
            <w:vMerge w:val="continue"/>
            <w:noWrap w:val="0"/>
            <w:vAlign w:val="center"/>
          </w:tcPr>
          <w:p w14:paraId="7D9A7971">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vMerge w:val="continue"/>
            <w:noWrap w:val="0"/>
            <w:vAlign w:val="center"/>
          </w:tcPr>
          <w:p w14:paraId="0C1FF07F">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noWrap w:val="0"/>
            <w:vAlign w:val="center"/>
          </w:tcPr>
          <w:p w14:paraId="517DF070">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总硬度</w:t>
            </w:r>
          </w:p>
        </w:tc>
        <w:tc>
          <w:tcPr>
            <w:tcW w:w="999" w:type="pct"/>
            <w:noWrap w:val="0"/>
            <w:vAlign w:val="center"/>
          </w:tcPr>
          <w:p w14:paraId="405D6D7C">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15.1</w:t>
            </w:r>
          </w:p>
        </w:tc>
        <w:tc>
          <w:tcPr>
            <w:tcW w:w="1014" w:type="pct"/>
            <w:noWrap w:val="0"/>
            <w:vAlign w:val="center"/>
          </w:tcPr>
          <w:p w14:paraId="7603ABCA">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≤450</w:t>
            </w:r>
          </w:p>
        </w:tc>
      </w:tr>
      <w:tr w14:paraId="3CDFD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95" w:type="pct"/>
            <w:vMerge w:val="continue"/>
            <w:noWrap w:val="0"/>
            <w:vAlign w:val="center"/>
          </w:tcPr>
          <w:p w14:paraId="1FB649BF">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vMerge w:val="continue"/>
            <w:noWrap w:val="0"/>
            <w:vAlign w:val="center"/>
          </w:tcPr>
          <w:p w14:paraId="658208E8">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noWrap w:val="0"/>
            <w:vAlign w:val="center"/>
          </w:tcPr>
          <w:p w14:paraId="00F2590C">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耗氧量</w:t>
            </w:r>
          </w:p>
        </w:tc>
        <w:tc>
          <w:tcPr>
            <w:tcW w:w="999" w:type="pct"/>
            <w:noWrap w:val="0"/>
            <w:vAlign w:val="center"/>
          </w:tcPr>
          <w:p w14:paraId="68C63132">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0.78</w:t>
            </w:r>
          </w:p>
        </w:tc>
        <w:tc>
          <w:tcPr>
            <w:tcW w:w="1014" w:type="pct"/>
            <w:noWrap w:val="0"/>
            <w:vAlign w:val="center"/>
          </w:tcPr>
          <w:p w14:paraId="55887C47">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≤3.0</w:t>
            </w:r>
          </w:p>
        </w:tc>
      </w:tr>
      <w:tr w14:paraId="0E217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95" w:type="pct"/>
            <w:vMerge w:val="continue"/>
            <w:noWrap w:val="0"/>
            <w:vAlign w:val="center"/>
          </w:tcPr>
          <w:p w14:paraId="52CC1024">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vMerge w:val="continue"/>
            <w:noWrap w:val="0"/>
            <w:vAlign w:val="center"/>
          </w:tcPr>
          <w:p w14:paraId="3EB321A5">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noWrap w:val="0"/>
            <w:vAlign w:val="center"/>
          </w:tcPr>
          <w:p w14:paraId="2B844D16">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氨氮</w:t>
            </w:r>
          </w:p>
        </w:tc>
        <w:tc>
          <w:tcPr>
            <w:tcW w:w="999" w:type="pct"/>
            <w:noWrap w:val="0"/>
            <w:vAlign w:val="center"/>
          </w:tcPr>
          <w:p w14:paraId="3C6EE348">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0.025L</w:t>
            </w:r>
          </w:p>
        </w:tc>
        <w:tc>
          <w:tcPr>
            <w:tcW w:w="1014" w:type="pct"/>
            <w:noWrap w:val="0"/>
            <w:vAlign w:val="center"/>
          </w:tcPr>
          <w:p w14:paraId="553CA191">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≤0.50</w:t>
            </w:r>
          </w:p>
        </w:tc>
      </w:tr>
      <w:tr w14:paraId="22145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95" w:type="pct"/>
            <w:vMerge w:val="continue"/>
            <w:noWrap w:val="0"/>
            <w:vAlign w:val="center"/>
          </w:tcPr>
          <w:p w14:paraId="36F3F4A2">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vMerge w:val="continue"/>
            <w:noWrap w:val="0"/>
            <w:vAlign w:val="center"/>
          </w:tcPr>
          <w:p w14:paraId="0304B4C7">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noWrap w:val="0"/>
            <w:vAlign w:val="center"/>
          </w:tcPr>
          <w:p w14:paraId="3C7DE958">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钙离子</w:t>
            </w:r>
          </w:p>
        </w:tc>
        <w:tc>
          <w:tcPr>
            <w:tcW w:w="999" w:type="pct"/>
            <w:noWrap w:val="0"/>
            <w:vAlign w:val="center"/>
          </w:tcPr>
          <w:p w14:paraId="7503C3E7">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13.8</w:t>
            </w:r>
          </w:p>
        </w:tc>
        <w:tc>
          <w:tcPr>
            <w:tcW w:w="1014" w:type="pct"/>
            <w:noWrap w:val="0"/>
            <w:vAlign w:val="center"/>
          </w:tcPr>
          <w:p w14:paraId="050C9B42">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6C7C5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95" w:type="pct"/>
            <w:vMerge w:val="continue"/>
            <w:noWrap w:val="0"/>
            <w:vAlign w:val="center"/>
          </w:tcPr>
          <w:p w14:paraId="23CD9617">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vMerge w:val="continue"/>
            <w:noWrap w:val="0"/>
            <w:vAlign w:val="center"/>
          </w:tcPr>
          <w:p w14:paraId="4715B8F0">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noWrap w:val="0"/>
            <w:vAlign w:val="center"/>
          </w:tcPr>
          <w:p w14:paraId="1DBE3B89">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钾离子</w:t>
            </w:r>
          </w:p>
        </w:tc>
        <w:tc>
          <w:tcPr>
            <w:tcW w:w="999" w:type="pct"/>
            <w:noWrap w:val="0"/>
            <w:vAlign w:val="center"/>
          </w:tcPr>
          <w:p w14:paraId="53FB1F4F">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1.40</w:t>
            </w:r>
          </w:p>
        </w:tc>
        <w:tc>
          <w:tcPr>
            <w:tcW w:w="1014" w:type="pct"/>
            <w:noWrap w:val="0"/>
            <w:vAlign w:val="center"/>
          </w:tcPr>
          <w:p w14:paraId="23D93EA6">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53B5F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95" w:type="pct"/>
            <w:vMerge w:val="continue"/>
            <w:noWrap w:val="0"/>
            <w:vAlign w:val="center"/>
          </w:tcPr>
          <w:p w14:paraId="1814CB29">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vMerge w:val="continue"/>
            <w:noWrap w:val="0"/>
            <w:vAlign w:val="center"/>
          </w:tcPr>
          <w:p w14:paraId="20E773FF">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noWrap w:val="0"/>
            <w:vAlign w:val="center"/>
          </w:tcPr>
          <w:p w14:paraId="580EF2A5">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镁离子</w:t>
            </w:r>
          </w:p>
        </w:tc>
        <w:tc>
          <w:tcPr>
            <w:tcW w:w="999" w:type="pct"/>
            <w:noWrap w:val="0"/>
            <w:vAlign w:val="center"/>
          </w:tcPr>
          <w:p w14:paraId="01999561">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1.30</w:t>
            </w:r>
          </w:p>
        </w:tc>
        <w:tc>
          <w:tcPr>
            <w:tcW w:w="1014" w:type="pct"/>
            <w:noWrap w:val="0"/>
            <w:vAlign w:val="center"/>
          </w:tcPr>
          <w:p w14:paraId="42B2F055">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16702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95" w:type="pct"/>
            <w:vMerge w:val="continue"/>
            <w:noWrap w:val="0"/>
            <w:vAlign w:val="center"/>
          </w:tcPr>
          <w:p w14:paraId="6EA950DE">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vMerge w:val="continue"/>
            <w:noWrap w:val="0"/>
            <w:vAlign w:val="center"/>
          </w:tcPr>
          <w:p w14:paraId="167A4862">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noWrap w:val="0"/>
            <w:vAlign w:val="center"/>
          </w:tcPr>
          <w:p w14:paraId="0ABB4EB7">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钠离子</w:t>
            </w:r>
          </w:p>
        </w:tc>
        <w:tc>
          <w:tcPr>
            <w:tcW w:w="999" w:type="pct"/>
            <w:noWrap w:val="0"/>
            <w:vAlign w:val="center"/>
          </w:tcPr>
          <w:p w14:paraId="7176612F">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5.18</w:t>
            </w:r>
          </w:p>
        </w:tc>
        <w:tc>
          <w:tcPr>
            <w:tcW w:w="1014" w:type="pct"/>
            <w:noWrap w:val="0"/>
            <w:vAlign w:val="center"/>
          </w:tcPr>
          <w:p w14:paraId="55B9A353">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1A3B7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95" w:type="pct"/>
            <w:vMerge w:val="continue"/>
            <w:noWrap w:val="0"/>
            <w:vAlign w:val="center"/>
          </w:tcPr>
          <w:p w14:paraId="7CE1FB9E">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vMerge w:val="continue"/>
            <w:noWrap w:val="0"/>
            <w:vAlign w:val="center"/>
          </w:tcPr>
          <w:p w14:paraId="4A65501B">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noWrap w:val="0"/>
            <w:vAlign w:val="center"/>
          </w:tcPr>
          <w:p w14:paraId="1A3199DE">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碳酸根</w:t>
            </w:r>
          </w:p>
        </w:tc>
        <w:tc>
          <w:tcPr>
            <w:tcW w:w="999" w:type="pct"/>
            <w:noWrap w:val="0"/>
            <w:vAlign w:val="center"/>
          </w:tcPr>
          <w:p w14:paraId="761C6197">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0L</w:t>
            </w:r>
          </w:p>
        </w:tc>
        <w:tc>
          <w:tcPr>
            <w:tcW w:w="1014" w:type="pct"/>
            <w:noWrap w:val="0"/>
            <w:vAlign w:val="center"/>
          </w:tcPr>
          <w:p w14:paraId="62DB80AB">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52540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95" w:type="pct"/>
            <w:vMerge w:val="continue"/>
            <w:noWrap w:val="0"/>
            <w:vAlign w:val="center"/>
          </w:tcPr>
          <w:p w14:paraId="15CB7CE5">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vMerge w:val="continue"/>
            <w:noWrap w:val="0"/>
            <w:vAlign w:val="center"/>
          </w:tcPr>
          <w:p w14:paraId="70EF2CCC">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noWrap w:val="0"/>
            <w:vAlign w:val="center"/>
          </w:tcPr>
          <w:p w14:paraId="4A688C2B">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碳酸氢根</w:t>
            </w:r>
          </w:p>
        </w:tc>
        <w:tc>
          <w:tcPr>
            <w:tcW w:w="999" w:type="pct"/>
            <w:noWrap w:val="0"/>
            <w:vAlign w:val="center"/>
          </w:tcPr>
          <w:p w14:paraId="0F9643B9">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19.3</w:t>
            </w:r>
          </w:p>
        </w:tc>
        <w:tc>
          <w:tcPr>
            <w:tcW w:w="1014" w:type="pct"/>
            <w:noWrap w:val="0"/>
            <w:vAlign w:val="center"/>
          </w:tcPr>
          <w:p w14:paraId="723D65D6">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2BE07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95" w:type="pct"/>
            <w:vMerge w:val="continue"/>
            <w:noWrap w:val="0"/>
            <w:vAlign w:val="center"/>
          </w:tcPr>
          <w:p w14:paraId="2B8D76C5">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vMerge w:val="continue"/>
            <w:noWrap w:val="0"/>
            <w:vAlign w:val="center"/>
          </w:tcPr>
          <w:p w14:paraId="5A9CD762">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noWrap w:val="0"/>
            <w:vAlign w:val="center"/>
          </w:tcPr>
          <w:p w14:paraId="3AC4E6CD">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氯离子</w:t>
            </w:r>
          </w:p>
        </w:tc>
        <w:tc>
          <w:tcPr>
            <w:tcW w:w="999" w:type="pct"/>
            <w:noWrap w:val="0"/>
            <w:vAlign w:val="center"/>
          </w:tcPr>
          <w:p w14:paraId="08B90142">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8.18</w:t>
            </w:r>
          </w:p>
        </w:tc>
        <w:tc>
          <w:tcPr>
            <w:tcW w:w="1014" w:type="pct"/>
            <w:noWrap w:val="0"/>
            <w:vAlign w:val="center"/>
          </w:tcPr>
          <w:p w14:paraId="017FEEA1">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5454D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95" w:type="pct"/>
            <w:vMerge w:val="continue"/>
            <w:noWrap w:val="0"/>
            <w:vAlign w:val="center"/>
          </w:tcPr>
          <w:p w14:paraId="50FA8954">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vMerge w:val="continue"/>
            <w:noWrap w:val="0"/>
            <w:vAlign w:val="center"/>
          </w:tcPr>
          <w:p w14:paraId="5505D7AF">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noWrap w:val="0"/>
            <w:vAlign w:val="center"/>
          </w:tcPr>
          <w:p w14:paraId="0C55F659">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硫酸根</w:t>
            </w:r>
          </w:p>
        </w:tc>
        <w:tc>
          <w:tcPr>
            <w:tcW w:w="999" w:type="pct"/>
            <w:noWrap w:val="0"/>
            <w:vAlign w:val="center"/>
          </w:tcPr>
          <w:p w14:paraId="3EEACDB6">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1.64</w:t>
            </w:r>
          </w:p>
        </w:tc>
        <w:tc>
          <w:tcPr>
            <w:tcW w:w="1014" w:type="pct"/>
            <w:noWrap w:val="0"/>
            <w:vAlign w:val="center"/>
          </w:tcPr>
          <w:p w14:paraId="36030532">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w:t>
            </w:r>
          </w:p>
        </w:tc>
      </w:tr>
      <w:tr w14:paraId="02400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95" w:type="pct"/>
            <w:vMerge w:val="continue"/>
            <w:noWrap w:val="0"/>
            <w:vAlign w:val="center"/>
          </w:tcPr>
          <w:p w14:paraId="42A185BE">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vMerge w:val="continue"/>
            <w:noWrap w:val="0"/>
            <w:vAlign w:val="center"/>
          </w:tcPr>
          <w:p w14:paraId="35A971D2">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noWrap w:val="0"/>
            <w:vAlign w:val="center"/>
          </w:tcPr>
          <w:p w14:paraId="0EE60B1F">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硝酸盐</w:t>
            </w:r>
          </w:p>
        </w:tc>
        <w:tc>
          <w:tcPr>
            <w:tcW w:w="999" w:type="pct"/>
            <w:noWrap w:val="0"/>
            <w:vAlign w:val="center"/>
          </w:tcPr>
          <w:p w14:paraId="58485041">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9.97</w:t>
            </w:r>
          </w:p>
        </w:tc>
        <w:tc>
          <w:tcPr>
            <w:tcW w:w="1014" w:type="pct"/>
            <w:noWrap w:val="0"/>
            <w:vAlign w:val="center"/>
          </w:tcPr>
          <w:p w14:paraId="221BDEDE">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≤20.0</w:t>
            </w:r>
          </w:p>
        </w:tc>
      </w:tr>
      <w:tr w14:paraId="45B8A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95" w:type="pct"/>
            <w:vMerge w:val="continue"/>
            <w:noWrap w:val="0"/>
            <w:vAlign w:val="center"/>
          </w:tcPr>
          <w:p w14:paraId="48480A49">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vMerge w:val="continue"/>
            <w:noWrap w:val="0"/>
            <w:vAlign w:val="center"/>
          </w:tcPr>
          <w:p w14:paraId="28F05F17">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noWrap w:val="0"/>
            <w:vAlign w:val="center"/>
          </w:tcPr>
          <w:p w14:paraId="4E4BB874">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亚硝酸盐</w:t>
            </w:r>
          </w:p>
        </w:tc>
        <w:tc>
          <w:tcPr>
            <w:tcW w:w="999" w:type="pct"/>
            <w:noWrap w:val="0"/>
            <w:vAlign w:val="center"/>
          </w:tcPr>
          <w:p w14:paraId="1DAD7EC7">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0.016L</w:t>
            </w:r>
          </w:p>
        </w:tc>
        <w:tc>
          <w:tcPr>
            <w:tcW w:w="1014" w:type="pct"/>
            <w:noWrap w:val="0"/>
            <w:vAlign w:val="center"/>
          </w:tcPr>
          <w:p w14:paraId="7B528117">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≤1.00</w:t>
            </w:r>
          </w:p>
        </w:tc>
      </w:tr>
      <w:tr w14:paraId="0D049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95" w:type="pct"/>
            <w:vMerge w:val="continue"/>
            <w:noWrap w:val="0"/>
            <w:vAlign w:val="center"/>
          </w:tcPr>
          <w:p w14:paraId="5A29032B">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vMerge w:val="continue"/>
            <w:noWrap w:val="0"/>
            <w:vAlign w:val="center"/>
          </w:tcPr>
          <w:p w14:paraId="16382892">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noWrap w:val="0"/>
            <w:vAlign w:val="center"/>
          </w:tcPr>
          <w:p w14:paraId="1EA16970">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硫化物</w:t>
            </w:r>
          </w:p>
        </w:tc>
        <w:tc>
          <w:tcPr>
            <w:tcW w:w="999" w:type="pct"/>
            <w:noWrap w:val="0"/>
            <w:vAlign w:val="center"/>
          </w:tcPr>
          <w:p w14:paraId="55E92554">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0.01L</w:t>
            </w:r>
          </w:p>
        </w:tc>
        <w:tc>
          <w:tcPr>
            <w:tcW w:w="1014" w:type="pct"/>
            <w:noWrap w:val="0"/>
            <w:vAlign w:val="center"/>
          </w:tcPr>
          <w:p w14:paraId="48A63CD0">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≤0.02</w:t>
            </w:r>
          </w:p>
        </w:tc>
      </w:tr>
      <w:tr w14:paraId="75144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95" w:type="pct"/>
            <w:vMerge w:val="continue"/>
            <w:noWrap w:val="0"/>
            <w:vAlign w:val="center"/>
          </w:tcPr>
          <w:p w14:paraId="1E0CF0B2">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vMerge w:val="continue"/>
            <w:noWrap w:val="0"/>
            <w:vAlign w:val="center"/>
          </w:tcPr>
          <w:p w14:paraId="4F7107EC">
            <w:pPr>
              <w:widowControl/>
              <w:adjustRightInd/>
              <w:snapToGrid/>
              <w:spacing w:line="240" w:lineRule="auto"/>
              <w:ind w:firstLine="0" w:firstLineChars="0"/>
              <w:jc w:val="center"/>
              <w:rPr>
                <w:rFonts w:ascii="Times New Roman" w:hAnsi="Times New Roman" w:cs="Times New Roman"/>
                <w:bCs/>
                <w:kern w:val="0"/>
                <w:sz w:val="21"/>
                <w:szCs w:val="21"/>
              </w:rPr>
            </w:pPr>
          </w:p>
        </w:tc>
        <w:tc>
          <w:tcPr>
            <w:tcW w:w="995" w:type="pct"/>
            <w:noWrap w:val="0"/>
            <w:vAlign w:val="center"/>
          </w:tcPr>
          <w:p w14:paraId="28CEDABF">
            <w:pPr>
              <w:widowControl/>
              <w:adjustRightInd/>
              <w:snapToGrid/>
              <w:spacing w:line="240" w:lineRule="auto"/>
              <w:ind w:firstLine="0" w:firstLineChars="0"/>
              <w:jc w:val="center"/>
              <w:rPr>
                <w:rFonts w:ascii="Times New Roman" w:hAnsi="Times New Roman" w:cs="Times New Roman"/>
                <w:bCs/>
                <w:kern w:val="0"/>
                <w:sz w:val="21"/>
                <w:szCs w:val="21"/>
              </w:rPr>
            </w:pPr>
            <w:r>
              <w:rPr>
                <w:rFonts w:ascii="Times New Roman" w:hAnsi="Times New Roman" w:cs="Times New Roman"/>
                <w:kern w:val="0"/>
                <w:sz w:val="21"/>
                <w:szCs w:val="21"/>
              </w:rPr>
              <w:t>挥发性酚类</w:t>
            </w:r>
          </w:p>
        </w:tc>
        <w:tc>
          <w:tcPr>
            <w:tcW w:w="999" w:type="pct"/>
            <w:noWrap w:val="0"/>
            <w:vAlign w:val="center"/>
          </w:tcPr>
          <w:p w14:paraId="4D62425B">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0.0003L</w:t>
            </w:r>
          </w:p>
        </w:tc>
        <w:tc>
          <w:tcPr>
            <w:tcW w:w="1014" w:type="pct"/>
            <w:noWrap w:val="0"/>
            <w:vAlign w:val="center"/>
          </w:tcPr>
          <w:p w14:paraId="0381CC31">
            <w:pPr>
              <w:widowControl/>
              <w:adjustRightInd/>
              <w:snapToGrid/>
              <w:spacing w:line="240" w:lineRule="auto"/>
              <w:ind w:firstLine="0" w:firstLineChars="0"/>
              <w:jc w:val="center"/>
              <w:rPr>
                <w:rFonts w:ascii="Times New Roman" w:hAnsi="Times New Roman" w:cs="Times New Roman"/>
                <w:bCs/>
                <w:kern w:val="2"/>
                <w:sz w:val="21"/>
                <w:szCs w:val="21"/>
              </w:rPr>
            </w:pPr>
            <w:r>
              <w:rPr>
                <w:rFonts w:ascii="Times New Roman" w:hAnsi="Times New Roman" w:cs="Times New Roman"/>
                <w:bCs/>
                <w:kern w:val="0"/>
                <w:sz w:val="21"/>
                <w:szCs w:val="21"/>
              </w:rPr>
              <w:t>≤0.002</w:t>
            </w:r>
          </w:p>
        </w:tc>
      </w:tr>
    </w:tbl>
    <w:p w14:paraId="6EC74F74">
      <w:pPr>
        <w:spacing w:line="240" w:lineRule="auto"/>
        <w:rPr>
          <w:rFonts w:hint="default"/>
          <w:lang w:val="en-US" w:eastAsia="zh-CN"/>
        </w:rPr>
      </w:pPr>
    </w:p>
    <w:p w14:paraId="5A31E8E6">
      <w:pPr>
        <w:pStyle w:val="43"/>
        <w:numPr>
          <w:ilvl w:val="5"/>
          <w:numId w:val="1"/>
        </w:numPr>
        <w:rPr>
          <w:rFonts w:hint="default"/>
        </w:rPr>
      </w:pPr>
      <w:r>
        <w:rPr>
          <w:rFonts w:hint="eastAsia"/>
          <w:lang w:val="en-US" w:eastAsia="zh-CN"/>
        </w:rPr>
        <w:t>项目</w:t>
      </w:r>
      <w:r>
        <w:t>地下水环境质量现状</w:t>
      </w:r>
      <w:r>
        <w:rPr>
          <w:rFonts w:hint="eastAsia"/>
          <w:lang w:val="en-US" w:eastAsia="zh-CN"/>
        </w:rPr>
        <w:t>补充</w:t>
      </w:r>
      <w:r>
        <w:t>检测结果</w:t>
      </w:r>
    </w:p>
    <w:tbl>
      <w:tblPr>
        <w:tblStyle w:val="32"/>
        <w:tblW w:w="5000" w:type="pct"/>
        <w:tblInd w:w="0" w:type="dxa"/>
        <w:tblLayout w:type="fixed"/>
        <w:tblCellMar>
          <w:top w:w="0" w:type="dxa"/>
          <w:left w:w="108" w:type="dxa"/>
          <w:bottom w:w="0" w:type="dxa"/>
          <w:right w:w="108" w:type="dxa"/>
        </w:tblCellMar>
      </w:tblPr>
      <w:tblGrid>
        <w:gridCol w:w="1440"/>
        <w:gridCol w:w="1225"/>
        <w:gridCol w:w="651"/>
        <w:gridCol w:w="649"/>
        <w:gridCol w:w="850"/>
        <w:gridCol w:w="812"/>
        <w:gridCol w:w="979"/>
        <w:gridCol w:w="921"/>
        <w:gridCol w:w="995"/>
      </w:tblGrid>
      <w:tr w14:paraId="6AF66D91">
        <w:tblPrEx>
          <w:tblCellMar>
            <w:top w:w="0" w:type="dxa"/>
            <w:left w:w="108" w:type="dxa"/>
            <w:bottom w:w="0" w:type="dxa"/>
            <w:right w:w="108" w:type="dxa"/>
          </w:tblCellMar>
        </w:tblPrEx>
        <w:trPr>
          <w:trHeight w:val="90" w:hRule="atLeast"/>
          <w:tblHeader/>
        </w:trPr>
        <w:tc>
          <w:tcPr>
            <w:tcW w:w="8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E77230">
            <w:pPr>
              <w:pStyle w:val="45"/>
              <w:rPr>
                <w:rFonts w:hint="default"/>
                <w:b/>
                <w:bCs/>
              </w:rPr>
            </w:pPr>
            <w:r>
              <w:rPr>
                <w:b/>
                <w:bCs/>
              </w:rPr>
              <w:t>采样点位</w:t>
            </w:r>
          </w:p>
        </w:tc>
        <w:tc>
          <w:tcPr>
            <w:tcW w:w="7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8665F8">
            <w:pPr>
              <w:pStyle w:val="45"/>
              <w:rPr>
                <w:rFonts w:hint="default"/>
                <w:b/>
                <w:bCs/>
              </w:rPr>
            </w:pPr>
            <w:r>
              <w:rPr>
                <w:b/>
                <w:bCs/>
              </w:rPr>
              <w:t>采样时间</w:t>
            </w:r>
          </w:p>
        </w:tc>
        <w:tc>
          <w:tcPr>
            <w:tcW w:w="3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4EFA41">
            <w:pPr>
              <w:pStyle w:val="45"/>
              <w:rPr>
                <w:rFonts w:hint="default"/>
                <w:b/>
                <w:bCs/>
              </w:rPr>
            </w:pPr>
            <w:r>
              <w:rPr>
                <w:b/>
                <w:bCs/>
              </w:rPr>
              <w:t>高程</w:t>
            </w:r>
            <w:r>
              <w:rPr>
                <w:rFonts w:hint="default"/>
                <w:b/>
                <w:bCs/>
              </w:rPr>
              <w:t>m</w:t>
            </w:r>
          </w:p>
        </w:tc>
        <w:tc>
          <w:tcPr>
            <w:tcW w:w="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E17740">
            <w:pPr>
              <w:pStyle w:val="45"/>
              <w:rPr>
                <w:rFonts w:hint="default"/>
                <w:b/>
                <w:bCs/>
              </w:rPr>
            </w:pPr>
            <w:r>
              <w:rPr>
                <w:b/>
                <w:bCs/>
              </w:rPr>
              <w:t>埋深</w:t>
            </w:r>
            <w:r>
              <w:rPr>
                <w:rFonts w:hint="default"/>
                <w:b/>
                <w:bCs/>
              </w:rPr>
              <w:t>m</w:t>
            </w:r>
          </w:p>
        </w:tc>
        <w:tc>
          <w:tcPr>
            <w:tcW w:w="4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89C74E">
            <w:pPr>
              <w:pStyle w:val="45"/>
              <w:rPr>
                <w:rFonts w:hint="default"/>
                <w:b/>
                <w:bCs/>
              </w:rPr>
            </w:pPr>
            <w:r>
              <w:rPr>
                <w:b/>
                <w:bCs/>
              </w:rPr>
              <w:t>六价铬mg/L</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2B76FA">
            <w:pPr>
              <w:pStyle w:val="45"/>
              <w:rPr>
                <w:rFonts w:hint="eastAsia" w:eastAsia="宋体"/>
                <w:b/>
                <w:bCs/>
                <w:lang w:eastAsia="zh-CN"/>
              </w:rPr>
            </w:pPr>
            <w:r>
              <w:rPr>
                <w:b/>
                <w:bCs/>
              </w:rPr>
              <w:t>钡</w:t>
            </w:r>
          </w:p>
          <w:p w14:paraId="705DD165">
            <w:pPr>
              <w:pStyle w:val="45"/>
              <w:rPr>
                <w:rFonts w:hint="default"/>
                <w:b/>
                <w:bCs/>
              </w:rPr>
            </w:pPr>
            <w:r>
              <w:rPr>
                <w:b/>
                <w:bCs/>
              </w:rPr>
              <w:t>mg/L</w:t>
            </w:r>
          </w:p>
        </w:tc>
        <w:tc>
          <w:tcPr>
            <w:tcW w:w="5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6F498A">
            <w:pPr>
              <w:pStyle w:val="45"/>
              <w:rPr>
                <w:rFonts w:hint="eastAsia" w:eastAsia="宋体"/>
                <w:b/>
                <w:bCs/>
                <w:lang w:eastAsia="zh-CN"/>
              </w:rPr>
            </w:pPr>
            <w:r>
              <w:rPr>
                <w:b/>
                <w:bCs/>
              </w:rPr>
              <w:t>铅</w:t>
            </w:r>
          </w:p>
          <w:p w14:paraId="37417986">
            <w:pPr>
              <w:pStyle w:val="45"/>
              <w:rPr>
                <w:rFonts w:hint="default"/>
                <w:b/>
                <w:bCs/>
              </w:rPr>
            </w:pPr>
            <w:r>
              <w:rPr>
                <w:b/>
                <w:bCs/>
              </w:rPr>
              <w:t>mg/L</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E2F3BE">
            <w:pPr>
              <w:pStyle w:val="45"/>
              <w:rPr>
                <w:rFonts w:hint="default"/>
                <w:b/>
                <w:bCs/>
              </w:rPr>
            </w:pPr>
            <w:r>
              <w:rPr>
                <w:b/>
                <w:bCs/>
              </w:rPr>
              <w:t>氯化物</w:t>
            </w:r>
            <w:r>
              <w:rPr>
                <w:rFonts w:hint="default"/>
                <w:b/>
                <w:bCs/>
              </w:rPr>
              <w:t>mg/L</w:t>
            </w:r>
          </w:p>
        </w:tc>
        <w:tc>
          <w:tcPr>
            <w:tcW w:w="5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0486BF">
            <w:pPr>
              <w:pStyle w:val="45"/>
              <w:rPr>
                <w:rFonts w:hint="default"/>
                <w:b/>
                <w:bCs/>
              </w:rPr>
            </w:pPr>
            <w:r>
              <w:rPr>
                <w:b/>
                <w:bCs/>
              </w:rPr>
              <w:t>高氯酸盐mg/L</w:t>
            </w:r>
          </w:p>
        </w:tc>
      </w:tr>
      <w:tr w14:paraId="33F05F54">
        <w:tblPrEx>
          <w:tblCellMar>
            <w:top w:w="0" w:type="dxa"/>
            <w:left w:w="108" w:type="dxa"/>
            <w:bottom w:w="0" w:type="dxa"/>
            <w:right w:w="108" w:type="dxa"/>
          </w:tblCellMar>
        </w:tblPrEx>
        <w:trPr>
          <w:trHeight w:val="90" w:hRule="atLeast"/>
        </w:trPr>
        <w:tc>
          <w:tcPr>
            <w:tcW w:w="8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60D4C0">
            <w:pPr>
              <w:pStyle w:val="45"/>
              <w:rPr>
                <w:rFonts w:hint="eastAsia" w:eastAsia="宋体"/>
                <w:lang w:val="en-US" w:eastAsia="zh-CN"/>
              </w:rPr>
            </w:pPr>
            <w:r>
              <w:t>项目西南面2100m松木乡D1</w:t>
            </w:r>
            <w:r>
              <w:rPr>
                <w:rFonts w:hint="eastAsia"/>
                <w:lang w:val="en-US" w:eastAsia="zh-CN"/>
              </w:rPr>
              <w:t>*</w:t>
            </w:r>
          </w:p>
        </w:tc>
        <w:tc>
          <w:tcPr>
            <w:tcW w:w="7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A27A36">
            <w:pPr>
              <w:pStyle w:val="45"/>
              <w:rPr>
                <w:rFonts w:hint="default"/>
              </w:rPr>
            </w:pPr>
            <w:r>
              <w:rPr>
                <w:rFonts w:hint="default"/>
              </w:rPr>
              <w:t>2023.8.28</w:t>
            </w:r>
          </w:p>
        </w:tc>
        <w:tc>
          <w:tcPr>
            <w:tcW w:w="3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598D87">
            <w:pPr>
              <w:pStyle w:val="45"/>
              <w:rPr>
                <w:rFonts w:hint="default"/>
              </w:rPr>
            </w:pPr>
            <w:r>
              <w:rPr>
                <w:rFonts w:hint="default"/>
              </w:rPr>
              <w:t xml:space="preserve">82 </w:t>
            </w:r>
          </w:p>
        </w:tc>
        <w:tc>
          <w:tcPr>
            <w:tcW w:w="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5B6101">
            <w:pPr>
              <w:pStyle w:val="45"/>
              <w:rPr>
                <w:rFonts w:hint="default"/>
              </w:rPr>
            </w:pPr>
            <w:r>
              <w:rPr>
                <w:rFonts w:hint="default"/>
              </w:rPr>
              <w:t xml:space="preserve">3.5 </w:t>
            </w:r>
          </w:p>
        </w:tc>
        <w:tc>
          <w:tcPr>
            <w:tcW w:w="4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69014A">
            <w:pPr>
              <w:pStyle w:val="45"/>
              <w:rPr>
                <w:rFonts w:hint="default"/>
              </w:rPr>
            </w:pPr>
            <w:r>
              <w:rPr>
                <w:rFonts w:hint="default"/>
              </w:rPr>
              <w:t>ND</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A45BF2">
            <w:pPr>
              <w:pStyle w:val="45"/>
              <w:rPr>
                <w:rFonts w:hint="default"/>
              </w:rPr>
            </w:pPr>
            <w:r>
              <w:rPr>
                <w:rFonts w:hint="default"/>
              </w:rPr>
              <w:t xml:space="preserve">0.0352 </w:t>
            </w:r>
          </w:p>
        </w:tc>
        <w:tc>
          <w:tcPr>
            <w:tcW w:w="5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9C96C9">
            <w:pPr>
              <w:pStyle w:val="45"/>
              <w:rPr>
                <w:rFonts w:hint="default"/>
              </w:rPr>
            </w:pPr>
            <w:r>
              <w:rPr>
                <w:rFonts w:hint="default"/>
              </w:rPr>
              <w:t xml:space="preserve">0.00011 </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8B7B4D">
            <w:pPr>
              <w:pStyle w:val="45"/>
              <w:rPr>
                <w:rFonts w:hint="default"/>
              </w:rPr>
            </w:pPr>
            <w:r>
              <w:rPr>
                <w:rFonts w:hint="default"/>
              </w:rPr>
              <w:t xml:space="preserve">16.3 </w:t>
            </w:r>
          </w:p>
        </w:tc>
        <w:tc>
          <w:tcPr>
            <w:tcW w:w="5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127D4C">
            <w:pPr>
              <w:pStyle w:val="45"/>
              <w:rPr>
                <w:rFonts w:hint="default"/>
              </w:rPr>
            </w:pPr>
            <w:r>
              <w:rPr>
                <w:rFonts w:hint="default"/>
              </w:rPr>
              <w:t xml:space="preserve">0.013 </w:t>
            </w:r>
          </w:p>
        </w:tc>
      </w:tr>
      <w:tr w14:paraId="23B7CC45">
        <w:tblPrEx>
          <w:tblCellMar>
            <w:top w:w="0" w:type="dxa"/>
            <w:left w:w="108" w:type="dxa"/>
            <w:bottom w:w="0" w:type="dxa"/>
            <w:right w:w="108" w:type="dxa"/>
          </w:tblCellMar>
        </w:tblPrEx>
        <w:trPr>
          <w:trHeight w:val="90" w:hRule="atLeast"/>
        </w:trPr>
        <w:tc>
          <w:tcPr>
            <w:tcW w:w="8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2E7D33">
            <w:pPr>
              <w:pStyle w:val="45"/>
              <w:rPr>
                <w:rFonts w:hint="eastAsia" w:eastAsia="宋体"/>
                <w:lang w:val="en-US" w:eastAsia="zh-CN"/>
              </w:rPr>
            </w:pPr>
            <w:r>
              <w:t>本项目中心点D2</w:t>
            </w:r>
            <w:r>
              <w:rPr>
                <w:rFonts w:hint="eastAsia"/>
                <w:lang w:val="en-US" w:eastAsia="zh-CN"/>
              </w:rPr>
              <w:t>*</w:t>
            </w:r>
          </w:p>
        </w:tc>
        <w:tc>
          <w:tcPr>
            <w:tcW w:w="7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0DB1D1">
            <w:pPr>
              <w:pStyle w:val="45"/>
              <w:rPr>
                <w:rFonts w:hint="default"/>
              </w:rPr>
            </w:pPr>
            <w:r>
              <w:rPr>
                <w:rFonts w:hint="default"/>
              </w:rPr>
              <w:t>2023.8.28</w:t>
            </w:r>
          </w:p>
        </w:tc>
        <w:tc>
          <w:tcPr>
            <w:tcW w:w="3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D6151D">
            <w:pPr>
              <w:pStyle w:val="45"/>
              <w:rPr>
                <w:rFonts w:hint="default"/>
              </w:rPr>
            </w:pPr>
            <w:r>
              <w:rPr>
                <w:rFonts w:hint="default"/>
              </w:rPr>
              <w:t xml:space="preserve">56 </w:t>
            </w:r>
          </w:p>
        </w:tc>
        <w:tc>
          <w:tcPr>
            <w:tcW w:w="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19452B">
            <w:pPr>
              <w:pStyle w:val="45"/>
              <w:rPr>
                <w:rFonts w:hint="default"/>
              </w:rPr>
            </w:pPr>
            <w:r>
              <w:rPr>
                <w:rFonts w:hint="default"/>
              </w:rPr>
              <w:t xml:space="preserve">3.3 </w:t>
            </w:r>
          </w:p>
        </w:tc>
        <w:tc>
          <w:tcPr>
            <w:tcW w:w="4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A61BCB">
            <w:pPr>
              <w:pStyle w:val="45"/>
              <w:rPr>
                <w:rFonts w:hint="default"/>
              </w:rPr>
            </w:pPr>
            <w:r>
              <w:rPr>
                <w:rFonts w:hint="default"/>
              </w:rPr>
              <w:t>ND</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7C7DEC">
            <w:pPr>
              <w:pStyle w:val="45"/>
              <w:rPr>
                <w:rFonts w:hint="default"/>
              </w:rPr>
            </w:pPr>
            <w:r>
              <w:rPr>
                <w:rFonts w:hint="default"/>
              </w:rPr>
              <w:t xml:space="preserve">0.0822 </w:t>
            </w:r>
          </w:p>
        </w:tc>
        <w:tc>
          <w:tcPr>
            <w:tcW w:w="5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E8B6CC">
            <w:pPr>
              <w:pStyle w:val="45"/>
              <w:rPr>
                <w:rFonts w:hint="default"/>
              </w:rPr>
            </w:pPr>
            <w:r>
              <w:rPr>
                <w:rFonts w:hint="default"/>
              </w:rPr>
              <w:t xml:space="preserve">0.00021 </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A6A1B3">
            <w:pPr>
              <w:pStyle w:val="45"/>
              <w:rPr>
                <w:rFonts w:hint="default"/>
              </w:rPr>
            </w:pPr>
            <w:r>
              <w:rPr>
                <w:rFonts w:hint="default"/>
              </w:rPr>
              <w:t xml:space="preserve">12.0 </w:t>
            </w:r>
          </w:p>
        </w:tc>
        <w:tc>
          <w:tcPr>
            <w:tcW w:w="5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BA5D47">
            <w:pPr>
              <w:pStyle w:val="45"/>
              <w:rPr>
                <w:rFonts w:hint="default"/>
              </w:rPr>
            </w:pPr>
            <w:r>
              <w:rPr>
                <w:rFonts w:hint="default"/>
              </w:rPr>
              <w:t xml:space="preserve">0.014 </w:t>
            </w:r>
          </w:p>
        </w:tc>
      </w:tr>
      <w:tr w14:paraId="156008AC">
        <w:tblPrEx>
          <w:tblCellMar>
            <w:top w:w="0" w:type="dxa"/>
            <w:left w:w="108" w:type="dxa"/>
            <w:bottom w:w="0" w:type="dxa"/>
            <w:right w:w="108" w:type="dxa"/>
          </w:tblCellMar>
        </w:tblPrEx>
        <w:trPr>
          <w:trHeight w:val="90" w:hRule="atLeast"/>
        </w:trPr>
        <w:tc>
          <w:tcPr>
            <w:tcW w:w="8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9A2DC6">
            <w:pPr>
              <w:pStyle w:val="45"/>
              <w:rPr>
                <w:rFonts w:hint="eastAsia" w:eastAsia="宋体"/>
                <w:lang w:val="en-US" w:eastAsia="zh-CN"/>
              </w:rPr>
            </w:pPr>
            <w:r>
              <w:t>项目北面2000m新安村D3</w:t>
            </w:r>
            <w:r>
              <w:rPr>
                <w:rFonts w:hint="eastAsia"/>
                <w:lang w:val="en-US" w:eastAsia="zh-CN"/>
              </w:rPr>
              <w:t>*</w:t>
            </w:r>
          </w:p>
        </w:tc>
        <w:tc>
          <w:tcPr>
            <w:tcW w:w="7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F093D1">
            <w:pPr>
              <w:pStyle w:val="45"/>
              <w:rPr>
                <w:rFonts w:hint="default"/>
              </w:rPr>
            </w:pPr>
            <w:r>
              <w:rPr>
                <w:rFonts w:hint="default"/>
              </w:rPr>
              <w:t>2023.8.28</w:t>
            </w:r>
          </w:p>
        </w:tc>
        <w:tc>
          <w:tcPr>
            <w:tcW w:w="3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5F2730">
            <w:pPr>
              <w:pStyle w:val="45"/>
              <w:rPr>
                <w:rFonts w:hint="default"/>
              </w:rPr>
            </w:pPr>
            <w:r>
              <w:rPr>
                <w:rFonts w:hint="default"/>
              </w:rPr>
              <w:t xml:space="preserve">53 </w:t>
            </w:r>
          </w:p>
        </w:tc>
        <w:tc>
          <w:tcPr>
            <w:tcW w:w="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1D4C67">
            <w:pPr>
              <w:pStyle w:val="45"/>
              <w:rPr>
                <w:rFonts w:hint="default"/>
              </w:rPr>
            </w:pPr>
            <w:r>
              <w:rPr>
                <w:rFonts w:hint="default"/>
              </w:rPr>
              <w:t xml:space="preserve">5.0 </w:t>
            </w:r>
          </w:p>
        </w:tc>
        <w:tc>
          <w:tcPr>
            <w:tcW w:w="4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945E58">
            <w:pPr>
              <w:pStyle w:val="45"/>
              <w:rPr>
                <w:rFonts w:hint="default"/>
              </w:rPr>
            </w:pPr>
            <w:r>
              <w:rPr>
                <w:rFonts w:hint="default"/>
              </w:rPr>
              <w:t>ND</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B1A966">
            <w:pPr>
              <w:pStyle w:val="45"/>
              <w:rPr>
                <w:rFonts w:hint="default"/>
              </w:rPr>
            </w:pPr>
            <w:r>
              <w:rPr>
                <w:rFonts w:hint="default"/>
              </w:rPr>
              <w:t xml:space="preserve">0.118 </w:t>
            </w:r>
          </w:p>
        </w:tc>
        <w:tc>
          <w:tcPr>
            <w:tcW w:w="5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80E5DE">
            <w:pPr>
              <w:pStyle w:val="45"/>
              <w:rPr>
                <w:rFonts w:hint="default"/>
              </w:rPr>
            </w:pPr>
            <w:r>
              <w:rPr>
                <w:rFonts w:hint="default"/>
              </w:rPr>
              <w:t xml:space="preserve">0.00025 </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084234">
            <w:pPr>
              <w:pStyle w:val="45"/>
              <w:rPr>
                <w:rFonts w:hint="default"/>
              </w:rPr>
            </w:pPr>
            <w:r>
              <w:rPr>
                <w:rFonts w:hint="default"/>
              </w:rPr>
              <w:t xml:space="preserve">7.3 </w:t>
            </w:r>
          </w:p>
        </w:tc>
        <w:tc>
          <w:tcPr>
            <w:tcW w:w="5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D8D45C">
            <w:pPr>
              <w:pStyle w:val="45"/>
              <w:rPr>
                <w:rFonts w:hint="default"/>
              </w:rPr>
            </w:pPr>
            <w:r>
              <w:rPr>
                <w:rFonts w:hint="default"/>
              </w:rPr>
              <w:t xml:space="preserve">0.014 </w:t>
            </w:r>
          </w:p>
        </w:tc>
      </w:tr>
      <w:tr w14:paraId="21AF429F">
        <w:tblPrEx>
          <w:tblCellMar>
            <w:top w:w="0" w:type="dxa"/>
            <w:left w:w="108" w:type="dxa"/>
            <w:bottom w:w="0" w:type="dxa"/>
            <w:right w:w="108" w:type="dxa"/>
          </w:tblCellMar>
        </w:tblPrEx>
        <w:trPr>
          <w:trHeight w:val="90" w:hRule="atLeast"/>
        </w:trPr>
        <w:tc>
          <w:tcPr>
            <w:tcW w:w="8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E9AD81">
            <w:pPr>
              <w:pStyle w:val="45"/>
              <w:rPr>
                <w:rFonts w:hint="eastAsia" w:eastAsia="宋体"/>
                <w:lang w:val="en-US" w:eastAsia="zh-CN"/>
              </w:rPr>
            </w:pPr>
            <w:r>
              <w:t>项目南面600m处新竹村D4</w:t>
            </w:r>
            <w:r>
              <w:rPr>
                <w:rFonts w:hint="eastAsia"/>
                <w:lang w:val="en-US" w:eastAsia="zh-CN"/>
              </w:rPr>
              <w:t>*</w:t>
            </w:r>
          </w:p>
        </w:tc>
        <w:tc>
          <w:tcPr>
            <w:tcW w:w="7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F5C5EE">
            <w:pPr>
              <w:pStyle w:val="45"/>
              <w:rPr>
                <w:rFonts w:hint="default"/>
              </w:rPr>
            </w:pPr>
            <w:r>
              <w:rPr>
                <w:rFonts w:hint="default"/>
              </w:rPr>
              <w:t>2023.8.28</w:t>
            </w:r>
          </w:p>
        </w:tc>
        <w:tc>
          <w:tcPr>
            <w:tcW w:w="3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19078B">
            <w:pPr>
              <w:pStyle w:val="45"/>
              <w:rPr>
                <w:rFonts w:hint="default"/>
              </w:rPr>
            </w:pPr>
            <w:r>
              <w:rPr>
                <w:rFonts w:hint="default"/>
              </w:rPr>
              <w:t xml:space="preserve">54 </w:t>
            </w:r>
          </w:p>
        </w:tc>
        <w:tc>
          <w:tcPr>
            <w:tcW w:w="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C87AE0">
            <w:pPr>
              <w:pStyle w:val="45"/>
              <w:rPr>
                <w:rFonts w:hint="default"/>
              </w:rPr>
            </w:pPr>
            <w:r>
              <w:rPr>
                <w:rFonts w:hint="default"/>
              </w:rPr>
              <w:t xml:space="preserve">12.5 </w:t>
            </w:r>
          </w:p>
        </w:tc>
        <w:tc>
          <w:tcPr>
            <w:tcW w:w="4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A62FFC">
            <w:pPr>
              <w:pStyle w:val="45"/>
              <w:rPr>
                <w:rFonts w:hint="default"/>
              </w:rPr>
            </w:pPr>
            <w:r>
              <w:rPr>
                <w:rFonts w:hint="default"/>
              </w:rPr>
              <w:t>ND</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DF95F4">
            <w:pPr>
              <w:pStyle w:val="45"/>
              <w:rPr>
                <w:rFonts w:hint="default"/>
              </w:rPr>
            </w:pPr>
            <w:r>
              <w:rPr>
                <w:rFonts w:hint="default"/>
              </w:rPr>
              <w:t xml:space="preserve">0.180 </w:t>
            </w:r>
          </w:p>
        </w:tc>
        <w:tc>
          <w:tcPr>
            <w:tcW w:w="5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AA884D">
            <w:pPr>
              <w:pStyle w:val="45"/>
              <w:rPr>
                <w:rFonts w:hint="default"/>
              </w:rPr>
            </w:pPr>
            <w:r>
              <w:rPr>
                <w:rFonts w:hint="default"/>
              </w:rPr>
              <w:t xml:space="preserve">0.00091 </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9B3096">
            <w:pPr>
              <w:pStyle w:val="45"/>
              <w:rPr>
                <w:rFonts w:hint="default"/>
              </w:rPr>
            </w:pPr>
            <w:r>
              <w:rPr>
                <w:rFonts w:hint="default"/>
              </w:rPr>
              <w:t xml:space="preserve">44.9 </w:t>
            </w:r>
          </w:p>
        </w:tc>
        <w:tc>
          <w:tcPr>
            <w:tcW w:w="5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0F0298">
            <w:pPr>
              <w:pStyle w:val="45"/>
              <w:rPr>
                <w:rFonts w:hint="default"/>
              </w:rPr>
            </w:pPr>
            <w:r>
              <w:rPr>
                <w:rFonts w:hint="default"/>
              </w:rPr>
              <w:t xml:space="preserve">0.020 </w:t>
            </w:r>
          </w:p>
        </w:tc>
      </w:tr>
      <w:tr w14:paraId="12B03A25">
        <w:tblPrEx>
          <w:tblCellMar>
            <w:top w:w="0" w:type="dxa"/>
            <w:left w:w="108" w:type="dxa"/>
            <w:bottom w:w="0" w:type="dxa"/>
            <w:right w:w="108" w:type="dxa"/>
          </w:tblCellMar>
        </w:tblPrEx>
        <w:trPr>
          <w:trHeight w:val="420" w:hRule="atLeast"/>
        </w:trPr>
        <w:tc>
          <w:tcPr>
            <w:tcW w:w="84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077B5D2">
            <w:pPr>
              <w:pStyle w:val="45"/>
              <w:rPr>
                <w:rFonts w:hint="eastAsia" w:eastAsia="宋体"/>
                <w:lang w:val="en-US" w:eastAsia="zh-CN"/>
              </w:rPr>
            </w:pPr>
            <w:r>
              <w:t>项目东面1400m处金兰村D5</w:t>
            </w:r>
            <w:r>
              <w:rPr>
                <w:rFonts w:hint="eastAsia"/>
                <w:lang w:val="en-US" w:eastAsia="zh-CN"/>
              </w:rPr>
              <w:t>*</w:t>
            </w:r>
          </w:p>
        </w:tc>
        <w:tc>
          <w:tcPr>
            <w:tcW w:w="7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2E0A13">
            <w:pPr>
              <w:pStyle w:val="45"/>
              <w:rPr>
                <w:rFonts w:hint="default"/>
              </w:rPr>
            </w:pPr>
            <w:r>
              <w:rPr>
                <w:rFonts w:hint="default"/>
              </w:rPr>
              <w:t>2023.8.28</w:t>
            </w:r>
          </w:p>
        </w:tc>
        <w:tc>
          <w:tcPr>
            <w:tcW w:w="38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D16035B">
            <w:pPr>
              <w:pStyle w:val="45"/>
              <w:rPr>
                <w:rFonts w:hint="default"/>
              </w:rPr>
            </w:pPr>
            <w:r>
              <w:rPr>
                <w:rFonts w:hint="default"/>
              </w:rPr>
              <w:t xml:space="preserve">50 </w:t>
            </w:r>
          </w:p>
        </w:tc>
        <w:tc>
          <w:tcPr>
            <w:tcW w:w="38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80E2782">
            <w:pPr>
              <w:pStyle w:val="45"/>
              <w:rPr>
                <w:rFonts w:hint="default"/>
              </w:rPr>
            </w:pPr>
            <w:r>
              <w:rPr>
                <w:rFonts w:hint="default"/>
              </w:rPr>
              <w:t xml:space="preserve">4.2 </w:t>
            </w:r>
          </w:p>
        </w:tc>
        <w:tc>
          <w:tcPr>
            <w:tcW w:w="4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B52730">
            <w:pPr>
              <w:pStyle w:val="45"/>
              <w:rPr>
                <w:rFonts w:hint="default"/>
              </w:rPr>
            </w:pPr>
            <w:r>
              <w:rPr>
                <w:rFonts w:hint="default"/>
              </w:rPr>
              <w:t>ND</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FB3266">
            <w:pPr>
              <w:pStyle w:val="45"/>
              <w:rPr>
                <w:rFonts w:hint="default"/>
              </w:rPr>
            </w:pPr>
            <w:r>
              <w:rPr>
                <w:rFonts w:hint="default"/>
              </w:rPr>
              <w:t xml:space="preserve">0.0921 </w:t>
            </w:r>
          </w:p>
        </w:tc>
        <w:tc>
          <w:tcPr>
            <w:tcW w:w="5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0489C3">
            <w:pPr>
              <w:pStyle w:val="45"/>
              <w:rPr>
                <w:rFonts w:hint="default"/>
              </w:rPr>
            </w:pPr>
            <w:r>
              <w:rPr>
                <w:rFonts w:hint="default"/>
              </w:rPr>
              <w:t xml:space="preserve">0.00027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50FF89">
            <w:pPr>
              <w:pStyle w:val="45"/>
              <w:rPr>
                <w:rFonts w:hint="default"/>
              </w:rPr>
            </w:pPr>
            <w:r>
              <w:rPr>
                <w:rFonts w:hint="default"/>
              </w:rPr>
              <w:t xml:space="preserve">78.8 </w:t>
            </w:r>
          </w:p>
        </w:tc>
        <w:tc>
          <w:tcPr>
            <w:tcW w:w="5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456F61">
            <w:pPr>
              <w:pStyle w:val="45"/>
              <w:rPr>
                <w:rFonts w:hint="default"/>
              </w:rPr>
            </w:pPr>
            <w:r>
              <w:rPr>
                <w:rFonts w:hint="default"/>
              </w:rPr>
              <w:t xml:space="preserve">0.035 </w:t>
            </w:r>
          </w:p>
        </w:tc>
      </w:tr>
      <w:tr w14:paraId="3F13F7A9">
        <w:tblPrEx>
          <w:tblCellMar>
            <w:top w:w="0" w:type="dxa"/>
            <w:left w:w="108" w:type="dxa"/>
            <w:bottom w:w="0" w:type="dxa"/>
            <w:right w:w="108" w:type="dxa"/>
          </w:tblCellMar>
        </w:tblPrEx>
        <w:trPr>
          <w:trHeight w:val="170" w:hRule="atLeast"/>
        </w:trPr>
        <w:tc>
          <w:tcPr>
            <w:tcW w:w="8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6A8055">
            <w:pPr>
              <w:pStyle w:val="45"/>
              <w:rPr>
                <w:rFonts w:hint="default"/>
              </w:rPr>
            </w:pPr>
          </w:p>
        </w:tc>
        <w:tc>
          <w:tcPr>
            <w:tcW w:w="7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3828B9">
            <w:pPr>
              <w:pStyle w:val="45"/>
              <w:rPr>
                <w:rFonts w:hint="default"/>
              </w:rPr>
            </w:pPr>
            <w:r>
              <w:rPr>
                <w:rFonts w:hint="default"/>
              </w:rPr>
              <w:t>2023.8.28</w:t>
            </w:r>
            <w:r>
              <w:t>平行</w:t>
            </w:r>
          </w:p>
        </w:tc>
        <w:tc>
          <w:tcPr>
            <w:tcW w:w="38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84B2CD">
            <w:pPr>
              <w:pStyle w:val="45"/>
              <w:rPr>
                <w:rFonts w:hint="default"/>
              </w:rPr>
            </w:pPr>
          </w:p>
        </w:tc>
        <w:tc>
          <w:tcPr>
            <w:tcW w:w="38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220CF1">
            <w:pPr>
              <w:pStyle w:val="45"/>
              <w:rPr>
                <w:rFonts w:hint="default"/>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A1A069">
            <w:pPr>
              <w:pStyle w:val="45"/>
              <w:rPr>
                <w:rFonts w:hint="default"/>
              </w:rPr>
            </w:pPr>
            <w:r>
              <w:rPr>
                <w:rFonts w:hint="default"/>
              </w:rPr>
              <w:t>ND</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047177">
            <w:pPr>
              <w:pStyle w:val="45"/>
              <w:rPr>
                <w:rFonts w:hint="default"/>
              </w:rPr>
            </w:pPr>
            <w:r>
              <w:rPr>
                <w:rFonts w:hint="default"/>
              </w:rPr>
              <w:t xml:space="preserve">0.0916 </w:t>
            </w:r>
          </w:p>
        </w:tc>
        <w:tc>
          <w:tcPr>
            <w:tcW w:w="5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977F8C">
            <w:pPr>
              <w:pStyle w:val="45"/>
              <w:rPr>
                <w:rFonts w:hint="default"/>
              </w:rPr>
            </w:pPr>
            <w:r>
              <w:rPr>
                <w:rFonts w:hint="default"/>
              </w:rPr>
              <w:t xml:space="preserve">0.00030 </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5D5AD0">
            <w:pPr>
              <w:pStyle w:val="45"/>
              <w:rPr>
                <w:rFonts w:hint="default"/>
              </w:rPr>
            </w:pPr>
            <w:r>
              <w:rPr>
                <w:rFonts w:hint="default"/>
              </w:rPr>
              <w:t xml:space="preserve">79.1 </w:t>
            </w:r>
          </w:p>
        </w:tc>
        <w:tc>
          <w:tcPr>
            <w:tcW w:w="5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EA34CE">
            <w:pPr>
              <w:pStyle w:val="45"/>
              <w:rPr>
                <w:rFonts w:hint="default"/>
              </w:rPr>
            </w:pPr>
            <w:r>
              <w:rPr>
                <w:rFonts w:hint="default"/>
              </w:rPr>
              <w:t xml:space="preserve">0.039 </w:t>
            </w:r>
          </w:p>
        </w:tc>
      </w:tr>
      <w:tr w14:paraId="6F3494F3">
        <w:tblPrEx>
          <w:tblCellMar>
            <w:top w:w="0" w:type="dxa"/>
            <w:left w:w="108" w:type="dxa"/>
            <w:bottom w:w="0" w:type="dxa"/>
            <w:right w:w="108" w:type="dxa"/>
          </w:tblCellMar>
        </w:tblPrEx>
        <w:trPr>
          <w:trHeight w:val="170" w:hRule="atLeast"/>
        </w:trPr>
        <w:tc>
          <w:tcPr>
            <w:tcW w:w="8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0D698B">
            <w:pPr>
              <w:pStyle w:val="45"/>
              <w:rPr>
                <w:rFonts w:hint="default"/>
              </w:rPr>
            </w:pPr>
          </w:p>
        </w:tc>
        <w:tc>
          <w:tcPr>
            <w:tcW w:w="7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91A358">
            <w:pPr>
              <w:pStyle w:val="45"/>
              <w:rPr>
                <w:rFonts w:hint="default"/>
              </w:rPr>
            </w:pPr>
            <w:r>
              <w:rPr>
                <w:rFonts w:hint="default"/>
              </w:rPr>
              <w:t>2023.8.28</w:t>
            </w:r>
            <w:r>
              <w:t>均值</w:t>
            </w:r>
          </w:p>
        </w:tc>
        <w:tc>
          <w:tcPr>
            <w:tcW w:w="38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BF7981">
            <w:pPr>
              <w:pStyle w:val="45"/>
              <w:rPr>
                <w:rFonts w:hint="default"/>
              </w:rPr>
            </w:pPr>
          </w:p>
        </w:tc>
        <w:tc>
          <w:tcPr>
            <w:tcW w:w="38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8DFB6F">
            <w:pPr>
              <w:pStyle w:val="45"/>
              <w:rPr>
                <w:rFonts w:hint="default"/>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B3D188">
            <w:pPr>
              <w:pStyle w:val="45"/>
              <w:rPr>
                <w:rFonts w:hint="default"/>
              </w:rPr>
            </w:pPr>
            <w:r>
              <w:rPr>
                <w:rFonts w:hint="default"/>
              </w:rPr>
              <w:t>ND</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298A79">
            <w:pPr>
              <w:pStyle w:val="45"/>
              <w:rPr>
                <w:rFonts w:hint="default"/>
              </w:rPr>
            </w:pPr>
            <w:r>
              <w:rPr>
                <w:rFonts w:hint="default"/>
              </w:rPr>
              <w:t xml:space="preserve">0.0919 </w:t>
            </w:r>
          </w:p>
        </w:tc>
        <w:tc>
          <w:tcPr>
            <w:tcW w:w="5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D8B43C">
            <w:pPr>
              <w:pStyle w:val="45"/>
              <w:rPr>
                <w:rFonts w:hint="default"/>
              </w:rPr>
            </w:pPr>
            <w:r>
              <w:rPr>
                <w:rFonts w:hint="default"/>
              </w:rPr>
              <w:t xml:space="preserve">0.00029 </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7C53C7">
            <w:pPr>
              <w:pStyle w:val="45"/>
              <w:rPr>
                <w:rFonts w:hint="default"/>
              </w:rPr>
            </w:pPr>
            <w:r>
              <w:rPr>
                <w:rFonts w:hint="default"/>
              </w:rPr>
              <w:t xml:space="preserve">79.0 </w:t>
            </w:r>
          </w:p>
        </w:tc>
        <w:tc>
          <w:tcPr>
            <w:tcW w:w="5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953EC7">
            <w:pPr>
              <w:pStyle w:val="45"/>
              <w:rPr>
                <w:rFonts w:hint="default"/>
              </w:rPr>
            </w:pPr>
            <w:r>
              <w:rPr>
                <w:rFonts w:hint="default"/>
              </w:rPr>
              <w:t xml:space="preserve">0.037 </w:t>
            </w:r>
          </w:p>
        </w:tc>
      </w:tr>
      <w:tr w14:paraId="6E8C81ED">
        <w:tblPrEx>
          <w:tblCellMar>
            <w:top w:w="0" w:type="dxa"/>
            <w:left w:w="108" w:type="dxa"/>
            <w:bottom w:w="0" w:type="dxa"/>
            <w:right w:w="108" w:type="dxa"/>
          </w:tblCellMar>
        </w:tblPrEx>
        <w:trPr>
          <w:trHeight w:val="170" w:hRule="atLeast"/>
        </w:trPr>
        <w:tc>
          <w:tcPr>
            <w:tcW w:w="156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0F5FED5">
            <w:pPr>
              <w:pStyle w:val="45"/>
              <w:rPr>
                <w:rFonts w:hint="default"/>
              </w:rPr>
            </w:pPr>
            <w:r>
              <w:rPr>
                <w:rFonts w:hint="eastAsia"/>
                <w:lang w:val="en-US" w:eastAsia="zh-CN"/>
              </w:rPr>
              <w:t>标准限值</w:t>
            </w:r>
          </w:p>
        </w:tc>
        <w:tc>
          <w:tcPr>
            <w:tcW w:w="3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C1ADC5">
            <w:pPr>
              <w:pStyle w:val="45"/>
              <w:rPr>
                <w:rFonts w:hint="eastAsia" w:eastAsia="宋体"/>
                <w:lang w:val="en-US" w:eastAsia="zh-CN"/>
              </w:rPr>
            </w:pPr>
            <w:r>
              <w:rPr>
                <w:rFonts w:hint="eastAsia"/>
                <w:lang w:val="en-US" w:eastAsia="zh-CN"/>
              </w:rPr>
              <w:t>/</w:t>
            </w:r>
          </w:p>
        </w:tc>
        <w:tc>
          <w:tcPr>
            <w:tcW w:w="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676124">
            <w:pPr>
              <w:pStyle w:val="45"/>
              <w:rPr>
                <w:rFonts w:hint="eastAsia" w:eastAsia="宋体"/>
                <w:lang w:val="en-US" w:eastAsia="zh-CN"/>
              </w:rPr>
            </w:pPr>
            <w:r>
              <w:rPr>
                <w:rFonts w:hint="eastAsia"/>
                <w:lang w:val="en-US" w:eastAsia="zh-CN"/>
              </w:rPr>
              <w:t>/</w:t>
            </w:r>
          </w:p>
        </w:tc>
        <w:tc>
          <w:tcPr>
            <w:tcW w:w="4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8D2AD5">
            <w:pPr>
              <w:pStyle w:val="45"/>
              <w:rPr>
                <w:rFonts w:hint="default" w:eastAsia="宋体"/>
                <w:lang w:val="en-US" w:eastAsia="zh-CN"/>
              </w:rPr>
            </w:pPr>
            <w:r>
              <w:rPr>
                <w:rFonts w:hint="eastAsia"/>
                <w:lang w:val="en-US" w:eastAsia="zh-CN"/>
              </w:rPr>
              <w:t>0.05</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0446A6">
            <w:pPr>
              <w:pStyle w:val="45"/>
              <w:rPr>
                <w:rFonts w:hint="default" w:eastAsia="宋体"/>
                <w:lang w:val="en-US" w:eastAsia="zh-CN"/>
              </w:rPr>
            </w:pPr>
            <w:r>
              <w:rPr>
                <w:rFonts w:hint="eastAsia"/>
                <w:lang w:val="en-US" w:eastAsia="zh-CN"/>
              </w:rPr>
              <w:t>0.70</w:t>
            </w:r>
          </w:p>
        </w:tc>
        <w:tc>
          <w:tcPr>
            <w:tcW w:w="5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E90DBD">
            <w:pPr>
              <w:pStyle w:val="45"/>
              <w:rPr>
                <w:rFonts w:hint="default" w:eastAsia="宋体"/>
                <w:lang w:val="en-US" w:eastAsia="zh-CN"/>
              </w:rPr>
            </w:pPr>
            <w:r>
              <w:rPr>
                <w:rFonts w:hint="eastAsia"/>
                <w:lang w:val="en-US" w:eastAsia="zh-CN"/>
              </w:rPr>
              <w:t>0.01</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C1A3E7">
            <w:pPr>
              <w:pStyle w:val="45"/>
              <w:rPr>
                <w:rFonts w:hint="default" w:eastAsia="宋体"/>
                <w:lang w:val="en-US" w:eastAsia="zh-CN"/>
              </w:rPr>
            </w:pPr>
            <w:r>
              <w:rPr>
                <w:rFonts w:hint="eastAsia"/>
                <w:lang w:val="en-US" w:eastAsia="zh-CN"/>
              </w:rPr>
              <w:t>250</w:t>
            </w:r>
          </w:p>
        </w:tc>
        <w:tc>
          <w:tcPr>
            <w:tcW w:w="5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79DD6A">
            <w:pPr>
              <w:pStyle w:val="45"/>
              <w:rPr>
                <w:rFonts w:hint="eastAsia" w:eastAsia="宋体"/>
                <w:lang w:val="en-US" w:eastAsia="zh-CN"/>
              </w:rPr>
            </w:pPr>
            <w:r>
              <w:rPr>
                <w:rFonts w:hint="eastAsia"/>
                <w:lang w:val="en-US" w:eastAsia="zh-CN"/>
              </w:rPr>
              <w:t>/</w:t>
            </w:r>
          </w:p>
        </w:tc>
      </w:tr>
    </w:tbl>
    <w:p w14:paraId="35338EE0">
      <w:pPr>
        <w:spacing w:line="240" w:lineRule="auto"/>
        <w:ind w:firstLine="0" w:firstLineChars="0"/>
      </w:pPr>
    </w:p>
    <w:p w14:paraId="6DEBA8F0">
      <w:pPr>
        <w:ind w:firstLine="480"/>
      </w:pPr>
      <w:r>
        <w:rPr>
          <w:rFonts w:hint="eastAsia"/>
        </w:rPr>
        <w:t>根据上表监测结果，监测点中各类</w:t>
      </w:r>
      <w:r>
        <w:t>监测因子均满足</w:t>
      </w:r>
      <w:r>
        <w:rPr>
          <w:rFonts w:hint="eastAsia"/>
          <w:color w:val="000000"/>
          <w:szCs w:val="28"/>
        </w:rPr>
        <w:t>《地下水质量标准》</w:t>
      </w:r>
      <w:r>
        <w:t>III类标准限值</w:t>
      </w:r>
      <w:r>
        <w:rPr>
          <w:rFonts w:hint="eastAsia"/>
        </w:rPr>
        <w:t>，项目周边地下水环境质量良好。</w:t>
      </w:r>
    </w:p>
    <w:p w14:paraId="65BF8640">
      <w:pPr>
        <w:ind w:firstLine="480"/>
      </w:pPr>
    </w:p>
    <w:p w14:paraId="63147580">
      <w:pPr>
        <w:ind w:firstLine="480"/>
        <w:rPr>
          <w:rFonts w:hint="eastAsia" w:eastAsia="宋体"/>
          <w:lang w:eastAsia="zh-CN"/>
        </w:rPr>
      </w:pPr>
    </w:p>
    <w:p w14:paraId="63443DB3">
      <w:pPr>
        <w:ind w:firstLine="480"/>
        <w:rPr>
          <w:rFonts w:hint="default" w:eastAsia="宋体"/>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3ED72D1D">
      <w:pPr>
        <w:pStyle w:val="3"/>
        <w:numPr>
          <w:ilvl w:val="1"/>
          <w:numId w:val="1"/>
        </w:numPr>
      </w:pPr>
      <w:bookmarkStart w:id="199" w:name="_Toc9144"/>
      <w:bookmarkStart w:id="200" w:name="_Toc3441"/>
      <w:bookmarkStart w:id="201" w:name="_Toc15650"/>
      <w:r>
        <w:rPr>
          <w:rFonts w:hint="eastAsia"/>
        </w:rPr>
        <w:t>土壤环境质量现状调查与评价</w:t>
      </w:r>
      <w:bookmarkEnd w:id="199"/>
      <w:bookmarkEnd w:id="200"/>
      <w:bookmarkEnd w:id="201"/>
    </w:p>
    <w:p w14:paraId="17DE64A6">
      <w:pPr>
        <w:ind w:firstLine="480"/>
      </w:pPr>
      <w:r>
        <w:rPr>
          <w:rFonts w:hint="eastAsia"/>
        </w:rPr>
        <w:t>据生态环境部（令部令第3号）发布的《工矿用地土壤环境管理办法（试行）》（2018年8月1日实施）中第八条：“重点单位新、改、扩建项目用地应当符合国家或者地方有关建设用地土壤污染风险管控标准。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p w14:paraId="00729A92">
      <w:pPr>
        <w:ind w:firstLine="480"/>
      </w:pPr>
      <w:r>
        <w:rPr>
          <w:rFonts w:hint="eastAsia"/>
        </w:rPr>
        <w:t>本项目在新建过程中要进行土壤现状调查，确保项目用地符合国家或者地方有关建设用地土壤污染风险管控标准。</w:t>
      </w:r>
    </w:p>
    <w:p w14:paraId="606039C2">
      <w:pPr>
        <w:ind w:firstLine="480"/>
      </w:pPr>
      <w:r>
        <w:rPr>
          <w:rFonts w:hint="eastAsia"/>
        </w:rPr>
        <w:t>本次评价委托湖南华环检测技术有限公司于2023年8月对项目区域土壤进行现场采样及检测。</w:t>
      </w:r>
    </w:p>
    <w:p w14:paraId="1B5D9772">
      <w:pPr>
        <w:pStyle w:val="4"/>
        <w:numPr>
          <w:ilvl w:val="2"/>
          <w:numId w:val="1"/>
        </w:numPr>
      </w:pPr>
      <w:bookmarkStart w:id="202" w:name="_Toc27985"/>
      <w:r>
        <w:rPr>
          <w:rFonts w:hint="eastAsia"/>
        </w:rPr>
        <w:t>土壤环境质量现状监测</w:t>
      </w:r>
    </w:p>
    <w:p w14:paraId="0FE2073C">
      <w:r>
        <w:rPr>
          <w:rFonts w:hint="eastAsia"/>
        </w:rPr>
        <w:t>根据《环境影响评价技术导则 土壤环境（试行）》（HJ964-2018）本次土壤环境影响评价工作等级为二级。现状监测需在项目场地内设置1个表层样、3个柱状样，厂外设置2个表层样。为了解</w:t>
      </w:r>
      <w:r>
        <w:rPr>
          <w:rFonts w:hint="eastAsia"/>
          <w:lang w:val="en-US" w:eastAsia="zh-CN"/>
        </w:rPr>
        <w:t>本项目</w:t>
      </w:r>
      <w:r>
        <w:rPr>
          <w:rFonts w:hint="eastAsia"/>
        </w:rPr>
        <w:t>厂区及周边土壤环境质量现状，结合本项目特征，特委托湖南华环检测技术有限公司于2023年8月对项目地及周边土壤环境进行监测（场地内设置1个表层样，场地外设施2个表层样）。</w:t>
      </w:r>
    </w:p>
    <w:p w14:paraId="60CBC9FC">
      <w:pPr>
        <w:pStyle w:val="6"/>
        <w:bidi w:val="0"/>
      </w:pPr>
      <w:r>
        <w:rPr>
          <w:rFonts w:hint="eastAsia"/>
        </w:rPr>
        <w:t>监测布点及监测因子</w:t>
      </w:r>
      <w:bookmarkEnd w:id="202"/>
    </w:p>
    <w:p w14:paraId="684E88F5">
      <w:pPr>
        <w:pStyle w:val="43"/>
        <w:numPr>
          <w:ilvl w:val="5"/>
          <w:numId w:val="1"/>
        </w:numPr>
        <w:rPr>
          <w:rFonts w:hint="default"/>
        </w:rPr>
      </w:pPr>
      <w:r>
        <w:t>土壤监测布点监测布点及监测因子</w:t>
      </w:r>
    </w:p>
    <w:tbl>
      <w:tblPr>
        <w:tblStyle w:val="3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7"/>
        <w:gridCol w:w="2629"/>
        <w:gridCol w:w="4791"/>
      </w:tblGrid>
      <w:tr w14:paraId="27589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tblHeader/>
        </w:trPr>
        <w:tc>
          <w:tcPr>
            <w:tcW w:w="644" w:type="pct"/>
            <w:shd w:val="clear" w:color="auto" w:fill="auto"/>
            <w:vAlign w:val="center"/>
          </w:tcPr>
          <w:p w14:paraId="082468FF">
            <w:pPr>
              <w:pStyle w:val="45"/>
              <w:rPr>
                <w:rFonts w:hint="default"/>
                <w:b/>
                <w:bCs/>
              </w:rPr>
            </w:pPr>
            <w:r>
              <w:rPr>
                <w:b/>
                <w:bCs/>
              </w:rPr>
              <w:t>类型</w:t>
            </w:r>
          </w:p>
        </w:tc>
        <w:tc>
          <w:tcPr>
            <w:tcW w:w="1543" w:type="pct"/>
            <w:shd w:val="clear" w:color="auto" w:fill="auto"/>
            <w:vAlign w:val="center"/>
          </w:tcPr>
          <w:p w14:paraId="022B3019">
            <w:pPr>
              <w:pStyle w:val="45"/>
              <w:rPr>
                <w:rFonts w:hint="default"/>
                <w:b/>
                <w:bCs/>
              </w:rPr>
            </w:pPr>
            <w:r>
              <w:rPr>
                <w:b/>
                <w:bCs/>
              </w:rPr>
              <w:t>采样点位</w:t>
            </w:r>
          </w:p>
        </w:tc>
        <w:tc>
          <w:tcPr>
            <w:tcW w:w="2812" w:type="pct"/>
            <w:shd w:val="clear" w:color="auto" w:fill="auto"/>
            <w:vAlign w:val="center"/>
          </w:tcPr>
          <w:p w14:paraId="74444165">
            <w:pPr>
              <w:pStyle w:val="45"/>
              <w:rPr>
                <w:rFonts w:hint="default"/>
                <w:b/>
                <w:bCs/>
              </w:rPr>
            </w:pPr>
            <w:r>
              <w:rPr>
                <w:b/>
                <w:bCs/>
              </w:rPr>
              <w:t>监测项目</w:t>
            </w:r>
          </w:p>
        </w:tc>
      </w:tr>
      <w:tr w14:paraId="1297B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trPr>
        <w:tc>
          <w:tcPr>
            <w:tcW w:w="644" w:type="pct"/>
            <w:vMerge w:val="restart"/>
            <w:shd w:val="clear" w:color="auto" w:fill="auto"/>
            <w:vAlign w:val="center"/>
          </w:tcPr>
          <w:p w14:paraId="3135EADA">
            <w:pPr>
              <w:pStyle w:val="45"/>
              <w:rPr>
                <w:rFonts w:hint="default"/>
              </w:rPr>
            </w:pPr>
            <w:r>
              <w:t>土壤</w:t>
            </w:r>
          </w:p>
        </w:tc>
        <w:tc>
          <w:tcPr>
            <w:tcW w:w="1543" w:type="pct"/>
            <w:shd w:val="clear" w:color="auto" w:fill="auto"/>
            <w:vAlign w:val="center"/>
          </w:tcPr>
          <w:p w14:paraId="71C3186B">
            <w:pPr>
              <w:pStyle w:val="45"/>
              <w:rPr>
                <w:rFonts w:hint="default"/>
              </w:rPr>
            </w:pPr>
            <w:r>
              <w:t>厂区中点（厂内柱状样点1）TZ1</w:t>
            </w:r>
          </w:p>
        </w:tc>
        <w:tc>
          <w:tcPr>
            <w:tcW w:w="2812" w:type="pct"/>
            <w:shd w:val="clear" w:color="auto" w:fill="auto"/>
            <w:vAlign w:val="center"/>
          </w:tcPr>
          <w:p w14:paraId="2A411181">
            <w:pPr>
              <w:pStyle w:val="45"/>
              <w:rPr>
                <w:rFonts w:hint="default"/>
              </w:rPr>
            </w:pPr>
            <w:r>
              <w:rPr>
                <w:rFonts w:hint="default"/>
              </w:rPr>
              <w:t>《土壤环境质量建设用地土壤污染风险管 控标准》GB 36600-2018中表1基本项目45项、氟化物、氯化物、钡</w:t>
            </w:r>
          </w:p>
        </w:tc>
      </w:tr>
      <w:tr w14:paraId="3DD38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trPr>
        <w:tc>
          <w:tcPr>
            <w:tcW w:w="644" w:type="pct"/>
            <w:vMerge w:val="continue"/>
            <w:shd w:val="clear" w:color="auto" w:fill="auto"/>
            <w:vAlign w:val="center"/>
          </w:tcPr>
          <w:p w14:paraId="6FBF7904">
            <w:pPr>
              <w:pStyle w:val="45"/>
              <w:rPr>
                <w:rFonts w:hint="default"/>
              </w:rPr>
            </w:pPr>
          </w:p>
        </w:tc>
        <w:tc>
          <w:tcPr>
            <w:tcW w:w="1543" w:type="pct"/>
            <w:shd w:val="clear" w:color="auto" w:fill="auto"/>
            <w:vAlign w:val="center"/>
          </w:tcPr>
          <w:p w14:paraId="6435CDF4">
            <w:pPr>
              <w:pStyle w:val="45"/>
              <w:rPr>
                <w:rFonts w:hint="default"/>
              </w:rPr>
            </w:pPr>
            <w:r>
              <w:t>拟建电解车间（厂内柱状样点2）TZ2</w:t>
            </w:r>
          </w:p>
        </w:tc>
        <w:tc>
          <w:tcPr>
            <w:tcW w:w="2812" w:type="pct"/>
            <w:shd w:val="clear" w:color="auto" w:fill="auto"/>
            <w:vAlign w:val="center"/>
          </w:tcPr>
          <w:p w14:paraId="7FB72ED1">
            <w:pPr>
              <w:pStyle w:val="45"/>
              <w:rPr>
                <w:rFonts w:hint="default"/>
              </w:rPr>
            </w:pPr>
            <w:r>
              <w:rPr>
                <w:rFonts w:hint="default"/>
              </w:rPr>
              <w:t>六价铬、氯化物、钡、铅</w:t>
            </w:r>
          </w:p>
        </w:tc>
      </w:tr>
      <w:tr w14:paraId="6E5B8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trPr>
        <w:tc>
          <w:tcPr>
            <w:tcW w:w="644" w:type="pct"/>
            <w:vMerge w:val="continue"/>
            <w:shd w:val="clear" w:color="auto" w:fill="auto"/>
            <w:vAlign w:val="center"/>
          </w:tcPr>
          <w:p w14:paraId="63BDBB88">
            <w:pPr>
              <w:pStyle w:val="45"/>
              <w:rPr>
                <w:rFonts w:hint="default"/>
              </w:rPr>
            </w:pPr>
          </w:p>
        </w:tc>
        <w:tc>
          <w:tcPr>
            <w:tcW w:w="1543" w:type="pct"/>
            <w:shd w:val="clear" w:color="auto" w:fill="auto"/>
            <w:vAlign w:val="center"/>
          </w:tcPr>
          <w:p w14:paraId="7567B53B">
            <w:pPr>
              <w:pStyle w:val="45"/>
              <w:rPr>
                <w:rFonts w:hint="default"/>
              </w:rPr>
            </w:pPr>
            <w:r>
              <w:t>拟建事故池（厂内柱状样点3）TZ3</w:t>
            </w:r>
          </w:p>
        </w:tc>
        <w:tc>
          <w:tcPr>
            <w:tcW w:w="2812" w:type="pct"/>
            <w:shd w:val="clear" w:color="auto" w:fill="auto"/>
            <w:vAlign w:val="center"/>
          </w:tcPr>
          <w:p w14:paraId="02C1C5D9">
            <w:pPr>
              <w:pStyle w:val="45"/>
              <w:rPr>
                <w:rFonts w:hint="default"/>
              </w:rPr>
            </w:pPr>
            <w:r>
              <w:rPr>
                <w:rFonts w:hint="default"/>
              </w:rPr>
              <w:t>六价铬、氯化物、钡、铅</w:t>
            </w:r>
          </w:p>
        </w:tc>
      </w:tr>
      <w:tr w14:paraId="3F31D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trPr>
        <w:tc>
          <w:tcPr>
            <w:tcW w:w="644" w:type="pct"/>
            <w:vMerge w:val="continue"/>
            <w:shd w:val="clear" w:color="auto" w:fill="auto"/>
            <w:vAlign w:val="center"/>
          </w:tcPr>
          <w:p w14:paraId="32FE64AA">
            <w:pPr>
              <w:pStyle w:val="45"/>
              <w:rPr>
                <w:rFonts w:hint="default"/>
              </w:rPr>
            </w:pPr>
          </w:p>
        </w:tc>
        <w:tc>
          <w:tcPr>
            <w:tcW w:w="1543" w:type="pct"/>
            <w:shd w:val="clear" w:color="auto" w:fill="auto"/>
            <w:vAlign w:val="center"/>
          </w:tcPr>
          <w:p w14:paraId="60A4D217">
            <w:pPr>
              <w:pStyle w:val="45"/>
              <w:rPr>
                <w:rFonts w:hint="default"/>
              </w:rPr>
            </w:pPr>
            <w:r>
              <w:t>厂区中心（厂内表层样）TC1</w:t>
            </w:r>
          </w:p>
        </w:tc>
        <w:tc>
          <w:tcPr>
            <w:tcW w:w="2812" w:type="pct"/>
            <w:shd w:val="clear" w:color="auto" w:fill="auto"/>
            <w:vAlign w:val="center"/>
          </w:tcPr>
          <w:p w14:paraId="41DC17E7">
            <w:pPr>
              <w:pStyle w:val="45"/>
              <w:rPr>
                <w:rFonts w:hint="default"/>
              </w:rPr>
            </w:pPr>
            <w:r>
              <w:rPr>
                <w:rFonts w:hint="default"/>
              </w:rPr>
              <w:t>六价铬、氯化物、钡、铅</w:t>
            </w:r>
          </w:p>
        </w:tc>
      </w:tr>
      <w:tr w14:paraId="69EFB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trPr>
        <w:tc>
          <w:tcPr>
            <w:tcW w:w="644" w:type="pct"/>
            <w:vMerge w:val="continue"/>
            <w:shd w:val="clear" w:color="auto" w:fill="auto"/>
            <w:vAlign w:val="center"/>
          </w:tcPr>
          <w:p w14:paraId="6AAD2F2B">
            <w:pPr>
              <w:pStyle w:val="45"/>
              <w:rPr>
                <w:rFonts w:hint="default"/>
              </w:rPr>
            </w:pPr>
          </w:p>
        </w:tc>
        <w:tc>
          <w:tcPr>
            <w:tcW w:w="1543" w:type="pct"/>
            <w:shd w:val="clear" w:color="auto" w:fill="auto"/>
            <w:vAlign w:val="center"/>
          </w:tcPr>
          <w:p w14:paraId="20C4321E">
            <w:pPr>
              <w:pStyle w:val="45"/>
              <w:rPr>
                <w:rFonts w:hint="default"/>
              </w:rPr>
            </w:pPr>
            <w:r>
              <w:t>项目东面工业用地（场外表层样点1）TW1</w:t>
            </w:r>
          </w:p>
        </w:tc>
        <w:tc>
          <w:tcPr>
            <w:tcW w:w="2812" w:type="pct"/>
            <w:shd w:val="clear" w:color="auto" w:fill="auto"/>
            <w:vAlign w:val="center"/>
          </w:tcPr>
          <w:p w14:paraId="637C0341">
            <w:pPr>
              <w:pStyle w:val="45"/>
              <w:rPr>
                <w:rFonts w:hint="default"/>
              </w:rPr>
            </w:pPr>
            <w:r>
              <w:rPr>
                <w:rFonts w:hint="default"/>
              </w:rPr>
              <w:t>六价铬、氯化物、钡、铅</w:t>
            </w:r>
          </w:p>
        </w:tc>
      </w:tr>
      <w:tr w14:paraId="229BC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trPr>
        <w:tc>
          <w:tcPr>
            <w:tcW w:w="644" w:type="pct"/>
            <w:vMerge w:val="continue"/>
            <w:shd w:val="clear" w:color="auto" w:fill="auto"/>
            <w:vAlign w:val="center"/>
          </w:tcPr>
          <w:p w14:paraId="28C2F967">
            <w:pPr>
              <w:pStyle w:val="45"/>
              <w:rPr>
                <w:rFonts w:hint="default"/>
              </w:rPr>
            </w:pPr>
          </w:p>
        </w:tc>
        <w:tc>
          <w:tcPr>
            <w:tcW w:w="1543" w:type="pct"/>
            <w:shd w:val="clear" w:color="auto" w:fill="auto"/>
            <w:vAlign w:val="center"/>
          </w:tcPr>
          <w:p w14:paraId="3AD78985">
            <w:pPr>
              <w:pStyle w:val="45"/>
              <w:rPr>
                <w:rFonts w:hint="default"/>
              </w:rPr>
            </w:pPr>
            <w:r>
              <w:t>项目西面工业用地（场外表层样点2）TW2</w:t>
            </w:r>
          </w:p>
        </w:tc>
        <w:tc>
          <w:tcPr>
            <w:tcW w:w="2812" w:type="pct"/>
            <w:shd w:val="clear" w:color="auto" w:fill="auto"/>
            <w:vAlign w:val="center"/>
          </w:tcPr>
          <w:p w14:paraId="71317850">
            <w:pPr>
              <w:pStyle w:val="45"/>
              <w:rPr>
                <w:rFonts w:hint="default"/>
              </w:rPr>
            </w:pPr>
            <w:r>
              <w:rPr>
                <w:rFonts w:hint="default"/>
              </w:rPr>
              <w:t>六价铬、氯化物、钡、铅</w:t>
            </w:r>
          </w:p>
        </w:tc>
      </w:tr>
      <w:tr w14:paraId="39B91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trPr>
        <w:tc>
          <w:tcPr>
            <w:tcW w:w="644" w:type="pct"/>
            <w:vMerge w:val="restart"/>
            <w:shd w:val="clear" w:color="auto" w:fill="auto"/>
            <w:vAlign w:val="center"/>
          </w:tcPr>
          <w:p w14:paraId="54560036">
            <w:pPr>
              <w:pStyle w:val="45"/>
              <w:rPr>
                <w:rFonts w:hint="default"/>
              </w:rPr>
            </w:pPr>
            <w:r>
              <w:t>土壤包气带浸溶液</w:t>
            </w:r>
          </w:p>
        </w:tc>
        <w:tc>
          <w:tcPr>
            <w:tcW w:w="1543" w:type="pct"/>
            <w:shd w:val="clear" w:color="auto" w:fill="auto"/>
            <w:vAlign w:val="center"/>
          </w:tcPr>
          <w:p w14:paraId="5B4789B3">
            <w:pPr>
              <w:pStyle w:val="45"/>
              <w:rPr>
                <w:rFonts w:hint="default"/>
              </w:rPr>
            </w:pPr>
            <w:r>
              <w:t>拟建电解车间B1</w:t>
            </w:r>
          </w:p>
        </w:tc>
        <w:tc>
          <w:tcPr>
            <w:tcW w:w="2812" w:type="pct"/>
            <w:shd w:val="clear" w:color="auto" w:fill="auto"/>
            <w:vAlign w:val="center"/>
          </w:tcPr>
          <w:p w14:paraId="14AFFFD2">
            <w:pPr>
              <w:pStyle w:val="45"/>
              <w:rPr>
                <w:rFonts w:hint="default"/>
              </w:rPr>
            </w:pPr>
            <w:r>
              <w:rPr>
                <w:rFonts w:hint="default"/>
              </w:rPr>
              <w:t>pH</w:t>
            </w:r>
            <w:r>
              <w:t>值、氯化物、高氯酸盐、六价铬、钡</w:t>
            </w:r>
          </w:p>
        </w:tc>
      </w:tr>
      <w:tr w14:paraId="06155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644" w:type="pct"/>
            <w:vMerge w:val="continue"/>
            <w:shd w:val="clear" w:color="auto" w:fill="auto"/>
            <w:vAlign w:val="center"/>
          </w:tcPr>
          <w:p w14:paraId="687E4985">
            <w:pPr>
              <w:pStyle w:val="45"/>
              <w:rPr>
                <w:rFonts w:hint="default"/>
              </w:rPr>
            </w:pPr>
          </w:p>
        </w:tc>
        <w:tc>
          <w:tcPr>
            <w:tcW w:w="1543" w:type="pct"/>
            <w:shd w:val="clear" w:color="auto" w:fill="auto"/>
            <w:vAlign w:val="center"/>
          </w:tcPr>
          <w:p w14:paraId="06352D6C">
            <w:pPr>
              <w:pStyle w:val="45"/>
              <w:rPr>
                <w:rFonts w:hint="default"/>
              </w:rPr>
            </w:pPr>
            <w:r>
              <w:t>厂区西面B2</w:t>
            </w:r>
          </w:p>
        </w:tc>
        <w:tc>
          <w:tcPr>
            <w:tcW w:w="2812" w:type="pct"/>
            <w:shd w:val="clear" w:color="auto" w:fill="auto"/>
            <w:vAlign w:val="center"/>
          </w:tcPr>
          <w:p w14:paraId="125D5402">
            <w:pPr>
              <w:pStyle w:val="45"/>
              <w:rPr>
                <w:rFonts w:hint="default"/>
              </w:rPr>
            </w:pPr>
            <w:r>
              <w:rPr>
                <w:rFonts w:hint="default"/>
              </w:rPr>
              <w:t>pH</w:t>
            </w:r>
            <w:r>
              <w:t>值、氯化物、高氯酸盐、六价铬、钡</w:t>
            </w:r>
          </w:p>
        </w:tc>
      </w:tr>
    </w:tbl>
    <w:p w14:paraId="480A7C4F">
      <w:pPr>
        <w:ind w:firstLine="480"/>
      </w:pPr>
    </w:p>
    <w:p w14:paraId="73CB093A">
      <w:pPr>
        <w:pStyle w:val="6"/>
        <w:bidi w:val="0"/>
      </w:pPr>
      <w:r>
        <w:rPr>
          <w:rFonts w:hint="eastAsia"/>
        </w:rPr>
        <w:t>检测标准和检出限</w:t>
      </w:r>
    </w:p>
    <w:p w14:paraId="717CC345">
      <w:pPr>
        <w:pStyle w:val="43"/>
        <w:numPr>
          <w:ilvl w:val="5"/>
          <w:numId w:val="1"/>
        </w:numPr>
        <w:rPr>
          <w:rFonts w:hint="default"/>
        </w:rPr>
      </w:pPr>
      <w:r>
        <w:t>土壤检测标准和检出限</w:t>
      </w:r>
    </w:p>
    <w:tbl>
      <w:tblPr>
        <w:tblStyle w:val="32"/>
        <w:tblW w:w="4999" w:type="pct"/>
        <w:tblInd w:w="0" w:type="dxa"/>
        <w:tblLayout w:type="autofit"/>
        <w:tblCellMar>
          <w:top w:w="0" w:type="dxa"/>
          <w:left w:w="108" w:type="dxa"/>
          <w:bottom w:w="0" w:type="dxa"/>
          <w:right w:w="108" w:type="dxa"/>
        </w:tblCellMar>
      </w:tblPr>
      <w:tblGrid>
        <w:gridCol w:w="907"/>
        <w:gridCol w:w="2038"/>
        <w:gridCol w:w="4469"/>
        <w:gridCol w:w="1106"/>
      </w:tblGrid>
      <w:tr w14:paraId="3B7DCEE8">
        <w:tblPrEx>
          <w:tblCellMar>
            <w:top w:w="0" w:type="dxa"/>
            <w:left w:w="108" w:type="dxa"/>
            <w:bottom w:w="0" w:type="dxa"/>
            <w:right w:w="108" w:type="dxa"/>
          </w:tblCellMar>
        </w:tblPrEx>
        <w:trPr>
          <w:trHeight w:val="504" w:hRule="atLeast"/>
          <w:tblHeader/>
        </w:trPr>
        <w:tc>
          <w:tcPr>
            <w:tcW w:w="172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4E71057">
            <w:pPr>
              <w:pStyle w:val="45"/>
              <w:rPr>
                <w:rFonts w:hint="default"/>
                <w:b/>
                <w:bCs/>
              </w:rPr>
            </w:pPr>
            <w:r>
              <w:rPr>
                <w:b/>
                <w:bCs/>
              </w:rPr>
              <w:t>检测指标</w:t>
            </w:r>
          </w:p>
        </w:tc>
        <w:tc>
          <w:tcPr>
            <w:tcW w:w="26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2C266E">
            <w:pPr>
              <w:pStyle w:val="45"/>
              <w:rPr>
                <w:rFonts w:hint="default"/>
                <w:b/>
                <w:bCs/>
              </w:rPr>
            </w:pPr>
            <w:r>
              <w:rPr>
                <w:b/>
                <w:bCs/>
              </w:rPr>
              <w:t>检测方法</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1E08A9">
            <w:pPr>
              <w:pStyle w:val="45"/>
              <w:rPr>
                <w:rFonts w:hint="default"/>
                <w:b/>
                <w:bCs/>
              </w:rPr>
            </w:pPr>
            <w:r>
              <w:rPr>
                <w:b/>
                <w:bCs/>
              </w:rPr>
              <w:t>检出限</w:t>
            </w:r>
            <w:r>
              <w:rPr>
                <w:rFonts w:hint="default"/>
                <w:b/>
                <w:bCs/>
              </w:rPr>
              <w:t>(mg/kg)</w:t>
            </w:r>
          </w:p>
        </w:tc>
      </w:tr>
      <w:tr w14:paraId="05AAABBD">
        <w:tblPrEx>
          <w:tblCellMar>
            <w:top w:w="0" w:type="dxa"/>
            <w:left w:w="108" w:type="dxa"/>
            <w:bottom w:w="0" w:type="dxa"/>
            <w:right w:w="108" w:type="dxa"/>
          </w:tblCellMar>
        </w:tblPrEx>
        <w:trPr>
          <w:trHeight w:val="576" w:hRule="atLeast"/>
        </w:trPr>
        <w:tc>
          <w:tcPr>
            <w:tcW w:w="532" w:type="pct"/>
            <w:vMerge w:val="restart"/>
            <w:tcBorders>
              <w:top w:val="nil"/>
              <w:left w:val="single" w:color="000000" w:sz="4" w:space="0"/>
              <w:bottom w:val="nil"/>
              <w:right w:val="single" w:color="000000" w:sz="4" w:space="0"/>
            </w:tcBorders>
            <w:shd w:val="clear" w:color="auto" w:fill="auto"/>
            <w:vAlign w:val="center"/>
          </w:tcPr>
          <w:p w14:paraId="68FE5003">
            <w:pPr>
              <w:pStyle w:val="45"/>
              <w:rPr>
                <w:rFonts w:hint="default"/>
              </w:rPr>
            </w:pPr>
            <w:r>
              <w:t>土壤重金属及其他</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907418">
            <w:pPr>
              <w:pStyle w:val="45"/>
              <w:rPr>
                <w:rFonts w:hint="default"/>
              </w:rPr>
            </w:pPr>
            <w:r>
              <w:t>总砷</w:t>
            </w:r>
          </w:p>
        </w:tc>
        <w:tc>
          <w:tcPr>
            <w:tcW w:w="26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6B1A0B">
            <w:pPr>
              <w:pStyle w:val="45"/>
              <w:rPr>
                <w:rFonts w:hint="default"/>
              </w:rPr>
            </w:pPr>
            <w:r>
              <w:t>《土壤质量 总汞、总砷、总铅的测定 第2部分：土壤中总砷的测定 原子荧光法》GB/T 22105.2-2008</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576E00">
            <w:pPr>
              <w:pStyle w:val="45"/>
              <w:rPr>
                <w:rFonts w:hint="default"/>
              </w:rPr>
            </w:pPr>
            <w:r>
              <w:rPr>
                <w:rFonts w:hint="default"/>
              </w:rPr>
              <w:t>0.01</w:t>
            </w:r>
          </w:p>
        </w:tc>
      </w:tr>
      <w:tr w14:paraId="5EFE8DD5">
        <w:tblPrEx>
          <w:tblCellMar>
            <w:top w:w="0" w:type="dxa"/>
            <w:left w:w="108" w:type="dxa"/>
            <w:bottom w:w="0" w:type="dxa"/>
            <w:right w:w="108" w:type="dxa"/>
          </w:tblCellMar>
        </w:tblPrEx>
        <w:trPr>
          <w:trHeight w:val="576" w:hRule="atLeast"/>
        </w:trPr>
        <w:tc>
          <w:tcPr>
            <w:tcW w:w="532" w:type="pct"/>
            <w:vMerge w:val="continue"/>
            <w:tcBorders>
              <w:top w:val="nil"/>
              <w:left w:val="single" w:color="000000" w:sz="4" w:space="0"/>
              <w:bottom w:val="nil"/>
              <w:right w:val="single" w:color="000000" w:sz="4" w:space="0"/>
            </w:tcBorders>
            <w:shd w:val="clear" w:color="auto" w:fill="auto"/>
            <w:vAlign w:val="center"/>
          </w:tcPr>
          <w:p w14:paraId="34056420">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A04DB8">
            <w:pPr>
              <w:pStyle w:val="45"/>
              <w:rPr>
                <w:rFonts w:hint="default"/>
              </w:rPr>
            </w:pPr>
            <w:r>
              <w:t>氟化物</w:t>
            </w:r>
          </w:p>
        </w:tc>
        <w:tc>
          <w:tcPr>
            <w:tcW w:w="26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FCAD27">
            <w:pPr>
              <w:pStyle w:val="45"/>
              <w:rPr>
                <w:rFonts w:hint="default"/>
              </w:rPr>
            </w:pPr>
            <w:r>
              <w:t>《土壤 水溶性氟化物和总氟化物的测定 离子选择电极法》HJ 873-2017</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484E2A">
            <w:pPr>
              <w:pStyle w:val="45"/>
              <w:rPr>
                <w:rFonts w:hint="default"/>
              </w:rPr>
            </w:pPr>
            <w:r>
              <w:rPr>
                <w:rFonts w:hint="default"/>
              </w:rPr>
              <w:t>51</w:t>
            </w:r>
          </w:p>
        </w:tc>
      </w:tr>
      <w:tr w14:paraId="2B95B2E5">
        <w:tblPrEx>
          <w:tblCellMar>
            <w:top w:w="0" w:type="dxa"/>
            <w:left w:w="108" w:type="dxa"/>
            <w:bottom w:w="0" w:type="dxa"/>
            <w:right w:w="108" w:type="dxa"/>
          </w:tblCellMar>
        </w:tblPrEx>
        <w:trPr>
          <w:trHeight w:val="576" w:hRule="atLeast"/>
        </w:trPr>
        <w:tc>
          <w:tcPr>
            <w:tcW w:w="532" w:type="pct"/>
            <w:vMerge w:val="continue"/>
            <w:tcBorders>
              <w:top w:val="nil"/>
              <w:left w:val="single" w:color="000000" w:sz="4" w:space="0"/>
              <w:bottom w:val="nil"/>
              <w:right w:val="single" w:color="000000" w:sz="4" w:space="0"/>
            </w:tcBorders>
            <w:shd w:val="clear" w:color="auto" w:fill="auto"/>
            <w:vAlign w:val="center"/>
          </w:tcPr>
          <w:p w14:paraId="51F67840">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3B37FA">
            <w:pPr>
              <w:pStyle w:val="45"/>
              <w:rPr>
                <w:rFonts w:hint="default"/>
              </w:rPr>
            </w:pPr>
            <w:r>
              <w:t>氯化物</w:t>
            </w:r>
          </w:p>
        </w:tc>
        <w:tc>
          <w:tcPr>
            <w:tcW w:w="26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832BFC">
            <w:pPr>
              <w:pStyle w:val="45"/>
              <w:rPr>
                <w:rFonts w:hint="default"/>
              </w:rPr>
            </w:pPr>
            <w:r>
              <w:t>《土壤检测 第17部分：土壤氯离子含量的测定》NY/T 1121.17-2006</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5C60A2">
            <w:pPr>
              <w:pStyle w:val="45"/>
              <w:rPr>
                <w:rFonts w:hint="default"/>
              </w:rPr>
            </w:pPr>
            <w:r>
              <w:rPr>
                <w:rFonts w:hint="default"/>
              </w:rPr>
              <w:t>/</w:t>
            </w:r>
          </w:p>
        </w:tc>
      </w:tr>
      <w:tr w14:paraId="58D82EC1">
        <w:tblPrEx>
          <w:tblCellMar>
            <w:top w:w="0" w:type="dxa"/>
            <w:left w:w="108" w:type="dxa"/>
            <w:bottom w:w="0" w:type="dxa"/>
            <w:right w:w="108" w:type="dxa"/>
          </w:tblCellMar>
        </w:tblPrEx>
        <w:trPr>
          <w:trHeight w:val="576" w:hRule="atLeast"/>
        </w:trPr>
        <w:tc>
          <w:tcPr>
            <w:tcW w:w="532" w:type="pct"/>
            <w:vMerge w:val="continue"/>
            <w:tcBorders>
              <w:top w:val="nil"/>
              <w:left w:val="single" w:color="000000" w:sz="4" w:space="0"/>
              <w:bottom w:val="nil"/>
              <w:right w:val="single" w:color="000000" w:sz="4" w:space="0"/>
            </w:tcBorders>
            <w:shd w:val="clear" w:color="auto" w:fill="auto"/>
            <w:vAlign w:val="center"/>
          </w:tcPr>
          <w:p w14:paraId="33AFBD30">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02B144">
            <w:pPr>
              <w:pStyle w:val="45"/>
              <w:rPr>
                <w:rFonts w:hint="default"/>
              </w:rPr>
            </w:pPr>
            <w:r>
              <w:t>钡</w:t>
            </w:r>
          </w:p>
        </w:tc>
        <w:tc>
          <w:tcPr>
            <w:tcW w:w="26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6AFCD5">
            <w:pPr>
              <w:pStyle w:val="45"/>
              <w:rPr>
                <w:rFonts w:hint="default"/>
              </w:rPr>
            </w:pPr>
            <w:r>
              <w:t>《硅酸盐岩石化学分析方法 第30部分：44个元素量测定》GB/T 14506.30-2010</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3ED401">
            <w:pPr>
              <w:pStyle w:val="45"/>
              <w:rPr>
                <w:rFonts w:hint="default"/>
              </w:rPr>
            </w:pPr>
            <w:r>
              <w:rPr>
                <w:rFonts w:hint="default"/>
              </w:rPr>
              <w:t>0.50</w:t>
            </w:r>
          </w:p>
        </w:tc>
      </w:tr>
      <w:tr w14:paraId="57A5044A">
        <w:tblPrEx>
          <w:tblCellMar>
            <w:top w:w="0" w:type="dxa"/>
            <w:left w:w="108" w:type="dxa"/>
            <w:bottom w:w="0" w:type="dxa"/>
            <w:right w:w="108" w:type="dxa"/>
          </w:tblCellMar>
        </w:tblPrEx>
        <w:trPr>
          <w:trHeight w:val="576" w:hRule="atLeast"/>
        </w:trPr>
        <w:tc>
          <w:tcPr>
            <w:tcW w:w="532" w:type="pct"/>
            <w:vMerge w:val="continue"/>
            <w:tcBorders>
              <w:top w:val="nil"/>
              <w:left w:val="single" w:color="000000" w:sz="4" w:space="0"/>
              <w:bottom w:val="nil"/>
              <w:right w:val="single" w:color="000000" w:sz="4" w:space="0"/>
            </w:tcBorders>
            <w:shd w:val="clear" w:color="auto" w:fill="auto"/>
            <w:vAlign w:val="center"/>
          </w:tcPr>
          <w:p w14:paraId="4E91990B">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D21193">
            <w:pPr>
              <w:pStyle w:val="45"/>
              <w:rPr>
                <w:rFonts w:hint="default"/>
              </w:rPr>
            </w:pPr>
            <w:r>
              <w:t>镉</w:t>
            </w:r>
          </w:p>
        </w:tc>
        <w:tc>
          <w:tcPr>
            <w:tcW w:w="26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F080EE">
            <w:pPr>
              <w:pStyle w:val="45"/>
              <w:rPr>
                <w:rFonts w:hint="default"/>
              </w:rPr>
            </w:pPr>
            <w:r>
              <w:t>《全国土壤污染状况详查土壤样品分析测试方法技术规定》（</w:t>
            </w:r>
            <w:r>
              <w:rPr>
                <w:rFonts w:hint="default"/>
              </w:rPr>
              <w:t>2-1</w:t>
            </w:r>
            <w:r>
              <w:t>电感耦合等离子体质谱法）生态环境部（</w:t>
            </w:r>
            <w:r>
              <w:rPr>
                <w:rFonts w:hint="default"/>
              </w:rPr>
              <w:t>2017</w:t>
            </w:r>
            <w:r>
              <w:t>）</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2A54B0">
            <w:pPr>
              <w:pStyle w:val="45"/>
              <w:rPr>
                <w:rFonts w:hint="default"/>
              </w:rPr>
            </w:pPr>
            <w:r>
              <w:rPr>
                <w:rFonts w:hint="default"/>
              </w:rPr>
              <w:t>0.03</w:t>
            </w:r>
          </w:p>
        </w:tc>
      </w:tr>
      <w:tr w14:paraId="152057D5">
        <w:tblPrEx>
          <w:tblCellMar>
            <w:top w:w="0" w:type="dxa"/>
            <w:left w:w="108" w:type="dxa"/>
            <w:bottom w:w="0" w:type="dxa"/>
            <w:right w:w="108" w:type="dxa"/>
          </w:tblCellMar>
        </w:tblPrEx>
        <w:trPr>
          <w:trHeight w:val="576" w:hRule="atLeast"/>
        </w:trPr>
        <w:tc>
          <w:tcPr>
            <w:tcW w:w="532" w:type="pct"/>
            <w:vMerge w:val="continue"/>
            <w:tcBorders>
              <w:top w:val="nil"/>
              <w:left w:val="single" w:color="000000" w:sz="4" w:space="0"/>
              <w:bottom w:val="nil"/>
              <w:right w:val="single" w:color="000000" w:sz="4" w:space="0"/>
            </w:tcBorders>
            <w:shd w:val="clear" w:color="auto" w:fill="auto"/>
            <w:vAlign w:val="center"/>
          </w:tcPr>
          <w:p w14:paraId="73589BC2">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E5B089">
            <w:pPr>
              <w:pStyle w:val="45"/>
              <w:rPr>
                <w:rFonts w:hint="default"/>
              </w:rPr>
            </w:pPr>
            <w:r>
              <w:t>六价铬</w:t>
            </w:r>
          </w:p>
        </w:tc>
        <w:tc>
          <w:tcPr>
            <w:tcW w:w="26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281D92">
            <w:pPr>
              <w:pStyle w:val="45"/>
              <w:rPr>
                <w:rFonts w:hint="default"/>
              </w:rPr>
            </w:pPr>
            <w:r>
              <w:t>《土壤和沉积物</w:t>
            </w:r>
            <w:r>
              <w:rPr>
                <w:rFonts w:hint="default"/>
              </w:rPr>
              <w:t xml:space="preserve"> </w:t>
            </w:r>
            <w:r>
              <w:t>六价铬的测定</w:t>
            </w:r>
            <w:r>
              <w:rPr>
                <w:rFonts w:hint="default"/>
              </w:rPr>
              <w:t xml:space="preserve"> </w:t>
            </w:r>
            <w:r>
              <w:t>碱溶液提取</w:t>
            </w:r>
            <w:r>
              <w:rPr>
                <w:rFonts w:hint="default"/>
              </w:rPr>
              <w:t>-</w:t>
            </w:r>
            <w:r>
              <w:t>火焰原子吸收分光光度法》</w:t>
            </w:r>
            <w:r>
              <w:rPr>
                <w:rFonts w:hint="default"/>
              </w:rPr>
              <w:t xml:space="preserve"> HJ 1082-2019</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351544">
            <w:pPr>
              <w:pStyle w:val="45"/>
              <w:rPr>
                <w:rFonts w:hint="default"/>
              </w:rPr>
            </w:pPr>
            <w:r>
              <w:rPr>
                <w:rFonts w:hint="default"/>
              </w:rPr>
              <w:t>0.5</w:t>
            </w:r>
          </w:p>
        </w:tc>
      </w:tr>
      <w:tr w14:paraId="07EDFA4A">
        <w:tblPrEx>
          <w:tblCellMar>
            <w:top w:w="0" w:type="dxa"/>
            <w:left w:w="108" w:type="dxa"/>
            <w:bottom w:w="0" w:type="dxa"/>
            <w:right w:w="108" w:type="dxa"/>
          </w:tblCellMar>
        </w:tblPrEx>
        <w:trPr>
          <w:trHeight w:val="576" w:hRule="atLeast"/>
        </w:trPr>
        <w:tc>
          <w:tcPr>
            <w:tcW w:w="532" w:type="pct"/>
            <w:vMerge w:val="continue"/>
            <w:tcBorders>
              <w:top w:val="nil"/>
              <w:left w:val="single" w:color="000000" w:sz="4" w:space="0"/>
              <w:bottom w:val="nil"/>
              <w:right w:val="single" w:color="000000" w:sz="4" w:space="0"/>
            </w:tcBorders>
            <w:shd w:val="clear" w:color="auto" w:fill="auto"/>
            <w:vAlign w:val="center"/>
          </w:tcPr>
          <w:p w14:paraId="1DB87F69">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D947DD">
            <w:pPr>
              <w:pStyle w:val="45"/>
              <w:rPr>
                <w:rFonts w:hint="default"/>
              </w:rPr>
            </w:pPr>
            <w:r>
              <w:t>铜</w:t>
            </w:r>
          </w:p>
        </w:tc>
        <w:tc>
          <w:tcPr>
            <w:tcW w:w="26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D0559D">
            <w:pPr>
              <w:pStyle w:val="45"/>
              <w:rPr>
                <w:rFonts w:hint="default"/>
              </w:rPr>
            </w:pPr>
            <w:r>
              <w:t>《全国土壤污染状况详查土壤样品分析测试方法技术规定》（</w:t>
            </w:r>
            <w:r>
              <w:rPr>
                <w:rFonts w:hint="default"/>
              </w:rPr>
              <w:t>2-1</w:t>
            </w:r>
            <w:r>
              <w:t>电感耦合等离子体质谱法）生态环境部（</w:t>
            </w:r>
            <w:r>
              <w:rPr>
                <w:rFonts w:hint="default"/>
              </w:rPr>
              <w:t>2017</w:t>
            </w:r>
            <w:r>
              <w:t>）</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9991C4">
            <w:pPr>
              <w:pStyle w:val="45"/>
              <w:rPr>
                <w:rFonts w:hint="default"/>
              </w:rPr>
            </w:pPr>
            <w:r>
              <w:rPr>
                <w:rFonts w:hint="default"/>
              </w:rPr>
              <w:t>0.6</w:t>
            </w:r>
          </w:p>
        </w:tc>
      </w:tr>
      <w:tr w14:paraId="20732E69">
        <w:tblPrEx>
          <w:tblCellMar>
            <w:top w:w="0" w:type="dxa"/>
            <w:left w:w="108" w:type="dxa"/>
            <w:bottom w:w="0" w:type="dxa"/>
            <w:right w:w="108" w:type="dxa"/>
          </w:tblCellMar>
        </w:tblPrEx>
        <w:trPr>
          <w:trHeight w:val="576" w:hRule="atLeast"/>
        </w:trPr>
        <w:tc>
          <w:tcPr>
            <w:tcW w:w="532" w:type="pct"/>
            <w:vMerge w:val="continue"/>
            <w:tcBorders>
              <w:top w:val="nil"/>
              <w:left w:val="single" w:color="000000" w:sz="4" w:space="0"/>
              <w:bottom w:val="nil"/>
              <w:right w:val="single" w:color="000000" w:sz="4" w:space="0"/>
            </w:tcBorders>
            <w:shd w:val="clear" w:color="auto" w:fill="auto"/>
            <w:vAlign w:val="center"/>
          </w:tcPr>
          <w:p w14:paraId="7DF49ECA">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63C958">
            <w:pPr>
              <w:pStyle w:val="45"/>
              <w:rPr>
                <w:rFonts w:hint="default"/>
              </w:rPr>
            </w:pPr>
            <w:r>
              <w:t>铅</w:t>
            </w:r>
          </w:p>
        </w:tc>
        <w:tc>
          <w:tcPr>
            <w:tcW w:w="26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819A09">
            <w:pPr>
              <w:pStyle w:val="45"/>
              <w:rPr>
                <w:rFonts w:hint="default"/>
              </w:rPr>
            </w:pPr>
            <w:r>
              <w:t>《全国土壤污染状况详查土壤样品分析测试方法技术规定》（</w:t>
            </w:r>
            <w:r>
              <w:rPr>
                <w:rFonts w:hint="default"/>
              </w:rPr>
              <w:t>2-1</w:t>
            </w:r>
            <w:r>
              <w:t>电感耦合等离子体质谱法）生态环境部（</w:t>
            </w:r>
            <w:r>
              <w:rPr>
                <w:rFonts w:hint="default"/>
              </w:rPr>
              <w:t>2017</w:t>
            </w:r>
            <w:r>
              <w:t>）</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B4C53C">
            <w:pPr>
              <w:pStyle w:val="45"/>
              <w:rPr>
                <w:rFonts w:hint="default"/>
              </w:rPr>
            </w:pPr>
            <w:r>
              <w:rPr>
                <w:rFonts w:hint="default"/>
              </w:rPr>
              <w:t>2.0</w:t>
            </w:r>
          </w:p>
        </w:tc>
      </w:tr>
      <w:tr w14:paraId="7B56FD33">
        <w:tblPrEx>
          <w:tblCellMar>
            <w:top w:w="0" w:type="dxa"/>
            <w:left w:w="108" w:type="dxa"/>
            <w:bottom w:w="0" w:type="dxa"/>
            <w:right w:w="108" w:type="dxa"/>
          </w:tblCellMar>
        </w:tblPrEx>
        <w:trPr>
          <w:trHeight w:val="576" w:hRule="atLeast"/>
        </w:trPr>
        <w:tc>
          <w:tcPr>
            <w:tcW w:w="532" w:type="pct"/>
            <w:vMerge w:val="continue"/>
            <w:tcBorders>
              <w:top w:val="nil"/>
              <w:left w:val="single" w:color="000000" w:sz="4" w:space="0"/>
              <w:bottom w:val="nil"/>
              <w:right w:val="single" w:color="000000" w:sz="4" w:space="0"/>
            </w:tcBorders>
            <w:shd w:val="clear" w:color="auto" w:fill="auto"/>
            <w:vAlign w:val="center"/>
          </w:tcPr>
          <w:p w14:paraId="03034AEA">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1E3546">
            <w:pPr>
              <w:pStyle w:val="45"/>
              <w:rPr>
                <w:rFonts w:hint="default"/>
              </w:rPr>
            </w:pPr>
            <w:r>
              <w:t>总汞</w:t>
            </w:r>
          </w:p>
        </w:tc>
        <w:tc>
          <w:tcPr>
            <w:tcW w:w="26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FBBAC2">
            <w:pPr>
              <w:pStyle w:val="45"/>
              <w:rPr>
                <w:rFonts w:hint="default"/>
              </w:rPr>
            </w:pPr>
            <w:r>
              <w:t>《土壤质量 总汞、总砷、总铅的测定 第1部分：土壤中总汞的测定 原子荧光法》GB/T 22105.1-2008</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A86BC7">
            <w:pPr>
              <w:pStyle w:val="45"/>
              <w:rPr>
                <w:rFonts w:hint="default"/>
              </w:rPr>
            </w:pPr>
            <w:r>
              <w:rPr>
                <w:rFonts w:hint="default"/>
              </w:rPr>
              <w:t>0.002</w:t>
            </w:r>
          </w:p>
        </w:tc>
      </w:tr>
      <w:tr w14:paraId="180D6B8E">
        <w:tblPrEx>
          <w:tblCellMar>
            <w:top w:w="0" w:type="dxa"/>
            <w:left w:w="108" w:type="dxa"/>
            <w:bottom w:w="0" w:type="dxa"/>
            <w:right w:w="108" w:type="dxa"/>
          </w:tblCellMar>
        </w:tblPrEx>
        <w:trPr>
          <w:trHeight w:val="576" w:hRule="atLeast"/>
        </w:trPr>
        <w:tc>
          <w:tcPr>
            <w:tcW w:w="532" w:type="pct"/>
            <w:vMerge w:val="continue"/>
            <w:tcBorders>
              <w:top w:val="nil"/>
              <w:left w:val="single" w:color="000000" w:sz="4" w:space="0"/>
              <w:bottom w:val="nil"/>
              <w:right w:val="single" w:color="000000" w:sz="4" w:space="0"/>
            </w:tcBorders>
            <w:shd w:val="clear" w:color="auto" w:fill="auto"/>
            <w:vAlign w:val="center"/>
          </w:tcPr>
          <w:p w14:paraId="593EFAD9">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740710">
            <w:pPr>
              <w:pStyle w:val="45"/>
              <w:rPr>
                <w:rFonts w:hint="default"/>
              </w:rPr>
            </w:pPr>
            <w:r>
              <w:t>镍</w:t>
            </w:r>
          </w:p>
        </w:tc>
        <w:tc>
          <w:tcPr>
            <w:tcW w:w="26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EF77BF">
            <w:pPr>
              <w:pStyle w:val="45"/>
              <w:rPr>
                <w:rFonts w:hint="default"/>
              </w:rPr>
            </w:pPr>
            <w:r>
              <w:t>《全国土壤污染状况详查土壤样品分析测试方法技术规定》（</w:t>
            </w:r>
            <w:r>
              <w:rPr>
                <w:rFonts w:hint="default"/>
              </w:rPr>
              <w:t>2-1</w:t>
            </w:r>
            <w:r>
              <w:t>电感耦合等离子体质谱法）生态环境部（</w:t>
            </w:r>
            <w:r>
              <w:rPr>
                <w:rFonts w:hint="default"/>
              </w:rPr>
              <w:t>2017</w:t>
            </w:r>
            <w:r>
              <w:t>）</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0DF72B">
            <w:pPr>
              <w:pStyle w:val="45"/>
              <w:rPr>
                <w:rFonts w:hint="default"/>
              </w:rPr>
            </w:pPr>
            <w:r>
              <w:rPr>
                <w:rFonts w:hint="default"/>
              </w:rPr>
              <w:t>0.3</w:t>
            </w:r>
          </w:p>
        </w:tc>
      </w:tr>
      <w:tr w14:paraId="4C10A08E">
        <w:tblPrEx>
          <w:tblCellMar>
            <w:top w:w="0" w:type="dxa"/>
            <w:left w:w="108" w:type="dxa"/>
            <w:bottom w:w="0" w:type="dxa"/>
            <w:right w:w="108" w:type="dxa"/>
          </w:tblCellMar>
        </w:tblPrEx>
        <w:trPr>
          <w:trHeight w:val="276" w:hRule="atLeast"/>
        </w:trPr>
        <w:tc>
          <w:tcPr>
            <w:tcW w:w="53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E187009">
            <w:pPr>
              <w:pStyle w:val="45"/>
              <w:rPr>
                <w:rFonts w:hint="default"/>
              </w:rPr>
            </w:pPr>
            <w:r>
              <w:t>挥发性有机物</w:t>
            </w: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9C9360">
            <w:pPr>
              <w:pStyle w:val="45"/>
              <w:rPr>
                <w:rFonts w:hint="default"/>
              </w:rPr>
            </w:pPr>
            <w:r>
              <w:t>四氯化碳</w:t>
            </w:r>
          </w:p>
        </w:tc>
        <w:tc>
          <w:tcPr>
            <w:tcW w:w="262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C8712CE">
            <w:pPr>
              <w:pStyle w:val="45"/>
              <w:rPr>
                <w:rFonts w:hint="default"/>
              </w:rPr>
            </w:pPr>
            <w:r>
              <w:t>《土壤和沉积物</w:t>
            </w:r>
            <w:r>
              <w:rPr>
                <w:rFonts w:hint="default"/>
              </w:rPr>
              <w:t xml:space="preserve"> </w:t>
            </w:r>
            <w:r>
              <w:t>挥发性有机物的测定</w:t>
            </w:r>
            <w:r>
              <w:rPr>
                <w:rFonts w:hint="default"/>
              </w:rPr>
              <w:t xml:space="preserve"> </w:t>
            </w:r>
            <w:r>
              <w:t>吹扫捕集气相色谱</w:t>
            </w:r>
            <w:r>
              <w:rPr>
                <w:rFonts w:hint="default"/>
              </w:rPr>
              <w:t>-</w:t>
            </w:r>
            <w:r>
              <w:t>质谱法》</w:t>
            </w:r>
            <w:r>
              <w:rPr>
                <w:rFonts w:hint="default"/>
              </w:rPr>
              <w:t xml:space="preserve"> HJ 605-2011</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435123">
            <w:pPr>
              <w:pStyle w:val="45"/>
              <w:rPr>
                <w:rFonts w:hint="default"/>
              </w:rPr>
            </w:pPr>
            <w:r>
              <w:rPr>
                <w:rFonts w:hint="default"/>
              </w:rPr>
              <w:t>0.0013</w:t>
            </w:r>
          </w:p>
        </w:tc>
      </w:tr>
      <w:tr w14:paraId="325D22D8">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EC8A6B">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DED7A">
            <w:pPr>
              <w:pStyle w:val="45"/>
              <w:rPr>
                <w:rFonts w:hint="default"/>
              </w:rPr>
            </w:pPr>
            <w:r>
              <w:t>氯仿</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C5DDE0">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2B5328">
            <w:pPr>
              <w:pStyle w:val="45"/>
              <w:rPr>
                <w:rFonts w:hint="default"/>
              </w:rPr>
            </w:pPr>
            <w:r>
              <w:rPr>
                <w:rFonts w:hint="default"/>
              </w:rPr>
              <w:t>0.0011</w:t>
            </w:r>
          </w:p>
        </w:tc>
      </w:tr>
      <w:tr w14:paraId="211421E5">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5BEE36">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C91CE8">
            <w:pPr>
              <w:pStyle w:val="45"/>
              <w:rPr>
                <w:rFonts w:hint="default"/>
              </w:rPr>
            </w:pPr>
            <w:r>
              <w:rPr>
                <w:rFonts w:hint="default"/>
              </w:rPr>
              <w:t>1,1-</w:t>
            </w:r>
            <w:r>
              <w:t>二氯乙烷</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7D0D76">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F9D7A6">
            <w:pPr>
              <w:pStyle w:val="45"/>
              <w:rPr>
                <w:rFonts w:hint="default"/>
              </w:rPr>
            </w:pPr>
            <w:r>
              <w:rPr>
                <w:rFonts w:hint="default"/>
              </w:rPr>
              <w:t>0.0012</w:t>
            </w:r>
          </w:p>
        </w:tc>
      </w:tr>
      <w:tr w14:paraId="66E549B2">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85DBDF">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943B9B">
            <w:pPr>
              <w:pStyle w:val="45"/>
              <w:rPr>
                <w:rFonts w:hint="default"/>
              </w:rPr>
            </w:pPr>
            <w:r>
              <w:rPr>
                <w:rFonts w:hint="default"/>
              </w:rPr>
              <w:t>1,2-</w:t>
            </w:r>
            <w:r>
              <w:t>二氯乙烷</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BDEB5C">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A2217B">
            <w:pPr>
              <w:pStyle w:val="45"/>
              <w:rPr>
                <w:rFonts w:hint="default"/>
              </w:rPr>
            </w:pPr>
            <w:r>
              <w:rPr>
                <w:rFonts w:hint="default"/>
              </w:rPr>
              <w:t>0.0013</w:t>
            </w:r>
          </w:p>
        </w:tc>
      </w:tr>
      <w:tr w14:paraId="358C284E">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140424">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1F2DFD">
            <w:pPr>
              <w:pStyle w:val="45"/>
              <w:rPr>
                <w:rFonts w:hint="default"/>
              </w:rPr>
            </w:pPr>
            <w:r>
              <w:rPr>
                <w:rFonts w:hint="default"/>
              </w:rPr>
              <w:t>1,1-</w:t>
            </w:r>
            <w:r>
              <w:t>二氯乙烯</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CB809E">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693FA4">
            <w:pPr>
              <w:pStyle w:val="45"/>
              <w:rPr>
                <w:rFonts w:hint="default"/>
              </w:rPr>
            </w:pPr>
            <w:r>
              <w:rPr>
                <w:rFonts w:hint="default"/>
              </w:rPr>
              <w:t>0.0010</w:t>
            </w:r>
          </w:p>
        </w:tc>
      </w:tr>
      <w:tr w14:paraId="02758721">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80CB52">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01D2A">
            <w:pPr>
              <w:pStyle w:val="45"/>
              <w:rPr>
                <w:rFonts w:hint="default"/>
              </w:rPr>
            </w:pPr>
            <w:r>
              <w:t>顺</w:t>
            </w:r>
            <w:r>
              <w:rPr>
                <w:rFonts w:hint="default"/>
              </w:rPr>
              <w:t>-1.2-</w:t>
            </w:r>
            <w:r>
              <w:t>二氯乙烯</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930F4D">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B0D248">
            <w:pPr>
              <w:pStyle w:val="45"/>
              <w:rPr>
                <w:rFonts w:hint="default"/>
              </w:rPr>
            </w:pPr>
            <w:r>
              <w:rPr>
                <w:rFonts w:hint="default"/>
              </w:rPr>
              <w:t>0.0013</w:t>
            </w:r>
          </w:p>
        </w:tc>
      </w:tr>
      <w:tr w14:paraId="0E6E15F7">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8FC4C1">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A4AFC">
            <w:pPr>
              <w:pStyle w:val="45"/>
              <w:rPr>
                <w:rFonts w:hint="default"/>
              </w:rPr>
            </w:pPr>
            <w:r>
              <w:t>反</w:t>
            </w:r>
            <w:r>
              <w:rPr>
                <w:rFonts w:hint="default"/>
              </w:rPr>
              <w:t>-1.2-</w:t>
            </w:r>
            <w:r>
              <w:t>二氯乙烯</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7B1425">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74B02F">
            <w:pPr>
              <w:pStyle w:val="45"/>
              <w:rPr>
                <w:rFonts w:hint="default"/>
              </w:rPr>
            </w:pPr>
            <w:r>
              <w:rPr>
                <w:rFonts w:hint="default"/>
              </w:rPr>
              <w:t>0.0014</w:t>
            </w:r>
          </w:p>
        </w:tc>
      </w:tr>
      <w:tr w14:paraId="5ECCDF5B">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EEB2B4">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57188D">
            <w:pPr>
              <w:pStyle w:val="45"/>
              <w:rPr>
                <w:rFonts w:hint="default"/>
              </w:rPr>
            </w:pPr>
            <w:r>
              <w:t>二氯甲烷</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A0C32F">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73AF25">
            <w:pPr>
              <w:pStyle w:val="45"/>
              <w:rPr>
                <w:rFonts w:hint="default"/>
              </w:rPr>
            </w:pPr>
            <w:r>
              <w:rPr>
                <w:rFonts w:hint="default"/>
              </w:rPr>
              <w:t>0.0015</w:t>
            </w:r>
          </w:p>
        </w:tc>
      </w:tr>
      <w:tr w14:paraId="1690D93D">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33114C">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291DF">
            <w:pPr>
              <w:pStyle w:val="45"/>
              <w:rPr>
                <w:rFonts w:hint="default"/>
              </w:rPr>
            </w:pPr>
            <w:r>
              <w:rPr>
                <w:rFonts w:hint="default"/>
              </w:rPr>
              <w:t>1,2-</w:t>
            </w:r>
            <w:r>
              <w:t>二氯丙烷</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D86EED">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E56DA8">
            <w:pPr>
              <w:pStyle w:val="45"/>
              <w:rPr>
                <w:rFonts w:hint="default"/>
              </w:rPr>
            </w:pPr>
            <w:r>
              <w:rPr>
                <w:rFonts w:hint="default"/>
              </w:rPr>
              <w:t>0.0011</w:t>
            </w:r>
          </w:p>
        </w:tc>
      </w:tr>
      <w:tr w14:paraId="56025AB9">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B1865B">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1B97D3">
            <w:pPr>
              <w:pStyle w:val="45"/>
              <w:rPr>
                <w:rFonts w:hint="default"/>
              </w:rPr>
            </w:pPr>
            <w:r>
              <w:rPr>
                <w:rFonts w:hint="default"/>
              </w:rPr>
              <w:t>1,1,1,2-</w:t>
            </w:r>
            <w:r>
              <w:t>四氯乙烷</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993813">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45EA4A">
            <w:pPr>
              <w:pStyle w:val="45"/>
              <w:rPr>
                <w:rFonts w:hint="default"/>
              </w:rPr>
            </w:pPr>
            <w:r>
              <w:rPr>
                <w:rFonts w:hint="default"/>
              </w:rPr>
              <w:t>0.0012</w:t>
            </w:r>
          </w:p>
        </w:tc>
      </w:tr>
      <w:tr w14:paraId="62B907AB">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FF7569">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F15F1">
            <w:pPr>
              <w:pStyle w:val="45"/>
              <w:rPr>
                <w:rFonts w:hint="default"/>
              </w:rPr>
            </w:pPr>
            <w:r>
              <w:rPr>
                <w:rFonts w:hint="default"/>
              </w:rPr>
              <w:t>1,1,2,2,-</w:t>
            </w:r>
            <w:r>
              <w:t>四氯乙烷</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6320C0">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5E42A8">
            <w:pPr>
              <w:pStyle w:val="45"/>
              <w:rPr>
                <w:rFonts w:hint="default"/>
              </w:rPr>
            </w:pPr>
            <w:r>
              <w:rPr>
                <w:rFonts w:hint="default"/>
              </w:rPr>
              <w:t>0.0012</w:t>
            </w:r>
          </w:p>
        </w:tc>
      </w:tr>
      <w:tr w14:paraId="670D0B25">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50E305">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5DC91">
            <w:pPr>
              <w:pStyle w:val="45"/>
              <w:rPr>
                <w:rFonts w:hint="default"/>
              </w:rPr>
            </w:pPr>
            <w:r>
              <w:t>四氯乙烯</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9DF393">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1C8822">
            <w:pPr>
              <w:pStyle w:val="45"/>
              <w:rPr>
                <w:rFonts w:hint="default"/>
              </w:rPr>
            </w:pPr>
            <w:r>
              <w:rPr>
                <w:rFonts w:hint="default"/>
              </w:rPr>
              <w:t>0.0014</w:t>
            </w:r>
          </w:p>
        </w:tc>
      </w:tr>
      <w:tr w14:paraId="4D628088">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5B781A">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38512">
            <w:pPr>
              <w:pStyle w:val="45"/>
              <w:rPr>
                <w:rFonts w:hint="default"/>
              </w:rPr>
            </w:pPr>
            <w:r>
              <w:rPr>
                <w:rFonts w:hint="default"/>
              </w:rPr>
              <w:t>1,1,1-</w:t>
            </w:r>
            <w:r>
              <w:t>三氯乙烷</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FE6161">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7F193B">
            <w:pPr>
              <w:pStyle w:val="45"/>
              <w:rPr>
                <w:rFonts w:hint="default"/>
              </w:rPr>
            </w:pPr>
            <w:r>
              <w:rPr>
                <w:rFonts w:hint="default"/>
              </w:rPr>
              <w:t>0.0013</w:t>
            </w:r>
          </w:p>
        </w:tc>
      </w:tr>
      <w:tr w14:paraId="20DD64FF">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E1B917">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2B1AC">
            <w:pPr>
              <w:pStyle w:val="45"/>
              <w:rPr>
                <w:rFonts w:hint="default"/>
              </w:rPr>
            </w:pPr>
            <w:r>
              <w:rPr>
                <w:rFonts w:hint="default"/>
              </w:rPr>
              <w:t>1,1,2-</w:t>
            </w:r>
            <w:r>
              <w:t>三氯乙烷</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A84636">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D5710E">
            <w:pPr>
              <w:pStyle w:val="45"/>
              <w:rPr>
                <w:rFonts w:hint="default"/>
              </w:rPr>
            </w:pPr>
            <w:r>
              <w:rPr>
                <w:rFonts w:hint="default"/>
              </w:rPr>
              <w:t>0.0012</w:t>
            </w:r>
          </w:p>
        </w:tc>
      </w:tr>
      <w:tr w14:paraId="0CC25441">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AA9B50">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036D2C">
            <w:pPr>
              <w:pStyle w:val="45"/>
              <w:rPr>
                <w:rFonts w:hint="default"/>
              </w:rPr>
            </w:pPr>
            <w:r>
              <w:t>三氯乙烯</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C0CC90">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FD06B0">
            <w:pPr>
              <w:pStyle w:val="45"/>
              <w:rPr>
                <w:rFonts w:hint="default"/>
              </w:rPr>
            </w:pPr>
            <w:r>
              <w:rPr>
                <w:rFonts w:hint="default"/>
              </w:rPr>
              <w:t>0.0012</w:t>
            </w:r>
          </w:p>
        </w:tc>
      </w:tr>
      <w:tr w14:paraId="24EBAEA9">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D1415A">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3C834">
            <w:pPr>
              <w:pStyle w:val="45"/>
              <w:rPr>
                <w:rFonts w:hint="default"/>
              </w:rPr>
            </w:pPr>
            <w:r>
              <w:rPr>
                <w:rFonts w:hint="default"/>
              </w:rPr>
              <w:t>1,2,3-</w:t>
            </w:r>
            <w:r>
              <w:t>三氯丙烷</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675125">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D01098">
            <w:pPr>
              <w:pStyle w:val="45"/>
              <w:rPr>
                <w:rFonts w:hint="default"/>
              </w:rPr>
            </w:pPr>
            <w:r>
              <w:rPr>
                <w:rFonts w:hint="default"/>
              </w:rPr>
              <w:t>0.0012</w:t>
            </w:r>
          </w:p>
        </w:tc>
      </w:tr>
      <w:tr w14:paraId="620A2E45">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7331CA">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0B709">
            <w:pPr>
              <w:pStyle w:val="45"/>
              <w:rPr>
                <w:rFonts w:hint="default"/>
              </w:rPr>
            </w:pPr>
            <w:r>
              <w:t>氯乙烯</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3E7B82">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476667">
            <w:pPr>
              <w:pStyle w:val="45"/>
              <w:rPr>
                <w:rFonts w:hint="default"/>
              </w:rPr>
            </w:pPr>
            <w:r>
              <w:rPr>
                <w:rFonts w:hint="default"/>
              </w:rPr>
              <w:t>0.0010</w:t>
            </w:r>
          </w:p>
        </w:tc>
      </w:tr>
      <w:tr w14:paraId="4A0F96BD">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DE561E">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296A50">
            <w:pPr>
              <w:pStyle w:val="45"/>
              <w:rPr>
                <w:rFonts w:hint="default"/>
              </w:rPr>
            </w:pPr>
            <w:r>
              <w:t>苯</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7CF4A9">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0CBBCE">
            <w:pPr>
              <w:pStyle w:val="45"/>
              <w:rPr>
                <w:rFonts w:hint="default"/>
              </w:rPr>
            </w:pPr>
            <w:r>
              <w:rPr>
                <w:rFonts w:hint="default"/>
              </w:rPr>
              <w:t>0.0019</w:t>
            </w:r>
          </w:p>
        </w:tc>
      </w:tr>
      <w:tr w14:paraId="2D738A95">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D1E7CC">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06CB18">
            <w:pPr>
              <w:pStyle w:val="45"/>
              <w:rPr>
                <w:rFonts w:hint="default"/>
              </w:rPr>
            </w:pPr>
            <w:r>
              <w:t>氯苯</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7E5552">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7BDE29">
            <w:pPr>
              <w:pStyle w:val="45"/>
              <w:rPr>
                <w:rFonts w:hint="default"/>
              </w:rPr>
            </w:pPr>
            <w:r>
              <w:rPr>
                <w:rFonts w:hint="default"/>
              </w:rPr>
              <w:t>0.0012</w:t>
            </w:r>
          </w:p>
        </w:tc>
      </w:tr>
      <w:tr w14:paraId="2440E6FE">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6A3100">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FE160">
            <w:pPr>
              <w:pStyle w:val="45"/>
              <w:rPr>
                <w:rFonts w:hint="default"/>
              </w:rPr>
            </w:pPr>
            <w:r>
              <w:rPr>
                <w:rFonts w:hint="default"/>
              </w:rPr>
              <w:t>1,2-</w:t>
            </w:r>
            <w:r>
              <w:t>二氯苯</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317BF1">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45135B">
            <w:pPr>
              <w:pStyle w:val="45"/>
              <w:rPr>
                <w:rFonts w:hint="default"/>
              </w:rPr>
            </w:pPr>
            <w:r>
              <w:rPr>
                <w:rFonts w:hint="default"/>
              </w:rPr>
              <w:t>0.0015</w:t>
            </w:r>
          </w:p>
        </w:tc>
      </w:tr>
      <w:tr w14:paraId="0841B03F">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E8E998">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8C76B">
            <w:pPr>
              <w:pStyle w:val="45"/>
              <w:rPr>
                <w:rFonts w:hint="default"/>
              </w:rPr>
            </w:pPr>
            <w:r>
              <w:rPr>
                <w:rFonts w:hint="default"/>
              </w:rPr>
              <w:t>1,4-</w:t>
            </w:r>
            <w:r>
              <w:t>二氯苯</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D19987">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59BC0C">
            <w:pPr>
              <w:pStyle w:val="45"/>
              <w:rPr>
                <w:rFonts w:hint="default"/>
              </w:rPr>
            </w:pPr>
            <w:r>
              <w:rPr>
                <w:rFonts w:hint="default"/>
              </w:rPr>
              <w:t>0.0015</w:t>
            </w:r>
          </w:p>
        </w:tc>
      </w:tr>
      <w:tr w14:paraId="68F9B76A">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798DE7">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F2BCC">
            <w:pPr>
              <w:pStyle w:val="45"/>
              <w:rPr>
                <w:rFonts w:hint="default"/>
              </w:rPr>
            </w:pPr>
            <w:r>
              <w:t>乙苯</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16AF64">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454902">
            <w:pPr>
              <w:pStyle w:val="45"/>
              <w:rPr>
                <w:rFonts w:hint="default"/>
              </w:rPr>
            </w:pPr>
            <w:r>
              <w:rPr>
                <w:rFonts w:hint="default"/>
              </w:rPr>
              <w:t>0.0012</w:t>
            </w:r>
          </w:p>
        </w:tc>
      </w:tr>
      <w:tr w14:paraId="542C30D3">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4F0717">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536FC8">
            <w:pPr>
              <w:pStyle w:val="45"/>
              <w:rPr>
                <w:rFonts w:hint="default"/>
              </w:rPr>
            </w:pPr>
            <w:r>
              <w:t>苯乙烯</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C52B8E">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C2AE50">
            <w:pPr>
              <w:pStyle w:val="45"/>
              <w:rPr>
                <w:rFonts w:hint="default"/>
              </w:rPr>
            </w:pPr>
            <w:r>
              <w:rPr>
                <w:rFonts w:hint="default"/>
              </w:rPr>
              <w:t>0.0011</w:t>
            </w:r>
          </w:p>
        </w:tc>
      </w:tr>
      <w:tr w14:paraId="270D927B">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B62FB5">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EDBB5">
            <w:pPr>
              <w:pStyle w:val="45"/>
              <w:rPr>
                <w:rFonts w:hint="default"/>
              </w:rPr>
            </w:pPr>
            <w:r>
              <w:t>甲苯</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9281A5">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E69BB5">
            <w:pPr>
              <w:pStyle w:val="45"/>
              <w:rPr>
                <w:rFonts w:hint="default"/>
              </w:rPr>
            </w:pPr>
            <w:r>
              <w:rPr>
                <w:rFonts w:hint="default"/>
              </w:rPr>
              <w:t>0.0013</w:t>
            </w:r>
          </w:p>
        </w:tc>
      </w:tr>
      <w:tr w14:paraId="6263D18F">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9C49D8">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A4FB51">
            <w:pPr>
              <w:pStyle w:val="45"/>
              <w:rPr>
                <w:rFonts w:hint="default"/>
              </w:rPr>
            </w:pPr>
            <w:r>
              <w:t>间二甲苯</w:t>
            </w:r>
            <w:r>
              <w:rPr>
                <w:rFonts w:hint="default"/>
              </w:rPr>
              <w:t>+</w:t>
            </w:r>
            <w:r>
              <w:t>对二甲苯</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5932F8">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FA7F9D">
            <w:pPr>
              <w:pStyle w:val="45"/>
              <w:rPr>
                <w:rFonts w:hint="default"/>
              </w:rPr>
            </w:pPr>
            <w:r>
              <w:rPr>
                <w:rFonts w:hint="default"/>
              </w:rPr>
              <w:t>0.0012</w:t>
            </w:r>
          </w:p>
        </w:tc>
      </w:tr>
      <w:tr w14:paraId="7D5CF5C0">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0C6B27">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D41FA">
            <w:pPr>
              <w:pStyle w:val="45"/>
              <w:rPr>
                <w:rFonts w:hint="default"/>
              </w:rPr>
            </w:pPr>
            <w:r>
              <w:t>邻</w:t>
            </w:r>
            <w:r>
              <w:rPr>
                <w:rFonts w:hint="default"/>
              </w:rPr>
              <w:t>-</w:t>
            </w:r>
            <w:r>
              <w:t>二甲苯</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7CA8AA">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450D11">
            <w:pPr>
              <w:pStyle w:val="45"/>
              <w:rPr>
                <w:rFonts w:hint="default"/>
              </w:rPr>
            </w:pPr>
            <w:r>
              <w:rPr>
                <w:rFonts w:hint="default"/>
              </w:rPr>
              <w:t>0.0012</w:t>
            </w:r>
          </w:p>
        </w:tc>
      </w:tr>
      <w:tr w14:paraId="25294B94">
        <w:tblPrEx>
          <w:tblCellMar>
            <w:top w:w="0" w:type="dxa"/>
            <w:left w:w="108" w:type="dxa"/>
            <w:bottom w:w="0" w:type="dxa"/>
            <w:right w:w="108" w:type="dxa"/>
          </w:tblCellMar>
        </w:tblPrEx>
        <w:trPr>
          <w:trHeight w:val="276" w:hRule="atLeast"/>
        </w:trPr>
        <w:tc>
          <w:tcPr>
            <w:tcW w:w="5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BAED8E">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6CF2D8">
            <w:pPr>
              <w:pStyle w:val="45"/>
              <w:rPr>
                <w:rFonts w:hint="default"/>
              </w:rPr>
            </w:pPr>
            <w:r>
              <w:t>氯甲烷</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E7DD82">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AFF28C">
            <w:pPr>
              <w:pStyle w:val="45"/>
              <w:rPr>
                <w:rFonts w:hint="default"/>
              </w:rPr>
            </w:pPr>
            <w:r>
              <w:rPr>
                <w:rFonts w:hint="default"/>
              </w:rPr>
              <w:t>0.0010</w:t>
            </w:r>
          </w:p>
        </w:tc>
      </w:tr>
      <w:tr w14:paraId="4B344FE0">
        <w:tblPrEx>
          <w:tblCellMar>
            <w:top w:w="0" w:type="dxa"/>
            <w:left w:w="108" w:type="dxa"/>
            <w:bottom w:w="0" w:type="dxa"/>
            <w:right w:w="108" w:type="dxa"/>
          </w:tblCellMar>
        </w:tblPrEx>
        <w:trPr>
          <w:trHeight w:val="288" w:hRule="atLeast"/>
        </w:trPr>
        <w:tc>
          <w:tcPr>
            <w:tcW w:w="532" w:type="pct"/>
            <w:vMerge w:val="restart"/>
            <w:tcBorders>
              <w:top w:val="nil"/>
              <w:left w:val="single" w:color="000000" w:sz="4" w:space="0"/>
              <w:bottom w:val="single" w:color="000000" w:sz="4" w:space="0"/>
              <w:right w:val="single" w:color="000000" w:sz="4" w:space="0"/>
            </w:tcBorders>
            <w:shd w:val="clear" w:color="auto" w:fill="auto"/>
            <w:vAlign w:val="center"/>
          </w:tcPr>
          <w:p w14:paraId="0C627528">
            <w:pPr>
              <w:pStyle w:val="45"/>
              <w:rPr>
                <w:rFonts w:hint="default"/>
              </w:rPr>
            </w:pPr>
            <w:r>
              <w:t>半挥发性有机物</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F3E779">
            <w:pPr>
              <w:pStyle w:val="45"/>
              <w:rPr>
                <w:rFonts w:hint="default"/>
              </w:rPr>
            </w:pPr>
            <w:r>
              <w:t>硝基苯</w:t>
            </w:r>
          </w:p>
        </w:tc>
        <w:tc>
          <w:tcPr>
            <w:tcW w:w="262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83EF4C4">
            <w:pPr>
              <w:pStyle w:val="45"/>
              <w:rPr>
                <w:rFonts w:hint="default"/>
              </w:rPr>
            </w:pPr>
            <w:r>
              <w:t>《土壤和沉积物</w:t>
            </w:r>
            <w:r>
              <w:rPr>
                <w:rFonts w:hint="default"/>
              </w:rPr>
              <w:t xml:space="preserve"> </w:t>
            </w:r>
            <w:r>
              <w:t>半挥发性有机物的测定</w:t>
            </w:r>
            <w:r>
              <w:rPr>
                <w:rFonts w:hint="default"/>
              </w:rPr>
              <w:t xml:space="preserve"> </w:t>
            </w:r>
            <w:r>
              <w:t>气相色谱</w:t>
            </w:r>
            <w:r>
              <w:rPr>
                <w:rFonts w:hint="default"/>
              </w:rPr>
              <w:t>-</w:t>
            </w:r>
            <w:r>
              <w:t>质谱法》</w:t>
            </w:r>
            <w:r>
              <w:rPr>
                <w:rFonts w:hint="default"/>
              </w:rPr>
              <w:t xml:space="preserve"> HJ 834-2017</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B6C260">
            <w:pPr>
              <w:pStyle w:val="45"/>
              <w:rPr>
                <w:rFonts w:hint="default"/>
              </w:rPr>
            </w:pPr>
            <w:r>
              <w:rPr>
                <w:rFonts w:hint="default"/>
              </w:rPr>
              <w:t>0.09</w:t>
            </w:r>
          </w:p>
        </w:tc>
      </w:tr>
      <w:tr w14:paraId="58E41F0E">
        <w:tblPrEx>
          <w:tblCellMar>
            <w:top w:w="0" w:type="dxa"/>
            <w:left w:w="108" w:type="dxa"/>
            <w:bottom w:w="0" w:type="dxa"/>
            <w:right w:w="108" w:type="dxa"/>
          </w:tblCellMar>
        </w:tblPrEx>
        <w:trPr>
          <w:trHeight w:val="288" w:hRule="atLeast"/>
        </w:trPr>
        <w:tc>
          <w:tcPr>
            <w:tcW w:w="532" w:type="pct"/>
            <w:vMerge w:val="continue"/>
            <w:tcBorders>
              <w:top w:val="nil"/>
              <w:left w:val="single" w:color="000000" w:sz="4" w:space="0"/>
              <w:bottom w:val="single" w:color="000000" w:sz="4" w:space="0"/>
              <w:right w:val="single" w:color="000000" w:sz="4" w:space="0"/>
            </w:tcBorders>
            <w:shd w:val="clear" w:color="auto" w:fill="auto"/>
            <w:vAlign w:val="center"/>
          </w:tcPr>
          <w:p w14:paraId="33757143">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9F63F0">
            <w:pPr>
              <w:pStyle w:val="45"/>
              <w:rPr>
                <w:rFonts w:hint="default"/>
              </w:rPr>
            </w:pPr>
            <w:r>
              <w:t>苯胺</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B3EFD4">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201F04">
            <w:pPr>
              <w:pStyle w:val="45"/>
              <w:rPr>
                <w:rFonts w:hint="default"/>
              </w:rPr>
            </w:pPr>
            <w:r>
              <w:rPr>
                <w:rFonts w:hint="default"/>
              </w:rPr>
              <w:t>0.1</w:t>
            </w:r>
          </w:p>
        </w:tc>
      </w:tr>
      <w:tr w14:paraId="065530D9">
        <w:tblPrEx>
          <w:tblCellMar>
            <w:top w:w="0" w:type="dxa"/>
            <w:left w:w="108" w:type="dxa"/>
            <w:bottom w:w="0" w:type="dxa"/>
            <w:right w:w="108" w:type="dxa"/>
          </w:tblCellMar>
        </w:tblPrEx>
        <w:trPr>
          <w:trHeight w:val="288" w:hRule="atLeast"/>
        </w:trPr>
        <w:tc>
          <w:tcPr>
            <w:tcW w:w="532" w:type="pct"/>
            <w:vMerge w:val="continue"/>
            <w:tcBorders>
              <w:top w:val="nil"/>
              <w:left w:val="single" w:color="000000" w:sz="4" w:space="0"/>
              <w:bottom w:val="single" w:color="000000" w:sz="4" w:space="0"/>
              <w:right w:val="single" w:color="000000" w:sz="4" w:space="0"/>
            </w:tcBorders>
            <w:shd w:val="clear" w:color="auto" w:fill="auto"/>
            <w:vAlign w:val="center"/>
          </w:tcPr>
          <w:p w14:paraId="06821440">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1A36F2">
            <w:pPr>
              <w:pStyle w:val="45"/>
              <w:rPr>
                <w:rFonts w:hint="default"/>
              </w:rPr>
            </w:pPr>
            <w:r>
              <w:rPr>
                <w:rFonts w:hint="default"/>
              </w:rPr>
              <w:t>2-</w:t>
            </w:r>
            <w:r>
              <w:t>氯酚</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514347">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0E1E2B">
            <w:pPr>
              <w:pStyle w:val="45"/>
              <w:rPr>
                <w:rFonts w:hint="default"/>
              </w:rPr>
            </w:pPr>
            <w:r>
              <w:rPr>
                <w:rFonts w:hint="default"/>
              </w:rPr>
              <w:t>0.06</w:t>
            </w:r>
          </w:p>
        </w:tc>
      </w:tr>
      <w:tr w14:paraId="4289BCB5">
        <w:tblPrEx>
          <w:tblCellMar>
            <w:top w:w="0" w:type="dxa"/>
            <w:left w:w="108" w:type="dxa"/>
            <w:bottom w:w="0" w:type="dxa"/>
            <w:right w:w="108" w:type="dxa"/>
          </w:tblCellMar>
        </w:tblPrEx>
        <w:trPr>
          <w:trHeight w:val="288" w:hRule="atLeast"/>
        </w:trPr>
        <w:tc>
          <w:tcPr>
            <w:tcW w:w="532" w:type="pct"/>
            <w:vMerge w:val="continue"/>
            <w:tcBorders>
              <w:top w:val="nil"/>
              <w:left w:val="single" w:color="000000" w:sz="4" w:space="0"/>
              <w:bottom w:val="single" w:color="000000" w:sz="4" w:space="0"/>
              <w:right w:val="single" w:color="000000" w:sz="4" w:space="0"/>
            </w:tcBorders>
            <w:shd w:val="clear" w:color="auto" w:fill="auto"/>
            <w:vAlign w:val="center"/>
          </w:tcPr>
          <w:p w14:paraId="3F45BA76">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FB2B98">
            <w:pPr>
              <w:pStyle w:val="45"/>
              <w:rPr>
                <w:rFonts w:hint="default"/>
              </w:rPr>
            </w:pPr>
            <w:r>
              <w:t>苯并</w:t>
            </w:r>
            <w:r>
              <w:rPr>
                <w:rFonts w:hint="default"/>
              </w:rPr>
              <w:t>(a)</w:t>
            </w:r>
            <w:r>
              <w:t>蒽</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AC7492">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34E2F0">
            <w:pPr>
              <w:pStyle w:val="45"/>
              <w:rPr>
                <w:rFonts w:hint="default"/>
              </w:rPr>
            </w:pPr>
            <w:r>
              <w:rPr>
                <w:rFonts w:hint="default"/>
              </w:rPr>
              <w:t>0.1</w:t>
            </w:r>
          </w:p>
        </w:tc>
      </w:tr>
      <w:tr w14:paraId="5B143691">
        <w:tblPrEx>
          <w:tblCellMar>
            <w:top w:w="0" w:type="dxa"/>
            <w:left w:w="108" w:type="dxa"/>
            <w:bottom w:w="0" w:type="dxa"/>
            <w:right w:w="108" w:type="dxa"/>
          </w:tblCellMar>
        </w:tblPrEx>
        <w:trPr>
          <w:trHeight w:val="288" w:hRule="atLeast"/>
        </w:trPr>
        <w:tc>
          <w:tcPr>
            <w:tcW w:w="532" w:type="pct"/>
            <w:vMerge w:val="continue"/>
            <w:tcBorders>
              <w:top w:val="nil"/>
              <w:left w:val="single" w:color="000000" w:sz="4" w:space="0"/>
              <w:bottom w:val="single" w:color="000000" w:sz="4" w:space="0"/>
              <w:right w:val="single" w:color="000000" w:sz="4" w:space="0"/>
            </w:tcBorders>
            <w:shd w:val="clear" w:color="auto" w:fill="auto"/>
            <w:vAlign w:val="center"/>
          </w:tcPr>
          <w:p w14:paraId="1DF1F024">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366037">
            <w:pPr>
              <w:pStyle w:val="45"/>
              <w:rPr>
                <w:rFonts w:hint="default"/>
              </w:rPr>
            </w:pPr>
            <w:r>
              <w:t>苯并</w:t>
            </w:r>
            <w:r>
              <w:rPr>
                <w:rFonts w:hint="default"/>
              </w:rPr>
              <w:t>(a)</w:t>
            </w:r>
            <w:r>
              <w:t>芘</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BE5604">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540990">
            <w:pPr>
              <w:pStyle w:val="45"/>
              <w:rPr>
                <w:rFonts w:hint="default"/>
              </w:rPr>
            </w:pPr>
            <w:r>
              <w:rPr>
                <w:rFonts w:hint="default"/>
              </w:rPr>
              <w:t>0.1</w:t>
            </w:r>
          </w:p>
        </w:tc>
      </w:tr>
      <w:tr w14:paraId="29A130A9">
        <w:tblPrEx>
          <w:tblCellMar>
            <w:top w:w="0" w:type="dxa"/>
            <w:left w:w="108" w:type="dxa"/>
            <w:bottom w:w="0" w:type="dxa"/>
            <w:right w:w="108" w:type="dxa"/>
          </w:tblCellMar>
        </w:tblPrEx>
        <w:trPr>
          <w:trHeight w:val="576" w:hRule="atLeast"/>
        </w:trPr>
        <w:tc>
          <w:tcPr>
            <w:tcW w:w="532" w:type="pct"/>
            <w:vMerge w:val="continue"/>
            <w:tcBorders>
              <w:top w:val="nil"/>
              <w:left w:val="single" w:color="000000" w:sz="4" w:space="0"/>
              <w:bottom w:val="single" w:color="000000" w:sz="4" w:space="0"/>
              <w:right w:val="single" w:color="000000" w:sz="4" w:space="0"/>
            </w:tcBorders>
            <w:shd w:val="clear" w:color="auto" w:fill="auto"/>
            <w:vAlign w:val="center"/>
          </w:tcPr>
          <w:p w14:paraId="2BE8F0D3">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3D9680">
            <w:pPr>
              <w:pStyle w:val="45"/>
              <w:rPr>
                <w:rFonts w:hint="default"/>
              </w:rPr>
            </w:pPr>
            <w:r>
              <w:t>苯并</w:t>
            </w:r>
            <w:r>
              <w:rPr>
                <w:rFonts w:hint="default"/>
              </w:rPr>
              <w:t>(b)</w:t>
            </w:r>
            <w:r>
              <w:t>荧蒽</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7EAB80">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83A4E3">
            <w:pPr>
              <w:pStyle w:val="45"/>
              <w:rPr>
                <w:rFonts w:hint="default"/>
              </w:rPr>
            </w:pPr>
            <w:r>
              <w:rPr>
                <w:rFonts w:hint="default"/>
              </w:rPr>
              <w:t>0.2</w:t>
            </w:r>
          </w:p>
        </w:tc>
      </w:tr>
      <w:tr w14:paraId="4646FF5D">
        <w:tblPrEx>
          <w:tblCellMar>
            <w:top w:w="0" w:type="dxa"/>
            <w:left w:w="108" w:type="dxa"/>
            <w:bottom w:w="0" w:type="dxa"/>
            <w:right w:w="108" w:type="dxa"/>
          </w:tblCellMar>
        </w:tblPrEx>
        <w:trPr>
          <w:trHeight w:val="576" w:hRule="atLeast"/>
        </w:trPr>
        <w:tc>
          <w:tcPr>
            <w:tcW w:w="532" w:type="pct"/>
            <w:vMerge w:val="continue"/>
            <w:tcBorders>
              <w:top w:val="nil"/>
              <w:left w:val="single" w:color="000000" w:sz="4" w:space="0"/>
              <w:bottom w:val="single" w:color="000000" w:sz="4" w:space="0"/>
              <w:right w:val="single" w:color="000000" w:sz="4" w:space="0"/>
            </w:tcBorders>
            <w:shd w:val="clear" w:color="auto" w:fill="auto"/>
            <w:vAlign w:val="center"/>
          </w:tcPr>
          <w:p w14:paraId="7E753E42">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2C6EF1">
            <w:pPr>
              <w:pStyle w:val="45"/>
              <w:rPr>
                <w:rFonts w:hint="default"/>
              </w:rPr>
            </w:pPr>
            <w:r>
              <w:t>苯并</w:t>
            </w:r>
            <w:r>
              <w:rPr>
                <w:rFonts w:hint="default"/>
              </w:rPr>
              <w:t>(k)</w:t>
            </w:r>
            <w:r>
              <w:t>荧蒽</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8BB8D9">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2812AE">
            <w:pPr>
              <w:pStyle w:val="45"/>
              <w:rPr>
                <w:rFonts w:hint="default"/>
              </w:rPr>
            </w:pPr>
            <w:r>
              <w:rPr>
                <w:rFonts w:hint="default"/>
              </w:rPr>
              <w:t>0.1</w:t>
            </w:r>
          </w:p>
        </w:tc>
      </w:tr>
      <w:tr w14:paraId="72579612">
        <w:tblPrEx>
          <w:tblCellMar>
            <w:top w:w="0" w:type="dxa"/>
            <w:left w:w="108" w:type="dxa"/>
            <w:bottom w:w="0" w:type="dxa"/>
            <w:right w:w="108" w:type="dxa"/>
          </w:tblCellMar>
        </w:tblPrEx>
        <w:trPr>
          <w:trHeight w:val="288" w:hRule="atLeast"/>
        </w:trPr>
        <w:tc>
          <w:tcPr>
            <w:tcW w:w="532" w:type="pct"/>
            <w:vMerge w:val="continue"/>
            <w:tcBorders>
              <w:top w:val="nil"/>
              <w:left w:val="single" w:color="000000" w:sz="4" w:space="0"/>
              <w:bottom w:val="single" w:color="000000" w:sz="4" w:space="0"/>
              <w:right w:val="single" w:color="000000" w:sz="4" w:space="0"/>
            </w:tcBorders>
            <w:shd w:val="clear" w:color="auto" w:fill="auto"/>
            <w:vAlign w:val="center"/>
          </w:tcPr>
          <w:p w14:paraId="7475492B">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73CCDF">
            <w:pPr>
              <w:pStyle w:val="45"/>
              <w:rPr>
                <w:rFonts w:hint="default"/>
              </w:rPr>
            </w:pPr>
            <w:r>
              <w:t>䓛</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C5BCA1">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30777A">
            <w:pPr>
              <w:pStyle w:val="45"/>
              <w:rPr>
                <w:rFonts w:hint="default"/>
              </w:rPr>
            </w:pPr>
            <w:r>
              <w:rPr>
                <w:rFonts w:hint="default"/>
              </w:rPr>
              <w:t>0.1</w:t>
            </w:r>
          </w:p>
        </w:tc>
      </w:tr>
      <w:tr w14:paraId="2BB428D4">
        <w:tblPrEx>
          <w:tblCellMar>
            <w:top w:w="0" w:type="dxa"/>
            <w:left w:w="108" w:type="dxa"/>
            <w:bottom w:w="0" w:type="dxa"/>
            <w:right w:w="108" w:type="dxa"/>
          </w:tblCellMar>
        </w:tblPrEx>
        <w:trPr>
          <w:trHeight w:val="576" w:hRule="atLeast"/>
        </w:trPr>
        <w:tc>
          <w:tcPr>
            <w:tcW w:w="532" w:type="pct"/>
            <w:vMerge w:val="continue"/>
            <w:tcBorders>
              <w:top w:val="nil"/>
              <w:left w:val="single" w:color="000000" w:sz="4" w:space="0"/>
              <w:bottom w:val="single" w:color="000000" w:sz="4" w:space="0"/>
              <w:right w:val="single" w:color="000000" w:sz="4" w:space="0"/>
            </w:tcBorders>
            <w:shd w:val="clear" w:color="auto" w:fill="auto"/>
            <w:vAlign w:val="center"/>
          </w:tcPr>
          <w:p w14:paraId="1CEAAF30">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4127AB">
            <w:pPr>
              <w:pStyle w:val="45"/>
              <w:rPr>
                <w:rFonts w:hint="default"/>
              </w:rPr>
            </w:pPr>
            <w:r>
              <w:t>二苯并</w:t>
            </w:r>
            <w:r>
              <w:rPr>
                <w:rFonts w:hint="default"/>
              </w:rPr>
              <w:t>(a,h)</w:t>
            </w:r>
            <w:r>
              <w:t>蒽</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4F605E">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EEC18D">
            <w:pPr>
              <w:pStyle w:val="45"/>
              <w:rPr>
                <w:rFonts w:hint="default"/>
              </w:rPr>
            </w:pPr>
            <w:r>
              <w:rPr>
                <w:rFonts w:hint="default"/>
              </w:rPr>
              <w:t>0.1</w:t>
            </w:r>
          </w:p>
        </w:tc>
      </w:tr>
      <w:tr w14:paraId="03A66894">
        <w:tblPrEx>
          <w:tblCellMar>
            <w:top w:w="0" w:type="dxa"/>
            <w:left w:w="108" w:type="dxa"/>
            <w:bottom w:w="0" w:type="dxa"/>
            <w:right w:w="108" w:type="dxa"/>
          </w:tblCellMar>
        </w:tblPrEx>
        <w:trPr>
          <w:trHeight w:val="852" w:hRule="atLeast"/>
        </w:trPr>
        <w:tc>
          <w:tcPr>
            <w:tcW w:w="532" w:type="pct"/>
            <w:vMerge w:val="continue"/>
            <w:tcBorders>
              <w:top w:val="nil"/>
              <w:left w:val="single" w:color="000000" w:sz="4" w:space="0"/>
              <w:bottom w:val="single" w:color="000000" w:sz="4" w:space="0"/>
              <w:right w:val="single" w:color="000000" w:sz="4" w:space="0"/>
            </w:tcBorders>
            <w:shd w:val="clear" w:color="auto" w:fill="auto"/>
            <w:vAlign w:val="center"/>
          </w:tcPr>
          <w:p w14:paraId="4F3A2F41">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14EBC8">
            <w:pPr>
              <w:pStyle w:val="45"/>
              <w:rPr>
                <w:rFonts w:hint="default"/>
              </w:rPr>
            </w:pPr>
            <w:r>
              <w:t>茚并</w:t>
            </w:r>
            <w:r>
              <w:rPr>
                <w:rFonts w:hint="default"/>
              </w:rPr>
              <w:t>(1,2,3-cd)</w:t>
            </w:r>
            <w:r>
              <w:t>芘</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0E19DF">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D8C0CF">
            <w:pPr>
              <w:pStyle w:val="45"/>
              <w:rPr>
                <w:rFonts w:hint="default"/>
              </w:rPr>
            </w:pPr>
            <w:r>
              <w:rPr>
                <w:rFonts w:hint="default"/>
              </w:rPr>
              <w:t>0.1</w:t>
            </w:r>
          </w:p>
        </w:tc>
      </w:tr>
      <w:tr w14:paraId="41D2112D">
        <w:tblPrEx>
          <w:tblCellMar>
            <w:top w:w="0" w:type="dxa"/>
            <w:left w:w="108" w:type="dxa"/>
            <w:bottom w:w="0" w:type="dxa"/>
            <w:right w:w="108" w:type="dxa"/>
          </w:tblCellMar>
        </w:tblPrEx>
        <w:trPr>
          <w:trHeight w:val="288" w:hRule="atLeast"/>
        </w:trPr>
        <w:tc>
          <w:tcPr>
            <w:tcW w:w="532" w:type="pct"/>
            <w:vMerge w:val="continue"/>
            <w:tcBorders>
              <w:top w:val="nil"/>
              <w:left w:val="single" w:color="000000" w:sz="4" w:space="0"/>
              <w:bottom w:val="single" w:color="000000" w:sz="4" w:space="0"/>
              <w:right w:val="single" w:color="000000" w:sz="4" w:space="0"/>
            </w:tcBorders>
            <w:shd w:val="clear" w:color="auto" w:fill="auto"/>
            <w:vAlign w:val="center"/>
          </w:tcPr>
          <w:p w14:paraId="524A2FB2">
            <w:pPr>
              <w:pStyle w:val="45"/>
              <w:rPr>
                <w:rFonts w:hint="default"/>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D0F25C">
            <w:pPr>
              <w:pStyle w:val="45"/>
              <w:rPr>
                <w:rFonts w:hint="default"/>
              </w:rPr>
            </w:pPr>
            <w:r>
              <w:t>萘</w:t>
            </w:r>
          </w:p>
        </w:tc>
        <w:tc>
          <w:tcPr>
            <w:tcW w:w="26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284158">
            <w:pPr>
              <w:pStyle w:val="45"/>
              <w:rPr>
                <w:rFonts w:hint="default"/>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D202A7">
            <w:pPr>
              <w:pStyle w:val="45"/>
              <w:rPr>
                <w:rFonts w:hint="default"/>
              </w:rPr>
            </w:pPr>
            <w:r>
              <w:rPr>
                <w:rFonts w:hint="default"/>
              </w:rPr>
              <w:t>0.09</w:t>
            </w:r>
          </w:p>
        </w:tc>
      </w:tr>
    </w:tbl>
    <w:p w14:paraId="0236ED81">
      <w:pPr>
        <w:ind w:firstLine="0" w:firstLineChars="0"/>
      </w:pPr>
    </w:p>
    <w:p w14:paraId="7D54513F">
      <w:pPr>
        <w:pStyle w:val="43"/>
        <w:numPr>
          <w:ilvl w:val="5"/>
          <w:numId w:val="1"/>
        </w:numPr>
        <w:rPr>
          <w:rFonts w:hint="default"/>
        </w:rPr>
      </w:pPr>
      <w:r>
        <w:t>土壤包气带浸溶液检测标准和检出限</w:t>
      </w:r>
    </w:p>
    <w:tbl>
      <w:tblPr>
        <w:tblStyle w:val="3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0"/>
        <w:gridCol w:w="4255"/>
        <w:gridCol w:w="1001"/>
        <w:gridCol w:w="1734"/>
      </w:tblGrid>
      <w:tr w14:paraId="11AB2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tblHeader/>
        </w:trPr>
        <w:tc>
          <w:tcPr>
            <w:tcW w:w="898" w:type="pct"/>
            <w:shd w:val="clear" w:color="auto" w:fill="auto"/>
            <w:noWrap/>
            <w:vAlign w:val="center"/>
          </w:tcPr>
          <w:p w14:paraId="1CE7C190">
            <w:pPr>
              <w:pStyle w:val="45"/>
              <w:rPr>
                <w:rFonts w:hint="default"/>
                <w:b/>
                <w:bCs/>
              </w:rPr>
            </w:pPr>
            <w:r>
              <w:rPr>
                <w:b/>
                <w:bCs/>
              </w:rPr>
              <w:t>检测指标</w:t>
            </w:r>
          </w:p>
        </w:tc>
        <w:tc>
          <w:tcPr>
            <w:tcW w:w="2496" w:type="pct"/>
            <w:shd w:val="clear" w:color="auto" w:fill="auto"/>
            <w:noWrap/>
            <w:vAlign w:val="center"/>
          </w:tcPr>
          <w:p w14:paraId="761A754E">
            <w:pPr>
              <w:pStyle w:val="45"/>
              <w:rPr>
                <w:rFonts w:hint="default"/>
                <w:b/>
                <w:bCs/>
              </w:rPr>
            </w:pPr>
            <w:r>
              <w:rPr>
                <w:b/>
                <w:bCs/>
              </w:rPr>
              <w:t>检验标准</w:t>
            </w:r>
          </w:p>
        </w:tc>
        <w:tc>
          <w:tcPr>
            <w:tcW w:w="587" w:type="pct"/>
            <w:shd w:val="clear" w:color="auto" w:fill="auto"/>
            <w:noWrap/>
            <w:vAlign w:val="center"/>
          </w:tcPr>
          <w:p w14:paraId="62AB60D6">
            <w:pPr>
              <w:pStyle w:val="45"/>
              <w:rPr>
                <w:rFonts w:hint="default"/>
                <w:b/>
                <w:bCs/>
              </w:rPr>
            </w:pPr>
            <w:r>
              <w:rPr>
                <w:b/>
                <w:bCs/>
              </w:rPr>
              <w:t>检出限</w:t>
            </w:r>
          </w:p>
        </w:tc>
        <w:tc>
          <w:tcPr>
            <w:tcW w:w="1017" w:type="pct"/>
            <w:shd w:val="clear" w:color="auto" w:fill="auto"/>
            <w:noWrap/>
            <w:vAlign w:val="center"/>
          </w:tcPr>
          <w:p w14:paraId="3ADB102A">
            <w:pPr>
              <w:pStyle w:val="45"/>
              <w:rPr>
                <w:rFonts w:hint="default"/>
                <w:b/>
                <w:bCs/>
              </w:rPr>
            </w:pPr>
            <w:r>
              <w:rPr>
                <w:b/>
                <w:bCs/>
              </w:rPr>
              <w:t>备注</w:t>
            </w:r>
          </w:p>
        </w:tc>
      </w:tr>
      <w:tr w14:paraId="47C67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898" w:type="pct"/>
            <w:shd w:val="clear" w:color="auto" w:fill="auto"/>
            <w:vAlign w:val="center"/>
          </w:tcPr>
          <w:p w14:paraId="01038AE5">
            <w:pPr>
              <w:pStyle w:val="45"/>
              <w:rPr>
                <w:rFonts w:hint="eastAsia" w:eastAsia="宋体"/>
                <w:lang w:eastAsia="zh-CN"/>
              </w:rPr>
            </w:pPr>
            <w:r>
              <w:t>pH</w:t>
            </w:r>
          </w:p>
          <w:p w14:paraId="686E4672">
            <w:pPr>
              <w:pStyle w:val="45"/>
              <w:rPr>
                <w:rFonts w:hint="default"/>
              </w:rPr>
            </w:pPr>
            <w:r>
              <w:t>无量纲</w:t>
            </w:r>
          </w:p>
        </w:tc>
        <w:tc>
          <w:tcPr>
            <w:tcW w:w="2496" w:type="pct"/>
            <w:shd w:val="clear" w:color="auto" w:fill="auto"/>
            <w:vAlign w:val="center"/>
          </w:tcPr>
          <w:p w14:paraId="04BD36C5">
            <w:pPr>
              <w:pStyle w:val="45"/>
              <w:rPr>
                <w:rFonts w:hint="default"/>
              </w:rPr>
            </w:pPr>
            <w:r>
              <w:t>《水质 pH值的测定 电极法》 HJ 1147-2020</w:t>
            </w:r>
          </w:p>
        </w:tc>
        <w:tc>
          <w:tcPr>
            <w:tcW w:w="587" w:type="pct"/>
            <w:shd w:val="clear" w:color="auto" w:fill="auto"/>
            <w:noWrap/>
            <w:vAlign w:val="center"/>
          </w:tcPr>
          <w:p w14:paraId="1478990A">
            <w:pPr>
              <w:pStyle w:val="45"/>
              <w:rPr>
                <w:rFonts w:hint="default"/>
              </w:rPr>
            </w:pPr>
            <w:r>
              <w:rPr>
                <w:rFonts w:hint="default"/>
              </w:rPr>
              <w:t>0~14</w:t>
            </w:r>
          </w:p>
        </w:tc>
        <w:tc>
          <w:tcPr>
            <w:tcW w:w="1017" w:type="pct"/>
            <w:vMerge w:val="restart"/>
            <w:shd w:val="clear" w:color="auto" w:fill="auto"/>
            <w:vAlign w:val="center"/>
          </w:tcPr>
          <w:p w14:paraId="31ED1897">
            <w:pPr>
              <w:pStyle w:val="45"/>
              <w:rPr>
                <w:rFonts w:hint="default"/>
              </w:rPr>
            </w:pPr>
            <w:r>
              <w:t>水浸HJ557-2010固体废物 浸出毒性浸出方法 水平振荡法</w:t>
            </w:r>
          </w:p>
        </w:tc>
      </w:tr>
      <w:tr w14:paraId="7EF21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898" w:type="pct"/>
            <w:shd w:val="clear" w:color="auto" w:fill="auto"/>
            <w:vAlign w:val="center"/>
          </w:tcPr>
          <w:p w14:paraId="35029B86">
            <w:pPr>
              <w:pStyle w:val="45"/>
              <w:rPr>
                <w:rFonts w:hint="eastAsia" w:eastAsia="宋体"/>
                <w:lang w:eastAsia="zh-CN"/>
              </w:rPr>
            </w:pPr>
            <w:r>
              <w:t>氯化物</w:t>
            </w:r>
          </w:p>
          <w:p w14:paraId="0F5EB9DB">
            <w:pPr>
              <w:pStyle w:val="45"/>
              <w:rPr>
                <w:rFonts w:hint="default"/>
              </w:rPr>
            </w:pPr>
            <w:r>
              <w:t>mg/l</w:t>
            </w:r>
          </w:p>
        </w:tc>
        <w:tc>
          <w:tcPr>
            <w:tcW w:w="2496" w:type="pct"/>
            <w:shd w:val="clear" w:color="auto" w:fill="auto"/>
            <w:vAlign w:val="center"/>
          </w:tcPr>
          <w:p w14:paraId="36830A9A">
            <w:pPr>
              <w:pStyle w:val="45"/>
              <w:rPr>
                <w:rFonts w:hint="default"/>
              </w:rPr>
            </w:pPr>
            <w:r>
              <w:t>《水质 无机阴离子（F-、Cl-、NO2-、Br-、NO3-、PO43-、SO32-、SO42-）的测定 离子色谱法》HJ 84-2016</w:t>
            </w:r>
          </w:p>
        </w:tc>
        <w:tc>
          <w:tcPr>
            <w:tcW w:w="587" w:type="pct"/>
            <w:shd w:val="clear" w:color="auto" w:fill="auto"/>
            <w:noWrap/>
            <w:vAlign w:val="center"/>
          </w:tcPr>
          <w:p w14:paraId="3A110E9C">
            <w:pPr>
              <w:pStyle w:val="45"/>
              <w:rPr>
                <w:rFonts w:hint="default"/>
              </w:rPr>
            </w:pPr>
            <w:r>
              <w:rPr>
                <w:rFonts w:hint="default"/>
              </w:rPr>
              <w:t>0.007</w:t>
            </w:r>
          </w:p>
        </w:tc>
        <w:tc>
          <w:tcPr>
            <w:tcW w:w="1017" w:type="pct"/>
            <w:vMerge w:val="continue"/>
            <w:shd w:val="clear" w:color="auto" w:fill="auto"/>
            <w:vAlign w:val="center"/>
          </w:tcPr>
          <w:p w14:paraId="44A05B25">
            <w:pPr>
              <w:pStyle w:val="45"/>
              <w:rPr>
                <w:rFonts w:hint="default"/>
              </w:rPr>
            </w:pPr>
          </w:p>
        </w:tc>
      </w:tr>
      <w:tr w14:paraId="1D6D8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898" w:type="pct"/>
            <w:shd w:val="clear" w:color="auto" w:fill="auto"/>
            <w:vAlign w:val="center"/>
          </w:tcPr>
          <w:p w14:paraId="5A8A79CA">
            <w:pPr>
              <w:pStyle w:val="45"/>
              <w:rPr>
                <w:rFonts w:hint="eastAsia" w:eastAsia="宋体"/>
                <w:lang w:eastAsia="zh-CN"/>
              </w:rPr>
            </w:pPr>
            <w:r>
              <w:t>高氯酸盐</w:t>
            </w:r>
          </w:p>
          <w:p w14:paraId="7BBB178E">
            <w:pPr>
              <w:pStyle w:val="45"/>
              <w:rPr>
                <w:rFonts w:hint="default"/>
              </w:rPr>
            </w:pPr>
            <w:r>
              <w:t>mg/l</w:t>
            </w:r>
          </w:p>
        </w:tc>
        <w:tc>
          <w:tcPr>
            <w:tcW w:w="2496" w:type="pct"/>
            <w:shd w:val="clear" w:color="auto" w:fill="auto"/>
            <w:vAlign w:val="center"/>
          </w:tcPr>
          <w:p w14:paraId="1B0CD6BC">
            <w:pPr>
              <w:pStyle w:val="45"/>
              <w:rPr>
                <w:rFonts w:hint="default"/>
              </w:rPr>
            </w:pPr>
            <w:r>
              <w:t>《生活饮用水标准检验方法 第5部分：无机非金属指标》GB/T 5750.5-2023（14.1 离子色谱法-氢氧根系统淋洗液）</w:t>
            </w:r>
          </w:p>
        </w:tc>
        <w:tc>
          <w:tcPr>
            <w:tcW w:w="587" w:type="pct"/>
            <w:shd w:val="clear" w:color="auto" w:fill="auto"/>
            <w:noWrap/>
            <w:vAlign w:val="center"/>
          </w:tcPr>
          <w:p w14:paraId="13EAA9E7">
            <w:pPr>
              <w:pStyle w:val="45"/>
              <w:rPr>
                <w:rFonts w:hint="default"/>
              </w:rPr>
            </w:pPr>
            <w:r>
              <w:rPr>
                <w:rFonts w:hint="default"/>
              </w:rPr>
              <w:t>0.005</w:t>
            </w:r>
          </w:p>
        </w:tc>
        <w:tc>
          <w:tcPr>
            <w:tcW w:w="1017" w:type="pct"/>
            <w:vMerge w:val="continue"/>
            <w:shd w:val="clear" w:color="auto" w:fill="auto"/>
            <w:vAlign w:val="center"/>
          </w:tcPr>
          <w:p w14:paraId="0441F0E8">
            <w:pPr>
              <w:pStyle w:val="45"/>
              <w:rPr>
                <w:rFonts w:hint="default"/>
              </w:rPr>
            </w:pPr>
          </w:p>
        </w:tc>
      </w:tr>
      <w:tr w14:paraId="289A2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898" w:type="pct"/>
            <w:shd w:val="clear" w:color="auto" w:fill="auto"/>
            <w:vAlign w:val="center"/>
          </w:tcPr>
          <w:p w14:paraId="7E7D7F32">
            <w:pPr>
              <w:pStyle w:val="45"/>
              <w:rPr>
                <w:rFonts w:hint="default"/>
              </w:rPr>
            </w:pPr>
            <w:r>
              <w:t>六价铬mg/l</w:t>
            </w:r>
          </w:p>
        </w:tc>
        <w:tc>
          <w:tcPr>
            <w:tcW w:w="2496" w:type="pct"/>
            <w:shd w:val="clear" w:color="auto" w:fill="auto"/>
            <w:vAlign w:val="center"/>
          </w:tcPr>
          <w:p w14:paraId="285D285D">
            <w:pPr>
              <w:pStyle w:val="45"/>
              <w:rPr>
                <w:rFonts w:hint="default"/>
              </w:rPr>
            </w:pPr>
            <w:r>
              <w:t>《水质 六价铬的测定 二苯碳酰二肼分光光度法》GB 7467-1987</w:t>
            </w:r>
          </w:p>
        </w:tc>
        <w:tc>
          <w:tcPr>
            <w:tcW w:w="587" w:type="pct"/>
            <w:shd w:val="clear" w:color="auto" w:fill="auto"/>
            <w:noWrap/>
            <w:vAlign w:val="center"/>
          </w:tcPr>
          <w:p w14:paraId="4B98AAFC">
            <w:pPr>
              <w:pStyle w:val="45"/>
              <w:rPr>
                <w:rFonts w:hint="default"/>
              </w:rPr>
            </w:pPr>
            <w:r>
              <w:rPr>
                <w:rFonts w:hint="default"/>
              </w:rPr>
              <w:t>0.004</w:t>
            </w:r>
          </w:p>
        </w:tc>
        <w:tc>
          <w:tcPr>
            <w:tcW w:w="1017" w:type="pct"/>
            <w:vMerge w:val="continue"/>
            <w:shd w:val="clear" w:color="auto" w:fill="auto"/>
            <w:vAlign w:val="center"/>
          </w:tcPr>
          <w:p w14:paraId="2496BB8F">
            <w:pPr>
              <w:pStyle w:val="45"/>
              <w:rPr>
                <w:rFonts w:hint="default"/>
              </w:rPr>
            </w:pPr>
          </w:p>
        </w:tc>
      </w:tr>
      <w:tr w14:paraId="481C3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898" w:type="pct"/>
            <w:shd w:val="clear" w:color="auto" w:fill="auto"/>
            <w:vAlign w:val="center"/>
          </w:tcPr>
          <w:p w14:paraId="77646DC7">
            <w:pPr>
              <w:pStyle w:val="45"/>
              <w:rPr>
                <w:rFonts w:hint="default"/>
              </w:rPr>
            </w:pPr>
            <w:r>
              <w:t>钡mg/l</w:t>
            </w:r>
          </w:p>
        </w:tc>
        <w:tc>
          <w:tcPr>
            <w:tcW w:w="2496" w:type="pct"/>
            <w:shd w:val="clear" w:color="auto" w:fill="auto"/>
            <w:vAlign w:val="center"/>
          </w:tcPr>
          <w:p w14:paraId="599615DB">
            <w:pPr>
              <w:pStyle w:val="45"/>
              <w:rPr>
                <w:rFonts w:hint="default"/>
              </w:rPr>
            </w:pPr>
            <w:r>
              <w:t>《水质 65种元素的测定 电感耦合等离子体质谱法》HJ 700-2014</w:t>
            </w:r>
          </w:p>
        </w:tc>
        <w:tc>
          <w:tcPr>
            <w:tcW w:w="587" w:type="pct"/>
            <w:shd w:val="clear" w:color="auto" w:fill="auto"/>
            <w:noWrap/>
            <w:vAlign w:val="center"/>
          </w:tcPr>
          <w:p w14:paraId="293A6D09">
            <w:pPr>
              <w:pStyle w:val="45"/>
              <w:rPr>
                <w:rFonts w:hint="default"/>
              </w:rPr>
            </w:pPr>
            <w:r>
              <w:rPr>
                <w:rFonts w:hint="default"/>
              </w:rPr>
              <w:t xml:space="preserve">0.00020 </w:t>
            </w:r>
          </w:p>
        </w:tc>
        <w:tc>
          <w:tcPr>
            <w:tcW w:w="1017" w:type="pct"/>
            <w:vMerge w:val="continue"/>
            <w:shd w:val="clear" w:color="auto" w:fill="auto"/>
            <w:vAlign w:val="center"/>
          </w:tcPr>
          <w:p w14:paraId="6A4091F7">
            <w:pPr>
              <w:pStyle w:val="45"/>
              <w:rPr>
                <w:rFonts w:hint="default"/>
              </w:rPr>
            </w:pPr>
          </w:p>
        </w:tc>
      </w:tr>
    </w:tbl>
    <w:p w14:paraId="60348637">
      <w:pPr>
        <w:ind w:firstLine="0" w:firstLineChars="0"/>
      </w:pPr>
    </w:p>
    <w:p w14:paraId="4FFE2875">
      <w:pPr>
        <w:pStyle w:val="6"/>
        <w:bidi w:val="0"/>
      </w:pPr>
      <w:r>
        <w:rPr>
          <w:rFonts w:hint="eastAsia"/>
          <w:lang w:val="en-US" w:eastAsia="zh-CN"/>
        </w:rPr>
        <w:t>土壤质量</w:t>
      </w:r>
      <w:r>
        <w:rPr>
          <w:rFonts w:hint="eastAsia"/>
        </w:rPr>
        <w:t>现状监测结果</w:t>
      </w:r>
    </w:p>
    <w:p w14:paraId="0771BD94">
      <w:pPr>
        <w:pStyle w:val="43"/>
        <w:numPr>
          <w:ilvl w:val="5"/>
          <w:numId w:val="1"/>
        </w:numPr>
        <w:rPr>
          <w:rFonts w:hint="default"/>
        </w:rPr>
      </w:pPr>
      <w:r>
        <w:t>土壤重金属及其他检测结果（TZ1~TZ3、TW1、TW2）</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88"/>
        <w:gridCol w:w="1287"/>
        <w:gridCol w:w="1313"/>
        <w:gridCol w:w="818"/>
        <w:gridCol w:w="926"/>
        <w:gridCol w:w="907"/>
        <w:gridCol w:w="980"/>
      </w:tblGrid>
      <w:tr w14:paraId="7EC11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blHeader/>
        </w:trPr>
        <w:tc>
          <w:tcPr>
            <w:tcW w:w="1342" w:type="pct"/>
            <w:shd w:val="clear" w:color="auto" w:fill="auto"/>
            <w:vAlign w:val="center"/>
          </w:tcPr>
          <w:p w14:paraId="5B9028A3">
            <w:pPr>
              <w:pStyle w:val="45"/>
              <w:rPr>
                <w:rFonts w:hint="default"/>
                <w:b/>
                <w:bCs/>
              </w:rPr>
            </w:pPr>
            <w:r>
              <w:rPr>
                <w:b/>
                <w:bCs/>
              </w:rPr>
              <w:t>采样点位</w:t>
            </w:r>
          </w:p>
        </w:tc>
        <w:tc>
          <w:tcPr>
            <w:tcW w:w="755" w:type="pct"/>
            <w:shd w:val="clear" w:color="auto" w:fill="auto"/>
            <w:vAlign w:val="center"/>
          </w:tcPr>
          <w:p w14:paraId="0793C7B8">
            <w:pPr>
              <w:pStyle w:val="45"/>
              <w:rPr>
                <w:rFonts w:hint="default"/>
                <w:b/>
                <w:bCs/>
              </w:rPr>
            </w:pPr>
            <w:r>
              <w:rPr>
                <w:b/>
                <w:bCs/>
              </w:rPr>
              <w:t>采样时间</w:t>
            </w:r>
          </w:p>
        </w:tc>
        <w:tc>
          <w:tcPr>
            <w:tcW w:w="770" w:type="pct"/>
            <w:shd w:val="clear" w:color="auto" w:fill="auto"/>
            <w:vAlign w:val="center"/>
          </w:tcPr>
          <w:p w14:paraId="50657D6F">
            <w:pPr>
              <w:pStyle w:val="45"/>
              <w:rPr>
                <w:rFonts w:hint="default"/>
                <w:b/>
                <w:bCs/>
              </w:rPr>
            </w:pPr>
            <w:r>
              <w:rPr>
                <w:b/>
                <w:bCs/>
              </w:rPr>
              <w:t>采样深度（</w:t>
            </w:r>
            <w:r>
              <w:rPr>
                <w:rFonts w:hint="default"/>
                <w:b/>
                <w:bCs/>
              </w:rPr>
              <w:t>cm</w:t>
            </w:r>
            <w:r>
              <w:rPr>
                <w:b/>
                <w:bCs/>
              </w:rPr>
              <w:t>）</w:t>
            </w:r>
          </w:p>
        </w:tc>
        <w:tc>
          <w:tcPr>
            <w:tcW w:w="480" w:type="pct"/>
            <w:shd w:val="clear" w:color="auto" w:fill="auto"/>
            <w:vAlign w:val="center"/>
          </w:tcPr>
          <w:p w14:paraId="6044AF53">
            <w:pPr>
              <w:pStyle w:val="45"/>
              <w:rPr>
                <w:rFonts w:hint="eastAsia" w:eastAsia="宋体"/>
                <w:b/>
                <w:bCs/>
                <w:lang w:eastAsia="zh-CN"/>
              </w:rPr>
            </w:pPr>
            <w:r>
              <w:rPr>
                <w:b/>
                <w:bCs/>
              </w:rPr>
              <w:t>六价铬</w:t>
            </w:r>
          </w:p>
          <w:p w14:paraId="7E828D2E">
            <w:pPr>
              <w:pStyle w:val="45"/>
              <w:rPr>
                <w:rFonts w:hint="default"/>
                <w:b/>
                <w:bCs/>
              </w:rPr>
            </w:pPr>
            <w:r>
              <w:rPr>
                <w:rFonts w:hint="default"/>
                <w:b/>
                <w:bCs/>
              </w:rPr>
              <w:t>mg/kg</w:t>
            </w:r>
          </w:p>
        </w:tc>
        <w:tc>
          <w:tcPr>
            <w:tcW w:w="543" w:type="pct"/>
            <w:shd w:val="clear" w:color="auto" w:fill="auto"/>
            <w:vAlign w:val="center"/>
          </w:tcPr>
          <w:p w14:paraId="2941C3F8">
            <w:pPr>
              <w:pStyle w:val="45"/>
              <w:rPr>
                <w:rFonts w:hint="default"/>
                <w:b/>
                <w:bCs/>
              </w:rPr>
            </w:pPr>
            <w:r>
              <w:rPr>
                <w:b/>
                <w:bCs/>
              </w:rPr>
              <w:t>氯化物g/kg</w:t>
            </w:r>
          </w:p>
        </w:tc>
        <w:tc>
          <w:tcPr>
            <w:tcW w:w="532" w:type="pct"/>
            <w:shd w:val="clear" w:color="auto" w:fill="auto"/>
            <w:vAlign w:val="center"/>
          </w:tcPr>
          <w:p w14:paraId="44203F44">
            <w:pPr>
              <w:pStyle w:val="45"/>
              <w:rPr>
                <w:rFonts w:hint="default"/>
                <w:b/>
                <w:bCs/>
              </w:rPr>
            </w:pPr>
            <w:r>
              <w:rPr>
                <w:b/>
                <w:bCs/>
              </w:rPr>
              <w:t>钡mg/kg</w:t>
            </w:r>
          </w:p>
        </w:tc>
        <w:tc>
          <w:tcPr>
            <w:tcW w:w="575" w:type="pct"/>
            <w:shd w:val="clear" w:color="auto" w:fill="auto"/>
            <w:vAlign w:val="center"/>
          </w:tcPr>
          <w:p w14:paraId="75D28382">
            <w:pPr>
              <w:pStyle w:val="45"/>
              <w:rPr>
                <w:rFonts w:hint="default"/>
                <w:b/>
                <w:bCs/>
              </w:rPr>
            </w:pPr>
            <w:r>
              <w:rPr>
                <w:b/>
                <w:bCs/>
              </w:rPr>
              <w:t>铅</w:t>
            </w:r>
            <w:r>
              <w:rPr>
                <w:rFonts w:hint="default"/>
                <w:b/>
                <w:bCs/>
              </w:rPr>
              <w:t xml:space="preserve">  mg/kg</w:t>
            </w:r>
          </w:p>
        </w:tc>
      </w:tr>
      <w:tr w14:paraId="3E173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1342" w:type="pct"/>
            <w:vMerge w:val="restart"/>
            <w:shd w:val="clear" w:color="auto" w:fill="auto"/>
            <w:vAlign w:val="center"/>
          </w:tcPr>
          <w:p w14:paraId="395086CA">
            <w:pPr>
              <w:pStyle w:val="45"/>
              <w:rPr>
                <w:rFonts w:hint="default"/>
              </w:rPr>
            </w:pPr>
            <w:r>
              <w:t>厂区中点（厂内柱状样点1）TZ1</w:t>
            </w:r>
          </w:p>
        </w:tc>
        <w:tc>
          <w:tcPr>
            <w:tcW w:w="755" w:type="pct"/>
            <w:shd w:val="clear" w:color="auto" w:fill="auto"/>
            <w:vAlign w:val="center"/>
          </w:tcPr>
          <w:p w14:paraId="4B4DB6FD">
            <w:pPr>
              <w:pStyle w:val="45"/>
              <w:rPr>
                <w:rFonts w:hint="default"/>
              </w:rPr>
            </w:pPr>
            <w:r>
              <w:rPr>
                <w:rFonts w:hint="default"/>
              </w:rPr>
              <w:t>2023.8.30</w:t>
            </w:r>
          </w:p>
        </w:tc>
        <w:tc>
          <w:tcPr>
            <w:tcW w:w="770" w:type="pct"/>
            <w:shd w:val="clear" w:color="auto" w:fill="auto"/>
            <w:vAlign w:val="center"/>
          </w:tcPr>
          <w:p w14:paraId="1CE4AA10">
            <w:pPr>
              <w:pStyle w:val="45"/>
              <w:rPr>
                <w:rFonts w:hint="default"/>
              </w:rPr>
            </w:pPr>
            <w:r>
              <w:rPr>
                <w:rFonts w:hint="default"/>
              </w:rPr>
              <w:t>0-50</w:t>
            </w:r>
          </w:p>
        </w:tc>
        <w:tc>
          <w:tcPr>
            <w:tcW w:w="480" w:type="pct"/>
            <w:shd w:val="clear" w:color="auto" w:fill="auto"/>
            <w:noWrap/>
            <w:vAlign w:val="center"/>
          </w:tcPr>
          <w:p w14:paraId="6F7E0EC7">
            <w:pPr>
              <w:pStyle w:val="45"/>
              <w:rPr>
                <w:rFonts w:hint="default"/>
              </w:rPr>
            </w:pPr>
            <w:r>
              <w:rPr>
                <w:rFonts w:hint="default"/>
              </w:rPr>
              <w:t>ND</w:t>
            </w:r>
          </w:p>
        </w:tc>
        <w:tc>
          <w:tcPr>
            <w:tcW w:w="543" w:type="pct"/>
            <w:shd w:val="clear" w:color="auto" w:fill="auto"/>
            <w:vAlign w:val="center"/>
          </w:tcPr>
          <w:p w14:paraId="7EFA5E0D">
            <w:pPr>
              <w:pStyle w:val="45"/>
              <w:rPr>
                <w:rFonts w:hint="default"/>
              </w:rPr>
            </w:pPr>
            <w:r>
              <w:rPr>
                <w:rFonts w:hint="default"/>
              </w:rPr>
              <w:t xml:space="preserve">0.04 </w:t>
            </w:r>
          </w:p>
        </w:tc>
        <w:tc>
          <w:tcPr>
            <w:tcW w:w="532" w:type="pct"/>
            <w:shd w:val="clear" w:color="auto" w:fill="auto"/>
            <w:vAlign w:val="center"/>
          </w:tcPr>
          <w:p w14:paraId="1E68272D">
            <w:pPr>
              <w:pStyle w:val="45"/>
              <w:rPr>
                <w:rFonts w:hint="default"/>
              </w:rPr>
            </w:pPr>
            <w:r>
              <w:rPr>
                <w:rFonts w:hint="default"/>
              </w:rPr>
              <w:t xml:space="preserve">563 </w:t>
            </w:r>
          </w:p>
        </w:tc>
        <w:tc>
          <w:tcPr>
            <w:tcW w:w="575" w:type="pct"/>
            <w:shd w:val="clear" w:color="auto" w:fill="auto"/>
            <w:vAlign w:val="center"/>
          </w:tcPr>
          <w:p w14:paraId="78531FF6">
            <w:pPr>
              <w:pStyle w:val="45"/>
              <w:rPr>
                <w:rFonts w:hint="default"/>
              </w:rPr>
            </w:pPr>
            <w:r>
              <w:rPr>
                <w:rFonts w:hint="default"/>
              </w:rPr>
              <w:t xml:space="preserve">33.3 </w:t>
            </w:r>
          </w:p>
        </w:tc>
      </w:tr>
      <w:tr w14:paraId="6294B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1342" w:type="pct"/>
            <w:vMerge w:val="continue"/>
            <w:shd w:val="clear" w:color="auto" w:fill="auto"/>
            <w:vAlign w:val="center"/>
          </w:tcPr>
          <w:p w14:paraId="59DB2FCE">
            <w:pPr>
              <w:pStyle w:val="45"/>
              <w:rPr>
                <w:rFonts w:hint="default"/>
              </w:rPr>
            </w:pPr>
          </w:p>
        </w:tc>
        <w:tc>
          <w:tcPr>
            <w:tcW w:w="755" w:type="pct"/>
            <w:shd w:val="clear" w:color="auto" w:fill="auto"/>
            <w:vAlign w:val="center"/>
          </w:tcPr>
          <w:p w14:paraId="641847AB">
            <w:pPr>
              <w:pStyle w:val="45"/>
              <w:rPr>
                <w:rFonts w:hint="default"/>
              </w:rPr>
            </w:pPr>
            <w:r>
              <w:rPr>
                <w:rFonts w:hint="default"/>
              </w:rPr>
              <w:t>2023.8.30</w:t>
            </w:r>
          </w:p>
        </w:tc>
        <w:tc>
          <w:tcPr>
            <w:tcW w:w="770" w:type="pct"/>
            <w:shd w:val="clear" w:color="auto" w:fill="auto"/>
            <w:vAlign w:val="center"/>
          </w:tcPr>
          <w:p w14:paraId="0FA5706E">
            <w:pPr>
              <w:pStyle w:val="45"/>
              <w:rPr>
                <w:rFonts w:hint="default"/>
              </w:rPr>
            </w:pPr>
            <w:r>
              <w:rPr>
                <w:rFonts w:hint="default"/>
              </w:rPr>
              <w:t>50-150</w:t>
            </w:r>
          </w:p>
        </w:tc>
        <w:tc>
          <w:tcPr>
            <w:tcW w:w="480" w:type="pct"/>
            <w:shd w:val="clear" w:color="auto" w:fill="auto"/>
            <w:noWrap/>
            <w:vAlign w:val="center"/>
          </w:tcPr>
          <w:p w14:paraId="61EDADAC">
            <w:pPr>
              <w:pStyle w:val="45"/>
              <w:rPr>
                <w:rFonts w:hint="default"/>
              </w:rPr>
            </w:pPr>
            <w:r>
              <w:rPr>
                <w:rFonts w:hint="default"/>
              </w:rPr>
              <w:t>ND</w:t>
            </w:r>
          </w:p>
        </w:tc>
        <w:tc>
          <w:tcPr>
            <w:tcW w:w="543" w:type="pct"/>
            <w:shd w:val="clear" w:color="auto" w:fill="auto"/>
            <w:noWrap/>
            <w:vAlign w:val="center"/>
          </w:tcPr>
          <w:p w14:paraId="4FE2AEBB">
            <w:pPr>
              <w:pStyle w:val="45"/>
              <w:rPr>
                <w:rFonts w:hint="default"/>
              </w:rPr>
            </w:pPr>
            <w:r>
              <w:rPr>
                <w:rFonts w:hint="default"/>
              </w:rPr>
              <w:t xml:space="preserve">0.08 </w:t>
            </w:r>
          </w:p>
        </w:tc>
        <w:tc>
          <w:tcPr>
            <w:tcW w:w="532" w:type="pct"/>
            <w:shd w:val="clear" w:color="auto" w:fill="auto"/>
            <w:noWrap/>
            <w:vAlign w:val="center"/>
          </w:tcPr>
          <w:p w14:paraId="28DB5353">
            <w:pPr>
              <w:pStyle w:val="45"/>
              <w:rPr>
                <w:rFonts w:hint="default"/>
              </w:rPr>
            </w:pPr>
            <w:r>
              <w:rPr>
                <w:rFonts w:hint="default"/>
              </w:rPr>
              <w:t xml:space="preserve">497 </w:t>
            </w:r>
          </w:p>
        </w:tc>
        <w:tc>
          <w:tcPr>
            <w:tcW w:w="575" w:type="pct"/>
            <w:shd w:val="clear" w:color="auto" w:fill="auto"/>
            <w:noWrap/>
            <w:vAlign w:val="center"/>
          </w:tcPr>
          <w:p w14:paraId="2074ED31">
            <w:pPr>
              <w:pStyle w:val="45"/>
              <w:rPr>
                <w:rFonts w:hint="default"/>
              </w:rPr>
            </w:pPr>
            <w:r>
              <w:rPr>
                <w:rFonts w:hint="default"/>
              </w:rPr>
              <w:t xml:space="preserve">57.2 </w:t>
            </w:r>
          </w:p>
        </w:tc>
      </w:tr>
      <w:tr w14:paraId="40C85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1342" w:type="pct"/>
            <w:vMerge w:val="continue"/>
            <w:shd w:val="clear" w:color="auto" w:fill="auto"/>
            <w:vAlign w:val="center"/>
          </w:tcPr>
          <w:p w14:paraId="6A5909FB">
            <w:pPr>
              <w:pStyle w:val="45"/>
              <w:rPr>
                <w:rFonts w:hint="default"/>
              </w:rPr>
            </w:pPr>
          </w:p>
        </w:tc>
        <w:tc>
          <w:tcPr>
            <w:tcW w:w="755" w:type="pct"/>
            <w:shd w:val="clear" w:color="auto" w:fill="auto"/>
            <w:vAlign w:val="center"/>
          </w:tcPr>
          <w:p w14:paraId="27104656">
            <w:pPr>
              <w:pStyle w:val="45"/>
              <w:rPr>
                <w:rFonts w:hint="default"/>
              </w:rPr>
            </w:pPr>
            <w:r>
              <w:rPr>
                <w:rFonts w:hint="default"/>
              </w:rPr>
              <w:t>2023.8.30</w:t>
            </w:r>
          </w:p>
        </w:tc>
        <w:tc>
          <w:tcPr>
            <w:tcW w:w="770" w:type="pct"/>
            <w:shd w:val="clear" w:color="auto" w:fill="auto"/>
            <w:vAlign w:val="center"/>
          </w:tcPr>
          <w:p w14:paraId="7BE49F23">
            <w:pPr>
              <w:pStyle w:val="45"/>
              <w:rPr>
                <w:rFonts w:hint="default"/>
              </w:rPr>
            </w:pPr>
            <w:r>
              <w:rPr>
                <w:rFonts w:hint="default"/>
              </w:rPr>
              <w:t>150-300</w:t>
            </w:r>
          </w:p>
        </w:tc>
        <w:tc>
          <w:tcPr>
            <w:tcW w:w="480" w:type="pct"/>
            <w:shd w:val="clear" w:color="auto" w:fill="auto"/>
            <w:noWrap/>
            <w:vAlign w:val="center"/>
          </w:tcPr>
          <w:p w14:paraId="13F26742">
            <w:pPr>
              <w:pStyle w:val="45"/>
              <w:rPr>
                <w:rFonts w:hint="default"/>
              </w:rPr>
            </w:pPr>
            <w:r>
              <w:rPr>
                <w:rFonts w:hint="default"/>
              </w:rPr>
              <w:t>ND</w:t>
            </w:r>
          </w:p>
        </w:tc>
        <w:tc>
          <w:tcPr>
            <w:tcW w:w="543" w:type="pct"/>
            <w:shd w:val="clear" w:color="auto" w:fill="auto"/>
            <w:noWrap/>
            <w:vAlign w:val="center"/>
          </w:tcPr>
          <w:p w14:paraId="38CBC0CD">
            <w:pPr>
              <w:pStyle w:val="45"/>
              <w:rPr>
                <w:rFonts w:hint="default"/>
              </w:rPr>
            </w:pPr>
            <w:r>
              <w:rPr>
                <w:rFonts w:hint="default"/>
              </w:rPr>
              <w:t xml:space="preserve">0.08 </w:t>
            </w:r>
          </w:p>
        </w:tc>
        <w:tc>
          <w:tcPr>
            <w:tcW w:w="532" w:type="pct"/>
            <w:shd w:val="clear" w:color="auto" w:fill="auto"/>
            <w:noWrap/>
            <w:vAlign w:val="center"/>
          </w:tcPr>
          <w:p w14:paraId="1BD6F3E6">
            <w:pPr>
              <w:pStyle w:val="45"/>
              <w:rPr>
                <w:rFonts w:hint="default"/>
              </w:rPr>
            </w:pPr>
            <w:r>
              <w:rPr>
                <w:rFonts w:hint="default"/>
              </w:rPr>
              <w:t xml:space="preserve">452 </w:t>
            </w:r>
          </w:p>
        </w:tc>
        <w:tc>
          <w:tcPr>
            <w:tcW w:w="575" w:type="pct"/>
            <w:shd w:val="clear" w:color="auto" w:fill="auto"/>
            <w:noWrap/>
            <w:vAlign w:val="center"/>
          </w:tcPr>
          <w:p w14:paraId="120B10E1">
            <w:pPr>
              <w:pStyle w:val="45"/>
              <w:rPr>
                <w:rFonts w:hint="default"/>
              </w:rPr>
            </w:pPr>
            <w:r>
              <w:rPr>
                <w:rFonts w:hint="default"/>
              </w:rPr>
              <w:t xml:space="preserve">37.0 </w:t>
            </w:r>
          </w:p>
        </w:tc>
      </w:tr>
      <w:tr w14:paraId="033F1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1342" w:type="pct"/>
            <w:vMerge w:val="restart"/>
            <w:shd w:val="clear" w:color="auto" w:fill="auto"/>
            <w:vAlign w:val="center"/>
          </w:tcPr>
          <w:p w14:paraId="34744F26">
            <w:pPr>
              <w:pStyle w:val="45"/>
              <w:rPr>
                <w:rFonts w:hint="default"/>
              </w:rPr>
            </w:pPr>
            <w:r>
              <w:t>拟建电解车间（厂内柱状样点2）TZ2</w:t>
            </w:r>
          </w:p>
        </w:tc>
        <w:tc>
          <w:tcPr>
            <w:tcW w:w="755" w:type="pct"/>
            <w:shd w:val="clear" w:color="auto" w:fill="auto"/>
            <w:vAlign w:val="center"/>
          </w:tcPr>
          <w:p w14:paraId="62C11C93">
            <w:pPr>
              <w:pStyle w:val="45"/>
              <w:rPr>
                <w:rFonts w:hint="default"/>
              </w:rPr>
            </w:pPr>
            <w:r>
              <w:rPr>
                <w:rFonts w:hint="default"/>
              </w:rPr>
              <w:t>2023.8.27</w:t>
            </w:r>
          </w:p>
        </w:tc>
        <w:tc>
          <w:tcPr>
            <w:tcW w:w="770" w:type="pct"/>
            <w:shd w:val="clear" w:color="auto" w:fill="auto"/>
            <w:vAlign w:val="center"/>
          </w:tcPr>
          <w:p w14:paraId="124E6C03">
            <w:pPr>
              <w:pStyle w:val="45"/>
              <w:rPr>
                <w:rFonts w:hint="default"/>
              </w:rPr>
            </w:pPr>
            <w:r>
              <w:rPr>
                <w:rFonts w:hint="default"/>
              </w:rPr>
              <w:t>0-50</w:t>
            </w:r>
          </w:p>
        </w:tc>
        <w:tc>
          <w:tcPr>
            <w:tcW w:w="480" w:type="pct"/>
            <w:shd w:val="clear" w:color="auto" w:fill="auto"/>
            <w:noWrap/>
            <w:vAlign w:val="center"/>
          </w:tcPr>
          <w:p w14:paraId="170F4329">
            <w:pPr>
              <w:pStyle w:val="45"/>
              <w:rPr>
                <w:rFonts w:hint="default"/>
              </w:rPr>
            </w:pPr>
            <w:r>
              <w:rPr>
                <w:rFonts w:hint="default"/>
              </w:rPr>
              <w:t>ND</w:t>
            </w:r>
          </w:p>
        </w:tc>
        <w:tc>
          <w:tcPr>
            <w:tcW w:w="543" w:type="pct"/>
            <w:shd w:val="clear" w:color="auto" w:fill="auto"/>
            <w:vAlign w:val="center"/>
          </w:tcPr>
          <w:p w14:paraId="3AFA138B">
            <w:pPr>
              <w:pStyle w:val="45"/>
              <w:rPr>
                <w:rFonts w:hint="default"/>
              </w:rPr>
            </w:pPr>
            <w:r>
              <w:rPr>
                <w:rFonts w:hint="default"/>
              </w:rPr>
              <w:t xml:space="preserve">0.04 </w:t>
            </w:r>
          </w:p>
        </w:tc>
        <w:tc>
          <w:tcPr>
            <w:tcW w:w="532" w:type="pct"/>
            <w:shd w:val="clear" w:color="auto" w:fill="auto"/>
            <w:vAlign w:val="center"/>
          </w:tcPr>
          <w:p w14:paraId="5697448D">
            <w:pPr>
              <w:pStyle w:val="45"/>
              <w:rPr>
                <w:rFonts w:hint="default"/>
              </w:rPr>
            </w:pPr>
            <w:r>
              <w:rPr>
                <w:rFonts w:hint="default"/>
              </w:rPr>
              <w:t xml:space="preserve">456 </w:t>
            </w:r>
          </w:p>
        </w:tc>
        <w:tc>
          <w:tcPr>
            <w:tcW w:w="575" w:type="pct"/>
            <w:shd w:val="clear" w:color="auto" w:fill="auto"/>
            <w:vAlign w:val="center"/>
          </w:tcPr>
          <w:p w14:paraId="5FBFFA37">
            <w:pPr>
              <w:pStyle w:val="45"/>
              <w:rPr>
                <w:rFonts w:hint="default"/>
              </w:rPr>
            </w:pPr>
            <w:r>
              <w:rPr>
                <w:rFonts w:hint="default"/>
              </w:rPr>
              <w:t xml:space="preserve">25.6 </w:t>
            </w:r>
          </w:p>
        </w:tc>
      </w:tr>
      <w:tr w14:paraId="38C71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1342" w:type="pct"/>
            <w:vMerge w:val="continue"/>
            <w:shd w:val="clear" w:color="auto" w:fill="auto"/>
            <w:vAlign w:val="center"/>
          </w:tcPr>
          <w:p w14:paraId="1BA37158">
            <w:pPr>
              <w:pStyle w:val="45"/>
              <w:rPr>
                <w:rFonts w:hint="default"/>
              </w:rPr>
            </w:pPr>
          </w:p>
        </w:tc>
        <w:tc>
          <w:tcPr>
            <w:tcW w:w="755" w:type="pct"/>
            <w:shd w:val="clear" w:color="auto" w:fill="auto"/>
            <w:vAlign w:val="center"/>
          </w:tcPr>
          <w:p w14:paraId="0A8B437A">
            <w:pPr>
              <w:pStyle w:val="45"/>
              <w:rPr>
                <w:rFonts w:hint="default"/>
              </w:rPr>
            </w:pPr>
            <w:r>
              <w:rPr>
                <w:rFonts w:hint="default"/>
              </w:rPr>
              <w:t>2023.8.27</w:t>
            </w:r>
          </w:p>
        </w:tc>
        <w:tc>
          <w:tcPr>
            <w:tcW w:w="770" w:type="pct"/>
            <w:shd w:val="clear" w:color="auto" w:fill="auto"/>
            <w:vAlign w:val="center"/>
          </w:tcPr>
          <w:p w14:paraId="57BF397D">
            <w:pPr>
              <w:pStyle w:val="45"/>
              <w:rPr>
                <w:rFonts w:hint="default"/>
              </w:rPr>
            </w:pPr>
            <w:r>
              <w:rPr>
                <w:rFonts w:hint="default"/>
              </w:rPr>
              <w:t>50-150</w:t>
            </w:r>
          </w:p>
        </w:tc>
        <w:tc>
          <w:tcPr>
            <w:tcW w:w="480" w:type="pct"/>
            <w:shd w:val="clear" w:color="auto" w:fill="auto"/>
            <w:noWrap/>
            <w:vAlign w:val="center"/>
          </w:tcPr>
          <w:p w14:paraId="085BED2A">
            <w:pPr>
              <w:pStyle w:val="45"/>
              <w:rPr>
                <w:rFonts w:hint="default"/>
              </w:rPr>
            </w:pPr>
            <w:r>
              <w:rPr>
                <w:rFonts w:hint="default"/>
              </w:rPr>
              <w:t>ND</w:t>
            </w:r>
          </w:p>
        </w:tc>
        <w:tc>
          <w:tcPr>
            <w:tcW w:w="543" w:type="pct"/>
            <w:shd w:val="clear" w:color="auto" w:fill="auto"/>
            <w:noWrap/>
            <w:vAlign w:val="center"/>
          </w:tcPr>
          <w:p w14:paraId="125241AE">
            <w:pPr>
              <w:pStyle w:val="45"/>
              <w:rPr>
                <w:rFonts w:hint="default"/>
              </w:rPr>
            </w:pPr>
            <w:r>
              <w:rPr>
                <w:rFonts w:hint="default"/>
              </w:rPr>
              <w:t xml:space="preserve">0.04 </w:t>
            </w:r>
          </w:p>
        </w:tc>
        <w:tc>
          <w:tcPr>
            <w:tcW w:w="532" w:type="pct"/>
            <w:shd w:val="clear" w:color="auto" w:fill="auto"/>
            <w:noWrap/>
            <w:vAlign w:val="center"/>
          </w:tcPr>
          <w:p w14:paraId="0CCFD862">
            <w:pPr>
              <w:pStyle w:val="45"/>
              <w:rPr>
                <w:rFonts w:hint="default"/>
              </w:rPr>
            </w:pPr>
            <w:r>
              <w:rPr>
                <w:rFonts w:hint="default"/>
              </w:rPr>
              <w:t xml:space="preserve">410 </w:t>
            </w:r>
          </w:p>
        </w:tc>
        <w:tc>
          <w:tcPr>
            <w:tcW w:w="575" w:type="pct"/>
            <w:shd w:val="clear" w:color="auto" w:fill="auto"/>
            <w:noWrap/>
            <w:vAlign w:val="center"/>
          </w:tcPr>
          <w:p w14:paraId="6D5B7630">
            <w:pPr>
              <w:pStyle w:val="45"/>
              <w:rPr>
                <w:rFonts w:hint="default"/>
              </w:rPr>
            </w:pPr>
            <w:r>
              <w:rPr>
                <w:rFonts w:hint="default"/>
              </w:rPr>
              <w:t xml:space="preserve">25.2 </w:t>
            </w:r>
          </w:p>
        </w:tc>
      </w:tr>
      <w:tr w14:paraId="3DEBB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1342" w:type="pct"/>
            <w:vMerge w:val="continue"/>
            <w:shd w:val="clear" w:color="auto" w:fill="auto"/>
            <w:vAlign w:val="center"/>
          </w:tcPr>
          <w:p w14:paraId="16611476">
            <w:pPr>
              <w:pStyle w:val="45"/>
              <w:rPr>
                <w:rFonts w:hint="default"/>
              </w:rPr>
            </w:pPr>
          </w:p>
        </w:tc>
        <w:tc>
          <w:tcPr>
            <w:tcW w:w="755" w:type="pct"/>
            <w:shd w:val="clear" w:color="auto" w:fill="auto"/>
            <w:vAlign w:val="center"/>
          </w:tcPr>
          <w:p w14:paraId="37EC3C75">
            <w:pPr>
              <w:pStyle w:val="45"/>
              <w:rPr>
                <w:rFonts w:hint="default"/>
              </w:rPr>
            </w:pPr>
            <w:r>
              <w:rPr>
                <w:rFonts w:hint="default"/>
              </w:rPr>
              <w:t>2023.8.27</w:t>
            </w:r>
          </w:p>
        </w:tc>
        <w:tc>
          <w:tcPr>
            <w:tcW w:w="770" w:type="pct"/>
            <w:shd w:val="clear" w:color="auto" w:fill="auto"/>
            <w:vAlign w:val="center"/>
          </w:tcPr>
          <w:p w14:paraId="01C0BDA6">
            <w:pPr>
              <w:pStyle w:val="45"/>
              <w:rPr>
                <w:rFonts w:hint="default"/>
              </w:rPr>
            </w:pPr>
            <w:r>
              <w:rPr>
                <w:rFonts w:hint="default"/>
              </w:rPr>
              <w:t>150-300</w:t>
            </w:r>
          </w:p>
        </w:tc>
        <w:tc>
          <w:tcPr>
            <w:tcW w:w="480" w:type="pct"/>
            <w:shd w:val="clear" w:color="auto" w:fill="auto"/>
            <w:noWrap/>
            <w:vAlign w:val="center"/>
          </w:tcPr>
          <w:p w14:paraId="50D438A2">
            <w:pPr>
              <w:pStyle w:val="45"/>
              <w:rPr>
                <w:rFonts w:hint="default"/>
              </w:rPr>
            </w:pPr>
            <w:r>
              <w:rPr>
                <w:rFonts w:hint="default"/>
              </w:rPr>
              <w:t>ND</w:t>
            </w:r>
          </w:p>
        </w:tc>
        <w:tc>
          <w:tcPr>
            <w:tcW w:w="543" w:type="pct"/>
            <w:shd w:val="clear" w:color="auto" w:fill="auto"/>
            <w:noWrap/>
            <w:vAlign w:val="center"/>
          </w:tcPr>
          <w:p w14:paraId="5B8D58BE">
            <w:pPr>
              <w:pStyle w:val="45"/>
              <w:rPr>
                <w:rFonts w:hint="default"/>
              </w:rPr>
            </w:pPr>
            <w:r>
              <w:rPr>
                <w:rFonts w:hint="default"/>
              </w:rPr>
              <w:t xml:space="preserve">0.07 </w:t>
            </w:r>
          </w:p>
        </w:tc>
        <w:tc>
          <w:tcPr>
            <w:tcW w:w="532" w:type="pct"/>
            <w:shd w:val="clear" w:color="auto" w:fill="auto"/>
            <w:noWrap/>
            <w:vAlign w:val="center"/>
          </w:tcPr>
          <w:p w14:paraId="4748F933">
            <w:pPr>
              <w:pStyle w:val="45"/>
              <w:rPr>
                <w:rFonts w:hint="default"/>
              </w:rPr>
            </w:pPr>
            <w:r>
              <w:rPr>
                <w:rFonts w:hint="default"/>
              </w:rPr>
              <w:t xml:space="preserve">318 </w:t>
            </w:r>
          </w:p>
        </w:tc>
        <w:tc>
          <w:tcPr>
            <w:tcW w:w="575" w:type="pct"/>
            <w:shd w:val="clear" w:color="auto" w:fill="auto"/>
            <w:noWrap/>
            <w:vAlign w:val="center"/>
          </w:tcPr>
          <w:p w14:paraId="5639543C">
            <w:pPr>
              <w:pStyle w:val="45"/>
              <w:rPr>
                <w:rFonts w:hint="default"/>
              </w:rPr>
            </w:pPr>
            <w:r>
              <w:rPr>
                <w:rFonts w:hint="default"/>
              </w:rPr>
              <w:t xml:space="preserve">23.6 </w:t>
            </w:r>
          </w:p>
        </w:tc>
      </w:tr>
      <w:tr w14:paraId="520CB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1342" w:type="pct"/>
            <w:vMerge w:val="restart"/>
            <w:shd w:val="clear" w:color="auto" w:fill="auto"/>
            <w:vAlign w:val="center"/>
          </w:tcPr>
          <w:p w14:paraId="02EF19C8">
            <w:pPr>
              <w:pStyle w:val="45"/>
              <w:rPr>
                <w:rFonts w:hint="default"/>
              </w:rPr>
            </w:pPr>
            <w:r>
              <w:t>拟建事故池（厂内柱状样点3）TZ3</w:t>
            </w:r>
          </w:p>
        </w:tc>
        <w:tc>
          <w:tcPr>
            <w:tcW w:w="755" w:type="pct"/>
            <w:shd w:val="clear" w:color="auto" w:fill="auto"/>
            <w:vAlign w:val="center"/>
          </w:tcPr>
          <w:p w14:paraId="1026C83C">
            <w:pPr>
              <w:pStyle w:val="45"/>
              <w:rPr>
                <w:rFonts w:hint="default"/>
              </w:rPr>
            </w:pPr>
            <w:r>
              <w:rPr>
                <w:rFonts w:hint="default"/>
              </w:rPr>
              <w:t>2023.8.27</w:t>
            </w:r>
          </w:p>
        </w:tc>
        <w:tc>
          <w:tcPr>
            <w:tcW w:w="770" w:type="pct"/>
            <w:shd w:val="clear" w:color="auto" w:fill="auto"/>
            <w:vAlign w:val="center"/>
          </w:tcPr>
          <w:p w14:paraId="45AF2E7E">
            <w:pPr>
              <w:pStyle w:val="45"/>
              <w:rPr>
                <w:rFonts w:hint="default"/>
              </w:rPr>
            </w:pPr>
            <w:r>
              <w:rPr>
                <w:rFonts w:hint="default"/>
              </w:rPr>
              <w:t>0-50</w:t>
            </w:r>
          </w:p>
        </w:tc>
        <w:tc>
          <w:tcPr>
            <w:tcW w:w="480" w:type="pct"/>
            <w:shd w:val="clear" w:color="auto" w:fill="auto"/>
            <w:noWrap/>
            <w:vAlign w:val="center"/>
          </w:tcPr>
          <w:p w14:paraId="4F0661B1">
            <w:pPr>
              <w:pStyle w:val="45"/>
              <w:rPr>
                <w:rFonts w:hint="default"/>
              </w:rPr>
            </w:pPr>
            <w:r>
              <w:rPr>
                <w:rFonts w:hint="default"/>
              </w:rPr>
              <w:t>ND</w:t>
            </w:r>
          </w:p>
        </w:tc>
        <w:tc>
          <w:tcPr>
            <w:tcW w:w="543" w:type="pct"/>
            <w:shd w:val="clear" w:color="auto" w:fill="auto"/>
            <w:vAlign w:val="center"/>
          </w:tcPr>
          <w:p w14:paraId="68864E26">
            <w:pPr>
              <w:pStyle w:val="45"/>
              <w:rPr>
                <w:rFonts w:hint="default"/>
              </w:rPr>
            </w:pPr>
            <w:r>
              <w:rPr>
                <w:rFonts w:hint="default"/>
              </w:rPr>
              <w:t xml:space="preserve">0.09 </w:t>
            </w:r>
          </w:p>
        </w:tc>
        <w:tc>
          <w:tcPr>
            <w:tcW w:w="532" w:type="pct"/>
            <w:shd w:val="clear" w:color="auto" w:fill="auto"/>
            <w:vAlign w:val="center"/>
          </w:tcPr>
          <w:p w14:paraId="0F813B7F">
            <w:pPr>
              <w:pStyle w:val="45"/>
              <w:rPr>
                <w:rFonts w:hint="default"/>
              </w:rPr>
            </w:pPr>
            <w:r>
              <w:rPr>
                <w:rFonts w:hint="default"/>
              </w:rPr>
              <w:t xml:space="preserve">588 </w:t>
            </w:r>
          </w:p>
        </w:tc>
        <w:tc>
          <w:tcPr>
            <w:tcW w:w="575" w:type="pct"/>
            <w:shd w:val="clear" w:color="auto" w:fill="auto"/>
            <w:vAlign w:val="center"/>
          </w:tcPr>
          <w:p w14:paraId="4F7FEDB0">
            <w:pPr>
              <w:pStyle w:val="45"/>
              <w:rPr>
                <w:rFonts w:hint="default"/>
              </w:rPr>
            </w:pPr>
            <w:r>
              <w:rPr>
                <w:rFonts w:hint="default"/>
              </w:rPr>
              <w:t xml:space="preserve">40.5 </w:t>
            </w:r>
          </w:p>
        </w:tc>
      </w:tr>
      <w:tr w14:paraId="01338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1342" w:type="pct"/>
            <w:vMerge w:val="continue"/>
            <w:shd w:val="clear" w:color="auto" w:fill="auto"/>
            <w:vAlign w:val="center"/>
          </w:tcPr>
          <w:p w14:paraId="163E7B66">
            <w:pPr>
              <w:pStyle w:val="45"/>
              <w:rPr>
                <w:rFonts w:hint="default"/>
              </w:rPr>
            </w:pPr>
          </w:p>
        </w:tc>
        <w:tc>
          <w:tcPr>
            <w:tcW w:w="755" w:type="pct"/>
            <w:shd w:val="clear" w:color="auto" w:fill="auto"/>
            <w:vAlign w:val="center"/>
          </w:tcPr>
          <w:p w14:paraId="1FC2A33A">
            <w:pPr>
              <w:pStyle w:val="45"/>
              <w:rPr>
                <w:rFonts w:hint="default"/>
              </w:rPr>
            </w:pPr>
            <w:r>
              <w:rPr>
                <w:rFonts w:hint="default"/>
              </w:rPr>
              <w:t>2023.8.27</w:t>
            </w:r>
          </w:p>
        </w:tc>
        <w:tc>
          <w:tcPr>
            <w:tcW w:w="770" w:type="pct"/>
            <w:shd w:val="clear" w:color="auto" w:fill="auto"/>
            <w:vAlign w:val="center"/>
          </w:tcPr>
          <w:p w14:paraId="2048D788">
            <w:pPr>
              <w:pStyle w:val="45"/>
              <w:rPr>
                <w:rFonts w:hint="default"/>
              </w:rPr>
            </w:pPr>
            <w:r>
              <w:rPr>
                <w:rFonts w:hint="default"/>
              </w:rPr>
              <w:t>50-150</w:t>
            </w:r>
          </w:p>
        </w:tc>
        <w:tc>
          <w:tcPr>
            <w:tcW w:w="480" w:type="pct"/>
            <w:shd w:val="clear" w:color="auto" w:fill="auto"/>
            <w:noWrap/>
            <w:vAlign w:val="center"/>
          </w:tcPr>
          <w:p w14:paraId="43526B5A">
            <w:pPr>
              <w:pStyle w:val="45"/>
              <w:rPr>
                <w:rFonts w:hint="default"/>
              </w:rPr>
            </w:pPr>
            <w:r>
              <w:rPr>
                <w:rFonts w:hint="default"/>
              </w:rPr>
              <w:t>ND</w:t>
            </w:r>
          </w:p>
        </w:tc>
        <w:tc>
          <w:tcPr>
            <w:tcW w:w="543" w:type="pct"/>
            <w:shd w:val="clear" w:color="auto" w:fill="auto"/>
            <w:noWrap/>
            <w:vAlign w:val="center"/>
          </w:tcPr>
          <w:p w14:paraId="6922932E">
            <w:pPr>
              <w:pStyle w:val="45"/>
              <w:rPr>
                <w:rFonts w:hint="default"/>
              </w:rPr>
            </w:pPr>
            <w:r>
              <w:rPr>
                <w:rFonts w:hint="default"/>
              </w:rPr>
              <w:t xml:space="preserve">0.10 </w:t>
            </w:r>
          </w:p>
        </w:tc>
        <w:tc>
          <w:tcPr>
            <w:tcW w:w="532" w:type="pct"/>
            <w:shd w:val="clear" w:color="auto" w:fill="auto"/>
            <w:noWrap/>
            <w:vAlign w:val="center"/>
          </w:tcPr>
          <w:p w14:paraId="6267ACE6">
            <w:pPr>
              <w:pStyle w:val="45"/>
              <w:rPr>
                <w:rFonts w:hint="default"/>
              </w:rPr>
            </w:pPr>
            <w:r>
              <w:rPr>
                <w:rFonts w:hint="default"/>
              </w:rPr>
              <w:t xml:space="preserve">398 </w:t>
            </w:r>
          </w:p>
        </w:tc>
        <w:tc>
          <w:tcPr>
            <w:tcW w:w="575" w:type="pct"/>
            <w:shd w:val="clear" w:color="auto" w:fill="auto"/>
            <w:noWrap/>
            <w:vAlign w:val="center"/>
          </w:tcPr>
          <w:p w14:paraId="736852F4">
            <w:pPr>
              <w:pStyle w:val="45"/>
              <w:rPr>
                <w:rFonts w:hint="default"/>
              </w:rPr>
            </w:pPr>
            <w:r>
              <w:rPr>
                <w:rFonts w:hint="default"/>
              </w:rPr>
              <w:t xml:space="preserve">39.4 </w:t>
            </w:r>
          </w:p>
        </w:tc>
      </w:tr>
      <w:tr w14:paraId="0AEEF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1342" w:type="pct"/>
            <w:vMerge w:val="continue"/>
            <w:shd w:val="clear" w:color="auto" w:fill="auto"/>
            <w:vAlign w:val="center"/>
          </w:tcPr>
          <w:p w14:paraId="02739038">
            <w:pPr>
              <w:pStyle w:val="45"/>
              <w:rPr>
                <w:rFonts w:hint="default"/>
              </w:rPr>
            </w:pPr>
          </w:p>
        </w:tc>
        <w:tc>
          <w:tcPr>
            <w:tcW w:w="755" w:type="pct"/>
            <w:shd w:val="clear" w:color="auto" w:fill="auto"/>
            <w:vAlign w:val="center"/>
          </w:tcPr>
          <w:p w14:paraId="2EF878D2">
            <w:pPr>
              <w:pStyle w:val="45"/>
              <w:rPr>
                <w:rFonts w:hint="default"/>
              </w:rPr>
            </w:pPr>
            <w:r>
              <w:rPr>
                <w:rFonts w:hint="default"/>
              </w:rPr>
              <w:t>2023.8.27</w:t>
            </w:r>
          </w:p>
        </w:tc>
        <w:tc>
          <w:tcPr>
            <w:tcW w:w="770" w:type="pct"/>
            <w:shd w:val="clear" w:color="auto" w:fill="auto"/>
            <w:vAlign w:val="center"/>
          </w:tcPr>
          <w:p w14:paraId="5A0AB83B">
            <w:pPr>
              <w:pStyle w:val="45"/>
              <w:rPr>
                <w:rFonts w:hint="default"/>
              </w:rPr>
            </w:pPr>
            <w:r>
              <w:rPr>
                <w:rFonts w:hint="default"/>
              </w:rPr>
              <w:t>150-300</w:t>
            </w:r>
          </w:p>
        </w:tc>
        <w:tc>
          <w:tcPr>
            <w:tcW w:w="480" w:type="pct"/>
            <w:shd w:val="clear" w:color="auto" w:fill="auto"/>
            <w:noWrap/>
            <w:vAlign w:val="center"/>
          </w:tcPr>
          <w:p w14:paraId="316185B6">
            <w:pPr>
              <w:pStyle w:val="45"/>
              <w:rPr>
                <w:rFonts w:hint="default"/>
              </w:rPr>
            </w:pPr>
            <w:r>
              <w:rPr>
                <w:rFonts w:hint="default"/>
              </w:rPr>
              <w:t>ND</w:t>
            </w:r>
          </w:p>
        </w:tc>
        <w:tc>
          <w:tcPr>
            <w:tcW w:w="543" w:type="pct"/>
            <w:shd w:val="clear" w:color="auto" w:fill="auto"/>
            <w:noWrap/>
            <w:vAlign w:val="center"/>
          </w:tcPr>
          <w:p w14:paraId="42CB9EA6">
            <w:pPr>
              <w:pStyle w:val="45"/>
              <w:rPr>
                <w:rFonts w:hint="default"/>
              </w:rPr>
            </w:pPr>
            <w:r>
              <w:rPr>
                <w:rFonts w:hint="default"/>
              </w:rPr>
              <w:t xml:space="preserve">0.09 </w:t>
            </w:r>
          </w:p>
        </w:tc>
        <w:tc>
          <w:tcPr>
            <w:tcW w:w="532" w:type="pct"/>
            <w:shd w:val="clear" w:color="auto" w:fill="auto"/>
            <w:noWrap/>
            <w:vAlign w:val="center"/>
          </w:tcPr>
          <w:p w14:paraId="4DDD0B0A">
            <w:pPr>
              <w:pStyle w:val="45"/>
              <w:rPr>
                <w:rFonts w:hint="default"/>
              </w:rPr>
            </w:pPr>
            <w:r>
              <w:rPr>
                <w:rFonts w:hint="default"/>
              </w:rPr>
              <w:t xml:space="preserve">680 </w:t>
            </w:r>
          </w:p>
        </w:tc>
        <w:tc>
          <w:tcPr>
            <w:tcW w:w="575" w:type="pct"/>
            <w:shd w:val="clear" w:color="auto" w:fill="auto"/>
            <w:noWrap/>
            <w:vAlign w:val="center"/>
          </w:tcPr>
          <w:p w14:paraId="35DAA094">
            <w:pPr>
              <w:pStyle w:val="45"/>
              <w:rPr>
                <w:rFonts w:hint="default"/>
              </w:rPr>
            </w:pPr>
            <w:r>
              <w:rPr>
                <w:rFonts w:hint="default"/>
              </w:rPr>
              <w:t xml:space="preserve">37.6 </w:t>
            </w:r>
          </w:p>
        </w:tc>
      </w:tr>
      <w:tr w14:paraId="37111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1342" w:type="pct"/>
            <w:shd w:val="clear" w:color="auto" w:fill="auto"/>
            <w:vAlign w:val="center"/>
          </w:tcPr>
          <w:p w14:paraId="1C78175E">
            <w:pPr>
              <w:pStyle w:val="45"/>
              <w:rPr>
                <w:rFonts w:hint="default"/>
              </w:rPr>
            </w:pPr>
            <w:r>
              <w:t>项目东面工业用地（场外表层样点1）TW1</w:t>
            </w:r>
          </w:p>
        </w:tc>
        <w:tc>
          <w:tcPr>
            <w:tcW w:w="755" w:type="pct"/>
            <w:shd w:val="clear" w:color="auto" w:fill="auto"/>
            <w:vAlign w:val="center"/>
          </w:tcPr>
          <w:p w14:paraId="2639C8AB">
            <w:pPr>
              <w:pStyle w:val="45"/>
              <w:rPr>
                <w:rFonts w:hint="default"/>
              </w:rPr>
            </w:pPr>
            <w:r>
              <w:rPr>
                <w:rFonts w:hint="default"/>
              </w:rPr>
              <w:t>2023.8.27</w:t>
            </w:r>
          </w:p>
        </w:tc>
        <w:tc>
          <w:tcPr>
            <w:tcW w:w="770" w:type="pct"/>
            <w:shd w:val="clear" w:color="auto" w:fill="auto"/>
            <w:vAlign w:val="center"/>
          </w:tcPr>
          <w:p w14:paraId="2176F610">
            <w:pPr>
              <w:pStyle w:val="45"/>
              <w:rPr>
                <w:rFonts w:hint="default"/>
              </w:rPr>
            </w:pPr>
            <w:r>
              <w:rPr>
                <w:rFonts w:hint="default"/>
              </w:rPr>
              <w:t>0-20</w:t>
            </w:r>
          </w:p>
        </w:tc>
        <w:tc>
          <w:tcPr>
            <w:tcW w:w="480" w:type="pct"/>
            <w:shd w:val="clear" w:color="auto" w:fill="auto"/>
            <w:noWrap/>
            <w:vAlign w:val="center"/>
          </w:tcPr>
          <w:p w14:paraId="0AD3CC74">
            <w:pPr>
              <w:pStyle w:val="45"/>
              <w:rPr>
                <w:rFonts w:hint="default"/>
              </w:rPr>
            </w:pPr>
            <w:r>
              <w:rPr>
                <w:rFonts w:hint="default"/>
              </w:rPr>
              <w:t>ND</w:t>
            </w:r>
          </w:p>
        </w:tc>
        <w:tc>
          <w:tcPr>
            <w:tcW w:w="543" w:type="pct"/>
            <w:shd w:val="clear" w:color="auto" w:fill="auto"/>
            <w:noWrap/>
            <w:vAlign w:val="center"/>
          </w:tcPr>
          <w:p w14:paraId="1B229516">
            <w:pPr>
              <w:pStyle w:val="45"/>
              <w:rPr>
                <w:rFonts w:hint="default"/>
              </w:rPr>
            </w:pPr>
            <w:r>
              <w:rPr>
                <w:rFonts w:hint="default"/>
              </w:rPr>
              <w:t xml:space="preserve">0.04 </w:t>
            </w:r>
          </w:p>
        </w:tc>
        <w:tc>
          <w:tcPr>
            <w:tcW w:w="532" w:type="pct"/>
            <w:shd w:val="clear" w:color="auto" w:fill="auto"/>
            <w:noWrap/>
            <w:vAlign w:val="center"/>
          </w:tcPr>
          <w:p w14:paraId="5E17E8F4">
            <w:pPr>
              <w:pStyle w:val="45"/>
              <w:rPr>
                <w:rFonts w:hint="default"/>
              </w:rPr>
            </w:pPr>
            <w:r>
              <w:rPr>
                <w:rFonts w:hint="default"/>
              </w:rPr>
              <w:t xml:space="preserve">532 </w:t>
            </w:r>
          </w:p>
        </w:tc>
        <w:tc>
          <w:tcPr>
            <w:tcW w:w="575" w:type="pct"/>
            <w:shd w:val="clear" w:color="auto" w:fill="auto"/>
            <w:noWrap/>
            <w:vAlign w:val="center"/>
          </w:tcPr>
          <w:p w14:paraId="556E96B2">
            <w:pPr>
              <w:pStyle w:val="45"/>
              <w:rPr>
                <w:rFonts w:hint="default"/>
              </w:rPr>
            </w:pPr>
            <w:r>
              <w:rPr>
                <w:rFonts w:hint="default"/>
              </w:rPr>
              <w:t xml:space="preserve">149 </w:t>
            </w:r>
          </w:p>
        </w:tc>
      </w:tr>
      <w:tr w14:paraId="51F4D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1342" w:type="pct"/>
            <w:vMerge w:val="restart"/>
            <w:shd w:val="clear" w:color="auto" w:fill="auto"/>
            <w:vAlign w:val="center"/>
          </w:tcPr>
          <w:p w14:paraId="78628961">
            <w:pPr>
              <w:pStyle w:val="45"/>
              <w:rPr>
                <w:rFonts w:hint="default"/>
              </w:rPr>
            </w:pPr>
            <w:r>
              <w:t>项目西面工业用地（场外表层样点2）TW2</w:t>
            </w:r>
          </w:p>
        </w:tc>
        <w:tc>
          <w:tcPr>
            <w:tcW w:w="755" w:type="pct"/>
            <w:shd w:val="clear" w:color="auto" w:fill="auto"/>
            <w:vAlign w:val="center"/>
          </w:tcPr>
          <w:p w14:paraId="41FB9319">
            <w:pPr>
              <w:pStyle w:val="45"/>
              <w:rPr>
                <w:rFonts w:hint="default"/>
              </w:rPr>
            </w:pPr>
            <w:r>
              <w:rPr>
                <w:rFonts w:hint="default"/>
              </w:rPr>
              <w:t>2023.8.27</w:t>
            </w:r>
          </w:p>
        </w:tc>
        <w:tc>
          <w:tcPr>
            <w:tcW w:w="770" w:type="pct"/>
            <w:shd w:val="clear" w:color="auto" w:fill="auto"/>
            <w:vAlign w:val="center"/>
          </w:tcPr>
          <w:p w14:paraId="2E9E01D4">
            <w:pPr>
              <w:pStyle w:val="45"/>
              <w:rPr>
                <w:rFonts w:hint="default"/>
              </w:rPr>
            </w:pPr>
            <w:r>
              <w:rPr>
                <w:rFonts w:hint="default"/>
              </w:rPr>
              <w:t>0-20</w:t>
            </w:r>
          </w:p>
        </w:tc>
        <w:tc>
          <w:tcPr>
            <w:tcW w:w="480" w:type="pct"/>
            <w:shd w:val="clear" w:color="auto" w:fill="auto"/>
            <w:noWrap/>
            <w:vAlign w:val="center"/>
          </w:tcPr>
          <w:p w14:paraId="2462B6BD">
            <w:pPr>
              <w:pStyle w:val="45"/>
              <w:rPr>
                <w:rFonts w:hint="default"/>
              </w:rPr>
            </w:pPr>
            <w:r>
              <w:rPr>
                <w:rFonts w:hint="default"/>
              </w:rPr>
              <w:t>ND</w:t>
            </w:r>
          </w:p>
        </w:tc>
        <w:tc>
          <w:tcPr>
            <w:tcW w:w="543" w:type="pct"/>
            <w:shd w:val="clear" w:color="auto" w:fill="auto"/>
            <w:vAlign w:val="center"/>
          </w:tcPr>
          <w:p w14:paraId="07D5F17A">
            <w:pPr>
              <w:pStyle w:val="45"/>
              <w:rPr>
                <w:rFonts w:hint="default"/>
              </w:rPr>
            </w:pPr>
            <w:r>
              <w:rPr>
                <w:rFonts w:hint="default"/>
              </w:rPr>
              <w:t xml:space="preserve">0.49 </w:t>
            </w:r>
          </w:p>
        </w:tc>
        <w:tc>
          <w:tcPr>
            <w:tcW w:w="532" w:type="pct"/>
            <w:shd w:val="clear" w:color="auto" w:fill="auto"/>
            <w:vAlign w:val="center"/>
          </w:tcPr>
          <w:p w14:paraId="4A51F722">
            <w:pPr>
              <w:pStyle w:val="45"/>
              <w:rPr>
                <w:rFonts w:hint="default"/>
              </w:rPr>
            </w:pPr>
            <w:r>
              <w:rPr>
                <w:rFonts w:hint="default"/>
              </w:rPr>
              <w:t xml:space="preserve">398 </w:t>
            </w:r>
          </w:p>
        </w:tc>
        <w:tc>
          <w:tcPr>
            <w:tcW w:w="575" w:type="pct"/>
            <w:shd w:val="clear" w:color="auto" w:fill="auto"/>
            <w:vAlign w:val="center"/>
          </w:tcPr>
          <w:p w14:paraId="0A5A60B6">
            <w:pPr>
              <w:pStyle w:val="45"/>
              <w:rPr>
                <w:rFonts w:hint="default"/>
              </w:rPr>
            </w:pPr>
            <w:r>
              <w:rPr>
                <w:rFonts w:hint="default"/>
              </w:rPr>
              <w:t xml:space="preserve">44.4 </w:t>
            </w:r>
          </w:p>
        </w:tc>
      </w:tr>
      <w:tr w14:paraId="27875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1342" w:type="pct"/>
            <w:vMerge w:val="continue"/>
            <w:shd w:val="clear" w:color="auto" w:fill="auto"/>
            <w:vAlign w:val="center"/>
          </w:tcPr>
          <w:p w14:paraId="239C9D0B">
            <w:pPr>
              <w:pStyle w:val="45"/>
              <w:rPr>
                <w:rFonts w:hint="default"/>
              </w:rPr>
            </w:pPr>
          </w:p>
        </w:tc>
        <w:tc>
          <w:tcPr>
            <w:tcW w:w="755" w:type="pct"/>
            <w:shd w:val="clear" w:color="auto" w:fill="auto"/>
            <w:vAlign w:val="center"/>
          </w:tcPr>
          <w:p w14:paraId="3621CA0E">
            <w:pPr>
              <w:pStyle w:val="45"/>
              <w:rPr>
                <w:rFonts w:hint="default"/>
              </w:rPr>
            </w:pPr>
            <w:r>
              <w:rPr>
                <w:rFonts w:hint="default"/>
              </w:rPr>
              <w:t>2023.8.27</w:t>
            </w:r>
            <w:r>
              <w:t>平行</w:t>
            </w:r>
          </w:p>
        </w:tc>
        <w:tc>
          <w:tcPr>
            <w:tcW w:w="770" w:type="pct"/>
            <w:shd w:val="clear" w:color="auto" w:fill="auto"/>
            <w:vAlign w:val="center"/>
          </w:tcPr>
          <w:p w14:paraId="082B879A">
            <w:pPr>
              <w:pStyle w:val="45"/>
              <w:rPr>
                <w:rFonts w:hint="default"/>
              </w:rPr>
            </w:pPr>
            <w:r>
              <w:rPr>
                <w:rFonts w:hint="default"/>
              </w:rPr>
              <w:t>0-20</w:t>
            </w:r>
          </w:p>
        </w:tc>
        <w:tc>
          <w:tcPr>
            <w:tcW w:w="480" w:type="pct"/>
            <w:shd w:val="clear" w:color="auto" w:fill="auto"/>
            <w:noWrap/>
            <w:vAlign w:val="center"/>
          </w:tcPr>
          <w:p w14:paraId="6F025A0D">
            <w:pPr>
              <w:pStyle w:val="45"/>
              <w:rPr>
                <w:rFonts w:hint="default"/>
              </w:rPr>
            </w:pPr>
            <w:r>
              <w:rPr>
                <w:rFonts w:hint="default"/>
              </w:rPr>
              <w:t>ND</w:t>
            </w:r>
          </w:p>
        </w:tc>
        <w:tc>
          <w:tcPr>
            <w:tcW w:w="543" w:type="pct"/>
            <w:shd w:val="clear" w:color="auto" w:fill="auto"/>
            <w:vAlign w:val="center"/>
          </w:tcPr>
          <w:p w14:paraId="026B54B1">
            <w:pPr>
              <w:pStyle w:val="45"/>
              <w:rPr>
                <w:rFonts w:hint="default"/>
              </w:rPr>
            </w:pPr>
            <w:r>
              <w:rPr>
                <w:rFonts w:hint="default"/>
              </w:rPr>
              <w:t xml:space="preserve">0.51 </w:t>
            </w:r>
          </w:p>
        </w:tc>
        <w:tc>
          <w:tcPr>
            <w:tcW w:w="532" w:type="pct"/>
            <w:shd w:val="clear" w:color="auto" w:fill="auto"/>
            <w:vAlign w:val="center"/>
          </w:tcPr>
          <w:p w14:paraId="3CCABF21">
            <w:pPr>
              <w:pStyle w:val="45"/>
              <w:rPr>
                <w:rFonts w:hint="default"/>
              </w:rPr>
            </w:pPr>
            <w:r>
              <w:rPr>
                <w:rFonts w:hint="default"/>
              </w:rPr>
              <w:t xml:space="preserve">385 </w:t>
            </w:r>
          </w:p>
        </w:tc>
        <w:tc>
          <w:tcPr>
            <w:tcW w:w="575" w:type="pct"/>
            <w:shd w:val="clear" w:color="auto" w:fill="auto"/>
            <w:vAlign w:val="center"/>
          </w:tcPr>
          <w:p w14:paraId="767CF9BF">
            <w:pPr>
              <w:pStyle w:val="45"/>
              <w:rPr>
                <w:rFonts w:hint="default"/>
              </w:rPr>
            </w:pPr>
            <w:r>
              <w:rPr>
                <w:rFonts w:hint="default"/>
              </w:rPr>
              <w:t xml:space="preserve">43.7 </w:t>
            </w:r>
          </w:p>
        </w:tc>
      </w:tr>
      <w:tr w14:paraId="49488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1342" w:type="pct"/>
            <w:vMerge w:val="continue"/>
            <w:shd w:val="clear" w:color="auto" w:fill="auto"/>
            <w:vAlign w:val="center"/>
          </w:tcPr>
          <w:p w14:paraId="78C11D5F">
            <w:pPr>
              <w:pStyle w:val="45"/>
              <w:rPr>
                <w:rFonts w:hint="default"/>
              </w:rPr>
            </w:pPr>
          </w:p>
        </w:tc>
        <w:tc>
          <w:tcPr>
            <w:tcW w:w="755" w:type="pct"/>
            <w:shd w:val="clear" w:color="auto" w:fill="auto"/>
            <w:vAlign w:val="center"/>
          </w:tcPr>
          <w:p w14:paraId="28453F97">
            <w:pPr>
              <w:pStyle w:val="45"/>
              <w:rPr>
                <w:rFonts w:hint="default"/>
              </w:rPr>
            </w:pPr>
            <w:r>
              <w:rPr>
                <w:rFonts w:hint="default"/>
              </w:rPr>
              <w:t>2023.8.27</w:t>
            </w:r>
            <w:r>
              <w:t>均值</w:t>
            </w:r>
          </w:p>
        </w:tc>
        <w:tc>
          <w:tcPr>
            <w:tcW w:w="770" w:type="pct"/>
            <w:shd w:val="clear" w:color="auto" w:fill="auto"/>
            <w:noWrap/>
            <w:vAlign w:val="center"/>
          </w:tcPr>
          <w:p w14:paraId="4A39BCB1">
            <w:pPr>
              <w:pStyle w:val="45"/>
              <w:rPr>
                <w:rFonts w:hint="default"/>
              </w:rPr>
            </w:pPr>
            <w:r>
              <w:rPr>
                <w:rFonts w:hint="default"/>
              </w:rPr>
              <w:t>/</w:t>
            </w:r>
          </w:p>
        </w:tc>
        <w:tc>
          <w:tcPr>
            <w:tcW w:w="480" w:type="pct"/>
            <w:shd w:val="clear" w:color="auto" w:fill="auto"/>
            <w:noWrap/>
            <w:vAlign w:val="center"/>
          </w:tcPr>
          <w:p w14:paraId="34B97ACD">
            <w:pPr>
              <w:pStyle w:val="45"/>
              <w:rPr>
                <w:rFonts w:hint="default"/>
              </w:rPr>
            </w:pPr>
            <w:r>
              <w:rPr>
                <w:rFonts w:hint="default"/>
              </w:rPr>
              <w:t>ND</w:t>
            </w:r>
          </w:p>
        </w:tc>
        <w:tc>
          <w:tcPr>
            <w:tcW w:w="543" w:type="pct"/>
            <w:shd w:val="clear" w:color="auto" w:fill="auto"/>
            <w:noWrap/>
            <w:vAlign w:val="center"/>
          </w:tcPr>
          <w:p w14:paraId="5D4C291A">
            <w:pPr>
              <w:pStyle w:val="45"/>
              <w:rPr>
                <w:rFonts w:hint="default"/>
              </w:rPr>
            </w:pPr>
            <w:r>
              <w:rPr>
                <w:rFonts w:hint="default"/>
              </w:rPr>
              <w:t xml:space="preserve">0.50 </w:t>
            </w:r>
          </w:p>
        </w:tc>
        <w:tc>
          <w:tcPr>
            <w:tcW w:w="532" w:type="pct"/>
            <w:shd w:val="clear" w:color="auto" w:fill="auto"/>
            <w:noWrap/>
            <w:vAlign w:val="center"/>
          </w:tcPr>
          <w:p w14:paraId="34F39E5D">
            <w:pPr>
              <w:pStyle w:val="45"/>
              <w:rPr>
                <w:rFonts w:hint="default"/>
              </w:rPr>
            </w:pPr>
            <w:r>
              <w:rPr>
                <w:rFonts w:hint="default"/>
              </w:rPr>
              <w:t xml:space="preserve">392 </w:t>
            </w:r>
          </w:p>
        </w:tc>
        <w:tc>
          <w:tcPr>
            <w:tcW w:w="575" w:type="pct"/>
            <w:shd w:val="clear" w:color="auto" w:fill="auto"/>
            <w:noWrap/>
            <w:vAlign w:val="center"/>
          </w:tcPr>
          <w:p w14:paraId="21C97E4F">
            <w:pPr>
              <w:pStyle w:val="45"/>
              <w:rPr>
                <w:rFonts w:hint="default"/>
              </w:rPr>
            </w:pPr>
            <w:r>
              <w:rPr>
                <w:rFonts w:hint="default"/>
              </w:rPr>
              <w:t xml:space="preserve">44.1 </w:t>
            </w:r>
          </w:p>
        </w:tc>
      </w:tr>
    </w:tbl>
    <w:p w14:paraId="60691799">
      <w:pPr>
        <w:ind w:firstLine="0" w:firstLineChars="0"/>
      </w:pPr>
    </w:p>
    <w:p w14:paraId="12BD728B">
      <w:pPr>
        <w:pStyle w:val="43"/>
        <w:numPr>
          <w:ilvl w:val="5"/>
          <w:numId w:val="1"/>
        </w:numPr>
        <w:rPr>
          <w:rFonts w:hint="default"/>
        </w:rPr>
      </w:pPr>
      <w:r>
        <w:t>土壤重金属及其他检测结果（TC1）</w:t>
      </w:r>
    </w:p>
    <w:tbl>
      <w:tblPr>
        <w:tblStyle w:val="32"/>
        <w:tblW w:w="4998" w:type="pct"/>
        <w:tblInd w:w="0" w:type="dxa"/>
        <w:tblLayout w:type="autofit"/>
        <w:tblCellMar>
          <w:top w:w="0" w:type="dxa"/>
          <w:left w:w="108" w:type="dxa"/>
          <w:bottom w:w="0" w:type="dxa"/>
          <w:right w:w="108" w:type="dxa"/>
        </w:tblCellMar>
      </w:tblPr>
      <w:tblGrid>
        <w:gridCol w:w="2783"/>
        <w:gridCol w:w="1701"/>
        <w:gridCol w:w="2014"/>
        <w:gridCol w:w="2021"/>
      </w:tblGrid>
      <w:tr w14:paraId="7112CC18">
        <w:tblPrEx>
          <w:tblCellMar>
            <w:top w:w="0" w:type="dxa"/>
            <w:left w:w="108" w:type="dxa"/>
            <w:bottom w:w="0" w:type="dxa"/>
            <w:right w:w="108" w:type="dxa"/>
          </w:tblCellMar>
        </w:tblPrEx>
        <w:trPr>
          <w:trHeight w:val="90" w:hRule="atLeast"/>
          <w:tblHeader/>
        </w:trPr>
        <w:tc>
          <w:tcPr>
            <w:tcW w:w="16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84966B">
            <w:pPr>
              <w:pStyle w:val="45"/>
              <w:rPr>
                <w:rFonts w:hint="default"/>
                <w:b/>
                <w:bCs/>
              </w:rPr>
            </w:pPr>
            <w:r>
              <w:rPr>
                <w:b/>
                <w:bCs/>
              </w:rPr>
              <w:t>采样点位</w:t>
            </w:r>
          </w:p>
        </w:tc>
        <w:tc>
          <w:tcPr>
            <w:tcW w:w="336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EEB3C1D">
            <w:pPr>
              <w:pStyle w:val="45"/>
              <w:rPr>
                <w:rFonts w:hint="default"/>
                <w:b/>
                <w:bCs/>
              </w:rPr>
            </w:pPr>
            <w:r>
              <w:rPr>
                <w:b/>
                <w:bCs/>
              </w:rPr>
              <w:t>厂区中心（厂内表层样）TC1</w:t>
            </w:r>
          </w:p>
        </w:tc>
      </w:tr>
      <w:tr w14:paraId="3E6FC087">
        <w:tblPrEx>
          <w:tblCellMar>
            <w:top w:w="0" w:type="dxa"/>
            <w:left w:w="108" w:type="dxa"/>
            <w:bottom w:w="0" w:type="dxa"/>
            <w:right w:w="108" w:type="dxa"/>
          </w:tblCellMar>
        </w:tblPrEx>
        <w:trPr>
          <w:trHeight w:val="90" w:hRule="atLeast"/>
          <w:tblHeader/>
        </w:trPr>
        <w:tc>
          <w:tcPr>
            <w:tcW w:w="16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1F46E3">
            <w:pPr>
              <w:pStyle w:val="45"/>
              <w:rPr>
                <w:rFonts w:hint="default"/>
                <w:b/>
                <w:bCs/>
              </w:rPr>
            </w:pPr>
            <w:r>
              <w:rPr>
                <w:b/>
                <w:bCs/>
              </w:rPr>
              <w:t>采样时间</w:t>
            </w:r>
          </w:p>
        </w:tc>
        <w:tc>
          <w:tcPr>
            <w:tcW w:w="9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6042C7">
            <w:pPr>
              <w:pStyle w:val="45"/>
              <w:rPr>
                <w:rFonts w:hint="default"/>
                <w:b/>
                <w:bCs/>
              </w:rPr>
            </w:pPr>
            <w:r>
              <w:rPr>
                <w:rFonts w:hint="default"/>
                <w:b/>
                <w:bCs/>
              </w:rPr>
              <w:t>2023.8.30</w:t>
            </w:r>
          </w:p>
        </w:tc>
        <w:tc>
          <w:tcPr>
            <w:tcW w:w="1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0EDB98">
            <w:pPr>
              <w:pStyle w:val="45"/>
              <w:rPr>
                <w:rFonts w:hint="default"/>
                <w:b/>
                <w:bCs/>
              </w:rPr>
            </w:pPr>
            <w:r>
              <w:rPr>
                <w:rFonts w:hint="default"/>
                <w:b/>
                <w:bCs/>
              </w:rPr>
              <w:t>2023.8.30</w:t>
            </w:r>
            <w:r>
              <w:rPr>
                <w:b/>
                <w:bCs/>
              </w:rPr>
              <w:t>平行</w:t>
            </w:r>
          </w:p>
        </w:tc>
        <w:tc>
          <w:tcPr>
            <w:tcW w:w="11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1D53FD">
            <w:pPr>
              <w:pStyle w:val="45"/>
              <w:rPr>
                <w:rFonts w:hint="default"/>
                <w:b/>
                <w:bCs/>
              </w:rPr>
            </w:pPr>
            <w:r>
              <w:rPr>
                <w:rFonts w:hint="default"/>
                <w:b/>
                <w:bCs/>
              </w:rPr>
              <w:t>2023.8.30</w:t>
            </w:r>
            <w:r>
              <w:rPr>
                <w:b/>
                <w:bCs/>
              </w:rPr>
              <w:t>均值</w:t>
            </w:r>
          </w:p>
        </w:tc>
      </w:tr>
      <w:tr w14:paraId="580D1392">
        <w:tblPrEx>
          <w:tblCellMar>
            <w:top w:w="0" w:type="dxa"/>
            <w:left w:w="108" w:type="dxa"/>
            <w:bottom w:w="0" w:type="dxa"/>
            <w:right w:w="108" w:type="dxa"/>
          </w:tblCellMar>
        </w:tblPrEx>
        <w:trPr>
          <w:trHeight w:val="90" w:hRule="atLeast"/>
          <w:tblHeader/>
        </w:trPr>
        <w:tc>
          <w:tcPr>
            <w:tcW w:w="16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8E38EF">
            <w:pPr>
              <w:pStyle w:val="45"/>
              <w:rPr>
                <w:rFonts w:hint="default"/>
                <w:b/>
                <w:bCs/>
              </w:rPr>
            </w:pPr>
            <w:r>
              <w:rPr>
                <w:b/>
                <w:bCs/>
              </w:rPr>
              <w:t>采样深度（</w:t>
            </w:r>
            <w:r>
              <w:rPr>
                <w:rFonts w:hint="default"/>
                <w:b/>
                <w:bCs/>
              </w:rPr>
              <w:t>cm</w:t>
            </w:r>
            <w:r>
              <w:rPr>
                <w:b/>
                <w:bCs/>
              </w:rPr>
              <w:t>）</w:t>
            </w:r>
          </w:p>
        </w:tc>
        <w:tc>
          <w:tcPr>
            <w:tcW w:w="9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387940">
            <w:pPr>
              <w:pStyle w:val="45"/>
              <w:rPr>
                <w:rFonts w:hint="default"/>
                <w:b/>
                <w:bCs/>
              </w:rPr>
            </w:pPr>
            <w:r>
              <w:rPr>
                <w:rFonts w:hint="default"/>
                <w:b/>
                <w:bCs/>
              </w:rPr>
              <w:t>0-20</w:t>
            </w:r>
          </w:p>
        </w:tc>
        <w:tc>
          <w:tcPr>
            <w:tcW w:w="1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110688">
            <w:pPr>
              <w:pStyle w:val="45"/>
              <w:rPr>
                <w:rFonts w:hint="default"/>
                <w:b/>
                <w:bCs/>
              </w:rPr>
            </w:pPr>
            <w:r>
              <w:rPr>
                <w:rFonts w:hint="default"/>
                <w:b/>
                <w:bCs/>
              </w:rPr>
              <w:t>0-20</w:t>
            </w:r>
          </w:p>
        </w:tc>
        <w:tc>
          <w:tcPr>
            <w:tcW w:w="11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92809">
            <w:pPr>
              <w:pStyle w:val="45"/>
              <w:rPr>
                <w:rFonts w:hint="default"/>
                <w:b/>
                <w:bCs/>
              </w:rPr>
            </w:pPr>
            <w:r>
              <w:rPr>
                <w:rFonts w:hint="default"/>
                <w:b/>
                <w:bCs/>
              </w:rPr>
              <w:t>/</w:t>
            </w:r>
          </w:p>
        </w:tc>
      </w:tr>
      <w:tr w14:paraId="0E03787E">
        <w:tblPrEx>
          <w:tblCellMar>
            <w:top w:w="0" w:type="dxa"/>
            <w:left w:w="108" w:type="dxa"/>
            <w:bottom w:w="0" w:type="dxa"/>
            <w:right w:w="108" w:type="dxa"/>
          </w:tblCellMar>
        </w:tblPrEx>
        <w:trPr>
          <w:trHeight w:val="90" w:hRule="atLeast"/>
        </w:trPr>
        <w:tc>
          <w:tcPr>
            <w:tcW w:w="16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26A36D">
            <w:pPr>
              <w:pStyle w:val="45"/>
              <w:rPr>
                <w:rFonts w:hint="default"/>
              </w:rPr>
            </w:pPr>
            <w:r>
              <w:t>总砷</w:t>
            </w:r>
            <w:r>
              <w:rPr>
                <w:rFonts w:hint="default"/>
              </w:rPr>
              <w:t>mg/kg</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FF132">
            <w:pPr>
              <w:pStyle w:val="45"/>
              <w:rPr>
                <w:rFonts w:hint="default"/>
              </w:rPr>
            </w:pPr>
            <w:r>
              <w:rPr>
                <w:rFonts w:hint="default"/>
              </w:rPr>
              <w:t>24.9</w:t>
            </w:r>
          </w:p>
        </w:tc>
        <w:tc>
          <w:tcPr>
            <w:tcW w:w="11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C39F6">
            <w:pPr>
              <w:pStyle w:val="45"/>
              <w:rPr>
                <w:rFonts w:hint="default"/>
              </w:rPr>
            </w:pPr>
            <w:r>
              <w:rPr>
                <w:rFonts w:hint="default"/>
              </w:rPr>
              <w:t>25.0</w:t>
            </w:r>
          </w:p>
        </w:tc>
        <w:tc>
          <w:tcPr>
            <w:tcW w:w="11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43583">
            <w:pPr>
              <w:pStyle w:val="45"/>
              <w:rPr>
                <w:rFonts w:hint="default"/>
              </w:rPr>
            </w:pPr>
            <w:r>
              <w:rPr>
                <w:rFonts w:hint="default"/>
              </w:rPr>
              <w:t>24.9</w:t>
            </w:r>
          </w:p>
        </w:tc>
      </w:tr>
      <w:tr w14:paraId="1DC0E850">
        <w:tblPrEx>
          <w:tblCellMar>
            <w:top w:w="0" w:type="dxa"/>
            <w:left w:w="108" w:type="dxa"/>
            <w:bottom w:w="0" w:type="dxa"/>
            <w:right w:w="108" w:type="dxa"/>
          </w:tblCellMar>
        </w:tblPrEx>
        <w:trPr>
          <w:trHeight w:val="90" w:hRule="atLeast"/>
        </w:trPr>
        <w:tc>
          <w:tcPr>
            <w:tcW w:w="16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933A44">
            <w:pPr>
              <w:pStyle w:val="45"/>
              <w:rPr>
                <w:rFonts w:hint="default"/>
              </w:rPr>
            </w:pPr>
            <w:r>
              <w:t>总汞</w:t>
            </w:r>
            <w:r>
              <w:rPr>
                <w:rFonts w:hint="default"/>
              </w:rPr>
              <w:t>mg/kg</w:t>
            </w:r>
          </w:p>
        </w:tc>
        <w:tc>
          <w:tcPr>
            <w:tcW w:w="9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F11A3F">
            <w:pPr>
              <w:pStyle w:val="45"/>
              <w:rPr>
                <w:rFonts w:hint="default"/>
              </w:rPr>
            </w:pPr>
            <w:r>
              <w:rPr>
                <w:rFonts w:hint="default"/>
              </w:rPr>
              <w:t>0.060</w:t>
            </w:r>
          </w:p>
        </w:tc>
        <w:tc>
          <w:tcPr>
            <w:tcW w:w="1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31DC08">
            <w:pPr>
              <w:pStyle w:val="45"/>
              <w:rPr>
                <w:rFonts w:hint="default"/>
              </w:rPr>
            </w:pPr>
            <w:r>
              <w:rPr>
                <w:rFonts w:hint="default"/>
              </w:rPr>
              <w:t>0.058</w:t>
            </w:r>
          </w:p>
        </w:tc>
        <w:tc>
          <w:tcPr>
            <w:tcW w:w="11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20D06">
            <w:pPr>
              <w:pStyle w:val="45"/>
              <w:rPr>
                <w:rFonts w:hint="default"/>
              </w:rPr>
            </w:pPr>
            <w:r>
              <w:rPr>
                <w:rFonts w:hint="default"/>
              </w:rPr>
              <w:t>0.059</w:t>
            </w:r>
          </w:p>
        </w:tc>
      </w:tr>
      <w:tr w14:paraId="4DD144BD">
        <w:tblPrEx>
          <w:tblCellMar>
            <w:top w:w="0" w:type="dxa"/>
            <w:left w:w="108" w:type="dxa"/>
            <w:bottom w:w="0" w:type="dxa"/>
            <w:right w:w="108" w:type="dxa"/>
          </w:tblCellMar>
        </w:tblPrEx>
        <w:trPr>
          <w:trHeight w:val="90" w:hRule="atLeast"/>
        </w:trPr>
        <w:tc>
          <w:tcPr>
            <w:tcW w:w="16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35F79B">
            <w:pPr>
              <w:pStyle w:val="45"/>
              <w:rPr>
                <w:rFonts w:hint="default"/>
              </w:rPr>
            </w:pPr>
            <w:r>
              <w:t>六价铬</w:t>
            </w:r>
            <w:r>
              <w:rPr>
                <w:rFonts w:hint="default"/>
              </w:rPr>
              <w:t>mg/kg</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D9183">
            <w:pPr>
              <w:pStyle w:val="45"/>
              <w:rPr>
                <w:rFonts w:hint="default"/>
              </w:rPr>
            </w:pPr>
            <w:r>
              <w:rPr>
                <w:rFonts w:hint="default"/>
              </w:rPr>
              <w:t>ND</w:t>
            </w:r>
          </w:p>
        </w:tc>
        <w:tc>
          <w:tcPr>
            <w:tcW w:w="11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E3D43">
            <w:pPr>
              <w:pStyle w:val="45"/>
              <w:rPr>
                <w:rFonts w:hint="default"/>
              </w:rPr>
            </w:pPr>
            <w:r>
              <w:rPr>
                <w:rFonts w:hint="default"/>
              </w:rPr>
              <w:t>ND</w:t>
            </w:r>
          </w:p>
        </w:tc>
        <w:tc>
          <w:tcPr>
            <w:tcW w:w="11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C5174">
            <w:pPr>
              <w:pStyle w:val="45"/>
              <w:rPr>
                <w:rFonts w:hint="default"/>
              </w:rPr>
            </w:pPr>
            <w:r>
              <w:rPr>
                <w:rFonts w:hint="default"/>
              </w:rPr>
              <w:t>ND</w:t>
            </w:r>
          </w:p>
        </w:tc>
      </w:tr>
      <w:tr w14:paraId="48C5AC8D">
        <w:tblPrEx>
          <w:tblCellMar>
            <w:top w:w="0" w:type="dxa"/>
            <w:left w:w="108" w:type="dxa"/>
            <w:bottom w:w="0" w:type="dxa"/>
            <w:right w:w="108" w:type="dxa"/>
          </w:tblCellMar>
        </w:tblPrEx>
        <w:trPr>
          <w:trHeight w:val="90" w:hRule="atLeast"/>
        </w:trPr>
        <w:tc>
          <w:tcPr>
            <w:tcW w:w="16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E29C36">
            <w:pPr>
              <w:pStyle w:val="45"/>
              <w:rPr>
                <w:rFonts w:hint="default"/>
              </w:rPr>
            </w:pPr>
            <w:r>
              <w:t>氟化物mg/kg</w:t>
            </w:r>
          </w:p>
        </w:tc>
        <w:tc>
          <w:tcPr>
            <w:tcW w:w="9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7EAD59">
            <w:pPr>
              <w:pStyle w:val="45"/>
              <w:rPr>
                <w:rFonts w:hint="default"/>
              </w:rPr>
            </w:pPr>
            <w:r>
              <w:rPr>
                <w:rFonts w:hint="default"/>
              </w:rPr>
              <w:t>497</w:t>
            </w:r>
          </w:p>
        </w:tc>
        <w:tc>
          <w:tcPr>
            <w:tcW w:w="1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AC4517">
            <w:pPr>
              <w:pStyle w:val="45"/>
              <w:rPr>
                <w:rFonts w:hint="default"/>
              </w:rPr>
            </w:pPr>
            <w:r>
              <w:rPr>
                <w:rFonts w:hint="default"/>
              </w:rPr>
              <w:t>483</w:t>
            </w:r>
          </w:p>
        </w:tc>
        <w:tc>
          <w:tcPr>
            <w:tcW w:w="11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F3C91">
            <w:pPr>
              <w:pStyle w:val="45"/>
              <w:rPr>
                <w:rFonts w:hint="default"/>
              </w:rPr>
            </w:pPr>
            <w:r>
              <w:rPr>
                <w:rFonts w:hint="default"/>
              </w:rPr>
              <w:t>490</w:t>
            </w:r>
          </w:p>
        </w:tc>
      </w:tr>
      <w:tr w14:paraId="3F186508">
        <w:tblPrEx>
          <w:tblCellMar>
            <w:top w:w="0" w:type="dxa"/>
            <w:left w:w="108" w:type="dxa"/>
            <w:bottom w:w="0" w:type="dxa"/>
            <w:right w:w="108" w:type="dxa"/>
          </w:tblCellMar>
        </w:tblPrEx>
        <w:trPr>
          <w:trHeight w:val="90" w:hRule="atLeast"/>
        </w:trPr>
        <w:tc>
          <w:tcPr>
            <w:tcW w:w="16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9A1E60">
            <w:pPr>
              <w:pStyle w:val="45"/>
              <w:rPr>
                <w:rFonts w:hint="default"/>
              </w:rPr>
            </w:pPr>
            <w:r>
              <w:t>氯化物g/kg</w:t>
            </w:r>
          </w:p>
        </w:tc>
        <w:tc>
          <w:tcPr>
            <w:tcW w:w="9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3DCB7D">
            <w:pPr>
              <w:pStyle w:val="45"/>
              <w:rPr>
                <w:rFonts w:hint="default"/>
              </w:rPr>
            </w:pPr>
            <w:r>
              <w:rPr>
                <w:rFonts w:hint="default"/>
              </w:rPr>
              <w:t>0.07</w:t>
            </w:r>
          </w:p>
        </w:tc>
        <w:tc>
          <w:tcPr>
            <w:tcW w:w="1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93A27F">
            <w:pPr>
              <w:pStyle w:val="45"/>
              <w:rPr>
                <w:rFonts w:hint="default"/>
              </w:rPr>
            </w:pPr>
            <w:r>
              <w:rPr>
                <w:rFonts w:hint="default"/>
              </w:rPr>
              <w:t>0.09</w:t>
            </w:r>
          </w:p>
        </w:tc>
        <w:tc>
          <w:tcPr>
            <w:tcW w:w="11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4C932">
            <w:pPr>
              <w:pStyle w:val="45"/>
              <w:rPr>
                <w:rFonts w:hint="default"/>
              </w:rPr>
            </w:pPr>
            <w:r>
              <w:rPr>
                <w:rFonts w:hint="default"/>
              </w:rPr>
              <w:t>0.08</w:t>
            </w:r>
          </w:p>
        </w:tc>
      </w:tr>
      <w:tr w14:paraId="0DBD256B">
        <w:tblPrEx>
          <w:tblCellMar>
            <w:top w:w="0" w:type="dxa"/>
            <w:left w:w="108" w:type="dxa"/>
            <w:bottom w:w="0" w:type="dxa"/>
            <w:right w:w="108" w:type="dxa"/>
          </w:tblCellMar>
        </w:tblPrEx>
        <w:trPr>
          <w:trHeight w:val="90" w:hRule="atLeast"/>
        </w:trPr>
        <w:tc>
          <w:tcPr>
            <w:tcW w:w="16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D769A7">
            <w:pPr>
              <w:pStyle w:val="45"/>
              <w:rPr>
                <w:rFonts w:hint="default"/>
              </w:rPr>
            </w:pPr>
            <w:r>
              <w:t>镍</w:t>
            </w:r>
            <w:r>
              <w:rPr>
                <w:rFonts w:hint="default"/>
              </w:rPr>
              <w:t>mg/kg</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D200D">
            <w:pPr>
              <w:pStyle w:val="45"/>
              <w:rPr>
                <w:rFonts w:hint="default"/>
              </w:rPr>
            </w:pPr>
            <w:r>
              <w:rPr>
                <w:rFonts w:hint="default"/>
              </w:rPr>
              <w:t>43.5</w:t>
            </w:r>
          </w:p>
        </w:tc>
        <w:tc>
          <w:tcPr>
            <w:tcW w:w="11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311CD">
            <w:pPr>
              <w:pStyle w:val="45"/>
              <w:rPr>
                <w:rFonts w:hint="default"/>
              </w:rPr>
            </w:pPr>
            <w:r>
              <w:rPr>
                <w:rFonts w:hint="default"/>
              </w:rPr>
              <w:t>45.0</w:t>
            </w:r>
          </w:p>
        </w:tc>
        <w:tc>
          <w:tcPr>
            <w:tcW w:w="11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5C112">
            <w:pPr>
              <w:pStyle w:val="45"/>
              <w:rPr>
                <w:rFonts w:hint="default"/>
              </w:rPr>
            </w:pPr>
            <w:r>
              <w:rPr>
                <w:rFonts w:hint="default"/>
              </w:rPr>
              <w:t>44.2</w:t>
            </w:r>
          </w:p>
        </w:tc>
      </w:tr>
      <w:tr w14:paraId="7086AF33">
        <w:tblPrEx>
          <w:tblCellMar>
            <w:top w:w="0" w:type="dxa"/>
            <w:left w:w="108" w:type="dxa"/>
            <w:bottom w:w="0" w:type="dxa"/>
            <w:right w:w="108" w:type="dxa"/>
          </w:tblCellMar>
        </w:tblPrEx>
        <w:trPr>
          <w:trHeight w:val="90" w:hRule="atLeast"/>
        </w:trPr>
        <w:tc>
          <w:tcPr>
            <w:tcW w:w="16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E9D3A3">
            <w:pPr>
              <w:pStyle w:val="45"/>
              <w:rPr>
                <w:rFonts w:hint="default"/>
              </w:rPr>
            </w:pPr>
            <w:r>
              <w:t>铜</w:t>
            </w:r>
            <w:r>
              <w:rPr>
                <w:rFonts w:hint="default"/>
              </w:rPr>
              <w:t xml:space="preserve"> mg/kg</w:t>
            </w:r>
          </w:p>
        </w:tc>
        <w:tc>
          <w:tcPr>
            <w:tcW w:w="9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76BB8E">
            <w:pPr>
              <w:pStyle w:val="45"/>
              <w:rPr>
                <w:rFonts w:hint="default"/>
              </w:rPr>
            </w:pPr>
            <w:r>
              <w:rPr>
                <w:rFonts w:hint="default"/>
              </w:rPr>
              <w:t>37.2</w:t>
            </w:r>
          </w:p>
        </w:tc>
        <w:tc>
          <w:tcPr>
            <w:tcW w:w="1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790321">
            <w:pPr>
              <w:pStyle w:val="45"/>
              <w:rPr>
                <w:rFonts w:hint="default"/>
              </w:rPr>
            </w:pPr>
            <w:r>
              <w:rPr>
                <w:rFonts w:hint="default"/>
              </w:rPr>
              <w:t>39.9</w:t>
            </w:r>
          </w:p>
        </w:tc>
        <w:tc>
          <w:tcPr>
            <w:tcW w:w="11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63C06">
            <w:pPr>
              <w:pStyle w:val="45"/>
              <w:rPr>
                <w:rFonts w:hint="default"/>
              </w:rPr>
            </w:pPr>
            <w:r>
              <w:rPr>
                <w:rFonts w:hint="default"/>
              </w:rPr>
              <w:t>38.5</w:t>
            </w:r>
          </w:p>
        </w:tc>
      </w:tr>
      <w:tr w14:paraId="26FEDA4A">
        <w:tblPrEx>
          <w:tblCellMar>
            <w:top w:w="0" w:type="dxa"/>
            <w:left w:w="108" w:type="dxa"/>
            <w:bottom w:w="0" w:type="dxa"/>
            <w:right w:w="108" w:type="dxa"/>
          </w:tblCellMar>
        </w:tblPrEx>
        <w:trPr>
          <w:trHeight w:val="90" w:hRule="atLeast"/>
        </w:trPr>
        <w:tc>
          <w:tcPr>
            <w:tcW w:w="16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1BF2B4">
            <w:pPr>
              <w:pStyle w:val="45"/>
              <w:rPr>
                <w:rFonts w:hint="default"/>
              </w:rPr>
            </w:pPr>
            <w:r>
              <w:t>镉</w:t>
            </w:r>
            <w:r>
              <w:rPr>
                <w:rFonts w:hint="default"/>
              </w:rPr>
              <w:t xml:space="preserve"> mg/kg</w:t>
            </w:r>
          </w:p>
        </w:tc>
        <w:tc>
          <w:tcPr>
            <w:tcW w:w="9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507B0E">
            <w:pPr>
              <w:pStyle w:val="45"/>
              <w:rPr>
                <w:rFonts w:hint="default"/>
              </w:rPr>
            </w:pPr>
            <w:r>
              <w:rPr>
                <w:rFonts w:hint="default"/>
              </w:rPr>
              <w:t>1.18</w:t>
            </w:r>
          </w:p>
        </w:tc>
        <w:tc>
          <w:tcPr>
            <w:tcW w:w="1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C88E5C">
            <w:pPr>
              <w:pStyle w:val="45"/>
              <w:rPr>
                <w:rFonts w:hint="default"/>
              </w:rPr>
            </w:pPr>
            <w:r>
              <w:rPr>
                <w:rFonts w:hint="default"/>
              </w:rPr>
              <w:t>1.16</w:t>
            </w:r>
          </w:p>
        </w:tc>
        <w:tc>
          <w:tcPr>
            <w:tcW w:w="11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3C9A0">
            <w:pPr>
              <w:pStyle w:val="45"/>
              <w:rPr>
                <w:rFonts w:hint="default"/>
              </w:rPr>
            </w:pPr>
            <w:r>
              <w:rPr>
                <w:rFonts w:hint="default"/>
              </w:rPr>
              <w:t>1.17</w:t>
            </w:r>
          </w:p>
        </w:tc>
      </w:tr>
      <w:tr w14:paraId="47A488C8">
        <w:tblPrEx>
          <w:tblCellMar>
            <w:top w:w="0" w:type="dxa"/>
            <w:left w:w="108" w:type="dxa"/>
            <w:bottom w:w="0" w:type="dxa"/>
            <w:right w:w="108" w:type="dxa"/>
          </w:tblCellMar>
        </w:tblPrEx>
        <w:trPr>
          <w:trHeight w:val="90" w:hRule="atLeast"/>
        </w:trPr>
        <w:tc>
          <w:tcPr>
            <w:tcW w:w="16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6E2C46">
            <w:pPr>
              <w:pStyle w:val="45"/>
              <w:rPr>
                <w:rFonts w:hint="default"/>
              </w:rPr>
            </w:pPr>
            <w:r>
              <w:t>钡mg/kg</w:t>
            </w:r>
          </w:p>
        </w:tc>
        <w:tc>
          <w:tcPr>
            <w:tcW w:w="9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524891">
            <w:pPr>
              <w:pStyle w:val="45"/>
              <w:rPr>
                <w:rFonts w:hint="default"/>
              </w:rPr>
            </w:pPr>
            <w:r>
              <w:rPr>
                <w:rFonts w:hint="default"/>
              </w:rPr>
              <w:t>426</w:t>
            </w:r>
          </w:p>
        </w:tc>
        <w:tc>
          <w:tcPr>
            <w:tcW w:w="1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560030">
            <w:pPr>
              <w:pStyle w:val="45"/>
              <w:rPr>
                <w:rFonts w:hint="default"/>
              </w:rPr>
            </w:pPr>
            <w:r>
              <w:rPr>
                <w:rFonts w:hint="default"/>
              </w:rPr>
              <w:t>407</w:t>
            </w:r>
          </w:p>
        </w:tc>
        <w:tc>
          <w:tcPr>
            <w:tcW w:w="11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1593F4">
            <w:pPr>
              <w:pStyle w:val="45"/>
              <w:rPr>
                <w:rFonts w:hint="default"/>
              </w:rPr>
            </w:pPr>
            <w:r>
              <w:rPr>
                <w:rFonts w:hint="default"/>
              </w:rPr>
              <w:t>416</w:t>
            </w:r>
          </w:p>
        </w:tc>
      </w:tr>
      <w:tr w14:paraId="74E4B741">
        <w:tblPrEx>
          <w:tblCellMar>
            <w:top w:w="0" w:type="dxa"/>
            <w:left w:w="108" w:type="dxa"/>
            <w:bottom w:w="0" w:type="dxa"/>
            <w:right w:w="108" w:type="dxa"/>
          </w:tblCellMar>
        </w:tblPrEx>
        <w:trPr>
          <w:trHeight w:val="90" w:hRule="atLeast"/>
        </w:trPr>
        <w:tc>
          <w:tcPr>
            <w:tcW w:w="16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C1C519">
            <w:pPr>
              <w:pStyle w:val="45"/>
              <w:rPr>
                <w:rFonts w:hint="default"/>
              </w:rPr>
            </w:pPr>
            <w:r>
              <w:t>铅</w:t>
            </w:r>
            <w:r>
              <w:rPr>
                <w:rFonts w:hint="default"/>
              </w:rPr>
              <w:t xml:space="preserve"> mg/kg</w:t>
            </w:r>
          </w:p>
        </w:tc>
        <w:tc>
          <w:tcPr>
            <w:tcW w:w="9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85670A">
            <w:pPr>
              <w:pStyle w:val="45"/>
              <w:rPr>
                <w:rFonts w:hint="default"/>
              </w:rPr>
            </w:pPr>
            <w:r>
              <w:rPr>
                <w:rFonts w:hint="default"/>
              </w:rPr>
              <w:t>35.2</w:t>
            </w:r>
          </w:p>
        </w:tc>
        <w:tc>
          <w:tcPr>
            <w:tcW w:w="1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B54764">
            <w:pPr>
              <w:pStyle w:val="45"/>
              <w:rPr>
                <w:rFonts w:hint="default"/>
              </w:rPr>
            </w:pPr>
            <w:r>
              <w:rPr>
                <w:rFonts w:hint="default"/>
              </w:rPr>
              <w:t>34.9</w:t>
            </w:r>
          </w:p>
        </w:tc>
        <w:tc>
          <w:tcPr>
            <w:tcW w:w="11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5E7C48">
            <w:pPr>
              <w:pStyle w:val="45"/>
              <w:rPr>
                <w:rFonts w:hint="default"/>
              </w:rPr>
            </w:pPr>
            <w:r>
              <w:rPr>
                <w:rFonts w:hint="default"/>
              </w:rPr>
              <w:t>35.0</w:t>
            </w:r>
          </w:p>
        </w:tc>
      </w:tr>
    </w:tbl>
    <w:p w14:paraId="5E7C97ED">
      <w:pPr>
        <w:ind w:firstLine="0" w:firstLineChars="0"/>
      </w:pPr>
    </w:p>
    <w:p w14:paraId="510C5C3A">
      <w:pPr>
        <w:pStyle w:val="43"/>
        <w:numPr>
          <w:ilvl w:val="5"/>
          <w:numId w:val="1"/>
        </w:numPr>
        <w:rPr>
          <w:rFonts w:hint="default"/>
        </w:rPr>
      </w:pPr>
      <w:r>
        <w:rPr>
          <w:rFonts w:hint="default"/>
        </w:rPr>
        <w:t>土壤挥发性有机物检测结果</w:t>
      </w:r>
      <w:r>
        <w:t>（TC1）</w:t>
      </w:r>
    </w:p>
    <w:tbl>
      <w:tblPr>
        <w:tblStyle w:val="32"/>
        <w:tblW w:w="4998" w:type="pct"/>
        <w:tblInd w:w="0" w:type="dxa"/>
        <w:tblLayout w:type="autofit"/>
        <w:tblCellMar>
          <w:top w:w="0" w:type="dxa"/>
          <w:left w:w="108" w:type="dxa"/>
          <w:bottom w:w="0" w:type="dxa"/>
          <w:right w:w="108" w:type="dxa"/>
        </w:tblCellMar>
      </w:tblPr>
      <w:tblGrid>
        <w:gridCol w:w="3190"/>
        <w:gridCol w:w="1580"/>
        <w:gridCol w:w="1873"/>
        <w:gridCol w:w="1876"/>
      </w:tblGrid>
      <w:tr w14:paraId="76613503">
        <w:tblPrEx>
          <w:tblCellMar>
            <w:top w:w="0" w:type="dxa"/>
            <w:left w:w="108" w:type="dxa"/>
            <w:bottom w:w="0" w:type="dxa"/>
            <w:right w:w="108" w:type="dxa"/>
          </w:tblCellMar>
        </w:tblPrEx>
        <w:trPr>
          <w:trHeight w:val="404" w:hRule="atLeast"/>
          <w:tblHeader/>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CC2247">
            <w:pPr>
              <w:pStyle w:val="45"/>
              <w:rPr>
                <w:rFonts w:hint="default"/>
                <w:b/>
                <w:bCs/>
              </w:rPr>
            </w:pPr>
            <w:r>
              <w:rPr>
                <w:b/>
                <w:bCs/>
              </w:rPr>
              <w:t>采样点位</w:t>
            </w:r>
          </w:p>
        </w:tc>
        <w:tc>
          <w:tcPr>
            <w:tcW w:w="312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F15AFF2">
            <w:pPr>
              <w:pStyle w:val="45"/>
              <w:rPr>
                <w:rFonts w:hint="default"/>
                <w:b/>
                <w:bCs/>
              </w:rPr>
            </w:pPr>
            <w:r>
              <w:rPr>
                <w:b/>
                <w:bCs/>
              </w:rPr>
              <w:t>厂区中心（厂内表层样）TC1</w:t>
            </w:r>
          </w:p>
        </w:tc>
      </w:tr>
      <w:tr w14:paraId="716671BB">
        <w:tblPrEx>
          <w:tblCellMar>
            <w:top w:w="0" w:type="dxa"/>
            <w:left w:w="108" w:type="dxa"/>
            <w:bottom w:w="0" w:type="dxa"/>
            <w:right w:w="108" w:type="dxa"/>
          </w:tblCellMar>
        </w:tblPrEx>
        <w:trPr>
          <w:trHeight w:val="300" w:hRule="atLeast"/>
          <w:tblHeader/>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F5FFE3">
            <w:pPr>
              <w:pStyle w:val="45"/>
              <w:rPr>
                <w:rFonts w:hint="default"/>
                <w:b/>
                <w:bCs/>
              </w:rPr>
            </w:pPr>
            <w:r>
              <w:rPr>
                <w:b/>
                <w:bCs/>
              </w:rPr>
              <w:t>采样时间</w:t>
            </w:r>
          </w:p>
        </w:tc>
        <w:tc>
          <w:tcPr>
            <w:tcW w:w="9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3E3253">
            <w:pPr>
              <w:pStyle w:val="45"/>
              <w:rPr>
                <w:rFonts w:hint="default"/>
                <w:b/>
                <w:bCs/>
              </w:rPr>
            </w:pPr>
            <w:r>
              <w:rPr>
                <w:rFonts w:hint="default"/>
                <w:b/>
                <w:bCs/>
              </w:rPr>
              <w:t>2023.8.30</w:t>
            </w:r>
          </w:p>
        </w:tc>
        <w:tc>
          <w:tcPr>
            <w:tcW w:w="10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FF040C">
            <w:pPr>
              <w:pStyle w:val="45"/>
              <w:rPr>
                <w:rFonts w:hint="default"/>
                <w:b/>
                <w:bCs/>
              </w:rPr>
            </w:pPr>
            <w:r>
              <w:rPr>
                <w:rFonts w:hint="default"/>
                <w:b/>
                <w:bCs/>
              </w:rPr>
              <w:t>2023.8.30</w:t>
            </w:r>
            <w:r>
              <w:rPr>
                <w:b/>
                <w:bCs/>
              </w:rPr>
              <w:t>平行</w:t>
            </w:r>
          </w:p>
        </w:tc>
        <w:tc>
          <w:tcPr>
            <w:tcW w:w="11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D2AAA7">
            <w:pPr>
              <w:pStyle w:val="45"/>
              <w:rPr>
                <w:rFonts w:hint="default"/>
                <w:b/>
                <w:bCs/>
              </w:rPr>
            </w:pPr>
            <w:r>
              <w:rPr>
                <w:rFonts w:hint="default"/>
                <w:b/>
                <w:bCs/>
              </w:rPr>
              <w:t>2023.8.30</w:t>
            </w:r>
            <w:r>
              <w:rPr>
                <w:b/>
                <w:bCs/>
              </w:rPr>
              <w:t>均值</w:t>
            </w:r>
          </w:p>
        </w:tc>
      </w:tr>
      <w:tr w14:paraId="641F0999">
        <w:tblPrEx>
          <w:tblCellMar>
            <w:top w:w="0" w:type="dxa"/>
            <w:left w:w="108" w:type="dxa"/>
            <w:bottom w:w="0" w:type="dxa"/>
            <w:right w:w="108" w:type="dxa"/>
          </w:tblCellMar>
        </w:tblPrEx>
        <w:trPr>
          <w:trHeight w:val="90" w:hRule="atLeast"/>
          <w:tblHeader/>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FF4DBB">
            <w:pPr>
              <w:pStyle w:val="45"/>
              <w:rPr>
                <w:rFonts w:hint="default"/>
                <w:b/>
                <w:bCs/>
              </w:rPr>
            </w:pPr>
            <w:r>
              <w:rPr>
                <w:b/>
                <w:bCs/>
              </w:rPr>
              <w:t>采样深度（</w:t>
            </w:r>
            <w:r>
              <w:rPr>
                <w:rFonts w:hint="default"/>
                <w:b/>
                <w:bCs/>
              </w:rPr>
              <w:t>cm</w:t>
            </w:r>
            <w:r>
              <w:rPr>
                <w:b/>
                <w:bCs/>
              </w:rPr>
              <w:t>）</w:t>
            </w:r>
          </w:p>
        </w:tc>
        <w:tc>
          <w:tcPr>
            <w:tcW w:w="9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48D2AB">
            <w:pPr>
              <w:pStyle w:val="45"/>
              <w:rPr>
                <w:rFonts w:hint="default"/>
                <w:b/>
                <w:bCs/>
              </w:rPr>
            </w:pPr>
            <w:r>
              <w:rPr>
                <w:rFonts w:hint="default"/>
                <w:b/>
                <w:bCs/>
              </w:rPr>
              <w:t>0-20</w:t>
            </w:r>
          </w:p>
        </w:tc>
        <w:tc>
          <w:tcPr>
            <w:tcW w:w="10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65E5C1">
            <w:pPr>
              <w:pStyle w:val="45"/>
              <w:rPr>
                <w:rFonts w:hint="default"/>
                <w:b/>
                <w:bCs/>
              </w:rPr>
            </w:pPr>
            <w:r>
              <w:rPr>
                <w:rFonts w:hint="default"/>
                <w:b/>
                <w:bCs/>
              </w:rPr>
              <w:t>0-20</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F3299">
            <w:pPr>
              <w:pStyle w:val="45"/>
              <w:rPr>
                <w:rFonts w:hint="default"/>
                <w:b/>
                <w:bCs/>
              </w:rPr>
            </w:pPr>
            <w:r>
              <w:rPr>
                <w:rFonts w:hint="default"/>
                <w:b/>
                <w:bCs/>
              </w:rPr>
              <w:t>/</w:t>
            </w:r>
          </w:p>
        </w:tc>
      </w:tr>
      <w:tr w14:paraId="512046B8">
        <w:tblPrEx>
          <w:tblCellMar>
            <w:top w:w="0" w:type="dxa"/>
            <w:left w:w="108" w:type="dxa"/>
            <w:bottom w:w="0" w:type="dxa"/>
            <w:right w:w="108" w:type="dxa"/>
          </w:tblCellMar>
        </w:tblPrEx>
        <w:trPr>
          <w:trHeight w:val="300"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2BA41D">
            <w:pPr>
              <w:pStyle w:val="45"/>
              <w:rPr>
                <w:rFonts w:hint="default"/>
              </w:rPr>
            </w:pPr>
            <w:r>
              <w:t>四氯化碳</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E1CFD6">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72C7BF">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A5207">
            <w:pPr>
              <w:pStyle w:val="45"/>
              <w:rPr>
                <w:rFonts w:hint="default"/>
              </w:rPr>
            </w:pPr>
            <w:r>
              <w:rPr>
                <w:rFonts w:hint="default"/>
              </w:rPr>
              <w:t>ND</w:t>
            </w:r>
          </w:p>
        </w:tc>
      </w:tr>
      <w:tr w14:paraId="5D625823">
        <w:tblPrEx>
          <w:tblCellMar>
            <w:top w:w="0" w:type="dxa"/>
            <w:left w:w="108" w:type="dxa"/>
            <w:bottom w:w="0" w:type="dxa"/>
            <w:right w:w="108" w:type="dxa"/>
          </w:tblCellMar>
        </w:tblPrEx>
        <w:trPr>
          <w:trHeight w:val="300"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AF21C0">
            <w:pPr>
              <w:pStyle w:val="45"/>
              <w:rPr>
                <w:rFonts w:hint="default"/>
              </w:rPr>
            </w:pPr>
            <w:r>
              <w:t>氯仿</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C1DD6">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8AB7B">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4FB04">
            <w:pPr>
              <w:pStyle w:val="45"/>
              <w:rPr>
                <w:rFonts w:hint="default"/>
              </w:rPr>
            </w:pPr>
            <w:r>
              <w:rPr>
                <w:rFonts w:hint="default"/>
              </w:rPr>
              <w:t>ND</w:t>
            </w:r>
          </w:p>
        </w:tc>
      </w:tr>
      <w:tr w14:paraId="7C4FC1C5">
        <w:tblPrEx>
          <w:tblCellMar>
            <w:top w:w="0" w:type="dxa"/>
            <w:left w:w="108" w:type="dxa"/>
            <w:bottom w:w="0" w:type="dxa"/>
            <w:right w:w="108" w:type="dxa"/>
          </w:tblCellMar>
        </w:tblPrEx>
        <w:trPr>
          <w:trHeight w:val="365"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7B1DE2">
            <w:pPr>
              <w:pStyle w:val="45"/>
              <w:rPr>
                <w:rFonts w:hint="default"/>
              </w:rPr>
            </w:pPr>
            <w:r>
              <w:rPr>
                <w:rFonts w:hint="default"/>
              </w:rPr>
              <w:t>1,1-</w:t>
            </w:r>
            <w:r>
              <w:t>二氯乙烷</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82FBB">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D1F30">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56AEC">
            <w:pPr>
              <w:pStyle w:val="45"/>
              <w:rPr>
                <w:rFonts w:hint="default"/>
              </w:rPr>
            </w:pPr>
            <w:r>
              <w:rPr>
                <w:rFonts w:hint="default"/>
              </w:rPr>
              <w:t>ND</w:t>
            </w:r>
          </w:p>
        </w:tc>
      </w:tr>
      <w:tr w14:paraId="0C7658E4">
        <w:tblPrEx>
          <w:tblCellMar>
            <w:top w:w="0" w:type="dxa"/>
            <w:left w:w="108" w:type="dxa"/>
            <w:bottom w:w="0" w:type="dxa"/>
            <w:right w:w="108" w:type="dxa"/>
          </w:tblCellMar>
        </w:tblPrEx>
        <w:trPr>
          <w:trHeight w:val="365"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E7443F">
            <w:pPr>
              <w:pStyle w:val="45"/>
              <w:rPr>
                <w:rFonts w:hint="default"/>
              </w:rPr>
            </w:pPr>
            <w:r>
              <w:rPr>
                <w:rFonts w:hint="default"/>
              </w:rPr>
              <w:t>1,2-</w:t>
            </w:r>
            <w:r>
              <w:t>二氯乙烷</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6776D">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90A95">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24716">
            <w:pPr>
              <w:pStyle w:val="45"/>
              <w:rPr>
                <w:rFonts w:hint="default"/>
              </w:rPr>
            </w:pPr>
            <w:r>
              <w:rPr>
                <w:rFonts w:hint="default"/>
              </w:rPr>
              <w:t>ND</w:t>
            </w:r>
          </w:p>
        </w:tc>
      </w:tr>
      <w:tr w14:paraId="21F837CB">
        <w:tblPrEx>
          <w:tblCellMar>
            <w:top w:w="0" w:type="dxa"/>
            <w:left w:w="108" w:type="dxa"/>
            <w:bottom w:w="0" w:type="dxa"/>
            <w:right w:w="108" w:type="dxa"/>
          </w:tblCellMar>
        </w:tblPrEx>
        <w:trPr>
          <w:trHeight w:val="365"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147037">
            <w:pPr>
              <w:pStyle w:val="45"/>
              <w:rPr>
                <w:rFonts w:hint="default"/>
              </w:rPr>
            </w:pPr>
            <w:r>
              <w:rPr>
                <w:rFonts w:hint="default"/>
              </w:rPr>
              <w:t>1,1-</w:t>
            </w:r>
            <w:r>
              <w:t>二氯乙烯</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AFFCA">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9CA5D">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DF755">
            <w:pPr>
              <w:pStyle w:val="45"/>
              <w:rPr>
                <w:rFonts w:hint="default"/>
              </w:rPr>
            </w:pPr>
            <w:r>
              <w:rPr>
                <w:rFonts w:hint="default"/>
              </w:rPr>
              <w:t>ND</w:t>
            </w:r>
          </w:p>
        </w:tc>
      </w:tr>
      <w:tr w14:paraId="3C26C37C">
        <w:tblPrEx>
          <w:tblCellMar>
            <w:top w:w="0" w:type="dxa"/>
            <w:left w:w="108" w:type="dxa"/>
            <w:bottom w:w="0" w:type="dxa"/>
            <w:right w:w="108" w:type="dxa"/>
          </w:tblCellMar>
        </w:tblPrEx>
        <w:trPr>
          <w:trHeight w:val="365"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768005">
            <w:pPr>
              <w:pStyle w:val="45"/>
              <w:rPr>
                <w:rFonts w:hint="default"/>
              </w:rPr>
            </w:pPr>
            <w:r>
              <w:t>顺</w:t>
            </w:r>
            <w:r>
              <w:rPr>
                <w:rFonts w:hint="default"/>
              </w:rPr>
              <w:t>-1,2-</w:t>
            </w:r>
            <w:r>
              <w:t>二氯乙烯</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E1CB6">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13D6F">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E0C39">
            <w:pPr>
              <w:pStyle w:val="45"/>
              <w:rPr>
                <w:rFonts w:hint="default"/>
              </w:rPr>
            </w:pPr>
            <w:r>
              <w:rPr>
                <w:rFonts w:hint="default"/>
              </w:rPr>
              <w:t>ND</w:t>
            </w:r>
          </w:p>
        </w:tc>
      </w:tr>
      <w:tr w14:paraId="2BD93E8E">
        <w:tblPrEx>
          <w:tblCellMar>
            <w:top w:w="0" w:type="dxa"/>
            <w:left w:w="108" w:type="dxa"/>
            <w:bottom w:w="0" w:type="dxa"/>
            <w:right w:w="108" w:type="dxa"/>
          </w:tblCellMar>
        </w:tblPrEx>
        <w:trPr>
          <w:trHeight w:val="365"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6B0C68">
            <w:pPr>
              <w:pStyle w:val="45"/>
              <w:rPr>
                <w:rFonts w:hint="default"/>
              </w:rPr>
            </w:pPr>
            <w:r>
              <w:t>反</w:t>
            </w:r>
            <w:r>
              <w:rPr>
                <w:rFonts w:hint="default"/>
              </w:rPr>
              <w:t>-1.2-</w:t>
            </w:r>
            <w:r>
              <w:t>二氯乙烯</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7718C">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E807A">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F3DD8">
            <w:pPr>
              <w:pStyle w:val="45"/>
              <w:rPr>
                <w:rFonts w:hint="default"/>
              </w:rPr>
            </w:pPr>
            <w:r>
              <w:rPr>
                <w:rFonts w:hint="default"/>
              </w:rPr>
              <w:t>ND</w:t>
            </w:r>
          </w:p>
        </w:tc>
      </w:tr>
      <w:tr w14:paraId="668F28BF">
        <w:tblPrEx>
          <w:tblCellMar>
            <w:top w:w="0" w:type="dxa"/>
            <w:left w:w="108" w:type="dxa"/>
            <w:bottom w:w="0" w:type="dxa"/>
            <w:right w:w="108" w:type="dxa"/>
          </w:tblCellMar>
        </w:tblPrEx>
        <w:trPr>
          <w:trHeight w:val="300"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4D9D2C">
            <w:pPr>
              <w:pStyle w:val="45"/>
              <w:rPr>
                <w:rFonts w:hint="default"/>
              </w:rPr>
            </w:pPr>
            <w:r>
              <w:t>二氯甲烷mg/kg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F66CA">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1C840">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CA7F0">
            <w:pPr>
              <w:pStyle w:val="45"/>
              <w:rPr>
                <w:rFonts w:hint="default"/>
              </w:rPr>
            </w:pPr>
            <w:r>
              <w:rPr>
                <w:rFonts w:hint="default"/>
              </w:rPr>
              <w:t>ND</w:t>
            </w:r>
          </w:p>
        </w:tc>
      </w:tr>
      <w:tr w14:paraId="23274978">
        <w:tblPrEx>
          <w:tblCellMar>
            <w:top w:w="0" w:type="dxa"/>
            <w:left w:w="108" w:type="dxa"/>
            <w:bottom w:w="0" w:type="dxa"/>
            <w:right w:w="108" w:type="dxa"/>
          </w:tblCellMar>
        </w:tblPrEx>
        <w:trPr>
          <w:trHeight w:val="314"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F651C6">
            <w:pPr>
              <w:pStyle w:val="45"/>
              <w:rPr>
                <w:rFonts w:hint="default"/>
              </w:rPr>
            </w:pPr>
            <w:r>
              <w:rPr>
                <w:rFonts w:hint="default"/>
              </w:rPr>
              <w:t>1,2-</w:t>
            </w:r>
            <w:r>
              <w:t>二氯丙烷</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316A5">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CC614">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5839D5">
            <w:pPr>
              <w:pStyle w:val="45"/>
              <w:rPr>
                <w:rFonts w:hint="default"/>
              </w:rPr>
            </w:pPr>
            <w:r>
              <w:rPr>
                <w:rFonts w:hint="default"/>
              </w:rPr>
              <w:t>ND</w:t>
            </w:r>
          </w:p>
        </w:tc>
      </w:tr>
      <w:tr w14:paraId="5F7A11B3">
        <w:tblPrEx>
          <w:tblCellMar>
            <w:top w:w="0" w:type="dxa"/>
            <w:left w:w="108" w:type="dxa"/>
            <w:bottom w:w="0" w:type="dxa"/>
            <w:right w:w="108" w:type="dxa"/>
          </w:tblCellMar>
        </w:tblPrEx>
        <w:trPr>
          <w:trHeight w:val="365"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7ED566">
            <w:pPr>
              <w:pStyle w:val="45"/>
              <w:rPr>
                <w:rFonts w:hint="default"/>
              </w:rPr>
            </w:pPr>
            <w:r>
              <w:rPr>
                <w:rFonts w:hint="default"/>
              </w:rPr>
              <w:t>1,1,1,2-</w:t>
            </w:r>
            <w:r>
              <w:t>四氯乙烷</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59F24">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4F69B">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7E71B8">
            <w:pPr>
              <w:pStyle w:val="45"/>
              <w:rPr>
                <w:rFonts w:hint="default"/>
              </w:rPr>
            </w:pPr>
            <w:r>
              <w:rPr>
                <w:rFonts w:hint="default"/>
              </w:rPr>
              <w:t>ND</w:t>
            </w:r>
          </w:p>
        </w:tc>
      </w:tr>
      <w:tr w14:paraId="135FF73A">
        <w:tblPrEx>
          <w:tblCellMar>
            <w:top w:w="0" w:type="dxa"/>
            <w:left w:w="108" w:type="dxa"/>
            <w:bottom w:w="0" w:type="dxa"/>
            <w:right w:w="108" w:type="dxa"/>
          </w:tblCellMar>
        </w:tblPrEx>
        <w:trPr>
          <w:trHeight w:val="365"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64A349">
            <w:pPr>
              <w:pStyle w:val="45"/>
              <w:rPr>
                <w:rFonts w:hint="default"/>
              </w:rPr>
            </w:pPr>
            <w:r>
              <w:rPr>
                <w:rFonts w:hint="default"/>
              </w:rPr>
              <w:t>1,1,2,2,-</w:t>
            </w:r>
            <w:r>
              <w:t>四氯乙烷</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9668C">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A9B4E">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0ABAE1">
            <w:pPr>
              <w:pStyle w:val="45"/>
              <w:rPr>
                <w:rFonts w:hint="default"/>
              </w:rPr>
            </w:pPr>
            <w:r>
              <w:rPr>
                <w:rFonts w:hint="default"/>
              </w:rPr>
              <w:t>ND</w:t>
            </w:r>
          </w:p>
        </w:tc>
      </w:tr>
      <w:tr w14:paraId="769737FF">
        <w:tblPrEx>
          <w:tblCellMar>
            <w:top w:w="0" w:type="dxa"/>
            <w:left w:w="108" w:type="dxa"/>
            <w:bottom w:w="0" w:type="dxa"/>
            <w:right w:w="108" w:type="dxa"/>
          </w:tblCellMar>
        </w:tblPrEx>
        <w:trPr>
          <w:trHeight w:val="253"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F40B20">
            <w:pPr>
              <w:pStyle w:val="45"/>
              <w:rPr>
                <w:rFonts w:hint="default"/>
              </w:rPr>
            </w:pPr>
            <w:r>
              <w:t>四氯乙烯</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CADCF4">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82D74">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256C0">
            <w:pPr>
              <w:pStyle w:val="45"/>
              <w:rPr>
                <w:rFonts w:hint="default"/>
              </w:rPr>
            </w:pPr>
            <w:r>
              <w:rPr>
                <w:rFonts w:hint="default"/>
              </w:rPr>
              <w:t>ND</w:t>
            </w:r>
          </w:p>
        </w:tc>
      </w:tr>
      <w:tr w14:paraId="79279534">
        <w:tblPrEx>
          <w:tblCellMar>
            <w:top w:w="0" w:type="dxa"/>
            <w:left w:w="108" w:type="dxa"/>
            <w:bottom w:w="0" w:type="dxa"/>
            <w:right w:w="108" w:type="dxa"/>
          </w:tblCellMar>
        </w:tblPrEx>
        <w:trPr>
          <w:trHeight w:val="365"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E8D866">
            <w:pPr>
              <w:pStyle w:val="45"/>
              <w:rPr>
                <w:rFonts w:hint="default"/>
              </w:rPr>
            </w:pPr>
            <w:r>
              <w:rPr>
                <w:rFonts w:hint="default"/>
              </w:rPr>
              <w:t>1,1,1-</w:t>
            </w:r>
            <w:r>
              <w:t>三氯乙烷</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55B76">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61245">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5EA47A">
            <w:pPr>
              <w:pStyle w:val="45"/>
              <w:rPr>
                <w:rFonts w:hint="default"/>
              </w:rPr>
            </w:pPr>
            <w:r>
              <w:rPr>
                <w:rFonts w:hint="default"/>
              </w:rPr>
              <w:t>ND</w:t>
            </w:r>
          </w:p>
        </w:tc>
      </w:tr>
      <w:tr w14:paraId="1EF5DB5E">
        <w:tblPrEx>
          <w:tblCellMar>
            <w:top w:w="0" w:type="dxa"/>
            <w:left w:w="108" w:type="dxa"/>
            <w:bottom w:w="0" w:type="dxa"/>
            <w:right w:w="108" w:type="dxa"/>
          </w:tblCellMar>
        </w:tblPrEx>
        <w:trPr>
          <w:trHeight w:val="365"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68AB08">
            <w:pPr>
              <w:pStyle w:val="45"/>
              <w:rPr>
                <w:rFonts w:hint="default"/>
              </w:rPr>
            </w:pPr>
            <w:r>
              <w:rPr>
                <w:rFonts w:hint="default"/>
              </w:rPr>
              <w:t>1,1,2-</w:t>
            </w:r>
            <w:r>
              <w:t>三氯乙烷</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BEA87B">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FDFC6">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64E98B">
            <w:pPr>
              <w:pStyle w:val="45"/>
              <w:rPr>
                <w:rFonts w:hint="default"/>
              </w:rPr>
            </w:pPr>
            <w:r>
              <w:rPr>
                <w:rFonts w:hint="default"/>
              </w:rPr>
              <w:t>ND</w:t>
            </w:r>
          </w:p>
        </w:tc>
      </w:tr>
      <w:tr w14:paraId="5FE7AD32">
        <w:tblPrEx>
          <w:tblCellMar>
            <w:top w:w="0" w:type="dxa"/>
            <w:left w:w="108" w:type="dxa"/>
            <w:bottom w:w="0" w:type="dxa"/>
            <w:right w:w="108" w:type="dxa"/>
          </w:tblCellMar>
        </w:tblPrEx>
        <w:trPr>
          <w:trHeight w:val="253"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84218B">
            <w:pPr>
              <w:pStyle w:val="45"/>
              <w:rPr>
                <w:rFonts w:hint="default"/>
              </w:rPr>
            </w:pPr>
            <w:r>
              <w:t>三氯乙烯</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CF85F">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CD3FD">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6C611">
            <w:pPr>
              <w:pStyle w:val="45"/>
              <w:rPr>
                <w:rFonts w:hint="default"/>
              </w:rPr>
            </w:pPr>
            <w:r>
              <w:rPr>
                <w:rFonts w:hint="default"/>
              </w:rPr>
              <w:t>ND</w:t>
            </w:r>
          </w:p>
        </w:tc>
      </w:tr>
      <w:tr w14:paraId="27F383B6">
        <w:tblPrEx>
          <w:tblCellMar>
            <w:top w:w="0" w:type="dxa"/>
            <w:left w:w="108" w:type="dxa"/>
            <w:bottom w:w="0" w:type="dxa"/>
            <w:right w:w="108" w:type="dxa"/>
          </w:tblCellMar>
        </w:tblPrEx>
        <w:trPr>
          <w:trHeight w:val="365"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5B8E6D">
            <w:pPr>
              <w:pStyle w:val="45"/>
              <w:rPr>
                <w:rFonts w:hint="default"/>
              </w:rPr>
            </w:pPr>
            <w:r>
              <w:rPr>
                <w:rFonts w:hint="default"/>
              </w:rPr>
              <w:t>1,2,3-</w:t>
            </w:r>
            <w:r>
              <w:t>三氯丙烷</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A700D">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748A5">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B1E9F">
            <w:pPr>
              <w:pStyle w:val="45"/>
              <w:rPr>
                <w:rFonts w:hint="default"/>
              </w:rPr>
            </w:pPr>
            <w:r>
              <w:rPr>
                <w:rFonts w:hint="default"/>
              </w:rPr>
              <w:t>ND</w:t>
            </w:r>
          </w:p>
        </w:tc>
      </w:tr>
      <w:tr w14:paraId="239FEC51">
        <w:tblPrEx>
          <w:tblCellMar>
            <w:top w:w="0" w:type="dxa"/>
            <w:left w:w="108" w:type="dxa"/>
            <w:bottom w:w="0" w:type="dxa"/>
            <w:right w:w="108" w:type="dxa"/>
          </w:tblCellMar>
        </w:tblPrEx>
        <w:trPr>
          <w:trHeight w:val="253"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729197">
            <w:pPr>
              <w:pStyle w:val="45"/>
              <w:rPr>
                <w:rFonts w:hint="default"/>
              </w:rPr>
            </w:pPr>
            <w:r>
              <w:t>氯乙烯</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EC1E68">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F6A35">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C2D9B">
            <w:pPr>
              <w:pStyle w:val="45"/>
              <w:rPr>
                <w:rFonts w:hint="default"/>
              </w:rPr>
            </w:pPr>
            <w:r>
              <w:rPr>
                <w:rFonts w:hint="default"/>
              </w:rPr>
              <w:t>ND</w:t>
            </w:r>
          </w:p>
        </w:tc>
      </w:tr>
      <w:tr w14:paraId="560C2D7A">
        <w:tblPrEx>
          <w:tblCellMar>
            <w:top w:w="0" w:type="dxa"/>
            <w:left w:w="108" w:type="dxa"/>
            <w:bottom w:w="0" w:type="dxa"/>
            <w:right w:w="108" w:type="dxa"/>
          </w:tblCellMar>
        </w:tblPrEx>
        <w:trPr>
          <w:trHeight w:val="253"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969D3B">
            <w:pPr>
              <w:pStyle w:val="45"/>
              <w:rPr>
                <w:rFonts w:hint="default"/>
              </w:rPr>
            </w:pPr>
            <w:r>
              <w:t>苯</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884F74">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60B8F">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61CC01">
            <w:pPr>
              <w:pStyle w:val="45"/>
              <w:rPr>
                <w:rFonts w:hint="default"/>
              </w:rPr>
            </w:pPr>
            <w:r>
              <w:rPr>
                <w:rFonts w:hint="default"/>
              </w:rPr>
              <w:t>ND</w:t>
            </w:r>
          </w:p>
        </w:tc>
      </w:tr>
      <w:tr w14:paraId="7AE66C03">
        <w:tblPrEx>
          <w:tblCellMar>
            <w:top w:w="0" w:type="dxa"/>
            <w:left w:w="108" w:type="dxa"/>
            <w:bottom w:w="0" w:type="dxa"/>
            <w:right w:w="108" w:type="dxa"/>
          </w:tblCellMar>
        </w:tblPrEx>
        <w:trPr>
          <w:trHeight w:val="253"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8CAD29">
            <w:pPr>
              <w:pStyle w:val="45"/>
              <w:rPr>
                <w:rFonts w:hint="default"/>
              </w:rPr>
            </w:pPr>
            <w:r>
              <w:t>氯苯</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D76302">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F6001">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AC9FD8">
            <w:pPr>
              <w:pStyle w:val="45"/>
              <w:rPr>
                <w:rFonts w:hint="default"/>
              </w:rPr>
            </w:pPr>
            <w:r>
              <w:rPr>
                <w:rFonts w:hint="default"/>
              </w:rPr>
              <w:t>ND</w:t>
            </w:r>
          </w:p>
        </w:tc>
      </w:tr>
      <w:tr w14:paraId="3A1FB02E">
        <w:tblPrEx>
          <w:tblCellMar>
            <w:top w:w="0" w:type="dxa"/>
            <w:left w:w="108" w:type="dxa"/>
            <w:bottom w:w="0" w:type="dxa"/>
            <w:right w:w="108" w:type="dxa"/>
          </w:tblCellMar>
        </w:tblPrEx>
        <w:trPr>
          <w:trHeight w:val="256"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296791">
            <w:pPr>
              <w:pStyle w:val="45"/>
              <w:rPr>
                <w:rFonts w:hint="default"/>
              </w:rPr>
            </w:pPr>
            <w:r>
              <w:rPr>
                <w:rFonts w:hint="default"/>
              </w:rPr>
              <w:t>1,2-</w:t>
            </w:r>
            <w:r>
              <w:t>二氯苯</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74B650">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686C33">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3A8245">
            <w:pPr>
              <w:pStyle w:val="45"/>
              <w:rPr>
                <w:rFonts w:hint="default"/>
              </w:rPr>
            </w:pPr>
            <w:r>
              <w:rPr>
                <w:rFonts w:hint="default"/>
              </w:rPr>
              <w:t>ND</w:t>
            </w:r>
          </w:p>
        </w:tc>
      </w:tr>
      <w:tr w14:paraId="4BD2B515">
        <w:tblPrEx>
          <w:tblCellMar>
            <w:top w:w="0" w:type="dxa"/>
            <w:left w:w="108" w:type="dxa"/>
            <w:bottom w:w="0" w:type="dxa"/>
            <w:right w:w="108" w:type="dxa"/>
          </w:tblCellMar>
        </w:tblPrEx>
        <w:trPr>
          <w:trHeight w:val="256"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E8D940">
            <w:pPr>
              <w:pStyle w:val="45"/>
              <w:rPr>
                <w:rFonts w:hint="default"/>
              </w:rPr>
            </w:pPr>
            <w:r>
              <w:rPr>
                <w:rFonts w:hint="default"/>
              </w:rPr>
              <w:t>1,4-</w:t>
            </w:r>
            <w:r>
              <w:t>二氯苯</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3D817">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68F60">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4EA4C">
            <w:pPr>
              <w:pStyle w:val="45"/>
              <w:rPr>
                <w:rFonts w:hint="default"/>
              </w:rPr>
            </w:pPr>
            <w:r>
              <w:rPr>
                <w:rFonts w:hint="default"/>
              </w:rPr>
              <w:t>ND</w:t>
            </w:r>
          </w:p>
        </w:tc>
      </w:tr>
      <w:tr w14:paraId="337E9881">
        <w:tblPrEx>
          <w:tblCellMar>
            <w:top w:w="0" w:type="dxa"/>
            <w:left w:w="108" w:type="dxa"/>
            <w:bottom w:w="0" w:type="dxa"/>
            <w:right w:w="108" w:type="dxa"/>
          </w:tblCellMar>
        </w:tblPrEx>
        <w:trPr>
          <w:trHeight w:val="253"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853C02">
            <w:pPr>
              <w:pStyle w:val="45"/>
              <w:rPr>
                <w:rFonts w:hint="default"/>
              </w:rPr>
            </w:pPr>
            <w:r>
              <w:t>乙苯</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253E95">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263FE">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6D2DB">
            <w:pPr>
              <w:pStyle w:val="45"/>
              <w:rPr>
                <w:rFonts w:hint="default"/>
              </w:rPr>
            </w:pPr>
            <w:r>
              <w:rPr>
                <w:rFonts w:hint="default"/>
              </w:rPr>
              <w:t>ND</w:t>
            </w:r>
          </w:p>
        </w:tc>
      </w:tr>
      <w:tr w14:paraId="2D57F752">
        <w:tblPrEx>
          <w:tblCellMar>
            <w:top w:w="0" w:type="dxa"/>
            <w:left w:w="108" w:type="dxa"/>
            <w:bottom w:w="0" w:type="dxa"/>
            <w:right w:w="108" w:type="dxa"/>
          </w:tblCellMar>
        </w:tblPrEx>
        <w:trPr>
          <w:trHeight w:val="253"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27B4A1">
            <w:pPr>
              <w:pStyle w:val="45"/>
              <w:rPr>
                <w:rFonts w:hint="default"/>
              </w:rPr>
            </w:pPr>
            <w:r>
              <w:t>苯乙烯</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C706A">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7CD94F">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3C2BD">
            <w:pPr>
              <w:pStyle w:val="45"/>
              <w:rPr>
                <w:rFonts w:hint="default"/>
              </w:rPr>
            </w:pPr>
            <w:r>
              <w:rPr>
                <w:rFonts w:hint="default"/>
              </w:rPr>
              <w:t>ND</w:t>
            </w:r>
          </w:p>
        </w:tc>
      </w:tr>
      <w:tr w14:paraId="641FC20B">
        <w:tblPrEx>
          <w:tblCellMar>
            <w:top w:w="0" w:type="dxa"/>
            <w:left w:w="108" w:type="dxa"/>
            <w:bottom w:w="0" w:type="dxa"/>
            <w:right w:w="108" w:type="dxa"/>
          </w:tblCellMar>
        </w:tblPrEx>
        <w:trPr>
          <w:trHeight w:val="253"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D4A75B">
            <w:pPr>
              <w:pStyle w:val="45"/>
              <w:rPr>
                <w:rFonts w:hint="default"/>
              </w:rPr>
            </w:pPr>
            <w:r>
              <w:t>甲苯</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45F1E3">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F2F1A">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066FC">
            <w:pPr>
              <w:pStyle w:val="45"/>
              <w:rPr>
                <w:rFonts w:hint="default"/>
              </w:rPr>
            </w:pPr>
            <w:r>
              <w:rPr>
                <w:rFonts w:hint="default"/>
              </w:rPr>
              <w:t>ND</w:t>
            </w:r>
          </w:p>
        </w:tc>
      </w:tr>
      <w:tr w14:paraId="04BFB24C">
        <w:tblPrEx>
          <w:tblCellMar>
            <w:top w:w="0" w:type="dxa"/>
            <w:left w:w="108" w:type="dxa"/>
            <w:bottom w:w="0" w:type="dxa"/>
            <w:right w:w="108" w:type="dxa"/>
          </w:tblCellMar>
        </w:tblPrEx>
        <w:trPr>
          <w:trHeight w:val="365"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4145E0">
            <w:pPr>
              <w:pStyle w:val="45"/>
              <w:rPr>
                <w:rFonts w:hint="default"/>
              </w:rPr>
            </w:pPr>
            <w:r>
              <w:t>间二甲苯</w:t>
            </w:r>
            <w:r>
              <w:rPr>
                <w:rFonts w:hint="default"/>
              </w:rPr>
              <w:t>+</w:t>
            </w:r>
            <w:r>
              <w:t>对二甲苯</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CF08D">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2CCAD">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7812E">
            <w:pPr>
              <w:pStyle w:val="45"/>
              <w:rPr>
                <w:rFonts w:hint="default"/>
              </w:rPr>
            </w:pPr>
            <w:r>
              <w:rPr>
                <w:rFonts w:hint="default"/>
              </w:rPr>
              <w:t>ND</w:t>
            </w:r>
          </w:p>
        </w:tc>
      </w:tr>
      <w:tr w14:paraId="6714DDC1">
        <w:tblPrEx>
          <w:tblCellMar>
            <w:top w:w="0" w:type="dxa"/>
            <w:left w:w="108" w:type="dxa"/>
            <w:bottom w:w="0" w:type="dxa"/>
            <w:right w:w="108" w:type="dxa"/>
          </w:tblCellMar>
        </w:tblPrEx>
        <w:trPr>
          <w:trHeight w:val="256"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DF3E21">
            <w:pPr>
              <w:pStyle w:val="45"/>
              <w:rPr>
                <w:rFonts w:hint="default"/>
              </w:rPr>
            </w:pPr>
            <w:r>
              <w:t>邻</w:t>
            </w:r>
            <w:r>
              <w:rPr>
                <w:rFonts w:hint="default"/>
              </w:rPr>
              <w:t>-</w:t>
            </w:r>
            <w:r>
              <w:t>二甲苯</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4CC28">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61EC8">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71B4D">
            <w:pPr>
              <w:pStyle w:val="45"/>
              <w:rPr>
                <w:rFonts w:hint="default"/>
              </w:rPr>
            </w:pPr>
            <w:r>
              <w:rPr>
                <w:rFonts w:hint="default"/>
              </w:rPr>
              <w:t>ND</w:t>
            </w:r>
          </w:p>
        </w:tc>
      </w:tr>
      <w:tr w14:paraId="351F71A1">
        <w:tblPrEx>
          <w:tblCellMar>
            <w:top w:w="0" w:type="dxa"/>
            <w:left w:w="108" w:type="dxa"/>
            <w:bottom w:w="0" w:type="dxa"/>
            <w:right w:w="108" w:type="dxa"/>
          </w:tblCellMar>
        </w:tblPrEx>
        <w:trPr>
          <w:trHeight w:val="262" w:hRule="atLeast"/>
        </w:trPr>
        <w:tc>
          <w:tcPr>
            <w:tcW w:w="18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650D64">
            <w:pPr>
              <w:pStyle w:val="45"/>
              <w:rPr>
                <w:rFonts w:hint="default"/>
              </w:rPr>
            </w:pPr>
            <w:r>
              <w:t>氯甲烷</w:t>
            </w:r>
            <w:r>
              <w:rPr>
                <w:rFonts w:hint="default"/>
              </w:rPr>
              <w:t>mg/kg</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FEF34">
            <w:pPr>
              <w:pStyle w:val="45"/>
              <w:rPr>
                <w:rFonts w:hint="default"/>
              </w:rPr>
            </w:pPr>
            <w:r>
              <w:rPr>
                <w:rFonts w:hint="default"/>
              </w:rPr>
              <w:t>ND</w:t>
            </w:r>
          </w:p>
        </w:tc>
        <w:tc>
          <w:tcPr>
            <w:tcW w:w="10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87CCF">
            <w:pPr>
              <w:pStyle w:val="45"/>
              <w:rPr>
                <w:rFonts w:hint="default"/>
              </w:rPr>
            </w:pPr>
            <w:r>
              <w:rPr>
                <w:rFonts w:hint="default"/>
              </w:rPr>
              <w:t>ND</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1955E">
            <w:pPr>
              <w:pStyle w:val="45"/>
              <w:rPr>
                <w:rFonts w:hint="default"/>
              </w:rPr>
            </w:pPr>
            <w:r>
              <w:rPr>
                <w:rFonts w:hint="default"/>
              </w:rPr>
              <w:t>ND</w:t>
            </w:r>
          </w:p>
        </w:tc>
      </w:tr>
    </w:tbl>
    <w:p w14:paraId="41075074">
      <w:pPr>
        <w:ind w:firstLine="0" w:firstLineChars="0"/>
      </w:pPr>
    </w:p>
    <w:p w14:paraId="08F8A275">
      <w:pPr>
        <w:pStyle w:val="43"/>
        <w:numPr>
          <w:ilvl w:val="5"/>
          <w:numId w:val="1"/>
        </w:numPr>
        <w:rPr>
          <w:rFonts w:hint="default"/>
        </w:rPr>
      </w:pPr>
      <w:r>
        <w:rPr>
          <w:rFonts w:hint="default"/>
        </w:rPr>
        <w:t>土壤</w:t>
      </w:r>
      <w:r>
        <w:t>半</w:t>
      </w:r>
      <w:r>
        <w:rPr>
          <w:rFonts w:hint="default"/>
        </w:rPr>
        <w:t>挥发性有机物检测结果</w:t>
      </w:r>
      <w:r>
        <w:t>（TC1）</w:t>
      </w:r>
    </w:p>
    <w:tbl>
      <w:tblPr>
        <w:tblStyle w:val="32"/>
        <w:tblW w:w="5114" w:type="pct"/>
        <w:tblInd w:w="0" w:type="dxa"/>
        <w:tblLayout w:type="autofit"/>
        <w:tblCellMar>
          <w:top w:w="0" w:type="dxa"/>
          <w:left w:w="108" w:type="dxa"/>
          <w:bottom w:w="0" w:type="dxa"/>
          <w:right w:w="108" w:type="dxa"/>
        </w:tblCellMar>
      </w:tblPr>
      <w:tblGrid>
        <w:gridCol w:w="3283"/>
        <w:gridCol w:w="1609"/>
        <w:gridCol w:w="1907"/>
        <w:gridCol w:w="1917"/>
      </w:tblGrid>
      <w:tr w14:paraId="627BD954">
        <w:tblPrEx>
          <w:tblCellMar>
            <w:top w:w="0" w:type="dxa"/>
            <w:left w:w="108" w:type="dxa"/>
            <w:bottom w:w="0" w:type="dxa"/>
            <w:right w:w="108" w:type="dxa"/>
          </w:tblCellMar>
        </w:tblPrEx>
        <w:trPr>
          <w:trHeight w:val="90" w:hRule="atLeast"/>
          <w:tblHeader/>
        </w:trPr>
        <w:tc>
          <w:tcPr>
            <w:tcW w:w="18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753F1E">
            <w:pPr>
              <w:pStyle w:val="45"/>
              <w:rPr>
                <w:rFonts w:hint="default"/>
                <w:b/>
                <w:bCs/>
              </w:rPr>
            </w:pPr>
            <w:r>
              <w:rPr>
                <w:rFonts w:hint="default"/>
                <w:b/>
                <w:bCs/>
              </w:rPr>
              <w:t>采样点位</w:t>
            </w:r>
          </w:p>
        </w:tc>
        <w:tc>
          <w:tcPr>
            <w:tcW w:w="311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FC62F61">
            <w:pPr>
              <w:pStyle w:val="45"/>
              <w:rPr>
                <w:rFonts w:hint="default"/>
                <w:b/>
                <w:bCs/>
              </w:rPr>
            </w:pPr>
            <w:r>
              <w:rPr>
                <w:b/>
                <w:bCs/>
              </w:rPr>
              <w:t>厂区中心（厂内表层样）TC1</w:t>
            </w:r>
          </w:p>
        </w:tc>
      </w:tr>
      <w:tr w14:paraId="01A55C12">
        <w:tblPrEx>
          <w:tblCellMar>
            <w:top w:w="0" w:type="dxa"/>
            <w:left w:w="108" w:type="dxa"/>
            <w:bottom w:w="0" w:type="dxa"/>
            <w:right w:w="108" w:type="dxa"/>
          </w:tblCellMar>
        </w:tblPrEx>
        <w:trPr>
          <w:trHeight w:val="90" w:hRule="atLeast"/>
          <w:tblHeader/>
        </w:trPr>
        <w:tc>
          <w:tcPr>
            <w:tcW w:w="18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55D6D3">
            <w:pPr>
              <w:pStyle w:val="45"/>
              <w:rPr>
                <w:rFonts w:hint="default"/>
                <w:b/>
                <w:bCs/>
              </w:rPr>
            </w:pPr>
            <w:r>
              <w:rPr>
                <w:b/>
                <w:bCs/>
              </w:rPr>
              <w:t>采样时间</w:t>
            </w:r>
          </w:p>
        </w:tc>
        <w:tc>
          <w:tcPr>
            <w:tcW w:w="9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BA0C62">
            <w:pPr>
              <w:pStyle w:val="45"/>
              <w:rPr>
                <w:rFonts w:hint="default"/>
                <w:b/>
                <w:bCs/>
              </w:rPr>
            </w:pPr>
            <w:r>
              <w:rPr>
                <w:rFonts w:hint="default"/>
                <w:b/>
                <w:bCs/>
              </w:rPr>
              <w:t>2023.8.30</w:t>
            </w:r>
          </w:p>
        </w:tc>
        <w:tc>
          <w:tcPr>
            <w:tcW w:w="10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D81B8F">
            <w:pPr>
              <w:pStyle w:val="45"/>
              <w:rPr>
                <w:rFonts w:hint="default"/>
                <w:b/>
                <w:bCs/>
              </w:rPr>
            </w:pPr>
            <w:r>
              <w:rPr>
                <w:rFonts w:hint="default"/>
                <w:b/>
                <w:bCs/>
              </w:rPr>
              <w:t>2023.8.30</w:t>
            </w:r>
            <w:r>
              <w:rPr>
                <w:b/>
                <w:bCs/>
              </w:rPr>
              <w:t>平行</w:t>
            </w:r>
          </w:p>
        </w:tc>
        <w:tc>
          <w:tcPr>
            <w:tcW w:w="10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0DE3C0">
            <w:pPr>
              <w:pStyle w:val="45"/>
              <w:rPr>
                <w:rFonts w:hint="default"/>
                <w:b/>
                <w:bCs/>
              </w:rPr>
            </w:pPr>
            <w:r>
              <w:rPr>
                <w:rFonts w:hint="default"/>
                <w:b/>
                <w:bCs/>
              </w:rPr>
              <w:t>2023.8.30</w:t>
            </w:r>
            <w:r>
              <w:rPr>
                <w:b/>
                <w:bCs/>
              </w:rPr>
              <w:t>均值</w:t>
            </w:r>
          </w:p>
        </w:tc>
      </w:tr>
      <w:tr w14:paraId="5FFFA741">
        <w:tblPrEx>
          <w:tblCellMar>
            <w:top w:w="0" w:type="dxa"/>
            <w:left w:w="108" w:type="dxa"/>
            <w:bottom w:w="0" w:type="dxa"/>
            <w:right w:w="108" w:type="dxa"/>
          </w:tblCellMar>
        </w:tblPrEx>
        <w:trPr>
          <w:trHeight w:val="90" w:hRule="atLeast"/>
          <w:tblHeader/>
        </w:trPr>
        <w:tc>
          <w:tcPr>
            <w:tcW w:w="18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8038E4">
            <w:pPr>
              <w:pStyle w:val="45"/>
              <w:rPr>
                <w:rFonts w:hint="default"/>
                <w:b/>
                <w:bCs/>
              </w:rPr>
            </w:pPr>
            <w:r>
              <w:rPr>
                <w:b/>
                <w:bCs/>
              </w:rPr>
              <w:t>采样深度（</w:t>
            </w:r>
            <w:r>
              <w:rPr>
                <w:rFonts w:hint="default"/>
                <w:b/>
                <w:bCs/>
              </w:rPr>
              <w:t>cm</w:t>
            </w:r>
            <w:r>
              <w:rPr>
                <w:b/>
                <w:bCs/>
              </w:rPr>
              <w:t>）</w:t>
            </w:r>
          </w:p>
        </w:tc>
        <w:tc>
          <w:tcPr>
            <w:tcW w:w="9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330D06">
            <w:pPr>
              <w:pStyle w:val="45"/>
              <w:rPr>
                <w:rFonts w:hint="default"/>
                <w:b/>
                <w:bCs/>
              </w:rPr>
            </w:pPr>
            <w:r>
              <w:rPr>
                <w:rFonts w:hint="default"/>
                <w:b/>
                <w:bCs/>
              </w:rPr>
              <w:t>0-20</w:t>
            </w:r>
          </w:p>
        </w:tc>
        <w:tc>
          <w:tcPr>
            <w:tcW w:w="10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A8BB99">
            <w:pPr>
              <w:pStyle w:val="45"/>
              <w:rPr>
                <w:rFonts w:hint="default"/>
                <w:b/>
                <w:bCs/>
              </w:rPr>
            </w:pPr>
            <w:r>
              <w:rPr>
                <w:rFonts w:hint="default"/>
                <w:b/>
                <w:bCs/>
              </w:rPr>
              <w:t>0-20</w:t>
            </w:r>
          </w:p>
        </w:tc>
        <w:tc>
          <w:tcPr>
            <w:tcW w:w="10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BF2A2">
            <w:pPr>
              <w:pStyle w:val="45"/>
              <w:rPr>
                <w:rFonts w:hint="default"/>
                <w:b/>
                <w:bCs/>
              </w:rPr>
            </w:pPr>
            <w:r>
              <w:rPr>
                <w:rFonts w:hint="default"/>
                <w:b/>
                <w:bCs/>
              </w:rPr>
              <w:t>/</w:t>
            </w:r>
          </w:p>
        </w:tc>
      </w:tr>
      <w:tr w14:paraId="73B1315D">
        <w:tblPrEx>
          <w:tblCellMar>
            <w:top w:w="0" w:type="dxa"/>
            <w:left w:w="108" w:type="dxa"/>
            <w:bottom w:w="0" w:type="dxa"/>
            <w:right w:w="108" w:type="dxa"/>
          </w:tblCellMar>
        </w:tblPrEx>
        <w:trPr>
          <w:trHeight w:val="90" w:hRule="atLeast"/>
        </w:trPr>
        <w:tc>
          <w:tcPr>
            <w:tcW w:w="18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62EC21">
            <w:pPr>
              <w:pStyle w:val="45"/>
              <w:rPr>
                <w:rFonts w:hint="default"/>
              </w:rPr>
            </w:pPr>
            <w:r>
              <w:rPr>
                <w:rFonts w:hint="default"/>
              </w:rPr>
              <w:t>硝基苯 mg/kg</w:t>
            </w:r>
          </w:p>
        </w:tc>
        <w:tc>
          <w:tcPr>
            <w:tcW w:w="9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7B462">
            <w:pPr>
              <w:pStyle w:val="45"/>
              <w:rPr>
                <w:rFonts w:hint="default"/>
              </w:rPr>
            </w:pPr>
            <w:r>
              <w:rPr>
                <w:rFonts w:hint="default"/>
              </w:rPr>
              <w:t>ND</w:t>
            </w:r>
          </w:p>
        </w:tc>
        <w:tc>
          <w:tcPr>
            <w:tcW w:w="10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8AEC9">
            <w:pPr>
              <w:pStyle w:val="45"/>
              <w:rPr>
                <w:rFonts w:hint="default"/>
              </w:rPr>
            </w:pPr>
            <w:r>
              <w:rPr>
                <w:rFonts w:hint="default"/>
              </w:rPr>
              <w:t>ND</w:t>
            </w:r>
          </w:p>
        </w:tc>
        <w:tc>
          <w:tcPr>
            <w:tcW w:w="10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8464A">
            <w:pPr>
              <w:pStyle w:val="45"/>
              <w:rPr>
                <w:rFonts w:hint="default"/>
              </w:rPr>
            </w:pPr>
            <w:r>
              <w:rPr>
                <w:rFonts w:hint="default"/>
              </w:rPr>
              <w:t>ND</w:t>
            </w:r>
          </w:p>
        </w:tc>
      </w:tr>
      <w:tr w14:paraId="56522640">
        <w:tblPrEx>
          <w:tblCellMar>
            <w:top w:w="0" w:type="dxa"/>
            <w:left w:w="108" w:type="dxa"/>
            <w:bottom w:w="0" w:type="dxa"/>
            <w:right w:w="108" w:type="dxa"/>
          </w:tblCellMar>
        </w:tblPrEx>
        <w:trPr>
          <w:trHeight w:val="90" w:hRule="atLeast"/>
        </w:trPr>
        <w:tc>
          <w:tcPr>
            <w:tcW w:w="18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0A1041">
            <w:pPr>
              <w:pStyle w:val="45"/>
              <w:rPr>
                <w:rFonts w:hint="default"/>
              </w:rPr>
            </w:pPr>
            <w:r>
              <w:rPr>
                <w:rFonts w:hint="default"/>
              </w:rPr>
              <w:t>苯胺 mg/kg</w:t>
            </w:r>
          </w:p>
        </w:tc>
        <w:tc>
          <w:tcPr>
            <w:tcW w:w="9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0475B">
            <w:pPr>
              <w:pStyle w:val="45"/>
              <w:rPr>
                <w:rFonts w:hint="default"/>
              </w:rPr>
            </w:pPr>
            <w:r>
              <w:rPr>
                <w:rFonts w:hint="default"/>
              </w:rPr>
              <w:t>ND</w:t>
            </w:r>
          </w:p>
        </w:tc>
        <w:tc>
          <w:tcPr>
            <w:tcW w:w="10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65297">
            <w:pPr>
              <w:pStyle w:val="45"/>
              <w:rPr>
                <w:rFonts w:hint="default"/>
              </w:rPr>
            </w:pPr>
            <w:r>
              <w:rPr>
                <w:rFonts w:hint="default"/>
              </w:rPr>
              <w:t>ND</w:t>
            </w:r>
          </w:p>
        </w:tc>
        <w:tc>
          <w:tcPr>
            <w:tcW w:w="10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6A5B1">
            <w:pPr>
              <w:pStyle w:val="45"/>
              <w:rPr>
                <w:rFonts w:hint="default"/>
              </w:rPr>
            </w:pPr>
            <w:r>
              <w:rPr>
                <w:rFonts w:hint="default"/>
              </w:rPr>
              <w:t>ND</w:t>
            </w:r>
          </w:p>
        </w:tc>
      </w:tr>
      <w:tr w14:paraId="6107879D">
        <w:tblPrEx>
          <w:tblCellMar>
            <w:top w:w="0" w:type="dxa"/>
            <w:left w:w="108" w:type="dxa"/>
            <w:bottom w:w="0" w:type="dxa"/>
            <w:right w:w="108" w:type="dxa"/>
          </w:tblCellMar>
        </w:tblPrEx>
        <w:trPr>
          <w:trHeight w:val="90" w:hRule="atLeast"/>
        </w:trPr>
        <w:tc>
          <w:tcPr>
            <w:tcW w:w="18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9B6BBE">
            <w:pPr>
              <w:pStyle w:val="45"/>
              <w:rPr>
                <w:rFonts w:hint="default"/>
              </w:rPr>
            </w:pPr>
            <w:r>
              <w:rPr>
                <w:rFonts w:hint="default"/>
              </w:rPr>
              <w:t>2-氯酚 mg/kg</w:t>
            </w:r>
          </w:p>
        </w:tc>
        <w:tc>
          <w:tcPr>
            <w:tcW w:w="9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51038">
            <w:pPr>
              <w:pStyle w:val="45"/>
              <w:rPr>
                <w:rFonts w:hint="default"/>
              </w:rPr>
            </w:pPr>
            <w:r>
              <w:rPr>
                <w:rFonts w:hint="default"/>
              </w:rPr>
              <w:t>ND</w:t>
            </w:r>
          </w:p>
        </w:tc>
        <w:tc>
          <w:tcPr>
            <w:tcW w:w="10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CD63C">
            <w:pPr>
              <w:pStyle w:val="45"/>
              <w:rPr>
                <w:rFonts w:hint="default"/>
              </w:rPr>
            </w:pPr>
            <w:r>
              <w:rPr>
                <w:rFonts w:hint="default"/>
              </w:rPr>
              <w:t>ND</w:t>
            </w:r>
          </w:p>
        </w:tc>
        <w:tc>
          <w:tcPr>
            <w:tcW w:w="10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8A8F29">
            <w:pPr>
              <w:pStyle w:val="45"/>
              <w:rPr>
                <w:rFonts w:hint="default"/>
              </w:rPr>
            </w:pPr>
            <w:r>
              <w:rPr>
                <w:rFonts w:hint="default"/>
              </w:rPr>
              <w:t>ND</w:t>
            </w:r>
          </w:p>
        </w:tc>
      </w:tr>
      <w:tr w14:paraId="49516AB9">
        <w:tblPrEx>
          <w:tblCellMar>
            <w:top w:w="0" w:type="dxa"/>
            <w:left w:w="108" w:type="dxa"/>
            <w:bottom w:w="0" w:type="dxa"/>
            <w:right w:w="108" w:type="dxa"/>
          </w:tblCellMar>
        </w:tblPrEx>
        <w:trPr>
          <w:trHeight w:val="90" w:hRule="atLeast"/>
        </w:trPr>
        <w:tc>
          <w:tcPr>
            <w:tcW w:w="18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1F9762">
            <w:pPr>
              <w:pStyle w:val="45"/>
              <w:rPr>
                <w:rFonts w:hint="default"/>
              </w:rPr>
            </w:pPr>
            <w:r>
              <w:rPr>
                <w:rFonts w:hint="default"/>
              </w:rPr>
              <w:t>苯并(a)蒽 mg/kg</w:t>
            </w:r>
          </w:p>
        </w:tc>
        <w:tc>
          <w:tcPr>
            <w:tcW w:w="9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A494B">
            <w:pPr>
              <w:pStyle w:val="45"/>
              <w:rPr>
                <w:rFonts w:hint="default"/>
              </w:rPr>
            </w:pPr>
            <w:r>
              <w:rPr>
                <w:rFonts w:hint="default"/>
              </w:rPr>
              <w:t>ND</w:t>
            </w:r>
          </w:p>
        </w:tc>
        <w:tc>
          <w:tcPr>
            <w:tcW w:w="10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F5FCFF">
            <w:pPr>
              <w:pStyle w:val="45"/>
              <w:rPr>
                <w:rFonts w:hint="default"/>
              </w:rPr>
            </w:pPr>
            <w:r>
              <w:rPr>
                <w:rFonts w:hint="default"/>
              </w:rPr>
              <w:t>ND</w:t>
            </w:r>
          </w:p>
        </w:tc>
        <w:tc>
          <w:tcPr>
            <w:tcW w:w="10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DFAEE">
            <w:pPr>
              <w:pStyle w:val="45"/>
              <w:rPr>
                <w:rFonts w:hint="default"/>
              </w:rPr>
            </w:pPr>
            <w:r>
              <w:rPr>
                <w:rFonts w:hint="default"/>
              </w:rPr>
              <w:t>ND</w:t>
            </w:r>
          </w:p>
        </w:tc>
      </w:tr>
      <w:tr w14:paraId="3D0F6CB2">
        <w:tblPrEx>
          <w:tblCellMar>
            <w:top w:w="0" w:type="dxa"/>
            <w:left w:w="108" w:type="dxa"/>
            <w:bottom w:w="0" w:type="dxa"/>
            <w:right w:w="108" w:type="dxa"/>
          </w:tblCellMar>
        </w:tblPrEx>
        <w:trPr>
          <w:trHeight w:val="90" w:hRule="atLeast"/>
        </w:trPr>
        <w:tc>
          <w:tcPr>
            <w:tcW w:w="18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69B798">
            <w:pPr>
              <w:pStyle w:val="45"/>
              <w:rPr>
                <w:rFonts w:hint="default"/>
              </w:rPr>
            </w:pPr>
            <w:r>
              <w:rPr>
                <w:rFonts w:hint="default"/>
              </w:rPr>
              <w:t>苯并(a)芘 mg/kg</w:t>
            </w:r>
          </w:p>
        </w:tc>
        <w:tc>
          <w:tcPr>
            <w:tcW w:w="9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0B85FB">
            <w:pPr>
              <w:pStyle w:val="45"/>
              <w:rPr>
                <w:rFonts w:hint="default"/>
              </w:rPr>
            </w:pPr>
            <w:r>
              <w:rPr>
                <w:rFonts w:hint="default"/>
              </w:rPr>
              <w:t>ND</w:t>
            </w:r>
          </w:p>
        </w:tc>
        <w:tc>
          <w:tcPr>
            <w:tcW w:w="10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59FF4">
            <w:pPr>
              <w:pStyle w:val="45"/>
              <w:rPr>
                <w:rFonts w:hint="default"/>
              </w:rPr>
            </w:pPr>
            <w:r>
              <w:rPr>
                <w:rFonts w:hint="default"/>
              </w:rPr>
              <w:t>ND</w:t>
            </w:r>
          </w:p>
        </w:tc>
        <w:tc>
          <w:tcPr>
            <w:tcW w:w="10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867BA1">
            <w:pPr>
              <w:pStyle w:val="45"/>
              <w:rPr>
                <w:rFonts w:hint="default"/>
              </w:rPr>
            </w:pPr>
            <w:r>
              <w:rPr>
                <w:rFonts w:hint="default"/>
              </w:rPr>
              <w:t>ND</w:t>
            </w:r>
          </w:p>
        </w:tc>
      </w:tr>
      <w:tr w14:paraId="32E97995">
        <w:tblPrEx>
          <w:tblCellMar>
            <w:top w:w="0" w:type="dxa"/>
            <w:left w:w="108" w:type="dxa"/>
            <w:bottom w:w="0" w:type="dxa"/>
            <w:right w:w="108" w:type="dxa"/>
          </w:tblCellMar>
        </w:tblPrEx>
        <w:trPr>
          <w:trHeight w:val="90" w:hRule="atLeast"/>
        </w:trPr>
        <w:tc>
          <w:tcPr>
            <w:tcW w:w="18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381890">
            <w:pPr>
              <w:pStyle w:val="45"/>
              <w:rPr>
                <w:rFonts w:hint="default"/>
              </w:rPr>
            </w:pPr>
            <w:r>
              <w:rPr>
                <w:rFonts w:hint="default"/>
              </w:rPr>
              <w:t>苯并(b)荧蒽 mg/kg</w:t>
            </w:r>
          </w:p>
        </w:tc>
        <w:tc>
          <w:tcPr>
            <w:tcW w:w="9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165EA">
            <w:pPr>
              <w:pStyle w:val="45"/>
              <w:rPr>
                <w:rFonts w:hint="default"/>
              </w:rPr>
            </w:pPr>
            <w:r>
              <w:rPr>
                <w:rFonts w:hint="default"/>
              </w:rPr>
              <w:t>ND</w:t>
            </w:r>
          </w:p>
        </w:tc>
        <w:tc>
          <w:tcPr>
            <w:tcW w:w="10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EF2F7">
            <w:pPr>
              <w:pStyle w:val="45"/>
              <w:rPr>
                <w:rFonts w:hint="default"/>
              </w:rPr>
            </w:pPr>
            <w:r>
              <w:rPr>
                <w:rFonts w:hint="default"/>
              </w:rPr>
              <w:t>ND</w:t>
            </w:r>
          </w:p>
        </w:tc>
        <w:tc>
          <w:tcPr>
            <w:tcW w:w="10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97A54">
            <w:pPr>
              <w:pStyle w:val="45"/>
              <w:rPr>
                <w:rFonts w:hint="default"/>
              </w:rPr>
            </w:pPr>
            <w:r>
              <w:rPr>
                <w:rFonts w:hint="default"/>
              </w:rPr>
              <w:t>ND</w:t>
            </w:r>
          </w:p>
        </w:tc>
      </w:tr>
      <w:tr w14:paraId="7A7A3E98">
        <w:tblPrEx>
          <w:tblCellMar>
            <w:top w:w="0" w:type="dxa"/>
            <w:left w:w="108" w:type="dxa"/>
            <w:bottom w:w="0" w:type="dxa"/>
            <w:right w:w="108" w:type="dxa"/>
          </w:tblCellMar>
        </w:tblPrEx>
        <w:trPr>
          <w:trHeight w:val="90" w:hRule="atLeast"/>
        </w:trPr>
        <w:tc>
          <w:tcPr>
            <w:tcW w:w="18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BA8EBD">
            <w:pPr>
              <w:pStyle w:val="45"/>
              <w:rPr>
                <w:rFonts w:hint="default"/>
              </w:rPr>
            </w:pPr>
            <w:r>
              <w:rPr>
                <w:rFonts w:hint="default"/>
              </w:rPr>
              <w:t>苯并(k)荧蒽mg/kg</w:t>
            </w:r>
          </w:p>
        </w:tc>
        <w:tc>
          <w:tcPr>
            <w:tcW w:w="9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4DB94">
            <w:pPr>
              <w:pStyle w:val="45"/>
              <w:rPr>
                <w:rFonts w:hint="default"/>
              </w:rPr>
            </w:pPr>
            <w:r>
              <w:rPr>
                <w:rFonts w:hint="default"/>
              </w:rPr>
              <w:t>ND</w:t>
            </w:r>
          </w:p>
        </w:tc>
        <w:tc>
          <w:tcPr>
            <w:tcW w:w="10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78F6B0">
            <w:pPr>
              <w:pStyle w:val="45"/>
              <w:rPr>
                <w:rFonts w:hint="default"/>
              </w:rPr>
            </w:pPr>
            <w:r>
              <w:rPr>
                <w:rFonts w:hint="default"/>
              </w:rPr>
              <w:t>ND</w:t>
            </w:r>
          </w:p>
        </w:tc>
        <w:tc>
          <w:tcPr>
            <w:tcW w:w="10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138FA">
            <w:pPr>
              <w:pStyle w:val="45"/>
              <w:rPr>
                <w:rFonts w:hint="default"/>
              </w:rPr>
            </w:pPr>
            <w:r>
              <w:rPr>
                <w:rFonts w:hint="default"/>
              </w:rPr>
              <w:t>ND</w:t>
            </w:r>
          </w:p>
        </w:tc>
      </w:tr>
      <w:tr w14:paraId="7FCE2882">
        <w:tblPrEx>
          <w:tblCellMar>
            <w:top w:w="0" w:type="dxa"/>
            <w:left w:w="108" w:type="dxa"/>
            <w:bottom w:w="0" w:type="dxa"/>
            <w:right w:w="108" w:type="dxa"/>
          </w:tblCellMar>
        </w:tblPrEx>
        <w:trPr>
          <w:trHeight w:val="90" w:hRule="atLeast"/>
        </w:trPr>
        <w:tc>
          <w:tcPr>
            <w:tcW w:w="18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DF196D">
            <w:pPr>
              <w:pStyle w:val="45"/>
              <w:rPr>
                <w:rFonts w:hint="default"/>
              </w:rPr>
            </w:pPr>
            <w:r>
              <w:rPr>
                <w:rFonts w:hint="default"/>
              </w:rPr>
              <w:t>䓛    mg/kg</w:t>
            </w:r>
          </w:p>
        </w:tc>
        <w:tc>
          <w:tcPr>
            <w:tcW w:w="9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34431">
            <w:pPr>
              <w:pStyle w:val="45"/>
              <w:rPr>
                <w:rFonts w:hint="default"/>
              </w:rPr>
            </w:pPr>
            <w:r>
              <w:rPr>
                <w:rFonts w:hint="default"/>
              </w:rPr>
              <w:t>ND</w:t>
            </w:r>
          </w:p>
        </w:tc>
        <w:tc>
          <w:tcPr>
            <w:tcW w:w="10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1C84B">
            <w:pPr>
              <w:pStyle w:val="45"/>
              <w:rPr>
                <w:rFonts w:hint="default"/>
              </w:rPr>
            </w:pPr>
            <w:r>
              <w:rPr>
                <w:rFonts w:hint="default"/>
              </w:rPr>
              <w:t>ND</w:t>
            </w:r>
          </w:p>
        </w:tc>
        <w:tc>
          <w:tcPr>
            <w:tcW w:w="10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633FA2">
            <w:pPr>
              <w:pStyle w:val="45"/>
              <w:rPr>
                <w:rFonts w:hint="default"/>
              </w:rPr>
            </w:pPr>
            <w:r>
              <w:rPr>
                <w:rFonts w:hint="default"/>
              </w:rPr>
              <w:t>ND</w:t>
            </w:r>
          </w:p>
        </w:tc>
      </w:tr>
      <w:tr w14:paraId="27F085B1">
        <w:tblPrEx>
          <w:tblCellMar>
            <w:top w:w="0" w:type="dxa"/>
            <w:left w:w="108" w:type="dxa"/>
            <w:bottom w:w="0" w:type="dxa"/>
            <w:right w:w="108" w:type="dxa"/>
          </w:tblCellMar>
        </w:tblPrEx>
        <w:trPr>
          <w:trHeight w:val="90" w:hRule="atLeast"/>
        </w:trPr>
        <w:tc>
          <w:tcPr>
            <w:tcW w:w="18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9EA1B8">
            <w:pPr>
              <w:pStyle w:val="45"/>
              <w:rPr>
                <w:rFonts w:hint="default"/>
              </w:rPr>
            </w:pPr>
            <w:r>
              <w:rPr>
                <w:rFonts w:hint="default"/>
              </w:rPr>
              <w:t>二苯并(a,h)蒽 mg/kg</w:t>
            </w:r>
          </w:p>
        </w:tc>
        <w:tc>
          <w:tcPr>
            <w:tcW w:w="9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D16FC">
            <w:pPr>
              <w:pStyle w:val="45"/>
              <w:rPr>
                <w:rFonts w:hint="default"/>
              </w:rPr>
            </w:pPr>
            <w:r>
              <w:rPr>
                <w:rFonts w:hint="default"/>
              </w:rPr>
              <w:t>ND</w:t>
            </w:r>
          </w:p>
        </w:tc>
        <w:tc>
          <w:tcPr>
            <w:tcW w:w="10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4045CB">
            <w:pPr>
              <w:pStyle w:val="45"/>
              <w:rPr>
                <w:rFonts w:hint="default"/>
              </w:rPr>
            </w:pPr>
            <w:r>
              <w:rPr>
                <w:rFonts w:hint="default"/>
              </w:rPr>
              <w:t>ND</w:t>
            </w:r>
          </w:p>
        </w:tc>
        <w:tc>
          <w:tcPr>
            <w:tcW w:w="10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0314F">
            <w:pPr>
              <w:pStyle w:val="45"/>
              <w:rPr>
                <w:rFonts w:hint="default"/>
              </w:rPr>
            </w:pPr>
            <w:r>
              <w:rPr>
                <w:rFonts w:hint="default"/>
              </w:rPr>
              <w:t>ND</w:t>
            </w:r>
          </w:p>
        </w:tc>
      </w:tr>
      <w:tr w14:paraId="2345A084">
        <w:tblPrEx>
          <w:tblCellMar>
            <w:top w:w="0" w:type="dxa"/>
            <w:left w:w="108" w:type="dxa"/>
            <w:bottom w:w="0" w:type="dxa"/>
            <w:right w:w="108" w:type="dxa"/>
          </w:tblCellMar>
        </w:tblPrEx>
        <w:trPr>
          <w:trHeight w:val="90" w:hRule="atLeast"/>
        </w:trPr>
        <w:tc>
          <w:tcPr>
            <w:tcW w:w="18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19D540">
            <w:pPr>
              <w:pStyle w:val="45"/>
              <w:rPr>
                <w:rFonts w:hint="default"/>
              </w:rPr>
            </w:pPr>
            <w:r>
              <w:rPr>
                <w:rFonts w:hint="default"/>
              </w:rPr>
              <w:t>茚并(1,2,3-cd)芘 mg/kg</w:t>
            </w:r>
          </w:p>
        </w:tc>
        <w:tc>
          <w:tcPr>
            <w:tcW w:w="9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0E677">
            <w:pPr>
              <w:pStyle w:val="45"/>
              <w:rPr>
                <w:rFonts w:hint="default"/>
              </w:rPr>
            </w:pPr>
            <w:r>
              <w:rPr>
                <w:rFonts w:hint="default"/>
              </w:rPr>
              <w:t>ND</w:t>
            </w:r>
          </w:p>
        </w:tc>
        <w:tc>
          <w:tcPr>
            <w:tcW w:w="10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34DF9">
            <w:pPr>
              <w:pStyle w:val="45"/>
              <w:rPr>
                <w:rFonts w:hint="default"/>
              </w:rPr>
            </w:pPr>
            <w:r>
              <w:rPr>
                <w:rFonts w:hint="default"/>
              </w:rPr>
              <w:t>ND</w:t>
            </w:r>
          </w:p>
        </w:tc>
        <w:tc>
          <w:tcPr>
            <w:tcW w:w="10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10E13">
            <w:pPr>
              <w:pStyle w:val="45"/>
              <w:rPr>
                <w:rFonts w:hint="default"/>
              </w:rPr>
            </w:pPr>
            <w:r>
              <w:rPr>
                <w:rFonts w:hint="default"/>
              </w:rPr>
              <w:t>ND</w:t>
            </w:r>
          </w:p>
        </w:tc>
      </w:tr>
      <w:tr w14:paraId="236D6F87">
        <w:tblPrEx>
          <w:tblCellMar>
            <w:top w:w="0" w:type="dxa"/>
            <w:left w:w="108" w:type="dxa"/>
            <w:bottom w:w="0" w:type="dxa"/>
            <w:right w:w="108" w:type="dxa"/>
          </w:tblCellMar>
        </w:tblPrEx>
        <w:trPr>
          <w:trHeight w:val="90" w:hRule="atLeast"/>
        </w:trPr>
        <w:tc>
          <w:tcPr>
            <w:tcW w:w="18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79BBE9">
            <w:pPr>
              <w:pStyle w:val="45"/>
              <w:rPr>
                <w:rFonts w:hint="default"/>
              </w:rPr>
            </w:pPr>
            <w:r>
              <w:rPr>
                <w:rFonts w:hint="default"/>
              </w:rPr>
              <w:t>萘 mg/kg</w:t>
            </w:r>
          </w:p>
        </w:tc>
        <w:tc>
          <w:tcPr>
            <w:tcW w:w="9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F6171">
            <w:pPr>
              <w:pStyle w:val="45"/>
              <w:rPr>
                <w:rFonts w:hint="default"/>
              </w:rPr>
            </w:pPr>
            <w:r>
              <w:rPr>
                <w:rFonts w:hint="default"/>
              </w:rPr>
              <w:t>ND</w:t>
            </w:r>
          </w:p>
        </w:tc>
        <w:tc>
          <w:tcPr>
            <w:tcW w:w="10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DA60F">
            <w:pPr>
              <w:pStyle w:val="45"/>
              <w:rPr>
                <w:rFonts w:hint="default"/>
              </w:rPr>
            </w:pPr>
            <w:r>
              <w:rPr>
                <w:rFonts w:hint="default"/>
              </w:rPr>
              <w:t>ND</w:t>
            </w:r>
          </w:p>
        </w:tc>
        <w:tc>
          <w:tcPr>
            <w:tcW w:w="10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FBF62E">
            <w:pPr>
              <w:pStyle w:val="45"/>
              <w:rPr>
                <w:rFonts w:hint="default"/>
              </w:rPr>
            </w:pPr>
            <w:r>
              <w:rPr>
                <w:rFonts w:hint="default"/>
              </w:rPr>
              <w:t>ND</w:t>
            </w:r>
          </w:p>
        </w:tc>
      </w:tr>
    </w:tbl>
    <w:p w14:paraId="1B2F9529">
      <w:pPr>
        <w:spacing w:line="240" w:lineRule="auto"/>
        <w:ind w:firstLine="0" w:firstLineChars="0"/>
      </w:pPr>
    </w:p>
    <w:p w14:paraId="497782A7">
      <w:pPr>
        <w:pStyle w:val="43"/>
        <w:numPr>
          <w:ilvl w:val="5"/>
          <w:numId w:val="1"/>
        </w:numPr>
        <w:rPr>
          <w:rFonts w:hint="default"/>
        </w:rPr>
      </w:pPr>
      <w:r>
        <w:t>土壤包气袋溶液检测结果</w:t>
      </w:r>
    </w:p>
    <w:tbl>
      <w:tblPr>
        <w:tblStyle w:val="32"/>
        <w:tblW w:w="5079" w:type="pct"/>
        <w:tblInd w:w="0" w:type="dxa"/>
        <w:tblLayout w:type="autofit"/>
        <w:tblCellMar>
          <w:top w:w="0" w:type="dxa"/>
          <w:left w:w="108" w:type="dxa"/>
          <w:bottom w:w="0" w:type="dxa"/>
          <w:right w:w="108" w:type="dxa"/>
        </w:tblCellMar>
      </w:tblPr>
      <w:tblGrid>
        <w:gridCol w:w="2461"/>
        <w:gridCol w:w="3128"/>
        <w:gridCol w:w="3068"/>
      </w:tblGrid>
      <w:tr w14:paraId="1E5684C5">
        <w:tblPrEx>
          <w:tblCellMar>
            <w:top w:w="0" w:type="dxa"/>
            <w:left w:w="108" w:type="dxa"/>
            <w:bottom w:w="0" w:type="dxa"/>
            <w:right w:w="108" w:type="dxa"/>
          </w:tblCellMar>
        </w:tblPrEx>
        <w:trPr>
          <w:trHeight w:val="118" w:hRule="atLeast"/>
        </w:trPr>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901C56">
            <w:pPr>
              <w:pStyle w:val="45"/>
              <w:rPr>
                <w:rFonts w:hint="default"/>
                <w:b/>
                <w:bCs/>
              </w:rPr>
            </w:pPr>
            <w:r>
              <w:rPr>
                <w:b/>
                <w:bCs/>
              </w:rPr>
              <w:t>采样点位</w:t>
            </w:r>
          </w:p>
        </w:tc>
        <w:tc>
          <w:tcPr>
            <w:tcW w:w="18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AD9DF2">
            <w:pPr>
              <w:pStyle w:val="45"/>
              <w:rPr>
                <w:rFonts w:hint="default"/>
                <w:b/>
                <w:bCs/>
              </w:rPr>
            </w:pPr>
            <w:r>
              <w:rPr>
                <w:b/>
                <w:bCs/>
              </w:rPr>
              <w:t>拟建电解车间B1</w:t>
            </w:r>
          </w:p>
        </w:tc>
        <w:tc>
          <w:tcPr>
            <w:tcW w:w="17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581490">
            <w:pPr>
              <w:pStyle w:val="45"/>
              <w:rPr>
                <w:rFonts w:hint="default"/>
                <w:b/>
                <w:bCs/>
              </w:rPr>
            </w:pPr>
            <w:r>
              <w:rPr>
                <w:b/>
                <w:bCs/>
              </w:rPr>
              <w:t>厂区西面B2</w:t>
            </w:r>
          </w:p>
        </w:tc>
      </w:tr>
      <w:tr w14:paraId="13BAABB2">
        <w:tblPrEx>
          <w:tblCellMar>
            <w:top w:w="0" w:type="dxa"/>
            <w:left w:w="108" w:type="dxa"/>
            <w:bottom w:w="0" w:type="dxa"/>
            <w:right w:w="108" w:type="dxa"/>
          </w:tblCellMar>
        </w:tblPrEx>
        <w:trPr>
          <w:trHeight w:val="141" w:hRule="atLeast"/>
        </w:trPr>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092576">
            <w:pPr>
              <w:pStyle w:val="45"/>
              <w:rPr>
                <w:rFonts w:hint="default"/>
                <w:b/>
                <w:bCs/>
              </w:rPr>
            </w:pPr>
            <w:r>
              <w:rPr>
                <w:b/>
                <w:bCs/>
              </w:rPr>
              <w:t>采样时间</w:t>
            </w:r>
          </w:p>
        </w:tc>
        <w:tc>
          <w:tcPr>
            <w:tcW w:w="18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01B6AA">
            <w:pPr>
              <w:pStyle w:val="45"/>
              <w:rPr>
                <w:rFonts w:hint="default"/>
                <w:b/>
                <w:bCs/>
              </w:rPr>
            </w:pPr>
            <w:r>
              <w:rPr>
                <w:b/>
                <w:bCs/>
              </w:rPr>
              <w:t>2023.8.27</w:t>
            </w:r>
          </w:p>
        </w:tc>
        <w:tc>
          <w:tcPr>
            <w:tcW w:w="17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906419">
            <w:pPr>
              <w:pStyle w:val="45"/>
              <w:rPr>
                <w:rFonts w:hint="default"/>
                <w:b/>
                <w:bCs/>
              </w:rPr>
            </w:pPr>
            <w:r>
              <w:rPr>
                <w:b/>
                <w:bCs/>
              </w:rPr>
              <w:t>2023.8.27</w:t>
            </w:r>
          </w:p>
        </w:tc>
      </w:tr>
      <w:tr w14:paraId="263F8C8C">
        <w:tblPrEx>
          <w:tblCellMar>
            <w:top w:w="0" w:type="dxa"/>
            <w:left w:w="108" w:type="dxa"/>
            <w:bottom w:w="0" w:type="dxa"/>
            <w:right w:w="108" w:type="dxa"/>
          </w:tblCellMar>
        </w:tblPrEx>
        <w:trPr>
          <w:trHeight w:val="320" w:hRule="atLeast"/>
        </w:trPr>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7CECF3">
            <w:pPr>
              <w:pStyle w:val="45"/>
              <w:rPr>
                <w:rFonts w:hint="default"/>
              </w:rPr>
            </w:pPr>
            <w:r>
              <w:t>采样深度（</w:t>
            </w:r>
            <w:r>
              <w:rPr>
                <w:rFonts w:hint="default"/>
              </w:rPr>
              <w:t>cm</w:t>
            </w:r>
            <w:r>
              <w:t>）</w:t>
            </w:r>
          </w:p>
        </w:tc>
        <w:tc>
          <w:tcPr>
            <w:tcW w:w="18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83FCEF">
            <w:pPr>
              <w:pStyle w:val="45"/>
              <w:rPr>
                <w:rFonts w:hint="default"/>
              </w:rPr>
            </w:pPr>
            <w:r>
              <w:rPr>
                <w:rFonts w:hint="default"/>
              </w:rPr>
              <w:t>0-20</w:t>
            </w:r>
          </w:p>
        </w:tc>
        <w:tc>
          <w:tcPr>
            <w:tcW w:w="17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875841">
            <w:pPr>
              <w:pStyle w:val="45"/>
              <w:rPr>
                <w:rFonts w:hint="default"/>
              </w:rPr>
            </w:pPr>
            <w:r>
              <w:rPr>
                <w:rFonts w:hint="default"/>
              </w:rPr>
              <w:t>0-20</w:t>
            </w:r>
          </w:p>
        </w:tc>
      </w:tr>
      <w:tr w14:paraId="3C6866A1">
        <w:tblPrEx>
          <w:tblCellMar>
            <w:top w:w="0" w:type="dxa"/>
            <w:left w:w="108" w:type="dxa"/>
            <w:bottom w:w="0" w:type="dxa"/>
            <w:right w:w="108" w:type="dxa"/>
          </w:tblCellMar>
        </w:tblPrEx>
        <w:trPr>
          <w:trHeight w:val="218" w:hRule="atLeast"/>
        </w:trPr>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735D51">
            <w:pPr>
              <w:pStyle w:val="45"/>
              <w:rPr>
                <w:rFonts w:hint="default"/>
              </w:rPr>
            </w:pPr>
            <w:r>
              <w:t>pH无量纲</w:t>
            </w:r>
          </w:p>
        </w:tc>
        <w:tc>
          <w:tcPr>
            <w:tcW w:w="1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5EF25">
            <w:pPr>
              <w:pStyle w:val="45"/>
              <w:rPr>
                <w:rFonts w:hint="default"/>
              </w:rPr>
            </w:pPr>
            <w:r>
              <w:rPr>
                <w:rFonts w:hint="default"/>
              </w:rPr>
              <w:t xml:space="preserve">5.6 </w:t>
            </w:r>
          </w:p>
        </w:tc>
        <w:tc>
          <w:tcPr>
            <w:tcW w:w="1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4DF03">
            <w:pPr>
              <w:pStyle w:val="45"/>
              <w:rPr>
                <w:rFonts w:hint="default"/>
              </w:rPr>
            </w:pPr>
            <w:r>
              <w:rPr>
                <w:rFonts w:hint="default"/>
              </w:rPr>
              <w:t xml:space="preserve">7.2 </w:t>
            </w:r>
          </w:p>
        </w:tc>
      </w:tr>
      <w:tr w14:paraId="54262894">
        <w:tblPrEx>
          <w:tblCellMar>
            <w:top w:w="0" w:type="dxa"/>
            <w:left w:w="108" w:type="dxa"/>
            <w:bottom w:w="0" w:type="dxa"/>
            <w:right w:w="108" w:type="dxa"/>
          </w:tblCellMar>
        </w:tblPrEx>
        <w:trPr>
          <w:trHeight w:val="218" w:hRule="atLeast"/>
        </w:trPr>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297792">
            <w:pPr>
              <w:pStyle w:val="45"/>
              <w:rPr>
                <w:rFonts w:hint="default"/>
              </w:rPr>
            </w:pPr>
            <w:r>
              <w:t>氯化物mg/l</w:t>
            </w:r>
          </w:p>
        </w:tc>
        <w:tc>
          <w:tcPr>
            <w:tcW w:w="1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4A07DB">
            <w:pPr>
              <w:pStyle w:val="45"/>
              <w:rPr>
                <w:rFonts w:hint="default"/>
              </w:rPr>
            </w:pPr>
            <w:r>
              <w:rPr>
                <w:rFonts w:hint="default"/>
              </w:rPr>
              <w:t xml:space="preserve">1.57 </w:t>
            </w:r>
          </w:p>
        </w:tc>
        <w:tc>
          <w:tcPr>
            <w:tcW w:w="1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99CB3">
            <w:pPr>
              <w:pStyle w:val="45"/>
              <w:rPr>
                <w:rFonts w:hint="default"/>
              </w:rPr>
            </w:pPr>
            <w:r>
              <w:rPr>
                <w:rFonts w:hint="default"/>
              </w:rPr>
              <w:t xml:space="preserve">1.20 </w:t>
            </w:r>
          </w:p>
        </w:tc>
      </w:tr>
      <w:tr w14:paraId="718F8A17">
        <w:tblPrEx>
          <w:tblCellMar>
            <w:top w:w="0" w:type="dxa"/>
            <w:left w:w="108" w:type="dxa"/>
            <w:bottom w:w="0" w:type="dxa"/>
            <w:right w:w="108" w:type="dxa"/>
          </w:tblCellMar>
        </w:tblPrEx>
        <w:trPr>
          <w:trHeight w:val="218" w:hRule="atLeast"/>
        </w:trPr>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B5E8A3">
            <w:pPr>
              <w:pStyle w:val="45"/>
              <w:rPr>
                <w:rFonts w:hint="default"/>
              </w:rPr>
            </w:pPr>
            <w:r>
              <w:t>高氯酸盐mg/l</w:t>
            </w:r>
          </w:p>
        </w:tc>
        <w:tc>
          <w:tcPr>
            <w:tcW w:w="1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C046BC">
            <w:pPr>
              <w:pStyle w:val="45"/>
              <w:rPr>
                <w:rFonts w:hint="default"/>
              </w:rPr>
            </w:pPr>
            <w:r>
              <w:rPr>
                <w:rFonts w:hint="default"/>
              </w:rPr>
              <w:t xml:space="preserve">0.023 </w:t>
            </w:r>
          </w:p>
        </w:tc>
        <w:tc>
          <w:tcPr>
            <w:tcW w:w="1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80A76A">
            <w:pPr>
              <w:pStyle w:val="45"/>
              <w:rPr>
                <w:rFonts w:hint="default"/>
              </w:rPr>
            </w:pPr>
            <w:r>
              <w:rPr>
                <w:rFonts w:hint="default"/>
              </w:rPr>
              <w:t xml:space="preserve">0.014 </w:t>
            </w:r>
          </w:p>
        </w:tc>
      </w:tr>
      <w:tr w14:paraId="0F49D49A">
        <w:tblPrEx>
          <w:tblCellMar>
            <w:top w:w="0" w:type="dxa"/>
            <w:left w:w="108" w:type="dxa"/>
            <w:bottom w:w="0" w:type="dxa"/>
            <w:right w:w="108" w:type="dxa"/>
          </w:tblCellMar>
        </w:tblPrEx>
        <w:trPr>
          <w:trHeight w:val="118" w:hRule="atLeast"/>
        </w:trPr>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BCA312">
            <w:pPr>
              <w:pStyle w:val="45"/>
              <w:rPr>
                <w:rFonts w:hint="default"/>
              </w:rPr>
            </w:pPr>
            <w:r>
              <w:t>六价铬mg/l</w:t>
            </w:r>
          </w:p>
        </w:tc>
        <w:tc>
          <w:tcPr>
            <w:tcW w:w="1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90F54">
            <w:pPr>
              <w:pStyle w:val="45"/>
              <w:rPr>
                <w:rFonts w:hint="default"/>
              </w:rPr>
            </w:pPr>
            <w:r>
              <w:rPr>
                <w:rFonts w:hint="default"/>
              </w:rPr>
              <w:t>ND</w:t>
            </w:r>
          </w:p>
        </w:tc>
        <w:tc>
          <w:tcPr>
            <w:tcW w:w="1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3F640">
            <w:pPr>
              <w:pStyle w:val="45"/>
              <w:rPr>
                <w:rFonts w:hint="default"/>
              </w:rPr>
            </w:pPr>
            <w:r>
              <w:rPr>
                <w:rFonts w:hint="default"/>
              </w:rPr>
              <w:t>ND</w:t>
            </w:r>
          </w:p>
        </w:tc>
      </w:tr>
      <w:tr w14:paraId="39E43267">
        <w:tblPrEx>
          <w:tblCellMar>
            <w:top w:w="0" w:type="dxa"/>
            <w:left w:w="108" w:type="dxa"/>
            <w:bottom w:w="0" w:type="dxa"/>
            <w:right w:w="108" w:type="dxa"/>
          </w:tblCellMar>
        </w:tblPrEx>
        <w:trPr>
          <w:trHeight w:val="122" w:hRule="atLeast"/>
        </w:trPr>
        <w:tc>
          <w:tcPr>
            <w:tcW w:w="1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FC94F1">
            <w:pPr>
              <w:pStyle w:val="45"/>
              <w:rPr>
                <w:rFonts w:hint="default"/>
              </w:rPr>
            </w:pPr>
            <w:r>
              <w:t>钡mg/l</w:t>
            </w:r>
          </w:p>
        </w:tc>
        <w:tc>
          <w:tcPr>
            <w:tcW w:w="1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0F763">
            <w:pPr>
              <w:pStyle w:val="45"/>
              <w:rPr>
                <w:rFonts w:hint="default"/>
              </w:rPr>
            </w:pPr>
            <w:r>
              <w:rPr>
                <w:rFonts w:hint="default"/>
              </w:rPr>
              <w:t xml:space="preserve">0.0148 </w:t>
            </w:r>
          </w:p>
        </w:tc>
        <w:tc>
          <w:tcPr>
            <w:tcW w:w="1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312DFA">
            <w:pPr>
              <w:pStyle w:val="45"/>
              <w:rPr>
                <w:rFonts w:hint="default"/>
              </w:rPr>
            </w:pPr>
            <w:r>
              <w:rPr>
                <w:rFonts w:hint="default"/>
              </w:rPr>
              <w:t xml:space="preserve">0.0206 </w:t>
            </w:r>
          </w:p>
        </w:tc>
      </w:tr>
    </w:tbl>
    <w:p w14:paraId="7797A5DA">
      <w:pPr>
        <w:spacing w:line="240" w:lineRule="auto"/>
        <w:ind w:firstLine="0" w:firstLineChars="0"/>
      </w:pPr>
    </w:p>
    <w:p w14:paraId="4E3FED07">
      <w:pPr>
        <w:ind w:firstLine="480" w:firstLineChars="200"/>
      </w:pPr>
      <w:r>
        <w:rPr>
          <w:rFonts w:hint="eastAsia"/>
        </w:rPr>
        <w:t>根据监测结果，厂内表层样45项基础因子、厂内柱状样特征评价因子（</w:t>
      </w:r>
      <w:r>
        <w:t>高氯酸根、氯化物、六价铬、铅、钡</w:t>
      </w:r>
      <w:r>
        <w:rPr>
          <w:rFonts w:hint="eastAsia"/>
        </w:rPr>
        <w:t>）均未超过《土壤环境质量 建设用地土壤环境污染风险管控标准（试行）》（GB 36600-2018）中第二类用地筛选值。</w:t>
      </w:r>
    </w:p>
    <w:p w14:paraId="1B2CC1F4">
      <w:pPr>
        <w:pStyle w:val="2"/>
        <w:numPr>
          <w:ilvl w:val="0"/>
          <w:numId w:val="1"/>
        </w:numPr>
        <w:spacing w:before="312" w:after="624"/>
      </w:pPr>
      <w:bookmarkStart w:id="203" w:name="_Toc24842"/>
      <w:bookmarkStart w:id="204" w:name="_Toc23437"/>
      <w:bookmarkStart w:id="205" w:name="_Toc538"/>
      <w:r>
        <w:rPr>
          <w:rFonts w:hint="eastAsia"/>
        </w:rPr>
        <w:t>施工期环境影响分析</w:t>
      </w:r>
      <w:bookmarkEnd w:id="203"/>
      <w:bookmarkEnd w:id="204"/>
      <w:bookmarkEnd w:id="205"/>
    </w:p>
    <w:p w14:paraId="71E906E3">
      <w:pPr>
        <w:ind w:firstLine="480"/>
      </w:pPr>
      <w:r>
        <w:t>本项目施工内容主要为土方挖掘、场地平整，新的生产用房等建筑物与构筑物的建设以及各种新生产设备的安装等。在施工期间各项施工活动对周围环境的影响主要有：机械噪声、建筑垃圾和扬尘。施工期对周围环境的影响因素主要是施工建设过程中所产生的扬尘、废水、噪声、建筑垃圾、生态破坏等。工程建设完成后，除永久性占地为持续性影响外，其它影响仅在施工期内存在，并且影响范围小，时间短。</w:t>
      </w:r>
    </w:p>
    <w:p w14:paraId="78D65401">
      <w:pPr>
        <w:pStyle w:val="3"/>
        <w:numPr>
          <w:ilvl w:val="1"/>
          <w:numId w:val="1"/>
        </w:numPr>
      </w:pPr>
      <w:bookmarkStart w:id="206" w:name="_Toc23662"/>
      <w:bookmarkStart w:id="207" w:name="_Toc17672"/>
      <w:bookmarkStart w:id="208" w:name="_Toc29473"/>
      <w:r>
        <w:rPr>
          <w:rFonts w:hint="eastAsia"/>
        </w:rPr>
        <w:t>施工期废气影响分析</w:t>
      </w:r>
      <w:bookmarkEnd w:id="206"/>
      <w:bookmarkEnd w:id="207"/>
      <w:bookmarkEnd w:id="208"/>
    </w:p>
    <w:p w14:paraId="36089212">
      <w:pPr>
        <w:ind w:firstLine="480"/>
      </w:pPr>
      <w:r>
        <w:t>为使施工过程中产生的</w:t>
      </w:r>
      <w:r>
        <w:rPr>
          <w:rFonts w:hint="eastAsia"/>
        </w:rPr>
        <w:t>废气</w:t>
      </w:r>
      <w:r>
        <w:t>对周围环境空气的影响降低到最小程度，本项目采取以下防护措施：</w:t>
      </w:r>
    </w:p>
    <w:p w14:paraId="451EBC31">
      <w:pPr>
        <w:ind w:firstLine="480"/>
      </w:pPr>
      <w:r>
        <w:t>（1）加强施工管理，必须注意文明施工，定时对施工场地特别是扬尘产生较多的区域洒水，对出场车辆的车身和轮胎进行冲洗，尽量减少泥土带出量，可减轻扬尘对周围大气环境的影响。</w:t>
      </w:r>
    </w:p>
    <w:p w14:paraId="40085DEA">
      <w:pPr>
        <w:ind w:firstLine="480"/>
      </w:pPr>
      <w:r>
        <w:t>（2）施工工地内，水泥、灰土、砂石等易产生扬尘的物料堆放，应在其周围设置不低于堆放物高度的封闭性硬质围栏进行局部围挡，施工场地的水泥堆垛必须加盖</w:t>
      </w:r>
      <w:r>
        <w:rPr>
          <w:rFonts w:hint="eastAsia"/>
          <w:lang w:eastAsia="zh-CN"/>
        </w:rPr>
        <w:t>篷布</w:t>
      </w:r>
      <w:r>
        <w:t>；工程脚手架外侧必须使用密闭安全网封闭；施工工地周围应按要求设置硬质密闭围挡，项目建设过程中建筑物外面均设防尘网，减少建筑物内部扬尘的扩散。</w:t>
      </w:r>
    </w:p>
    <w:p w14:paraId="2B39CC5D">
      <w:pPr>
        <w:ind w:firstLine="480"/>
      </w:pPr>
      <w:r>
        <w:t>（3）合理选择建筑材料的运输线路，施工工地进出道路必须进行硬化处理，易产生扬尘的散装物料、渣土和建筑垃圾的运输进行密闭式运输；在进行产生泥浆的施工作业时，应当配备相应的泥浆池和泥浆沟，废浆采用密闭式罐车外运。</w:t>
      </w:r>
    </w:p>
    <w:p w14:paraId="011BD49C">
      <w:pPr>
        <w:ind w:firstLine="480"/>
      </w:pPr>
      <w:r>
        <w:t>（4）在施工工地内，应设置车辆清洗设施以及配套的排水、泥浆沉淀设施；运送粉状建筑材料采用渣土运输车或加盖</w:t>
      </w:r>
      <w:r>
        <w:rPr>
          <w:rFonts w:hint="eastAsia"/>
          <w:lang w:eastAsia="zh-CN"/>
        </w:rPr>
        <w:t>篷布</w:t>
      </w:r>
      <w:r>
        <w:t>运输车；运输车辆应当装载适度，在除泥、冲洗干净后，方可驶出施工工地。</w:t>
      </w:r>
    </w:p>
    <w:p w14:paraId="7991844E">
      <w:pPr>
        <w:ind w:firstLine="480"/>
      </w:pPr>
      <w:r>
        <w:t>（5）及时硬化地面或道路，干燥天气定期在泥土地面和路面洒水，减少施工车辆行驶产生的扬尘和渣土装卸产生的扬尘。</w:t>
      </w:r>
    </w:p>
    <w:p w14:paraId="6DDE1976">
      <w:pPr>
        <w:ind w:firstLine="480"/>
      </w:pPr>
      <w:r>
        <w:t>（6）建筑垃圾、工程渣土不能及时完成清运的，应当在施工工地内设置临时堆放场，临时堆放场应当采取围挡、覆盖等防尘措施。管线工程施工堆土应当采取边挖边装边运等措施。</w:t>
      </w:r>
    </w:p>
    <w:p w14:paraId="5D05D687">
      <w:pPr>
        <w:ind w:firstLine="480"/>
      </w:pPr>
      <w:r>
        <w:t>（7）工程项目竣工后，建设单位应当及时平整施工工地，清除积土、堆物，并同步做好绿化、场地硬化，避免水土流失。</w:t>
      </w:r>
    </w:p>
    <w:p w14:paraId="2FB9AB7C">
      <w:pPr>
        <w:ind w:firstLine="480"/>
      </w:pPr>
      <w:r>
        <w:t>（8）使用环保型的涂料，减少装修期有机废气的排放，并加强涂刷室内的通风，促进废气的快速扩散，减少对施工人员的影响。</w:t>
      </w:r>
    </w:p>
    <w:p w14:paraId="1E0B1782">
      <w:pPr>
        <w:ind w:firstLine="480"/>
      </w:pPr>
      <w:r>
        <w:t>经采取以上控制措施后，只要建设单位认真落实到位，项目施工期废气对外环境影响较小。</w:t>
      </w:r>
    </w:p>
    <w:p w14:paraId="1AB66387">
      <w:pPr>
        <w:pStyle w:val="3"/>
        <w:numPr>
          <w:ilvl w:val="1"/>
          <w:numId w:val="1"/>
        </w:numPr>
      </w:pPr>
      <w:bookmarkStart w:id="209" w:name="_Toc24211"/>
      <w:bookmarkStart w:id="210" w:name="_Toc31756"/>
      <w:bookmarkStart w:id="211" w:name="_Toc9701"/>
      <w:r>
        <w:rPr>
          <w:rFonts w:hint="eastAsia"/>
        </w:rPr>
        <w:t>施工期废水影响分析</w:t>
      </w:r>
      <w:bookmarkEnd w:id="209"/>
      <w:bookmarkEnd w:id="210"/>
      <w:bookmarkEnd w:id="211"/>
    </w:p>
    <w:p w14:paraId="727D933F">
      <w:pPr>
        <w:ind w:firstLine="480"/>
      </w:pPr>
      <w:r>
        <w:t>施工期</w:t>
      </w:r>
      <w:r>
        <w:rPr>
          <w:rFonts w:hint="eastAsia"/>
        </w:rPr>
        <w:t>废水</w:t>
      </w:r>
      <w:r>
        <w:t>主要是</w:t>
      </w:r>
      <w:r>
        <w:rPr>
          <w:rFonts w:hint="eastAsia"/>
        </w:rPr>
        <w:t>施工</w:t>
      </w:r>
      <w:r>
        <w:t>废水和施工人员产生的生活污水。</w:t>
      </w:r>
    </w:p>
    <w:p w14:paraId="0430C64C">
      <w:pPr>
        <w:ind w:firstLine="480"/>
        <w:rPr>
          <w:color w:val="000000" w:themeColor="text1"/>
          <w14:textFill>
            <w14:solidFill>
              <w14:schemeClr w14:val="tx1"/>
            </w14:solidFill>
          </w14:textFill>
        </w:rPr>
      </w:pPr>
      <w:r>
        <w:rPr>
          <w:rFonts w:hint="eastAsia"/>
        </w:rPr>
        <w:t>施工</w:t>
      </w:r>
      <w:r>
        <w:rPr>
          <w:rFonts w:hint="eastAsia"/>
          <w:color w:val="000000" w:themeColor="text1"/>
          <w14:textFill>
            <w14:solidFill>
              <w14:schemeClr w14:val="tx1"/>
            </w14:solidFill>
          </w14:textFill>
        </w:rPr>
        <w:t>期施工车辆、机械产生的冲洗废水主要含有SS、石油类等污染物，故必须隔油、沉淀处理回用；施工人员生活污水依托周边民居解决。</w:t>
      </w:r>
    </w:p>
    <w:p w14:paraId="76132995">
      <w:pPr>
        <w:ind w:firstLine="480"/>
      </w:pPr>
      <w:r>
        <w:rPr>
          <w:rFonts w:hint="eastAsia"/>
          <w:color w:val="000000" w:themeColor="text1"/>
          <w14:textFill>
            <w14:solidFill>
              <w14:schemeClr w14:val="tx1"/>
            </w14:solidFill>
          </w14:textFill>
        </w:rPr>
        <w:t>土地平整时植被破坏，造成地表的裸露，在降雨时可能造成水土流失，特别是暴雨径流时水土流失更明显，可能造成地表水</w:t>
      </w:r>
      <w:r>
        <w:rPr>
          <w:rFonts w:hint="eastAsia"/>
        </w:rPr>
        <w:t>中悬浮物的增加，应引起重视。在基建过程应及时搞好水保措施。基建完工，及时恢复绿化，避免因水土流失造成环境污染。</w:t>
      </w:r>
    </w:p>
    <w:p w14:paraId="3EA62032">
      <w:pPr>
        <w:ind w:firstLine="480"/>
      </w:pPr>
      <w:r>
        <w:rPr>
          <w:rFonts w:hint="eastAsia"/>
        </w:rPr>
        <w:t>主要治理措施：</w:t>
      </w:r>
    </w:p>
    <w:p w14:paraId="31F16061">
      <w:pPr>
        <w:ind w:firstLine="480"/>
      </w:pPr>
      <w:r>
        <w:rPr>
          <w:rFonts w:hint="eastAsia"/>
        </w:rPr>
        <w:t>（1）施工场地修建临时沉淀池，车辆冲洗废水、砼浇筑废水经处理后回用。</w:t>
      </w:r>
    </w:p>
    <w:p w14:paraId="2D025657">
      <w:pPr>
        <w:ind w:firstLine="480"/>
      </w:pPr>
      <w:r>
        <w:rPr>
          <w:rFonts w:hint="eastAsia"/>
        </w:rPr>
        <w:t>（2）施工场地局部应及时进行硬化处理，临时堆土场修建围挡护坡，同时应避免雨天施工，避免施工期因水土流失而造成区域水环境污染。</w:t>
      </w:r>
    </w:p>
    <w:p w14:paraId="0A2C412A">
      <w:pPr>
        <w:ind w:firstLine="480"/>
      </w:pPr>
      <w:r>
        <w:rPr>
          <w:rFonts w:hint="eastAsia"/>
        </w:rPr>
        <w:t>（3）建设完工后，及时恢复施工场地绿化，防止水土流失造成水环境影响。</w:t>
      </w:r>
    </w:p>
    <w:p w14:paraId="2D79D1B8">
      <w:pPr>
        <w:ind w:firstLine="480"/>
      </w:pPr>
      <w:r>
        <w:rPr>
          <w:rFonts w:hint="eastAsia"/>
        </w:rPr>
        <w:t>可见，通过采取以上措施，本项目施工过程中产生的施工废水和生活</w:t>
      </w:r>
      <w:r>
        <w:rPr>
          <w:rFonts w:hint="eastAsia"/>
          <w:lang w:val="en-US" w:eastAsia="zh-CN"/>
        </w:rPr>
        <w:t>污水</w:t>
      </w:r>
      <w:r>
        <w:rPr>
          <w:rFonts w:hint="eastAsia"/>
        </w:rPr>
        <w:t>对周围地表水环境影响不大。</w:t>
      </w:r>
    </w:p>
    <w:p w14:paraId="23FD10B2">
      <w:pPr>
        <w:pStyle w:val="3"/>
        <w:numPr>
          <w:ilvl w:val="1"/>
          <w:numId w:val="1"/>
        </w:numPr>
      </w:pPr>
      <w:bookmarkStart w:id="212" w:name="_Toc27832"/>
      <w:bookmarkStart w:id="213" w:name="_Toc25449"/>
      <w:bookmarkStart w:id="214" w:name="_Toc21897"/>
      <w:r>
        <w:rPr>
          <w:rFonts w:hint="eastAsia"/>
        </w:rPr>
        <w:t>施工期噪声影响分析</w:t>
      </w:r>
      <w:bookmarkEnd w:id="212"/>
      <w:bookmarkEnd w:id="213"/>
      <w:bookmarkEnd w:id="214"/>
    </w:p>
    <w:p w14:paraId="59949E1C">
      <w:pPr>
        <w:ind w:firstLine="480"/>
      </w:pPr>
      <w:bookmarkStart w:id="215" w:name="_Toc146554405"/>
      <w:r>
        <w:t>施工期间的噪声主要有施工机械噪声、施工作业噪声和运输车辆产生的交通噪声。施工机械噪声主要由施工机械所造成，如推土机、挖掘机、升降机等，多为点声源；施工作业噪声主要指一些零星的敲打声、装卸车辆的撞击声、吆喝声、拆装模板的撞击声等，多为瞬时噪声。施工期的噪声较强，会影响附近居民的日常生活。</w:t>
      </w:r>
    </w:p>
    <w:p w14:paraId="3E9C26B3">
      <w:pPr>
        <w:ind w:firstLine="480"/>
      </w:pPr>
      <w:r>
        <w:t>本评价主要通过计算施工期噪声的衰减范围和程度，并结合噪声标准限值和周围敏感点分布情况来说明项目施工期噪声对周围环境的影响。</w:t>
      </w:r>
    </w:p>
    <w:p w14:paraId="523760D6">
      <w:pPr>
        <w:ind w:firstLine="480"/>
      </w:pPr>
      <w:r>
        <w:t>施工机械噪声的衰减情况采用公式1、2进行模拟计算，公式如下：</w:t>
      </w:r>
    </w:p>
    <w:p w14:paraId="20F3EC53">
      <w:pPr>
        <w:ind w:firstLine="480"/>
      </w:pPr>
      <w:r>
        <w:t>Lr2=Lr1－20Lg（r2/r1）</w:t>
      </w:r>
    </w:p>
    <w:p w14:paraId="0CCDA5D8">
      <w:pPr>
        <w:ind w:firstLine="480"/>
      </w:pPr>
      <w:r>
        <w:rPr>
          <w:lang w:val="zh-CN"/>
        </w:rPr>
        <w:t>式中</w:t>
      </w:r>
      <w:r>
        <w:t>：Lr2——</w:t>
      </w:r>
      <w:r>
        <w:rPr>
          <w:lang w:val="zh-CN"/>
        </w:rPr>
        <w:t>距离声源</w:t>
      </w:r>
      <w:r>
        <w:t>r2</w:t>
      </w:r>
      <w:r>
        <w:rPr>
          <w:lang w:val="zh-CN"/>
        </w:rPr>
        <w:t>米处的施工噪声预测值</w:t>
      </w:r>
      <w:r>
        <w:t>，dB(A)；</w:t>
      </w:r>
    </w:p>
    <w:p w14:paraId="6E52447C">
      <w:pPr>
        <w:ind w:firstLine="480"/>
      </w:pPr>
      <w:r>
        <w:t xml:space="preserve">      Lr1——</w:t>
      </w:r>
      <w:r>
        <w:rPr>
          <w:lang w:val="zh-CN"/>
        </w:rPr>
        <w:t>距离声源参考距离</w:t>
      </w:r>
      <w:r>
        <w:t>r1</w:t>
      </w:r>
      <w:r>
        <w:rPr>
          <w:lang w:val="zh-CN"/>
        </w:rPr>
        <w:t>米处的参考声级</w:t>
      </w:r>
      <w:r>
        <w:t>，dB(A)；</w:t>
      </w:r>
    </w:p>
    <w:p w14:paraId="148B7A70">
      <w:pPr>
        <w:ind w:firstLine="480"/>
        <w:rPr>
          <w:lang w:val="zh-CN"/>
        </w:rPr>
      </w:pPr>
      <w:r>
        <w:rPr>
          <w:lang w:val="zh-CN"/>
        </w:rPr>
        <w:t>r1——测定源强时的距离，m；</w:t>
      </w:r>
    </w:p>
    <w:p w14:paraId="61FA9A63">
      <w:pPr>
        <w:ind w:firstLine="480"/>
        <w:rPr>
          <w:lang w:val="zh-CN"/>
        </w:rPr>
      </w:pPr>
      <w:r>
        <w:rPr>
          <w:lang w:val="zh-CN"/>
        </w:rPr>
        <w:t xml:space="preserve">      r2——源强至预测点的距离，m；</w:t>
      </w:r>
    </w:p>
    <w:p w14:paraId="04F8AFA9">
      <w:pPr>
        <w:ind w:firstLine="480"/>
        <w:rPr>
          <w:lang w:val="zh-CN"/>
        </w:rPr>
      </w:pPr>
      <w:r>
        <w:rPr>
          <w:lang w:val="zh-CN"/>
        </w:rPr>
        <w:t>多个声压级的平均值用下式计算：</w:t>
      </w:r>
    </w:p>
    <w:p w14:paraId="0E451B96">
      <w:pPr>
        <w:ind w:firstLine="480"/>
        <w:jc w:val="center"/>
      </w:pPr>
      <w:r>
        <w:t>Lp=10Lg（10</w:t>
      </w:r>
      <w:r>
        <w:rPr>
          <w:vertAlign w:val="superscript"/>
        </w:rPr>
        <w:t>0.1Lp1</w:t>
      </w:r>
      <w:r>
        <w:t>+10</w:t>
      </w:r>
      <w:r>
        <w:rPr>
          <w:vertAlign w:val="superscript"/>
        </w:rPr>
        <w:t>0.1Lp2</w:t>
      </w:r>
      <w:r>
        <w:t>+……+10</w:t>
      </w:r>
      <w:r>
        <w:rPr>
          <w:vertAlign w:val="superscript"/>
        </w:rPr>
        <w:t>0.1LpN</w:t>
      </w:r>
      <w:r>
        <w:t>）－10LgN</w:t>
      </w:r>
    </w:p>
    <w:p w14:paraId="6EC6541D">
      <w:pPr>
        <w:ind w:firstLine="480"/>
      </w:pPr>
      <w:r>
        <w:t>不考虑施工围墙(屏障)对施工噪声的衰减，只靠几何发散衰减、空气吸收衰减、地面效应衰减、其他多方面引起的衰减时，对项目施工噪声污染的强度和范围进行预测，预测结果见表。考虑施工围墙(屏障)对施工噪声的衰减，取A</w:t>
      </w:r>
      <w:r>
        <w:rPr>
          <w:vertAlign w:val="subscript"/>
        </w:rPr>
        <w:t>bar</w:t>
      </w:r>
      <w:r>
        <w:t>=10dB(A)，对项目施工噪声污染的强度和范围进行预测，预测结果见下表：</w:t>
      </w:r>
    </w:p>
    <w:p w14:paraId="0882ECFA">
      <w:pPr>
        <w:pStyle w:val="43"/>
        <w:numPr>
          <w:ilvl w:val="5"/>
          <w:numId w:val="1"/>
        </w:numPr>
        <w:rPr>
          <w:rFonts w:hint="default"/>
        </w:rPr>
      </w:pPr>
      <w:r>
        <w:rPr>
          <w:rFonts w:hint="default"/>
        </w:rPr>
        <w:t>施工机械噪声随距离衰减情况</w:t>
      </w:r>
      <w:r>
        <w:t xml:space="preserve">  </w:t>
      </w:r>
      <w:r>
        <w:rPr>
          <w:rFonts w:hint="default"/>
        </w:rPr>
        <w:t>单位：dB(A)</w:t>
      </w:r>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604"/>
        <w:gridCol w:w="1445"/>
        <w:gridCol w:w="672"/>
        <w:gridCol w:w="531"/>
        <w:gridCol w:w="567"/>
        <w:gridCol w:w="584"/>
        <w:gridCol w:w="584"/>
        <w:gridCol w:w="584"/>
        <w:gridCol w:w="584"/>
        <w:gridCol w:w="584"/>
        <w:gridCol w:w="584"/>
        <w:gridCol w:w="584"/>
        <w:gridCol w:w="584"/>
      </w:tblGrid>
      <w:tr w14:paraId="05AC34D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08" w:hRule="atLeast"/>
          <w:tblHeader/>
          <w:jc w:val="center"/>
        </w:trPr>
        <w:tc>
          <w:tcPr>
            <w:tcW w:w="604" w:type="dxa"/>
            <w:vMerge w:val="restart"/>
            <w:vAlign w:val="center"/>
          </w:tcPr>
          <w:p w14:paraId="08D5ECCC">
            <w:pPr>
              <w:pStyle w:val="45"/>
              <w:rPr>
                <w:rFonts w:hint="default"/>
                <w:b/>
                <w:bCs/>
              </w:rPr>
            </w:pPr>
            <w:r>
              <w:rPr>
                <w:rFonts w:hint="default"/>
                <w:b/>
                <w:bCs/>
              </w:rPr>
              <w:t>施工阶段</w:t>
            </w:r>
          </w:p>
        </w:tc>
        <w:tc>
          <w:tcPr>
            <w:tcW w:w="1445" w:type="dxa"/>
            <w:vMerge w:val="restart"/>
            <w:vAlign w:val="center"/>
          </w:tcPr>
          <w:p w14:paraId="7ECA9AE7">
            <w:pPr>
              <w:pStyle w:val="45"/>
              <w:rPr>
                <w:rFonts w:hint="default"/>
                <w:b/>
                <w:bCs/>
              </w:rPr>
            </w:pPr>
            <w:r>
              <w:rPr>
                <w:rFonts w:hint="default"/>
                <w:b/>
                <w:bCs/>
              </w:rPr>
              <w:t>机械</w:t>
            </w:r>
          </w:p>
          <w:p w14:paraId="5D2B4DD8">
            <w:pPr>
              <w:pStyle w:val="45"/>
              <w:rPr>
                <w:rFonts w:hint="default"/>
                <w:b/>
                <w:bCs/>
              </w:rPr>
            </w:pPr>
            <w:r>
              <w:rPr>
                <w:rFonts w:hint="default"/>
                <w:b/>
                <w:bCs/>
              </w:rPr>
              <w:t>名称</w:t>
            </w:r>
          </w:p>
        </w:tc>
        <w:tc>
          <w:tcPr>
            <w:tcW w:w="672" w:type="dxa"/>
            <w:vMerge w:val="restart"/>
            <w:vAlign w:val="center"/>
          </w:tcPr>
          <w:p w14:paraId="4E0AAC76">
            <w:pPr>
              <w:pStyle w:val="45"/>
              <w:rPr>
                <w:rFonts w:hint="default"/>
                <w:b/>
                <w:bCs/>
              </w:rPr>
            </w:pPr>
            <w:r>
              <w:rPr>
                <w:rFonts w:hint="default"/>
                <w:b/>
                <w:bCs/>
              </w:rPr>
              <w:t>噪声源强</w:t>
            </w:r>
          </w:p>
        </w:tc>
        <w:tc>
          <w:tcPr>
            <w:tcW w:w="1098" w:type="dxa"/>
            <w:gridSpan w:val="2"/>
            <w:vAlign w:val="center"/>
          </w:tcPr>
          <w:p w14:paraId="11DABE8C">
            <w:pPr>
              <w:pStyle w:val="45"/>
              <w:rPr>
                <w:rFonts w:hint="default"/>
                <w:b/>
                <w:bCs/>
              </w:rPr>
            </w:pPr>
            <w:r>
              <w:rPr>
                <w:rFonts w:hint="default"/>
                <w:b/>
                <w:bCs/>
              </w:rPr>
              <w:t>标准限值</w:t>
            </w:r>
          </w:p>
        </w:tc>
        <w:tc>
          <w:tcPr>
            <w:tcW w:w="4672" w:type="dxa"/>
            <w:gridSpan w:val="8"/>
            <w:vAlign w:val="center"/>
          </w:tcPr>
          <w:p w14:paraId="0896B07C">
            <w:pPr>
              <w:pStyle w:val="45"/>
              <w:rPr>
                <w:rFonts w:hint="default"/>
                <w:b/>
                <w:bCs/>
              </w:rPr>
            </w:pPr>
            <w:r>
              <w:rPr>
                <w:rFonts w:hint="default"/>
                <w:b/>
                <w:bCs/>
              </w:rPr>
              <w:t>距离声源不同距离时的噪声预测值</w:t>
            </w:r>
          </w:p>
        </w:tc>
      </w:tr>
      <w:tr w14:paraId="6CCCF68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3" w:hRule="atLeast"/>
          <w:tblHeader/>
          <w:jc w:val="center"/>
        </w:trPr>
        <w:tc>
          <w:tcPr>
            <w:tcW w:w="604" w:type="dxa"/>
            <w:vMerge w:val="continue"/>
            <w:vAlign w:val="center"/>
          </w:tcPr>
          <w:p w14:paraId="4E680D9D">
            <w:pPr>
              <w:pStyle w:val="45"/>
              <w:rPr>
                <w:rFonts w:hint="default"/>
                <w:b/>
                <w:bCs/>
              </w:rPr>
            </w:pPr>
          </w:p>
        </w:tc>
        <w:tc>
          <w:tcPr>
            <w:tcW w:w="1445" w:type="dxa"/>
            <w:vMerge w:val="continue"/>
            <w:vAlign w:val="center"/>
          </w:tcPr>
          <w:p w14:paraId="0F78CBDE">
            <w:pPr>
              <w:pStyle w:val="45"/>
              <w:rPr>
                <w:rFonts w:hint="default"/>
                <w:b/>
                <w:bCs/>
              </w:rPr>
            </w:pPr>
          </w:p>
        </w:tc>
        <w:tc>
          <w:tcPr>
            <w:tcW w:w="672" w:type="dxa"/>
            <w:vMerge w:val="continue"/>
            <w:vAlign w:val="center"/>
          </w:tcPr>
          <w:p w14:paraId="3B537DF4">
            <w:pPr>
              <w:pStyle w:val="45"/>
              <w:rPr>
                <w:rFonts w:hint="default"/>
                <w:b/>
                <w:bCs/>
              </w:rPr>
            </w:pPr>
          </w:p>
        </w:tc>
        <w:tc>
          <w:tcPr>
            <w:tcW w:w="531" w:type="dxa"/>
            <w:vAlign w:val="center"/>
          </w:tcPr>
          <w:p w14:paraId="5110011B">
            <w:pPr>
              <w:pStyle w:val="45"/>
              <w:rPr>
                <w:rFonts w:hint="default"/>
                <w:b/>
                <w:bCs/>
              </w:rPr>
            </w:pPr>
            <w:r>
              <w:rPr>
                <w:rFonts w:hint="default"/>
                <w:b/>
                <w:bCs/>
              </w:rPr>
              <w:t>昼间</w:t>
            </w:r>
          </w:p>
        </w:tc>
        <w:tc>
          <w:tcPr>
            <w:tcW w:w="567" w:type="dxa"/>
            <w:vAlign w:val="center"/>
          </w:tcPr>
          <w:p w14:paraId="57CE3B4D">
            <w:pPr>
              <w:pStyle w:val="45"/>
              <w:rPr>
                <w:rFonts w:hint="default"/>
                <w:b/>
                <w:bCs/>
              </w:rPr>
            </w:pPr>
            <w:r>
              <w:rPr>
                <w:rFonts w:hint="default"/>
                <w:b/>
                <w:bCs/>
              </w:rPr>
              <w:t>夜间</w:t>
            </w:r>
          </w:p>
        </w:tc>
        <w:tc>
          <w:tcPr>
            <w:tcW w:w="584" w:type="dxa"/>
            <w:vAlign w:val="center"/>
          </w:tcPr>
          <w:p w14:paraId="5798E026">
            <w:pPr>
              <w:pStyle w:val="45"/>
              <w:rPr>
                <w:rFonts w:hint="default"/>
                <w:b/>
                <w:bCs/>
              </w:rPr>
            </w:pPr>
            <w:r>
              <w:rPr>
                <w:rFonts w:hint="default"/>
                <w:b/>
                <w:bCs/>
              </w:rPr>
              <w:t>10</w:t>
            </w:r>
            <w:r>
              <w:rPr>
                <w:b/>
                <w:bCs/>
              </w:rPr>
              <w:t>m</w:t>
            </w:r>
          </w:p>
        </w:tc>
        <w:tc>
          <w:tcPr>
            <w:tcW w:w="584" w:type="dxa"/>
            <w:vAlign w:val="center"/>
          </w:tcPr>
          <w:p w14:paraId="619F6E7D">
            <w:pPr>
              <w:pStyle w:val="45"/>
              <w:rPr>
                <w:rFonts w:hint="default"/>
                <w:b/>
                <w:bCs/>
              </w:rPr>
            </w:pPr>
            <w:r>
              <w:rPr>
                <w:rFonts w:hint="default"/>
                <w:b/>
                <w:bCs/>
              </w:rPr>
              <w:t>40</w:t>
            </w:r>
            <w:r>
              <w:rPr>
                <w:b/>
                <w:bCs/>
              </w:rPr>
              <w:t>m</w:t>
            </w:r>
          </w:p>
        </w:tc>
        <w:tc>
          <w:tcPr>
            <w:tcW w:w="584" w:type="dxa"/>
            <w:vAlign w:val="center"/>
          </w:tcPr>
          <w:p w14:paraId="23116DEE">
            <w:pPr>
              <w:pStyle w:val="45"/>
              <w:rPr>
                <w:rFonts w:hint="default"/>
                <w:b/>
                <w:bCs/>
              </w:rPr>
            </w:pPr>
            <w:r>
              <w:rPr>
                <w:rFonts w:hint="default"/>
                <w:b/>
                <w:bCs/>
              </w:rPr>
              <w:t>50</w:t>
            </w:r>
            <w:r>
              <w:rPr>
                <w:b/>
                <w:bCs/>
              </w:rPr>
              <w:t>m</w:t>
            </w:r>
          </w:p>
        </w:tc>
        <w:tc>
          <w:tcPr>
            <w:tcW w:w="584" w:type="dxa"/>
            <w:vAlign w:val="center"/>
          </w:tcPr>
          <w:p w14:paraId="0F216F59">
            <w:pPr>
              <w:pStyle w:val="45"/>
              <w:rPr>
                <w:rFonts w:hint="default"/>
                <w:b/>
                <w:bCs/>
              </w:rPr>
            </w:pPr>
            <w:r>
              <w:rPr>
                <w:rFonts w:hint="default"/>
                <w:b/>
                <w:bCs/>
              </w:rPr>
              <w:t>60</w:t>
            </w:r>
            <w:r>
              <w:rPr>
                <w:b/>
                <w:bCs/>
              </w:rPr>
              <w:t>m</w:t>
            </w:r>
          </w:p>
        </w:tc>
        <w:tc>
          <w:tcPr>
            <w:tcW w:w="584" w:type="dxa"/>
            <w:vAlign w:val="center"/>
          </w:tcPr>
          <w:p w14:paraId="4E9A5B07">
            <w:pPr>
              <w:pStyle w:val="45"/>
              <w:rPr>
                <w:rFonts w:hint="default"/>
                <w:b/>
                <w:bCs/>
              </w:rPr>
            </w:pPr>
            <w:r>
              <w:rPr>
                <w:rFonts w:hint="default"/>
                <w:b/>
                <w:bCs/>
              </w:rPr>
              <w:t>100</w:t>
            </w:r>
            <w:r>
              <w:rPr>
                <w:b/>
                <w:bCs/>
              </w:rPr>
              <w:t>m</w:t>
            </w:r>
          </w:p>
        </w:tc>
        <w:tc>
          <w:tcPr>
            <w:tcW w:w="584" w:type="dxa"/>
            <w:vAlign w:val="center"/>
          </w:tcPr>
          <w:p w14:paraId="164C9209">
            <w:pPr>
              <w:pStyle w:val="45"/>
              <w:rPr>
                <w:rFonts w:hint="default"/>
                <w:b/>
                <w:bCs/>
              </w:rPr>
            </w:pPr>
            <w:r>
              <w:rPr>
                <w:rFonts w:hint="default"/>
                <w:b/>
                <w:bCs/>
              </w:rPr>
              <w:t>150</w:t>
            </w:r>
            <w:r>
              <w:rPr>
                <w:b/>
                <w:bCs/>
              </w:rPr>
              <w:t>m</w:t>
            </w:r>
          </w:p>
        </w:tc>
        <w:tc>
          <w:tcPr>
            <w:tcW w:w="584" w:type="dxa"/>
            <w:vAlign w:val="center"/>
          </w:tcPr>
          <w:p w14:paraId="234A9BBB">
            <w:pPr>
              <w:pStyle w:val="45"/>
              <w:rPr>
                <w:rFonts w:hint="default"/>
                <w:b/>
                <w:bCs/>
              </w:rPr>
            </w:pPr>
            <w:r>
              <w:rPr>
                <w:rFonts w:hint="default"/>
                <w:b/>
                <w:bCs/>
              </w:rPr>
              <w:t>200</w:t>
            </w:r>
            <w:r>
              <w:rPr>
                <w:b/>
                <w:bCs/>
              </w:rPr>
              <w:t>m</w:t>
            </w:r>
          </w:p>
        </w:tc>
        <w:tc>
          <w:tcPr>
            <w:tcW w:w="584" w:type="dxa"/>
            <w:vAlign w:val="center"/>
          </w:tcPr>
          <w:p w14:paraId="4E2507C7">
            <w:pPr>
              <w:pStyle w:val="45"/>
              <w:rPr>
                <w:rFonts w:hint="default"/>
                <w:b/>
                <w:bCs/>
              </w:rPr>
            </w:pPr>
            <w:r>
              <w:rPr>
                <w:rFonts w:hint="default"/>
                <w:b/>
                <w:bCs/>
              </w:rPr>
              <w:t>320</w:t>
            </w:r>
            <w:r>
              <w:rPr>
                <w:b/>
                <w:bCs/>
              </w:rPr>
              <w:t>m</w:t>
            </w:r>
          </w:p>
        </w:tc>
      </w:tr>
      <w:tr w14:paraId="1C9A88A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4" w:hRule="atLeast"/>
          <w:jc w:val="center"/>
        </w:trPr>
        <w:tc>
          <w:tcPr>
            <w:tcW w:w="604" w:type="dxa"/>
            <w:vAlign w:val="center"/>
          </w:tcPr>
          <w:p w14:paraId="76652C8A">
            <w:pPr>
              <w:pStyle w:val="45"/>
              <w:rPr>
                <w:rFonts w:hint="default"/>
              </w:rPr>
            </w:pPr>
            <w:r>
              <w:rPr>
                <w:rFonts w:hint="default"/>
              </w:rPr>
              <w:t>拆除</w:t>
            </w:r>
          </w:p>
        </w:tc>
        <w:tc>
          <w:tcPr>
            <w:tcW w:w="1445" w:type="dxa"/>
            <w:vAlign w:val="center"/>
          </w:tcPr>
          <w:p w14:paraId="56979891">
            <w:pPr>
              <w:pStyle w:val="45"/>
              <w:rPr>
                <w:rFonts w:hint="default"/>
              </w:rPr>
            </w:pPr>
            <w:r>
              <w:rPr>
                <w:rFonts w:hint="default"/>
              </w:rPr>
              <w:t>挖机</w:t>
            </w:r>
          </w:p>
        </w:tc>
        <w:tc>
          <w:tcPr>
            <w:tcW w:w="672" w:type="dxa"/>
            <w:vAlign w:val="center"/>
          </w:tcPr>
          <w:p w14:paraId="7CB32978">
            <w:pPr>
              <w:pStyle w:val="45"/>
              <w:rPr>
                <w:rFonts w:hint="default"/>
              </w:rPr>
            </w:pPr>
            <w:r>
              <w:rPr>
                <w:rFonts w:hint="default"/>
              </w:rPr>
              <w:t>80</w:t>
            </w:r>
          </w:p>
        </w:tc>
        <w:tc>
          <w:tcPr>
            <w:tcW w:w="531" w:type="dxa"/>
            <w:vAlign w:val="center"/>
          </w:tcPr>
          <w:p w14:paraId="74098976">
            <w:pPr>
              <w:pStyle w:val="45"/>
              <w:rPr>
                <w:rFonts w:hint="default"/>
              </w:rPr>
            </w:pPr>
            <w:r>
              <w:rPr>
                <w:rFonts w:hint="default"/>
              </w:rPr>
              <w:t>70</w:t>
            </w:r>
          </w:p>
        </w:tc>
        <w:tc>
          <w:tcPr>
            <w:tcW w:w="567" w:type="dxa"/>
            <w:vAlign w:val="center"/>
          </w:tcPr>
          <w:p w14:paraId="4C620C8F">
            <w:pPr>
              <w:pStyle w:val="45"/>
              <w:rPr>
                <w:rFonts w:hint="default"/>
              </w:rPr>
            </w:pPr>
            <w:r>
              <w:rPr>
                <w:rFonts w:hint="default"/>
              </w:rPr>
              <w:t>55</w:t>
            </w:r>
          </w:p>
        </w:tc>
        <w:tc>
          <w:tcPr>
            <w:tcW w:w="584" w:type="dxa"/>
            <w:vAlign w:val="center"/>
          </w:tcPr>
          <w:p w14:paraId="3F65AD14">
            <w:pPr>
              <w:pStyle w:val="45"/>
              <w:rPr>
                <w:rFonts w:hint="default"/>
              </w:rPr>
            </w:pPr>
            <w:r>
              <w:rPr>
                <w:rFonts w:hint="default"/>
              </w:rPr>
              <w:t>60.0</w:t>
            </w:r>
          </w:p>
        </w:tc>
        <w:tc>
          <w:tcPr>
            <w:tcW w:w="584" w:type="dxa"/>
            <w:vAlign w:val="center"/>
          </w:tcPr>
          <w:p w14:paraId="15EF7510">
            <w:pPr>
              <w:pStyle w:val="45"/>
              <w:rPr>
                <w:rFonts w:hint="default"/>
              </w:rPr>
            </w:pPr>
            <w:r>
              <w:rPr>
                <w:rFonts w:hint="default"/>
              </w:rPr>
              <w:t>48.0</w:t>
            </w:r>
          </w:p>
        </w:tc>
        <w:tc>
          <w:tcPr>
            <w:tcW w:w="584" w:type="dxa"/>
            <w:vAlign w:val="center"/>
          </w:tcPr>
          <w:p w14:paraId="53FA190B">
            <w:pPr>
              <w:pStyle w:val="45"/>
              <w:rPr>
                <w:rFonts w:hint="default"/>
              </w:rPr>
            </w:pPr>
            <w:r>
              <w:rPr>
                <w:rFonts w:hint="default"/>
              </w:rPr>
              <w:t>46.0</w:t>
            </w:r>
          </w:p>
        </w:tc>
        <w:tc>
          <w:tcPr>
            <w:tcW w:w="584" w:type="dxa"/>
            <w:vAlign w:val="center"/>
          </w:tcPr>
          <w:p w14:paraId="2DA20DEE">
            <w:pPr>
              <w:pStyle w:val="45"/>
              <w:rPr>
                <w:rFonts w:hint="default"/>
              </w:rPr>
            </w:pPr>
            <w:r>
              <w:rPr>
                <w:rFonts w:hint="default"/>
              </w:rPr>
              <w:t>44.4</w:t>
            </w:r>
          </w:p>
        </w:tc>
        <w:tc>
          <w:tcPr>
            <w:tcW w:w="584" w:type="dxa"/>
            <w:vAlign w:val="center"/>
          </w:tcPr>
          <w:p w14:paraId="25AD25A3">
            <w:pPr>
              <w:pStyle w:val="45"/>
              <w:rPr>
                <w:rFonts w:hint="default"/>
              </w:rPr>
            </w:pPr>
            <w:r>
              <w:rPr>
                <w:rFonts w:hint="default"/>
              </w:rPr>
              <w:t>40.0</w:t>
            </w:r>
          </w:p>
        </w:tc>
        <w:tc>
          <w:tcPr>
            <w:tcW w:w="584" w:type="dxa"/>
            <w:vAlign w:val="center"/>
          </w:tcPr>
          <w:p w14:paraId="56865B10">
            <w:pPr>
              <w:pStyle w:val="45"/>
              <w:rPr>
                <w:rFonts w:hint="default"/>
              </w:rPr>
            </w:pPr>
            <w:r>
              <w:rPr>
                <w:rFonts w:hint="default"/>
              </w:rPr>
              <w:t>36.5</w:t>
            </w:r>
          </w:p>
        </w:tc>
        <w:tc>
          <w:tcPr>
            <w:tcW w:w="584" w:type="dxa"/>
            <w:vAlign w:val="center"/>
          </w:tcPr>
          <w:p w14:paraId="57D0CDC0">
            <w:pPr>
              <w:pStyle w:val="45"/>
              <w:rPr>
                <w:rFonts w:hint="default"/>
              </w:rPr>
            </w:pPr>
            <w:r>
              <w:rPr>
                <w:rFonts w:hint="default"/>
              </w:rPr>
              <w:t>34.0</w:t>
            </w:r>
          </w:p>
        </w:tc>
        <w:tc>
          <w:tcPr>
            <w:tcW w:w="584" w:type="dxa"/>
            <w:vAlign w:val="center"/>
          </w:tcPr>
          <w:p w14:paraId="0D29DFDE">
            <w:pPr>
              <w:pStyle w:val="45"/>
              <w:rPr>
                <w:rFonts w:hint="default"/>
              </w:rPr>
            </w:pPr>
            <w:r>
              <w:rPr>
                <w:rFonts w:hint="default"/>
              </w:rPr>
              <w:t>29.9</w:t>
            </w:r>
          </w:p>
        </w:tc>
      </w:tr>
      <w:tr w14:paraId="31AEB64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18" w:hRule="atLeast"/>
          <w:jc w:val="center"/>
        </w:trPr>
        <w:tc>
          <w:tcPr>
            <w:tcW w:w="604" w:type="dxa"/>
            <w:vMerge w:val="restart"/>
            <w:vAlign w:val="center"/>
          </w:tcPr>
          <w:p w14:paraId="72E2ABFC">
            <w:pPr>
              <w:pStyle w:val="45"/>
              <w:rPr>
                <w:rFonts w:hint="default"/>
              </w:rPr>
            </w:pPr>
            <w:r>
              <w:rPr>
                <w:rFonts w:hint="default"/>
              </w:rPr>
              <w:t>土石方</w:t>
            </w:r>
          </w:p>
        </w:tc>
        <w:tc>
          <w:tcPr>
            <w:tcW w:w="1445" w:type="dxa"/>
            <w:vAlign w:val="center"/>
          </w:tcPr>
          <w:p w14:paraId="35318637">
            <w:pPr>
              <w:pStyle w:val="45"/>
              <w:rPr>
                <w:rFonts w:hint="default"/>
              </w:rPr>
            </w:pPr>
            <w:r>
              <w:rPr>
                <w:rFonts w:hint="default"/>
              </w:rPr>
              <w:t>翻斗车</w:t>
            </w:r>
          </w:p>
        </w:tc>
        <w:tc>
          <w:tcPr>
            <w:tcW w:w="672" w:type="dxa"/>
            <w:vAlign w:val="center"/>
          </w:tcPr>
          <w:p w14:paraId="21C2BD4B">
            <w:pPr>
              <w:pStyle w:val="45"/>
              <w:rPr>
                <w:rFonts w:hint="default"/>
              </w:rPr>
            </w:pPr>
            <w:r>
              <w:rPr>
                <w:rFonts w:hint="default"/>
              </w:rPr>
              <w:t>90</w:t>
            </w:r>
          </w:p>
        </w:tc>
        <w:tc>
          <w:tcPr>
            <w:tcW w:w="531" w:type="dxa"/>
            <w:vAlign w:val="center"/>
          </w:tcPr>
          <w:p w14:paraId="5BAFF236">
            <w:pPr>
              <w:pStyle w:val="45"/>
              <w:rPr>
                <w:rFonts w:hint="default"/>
              </w:rPr>
            </w:pPr>
            <w:r>
              <w:rPr>
                <w:rFonts w:hint="default"/>
              </w:rPr>
              <w:t>70</w:t>
            </w:r>
          </w:p>
        </w:tc>
        <w:tc>
          <w:tcPr>
            <w:tcW w:w="567" w:type="dxa"/>
            <w:vAlign w:val="center"/>
          </w:tcPr>
          <w:p w14:paraId="3E7C2D44">
            <w:pPr>
              <w:pStyle w:val="45"/>
              <w:rPr>
                <w:rFonts w:hint="default"/>
              </w:rPr>
            </w:pPr>
            <w:r>
              <w:rPr>
                <w:rFonts w:hint="default"/>
              </w:rPr>
              <w:t>55</w:t>
            </w:r>
          </w:p>
        </w:tc>
        <w:tc>
          <w:tcPr>
            <w:tcW w:w="584" w:type="dxa"/>
            <w:vAlign w:val="center"/>
          </w:tcPr>
          <w:p w14:paraId="22D0C3F3">
            <w:pPr>
              <w:pStyle w:val="45"/>
              <w:rPr>
                <w:rFonts w:hint="default"/>
              </w:rPr>
            </w:pPr>
            <w:r>
              <w:rPr>
                <w:rFonts w:hint="default"/>
              </w:rPr>
              <w:t>70.0</w:t>
            </w:r>
          </w:p>
        </w:tc>
        <w:tc>
          <w:tcPr>
            <w:tcW w:w="584" w:type="dxa"/>
            <w:vAlign w:val="center"/>
          </w:tcPr>
          <w:p w14:paraId="5AF45A1E">
            <w:pPr>
              <w:pStyle w:val="45"/>
              <w:rPr>
                <w:rFonts w:hint="default"/>
              </w:rPr>
            </w:pPr>
            <w:r>
              <w:rPr>
                <w:rFonts w:hint="default"/>
              </w:rPr>
              <w:t>60.0</w:t>
            </w:r>
          </w:p>
        </w:tc>
        <w:tc>
          <w:tcPr>
            <w:tcW w:w="584" w:type="dxa"/>
            <w:vAlign w:val="center"/>
          </w:tcPr>
          <w:p w14:paraId="7C5D297A">
            <w:pPr>
              <w:pStyle w:val="45"/>
              <w:rPr>
                <w:rFonts w:hint="default"/>
              </w:rPr>
            </w:pPr>
            <w:r>
              <w:rPr>
                <w:rFonts w:hint="default"/>
              </w:rPr>
              <w:t>56</w:t>
            </w:r>
          </w:p>
        </w:tc>
        <w:tc>
          <w:tcPr>
            <w:tcW w:w="584" w:type="dxa"/>
            <w:vAlign w:val="center"/>
          </w:tcPr>
          <w:p w14:paraId="5787E337">
            <w:pPr>
              <w:pStyle w:val="45"/>
              <w:rPr>
                <w:rFonts w:hint="default"/>
              </w:rPr>
            </w:pPr>
            <w:r>
              <w:rPr>
                <w:rFonts w:hint="default"/>
              </w:rPr>
              <w:t>54.4</w:t>
            </w:r>
          </w:p>
        </w:tc>
        <w:tc>
          <w:tcPr>
            <w:tcW w:w="584" w:type="dxa"/>
            <w:vAlign w:val="center"/>
          </w:tcPr>
          <w:p w14:paraId="5E8E4824">
            <w:pPr>
              <w:pStyle w:val="45"/>
              <w:rPr>
                <w:rFonts w:hint="default"/>
              </w:rPr>
            </w:pPr>
            <w:r>
              <w:rPr>
                <w:rFonts w:hint="default"/>
              </w:rPr>
              <w:t>50.0</w:t>
            </w:r>
          </w:p>
        </w:tc>
        <w:tc>
          <w:tcPr>
            <w:tcW w:w="584" w:type="dxa"/>
            <w:vAlign w:val="center"/>
          </w:tcPr>
          <w:p w14:paraId="4FB67040">
            <w:pPr>
              <w:pStyle w:val="45"/>
              <w:rPr>
                <w:rFonts w:hint="default"/>
              </w:rPr>
            </w:pPr>
            <w:r>
              <w:rPr>
                <w:rFonts w:hint="default"/>
              </w:rPr>
              <w:t>46.5</w:t>
            </w:r>
          </w:p>
        </w:tc>
        <w:tc>
          <w:tcPr>
            <w:tcW w:w="584" w:type="dxa"/>
            <w:vAlign w:val="center"/>
          </w:tcPr>
          <w:p w14:paraId="39AC1E1A">
            <w:pPr>
              <w:pStyle w:val="45"/>
              <w:rPr>
                <w:rFonts w:hint="default"/>
              </w:rPr>
            </w:pPr>
            <w:r>
              <w:rPr>
                <w:rFonts w:hint="default"/>
              </w:rPr>
              <w:t>44.0</w:t>
            </w:r>
          </w:p>
        </w:tc>
        <w:tc>
          <w:tcPr>
            <w:tcW w:w="584" w:type="dxa"/>
            <w:vAlign w:val="center"/>
          </w:tcPr>
          <w:p w14:paraId="378B24CE">
            <w:pPr>
              <w:pStyle w:val="45"/>
              <w:rPr>
                <w:rFonts w:hint="default"/>
              </w:rPr>
            </w:pPr>
            <w:r>
              <w:rPr>
                <w:rFonts w:hint="default"/>
              </w:rPr>
              <w:t>39.9</w:t>
            </w:r>
          </w:p>
        </w:tc>
      </w:tr>
      <w:tr w14:paraId="289BEAF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07" w:hRule="atLeast"/>
          <w:jc w:val="center"/>
        </w:trPr>
        <w:tc>
          <w:tcPr>
            <w:tcW w:w="604" w:type="dxa"/>
            <w:vMerge w:val="continue"/>
            <w:vAlign w:val="center"/>
          </w:tcPr>
          <w:p w14:paraId="1C9D7326">
            <w:pPr>
              <w:pStyle w:val="45"/>
              <w:rPr>
                <w:rFonts w:hint="default"/>
              </w:rPr>
            </w:pPr>
          </w:p>
        </w:tc>
        <w:tc>
          <w:tcPr>
            <w:tcW w:w="1445" w:type="dxa"/>
            <w:vAlign w:val="center"/>
          </w:tcPr>
          <w:p w14:paraId="624DF44D">
            <w:pPr>
              <w:pStyle w:val="45"/>
              <w:rPr>
                <w:rFonts w:hint="default"/>
              </w:rPr>
            </w:pPr>
            <w:r>
              <w:rPr>
                <w:rFonts w:hint="default"/>
              </w:rPr>
              <w:t>装载机</w:t>
            </w:r>
          </w:p>
        </w:tc>
        <w:tc>
          <w:tcPr>
            <w:tcW w:w="672" w:type="dxa"/>
            <w:vAlign w:val="center"/>
          </w:tcPr>
          <w:p w14:paraId="621927BF">
            <w:pPr>
              <w:pStyle w:val="45"/>
              <w:rPr>
                <w:rFonts w:hint="default"/>
              </w:rPr>
            </w:pPr>
            <w:r>
              <w:rPr>
                <w:rFonts w:hint="default"/>
              </w:rPr>
              <w:t>86</w:t>
            </w:r>
          </w:p>
        </w:tc>
        <w:tc>
          <w:tcPr>
            <w:tcW w:w="531" w:type="dxa"/>
            <w:vAlign w:val="center"/>
          </w:tcPr>
          <w:p w14:paraId="76632852">
            <w:pPr>
              <w:pStyle w:val="45"/>
              <w:rPr>
                <w:rFonts w:hint="default"/>
              </w:rPr>
            </w:pPr>
            <w:r>
              <w:rPr>
                <w:rFonts w:hint="default"/>
              </w:rPr>
              <w:t>70</w:t>
            </w:r>
          </w:p>
        </w:tc>
        <w:tc>
          <w:tcPr>
            <w:tcW w:w="567" w:type="dxa"/>
            <w:vAlign w:val="center"/>
          </w:tcPr>
          <w:p w14:paraId="3A2B7CBB">
            <w:pPr>
              <w:pStyle w:val="45"/>
              <w:rPr>
                <w:rFonts w:hint="default"/>
              </w:rPr>
            </w:pPr>
            <w:r>
              <w:rPr>
                <w:rFonts w:hint="default"/>
              </w:rPr>
              <w:t>55</w:t>
            </w:r>
          </w:p>
        </w:tc>
        <w:tc>
          <w:tcPr>
            <w:tcW w:w="584" w:type="dxa"/>
            <w:vAlign w:val="center"/>
          </w:tcPr>
          <w:p w14:paraId="01B5E5DB">
            <w:pPr>
              <w:pStyle w:val="45"/>
              <w:rPr>
                <w:rFonts w:hint="default"/>
              </w:rPr>
            </w:pPr>
            <w:r>
              <w:rPr>
                <w:rFonts w:hint="default"/>
              </w:rPr>
              <w:t>66.0</w:t>
            </w:r>
          </w:p>
        </w:tc>
        <w:tc>
          <w:tcPr>
            <w:tcW w:w="584" w:type="dxa"/>
            <w:vAlign w:val="center"/>
          </w:tcPr>
          <w:p w14:paraId="4DF0D761">
            <w:pPr>
              <w:pStyle w:val="45"/>
              <w:rPr>
                <w:rFonts w:hint="default"/>
              </w:rPr>
            </w:pPr>
            <w:r>
              <w:rPr>
                <w:rFonts w:hint="default"/>
              </w:rPr>
              <w:t>54.0</w:t>
            </w:r>
          </w:p>
        </w:tc>
        <w:tc>
          <w:tcPr>
            <w:tcW w:w="584" w:type="dxa"/>
            <w:vAlign w:val="center"/>
          </w:tcPr>
          <w:p w14:paraId="0F343C1B">
            <w:pPr>
              <w:pStyle w:val="45"/>
              <w:rPr>
                <w:rFonts w:hint="default"/>
              </w:rPr>
            </w:pPr>
            <w:r>
              <w:rPr>
                <w:rFonts w:hint="default"/>
              </w:rPr>
              <w:t>52.0</w:t>
            </w:r>
          </w:p>
        </w:tc>
        <w:tc>
          <w:tcPr>
            <w:tcW w:w="584" w:type="dxa"/>
            <w:vAlign w:val="center"/>
          </w:tcPr>
          <w:p w14:paraId="56B50AB1">
            <w:pPr>
              <w:pStyle w:val="45"/>
              <w:rPr>
                <w:rFonts w:hint="default"/>
              </w:rPr>
            </w:pPr>
            <w:r>
              <w:rPr>
                <w:rFonts w:hint="default"/>
              </w:rPr>
              <w:t>50.4</w:t>
            </w:r>
          </w:p>
        </w:tc>
        <w:tc>
          <w:tcPr>
            <w:tcW w:w="584" w:type="dxa"/>
            <w:vAlign w:val="center"/>
          </w:tcPr>
          <w:p w14:paraId="799DD523">
            <w:pPr>
              <w:pStyle w:val="45"/>
              <w:rPr>
                <w:rFonts w:hint="default"/>
              </w:rPr>
            </w:pPr>
            <w:r>
              <w:rPr>
                <w:rFonts w:hint="default"/>
              </w:rPr>
              <w:t>46.0</w:t>
            </w:r>
          </w:p>
        </w:tc>
        <w:tc>
          <w:tcPr>
            <w:tcW w:w="584" w:type="dxa"/>
            <w:vAlign w:val="center"/>
          </w:tcPr>
          <w:p w14:paraId="759EAA19">
            <w:pPr>
              <w:pStyle w:val="45"/>
              <w:rPr>
                <w:rFonts w:hint="default"/>
              </w:rPr>
            </w:pPr>
            <w:r>
              <w:rPr>
                <w:rFonts w:hint="default"/>
              </w:rPr>
              <w:t>42.7</w:t>
            </w:r>
          </w:p>
        </w:tc>
        <w:tc>
          <w:tcPr>
            <w:tcW w:w="584" w:type="dxa"/>
            <w:vAlign w:val="center"/>
          </w:tcPr>
          <w:p w14:paraId="53AA2369">
            <w:pPr>
              <w:pStyle w:val="45"/>
              <w:rPr>
                <w:rFonts w:hint="default"/>
              </w:rPr>
            </w:pPr>
            <w:r>
              <w:rPr>
                <w:rFonts w:hint="default"/>
              </w:rPr>
              <w:t>39.9</w:t>
            </w:r>
          </w:p>
        </w:tc>
        <w:tc>
          <w:tcPr>
            <w:tcW w:w="584" w:type="dxa"/>
            <w:vAlign w:val="center"/>
          </w:tcPr>
          <w:p w14:paraId="4A872BE8">
            <w:pPr>
              <w:pStyle w:val="45"/>
              <w:rPr>
                <w:rFonts w:hint="default"/>
              </w:rPr>
            </w:pPr>
            <w:r>
              <w:rPr>
                <w:rFonts w:hint="default"/>
              </w:rPr>
              <w:t>35.9</w:t>
            </w:r>
          </w:p>
        </w:tc>
      </w:tr>
      <w:tr w14:paraId="37E7A99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604" w:type="dxa"/>
            <w:vMerge w:val="continue"/>
            <w:vAlign w:val="center"/>
          </w:tcPr>
          <w:p w14:paraId="34FB8018">
            <w:pPr>
              <w:pStyle w:val="45"/>
              <w:rPr>
                <w:rFonts w:hint="default"/>
              </w:rPr>
            </w:pPr>
          </w:p>
        </w:tc>
        <w:tc>
          <w:tcPr>
            <w:tcW w:w="1445" w:type="dxa"/>
            <w:vAlign w:val="center"/>
          </w:tcPr>
          <w:p w14:paraId="600FB30D">
            <w:pPr>
              <w:pStyle w:val="45"/>
              <w:rPr>
                <w:rFonts w:hint="default"/>
              </w:rPr>
            </w:pPr>
            <w:r>
              <w:rPr>
                <w:rFonts w:hint="default"/>
              </w:rPr>
              <w:t>推土机</w:t>
            </w:r>
          </w:p>
        </w:tc>
        <w:tc>
          <w:tcPr>
            <w:tcW w:w="672" w:type="dxa"/>
            <w:vAlign w:val="center"/>
          </w:tcPr>
          <w:p w14:paraId="696711D2">
            <w:pPr>
              <w:pStyle w:val="45"/>
              <w:rPr>
                <w:rFonts w:hint="default"/>
              </w:rPr>
            </w:pPr>
            <w:r>
              <w:rPr>
                <w:rFonts w:hint="default"/>
              </w:rPr>
              <w:t>98</w:t>
            </w:r>
          </w:p>
        </w:tc>
        <w:tc>
          <w:tcPr>
            <w:tcW w:w="531" w:type="dxa"/>
            <w:vAlign w:val="center"/>
          </w:tcPr>
          <w:p w14:paraId="069F4AB2">
            <w:pPr>
              <w:pStyle w:val="45"/>
              <w:rPr>
                <w:rFonts w:hint="default"/>
              </w:rPr>
            </w:pPr>
            <w:r>
              <w:rPr>
                <w:rFonts w:hint="default"/>
              </w:rPr>
              <w:t>70</w:t>
            </w:r>
          </w:p>
        </w:tc>
        <w:tc>
          <w:tcPr>
            <w:tcW w:w="567" w:type="dxa"/>
            <w:vAlign w:val="center"/>
          </w:tcPr>
          <w:p w14:paraId="22C6F17F">
            <w:pPr>
              <w:pStyle w:val="45"/>
              <w:rPr>
                <w:rFonts w:hint="default"/>
              </w:rPr>
            </w:pPr>
            <w:r>
              <w:rPr>
                <w:rFonts w:hint="default"/>
              </w:rPr>
              <w:t>55</w:t>
            </w:r>
          </w:p>
        </w:tc>
        <w:tc>
          <w:tcPr>
            <w:tcW w:w="584" w:type="dxa"/>
            <w:vAlign w:val="center"/>
          </w:tcPr>
          <w:p w14:paraId="5B677C23">
            <w:pPr>
              <w:pStyle w:val="45"/>
              <w:rPr>
                <w:rFonts w:hint="default"/>
              </w:rPr>
            </w:pPr>
            <w:r>
              <w:rPr>
                <w:rFonts w:hint="default"/>
              </w:rPr>
              <w:t>78.0</w:t>
            </w:r>
          </w:p>
        </w:tc>
        <w:tc>
          <w:tcPr>
            <w:tcW w:w="584" w:type="dxa"/>
            <w:vAlign w:val="center"/>
          </w:tcPr>
          <w:p w14:paraId="4F92C7F2">
            <w:pPr>
              <w:pStyle w:val="45"/>
              <w:rPr>
                <w:rFonts w:hint="default"/>
              </w:rPr>
            </w:pPr>
            <w:r>
              <w:rPr>
                <w:rFonts w:hint="default"/>
              </w:rPr>
              <w:t>66.0</w:t>
            </w:r>
          </w:p>
        </w:tc>
        <w:tc>
          <w:tcPr>
            <w:tcW w:w="584" w:type="dxa"/>
            <w:vAlign w:val="center"/>
          </w:tcPr>
          <w:p w14:paraId="4E0575CA">
            <w:pPr>
              <w:pStyle w:val="45"/>
              <w:rPr>
                <w:rFonts w:hint="default"/>
              </w:rPr>
            </w:pPr>
            <w:r>
              <w:rPr>
                <w:rFonts w:hint="default"/>
              </w:rPr>
              <w:t>64.0</w:t>
            </w:r>
          </w:p>
        </w:tc>
        <w:tc>
          <w:tcPr>
            <w:tcW w:w="584" w:type="dxa"/>
            <w:vAlign w:val="center"/>
          </w:tcPr>
          <w:p w14:paraId="0F9379D1">
            <w:pPr>
              <w:pStyle w:val="45"/>
              <w:rPr>
                <w:rFonts w:hint="default"/>
              </w:rPr>
            </w:pPr>
            <w:r>
              <w:rPr>
                <w:rFonts w:hint="default"/>
              </w:rPr>
              <w:t>62.4</w:t>
            </w:r>
          </w:p>
        </w:tc>
        <w:tc>
          <w:tcPr>
            <w:tcW w:w="584" w:type="dxa"/>
            <w:vAlign w:val="center"/>
          </w:tcPr>
          <w:p w14:paraId="5BA3D995">
            <w:pPr>
              <w:pStyle w:val="45"/>
              <w:rPr>
                <w:rFonts w:hint="default"/>
              </w:rPr>
            </w:pPr>
            <w:r>
              <w:rPr>
                <w:rFonts w:hint="default"/>
              </w:rPr>
              <w:t>58.0</w:t>
            </w:r>
          </w:p>
        </w:tc>
        <w:tc>
          <w:tcPr>
            <w:tcW w:w="584" w:type="dxa"/>
            <w:vAlign w:val="center"/>
          </w:tcPr>
          <w:p w14:paraId="72379432">
            <w:pPr>
              <w:pStyle w:val="45"/>
              <w:rPr>
                <w:rFonts w:hint="default"/>
              </w:rPr>
            </w:pPr>
            <w:r>
              <w:rPr>
                <w:rFonts w:hint="default"/>
              </w:rPr>
              <w:t>54.5</w:t>
            </w:r>
          </w:p>
        </w:tc>
        <w:tc>
          <w:tcPr>
            <w:tcW w:w="584" w:type="dxa"/>
            <w:vAlign w:val="center"/>
          </w:tcPr>
          <w:p w14:paraId="258016BF">
            <w:pPr>
              <w:pStyle w:val="45"/>
              <w:rPr>
                <w:rFonts w:hint="default"/>
              </w:rPr>
            </w:pPr>
            <w:r>
              <w:rPr>
                <w:rFonts w:hint="default"/>
              </w:rPr>
              <w:t>52.0</w:t>
            </w:r>
          </w:p>
        </w:tc>
        <w:tc>
          <w:tcPr>
            <w:tcW w:w="584" w:type="dxa"/>
            <w:vAlign w:val="center"/>
          </w:tcPr>
          <w:p w14:paraId="25C5E7C2">
            <w:pPr>
              <w:pStyle w:val="45"/>
              <w:rPr>
                <w:rFonts w:hint="default"/>
              </w:rPr>
            </w:pPr>
            <w:r>
              <w:rPr>
                <w:rFonts w:hint="default"/>
              </w:rPr>
              <w:t>47.9</w:t>
            </w:r>
          </w:p>
        </w:tc>
      </w:tr>
      <w:tr w14:paraId="602520C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54" w:hRule="atLeast"/>
          <w:jc w:val="center"/>
        </w:trPr>
        <w:tc>
          <w:tcPr>
            <w:tcW w:w="604" w:type="dxa"/>
            <w:vMerge w:val="continue"/>
            <w:vAlign w:val="center"/>
          </w:tcPr>
          <w:p w14:paraId="65E3C8BF">
            <w:pPr>
              <w:pStyle w:val="45"/>
              <w:rPr>
                <w:rFonts w:hint="default"/>
              </w:rPr>
            </w:pPr>
          </w:p>
        </w:tc>
        <w:tc>
          <w:tcPr>
            <w:tcW w:w="1445" w:type="dxa"/>
            <w:vAlign w:val="center"/>
          </w:tcPr>
          <w:p w14:paraId="514772D7">
            <w:pPr>
              <w:pStyle w:val="45"/>
              <w:rPr>
                <w:rFonts w:hint="default"/>
              </w:rPr>
            </w:pPr>
            <w:r>
              <w:rPr>
                <w:rFonts w:hint="default"/>
              </w:rPr>
              <w:t>挖掘机</w:t>
            </w:r>
          </w:p>
        </w:tc>
        <w:tc>
          <w:tcPr>
            <w:tcW w:w="672" w:type="dxa"/>
            <w:vAlign w:val="center"/>
          </w:tcPr>
          <w:p w14:paraId="7F40DFA2">
            <w:pPr>
              <w:pStyle w:val="45"/>
              <w:rPr>
                <w:rFonts w:hint="default"/>
              </w:rPr>
            </w:pPr>
            <w:r>
              <w:rPr>
                <w:rFonts w:hint="default"/>
              </w:rPr>
              <w:t>89</w:t>
            </w:r>
          </w:p>
        </w:tc>
        <w:tc>
          <w:tcPr>
            <w:tcW w:w="531" w:type="dxa"/>
          </w:tcPr>
          <w:p w14:paraId="381D935F">
            <w:pPr>
              <w:pStyle w:val="45"/>
              <w:rPr>
                <w:rFonts w:hint="default"/>
              </w:rPr>
            </w:pPr>
            <w:r>
              <w:rPr>
                <w:rFonts w:hint="default"/>
              </w:rPr>
              <w:t>70</w:t>
            </w:r>
          </w:p>
        </w:tc>
        <w:tc>
          <w:tcPr>
            <w:tcW w:w="567" w:type="dxa"/>
            <w:vAlign w:val="center"/>
          </w:tcPr>
          <w:p w14:paraId="31DC0490">
            <w:pPr>
              <w:pStyle w:val="45"/>
              <w:rPr>
                <w:rFonts w:hint="default"/>
              </w:rPr>
            </w:pPr>
            <w:r>
              <w:rPr>
                <w:rFonts w:hint="default"/>
              </w:rPr>
              <w:t>55</w:t>
            </w:r>
          </w:p>
        </w:tc>
        <w:tc>
          <w:tcPr>
            <w:tcW w:w="584" w:type="dxa"/>
            <w:vAlign w:val="center"/>
          </w:tcPr>
          <w:p w14:paraId="32352775">
            <w:pPr>
              <w:pStyle w:val="45"/>
              <w:rPr>
                <w:rFonts w:hint="default"/>
              </w:rPr>
            </w:pPr>
            <w:r>
              <w:rPr>
                <w:rFonts w:hint="default"/>
              </w:rPr>
              <w:t>69.0</w:t>
            </w:r>
          </w:p>
        </w:tc>
        <w:tc>
          <w:tcPr>
            <w:tcW w:w="584" w:type="dxa"/>
            <w:vAlign w:val="center"/>
          </w:tcPr>
          <w:p w14:paraId="5F5ED3FF">
            <w:pPr>
              <w:pStyle w:val="45"/>
              <w:rPr>
                <w:rFonts w:hint="default"/>
              </w:rPr>
            </w:pPr>
            <w:r>
              <w:rPr>
                <w:rFonts w:hint="default"/>
              </w:rPr>
              <w:t>57.0</w:t>
            </w:r>
          </w:p>
        </w:tc>
        <w:tc>
          <w:tcPr>
            <w:tcW w:w="584" w:type="dxa"/>
            <w:vAlign w:val="center"/>
          </w:tcPr>
          <w:p w14:paraId="0A194182">
            <w:pPr>
              <w:pStyle w:val="45"/>
              <w:rPr>
                <w:rFonts w:hint="default"/>
              </w:rPr>
            </w:pPr>
            <w:r>
              <w:rPr>
                <w:rFonts w:hint="default"/>
              </w:rPr>
              <w:t>55.0</w:t>
            </w:r>
          </w:p>
        </w:tc>
        <w:tc>
          <w:tcPr>
            <w:tcW w:w="584" w:type="dxa"/>
            <w:vAlign w:val="center"/>
          </w:tcPr>
          <w:p w14:paraId="524D0529">
            <w:pPr>
              <w:pStyle w:val="45"/>
              <w:rPr>
                <w:rFonts w:hint="default"/>
              </w:rPr>
            </w:pPr>
            <w:r>
              <w:rPr>
                <w:rFonts w:hint="default"/>
              </w:rPr>
              <w:t>53.4</w:t>
            </w:r>
          </w:p>
        </w:tc>
        <w:tc>
          <w:tcPr>
            <w:tcW w:w="584" w:type="dxa"/>
            <w:vAlign w:val="center"/>
          </w:tcPr>
          <w:p w14:paraId="341FE47F">
            <w:pPr>
              <w:pStyle w:val="45"/>
              <w:rPr>
                <w:rFonts w:hint="default"/>
              </w:rPr>
            </w:pPr>
            <w:r>
              <w:rPr>
                <w:rFonts w:hint="default"/>
              </w:rPr>
              <w:t>49.0</w:t>
            </w:r>
          </w:p>
        </w:tc>
        <w:tc>
          <w:tcPr>
            <w:tcW w:w="584" w:type="dxa"/>
            <w:vAlign w:val="center"/>
          </w:tcPr>
          <w:p w14:paraId="54706F91">
            <w:pPr>
              <w:pStyle w:val="45"/>
              <w:rPr>
                <w:rFonts w:hint="default"/>
              </w:rPr>
            </w:pPr>
            <w:r>
              <w:rPr>
                <w:rFonts w:hint="default"/>
              </w:rPr>
              <w:t>45.5</w:t>
            </w:r>
          </w:p>
        </w:tc>
        <w:tc>
          <w:tcPr>
            <w:tcW w:w="584" w:type="dxa"/>
            <w:vAlign w:val="center"/>
          </w:tcPr>
          <w:p w14:paraId="444B5AD1">
            <w:pPr>
              <w:pStyle w:val="45"/>
              <w:rPr>
                <w:rFonts w:hint="default"/>
              </w:rPr>
            </w:pPr>
            <w:r>
              <w:rPr>
                <w:rFonts w:hint="default"/>
              </w:rPr>
              <w:t>42.9</w:t>
            </w:r>
          </w:p>
        </w:tc>
        <w:tc>
          <w:tcPr>
            <w:tcW w:w="584" w:type="dxa"/>
            <w:vAlign w:val="center"/>
          </w:tcPr>
          <w:p w14:paraId="5644C3BE">
            <w:pPr>
              <w:pStyle w:val="45"/>
              <w:rPr>
                <w:rFonts w:hint="default"/>
              </w:rPr>
            </w:pPr>
            <w:r>
              <w:rPr>
                <w:rFonts w:hint="default"/>
              </w:rPr>
              <w:t>38.9</w:t>
            </w:r>
          </w:p>
        </w:tc>
      </w:tr>
      <w:tr w14:paraId="62508FB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9" w:hRule="atLeast"/>
          <w:jc w:val="center"/>
        </w:trPr>
        <w:tc>
          <w:tcPr>
            <w:tcW w:w="604" w:type="dxa"/>
            <w:vMerge w:val="restart"/>
            <w:vAlign w:val="center"/>
          </w:tcPr>
          <w:p w14:paraId="39C20447">
            <w:pPr>
              <w:pStyle w:val="45"/>
              <w:rPr>
                <w:rFonts w:hint="default"/>
              </w:rPr>
            </w:pPr>
            <w:r>
              <w:rPr>
                <w:rFonts w:hint="default"/>
              </w:rPr>
              <w:t>结构</w:t>
            </w:r>
          </w:p>
        </w:tc>
        <w:tc>
          <w:tcPr>
            <w:tcW w:w="1445" w:type="dxa"/>
            <w:vAlign w:val="center"/>
          </w:tcPr>
          <w:p w14:paraId="6D3C0712">
            <w:pPr>
              <w:pStyle w:val="45"/>
              <w:rPr>
                <w:rFonts w:hint="default"/>
              </w:rPr>
            </w:pPr>
            <w:r>
              <w:rPr>
                <w:rFonts w:hint="default"/>
              </w:rPr>
              <w:t>空压机、风镐</w:t>
            </w:r>
          </w:p>
        </w:tc>
        <w:tc>
          <w:tcPr>
            <w:tcW w:w="672" w:type="dxa"/>
            <w:vAlign w:val="center"/>
          </w:tcPr>
          <w:p w14:paraId="0B8057A2">
            <w:pPr>
              <w:pStyle w:val="45"/>
              <w:rPr>
                <w:rFonts w:hint="default"/>
              </w:rPr>
            </w:pPr>
            <w:r>
              <w:rPr>
                <w:rFonts w:hint="default"/>
              </w:rPr>
              <w:t>82</w:t>
            </w:r>
          </w:p>
        </w:tc>
        <w:tc>
          <w:tcPr>
            <w:tcW w:w="531" w:type="dxa"/>
          </w:tcPr>
          <w:p w14:paraId="6898BD97">
            <w:pPr>
              <w:pStyle w:val="45"/>
              <w:rPr>
                <w:rFonts w:hint="default"/>
              </w:rPr>
            </w:pPr>
            <w:r>
              <w:rPr>
                <w:rFonts w:hint="default"/>
              </w:rPr>
              <w:t>70</w:t>
            </w:r>
          </w:p>
        </w:tc>
        <w:tc>
          <w:tcPr>
            <w:tcW w:w="567" w:type="dxa"/>
            <w:vAlign w:val="center"/>
          </w:tcPr>
          <w:p w14:paraId="02A74B37">
            <w:pPr>
              <w:pStyle w:val="45"/>
              <w:rPr>
                <w:rFonts w:hint="default"/>
              </w:rPr>
            </w:pPr>
            <w:r>
              <w:rPr>
                <w:rFonts w:hint="default"/>
              </w:rPr>
              <w:t>55</w:t>
            </w:r>
          </w:p>
        </w:tc>
        <w:tc>
          <w:tcPr>
            <w:tcW w:w="584" w:type="dxa"/>
            <w:vAlign w:val="center"/>
          </w:tcPr>
          <w:p w14:paraId="1D90231E">
            <w:pPr>
              <w:pStyle w:val="45"/>
              <w:rPr>
                <w:rFonts w:hint="default"/>
              </w:rPr>
            </w:pPr>
            <w:r>
              <w:rPr>
                <w:rFonts w:hint="default"/>
              </w:rPr>
              <w:t>62.0</w:t>
            </w:r>
          </w:p>
        </w:tc>
        <w:tc>
          <w:tcPr>
            <w:tcW w:w="584" w:type="dxa"/>
            <w:vAlign w:val="center"/>
          </w:tcPr>
          <w:p w14:paraId="2258ABC8">
            <w:pPr>
              <w:pStyle w:val="45"/>
              <w:rPr>
                <w:rFonts w:hint="default"/>
              </w:rPr>
            </w:pPr>
            <w:r>
              <w:rPr>
                <w:rFonts w:hint="default"/>
              </w:rPr>
              <w:t>50.0</w:t>
            </w:r>
          </w:p>
        </w:tc>
        <w:tc>
          <w:tcPr>
            <w:tcW w:w="584" w:type="dxa"/>
            <w:vAlign w:val="center"/>
          </w:tcPr>
          <w:p w14:paraId="79EFBF16">
            <w:pPr>
              <w:pStyle w:val="45"/>
              <w:rPr>
                <w:rFonts w:hint="default"/>
              </w:rPr>
            </w:pPr>
            <w:r>
              <w:rPr>
                <w:rFonts w:hint="default"/>
              </w:rPr>
              <w:t>48.0</w:t>
            </w:r>
          </w:p>
        </w:tc>
        <w:tc>
          <w:tcPr>
            <w:tcW w:w="584" w:type="dxa"/>
            <w:vAlign w:val="center"/>
          </w:tcPr>
          <w:p w14:paraId="48ACB3FD">
            <w:pPr>
              <w:pStyle w:val="45"/>
              <w:rPr>
                <w:rFonts w:hint="default"/>
              </w:rPr>
            </w:pPr>
            <w:r>
              <w:rPr>
                <w:rFonts w:hint="default"/>
              </w:rPr>
              <w:t>59.4</w:t>
            </w:r>
          </w:p>
        </w:tc>
        <w:tc>
          <w:tcPr>
            <w:tcW w:w="584" w:type="dxa"/>
            <w:vAlign w:val="center"/>
          </w:tcPr>
          <w:p w14:paraId="11A913FB">
            <w:pPr>
              <w:pStyle w:val="45"/>
              <w:rPr>
                <w:rFonts w:hint="default"/>
              </w:rPr>
            </w:pPr>
            <w:r>
              <w:rPr>
                <w:rFonts w:hint="default"/>
              </w:rPr>
              <w:t>46.4</w:t>
            </w:r>
          </w:p>
        </w:tc>
        <w:tc>
          <w:tcPr>
            <w:tcW w:w="584" w:type="dxa"/>
            <w:vAlign w:val="center"/>
          </w:tcPr>
          <w:p w14:paraId="424C4EBB">
            <w:pPr>
              <w:pStyle w:val="45"/>
              <w:rPr>
                <w:rFonts w:hint="default"/>
              </w:rPr>
            </w:pPr>
            <w:r>
              <w:rPr>
                <w:rFonts w:hint="default"/>
              </w:rPr>
              <w:t>38.5</w:t>
            </w:r>
          </w:p>
        </w:tc>
        <w:tc>
          <w:tcPr>
            <w:tcW w:w="584" w:type="dxa"/>
            <w:vAlign w:val="center"/>
          </w:tcPr>
          <w:p w14:paraId="1783B110">
            <w:pPr>
              <w:pStyle w:val="45"/>
              <w:rPr>
                <w:rFonts w:hint="default"/>
              </w:rPr>
            </w:pPr>
            <w:r>
              <w:rPr>
                <w:rFonts w:hint="default"/>
              </w:rPr>
              <w:t>36.0</w:t>
            </w:r>
          </w:p>
        </w:tc>
        <w:tc>
          <w:tcPr>
            <w:tcW w:w="584" w:type="dxa"/>
            <w:vAlign w:val="center"/>
          </w:tcPr>
          <w:p w14:paraId="62BE11FA">
            <w:pPr>
              <w:pStyle w:val="45"/>
              <w:rPr>
                <w:rFonts w:hint="default"/>
              </w:rPr>
            </w:pPr>
            <w:r>
              <w:rPr>
                <w:rFonts w:hint="default"/>
              </w:rPr>
              <w:t>31.9</w:t>
            </w:r>
          </w:p>
        </w:tc>
      </w:tr>
      <w:tr w14:paraId="56530BD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9" w:hRule="atLeast"/>
          <w:jc w:val="center"/>
        </w:trPr>
        <w:tc>
          <w:tcPr>
            <w:tcW w:w="604" w:type="dxa"/>
            <w:vMerge w:val="continue"/>
            <w:vAlign w:val="center"/>
          </w:tcPr>
          <w:p w14:paraId="7971C993">
            <w:pPr>
              <w:pStyle w:val="45"/>
              <w:rPr>
                <w:rFonts w:hint="default"/>
              </w:rPr>
            </w:pPr>
          </w:p>
        </w:tc>
        <w:tc>
          <w:tcPr>
            <w:tcW w:w="1445" w:type="dxa"/>
            <w:vAlign w:val="center"/>
          </w:tcPr>
          <w:p w14:paraId="42D6FA9A">
            <w:pPr>
              <w:pStyle w:val="45"/>
              <w:rPr>
                <w:rFonts w:hint="default"/>
              </w:rPr>
            </w:pPr>
            <w:r>
              <w:rPr>
                <w:rFonts w:hint="default"/>
              </w:rPr>
              <w:t>切割机、电锯</w:t>
            </w:r>
          </w:p>
        </w:tc>
        <w:tc>
          <w:tcPr>
            <w:tcW w:w="672" w:type="dxa"/>
            <w:vAlign w:val="center"/>
          </w:tcPr>
          <w:p w14:paraId="2E01AE7C">
            <w:pPr>
              <w:pStyle w:val="45"/>
              <w:rPr>
                <w:rFonts w:hint="default"/>
              </w:rPr>
            </w:pPr>
            <w:r>
              <w:rPr>
                <w:rFonts w:hint="default"/>
              </w:rPr>
              <w:t>100</w:t>
            </w:r>
          </w:p>
        </w:tc>
        <w:tc>
          <w:tcPr>
            <w:tcW w:w="531" w:type="dxa"/>
          </w:tcPr>
          <w:p w14:paraId="1F3586D2">
            <w:pPr>
              <w:pStyle w:val="45"/>
              <w:rPr>
                <w:rFonts w:hint="default"/>
              </w:rPr>
            </w:pPr>
            <w:r>
              <w:rPr>
                <w:rFonts w:hint="default"/>
              </w:rPr>
              <w:t>70</w:t>
            </w:r>
          </w:p>
        </w:tc>
        <w:tc>
          <w:tcPr>
            <w:tcW w:w="567" w:type="dxa"/>
            <w:vAlign w:val="center"/>
          </w:tcPr>
          <w:p w14:paraId="391F48C5">
            <w:pPr>
              <w:pStyle w:val="45"/>
              <w:rPr>
                <w:rFonts w:hint="default"/>
              </w:rPr>
            </w:pPr>
            <w:r>
              <w:rPr>
                <w:rFonts w:hint="default"/>
              </w:rPr>
              <w:t>55</w:t>
            </w:r>
          </w:p>
        </w:tc>
        <w:tc>
          <w:tcPr>
            <w:tcW w:w="584" w:type="dxa"/>
            <w:vAlign w:val="center"/>
          </w:tcPr>
          <w:p w14:paraId="00898345">
            <w:pPr>
              <w:pStyle w:val="45"/>
              <w:rPr>
                <w:rFonts w:hint="default"/>
              </w:rPr>
            </w:pPr>
            <w:r>
              <w:rPr>
                <w:rFonts w:hint="default"/>
              </w:rPr>
              <w:t>80.0</w:t>
            </w:r>
          </w:p>
        </w:tc>
        <w:tc>
          <w:tcPr>
            <w:tcW w:w="584" w:type="dxa"/>
            <w:vAlign w:val="center"/>
          </w:tcPr>
          <w:p w14:paraId="1AA0260B">
            <w:pPr>
              <w:pStyle w:val="45"/>
              <w:rPr>
                <w:rFonts w:hint="default"/>
              </w:rPr>
            </w:pPr>
            <w:r>
              <w:rPr>
                <w:rFonts w:hint="default"/>
              </w:rPr>
              <w:t>68.0</w:t>
            </w:r>
          </w:p>
        </w:tc>
        <w:tc>
          <w:tcPr>
            <w:tcW w:w="584" w:type="dxa"/>
            <w:vAlign w:val="center"/>
          </w:tcPr>
          <w:p w14:paraId="73597BDC">
            <w:pPr>
              <w:pStyle w:val="45"/>
              <w:rPr>
                <w:rFonts w:hint="default"/>
              </w:rPr>
            </w:pPr>
            <w:r>
              <w:rPr>
                <w:rFonts w:hint="default"/>
              </w:rPr>
              <w:t>66.0</w:t>
            </w:r>
          </w:p>
        </w:tc>
        <w:tc>
          <w:tcPr>
            <w:tcW w:w="584" w:type="dxa"/>
            <w:vAlign w:val="center"/>
          </w:tcPr>
          <w:p w14:paraId="1ECF5EDB">
            <w:pPr>
              <w:pStyle w:val="45"/>
              <w:rPr>
                <w:rFonts w:hint="default"/>
              </w:rPr>
            </w:pPr>
            <w:r>
              <w:rPr>
                <w:rFonts w:hint="default"/>
              </w:rPr>
              <w:t>64.4</w:t>
            </w:r>
          </w:p>
        </w:tc>
        <w:tc>
          <w:tcPr>
            <w:tcW w:w="584" w:type="dxa"/>
            <w:vAlign w:val="center"/>
          </w:tcPr>
          <w:p w14:paraId="07A93518">
            <w:pPr>
              <w:pStyle w:val="45"/>
              <w:rPr>
                <w:rFonts w:hint="default"/>
              </w:rPr>
            </w:pPr>
            <w:r>
              <w:rPr>
                <w:rFonts w:hint="default"/>
              </w:rPr>
              <w:t>60.0</w:t>
            </w:r>
          </w:p>
        </w:tc>
        <w:tc>
          <w:tcPr>
            <w:tcW w:w="584" w:type="dxa"/>
            <w:vAlign w:val="center"/>
          </w:tcPr>
          <w:p w14:paraId="6F1FD5B2">
            <w:pPr>
              <w:pStyle w:val="45"/>
              <w:rPr>
                <w:rFonts w:hint="default"/>
              </w:rPr>
            </w:pPr>
            <w:r>
              <w:rPr>
                <w:rFonts w:hint="default"/>
              </w:rPr>
              <w:t>56.5</w:t>
            </w:r>
          </w:p>
        </w:tc>
        <w:tc>
          <w:tcPr>
            <w:tcW w:w="584" w:type="dxa"/>
            <w:vAlign w:val="center"/>
          </w:tcPr>
          <w:p w14:paraId="4AC9BC70">
            <w:pPr>
              <w:pStyle w:val="45"/>
              <w:rPr>
                <w:rFonts w:hint="default"/>
              </w:rPr>
            </w:pPr>
            <w:r>
              <w:rPr>
                <w:rFonts w:hint="default"/>
              </w:rPr>
              <w:t>54.0</w:t>
            </w:r>
          </w:p>
        </w:tc>
        <w:tc>
          <w:tcPr>
            <w:tcW w:w="584" w:type="dxa"/>
            <w:vAlign w:val="center"/>
          </w:tcPr>
          <w:p w14:paraId="05322979">
            <w:pPr>
              <w:pStyle w:val="45"/>
              <w:rPr>
                <w:rFonts w:hint="default"/>
              </w:rPr>
            </w:pPr>
            <w:r>
              <w:rPr>
                <w:rFonts w:hint="default"/>
              </w:rPr>
              <w:t>49.9</w:t>
            </w:r>
          </w:p>
        </w:tc>
      </w:tr>
      <w:tr w14:paraId="08F2F10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9" w:hRule="atLeast"/>
          <w:jc w:val="center"/>
        </w:trPr>
        <w:tc>
          <w:tcPr>
            <w:tcW w:w="604" w:type="dxa"/>
            <w:vMerge w:val="restart"/>
            <w:vAlign w:val="center"/>
          </w:tcPr>
          <w:p w14:paraId="65177427">
            <w:pPr>
              <w:pStyle w:val="45"/>
              <w:rPr>
                <w:rFonts w:hint="default"/>
              </w:rPr>
            </w:pPr>
            <w:r>
              <w:rPr>
                <w:rFonts w:hint="default"/>
              </w:rPr>
              <w:t>装修</w:t>
            </w:r>
          </w:p>
        </w:tc>
        <w:tc>
          <w:tcPr>
            <w:tcW w:w="1445" w:type="dxa"/>
            <w:vAlign w:val="center"/>
          </w:tcPr>
          <w:p w14:paraId="2AA549E0">
            <w:pPr>
              <w:pStyle w:val="45"/>
              <w:rPr>
                <w:rFonts w:hint="default"/>
              </w:rPr>
            </w:pPr>
            <w:r>
              <w:rPr>
                <w:rFonts w:hint="default"/>
              </w:rPr>
              <w:t>吊车、升降机等</w:t>
            </w:r>
          </w:p>
        </w:tc>
        <w:tc>
          <w:tcPr>
            <w:tcW w:w="672" w:type="dxa"/>
            <w:vAlign w:val="center"/>
          </w:tcPr>
          <w:p w14:paraId="00C8BCF6">
            <w:pPr>
              <w:pStyle w:val="45"/>
              <w:rPr>
                <w:rFonts w:hint="default"/>
              </w:rPr>
            </w:pPr>
            <w:r>
              <w:rPr>
                <w:rFonts w:hint="default"/>
              </w:rPr>
              <w:t>75</w:t>
            </w:r>
          </w:p>
        </w:tc>
        <w:tc>
          <w:tcPr>
            <w:tcW w:w="531" w:type="dxa"/>
            <w:vAlign w:val="center"/>
          </w:tcPr>
          <w:p w14:paraId="55DCDE85">
            <w:pPr>
              <w:pStyle w:val="45"/>
              <w:rPr>
                <w:rFonts w:hint="default"/>
              </w:rPr>
            </w:pPr>
            <w:r>
              <w:rPr>
                <w:rFonts w:hint="default"/>
              </w:rPr>
              <w:t>70</w:t>
            </w:r>
          </w:p>
        </w:tc>
        <w:tc>
          <w:tcPr>
            <w:tcW w:w="567" w:type="dxa"/>
            <w:vAlign w:val="center"/>
          </w:tcPr>
          <w:p w14:paraId="55A0D8B4">
            <w:pPr>
              <w:pStyle w:val="45"/>
              <w:rPr>
                <w:rFonts w:hint="default"/>
              </w:rPr>
            </w:pPr>
            <w:r>
              <w:rPr>
                <w:rFonts w:hint="default"/>
              </w:rPr>
              <w:t>55</w:t>
            </w:r>
          </w:p>
        </w:tc>
        <w:tc>
          <w:tcPr>
            <w:tcW w:w="584" w:type="dxa"/>
            <w:vAlign w:val="center"/>
          </w:tcPr>
          <w:p w14:paraId="184DCD85">
            <w:pPr>
              <w:pStyle w:val="45"/>
              <w:rPr>
                <w:rFonts w:hint="default"/>
              </w:rPr>
            </w:pPr>
            <w:r>
              <w:rPr>
                <w:rFonts w:hint="default"/>
              </w:rPr>
              <w:t>55.0</w:t>
            </w:r>
          </w:p>
        </w:tc>
        <w:tc>
          <w:tcPr>
            <w:tcW w:w="584" w:type="dxa"/>
            <w:vAlign w:val="center"/>
          </w:tcPr>
          <w:p w14:paraId="16D6C02A">
            <w:pPr>
              <w:pStyle w:val="45"/>
              <w:rPr>
                <w:rFonts w:hint="default"/>
              </w:rPr>
            </w:pPr>
            <w:r>
              <w:rPr>
                <w:rFonts w:hint="default"/>
              </w:rPr>
              <w:t>43.0</w:t>
            </w:r>
          </w:p>
        </w:tc>
        <w:tc>
          <w:tcPr>
            <w:tcW w:w="584" w:type="dxa"/>
            <w:vAlign w:val="center"/>
          </w:tcPr>
          <w:p w14:paraId="0F1A2ADB">
            <w:pPr>
              <w:pStyle w:val="45"/>
              <w:rPr>
                <w:rFonts w:hint="default"/>
              </w:rPr>
            </w:pPr>
            <w:r>
              <w:rPr>
                <w:rFonts w:hint="default"/>
              </w:rPr>
              <w:t>41.0</w:t>
            </w:r>
          </w:p>
        </w:tc>
        <w:tc>
          <w:tcPr>
            <w:tcW w:w="584" w:type="dxa"/>
            <w:vAlign w:val="center"/>
          </w:tcPr>
          <w:p w14:paraId="562D5643">
            <w:pPr>
              <w:pStyle w:val="45"/>
              <w:rPr>
                <w:rFonts w:hint="default"/>
              </w:rPr>
            </w:pPr>
            <w:r>
              <w:rPr>
                <w:rFonts w:hint="default"/>
              </w:rPr>
              <w:t>39.4</w:t>
            </w:r>
          </w:p>
        </w:tc>
        <w:tc>
          <w:tcPr>
            <w:tcW w:w="584" w:type="dxa"/>
            <w:vAlign w:val="center"/>
          </w:tcPr>
          <w:p w14:paraId="5AC3EFDA">
            <w:pPr>
              <w:pStyle w:val="45"/>
              <w:rPr>
                <w:rFonts w:hint="default"/>
              </w:rPr>
            </w:pPr>
            <w:r>
              <w:rPr>
                <w:rFonts w:hint="default"/>
              </w:rPr>
              <w:t>35.0</w:t>
            </w:r>
          </w:p>
        </w:tc>
        <w:tc>
          <w:tcPr>
            <w:tcW w:w="584" w:type="dxa"/>
            <w:vAlign w:val="center"/>
          </w:tcPr>
          <w:p w14:paraId="6DF91CA4">
            <w:pPr>
              <w:pStyle w:val="45"/>
              <w:rPr>
                <w:rFonts w:hint="default"/>
              </w:rPr>
            </w:pPr>
            <w:r>
              <w:rPr>
                <w:rFonts w:hint="default"/>
              </w:rPr>
              <w:t>31.5</w:t>
            </w:r>
          </w:p>
        </w:tc>
        <w:tc>
          <w:tcPr>
            <w:tcW w:w="584" w:type="dxa"/>
            <w:vAlign w:val="center"/>
          </w:tcPr>
          <w:p w14:paraId="7690D80F">
            <w:pPr>
              <w:pStyle w:val="45"/>
              <w:rPr>
                <w:rFonts w:hint="default"/>
              </w:rPr>
            </w:pPr>
            <w:r>
              <w:rPr>
                <w:rFonts w:hint="default"/>
              </w:rPr>
              <w:t>29.0</w:t>
            </w:r>
          </w:p>
        </w:tc>
        <w:tc>
          <w:tcPr>
            <w:tcW w:w="584" w:type="dxa"/>
            <w:vAlign w:val="center"/>
          </w:tcPr>
          <w:p w14:paraId="3C20A0E5">
            <w:pPr>
              <w:pStyle w:val="45"/>
              <w:rPr>
                <w:rFonts w:hint="default"/>
              </w:rPr>
            </w:pPr>
            <w:r>
              <w:rPr>
                <w:rFonts w:hint="default"/>
              </w:rPr>
              <w:t>24.9</w:t>
            </w:r>
          </w:p>
        </w:tc>
      </w:tr>
      <w:tr w14:paraId="033525B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9" w:hRule="atLeast"/>
          <w:jc w:val="center"/>
        </w:trPr>
        <w:tc>
          <w:tcPr>
            <w:tcW w:w="604" w:type="dxa"/>
            <w:vMerge w:val="continue"/>
            <w:vAlign w:val="center"/>
          </w:tcPr>
          <w:p w14:paraId="4354F350">
            <w:pPr>
              <w:pStyle w:val="45"/>
              <w:rPr>
                <w:rFonts w:hint="default"/>
              </w:rPr>
            </w:pPr>
          </w:p>
        </w:tc>
        <w:tc>
          <w:tcPr>
            <w:tcW w:w="1445" w:type="dxa"/>
            <w:vAlign w:val="center"/>
          </w:tcPr>
          <w:p w14:paraId="0E6F9E1F">
            <w:pPr>
              <w:pStyle w:val="45"/>
              <w:rPr>
                <w:rFonts w:hint="default"/>
              </w:rPr>
            </w:pPr>
            <w:r>
              <w:rPr>
                <w:rFonts w:hint="default"/>
              </w:rPr>
              <w:t>电锯、电锤等</w:t>
            </w:r>
          </w:p>
        </w:tc>
        <w:tc>
          <w:tcPr>
            <w:tcW w:w="672" w:type="dxa"/>
            <w:vAlign w:val="center"/>
          </w:tcPr>
          <w:p w14:paraId="17F8EBCF">
            <w:pPr>
              <w:pStyle w:val="45"/>
              <w:rPr>
                <w:rFonts w:hint="default"/>
              </w:rPr>
            </w:pPr>
            <w:r>
              <w:rPr>
                <w:rFonts w:hint="default"/>
              </w:rPr>
              <w:t>100</w:t>
            </w:r>
          </w:p>
        </w:tc>
        <w:tc>
          <w:tcPr>
            <w:tcW w:w="531" w:type="dxa"/>
          </w:tcPr>
          <w:p w14:paraId="158D27C7">
            <w:pPr>
              <w:pStyle w:val="45"/>
              <w:rPr>
                <w:rFonts w:hint="default"/>
              </w:rPr>
            </w:pPr>
            <w:r>
              <w:rPr>
                <w:rFonts w:hint="default"/>
              </w:rPr>
              <w:t>70</w:t>
            </w:r>
          </w:p>
        </w:tc>
        <w:tc>
          <w:tcPr>
            <w:tcW w:w="567" w:type="dxa"/>
            <w:vAlign w:val="center"/>
          </w:tcPr>
          <w:p w14:paraId="6C9F3A54">
            <w:pPr>
              <w:pStyle w:val="45"/>
              <w:rPr>
                <w:rFonts w:hint="default"/>
              </w:rPr>
            </w:pPr>
            <w:r>
              <w:rPr>
                <w:rFonts w:hint="default"/>
              </w:rPr>
              <w:t>55</w:t>
            </w:r>
          </w:p>
        </w:tc>
        <w:tc>
          <w:tcPr>
            <w:tcW w:w="584" w:type="dxa"/>
            <w:vAlign w:val="center"/>
          </w:tcPr>
          <w:p w14:paraId="0AF266B6">
            <w:pPr>
              <w:pStyle w:val="45"/>
              <w:rPr>
                <w:rFonts w:hint="default"/>
              </w:rPr>
            </w:pPr>
            <w:r>
              <w:rPr>
                <w:rFonts w:hint="default"/>
              </w:rPr>
              <w:t>80.0</w:t>
            </w:r>
          </w:p>
        </w:tc>
        <w:tc>
          <w:tcPr>
            <w:tcW w:w="584" w:type="dxa"/>
            <w:vAlign w:val="center"/>
          </w:tcPr>
          <w:p w14:paraId="4333A20E">
            <w:pPr>
              <w:pStyle w:val="45"/>
              <w:rPr>
                <w:rFonts w:hint="default"/>
              </w:rPr>
            </w:pPr>
            <w:r>
              <w:rPr>
                <w:rFonts w:hint="default"/>
              </w:rPr>
              <w:t>68.0</w:t>
            </w:r>
          </w:p>
        </w:tc>
        <w:tc>
          <w:tcPr>
            <w:tcW w:w="584" w:type="dxa"/>
            <w:vAlign w:val="center"/>
          </w:tcPr>
          <w:p w14:paraId="5E62BF0C">
            <w:pPr>
              <w:pStyle w:val="45"/>
              <w:rPr>
                <w:rFonts w:hint="default"/>
              </w:rPr>
            </w:pPr>
            <w:r>
              <w:rPr>
                <w:rFonts w:hint="default"/>
              </w:rPr>
              <w:t>66.0</w:t>
            </w:r>
          </w:p>
        </w:tc>
        <w:tc>
          <w:tcPr>
            <w:tcW w:w="584" w:type="dxa"/>
            <w:vAlign w:val="center"/>
          </w:tcPr>
          <w:p w14:paraId="7B9FB716">
            <w:pPr>
              <w:pStyle w:val="45"/>
              <w:rPr>
                <w:rFonts w:hint="default"/>
              </w:rPr>
            </w:pPr>
            <w:r>
              <w:rPr>
                <w:rFonts w:hint="default"/>
              </w:rPr>
              <w:t>64.4</w:t>
            </w:r>
          </w:p>
        </w:tc>
        <w:tc>
          <w:tcPr>
            <w:tcW w:w="584" w:type="dxa"/>
            <w:vAlign w:val="center"/>
          </w:tcPr>
          <w:p w14:paraId="3574A163">
            <w:pPr>
              <w:pStyle w:val="45"/>
              <w:rPr>
                <w:rFonts w:hint="default"/>
              </w:rPr>
            </w:pPr>
            <w:r>
              <w:rPr>
                <w:rFonts w:hint="default"/>
              </w:rPr>
              <w:t>60.0</w:t>
            </w:r>
          </w:p>
        </w:tc>
        <w:tc>
          <w:tcPr>
            <w:tcW w:w="584" w:type="dxa"/>
            <w:vAlign w:val="center"/>
          </w:tcPr>
          <w:p w14:paraId="78EEC802">
            <w:pPr>
              <w:pStyle w:val="45"/>
              <w:rPr>
                <w:rFonts w:hint="default"/>
              </w:rPr>
            </w:pPr>
            <w:r>
              <w:rPr>
                <w:rFonts w:hint="default"/>
              </w:rPr>
              <w:t>56.5</w:t>
            </w:r>
          </w:p>
        </w:tc>
        <w:tc>
          <w:tcPr>
            <w:tcW w:w="584" w:type="dxa"/>
            <w:vAlign w:val="center"/>
          </w:tcPr>
          <w:p w14:paraId="0171F801">
            <w:pPr>
              <w:pStyle w:val="45"/>
              <w:rPr>
                <w:rFonts w:hint="default"/>
              </w:rPr>
            </w:pPr>
            <w:r>
              <w:rPr>
                <w:rFonts w:hint="default"/>
              </w:rPr>
              <w:t>54.0</w:t>
            </w:r>
          </w:p>
        </w:tc>
        <w:tc>
          <w:tcPr>
            <w:tcW w:w="584" w:type="dxa"/>
            <w:vAlign w:val="center"/>
          </w:tcPr>
          <w:p w14:paraId="514D1B8D">
            <w:pPr>
              <w:pStyle w:val="45"/>
              <w:rPr>
                <w:rFonts w:hint="default"/>
              </w:rPr>
            </w:pPr>
            <w:r>
              <w:rPr>
                <w:rFonts w:hint="default"/>
              </w:rPr>
              <w:t>49.9</w:t>
            </w:r>
          </w:p>
        </w:tc>
      </w:tr>
    </w:tbl>
    <w:p w14:paraId="5E6AC7D1">
      <w:pPr>
        <w:widowControl/>
        <w:snapToGrid w:val="0"/>
        <w:ind w:firstLine="480"/>
        <w:jc w:val="left"/>
        <w:rPr>
          <w:rFonts w:cs="Times New Roman"/>
          <w:kern w:val="0"/>
        </w:rPr>
      </w:pPr>
    </w:p>
    <w:p w14:paraId="684F9BE0">
      <w:pPr>
        <w:widowControl/>
        <w:snapToGrid w:val="0"/>
        <w:ind w:firstLine="480"/>
        <w:jc w:val="left"/>
        <w:rPr>
          <w:rFonts w:cs="Times New Roman"/>
          <w:kern w:val="0"/>
        </w:rPr>
      </w:pPr>
      <w:r>
        <w:rPr>
          <w:rFonts w:cs="Times New Roman"/>
          <w:kern w:val="0"/>
        </w:rPr>
        <w:t>从上表可以看出，当大部分施工机械的施工点距离场界40m时，场界噪声综合限值基本可以达到《建筑施工场界环境噪声排放标准》（GB12523-2011）昼间标准（施工噪声＜70dB（A）），但在实际施工中，在距离场界40m范围外施工是不可避免的，此时施工场界噪声将超过《建筑施工场界噪声排放标准》（GB12523-2011）昼间标准（施工噪声≤70dB（A））；若夜间施工，施工点周围200米处噪声才可达到《建筑施工场界噪声排放标准》（GB12523-2011）夜间标准（施工噪声≤55dB（A））；在100米处昼间噪声值才能达到《声环境质量标准》（GB3096-2008）2类标准（≤60dB（A）），在距离项目320米处夜间噪声值才可达到《声环境质量标准》（GB3096-2008）2类标准（≤50dB（A））。因此项目施工易对附近居民产生不利影响，必须采取以下噪声污染防治措施，减轻噪声污染：</w:t>
      </w:r>
    </w:p>
    <w:p w14:paraId="73BA7B58">
      <w:pPr>
        <w:widowControl/>
        <w:snapToGrid w:val="0"/>
        <w:ind w:firstLine="480"/>
        <w:jc w:val="left"/>
        <w:rPr>
          <w:rFonts w:cs="Times New Roman"/>
          <w:kern w:val="0"/>
        </w:rPr>
      </w:pPr>
      <w:r>
        <w:rPr>
          <w:rFonts w:cs="Times New Roman"/>
          <w:kern w:val="0"/>
        </w:rPr>
        <w:t>（1）尽量采用低噪声设备，降低噪声源强，对于高噪设备尽量错峰使用，避免噪声叠加；</w:t>
      </w:r>
    </w:p>
    <w:p w14:paraId="4CB285B0">
      <w:pPr>
        <w:widowControl/>
        <w:snapToGrid w:val="0"/>
        <w:ind w:firstLine="480"/>
        <w:jc w:val="left"/>
        <w:rPr>
          <w:rFonts w:cs="Times New Roman"/>
          <w:kern w:val="0"/>
        </w:rPr>
      </w:pPr>
      <w:r>
        <w:rPr>
          <w:rFonts w:cs="Times New Roman"/>
          <w:kern w:val="0"/>
        </w:rPr>
        <w:t>（2）可固定的机械设备如空压机等安置在施工场地临时用房内，内设吸声材料，降低噪声；</w:t>
      </w:r>
    </w:p>
    <w:p w14:paraId="07233661">
      <w:pPr>
        <w:widowControl/>
        <w:snapToGrid w:val="0"/>
        <w:ind w:firstLine="480"/>
        <w:jc w:val="left"/>
        <w:rPr>
          <w:rFonts w:cs="Times New Roman"/>
          <w:kern w:val="0"/>
        </w:rPr>
      </w:pPr>
      <w:r>
        <w:rPr>
          <w:rFonts w:cs="Times New Roman"/>
          <w:kern w:val="0"/>
        </w:rPr>
        <w:t>（3）动力机械设备应进行定期的维修、养护，以保证其在正常工况下工作；</w:t>
      </w:r>
    </w:p>
    <w:p w14:paraId="5F9BD981">
      <w:pPr>
        <w:widowControl/>
        <w:snapToGrid w:val="0"/>
        <w:ind w:firstLine="480"/>
        <w:jc w:val="left"/>
        <w:rPr>
          <w:rFonts w:cs="Times New Roman"/>
          <w:kern w:val="0"/>
        </w:rPr>
      </w:pPr>
      <w:r>
        <w:rPr>
          <w:rFonts w:cs="Times New Roman"/>
          <w:kern w:val="0"/>
        </w:rPr>
        <w:t>（4）合理制定施工计划，一定要严格控制和管理产生噪声的设备的使用时间，尽可能避免在同一区段安排大量强噪声设备同时施工；</w:t>
      </w:r>
    </w:p>
    <w:p w14:paraId="358BB515">
      <w:pPr>
        <w:widowControl/>
        <w:snapToGrid w:val="0"/>
        <w:ind w:firstLine="480"/>
        <w:jc w:val="left"/>
        <w:rPr>
          <w:rFonts w:cs="Times New Roman"/>
          <w:kern w:val="0"/>
        </w:rPr>
      </w:pPr>
      <w:r>
        <w:rPr>
          <w:rFonts w:cs="Times New Roman"/>
          <w:kern w:val="0"/>
        </w:rPr>
        <w:t>（5）施工现场合理布局，以避免局部声级过高，尽可能将施工阶段的噪声影响减至最小，对高噪声设备设局部围挡；</w:t>
      </w:r>
    </w:p>
    <w:p w14:paraId="4AA94BEB">
      <w:pPr>
        <w:widowControl/>
        <w:snapToGrid w:val="0"/>
        <w:ind w:firstLine="480"/>
        <w:jc w:val="left"/>
        <w:rPr>
          <w:rFonts w:cs="Times New Roman"/>
          <w:kern w:val="0"/>
        </w:rPr>
      </w:pPr>
      <w:r>
        <w:rPr>
          <w:rFonts w:cs="Times New Roman"/>
          <w:kern w:val="0"/>
        </w:rPr>
        <w:t>（6）施工单位夜间施工须向当地</w:t>
      </w:r>
      <w:r>
        <w:rPr>
          <w:rFonts w:hint="eastAsia" w:cs="Times New Roman"/>
          <w:kern w:val="0"/>
          <w:lang w:eastAsia="zh-CN"/>
        </w:rPr>
        <w:t>生态环境部</w:t>
      </w:r>
      <w:r>
        <w:rPr>
          <w:rFonts w:cs="Times New Roman"/>
          <w:kern w:val="0"/>
        </w:rPr>
        <w:t>门申报，获得批准后方可施工，施工前告示周边群众。</w:t>
      </w:r>
    </w:p>
    <w:p w14:paraId="13F15886">
      <w:pPr>
        <w:widowControl/>
        <w:snapToGrid w:val="0"/>
        <w:ind w:firstLine="480"/>
        <w:jc w:val="left"/>
        <w:rPr>
          <w:rFonts w:cs="Times New Roman"/>
          <w:kern w:val="0"/>
        </w:rPr>
      </w:pPr>
      <w:r>
        <w:rPr>
          <w:rFonts w:cs="Times New Roman"/>
          <w:kern w:val="0"/>
        </w:rPr>
        <w:t>本项目施工期较短，通过采取上述措施后对肖官组等近距离敏感点的影响在可接受范围之内。</w:t>
      </w:r>
    </w:p>
    <w:bookmarkEnd w:id="215"/>
    <w:p w14:paraId="5B8CDF5A">
      <w:pPr>
        <w:pStyle w:val="3"/>
        <w:numPr>
          <w:ilvl w:val="1"/>
          <w:numId w:val="1"/>
        </w:numPr>
      </w:pPr>
      <w:bookmarkStart w:id="216" w:name="_Toc9656"/>
      <w:bookmarkStart w:id="217" w:name="_Toc23069"/>
      <w:bookmarkStart w:id="218" w:name="_Toc9783"/>
      <w:r>
        <w:rPr>
          <w:rFonts w:hint="eastAsia"/>
        </w:rPr>
        <w:t>施工期固体废物影响分析</w:t>
      </w:r>
      <w:bookmarkEnd w:id="216"/>
      <w:bookmarkEnd w:id="217"/>
      <w:bookmarkEnd w:id="218"/>
    </w:p>
    <w:p w14:paraId="496614BE">
      <w:pPr>
        <w:ind w:firstLine="480"/>
      </w:pPr>
      <w:r>
        <w:t>施工期的固体废弃物主要为建筑垃圾、施工人员产生的生活垃圾。</w:t>
      </w:r>
    </w:p>
    <w:p w14:paraId="1F8988C0">
      <w:pPr>
        <w:ind w:firstLine="480"/>
        <w:rPr>
          <w:color w:val="000000" w:themeColor="text1"/>
          <w14:textFill>
            <w14:solidFill>
              <w14:schemeClr w14:val="tx1"/>
            </w14:solidFill>
          </w14:textFill>
        </w:rPr>
      </w:pPr>
      <w:r>
        <w:t>建筑垃圾采取有计划的堆放，按要求分类处置、综合回收利用</w:t>
      </w:r>
      <w:r>
        <w:rPr>
          <w:rFonts w:hint="eastAsia"/>
        </w:rPr>
        <w:t>；生活垃圾通</w:t>
      </w:r>
      <w:r>
        <w:rPr>
          <w:rFonts w:hint="eastAsia"/>
          <w:color w:val="000000" w:themeColor="text1"/>
          <w14:textFill>
            <w14:solidFill>
              <w14:schemeClr w14:val="tx1"/>
            </w14:solidFill>
          </w14:textFill>
        </w:rPr>
        <w:t>过垃圾袋、垃圾桶集中收集，由市政环卫部门统一清运。</w:t>
      </w:r>
    </w:p>
    <w:p w14:paraId="379D718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本项目土地挖填土方可在场内达到平衡，无借方和多余渣土。</w:t>
      </w:r>
    </w:p>
    <w:p w14:paraId="6656F225">
      <w:pPr>
        <w:ind w:firstLine="480"/>
      </w:pPr>
      <w:r>
        <w:rPr>
          <w:rFonts w:hint="eastAsia"/>
        </w:rPr>
        <w:t>综上，施工期项目的固体废弃物排放是暂时的，采取上述措施后，施工期固体废弃物对环境造成的影响不大。</w:t>
      </w:r>
    </w:p>
    <w:p w14:paraId="1C01F56E">
      <w:pPr>
        <w:pStyle w:val="3"/>
        <w:numPr>
          <w:ilvl w:val="1"/>
          <w:numId w:val="1"/>
        </w:numPr>
      </w:pPr>
      <w:bookmarkStart w:id="219" w:name="_Toc22736"/>
      <w:bookmarkStart w:id="220" w:name="_Toc20042"/>
      <w:bookmarkStart w:id="221" w:name="_Toc28321"/>
      <w:r>
        <w:rPr>
          <w:rFonts w:hint="eastAsia"/>
        </w:rPr>
        <w:t>施工期土壤环境影响分析</w:t>
      </w:r>
      <w:bookmarkEnd w:id="219"/>
      <w:bookmarkEnd w:id="220"/>
      <w:bookmarkEnd w:id="221"/>
    </w:p>
    <w:p w14:paraId="5CD6CC45">
      <w:pPr>
        <w:ind w:firstLine="480"/>
      </w:pPr>
      <w:r>
        <w:t>施工期对土壤的影响主要是施工期间的污废水排放、固体废物堆存及施工设备漏油等，造成污染物进入土壤环境。</w:t>
      </w:r>
    </w:p>
    <w:p w14:paraId="62BB7E3F">
      <w:pPr>
        <w:ind w:firstLine="480"/>
      </w:pPr>
      <w:r>
        <w:t>项目施工过程中产生的生产废水中含有泥沙等污染物，如未加以处理直接外排则会破坏和污染地表水及土壤，业主应将污水收集并经沉淀池处理后循环使用； 施工过程中产生的含油废水的排放应严格控制。正常情况下，施工中不应有施工机械的含油污水产生，但在机械的维修过程中，就有可能产生油污，因此，在机械维修时，应把产生的油污收集，集中处理，避免污染环境；平时使用中要注意施工机械的维护，防止漏油事故的发生。</w:t>
      </w:r>
    </w:p>
    <w:p w14:paraId="4BDF61B2">
      <w:pPr>
        <w:ind w:firstLine="480"/>
      </w:pPr>
      <w:r>
        <w:t>采取上述措施后，施工期基本不会对项目</w:t>
      </w:r>
      <w:r>
        <w:rPr>
          <w:rFonts w:hint="eastAsia"/>
        </w:rPr>
        <w:t>所在区域</w:t>
      </w:r>
      <w:r>
        <w:t>土壤环境造成影响。</w:t>
      </w:r>
    </w:p>
    <w:p w14:paraId="4DC16C3D">
      <w:pPr>
        <w:pStyle w:val="3"/>
        <w:numPr>
          <w:ilvl w:val="1"/>
          <w:numId w:val="1"/>
        </w:numPr>
      </w:pPr>
      <w:bookmarkStart w:id="222" w:name="_Toc5391"/>
      <w:bookmarkStart w:id="223" w:name="_Toc17195"/>
      <w:bookmarkStart w:id="224" w:name="_Toc2606"/>
      <w:r>
        <w:rPr>
          <w:rFonts w:hint="eastAsia"/>
        </w:rPr>
        <w:t>施工期生态影响分析</w:t>
      </w:r>
      <w:bookmarkEnd w:id="222"/>
      <w:bookmarkEnd w:id="223"/>
      <w:bookmarkEnd w:id="224"/>
    </w:p>
    <w:p w14:paraId="42D3923D">
      <w:pPr>
        <w:ind w:firstLine="480"/>
      </w:pPr>
      <w:r>
        <w:t>本工程的建设，使区域内景观的自然性程度降低，人文影响程度增强。项目建设对区域内生态体系的稳定性影响主要途径是地表扰动和植被破坏，经过施工期的场地建设和厂区平整，对项目区的地表产生扰动，局部地形地貌被改变，同时施工临时占地范围内土壤结构表层结构亦被破坏，因此应做好施工组织，做好拦挡措施，减少水土流失量。</w:t>
      </w:r>
    </w:p>
    <w:p w14:paraId="01D1D585">
      <w:pPr>
        <w:ind w:firstLine="480"/>
      </w:pPr>
      <w:r>
        <w:t>本项目用地属于工业园区工业用地，对于生态环境的影响主要集中在施工期，随着施工期的结束和生态防治措施的实施，加之运营期采取绿化措施后，项目实施对区域生态环境的影响可得到一定程度的补偿。</w:t>
      </w:r>
    </w:p>
    <w:p w14:paraId="781E5B72">
      <w:pPr>
        <w:pStyle w:val="3"/>
        <w:numPr>
          <w:ilvl w:val="1"/>
          <w:numId w:val="1"/>
        </w:numPr>
      </w:pPr>
      <w:bookmarkStart w:id="225" w:name="_Toc26576"/>
      <w:bookmarkStart w:id="226" w:name="_Toc7850"/>
      <w:bookmarkStart w:id="227" w:name="_Toc25621"/>
      <w:r>
        <w:rPr>
          <w:rFonts w:hint="eastAsia"/>
        </w:rPr>
        <w:t>小结</w:t>
      </w:r>
      <w:bookmarkEnd w:id="225"/>
      <w:bookmarkEnd w:id="226"/>
      <w:bookmarkEnd w:id="227"/>
    </w:p>
    <w:p w14:paraId="0A908CB4">
      <w:pPr>
        <w:ind w:firstLine="480"/>
      </w:pPr>
      <w:r>
        <w:t>综上所述，建设单位和施工单位在做好施工期的管理、做到文明施工的前提下，可大大降低本项目施工带来的影响，而且，从其他工地的经验来看，只要做好上述建议措施，是可以将建设期间对周围环境的影响减少到较低的限度的。</w:t>
      </w:r>
    </w:p>
    <w:p w14:paraId="2D051011">
      <w:pPr>
        <w:ind w:firstLine="480"/>
      </w:pPr>
    </w:p>
    <w:p w14:paraId="0946A787">
      <w:pPr>
        <w:pStyle w:val="2"/>
        <w:numPr>
          <w:ilvl w:val="0"/>
          <w:numId w:val="1"/>
        </w:numPr>
        <w:spacing w:before="312" w:after="624"/>
      </w:pPr>
      <w:bookmarkStart w:id="228" w:name="_Toc18496"/>
      <w:bookmarkStart w:id="229" w:name="_Toc28180"/>
      <w:bookmarkStart w:id="230" w:name="_Toc5246"/>
      <w:r>
        <w:rPr>
          <w:rFonts w:hint="eastAsia"/>
        </w:rPr>
        <w:t>营运期环境影响预测与评价</w:t>
      </w:r>
      <w:bookmarkEnd w:id="228"/>
      <w:bookmarkEnd w:id="229"/>
      <w:bookmarkEnd w:id="230"/>
    </w:p>
    <w:p w14:paraId="01F75AC3">
      <w:pPr>
        <w:pStyle w:val="3"/>
        <w:numPr>
          <w:ilvl w:val="1"/>
          <w:numId w:val="1"/>
        </w:numPr>
      </w:pPr>
      <w:bookmarkStart w:id="231" w:name="_Toc13847"/>
      <w:bookmarkStart w:id="232" w:name="_Toc31148"/>
      <w:bookmarkStart w:id="233" w:name="_Toc12427"/>
      <w:bookmarkStart w:id="234" w:name="_Toc9166"/>
      <w:bookmarkStart w:id="235" w:name="_Toc7961"/>
      <w:r>
        <w:t>水环境影响预测与评价</w:t>
      </w:r>
      <w:bookmarkEnd w:id="231"/>
      <w:bookmarkEnd w:id="232"/>
      <w:bookmarkEnd w:id="233"/>
    </w:p>
    <w:p w14:paraId="05FA478A">
      <w:pPr>
        <w:pStyle w:val="4"/>
        <w:numPr>
          <w:ilvl w:val="2"/>
          <w:numId w:val="1"/>
        </w:numPr>
      </w:pPr>
      <w:bookmarkStart w:id="236" w:name="_Toc17057"/>
      <w:r>
        <w:rPr>
          <w:rFonts w:hint="eastAsia"/>
        </w:rPr>
        <w:t>地表水环境影响预测与评价</w:t>
      </w:r>
      <w:bookmarkEnd w:id="236"/>
    </w:p>
    <w:p w14:paraId="314757FE">
      <w:pPr>
        <w:pStyle w:val="6"/>
        <w:bidi w:val="0"/>
      </w:pPr>
      <w:r>
        <w:rPr>
          <w:rFonts w:hint="eastAsia"/>
        </w:rPr>
        <w:t>正常</w:t>
      </w:r>
      <w:r>
        <w:rPr>
          <w:rFonts w:hint="eastAsia"/>
          <w:lang w:val="en-US" w:eastAsia="zh-CN"/>
        </w:rPr>
        <w:t>生产</w:t>
      </w:r>
      <w:r>
        <w:rPr>
          <w:rFonts w:hint="eastAsia"/>
        </w:rPr>
        <w:t>情况下地表水环境影响分析</w:t>
      </w:r>
    </w:p>
    <w:p w14:paraId="5AA418A8">
      <w:pPr>
        <w:ind w:firstLine="480"/>
        <w:rPr>
          <w:rFonts w:hint="eastAsia"/>
        </w:rPr>
      </w:pPr>
      <w:r>
        <w:rPr>
          <w:rFonts w:hint="eastAsia"/>
          <w:lang w:val="en-US" w:eastAsia="zh-CN"/>
        </w:rPr>
        <w:t>运营期</w:t>
      </w:r>
      <w:r>
        <w:rPr>
          <w:rFonts w:hint="eastAsia"/>
        </w:rPr>
        <w:t>本项目主要废水有碱喷淋废水、真空冷凝水、电解槽清洗废水、膜酸洗废水、离子树脂清洗废水、纯水制备排水、循环冷却排水、地面清洗废水、洗车废水、员工清洁废水、化验室废水、初期雨水、生活污水等。正常生产期间，碱喷淋废水、真空冷凝水、电解槽清洗废水、膜酸洗废水、离子树脂清洗废水等生产废水直接回用于生产，不外排；纯水制备排水、循环冷却排水、地面清洗废水、洗车废水、员工清洁废水、化验室废水、初期雨水等其他废水进入厂内废水经“混凝沉淀+砂滤”处理后回用于生产，不外排。</w:t>
      </w:r>
      <w:r>
        <w:rPr>
          <w:rFonts w:hint="eastAsia"/>
          <w:b/>
          <w:bCs/>
        </w:rPr>
        <w:t>非生产期间，初期雨水经“混凝沉淀+砂滤+离子树脂交换”处理后达标排入松木污水处理厂进一步处理</w:t>
      </w:r>
      <w:r>
        <w:rPr>
          <w:rFonts w:hint="eastAsia"/>
        </w:rPr>
        <w:t>。生活污水经厂内化粪池预处理达标后通过园区污水管网排入松木污水处理厂进一步处理。</w:t>
      </w:r>
    </w:p>
    <w:p w14:paraId="6D481395">
      <w:pPr>
        <w:ind w:firstLine="482"/>
        <w:rPr>
          <w:b/>
          <w:bCs/>
        </w:rPr>
      </w:pPr>
      <w:r>
        <w:rPr>
          <w:rFonts w:hint="eastAsia"/>
          <w:b/>
          <w:bCs/>
        </w:rPr>
        <w:t>松木污水处理厂可依托性：</w:t>
      </w:r>
    </w:p>
    <w:p w14:paraId="448C17C4">
      <w:pPr>
        <w:ind w:firstLine="480"/>
        <w:rPr>
          <w:rFonts w:hint="eastAsia"/>
        </w:rPr>
      </w:pPr>
      <w:r>
        <w:rPr>
          <w:rFonts w:hint="eastAsia"/>
          <w:b/>
          <w:bCs/>
        </w:rPr>
        <w:t>（1）水量方面</w:t>
      </w:r>
      <w:r>
        <w:rPr>
          <w:rFonts w:hint="eastAsia"/>
        </w:rPr>
        <w:t>：松木污水处理厂生化系统设计规模1万m</w:t>
      </w:r>
      <w:r>
        <w:rPr>
          <w:rFonts w:hint="eastAsia"/>
          <w:vertAlign w:val="superscript"/>
        </w:rPr>
        <w:t>3</w:t>
      </w:r>
      <w:r>
        <w:rPr>
          <w:rFonts w:hint="eastAsia"/>
        </w:rPr>
        <w:t>/d，根据调查，松木污水处理厂实际处理规模6000~7000m³/d，尚有3000m³/d的余</w:t>
      </w:r>
      <w:r>
        <w:rPr>
          <w:rFonts w:hint="eastAsia"/>
          <w:color w:val="000000" w:themeColor="text1"/>
          <w14:textFill>
            <w14:solidFill>
              <w14:schemeClr w14:val="tx1"/>
            </w14:solidFill>
          </w14:textFill>
        </w:rPr>
        <w:t>量，根据前文核算，本项目仅外排生活污水，排放量为1976m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/a（6.59m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/d），仅占松</w:t>
      </w:r>
      <w:r>
        <w:rPr>
          <w:rFonts w:hint="eastAsia"/>
        </w:rPr>
        <w:t>木污水处理厂处理规模的0.0658%。</w:t>
      </w:r>
    </w:p>
    <w:p w14:paraId="144F54BC">
      <w:pPr>
        <w:ind w:firstLine="480"/>
        <w:rPr>
          <w:rFonts w:hint="eastAsia"/>
          <w:lang w:eastAsia="zh-CN"/>
        </w:rPr>
      </w:pPr>
      <w:r>
        <w:rPr>
          <w:rFonts w:hint="eastAsia"/>
        </w:rPr>
        <w:t>非生产期间，</w:t>
      </w:r>
      <w:r>
        <w:rPr>
          <w:rFonts w:hint="eastAsia"/>
          <w:lang w:val="en-US" w:eastAsia="zh-CN"/>
        </w:rPr>
        <w:t>项目厂区</w:t>
      </w:r>
      <w:r>
        <w:rPr>
          <w:rFonts w:hint="eastAsia"/>
        </w:rPr>
        <w:t>初期雨水经“混凝沉淀+砂滤+离子树脂交换”处理后达标排入松木污水处理厂进一步处理。</w:t>
      </w:r>
      <w:r>
        <w:rPr>
          <w:rFonts w:hint="eastAsia"/>
          <w:lang w:val="en-US" w:eastAsia="zh-CN"/>
        </w:rPr>
        <w:t>初期雨水量按20次/年计，降雨强度按30mm计，厂区汇水面积6000</w:t>
      </w:r>
      <w:r>
        <w:t>m</w:t>
      </w:r>
      <w:r>
        <w:rPr>
          <w:vertAlign w:val="superscript"/>
        </w:rPr>
        <w:t>2</w:t>
      </w:r>
      <w:r>
        <w:rPr>
          <w:rFonts w:hint="eastAsia"/>
          <w:lang w:val="en-US" w:eastAsia="zh-CN"/>
        </w:rPr>
        <w:t>，则初期雨水量约为3600</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/a</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仅占</w:t>
      </w:r>
      <w:r>
        <w:rPr>
          <w:rFonts w:hint="eastAsia"/>
          <w:color w:val="000000" w:themeColor="text1"/>
          <w14:textFill>
            <w14:solidFill>
              <w14:schemeClr w14:val="tx1"/>
            </w14:solidFill>
          </w14:textFill>
        </w:rPr>
        <w:t>松</w:t>
      </w:r>
      <w:r>
        <w:rPr>
          <w:rFonts w:hint="eastAsia"/>
        </w:rPr>
        <w:t>木污水处理厂处理规模的0.</w:t>
      </w:r>
      <w:r>
        <w:rPr>
          <w:rFonts w:hint="eastAsia"/>
          <w:lang w:val="en-US" w:eastAsia="zh-CN"/>
        </w:rPr>
        <w:t>12</w:t>
      </w:r>
      <w:r>
        <w:rPr>
          <w:rFonts w:hint="eastAsia"/>
        </w:rPr>
        <w:t>%</w:t>
      </w:r>
      <w:r>
        <w:rPr>
          <w:rFonts w:hint="eastAsia"/>
          <w:lang w:eastAsia="zh-CN"/>
        </w:rPr>
        <w:t>。</w:t>
      </w:r>
    </w:p>
    <w:p w14:paraId="70B3A4E4">
      <w:pPr>
        <w:ind w:firstLine="480"/>
        <w:rPr>
          <w:rFonts w:hint="eastAsia"/>
        </w:rPr>
      </w:pPr>
      <w:r>
        <w:rPr>
          <w:rFonts w:hint="eastAsia"/>
          <w:lang w:val="en-US" w:eastAsia="zh-CN"/>
        </w:rPr>
        <w:t>综上，从水量角度分析，</w:t>
      </w:r>
      <w:r>
        <w:rPr>
          <w:rFonts w:hint="eastAsia"/>
        </w:rPr>
        <w:t>松木污水处理厂尚有余量接纳本项目废水。</w:t>
      </w:r>
    </w:p>
    <w:p w14:paraId="7C586B39">
      <w:pPr>
        <w:ind w:firstLine="480"/>
      </w:pPr>
      <w:r>
        <w:rPr>
          <w:rFonts w:hint="eastAsia"/>
          <w:b/>
          <w:bCs/>
        </w:rPr>
        <w:t>（2）水质方面：</w:t>
      </w:r>
      <w:r>
        <w:rPr>
          <w:rFonts w:hint="eastAsia"/>
        </w:rPr>
        <w:t>本项目生活污水经厂内化粪池处理达标后通过园区排入松木污水处理厂进一步处理，厂区总排口污染物执行《无机化学工业污染物排放标准》（GB31573-2015）表1间接排放限值、《污水综合排放标准》（GB8978-1996）三级标准及松木污水处理厂纳管标准较严者。生活污水CODcr排放浓度200mg/L左右、氨氮25mg/L左右，满足松木污水处理厂的纳管要求。</w:t>
      </w:r>
    </w:p>
    <w:p w14:paraId="2E242CA5">
      <w:pPr>
        <w:ind w:firstLine="480"/>
        <w:rPr>
          <w:rFonts w:hint="default"/>
          <w:lang w:val="en-US" w:eastAsia="zh-CN"/>
        </w:rPr>
      </w:pPr>
      <w:r>
        <w:rPr>
          <w:rFonts w:hint="eastAsia"/>
          <w:b/>
          <w:bCs/>
        </w:rPr>
        <w:t>非生产期间，</w:t>
      </w:r>
      <w:r>
        <w:rPr>
          <w:rFonts w:hint="eastAsia"/>
          <w:b/>
          <w:bCs/>
          <w:lang w:val="en-US" w:eastAsia="zh-CN"/>
        </w:rPr>
        <w:t>项目厂区</w:t>
      </w:r>
      <w:r>
        <w:rPr>
          <w:rFonts w:hint="eastAsia"/>
          <w:b/>
          <w:bCs/>
        </w:rPr>
        <w:t>初期雨水经“混凝沉淀+砂滤+离子树脂交换”处理后达标排入松木污水处理厂进一步处理。</w:t>
      </w:r>
      <w:r>
        <w:rPr>
          <w:rFonts w:hint="eastAsia"/>
          <w:b w:val="0"/>
          <w:bCs w:val="0"/>
          <w:lang w:val="en-US" w:eastAsia="zh-CN"/>
        </w:rPr>
        <w:t>参</w:t>
      </w:r>
      <w:r>
        <w:rPr>
          <w:rFonts w:hint="eastAsia"/>
          <w:lang w:val="en-US" w:eastAsia="zh-CN"/>
        </w:rPr>
        <w:t>照</w:t>
      </w:r>
      <w:r>
        <w:rPr>
          <w:rFonts w:hint="eastAsia"/>
        </w:rPr>
        <w:t>《工业废水高氯酸盐污染物排放标准》编制说明（征求意见稿）</w:t>
      </w:r>
      <w:r>
        <w:rPr>
          <w:rFonts w:hint="eastAsia"/>
          <w:lang w:eastAsia="zh-CN"/>
        </w:rPr>
        <w:t>，</w:t>
      </w:r>
      <w:r>
        <w:rPr>
          <w:rFonts w:hint="eastAsia"/>
          <w:sz w:val="24"/>
          <w:szCs w:val="24"/>
          <w:lang w:val="en-US" w:eastAsia="zh-CN"/>
        </w:rPr>
        <w:t>离子交换法处理后出水高氯酸盐浓度可达</w:t>
      </w:r>
      <w:r>
        <w:rPr>
          <w:rFonts w:ascii="Times New Roman" w:hAnsi="Times New Roman" w:cs="Times New Roman"/>
          <w:color w:val="000000"/>
          <w:sz w:val="24"/>
          <w:szCs w:val="24"/>
          <w:lang w:eastAsia="zh-CN"/>
        </w:rPr>
        <w:t>30</w:t>
      </w:r>
      <w:r>
        <w:rPr>
          <w:rFonts w:hint="eastAsia" w:ascii="Times New Roman" w:hAnsi="Times New Roman" w:cs="Times New Roman"/>
          <w:color w:val="000000"/>
          <w:sz w:val="24"/>
          <w:szCs w:val="24"/>
          <w:lang w:eastAsia="zh-CN"/>
        </w:rPr>
        <w:t>～</w:t>
      </w:r>
      <w:r>
        <w:rPr>
          <w:rFonts w:ascii="Times New Roman" w:hAnsi="Times New Roman" w:cs="Times New Roman"/>
          <w:color w:val="000000"/>
          <w:sz w:val="24"/>
          <w:szCs w:val="24"/>
          <w:lang w:eastAsia="zh-CN"/>
        </w:rPr>
        <w:t>50 μg/L</w:t>
      </w:r>
      <w:r>
        <w:rPr>
          <w:rFonts w:hint="eastAsia"/>
          <w:lang w:val="en-US" w:eastAsia="zh-CN"/>
        </w:rPr>
        <w:t>，低于《生活饮用水卫生标准》（GB 5749-2022）中标准要求（0.07mg/L），出水可实现直排或回用，</w:t>
      </w:r>
    </w:p>
    <w:p w14:paraId="72230804">
      <w:pPr>
        <w:ind w:firstLine="480"/>
        <w:rPr>
          <w:rFonts w:hint="default"/>
          <w:lang w:val="en-US" w:eastAsia="zh-CN"/>
        </w:rPr>
      </w:pPr>
      <w:r>
        <w:rPr>
          <w:rFonts w:hint="eastAsia"/>
          <w:lang w:val="en-US" w:eastAsia="zh-CN"/>
        </w:rPr>
        <w:t>综上，从水量、水质角度分析，</w:t>
      </w:r>
      <w:r>
        <w:rPr>
          <w:rFonts w:hint="eastAsia"/>
        </w:rPr>
        <w:t>本项目</w:t>
      </w:r>
      <w:r>
        <w:rPr>
          <w:rFonts w:hint="eastAsia"/>
          <w:lang w:val="en-US" w:eastAsia="zh-CN"/>
        </w:rPr>
        <w:t>废水经</w:t>
      </w:r>
      <w:r>
        <w:rPr>
          <w:rFonts w:hint="eastAsia"/>
        </w:rPr>
        <w:t>处理达标后可依托松木污水处理厂进行进一步处理后外排。</w:t>
      </w:r>
    </w:p>
    <w:p w14:paraId="52123AF4">
      <w:pPr>
        <w:pStyle w:val="6"/>
        <w:bidi w:val="0"/>
      </w:pPr>
      <w:r>
        <w:rPr>
          <w:rFonts w:hint="eastAsia"/>
        </w:rPr>
        <w:t>非正常及事故情况下地表水环境影响分析</w:t>
      </w:r>
    </w:p>
    <w:p w14:paraId="0E80861D">
      <w:pPr>
        <w:ind w:firstLine="480"/>
      </w:pPr>
      <w:r>
        <w:rPr>
          <w:rFonts w:hint="eastAsia"/>
        </w:rPr>
        <w:t>非正常排放主要指开停车或处理措施不能正常运行导致污染物排放的情况。本项目废水主要考虑项目反应釜设施不能正常运行的情况。</w:t>
      </w:r>
    </w:p>
    <w:p w14:paraId="3D0E7BB7">
      <w:pPr>
        <w:ind w:firstLine="480"/>
      </w:pPr>
      <w:r>
        <w:rPr>
          <w:rFonts w:hint="eastAsia"/>
        </w:rPr>
        <w:t>本项目采取“雨污分流、污污分流”措施。厂区地面进行了硬化防渗处理。厂区拟设置250m</w:t>
      </w:r>
      <w:r>
        <w:rPr>
          <w:rFonts w:hint="eastAsia"/>
          <w:vertAlign w:val="superscript"/>
        </w:rPr>
        <w:t>3</w:t>
      </w:r>
      <w:r>
        <w:rPr>
          <w:rFonts w:hint="eastAsia"/>
        </w:rPr>
        <w:t>初期雨水收集池和550m</w:t>
      </w:r>
      <w:r>
        <w:rPr>
          <w:rFonts w:hint="eastAsia"/>
          <w:vertAlign w:val="superscript"/>
        </w:rPr>
        <w:t>3</w:t>
      </w:r>
      <w:r>
        <w:rPr>
          <w:rFonts w:hint="eastAsia"/>
        </w:rPr>
        <w:t>应急事故池，设计标高低于需要收集的区域和相关收集管沟，因此初期雨水和事故废水均可通过自流方式进入相关池体。建设单位通过加强收集管沟的维护和管理，采用自动切换阀门，确保初期雨水池和应急事故池有足够的有效容积的情况下，基本可以杜绝废水非正常排放。</w:t>
      </w:r>
    </w:p>
    <w:p w14:paraId="432F6D15">
      <w:pPr>
        <w:ind w:firstLine="480"/>
      </w:pPr>
      <w:r>
        <w:rPr>
          <w:rFonts w:hint="eastAsia"/>
        </w:rPr>
        <w:t>综上，在采取各类水污染防治措施后，本项目废水对地表水环境影响较小。</w:t>
      </w:r>
    </w:p>
    <w:p w14:paraId="1D02A1CC">
      <w:pPr>
        <w:pStyle w:val="43"/>
        <w:numPr>
          <w:ilvl w:val="5"/>
          <w:numId w:val="1"/>
        </w:numPr>
        <w:rPr>
          <w:rFonts w:hint="default"/>
        </w:rPr>
      </w:pPr>
      <w:r>
        <w:rPr>
          <w:rFonts w:hint="default"/>
        </w:rPr>
        <w:t>地表水环境影响评价自查表</w:t>
      </w:r>
    </w:p>
    <w:tbl>
      <w:tblPr>
        <w:tblStyle w:val="32"/>
        <w:tblW w:w="50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1274"/>
        <w:gridCol w:w="655"/>
        <w:gridCol w:w="122"/>
        <w:gridCol w:w="472"/>
        <w:gridCol w:w="531"/>
        <w:gridCol w:w="653"/>
        <w:gridCol w:w="766"/>
        <w:gridCol w:w="31"/>
        <w:gridCol w:w="429"/>
        <w:gridCol w:w="1221"/>
        <w:gridCol w:w="111"/>
        <w:gridCol w:w="429"/>
        <w:gridCol w:w="1379"/>
        <w:gridCol w:w="160"/>
      </w:tblGrid>
      <w:tr w14:paraId="61FF4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tblHeader/>
          <w:jc w:val="center"/>
        </w:trPr>
        <w:tc>
          <w:tcPr>
            <w:tcW w:w="992" w:type="pct"/>
            <w:gridSpan w:val="2"/>
            <w:noWrap/>
            <w:vAlign w:val="center"/>
          </w:tcPr>
          <w:p w14:paraId="398AA046">
            <w:pPr>
              <w:widowControl/>
              <w:adjustRightInd/>
              <w:spacing w:line="240" w:lineRule="auto"/>
              <w:ind w:firstLine="0" w:firstLineChars="0"/>
              <w:jc w:val="center"/>
              <w:rPr>
                <w:rFonts w:cs="Times New Roman"/>
                <w:b/>
                <w:kern w:val="0"/>
                <w:sz w:val="18"/>
                <w:szCs w:val="18"/>
              </w:rPr>
            </w:pPr>
            <w:r>
              <w:rPr>
                <w:rFonts w:cs="Times New Roman"/>
                <w:b/>
                <w:kern w:val="0"/>
                <w:sz w:val="18"/>
                <w:szCs w:val="18"/>
              </w:rPr>
              <w:t>工作内容</w:t>
            </w:r>
          </w:p>
        </w:tc>
        <w:tc>
          <w:tcPr>
            <w:tcW w:w="3914" w:type="pct"/>
            <w:gridSpan w:val="12"/>
            <w:noWrap/>
            <w:vAlign w:val="center"/>
          </w:tcPr>
          <w:p w14:paraId="0F02C268">
            <w:pPr>
              <w:widowControl/>
              <w:adjustRightInd/>
              <w:spacing w:line="240" w:lineRule="auto"/>
              <w:ind w:firstLine="0" w:firstLineChars="0"/>
              <w:jc w:val="center"/>
              <w:rPr>
                <w:rFonts w:cs="Times New Roman"/>
                <w:b/>
                <w:kern w:val="0"/>
                <w:sz w:val="18"/>
                <w:szCs w:val="18"/>
              </w:rPr>
            </w:pPr>
            <w:r>
              <w:rPr>
                <w:rFonts w:hint="eastAsia" w:cs="Times New Roman"/>
                <w:b/>
                <w:kern w:val="0"/>
                <w:sz w:val="18"/>
                <w:szCs w:val="18"/>
              </w:rPr>
              <w:t>自查项目</w:t>
            </w:r>
          </w:p>
        </w:tc>
      </w:tr>
      <w:tr w14:paraId="1100D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restart"/>
            <w:noWrap/>
            <w:textDirection w:val="tbRlV"/>
            <w:vAlign w:val="center"/>
          </w:tcPr>
          <w:p w14:paraId="090798F7">
            <w:pPr>
              <w:widowControl/>
              <w:adjustRightInd/>
              <w:spacing w:line="240" w:lineRule="auto"/>
              <w:ind w:firstLine="0" w:firstLineChars="0"/>
              <w:jc w:val="center"/>
              <w:rPr>
                <w:rFonts w:cs="Times New Roman"/>
                <w:kern w:val="0"/>
                <w:sz w:val="18"/>
                <w:szCs w:val="18"/>
              </w:rPr>
            </w:pPr>
            <w:r>
              <w:rPr>
                <w:rFonts w:cs="Times New Roman"/>
                <w:kern w:val="0"/>
                <w:sz w:val="18"/>
                <w:szCs w:val="18"/>
              </w:rPr>
              <w:t>影响识别</w:t>
            </w:r>
          </w:p>
        </w:tc>
        <w:tc>
          <w:tcPr>
            <w:tcW w:w="734" w:type="pct"/>
            <w:vAlign w:val="center"/>
          </w:tcPr>
          <w:p w14:paraId="42E891FF">
            <w:pPr>
              <w:widowControl/>
              <w:adjustRightInd/>
              <w:spacing w:line="240" w:lineRule="auto"/>
              <w:ind w:firstLine="0" w:firstLineChars="0"/>
              <w:jc w:val="center"/>
              <w:rPr>
                <w:rFonts w:cs="Times New Roman"/>
                <w:kern w:val="0"/>
                <w:sz w:val="18"/>
                <w:szCs w:val="18"/>
              </w:rPr>
            </w:pPr>
            <w:r>
              <w:rPr>
                <w:rFonts w:cs="Times New Roman"/>
                <w:kern w:val="0"/>
                <w:sz w:val="18"/>
                <w:szCs w:val="18"/>
              </w:rPr>
              <w:t>影响类型</w:t>
            </w:r>
          </w:p>
        </w:tc>
        <w:tc>
          <w:tcPr>
            <w:tcW w:w="3914" w:type="pct"/>
            <w:gridSpan w:val="12"/>
            <w:noWrap/>
            <w:vAlign w:val="center"/>
          </w:tcPr>
          <w:p w14:paraId="193EE739">
            <w:pPr>
              <w:widowControl/>
              <w:adjustRightInd/>
              <w:spacing w:line="240" w:lineRule="auto"/>
              <w:ind w:firstLine="0" w:firstLineChars="0"/>
              <w:jc w:val="left"/>
              <w:rPr>
                <w:rFonts w:cs="Times New Roman"/>
                <w:kern w:val="0"/>
                <w:sz w:val="18"/>
                <w:szCs w:val="18"/>
              </w:rPr>
            </w:pPr>
            <w:r>
              <w:rPr>
                <w:rFonts w:hint="eastAsia" w:cs="Times New Roman"/>
                <w:kern w:val="0"/>
                <w:sz w:val="18"/>
                <w:szCs w:val="18"/>
              </w:rPr>
              <w:t>水</w:t>
            </w:r>
            <w:r>
              <w:rPr>
                <w:rFonts w:cs="Times New Roman"/>
                <w:kern w:val="0"/>
                <w:sz w:val="18"/>
                <w:szCs w:val="18"/>
              </w:rPr>
              <w:t xml:space="preserve">污染影响型 </w:t>
            </w:r>
            <w:r>
              <w:rPr>
                <w:rFonts w:hint="eastAsia" w:ascii="宋体" w:hAnsi="宋体" w:cs="Times New Roman"/>
                <w:kern w:val="0"/>
                <w:sz w:val="18"/>
                <w:szCs w:val="18"/>
              </w:rPr>
              <w:t>☑</w:t>
            </w:r>
            <w:r>
              <w:rPr>
                <w:rFonts w:cs="Times New Roman"/>
                <w:kern w:val="0"/>
                <w:sz w:val="18"/>
                <w:szCs w:val="18"/>
              </w:rPr>
              <w:t xml:space="preserve">；水文要素影响型 </w:t>
            </w:r>
            <w:r>
              <w:rPr>
                <w:rFonts w:ascii="宋体" w:hAnsi="宋体" w:cs="Times New Roman"/>
                <w:kern w:val="0"/>
                <w:sz w:val="18"/>
                <w:szCs w:val="18"/>
              </w:rPr>
              <w:t>□</w:t>
            </w:r>
          </w:p>
        </w:tc>
      </w:tr>
      <w:tr w14:paraId="683A7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5EA3C3A8">
            <w:pPr>
              <w:widowControl/>
              <w:adjustRightInd/>
              <w:spacing w:line="240" w:lineRule="auto"/>
              <w:ind w:firstLine="0" w:firstLineChars="0"/>
              <w:jc w:val="left"/>
              <w:rPr>
                <w:rFonts w:cs="Times New Roman"/>
                <w:kern w:val="0"/>
                <w:sz w:val="18"/>
                <w:szCs w:val="18"/>
              </w:rPr>
            </w:pPr>
          </w:p>
        </w:tc>
        <w:tc>
          <w:tcPr>
            <w:tcW w:w="734" w:type="pct"/>
            <w:vAlign w:val="center"/>
          </w:tcPr>
          <w:p w14:paraId="3D50517E">
            <w:pPr>
              <w:widowControl/>
              <w:adjustRightInd/>
              <w:spacing w:line="240" w:lineRule="auto"/>
              <w:ind w:firstLine="0" w:firstLineChars="0"/>
              <w:jc w:val="center"/>
              <w:rPr>
                <w:rFonts w:cs="Times New Roman"/>
                <w:kern w:val="0"/>
                <w:sz w:val="18"/>
                <w:szCs w:val="18"/>
              </w:rPr>
            </w:pPr>
            <w:r>
              <w:rPr>
                <w:rFonts w:cs="Times New Roman"/>
                <w:kern w:val="0"/>
                <w:sz w:val="18"/>
                <w:szCs w:val="18"/>
              </w:rPr>
              <w:t>水环境保护目标</w:t>
            </w:r>
          </w:p>
        </w:tc>
        <w:tc>
          <w:tcPr>
            <w:tcW w:w="3914" w:type="pct"/>
            <w:gridSpan w:val="12"/>
            <w:vAlign w:val="center"/>
          </w:tcPr>
          <w:p w14:paraId="63DAEBA5">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cs="Times New Roman"/>
                <w:kern w:val="0"/>
                <w:sz w:val="18"/>
                <w:szCs w:val="18"/>
              </w:rPr>
              <w:t xml:space="preserve">饮用水水源保护区 </w:t>
            </w:r>
            <w:r>
              <w:rPr>
                <w:rFonts w:ascii="宋体" w:hAnsi="宋体" w:cs="Times New Roman"/>
                <w:kern w:val="0"/>
                <w:sz w:val="18"/>
                <w:szCs w:val="18"/>
              </w:rPr>
              <w:t>□；</w:t>
            </w:r>
            <w:r>
              <w:rPr>
                <w:rFonts w:cs="Times New Roman"/>
                <w:kern w:val="0"/>
                <w:sz w:val="18"/>
                <w:szCs w:val="18"/>
              </w:rPr>
              <w:t xml:space="preserve">饮用水取水口 </w:t>
            </w:r>
            <w:r>
              <w:rPr>
                <w:rFonts w:ascii="宋体" w:hAnsi="宋体" w:cs="Times New Roman"/>
                <w:kern w:val="0"/>
                <w:sz w:val="18"/>
                <w:szCs w:val="18"/>
              </w:rPr>
              <w:t>□；</w:t>
            </w:r>
            <w:r>
              <w:rPr>
                <w:rFonts w:cs="Times New Roman"/>
                <w:kern w:val="0"/>
                <w:sz w:val="18"/>
                <w:szCs w:val="18"/>
              </w:rPr>
              <w:t xml:space="preserve">涉水的自然保护区 </w:t>
            </w:r>
            <w:r>
              <w:rPr>
                <w:rFonts w:ascii="宋体" w:hAnsi="宋体" w:cs="Times New Roman"/>
                <w:kern w:val="0"/>
                <w:sz w:val="18"/>
                <w:szCs w:val="18"/>
              </w:rPr>
              <w:t>□；</w:t>
            </w:r>
            <w:r>
              <w:rPr>
                <w:rFonts w:cs="Times New Roman"/>
                <w:kern w:val="0"/>
                <w:sz w:val="18"/>
                <w:szCs w:val="18"/>
              </w:rPr>
              <w:t xml:space="preserve">重要湿地 </w:t>
            </w:r>
            <w:r>
              <w:rPr>
                <w:rFonts w:ascii="宋体" w:hAnsi="宋体" w:cs="Times New Roman"/>
                <w:kern w:val="0"/>
                <w:sz w:val="18"/>
                <w:szCs w:val="18"/>
              </w:rPr>
              <w:t>□；</w:t>
            </w:r>
          </w:p>
          <w:p w14:paraId="084C24AD">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重点保护与珍稀水生生物的栖息地 </w:t>
            </w:r>
            <w:r>
              <w:rPr>
                <w:rFonts w:ascii="宋体" w:hAnsi="宋体" w:cs="Times New Roman"/>
                <w:kern w:val="0"/>
                <w:sz w:val="18"/>
                <w:szCs w:val="18"/>
              </w:rPr>
              <w:t>□；</w:t>
            </w:r>
            <w:r>
              <w:rPr>
                <w:rFonts w:cs="Times New Roman"/>
                <w:kern w:val="0"/>
                <w:sz w:val="18"/>
                <w:szCs w:val="18"/>
              </w:rPr>
              <w:t>重要水生生物的自然产卵场及索饵场、越冬场和洄游通道</w:t>
            </w:r>
            <w:r>
              <w:rPr>
                <w:rFonts w:hint="eastAsia" w:cs="Times New Roman"/>
                <w:kern w:val="0"/>
                <w:sz w:val="18"/>
                <w:szCs w:val="18"/>
              </w:rPr>
              <w:t xml:space="preserve"> □；</w:t>
            </w:r>
            <w:r>
              <w:rPr>
                <w:rFonts w:ascii="宋体" w:hAnsi="宋体" w:cs="Times New Roman"/>
                <w:kern w:val="0"/>
                <w:sz w:val="18"/>
                <w:szCs w:val="18"/>
              </w:rPr>
              <w:t>天然渔场等渔业水体</w:t>
            </w:r>
            <w:r>
              <w:rPr>
                <w:rFonts w:cs="Times New Roman"/>
                <w:kern w:val="0"/>
                <w:sz w:val="18"/>
                <w:szCs w:val="18"/>
              </w:rPr>
              <w:t xml:space="preserve"> </w:t>
            </w:r>
            <w:r>
              <w:rPr>
                <w:rFonts w:hint="eastAsia" w:ascii="宋体" w:hAnsi="宋体" w:cs="Times New Roman"/>
                <w:kern w:val="0"/>
                <w:sz w:val="18"/>
                <w:szCs w:val="18"/>
              </w:rPr>
              <w:t>☑</w:t>
            </w:r>
            <w:r>
              <w:rPr>
                <w:rFonts w:ascii="宋体" w:hAnsi="宋体" w:cs="Times New Roman"/>
                <w:kern w:val="0"/>
                <w:sz w:val="18"/>
                <w:szCs w:val="18"/>
              </w:rPr>
              <w:t>；</w:t>
            </w:r>
            <w:r>
              <w:rPr>
                <w:rFonts w:hint="eastAsia" w:cs="Times New Roman"/>
                <w:kern w:val="0"/>
                <w:sz w:val="18"/>
                <w:szCs w:val="18"/>
              </w:rPr>
              <w:t>水产种质资源保护区</w:t>
            </w:r>
            <w:r>
              <w:rPr>
                <w:rFonts w:cs="Times New Roman"/>
                <w:kern w:val="0"/>
                <w:sz w:val="18"/>
                <w:szCs w:val="18"/>
              </w:rPr>
              <w:t xml:space="preserve"> </w:t>
            </w:r>
            <w:r>
              <w:rPr>
                <w:rFonts w:ascii="宋体" w:hAnsi="宋体" w:cs="Times New Roman"/>
                <w:kern w:val="0"/>
                <w:sz w:val="18"/>
                <w:szCs w:val="18"/>
              </w:rPr>
              <w:t>□；</w:t>
            </w:r>
            <w:r>
              <w:rPr>
                <w:rFonts w:cs="Times New Roman"/>
                <w:kern w:val="0"/>
                <w:sz w:val="18"/>
                <w:szCs w:val="18"/>
              </w:rPr>
              <w:t xml:space="preserve">其他 </w:t>
            </w:r>
            <w:r>
              <w:rPr>
                <w:rFonts w:ascii="宋体" w:hAnsi="宋体" w:cs="Times New Roman"/>
                <w:kern w:val="0"/>
                <w:sz w:val="18"/>
                <w:szCs w:val="18"/>
              </w:rPr>
              <w:t>□</w:t>
            </w:r>
          </w:p>
        </w:tc>
      </w:tr>
      <w:tr w14:paraId="0453F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27B07169">
            <w:pPr>
              <w:widowControl/>
              <w:adjustRightInd/>
              <w:spacing w:line="240" w:lineRule="auto"/>
              <w:ind w:firstLine="0" w:firstLineChars="0"/>
              <w:jc w:val="left"/>
              <w:rPr>
                <w:rFonts w:cs="Times New Roman"/>
                <w:kern w:val="0"/>
                <w:sz w:val="18"/>
                <w:szCs w:val="18"/>
              </w:rPr>
            </w:pPr>
          </w:p>
        </w:tc>
        <w:tc>
          <w:tcPr>
            <w:tcW w:w="734" w:type="pct"/>
            <w:vMerge w:val="restart"/>
            <w:vAlign w:val="center"/>
          </w:tcPr>
          <w:p w14:paraId="0C4ECE8A">
            <w:pPr>
              <w:widowControl/>
              <w:adjustRightInd/>
              <w:spacing w:line="240" w:lineRule="auto"/>
              <w:ind w:firstLine="0" w:firstLineChars="0"/>
              <w:jc w:val="center"/>
              <w:rPr>
                <w:rFonts w:cs="Times New Roman"/>
                <w:kern w:val="0"/>
                <w:sz w:val="18"/>
                <w:szCs w:val="18"/>
              </w:rPr>
            </w:pPr>
            <w:r>
              <w:rPr>
                <w:rFonts w:cs="Times New Roman"/>
                <w:kern w:val="0"/>
                <w:sz w:val="18"/>
                <w:szCs w:val="18"/>
              </w:rPr>
              <w:t>影响途径</w:t>
            </w:r>
          </w:p>
        </w:tc>
        <w:tc>
          <w:tcPr>
            <w:tcW w:w="1401" w:type="pct"/>
            <w:gridSpan w:val="5"/>
            <w:vAlign w:val="center"/>
          </w:tcPr>
          <w:p w14:paraId="51D73A26">
            <w:pPr>
              <w:widowControl/>
              <w:adjustRightInd/>
              <w:spacing w:line="240" w:lineRule="auto"/>
              <w:ind w:firstLine="0" w:firstLineChars="0"/>
              <w:jc w:val="center"/>
              <w:rPr>
                <w:rFonts w:cs="Times New Roman"/>
                <w:kern w:val="0"/>
                <w:sz w:val="18"/>
                <w:szCs w:val="18"/>
              </w:rPr>
            </w:pPr>
            <w:r>
              <w:rPr>
                <w:rFonts w:hint="eastAsia" w:cs="Times New Roman"/>
                <w:kern w:val="0"/>
                <w:sz w:val="18"/>
                <w:szCs w:val="18"/>
              </w:rPr>
              <w:t>水</w:t>
            </w:r>
            <w:r>
              <w:rPr>
                <w:rFonts w:cs="Times New Roman"/>
                <w:kern w:val="0"/>
                <w:sz w:val="18"/>
                <w:szCs w:val="18"/>
              </w:rPr>
              <w:t>污染影响型</w:t>
            </w:r>
          </w:p>
        </w:tc>
        <w:tc>
          <w:tcPr>
            <w:tcW w:w="2513" w:type="pct"/>
            <w:gridSpan w:val="7"/>
            <w:vAlign w:val="center"/>
          </w:tcPr>
          <w:p w14:paraId="1E054A05">
            <w:pPr>
              <w:widowControl/>
              <w:adjustRightInd/>
              <w:spacing w:line="240" w:lineRule="auto"/>
              <w:ind w:firstLine="0" w:firstLineChars="0"/>
              <w:jc w:val="center"/>
              <w:rPr>
                <w:rFonts w:cs="Times New Roman"/>
                <w:kern w:val="0"/>
                <w:sz w:val="18"/>
                <w:szCs w:val="18"/>
              </w:rPr>
            </w:pPr>
            <w:r>
              <w:rPr>
                <w:rFonts w:cs="Times New Roman"/>
                <w:kern w:val="0"/>
                <w:sz w:val="18"/>
                <w:szCs w:val="18"/>
              </w:rPr>
              <w:t>水文要素影响型</w:t>
            </w:r>
          </w:p>
        </w:tc>
      </w:tr>
      <w:tr w14:paraId="61A3B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6A1D0B2E">
            <w:pPr>
              <w:widowControl/>
              <w:adjustRightInd/>
              <w:spacing w:line="240" w:lineRule="auto"/>
              <w:ind w:firstLine="0" w:firstLineChars="0"/>
              <w:jc w:val="left"/>
              <w:rPr>
                <w:rFonts w:cs="Times New Roman"/>
                <w:kern w:val="0"/>
                <w:sz w:val="18"/>
                <w:szCs w:val="18"/>
              </w:rPr>
            </w:pPr>
          </w:p>
        </w:tc>
        <w:tc>
          <w:tcPr>
            <w:tcW w:w="734" w:type="pct"/>
            <w:vMerge w:val="continue"/>
            <w:vAlign w:val="center"/>
          </w:tcPr>
          <w:p w14:paraId="27213550">
            <w:pPr>
              <w:widowControl/>
              <w:adjustRightInd/>
              <w:spacing w:line="240" w:lineRule="auto"/>
              <w:ind w:firstLine="0" w:firstLineChars="0"/>
              <w:jc w:val="center"/>
              <w:rPr>
                <w:rFonts w:cs="Times New Roman"/>
                <w:kern w:val="0"/>
                <w:sz w:val="18"/>
                <w:szCs w:val="18"/>
              </w:rPr>
            </w:pPr>
          </w:p>
        </w:tc>
        <w:tc>
          <w:tcPr>
            <w:tcW w:w="1401" w:type="pct"/>
            <w:gridSpan w:val="5"/>
            <w:vAlign w:val="center"/>
          </w:tcPr>
          <w:p w14:paraId="5B100243">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直接排放 </w:t>
            </w:r>
            <w:r>
              <w:rPr>
                <w:rFonts w:ascii="宋体" w:hAnsi="宋体" w:cs="Times New Roman"/>
                <w:kern w:val="0"/>
                <w:sz w:val="18"/>
                <w:szCs w:val="18"/>
              </w:rPr>
              <w:t>□；</w:t>
            </w:r>
            <w:r>
              <w:rPr>
                <w:rFonts w:cs="Times New Roman"/>
                <w:kern w:val="0"/>
                <w:sz w:val="18"/>
                <w:szCs w:val="18"/>
              </w:rPr>
              <w:t xml:space="preserve">间接排放 </w:t>
            </w:r>
            <w:r>
              <w:rPr>
                <w:rFonts w:hint="eastAsia" w:ascii="宋体" w:hAnsi="宋体" w:cs="Times New Roman"/>
                <w:kern w:val="0"/>
                <w:sz w:val="18"/>
                <w:szCs w:val="18"/>
              </w:rPr>
              <w:t>☑</w:t>
            </w:r>
            <w:r>
              <w:rPr>
                <w:rFonts w:ascii="宋体" w:hAnsi="宋体" w:cs="Times New Roman"/>
                <w:kern w:val="0"/>
                <w:sz w:val="18"/>
                <w:szCs w:val="18"/>
              </w:rPr>
              <w:t>；</w:t>
            </w:r>
            <w:r>
              <w:rPr>
                <w:rFonts w:cs="Times New Roman"/>
                <w:kern w:val="0"/>
                <w:sz w:val="18"/>
                <w:szCs w:val="18"/>
              </w:rPr>
              <w:t>其他</w:t>
            </w:r>
            <w:r>
              <w:rPr>
                <w:rFonts w:hint="eastAsia" w:cs="Times New Roman"/>
                <w:kern w:val="0"/>
                <w:sz w:val="18"/>
                <w:szCs w:val="18"/>
              </w:rPr>
              <w:t xml:space="preserve"> </w:t>
            </w:r>
            <w:r>
              <w:rPr>
                <w:rFonts w:ascii="宋体" w:hAnsi="宋体" w:cs="Times New Roman"/>
                <w:kern w:val="0"/>
                <w:sz w:val="18"/>
                <w:szCs w:val="18"/>
              </w:rPr>
              <w:t>□</w:t>
            </w:r>
          </w:p>
        </w:tc>
        <w:tc>
          <w:tcPr>
            <w:tcW w:w="2513" w:type="pct"/>
            <w:gridSpan w:val="7"/>
            <w:vAlign w:val="center"/>
          </w:tcPr>
          <w:p w14:paraId="11F86CB0">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水温 </w:t>
            </w:r>
            <w:r>
              <w:rPr>
                <w:rFonts w:ascii="宋体" w:hAnsi="宋体" w:cs="Times New Roman"/>
                <w:kern w:val="0"/>
                <w:sz w:val="18"/>
                <w:szCs w:val="18"/>
              </w:rPr>
              <w:t>□；</w:t>
            </w:r>
            <w:r>
              <w:rPr>
                <w:rFonts w:cs="Times New Roman"/>
                <w:kern w:val="0"/>
                <w:sz w:val="18"/>
                <w:szCs w:val="18"/>
              </w:rPr>
              <w:t xml:space="preserve">径流 </w:t>
            </w:r>
            <w:r>
              <w:rPr>
                <w:rFonts w:ascii="宋体" w:hAnsi="宋体" w:cs="Times New Roman"/>
                <w:kern w:val="0"/>
                <w:sz w:val="18"/>
                <w:szCs w:val="18"/>
              </w:rPr>
              <w:t>□；</w:t>
            </w:r>
            <w:r>
              <w:rPr>
                <w:rFonts w:cs="Times New Roman"/>
                <w:kern w:val="0"/>
                <w:sz w:val="18"/>
                <w:szCs w:val="18"/>
              </w:rPr>
              <w:t xml:space="preserve">水域面积 </w:t>
            </w:r>
            <w:r>
              <w:rPr>
                <w:rFonts w:ascii="宋体" w:hAnsi="宋体" w:cs="Times New Roman"/>
                <w:kern w:val="0"/>
                <w:sz w:val="18"/>
                <w:szCs w:val="18"/>
              </w:rPr>
              <w:t>□</w:t>
            </w:r>
          </w:p>
        </w:tc>
      </w:tr>
      <w:tr w14:paraId="05850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1D56482E">
            <w:pPr>
              <w:widowControl/>
              <w:adjustRightInd/>
              <w:spacing w:line="240" w:lineRule="auto"/>
              <w:ind w:firstLine="0" w:firstLineChars="0"/>
              <w:jc w:val="left"/>
              <w:rPr>
                <w:rFonts w:cs="Times New Roman"/>
                <w:kern w:val="0"/>
                <w:sz w:val="18"/>
                <w:szCs w:val="18"/>
              </w:rPr>
            </w:pPr>
          </w:p>
        </w:tc>
        <w:tc>
          <w:tcPr>
            <w:tcW w:w="734" w:type="pct"/>
            <w:vAlign w:val="center"/>
          </w:tcPr>
          <w:p w14:paraId="11A55FBA">
            <w:pPr>
              <w:widowControl/>
              <w:adjustRightInd/>
              <w:spacing w:line="240" w:lineRule="auto"/>
              <w:ind w:firstLine="0" w:firstLineChars="0"/>
              <w:jc w:val="center"/>
              <w:rPr>
                <w:rFonts w:cs="Times New Roman"/>
                <w:kern w:val="0"/>
                <w:sz w:val="18"/>
                <w:szCs w:val="18"/>
              </w:rPr>
            </w:pPr>
            <w:r>
              <w:rPr>
                <w:rFonts w:cs="Times New Roman"/>
                <w:kern w:val="0"/>
                <w:sz w:val="18"/>
                <w:szCs w:val="18"/>
              </w:rPr>
              <w:t>影响因子</w:t>
            </w:r>
          </w:p>
        </w:tc>
        <w:tc>
          <w:tcPr>
            <w:tcW w:w="1401" w:type="pct"/>
            <w:gridSpan w:val="5"/>
            <w:vAlign w:val="center"/>
          </w:tcPr>
          <w:p w14:paraId="655C9B90">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持久性污染物 </w:t>
            </w:r>
            <w:r>
              <w:rPr>
                <w:rFonts w:ascii="宋体" w:hAnsi="宋体" w:cs="Times New Roman"/>
                <w:kern w:val="0"/>
                <w:sz w:val="18"/>
                <w:szCs w:val="18"/>
              </w:rPr>
              <w:t>□；</w:t>
            </w:r>
            <w:r>
              <w:rPr>
                <w:rFonts w:cs="Times New Roman"/>
                <w:kern w:val="0"/>
                <w:sz w:val="18"/>
                <w:szCs w:val="18"/>
              </w:rPr>
              <w:t xml:space="preserve">有毒有害污染物 </w:t>
            </w:r>
            <w:r>
              <w:rPr>
                <w:rFonts w:ascii="宋体" w:hAnsi="宋体" w:cs="Times New Roman"/>
                <w:kern w:val="0"/>
                <w:sz w:val="18"/>
                <w:szCs w:val="18"/>
              </w:rPr>
              <w:t>□；</w:t>
            </w:r>
            <w:r>
              <w:rPr>
                <w:rFonts w:cs="Times New Roman"/>
                <w:kern w:val="0"/>
                <w:sz w:val="18"/>
                <w:szCs w:val="18"/>
              </w:rPr>
              <w:t xml:space="preserve">非持久性污染物 </w:t>
            </w:r>
            <w:r>
              <w:rPr>
                <w:rFonts w:hint="eastAsia" w:ascii="MS Mincho" w:hAnsi="MS Mincho" w:cs="MS Mincho"/>
                <w:sz w:val="21"/>
              </w:rPr>
              <w:t>☑</w:t>
            </w:r>
            <w:r>
              <w:rPr>
                <w:rFonts w:ascii="宋体" w:hAnsi="宋体" w:cs="Times New Roman"/>
                <w:kern w:val="0"/>
                <w:sz w:val="18"/>
                <w:szCs w:val="18"/>
              </w:rPr>
              <w:t>；</w:t>
            </w:r>
            <w:r>
              <w:rPr>
                <w:rFonts w:cs="Times New Roman"/>
                <w:kern w:val="0"/>
                <w:sz w:val="18"/>
                <w:szCs w:val="18"/>
              </w:rPr>
              <w:t xml:space="preserve">pH值 </w:t>
            </w:r>
            <w:r>
              <w:rPr>
                <w:rFonts w:ascii="宋体" w:hAnsi="宋体" w:cs="Times New Roman"/>
                <w:kern w:val="0"/>
                <w:sz w:val="18"/>
                <w:szCs w:val="18"/>
              </w:rPr>
              <w:t>□；</w:t>
            </w:r>
            <w:r>
              <w:rPr>
                <w:rFonts w:cs="Times New Roman"/>
                <w:kern w:val="0"/>
                <w:sz w:val="18"/>
                <w:szCs w:val="18"/>
              </w:rPr>
              <w:t xml:space="preserve">热污染 </w:t>
            </w:r>
            <w:r>
              <w:rPr>
                <w:rFonts w:ascii="宋体" w:hAnsi="宋体" w:cs="Times New Roman"/>
                <w:kern w:val="0"/>
                <w:sz w:val="18"/>
                <w:szCs w:val="18"/>
              </w:rPr>
              <w:t>□；</w:t>
            </w:r>
            <w:r>
              <w:rPr>
                <w:rFonts w:cs="Times New Roman"/>
                <w:kern w:val="0"/>
                <w:sz w:val="18"/>
                <w:szCs w:val="18"/>
              </w:rPr>
              <w:t xml:space="preserve">富营养化 </w:t>
            </w:r>
            <w:r>
              <w:rPr>
                <w:rFonts w:ascii="宋体" w:hAnsi="宋体" w:cs="Times New Roman"/>
                <w:kern w:val="0"/>
                <w:sz w:val="18"/>
                <w:szCs w:val="18"/>
              </w:rPr>
              <w:t>□；</w:t>
            </w:r>
            <w:r>
              <w:rPr>
                <w:rFonts w:cs="Times New Roman"/>
                <w:kern w:val="0"/>
                <w:sz w:val="18"/>
                <w:szCs w:val="18"/>
              </w:rPr>
              <w:t xml:space="preserve">其他 </w:t>
            </w:r>
            <w:r>
              <w:rPr>
                <w:rFonts w:ascii="宋体" w:hAnsi="宋体" w:cs="Times New Roman"/>
                <w:kern w:val="0"/>
                <w:sz w:val="18"/>
                <w:szCs w:val="18"/>
              </w:rPr>
              <w:t>□</w:t>
            </w:r>
            <w:r>
              <w:rPr>
                <w:rFonts w:hint="eastAsia" w:ascii="宋体" w:hAnsi="宋体" w:cs="Times New Roman"/>
                <w:kern w:val="0"/>
                <w:sz w:val="18"/>
                <w:szCs w:val="18"/>
              </w:rPr>
              <w:t xml:space="preserve"> </w:t>
            </w:r>
          </w:p>
        </w:tc>
        <w:tc>
          <w:tcPr>
            <w:tcW w:w="2513" w:type="pct"/>
            <w:gridSpan w:val="7"/>
            <w:vAlign w:val="center"/>
          </w:tcPr>
          <w:p w14:paraId="3A10AE13">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水温 </w:t>
            </w:r>
            <w:r>
              <w:rPr>
                <w:rFonts w:ascii="宋体" w:hAnsi="宋体" w:cs="Times New Roman"/>
                <w:kern w:val="0"/>
                <w:sz w:val="18"/>
                <w:szCs w:val="18"/>
              </w:rPr>
              <w:t>□；</w:t>
            </w:r>
            <w:r>
              <w:rPr>
                <w:rFonts w:cs="Times New Roman"/>
                <w:kern w:val="0"/>
                <w:sz w:val="18"/>
                <w:szCs w:val="18"/>
              </w:rPr>
              <w:t xml:space="preserve">水位（水深） </w:t>
            </w:r>
            <w:r>
              <w:rPr>
                <w:rFonts w:ascii="宋体" w:hAnsi="宋体" w:cs="Times New Roman"/>
                <w:kern w:val="0"/>
                <w:sz w:val="18"/>
                <w:szCs w:val="18"/>
              </w:rPr>
              <w:t>□；</w:t>
            </w:r>
            <w:r>
              <w:rPr>
                <w:rFonts w:cs="Times New Roman"/>
                <w:kern w:val="0"/>
                <w:sz w:val="18"/>
                <w:szCs w:val="18"/>
              </w:rPr>
              <w:t xml:space="preserve">流速 </w:t>
            </w:r>
            <w:r>
              <w:rPr>
                <w:rFonts w:ascii="宋体" w:hAnsi="宋体" w:cs="Times New Roman"/>
                <w:kern w:val="0"/>
                <w:sz w:val="18"/>
                <w:szCs w:val="18"/>
              </w:rPr>
              <w:t>□；</w:t>
            </w:r>
            <w:r>
              <w:rPr>
                <w:rFonts w:cs="Times New Roman"/>
                <w:kern w:val="0"/>
                <w:sz w:val="18"/>
                <w:szCs w:val="18"/>
              </w:rPr>
              <w:t xml:space="preserve">流量 </w:t>
            </w:r>
            <w:r>
              <w:rPr>
                <w:rFonts w:ascii="宋体" w:hAnsi="宋体" w:cs="Times New Roman"/>
                <w:kern w:val="0"/>
                <w:sz w:val="18"/>
                <w:szCs w:val="18"/>
              </w:rPr>
              <w:t>□；</w:t>
            </w:r>
            <w:r>
              <w:rPr>
                <w:rFonts w:cs="Times New Roman"/>
                <w:kern w:val="0"/>
                <w:sz w:val="18"/>
                <w:szCs w:val="18"/>
              </w:rPr>
              <w:t xml:space="preserve">其他 </w:t>
            </w:r>
            <w:r>
              <w:rPr>
                <w:rFonts w:ascii="宋体" w:hAnsi="宋体" w:cs="Times New Roman"/>
                <w:kern w:val="0"/>
                <w:sz w:val="18"/>
                <w:szCs w:val="18"/>
              </w:rPr>
              <w:t>□</w:t>
            </w:r>
          </w:p>
        </w:tc>
      </w:tr>
      <w:tr w14:paraId="34866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992" w:type="pct"/>
            <w:gridSpan w:val="2"/>
            <w:vMerge w:val="restart"/>
            <w:noWrap/>
            <w:vAlign w:val="center"/>
          </w:tcPr>
          <w:p w14:paraId="2A322069">
            <w:pPr>
              <w:widowControl/>
              <w:adjustRightInd/>
              <w:spacing w:line="240" w:lineRule="auto"/>
              <w:ind w:firstLine="0" w:firstLineChars="0"/>
              <w:jc w:val="center"/>
              <w:rPr>
                <w:rFonts w:cs="Times New Roman"/>
                <w:kern w:val="0"/>
                <w:sz w:val="18"/>
                <w:szCs w:val="18"/>
              </w:rPr>
            </w:pPr>
            <w:r>
              <w:rPr>
                <w:rFonts w:cs="Times New Roman"/>
                <w:kern w:val="0"/>
                <w:sz w:val="18"/>
                <w:szCs w:val="18"/>
              </w:rPr>
              <w:t>评价等级</w:t>
            </w:r>
          </w:p>
        </w:tc>
        <w:tc>
          <w:tcPr>
            <w:tcW w:w="1401" w:type="pct"/>
            <w:gridSpan w:val="5"/>
            <w:noWrap/>
            <w:vAlign w:val="center"/>
          </w:tcPr>
          <w:p w14:paraId="69BBCA13">
            <w:pPr>
              <w:widowControl/>
              <w:adjustRightInd/>
              <w:spacing w:line="240" w:lineRule="auto"/>
              <w:ind w:firstLine="0" w:firstLineChars="0"/>
              <w:jc w:val="center"/>
              <w:rPr>
                <w:rFonts w:cs="Times New Roman"/>
                <w:kern w:val="0"/>
                <w:sz w:val="18"/>
                <w:szCs w:val="18"/>
              </w:rPr>
            </w:pPr>
            <w:r>
              <w:rPr>
                <w:rFonts w:hint="eastAsia" w:cs="Times New Roman"/>
                <w:kern w:val="0"/>
                <w:sz w:val="18"/>
                <w:szCs w:val="18"/>
              </w:rPr>
              <w:t>水</w:t>
            </w:r>
            <w:r>
              <w:rPr>
                <w:rFonts w:cs="Times New Roman"/>
                <w:kern w:val="0"/>
                <w:sz w:val="18"/>
                <w:szCs w:val="18"/>
              </w:rPr>
              <w:t>污染影响型</w:t>
            </w:r>
          </w:p>
        </w:tc>
        <w:tc>
          <w:tcPr>
            <w:tcW w:w="2513" w:type="pct"/>
            <w:gridSpan w:val="7"/>
            <w:vAlign w:val="center"/>
          </w:tcPr>
          <w:p w14:paraId="123A4D7B">
            <w:pPr>
              <w:widowControl/>
              <w:adjustRightInd/>
              <w:spacing w:line="240" w:lineRule="auto"/>
              <w:ind w:firstLine="0" w:firstLineChars="0"/>
              <w:jc w:val="center"/>
              <w:rPr>
                <w:rFonts w:cs="Times New Roman"/>
                <w:kern w:val="0"/>
                <w:sz w:val="18"/>
                <w:szCs w:val="18"/>
              </w:rPr>
            </w:pPr>
            <w:r>
              <w:rPr>
                <w:rFonts w:cs="Times New Roman"/>
                <w:kern w:val="0"/>
                <w:sz w:val="18"/>
                <w:szCs w:val="18"/>
              </w:rPr>
              <w:t>水文要素影响型</w:t>
            </w:r>
          </w:p>
        </w:tc>
      </w:tr>
      <w:tr w14:paraId="5F4F4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992" w:type="pct"/>
            <w:gridSpan w:val="2"/>
            <w:vMerge w:val="continue"/>
            <w:noWrap/>
            <w:vAlign w:val="center"/>
          </w:tcPr>
          <w:p w14:paraId="1F45EEAC">
            <w:pPr>
              <w:widowControl/>
              <w:adjustRightInd/>
              <w:spacing w:line="240" w:lineRule="auto"/>
              <w:ind w:firstLine="0" w:firstLineChars="0"/>
              <w:jc w:val="center"/>
              <w:rPr>
                <w:rFonts w:cs="Times New Roman"/>
                <w:kern w:val="0"/>
                <w:sz w:val="18"/>
                <w:szCs w:val="18"/>
              </w:rPr>
            </w:pPr>
          </w:p>
        </w:tc>
        <w:tc>
          <w:tcPr>
            <w:tcW w:w="1401" w:type="pct"/>
            <w:gridSpan w:val="5"/>
            <w:noWrap/>
            <w:vAlign w:val="center"/>
          </w:tcPr>
          <w:p w14:paraId="10FE1234">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一级 </w:t>
            </w:r>
            <w:r>
              <w:rPr>
                <w:rFonts w:ascii="宋体" w:hAnsi="宋体" w:cs="Times New Roman"/>
                <w:kern w:val="0"/>
                <w:sz w:val="18"/>
                <w:szCs w:val="18"/>
              </w:rPr>
              <w:t>□；</w:t>
            </w:r>
            <w:r>
              <w:rPr>
                <w:rFonts w:cs="Times New Roman"/>
                <w:kern w:val="0"/>
                <w:sz w:val="18"/>
                <w:szCs w:val="18"/>
              </w:rPr>
              <w:t xml:space="preserve">二级 </w:t>
            </w:r>
            <w:r>
              <w:rPr>
                <w:rFonts w:ascii="宋体" w:hAnsi="宋体" w:cs="Times New Roman"/>
                <w:kern w:val="0"/>
                <w:sz w:val="18"/>
                <w:szCs w:val="18"/>
              </w:rPr>
              <w:t>□；</w:t>
            </w:r>
            <w:r>
              <w:rPr>
                <w:rFonts w:cs="Times New Roman"/>
                <w:kern w:val="0"/>
                <w:sz w:val="18"/>
                <w:szCs w:val="18"/>
              </w:rPr>
              <w:t xml:space="preserve">三级A </w:t>
            </w:r>
            <w:r>
              <w:rPr>
                <w:rFonts w:ascii="宋体" w:hAnsi="宋体" w:cs="Times New Roman"/>
                <w:kern w:val="0"/>
                <w:sz w:val="18"/>
                <w:szCs w:val="18"/>
              </w:rPr>
              <w:t>□；</w:t>
            </w:r>
            <w:r>
              <w:rPr>
                <w:rFonts w:cs="Times New Roman"/>
                <w:kern w:val="0"/>
                <w:sz w:val="18"/>
                <w:szCs w:val="18"/>
              </w:rPr>
              <w:t xml:space="preserve">三级B </w:t>
            </w:r>
            <w:r>
              <w:rPr>
                <w:rFonts w:hint="eastAsia" w:ascii="MS Mincho" w:hAnsi="MS Mincho" w:cs="MS Mincho"/>
                <w:sz w:val="21"/>
              </w:rPr>
              <w:t>☑</w:t>
            </w:r>
          </w:p>
        </w:tc>
        <w:tc>
          <w:tcPr>
            <w:tcW w:w="2513" w:type="pct"/>
            <w:gridSpan w:val="7"/>
            <w:vAlign w:val="center"/>
          </w:tcPr>
          <w:p w14:paraId="57FAFE97">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一级 </w:t>
            </w:r>
            <w:r>
              <w:rPr>
                <w:rFonts w:ascii="宋体" w:hAnsi="宋体" w:cs="Times New Roman"/>
                <w:kern w:val="0"/>
                <w:sz w:val="18"/>
                <w:szCs w:val="18"/>
              </w:rPr>
              <w:t>□；</w:t>
            </w:r>
            <w:r>
              <w:rPr>
                <w:rFonts w:cs="Times New Roman"/>
                <w:kern w:val="0"/>
                <w:sz w:val="18"/>
                <w:szCs w:val="18"/>
              </w:rPr>
              <w:t xml:space="preserve">二级 </w:t>
            </w:r>
            <w:r>
              <w:rPr>
                <w:rFonts w:ascii="宋体" w:hAnsi="宋体" w:cs="Times New Roman"/>
                <w:kern w:val="0"/>
                <w:sz w:val="18"/>
                <w:szCs w:val="18"/>
              </w:rPr>
              <w:t>□；</w:t>
            </w:r>
            <w:r>
              <w:rPr>
                <w:rFonts w:cs="Times New Roman"/>
                <w:kern w:val="0"/>
                <w:sz w:val="18"/>
                <w:szCs w:val="18"/>
              </w:rPr>
              <w:t xml:space="preserve">三级 </w:t>
            </w:r>
            <w:r>
              <w:rPr>
                <w:rFonts w:ascii="宋体" w:hAnsi="宋体" w:cs="Times New Roman"/>
                <w:kern w:val="0"/>
                <w:sz w:val="18"/>
                <w:szCs w:val="18"/>
              </w:rPr>
              <w:t>□</w:t>
            </w:r>
          </w:p>
        </w:tc>
      </w:tr>
      <w:tr w14:paraId="2DC86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restart"/>
            <w:noWrap/>
            <w:textDirection w:val="tbRlV"/>
            <w:vAlign w:val="center"/>
          </w:tcPr>
          <w:p w14:paraId="532DA839">
            <w:pPr>
              <w:widowControl/>
              <w:adjustRightInd/>
              <w:spacing w:line="240" w:lineRule="auto"/>
              <w:ind w:firstLine="0" w:firstLineChars="0"/>
              <w:jc w:val="center"/>
              <w:rPr>
                <w:rFonts w:cs="Times New Roman"/>
                <w:kern w:val="0"/>
                <w:sz w:val="18"/>
                <w:szCs w:val="18"/>
              </w:rPr>
            </w:pPr>
            <w:r>
              <w:rPr>
                <w:rFonts w:cs="Times New Roman"/>
                <w:kern w:val="0"/>
                <w:sz w:val="18"/>
                <w:szCs w:val="18"/>
              </w:rPr>
              <w:t>现状调查</w:t>
            </w:r>
          </w:p>
        </w:tc>
        <w:tc>
          <w:tcPr>
            <w:tcW w:w="734" w:type="pct"/>
            <w:vMerge w:val="restart"/>
            <w:vAlign w:val="center"/>
          </w:tcPr>
          <w:p w14:paraId="0E83489A">
            <w:pPr>
              <w:widowControl/>
              <w:adjustRightInd/>
              <w:spacing w:line="240" w:lineRule="auto"/>
              <w:ind w:firstLine="0" w:firstLineChars="0"/>
              <w:jc w:val="center"/>
              <w:rPr>
                <w:rFonts w:cs="Times New Roman"/>
                <w:kern w:val="0"/>
                <w:sz w:val="18"/>
                <w:szCs w:val="18"/>
              </w:rPr>
            </w:pPr>
            <w:r>
              <w:rPr>
                <w:rFonts w:cs="Times New Roman"/>
                <w:kern w:val="0"/>
                <w:sz w:val="18"/>
                <w:szCs w:val="18"/>
              </w:rPr>
              <w:t>区域污染源</w:t>
            </w:r>
          </w:p>
        </w:tc>
        <w:tc>
          <w:tcPr>
            <w:tcW w:w="1401" w:type="pct"/>
            <w:gridSpan w:val="5"/>
            <w:noWrap/>
            <w:vAlign w:val="center"/>
          </w:tcPr>
          <w:p w14:paraId="439BA3EE">
            <w:pPr>
              <w:widowControl/>
              <w:adjustRightInd/>
              <w:spacing w:line="240" w:lineRule="auto"/>
              <w:ind w:firstLine="0" w:firstLineChars="0"/>
              <w:jc w:val="center"/>
              <w:rPr>
                <w:rFonts w:cs="Times New Roman"/>
                <w:kern w:val="0"/>
                <w:sz w:val="18"/>
                <w:szCs w:val="18"/>
              </w:rPr>
            </w:pPr>
            <w:r>
              <w:rPr>
                <w:rFonts w:cs="Times New Roman"/>
                <w:kern w:val="0"/>
                <w:sz w:val="18"/>
                <w:szCs w:val="18"/>
              </w:rPr>
              <w:t>调查项目</w:t>
            </w:r>
          </w:p>
        </w:tc>
        <w:tc>
          <w:tcPr>
            <w:tcW w:w="2513" w:type="pct"/>
            <w:gridSpan w:val="7"/>
            <w:noWrap/>
            <w:vAlign w:val="center"/>
          </w:tcPr>
          <w:p w14:paraId="00C17155">
            <w:pPr>
              <w:widowControl/>
              <w:adjustRightInd/>
              <w:spacing w:line="240" w:lineRule="auto"/>
              <w:ind w:firstLine="0" w:firstLineChars="0"/>
              <w:jc w:val="center"/>
              <w:rPr>
                <w:rFonts w:cs="Times New Roman"/>
                <w:kern w:val="0"/>
                <w:sz w:val="18"/>
                <w:szCs w:val="18"/>
              </w:rPr>
            </w:pPr>
            <w:r>
              <w:rPr>
                <w:rFonts w:cs="Times New Roman"/>
                <w:kern w:val="0"/>
                <w:sz w:val="18"/>
                <w:szCs w:val="18"/>
              </w:rPr>
              <w:t>数据来源</w:t>
            </w:r>
          </w:p>
        </w:tc>
      </w:tr>
      <w:tr w14:paraId="5ABC8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4D558CB2">
            <w:pPr>
              <w:widowControl/>
              <w:adjustRightInd/>
              <w:spacing w:line="240" w:lineRule="auto"/>
              <w:ind w:firstLine="0" w:firstLineChars="0"/>
              <w:jc w:val="left"/>
              <w:rPr>
                <w:rFonts w:cs="Times New Roman"/>
                <w:kern w:val="0"/>
                <w:sz w:val="18"/>
                <w:szCs w:val="18"/>
              </w:rPr>
            </w:pPr>
          </w:p>
        </w:tc>
        <w:tc>
          <w:tcPr>
            <w:tcW w:w="734" w:type="pct"/>
            <w:vMerge w:val="continue"/>
            <w:vAlign w:val="center"/>
          </w:tcPr>
          <w:p w14:paraId="04E6F288">
            <w:pPr>
              <w:widowControl/>
              <w:adjustRightInd/>
              <w:spacing w:line="240" w:lineRule="auto"/>
              <w:ind w:firstLine="0" w:firstLineChars="0"/>
              <w:jc w:val="left"/>
              <w:rPr>
                <w:rFonts w:cs="Times New Roman"/>
                <w:kern w:val="0"/>
                <w:sz w:val="18"/>
                <w:szCs w:val="18"/>
              </w:rPr>
            </w:pPr>
          </w:p>
        </w:tc>
        <w:tc>
          <w:tcPr>
            <w:tcW w:w="447" w:type="pct"/>
            <w:gridSpan w:val="2"/>
            <w:vAlign w:val="center"/>
          </w:tcPr>
          <w:p w14:paraId="141FD187">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已建 </w:t>
            </w:r>
            <w:r>
              <w:rPr>
                <w:rFonts w:hint="eastAsia" w:ascii="宋体" w:hAnsi="宋体" w:cs="Times New Roman"/>
                <w:kern w:val="0"/>
                <w:sz w:val="18"/>
                <w:szCs w:val="18"/>
              </w:rPr>
              <w:t>☑</w:t>
            </w:r>
            <w:r>
              <w:rPr>
                <w:rFonts w:ascii="宋体" w:hAnsi="宋体" w:cs="Times New Roman"/>
                <w:kern w:val="0"/>
                <w:sz w:val="18"/>
                <w:szCs w:val="18"/>
              </w:rPr>
              <w:t>；</w:t>
            </w:r>
            <w:r>
              <w:rPr>
                <w:rFonts w:cs="Times New Roman"/>
                <w:kern w:val="0"/>
                <w:sz w:val="18"/>
                <w:szCs w:val="18"/>
              </w:rPr>
              <w:t xml:space="preserve">在建 </w:t>
            </w:r>
            <w:r>
              <w:rPr>
                <w:rFonts w:ascii="宋体" w:hAnsi="宋体" w:cs="Times New Roman"/>
                <w:kern w:val="0"/>
                <w:sz w:val="18"/>
                <w:szCs w:val="18"/>
              </w:rPr>
              <w:t>□；</w:t>
            </w:r>
            <w:r>
              <w:rPr>
                <w:rFonts w:cs="Times New Roman"/>
                <w:kern w:val="0"/>
                <w:sz w:val="18"/>
                <w:szCs w:val="18"/>
              </w:rPr>
              <w:t>拟建</w:t>
            </w:r>
            <w:r>
              <w:rPr>
                <w:rFonts w:hint="eastAsia" w:cs="Times New Roman"/>
                <w:kern w:val="0"/>
                <w:sz w:val="18"/>
                <w:szCs w:val="18"/>
              </w:rPr>
              <w:t xml:space="preserve"> </w:t>
            </w:r>
            <w:r>
              <w:rPr>
                <w:rFonts w:hint="eastAsia" w:ascii="宋体" w:hAnsi="宋体" w:cs="Times New Roman"/>
                <w:kern w:val="0"/>
                <w:sz w:val="18"/>
                <w:szCs w:val="18"/>
              </w:rPr>
              <w:t>☑</w:t>
            </w:r>
            <w:r>
              <w:rPr>
                <w:rFonts w:cs="Times New Roman"/>
                <w:kern w:val="0"/>
                <w:sz w:val="18"/>
                <w:szCs w:val="18"/>
              </w:rPr>
              <w:t xml:space="preserve">；其他 </w:t>
            </w:r>
            <w:r>
              <w:rPr>
                <w:rFonts w:ascii="宋体" w:hAnsi="宋体" w:cs="Times New Roman"/>
                <w:kern w:val="0"/>
                <w:sz w:val="18"/>
                <w:szCs w:val="18"/>
              </w:rPr>
              <w:t>□</w:t>
            </w:r>
          </w:p>
        </w:tc>
        <w:tc>
          <w:tcPr>
            <w:tcW w:w="954" w:type="pct"/>
            <w:gridSpan w:val="3"/>
            <w:vAlign w:val="center"/>
          </w:tcPr>
          <w:p w14:paraId="422E48EA">
            <w:pPr>
              <w:widowControl/>
              <w:adjustRightInd/>
              <w:spacing w:line="240" w:lineRule="auto"/>
              <w:ind w:firstLine="0" w:firstLineChars="0"/>
              <w:jc w:val="left"/>
              <w:rPr>
                <w:rFonts w:cs="Times New Roman"/>
                <w:kern w:val="0"/>
                <w:sz w:val="18"/>
                <w:szCs w:val="18"/>
              </w:rPr>
            </w:pPr>
            <w:r>
              <w:rPr>
                <w:rFonts w:hint="eastAsia" w:cs="Times New Roman"/>
                <w:kern w:val="0"/>
                <w:sz w:val="18"/>
                <w:szCs w:val="18"/>
              </w:rPr>
              <w:t xml:space="preserve">拟替代的污染源 </w:t>
            </w:r>
            <w:r>
              <w:rPr>
                <w:rFonts w:hint="eastAsia" w:ascii="宋体" w:hAnsi="宋体" w:cs="Times New Roman"/>
                <w:kern w:val="0"/>
                <w:sz w:val="18"/>
                <w:szCs w:val="18"/>
              </w:rPr>
              <w:t>☑</w:t>
            </w:r>
          </w:p>
        </w:tc>
        <w:tc>
          <w:tcPr>
            <w:tcW w:w="2513" w:type="pct"/>
            <w:gridSpan w:val="7"/>
            <w:vAlign w:val="center"/>
          </w:tcPr>
          <w:p w14:paraId="08DD6A28">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排污许可证 </w:t>
            </w:r>
            <w:r>
              <w:rPr>
                <w:rFonts w:ascii="宋体" w:hAnsi="宋体" w:cs="Times New Roman"/>
                <w:kern w:val="0"/>
                <w:sz w:val="18"/>
                <w:szCs w:val="18"/>
              </w:rPr>
              <w:t>□；</w:t>
            </w:r>
            <w:r>
              <w:rPr>
                <w:rFonts w:cs="Times New Roman"/>
                <w:kern w:val="0"/>
                <w:sz w:val="18"/>
                <w:szCs w:val="18"/>
              </w:rPr>
              <w:t xml:space="preserve">环评 </w:t>
            </w:r>
            <w:r>
              <w:rPr>
                <w:rFonts w:hint="eastAsia" w:ascii="宋体" w:hAnsi="宋体" w:cs="Times New Roman"/>
                <w:kern w:val="0"/>
                <w:sz w:val="18"/>
                <w:szCs w:val="18"/>
              </w:rPr>
              <w:t>☑</w:t>
            </w:r>
            <w:r>
              <w:rPr>
                <w:rFonts w:ascii="宋体" w:hAnsi="宋体" w:cs="Times New Roman"/>
                <w:kern w:val="0"/>
                <w:sz w:val="18"/>
                <w:szCs w:val="18"/>
              </w:rPr>
              <w:t>；</w:t>
            </w:r>
            <w:r>
              <w:rPr>
                <w:rFonts w:cs="Times New Roman"/>
                <w:kern w:val="0"/>
                <w:sz w:val="18"/>
                <w:szCs w:val="18"/>
              </w:rPr>
              <w:t xml:space="preserve">环保验收 </w:t>
            </w:r>
            <w:r>
              <w:rPr>
                <w:rFonts w:hint="eastAsia" w:ascii="宋体" w:hAnsi="宋体" w:cs="Times New Roman"/>
                <w:kern w:val="0"/>
                <w:sz w:val="18"/>
                <w:szCs w:val="18"/>
              </w:rPr>
              <w:t>☑</w:t>
            </w:r>
            <w:r>
              <w:rPr>
                <w:rFonts w:ascii="宋体" w:hAnsi="宋体" w:cs="Times New Roman"/>
                <w:kern w:val="0"/>
                <w:sz w:val="18"/>
                <w:szCs w:val="18"/>
              </w:rPr>
              <w:t>；</w:t>
            </w:r>
            <w:r>
              <w:rPr>
                <w:rFonts w:cs="Times New Roman"/>
                <w:kern w:val="0"/>
                <w:sz w:val="18"/>
                <w:szCs w:val="18"/>
              </w:rPr>
              <w:t xml:space="preserve">既有实测 </w:t>
            </w:r>
            <w:r>
              <w:rPr>
                <w:rFonts w:ascii="宋体" w:hAnsi="宋体" w:cs="Times New Roman"/>
                <w:kern w:val="0"/>
                <w:sz w:val="18"/>
                <w:szCs w:val="18"/>
              </w:rPr>
              <w:t>□；</w:t>
            </w:r>
            <w:r>
              <w:rPr>
                <w:rFonts w:cs="Times New Roman"/>
                <w:kern w:val="0"/>
                <w:sz w:val="18"/>
                <w:szCs w:val="18"/>
              </w:rPr>
              <w:t xml:space="preserve">现场监测 </w:t>
            </w:r>
            <w:r>
              <w:rPr>
                <w:rFonts w:ascii="宋体" w:hAnsi="宋体" w:cs="Times New Roman"/>
                <w:kern w:val="0"/>
                <w:sz w:val="18"/>
                <w:szCs w:val="18"/>
              </w:rPr>
              <w:t>□；</w:t>
            </w:r>
            <w:r>
              <w:rPr>
                <w:rFonts w:cs="Times New Roman"/>
                <w:kern w:val="0"/>
                <w:sz w:val="18"/>
                <w:szCs w:val="18"/>
              </w:rPr>
              <w:t>入河排</w:t>
            </w:r>
            <w:r>
              <w:rPr>
                <w:rFonts w:hint="eastAsia" w:cs="Times New Roman"/>
                <w:kern w:val="0"/>
                <w:sz w:val="18"/>
                <w:szCs w:val="18"/>
              </w:rPr>
              <w:t>放</w:t>
            </w:r>
            <w:r>
              <w:rPr>
                <w:rFonts w:cs="Times New Roman"/>
                <w:kern w:val="0"/>
                <w:sz w:val="18"/>
                <w:szCs w:val="18"/>
              </w:rPr>
              <w:t xml:space="preserve">口数据 </w:t>
            </w:r>
            <w:r>
              <w:rPr>
                <w:rFonts w:ascii="宋体" w:hAnsi="宋体" w:cs="Times New Roman"/>
                <w:kern w:val="0"/>
                <w:sz w:val="18"/>
                <w:szCs w:val="18"/>
              </w:rPr>
              <w:t>□；</w:t>
            </w:r>
            <w:r>
              <w:rPr>
                <w:rFonts w:cs="Times New Roman"/>
                <w:kern w:val="0"/>
                <w:sz w:val="18"/>
                <w:szCs w:val="18"/>
              </w:rPr>
              <w:t>其他</w:t>
            </w:r>
            <w:r>
              <w:rPr>
                <w:rFonts w:hint="eastAsia" w:cs="Times New Roman"/>
                <w:kern w:val="0"/>
                <w:sz w:val="18"/>
                <w:szCs w:val="18"/>
              </w:rPr>
              <w:t xml:space="preserve"> </w:t>
            </w:r>
            <w:r>
              <w:rPr>
                <w:rFonts w:hint="eastAsia" w:ascii="宋体" w:hAnsi="宋体" w:cs="Times New Roman"/>
                <w:kern w:val="0"/>
                <w:sz w:val="18"/>
                <w:szCs w:val="18"/>
              </w:rPr>
              <w:t>☑</w:t>
            </w:r>
          </w:p>
        </w:tc>
      </w:tr>
      <w:tr w14:paraId="1B582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42272E9A">
            <w:pPr>
              <w:widowControl/>
              <w:adjustRightInd/>
              <w:spacing w:line="240" w:lineRule="auto"/>
              <w:ind w:firstLine="0" w:firstLineChars="0"/>
              <w:jc w:val="left"/>
              <w:rPr>
                <w:rFonts w:cs="Times New Roman"/>
                <w:kern w:val="0"/>
                <w:sz w:val="18"/>
                <w:szCs w:val="18"/>
              </w:rPr>
            </w:pPr>
          </w:p>
        </w:tc>
        <w:tc>
          <w:tcPr>
            <w:tcW w:w="734" w:type="pct"/>
            <w:vMerge w:val="restart"/>
            <w:vAlign w:val="center"/>
          </w:tcPr>
          <w:p w14:paraId="1836C0D7">
            <w:pPr>
              <w:widowControl/>
              <w:adjustRightInd/>
              <w:spacing w:line="240" w:lineRule="auto"/>
              <w:ind w:firstLine="0" w:firstLineChars="0"/>
              <w:jc w:val="center"/>
              <w:rPr>
                <w:rFonts w:cs="Times New Roman"/>
                <w:kern w:val="0"/>
                <w:sz w:val="18"/>
                <w:szCs w:val="18"/>
              </w:rPr>
            </w:pPr>
            <w:r>
              <w:rPr>
                <w:rFonts w:cs="Times New Roman"/>
                <w:kern w:val="0"/>
                <w:sz w:val="18"/>
                <w:szCs w:val="18"/>
              </w:rPr>
              <w:t>受影响水体水环境质量　</w:t>
            </w:r>
          </w:p>
        </w:tc>
        <w:tc>
          <w:tcPr>
            <w:tcW w:w="1401" w:type="pct"/>
            <w:gridSpan w:val="5"/>
            <w:noWrap/>
            <w:vAlign w:val="center"/>
          </w:tcPr>
          <w:p w14:paraId="3F38F7D1">
            <w:pPr>
              <w:widowControl/>
              <w:adjustRightInd/>
              <w:spacing w:line="240" w:lineRule="auto"/>
              <w:ind w:firstLine="0" w:firstLineChars="0"/>
              <w:jc w:val="center"/>
              <w:rPr>
                <w:rFonts w:cs="Times New Roman"/>
                <w:kern w:val="0"/>
                <w:sz w:val="18"/>
                <w:szCs w:val="18"/>
              </w:rPr>
            </w:pPr>
            <w:r>
              <w:rPr>
                <w:rFonts w:cs="Times New Roman"/>
                <w:kern w:val="0"/>
                <w:sz w:val="18"/>
                <w:szCs w:val="18"/>
              </w:rPr>
              <w:t>调查时期</w:t>
            </w:r>
          </w:p>
        </w:tc>
        <w:tc>
          <w:tcPr>
            <w:tcW w:w="2513" w:type="pct"/>
            <w:gridSpan w:val="7"/>
            <w:noWrap/>
            <w:vAlign w:val="center"/>
          </w:tcPr>
          <w:p w14:paraId="779883C4">
            <w:pPr>
              <w:widowControl/>
              <w:adjustRightInd/>
              <w:spacing w:line="240" w:lineRule="auto"/>
              <w:ind w:firstLine="0" w:firstLineChars="0"/>
              <w:jc w:val="center"/>
              <w:rPr>
                <w:rFonts w:cs="Times New Roman"/>
                <w:kern w:val="0"/>
                <w:sz w:val="18"/>
                <w:szCs w:val="18"/>
              </w:rPr>
            </w:pPr>
            <w:r>
              <w:rPr>
                <w:rFonts w:cs="Times New Roman"/>
                <w:kern w:val="0"/>
                <w:sz w:val="18"/>
                <w:szCs w:val="18"/>
              </w:rPr>
              <w:t>数据来源</w:t>
            </w:r>
          </w:p>
        </w:tc>
      </w:tr>
      <w:tr w14:paraId="6EEAB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6CF8E422">
            <w:pPr>
              <w:widowControl/>
              <w:adjustRightInd/>
              <w:spacing w:line="240" w:lineRule="auto"/>
              <w:ind w:firstLine="0" w:firstLineChars="0"/>
              <w:jc w:val="left"/>
              <w:rPr>
                <w:rFonts w:cs="Times New Roman"/>
                <w:kern w:val="0"/>
                <w:sz w:val="18"/>
                <w:szCs w:val="18"/>
              </w:rPr>
            </w:pPr>
          </w:p>
        </w:tc>
        <w:tc>
          <w:tcPr>
            <w:tcW w:w="734" w:type="pct"/>
            <w:vMerge w:val="continue"/>
            <w:vAlign w:val="center"/>
          </w:tcPr>
          <w:p w14:paraId="6FB2F234">
            <w:pPr>
              <w:widowControl/>
              <w:adjustRightInd/>
              <w:spacing w:line="240" w:lineRule="auto"/>
              <w:ind w:firstLine="0" w:firstLineChars="0"/>
              <w:jc w:val="center"/>
              <w:rPr>
                <w:rFonts w:cs="Times New Roman"/>
                <w:kern w:val="0"/>
                <w:sz w:val="18"/>
                <w:szCs w:val="18"/>
              </w:rPr>
            </w:pPr>
          </w:p>
        </w:tc>
        <w:tc>
          <w:tcPr>
            <w:tcW w:w="1401" w:type="pct"/>
            <w:gridSpan w:val="5"/>
            <w:vAlign w:val="center"/>
          </w:tcPr>
          <w:p w14:paraId="0FE9D0B8">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cs="Times New Roman"/>
                <w:kern w:val="0"/>
                <w:sz w:val="18"/>
                <w:szCs w:val="18"/>
              </w:rPr>
              <w:t xml:space="preserve">丰水期 </w:t>
            </w:r>
            <w:r>
              <w:rPr>
                <w:rFonts w:ascii="宋体" w:hAnsi="宋体" w:cs="Times New Roman"/>
                <w:kern w:val="0"/>
                <w:sz w:val="18"/>
                <w:szCs w:val="18"/>
              </w:rPr>
              <w:t>□；</w:t>
            </w:r>
            <w:r>
              <w:rPr>
                <w:rFonts w:cs="Times New Roman"/>
                <w:kern w:val="0"/>
                <w:sz w:val="18"/>
                <w:szCs w:val="18"/>
              </w:rPr>
              <w:t xml:space="preserve">平水期 </w:t>
            </w:r>
            <w:r>
              <w:rPr>
                <w:rFonts w:ascii="宋体" w:hAnsi="宋体" w:cs="Times New Roman"/>
                <w:kern w:val="0"/>
                <w:sz w:val="18"/>
                <w:szCs w:val="18"/>
              </w:rPr>
              <w:t>□；</w:t>
            </w:r>
            <w:r>
              <w:rPr>
                <w:rFonts w:cs="Times New Roman"/>
                <w:kern w:val="0"/>
                <w:sz w:val="18"/>
                <w:szCs w:val="18"/>
              </w:rPr>
              <w:t xml:space="preserve">枯水期 </w:t>
            </w:r>
            <w:r>
              <w:rPr>
                <w:rFonts w:hint="eastAsia" w:ascii="宋体" w:hAnsi="宋体" w:cs="Times New Roman"/>
                <w:kern w:val="0"/>
                <w:sz w:val="18"/>
                <w:szCs w:val="18"/>
              </w:rPr>
              <w:t>☑</w:t>
            </w:r>
            <w:r>
              <w:rPr>
                <w:rFonts w:ascii="宋体" w:hAnsi="宋体" w:cs="Times New Roman"/>
                <w:kern w:val="0"/>
                <w:sz w:val="18"/>
                <w:szCs w:val="18"/>
              </w:rPr>
              <w:t>；</w:t>
            </w:r>
            <w:r>
              <w:rPr>
                <w:rFonts w:cs="Times New Roman"/>
                <w:kern w:val="0"/>
                <w:sz w:val="18"/>
                <w:szCs w:val="18"/>
              </w:rPr>
              <w:t xml:space="preserve">冰封期 </w:t>
            </w:r>
            <w:r>
              <w:rPr>
                <w:rFonts w:ascii="宋体" w:hAnsi="宋体" w:cs="Times New Roman"/>
                <w:kern w:val="0"/>
                <w:sz w:val="18"/>
                <w:szCs w:val="18"/>
              </w:rPr>
              <w:t>□</w:t>
            </w:r>
          </w:p>
          <w:p w14:paraId="011742DC">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春季 </w:t>
            </w:r>
            <w:r>
              <w:rPr>
                <w:rFonts w:ascii="宋体" w:hAnsi="宋体" w:cs="Times New Roman"/>
                <w:kern w:val="0"/>
                <w:sz w:val="18"/>
                <w:szCs w:val="18"/>
              </w:rPr>
              <w:t>□；</w:t>
            </w:r>
            <w:r>
              <w:rPr>
                <w:rFonts w:cs="Times New Roman"/>
                <w:kern w:val="0"/>
                <w:sz w:val="18"/>
                <w:szCs w:val="18"/>
              </w:rPr>
              <w:t xml:space="preserve">夏季 </w:t>
            </w:r>
            <w:r>
              <w:rPr>
                <w:rFonts w:ascii="宋体" w:hAnsi="宋体" w:cs="Times New Roman"/>
                <w:kern w:val="0"/>
                <w:sz w:val="18"/>
                <w:szCs w:val="18"/>
              </w:rPr>
              <w:t>□；</w:t>
            </w:r>
            <w:r>
              <w:rPr>
                <w:rFonts w:cs="Times New Roman"/>
                <w:kern w:val="0"/>
                <w:sz w:val="18"/>
                <w:szCs w:val="18"/>
              </w:rPr>
              <w:t xml:space="preserve">秋季 </w:t>
            </w:r>
            <w:r>
              <w:rPr>
                <w:rFonts w:hint="eastAsia" w:ascii="宋体" w:hAnsi="宋体" w:cs="Times New Roman"/>
                <w:kern w:val="0"/>
                <w:sz w:val="18"/>
                <w:szCs w:val="18"/>
              </w:rPr>
              <w:t>☑</w:t>
            </w:r>
            <w:r>
              <w:rPr>
                <w:rFonts w:ascii="宋体" w:hAnsi="宋体" w:cs="Times New Roman"/>
                <w:kern w:val="0"/>
                <w:sz w:val="18"/>
                <w:szCs w:val="18"/>
              </w:rPr>
              <w:t>；</w:t>
            </w:r>
            <w:r>
              <w:rPr>
                <w:rFonts w:cs="Times New Roman"/>
                <w:kern w:val="0"/>
                <w:sz w:val="18"/>
                <w:szCs w:val="18"/>
              </w:rPr>
              <w:t xml:space="preserve">冬季 </w:t>
            </w:r>
            <w:r>
              <w:rPr>
                <w:rFonts w:ascii="宋体" w:hAnsi="宋体" w:cs="Times New Roman"/>
                <w:kern w:val="0"/>
                <w:sz w:val="18"/>
                <w:szCs w:val="18"/>
              </w:rPr>
              <w:t>□</w:t>
            </w:r>
          </w:p>
        </w:tc>
        <w:tc>
          <w:tcPr>
            <w:tcW w:w="2513" w:type="pct"/>
            <w:gridSpan w:val="7"/>
            <w:noWrap/>
            <w:vAlign w:val="center"/>
          </w:tcPr>
          <w:p w14:paraId="7897CFAD">
            <w:pPr>
              <w:widowControl/>
              <w:adjustRightInd/>
              <w:spacing w:line="240" w:lineRule="auto"/>
              <w:ind w:firstLine="0" w:firstLineChars="0"/>
              <w:jc w:val="center"/>
              <w:rPr>
                <w:rFonts w:cs="Times New Roman"/>
                <w:kern w:val="0"/>
                <w:sz w:val="18"/>
                <w:szCs w:val="18"/>
              </w:rPr>
            </w:pPr>
            <w:r>
              <w:rPr>
                <w:rFonts w:hint="eastAsia" w:cs="Times New Roman"/>
                <w:kern w:val="0"/>
                <w:sz w:val="18"/>
                <w:szCs w:val="18"/>
              </w:rPr>
              <w:t>生态</w:t>
            </w:r>
            <w:r>
              <w:rPr>
                <w:rFonts w:cs="Times New Roman"/>
                <w:kern w:val="0"/>
                <w:sz w:val="18"/>
                <w:szCs w:val="18"/>
              </w:rPr>
              <w:t xml:space="preserve">环境保护主管部门 </w:t>
            </w:r>
            <w:r>
              <w:rPr>
                <w:rFonts w:ascii="宋体" w:hAnsi="宋体" w:cs="Times New Roman"/>
                <w:kern w:val="0"/>
                <w:sz w:val="18"/>
                <w:szCs w:val="18"/>
              </w:rPr>
              <w:t>□；</w:t>
            </w:r>
            <w:r>
              <w:rPr>
                <w:rFonts w:cs="Times New Roman"/>
                <w:kern w:val="0"/>
                <w:sz w:val="18"/>
                <w:szCs w:val="18"/>
              </w:rPr>
              <w:t xml:space="preserve">补充监测 </w:t>
            </w:r>
            <w:r>
              <w:rPr>
                <w:rFonts w:ascii="宋体" w:hAnsi="宋体" w:cs="Times New Roman"/>
                <w:kern w:val="0"/>
                <w:sz w:val="18"/>
                <w:szCs w:val="18"/>
              </w:rPr>
              <w:t>□；</w:t>
            </w:r>
            <w:r>
              <w:rPr>
                <w:rFonts w:cs="Times New Roman"/>
                <w:kern w:val="0"/>
                <w:sz w:val="18"/>
                <w:szCs w:val="18"/>
              </w:rPr>
              <w:t xml:space="preserve">其他 </w:t>
            </w:r>
            <w:r>
              <w:rPr>
                <w:rFonts w:hint="eastAsia" w:ascii="宋体" w:hAnsi="宋体" w:cs="Times New Roman"/>
                <w:kern w:val="0"/>
                <w:sz w:val="18"/>
                <w:szCs w:val="18"/>
              </w:rPr>
              <w:t>☑</w:t>
            </w:r>
          </w:p>
        </w:tc>
      </w:tr>
      <w:tr w14:paraId="314D0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71C85C1A">
            <w:pPr>
              <w:widowControl/>
              <w:adjustRightInd/>
              <w:spacing w:line="240" w:lineRule="auto"/>
              <w:ind w:firstLine="0" w:firstLineChars="0"/>
              <w:jc w:val="left"/>
              <w:rPr>
                <w:rFonts w:cs="Times New Roman"/>
                <w:kern w:val="0"/>
                <w:sz w:val="18"/>
                <w:szCs w:val="18"/>
              </w:rPr>
            </w:pPr>
          </w:p>
        </w:tc>
        <w:tc>
          <w:tcPr>
            <w:tcW w:w="734" w:type="pct"/>
            <w:vAlign w:val="center"/>
          </w:tcPr>
          <w:p w14:paraId="5D13570B">
            <w:pPr>
              <w:widowControl/>
              <w:adjustRightInd/>
              <w:spacing w:line="240" w:lineRule="auto"/>
              <w:ind w:firstLine="0" w:firstLineChars="0"/>
              <w:jc w:val="center"/>
              <w:rPr>
                <w:rFonts w:cs="Times New Roman"/>
                <w:kern w:val="0"/>
                <w:sz w:val="18"/>
                <w:szCs w:val="18"/>
              </w:rPr>
            </w:pPr>
            <w:r>
              <w:rPr>
                <w:rFonts w:cs="Times New Roman"/>
                <w:kern w:val="0"/>
                <w:sz w:val="18"/>
                <w:szCs w:val="18"/>
              </w:rPr>
              <w:t>区域水资源开发利用状况</w:t>
            </w:r>
          </w:p>
        </w:tc>
        <w:tc>
          <w:tcPr>
            <w:tcW w:w="3914" w:type="pct"/>
            <w:gridSpan w:val="12"/>
            <w:noWrap/>
            <w:vAlign w:val="center"/>
          </w:tcPr>
          <w:p w14:paraId="5B99DF7A">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未开发 </w:t>
            </w:r>
            <w:r>
              <w:rPr>
                <w:rFonts w:ascii="宋体" w:hAnsi="宋体" w:cs="Times New Roman"/>
                <w:kern w:val="0"/>
                <w:sz w:val="18"/>
                <w:szCs w:val="18"/>
              </w:rPr>
              <w:t>□；</w:t>
            </w:r>
            <w:r>
              <w:rPr>
                <w:rFonts w:cs="Times New Roman"/>
                <w:kern w:val="0"/>
                <w:sz w:val="18"/>
                <w:szCs w:val="18"/>
              </w:rPr>
              <w:t xml:space="preserve">开发量40%以下 </w:t>
            </w:r>
            <w:r>
              <w:rPr>
                <w:rFonts w:hint="eastAsia" w:ascii="宋体" w:hAnsi="宋体" w:cs="Times New Roman"/>
                <w:kern w:val="0"/>
                <w:sz w:val="18"/>
                <w:szCs w:val="18"/>
              </w:rPr>
              <w:t>☑</w:t>
            </w:r>
            <w:r>
              <w:rPr>
                <w:rFonts w:ascii="宋体" w:hAnsi="宋体" w:cs="Times New Roman"/>
                <w:kern w:val="0"/>
                <w:sz w:val="18"/>
                <w:szCs w:val="18"/>
              </w:rPr>
              <w:t>；</w:t>
            </w:r>
            <w:r>
              <w:rPr>
                <w:rFonts w:cs="Times New Roman"/>
                <w:kern w:val="0"/>
                <w:sz w:val="18"/>
                <w:szCs w:val="18"/>
              </w:rPr>
              <w:t xml:space="preserve">开发量40%以上 </w:t>
            </w:r>
            <w:r>
              <w:rPr>
                <w:rFonts w:ascii="宋体" w:hAnsi="宋体" w:cs="Times New Roman"/>
                <w:kern w:val="0"/>
                <w:sz w:val="18"/>
                <w:szCs w:val="18"/>
              </w:rPr>
              <w:t>□</w:t>
            </w:r>
          </w:p>
        </w:tc>
      </w:tr>
      <w:tr w14:paraId="2DEFE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16460D57">
            <w:pPr>
              <w:widowControl/>
              <w:adjustRightInd/>
              <w:spacing w:line="240" w:lineRule="auto"/>
              <w:ind w:firstLine="0" w:firstLineChars="0"/>
              <w:jc w:val="left"/>
              <w:rPr>
                <w:rFonts w:cs="Times New Roman"/>
                <w:kern w:val="0"/>
                <w:sz w:val="18"/>
                <w:szCs w:val="18"/>
              </w:rPr>
            </w:pPr>
          </w:p>
        </w:tc>
        <w:tc>
          <w:tcPr>
            <w:tcW w:w="734" w:type="pct"/>
            <w:vMerge w:val="restart"/>
            <w:vAlign w:val="center"/>
          </w:tcPr>
          <w:p w14:paraId="6A5B336D">
            <w:pPr>
              <w:widowControl/>
              <w:adjustRightInd/>
              <w:spacing w:line="240" w:lineRule="auto"/>
              <w:ind w:firstLine="0" w:firstLineChars="0"/>
              <w:jc w:val="center"/>
              <w:rPr>
                <w:rFonts w:cs="Times New Roman"/>
                <w:kern w:val="0"/>
                <w:sz w:val="18"/>
                <w:szCs w:val="18"/>
              </w:rPr>
            </w:pPr>
            <w:r>
              <w:rPr>
                <w:rFonts w:cs="Times New Roman"/>
                <w:kern w:val="0"/>
                <w:sz w:val="18"/>
                <w:szCs w:val="18"/>
              </w:rPr>
              <w:t>水文情势调查　</w:t>
            </w:r>
          </w:p>
        </w:tc>
        <w:tc>
          <w:tcPr>
            <w:tcW w:w="1401" w:type="pct"/>
            <w:gridSpan w:val="5"/>
            <w:noWrap/>
            <w:vAlign w:val="center"/>
          </w:tcPr>
          <w:p w14:paraId="6CBFB9AB">
            <w:pPr>
              <w:widowControl/>
              <w:adjustRightInd/>
              <w:spacing w:line="240" w:lineRule="auto"/>
              <w:ind w:firstLine="0" w:firstLineChars="0"/>
              <w:jc w:val="center"/>
              <w:rPr>
                <w:rFonts w:cs="Times New Roman"/>
                <w:kern w:val="0"/>
                <w:sz w:val="18"/>
                <w:szCs w:val="18"/>
              </w:rPr>
            </w:pPr>
            <w:r>
              <w:rPr>
                <w:rFonts w:cs="Times New Roman"/>
                <w:kern w:val="0"/>
                <w:sz w:val="18"/>
                <w:szCs w:val="18"/>
              </w:rPr>
              <w:t>调查时期</w:t>
            </w:r>
          </w:p>
        </w:tc>
        <w:tc>
          <w:tcPr>
            <w:tcW w:w="2513" w:type="pct"/>
            <w:gridSpan w:val="7"/>
            <w:noWrap/>
            <w:vAlign w:val="center"/>
          </w:tcPr>
          <w:p w14:paraId="1FD294EC">
            <w:pPr>
              <w:widowControl/>
              <w:adjustRightInd/>
              <w:spacing w:line="240" w:lineRule="auto"/>
              <w:ind w:firstLine="0" w:firstLineChars="0"/>
              <w:jc w:val="center"/>
              <w:rPr>
                <w:rFonts w:cs="Times New Roman"/>
                <w:kern w:val="0"/>
                <w:sz w:val="18"/>
                <w:szCs w:val="18"/>
              </w:rPr>
            </w:pPr>
            <w:r>
              <w:rPr>
                <w:rFonts w:cs="Times New Roman"/>
                <w:kern w:val="0"/>
                <w:sz w:val="18"/>
                <w:szCs w:val="18"/>
              </w:rPr>
              <w:t>数据来源</w:t>
            </w:r>
          </w:p>
        </w:tc>
      </w:tr>
      <w:tr w14:paraId="032E4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33916A6A">
            <w:pPr>
              <w:widowControl/>
              <w:adjustRightInd/>
              <w:spacing w:line="240" w:lineRule="auto"/>
              <w:ind w:firstLine="0" w:firstLineChars="0"/>
              <w:jc w:val="left"/>
              <w:rPr>
                <w:rFonts w:cs="Times New Roman"/>
                <w:kern w:val="0"/>
                <w:sz w:val="18"/>
                <w:szCs w:val="18"/>
              </w:rPr>
            </w:pPr>
          </w:p>
        </w:tc>
        <w:tc>
          <w:tcPr>
            <w:tcW w:w="734" w:type="pct"/>
            <w:vMerge w:val="continue"/>
            <w:vAlign w:val="center"/>
          </w:tcPr>
          <w:p w14:paraId="2B49A2EB">
            <w:pPr>
              <w:widowControl/>
              <w:adjustRightInd/>
              <w:spacing w:line="240" w:lineRule="auto"/>
              <w:ind w:firstLine="0" w:firstLineChars="0"/>
              <w:jc w:val="center"/>
              <w:rPr>
                <w:rFonts w:cs="Times New Roman"/>
                <w:kern w:val="0"/>
                <w:sz w:val="18"/>
                <w:szCs w:val="18"/>
              </w:rPr>
            </w:pPr>
          </w:p>
        </w:tc>
        <w:tc>
          <w:tcPr>
            <w:tcW w:w="1401" w:type="pct"/>
            <w:gridSpan w:val="5"/>
            <w:vAlign w:val="center"/>
          </w:tcPr>
          <w:p w14:paraId="1CD95666">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cs="Times New Roman"/>
                <w:kern w:val="0"/>
                <w:sz w:val="18"/>
                <w:szCs w:val="18"/>
              </w:rPr>
              <w:t xml:space="preserve">丰水期 </w:t>
            </w:r>
            <w:r>
              <w:rPr>
                <w:rFonts w:hint="eastAsia" w:ascii="宋体" w:hAnsi="宋体" w:cs="Times New Roman"/>
                <w:kern w:val="0"/>
                <w:sz w:val="18"/>
                <w:szCs w:val="18"/>
              </w:rPr>
              <w:t>□</w:t>
            </w:r>
            <w:r>
              <w:rPr>
                <w:rFonts w:ascii="宋体" w:hAnsi="宋体" w:cs="Times New Roman"/>
                <w:kern w:val="0"/>
                <w:sz w:val="18"/>
                <w:szCs w:val="18"/>
              </w:rPr>
              <w:t>；</w:t>
            </w:r>
            <w:r>
              <w:rPr>
                <w:rFonts w:cs="Times New Roman"/>
                <w:kern w:val="0"/>
                <w:sz w:val="18"/>
                <w:szCs w:val="18"/>
              </w:rPr>
              <w:t xml:space="preserve">平水期 </w:t>
            </w:r>
            <w:r>
              <w:rPr>
                <w:rFonts w:ascii="宋体" w:hAnsi="宋体" w:cs="Times New Roman"/>
                <w:kern w:val="0"/>
                <w:sz w:val="18"/>
                <w:szCs w:val="18"/>
              </w:rPr>
              <w:t>□；</w:t>
            </w:r>
            <w:r>
              <w:rPr>
                <w:rFonts w:cs="Times New Roman"/>
                <w:kern w:val="0"/>
                <w:sz w:val="18"/>
                <w:szCs w:val="18"/>
              </w:rPr>
              <w:t xml:space="preserve">枯水期 </w:t>
            </w:r>
            <w:r>
              <w:rPr>
                <w:rFonts w:ascii="宋体" w:hAnsi="宋体" w:cs="Times New Roman"/>
                <w:kern w:val="0"/>
                <w:sz w:val="18"/>
                <w:szCs w:val="18"/>
              </w:rPr>
              <w:t>□；</w:t>
            </w:r>
            <w:r>
              <w:rPr>
                <w:rFonts w:cs="Times New Roman"/>
                <w:kern w:val="0"/>
                <w:sz w:val="18"/>
                <w:szCs w:val="18"/>
              </w:rPr>
              <w:t xml:space="preserve">冰封期 </w:t>
            </w:r>
            <w:r>
              <w:rPr>
                <w:rFonts w:ascii="宋体" w:hAnsi="宋体" w:cs="Times New Roman"/>
                <w:kern w:val="0"/>
                <w:sz w:val="18"/>
                <w:szCs w:val="18"/>
              </w:rPr>
              <w:t>□</w:t>
            </w:r>
          </w:p>
          <w:p w14:paraId="5F91DB0A">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春季 </w:t>
            </w:r>
            <w:r>
              <w:rPr>
                <w:rFonts w:ascii="宋体" w:hAnsi="宋体" w:cs="Times New Roman"/>
                <w:kern w:val="0"/>
                <w:sz w:val="18"/>
                <w:szCs w:val="18"/>
              </w:rPr>
              <w:t>□；</w:t>
            </w:r>
            <w:r>
              <w:rPr>
                <w:rFonts w:cs="Times New Roman"/>
                <w:kern w:val="0"/>
                <w:sz w:val="18"/>
                <w:szCs w:val="18"/>
              </w:rPr>
              <w:t xml:space="preserve">夏季 </w:t>
            </w:r>
            <w:r>
              <w:rPr>
                <w:rFonts w:hint="eastAsia" w:ascii="宋体" w:hAnsi="宋体" w:cs="Times New Roman"/>
                <w:kern w:val="0"/>
                <w:sz w:val="18"/>
                <w:szCs w:val="18"/>
              </w:rPr>
              <w:t>□</w:t>
            </w:r>
            <w:r>
              <w:rPr>
                <w:rFonts w:ascii="宋体" w:hAnsi="宋体" w:cs="Times New Roman"/>
                <w:kern w:val="0"/>
                <w:sz w:val="18"/>
                <w:szCs w:val="18"/>
              </w:rPr>
              <w:t>；</w:t>
            </w:r>
            <w:r>
              <w:rPr>
                <w:rFonts w:cs="Times New Roman"/>
                <w:kern w:val="0"/>
                <w:sz w:val="18"/>
                <w:szCs w:val="18"/>
              </w:rPr>
              <w:t xml:space="preserve">秋季 </w:t>
            </w:r>
            <w:r>
              <w:rPr>
                <w:rFonts w:hint="eastAsia" w:ascii="宋体" w:hAnsi="宋体" w:cs="Times New Roman"/>
                <w:kern w:val="0"/>
                <w:sz w:val="18"/>
                <w:szCs w:val="18"/>
              </w:rPr>
              <w:t>□</w:t>
            </w:r>
            <w:r>
              <w:rPr>
                <w:rFonts w:ascii="宋体" w:hAnsi="宋体" w:cs="Times New Roman"/>
                <w:kern w:val="0"/>
                <w:sz w:val="18"/>
                <w:szCs w:val="18"/>
              </w:rPr>
              <w:t>；</w:t>
            </w:r>
            <w:r>
              <w:rPr>
                <w:rFonts w:cs="Times New Roman"/>
                <w:kern w:val="0"/>
                <w:sz w:val="18"/>
                <w:szCs w:val="18"/>
              </w:rPr>
              <w:t xml:space="preserve">冬季 </w:t>
            </w:r>
            <w:r>
              <w:rPr>
                <w:rFonts w:ascii="宋体" w:hAnsi="宋体" w:cs="Times New Roman"/>
                <w:kern w:val="0"/>
                <w:sz w:val="18"/>
                <w:szCs w:val="18"/>
              </w:rPr>
              <w:t>□</w:t>
            </w:r>
          </w:p>
        </w:tc>
        <w:tc>
          <w:tcPr>
            <w:tcW w:w="2513" w:type="pct"/>
            <w:gridSpan w:val="7"/>
            <w:noWrap/>
            <w:vAlign w:val="center"/>
          </w:tcPr>
          <w:p w14:paraId="1563ADA8">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水行政主管部门 </w:t>
            </w:r>
            <w:r>
              <w:rPr>
                <w:rFonts w:ascii="宋体" w:hAnsi="宋体" w:cs="Times New Roman"/>
                <w:kern w:val="0"/>
                <w:sz w:val="18"/>
                <w:szCs w:val="18"/>
              </w:rPr>
              <w:t>□；</w:t>
            </w:r>
            <w:r>
              <w:rPr>
                <w:rFonts w:cs="Times New Roman"/>
                <w:kern w:val="0"/>
                <w:sz w:val="18"/>
                <w:szCs w:val="18"/>
              </w:rPr>
              <w:t xml:space="preserve">补充监测 </w:t>
            </w:r>
            <w:r>
              <w:rPr>
                <w:rFonts w:hint="eastAsia" w:ascii="宋体" w:hAnsi="宋体" w:cs="Times New Roman"/>
                <w:kern w:val="0"/>
                <w:sz w:val="18"/>
                <w:szCs w:val="18"/>
              </w:rPr>
              <w:t>□</w:t>
            </w:r>
            <w:r>
              <w:rPr>
                <w:rFonts w:ascii="宋体" w:hAnsi="宋体" w:cs="Times New Roman"/>
                <w:kern w:val="0"/>
                <w:sz w:val="18"/>
                <w:szCs w:val="18"/>
              </w:rPr>
              <w:t>；</w:t>
            </w:r>
            <w:r>
              <w:rPr>
                <w:rFonts w:cs="Times New Roman"/>
                <w:kern w:val="0"/>
                <w:sz w:val="18"/>
                <w:szCs w:val="18"/>
              </w:rPr>
              <w:t xml:space="preserve">其他 </w:t>
            </w:r>
            <w:r>
              <w:rPr>
                <w:rFonts w:ascii="宋体" w:hAnsi="宋体" w:cs="Times New Roman"/>
                <w:kern w:val="0"/>
                <w:sz w:val="18"/>
                <w:szCs w:val="18"/>
              </w:rPr>
              <w:t>□</w:t>
            </w:r>
          </w:p>
        </w:tc>
      </w:tr>
      <w:tr w14:paraId="7C556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27A4EF70">
            <w:pPr>
              <w:widowControl/>
              <w:adjustRightInd/>
              <w:spacing w:line="240" w:lineRule="auto"/>
              <w:ind w:firstLine="0" w:firstLineChars="0"/>
              <w:jc w:val="left"/>
              <w:rPr>
                <w:rFonts w:cs="Times New Roman"/>
                <w:kern w:val="0"/>
                <w:sz w:val="18"/>
                <w:szCs w:val="18"/>
              </w:rPr>
            </w:pPr>
          </w:p>
        </w:tc>
        <w:tc>
          <w:tcPr>
            <w:tcW w:w="734" w:type="pct"/>
            <w:vMerge w:val="restart"/>
            <w:vAlign w:val="center"/>
          </w:tcPr>
          <w:p w14:paraId="4006DCF1">
            <w:pPr>
              <w:widowControl/>
              <w:adjustRightInd/>
              <w:spacing w:line="240" w:lineRule="auto"/>
              <w:ind w:firstLine="0" w:firstLineChars="0"/>
              <w:jc w:val="center"/>
              <w:rPr>
                <w:rFonts w:cs="Times New Roman"/>
                <w:kern w:val="0"/>
                <w:sz w:val="18"/>
                <w:szCs w:val="18"/>
              </w:rPr>
            </w:pPr>
            <w:r>
              <w:rPr>
                <w:rFonts w:cs="Times New Roman"/>
                <w:kern w:val="0"/>
                <w:sz w:val="18"/>
                <w:szCs w:val="18"/>
              </w:rPr>
              <w:t>补充监测　</w:t>
            </w:r>
          </w:p>
        </w:tc>
        <w:tc>
          <w:tcPr>
            <w:tcW w:w="1401" w:type="pct"/>
            <w:gridSpan w:val="5"/>
            <w:vAlign w:val="center"/>
          </w:tcPr>
          <w:p w14:paraId="0738155F">
            <w:pPr>
              <w:widowControl/>
              <w:adjustRightInd/>
              <w:spacing w:line="240" w:lineRule="auto"/>
              <w:ind w:firstLine="0" w:firstLineChars="0"/>
              <w:jc w:val="center"/>
              <w:rPr>
                <w:rFonts w:cs="Times New Roman"/>
                <w:kern w:val="0"/>
                <w:sz w:val="18"/>
                <w:szCs w:val="18"/>
              </w:rPr>
            </w:pPr>
            <w:r>
              <w:rPr>
                <w:rFonts w:cs="Times New Roman"/>
                <w:kern w:val="0"/>
                <w:sz w:val="18"/>
                <w:szCs w:val="18"/>
              </w:rPr>
              <w:t>监测时期</w:t>
            </w:r>
          </w:p>
        </w:tc>
        <w:tc>
          <w:tcPr>
            <w:tcW w:w="1409" w:type="pct"/>
            <w:gridSpan w:val="4"/>
            <w:noWrap/>
            <w:vAlign w:val="center"/>
          </w:tcPr>
          <w:p w14:paraId="3F11AFBD">
            <w:pPr>
              <w:widowControl/>
              <w:adjustRightInd/>
              <w:spacing w:line="240" w:lineRule="auto"/>
              <w:ind w:firstLine="0" w:firstLineChars="0"/>
              <w:jc w:val="center"/>
              <w:rPr>
                <w:rFonts w:cs="Times New Roman"/>
                <w:kern w:val="0"/>
                <w:sz w:val="18"/>
                <w:szCs w:val="18"/>
              </w:rPr>
            </w:pPr>
            <w:r>
              <w:rPr>
                <w:rFonts w:cs="Times New Roman"/>
                <w:kern w:val="0"/>
                <w:sz w:val="18"/>
                <w:szCs w:val="18"/>
              </w:rPr>
              <w:t>监测因子</w:t>
            </w:r>
          </w:p>
        </w:tc>
        <w:tc>
          <w:tcPr>
            <w:tcW w:w="1103" w:type="pct"/>
            <w:gridSpan w:val="3"/>
            <w:noWrap/>
            <w:vAlign w:val="center"/>
          </w:tcPr>
          <w:p w14:paraId="3E194961">
            <w:pPr>
              <w:widowControl/>
              <w:adjustRightInd/>
              <w:spacing w:line="240" w:lineRule="auto"/>
              <w:ind w:firstLine="0" w:firstLineChars="0"/>
              <w:jc w:val="center"/>
              <w:rPr>
                <w:rFonts w:cs="Times New Roman"/>
                <w:kern w:val="0"/>
                <w:sz w:val="18"/>
                <w:szCs w:val="18"/>
              </w:rPr>
            </w:pPr>
            <w:r>
              <w:rPr>
                <w:rFonts w:cs="Times New Roman"/>
                <w:kern w:val="0"/>
                <w:sz w:val="18"/>
                <w:szCs w:val="18"/>
              </w:rPr>
              <w:t>监测断面</w:t>
            </w:r>
            <w:r>
              <w:rPr>
                <w:rFonts w:hint="eastAsia" w:cs="Times New Roman"/>
                <w:kern w:val="0"/>
                <w:sz w:val="18"/>
                <w:szCs w:val="18"/>
              </w:rPr>
              <w:t>或</w:t>
            </w:r>
            <w:r>
              <w:rPr>
                <w:rFonts w:cs="Times New Roman"/>
                <w:kern w:val="0"/>
                <w:sz w:val="18"/>
                <w:szCs w:val="18"/>
              </w:rPr>
              <w:t>点位</w:t>
            </w:r>
          </w:p>
        </w:tc>
      </w:tr>
      <w:tr w14:paraId="2F83B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4AB2286D">
            <w:pPr>
              <w:widowControl/>
              <w:adjustRightInd/>
              <w:spacing w:line="240" w:lineRule="auto"/>
              <w:ind w:firstLine="0" w:firstLineChars="0"/>
              <w:jc w:val="left"/>
              <w:rPr>
                <w:rFonts w:cs="Times New Roman"/>
                <w:kern w:val="0"/>
                <w:sz w:val="18"/>
                <w:szCs w:val="18"/>
              </w:rPr>
            </w:pPr>
          </w:p>
        </w:tc>
        <w:tc>
          <w:tcPr>
            <w:tcW w:w="734" w:type="pct"/>
            <w:vMerge w:val="continue"/>
            <w:vAlign w:val="center"/>
          </w:tcPr>
          <w:p w14:paraId="7F2E8B2F">
            <w:pPr>
              <w:widowControl/>
              <w:adjustRightInd/>
              <w:spacing w:line="240" w:lineRule="auto"/>
              <w:ind w:firstLine="0" w:firstLineChars="0"/>
              <w:jc w:val="center"/>
              <w:rPr>
                <w:rFonts w:cs="Times New Roman"/>
                <w:kern w:val="0"/>
                <w:sz w:val="18"/>
                <w:szCs w:val="18"/>
              </w:rPr>
            </w:pPr>
          </w:p>
        </w:tc>
        <w:tc>
          <w:tcPr>
            <w:tcW w:w="1401" w:type="pct"/>
            <w:gridSpan w:val="5"/>
            <w:vAlign w:val="center"/>
          </w:tcPr>
          <w:p w14:paraId="5E977BD3">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cs="Times New Roman"/>
                <w:kern w:val="0"/>
                <w:sz w:val="18"/>
                <w:szCs w:val="18"/>
              </w:rPr>
              <w:t xml:space="preserve">丰水期 </w:t>
            </w:r>
            <w:r>
              <w:rPr>
                <w:rFonts w:ascii="宋体" w:hAnsi="宋体" w:cs="Times New Roman"/>
                <w:kern w:val="0"/>
                <w:sz w:val="18"/>
                <w:szCs w:val="18"/>
              </w:rPr>
              <w:t>□；</w:t>
            </w:r>
            <w:r>
              <w:rPr>
                <w:rFonts w:cs="Times New Roman"/>
                <w:kern w:val="0"/>
                <w:sz w:val="18"/>
                <w:szCs w:val="18"/>
              </w:rPr>
              <w:t xml:space="preserve">平水期 </w:t>
            </w:r>
            <w:r>
              <w:rPr>
                <w:rFonts w:ascii="宋体" w:hAnsi="宋体" w:cs="Times New Roman"/>
                <w:kern w:val="0"/>
                <w:sz w:val="18"/>
                <w:szCs w:val="18"/>
              </w:rPr>
              <w:t>□；</w:t>
            </w:r>
            <w:r>
              <w:rPr>
                <w:rFonts w:cs="Times New Roman"/>
                <w:kern w:val="0"/>
                <w:sz w:val="18"/>
                <w:szCs w:val="18"/>
              </w:rPr>
              <w:t xml:space="preserve">枯水期 </w:t>
            </w:r>
            <w:r>
              <w:rPr>
                <w:rFonts w:hint="eastAsia" w:ascii="宋体" w:hAnsi="宋体" w:cs="Times New Roman"/>
                <w:kern w:val="0"/>
                <w:sz w:val="18"/>
                <w:szCs w:val="18"/>
              </w:rPr>
              <w:t>☑</w:t>
            </w:r>
            <w:r>
              <w:rPr>
                <w:rFonts w:ascii="宋体" w:hAnsi="宋体" w:cs="Times New Roman"/>
                <w:kern w:val="0"/>
                <w:sz w:val="18"/>
                <w:szCs w:val="18"/>
              </w:rPr>
              <w:t>；</w:t>
            </w:r>
            <w:r>
              <w:rPr>
                <w:rFonts w:cs="Times New Roman"/>
                <w:kern w:val="0"/>
                <w:sz w:val="18"/>
                <w:szCs w:val="18"/>
              </w:rPr>
              <w:t xml:space="preserve">冰封期 </w:t>
            </w:r>
            <w:r>
              <w:rPr>
                <w:rFonts w:ascii="宋体" w:hAnsi="宋体" w:cs="Times New Roman"/>
                <w:kern w:val="0"/>
                <w:sz w:val="18"/>
                <w:szCs w:val="18"/>
              </w:rPr>
              <w:t>□</w:t>
            </w:r>
          </w:p>
          <w:p w14:paraId="2054054F">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春季 </w:t>
            </w:r>
            <w:r>
              <w:rPr>
                <w:rFonts w:ascii="宋体" w:hAnsi="宋体" w:cs="Times New Roman"/>
                <w:kern w:val="0"/>
                <w:sz w:val="18"/>
                <w:szCs w:val="18"/>
              </w:rPr>
              <w:t>□；</w:t>
            </w:r>
            <w:r>
              <w:rPr>
                <w:rFonts w:cs="Times New Roman"/>
                <w:kern w:val="0"/>
                <w:sz w:val="18"/>
                <w:szCs w:val="18"/>
              </w:rPr>
              <w:t xml:space="preserve">夏季 </w:t>
            </w:r>
            <w:r>
              <w:rPr>
                <w:rFonts w:ascii="宋体" w:hAnsi="宋体" w:cs="Times New Roman"/>
                <w:kern w:val="0"/>
                <w:sz w:val="18"/>
                <w:szCs w:val="18"/>
              </w:rPr>
              <w:t>□；</w:t>
            </w:r>
            <w:r>
              <w:rPr>
                <w:rFonts w:cs="Times New Roman"/>
                <w:kern w:val="0"/>
                <w:sz w:val="18"/>
                <w:szCs w:val="18"/>
              </w:rPr>
              <w:t xml:space="preserve">秋季 </w:t>
            </w:r>
            <w:r>
              <w:rPr>
                <w:rFonts w:hint="eastAsia" w:ascii="宋体" w:hAnsi="宋体" w:cs="Times New Roman"/>
                <w:kern w:val="0"/>
                <w:sz w:val="18"/>
                <w:szCs w:val="18"/>
              </w:rPr>
              <w:t>☑</w:t>
            </w:r>
            <w:r>
              <w:rPr>
                <w:rFonts w:ascii="宋体" w:hAnsi="宋体" w:cs="Times New Roman"/>
                <w:kern w:val="0"/>
                <w:sz w:val="18"/>
                <w:szCs w:val="18"/>
              </w:rPr>
              <w:t>；</w:t>
            </w:r>
            <w:r>
              <w:rPr>
                <w:rFonts w:cs="Times New Roman"/>
                <w:kern w:val="0"/>
                <w:sz w:val="18"/>
                <w:szCs w:val="18"/>
              </w:rPr>
              <w:t xml:space="preserve">冬季 </w:t>
            </w:r>
            <w:r>
              <w:rPr>
                <w:rFonts w:ascii="宋体" w:hAnsi="宋体" w:cs="Times New Roman"/>
                <w:kern w:val="0"/>
                <w:sz w:val="18"/>
                <w:szCs w:val="18"/>
              </w:rPr>
              <w:t>□</w:t>
            </w:r>
          </w:p>
        </w:tc>
        <w:tc>
          <w:tcPr>
            <w:tcW w:w="1409" w:type="pct"/>
            <w:gridSpan w:val="4"/>
            <w:noWrap/>
            <w:vAlign w:val="center"/>
          </w:tcPr>
          <w:p w14:paraId="6C479FEC">
            <w:pPr>
              <w:widowControl/>
              <w:adjustRightInd/>
              <w:spacing w:line="240" w:lineRule="auto"/>
              <w:ind w:firstLine="0" w:firstLineChars="0"/>
              <w:jc w:val="left"/>
              <w:rPr>
                <w:rFonts w:cs="Times New Roman"/>
                <w:kern w:val="0"/>
                <w:sz w:val="18"/>
                <w:szCs w:val="18"/>
              </w:rPr>
            </w:pPr>
            <w:r>
              <w:rPr>
                <w:rFonts w:cs="Times New Roman"/>
                <w:kern w:val="0"/>
                <w:sz w:val="18"/>
                <w:szCs w:val="18"/>
              </w:rPr>
              <w:t>（</w:t>
            </w:r>
            <w:r>
              <w:rPr>
                <w:rFonts w:hint="eastAsia" w:cs="Times New Roman"/>
                <w:kern w:val="0"/>
                <w:sz w:val="18"/>
                <w:szCs w:val="18"/>
              </w:rPr>
              <w:t>水温、流量、流速、河宽、河深、pH值、溶解氧、化学需氧量、五日生化需氧量、总磷、氨氮、石油类、氟化物、硫化物、硫酸盐、挥发酚、阴离子表面活性剂、铅、砷、镉、铬（六价）、汞、铜、锌、镍、铊、粪大肠菌群、氯化物、氰化物、甲苯、二甲苯、二氯甲烷、氯乙烯）</w:t>
            </w:r>
          </w:p>
        </w:tc>
        <w:tc>
          <w:tcPr>
            <w:tcW w:w="1103" w:type="pct"/>
            <w:gridSpan w:val="3"/>
            <w:noWrap/>
            <w:vAlign w:val="center"/>
          </w:tcPr>
          <w:p w14:paraId="0EAD952B">
            <w:pPr>
              <w:widowControl/>
              <w:adjustRightInd/>
              <w:spacing w:line="240" w:lineRule="auto"/>
              <w:ind w:firstLine="0" w:firstLineChars="0"/>
              <w:jc w:val="left"/>
              <w:rPr>
                <w:rFonts w:cs="Times New Roman"/>
                <w:kern w:val="0"/>
                <w:sz w:val="18"/>
                <w:szCs w:val="18"/>
              </w:rPr>
            </w:pPr>
            <w:r>
              <w:rPr>
                <w:rFonts w:cs="Times New Roman"/>
                <w:kern w:val="0"/>
                <w:sz w:val="18"/>
                <w:szCs w:val="18"/>
              </w:rPr>
              <w:t>监测断面</w:t>
            </w:r>
            <w:r>
              <w:rPr>
                <w:rFonts w:hint="eastAsia" w:cs="Times New Roman"/>
                <w:kern w:val="0"/>
                <w:sz w:val="18"/>
                <w:szCs w:val="18"/>
              </w:rPr>
              <w:t>或</w:t>
            </w:r>
            <w:r>
              <w:rPr>
                <w:rFonts w:cs="Times New Roman"/>
                <w:kern w:val="0"/>
                <w:sz w:val="18"/>
                <w:szCs w:val="18"/>
              </w:rPr>
              <w:t>点位个数（</w:t>
            </w:r>
            <w:r>
              <w:rPr>
                <w:rFonts w:hint="eastAsia" w:cs="Times New Roman"/>
                <w:kern w:val="0"/>
                <w:sz w:val="18"/>
                <w:szCs w:val="18"/>
              </w:rPr>
              <w:t>5</w:t>
            </w:r>
            <w:r>
              <w:rPr>
                <w:rFonts w:cs="Times New Roman"/>
                <w:kern w:val="0"/>
                <w:sz w:val="18"/>
                <w:szCs w:val="18"/>
              </w:rPr>
              <w:t>）个</w:t>
            </w:r>
          </w:p>
        </w:tc>
      </w:tr>
      <w:tr w14:paraId="75674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restart"/>
            <w:noWrap/>
            <w:textDirection w:val="tbRlV"/>
            <w:vAlign w:val="center"/>
          </w:tcPr>
          <w:p w14:paraId="2C095270">
            <w:pPr>
              <w:widowControl/>
              <w:adjustRightInd/>
              <w:spacing w:line="240" w:lineRule="auto"/>
              <w:ind w:firstLine="0" w:firstLineChars="0"/>
              <w:jc w:val="center"/>
              <w:rPr>
                <w:rFonts w:cs="Times New Roman"/>
                <w:kern w:val="0"/>
                <w:sz w:val="18"/>
                <w:szCs w:val="18"/>
              </w:rPr>
            </w:pPr>
            <w:r>
              <w:rPr>
                <w:rFonts w:cs="Times New Roman"/>
                <w:kern w:val="0"/>
                <w:sz w:val="18"/>
                <w:szCs w:val="18"/>
              </w:rPr>
              <w:t>现状评价</w:t>
            </w:r>
          </w:p>
        </w:tc>
        <w:tc>
          <w:tcPr>
            <w:tcW w:w="734" w:type="pct"/>
            <w:vAlign w:val="center"/>
          </w:tcPr>
          <w:p w14:paraId="7B8F7165">
            <w:pPr>
              <w:widowControl/>
              <w:adjustRightInd/>
              <w:spacing w:line="240" w:lineRule="auto"/>
              <w:ind w:firstLine="0" w:firstLineChars="0"/>
              <w:jc w:val="center"/>
              <w:rPr>
                <w:rFonts w:cs="Times New Roman"/>
                <w:kern w:val="0"/>
                <w:sz w:val="18"/>
                <w:szCs w:val="18"/>
              </w:rPr>
            </w:pPr>
            <w:r>
              <w:rPr>
                <w:rFonts w:cs="Times New Roman"/>
                <w:kern w:val="0"/>
                <w:sz w:val="18"/>
                <w:szCs w:val="18"/>
              </w:rPr>
              <w:t>评价范围</w:t>
            </w:r>
          </w:p>
        </w:tc>
        <w:tc>
          <w:tcPr>
            <w:tcW w:w="3914" w:type="pct"/>
            <w:gridSpan w:val="12"/>
            <w:noWrap/>
            <w:vAlign w:val="center"/>
          </w:tcPr>
          <w:p w14:paraId="78D99926">
            <w:pPr>
              <w:widowControl/>
              <w:adjustRightInd/>
              <w:spacing w:line="240" w:lineRule="auto"/>
              <w:ind w:firstLine="0" w:firstLineChars="0"/>
              <w:jc w:val="left"/>
              <w:rPr>
                <w:rFonts w:cs="Times New Roman"/>
                <w:kern w:val="0"/>
                <w:sz w:val="18"/>
                <w:szCs w:val="18"/>
              </w:rPr>
            </w:pPr>
            <w:r>
              <w:rPr>
                <w:rFonts w:cs="Times New Roman"/>
                <w:kern w:val="0"/>
                <w:sz w:val="18"/>
                <w:szCs w:val="18"/>
              </w:rPr>
              <w:t>河流：长度（</w:t>
            </w:r>
            <w:r>
              <w:rPr>
                <w:rFonts w:hint="eastAsia" w:cs="Times New Roman"/>
                <w:kern w:val="0"/>
                <w:sz w:val="18"/>
                <w:szCs w:val="18"/>
              </w:rPr>
              <w:t>3.5</w:t>
            </w:r>
            <w:r>
              <w:rPr>
                <w:rFonts w:cs="Times New Roman"/>
                <w:kern w:val="0"/>
                <w:sz w:val="18"/>
                <w:szCs w:val="18"/>
              </w:rPr>
              <w:t>）km；湖库、河口及近岸海域：面积（   ）km</w:t>
            </w:r>
            <w:r>
              <w:rPr>
                <w:rFonts w:cs="Times New Roman"/>
                <w:kern w:val="0"/>
                <w:sz w:val="18"/>
                <w:szCs w:val="18"/>
                <w:vertAlign w:val="superscript"/>
              </w:rPr>
              <w:t>2</w:t>
            </w:r>
          </w:p>
        </w:tc>
      </w:tr>
      <w:tr w14:paraId="5F0E9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38C80B14">
            <w:pPr>
              <w:widowControl/>
              <w:adjustRightInd/>
              <w:spacing w:line="240" w:lineRule="auto"/>
              <w:ind w:firstLine="0" w:firstLineChars="0"/>
              <w:jc w:val="left"/>
              <w:rPr>
                <w:rFonts w:cs="Times New Roman"/>
                <w:kern w:val="0"/>
                <w:sz w:val="18"/>
                <w:szCs w:val="18"/>
              </w:rPr>
            </w:pPr>
          </w:p>
        </w:tc>
        <w:tc>
          <w:tcPr>
            <w:tcW w:w="734" w:type="pct"/>
            <w:vAlign w:val="center"/>
          </w:tcPr>
          <w:p w14:paraId="024F3CCB">
            <w:pPr>
              <w:widowControl/>
              <w:adjustRightInd/>
              <w:spacing w:line="240" w:lineRule="auto"/>
              <w:ind w:firstLine="0" w:firstLineChars="0"/>
              <w:jc w:val="center"/>
              <w:rPr>
                <w:rFonts w:cs="Times New Roman"/>
                <w:kern w:val="0"/>
                <w:sz w:val="18"/>
                <w:szCs w:val="18"/>
              </w:rPr>
            </w:pPr>
            <w:r>
              <w:rPr>
                <w:rFonts w:cs="Times New Roman"/>
                <w:kern w:val="0"/>
                <w:sz w:val="18"/>
                <w:szCs w:val="18"/>
              </w:rPr>
              <w:t>评价因子</w:t>
            </w:r>
          </w:p>
        </w:tc>
        <w:tc>
          <w:tcPr>
            <w:tcW w:w="3914" w:type="pct"/>
            <w:gridSpan w:val="12"/>
            <w:noWrap/>
            <w:vAlign w:val="center"/>
          </w:tcPr>
          <w:p w14:paraId="28B0B744">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 </w:t>
            </w:r>
            <w:r>
              <w:rPr>
                <w:rFonts w:hint="eastAsia" w:cs="Times New Roman"/>
                <w:kern w:val="0"/>
                <w:sz w:val="18"/>
                <w:szCs w:val="18"/>
              </w:rPr>
              <w:t xml:space="preserve">                          </w:t>
            </w:r>
            <w:r>
              <w:rPr>
                <w:rFonts w:cs="Times New Roman"/>
                <w:kern w:val="0"/>
                <w:sz w:val="18"/>
                <w:szCs w:val="18"/>
              </w:rPr>
              <w:t xml:space="preserve">  ）</w:t>
            </w:r>
          </w:p>
        </w:tc>
      </w:tr>
      <w:tr w14:paraId="57D39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6BA21D2E">
            <w:pPr>
              <w:widowControl/>
              <w:adjustRightInd/>
              <w:spacing w:line="240" w:lineRule="auto"/>
              <w:ind w:firstLine="0" w:firstLineChars="0"/>
              <w:jc w:val="left"/>
              <w:rPr>
                <w:rFonts w:cs="Times New Roman"/>
                <w:kern w:val="0"/>
                <w:sz w:val="18"/>
                <w:szCs w:val="18"/>
              </w:rPr>
            </w:pPr>
          </w:p>
        </w:tc>
        <w:tc>
          <w:tcPr>
            <w:tcW w:w="734" w:type="pct"/>
            <w:vAlign w:val="center"/>
          </w:tcPr>
          <w:p w14:paraId="5F96C867">
            <w:pPr>
              <w:widowControl/>
              <w:adjustRightInd/>
              <w:spacing w:line="240" w:lineRule="auto"/>
              <w:ind w:firstLine="0" w:firstLineChars="0"/>
              <w:jc w:val="center"/>
              <w:rPr>
                <w:rFonts w:cs="Times New Roman"/>
                <w:kern w:val="0"/>
                <w:sz w:val="18"/>
                <w:szCs w:val="18"/>
              </w:rPr>
            </w:pPr>
            <w:r>
              <w:rPr>
                <w:rFonts w:cs="Times New Roman"/>
                <w:kern w:val="0"/>
                <w:sz w:val="18"/>
                <w:szCs w:val="18"/>
              </w:rPr>
              <w:t>评价标准</w:t>
            </w:r>
          </w:p>
        </w:tc>
        <w:tc>
          <w:tcPr>
            <w:tcW w:w="3914" w:type="pct"/>
            <w:gridSpan w:val="12"/>
            <w:noWrap/>
            <w:vAlign w:val="center"/>
          </w:tcPr>
          <w:p w14:paraId="6AD5D74E">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河流、湖库、河口：Ⅰ类 </w:t>
            </w:r>
            <w:r>
              <w:rPr>
                <w:rFonts w:ascii="宋体" w:hAnsi="宋体" w:cs="Times New Roman"/>
                <w:kern w:val="0"/>
                <w:sz w:val="18"/>
                <w:szCs w:val="18"/>
              </w:rPr>
              <w:t>□；</w:t>
            </w:r>
            <w:r>
              <w:rPr>
                <w:rFonts w:cs="Times New Roman"/>
                <w:kern w:val="0"/>
                <w:sz w:val="18"/>
                <w:szCs w:val="18"/>
              </w:rPr>
              <w:t xml:space="preserve">Ⅱ类 </w:t>
            </w:r>
            <w:r>
              <w:rPr>
                <w:rFonts w:ascii="宋体" w:hAnsi="宋体" w:cs="Times New Roman"/>
                <w:kern w:val="0"/>
                <w:sz w:val="18"/>
                <w:szCs w:val="18"/>
              </w:rPr>
              <w:t>□；</w:t>
            </w:r>
            <w:r>
              <w:rPr>
                <w:rFonts w:cs="Times New Roman"/>
                <w:kern w:val="0"/>
                <w:sz w:val="18"/>
                <w:szCs w:val="18"/>
              </w:rPr>
              <w:t xml:space="preserve">Ⅲ类 </w:t>
            </w:r>
            <w:r>
              <w:rPr>
                <w:rFonts w:hint="eastAsia" w:ascii="宋体" w:hAnsi="宋体" w:cs="Times New Roman"/>
                <w:kern w:val="0"/>
                <w:sz w:val="18"/>
                <w:szCs w:val="18"/>
              </w:rPr>
              <w:t>☑</w:t>
            </w:r>
            <w:r>
              <w:rPr>
                <w:rFonts w:ascii="宋体" w:hAnsi="宋体" w:cs="Times New Roman"/>
                <w:kern w:val="0"/>
                <w:sz w:val="18"/>
                <w:szCs w:val="18"/>
              </w:rPr>
              <w:t>；</w:t>
            </w:r>
            <w:r>
              <w:rPr>
                <w:rFonts w:cs="Times New Roman"/>
                <w:kern w:val="0"/>
                <w:sz w:val="18"/>
                <w:szCs w:val="18"/>
              </w:rPr>
              <w:t xml:space="preserve">Ⅳ类 </w:t>
            </w:r>
            <w:r>
              <w:rPr>
                <w:rFonts w:ascii="宋体" w:hAnsi="宋体" w:cs="Times New Roman"/>
                <w:kern w:val="0"/>
                <w:sz w:val="18"/>
                <w:szCs w:val="18"/>
              </w:rPr>
              <w:t>□；</w:t>
            </w:r>
            <w:r>
              <w:rPr>
                <w:rFonts w:cs="Times New Roman"/>
                <w:kern w:val="0"/>
                <w:sz w:val="18"/>
                <w:szCs w:val="18"/>
              </w:rPr>
              <w:t xml:space="preserve">Ⅴ类 </w:t>
            </w:r>
            <w:r>
              <w:rPr>
                <w:rFonts w:ascii="宋体" w:hAnsi="宋体" w:cs="Times New Roman"/>
                <w:kern w:val="0"/>
                <w:sz w:val="18"/>
                <w:szCs w:val="18"/>
              </w:rPr>
              <w:t>□</w:t>
            </w:r>
          </w:p>
          <w:p w14:paraId="28B988ED">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近岸海域：第一类 </w:t>
            </w:r>
            <w:r>
              <w:rPr>
                <w:rFonts w:ascii="宋体" w:hAnsi="宋体" w:cs="Times New Roman"/>
                <w:kern w:val="0"/>
                <w:sz w:val="18"/>
                <w:szCs w:val="18"/>
              </w:rPr>
              <w:t>□；</w:t>
            </w:r>
            <w:r>
              <w:rPr>
                <w:rFonts w:cs="Times New Roman"/>
                <w:kern w:val="0"/>
                <w:sz w:val="18"/>
                <w:szCs w:val="18"/>
              </w:rPr>
              <w:t xml:space="preserve">第二类 </w:t>
            </w:r>
            <w:r>
              <w:rPr>
                <w:rFonts w:ascii="宋体" w:hAnsi="宋体" w:cs="Times New Roman"/>
                <w:kern w:val="0"/>
                <w:sz w:val="18"/>
                <w:szCs w:val="18"/>
              </w:rPr>
              <w:t>□；</w:t>
            </w:r>
            <w:r>
              <w:rPr>
                <w:rFonts w:cs="Times New Roman"/>
                <w:kern w:val="0"/>
                <w:sz w:val="18"/>
                <w:szCs w:val="18"/>
              </w:rPr>
              <w:t xml:space="preserve">第三类 </w:t>
            </w:r>
            <w:r>
              <w:rPr>
                <w:rFonts w:ascii="宋体" w:hAnsi="宋体" w:cs="Times New Roman"/>
                <w:kern w:val="0"/>
                <w:sz w:val="18"/>
                <w:szCs w:val="18"/>
              </w:rPr>
              <w:t>□；</w:t>
            </w:r>
            <w:r>
              <w:rPr>
                <w:rFonts w:cs="Times New Roman"/>
                <w:kern w:val="0"/>
                <w:sz w:val="18"/>
                <w:szCs w:val="18"/>
              </w:rPr>
              <w:t xml:space="preserve">第四类 </w:t>
            </w:r>
            <w:r>
              <w:rPr>
                <w:rFonts w:ascii="宋体" w:hAnsi="宋体" w:cs="Times New Roman"/>
                <w:kern w:val="0"/>
                <w:sz w:val="18"/>
                <w:szCs w:val="18"/>
              </w:rPr>
              <w:t>□</w:t>
            </w:r>
          </w:p>
          <w:p w14:paraId="55BBF3D4">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规划年评价标准（ </w:t>
            </w:r>
            <w:r>
              <w:rPr>
                <w:rFonts w:hint="eastAsia" w:cs="Times New Roman"/>
                <w:kern w:val="0"/>
                <w:sz w:val="18"/>
                <w:szCs w:val="18"/>
              </w:rPr>
              <w:t xml:space="preserve">   </w:t>
            </w:r>
            <w:r>
              <w:rPr>
                <w:rFonts w:cs="Times New Roman"/>
                <w:kern w:val="0"/>
                <w:sz w:val="18"/>
                <w:szCs w:val="18"/>
              </w:rPr>
              <w:t xml:space="preserve">  ）</w:t>
            </w:r>
          </w:p>
        </w:tc>
      </w:tr>
      <w:tr w14:paraId="36133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02B3574F">
            <w:pPr>
              <w:widowControl/>
              <w:adjustRightInd/>
              <w:spacing w:line="240" w:lineRule="auto"/>
              <w:ind w:firstLine="0" w:firstLineChars="0"/>
              <w:jc w:val="left"/>
              <w:rPr>
                <w:rFonts w:cs="Times New Roman"/>
                <w:kern w:val="0"/>
                <w:sz w:val="18"/>
                <w:szCs w:val="18"/>
              </w:rPr>
            </w:pPr>
          </w:p>
        </w:tc>
        <w:tc>
          <w:tcPr>
            <w:tcW w:w="734" w:type="pct"/>
            <w:vAlign w:val="center"/>
          </w:tcPr>
          <w:p w14:paraId="1A7BE196">
            <w:pPr>
              <w:widowControl/>
              <w:adjustRightInd/>
              <w:spacing w:line="240" w:lineRule="auto"/>
              <w:ind w:firstLine="0" w:firstLineChars="0"/>
              <w:jc w:val="center"/>
              <w:rPr>
                <w:rFonts w:cs="Times New Roman"/>
                <w:kern w:val="0"/>
                <w:sz w:val="18"/>
                <w:szCs w:val="18"/>
              </w:rPr>
            </w:pPr>
            <w:r>
              <w:rPr>
                <w:rFonts w:cs="Times New Roman"/>
                <w:kern w:val="0"/>
                <w:sz w:val="18"/>
                <w:szCs w:val="18"/>
              </w:rPr>
              <w:t>评价时期</w:t>
            </w:r>
          </w:p>
        </w:tc>
        <w:tc>
          <w:tcPr>
            <w:tcW w:w="3914" w:type="pct"/>
            <w:gridSpan w:val="12"/>
            <w:vAlign w:val="center"/>
          </w:tcPr>
          <w:p w14:paraId="0D4E803E">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cs="Times New Roman"/>
                <w:kern w:val="0"/>
                <w:sz w:val="18"/>
                <w:szCs w:val="18"/>
              </w:rPr>
              <w:t xml:space="preserve">丰水期 </w:t>
            </w:r>
            <w:r>
              <w:rPr>
                <w:rFonts w:ascii="宋体" w:hAnsi="宋体" w:cs="Times New Roman"/>
                <w:kern w:val="0"/>
                <w:sz w:val="18"/>
                <w:szCs w:val="18"/>
              </w:rPr>
              <w:t>□；</w:t>
            </w:r>
            <w:r>
              <w:rPr>
                <w:rFonts w:cs="Times New Roman"/>
                <w:kern w:val="0"/>
                <w:sz w:val="18"/>
                <w:szCs w:val="18"/>
              </w:rPr>
              <w:t xml:space="preserve">平水期 </w:t>
            </w:r>
            <w:r>
              <w:rPr>
                <w:rFonts w:ascii="宋体" w:hAnsi="宋体" w:cs="Times New Roman"/>
                <w:kern w:val="0"/>
                <w:sz w:val="18"/>
                <w:szCs w:val="18"/>
              </w:rPr>
              <w:t>□；</w:t>
            </w:r>
            <w:r>
              <w:rPr>
                <w:rFonts w:cs="Times New Roman"/>
                <w:kern w:val="0"/>
                <w:sz w:val="18"/>
                <w:szCs w:val="18"/>
              </w:rPr>
              <w:t xml:space="preserve">枯水期 </w:t>
            </w:r>
            <w:r>
              <w:rPr>
                <w:rFonts w:hint="eastAsia" w:ascii="宋体" w:hAnsi="宋体" w:cs="Times New Roman"/>
                <w:kern w:val="0"/>
                <w:sz w:val="18"/>
                <w:szCs w:val="18"/>
              </w:rPr>
              <w:t>☑</w:t>
            </w:r>
            <w:r>
              <w:rPr>
                <w:rFonts w:ascii="宋体" w:hAnsi="宋体" w:cs="Times New Roman"/>
                <w:kern w:val="0"/>
                <w:sz w:val="18"/>
                <w:szCs w:val="18"/>
              </w:rPr>
              <w:t>；</w:t>
            </w:r>
            <w:r>
              <w:rPr>
                <w:rFonts w:cs="Times New Roman"/>
                <w:kern w:val="0"/>
                <w:sz w:val="18"/>
                <w:szCs w:val="18"/>
              </w:rPr>
              <w:t xml:space="preserve">冰封期 </w:t>
            </w:r>
            <w:r>
              <w:rPr>
                <w:rFonts w:ascii="宋体" w:hAnsi="宋体" w:cs="Times New Roman"/>
                <w:kern w:val="0"/>
                <w:sz w:val="18"/>
                <w:szCs w:val="18"/>
              </w:rPr>
              <w:t>□</w:t>
            </w:r>
          </w:p>
          <w:p w14:paraId="617A21EC">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春季 </w:t>
            </w:r>
            <w:r>
              <w:rPr>
                <w:rFonts w:ascii="宋体" w:hAnsi="宋体" w:cs="Times New Roman"/>
                <w:kern w:val="0"/>
                <w:sz w:val="18"/>
                <w:szCs w:val="18"/>
              </w:rPr>
              <w:t>□；</w:t>
            </w:r>
            <w:r>
              <w:rPr>
                <w:rFonts w:cs="Times New Roman"/>
                <w:kern w:val="0"/>
                <w:sz w:val="18"/>
                <w:szCs w:val="18"/>
              </w:rPr>
              <w:t xml:space="preserve">夏季 </w:t>
            </w:r>
            <w:r>
              <w:rPr>
                <w:rFonts w:ascii="宋体" w:hAnsi="宋体" w:cs="Times New Roman"/>
                <w:kern w:val="0"/>
                <w:sz w:val="18"/>
                <w:szCs w:val="18"/>
              </w:rPr>
              <w:t>□；</w:t>
            </w:r>
            <w:r>
              <w:rPr>
                <w:rFonts w:cs="Times New Roman"/>
                <w:kern w:val="0"/>
                <w:sz w:val="18"/>
                <w:szCs w:val="18"/>
              </w:rPr>
              <w:t xml:space="preserve">秋季 </w:t>
            </w:r>
            <w:r>
              <w:rPr>
                <w:rFonts w:hint="eastAsia" w:ascii="宋体" w:hAnsi="宋体" w:cs="Times New Roman"/>
                <w:kern w:val="0"/>
                <w:sz w:val="18"/>
                <w:szCs w:val="18"/>
              </w:rPr>
              <w:t>☑</w:t>
            </w:r>
            <w:r>
              <w:rPr>
                <w:rFonts w:ascii="宋体" w:hAnsi="宋体" w:cs="Times New Roman"/>
                <w:kern w:val="0"/>
                <w:sz w:val="18"/>
                <w:szCs w:val="18"/>
              </w:rPr>
              <w:t>；</w:t>
            </w:r>
            <w:r>
              <w:rPr>
                <w:rFonts w:cs="Times New Roman"/>
                <w:kern w:val="0"/>
                <w:sz w:val="18"/>
                <w:szCs w:val="18"/>
              </w:rPr>
              <w:t xml:space="preserve">冬季 </w:t>
            </w:r>
            <w:r>
              <w:rPr>
                <w:rFonts w:ascii="宋体" w:hAnsi="宋体" w:cs="Times New Roman"/>
                <w:kern w:val="0"/>
                <w:sz w:val="18"/>
                <w:szCs w:val="18"/>
              </w:rPr>
              <w:t>□</w:t>
            </w:r>
          </w:p>
        </w:tc>
      </w:tr>
      <w:tr w14:paraId="2B3E7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19AE0EF3">
            <w:pPr>
              <w:widowControl/>
              <w:adjustRightInd/>
              <w:spacing w:line="240" w:lineRule="auto"/>
              <w:ind w:firstLine="0" w:firstLineChars="0"/>
              <w:jc w:val="left"/>
              <w:rPr>
                <w:rFonts w:cs="Times New Roman"/>
                <w:kern w:val="0"/>
                <w:sz w:val="18"/>
                <w:szCs w:val="18"/>
              </w:rPr>
            </w:pPr>
          </w:p>
        </w:tc>
        <w:tc>
          <w:tcPr>
            <w:tcW w:w="734" w:type="pct"/>
            <w:vAlign w:val="center"/>
          </w:tcPr>
          <w:p w14:paraId="160D8530">
            <w:pPr>
              <w:widowControl/>
              <w:adjustRightInd/>
              <w:spacing w:line="240" w:lineRule="auto"/>
              <w:ind w:firstLine="0" w:firstLineChars="0"/>
              <w:jc w:val="center"/>
              <w:rPr>
                <w:rFonts w:cs="Times New Roman"/>
                <w:kern w:val="0"/>
                <w:sz w:val="18"/>
                <w:szCs w:val="18"/>
              </w:rPr>
            </w:pPr>
            <w:r>
              <w:rPr>
                <w:rFonts w:cs="Times New Roman"/>
                <w:kern w:val="0"/>
                <w:sz w:val="18"/>
                <w:szCs w:val="18"/>
              </w:rPr>
              <w:t>评价结论</w:t>
            </w:r>
          </w:p>
        </w:tc>
        <w:tc>
          <w:tcPr>
            <w:tcW w:w="3121" w:type="pct"/>
            <w:gridSpan w:val="11"/>
            <w:vAlign w:val="center"/>
          </w:tcPr>
          <w:p w14:paraId="6923864F">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hint="eastAsia" w:cs="Times New Roman"/>
                <w:kern w:val="0"/>
                <w:sz w:val="18"/>
                <w:szCs w:val="18"/>
              </w:rPr>
              <w:t>水环境功能区或水功能区、</w:t>
            </w:r>
            <w:r>
              <w:rPr>
                <w:rFonts w:cs="Times New Roman"/>
                <w:kern w:val="0"/>
                <w:sz w:val="18"/>
                <w:szCs w:val="18"/>
              </w:rPr>
              <w:t>近岸海域环境功能区水质达标状况</w:t>
            </w:r>
            <w:r>
              <w:rPr>
                <w:rFonts w:ascii="宋体" w:hAnsi="宋体" w:cs="Times New Roman"/>
                <w:kern w:val="0"/>
                <w:sz w:val="18"/>
                <w:szCs w:val="18"/>
              </w:rPr>
              <w:t>：</w:t>
            </w:r>
            <w:r>
              <w:rPr>
                <w:rFonts w:cs="Times New Roman"/>
                <w:kern w:val="0"/>
                <w:sz w:val="18"/>
                <w:szCs w:val="18"/>
              </w:rPr>
              <w:t xml:space="preserve">达标 </w:t>
            </w:r>
            <w:r>
              <w:rPr>
                <w:rFonts w:hint="eastAsia" w:ascii="宋体" w:hAnsi="宋体" w:cs="Times New Roman"/>
                <w:kern w:val="0"/>
                <w:sz w:val="18"/>
                <w:szCs w:val="18"/>
              </w:rPr>
              <w:t>☑</w:t>
            </w:r>
            <w:r>
              <w:rPr>
                <w:rFonts w:ascii="宋体" w:hAnsi="宋体" w:cs="Times New Roman"/>
                <w:kern w:val="0"/>
                <w:sz w:val="18"/>
                <w:szCs w:val="18"/>
              </w:rPr>
              <w:t>；</w:t>
            </w:r>
            <w:r>
              <w:rPr>
                <w:rFonts w:cs="Times New Roman"/>
                <w:kern w:val="0"/>
                <w:sz w:val="18"/>
                <w:szCs w:val="18"/>
              </w:rPr>
              <w:t xml:space="preserve">不达标 </w:t>
            </w:r>
            <w:r>
              <w:rPr>
                <w:rFonts w:ascii="宋体" w:hAnsi="宋体" w:cs="Times New Roman"/>
                <w:kern w:val="0"/>
                <w:sz w:val="18"/>
                <w:szCs w:val="18"/>
              </w:rPr>
              <w:t>□</w:t>
            </w:r>
          </w:p>
          <w:p w14:paraId="3DEC3E8A">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cs="Times New Roman"/>
                <w:kern w:val="0"/>
                <w:sz w:val="18"/>
                <w:szCs w:val="18"/>
              </w:rPr>
              <w:t>水环境控制单元</w:t>
            </w:r>
            <w:r>
              <w:rPr>
                <w:rFonts w:hint="eastAsia" w:cs="Times New Roman"/>
                <w:kern w:val="0"/>
                <w:sz w:val="18"/>
                <w:szCs w:val="18"/>
              </w:rPr>
              <w:t>或</w:t>
            </w:r>
            <w:r>
              <w:rPr>
                <w:rFonts w:cs="Times New Roman"/>
                <w:kern w:val="0"/>
                <w:sz w:val="18"/>
                <w:szCs w:val="18"/>
              </w:rPr>
              <w:t xml:space="preserve">断面水质达标状况 </w:t>
            </w:r>
            <w:r>
              <w:rPr>
                <w:rFonts w:ascii="宋体" w:hAnsi="宋体" w:cs="Times New Roman"/>
                <w:kern w:val="0"/>
                <w:sz w:val="18"/>
                <w:szCs w:val="18"/>
              </w:rPr>
              <w:t>：</w:t>
            </w:r>
            <w:r>
              <w:rPr>
                <w:rFonts w:cs="Times New Roman"/>
                <w:kern w:val="0"/>
                <w:sz w:val="18"/>
                <w:szCs w:val="18"/>
              </w:rPr>
              <w:t xml:space="preserve">达标 </w:t>
            </w:r>
            <w:r>
              <w:rPr>
                <w:rFonts w:hint="eastAsia" w:ascii="宋体" w:hAnsi="宋体" w:cs="Times New Roman"/>
                <w:kern w:val="0"/>
                <w:sz w:val="18"/>
                <w:szCs w:val="18"/>
              </w:rPr>
              <w:t>☑</w:t>
            </w:r>
            <w:r>
              <w:rPr>
                <w:rFonts w:ascii="宋体" w:hAnsi="宋体" w:cs="Times New Roman"/>
                <w:kern w:val="0"/>
                <w:sz w:val="18"/>
                <w:szCs w:val="18"/>
              </w:rPr>
              <w:t>；</w:t>
            </w:r>
            <w:r>
              <w:rPr>
                <w:rFonts w:cs="Times New Roman"/>
                <w:kern w:val="0"/>
                <w:sz w:val="18"/>
                <w:szCs w:val="18"/>
              </w:rPr>
              <w:t xml:space="preserve">不达标 </w:t>
            </w:r>
            <w:r>
              <w:rPr>
                <w:rFonts w:ascii="宋体" w:hAnsi="宋体" w:cs="Times New Roman"/>
                <w:kern w:val="0"/>
                <w:sz w:val="18"/>
                <w:szCs w:val="18"/>
              </w:rPr>
              <w:t>□</w:t>
            </w:r>
          </w:p>
          <w:p w14:paraId="4679EC13">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cs="Times New Roman"/>
                <w:kern w:val="0"/>
                <w:sz w:val="18"/>
                <w:szCs w:val="18"/>
              </w:rPr>
              <w:t>水环境保护目标质量状况</w:t>
            </w:r>
            <w:r>
              <w:rPr>
                <w:rFonts w:ascii="宋体" w:hAnsi="宋体" w:cs="Times New Roman"/>
                <w:kern w:val="0"/>
                <w:sz w:val="18"/>
                <w:szCs w:val="18"/>
              </w:rPr>
              <w:t>：</w:t>
            </w:r>
            <w:r>
              <w:rPr>
                <w:rFonts w:cs="Times New Roman"/>
                <w:kern w:val="0"/>
                <w:sz w:val="18"/>
                <w:szCs w:val="18"/>
              </w:rPr>
              <w:t xml:space="preserve">达标 </w:t>
            </w:r>
            <w:r>
              <w:rPr>
                <w:rFonts w:hint="eastAsia" w:ascii="宋体" w:hAnsi="宋体" w:cs="Times New Roman"/>
                <w:kern w:val="0"/>
                <w:sz w:val="18"/>
                <w:szCs w:val="18"/>
              </w:rPr>
              <w:t>☑</w:t>
            </w:r>
            <w:r>
              <w:rPr>
                <w:rFonts w:ascii="宋体" w:hAnsi="宋体" w:cs="Times New Roman"/>
                <w:kern w:val="0"/>
                <w:sz w:val="18"/>
                <w:szCs w:val="18"/>
              </w:rPr>
              <w:t>；</w:t>
            </w:r>
            <w:r>
              <w:rPr>
                <w:rFonts w:cs="Times New Roman"/>
                <w:kern w:val="0"/>
                <w:sz w:val="18"/>
                <w:szCs w:val="18"/>
              </w:rPr>
              <w:t xml:space="preserve">不达标 </w:t>
            </w:r>
            <w:r>
              <w:rPr>
                <w:rFonts w:ascii="宋体" w:hAnsi="宋体" w:cs="Times New Roman"/>
                <w:kern w:val="0"/>
                <w:sz w:val="18"/>
                <w:szCs w:val="18"/>
              </w:rPr>
              <w:t>□</w:t>
            </w:r>
          </w:p>
          <w:p w14:paraId="50251743">
            <w:pPr>
              <w:widowControl/>
              <w:adjustRightInd/>
              <w:spacing w:line="240" w:lineRule="auto"/>
              <w:ind w:firstLine="0" w:firstLineChars="0"/>
              <w:jc w:val="left"/>
              <w:rPr>
                <w:rFonts w:ascii="宋体" w:hAnsi="宋体" w:cs="Times New Roman"/>
                <w:kern w:val="0"/>
                <w:sz w:val="18"/>
                <w:szCs w:val="18"/>
              </w:rPr>
            </w:pPr>
            <w:r>
              <w:rPr>
                <w:rFonts w:cs="Times New Roman"/>
                <w:kern w:val="0"/>
                <w:sz w:val="18"/>
                <w:szCs w:val="18"/>
              </w:rPr>
              <w:t>对照断面、控制断面等</w:t>
            </w:r>
            <w:r>
              <w:rPr>
                <w:rFonts w:hint="eastAsia" w:cs="Times New Roman"/>
                <w:kern w:val="0"/>
                <w:sz w:val="18"/>
                <w:szCs w:val="18"/>
              </w:rPr>
              <w:t>代表性</w:t>
            </w:r>
            <w:r>
              <w:rPr>
                <w:rFonts w:cs="Times New Roman"/>
                <w:kern w:val="0"/>
                <w:sz w:val="18"/>
                <w:szCs w:val="18"/>
              </w:rPr>
              <w:t xml:space="preserve">断面的水质状况 </w:t>
            </w:r>
            <w:r>
              <w:rPr>
                <w:rFonts w:ascii="宋体" w:hAnsi="宋体" w:cs="Times New Roman"/>
                <w:kern w:val="0"/>
                <w:sz w:val="18"/>
                <w:szCs w:val="18"/>
              </w:rPr>
              <w:t>：</w:t>
            </w:r>
            <w:r>
              <w:rPr>
                <w:rFonts w:cs="Times New Roman"/>
                <w:kern w:val="0"/>
                <w:sz w:val="18"/>
                <w:szCs w:val="18"/>
              </w:rPr>
              <w:t xml:space="preserve">达标 </w:t>
            </w:r>
            <w:r>
              <w:rPr>
                <w:rFonts w:ascii="宋体" w:hAnsi="宋体" w:cs="Times New Roman"/>
                <w:kern w:val="0"/>
                <w:sz w:val="18"/>
                <w:szCs w:val="18"/>
              </w:rPr>
              <w:t>□；</w:t>
            </w:r>
            <w:r>
              <w:rPr>
                <w:rFonts w:cs="Times New Roman"/>
                <w:kern w:val="0"/>
                <w:sz w:val="18"/>
                <w:szCs w:val="18"/>
              </w:rPr>
              <w:t xml:space="preserve">不达标 </w:t>
            </w:r>
            <w:r>
              <w:rPr>
                <w:rFonts w:ascii="宋体" w:hAnsi="宋体" w:cs="Times New Roman"/>
                <w:kern w:val="0"/>
                <w:sz w:val="18"/>
                <w:szCs w:val="18"/>
              </w:rPr>
              <w:t>□</w:t>
            </w:r>
          </w:p>
          <w:p w14:paraId="6F4A4965">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cs="Times New Roman"/>
                <w:kern w:val="0"/>
                <w:sz w:val="18"/>
                <w:szCs w:val="18"/>
              </w:rPr>
              <w:t xml:space="preserve">底泥污染评价 </w:t>
            </w:r>
            <w:r>
              <w:rPr>
                <w:rFonts w:ascii="宋体" w:hAnsi="宋体" w:cs="Times New Roman"/>
                <w:kern w:val="0"/>
                <w:sz w:val="18"/>
                <w:szCs w:val="18"/>
              </w:rPr>
              <w:t>□</w:t>
            </w:r>
          </w:p>
          <w:p w14:paraId="07C999F0">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cs="Times New Roman"/>
                <w:kern w:val="0"/>
                <w:sz w:val="18"/>
                <w:szCs w:val="18"/>
              </w:rPr>
              <w:t>水资源</w:t>
            </w:r>
            <w:r>
              <w:rPr>
                <w:rFonts w:hint="eastAsia" w:cs="Times New Roman"/>
                <w:kern w:val="0"/>
                <w:sz w:val="18"/>
                <w:szCs w:val="18"/>
              </w:rPr>
              <w:t>与</w:t>
            </w:r>
            <w:r>
              <w:rPr>
                <w:rFonts w:cs="Times New Roman"/>
                <w:kern w:val="0"/>
                <w:sz w:val="18"/>
                <w:szCs w:val="18"/>
              </w:rPr>
              <w:t>开发利用程度</w:t>
            </w:r>
            <w:r>
              <w:rPr>
                <w:rFonts w:hint="eastAsia" w:cs="Times New Roman"/>
                <w:kern w:val="0"/>
                <w:sz w:val="18"/>
                <w:szCs w:val="18"/>
              </w:rPr>
              <w:t>及其</w:t>
            </w:r>
            <w:r>
              <w:rPr>
                <w:rFonts w:cs="Times New Roman"/>
                <w:kern w:val="0"/>
                <w:sz w:val="18"/>
                <w:szCs w:val="18"/>
              </w:rPr>
              <w:t xml:space="preserve">水文情势评价 </w:t>
            </w:r>
            <w:r>
              <w:rPr>
                <w:rFonts w:ascii="宋体" w:hAnsi="宋体" w:cs="Times New Roman"/>
                <w:kern w:val="0"/>
                <w:sz w:val="18"/>
                <w:szCs w:val="18"/>
              </w:rPr>
              <w:t>□</w:t>
            </w:r>
          </w:p>
          <w:p w14:paraId="2D2422AF">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cs="Times New Roman"/>
                <w:kern w:val="0"/>
                <w:sz w:val="18"/>
                <w:szCs w:val="18"/>
              </w:rPr>
              <w:t xml:space="preserve">水环境质量回顾评价 </w:t>
            </w:r>
            <w:r>
              <w:rPr>
                <w:rFonts w:ascii="宋体" w:hAnsi="宋体" w:cs="Times New Roman"/>
                <w:kern w:val="0"/>
                <w:sz w:val="18"/>
                <w:szCs w:val="18"/>
              </w:rPr>
              <w:t>□</w:t>
            </w:r>
          </w:p>
          <w:p w14:paraId="1014346C">
            <w:pPr>
              <w:widowControl/>
              <w:adjustRightInd/>
              <w:spacing w:line="240" w:lineRule="auto"/>
              <w:ind w:firstLine="0" w:firstLineChars="0"/>
              <w:jc w:val="left"/>
              <w:rPr>
                <w:rFonts w:ascii="宋体" w:hAnsi="宋体" w:cs="Times New Roman"/>
                <w:kern w:val="0"/>
                <w:sz w:val="18"/>
                <w:szCs w:val="18"/>
              </w:rPr>
            </w:pPr>
            <w:r>
              <w:rPr>
                <w:rFonts w:cs="Times New Roman"/>
                <w:kern w:val="0"/>
                <w:sz w:val="18"/>
                <w:szCs w:val="18"/>
              </w:rPr>
              <w:t>流域（区域）水资源（</w:t>
            </w:r>
            <w:r>
              <w:rPr>
                <w:rFonts w:hint="eastAsia" w:cs="Times New Roman"/>
                <w:kern w:val="0"/>
                <w:sz w:val="18"/>
                <w:szCs w:val="18"/>
              </w:rPr>
              <w:t>包括</w:t>
            </w:r>
            <w:r>
              <w:rPr>
                <w:rFonts w:cs="Times New Roman"/>
                <w:kern w:val="0"/>
                <w:sz w:val="18"/>
                <w:szCs w:val="18"/>
              </w:rPr>
              <w:t>水能资源）</w:t>
            </w:r>
            <w:r>
              <w:rPr>
                <w:rFonts w:hint="eastAsia" w:cs="Times New Roman"/>
                <w:kern w:val="0"/>
                <w:sz w:val="18"/>
                <w:szCs w:val="18"/>
              </w:rPr>
              <w:t>与</w:t>
            </w:r>
            <w:r>
              <w:rPr>
                <w:rFonts w:cs="Times New Roman"/>
                <w:kern w:val="0"/>
                <w:sz w:val="18"/>
                <w:szCs w:val="18"/>
              </w:rPr>
              <w:t xml:space="preserve">开发利用总体状况、生态流量管理要求与现状满足程度、建设项目占用水域空间的水流状况与河湖演变状况 </w:t>
            </w:r>
            <w:r>
              <w:rPr>
                <w:rFonts w:ascii="宋体" w:hAnsi="宋体" w:cs="Times New Roman"/>
                <w:kern w:val="0"/>
                <w:sz w:val="18"/>
                <w:szCs w:val="18"/>
              </w:rPr>
              <w:t>□</w:t>
            </w:r>
          </w:p>
          <w:p w14:paraId="637ACD23">
            <w:pPr>
              <w:widowControl/>
              <w:adjustRightInd/>
              <w:spacing w:line="240" w:lineRule="auto"/>
              <w:ind w:firstLine="0" w:firstLineChars="0"/>
              <w:jc w:val="left"/>
              <w:rPr>
                <w:rFonts w:ascii="宋体" w:hAnsi="宋体" w:cs="Times New Roman"/>
                <w:kern w:val="0"/>
                <w:sz w:val="18"/>
                <w:szCs w:val="18"/>
              </w:rPr>
            </w:pPr>
            <w:r>
              <w:rPr>
                <w:rFonts w:hint="eastAsia" w:ascii="宋体" w:hAnsi="宋体" w:cs="Times New Roman"/>
                <w:kern w:val="0"/>
                <w:sz w:val="18"/>
                <w:szCs w:val="18"/>
              </w:rPr>
              <w:t>依托污水处理设施稳定达标排放评价 □</w:t>
            </w:r>
          </w:p>
        </w:tc>
        <w:tc>
          <w:tcPr>
            <w:tcW w:w="793" w:type="pct"/>
            <w:vAlign w:val="center"/>
          </w:tcPr>
          <w:p w14:paraId="283F0812">
            <w:pPr>
              <w:widowControl/>
              <w:adjustRightInd/>
              <w:spacing w:line="240" w:lineRule="auto"/>
              <w:ind w:firstLine="0" w:firstLineChars="0"/>
              <w:jc w:val="left"/>
              <w:rPr>
                <w:rFonts w:ascii="宋体" w:hAnsi="宋体" w:cs="Times New Roman"/>
                <w:kern w:val="0"/>
                <w:sz w:val="18"/>
                <w:szCs w:val="18"/>
              </w:rPr>
            </w:pPr>
            <w:r>
              <w:rPr>
                <w:rFonts w:cs="Times New Roman"/>
                <w:kern w:val="0"/>
                <w:sz w:val="18"/>
                <w:szCs w:val="18"/>
              </w:rPr>
              <w:t>达标</w:t>
            </w:r>
            <w:r>
              <w:rPr>
                <w:rFonts w:hint="eastAsia" w:cs="Times New Roman"/>
                <w:kern w:val="0"/>
                <w:sz w:val="18"/>
                <w:szCs w:val="18"/>
              </w:rPr>
              <w:t>区</w:t>
            </w:r>
            <w:r>
              <w:rPr>
                <w:rFonts w:cs="Times New Roman"/>
                <w:kern w:val="0"/>
                <w:sz w:val="18"/>
                <w:szCs w:val="18"/>
              </w:rPr>
              <w:t xml:space="preserve"> </w:t>
            </w:r>
            <w:r>
              <w:rPr>
                <w:rFonts w:hint="eastAsia" w:ascii="宋体" w:hAnsi="宋体" w:cs="Times New Roman"/>
                <w:kern w:val="0"/>
                <w:sz w:val="18"/>
                <w:szCs w:val="18"/>
              </w:rPr>
              <w:t>☑</w:t>
            </w:r>
          </w:p>
          <w:p w14:paraId="3DED47F6">
            <w:pPr>
              <w:widowControl/>
              <w:adjustRightInd/>
              <w:spacing w:line="240" w:lineRule="auto"/>
              <w:ind w:firstLine="0" w:firstLineChars="0"/>
              <w:jc w:val="left"/>
              <w:rPr>
                <w:rFonts w:cs="Times New Roman"/>
                <w:kern w:val="0"/>
                <w:sz w:val="18"/>
                <w:szCs w:val="18"/>
              </w:rPr>
            </w:pPr>
            <w:r>
              <w:rPr>
                <w:rFonts w:cs="Times New Roman"/>
                <w:kern w:val="0"/>
                <w:sz w:val="18"/>
                <w:szCs w:val="18"/>
              </w:rPr>
              <w:t>不达标</w:t>
            </w:r>
            <w:r>
              <w:rPr>
                <w:rFonts w:hint="eastAsia" w:cs="Times New Roman"/>
                <w:kern w:val="0"/>
                <w:sz w:val="18"/>
                <w:szCs w:val="18"/>
              </w:rPr>
              <w:t>区</w:t>
            </w:r>
            <w:r>
              <w:rPr>
                <w:rFonts w:cs="Times New Roman"/>
                <w:kern w:val="0"/>
                <w:sz w:val="18"/>
                <w:szCs w:val="18"/>
              </w:rPr>
              <w:t xml:space="preserve"> </w:t>
            </w:r>
            <w:r>
              <w:rPr>
                <w:rFonts w:ascii="宋体" w:hAnsi="宋体" w:cs="Times New Roman"/>
                <w:kern w:val="0"/>
                <w:sz w:val="18"/>
                <w:szCs w:val="18"/>
              </w:rPr>
              <w:t>□</w:t>
            </w:r>
          </w:p>
        </w:tc>
      </w:tr>
      <w:tr w14:paraId="0D9AA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restart"/>
            <w:noWrap/>
            <w:textDirection w:val="tbRlV"/>
            <w:vAlign w:val="center"/>
          </w:tcPr>
          <w:p w14:paraId="7426CF1B">
            <w:pPr>
              <w:widowControl/>
              <w:adjustRightInd/>
              <w:spacing w:line="240" w:lineRule="auto"/>
              <w:ind w:firstLine="0" w:firstLineChars="0"/>
              <w:jc w:val="center"/>
              <w:rPr>
                <w:rFonts w:cs="Times New Roman"/>
                <w:kern w:val="0"/>
                <w:sz w:val="18"/>
                <w:szCs w:val="18"/>
              </w:rPr>
            </w:pPr>
            <w:r>
              <w:rPr>
                <w:rFonts w:cs="Times New Roman"/>
                <w:kern w:val="0"/>
                <w:sz w:val="18"/>
                <w:szCs w:val="18"/>
              </w:rPr>
              <w:t>影响预测</w:t>
            </w:r>
          </w:p>
        </w:tc>
        <w:tc>
          <w:tcPr>
            <w:tcW w:w="734" w:type="pct"/>
            <w:vAlign w:val="center"/>
          </w:tcPr>
          <w:p w14:paraId="1FCD1E4C">
            <w:pPr>
              <w:widowControl/>
              <w:adjustRightInd/>
              <w:spacing w:line="240" w:lineRule="auto"/>
              <w:ind w:firstLine="0" w:firstLineChars="0"/>
              <w:jc w:val="center"/>
              <w:rPr>
                <w:rFonts w:cs="Times New Roman"/>
                <w:kern w:val="0"/>
                <w:sz w:val="18"/>
                <w:szCs w:val="18"/>
              </w:rPr>
            </w:pPr>
            <w:r>
              <w:rPr>
                <w:rFonts w:cs="Times New Roman"/>
                <w:kern w:val="0"/>
                <w:sz w:val="18"/>
                <w:szCs w:val="18"/>
              </w:rPr>
              <w:t>预测范围</w:t>
            </w:r>
          </w:p>
        </w:tc>
        <w:tc>
          <w:tcPr>
            <w:tcW w:w="3914" w:type="pct"/>
            <w:gridSpan w:val="12"/>
            <w:noWrap/>
            <w:vAlign w:val="center"/>
          </w:tcPr>
          <w:p w14:paraId="7D92B81D">
            <w:pPr>
              <w:widowControl/>
              <w:adjustRightInd/>
              <w:spacing w:line="240" w:lineRule="auto"/>
              <w:ind w:firstLine="0" w:firstLineChars="0"/>
              <w:jc w:val="left"/>
              <w:rPr>
                <w:rFonts w:cs="Times New Roman"/>
                <w:kern w:val="0"/>
                <w:sz w:val="18"/>
                <w:szCs w:val="18"/>
              </w:rPr>
            </w:pPr>
            <w:r>
              <w:rPr>
                <w:rFonts w:cs="Times New Roman"/>
                <w:kern w:val="0"/>
                <w:sz w:val="18"/>
                <w:szCs w:val="18"/>
              </w:rPr>
              <w:t>河流：长度（   ）km；湖库、河口及近岸海域：面积（   ）km</w:t>
            </w:r>
            <w:r>
              <w:rPr>
                <w:rFonts w:cs="Times New Roman"/>
                <w:kern w:val="0"/>
                <w:sz w:val="18"/>
                <w:szCs w:val="18"/>
                <w:vertAlign w:val="superscript"/>
              </w:rPr>
              <w:t>2</w:t>
            </w:r>
          </w:p>
        </w:tc>
      </w:tr>
      <w:tr w14:paraId="350CC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2FCED682">
            <w:pPr>
              <w:widowControl/>
              <w:adjustRightInd/>
              <w:spacing w:line="240" w:lineRule="auto"/>
              <w:ind w:firstLine="0" w:firstLineChars="0"/>
              <w:jc w:val="left"/>
              <w:rPr>
                <w:rFonts w:cs="Times New Roman"/>
                <w:kern w:val="0"/>
                <w:sz w:val="18"/>
                <w:szCs w:val="18"/>
              </w:rPr>
            </w:pPr>
          </w:p>
        </w:tc>
        <w:tc>
          <w:tcPr>
            <w:tcW w:w="734" w:type="pct"/>
            <w:vAlign w:val="center"/>
          </w:tcPr>
          <w:p w14:paraId="55BF07C8">
            <w:pPr>
              <w:widowControl/>
              <w:adjustRightInd/>
              <w:spacing w:line="240" w:lineRule="auto"/>
              <w:ind w:firstLine="0" w:firstLineChars="0"/>
              <w:jc w:val="center"/>
              <w:rPr>
                <w:rFonts w:cs="Times New Roman"/>
                <w:kern w:val="0"/>
                <w:sz w:val="18"/>
                <w:szCs w:val="18"/>
              </w:rPr>
            </w:pPr>
            <w:r>
              <w:rPr>
                <w:rFonts w:cs="Times New Roman"/>
                <w:kern w:val="0"/>
                <w:sz w:val="18"/>
                <w:szCs w:val="18"/>
              </w:rPr>
              <w:t>预测因子</w:t>
            </w:r>
          </w:p>
        </w:tc>
        <w:tc>
          <w:tcPr>
            <w:tcW w:w="3914" w:type="pct"/>
            <w:gridSpan w:val="12"/>
            <w:noWrap/>
            <w:vAlign w:val="center"/>
          </w:tcPr>
          <w:p w14:paraId="13216F17">
            <w:pPr>
              <w:widowControl/>
              <w:adjustRightInd/>
              <w:spacing w:line="240" w:lineRule="auto"/>
              <w:ind w:firstLine="0" w:firstLineChars="0"/>
              <w:jc w:val="left"/>
              <w:rPr>
                <w:rFonts w:cs="Times New Roman"/>
                <w:kern w:val="0"/>
                <w:sz w:val="18"/>
                <w:szCs w:val="18"/>
              </w:rPr>
            </w:pPr>
            <w:r>
              <w:rPr>
                <w:rFonts w:cs="Times New Roman"/>
                <w:kern w:val="0"/>
                <w:sz w:val="18"/>
                <w:szCs w:val="18"/>
              </w:rPr>
              <w:t>（   ）</w:t>
            </w:r>
          </w:p>
        </w:tc>
      </w:tr>
      <w:tr w14:paraId="7542A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4BD78C36">
            <w:pPr>
              <w:widowControl/>
              <w:adjustRightInd/>
              <w:spacing w:line="240" w:lineRule="auto"/>
              <w:ind w:firstLine="0" w:firstLineChars="0"/>
              <w:jc w:val="left"/>
              <w:rPr>
                <w:rFonts w:cs="Times New Roman"/>
                <w:kern w:val="0"/>
                <w:sz w:val="18"/>
                <w:szCs w:val="18"/>
              </w:rPr>
            </w:pPr>
          </w:p>
        </w:tc>
        <w:tc>
          <w:tcPr>
            <w:tcW w:w="734" w:type="pct"/>
            <w:vAlign w:val="center"/>
          </w:tcPr>
          <w:p w14:paraId="7FDCE91D">
            <w:pPr>
              <w:widowControl/>
              <w:adjustRightInd/>
              <w:spacing w:line="240" w:lineRule="auto"/>
              <w:ind w:firstLine="0" w:firstLineChars="0"/>
              <w:jc w:val="center"/>
              <w:rPr>
                <w:rFonts w:cs="Times New Roman"/>
                <w:kern w:val="0"/>
                <w:sz w:val="18"/>
                <w:szCs w:val="18"/>
              </w:rPr>
            </w:pPr>
            <w:r>
              <w:rPr>
                <w:rFonts w:cs="Times New Roman"/>
                <w:kern w:val="0"/>
                <w:sz w:val="18"/>
                <w:szCs w:val="18"/>
              </w:rPr>
              <w:t>预测时期</w:t>
            </w:r>
          </w:p>
        </w:tc>
        <w:tc>
          <w:tcPr>
            <w:tcW w:w="3914" w:type="pct"/>
            <w:gridSpan w:val="12"/>
            <w:vAlign w:val="center"/>
          </w:tcPr>
          <w:p w14:paraId="7A10A65F">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cs="Times New Roman"/>
                <w:kern w:val="0"/>
                <w:sz w:val="18"/>
                <w:szCs w:val="18"/>
              </w:rPr>
              <w:t xml:space="preserve">丰水期 </w:t>
            </w:r>
            <w:r>
              <w:rPr>
                <w:rFonts w:ascii="宋体" w:hAnsi="宋体" w:cs="Times New Roman"/>
                <w:kern w:val="0"/>
                <w:sz w:val="18"/>
                <w:szCs w:val="18"/>
              </w:rPr>
              <w:t>□；</w:t>
            </w:r>
            <w:r>
              <w:rPr>
                <w:rFonts w:cs="Times New Roman"/>
                <w:kern w:val="0"/>
                <w:sz w:val="18"/>
                <w:szCs w:val="18"/>
              </w:rPr>
              <w:t xml:space="preserve">平水期 </w:t>
            </w:r>
            <w:r>
              <w:rPr>
                <w:rFonts w:ascii="宋体" w:hAnsi="宋体" w:cs="Times New Roman"/>
                <w:kern w:val="0"/>
                <w:sz w:val="18"/>
                <w:szCs w:val="18"/>
              </w:rPr>
              <w:t>□；</w:t>
            </w:r>
            <w:r>
              <w:rPr>
                <w:rFonts w:cs="Times New Roman"/>
                <w:kern w:val="0"/>
                <w:sz w:val="18"/>
                <w:szCs w:val="18"/>
              </w:rPr>
              <w:t xml:space="preserve">枯水期 </w:t>
            </w:r>
            <w:r>
              <w:rPr>
                <w:rFonts w:ascii="宋体" w:hAnsi="宋体" w:cs="Times New Roman"/>
                <w:kern w:val="0"/>
                <w:sz w:val="18"/>
                <w:szCs w:val="18"/>
              </w:rPr>
              <w:t>□；</w:t>
            </w:r>
            <w:r>
              <w:rPr>
                <w:rFonts w:cs="Times New Roman"/>
                <w:kern w:val="0"/>
                <w:sz w:val="18"/>
                <w:szCs w:val="18"/>
              </w:rPr>
              <w:t xml:space="preserve">冰封期 </w:t>
            </w:r>
            <w:r>
              <w:rPr>
                <w:rFonts w:ascii="宋体" w:hAnsi="宋体" w:cs="Times New Roman"/>
                <w:kern w:val="0"/>
                <w:sz w:val="18"/>
                <w:szCs w:val="18"/>
              </w:rPr>
              <w:t>□</w:t>
            </w:r>
          </w:p>
          <w:p w14:paraId="55110A08">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cs="Times New Roman"/>
                <w:kern w:val="0"/>
                <w:sz w:val="18"/>
                <w:szCs w:val="18"/>
              </w:rPr>
              <w:t xml:space="preserve">春季 </w:t>
            </w:r>
            <w:r>
              <w:rPr>
                <w:rFonts w:ascii="宋体" w:hAnsi="宋体" w:cs="Times New Roman"/>
                <w:kern w:val="0"/>
                <w:sz w:val="18"/>
                <w:szCs w:val="18"/>
              </w:rPr>
              <w:t>□；</w:t>
            </w:r>
            <w:r>
              <w:rPr>
                <w:rFonts w:cs="Times New Roman"/>
                <w:kern w:val="0"/>
                <w:sz w:val="18"/>
                <w:szCs w:val="18"/>
              </w:rPr>
              <w:t xml:space="preserve">夏季 </w:t>
            </w:r>
            <w:r>
              <w:rPr>
                <w:rFonts w:ascii="宋体" w:hAnsi="宋体" w:cs="Times New Roman"/>
                <w:kern w:val="0"/>
                <w:sz w:val="18"/>
                <w:szCs w:val="18"/>
              </w:rPr>
              <w:t>□；</w:t>
            </w:r>
            <w:r>
              <w:rPr>
                <w:rFonts w:cs="Times New Roman"/>
                <w:kern w:val="0"/>
                <w:sz w:val="18"/>
                <w:szCs w:val="18"/>
              </w:rPr>
              <w:t xml:space="preserve">秋季 </w:t>
            </w:r>
            <w:r>
              <w:rPr>
                <w:rFonts w:ascii="宋体" w:hAnsi="宋体" w:cs="Times New Roman"/>
                <w:kern w:val="0"/>
                <w:sz w:val="18"/>
                <w:szCs w:val="18"/>
              </w:rPr>
              <w:t>□；</w:t>
            </w:r>
            <w:r>
              <w:rPr>
                <w:rFonts w:cs="Times New Roman"/>
                <w:kern w:val="0"/>
                <w:sz w:val="18"/>
                <w:szCs w:val="18"/>
              </w:rPr>
              <w:t xml:space="preserve">冬季 </w:t>
            </w:r>
            <w:r>
              <w:rPr>
                <w:rFonts w:ascii="宋体" w:hAnsi="宋体" w:cs="Times New Roman"/>
                <w:kern w:val="0"/>
                <w:sz w:val="18"/>
                <w:szCs w:val="18"/>
              </w:rPr>
              <w:t>□</w:t>
            </w:r>
          </w:p>
          <w:p w14:paraId="3C4E6AA1">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设计水文条件 </w:t>
            </w:r>
            <w:r>
              <w:rPr>
                <w:rFonts w:ascii="宋体" w:hAnsi="宋体" w:cs="Times New Roman"/>
                <w:kern w:val="0"/>
                <w:sz w:val="18"/>
                <w:szCs w:val="18"/>
              </w:rPr>
              <w:t>□</w:t>
            </w:r>
          </w:p>
        </w:tc>
      </w:tr>
      <w:tr w14:paraId="5DDFD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3CA5EC6A">
            <w:pPr>
              <w:widowControl/>
              <w:adjustRightInd/>
              <w:spacing w:line="240" w:lineRule="auto"/>
              <w:ind w:firstLine="0" w:firstLineChars="0"/>
              <w:jc w:val="left"/>
              <w:rPr>
                <w:rFonts w:cs="Times New Roman"/>
                <w:kern w:val="0"/>
                <w:sz w:val="18"/>
                <w:szCs w:val="18"/>
              </w:rPr>
            </w:pPr>
          </w:p>
        </w:tc>
        <w:tc>
          <w:tcPr>
            <w:tcW w:w="734" w:type="pct"/>
            <w:vAlign w:val="center"/>
          </w:tcPr>
          <w:p w14:paraId="5751012A">
            <w:pPr>
              <w:widowControl/>
              <w:adjustRightInd/>
              <w:spacing w:line="240" w:lineRule="auto"/>
              <w:ind w:firstLine="0" w:firstLineChars="0"/>
              <w:jc w:val="center"/>
              <w:rPr>
                <w:rFonts w:cs="Times New Roman"/>
                <w:kern w:val="0"/>
                <w:sz w:val="18"/>
                <w:szCs w:val="18"/>
              </w:rPr>
            </w:pPr>
            <w:r>
              <w:rPr>
                <w:rFonts w:cs="Times New Roman"/>
                <w:kern w:val="0"/>
                <w:sz w:val="18"/>
                <w:szCs w:val="18"/>
              </w:rPr>
              <w:t>预测情景</w:t>
            </w:r>
          </w:p>
        </w:tc>
        <w:tc>
          <w:tcPr>
            <w:tcW w:w="3914" w:type="pct"/>
            <w:gridSpan w:val="12"/>
            <w:vAlign w:val="center"/>
          </w:tcPr>
          <w:p w14:paraId="3FA08AFB">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cs="Times New Roman"/>
                <w:kern w:val="0"/>
                <w:sz w:val="18"/>
                <w:szCs w:val="18"/>
              </w:rPr>
              <w:t xml:space="preserve">建设期 </w:t>
            </w:r>
            <w:r>
              <w:rPr>
                <w:rFonts w:ascii="宋体" w:hAnsi="宋体" w:cs="Times New Roman"/>
                <w:kern w:val="0"/>
                <w:sz w:val="18"/>
                <w:szCs w:val="18"/>
              </w:rPr>
              <w:t>□；</w:t>
            </w:r>
            <w:r>
              <w:rPr>
                <w:rFonts w:cs="Times New Roman"/>
                <w:kern w:val="0"/>
                <w:sz w:val="18"/>
                <w:szCs w:val="18"/>
              </w:rPr>
              <w:t xml:space="preserve">生产运行期 </w:t>
            </w:r>
            <w:r>
              <w:rPr>
                <w:rFonts w:ascii="宋体" w:hAnsi="宋体" w:cs="Times New Roman"/>
                <w:kern w:val="0"/>
                <w:sz w:val="18"/>
                <w:szCs w:val="18"/>
              </w:rPr>
              <w:t>□；</w:t>
            </w:r>
            <w:r>
              <w:rPr>
                <w:rFonts w:cs="Times New Roman"/>
                <w:kern w:val="0"/>
                <w:sz w:val="18"/>
                <w:szCs w:val="18"/>
              </w:rPr>
              <w:t xml:space="preserve">服务期满后 </w:t>
            </w:r>
            <w:r>
              <w:rPr>
                <w:rFonts w:ascii="宋体" w:hAnsi="宋体" w:cs="Times New Roman"/>
                <w:kern w:val="0"/>
                <w:sz w:val="18"/>
                <w:szCs w:val="18"/>
              </w:rPr>
              <w:t>□</w:t>
            </w:r>
          </w:p>
          <w:p w14:paraId="15E394D1">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cs="Times New Roman"/>
                <w:kern w:val="0"/>
                <w:sz w:val="18"/>
                <w:szCs w:val="18"/>
              </w:rPr>
              <w:t xml:space="preserve">正常工况 </w:t>
            </w:r>
            <w:r>
              <w:rPr>
                <w:rFonts w:ascii="宋体" w:hAnsi="宋体" w:cs="Times New Roman"/>
                <w:kern w:val="0"/>
                <w:sz w:val="18"/>
                <w:szCs w:val="18"/>
              </w:rPr>
              <w:t>□；</w:t>
            </w:r>
            <w:r>
              <w:rPr>
                <w:rFonts w:cs="Times New Roman"/>
                <w:kern w:val="0"/>
                <w:sz w:val="18"/>
                <w:szCs w:val="18"/>
              </w:rPr>
              <w:t xml:space="preserve">非正常工况 </w:t>
            </w:r>
            <w:r>
              <w:rPr>
                <w:rFonts w:ascii="宋体" w:hAnsi="宋体" w:cs="Times New Roman"/>
                <w:kern w:val="0"/>
                <w:sz w:val="18"/>
                <w:szCs w:val="18"/>
              </w:rPr>
              <w:t>□</w:t>
            </w:r>
          </w:p>
          <w:p w14:paraId="6886EB4A">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cs="Times New Roman"/>
                <w:kern w:val="0"/>
                <w:sz w:val="18"/>
                <w:szCs w:val="18"/>
              </w:rPr>
              <w:t xml:space="preserve">污染控制和减缓措施方案 </w:t>
            </w:r>
            <w:r>
              <w:rPr>
                <w:rFonts w:ascii="宋体" w:hAnsi="宋体" w:cs="Times New Roman"/>
                <w:kern w:val="0"/>
                <w:sz w:val="18"/>
                <w:szCs w:val="18"/>
              </w:rPr>
              <w:t>□</w:t>
            </w:r>
          </w:p>
          <w:p w14:paraId="58487AC3">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区（流）域环境质量改善目标要求情景 </w:t>
            </w:r>
            <w:r>
              <w:rPr>
                <w:rFonts w:ascii="宋体" w:hAnsi="宋体" w:cs="Times New Roman"/>
                <w:kern w:val="0"/>
                <w:sz w:val="18"/>
                <w:szCs w:val="18"/>
              </w:rPr>
              <w:t>□</w:t>
            </w:r>
          </w:p>
        </w:tc>
      </w:tr>
      <w:tr w14:paraId="09F8F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2400EB83">
            <w:pPr>
              <w:widowControl/>
              <w:adjustRightInd/>
              <w:spacing w:line="240" w:lineRule="auto"/>
              <w:ind w:firstLine="0" w:firstLineChars="0"/>
              <w:jc w:val="left"/>
              <w:rPr>
                <w:rFonts w:cs="Times New Roman"/>
                <w:kern w:val="0"/>
                <w:sz w:val="18"/>
                <w:szCs w:val="18"/>
              </w:rPr>
            </w:pPr>
          </w:p>
        </w:tc>
        <w:tc>
          <w:tcPr>
            <w:tcW w:w="734" w:type="pct"/>
            <w:vAlign w:val="center"/>
          </w:tcPr>
          <w:p w14:paraId="7DD750E7">
            <w:pPr>
              <w:widowControl/>
              <w:adjustRightInd/>
              <w:spacing w:line="240" w:lineRule="auto"/>
              <w:ind w:firstLine="0" w:firstLineChars="0"/>
              <w:jc w:val="center"/>
              <w:rPr>
                <w:rFonts w:cs="Times New Roman"/>
                <w:kern w:val="0"/>
                <w:sz w:val="18"/>
                <w:szCs w:val="18"/>
              </w:rPr>
            </w:pPr>
            <w:r>
              <w:rPr>
                <w:rFonts w:cs="Times New Roman"/>
                <w:kern w:val="0"/>
                <w:sz w:val="18"/>
                <w:szCs w:val="18"/>
              </w:rPr>
              <w:t>预测方法</w:t>
            </w:r>
          </w:p>
        </w:tc>
        <w:tc>
          <w:tcPr>
            <w:tcW w:w="3914" w:type="pct"/>
            <w:gridSpan w:val="12"/>
            <w:noWrap/>
            <w:vAlign w:val="center"/>
          </w:tcPr>
          <w:p w14:paraId="7BE72DD1">
            <w:pPr>
              <w:widowControl/>
              <w:adjustRightInd/>
              <w:spacing w:line="240" w:lineRule="auto"/>
              <w:ind w:firstLine="0" w:firstLineChars="0"/>
              <w:rPr>
                <w:rFonts w:ascii="宋体" w:hAnsi="宋体" w:cs="Times New Roman"/>
                <w:kern w:val="0"/>
                <w:sz w:val="18"/>
                <w:szCs w:val="18"/>
              </w:rPr>
            </w:pPr>
            <w:r>
              <w:rPr>
                <w:rFonts w:cs="Times New Roman"/>
                <w:kern w:val="0"/>
                <w:sz w:val="18"/>
                <w:szCs w:val="18"/>
              </w:rPr>
              <w:t xml:space="preserve">数值解 </w:t>
            </w:r>
            <w:r>
              <w:rPr>
                <w:rFonts w:ascii="宋体" w:hAnsi="宋体" w:cs="Times New Roman"/>
                <w:kern w:val="0"/>
                <w:sz w:val="18"/>
                <w:szCs w:val="18"/>
              </w:rPr>
              <w:t>□：</w:t>
            </w:r>
            <w:r>
              <w:rPr>
                <w:rFonts w:cs="Times New Roman"/>
                <w:kern w:val="0"/>
                <w:sz w:val="18"/>
                <w:szCs w:val="18"/>
              </w:rPr>
              <w:t xml:space="preserve">解析解 </w:t>
            </w:r>
            <w:r>
              <w:rPr>
                <w:rFonts w:ascii="宋体" w:hAnsi="宋体" w:cs="Times New Roman"/>
                <w:kern w:val="0"/>
                <w:sz w:val="18"/>
                <w:szCs w:val="18"/>
              </w:rPr>
              <w:t>□；</w:t>
            </w:r>
            <w:r>
              <w:rPr>
                <w:rFonts w:cs="Times New Roman"/>
                <w:kern w:val="0"/>
                <w:sz w:val="18"/>
                <w:szCs w:val="18"/>
              </w:rPr>
              <w:t xml:space="preserve">其他 </w:t>
            </w:r>
            <w:r>
              <w:rPr>
                <w:rFonts w:ascii="宋体" w:hAnsi="宋体" w:cs="Times New Roman"/>
                <w:kern w:val="0"/>
                <w:sz w:val="18"/>
                <w:szCs w:val="18"/>
              </w:rPr>
              <w:t>□</w:t>
            </w:r>
          </w:p>
          <w:p w14:paraId="3A67DDE5">
            <w:pPr>
              <w:widowControl/>
              <w:adjustRightInd/>
              <w:spacing w:line="240" w:lineRule="auto"/>
              <w:ind w:firstLine="0" w:firstLineChars="0"/>
              <w:rPr>
                <w:rFonts w:cs="Times New Roman"/>
                <w:kern w:val="0"/>
                <w:sz w:val="18"/>
                <w:szCs w:val="18"/>
              </w:rPr>
            </w:pPr>
            <w:r>
              <w:rPr>
                <w:rFonts w:hint="eastAsia" w:cs="Times New Roman"/>
                <w:kern w:val="0"/>
                <w:sz w:val="18"/>
                <w:szCs w:val="18"/>
              </w:rPr>
              <w:t xml:space="preserve">导则推荐模式 </w:t>
            </w:r>
            <w:r>
              <w:rPr>
                <w:rFonts w:ascii="宋体" w:hAnsi="宋体" w:cs="Times New Roman"/>
                <w:kern w:val="0"/>
                <w:sz w:val="18"/>
                <w:szCs w:val="18"/>
              </w:rPr>
              <w:t>□：</w:t>
            </w:r>
            <w:r>
              <w:rPr>
                <w:rFonts w:cs="Times New Roman"/>
                <w:kern w:val="0"/>
                <w:sz w:val="18"/>
                <w:szCs w:val="18"/>
              </w:rPr>
              <w:t xml:space="preserve">其他 </w:t>
            </w:r>
            <w:r>
              <w:rPr>
                <w:rFonts w:ascii="宋体" w:hAnsi="宋体" w:cs="Times New Roman"/>
                <w:kern w:val="0"/>
                <w:sz w:val="18"/>
                <w:szCs w:val="18"/>
              </w:rPr>
              <w:t>□</w:t>
            </w:r>
          </w:p>
        </w:tc>
      </w:tr>
      <w:tr w14:paraId="7559F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restart"/>
            <w:noWrap/>
            <w:textDirection w:val="tbRlV"/>
            <w:vAlign w:val="center"/>
          </w:tcPr>
          <w:p w14:paraId="17ED228C">
            <w:pPr>
              <w:widowControl/>
              <w:adjustRightInd/>
              <w:spacing w:line="240" w:lineRule="auto"/>
              <w:ind w:firstLine="0" w:firstLineChars="0"/>
              <w:jc w:val="center"/>
              <w:rPr>
                <w:rFonts w:cs="Times New Roman"/>
                <w:kern w:val="0"/>
                <w:sz w:val="18"/>
                <w:szCs w:val="18"/>
              </w:rPr>
            </w:pPr>
            <w:r>
              <w:rPr>
                <w:rFonts w:cs="Times New Roman"/>
                <w:kern w:val="0"/>
                <w:sz w:val="18"/>
                <w:szCs w:val="18"/>
              </w:rPr>
              <w:t>影响评价</w:t>
            </w:r>
          </w:p>
        </w:tc>
        <w:tc>
          <w:tcPr>
            <w:tcW w:w="734" w:type="pct"/>
            <w:vAlign w:val="center"/>
          </w:tcPr>
          <w:p w14:paraId="436D1627">
            <w:pPr>
              <w:widowControl/>
              <w:adjustRightInd/>
              <w:spacing w:line="240" w:lineRule="auto"/>
              <w:ind w:firstLine="0" w:firstLineChars="0"/>
              <w:jc w:val="center"/>
              <w:rPr>
                <w:rFonts w:cs="Times New Roman"/>
                <w:kern w:val="0"/>
                <w:sz w:val="18"/>
                <w:szCs w:val="18"/>
              </w:rPr>
            </w:pPr>
            <w:r>
              <w:rPr>
                <w:rFonts w:cs="Times New Roman"/>
                <w:kern w:val="0"/>
                <w:sz w:val="18"/>
                <w:szCs w:val="18"/>
              </w:rPr>
              <w:t>水污染控制和水环境影响减缓措施有效性评价</w:t>
            </w:r>
          </w:p>
        </w:tc>
        <w:tc>
          <w:tcPr>
            <w:tcW w:w="3914" w:type="pct"/>
            <w:gridSpan w:val="12"/>
            <w:noWrap/>
            <w:vAlign w:val="center"/>
          </w:tcPr>
          <w:p w14:paraId="40060600">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区（流）域水环境质量改善目标 </w:t>
            </w:r>
            <w:r>
              <w:rPr>
                <w:rFonts w:ascii="宋体" w:hAnsi="宋体" w:cs="Times New Roman"/>
                <w:kern w:val="0"/>
                <w:sz w:val="18"/>
                <w:szCs w:val="18"/>
              </w:rPr>
              <w:t>□；</w:t>
            </w:r>
            <w:r>
              <w:rPr>
                <w:rFonts w:cs="Times New Roman"/>
                <w:kern w:val="0"/>
                <w:sz w:val="18"/>
                <w:szCs w:val="18"/>
              </w:rPr>
              <w:t xml:space="preserve">替代削减源 </w:t>
            </w:r>
            <w:r>
              <w:rPr>
                <w:rFonts w:ascii="宋体" w:hAnsi="宋体" w:cs="Times New Roman"/>
                <w:kern w:val="0"/>
                <w:sz w:val="18"/>
                <w:szCs w:val="18"/>
              </w:rPr>
              <w:t>□</w:t>
            </w:r>
          </w:p>
        </w:tc>
      </w:tr>
      <w:tr w14:paraId="4750D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2B0983CD">
            <w:pPr>
              <w:widowControl/>
              <w:adjustRightInd/>
              <w:spacing w:line="240" w:lineRule="auto"/>
              <w:ind w:firstLine="0" w:firstLineChars="0"/>
              <w:jc w:val="left"/>
              <w:rPr>
                <w:rFonts w:cs="Times New Roman"/>
                <w:kern w:val="0"/>
                <w:sz w:val="18"/>
                <w:szCs w:val="18"/>
              </w:rPr>
            </w:pPr>
          </w:p>
        </w:tc>
        <w:tc>
          <w:tcPr>
            <w:tcW w:w="734" w:type="pct"/>
            <w:vAlign w:val="center"/>
          </w:tcPr>
          <w:p w14:paraId="7B35C42B">
            <w:pPr>
              <w:widowControl/>
              <w:adjustRightInd/>
              <w:spacing w:line="240" w:lineRule="auto"/>
              <w:ind w:firstLine="0" w:firstLineChars="0"/>
              <w:jc w:val="center"/>
              <w:rPr>
                <w:rFonts w:cs="Times New Roman"/>
                <w:kern w:val="0"/>
                <w:sz w:val="18"/>
                <w:szCs w:val="18"/>
              </w:rPr>
            </w:pPr>
            <w:r>
              <w:rPr>
                <w:rFonts w:cs="Times New Roman"/>
                <w:kern w:val="0"/>
                <w:sz w:val="18"/>
                <w:szCs w:val="18"/>
              </w:rPr>
              <w:t>水环境影响评价</w:t>
            </w:r>
          </w:p>
        </w:tc>
        <w:tc>
          <w:tcPr>
            <w:tcW w:w="3914" w:type="pct"/>
            <w:gridSpan w:val="12"/>
            <w:vAlign w:val="center"/>
          </w:tcPr>
          <w:p w14:paraId="041EC1B1">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cs="Times New Roman"/>
                <w:kern w:val="0"/>
                <w:sz w:val="18"/>
                <w:szCs w:val="18"/>
              </w:rPr>
              <w:t>排</w:t>
            </w:r>
            <w:r>
              <w:rPr>
                <w:rFonts w:hint="eastAsia" w:cs="Times New Roman"/>
                <w:kern w:val="0"/>
                <w:sz w:val="18"/>
                <w:szCs w:val="18"/>
              </w:rPr>
              <w:t>放</w:t>
            </w:r>
            <w:r>
              <w:rPr>
                <w:rFonts w:cs="Times New Roman"/>
                <w:kern w:val="0"/>
                <w:sz w:val="18"/>
                <w:szCs w:val="18"/>
              </w:rPr>
              <w:t>口混合区</w:t>
            </w:r>
            <w:r>
              <w:rPr>
                <w:rFonts w:hint="eastAsia" w:cs="Times New Roman"/>
                <w:kern w:val="0"/>
                <w:sz w:val="18"/>
                <w:szCs w:val="18"/>
              </w:rPr>
              <w:t>外满足水</w:t>
            </w:r>
            <w:r>
              <w:rPr>
                <w:rFonts w:cs="Times New Roman"/>
                <w:kern w:val="0"/>
                <w:sz w:val="18"/>
                <w:szCs w:val="18"/>
              </w:rPr>
              <w:t xml:space="preserve">环境管理要求 </w:t>
            </w:r>
            <w:r>
              <w:rPr>
                <w:rFonts w:ascii="宋体" w:hAnsi="宋体" w:cs="Times New Roman"/>
                <w:kern w:val="0"/>
                <w:sz w:val="18"/>
                <w:szCs w:val="18"/>
              </w:rPr>
              <w:t>□</w:t>
            </w:r>
          </w:p>
          <w:p w14:paraId="27F4DE8C">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hint="eastAsia" w:cs="Times New Roman"/>
                <w:kern w:val="0"/>
                <w:sz w:val="18"/>
                <w:szCs w:val="18"/>
              </w:rPr>
              <w:t>水环境功能区或水功能区</w:t>
            </w:r>
            <w:r>
              <w:rPr>
                <w:rFonts w:cs="Times New Roman"/>
                <w:kern w:val="0"/>
                <w:sz w:val="18"/>
                <w:szCs w:val="18"/>
              </w:rPr>
              <w:t xml:space="preserve">、近岸海域环境功能区水质达标 </w:t>
            </w:r>
            <w:r>
              <w:rPr>
                <w:rFonts w:ascii="宋体" w:hAnsi="宋体" w:cs="Times New Roman"/>
                <w:kern w:val="0"/>
                <w:sz w:val="18"/>
                <w:szCs w:val="18"/>
              </w:rPr>
              <w:t>□</w:t>
            </w:r>
          </w:p>
          <w:p w14:paraId="6E1034F2">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cs="Times New Roman"/>
                <w:kern w:val="0"/>
                <w:sz w:val="18"/>
                <w:szCs w:val="18"/>
              </w:rPr>
              <w:t xml:space="preserve">满足水环境保护目标水域水环境质量要求 </w:t>
            </w:r>
            <w:r>
              <w:rPr>
                <w:rFonts w:ascii="宋体" w:hAnsi="宋体" w:cs="Times New Roman"/>
                <w:kern w:val="0"/>
                <w:sz w:val="18"/>
                <w:szCs w:val="18"/>
              </w:rPr>
              <w:t>□</w:t>
            </w:r>
          </w:p>
          <w:p w14:paraId="45F636D1">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cs="Times New Roman"/>
                <w:kern w:val="0"/>
                <w:sz w:val="18"/>
                <w:szCs w:val="18"/>
              </w:rPr>
              <w:t>水环境控制单元</w:t>
            </w:r>
            <w:r>
              <w:rPr>
                <w:rFonts w:hint="eastAsia" w:cs="Times New Roman"/>
                <w:kern w:val="0"/>
                <w:sz w:val="18"/>
                <w:szCs w:val="18"/>
              </w:rPr>
              <w:t>或</w:t>
            </w:r>
            <w:r>
              <w:rPr>
                <w:rFonts w:cs="Times New Roman"/>
                <w:kern w:val="0"/>
                <w:sz w:val="18"/>
                <w:szCs w:val="18"/>
              </w:rPr>
              <w:t xml:space="preserve">断面水质达标 </w:t>
            </w:r>
            <w:r>
              <w:rPr>
                <w:rFonts w:ascii="宋体" w:hAnsi="宋体" w:cs="Times New Roman"/>
                <w:kern w:val="0"/>
                <w:sz w:val="18"/>
                <w:szCs w:val="18"/>
              </w:rPr>
              <w:t>□</w:t>
            </w:r>
          </w:p>
          <w:p w14:paraId="2A50697C">
            <w:pPr>
              <w:widowControl/>
              <w:adjustRightInd/>
              <w:spacing w:line="240" w:lineRule="auto"/>
              <w:ind w:firstLine="0" w:firstLineChars="0"/>
              <w:jc w:val="left"/>
              <w:rPr>
                <w:rFonts w:cs="Times New Roman"/>
                <w:kern w:val="0"/>
                <w:sz w:val="18"/>
                <w:szCs w:val="18"/>
              </w:rPr>
            </w:pPr>
            <w:r>
              <w:rPr>
                <w:rFonts w:cs="Times New Roman"/>
                <w:kern w:val="0"/>
                <w:sz w:val="18"/>
                <w:szCs w:val="18"/>
              </w:rPr>
              <w:t>满足重点水污染物排放总量控制指标要求</w:t>
            </w:r>
            <w:r>
              <w:rPr>
                <w:rFonts w:hint="eastAsia" w:cs="Times New Roman"/>
                <w:kern w:val="0"/>
                <w:sz w:val="18"/>
                <w:szCs w:val="18"/>
              </w:rPr>
              <w:t>，重点行业建设项目， 主要污染物排放满足等量或减量替代要求</w:t>
            </w:r>
            <w:r>
              <w:rPr>
                <w:rFonts w:cs="Times New Roman"/>
                <w:kern w:val="0"/>
                <w:sz w:val="18"/>
                <w:szCs w:val="18"/>
              </w:rPr>
              <w:t xml:space="preserve"> </w:t>
            </w:r>
            <w:r>
              <w:rPr>
                <w:rFonts w:ascii="宋体" w:hAnsi="宋体" w:cs="Times New Roman"/>
                <w:kern w:val="0"/>
                <w:sz w:val="18"/>
                <w:szCs w:val="18"/>
              </w:rPr>
              <w:t>□</w:t>
            </w:r>
          </w:p>
          <w:p w14:paraId="35BDB90C">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cs="Times New Roman"/>
                <w:kern w:val="0"/>
                <w:sz w:val="18"/>
                <w:szCs w:val="18"/>
              </w:rPr>
              <w:t xml:space="preserve">满足区（流）域水环境质量改善目标要求 </w:t>
            </w:r>
            <w:r>
              <w:rPr>
                <w:rFonts w:ascii="宋体" w:hAnsi="宋体" w:cs="Times New Roman"/>
                <w:kern w:val="0"/>
                <w:sz w:val="18"/>
                <w:szCs w:val="18"/>
              </w:rPr>
              <w:t>□</w:t>
            </w:r>
          </w:p>
          <w:p w14:paraId="727A94B1">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cs="Times New Roman"/>
                <w:kern w:val="0"/>
                <w:sz w:val="18"/>
                <w:szCs w:val="18"/>
              </w:rPr>
              <w:t>水文要素影响型建设项目同时应包括水文情势变化评价、</w:t>
            </w:r>
            <w:r>
              <w:rPr>
                <w:rFonts w:hint="eastAsia" w:cs="Times New Roman"/>
                <w:kern w:val="0"/>
                <w:sz w:val="18"/>
                <w:szCs w:val="18"/>
              </w:rPr>
              <w:t>主要水文特征值影响评价、</w:t>
            </w:r>
            <w:r>
              <w:rPr>
                <w:rFonts w:cs="Times New Roman"/>
                <w:kern w:val="0"/>
                <w:sz w:val="18"/>
                <w:szCs w:val="18"/>
              </w:rPr>
              <w:t xml:space="preserve">生态流量符合性评价 </w:t>
            </w:r>
            <w:r>
              <w:rPr>
                <w:rFonts w:ascii="宋体" w:hAnsi="宋体" w:cs="Times New Roman"/>
                <w:kern w:val="0"/>
                <w:sz w:val="18"/>
                <w:szCs w:val="18"/>
              </w:rPr>
              <w:t>□</w:t>
            </w:r>
          </w:p>
          <w:p w14:paraId="6F860D3D">
            <w:pPr>
              <w:widowControl/>
              <w:adjustRightInd/>
              <w:spacing w:line="240" w:lineRule="auto"/>
              <w:ind w:firstLine="0" w:firstLineChars="0"/>
              <w:jc w:val="left"/>
              <w:rPr>
                <w:rFonts w:hint="eastAsia" w:ascii="宋体" w:hAnsi="宋体" w:eastAsia="宋体" w:cs="Times New Roman"/>
                <w:kern w:val="0"/>
                <w:sz w:val="18"/>
                <w:szCs w:val="18"/>
                <w:lang w:eastAsia="zh-CN"/>
              </w:rPr>
            </w:pPr>
            <w:r>
              <w:rPr>
                <w:rFonts w:cs="Times New Roman"/>
                <w:kern w:val="0"/>
                <w:sz w:val="18"/>
                <w:szCs w:val="18"/>
              </w:rPr>
              <w:t>对于新设或调整入河（湖库、近岸海域）排放口的建设项目，应包括排</w:t>
            </w:r>
            <w:r>
              <w:rPr>
                <w:rFonts w:hint="eastAsia" w:cs="Times New Roman"/>
                <w:kern w:val="0"/>
                <w:sz w:val="18"/>
                <w:szCs w:val="18"/>
              </w:rPr>
              <w:t>放</w:t>
            </w:r>
            <w:r>
              <w:rPr>
                <w:rFonts w:cs="Times New Roman"/>
                <w:kern w:val="0"/>
                <w:sz w:val="18"/>
                <w:szCs w:val="18"/>
              </w:rPr>
              <w:t xml:space="preserve">口设置的环境合理性评价 </w:t>
            </w:r>
            <w:r>
              <w:rPr>
                <w:rFonts w:ascii="宋体" w:hAnsi="宋体" w:cs="Times New Roman"/>
                <w:kern w:val="0"/>
                <w:sz w:val="18"/>
                <w:szCs w:val="18"/>
              </w:rPr>
              <w:t>□</w:t>
            </w:r>
          </w:p>
          <w:p w14:paraId="255AFB03">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满足生态保护红线、水环境质量底线、资源利用上线和环境准入清单管理要求 </w:t>
            </w:r>
            <w:r>
              <w:rPr>
                <w:rFonts w:ascii="宋体" w:hAnsi="宋体" w:cs="Times New Roman"/>
                <w:kern w:val="0"/>
                <w:sz w:val="18"/>
                <w:szCs w:val="18"/>
              </w:rPr>
              <w:t>□</w:t>
            </w:r>
          </w:p>
        </w:tc>
      </w:tr>
      <w:tr w14:paraId="486AE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4576205B">
            <w:pPr>
              <w:widowControl/>
              <w:adjustRightInd/>
              <w:spacing w:line="240" w:lineRule="auto"/>
              <w:ind w:firstLine="0" w:firstLineChars="0"/>
              <w:jc w:val="left"/>
              <w:rPr>
                <w:rFonts w:cs="Times New Roman"/>
                <w:kern w:val="0"/>
                <w:sz w:val="18"/>
                <w:szCs w:val="18"/>
              </w:rPr>
            </w:pPr>
          </w:p>
        </w:tc>
        <w:tc>
          <w:tcPr>
            <w:tcW w:w="734" w:type="pct"/>
            <w:vMerge w:val="restart"/>
            <w:vAlign w:val="center"/>
          </w:tcPr>
          <w:p w14:paraId="6F4C1697">
            <w:pPr>
              <w:widowControl/>
              <w:adjustRightInd/>
              <w:spacing w:line="240" w:lineRule="auto"/>
              <w:ind w:firstLine="0" w:firstLineChars="0"/>
              <w:jc w:val="center"/>
              <w:rPr>
                <w:rFonts w:cs="Times New Roman"/>
                <w:kern w:val="0"/>
                <w:sz w:val="18"/>
                <w:szCs w:val="18"/>
              </w:rPr>
            </w:pPr>
            <w:r>
              <w:rPr>
                <w:rFonts w:hint="eastAsia" w:cs="Times New Roman"/>
                <w:kern w:val="0"/>
                <w:sz w:val="18"/>
                <w:szCs w:val="18"/>
              </w:rPr>
              <w:t>污染源排放量</w:t>
            </w:r>
            <w:r>
              <w:rPr>
                <w:rFonts w:cs="Times New Roman"/>
                <w:kern w:val="0"/>
                <w:sz w:val="18"/>
                <w:szCs w:val="18"/>
              </w:rPr>
              <w:t>核算</w:t>
            </w:r>
          </w:p>
        </w:tc>
        <w:tc>
          <w:tcPr>
            <w:tcW w:w="719" w:type="pct"/>
            <w:gridSpan w:val="3"/>
            <w:noWrap/>
            <w:vAlign w:val="center"/>
          </w:tcPr>
          <w:p w14:paraId="64C75788">
            <w:pPr>
              <w:widowControl/>
              <w:adjustRightInd/>
              <w:spacing w:line="240" w:lineRule="auto"/>
              <w:ind w:firstLine="0" w:firstLineChars="0"/>
              <w:jc w:val="center"/>
              <w:rPr>
                <w:rFonts w:cs="Times New Roman"/>
                <w:kern w:val="0"/>
                <w:sz w:val="18"/>
                <w:szCs w:val="18"/>
              </w:rPr>
            </w:pPr>
            <w:r>
              <w:rPr>
                <w:rFonts w:cs="Times New Roman"/>
                <w:kern w:val="0"/>
                <w:sz w:val="18"/>
                <w:szCs w:val="18"/>
              </w:rPr>
              <w:t>污染物名称</w:t>
            </w:r>
          </w:p>
        </w:tc>
        <w:tc>
          <w:tcPr>
            <w:tcW w:w="1388" w:type="pct"/>
            <w:gridSpan w:val="5"/>
            <w:vAlign w:val="center"/>
          </w:tcPr>
          <w:p w14:paraId="6519B1EA">
            <w:pPr>
              <w:widowControl/>
              <w:adjustRightInd/>
              <w:spacing w:line="240" w:lineRule="auto"/>
              <w:ind w:firstLine="0" w:firstLineChars="0"/>
              <w:jc w:val="center"/>
              <w:rPr>
                <w:rFonts w:cs="Times New Roman"/>
                <w:kern w:val="0"/>
                <w:sz w:val="18"/>
                <w:szCs w:val="18"/>
              </w:rPr>
            </w:pPr>
            <w:r>
              <w:rPr>
                <w:rFonts w:cs="Times New Roman"/>
                <w:kern w:val="0"/>
                <w:sz w:val="18"/>
                <w:szCs w:val="18"/>
              </w:rPr>
              <w:t>排放量</w:t>
            </w:r>
            <w:r>
              <w:rPr>
                <w:rFonts w:hint="eastAsia" w:cs="Times New Roman"/>
                <w:kern w:val="0"/>
                <w:sz w:val="18"/>
                <w:szCs w:val="18"/>
              </w:rPr>
              <w:t>/</w:t>
            </w:r>
            <w:r>
              <w:rPr>
                <w:rFonts w:cs="Times New Roman"/>
                <w:kern w:val="0"/>
                <w:sz w:val="18"/>
                <w:szCs w:val="18"/>
              </w:rPr>
              <w:t>（</w:t>
            </w:r>
            <w:r>
              <w:rPr>
                <w:rFonts w:hint="eastAsia" w:ascii="宋体" w:hAnsi="宋体" w:cs="Times New Roman"/>
                <w:sz w:val="18"/>
                <w:szCs w:val="18"/>
              </w:rPr>
              <w:t>t/a</w:t>
            </w:r>
            <w:r>
              <w:rPr>
                <w:rFonts w:cs="Times New Roman"/>
                <w:kern w:val="0"/>
                <w:sz w:val="18"/>
                <w:szCs w:val="18"/>
              </w:rPr>
              <w:t>）</w:t>
            </w:r>
          </w:p>
        </w:tc>
        <w:tc>
          <w:tcPr>
            <w:tcW w:w="1807" w:type="pct"/>
            <w:gridSpan w:val="4"/>
            <w:vAlign w:val="center"/>
          </w:tcPr>
          <w:p w14:paraId="0DE08D6F">
            <w:pPr>
              <w:widowControl/>
              <w:adjustRightInd/>
              <w:spacing w:line="240" w:lineRule="auto"/>
              <w:ind w:firstLine="0" w:firstLineChars="0"/>
              <w:jc w:val="center"/>
              <w:rPr>
                <w:rFonts w:cs="Times New Roman"/>
                <w:kern w:val="0"/>
                <w:sz w:val="18"/>
                <w:szCs w:val="18"/>
              </w:rPr>
            </w:pPr>
            <w:r>
              <w:rPr>
                <w:rFonts w:cs="Times New Roman"/>
                <w:kern w:val="0"/>
                <w:sz w:val="18"/>
                <w:szCs w:val="18"/>
              </w:rPr>
              <w:t>排放浓度</w:t>
            </w:r>
            <w:r>
              <w:rPr>
                <w:rFonts w:hint="eastAsia" w:cs="Times New Roman"/>
                <w:kern w:val="0"/>
                <w:sz w:val="18"/>
                <w:szCs w:val="18"/>
              </w:rPr>
              <w:t>/</w:t>
            </w:r>
            <w:r>
              <w:rPr>
                <w:rFonts w:cs="Times New Roman"/>
                <w:kern w:val="0"/>
                <w:sz w:val="18"/>
                <w:szCs w:val="18"/>
              </w:rPr>
              <w:t>（mg/L）</w:t>
            </w:r>
          </w:p>
        </w:tc>
      </w:tr>
      <w:tr w14:paraId="17C19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71E45FF1">
            <w:pPr>
              <w:widowControl/>
              <w:adjustRightInd/>
              <w:spacing w:line="240" w:lineRule="auto"/>
              <w:ind w:firstLine="0" w:firstLineChars="0"/>
              <w:jc w:val="left"/>
              <w:rPr>
                <w:rFonts w:cs="Times New Roman"/>
                <w:kern w:val="0"/>
                <w:sz w:val="18"/>
                <w:szCs w:val="18"/>
              </w:rPr>
            </w:pPr>
          </w:p>
        </w:tc>
        <w:tc>
          <w:tcPr>
            <w:tcW w:w="734" w:type="pct"/>
            <w:vMerge w:val="continue"/>
            <w:vAlign w:val="center"/>
          </w:tcPr>
          <w:p w14:paraId="06E9E8BD">
            <w:pPr>
              <w:widowControl/>
              <w:adjustRightInd/>
              <w:spacing w:line="240" w:lineRule="auto"/>
              <w:ind w:firstLine="0" w:firstLineChars="0"/>
              <w:jc w:val="center"/>
              <w:rPr>
                <w:rFonts w:cs="Times New Roman"/>
                <w:kern w:val="0"/>
                <w:sz w:val="18"/>
                <w:szCs w:val="18"/>
              </w:rPr>
            </w:pPr>
          </w:p>
        </w:tc>
        <w:tc>
          <w:tcPr>
            <w:tcW w:w="719" w:type="pct"/>
            <w:gridSpan w:val="3"/>
            <w:noWrap/>
            <w:vAlign w:val="center"/>
          </w:tcPr>
          <w:p w14:paraId="626D637F">
            <w:pPr>
              <w:widowControl/>
              <w:adjustRightInd/>
              <w:spacing w:line="240" w:lineRule="auto"/>
              <w:ind w:firstLine="0" w:firstLineChars="0"/>
              <w:jc w:val="center"/>
              <w:rPr>
                <w:rFonts w:cs="Times New Roman"/>
                <w:kern w:val="0"/>
                <w:sz w:val="18"/>
                <w:szCs w:val="18"/>
              </w:rPr>
            </w:pPr>
            <w:r>
              <w:rPr>
                <w:rFonts w:cs="Times New Roman"/>
                <w:kern w:val="0"/>
                <w:sz w:val="18"/>
                <w:szCs w:val="18"/>
              </w:rPr>
              <w:t>（</w:t>
            </w:r>
            <w:r>
              <w:rPr>
                <w:rFonts w:hint="eastAsia" w:cs="Times New Roman"/>
                <w:kern w:val="0"/>
                <w:sz w:val="18"/>
                <w:szCs w:val="18"/>
              </w:rPr>
              <w:t>CODcr、氨氮</w:t>
            </w:r>
            <w:r>
              <w:rPr>
                <w:rFonts w:cs="Times New Roman"/>
                <w:kern w:val="0"/>
                <w:sz w:val="18"/>
                <w:szCs w:val="18"/>
              </w:rPr>
              <w:t>）</w:t>
            </w:r>
          </w:p>
        </w:tc>
        <w:tc>
          <w:tcPr>
            <w:tcW w:w="1388" w:type="pct"/>
            <w:gridSpan w:val="5"/>
            <w:vAlign w:val="center"/>
          </w:tcPr>
          <w:p w14:paraId="484BAAD5">
            <w:pPr>
              <w:widowControl/>
              <w:adjustRightInd/>
              <w:spacing w:line="240" w:lineRule="auto"/>
              <w:ind w:firstLine="0" w:firstLineChars="0"/>
              <w:jc w:val="center"/>
              <w:rPr>
                <w:rFonts w:cs="Times New Roman"/>
                <w:kern w:val="0"/>
                <w:sz w:val="18"/>
                <w:szCs w:val="18"/>
              </w:rPr>
            </w:pPr>
            <w:r>
              <w:rPr>
                <w:rFonts w:hint="eastAsia" w:cs="Times New Roman"/>
                <w:kern w:val="0"/>
                <w:sz w:val="18"/>
                <w:szCs w:val="18"/>
              </w:rPr>
              <w:t>（        ）</w:t>
            </w:r>
          </w:p>
        </w:tc>
        <w:tc>
          <w:tcPr>
            <w:tcW w:w="1807" w:type="pct"/>
            <w:gridSpan w:val="4"/>
            <w:vAlign w:val="center"/>
          </w:tcPr>
          <w:p w14:paraId="181CB83C">
            <w:pPr>
              <w:widowControl/>
              <w:adjustRightInd/>
              <w:spacing w:line="240" w:lineRule="auto"/>
              <w:ind w:firstLine="0" w:firstLineChars="0"/>
              <w:jc w:val="center"/>
              <w:rPr>
                <w:rFonts w:cs="Times New Roman"/>
                <w:kern w:val="0"/>
                <w:sz w:val="18"/>
                <w:szCs w:val="18"/>
              </w:rPr>
            </w:pPr>
            <w:r>
              <w:rPr>
                <w:rFonts w:hint="eastAsia" w:cs="Times New Roman"/>
                <w:kern w:val="0"/>
                <w:sz w:val="18"/>
                <w:szCs w:val="18"/>
              </w:rPr>
              <w:t>（        ）</w:t>
            </w:r>
          </w:p>
        </w:tc>
      </w:tr>
      <w:tr w14:paraId="71AFB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 w:type="pct"/>
            <w:vMerge w:val="continue"/>
            <w:vAlign w:val="center"/>
          </w:tcPr>
          <w:p w14:paraId="17C0D52D">
            <w:pPr>
              <w:widowControl/>
              <w:adjustRightInd/>
              <w:spacing w:line="240" w:lineRule="auto"/>
              <w:ind w:firstLine="0" w:firstLineChars="0"/>
              <w:jc w:val="left"/>
              <w:rPr>
                <w:rFonts w:cs="Times New Roman"/>
                <w:kern w:val="0"/>
                <w:sz w:val="18"/>
                <w:szCs w:val="18"/>
              </w:rPr>
            </w:pPr>
          </w:p>
        </w:tc>
        <w:tc>
          <w:tcPr>
            <w:tcW w:w="734" w:type="pct"/>
            <w:vMerge w:val="restart"/>
            <w:vAlign w:val="center"/>
          </w:tcPr>
          <w:p w14:paraId="37BA860E">
            <w:pPr>
              <w:widowControl/>
              <w:adjustRightInd/>
              <w:spacing w:line="240" w:lineRule="auto"/>
              <w:ind w:firstLine="0" w:firstLineChars="0"/>
              <w:jc w:val="center"/>
              <w:rPr>
                <w:rFonts w:cs="Times New Roman"/>
                <w:kern w:val="0"/>
                <w:sz w:val="18"/>
                <w:szCs w:val="18"/>
              </w:rPr>
            </w:pPr>
            <w:r>
              <w:rPr>
                <w:rFonts w:hint="eastAsia" w:cs="Times New Roman"/>
                <w:kern w:val="0"/>
                <w:sz w:val="18"/>
                <w:szCs w:val="18"/>
              </w:rPr>
              <w:t>替代源排放情况</w:t>
            </w:r>
          </w:p>
        </w:tc>
        <w:tc>
          <w:tcPr>
            <w:tcW w:w="377" w:type="pct"/>
            <w:noWrap/>
            <w:vAlign w:val="center"/>
          </w:tcPr>
          <w:p w14:paraId="624412F8">
            <w:pPr>
              <w:widowControl/>
              <w:adjustRightInd/>
              <w:spacing w:line="240" w:lineRule="auto"/>
              <w:ind w:firstLine="0" w:firstLineChars="0"/>
              <w:jc w:val="left"/>
              <w:rPr>
                <w:rFonts w:cs="Times New Roman"/>
                <w:kern w:val="0"/>
                <w:sz w:val="18"/>
                <w:szCs w:val="18"/>
              </w:rPr>
            </w:pPr>
            <w:r>
              <w:rPr>
                <w:rFonts w:hint="eastAsia" w:cs="Times New Roman"/>
                <w:kern w:val="0"/>
                <w:sz w:val="18"/>
                <w:szCs w:val="18"/>
              </w:rPr>
              <w:t>污染源名称</w:t>
            </w:r>
          </w:p>
        </w:tc>
        <w:tc>
          <w:tcPr>
            <w:tcW w:w="648" w:type="pct"/>
            <w:gridSpan w:val="3"/>
            <w:vAlign w:val="center"/>
          </w:tcPr>
          <w:p w14:paraId="2DA7986D">
            <w:pPr>
              <w:widowControl/>
              <w:adjustRightInd/>
              <w:spacing w:line="240" w:lineRule="auto"/>
              <w:ind w:firstLine="0" w:firstLineChars="0"/>
              <w:jc w:val="left"/>
              <w:rPr>
                <w:rFonts w:cs="Times New Roman"/>
                <w:kern w:val="0"/>
                <w:sz w:val="18"/>
                <w:szCs w:val="18"/>
              </w:rPr>
            </w:pPr>
            <w:r>
              <w:rPr>
                <w:rFonts w:hint="eastAsia" w:cs="Times New Roman"/>
                <w:kern w:val="0"/>
                <w:sz w:val="18"/>
                <w:szCs w:val="18"/>
              </w:rPr>
              <w:t>排污许可证编号</w:t>
            </w:r>
          </w:p>
        </w:tc>
        <w:tc>
          <w:tcPr>
            <w:tcW w:w="835" w:type="pct"/>
            <w:gridSpan w:val="3"/>
            <w:vAlign w:val="center"/>
          </w:tcPr>
          <w:p w14:paraId="1264B4F1">
            <w:pPr>
              <w:widowControl/>
              <w:adjustRightInd/>
              <w:spacing w:line="240" w:lineRule="auto"/>
              <w:ind w:firstLine="0" w:firstLineChars="0"/>
              <w:jc w:val="left"/>
              <w:rPr>
                <w:rFonts w:cs="Times New Roman"/>
                <w:kern w:val="0"/>
                <w:sz w:val="18"/>
                <w:szCs w:val="18"/>
              </w:rPr>
            </w:pPr>
            <w:r>
              <w:rPr>
                <w:rFonts w:cs="Times New Roman"/>
                <w:kern w:val="0"/>
                <w:sz w:val="18"/>
                <w:szCs w:val="18"/>
              </w:rPr>
              <w:t>污染物名称</w:t>
            </w:r>
          </w:p>
        </w:tc>
        <w:tc>
          <w:tcPr>
            <w:tcW w:w="1014" w:type="pct"/>
            <w:gridSpan w:val="3"/>
            <w:vAlign w:val="center"/>
          </w:tcPr>
          <w:p w14:paraId="7A829F7D">
            <w:pPr>
              <w:widowControl/>
              <w:adjustRightInd/>
              <w:spacing w:line="240" w:lineRule="auto"/>
              <w:ind w:firstLine="0" w:firstLineChars="0"/>
              <w:jc w:val="left"/>
              <w:rPr>
                <w:rFonts w:cs="Times New Roman"/>
                <w:kern w:val="0"/>
                <w:sz w:val="18"/>
                <w:szCs w:val="18"/>
              </w:rPr>
            </w:pPr>
            <w:r>
              <w:rPr>
                <w:rFonts w:cs="Times New Roman"/>
                <w:kern w:val="0"/>
                <w:sz w:val="18"/>
                <w:szCs w:val="18"/>
              </w:rPr>
              <w:t>排放量</w:t>
            </w:r>
            <w:r>
              <w:rPr>
                <w:rFonts w:hint="eastAsia" w:cs="Times New Roman"/>
                <w:kern w:val="0"/>
                <w:sz w:val="18"/>
                <w:szCs w:val="18"/>
              </w:rPr>
              <w:t>/</w:t>
            </w:r>
            <w:r>
              <w:rPr>
                <w:rFonts w:cs="Times New Roman"/>
                <w:kern w:val="0"/>
                <w:sz w:val="18"/>
                <w:szCs w:val="18"/>
              </w:rPr>
              <w:t>（</w:t>
            </w:r>
            <w:r>
              <w:rPr>
                <w:rFonts w:hint="eastAsia" w:ascii="宋体" w:hAnsi="宋体" w:cs="Times New Roman"/>
                <w:sz w:val="18"/>
                <w:szCs w:val="18"/>
              </w:rPr>
              <w:t>t/a</w:t>
            </w:r>
            <w:r>
              <w:rPr>
                <w:rFonts w:cs="Times New Roman"/>
                <w:kern w:val="0"/>
                <w:sz w:val="18"/>
                <w:szCs w:val="18"/>
              </w:rPr>
              <w:t>）</w:t>
            </w:r>
          </w:p>
        </w:tc>
        <w:tc>
          <w:tcPr>
            <w:tcW w:w="1131" w:type="pct"/>
            <w:gridSpan w:val="3"/>
            <w:vAlign w:val="center"/>
          </w:tcPr>
          <w:p w14:paraId="740988FC">
            <w:pPr>
              <w:widowControl/>
              <w:adjustRightInd/>
              <w:spacing w:line="240" w:lineRule="auto"/>
              <w:ind w:firstLine="0" w:firstLineChars="0"/>
              <w:jc w:val="left"/>
              <w:rPr>
                <w:rFonts w:cs="Times New Roman"/>
                <w:kern w:val="0"/>
                <w:sz w:val="18"/>
                <w:szCs w:val="18"/>
              </w:rPr>
            </w:pPr>
            <w:r>
              <w:rPr>
                <w:rFonts w:cs="Times New Roman"/>
                <w:kern w:val="0"/>
                <w:sz w:val="18"/>
                <w:szCs w:val="18"/>
              </w:rPr>
              <w:t>排放浓度</w:t>
            </w:r>
            <w:r>
              <w:rPr>
                <w:rFonts w:hint="eastAsia" w:cs="Times New Roman"/>
                <w:kern w:val="0"/>
                <w:sz w:val="18"/>
                <w:szCs w:val="18"/>
              </w:rPr>
              <w:t>/</w:t>
            </w:r>
            <w:r>
              <w:rPr>
                <w:rFonts w:cs="Times New Roman"/>
                <w:kern w:val="0"/>
                <w:sz w:val="18"/>
                <w:szCs w:val="18"/>
              </w:rPr>
              <w:t>（mg/L）</w:t>
            </w:r>
          </w:p>
        </w:tc>
      </w:tr>
      <w:tr w14:paraId="1479A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8" w:type="pct"/>
            <w:vMerge w:val="continue"/>
            <w:vAlign w:val="center"/>
          </w:tcPr>
          <w:p w14:paraId="1AF6BAAF">
            <w:pPr>
              <w:widowControl/>
              <w:adjustRightInd/>
              <w:spacing w:line="240" w:lineRule="auto"/>
              <w:ind w:firstLine="0" w:firstLineChars="0"/>
              <w:jc w:val="left"/>
              <w:rPr>
                <w:rFonts w:cs="Times New Roman"/>
                <w:kern w:val="0"/>
                <w:sz w:val="18"/>
                <w:szCs w:val="18"/>
              </w:rPr>
            </w:pPr>
          </w:p>
        </w:tc>
        <w:tc>
          <w:tcPr>
            <w:tcW w:w="734" w:type="pct"/>
            <w:vMerge w:val="continue"/>
            <w:vAlign w:val="center"/>
          </w:tcPr>
          <w:p w14:paraId="6AA23A28">
            <w:pPr>
              <w:widowControl/>
              <w:adjustRightInd/>
              <w:spacing w:line="240" w:lineRule="auto"/>
              <w:ind w:firstLine="0" w:firstLineChars="0"/>
              <w:jc w:val="center"/>
              <w:rPr>
                <w:rFonts w:cs="Times New Roman"/>
                <w:kern w:val="0"/>
                <w:sz w:val="18"/>
                <w:szCs w:val="18"/>
              </w:rPr>
            </w:pPr>
          </w:p>
        </w:tc>
        <w:tc>
          <w:tcPr>
            <w:tcW w:w="377" w:type="pct"/>
            <w:noWrap/>
            <w:vAlign w:val="center"/>
          </w:tcPr>
          <w:p w14:paraId="002F4C81">
            <w:pPr>
              <w:widowControl/>
              <w:adjustRightInd/>
              <w:spacing w:line="240" w:lineRule="auto"/>
              <w:ind w:firstLine="0" w:firstLineChars="0"/>
              <w:jc w:val="left"/>
              <w:rPr>
                <w:rFonts w:cs="Times New Roman"/>
                <w:kern w:val="0"/>
                <w:sz w:val="18"/>
                <w:szCs w:val="18"/>
              </w:rPr>
            </w:pPr>
            <w:r>
              <w:rPr>
                <w:rFonts w:cs="Times New Roman"/>
                <w:kern w:val="0"/>
                <w:sz w:val="18"/>
                <w:szCs w:val="18"/>
              </w:rPr>
              <w:t>（   ）</w:t>
            </w:r>
          </w:p>
        </w:tc>
        <w:tc>
          <w:tcPr>
            <w:tcW w:w="648" w:type="pct"/>
            <w:gridSpan w:val="3"/>
            <w:vAlign w:val="center"/>
          </w:tcPr>
          <w:p w14:paraId="46C71E52">
            <w:pPr>
              <w:widowControl/>
              <w:adjustRightInd/>
              <w:spacing w:line="240" w:lineRule="auto"/>
              <w:ind w:firstLine="0" w:firstLineChars="0"/>
              <w:jc w:val="left"/>
              <w:rPr>
                <w:rFonts w:cs="Times New Roman"/>
                <w:kern w:val="0"/>
                <w:sz w:val="18"/>
                <w:szCs w:val="18"/>
              </w:rPr>
            </w:pPr>
            <w:r>
              <w:rPr>
                <w:rFonts w:cs="Times New Roman"/>
                <w:kern w:val="0"/>
                <w:sz w:val="18"/>
                <w:szCs w:val="18"/>
              </w:rPr>
              <w:t>（   ）</w:t>
            </w:r>
          </w:p>
        </w:tc>
        <w:tc>
          <w:tcPr>
            <w:tcW w:w="835" w:type="pct"/>
            <w:gridSpan w:val="3"/>
            <w:vAlign w:val="center"/>
          </w:tcPr>
          <w:p w14:paraId="251C1993">
            <w:pPr>
              <w:widowControl/>
              <w:adjustRightInd/>
              <w:spacing w:line="240" w:lineRule="auto"/>
              <w:ind w:firstLine="0" w:firstLineChars="0"/>
              <w:jc w:val="left"/>
              <w:rPr>
                <w:rFonts w:cs="Times New Roman"/>
                <w:kern w:val="0"/>
                <w:sz w:val="18"/>
                <w:szCs w:val="18"/>
              </w:rPr>
            </w:pPr>
            <w:r>
              <w:rPr>
                <w:rFonts w:cs="Times New Roman"/>
                <w:kern w:val="0"/>
                <w:sz w:val="18"/>
                <w:szCs w:val="18"/>
              </w:rPr>
              <w:t>（   ）</w:t>
            </w:r>
          </w:p>
        </w:tc>
        <w:tc>
          <w:tcPr>
            <w:tcW w:w="1014" w:type="pct"/>
            <w:gridSpan w:val="3"/>
            <w:vAlign w:val="center"/>
          </w:tcPr>
          <w:p w14:paraId="2C016CBA">
            <w:pPr>
              <w:widowControl/>
              <w:adjustRightInd/>
              <w:spacing w:line="240" w:lineRule="auto"/>
              <w:ind w:firstLine="0" w:firstLineChars="0"/>
              <w:jc w:val="left"/>
              <w:rPr>
                <w:rFonts w:cs="Times New Roman"/>
                <w:kern w:val="0"/>
                <w:sz w:val="18"/>
                <w:szCs w:val="18"/>
              </w:rPr>
            </w:pPr>
            <w:r>
              <w:rPr>
                <w:rFonts w:cs="Times New Roman"/>
                <w:kern w:val="0"/>
                <w:sz w:val="18"/>
                <w:szCs w:val="18"/>
              </w:rPr>
              <w:t>（   ）</w:t>
            </w:r>
          </w:p>
        </w:tc>
        <w:tc>
          <w:tcPr>
            <w:tcW w:w="1131" w:type="pct"/>
            <w:gridSpan w:val="3"/>
            <w:vAlign w:val="center"/>
          </w:tcPr>
          <w:p w14:paraId="19A5F9B8">
            <w:pPr>
              <w:widowControl/>
              <w:adjustRightInd/>
              <w:spacing w:line="240" w:lineRule="auto"/>
              <w:ind w:firstLine="0" w:firstLineChars="0"/>
              <w:jc w:val="left"/>
              <w:rPr>
                <w:rFonts w:cs="Times New Roman"/>
                <w:kern w:val="0"/>
                <w:sz w:val="18"/>
                <w:szCs w:val="18"/>
              </w:rPr>
            </w:pPr>
            <w:r>
              <w:rPr>
                <w:rFonts w:cs="Times New Roman"/>
                <w:kern w:val="0"/>
                <w:sz w:val="18"/>
                <w:szCs w:val="18"/>
              </w:rPr>
              <w:t>（   ）</w:t>
            </w:r>
          </w:p>
        </w:tc>
      </w:tr>
      <w:tr w14:paraId="6A730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30E043BC">
            <w:pPr>
              <w:widowControl/>
              <w:adjustRightInd/>
              <w:spacing w:line="240" w:lineRule="auto"/>
              <w:ind w:firstLine="0" w:firstLineChars="0"/>
              <w:jc w:val="left"/>
              <w:rPr>
                <w:rFonts w:cs="Times New Roman"/>
                <w:kern w:val="0"/>
                <w:sz w:val="18"/>
                <w:szCs w:val="18"/>
              </w:rPr>
            </w:pPr>
          </w:p>
        </w:tc>
        <w:tc>
          <w:tcPr>
            <w:tcW w:w="734" w:type="pct"/>
            <w:vAlign w:val="center"/>
          </w:tcPr>
          <w:p w14:paraId="672F8A03">
            <w:pPr>
              <w:widowControl/>
              <w:adjustRightInd/>
              <w:spacing w:line="240" w:lineRule="auto"/>
              <w:ind w:firstLine="0" w:firstLineChars="0"/>
              <w:jc w:val="center"/>
              <w:rPr>
                <w:rFonts w:cs="Times New Roman"/>
                <w:kern w:val="0"/>
                <w:sz w:val="18"/>
                <w:szCs w:val="18"/>
              </w:rPr>
            </w:pPr>
            <w:r>
              <w:rPr>
                <w:rFonts w:cs="Times New Roman"/>
                <w:kern w:val="0"/>
                <w:sz w:val="18"/>
                <w:szCs w:val="18"/>
              </w:rPr>
              <w:t>生态流量确定</w:t>
            </w:r>
          </w:p>
        </w:tc>
        <w:tc>
          <w:tcPr>
            <w:tcW w:w="3914" w:type="pct"/>
            <w:gridSpan w:val="12"/>
            <w:noWrap/>
            <w:vAlign w:val="center"/>
          </w:tcPr>
          <w:p w14:paraId="2C521EA9">
            <w:pPr>
              <w:widowControl/>
              <w:adjustRightInd/>
              <w:spacing w:line="240" w:lineRule="auto"/>
              <w:ind w:firstLine="0" w:firstLineChars="0"/>
              <w:jc w:val="left"/>
              <w:rPr>
                <w:rFonts w:cs="Times New Roman"/>
                <w:kern w:val="0"/>
                <w:sz w:val="18"/>
                <w:szCs w:val="18"/>
              </w:rPr>
            </w:pPr>
            <w:r>
              <w:rPr>
                <w:rFonts w:cs="Times New Roman"/>
                <w:kern w:val="0"/>
                <w:sz w:val="18"/>
                <w:szCs w:val="18"/>
              </w:rPr>
              <w:t>生态流量：一般水期（   ）m</w:t>
            </w:r>
            <w:r>
              <w:rPr>
                <w:rFonts w:cs="Times New Roman"/>
                <w:kern w:val="0"/>
                <w:sz w:val="18"/>
                <w:szCs w:val="18"/>
                <w:vertAlign w:val="superscript"/>
              </w:rPr>
              <w:t>3</w:t>
            </w:r>
            <w:r>
              <w:rPr>
                <w:rFonts w:cs="Times New Roman"/>
                <w:kern w:val="0"/>
                <w:sz w:val="18"/>
                <w:szCs w:val="18"/>
              </w:rPr>
              <w:t>/s；鱼类繁殖期（   ）m</w:t>
            </w:r>
            <w:r>
              <w:rPr>
                <w:rFonts w:cs="Times New Roman"/>
                <w:kern w:val="0"/>
                <w:sz w:val="18"/>
                <w:szCs w:val="18"/>
                <w:vertAlign w:val="superscript"/>
              </w:rPr>
              <w:t>3</w:t>
            </w:r>
            <w:r>
              <w:rPr>
                <w:rFonts w:cs="Times New Roman"/>
                <w:kern w:val="0"/>
                <w:sz w:val="18"/>
                <w:szCs w:val="18"/>
              </w:rPr>
              <w:t>/s；其他（   ）m</w:t>
            </w:r>
            <w:r>
              <w:rPr>
                <w:rFonts w:cs="Times New Roman"/>
                <w:kern w:val="0"/>
                <w:sz w:val="18"/>
                <w:szCs w:val="18"/>
                <w:vertAlign w:val="superscript"/>
              </w:rPr>
              <w:t>3</w:t>
            </w:r>
            <w:r>
              <w:rPr>
                <w:rFonts w:cs="Times New Roman"/>
                <w:kern w:val="0"/>
                <w:sz w:val="18"/>
                <w:szCs w:val="18"/>
              </w:rPr>
              <w:t>/s</w:t>
            </w:r>
          </w:p>
          <w:p w14:paraId="52161FAD">
            <w:pPr>
              <w:widowControl/>
              <w:adjustRightInd/>
              <w:spacing w:line="240" w:lineRule="auto"/>
              <w:ind w:firstLine="0" w:firstLineChars="0"/>
              <w:jc w:val="left"/>
              <w:rPr>
                <w:rFonts w:cs="Times New Roman"/>
                <w:kern w:val="0"/>
                <w:sz w:val="18"/>
                <w:szCs w:val="18"/>
              </w:rPr>
            </w:pPr>
            <w:r>
              <w:rPr>
                <w:rFonts w:cs="Times New Roman"/>
                <w:kern w:val="0"/>
                <w:sz w:val="18"/>
                <w:szCs w:val="18"/>
              </w:rPr>
              <w:t>生态水位：一般水期（   ）m；鱼类繁殖期（   ）m；其他（   ）m</w:t>
            </w:r>
          </w:p>
        </w:tc>
      </w:tr>
      <w:tr w14:paraId="7AE34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restart"/>
            <w:noWrap/>
            <w:textDirection w:val="tbRlV"/>
            <w:vAlign w:val="center"/>
          </w:tcPr>
          <w:p w14:paraId="3895F8D8">
            <w:pPr>
              <w:widowControl/>
              <w:adjustRightInd/>
              <w:spacing w:line="240" w:lineRule="auto"/>
              <w:ind w:firstLine="0" w:firstLineChars="0"/>
              <w:jc w:val="center"/>
              <w:rPr>
                <w:rFonts w:cs="Times New Roman"/>
                <w:kern w:val="0"/>
                <w:sz w:val="18"/>
                <w:szCs w:val="18"/>
              </w:rPr>
            </w:pPr>
            <w:r>
              <w:rPr>
                <w:rFonts w:cs="Times New Roman"/>
                <w:kern w:val="0"/>
                <w:sz w:val="18"/>
                <w:szCs w:val="18"/>
              </w:rPr>
              <w:t>防治措施</w:t>
            </w:r>
          </w:p>
        </w:tc>
        <w:tc>
          <w:tcPr>
            <w:tcW w:w="734" w:type="pct"/>
            <w:vAlign w:val="center"/>
          </w:tcPr>
          <w:p w14:paraId="204A6320">
            <w:pPr>
              <w:widowControl/>
              <w:adjustRightInd/>
              <w:spacing w:line="240" w:lineRule="auto"/>
              <w:ind w:firstLine="0" w:firstLineChars="0"/>
              <w:jc w:val="center"/>
              <w:rPr>
                <w:rFonts w:cs="Times New Roman"/>
                <w:kern w:val="0"/>
                <w:sz w:val="18"/>
                <w:szCs w:val="18"/>
              </w:rPr>
            </w:pPr>
            <w:r>
              <w:rPr>
                <w:rFonts w:cs="Times New Roman"/>
                <w:kern w:val="0"/>
                <w:sz w:val="18"/>
                <w:szCs w:val="18"/>
              </w:rPr>
              <w:t>环保措施</w:t>
            </w:r>
          </w:p>
        </w:tc>
        <w:tc>
          <w:tcPr>
            <w:tcW w:w="3914" w:type="pct"/>
            <w:gridSpan w:val="12"/>
            <w:noWrap/>
            <w:vAlign w:val="center"/>
          </w:tcPr>
          <w:p w14:paraId="1C599C92">
            <w:pPr>
              <w:widowControl/>
              <w:adjustRightInd/>
              <w:spacing w:line="240" w:lineRule="auto"/>
              <w:ind w:firstLine="0" w:firstLineChars="0"/>
              <w:jc w:val="left"/>
              <w:rPr>
                <w:rFonts w:cs="Times New Roman"/>
                <w:kern w:val="0"/>
                <w:sz w:val="18"/>
                <w:szCs w:val="18"/>
              </w:rPr>
            </w:pPr>
            <w:r>
              <w:rPr>
                <w:rFonts w:cs="Times New Roman"/>
                <w:kern w:val="0"/>
                <w:sz w:val="18"/>
                <w:szCs w:val="18"/>
              </w:rPr>
              <w:t xml:space="preserve">污水处理设施 </w:t>
            </w:r>
            <w:r>
              <w:rPr>
                <w:rFonts w:hint="eastAsia" w:ascii="MS Mincho" w:hAnsi="MS Mincho" w:cs="MS Mincho"/>
                <w:kern w:val="0"/>
                <w:sz w:val="18"/>
                <w:szCs w:val="18"/>
              </w:rPr>
              <w:t>☑</w:t>
            </w:r>
            <w:r>
              <w:rPr>
                <w:rFonts w:ascii="宋体" w:hAnsi="宋体" w:cs="Times New Roman"/>
                <w:kern w:val="0"/>
                <w:sz w:val="18"/>
                <w:szCs w:val="18"/>
              </w:rPr>
              <w:t>；</w:t>
            </w:r>
            <w:r>
              <w:rPr>
                <w:rFonts w:cs="Times New Roman"/>
                <w:kern w:val="0"/>
                <w:sz w:val="18"/>
                <w:szCs w:val="18"/>
              </w:rPr>
              <w:t xml:space="preserve">水文减缓设施 </w:t>
            </w:r>
            <w:r>
              <w:rPr>
                <w:rFonts w:ascii="宋体" w:hAnsi="宋体" w:cs="Times New Roman"/>
                <w:kern w:val="0"/>
                <w:sz w:val="18"/>
                <w:szCs w:val="18"/>
              </w:rPr>
              <w:t>□；</w:t>
            </w:r>
            <w:r>
              <w:rPr>
                <w:rFonts w:cs="Times New Roman"/>
                <w:kern w:val="0"/>
                <w:sz w:val="18"/>
                <w:szCs w:val="18"/>
              </w:rPr>
              <w:t xml:space="preserve">生态流量保障设施 </w:t>
            </w:r>
            <w:r>
              <w:rPr>
                <w:rFonts w:ascii="宋体" w:hAnsi="宋体" w:cs="Times New Roman"/>
                <w:kern w:val="0"/>
                <w:sz w:val="18"/>
                <w:szCs w:val="18"/>
              </w:rPr>
              <w:t>□；</w:t>
            </w:r>
            <w:r>
              <w:rPr>
                <w:rFonts w:cs="Times New Roman"/>
                <w:kern w:val="0"/>
                <w:sz w:val="18"/>
                <w:szCs w:val="18"/>
              </w:rPr>
              <w:t xml:space="preserve">区域削减 </w:t>
            </w:r>
            <w:r>
              <w:rPr>
                <w:rFonts w:ascii="宋体" w:hAnsi="宋体" w:cs="Times New Roman"/>
                <w:kern w:val="0"/>
                <w:sz w:val="18"/>
                <w:szCs w:val="18"/>
              </w:rPr>
              <w:t>□；</w:t>
            </w:r>
            <w:r>
              <w:rPr>
                <w:rFonts w:cs="Times New Roman"/>
                <w:kern w:val="0"/>
                <w:sz w:val="18"/>
                <w:szCs w:val="18"/>
              </w:rPr>
              <w:t xml:space="preserve">依托其他工程措施 </w:t>
            </w:r>
            <w:r>
              <w:rPr>
                <w:rFonts w:hint="eastAsia" w:ascii="MS Mincho" w:hAnsi="MS Mincho" w:cs="MS Mincho"/>
                <w:kern w:val="0"/>
                <w:sz w:val="18"/>
                <w:szCs w:val="18"/>
              </w:rPr>
              <w:t>☑</w:t>
            </w:r>
            <w:r>
              <w:rPr>
                <w:rFonts w:ascii="宋体" w:hAnsi="宋体" w:cs="Times New Roman"/>
                <w:kern w:val="0"/>
                <w:sz w:val="18"/>
                <w:szCs w:val="18"/>
              </w:rPr>
              <w:t>；</w:t>
            </w:r>
            <w:r>
              <w:rPr>
                <w:rFonts w:cs="Times New Roman"/>
                <w:kern w:val="0"/>
                <w:sz w:val="18"/>
                <w:szCs w:val="18"/>
              </w:rPr>
              <w:t xml:space="preserve">其他 </w:t>
            </w:r>
            <w:r>
              <w:rPr>
                <w:rFonts w:ascii="宋体" w:hAnsi="宋体" w:cs="Times New Roman"/>
                <w:kern w:val="0"/>
                <w:sz w:val="18"/>
                <w:szCs w:val="18"/>
              </w:rPr>
              <w:t>□</w:t>
            </w:r>
          </w:p>
        </w:tc>
      </w:tr>
      <w:tr w14:paraId="7F998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5618EA41">
            <w:pPr>
              <w:widowControl/>
              <w:adjustRightInd/>
              <w:spacing w:line="240" w:lineRule="auto"/>
              <w:ind w:firstLine="0" w:firstLineChars="0"/>
              <w:jc w:val="left"/>
              <w:rPr>
                <w:rFonts w:cs="Times New Roman"/>
                <w:kern w:val="0"/>
                <w:sz w:val="18"/>
                <w:szCs w:val="18"/>
              </w:rPr>
            </w:pPr>
          </w:p>
        </w:tc>
        <w:tc>
          <w:tcPr>
            <w:tcW w:w="734" w:type="pct"/>
            <w:vMerge w:val="restart"/>
            <w:vAlign w:val="center"/>
          </w:tcPr>
          <w:p w14:paraId="2CA89924">
            <w:pPr>
              <w:widowControl/>
              <w:adjustRightInd/>
              <w:spacing w:line="240" w:lineRule="auto"/>
              <w:ind w:firstLine="0" w:firstLineChars="0"/>
              <w:jc w:val="center"/>
              <w:rPr>
                <w:rFonts w:cs="Times New Roman"/>
                <w:kern w:val="0"/>
                <w:sz w:val="18"/>
                <w:szCs w:val="18"/>
              </w:rPr>
            </w:pPr>
            <w:r>
              <w:rPr>
                <w:rFonts w:cs="Times New Roman"/>
                <w:kern w:val="0"/>
                <w:sz w:val="18"/>
                <w:szCs w:val="18"/>
              </w:rPr>
              <w:t>监测计划</w:t>
            </w:r>
          </w:p>
        </w:tc>
        <w:tc>
          <w:tcPr>
            <w:tcW w:w="447" w:type="pct"/>
            <w:gridSpan w:val="2"/>
            <w:noWrap/>
            <w:vAlign w:val="center"/>
          </w:tcPr>
          <w:p w14:paraId="53B8AFA6">
            <w:pPr>
              <w:widowControl/>
              <w:adjustRightInd/>
              <w:spacing w:line="240" w:lineRule="auto"/>
              <w:ind w:firstLine="0" w:firstLineChars="0"/>
              <w:jc w:val="center"/>
              <w:rPr>
                <w:rFonts w:cs="Times New Roman"/>
                <w:kern w:val="0"/>
                <w:sz w:val="18"/>
                <w:szCs w:val="18"/>
              </w:rPr>
            </w:pPr>
          </w:p>
        </w:tc>
        <w:tc>
          <w:tcPr>
            <w:tcW w:w="1395" w:type="pct"/>
            <w:gridSpan w:val="4"/>
            <w:vAlign w:val="center"/>
          </w:tcPr>
          <w:p w14:paraId="7973D8D5">
            <w:pPr>
              <w:widowControl/>
              <w:adjustRightInd/>
              <w:spacing w:line="240" w:lineRule="auto"/>
              <w:ind w:firstLine="0" w:firstLineChars="0"/>
              <w:jc w:val="center"/>
              <w:rPr>
                <w:rFonts w:cs="Times New Roman"/>
                <w:kern w:val="0"/>
                <w:sz w:val="18"/>
                <w:szCs w:val="18"/>
              </w:rPr>
            </w:pPr>
            <w:r>
              <w:rPr>
                <w:rFonts w:hint="eastAsia" w:ascii="宋体" w:hAnsi="宋体" w:cs="Times New Roman"/>
                <w:kern w:val="0"/>
                <w:sz w:val="18"/>
                <w:szCs w:val="18"/>
              </w:rPr>
              <w:t>环境质量</w:t>
            </w:r>
          </w:p>
        </w:tc>
        <w:tc>
          <w:tcPr>
            <w:tcW w:w="2072" w:type="pct"/>
            <w:gridSpan w:val="6"/>
            <w:vAlign w:val="center"/>
          </w:tcPr>
          <w:p w14:paraId="72FEFA66">
            <w:pPr>
              <w:widowControl/>
              <w:adjustRightInd/>
              <w:spacing w:line="240" w:lineRule="auto"/>
              <w:ind w:firstLine="0" w:firstLineChars="0"/>
              <w:jc w:val="center"/>
              <w:rPr>
                <w:rFonts w:cs="Times New Roman"/>
                <w:kern w:val="0"/>
                <w:sz w:val="18"/>
                <w:szCs w:val="18"/>
              </w:rPr>
            </w:pPr>
            <w:r>
              <w:rPr>
                <w:rFonts w:hint="eastAsia" w:cs="Times New Roman"/>
                <w:kern w:val="0"/>
                <w:sz w:val="18"/>
                <w:szCs w:val="18"/>
              </w:rPr>
              <w:t>污染源</w:t>
            </w:r>
          </w:p>
        </w:tc>
      </w:tr>
      <w:tr w14:paraId="4E6BC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41389C9E">
            <w:pPr>
              <w:widowControl/>
              <w:adjustRightInd/>
              <w:spacing w:line="240" w:lineRule="auto"/>
              <w:ind w:firstLine="0" w:firstLineChars="0"/>
              <w:jc w:val="left"/>
              <w:rPr>
                <w:rFonts w:cs="Times New Roman"/>
                <w:kern w:val="0"/>
                <w:sz w:val="18"/>
                <w:szCs w:val="18"/>
              </w:rPr>
            </w:pPr>
          </w:p>
        </w:tc>
        <w:tc>
          <w:tcPr>
            <w:tcW w:w="734" w:type="pct"/>
            <w:vMerge w:val="continue"/>
            <w:vAlign w:val="center"/>
          </w:tcPr>
          <w:p w14:paraId="6CC8EDFC">
            <w:pPr>
              <w:widowControl/>
              <w:adjustRightInd/>
              <w:spacing w:line="240" w:lineRule="auto"/>
              <w:ind w:firstLine="0" w:firstLineChars="0"/>
              <w:jc w:val="center"/>
              <w:rPr>
                <w:rFonts w:cs="Times New Roman"/>
                <w:kern w:val="0"/>
                <w:sz w:val="18"/>
                <w:szCs w:val="18"/>
              </w:rPr>
            </w:pPr>
          </w:p>
        </w:tc>
        <w:tc>
          <w:tcPr>
            <w:tcW w:w="447" w:type="pct"/>
            <w:gridSpan w:val="2"/>
            <w:noWrap/>
            <w:vAlign w:val="center"/>
          </w:tcPr>
          <w:p w14:paraId="48D8B969">
            <w:pPr>
              <w:widowControl/>
              <w:adjustRightInd/>
              <w:spacing w:line="240" w:lineRule="auto"/>
              <w:ind w:firstLine="0" w:firstLineChars="0"/>
              <w:jc w:val="center"/>
              <w:rPr>
                <w:rFonts w:ascii="宋体" w:hAnsi="宋体" w:cs="Times New Roman"/>
                <w:kern w:val="0"/>
                <w:sz w:val="18"/>
                <w:szCs w:val="18"/>
              </w:rPr>
            </w:pPr>
            <w:r>
              <w:rPr>
                <w:rFonts w:hint="eastAsia" w:ascii="宋体" w:hAnsi="宋体" w:cs="Times New Roman"/>
                <w:kern w:val="0"/>
                <w:sz w:val="18"/>
                <w:szCs w:val="18"/>
              </w:rPr>
              <w:t>监测方式</w:t>
            </w:r>
          </w:p>
        </w:tc>
        <w:tc>
          <w:tcPr>
            <w:tcW w:w="1395" w:type="pct"/>
            <w:gridSpan w:val="4"/>
            <w:vAlign w:val="center"/>
          </w:tcPr>
          <w:p w14:paraId="68E68122">
            <w:pPr>
              <w:widowControl/>
              <w:adjustRightInd/>
              <w:spacing w:line="240" w:lineRule="auto"/>
              <w:ind w:firstLine="0" w:firstLineChars="0"/>
              <w:jc w:val="center"/>
              <w:rPr>
                <w:rFonts w:ascii="宋体" w:hAnsi="宋体" w:cs="Times New Roman"/>
                <w:b/>
                <w:kern w:val="0"/>
                <w:sz w:val="18"/>
                <w:szCs w:val="18"/>
              </w:rPr>
            </w:pPr>
            <w:r>
              <w:rPr>
                <w:rFonts w:hint="eastAsia" w:ascii="宋体" w:hAnsi="宋体" w:cs="Times New Roman"/>
                <w:kern w:val="0"/>
                <w:sz w:val="18"/>
                <w:szCs w:val="18"/>
              </w:rPr>
              <w:t>手动 □</w:t>
            </w:r>
            <w:r>
              <w:rPr>
                <w:rFonts w:ascii="宋体" w:hAnsi="宋体" w:cs="Times New Roman"/>
                <w:kern w:val="0"/>
                <w:sz w:val="18"/>
                <w:szCs w:val="18"/>
              </w:rPr>
              <w:t>；</w:t>
            </w:r>
            <w:r>
              <w:rPr>
                <w:rFonts w:hint="eastAsia" w:ascii="宋体" w:hAnsi="宋体" w:cs="Times New Roman"/>
                <w:kern w:val="0"/>
                <w:sz w:val="18"/>
                <w:szCs w:val="18"/>
              </w:rPr>
              <w:t xml:space="preserve">自动 </w:t>
            </w:r>
            <w:r>
              <w:rPr>
                <w:rFonts w:ascii="宋体" w:hAnsi="宋体" w:cs="Times New Roman"/>
                <w:kern w:val="0"/>
                <w:sz w:val="18"/>
                <w:szCs w:val="18"/>
              </w:rPr>
              <w:t>□</w:t>
            </w:r>
            <w:r>
              <w:rPr>
                <w:rFonts w:hint="eastAsia" w:ascii="宋体" w:hAnsi="宋体" w:cs="Times New Roman"/>
                <w:kern w:val="0"/>
                <w:sz w:val="18"/>
                <w:szCs w:val="18"/>
              </w:rPr>
              <w:t>；无监测 ☑</w:t>
            </w:r>
          </w:p>
        </w:tc>
        <w:tc>
          <w:tcPr>
            <w:tcW w:w="2072" w:type="pct"/>
            <w:gridSpan w:val="6"/>
            <w:vAlign w:val="center"/>
          </w:tcPr>
          <w:p w14:paraId="3567EF81">
            <w:pPr>
              <w:widowControl/>
              <w:adjustRightInd/>
              <w:spacing w:line="240" w:lineRule="auto"/>
              <w:ind w:firstLine="0" w:firstLineChars="0"/>
              <w:jc w:val="center"/>
              <w:rPr>
                <w:rFonts w:cs="Times New Roman"/>
                <w:kern w:val="0"/>
                <w:sz w:val="18"/>
                <w:szCs w:val="18"/>
              </w:rPr>
            </w:pPr>
            <w:r>
              <w:rPr>
                <w:rFonts w:hint="eastAsia" w:ascii="宋体" w:hAnsi="宋体" w:cs="Times New Roman"/>
                <w:kern w:val="0"/>
                <w:sz w:val="18"/>
                <w:szCs w:val="18"/>
              </w:rPr>
              <w:t xml:space="preserve">手动 </w:t>
            </w:r>
            <w:r>
              <w:rPr>
                <w:rFonts w:hint="eastAsia" w:ascii="MS Mincho" w:hAnsi="MS Mincho" w:cs="MS Mincho"/>
                <w:kern w:val="0"/>
                <w:sz w:val="18"/>
                <w:szCs w:val="18"/>
              </w:rPr>
              <w:t>☑</w:t>
            </w:r>
            <w:r>
              <w:rPr>
                <w:rFonts w:ascii="宋体" w:hAnsi="宋体" w:cs="Times New Roman"/>
                <w:kern w:val="0"/>
                <w:sz w:val="18"/>
                <w:szCs w:val="18"/>
              </w:rPr>
              <w:t>；</w:t>
            </w:r>
            <w:r>
              <w:rPr>
                <w:rFonts w:hint="eastAsia" w:ascii="宋体" w:hAnsi="宋体" w:cs="Times New Roman"/>
                <w:kern w:val="0"/>
                <w:sz w:val="18"/>
                <w:szCs w:val="18"/>
              </w:rPr>
              <w:t xml:space="preserve">自动 </w:t>
            </w:r>
            <w:r>
              <w:rPr>
                <w:rFonts w:ascii="宋体" w:hAnsi="宋体" w:cs="Times New Roman"/>
                <w:kern w:val="0"/>
                <w:sz w:val="18"/>
                <w:szCs w:val="18"/>
              </w:rPr>
              <w:t>□</w:t>
            </w:r>
            <w:r>
              <w:rPr>
                <w:rFonts w:hint="eastAsia" w:ascii="宋体" w:hAnsi="宋体" w:cs="Times New Roman"/>
                <w:kern w:val="0"/>
                <w:sz w:val="18"/>
                <w:szCs w:val="18"/>
              </w:rPr>
              <w:t xml:space="preserve">；无监测 </w:t>
            </w:r>
            <w:r>
              <w:rPr>
                <w:rFonts w:ascii="宋体" w:hAnsi="宋体" w:cs="Times New Roman"/>
                <w:kern w:val="0"/>
                <w:sz w:val="18"/>
                <w:szCs w:val="18"/>
              </w:rPr>
              <w:t>□</w:t>
            </w:r>
          </w:p>
        </w:tc>
      </w:tr>
      <w:tr w14:paraId="1C97F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751A8258">
            <w:pPr>
              <w:widowControl/>
              <w:adjustRightInd/>
              <w:spacing w:line="240" w:lineRule="auto"/>
              <w:ind w:firstLine="0" w:firstLineChars="0"/>
              <w:jc w:val="left"/>
              <w:rPr>
                <w:rFonts w:cs="Times New Roman"/>
                <w:kern w:val="0"/>
                <w:sz w:val="18"/>
                <w:szCs w:val="18"/>
              </w:rPr>
            </w:pPr>
          </w:p>
        </w:tc>
        <w:tc>
          <w:tcPr>
            <w:tcW w:w="734" w:type="pct"/>
            <w:vMerge w:val="continue"/>
            <w:vAlign w:val="center"/>
          </w:tcPr>
          <w:p w14:paraId="57729AC9">
            <w:pPr>
              <w:widowControl/>
              <w:adjustRightInd/>
              <w:spacing w:line="240" w:lineRule="auto"/>
              <w:ind w:firstLine="0" w:firstLineChars="0"/>
              <w:jc w:val="center"/>
              <w:rPr>
                <w:rFonts w:cs="Times New Roman"/>
                <w:kern w:val="0"/>
                <w:sz w:val="18"/>
                <w:szCs w:val="18"/>
              </w:rPr>
            </w:pPr>
          </w:p>
        </w:tc>
        <w:tc>
          <w:tcPr>
            <w:tcW w:w="447" w:type="pct"/>
            <w:gridSpan w:val="2"/>
            <w:noWrap/>
            <w:vAlign w:val="center"/>
          </w:tcPr>
          <w:p w14:paraId="7855B09A">
            <w:pPr>
              <w:widowControl/>
              <w:adjustRightInd/>
              <w:spacing w:line="240" w:lineRule="auto"/>
              <w:ind w:firstLine="0" w:firstLineChars="0"/>
              <w:jc w:val="center"/>
              <w:rPr>
                <w:rFonts w:ascii="宋体" w:hAnsi="宋体" w:cs="Times New Roman"/>
                <w:kern w:val="0"/>
                <w:sz w:val="18"/>
                <w:szCs w:val="18"/>
              </w:rPr>
            </w:pPr>
            <w:r>
              <w:rPr>
                <w:rFonts w:hint="eastAsia" w:ascii="宋体" w:hAnsi="宋体" w:cs="Times New Roman"/>
                <w:kern w:val="0"/>
                <w:sz w:val="18"/>
                <w:szCs w:val="18"/>
              </w:rPr>
              <w:t>监测点位</w:t>
            </w:r>
          </w:p>
        </w:tc>
        <w:tc>
          <w:tcPr>
            <w:tcW w:w="1395" w:type="pct"/>
            <w:gridSpan w:val="4"/>
            <w:vAlign w:val="center"/>
          </w:tcPr>
          <w:p w14:paraId="6AF92390">
            <w:pPr>
              <w:widowControl/>
              <w:adjustRightInd/>
              <w:spacing w:line="240" w:lineRule="auto"/>
              <w:ind w:firstLine="0" w:firstLineChars="0"/>
              <w:jc w:val="center"/>
              <w:rPr>
                <w:rFonts w:ascii="宋体" w:hAnsi="宋体" w:cs="Times New Roman"/>
                <w:kern w:val="0"/>
                <w:sz w:val="18"/>
                <w:szCs w:val="18"/>
              </w:rPr>
            </w:pPr>
            <w:r>
              <w:rPr>
                <w:rFonts w:cs="Times New Roman"/>
                <w:kern w:val="0"/>
                <w:sz w:val="18"/>
                <w:szCs w:val="18"/>
              </w:rPr>
              <w:t>（   ）</w:t>
            </w:r>
          </w:p>
        </w:tc>
        <w:tc>
          <w:tcPr>
            <w:tcW w:w="2072" w:type="pct"/>
            <w:gridSpan w:val="6"/>
            <w:vAlign w:val="center"/>
          </w:tcPr>
          <w:p w14:paraId="6D9EE8BB">
            <w:pPr>
              <w:widowControl/>
              <w:adjustRightInd/>
              <w:spacing w:line="240" w:lineRule="auto"/>
              <w:ind w:firstLine="0" w:firstLineChars="0"/>
              <w:jc w:val="center"/>
              <w:rPr>
                <w:rFonts w:ascii="宋体" w:hAnsi="宋体" w:cs="Times New Roman"/>
                <w:kern w:val="0"/>
                <w:sz w:val="18"/>
                <w:szCs w:val="18"/>
              </w:rPr>
            </w:pPr>
            <w:r>
              <w:rPr>
                <w:rFonts w:cs="Times New Roman"/>
                <w:kern w:val="0"/>
                <w:sz w:val="18"/>
                <w:szCs w:val="18"/>
              </w:rPr>
              <w:t>（ 设施出口  ）</w:t>
            </w:r>
          </w:p>
        </w:tc>
      </w:tr>
      <w:tr w14:paraId="4B023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1D6E4302">
            <w:pPr>
              <w:widowControl/>
              <w:adjustRightInd/>
              <w:spacing w:line="240" w:lineRule="auto"/>
              <w:ind w:firstLine="0" w:firstLineChars="0"/>
              <w:jc w:val="left"/>
              <w:rPr>
                <w:rFonts w:cs="Times New Roman"/>
                <w:kern w:val="0"/>
                <w:sz w:val="18"/>
                <w:szCs w:val="18"/>
              </w:rPr>
            </w:pPr>
          </w:p>
        </w:tc>
        <w:tc>
          <w:tcPr>
            <w:tcW w:w="734" w:type="pct"/>
            <w:vMerge w:val="continue"/>
            <w:vAlign w:val="center"/>
          </w:tcPr>
          <w:p w14:paraId="20532347">
            <w:pPr>
              <w:widowControl/>
              <w:adjustRightInd/>
              <w:spacing w:line="240" w:lineRule="auto"/>
              <w:ind w:firstLine="0" w:firstLineChars="0"/>
              <w:jc w:val="center"/>
              <w:rPr>
                <w:rFonts w:cs="Times New Roman"/>
                <w:kern w:val="0"/>
                <w:sz w:val="18"/>
                <w:szCs w:val="18"/>
              </w:rPr>
            </w:pPr>
          </w:p>
        </w:tc>
        <w:tc>
          <w:tcPr>
            <w:tcW w:w="447" w:type="pct"/>
            <w:gridSpan w:val="2"/>
            <w:noWrap/>
            <w:vAlign w:val="center"/>
          </w:tcPr>
          <w:p w14:paraId="0FC90F37">
            <w:pPr>
              <w:widowControl/>
              <w:adjustRightInd/>
              <w:spacing w:line="240" w:lineRule="auto"/>
              <w:ind w:firstLine="0" w:firstLineChars="0"/>
              <w:jc w:val="center"/>
              <w:rPr>
                <w:rFonts w:ascii="宋体" w:hAnsi="宋体" w:cs="Times New Roman"/>
                <w:kern w:val="0"/>
                <w:sz w:val="18"/>
                <w:szCs w:val="18"/>
              </w:rPr>
            </w:pPr>
            <w:r>
              <w:rPr>
                <w:rFonts w:hint="eastAsia" w:ascii="宋体" w:hAnsi="宋体" w:cs="Times New Roman"/>
                <w:kern w:val="0"/>
                <w:sz w:val="18"/>
                <w:szCs w:val="18"/>
              </w:rPr>
              <w:t>监测因子</w:t>
            </w:r>
          </w:p>
        </w:tc>
        <w:tc>
          <w:tcPr>
            <w:tcW w:w="1395" w:type="pct"/>
            <w:gridSpan w:val="4"/>
          </w:tcPr>
          <w:p w14:paraId="7928185A">
            <w:pPr>
              <w:widowControl/>
              <w:adjustRightInd/>
              <w:spacing w:line="240" w:lineRule="auto"/>
              <w:ind w:firstLine="0" w:firstLineChars="0"/>
              <w:jc w:val="center"/>
              <w:rPr>
                <w:rFonts w:ascii="宋体" w:hAnsi="宋体" w:cs="Times New Roman"/>
                <w:kern w:val="0"/>
                <w:sz w:val="18"/>
                <w:szCs w:val="18"/>
              </w:rPr>
            </w:pPr>
            <w:r>
              <w:rPr>
                <w:rFonts w:cs="Times New Roman"/>
                <w:kern w:val="0"/>
                <w:sz w:val="18"/>
                <w:szCs w:val="18"/>
              </w:rPr>
              <w:t>（   ）</w:t>
            </w:r>
          </w:p>
        </w:tc>
        <w:tc>
          <w:tcPr>
            <w:tcW w:w="2072" w:type="pct"/>
            <w:gridSpan w:val="6"/>
          </w:tcPr>
          <w:p w14:paraId="2F298B06">
            <w:pPr>
              <w:widowControl/>
              <w:adjustRightInd/>
              <w:spacing w:line="240" w:lineRule="auto"/>
              <w:ind w:left="-240" w:leftChars="-100" w:right="-120" w:rightChars="-50" w:firstLine="0" w:firstLineChars="0"/>
              <w:jc w:val="center"/>
              <w:rPr>
                <w:rFonts w:ascii="宋体" w:hAnsi="宋体" w:cs="Times New Roman"/>
                <w:kern w:val="0"/>
                <w:sz w:val="18"/>
                <w:szCs w:val="18"/>
              </w:rPr>
            </w:pPr>
            <w:r>
              <w:rPr>
                <w:rFonts w:cs="Times New Roman"/>
                <w:kern w:val="0"/>
                <w:sz w:val="18"/>
                <w:szCs w:val="18"/>
              </w:rPr>
              <w:t>（   ）</w:t>
            </w:r>
          </w:p>
        </w:tc>
      </w:tr>
      <w:tr w14:paraId="268A8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258" w:type="pct"/>
            <w:vMerge w:val="continue"/>
            <w:vAlign w:val="center"/>
          </w:tcPr>
          <w:p w14:paraId="0B1FFF2F">
            <w:pPr>
              <w:widowControl/>
              <w:adjustRightInd/>
              <w:spacing w:line="240" w:lineRule="auto"/>
              <w:ind w:firstLine="0" w:firstLineChars="0"/>
              <w:jc w:val="left"/>
              <w:rPr>
                <w:rFonts w:cs="Times New Roman"/>
                <w:kern w:val="0"/>
                <w:sz w:val="18"/>
                <w:szCs w:val="18"/>
              </w:rPr>
            </w:pPr>
          </w:p>
        </w:tc>
        <w:tc>
          <w:tcPr>
            <w:tcW w:w="734" w:type="pct"/>
            <w:vAlign w:val="center"/>
          </w:tcPr>
          <w:p w14:paraId="1AB393B7">
            <w:pPr>
              <w:widowControl/>
              <w:adjustRightInd/>
              <w:spacing w:line="240" w:lineRule="auto"/>
              <w:ind w:firstLine="0" w:firstLineChars="0"/>
              <w:jc w:val="center"/>
              <w:rPr>
                <w:rFonts w:cs="Times New Roman"/>
                <w:kern w:val="0"/>
                <w:sz w:val="18"/>
                <w:szCs w:val="18"/>
              </w:rPr>
            </w:pPr>
            <w:r>
              <w:rPr>
                <w:rFonts w:cs="Times New Roman"/>
                <w:kern w:val="0"/>
                <w:sz w:val="18"/>
                <w:szCs w:val="18"/>
              </w:rPr>
              <w:t>污染物排放清单</w:t>
            </w:r>
          </w:p>
        </w:tc>
        <w:tc>
          <w:tcPr>
            <w:tcW w:w="3914" w:type="pct"/>
            <w:gridSpan w:val="12"/>
            <w:noWrap/>
            <w:vAlign w:val="center"/>
          </w:tcPr>
          <w:p w14:paraId="1FB9595A">
            <w:pPr>
              <w:widowControl/>
              <w:adjustRightInd/>
              <w:spacing w:line="240" w:lineRule="auto"/>
              <w:ind w:firstLine="0" w:firstLineChars="0"/>
              <w:jc w:val="left"/>
              <w:rPr>
                <w:rFonts w:cs="Times New Roman"/>
                <w:kern w:val="0"/>
                <w:sz w:val="18"/>
                <w:szCs w:val="18"/>
              </w:rPr>
            </w:pPr>
            <w:r>
              <w:rPr>
                <w:rFonts w:hint="eastAsia" w:ascii="MS Mincho" w:hAnsi="MS Mincho" w:cs="MS Mincho"/>
                <w:kern w:val="0"/>
                <w:sz w:val="18"/>
                <w:szCs w:val="18"/>
              </w:rPr>
              <w:t>☑</w:t>
            </w:r>
          </w:p>
        </w:tc>
      </w:tr>
      <w:tr w14:paraId="6DB9B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992" w:type="pct"/>
            <w:gridSpan w:val="2"/>
            <w:noWrap/>
            <w:vAlign w:val="center"/>
          </w:tcPr>
          <w:p w14:paraId="3A990DF7">
            <w:pPr>
              <w:widowControl/>
              <w:adjustRightInd/>
              <w:spacing w:line="240" w:lineRule="auto"/>
              <w:ind w:firstLine="0" w:firstLineChars="0"/>
              <w:jc w:val="center"/>
              <w:rPr>
                <w:rFonts w:cs="Times New Roman"/>
                <w:kern w:val="0"/>
                <w:sz w:val="18"/>
                <w:szCs w:val="18"/>
              </w:rPr>
            </w:pPr>
            <w:r>
              <w:rPr>
                <w:rFonts w:cs="Times New Roman"/>
                <w:kern w:val="0"/>
                <w:sz w:val="18"/>
                <w:szCs w:val="18"/>
              </w:rPr>
              <w:t>评价结论</w:t>
            </w:r>
          </w:p>
        </w:tc>
        <w:tc>
          <w:tcPr>
            <w:tcW w:w="3914" w:type="pct"/>
            <w:gridSpan w:val="12"/>
            <w:noWrap/>
            <w:vAlign w:val="center"/>
          </w:tcPr>
          <w:p w14:paraId="1EC4AC13">
            <w:pPr>
              <w:widowControl/>
              <w:adjustRightInd/>
              <w:spacing w:line="240" w:lineRule="auto"/>
              <w:ind w:firstLine="0" w:firstLineChars="0"/>
              <w:jc w:val="left"/>
              <w:rPr>
                <w:rFonts w:cs="Times New Roman"/>
                <w:kern w:val="0"/>
                <w:sz w:val="18"/>
                <w:szCs w:val="18"/>
              </w:rPr>
            </w:pPr>
            <w:r>
              <w:rPr>
                <w:rFonts w:cs="Times New Roman"/>
                <w:kern w:val="0"/>
                <w:sz w:val="18"/>
                <w:szCs w:val="18"/>
              </w:rPr>
              <w:t>可</w:t>
            </w:r>
            <w:r>
              <w:rPr>
                <w:rFonts w:hint="eastAsia" w:cs="Times New Roman"/>
                <w:kern w:val="0"/>
                <w:sz w:val="18"/>
                <w:szCs w:val="18"/>
              </w:rPr>
              <w:t>以</w:t>
            </w:r>
            <w:r>
              <w:rPr>
                <w:rFonts w:cs="Times New Roman"/>
                <w:kern w:val="0"/>
                <w:sz w:val="18"/>
                <w:szCs w:val="18"/>
              </w:rPr>
              <w:t xml:space="preserve">接受 </w:t>
            </w:r>
            <w:r>
              <w:rPr>
                <w:rFonts w:hint="eastAsia" w:ascii="MS Mincho" w:hAnsi="MS Mincho" w:cs="MS Mincho"/>
                <w:kern w:val="0"/>
                <w:sz w:val="18"/>
                <w:szCs w:val="18"/>
              </w:rPr>
              <w:t>☑</w:t>
            </w:r>
            <w:r>
              <w:rPr>
                <w:rFonts w:ascii="宋体" w:hAnsi="宋体" w:cs="Times New Roman"/>
                <w:kern w:val="0"/>
                <w:sz w:val="18"/>
                <w:szCs w:val="18"/>
              </w:rPr>
              <w:t>；</w:t>
            </w:r>
            <w:r>
              <w:rPr>
                <w:rFonts w:cs="Times New Roman"/>
                <w:kern w:val="0"/>
                <w:sz w:val="18"/>
                <w:szCs w:val="18"/>
              </w:rPr>
              <w:t>不可</w:t>
            </w:r>
            <w:r>
              <w:rPr>
                <w:rFonts w:hint="eastAsia" w:cs="Times New Roman"/>
                <w:kern w:val="0"/>
                <w:sz w:val="18"/>
                <w:szCs w:val="18"/>
              </w:rPr>
              <w:t>以</w:t>
            </w:r>
            <w:r>
              <w:rPr>
                <w:rFonts w:cs="Times New Roman"/>
                <w:kern w:val="0"/>
                <w:sz w:val="18"/>
                <w:szCs w:val="18"/>
              </w:rPr>
              <w:t xml:space="preserve">接受 </w:t>
            </w:r>
            <w:r>
              <w:rPr>
                <w:rFonts w:ascii="宋体" w:hAnsi="宋体" w:cs="Times New Roman"/>
                <w:kern w:val="0"/>
                <w:sz w:val="18"/>
                <w:szCs w:val="18"/>
              </w:rPr>
              <w:t>□</w:t>
            </w:r>
          </w:p>
        </w:tc>
      </w:tr>
      <w:tr w14:paraId="159C4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2" w:type="pct"/>
          <w:trHeight w:val="340" w:hRule="atLeast"/>
          <w:jc w:val="center"/>
        </w:trPr>
        <w:tc>
          <w:tcPr>
            <w:tcW w:w="4907" w:type="pct"/>
            <w:gridSpan w:val="14"/>
            <w:noWrap/>
            <w:vAlign w:val="center"/>
          </w:tcPr>
          <w:p w14:paraId="2ACC03C9">
            <w:pPr>
              <w:widowControl/>
              <w:adjustRightInd/>
              <w:spacing w:line="240" w:lineRule="auto"/>
              <w:ind w:firstLine="0" w:firstLineChars="0"/>
              <w:jc w:val="left"/>
              <w:rPr>
                <w:rFonts w:cs="Times New Roman"/>
                <w:kern w:val="0"/>
                <w:sz w:val="18"/>
                <w:szCs w:val="18"/>
              </w:rPr>
            </w:pPr>
            <w:r>
              <w:rPr>
                <w:rFonts w:hint="eastAsia" w:cs="Times New Roman"/>
                <w:kern w:val="0"/>
                <w:sz w:val="18"/>
                <w:szCs w:val="18"/>
              </w:rPr>
              <w:t>注：“</w:t>
            </w:r>
            <w:r>
              <w:rPr>
                <w:rFonts w:ascii="宋体" w:hAnsi="宋体" w:cs="Times New Roman"/>
                <w:kern w:val="0"/>
                <w:sz w:val="18"/>
                <w:szCs w:val="18"/>
              </w:rPr>
              <w:t>□</w:t>
            </w:r>
            <w:r>
              <w:rPr>
                <w:rFonts w:hint="eastAsia" w:cs="Times New Roman"/>
                <w:kern w:val="0"/>
                <w:sz w:val="18"/>
                <w:szCs w:val="18"/>
              </w:rPr>
              <w:t>”为勾选项，可</w:t>
            </w:r>
            <w:r>
              <w:rPr>
                <w:rFonts w:hint="eastAsia" w:ascii="宋体" w:hAnsi="宋体" w:cs="Times New Roman"/>
                <w:kern w:val="0"/>
                <w:sz w:val="18"/>
                <w:szCs w:val="18"/>
              </w:rPr>
              <w:t>√</w:t>
            </w:r>
            <w:r>
              <w:rPr>
                <w:rFonts w:hint="eastAsia" w:cs="Times New Roman"/>
                <w:kern w:val="0"/>
                <w:sz w:val="18"/>
                <w:szCs w:val="18"/>
              </w:rPr>
              <w:t>；“</w:t>
            </w:r>
            <w:r>
              <w:rPr>
                <w:rFonts w:cs="Times New Roman"/>
                <w:kern w:val="0"/>
                <w:sz w:val="18"/>
                <w:szCs w:val="18"/>
              </w:rPr>
              <w:t>（   ）</w:t>
            </w:r>
            <w:r>
              <w:rPr>
                <w:rFonts w:hint="eastAsia" w:cs="Times New Roman"/>
                <w:kern w:val="0"/>
                <w:sz w:val="18"/>
                <w:szCs w:val="18"/>
              </w:rPr>
              <w:t>”为内容填写项；“备注”为其他补充内容。</w:t>
            </w:r>
          </w:p>
        </w:tc>
      </w:tr>
    </w:tbl>
    <w:p w14:paraId="4857E771">
      <w:pPr>
        <w:ind w:firstLine="0" w:firstLineChars="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32D85F2C">
      <w:pPr>
        <w:pStyle w:val="4"/>
        <w:numPr>
          <w:ilvl w:val="2"/>
          <w:numId w:val="1"/>
        </w:numPr>
      </w:pPr>
      <w:bookmarkStart w:id="237" w:name="_Toc19101"/>
      <w:r>
        <w:rPr>
          <w:rFonts w:hint="eastAsia"/>
        </w:rPr>
        <w:t>地下水环境影响预测与评价</w:t>
      </w:r>
      <w:bookmarkEnd w:id="237"/>
    </w:p>
    <w:p w14:paraId="1BB22673">
      <w:pPr>
        <w:pStyle w:val="5"/>
        <w:numPr>
          <w:ilvl w:val="3"/>
          <w:numId w:val="1"/>
        </w:numPr>
      </w:pPr>
      <w:r>
        <w:rPr>
          <w:rFonts w:hint="eastAsia"/>
        </w:rPr>
        <w:t>项目拟采取的地下水保护措施</w:t>
      </w:r>
    </w:p>
    <w:p w14:paraId="59AEF9E8">
      <w:pPr>
        <w:ind w:firstLine="480"/>
      </w:pPr>
      <w:r>
        <w:rPr>
          <w:rFonts w:hint="eastAsia"/>
        </w:rPr>
        <w:t>本项目拟采取及拟采取防渗措施如下：</w:t>
      </w:r>
    </w:p>
    <w:p w14:paraId="25399694">
      <w:pPr>
        <w:pStyle w:val="6"/>
        <w:bidi w:val="0"/>
      </w:pPr>
      <w:r>
        <w:rPr>
          <w:rFonts w:hint="eastAsia"/>
        </w:rPr>
        <w:t>废水池、事故池</w:t>
      </w:r>
    </w:p>
    <w:p w14:paraId="2728F470">
      <w:pPr>
        <w:ind w:firstLine="480"/>
      </w:pPr>
      <w:r>
        <w:rPr>
          <w:rFonts w:hint="eastAsia"/>
        </w:rPr>
        <w:t>项目废水池、事故池采用防渗标号大于S6混凝土（防渗系数≤4.19×10</w:t>
      </w:r>
      <w:r>
        <w:rPr>
          <w:rFonts w:hint="eastAsia"/>
          <w:vertAlign w:val="superscript"/>
        </w:rPr>
        <w:t>-9</w:t>
      </w:r>
      <w:r>
        <w:rPr>
          <w:rFonts w:hint="eastAsia"/>
        </w:rPr>
        <w:t>cm/s）进行施工，厚度大于15cm，在池子内壁设置相应的防腐防渗处理。</w:t>
      </w:r>
    </w:p>
    <w:p w14:paraId="4D5F7CF3">
      <w:pPr>
        <w:ind w:firstLine="480"/>
      </w:pPr>
      <w:r>
        <w:rPr>
          <w:rFonts w:hint="eastAsia"/>
        </w:rPr>
        <w:t>生产废水收集管道采用PVC管，沿管道铺设的位置进行地面</w:t>
      </w:r>
      <w:r>
        <w:rPr>
          <w:rFonts w:hint="eastAsia"/>
          <w:lang w:eastAsia="zh-CN"/>
        </w:rPr>
        <w:t>混凝土</w:t>
      </w:r>
      <w:r>
        <w:rPr>
          <w:rFonts w:hint="eastAsia"/>
        </w:rPr>
        <w:t>硬化处理，防止由于管道滴漏产生的污水直接污染包气带，沿管道设置废水收集槽，防止管道破裂时污水随意扩散，废水收集沟渠采用的混凝土进行施工，混凝土厚度大于10cm。</w:t>
      </w:r>
    </w:p>
    <w:p w14:paraId="6B40D1AC">
      <w:pPr>
        <w:pStyle w:val="6"/>
        <w:bidi w:val="0"/>
      </w:pPr>
      <w:r>
        <w:rPr>
          <w:rFonts w:hint="eastAsia"/>
        </w:rPr>
        <w:t>储罐区原辅料危险化学品储存</w:t>
      </w:r>
    </w:p>
    <w:p w14:paraId="71578B5B">
      <w:pPr>
        <w:ind w:firstLine="480"/>
      </w:pPr>
      <w:r>
        <w:rPr>
          <w:rFonts w:hint="eastAsia"/>
        </w:rPr>
        <w:t>储罐设置采用防渗标号大于S6的混凝土进行施工，混凝土厚度大于150mm，同时加涂2mm厚的防渗层；罐区外围设置</w:t>
      </w:r>
      <w:r>
        <w:rPr>
          <w:rFonts w:hint="eastAsia"/>
          <w:lang w:val="en-US" w:eastAsia="zh-CN"/>
        </w:rPr>
        <w:t>60cm高</w:t>
      </w:r>
      <w:r>
        <w:rPr>
          <w:rFonts w:hint="eastAsia"/>
        </w:rPr>
        <w:t>围堰，围堰与事故池联通；加强巡查，及时发现物料泄漏，及时处理，防止物料腐蚀地面基础层；及时发现破裂的包装或容器，并及时进行维护为修补，以防造成地下水污染。</w:t>
      </w:r>
    </w:p>
    <w:p w14:paraId="31C93FB8">
      <w:pPr>
        <w:pStyle w:val="6"/>
        <w:bidi w:val="0"/>
      </w:pPr>
      <w:r>
        <w:rPr>
          <w:rFonts w:hint="eastAsia"/>
        </w:rPr>
        <w:t>危险废物暂存场</w:t>
      </w:r>
    </w:p>
    <w:p w14:paraId="48CC57F4">
      <w:pPr>
        <w:ind w:firstLine="480"/>
      </w:pPr>
      <w:r>
        <w:rPr>
          <w:rFonts w:hint="eastAsia"/>
        </w:rPr>
        <w:t>项目危险废物暂存场将严格按照《危险废物贮存污染控制标准》（GB18597-2023）的相关要求设计相关地下水防护措施，具体如下：</w:t>
      </w:r>
    </w:p>
    <w:p w14:paraId="48963979">
      <w:pPr>
        <w:ind w:firstLine="480"/>
      </w:pPr>
      <w:r>
        <w:rPr>
          <w:rFonts w:hint="eastAsia"/>
        </w:rPr>
        <w:t>（1）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vertAlign w:val="superscript"/>
        </w:rPr>
        <w:t>-7</w:t>
      </w:r>
      <w:r>
        <w:rPr>
          <w:rFonts w:hint="eastAsia"/>
        </w:rPr>
        <w:t>cm/s），或至少2mm 厚高密度聚乙烯膜等人工防渗材料（渗透系数不大于10</w:t>
      </w:r>
      <w:r>
        <w:rPr>
          <w:rFonts w:hint="eastAsia"/>
          <w:vertAlign w:val="superscript"/>
        </w:rPr>
        <w:t>-10</w:t>
      </w:r>
      <w:r>
        <w:rPr>
          <w:rFonts w:hint="eastAsia"/>
        </w:rPr>
        <w:t>cm/s），或其他防渗性能等效的材料。</w:t>
      </w:r>
    </w:p>
    <w:p w14:paraId="380E0F9A">
      <w:pPr>
        <w:ind w:firstLine="480"/>
      </w:pPr>
      <w:r>
        <w:rPr>
          <w:rFonts w:hint="eastAsia"/>
        </w:rPr>
        <w:t>（2）地面与裙脚要用坚固、防渗的材料建造，设计堵截泄漏的裙脚；衬里要能够覆盖危险废物或其溶出物可能涉及到的范围。</w:t>
      </w:r>
    </w:p>
    <w:p w14:paraId="4B08054C">
      <w:pPr>
        <w:ind w:firstLine="480"/>
      </w:pPr>
      <w:r>
        <w:rPr>
          <w:rFonts w:hint="eastAsia"/>
        </w:rPr>
        <w:t>（3）设施内有安全照明设施和观察窗口。</w:t>
      </w:r>
    </w:p>
    <w:p w14:paraId="0FFAF457">
      <w:pPr>
        <w:pStyle w:val="6"/>
        <w:bidi w:val="0"/>
      </w:pPr>
      <w:r>
        <w:rPr>
          <w:rFonts w:hint="eastAsia"/>
        </w:rPr>
        <w:t>生产区</w:t>
      </w:r>
    </w:p>
    <w:p w14:paraId="563F2AC0">
      <w:pPr>
        <w:ind w:firstLine="480"/>
      </w:pPr>
      <w:r>
        <w:rPr>
          <w:rFonts w:hint="eastAsia"/>
        </w:rPr>
        <w:t>生产车间地面设置基础防渗，涉及废水产生的生产车间地面均采用防渗标号大于S6的混凝土进行施工，混凝土厚度大于150mm。</w:t>
      </w:r>
    </w:p>
    <w:p w14:paraId="2F34DBA6">
      <w:pPr>
        <w:pStyle w:val="5"/>
        <w:numPr>
          <w:ilvl w:val="3"/>
          <w:numId w:val="1"/>
        </w:numPr>
      </w:pPr>
      <w:r>
        <w:rPr>
          <w:rFonts w:hint="eastAsia"/>
        </w:rPr>
        <w:t>正常状况分析</w:t>
      </w:r>
    </w:p>
    <w:p w14:paraId="54D539C7">
      <w:pPr>
        <w:ind w:firstLine="480"/>
      </w:pPr>
      <w:r>
        <w:t>该项目重点防渗区包括</w:t>
      </w:r>
      <w:r>
        <w:rPr>
          <w:rFonts w:hint="eastAsia"/>
        </w:rPr>
        <w:t>化盐车间、</w:t>
      </w:r>
      <w:r>
        <w:t>电解车间、复分解车间、</w:t>
      </w:r>
      <w:r>
        <w:rPr>
          <w:rFonts w:hint="eastAsia"/>
        </w:rPr>
        <w:t>厂区废水站</w:t>
      </w:r>
      <w:r>
        <w:t>、罐区、危废暂存间、一般固废暂存间、事故应急池；一般防渗区包括循环水站、消防水池、原辅料仓库</w:t>
      </w:r>
      <w:r>
        <w:rPr>
          <w:rFonts w:hint="eastAsia"/>
          <w:lang w:eastAsia="zh-CN"/>
        </w:rPr>
        <w:t>、</w:t>
      </w:r>
      <w:r>
        <w:rPr>
          <w:rFonts w:hint="eastAsia"/>
          <w:lang w:val="en-US" w:eastAsia="zh-CN"/>
        </w:rPr>
        <w:t>氢气回收区</w:t>
      </w:r>
      <w:r>
        <w:t>；除一般防渗区及重点防渗区以外的生产区及生活办公区为简单防渗区。</w:t>
      </w:r>
    </w:p>
    <w:p w14:paraId="1AB805B5">
      <w:pPr>
        <w:ind w:firstLine="480"/>
      </w:pPr>
      <w:r>
        <w:t>参照《环境影响评价技术导则-地下水环境》(HJ610-2016)，重点污染防渗区防渗层的防渗性能应等效于6.0m 厚渗透系数为1.0×10</w:t>
      </w:r>
      <w:r>
        <w:rPr>
          <w:vertAlign w:val="superscript"/>
        </w:rPr>
        <w:t>-7</w:t>
      </w:r>
      <w:r>
        <w:t>cm/s 的黏土层的防渗性能。一般污染防渗区防渗层的防渗性能应等效于1.5m 厚渗透系数为1.0×10</w:t>
      </w:r>
      <w:r>
        <w:rPr>
          <w:vertAlign w:val="superscript"/>
        </w:rPr>
        <w:t>-7</w:t>
      </w:r>
      <w:r>
        <w:t>cm/s 的黏土层的防渗性能。简单防渗区只需对基础以下采取原土夯实，使渗透系数不大于1.0×10</w:t>
      </w:r>
      <w:r>
        <w:rPr>
          <w:vertAlign w:val="superscript"/>
        </w:rPr>
        <w:t>-6</w:t>
      </w:r>
      <w:r>
        <w:t>cm/s，即可达到防渗的目的</w:t>
      </w:r>
      <w:r>
        <w:rPr>
          <w:rFonts w:hint="eastAsia"/>
        </w:rPr>
        <w:t>。</w:t>
      </w:r>
      <w:r>
        <w:t>因此在正常状况下，项目基本不会对地下水环境产生显著影响。</w:t>
      </w:r>
    </w:p>
    <w:p w14:paraId="3BFB60FC">
      <w:pPr>
        <w:pStyle w:val="5"/>
        <w:numPr>
          <w:ilvl w:val="3"/>
          <w:numId w:val="1"/>
        </w:numPr>
      </w:pPr>
      <w:r>
        <w:rPr>
          <w:rFonts w:hint="eastAsia"/>
        </w:rPr>
        <w:t>非正常状况预测分析</w:t>
      </w:r>
    </w:p>
    <w:p w14:paraId="626C896C">
      <w:pPr>
        <w:ind w:firstLine="480"/>
      </w:pPr>
      <w:r>
        <w:t>该项目非正常状况主要包括：污水收集管道破裂，废水池防渗层破损；物料及固废储存区泄漏等。</w:t>
      </w:r>
    </w:p>
    <w:p w14:paraId="664B6C0E">
      <w:pPr>
        <w:ind w:firstLine="480"/>
      </w:pPr>
      <w:r>
        <w:t>1.情景设定</w:t>
      </w:r>
    </w:p>
    <w:p w14:paraId="3181849B">
      <w:pPr>
        <w:ind w:firstLine="480"/>
      </w:pPr>
      <w:r>
        <w:rPr>
          <w:rFonts w:hint="eastAsia"/>
          <w:lang w:val="en-US" w:eastAsia="zh-CN"/>
        </w:rPr>
        <w:t>本项目生产车间地面进行了硬化处理，所有的物料输送都架空设置，不设置地下储存罐，车间内泄露易发现，车间厂房地面有完善的防腐防渗措施，因此，非正常排放不考虑车间的泄漏。本项目生产区、原料储罐区以及仓库、固废暂存间、事故池和废水处理站基础进行了防渗设计。</w:t>
      </w:r>
    </w:p>
    <w:p w14:paraId="5F05A427">
      <w:pPr>
        <w:ind w:firstLine="480"/>
        <w:rPr>
          <w:rFonts w:hint="eastAsia"/>
        </w:rPr>
      </w:pPr>
      <w:r>
        <w:t>通过工程识别，拟选取</w:t>
      </w:r>
      <w:r>
        <w:rPr>
          <w:rFonts w:hint="eastAsia"/>
        </w:rPr>
        <w:t>盐酸储罐</w:t>
      </w:r>
      <w:r>
        <w:t>泄漏入地下水进行预测模拟</w:t>
      </w:r>
      <w:r>
        <w:rPr>
          <w:rFonts w:hint="eastAsia"/>
        </w:rPr>
        <w:t>。</w:t>
      </w:r>
    </w:p>
    <w:p w14:paraId="1CA9DE3F">
      <w:pPr>
        <w:ind w:firstLine="480"/>
      </w:pPr>
      <w:r>
        <w:rPr>
          <w:rFonts w:hint="eastAsia"/>
        </w:rPr>
        <w:t>盐酸储罐：采用标准指数法进行排序，并结合本项目的工程特点，选取氯化物作为预测因子，盐酸泄漏氯离子源强为1150000mg/L，评价标准为250mg/L。</w:t>
      </w:r>
    </w:p>
    <w:p w14:paraId="7E6B0395">
      <w:pPr>
        <w:ind w:firstLine="480"/>
      </w:pPr>
      <w:r>
        <w:t>2.情景预测</w:t>
      </w:r>
    </w:p>
    <w:p w14:paraId="28AEC334">
      <w:pPr>
        <w:ind w:firstLine="480"/>
      </w:pPr>
      <w:r>
        <w:t>①预测模型</w:t>
      </w:r>
    </w:p>
    <w:p w14:paraId="739D9816">
      <w:pPr>
        <w:ind w:firstLine="480"/>
      </w:pPr>
      <w:r>
        <w:t>当发生上述事故后，污染物渗入地下水含水层系统。污染物将首先在垂向上渗入包气带，并在物理、化学和生物等作用下进一步影响地下水环境。通常污染物需要迁移穿过含水层上覆包气带才能进入地下水含水层。含水层上覆地层是地表污染物与地下水含水层之间的重要通道和过渡带，既是污染物的媒介，也是污染物的净化场所，即地下水含水层的防护层。该项目场地包气带主要为第四系人工填土层，以粘土为主。根据渗透系数经验值表，渗透性较弱，即使营运期间发生泄漏，污染物也需要经历一段时间穿过包气带下渗。</w:t>
      </w:r>
    </w:p>
    <w:p w14:paraId="566FB03E">
      <w:pPr>
        <w:ind w:firstLine="480"/>
      </w:pPr>
      <w:r>
        <w:t>本次地下水污染预测过程不考虑污染物在含水层中的吸附、挥发、生物化学反应，预测采用《环境影响评价技术导则 地下水环境》（HJ610-2016）附录D推荐的D1.2.1.2公式，概化条件为“一维半无限长多孔介质柱体，一端为定浓度边界”。</w:t>
      </w:r>
    </w:p>
    <w:p w14:paraId="619DABF4">
      <w:pPr>
        <w:ind w:firstLine="480"/>
        <w:jc w:val="center"/>
        <w:rPr>
          <w:rFonts w:cs="Times New Roman"/>
        </w:rPr>
      </w:pPr>
      <w:r>
        <w:rPr>
          <w:rFonts w:cs="Times New Roman"/>
        </w:rPr>
        <w:drawing>
          <wp:inline distT="0" distB="0" distL="114300" distR="114300">
            <wp:extent cx="3041650" cy="880745"/>
            <wp:effectExtent l="0" t="0" r="6350" b="14605"/>
            <wp:docPr id="3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1"/>
                    <pic:cNvPicPr>
                      <a:picLocks noChangeAspect="1"/>
                    </pic:cNvPicPr>
                  </pic:nvPicPr>
                  <pic:blipFill>
                    <a:blip r:embed="rId142" cstate="print"/>
                    <a:stretch>
                      <a:fillRect/>
                    </a:stretch>
                  </pic:blipFill>
                  <pic:spPr>
                    <a:xfrm>
                      <a:off x="0" y="0"/>
                      <a:ext cx="3041650" cy="880745"/>
                    </a:xfrm>
                    <a:prstGeom prst="rect">
                      <a:avLst/>
                    </a:prstGeom>
                    <a:noFill/>
                    <a:ln>
                      <a:noFill/>
                    </a:ln>
                  </pic:spPr>
                </pic:pic>
              </a:graphicData>
            </a:graphic>
          </wp:inline>
        </w:drawing>
      </w:r>
    </w:p>
    <w:p w14:paraId="51DE141C">
      <w:pPr>
        <w:ind w:firstLine="480"/>
        <w:rPr>
          <w:rFonts w:cs="Times New Roman"/>
        </w:rPr>
      </w:pPr>
      <w:r>
        <w:rPr>
          <w:rFonts w:cs="Times New Roman"/>
        </w:rPr>
        <w:t>式中：</w:t>
      </w:r>
    </w:p>
    <w:tbl>
      <w:tblPr>
        <w:tblStyle w:val="32"/>
        <w:tblW w:w="0" w:type="auto"/>
        <w:jc w:val="center"/>
        <w:tblLayout w:type="fixed"/>
        <w:tblCellMar>
          <w:top w:w="0" w:type="dxa"/>
          <w:left w:w="108" w:type="dxa"/>
          <w:bottom w:w="0" w:type="dxa"/>
          <w:right w:w="108" w:type="dxa"/>
        </w:tblCellMar>
      </w:tblPr>
      <w:tblGrid>
        <w:gridCol w:w="1525"/>
        <w:gridCol w:w="285"/>
        <w:gridCol w:w="6712"/>
      </w:tblGrid>
      <w:tr w14:paraId="4760CDA9">
        <w:tblPrEx>
          <w:tblCellMar>
            <w:top w:w="0" w:type="dxa"/>
            <w:left w:w="108" w:type="dxa"/>
            <w:bottom w:w="0" w:type="dxa"/>
            <w:right w:w="108" w:type="dxa"/>
          </w:tblCellMar>
        </w:tblPrEx>
        <w:trPr>
          <w:jc w:val="center"/>
        </w:trPr>
        <w:tc>
          <w:tcPr>
            <w:tcW w:w="1525" w:type="dxa"/>
          </w:tcPr>
          <w:p w14:paraId="6395D2ED">
            <w:pPr>
              <w:widowControl/>
              <w:wordWrap w:val="0"/>
              <w:autoSpaceDE w:val="0"/>
              <w:autoSpaceDN w:val="0"/>
              <w:snapToGrid w:val="0"/>
              <w:spacing w:line="240" w:lineRule="auto"/>
              <w:ind w:firstLine="0" w:firstLineChars="0"/>
              <w:rPr>
                <w:rFonts w:cs="Times New Roman"/>
                <w:kern w:val="0"/>
              </w:rPr>
            </w:pPr>
            <w:r>
              <w:rPr>
                <w:rFonts w:cs="Times New Roman"/>
                <w:i/>
                <w:kern w:val="0"/>
              </w:rPr>
              <w:t>x</w:t>
            </w:r>
          </w:p>
        </w:tc>
        <w:tc>
          <w:tcPr>
            <w:tcW w:w="285" w:type="dxa"/>
          </w:tcPr>
          <w:p w14:paraId="4802AC6F">
            <w:pPr>
              <w:widowControl/>
              <w:wordWrap w:val="0"/>
              <w:autoSpaceDE w:val="0"/>
              <w:autoSpaceDN w:val="0"/>
              <w:snapToGrid w:val="0"/>
              <w:spacing w:line="240" w:lineRule="auto"/>
              <w:ind w:firstLine="0" w:firstLineChars="0"/>
              <w:rPr>
                <w:rFonts w:cs="Times New Roman"/>
                <w:kern w:val="0"/>
              </w:rPr>
            </w:pPr>
            <w:r>
              <w:rPr>
                <w:rFonts w:cs="Times New Roman"/>
                <w:kern w:val="0"/>
              </w:rPr>
              <w:t>—</w:t>
            </w:r>
          </w:p>
        </w:tc>
        <w:tc>
          <w:tcPr>
            <w:tcW w:w="6712" w:type="dxa"/>
          </w:tcPr>
          <w:p w14:paraId="45BC2A48">
            <w:pPr>
              <w:widowControl/>
              <w:wordWrap w:val="0"/>
              <w:autoSpaceDE w:val="0"/>
              <w:autoSpaceDN w:val="0"/>
              <w:snapToGrid w:val="0"/>
              <w:spacing w:line="240" w:lineRule="auto"/>
              <w:ind w:firstLine="0" w:firstLineChars="0"/>
              <w:rPr>
                <w:rFonts w:cs="Times New Roman"/>
                <w:kern w:val="0"/>
              </w:rPr>
            </w:pPr>
            <w:r>
              <w:rPr>
                <w:rFonts w:cs="Times New Roman"/>
                <w:kern w:val="0"/>
              </w:rPr>
              <w:t>距泄漏点的距离，m；</w:t>
            </w:r>
          </w:p>
        </w:tc>
      </w:tr>
      <w:tr w14:paraId="1447E156">
        <w:tblPrEx>
          <w:tblCellMar>
            <w:top w:w="0" w:type="dxa"/>
            <w:left w:w="108" w:type="dxa"/>
            <w:bottom w:w="0" w:type="dxa"/>
            <w:right w:w="108" w:type="dxa"/>
          </w:tblCellMar>
        </w:tblPrEx>
        <w:trPr>
          <w:jc w:val="center"/>
        </w:trPr>
        <w:tc>
          <w:tcPr>
            <w:tcW w:w="1525" w:type="dxa"/>
          </w:tcPr>
          <w:p w14:paraId="14548C9E">
            <w:pPr>
              <w:widowControl/>
              <w:wordWrap w:val="0"/>
              <w:autoSpaceDE w:val="0"/>
              <w:autoSpaceDN w:val="0"/>
              <w:snapToGrid w:val="0"/>
              <w:spacing w:line="240" w:lineRule="auto"/>
              <w:ind w:firstLine="0" w:firstLineChars="0"/>
              <w:rPr>
                <w:rFonts w:cs="Times New Roman"/>
                <w:i/>
                <w:kern w:val="0"/>
              </w:rPr>
            </w:pPr>
            <w:r>
              <w:rPr>
                <w:rFonts w:cs="Times New Roman"/>
                <w:i/>
                <w:kern w:val="0"/>
              </w:rPr>
              <w:t>t</w:t>
            </w:r>
          </w:p>
        </w:tc>
        <w:tc>
          <w:tcPr>
            <w:tcW w:w="285" w:type="dxa"/>
          </w:tcPr>
          <w:p w14:paraId="1A0E773A">
            <w:pPr>
              <w:widowControl/>
              <w:wordWrap w:val="0"/>
              <w:autoSpaceDE w:val="0"/>
              <w:autoSpaceDN w:val="0"/>
              <w:snapToGrid w:val="0"/>
              <w:spacing w:line="240" w:lineRule="auto"/>
              <w:ind w:firstLine="0" w:firstLineChars="0"/>
              <w:rPr>
                <w:rFonts w:cs="Times New Roman"/>
                <w:kern w:val="0"/>
              </w:rPr>
            </w:pPr>
            <w:r>
              <w:rPr>
                <w:rFonts w:cs="Times New Roman"/>
                <w:kern w:val="0"/>
              </w:rPr>
              <w:t>—</w:t>
            </w:r>
          </w:p>
        </w:tc>
        <w:tc>
          <w:tcPr>
            <w:tcW w:w="6712" w:type="dxa"/>
          </w:tcPr>
          <w:p w14:paraId="47D4C98E">
            <w:pPr>
              <w:widowControl/>
              <w:wordWrap w:val="0"/>
              <w:autoSpaceDE w:val="0"/>
              <w:autoSpaceDN w:val="0"/>
              <w:snapToGrid w:val="0"/>
              <w:spacing w:line="240" w:lineRule="auto"/>
              <w:ind w:firstLine="0" w:firstLineChars="0"/>
              <w:rPr>
                <w:rFonts w:cs="Times New Roman"/>
                <w:kern w:val="0"/>
              </w:rPr>
            </w:pPr>
            <w:r>
              <w:rPr>
                <w:rFonts w:cs="Times New Roman"/>
                <w:kern w:val="0"/>
              </w:rPr>
              <w:t>时间，d；</w:t>
            </w:r>
          </w:p>
        </w:tc>
      </w:tr>
      <w:tr w14:paraId="2059063F">
        <w:tblPrEx>
          <w:tblCellMar>
            <w:top w:w="0" w:type="dxa"/>
            <w:left w:w="108" w:type="dxa"/>
            <w:bottom w:w="0" w:type="dxa"/>
            <w:right w:w="108" w:type="dxa"/>
          </w:tblCellMar>
        </w:tblPrEx>
        <w:trPr>
          <w:jc w:val="center"/>
        </w:trPr>
        <w:tc>
          <w:tcPr>
            <w:tcW w:w="1525" w:type="dxa"/>
          </w:tcPr>
          <w:p w14:paraId="6E3A6091">
            <w:pPr>
              <w:widowControl/>
              <w:wordWrap w:val="0"/>
              <w:autoSpaceDE w:val="0"/>
              <w:autoSpaceDN w:val="0"/>
              <w:snapToGrid w:val="0"/>
              <w:spacing w:line="240" w:lineRule="auto"/>
              <w:ind w:firstLine="0" w:firstLineChars="0"/>
              <w:rPr>
                <w:rFonts w:cs="Times New Roman"/>
                <w:i/>
                <w:kern w:val="0"/>
              </w:rPr>
            </w:pPr>
            <w:r>
              <w:rPr>
                <w:rFonts w:cs="Times New Roman"/>
                <w:i/>
                <w:kern w:val="0"/>
              </w:rPr>
              <w:t>C</w:t>
            </w:r>
            <w:r>
              <w:rPr>
                <w:rFonts w:cs="Times New Roman"/>
                <w:kern w:val="0"/>
              </w:rPr>
              <w:t>(</w:t>
            </w:r>
            <w:r>
              <w:rPr>
                <w:rFonts w:cs="Times New Roman"/>
                <w:i/>
                <w:kern w:val="0"/>
              </w:rPr>
              <w:t>x</w:t>
            </w:r>
            <w:r>
              <w:rPr>
                <w:rFonts w:cs="Times New Roman"/>
                <w:kern w:val="0"/>
              </w:rPr>
              <w:t xml:space="preserve"> ,</w:t>
            </w:r>
            <w:r>
              <w:rPr>
                <w:rFonts w:cs="Times New Roman"/>
                <w:i/>
                <w:kern w:val="0"/>
              </w:rPr>
              <w:t>t</w:t>
            </w:r>
            <w:r>
              <w:rPr>
                <w:rFonts w:cs="Times New Roman"/>
                <w:kern w:val="0"/>
              </w:rPr>
              <w:t>)</w:t>
            </w:r>
          </w:p>
        </w:tc>
        <w:tc>
          <w:tcPr>
            <w:tcW w:w="285" w:type="dxa"/>
          </w:tcPr>
          <w:p w14:paraId="178A41A9">
            <w:pPr>
              <w:widowControl/>
              <w:wordWrap w:val="0"/>
              <w:autoSpaceDE w:val="0"/>
              <w:autoSpaceDN w:val="0"/>
              <w:snapToGrid w:val="0"/>
              <w:spacing w:line="240" w:lineRule="auto"/>
              <w:ind w:firstLine="0" w:firstLineChars="0"/>
              <w:rPr>
                <w:rFonts w:cs="Times New Roman"/>
                <w:kern w:val="0"/>
              </w:rPr>
            </w:pPr>
            <w:r>
              <w:rPr>
                <w:rFonts w:cs="Times New Roman"/>
                <w:kern w:val="0"/>
              </w:rPr>
              <w:t>—</w:t>
            </w:r>
          </w:p>
        </w:tc>
        <w:tc>
          <w:tcPr>
            <w:tcW w:w="6712" w:type="dxa"/>
          </w:tcPr>
          <w:p w14:paraId="6816C3EB">
            <w:pPr>
              <w:widowControl/>
              <w:wordWrap w:val="0"/>
              <w:autoSpaceDE w:val="0"/>
              <w:autoSpaceDN w:val="0"/>
              <w:snapToGrid w:val="0"/>
              <w:spacing w:line="240" w:lineRule="auto"/>
              <w:ind w:firstLine="0" w:firstLineChars="0"/>
              <w:rPr>
                <w:rFonts w:cs="Times New Roman"/>
                <w:kern w:val="0"/>
              </w:rPr>
            </w:pPr>
            <w:r>
              <w:rPr>
                <w:rFonts w:cs="Times New Roman"/>
                <w:kern w:val="0"/>
              </w:rPr>
              <w:t>t时刻点（x）处污染物浓度，mg/L；</w:t>
            </w:r>
          </w:p>
        </w:tc>
      </w:tr>
      <w:tr w14:paraId="1B12D082">
        <w:tblPrEx>
          <w:tblCellMar>
            <w:top w:w="0" w:type="dxa"/>
            <w:left w:w="108" w:type="dxa"/>
            <w:bottom w:w="0" w:type="dxa"/>
            <w:right w:w="108" w:type="dxa"/>
          </w:tblCellMar>
        </w:tblPrEx>
        <w:trPr>
          <w:jc w:val="center"/>
        </w:trPr>
        <w:tc>
          <w:tcPr>
            <w:tcW w:w="1525" w:type="dxa"/>
          </w:tcPr>
          <w:p w14:paraId="45D3FBE1">
            <w:pPr>
              <w:widowControl/>
              <w:wordWrap w:val="0"/>
              <w:autoSpaceDE w:val="0"/>
              <w:autoSpaceDN w:val="0"/>
              <w:snapToGrid w:val="0"/>
              <w:spacing w:line="240" w:lineRule="auto"/>
              <w:ind w:firstLine="0" w:firstLineChars="0"/>
              <w:rPr>
                <w:rFonts w:cs="Times New Roman"/>
                <w:i/>
                <w:kern w:val="0"/>
              </w:rPr>
            </w:pPr>
            <w:r>
              <w:rPr>
                <w:rFonts w:cs="Times New Roman"/>
                <w:i/>
                <w:kern w:val="0"/>
              </w:rPr>
              <w:t>C</w:t>
            </w:r>
            <w:r>
              <w:rPr>
                <w:rFonts w:cs="Times New Roman"/>
                <w:i/>
                <w:kern w:val="0"/>
                <w:vertAlign w:val="subscript"/>
              </w:rPr>
              <w:t>0</w:t>
            </w:r>
          </w:p>
        </w:tc>
        <w:tc>
          <w:tcPr>
            <w:tcW w:w="285" w:type="dxa"/>
          </w:tcPr>
          <w:p w14:paraId="4366EDDF">
            <w:pPr>
              <w:widowControl/>
              <w:wordWrap w:val="0"/>
              <w:autoSpaceDE w:val="0"/>
              <w:autoSpaceDN w:val="0"/>
              <w:snapToGrid w:val="0"/>
              <w:spacing w:line="240" w:lineRule="auto"/>
              <w:ind w:firstLine="0" w:firstLineChars="0"/>
              <w:rPr>
                <w:rFonts w:cs="Times New Roman"/>
                <w:kern w:val="0"/>
              </w:rPr>
            </w:pPr>
            <w:r>
              <w:rPr>
                <w:rFonts w:cs="Times New Roman"/>
                <w:kern w:val="0"/>
              </w:rPr>
              <w:t>—</w:t>
            </w:r>
          </w:p>
        </w:tc>
        <w:tc>
          <w:tcPr>
            <w:tcW w:w="6712" w:type="dxa"/>
          </w:tcPr>
          <w:p w14:paraId="3BD1591A">
            <w:pPr>
              <w:widowControl/>
              <w:wordWrap w:val="0"/>
              <w:autoSpaceDE w:val="0"/>
              <w:autoSpaceDN w:val="0"/>
              <w:snapToGrid w:val="0"/>
              <w:spacing w:line="240" w:lineRule="auto"/>
              <w:ind w:firstLine="0" w:firstLineChars="0"/>
              <w:rPr>
                <w:rFonts w:cs="Times New Roman"/>
                <w:kern w:val="0"/>
              </w:rPr>
            </w:pPr>
            <w:r>
              <w:rPr>
                <w:rFonts w:cs="Times New Roman"/>
                <w:kern w:val="0"/>
              </w:rPr>
              <w:t>注入的示踪剂浓度，mg/L；</w:t>
            </w:r>
          </w:p>
        </w:tc>
      </w:tr>
      <w:tr w14:paraId="5C1BE0F6">
        <w:tblPrEx>
          <w:tblCellMar>
            <w:top w:w="0" w:type="dxa"/>
            <w:left w:w="108" w:type="dxa"/>
            <w:bottom w:w="0" w:type="dxa"/>
            <w:right w:w="108" w:type="dxa"/>
          </w:tblCellMar>
        </w:tblPrEx>
        <w:trPr>
          <w:jc w:val="center"/>
        </w:trPr>
        <w:tc>
          <w:tcPr>
            <w:tcW w:w="1525" w:type="dxa"/>
          </w:tcPr>
          <w:p w14:paraId="7176FF97">
            <w:pPr>
              <w:widowControl/>
              <w:wordWrap w:val="0"/>
              <w:autoSpaceDE w:val="0"/>
              <w:autoSpaceDN w:val="0"/>
              <w:snapToGrid w:val="0"/>
              <w:spacing w:line="240" w:lineRule="auto"/>
              <w:ind w:firstLine="0" w:firstLineChars="0"/>
              <w:rPr>
                <w:rFonts w:cs="Times New Roman"/>
                <w:i/>
                <w:kern w:val="0"/>
              </w:rPr>
            </w:pPr>
            <w:r>
              <w:rPr>
                <w:rFonts w:cs="Times New Roman"/>
                <w:i/>
                <w:kern w:val="0"/>
              </w:rPr>
              <w:t>u</w:t>
            </w:r>
          </w:p>
        </w:tc>
        <w:tc>
          <w:tcPr>
            <w:tcW w:w="285" w:type="dxa"/>
          </w:tcPr>
          <w:p w14:paraId="37951DDC">
            <w:pPr>
              <w:widowControl/>
              <w:wordWrap w:val="0"/>
              <w:autoSpaceDE w:val="0"/>
              <w:autoSpaceDN w:val="0"/>
              <w:snapToGrid w:val="0"/>
              <w:spacing w:line="240" w:lineRule="auto"/>
              <w:ind w:firstLine="0" w:firstLineChars="0"/>
              <w:rPr>
                <w:rFonts w:cs="Times New Roman"/>
                <w:kern w:val="0"/>
              </w:rPr>
            </w:pPr>
            <w:r>
              <w:rPr>
                <w:rFonts w:cs="Times New Roman"/>
                <w:kern w:val="0"/>
              </w:rPr>
              <w:t>—</w:t>
            </w:r>
          </w:p>
        </w:tc>
        <w:tc>
          <w:tcPr>
            <w:tcW w:w="6712" w:type="dxa"/>
          </w:tcPr>
          <w:p w14:paraId="1F4321F9">
            <w:pPr>
              <w:widowControl/>
              <w:wordWrap w:val="0"/>
              <w:autoSpaceDE w:val="0"/>
              <w:autoSpaceDN w:val="0"/>
              <w:snapToGrid w:val="0"/>
              <w:spacing w:line="240" w:lineRule="auto"/>
              <w:ind w:firstLine="0" w:firstLineChars="0"/>
              <w:rPr>
                <w:rFonts w:cs="Times New Roman"/>
                <w:kern w:val="0"/>
              </w:rPr>
            </w:pPr>
            <w:r>
              <w:rPr>
                <w:rFonts w:cs="Times New Roman"/>
                <w:kern w:val="0"/>
              </w:rPr>
              <w:t>水流速度，m/d；</w:t>
            </w:r>
          </w:p>
        </w:tc>
      </w:tr>
      <w:tr w14:paraId="586DBC17">
        <w:tblPrEx>
          <w:tblCellMar>
            <w:top w:w="0" w:type="dxa"/>
            <w:left w:w="108" w:type="dxa"/>
            <w:bottom w:w="0" w:type="dxa"/>
            <w:right w:w="108" w:type="dxa"/>
          </w:tblCellMar>
        </w:tblPrEx>
        <w:trPr>
          <w:jc w:val="center"/>
        </w:trPr>
        <w:tc>
          <w:tcPr>
            <w:tcW w:w="1525" w:type="dxa"/>
          </w:tcPr>
          <w:p w14:paraId="6532AFC1">
            <w:pPr>
              <w:widowControl/>
              <w:wordWrap w:val="0"/>
              <w:autoSpaceDE w:val="0"/>
              <w:autoSpaceDN w:val="0"/>
              <w:snapToGrid w:val="0"/>
              <w:spacing w:line="240" w:lineRule="auto"/>
              <w:ind w:firstLine="0" w:firstLineChars="0"/>
              <w:rPr>
                <w:rFonts w:cs="Times New Roman"/>
                <w:i/>
                <w:kern w:val="0"/>
              </w:rPr>
            </w:pPr>
            <w:r>
              <w:rPr>
                <w:rFonts w:cs="Times New Roman"/>
                <w:i/>
                <w:kern w:val="0"/>
              </w:rPr>
              <w:t>D</w:t>
            </w:r>
            <w:r>
              <w:rPr>
                <w:rFonts w:cs="Times New Roman"/>
                <w:i/>
                <w:kern w:val="0"/>
                <w:vertAlign w:val="subscript"/>
              </w:rPr>
              <w:t>L</w:t>
            </w:r>
          </w:p>
        </w:tc>
        <w:tc>
          <w:tcPr>
            <w:tcW w:w="285" w:type="dxa"/>
          </w:tcPr>
          <w:p w14:paraId="35A0F69C">
            <w:pPr>
              <w:widowControl/>
              <w:wordWrap w:val="0"/>
              <w:autoSpaceDE w:val="0"/>
              <w:autoSpaceDN w:val="0"/>
              <w:snapToGrid w:val="0"/>
              <w:spacing w:line="240" w:lineRule="auto"/>
              <w:ind w:firstLine="0" w:firstLineChars="0"/>
              <w:rPr>
                <w:rFonts w:cs="Times New Roman"/>
                <w:kern w:val="0"/>
              </w:rPr>
            </w:pPr>
            <w:r>
              <w:rPr>
                <w:rFonts w:cs="Times New Roman"/>
                <w:kern w:val="0"/>
              </w:rPr>
              <w:t>—</w:t>
            </w:r>
          </w:p>
        </w:tc>
        <w:tc>
          <w:tcPr>
            <w:tcW w:w="6712" w:type="dxa"/>
          </w:tcPr>
          <w:p w14:paraId="30FE572B">
            <w:pPr>
              <w:widowControl/>
              <w:wordWrap w:val="0"/>
              <w:autoSpaceDE w:val="0"/>
              <w:autoSpaceDN w:val="0"/>
              <w:snapToGrid w:val="0"/>
              <w:spacing w:line="240" w:lineRule="auto"/>
              <w:ind w:firstLine="0" w:firstLineChars="0"/>
              <w:rPr>
                <w:rFonts w:cs="Times New Roman"/>
                <w:kern w:val="0"/>
              </w:rPr>
            </w:pPr>
            <w:r>
              <w:rPr>
                <w:rFonts w:cs="Times New Roman"/>
                <w:kern w:val="0"/>
              </w:rPr>
              <w:t>纵向弥散系数，m</w:t>
            </w:r>
            <w:r>
              <w:rPr>
                <w:rFonts w:cs="Times New Roman"/>
                <w:kern w:val="0"/>
                <w:vertAlign w:val="superscript"/>
              </w:rPr>
              <w:t>2</w:t>
            </w:r>
            <w:r>
              <w:rPr>
                <w:rFonts w:cs="Times New Roman"/>
                <w:kern w:val="0"/>
              </w:rPr>
              <w:t>/d；</w:t>
            </w:r>
          </w:p>
        </w:tc>
      </w:tr>
      <w:tr w14:paraId="783E3889">
        <w:tblPrEx>
          <w:tblCellMar>
            <w:top w:w="0" w:type="dxa"/>
            <w:left w:w="108" w:type="dxa"/>
            <w:bottom w:w="0" w:type="dxa"/>
            <w:right w:w="108" w:type="dxa"/>
          </w:tblCellMar>
        </w:tblPrEx>
        <w:trPr>
          <w:jc w:val="center"/>
        </w:trPr>
        <w:tc>
          <w:tcPr>
            <w:tcW w:w="1525" w:type="dxa"/>
          </w:tcPr>
          <w:p w14:paraId="0A5DA432">
            <w:pPr>
              <w:widowControl/>
              <w:wordWrap w:val="0"/>
              <w:autoSpaceDE w:val="0"/>
              <w:autoSpaceDN w:val="0"/>
              <w:snapToGrid w:val="0"/>
              <w:spacing w:line="240" w:lineRule="auto"/>
              <w:ind w:firstLine="0" w:firstLineChars="0"/>
              <w:rPr>
                <w:rFonts w:cs="Times New Roman"/>
                <w:i/>
                <w:kern w:val="0"/>
              </w:rPr>
            </w:pPr>
            <w:r>
              <w:rPr>
                <w:rFonts w:cs="Times New Roman"/>
                <w:i/>
                <w:kern w:val="0"/>
              </w:rPr>
              <w:t>Erfc（）</w:t>
            </w:r>
          </w:p>
        </w:tc>
        <w:tc>
          <w:tcPr>
            <w:tcW w:w="285" w:type="dxa"/>
          </w:tcPr>
          <w:p w14:paraId="0CBD30F2">
            <w:pPr>
              <w:widowControl/>
              <w:wordWrap w:val="0"/>
              <w:autoSpaceDE w:val="0"/>
              <w:autoSpaceDN w:val="0"/>
              <w:snapToGrid w:val="0"/>
              <w:spacing w:line="240" w:lineRule="auto"/>
              <w:ind w:firstLine="0" w:firstLineChars="0"/>
              <w:rPr>
                <w:rFonts w:cs="Times New Roman"/>
                <w:kern w:val="0"/>
              </w:rPr>
            </w:pPr>
            <w:r>
              <w:rPr>
                <w:rFonts w:cs="Times New Roman"/>
                <w:kern w:val="0"/>
              </w:rPr>
              <w:t>—</w:t>
            </w:r>
          </w:p>
        </w:tc>
        <w:tc>
          <w:tcPr>
            <w:tcW w:w="6712" w:type="dxa"/>
          </w:tcPr>
          <w:p w14:paraId="654CC06D">
            <w:pPr>
              <w:widowControl/>
              <w:wordWrap w:val="0"/>
              <w:autoSpaceDE w:val="0"/>
              <w:autoSpaceDN w:val="0"/>
              <w:snapToGrid w:val="0"/>
              <w:spacing w:line="240" w:lineRule="auto"/>
              <w:ind w:firstLine="0" w:firstLineChars="0"/>
              <w:rPr>
                <w:rFonts w:cs="Times New Roman"/>
                <w:kern w:val="0"/>
              </w:rPr>
            </w:pPr>
            <w:r>
              <w:rPr>
                <w:rFonts w:cs="Times New Roman"/>
                <w:kern w:val="0"/>
              </w:rPr>
              <w:t>余误差函数</w:t>
            </w:r>
          </w:p>
        </w:tc>
      </w:tr>
    </w:tbl>
    <w:p w14:paraId="29CB35B6">
      <w:pPr>
        <w:ind w:firstLine="0" w:firstLineChars="0"/>
        <w:rPr>
          <w:rFonts w:cs="Times New Roman"/>
        </w:rPr>
      </w:pPr>
    </w:p>
    <w:p w14:paraId="004955E0">
      <w:pPr>
        <w:ind w:firstLine="480"/>
        <w:rPr>
          <w:rFonts w:cs="Times New Roman"/>
        </w:rPr>
      </w:pPr>
      <w:r>
        <w:rPr>
          <w:rFonts w:cs="Times New Roman"/>
        </w:rPr>
        <w:t>②参数确定：</w:t>
      </w:r>
    </w:p>
    <w:p w14:paraId="0CAAC5B3">
      <w:pPr>
        <w:ind w:firstLine="480"/>
        <w:rPr>
          <w:rFonts w:cs="Times New Roman"/>
        </w:rPr>
      </w:pPr>
      <w:r>
        <w:rPr>
          <w:rFonts w:cs="Times New Roman"/>
        </w:rPr>
        <w:t>水流速度V：由达西公式有V=K*I，参考地质资料，地下水水力坡度I为0.057，含水层渗透系数K取0.75m/d，有效孔隙度取0.35，求得水流速度u为0.12m/d。</w:t>
      </w:r>
    </w:p>
    <w:p w14:paraId="59711962">
      <w:pPr>
        <w:ind w:firstLine="480"/>
        <w:rPr>
          <w:rFonts w:cs="Times New Roman"/>
        </w:rPr>
      </w:pPr>
      <w:r>
        <w:rPr>
          <w:rFonts w:cs="Times New Roman"/>
        </w:rPr>
        <w:t>纵向弥散系数DL：由公式DL=V *αL确定，通过查阅相关文献资料，弥散系数确定相对较难，通过对以往研究者不同岩性的分析选取，本项目从保守角度考虑αL选10m。由此可求得纵向弥散系数DL为1.22m</w:t>
      </w:r>
      <w:r>
        <w:rPr>
          <w:rFonts w:cs="Times New Roman"/>
          <w:vertAlign w:val="superscript"/>
        </w:rPr>
        <w:t>2</w:t>
      </w:r>
      <w:r>
        <w:rPr>
          <w:rFonts w:cs="Times New Roman"/>
        </w:rPr>
        <w:t>/d。</w:t>
      </w:r>
    </w:p>
    <w:p w14:paraId="59FD9860">
      <w:pPr>
        <w:ind w:firstLine="480"/>
        <w:rPr>
          <w:rFonts w:cs="Times New Roman"/>
        </w:rPr>
      </w:pPr>
      <w:r>
        <w:rPr>
          <w:rFonts w:cs="Times New Roman"/>
        </w:rPr>
        <w:t>③预测源强</w:t>
      </w:r>
    </w:p>
    <w:p w14:paraId="253DDAF3">
      <w:pPr>
        <w:ind w:firstLine="480"/>
        <w:rPr>
          <w:rFonts w:cs="Times New Roman"/>
        </w:rPr>
      </w:pPr>
      <w:r>
        <w:rPr>
          <w:rFonts w:cs="Times New Roman"/>
        </w:rPr>
        <w:t>根据盐酸浓度，以及《地下水质量标准》（GB/T14848-2017），选取</w:t>
      </w:r>
      <w:r>
        <w:rPr>
          <w:rFonts w:hint="eastAsia" w:cs="Times New Roman"/>
        </w:rPr>
        <w:t>高</w:t>
      </w:r>
      <w:r>
        <w:rPr>
          <w:rFonts w:cs="Times New Roman"/>
        </w:rPr>
        <w:t>氯化物作为预测因子。</w:t>
      </w:r>
      <w:r>
        <w:rPr>
          <w:rFonts w:hint="eastAsia" w:cs="Times New Roman"/>
        </w:rPr>
        <w:t>氯化物浓度为1150000mg/L。</w:t>
      </w:r>
    </w:p>
    <w:p w14:paraId="04EEF856">
      <w:pPr>
        <w:ind w:firstLine="480"/>
        <w:rPr>
          <w:rFonts w:cs="Times New Roman"/>
        </w:rPr>
      </w:pPr>
      <w:r>
        <w:rPr>
          <w:rFonts w:cs="Times New Roman"/>
        </w:rPr>
        <w:t>④预测结果</w:t>
      </w:r>
    </w:p>
    <w:p w14:paraId="0731755E">
      <w:pPr>
        <w:ind w:firstLine="480"/>
        <w:rPr>
          <w:rFonts w:cs="Times New Roman"/>
        </w:rPr>
      </w:pPr>
      <w:r>
        <w:rPr>
          <w:rFonts w:cs="Times New Roman"/>
        </w:rPr>
        <w:t>结算结果：输入以上参数，经模型预测计算得到一次性泄漏一定量的污染物，污染物进入含水层后一定时间后污染物浓度分布情况。污染物浓度如下所示。</w:t>
      </w:r>
    </w:p>
    <w:p w14:paraId="0D1D7C11">
      <w:pPr>
        <w:ind w:firstLine="48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681C8CA6">
      <w:pPr>
        <w:pStyle w:val="43"/>
        <w:numPr>
          <w:ilvl w:val="5"/>
          <w:numId w:val="1"/>
        </w:numPr>
        <w:rPr>
          <w:rFonts w:hint="default"/>
        </w:rPr>
      </w:pPr>
      <w:r>
        <w:rPr>
          <w:rFonts w:hint="default"/>
        </w:rPr>
        <w:t>地下水预测结果（氯化物）          单位：mg/L</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542"/>
        <w:gridCol w:w="1018"/>
        <w:gridCol w:w="1121"/>
        <w:gridCol w:w="1121"/>
        <w:gridCol w:w="1121"/>
        <w:gridCol w:w="1121"/>
        <w:gridCol w:w="1736"/>
        <w:gridCol w:w="1736"/>
        <w:gridCol w:w="1736"/>
        <w:gridCol w:w="1736"/>
      </w:tblGrid>
      <w:tr w14:paraId="4C50A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blHeader/>
        </w:trPr>
        <w:tc>
          <w:tcPr>
            <w:tcW w:w="13988" w:type="dxa"/>
            <w:gridSpan w:val="10"/>
            <w:noWrap/>
            <w:tcMar>
              <w:top w:w="15" w:type="dxa"/>
              <w:left w:w="15" w:type="dxa"/>
              <w:right w:w="15" w:type="dxa"/>
            </w:tcMar>
            <w:vAlign w:val="center"/>
          </w:tcPr>
          <w:p w14:paraId="399D2A86">
            <w:pPr>
              <w:pStyle w:val="45"/>
              <w:rPr>
                <w:rFonts w:hint="default"/>
              </w:rPr>
            </w:pPr>
            <w:r>
              <w:rPr>
                <w:b/>
                <w:bCs/>
              </w:rPr>
              <w:t>预测时间t（d）</w:t>
            </w:r>
          </w:p>
        </w:tc>
      </w:tr>
      <w:tr w14:paraId="62691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restart"/>
            <w:noWrap/>
            <w:tcMar>
              <w:top w:w="15" w:type="dxa"/>
              <w:left w:w="15" w:type="dxa"/>
              <w:right w:w="15" w:type="dxa"/>
            </w:tcMar>
            <w:vAlign w:val="center"/>
          </w:tcPr>
          <w:p w14:paraId="71EBC4C6">
            <w:pPr>
              <w:pStyle w:val="45"/>
              <w:rPr>
                <w:rFonts w:hint="default"/>
              </w:rPr>
            </w:pPr>
            <w:r>
              <w:t>距注入点的距离(m)</w:t>
            </w:r>
          </w:p>
        </w:tc>
        <w:tc>
          <w:tcPr>
            <w:tcW w:w="1018" w:type="dxa"/>
            <w:noWrap/>
            <w:tcMar>
              <w:top w:w="15" w:type="dxa"/>
              <w:left w:w="15" w:type="dxa"/>
              <w:right w:w="15" w:type="dxa"/>
            </w:tcMar>
            <w:vAlign w:val="center"/>
          </w:tcPr>
          <w:p w14:paraId="66AF9CEE">
            <w:pPr>
              <w:pStyle w:val="45"/>
              <w:rPr>
                <w:rFonts w:hint="default"/>
              </w:rPr>
            </w:pPr>
          </w:p>
        </w:tc>
        <w:tc>
          <w:tcPr>
            <w:tcW w:w="1121" w:type="dxa"/>
            <w:noWrap/>
            <w:tcMar>
              <w:top w:w="15" w:type="dxa"/>
              <w:left w:w="15" w:type="dxa"/>
              <w:right w:w="15" w:type="dxa"/>
            </w:tcMar>
            <w:vAlign w:val="center"/>
          </w:tcPr>
          <w:p w14:paraId="70A51A83">
            <w:pPr>
              <w:pStyle w:val="45"/>
              <w:rPr>
                <w:rFonts w:hint="default"/>
              </w:rPr>
            </w:pPr>
            <w:r>
              <w:t>30</w:t>
            </w:r>
          </w:p>
        </w:tc>
        <w:tc>
          <w:tcPr>
            <w:tcW w:w="1121" w:type="dxa"/>
            <w:noWrap/>
            <w:tcMar>
              <w:top w:w="15" w:type="dxa"/>
              <w:left w:w="15" w:type="dxa"/>
              <w:right w:w="15" w:type="dxa"/>
            </w:tcMar>
            <w:vAlign w:val="center"/>
          </w:tcPr>
          <w:p w14:paraId="2F60E33B">
            <w:pPr>
              <w:pStyle w:val="45"/>
              <w:rPr>
                <w:rFonts w:hint="default"/>
              </w:rPr>
            </w:pPr>
            <w:r>
              <w:t>60</w:t>
            </w:r>
          </w:p>
        </w:tc>
        <w:tc>
          <w:tcPr>
            <w:tcW w:w="1121" w:type="dxa"/>
            <w:noWrap/>
            <w:tcMar>
              <w:top w:w="15" w:type="dxa"/>
              <w:left w:w="15" w:type="dxa"/>
              <w:right w:w="15" w:type="dxa"/>
            </w:tcMar>
            <w:vAlign w:val="center"/>
          </w:tcPr>
          <w:p w14:paraId="5BE845E7">
            <w:pPr>
              <w:pStyle w:val="45"/>
              <w:rPr>
                <w:rFonts w:hint="default"/>
              </w:rPr>
            </w:pPr>
            <w:r>
              <w:t>100</w:t>
            </w:r>
          </w:p>
        </w:tc>
        <w:tc>
          <w:tcPr>
            <w:tcW w:w="1121" w:type="dxa"/>
            <w:noWrap/>
            <w:tcMar>
              <w:top w:w="15" w:type="dxa"/>
              <w:left w:w="15" w:type="dxa"/>
              <w:right w:w="15" w:type="dxa"/>
            </w:tcMar>
            <w:vAlign w:val="center"/>
          </w:tcPr>
          <w:p w14:paraId="77FC804C">
            <w:pPr>
              <w:pStyle w:val="45"/>
              <w:rPr>
                <w:rFonts w:hint="default"/>
              </w:rPr>
            </w:pPr>
            <w:r>
              <w:t>180</w:t>
            </w:r>
          </w:p>
        </w:tc>
        <w:tc>
          <w:tcPr>
            <w:tcW w:w="1736" w:type="dxa"/>
            <w:noWrap/>
            <w:tcMar>
              <w:top w:w="15" w:type="dxa"/>
              <w:left w:w="15" w:type="dxa"/>
              <w:right w:w="15" w:type="dxa"/>
            </w:tcMar>
            <w:vAlign w:val="center"/>
          </w:tcPr>
          <w:p w14:paraId="4627D7EF">
            <w:pPr>
              <w:pStyle w:val="45"/>
              <w:rPr>
                <w:rFonts w:hint="default"/>
              </w:rPr>
            </w:pPr>
            <w:r>
              <w:t>365</w:t>
            </w:r>
          </w:p>
        </w:tc>
        <w:tc>
          <w:tcPr>
            <w:tcW w:w="1736" w:type="dxa"/>
            <w:noWrap/>
            <w:tcMar>
              <w:top w:w="15" w:type="dxa"/>
              <w:left w:w="15" w:type="dxa"/>
              <w:right w:w="15" w:type="dxa"/>
            </w:tcMar>
            <w:vAlign w:val="center"/>
          </w:tcPr>
          <w:p w14:paraId="1569DF6B">
            <w:pPr>
              <w:pStyle w:val="45"/>
              <w:rPr>
                <w:rFonts w:hint="default"/>
              </w:rPr>
            </w:pPr>
            <w:r>
              <w:t>1000</w:t>
            </w:r>
          </w:p>
        </w:tc>
        <w:tc>
          <w:tcPr>
            <w:tcW w:w="1736" w:type="dxa"/>
            <w:noWrap/>
            <w:tcMar>
              <w:top w:w="15" w:type="dxa"/>
              <w:left w:w="15" w:type="dxa"/>
              <w:right w:w="15" w:type="dxa"/>
            </w:tcMar>
            <w:vAlign w:val="center"/>
          </w:tcPr>
          <w:p w14:paraId="295E506B">
            <w:pPr>
              <w:pStyle w:val="45"/>
              <w:rPr>
                <w:rFonts w:hint="default"/>
              </w:rPr>
            </w:pPr>
            <w:r>
              <w:t>1800</w:t>
            </w:r>
          </w:p>
        </w:tc>
        <w:tc>
          <w:tcPr>
            <w:tcW w:w="1736" w:type="dxa"/>
            <w:noWrap/>
            <w:tcMar>
              <w:top w:w="15" w:type="dxa"/>
              <w:left w:w="15" w:type="dxa"/>
              <w:right w:w="15" w:type="dxa"/>
            </w:tcMar>
            <w:vAlign w:val="center"/>
          </w:tcPr>
          <w:p w14:paraId="51DF6335">
            <w:pPr>
              <w:pStyle w:val="45"/>
              <w:rPr>
                <w:rFonts w:hint="default"/>
              </w:rPr>
            </w:pPr>
            <w:r>
              <w:t>3650</w:t>
            </w:r>
          </w:p>
        </w:tc>
      </w:tr>
      <w:tr w14:paraId="23975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6B405B42">
            <w:pPr>
              <w:pStyle w:val="45"/>
              <w:rPr>
                <w:rFonts w:hint="default"/>
              </w:rPr>
            </w:pPr>
          </w:p>
        </w:tc>
        <w:tc>
          <w:tcPr>
            <w:tcW w:w="1018" w:type="dxa"/>
            <w:noWrap/>
            <w:tcMar>
              <w:top w:w="15" w:type="dxa"/>
              <w:left w:w="15" w:type="dxa"/>
              <w:right w:w="15" w:type="dxa"/>
            </w:tcMar>
            <w:vAlign w:val="center"/>
          </w:tcPr>
          <w:p w14:paraId="3444D2D5">
            <w:pPr>
              <w:pStyle w:val="45"/>
              <w:rPr>
                <w:rFonts w:hint="default"/>
              </w:rPr>
            </w:pPr>
            <w:r>
              <w:t>0</w:t>
            </w:r>
          </w:p>
        </w:tc>
        <w:tc>
          <w:tcPr>
            <w:tcW w:w="1121" w:type="dxa"/>
            <w:noWrap/>
            <w:tcMar>
              <w:top w:w="15" w:type="dxa"/>
              <w:left w:w="15" w:type="dxa"/>
              <w:right w:w="15" w:type="dxa"/>
            </w:tcMar>
            <w:vAlign w:val="center"/>
          </w:tcPr>
          <w:p w14:paraId="4329DDE7">
            <w:pPr>
              <w:pStyle w:val="45"/>
              <w:rPr>
                <w:rFonts w:hint="default"/>
              </w:rPr>
            </w:pPr>
            <w:r>
              <w:t xml:space="preserve">1150000.00 </w:t>
            </w:r>
          </w:p>
        </w:tc>
        <w:tc>
          <w:tcPr>
            <w:tcW w:w="1121" w:type="dxa"/>
            <w:noWrap/>
            <w:tcMar>
              <w:top w:w="15" w:type="dxa"/>
              <w:left w:w="15" w:type="dxa"/>
              <w:right w:w="15" w:type="dxa"/>
            </w:tcMar>
            <w:vAlign w:val="center"/>
          </w:tcPr>
          <w:p w14:paraId="059C4A38">
            <w:pPr>
              <w:pStyle w:val="45"/>
              <w:rPr>
                <w:rFonts w:hint="default"/>
              </w:rPr>
            </w:pPr>
            <w:r>
              <w:t xml:space="preserve">1150000.00 </w:t>
            </w:r>
          </w:p>
        </w:tc>
        <w:tc>
          <w:tcPr>
            <w:tcW w:w="1121" w:type="dxa"/>
            <w:noWrap/>
            <w:tcMar>
              <w:top w:w="15" w:type="dxa"/>
              <w:left w:w="15" w:type="dxa"/>
              <w:right w:w="15" w:type="dxa"/>
            </w:tcMar>
            <w:vAlign w:val="center"/>
          </w:tcPr>
          <w:p w14:paraId="16EC04E9">
            <w:pPr>
              <w:pStyle w:val="45"/>
              <w:rPr>
                <w:rFonts w:hint="default"/>
              </w:rPr>
            </w:pPr>
            <w:r>
              <w:t xml:space="preserve">1150000.00 </w:t>
            </w:r>
          </w:p>
        </w:tc>
        <w:tc>
          <w:tcPr>
            <w:tcW w:w="1121" w:type="dxa"/>
            <w:noWrap/>
            <w:tcMar>
              <w:top w:w="15" w:type="dxa"/>
              <w:left w:w="15" w:type="dxa"/>
              <w:right w:w="15" w:type="dxa"/>
            </w:tcMar>
            <w:vAlign w:val="center"/>
          </w:tcPr>
          <w:p w14:paraId="55ABD504">
            <w:pPr>
              <w:pStyle w:val="45"/>
              <w:rPr>
                <w:rFonts w:hint="default"/>
              </w:rPr>
            </w:pPr>
            <w:r>
              <w:t xml:space="preserve">1150000.00 </w:t>
            </w:r>
          </w:p>
        </w:tc>
        <w:tc>
          <w:tcPr>
            <w:tcW w:w="1736" w:type="dxa"/>
            <w:noWrap/>
            <w:tcMar>
              <w:top w:w="15" w:type="dxa"/>
              <w:left w:w="15" w:type="dxa"/>
              <w:right w:w="15" w:type="dxa"/>
            </w:tcMar>
            <w:vAlign w:val="center"/>
          </w:tcPr>
          <w:p w14:paraId="1E4F0BE7">
            <w:pPr>
              <w:pStyle w:val="45"/>
              <w:rPr>
                <w:rFonts w:hint="default"/>
              </w:rPr>
            </w:pPr>
            <w:r>
              <w:t xml:space="preserve">1150000.00 </w:t>
            </w:r>
          </w:p>
        </w:tc>
        <w:tc>
          <w:tcPr>
            <w:tcW w:w="1736" w:type="dxa"/>
            <w:noWrap/>
            <w:tcMar>
              <w:top w:w="15" w:type="dxa"/>
              <w:left w:w="15" w:type="dxa"/>
              <w:right w:w="15" w:type="dxa"/>
            </w:tcMar>
            <w:vAlign w:val="center"/>
          </w:tcPr>
          <w:p w14:paraId="5D6A52C3">
            <w:pPr>
              <w:pStyle w:val="45"/>
              <w:rPr>
                <w:rFonts w:hint="default"/>
              </w:rPr>
            </w:pPr>
            <w:r>
              <w:t xml:space="preserve">1150000.00 </w:t>
            </w:r>
          </w:p>
        </w:tc>
        <w:tc>
          <w:tcPr>
            <w:tcW w:w="1736" w:type="dxa"/>
            <w:noWrap/>
            <w:tcMar>
              <w:top w:w="15" w:type="dxa"/>
              <w:left w:w="15" w:type="dxa"/>
              <w:right w:w="15" w:type="dxa"/>
            </w:tcMar>
            <w:vAlign w:val="center"/>
          </w:tcPr>
          <w:p w14:paraId="4B46DD97">
            <w:pPr>
              <w:pStyle w:val="45"/>
              <w:rPr>
                <w:rFonts w:hint="default"/>
              </w:rPr>
            </w:pPr>
            <w:r>
              <w:t xml:space="preserve">1150000.00 </w:t>
            </w:r>
          </w:p>
        </w:tc>
        <w:tc>
          <w:tcPr>
            <w:tcW w:w="1736" w:type="dxa"/>
            <w:noWrap/>
            <w:tcMar>
              <w:top w:w="15" w:type="dxa"/>
              <w:left w:w="15" w:type="dxa"/>
              <w:right w:w="15" w:type="dxa"/>
            </w:tcMar>
            <w:vAlign w:val="center"/>
          </w:tcPr>
          <w:p w14:paraId="3555C2F4">
            <w:pPr>
              <w:pStyle w:val="45"/>
              <w:rPr>
                <w:rFonts w:hint="default"/>
              </w:rPr>
            </w:pPr>
            <w:r>
              <w:t xml:space="preserve">1150000.00 </w:t>
            </w:r>
          </w:p>
        </w:tc>
      </w:tr>
      <w:tr w14:paraId="091CE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20E39094">
            <w:pPr>
              <w:pStyle w:val="45"/>
              <w:rPr>
                <w:rFonts w:hint="default"/>
              </w:rPr>
            </w:pPr>
          </w:p>
        </w:tc>
        <w:tc>
          <w:tcPr>
            <w:tcW w:w="1018" w:type="dxa"/>
            <w:noWrap/>
            <w:tcMar>
              <w:top w:w="15" w:type="dxa"/>
              <w:left w:w="15" w:type="dxa"/>
              <w:right w:w="15" w:type="dxa"/>
            </w:tcMar>
            <w:vAlign w:val="center"/>
          </w:tcPr>
          <w:p w14:paraId="4B442623">
            <w:pPr>
              <w:pStyle w:val="45"/>
              <w:rPr>
                <w:rFonts w:hint="default"/>
              </w:rPr>
            </w:pPr>
            <w:r>
              <w:t>10</w:t>
            </w:r>
          </w:p>
        </w:tc>
        <w:tc>
          <w:tcPr>
            <w:tcW w:w="1121" w:type="dxa"/>
            <w:noWrap/>
            <w:tcMar>
              <w:top w:w="15" w:type="dxa"/>
              <w:left w:w="15" w:type="dxa"/>
              <w:right w:w="15" w:type="dxa"/>
            </w:tcMar>
            <w:vAlign w:val="center"/>
          </w:tcPr>
          <w:p w14:paraId="5821075D">
            <w:pPr>
              <w:pStyle w:val="45"/>
              <w:rPr>
                <w:rFonts w:hint="default"/>
              </w:rPr>
            </w:pPr>
            <w:r>
              <w:t xml:space="preserve">433402.27 </w:t>
            </w:r>
          </w:p>
        </w:tc>
        <w:tc>
          <w:tcPr>
            <w:tcW w:w="1121" w:type="dxa"/>
            <w:noWrap/>
            <w:tcMar>
              <w:top w:w="15" w:type="dxa"/>
              <w:left w:w="15" w:type="dxa"/>
              <w:right w:w="15" w:type="dxa"/>
            </w:tcMar>
            <w:vAlign w:val="center"/>
          </w:tcPr>
          <w:p w14:paraId="74783619">
            <w:pPr>
              <w:pStyle w:val="45"/>
              <w:rPr>
                <w:rFonts w:hint="default"/>
              </w:rPr>
            </w:pPr>
            <w:r>
              <w:t xml:space="preserve">708346.73 </w:t>
            </w:r>
          </w:p>
        </w:tc>
        <w:tc>
          <w:tcPr>
            <w:tcW w:w="1121" w:type="dxa"/>
            <w:noWrap/>
            <w:tcMar>
              <w:top w:w="15" w:type="dxa"/>
              <w:left w:w="15" w:type="dxa"/>
              <w:right w:w="15" w:type="dxa"/>
            </w:tcMar>
            <w:vAlign w:val="center"/>
          </w:tcPr>
          <w:p w14:paraId="21FB7056">
            <w:pPr>
              <w:pStyle w:val="45"/>
              <w:rPr>
                <w:rFonts w:hint="default"/>
              </w:rPr>
            </w:pPr>
            <w:r>
              <w:t xml:space="preserve">878076.05 </w:t>
            </w:r>
          </w:p>
        </w:tc>
        <w:tc>
          <w:tcPr>
            <w:tcW w:w="1121" w:type="dxa"/>
            <w:noWrap/>
            <w:tcMar>
              <w:top w:w="15" w:type="dxa"/>
              <w:left w:w="15" w:type="dxa"/>
              <w:right w:w="15" w:type="dxa"/>
            </w:tcMar>
            <w:vAlign w:val="center"/>
          </w:tcPr>
          <w:p w14:paraId="1560BB96">
            <w:pPr>
              <w:pStyle w:val="45"/>
              <w:rPr>
                <w:rFonts w:hint="default"/>
              </w:rPr>
            </w:pPr>
            <w:r>
              <w:t xml:space="preserve">1018890.02 </w:t>
            </w:r>
          </w:p>
        </w:tc>
        <w:tc>
          <w:tcPr>
            <w:tcW w:w="1736" w:type="dxa"/>
            <w:noWrap/>
            <w:tcMar>
              <w:top w:w="15" w:type="dxa"/>
              <w:left w:w="15" w:type="dxa"/>
              <w:right w:w="15" w:type="dxa"/>
            </w:tcMar>
            <w:vAlign w:val="center"/>
          </w:tcPr>
          <w:p w14:paraId="0B3608B2">
            <w:pPr>
              <w:pStyle w:val="45"/>
              <w:rPr>
                <w:rFonts w:hint="default"/>
              </w:rPr>
            </w:pPr>
            <w:r>
              <w:t xml:space="preserve">1111825.74 </w:t>
            </w:r>
          </w:p>
        </w:tc>
        <w:tc>
          <w:tcPr>
            <w:tcW w:w="1736" w:type="dxa"/>
            <w:noWrap/>
            <w:tcMar>
              <w:top w:w="15" w:type="dxa"/>
              <w:left w:w="15" w:type="dxa"/>
              <w:right w:w="15" w:type="dxa"/>
            </w:tcMar>
            <w:vAlign w:val="center"/>
          </w:tcPr>
          <w:p w14:paraId="4923D3C3">
            <w:pPr>
              <w:pStyle w:val="45"/>
              <w:rPr>
                <w:rFonts w:hint="default"/>
              </w:rPr>
            </w:pPr>
            <w:r>
              <w:t xml:space="preserve">1148136.34 </w:t>
            </w:r>
          </w:p>
        </w:tc>
        <w:tc>
          <w:tcPr>
            <w:tcW w:w="1736" w:type="dxa"/>
            <w:noWrap/>
            <w:tcMar>
              <w:top w:w="15" w:type="dxa"/>
              <w:left w:w="15" w:type="dxa"/>
              <w:right w:w="15" w:type="dxa"/>
            </w:tcMar>
            <w:vAlign w:val="center"/>
          </w:tcPr>
          <w:p w14:paraId="3831B421">
            <w:pPr>
              <w:pStyle w:val="45"/>
              <w:rPr>
                <w:rFonts w:hint="default"/>
              </w:rPr>
            </w:pPr>
            <w:r>
              <w:t xml:space="preserve">1149916.59 </w:t>
            </w:r>
          </w:p>
        </w:tc>
        <w:tc>
          <w:tcPr>
            <w:tcW w:w="1736" w:type="dxa"/>
            <w:noWrap/>
            <w:tcMar>
              <w:top w:w="15" w:type="dxa"/>
              <w:left w:w="15" w:type="dxa"/>
              <w:right w:w="15" w:type="dxa"/>
            </w:tcMar>
            <w:vAlign w:val="center"/>
          </w:tcPr>
          <w:p w14:paraId="08B44293">
            <w:pPr>
              <w:pStyle w:val="45"/>
              <w:rPr>
                <w:rFonts w:hint="default"/>
              </w:rPr>
            </w:pPr>
            <w:r>
              <w:t xml:space="preserve">1149999.86 </w:t>
            </w:r>
          </w:p>
        </w:tc>
      </w:tr>
      <w:tr w14:paraId="18069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12142607">
            <w:pPr>
              <w:pStyle w:val="45"/>
              <w:rPr>
                <w:rFonts w:hint="default"/>
              </w:rPr>
            </w:pPr>
          </w:p>
        </w:tc>
        <w:tc>
          <w:tcPr>
            <w:tcW w:w="1018" w:type="dxa"/>
            <w:noWrap/>
            <w:tcMar>
              <w:top w:w="15" w:type="dxa"/>
              <w:left w:w="15" w:type="dxa"/>
              <w:right w:w="15" w:type="dxa"/>
            </w:tcMar>
            <w:vAlign w:val="center"/>
          </w:tcPr>
          <w:p w14:paraId="00AB7366">
            <w:pPr>
              <w:pStyle w:val="45"/>
              <w:rPr>
                <w:rFonts w:hint="default"/>
              </w:rPr>
            </w:pPr>
            <w:r>
              <w:t>20</w:t>
            </w:r>
          </w:p>
        </w:tc>
        <w:tc>
          <w:tcPr>
            <w:tcW w:w="1121" w:type="dxa"/>
            <w:noWrap/>
            <w:tcMar>
              <w:top w:w="15" w:type="dxa"/>
              <w:left w:w="15" w:type="dxa"/>
              <w:right w:w="15" w:type="dxa"/>
            </w:tcMar>
            <w:vAlign w:val="center"/>
          </w:tcPr>
          <w:p w14:paraId="704C8AE8">
            <w:pPr>
              <w:pStyle w:val="45"/>
              <w:rPr>
                <w:rFonts w:hint="default"/>
              </w:rPr>
            </w:pPr>
            <w:r>
              <w:t xml:space="preserve">55655.71 </w:t>
            </w:r>
          </w:p>
        </w:tc>
        <w:tc>
          <w:tcPr>
            <w:tcW w:w="1121" w:type="dxa"/>
            <w:noWrap/>
            <w:tcMar>
              <w:top w:w="15" w:type="dxa"/>
              <w:left w:w="15" w:type="dxa"/>
              <w:right w:w="15" w:type="dxa"/>
            </w:tcMar>
            <w:vAlign w:val="center"/>
          </w:tcPr>
          <w:p w14:paraId="066991F6">
            <w:pPr>
              <w:pStyle w:val="45"/>
              <w:rPr>
                <w:rFonts w:hint="default"/>
              </w:rPr>
            </w:pPr>
            <w:r>
              <w:t xml:space="preserve">267857.65 </w:t>
            </w:r>
          </w:p>
        </w:tc>
        <w:tc>
          <w:tcPr>
            <w:tcW w:w="1121" w:type="dxa"/>
            <w:noWrap/>
            <w:tcMar>
              <w:top w:w="15" w:type="dxa"/>
              <w:left w:w="15" w:type="dxa"/>
              <w:right w:w="15" w:type="dxa"/>
            </w:tcMar>
            <w:vAlign w:val="center"/>
          </w:tcPr>
          <w:p w14:paraId="180BB030">
            <w:pPr>
              <w:pStyle w:val="45"/>
              <w:rPr>
                <w:rFonts w:hint="default"/>
              </w:rPr>
            </w:pPr>
            <w:r>
              <w:t xml:space="preserve">516446.48 </w:t>
            </w:r>
          </w:p>
        </w:tc>
        <w:tc>
          <w:tcPr>
            <w:tcW w:w="1121" w:type="dxa"/>
            <w:noWrap/>
            <w:tcMar>
              <w:top w:w="15" w:type="dxa"/>
              <w:left w:w="15" w:type="dxa"/>
              <w:right w:w="15" w:type="dxa"/>
            </w:tcMar>
            <w:vAlign w:val="center"/>
          </w:tcPr>
          <w:p w14:paraId="37E5CC2B">
            <w:pPr>
              <w:pStyle w:val="45"/>
              <w:rPr>
                <w:rFonts w:hint="default"/>
              </w:rPr>
            </w:pPr>
            <w:r>
              <w:t xml:space="preserve">803831.28 </w:t>
            </w:r>
          </w:p>
        </w:tc>
        <w:tc>
          <w:tcPr>
            <w:tcW w:w="1736" w:type="dxa"/>
            <w:noWrap/>
            <w:tcMar>
              <w:top w:w="15" w:type="dxa"/>
              <w:left w:w="15" w:type="dxa"/>
              <w:right w:w="15" w:type="dxa"/>
            </w:tcMar>
            <w:vAlign w:val="center"/>
          </w:tcPr>
          <w:p w14:paraId="4F06B655">
            <w:pPr>
              <w:pStyle w:val="45"/>
              <w:rPr>
                <w:rFonts w:hint="default"/>
              </w:rPr>
            </w:pPr>
            <w:r>
              <w:t xml:space="preserve">1039280.15 </w:t>
            </w:r>
          </w:p>
        </w:tc>
        <w:tc>
          <w:tcPr>
            <w:tcW w:w="1736" w:type="dxa"/>
            <w:noWrap/>
            <w:tcMar>
              <w:top w:w="15" w:type="dxa"/>
              <w:left w:w="15" w:type="dxa"/>
              <w:right w:w="15" w:type="dxa"/>
            </w:tcMar>
            <w:vAlign w:val="center"/>
          </w:tcPr>
          <w:p w14:paraId="5185F012">
            <w:pPr>
              <w:pStyle w:val="45"/>
              <w:rPr>
                <w:rFonts w:hint="default"/>
              </w:rPr>
            </w:pPr>
            <w:r>
              <w:t xml:space="preserve">1144206.44 </w:t>
            </w:r>
          </w:p>
        </w:tc>
        <w:tc>
          <w:tcPr>
            <w:tcW w:w="1736" w:type="dxa"/>
            <w:noWrap/>
            <w:tcMar>
              <w:top w:w="15" w:type="dxa"/>
              <w:left w:w="15" w:type="dxa"/>
              <w:right w:w="15" w:type="dxa"/>
            </w:tcMar>
            <w:vAlign w:val="center"/>
          </w:tcPr>
          <w:p w14:paraId="131B4FC0">
            <w:pPr>
              <w:pStyle w:val="45"/>
              <w:rPr>
                <w:rFonts w:hint="default"/>
              </w:rPr>
            </w:pPr>
            <w:r>
              <w:t xml:space="preserve">1149735.29 </w:t>
            </w:r>
          </w:p>
        </w:tc>
        <w:tc>
          <w:tcPr>
            <w:tcW w:w="1736" w:type="dxa"/>
            <w:noWrap/>
            <w:tcMar>
              <w:top w:w="15" w:type="dxa"/>
              <w:left w:w="15" w:type="dxa"/>
              <w:right w:w="15" w:type="dxa"/>
            </w:tcMar>
            <w:vAlign w:val="center"/>
          </w:tcPr>
          <w:p w14:paraId="419AD6C5">
            <w:pPr>
              <w:pStyle w:val="45"/>
              <w:rPr>
                <w:rFonts w:hint="default"/>
              </w:rPr>
            </w:pPr>
            <w:r>
              <w:t xml:space="preserve">1149999.56 </w:t>
            </w:r>
          </w:p>
        </w:tc>
      </w:tr>
      <w:tr w14:paraId="1A41E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2B01BB0A">
            <w:pPr>
              <w:pStyle w:val="45"/>
              <w:rPr>
                <w:rFonts w:hint="default"/>
              </w:rPr>
            </w:pPr>
          </w:p>
        </w:tc>
        <w:tc>
          <w:tcPr>
            <w:tcW w:w="1018" w:type="dxa"/>
            <w:noWrap/>
            <w:tcMar>
              <w:top w:w="15" w:type="dxa"/>
              <w:left w:w="15" w:type="dxa"/>
              <w:right w:w="15" w:type="dxa"/>
            </w:tcMar>
            <w:vAlign w:val="center"/>
          </w:tcPr>
          <w:p w14:paraId="6C7B5D8D">
            <w:pPr>
              <w:pStyle w:val="45"/>
              <w:rPr>
                <w:rFonts w:hint="default"/>
              </w:rPr>
            </w:pPr>
            <w:r>
              <w:t>30</w:t>
            </w:r>
          </w:p>
        </w:tc>
        <w:tc>
          <w:tcPr>
            <w:tcW w:w="1121" w:type="dxa"/>
            <w:noWrap/>
            <w:tcMar>
              <w:top w:w="15" w:type="dxa"/>
              <w:left w:w="15" w:type="dxa"/>
              <w:right w:w="15" w:type="dxa"/>
            </w:tcMar>
            <w:vAlign w:val="center"/>
          </w:tcPr>
          <w:p w14:paraId="78E20D21">
            <w:pPr>
              <w:pStyle w:val="45"/>
              <w:rPr>
                <w:rFonts w:hint="default"/>
              </w:rPr>
            </w:pPr>
            <w:r>
              <w:t xml:space="preserve">2112.71 </w:t>
            </w:r>
          </w:p>
        </w:tc>
        <w:tc>
          <w:tcPr>
            <w:tcW w:w="1121" w:type="dxa"/>
            <w:noWrap/>
            <w:tcMar>
              <w:top w:w="15" w:type="dxa"/>
              <w:left w:w="15" w:type="dxa"/>
              <w:right w:w="15" w:type="dxa"/>
            </w:tcMar>
            <w:vAlign w:val="center"/>
          </w:tcPr>
          <w:p w14:paraId="43705C1F">
            <w:pPr>
              <w:pStyle w:val="45"/>
              <w:rPr>
                <w:rFonts w:hint="default"/>
              </w:rPr>
            </w:pPr>
            <w:r>
              <w:t xml:space="preserve">57406.32 </w:t>
            </w:r>
          </w:p>
        </w:tc>
        <w:tc>
          <w:tcPr>
            <w:tcW w:w="1121" w:type="dxa"/>
            <w:noWrap/>
            <w:tcMar>
              <w:top w:w="15" w:type="dxa"/>
              <w:left w:w="15" w:type="dxa"/>
              <w:right w:w="15" w:type="dxa"/>
            </w:tcMar>
            <w:vAlign w:val="center"/>
          </w:tcPr>
          <w:p w14:paraId="37A6185B">
            <w:pPr>
              <w:pStyle w:val="45"/>
              <w:rPr>
                <w:rFonts w:hint="default"/>
              </w:rPr>
            </w:pPr>
            <w:r>
              <w:t xml:space="preserve">222131.20 </w:t>
            </w:r>
          </w:p>
        </w:tc>
        <w:tc>
          <w:tcPr>
            <w:tcW w:w="1121" w:type="dxa"/>
            <w:noWrap/>
            <w:tcMar>
              <w:top w:w="15" w:type="dxa"/>
              <w:left w:w="15" w:type="dxa"/>
              <w:right w:w="15" w:type="dxa"/>
            </w:tcMar>
            <w:vAlign w:val="center"/>
          </w:tcPr>
          <w:p w14:paraId="4339AC76">
            <w:pPr>
              <w:pStyle w:val="45"/>
              <w:rPr>
                <w:rFonts w:hint="default"/>
              </w:rPr>
            </w:pPr>
            <w:r>
              <w:t xml:space="preserve">547756.19 </w:t>
            </w:r>
          </w:p>
        </w:tc>
        <w:tc>
          <w:tcPr>
            <w:tcW w:w="1736" w:type="dxa"/>
            <w:noWrap/>
            <w:tcMar>
              <w:top w:w="15" w:type="dxa"/>
              <w:left w:w="15" w:type="dxa"/>
              <w:right w:w="15" w:type="dxa"/>
            </w:tcMar>
            <w:vAlign w:val="center"/>
          </w:tcPr>
          <w:p w14:paraId="56DF6D79">
            <w:pPr>
              <w:pStyle w:val="45"/>
              <w:rPr>
                <w:rFonts w:hint="default"/>
              </w:rPr>
            </w:pPr>
            <w:r>
              <w:t xml:space="preserve">927162.92 </w:t>
            </w:r>
          </w:p>
        </w:tc>
        <w:tc>
          <w:tcPr>
            <w:tcW w:w="1736" w:type="dxa"/>
            <w:noWrap/>
            <w:tcMar>
              <w:top w:w="15" w:type="dxa"/>
              <w:left w:w="15" w:type="dxa"/>
              <w:right w:w="15" w:type="dxa"/>
            </w:tcMar>
            <w:vAlign w:val="center"/>
          </w:tcPr>
          <w:p w14:paraId="24520173">
            <w:pPr>
              <w:pStyle w:val="45"/>
              <w:rPr>
                <w:rFonts w:hint="default"/>
              </w:rPr>
            </w:pPr>
            <w:r>
              <w:t xml:space="preserve">1136939.53 </w:t>
            </w:r>
          </w:p>
        </w:tc>
        <w:tc>
          <w:tcPr>
            <w:tcW w:w="1736" w:type="dxa"/>
            <w:noWrap/>
            <w:tcMar>
              <w:top w:w="15" w:type="dxa"/>
              <w:left w:w="15" w:type="dxa"/>
              <w:right w:w="15" w:type="dxa"/>
            </w:tcMar>
            <w:vAlign w:val="center"/>
          </w:tcPr>
          <w:p w14:paraId="0016A249">
            <w:pPr>
              <w:pStyle w:val="45"/>
              <w:rPr>
                <w:rFonts w:hint="default"/>
              </w:rPr>
            </w:pPr>
            <w:r>
              <w:t xml:space="preserve">1149382.37 </w:t>
            </w:r>
          </w:p>
        </w:tc>
        <w:tc>
          <w:tcPr>
            <w:tcW w:w="1736" w:type="dxa"/>
            <w:noWrap/>
            <w:tcMar>
              <w:top w:w="15" w:type="dxa"/>
              <w:left w:w="15" w:type="dxa"/>
              <w:right w:w="15" w:type="dxa"/>
            </w:tcMar>
            <w:vAlign w:val="center"/>
          </w:tcPr>
          <w:p w14:paraId="55DA4BD1">
            <w:pPr>
              <w:pStyle w:val="45"/>
              <w:rPr>
                <w:rFonts w:hint="default"/>
              </w:rPr>
            </w:pPr>
            <w:r>
              <w:t xml:space="preserve">1149998.95 </w:t>
            </w:r>
          </w:p>
        </w:tc>
      </w:tr>
      <w:tr w14:paraId="52198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4C77C970">
            <w:pPr>
              <w:pStyle w:val="45"/>
              <w:rPr>
                <w:rFonts w:hint="default"/>
              </w:rPr>
            </w:pPr>
          </w:p>
        </w:tc>
        <w:tc>
          <w:tcPr>
            <w:tcW w:w="1018" w:type="dxa"/>
            <w:noWrap/>
            <w:tcMar>
              <w:top w:w="15" w:type="dxa"/>
              <w:left w:w="15" w:type="dxa"/>
              <w:right w:w="15" w:type="dxa"/>
            </w:tcMar>
            <w:vAlign w:val="center"/>
          </w:tcPr>
          <w:p w14:paraId="3D5E1750">
            <w:pPr>
              <w:pStyle w:val="45"/>
              <w:rPr>
                <w:rFonts w:hint="default"/>
              </w:rPr>
            </w:pPr>
            <w:r>
              <w:t>40</w:t>
            </w:r>
          </w:p>
        </w:tc>
        <w:tc>
          <w:tcPr>
            <w:tcW w:w="1121" w:type="dxa"/>
            <w:noWrap/>
            <w:tcMar>
              <w:top w:w="15" w:type="dxa"/>
              <w:left w:w="15" w:type="dxa"/>
              <w:right w:w="15" w:type="dxa"/>
            </w:tcMar>
            <w:vAlign w:val="center"/>
          </w:tcPr>
          <w:p w14:paraId="41CE8991">
            <w:pPr>
              <w:pStyle w:val="45"/>
              <w:rPr>
                <w:rFonts w:hint="default"/>
              </w:rPr>
            </w:pPr>
            <w:r>
              <w:t xml:space="preserve">22.25 </w:t>
            </w:r>
          </w:p>
        </w:tc>
        <w:tc>
          <w:tcPr>
            <w:tcW w:w="1121" w:type="dxa"/>
            <w:noWrap/>
            <w:tcMar>
              <w:top w:w="15" w:type="dxa"/>
              <w:left w:w="15" w:type="dxa"/>
              <w:right w:w="15" w:type="dxa"/>
            </w:tcMar>
            <w:vAlign w:val="center"/>
          </w:tcPr>
          <w:p w14:paraId="7481DCE9">
            <w:pPr>
              <w:pStyle w:val="45"/>
              <w:rPr>
                <w:rFonts w:hint="default"/>
              </w:rPr>
            </w:pPr>
            <w:r>
              <w:t xml:space="preserve">6676.05 </w:t>
            </w:r>
          </w:p>
        </w:tc>
        <w:tc>
          <w:tcPr>
            <w:tcW w:w="1121" w:type="dxa"/>
            <w:noWrap/>
            <w:tcMar>
              <w:top w:w="15" w:type="dxa"/>
              <w:left w:w="15" w:type="dxa"/>
              <w:right w:w="15" w:type="dxa"/>
            </w:tcMar>
            <w:vAlign w:val="center"/>
          </w:tcPr>
          <w:p w14:paraId="2399E467">
            <w:pPr>
              <w:pStyle w:val="45"/>
              <w:rPr>
                <w:rFonts w:hint="default"/>
              </w:rPr>
            </w:pPr>
            <w:r>
              <w:t xml:space="preserve">67633.46 </w:t>
            </w:r>
          </w:p>
        </w:tc>
        <w:tc>
          <w:tcPr>
            <w:tcW w:w="1121" w:type="dxa"/>
            <w:noWrap/>
            <w:tcMar>
              <w:top w:w="15" w:type="dxa"/>
              <w:left w:w="15" w:type="dxa"/>
              <w:right w:w="15" w:type="dxa"/>
            </w:tcMar>
            <w:vAlign w:val="center"/>
          </w:tcPr>
          <w:p w14:paraId="3384D570">
            <w:pPr>
              <w:pStyle w:val="45"/>
              <w:rPr>
                <w:rFonts w:hint="default"/>
              </w:rPr>
            </w:pPr>
            <w:r>
              <w:t xml:space="preserve">315177.80 </w:t>
            </w:r>
          </w:p>
        </w:tc>
        <w:tc>
          <w:tcPr>
            <w:tcW w:w="1736" w:type="dxa"/>
            <w:noWrap/>
            <w:tcMar>
              <w:top w:w="15" w:type="dxa"/>
              <w:left w:w="15" w:type="dxa"/>
              <w:right w:w="15" w:type="dxa"/>
            </w:tcMar>
            <w:vAlign w:val="center"/>
          </w:tcPr>
          <w:p w14:paraId="2A229905">
            <w:pPr>
              <w:pStyle w:val="45"/>
              <w:rPr>
                <w:rFonts w:hint="default"/>
              </w:rPr>
            </w:pPr>
            <w:r>
              <w:t xml:space="preserve">779811.05 </w:t>
            </w:r>
          </w:p>
        </w:tc>
        <w:tc>
          <w:tcPr>
            <w:tcW w:w="1736" w:type="dxa"/>
            <w:noWrap/>
            <w:tcMar>
              <w:top w:w="15" w:type="dxa"/>
              <w:left w:w="15" w:type="dxa"/>
              <w:right w:w="15" w:type="dxa"/>
            </w:tcMar>
            <w:vAlign w:val="center"/>
          </w:tcPr>
          <w:p w14:paraId="7164E2DF">
            <w:pPr>
              <w:pStyle w:val="45"/>
              <w:rPr>
                <w:rFonts w:hint="default"/>
              </w:rPr>
            </w:pPr>
            <w:r>
              <w:t xml:space="preserve">1124689.95 </w:t>
            </w:r>
          </w:p>
        </w:tc>
        <w:tc>
          <w:tcPr>
            <w:tcW w:w="1736" w:type="dxa"/>
            <w:noWrap/>
            <w:tcMar>
              <w:top w:w="15" w:type="dxa"/>
              <w:left w:w="15" w:type="dxa"/>
              <w:right w:w="15" w:type="dxa"/>
            </w:tcMar>
            <w:vAlign w:val="center"/>
          </w:tcPr>
          <w:p w14:paraId="39C81C9E">
            <w:pPr>
              <w:pStyle w:val="45"/>
              <w:rPr>
                <w:rFonts w:hint="default"/>
              </w:rPr>
            </w:pPr>
            <w:r>
              <w:t xml:space="preserve">1148744.38 </w:t>
            </w:r>
          </w:p>
        </w:tc>
        <w:tc>
          <w:tcPr>
            <w:tcW w:w="1736" w:type="dxa"/>
            <w:noWrap/>
            <w:tcMar>
              <w:top w:w="15" w:type="dxa"/>
              <w:left w:w="15" w:type="dxa"/>
              <w:right w:w="15" w:type="dxa"/>
            </w:tcMar>
            <w:vAlign w:val="center"/>
          </w:tcPr>
          <w:p w14:paraId="11496E77">
            <w:pPr>
              <w:pStyle w:val="45"/>
              <w:rPr>
                <w:rFonts w:hint="default"/>
              </w:rPr>
            </w:pPr>
            <w:r>
              <w:t xml:space="preserve">1149997.79 </w:t>
            </w:r>
          </w:p>
        </w:tc>
      </w:tr>
      <w:tr w14:paraId="53CA0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26F3BB6C">
            <w:pPr>
              <w:pStyle w:val="45"/>
              <w:rPr>
                <w:rFonts w:hint="default"/>
              </w:rPr>
            </w:pPr>
          </w:p>
        </w:tc>
        <w:tc>
          <w:tcPr>
            <w:tcW w:w="1018" w:type="dxa"/>
            <w:noWrap/>
            <w:tcMar>
              <w:top w:w="15" w:type="dxa"/>
              <w:left w:w="15" w:type="dxa"/>
              <w:right w:w="15" w:type="dxa"/>
            </w:tcMar>
            <w:vAlign w:val="center"/>
          </w:tcPr>
          <w:p w14:paraId="6280C0E7">
            <w:pPr>
              <w:pStyle w:val="45"/>
              <w:rPr>
                <w:rFonts w:hint="default"/>
              </w:rPr>
            </w:pPr>
            <w:r>
              <w:t>50</w:t>
            </w:r>
          </w:p>
        </w:tc>
        <w:tc>
          <w:tcPr>
            <w:tcW w:w="1121" w:type="dxa"/>
            <w:noWrap/>
            <w:tcMar>
              <w:top w:w="15" w:type="dxa"/>
              <w:left w:w="15" w:type="dxa"/>
              <w:right w:w="15" w:type="dxa"/>
            </w:tcMar>
            <w:vAlign w:val="center"/>
          </w:tcPr>
          <w:p w14:paraId="7B198EA5">
            <w:pPr>
              <w:pStyle w:val="45"/>
              <w:rPr>
                <w:rFonts w:hint="default"/>
              </w:rPr>
            </w:pPr>
            <w:r>
              <w:t xml:space="preserve">0.06 </w:t>
            </w:r>
          </w:p>
        </w:tc>
        <w:tc>
          <w:tcPr>
            <w:tcW w:w="1121" w:type="dxa"/>
            <w:noWrap/>
            <w:tcMar>
              <w:top w:w="15" w:type="dxa"/>
              <w:left w:w="15" w:type="dxa"/>
              <w:right w:w="15" w:type="dxa"/>
            </w:tcMar>
            <w:vAlign w:val="center"/>
          </w:tcPr>
          <w:p w14:paraId="0144D713">
            <w:pPr>
              <w:pStyle w:val="45"/>
              <w:rPr>
                <w:rFonts w:hint="default"/>
              </w:rPr>
            </w:pPr>
            <w:r>
              <w:t xml:space="preserve">411.19 </w:t>
            </w:r>
          </w:p>
        </w:tc>
        <w:tc>
          <w:tcPr>
            <w:tcW w:w="1121" w:type="dxa"/>
            <w:noWrap/>
            <w:tcMar>
              <w:top w:w="15" w:type="dxa"/>
              <w:left w:w="15" w:type="dxa"/>
              <w:right w:w="15" w:type="dxa"/>
            </w:tcMar>
            <w:vAlign w:val="center"/>
          </w:tcPr>
          <w:p w14:paraId="69F4DF9D">
            <w:pPr>
              <w:pStyle w:val="45"/>
              <w:rPr>
                <w:rFonts w:hint="default"/>
              </w:rPr>
            </w:pPr>
            <w:r>
              <w:t xml:space="preserve">14288.44 </w:t>
            </w:r>
          </w:p>
        </w:tc>
        <w:tc>
          <w:tcPr>
            <w:tcW w:w="1121" w:type="dxa"/>
            <w:noWrap/>
            <w:tcMar>
              <w:top w:w="15" w:type="dxa"/>
              <w:left w:w="15" w:type="dxa"/>
              <w:right w:w="15" w:type="dxa"/>
            </w:tcMar>
            <w:vAlign w:val="center"/>
          </w:tcPr>
          <w:p w14:paraId="26A2EA06">
            <w:pPr>
              <w:pStyle w:val="45"/>
              <w:rPr>
                <w:rFonts w:hint="default"/>
              </w:rPr>
            </w:pPr>
            <w:r>
              <w:t xml:space="preserve">150708.15 </w:t>
            </w:r>
          </w:p>
        </w:tc>
        <w:tc>
          <w:tcPr>
            <w:tcW w:w="1736" w:type="dxa"/>
            <w:noWrap/>
            <w:tcMar>
              <w:top w:w="15" w:type="dxa"/>
              <w:left w:w="15" w:type="dxa"/>
              <w:right w:w="15" w:type="dxa"/>
            </w:tcMar>
            <w:vAlign w:val="center"/>
          </w:tcPr>
          <w:p w14:paraId="016AF83A">
            <w:pPr>
              <w:pStyle w:val="45"/>
              <w:rPr>
                <w:rFonts w:hint="default"/>
              </w:rPr>
            </w:pPr>
            <w:r>
              <w:t xml:space="preserve">611787.06 </w:t>
            </w:r>
          </w:p>
        </w:tc>
        <w:tc>
          <w:tcPr>
            <w:tcW w:w="1736" w:type="dxa"/>
            <w:noWrap/>
            <w:tcMar>
              <w:top w:w="15" w:type="dxa"/>
              <w:left w:w="15" w:type="dxa"/>
              <w:right w:w="15" w:type="dxa"/>
            </w:tcMar>
            <w:vAlign w:val="center"/>
          </w:tcPr>
          <w:p w14:paraId="77A5081E">
            <w:pPr>
              <w:pStyle w:val="45"/>
              <w:rPr>
                <w:rFonts w:hint="default"/>
              </w:rPr>
            </w:pPr>
            <w:r>
              <w:t xml:space="preserve">1105514.79 </w:t>
            </w:r>
          </w:p>
        </w:tc>
        <w:tc>
          <w:tcPr>
            <w:tcW w:w="1736" w:type="dxa"/>
            <w:noWrap/>
            <w:tcMar>
              <w:top w:w="15" w:type="dxa"/>
              <w:left w:w="15" w:type="dxa"/>
              <w:right w:w="15" w:type="dxa"/>
            </w:tcMar>
            <w:vAlign w:val="center"/>
          </w:tcPr>
          <w:p w14:paraId="618EDD21">
            <w:pPr>
              <w:pStyle w:val="45"/>
              <w:rPr>
                <w:rFonts w:hint="default"/>
              </w:rPr>
            </w:pPr>
            <w:r>
              <w:t xml:space="preserve">1147654.04 </w:t>
            </w:r>
          </w:p>
        </w:tc>
        <w:tc>
          <w:tcPr>
            <w:tcW w:w="1736" w:type="dxa"/>
            <w:noWrap/>
            <w:tcMar>
              <w:top w:w="15" w:type="dxa"/>
              <w:left w:w="15" w:type="dxa"/>
              <w:right w:w="15" w:type="dxa"/>
            </w:tcMar>
            <w:vAlign w:val="center"/>
          </w:tcPr>
          <w:p w14:paraId="58A4CEA6">
            <w:pPr>
              <w:pStyle w:val="45"/>
              <w:rPr>
                <w:rFonts w:hint="default"/>
              </w:rPr>
            </w:pPr>
            <w:r>
              <w:t xml:space="preserve">1149995.69 </w:t>
            </w:r>
          </w:p>
        </w:tc>
      </w:tr>
      <w:tr w14:paraId="455E4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541133AC">
            <w:pPr>
              <w:pStyle w:val="45"/>
              <w:rPr>
                <w:rFonts w:hint="default"/>
              </w:rPr>
            </w:pPr>
          </w:p>
        </w:tc>
        <w:tc>
          <w:tcPr>
            <w:tcW w:w="1018" w:type="dxa"/>
            <w:noWrap/>
            <w:tcMar>
              <w:top w:w="15" w:type="dxa"/>
              <w:left w:w="15" w:type="dxa"/>
              <w:right w:w="15" w:type="dxa"/>
            </w:tcMar>
            <w:vAlign w:val="center"/>
          </w:tcPr>
          <w:p w14:paraId="089F2001">
            <w:pPr>
              <w:pStyle w:val="45"/>
              <w:rPr>
                <w:rFonts w:hint="default"/>
              </w:rPr>
            </w:pPr>
            <w:r>
              <w:t>60</w:t>
            </w:r>
          </w:p>
        </w:tc>
        <w:tc>
          <w:tcPr>
            <w:tcW w:w="1121" w:type="dxa"/>
            <w:noWrap/>
            <w:tcMar>
              <w:top w:w="15" w:type="dxa"/>
              <w:left w:w="15" w:type="dxa"/>
              <w:right w:w="15" w:type="dxa"/>
            </w:tcMar>
            <w:vAlign w:val="center"/>
          </w:tcPr>
          <w:p w14:paraId="5C09BDB3">
            <w:pPr>
              <w:pStyle w:val="45"/>
              <w:rPr>
                <w:rFonts w:hint="default"/>
              </w:rPr>
            </w:pPr>
            <w:r>
              <w:t xml:space="preserve">0.00 </w:t>
            </w:r>
          </w:p>
        </w:tc>
        <w:tc>
          <w:tcPr>
            <w:tcW w:w="1121" w:type="dxa"/>
            <w:noWrap/>
            <w:tcMar>
              <w:top w:w="15" w:type="dxa"/>
              <w:left w:w="15" w:type="dxa"/>
              <w:right w:w="15" w:type="dxa"/>
            </w:tcMar>
            <w:vAlign w:val="center"/>
          </w:tcPr>
          <w:p w14:paraId="574F6DC0">
            <w:pPr>
              <w:pStyle w:val="45"/>
              <w:rPr>
                <w:rFonts w:hint="default"/>
              </w:rPr>
            </w:pPr>
            <w:r>
              <w:t xml:space="preserve">13.22 </w:t>
            </w:r>
          </w:p>
        </w:tc>
        <w:tc>
          <w:tcPr>
            <w:tcW w:w="1121" w:type="dxa"/>
            <w:noWrap/>
            <w:tcMar>
              <w:top w:w="15" w:type="dxa"/>
              <w:left w:w="15" w:type="dxa"/>
              <w:right w:w="15" w:type="dxa"/>
            </w:tcMar>
            <w:vAlign w:val="center"/>
          </w:tcPr>
          <w:p w14:paraId="346DCDC8">
            <w:pPr>
              <w:pStyle w:val="45"/>
              <w:rPr>
                <w:rFonts w:hint="default"/>
              </w:rPr>
            </w:pPr>
            <w:r>
              <w:t xml:space="preserve">2068.32 </w:t>
            </w:r>
          </w:p>
        </w:tc>
        <w:tc>
          <w:tcPr>
            <w:tcW w:w="1121" w:type="dxa"/>
            <w:noWrap/>
            <w:tcMar>
              <w:top w:w="15" w:type="dxa"/>
              <w:left w:w="15" w:type="dxa"/>
              <w:right w:w="15" w:type="dxa"/>
            </w:tcMar>
            <w:vAlign w:val="center"/>
          </w:tcPr>
          <w:p w14:paraId="7799AC23">
            <w:pPr>
              <w:pStyle w:val="45"/>
              <w:rPr>
                <w:rFonts w:hint="default"/>
              </w:rPr>
            </w:pPr>
            <w:r>
              <w:t xml:space="preserve">59229.20 </w:t>
            </w:r>
          </w:p>
        </w:tc>
        <w:tc>
          <w:tcPr>
            <w:tcW w:w="1736" w:type="dxa"/>
            <w:noWrap/>
            <w:tcMar>
              <w:top w:w="15" w:type="dxa"/>
              <w:left w:w="15" w:type="dxa"/>
              <w:right w:w="15" w:type="dxa"/>
            </w:tcMar>
            <w:vAlign w:val="center"/>
          </w:tcPr>
          <w:p w14:paraId="0509E732">
            <w:pPr>
              <w:pStyle w:val="45"/>
              <w:rPr>
                <w:rFonts w:hint="default"/>
              </w:rPr>
            </w:pPr>
            <w:r>
              <w:t xml:space="preserve">443785.63 </w:t>
            </w:r>
          </w:p>
        </w:tc>
        <w:tc>
          <w:tcPr>
            <w:tcW w:w="1736" w:type="dxa"/>
            <w:noWrap/>
            <w:tcMar>
              <w:top w:w="15" w:type="dxa"/>
              <w:left w:w="15" w:type="dxa"/>
              <w:right w:w="15" w:type="dxa"/>
            </w:tcMar>
            <w:vAlign w:val="center"/>
          </w:tcPr>
          <w:p w14:paraId="40C974EA">
            <w:pPr>
              <w:pStyle w:val="45"/>
              <w:rPr>
                <w:rFonts w:hint="default"/>
              </w:rPr>
            </w:pPr>
            <w:r>
              <w:t xml:space="preserve">1077353.02 </w:t>
            </w:r>
          </w:p>
        </w:tc>
        <w:tc>
          <w:tcPr>
            <w:tcW w:w="1736" w:type="dxa"/>
            <w:noWrap/>
            <w:tcMar>
              <w:top w:w="15" w:type="dxa"/>
              <w:left w:w="15" w:type="dxa"/>
              <w:right w:w="15" w:type="dxa"/>
            </w:tcMar>
            <w:vAlign w:val="center"/>
          </w:tcPr>
          <w:p w14:paraId="06D2C468">
            <w:pPr>
              <w:pStyle w:val="45"/>
              <w:rPr>
                <w:rFonts w:hint="default"/>
              </w:rPr>
            </w:pPr>
            <w:r>
              <w:t xml:space="preserve">1145874.84 </w:t>
            </w:r>
          </w:p>
        </w:tc>
        <w:tc>
          <w:tcPr>
            <w:tcW w:w="1736" w:type="dxa"/>
            <w:noWrap/>
            <w:tcMar>
              <w:top w:w="15" w:type="dxa"/>
              <w:left w:w="15" w:type="dxa"/>
              <w:right w:w="15" w:type="dxa"/>
            </w:tcMar>
            <w:vAlign w:val="center"/>
          </w:tcPr>
          <w:p w14:paraId="4B102493">
            <w:pPr>
              <w:pStyle w:val="45"/>
              <w:rPr>
                <w:rFonts w:hint="default"/>
              </w:rPr>
            </w:pPr>
            <w:r>
              <w:t xml:space="preserve">1149992.01 </w:t>
            </w:r>
          </w:p>
        </w:tc>
      </w:tr>
      <w:tr w14:paraId="5D8FC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007E86A8">
            <w:pPr>
              <w:pStyle w:val="45"/>
              <w:rPr>
                <w:rFonts w:hint="default"/>
              </w:rPr>
            </w:pPr>
          </w:p>
        </w:tc>
        <w:tc>
          <w:tcPr>
            <w:tcW w:w="1018" w:type="dxa"/>
            <w:noWrap/>
            <w:tcMar>
              <w:top w:w="15" w:type="dxa"/>
              <w:left w:w="15" w:type="dxa"/>
              <w:right w:w="15" w:type="dxa"/>
            </w:tcMar>
            <w:vAlign w:val="center"/>
          </w:tcPr>
          <w:p w14:paraId="51C5193E">
            <w:pPr>
              <w:pStyle w:val="45"/>
              <w:rPr>
                <w:rFonts w:hint="default"/>
              </w:rPr>
            </w:pPr>
            <w:r>
              <w:t>70</w:t>
            </w:r>
          </w:p>
        </w:tc>
        <w:tc>
          <w:tcPr>
            <w:tcW w:w="1121" w:type="dxa"/>
            <w:noWrap/>
            <w:tcMar>
              <w:top w:w="15" w:type="dxa"/>
              <w:left w:w="15" w:type="dxa"/>
              <w:right w:w="15" w:type="dxa"/>
            </w:tcMar>
            <w:vAlign w:val="center"/>
          </w:tcPr>
          <w:p w14:paraId="6D86B59F">
            <w:pPr>
              <w:pStyle w:val="45"/>
              <w:rPr>
                <w:rFonts w:hint="default"/>
              </w:rPr>
            </w:pPr>
            <w:r>
              <w:t xml:space="preserve">0.00 </w:t>
            </w:r>
          </w:p>
        </w:tc>
        <w:tc>
          <w:tcPr>
            <w:tcW w:w="1121" w:type="dxa"/>
            <w:noWrap/>
            <w:tcMar>
              <w:top w:w="15" w:type="dxa"/>
              <w:left w:w="15" w:type="dxa"/>
              <w:right w:w="15" w:type="dxa"/>
            </w:tcMar>
            <w:vAlign w:val="center"/>
          </w:tcPr>
          <w:p w14:paraId="58137B35">
            <w:pPr>
              <w:pStyle w:val="45"/>
              <w:rPr>
                <w:rFonts w:hint="default"/>
              </w:rPr>
            </w:pPr>
            <w:r>
              <w:t xml:space="preserve">0.22 </w:t>
            </w:r>
          </w:p>
        </w:tc>
        <w:tc>
          <w:tcPr>
            <w:tcW w:w="1121" w:type="dxa"/>
            <w:noWrap/>
            <w:tcMar>
              <w:top w:w="15" w:type="dxa"/>
              <w:left w:w="15" w:type="dxa"/>
              <w:right w:w="15" w:type="dxa"/>
            </w:tcMar>
            <w:vAlign w:val="center"/>
          </w:tcPr>
          <w:p w14:paraId="22D0F37C">
            <w:pPr>
              <w:pStyle w:val="45"/>
              <w:rPr>
                <w:rFonts w:hint="default"/>
              </w:rPr>
            </w:pPr>
            <w:r>
              <w:t xml:space="preserve">203.47 </w:t>
            </w:r>
          </w:p>
        </w:tc>
        <w:tc>
          <w:tcPr>
            <w:tcW w:w="1121" w:type="dxa"/>
            <w:noWrap/>
            <w:tcMar>
              <w:top w:w="15" w:type="dxa"/>
              <w:left w:w="15" w:type="dxa"/>
              <w:right w:w="15" w:type="dxa"/>
            </w:tcMar>
            <w:vAlign w:val="center"/>
          </w:tcPr>
          <w:p w14:paraId="30605C3A">
            <w:pPr>
              <w:pStyle w:val="45"/>
              <w:rPr>
                <w:rFonts w:hint="default"/>
              </w:rPr>
            </w:pPr>
            <w:r>
              <w:t xml:space="preserve">18985.79 </w:t>
            </w:r>
          </w:p>
        </w:tc>
        <w:tc>
          <w:tcPr>
            <w:tcW w:w="1736" w:type="dxa"/>
            <w:noWrap/>
            <w:tcMar>
              <w:top w:w="15" w:type="dxa"/>
              <w:left w:w="15" w:type="dxa"/>
              <w:right w:w="15" w:type="dxa"/>
            </w:tcMar>
            <w:vAlign w:val="center"/>
          </w:tcPr>
          <w:p w14:paraId="0DB3B1D8">
            <w:pPr>
              <w:pStyle w:val="45"/>
              <w:rPr>
                <w:rFonts w:hint="default"/>
              </w:rPr>
            </w:pPr>
            <w:r>
              <w:t xml:space="preserve">295580.66 </w:t>
            </w:r>
          </w:p>
        </w:tc>
        <w:tc>
          <w:tcPr>
            <w:tcW w:w="1736" w:type="dxa"/>
            <w:noWrap/>
            <w:tcMar>
              <w:top w:w="15" w:type="dxa"/>
              <w:left w:w="15" w:type="dxa"/>
              <w:right w:w="15" w:type="dxa"/>
            </w:tcMar>
            <w:vAlign w:val="center"/>
          </w:tcPr>
          <w:p w14:paraId="033AAE82">
            <w:pPr>
              <w:pStyle w:val="45"/>
              <w:rPr>
                <w:rFonts w:hint="default"/>
              </w:rPr>
            </w:pPr>
            <w:r>
              <w:t xml:space="preserve">1038304.76 </w:t>
            </w:r>
          </w:p>
        </w:tc>
        <w:tc>
          <w:tcPr>
            <w:tcW w:w="1736" w:type="dxa"/>
            <w:noWrap/>
            <w:tcMar>
              <w:top w:w="15" w:type="dxa"/>
              <w:left w:w="15" w:type="dxa"/>
              <w:right w:w="15" w:type="dxa"/>
            </w:tcMar>
            <w:vAlign w:val="center"/>
          </w:tcPr>
          <w:p w14:paraId="7F62001B">
            <w:pPr>
              <w:pStyle w:val="45"/>
              <w:rPr>
                <w:rFonts w:hint="default"/>
              </w:rPr>
            </w:pPr>
            <w:r>
              <w:t xml:space="preserve">1143085.60 </w:t>
            </w:r>
          </w:p>
        </w:tc>
        <w:tc>
          <w:tcPr>
            <w:tcW w:w="1736" w:type="dxa"/>
            <w:noWrap/>
            <w:tcMar>
              <w:top w:w="15" w:type="dxa"/>
              <w:left w:w="15" w:type="dxa"/>
              <w:right w:w="15" w:type="dxa"/>
            </w:tcMar>
            <w:vAlign w:val="center"/>
          </w:tcPr>
          <w:p w14:paraId="6EDE7E9C">
            <w:pPr>
              <w:pStyle w:val="45"/>
              <w:rPr>
                <w:rFonts w:hint="default"/>
              </w:rPr>
            </w:pPr>
            <w:r>
              <w:t xml:space="preserve">1149985.76 </w:t>
            </w:r>
          </w:p>
        </w:tc>
      </w:tr>
      <w:tr w14:paraId="2EC4C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46DE7371">
            <w:pPr>
              <w:pStyle w:val="45"/>
              <w:rPr>
                <w:rFonts w:hint="default"/>
              </w:rPr>
            </w:pPr>
          </w:p>
        </w:tc>
        <w:tc>
          <w:tcPr>
            <w:tcW w:w="1018" w:type="dxa"/>
            <w:noWrap/>
            <w:tcMar>
              <w:top w:w="15" w:type="dxa"/>
              <w:left w:w="15" w:type="dxa"/>
              <w:right w:w="15" w:type="dxa"/>
            </w:tcMar>
            <w:vAlign w:val="center"/>
          </w:tcPr>
          <w:p w14:paraId="6ACEC7B7">
            <w:pPr>
              <w:pStyle w:val="45"/>
              <w:rPr>
                <w:rFonts w:hint="default"/>
              </w:rPr>
            </w:pPr>
            <w:r>
              <w:t>80</w:t>
            </w:r>
          </w:p>
        </w:tc>
        <w:tc>
          <w:tcPr>
            <w:tcW w:w="1121" w:type="dxa"/>
            <w:noWrap/>
            <w:tcMar>
              <w:top w:w="15" w:type="dxa"/>
              <w:left w:w="15" w:type="dxa"/>
              <w:right w:w="15" w:type="dxa"/>
            </w:tcMar>
            <w:vAlign w:val="center"/>
          </w:tcPr>
          <w:p w14:paraId="01C43122">
            <w:pPr>
              <w:pStyle w:val="45"/>
              <w:rPr>
                <w:rFonts w:hint="default"/>
              </w:rPr>
            </w:pPr>
            <w:r>
              <w:t xml:space="preserve">0.00 </w:t>
            </w:r>
          </w:p>
        </w:tc>
        <w:tc>
          <w:tcPr>
            <w:tcW w:w="1121" w:type="dxa"/>
            <w:noWrap/>
            <w:tcMar>
              <w:top w:w="15" w:type="dxa"/>
              <w:left w:w="15" w:type="dxa"/>
              <w:right w:w="15" w:type="dxa"/>
            </w:tcMar>
            <w:vAlign w:val="center"/>
          </w:tcPr>
          <w:p w14:paraId="446AE4A9">
            <w:pPr>
              <w:pStyle w:val="45"/>
              <w:rPr>
                <w:rFonts w:hint="default"/>
              </w:rPr>
            </w:pPr>
            <w:r>
              <w:t xml:space="preserve">0.00 </w:t>
            </w:r>
          </w:p>
        </w:tc>
        <w:tc>
          <w:tcPr>
            <w:tcW w:w="1121" w:type="dxa"/>
            <w:noWrap/>
            <w:tcMar>
              <w:top w:w="15" w:type="dxa"/>
              <w:left w:w="15" w:type="dxa"/>
              <w:right w:w="15" w:type="dxa"/>
            </w:tcMar>
            <w:vAlign w:val="center"/>
          </w:tcPr>
          <w:p w14:paraId="7735D4A3">
            <w:pPr>
              <w:pStyle w:val="45"/>
              <w:rPr>
                <w:rFonts w:hint="default"/>
              </w:rPr>
            </w:pPr>
            <w:r>
              <w:t xml:space="preserve">13.53 </w:t>
            </w:r>
          </w:p>
        </w:tc>
        <w:tc>
          <w:tcPr>
            <w:tcW w:w="1121" w:type="dxa"/>
            <w:noWrap/>
            <w:tcMar>
              <w:top w:w="15" w:type="dxa"/>
              <w:left w:w="15" w:type="dxa"/>
              <w:right w:w="15" w:type="dxa"/>
            </w:tcMar>
            <w:vAlign w:val="center"/>
          </w:tcPr>
          <w:p w14:paraId="4F8A2E67">
            <w:pPr>
              <w:pStyle w:val="45"/>
              <w:rPr>
                <w:rFonts w:hint="default"/>
              </w:rPr>
            </w:pPr>
            <w:r>
              <w:t xml:space="preserve">4937.16 </w:t>
            </w:r>
          </w:p>
        </w:tc>
        <w:tc>
          <w:tcPr>
            <w:tcW w:w="1736" w:type="dxa"/>
            <w:noWrap/>
            <w:tcMar>
              <w:top w:w="15" w:type="dxa"/>
              <w:left w:w="15" w:type="dxa"/>
              <w:right w:w="15" w:type="dxa"/>
            </w:tcMar>
            <w:vAlign w:val="center"/>
          </w:tcPr>
          <w:p w14:paraId="07E23D0F">
            <w:pPr>
              <w:pStyle w:val="45"/>
              <w:rPr>
                <w:rFonts w:hint="default"/>
              </w:rPr>
            </w:pPr>
            <w:r>
              <w:t xml:space="preserve">179782.51 </w:t>
            </w:r>
          </w:p>
        </w:tc>
        <w:tc>
          <w:tcPr>
            <w:tcW w:w="1736" w:type="dxa"/>
            <w:noWrap/>
            <w:tcMar>
              <w:top w:w="15" w:type="dxa"/>
              <w:left w:w="15" w:type="dxa"/>
              <w:right w:w="15" w:type="dxa"/>
            </w:tcMar>
            <w:vAlign w:val="center"/>
          </w:tcPr>
          <w:p w14:paraId="73175D17">
            <w:pPr>
              <w:pStyle w:val="45"/>
              <w:rPr>
                <w:rFonts w:hint="default"/>
              </w:rPr>
            </w:pPr>
            <w:r>
              <w:t xml:space="preserve">986978.55 </w:t>
            </w:r>
          </w:p>
        </w:tc>
        <w:tc>
          <w:tcPr>
            <w:tcW w:w="1736" w:type="dxa"/>
            <w:noWrap/>
            <w:tcMar>
              <w:top w:w="15" w:type="dxa"/>
              <w:left w:w="15" w:type="dxa"/>
              <w:right w:w="15" w:type="dxa"/>
            </w:tcMar>
            <w:vAlign w:val="center"/>
          </w:tcPr>
          <w:p w14:paraId="2C6FAEF0">
            <w:pPr>
              <w:pStyle w:val="45"/>
              <w:rPr>
                <w:rFonts w:hint="default"/>
              </w:rPr>
            </w:pPr>
            <w:r>
              <w:t xml:space="preserve">1138867.64 </w:t>
            </w:r>
          </w:p>
        </w:tc>
        <w:tc>
          <w:tcPr>
            <w:tcW w:w="1736" w:type="dxa"/>
            <w:noWrap/>
            <w:tcMar>
              <w:top w:w="15" w:type="dxa"/>
              <w:left w:w="15" w:type="dxa"/>
              <w:right w:w="15" w:type="dxa"/>
            </w:tcMar>
            <w:vAlign w:val="center"/>
          </w:tcPr>
          <w:p w14:paraId="56077873">
            <w:pPr>
              <w:pStyle w:val="45"/>
              <w:rPr>
                <w:rFonts w:hint="default"/>
              </w:rPr>
            </w:pPr>
            <w:r>
              <w:t xml:space="preserve">1149975.38 </w:t>
            </w:r>
          </w:p>
        </w:tc>
      </w:tr>
      <w:tr w14:paraId="0A8A2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5148374E">
            <w:pPr>
              <w:pStyle w:val="45"/>
              <w:rPr>
                <w:rFonts w:hint="default"/>
              </w:rPr>
            </w:pPr>
          </w:p>
        </w:tc>
        <w:tc>
          <w:tcPr>
            <w:tcW w:w="1018" w:type="dxa"/>
            <w:noWrap/>
            <w:tcMar>
              <w:top w:w="15" w:type="dxa"/>
              <w:left w:w="15" w:type="dxa"/>
              <w:right w:w="15" w:type="dxa"/>
            </w:tcMar>
            <w:vAlign w:val="center"/>
          </w:tcPr>
          <w:p w14:paraId="4CCB0BE9">
            <w:pPr>
              <w:pStyle w:val="45"/>
              <w:rPr>
                <w:rFonts w:hint="default"/>
              </w:rPr>
            </w:pPr>
            <w:r>
              <w:t>90</w:t>
            </w:r>
          </w:p>
        </w:tc>
        <w:tc>
          <w:tcPr>
            <w:tcW w:w="1121" w:type="dxa"/>
            <w:noWrap/>
            <w:tcMar>
              <w:top w:w="15" w:type="dxa"/>
              <w:left w:w="15" w:type="dxa"/>
              <w:right w:w="15" w:type="dxa"/>
            </w:tcMar>
            <w:vAlign w:val="center"/>
          </w:tcPr>
          <w:p w14:paraId="432EFC75">
            <w:pPr>
              <w:pStyle w:val="45"/>
              <w:rPr>
                <w:rFonts w:hint="default"/>
              </w:rPr>
            </w:pPr>
            <w:r>
              <w:t xml:space="preserve">0.00 </w:t>
            </w:r>
          </w:p>
        </w:tc>
        <w:tc>
          <w:tcPr>
            <w:tcW w:w="1121" w:type="dxa"/>
            <w:noWrap/>
            <w:tcMar>
              <w:top w:w="15" w:type="dxa"/>
              <w:left w:w="15" w:type="dxa"/>
              <w:right w:w="15" w:type="dxa"/>
            </w:tcMar>
            <w:vAlign w:val="center"/>
          </w:tcPr>
          <w:p w14:paraId="5EE095C0">
            <w:pPr>
              <w:pStyle w:val="45"/>
              <w:rPr>
                <w:rFonts w:hint="default"/>
              </w:rPr>
            </w:pPr>
            <w:r>
              <w:t xml:space="preserve">0.00 </w:t>
            </w:r>
          </w:p>
        </w:tc>
        <w:tc>
          <w:tcPr>
            <w:tcW w:w="1121" w:type="dxa"/>
            <w:noWrap/>
            <w:tcMar>
              <w:top w:w="15" w:type="dxa"/>
              <w:left w:w="15" w:type="dxa"/>
              <w:right w:w="15" w:type="dxa"/>
            </w:tcMar>
            <w:vAlign w:val="center"/>
          </w:tcPr>
          <w:p w14:paraId="0F030FC5">
            <w:pPr>
              <w:pStyle w:val="45"/>
              <w:rPr>
                <w:rFonts w:hint="default"/>
              </w:rPr>
            </w:pPr>
            <w:r>
              <w:t xml:space="preserve">0.61 </w:t>
            </w:r>
          </w:p>
        </w:tc>
        <w:tc>
          <w:tcPr>
            <w:tcW w:w="1121" w:type="dxa"/>
            <w:noWrap/>
            <w:tcMar>
              <w:top w:w="15" w:type="dxa"/>
              <w:left w:w="15" w:type="dxa"/>
              <w:right w:w="15" w:type="dxa"/>
            </w:tcMar>
            <w:vAlign w:val="center"/>
          </w:tcPr>
          <w:p w14:paraId="1E82E91A">
            <w:pPr>
              <w:pStyle w:val="45"/>
              <w:rPr>
                <w:rFonts w:hint="default"/>
              </w:rPr>
            </w:pPr>
            <w:r>
              <w:t xml:space="preserve">1037.55 </w:t>
            </w:r>
          </w:p>
        </w:tc>
        <w:tc>
          <w:tcPr>
            <w:tcW w:w="1736" w:type="dxa"/>
            <w:noWrap/>
            <w:tcMar>
              <w:top w:w="15" w:type="dxa"/>
              <w:left w:w="15" w:type="dxa"/>
              <w:right w:w="15" w:type="dxa"/>
            </w:tcMar>
            <w:vAlign w:val="center"/>
          </w:tcPr>
          <w:p w14:paraId="24215774">
            <w:pPr>
              <w:pStyle w:val="45"/>
              <w:rPr>
                <w:rFonts w:hint="default"/>
              </w:rPr>
            </w:pPr>
            <w:r>
              <w:t xml:space="preserve">99441.00 </w:t>
            </w:r>
          </w:p>
        </w:tc>
        <w:tc>
          <w:tcPr>
            <w:tcW w:w="1736" w:type="dxa"/>
            <w:noWrap/>
            <w:tcMar>
              <w:top w:w="15" w:type="dxa"/>
              <w:left w:w="15" w:type="dxa"/>
              <w:right w:w="15" w:type="dxa"/>
            </w:tcMar>
            <w:vAlign w:val="center"/>
          </w:tcPr>
          <w:p w14:paraId="5EBA23A9">
            <w:pPr>
              <w:pStyle w:val="45"/>
              <w:rPr>
                <w:rFonts w:hint="default"/>
              </w:rPr>
            </w:pPr>
            <w:r>
              <w:t xml:space="preserve">922844.17 </w:t>
            </w:r>
          </w:p>
        </w:tc>
        <w:tc>
          <w:tcPr>
            <w:tcW w:w="1736" w:type="dxa"/>
            <w:noWrap/>
            <w:tcMar>
              <w:top w:w="15" w:type="dxa"/>
              <w:left w:w="15" w:type="dxa"/>
              <w:right w:w="15" w:type="dxa"/>
            </w:tcMar>
            <w:vAlign w:val="center"/>
          </w:tcPr>
          <w:p w14:paraId="3D2BD2E8">
            <w:pPr>
              <w:pStyle w:val="45"/>
              <w:rPr>
                <w:rFonts w:hint="default"/>
              </w:rPr>
            </w:pPr>
            <w:r>
              <w:t xml:space="preserve">1132697.41 </w:t>
            </w:r>
          </w:p>
        </w:tc>
        <w:tc>
          <w:tcPr>
            <w:tcW w:w="1736" w:type="dxa"/>
            <w:noWrap/>
            <w:tcMar>
              <w:top w:w="15" w:type="dxa"/>
              <w:left w:w="15" w:type="dxa"/>
              <w:right w:w="15" w:type="dxa"/>
            </w:tcMar>
            <w:vAlign w:val="center"/>
          </w:tcPr>
          <w:p w14:paraId="7FBFFF59">
            <w:pPr>
              <w:pStyle w:val="45"/>
              <w:rPr>
                <w:rFonts w:hint="default"/>
              </w:rPr>
            </w:pPr>
            <w:r>
              <w:t xml:space="preserve">1149958.55 </w:t>
            </w:r>
          </w:p>
        </w:tc>
      </w:tr>
      <w:tr w14:paraId="4BEC6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5CA3762B">
            <w:pPr>
              <w:pStyle w:val="45"/>
              <w:rPr>
                <w:rFonts w:hint="default"/>
              </w:rPr>
            </w:pPr>
          </w:p>
        </w:tc>
        <w:tc>
          <w:tcPr>
            <w:tcW w:w="1018" w:type="dxa"/>
            <w:noWrap/>
            <w:tcMar>
              <w:top w:w="15" w:type="dxa"/>
              <w:left w:w="15" w:type="dxa"/>
              <w:right w:w="15" w:type="dxa"/>
            </w:tcMar>
            <w:vAlign w:val="center"/>
          </w:tcPr>
          <w:p w14:paraId="19417FD1">
            <w:pPr>
              <w:pStyle w:val="45"/>
              <w:rPr>
                <w:rFonts w:hint="default"/>
              </w:rPr>
            </w:pPr>
            <w:r>
              <w:t>100</w:t>
            </w:r>
          </w:p>
        </w:tc>
        <w:tc>
          <w:tcPr>
            <w:tcW w:w="1121" w:type="dxa"/>
            <w:noWrap/>
            <w:tcMar>
              <w:top w:w="15" w:type="dxa"/>
              <w:left w:w="15" w:type="dxa"/>
              <w:right w:w="15" w:type="dxa"/>
            </w:tcMar>
            <w:vAlign w:val="center"/>
          </w:tcPr>
          <w:p w14:paraId="13E31CE2">
            <w:pPr>
              <w:pStyle w:val="45"/>
              <w:rPr>
                <w:rFonts w:hint="default"/>
              </w:rPr>
            </w:pPr>
            <w:r>
              <w:t xml:space="preserve">0.00 </w:t>
            </w:r>
          </w:p>
        </w:tc>
        <w:tc>
          <w:tcPr>
            <w:tcW w:w="1121" w:type="dxa"/>
            <w:noWrap/>
            <w:tcMar>
              <w:top w:w="15" w:type="dxa"/>
              <w:left w:w="15" w:type="dxa"/>
              <w:right w:w="15" w:type="dxa"/>
            </w:tcMar>
            <w:vAlign w:val="center"/>
          </w:tcPr>
          <w:p w14:paraId="443A859A">
            <w:pPr>
              <w:pStyle w:val="45"/>
              <w:rPr>
                <w:rFonts w:hint="default"/>
              </w:rPr>
            </w:pPr>
            <w:r>
              <w:t xml:space="preserve">0.00 </w:t>
            </w:r>
          </w:p>
        </w:tc>
        <w:tc>
          <w:tcPr>
            <w:tcW w:w="1121" w:type="dxa"/>
            <w:noWrap/>
            <w:tcMar>
              <w:top w:w="15" w:type="dxa"/>
              <w:left w:w="15" w:type="dxa"/>
              <w:right w:w="15" w:type="dxa"/>
            </w:tcMar>
            <w:vAlign w:val="center"/>
          </w:tcPr>
          <w:p w14:paraId="58F4F4CF">
            <w:pPr>
              <w:pStyle w:val="45"/>
              <w:rPr>
                <w:rFonts w:hint="default"/>
              </w:rPr>
            </w:pPr>
            <w:r>
              <w:t xml:space="preserve">0.02 </w:t>
            </w:r>
          </w:p>
        </w:tc>
        <w:tc>
          <w:tcPr>
            <w:tcW w:w="1121" w:type="dxa"/>
            <w:noWrap/>
            <w:tcMar>
              <w:top w:w="15" w:type="dxa"/>
              <w:left w:w="15" w:type="dxa"/>
              <w:right w:w="15" w:type="dxa"/>
            </w:tcMar>
            <w:vAlign w:val="center"/>
          </w:tcPr>
          <w:p w14:paraId="6EE8DD54">
            <w:pPr>
              <w:pStyle w:val="45"/>
              <w:rPr>
                <w:rFonts w:hint="default"/>
              </w:rPr>
            </w:pPr>
            <w:r>
              <w:t xml:space="preserve">175.71 </w:t>
            </w:r>
          </w:p>
        </w:tc>
        <w:tc>
          <w:tcPr>
            <w:tcW w:w="1736" w:type="dxa"/>
            <w:noWrap/>
            <w:tcMar>
              <w:top w:w="15" w:type="dxa"/>
              <w:left w:w="15" w:type="dxa"/>
              <w:right w:w="15" w:type="dxa"/>
            </w:tcMar>
            <w:vAlign w:val="center"/>
          </w:tcPr>
          <w:p w14:paraId="6B9CCACC">
            <w:pPr>
              <w:pStyle w:val="45"/>
              <w:rPr>
                <w:rFonts w:hint="default"/>
              </w:rPr>
            </w:pPr>
            <w:r>
              <w:t xml:space="preserve">49856.98 </w:t>
            </w:r>
          </w:p>
        </w:tc>
        <w:tc>
          <w:tcPr>
            <w:tcW w:w="1736" w:type="dxa"/>
            <w:noWrap/>
            <w:tcMar>
              <w:top w:w="15" w:type="dxa"/>
              <w:left w:w="15" w:type="dxa"/>
              <w:right w:w="15" w:type="dxa"/>
            </w:tcMar>
            <w:vAlign w:val="center"/>
          </w:tcPr>
          <w:p w14:paraId="36F74155">
            <w:pPr>
              <w:pStyle w:val="45"/>
              <w:rPr>
                <w:rFonts w:hint="default"/>
              </w:rPr>
            </w:pPr>
            <w:r>
              <w:t xml:space="preserve">846508.64 </w:t>
            </w:r>
          </w:p>
        </w:tc>
        <w:tc>
          <w:tcPr>
            <w:tcW w:w="1736" w:type="dxa"/>
            <w:noWrap/>
            <w:tcMar>
              <w:top w:w="15" w:type="dxa"/>
              <w:left w:w="15" w:type="dxa"/>
              <w:right w:w="15" w:type="dxa"/>
            </w:tcMar>
            <w:vAlign w:val="center"/>
          </w:tcPr>
          <w:p w14:paraId="70764E70">
            <w:pPr>
              <w:pStyle w:val="45"/>
              <w:rPr>
                <w:rFonts w:hint="default"/>
              </w:rPr>
            </w:pPr>
            <w:r>
              <w:t xml:space="preserve">1123948.27 </w:t>
            </w:r>
          </w:p>
        </w:tc>
        <w:tc>
          <w:tcPr>
            <w:tcW w:w="1736" w:type="dxa"/>
            <w:noWrap/>
            <w:tcMar>
              <w:top w:w="15" w:type="dxa"/>
              <w:left w:w="15" w:type="dxa"/>
              <w:right w:w="15" w:type="dxa"/>
            </w:tcMar>
            <w:vAlign w:val="center"/>
          </w:tcPr>
          <w:p w14:paraId="45C12418">
            <w:pPr>
              <w:pStyle w:val="45"/>
              <w:rPr>
                <w:rFonts w:hint="default"/>
              </w:rPr>
            </w:pPr>
            <w:r>
              <w:t xml:space="preserve">1149931.77 </w:t>
            </w:r>
          </w:p>
        </w:tc>
      </w:tr>
      <w:tr w14:paraId="5D161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7B609367">
            <w:pPr>
              <w:pStyle w:val="45"/>
              <w:rPr>
                <w:rFonts w:hint="default"/>
              </w:rPr>
            </w:pPr>
          </w:p>
        </w:tc>
        <w:tc>
          <w:tcPr>
            <w:tcW w:w="1018" w:type="dxa"/>
            <w:noWrap/>
            <w:tcMar>
              <w:top w:w="15" w:type="dxa"/>
              <w:left w:w="15" w:type="dxa"/>
              <w:right w:w="15" w:type="dxa"/>
            </w:tcMar>
            <w:vAlign w:val="center"/>
          </w:tcPr>
          <w:p w14:paraId="0A6D0EEE">
            <w:pPr>
              <w:pStyle w:val="45"/>
              <w:rPr>
                <w:rFonts w:hint="default"/>
              </w:rPr>
            </w:pPr>
            <w:r>
              <w:t>110</w:t>
            </w:r>
          </w:p>
        </w:tc>
        <w:tc>
          <w:tcPr>
            <w:tcW w:w="1121" w:type="dxa"/>
            <w:noWrap/>
            <w:tcMar>
              <w:top w:w="15" w:type="dxa"/>
              <w:left w:w="15" w:type="dxa"/>
              <w:right w:w="15" w:type="dxa"/>
            </w:tcMar>
            <w:vAlign w:val="center"/>
          </w:tcPr>
          <w:p w14:paraId="42DF026E">
            <w:pPr>
              <w:pStyle w:val="45"/>
              <w:rPr>
                <w:rFonts w:hint="default"/>
              </w:rPr>
            </w:pPr>
            <w:r>
              <w:t xml:space="preserve">0.00 </w:t>
            </w:r>
          </w:p>
        </w:tc>
        <w:tc>
          <w:tcPr>
            <w:tcW w:w="1121" w:type="dxa"/>
            <w:noWrap/>
            <w:tcMar>
              <w:top w:w="15" w:type="dxa"/>
              <w:left w:w="15" w:type="dxa"/>
              <w:right w:w="15" w:type="dxa"/>
            </w:tcMar>
            <w:vAlign w:val="center"/>
          </w:tcPr>
          <w:p w14:paraId="6114D32E">
            <w:pPr>
              <w:pStyle w:val="45"/>
              <w:rPr>
                <w:rFonts w:hint="default"/>
              </w:rPr>
            </w:pPr>
            <w:r>
              <w:t xml:space="preserve">0.00 </w:t>
            </w:r>
          </w:p>
        </w:tc>
        <w:tc>
          <w:tcPr>
            <w:tcW w:w="1121" w:type="dxa"/>
            <w:noWrap/>
            <w:tcMar>
              <w:top w:w="15" w:type="dxa"/>
              <w:left w:w="15" w:type="dxa"/>
              <w:right w:w="15" w:type="dxa"/>
            </w:tcMar>
            <w:vAlign w:val="center"/>
          </w:tcPr>
          <w:p w14:paraId="2117005B">
            <w:pPr>
              <w:pStyle w:val="45"/>
              <w:rPr>
                <w:rFonts w:hint="default"/>
              </w:rPr>
            </w:pPr>
            <w:r>
              <w:t xml:space="preserve">0.00 </w:t>
            </w:r>
          </w:p>
        </w:tc>
        <w:tc>
          <w:tcPr>
            <w:tcW w:w="1121" w:type="dxa"/>
            <w:noWrap/>
            <w:tcMar>
              <w:top w:w="15" w:type="dxa"/>
              <w:left w:w="15" w:type="dxa"/>
              <w:right w:w="15" w:type="dxa"/>
            </w:tcMar>
            <w:vAlign w:val="center"/>
          </w:tcPr>
          <w:p w14:paraId="73EA0C2B">
            <w:pPr>
              <w:pStyle w:val="45"/>
              <w:rPr>
                <w:rFonts w:hint="default"/>
              </w:rPr>
            </w:pPr>
            <w:r>
              <w:t xml:space="preserve">23.93 </w:t>
            </w:r>
          </w:p>
        </w:tc>
        <w:tc>
          <w:tcPr>
            <w:tcW w:w="1736" w:type="dxa"/>
            <w:noWrap/>
            <w:tcMar>
              <w:top w:w="15" w:type="dxa"/>
              <w:left w:w="15" w:type="dxa"/>
              <w:right w:w="15" w:type="dxa"/>
            </w:tcMar>
            <w:vAlign w:val="center"/>
          </w:tcPr>
          <w:p w14:paraId="5E277CF6">
            <w:pPr>
              <w:pStyle w:val="45"/>
              <w:rPr>
                <w:rFonts w:hint="default"/>
              </w:rPr>
            </w:pPr>
            <w:r>
              <w:t xml:space="preserve">22601.79 </w:t>
            </w:r>
          </w:p>
        </w:tc>
        <w:tc>
          <w:tcPr>
            <w:tcW w:w="1736" w:type="dxa"/>
            <w:noWrap/>
            <w:tcMar>
              <w:top w:w="15" w:type="dxa"/>
              <w:left w:w="15" w:type="dxa"/>
              <w:right w:w="15" w:type="dxa"/>
            </w:tcMar>
            <w:vAlign w:val="center"/>
          </w:tcPr>
          <w:p w14:paraId="3C777D4F">
            <w:pPr>
              <w:pStyle w:val="45"/>
              <w:rPr>
                <w:rFonts w:hint="default"/>
              </w:rPr>
            </w:pPr>
            <w:r>
              <w:t xml:space="preserve">759834.90 </w:t>
            </w:r>
          </w:p>
        </w:tc>
        <w:tc>
          <w:tcPr>
            <w:tcW w:w="1736" w:type="dxa"/>
            <w:noWrap/>
            <w:tcMar>
              <w:top w:w="15" w:type="dxa"/>
              <w:left w:w="15" w:type="dxa"/>
              <w:right w:w="15" w:type="dxa"/>
            </w:tcMar>
            <w:vAlign w:val="center"/>
          </w:tcPr>
          <w:p w14:paraId="770CC9A3">
            <w:pPr>
              <w:pStyle w:val="45"/>
              <w:rPr>
                <w:rFonts w:hint="default"/>
              </w:rPr>
            </w:pPr>
            <w:r>
              <w:t xml:space="preserve">1111904.86 </w:t>
            </w:r>
          </w:p>
        </w:tc>
        <w:tc>
          <w:tcPr>
            <w:tcW w:w="1736" w:type="dxa"/>
            <w:noWrap/>
            <w:tcMar>
              <w:top w:w="15" w:type="dxa"/>
              <w:left w:w="15" w:type="dxa"/>
              <w:right w:w="15" w:type="dxa"/>
            </w:tcMar>
            <w:vAlign w:val="center"/>
          </w:tcPr>
          <w:p w14:paraId="03E3AC7B">
            <w:pPr>
              <w:pStyle w:val="45"/>
              <w:rPr>
                <w:rFonts w:hint="default"/>
              </w:rPr>
            </w:pPr>
            <w:r>
              <w:t xml:space="preserve">1149889.96 </w:t>
            </w:r>
          </w:p>
        </w:tc>
      </w:tr>
      <w:tr w14:paraId="23673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6E11C1CD">
            <w:pPr>
              <w:pStyle w:val="45"/>
              <w:rPr>
                <w:rFonts w:hint="default"/>
              </w:rPr>
            </w:pPr>
          </w:p>
        </w:tc>
        <w:tc>
          <w:tcPr>
            <w:tcW w:w="1018" w:type="dxa"/>
            <w:noWrap/>
            <w:tcMar>
              <w:top w:w="15" w:type="dxa"/>
              <w:left w:w="15" w:type="dxa"/>
              <w:right w:w="15" w:type="dxa"/>
            </w:tcMar>
            <w:vAlign w:val="center"/>
          </w:tcPr>
          <w:p w14:paraId="782F93E9">
            <w:pPr>
              <w:pStyle w:val="45"/>
              <w:rPr>
                <w:rFonts w:hint="default"/>
              </w:rPr>
            </w:pPr>
            <w:r>
              <w:t>120</w:t>
            </w:r>
          </w:p>
        </w:tc>
        <w:tc>
          <w:tcPr>
            <w:tcW w:w="1121" w:type="dxa"/>
            <w:noWrap/>
            <w:tcMar>
              <w:top w:w="15" w:type="dxa"/>
              <w:left w:w="15" w:type="dxa"/>
              <w:right w:w="15" w:type="dxa"/>
            </w:tcMar>
            <w:vAlign w:val="center"/>
          </w:tcPr>
          <w:p w14:paraId="0182BD1B">
            <w:pPr>
              <w:pStyle w:val="45"/>
              <w:rPr>
                <w:rFonts w:hint="default"/>
              </w:rPr>
            </w:pPr>
            <w:r>
              <w:t xml:space="preserve">0.00 </w:t>
            </w:r>
          </w:p>
        </w:tc>
        <w:tc>
          <w:tcPr>
            <w:tcW w:w="1121" w:type="dxa"/>
            <w:noWrap/>
            <w:tcMar>
              <w:top w:w="15" w:type="dxa"/>
              <w:left w:w="15" w:type="dxa"/>
              <w:right w:w="15" w:type="dxa"/>
            </w:tcMar>
            <w:vAlign w:val="center"/>
          </w:tcPr>
          <w:p w14:paraId="31D00AE7">
            <w:pPr>
              <w:pStyle w:val="45"/>
              <w:rPr>
                <w:rFonts w:hint="default"/>
              </w:rPr>
            </w:pPr>
            <w:r>
              <w:t xml:space="preserve">0.00 </w:t>
            </w:r>
          </w:p>
        </w:tc>
        <w:tc>
          <w:tcPr>
            <w:tcW w:w="1121" w:type="dxa"/>
            <w:noWrap/>
            <w:tcMar>
              <w:top w:w="15" w:type="dxa"/>
              <w:left w:w="15" w:type="dxa"/>
              <w:right w:w="15" w:type="dxa"/>
            </w:tcMar>
            <w:vAlign w:val="center"/>
          </w:tcPr>
          <w:p w14:paraId="3F955464">
            <w:pPr>
              <w:pStyle w:val="45"/>
              <w:rPr>
                <w:rFonts w:hint="default"/>
              </w:rPr>
            </w:pPr>
            <w:r>
              <w:t xml:space="preserve">0.00 </w:t>
            </w:r>
          </w:p>
        </w:tc>
        <w:tc>
          <w:tcPr>
            <w:tcW w:w="1121" w:type="dxa"/>
            <w:noWrap/>
            <w:tcMar>
              <w:top w:w="15" w:type="dxa"/>
              <w:left w:w="15" w:type="dxa"/>
              <w:right w:w="15" w:type="dxa"/>
            </w:tcMar>
            <w:vAlign w:val="center"/>
          </w:tcPr>
          <w:p w14:paraId="6D7A9A49">
            <w:pPr>
              <w:pStyle w:val="45"/>
              <w:rPr>
                <w:rFonts w:hint="default"/>
              </w:rPr>
            </w:pPr>
            <w:r>
              <w:t xml:space="preserve">2.62 </w:t>
            </w:r>
          </w:p>
        </w:tc>
        <w:tc>
          <w:tcPr>
            <w:tcW w:w="1736" w:type="dxa"/>
            <w:noWrap/>
            <w:tcMar>
              <w:top w:w="15" w:type="dxa"/>
              <w:left w:w="15" w:type="dxa"/>
              <w:right w:w="15" w:type="dxa"/>
            </w:tcMar>
            <w:vAlign w:val="center"/>
          </w:tcPr>
          <w:p w14:paraId="5ED9AE53">
            <w:pPr>
              <w:pStyle w:val="45"/>
              <w:rPr>
                <w:rFonts w:hint="default"/>
              </w:rPr>
            </w:pPr>
            <w:r>
              <w:t xml:space="preserve">9246.34 </w:t>
            </w:r>
          </w:p>
        </w:tc>
        <w:tc>
          <w:tcPr>
            <w:tcW w:w="1736" w:type="dxa"/>
            <w:noWrap/>
            <w:tcMar>
              <w:top w:w="15" w:type="dxa"/>
              <w:left w:w="15" w:type="dxa"/>
              <w:right w:w="15" w:type="dxa"/>
            </w:tcMar>
            <w:vAlign w:val="center"/>
          </w:tcPr>
          <w:p w14:paraId="53C0B775">
            <w:pPr>
              <w:pStyle w:val="45"/>
              <w:rPr>
                <w:rFonts w:hint="default"/>
              </w:rPr>
            </w:pPr>
            <w:r>
              <w:t xml:space="preserve">665850.15 </w:t>
            </w:r>
          </w:p>
        </w:tc>
        <w:tc>
          <w:tcPr>
            <w:tcW w:w="1736" w:type="dxa"/>
            <w:noWrap/>
            <w:tcMar>
              <w:top w:w="15" w:type="dxa"/>
              <w:left w:w="15" w:type="dxa"/>
              <w:right w:w="15" w:type="dxa"/>
            </w:tcMar>
            <w:vAlign w:val="center"/>
          </w:tcPr>
          <w:p w14:paraId="7563243E">
            <w:pPr>
              <w:pStyle w:val="45"/>
              <w:rPr>
                <w:rFonts w:hint="default"/>
              </w:rPr>
            </w:pPr>
            <w:r>
              <w:t xml:space="preserve">1095792.63 </w:t>
            </w:r>
          </w:p>
        </w:tc>
        <w:tc>
          <w:tcPr>
            <w:tcW w:w="1736" w:type="dxa"/>
            <w:noWrap/>
            <w:tcMar>
              <w:top w:w="15" w:type="dxa"/>
              <w:left w:w="15" w:type="dxa"/>
              <w:right w:w="15" w:type="dxa"/>
            </w:tcMar>
            <w:vAlign w:val="center"/>
          </w:tcPr>
          <w:p w14:paraId="41D07729">
            <w:pPr>
              <w:pStyle w:val="45"/>
              <w:rPr>
                <w:rFonts w:hint="default"/>
              </w:rPr>
            </w:pPr>
            <w:r>
              <w:t xml:space="preserve">1149825.80 </w:t>
            </w:r>
          </w:p>
        </w:tc>
      </w:tr>
      <w:tr w14:paraId="7AFD3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6654F24D">
            <w:pPr>
              <w:pStyle w:val="45"/>
              <w:rPr>
                <w:rFonts w:hint="default"/>
              </w:rPr>
            </w:pPr>
          </w:p>
        </w:tc>
        <w:tc>
          <w:tcPr>
            <w:tcW w:w="1018" w:type="dxa"/>
            <w:noWrap/>
            <w:tcMar>
              <w:top w:w="15" w:type="dxa"/>
              <w:left w:w="15" w:type="dxa"/>
              <w:right w:w="15" w:type="dxa"/>
            </w:tcMar>
            <w:vAlign w:val="center"/>
          </w:tcPr>
          <w:p w14:paraId="3221502E">
            <w:pPr>
              <w:pStyle w:val="45"/>
              <w:rPr>
                <w:rFonts w:hint="default"/>
              </w:rPr>
            </w:pPr>
            <w:r>
              <w:t>130</w:t>
            </w:r>
          </w:p>
        </w:tc>
        <w:tc>
          <w:tcPr>
            <w:tcW w:w="1121" w:type="dxa"/>
            <w:noWrap/>
            <w:tcMar>
              <w:top w:w="15" w:type="dxa"/>
              <w:left w:w="15" w:type="dxa"/>
              <w:right w:w="15" w:type="dxa"/>
            </w:tcMar>
            <w:vAlign w:val="center"/>
          </w:tcPr>
          <w:p w14:paraId="3764CF4F">
            <w:pPr>
              <w:pStyle w:val="45"/>
              <w:rPr>
                <w:rFonts w:hint="default"/>
              </w:rPr>
            </w:pPr>
            <w:r>
              <w:t xml:space="preserve">0.00 </w:t>
            </w:r>
          </w:p>
        </w:tc>
        <w:tc>
          <w:tcPr>
            <w:tcW w:w="1121" w:type="dxa"/>
            <w:noWrap/>
            <w:tcMar>
              <w:top w:w="15" w:type="dxa"/>
              <w:left w:w="15" w:type="dxa"/>
              <w:right w:w="15" w:type="dxa"/>
            </w:tcMar>
            <w:vAlign w:val="center"/>
          </w:tcPr>
          <w:p w14:paraId="7873BA18">
            <w:pPr>
              <w:pStyle w:val="45"/>
              <w:rPr>
                <w:rFonts w:hint="default"/>
              </w:rPr>
            </w:pPr>
            <w:r>
              <w:t xml:space="preserve">0.00 </w:t>
            </w:r>
          </w:p>
        </w:tc>
        <w:tc>
          <w:tcPr>
            <w:tcW w:w="1121" w:type="dxa"/>
            <w:noWrap/>
            <w:tcMar>
              <w:top w:w="15" w:type="dxa"/>
              <w:left w:w="15" w:type="dxa"/>
              <w:right w:w="15" w:type="dxa"/>
            </w:tcMar>
            <w:vAlign w:val="center"/>
          </w:tcPr>
          <w:p w14:paraId="3459D2C9">
            <w:pPr>
              <w:pStyle w:val="45"/>
              <w:rPr>
                <w:rFonts w:hint="default"/>
              </w:rPr>
            </w:pPr>
            <w:r>
              <w:t xml:space="preserve">0.00 </w:t>
            </w:r>
          </w:p>
        </w:tc>
        <w:tc>
          <w:tcPr>
            <w:tcW w:w="1121" w:type="dxa"/>
            <w:noWrap/>
            <w:tcMar>
              <w:top w:w="15" w:type="dxa"/>
              <w:left w:w="15" w:type="dxa"/>
              <w:right w:w="15" w:type="dxa"/>
            </w:tcMar>
            <w:vAlign w:val="center"/>
          </w:tcPr>
          <w:p w14:paraId="133A6B2B">
            <w:pPr>
              <w:pStyle w:val="45"/>
              <w:rPr>
                <w:rFonts w:hint="default"/>
              </w:rPr>
            </w:pPr>
            <w:r>
              <w:t xml:space="preserve">0.23 </w:t>
            </w:r>
          </w:p>
        </w:tc>
        <w:tc>
          <w:tcPr>
            <w:tcW w:w="1736" w:type="dxa"/>
            <w:noWrap/>
            <w:tcMar>
              <w:top w:w="15" w:type="dxa"/>
              <w:left w:w="15" w:type="dxa"/>
              <w:right w:w="15" w:type="dxa"/>
            </w:tcMar>
            <w:vAlign w:val="center"/>
          </w:tcPr>
          <w:p w14:paraId="7DDFD97F">
            <w:pPr>
              <w:pStyle w:val="45"/>
              <w:rPr>
                <w:rFonts w:hint="default"/>
              </w:rPr>
            </w:pPr>
            <w:r>
              <w:t xml:space="preserve">3408.33 </w:t>
            </w:r>
          </w:p>
        </w:tc>
        <w:tc>
          <w:tcPr>
            <w:tcW w:w="1736" w:type="dxa"/>
            <w:noWrap/>
            <w:tcMar>
              <w:top w:w="15" w:type="dxa"/>
              <w:left w:w="15" w:type="dxa"/>
              <w:right w:w="15" w:type="dxa"/>
            </w:tcMar>
            <w:vAlign w:val="center"/>
          </w:tcPr>
          <w:p w14:paraId="22E2809A">
            <w:pPr>
              <w:pStyle w:val="45"/>
              <w:rPr>
                <w:rFonts w:hint="default"/>
              </w:rPr>
            </w:pPr>
            <w:r>
              <w:t xml:space="preserve">568438.71 </w:t>
            </w:r>
          </w:p>
        </w:tc>
        <w:tc>
          <w:tcPr>
            <w:tcW w:w="1736" w:type="dxa"/>
            <w:noWrap/>
            <w:tcMar>
              <w:top w:w="15" w:type="dxa"/>
              <w:left w:w="15" w:type="dxa"/>
              <w:right w:w="15" w:type="dxa"/>
            </w:tcMar>
            <w:vAlign w:val="center"/>
          </w:tcPr>
          <w:p w14:paraId="5DAA110D">
            <w:pPr>
              <w:pStyle w:val="45"/>
              <w:rPr>
                <w:rFonts w:hint="default"/>
              </w:rPr>
            </w:pPr>
            <w:r>
              <w:t xml:space="preserve">1074823.77 </w:t>
            </w:r>
          </w:p>
        </w:tc>
        <w:tc>
          <w:tcPr>
            <w:tcW w:w="1736" w:type="dxa"/>
            <w:noWrap/>
            <w:tcMar>
              <w:top w:w="15" w:type="dxa"/>
              <w:left w:w="15" w:type="dxa"/>
              <w:right w:w="15" w:type="dxa"/>
            </w:tcMar>
            <w:vAlign w:val="center"/>
          </w:tcPr>
          <w:p w14:paraId="3035ADBC">
            <w:pPr>
              <w:pStyle w:val="45"/>
              <w:rPr>
                <w:rFonts w:hint="default"/>
              </w:rPr>
            </w:pPr>
            <w:r>
              <w:t xml:space="preserve">1149728.96 </w:t>
            </w:r>
          </w:p>
        </w:tc>
      </w:tr>
      <w:tr w14:paraId="6DC29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0DA3313A">
            <w:pPr>
              <w:pStyle w:val="45"/>
              <w:rPr>
                <w:rFonts w:hint="default"/>
              </w:rPr>
            </w:pPr>
          </w:p>
        </w:tc>
        <w:tc>
          <w:tcPr>
            <w:tcW w:w="1018" w:type="dxa"/>
            <w:noWrap/>
            <w:tcMar>
              <w:top w:w="15" w:type="dxa"/>
              <w:left w:w="15" w:type="dxa"/>
              <w:right w:w="15" w:type="dxa"/>
            </w:tcMar>
            <w:vAlign w:val="center"/>
          </w:tcPr>
          <w:p w14:paraId="579C80B0">
            <w:pPr>
              <w:pStyle w:val="45"/>
              <w:rPr>
                <w:rFonts w:hint="default"/>
              </w:rPr>
            </w:pPr>
            <w:r>
              <w:t>140</w:t>
            </w:r>
          </w:p>
        </w:tc>
        <w:tc>
          <w:tcPr>
            <w:tcW w:w="1121" w:type="dxa"/>
            <w:noWrap/>
            <w:tcMar>
              <w:top w:w="15" w:type="dxa"/>
              <w:left w:w="15" w:type="dxa"/>
              <w:right w:w="15" w:type="dxa"/>
            </w:tcMar>
            <w:vAlign w:val="center"/>
          </w:tcPr>
          <w:p w14:paraId="1F647C52">
            <w:pPr>
              <w:pStyle w:val="45"/>
              <w:rPr>
                <w:rFonts w:hint="default"/>
              </w:rPr>
            </w:pPr>
            <w:r>
              <w:t xml:space="preserve">0.00 </w:t>
            </w:r>
          </w:p>
        </w:tc>
        <w:tc>
          <w:tcPr>
            <w:tcW w:w="1121" w:type="dxa"/>
            <w:noWrap/>
            <w:tcMar>
              <w:top w:w="15" w:type="dxa"/>
              <w:left w:w="15" w:type="dxa"/>
              <w:right w:w="15" w:type="dxa"/>
            </w:tcMar>
            <w:vAlign w:val="center"/>
          </w:tcPr>
          <w:p w14:paraId="053ABEDE">
            <w:pPr>
              <w:pStyle w:val="45"/>
              <w:rPr>
                <w:rFonts w:hint="default"/>
              </w:rPr>
            </w:pPr>
            <w:r>
              <w:t xml:space="preserve">0.00 </w:t>
            </w:r>
          </w:p>
        </w:tc>
        <w:tc>
          <w:tcPr>
            <w:tcW w:w="1121" w:type="dxa"/>
            <w:noWrap/>
            <w:tcMar>
              <w:top w:w="15" w:type="dxa"/>
              <w:left w:w="15" w:type="dxa"/>
              <w:right w:w="15" w:type="dxa"/>
            </w:tcMar>
            <w:vAlign w:val="center"/>
          </w:tcPr>
          <w:p w14:paraId="7E7D5FD0">
            <w:pPr>
              <w:pStyle w:val="45"/>
              <w:rPr>
                <w:rFonts w:hint="default"/>
              </w:rPr>
            </w:pPr>
            <w:r>
              <w:t xml:space="preserve">0.00 </w:t>
            </w:r>
          </w:p>
        </w:tc>
        <w:tc>
          <w:tcPr>
            <w:tcW w:w="1121" w:type="dxa"/>
            <w:noWrap/>
            <w:tcMar>
              <w:top w:w="15" w:type="dxa"/>
              <w:left w:w="15" w:type="dxa"/>
              <w:right w:w="15" w:type="dxa"/>
            </w:tcMar>
            <w:vAlign w:val="center"/>
          </w:tcPr>
          <w:p w14:paraId="6EEA733D">
            <w:pPr>
              <w:pStyle w:val="45"/>
              <w:rPr>
                <w:rFonts w:hint="default"/>
              </w:rPr>
            </w:pPr>
            <w:r>
              <w:t xml:space="preserve">0.02 </w:t>
            </w:r>
          </w:p>
        </w:tc>
        <w:tc>
          <w:tcPr>
            <w:tcW w:w="1736" w:type="dxa"/>
            <w:noWrap/>
            <w:tcMar>
              <w:top w:w="15" w:type="dxa"/>
              <w:left w:w="15" w:type="dxa"/>
              <w:right w:w="15" w:type="dxa"/>
            </w:tcMar>
            <w:vAlign w:val="center"/>
          </w:tcPr>
          <w:p w14:paraId="1BFBEE17">
            <w:pPr>
              <w:pStyle w:val="45"/>
              <w:rPr>
                <w:rFonts w:hint="default"/>
              </w:rPr>
            </w:pPr>
            <w:r>
              <w:t xml:space="preserve">1130.65 </w:t>
            </w:r>
          </w:p>
        </w:tc>
        <w:tc>
          <w:tcPr>
            <w:tcW w:w="1736" w:type="dxa"/>
            <w:noWrap/>
            <w:tcMar>
              <w:top w:w="15" w:type="dxa"/>
              <w:left w:w="15" w:type="dxa"/>
              <w:right w:w="15" w:type="dxa"/>
            </w:tcMar>
            <w:vAlign w:val="center"/>
          </w:tcPr>
          <w:p w14:paraId="6A379129">
            <w:pPr>
              <w:pStyle w:val="45"/>
              <w:rPr>
                <w:rFonts w:hint="default"/>
              </w:rPr>
            </w:pPr>
            <w:r>
              <w:t xml:space="preserve">471869.45 </w:t>
            </w:r>
          </w:p>
        </w:tc>
        <w:tc>
          <w:tcPr>
            <w:tcW w:w="1736" w:type="dxa"/>
            <w:noWrap/>
            <w:tcMar>
              <w:top w:w="15" w:type="dxa"/>
              <w:left w:w="15" w:type="dxa"/>
              <w:right w:w="15" w:type="dxa"/>
            </w:tcMar>
            <w:vAlign w:val="center"/>
          </w:tcPr>
          <w:p w14:paraId="5F367240">
            <w:pPr>
              <w:pStyle w:val="45"/>
              <w:rPr>
                <w:rFonts w:hint="default"/>
              </w:rPr>
            </w:pPr>
            <w:r>
              <w:t xml:space="preserve">1048258.38 </w:t>
            </w:r>
          </w:p>
        </w:tc>
        <w:tc>
          <w:tcPr>
            <w:tcW w:w="1736" w:type="dxa"/>
            <w:noWrap/>
            <w:tcMar>
              <w:top w:w="15" w:type="dxa"/>
              <w:left w:w="15" w:type="dxa"/>
              <w:right w:w="15" w:type="dxa"/>
            </w:tcMar>
            <w:vAlign w:val="center"/>
          </w:tcPr>
          <w:p w14:paraId="45A4186F">
            <w:pPr>
              <w:pStyle w:val="45"/>
              <w:rPr>
                <w:rFonts w:hint="default"/>
              </w:rPr>
            </w:pPr>
            <w:r>
              <w:t xml:space="preserve">1149585.08 </w:t>
            </w:r>
          </w:p>
        </w:tc>
      </w:tr>
      <w:tr w14:paraId="7DEDF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0E5CC906">
            <w:pPr>
              <w:pStyle w:val="45"/>
              <w:rPr>
                <w:rFonts w:hint="default"/>
              </w:rPr>
            </w:pPr>
          </w:p>
        </w:tc>
        <w:tc>
          <w:tcPr>
            <w:tcW w:w="1018" w:type="dxa"/>
            <w:noWrap/>
            <w:tcMar>
              <w:top w:w="15" w:type="dxa"/>
              <w:left w:w="15" w:type="dxa"/>
              <w:right w:w="15" w:type="dxa"/>
            </w:tcMar>
            <w:vAlign w:val="center"/>
          </w:tcPr>
          <w:p w14:paraId="6558B383">
            <w:pPr>
              <w:pStyle w:val="45"/>
              <w:rPr>
                <w:rFonts w:hint="default"/>
              </w:rPr>
            </w:pPr>
            <w:r>
              <w:t>150</w:t>
            </w:r>
          </w:p>
        </w:tc>
        <w:tc>
          <w:tcPr>
            <w:tcW w:w="1121" w:type="dxa"/>
            <w:noWrap/>
            <w:tcMar>
              <w:top w:w="15" w:type="dxa"/>
              <w:left w:w="15" w:type="dxa"/>
              <w:right w:w="15" w:type="dxa"/>
            </w:tcMar>
            <w:vAlign w:val="center"/>
          </w:tcPr>
          <w:p w14:paraId="34C887CB">
            <w:pPr>
              <w:pStyle w:val="45"/>
              <w:rPr>
                <w:rFonts w:hint="default"/>
              </w:rPr>
            </w:pPr>
            <w:r>
              <w:t xml:space="preserve">0.00 </w:t>
            </w:r>
          </w:p>
        </w:tc>
        <w:tc>
          <w:tcPr>
            <w:tcW w:w="1121" w:type="dxa"/>
            <w:noWrap/>
            <w:tcMar>
              <w:top w:w="15" w:type="dxa"/>
              <w:left w:w="15" w:type="dxa"/>
              <w:right w:w="15" w:type="dxa"/>
            </w:tcMar>
            <w:vAlign w:val="center"/>
          </w:tcPr>
          <w:p w14:paraId="69030604">
            <w:pPr>
              <w:pStyle w:val="45"/>
              <w:rPr>
                <w:rFonts w:hint="default"/>
              </w:rPr>
            </w:pPr>
            <w:r>
              <w:t xml:space="preserve">0.00 </w:t>
            </w:r>
          </w:p>
        </w:tc>
        <w:tc>
          <w:tcPr>
            <w:tcW w:w="1121" w:type="dxa"/>
            <w:noWrap/>
            <w:tcMar>
              <w:top w:w="15" w:type="dxa"/>
              <w:left w:w="15" w:type="dxa"/>
              <w:right w:w="15" w:type="dxa"/>
            </w:tcMar>
            <w:vAlign w:val="center"/>
          </w:tcPr>
          <w:p w14:paraId="030D27C7">
            <w:pPr>
              <w:pStyle w:val="45"/>
              <w:rPr>
                <w:rFonts w:hint="default"/>
              </w:rPr>
            </w:pPr>
            <w:r>
              <w:t xml:space="preserve">0.00 </w:t>
            </w:r>
          </w:p>
        </w:tc>
        <w:tc>
          <w:tcPr>
            <w:tcW w:w="1121" w:type="dxa"/>
            <w:noWrap/>
            <w:tcMar>
              <w:top w:w="15" w:type="dxa"/>
              <w:left w:w="15" w:type="dxa"/>
              <w:right w:w="15" w:type="dxa"/>
            </w:tcMar>
            <w:vAlign w:val="center"/>
          </w:tcPr>
          <w:p w14:paraId="10421AB0">
            <w:pPr>
              <w:pStyle w:val="45"/>
              <w:rPr>
                <w:rFonts w:hint="default"/>
              </w:rPr>
            </w:pPr>
            <w:r>
              <w:t xml:space="preserve">0.00 </w:t>
            </w:r>
          </w:p>
        </w:tc>
        <w:tc>
          <w:tcPr>
            <w:tcW w:w="1736" w:type="dxa"/>
            <w:noWrap/>
            <w:tcMar>
              <w:top w:w="15" w:type="dxa"/>
              <w:left w:w="15" w:type="dxa"/>
              <w:right w:w="15" w:type="dxa"/>
            </w:tcMar>
            <w:vAlign w:val="center"/>
          </w:tcPr>
          <w:p w14:paraId="07A2F970">
            <w:pPr>
              <w:pStyle w:val="45"/>
              <w:rPr>
                <w:rFonts w:hint="default"/>
              </w:rPr>
            </w:pPr>
            <w:r>
              <w:t xml:space="preserve">337.22 </w:t>
            </w:r>
          </w:p>
        </w:tc>
        <w:tc>
          <w:tcPr>
            <w:tcW w:w="1736" w:type="dxa"/>
            <w:noWrap/>
            <w:tcMar>
              <w:top w:w="15" w:type="dxa"/>
              <w:left w:w="15" w:type="dxa"/>
              <w:right w:w="15" w:type="dxa"/>
            </w:tcMar>
            <w:vAlign w:val="center"/>
          </w:tcPr>
          <w:p w14:paraId="463055D7">
            <w:pPr>
              <w:pStyle w:val="45"/>
              <w:rPr>
                <w:rFonts w:hint="default"/>
              </w:rPr>
            </w:pPr>
            <w:r>
              <w:t xml:space="preserve">380251.92 </w:t>
            </w:r>
          </w:p>
        </w:tc>
        <w:tc>
          <w:tcPr>
            <w:tcW w:w="1736" w:type="dxa"/>
            <w:noWrap/>
            <w:tcMar>
              <w:top w:w="15" w:type="dxa"/>
              <w:left w:w="15" w:type="dxa"/>
              <w:right w:w="15" w:type="dxa"/>
            </w:tcMar>
            <w:vAlign w:val="center"/>
          </w:tcPr>
          <w:p w14:paraId="0B11FDB0">
            <w:pPr>
              <w:pStyle w:val="45"/>
              <w:rPr>
                <w:rFonts w:hint="default"/>
              </w:rPr>
            </w:pPr>
            <w:r>
              <w:t xml:space="preserve">1015476.77 </w:t>
            </w:r>
          </w:p>
        </w:tc>
        <w:tc>
          <w:tcPr>
            <w:tcW w:w="1736" w:type="dxa"/>
            <w:noWrap/>
            <w:tcMar>
              <w:top w:w="15" w:type="dxa"/>
              <w:left w:w="15" w:type="dxa"/>
              <w:right w:w="15" w:type="dxa"/>
            </w:tcMar>
            <w:vAlign w:val="center"/>
          </w:tcPr>
          <w:p w14:paraId="512BD7B7">
            <w:pPr>
              <w:pStyle w:val="45"/>
              <w:rPr>
                <w:rFonts w:hint="default"/>
              </w:rPr>
            </w:pPr>
            <w:r>
              <w:t xml:space="preserve">1149374.49 </w:t>
            </w:r>
          </w:p>
        </w:tc>
      </w:tr>
      <w:tr w14:paraId="3D630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5A15063A">
            <w:pPr>
              <w:pStyle w:val="45"/>
              <w:rPr>
                <w:rFonts w:hint="default"/>
              </w:rPr>
            </w:pPr>
          </w:p>
        </w:tc>
        <w:tc>
          <w:tcPr>
            <w:tcW w:w="1018" w:type="dxa"/>
            <w:noWrap/>
            <w:tcMar>
              <w:top w:w="15" w:type="dxa"/>
              <w:left w:w="15" w:type="dxa"/>
              <w:right w:w="15" w:type="dxa"/>
            </w:tcMar>
            <w:vAlign w:val="center"/>
          </w:tcPr>
          <w:p w14:paraId="415262FB">
            <w:pPr>
              <w:pStyle w:val="45"/>
              <w:rPr>
                <w:rFonts w:hint="default"/>
              </w:rPr>
            </w:pPr>
            <w:r>
              <w:t>160</w:t>
            </w:r>
          </w:p>
        </w:tc>
        <w:tc>
          <w:tcPr>
            <w:tcW w:w="1121" w:type="dxa"/>
            <w:noWrap/>
            <w:tcMar>
              <w:top w:w="15" w:type="dxa"/>
              <w:left w:w="15" w:type="dxa"/>
              <w:right w:w="15" w:type="dxa"/>
            </w:tcMar>
            <w:vAlign w:val="center"/>
          </w:tcPr>
          <w:p w14:paraId="7A2D37E6">
            <w:pPr>
              <w:pStyle w:val="45"/>
              <w:rPr>
                <w:rFonts w:hint="default"/>
              </w:rPr>
            </w:pPr>
            <w:r>
              <w:t xml:space="preserve">0.00 </w:t>
            </w:r>
          </w:p>
        </w:tc>
        <w:tc>
          <w:tcPr>
            <w:tcW w:w="1121" w:type="dxa"/>
            <w:noWrap/>
            <w:tcMar>
              <w:top w:w="15" w:type="dxa"/>
              <w:left w:w="15" w:type="dxa"/>
              <w:right w:w="15" w:type="dxa"/>
            </w:tcMar>
            <w:vAlign w:val="center"/>
          </w:tcPr>
          <w:p w14:paraId="672621CA">
            <w:pPr>
              <w:pStyle w:val="45"/>
              <w:rPr>
                <w:rFonts w:hint="default"/>
              </w:rPr>
            </w:pPr>
            <w:r>
              <w:t xml:space="preserve">0.00 </w:t>
            </w:r>
          </w:p>
        </w:tc>
        <w:tc>
          <w:tcPr>
            <w:tcW w:w="1121" w:type="dxa"/>
            <w:noWrap/>
            <w:tcMar>
              <w:top w:w="15" w:type="dxa"/>
              <w:left w:w="15" w:type="dxa"/>
              <w:right w:w="15" w:type="dxa"/>
            </w:tcMar>
            <w:vAlign w:val="center"/>
          </w:tcPr>
          <w:p w14:paraId="16FDD645">
            <w:pPr>
              <w:pStyle w:val="45"/>
              <w:rPr>
                <w:rFonts w:hint="default"/>
              </w:rPr>
            </w:pPr>
            <w:r>
              <w:t xml:space="preserve">0.00 </w:t>
            </w:r>
          </w:p>
        </w:tc>
        <w:tc>
          <w:tcPr>
            <w:tcW w:w="1121" w:type="dxa"/>
            <w:noWrap/>
            <w:tcMar>
              <w:top w:w="15" w:type="dxa"/>
              <w:left w:w="15" w:type="dxa"/>
              <w:right w:w="15" w:type="dxa"/>
            </w:tcMar>
            <w:vAlign w:val="center"/>
          </w:tcPr>
          <w:p w14:paraId="74A6709B">
            <w:pPr>
              <w:pStyle w:val="45"/>
              <w:rPr>
                <w:rFonts w:hint="default"/>
              </w:rPr>
            </w:pPr>
            <w:r>
              <w:t xml:space="preserve">0.00 </w:t>
            </w:r>
          </w:p>
        </w:tc>
        <w:tc>
          <w:tcPr>
            <w:tcW w:w="1736" w:type="dxa"/>
            <w:noWrap/>
            <w:tcMar>
              <w:top w:w="15" w:type="dxa"/>
              <w:left w:w="15" w:type="dxa"/>
              <w:right w:w="15" w:type="dxa"/>
            </w:tcMar>
            <w:vAlign w:val="center"/>
          </w:tcPr>
          <w:p w14:paraId="67378E1A">
            <w:pPr>
              <w:pStyle w:val="45"/>
              <w:rPr>
                <w:rFonts w:hint="default"/>
              </w:rPr>
            </w:pPr>
            <w:r>
              <w:t xml:space="preserve">90.35 </w:t>
            </w:r>
          </w:p>
        </w:tc>
        <w:tc>
          <w:tcPr>
            <w:tcW w:w="1736" w:type="dxa"/>
            <w:noWrap/>
            <w:tcMar>
              <w:top w:w="15" w:type="dxa"/>
              <w:left w:w="15" w:type="dxa"/>
              <w:right w:w="15" w:type="dxa"/>
            </w:tcMar>
            <w:vAlign w:val="center"/>
          </w:tcPr>
          <w:p w14:paraId="619E9ACA">
            <w:pPr>
              <w:pStyle w:val="45"/>
              <w:rPr>
                <w:rFonts w:hint="default"/>
              </w:rPr>
            </w:pPr>
            <w:r>
              <w:t xml:space="preserve">297033.70 </w:t>
            </w:r>
          </w:p>
        </w:tc>
        <w:tc>
          <w:tcPr>
            <w:tcW w:w="1736" w:type="dxa"/>
            <w:noWrap/>
            <w:tcMar>
              <w:top w:w="15" w:type="dxa"/>
              <w:left w:w="15" w:type="dxa"/>
              <w:right w:w="15" w:type="dxa"/>
            </w:tcMar>
            <w:vAlign w:val="center"/>
          </w:tcPr>
          <w:p w14:paraId="6842C9D6">
            <w:pPr>
              <w:pStyle w:val="45"/>
              <w:rPr>
                <w:rFonts w:hint="default"/>
              </w:rPr>
            </w:pPr>
            <w:r>
              <w:t xml:space="preserve">976056.40 </w:t>
            </w:r>
          </w:p>
        </w:tc>
        <w:tc>
          <w:tcPr>
            <w:tcW w:w="1736" w:type="dxa"/>
            <w:noWrap/>
            <w:tcMar>
              <w:top w:w="15" w:type="dxa"/>
              <w:left w:w="15" w:type="dxa"/>
              <w:right w:w="15" w:type="dxa"/>
            </w:tcMar>
            <w:vAlign w:val="center"/>
          </w:tcPr>
          <w:p w14:paraId="6C1F17E9">
            <w:pPr>
              <w:pStyle w:val="45"/>
              <w:rPr>
                <w:rFonts w:hint="default"/>
              </w:rPr>
            </w:pPr>
            <w:r>
              <w:t xml:space="preserve">1149070.78 </w:t>
            </w:r>
          </w:p>
        </w:tc>
      </w:tr>
      <w:tr w14:paraId="6DE92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2615FF08">
            <w:pPr>
              <w:pStyle w:val="45"/>
              <w:rPr>
                <w:rFonts w:hint="default"/>
              </w:rPr>
            </w:pPr>
          </w:p>
        </w:tc>
        <w:tc>
          <w:tcPr>
            <w:tcW w:w="1018" w:type="dxa"/>
            <w:noWrap/>
            <w:tcMar>
              <w:top w:w="15" w:type="dxa"/>
              <w:left w:w="15" w:type="dxa"/>
              <w:right w:w="15" w:type="dxa"/>
            </w:tcMar>
            <w:vAlign w:val="center"/>
          </w:tcPr>
          <w:p w14:paraId="526DBE55">
            <w:pPr>
              <w:pStyle w:val="45"/>
              <w:rPr>
                <w:rFonts w:hint="default"/>
              </w:rPr>
            </w:pPr>
            <w:r>
              <w:t>170</w:t>
            </w:r>
          </w:p>
        </w:tc>
        <w:tc>
          <w:tcPr>
            <w:tcW w:w="1121" w:type="dxa"/>
            <w:noWrap/>
            <w:tcMar>
              <w:top w:w="15" w:type="dxa"/>
              <w:left w:w="15" w:type="dxa"/>
              <w:right w:w="15" w:type="dxa"/>
            </w:tcMar>
            <w:vAlign w:val="center"/>
          </w:tcPr>
          <w:p w14:paraId="19F18F22">
            <w:pPr>
              <w:pStyle w:val="45"/>
              <w:rPr>
                <w:rFonts w:hint="default"/>
              </w:rPr>
            </w:pPr>
            <w:r>
              <w:t xml:space="preserve">0.00 </w:t>
            </w:r>
          </w:p>
        </w:tc>
        <w:tc>
          <w:tcPr>
            <w:tcW w:w="1121" w:type="dxa"/>
            <w:noWrap/>
            <w:tcMar>
              <w:top w:w="15" w:type="dxa"/>
              <w:left w:w="15" w:type="dxa"/>
              <w:right w:w="15" w:type="dxa"/>
            </w:tcMar>
            <w:vAlign w:val="center"/>
          </w:tcPr>
          <w:p w14:paraId="58B22731">
            <w:pPr>
              <w:pStyle w:val="45"/>
              <w:rPr>
                <w:rFonts w:hint="default"/>
              </w:rPr>
            </w:pPr>
            <w:r>
              <w:t xml:space="preserve">0.00 </w:t>
            </w:r>
          </w:p>
        </w:tc>
        <w:tc>
          <w:tcPr>
            <w:tcW w:w="1121" w:type="dxa"/>
            <w:noWrap/>
            <w:tcMar>
              <w:top w:w="15" w:type="dxa"/>
              <w:left w:w="15" w:type="dxa"/>
              <w:right w:w="15" w:type="dxa"/>
            </w:tcMar>
            <w:vAlign w:val="center"/>
          </w:tcPr>
          <w:p w14:paraId="076AED8D">
            <w:pPr>
              <w:pStyle w:val="45"/>
              <w:rPr>
                <w:rFonts w:hint="default"/>
              </w:rPr>
            </w:pPr>
            <w:r>
              <w:t xml:space="preserve">0.00 </w:t>
            </w:r>
          </w:p>
        </w:tc>
        <w:tc>
          <w:tcPr>
            <w:tcW w:w="1121" w:type="dxa"/>
            <w:noWrap/>
            <w:tcMar>
              <w:top w:w="15" w:type="dxa"/>
              <w:left w:w="15" w:type="dxa"/>
              <w:right w:w="15" w:type="dxa"/>
            </w:tcMar>
            <w:vAlign w:val="center"/>
          </w:tcPr>
          <w:p w14:paraId="047C6461">
            <w:pPr>
              <w:pStyle w:val="45"/>
              <w:rPr>
                <w:rFonts w:hint="default"/>
              </w:rPr>
            </w:pPr>
            <w:r>
              <w:t xml:space="preserve">0.00 </w:t>
            </w:r>
          </w:p>
        </w:tc>
        <w:tc>
          <w:tcPr>
            <w:tcW w:w="1736" w:type="dxa"/>
            <w:noWrap/>
            <w:tcMar>
              <w:top w:w="15" w:type="dxa"/>
              <w:left w:w="15" w:type="dxa"/>
              <w:right w:w="15" w:type="dxa"/>
            </w:tcMar>
            <w:vAlign w:val="center"/>
          </w:tcPr>
          <w:p w14:paraId="3043A19A">
            <w:pPr>
              <w:pStyle w:val="45"/>
              <w:rPr>
                <w:rFonts w:hint="default"/>
              </w:rPr>
            </w:pPr>
            <w:r>
              <w:t xml:space="preserve">21.73 </w:t>
            </w:r>
          </w:p>
        </w:tc>
        <w:tc>
          <w:tcPr>
            <w:tcW w:w="1736" w:type="dxa"/>
            <w:noWrap/>
            <w:tcMar>
              <w:top w:w="15" w:type="dxa"/>
              <w:left w:w="15" w:type="dxa"/>
              <w:right w:w="15" w:type="dxa"/>
            </w:tcMar>
            <w:vAlign w:val="center"/>
          </w:tcPr>
          <w:p w14:paraId="73CC0D30">
            <w:pPr>
              <w:pStyle w:val="45"/>
              <w:rPr>
                <w:rFonts w:hint="default"/>
              </w:rPr>
            </w:pPr>
            <w:r>
              <w:t xml:space="preserve">224637.85 </w:t>
            </w:r>
          </w:p>
        </w:tc>
        <w:tc>
          <w:tcPr>
            <w:tcW w:w="1736" w:type="dxa"/>
            <w:noWrap/>
            <w:tcMar>
              <w:top w:w="15" w:type="dxa"/>
              <w:left w:w="15" w:type="dxa"/>
              <w:right w:w="15" w:type="dxa"/>
            </w:tcMar>
            <w:vAlign w:val="center"/>
          </w:tcPr>
          <w:p w14:paraId="04B2883E">
            <w:pPr>
              <w:pStyle w:val="45"/>
              <w:rPr>
                <w:rFonts w:hint="default"/>
              </w:rPr>
            </w:pPr>
            <w:r>
              <w:t xml:space="preserve">929844.23 </w:t>
            </w:r>
          </w:p>
        </w:tc>
        <w:tc>
          <w:tcPr>
            <w:tcW w:w="1736" w:type="dxa"/>
            <w:noWrap/>
            <w:tcMar>
              <w:top w:w="15" w:type="dxa"/>
              <w:left w:w="15" w:type="dxa"/>
              <w:right w:w="15" w:type="dxa"/>
            </w:tcMar>
            <w:vAlign w:val="center"/>
          </w:tcPr>
          <w:p w14:paraId="7EEDB900">
            <w:pPr>
              <w:pStyle w:val="45"/>
              <w:rPr>
                <w:rFonts w:hint="default"/>
              </w:rPr>
            </w:pPr>
            <w:r>
              <w:t xml:space="preserve">1148638.96 </w:t>
            </w:r>
          </w:p>
        </w:tc>
      </w:tr>
      <w:tr w14:paraId="0FAD4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7DF6F53C">
            <w:pPr>
              <w:pStyle w:val="45"/>
              <w:rPr>
                <w:rFonts w:hint="default"/>
              </w:rPr>
            </w:pPr>
          </w:p>
        </w:tc>
        <w:tc>
          <w:tcPr>
            <w:tcW w:w="1018" w:type="dxa"/>
            <w:noWrap/>
            <w:tcMar>
              <w:top w:w="15" w:type="dxa"/>
              <w:left w:w="15" w:type="dxa"/>
              <w:right w:w="15" w:type="dxa"/>
            </w:tcMar>
            <w:vAlign w:val="center"/>
          </w:tcPr>
          <w:p w14:paraId="7EC30C88">
            <w:pPr>
              <w:pStyle w:val="45"/>
              <w:rPr>
                <w:rFonts w:hint="default"/>
              </w:rPr>
            </w:pPr>
            <w:r>
              <w:t>180</w:t>
            </w:r>
          </w:p>
        </w:tc>
        <w:tc>
          <w:tcPr>
            <w:tcW w:w="1121" w:type="dxa"/>
            <w:noWrap/>
            <w:tcMar>
              <w:top w:w="15" w:type="dxa"/>
              <w:left w:w="15" w:type="dxa"/>
              <w:right w:w="15" w:type="dxa"/>
            </w:tcMar>
            <w:vAlign w:val="center"/>
          </w:tcPr>
          <w:p w14:paraId="2BC194B3">
            <w:pPr>
              <w:pStyle w:val="45"/>
              <w:rPr>
                <w:rFonts w:hint="default"/>
              </w:rPr>
            </w:pPr>
            <w:r>
              <w:t xml:space="preserve">0.00 </w:t>
            </w:r>
          </w:p>
        </w:tc>
        <w:tc>
          <w:tcPr>
            <w:tcW w:w="1121" w:type="dxa"/>
            <w:noWrap/>
            <w:tcMar>
              <w:top w:w="15" w:type="dxa"/>
              <w:left w:w="15" w:type="dxa"/>
              <w:right w:w="15" w:type="dxa"/>
            </w:tcMar>
            <w:vAlign w:val="center"/>
          </w:tcPr>
          <w:p w14:paraId="35A1D4F5">
            <w:pPr>
              <w:pStyle w:val="45"/>
              <w:rPr>
                <w:rFonts w:hint="default"/>
              </w:rPr>
            </w:pPr>
            <w:r>
              <w:t xml:space="preserve">0.00 </w:t>
            </w:r>
          </w:p>
        </w:tc>
        <w:tc>
          <w:tcPr>
            <w:tcW w:w="1121" w:type="dxa"/>
            <w:noWrap/>
            <w:tcMar>
              <w:top w:w="15" w:type="dxa"/>
              <w:left w:w="15" w:type="dxa"/>
              <w:right w:w="15" w:type="dxa"/>
            </w:tcMar>
            <w:vAlign w:val="center"/>
          </w:tcPr>
          <w:p w14:paraId="5651FA16">
            <w:pPr>
              <w:pStyle w:val="45"/>
              <w:rPr>
                <w:rFonts w:hint="default"/>
              </w:rPr>
            </w:pPr>
            <w:r>
              <w:t xml:space="preserve">0.00 </w:t>
            </w:r>
          </w:p>
        </w:tc>
        <w:tc>
          <w:tcPr>
            <w:tcW w:w="1121" w:type="dxa"/>
            <w:noWrap/>
            <w:tcMar>
              <w:top w:w="15" w:type="dxa"/>
              <w:left w:w="15" w:type="dxa"/>
              <w:right w:w="15" w:type="dxa"/>
            </w:tcMar>
            <w:vAlign w:val="center"/>
          </w:tcPr>
          <w:p w14:paraId="364FE588">
            <w:pPr>
              <w:pStyle w:val="45"/>
              <w:rPr>
                <w:rFonts w:hint="default"/>
              </w:rPr>
            </w:pPr>
            <w:r>
              <w:t xml:space="preserve">0.00 </w:t>
            </w:r>
          </w:p>
        </w:tc>
        <w:tc>
          <w:tcPr>
            <w:tcW w:w="1736" w:type="dxa"/>
            <w:noWrap/>
            <w:tcMar>
              <w:top w:w="15" w:type="dxa"/>
              <w:left w:w="15" w:type="dxa"/>
              <w:right w:w="15" w:type="dxa"/>
            </w:tcMar>
            <w:vAlign w:val="center"/>
          </w:tcPr>
          <w:p w14:paraId="5BFD56E6">
            <w:pPr>
              <w:pStyle w:val="45"/>
              <w:rPr>
                <w:rFonts w:hint="default"/>
              </w:rPr>
            </w:pPr>
            <w:r>
              <w:t xml:space="preserve">4.69 </w:t>
            </w:r>
          </w:p>
        </w:tc>
        <w:tc>
          <w:tcPr>
            <w:tcW w:w="1736" w:type="dxa"/>
            <w:noWrap/>
            <w:tcMar>
              <w:top w:w="15" w:type="dxa"/>
              <w:left w:w="15" w:type="dxa"/>
              <w:right w:w="15" w:type="dxa"/>
            </w:tcMar>
            <w:vAlign w:val="center"/>
          </w:tcPr>
          <w:p w14:paraId="74E6E6DA">
            <w:pPr>
              <w:pStyle w:val="45"/>
              <w:rPr>
                <w:rFonts w:hint="default"/>
              </w:rPr>
            </w:pPr>
            <w:r>
              <w:t xml:space="preserve">164299.62 </w:t>
            </w:r>
          </w:p>
        </w:tc>
        <w:tc>
          <w:tcPr>
            <w:tcW w:w="1736" w:type="dxa"/>
            <w:noWrap/>
            <w:tcMar>
              <w:top w:w="15" w:type="dxa"/>
              <w:left w:w="15" w:type="dxa"/>
              <w:right w:w="15" w:type="dxa"/>
            </w:tcMar>
            <w:vAlign w:val="center"/>
          </w:tcPr>
          <w:p w14:paraId="6E161B12">
            <w:pPr>
              <w:pStyle w:val="45"/>
              <w:rPr>
                <w:rFonts w:hint="default"/>
              </w:rPr>
            </w:pPr>
            <w:r>
              <w:t xml:space="preserve">877014.59 </w:t>
            </w:r>
          </w:p>
        </w:tc>
        <w:tc>
          <w:tcPr>
            <w:tcW w:w="1736" w:type="dxa"/>
            <w:noWrap/>
            <w:tcMar>
              <w:top w:w="15" w:type="dxa"/>
              <w:left w:w="15" w:type="dxa"/>
              <w:right w:w="15" w:type="dxa"/>
            </w:tcMar>
            <w:vAlign w:val="center"/>
          </w:tcPr>
          <w:p w14:paraId="414B814C">
            <w:pPr>
              <w:pStyle w:val="45"/>
              <w:rPr>
                <w:rFonts w:hint="default"/>
              </w:rPr>
            </w:pPr>
            <w:r>
              <w:t xml:space="preserve">1148033.49 </w:t>
            </w:r>
          </w:p>
        </w:tc>
      </w:tr>
      <w:tr w14:paraId="1A15C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3B05FDE0">
            <w:pPr>
              <w:pStyle w:val="45"/>
              <w:rPr>
                <w:rFonts w:hint="default"/>
              </w:rPr>
            </w:pPr>
          </w:p>
        </w:tc>
        <w:tc>
          <w:tcPr>
            <w:tcW w:w="1018" w:type="dxa"/>
            <w:noWrap/>
            <w:tcMar>
              <w:top w:w="15" w:type="dxa"/>
              <w:left w:w="15" w:type="dxa"/>
              <w:right w:w="15" w:type="dxa"/>
            </w:tcMar>
            <w:vAlign w:val="center"/>
          </w:tcPr>
          <w:p w14:paraId="6634A68D">
            <w:pPr>
              <w:pStyle w:val="45"/>
              <w:rPr>
                <w:rFonts w:hint="default"/>
              </w:rPr>
            </w:pPr>
            <w:r>
              <w:t>190</w:t>
            </w:r>
          </w:p>
        </w:tc>
        <w:tc>
          <w:tcPr>
            <w:tcW w:w="1121" w:type="dxa"/>
            <w:noWrap/>
            <w:tcMar>
              <w:top w:w="15" w:type="dxa"/>
              <w:left w:w="15" w:type="dxa"/>
              <w:right w:w="15" w:type="dxa"/>
            </w:tcMar>
            <w:vAlign w:val="center"/>
          </w:tcPr>
          <w:p w14:paraId="0863DEF4">
            <w:pPr>
              <w:pStyle w:val="45"/>
              <w:rPr>
                <w:rFonts w:hint="default"/>
              </w:rPr>
            </w:pPr>
            <w:r>
              <w:t xml:space="preserve">0.00 </w:t>
            </w:r>
          </w:p>
        </w:tc>
        <w:tc>
          <w:tcPr>
            <w:tcW w:w="1121" w:type="dxa"/>
            <w:noWrap/>
            <w:tcMar>
              <w:top w:w="15" w:type="dxa"/>
              <w:left w:w="15" w:type="dxa"/>
              <w:right w:w="15" w:type="dxa"/>
            </w:tcMar>
            <w:vAlign w:val="center"/>
          </w:tcPr>
          <w:p w14:paraId="390632E4">
            <w:pPr>
              <w:pStyle w:val="45"/>
              <w:rPr>
                <w:rFonts w:hint="default"/>
              </w:rPr>
            </w:pPr>
            <w:r>
              <w:t xml:space="preserve">0.00 </w:t>
            </w:r>
          </w:p>
        </w:tc>
        <w:tc>
          <w:tcPr>
            <w:tcW w:w="1121" w:type="dxa"/>
            <w:noWrap/>
            <w:tcMar>
              <w:top w:w="15" w:type="dxa"/>
              <w:left w:w="15" w:type="dxa"/>
              <w:right w:w="15" w:type="dxa"/>
            </w:tcMar>
            <w:vAlign w:val="center"/>
          </w:tcPr>
          <w:p w14:paraId="6A33A5E4">
            <w:pPr>
              <w:pStyle w:val="45"/>
              <w:rPr>
                <w:rFonts w:hint="default"/>
              </w:rPr>
            </w:pPr>
            <w:r>
              <w:t xml:space="preserve">0.00 </w:t>
            </w:r>
          </w:p>
        </w:tc>
        <w:tc>
          <w:tcPr>
            <w:tcW w:w="1121" w:type="dxa"/>
            <w:noWrap/>
            <w:tcMar>
              <w:top w:w="15" w:type="dxa"/>
              <w:left w:w="15" w:type="dxa"/>
              <w:right w:w="15" w:type="dxa"/>
            </w:tcMar>
            <w:vAlign w:val="center"/>
          </w:tcPr>
          <w:p w14:paraId="54D4B379">
            <w:pPr>
              <w:pStyle w:val="45"/>
              <w:rPr>
                <w:rFonts w:hint="default"/>
              </w:rPr>
            </w:pPr>
            <w:r>
              <w:t xml:space="preserve">0.00 </w:t>
            </w:r>
          </w:p>
        </w:tc>
        <w:tc>
          <w:tcPr>
            <w:tcW w:w="1736" w:type="dxa"/>
            <w:noWrap/>
            <w:tcMar>
              <w:top w:w="15" w:type="dxa"/>
              <w:left w:w="15" w:type="dxa"/>
              <w:right w:w="15" w:type="dxa"/>
            </w:tcMar>
            <w:vAlign w:val="center"/>
          </w:tcPr>
          <w:p w14:paraId="0A3255CC">
            <w:pPr>
              <w:pStyle w:val="45"/>
              <w:rPr>
                <w:rFonts w:hint="default"/>
              </w:rPr>
            </w:pPr>
            <w:r>
              <w:t xml:space="preserve">0.90 </w:t>
            </w:r>
          </w:p>
        </w:tc>
        <w:tc>
          <w:tcPr>
            <w:tcW w:w="1736" w:type="dxa"/>
            <w:noWrap/>
            <w:tcMar>
              <w:top w:w="15" w:type="dxa"/>
              <w:left w:w="15" w:type="dxa"/>
              <w:right w:w="15" w:type="dxa"/>
            </w:tcMar>
            <w:vAlign w:val="center"/>
          </w:tcPr>
          <w:p w14:paraId="49FB9FFB">
            <w:pPr>
              <w:pStyle w:val="45"/>
              <w:rPr>
                <w:rFonts w:hint="default"/>
              </w:rPr>
            </w:pPr>
            <w:r>
              <w:t xml:space="preserve">116109.04 </w:t>
            </w:r>
          </w:p>
        </w:tc>
        <w:tc>
          <w:tcPr>
            <w:tcW w:w="1736" w:type="dxa"/>
            <w:noWrap/>
            <w:tcMar>
              <w:top w:w="15" w:type="dxa"/>
              <w:left w:w="15" w:type="dxa"/>
              <w:right w:w="15" w:type="dxa"/>
            </w:tcMar>
            <w:vAlign w:val="center"/>
          </w:tcPr>
          <w:p w14:paraId="08A5EAEA">
            <w:pPr>
              <w:pStyle w:val="45"/>
              <w:rPr>
                <w:rFonts w:hint="default"/>
              </w:rPr>
            </w:pPr>
            <w:r>
              <w:t xml:space="preserve">818102.63 </w:t>
            </w:r>
          </w:p>
        </w:tc>
        <w:tc>
          <w:tcPr>
            <w:tcW w:w="1736" w:type="dxa"/>
            <w:noWrap/>
            <w:tcMar>
              <w:top w:w="15" w:type="dxa"/>
              <w:left w:w="15" w:type="dxa"/>
              <w:right w:w="15" w:type="dxa"/>
            </w:tcMar>
            <w:vAlign w:val="center"/>
          </w:tcPr>
          <w:p w14:paraId="6F9ABAEC">
            <w:pPr>
              <w:pStyle w:val="45"/>
              <w:rPr>
                <w:rFonts w:hint="default"/>
              </w:rPr>
            </w:pPr>
            <w:r>
              <w:t xml:space="preserve">1147196.00 </w:t>
            </w:r>
          </w:p>
        </w:tc>
      </w:tr>
      <w:tr w14:paraId="08BF0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0A89D4E0">
            <w:pPr>
              <w:pStyle w:val="45"/>
              <w:rPr>
                <w:rFonts w:hint="default"/>
              </w:rPr>
            </w:pPr>
          </w:p>
        </w:tc>
        <w:tc>
          <w:tcPr>
            <w:tcW w:w="1018" w:type="dxa"/>
            <w:noWrap/>
            <w:tcMar>
              <w:top w:w="15" w:type="dxa"/>
              <w:left w:w="15" w:type="dxa"/>
              <w:right w:w="15" w:type="dxa"/>
            </w:tcMar>
            <w:vAlign w:val="center"/>
          </w:tcPr>
          <w:p w14:paraId="3289B1F9">
            <w:pPr>
              <w:pStyle w:val="45"/>
              <w:rPr>
                <w:rFonts w:hint="default"/>
              </w:rPr>
            </w:pPr>
            <w:r>
              <w:t>200</w:t>
            </w:r>
          </w:p>
        </w:tc>
        <w:tc>
          <w:tcPr>
            <w:tcW w:w="1121" w:type="dxa"/>
            <w:noWrap/>
            <w:tcMar>
              <w:top w:w="15" w:type="dxa"/>
              <w:left w:w="15" w:type="dxa"/>
              <w:right w:w="15" w:type="dxa"/>
            </w:tcMar>
            <w:vAlign w:val="center"/>
          </w:tcPr>
          <w:p w14:paraId="374CAEE4">
            <w:pPr>
              <w:pStyle w:val="45"/>
              <w:rPr>
                <w:rFonts w:hint="default"/>
              </w:rPr>
            </w:pPr>
            <w:r>
              <w:t xml:space="preserve">0.00 </w:t>
            </w:r>
          </w:p>
        </w:tc>
        <w:tc>
          <w:tcPr>
            <w:tcW w:w="1121" w:type="dxa"/>
            <w:noWrap/>
            <w:tcMar>
              <w:top w:w="15" w:type="dxa"/>
              <w:left w:w="15" w:type="dxa"/>
              <w:right w:w="15" w:type="dxa"/>
            </w:tcMar>
            <w:vAlign w:val="center"/>
          </w:tcPr>
          <w:p w14:paraId="50329680">
            <w:pPr>
              <w:pStyle w:val="45"/>
              <w:rPr>
                <w:rFonts w:hint="default"/>
              </w:rPr>
            </w:pPr>
            <w:r>
              <w:t xml:space="preserve">0.00 </w:t>
            </w:r>
          </w:p>
        </w:tc>
        <w:tc>
          <w:tcPr>
            <w:tcW w:w="1121" w:type="dxa"/>
            <w:noWrap/>
            <w:tcMar>
              <w:top w:w="15" w:type="dxa"/>
              <w:left w:w="15" w:type="dxa"/>
              <w:right w:w="15" w:type="dxa"/>
            </w:tcMar>
            <w:vAlign w:val="center"/>
          </w:tcPr>
          <w:p w14:paraId="38C748AA">
            <w:pPr>
              <w:pStyle w:val="45"/>
              <w:rPr>
                <w:rFonts w:hint="default"/>
              </w:rPr>
            </w:pPr>
            <w:r>
              <w:t xml:space="preserve">0.00 </w:t>
            </w:r>
          </w:p>
        </w:tc>
        <w:tc>
          <w:tcPr>
            <w:tcW w:w="1121" w:type="dxa"/>
            <w:noWrap/>
            <w:tcMar>
              <w:top w:w="15" w:type="dxa"/>
              <w:left w:w="15" w:type="dxa"/>
              <w:right w:w="15" w:type="dxa"/>
            </w:tcMar>
            <w:vAlign w:val="center"/>
          </w:tcPr>
          <w:p w14:paraId="63B89A75">
            <w:pPr>
              <w:pStyle w:val="45"/>
              <w:rPr>
                <w:rFonts w:hint="default"/>
              </w:rPr>
            </w:pPr>
            <w:r>
              <w:t xml:space="preserve">0.00 </w:t>
            </w:r>
          </w:p>
        </w:tc>
        <w:tc>
          <w:tcPr>
            <w:tcW w:w="1736" w:type="dxa"/>
            <w:noWrap/>
            <w:tcMar>
              <w:top w:w="15" w:type="dxa"/>
              <w:left w:w="15" w:type="dxa"/>
              <w:right w:w="15" w:type="dxa"/>
            </w:tcMar>
            <w:vAlign w:val="center"/>
          </w:tcPr>
          <w:p w14:paraId="59661350">
            <w:pPr>
              <w:pStyle w:val="45"/>
              <w:rPr>
                <w:rFonts w:hint="default"/>
              </w:rPr>
            </w:pPr>
            <w:r>
              <w:t xml:space="preserve">0.10 </w:t>
            </w:r>
          </w:p>
        </w:tc>
        <w:tc>
          <w:tcPr>
            <w:tcW w:w="1736" w:type="dxa"/>
            <w:noWrap/>
            <w:tcMar>
              <w:top w:w="15" w:type="dxa"/>
              <w:left w:w="15" w:type="dxa"/>
              <w:right w:w="15" w:type="dxa"/>
            </w:tcMar>
            <w:vAlign w:val="center"/>
          </w:tcPr>
          <w:p w14:paraId="353D935D">
            <w:pPr>
              <w:pStyle w:val="45"/>
              <w:rPr>
                <w:rFonts w:hint="default"/>
              </w:rPr>
            </w:pPr>
            <w:r>
              <w:t xml:space="preserve">79218.68 </w:t>
            </w:r>
          </w:p>
        </w:tc>
        <w:tc>
          <w:tcPr>
            <w:tcW w:w="1736" w:type="dxa"/>
            <w:noWrap/>
            <w:tcMar>
              <w:top w:w="15" w:type="dxa"/>
              <w:left w:w="15" w:type="dxa"/>
              <w:right w:w="15" w:type="dxa"/>
            </w:tcMar>
            <w:vAlign w:val="center"/>
          </w:tcPr>
          <w:p w14:paraId="364D1ACE">
            <w:pPr>
              <w:pStyle w:val="45"/>
              <w:rPr>
                <w:rFonts w:hint="default"/>
              </w:rPr>
            </w:pPr>
            <w:r>
              <w:t xml:space="preserve">754006.13 </w:t>
            </w:r>
          </w:p>
        </w:tc>
        <w:tc>
          <w:tcPr>
            <w:tcW w:w="1736" w:type="dxa"/>
            <w:noWrap/>
            <w:tcMar>
              <w:top w:w="15" w:type="dxa"/>
              <w:left w:w="15" w:type="dxa"/>
              <w:right w:w="15" w:type="dxa"/>
            </w:tcMar>
            <w:vAlign w:val="center"/>
          </w:tcPr>
          <w:p w14:paraId="048842E0">
            <w:pPr>
              <w:pStyle w:val="45"/>
              <w:rPr>
                <w:rFonts w:hint="default"/>
              </w:rPr>
            </w:pPr>
            <w:r>
              <w:t xml:space="preserve">1146053.01 </w:t>
            </w:r>
          </w:p>
        </w:tc>
      </w:tr>
      <w:tr w14:paraId="27BB1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72550102">
            <w:pPr>
              <w:pStyle w:val="45"/>
              <w:rPr>
                <w:rFonts w:hint="default"/>
              </w:rPr>
            </w:pPr>
          </w:p>
        </w:tc>
        <w:tc>
          <w:tcPr>
            <w:tcW w:w="1018" w:type="dxa"/>
            <w:noWrap/>
            <w:tcMar>
              <w:top w:w="15" w:type="dxa"/>
              <w:left w:w="15" w:type="dxa"/>
              <w:right w:w="15" w:type="dxa"/>
            </w:tcMar>
            <w:vAlign w:val="center"/>
          </w:tcPr>
          <w:p w14:paraId="28A5EACC">
            <w:pPr>
              <w:pStyle w:val="45"/>
              <w:rPr>
                <w:rFonts w:hint="default"/>
              </w:rPr>
            </w:pPr>
            <w:r>
              <w:t>250</w:t>
            </w:r>
          </w:p>
        </w:tc>
        <w:tc>
          <w:tcPr>
            <w:tcW w:w="1121" w:type="dxa"/>
            <w:noWrap/>
            <w:tcMar>
              <w:top w:w="15" w:type="dxa"/>
              <w:left w:w="15" w:type="dxa"/>
              <w:right w:w="15" w:type="dxa"/>
            </w:tcMar>
            <w:vAlign w:val="center"/>
          </w:tcPr>
          <w:p w14:paraId="6E0C3A15">
            <w:pPr>
              <w:pStyle w:val="45"/>
              <w:rPr>
                <w:rFonts w:hint="default"/>
              </w:rPr>
            </w:pPr>
            <w:r>
              <w:t xml:space="preserve">0.00 </w:t>
            </w:r>
          </w:p>
        </w:tc>
        <w:tc>
          <w:tcPr>
            <w:tcW w:w="1121" w:type="dxa"/>
            <w:noWrap/>
            <w:tcMar>
              <w:top w:w="15" w:type="dxa"/>
              <w:left w:w="15" w:type="dxa"/>
              <w:right w:w="15" w:type="dxa"/>
            </w:tcMar>
            <w:vAlign w:val="center"/>
          </w:tcPr>
          <w:p w14:paraId="52AC7890">
            <w:pPr>
              <w:pStyle w:val="45"/>
              <w:rPr>
                <w:rFonts w:hint="default"/>
              </w:rPr>
            </w:pPr>
            <w:r>
              <w:t xml:space="preserve">0.00 </w:t>
            </w:r>
          </w:p>
        </w:tc>
        <w:tc>
          <w:tcPr>
            <w:tcW w:w="1121" w:type="dxa"/>
            <w:noWrap/>
            <w:tcMar>
              <w:top w:w="15" w:type="dxa"/>
              <w:left w:w="15" w:type="dxa"/>
              <w:right w:w="15" w:type="dxa"/>
            </w:tcMar>
            <w:vAlign w:val="center"/>
          </w:tcPr>
          <w:p w14:paraId="47F3DA24">
            <w:pPr>
              <w:pStyle w:val="45"/>
              <w:rPr>
                <w:rFonts w:hint="default"/>
              </w:rPr>
            </w:pPr>
            <w:r>
              <w:t xml:space="preserve">0.00 </w:t>
            </w:r>
          </w:p>
        </w:tc>
        <w:tc>
          <w:tcPr>
            <w:tcW w:w="1121" w:type="dxa"/>
            <w:noWrap/>
            <w:tcMar>
              <w:top w:w="15" w:type="dxa"/>
              <w:left w:w="15" w:type="dxa"/>
              <w:right w:w="15" w:type="dxa"/>
            </w:tcMar>
            <w:vAlign w:val="center"/>
          </w:tcPr>
          <w:p w14:paraId="5464EF70">
            <w:pPr>
              <w:pStyle w:val="45"/>
              <w:rPr>
                <w:rFonts w:hint="default"/>
              </w:rPr>
            </w:pPr>
            <w:r>
              <w:t xml:space="preserve">0.00 </w:t>
            </w:r>
          </w:p>
        </w:tc>
        <w:tc>
          <w:tcPr>
            <w:tcW w:w="1736" w:type="dxa"/>
            <w:noWrap/>
            <w:tcMar>
              <w:top w:w="15" w:type="dxa"/>
              <w:left w:w="15" w:type="dxa"/>
              <w:right w:w="15" w:type="dxa"/>
            </w:tcMar>
            <w:vAlign w:val="center"/>
          </w:tcPr>
          <w:p w14:paraId="60C7CA3D">
            <w:pPr>
              <w:pStyle w:val="45"/>
              <w:rPr>
                <w:rFonts w:hint="default"/>
              </w:rPr>
            </w:pPr>
            <w:r>
              <w:t xml:space="preserve">0.00 </w:t>
            </w:r>
          </w:p>
        </w:tc>
        <w:tc>
          <w:tcPr>
            <w:tcW w:w="1736" w:type="dxa"/>
            <w:noWrap/>
            <w:tcMar>
              <w:top w:w="15" w:type="dxa"/>
              <w:left w:w="15" w:type="dxa"/>
              <w:right w:w="15" w:type="dxa"/>
            </w:tcMar>
            <w:vAlign w:val="center"/>
          </w:tcPr>
          <w:p w14:paraId="1110091B">
            <w:pPr>
              <w:pStyle w:val="45"/>
              <w:rPr>
                <w:rFonts w:hint="default"/>
              </w:rPr>
            </w:pPr>
            <w:r>
              <w:t xml:space="preserve">6769.64 </w:t>
            </w:r>
          </w:p>
        </w:tc>
        <w:tc>
          <w:tcPr>
            <w:tcW w:w="1736" w:type="dxa"/>
            <w:noWrap/>
            <w:tcMar>
              <w:top w:w="15" w:type="dxa"/>
              <w:left w:w="15" w:type="dxa"/>
              <w:right w:w="15" w:type="dxa"/>
            </w:tcMar>
            <w:vAlign w:val="center"/>
          </w:tcPr>
          <w:p w14:paraId="413D3401">
            <w:pPr>
              <w:pStyle w:val="45"/>
              <w:rPr>
                <w:rFonts w:hint="default"/>
              </w:rPr>
            </w:pPr>
            <w:r>
              <w:t xml:space="preserve">405666.54 </w:t>
            </w:r>
          </w:p>
        </w:tc>
        <w:tc>
          <w:tcPr>
            <w:tcW w:w="1736" w:type="dxa"/>
            <w:noWrap/>
            <w:tcMar>
              <w:top w:w="15" w:type="dxa"/>
              <w:left w:w="15" w:type="dxa"/>
              <w:right w:w="15" w:type="dxa"/>
            </w:tcMar>
            <w:vAlign w:val="center"/>
          </w:tcPr>
          <w:p w14:paraId="71D0A430">
            <w:pPr>
              <w:pStyle w:val="45"/>
              <w:rPr>
                <w:rFonts w:hint="default"/>
              </w:rPr>
            </w:pPr>
            <w:r>
              <w:t xml:space="preserve">1131844.75 </w:t>
            </w:r>
          </w:p>
        </w:tc>
      </w:tr>
      <w:tr w14:paraId="48D70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44FBD909">
            <w:pPr>
              <w:pStyle w:val="45"/>
              <w:rPr>
                <w:rFonts w:hint="default"/>
              </w:rPr>
            </w:pPr>
          </w:p>
        </w:tc>
        <w:tc>
          <w:tcPr>
            <w:tcW w:w="1018" w:type="dxa"/>
            <w:noWrap/>
            <w:tcMar>
              <w:top w:w="15" w:type="dxa"/>
              <w:left w:w="15" w:type="dxa"/>
              <w:right w:w="15" w:type="dxa"/>
            </w:tcMar>
            <w:vAlign w:val="center"/>
          </w:tcPr>
          <w:p w14:paraId="30DA96CC">
            <w:pPr>
              <w:pStyle w:val="45"/>
              <w:rPr>
                <w:rFonts w:hint="default"/>
              </w:rPr>
            </w:pPr>
            <w:r>
              <w:t>300</w:t>
            </w:r>
          </w:p>
        </w:tc>
        <w:tc>
          <w:tcPr>
            <w:tcW w:w="1121" w:type="dxa"/>
            <w:noWrap/>
            <w:tcMar>
              <w:top w:w="15" w:type="dxa"/>
              <w:left w:w="15" w:type="dxa"/>
              <w:right w:w="15" w:type="dxa"/>
            </w:tcMar>
            <w:vAlign w:val="center"/>
          </w:tcPr>
          <w:p w14:paraId="77A5E9CE">
            <w:pPr>
              <w:pStyle w:val="45"/>
              <w:rPr>
                <w:rFonts w:hint="default"/>
              </w:rPr>
            </w:pPr>
            <w:r>
              <w:t xml:space="preserve">0.00 </w:t>
            </w:r>
          </w:p>
        </w:tc>
        <w:tc>
          <w:tcPr>
            <w:tcW w:w="1121" w:type="dxa"/>
            <w:noWrap/>
            <w:tcMar>
              <w:top w:w="15" w:type="dxa"/>
              <w:left w:w="15" w:type="dxa"/>
              <w:right w:w="15" w:type="dxa"/>
            </w:tcMar>
            <w:vAlign w:val="center"/>
          </w:tcPr>
          <w:p w14:paraId="1B7B509B">
            <w:pPr>
              <w:pStyle w:val="45"/>
              <w:rPr>
                <w:rFonts w:hint="default"/>
              </w:rPr>
            </w:pPr>
            <w:r>
              <w:t xml:space="preserve">0.00 </w:t>
            </w:r>
          </w:p>
        </w:tc>
        <w:tc>
          <w:tcPr>
            <w:tcW w:w="1121" w:type="dxa"/>
            <w:noWrap/>
            <w:tcMar>
              <w:top w:w="15" w:type="dxa"/>
              <w:left w:w="15" w:type="dxa"/>
              <w:right w:w="15" w:type="dxa"/>
            </w:tcMar>
            <w:vAlign w:val="center"/>
          </w:tcPr>
          <w:p w14:paraId="6C02A35D">
            <w:pPr>
              <w:pStyle w:val="45"/>
              <w:rPr>
                <w:rFonts w:hint="default"/>
              </w:rPr>
            </w:pPr>
            <w:r>
              <w:t xml:space="preserve">0.00 </w:t>
            </w:r>
          </w:p>
        </w:tc>
        <w:tc>
          <w:tcPr>
            <w:tcW w:w="1121" w:type="dxa"/>
            <w:noWrap/>
            <w:tcMar>
              <w:top w:w="15" w:type="dxa"/>
              <w:left w:w="15" w:type="dxa"/>
              <w:right w:w="15" w:type="dxa"/>
            </w:tcMar>
            <w:vAlign w:val="center"/>
          </w:tcPr>
          <w:p w14:paraId="1C4893F3">
            <w:pPr>
              <w:pStyle w:val="45"/>
              <w:rPr>
                <w:rFonts w:hint="default"/>
              </w:rPr>
            </w:pPr>
            <w:r>
              <w:t xml:space="preserve">0.00 </w:t>
            </w:r>
          </w:p>
        </w:tc>
        <w:tc>
          <w:tcPr>
            <w:tcW w:w="1736" w:type="dxa"/>
            <w:noWrap/>
            <w:tcMar>
              <w:top w:w="15" w:type="dxa"/>
              <w:left w:w="15" w:type="dxa"/>
              <w:right w:w="15" w:type="dxa"/>
            </w:tcMar>
            <w:vAlign w:val="center"/>
          </w:tcPr>
          <w:p w14:paraId="13D7E893">
            <w:pPr>
              <w:pStyle w:val="45"/>
              <w:rPr>
                <w:rFonts w:hint="default"/>
              </w:rPr>
            </w:pPr>
            <w:r>
              <w:t xml:space="preserve">0.00 </w:t>
            </w:r>
          </w:p>
        </w:tc>
        <w:tc>
          <w:tcPr>
            <w:tcW w:w="1736" w:type="dxa"/>
            <w:noWrap/>
            <w:tcMar>
              <w:top w:w="15" w:type="dxa"/>
              <w:left w:w="15" w:type="dxa"/>
              <w:right w:w="15" w:type="dxa"/>
            </w:tcMar>
            <w:vAlign w:val="center"/>
          </w:tcPr>
          <w:p w14:paraId="5B5E81CD">
            <w:pPr>
              <w:pStyle w:val="45"/>
              <w:rPr>
                <w:rFonts w:hint="default"/>
              </w:rPr>
            </w:pPr>
            <w:r>
              <w:t xml:space="preserve">154.35 </w:t>
            </w:r>
          </w:p>
        </w:tc>
        <w:tc>
          <w:tcPr>
            <w:tcW w:w="1736" w:type="dxa"/>
            <w:noWrap/>
            <w:tcMar>
              <w:top w:w="15" w:type="dxa"/>
              <w:left w:w="15" w:type="dxa"/>
              <w:right w:w="15" w:type="dxa"/>
            </w:tcMar>
            <w:vAlign w:val="center"/>
          </w:tcPr>
          <w:p w14:paraId="717B05F4">
            <w:pPr>
              <w:pStyle w:val="45"/>
              <w:rPr>
                <w:rFonts w:hint="default"/>
              </w:rPr>
            </w:pPr>
            <w:r>
              <w:t xml:space="preserve">143726.69 </w:t>
            </w:r>
          </w:p>
        </w:tc>
        <w:tc>
          <w:tcPr>
            <w:tcW w:w="1736" w:type="dxa"/>
            <w:noWrap/>
            <w:tcMar>
              <w:top w:w="15" w:type="dxa"/>
              <w:left w:w="15" w:type="dxa"/>
              <w:right w:w="15" w:type="dxa"/>
            </w:tcMar>
            <w:vAlign w:val="center"/>
          </w:tcPr>
          <w:p w14:paraId="48C36028">
            <w:pPr>
              <w:pStyle w:val="45"/>
              <w:rPr>
                <w:rFonts w:hint="default"/>
              </w:rPr>
            </w:pPr>
            <w:r>
              <w:t xml:space="preserve">1087421.45 </w:t>
            </w:r>
          </w:p>
        </w:tc>
      </w:tr>
      <w:tr w14:paraId="2CD2F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38E10ABD">
            <w:pPr>
              <w:pStyle w:val="45"/>
              <w:rPr>
                <w:rFonts w:hint="default"/>
              </w:rPr>
            </w:pPr>
          </w:p>
        </w:tc>
        <w:tc>
          <w:tcPr>
            <w:tcW w:w="1018" w:type="dxa"/>
            <w:noWrap/>
            <w:tcMar>
              <w:top w:w="15" w:type="dxa"/>
              <w:left w:w="15" w:type="dxa"/>
              <w:right w:w="15" w:type="dxa"/>
            </w:tcMar>
            <w:vAlign w:val="center"/>
          </w:tcPr>
          <w:p w14:paraId="7C7E83D5">
            <w:pPr>
              <w:pStyle w:val="45"/>
              <w:rPr>
                <w:rFonts w:hint="default"/>
              </w:rPr>
            </w:pPr>
            <w:r>
              <w:t>350</w:t>
            </w:r>
          </w:p>
        </w:tc>
        <w:tc>
          <w:tcPr>
            <w:tcW w:w="1121" w:type="dxa"/>
            <w:noWrap/>
            <w:tcMar>
              <w:top w:w="15" w:type="dxa"/>
              <w:left w:w="15" w:type="dxa"/>
              <w:right w:w="15" w:type="dxa"/>
            </w:tcMar>
            <w:vAlign w:val="center"/>
          </w:tcPr>
          <w:p w14:paraId="69EC6611">
            <w:pPr>
              <w:pStyle w:val="45"/>
              <w:rPr>
                <w:rFonts w:hint="default"/>
              </w:rPr>
            </w:pPr>
            <w:r>
              <w:t xml:space="preserve">0.00 </w:t>
            </w:r>
          </w:p>
        </w:tc>
        <w:tc>
          <w:tcPr>
            <w:tcW w:w="1121" w:type="dxa"/>
            <w:noWrap/>
            <w:tcMar>
              <w:top w:w="15" w:type="dxa"/>
              <w:left w:w="15" w:type="dxa"/>
              <w:right w:w="15" w:type="dxa"/>
            </w:tcMar>
            <w:vAlign w:val="center"/>
          </w:tcPr>
          <w:p w14:paraId="3E3A57FE">
            <w:pPr>
              <w:pStyle w:val="45"/>
              <w:rPr>
                <w:rFonts w:hint="default"/>
              </w:rPr>
            </w:pPr>
            <w:r>
              <w:t xml:space="preserve">0.00 </w:t>
            </w:r>
          </w:p>
        </w:tc>
        <w:tc>
          <w:tcPr>
            <w:tcW w:w="1121" w:type="dxa"/>
            <w:noWrap/>
            <w:tcMar>
              <w:top w:w="15" w:type="dxa"/>
              <w:left w:w="15" w:type="dxa"/>
              <w:right w:w="15" w:type="dxa"/>
            </w:tcMar>
            <w:vAlign w:val="center"/>
          </w:tcPr>
          <w:p w14:paraId="569CC415">
            <w:pPr>
              <w:pStyle w:val="45"/>
              <w:rPr>
                <w:rFonts w:hint="default"/>
              </w:rPr>
            </w:pPr>
            <w:r>
              <w:t xml:space="preserve">0.00 </w:t>
            </w:r>
          </w:p>
        </w:tc>
        <w:tc>
          <w:tcPr>
            <w:tcW w:w="1121" w:type="dxa"/>
            <w:noWrap/>
            <w:tcMar>
              <w:top w:w="15" w:type="dxa"/>
              <w:left w:w="15" w:type="dxa"/>
              <w:right w:w="15" w:type="dxa"/>
            </w:tcMar>
            <w:vAlign w:val="center"/>
          </w:tcPr>
          <w:p w14:paraId="4D17F494">
            <w:pPr>
              <w:pStyle w:val="45"/>
              <w:rPr>
                <w:rFonts w:hint="default"/>
              </w:rPr>
            </w:pPr>
            <w:r>
              <w:t xml:space="preserve">0.00 </w:t>
            </w:r>
          </w:p>
        </w:tc>
        <w:tc>
          <w:tcPr>
            <w:tcW w:w="1736" w:type="dxa"/>
            <w:noWrap/>
            <w:tcMar>
              <w:top w:w="15" w:type="dxa"/>
              <w:left w:w="15" w:type="dxa"/>
              <w:right w:w="15" w:type="dxa"/>
            </w:tcMar>
            <w:vAlign w:val="center"/>
          </w:tcPr>
          <w:p w14:paraId="15946B64">
            <w:pPr>
              <w:pStyle w:val="45"/>
              <w:rPr>
                <w:rFonts w:hint="default"/>
              </w:rPr>
            </w:pPr>
            <w:r>
              <w:t xml:space="preserve">0.00 </w:t>
            </w:r>
          </w:p>
        </w:tc>
        <w:tc>
          <w:tcPr>
            <w:tcW w:w="1736" w:type="dxa"/>
            <w:noWrap/>
            <w:tcMar>
              <w:top w:w="15" w:type="dxa"/>
              <w:left w:w="15" w:type="dxa"/>
              <w:right w:w="15" w:type="dxa"/>
            </w:tcMar>
            <w:vAlign w:val="center"/>
          </w:tcPr>
          <w:p w14:paraId="0096D99A">
            <w:pPr>
              <w:pStyle w:val="45"/>
              <w:rPr>
                <w:rFonts w:hint="default"/>
              </w:rPr>
            </w:pPr>
            <w:r>
              <w:t xml:space="preserve">1.85 </w:t>
            </w:r>
          </w:p>
        </w:tc>
        <w:tc>
          <w:tcPr>
            <w:tcW w:w="1736" w:type="dxa"/>
            <w:noWrap/>
            <w:tcMar>
              <w:top w:w="15" w:type="dxa"/>
              <w:left w:w="15" w:type="dxa"/>
              <w:right w:w="15" w:type="dxa"/>
            </w:tcMar>
            <w:vAlign w:val="center"/>
          </w:tcPr>
          <w:p w14:paraId="55127591">
            <w:pPr>
              <w:pStyle w:val="45"/>
              <w:rPr>
                <w:rFonts w:hint="default"/>
              </w:rPr>
            </w:pPr>
            <w:r>
              <w:t xml:space="preserve">24828.48 </w:t>
            </w:r>
          </w:p>
        </w:tc>
        <w:tc>
          <w:tcPr>
            <w:tcW w:w="1736" w:type="dxa"/>
            <w:noWrap/>
            <w:tcMar>
              <w:top w:w="15" w:type="dxa"/>
              <w:left w:w="15" w:type="dxa"/>
              <w:right w:w="15" w:type="dxa"/>
            </w:tcMar>
            <w:vAlign w:val="center"/>
          </w:tcPr>
          <w:p w14:paraId="7A2B3205">
            <w:pPr>
              <w:pStyle w:val="45"/>
              <w:rPr>
                <w:rFonts w:hint="default"/>
              </w:rPr>
            </w:pPr>
            <w:r>
              <w:t xml:space="preserve">948125.25 </w:t>
            </w:r>
          </w:p>
        </w:tc>
      </w:tr>
      <w:tr w14:paraId="625D8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58497C61">
            <w:pPr>
              <w:pStyle w:val="45"/>
              <w:rPr>
                <w:rFonts w:hint="default"/>
              </w:rPr>
            </w:pPr>
          </w:p>
        </w:tc>
        <w:tc>
          <w:tcPr>
            <w:tcW w:w="1018" w:type="dxa"/>
            <w:noWrap/>
            <w:tcMar>
              <w:top w:w="15" w:type="dxa"/>
              <w:left w:w="15" w:type="dxa"/>
              <w:right w:w="15" w:type="dxa"/>
            </w:tcMar>
            <w:vAlign w:val="center"/>
          </w:tcPr>
          <w:p w14:paraId="3C0BC5DA">
            <w:pPr>
              <w:pStyle w:val="45"/>
              <w:rPr>
                <w:rFonts w:hint="default"/>
              </w:rPr>
            </w:pPr>
            <w:r>
              <w:t>400</w:t>
            </w:r>
          </w:p>
        </w:tc>
        <w:tc>
          <w:tcPr>
            <w:tcW w:w="1121" w:type="dxa"/>
            <w:noWrap/>
            <w:tcMar>
              <w:top w:w="15" w:type="dxa"/>
              <w:left w:w="15" w:type="dxa"/>
              <w:right w:w="15" w:type="dxa"/>
            </w:tcMar>
            <w:vAlign w:val="center"/>
          </w:tcPr>
          <w:p w14:paraId="50233AD5">
            <w:pPr>
              <w:pStyle w:val="45"/>
              <w:rPr>
                <w:rFonts w:hint="default"/>
              </w:rPr>
            </w:pPr>
            <w:r>
              <w:t xml:space="preserve">0.00 </w:t>
            </w:r>
          </w:p>
        </w:tc>
        <w:tc>
          <w:tcPr>
            <w:tcW w:w="1121" w:type="dxa"/>
            <w:noWrap/>
            <w:tcMar>
              <w:top w:w="15" w:type="dxa"/>
              <w:left w:w="15" w:type="dxa"/>
              <w:right w:w="15" w:type="dxa"/>
            </w:tcMar>
            <w:vAlign w:val="center"/>
          </w:tcPr>
          <w:p w14:paraId="75ACF769">
            <w:pPr>
              <w:pStyle w:val="45"/>
              <w:rPr>
                <w:rFonts w:hint="default"/>
              </w:rPr>
            </w:pPr>
            <w:r>
              <w:t xml:space="preserve">0.00 </w:t>
            </w:r>
          </w:p>
        </w:tc>
        <w:tc>
          <w:tcPr>
            <w:tcW w:w="1121" w:type="dxa"/>
            <w:noWrap/>
            <w:tcMar>
              <w:top w:w="15" w:type="dxa"/>
              <w:left w:w="15" w:type="dxa"/>
              <w:right w:w="15" w:type="dxa"/>
            </w:tcMar>
            <w:vAlign w:val="center"/>
          </w:tcPr>
          <w:p w14:paraId="0F644770">
            <w:pPr>
              <w:pStyle w:val="45"/>
              <w:rPr>
                <w:rFonts w:hint="default"/>
              </w:rPr>
            </w:pPr>
            <w:r>
              <w:t xml:space="preserve">0.00 </w:t>
            </w:r>
          </w:p>
        </w:tc>
        <w:tc>
          <w:tcPr>
            <w:tcW w:w="1121" w:type="dxa"/>
            <w:noWrap/>
            <w:tcMar>
              <w:top w:w="15" w:type="dxa"/>
              <w:left w:w="15" w:type="dxa"/>
              <w:right w:w="15" w:type="dxa"/>
            </w:tcMar>
            <w:vAlign w:val="center"/>
          </w:tcPr>
          <w:p w14:paraId="7D046620">
            <w:pPr>
              <w:pStyle w:val="45"/>
              <w:rPr>
                <w:rFonts w:hint="default"/>
              </w:rPr>
            </w:pPr>
            <w:r>
              <w:t xml:space="preserve">0.00 </w:t>
            </w:r>
          </w:p>
        </w:tc>
        <w:tc>
          <w:tcPr>
            <w:tcW w:w="1736" w:type="dxa"/>
            <w:noWrap/>
            <w:tcMar>
              <w:top w:w="15" w:type="dxa"/>
              <w:left w:w="15" w:type="dxa"/>
              <w:right w:w="15" w:type="dxa"/>
            </w:tcMar>
            <w:vAlign w:val="center"/>
          </w:tcPr>
          <w:p w14:paraId="7E0A949A">
            <w:pPr>
              <w:pStyle w:val="45"/>
              <w:rPr>
                <w:rFonts w:hint="default"/>
              </w:rPr>
            </w:pPr>
            <w:r>
              <w:t xml:space="preserve">0.00 </w:t>
            </w:r>
          </w:p>
        </w:tc>
        <w:tc>
          <w:tcPr>
            <w:tcW w:w="1736" w:type="dxa"/>
            <w:noWrap/>
            <w:tcMar>
              <w:top w:w="15" w:type="dxa"/>
              <w:left w:w="15" w:type="dxa"/>
              <w:right w:w="15" w:type="dxa"/>
            </w:tcMar>
            <w:vAlign w:val="center"/>
          </w:tcPr>
          <w:p w14:paraId="67F52E67">
            <w:pPr>
              <w:pStyle w:val="45"/>
              <w:rPr>
                <w:rFonts w:hint="default"/>
              </w:rPr>
            </w:pPr>
            <w:r>
              <w:t xml:space="preserve">0.01 </w:t>
            </w:r>
          </w:p>
        </w:tc>
        <w:tc>
          <w:tcPr>
            <w:tcW w:w="1736" w:type="dxa"/>
            <w:noWrap/>
            <w:tcMar>
              <w:top w:w="15" w:type="dxa"/>
              <w:left w:w="15" w:type="dxa"/>
              <w:right w:w="15" w:type="dxa"/>
            </w:tcMar>
            <w:vAlign w:val="center"/>
          </w:tcPr>
          <w:p w14:paraId="5AAFC6A7">
            <w:pPr>
              <w:pStyle w:val="45"/>
              <w:rPr>
                <w:rFonts w:hint="default"/>
              </w:rPr>
            </w:pPr>
            <w:r>
              <w:t xml:space="preserve">3160.17 </w:t>
            </w:r>
          </w:p>
        </w:tc>
        <w:tc>
          <w:tcPr>
            <w:tcW w:w="1736" w:type="dxa"/>
            <w:noWrap/>
            <w:tcMar>
              <w:top w:w="15" w:type="dxa"/>
              <w:left w:w="15" w:type="dxa"/>
              <w:right w:w="15" w:type="dxa"/>
            </w:tcMar>
            <w:vAlign w:val="center"/>
          </w:tcPr>
          <w:p w14:paraId="112DCB0B">
            <w:pPr>
              <w:pStyle w:val="45"/>
              <w:rPr>
                <w:rFonts w:hint="default"/>
              </w:rPr>
            </w:pPr>
            <w:r>
              <w:t xml:space="preserve">754862.42 </w:t>
            </w:r>
          </w:p>
        </w:tc>
      </w:tr>
      <w:tr w14:paraId="72EA8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54582645">
            <w:pPr>
              <w:pStyle w:val="45"/>
              <w:rPr>
                <w:rFonts w:hint="default"/>
              </w:rPr>
            </w:pPr>
          </w:p>
        </w:tc>
        <w:tc>
          <w:tcPr>
            <w:tcW w:w="1018" w:type="dxa"/>
            <w:noWrap/>
            <w:tcMar>
              <w:top w:w="15" w:type="dxa"/>
              <w:left w:w="15" w:type="dxa"/>
              <w:right w:w="15" w:type="dxa"/>
            </w:tcMar>
            <w:vAlign w:val="center"/>
          </w:tcPr>
          <w:p w14:paraId="3F93E11C">
            <w:pPr>
              <w:pStyle w:val="45"/>
              <w:rPr>
                <w:rFonts w:hint="default"/>
              </w:rPr>
            </w:pPr>
            <w:r>
              <w:t>450</w:t>
            </w:r>
          </w:p>
        </w:tc>
        <w:tc>
          <w:tcPr>
            <w:tcW w:w="1121" w:type="dxa"/>
            <w:noWrap/>
            <w:tcMar>
              <w:top w:w="15" w:type="dxa"/>
              <w:left w:w="15" w:type="dxa"/>
              <w:right w:w="15" w:type="dxa"/>
            </w:tcMar>
            <w:vAlign w:val="center"/>
          </w:tcPr>
          <w:p w14:paraId="2FFA66F2">
            <w:pPr>
              <w:pStyle w:val="45"/>
              <w:rPr>
                <w:rFonts w:hint="default"/>
              </w:rPr>
            </w:pPr>
            <w:r>
              <w:t xml:space="preserve">0.00 </w:t>
            </w:r>
          </w:p>
        </w:tc>
        <w:tc>
          <w:tcPr>
            <w:tcW w:w="1121" w:type="dxa"/>
            <w:noWrap/>
            <w:tcMar>
              <w:top w:w="15" w:type="dxa"/>
              <w:left w:w="15" w:type="dxa"/>
              <w:right w:w="15" w:type="dxa"/>
            </w:tcMar>
            <w:vAlign w:val="center"/>
          </w:tcPr>
          <w:p w14:paraId="2F7B29E5">
            <w:pPr>
              <w:pStyle w:val="45"/>
              <w:rPr>
                <w:rFonts w:hint="default"/>
              </w:rPr>
            </w:pPr>
            <w:r>
              <w:t xml:space="preserve">0.00 </w:t>
            </w:r>
          </w:p>
        </w:tc>
        <w:tc>
          <w:tcPr>
            <w:tcW w:w="1121" w:type="dxa"/>
            <w:noWrap/>
            <w:tcMar>
              <w:top w:w="15" w:type="dxa"/>
              <w:left w:w="15" w:type="dxa"/>
              <w:right w:w="15" w:type="dxa"/>
            </w:tcMar>
            <w:vAlign w:val="center"/>
          </w:tcPr>
          <w:p w14:paraId="7256F188">
            <w:pPr>
              <w:pStyle w:val="45"/>
              <w:rPr>
                <w:rFonts w:hint="default"/>
              </w:rPr>
            </w:pPr>
            <w:r>
              <w:t xml:space="preserve">0.00 </w:t>
            </w:r>
          </w:p>
        </w:tc>
        <w:tc>
          <w:tcPr>
            <w:tcW w:w="1121" w:type="dxa"/>
            <w:noWrap/>
            <w:tcMar>
              <w:top w:w="15" w:type="dxa"/>
              <w:left w:w="15" w:type="dxa"/>
              <w:right w:w="15" w:type="dxa"/>
            </w:tcMar>
            <w:vAlign w:val="center"/>
          </w:tcPr>
          <w:p w14:paraId="75371E94">
            <w:pPr>
              <w:pStyle w:val="45"/>
              <w:rPr>
                <w:rFonts w:hint="default"/>
              </w:rPr>
            </w:pPr>
            <w:r>
              <w:t xml:space="preserve">0.00 </w:t>
            </w:r>
          </w:p>
        </w:tc>
        <w:tc>
          <w:tcPr>
            <w:tcW w:w="1736" w:type="dxa"/>
            <w:noWrap/>
            <w:tcMar>
              <w:top w:w="15" w:type="dxa"/>
              <w:left w:w="15" w:type="dxa"/>
              <w:right w:w="15" w:type="dxa"/>
            </w:tcMar>
            <w:vAlign w:val="center"/>
          </w:tcPr>
          <w:p w14:paraId="6869BCD2">
            <w:pPr>
              <w:pStyle w:val="45"/>
              <w:rPr>
                <w:rFonts w:hint="default"/>
              </w:rPr>
            </w:pPr>
            <w:r>
              <w:t xml:space="preserve">0.00 </w:t>
            </w:r>
          </w:p>
        </w:tc>
        <w:tc>
          <w:tcPr>
            <w:tcW w:w="1736" w:type="dxa"/>
            <w:noWrap/>
            <w:tcMar>
              <w:top w:w="15" w:type="dxa"/>
              <w:left w:w="15" w:type="dxa"/>
              <w:right w:w="15" w:type="dxa"/>
            </w:tcMar>
            <w:vAlign w:val="center"/>
          </w:tcPr>
          <w:p w14:paraId="038F35BC">
            <w:pPr>
              <w:pStyle w:val="45"/>
              <w:rPr>
                <w:rFonts w:hint="default"/>
              </w:rPr>
            </w:pPr>
            <w:r>
              <w:t xml:space="preserve">0.00 </w:t>
            </w:r>
          </w:p>
        </w:tc>
        <w:tc>
          <w:tcPr>
            <w:tcW w:w="1736" w:type="dxa"/>
            <w:noWrap/>
            <w:tcMar>
              <w:top w:w="15" w:type="dxa"/>
              <w:left w:w="15" w:type="dxa"/>
              <w:right w:w="15" w:type="dxa"/>
            </w:tcMar>
            <w:vAlign w:val="center"/>
          </w:tcPr>
          <w:p w14:paraId="539FDE41">
            <w:pPr>
              <w:pStyle w:val="45"/>
              <w:rPr>
                <w:rFonts w:hint="default"/>
              </w:rPr>
            </w:pPr>
            <w:r>
              <w:t xml:space="preserve">238.14 </w:t>
            </w:r>
          </w:p>
        </w:tc>
        <w:tc>
          <w:tcPr>
            <w:tcW w:w="1736" w:type="dxa"/>
            <w:noWrap/>
            <w:tcMar>
              <w:top w:w="15" w:type="dxa"/>
              <w:left w:w="15" w:type="dxa"/>
              <w:right w:w="15" w:type="dxa"/>
            </w:tcMar>
            <w:vAlign w:val="center"/>
          </w:tcPr>
          <w:p w14:paraId="436CD032">
            <w:pPr>
              <w:pStyle w:val="45"/>
              <w:rPr>
                <w:rFonts w:hint="default"/>
              </w:rPr>
            </w:pPr>
            <w:r>
              <w:t xml:space="preserve">516819.33 </w:t>
            </w:r>
          </w:p>
        </w:tc>
      </w:tr>
      <w:tr w14:paraId="487B7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51751693">
            <w:pPr>
              <w:pStyle w:val="45"/>
              <w:rPr>
                <w:rFonts w:hint="default"/>
              </w:rPr>
            </w:pPr>
          </w:p>
        </w:tc>
        <w:tc>
          <w:tcPr>
            <w:tcW w:w="1018" w:type="dxa"/>
            <w:noWrap/>
            <w:tcMar>
              <w:top w:w="15" w:type="dxa"/>
              <w:left w:w="15" w:type="dxa"/>
              <w:right w:w="15" w:type="dxa"/>
            </w:tcMar>
            <w:vAlign w:val="center"/>
          </w:tcPr>
          <w:p w14:paraId="56CE6B70">
            <w:pPr>
              <w:pStyle w:val="45"/>
              <w:rPr>
                <w:rFonts w:hint="default"/>
              </w:rPr>
            </w:pPr>
            <w:r>
              <w:t>500</w:t>
            </w:r>
          </w:p>
        </w:tc>
        <w:tc>
          <w:tcPr>
            <w:tcW w:w="1121" w:type="dxa"/>
            <w:noWrap/>
            <w:tcMar>
              <w:top w:w="15" w:type="dxa"/>
              <w:left w:w="15" w:type="dxa"/>
              <w:right w:w="15" w:type="dxa"/>
            </w:tcMar>
            <w:vAlign w:val="center"/>
          </w:tcPr>
          <w:p w14:paraId="40001761">
            <w:pPr>
              <w:pStyle w:val="45"/>
              <w:rPr>
                <w:rFonts w:hint="default"/>
              </w:rPr>
            </w:pPr>
            <w:r>
              <w:t xml:space="preserve">0.00 </w:t>
            </w:r>
          </w:p>
        </w:tc>
        <w:tc>
          <w:tcPr>
            <w:tcW w:w="1121" w:type="dxa"/>
            <w:noWrap/>
            <w:tcMar>
              <w:top w:w="15" w:type="dxa"/>
              <w:left w:w="15" w:type="dxa"/>
              <w:right w:w="15" w:type="dxa"/>
            </w:tcMar>
            <w:vAlign w:val="center"/>
          </w:tcPr>
          <w:p w14:paraId="1B8110F2">
            <w:pPr>
              <w:pStyle w:val="45"/>
              <w:rPr>
                <w:rFonts w:hint="default"/>
              </w:rPr>
            </w:pPr>
            <w:r>
              <w:t xml:space="preserve">0.00 </w:t>
            </w:r>
          </w:p>
        </w:tc>
        <w:tc>
          <w:tcPr>
            <w:tcW w:w="1121" w:type="dxa"/>
            <w:noWrap/>
            <w:tcMar>
              <w:top w:w="15" w:type="dxa"/>
              <w:left w:w="15" w:type="dxa"/>
              <w:right w:w="15" w:type="dxa"/>
            </w:tcMar>
            <w:vAlign w:val="center"/>
          </w:tcPr>
          <w:p w14:paraId="3F27BD09">
            <w:pPr>
              <w:pStyle w:val="45"/>
              <w:rPr>
                <w:rFonts w:hint="default"/>
              </w:rPr>
            </w:pPr>
            <w:r>
              <w:t xml:space="preserve">0.00 </w:t>
            </w:r>
          </w:p>
        </w:tc>
        <w:tc>
          <w:tcPr>
            <w:tcW w:w="1121" w:type="dxa"/>
            <w:noWrap/>
            <w:tcMar>
              <w:top w:w="15" w:type="dxa"/>
              <w:left w:w="15" w:type="dxa"/>
              <w:right w:w="15" w:type="dxa"/>
            </w:tcMar>
            <w:vAlign w:val="center"/>
          </w:tcPr>
          <w:p w14:paraId="54250B57">
            <w:pPr>
              <w:pStyle w:val="45"/>
              <w:rPr>
                <w:rFonts w:hint="default"/>
              </w:rPr>
            </w:pPr>
            <w:r>
              <w:t xml:space="preserve">0.00 </w:t>
            </w:r>
          </w:p>
        </w:tc>
        <w:tc>
          <w:tcPr>
            <w:tcW w:w="1736" w:type="dxa"/>
            <w:noWrap/>
            <w:tcMar>
              <w:top w:w="15" w:type="dxa"/>
              <w:left w:w="15" w:type="dxa"/>
              <w:right w:w="15" w:type="dxa"/>
            </w:tcMar>
            <w:vAlign w:val="center"/>
          </w:tcPr>
          <w:p w14:paraId="3B7C1CE7">
            <w:pPr>
              <w:pStyle w:val="45"/>
              <w:rPr>
                <w:rFonts w:hint="default"/>
              </w:rPr>
            </w:pPr>
            <w:r>
              <w:t xml:space="preserve">0.00 </w:t>
            </w:r>
          </w:p>
        </w:tc>
        <w:tc>
          <w:tcPr>
            <w:tcW w:w="1736" w:type="dxa"/>
            <w:noWrap/>
            <w:tcMar>
              <w:top w:w="15" w:type="dxa"/>
              <w:left w:w="15" w:type="dxa"/>
              <w:right w:w="15" w:type="dxa"/>
            </w:tcMar>
            <w:vAlign w:val="center"/>
          </w:tcPr>
          <w:p w14:paraId="7000C631">
            <w:pPr>
              <w:pStyle w:val="45"/>
              <w:rPr>
                <w:rFonts w:hint="default"/>
              </w:rPr>
            </w:pPr>
            <w:r>
              <w:t xml:space="preserve">0.00 </w:t>
            </w:r>
          </w:p>
        </w:tc>
        <w:tc>
          <w:tcPr>
            <w:tcW w:w="1736" w:type="dxa"/>
            <w:noWrap/>
            <w:tcMar>
              <w:top w:w="15" w:type="dxa"/>
              <w:left w:w="15" w:type="dxa"/>
              <w:right w:w="15" w:type="dxa"/>
            </w:tcMar>
            <w:vAlign w:val="center"/>
          </w:tcPr>
          <w:p w14:paraId="634EE00D">
            <w:pPr>
              <w:pStyle w:val="45"/>
              <w:rPr>
                <w:rFonts w:hint="default"/>
              </w:rPr>
            </w:pPr>
            <w:r>
              <w:t xml:space="preserve">10.49 </w:t>
            </w:r>
          </w:p>
        </w:tc>
        <w:tc>
          <w:tcPr>
            <w:tcW w:w="1736" w:type="dxa"/>
            <w:noWrap/>
            <w:tcMar>
              <w:top w:w="15" w:type="dxa"/>
              <w:left w:w="15" w:type="dxa"/>
              <w:right w:w="15" w:type="dxa"/>
            </w:tcMar>
            <w:vAlign w:val="center"/>
          </w:tcPr>
          <w:p w14:paraId="14B842AD">
            <w:pPr>
              <w:pStyle w:val="45"/>
              <w:rPr>
                <w:rFonts w:hint="default"/>
              </w:rPr>
            </w:pPr>
            <w:r>
              <w:t xml:space="preserve">293937.43 </w:t>
            </w:r>
          </w:p>
        </w:tc>
      </w:tr>
      <w:tr w14:paraId="6A173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356ED4B6">
            <w:pPr>
              <w:pStyle w:val="45"/>
              <w:rPr>
                <w:rFonts w:hint="default"/>
              </w:rPr>
            </w:pPr>
          </w:p>
        </w:tc>
        <w:tc>
          <w:tcPr>
            <w:tcW w:w="1018" w:type="dxa"/>
            <w:noWrap/>
            <w:tcMar>
              <w:top w:w="15" w:type="dxa"/>
              <w:left w:w="15" w:type="dxa"/>
              <w:right w:w="15" w:type="dxa"/>
            </w:tcMar>
            <w:vAlign w:val="center"/>
          </w:tcPr>
          <w:p w14:paraId="5C071700">
            <w:pPr>
              <w:pStyle w:val="45"/>
              <w:rPr>
                <w:rFonts w:hint="default"/>
              </w:rPr>
            </w:pPr>
            <w:r>
              <w:t>550</w:t>
            </w:r>
          </w:p>
        </w:tc>
        <w:tc>
          <w:tcPr>
            <w:tcW w:w="1121" w:type="dxa"/>
            <w:noWrap/>
            <w:tcMar>
              <w:top w:w="15" w:type="dxa"/>
              <w:left w:w="15" w:type="dxa"/>
              <w:right w:w="15" w:type="dxa"/>
            </w:tcMar>
            <w:vAlign w:val="center"/>
          </w:tcPr>
          <w:p w14:paraId="75B9F6AD">
            <w:pPr>
              <w:pStyle w:val="45"/>
              <w:rPr>
                <w:rFonts w:hint="default"/>
              </w:rPr>
            </w:pPr>
            <w:r>
              <w:t xml:space="preserve">0.00 </w:t>
            </w:r>
          </w:p>
        </w:tc>
        <w:tc>
          <w:tcPr>
            <w:tcW w:w="1121" w:type="dxa"/>
            <w:noWrap/>
            <w:tcMar>
              <w:top w:w="15" w:type="dxa"/>
              <w:left w:w="15" w:type="dxa"/>
              <w:right w:w="15" w:type="dxa"/>
            </w:tcMar>
            <w:vAlign w:val="center"/>
          </w:tcPr>
          <w:p w14:paraId="3AE51227">
            <w:pPr>
              <w:pStyle w:val="45"/>
              <w:rPr>
                <w:rFonts w:hint="default"/>
              </w:rPr>
            </w:pPr>
            <w:r>
              <w:t xml:space="preserve">0.00 </w:t>
            </w:r>
          </w:p>
        </w:tc>
        <w:tc>
          <w:tcPr>
            <w:tcW w:w="1121" w:type="dxa"/>
            <w:noWrap/>
            <w:tcMar>
              <w:top w:w="15" w:type="dxa"/>
              <w:left w:w="15" w:type="dxa"/>
              <w:right w:w="15" w:type="dxa"/>
            </w:tcMar>
            <w:vAlign w:val="center"/>
          </w:tcPr>
          <w:p w14:paraId="6F0F1DCD">
            <w:pPr>
              <w:pStyle w:val="45"/>
              <w:rPr>
                <w:rFonts w:hint="default"/>
              </w:rPr>
            </w:pPr>
            <w:r>
              <w:t xml:space="preserve">0.00 </w:t>
            </w:r>
          </w:p>
        </w:tc>
        <w:tc>
          <w:tcPr>
            <w:tcW w:w="1121" w:type="dxa"/>
            <w:noWrap/>
            <w:tcMar>
              <w:top w:w="15" w:type="dxa"/>
              <w:left w:w="15" w:type="dxa"/>
              <w:right w:w="15" w:type="dxa"/>
            </w:tcMar>
            <w:vAlign w:val="center"/>
          </w:tcPr>
          <w:p w14:paraId="2A2D17A0">
            <w:pPr>
              <w:pStyle w:val="45"/>
              <w:rPr>
                <w:rFonts w:hint="default"/>
              </w:rPr>
            </w:pPr>
            <w:r>
              <w:t xml:space="preserve">0.00 </w:t>
            </w:r>
          </w:p>
        </w:tc>
        <w:tc>
          <w:tcPr>
            <w:tcW w:w="1736" w:type="dxa"/>
            <w:noWrap/>
            <w:tcMar>
              <w:top w:w="15" w:type="dxa"/>
              <w:left w:w="15" w:type="dxa"/>
              <w:right w:w="15" w:type="dxa"/>
            </w:tcMar>
            <w:vAlign w:val="center"/>
          </w:tcPr>
          <w:p w14:paraId="277C3D21">
            <w:pPr>
              <w:pStyle w:val="45"/>
              <w:rPr>
                <w:rFonts w:hint="default"/>
              </w:rPr>
            </w:pPr>
            <w:r>
              <w:t xml:space="preserve">0.00 </w:t>
            </w:r>
          </w:p>
        </w:tc>
        <w:tc>
          <w:tcPr>
            <w:tcW w:w="1736" w:type="dxa"/>
            <w:noWrap/>
            <w:tcMar>
              <w:top w:w="15" w:type="dxa"/>
              <w:left w:w="15" w:type="dxa"/>
              <w:right w:w="15" w:type="dxa"/>
            </w:tcMar>
            <w:vAlign w:val="center"/>
          </w:tcPr>
          <w:p w14:paraId="23B6AA78">
            <w:pPr>
              <w:pStyle w:val="45"/>
              <w:rPr>
                <w:rFonts w:hint="default"/>
              </w:rPr>
            </w:pPr>
            <w:r>
              <w:t xml:space="preserve">0.00 </w:t>
            </w:r>
          </w:p>
        </w:tc>
        <w:tc>
          <w:tcPr>
            <w:tcW w:w="1736" w:type="dxa"/>
            <w:noWrap/>
            <w:tcMar>
              <w:top w:w="15" w:type="dxa"/>
              <w:left w:w="15" w:type="dxa"/>
              <w:right w:w="15" w:type="dxa"/>
            </w:tcMar>
            <w:vAlign w:val="center"/>
          </w:tcPr>
          <w:p w14:paraId="4E444A72">
            <w:pPr>
              <w:pStyle w:val="45"/>
              <w:rPr>
                <w:rFonts w:hint="default"/>
              </w:rPr>
            </w:pPr>
            <w:r>
              <w:t xml:space="preserve">0.27 </w:t>
            </w:r>
          </w:p>
        </w:tc>
        <w:tc>
          <w:tcPr>
            <w:tcW w:w="1736" w:type="dxa"/>
            <w:noWrap/>
            <w:tcMar>
              <w:top w:w="15" w:type="dxa"/>
              <w:left w:w="15" w:type="dxa"/>
              <w:right w:w="15" w:type="dxa"/>
            </w:tcMar>
            <w:vAlign w:val="center"/>
          </w:tcPr>
          <w:p w14:paraId="064BCDD6">
            <w:pPr>
              <w:pStyle w:val="45"/>
              <w:rPr>
                <w:rFonts w:hint="default"/>
              </w:rPr>
            </w:pPr>
            <w:r>
              <w:t xml:space="preserve">135301.78 </w:t>
            </w:r>
          </w:p>
        </w:tc>
      </w:tr>
      <w:tr w14:paraId="115F3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3C7AD7A0">
            <w:pPr>
              <w:pStyle w:val="45"/>
              <w:rPr>
                <w:rFonts w:hint="default"/>
              </w:rPr>
            </w:pPr>
          </w:p>
        </w:tc>
        <w:tc>
          <w:tcPr>
            <w:tcW w:w="1018" w:type="dxa"/>
            <w:noWrap/>
            <w:tcMar>
              <w:top w:w="15" w:type="dxa"/>
              <w:left w:w="15" w:type="dxa"/>
              <w:right w:w="15" w:type="dxa"/>
            </w:tcMar>
            <w:vAlign w:val="center"/>
          </w:tcPr>
          <w:p w14:paraId="3E2CFE62">
            <w:pPr>
              <w:pStyle w:val="45"/>
              <w:rPr>
                <w:rFonts w:hint="default"/>
              </w:rPr>
            </w:pPr>
            <w:r>
              <w:t>600</w:t>
            </w:r>
          </w:p>
        </w:tc>
        <w:tc>
          <w:tcPr>
            <w:tcW w:w="1121" w:type="dxa"/>
            <w:noWrap/>
            <w:tcMar>
              <w:top w:w="15" w:type="dxa"/>
              <w:left w:w="15" w:type="dxa"/>
              <w:right w:w="15" w:type="dxa"/>
            </w:tcMar>
            <w:vAlign w:val="center"/>
          </w:tcPr>
          <w:p w14:paraId="22BDD4A1">
            <w:pPr>
              <w:pStyle w:val="45"/>
              <w:rPr>
                <w:rFonts w:hint="default"/>
              </w:rPr>
            </w:pPr>
            <w:r>
              <w:t xml:space="preserve">0.00 </w:t>
            </w:r>
          </w:p>
        </w:tc>
        <w:tc>
          <w:tcPr>
            <w:tcW w:w="1121" w:type="dxa"/>
            <w:noWrap/>
            <w:tcMar>
              <w:top w:w="15" w:type="dxa"/>
              <w:left w:w="15" w:type="dxa"/>
              <w:right w:w="15" w:type="dxa"/>
            </w:tcMar>
            <w:vAlign w:val="center"/>
          </w:tcPr>
          <w:p w14:paraId="46EB67DC">
            <w:pPr>
              <w:pStyle w:val="45"/>
              <w:rPr>
                <w:rFonts w:hint="default"/>
              </w:rPr>
            </w:pPr>
            <w:r>
              <w:t xml:space="preserve">0.00 </w:t>
            </w:r>
          </w:p>
        </w:tc>
        <w:tc>
          <w:tcPr>
            <w:tcW w:w="1121" w:type="dxa"/>
            <w:noWrap/>
            <w:tcMar>
              <w:top w:w="15" w:type="dxa"/>
              <w:left w:w="15" w:type="dxa"/>
              <w:right w:w="15" w:type="dxa"/>
            </w:tcMar>
            <w:vAlign w:val="center"/>
          </w:tcPr>
          <w:p w14:paraId="4899EFC6">
            <w:pPr>
              <w:pStyle w:val="45"/>
              <w:rPr>
                <w:rFonts w:hint="default"/>
              </w:rPr>
            </w:pPr>
            <w:r>
              <w:t xml:space="preserve">0.00 </w:t>
            </w:r>
          </w:p>
        </w:tc>
        <w:tc>
          <w:tcPr>
            <w:tcW w:w="1121" w:type="dxa"/>
            <w:noWrap/>
            <w:tcMar>
              <w:top w:w="15" w:type="dxa"/>
              <w:left w:w="15" w:type="dxa"/>
              <w:right w:w="15" w:type="dxa"/>
            </w:tcMar>
            <w:vAlign w:val="center"/>
          </w:tcPr>
          <w:p w14:paraId="77205F7C">
            <w:pPr>
              <w:pStyle w:val="45"/>
              <w:rPr>
                <w:rFonts w:hint="default"/>
              </w:rPr>
            </w:pPr>
            <w:r>
              <w:t xml:space="preserve">0.00 </w:t>
            </w:r>
          </w:p>
        </w:tc>
        <w:tc>
          <w:tcPr>
            <w:tcW w:w="1736" w:type="dxa"/>
            <w:noWrap/>
            <w:tcMar>
              <w:top w:w="15" w:type="dxa"/>
              <w:left w:w="15" w:type="dxa"/>
              <w:right w:w="15" w:type="dxa"/>
            </w:tcMar>
            <w:vAlign w:val="center"/>
          </w:tcPr>
          <w:p w14:paraId="146F1BD4">
            <w:pPr>
              <w:pStyle w:val="45"/>
              <w:rPr>
                <w:rFonts w:hint="default"/>
              </w:rPr>
            </w:pPr>
            <w:r>
              <w:t xml:space="preserve">0.00 </w:t>
            </w:r>
          </w:p>
        </w:tc>
        <w:tc>
          <w:tcPr>
            <w:tcW w:w="1736" w:type="dxa"/>
            <w:noWrap/>
            <w:tcMar>
              <w:top w:w="15" w:type="dxa"/>
              <w:left w:w="15" w:type="dxa"/>
              <w:right w:w="15" w:type="dxa"/>
            </w:tcMar>
            <w:vAlign w:val="center"/>
          </w:tcPr>
          <w:p w14:paraId="56C6C817">
            <w:pPr>
              <w:pStyle w:val="45"/>
              <w:rPr>
                <w:rFonts w:hint="default"/>
              </w:rPr>
            </w:pPr>
            <w:r>
              <w:t xml:space="preserve">0.00 </w:t>
            </w:r>
          </w:p>
        </w:tc>
        <w:tc>
          <w:tcPr>
            <w:tcW w:w="1736" w:type="dxa"/>
            <w:noWrap/>
            <w:tcMar>
              <w:top w:w="15" w:type="dxa"/>
              <w:left w:w="15" w:type="dxa"/>
              <w:right w:w="15" w:type="dxa"/>
            </w:tcMar>
            <w:vAlign w:val="center"/>
          </w:tcPr>
          <w:p w14:paraId="0C71FB27">
            <w:pPr>
              <w:pStyle w:val="45"/>
              <w:rPr>
                <w:rFonts w:hint="default"/>
              </w:rPr>
            </w:pPr>
            <w:r>
              <w:t xml:space="preserve">0.00 </w:t>
            </w:r>
          </w:p>
        </w:tc>
        <w:tc>
          <w:tcPr>
            <w:tcW w:w="1736" w:type="dxa"/>
            <w:noWrap/>
            <w:tcMar>
              <w:top w:w="15" w:type="dxa"/>
              <w:left w:w="15" w:type="dxa"/>
              <w:right w:w="15" w:type="dxa"/>
            </w:tcMar>
            <w:vAlign w:val="center"/>
          </w:tcPr>
          <w:p w14:paraId="7F99815D">
            <w:pPr>
              <w:pStyle w:val="45"/>
              <w:rPr>
                <w:rFonts w:hint="default"/>
              </w:rPr>
            </w:pPr>
            <w:r>
              <w:t xml:space="preserve">49478.17 </w:t>
            </w:r>
          </w:p>
        </w:tc>
      </w:tr>
      <w:tr w14:paraId="2F320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4375A1AC">
            <w:pPr>
              <w:pStyle w:val="45"/>
              <w:rPr>
                <w:rFonts w:hint="default"/>
              </w:rPr>
            </w:pPr>
          </w:p>
        </w:tc>
        <w:tc>
          <w:tcPr>
            <w:tcW w:w="1018" w:type="dxa"/>
            <w:noWrap/>
            <w:tcMar>
              <w:top w:w="15" w:type="dxa"/>
              <w:left w:w="15" w:type="dxa"/>
              <w:right w:w="15" w:type="dxa"/>
            </w:tcMar>
            <w:vAlign w:val="center"/>
          </w:tcPr>
          <w:p w14:paraId="44AF339B">
            <w:pPr>
              <w:pStyle w:val="45"/>
              <w:rPr>
                <w:rFonts w:hint="default"/>
              </w:rPr>
            </w:pPr>
            <w:r>
              <w:t>650</w:t>
            </w:r>
          </w:p>
        </w:tc>
        <w:tc>
          <w:tcPr>
            <w:tcW w:w="1121" w:type="dxa"/>
            <w:noWrap/>
            <w:tcMar>
              <w:top w:w="15" w:type="dxa"/>
              <w:left w:w="15" w:type="dxa"/>
              <w:right w:w="15" w:type="dxa"/>
            </w:tcMar>
            <w:vAlign w:val="center"/>
          </w:tcPr>
          <w:p w14:paraId="294F2557">
            <w:pPr>
              <w:pStyle w:val="45"/>
              <w:rPr>
                <w:rFonts w:hint="default"/>
              </w:rPr>
            </w:pPr>
            <w:r>
              <w:t xml:space="preserve">0.00 </w:t>
            </w:r>
          </w:p>
        </w:tc>
        <w:tc>
          <w:tcPr>
            <w:tcW w:w="1121" w:type="dxa"/>
            <w:noWrap/>
            <w:tcMar>
              <w:top w:w="15" w:type="dxa"/>
              <w:left w:w="15" w:type="dxa"/>
              <w:right w:w="15" w:type="dxa"/>
            </w:tcMar>
            <w:vAlign w:val="center"/>
          </w:tcPr>
          <w:p w14:paraId="69668EA9">
            <w:pPr>
              <w:pStyle w:val="45"/>
              <w:rPr>
                <w:rFonts w:hint="default"/>
              </w:rPr>
            </w:pPr>
            <w:r>
              <w:t xml:space="preserve">0.00 </w:t>
            </w:r>
          </w:p>
        </w:tc>
        <w:tc>
          <w:tcPr>
            <w:tcW w:w="1121" w:type="dxa"/>
            <w:noWrap/>
            <w:tcMar>
              <w:top w:w="15" w:type="dxa"/>
              <w:left w:w="15" w:type="dxa"/>
              <w:right w:w="15" w:type="dxa"/>
            </w:tcMar>
            <w:vAlign w:val="center"/>
          </w:tcPr>
          <w:p w14:paraId="04C4E5FA">
            <w:pPr>
              <w:pStyle w:val="45"/>
              <w:rPr>
                <w:rFonts w:hint="default"/>
              </w:rPr>
            </w:pPr>
            <w:r>
              <w:t xml:space="preserve">0.00 </w:t>
            </w:r>
          </w:p>
        </w:tc>
        <w:tc>
          <w:tcPr>
            <w:tcW w:w="1121" w:type="dxa"/>
            <w:noWrap/>
            <w:tcMar>
              <w:top w:w="15" w:type="dxa"/>
              <w:left w:w="15" w:type="dxa"/>
              <w:right w:w="15" w:type="dxa"/>
            </w:tcMar>
            <w:vAlign w:val="center"/>
          </w:tcPr>
          <w:p w14:paraId="564E416D">
            <w:pPr>
              <w:pStyle w:val="45"/>
              <w:rPr>
                <w:rFonts w:hint="default"/>
              </w:rPr>
            </w:pPr>
            <w:r>
              <w:t xml:space="preserve">0.00 </w:t>
            </w:r>
          </w:p>
        </w:tc>
        <w:tc>
          <w:tcPr>
            <w:tcW w:w="1736" w:type="dxa"/>
            <w:noWrap/>
            <w:tcMar>
              <w:top w:w="15" w:type="dxa"/>
              <w:left w:w="15" w:type="dxa"/>
              <w:right w:w="15" w:type="dxa"/>
            </w:tcMar>
            <w:vAlign w:val="center"/>
          </w:tcPr>
          <w:p w14:paraId="30CE58E4">
            <w:pPr>
              <w:pStyle w:val="45"/>
              <w:rPr>
                <w:rFonts w:hint="default"/>
              </w:rPr>
            </w:pPr>
            <w:r>
              <w:t xml:space="preserve">0.00 </w:t>
            </w:r>
          </w:p>
        </w:tc>
        <w:tc>
          <w:tcPr>
            <w:tcW w:w="1736" w:type="dxa"/>
            <w:noWrap/>
            <w:tcMar>
              <w:top w:w="15" w:type="dxa"/>
              <w:left w:w="15" w:type="dxa"/>
              <w:right w:w="15" w:type="dxa"/>
            </w:tcMar>
            <w:vAlign w:val="center"/>
          </w:tcPr>
          <w:p w14:paraId="023191CC">
            <w:pPr>
              <w:pStyle w:val="45"/>
              <w:rPr>
                <w:rFonts w:hint="default"/>
              </w:rPr>
            </w:pPr>
            <w:r>
              <w:t xml:space="preserve">0.00 </w:t>
            </w:r>
          </w:p>
        </w:tc>
        <w:tc>
          <w:tcPr>
            <w:tcW w:w="1736" w:type="dxa"/>
            <w:noWrap/>
            <w:tcMar>
              <w:top w:w="15" w:type="dxa"/>
              <w:left w:w="15" w:type="dxa"/>
              <w:right w:w="15" w:type="dxa"/>
            </w:tcMar>
            <w:vAlign w:val="center"/>
          </w:tcPr>
          <w:p w14:paraId="6DDB9471">
            <w:pPr>
              <w:pStyle w:val="45"/>
              <w:rPr>
                <w:rFonts w:hint="default"/>
              </w:rPr>
            </w:pPr>
            <w:r>
              <w:t xml:space="preserve">0.00 </w:t>
            </w:r>
          </w:p>
        </w:tc>
        <w:tc>
          <w:tcPr>
            <w:tcW w:w="1736" w:type="dxa"/>
            <w:noWrap/>
            <w:tcMar>
              <w:top w:w="15" w:type="dxa"/>
              <w:left w:w="15" w:type="dxa"/>
              <w:right w:w="15" w:type="dxa"/>
            </w:tcMar>
            <w:vAlign w:val="center"/>
          </w:tcPr>
          <w:p w14:paraId="2975F9BE">
            <w:pPr>
              <w:pStyle w:val="45"/>
              <w:rPr>
                <w:rFonts w:hint="default"/>
              </w:rPr>
            </w:pPr>
            <w:r>
              <w:t xml:space="preserve">14188.67 </w:t>
            </w:r>
          </w:p>
        </w:tc>
      </w:tr>
      <w:tr w14:paraId="35961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1F81C63E">
            <w:pPr>
              <w:pStyle w:val="45"/>
              <w:rPr>
                <w:rFonts w:hint="default"/>
              </w:rPr>
            </w:pPr>
          </w:p>
        </w:tc>
        <w:tc>
          <w:tcPr>
            <w:tcW w:w="1018" w:type="dxa"/>
            <w:noWrap/>
            <w:tcMar>
              <w:top w:w="15" w:type="dxa"/>
              <w:left w:w="15" w:type="dxa"/>
              <w:right w:w="15" w:type="dxa"/>
            </w:tcMar>
            <w:vAlign w:val="center"/>
          </w:tcPr>
          <w:p w14:paraId="719A8D8D">
            <w:pPr>
              <w:pStyle w:val="45"/>
              <w:rPr>
                <w:rFonts w:hint="default"/>
              </w:rPr>
            </w:pPr>
            <w:r>
              <w:t>700</w:t>
            </w:r>
          </w:p>
        </w:tc>
        <w:tc>
          <w:tcPr>
            <w:tcW w:w="1121" w:type="dxa"/>
            <w:noWrap/>
            <w:tcMar>
              <w:top w:w="15" w:type="dxa"/>
              <w:left w:w="15" w:type="dxa"/>
              <w:right w:w="15" w:type="dxa"/>
            </w:tcMar>
            <w:vAlign w:val="center"/>
          </w:tcPr>
          <w:p w14:paraId="4FA0D39D">
            <w:pPr>
              <w:pStyle w:val="45"/>
              <w:rPr>
                <w:rFonts w:hint="default"/>
              </w:rPr>
            </w:pPr>
            <w:r>
              <w:t xml:space="preserve">0.00 </w:t>
            </w:r>
          </w:p>
        </w:tc>
        <w:tc>
          <w:tcPr>
            <w:tcW w:w="1121" w:type="dxa"/>
            <w:noWrap/>
            <w:tcMar>
              <w:top w:w="15" w:type="dxa"/>
              <w:left w:w="15" w:type="dxa"/>
              <w:right w:w="15" w:type="dxa"/>
            </w:tcMar>
            <w:vAlign w:val="center"/>
          </w:tcPr>
          <w:p w14:paraId="118142A1">
            <w:pPr>
              <w:pStyle w:val="45"/>
              <w:rPr>
                <w:rFonts w:hint="default"/>
              </w:rPr>
            </w:pPr>
            <w:r>
              <w:t xml:space="preserve">0.00 </w:t>
            </w:r>
          </w:p>
        </w:tc>
        <w:tc>
          <w:tcPr>
            <w:tcW w:w="1121" w:type="dxa"/>
            <w:noWrap/>
            <w:tcMar>
              <w:top w:w="15" w:type="dxa"/>
              <w:left w:w="15" w:type="dxa"/>
              <w:right w:w="15" w:type="dxa"/>
            </w:tcMar>
            <w:vAlign w:val="center"/>
          </w:tcPr>
          <w:p w14:paraId="79325AE4">
            <w:pPr>
              <w:pStyle w:val="45"/>
              <w:rPr>
                <w:rFonts w:hint="default"/>
              </w:rPr>
            </w:pPr>
            <w:r>
              <w:t xml:space="preserve">0.00 </w:t>
            </w:r>
          </w:p>
        </w:tc>
        <w:tc>
          <w:tcPr>
            <w:tcW w:w="1121" w:type="dxa"/>
            <w:noWrap/>
            <w:tcMar>
              <w:top w:w="15" w:type="dxa"/>
              <w:left w:w="15" w:type="dxa"/>
              <w:right w:w="15" w:type="dxa"/>
            </w:tcMar>
            <w:vAlign w:val="center"/>
          </w:tcPr>
          <w:p w14:paraId="116772A3">
            <w:pPr>
              <w:pStyle w:val="45"/>
              <w:rPr>
                <w:rFonts w:hint="default"/>
              </w:rPr>
            </w:pPr>
            <w:r>
              <w:t xml:space="preserve">0.00 </w:t>
            </w:r>
          </w:p>
        </w:tc>
        <w:tc>
          <w:tcPr>
            <w:tcW w:w="1736" w:type="dxa"/>
            <w:noWrap/>
            <w:tcMar>
              <w:top w:w="15" w:type="dxa"/>
              <w:left w:w="15" w:type="dxa"/>
              <w:right w:w="15" w:type="dxa"/>
            </w:tcMar>
            <w:vAlign w:val="center"/>
          </w:tcPr>
          <w:p w14:paraId="5E0F6BEB">
            <w:pPr>
              <w:pStyle w:val="45"/>
              <w:rPr>
                <w:rFonts w:hint="default"/>
              </w:rPr>
            </w:pPr>
            <w:r>
              <w:t xml:space="preserve">0.00 </w:t>
            </w:r>
          </w:p>
        </w:tc>
        <w:tc>
          <w:tcPr>
            <w:tcW w:w="1736" w:type="dxa"/>
            <w:noWrap/>
            <w:tcMar>
              <w:top w:w="15" w:type="dxa"/>
              <w:left w:w="15" w:type="dxa"/>
              <w:right w:w="15" w:type="dxa"/>
            </w:tcMar>
            <w:vAlign w:val="center"/>
          </w:tcPr>
          <w:p w14:paraId="5692D81B">
            <w:pPr>
              <w:pStyle w:val="45"/>
              <w:rPr>
                <w:rFonts w:hint="default"/>
              </w:rPr>
            </w:pPr>
            <w:r>
              <w:t xml:space="preserve">0.00 </w:t>
            </w:r>
          </w:p>
        </w:tc>
        <w:tc>
          <w:tcPr>
            <w:tcW w:w="1736" w:type="dxa"/>
            <w:noWrap/>
            <w:tcMar>
              <w:top w:w="15" w:type="dxa"/>
              <w:left w:w="15" w:type="dxa"/>
              <w:right w:w="15" w:type="dxa"/>
            </w:tcMar>
            <w:vAlign w:val="center"/>
          </w:tcPr>
          <w:p w14:paraId="488B263E">
            <w:pPr>
              <w:pStyle w:val="45"/>
              <w:rPr>
                <w:rFonts w:hint="default"/>
              </w:rPr>
            </w:pPr>
            <w:r>
              <w:t xml:space="preserve">0.00 </w:t>
            </w:r>
          </w:p>
        </w:tc>
        <w:tc>
          <w:tcPr>
            <w:tcW w:w="1736" w:type="dxa"/>
            <w:noWrap/>
            <w:tcMar>
              <w:top w:w="15" w:type="dxa"/>
              <w:left w:w="15" w:type="dxa"/>
              <w:right w:w="15" w:type="dxa"/>
            </w:tcMar>
            <w:vAlign w:val="center"/>
          </w:tcPr>
          <w:p w14:paraId="385261A8">
            <w:pPr>
              <w:pStyle w:val="45"/>
              <w:rPr>
                <w:rFonts w:hint="default"/>
              </w:rPr>
            </w:pPr>
            <w:r>
              <w:t xml:space="preserve">3161.83 </w:t>
            </w:r>
          </w:p>
        </w:tc>
      </w:tr>
      <w:tr w14:paraId="4BE45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10E2FA48">
            <w:pPr>
              <w:pStyle w:val="45"/>
              <w:rPr>
                <w:rFonts w:hint="default"/>
              </w:rPr>
            </w:pPr>
          </w:p>
        </w:tc>
        <w:tc>
          <w:tcPr>
            <w:tcW w:w="1018" w:type="dxa"/>
            <w:noWrap/>
            <w:tcMar>
              <w:top w:w="15" w:type="dxa"/>
              <w:left w:w="15" w:type="dxa"/>
              <w:right w:w="15" w:type="dxa"/>
            </w:tcMar>
            <w:vAlign w:val="center"/>
          </w:tcPr>
          <w:p w14:paraId="029CC504">
            <w:pPr>
              <w:pStyle w:val="45"/>
              <w:rPr>
                <w:rFonts w:hint="default"/>
              </w:rPr>
            </w:pPr>
            <w:r>
              <w:t>750</w:t>
            </w:r>
          </w:p>
        </w:tc>
        <w:tc>
          <w:tcPr>
            <w:tcW w:w="1121" w:type="dxa"/>
            <w:noWrap/>
            <w:tcMar>
              <w:top w:w="15" w:type="dxa"/>
              <w:left w:w="15" w:type="dxa"/>
              <w:right w:w="15" w:type="dxa"/>
            </w:tcMar>
            <w:vAlign w:val="center"/>
          </w:tcPr>
          <w:p w14:paraId="1091CF63">
            <w:pPr>
              <w:pStyle w:val="45"/>
              <w:rPr>
                <w:rFonts w:hint="default"/>
              </w:rPr>
            </w:pPr>
            <w:r>
              <w:t xml:space="preserve">0.00 </w:t>
            </w:r>
          </w:p>
        </w:tc>
        <w:tc>
          <w:tcPr>
            <w:tcW w:w="1121" w:type="dxa"/>
            <w:noWrap/>
            <w:tcMar>
              <w:top w:w="15" w:type="dxa"/>
              <w:left w:w="15" w:type="dxa"/>
              <w:right w:w="15" w:type="dxa"/>
            </w:tcMar>
            <w:vAlign w:val="center"/>
          </w:tcPr>
          <w:p w14:paraId="048FE31C">
            <w:pPr>
              <w:pStyle w:val="45"/>
              <w:rPr>
                <w:rFonts w:hint="default"/>
              </w:rPr>
            </w:pPr>
            <w:r>
              <w:t xml:space="preserve">0.00 </w:t>
            </w:r>
          </w:p>
        </w:tc>
        <w:tc>
          <w:tcPr>
            <w:tcW w:w="1121" w:type="dxa"/>
            <w:noWrap/>
            <w:tcMar>
              <w:top w:w="15" w:type="dxa"/>
              <w:left w:w="15" w:type="dxa"/>
              <w:right w:w="15" w:type="dxa"/>
            </w:tcMar>
            <w:vAlign w:val="center"/>
          </w:tcPr>
          <w:p w14:paraId="1F3DF0F9">
            <w:pPr>
              <w:pStyle w:val="45"/>
              <w:rPr>
                <w:rFonts w:hint="default"/>
              </w:rPr>
            </w:pPr>
            <w:r>
              <w:t xml:space="preserve">0.00 </w:t>
            </w:r>
          </w:p>
        </w:tc>
        <w:tc>
          <w:tcPr>
            <w:tcW w:w="1121" w:type="dxa"/>
            <w:noWrap/>
            <w:tcMar>
              <w:top w:w="15" w:type="dxa"/>
              <w:left w:w="15" w:type="dxa"/>
              <w:right w:w="15" w:type="dxa"/>
            </w:tcMar>
            <w:vAlign w:val="center"/>
          </w:tcPr>
          <w:p w14:paraId="3ED5C09A">
            <w:pPr>
              <w:pStyle w:val="45"/>
              <w:rPr>
                <w:rFonts w:hint="default"/>
              </w:rPr>
            </w:pPr>
            <w:r>
              <w:t xml:space="preserve">0.00 </w:t>
            </w:r>
          </w:p>
        </w:tc>
        <w:tc>
          <w:tcPr>
            <w:tcW w:w="1736" w:type="dxa"/>
            <w:noWrap/>
            <w:tcMar>
              <w:top w:w="15" w:type="dxa"/>
              <w:left w:w="15" w:type="dxa"/>
              <w:right w:w="15" w:type="dxa"/>
            </w:tcMar>
            <w:vAlign w:val="center"/>
          </w:tcPr>
          <w:p w14:paraId="7E63CCAE">
            <w:pPr>
              <w:pStyle w:val="45"/>
              <w:rPr>
                <w:rFonts w:hint="default"/>
              </w:rPr>
            </w:pPr>
            <w:r>
              <w:t xml:space="preserve">0.00 </w:t>
            </w:r>
          </w:p>
        </w:tc>
        <w:tc>
          <w:tcPr>
            <w:tcW w:w="1736" w:type="dxa"/>
            <w:noWrap/>
            <w:tcMar>
              <w:top w:w="15" w:type="dxa"/>
              <w:left w:w="15" w:type="dxa"/>
              <w:right w:w="15" w:type="dxa"/>
            </w:tcMar>
            <w:vAlign w:val="center"/>
          </w:tcPr>
          <w:p w14:paraId="08B4672B">
            <w:pPr>
              <w:pStyle w:val="45"/>
              <w:rPr>
                <w:rFonts w:hint="default"/>
              </w:rPr>
            </w:pPr>
            <w:r>
              <w:t xml:space="preserve">0.00 </w:t>
            </w:r>
          </w:p>
        </w:tc>
        <w:tc>
          <w:tcPr>
            <w:tcW w:w="1736" w:type="dxa"/>
            <w:noWrap/>
            <w:tcMar>
              <w:top w:w="15" w:type="dxa"/>
              <w:left w:w="15" w:type="dxa"/>
              <w:right w:w="15" w:type="dxa"/>
            </w:tcMar>
            <w:vAlign w:val="center"/>
          </w:tcPr>
          <w:p w14:paraId="41994AF2">
            <w:pPr>
              <w:pStyle w:val="45"/>
              <w:rPr>
                <w:rFonts w:hint="default"/>
              </w:rPr>
            </w:pPr>
            <w:r>
              <w:t xml:space="preserve">0.00 </w:t>
            </w:r>
          </w:p>
        </w:tc>
        <w:tc>
          <w:tcPr>
            <w:tcW w:w="1736" w:type="dxa"/>
            <w:noWrap/>
            <w:tcMar>
              <w:top w:w="15" w:type="dxa"/>
              <w:left w:w="15" w:type="dxa"/>
              <w:right w:w="15" w:type="dxa"/>
            </w:tcMar>
            <w:vAlign w:val="center"/>
          </w:tcPr>
          <w:p w14:paraId="79BA62AC">
            <w:pPr>
              <w:pStyle w:val="45"/>
              <w:rPr>
                <w:rFonts w:hint="default"/>
              </w:rPr>
            </w:pPr>
            <w:r>
              <w:t xml:space="preserve">544.02 </w:t>
            </w:r>
          </w:p>
        </w:tc>
      </w:tr>
      <w:tr w14:paraId="25381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6F2EB50C">
            <w:pPr>
              <w:pStyle w:val="45"/>
              <w:rPr>
                <w:rFonts w:hint="default"/>
              </w:rPr>
            </w:pPr>
          </w:p>
        </w:tc>
        <w:tc>
          <w:tcPr>
            <w:tcW w:w="1018" w:type="dxa"/>
            <w:noWrap/>
            <w:tcMar>
              <w:top w:w="15" w:type="dxa"/>
              <w:left w:w="15" w:type="dxa"/>
              <w:right w:w="15" w:type="dxa"/>
            </w:tcMar>
            <w:vAlign w:val="center"/>
          </w:tcPr>
          <w:p w14:paraId="4C0B9E6F">
            <w:pPr>
              <w:pStyle w:val="45"/>
              <w:rPr>
                <w:rFonts w:hint="default"/>
              </w:rPr>
            </w:pPr>
            <w:r>
              <w:t>800</w:t>
            </w:r>
          </w:p>
        </w:tc>
        <w:tc>
          <w:tcPr>
            <w:tcW w:w="1121" w:type="dxa"/>
            <w:noWrap/>
            <w:tcMar>
              <w:top w:w="15" w:type="dxa"/>
              <w:left w:w="15" w:type="dxa"/>
              <w:right w:w="15" w:type="dxa"/>
            </w:tcMar>
            <w:vAlign w:val="center"/>
          </w:tcPr>
          <w:p w14:paraId="05890A08">
            <w:pPr>
              <w:pStyle w:val="45"/>
              <w:rPr>
                <w:rFonts w:hint="default"/>
              </w:rPr>
            </w:pPr>
            <w:r>
              <w:t xml:space="preserve">0.00 </w:t>
            </w:r>
          </w:p>
        </w:tc>
        <w:tc>
          <w:tcPr>
            <w:tcW w:w="1121" w:type="dxa"/>
            <w:noWrap/>
            <w:tcMar>
              <w:top w:w="15" w:type="dxa"/>
              <w:left w:w="15" w:type="dxa"/>
              <w:right w:w="15" w:type="dxa"/>
            </w:tcMar>
            <w:vAlign w:val="center"/>
          </w:tcPr>
          <w:p w14:paraId="07CFBA36">
            <w:pPr>
              <w:pStyle w:val="45"/>
              <w:rPr>
                <w:rFonts w:hint="default"/>
              </w:rPr>
            </w:pPr>
            <w:r>
              <w:t xml:space="preserve">0.00 </w:t>
            </w:r>
          </w:p>
        </w:tc>
        <w:tc>
          <w:tcPr>
            <w:tcW w:w="1121" w:type="dxa"/>
            <w:noWrap/>
            <w:tcMar>
              <w:top w:w="15" w:type="dxa"/>
              <w:left w:w="15" w:type="dxa"/>
              <w:right w:w="15" w:type="dxa"/>
            </w:tcMar>
            <w:vAlign w:val="center"/>
          </w:tcPr>
          <w:p w14:paraId="1ECA54F2">
            <w:pPr>
              <w:pStyle w:val="45"/>
              <w:rPr>
                <w:rFonts w:hint="default"/>
              </w:rPr>
            </w:pPr>
            <w:r>
              <w:t xml:space="preserve">0.00 </w:t>
            </w:r>
          </w:p>
        </w:tc>
        <w:tc>
          <w:tcPr>
            <w:tcW w:w="1121" w:type="dxa"/>
            <w:noWrap/>
            <w:tcMar>
              <w:top w:w="15" w:type="dxa"/>
              <w:left w:w="15" w:type="dxa"/>
              <w:right w:w="15" w:type="dxa"/>
            </w:tcMar>
            <w:vAlign w:val="center"/>
          </w:tcPr>
          <w:p w14:paraId="560DF255">
            <w:pPr>
              <w:pStyle w:val="45"/>
              <w:rPr>
                <w:rFonts w:hint="default"/>
              </w:rPr>
            </w:pPr>
            <w:r>
              <w:t xml:space="preserve">0.00 </w:t>
            </w:r>
          </w:p>
        </w:tc>
        <w:tc>
          <w:tcPr>
            <w:tcW w:w="1736" w:type="dxa"/>
            <w:noWrap/>
            <w:tcMar>
              <w:top w:w="15" w:type="dxa"/>
              <w:left w:w="15" w:type="dxa"/>
              <w:right w:w="15" w:type="dxa"/>
            </w:tcMar>
            <w:vAlign w:val="center"/>
          </w:tcPr>
          <w:p w14:paraId="067CFA76">
            <w:pPr>
              <w:pStyle w:val="45"/>
              <w:rPr>
                <w:rFonts w:hint="default"/>
              </w:rPr>
            </w:pPr>
            <w:r>
              <w:t xml:space="preserve">0.00 </w:t>
            </w:r>
          </w:p>
        </w:tc>
        <w:tc>
          <w:tcPr>
            <w:tcW w:w="1736" w:type="dxa"/>
            <w:noWrap/>
            <w:tcMar>
              <w:top w:w="15" w:type="dxa"/>
              <w:left w:w="15" w:type="dxa"/>
              <w:right w:w="15" w:type="dxa"/>
            </w:tcMar>
            <w:vAlign w:val="center"/>
          </w:tcPr>
          <w:p w14:paraId="50FAD802">
            <w:pPr>
              <w:pStyle w:val="45"/>
              <w:rPr>
                <w:rFonts w:hint="default"/>
              </w:rPr>
            </w:pPr>
            <w:r>
              <w:t xml:space="preserve">0.00 </w:t>
            </w:r>
          </w:p>
        </w:tc>
        <w:tc>
          <w:tcPr>
            <w:tcW w:w="1736" w:type="dxa"/>
            <w:noWrap/>
            <w:tcMar>
              <w:top w:w="15" w:type="dxa"/>
              <w:left w:w="15" w:type="dxa"/>
              <w:right w:w="15" w:type="dxa"/>
            </w:tcMar>
            <w:vAlign w:val="center"/>
          </w:tcPr>
          <w:p w14:paraId="74CA70DD">
            <w:pPr>
              <w:pStyle w:val="45"/>
              <w:rPr>
                <w:rFonts w:hint="default"/>
              </w:rPr>
            </w:pPr>
            <w:r>
              <w:t xml:space="preserve">0.00 </w:t>
            </w:r>
          </w:p>
        </w:tc>
        <w:tc>
          <w:tcPr>
            <w:tcW w:w="1736" w:type="dxa"/>
            <w:noWrap/>
            <w:tcMar>
              <w:top w:w="15" w:type="dxa"/>
              <w:left w:w="15" w:type="dxa"/>
              <w:right w:w="15" w:type="dxa"/>
            </w:tcMar>
            <w:vAlign w:val="center"/>
          </w:tcPr>
          <w:p w14:paraId="67B4B95B">
            <w:pPr>
              <w:pStyle w:val="45"/>
              <w:rPr>
                <w:rFonts w:hint="default"/>
              </w:rPr>
            </w:pPr>
            <w:r>
              <w:t xml:space="preserve">71.94 </w:t>
            </w:r>
          </w:p>
        </w:tc>
      </w:tr>
      <w:tr w14:paraId="294BF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24EEC0E9">
            <w:pPr>
              <w:pStyle w:val="45"/>
              <w:rPr>
                <w:rFonts w:hint="default"/>
              </w:rPr>
            </w:pPr>
          </w:p>
        </w:tc>
        <w:tc>
          <w:tcPr>
            <w:tcW w:w="1018" w:type="dxa"/>
            <w:noWrap/>
            <w:tcMar>
              <w:top w:w="15" w:type="dxa"/>
              <w:left w:w="15" w:type="dxa"/>
              <w:right w:w="15" w:type="dxa"/>
            </w:tcMar>
            <w:vAlign w:val="center"/>
          </w:tcPr>
          <w:p w14:paraId="7AEC22C0">
            <w:pPr>
              <w:pStyle w:val="45"/>
              <w:rPr>
                <w:rFonts w:hint="default"/>
              </w:rPr>
            </w:pPr>
            <w:r>
              <w:t>850</w:t>
            </w:r>
          </w:p>
        </w:tc>
        <w:tc>
          <w:tcPr>
            <w:tcW w:w="1121" w:type="dxa"/>
            <w:noWrap/>
            <w:tcMar>
              <w:top w:w="15" w:type="dxa"/>
              <w:left w:w="15" w:type="dxa"/>
              <w:right w:w="15" w:type="dxa"/>
            </w:tcMar>
            <w:vAlign w:val="center"/>
          </w:tcPr>
          <w:p w14:paraId="795A2E99">
            <w:pPr>
              <w:pStyle w:val="45"/>
              <w:rPr>
                <w:rFonts w:hint="default"/>
              </w:rPr>
            </w:pPr>
            <w:r>
              <w:t xml:space="preserve">0.00 </w:t>
            </w:r>
          </w:p>
        </w:tc>
        <w:tc>
          <w:tcPr>
            <w:tcW w:w="1121" w:type="dxa"/>
            <w:noWrap/>
            <w:tcMar>
              <w:top w:w="15" w:type="dxa"/>
              <w:left w:w="15" w:type="dxa"/>
              <w:right w:w="15" w:type="dxa"/>
            </w:tcMar>
            <w:vAlign w:val="center"/>
          </w:tcPr>
          <w:p w14:paraId="5FF45489">
            <w:pPr>
              <w:pStyle w:val="45"/>
              <w:rPr>
                <w:rFonts w:hint="default"/>
              </w:rPr>
            </w:pPr>
            <w:r>
              <w:t xml:space="preserve">0.00 </w:t>
            </w:r>
          </w:p>
        </w:tc>
        <w:tc>
          <w:tcPr>
            <w:tcW w:w="1121" w:type="dxa"/>
            <w:noWrap/>
            <w:tcMar>
              <w:top w:w="15" w:type="dxa"/>
              <w:left w:w="15" w:type="dxa"/>
              <w:right w:w="15" w:type="dxa"/>
            </w:tcMar>
            <w:vAlign w:val="center"/>
          </w:tcPr>
          <w:p w14:paraId="6D60FE5C">
            <w:pPr>
              <w:pStyle w:val="45"/>
              <w:rPr>
                <w:rFonts w:hint="default"/>
              </w:rPr>
            </w:pPr>
            <w:r>
              <w:t xml:space="preserve">0.00 </w:t>
            </w:r>
          </w:p>
        </w:tc>
        <w:tc>
          <w:tcPr>
            <w:tcW w:w="1121" w:type="dxa"/>
            <w:noWrap/>
            <w:tcMar>
              <w:top w:w="15" w:type="dxa"/>
              <w:left w:w="15" w:type="dxa"/>
              <w:right w:w="15" w:type="dxa"/>
            </w:tcMar>
            <w:vAlign w:val="center"/>
          </w:tcPr>
          <w:p w14:paraId="1B0B57DF">
            <w:pPr>
              <w:pStyle w:val="45"/>
              <w:rPr>
                <w:rFonts w:hint="default"/>
              </w:rPr>
            </w:pPr>
            <w:r>
              <w:t xml:space="preserve">0.00 </w:t>
            </w:r>
          </w:p>
        </w:tc>
        <w:tc>
          <w:tcPr>
            <w:tcW w:w="1736" w:type="dxa"/>
            <w:noWrap/>
            <w:tcMar>
              <w:top w:w="15" w:type="dxa"/>
              <w:left w:w="15" w:type="dxa"/>
              <w:right w:w="15" w:type="dxa"/>
            </w:tcMar>
            <w:vAlign w:val="center"/>
          </w:tcPr>
          <w:p w14:paraId="0BC66C11">
            <w:pPr>
              <w:pStyle w:val="45"/>
              <w:rPr>
                <w:rFonts w:hint="default"/>
              </w:rPr>
            </w:pPr>
            <w:r>
              <w:t xml:space="preserve">0.00 </w:t>
            </w:r>
          </w:p>
        </w:tc>
        <w:tc>
          <w:tcPr>
            <w:tcW w:w="1736" w:type="dxa"/>
            <w:noWrap/>
            <w:tcMar>
              <w:top w:w="15" w:type="dxa"/>
              <w:left w:w="15" w:type="dxa"/>
              <w:right w:w="15" w:type="dxa"/>
            </w:tcMar>
            <w:vAlign w:val="center"/>
          </w:tcPr>
          <w:p w14:paraId="2E44A448">
            <w:pPr>
              <w:pStyle w:val="45"/>
              <w:rPr>
                <w:rFonts w:hint="default"/>
              </w:rPr>
            </w:pPr>
            <w:r>
              <w:t xml:space="preserve">0.00 </w:t>
            </w:r>
          </w:p>
        </w:tc>
        <w:tc>
          <w:tcPr>
            <w:tcW w:w="1736" w:type="dxa"/>
            <w:noWrap/>
            <w:tcMar>
              <w:top w:w="15" w:type="dxa"/>
              <w:left w:w="15" w:type="dxa"/>
              <w:right w:w="15" w:type="dxa"/>
            </w:tcMar>
            <w:vAlign w:val="center"/>
          </w:tcPr>
          <w:p w14:paraId="30C6F5C1">
            <w:pPr>
              <w:pStyle w:val="45"/>
              <w:rPr>
                <w:rFonts w:hint="default"/>
              </w:rPr>
            </w:pPr>
            <w:r>
              <w:t xml:space="preserve">0.00 </w:t>
            </w:r>
          </w:p>
        </w:tc>
        <w:tc>
          <w:tcPr>
            <w:tcW w:w="1736" w:type="dxa"/>
            <w:noWrap/>
            <w:tcMar>
              <w:top w:w="15" w:type="dxa"/>
              <w:left w:w="15" w:type="dxa"/>
              <w:right w:w="15" w:type="dxa"/>
            </w:tcMar>
            <w:vAlign w:val="center"/>
          </w:tcPr>
          <w:p w14:paraId="5D961755">
            <w:pPr>
              <w:pStyle w:val="45"/>
              <w:rPr>
                <w:rFonts w:hint="default"/>
              </w:rPr>
            </w:pPr>
            <w:r>
              <w:t xml:space="preserve">7.29 </w:t>
            </w:r>
          </w:p>
        </w:tc>
      </w:tr>
      <w:tr w14:paraId="3080B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542" w:type="dxa"/>
            <w:vMerge w:val="continue"/>
            <w:noWrap/>
            <w:tcMar>
              <w:top w:w="15" w:type="dxa"/>
              <w:left w:w="15" w:type="dxa"/>
              <w:right w:w="15" w:type="dxa"/>
            </w:tcMar>
            <w:textDirection w:val="tbRlV"/>
            <w:vAlign w:val="center"/>
          </w:tcPr>
          <w:p w14:paraId="68A3F222">
            <w:pPr>
              <w:pStyle w:val="45"/>
              <w:rPr>
                <w:rFonts w:hint="default"/>
              </w:rPr>
            </w:pPr>
          </w:p>
        </w:tc>
        <w:tc>
          <w:tcPr>
            <w:tcW w:w="1018" w:type="dxa"/>
            <w:noWrap/>
            <w:tcMar>
              <w:top w:w="15" w:type="dxa"/>
              <w:left w:w="15" w:type="dxa"/>
              <w:right w:w="15" w:type="dxa"/>
            </w:tcMar>
            <w:vAlign w:val="center"/>
          </w:tcPr>
          <w:p w14:paraId="2AA87109">
            <w:pPr>
              <w:pStyle w:val="45"/>
              <w:rPr>
                <w:rFonts w:hint="default"/>
              </w:rPr>
            </w:pPr>
            <w:r>
              <w:t>900</w:t>
            </w:r>
          </w:p>
        </w:tc>
        <w:tc>
          <w:tcPr>
            <w:tcW w:w="1121" w:type="dxa"/>
            <w:noWrap/>
            <w:tcMar>
              <w:top w:w="15" w:type="dxa"/>
              <w:left w:w="15" w:type="dxa"/>
              <w:right w:w="15" w:type="dxa"/>
            </w:tcMar>
            <w:vAlign w:val="center"/>
          </w:tcPr>
          <w:p w14:paraId="07728F10">
            <w:pPr>
              <w:pStyle w:val="45"/>
              <w:rPr>
                <w:rFonts w:hint="default"/>
              </w:rPr>
            </w:pPr>
            <w:r>
              <w:t xml:space="preserve">0.00 </w:t>
            </w:r>
          </w:p>
        </w:tc>
        <w:tc>
          <w:tcPr>
            <w:tcW w:w="1121" w:type="dxa"/>
            <w:noWrap/>
            <w:tcMar>
              <w:top w:w="15" w:type="dxa"/>
              <w:left w:w="15" w:type="dxa"/>
              <w:right w:w="15" w:type="dxa"/>
            </w:tcMar>
            <w:vAlign w:val="center"/>
          </w:tcPr>
          <w:p w14:paraId="5BBC1995">
            <w:pPr>
              <w:pStyle w:val="45"/>
              <w:rPr>
                <w:rFonts w:hint="default"/>
              </w:rPr>
            </w:pPr>
            <w:r>
              <w:t xml:space="preserve">0.00 </w:t>
            </w:r>
          </w:p>
        </w:tc>
        <w:tc>
          <w:tcPr>
            <w:tcW w:w="1121" w:type="dxa"/>
            <w:noWrap/>
            <w:tcMar>
              <w:top w:w="15" w:type="dxa"/>
              <w:left w:w="15" w:type="dxa"/>
              <w:right w:w="15" w:type="dxa"/>
            </w:tcMar>
            <w:vAlign w:val="center"/>
          </w:tcPr>
          <w:p w14:paraId="03BD8AAF">
            <w:pPr>
              <w:pStyle w:val="45"/>
              <w:rPr>
                <w:rFonts w:hint="default"/>
              </w:rPr>
            </w:pPr>
            <w:r>
              <w:t xml:space="preserve">0.00 </w:t>
            </w:r>
          </w:p>
        </w:tc>
        <w:tc>
          <w:tcPr>
            <w:tcW w:w="1121" w:type="dxa"/>
            <w:noWrap/>
            <w:tcMar>
              <w:top w:w="15" w:type="dxa"/>
              <w:left w:w="15" w:type="dxa"/>
              <w:right w:w="15" w:type="dxa"/>
            </w:tcMar>
            <w:vAlign w:val="center"/>
          </w:tcPr>
          <w:p w14:paraId="4A33728F">
            <w:pPr>
              <w:pStyle w:val="45"/>
              <w:rPr>
                <w:rFonts w:hint="default"/>
              </w:rPr>
            </w:pPr>
            <w:r>
              <w:t xml:space="preserve">0.00 </w:t>
            </w:r>
          </w:p>
        </w:tc>
        <w:tc>
          <w:tcPr>
            <w:tcW w:w="1736" w:type="dxa"/>
            <w:noWrap/>
            <w:tcMar>
              <w:top w:w="15" w:type="dxa"/>
              <w:left w:w="15" w:type="dxa"/>
              <w:right w:w="15" w:type="dxa"/>
            </w:tcMar>
            <w:vAlign w:val="center"/>
          </w:tcPr>
          <w:p w14:paraId="51F7447C">
            <w:pPr>
              <w:pStyle w:val="45"/>
              <w:rPr>
                <w:rFonts w:hint="default"/>
              </w:rPr>
            </w:pPr>
            <w:r>
              <w:t xml:space="preserve">0.00 </w:t>
            </w:r>
          </w:p>
        </w:tc>
        <w:tc>
          <w:tcPr>
            <w:tcW w:w="1736" w:type="dxa"/>
            <w:noWrap/>
            <w:tcMar>
              <w:top w:w="15" w:type="dxa"/>
              <w:left w:w="15" w:type="dxa"/>
              <w:right w:w="15" w:type="dxa"/>
            </w:tcMar>
            <w:vAlign w:val="center"/>
          </w:tcPr>
          <w:p w14:paraId="2E8AB775">
            <w:pPr>
              <w:pStyle w:val="45"/>
              <w:rPr>
                <w:rFonts w:hint="default"/>
              </w:rPr>
            </w:pPr>
            <w:r>
              <w:t xml:space="preserve">0.00 </w:t>
            </w:r>
          </w:p>
        </w:tc>
        <w:tc>
          <w:tcPr>
            <w:tcW w:w="1736" w:type="dxa"/>
            <w:noWrap/>
            <w:tcMar>
              <w:top w:w="15" w:type="dxa"/>
              <w:left w:w="15" w:type="dxa"/>
              <w:right w:w="15" w:type="dxa"/>
            </w:tcMar>
            <w:vAlign w:val="center"/>
          </w:tcPr>
          <w:p w14:paraId="7B45A26D">
            <w:pPr>
              <w:pStyle w:val="45"/>
              <w:rPr>
                <w:rFonts w:hint="default"/>
              </w:rPr>
            </w:pPr>
            <w:r>
              <w:t xml:space="preserve">0.00 </w:t>
            </w:r>
          </w:p>
        </w:tc>
        <w:tc>
          <w:tcPr>
            <w:tcW w:w="1736" w:type="dxa"/>
            <w:noWrap/>
            <w:tcMar>
              <w:top w:w="15" w:type="dxa"/>
              <w:left w:w="15" w:type="dxa"/>
              <w:right w:w="15" w:type="dxa"/>
            </w:tcMar>
            <w:vAlign w:val="center"/>
          </w:tcPr>
          <w:p w14:paraId="45DDC808">
            <w:pPr>
              <w:pStyle w:val="45"/>
              <w:rPr>
                <w:rFonts w:hint="default"/>
              </w:rPr>
            </w:pPr>
            <w:r>
              <w:t xml:space="preserve">0.56 </w:t>
            </w:r>
          </w:p>
        </w:tc>
      </w:tr>
      <w:tr w14:paraId="2D0DB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524A8932">
            <w:pPr>
              <w:pStyle w:val="45"/>
              <w:rPr>
                <w:rFonts w:hint="default"/>
              </w:rPr>
            </w:pPr>
          </w:p>
        </w:tc>
        <w:tc>
          <w:tcPr>
            <w:tcW w:w="1018" w:type="dxa"/>
            <w:noWrap/>
            <w:tcMar>
              <w:top w:w="15" w:type="dxa"/>
              <w:left w:w="15" w:type="dxa"/>
              <w:right w:w="15" w:type="dxa"/>
            </w:tcMar>
            <w:vAlign w:val="center"/>
          </w:tcPr>
          <w:p w14:paraId="779CDF64">
            <w:pPr>
              <w:pStyle w:val="45"/>
              <w:rPr>
                <w:rFonts w:hint="default"/>
              </w:rPr>
            </w:pPr>
            <w:r>
              <w:t>950</w:t>
            </w:r>
          </w:p>
        </w:tc>
        <w:tc>
          <w:tcPr>
            <w:tcW w:w="1121" w:type="dxa"/>
            <w:noWrap/>
            <w:tcMar>
              <w:top w:w="15" w:type="dxa"/>
              <w:left w:w="15" w:type="dxa"/>
              <w:right w:w="15" w:type="dxa"/>
            </w:tcMar>
            <w:vAlign w:val="center"/>
          </w:tcPr>
          <w:p w14:paraId="0312417F">
            <w:pPr>
              <w:pStyle w:val="45"/>
              <w:rPr>
                <w:rFonts w:hint="default"/>
              </w:rPr>
            </w:pPr>
            <w:r>
              <w:t xml:space="preserve">0.00 </w:t>
            </w:r>
          </w:p>
        </w:tc>
        <w:tc>
          <w:tcPr>
            <w:tcW w:w="1121" w:type="dxa"/>
            <w:noWrap/>
            <w:tcMar>
              <w:top w:w="15" w:type="dxa"/>
              <w:left w:w="15" w:type="dxa"/>
              <w:right w:w="15" w:type="dxa"/>
            </w:tcMar>
            <w:vAlign w:val="center"/>
          </w:tcPr>
          <w:p w14:paraId="3236C021">
            <w:pPr>
              <w:pStyle w:val="45"/>
              <w:rPr>
                <w:rFonts w:hint="default"/>
              </w:rPr>
            </w:pPr>
            <w:r>
              <w:t xml:space="preserve">0.00 </w:t>
            </w:r>
          </w:p>
        </w:tc>
        <w:tc>
          <w:tcPr>
            <w:tcW w:w="1121" w:type="dxa"/>
            <w:noWrap/>
            <w:tcMar>
              <w:top w:w="15" w:type="dxa"/>
              <w:left w:w="15" w:type="dxa"/>
              <w:right w:w="15" w:type="dxa"/>
            </w:tcMar>
            <w:vAlign w:val="center"/>
          </w:tcPr>
          <w:p w14:paraId="0F028FAC">
            <w:pPr>
              <w:pStyle w:val="45"/>
              <w:rPr>
                <w:rFonts w:hint="default"/>
              </w:rPr>
            </w:pPr>
            <w:r>
              <w:t xml:space="preserve">0.00 </w:t>
            </w:r>
          </w:p>
        </w:tc>
        <w:tc>
          <w:tcPr>
            <w:tcW w:w="1121" w:type="dxa"/>
            <w:noWrap/>
            <w:tcMar>
              <w:top w:w="15" w:type="dxa"/>
              <w:left w:w="15" w:type="dxa"/>
              <w:right w:w="15" w:type="dxa"/>
            </w:tcMar>
            <w:vAlign w:val="center"/>
          </w:tcPr>
          <w:p w14:paraId="1AA18BAC">
            <w:pPr>
              <w:pStyle w:val="45"/>
              <w:rPr>
                <w:rFonts w:hint="default"/>
              </w:rPr>
            </w:pPr>
            <w:r>
              <w:t xml:space="preserve">0.00 </w:t>
            </w:r>
          </w:p>
        </w:tc>
        <w:tc>
          <w:tcPr>
            <w:tcW w:w="1736" w:type="dxa"/>
            <w:noWrap/>
            <w:tcMar>
              <w:top w:w="15" w:type="dxa"/>
              <w:left w:w="15" w:type="dxa"/>
              <w:right w:w="15" w:type="dxa"/>
            </w:tcMar>
            <w:vAlign w:val="center"/>
          </w:tcPr>
          <w:p w14:paraId="47BC70AC">
            <w:pPr>
              <w:pStyle w:val="45"/>
              <w:rPr>
                <w:rFonts w:hint="default"/>
              </w:rPr>
            </w:pPr>
            <w:r>
              <w:t xml:space="preserve">0.00 </w:t>
            </w:r>
          </w:p>
        </w:tc>
        <w:tc>
          <w:tcPr>
            <w:tcW w:w="1736" w:type="dxa"/>
            <w:noWrap/>
            <w:tcMar>
              <w:top w:w="15" w:type="dxa"/>
              <w:left w:w="15" w:type="dxa"/>
              <w:right w:w="15" w:type="dxa"/>
            </w:tcMar>
            <w:vAlign w:val="center"/>
          </w:tcPr>
          <w:p w14:paraId="1B0F385E">
            <w:pPr>
              <w:pStyle w:val="45"/>
              <w:rPr>
                <w:rFonts w:hint="default"/>
              </w:rPr>
            </w:pPr>
            <w:r>
              <w:t xml:space="preserve">0.00 </w:t>
            </w:r>
          </w:p>
        </w:tc>
        <w:tc>
          <w:tcPr>
            <w:tcW w:w="1736" w:type="dxa"/>
            <w:noWrap/>
            <w:tcMar>
              <w:top w:w="15" w:type="dxa"/>
              <w:left w:w="15" w:type="dxa"/>
              <w:right w:w="15" w:type="dxa"/>
            </w:tcMar>
            <w:vAlign w:val="center"/>
          </w:tcPr>
          <w:p w14:paraId="63C798B1">
            <w:pPr>
              <w:pStyle w:val="45"/>
              <w:rPr>
                <w:rFonts w:hint="default"/>
              </w:rPr>
            </w:pPr>
            <w:r>
              <w:t xml:space="preserve">0.00 </w:t>
            </w:r>
          </w:p>
        </w:tc>
        <w:tc>
          <w:tcPr>
            <w:tcW w:w="1736" w:type="dxa"/>
            <w:noWrap/>
            <w:tcMar>
              <w:top w:w="15" w:type="dxa"/>
              <w:left w:w="15" w:type="dxa"/>
              <w:right w:w="15" w:type="dxa"/>
            </w:tcMar>
            <w:vAlign w:val="center"/>
          </w:tcPr>
          <w:p w14:paraId="67CC5C19">
            <w:pPr>
              <w:pStyle w:val="45"/>
              <w:rPr>
                <w:rFonts w:hint="default"/>
              </w:rPr>
            </w:pPr>
            <w:r>
              <w:t xml:space="preserve">0.03 </w:t>
            </w:r>
          </w:p>
        </w:tc>
      </w:tr>
      <w:tr w14:paraId="2937B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 w:hRule="atLeast"/>
        </w:trPr>
        <w:tc>
          <w:tcPr>
            <w:tcW w:w="1542" w:type="dxa"/>
            <w:vMerge w:val="continue"/>
            <w:noWrap/>
            <w:tcMar>
              <w:top w:w="15" w:type="dxa"/>
              <w:left w:w="15" w:type="dxa"/>
              <w:right w:w="15" w:type="dxa"/>
            </w:tcMar>
            <w:textDirection w:val="tbRlV"/>
            <w:vAlign w:val="center"/>
          </w:tcPr>
          <w:p w14:paraId="0298AE96">
            <w:pPr>
              <w:pStyle w:val="45"/>
              <w:rPr>
                <w:rFonts w:hint="default"/>
              </w:rPr>
            </w:pPr>
          </w:p>
        </w:tc>
        <w:tc>
          <w:tcPr>
            <w:tcW w:w="1018" w:type="dxa"/>
            <w:noWrap/>
            <w:tcMar>
              <w:top w:w="15" w:type="dxa"/>
              <w:left w:w="15" w:type="dxa"/>
              <w:right w:w="15" w:type="dxa"/>
            </w:tcMar>
            <w:vAlign w:val="center"/>
          </w:tcPr>
          <w:p w14:paraId="34DB588F">
            <w:pPr>
              <w:pStyle w:val="45"/>
              <w:rPr>
                <w:rFonts w:hint="default"/>
              </w:rPr>
            </w:pPr>
            <w:r>
              <w:t>1000</w:t>
            </w:r>
          </w:p>
        </w:tc>
        <w:tc>
          <w:tcPr>
            <w:tcW w:w="1121" w:type="dxa"/>
            <w:noWrap/>
            <w:tcMar>
              <w:top w:w="15" w:type="dxa"/>
              <w:left w:w="15" w:type="dxa"/>
              <w:right w:w="15" w:type="dxa"/>
            </w:tcMar>
            <w:vAlign w:val="center"/>
          </w:tcPr>
          <w:p w14:paraId="32C281D4">
            <w:pPr>
              <w:pStyle w:val="45"/>
              <w:rPr>
                <w:rFonts w:hint="default"/>
              </w:rPr>
            </w:pPr>
            <w:r>
              <w:t xml:space="preserve">0.00 </w:t>
            </w:r>
          </w:p>
        </w:tc>
        <w:tc>
          <w:tcPr>
            <w:tcW w:w="1121" w:type="dxa"/>
            <w:noWrap/>
            <w:tcMar>
              <w:top w:w="15" w:type="dxa"/>
              <w:left w:w="15" w:type="dxa"/>
              <w:right w:w="15" w:type="dxa"/>
            </w:tcMar>
            <w:vAlign w:val="center"/>
          </w:tcPr>
          <w:p w14:paraId="00A15A84">
            <w:pPr>
              <w:pStyle w:val="45"/>
              <w:rPr>
                <w:rFonts w:hint="default"/>
              </w:rPr>
            </w:pPr>
            <w:r>
              <w:t xml:space="preserve">0.00 </w:t>
            </w:r>
          </w:p>
        </w:tc>
        <w:tc>
          <w:tcPr>
            <w:tcW w:w="1121" w:type="dxa"/>
            <w:noWrap/>
            <w:tcMar>
              <w:top w:w="15" w:type="dxa"/>
              <w:left w:w="15" w:type="dxa"/>
              <w:right w:w="15" w:type="dxa"/>
            </w:tcMar>
            <w:vAlign w:val="center"/>
          </w:tcPr>
          <w:p w14:paraId="224E8FAB">
            <w:pPr>
              <w:pStyle w:val="45"/>
              <w:rPr>
                <w:rFonts w:hint="default"/>
              </w:rPr>
            </w:pPr>
            <w:r>
              <w:t xml:space="preserve">0.00 </w:t>
            </w:r>
          </w:p>
        </w:tc>
        <w:tc>
          <w:tcPr>
            <w:tcW w:w="1121" w:type="dxa"/>
            <w:noWrap/>
            <w:tcMar>
              <w:top w:w="15" w:type="dxa"/>
              <w:left w:w="15" w:type="dxa"/>
              <w:right w:w="15" w:type="dxa"/>
            </w:tcMar>
            <w:vAlign w:val="center"/>
          </w:tcPr>
          <w:p w14:paraId="50F16490">
            <w:pPr>
              <w:pStyle w:val="45"/>
              <w:rPr>
                <w:rFonts w:hint="default"/>
              </w:rPr>
            </w:pPr>
            <w:r>
              <w:t xml:space="preserve">0.00 </w:t>
            </w:r>
          </w:p>
        </w:tc>
        <w:tc>
          <w:tcPr>
            <w:tcW w:w="1736" w:type="dxa"/>
            <w:noWrap/>
            <w:tcMar>
              <w:top w:w="15" w:type="dxa"/>
              <w:left w:w="15" w:type="dxa"/>
              <w:right w:w="15" w:type="dxa"/>
            </w:tcMar>
            <w:vAlign w:val="center"/>
          </w:tcPr>
          <w:p w14:paraId="048147A8">
            <w:pPr>
              <w:pStyle w:val="45"/>
              <w:rPr>
                <w:rFonts w:hint="default"/>
              </w:rPr>
            </w:pPr>
            <w:r>
              <w:t xml:space="preserve">0.00 </w:t>
            </w:r>
          </w:p>
        </w:tc>
        <w:tc>
          <w:tcPr>
            <w:tcW w:w="1736" w:type="dxa"/>
            <w:noWrap/>
            <w:tcMar>
              <w:top w:w="15" w:type="dxa"/>
              <w:left w:w="15" w:type="dxa"/>
              <w:right w:w="15" w:type="dxa"/>
            </w:tcMar>
            <w:vAlign w:val="center"/>
          </w:tcPr>
          <w:p w14:paraId="0B126D44">
            <w:pPr>
              <w:pStyle w:val="45"/>
              <w:rPr>
                <w:rFonts w:hint="default"/>
              </w:rPr>
            </w:pPr>
            <w:r>
              <w:t xml:space="preserve">0.00 </w:t>
            </w:r>
          </w:p>
        </w:tc>
        <w:tc>
          <w:tcPr>
            <w:tcW w:w="1736" w:type="dxa"/>
            <w:noWrap/>
            <w:tcMar>
              <w:top w:w="15" w:type="dxa"/>
              <w:left w:w="15" w:type="dxa"/>
              <w:right w:w="15" w:type="dxa"/>
            </w:tcMar>
            <w:vAlign w:val="center"/>
          </w:tcPr>
          <w:p w14:paraId="7ABE5684">
            <w:pPr>
              <w:pStyle w:val="45"/>
              <w:rPr>
                <w:rFonts w:hint="default"/>
              </w:rPr>
            </w:pPr>
            <w:r>
              <w:t xml:space="preserve">0.00 </w:t>
            </w:r>
          </w:p>
        </w:tc>
        <w:tc>
          <w:tcPr>
            <w:tcW w:w="1736" w:type="dxa"/>
            <w:noWrap/>
            <w:tcMar>
              <w:top w:w="15" w:type="dxa"/>
              <w:left w:w="15" w:type="dxa"/>
              <w:right w:w="15" w:type="dxa"/>
            </w:tcMar>
            <w:vAlign w:val="center"/>
          </w:tcPr>
          <w:p w14:paraId="1DA2E915">
            <w:pPr>
              <w:pStyle w:val="45"/>
              <w:rPr>
                <w:rFonts w:hint="default"/>
              </w:rPr>
            </w:pPr>
            <w:r>
              <w:t xml:space="preserve">0.00 </w:t>
            </w:r>
          </w:p>
        </w:tc>
      </w:tr>
    </w:tbl>
    <w:p w14:paraId="6B948BEB">
      <w:pPr>
        <w:ind w:firstLine="0" w:firstLineChars="0"/>
        <w:rPr>
          <w:color w:val="FF0000"/>
        </w:rPr>
      </w:pPr>
    </w:p>
    <w:p w14:paraId="19645AE0">
      <w:pPr>
        <w:ind w:firstLine="0" w:firstLineChars="0"/>
        <w:jc w:val="center"/>
      </w:pPr>
      <w:r>
        <w:drawing>
          <wp:inline distT="0" distB="0" distL="114300" distR="114300">
            <wp:extent cx="8020050" cy="3791585"/>
            <wp:effectExtent l="6350" t="6350" r="12700" b="12065"/>
            <wp:docPr id="48" name="图表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4D1ED9A8">
      <w:pPr>
        <w:pStyle w:val="42"/>
        <w:numPr>
          <w:ilvl w:val="6"/>
          <w:numId w:val="1"/>
        </w:numPr>
        <w:rPr>
          <w:rFonts w:hint="default"/>
        </w:rPr>
      </w:pPr>
      <w:r>
        <w:t>盐酸泄漏污染物氯化物渗漏情况预测统计图</w:t>
      </w:r>
    </w:p>
    <w:p w14:paraId="151CCC8E">
      <w:pPr>
        <w:ind w:firstLine="480"/>
      </w:pPr>
    </w:p>
    <w:p w14:paraId="50428076">
      <w:pPr>
        <w:ind w:firstLine="480"/>
      </w:pPr>
      <w:r>
        <w:t>根据预测结果可知，发生上述非正常状况时，地下水局部范围短期内会处于超标状态。由预测结果可知，随着时间延续，地下水中污染物浓度峰值逐步降低，但影响范围增大。介于项目所在地水力梯度很小，因此即使发生泄漏，污染范围也十分有限。</w:t>
      </w:r>
    </w:p>
    <w:p w14:paraId="000DADE9">
      <w:pPr>
        <w:ind w:firstLine="0" w:firstLineChars="0"/>
        <w:jc w:val="cente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099344EF">
      <w:pPr>
        <w:pStyle w:val="5"/>
        <w:numPr>
          <w:ilvl w:val="3"/>
          <w:numId w:val="1"/>
        </w:numPr>
      </w:pPr>
      <w:r>
        <w:rPr>
          <w:rFonts w:hint="eastAsia"/>
        </w:rPr>
        <w:t>分析评价</w:t>
      </w:r>
    </w:p>
    <w:p w14:paraId="247DA577">
      <w:pPr>
        <w:ind w:firstLine="480"/>
      </w:pPr>
      <w:r>
        <w:t>根据预测分析结果，在地下水防渗设施不健全，或事故性泄漏情况下，污染物持续渗入地下水，将对项目场区所在地及其下游地下水环境造成影响，致使地下水中特征污染物超标，超标范围随着泄漏时间的增加而增大，污染物浓度逐步降低。根据预测结果，除项目泄漏点及其下游一定范围以外地区，特征污染物能够满足《地下水质量标准》Ⅲ类标准限值要求，项目下游不存在地下水保护目标，因此在预测时间内不会影响到地下水安全。目前厂区现有防渗体系效果良好，本项目建设将采取更加严格的地下水防渗体系，对地下水的污染影响理论上不会超过现有水平，因此，项目的运营不会对地下的造成明显影响。</w:t>
      </w:r>
    </w:p>
    <w:p w14:paraId="719198EA">
      <w:pPr>
        <w:ind w:firstLine="480"/>
      </w:pPr>
      <w:r>
        <w:t>总体来说，本项目在严格执行环保措施后，不会影响到评价范围内用水安全，对地下水质的环境影响可以接受。</w:t>
      </w:r>
    </w:p>
    <w:p w14:paraId="6B89353C">
      <w:pPr>
        <w:pStyle w:val="3"/>
        <w:numPr>
          <w:ilvl w:val="1"/>
          <w:numId w:val="1"/>
        </w:numPr>
      </w:pPr>
      <w:bookmarkStart w:id="238" w:name="_Toc24516"/>
      <w:r>
        <w:t>大气环境影响预测与评价</w:t>
      </w:r>
      <w:bookmarkEnd w:id="234"/>
      <w:bookmarkEnd w:id="235"/>
      <w:bookmarkEnd w:id="238"/>
    </w:p>
    <w:p w14:paraId="707038E8">
      <w:pPr>
        <w:pStyle w:val="4"/>
        <w:numPr>
          <w:ilvl w:val="2"/>
          <w:numId w:val="1"/>
        </w:numPr>
      </w:pPr>
      <w:r>
        <w:rPr>
          <w:rFonts w:hint="eastAsia"/>
        </w:rPr>
        <w:t>气象调查</w:t>
      </w:r>
    </w:p>
    <w:p w14:paraId="4C45AC1E">
      <w:pPr>
        <w:pStyle w:val="6"/>
        <w:bidi w:val="0"/>
      </w:pPr>
      <w:bookmarkStart w:id="239" w:name="_Toc26934"/>
      <w:r>
        <w:t>评价区域地面常规气象资料</w:t>
      </w:r>
      <w:bookmarkEnd w:id="239"/>
    </w:p>
    <w:p w14:paraId="43FEAE3E">
      <w:pPr>
        <w:ind w:firstLine="480"/>
      </w:pPr>
      <w:r>
        <w:rPr>
          <w:rFonts w:hint="eastAsia"/>
        </w:rPr>
        <w:t>本项目选址距离衡阳市气象站约9km，厂区高程约6</w:t>
      </w:r>
      <w:r>
        <w:t>0</w:t>
      </w:r>
      <w:r>
        <w:rPr>
          <w:rFonts w:hint="eastAsia"/>
        </w:rPr>
        <w:t>m，衡阳市气象站坐标为北纬27°09′，东经112°95′，观测场海拔高度：65m。本项目厂址与衡阳气象站海拔高度大致相当，地形、地貌基本相似，与气象站属于同一气候区，且衡阳气象站是距离本项目最近的气象站。</w:t>
      </w:r>
      <w:r>
        <w:t>根据《环境影响评价技术导则—大气环境》：“地面气象资料需调查距离项目距离最近的气象观测站，近3年内的至少连续1年常规地面连续观测资料。”因此本次预测以收集的衡阳气象站2022年逐日逐时的地面风向、风速、气温、总云量为基础气象资料作为本次预测的地面气象条件，符合导则要求。</w:t>
      </w:r>
    </w:p>
    <w:p w14:paraId="212A0CA4">
      <w:pPr>
        <w:pStyle w:val="6"/>
        <w:bidi w:val="0"/>
      </w:pPr>
      <w:bookmarkStart w:id="240" w:name="_Toc642"/>
      <w:r>
        <w:t>衡阳市多年（近20年）常规气候统计资料</w:t>
      </w:r>
      <w:bookmarkEnd w:id="240"/>
    </w:p>
    <w:p w14:paraId="6FA2C444">
      <w:pPr>
        <w:ind w:firstLine="480"/>
      </w:pPr>
      <w:r>
        <w:rPr>
          <w:rFonts w:hint="eastAsia"/>
        </w:rPr>
        <w:t>衡阳市属湿润型亚热带大陆性气候，具有气候温和，四季分明，降水丰沛等特点。区域近20年平均气温</w:t>
      </w:r>
      <w:r>
        <w:t>19.1</w:t>
      </w:r>
      <w:r>
        <w:rPr>
          <w:rFonts w:hint="eastAsia"/>
        </w:rPr>
        <w:t>℃，年平均相对湿度72.</w:t>
      </w:r>
      <w:r>
        <w:t>1</w:t>
      </w:r>
      <w:r>
        <w:rPr>
          <w:rFonts w:hint="eastAsia"/>
        </w:rPr>
        <w:t>%，年平均气压1002.9hPa，多年年平均降水量12</w:t>
      </w:r>
      <w:r>
        <w:t>59.7</w:t>
      </w:r>
      <w:r>
        <w:rPr>
          <w:rFonts w:hint="eastAsia"/>
        </w:rPr>
        <w:t>mm，近20年平均风速1.8m/s，近20年主导风向NE（频率为1</w:t>
      </w:r>
      <w:r>
        <w:t>6.65</w:t>
      </w:r>
      <w:r>
        <w:rPr>
          <w:rFonts w:hint="eastAsia"/>
        </w:rPr>
        <w:t>%），近20年年静风频率</w:t>
      </w:r>
      <w:r>
        <w:t>5.7</w:t>
      </w:r>
      <w:r>
        <w:rPr>
          <w:rFonts w:hint="eastAsia"/>
        </w:rPr>
        <w:t>%。</w:t>
      </w:r>
    </w:p>
    <w:p w14:paraId="57C98414">
      <w:pPr>
        <w:ind w:firstLine="482"/>
        <w:rPr>
          <w:b/>
          <w:bCs/>
        </w:rPr>
      </w:pPr>
      <w:r>
        <w:rPr>
          <w:rFonts w:hint="eastAsia"/>
          <w:b/>
          <w:bCs/>
        </w:rPr>
        <w:t>①地面气象要素</w:t>
      </w:r>
    </w:p>
    <w:p w14:paraId="2A6488EB">
      <w:pPr>
        <w:ind w:firstLine="480"/>
      </w:pPr>
      <w:r>
        <w:rPr>
          <w:rFonts w:hint="eastAsia"/>
        </w:rPr>
        <w:t>常规气象观测资料根据衡阳气象观测站近20年来的气温、气压、温度、降水量、蒸发量等地面气象要素的统计结果见下表。</w:t>
      </w:r>
    </w:p>
    <w:p w14:paraId="07E7BF65">
      <w:pPr>
        <w:pStyle w:val="43"/>
        <w:numPr>
          <w:ilvl w:val="5"/>
          <w:numId w:val="1"/>
        </w:numPr>
        <w:rPr>
          <w:rFonts w:hint="default"/>
        </w:rPr>
      </w:pPr>
      <w:r>
        <w:t>衡阳市气象站常规地面气象要素统计值（2003-2022）</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1"/>
        <w:gridCol w:w="2875"/>
        <w:gridCol w:w="1204"/>
        <w:gridCol w:w="1760"/>
        <w:gridCol w:w="1062"/>
      </w:tblGrid>
      <w:tr w14:paraId="6C5E3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637" w:type="pct"/>
            <w:gridSpan w:val="2"/>
            <w:vAlign w:val="center"/>
          </w:tcPr>
          <w:p w14:paraId="3694EBFD">
            <w:pPr>
              <w:widowControl/>
              <w:adjustRightInd/>
              <w:spacing w:line="240" w:lineRule="auto"/>
              <w:ind w:firstLine="0" w:firstLineChars="0"/>
              <w:jc w:val="center"/>
              <w:rPr>
                <w:rFonts w:cs="Times New Roman"/>
                <w:b/>
                <w:sz w:val="21"/>
                <w:szCs w:val="21"/>
              </w:rPr>
            </w:pPr>
            <w:r>
              <w:rPr>
                <w:rFonts w:ascii="宋体" w:hAnsi="宋体" w:cs="Times New Roman"/>
                <w:b/>
                <w:sz w:val="21"/>
                <w:szCs w:val="21"/>
              </w:rPr>
              <w:t>统计项目</w:t>
            </w:r>
          </w:p>
        </w:tc>
        <w:tc>
          <w:tcPr>
            <w:tcW w:w="706" w:type="pct"/>
            <w:vAlign w:val="center"/>
          </w:tcPr>
          <w:p w14:paraId="590DB22F">
            <w:pPr>
              <w:widowControl/>
              <w:adjustRightInd/>
              <w:spacing w:line="240" w:lineRule="auto"/>
              <w:ind w:firstLine="0" w:firstLineChars="0"/>
              <w:jc w:val="center"/>
              <w:rPr>
                <w:rFonts w:cs="Times New Roman"/>
                <w:b/>
                <w:sz w:val="21"/>
                <w:szCs w:val="21"/>
              </w:rPr>
            </w:pPr>
            <w:r>
              <w:rPr>
                <w:rFonts w:ascii="宋体" w:hAnsi="宋体" w:cs="Times New Roman"/>
                <w:b/>
                <w:sz w:val="21"/>
                <w:szCs w:val="21"/>
              </w:rPr>
              <w:t>统计值</w:t>
            </w:r>
          </w:p>
        </w:tc>
        <w:tc>
          <w:tcPr>
            <w:tcW w:w="1032" w:type="pct"/>
            <w:vAlign w:val="center"/>
          </w:tcPr>
          <w:p w14:paraId="68E98753">
            <w:pPr>
              <w:widowControl/>
              <w:adjustRightInd/>
              <w:spacing w:line="240" w:lineRule="auto"/>
              <w:ind w:firstLine="0" w:firstLineChars="0"/>
              <w:jc w:val="center"/>
              <w:rPr>
                <w:rFonts w:cs="Times New Roman"/>
                <w:b/>
                <w:sz w:val="21"/>
                <w:szCs w:val="21"/>
              </w:rPr>
            </w:pPr>
            <w:r>
              <w:rPr>
                <w:rFonts w:ascii="宋体" w:hAnsi="宋体" w:cs="Times New Roman"/>
                <w:b/>
                <w:sz w:val="21"/>
                <w:szCs w:val="21"/>
              </w:rPr>
              <w:t>极值出现时间</w:t>
            </w:r>
          </w:p>
        </w:tc>
        <w:tc>
          <w:tcPr>
            <w:tcW w:w="623" w:type="pct"/>
            <w:vAlign w:val="center"/>
          </w:tcPr>
          <w:p w14:paraId="20D9ABF6">
            <w:pPr>
              <w:widowControl/>
              <w:adjustRightInd/>
              <w:spacing w:line="240" w:lineRule="auto"/>
              <w:ind w:firstLine="0" w:firstLineChars="0"/>
              <w:jc w:val="center"/>
              <w:rPr>
                <w:rFonts w:cs="Times New Roman"/>
                <w:b/>
                <w:sz w:val="21"/>
                <w:szCs w:val="21"/>
              </w:rPr>
            </w:pPr>
            <w:r>
              <w:rPr>
                <w:rFonts w:ascii="宋体" w:hAnsi="宋体" w:cs="Times New Roman"/>
                <w:b/>
                <w:sz w:val="21"/>
                <w:szCs w:val="21"/>
              </w:rPr>
              <w:t>极值</w:t>
            </w:r>
          </w:p>
        </w:tc>
      </w:tr>
      <w:tr w14:paraId="5E390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37" w:type="pct"/>
            <w:gridSpan w:val="2"/>
            <w:vAlign w:val="center"/>
          </w:tcPr>
          <w:p w14:paraId="24B3F36B">
            <w:pPr>
              <w:widowControl/>
              <w:adjustRightInd/>
              <w:spacing w:line="240" w:lineRule="auto"/>
              <w:ind w:firstLine="0" w:firstLineChars="0"/>
              <w:jc w:val="center"/>
              <w:rPr>
                <w:rFonts w:cs="Times New Roman"/>
                <w:sz w:val="21"/>
                <w:szCs w:val="21"/>
              </w:rPr>
            </w:pPr>
            <w:r>
              <w:rPr>
                <w:rFonts w:ascii="宋体" w:hAnsi="宋体" w:cs="Times New Roman"/>
                <w:sz w:val="21"/>
                <w:szCs w:val="21"/>
              </w:rPr>
              <w:t>多年平均气温</w:t>
            </w:r>
            <w:r>
              <w:rPr>
                <w:rFonts w:cs="Times New Roman"/>
                <w:sz w:val="21"/>
                <w:szCs w:val="21"/>
              </w:rPr>
              <w:t>(℃)</w:t>
            </w:r>
          </w:p>
        </w:tc>
        <w:tc>
          <w:tcPr>
            <w:tcW w:w="706" w:type="pct"/>
            <w:vAlign w:val="center"/>
          </w:tcPr>
          <w:p w14:paraId="5DDBEDE7">
            <w:pPr>
              <w:widowControl/>
              <w:adjustRightInd/>
              <w:spacing w:line="240" w:lineRule="auto"/>
              <w:ind w:firstLine="0" w:firstLineChars="0"/>
              <w:jc w:val="center"/>
              <w:rPr>
                <w:rFonts w:cs="Times New Roman"/>
                <w:sz w:val="21"/>
                <w:szCs w:val="21"/>
              </w:rPr>
            </w:pPr>
            <w:r>
              <w:rPr>
                <w:rFonts w:cs="Times New Roman"/>
                <w:sz w:val="21"/>
                <w:szCs w:val="21"/>
              </w:rPr>
              <w:t>19.1</w:t>
            </w:r>
          </w:p>
        </w:tc>
        <w:tc>
          <w:tcPr>
            <w:tcW w:w="1032" w:type="pct"/>
            <w:vAlign w:val="center"/>
          </w:tcPr>
          <w:p w14:paraId="0C27A73C">
            <w:pPr>
              <w:widowControl/>
              <w:adjustRightInd/>
              <w:spacing w:line="240" w:lineRule="auto"/>
              <w:ind w:firstLine="0" w:firstLineChars="0"/>
              <w:jc w:val="center"/>
              <w:rPr>
                <w:rFonts w:cs="Times New Roman"/>
                <w:sz w:val="21"/>
                <w:szCs w:val="21"/>
              </w:rPr>
            </w:pPr>
          </w:p>
        </w:tc>
        <w:tc>
          <w:tcPr>
            <w:tcW w:w="623" w:type="pct"/>
            <w:vAlign w:val="center"/>
          </w:tcPr>
          <w:p w14:paraId="527258E6">
            <w:pPr>
              <w:widowControl/>
              <w:adjustRightInd/>
              <w:spacing w:line="240" w:lineRule="auto"/>
              <w:ind w:firstLine="0" w:firstLineChars="0"/>
              <w:jc w:val="center"/>
              <w:rPr>
                <w:rFonts w:cs="Times New Roman"/>
                <w:sz w:val="21"/>
                <w:szCs w:val="21"/>
              </w:rPr>
            </w:pPr>
          </w:p>
        </w:tc>
      </w:tr>
      <w:tr w14:paraId="65963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37" w:type="pct"/>
            <w:gridSpan w:val="2"/>
            <w:vAlign w:val="center"/>
          </w:tcPr>
          <w:p w14:paraId="3861C4D7">
            <w:pPr>
              <w:widowControl/>
              <w:adjustRightInd/>
              <w:spacing w:line="240" w:lineRule="auto"/>
              <w:ind w:firstLine="0" w:firstLineChars="0"/>
              <w:jc w:val="center"/>
              <w:rPr>
                <w:rFonts w:cs="Times New Roman"/>
                <w:sz w:val="21"/>
                <w:szCs w:val="21"/>
              </w:rPr>
            </w:pPr>
            <w:r>
              <w:rPr>
                <w:rFonts w:ascii="宋体" w:hAnsi="宋体" w:cs="Times New Roman"/>
                <w:sz w:val="21"/>
                <w:szCs w:val="21"/>
              </w:rPr>
              <w:t>累年极端最高气温</w:t>
            </w:r>
            <w:r>
              <w:rPr>
                <w:rFonts w:cs="Times New Roman"/>
                <w:sz w:val="21"/>
                <w:szCs w:val="21"/>
              </w:rPr>
              <w:t>(℃)</w:t>
            </w:r>
          </w:p>
        </w:tc>
        <w:tc>
          <w:tcPr>
            <w:tcW w:w="706" w:type="pct"/>
            <w:vAlign w:val="center"/>
          </w:tcPr>
          <w:p w14:paraId="3516F09B">
            <w:pPr>
              <w:widowControl/>
              <w:adjustRightInd/>
              <w:spacing w:line="240" w:lineRule="auto"/>
              <w:ind w:firstLine="0" w:firstLineChars="0"/>
              <w:jc w:val="center"/>
              <w:rPr>
                <w:rFonts w:cs="Times New Roman"/>
                <w:sz w:val="21"/>
                <w:szCs w:val="21"/>
              </w:rPr>
            </w:pPr>
            <w:r>
              <w:rPr>
                <w:rFonts w:cs="Times New Roman"/>
                <w:sz w:val="21"/>
                <w:szCs w:val="21"/>
              </w:rPr>
              <w:t>39.2</w:t>
            </w:r>
          </w:p>
        </w:tc>
        <w:tc>
          <w:tcPr>
            <w:tcW w:w="1032" w:type="pct"/>
            <w:vAlign w:val="center"/>
          </w:tcPr>
          <w:p w14:paraId="3DB48E03">
            <w:pPr>
              <w:widowControl/>
              <w:adjustRightInd/>
              <w:spacing w:line="240" w:lineRule="auto"/>
              <w:ind w:firstLine="0" w:firstLineChars="0"/>
              <w:jc w:val="center"/>
              <w:rPr>
                <w:rFonts w:cs="Times New Roman"/>
                <w:sz w:val="21"/>
                <w:szCs w:val="21"/>
              </w:rPr>
            </w:pPr>
            <w:r>
              <w:rPr>
                <w:rFonts w:cs="Times New Roman"/>
                <w:sz w:val="21"/>
                <w:szCs w:val="21"/>
              </w:rPr>
              <w:t>2010-08-05</w:t>
            </w:r>
          </w:p>
        </w:tc>
        <w:tc>
          <w:tcPr>
            <w:tcW w:w="623" w:type="pct"/>
            <w:vAlign w:val="center"/>
          </w:tcPr>
          <w:p w14:paraId="7A0FFD61">
            <w:pPr>
              <w:widowControl/>
              <w:adjustRightInd/>
              <w:spacing w:line="240" w:lineRule="auto"/>
              <w:ind w:firstLine="0" w:firstLineChars="0"/>
              <w:jc w:val="center"/>
              <w:rPr>
                <w:rFonts w:cs="Times New Roman"/>
                <w:sz w:val="21"/>
                <w:szCs w:val="21"/>
              </w:rPr>
            </w:pPr>
            <w:r>
              <w:rPr>
                <w:rFonts w:cs="Times New Roman"/>
                <w:sz w:val="21"/>
                <w:szCs w:val="21"/>
              </w:rPr>
              <w:t>41.3</w:t>
            </w:r>
          </w:p>
        </w:tc>
      </w:tr>
      <w:tr w14:paraId="53D41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37" w:type="pct"/>
            <w:gridSpan w:val="2"/>
            <w:vAlign w:val="center"/>
          </w:tcPr>
          <w:p w14:paraId="32F99DF1">
            <w:pPr>
              <w:widowControl/>
              <w:adjustRightInd/>
              <w:spacing w:line="240" w:lineRule="auto"/>
              <w:ind w:firstLine="0" w:firstLineChars="0"/>
              <w:jc w:val="center"/>
              <w:rPr>
                <w:rFonts w:cs="Times New Roman"/>
                <w:sz w:val="21"/>
                <w:szCs w:val="21"/>
              </w:rPr>
            </w:pPr>
            <w:r>
              <w:rPr>
                <w:rFonts w:ascii="宋体" w:hAnsi="宋体" w:cs="Times New Roman"/>
                <w:sz w:val="21"/>
                <w:szCs w:val="21"/>
              </w:rPr>
              <w:t>累年极端最低气温</w:t>
            </w:r>
            <w:r>
              <w:rPr>
                <w:rFonts w:cs="Times New Roman"/>
                <w:sz w:val="21"/>
                <w:szCs w:val="21"/>
              </w:rPr>
              <w:t>(℃)</w:t>
            </w:r>
          </w:p>
        </w:tc>
        <w:tc>
          <w:tcPr>
            <w:tcW w:w="706" w:type="pct"/>
            <w:vAlign w:val="center"/>
          </w:tcPr>
          <w:p w14:paraId="17B5A9F1">
            <w:pPr>
              <w:widowControl/>
              <w:adjustRightInd/>
              <w:spacing w:line="240" w:lineRule="auto"/>
              <w:ind w:firstLine="0" w:firstLineChars="0"/>
              <w:jc w:val="center"/>
              <w:rPr>
                <w:rFonts w:cs="Times New Roman"/>
                <w:sz w:val="21"/>
                <w:szCs w:val="21"/>
              </w:rPr>
            </w:pPr>
            <w:r>
              <w:rPr>
                <w:rFonts w:cs="Times New Roman"/>
                <w:sz w:val="21"/>
                <w:szCs w:val="21"/>
              </w:rPr>
              <w:t>-1.6</w:t>
            </w:r>
          </w:p>
        </w:tc>
        <w:tc>
          <w:tcPr>
            <w:tcW w:w="1032" w:type="pct"/>
            <w:vAlign w:val="center"/>
          </w:tcPr>
          <w:p w14:paraId="7948A55B">
            <w:pPr>
              <w:widowControl/>
              <w:adjustRightInd/>
              <w:spacing w:line="240" w:lineRule="auto"/>
              <w:ind w:firstLine="0" w:firstLineChars="0"/>
              <w:jc w:val="center"/>
              <w:rPr>
                <w:rFonts w:cs="Times New Roman"/>
                <w:sz w:val="21"/>
                <w:szCs w:val="21"/>
              </w:rPr>
            </w:pPr>
            <w:r>
              <w:rPr>
                <w:rFonts w:cs="Times New Roman"/>
                <w:sz w:val="21"/>
                <w:szCs w:val="21"/>
              </w:rPr>
              <w:t>2008-02-03</w:t>
            </w:r>
          </w:p>
        </w:tc>
        <w:tc>
          <w:tcPr>
            <w:tcW w:w="623" w:type="pct"/>
            <w:vAlign w:val="center"/>
          </w:tcPr>
          <w:p w14:paraId="75620EEF">
            <w:pPr>
              <w:widowControl/>
              <w:adjustRightInd/>
              <w:spacing w:line="240" w:lineRule="auto"/>
              <w:ind w:firstLine="0" w:firstLineChars="0"/>
              <w:jc w:val="center"/>
              <w:rPr>
                <w:rFonts w:cs="Times New Roman"/>
                <w:sz w:val="21"/>
                <w:szCs w:val="21"/>
              </w:rPr>
            </w:pPr>
            <w:r>
              <w:rPr>
                <w:rFonts w:cs="Times New Roman"/>
                <w:sz w:val="21"/>
                <w:szCs w:val="21"/>
              </w:rPr>
              <w:t>-4.8</w:t>
            </w:r>
          </w:p>
        </w:tc>
      </w:tr>
      <w:tr w14:paraId="4A8C3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37" w:type="pct"/>
            <w:gridSpan w:val="2"/>
            <w:vAlign w:val="center"/>
          </w:tcPr>
          <w:p w14:paraId="3F085B92">
            <w:pPr>
              <w:widowControl/>
              <w:adjustRightInd/>
              <w:spacing w:line="240" w:lineRule="auto"/>
              <w:ind w:firstLine="0" w:firstLineChars="0"/>
              <w:jc w:val="center"/>
              <w:rPr>
                <w:rFonts w:cs="Times New Roman"/>
                <w:sz w:val="21"/>
                <w:szCs w:val="21"/>
              </w:rPr>
            </w:pPr>
            <w:r>
              <w:rPr>
                <w:rFonts w:ascii="宋体" w:hAnsi="宋体" w:cs="Times New Roman"/>
                <w:sz w:val="21"/>
                <w:szCs w:val="21"/>
              </w:rPr>
              <w:t>多年平均气压</w:t>
            </w:r>
            <w:r>
              <w:rPr>
                <w:rFonts w:cs="Times New Roman"/>
                <w:sz w:val="21"/>
                <w:szCs w:val="21"/>
              </w:rPr>
              <w:t>(hPa)</w:t>
            </w:r>
          </w:p>
        </w:tc>
        <w:tc>
          <w:tcPr>
            <w:tcW w:w="706" w:type="pct"/>
            <w:vAlign w:val="center"/>
          </w:tcPr>
          <w:p w14:paraId="682C2868">
            <w:pPr>
              <w:widowControl/>
              <w:adjustRightInd/>
              <w:spacing w:line="240" w:lineRule="auto"/>
              <w:ind w:firstLine="0" w:firstLineChars="0"/>
              <w:jc w:val="center"/>
              <w:rPr>
                <w:rFonts w:cs="Times New Roman"/>
                <w:sz w:val="21"/>
                <w:szCs w:val="21"/>
              </w:rPr>
            </w:pPr>
            <w:r>
              <w:rPr>
                <w:rFonts w:cs="Times New Roman"/>
                <w:sz w:val="21"/>
                <w:szCs w:val="21"/>
              </w:rPr>
              <w:t>1002.9</w:t>
            </w:r>
          </w:p>
        </w:tc>
        <w:tc>
          <w:tcPr>
            <w:tcW w:w="1032" w:type="pct"/>
            <w:vAlign w:val="center"/>
          </w:tcPr>
          <w:p w14:paraId="771470A0">
            <w:pPr>
              <w:widowControl/>
              <w:adjustRightInd/>
              <w:spacing w:line="240" w:lineRule="auto"/>
              <w:ind w:firstLine="0" w:firstLineChars="0"/>
              <w:jc w:val="center"/>
              <w:rPr>
                <w:rFonts w:cs="Times New Roman"/>
                <w:sz w:val="21"/>
                <w:szCs w:val="21"/>
              </w:rPr>
            </w:pPr>
          </w:p>
        </w:tc>
        <w:tc>
          <w:tcPr>
            <w:tcW w:w="623" w:type="pct"/>
            <w:vAlign w:val="center"/>
          </w:tcPr>
          <w:p w14:paraId="30DDE195">
            <w:pPr>
              <w:widowControl/>
              <w:adjustRightInd/>
              <w:spacing w:line="240" w:lineRule="auto"/>
              <w:ind w:firstLine="0" w:firstLineChars="0"/>
              <w:jc w:val="center"/>
              <w:rPr>
                <w:rFonts w:cs="Times New Roman"/>
                <w:sz w:val="21"/>
                <w:szCs w:val="21"/>
              </w:rPr>
            </w:pPr>
          </w:p>
        </w:tc>
      </w:tr>
      <w:tr w14:paraId="6CFDE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37" w:type="pct"/>
            <w:gridSpan w:val="2"/>
            <w:vAlign w:val="center"/>
          </w:tcPr>
          <w:p w14:paraId="4CEB4DAD">
            <w:pPr>
              <w:widowControl/>
              <w:adjustRightInd/>
              <w:spacing w:line="240" w:lineRule="auto"/>
              <w:ind w:firstLine="0" w:firstLineChars="0"/>
              <w:jc w:val="center"/>
              <w:rPr>
                <w:rFonts w:cs="Times New Roman"/>
                <w:sz w:val="21"/>
                <w:szCs w:val="21"/>
              </w:rPr>
            </w:pPr>
            <w:r>
              <w:rPr>
                <w:rFonts w:ascii="宋体" w:hAnsi="宋体" w:cs="Times New Roman"/>
                <w:sz w:val="21"/>
                <w:szCs w:val="21"/>
              </w:rPr>
              <w:t>日照时长</w:t>
            </w:r>
            <w:r>
              <w:rPr>
                <w:rFonts w:cs="Times New Roman"/>
                <w:sz w:val="21"/>
                <w:szCs w:val="21"/>
              </w:rPr>
              <w:t>(h)</w:t>
            </w:r>
          </w:p>
        </w:tc>
        <w:tc>
          <w:tcPr>
            <w:tcW w:w="706" w:type="pct"/>
            <w:vAlign w:val="center"/>
          </w:tcPr>
          <w:p w14:paraId="40AC7428">
            <w:pPr>
              <w:widowControl/>
              <w:adjustRightInd/>
              <w:spacing w:line="240" w:lineRule="auto"/>
              <w:ind w:firstLine="0" w:firstLineChars="0"/>
              <w:jc w:val="center"/>
              <w:rPr>
                <w:rFonts w:cs="Times New Roman"/>
                <w:sz w:val="21"/>
                <w:szCs w:val="21"/>
              </w:rPr>
            </w:pPr>
            <w:r>
              <w:rPr>
                <w:rFonts w:cs="Times New Roman"/>
                <w:sz w:val="21"/>
                <w:szCs w:val="21"/>
              </w:rPr>
              <w:t>1527.0</w:t>
            </w:r>
          </w:p>
        </w:tc>
        <w:tc>
          <w:tcPr>
            <w:tcW w:w="1032" w:type="pct"/>
            <w:vAlign w:val="center"/>
          </w:tcPr>
          <w:p w14:paraId="65172887">
            <w:pPr>
              <w:widowControl/>
              <w:adjustRightInd/>
              <w:spacing w:line="240" w:lineRule="auto"/>
              <w:ind w:firstLine="0" w:firstLineChars="0"/>
              <w:jc w:val="center"/>
              <w:rPr>
                <w:rFonts w:cs="Times New Roman"/>
                <w:sz w:val="21"/>
                <w:szCs w:val="21"/>
              </w:rPr>
            </w:pPr>
          </w:p>
        </w:tc>
        <w:tc>
          <w:tcPr>
            <w:tcW w:w="623" w:type="pct"/>
            <w:vAlign w:val="center"/>
          </w:tcPr>
          <w:p w14:paraId="1BB9D39B">
            <w:pPr>
              <w:widowControl/>
              <w:adjustRightInd/>
              <w:spacing w:line="240" w:lineRule="auto"/>
              <w:ind w:firstLine="0" w:firstLineChars="0"/>
              <w:jc w:val="center"/>
              <w:rPr>
                <w:rFonts w:cs="Times New Roman"/>
                <w:sz w:val="21"/>
                <w:szCs w:val="21"/>
              </w:rPr>
            </w:pPr>
          </w:p>
        </w:tc>
      </w:tr>
      <w:tr w14:paraId="6C55C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37" w:type="pct"/>
            <w:gridSpan w:val="2"/>
            <w:vAlign w:val="center"/>
          </w:tcPr>
          <w:p w14:paraId="4A56D2E8">
            <w:pPr>
              <w:widowControl/>
              <w:adjustRightInd/>
              <w:spacing w:line="240" w:lineRule="auto"/>
              <w:ind w:firstLine="0" w:firstLineChars="0"/>
              <w:jc w:val="center"/>
              <w:rPr>
                <w:rFonts w:cs="Times New Roman"/>
                <w:sz w:val="21"/>
                <w:szCs w:val="21"/>
              </w:rPr>
            </w:pPr>
            <w:r>
              <w:rPr>
                <w:rFonts w:ascii="宋体" w:hAnsi="宋体" w:cs="Times New Roman"/>
                <w:sz w:val="21"/>
                <w:szCs w:val="21"/>
              </w:rPr>
              <w:t>多年平均相对湿度</w:t>
            </w:r>
            <w:r>
              <w:rPr>
                <w:rFonts w:cs="Times New Roman"/>
                <w:sz w:val="21"/>
                <w:szCs w:val="21"/>
              </w:rPr>
              <w:t>(%)</w:t>
            </w:r>
          </w:p>
        </w:tc>
        <w:tc>
          <w:tcPr>
            <w:tcW w:w="706" w:type="pct"/>
            <w:vAlign w:val="center"/>
          </w:tcPr>
          <w:p w14:paraId="5F2DD107">
            <w:pPr>
              <w:widowControl/>
              <w:adjustRightInd/>
              <w:spacing w:line="240" w:lineRule="auto"/>
              <w:ind w:firstLine="0" w:firstLineChars="0"/>
              <w:jc w:val="center"/>
              <w:rPr>
                <w:rFonts w:cs="Times New Roman"/>
                <w:sz w:val="21"/>
                <w:szCs w:val="21"/>
              </w:rPr>
            </w:pPr>
            <w:r>
              <w:rPr>
                <w:rFonts w:cs="Times New Roman"/>
                <w:sz w:val="21"/>
                <w:szCs w:val="21"/>
              </w:rPr>
              <w:t>72.1</w:t>
            </w:r>
          </w:p>
        </w:tc>
        <w:tc>
          <w:tcPr>
            <w:tcW w:w="1032" w:type="pct"/>
            <w:vAlign w:val="center"/>
          </w:tcPr>
          <w:p w14:paraId="372BA21D">
            <w:pPr>
              <w:widowControl/>
              <w:adjustRightInd/>
              <w:spacing w:line="240" w:lineRule="auto"/>
              <w:ind w:firstLine="0" w:firstLineChars="0"/>
              <w:jc w:val="center"/>
              <w:rPr>
                <w:rFonts w:cs="Times New Roman"/>
                <w:sz w:val="21"/>
                <w:szCs w:val="21"/>
              </w:rPr>
            </w:pPr>
          </w:p>
        </w:tc>
        <w:tc>
          <w:tcPr>
            <w:tcW w:w="623" w:type="pct"/>
            <w:vAlign w:val="center"/>
          </w:tcPr>
          <w:p w14:paraId="6808A05F">
            <w:pPr>
              <w:widowControl/>
              <w:adjustRightInd/>
              <w:spacing w:line="240" w:lineRule="auto"/>
              <w:ind w:firstLine="0" w:firstLineChars="0"/>
              <w:jc w:val="center"/>
              <w:rPr>
                <w:rFonts w:cs="Times New Roman"/>
                <w:sz w:val="21"/>
                <w:szCs w:val="21"/>
              </w:rPr>
            </w:pPr>
          </w:p>
        </w:tc>
      </w:tr>
      <w:tr w14:paraId="10E44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37" w:type="pct"/>
            <w:gridSpan w:val="2"/>
            <w:vAlign w:val="center"/>
          </w:tcPr>
          <w:p w14:paraId="2535CEE3">
            <w:pPr>
              <w:widowControl/>
              <w:adjustRightInd/>
              <w:spacing w:line="240" w:lineRule="auto"/>
              <w:ind w:firstLine="0" w:firstLineChars="0"/>
              <w:jc w:val="center"/>
              <w:rPr>
                <w:rFonts w:cs="Times New Roman"/>
                <w:sz w:val="21"/>
                <w:szCs w:val="21"/>
              </w:rPr>
            </w:pPr>
            <w:r>
              <w:rPr>
                <w:rFonts w:ascii="宋体" w:hAnsi="宋体" w:cs="Times New Roman"/>
                <w:sz w:val="21"/>
                <w:szCs w:val="21"/>
              </w:rPr>
              <w:t>多年平均降雨量</w:t>
            </w:r>
            <w:r>
              <w:rPr>
                <w:rFonts w:cs="Times New Roman"/>
                <w:sz w:val="21"/>
                <w:szCs w:val="21"/>
              </w:rPr>
              <w:t>(mm)</w:t>
            </w:r>
          </w:p>
        </w:tc>
        <w:tc>
          <w:tcPr>
            <w:tcW w:w="706" w:type="pct"/>
            <w:vAlign w:val="center"/>
          </w:tcPr>
          <w:p w14:paraId="4F74B3B2">
            <w:pPr>
              <w:widowControl/>
              <w:adjustRightInd/>
              <w:spacing w:line="240" w:lineRule="auto"/>
              <w:ind w:firstLine="0" w:firstLineChars="0"/>
              <w:jc w:val="center"/>
              <w:rPr>
                <w:rFonts w:cs="Times New Roman"/>
                <w:sz w:val="21"/>
                <w:szCs w:val="21"/>
              </w:rPr>
            </w:pPr>
            <w:r>
              <w:rPr>
                <w:rFonts w:cs="Times New Roman"/>
                <w:sz w:val="21"/>
                <w:szCs w:val="21"/>
              </w:rPr>
              <w:t>1259.7</w:t>
            </w:r>
          </w:p>
        </w:tc>
        <w:tc>
          <w:tcPr>
            <w:tcW w:w="1032" w:type="pct"/>
            <w:vAlign w:val="center"/>
          </w:tcPr>
          <w:p w14:paraId="7CC225D3">
            <w:pPr>
              <w:widowControl/>
              <w:adjustRightInd/>
              <w:spacing w:line="240" w:lineRule="auto"/>
              <w:ind w:firstLine="0" w:firstLineChars="0"/>
              <w:jc w:val="center"/>
              <w:rPr>
                <w:rFonts w:cs="Times New Roman"/>
                <w:sz w:val="21"/>
                <w:szCs w:val="21"/>
              </w:rPr>
            </w:pPr>
            <w:r>
              <w:rPr>
                <w:rFonts w:cs="Times New Roman"/>
                <w:sz w:val="21"/>
                <w:szCs w:val="21"/>
              </w:rPr>
              <w:t>2014-06-02</w:t>
            </w:r>
          </w:p>
        </w:tc>
        <w:tc>
          <w:tcPr>
            <w:tcW w:w="623" w:type="pct"/>
            <w:vAlign w:val="center"/>
          </w:tcPr>
          <w:p w14:paraId="4E114856">
            <w:pPr>
              <w:widowControl/>
              <w:adjustRightInd/>
              <w:spacing w:line="240" w:lineRule="auto"/>
              <w:ind w:firstLine="0" w:firstLineChars="0"/>
              <w:jc w:val="center"/>
              <w:rPr>
                <w:rFonts w:cs="Times New Roman"/>
                <w:sz w:val="21"/>
                <w:szCs w:val="21"/>
              </w:rPr>
            </w:pPr>
            <w:r>
              <w:rPr>
                <w:rFonts w:cs="Times New Roman"/>
                <w:sz w:val="21"/>
                <w:szCs w:val="21"/>
              </w:rPr>
              <w:t>151.1</w:t>
            </w:r>
          </w:p>
        </w:tc>
      </w:tr>
      <w:tr w14:paraId="1E706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1" w:type="pct"/>
            <w:vMerge w:val="restart"/>
            <w:vAlign w:val="center"/>
          </w:tcPr>
          <w:p w14:paraId="6A053E63">
            <w:pPr>
              <w:widowControl/>
              <w:adjustRightInd/>
              <w:spacing w:line="240" w:lineRule="auto"/>
              <w:ind w:firstLine="0" w:firstLineChars="0"/>
              <w:jc w:val="center"/>
              <w:rPr>
                <w:rFonts w:cs="Times New Roman"/>
                <w:sz w:val="21"/>
                <w:szCs w:val="21"/>
              </w:rPr>
            </w:pPr>
            <w:r>
              <w:rPr>
                <w:rFonts w:ascii="宋体" w:hAnsi="宋体" w:cs="Times New Roman"/>
                <w:sz w:val="21"/>
                <w:szCs w:val="21"/>
              </w:rPr>
              <w:t>灾害天气统计</w:t>
            </w:r>
          </w:p>
        </w:tc>
        <w:tc>
          <w:tcPr>
            <w:tcW w:w="1686" w:type="pct"/>
            <w:vAlign w:val="center"/>
          </w:tcPr>
          <w:p w14:paraId="4E4A9A28">
            <w:pPr>
              <w:widowControl/>
              <w:adjustRightInd/>
              <w:spacing w:line="240" w:lineRule="auto"/>
              <w:ind w:firstLine="0" w:firstLineChars="0"/>
              <w:jc w:val="center"/>
              <w:rPr>
                <w:rFonts w:cs="Times New Roman"/>
                <w:sz w:val="21"/>
                <w:szCs w:val="21"/>
              </w:rPr>
            </w:pPr>
            <w:r>
              <w:rPr>
                <w:rFonts w:ascii="宋体" w:hAnsi="宋体" w:cs="Times New Roman"/>
                <w:sz w:val="21"/>
                <w:szCs w:val="21"/>
              </w:rPr>
              <w:t>多年平均沙暴日数</w:t>
            </w:r>
            <w:r>
              <w:rPr>
                <w:rFonts w:cs="Times New Roman"/>
                <w:sz w:val="21"/>
                <w:szCs w:val="21"/>
              </w:rPr>
              <w:t>(d)</w:t>
            </w:r>
          </w:p>
        </w:tc>
        <w:tc>
          <w:tcPr>
            <w:tcW w:w="706" w:type="pct"/>
            <w:vAlign w:val="center"/>
          </w:tcPr>
          <w:p w14:paraId="6ADB4F12">
            <w:pPr>
              <w:widowControl/>
              <w:adjustRightInd/>
              <w:spacing w:line="240" w:lineRule="auto"/>
              <w:ind w:firstLine="0" w:firstLineChars="0"/>
              <w:jc w:val="center"/>
              <w:rPr>
                <w:rFonts w:cs="Times New Roman"/>
                <w:sz w:val="21"/>
                <w:szCs w:val="21"/>
              </w:rPr>
            </w:pPr>
            <w:r>
              <w:rPr>
                <w:rFonts w:cs="Times New Roman"/>
                <w:sz w:val="21"/>
                <w:szCs w:val="21"/>
              </w:rPr>
              <w:t>0.0</w:t>
            </w:r>
          </w:p>
        </w:tc>
        <w:tc>
          <w:tcPr>
            <w:tcW w:w="1032" w:type="pct"/>
            <w:vAlign w:val="center"/>
          </w:tcPr>
          <w:p w14:paraId="676CFBF2">
            <w:pPr>
              <w:widowControl/>
              <w:adjustRightInd/>
              <w:spacing w:line="240" w:lineRule="auto"/>
              <w:ind w:firstLine="0" w:firstLineChars="0"/>
              <w:jc w:val="center"/>
              <w:rPr>
                <w:rFonts w:cs="Times New Roman"/>
                <w:sz w:val="21"/>
                <w:szCs w:val="21"/>
              </w:rPr>
            </w:pPr>
          </w:p>
        </w:tc>
        <w:tc>
          <w:tcPr>
            <w:tcW w:w="623" w:type="pct"/>
            <w:vAlign w:val="center"/>
          </w:tcPr>
          <w:p w14:paraId="65706D44">
            <w:pPr>
              <w:widowControl/>
              <w:adjustRightInd/>
              <w:spacing w:line="240" w:lineRule="auto"/>
              <w:ind w:firstLine="0" w:firstLineChars="0"/>
              <w:jc w:val="center"/>
              <w:rPr>
                <w:rFonts w:cs="Times New Roman"/>
                <w:sz w:val="21"/>
                <w:szCs w:val="21"/>
              </w:rPr>
            </w:pPr>
          </w:p>
        </w:tc>
      </w:tr>
      <w:tr w14:paraId="6C6E0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vAlign w:val="center"/>
          </w:tcPr>
          <w:p w14:paraId="281F52EC">
            <w:pPr>
              <w:widowControl/>
              <w:adjustRightInd/>
              <w:spacing w:line="240" w:lineRule="auto"/>
              <w:ind w:firstLine="0" w:firstLineChars="0"/>
              <w:jc w:val="left"/>
              <w:rPr>
                <w:rFonts w:cs="Times New Roman"/>
                <w:sz w:val="21"/>
                <w:szCs w:val="21"/>
              </w:rPr>
            </w:pPr>
          </w:p>
        </w:tc>
        <w:tc>
          <w:tcPr>
            <w:tcW w:w="1686" w:type="pct"/>
            <w:vAlign w:val="center"/>
          </w:tcPr>
          <w:p w14:paraId="48C526C1">
            <w:pPr>
              <w:widowControl/>
              <w:adjustRightInd/>
              <w:spacing w:line="240" w:lineRule="auto"/>
              <w:ind w:firstLine="0" w:firstLineChars="0"/>
              <w:jc w:val="center"/>
              <w:rPr>
                <w:rFonts w:cs="Times New Roman"/>
                <w:sz w:val="21"/>
                <w:szCs w:val="21"/>
              </w:rPr>
            </w:pPr>
            <w:r>
              <w:rPr>
                <w:rFonts w:ascii="宋体" w:hAnsi="宋体" w:cs="Times New Roman"/>
                <w:sz w:val="21"/>
                <w:szCs w:val="21"/>
              </w:rPr>
              <w:t>多年平均雷暴日数</w:t>
            </w:r>
            <w:r>
              <w:rPr>
                <w:rFonts w:cs="Times New Roman"/>
                <w:sz w:val="21"/>
                <w:szCs w:val="21"/>
              </w:rPr>
              <w:t>(d)</w:t>
            </w:r>
          </w:p>
        </w:tc>
        <w:tc>
          <w:tcPr>
            <w:tcW w:w="706" w:type="pct"/>
            <w:vAlign w:val="center"/>
          </w:tcPr>
          <w:p w14:paraId="520DFFE7">
            <w:pPr>
              <w:widowControl/>
              <w:adjustRightInd/>
              <w:spacing w:line="240" w:lineRule="auto"/>
              <w:ind w:firstLine="0" w:firstLineChars="0"/>
              <w:jc w:val="center"/>
              <w:rPr>
                <w:rFonts w:cs="Times New Roman"/>
                <w:sz w:val="21"/>
                <w:szCs w:val="21"/>
              </w:rPr>
            </w:pPr>
            <w:r>
              <w:rPr>
                <w:rFonts w:cs="Times New Roman"/>
                <w:sz w:val="21"/>
                <w:szCs w:val="21"/>
              </w:rPr>
              <w:t>40.3</w:t>
            </w:r>
          </w:p>
        </w:tc>
        <w:tc>
          <w:tcPr>
            <w:tcW w:w="1032" w:type="pct"/>
            <w:vAlign w:val="center"/>
          </w:tcPr>
          <w:p w14:paraId="07329489">
            <w:pPr>
              <w:widowControl/>
              <w:adjustRightInd/>
              <w:spacing w:line="240" w:lineRule="auto"/>
              <w:ind w:firstLine="0" w:firstLineChars="0"/>
              <w:jc w:val="center"/>
              <w:rPr>
                <w:rFonts w:cs="Times New Roman"/>
                <w:sz w:val="21"/>
                <w:szCs w:val="21"/>
              </w:rPr>
            </w:pPr>
          </w:p>
        </w:tc>
        <w:tc>
          <w:tcPr>
            <w:tcW w:w="623" w:type="pct"/>
            <w:vAlign w:val="center"/>
          </w:tcPr>
          <w:p w14:paraId="50FA5B5D">
            <w:pPr>
              <w:widowControl/>
              <w:adjustRightInd/>
              <w:spacing w:line="240" w:lineRule="auto"/>
              <w:ind w:firstLine="0" w:firstLineChars="0"/>
              <w:jc w:val="center"/>
              <w:rPr>
                <w:rFonts w:cs="Times New Roman"/>
                <w:sz w:val="21"/>
                <w:szCs w:val="21"/>
              </w:rPr>
            </w:pPr>
          </w:p>
        </w:tc>
      </w:tr>
      <w:tr w14:paraId="2F288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vAlign w:val="center"/>
          </w:tcPr>
          <w:p w14:paraId="310C4872">
            <w:pPr>
              <w:widowControl/>
              <w:adjustRightInd/>
              <w:spacing w:line="240" w:lineRule="auto"/>
              <w:ind w:firstLine="0" w:firstLineChars="0"/>
              <w:jc w:val="left"/>
              <w:rPr>
                <w:rFonts w:cs="Times New Roman"/>
                <w:sz w:val="21"/>
                <w:szCs w:val="21"/>
              </w:rPr>
            </w:pPr>
          </w:p>
        </w:tc>
        <w:tc>
          <w:tcPr>
            <w:tcW w:w="1686" w:type="pct"/>
            <w:vAlign w:val="center"/>
          </w:tcPr>
          <w:p w14:paraId="48B4E542">
            <w:pPr>
              <w:widowControl/>
              <w:adjustRightInd/>
              <w:spacing w:line="240" w:lineRule="auto"/>
              <w:ind w:firstLine="0" w:firstLineChars="0"/>
              <w:jc w:val="center"/>
              <w:rPr>
                <w:rFonts w:cs="Times New Roman"/>
                <w:sz w:val="21"/>
                <w:szCs w:val="21"/>
              </w:rPr>
            </w:pPr>
            <w:r>
              <w:rPr>
                <w:rFonts w:ascii="宋体" w:hAnsi="宋体" w:cs="Times New Roman"/>
                <w:sz w:val="21"/>
                <w:szCs w:val="21"/>
              </w:rPr>
              <w:t>多年平均冰雹日数</w:t>
            </w:r>
            <w:r>
              <w:rPr>
                <w:rFonts w:cs="Times New Roman"/>
                <w:sz w:val="21"/>
                <w:szCs w:val="21"/>
              </w:rPr>
              <w:t>(d)</w:t>
            </w:r>
          </w:p>
        </w:tc>
        <w:tc>
          <w:tcPr>
            <w:tcW w:w="706" w:type="pct"/>
            <w:vAlign w:val="center"/>
          </w:tcPr>
          <w:p w14:paraId="049E51AD">
            <w:pPr>
              <w:widowControl/>
              <w:adjustRightInd/>
              <w:spacing w:line="240" w:lineRule="auto"/>
              <w:ind w:firstLine="0" w:firstLineChars="0"/>
              <w:jc w:val="center"/>
              <w:rPr>
                <w:rFonts w:cs="Times New Roman"/>
                <w:sz w:val="21"/>
                <w:szCs w:val="21"/>
              </w:rPr>
            </w:pPr>
            <w:r>
              <w:rPr>
                <w:rFonts w:cs="Times New Roman"/>
                <w:sz w:val="21"/>
                <w:szCs w:val="21"/>
              </w:rPr>
              <w:t>1.4</w:t>
            </w:r>
          </w:p>
        </w:tc>
        <w:tc>
          <w:tcPr>
            <w:tcW w:w="1032" w:type="pct"/>
            <w:vAlign w:val="center"/>
          </w:tcPr>
          <w:p w14:paraId="54F2675E">
            <w:pPr>
              <w:widowControl/>
              <w:adjustRightInd/>
              <w:spacing w:line="240" w:lineRule="auto"/>
              <w:ind w:firstLine="0" w:firstLineChars="0"/>
              <w:jc w:val="center"/>
              <w:rPr>
                <w:rFonts w:cs="Times New Roman"/>
                <w:sz w:val="21"/>
                <w:szCs w:val="21"/>
              </w:rPr>
            </w:pPr>
          </w:p>
        </w:tc>
        <w:tc>
          <w:tcPr>
            <w:tcW w:w="623" w:type="pct"/>
            <w:vAlign w:val="center"/>
          </w:tcPr>
          <w:p w14:paraId="2B20D2F2">
            <w:pPr>
              <w:widowControl/>
              <w:adjustRightInd/>
              <w:spacing w:line="240" w:lineRule="auto"/>
              <w:ind w:firstLine="0" w:firstLineChars="0"/>
              <w:jc w:val="center"/>
              <w:rPr>
                <w:rFonts w:cs="Times New Roman"/>
                <w:sz w:val="21"/>
                <w:szCs w:val="21"/>
              </w:rPr>
            </w:pPr>
          </w:p>
        </w:tc>
      </w:tr>
      <w:tr w14:paraId="03A51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vAlign w:val="center"/>
          </w:tcPr>
          <w:p w14:paraId="1E4CBCEE">
            <w:pPr>
              <w:widowControl/>
              <w:adjustRightInd/>
              <w:spacing w:line="240" w:lineRule="auto"/>
              <w:ind w:firstLine="0" w:firstLineChars="0"/>
              <w:jc w:val="left"/>
              <w:rPr>
                <w:rFonts w:cs="Times New Roman"/>
                <w:sz w:val="21"/>
                <w:szCs w:val="21"/>
              </w:rPr>
            </w:pPr>
          </w:p>
        </w:tc>
        <w:tc>
          <w:tcPr>
            <w:tcW w:w="1686" w:type="pct"/>
            <w:vAlign w:val="center"/>
          </w:tcPr>
          <w:p w14:paraId="53A216C8">
            <w:pPr>
              <w:widowControl/>
              <w:adjustRightInd/>
              <w:spacing w:line="240" w:lineRule="auto"/>
              <w:ind w:firstLine="0" w:firstLineChars="0"/>
              <w:jc w:val="center"/>
              <w:rPr>
                <w:rFonts w:cs="Times New Roman"/>
                <w:sz w:val="21"/>
                <w:szCs w:val="21"/>
              </w:rPr>
            </w:pPr>
            <w:r>
              <w:rPr>
                <w:rFonts w:ascii="宋体" w:hAnsi="宋体" w:cs="Times New Roman"/>
                <w:sz w:val="21"/>
                <w:szCs w:val="21"/>
              </w:rPr>
              <w:t>多年平均大风日数</w:t>
            </w:r>
            <w:r>
              <w:rPr>
                <w:rFonts w:cs="Times New Roman"/>
                <w:sz w:val="21"/>
                <w:szCs w:val="21"/>
              </w:rPr>
              <w:t>(d)</w:t>
            </w:r>
          </w:p>
        </w:tc>
        <w:tc>
          <w:tcPr>
            <w:tcW w:w="706" w:type="pct"/>
            <w:vAlign w:val="center"/>
          </w:tcPr>
          <w:p w14:paraId="5FC2D5C0">
            <w:pPr>
              <w:widowControl/>
              <w:adjustRightInd/>
              <w:spacing w:line="240" w:lineRule="auto"/>
              <w:ind w:firstLine="0" w:firstLineChars="0"/>
              <w:jc w:val="center"/>
              <w:rPr>
                <w:rFonts w:cs="Times New Roman"/>
                <w:sz w:val="21"/>
                <w:szCs w:val="21"/>
              </w:rPr>
            </w:pPr>
            <w:r>
              <w:rPr>
                <w:rFonts w:cs="Times New Roman"/>
                <w:sz w:val="21"/>
                <w:szCs w:val="21"/>
              </w:rPr>
              <w:t>1.3</w:t>
            </w:r>
          </w:p>
        </w:tc>
        <w:tc>
          <w:tcPr>
            <w:tcW w:w="1032" w:type="pct"/>
            <w:vAlign w:val="center"/>
          </w:tcPr>
          <w:p w14:paraId="44518E08">
            <w:pPr>
              <w:widowControl/>
              <w:adjustRightInd/>
              <w:spacing w:line="240" w:lineRule="auto"/>
              <w:ind w:firstLine="0" w:firstLineChars="0"/>
              <w:jc w:val="center"/>
              <w:rPr>
                <w:rFonts w:cs="Times New Roman"/>
                <w:sz w:val="21"/>
                <w:szCs w:val="21"/>
              </w:rPr>
            </w:pPr>
          </w:p>
        </w:tc>
        <w:tc>
          <w:tcPr>
            <w:tcW w:w="623" w:type="pct"/>
            <w:vAlign w:val="center"/>
          </w:tcPr>
          <w:p w14:paraId="09CFF594">
            <w:pPr>
              <w:widowControl/>
              <w:adjustRightInd/>
              <w:spacing w:line="240" w:lineRule="auto"/>
              <w:ind w:firstLine="0" w:firstLineChars="0"/>
              <w:jc w:val="center"/>
              <w:rPr>
                <w:rFonts w:cs="Times New Roman"/>
                <w:sz w:val="21"/>
                <w:szCs w:val="21"/>
              </w:rPr>
            </w:pPr>
          </w:p>
        </w:tc>
      </w:tr>
      <w:tr w14:paraId="0EBBD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37" w:type="pct"/>
            <w:gridSpan w:val="2"/>
            <w:vAlign w:val="center"/>
          </w:tcPr>
          <w:p w14:paraId="312576FA">
            <w:pPr>
              <w:widowControl/>
              <w:adjustRightInd/>
              <w:spacing w:line="240" w:lineRule="auto"/>
              <w:ind w:firstLine="0" w:firstLineChars="0"/>
              <w:jc w:val="center"/>
              <w:rPr>
                <w:rFonts w:cs="Times New Roman"/>
                <w:sz w:val="21"/>
                <w:szCs w:val="21"/>
              </w:rPr>
            </w:pPr>
            <w:r>
              <w:rPr>
                <w:rFonts w:ascii="宋体" w:hAnsi="宋体" w:cs="Times New Roman"/>
                <w:sz w:val="21"/>
                <w:szCs w:val="21"/>
              </w:rPr>
              <w:t>多年实测极大风速</w:t>
            </w:r>
            <w:r>
              <w:rPr>
                <w:rFonts w:cs="Times New Roman"/>
                <w:sz w:val="21"/>
                <w:szCs w:val="21"/>
              </w:rPr>
              <w:t>(m/s)</w:t>
            </w:r>
            <w:r>
              <w:rPr>
                <w:rFonts w:ascii="宋体" w:hAnsi="宋体" w:cs="Times New Roman"/>
                <w:sz w:val="21"/>
                <w:szCs w:val="21"/>
              </w:rPr>
              <w:t>、相应风向</w:t>
            </w:r>
          </w:p>
        </w:tc>
        <w:tc>
          <w:tcPr>
            <w:tcW w:w="706" w:type="pct"/>
            <w:vAlign w:val="center"/>
          </w:tcPr>
          <w:p w14:paraId="79C1D340">
            <w:pPr>
              <w:widowControl/>
              <w:adjustRightInd/>
              <w:spacing w:line="240" w:lineRule="auto"/>
              <w:ind w:firstLine="0" w:firstLineChars="0"/>
              <w:jc w:val="center"/>
              <w:rPr>
                <w:rFonts w:cs="Times New Roman"/>
                <w:sz w:val="21"/>
                <w:szCs w:val="21"/>
              </w:rPr>
            </w:pPr>
            <w:r>
              <w:rPr>
                <w:rFonts w:cs="Times New Roman"/>
                <w:sz w:val="21"/>
                <w:szCs w:val="21"/>
              </w:rPr>
              <w:t>/</w:t>
            </w:r>
          </w:p>
        </w:tc>
        <w:tc>
          <w:tcPr>
            <w:tcW w:w="1032" w:type="pct"/>
            <w:vAlign w:val="center"/>
          </w:tcPr>
          <w:p w14:paraId="185FEC66">
            <w:pPr>
              <w:widowControl/>
              <w:adjustRightInd/>
              <w:spacing w:line="240" w:lineRule="auto"/>
              <w:ind w:firstLine="0" w:firstLineChars="0"/>
              <w:jc w:val="center"/>
              <w:rPr>
                <w:rFonts w:cs="Times New Roman"/>
                <w:sz w:val="21"/>
                <w:szCs w:val="21"/>
              </w:rPr>
            </w:pPr>
            <w:r>
              <w:rPr>
                <w:rFonts w:cs="Times New Roman"/>
                <w:sz w:val="21"/>
                <w:szCs w:val="21"/>
              </w:rPr>
              <w:t>2004-04-22</w:t>
            </w:r>
          </w:p>
        </w:tc>
        <w:tc>
          <w:tcPr>
            <w:tcW w:w="623" w:type="pct"/>
            <w:vAlign w:val="center"/>
          </w:tcPr>
          <w:p w14:paraId="3A978C87">
            <w:pPr>
              <w:widowControl/>
              <w:adjustRightInd/>
              <w:spacing w:line="240" w:lineRule="auto"/>
              <w:ind w:firstLine="0" w:firstLineChars="0"/>
              <w:jc w:val="center"/>
              <w:rPr>
                <w:rFonts w:cs="Times New Roman"/>
                <w:sz w:val="21"/>
                <w:szCs w:val="21"/>
              </w:rPr>
            </w:pPr>
            <w:r>
              <w:rPr>
                <w:rFonts w:cs="Times New Roman"/>
                <w:sz w:val="21"/>
                <w:szCs w:val="21"/>
              </w:rPr>
              <w:t>23.5</w:t>
            </w:r>
          </w:p>
        </w:tc>
      </w:tr>
      <w:tr w14:paraId="1A666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37" w:type="pct"/>
            <w:gridSpan w:val="2"/>
            <w:vAlign w:val="center"/>
          </w:tcPr>
          <w:p w14:paraId="60458CF8">
            <w:pPr>
              <w:widowControl/>
              <w:adjustRightInd/>
              <w:spacing w:line="240" w:lineRule="auto"/>
              <w:ind w:firstLine="0" w:firstLineChars="0"/>
              <w:jc w:val="center"/>
              <w:rPr>
                <w:rFonts w:cs="Times New Roman"/>
                <w:sz w:val="21"/>
                <w:szCs w:val="21"/>
              </w:rPr>
            </w:pPr>
            <w:r>
              <w:rPr>
                <w:rFonts w:ascii="宋体" w:hAnsi="宋体" w:cs="Times New Roman"/>
                <w:sz w:val="21"/>
                <w:szCs w:val="21"/>
              </w:rPr>
              <w:t>多年平均风速</w:t>
            </w:r>
            <w:r>
              <w:rPr>
                <w:rFonts w:cs="Times New Roman"/>
                <w:sz w:val="21"/>
                <w:szCs w:val="21"/>
              </w:rPr>
              <w:t>(m/s)</w:t>
            </w:r>
          </w:p>
        </w:tc>
        <w:tc>
          <w:tcPr>
            <w:tcW w:w="706" w:type="pct"/>
            <w:vAlign w:val="center"/>
          </w:tcPr>
          <w:p w14:paraId="77B05F9D">
            <w:pPr>
              <w:widowControl/>
              <w:adjustRightInd/>
              <w:spacing w:line="240" w:lineRule="auto"/>
              <w:ind w:firstLine="0" w:firstLineChars="0"/>
              <w:jc w:val="center"/>
              <w:rPr>
                <w:rFonts w:cs="Times New Roman"/>
                <w:sz w:val="21"/>
                <w:szCs w:val="21"/>
              </w:rPr>
            </w:pPr>
            <w:r>
              <w:rPr>
                <w:rFonts w:cs="Times New Roman"/>
                <w:sz w:val="21"/>
                <w:szCs w:val="21"/>
              </w:rPr>
              <w:t>1.8</w:t>
            </w:r>
          </w:p>
        </w:tc>
        <w:tc>
          <w:tcPr>
            <w:tcW w:w="1032" w:type="pct"/>
            <w:vAlign w:val="center"/>
          </w:tcPr>
          <w:p w14:paraId="5C862FDF">
            <w:pPr>
              <w:widowControl/>
              <w:adjustRightInd/>
              <w:spacing w:line="240" w:lineRule="auto"/>
              <w:ind w:firstLine="0" w:firstLineChars="0"/>
              <w:jc w:val="center"/>
              <w:rPr>
                <w:rFonts w:cs="Times New Roman"/>
                <w:sz w:val="21"/>
                <w:szCs w:val="21"/>
              </w:rPr>
            </w:pPr>
          </w:p>
        </w:tc>
        <w:tc>
          <w:tcPr>
            <w:tcW w:w="623" w:type="pct"/>
            <w:vAlign w:val="center"/>
          </w:tcPr>
          <w:p w14:paraId="5008007E">
            <w:pPr>
              <w:widowControl/>
              <w:adjustRightInd/>
              <w:spacing w:line="240" w:lineRule="auto"/>
              <w:ind w:firstLine="0" w:firstLineChars="0"/>
              <w:jc w:val="center"/>
              <w:rPr>
                <w:rFonts w:cs="Times New Roman"/>
                <w:sz w:val="21"/>
                <w:szCs w:val="21"/>
              </w:rPr>
            </w:pPr>
          </w:p>
        </w:tc>
      </w:tr>
      <w:tr w14:paraId="5F45E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37" w:type="pct"/>
            <w:gridSpan w:val="2"/>
            <w:vAlign w:val="center"/>
          </w:tcPr>
          <w:p w14:paraId="4D7894E4">
            <w:pPr>
              <w:widowControl/>
              <w:adjustRightInd/>
              <w:spacing w:line="240" w:lineRule="auto"/>
              <w:ind w:firstLine="0" w:firstLineChars="0"/>
              <w:jc w:val="center"/>
              <w:rPr>
                <w:rFonts w:cs="Times New Roman"/>
                <w:sz w:val="21"/>
                <w:szCs w:val="21"/>
              </w:rPr>
            </w:pPr>
            <w:r>
              <w:rPr>
                <w:rFonts w:ascii="宋体" w:hAnsi="宋体" w:cs="Times New Roman"/>
                <w:sz w:val="21"/>
                <w:szCs w:val="21"/>
              </w:rPr>
              <w:t>多年主导风向、风向频率</w:t>
            </w:r>
            <w:r>
              <w:rPr>
                <w:rFonts w:cs="Times New Roman"/>
                <w:sz w:val="21"/>
                <w:szCs w:val="21"/>
              </w:rPr>
              <w:t>(%)</w:t>
            </w:r>
          </w:p>
        </w:tc>
        <w:tc>
          <w:tcPr>
            <w:tcW w:w="706" w:type="pct"/>
            <w:vAlign w:val="center"/>
          </w:tcPr>
          <w:p w14:paraId="292D5227">
            <w:pPr>
              <w:widowControl/>
              <w:adjustRightInd/>
              <w:spacing w:line="240" w:lineRule="auto"/>
              <w:ind w:firstLine="0" w:firstLineChars="0"/>
              <w:jc w:val="center"/>
              <w:rPr>
                <w:rFonts w:cs="Times New Roman"/>
                <w:sz w:val="21"/>
                <w:szCs w:val="21"/>
              </w:rPr>
            </w:pPr>
            <w:r>
              <w:rPr>
                <w:rFonts w:cs="Times New Roman"/>
                <w:sz w:val="21"/>
                <w:szCs w:val="21"/>
              </w:rPr>
              <w:t>NE</w:t>
            </w:r>
          </w:p>
        </w:tc>
        <w:tc>
          <w:tcPr>
            <w:tcW w:w="1032" w:type="pct"/>
            <w:vAlign w:val="center"/>
          </w:tcPr>
          <w:p w14:paraId="5FEEB7F3">
            <w:pPr>
              <w:widowControl/>
              <w:adjustRightInd/>
              <w:spacing w:line="240" w:lineRule="auto"/>
              <w:ind w:firstLine="0" w:firstLineChars="0"/>
              <w:jc w:val="center"/>
              <w:rPr>
                <w:rFonts w:cs="Times New Roman"/>
                <w:sz w:val="21"/>
                <w:szCs w:val="21"/>
              </w:rPr>
            </w:pPr>
          </w:p>
        </w:tc>
        <w:tc>
          <w:tcPr>
            <w:tcW w:w="623" w:type="pct"/>
            <w:vAlign w:val="center"/>
          </w:tcPr>
          <w:p w14:paraId="68C5024F">
            <w:pPr>
              <w:widowControl/>
              <w:adjustRightInd/>
              <w:spacing w:line="240" w:lineRule="auto"/>
              <w:ind w:firstLine="0" w:firstLineChars="0"/>
              <w:jc w:val="center"/>
              <w:rPr>
                <w:rFonts w:cs="Times New Roman"/>
                <w:sz w:val="21"/>
                <w:szCs w:val="21"/>
              </w:rPr>
            </w:pPr>
          </w:p>
        </w:tc>
      </w:tr>
      <w:tr w14:paraId="7C843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37" w:type="pct"/>
            <w:gridSpan w:val="2"/>
            <w:vAlign w:val="center"/>
          </w:tcPr>
          <w:p w14:paraId="3DE60589">
            <w:pPr>
              <w:widowControl/>
              <w:adjustRightInd/>
              <w:spacing w:line="240" w:lineRule="auto"/>
              <w:ind w:firstLine="0" w:firstLineChars="0"/>
              <w:jc w:val="center"/>
              <w:rPr>
                <w:rFonts w:cs="Times New Roman"/>
                <w:sz w:val="21"/>
                <w:szCs w:val="21"/>
              </w:rPr>
            </w:pPr>
            <w:r>
              <w:rPr>
                <w:rFonts w:ascii="宋体" w:hAnsi="宋体" w:cs="Times New Roman"/>
                <w:sz w:val="21"/>
                <w:szCs w:val="21"/>
              </w:rPr>
              <w:t>多年静风频率</w:t>
            </w:r>
            <w:r>
              <w:rPr>
                <w:rFonts w:cs="Times New Roman"/>
                <w:sz w:val="21"/>
                <w:szCs w:val="21"/>
              </w:rPr>
              <w:t>(</w:t>
            </w:r>
            <w:r>
              <w:rPr>
                <w:rFonts w:ascii="宋体" w:hAnsi="宋体" w:cs="Times New Roman"/>
                <w:sz w:val="21"/>
                <w:szCs w:val="21"/>
              </w:rPr>
              <w:t>风速</w:t>
            </w:r>
            <w:r>
              <w:rPr>
                <w:rFonts w:cs="Times New Roman"/>
                <w:sz w:val="21"/>
                <w:szCs w:val="21"/>
              </w:rPr>
              <w:t>&lt;0.2m/s)(%)</w:t>
            </w:r>
          </w:p>
        </w:tc>
        <w:tc>
          <w:tcPr>
            <w:tcW w:w="706" w:type="pct"/>
            <w:vAlign w:val="center"/>
          </w:tcPr>
          <w:p w14:paraId="35141D9E">
            <w:pPr>
              <w:widowControl/>
              <w:adjustRightInd/>
              <w:spacing w:line="240" w:lineRule="auto"/>
              <w:ind w:firstLine="0" w:firstLineChars="0"/>
              <w:jc w:val="center"/>
              <w:rPr>
                <w:rFonts w:cs="Times New Roman"/>
                <w:sz w:val="21"/>
                <w:szCs w:val="21"/>
              </w:rPr>
            </w:pPr>
            <w:r>
              <w:rPr>
                <w:rFonts w:cs="Times New Roman"/>
                <w:sz w:val="21"/>
                <w:szCs w:val="21"/>
              </w:rPr>
              <w:t>5.7</w:t>
            </w:r>
          </w:p>
        </w:tc>
        <w:tc>
          <w:tcPr>
            <w:tcW w:w="1032" w:type="pct"/>
            <w:vAlign w:val="center"/>
          </w:tcPr>
          <w:p w14:paraId="74A3B812">
            <w:pPr>
              <w:widowControl/>
              <w:adjustRightInd/>
              <w:spacing w:line="240" w:lineRule="auto"/>
              <w:ind w:firstLine="0" w:firstLineChars="0"/>
              <w:jc w:val="center"/>
              <w:rPr>
                <w:rFonts w:cs="Times New Roman"/>
                <w:sz w:val="21"/>
                <w:szCs w:val="21"/>
              </w:rPr>
            </w:pPr>
          </w:p>
        </w:tc>
        <w:tc>
          <w:tcPr>
            <w:tcW w:w="623" w:type="pct"/>
            <w:vAlign w:val="center"/>
          </w:tcPr>
          <w:p w14:paraId="084BFFCC">
            <w:pPr>
              <w:widowControl/>
              <w:adjustRightInd/>
              <w:spacing w:line="240" w:lineRule="auto"/>
              <w:ind w:firstLine="0" w:firstLineChars="0"/>
              <w:jc w:val="center"/>
              <w:rPr>
                <w:rFonts w:cs="Times New Roman"/>
                <w:sz w:val="21"/>
                <w:szCs w:val="21"/>
              </w:rPr>
            </w:pPr>
          </w:p>
        </w:tc>
      </w:tr>
    </w:tbl>
    <w:p w14:paraId="1DADA3E7">
      <w:pPr>
        <w:spacing w:line="240" w:lineRule="auto"/>
        <w:ind w:firstLine="482"/>
        <w:rPr>
          <w:rFonts w:hint="eastAsia"/>
          <w:b/>
          <w:bCs/>
        </w:rPr>
      </w:pPr>
    </w:p>
    <w:p w14:paraId="14754BF5">
      <w:pPr>
        <w:ind w:firstLine="482"/>
        <w:rPr>
          <w:b/>
          <w:bCs/>
        </w:rPr>
      </w:pPr>
      <w:r>
        <w:rPr>
          <w:rFonts w:hint="eastAsia"/>
          <w:b/>
          <w:bCs/>
        </w:rPr>
        <w:t>②风向、风速</w:t>
      </w:r>
    </w:p>
    <w:p w14:paraId="7D6DCE86">
      <w:pPr>
        <w:ind w:firstLineChars="0"/>
        <w:rPr>
          <w:rFonts w:cs="Times New Roman"/>
        </w:rPr>
      </w:pPr>
      <w:r>
        <w:rPr>
          <w:rFonts w:cs="Times New Roman"/>
        </w:rPr>
        <w:t>衡阳气象站近20年来风向频率统计表见下表，风向频率玫瑰图见下图</w:t>
      </w:r>
      <w:r>
        <w:rPr>
          <w:rFonts w:hint="eastAsia" w:cs="Times New Roman"/>
          <w:lang w:val="en-US" w:eastAsia="zh-CN"/>
        </w:rPr>
        <w:t>7.2-1</w:t>
      </w:r>
      <w:r>
        <w:rPr>
          <w:rFonts w:cs="Times New Roman"/>
        </w:rPr>
        <w:t>，衡阳气象站近20年风速统计见下表。</w:t>
      </w:r>
    </w:p>
    <w:p w14:paraId="63EA1D6F">
      <w:pPr>
        <w:pStyle w:val="43"/>
        <w:numPr>
          <w:ilvl w:val="5"/>
          <w:numId w:val="1"/>
        </w:numPr>
        <w:rPr>
          <w:rFonts w:hint="default"/>
        </w:rPr>
      </w:pPr>
      <w:r>
        <w:t>衡阳气象站月平均风速统计（2</w:t>
      </w:r>
      <w:r>
        <w:rPr>
          <w:rFonts w:hint="default"/>
        </w:rPr>
        <w:t>003-2022</w:t>
      </w:r>
      <w:r>
        <w:t>）   单位（m/s）</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4"/>
        <w:gridCol w:w="543"/>
        <w:gridCol w:w="627"/>
        <w:gridCol w:w="627"/>
        <w:gridCol w:w="624"/>
        <w:gridCol w:w="624"/>
        <w:gridCol w:w="624"/>
        <w:gridCol w:w="624"/>
        <w:gridCol w:w="624"/>
        <w:gridCol w:w="624"/>
        <w:gridCol w:w="624"/>
        <w:gridCol w:w="626"/>
        <w:gridCol w:w="617"/>
      </w:tblGrid>
      <w:tr w14:paraId="69926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pct"/>
            <w:vAlign w:val="center"/>
          </w:tcPr>
          <w:p w14:paraId="5F8215F2">
            <w:pPr>
              <w:widowControl/>
              <w:autoSpaceDE w:val="0"/>
              <w:snapToGrid w:val="0"/>
              <w:spacing w:line="240" w:lineRule="auto"/>
              <w:ind w:firstLine="0" w:firstLineChars="0"/>
              <w:jc w:val="center"/>
              <w:rPr>
                <w:rFonts w:cs="Times New Roman"/>
                <w:sz w:val="21"/>
                <w:szCs w:val="21"/>
              </w:rPr>
            </w:pPr>
            <w:r>
              <w:rPr>
                <w:rFonts w:ascii="宋体" w:hAnsi="宋体" w:cs="Times New Roman"/>
                <w:sz w:val="21"/>
                <w:szCs w:val="21"/>
              </w:rPr>
              <w:t>月份</w:t>
            </w:r>
            <w:r>
              <w:rPr>
                <w:rFonts w:cs="Times New Roman"/>
                <w:sz w:val="21"/>
                <w:szCs w:val="21"/>
              </w:rPr>
              <w:t xml:space="preserve"> </w:t>
            </w:r>
          </w:p>
        </w:tc>
        <w:tc>
          <w:tcPr>
            <w:tcW w:w="319" w:type="pct"/>
            <w:vAlign w:val="center"/>
          </w:tcPr>
          <w:p w14:paraId="1524BEC3">
            <w:pPr>
              <w:widowControl/>
              <w:autoSpaceDE w:val="0"/>
              <w:snapToGrid w:val="0"/>
              <w:spacing w:line="240" w:lineRule="auto"/>
              <w:ind w:firstLine="0" w:firstLineChars="0"/>
              <w:jc w:val="center"/>
              <w:rPr>
                <w:rFonts w:cs="Times New Roman"/>
                <w:sz w:val="21"/>
                <w:szCs w:val="21"/>
              </w:rPr>
            </w:pPr>
            <w:r>
              <w:rPr>
                <w:rFonts w:cs="Times New Roman"/>
                <w:sz w:val="21"/>
                <w:szCs w:val="21"/>
              </w:rPr>
              <w:t xml:space="preserve">1 </w:t>
            </w:r>
          </w:p>
        </w:tc>
        <w:tc>
          <w:tcPr>
            <w:tcW w:w="368" w:type="pct"/>
            <w:vAlign w:val="center"/>
          </w:tcPr>
          <w:p w14:paraId="409A7332">
            <w:pPr>
              <w:widowControl/>
              <w:autoSpaceDE w:val="0"/>
              <w:snapToGrid w:val="0"/>
              <w:spacing w:line="240" w:lineRule="auto"/>
              <w:ind w:firstLine="0" w:firstLineChars="0"/>
              <w:jc w:val="center"/>
              <w:rPr>
                <w:rFonts w:cs="Times New Roman"/>
                <w:sz w:val="21"/>
                <w:szCs w:val="21"/>
              </w:rPr>
            </w:pPr>
            <w:r>
              <w:rPr>
                <w:rFonts w:cs="Times New Roman"/>
                <w:sz w:val="21"/>
                <w:szCs w:val="21"/>
              </w:rPr>
              <w:t xml:space="preserve">2 </w:t>
            </w:r>
          </w:p>
        </w:tc>
        <w:tc>
          <w:tcPr>
            <w:tcW w:w="368" w:type="pct"/>
            <w:vAlign w:val="center"/>
          </w:tcPr>
          <w:p w14:paraId="529FAA30">
            <w:pPr>
              <w:widowControl/>
              <w:autoSpaceDE w:val="0"/>
              <w:snapToGrid w:val="0"/>
              <w:spacing w:line="240" w:lineRule="auto"/>
              <w:ind w:firstLine="0" w:firstLineChars="0"/>
              <w:jc w:val="center"/>
              <w:rPr>
                <w:rFonts w:cs="Times New Roman"/>
                <w:sz w:val="21"/>
                <w:szCs w:val="21"/>
              </w:rPr>
            </w:pPr>
            <w:r>
              <w:rPr>
                <w:rFonts w:cs="Times New Roman"/>
                <w:sz w:val="21"/>
                <w:szCs w:val="21"/>
              </w:rPr>
              <w:t xml:space="preserve">3 </w:t>
            </w:r>
          </w:p>
        </w:tc>
        <w:tc>
          <w:tcPr>
            <w:tcW w:w="366" w:type="pct"/>
            <w:vAlign w:val="center"/>
          </w:tcPr>
          <w:p w14:paraId="54B6CC69">
            <w:pPr>
              <w:widowControl/>
              <w:autoSpaceDE w:val="0"/>
              <w:snapToGrid w:val="0"/>
              <w:spacing w:line="240" w:lineRule="auto"/>
              <w:ind w:firstLine="0" w:firstLineChars="0"/>
              <w:jc w:val="center"/>
              <w:rPr>
                <w:rFonts w:cs="Times New Roman"/>
                <w:sz w:val="21"/>
                <w:szCs w:val="21"/>
              </w:rPr>
            </w:pPr>
            <w:r>
              <w:rPr>
                <w:rFonts w:cs="Times New Roman"/>
                <w:sz w:val="21"/>
                <w:szCs w:val="21"/>
              </w:rPr>
              <w:t xml:space="preserve">4 </w:t>
            </w:r>
          </w:p>
        </w:tc>
        <w:tc>
          <w:tcPr>
            <w:tcW w:w="366" w:type="pct"/>
            <w:vAlign w:val="center"/>
          </w:tcPr>
          <w:p w14:paraId="024414C9">
            <w:pPr>
              <w:widowControl/>
              <w:autoSpaceDE w:val="0"/>
              <w:snapToGrid w:val="0"/>
              <w:spacing w:line="240" w:lineRule="auto"/>
              <w:ind w:firstLine="0" w:firstLineChars="0"/>
              <w:jc w:val="center"/>
              <w:rPr>
                <w:rFonts w:cs="Times New Roman"/>
                <w:sz w:val="21"/>
                <w:szCs w:val="21"/>
              </w:rPr>
            </w:pPr>
            <w:r>
              <w:rPr>
                <w:rFonts w:cs="Times New Roman"/>
                <w:sz w:val="21"/>
                <w:szCs w:val="21"/>
              </w:rPr>
              <w:t xml:space="preserve">5 </w:t>
            </w:r>
          </w:p>
        </w:tc>
        <w:tc>
          <w:tcPr>
            <w:tcW w:w="366" w:type="pct"/>
            <w:vAlign w:val="center"/>
          </w:tcPr>
          <w:p w14:paraId="139C087F">
            <w:pPr>
              <w:widowControl/>
              <w:autoSpaceDE w:val="0"/>
              <w:snapToGrid w:val="0"/>
              <w:spacing w:line="240" w:lineRule="auto"/>
              <w:ind w:firstLine="0" w:firstLineChars="0"/>
              <w:jc w:val="center"/>
              <w:rPr>
                <w:rFonts w:cs="Times New Roman"/>
                <w:sz w:val="21"/>
                <w:szCs w:val="21"/>
              </w:rPr>
            </w:pPr>
            <w:r>
              <w:rPr>
                <w:rFonts w:cs="Times New Roman"/>
                <w:sz w:val="21"/>
                <w:szCs w:val="21"/>
              </w:rPr>
              <w:t xml:space="preserve">6 </w:t>
            </w:r>
          </w:p>
        </w:tc>
        <w:tc>
          <w:tcPr>
            <w:tcW w:w="366" w:type="pct"/>
            <w:vAlign w:val="center"/>
          </w:tcPr>
          <w:p w14:paraId="5FBA284B">
            <w:pPr>
              <w:widowControl/>
              <w:autoSpaceDE w:val="0"/>
              <w:snapToGrid w:val="0"/>
              <w:spacing w:line="240" w:lineRule="auto"/>
              <w:ind w:firstLine="0" w:firstLineChars="0"/>
              <w:jc w:val="center"/>
              <w:rPr>
                <w:rFonts w:cs="Times New Roman"/>
                <w:sz w:val="21"/>
                <w:szCs w:val="21"/>
              </w:rPr>
            </w:pPr>
            <w:r>
              <w:rPr>
                <w:rFonts w:cs="Times New Roman"/>
                <w:sz w:val="21"/>
                <w:szCs w:val="21"/>
              </w:rPr>
              <w:t xml:space="preserve">7 </w:t>
            </w:r>
          </w:p>
        </w:tc>
        <w:tc>
          <w:tcPr>
            <w:tcW w:w="366" w:type="pct"/>
            <w:vAlign w:val="center"/>
          </w:tcPr>
          <w:p w14:paraId="57851651">
            <w:pPr>
              <w:widowControl/>
              <w:autoSpaceDE w:val="0"/>
              <w:snapToGrid w:val="0"/>
              <w:spacing w:line="240" w:lineRule="auto"/>
              <w:ind w:firstLine="0" w:firstLineChars="0"/>
              <w:jc w:val="center"/>
              <w:rPr>
                <w:rFonts w:cs="Times New Roman"/>
                <w:sz w:val="21"/>
                <w:szCs w:val="21"/>
              </w:rPr>
            </w:pPr>
            <w:r>
              <w:rPr>
                <w:rFonts w:cs="Times New Roman"/>
                <w:sz w:val="21"/>
                <w:szCs w:val="21"/>
              </w:rPr>
              <w:t xml:space="preserve">8 </w:t>
            </w:r>
          </w:p>
        </w:tc>
        <w:tc>
          <w:tcPr>
            <w:tcW w:w="366" w:type="pct"/>
            <w:vAlign w:val="center"/>
          </w:tcPr>
          <w:p w14:paraId="1CDC3345">
            <w:pPr>
              <w:widowControl/>
              <w:autoSpaceDE w:val="0"/>
              <w:snapToGrid w:val="0"/>
              <w:spacing w:line="240" w:lineRule="auto"/>
              <w:ind w:firstLine="0" w:firstLineChars="0"/>
              <w:jc w:val="center"/>
              <w:rPr>
                <w:rFonts w:cs="Times New Roman"/>
                <w:sz w:val="21"/>
                <w:szCs w:val="21"/>
              </w:rPr>
            </w:pPr>
            <w:r>
              <w:rPr>
                <w:rFonts w:cs="Times New Roman"/>
                <w:sz w:val="21"/>
                <w:szCs w:val="21"/>
              </w:rPr>
              <w:t xml:space="preserve">9 </w:t>
            </w:r>
          </w:p>
        </w:tc>
        <w:tc>
          <w:tcPr>
            <w:tcW w:w="366" w:type="pct"/>
            <w:vAlign w:val="center"/>
          </w:tcPr>
          <w:p w14:paraId="4FDB196F">
            <w:pPr>
              <w:widowControl/>
              <w:autoSpaceDE w:val="0"/>
              <w:snapToGrid w:val="0"/>
              <w:spacing w:line="240" w:lineRule="auto"/>
              <w:ind w:firstLine="0" w:firstLineChars="0"/>
              <w:jc w:val="center"/>
              <w:rPr>
                <w:rFonts w:cs="Times New Roman"/>
                <w:sz w:val="21"/>
                <w:szCs w:val="21"/>
              </w:rPr>
            </w:pPr>
            <w:r>
              <w:rPr>
                <w:rFonts w:cs="Times New Roman"/>
                <w:sz w:val="21"/>
                <w:szCs w:val="21"/>
              </w:rPr>
              <w:t xml:space="preserve">10 </w:t>
            </w:r>
          </w:p>
        </w:tc>
        <w:tc>
          <w:tcPr>
            <w:tcW w:w="367" w:type="pct"/>
            <w:vAlign w:val="center"/>
          </w:tcPr>
          <w:p w14:paraId="05BA0BC3">
            <w:pPr>
              <w:widowControl/>
              <w:autoSpaceDE w:val="0"/>
              <w:snapToGrid w:val="0"/>
              <w:spacing w:line="240" w:lineRule="auto"/>
              <w:ind w:firstLine="0" w:firstLineChars="0"/>
              <w:jc w:val="center"/>
              <w:rPr>
                <w:rFonts w:cs="Times New Roman"/>
                <w:sz w:val="21"/>
                <w:szCs w:val="21"/>
              </w:rPr>
            </w:pPr>
            <w:r>
              <w:rPr>
                <w:rFonts w:cs="Times New Roman"/>
                <w:sz w:val="21"/>
                <w:szCs w:val="21"/>
              </w:rPr>
              <w:t xml:space="preserve">11 </w:t>
            </w:r>
          </w:p>
        </w:tc>
        <w:tc>
          <w:tcPr>
            <w:tcW w:w="365" w:type="pct"/>
            <w:vAlign w:val="center"/>
          </w:tcPr>
          <w:p w14:paraId="7B2D99BB">
            <w:pPr>
              <w:widowControl/>
              <w:autoSpaceDE w:val="0"/>
              <w:snapToGrid w:val="0"/>
              <w:spacing w:line="240" w:lineRule="auto"/>
              <w:ind w:firstLine="0" w:firstLineChars="0"/>
              <w:jc w:val="center"/>
              <w:rPr>
                <w:rFonts w:cs="Times New Roman"/>
                <w:sz w:val="21"/>
                <w:szCs w:val="21"/>
              </w:rPr>
            </w:pPr>
            <w:r>
              <w:rPr>
                <w:rFonts w:cs="Times New Roman"/>
                <w:sz w:val="21"/>
                <w:szCs w:val="21"/>
              </w:rPr>
              <w:t>12</w:t>
            </w:r>
          </w:p>
        </w:tc>
      </w:tr>
      <w:tr w14:paraId="3C32F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pct"/>
            <w:vAlign w:val="center"/>
          </w:tcPr>
          <w:p w14:paraId="53BE56D1">
            <w:pPr>
              <w:widowControl/>
              <w:autoSpaceDE w:val="0"/>
              <w:snapToGrid w:val="0"/>
              <w:spacing w:line="240" w:lineRule="auto"/>
              <w:ind w:firstLine="0" w:firstLineChars="0"/>
              <w:jc w:val="center"/>
              <w:rPr>
                <w:rFonts w:cs="Times New Roman"/>
                <w:sz w:val="21"/>
                <w:szCs w:val="21"/>
              </w:rPr>
            </w:pPr>
            <w:r>
              <w:rPr>
                <w:rFonts w:ascii="宋体" w:hAnsi="宋体" w:cs="Times New Roman"/>
                <w:sz w:val="21"/>
                <w:szCs w:val="21"/>
              </w:rPr>
              <w:t>平均风速</w:t>
            </w:r>
          </w:p>
        </w:tc>
        <w:tc>
          <w:tcPr>
            <w:tcW w:w="319" w:type="pct"/>
            <w:vAlign w:val="center"/>
          </w:tcPr>
          <w:p w14:paraId="303AD9AB">
            <w:pPr>
              <w:widowControl/>
              <w:autoSpaceDE w:val="0"/>
              <w:snapToGrid w:val="0"/>
              <w:spacing w:line="240" w:lineRule="auto"/>
              <w:ind w:firstLine="0" w:firstLineChars="0"/>
              <w:jc w:val="center"/>
              <w:rPr>
                <w:rFonts w:cs="Times New Roman"/>
                <w:sz w:val="21"/>
                <w:szCs w:val="21"/>
              </w:rPr>
            </w:pPr>
            <w:r>
              <w:rPr>
                <w:rFonts w:cs="Times New Roman"/>
                <w:sz w:val="21"/>
                <w:szCs w:val="21"/>
              </w:rPr>
              <w:t>1.4</w:t>
            </w:r>
          </w:p>
        </w:tc>
        <w:tc>
          <w:tcPr>
            <w:tcW w:w="368" w:type="pct"/>
            <w:vAlign w:val="center"/>
          </w:tcPr>
          <w:p w14:paraId="3D9EB10A">
            <w:pPr>
              <w:widowControl/>
              <w:autoSpaceDE w:val="0"/>
              <w:snapToGrid w:val="0"/>
              <w:spacing w:line="240" w:lineRule="auto"/>
              <w:ind w:firstLine="0" w:firstLineChars="0"/>
              <w:jc w:val="center"/>
              <w:rPr>
                <w:rFonts w:cs="Times New Roman"/>
                <w:sz w:val="21"/>
                <w:szCs w:val="21"/>
              </w:rPr>
            </w:pPr>
            <w:r>
              <w:rPr>
                <w:rFonts w:cs="Times New Roman"/>
                <w:sz w:val="21"/>
                <w:szCs w:val="21"/>
              </w:rPr>
              <w:t>1.6</w:t>
            </w:r>
          </w:p>
        </w:tc>
        <w:tc>
          <w:tcPr>
            <w:tcW w:w="368" w:type="pct"/>
            <w:vAlign w:val="center"/>
          </w:tcPr>
          <w:p w14:paraId="4D59496E">
            <w:pPr>
              <w:widowControl/>
              <w:autoSpaceDE w:val="0"/>
              <w:snapToGrid w:val="0"/>
              <w:spacing w:line="240" w:lineRule="auto"/>
              <w:ind w:firstLine="0" w:firstLineChars="0"/>
              <w:jc w:val="center"/>
              <w:rPr>
                <w:rFonts w:cs="Times New Roman"/>
                <w:sz w:val="21"/>
                <w:szCs w:val="21"/>
              </w:rPr>
            </w:pPr>
            <w:r>
              <w:rPr>
                <w:rFonts w:cs="Times New Roman"/>
                <w:sz w:val="21"/>
                <w:szCs w:val="21"/>
              </w:rPr>
              <w:t>1.6</w:t>
            </w:r>
          </w:p>
        </w:tc>
        <w:tc>
          <w:tcPr>
            <w:tcW w:w="366" w:type="pct"/>
            <w:vAlign w:val="center"/>
          </w:tcPr>
          <w:p w14:paraId="6A9C7FE0">
            <w:pPr>
              <w:widowControl/>
              <w:autoSpaceDE w:val="0"/>
              <w:snapToGrid w:val="0"/>
              <w:spacing w:line="240" w:lineRule="auto"/>
              <w:ind w:firstLine="0" w:firstLineChars="0"/>
              <w:jc w:val="center"/>
              <w:rPr>
                <w:rFonts w:cs="Times New Roman"/>
                <w:sz w:val="21"/>
                <w:szCs w:val="21"/>
              </w:rPr>
            </w:pPr>
            <w:r>
              <w:rPr>
                <w:rFonts w:cs="Times New Roman"/>
                <w:sz w:val="21"/>
                <w:szCs w:val="21"/>
              </w:rPr>
              <w:t>1.8</w:t>
            </w:r>
          </w:p>
        </w:tc>
        <w:tc>
          <w:tcPr>
            <w:tcW w:w="366" w:type="pct"/>
            <w:vAlign w:val="center"/>
          </w:tcPr>
          <w:p w14:paraId="74263A15">
            <w:pPr>
              <w:widowControl/>
              <w:autoSpaceDE w:val="0"/>
              <w:snapToGrid w:val="0"/>
              <w:spacing w:line="240" w:lineRule="auto"/>
              <w:ind w:firstLine="0" w:firstLineChars="0"/>
              <w:jc w:val="center"/>
              <w:rPr>
                <w:rFonts w:cs="Times New Roman"/>
                <w:sz w:val="21"/>
                <w:szCs w:val="21"/>
              </w:rPr>
            </w:pPr>
            <w:r>
              <w:rPr>
                <w:rFonts w:cs="Times New Roman"/>
                <w:sz w:val="21"/>
                <w:szCs w:val="21"/>
              </w:rPr>
              <w:t>1.8</w:t>
            </w:r>
          </w:p>
        </w:tc>
        <w:tc>
          <w:tcPr>
            <w:tcW w:w="366" w:type="pct"/>
            <w:vAlign w:val="center"/>
          </w:tcPr>
          <w:p w14:paraId="10BB2CA7">
            <w:pPr>
              <w:widowControl/>
              <w:autoSpaceDE w:val="0"/>
              <w:snapToGrid w:val="0"/>
              <w:spacing w:line="240" w:lineRule="auto"/>
              <w:ind w:firstLine="0" w:firstLineChars="0"/>
              <w:jc w:val="center"/>
              <w:rPr>
                <w:rFonts w:cs="Times New Roman"/>
                <w:sz w:val="21"/>
                <w:szCs w:val="21"/>
              </w:rPr>
            </w:pPr>
            <w:r>
              <w:rPr>
                <w:rFonts w:cs="Times New Roman"/>
                <w:sz w:val="21"/>
                <w:szCs w:val="21"/>
              </w:rPr>
              <w:t>1.9</w:t>
            </w:r>
          </w:p>
        </w:tc>
        <w:tc>
          <w:tcPr>
            <w:tcW w:w="366" w:type="pct"/>
            <w:vAlign w:val="center"/>
          </w:tcPr>
          <w:p w14:paraId="7BFA76D8">
            <w:pPr>
              <w:widowControl/>
              <w:autoSpaceDE w:val="0"/>
              <w:snapToGrid w:val="0"/>
              <w:spacing w:line="240" w:lineRule="auto"/>
              <w:ind w:firstLine="0" w:firstLineChars="0"/>
              <w:jc w:val="center"/>
              <w:rPr>
                <w:rFonts w:cs="Times New Roman"/>
                <w:sz w:val="21"/>
                <w:szCs w:val="21"/>
              </w:rPr>
            </w:pPr>
            <w:r>
              <w:rPr>
                <w:rFonts w:cs="Times New Roman"/>
                <w:sz w:val="21"/>
                <w:szCs w:val="21"/>
              </w:rPr>
              <w:t>2.2</w:t>
            </w:r>
          </w:p>
        </w:tc>
        <w:tc>
          <w:tcPr>
            <w:tcW w:w="366" w:type="pct"/>
            <w:vAlign w:val="center"/>
          </w:tcPr>
          <w:p w14:paraId="1DEC2CCA">
            <w:pPr>
              <w:widowControl/>
              <w:autoSpaceDE w:val="0"/>
              <w:snapToGrid w:val="0"/>
              <w:spacing w:line="240" w:lineRule="auto"/>
              <w:ind w:firstLine="0" w:firstLineChars="0"/>
              <w:jc w:val="center"/>
              <w:rPr>
                <w:rFonts w:cs="Times New Roman"/>
                <w:sz w:val="21"/>
                <w:szCs w:val="21"/>
              </w:rPr>
            </w:pPr>
            <w:r>
              <w:rPr>
                <w:rFonts w:cs="Times New Roman"/>
                <w:sz w:val="21"/>
                <w:szCs w:val="21"/>
              </w:rPr>
              <w:t>2</w:t>
            </w:r>
          </w:p>
        </w:tc>
        <w:tc>
          <w:tcPr>
            <w:tcW w:w="366" w:type="pct"/>
            <w:vAlign w:val="center"/>
          </w:tcPr>
          <w:p w14:paraId="4C4B5D21">
            <w:pPr>
              <w:widowControl/>
              <w:autoSpaceDE w:val="0"/>
              <w:snapToGrid w:val="0"/>
              <w:spacing w:line="240" w:lineRule="auto"/>
              <w:ind w:firstLine="0" w:firstLineChars="0"/>
              <w:jc w:val="center"/>
              <w:rPr>
                <w:rFonts w:cs="Times New Roman"/>
                <w:sz w:val="21"/>
                <w:szCs w:val="21"/>
              </w:rPr>
            </w:pPr>
            <w:r>
              <w:rPr>
                <w:rFonts w:cs="Times New Roman"/>
                <w:sz w:val="21"/>
                <w:szCs w:val="21"/>
              </w:rPr>
              <w:t>1.9</w:t>
            </w:r>
          </w:p>
        </w:tc>
        <w:tc>
          <w:tcPr>
            <w:tcW w:w="366" w:type="pct"/>
            <w:vAlign w:val="center"/>
          </w:tcPr>
          <w:p w14:paraId="672A3243">
            <w:pPr>
              <w:widowControl/>
              <w:autoSpaceDE w:val="0"/>
              <w:snapToGrid w:val="0"/>
              <w:spacing w:line="240" w:lineRule="auto"/>
              <w:ind w:firstLine="0" w:firstLineChars="0"/>
              <w:jc w:val="center"/>
              <w:rPr>
                <w:rFonts w:cs="Times New Roman"/>
                <w:sz w:val="21"/>
                <w:szCs w:val="21"/>
              </w:rPr>
            </w:pPr>
            <w:r>
              <w:rPr>
                <w:rFonts w:cs="Times New Roman"/>
                <w:sz w:val="21"/>
                <w:szCs w:val="21"/>
              </w:rPr>
              <w:t>1.7</w:t>
            </w:r>
          </w:p>
        </w:tc>
        <w:tc>
          <w:tcPr>
            <w:tcW w:w="367" w:type="pct"/>
            <w:vAlign w:val="center"/>
          </w:tcPr>
          <w:p w14:paraId="1547D4DF">
            <w:pPr>
              <w:widowControl/>
              <w:autoSpaceDE w:val="0"/>
              <w:snapToGrid w:val="0"/>
              <w:spacing w:line="240" w:lineRule="auto"/>
              <w:ind w:firstLine="0" w:firstLineChars="0"/>
              <w:jc w:val="center"/>
              <w:rPr>
                <w:rFonts w:cs="Times New Roman"/>
                <w:sz w:val="21"/>
                <w:szCs w:val="21"/>
              </w:rPr>
            </w:pPr>
            <w:r>
              <w:rPr>
                <w:rFonts w:cs="Times New Roman"/>
                <w:sz w:val="21"/>
                <w:szCs w:val="21"/>
              </w:rPr>
              <w:t>1.6</w:t>
            </w:r>
          </w:p>
        </w:tc>
        <w:tc>
          <w:tcPr>
            <w:tcW w:w="365" w:type="pct"/>
            <w:vAlign w:val="center"/>
          </w:tcPr>
          <w:p w14:paraId="2A2FE0F4">
            <w:pPr>
              <w:widowControl/>
              <w:autoSpaceDE w:val="0"/>
              <w:snapToGrid w:val="0"/>
              <w:spacing w:line="240" w:lineRule="auto"/>
              <w:ind w:firstLine="0" w:firstLineChars="0"/>
              <w:jc w:val="center"/>
              <w:rPr>
                <w:rFonts w:cs="Times New Roman"/>
                <w:sz w:val="21"/>
                <w:szCs w:val="21"/>
              </w:rPr>
            </w:pPr>
            <w:r>
              <w:rPr>
                <w:rFonts w:cs="Times New Roman"/>
                <w:sz w:val="21"/>
                <w:szCs w:val="21"/>
              </w:rPr>
              <w:t>1.5</w:t>
            </w:r>
          </w:p>
        </w:tc>
      </w:tr>
    </w:tbl>
    <w:p w14:paraId="3436C4E5">
      <w:pPr>
        <w:ind w:firstLine="480"/>
        <w:rPr>
          <w:rFonts w:hint="eastAsia"/>
        </w:rPr>
      </w:pPr>
    </w:p>
    <w:p w14:paraId="4B581A64">
      <w:pPr>
        <w:ind w:firstLine="480"/>
      </w:pPr>
      <w:r>
        <w:rPr>
          <w:rFonts w:hint="eastAsia"/>
        </w:rPr>
        <w:t>根据上表，衡阳气象站近20年月平均风速7月平均风速最大（2.2m/s），1月风速最小（1.4m/s）。</w:t>
      </w:r>
    </w:p>
    <w:p w14:paraId="79F0C330">
      <w:pPr>
        <w:pStyle w:val="43"/>
        <w:numPr>
          <w:ilvl w:val="5"/>
          <w:numId w:val="1"/>
        </w:numPr>
        <w:rPr>
          <w:rFonts w:hint="default"/>
        </w:rPr>
      </w:pPr>
      <w:r>
        <w:t>衡阳气象站年风向频率统计（2003-2022）   单位：%</w:t>
      </w:r>
    </w:p>
    <w:tbl>
      <w:tblPr>
        <w:tblStyle w:val="32"/>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9"/>
        <w:gridCol w:w="395"/>
        <w:gridCol w:w="510"/>
        <w:gridCol w:w="538"/>
        <w:gridCol w:w="494"/>
        <w:gridCol w:w="395"/>
        <w:gridCol w:w="470"/>
        <w:gridCol w:w="395"/>
        <w:gridCol w:w="462"/>
        <w:gridCol w:w="466"/>
        <w:gridCol w:w="510"/>
        <w:gridCol w:w="430"/>
        <w:gridCol w:w="566"/>
        <w:gridCol w:w="466"/>
        <w:gridCol w:w="589"/>
        <w:gridCol w:w="454"/>
        <w:gridCol w:w="557"/>
        <w:gridCol w:w="466"/>
      </w:tblGrid>
      <w:tr w14:paraId="6EC04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0" w:type="pct"/>
            <w:vAlign w:val="center"/>
          </w:tcPr>
          <w:p w14:paraId="0417BE00">
            <w:pPr>
              <w:pStyle w:val="45"/>
              <w:rPr>
                <w:rFonts w:hint="default"/>
              </w:rPr>
            </w:pPr>
            <w:r>
              <w:t>风向</w:t>
            </w:r>
          </w:p>
        </w:tc>
        <w:tc>
          <w:tcPr>
            <w:tcW w:w="231" w:type="pct"/>
            <w:vAlign w:val="center"/>
          </w:tcPr>
          <w:p w14:paraId="35B24674">
            <w:pPr>
              <w:pStyle w:val="45"/>
              <w:rPr>
                <w:rFonts w:hint="default"/>
              </w:rPr>
            </w:pPr>
            <w:r>
              <w:t>N</w:t>
            </w:r>
          </w:p>
        </w:tc>
        <w:tc>
          <w:tcPr>
            <w:tcW w:w="299" w:type="pct"/>
            <w:vAlign w:val="center"/>
          </w:tcPr>
          <w:p w14:paraId="67FAC55E">
            <w:pPr>
              <w:pStyle w:val="45"/>
              <w:rPr>
                <w:rFonts w:hint="default"/>
              </w:rPr>
            </w:pPr>
            <w:r>
              <w:t>NNE</w:t>
            </w:r>
          </w:p>
        </w:tc>
        <w:tc>
          <w:tcPr>
            <w:tcW w:w="315" w:type="pct"/>
            <w:vAlign w:val="center"/>
          </w:tcPr>
          <w:p w14:paraId="789E4400">
            <w:pPr>
              <w:pStyle w:val="45"/>
              <w:rPr>
                <w:rFonts w:hint="default"/>
              </w:rPr>
            </w:pPr>
            <w:r>
              <w:t>NE</w:t>
            </w:r>
          </w:p>
        </w:tc>
        <w:tc>
          <w:tcPr>
            <w:tcW w:w="289" w:type="pct"/>
            <w:vAlign w:val="center"/>
          </w:tcPr>
          <w:p w14:paraId="75106DBE">
            <w:pPr>
              <w:pStyle w:val="45"/>
              <w:rPr>
                <w:rFonts w:hint="default"/>
              </w:rPr>
            </w:pPr>
            <w:r>
              <w:t>ENE</w:t>
            </w:r>
          </w:p>
        </w:tc>
        <w:tc>
          <w:tcPr>
            <w:tcW w:w="231" w:type="pct"/>
            <w:vAlign w:val="center"/>
          </w:tcPr>
          <w:p w14:paraId="0B3486F9">
            <w:pPr>
              <w:pStyle w:val="45"/>
              <w:rPr>
                <w:rFonts w:hint="default"/>
              </w:rPr>
            </w:pPr>
            <w:r>
              <w:t>E</w:t>
            </w:r>
          </w:p>
        </w:tc>
        <w:tc>
          <w:tcPr>
            <w:tcW w:w="276" w:type="pct"/>
            <w:vAlign w:val="center"/>
          </w:tcPr>
          <w:p w14:paraId="1626B57A">
            <w:pPr>
              <w:pStyle w:val="45"/>
              <w:rPr>
                <w:rFonts w:hint="default"/>
              </w:rPr>
            </w:pPr>
            <w:r>
              <w:t>ESE</w:t>
            </w:r>
          </w:p>
        </w:tc>
        <w:tc>
          <w:tcPr>
            <w:tcW w:w="231" w:type="pct"/>
            <w:vAlign w:val="center"/>
          </w:tcPr>
          <w:p w14:paraId="490656C4">
            <w:pPr>
              <w:pStyle w:val="45"/>
              <w:rPr>
                <w:rFonts w:hint="default"/>
              </w:rPr>
            </w:pPr>
            <w:r>
              <w:t>SE</w:t>
            </w:r>
          </w:p>
        </w:tc>
        <w:tc>
          <w:tcPr>
            <w:tcW w:w="271" w:type="pct"/>
            <w:vAlign w:val="center"/>
          </w:tcPr>
          <w:p w14:paraId="0EA772EA">
            <w:pPr>
              <w:pStyle w:val="45"/>
              <w:rPr>
                <w:rFonts w:hint="default"/>
              </w:rPr>
            </w:pPr>
            <w:r>
              <w:t>SSE</w:t>
            </w:r>
          </w:p>
        </w:tc>
        <w:tc>
          <w:tcPr>
            <w:tcW w:w="273" w:type="pct"/>
            <w:vAlign w:val="center"/>
          </w:tcPr>
          <w:p w14:paraId="5B46DFAE">
            <w:pPr>
              <w:pStyle w:val="45"/>
              <w:rPr>
                <w:rFonts w:hint="default"/>
              </w:rPr>
            </w:pPr>
            <w:r>
              <w:t>S</w:t>
            </w:r>
          </w:p>
        </w:tc>
        <w:tc>
          <w:tcPr>
            <w:tcW w:w="299" w:type="pct"/>
            <w:vAlign w:val="center"/>
          </w:tcPr>
          <w:p w14:paraId="7A1D7357">
            <w:pPr>
              <w:pStyle w:val="45"/>
              <w:rPr>
                <w:rFonts w:hint="default"/>
              </w:rPr>
            </w:pPr>
            <w:r>
              <w:t>SSW</w:t>
            </w:r>
          </w:p>
        </w:tc>
        <w:tc>
          <w:tcPr>
            <w:tcW w:w="251" w:type="pct"/>
            <w:vAlign w:val="center"/>
          </w:tcPr>
          <w:p w14:paraId="3DDAB469">
            <w:pPr>
              <w:pStyle w:val="45"/>
              <w:rPr>
                <w:rFonts w:hint="default"/>
              </w:rPr>
            </w:pPr>
            <w:r>
              <w:t>SW</w:t>
            </w:r>
          </w:p>
        </w:tc>
        <w:tc>
          <w:tcPr>
            <w:tcW w:w="331" w:type="pct"/>
            <w:vAlign w:val="center"/>
          </w:tcPr>
          <w:p w14:paraId="4891CE6B">
            <w:pPr>
              <w:pStyle w:val="45"/>
              <w:rPr>
                <w:rFonts w:hint="default"/>
              </w:rPr>
            </w:pPr>
            <w:r>
              <w:t>WSW</w:t>
            </w:r>
          </w:p>
        </w:tc>
        <w:tc>
          <w:tcPr>
            <w:tcW w:w="273" w:type="pct"/>
            <w:vAlign w:val="center"/>
          </w:tcPr>
          <w:p w14:paraId="3AA58DCF">
            <w:pPr>
              <w:pStyle w:val="45"/>
              <w:rPr>
                <w:rFonts w:hint="default"/>
              </w:rPr>
            </w:pPr>
            <w:r>
              <w:t>W</w:t>
            </w:r>
          </w:p>
        </w:tc>
        <w:tc>
          <w:tcPr>
            <w:tcW w:w="346" w:type="pct"/>
            <w:vAlign w:val="center"/>
          </w:tcPr>
          <w:p w14:paraId="1C145D37">
            <w:pPr>
              <w:pStyle w:val="45"/>
              <w:rPr>
                <w:rFonts w:hint="default"/>
              </w:rPr>
            </w:pPr>
            <w:r>
              <w:t>WNW</w:t>
            </w:r>
          </w:p>
        </w:tc>
        <w:tc>
          <w:tcPr>
            <w:tcW w:w="266" w:type="pct"/>
            <w:vAlign w:val="center"/>
          </w:tcPr>
          <w:p w14:paraId="205C0387">
            <w:pPr>
              <w:pStyle w:val="45"/>
              <w:rPr>
                <w:rFonts w:hint="default"/>
              </w:rPr>
            </w:pPr>
            <w:r>
              <w:t>NW</w:t>
            </w:r>
          </w:p>
        </w:tc>
        <w:tc>
          <w:tcPr>
            <w:tcW w:w="327" w:type="pct"/>
            <w:vAlign w:val="center"/>
          </w:tcPr>
          <w:p w14:paraId="4D51F4F9">
            <w:pPr>
              <w:pStyle w:val="45"/>
              <w:rPr>
                <w:rFonts w:hint="default"/>
              </w:rPr>
            </w:pPr>
            <w:r>
              <w:t>NNW</w:t>
            </w:r>
          </w:p>
        </w:tc>
        <w:tc>
          <w:tcPr>
            <w:tcW w:w="273" w:type="pct"/>
            <w:vAlign w:val="center"/>
          </w:tcPr>
          <w:p w14:paraId="2C76BE15">
            <w:pPr>
              <w:pStyle w:val="45"/>
              <w:rPr>
                <w:rFonts w:hint="default"/>
              </w:rPr>
            </w:pPr>
            <w:r>
              <w:t>C</w:t>
            </w:r>
          </w:p>
        </w:tc>
      </w:tr>
      <w:tr w14:paraId="49565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0" w:type="pct"/>
            <w:vAlign w:val="center"/>
          </w:tcPr>
          <w:p w14:paraId="764CFA9A">
            <w:pPr>
              <w:pStyle w:val="45"/>
              <w:rPr>
                <w:rFonts w:hint="default"/>
              </w:rPr>
            </w:pPr>
            <w:r>
              <w:t>频率</w:t>
            </w:r>
          </w:p>
        </w:tc>
        <w:tc>
          <w:tcPr>
            <w:tcW w:w="231" w:type="pct"/>
            <w:vAlign w:val="center"/>
          </w:tcPr>
          <w:p w14:paraId="2E491525">
            <w:pPr>
              <w:pStyle w:val="45"/>
              <w:rPr>
                <w:rFonts w:hint="default"/>
              </w:rPr>
            </w:pPr>
            <w:r>
              <w:t>7.4</w:t>
            </w:r>
          </w:p>
        </w:tc>
        <w:tc>
          <w:tcPr>
            <w:tcW w:w="299" w:type="pct"/>
            <w:vAlign w:val="center"/>
          </w:tcPr>
          <w:p w14:paraId="1C8A224A">
            <w:pPr>
              <w:pStyle w:val="45"/>
              <w:rPr>
                <w:rFonts w:hint="default"/>
              </w:rPr>
            </w:pPr>
            <w:r>
              <w:t>12.8</w:t>
            </w:r>
          </w:p>
        </w:tc>
        <w:tc>
          <w:tcPr>
            <w:tcW w:w="315" w:type="pct"/>
            <w:vAlign w:val="center"/>
          </w:tcPr>
          <w:p w14:paraId="403F4271">
            <w:pPr>
              <w:pStyle w:val="45"/>
              <w:rPr>
                <w:rFonts w:hint="default"/>
              </w:rPr>
            </w:pPr>
            <w:r>
              <w:t>16.65</w:t>
            </w:r>
          </w:p>
        </w:tc>
        <w:tc>
          <w:tcPr>
            <w:tcW w:w="289" w:type="pct"/>
            <w:vAlign w:val="center"/>
          </w:tcPr>
          <w:p w14:paraId="42C236CF">
            <w:pPr>
              <w:pStyle w:val="45"/>
              <w:rPr>
                <w:rFonts w:hint="default"/>
              </w:rPr>
            </w:pPr>
            <w:r>
              <w:t>4.55</w:t>
            </w:r>
          </w:p>
        </w:tc>
        <w:tc>
          <w:tcPr>
            <w:tcW w:w="231" w:type="pct"/>
            <w:vAlign w:val="center"/>
          </w:tcPr>
          <w:p w14:paraId="24E76C64">
            <w:pPr>
              <w:pStyle w:val="45"/>
              <w:rPr>
                <w:rFonts w:hint="default"/>
              </w:rPr>
            </w:pPr>
            <w:r>
              <w:t>2.6</w:t>
            </w:r>
          </w:p>
        </w:tc>
        <w:tc>
          <w:tcPr>
            <w:tcW w:w="276" w:type="pct"/>
            <w:vAlign w:val="center"/>
          </w:tcPr>
          <w:p w14:paraId="4DEC7481">
            <w:pPr>
              <w:pStyle w:val="45"/>
              <w:rPr>
                <w:rFonts w:hint="default"/>
              </w:rPr>
            </w:pPr>
            <w:r>
              <w:t>2.15</w:t>
            </w:r>
          </w:p>
        </w:tc>
        <w:tc>
          <w:tcPr>
            <w:tcW w:w="231" w:type="pct"/>
            <w:vAlign w:val="center"/>
          </w:tcPr>
          <w:p w14:paraId="559452A6">
            <w:pPr>
              <w:pStyle w:val="45"/>
              <w:rPr>
                <w:rFonts w:hint="default"/>
              </w:rPr>
            </w:pPr>
            <w:r>
              <w:t>3.6</w:t>
            </w:r>
          </w:p>
        </w:tc>
        <w:tc>
          <w:tcPr>
            <w:tcW w:w="271" w:type="pct"/>
            <w:vAlign w:val="center"/>
          </w:tcPr>
          <w:p w14:paraId="4C2336E8">
            <w:pPr>
              <w:pStyle w:val="45"/>
              <w:rPr>
                <w:rFonts w:hint="default"/>
              </w:rPr>
            </w:pPr>
            <w:r>
              <w:t>7.0</w:t>
            </w:r>
          </w:p>
        </w:tc>
        <w:tc>
          <w:tcPr>
            <w:tcW w:w="273" w:type="pct"/>
            <w:vAlign w:val="center"/>
          </w:tcPr>
          <w:p w14:paraId="71DAD1DC">
            <w:pPr>
              <w:pStyle w:val="45"/>
              <w:rPr>
                <w:rFonts w:hint="default"/>
              </w:rPr>
            </w:pPr>
            <w:r>
              <w:t>5.81</w:t>
            </w:r>
          </w:p>
        </w:tc>
        <w:tc>
          <w:tcPr>
            <w:tcW w:w="299" w:type="pct"/>
            <w:vAlign w:val="center"/>
          </w:tcPr>
          <w:p w14:paraId="269A8708">
            <w:pPr>
              <w:pStyle w:val="45"/>
              <w:rPr>
                <w:rFonts w:hint="default"/>
              </w:rPr>
            </w:pPr>
            <w:r>
              <w:t>3.6</w:t>
            </w:r>
          </w:p>
        </w:tc>
        <w:tc>
          <w:tcPr>
            <w:tcW w:w="251" w:type="pct"/>
            <w:vAlign w:val="center"/>
          </w:tcPr>
          <w:p w14:paraId="503B9AAA">
            <w:pPr>
              <w:pStyle w:val="45"/>
              <w:rPr>
                <w:rFonts w:hint="default"/>
              </w:rPr>
            </w:pPr>
            <w:r>
              <w:t>3.9</w:t>
            </w:r>
          </w:p>
        </w:tc>
        <w:tc>
          <w:tcPr>
            <w:tcW w:w="331" w:type="pct"/>
            <w:vAlign w:val="center"/>
          </w:tcPr>
          <w:p w14:paraId="34051A21">
            <w:pPr>
              <w:pStyle w:val="45"/>
              <w:rPr>
                <w:rFonts w:hint="default"/>
              </w:rPr>
            </w:pPr>
            <w:r>
              <w:t>3.25</w:t>
            </w:r>
          </w:p>
        </w:tc>
        <w:tc>
          <w:tcPr>
            <w:tcW w:w="273" w:type="pct"/>
            <w:vAlign w:val="center"/>
          </w:tcPr>
          <w:p w14:paraId="6B20A840">
            <w:pPr>
              <w:pStyle w:val="45"/>
              <w:rPr>
                <w:rFonts w:hint="default"/>
              </w:rPr>
            </w:pPr>
            <w:r>
              <w:t>3.05</w:t>
            </w:r>
          </w:p>
        </w:tc>
        <w:tc>
          <w:tcPr>
            <w:tcW w:w="346" w:type="pct"/>
            <w:vAlign w:val="center"/>
          </w:tcPr>
          <w:p w14:paraId="60820F3B">
            <w:pPr>
              <w:pStyle w:val="45"/>
              <w:rPr>
                <w:rFonts w:hint="default"/>
              </w:rPr>
            </w:pPr>
            <w:r>
              <w:t>3.70</w:t>
            </w:r>
          </w:p>
        </w:tc>
        <w:tc>
          <w:tcPr>
            <w:tcW w:w="266" w:type="pct"/>
            <w:vAlign w:val="center"/>
          </w:tcPr>
          <w:p w14:paraId="3589E824">
            <w:pPr>
              <w:pStyle w:val="45"/>
              <w:rPr>
                <w:rFonts w:hint="default"/>
              </w:rPr>
            </w:pPr>
            <w:r>
              <w:t>6.3</w:t>
            </w:r>
          </w:p>
        </w:tc>
        <w:tc>
          <w:tcPr>
            <w:tcW w:w="327" w:type="pct"/>
            <w:vAlign w:val="center"/>
          </w:tcPr>
          <w:p w14:paraId="5601BFBB">
            <w:pPr>
              <w:pStyle w:val="45"/>
              <w:rPr>
                <w:rFonts w:hint="default"/>
              </w:rPr>
            </w:pPr>
            <w:r>
              <w:t>8.05</w:t>
            </w:r>
          </w:p>
        </w:tc>
        <w:tc>
          <w:tcPr>
            <w:tcW w:w="273" w:type="pct"/>
            <w:vAlign w:val="center"/>
          </w:tcPr>
          <w:p w14:paraId="65364F2C">
            <w:pPr>
              <w:pStyle w:val="45"/>
              <w:rPr>
                <w:rFonts w:hint="default"/>
              </w:rPr>
            </w:pPr>
            <w:r>
              <w:t>5.75</w:t>
            </w:r>
          </w:p>
        </w:tc>
      </w:tr>
    </w:tbl>
    <w:p w14:paraId="3C98B8EA">
      <w:pPr>
        <w:spacing w:line="240" w:lineRule="auto"/>
        <w:ind w:firstLine="480"/>
        <w:rPr>
          <w:rFonts w:hint="eastAsia"/>
        </w:rPr>
      </w:pPr>
    </w:p>
    <w:p w14:paraId="70AE4CD0">
      <w:pPr>
        <w:ind w:firstLine="480"/>
      </w:pPr>
      <w:r>
        <w:rPr>
          <w:rFonts w:hint="eastAsia"/>
        </w:rPr>
        <w:t>根据上表，衡阳气象站近20年主要风向为NNE、NE，占29.45%，其中以NE为主风向，占到全年16.65%左右。</w:t>
      </w:r>
    </w:p>
    <w:p w14:paraId="07C8CB32">
      <w:pPr>
        <w:ind w:firstLine="480"/>
        <w:jc w:val="center"/>
      </w:pPr>
      <w:r>
        <w:rPr>
          <w:rFonts w:hint="eastAsia"/>
        </w:rPr>
        <w:drawing>
          <wp:inline distT="0" distB="0" distL="114300" distR="114300">
            <wp:extent cx="2770505" cy="2868295"/>
            <wp:effectExtent l="0" t="0" r="10795" b="825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144" cstate="print"/>
                    <a:stretch>
                      <a:fillRect/>
                    </a:stretch>
                  </pic:blipFill>
                  <pic:spPr>
                    <a:xfrm>
                      <a:off x="0" y="0"/>
                      <a:ext cx="2770505" cy="2868295"/>
                    </a:xfrm>
                    <a:prstGeom prst="rect">
                      <a:avLst/>
                    </a:prstGeom>
                    <a:noFill/>
                    <a:ln>
                      <a:noFill/>
                    </a:ln>
                  </pic:spPr>
                </pic:pic>
              </a:graphicData>
            </a:graphic>
          </wp:inline>
        </w:drawing>
      </w:r>
    </w:p>
    <w:p w14:paraId="09F62218">
      <w:pPr>
        <w:pStyle w:val="42"/>
        <w:numPr>
          <w:ilvl w:val="6"/>
          <w:numId w:val="1"/>
        </w:numPr>
        <w:rPr>
          <w:rFonts w:hint="default"/>
        </w:rPr>
      </w:pPr>
      <w:r>
        <w:t>衡阳风向玫瑰图（2003-2022）（静风频率5.75%）</w:t>
      </w:r>
    </w:p>
    <w:p w14:paraId="44A8E82F">
      <w:pPr>
        <w:spacing w:line="240" w:lineRule="auto"/>
        <w:ind w:firstLine="480"/>
        <w:rPr>
          <w:rFonts w:hint="eastAsia"/>
        </w:rPr>
      </w:pPr>
    </w:p>
    <w:p w14:paraId="7C7E91CE">
      <w:pPr>
        <w:ind w:firstLine="480"/>
      </w:pPr>
      <w:r>
        <w:rPr>
          <w:rFonts w:hint="eastAsia"/>
        </w:rPr>
        <w:t>③气温</w:t>
      </w:r>
    </w:p>
    <w:p w14:paraId="47BE1643">
      <w:pPr>
        <w:ind w:firstLine="480"/>
      </w:pPr>
      <w:r>
        <w:rPr>
          <w:rFonts w:hint="eastAsia"/>
        </w:rPr>
        <w:t>衡阳气象站8月气温最高(32.76℃)，2月气温最低(5.48℃)，近二十年极端最高温度出现在2010-08-05，为41.3℃，极端最低温度出现在2008-02-03，为-4.8℃。</w:t>
      </w:r>
    </w:p>
    <w:p w14:paraId="51F16F9A">
      <w:pPr>
        <w:ind w:firstLine="480"/>
      </w:pPr>
      <w:r>
        <w:rPr>
          <w:rFonts w:hint="eastAsia"/>
        </w:rPr>
        <w:drawing>
          <wp:inline distT="0" distB="0" distL="114300" distR="114300">
            <wp:extent cx="4591050" cy="2762250"/>
            <wp:effectExtent l="0" t="0" r="0" b="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145" cstate="print"/>
                    <a:stretch>
                      <a:fillRect/>
                    </a:stretch>
                  </pic:blipFill>
                  <pic:spPr>
                    <a:xfrm>
                      <a:off x="0" y="0"/>
                      <a:ext cx="4591050" cy="2762250"/>
                    </a:xfrm>
                    <a:prstGeom prst="rect">
                      <a:avLst/>
                    </a:prstGeom>
                    <a:noFill/>
                    <a:ln>
                      <a:noFill/>
                    </a:ln>
                  </pic:spPr>
                </pic:pic>
              </a:graphicData>
            </a:graphic>
          </wp:inline>
        </w:drawing>
      </w:r>
    </w:p>
    <w:p w14:paraId="749F36D2">
      <w:pPr>
        <w:pStyle w:val="42"/>
        <w:numPr>
          <w:ilvl w:val="6"/>
          <w:numId w:val="1"/>
        </w:numPr>
        <w:rPr>
          <w:rFonts w:hint="default"/>
        </w:rPr>
      </w:pPr>
      <w:r>
        <w:t>衡阳月平均气温（2003-2022）   （单位：℃）</w:t>
      </w:r>
    </w:p>
    <w:p w14:paraId="100A6991">
      <w:pPr>
        <w:spacing w:line="240" w:lineRule="auto"/>
        <w:rPr>
          <w:rFonts w:hint="default"/>
        </w:rPr>
      </w:pPr>
    </w:p>
    <w:p w14:paraId="3872C42A">
      <w:pPr>
        <w:pStyle w:val="6"/>
        <w:numPr>
          <w:ilvl w:val="4"/>
          <w:numId w:val="1"/>
        </w:numPr>
        <w:ind w:firstLine="482"/>
      </w:pPr>
      <w:bookmarkStart w:id="241" w:name="_Toc28514"/>
      <w:r>
        <w:rPr>
          <w:rFonts w:hint="eastAsia"/>
        </w:rPr>
        <w:t>衡阳市2022年气象资料统计</w:t>
      </w:r>
      <w:bookmarkEnd w:id="241"/>
    </w:p>
    <w:p w14:paraId="5261A690">
      <w:pPr>
        <w:ind w:firstLine="482"/>
        <w:rPr>
          <w:b/>
          <w:bCs/>
        </w:rPr>
      </w:pPr>
      <w:r>
        <w:rPr>
          <w:rFonts w:hint="eastAsia"/>
          <w:b/>
          <w:bCs/>
        </w:rPr>
        <w:t>①平均气温</w:t>
      </w:r>
    </w:p>
    <w:p w14:paraId="7208DB26">
      <w:pPr>
        <w:ind w:firstLine="480"/>
      </w:pPr>
      <w:r>
        <w:t>根据衡阳气象站2022年逐日逐时气象资料统计，当地月均气温统计见</w:t>
      </w:r>
      <w:r>
        <w:rPr>
          <w:rFonts w:hint="eastAsia"/>
        </w:rPr>
        <w:t>下表</w:t>
      </w:r>
      <w:r>
        <w:t>，全年逐月温度变化曲线见</w:t>
      </w:r>
      <w:r>
        <w:rPr>
          <w:rFonts w:hint="eastAsia"/>
        </w:rPr>
        <w:t>下图。</w:t>
      </w:r>
    </w:p>
    <w:p w14:paraId="4137D872">
      <w:pPr>
        <w:pStyle w:val="43"/>
        <w:numPr>
          <w:ilvl w:val="5"/>
          <w:numId w:val="1"/>
        </w:numPr>
        <w:rPr>
          <w:rFonts w:hint="default"/>
        </w:rPr>
      </w:pPr>
      <w:r>
        <w:t>衡阳气象站2022年</w:t>
      </w:r>
      <w:r>
        <w:rPr>
          <w:rFonts w:hint="default"/>
        </w:rPr>
        <w:t>月平均温度统计表</w:t>
      </w:r>
      <w:r>
        <w:t xml:space="preserve">   单位：℃</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7"/>
        <w:gridCol w:w="551"/>
        <w:gridCol w:w="551"/>
        <w:gridCol w:w="646"/>
        <w:gridCol w:w="646"/>
        <w:gridCol w:w="646"/>
        <w:gridCol w:w="646"/>
        <w:gridCol w:w="646"/>
        <w:gridCol w:w="646"/>
        <w:gridCol w:w="646"/>
        <w:gridCol w:w="646"/>
        <w:gridCol w:w="646"/>
        <w:gridCol w:w="552"/>
        <w:gridCol w:w="647"/>
      </w:tblGrid>
      <w:tr w14:paraId="3A6DF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1" w:type="pct"/>
            <w:vAlign w:val="center"/>
          </w:tcPr>
          <w:p w14:paraId="64F67BAF">
            <w:pPr>
              <w:pStyle w:val="45"/>
              <w:rPr>
                <w:rFonts w:hint="default"/>
              </w:rPr>
            </w:pPr>
            <w:r>
              <w:rPr>
                <w:rFonts w:hint="default"/>
              </w:rPr>
              <w:t>月份</w:t>
            </w:r>
          </w:p>
        </w:tc>
        <w:tc>
          <w:tcPr>
            <w:tcW w:w="322" w:type="pct"/>
            <w:vAlign w:val="center"/>
          </w:tcPr>
          <w:p w14:paraId="15EE8144">
            <w:pPr>
              <w:pStyle w:val="45"/>
              <w:rPr>
                <w:rFonts w:hint="default"/>
              </w:rPr>
            </w:pPr>
            <w:r>
              <w:rPr>
                <w:rFonts w:hint="default"/>
              </w:rPr>
              <w:t>1月</w:t>
            </w:r>
          </w:p>
        </w:tc>
        <w:tc>
          <w:tcPr>
            <w:tcW w:w="343" w:type="pct"/>
            <w:vAlign w:val="center"/>
          </w:tcPr>
          <w:p w14:paraId="4D14F3EC">
            <w:pPr>
              <w:pStyle w:val="45"/>
              <w:rPr>
                <w:rFonts w:hint="default"/>
              </w:rPr>
            </w:pPr>
            <w:r>
              <w:rPr>
                <w:rFonts w:hint="default"/>
              </w:rPr>
              <w:t>2月</w:t>
            </w:r>
          </w:p>
        </w:tc>
        <w:tc>
          <w:tcPr>
            <w:tcW w:w="377" w:type="pct"/>
            <w:vAlign w:val="center"/>
          </w:tcPr>
          <w:p w14:paraId="3FCBE47F">
            <w:pPr>
              <w:pStyle w:val="45"/>
              <w:rPr>
                <w:rFonts w:hint="default"/>
              </w:rPr>
            </w:pPr>
            <w:r>
              <w:rPr>
                <w:rFonts w:hint="default"/>
              </w:rPr>
              <w:t>3月</w:t>
            </w:r>
          </w:p>
        </w:tc>
        <w:tc>
          <w:tcPr>
            <w:tcW w:w="377" w:type="pct"/>
            <w:vAlign w:val="center"/>
          </w:tcPr>
          <w:p w14:paraId="6F2C1706">
            <w:pPr>
              <w:pStyle w:val="45"/>
              <w:rPr>
                <w:rFonts w:hint="default"/>
              </w:rPr>
            </w:pPr>
            <w:r>
              <w:rPr>
                <w:rFonts w:hint="default"/>
              </w:rPr>
              <w:t>4月</w:t>
            </w:r>
          </w:p>
        </w:tc>
        <w:tc>
          <w:tcPr>
            <w:tcW w:w="377" w:type="pct"/>
            <w:vAlign w:val="center"/>
          </w:tcPr>
          <w:p w14:paraId="329F517E">
            <w:pPr>
              <w:pStyle w:val="45"/>
              <w:rPr>
                <w:rFonts w:hint="default"/>
              </w:rPr>
            </w:pPr>
            <w:r>
              <w:rPr>
                <w:rFonts w:hint="default"/>
              </w:rPr>
              <w:t>5月</w:t>
            </w:r>
          </w:p>
        </w:tc>
        <w:tc>
          <w:tcPr>
            <w:tcW w:w="377" w:type="pct"/>
            <w:vAlign w:val="center"/>
          </w:tcPr>
          <w:p w14:paraId="23BDDA78">
            <w:pPr>
              <w:pStyle w:val="45"/>
              <w:rPr>
                <w:rFonts w:hint="default"/>
              </w:rPr>
            </w:pPr>
            <w:r>
              <w:rPr>
                <w:rFonts w:hint="default"/>
              </w:rPr>
              <w:t>6月</w:t>
            </w:r>
          </w:p>
        </w:tc>
        <w:tc>
          <w:tcPr>
            <w:tcW w:w="377" w:type="pct"/>
            <w:vAlign w:val="center"/>
          </w:tcPr>
          <w:p w14:paraId="38B302EE">
            <w:pPr>
              <w:pStyle w:val="45"/>
              <w:rPr>
                <w:rFonts w:hint="default"/>
              </w:rPr>
            </w:pPr>
            <w:r>
              <w:rPr>
                <w:rFonts w:hint="default"/>
              </w:rPr>
              <w:t>7月</w:t>
            </w:r>
          </w:p>
        </w:tc>
        <w:tc>
          <w:tcPr>
            <w:tcW w:w="377" w:type="pct"/>
            <w:vAlign w:val="center"/>
          </w:tcPr>
          <w:p w14:paraId="7A27178E">
            <w:pPr>
              <w:pStyle w:val="45"/>
              <w:rPr>
                <w:rFonts w:hint="default"/>
              </w:rPr>
            </w:pPr>
            <w:r>
              <w:rPr>
                <w:rFonts w:hint="default"/>
              </w:rPr>
              <w:t>8月</w:t>
            </w:r>
          </w:p>
        </w:tc>
        <w:tc>
          <w:tcPr>
            <w:tcW w:w="356" w:type="pct"/>
            <w:vAlign w:val="center"/>
          </w:tcPr>
          <w:p w14:paraId="413A1E01">
            <w:pPr>
              <w:pStyle w:val="45"/>
              <w:rPr>
                <w:rFonts w:hint="default"/>
              </w:rPr>
            </w:pPr>
            <w:r>
              <w:rPr>
                <w:rFonts w:hint="default"/>
              </w:rPr>
              <w:t>9月</w:t>
            </w:r>
          </w:p>
        </w:tc>
        <w:tc>
          <w:tcPr>
            <w:tcW w:w="343" w:type="pct"/>
            <w:vAlign w:val="center"/>
          </w:tcPr>
          <w:p w14:paraId="058A8809">
            <w:pPr>
              <w:pStyle w:val="45"/>
              <w:rPr>
                <w:rFonts w:hint="default"/>
              </w:rPr>
            </w:pPr>
            <w:r>
              <w:rPr>
                <w:rFonts w:hint="default"/>
              </w:rPr>
              <w:t>10月</w:t>
            </w:r>
          </w:p>
        </w:tc>
        <w:tc>
          <w:tcPr>
            <w:tcW w:w="377" w:type="pct"/>
            <w:vAlign w:val="center"/>
          </w:tcPr>
          <w:p w14:paraId="65AE57B4">
            <w:pPr>
              <w:pStyle w:val="45"/>
              <w:rPr>
                <w:rFonts w:hint="default"/>
              </w:rPr>
            </w:pPr>
            <w:r>
              <w:rPr>
                <w:rFonts w:hint="default"/>
              </w:rPr>
              <w:t>11月</w:t>
            </w:r>
          </w:p>
        </w:tc>
        <w:tc>
          <w:tcPr>
            <w:tcW w:w="343" w:type="pct"/>
            <w:vAlign w:val="center"/>
          </w:tcPr>
          <w:p w14:paraId="050E3750">
            <w:pPr>
              <w:pStyle w:val="45"/>
              <w:rPr>
                <w:rFonts w:hint="default"/>
              </w:rPr>
            </w:pPr>
            <w:r>
              <w:rPr>
                <w:rFonts w:hint="default"/>
              </w:rPr>
              <w:t>12月</w:t>
            </w:r>
          </w:p>
        </w:tc>
        <w:tc>
          <w:tcPr>
            <w:tcW w:w="368" w:type="pct"/>
            <w:vAlign w:val="center"/>
          </w:tcPr>
          <w:p w14:paraId="0D7F636F">
            <w:pPr>
              <w:pStyle w:val="45"/>
              <w:rPr>
                <w:rFonts w:hint="default"/>
              </w:rPr>
            </w:pPr>
            <w:r>
              <w:rPr>
                <w:rFonts w:hint="default"/>
              </w:rPr>
              <w:t>全年</w:t>
            </w:r>
          </w:p>
        </w:tc>
      </w:tr>
      <w:tr w14:paraId="3C27E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1" w:type="pct"/>
            <w:vAlign w:val="center"/>
          </w:tcPr>
          <w:p w14:paraId="153E3EE3">
            <w:pPr>
              <w:pStyle w:val="45"/>
              <w:rPr>
                <w:rFonts w:hint="default"/>
              </w:rPr>
            </w:pPr>
            <w:r>
              <w:rPr>
                <w:rFonts w:hint="default"/>
              </w:rPr>
              <w:t>温度</w:t>
            </w:r>
          </w:p>
        </w:tc>
        <w:tc>
          <w:tcPr>
            <w:tcW w:w="322" w:type="pct"/>
            <w:vAlign w:val="center"/>
          </w:tcPr>
          <w:p w14:paraId="51E85068">
            <w:pPr>
              <w:pStyle w:val="45"/>
              <w:rPr>
                <w:rFonts w:hint="default"/>
              </w:rPr>
            </w:pPr>
            <w:r>
              <w:rPr>
                <w:rFonts w:hint="default"/>
              </w:rPr>
              <w:t>7.12</w:t>
            </w:r>
          </w:p>
        </w:tc>
        <w:tc>
          <w:tcPr>
            <w:tcW w:w="343" w:type="pct"/>
            <w:vAlign w:val="center"/>
          </w:tcPr>
          <w:p w14:paraId="279EFF2E">
            <w:pPr>
              <w:pStyle w:val="45"/>
              <w:rPr>
                <w:rFonts w:hint="default"/>
              </w:rPr>
            </w:pPr>
            <w:r>
              <w:rPr>
                <w:rFonts w:hint="default"/>
              </w:rPr>
              <w:t>5.48</w:t>
            </w:r>
          </w:p>
        </w:tc>
        <w:tc>
          <w:tcPr>
            <w:tcW w:w="377" w:type="pct"/>
            <w:vAlign w:val="center"/>
          </w:tcPr>
          <w:p w14:paraId="53F5CF50">
            <w:pPr>
              <w:pStyle w:val="45"/>
              <w:rPr>
                <w:rFonts w:hint="default"/>
              </w:rPr>
            </w:pPr>
            <w:r>
              <w:rPr>
                <w:rFonts w:hint="default"/>
              </w:rPr>
              <w:t>16.68</w:t>
            </w:r>
          </w:p>
        </w:tc>
        <w:tc>
          <w:tcPr>
            <w:tcW w:w="377" w:type="pct"/>
            <w:vAlign w:val="center"/>
          </w:tcPr>
          <w:p w14:paraId="4EDFEF47">
            <w:pPr>
              <w:pStyle w:val="45"/>
              <w:rPr>
                <w:rFonts w:hint="default"/>
              </w:rPr>
            </w:pPr>
            <w:r>
              <w:rPr>
                <w:rFonts w:hint="default"/>
              </w:rPr>
              <w:t>19.83</w:t>
            </w:r>
          </w:p>
        </w:tc>
        <w:tc>
          <w:tcPr>
            <w:tcW w:w="377" w:type="pct"/>
            <w:vAlign w:val="center"/>
          </w:tcPr>
          <w:p w14:paraId="0EFD665D">
            <w:pPr>
              <w:pStyle w:val="45"/>
              <w:rPr>
                <w:rFonts w:hint="default"/>
              </w:rPr>
            </w:pPr>
            <w:r>
              <w:rPr>
                <w:rFonts w:hint="default"/>
              </w:rPr>
              <w:t>21.18</w:t>
            </w:r>
          </w:p>
        </w:tc>
        <w:tc>
          <w:tcPr>
            <w:tcW w:w="377" w:type="pct"/>
            <w:vAlign w:val="center"/>
          </w:tcPr>
          <w:p w14:paraId="7CB10736">
            <w:pPr>
              <w:pStyle w:val="45"/>
              <w:rPr>
                <w:rFonts w:hint="default"/>
              </w:rPr>
            </w:pPr>
            <w:r>
              <w:rPr>
                <w:rFonts w:hint="default"/>
              </w:rPr>
              <w:t>27.89</w:t>
            </w:r>
          </w:p>
        </w:tc>
        <w:tc>
          <w:tcPr>
            <w:tcW w:w="377" w:type="pct"/>
            <w:vAlign w:val="center"/>
          </w:tcPr>
          <w:p w14:paraId="096A029C">
            <w:pPr>
              <w:pStyle w:val="45"/>
              <w:rPr>
                <w:rFonts w:hint="default"/>
              </w:rPr>
            </w:pPr>
            <w:r>
              <w:rPr>
                <w:rFonts w:hint="default"/>
              </w:rPr>
              <w:t>31.34</w:t>
            </w:r>
          </w:p>
        </w:tc>
        <w:tc>
          <w:tcPr>
            <w:tcW w:w="377" w:type="pct"/>
            <w:vAlign w:val="center"/>
          </w:tcPr>
          <w:p w14:paraId="4CB45847">
            <w:pPr>
              <w:pStyle w:val="45"/>
              <w:rPr>
                <w:rFonts w:hint="default"/>
              </w:rPr>
            </w:pPr>
            <w:r>
              <w:rPr>
                <w:rFonts w:hint="default"/>
              </w:rPr>
              <w:t>32.76</w:t>
            </w:r>
          </w:p>
        </w:tc>
        <w:tc>
          <w:tcPr>
            <w:tcW w:w="356" w:type="pct"/>
            <w:vAlign w:val="center"/>
          </w:tcPr>
          <w:p w14:paraId="09B9AB29">
            <w:pPr>
              <w:pStyle w:val="45"/>
              <w:rPr>
                <w:rFonts w:hint="default"/>
              </w:rPr>
            </w:pPr>
            <w:r>
              <w:rPr>
                <w:rFonts w:hint="default"/>
              </w:rPr>
              <w:t>28.73</w:t>
            </w:r>
          </w:p>
        </w:tc>
        <w:tc>
          <w:tcPr>
            <w:tcW w:w="343" w:type="pct"/>
            <w:vAlign w:val="center"/>
          </w:tcPr>
          <w:p w14:paraId="7218FCD7">
            <w:pPr>
              <w:pStyle w:val="45"/>
              <w:rPr>
                <w:rFonts w:hint="default"/>
              </w:rPr>
            </w:pPr>
            <w:r>
              <w:rPr>
                <w:rFonts w:hint="default"/>
              </w:rPr>
              <w:t>21.4</w:t>
            </w:r>
            <w:r>
              <w:t>0</w:t>
            </w:r>
          </w:p>
        </w:tc>
        <w:tc>
          <w:tcPr>
            <w:tcW w:w="377" w:type="pct"/>
            <w:vAlign w:val="center"/>
          </w:tcPr>
          <w:p w14:paraId="3A4793E5">
            <w:pPr>
              <w:pStyle w:val="45"/>
              <w:rPr>
                <w:rFonts w:hint="default"/>
              </w:rPr>
            </w:pPr>
            <w:r>
              <w:rPr>
                <w:rFonts w:hint="default"/>
              </w:rPr>
              <w:t>18.17</w:t>
            </w:r>
          </w:p>
        </w:tc>
        <w:tc>
          <w:tcPr>
            <w:tcW w:w="343" w:type="pct"/>
            <w:vAlign w:val="center"/>
          </w:tcPr>
          <w:p w14:paraId="5BB6B99C">
            <w:pPr>
              <w:pStyle w:val="45"/>
              <w:rPr>
                <w:rFonts w:hint="default"/>
              </w:rPr>
            </w:pPr>
            <w:r>
              <w:rPr>
                <w:rFonts w:hint="default"/>
              </w:rPr>
              <w:t>7.64</w:t>
            </w:r>
          </w:p>
        </w:tc>
        <w:tc>
          <w:tcPr>
            <w:tcW w:w="368" w:type="pct"/>
            <w:vAlign w:val="center"/>
          </w:tcPr>
          <w:p w14:paraId="5328072B">
            <w:pPr>
              <w:pStyle w:val="45"/>
              <w:rPr>
                <w:rFonts w:hint="default"/>
              </w:rPr>
            </w:pPr>
            <w:r>
              <w:rPr>
                <w:rFonts w:hint="default"/>
              </w:rPr>
              <w:t>19.93</w:t>
            </w:r>
          </w:p>
        </w:tc>
      </w:tr>
    </w:tbl>
    <w:p w14:paraId="51C2D340">
      <w:pPr>
        <w:spacing w:line="240" w:lineRule="auto"/>
        <w:ind w:firstLine="0" w:firstLineChars="0"/>
      </w:pPr>
    </w:p>
    <w:p w14:paraId="1CCDFD13">
      <w:pPr>
        <w:pStyle w:val="42"/>
        <w:numPr>
          <w:ilvl w:val="-1"/>
          <w:numId w:val="0"/>
        </w:numPr>
        <w:jc w:val="both"/>
        <w:rPr>
          <w:rFonts w:hint="default"/>
        </w:rPr>
      </w:pPr>
      <w:r>
        <w:drawing>
          <wp:inline distT="0" distB="0" distL="114300" distR="114300">
            <wp:extent cx="5271135" cy="2023745"/>
            <wp:effectExtent l="4445" t="4445" r="20320" b="10160"/>
            <wp:docPr id="4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2138B463">
      <w:pPr>
        <w:pStyle w:val="42"/>
        <w:numPr>
          <w:ilvl w:val="6"/>
          <w:numId w:val="1"/>
        </w:numPr>
        <w:rPr>
          <w:rFonts w:hint="default"/>
        </w:rPr>
      </w:pPr>
      <w:r>
        <w:t>衡阳气象站</w:t>
      </w:r>
      <w:r>
        <w:rPr>
          <w:rFonts w:hint="default"/>
        </w:rPr>
        <w:t>2022年各月平均温度变化曲线图</w:t>
      </w:r>
    </w:p>
    <w:p w14:paraId="5826D5B0">
      <w:pPr>
        <w:ind w:firstLine="482"/>
        <w:rPr>
          <w:rFonts w:hint="eastAsia"/>
          <w:b/>
          <w:bCs/>
        </w:rPr>
      </w:pPr>
    </w:p>
    <w:p w14:paraId="6D7C6789">
      <w:pPr>
        <w:ind w:firstLine="482"/>
        <w:rPr>
          <w:b/>
          <w:bCs/>
        </w:rPr>
      </w:pPr>
      <w:r>
        <w:rPr>
          <w:rFonts w:hint="eastAsia"/>
          <w:b/>
          <w:bCs/>
        </w:rPr>
        <w:t>②风速</w:t>
      </w:r>
    </w:p>
    <w:p w14:paraId="416882A6">
      <w:pPr>
        <w:ind w:firstLine="480"/>
      </w:pPr>
      <w:r>
        <w:t>根据衡阳气象站2022年气象资料统计，区域全年逐月的平均风速统计结果见</w:t>
      </w:r>
      <w:r>
        <w:rPr>
          <w:rFonts w:hint="eastAsia"/>
        </w:rPr>
        <w:t>下表</w:t>
      </w:r>
      <w:r>
        <w:t>，全年逐月风速变化曲线见</w:t>
      </w:r>
      <w:r>
        <w:rPr>
          <w:rFonts w:hint="eastAsia"/>
        </w:rPr>
        <w:t>下</w:t>
      </w:r>
      <w:r>
        <w:t>图</w:t>
      </w:r>
      <w:r>
        <w:rPr>
          <w:rFonts w:hint="eastAsia"/>
        </w:rPr>
        <w:t>。</w:t>
      </w:r>
    </w:p>
    <w:p w14:paraId="513F6EF2">
      <w:pPr>
        <w:pStyle w:val="43"/>
        <w:numPr>
          <w:ilvl w:val="5"/>
          <w:numId w:val="1"/>
        </w:numPr>
        <w:rPr>
          <w:rFonts w:hint="default"/>
        </w:rPr>
      </w:pPr>
      <w:r>
        <w:t>衡阳气象站</w:t>
      </w:r>
      <w:r>
        <w:rPr>
          <w:rFonts w:hint="default"/>
        </w:rPr>
        <w:t>2022年各月风速统计表    单位：m/s</w:t>
      </w:r>
    </w:p>
    <w:tbl>
      <w:tblPr>
        <w:tblStyle w:val="32"/>
        <w:tblW w:w="508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584"/>
        <w:gridCol w:w="584"/>
        <w:gridCol w:w="584"/>
        <w:gridCol w:w="584"/>
        <w:gridCol w:w="584"/>
        <w:gridCol w:w="584"/>
        <w:gridCol w:w="584"/>
        <w:gridCol w:w="584"/>
        <w:gridCol w:w="541"/>
        <w:gridCol w:w="635"/>
        <w:gridCol w:w="636"/>
        <w:gridCol w:w="632"/>
        <w:gridCol w:w="630"/>
      </w:tblGrid>
      <w:tr w14:paraId="16ED1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3" w:type="pct"/>
            <w:vAlign w:val="center"/>
          </w:tcPr>
          <w:p w14:paraId="6FB497D1">
            <w:pPr>
              <w:pStyle w:val="45"/>
              <w:rPr>
                <w:rFonts w:hint="default"/>
              </w:rPr>
            </w:pPr>
            <w:r>
              <w:rPr>
                <w:rFonts w:hint="default"/>
              </w:rPr>
              <w:t>月份</w:t>
            </w:r>
          </w:p>
        </w:tc>
        <w:tc>
          <w:tcPr>
            <w:tcW w:w="329" w:type="pct"/>
            <w:vAlign w:val="center"/>
          </w:tcPr>
          <w:p w14:paraId="338E6207">
            <w:pPr>
              <w:pStyle w:val="45"/>
              <w:rPr>
                <w:rFonts w:hint="default"/>
              </w:rPr>
            </w:pPr>
            <w:r>
              <w:rPr>
                <w:rFonts w:hint="default"/>
              </w:rPr>
              <w:t>1月</w:t>
            </w:r>
          </w:p>
        </w:tc>
        <w:tc>
          <w:tcPr>
            <w:tcW w:w="329" w:type="pct"/>
            <w:vAlign w:val="center"/>
          </w:tcPr>
          <w:p w14:paraId="6DCF85F9">
            <w:pPr>
              <w:pStyle w:val="45"/>
              <w:rPr>
                <w:rFonts w:hint="default"/>
              </w:rPr>
            </w:pPr>
            <w:r>
              <w:rPr>
                <w:rFonts w:hint="default"/>
              </w:rPr>
              <w:t>2月</w:t>
            </w:r>
          </w:p>
        </w:tc>
        <w:tc>
          <w:tcPr>
            <w:tcW w:w="329" w:type="pct"/>
            <w:vAlign w:val="center"/>
          </w:tcPr>
          <w:p w14:paraId="5B151557">
            <w:pPr>
              <w:pStyle w:val="45"/>
              <w:rPr>
                <w:rFonts w:hint="default"/>
              </w:rPr>
            </w:pPr>
            <w:r>
              <w:rPr>
                <w:rFonts w:hint="default"/>
              </w:rPr>
              <w:t>3月</w:t>
            </w:r>
          </w:p>
        </w:tc>
        <w:tc>
          <w:tcPr>
            <w:tcW w:w="329" w:type="pct"/>
            <w:vAlign w:val="center"/>
          </w:tcPr>
          <w:p w14:paraId="6F47F09A">
            <w:pPr>
              <w:pStyle w:val="45"/>
              <w:rPr>
                <w:rFonts w:hint="default"/>
              </w:rPr>
            </w:pPr>
            <w:r>
              <w:rPr>
                <w:rFonts w:hint="default"/>
              </w:rPr>
              <w:t>4月</w:t>
            </w:r>
          </w:p>
        </w:tc>
        <w:tc>
          <w:tcPr>
            <w:tcW w:w="329" w:type="pct"/>
            <w:vAlign w:val="center"/>
          </w:tcPr>
          <w:p w14:paraId="7888E614">
            <w:pPr>
              <w:pStyle w:val="45"/>
              <w:rPr>
                <w:rFonts w:hint="default"/>
              </w:rPr>
            </w:pPr>
            <w:r>
              <w:rPr>
                <w:rFonts w:hint="default"/>
              </w:rPr>
              <w:t>5月</w:t>
            </w:r>
          </w:p>
        </w:tc>
        <w:tc>
          <w:tcPr>
            <w:tcW w:w="329" w:type="pct"/>
            <w:vAlign w:val="center"/>
          </w:tcPr>
          <w:p w14:paraId="57F5CB68">
            <w:pPr>
              <w:pStyle w:val="45"/>
              <w:rPr>
                <w:rFonts w:hint="default"/>
              </w:rPr>
            </w:pPr>
            <w:r>
              <w:rPr>
                <w:rFonts w:hint="default"/>
              </w:rPr>
              <w:t>6月</w:t>
            </w:r>
          </w:p>
        </w:tc>
        <w:tc>
          <w:tcPr>
            <w:tcW w:w="329" w:type="pct"/>
            <w:vAlign w:val="center"/>
          </w:tcPr>
          <w:p w14:paraId="19968464">
            <w:pPr>
              <w:pStyle w:val="45"/>
              <w:rPr>
                <w:rFonts w:hint="default"/>
              </w:rPr>
            </w:pPr>
            <w:r>
              <w:rPr>
                <w:rFonts w:hint="default"/>
              </w:rPr>
              <w:t>7月</w:t>
            </w:r>
          </w:p>
        </w:tc>
        <w:tc>
          <w:tcPr>
            <w:tcW w:w="329" w:type="pct"/>
            <w:vAlign w:val="center"/>
          </w:tcPr>
          <w:p w14:paraId="51240F39">
            <w:pPr>
              <w:pStyle w:val="45"/>
              <w:rPr>
                <w:rFonts w:hint="default"/>
              </w:rPr>
            </w:pPr>
            <w:r>
              <w:rPr>
                <w:rFonts w:hint="default"/>
              </w:rPr>
              <w:t>8月</w:t>
            </w:r>
          </w:p>
        </w:tc>
        <w:tc>
          <w:tcPr>
            <w:tcW w:w="322" w:type="pct"/>
            <w:vAlign w:val="center"/>
          </w:tcPr>
          <w:p w14:paraId="2345FF23">
            <w:pPr>
              <w:pStyle w:val="45"/>
              <w:rPr>
                <w:rFonts w:hint="default"/>
              </w:rPr>
            </w:pPr>
            <w:r>
              <w:rPr>
                <w:rFonts w:hint="default"/>
              </w:rPr>
              <w:t>9月</w:t>
            </w:r>
          </w:p>
        </w:tc>
        <w:tc>
          <w:tcPr>
            <w:tcW w:w="376" w:type="pct"/>
            <w:vAlign w:val="center"/>
          </w:tcPr>
          <w:p w14:paraId="29512AAD">
            <w:pPr>
              <w:pStyle w:val="45"/>
              <w:rPr>
                <w:rFonts w:hint="default"/>
              </w:rPr>
            </w:pPr>
            <w:r>
              <w:rPr>
                <w:rFonts w:hint="default"/>
              </w:rPr>
              <w:t>10月</w:t>
            </w:r>
          </w:p>
        </w:tc>
        <w:tc>
          <w:tcPr>
            <w:tcW w:w="376" w:type="pct"/>
            <w:vAlign w:val="center"/>
          </w:tcPr>
          <w:p w14:paraId="65D1FB07">
            <w:pPr>
              <w:pStyle w:val="45"/>
              <w:rPr>
                <w:rFonts w:hint="default"/>
              </w:rPr>
            </w:pPr>
            <w:r>
              <w:rPr>
                <w:rFonts w:hint="default"/>
              </w:rPr>
              <w:t>11月</w:t>
            </w:r>
          </w:p>
        </w:tc>
        <w:tc>
          <w:tcPr>
            <w:tcW w:w="374" w:type="pct"/>
            <w:vAlign w:val="center"/>
          </w:tcPr>
          <w:p w14:paraId="2FCB6A6E">
            <w:pPr>
              <w:pStyle w:val="45"/>
              <w:rPr>
                <w:rFonts w:hint="default"/>
              </w:rPr>
            </w:pPr>
            <w:r>
              <w:rPr>
                <w:rFonts w:hint="default"/>
              </w:rPr>
              <w:t>12月</w:t>
            </w:r>
          </w:p>
        </w:tc>
        <w:tc>
          <w:tcPr>
            <w:tcW w:w="373" w:type="pct"/>
            <w:vAlign w:val="center"/>
          </w:tcPr>
          <w:p w14:paraId="353CB04A">
            <w:pPr>
              <w:pStyle w:val="45"/>
              <w:rPr>
                <w:rFonts w:hint="default"/>
              </w:rPr>
            </w:pPr>
            <w:r>
              <w:rPr>
                <w:rFonts w:hint="default"/>
              </w:rPr>
              <w:t>全年</w:t>
            </w:r>
          </w:p>
        </w:tc>
      </w:tr>
      <w:tr w14:paraId="337AF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3" w:type="pct"/>
            <w:vAlign w:val="center"/>
          </w:tcPr>
          <w:p w14:paraId="597E6FBC">
            <w:pPr>
              <w:pStyle w:val="45"/>
              <w:rPr>
                <w:rFonts w:hint="default"/>
              </w:rPr>
            </w:pPr>
            <w:r>
              <w:rPr>
                <w:rFonts w:hint="default"/>
              </w:rPr>
              <w:t>平均值</w:t>
            </w:r>
          </w:p>
        </w:tc>
        <w:tc>
          <w:tcPr>
            <w:tcW w:w="329" w:type="pct"/>
            <w:vAlign w:val="center"/>
          </w:tcPr>
          <w:p w14:paraId="64E4BB96">
            <w:pPr>
              <w:pStyle w:val="45"/>
              <w:rPr>
                <w:rFonts w:hint="default"/>
              </w:rPr>
            </w:pPr>
            <w:r>
              <w:rPr>
                <w:rFonts w:hint="default"/>
              </w:rPr>
              <w:t>1.39</w:t>
            </w:r>
          </w:p>
        </w:tc>
        <w:tc>
          <w:tcPr>
            <w:tcW w:w="329" w:type="pct"/>
            <w:vAlign w:val="center"/>
          </w:tcPr>
          <w:p w14:paraId="02038C17">
            <w:pPr>
              <w:pStyle w:val="45"/>
              <w:rPr>
                <w:rFonts w:hint="default"/>
              </w:rPr>
            </w:pPr>
            <w:r>
              <w:rPr>
                <w:rFonts w:hint="default"/>
              </w:rPr>
              <w:t>1.36</w:t>
            </w:r>
          </w:p>
        </w:tc>
        <w:tc>
          <w:tcPr>
            <w:tcW w:w="329" w:type="pct"/>
            <w:vAlign w:val="center"/>
          </w:tcPr>
          <w:p w14:paraId="741384D4">
            <w:pPr>
              <w:pStyle w:val="45"/>
              <w:rPr>
                <w:rFonts w:hint="default"/>
              </w:rPr>
            </w:pPr>
            <w:r>
              <w:rPr>
                <w:rFonts w:hint="default"/>
              </w:rPr>
              <w:t>1.69</w:t>
            </w:r>
          </w:p>
        </w:tc>
        <w:tc>
          <w:tcPr>
            <w:tcW w:w="329" w:type="pct"/>
            <w:vAlign w:val="center"/>
          </w:tcPr>
          <w:p w14:paraId="4D02D3A5">
            <w:pPr>
              <w:pStyle w:val="45"/>
              <w:rPr>
                <w:rFonts w:hint="default"/>
              </w:rPr>
            </w:pPr>
            <w:r>
              <w:rPr>
                <w:rFonts w:hint="default"/>
              </w:rPr>
              <w:t>1.59</w:t>
            </w:r>
          </w:p>
        </w:tc>
        <w:tc>
          <w:tcPr>
            <w:tcW w:w="329" w:type="pct"/>
            <w:vAlign w:val="center"/>
          </w:tcPr>
          <w:p w14:paraId="7BCD880E">
            <w:pPr>
              <w:pStyle w:val="45"/>
              <w:rPr>
                <w:rFonts w:hint="default"/>
              </w:rPr>
            </w:pPr>
            <w:r>
              <w:rPr>
                <w:rFonts w:hint="default"/>
              </w:rPr>
              <w:t>1.31</w:t>
            </w:r>
          </w:p>
        </w:tc>
        <w:tc>
          <w:tcPr>
            <w:tcW w:w="329" w:type="pct"/>
            <w:vAlign w:val="center"/>
          </w:tcPr>
          <w:p w14:paraId="5F3146B9">
            <w:pPr>
              <w:pStyle w:val="45"/>
              <w:rPr>
                <w:rFonts w:hint="default"/>
              </w:rPr>
            </w:pPr>
            <w:r>
              <w:rPr>
                <w:rFonts w:hint="default"/>
              </w:rPr>
              <w:t>1.92</w:t>
            </w:r>
          </w:p>
        </w:tc>
        <w:tc>
          <w:tcPr>
            <w:tcW w:w="329" w:type="pct"/>
            <w:vAlign w:val="center"/>
          </w:tcPr>
          <w:p w14:paraId="25136099">
            <w:pPr>
              <w:pStyle w:val="45"/>
              <w:rPr>
                <w:rFonts w:hint="default"/>
              </w:rPr>
            </w:pPr>
            <w:r>
              <w:rPr>
                <w:rFonts w:hint="default"/>
              </w:rPr>
              <w:t>2.16</w:t>
            </w:r>
          </w:p>
        </w:tc>
        <w:tc>
          <w:tcPr>
            <w:tcW w:w="329" w:type="pct"/>
            <w:vAlign w:val="center"/>
          </w:tcPr>
          <w:p w14:paraId="7EA93795">
            <w:pPr>
              <w:pStyle w:val="45"/>
              <w:rPr>
                <w:rFonts w:hint="default"/>
              </w:rPr>
            </w:pPr>
            <w:r>
              <w:rPr>
                <w:rFonts w:hint="default"/>
              </w:rPr>
              <w:t>2.27</w:t>
            </w:r>
          </w:p>
        </w:tc>
        <w:tc>
          <w:tcPr>
            <w:tcW w:w="322" w:type="pct"/>
            <w:vAlign w:val="center"/>
          </w:tcPr>
          <w:p w14:paraId="523FC935">
            <w:pPr>
              <w:pStyle w:val="45"/>
              <w:rPr>
                <w:rFonts w:hint="default"/>
              </w:rPr>
            </w:pPr>
            <w:r>
              <w:rPr>
                <w:rFonts w:hint="default"/>
              </w:rPr>
              <w:t>2.2</w:t>
            </w:r>
          </w:p>
        </w:tc>
        <w:tc>
          <w:tcPr>
            <w:tcW w:w="376" w:type="pct"/>
            <w:vAlign w:val="center"/>
          </w:tcPr>
          <w:p w14:paraId="1C41E0BD">
            <w:pPr>
              <w:pStyle w:val="45"/>
              <w:rPr>
                <w:rFonts w:hint="default"/>
              </w:rPr>
            </w:pPr>
            <w:r>
              <w:rPr>
                <w:rFonts w:hint="default"/>
              </w:rPr>
              <w:t>2.17</w:t>
            </w:r>
          </w:p>
        </w:tc>
        <w:tc>
          <w:tcPr>
            <w:tcW w:w="376" w:type="pct"/>
            <w:vAlign w:val="center"/>
          </w:tcPr>
          <w:p w14:paraId="5CC47698">
            <w:pPr>
              <w:pStyle w:val="45"/>
              <w:rPr>
                <w:rFonts w:hint="default"/>
              </w:rPr>
            </w:pPr>
            <w:r>
              <w:rPr>
                <w:rFonts w:hint="default"/>
              </w:rPr>
              <w:t>1.78</w:t>
            </w:r>
          </w:p>
        </w:tc>
        <w:tc>
          <w:tcPr>
            <w:tcW w:w="374" w:type="pct"/>
            <w:vAlign w:val="center"/>
          </w:tcPr>
          <w:p w14:paraId="6851ECDD">
            <w:pPr>
              <w:pStyle w:val="45"/>
              <w:rPr>
                <w:rFonts w:hint="default"/>
              </w:rPr>
            </w:pPr>
            <w:r>
              <w:rPr>
                <w:rFonts w:hint="default"/>
              </w:rPr>
              <w:t>1.44</w:t>
            </w:r>
          </w:p>
        </w:tc>
        <w:tc>
          <w:tcPr>
            <w:tcW w:w="373" w:type="pct"/>
            <w:vAlign w:val="center"/>
          </w:tcPr>
          <w:p w14:paraId="0E6845B5">
            <w:pPr>
              <w:pStyle w:val="45"/>
              <w:rPr>
                <w:rFonts w:hint="default"/>
              </w:rPr>
            </w:pPr>
            <w:r>
              <w:rPr>
                <w:rFonts w:hint="default"/>
              </w:rPr>
              <w:t>1.78</w:t>
            </w:r>
          </w:p>
        </w:tc>
      </w:tr>
    </w:tbl>
    <w:p w14:paraId="3F2B758B">
      <w:pPr>
        <w:spacing w:line="240" w:lineRule="auto"/>
        <w:ind w:firstLine="0" w:firstLineChars="0"/>
      </w:pPr>
    </w:p>
    <w:p w14:paraId="1B4D8DAF">
      <w:pPr>
        <w:pStyle w:val="42"/>
        <w:numPr>
          <w:ilvl w:val="-1"/>
          <w:numId w:val="0"/>
        </w:numPr>
        <w:jc w:val="both"/>
        <w:rPr>
          <w:rFonts w:hint="default"/>
        </w:rPr>
      </w:pPr>
      <w:r>
        <w:drawing>
          <wp:inline distT="0" distB="0" distL="114300" distR="114300">
            <wp:extent cx="5270500" cy="2028825"/>
            <wp:effectExtent l="4445" t="4445" r="20955" b="5080"/>
            <wp:docPr id="4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1A75481F">
      <w:pPr>
        <w:pStyle w:val="42"/>
        <w:numPr>
          <w:ilvl w:val="6"/>
          <w:numId w:val="1"/>
        </w:numPr>
        <w:rPr>
          <w:rFonts w:hint="default"/>
        </w:rPr>
      </w:pPr>
      <w:r>
        <w:t>衡阳气象站2</w:t>
      </w:r>
      <w:r>
        <w:rPr>
          <w:rFonts w:hint="default"/>
        </w:rPr>
        <w:t>022年各月平均风速变化曲线图</w:t>
      </w:r>
    </w:p>
    <w:p w14:paraId="3AC0C46C">
      <w:pPr>
        <w:spacing w:line="240" w:lineRule="auto"/>
        <w:ind w:firstLine="480"/>
      </w:pPr>
    </w:p>
    <w:p w14:paraId="6B03E79F">
      <w:pPr>
        <w:ind w:firstLine="480"/>
      </w:pPr>
      <w:r>
        <w:t>根据衡阳气象站2022年气象资料统计</w:t>
      </w:r>
      <w:r>
        <w:rPr>
          <w:rFonts w:hint="eastAsia"/>
        </w:rPr>
        <w:t>，</w:t>
      </w:r>
      <w:r>
        <w:t>衡阳</w:t>
      </w:r>
      <w:r>
        <w:rPr>
          <w:rFonts w:hint="eastAsia"/>
        </w:rPr>
        <w:t>气象站2022年</w:t>
      </w:r>
      <w:r>
        <w:t>年均风速为1.78m/s，平均风速最大值出现在8月，平均风速为2.27m/s，最小平均风速出现5月，平均风速为1.31m/s</w:t>
      </w:r>
      <w:r>
        <w:rPr>
          <w:rFonts w:hint="eastAsia"/>
        </w:rPr>
        <w:t>。</w:t>
      </w:r>
    </w:p>
    <w:p w14:paraId="0069623E">
      <w:pPr>
        <w:ind w:firstLine="480"/>
      </w:pPr>
      <w:r>
        <w:t>根据衡阳气象站2022年气象资料统计，区域各季逐小时平均风速变化规律见</w:t>
      </w:r>
      <w:r>
        <w:rPr>
          <w:rFonts w:hint="eastAsia"/>
        </w:rPr>
        <w:t>下</w:t>
      </w:r>
      <w:r>
        <w:t>表</w:t>
      </w:r>
      <w:r>
        <w:rPr>
          <w:rFonts w:hint="eastAsia"/>
        </w:rPr>
        <w:t>及下图</w:t>
      </w:r>
      <w:r>
        <w:t>。</w:t>
      </w:r>
    </w:p>
    <w:p w14:paraId="681C372E">
      <w:pPr>
        <w:pStyle w:val="43"/>
        <w:numPr>
          <w:ilvl w:val="5"/>
          <w:numId w:val="1"/>
        </w:numPr>
        <w:rPr>
          <w:rFonts w:hint="default"/>
        </w:rPr>
      </w:pPr>
      <w:r>
        <w:t>衡阳气象站</w:t>
      </w:r>
      <w:r>
        <w:rPr>
          <w:rFonts w:hint="default"/>
        </w:rPr>
        <w:t>2022年各季小时平均风速的日变化</w:t>
      </w:r>
    </w:p>
    <w:tbl>
      <w:tblPr>
        <w:tblStyle w:val="32"/>
        <w:tblW w:w="4992" w:type="pct"/>
        <w:tblInd w:w="0" w:type="dxa"/>
        <w:tblLayout w:type="autofit"/>
        <w:tblCellMar>
          <w:top w:w="0" w:type="dxa"/>
          <w:left w:w="108" w:type="dxa"/>
          <w:bottom w:w="0" w:type="dxa"/>
          <w:right w:w="108" w:type="dxa"/>
        </w:tblCellMar>
      </w:tblPr>
      <w:tblGrid>
        <w:gridCol w:w="1236"/>
        <w:gridCol w:w="606"/>
        <w:gridCol w:w="606"/>
        <w:gridCol w:w="606"/>
        <w:gridCol w:w="606"/>
        <w:gridCol w:w="606"/>
        <w:gridCol w:w="606"/>
        <w:gridCol w:w="606"/>
        <w:gridCol w:w="606"/>
        <w:gridCol w:w="606"/>
        <w:gridCol w:w="606"/>
        <w:gridCol w:w="606"/>
        <w:gridCol w:w="606"/>
      </w:tblGrid>
      <w:tr w14:paraId="3F1C6CF1">
        <w:tblPrEx>
          <w:tblCellMar>
            <w:top w:w="0" w:type="dxa"/>
            <w:left w:w="108" w:type="dxa"/>
            <w:bottom w:w="0" w:type="dxa"/>
            <w:right w:w="108" w:type="dxa"/>
          </w:tblCellMar>
        </w:tblPrEx>
        <w:trPr>
          <w:trHeight w:val="900" w:hRule="atLeast"/>
        </w:trPr>
        <w:tc>
          <w:tcPr>
            <w:tcW w:w="727" w:type="pct"/>
            <w:tcBorders>
              <w:top w:val="single" w:color="000000" w:sz="4" w:space="0"/>
              <w:left w:val="single" w:color="000000" w:sz="4" w:space="0"/>
              <w:bottom w:val="single" w:color="000000" w:sz="4" w:space="0"/>
              <w:right w:val="single" w:color="000000" w:sz="4" w:space="0"/>
              <w:tl2br w:val="single" w:color="000000" w:sz="4" w:space="0"/>
            </w:tcBorders>
            <w:shd w:val="clear" w:color="auto" w:fill="auto"/>
            <w:noWrap/>
            <w:vAlign w:val="center"/>
          </w:tcPr>
          <w:p w14:paraId="74FDAFD1">
            <w:pPr>
              <w:pStyle w:val="45"/>
              <w:jc w:val="right"/>
              <w:rPr>
                <w:rFonts w:hint="default"/>
                <w:b/>
                <w:bCs/>
              </w:rPr>
            </w:pPr>
            <w:r>
              <w:rPr>
                <w:rFonts w:hint="default"/>
                <w:b/>
                <w:bCs/>
              </w:rPr>
              <w:t>小时(h)</w:t>
            </w:r>
          </w:p>
          <w:p w14:paraId="56A5AD7D">
            <w:pPr>
              <w:pStyle w:val="45"/>
              <w:jc w:val="both"/>
              <w:rPr>
                <w:rFonts w:hint="default"/>
                <w:b/>
                <w:bCs/>
              </w:rPr>
            </w:pPr>
          </w:p>
          <w:p w14:paraId="7B042F3E">
            <w:pPr>
              <w:pStyle w:val="45"/>
              <w:jc w:val="both"/>
              <w:rPr>
                <w:rFonts w:hint="default"/>
                <w:b/>
                <w:bCs/>
              </w:rPr>
            </w:pPr>
            <w:r>
              <w:rPr>
                <w:rFonts w:hint="default"/>
                <w:b/>
                <w:bCs/>
              </w:rPr>
              <w:t xml:space="preserve">风速(m/s)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9411B5">
            <w:pPr>
              <w:pStyle w:val="45"/>
              <w:rPr>
                <w:rFonts w:hint="default"/>
                <w:b/>
                <w:bCs/>
              </w:rPr>
            </w:pPr>
            <w:r>
              <w:rPr>
                <w:rFonts w:hint="default"/>
                <w:b/>
                <w:bCs/>
              </w:rPr>
              <w:t>1</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99DB4D">
            <w:pPr>
              <w:pStyle w:val="45"/>
              <w:rPr>
                <w:rFonts w:hint="default"/>
                <w:b/>
                <w:bCs/>
              </w:rPr>
            </w:pPr>
            <w:r>
              <w:rPr>
                <w:rFonts w:hint="default"/>
                <w:b/>
                <w:bCs/>
              </w:rPr>
              <w:t>2</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4977A">
            <w:pPr>
              <w:pStyle w:val="45"/>
              <w:rPr>
                <w:rFonts w:hint="default"/>
                <w:b/>
                <w:bCs/>
              </w:rPr>
            </w:pPr>
            <w:r>
              <w:rPr>
                <w:rFonts w:hint="default"/>
                <w:b/>
                <w:bCs/>
              </w:rPr>
              <w:t>3</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44F2C">
            <w:pPr>
              <w:pStyle w:val="45"/>
              <w:rPr>
                <w:rFonts w:hint="default"/>
                <w:b/>
                <w:bCs/>
              </w:rPr>
            </w:pPr>
            <w:r>
              <w:rPr>
                <w:rFonts w:hint="default"/>
                <w:b/>
                <w:bCs/>
              </w:rPr>
              <w:t>4</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429F5">
            <w:pPr>
              <w:pStyle w:val="45"/>
              <w:rPr>
                <w:rFonts w:hint="default"/>
                <w:b/>
                <w:bCs/>
              </w:rPr>
            </w:pPr>
            <w:r>
              <w:rPr>
                <w:rFonts w:hint="default"/>
                <w:b/>
                <w:bCs/>
              </w:rPr>
              <w:t>5</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78AF3">
            <w:pPr>
              <w:pStyle w:val="45"/>
              <w:rPr>
                <w:rFonts w:hint="default"/>
                <w:b/>
                <w:bCs/>
              </w:rPr>
            </w:pPr>
            <w:r>
              <w:rPr>
                <w:rFonts w:hint="default"/>
                <w:b/>
                <w:bCs/>
              </w:rPr>
              <w:t>6</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760C5">
            <w:pPr>
              <w:pStyle w:val="45"/>
              <w:rPr>
                <w:rFonts w:hint="default"/>
                <w:b/>
                <w:bCs/>
              </w:rPr>
            </w:pPr>
            <w:r>
              <w:rPr>
                <w:rFonts w:hint="default"/>
                <w:b/>
                <w:bCs/>
              </w:rPr>
              <w:t>7</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607A45">
            <w:pPr>
              <w:pStyle w:val="45"/>
              <w:rPr>
                <w:rFonts w:hint="default"/>
                <w:b/>
                <w:bCs/>
              </w:rPr>
            </w:pPr>
            <w:r>
              <w:rPr>
                <w:rFonts w:hint="default"/>
                <w:b/>
                <w:bCs/>
              </w:rPr>
              <w:t>8</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A75CC">
            <w:pPr>
              <w:pStyle w:val="45"/>
              <w:rPr>
                <w:rFonts w:hint="default"/>
                <w:b/>
                <w:bCs/>
              </w:rPr>
            </w:pPr>
            <w:r>
              <w:rPr>
                <w:rFonts w:hint="default"/>
                <w:b/>
                <w:bCs/>
              </w:rPr>
              <w:t>9</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08028">
            <w:pPr>
              <w:pStyle w:val="45"/>
              <w:rPr>
                <w:rFonts w:hint="default"/>
                <w:b/>
                <w:bCs/>
              </w:rPr>
            </w:pPr>
            <w:r>
              <w:rPr>
                <w:rFonts w:hint="default"/>
                <w:b/>
                <w:bCs/>
              </w:rPr>
              <w:t>10</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978A34">
            <w:pPr>
              <w:pStyle w:val="45"/>
              <w:rPr>
                <w:rFonts w:hint="default"/>
                <w:b/>
                <w:bCs/>
              </w:rPr>
            </w:pPr>
            <w:r>
              <w:rPr>
                <w:rFonts w:hint="default"/>
                <w:b/>
                <w:bCs/>
              </w:rPr>
              <w:t>11</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0D0D4">
            <w:pPr>
              <w:pStyle w:val="45"/>
              <w:rPr>
                <w:rFonts w:hint="default"/>
                <w:b/>
                <w:bCs/>
              </w:rPr>
            </w:pPr>
            <w:r>
              <w:rPr>
                <w:rFonts w:hint="default"/>
                <w:b/>
                <w:bCs/>
              </w:rPr>
              <w:t>12</w:t>
            </w:r>
          </w:p>
        </w:tc>
      </w:tr>
      <w:tr w14:paraId="0461E61A">
        <w:tblPrEx>
          <w:tblCellMar>
            <w:top w:w="0" w:type="dxa"/>
            <w:left w:w="108" w:type="dxa"/>
            <w:bottom w:w="0" w:type="dxa"/>
            <w:right w:w="108" w:type="dxa"/>
          </w:tblCellMar>
        </w:tblPrEx>
        <w:trPr>
          <w:trHeight w:val="285" w:hRule="atLeast"/>
        </w:trPr>
        <w:tc>
          <w:tcPr>
            <w:tcW w:w="72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E114405">
            <w:pPr>
              <w:pStyle w:val="45"/>
              <w:rPr>
                <w:rFonts w:hint="default"/>
              </w:rPr>
            </w:pPr>
            <w:r>
              <w:rPr>
                <w:rFonts w:hint="default"/>
              </w:rPr>
              <w:t xml:space="preserve">春季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34A17A6">
            <w:pPr>
              <w:pStyle w:val="45"/>
              <w:rPr>
                <w:rFonts w:hint="default"/>
              </w:rPr>
            </w:pPr>
            <w:r>
              <w:rPr>
                <w:rFonts w:hint="default"/>
              </w:rPr>
              <w:t xml:space="preserve">1.33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7BA069E">
            <w:pPr>
              <w:pStyle w:val="45"/>
              <w:rPr>
                <w:rFonts w:hint="default"/>
              </w:rPr>
            </w:pPr>
            <w:r>
              <w:rPr>
                <w:rFonts w:hint="default"/>
              </w:rPr>
              <w:t xml:space="preserve">1.31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04F6438">
            <w:pPr>
              <w:pStyle w:val="45"/>
              <w:rPr>
                <w:rFonts w:hint="default"/>
              </w:rPr>
            </w:pPr>
            <w:r>
              <w:rPr>
                <w:rFonts w:hint="default"/>
              </w:rPr>
              <w:t xml:space="preserve">1.25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ECA2A1A">
            <w:pPr>
              <w:pStyle w:val="45"/>
              <w:rPr>
                <w:rFonts w:hint="default"/>
              </w:rPr>
            </w:pPr>
            <w:r>
              <w:rPr>
                <w:rFonts w:hint="default"/>
              </w:rPr>
              <w:t xml:space="preserve">1.27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038B532">
            <w:pPr>
              <w:pStyle w:val="45"/>
              <w:rPr>
                <w:rFonts w:hint="default"/>
              </w:rPr>
            </w:pPr>
            <w:r>
              <w:rPr>
                <w:rFonts w:hint="default"/>
              </w:rPr>
              <w:t xml:space="preserve">1.25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172C456">
            <w:pPr>
              <w:pStyle w:val="45"/>
              <w:rPr>
                <w:rFonts w:hint="default"/>
              </w:rPr>
            </w:pPr>
            <w:r>
              <w:rPr>
                <w:rFonts w:hint="default"/>
              </w:rPr>
              <w:t xml:space="preserve">1.21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C1ED662">
            <w:pPr>
              <w:pStyle w:val="45"/>
              <w:rPr>
                <w:rFonts w:hint="default"/>
              </w:rPr>
            </w:pPr>
            <w:r>
              <w:rPr>
                <w:rFonts w:hint="default"/>
              </w:rPr>
              <w:t xml:space="preserve">1.18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D44AF62">
            <w:pPr>
              <w:pStyle w:val="45"/>
              <w:rPr>
                <w:rFonts w:hint="default"/>
              </w:rPr>
            </w:pPr>
            <w:r>
              <w:rPr>
                <w:rFonts w:hint="default"/>
              </w:rPr>
              <w:t xml:space="preserve">1.35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8E484EC">
            <w:pPr>
              <w:pStyle w:val="45"/>
              <w:rPr>
                <w:rFonts w:hint="default"/>
              </w:rPr>
            </w:pPr>
            <w:r>
              <w:rPr>
                <w:rFonts w:hint="default"/>
              </w:rPr>
              <w:t xml:space="preserve">1.39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B9014AB">
            <w:pPr>
              <w:pStyle w:val="45"/>
              <w:rPr>
                <w:rFonts w:hint="default"/>
              </w:rPr>
            </w:pPr>
            <w:r>
              <w:rPr>
                <w:rFonts w:hint="default"/>
              </w:rPr>
              <w:t xml:space="preserve">1.60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BEB5E28">
            <w:pPr>
              <w:pStyle w:val="45"/>
              <w:rPr>
                <w:rFonts w:hint="default"/>
              </w:rPr>
            </w:pPr>
            <w:r>
              <w:rPr>
                <w:rFonts w:hint="default"/>
              </w:rPr>
              <w:t xml:space="preserve">1.78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68BDB72">
            <w:pPr>
              <w:pStyle w:val="45"/>
              <w:rPr>
                <w:rFonts w:hint="default"/>
              </w:rPr>
            </w:pPr>
            <w:r>
              <w:rPr>
                <w:rFonts w:hint="default"/>
              </w:rPr>
              <w:t xml:space="preserve">1.72 </w:t>
            </w:r>
          </w:p>
        </w:tc>
      </w:tr>
      <w:tr w14:paraId="2DCFF2AF">
        <w:tblPrEx>
          <w:tblCellMar>
            <w:top w:w="0" w:type="dxa"/>
            <w:left w:w="108" w:type="dxa"/>
            <w:bottom w:w="0" w:type="dxa"/>
            <w:right w:w="108" w:type="dxa"/>
          </w:tblCellMar>
        </w:tblPrEx>
        <w:trPr>
          <w:trHeight w:val="285" w:hRule="atLeast"/>
        </w:trPr>
        <w:tc>
          <w:tcPr>
            <w:tcW w:w="72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F1CCA0F">
            <w:pPr>
              <w:pStyle w:val="45"/>
              <w:rPr>
                <w:rFonts w:hint="default"/>
              </w:rPr>
            </w:pPr>
            <w:r>
              <w:rPr>
                <w:rFonts w:hint="default"/>
              </w:rPr>
              <w:t xml:space="preserve">夏季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0F15CC5">
            <w:pPr>
              <w:pStyle w:val="45"/>
              <w:rPr>
                <w:rFonts w:hint="default"/>
              </w:rPr>
            </w:pPr>
            <w:r>
              <w:rPr>
                <w:rFonts w:hint="default"/>
              </w:rPr>
              <w:t xml:space="preserve">1.83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8F10C73">
            <w:pPr>
              <w:pStyle w:val="45"/>
              <w:rPr>
                <w:rFonts w:hint="default"/>
              </w:rPr>
            </w:pPr>
            <w:r>
              <w:rPr>
                <w:rFonts w:hint="default"/>
              </w:rPr>
              <w:t xml:space="preserve">1.86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4B2E4CD">
            <w:pPr>
              <w:pStyle w:val="45"/>
              <w:rPr>
                <w:rFonts w:hint="default"/>
              </w:rPr>
            </w:pPr>
            <w:r>
              <w:rPr>
                <w:rFonts w:hint="default"/>
              </w:rPr>
              <w:t xml:space="preserve">1.66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DE0AAD0">
            <w:pPr>
              <w:pStyle w:val="45"/>
              <w:rPr>
                <w:rFonts w:hint="default"/>
              </w:rPr>
            </w:pPr>
            <w:r>
              <w:rPr>
                <w:rFonts w:hint="default"/>
              </w:rPr>
              <w:t xml:space="preserve">1.59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806A9BD">
            <w:pPr>
              <w:pStyle w:val="45"/>
              <w:rPr>
                <w:rFonts w:hint="default"/>
              </w:rPr>
            </w:pPr>
            <w:r>
              <w:rPr>
                <w:rFonts w:hint="default"/>
              </w:rPr>
              <w:t xml:space="preserve">1.60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A21B729">
            <w:pPr>
              <w:pStyle w:val="45"/>
              <w:rPr>
                <w:rFonts w:hint="default"/>
              </w:rPr>
            </w:pPr>
            <w:r>
              <w:rPr>
                <w:rFonts w:hint="default"/>
              </w:rPr>
              <w:t xml:space="preserve">1.67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C0B5565">
            <w:pPr>
              <w:pStyle w:val="45"/>
              <w:rPr>
                <w:rFonts w:hint="default"/>
              </w:rPr>
            </w:pPr>
            <w:r>
              <w:rPr>
                <w:rFonts w:hint="default"/>
              </w:rPr>
              <w:t xml:space="preserve">1.68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F9C0D84">
            <w:pPr>
              <w:pStyle w:val="45"/>
              <w:rPr>
                <w:rFonts w:hint="default"/>
              </w:rPr>
            </w:pPr>
            <w:r>
              <w:rPr>
                <w:rFonts w:hint="default"/>
              </w:rPr>
              <w:t xml:space="preserve">1.99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F36AA9C">
            <w:pPr>
              <w:pStyle w:val="45"/>
              <w:rPr>
                <w:rFonts w:hint="default"/>
              </w:rPr>
            </w:pPr>
            <w:r>
              <w:rPr>
                <w:rFonts w:hint="default"/>
              </w:rPr>
              <w:t xml:space="preserve">2.23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6F7F576">
            <w:pPr>
              <w:pStyle w:val="45"/>
              <w:rPr>
                <w:rFonts w:hint="default"/>
              </w:rPr>
            </w:pPr>
            <w:r>
              <w:rPr>
                <w:rFonts w:hint="default"/>
              </w:rPr>
              <w:t xml:space="preserve">2.38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56B1557">
            <w:pPr>
              <w:pStyle w:val="45"/>
              <w:rPr>
                <w:rFonts w:hint="default"/>
              </w:rPr>
            </w:pPr>
            <w:r>
              <w:rPr>
                <w:rFonts w:hint="default"/>
              </w:rPr>
              <w:t xml:space="preserve">2.60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7F09E4E">
            <w:pPr>
              <w:pStyle w:val="45"/>
              <w:rPr>
                <w:rFonts w:hint="default"/>
              </w:rPr>
            </w:pPr>
            <w:r>
              <w:rPr>
                <w:rFonts w:hint="default"/>
              </w:rPr>
              <w:t xml:space="preserve">2.42 </w:t>
            </w:r>
          </w:p>
        </w:tc>
      </w:tr>
      <w:tr w14:paraId="37FED297">
        <w:tblPrEx>
          <w:tblCellMar>
            <w:top w:w="0" w:type="dxa"/>
            <w:left w:w="108" w:type="dxa"/>
            <w:bottom w:w="0" w:type="dxa"/>
            <w:right w:w="108" w:type="dxa"/>
          </w:tblCellMar>
        </w:tblPrEx>
        <w:trPr>
          <w:trHeight w:val="285" w:hRule="atLeast"/>
        </w:trPr>
        <w:tc>
          <w:tcPr>
            <w:tcW w:w="72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B1ABAE9">
            <w:pPr>
              <w:pStyle w:val="45"/>
              <w:rPr>
                <w:rFonts w:hint="default"/>
              </w:rPr>
            </w:pPr>
            <w:r>
              <w:rPr>
                <w:rFonts w:hint="default"/>
              </w:rPr>
              <w:t xml:space="preserve">秋季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483B7F4">
            <w:pPr>
              <w:pStyle w:val="45"/>
              <w:rPr>
                <w:rFonts w:hint="default"/>
              </w:rPr>
            </w:pPr>
            <w:r>
              <w:rPr>
                <w:rFonts w:hint="default"/>
              </w:rPr>
              <w:t xml:space="preserve">1.73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64D7942">
            <w:pPr>
              <w:pStyle w:val="45"/>
              <w:rPr>
                <w:rFonts w:hint="default"/>
              </w:rPr>
            </w:pPr>
            <w:r>
              <w:rPr>
                <w:rFonts w:hint="default"/>
              </w:rPr>
              <w:t xml:space="preserve">1.59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08ADC84">
            <w:pPr>
              <w:pStyle w:val="45"/>
              <w:rPr>
                <w:rFonts w:hint="default"/>
              </w:rPr>
            </w:pPr>
            <w:r>
              <w:rPr>
                <w:rFonts w:hint="default"/>
              </w:rPr>
              <w:t xml:space="preserve">1.50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29868A1">
            <w:pPr>
              <w:pStyle w:val="45"/>
              <w:rPr>
                <w:rFonts w:hint="default"/>
              </w:rPr>
            </w:pPr>
            <w:r>
              <w:rPr>
                <w:rFonts w:hint="default"/>
              </w:rPr>
              <w:t xml:space="preserve">1.38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3BE3C7A">
            <w:pPr>
              <w:pStyle w:val="45"/>
              <w:rPr>
                <w:rFonts w:hint="default"/>
              </w:rPr>
            </w:pPr>
            <w:r>
              <w:rPr>
                <w:rFonts w:hint="default"/>
              </w:rPr>
              <w:t xml:space="preserve">1.53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F056CC3">
            <w:pPr>
              <w:pStyle w:val="45"/>
              <w:rPr>
                <w:rFonts w:hint="default"/>
              </w:rPr>
            </w:pPr>
            <w:r>
              <w:rPr>
                <w:rFonts w:hint="default"/>
              </w:rPr>
              <w:t xml:space="preserve">1.43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68C7258">
            <w:pPr>
              <w:pStyle w:val="45"/>
              <w:rPr>
                <w:rFonts w:hint="default"/>
              </w:rPr>
            </w:pPr>
            <w:r>
              <w:rPr>
                <w:rFonts w:hint="default"/>
              </w:rPr>
              <w:t xml:space="preserve">1.50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1DC7446">
            <w:pPr>
              <w:pStyle w:val="45"/>
              <w:rPr>
                <w:rFonts w:hint="default"/>
              </w:rPr>
            </w:pPr>
            <w:r>
              <w:rPr>
                <w:rFonts w:hint="default"/>
              </w:rPr>
              <w:t xml:space="preserve">1.57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A8B9DEA">
            <w:pPr>
              <w:pStyle w:val="45"/>
              <w:rPr>
                <w:rFonts w:hint="default"/>
              </w:rPr>
            </w:pPr>
            <w:r>
              <w:rPr>
                <w:rFonts w:hint="default"/>
              </w:rPr>
              <w:t xml:space="preserve">1.94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7EAF391">
            <w:pPr>
              <w:pStyle w:val="45"/>
              <w:rPr>
                <w:rFonts w:hint="default"/>
              </w:rPr>
            </w:pPr>
            <w:r>
              <w:rPr>
                <w:rFonts w:hint="default"/>
              </w:rPr>
              <w:t xml:space="preserve">2.02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B414AEA">
            <w:pPr>
              <w:pStyle w:val="45"/>
              <w:rPr>
                <w:rFonts w:hint="default"/>
              </w:rPr>
            </w:pPr>
            <w:r>
              <w:rPr>
                <w:rFonts w:hint="default"/>
              </w:rPr>
              <w:t xml:space="preserve">2.17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854B245">
            <w:pPr>
              <w:pStyle w:val="45"/>
              <w:rPr>
                <w:rFonts w:hint="default"/>
              </w:rPr>
            </w:pPr>
            <w:r>
              <w:rPr>
                <w:rFonts w:hint="default"/>
              </w:rPr>
              <w:t xml:space="preserve">2.32 </w:t>
            </w:r>
          </w:p>
        </w:tc>
      </w:tr>
      <w:tr w14:paraId="48D11A0D">
        <w:tblPrEx>
          <w:tblCellMar>
            <w:top w:w="0" w:type="dxa"/>
            <w:left w:w="108" w:type="dxa"/>
            <w:bottom w:w="0" w:type="dxa"/>
            <w:right w:w="108" w:type="dxa"/>
          </w:tblCellMar>
        </w:tblPrEx>
        <w:trPr>
          <w:trHeight w:val="285" w:hRule="atLeast"/>
        </w:trPr>
        <w:tc>
          <w:tcPr>
            <w:tcW w:w="72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7EF0ED9">
            <w:pPr>
              <w:pStyle w:val="45"/>
              <w:rPr>
                <w:rFonts w:hint="default"/>
              </w:rPr>
            </w:pPr>
            <w:r>
              <w:rPr>
                <w:rFonts w:hint="default"/>
              </w:rPr>
              <w:t xml:space="preserve">冬季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F78FA3E">
            <w:pPr>
              <w:pStyle w:val="45"/>
              <w:rPr>
                <w:rFonts w:hint="default"/>
              </w:rPr>
            </w:pPr>
            <w:r>
              <w:rPr>
                <w:rFonts w:hint="default"/>
              </w:rPr>
              <w:t xml:space="preserve">1.24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D2BD94C">
            <w:pPr>
              <w:pStyle w:val="45"/>
              <w:rPr>
                <w:rFonts w:hint="default"/>
              </w:rPr>
            </w:pPr>
            <w:r>
              <w:rPr>
                <w:rFonts w:hint="default"/>
              </w:rPr>
              <w:t xml:space="preserve">1.30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02ECB7A">
            <w:pPr>
              <w:pStyle w:val="45"/>
              <w:rPr>
                <w:rFonts w:hint="default"/>
              </w:rPr>
            </w:pPr>
            <w:r>
              <w:rPr>
                <w:rFonts w:hint="default"/>
              </w:rPr>
              <w:t xml:space="preserve">1.19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446F963">
            <w:pPr>
              <w:pStyle w:val="45"/>
              <w:rPr>
                <w:rFonts w:hint="default"/>
              </w:rPr>
            </w:pPr>
            <w:r>
              <w:rPr>
                <w:rFonts w:hint="default"/>
              </w:rPr>
              <w:t xml:space="preserve">1.15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75D5407">
            <w:pPr>
              <w:pStyle w:val="45"/>
              <w:rPr>
                <w:rFonts w:hint="default"/>
              </w:rPr>
            </w:pPr>
            <w:r>
              <w:rPr>
                <w:rFonts w:hint="default"/>
              </w:rPr>
              <w:t xml:space="preserve">1.21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0AEB1F2">
            <w:pPr>
              <w:pStyle w:val="45"/>
              <w:rPr>
                <w:rFonts w:hint="default"/>
              </w:rPr>
            </w:pPr>
            <w:r>
              <w:rPr>
                <w:rFonts w:hint="default"/>
              </w:rPr>
              <w:t xml:space="preserve">1.21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951E186">
            <w:pPr>
              <w:pStyle w:val="45"/>
              <w:rPr>
                <w:rFonts w:hint="default"/>
              </w:rPr>
            </w:pPr>
            <w:r>
              <w:rPr>
                <w:rFonts w:hint="default"/>
              </w:rPr>
              <w:t xml:space="preserve">1.20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9704C1E">
            <w:pPr>
              <w:pStyle w:val="45"/>
              <w:rPr>
                <w:rFonts w:hint="default"/>
              </w:rPr>
            </w:pPr>
            <w:r>
              <w:rPr>
                <w:rFonts w:hint="default"/>
              </w:rPr>
              <w:t xml:space="preserve">1.16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8139595">
            <w:pPr>
              <w:pStyle w:val="45"/>
              <w:rPr>
                <w:rFonts w:hint="default"/>
              </w:rPr>
            </w:pPr>
            <w:r>
              <w:rPr>
                <w:rFonts w:hint="default"/>
              </w:rPr>
              <w:t xml:space="preserve">1.26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28DF4A2">
            <w:pPr>
              <w:pStyle w:val="45"/>
              <w:rPr>
                <w:rFonts w:hint="default"/>
              </w:rPr>
            </w:pPr>
            <w:r>
              <w:rPr>
                <w:rFonts w:hint="default"/>
              </w:rPr>
              <w:t xml:space="preserve">1.35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D52EE15">
            <w:pPr>
              <w:pStyle w:val="45"/>
              <w:rPr>
                <w:rFonts w:hint="default"/>
              </w:rPr>
            </w:pPr>
            <w:r>
              <w:rPr>
                <w:rFonts w:hint="default"/>
              </w:rPr>
              <w:t xml:space="preserve">1.56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D5E9911">
            <w:pPr>
              <w:pStyle w:val="45"/>
              <w:rPr>
                <w:rFonts w:hint="default"/>
              </w:rPr>
            </w:pPr>
            <w:r>
              <w:rPr>
                <w:rFonts w:hint="default"/>
              </w:rPr>
              <w:t xml:space="preserve">1.53 </w:t>
            </w:r>
          </w:p>
        </w:tc>
      </w:tr>
      <w:tr w14:paraId="6EB7C317">
        <w:tblPrEx>
          <w:tblCellMar>
            <w:top w:w="0" w:type="dxa"/>
            <w:left w:w="108" w:type="dxa"/>
            <w:bottom w:w="0" w:type="dxa"/>
            <w:right w:w="108" w:type="dxa"/>
          </w:tblCellMar>
        </w:tblPrEx>
        <w:trPr>
          <w:trHeight w:val="855" w:hRule="atLeast"/>
        </w:trPr>
        <w:tc>
          <w:tcPr>
            <w:tcW w:w="727" w:type="pct"/>
            <w:tcBorders>
              <w:top w:val="single" w:color="000000" w:sz="4" w:space="0"/>
              <w:left w:val="single" w:color="000000" w:sz="4" w:space="0"/>
              <w:bottom w:val="single" w:color="000000" w:sz="4" w:space="0"/>
              <w:right w:val="single" w:color="000000" w:sz="4" w:space="0"/>
              <w:tl2br w:val="single" w:color="000000" w:sz="4" w:space="0"/>
            </w:tcBorders>
            <w:shd w:val="clear" w:color="auto" w:fill="auto"/>
            <w:noWrap/>
            <w:vAlign w:val="center"/>
          </w:tcPr>
          <w:p w14:paraId="56985020">
            <w:pPr>
              <w:snapToGrid w:val="0"/>
              <w:spacing w:line="240" w:lineRule="auto"/>
              <w:ind w:firstLine="0" w:firstLineChars="0"/>
              <w:jc w:val="right"/>
              <w:textAlignment w:val="baseline"/>
              <w:rPr>
                <w:rFonts w:cs="Times New Roman"/>
                <w:b/>
                <w:bCs/>
                <w:kern w:val="0"/>
                <w:sz w:val="21"/>
                <w:szCs w:val="21"/>
              </w:rPr>
            </w:pPr>
            <w:r>
              <w:rPr>
                <w:rFonts w:hint="eastAsia" w:cs="Times New Roman"/>
                <w:b/>
                <w:bCs/>
                <w:kern w:val="0"/>
                <w:sz w:val="21"/>
                <w:szCs w:val="21"/>
              </w:rPr>
              <w:t xml:space="preserve"> </w:t>
            </w:r>
            <w:r>
              <w:rPr>
                <w:rFonts w:cs="Times New Roman"/>
                <w:b/>
                <w:bCs/>
                <w:kern w:val="0"/>
                <w:sz w:val="21"/>
                <w:szCs w:val="21"/>
              </w:rPr>
              <w:t>小时(h)</w:t>
            </w:r>
          </w:p>
          <w:p w14:paraId="2A3E1F48">
            <w:pPr>
              <w:snapToGrid w:val="0"/>
              <w:spacing w:line="240" w:lineRule="auto"/>
              <w:ind w:firstLine="0" w:firstLineChars="0"/>
              <w:jc w:val="right"/>
              <w:textAlignment w:val="baseline"/>
              <w:rPr>
                <w:rFonts w:cs="Times New Roman"/>
                <w:b/>
                <w:bCs/>
                <w:kern w:val="0"/>
                <w:sz w:val="21"/>
                <w:szCs w:val="21"/>
              </w:rPr>
            </w:pPr>
          </w:p>
          <w:p w14:paraId="34087E67">
            <w:pPr>
              <w:snapToGrid w:val="0"/>
              <w:spacing w:line="240" w:lineRule="auto"/>
              <w:ind w:firstLine="0" w:firstLineChars="0"/>
              <w:textAlignment w:val="baseline"/>
              <w:rPr>
                <w:b/>
                <w:bCs/>
              </w:rPr>
            </w:pPr>
            <w:r>
              <w:rPr>
                <w:rFonts w:cs="Times New Roman"/>
                <w:b/>
                <w:bCs/>
                <w:kern w:val="0"/>
                <w:sz w:val="21"/>
                <w:szCs w:val="21"/>
              </w:rPr>
              <w:t xml:space="preserve">风速(m/s)    </w:t>
            </w:r>
            <w:r>
              <w:rPr>
                <w:b/>
                <w:bCs/>
              </w:rPr>
              <w:t xml:space="preserve">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F5FD6">
            <w:pPr>
              <w:pStyle w:val="45"/>
              <w:rPr>
                <w:rFonts w:hint="default"/>
                <w:b/>
                <w:bCs/>
              </w:rPr>
            </w:pPr>
            <w:r>
              <w:rPr>
                <w:rFonts w:hint="default"/>
                <w:b/>
                <w:bCs/>
              </w:rPr>
              <w:t>13</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0B031">
            <w:pPr>
              <w:pStyle w:val="45"/>
              <w:rPr>
                <w:rFonts w:hint="default"/>
                <w:b/>
                <w:bCs/>
              </w:rPr>
            </w:pPr>
            <w:r>
              <w:rPr>
                <w:rFonts w:hint="default"/>
                <w:b/>
                <w:bCs/>
              </w:rPr>
              <w:t>14</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1211F">
            <w:pPr>
              <w:pStyle w:val="45"/>
              <w:rPr>
                <w:rFonts w:hint="default"/>
                <w:b/>
                <w:bCs/>
              </w:rPr>
            </w:pPr>
            <w:r>
              <w:rPr>
                <w:rFonts w:hint="default"/>
                <w:b/>
                <w:bCs/>
              </w:rPr>
              <w:t>15</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76EB7">
            <w:pPr>
              <w:pStyle w:val="45"/>
              <w:rPr>
                <w:rFonts w:hint="default"/>
                <w:b/>
                <w:bCs/>
              </w:rPr>
            </w:pPr>
            <w:r>
              <w:rPr>
                <w:rFonts w:hint="default"/>
                <w:b/>
                <w:bCs/>
              </w:rPr>
              <w:t>16</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3CD2B">
            <w:pPr>
              <w:pStyle w:val="45"/>
              <w:rPr>
                <w:rFonts w:hint="default"/>
                <w:b/>
                <w:bCs/>
              </w:rPr>
            </w:pPr>
            <w:r>
              <w:rPr>
                <w:rFonts w:hint="default"/>
                <w:b/>
                <w:bCs/>
              </w:rPr>
              <w:t>17</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C7BC2">
            <w:pPr>
              <w:pStyle w:val="45"/>
              <w:rPr>
                <w:rFonts w:hint="default"/>
                <w:b/>
                <w:bCs/>
              </w:rPr>
            </w:pPr>
            <w:r>
              <w:rPr>
                <w:rFonts w:hint="default"/>
                <w:b/>
                <w:bCs/>
              </w:rPr>
              <w:t>18</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60839">
            <w:pPr>
              <w:pStyle w:val="45"/>
              <w:rPr>
                <w:rFonts w:hint="default"/>
                <w:b/>
                <w:bCs/>
              </w:rPr>
            </w:pPr>
            <w:r>
              <w:rPr>
                <w:rFonts w:hint="default"/>
                <w:b/>
                <w:bCs/>
              </w:rPr>
              <w:t>19</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BACC0">
            <w:pPr>
              <w:pStyle w:val="45"/>
              <w:rPr>
                <w:rFonts w:hint="default"/>
                <w:b/>
                <w:bCs/>
              </w:rPr>
            </w:pPr>
            <w:r>
              <w:rPr>
                <w:rFonts w:hint="default"/>
                <w:b/>
                <w:bCs/>
              </w:rPr>
              <w:t>20</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E10DE">
            <w:pPr>
              <w:pStyle w:val="45"/>
              <w:rPr>
                <w:rFonts w:hint="default"/>
                <w:b/>
                <w:bCs/>
              </w:rPr>
            </w:pPr>
            <w:r>
              <w:rPr>
                <w:rFonts w:hint="default"/>
                <w:b/>
                <w:bCs/>
              </w:rPr>
              <w:t>21</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9731EC">
            <w:pPr>
              <w:pStyle w:val="45"/>
              <w:rPr>
                <w:rFonts w:hint="default"/>
                <w:b/>
                <w:bCs/>
              </w:rPr>
            </w:pPr>
            <w:r>
              <w:rPr>
                <w:rFonts w:hint="default"/>
                <w:b/>
                <w:bCs/>
              </w:rPr>
              <w:t>22</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E425F">
            <w:pPr>
              <w:pStyle w:val="45"/>
              <w:rPr>
                <w:rFonts w:hint="default"/>
                <w:b/>
                <w:bCs/>
              </w:rPr>
            </w:pPr>
            <w:r>
              <w:rPr>
                <w:rFonts w:hint="default"/>
                <w:b/>
                <w:bCs/>
              </w:rPr>
              <w:t>23</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22E70">
            <w:pPr>
              <w:pStyle w:val="45"/>
              <w:rPr>
                <w:rFonts w:hint="default"/>
                <w:b/>
                <w:bCs/>
              </w:rPr>
            </w:pPr>
            <w:r>
              <w:rPr>
                <w:rFonts w:hint="default"/>
                <w:b/>
                <w:bCs/>
              </w:rPr>
              <w:t>24</w:t>
            </w:r>
          </w:p>
        </w:tc>
      </w:tr>
      <w:tr w14:paraId="054E2C5F">
        <w:tblPrEx>
          <w:tblCellMar>
            <w:top w:w="0" w:type="dxa"/>
            <w:left w:w="108" w:type="dxa"/>
            <w:bottom w:w="0" w:type="dxa"/>
            <w:right w:w="108" w:type="dxa"/>
          </w:tblCellMar>
        </w:tblPrEx>
        <w:trPr>
          <w:trHeight w:val="285" w:hRule="atLeast"/>
        </w:trPr>
        <w:tc>
          <w:tcPr>
            <w:tcW w:w="72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151D553">
            <w:pPr>
              <w:pStyle w:val="45"/>
              <w:rPr>
                <w:rFonts w:hint="default"/>
              </w:rPr>
            </w:pPr>
            <w:r>
              <w:rPr>
                <w:rFonts w:hint="default"/>
              </w:rPr>
              <w:t xml:space="preserve">春季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71A6FBD">
            <w:pPr>
              <w:pStyle w:val="45"/>
              <w:rPr>
                <w:rFonts w:hint="default"/>
              </w:rPr>
            </w:pPr>
            <w:r>
              <w:rPr>
                <w:rFonts w:hint="default"/>
              </w:rPr>
              <w:t xml:space="preserve">1.77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804D17E">
            <w:pPr>
              <w:pStyle w:val="45"/>
              <w:rPr>
                <w:rFonts w:hint="default"/>
              </w:rPr>
            </w:pPr>
            <w:r>
              <w:rPr>
                <w:rFonts w:hint="default"/>
              </w:rPr>
              <w:t xml:space="preserve">1.98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B403CCF">
            <w:pPr>
              <w:pStyle w:val="45"/>
              <w:rPr>
                <w:rFonts w:hint="default"/>
              </w:rPr>
            </w:pPr>
            <w:r>
              <w:rPr>
                <w:rFonts w:hint="default"/>
              </w:rPr>
              <w:t xml:space="preserve">1.83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E3AEA0F">
            <w:pPr>
              <w:pStyle w:val="45"/>
              <w:rPr>
                <w:rFonts w:hint="default"/>
              </w:rPr>
            </w:pPr>
            <w:r>
              <w:rPr>
                <w:rFonts w:hint="default"/>
              </w:rPr>
              <w:t xml:space="preserve">1.80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54CEC49">
            <w:pPr>
              <w:pStyle w:val="45"/>
              <w:rPr>
                <w:rFonts w:hint="default"/>
              </w:rPr>
            </w:pPr>
            <w:r>
              <w:rPr>
                <w:rFonts w:hint="default"/>
              </w:rPr>
              <w:t xml:space="preserve">1.92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FCDF929">
            <w:pPr>
              <w:pStyle w:val="45"/>
              <w:rPr>
                <w:rFonts w:hint="default"/>
              </w:rPr>
            </w:pPr>
            <w:r>
              <w:rPr>
                <w:rFonts w:hint="default"/>
              </w:rPr>
              <w:t xml:space="preserve">1.77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B3F8D88">
            <w:pPr>
              <w:pStyle w:val="45"/>
              <w:rPr>
                <w:rFonts w:hint="default"/>
              </w:rPr>
            </w:pPr>
            <w:r>
              <w:rPr>
                <w:rFonts w:hint="default"/>
              </w:rPr>
              <w:t xml:space="preserve">1.66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ED8CA02">
            <w:pPr>
              <w:pStyle w:val="45"/>
              <w:rPr>
                <w:rFonts w:hint="default"/>
              </w:rPr>
            </w:pPr>
            <w:r>
              <w:rPr>
                <w:rFonts w:hint="default"/>
              </w:rPr>
              <w:t xml:space="preserve">1.52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94755BE">
            <w:pPr>
              <w:pStyle w:val="45"/>
              <w:rPr>
                <w:rFonts w:hint="default"/>
              </w:rPr>
            </w:pPr>
            <w:r>
              <w:rPr>
                <w:rFonts w:hint="default"/>
              </w:rPr>
              <w:t xml:space="preserve">1.50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6CC1928">
            <w:pPr>
              <w:pStyle w:val="45"/>
              <w:rPr>
                <w:rFonts w:hint="default"/>
              </w:rPr>
            </w:pPr>
            <w:r>
              <w:rPr>
                <w:rFonts w:hint="default"/>
              </w:rPr>
              <w:t xml:space="preserve">1.55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1758B5F">
            <w:pPr>
              <w:pStyle w:val="45"/>
              <w:rPr>
                <w:rFonts w:hint="default"/>
              </w:rPr>
            </w:pPr>
            <w:r>
              <w:rPr>
                <w:rFonts w:hint="default"/>
              </w:rPr>
              <w:t xml:space="preserve">1.40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52AD68C">
            <w:pPr>
              <w:pStyle w:val="45"/>
              <w:rPr>
                <w:rFonts w:hint="default"/>
              </w:rPr>
            </w:pPr>
            <w:r>
              <w:rPr>
                <w:rFonts w:hint="default"/>
              </w:rPr>
              <w:t xml:space="preserve">1.35 </w:t>
            </w:r>
          </w:p>
        </w:tc>
      </w:tr>
      <w:tr w14:paraId="7410A60A">
        <w:tblPrEx>
          <w:tblCellMar>
            <w:top w:w="0" w:type="dxa"/>
            <w:left w:w="108" w:type="dxa"/>
            <w:bottom w:w="0" w:type="dxa"/>
            <w:right w:w="108" w:type="dxa"/>
          </w:tblCellMar>
        </w:tblPrEx>
        <w:trPr>
          <w:trHeight w:val="285" w:hRule="atLeast"/>
        </w:trPr>
        <w:tc>
          <w:tcPr>
            <w:tcW w:w="72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A8A7D3A">
            <w:pPr>
              <w:pStyle w:val="45"/>
              <w:rPr>
                <w:rFonts w:hint="default"/>
              </w:rPr>
            </w:pPr>
            <w:r>
              <w:rPr>
                <w:rFonts w:hint="default"/>
              </w:rPr>
              <w:t xml:space="preserve">夏季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01E37AB">
            <w:pPr>
              <w:pStyle w:val="45"/>
              <w:rPr>
                <w:rFonts w:hint="default"/>
              </w:rPr>
            </w:pPr>
            <w:r>
              <w:rPr>
                <w:rFonts w:hint="default"/>
              </w:rPr>
              <w:t xml:space="preserve">2.56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1AE78E7">
            <w:pPr>
              <w:pStyle w:val="45"/>
              <w:rPr>
                <w:rFonts w:hint="default"/>
              </w:rPr>
            </w:pPr>
            <w:r>
              <w:rPr>
                <w:rFonts w:hint="default"/>
              </w:rPr>
              <w:t xml:space="preserve">2.73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D7F45D7">
            <w:pPr>
              <w:pStyle w:val="45"/>
              <w:rPr>
                <w:rFonts w:hint="default"/>
              </w:rPr>
            </w:pPr>
            <w:r>
              <w:rPr>
                <w:rFonts w:hint="default"/>
              </w:rPr>
              <w:t xml:space="preserve">2.55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899CC22">
            <w:pPr>
              <w:pStyle w:val="45"/>
              <w:rPr>
                <w:rFonts w:hint="default"/>
              </w:rPr>
            </w:pPr>
            <w:r>
              <w:rPr>
                <w:rFonts w:hint="default"/>
              </w:rPr>
              <w:t xml:space="preserve">2.56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F475A0C">
            <w:pPr>
              <w:pStyle w:val="45"/>
              <w:rPr>
                <w:rFonts w:hint="default"/>
              </w:rPr>
            </w:pPr>
            <w:r>
              <w:rPr>
                <w:rFonts w:hint="default"/>
              </w:rPr>
              <w:t xml:space="preserve">2.48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FD67635">
            <w:pPr>
              <w:pStyle w:val="45"/>
              <w:rPr>
                <w:rFonts w:hint="default"/>
              </w:rPr>
            </w:pPr>
            <w:r>
              <w:rPr>
                <w:rFonts w:hint="default"/>
              </w:rPr>
              <w:t xml:space="preserve">2.32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C6D2198">
            <w:pPr>
              <w:pStyle w:val="45"/>
              <w:rPr>
                <w:rFonts w:hint="default"/>
              </w:rPr>
            </w:pPr>
            <w:r>
              <w:rPr>
                <w:rFonts w:hint="default"/>
              </w:rPr>
              <w:t xml:space="preserve">2.21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4839D09">
            <w:pPr>
              <w:pStyle w:val="45"/>
              <w:rPr>
                <w:rFonts w:hint="default"/>
              </w:rPr>
            </w:pPr>
            <w:r>
              <w:rPr>
                <w:rFonts w:hint="default"/>
              </w:rPr>
              <w:t xml:space="preserve">1.93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3C50559">
            <w:pPr>
              <w:pStyle w:val="45"/>
              <w:rPr>
                <w:rFonts w:hint="default"/>
              </w:rPr>
            </w:pPr>
            <w:r>
              <w:rPr>
                <w:rFonts w:hint="default"/>
              </w:rPr>
              <w:t xml:space="preserve">1.90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466DA4A">
            <w:pPr>
              <w:pStyle w:val="45"/>
              <w:rPr>
                <w:rFonts w:hint="default"/>
              </w:rPr>
            </w:pPr>
            <w:r>
              <w:rPr>
                <w:rFonts w:hint="default"/>
              </w:rPr>
              <w:t xml:space="preserve">2.10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9DD8C5E">
            <w:pPr>
              <w:pStyle w:val="45"/>
              <w:rPr>
                <w:rFonts w:hint="default"/>
              </w:rPr>
            </w:pPr>
            <w:r>
              <w:rPr>
                <w:rFonts w:hint="default"/>
              </w:rPr>
              <w:t xml:space="preserve">2.08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9290960">
            <w:pPr>
              <w:pStyle w:val="45"/>
              <w:rPr>
                <w:rFonts w:hint="default"/>
              </w:rPr>
            </w:pPr>
            <w:r>
              <w:rPr>
                <w:rFonts w:hint="default"/>
              </w:rPr>
              <w:t xml:space="preserve">1.94 </w:t>
            </w:r>
          </w:p>
        </w:tc>
      </w:tr>
      <w:tr w14:paraId="2A703189">
        <w:tblPrEx>
          <w:tblCellMar>
            <w:top w:w="0" w:type="dxa"/>
            <w:left w:w="108" w:type="dxa"/>
            <w:bottom w:w="0" w:type="dxa"/>
            <w:right w:w="108" w:type="dxa"/>
          </w:tblCellMar>
        </w:tblPrEx>
        <w:trPr>
          <w:trHeight w:val="285" w:hRule="atLeast"/>
        </w:trPr>
        <w:tc>
          <w:tcPr>
            <w:tcW w:w="72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21A8C4C">
            <w:pPr>
              <w:pStyle w:val="45"/>
              <w:rPr>
                <w:rFonts w:hint="default"/>
              </w:rPr>
            </w:pPr>
            <w:r>
              <w:rPr>
                <w:rFonts w:hint="default"/>
              </w:rPr>
              <w:t xml:space="preserve">秋季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B4D28F2">
            <w:pPr>
              <w:pStyle w:val="45"/>
              <w:rPr>
                <w:rFonts w:hint="default"/>
              </w:rPr>
            </w:pPr>
            <w:r>
              <w:rPr>
                <w:rFonts w:hint="default"/>
              </w:rPr>
              <w:t xml:space="preserve">2.41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9A74785">
            <w:pPr>
              <w:pStyle w:val="45"/>
              <w:rPr>
                <w:rFonts w:hint="default"/>
              </w:rPr>
            </w:pPr>
            <w:r>
              <w:rPr>
                <w:rFonts w:hint="default"/>
              </w:rPr>
              <w:t xml:space="preserve">2.42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69F624D">
            <w:pPr>
              <w:pStyle w:val="45"/>
              <w:rPr>
                <w:rFonts w:hint="default"/>
              </w:rPr>
            </w:pPr>
            <w:r>
              <w:rPr>
                <w:rFonts w:hint="default"/>
              </w:rPr>
              <w:t xml:space="preserve">2.68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70CF018">
            <w:pPr>
              <w:pStyle w:val="45"/>
              <w:rPr>
                <w:rFonts w:hint="default"/>
              </w:rPr>
            </w:pPr>
            <w:r>
              <w:rPr>
                <w:rFonts w:hint="default"/>
              </w:rPr>
              <w:t xml:space="preserve">2.64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2FA0905">
            <w:pPr>
              <w:pStyle w:val="45"/>
              <w:rPr>
                <w:rFonts w:hint="default"/>
              </w:rPr>
            </w:pPr>
            <w:r>
              <w:rPr>
                <w:rFonts w:hint="default"/>
              </w:rPr>
              <w:t xml:space="preserve">2.81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F54DEDB">
            <w:pPr>
              <w:pStyle w:val="45"/>
              <w:rPr>
                <w:rFonts w:hint="default"/>
              </w:rPr>
            </w:pPr>
            <w:r>
              <w:rPr>
                <w:rFonts w:hint="default"/>
              </w:rPr>
              <w:t xml:space="preserve">2.58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F6502D1">
            <w:pPr>
              <w:pStyle w:val="45"/>
              <w:rPr>
                <w:rFonts w:hint="default"/>
              </w:rPr>
            </w:pPr>
            <w:r>
              <w:rPr>
                <w:rFonts w:hint="default"/>
              </w:rPr>
              <w:t xml:space="preserve">2.40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F9E9F40">
            <w:pPr>
              <w:pStyle w:val="45"/>
              <w:rPr>
                <w:rFonts w:hint="default"/>
              </w:rPr>
            </w:pPr>
            <w:r>
              <w:rPr>
                <w:rFonts w:hint="default"/>
              </w:rPr>
              <w:t xml:space="preserve">2.20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1AD6C20">
            <w:pPr>
              <w:pStyle w:val="45"/>
              <w:rPr>
                <w:rFonts w:hint="default"/>
              </w:rPr>
            </w:pPr>
            <w:r>
              <w:rPr>
                <w:rFonts w:hint="default"/>
              </w:rPr>
              <w:t xml:space="preserve">2.30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6B0FC67">
            <w:pPr>
              <w:pStyle w:val="45"/>
              <w:rPr>
                <w:rFonts w:hint="default"/>
              </w:rPr>
            </w:pPr>
            <w:r>
              <w:rPr>
                <w:rFonts w:hint="default"/>
              </w:rPr>
              <w:t xml:space="preserve">2.20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D134FAE">
            <w:pPr>
              <w:pStyle w:val="45"/>
              <w:rPr>
                <w:rFonts w:hint="default"/>
              </w:rPr>
            </w:pPr>
            <w:r>
              <w:rPr>
                <w:rFonts w:hint="default"/>
              </w:rPr>
              <w:t xml:space="preserve">1.96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78E13D3">
            <w:pPr>
              <w:pStyle w:val="45"/>
              <w:rPr>
                <w:rFonts w:hint="default"/>
              </w:rPr>
            </w:pPr>
            <w:r>
              <w:rPr>
                <w:rFonts w:hint="default"/>
              </w:rPr>
              <w:t xml:space="preserve">1.88 </w:t>
            </w:r>
          </w:p>
        </w:tc>
      </w:tr>
      <w:tr w14:paraId="1CFF1F3A">
        <w:tblPrEx>
          <w:tblCellMar>
            <w:top w:w="0" w:type="dxa"/>
            <w:left w:w="108" w:type="dxa"/>
            <w:bottom w:w="0" w:type="dxa"/>
            <w:right w:w="108" w:type="dxa"/>
          </w:tblCellMar>
        </w:tblPrEx>
        <w:trPr>
          <w:trHeight w:val="285" w:hRule="atLeast"/>
        </w:trPr>
        <w:tc>
          <w:tcPr>
            <w:tcW w:w="72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15CC28E">
            <w:pPr>
              <w:pStyle w:val="45"/>
              <w:rPr>
                <w:rFonts w:hint="default"/>
              </w:rPr>
            </w:pPr>
            <w:r>
              <w:rPr>
                <w:rFonts w:hint="default"/>
              </w:rPr>
              <w:t xml:space="preserve">冬季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0EC5B28">
            <w:pPr>
              <w:pStyle w:val="45"/>
              <w:rPr>
                <w:rFonts w:hint="default"/>
              </w:rPr>
            </w:pPr>
            <w:r>
              <w:rPr>
                <w:rFonts w:hint="default"/>
              </w:rPr>
              <w:t xml:space="preserve">1.55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00D9F62">
            <w:pPr>
              <w:pStyle w:val="45"/>
              <w:rPr>
                <w:rFonts w:hint="default"/>
              </w:rPr>
            </w:pPr>
            <w:r>
              <w:rPr>
                <w:rFonts w:hint="default"/>
              </w:rPr>
              <w:t xml:space="preserve">1.57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9CCEB9C">
            <w:pPr>
              <w:pStyle w:val="45"/>
              <w:rPr>
                <w:rFonts w:hint="default"/>
              </w:rPr>
            </w:pPr>
            <w:r>
              <w:rPr>
                <w:rFonts w:hint="default"/>
              </w:rPr>
              <w:t xml:space="preserve">1.54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D5022AC">
            <w:pPr>
              <w:pStyle w:val="45"/>
              <w:rPr>
                <w:rFonts w:hint="default"/>
              </w:rPr>
            </w:pPr>
            <w:r>
              <w:rPr>
                <w:rFonts w:hint="default"/>
              </w:rPr>
              <w:t xml:space="preserve">1.56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72EB69D">
            <w:pPr>
              <w:pStyle w:val="45"/>
              <w:rPr>
                <w:rFonts w:hint="default"/>
              </w:rPr>
            </w:pPr>
            <w:r>
              <w:rPr>
                <w:rFonts w:hint="default"/>
              </w:rPr>
              <w:t xml:space="preserve">1.59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2CA44BF">
            <w:pPr>
              <w:pStyle w:val="45"/>
              <w:rPr>
                <w:rFonts w:hint="default"/>
              </w:rPr>
            </w:pPr>
            <w:r>
              <w:rPr>
                <w:rFonts w:hint="default"/>
              </w:rPr>
              <w:t xml:space="preserve">1.70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48332EF">
            <w:pPr>
              <w:pStyle w:val="45"/>
              <w:rPr>
                <w:rFonts w:hint="default"/>
              </w:rPr>
            </w:pPr>
            <w:r>
              <w:rPr>
                <w:rFonts w:hint="default"/>
              </w:rPr>
              <w:t xml:space="preserve">1.70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9952F3D">
            <w:pPr>
              <w:pStyle w:val="45"/>
              <w:rPr>
                <w:rFonts w:hint="default"/>
              </w:rPr>
            </w:pPr>
            <w:r>
              <w:rPr>
                <w:rFonts w:hint="default"/>
              </w:rPr>
              <w:t xml:space="preserve">1.54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3FD4349">
            <w:pPr>
              <w:pStyle w:val="45"/>
              <w:rPr>
                <w:rFonts w:hint="default"/>
              </w:rPr>
            </w:pPr>
            <w:r>
              <w:rPr>
                <w:rFonts w:hint="default"/>
              </w:rPr>
              <w:t xml:space="preserve">1.49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E6EA3FC">
            <w:pPr>
              <w:pStyle w:val="45"/>
              <w:rPr>
                <w:rFonts w:hint="default"/>
              </w:rPr>
            </w:pPr>
            <w:r>
              <w:rPr>
                <w:rFonts w:hint="default"/>
              </w:rPr>
              <w:t xml:space="preserve">1.48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6E57EF1">
            <w:pPr>
              <w:pStyle w:val="45"/>
              <w:rPr>
                <w:rFonts w:hint="default"/>
              </w:rPr>
            </w:pPr>
            <w:r>
              <w:rPr>
                <w:rFonts w:hint="default"/>
              </w:rPr>
              <w:t xml:space="preserve">1.35 </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CB5B68B">
            <w:pPr>
              <w:pStyle w:val="45"/>
              <w:rPr>
                <w:rFonts w:hint="default"/>
              </w:rPr>
            </w:pPr>
            <w:r>
              <w:rPr>
                <w:rFonts w:hint="default"/>
              </w:rPr>
              <w:t xml:space="preserve">1.19 </w:t>
            </w:r>
          </w:p>
        </w:tc>
      </w:tr>
    </w:tbl>
    <w:p w14:paraId="5B71057F">
      <w:pPr>
        <w:ind w:firstLine="0" w:firstLineChars="0"/>
      </w:pPr>
    </w:p>
    <w:p w14:paraId="6BE91662">
      <w:pPr>
        <w:ind w:firstLine="0" w:firstLineChars="0"/>
      </w:pPr>
      <w:r>
        <w:drawing>
          <wp:inline distT="0" distB="0" distL="114300" distR="114300">
            <wp:extent cx="5271135" cy="2199005"/>
            <wp:effectExtent l="4445" t="4445" r="20320" b="6350"/>
            <wp:docPr id="2053"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68404324">
      <w:pPr>
        <w:pStyle w:val="42"/>
        <w:numPr>
          <w:ilvl w:val="6"/>
          <w:numId w:val="1"/>
        </w:numPr>
        <w:rPr>
          <w:rFonts w:hint="default"/>
        </w:rPr>
      </w:pPr>
      <w:r>
        <w:t>衡阳气象站</w:t>
      </w:r>
      <w:r>
        <w:rPr>
          <w:rFonts w:hint="default"/>
        </w:rPr>
        <w:t>2022年各季日平均风速变化曲线图</w:t>
      </w:r>
    </w:p>
    <w:p w14:paraId="27B426A9">
      <w:pPr>
        <w:spacing w:line="240" w:lineRule="auto"/>
        <w:ind w:firstLine="480"/>
      </w:pPr>
    </w:p>
    <w:p w14:paraId="68C64B9A">
      <w:pPr>
        <w:ind w:firstLine="480"/>
      </w:pPr>
      <w:r>
        <w:t>根据衡阳气象站2022年气象资料统计</w:t>
      </w:r>
      <w:r>
        <w:rPr>
          <w:rFonts w:hint="eastAsia"/>
        </w:rPr>
        <w:t>，衡阳市气象站</w:t>
      </w:r>
      <w:r>
        <w:t>全天中11时~17时风速较大，有利于污染物的扩散，3时~7时风速相对较小，不利于污染物扩散。</w:t>
      </w:r>
    </w:p>
    <w:p w14:paraId="31133FA3">
      <w:pPr>
        <w:ind w:firstLine="0" w:firstLineChars="0"/>
      </w:pPr>
      <w:r>
        <w:drawing>
          <wp:inline distT="0" distB="0" distL="114300" distR="114300">
            <wp:extent cx="5020945" cy="7000240"/>
            <wp:effectExtent l="0" t="0" r="0" b="0"/>
            <wp:docPr id="36" name="图片 36" descr="169940602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699406023857"/>
                    <pic:cNvPicPr>
                      <a:picLocks noChangeAspect="1"/>
                    </pic:cNvPicPr>
                  </pic:nvPicPr>
                  <pic:blipFill>
                    <a:blip r:embed="rId149" cstate="print"/>
                    <a:srcRect l="2735" t="4194" r="2000" b="1057"/>
                    <a:stretch>
                      <a:fillRect/>
                    </a:stretch>
                  </pic:blipFill>
                  <pic:spPr>
                    <a:xfrm>
                      <a:off x="0" y="0"/>
                      <a:ext cx="5020945" cy="7000240"/>
                    </a:xfrm>
                    <a:prstGeom prst="rect">
                      <a:avLst/>
                    </a:prstGeom>
                  </pic:spPr>
                </pic:pic>
              </a:graphicData>
            </a:graphic>
          </wp:inline>
        </w:drawing>
      </w:r>
    </w:p>
    <w:p w14:paraId="2A975583">
      <w:pPr>
        <w:widowControl/>
        <w:numPr>
          <w:ilvl w:val="6"/>
          <w:numId w:val="1"/>
        </w:numPr>
        <w:spacing w:line="240" w:lineRule="auto"/>
        <w:ind w:firstLine="420" w:firstLineChars="0"/>
        <w:jc w:val="center"/>
        <w:textAlignment w:val="center"/>
        <w:rPr>
          <w:b/>
          <w:bCs/>
          <w:snapToGrid w:val="0"/>
          <w:kern w:val="0"/>
          <w:sz w:val="21"/>
          <w:szCs w:val="21"/>
        </w:rPr>
      </w:pPr>
      <w:r>
        <w:rPr>
          <w:b/>
          <w:bCs/>
          <w:snapToGrid w:val="0"/>
          <w:kern w:val="0"/>
          <w:sz w:val="21"/>
          <w:szCs w:val="21"/>
        </w:rPr>
        <w:t>衡阳气象站</w:t>
      </w:r>
      <w:r>
        <w:rPr>
          <w:rFonts w:hint="eastAsia"/>
          <w:b/>
          <w:bCs/>
          <w:snapToGrid w:val="0"/>
          <w:kern w:val="0"/>
          <w:sz w:val="21"/>
          <w:szCs w:val="21"/>
        </w:rPr>
        <w:t>2022年</w:t>
      </w:r>
      <w:r>
        <w:rPr>
          <w:b/>
          <w:bCs/>
          <w:snapToGrid w:val="0"/>
          <w:kern w:val="0"/>
          <w:sz w:val="21"/>
          <w:szCs w:val="21"/>
        </w:rPr>
        <w:t>气象统计</w:t>
      </w:r>
      <w:r>
        <w:rPr>
          <w:rFonts w:hint="eastAsia"/>
          <w:b/>
          <w:bCs/>
          <w:snapToGrid w:val="0"/>
          <w:kern w:val="0"/>
          <w:sz w:val="21"/>
          <w:szCs w:val="21"/>
        </w:rPr>
        <w:t>风速</w:t>
      </w:r>
      <w:r>
        <w:rPr>
          <w:b/>
          <w:bCs/>
          <w:snapToGrid w:val="0"/>
          <w:kern w:val="0"/>
          <w:sz w:val="21"/>
          <w:szCs w:val="21"/>
        </w:rPr>
        <w:t>玫瑰图</w:t>
      </w:r>
    </w:p>
    <w:p w14:paraId="508A3AD4">
      <w:pPr>
        <w:spacing w:line="240" w:lineRule="auto"/>
        <w:ind w:firstLine="480"/>
      </w:pPr>
    </w:p>
    <w:p w14:paraId="54E74E82">
      <w:pPr>
        <w:ind w:firstLine="480"/>
      </w:pPr>
      <w:r>
        <w:rPr>
          <w:rFonts w:hint="eastAsia"/>
        </w:rPr>
        <w:t>③风频</w:t>
      </w:r>
    </w:p>
    <w:p w14:paraId="4654AC4E">
      <w:pPr>
        <w:ind w:firstLine="480"/>
      </w:pPr>
      <w:r>
        <w:rPr>
          <w:rFonts w:hint="eastAsia"/>
        </w:rPr>
        <w:t>衡阳气象站2022年</w:t>
      </w:r>
      <w:r>
        <w:t>当地风向频率月变化规律见</w:t>
      </w:r>
      <w:r>
        <w:rPr>
          <w:rFonts w:hint="eastAsia"/>
        </w:rPr>
        <w:t>下</w:t>
      </w:r>
      <w:r>
        <w:t>表</w:t>
      </w:r>
      <w:r>
        <w:rPr>
          <w:rFonts w:hint="eastAsia"/>
        </w:rPr>
        <w:t>。</w:t>
      </w:r>
    </w:p>
    <w:p w14:paraId="3608085B">
      <w:pPr>
        <w:pStyle w:val="43"/>
        <w:numPr>
          <w:ilvl w:val="5"/>
          <w:numId w:val="1"/>
        </w:numPr>
        <w:rPr>
          <w:rFonts w:hint="default"/>
        </w:rPr>
      </w:pPr>
      <w:r>
        <w:t>衡阳气象站</w:t>
      </w:r>
      <w:r>
        <w:rPr>
          <w:rFonts w:hint="default"/>
        </w:rPr>
        <w:t>2022年风频月变化统计结果</w:t>
      </w:r>
      <w:r>
        <w:t xml:space="preserve">   </w:t>
      </w:r>
      <w:r>
        <w:rPr>
          <w:rFonts w:hint="default"/>
        </w:rPr>
        <w:t>单位：%</w:t>
      </w:r>
    </w:p>
    <w:tbl>
      <w:tblPr>
        <w:tblStyle w:val="32"/>
        <w:tblW w:w="0" w:type="auto"/>
        <w:tblInd w:w="0" w:type="dxa"/>
        <w:tblLayout w:type="autofit"/>
        <w:tblCellMar>
          <w:top w:w="0" w:type="dxa"/>
          <w:left w:w="108" w:type="dxa"/>
          <w:bottom w:w="0" w:type="dxa"/>
          <w:right w:w="108" w:type="dxa"/>
        </w:tblCellMar>
      </w:tblPr>
      <w:tblGrid>
        <w:gridCol w:w="868"/>
        <w:gridCol w:w="615"/>
        <w:gridCol w:w="615"/>
        <w:gridCol w:w="615"/>
        <w:gridCol w:w="615"/>
        <w:gridCol w:w="615"/>
        <w:gridCol w:w="615"/>
        <w:gridCol w:w="615"/>
        <w:gridCol w:w="615"/>
        <w:gridCol w:w="616"/>
        <w:gridCol w:w="616"/>
        <w:gridCol w:w="751"/>
        <w:gridCol w:w="751"/>
      </w:tblGrid>
      <w:tr w14:paraId="709607E4">
        <w:tblPrEx>
          <w:tblCellMar>
            <w:top w:w="0" w:type="dxa"/>
            <w:left w:w="108" w:type="dxa"/>
            <w:bottom w:w="0" w:type="dxa"/>
            <w:right w:w="108" w:type="dxa"/>
          </w:tblCellMar>
        </w:tblPrEx>
        <w:trPr>
          <w:trHeight w:val="285" w:hRule="atLeast"/>
          <w:tblHeader/>
        </w:trPr>
        <w:tc>
          <w:tcPr>
            <w:tcW w:w="0" w:type="auto"/>
            <w:tcBorders>
              <w:top w:val="single" w:color="000000" w:sz="4" w:space="0"/>
              <w:left w:val="single" w:color="000000" w:sz="4" w:space="0"/>
              <w:bottom w:val="single" w:color="000000" w:sz="4" w:space="0"/>
              <w:right w:val="single" w:color="000000" w:sz="4" w:space="0"/>
              <w:tl2br w:val="single" w:color="000000" w:sz="4" w:space="0"/>
            </w:tcBorders>
            <w:shd w:val="clear" w:color="auto" w:fill="auto"/>
            <w:noWrap/>
            <w:vAlign w:val="center"/>
          </w:tcPr>
          <w:p w14:paraId="5075D835">
            <w:pPr>
              <w:pStyle w:val="45"/>
              <w:rPr>
                <w:rFonts w:hint="default"/>
                <w:b/>
                <w:bCs/>
              </w:rPr>
            </w:pPr>
            <w:r>
              <w:rPr>
                <w:rFonts w:hint="default"/>
                <w:b/>
                <w:bCs/>
              </w:rPr>
              <w:t>风频(%)</w:t>
            </w:r>
          </w:p>
          <w:p w14:paraId="16BBB280">
            <w:pPr>
              <w:pStyle w:val="45"/>
              <w:jc w:val="both"/>
              <w:rPr>
                <w:rFonts w:hint="default"/>
                <w:b/>
                <w:bCs/>
              </w:rPr>
            </w:pPr>
            <w:r>
              <w:rPr>
                <w:rFonts w:hint="default"/>
                <w:b/>
                <w:bCs/>
              </w:rPr>
              <w:t>风向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70047">
            <w:pPr>
              <w:pStyle w:val="45"/>
              <w:rPr>
                <w:rFonts w:hint="default"/>
                <w:b/>
                <w:bCs/>
              </w:rPr>
            </w:pPr>
            <w:r>
              <w:rPr>
                <w:rFonts w:hint="default"/>
                <w:b/>
                <w:bCs/>
              </w:rPr>
              <w:t>一月</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E9F4F">
            <w:pPr>
              <w:pStyle w:val="45"/>
              <w:rPr>
                <w:rFonts w:hint="default"/>
                <w:b/>
                <w:bCs/>
              </w:rPr>
            </w:pPr>
            <w:r>
              <w:rPr>
                <w:rFonts w:hint="default"/>
                <w:b/>
                <w:bCs/>
              </w:rPr>
              <w:t>二月</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357E3">
            <w:pPr>
              <w:pStyle w:val="45"/>
              <w:rPr>
                <w:rFonts w:hint="default"/>
                <w:b/>
                <w:bCs/>
              </w:rPr>
            </w:pPr>
            <w:r>
              <w:rPr>
                <w:rFonts w:hint="default"/>
                <w:b/>
                <w:bCs/>
              </w:rPr>
              <w:t>三月</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88F14">
            <w:pPr>
              <w:pStyle w:val="45"/>
              <w:rPr>
                <w:rFonts w:hint="default"/>
                <w:b/>
                <w:bCs/>
              </w:rPr>
            </w:pPr>
            <w:r>
              <w:rPr>
                <w:rFonts w:hint="default"/>
                <w:b/>
                <w:bCs/>
              </w:rPr>
              <w:t>四月</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FE223">
            <w:pPr>
              <w:pStyle w:val="45"/>
              <w:rPr>
                <w:rFonts w:hint="default"/>
                <w:b/>
                <w:bCs/>
              </w:rPr>
            </w:pPr>
            <w:r>
              <w:rPr>
                <w:rFonts w:hint="default"/>
                <w:b/>
                <w:bCs/>
              </w:rPr>
              <w:t>五月</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F1B18">
            <w:pPr>
              <w:pStyle w:val="45"/>
              <w:rPr>
                <w:rFonts w:hint="default"/>
                <w:b/>
                <w:bCs/>
              </w:rPr>
            </w:pPr>
            <w:r>
              <w:rPr>
                <w:rFonts w:hint="default"/>
                <w:b/>
                <w:bCs/>
              </w:rPr>
              <w:t>六月</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9F06C">
            <w:pPr>
              <w:pStyle w:val="45"/>
              <w:rPr>
                <w:rFonts w:hint="default"/>
                <w:b/>
                <w:bCs/>
              </w:rPr>
            </w:pPr>
            <w:r>
              <w:rPr>
                <w:rFonts w:hint="default"/>
                <w:b/>
                <w:bCs/>
              </w:rPr>
              <w:t>七月</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8BB5A">
            <w:pPr>
              <w:pStyle w:val="45"/>
              <w:rPr>
                <w:rFonts w:hint="default"/>
                <w:b/>
                <w:bCs/>
              </w:rPr>
            </w:pPr>
            <w:r>
              <w:rPr>
                <w:rFonts w:hint="default"/>
                <w:b/>
                <w:bCs/>
              </w:rPr>
              <w:t>八月</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51B61E">
            <w:pPr>
              <w:pStyle w:val="45"/>
              <w:rPr>
                <w:rFonts w:hint="default"/>
                <w:b/>
                <w:bCs/>
              </w:rPr>
            </w:pPr>
            <w:r>
              <w:rPr>
                <w:rFonts w:hint="default"/>
                <w:b/>
                <w:bCs/>
              </w:rPr>
              <w:t>九月</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361F0">
            <w:pPr>
              <w:pStyle w:val="45"/>
              <w:rPr>
                <w:rFonts w:hint="default"/>
                <w:b/>
                <w:bCs/>
              </w:rPr>
            </w:pPr>
            <w:r>
              <w:rPr>
                <w:rFonts w:hint="default"/>
                <w:b/>
                <w:bCs/>
              </w:rPr>
              <w:t>十月</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AD288">
            <w:pPr>
              <w:pStyle w:val="45"/>
              <w:rPr>
                <w:rFonts w:hint="default"/>
                <w:b/>
                <w:bCs/>
              </w:rPr>
            </w:pPr>
            <w:r>
              <w:rPr>
                <w:rFonts w:hint="default"/>
                <w:b/>
                <w:bCs/>
              </w:rPr>
              <w:t>十一月</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55AB6">
            <w:pPr>
              <w:pStyle w:val="45"/>
              <w:rPr>
                <w:rFonts w:hint="default"/>
                <w:b/>
                <w:bCs/>
              </w:rPr>
            </w:pPr>
            <w:r>
              <w:rPr>
                <w:rFonts w:hint="default"/>
                <w:b/>
                <w:bCs/>
              </w:rPr>
              <w:t>十二月</w:t>
            </w:r>
          </w:p>
        </w:tc>
      </w:tr>
      <w:tr w14:paraId="5481FB2B">
        <w:tblPrEx>
          <w:tblCellMar>
            <w:top w:w="0" w:type="dxa"/>
            <w:left w:w="108" w:type="dxa"/>
            <w:bottom w:w="0" w:type="dxa"/>
            <w:right w:w="108" w:type="dxa"/>
          </w:tblCellMar>
        </w:tblPrEx>
        <w:trPr>
          <w:trHeight w:val="2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547470">
            <w:pPr>
              <w:pStyle w:val="45"/>
              <w:rPr>
                <w:rFonts w:hint="default"/>
              </w:rPr>
            </w:pPr>
            <w:r>
              <w:rPr>
                <w:rFonts w:hint="default"/>
              </w:rPr>
              <w:t>N</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466F5">
            <w:pPr>
              <w:pStyle w:val="45"/>
              <w:rPr>
                <w:rFonts w:hint="default"/>
              </w:rPr>
            </w:pPr>
            <w:r>
              <w:rPr>
                <w:rFonts w:hint="default"/>
              </w:rPr>
              <w:t>13.71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FBAE5">
            <w:pPr>
              <w:pStyle w:val="45"/>
              <w:rPr>
                <w:rFonts w:hint="default"/>
              </w:rPr>
            </w:pPr>
            <w:r>
              <w:rPr>
                <w:rFonts w:hint="default"/>
              </w:rPr>
              <w:t>20.39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612733">
            <w:pPr>
              <w:pStyle w:val="45"/>
              <w:rPr>
                <w:rFonts w:hint="default"/>
              </w:rPr>
            </w:pPr>
            <w:r>
              <w:rPr>
                <w:rFonts w:hint="default"/>
              </w:rPr>
              <w:t>10.89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8E575">
            <w:pPr>
              <w:pStyle w:val="45"/>
              <w:rPr>
                <w:rFonts w:hint="default"/>
              </w:rPr>
            </w:pPr>
            <w:r>
              <w:rPr>
                <w:rFonts w:hint="default"/>
              </w:rPr>
              <w:t>11.39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E4576B">
            <w:pPr>
              <w:pStyle w:val="45"/>
              <w:rPr>
                <w:rFonts w:hint="default"/>
              </w:rPr>
            </w:pPr>
            <w:r>
              <w:rPr>
                <w:rFonts w:hint="default"/>
              </w:rPr>
              <w:t>13.98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08A70">
            <w:pPr>
              <w:pStyle w:val="45"/>
              <w:rPr>
                <w:rFonts w:hint="default"/>
              </w:rPr>
            </w:pPr>
            <w:r>
              <w:rPr>
                <w:rFonts w:hint="default"/>
              </w:rPr>
              <w:t>5.69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871D59">
            <w:pPr>
              <w:pStyle w:val="45"/>
              <w:rPr>
                <w:rFonts w:hint="default"/>
              </w:rPr>
            </w:pPr>
            <w:r>
              <w:rPr>
                <w:rFonts w:hint="default"/>
              </w:rPr>
              <w:t>1.34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1E940">
            <w:pPr>
              <w:pStyle w:val="45"/>
              <w:rPr>
                <w:rFonts w:hint="default"/>
              </w:rPr>
            </w:pPr>
            <w:r>
              <w:rPr>
                <w:rFonts w:hint="default"/>
              </w:rPr>
              <w:t>1.61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9A0B0">
            <w:pPr>
              <w:pStyle w:val="45"/>
              <w:rPr>
                <w:rFonts w:hint="default"/>
              </w:rPr>
            </w:pPr>
            <w:r>
              <w:rPr>
                <w:rFonts w:hint="default"/>
              </w:rPr>
              <w:t>15.28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B96132">
            <w:pPr>
              <w:pStyle w:val="45"/>
              <w:rPr>
                <w:rFonts w:hint="default"/>
              </w:rPr>
            </w:pPr>
            <w:r>
              <w:rPr>
                <w:rFonts w:hint="default"/>
              </w:rPr>
              <w:t>19.76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E80CE">
            <w:pPr>
              <w:pStyle w:val="45"/>
              <w:rPr>
                <w:rFonts w:hint="default"/>
              </w:rPr>
            </w:pPr>
            <w:r>
              <w:rPr>
                <w:rFonts w:hint="default"/>
              </w:rPr>
              <w:t>12.50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25DDB">
            <w:pPr>
              <w:pStyle w:val="45"/>
              <w:rPr>
                <w:rFonts w:hint="default"/>
              </w:rPr>
            </w:pPr>
            <w:r>
              <w:rPr>
                <w:rFonts w:hint="default"/>
              </w:rPr>
              <w:t>18.15</w:t>
            </w:r>
          </w:p>
        </w:tc>
      </w:tr>
      <w:tr w14:paraId="6CF795EB">
        <w:tblPrEx>
          <w:tblCellMar>
            <w:top w:w="0" w:type="dxa"/>
            <w:left w:w="108" w:type="dxa"/>
            <w:bottom w:w="0" w:type="dxa"/>
            <w:right w:w="108" w:type="dxa"/>
          </w:tblCellMar>
        </w:tblPrEx>
        <w:trPr>
          <w:trHeight w:val="2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3D57A">
            <w:pPr>
              <w:pStyle w:val="45"/>
              <w:rPr>
                <w:rFonts w:hint="default"/>
              </w:rPr>
            </w:pPr>
            <w:r>
              <w:rPr>
                <w:rFonts w:hint="default"/>
              </w:rPr>
              <w:t>NNE</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7B79D">
            <w:pPr>
              <w:pStyle w:val="45"/>
              <w:rPr>
                <w:rFonts w:hint="default"/>
              </w:rPr>
            </w:pPr>
            <w:r>
              <w:rPr>
                <w:rFonts w:hint="default"/>
              </w:rPr>
              <w:t>16.67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19DF7">
            <w:pPr>
              <w:pStyle w:val="45"/>
              <w:rPr>
                <w:rFonts w:hint="default"/>
              </w:rPr>
            </w:pPr>
            <w:r>
              <w:rPr>
                <w:rFonts w:hint="default"/>
              </w:rPr>
              <w:t>17.41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D83B6">
            <w:pPr>
              <w:pStyle w:val="45"/>
              <w:rPr>
                <w:rFonts w:hint="default"/>
              </w:rPr>
            </w:pPr>
            <w:r>
              <w:rPr>
                <w:rFonts w:hint="default"/>
              </w:rPr>
              <w:t>12.90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78F40">
            <w:pPr>
              <w:pStyle w:val="45"/>
              <w:rPr>
                <w:rFonts w:hint="default"/>
              </w:rPr>
            </w:pPr>
            <w:r>
              <w:rPr>
                <w:rFonts w:hint="default"/>
              </w:rPr>
              <w:t>11.67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21C1D">
            <w:pPr>
              <w:pStyle w:val="45"/>
              <w:rPr>
                <w:rFonts w:hint="default"/>
              </w:rPr>
            </w:pPr>
            <w:r>
              <w:rPr>
                <w:rFonts w:hint="default"/>
              </w:rPr>
              <w:t>13.44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AD1D07">
            <w:pPr>
              <w:pStyle w:val="45"/>
              <w:rPr>
                <w:rFonts w:hint="default"/>
              </w:rPr>
            </w:pPr>
            <w:r>
              <w:rPr>
                <w:rFonts w:hint="default"/>
              </w:rPr>
              <w:t>7.78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58DEDA">
            <w:pPr>
              <w:pStyle w:val="45"/>
              <w:rPr>
                <w:rFonts w:hint="default"/>
              </w:rPr>
            </w:pPr>
            <w:r>
              <w:rPr>
                <w:rFonts w:hint="default"/>
              </w:rPr>
              <w:t>5.24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B77CAA">
            <w:pPr>
              <w:pStyle w:val="45"/>
              <w:rPr>
                <w:rFonts w:hint="default"/>
              </w:rPr>
            </w:pPr>
            <w:r>
              <w:rPr>
                <w:rFonts w:hint="default"/>
              </w:rPr>
              <w:t>4.17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2A1438">
            <w:pPr>
              <w:pStyle w:val="45"/>
              <w:rPr>
                <w:rFonts w:hint="default"/>
              </w:rPr>
            </w:pPr>
            <w:r>
              <w:rPr>
                <w:rFonts w:hint="default"/>
              </w:rPr>
              <w:t>20.69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3BF3CC">
            <w:pPr>
              <w:pStyle w:val="45"/>
              <w:rPr>
                <w:rFonts w:hint="default"/>
              </w:rPr>
            </w:pPr>
            <w:r>
              <w:rPr>
                <w:rFonts w:hint="default"/>
              </w:rPr>
              <w:t>19.35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C940D">
            <w:pPr>
              <w:pStyle w:val="45"/>
              <w:rPr>
                <w:rFonts w:hint="default"/>
              </w:rPr>
            </w:pPr>
            <w:r>
              <w:rPr>
                <w:rFonts w:hint="default"/>
              </w:rPr>
              <w:t>14.72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2484C">
            <w:pPr>
              <w:pStyle w:val="45"/>
              <w:rPr>
                <w:rFonts w:hint="default"/>
              </w:rPr>
            </w:pPr>
            <w:r>
              <w:rPr>
                <w:rFonts w:hint="default"/>
              </w:rPr>
              <w:t>16.13</w:t>
            </w:r>
          </w:p>
        </w:tc>
      </w:tr>
      <w:tr w14:paraId="36A97B3A">
        <w:tblPrEx>
          <w:tblCellMar>
            <w:top w:w="0" w:type="dxa"/>
            <w:left w:w="108" w:type="dxa"/>
            <w:bottom w:w="0" w:type="dxa"/>
            <w:right w:w="108" w:type="dxa"/>
          </w:tblCellMar>
        </w:tblPrEx>
        <w:trPr>
          <w:trHeight w:val="2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01B8C0">
            <w:pPr>
              <w:pStyle w:val="45"/>
              <w:rPr>
                <w:rFonts w:hint="default"/>
              </w:rPr>
            </w:pPr>
            <w:r>
              <w:rPr>
                <w:rFonts w:hint="default"/>
              </w:rPr>
              <w:t>NE</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C0FF7">
            <w:pPr>
              <w:pStyle w:val="45"/>
              <w:rPr>
                <w:rFonts w:hint="default"/>
              </w:rPr>
            </w:pPr>
            <w:r>
              <w:rPr>
                <w:rFonts w:hint="default"/>
              </w:rPr>
              <w:t>24.87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5D6D1">
            <w:pPr>
              <w:pStyle w:val="45"/>
              <w:rPr>
                <w:rFonts w:hint="default"/>
              </w:rPr>
            </w:pPr>
            <w:r>
              <w:rPr>
                <w:rFonts w:hint="default"/>
              </w:rPr>
              <w:t>16.52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49E15">
            <w:pPr>
              <w:pStyle w:val="45"/>
              <w:rPr>
                <w:rFonts w:hint="default"/>
              </w:rPr>
            </w:pPr>
            <w:r>
              <w:rPr>
                <w:rFonts w:hint="default"/>
              </w:rPr>
              <w:t>19.89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F40B9">
            <w:pPr>
              <w:pStyle w:val="45"/>
              <w:rPr>
                <w:rFonts w:hint="default"/>
              </w:rPr>
            </w:pPr>
            <w:r>
              <w:rPr>
                <w:rFonts w:hint="default"/>
              </w:rPr>
              <w:t>14.31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A239F">
            <w:pPr>
              <w:pStyle w:val="45"/>
              <w:rPr>
                <w:rFonts w:hint="default"/>
              </w:rPr>
            </w:pPr>
            <w:r>
              <w:rPr>
                <w:rFonts w:hint="default"/>
              </w:rPr>
              <w:t>13.58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07872">
            <w:pPr>
              <w:pStyle w:val="45"/>
              <w:rPr>
                <w:rFonts w:hint="default"/>
              </w:rPr>
            </w:pPr>
            <w:r>
              <w:rPr>
                <w:rFonts w:hint="default"/>
              </w:rPr>
              <w:t>10.97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CE357">
            <w:pPr>
              <w:pStyle w:val="45"/>
              <w:rPr>
                <w:rFonts w:hint="default"/>
              </w:rPr>
            </w:pPr>
            <w:r>
              <w:rPr>
                <w:rFonts w:hint="default"/>
              </w:rPr>
              <w:t>13.04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3E657">
            <w:pPr>
              <w:pStyle w:val="45"/>
              <w:rPr>
                <w:rFonts w:hint="default"/>
              </w:rPr>
            </w:pPr>
            <w:r>
              <w:rPr>
                <w:rFonts w:hint="default"/>
              </w:rPr>
              <w:t>10.48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C5837">
            <w:pPr>
              <w:pStyle w:val="45"/>
              <w:rPr>
                <w:rFonts w:hint="default"/>
              </w:rPr>
            </w:pPr>
            <w:r>
              <w:rPr>
                <w:rFonts w:hint="default"/>
              </w:rPr>
              <w:t>34.72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ADAED4">
            <w:pPr>
              <w:pStyle w:val="45"/>
              <w:rPr>
                <w:rFonts w:hint="default"/>
              </w:rPr>
            </w:pPr>
            <w:r>
              <w:rPr>
                <w:rFonts w:hint="default"/>
              </w:rPr>
              <w:t>25.40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F8B4A">
            <w:pPr>
              <w:pStyle w:val="45"/>
              <w:rPr>
                <w:rFonts w:hint="default"/>
              </w:rPr>
            </w:pPr>
            <w:r>
              <w:rPr>
                <w:rFonts w:hint="default"/>
              </w:rPr>
              <w:t>30.83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FB2C0">
            <w:pPr>
              <w:pStyle w:val="45"/>
              <w:rPr>
                <w:rFonts w:hint="default"/>
              </w:rPr>
            </w:pPr>
            <w:r>
              <w:rPr>
                <w:rFonts w:hint="default"/>
              </w:rPr>
              <w:t>19.62</w:t>
            </w:r>
          </w:p>
        </w:tc>
      </w:tr>
      <w:tr w14:paraId="314A5F41">
        <w:tblPrEx>
          <w:tblCellMar>
            <w:top w:w="0" w:type="dxa"/>
            <w:left w:w="108" w:type="dxa"/>
            <w:bottom w:w="0" w:type="dxa"/>
            <w:right w:w="108" w:type="dxa"/>
          </w:tblCellMar>
        </w:tblPrEx>
        <w:trPr>
          <w:trHeight w:val="2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671390">
            <w:pPr>
              <w:pStyle w:val="45"/>
              <w:rPr>
                <w:rFonts w:hint="default"/>
              </w:rPr>
            </w:pPr>
            <w:r>
              <w:rPr>
                <w:rFonts w:hint="default"/>
              </w:rPr>
              <w:t>ENE</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D9FAF">
            <w:pPr>
              <w:pStyle w:val="45"/>
              <w:rPr>
                <w:rFonts w:hint="default"/>
              </w:rPr>
            </w:pPr>
            <w:r>
              <w:rPr>
                <w:rFonts w:hint="default"/>
              </w:rPr>
              <w:t>5.78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95A333">
            <w:pPr>
              <w:pStyle w:val="45"/>
              <w:rPr>
                <w:rFonts w:hint="default"/>
              </w:rPr>
            </w:pPr>
            <w:r>
              <w:rPr>
                <w:rFonts w:hint="default"/>
              </w:rPr>
              <w:t>3.27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8D0B3C">
            <w:pPr>
              <w:pStyle w:val="45"/>
              <w:rPr>
                <w:rFonts w:hint="default"/>
              </w:rPr>
            </w:pPr>
            <w:r>
              <w:rPr>
                <w:rFonts w:hint="default"/>
              </w:rPr>
              <w:t>5.78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EB3A7">
            <w:pPr>
              <w:pStyle w:val="45"/>
              <w:rPr>
                <w:rFonts w:hint="default"/>
              </w:rPr>
            </w:pPr>
            <w:r>
              <w:rPr>
                <w:rFonts w:hint="default"/>
              </w:rPr>
              <w:t>4.86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C4360">
            <w:pPr>
              <w:pStyle w:val="45"/>
              <w:rPr>
                <w:rFonts w:hint="default"/>
              </w:rPr>
            </w:pPr>
            <w:r>
              <w:rPr>
                <w:rFonts w:hint="default"/>
              </w:rPr>
              <w:t>3.90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4ACC6">
            <w:pPr>
              <w:pStyle w:val="45"/>
              <w:rPr>
                <w:rFonts w:hint="default"/>
              </w:rPr>
            </w:pPr>
            <w:r>
              <w:rPr>
                <w:rFonts w:hint="default"/>
              </w:rPr>
              <w:t>2.64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BF9C7">
            <w:pPr>
              <w:pStyle w:val="45"/>
              <w:rPr>
                <w:rFonts w:hint="default"/>
              </w:rPr>
            </w:pPr>
            <w:r>
              <w:rPr>
                <w:rFonts w:hint="default"/>
              </w:rPr>
              <w:t>2.02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B1B08">
            <w:pPr>
              <w:pStyle w:val="45"/>
              <w:rPr>
                <w:rFonts w:hint="default"/>
              </w:rPr>
            </w:pPr>
            <w:r>
              <w:rPr>
                <w:rFonts w:hint="default"/>
              </w:rPr>
              <w:t>2.55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F6349">
            <w:pPr>
              <w:pStyle w:val="45"/>
              <w:rPr>
                <w:rFonts w:hint="default"/>
              </w:rPr>
            </w:pPr>
            <w:r>
              <w:rPr>
                <w:rFonts w:hint="default"/>
              </w:rPr>
              <w:t>4.17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B557D5">
            <w:pPr>
              <w:pStyle w:val="45"/>
              <w:rPr>
                <w:rFonts w:hint="default"/>
              </w:rPr>
            </w:pPr>
            <w:r>
              <w:rPr>
                <w:rFonts w:hint="default"/>
              </w:rPr>
              <w:t>4.03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D3532">
            <w:pPr>
              <w:pStyle w:val="45"/>
              <w:rPr>
                <w:rFonts w:hint="default"/>
              </w:rPr>
            </w:pPr>
            <w:r>
              <w:rPr>
                <w:rFonts w:hint="default"/>
              </w:rPr>
              <w:t>3.75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C16DA">
            <w:pPr>
              <w:pStyle w:val="45"/>
              <w:rPr>
                <w:rFonts w:hint="default"/>
              </w:rPr>
            </w:pPr>
            <w:r>
              <w:rPr>
                <w:rFonts w:hint="default"/>
              </w:rPr>
              <w:t>2.69</w:t>
            </w:r>
          </w:p>
        </w:tc>
      </w:tr>
      <w:tr w14:paraId="0F5E1F35">
        <w:tblPrEx>
          <w:tblCellMar>
            <w:top w:w="0" w:type="dxa"/>
            <w:left w:w="108" w:type="dxa"/>
            <w:bottom w:w="0" w:type="dxa"/>
            <w:right w:w="108" w:type="dxa"/>
          </w:tblCellMar>
        </w:tblPrEx>
        <w:trPr>
          <w:trHeight w:val="2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5AAA6">
            <w:pPr>
              <w:pStyle w:val="45"/>
              <w:rPr>
                <w:rFonts w:hint="default"/>
              </w:rPr>
            </w:pPr>
            <w:r>
              <w:rPr>
                <w:rFonts w:hint="default"/>
              </w:rPr>
              <w:t>E</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B6D18">
            <w:pPr>
              <w:pStyle w:val="45"/>
              <w:rPr>
                <w:rFonts w:hint="default"/>
              </w:rPr>
            </w:pPr>
            <w:r>
              <w:rPr>
                <w:rFonts w:hint="default"/>
              </w:rPr>
              <w:t>1.08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9741D">
            <w:pPr>
              <w:pStyle w:val="45"/>
              <w:rPr>
                <w:rFonts w:hint="default"/>
              </w:rPr>
            </w:pPr>
            <w:r>
              <w:rPr>
                <w:rFonts w:hint="default"/>
              </w:rPr>
              <w:t>1.93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ED447">
            <w:pPr>
              <w:pStyle w:val="45"/>
              <w:rPr>
                <w:rFonts w:hint="default"/>
              </w:rPr>
            </w:pPr>
            <w:r>
              <w:rPr>
                <w:rFonts w:hint="default"/>
              </w:rPr>
              <w:t>3.49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3A5079">
            <w:pPr>
              <w:pStyle w:val="45"/>
              <w:rPr>
                <w:rFonts w:hint="default"/>
              </w:rPr>
            </w:pPr>
            <w:r>
              <w:rPr>
                <w:rFonts w:hint="default"/>
              </w:rPr>
              <w:t>3.06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35E05">
            <w:pPr>
              <w:pStyle w:val="45"/>
              <w:rPr>
                <w:rFonts w:hint="default"/>
              </w:rPr>
            </w:pPr>
            <w:r>
              <w:rPr>
                <w:rFonts w:hint="default"/>
              </w:rPr>
              <w:t>2.28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95F27">
            <w:pPr>
              <w:pStyle w:val="45"/>
              <w:rPr>
                <w:rFonts w:hint="default"/>
              </w:rPr>
            </w:pPr>
            <w:r>
              <w:rPr>
                <w:rFonts w:hint="default"/>
              </w:rPr>
              <w:t>1.25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EC80D">
            <w:pPr>
              <w:pStyle w:val="45"/>
              <w:rPr>
                <w:rFonts w:hint="default"/>
              </w:rPr>
            </w:pPr>
            <w:r>
              <w:rPr>
                <w:rFonts w:hint="default"/>
              </w:rPr>
              <w:t>1.48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CAEC4">
            <w:pPr>
              <w:pStyle w:val="45"/>
              <w:rPr>
                <w:rFonts w:hint="default"/>
              </w:rPr>
            </w:pPr>
            <w:r>
              <w:rPr>
                <w:rFonts w:hint="default"/>
              </w:rPr>
              <w:t>3.36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153D2">
            <w:pPr>
              <w:pStyle w:val="45"/>
              <w:rPr>
                <w:rFonts w:hint="default"/>
              </w:rPr>
            </w:pPr>
            <w:r>
              <w:rPr>
                <w:rFonts w:hint="default"/>
              </w:rPr>
              <w:t>1.94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21E39">
            <w:pPr>
              <w:pStyle w:val="45"/>
              <w:rPr>
                <w:rFonts w:hint="default"/>
              </w:rPr>
            </w:pPr>
            <w:r>
              <w:rPr>
                <w:rFonts w:hint="default"/>
              </w:rPr>
              <w:t>0.94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430647">
            <w:pPr>
              <w:pStyle w:val="45"/>
              <w:rPr>
                <w:rFonts w:hint="default"/>
              </w:rPr>
            </w:pPr>
            <w:r>
              <w:rPr>
                <w:rFonts w:hint="default"/>
              </w:rPr>
              <w:t>2.36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19CE3">
            <w:pPr>
              <w:pStyle w:val="45"/>
              <w:rPr>
                <w:rFonts w:hint="default"/>
              </w:rPr>
            </w:pPr>
            <w:r>
              <w:rPr>
                <w:rFonts w:hint="default"/>
              </w:rPr>
              <w:t>1.08</w:t>
            </w:r>
          </w:p>
        </w:tc>
      </w:tr>
      <w:tr w14:paraId="58228A5E">
        <w:tblPrEx>
          <w:tblCellMar>
            <w:top w:w="0" w:type="dxa"/>
            <w:left w:w="108" w:type="dxa"/>
            <w:bottom w:w="0" w:type="dxa"/>
            <w:right w:w="108" w:type="dxa"/>
          </w:tblCellMar>
        </w:tblPrEx>
        <w:trPr>
          <w:trHeight w:val="2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FC72A">
            <w:pPr>
              <w:pStyle w:val="45"/>
              <w:rPr>
                <w:rFonts w:hint="default"/>
              </w:rPr>
            </w:pPr>
            <w:r>
              <w:rPr>
                <w:rFonts w:hint="default"/>
              </w:rPr>
              <w:t>ESE</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F7FF6">
            <w:pPr>
              <w:pStyle w:val="45"/>
              <w:rPr>
                <w:rFonts w:hint="default"/>
              </w:rPr>
            </w:pPr>
            <w:r>
              <w:rPr>
                <w:rFonts w:hint="default"/>
              </w:rPr>
              <w:t>0.81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0BD59">
            <w:pPr>
              <w:pStyle w:val="45"/>
              <w:rPr>
                <w:rFonts w:hint="default"/>
              </w:rPr>
            </w:pPr>
            <w:r>
              <w:rPr>
                <w:rFonts w:hint="default"/>
              </w:rPr>
              <w:t>0.15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A50BA">
            <w:pPr>
              <w:pStyle w:val="45"/>
              <w:rPr>
                <w:rFonts w:hint="default"/>
              </w:rPr>
            </w:pPr>
            <w:r>
              <w:rPr>
                <w:rFonts w:hint="default"/>
              </w:rPr>
              <w:t>3.49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9A7277">
            <w:pPr>
              <w:pStyle w:val="45"/>
              <w:rPr>
                <w:rFonts w:hint="default"/>
              </w:rPr>
            </w:pPr>
            <w:r>
              <w:rPr>
                <w:rFonts w:hint="default"/>
              </w:rPr>
              <w:t>2.22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4172B8">
            <w:pPr>
              <w:pStyle w:val="45"/>
              <w:rPr>
                <w:rFonts w:hint="default"/>
              </w:rPr>
            </w:pPr>
            <w:r>
              <w:rPr>
                <w:rFonts w:hint="default"/>
              </w:rPr>
              <w:t>3.09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1C992">
            <w:pPr>
              <w:pStyle w:val="45"/>
              <w:rPr>
                <w:rFonts w:hint="default"/>
              </w:rPr>
            </w:pPr>
            <w:r>
              <w:rPr>
                <w:rFonts w:hint="default"/>
              </w:rPr>
              <w:t>2.78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E1D78">
            <w:pPr>
              <w:pStyle w:val="45"/>
              <w:rPr>
                <w:rFonts w:hint="default"/>
              </w:rPr>
            </w:pPr>
            <w:r>
              <w:rPr>
                <w:rFonts w:hint="default"/>
              </w:rPr>
              <w:t>2.02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3384B">
            <w:pPr>
              <w:pStyle w:val="45"/>
              <w:rPr>
                <w:rFonts w:hint="default"/>
              </w:rPr>
            </w:pPr>
            <w:r>
              <w:rPr>
                <w:rFonts w:hint="default"/>
              </w:rPr>
              <w:t>6.85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676E5">
            <w:pPr>
              <w:pStyle w:val="45"/>
              <w:rPr>
                <w:rFonts w:hint="default"/>
              </w:rPr>
            </w:pPr>
            <w:r>
              <w:rPr>
                <w:rFonts w:hint="default"/>
              </w:rPr>
              <w:t>0.42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38027">
            <w:pPr>
              <w:pStyle w:val="45"/>
              <w:rPr>
                <w:rFonts w:hint="default"/>
              </w:rPr>
            </w:pPr>
            <w:r>
              <w:rPr>
                <w:rFonts w:hint="default"/>
              </w:rPr>
              <w:t>0.67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E0001C">
            <w:pPr>
              <w:pStyle w:val="45"/>
              <w:rPr>
                <w:rFonts w:hint="default"/>
              </w:rPr>
            </w:pPr>
            <w:r>
              <w:rPr>
                <w:rFonts w:hint="default"/>
              </w:rPr>
              <w:t>1.81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97A45">
            <w:pPr>
              <w:pStyle w:val="45"/>
              <w:rPr>
                <w:rFonts w:hint="default"/>
              </w:rPr>
            </w:pPr>
            <w:r>
              <w:rPr>
                <w:rFonts w:hint="default"/>
              </w:rPr>
              <w:t>1.48</w:t>
            </w:r>
          </w:p>
        </w:tc>
      </w:tr>
      <w:tr w14:paraId="3B0B3D47">
        <w:tblPrEx>
          <w:tblCellMar>
            <w:top w:w="0" w:type="dxa"/>
            <w:left w:w="108" w:type="dxa"/>
            <w:bottom w:w="0" w:type="dxa"/>
            <w:right w:w="108" w:type="dxa"/>
          </w:tblCellMar>
        </w:tblPrEx>
        <w:trPr>
          <w:trHeight w:val="2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0F5F6">
            <w:pPr>
              <w:pStyle w:val="45"/>
              <w:rPr>
                <w:rFonts w:hint="default"/>
              </w:rPr>
            </w:pPr>
            <w:r>
              <w:rPr>
                <w:rFonts w:hint="default"/>
              </w:rPr>
              <w:t>SE</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F9CDC5">
            <w:pPr>
              <w:pStyle w:val="45"/>
              <w:rPr>
                <w:rFonts w:hint="default"/>
              </w:rPr>
            </w:pPr>
            <w:r>
              <w:rPr>
                <w:rFonts w:hint="default"/>
              </w:rPr>
              <w:t>0.27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CEE30">
            <w:pPr>
              <w:pStyle w:val="45"/>
              <w:rPr>
                <w:rFonts w:hint="default"/>
              </w:rPr>
            </w:pPr>
            <w:r>
              <w:rPr>
                <w:rFonts w:hint="default"/>
              </w:rPr>
              <w:t>0.60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117D1">
            <w:pPr>
              <w:pStyle w:val="45"/>
              <w:rPr>
                <w:rFonts w:hint="default"/>
              </w:rPr>
            </w:pPr>
            <w:r>
              <w:rPr>
                <w:rFonts w:hint="default"/>
              </w:rPr>
              <w:t>3.76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39C08">
            <w:pPr>
              <w:pStyle w:val="45"/>
              <w:rPr>
                <w:rFonts w:hint="default"/>
              </w:rPr>
            </w:pPr>
            <w:r>
              <w:rPr>
                <w:rFonts w:hint="default"/>
              </w:rPr>
              <w:t>4.17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7AD873">
            <w:pPr>
              <w:pStyle w:val="45"/>
              <w:rPr>
                <w:rFonts w:hint="default"/>
              </w:rPr>
            </w:pPr>
            <w:r>
              <w:rPr>
                <w:rFonts w:hint="default"/>
              </w:rPr>
              <w:t>2.82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23416">
            <w:pPr>
              <w:pStyle w:val="45"/>
              <w:rPr>
                <w:rFonts w:hint="default"/>
              </w:rPr>
            </w:pPr>
            <w:r>
              <w:rPr>
                <w:rFonts w:hint="default"/>
              </w:rPr>
              <w:t>4.44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C3E76">
            <w:pPr>
              <w:pStyle w:val="45"/>
              <w:rPr>
                <w:rFonts w:hint="default"/>
              </w:rPr>
            </w:pPr>
            <w:r>
              <w:rPr>
                <w:rFonts w:hint="default"/>
              </w:rPr>
              <w:t>3.23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BE578">
            <w:pPr>
              <w:pStyle w:val="45"/>
              <w:rPr>
                <w:rFonts w:hint="default"/>
              </w:rPr>
            </w:pPr>
            <w:r>
              <w:rPr>
                <w:rFonts w:hint="default"/>
              </w:rPr>
              <w:t>7.66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E39FE5">
            <w:pPr>
              <w:pStyle w:val="45"/>
              <w:rPr>
                <w:rFonts w:hint="default"/>
              </w:rPr>
            </w:pPr>
            <w:r>
              <w:rPr>
                <w:rFonts w:hint="default"/>
              </w:rPr>
              <w:t>0.69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9C90FD">
            <w:pPr>
              <w:pStyle w:val="45"/>
              <w:rPr>
                <w:rFonts w:hint="default"/>
              </w:rPr>
            </w:pPr>
            <w:r>
              <w:rPr>
                <w:rFonts w:hint="default"/>
              </w:rPr>
              <w:t>0.54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E1788">
            <w:pPr>
              <w:pStyle w:val="45"/>
              <w:rPr>
                <w:rFonts w:hint="default"/>
              </w:rPr>
            </w:pPr>
            <w:r>
              <w:rPr>
                <w:rFonts w:hint="default"/>
              </w:rPr>
              <w:t>3.33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24CA1">
            <w:pPr>
              <w:pStyle w:val="45"/>
              <w:rPr>
                <w:rFonts w:hint="default"/>
              </w:rPr>
            </w:pPr>
            <w:r>
              <w:rPr>
                <w:rFonts w:hint="default"/>
              </w:rPr>
              <w:t>0.00</w:t>
            </w:r>
          </w:p>
        </w:tc>
      </w:tr>
      <w:tr w14:paraId="15843EF6">
        <w:tblPrEx>
          <w:tblCellMar>
            <w:top w:w="0" w:type="dxa"/>
            <w:left w:w="108" w:type="dxa"/>
            <w:bottom w:w="0" w:type="dxa"/>
            <w:right w:w="108" w:type="dxa"/>
          </w:tblCellMar>
        </w:tblPrEx>
        <w:trPr>
          <w:trHeight w:val="2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1F513">
            <w:pPr>
              <w:pStyle w:val="45"/>
              <w:rPr>
                <w:rFonts w:hint="default"/>
              </w:rPr>
            </w:pPr>
            <w:r>
              <w:rPr>
                <w:rFonts w:hint="default"/>
              </w:rPr>
              <w:t>SSE</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FE45F">
            <w:pPr>
              <w:pStyle w:val="45"/>
              <w:rPr>
                <w:rFonts w:hint="default"/>
              </w:rPr>
            </w:pPr>
            <w:r>
              <w:rPr>
                <w:rFonts w:hint="default"/>
              </w:rPr>
              <w:t>1.21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1C88A">
            <w:pPr>
              <w:pStyle w:val="45"/>
              <w:rPr>
                <w:rFonts w:hint="default"/>
              </w:rPr>
            </w:pPr>
            <w:r>
              <w:rPr>
                <w:rFonts w:hint="default"/>
              </w:rPr>
              <w:t>0.60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5E3087">
            <w:pPr>
              <w:pStyle w:val="45"/>
              <w:rPr>
                <w:rFonts w:hint="default"/>
              </w:rPr>
            </w:pPr>
            <w:r>
              <w:rPr>
                <w:rFonts w:hint="default"/>
              </w:rPr>
              <w:t>4.57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60DF5">
            <w:pPr>
              <w:pStyle w:val="45"/>
              <w:rPr>
                <w:rFonts w:hint="default"/>
              </w:rPr>
            </w:pPr>
            <w:r>
              <w:rPr>
                <w:rFonts w:hint="default"/>
              </w:rPr>
              <w:t>7.08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6AC85">
            <w:pPr>
              <w:pStyle w:val="45"/>
              <w:rPr>
                <w:rFonts w:hint="default"/>
              </w:rPr>
            </w:pPr>
            <w:r>
              <w:rPr>
                <w:rFonts w:hint="default"/>
              </w:rPr>
              <w:t>5.65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7180E0">
            <w:pPr>
              <w:pStyle w:val="45"/>
              <w:rPr>
                <w:rFonts w:hint="default"/>
              </w:rPr>
            </w:pPr>
            <w:r>
              <w:rPr>
                <w:rFonts w:hint="default"/>
              </w:rPr>
              <w:t>14.31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0929E">
            <w:pPr>
              <w:pStyle w:val="45"/>
              <w:rPr>
                <w:rFonts w:hint="default"/>
              </w:rPr>
            </w:pPr>
            <w:r>
              <w:rPr>
                <w:rFonts w:hint="default"/>
              </w:rPr>
              <w:t>8.20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81C70">
            <w:pPr>
              <w:pStyle w:val="45"/>
              <w:rPr>
                <w:rFonts w:hint="default"/>
              </w:rPr>
            </w:pPr>
            <w:r>
              <w:rPr>
                <w:rFonts w:hint="default"/>
              </w:rPr>
              <w:t>16.40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D9E51">
            <w:pPr>
              <w:pStyle w:val="45"/>
              <w:rPr>
                <w:rFonts w:hint="default"/>
              </w:rPr>
            </w:pPr>
            <w:r>
              <w:rPr>
                <w:rFonts w:hint="default"/>
              </w:rPr>
              <w:t>1.11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D7ED7">
            <w:pPr>
              <w:pStyle w:val="45"/>
              <w:rPr>
                <w:rFonts w:hint="default"/>
              </w:rPr>
            </w:pPr>
            <w:r>
              <w:rPr>
                <w:rFonts w:hint="default"/>
              </w:rPr>
              <w:t>1.61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C208A">
            <w:pPr>
              <w:pStyle w:val="45"/>
              <w:rPr>
                <w:rFonts w:hint="default"/>
              </w:rPr>
            </w:pPr>
            <w:r>
              <w:rPr>
                <w:rFonts w:hint="default"/>
              </w:rPr>
              <w:t>3.75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04A62">
            <w:pPr>
              <w:pStyle w:val="45"/>
              <w:rPr>
                <w:rFonts w:hint="default"/>
              </w:rPr>
            </w:pPr>
            <w:r>
              <w:rPr>
                <w:rFonts w:hint="default"/>
              </w:rPr>
              <w:t>1.21</w:t>
            </w:r>
          </w:p>
        </w:tc>
      </w:tr>
      <w:tr w14:paraId="0919104E">
        <w:tblPrEx>
          <w:tblCellMar>
            <w:top w:w="0" w:type="dxa"/>
            <w:left w:w="108" w:type="dxa"/>
            <w:bottom w:w="0" w:type="dxa"/>
            <w:right w:w="108" w:type="dxa"/>
          </w:tblCellMar>
        </w:tblPrEx>
        <w:trPr>
          <w:trHeight w:val="2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AED42">
            <w:pPr>
              <w:pStyle w:val="45"/>
              <w:rPr>
                <w:rFonts w:hint="default"/>
              </w:rPr>
            </w:pPr>
            <w:r>
              <w:rPr>
                <w:rFonts w:hint="default"/>
              </w:rPr>
              <w:t>S</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595427">
            <w:pPr>
              <w:pStyle w:val="45"/>
              <w:rPr>
                <w:rFonts w:hint="default"/>
              </w:rPr>
            </w:pPr>
            <w:r>
              <w:rPr>
                <w:rFonts w:hint="default"/>
              </w:rPr>
              <w:t>1.34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C6B40">
            <w:pPr>
              <w:pStyle w:val="45"/>
              <w:rPr>
                <w:rFonts w:hint="default"/>
              </w:rPr>
            </w:pPr>
            <w:r>
              <w:rPr>
                <w:rFonts w:hint="default"/>
              </w:rPr>
              <w:t>1.04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4EC049">
            <w:pPr>
              <w:pStyle w:val="45"/>
              <w:rPr>
                <w:rFonts w:hint="default"/>
              </w:rPr>
            </w:pPr>
            <w:r>
              <w:rPr>
                <w:rFonts w:hint="default"/>
              </w:rPr>
              <w:t>6.45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1F6DC7">
            <w:pPr>
              <w:pStyle w:val="45"/>
              <w:rPr>
                <w:rFonts w:hint="default"/>
              </w:rPr>
            </w:pPr>
            <w:r>
              <w:rPr>
                <w:rFonts w:hint="default"/>
              </w:rPr>
              <w:t>9.17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AE6CB">
            <w:pPr>
              <w:pStyle w:val="45"/>
              <w:rPr>
                <w:rFonts w:hint="default"/>
              </w:rPr>
            </w:pPr>
            <w:r>
              <w:rPr>
                <w:rFonts w:hint="default"/>
              </w:rPr>
              <w:t>6.85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C658C">
            <w:pPr>
              <w:pStyle w:val="45"/>
              <w:rPr>
                <w:rFonts w:hint="default"/>
              </w:rPr>
            </w:pPr>
            <w:r>
              <w:rPr>
                <w:rFonts w:hint="default"/>
              </w:rPr>
              <w:t>24.03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7221C">
            <w:pPr>
              <w:pStyle w:val="45"/>
              <w:rPr>
                <w:rFonts w:hint="default"/>
              </w:rPr>
            </w:pPr>
            <w:r>
              <w:rPr>
                <w:rFonts w:hint="default"/>
              </w:rPr>
              <w:t>27.28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F0830">
            <w:pPr>
              <w:pStyle w:val="45"/>
              <w:rPr>
                <w:rFonts w:hint="default"/>
              </w:rPr>
            </w:pPr>
            <w:r>
              <w:rPr>
                <w:rFonts w:hint="default"/>
              </w:rPr>
              <w:t>23.66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2703E">
            <w:pPr>
              <w:pStyle w:val="45"/>
              <w:rPr>
                <w:rFonts w:hint="default"/>
              </w:rPr>
            </w:pPr>
            <w:r>
              <w:rPr>
                <w:rFonts w:hint="default"/>
              </w:rPr>
              <w:t>1.81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26769">
            <w:pPr>
              <w:pStyle w:val="45"/>
              <w:rPr>
                <w:rFonts w:hint="default"/>
              </w:rPr>
            </w:pPr>
            <w:r>
              <w:rPr>
                <w:rFonts w:hint="default"/>
              </w:rPr>
              <w:t>5.24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33EAD">
            <w:pPr>
              <w:pStyle w:val="45"/>
              <w:rPr>
                <w:rFonts w:hint="default"/>
              </w:rPr>
            </w:pPr>
            <w:r>
              <w:rPr>
                <w:rFonts w:hint="default"/>
              </w:rPr>
              <w:t>5.56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D179F9">
            <w:pPr>
              <w:pStyle w:val="45"/>
              <w:rPr>
                <w:rFonts w:hint="default"/>
              </w:rPr>
            </w:pPr>
            <w:r>
              <w:rPr>
                <w:rFonts w:hint="default"/>
              </w:rPr>
              <w:t>1.61</w:t>
            </w:r>
          </w:p>
        </w:tc>
      </w:tr>
      <w:tr w14:paraId="26A91A4D">
        <w:tblPrEx>
          <w:tblCellMar>
            <w:top w:w="0" w:type="dxa"/>
            <w:left w:w="108" w:type="dxa"/>
            <w:bottom w:w="0" w:type="dxa"/>
            <w:right w:w="108" w:type="dxa"/>
          </w:tblCellMar>
        </w:tblPrEx>
        <w:trPr>
          <w:trHeight w:val="2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940A7">
            <w:pPr>
              <w:pStyle w:val="45"/>
              <w:rPr>
                <w:rFonts w:hint="default"/>
              </w:rPr>
            </w:pPr>
            <w:r>
              <w:rPr>
                <w:rFonts w:hint="default"/>
              </w:rPr>
              <w:t>SSW</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B0A63">
            <w:pPr>
              <w:pStyle w:val="45"/>
              <w:rPr>
                <w:rFonts w:hint="default"/>
              </w:rPr>
            </w:pPr>
            <w:r>
              <w:rPr>
                <w:rFonts w:hint="default"/>
              </w:rPr>
              <w:t>1.88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9C8D19">
            <w:pPr>
              <w:pStyle w:val="45"/>
              <w:rPr>
                <w:rFonts w:hint="default"/>
              </w:rPr>
            </w:pPr>
            <w:r>
              <w:rPr>
                <w:rFonts w:hint="default"/>
              </w:rPr>
              <w:t>0.89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09091">
            <w:pPr>
              <w:pStyle w:val="45"/>
              <w:rPr>
                <w:rFonts w:hint="default"/>
              </w:rPr>
            </w:pPr>
            <w:r>
              <w:rPr>
                <w:rFonts w:hint="default"/>
              </w:rPr>
              <w:t>3.23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7DF25">
            <w:pPr>
              <w:pStyle w:val="45"/>
              <w:rPr>
                <w:rFonts w:hint="default"/>
              </w:rPr>
            </w:pPr>
            <w:r>
              <w:rPr>
                <w:rFonts w:hint="default"/>
              </w:rPr>
              <w:t>6.11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D2757A">
            <w:pPr>
              <w:pStyle w:val="45"/>
              <w:rPr>
                <w:rFonts w:hint="default"/>
              </w:rPr>
            </w:pPr>
            <w:r>
              <w:rPr>
                <w:rFonts w:hint="default"/>
              </w:rPr>
              <w:t>4.70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46BC33">
            <w:pPr>
              <w:pStyle w:val="45"/>
              <w:rPr>
                <w:rFonts w:hint="default"/>
              </w:rPr>
            </w:pPr>
            <w:r>
              <w:rPr>
                <w:rFonts w:hint="default"/>
              </w:rPr>
              <w:t>10.69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7A0365">
            <w:pPr>
              <w:pStyle w:val="45"/>
              <w:rPr>
                <w:rFonts w:hint="default"/>
              </w:rPr>
            </w:pPr>
            <w:r>
              <w:rPr>
                <w:rFonts w:hint="default"/>
              </w:rPr>
              <w:t>16.13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535CA">
            <w:pPr>
              <w:pStyle w:val="45"/>
              <w:rPr>
                <w:rFonts w:hint="default"/>
              </w:rPr>
            </w:pPr>
            <w:r>
              <w:rPr>
                <w:rFonts w:hint="default"/>
              </w:rPr>
              <w:t>11.16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8D33A">
            <w:pPr>
              <w:pStyle w:val="45"/>
              <w:rPr>
                <w:rFonts w:hint="default"/>
              </w:rPr>
            </w:pPr>
            <w:r>
              <w:rPr>
                <w:rFonts w:hint="default"/>
              </w:rPr>
              <w:t>0.97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2E5535">
            <w:pPr>
              <w:pStyle w:val="45"/>
              <w:rPr>
                <w:rFonts w:hint="default"/>
              </w:rPr>
            </w:pPr>
            <w:r>
              <w:rPr>
                <w:rFonts w:hint="default"/>
              </w:rPr>
              <w:t>2.42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53D44">
            <w:pPr>
              <w:pStyle w:val="45"/>
              <w:rPr>
                <w:rFonts w:hint="default"/>
              </w:rPr>
            </w:pPr>
            <w:r>
              <w:rPr>
                <w:rFonts w:hint="default"/>
              </w:rPr>
              <w:t>3.06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2EE9C">
            <w:pPr>
              <w:pStyle w:val="45"/>
              <w:rPr>
                <w:rFonts w:hint="default"/>
              </w:rPr>
            </w:pPr>
            <w:r>
              <w:rPr>
                <w:rFonts w:hint="default"/>
              </w:rPr>
              <w:t>2.28</w:t>
            </w:r>
          </w:p>
        </w:tc>
      </w:tr>
      <w:tr w14:paraId="482E5D67">
        <w:tblPrEx>
          <w:tblCellMar>
            <w:top w:w="0" w:type="dxa"/>
            <w:left w:w="108" w:type="dxa"/>
            <w:bottom w:w="0" w:type="dxa"/>
            <w:right w:w="108" w:type="dxa"/>
          </w:tblCellMar>
        </w:tblPrEx>
        <w:trPr>
          <w:trHeight w:val="2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C04FA">
            <w:pPr>
              <w:pStyle w:val="45"/>
              <w:rPr>
                <w:rFonts w:hint="default"/>
              </w:rPr>
            </w:pPr>
            <w:r>
              <w:rPr>
                <w:rFonts w:hint="default"/>
              </w:rPr>
              <w:t>SW</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49A2A">
            <w:pPr>
              <w:pStyle w:val="45"/>
              <w:rPr>
                <w:rFonts w:hint="default"/>
              </w:rPr>
            </w:pPr>
            <w:r>
              <w:rPr>
                <w:rFonts w:hint="default"/>
              </w:rPr>
              <w:t>1.21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FBB5EA">
            <w:pPr>
              <w:pStyle w:val="45"/>
              <w:rPr>
                <w:rFonts w:hint="default"/>
              </w:rPr>
            </w:pPr>
            <w:r>
              <w:rPr>
                <w:rFonts w:hint="default"/>
              </w:rPr>
              <w:t>0.89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904A1">
            <w:pPr>
              <w:pStyle w:val="45"/>
              <w:rPr>
                <w:rFonts w:hint="default"/>
              </w:rPr>
            </w:pPr>
            <w:r>
              <w:rPr>
                <w:rFonts w:hint="default"/>
              </w:rPr>
              <w:t>4.70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5388D0">
            <w:pPr>
              <w:pStyle w:val="45"/>
              <w:rPr>
                <w:rFonts w:hint="default"/>
              </w:rPr>
            </w:pPr>
            <w:r>
              <w:rPr>
                <w:rFonts w:hint="default"/>
              </w:rPr>
              <w:t>5.69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80D57">
            <w:pPr>
              <w:pStyle w:val="45"/>
              <w:rPr>
                <w:rFonts w:hint="default"/>
              </w:rPr>
            </w:pPr>
            <w:r>
              <w:rPr>
                <w:rFonts w:hint="default"/>
              </w:rPr>
              <w:t>3.23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31C3C">
            <w:pPr>
              <w:pStyle w:val="45"/>
              <w:rPr>
                <w:rFonts w:hint="default"/>
              </w:rPr>
            </w:pPr>
            <w:r>
              <w:rPr>
                <w:rFonts w:hint="default"/>
              </w:rPr>
              <w:t>5.28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444B6">
            <w:pPr>
              <w:pStyle w:val="45"/>
              <w:rPr>
                <w:rFonts w:hint="default"/>
              </w:rPr>
            </w:pPr>
            <w:r>
              <w:rPr>
                <w:rFonts w:hint="default"/>
              </w:rPr>
              <w:t>9.54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87D6F">
            <w:pPr>
              <w:pStyle w:val="45"/>
              <w:rPr>
                <w:rFonts w:hint="default"/>
              </w:rPr>
            </w:pPr>
            <w:r>
              <w:rPr>
                <w:rFonts w:hint="default"/>
              </w:rPr>
              <w:t>6.18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168A79">
            <w:pPr>
              <w:pStyle w:val="45"/>
              <w:rPr>
                <w:rFonts w:hint="default"/>
              </w:rPr>
            </w:pPr>
            <w:r>
              <w:rPr>
                <w:rFonts w:hint="default"/>
              </w:rPr>
              <w:t>0.97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B71DE">
            <w:pPr>
              <w:pStyle w:val="45"/>
              <w:rPr>
                <w:rFonts w:hint="default"/>
              </w:rPr>
            </w:pPr>
            <w:r>
              <w:rPr>
                <w:rFonts w:hint="default"/>
              </w:rPr>
              <w:t>2.42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C63B3">
            <w:pPr>
              <w:pStyle w:val="45"/>
              <w:rPr>
                <w:rFonts w:hint="default"/>
              </w:rPr>
            </w:pPr>
            <w:r>
              <w:rPr>
                <w:rFonts w:hint="default"/>
              </w:rPr>
              <w:t>1.67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700F8F">
            <w:pPr>
              <w:pStyle w:val="45"/>
              <w:rPr>
                <w:rFonts w:hint="default"/>
              </w:rPr>
            </w:pPr>
            <w:r>
              <w:rPr>
                <w:rFonts w:hint="default"/>
              </w:rPr>
              <w:t>1.61</w:t>
            </w:r>
          </w:p>
        </w:tc>
      </w:tr>
      <w:tr w14:paraId="6D2220B9">
        <w:tblPrEx>
          <w:tblCellMar>
            <w:top w:w="0" w:type="dxa"/>
            <w:left w:w="108" w:type="dxa"/>
            <w:bottom w:w="0" w:type="dxa"/>
            <w:right w:w="108" w:type="dxa"/>
          </w:tblCellMar>
        </w:tblPrEx>
        <w:trPr>
          <w:trHeight w:val="2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A355F">
            <w:pPr>
              <w:pStyle w:val="45"/>
              <w:rPr>
                <w:rFonts w:hint="default"/>
              </w:rPr>
            </w:pPr>
            <w:r>
              <w:rPr>
                <w:rFonts w:hint="default"/>
              </w:rPr>
              <w:t>WSW</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7B23DE">
            <w:pPr>
              <w:pStyle w:val="45"/>
              <w:rPr>
                <w:rFonts w:hint="default"/>
              </w:rPr>
            </w:pPr>
            <w:r>
              <w:rPr>
                <w:rFonts w:hint="default"/>
              </w:rPr>
              <w:t>1.88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456F0">
            <w:pPr>
              <w:pStyle w:val="45"/>
              <w:rPr>
                <w:rFonts w:hint="default"/>
              </w:rPr>
            </w:pPr>
            <w:r>
              <w:rPr>
                <w:rFonts w:hint="default"/>
              </w:rPr>
              <w:t>3.57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40C7B">
            <w:pPr>
              <w:pStyle w:val="45"/>
              <w:rPr>
                <w:rFonts w:hint="default"/>
              </w:rPr>
            </w:pPr>
            <w:r>
              <w:rPr>
                <w:rFonts w:hint="default"/>
              </w:rPr>
              <w:t>3.09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EFFA8">
            <w:pPr>
              <w:pStyle w:val="45"/>
              <w:rPr>
                <w:rFonts w:hint="default"/>
              </w:rPr>
            </w:pPr>
            <w:r>
              <w:rPr>
                <w:rFonts w:hint="default"/>
              </w:rPr>
              <w:t>2.50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3529F">
            <w:pPr>
              <w:pStyle w:val="45"/>
              <w:rPr>
                <w:rFonts w:hint="default"/>
              </w:rPr>
            </w:pPr>
            <w:r>
              <w:rPr>
                <w:rFonts w:hint="default"/>
              </w:rPr>
              <w:t>2.82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DE1DA">
            <w:pPr>
              <w:pStyle w:val="45"/>
              <w:rPr>
                <w:rFonts w:hint="default"/>
              </w:rPr>
            </w:pPr>
            <w:r>
              <w:rPr>
                <w:rFonts w:hint="default"/>
              </w:rPr>
              <w:t>3.33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C01ED">
            <w:pPr>
              <w:pStyle w:val="45"/>
              <w:rPr>
                <w:rFonts w:hint="default"/>
              </w:rPr>
            </w:pPr>
            <w:r>
              <w:rPr>
                <w:rFonts w:hint="default"/>
              </w:rPr>
              <w:t>5.11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655ED">
            <w:pPr>
              <w:pStyle w:val="45"/>
              <w:rPr>
                <w:rFonts w:hint="default"/>
              </w:rPr>
            </w:pPr>
            <w:r>
              <w:rPr>
                <w:rFonts w:hint="default"/>
              </w:rPr>
              <w:t>2.42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439F4">
            <w:pPr>
              <w:pStyle w:val="45"/>
              <w:rPr>
                <w:rFonts w:hint="default"/>
              </w:rPr>
            </w:pPr>
            <w:r>
              <w:rPr>
                <w:rFonts w:hint="default"/>
              </w:rPr>
              <w:t>0.97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97AC64">
            <w:pPr>
              <w:pStyle w:val="45"/>
              <w:rPr>
                <w:rFonts w:hint="default"/>
              </w:rPr>
            </w:pPr>
            <w:r>
              <w:rPr>
                <w:rFonts w:hint="default"/>
              </w:rPr>
              <w:t>1.21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761B0">
            <w:pPr>
              <w:pStyle w:val="45"/>
              <w:rPr>
                <w:rFonts w:hint="default"/>
              </w:rPr>
            </w:pPr>
            <w:r>
              <w:rPr>
                <w:rFonts w:hint="default"/>
              </w:rPr>
              <w:t>1.53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426CF0">
            <w:pPr>
              <w:pStyle w:val="45"/>
              <w:rPr>
                <w:rFonts w:hint="default"/>
              </w:rPr>
            </w:pPr>
            <w:r>
              <w:rPr>
                <w:rFonts w:hint="default"/>
              </w:rPr>
              <w:t>1.75</w:t>
            </w:r>
          </w:p>
        </w:tc>
      </w:tr>
      <w:tr w14:paraId="30D52273">
        <w:tblPrEx>
          <w:tblCellMar>
            <w:top w:w="0" w:type="dxa"/>
            <w:left w:w="108" w:type="dxa"/>
            <w:bottom w:w="0" w:type="dxa"/>
            <w:right w:w="108" w:type="dxa"/>
          </w:tblCellMar>
        </w:tblPrEx>
        <w:trPr>
          <w:trHeight w:val="2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93295">
            <w:pPr>
              <w:pStyle w:val="45"/>
              <w:rPr>
                <w:rFonts w:hint="default"/>
              </w:rPr>
            </w:pPr>
            <w:r>
              <w:rPr>
                <w:rFonts w:hint="default"/>
              </w:rPr>
              <w:t>W</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C5DAE">
            <w:pPr>
              <w:pStyle w:val="45"/>
              <w:rPr>
                <w:rFonts w:hint="default"/>
              </w:rPr>
            </w:pPr>
            <w:r>
              <w:rPr>
                <w:rFonts w:hint="default"/>
              </w:rPr>
              <w:t>3.76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BBAE87">
            <w:pPr>
              <w:pStyle w:val="45"/>
              <w:rPr>
                <w:rFonts w:hint="default"/>
              </w:rPr>
            </w:pPr>
            <w:r>
              <w:rPr>
                <w:rFonts w:hint="default"/>
              </w:rPr>
              <w:t>4.91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517C7D">
            <w:pPr>
              <w:pStyle w:val="45"/>
              <w:rPr>
                <w:rFonts w:hint="default"/>
              </w:rPr>
            </w:pPr>
            <w:r>
              <w:rPr>
                <w:rFonts w:hint="default"/>
              </w:rPr>
              <w:t>2.96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A9271">
            <w:pPr>
              <w:pStyle w:val="45"/>
              <w:rPr>
                <w:rFonts w:hint="default"/>
              </w:rPr>
            </w:pPr>
            <w:r>
              <w:rPr>
                <w:rFonts w:hint="default"/>
              </w:rPr>
              <w:t>2.50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E525B">
            <w:pPr>
              <w:pStyle w:val="45"/>
              <w:rPr>
                <w:rFonts w:hint="default"/>
              </w:rPr>
            </w:pPr>
            <w:r>
              <w:rPr>
                <w:rFonts w:hint="default"/>
              </w:rPr>
              <w:t>3.63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8C7880">
            <w:pPr>
              <w:pStyle w:val="45"/>
              <w:rPr>
                <w:rFonts w:hint="default"/>
              </w:rPr>
            </w:pPr>
            <w:r>
              <w:rPr>
                <w:rFonts w:hint="default"/>
              </w:rPr>
              <w:t>2.36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A5A06F">
            <w:pPr>
              <w:pStyle w:val="45"/>
              <w:rPr>
                <w:rFonts w:hint="default"/>
              </w:rPr>
            </w:pPr>
            <w:r>
              <w:rPr>
                <w:rFonts w:hint="default"/>
              </w:rPr>
              <w:t>3.09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634F9">
            <w:pPr>
              <w:pStyle w:val="45"/>
              <w:rPr>
                <w:rFonts w:hint="default"/>
              </w:rPr>
            </w:pPr>
            <w:r>
              <w:rPr>
                <w:rFonts w:hint="default"/>
              </w:rPr>
              <w:t>1.75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27F74">
            <w:pPr>
              <w:pStyle w:val="45"/>
              <w:rPr>
                <w:rFonts w:hint="default"/>
              </w:rPr>
            </w:pPr>
            <w:r>
              <w:rPr>
                <w:rFonts w:hint="default"/>
              </w:rPr>
              <w:t>1.94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40CCB">
            <w:pPr>
              <w:pStyle w:val="45"/>
              <w:rPr>
                <w:rFonts w:hint="default"/>
              </w:rPr>
            </w:pPr>
            <w:r>
              <w:rPr>
                <w:rFonts w:hint="default"/>
              </w:rPr>
              <w:t>1.34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3DCC5">
            <w:pPr>
              <w:pStyle w:val="45"/>
              <w:rPr>
                <w:rFonts w:hint="default"/>
              </w:rPr>
            </w:pPr>
            <w:r>
              <w:rPr>
                <w:rFonts w:hint="default"/>
              </w:rPr>
              <w:t>1.94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5F0FE">
            <w:pPr>
              <w:pStyle w:val="45"/>
              <w:rPr>
                <w:rFonts w:hint="default"/>
              </w:rPr>
            </w:pPr>
            <w:r>
              <w:rPr>
                <w:rFonts w:hint="default"/>
              </w:rPr>
              <w:t>4.17</w:t>
            </w:r>
          </w:p>
        </w:tc>
      </w:tr>
      <w:tr w14:paraId="297FE857">
        <w:tblPrEx>
          <w:tblCellMar>
            <w:top w:w="0" w:type="dxa"/>
            <w:left w:w="108" w:type="dxa"/>
            <w:bottom w:w="0" w:type="dxa"/>
            <w:right w:w="108" w:type="dxa"/>
          </w:tblCellMar>
        </w:tblPrEx>
        <w:trPr>
          <w:trHeight w:val="2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FCFDF4">
            <w:pPr>
              <w:pStyle w:val="45"/>
              <w:rPr>
                <w:rFonts w:hint="default"/>
              </w:rPr>
            </w:pPr>
            <w:r>
              <w:rPr>
                <w:rFonts w:hint="default"/>
              </w:rPr>
              <w:t>WNW</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D3C21">
            <w:pPr>
              <w:pStyle w:val="45"/>
              <w:rPr>
                <w:rFonts w:hint="default"/>
              </w:rPr>
            </w:pPr>
            <w:r>
              <w:rPr>
                <w:rFonts w:hint="default"/>
              </w:rPr>
              <w:t>5.24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503719">
            <w:pPr>
              <w:pStyle w:val="45"/>
              <w:rPr>
                <w:rFonts w:hint="default"/>
              </w:rPr>
            </w:pPr>
            <w:r>
              <w:rPr>
                <w:rFonts w:hint="default"/>
              </w:rPr>
              <w:t>4.76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9F1A2">
            <w:pPr>
              <w:pStyle w:val="45"/>
              <w:rPr>
                <w:rFonts w:hint="default"/>
              </w:rPr>
            </w:pPr>
            <w:r>
              <w:rPr>
                <w:rFonts w:hint="default"/>
              </w:rPr>
              <w:t>4.17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7D713">
            <w:pPr>
              <w:pStyle w:val="45"/>
              <w:rPr>
                <w:rFonts w:hint="default"/>
              </w:rPr>
            </w:pPr>
            <w:r>
              <w:rPr>
                <w:rFonts w:hint="default"/>
              </w:rPr>
              <w:t>3.89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7C57A">
            <w:pPr>
              <w:pStyle w:val="45"/>
              <w:rPr>
                <w:rFonts w:hint="default"/>
              </w:rPr>
            </w:pPr>
            <w:r>
              <w:rPr>
                <w:rFonts w:hint="default"/>
              </w:rPr>
              <w:t>4.03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B547D">
            <w:pPr>
              <w:pStyle w:val="45"/>
              <w:rPr>
                <w:rFonts w:hint="default"/>
              </w:rPr>
            </w:pPr>
            <w:r>
              <w:rPr>
                <w:rFonts w:hint="default"/>
              </w:rPr>
              <w:t>0.83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89E3C">
            <w:pPr>
              <w:pStyle w:val="45"/>
              <w:rPr>
                <w:rFonts w:hint="default"/>
              </w:rPr>
            </w:pPr>
            <w:r>
              <w:rPr>
                <w:rFonts w:hint="default"/>
              </w:rPr>
              <w:t>0.81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0E19C">
            <w:pPr>
              <w:pStyle w:val="45"/>
              <w:rPr>
                <w:rFonts w:hint="default"/>
              </w:rPr>
            </w:pPr>
            <w:r>
              <w:rPr>
                <w:rFonts w:hint="default"/>
              </w:rPr>
              <w:t>0.27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9AFDA">
            <w:pPr>
              <w:pStyle w:val="45"/>
              <w:rPr>
                <w:rFonts w:hint="default"/>
              </w:rPr>
            </w:pPr>
            <w:r>
              <w:rPr>
                <w:rFonts w:hint="default"/>
              </w:rPr>
              <w:t>2.22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FCF237">
            <w:pPr>
              <w:pStyle w:val="45"/>
              <w:rPr>
                <w:rFonts w:hint="default"/>
              </w:rPr>
            </w:pPr>
            <w:r>
              <w:rPr>
                <w:rFonts w:hint="default"/>
              </w:rPr>
              <w:t>2.69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84A30B">
            <w:pPr>
              <w:pStyle w:val="45"/>
              <w:rPr>
                <w:rFonts w:hint="default"/>
              </w:rPr>
            </w:pPr>
            <w:r>
              <w:rPr>
                <w:rFonts w:hint="default"/>
              </w:rPr>
              <w:t>2.08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654EF">
            <w:pPr>
              <w:pStyle w:val="45"/>
              <w:rPr>
                <w:rFonts w:hint="default"/>
              </w:rPr>
            </w:pPr>
            <w:r>
              <w:rPr>
                <w:rFonts w:hint="default"/>
              </w:rPr>
              <w:t>5.91</w:t>
            </w:r>
          </w:p>
        </w:tc>
      </w:tr>
      <w:tr w14:paraId="19983D2F">
        <w:tblPrEx>
          <w:tblCellMar>
            <w:top w:w="0" w:type="dxa"/>
            <w:left w:w="108" w:type="dxa"/>
            <w:bottom w:w="0" w:type="dxa"/>
            <w:right w:w="108" w:type="dxa"/>
          </w:tblCellMar>
        </w:tblPrEx>
        <w:trPr>
          <w:trHeight w:val="2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85ECF">
            <w:pPr>
              <w:pStyle w:val="45"/>
              <w:rPr>
                <w:rFonts w:hint="default"/>
              </w:rPr>
            </w:pPr>
            <w:r>
              <w:rPr>
                <w:rFonts w:hint="default"/>
              </w:rPr>
              <w:t>NW</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4F400E">
            <w:pPr>
              <w:pStyle w:val="45"/>
              <w:rPr>
                <w:rFonts w:hint="default"/>
              </w:rPr>
            </w:pPr>
            <w:r>
              <w:rPr>
                <w:rFonts w:hint="default"/>
              </w:rPr>
              <w:t>9.01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8EB8D4">
            <w:pPr>
              <w:pStyle w:val="45"/>
              <w:rPr>
                <w:rFonts w:hint="default"/>
              </w:rPr>
            </w:pPr>
            <w:r>
              <w:rPr>
                <w:rFonts w:hint="default"/>
              </w:rPr>
              <w:t>7.44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7DEBA">
            <w:pPr>
              <w:pStyle w:val="45"/>
              <w:rPr>
                <w:rFonts w:hint="default"/>
              </w:rPr>
            </w:pPr>
            <w:r>
              <w:rPr>
                <w:rFonts w:hint="default"/>
              </w:rPr>
              <w:t>4.30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08503B">
            <w:pPr>
              <w:pStyle w:val="45"/>
              <w:rPr>
                <w:rFonts w:hint="default"/>
              </w:rPr>
            </w:pPr>
            <w:r>
              <w:rPr>
                <w:rFonts w:hint="default"/>
              </w:rPr>
              <w:t>4.72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D8FB5">
            <w:pPr>
              <w:pStyle w:val="45"/>
              <w:rPr>
                <w:rFonts w:hint="default"/>
              </w:rPr>
            </w:pPr>
            <w:r>
              <w:rPr>
                <w:rFonts w:hint="default"/>
              </w:rPr>
              <w:t>5.78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A4A66">
            <w:pPr>
              <w:pStyle w:val="45"/>
              <w:rPr>
                <w:rFonts w:hint="default"/>
              </w:rPr>
            </w:pPr>
            <w:r>
              <w:rPr>
                <w:rFonts w:hint="default"/>
              </w:rPr>
              <w:t>1.81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4A8D6">
            <w:pPr>
              <w:pStyle w:val="45"/>
              <w:rPr>
                <w:rFonts w:hint="default"/>
              </w:rPr>
            </w:pPr>
            <w:r>
              <w:rPr>
                <w:rFonts w:hint="default"/>
              </w:rPr>
              <w:t>0.67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569B1">
            <w:pPr>
              <w:pStyle w:val="45"/>
              <w:rPr>
                <w:rFonts w:hint="default"/>
              </w:rPr>
            </w:pPr>
            <w:r>
              <w:rPr>
                <w:rFonts w:hint="default"/>
              </w:rPr>
              <w:t>0.13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B3F81">
            <w:pPr>
              <w:pStyle w:val="45"/>
              <w:rPr>
                <w:rFonts w:hint="default"/>
              </w:rPr>
            </w:pPr>
            <w:r>
              <w:rPr>
                <w:rFonts w:hint="default"/>
              </w:rPr>
              <w:t>4.03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212E47">
            <w:pPr>
              <w:pStyle w:val="45"/>
              <w:rPr>
                <w:rFonts w:hint="default"/>
              </w:rPr>
            </w:pPr>
            <w:r>
              <w:rPr>
                <w:rFonts w:hint="default"/>
              </w:rPr>
              <w:t>5.38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2251E">
            <w:pPr>
              <w:pStyle w:val="45"/>
              <w:rPr>
                <w:rFonts w:hint="default"/>
              </w:rPr>
            </w:pPr>
            <w:r>
              <w:rPr>
                <w:rFonts w:hint="default"/>
              </w:rPr>
              <w:t>4.86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A885E0">
            <w:pPr>
              <w:pStyle w:val="45"/>
              <w:rPr>
                <w:rFonts w:hint="default"/>
              </w:rPr>
            </w:pPr>
            <w:r>
              <w:rPr>
                <w:rFonts w:hint="default"/>
              </w:rPr>
              <w:t>9.01</w:t>
            </w:r>
          </w:p>
        </w:tc>
      </w:tr>
      <w:tr w14:paraId="669779FD">
        <w:tblPrEx>
          <w:tblCellMar>
            <w:top w:w="0" w:type="dxa"/>
            <w:left w:w="108" w:type="dxa"/>
            <w:bottom w:w="0" w:type="dxa"/>
            <w:right w:w="108" w:type="dxa"/>
          </w:tblCellMar>
        </w:tblPrEx>
        <w:trPr>
          <w:trHeight w:val="2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3C082">
            <w:pPr>
              <w:pStyle w:val="45"/>
              <w:rPr>
                <w:rFonts w:hint="default"/>
              </w:rPr>
            </w:pPr>
            <w:r>
              <w:rPr>
                <w:rFonts w:hint="default"/>
              </w:rPr>
              <w:t>NNW</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998147">
            <w:pPr>
              <w:pStyle w:val="45"/>
              <w:rPr>
                <w:rFonts w:hint="default"/>
              </w:rPr>
            </w:pPr>
            <w:r>
              <w:rPr>
                <w:rFonts w:hint="default"/>
              </w:rPr>
              <w:t>9.54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41148E">
            <w:pPr>
              <w:pStyle w:val="45"/>
              <w:rPr>
                <w:rFonts w:hint="default"/>
              </w:rPr>
            </w:pPr>
            <w:r>
              <w:rPr>
                <w:rFonts w:hint="default"/>
              </w:rPr>
              <w:t>13.54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D4A39">
            <w:pPr>
              <w:pStyle w:val="45"/>
              <w:rPr>
                <w:rFonts w:hint="default"/>
              </w:rPr>
            </w:pPr>
            <w:r>
              <w:rPr>
                <w:rFonts w:hint="default"/>
              </w:rPr>
              <w:t>5.38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B7BB6">
            <w:pPr>
              <w:pStyle w:val="45"/>
              <w:rPr>
                <w:rFonts w:hint="default"/>
              </w:rPr>
            </w:pPr>
            <w:r>
              <w:rPr>
                <w:rFonts w:hint="default"/>
              </w:rPr>
              <w:t>5.83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9E1877">
            <w:pPr>
              <w:pStyle w:val="45"/>
              <w:rPr>
                <w:rFonts w:hint="default"/>
              </w:rPr>
            </w:pPr>
            <w:r>
              <w:rPr>
                <w:rFonts w:hint="default"/>
              </w:rPr>
              <w:t>8.06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FC4A3">
            <w:pPr>
              <w:pStyle w:val="45"/>
              <w:rPr>
                <w:rFonts w:hint="default"/>
              </w:rPr>
            </w:pPr>
            <w:r>
              <w:rPr>
                <w:rFonts w:hint="default"/>
              </w:rPr>
              <w:t>0.97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A5E4B">
            <w:pPr>
              <w:pStyle w:val="45"/>
              <w:rPr>
                <w:rFonts w:hint="default"/>
              </w:rPr>
            </w:pPr>
            <w:r>
              <w:rPr>
                <w:rFonts w:hint="default"/>
              </w:rPr>
              <w:t>0.81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DB9068">
            <w:pPr>
              <w:pStyle w:val="45"/>
              <w:rPr>
                <w:rFonts w:hint="default"/>
              </w:rPr>
            </w:pPr>
            <w:r>
              <w:rPr>
                <w:rFonts w:hint="default"/>
              </w:rPr>
              <w:t>1.34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56D4A7">
            <w:pPr>
              <w:pStyle w:val="45"/>
              <w:rPr>
                <w:rFonts w:hint="default"/>
              </w:rPr>
            </w:pPr>
            <w:r>
              <w:rPr>
                <w:rFonts w:hint="default"/>
              </w:rPr>
              <w:t>7.36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0F213F">
            <w:pPr>
              <w:pStyle w:val="45"/>
              <w:rPr>
                <w:rFonts w:hint="default"/>
              </w:rPr>
            </w:pPr>
            <w:r>
              <w:rPr>
                <w:rFonts w:hint="default"/>
              </w:rPr>
              <w:t>6.85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9A38D">
            <w:pPr>
              <w:pStyle w:val="45"/>
              <w:rPr>
                <w:rFonts w:hint="default"/>
              </w:rPr>
            </w:pPr>
            <w:r>
              <w:rPr>
                <w:rFonts w:hint="default"/>
              </w:rPr>
              <w:t>5.69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8E68BE">
            <w:pPr>
              <w:pStyle w:val="45"/>
              <w:rPr>
                <w:rFonts w:hint="default"/>
              </w:rPr>
            </w:pPr>
            <w:r>
              <w:rPr>
                <w:rFonts w:hint="default"/>
              </w:rPr>
              <w:t>11.83</w:t>
            </w:r>
          </w:p>
        </w:tc>
      </w:tr>
      <w:tr w14:paraId="573B6D61">
        <w:tblPrEx>
          <w:tblCellMar>
            <w:top w:w="0" w:type="dxa"/>
            <w:left w:w="108" w:type="dxa"/>
            <w:bottom w:w="0" w:type="dxa"/>
            <w:right w:w="108" w:type="dxa"/>
          </w:tblCellMar>
        </w:tblPrEx>
        <w:trPr>
          <w:trHeight w:val="2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36862">
            <w:pPr>
              <w:pStyle w:val="45"/>
              <w:rPr>
                <w:rFonts w:hint="default"/>
              </w:rPr>
            </w:pPr>
            <w:r>
              <w:rPr>
                <w:rFonts w:hint="default"/>
              </w:rPr>
              <w:t>C</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350D3A">
            <w:pPr>
              <w:pStyle w:val="45"/>
              <w:rPr>
                <w:rFonts w:hint="default"/>
              </w:rPr>
            </w:pPr>
            <w:r>
              <w:rPr>
                <w:rFonts w:hint="default"/>
              </w:rPr>
              <w:t>1.75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91F22">
            <w:pPr>
              <w:pStyle w:val="45"/>
              <w:rPr>
                <w:rFonts w:hint="default"/>
              </w:rPr>
            </w:pPr>
            <w:r>
              <w:rPr>
                <w:rFonts w:hint="default"/>
              </w:rPr>
              <w:t>2.08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401AC7">
            <w:pPr>
              <w:pStyle w:val="45"/>
              <w:rPr>
                <w:rFonts w:hint="default"/>
              </w:rPr>
            </w:pPr>
            <w:r>
              <w:rPr>
                <w:rFonts w:hint="default"/>
              </w:rPr>
              <w:t>0.94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79B3AB">
            <w:pPr>
              <w:pStyle w:val="45"/>
              <w:rPr>
                <w:rFonts w:hint="default"/>
              </w:rPr>
            </w:pPr>
            <w:r>
              <w:rPr>
                <w:rFonts w:hint="default"/>
              </w:rPr>
              <w:t>0.83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94EE5">
            <w:pPr>
              <w:pStyle w:val="45"/>
              <w:rPr>
                <w:rFonts w:hint="default"/>
              </w:rPr>
            </w:pPr>
            <w:r>
              <w:rPr>
                <w:rFonts w:hint="default"/>
              </w:rPr>
              <w:t>2.15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DCB60">
            <w:pPr>
              <w:pStyle w:val="45"/>
              <w:rPr>
                <w:rFonts w:hint="default"/>
              </w:rPr>
            </w:pPr>
            <w:r>
              <w:rPr>
                <w:rFonts w:hint="default"/>
              </w:rPr>
              <w:t>0.83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A57362">
            <w:pPr>
              <w:pStyle w:val="45"/>
              <w:rPr>
                <w:rFonts w:hint="default"/>
              </w:rPr>
            </w:pPr>
            <w:r>
              <w:rPr>
                <w:rFonts w:hint="default"/>
              </w:rPr>
              <w:t>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916C0">
            <w:pPr>
              <w:pStyle w:val="45"/>
              <w:rPr>
                <w:rFonts w:hint="default"/>
              </w:rPr>
            </w:pPr>
            <w:r>
              <w:rPr>
                <w:rFonts w:hint="default"/>
              </w:rPr>
              <w:t>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89662A">
            <w:pPr>
              <w:pStyle w:val="45"/>
              <w:rPr>
                <w:rFonts w:hint="default"/>
              </w:rPr>
            </w:pPr>
            <w:r>
              <w:rPr>
                <w:rFonts w:hint="default"/>
              </w:rPr>
              <w:t>0.69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624846">
            <w:pPr>
              <w:pStyle w:val="45"/>
              <w:rPr>
                <w:rFonts w:hint="default"/>
              </w:rPr>
            </w:pPr>
            <w:r>
              <w:rPr>
                <w:rFonts w:hint="default"/>
              </w:rPr>
              <w:t>0.13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58E0C7">
            <w:pPr>
              <w:pStyle w:val="45"/>
              <w:rPr>
                <w:rFonts w:hint="default"/>
              </w:rPr>
            </w:pPr>
            <w:r>
              <w:rPr>
                <w:rFonts w:hint="default"/>
              </w:rPr>
              <w:t>0.56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C97F9">
            <w:pPr>
              <w:pStyle w:val="45"/>
              <w:rPr>
                <w:rFonts w:hint="default"/>
              </w:rPr>
            </w:pPr>
            <w:r>
              <w:rPr>
                <w:rFonts w:hint="default"/>
              </w:rPr>
              <w:t>1.48</w:t>
            </w:r>
          </w:p>
        </w:tc>
      </w:tr>
    </w:tbl>
    <w:p w14:paraId="2EE6DDB1">
      <w:pPr>
        <w:spacing w:line="240" w:lineRule="auto"/>
        <w:ind w:firstLine="0" w:firstLineChars="0"/>
      </w:pPr>
    </w:p>
    <w:p w14:paraId="64D0B573">
      <w:pPr>
        <w:ind w:firstLine="480"/>
      </w:pPr>
      <w:r>
        <w:t>衡阳气象站2022年当地风向频率</w:t>
      </w:r>
      <w:r>
        <w:rPr>
          <w:rFonts w:hint="eastAsia"/>
        </w:rPr>
        <w:t>季</w:t>
      </w:r>
      <w:r>
        <w:t>变化规律见下表。</w:t>
      </w:r>
    </w:p>
    <w:p w14:paraId="6907BC59">
      <w:pPr>
        <w:pStyle w:val="43"/>
        <w:numPr>
          <w:ilvl w:val="5"/>
          <w:numId w:val="1"/>
        </w:numPr>
        <w:rPr>
          <w:rFonts w:hint="default"/>
        </w:rPr>
      </w:pPr>
      <w:r>
        <w:t>衡阳气象站</w:t>
      </w:r>
      <w:r>
        <w:rPr>
          <w:rFonts w:hint="default"/>
        </w:rPr>
        <w:t>2022年全年及各季风向频率统计结果  单 位：%</w:t>
      </w:r>
    </w:p>
    <w:tbl>
      <w:tblPr>
        <w:tblStyle w:val="32"/>
        <w:tblW w:w="4998" w:type="pct"/>
        <w:tblInd w:w="0" w:type="dxa"/>
        <w:tblLayout w:type="autofit"/>
        <w:tblCellMar>
          <w:top w:w="0" w:type="dxa"/>
          <w:left w:w="108" w:type="dxa"/>
          <w:bottom w:w="0" w:type="dxa"/>
          <w:right w:w="108" w:type="dxa"/>
        </w:tblCellMar>
      </w:tblPr>
      <w:tblGrid>
        <w:gridCol w:w="1585"/>
        <w:gridCol w:w="1386"/>
        <w:gridCol w:w="1387"/>
        <w:gridCol w:w="1387"/>
        <w:gridCol w:w="1387"/>
        <w:gridCol w:w="1387"/>
      </w:tblGrid>
      <w:tr w14:paraId="414E6482">
        <w:tblPrEx>
          <w:tblCellMar>
            <w:top w:w="0" w:type="dxa"/>
            <w:left w:w="108" w:type="dxa"/>
            <w:bottom w:w="0" w:type="dxa"/>
            <w:right w:w="108" w:type="dxa"/>
          </w:tblCellMar>
        </w:tblPrEx>
        <w:trPr>
          <w:trHeight w:val="285" w:hRule="atLeast"/>
          <w:tblHeader/>
        </w:trPr>
        <w:tc>
          <w:tcPr>
            <w:tcW w:w="833" w:type="pct"/>
            <w:tcBorders>
              <w:top w:val="single" w:color="000000" w:sz="4" w:space="0"/>
              <w:left w:val="single" w:color="000000" w:sz="4" w:space="0"/>
              <w:bottom w:val="single" w:color="000000" w:sz="4" w:space="0"/>
              <w:right w:val="single" w:color="000000" w:sz="4" w:space="0"/>
              <w:tl2br w:val="single" w:color="000000" w:sz="4" w:space="0"/>
            </w:tcBorders>
            <w:shd w:val="clear" w:color="auto" w:fill="auto"/>
            <w:noWrap/>
            <w:vAlign w:val="center"/>
          </w:tcPr>
          <w:p w14:paraId="092CB579">
            <w:pPr>
              <w:pStyle w:val="45"/>
              <w:rPr>
                <w:rFonts w:hint="default"/>
                <w:b/>
                <w:bCs/>
              </w:rPr>
            </w:pPr>
            <w:r>
              <w:rPr>
                <w:b/>
                <w:bCs/>
              </w:rPr>
              <w:t xml:space="preserve">   风频（%）</w:t>
            </w:r>
          </w:p>
          <w:p w14:paraId="3F682236">
            <w:pPr>
              <w:pStyle w:val="45"/>
              <w:jc w:val="both"/>
              <w:rPr>
                <w:rFonts w:hint="default"/>
                <w:b/>
                <w:bCs/>
              </w:rPr>
            </w:pPr>
            <w:r>
              <w:rPr>
                <w:b/>
                <w:bCs/>
              </w:rPr>
              <w:t xml:space="preserve">风向    </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0B419">
            <w:pPr>
              <w:pStyle w:val="45"/>
              <w:rPr>
                <w:rFonts w:hint="default"/>
                <w:b/>
                <w:bCs/>
              </w:rPr>
            </w:pPr>
            <w:r>
              <w:rPr>
                <w:b/>
                <w:bCs/>
              </w:rPr>
              <w:t>春季</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A22B66">
            <w:pPr>
              <w:pStyle w:val="45"/>
              <w:rPr>
                <w:rFonts w:hint="default"/>
                <w:b/>
                <w:bCs/>
              </w:rPr>
            </w:pPr>
            <w:r>
              <w:rPr>
                <w:b/>
                <w:bCs/>
              </w:rPr>
              <w:t>夏季</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5889B">
            <w:pPr>
              <w:pStyle w:val="45"/>
              <w:rPr>
                <w:rFonts w:hint="default"/>
                <w:b/>
                <w:bCs/>
              </w:rPr>
            </w:pPr>
            <w:r>
              <w:rPr>
                <w:b/>
                <w:bCs/>
              </w:rPr>
              <w:t>秋季</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AA211B">
            <w:pPr>
              <w:pStyle w:val="45"/>
              <w:rPr>
                <w:rFonts w:hint="default"/>
                <w:b/>
                <w:bCs/>
              </w:rPr>
            </w:pPr>
            <w:r>
              <w:rPr>
                <w:b/>
                <w:bCs/>
              </w:rPr>
              <w:t>冬季</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51833D">
            <w:pPr>
              <w:pStyle w:val="45"/>
              <w:rPr>
                <w:rFonts w:hint="default"/>
                <w:b/>
                <w:bCs/>
              </w:rPr>
            </w:pPr>
            <w:r>
              <w:rPr>
                <w:b/>
                <w:bCs/>
              </w:rPr>
              <w:t>全年</w:t>
            </w:r>
          </w:p>
        </w:tc>
      </w:tr>
      <w:tr w14:paraId="7E72F4A6">
        <w:tblPrEx>
          <w:tblCellMar>
            <w:top w:w="0" w:type="dxa"/>
            <w:left w:w="108" w:type="dxa"/>
            <w:bottom w:w="0" w:type="dxa"/>
            <w:right w:w="108" w:type="dxa"/>
          </w:tblCellMar>
        </w:tblPrEx>
        <w:trPr>
          <w:trHeight w:val="285" w:hRule="atLeast"/>
        </w:trPr>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505082">
            <w:pPr>
              <w:pStyle w:val="45"/>
              <w:rPr>
                <w:rFonts w:hint="default"/>
              </w:rPr>
            </w:pPr>
            <w:r>
              <w:t>N</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B50A3">
            <w:pPr>
              <w:pStyle w:val="45"/>
              <w:rPr>
                <w:rFonts w:hint="default"/>
              </w:rPr>
            </w:pPr>
            <w:r>
              <w:t>12.09</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F2B722">
            <w:pPr>
              <w:pStyle w:val="45"/>
              <w:rPr>
                <w:rFonts w:hint="default"/>
              </w:rPr>
            </w:pPr>
            <w:r>
              <w:t>2.85</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49007E">
            <w:pPr>
              <w:pStyle w:val="45"/>
              <w:rPr>
                <w:rFonts w:hint="default"/>
              </w:rPr>
            </w:pPr>
            <w:r>
              <w:t>15.89</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415A5">
            <w:pPr>
              <w:pStyle w:val="45"/>
              <w:rPr>
                <w:rFonts w:hint="default"/>
              </w:rPr>
            </w:pPr>
            <w:r>
              <w:t>17.31</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9972B3">
            <w:pPr>
              <w:pStyle w:val="45"/>
              <w:rPr>
                <w:rFonts w:hint="default"/>
              </w:rPr>
            </w:pPr>
            <w:r>
              <w:t>12.00</w:t>
            </w:r>
          </w:p>
        </w:tc>
      </w:tr>
      <w:tr w14:paraId="402FB801">
        <w:tblPrEx>
          <w:tblCellMar>
            <w:top w:w="0" w:type="dxa"/>
            <w:left w:w="108" w:type="dxa"/>
            <w:bottom w:w="0" w:type="dxa"/>
            <w:right w:w="108" w:type="dxa"/>
          </w:tblCellMar>
        </w:tblPrEx>
        <w:trPr>
          <w:trHeight w:val="285" w:hRule="atLeast"/>
        </w:trPr>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3D18B">
            <w:pPr>
              <w:pStyle w:val="45"/>
              <w:rPr>
                <w:rFonts w:hint="default"/>
              </w:rPr>
            </w:pPr>
            <w:r>
              <w:t>NNE</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93001">
            <w:pPr>
              <w:pStyle w:val="45"/>
              <w:rPr>
                <w:rFonts w:hint="default"/>
              </w:rPr>
            </w:pPr>
            <w:r>
              <w:t>12.68</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1C13C2">
            <w:pPr>
              <w:pStyle w:val="45"/>
              <w:rPr>
                <w:rFonts w:hint="default"/>
              </w:rPr>
            </w:pPr>
            <w:r>
              <w:t>5.71</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513F85">
            <w:pPr>
              <w:pStyle w:val="45"/>
              <w:rPr>
                <w:rFonts w:hint="default"/>
              </w:rPr>
            </w:pPr>
            <w:r>
              <w:t>18.27</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A1A31">
            <w:pPr>
              <w:pStyle w:val="45"/>
              <w:rPr>
                <w:rFonts w:hint="default"/>
              </w:rPr>
            </w:pPr>
            <w:r>
              <w:t>16.71</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7796A">
            <w:pPr>
              <w:pStyle w:val="45"/>
              <w:rPr>
                <w:rFonts w:hint="default"/>
              </w:rPr>
            </w:pPr>
            <w:r>
              <w:t>13.31</w:t>
            </w:r>
          </w:p>
        </w:tc>
      </w:tr>
      <w:tr w14:paraId="59AE0B4F">
        <w:tblPrEx>
          <w:tblCellMar>
            <w:top w:w="0" w:type="dxa"/>
            <w:left w:w="108" w:type="dxa"/>
            <w:bottom w:w="0" w:type="dxa"/>
            <w:right w:w="108" w:type="dxa"/>
          </w:tblCellMar>
        </w:tblPrEx>
        <w:trPr>
          <w:trHeight w:val="285" w:hRule="atLeast"/>
        </w:trPr>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EF663">
            <w:pPr>
              <w:pStyle w:val="45"/>
              <w:rPr>
                <w:rFonts w:hint="default"/>
              </w:rPr>
            </w:pPr>
            <w:r>
              <w:t>NE</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58BB0E">
            <w:pPr>
              <w:pStyle w:val="45"/>
              <w:rPr>
                <w:rFonts w:hint="default"/>
              </w:rPr>
            </w:pPr>
            <w:r>
              <w:t>15.94</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85804C">
            <w:pPr>
              <w:pStyle w:val="45"/>
              <w:rPr>
                <w:rFonts w:hint="default"/>
              </w:rPr>
            </w:pPr>
            <w:r>
              <w:t>11.50</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6CDC5C">
            <w:pPr>
              <w:pStyle w:val="45"/>
              <w:rPr>
                <w:rFonts w:hint="default"/>
              </w:rPr>
            </w:pPr>
            <w:r>
              <w:t>30.27</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B24AD">
            <w:pPr>
              <w:pStyle w:val="45"/>
              <w:rPr>
                <w:rFonts w:hint="default"/>
              </w:rPr>
            </w:pPr>
            <w:r>
              <w:t>20.46</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CF8B20">
            <w:pPr>
              <w:pStyle w:val="45"/>
              <w:rPr>
                <w:rFonts w:hint="default"/>
              </w:rPr>
            </w:pPr>
            <w:r>
              <w:t>19.51</w:t>
            </w:r>
          </w:p>
        </w:tc>
      </w:tr>
      <w:tr w14:paraId="7C9256A5">
        <w:tblPrEx>
          <w:tblCellMar>
            <w:top w:w="0" w:type="dxa"/>
            <w:left w:w="108" w:type="dxa"/>
            <w:bottom w:w="0" w:type="dxa"/>
            <w:right w:w="108" w:type="dxa"/>
          </w:tblCellMar>
        </w:tblPrEx>
        <w:trPr>
          <w:trHeight w:val="285" w:hRule="atLeast"/>
        </w:trPr>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B384CC">
            <w:pPr>
              <w:pStyle w:val="45"/>
              <w:rPr>
                <w:rFonts w:hint="default"/>
              </w:rPr>
            </w:pPr>
            <w:r>
              <w:t>ENE</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21B48">
            <w:pPr>
              <w:pStyle w:val="45"/>
              <w:rPr>
                <w:rFonts w:hint="default"/>
              </w:rPr>
            </w:pPr>
            <w:r>
              <w:t>4.85</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6163E">
            <w:pPr>
              <w:pStyle w:val="45"/>
              <w:rPr>
                <w:rFonts w:hint="default"/>
              </w:rPr>
            </w:pPr>
            <w:r>
              <w:t>2.40</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86B6C">
            <w:pPr>
              <w:pStyle w:val="45"/>
              <w:rPr>
                <w:rFonts w:hint="default"/>
              </w:rPr>
            </w:pPr>
            <w:r>
              <w:t>3.98</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593A5">
            <w:pPr>
              <w:pStyle w:val="45"/>
              <w:rPr>
                <w:rFonts w:hint="default"/>
              </w:rPr>
            </w:pPr>
            <w:r>
              <w:t>3.94</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70738">
            <w:pPr>
              <w:pStyle w:val="45"/>
              <w:rPr>
                <w:rFonts w:hint="default"/>
              </w:rPr>
            </w:pPr>
            <w:r>
              <w:t>3.79</w:t>
            </w:r>
          </w:p>
        </w:tc>
      </w:tr>
      <w:tr w14:paraId="28B66B46">
        <w:tblPrEx>
          <w:tblCellMar>
            <w:top w:w="0" w:type="dxa"/>
            <w:left w:w="108" w:type="dxa"/>
            <w:bottom w:w="0" w:type="dxa"/>
            <w:right w:w="108" w:type="dxa"/>
          </w:tblCellMar>
        </w:tblPrEx>
        <w:trPr>
          <w:trHeight w:val="285" w:hRule="atLeast"/>
        </w:trPr>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E0B39">
            <w:pPr>
              <w:pStyle w:val="45"/>
              <w:rPr>
                <w:rFonts w:hint="default"/>
              </w:rPr>
            </w:pPr>
            <w:r>
              <w:t>E</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FAAF6">
            <w:pPr>
              <w:pStyle w:val="45"/>
              <w:rPr>
                <w:rFonts w:hint="default"/>
              </w:rPr>
            </w:pPr>
            <w:r>
              <w:t>2.94</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262E5">
            <w:pPr>
              <w:pStyle w:val="45"/>
              <w:rPr>
                <w:rFonts w:hint="default"/>
              </w:rPr>
            </w:pPr>
            <w:r>
              <w:t>2.04</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550E4B">
            <w:pPr>
              <w:pStyle w:val="45"/>
              <w:rPr>
                <w:rFonts w:hint="default"/>
              </w:rPr>
            </w:pPr>
            <w:r>
              <w:t>1.74</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D42B4F">
            <w:pPr>
              <w:pStyle w:val="45"/>
              <w:rPr>
                <w:rFonts w:hint="default"/>
              </w:rPr>
            </w:pPr>
            <w:r>
              <w:t>1.34</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ABFD22">
            <w:pPr>
              <w:pStyle w:val="45"/>
              <w:rPr>
                <w:rFonts w:hint="default"/>
              </w:rPr>
            </w:pPr>
            <w:r>
              <w:t>2.02</w:t>
            </w:r>
          </w:p>
        </w:tc>
      </w:tr>
      <w:tr w14:paraId="4B4CBCBD">
        <w:tblPrEx>
          <w:tblCellMar>
            <w:top w:w="0" w:type="dxa"/>
            <w:left w:w="108" w:type="dxa"/>
            <w:bottom w:w="0" w:type="dxa"/>
            <w:right w:w="108" w:type="dxa"/>
          </w:tblCellMar>
        </w:tblPrEx>
        <w:trPr>
          <w:trHeight w:val="285" w:hRule="atLeast"/>
        </w:trPr>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D1427">
            <w:pPr>
              <w:pStyle w:val="45"/>
              <w:rPr>
                <w:rFonts w:hint="default"/>
              </w:rPr>
            </w:pPr>
            <w:r>
              <w:t>ESE</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48C56">
            <w:pPr>
              <w:pStyle w:val="45"/>
              <w:rPr>
                <w:rFonts w:hint="default"/>
              </w:rPr>
            </w:pPr>
            <w:r>
              <w:t>2.94</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12B1A">
            <w:pPr>
              <w:pStyle w:val="45"/>
              <w:rPr>
                <w:rFonts w:hint="default"/>
              </w:rPr>
            </w:pPr>
            <w:r>
              <w:t>3.89</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A097F0">
            <w:pPr>
              <w:pStyle w:val="45"/>
              <w:rPr>
                <w:rFonts w:hint="default"/>
              </w:rPr>
            </w:pPr>
            <w:r>
              <w:t>0.96</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B72E1">
            <w:pPr>
              <w:pStyle w:val="45"/>
              <w:rPr>
                <w:rFonts w:hint="default"/>
              </w:rPr>
            </w:pPr>
            <w:r>
              <w:t>0.83</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D89AF">
            <w:pPr>
              <w:pStyle w:val="45"/>
              <w:rPr>
                <w:rFonts w:hint="default"/>
              </w:rPr>
            </w:pPr>
            <w:r>
              <w:t>2.17</w:t>
            </w:r>
          </w:p>
        </w:tc>
      </w:tr>
      <w:tr w14:paraId="06A59520">
        <w:tblPrEx>
          <w:tblCellMar>
            <w:top w:w="0" w:type="dxa"/>
            <w:left w:w="108" w:type="dxa"/>
            <w:bottom w:w="0" w:type="dxa"/>
            <w:right w:w="108" w:type="dxa"/>
          </w:tblCellMar>
        </w:tblPrEx>
        <w:trPr>
          <w:trHeight w:val="285" w:hRule="atLeast"/>
        </w:trPr>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FD79D">
            <w:pPr>
              <w:pStyle w:val="45"/>
              <w:rPr>
                <w:rFonts w:hint="default"/>
              </w:rPr>
            </w:pPr>
            <w:r>
              <w:t>SE</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FDDA1">
            <w:pPr>
              <w:pStyle w:val="45"/>
              <w:rPr>
                <w:rFonts w:hint="default"/>
              </w:rPr>
            </w:pPr>
            <w:r>
              <w:t>3.58</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C633B">
            <w:pPr>
              <w:pStyle w:val="45"/>
              <w:rPr>
                <w:rFonts w:hint="default"/>
              </w:rPr>
            </w:pPr>
            <w:r>
              <w:t>5.12</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1F74C">
            <w:pPr>
              <w:pStyle w:val="45"/>
              <w:rPr>
                <w:rFonts w:hint="default"/>
              </w:rPr>
            </w:pPr>
            <w:r>
              <w:t>1.51</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E069B">
            <w:pPr>
              <w:pStyle w:val="45"/>
              <w:rPr>
                <w:rFonts w:hint="default"/>
              </w:rPr>
            </w:pPr>
            <w:r>
              <w:t>0.28</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D570F4">
            <w:pPr>
              <w:pStyle w:val="45"/>
              <w:rPr>
                <w:rFonts w:hint="default"/>
              </w:rPr>
            </w:pPr>
            <w:r>
              <w:t>2.64</w:t>
            </w:r>
          </w:p>
        </w:tc>
      </w:tr>
      <w:tr w14:paraId="051797CD">
        <w:tblPrEx>
          <w:tblCellMar>
            <w:top w:w="0" w:type="dxa"/>
            <w:left w:w="108" w:type="dxa"/>
            <w:bottom w:w="0" w:type="dxa"/>
            <w:right w:w="108" w:type="dxa"/>
          </w:tblCellMar>
        </w:tblPrEx>
        <w:trPr>
          <w:trHeight w:val="285" w:hRule="atLeast"/>
        </w:trPr>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EFAEB">
            <w:pPr>
              <w:pStyle w:val="45"/>
              <w:rPr>
                <w:rFonts w:hint="default"/>
              </w:rPr>
            </w:pPr>
            <w:r>
              <w:t>SSE</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EA0AEC">
            <w:pPr>
              <w:pStyle w:val="45"/>
              <w:rPr>
                <w:rFonts w:hint="default"/>
              </w:rPr>
            </w:pPr>
            <w:r>
              <w:t>5.75</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AA38FA">
            <w:pPr>
              <w:pStyle w:val="45"/>
              <w:rPr>
                <w:rFonts w:hint="default"/>
              </w:rPr>
            </w:pPr>
            <w:r>
              <w:t>12.95</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C9E47">
            <w:pPr>
              <w:pStyle w:val="45"/>
              <w:rPr>
                <w:rFonts w:hint="default"/>
              </w:rPr>
            </w:pPr>
            <w:r>
              <w:t>2.15</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58C09">
            <w:pPr>
              <w:pStyle w:val="45"/>
              <w:rPr>
                <w:rFonts w:hint="default"/>
              </w:rPr>
            </w:pPr>
            <w:r>
              <w:t>1.02</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AD4AE7">
            <w:pPr>
              <w:pStyle w:val="45"/>
              <w:rPr>
                <w:rFonts w:hint="default"/>
              </w:rPr>
            </w:pPr>
            <w:r>
              <w:t>5.50</w:t>
            </w:r>
          </w:p>
        </w:tc>
      </w:tr>
      <w:tr w14:paraId="5CA8B0F0">
        <w:tblPrEx>
          <w:tblCellMar>
            <w:top w:w="0" w:type="dxa"/>
            <w:left w:w="108" w:type="dxa"/>
            <w:bottom w:w="0" w:type="dxa"/>
            <w:right w:w="108" w:type="dxa"/>
          </w:tblCellMar>
        </w:tblPrEx>
        <w:trPr>
          <w:trHeight w:val="285" w:hRule="atLeast"/>
        </w:trPr>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C0308">
            <w:pPr>
              <w:pStyle w:val="45"/>
              <w:rPr>
                <w:rFonts w:hint="default"/>
              </w:rPr>
            </w:pPr>
            <w:r>
              <w:t>S</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73CB1">
            <w:pPr>
              <w:pStyle w:val="45"/>
              <w:rPr>
                <w:rFonts w:hint="default"/>
              </w:rPr>
            </w:pPr>
            <w:r>
              <w:t>7.47</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8A5E4">
            <w:pPr>
              <w:pStyle w:val="45"/>
              <w:rPr>
                <w:rFonts w:hint="default"/>
              </w:rPr>
            </w:pPr>
            <w:r>
              <w:t>25.00</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73D3CD">
            <w:pPr>
              <w:pStyle w:val="45"/>
              <w:rPr>
                <w:rFonts w:hint="default"/>
              </w:rPr>
            </w:pPr>
            <w:r>
              <w:t>4.21</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9E762">
            <w:pPr>
              <w:pStyle w:val="45"/>
              <w:rPr>
                <w:rFonts w:hint="default"/>
              </w:rPr>
            </w:pPr>
            <w:r>
              <w:t>1.34</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70E327">
            <w:pPr>
              <w:pStyle w:val="45"/>
              <w:rPr>
                <w:rFonts w:hint="default"/>
              </w:rPr>
            </w:pPr>
            <w:r>
              <w:t>9.57</w:t>
            </w:r>
          </w:p>
        </w:tc>
      </w:tr>
      <w:tr w14:paraId="6FDFF81A">
        <w:tblPrEx>
          <w:tblCellMar>
            <w:top w:w="0" w:type="dxa"/>
            <w:left w:w="108" w:type="dxa"/>
            <w:bottom w:w="0" w:type="dxa"/>
            <w:right w:w="108" w:type="dxa"/>
          </w:tblCellMar>
        </w:tblPrEx>
        <w:trPr>
          <w:trHeight w:val="285" w:hRule="atLeast"/>
        </w:trPr>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D11AA">
            <w:pPr>
              <w:pStyle w:val="45"/>
              <w:rPr>
                <w:rFonts w:hint="default"/>
              </w:rPr>
            </w:pPr>
            <w:r>
              <w:t>SSW</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3D142">
            <w:pPr>
              <w:pStyle w:val="45"/>
              <w:rPr>
                <w:rFonts w:hint="default"/>
              </w:rPr>
            </w:pPr>
            <w:r>
              <w:t>4.66</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4FB337">
            <w:pPr>
              <w:pStyle w:val="45"/>
              <w:rPr>
                <w:rFonts w:hint="default"/>
              </w:rPr>
            </w:pPr>
            <w:r>
              <w:t>12.68</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C8C647">
            <w:pPr>
              <w:pStyle w:val="45"/>
              <w:rPr>
                <w:rFonts w:hint="default"/>
              </w:rPr>
            </w:pPr>
            <w:r>
              <w:t>2.15</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9255A">
            <w:pPr>
              <w:pStyle w:val="45"/>
              <w:rPr>
                <w:rFonts w:hint="default"/>
              </w:rPr>
            </w:pPr>
            <w:r>
              <w:t>1.71</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C9EE7C">
            <w:pPr>
              <w:pStyle w:val="45"/>
              <w:rPr>
                <w:rFonts w:hint="default"/>
              </w:rPr>
            </w:pPr>
            <w:r>
              <w:t>5.33</w:t>
            </w:r>
          </w:p>
        </w:tc>
      </w:tr>
      <w:tr w14:paraId="516F6E3E">
        <w:tblPrEx>
          <w:tblCellMar>
            <w:top w:w="0" w:type="dxa"/>
            <w:left w:w="108" w:type="dxa"/>
            <w:bottom w:w="0" w:type="dxa"/>
            <w:right w:w="108" w:type="dxa"/>
          </w:tblCellMar>
        </w:tblPrEx>
        <w:trPr>
          <w:trHeight w:val="285" w:hRule="atLeast"/>
        </w:trPr>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E503C0">
            <w:pPr>
              <w:pStyle w:val="45"/>
              <w:rPr>
                <w:rFonts w:hint="default"/>
              </w:rPr>
            </w:pPr>
            <w:r>
              <w:t>SW</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3CCE86">
            <w:pPr>
              <w:pStyle w:val="45"/>
              <w:rPr>
                <w:rFonts w:hint="default"/>
              </w:rPr>
            </w:pPr>
            <w:r>
              <w:t>4.53</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49EA4">
            <w:pPr>
              <w:pStyle w:val="45"/>
              <w:rPr>
                <w:rFonts w:hint="default"/>
              </w:rPr>
            </w:pPr>
            <w:r>
              <w:t>7.02</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778EB">
            <w:pPr>
              <w:pStyle w:val="45"/>
              <w:rPr>
                <w:rFonts w:hint="default"/>
              </w:rPr>
            </w:pPr>
            <w:r>
              <w:t>1.69</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4BBA9">
            <w:pPr>
              <w:pStyle w:val="45"/>
              <w:rPr>
                <w:rFonts w:hint="default"/>
              </w:rPr>
            </w:pPr>
            <w:r>
              <w:t>1.25</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699E2">
            <w:pPr>
              <w:pStyle w:val="45"/>
              <w:rPr>
                <w:rFonts w:hint="default"/>
              </w:rPr>
            </w:pPr>
            <w:r>
              <w:t>3.64</w:t>
            </w:r>
          </w:p>
        </w:tc>
      </w:tr>
      <w:tr w14:paraId="2AAC8F61">
        <w:tblPrEx>
          <w:tblCellMar>
            <w:top w:w="0" w:type="dxa"/>
            <w:left w:w="108" w:type="dxa"/>
            <w:bottom w:w="0" w:type="dxa"/>
            <w:right w:w="108" w:type="dxa"/>
          </w:tblCellMar>
        </w:tblPrEx>
        <w:trPr>
          <w:trHeight w:val="285" w:hRule="atLeast"/>
        </w:trPr>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3FED0">
            <w:pPr>
              <w:pStyle w:val="45"/>
              <w:rPr>
                <w:rFonts w:hint="default"/>
              </w:rPr>
            </w:pPr>
            <w:r>
              <w:t>WSW</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55E50B">
            <w:pPr>
              <w:pStyle w:val="45"/>
              <w:rPr>
                <w:rFonts w:hint="default"/>
              </w:rPr>
            </w:pPr>
            <w:r>
              <w:t>2.81</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FAFC9">
            <w:pPr>
              <w:pStyle w:val="45"/>
              <w:rPr>
                <w:rFonts w:hint="default"/>
              </w:rPr>
            </w:pPr>
            <w:r>
              <w:t>3.62</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70382">
            <w:pPr>
              <w:pStyle w:val="45"/>
              <w:rPr>
                <w:rFonts w:hint="default"/>
              </w:rPr>
            </w:pPr>
            <w:r>
              <w:t>1.24</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8A6A2">
            <w:pPr>
              <w:pStyle w:val="45"/>
              <w:rPr>
                <w:rFonts w:hint="default"/>
              </w:rPr>
            </w:pPr>
            <w:r>
              <w:t>2.36</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E277A">
            <w:pPr>
              <w:pStyle w:val="45"/>
              <w:rPr>
                <w:rFonts w:hint="default"/>
              </w:rPr>
            </w:pPr>
            <w:r>
              <w:t>2.51</w:t>
            </w:r>
          </w:p>
        </w:tc>
      </w:tr>
      <w:tr w14:paraId="3B4600A0">
        <w:tblPrEx>
          <w:tblCellMar>
            <w:top w:w="0" w:type="dxa"/>
            <w:left w:w="108" w:type="dxa"/>
            <w:bottom w:w="0" w:type="dxa"/>
            <w:right w:w="108" w:type="dxa"/>
          </w:tblCellMar>
        </w:tblPrEx>
        <w:trPr>
          <w:trHeight w:val="285" w:hRule="atLeast"/>
        </w:trPr>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9BA14">
            <w:pPr>
              <w:pStyle w:val="45"/>
              <w:rPr>
                <w:rFonts w:hint="default"/>
              </w:rPr>
            </w:pPr>
            <w:r>
              <w:t>W</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5258D6">
            <w:pPr>
              <w:pStyle w:val="45"/>
              <w:rPr>
                <w:rFonts w:hint="default"/>
              </w:rPr>
            </w:pPr>
            <w:r>
              <w:t>3.03</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1928DA">
            <w:pPr>
              <w:pStyle w:val="45"/>
              <w:rPr>
                <w:rFonts w:hint="default"/>
              </w:rPr>
            </w:pPr>
            <w:r>
              <w:t>2.40</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A2074">
            <w:pPr>
              <w:pStyle w:val="45"/>
              <w:rPr>
                <w:rFonts w:hint="default"/>
              </w:rPr>
            </w:pPr>
            <w:r>
              <w:t>1.74</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393CB">
            <w:pPr>
              <w:pStyle w:val="45"/>
              <w:rPr>
                <w:rFonts w:hint="default"/>
              </w:rPr>
            </w:pPr>
            <w:r>
              <w:t>4.26</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A5514">
            <w:pPr>
              <w:pStyle w:val="45"/>
              <w:rPr>
                <w:rFonts w:hint="default"/>
              </w:rPr>
            </w:pPr>
            <w:r>
              <w:t>2.85</w:t>
            </w:r>
          </w:p>
        </w:tc>
      </w:tr>
      <w:tr w14:paraId="24ACC945">
        <w:tblPrEx>
          <w:tblCellMar>
            <w:top w:w="0" w:type="dxa"/>
            <w:left w:w="108" w:type="dxa"/>
            <w:bottom w:w="0" w:type="dxa"/>
            <w:right w:w="108" w:type="dxa"/>
          </w:tblCellMar>
        </w:tblPrEx>
        <w:trPr>
          <w:trHeight w:val="285" w:hRule="atLeast"/>
        </w:trPr>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398F8">
            <w:pPr>
              <w:pStyle w:val="45"/>
              <w:rPr>
                <w:rFonts w:hint="default"/>
              </w:rPr>
            </w:pPr>
            <w:r>
              <w:t>WNW</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AF091">
            <w:pPr>
              <w:pStyle w:val="45"/>
              <w:rPr>
                <w:rFonts w:hint="default"/>
              </w:rPr>
            </w:pPr>
            <w:r>
              <w:t>4.03</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8BE5A">
            <w:pPr>
              <w:pStyle w:val="45"/>
              <w:rPr>
                <w:rFonts w:hint="default"/>
              </w:rPr>
            </w:pPr>
            <w:r>
              <w:t>0.63</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75E93">
            <w:pPr>
              <w:pStyle w:val="45"/>
              <w:rPr>
                <w:rFonts w:hint="default"/>
              </w:rPr>
            </w:pPr>
            <w:r>
              <w:t>2.34</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EAB00">
            <w:pPr>
              <w:pStyle w:val="45"/>
              <w:rPr>
                <w:rFonts w:hint="default"/>
              </w:rPr>
            </w:pPr>
            <w:r>
              <w:t>5.32</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FED2A">
            <w:pPr>
              <w:pStyle w:val="45"/>
              <w:rPr>
                <w:rFonts w:hint="default"/>
              </w:rPr>
            </w:pPr>
            <w:r>
              <w:t>3.07</w:t>
            </w:r>
          </w:p>
        </w:tc>
      </w:tr>
      <w:tr w14:paraId="09E2EC67">
        <w:tblPrEx>
          <w:tblCellMar>
            <w:top w:w="0" w:type="dxa"/>
            <w:left w:w="108" w:type="dxa"/>
            <w:bottom w:w="0" w:type="dxa"/>
            <w:right w:w="108" w:type="dxa"/>
          </w:tblCellMar>
        </w:tblPrEx>
        <w:trPr>
          <w:trHeight w:val="285" w:hRule="atLeast"/>
        </w:trPr>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C9B6FC">
            <w:pPr>
              <w:pStyle w:val="45"/>
              <w:rPr>
                <w:rFonts w:hint="default"/>
              </w:rPr>
            </w:pPr>
            <w:r>
              <w:t>NW</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44F6AF">
            <w:pPr>
              <w:pStyle w:val="45"/>
              <w:rPr>
                <w:rFonts w:hint="default"/>
              </w:rPr>
            </w:pPr>
            <w:r>
              <w:t>4.94</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E6CF4">
            <w:pPr>
              <w:pStyle w:val="45"/>
              <w:rPr>
                <w:rFonts w:hint="default"/>
              </w:rPr>
            </w:pPr>
            <w:r>
              <w:t>0.86</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74B20">
            <w:pPr>
              <w:pStyle w:val="45"/>
              <w:rPr>
                <w:rFonts w:hint="default"/>
              </w:rPr>
            </w:pPr>
            <w:r>
              <w:t>4.76</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2C957">
            <w:pPr>
              <w:pStyle w:val="45"/>
              <w:rPr>
                <w:rFonts w:hint="default"/>
              </w:rPr>
            </w:pPr>
            <w:r>
              <w:t>8.52</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A7FC8">
            <w:pPr>
              <w:pStyle w:val="45"/>
              <w:rPr>
                <w:rFonts w:hint="default"/>
              </w:rPr>
            </w:pPr>
            <w:r>
              <w:t>4.75</w:t>
            </w:r>
          </w:p>
        </w:tc>
      </w:tr>
      <w:tr w14:paraId="06B7734B">
        <w:tblPrEx>
          <w:tblCellMar>
            <w:top w:w="0" w:type="dxa"/>
            <w:left w:w="108" w:type="dxa"/>
            <w:bottom w:w="0" w:type="dxa"/>
            <w:right w:w="108" w:type="dxa"/>
          </w:tblCellMar>
        </w:tblPrEx>
        <w:trPr>
          <w:trHeight w:val="285" w:hRule="atLeast"/>
        </w:trPr>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4A9EDD">
            <w:pPr>
              <w:pStyle w:val="45"/>
              <w:rPr>
                <w:rFonts w:hint="default"/>
              </w:rPr>
            </w:pPr>
            <w:r>
              <w:t>NNW</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72FCF8">
            <w:pPr>
              <w:pStyle w:val="45"/>
              <w:rPr>
                <w:rFonts w:hint="default"/>
              </w:rPr>
            </w:pPr>
            <w:r>
              <w:t>6.43</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215B34">
            <w:pPr>
              <w:pStyle w:val="45"/>
              <w:rPr>
                <w:rFonts w:hint="default"/>
              </w:rPr>
            </w:pPr>
            <w:r>
              <w:t>1.04</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497253">
            <w:pPr>
              <w:pStyle w:val="45"/>
              <w:rPr>
                <w:rFonts w:hint="default"/>
              </w:rPr>
            </w:pPr>
            <w:r>
              <w:t>6.64</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BBAA0">
            <w:pPr>
              <w:pStyle w:val="45"/>
              <w:rPr>
                <w:rFonts w:hint="default"/>
              </w:rPr>
            </w:pPr>
            <w:r>
              <w:t>11.57</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627B15">
            <w:pPr>
              <w:pStyle w:val="45"/>
              <w:rPr>
                <w:rFonts w:hint="default"/>
              </w:rPr>
            </w:pPr>
            <w:r>
              <w:t>6.39</w:t>
            </w:r>
          </w:p>
        </w:tc>
      </w:tr>
      <w:tr w14:paraId="73728320">
        <w:tblPrEx>
          <w:tblCellMar>
            <w:top w:w="0" w:type="dxa"/>
            <w:left w:w="108" w:type="dxa"/>
            <w:bottom w:w="0" w:type="dxa"/>
            <w:right w:w="108" w:type="dxa"/>
          </w:tblCellMar>
        </w:tblPrEx>
        <w:trPr>
          <w:trHeight w:val="285" w:hRule="atLeast"/>
        </w:trPr>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8B81C">
            <w:pPr>
              <w:pStyle w:val="45"/>
              <w:rPr>
                <w:rFonts w:hint="default"/>
              </w:rPr>
            </w:pPr>
            <w:r>
              <w:t>C</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7B9BC">
            <w:pPr>
              <w:pStyle w:val="45"/>
              <w:rPr>
                <w:rFonts w:hint="default"/>
              </w:rPr>
            </w:pPr>
            <w:r>
              <w:t>1.31</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BD3CB">
            <w:pPr>
              <w:pStyle w:val="45"/>
              <w:rPr>
                <w:rFonts w:hint="default"/>
              </w:rPr>
            </w:pPr>
            <w:r>
              <w:t>0.27</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0ECE2D">
            <w:pPr>
              <w:pStyle w:val="45"/>
              <w:rPr>
                <w:rFonts w:hint="default"/>
              </w:rPr>
            </w:pPr>
            <w:r>
              <w:t>0.46</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18979">
            <w:pPr>
              <w:pStyle w:val="45"/>
              <w:rPr>
                <w:rFonts w:hint="default"/>
              </w:rPr>
            </w:pPr>
            <w:r>
              <w:t>1.76</w:t>
            </w:r>
          </w:p>
        </w:tc>
        <w:tc>
          <w:tcPr>
            <w:tcW w:w="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4D631B">
            <w:pPr>
              <w:pStyle w:val="45"/>
              <w:rPr>
                <w:rFonts w:hint="default"/>
              </w:rPr>
            </w:pPr>
            <w:r>
              <w:t>0.95</w:t>
            </w:r>
          </w:p>
        </w:tc>
      </w:tr>
    </w:tbl>
    <w:p w14:paraId="503F3BF1">
      <w:pPr>
        <w:ind w:firstLine="0" w:firstLineChars="0"/>
      </w:pPr>
    </w:p>
    <w:p w14:paraId="1FC1D9C7">
      <w:pPr>
        <w:ind w:firstLine="0" w:firstLineChars="0"/>
      </w:pPr>
      <w:r>
        <w:drawing>
          <wp:inline distT="0" distB="0" distL="114300" distR="114300">
            <wp:extent cx="5270500" cy="2822575"/>
            <wp:effectExtent l="4445" t="4445" r="20955" b="11430"/>
            <wp:docPr id="30"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10E6F37D">
      <w:pPr>
        <w:pStyle w:val="42"/>
        <w:numPr>
          <w:ilvl w:val="6"/>
          <w:numId w:val="1"/>
        </w:numPr>
        <w:rPr>
          <w:rFonts w:hint="default"/>
        </w:rPr>
      </w:pPr>
      <w:r>
        <w:rPr>
          <w:rFonts w:hint="default"/>
        </w:rPr>
        <w:t>衡阳气象站202</w:t>
      </w:r>
      <w:r>
        <w:t>2</w:t>
      </w:r>
      <w:r>
        <w:rPr>
          <w:rFonts w:hint="default"/>
        </w:rPr>
        <w:t>年各风向出现频率</w:t>
      </w:r>
    </w:p>
    <w:p w14:paraId="5793A3C4">
      <w:pPr>
        <w:spacing w:line="240" w:lineRule="auto"/>
        <w:rPr>
          <w:rFonts w:hint="default"/>
        </w:rPr>
      </w:pPr>
    </w:p>
    <w:p w14:paraId="7BFF6E66">
      <w:pPr>
        <w:ind w:firstLine="480"/>
      </w:pPr>
      <w:r>
        <w:t>统计结果显示：衡阳气象站202</w:t>
      </w:r>
      <w:r>
        <w:rPr>
          <w:rFonts w:hint="eastAsia"/>
        </w:rPr>
        <w:t>2</w:t>
      </w:r>
      <w:r>
        <w:t>年出现频率最高的风向为NE，出现频率为</w:t>
      </w:r>
      <w:r>
        <w:rPr>
          <w:rFonts w:hint="eastAsia"/>
        </w:rPr>
        <w:t>19.51</w:t>
      </w:r>
      <w:r>
        <w:t>%。</w:t>
      </w:r>
    </w:p>
    <w:p w14:paraId="4BE5D22F">
      <w:pPr>
        <w:ind w:firstLine="480"/>
      </w:pPr>
    </w:p>
    <w:p w14:paraId="732475AC">
      <w:pPr>
        <w:ind w:firstLine="0" w:firstLineChars="0"/>
        <w:jc w:val="center"/>
      </w:pPr>
      <w:r>
        <w:drawing>
          <wp:inline distT="0" distB="0" distL="114300" distR="114300">
            <wp:extent cx="4692015" cy="6508750"/>
            <wp:effectExtent l="0" t="0" r="13335" b="6350"/>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151" cstate="print"/>
                    <a:srcRect t="2703"/>
                    <a:stretch>
                      <a:fillRect/>
                    </a:stretch>
                  </pic:blipFill>
                  <pic:spPr>
                    <a:xfrm>
                      <a:off x="0" y="0"/>
                      <a:ext cx="4692015" cy="6508750"/>
                    </a:xfrm>
                    <a:prstGeom prst="rect">
                      <a:avLst/>
                    </a:prstGeom>
                    <a:noFill/>
                    <a:ln>
                      <a:noFill/>
                    </a:ln>
                  </pic:spPr>
                </pic:pic>
              </a:graphicData>
            </a:graphic>
          </wp:inline>
        </w:drawing>
      </w:r>
    </w:p>
    <w:p w14:paraId="01968046">
      <w:pPr>
        <w:pStyle w:val="42"/>
        <w:numPr>
          <w:ilvl w:val="6"/>
          <w:numId w:val="1"/>
        </w:numPr>
        <w:rPr>
          <w:rFonts w:hint="default"/>
        </w:rPr>
      </w:pPr>
      <w:r>
        <w:rPr>
          <w:rFonts w:hint="default"/>
        </w:rPr>
        <w:t>衡阳气象站</w:t>
      </w:r>
      <w:r>
        <w:t>2022年</w:t>
      </w:r>
      <w:r>
        <w:rPr>
          <w:rFonts w:hint="default"/>
        </w:rPr>
        <w:t>气象统计风频玫瑰图</w:t>
      </w:r>
    </w:p>
    <w:p w14:paraId="2D1A0B82">
      <w:pPr>
        <w:spacing w:line="240" w:lineRule="auto"/>
        <w:ind w:firstLine="480"/>
      </w:pPr>
    </w:p>
    <w:p w14:paraId="0DBD4CED">
      <w:pPr>
        <w:ind w:firstLine="480"/>
      </w:pPr>
      <w:r>
        <w:t>根据统计结果：全年16个方位角风向中，NNE~NE风向频率之和&gt;30%，按照《环境影响评价技术导则--大气环境》（HJ2.2-2018）的规定，确定拟建项目所在区域主导风向为NNE~NE风向。</w:t>
      </w:r>
    </w:p>
    <w:p w14:paraId="1222A17C">
      <w:pPr>
        <w:pStyle w:val="4"/>
        <w:numPr>
          <w:ilvl w:val="2"/>
          <w:numId w:val="1"/>
        </w:numPr>
      </w:pPr>
      <w:bookmarkStart w:id="242" w:name="_Toc24425"/>
      <w:r>
        <w:rPr>
          <w:rFonts w:hint="eastAsia"/>
        </w:rPr>
        <w:t>评价范围及预测因子</w:t>
      </w:r>
      <w:bookmarkEnd w:id="242"/>
    </w:p>
    <w:p w14:paraId="282FE497">
      <w:pPr>
        <w:ind w:firstLine="480"/>
      </w:pPr>
      <w:r>
        <w:t>由估算结果可知，本项目大气影响评价等级为一级，根据《环境影响评价技术导则（大气环境）》（HJ2.2-2018），项目大气环境影响评价范围为以厂区中心</w:t>
      </w:r>
      <w:r>
        <w:rPr>
          <w:rFonts w:hint="eastAsia"/>
          <w:lang w:eastAsia="zh-CN"/>
        </w:rPr>
        <w:t>，</w:t>
      </w:r>
      <w:r>
        <w:rPr>
          <w:rFonts w:hint="eastAsia"/>
          <w:lang w:val="en-US" w:eastAsia="zh-CN"/>
        </w:rPr>
        <w:t>厂界外延</w:t>
      </w:r>
      <w:r>
        <w:rPr>
          <w:rFonts w:hint="eastAsia"/>
          <w:kern w:val="24"/>
          <w:lang w:val="en-US" w:eastAsia="zh-CN"/>
        </w:rPr>
        <w:t>边长为</w:t>
      </w:r>
      <w:r>
        <w:rPr>
          <w:rFonts w:hint="eastAsia"/>
          <w:kern w:val="24"/>
        </w:rPr>
        <w:t xml:space="preserve">5km </w:t>
      </w:r>
      <w:r>
        <w:rPr>
          <w:kern w:val="24"/>
        </w:rPr>
        <w:t>的矩形范围内</w:t>
      </w:r>
      <w:r>
        <w:t>。</w:t>
      </w:r>
    </w:p>
    <w:p w14:paraId="6F6299B6">
      <w:pPr>
        <w:ind w:firstLine="480"/>
      </w:pPr>
      <w:r>
        <w:t>根据项目的污染物排放特征及所在区域的环境污染特征，本次大气环境影响评价选取本项目的主要污染物：TSP</w:t>
      </w:r>
      <w:r>
        <w:rPr>
          <w:rFonts w:hint="eastAsia"/>
        </w:rPr>
        <w:t>（</w:t>
      </w:r>
      <w:r>
        <w:rPr>
          <w:rFonts w:hint="eastAsia" w:cs="Times New Roman"/>
          <w:color w:val="000000"/>
          <w:sz w:val="21"/>
          <w:szCs w:val="21"/>
        </w:rPr>
        <w:t>PM</w:t>
      </w:r>
      <w:r>
        <w:rPr>
          <w:rFonts w:hint="eastAsia" w:cs="Times New Roman"/>
          <w:color w:val="000000"/>
          <w:sz w:val="21"/>
          <w:szCs w:val="21"/>
          <w:vertAlign w:val="subscript"/>
        </w:rPr>
        <w:t>10</w:t>
      </w:r>
      <w:r>
        <w:rPr>
          <w:rFonts w:hint="eastAsia"/>
        </w:rPr>
        <w:t>）</w:t>
      </w:r>
      <w:r>
        <w:t>、HCl、Cl</w:t>
      </w:r>
      <w:r>
        <w:rPr>
          <w:vertAlign w:val="subscript"/>
        </w:rPr>
        <w:t>2</w:t>
      </w:r>
      <w:r>
        <w:t>作为评价因子。</w:t>
      </w:r>
    </w:p>
    <w:p w14:paraId="09A23497">
      <w:pPr>
        <w:pStyle w:val="4"/>
        <w:numPr>
          <w:ilvl w:val="2"/>
          <w:numId w:val="1"/>
        </w:numPr>
      </w:pPr>
      <w:bookmarkStart w:id="243" w:name="_Toc2195"/>
      <w:r>
        <w:rPr>
          <w:rFonts w:hint="eastAsia"/>
        </w:rPr>
        <w:t>预测模型</w:t>
      </w:r>
      <w:bookmarkEnd w:id="243"/>
    </w:p>
    <w:p w14:paraId="5DFB54C6">
      <w:pPr>
        <w:ind w:firstLine="480"/>
      </w:pPr>
      <w:r>
        <w:t>根据HJ2.2-2018的推荐模型，本次大气环境影响预测采用EIA2018版AERMOD预测软件，进行进一步预测。</w:t>
      </w:r>
    </w:p>
    <w:p w14:paraId="218AE724">
      <w:pPr>
        <w:pStyle w:val="4"/>
        <w:numPr>
          <w:ilvl w:val="2"/>
          <w:numId w:val="1"/>
        </w:numPr>
      </w:pPr>
      <w:bookmarkStart w:id="244" w:name="_Toc2503"/>
      <w:r>
        <w:rPr>
          <w:rFonts w:hint="eastAsia"/>
        </w:rPr>
        <w:t>关心点及地形数据</w:t>
      </w:r>
      <w:bookmarkEnd w:id="244"/>
    </w:p>
    <w:p w14:paraId="5039C451">
      <w:pPr>
        <w:ind w:firstLine="480"/>
      </w:pPr>
      <w:r>
        <w:t>本次大气环境影响预测计算点包括：环境空气敏感点、评现状监测点。关心点位置见</w:t>
      </w:r>
      <w:r>
        <w:rPr>
          <w:rFonts w:hint="eastAsia"/>
        </w:rPr>
        <w:t>环境保护目标一览图</w:t>
      </w:r>
      <w:r>
        <w:t>。采用等间距直角坐标网格，设置网格间距为50m。</w:t>
      </w:r>
    </w:p>
    <w:p w14:paraId="56EF24C6">
      <w:pPr>
        <w:keepNext/>
        <w:numPr>
          <w:ilvl w:val="5"/>
          <w:numId w:val="1"/>
        </w:numPr>
        <w:snapToGrid w:val="0"/>
        <w:spacing w:line="240" w:lineRule="auto"/>
        <w:ind w:firstLine="420" w:firstLineChars="0"/>
        <w:jc w:val="center"/>
        <w:rPr>
          <w:b/>
          <w:bCs/>
          <w:sz w:val="21"/>
          <w:szCs w:val="21"/>
        </w:rPr>
      </w:pPr>
      <w:r>
        <w:rPr>
          <w:rFonts w:hint="eastAsia"/>
          <w:b/>
          <w:bCs/>
          <w:sz w:val="21"/>
          <w:szCs w:val="21"/>
          <w:lang w:val="en-US" w:eastAsia="zh-CN"/>
        </w:rPr>
        <w:t>大气</w:t>
      </w:r>
      <w:r>
        <w:rPr>
          <w:b/>
          <w:bCs/>
          <w:sz w:val="21"/>
          <w:szCs w:val="21"/>
        </w:rPr>
        <w:t>环境敏感目标坐标及高程</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46"/>
        <w:gridCol w:w="2146"/>
        <w:gridCol w:w="2115"/>
        <w:gridCol w:w="2115"/>
      </w:tblGrid>
      <w:tr w14:paraId="597B7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blHeader/>
        </w:trPr>
        <w:tc>
          <w:tcPr>
            <w:tcW w:w="2146" w:type="dxa"/>
            <w:vMerge w:val="restart"/>
            <w:vAlign w:val="center"/>
          </w:tcPr>
          <w:p w14:paraId="55E80226">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敏感点</w:t>
            </w:r>
          </w:p>
        </w:tc>
        <w:tc>
          <w:tcPr>
            <w:tcW w:w="4261" w:type="dxa"/>
            <w:gridSpan w:val="2"/>
            <w:vAlign w:val="center"/>
          </w:tcPr>
          <w:p w14:paraId="68CB2A93">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坐标（项目中心点为坐标原点）</w:t>
            </w:r>
          </w:p>
        </w:tc>
        <w:tc>
          <w:tcPr>
            <w:tcW w:w="2115" w:type="dxa"/>
            <w:vMerge w:val="restart"/>
            <w:vAlign w:val="center"/>
          </w:tcPr>
          <w:p w14:paraId="6E709CB8">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高程（m）</w:t>
            </w:r>
          </w:p>
        </w:tc>
      </w:tr>
      <w:tr w14:paraId="25270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blHeader/>
        </w:trPr>
        <w:tc>
          <w:tcPr>
            <w:tcW w:w="2146" w:type="dxa"/>
            <w:vMerge w:val="continue"/>
            <w:vAlign w:val="center"/>
          </w:tcPr>
          <w:p w14:paraId="30E0C287">
            <w:pPr>
              <w:snapToGrid w:val="0"/>
              <w:spacing w:line="240" w:lineRule="auto"/>
              <w:ind w:firstLine="0" w:firstLineChars="0"/>
              <w:jc w:val="center"/>
              <w:textAlignment w:val="baseline"/>
              <w:rPr>
                <w:rFonts w:cs="Times New Roman"/>
                <w:b/>
                <w:bCs/>
                <w:kern w:val="0"/>
                <w:sz w:val="21"/>
                <w:szCs w:val="21"/>
              </w:rPr>
            </w:pPr>
          </w:p>
        </w:tc>
        <w:tc>
          <w:tcPr>
            <w:tcW w:w="2146" w:type="dxa"/>
            <w:vAlign w:val="center"/>
          </w:tcPr>
          <w:p w14:paraId="7A10CB85">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X</w:t>
            </w:r>
          </w:p>
        </w:tc>
        <w:tc>
          <w:tcPr>
            <w:tcW w:w="2115" w:type="dxa"/>
            <w:vAlign w:val="center"/>
          </w:tcPr>
          <w:p w14:paraId="57F4C164">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Y</w:t>
            </w:r>
          </w:p>
        </w:tc>
        <w:tc>
          <w:tcPr>
            <w:tcW w:w="2115" w:type="dxa"/>
            <w:vMerge w:val="continue"/>
            <w:vAlign w:val="center"/>
          </w:tcPr>
          <w:p w14:paraId="10A5225C">
            <w:pPr>
              <w:snapToGrid w:val="0"/>
              <w:spacing w:line="240" w:lineRule="auto"/>
              <w:ind w:firstLine="0" w:firstLineChars="0"/>
              <w:jc w:val="center"/>
              <w:textAlignment w:val="baseline"/>
              <w:rPr>
                <w:rFonts w:cs="Times New Roman"/>
                <w:b/>
                <w:bCs/>
                <w:kern w:val="0"/>
                <w:sz w:val="21"/>
                <w:szCs w:val="21"/>
              </w:rPr>
            </w:pPr>
          </w:p>
        </w:tc>
      </w:tr>
      <w:tr w14:paraId="521F5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146" w:type="dxa"/>
            <w:vAlign w:val="center"/>
          </w:tcPr>
          <w:p w14:paraId="002A7F73">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新安村</w:t>
            </w:r>
          </w:p>
        </w:tc>
        <w:tc>
          <w:tcPr>
            <w:tcW w:w="2146" w:type="dxa"/>
            <w:vAlign w:val="center"/>
          </w:tcPr>
          <w:p w14:paraId="588A6E4F">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313</w:t>
            </w:r>
          </w:p>
        </w:tc>
        <w:tc>
          <w:tcPr>
            <w:tcW w:w="2115" w:type="dxa"/>
            <w:vAlign w:val="center"/>
          </w:tcPr>
          <w:p w14:paraId="49B2157D">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1987</w:t>
            </w:r>
          </w:p>
        </w:tc>
        <w:tc>
          <w:tcPr>
            <w:tcW w:w="2115" w:type="dxa"/>
            <w:vAlign w:val="center"/>
          </w:tcPr>
          <w:p w14:paraId="594B1AD2">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67</w:t>
            </w:r>
          </w:p>
        </w:tc>
      </w:tr>
      <w:tr w14:paraId="60FD6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146" w:type="dxa"/>
            <w:vAlign w:val="center"/>
          </w:tcPr>
          <w:p w14:paraId="788800FE">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松木村</w:t>
            </w:r>
          </w:p>
        </w:tc>
        <w:tc>
          <w:tcPr>
            <w:tcW w:w="2146" w:type="dxa"/>
            <w:vAlign w:val="center"/>
          </w:tcPr>
          <w:p w14:paraId="47087842">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-1858</w:t>
            </w:r>
          </w:p>
        </w:tc>
        <w:tc>
          <w:tcPr>
            <w:tcW w:w="2115" w:type="dxa"/>
            <w:vAlign w:val="center"/>
          </w:tcPr>
          <w:p w14:paraId="2351EC86">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1736</w:t>
            </w:r>
          </w:p>
        </w:tc>
        <w:tc>
          <w:tcPr>
            <w:tcW w:w="2115" w:type="dxa"/>
            <w:vAlign w:val="center"/>
          </w:tcPr>
          <w:p w14:paraId="00589AEE">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95.29</w:t>
            </w:r>
          </w:p>
        </w:tc>
      </w:tr>
      <w:tr w14:paraId="0324B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146" w:type="dxa"/>
            <w:vAlign w:val="center"/>
          </w:tcPr>
          <w:p w14:paraId="3457491C">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金源小学</w:t>
            </w:r>
          </w:p>
        </w:tc>
        <w:tc>
          <w:tcPr>
            <w:tcW w:w="2146" w:type="dxa"/>
            <w:vAlign w:val="center"/>
          </w:tcPr>
          <w:p w14:paraId="55FD4BF6">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-2283</w:t>
            </w:r>
          </w:p>
        </w:tc>
        <w:tc>
          <w:tcPr>
            <w:tcW w:w="2115" w:type="dxa"/>
            <w:vAlign w:val="center"/>
          </w:tcPr>
          <w:p w14:paraId="5D4BAA8F">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694</w:t>
            </w:r>
          </w:p>
        </w:tc>
        <w:tc>
          <w:tcPr>
            <w:tcW w:w="2115" w:type="dxa"/>
            <w:vAlign w:val="center"/>
          </w:tcPr>
          <w:p w14:paraId="6AD42BCC">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93.73</w:t>
            </w:r>
          </w:p>
        </w:tc>
      </w:tr>
      <w:tr w14:paraId="5073B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146" w:type="dxa"/>
            <w:vAlign w:val="center"/>
          </w:tcPr>
          <w:p w14:paraId="24D8C8B9">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金源社区安置房2</w:t>
            </w:r>
          </w:p>
        </w:tc>
        <w:tc>
          <w:tcPr>
            <w:tcW w:w="2146" w:type="dxa"/>
            <w:vAlign w:val="center"/>
          </w:tcPr>
          <w:p w14:paraId="034337C6">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-2031</w:t>
            </w:r>
          </w:p>
        </w:tc>
        <w:tc>
          <w:tcPr>
            <w:tcW w:w="2115" w:type="dxa"/>
            <w:vAlign w:val="center"/>
          </w:tcPr>
          <w:p w14:paraId="4420923D">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824</w:t>
            </w:r>
          </w:p>
        </w:tc>
        <w:tc>
          <w:tcPr>
            <w:tcW w:w="2115" w:type="dxa"/>
            <w:vAlign w:val="center"/>
          </w:tcPr>
          <w:p w14:paraId="57FE814E">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75.09</w:t>
            </w:r>
          </w:p>
        </w:tc>
      </w:tr>
      <w:tr w14:paraId="77BA7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146" w:type="dxa"/>
            <w:vAlign w:val="center"/>
          </w:tcPr>
          <w:p w14:paraId="50701515">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金源社区医院</w:t>
            </w:r>
          </w:p>
        </w:tc>
        <w:tc>
          <w:tcPr>
            <w:tcW w:w="2146" w:type="dxa"/>
            <w:vAlign w:val="center"/>
          </w:tcPr>
          <w:p w14:paraId="1328F1CC">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-1875</w:t>
            </w:r>
          </w:p>
        </w:tc>
        <w:tc>
          <w:tcPr>
            <w:tcW w:w="2115" w:type="dxa"/>
            <w:vAlign w:val="center"/>
          </w:tcPr>
          <w:p w14:paraId="0C978572">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738</w:t>
            </w:r>
          </w:p>
        </w:tc>
        <w:tc>
          <w:tcPr>
            <w:tcW w:w="2115" w:type="dxa"/>
            <w:vAlign w:val="center"/>
          </w:tcPr>
          <w:p w14:paraId="642B5158">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77.89</w:t>
            </w:r>
          </w:p>
        </w:tc>
      </w:tr>
      <w:tr w14:paraId="42B17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146" w:type="dxa"/>
            <w:vAlign w:val="center"/>
          </w:tcPr>
          <w:p w14:paraId="6B80F516">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金源社区安置房</w:t>
            </w:r>
          </w:p>
        </w:tc>
        <w:tc>
          <w:tcPr>
            <w:tcW w:w="2146" w:type="dxa"/>
            <w:vAlign w:val="center"/>
          </w:tcPr>
          <w:p w14:paraId="2479E800">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-2083</w:t>
            </w:r>
          </w:p>
        </w:tc>
        <w:tc>
          <w:tcPr>
            <w:tcW w:w="2115" w:type="dxa"/>
            <w:vAlign w:val="center"/>
          </w:tcPr>
          <w:p w14:paraId="6B364506">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356</w:t>
            </w:r>
          </w:p>
        </w:tc>
        <w:tc>
          <w:tcPr>
            <w:tcW w:w="2115" w:type="dxa"/>
            <w:vAlign w:val="center"/>
          </w:tcPr>
          <w:p w14:paraId="4C2445BE">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103.25</w:t>
            </w:r>
          </w:p>
        </w:tc>
      </w:tr>
      <w:tr w14:paraId="4426A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146" w:type="dxa"/>
            <w:vAlign w:val="center"/>
          </w:tcPr>
          <w:p w14:paraId="41C5418B">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湖南工商职业学院</w:t>
            </w:r>
          </w:p>
        </w:tc>
        <w:tc>
          <w:tcPr>
            <w:tcW w:w="2146" w:type="dxa"/>
            <w:vAlign w:val="center"/>
          </w:tcPr>
          <w:p w14:paraId="72A38F4C">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-2214</w:t>
            </w:r>
          </w:p>
        </w:tc>
        <w:tc>
          <w:tcPr>
            <w:tcW w:w="2115" w:type="dxa"/>
            <w:vAlign w:val="center"/>
          </w:tcPr>
          <w:p w14:paraId="7D697A89">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87</w:t>
            </w:r>
          </w:p>
        </w:tc>
        <w:tc>
          <w:tcPr>
            <w:tcW w:w="2115" w:type="dxa"/>
            <w:vAlign w:val="center"/>
          </w:tcPr>
          <w:p w14:paraId="3956C379">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103.03</w:t>
            </w:r>
          </w:p>
        </w:tc>
      </w:tr>
      <w:tr w14:paraId="1F42D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146" w:type="dxa"/>
            <w:vAlign w:val="center"/>
          </w:tcPr>
          <w:p w14:paraId="4E956F3D">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园区管委会</w:t>
            </w:r>
          </w:p>
        </w:tc>
        <w:tc>
          <w:tcPr>
            <w:tcW w:w="2146" w:type="dxa"/>
            <w:vAlign w:val="center"/>
          </w:tcPr>
          <w:p w14:paraId="63B2A2F4">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-1884</w:t>
            </w:r>
          </w:p>
        </w:tc>
        <w:tc>
          <w:tcPr>
            <w:tcW w:w="2115" w:type="dxa"/>
            <w:vAlign w:val="center"/>
          </w:tcPr>
          <w:p w14:paraId="66B7BCDE">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-235</w:t>
            </w:r>
          </w:p>
        </w:tc>
        <w:tc>
          <w:tcPr>
            <w:tcW w:w="2115" w:type="dxa"/>
            <w:vAlign w:val="center"/>
          </w:tcPr>
          <w:p w14:paraId="381A038F">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80.74</w:t>
            </w:r>
          </w:p>
        </w:tc>
      </w:tr>
      <w:tr w14:paraId="5E003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146" w:type="dxa"/>
            <w:vAlign w:val="center"/>
          </w:tcPr>
          <w:p w14:paraId="6AEE5886">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松木中学</w:t>
            </w:r>
          </w:p>
        </w:tc>
        <w:tc>
          <w:tcPr>
            <w:tcW w:w="2146" w:type="dxa"/>
            <w:vAlign w:val="center"/>
          </w:tcPr>
          <w:p w14:paraId="46686741">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-2352</w:t>
            </w:r>
          </w:p>
        </w:tc>
        <w:tc>
          <w:tcPr>
            <w:tcW w:w="2115" w:type="dxa"/>
            <w:vAlign w:val="center"/>
          </w:tcPr>
          <w:p w14:paraId="3447EB6C">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-87</w:t>
            </w:r>
          </w:p>
        </w:tc>
        <w:tc>
          <w:tcPr>
            <w:tcW w:w="2115" w:type="dxa"/>
            <w:vAlign w:val="center"/>
          </w:tcPr>
          <w:p w14:paraId="5616524D">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93.92</w:t>
            </w:r>
          </w:p>
        </w:tc>
      </w:tr>
      <w:tr w14:paraId="3B79C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146" w:type="dxa"/>
            <w:vAlign w:val="center"/>
          </w:tcPr>
          <w:p w14:paraId="471EA102">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松木村2</w:t>
            </w:r>
          </w:p>
        </w:tc>
        <w:tc>
          <w:tcPr>
            <w:tcW w:w="2146" w:type="dxa"/>
            <w:vAlign w:val="center"/>
          </w:tcPr>
          <w:p w14:paraId="4FBB0C75">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-2187</w:t>
            </w:r>
          </w:p>
        </w:tc>
        <w:tc>
          <w:tcPr>
            <w:tcW w:w="2115" w:type="dxa"/>
            <w:vAlign w:val="center"/>
          </w:tcPr>
          <w:p w14:paraId="421E0BAF">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-356</w:t>
            </w:r>
          </w:p>
        </w:tc>
        <w:tc>
          <w:tcPr>
            <w:tcW w:w="2115" w:type="dxa"/>
            <w:vAlign w:val="center"/>
          </w:tcPr>
          <w:p w14:paraId="243234D8">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89.34</w:t>
            </w:r>
          </w:p>
        </w:tc>
      </w:tr>
      <w:tr w14:paraId="0149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146" w:type="dxa"/>
            <w:vAlign w:val="center"/>
          </w:tcPr>
          <w:p w14:paraId="738FF62B">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园区安置房</w:t>
            </w:r>
          </w:p>
        </w:tc>
        <w:tc>
          <w:tcPr>
            <w:tcW w:w="2146" w:type="dxa"/>
            <w:vAlign w:val="center"/>
          </w:tcPr>
          <w:p w14:paraId="24E8434D">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-1441</w:t>
            </w:r>
          </w:p>
        </w:tc>
        <w:tc>
          <w:tcPr>
            <w:tcW w:w="2115" w:type="dxa"/>
            <w:vAlign w:val="center"/>
          </w:tcPr>
          <w:p w14:paraId="584BC162">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-261</w:t>
            </w:r>
          </w:p>
        </w:tc>
        <w:tc>
          <w:tcPr>
            <w:tcW w:w="2115" w:type="dxa"/>
            <w:vAlign w:val="center"/>
          </w:tcPr>
          <w:p w14:paraId="328F9EDD">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84.87</w:t>
            </w:r>
          </w:p>
        </w:tc>
      </w:tr>
      <w:tr w14:paraId="4C92F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146" w:type="dxa"/>
            <w:vAlign w:val="center"/>
          </w:tcPr>
          <w:p w14:paraId="7C7BC6A4">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友谊村</w:t>
            </w:r>
          </w:p>
        </w:tc>
        <w:tc>
          <w:tcPr>
            <w:tcW w:w="2146" w:type="dxa"/>
            <w:vAlign w:val="center"/>
          </w:tcPr>
          <w:p w14:paraId="10347C59">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26</w:t>
            </w:r>
          </w:p>
        </w:tc>
        <w:tc>
          <w:tcPr>
            <w:tcW w:w="2115" w:type="dxa"/>
            <w:vAlign w:val="center"/>
          </w:tcPr>
          <w:p w14:paraId="20AE060C">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-1415</w:t>
            </w:r>
          </w:p>
        </w:tc>
        <w:tc>
          <w:tcPr>
            <w:tcW w:w="2115" w:type="dxa"/>
            <w:vAlign w:val="center"/>
          </w:tcPr>
          <w:p w14:paraId="660D4201">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73.39</w:t>
            </w:r>
          </w:p>
        </w:tc>
      </w:tr>
      <w:tr w14:paraId="4E017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146" w:type="dxa"/>
            <w:vAlign w:val="center"/>
          </w:tcPr>
          <w:p w14:paraId="55B84B56">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龙谊村</w:t>
            </w:r>
          </w:p>
        </w:tc>
        <w:tc>
          <w:tcPr>
            <w:tcW w:w="2146" w:type="dxa"/>
            <w:vAlign w:val="center"/>
          </w:tcPr>
          <w:p w14:paraId="47024F3B">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972</w:t>
            </w:r>
          </w:p>
        </w:tc>
        <w:tc>
          <w:tcPr>
            <w:tcW w:w="2115" w:type="dxa"/>
            <w:vAlign w:val="center"/>
          </w:tcPr>
          <w:p w14:paraId="1D75EBA5">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-1311</w:t>
            </w:r>
          </w:p>
        </w:tc>
        <w:tc>
          <w:tcPr>
            <w:tcW w:w="2115" w:type="dxa"/>
            <w:vAlign w:val="center"/>
          </w:tcPr>
          <w:p w14:paraId="2DD87B78">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62.26</w:t>
            </w:r>
          </w:p>
        </w:tc>
      </w:tr>
      <w:tr w14:paraId="45DCD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146" w:type="dxa"/>
            <w:vAlign w:val="center"/>
          </w:tcPr>
          <w:p w14:paraId="492773BF">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友爱村</w:t>
            </w:r>
          </w:p>
        </w:tc>
        <w:tc>
          <w:tcPr>
            <w:tcW w:w="2146" w:type="dxa"/>
            <w:vAlign w:val="center"/>
          </w:tcPr>
          <w:p w14:paraId="7216617A">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1128</w:t>
            </w:r>
          </w:p>
        </w:tc>
        <w:tc>
          <w:tcPr>
            <w:tcW w:w="2115" w:type="dxa"/>
            <w:vAlign w:val="center"/>
          </w:tcPr>
          <w:p w14:paraId="09070E91">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-2170</w:t>
            </w:r>
          </w:p>
        </w:tc>
        <w:tc>
          <w:tcPr>
            <w:tcW w:w="2115" w:type="dxa"/>
            <w:vAlign w:val="center"/>
          </w:tcPr>
          <w:p w14:paraId="1997EFF4">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54.78</w:t>
            </w:r>
          </w:p>
        </w:tc>
      </w:tr>
      <w:tr w14:paraId="08AB5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146" w:type="dxa"/>
            <w:vAlign w:val="center"/>
          </w:tcPr>
          <w:p w14:paraId="50F76C0C">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江霞村</w:t>
            </w:r>
          </w:p>
        </w:tc>
        <w:tc>
          <w:tcPr>
            <w:tcW w:w="2146" w:type="dxa"/>
            <w:vAlign w:val="center"/>
          </w:tcPr>
          <w:p w14:paraId="7893EF5D">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1762</w:t>
            </w:r>
          </w:p>
        </w:tc>
        <w:tc>
          <w:tcPr>
            <w:tcW w:w="2115" w:type="dxa"/>
            <w:vAlign w:val="center"/>
          </w:tcPr>
          <w:p w14:paraId="04EA061B">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-1484</w:t>
            </w:r>
          </w:p>
        </w:tc>
        <w:tc>
          <w:tcPr>
            <w:tcW w:w="2115" w:type="dxa"/>
            <w:vAlign w:val="center"/>
          </w:tcPr>
          <w:p w14:paraId="08B1669F">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59</w:t>
            </w:r>
          </w:p>
        </w:tc>
      </w:tr>
      <w:tr w14:paraId="0955B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146" w:type="dxa"/>
            <w:vAlign w:val="center"/>
          </w:tcPr>
          <w:p w14:paraId="0630C2A6">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金兰村</w:t>
            </w:r>
          </w:p>
        </w:tc>
        <w:tc>
          <w:tcPr>
            <w:tcW w:w="2146" w:type="dxa"/>
            <w:vAlign w:val="center"/>
          </w:tcPr>
          <w:p w14:paraId="4A2C0B2E">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1753</w:t>
            </w:r>
          </w:p>
        </w:tc>
        <w:tc>
          <w:tcPr>
            <w:tcW w:w="2115" w:type="dxa"/>
            <w:vAlign w:val="center"/>
          </w:tcPr>
          <w:p w14:paraId="3887E9C6">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-261</w:t>
            </w:r>
          </w:p>
        </w:tc>
        <w:tc>
          <w:tcPr>
            <w:tcW w:w="2115" w:type="dxa"/>
            <w:vAlign w:val="center"/>
          </w:tcPr>
          <w:p w14:paraId="62766897">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58.88</w:t>
            </w:r>
          </w:p>
        </w:tc>
      </w:tr>
      <w:tr w14:paraId="5E870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146" w:type="dxa"/>
            <w:vAlign w:val="center"/>
          </w:tcPr>
          <w:p w14:paraId="0E47174C">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大昌村</w:t>
            </w:r>
          </w:p>
        </w:tc>
        <w:tc>
          <w:tcPr>
            <w:tcW w:w="2146" w:type="dxa"/>
            <w:vAlign w:val="center"/>
          </w:tcPr>
          <w:p w14:paraId="0853254E">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1736</w:t>
            </w:r>
          </w:p>
        </w:tc>
        <w:tc>
          <w:tcPr>
            <w:tcW w:w="2115" w:type="dxa"/>
            <w:vAlign w:val="center"/>
          </w:tcPr>
          <w:p w14:paraId="72496689">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-200</w:t>
            </w:r>
          </w:p>
        </w:tc>
        <w:tc>
          <w:tcPr>
            <w:tcW w:w="2115" w:type="dxa"/>
            <w:vAlign w:val="center"/>
          </w:tcPr>
          <w:p w14:paraId="07DF418D">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58.37</w:t>
            </w:r>
          </w:p>
        </w:tc>
      </w:tr>
    </w:tbl>
    <w:p w14:paraId="6EC4200C">
      <w:pPr>
        <w:spacing w:line="240" w:lineRule="auto"/>
        <w:ind w:firstLine="480"/>
      </w:pPr>
    </w:p>
    <w:p w14:paraId="65C84EFC">
      <w:pPr>
        <w:ind w:firstLine="480"/>
      </w:pPr>
      <w:r>
        <w:t>本次评价使用的地形数据是STRM数字高程数据格式，从“http://srtm.csi.cgiar.org/”网站上下载。地形数据范围覆盖评价范围，地形精度90m。本次大气环境影响评价范围内复杂地形示意图如下。</w:t>
      </w:r>
    </w:p>
    <w:p w14:paraId="422EE00A">
      <w:pPr>
        <w:ind w:firstLine="480"/>
      </w:pPr>
    </w:p>
    <w:p w14:paraId="3DEA4088">
      <w:pPr>
        <w:ind w:firstLine="0" w:firstLineChars="0"/>
      </w:pPr>
      <w:r>
        <mc:AlternateContent>
          <mc:Choice Requires="wps">
            <w:drawing>
              <wp:anchor distT="0" distB="0" distL="114300" distR="114300" simplePos="0" relativeHeight="251660288" behindDoc="0" locked="0" layoutInCell="1" allowOverlap="1">
                <wp:simplePos x="0" y="0"/>
                <wp:positionH relativeFrom="column">
                  <wp:posOffset>2703195</wp:posOffset>
                </wp:positionH>
                <wp:positionV relativeFrom="paragraph">
                  <wp:posOffset>1662430</wp:posOffset>
                </wp:positionV>
                <wp:extent cx="601345" cy="325755"/>
                <wp:effectExtent l="0" t="0" r="8255" b="17145"/>
                <wp:wrapNone/>
                <wp:docPr id="25" name="文本框 25"/>
                <wp:cNvGraphicFramePr/>
                <a:graphic xmlns:a="http://schemas.openxmlformats.org/drawingml/2006/main">
                  <a:graphicData uri="http://schemas.microsoft.com/office/word/2010/wordprocessingShape">
                    <wps:wsp>
                      <wps:cNvSpPr txBox="1"/>
                      <wps:spPr>
                        <a:xfrm>
                          <a:off x="4236085" y="2758440"/>
                          <a:ext cx="601345" cy="325755"/>
                        </a:xfrm>
                        <a:prstGeom prst="rect">
                          <a:avLst/>
                        </a:prstGeom>
                        <a:solidFill>
                          <a:srgbClr val="FFFFFF"/>
                        </a:solidFill>
                        <a:ln w="6350">
                          <a:noFill/>
                        </a:ln>
                        <a:effectLst/>
                      </wps:spPr>
                      <wps:txbx>
                        <w:txbxContent>
                          <w:p w14:paraId="5425BD61">
                            <w:pPr>
                              <w:ind w:firstLine="0" w:firstLineChars="0"/>
                              <w:rPr>
                                <w:sz w:val="21"/>
                                <w:szCs w:val="21"/>
                              </w:rPr>
                            </w:pPr>
                            <w:r>
                              <w:rPr>
                                <w:rFonts w:hint="eastAsia"/>
                                <w:sz w:val="21"/>
                                <w:szCs w:val="21"/>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2.85pt;margin-top:130.9pt;height:25.65pt;width:47.35pt;z-index:251660288;mso-width-relative:page;mso-height-relative:page;" fillcolor="#FFFFFF" filled="t" stroked="f" coordsize="21600,21600" o:gfxdata="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ezbHb1gAAAAsBAAAPAAAAAAAAAAEAIAAAACIAAABkcnMvZG93bnJldi54bWxQSwECFAAUAAAA&#10;CACHTuJAvrPvNWICAACqBAAADgAAAAAAAAABACAAAAAlAQAAZHJzL2Uyb0RvYy54bWxQSwUGAAAA&#10;AAYABgBZAQAA+QUAAAAA&#10;">
                <v:fill on="t" focussize="0,0"/>
                <v:stroke on="f" weight="0.5pt"/>
                <v:imagedata o:title=""/>
                <o:lock v:ext="edit" aspectratio="f"/>
                <v:textbox>
                  <w:txbxContent>
                    <w:p w14:paraId="5425BD61">
                      <w:pPr>
                        <w:ind w:firstLine="0" w:firstLineChars="0"/>
                        <w:rPr>
                          <w:sz w:val="21"/>
                          <w:szCs w:val="21"/>
                        </w:rPr>
                      </w:pPr>
                      <w:r>
                        <w:rPr>
                          <w:rFonts w:hint="eastAsia"/>
                          <w:sz w:val="21"/>
                          <w:szCs w:val="21"/>
                        </w:rPr>
                        <w:t>本项目</w:t>
                      </w:r>
                    </w:p>
                  </w:txbxContent>
                </v:textbox>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2460625</wp:posOffset>
                </wp:positionH>
                <wp:positionV relativeFrom="paragraph">
                  <wp:posOffset>1896745</wp:posOffset>
                </wp:positionV>
                <wp:extent cx="296545" cy="309245"/>
                <wp:effectExtent l="0" t="10160" r="27305" b="4445"/>
                <wp:wrapNone/>
                <wp:docPr id="26" name="直接箭头连接符 26"/>
                <wp:cNvGraphicFramePr/>
                <a:graphic xmlns:a="http://schemas.openxmlformats.org/drawingml/2006/main">
                  <a:graphicData uri="http://schemas.microsoft.com/office/word/2010/wordprocessingShape">
                    <wps:wsp>
                      <wps:cNvCnPr/>
                      <wps:spPr>
                        <a:xfrm flipH="1">
                          <a:off x="3803650" y="2591435"/>
                          <a:ext cx="296545" cy="309245"/>
                        </a:xfrm>
                        <a:prstGeom prst="straightConnector1">
                          <a:avLst/>
                        </a:prstGeom>
                        <a:noFill/>
                        <a:ln w="28575" cap="flat" cmpd="sng" algn="ctr">
                          <a:solidFill>
                            <a:srgbClr val="000000"/>
                          </a:solidFill>
                          <a:prstDash val="solid"/>
                          <a:miter lim="800000"/>
                          <a:tailEnd type="arrow"/>
                        </a:ln>
                        <a:effectLst/>
                      </wps:spPr>
                      <wps:bodyPr/>
                    </wps:wsp>
                  </a:graphicData>
                </a:graphic>
              </wp:anchor>
            </w:drawing>
          </mc:Choice>
          <mc:Fallback>
            <w:pict>
              <v:shape id="_x0000_s1026" o:spid="_x0000_s1026" o:spt="32" type="#_x0000_t32" style="position:absolute;left:0pt;flip:x;margin-left:193.75pt;margin-top:149.35pt;height:24.35pt;width:23.35pt;z-index:251661312;mso-width-relative:page;mso-height-relative:page;" filled="f" stroked="t" coordsize="21600,21600" o:gfxdata="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z&#10;CihE2QAAAAsBAAAPAAAAAAAAAAEAIAAAACIAAABkcnMvZG93bnJldi54bWxQSwECFAAUAAAACACH&#10;TuJAVpol2CMCAAAJBAAADgAAAAAAAAABACAAAAAoAQAAZHJzL2Uyb0RvYy54bWxQSwUGAAAAAAYA&#10;BgBZAQAAvQUAAAAA&#10;">
                <v:fill on="f" focussize="0,0"/>
                <v:stroke weight="2.25pt" color="#000000" miterlimit="8" joinstyle="miter" endarrow="open"/>
                <v:imagedata o:title=""/>
                <o:lock v:ext="edit" aspectratio="f"/>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2332355</wp:posOffset>
                </wp:positionH>
                <wp:positionV relativeFrom="paragraph">
                  <wp:posOffset>2183765</wp:posOffset>
                </wp:positionV>
                <wp:extent cx="135255" cy="134620"/>
                <wp:effectExtent l="10160" t="13970" r="26035" b="22860"/>
                <wp:wrapNone/>
                <wp:docPr id="24" name="等腰三角形 24"/>
                <wp:cNvGraphicFramePr/>
                <a:graphic xmlns:a="http://schemas.openxmlformats.org/drawingml/2006/main">
                  <a:graphicData uri="http://schemas.microsoft.com/office/word/2010/wordprocessingShape">
                    <wps:wsp>
                      <wps:cNvSpPr/>
                      <wps:spPr>
                        <a:xfrm>
                          <a:off x="3735705" y="3044190"/>
                          <a:ext cx="135255" cy="134620"/>
                        </a:xfrm>
                        <a:prstGeom prst="triangle">
                          <a:avLst/>
                        </a:prstGeom>
                        <a:solidFill>
                          <a:srgbClr val="FFFFFF"/>
                        </a:solidFill>
                        <a:ln w="12700" cap="flat" cmpd="sng" algn="ctr">
                          <a:solidFill>
                            <a:srgbClr val="41719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183.65pt;margin-top:171.95pt;height:10.6pt;width:10.65pt;z-index:251659264;v-text-anchor:middle;mso-width-relative:page;mso-height-relative:page;" fillcolor="#FFFFFF" filled="t" stroked="t" coordsize="21600,21600" o:gfxdata="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OhZWKPYAAAACwEAAA8AAAAAAAAAAQAgAAAAIgAAAGRycy9kb3du&#10;cmV2LnhtbFBLAQIUABQAAAAIAIdO4kBHcV/GqgIAAD0FAAAOAAAAAAAAAAEAIAAAACcBAABkcnMv&#10;ZTJvRG9jLnhtbFBLBQYAAAAABgAGAFkBAABDBgAAAAA=&#10;" adj="10800">
                <v:fill on="t" focussize="0,0"/>
                <v:stroke weight="1pt" color="#2D5171" miterlimit="8" joinstyle="miter"/>
                <v:imagedata o:title=""/>
                <o:lock v:ext="edit" aspectratio="f"/>
              </v:shape>
            </w:pict>
          </mc:Fallback>
        </mc:AlternateContent>
      </w:r>
      <w:r>
        <w:drawing>
          <wp:inline distT="0" distB="0" distL="114300" distR="114300">
            <wp:extent cx="5273040" cy="4855845"/>
            <wp:effectExtent l="0" t="0" r="3810" b="1905"/>
            <wp:docPr id="3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7"/>
                    <pic:cNvPicPr>
                      <a:picLocks noChangeAspect="1"/>
                    </pic:cNvPicPr>
                  </pic:nvPicPr>
                  <pic:blipFill>
                    <a:blip r:embed="rId152"/>
                    <a:stretch>
                      <a:fillRect/>
                    </a:stretch>
                  </pic:blipFill>
                  <pic:spPr>
                    <a:xfrm>
                      <a:off x="0" y="0"/>
                      <a:ext cx="5273040" cy="4855845"/>
                    </a:xfrm>
                    <a:prstGeom prst="rect">
                      <a:avLst/>
                    </a:prstGeom>
                    <a:noFill/>
                    <a:ln>
                      <a:noFill/>
                    </a:ln>
                  </pic:spPr>
                </pic:pic>
              </a:graphicData>
            </a:graphic>
          </wp:inline>
        </w:drawing>
      </w:r>
    </w:p>
    <w:p w14:paraId="49BADE9B">
      <w:pPr>
        <w:pStyle w:val="42"/>
        <w:numPr>
          <w:ilvl w:val="6"/>
          <w:numId w:val="1"/>
        </w:numPr>
        <w:rPr>
          <w:rFonts w:hint="default"/>
        </w:rPr>
      </w:pPr>
      <w:r>
        <w:rPr>
          <w:rFonts w:hint="default"/>
        </w:rPr>
        <w:t>评价范围内地形示意图</w:t>
      </w:r>
    </w:p>
    <w:p w14:paraId="5924E57F">
      <w:pPr>
        <w:pStyle w:val="4"/>
        <w:numPr>
          <w:ilvl w:val="2"/>
          <w:numId w:val="1"/>
        </w:numPr>
      </w:pPr>
      <w:bookmarkStart w:id="245" w:name="_Toc5828"/>
      <w:r>
        <w:rPr>
          <w:rFonts w:hint="eastAsia"/>
        </w:rPr>
        <w:t>模式中的相关参数</w:t>
      </w:r>
      <w:bookmarkEnd w:id="245"/>
    </w:p>
    <w:p w14:paraId="63828C69">
      <w:pPr>
        <w:pStyle w:val="6"/>
        <w:numPr>
          <w:ilvl w:val="4"/>
          <w:numId w:val="1"/>
        </w:numPr>
        <w:ind w:firstLine="482"/>
      </w:pPr>
      <w:bookmarkStart w:id="246" w:name="_Toc27119"/>
      <w:r>
        <w:rPr>
          <w:rFonts w:hint="eastAsia"/>
        </w:rPr>
        <w:t>模式选取地表参数</w:t>
      </w:r>
      <w:bookmarkEnd w:id="246"/>
    </w:p>
    <w:p w14:paraId="168FBDAD">
      <w:pPr>
        <w:ind w:firstLine="480"/>
      </w:pPr>
      <w:r>
        <w:rPr>
          <w:rFonts w:hint="eastAsia"/>
        </w:rPr>
        <w:t>厂址中心坐标为：东经112.6360045°，北纬26.9696386°，模式计算选用的参数见下表。</w:t>
      </w:r>
    </w:p>
    <w:p w14:paraId="5AA7F2EE">
      <w:pPr>
        <w:pStyle w:val="43"/>
        <w:numPr>
          <w:ilvl w:val="5"/>
          <w:numId w:val="1"/>
        </w:numPr>
        <w:rPr>
          <w:rFonts w:hint="default"/>
        </w:rPr>
      </w:pPr>
      <w:r>
        <w:t>模式计算选用的参数表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4"/>
        <w:gridCol w:w="1406"/>
        <w:gridCol w:w="1406"/>
        <w:gridCol w:w="1255"/>
        <w:gridCol w:w="1937"/>
        <w:gridCol w:w="1661"/>
      </w:tblGrid>
      <w:tr w14:paraId="4062E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01" w:type="pct"/>
            <w:vAlign w:val="center"/>
          </w:tcPr>
          <w:p w14:paraId="0E2589D0">
            <w:pPr>
              <w:pStyle w:val="45"/>
              <w:rPr>
                <w:rFonts w:hint="default"/>
                <w:b/>
                <w:bCs/>
              </w:rPr>
            </w:pPr>
            <w:r>
              <w:rPr>
                <w:b/>
                <w:bCs/>
              </w:rPr>
              <w:t>扇区</w:t>
            </w:r>
          </w:p>
        </w:tc>
        <w:tc>
          <w:tcPr>
            <w:tcW w:w="825" w:type="pct"/>
            <w:vAlign w:val="center"/>
          </w:tcPr>
          <w:p w14:paraId="78911E75">
            <w:pPr>
              <w:pStyle w:val="45"/>
              <w:rPr>
                <w:rFonts w:hint="default"/>
                <w:b/>
                <w:bCs/>
              </w:rPr>
            </w:pPr>
            <w:r>
              <w:rPr>
                <w:b/>
                <w:bCs/>
              </w:rPr>
              <w:t>土地类型</w:t>
            </w:r>
          </w:p>
        </w:tc>
        <w:tc>
          <w:tcPr>
            <w:tcW w:w="825" w:type="pct"/>
            <w:vAlign w:val="center"/>
          </w:tcPr>
          <w:p w14:paraId="248E6B8D">
            <w:pPr>
              <w:pStyle w:val="45"/>
              <w:rPr>
                <w:rFonts w:hint="default"/>
                <w:b/>
                <w:bCs/>
              </w:rPr>
            </w:pPr>
            <w:r>
              <w:rPr>
                <w:b/>
                <w:bCs/>
              </w:rPr>
              <w:t>时段</w:t>
            </w:r>
          </w:p>
        </w:tc>
        <w:tc>
          <w:tcPr>
            <w:tcW w:w="736" w:type="pct"/>
            <w:vAlign w:val="center"/>
          </w:tcPr>
          <w:p w14:paraId="3AE16C89">
            <w:pPr>
              <w:pStyle w:val="45"/>
              <w:rPr>
                <w:rFonts w:hint="default"/>
                <w:b/>
                <w:bCs/>
              </w:rPr>
            </w:pPr>
            <w:r>
              <w:rPr>
                <w:b/>
                <w:bCs/>
              </w:rPr>
              <w:t>正午反照率</w:t>
            </w:r>
          </w:p>
        </w:tc>
        <w:tc>
          <w:tcPr>
            <w:tcW w:w="1136" w:type="pct"/>
            <w:vAlign w:val="center"/>
          </w:tcPr>
          <w:p w14:paraId="7E6C8937">
            <w:pPr>
              <w:pStyle w:val="45"/>
              <w:rPr>
                <w:rFonts w:hint="default"/>
                <w:b/>
                <w:bCs/>
              </w:rPr>
            </w:pPr>
            <w:r>
              <w:rPr>
                <w:b/>
                <w:bCs/>
              </w:rPr>
              <w:t>BOWEN系数</w:t>
            </w:r>
          </w:p>
        </w:tc>
        <w:tc>
          <w:tcPr>
            <w:tcW w:w="974" w:type="pct"/>
            <w:vAlign w:val="center"/>
          </w:tcPr>
          <w:p w14:paraId="5E6191A5">
            <w:pPr>
              <w:pStyle w:val="45"/>
              <w:rPr>
                <w:rFonts w:hint="default"/>
                <w:b/>
                <w:bCs/>
              </w:rPr>
            </w:pPr>
            <w:r>
              <w:rPr>
                <w:b/>
                <w:bCs/>
              </w:rPr>
              <w:t>地表粗糙度</w:t>
            </w:r>
          </w:p>
        </w:tc>
      </w:tr>
      <w:tr w14:paraId="03E3A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01" w:type="pct"/>
            <w:vMerge w:val="restart"/>
            <w:vAlign w:val="center"/>
          </w:tcPr>
          <w:p w14:paraId="0213EAC2">
            <w:pPr>
              <w:pStyle w:val="45"/>
              <w:rPr>
                <w:rFonts w:hint="default"/>
              </w:rPr>
            </w:pPr>
            <w:r>
              <w:t>0-360</w:t>
            </w:r>
          </w:p>
        </w:tc>
        <w:tc>
          <w:tcPr>
            <w:tcW w:w="825" w:type="pct"/>
            <w:vMerge w:val="restart"/>
            <w:vAlign w:val="center"/>
          </w:tcPr>
          <w:p w14:paraId="1E9C888F">
            <w:pPr>
              <w:pStyle w:val="45"/>
              <w:rPr>
                <w:rFonts w:hint="default"/>
              </w:rPr>
            </w:pPr>
            <w:r>
              <w:t>城市</w:t>
            </w:r>
          </w:p>
        </w:tc>
        <w:tc>
          <w:tcPr>
            <w:tcW w:w="825" w:type="pct"/>
            <w:vAlign w:val="center"/>
          </w:tcPr>
          <w:p w14:paraId="70C3E2CE">
            <w:pPr>
              <w:pStyle w:val="45"/>
              <w:rPr>
                <w:rFonts w:hint="default"/>
              </w:rPr>
            </w:pPr>
            <w:r>
              <w:t>冬</w:t>
            </w:r>
          </w:p>
        </w:tc>
        <w:tc>
          <w:tcPr>
            <w:tcW w:w="736" w:type="pct"/>
            <w:vAlign w:val="center"/>
          </w:tcPr>
          <w:p w14:paraId="7BB3F43A">
            <w:pPr>
              <w:pStyle w:val="45"/>
              <w:rPr>
                <w:rFonts w:hint="default"/>
              </w:rPr>
            </w:pPr>
            <w:r>
              <w:t>0.35</w:t>
            </w:r>
          </w:p>
        </w:tc>
        <w:tc>
          <w:tcPr>
            <w:tcW w:w="1136" w:type="pct"/>
            <w:vAlign w:val="center"/>
          </w:tcPr>
          <w:p w14:paraId="357FA158">
            <w:pPr>
              <w:pStyle w:val="45"/>
              <w:rPr>
                <w:rFonts w:hint="default"/>
              </w:rPr>
            </w:pPr>
            <w:r>
              <w:t>0.5</w:t>
            </w:r>
          </w:p>
        </w:tc>
        <w:tc>
          <w:tcPr>
            <w:tcW w:w="974" w:type="pct"/>
            <w:vAlign w:val="center"/>
          </w:tcPr>
          <w:p w14:paraId="258984B5">
            <w:pPr>
              <w:pStyle w:val="45"/>
              <w:rPr>
                <w:rFonts w:hint="default" w:eastAsia="宋体"/>
                <w:lang w:val="en-US" w:eastAsia="zh-CN"/>
              </w:rPr>
            </w:pPr>
            <w:r>
              <w:rPr>
                <w:rFonts w:hint="eastAsia"/>
                <w:lang w:val="en-US" w:eastAsia="zh-CN"/>
              </w:rPr>
              <w:t>0.4</w:t>
            </w:r>
          </w:p>
        </w:tc>
      </w:tr>
      <w:tr w14:paraId="59815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01" w:type="pct"/>
            <w:vMerge w:val="continue"/>
            <w:vAlign w:val="center"/>
          </w:tcPr>
          <w:p w14:paraId="60C740C4">
            <w:pPr>
              <w:pStyle w:val="45"/>
              <w:rPr>
                <w:rFonts w:hint="default"/>
              </w:rPr>
            </w:pPr>
          </w:p>
        </w:tc>
        <w:tc>
          <w:tcPr>
            <w:tcW w:w="825" w:type="pct"/>
            <w:vMerge w:val="continue"/>
            <w:vAlign w:val="center"/>
          </w:tcPr>
          <w:p w14:paraId="4FA55AEC">
            <w:pPr>
              <w:pStyle w:val="45"/>
              <w:rPr>
                <w:rFonts w:hint="default"/>
              </w:rPr>
            </w:pPr>
          </w:p>
        </w:tc>
        <w:tc>
          <w:tcPr>
            <w:tcW w:w="825" w:type="pct"/>
            <w:vAlign w:val="center"/>
          </w:tcPr>
          <w:p w14:paraId="6727E5E9">
            <w:pPr>
              <w:pStyle w:val="45"/>
              <w:rPr>
                <w:rFonts w:hint="default"/>
              </w:rPr>
            </w:pPr>
            <w:r>
              <w:t>春</w:t>
            </w:r>
          </w:p>
        </w:tc>
        <w:tc>
          <w:tcPr>
            <w:tcW w:w="736" w:type="pct"/>
            <w:vAlign w:val="center"/>
          </w:tcPr>
          <w:p w14:paraId="42E45F18">
            <w:pPr>
              <w:pStyle w:val="45"/>
              <w:rPr>
                <w:rFonts w:hint="default"/>
              </w:rPr>
            </w:pPr>
            <w:r>
              <w:t>0.14</w:t>
            </w:r>
          </w:p>
        </w:tc>
        <w:tc>
          <w:tcPr>
            <w:tcW w:w="1136" w:type="pct"/>
            <w:vAlign w:val="center"/>
          </w:tcPr>
          <w:p w14:paraId="1ADC1245">
            <w:pPr>
              <w:pStyle w:val="45"/>
              <w:rPr>
                <w:rFonts w:hint="default"/>
              </w:rPr>
            </w:pPr>
            <w:r>
              <w:t>0.5</w:t>
            </w:r>
          </w:p>
        </w:tc>
        <w:tc>
          <w:tcPr>
            <w:tcW w:w="974" w:type="pct"/>
            <w:vAlign w:val="center"/>
          </w:tcPr>
          <w:p w14:paraId="0BD01553">
            <w:pPr>
              <w:pStyle w:val="45"/>
              <w:bidi w:val="0"/>
              <w:rPr>
                <w:rFonts w:hint="default"/>
              </w:rPr>
            </w:pPr>
            <w:r>
              <w:rPr>
                <w:rFonts w:hint="eastAsia"/>
                <w:lang w:val="en-US" w:eastAsia="zh-CN"/>
              </w:rPr>
              <w:t>0.4</w:t>
            </w:r>
          </w:p>
        </w:tc>
      </w:tr>
      <w:tr w14:paraId="4FB81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01" w:type="pct"/>
            <w:vMerge w:val="continue"/>
            <w:vAlign w:val="center"/>
          </w:tcPr>
          <w:p w14:paraId="0BF97222">
            <w:pPr>
              <w:pStyle w:val="45"/>
              <w:rPr>
                <w:rFonts w:hint="default"/>
              </w:rPr>
            </w:pPr>
          </w:p>
        </w:tc>
        <w:tc>
          <w:tcPr>
            <w:tcW w:w="825" w:type="pct"/>
            <w:vMerge w:val="continue"/>
            <w:vAlign w:val="center"/>
          </w:tcPr>
          <w:p w14:paraId="46EE8733">
            <w:pPr>
              <w:pStyle w:val="45"/>
              <w:rPr>
                <w:rFonts w:hint="default"/>
              </w:rPr>
            </w:pPr>
          </w:p>
        </w:tc>
        <w:tc>
          <w:tcPr>
            <w:tcW w:w="825" w:type="pct"/>
            <w:vAlign w:val="center"/>
          </w:tcPr>
          <w:p w14:paraId="0EFF8B18">
            <w:pPr>
              <w:pStyle w:val="45"/>
              <w:rPr>
                <w:rFonts w:hint="default"/>
              </w:rPr>
            </w:pPr>
            <w:r>
              <w:t>夏</w:t>
            </w:r>
          </w:p>
        </w:tc>
        <w:tc>
          <w:tcPr>
            <w:tcW w:w="736" w:type="pct"/>
            <w:vAlign w:val="center"/>
          </w:tcPr>
          <w:p w14:paraId="3DDC16A1">
            <w:pPr>
              <w:pStyle w:val="45"/>
              <w:rPr>
                <w:rFonts w:hint="default"/>
              </w:rPr>
            </w:pPr>
            <w:r>
              <w:t>0.16</w:t>
            </w:r>
          </w:p>
        </w:tc>
        <w:tc>
          <w:tcPr>
            <w:tcW w:w="1136" w:type="pct"/>
            <w:vAlign w:val="center"/>
          </w:tcPr>
          <w:p w14:paraId="14E7A02D">
            <w:pPr>
              <w:pStyle w:val="45"/>
              <w:rPr>
                <w:rFonts w:hint="default"/>
              </w:rPr>
            </w:pPr>
            <w:r>
              <w:t>1</w:t>
            </w:r>
          </w:p>
        </w:tc>
        <w:tc>
          <w:tcPr>
            <w:tcW w:w="974" w:type="pct"/>
            <w:vAlign w:val="center"/>
          </w:tcPr>
          <w:p w14:paraId="0B973813">
            <w:pPr>
              <w:pStyle w:val="45"/>
              <w:bidi w:val="0"/>
              <w:rPr>
                <w:rFonts w:hint="default"/>
              </w:rPr>
            </w:pPr>
            <w:r>
              <w:rPr>
                <w:rFonts w:hint="eastAsia"/>
                <w:lang w:val="en-US" w:eastAsia="zh-CN"/>
              </w:rPr>
              <w:t>0.4</w:t>
            </w:r>
          </w:p>
        </w:tc>
      </w:tr>
      <w:tr w14:paraId="6CCE2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01" w:type="pct"/>
            <w:vMerge w:val="continue"/>
            <w:vAlign w:val="center"/>
          </w:tcPr>
          <w:p w14:paraId="0C505D33">
            <w:pPr>
              <w:pStyle w:val="45"/>
              <w:rPr>
                <w:rFonts w:hint="default"/>
              </w:rPr>
            </w:pPr>
          </w:p>
        </w:tc>
        <w:tc>
          <w:tcPr>
            <w:tcW w:w="825" w:type="pct"/>
            <w:vMerge w:val="continue"/>
            <w:vAlign w:val="center"/>
          </w:tcPr>
          <w:p w14:paraId="595513BB">
            <w:pPr>
              <w:pStyle w:val="45"/>
              <w:rPr>
                <w:rFonts w:hint="default"/>
              </w:rPr>
            </w:pPr>
          </w:p>
        </w:tc>
        <w:tc>
          <w:tcPr>
            <w:tcW w:w="825" w:type="pct"/>
            <w:vAlign w:val="center"/>
          </w:tcPr>
          <w:p w14:paraId="07E5138B">
            <w:pPr>
              <w:pStyle w:val="45"/>
              <w:rPr>
                <w:rFonts w:hint="default"/>
              </w:rPr>
            </w:pPr>
            <w:r>
              <w:t>秋</w:t>
            </w:r>
          </w:p>
        </w:tc>
        <w:tc>
          <w:tcPr>
            <w:tcW w:w="736" w:type="pct"/>
            <w:vAlign w:val="center"/>
          </w:tcPr>
          <w:p w14:paraId="74738992">
            <w:pPr>
              <w:pStyle w:val="45"/>
              <w:rPr>
                <w:rFonts w:hint="default"/>
              </w:rPr>
            </w:pPr>
            <w:r>
              <w:t>0.18</w:t>
            </w:r>
          </w:p>
        </w:tc>
        <w:tc>
          <w:tcPr>
            <w:tcW w:w="1136" w:type="pct"/>
            <w:vAlign w:val="center"/>
          </w:tcPr>
          <w:p w14:paraId="0FF58317">
            <w:pPr>
              <w:pStyle w:val="45"/>
              <w:rPr>
                <w:rFonts w:hint="default"/>
              </w:rPr>
            </w:pPr>
            <w:r>
              <w:t>1</w:t>
            </w:r>
          </w:p>
        </w:tc>
        <w:tc>
          <w:tcPr>
            <w:tcW w:w="974" w:type="pct"/>
            <w:vAlign w:val="center"/>
          </w:tcPr>
          <w:p w14:paraId="3D2448E5">
            <w:pPr>
              <w:pStyle w:val="45"/>
              <w:bidi w:val="0"/>
              <w:rPr>
                <w:rFonts w:hint="default"/>
              </w:rPr>
            </w:pPr>
            <w:r>
              <w:rPr>
                <w:rFonts w:hint="eastAsia"/>
                <w:lang w:val="en-US" w:eastAsia="zh-CN"/>
              </w:rPr>
              <w:t>0.4</w:t>
            </w:r>
          </w:p>
        </w:tc>
      </w:tr>
    </w:tbl>
    <w:p w14:paraId="68BCE445">
      <w:pPr>
        <w:spacing w:line="240" w:lineRule="auto"/>
        <w:ind w:firstLine="0" w:firstLineChars="0"/>
      </w:pPr>
    </w:p>
    <w:p w14:paraId="6B343A76">
      <w:pPr>
        <w:pStyle w:val="6"/>
        <w:numPr>
          <w:ilvl w:val="4"/>
          <w:numId w:val="1"/>
        </w:numPr>
        <w:ind w:firstLine="482"/>
      </w:pPr>
      <w:bookmarkStart w:id="247" w:name="_Toc15929"/>
      <w:r>
        <w:rPr>
          <w:rFonts w:hint="eastAsia"/>
        </w:rPr>
        <w:t>气象参数</w:t>
      </w:r>
      <w:bookmarkEnd w:id="247"/>
    </w:p>
    <w:p w14:paraId="7F2C6F04">
      <w:pPr>
        <w:ind w:firstLine="480"/>
      </w:pPr>
      <w:r>
        <w:rPr>
          <w:rFonts w:hint="eastAsia"/>
        </w:rPr>
        <w:t>具体见7.2.1节。</w:t>
      </w:r>
    </w:p>
    <w:p w14:paraId="61FDB783">
      <w:pPr>
        <w:pStyle w:val="26"/>
        <w:ind w:firstLine="480"/>
      </w:pPr>
    </w:p>
    <w:p w14:paraId="5BCC5430">
      <w:pPr>
        <w:pStyle w:val="4"/>
        <w:numPr>
          <w:ilvl w:val="2"/>
          <w:numId w:val="1"/>
        </w:numPr>
      </w:pPr>
      <w:bookmarkStart w:id="248" w:name="_Toc25447"/>
      <w:r>
        <w:rPr>
          <w:rFonts w:hint="eastAsia"/>
        </w:rPr>
        <w:t>预测方案及情景确定</w:t>
      </w:r>
      <w:bookmarkEnd w:id="248"/>
    </w:p>
    <w:p w14:paraId="5ADC12C4">
      <w:pPr>
        <w:ind w:firstLine="480"/>
      </w:pPr>
      <w:r>
        <w:rPr>
          <w:rFonts w:hint="eastAsia"/>
        </w:rPr>
        <w:t>根据环境质量章节，本项目属于</w:t>
      </w:r>
      <w:r>
        <w:rPr>
          <w:rFonts w:hint="eastAsia"/>
          <w:lang w:val="en-US" w:eastAsia="zh-CN"/>
        </w:rPr>
        <w:t>不</w:t>
      </w:r>
      <w:r>
        <w:rPr>
          <w:rFonts w:hint="eastAsia"/>
        </w:rPr>
        <w:t>达标区，</w:t>
      </w:r>
      <w:r>
        <w:rPr>
          <w:rFonts w:hint="eastAsia"/>
          <w:lang w:val="en-US" w:eastAsia="zh-CN"/>
        </w:rPr>
        <w:t>不达标因子为PM</w:t>
      </w:r>
      <w:r>
        <w:rPr>
          <w:rFonts w:hint="eastAsia"/>
          <w:vertAlign w:val="subscript"/>
          <w:lang w:val="en-US" w:eastAsia="zh-CN"/>
        </w:rPr>
        <w:t>2.5</w:t>
      </w:r>
      <w:r>
        <w:rPr>
          <w:rFonts w:hint="eastAsia"/>
          <w:lang w:val="en-US" w:eastAsia="zh-CN"/>
        </w:rPr>
        <w:t>。本项目主要污染因子为Cl</w:t>
      </w:r>
      <w:r>
        <w:rPr>
          <w:rFonts w:hint="eastAsia"/>
          <w:vertAlign w:val="subscript"/>
          <w:lang w:val="en-US" w:eastAsia="zh-CN"/>
        </w:rPr>
        <w:t>2</w:t>
      </w:r>
      <w:r>
        <w:rPr>
          <w:rFonts w:hint="eastAsia"/>
          <w:lang w:val="en-US" w:eastAsia="zh-CN"/>
        </w:rPr>
        <w:t>、HCl、颗粒物（TSP），环境质量现状浓度均达标</w:t>
      </w:r>
      <w:r>
        <w:rPr>
          <w:rFonts w:hint="eastAsia"/>
          <w:highlight w:val="none"/>
          <w:lang w:val="en-US" w:eastAsia="zh-CN"/>
        </w:rPr>
        <w:t>。</w:t>
      </w:r>
      <w:r>
        <w:rPr>
          <w:rFonts w:hint="eastAsia"/>
        </w:rPr>
        <w:t>对照《环境影响评价技术导则—大气环境》（HJ2.2-2018）表 5 预测内容和评价要求，本次预测方案如下：</w:t>
      </w:r>
    </w:p>
    <w:p w14:paraId="45B7A50B">
      <w:pPr>
        <w:pStyle w:val="43"/>
        <w:numPr>
          <w:ilvl w:val="5"/>
          <w:numId w:val="1"/>
        </w:numPr>
        <w:rPr>
          <w:rFonts w:hint="default"/>
        </w:rPr>
      </w:pPr>
      <w:r>
        <w:t>本项目大气预测方案情景组合一览表</w:t>
      </w:r>
    </w:p>
    <w:tbl>
      <w:tblPr>
        <w:tblStyle w:val="32"/>
        <w:tblW w:w="5089" w:type="pct"/>
        <w:tblInd w:w="0" w:type="dxa"/>
        <w:tblLayout w:type="autofit"/>
        <w:tblCellMar>
          <w:top w:w="0" w:type="dxa"/>
          <w:left w:w="108" w:type="dxa"/>
          <w:bottom w:w="0" w:type="dxa"/>
          <w:right w:w="108" w:type="dxa"/>
        </w:tblCellMar>
      </w:tblPr>
      <w:tblGrid>
        <w:gridCol w:w="849"/>
        <w:gridCol w:w="2070"/>
        <w:gridCol w:w="1541"/>
        <w:gridCol w:w="1133"/>
        <w:gridCol w:w="3081"/>
      </w:tblGrid>
      <w:tr w14:paraId="730CFC41">
        <w:tblPrEx>
          <w:tblCellMar>
            <w:top w:w="0" w:type="dxa"/>
            <w:left w:w="108" w:type="dxa"/>
            <w:bottom w:w="0" w:type="dxa"/>
            <w:right w:w="108" w:type="dxa"/>
          </w:tblCellMar>
        </w:tblPrEx>
        <w:trPr>
          <w:trHeight w:val="612" w:hRule="atLeast"/>
          <w:tblHeader/>
        </w:trPr>
        <w:tc>
          <w:tcPr>
            <w:tcW w:w="489" w:type="pct"/>
            <w:tcBorders>
              <w:top w:val="single" w:color="000000" w:sz="8" w:space="0"/>
              <w:left w:val="single" w:color="000000" w:sz="8" w:space="0"/>
              <w:bottom w:val="single" w:color="000000" w:sz="8" w:space="0"/>
              <w:right w:val="single" w:color="000000" w:sz="8" w:space="0"/>
            </w:tcBorders>
            <w:shd w:val="clear" w:color="auto" w:fill="auto"/>
            <w:vAlign w:val="center"/>
          </w:tcPr>
          <w:p w14:paraId="3B24C59F">
            <w:pPr>
              <w:pStyle w:val="45"/>
              <w:rPr>
                <w:rFonts w:hint="default"/>
                <w:b/>
                <w:bCs/>
              </w:rPr>
            </w:pPr>
            <w:r>
              <w:rPr>
                <w:b/>
                <w:bCs/>
              </w:rPr>
              <w:t>评价对象</w:t>
            </w:r>
          </w:p>
        </w:tc>
        <w:tc>
          <w:tcPr>
            <w:tcW w:w="1193" w:type="pct"/>
            <w:tcBorders>
              <w:top w:val="single" w:color="000000" w:sz="8" w:space="0"/>
              <w:left w:val="single" w:color="000000" w:sz="8" w:space="0"/>
              <w:bottom w:val="single" w:color="000000" w:sz="8" w:space="0"/>
              <w:right w:val="single" w:color="000000" w:sz="8" w:space="0"/>
            </w:tcBorders>
            <w:shd w:val="clear" w:color="auto" w:fill="auto"/>
            <w:vAlign w:val="center"/>
          </w:tcPr>
          <w:p w14:paraId="328AAB66">
            <w:pPr>
              <w:pStyle w:val="45"/>
              <w:rPr>
                <w:rFonts w:hint="default"/>
                <w:b/>
                <w:bCs/>
              </w:rPr>
            </w:pPr>
            <w:r>
              <w:rPr>
                <w:b/>
                <w:bCs/>
              </w:rPr>
              <w:t>污染源</w:t>
            </w:r>
          </w:p>
        </w:tc>
        <w:tc>
          <w:tcPr>
            <w:tcW w:w="888" w:type="pct"/>
            <w:tcBorders>
              <w:top w:val="single" w:color="000000" w:sz="8" w:space="0"/>
              <w:left w:val="single" w:color="000000" w:sz="8" w:space="0"/>
              <w:bottom w:val="single" w:color="000000" w:sz="8" w:space="0"/>
              <w:right w:val="single" w:color="000000" w:sz="8" w:space="0"/>
            </w:tcBorders>
            <w:shd w:val="clear" w:color="auto" w:fill="auto"/>
            <w:vAlign w:val="center"/>
          </w:tcPr>
          <w:p w14:paraId="13C13A4E">
            <w:pPr>
              <w:pStyle w:val="45"/>
              <w:rPr>
                <w:rFonts w:hint="default"/>
                <w:b/>
                <w:bCs/>
              </w:rPr>
            </w:pPr>
            <w:r>
              <w:rPr>
                <w:b/>
                <w:bCs/>
              </w:rPr>
              <w:t>污染源排放形式</w:t>
            </w:r>
          </w:p>
        </w:tc>
        <w:tc>
          <w:tcPr>
            <w:tcW w:w="653"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B9EEAD2">
            <w:pPr>
              <w:pStyle w:val="45"/>
              <w:rPr>
                <w:rFonts w:hint="default"/>
                <w:b/>
                <w:bCs/>
              </w:rPr>
            </w:pPr>
            <w:r>
              <w:rPr>
                <w:b/>
                <w:bCs/>
              </w:rPr>
              <w:t>预测内容</w:t>
            </w:r>
          </w:p>
        </w:tc>
        <w:tc>
          <w:tcPr>
            <w:tcW w:w="1775" w:type="pct"/>
            <w:tcBorders>
              <w:top w:val="single" w:color="000000" w:sz="8" w:space="0"/>
              <w:left w:val="single" w:color="000000" w:sz="8" w:space="0"/>
              <w:bottom w:val="single" w:color="000000" w:sz="8" w:space="0"/>
              <w:right w:val="single" w:color="000000" w:sz="8" w:space="0"/>
            </w:tcBorders>
            <w:shd w:val="clear" w:color="auto" w:fill="auto"/>
            <w:vAlign w:val="center"/>
          </w:tcPr>
          <w:p w14:paraId="462D5FE0">
            <w:pPr>
              <w:pStyle w:val="45"/>
              <w:rPr>
                <w:rFonts w:hint="default"/>
                <w:b/>
                <w:bCs/>
              </w:rPr>
            </w:pPr>
            <w:r>
              <w:rPr>
                <w:b/>
                <w:bCs/>
              </w:rPr>
              <w:t>评价内容</w:t>
            </w:r>
          </w:p>
        </w:tc>
      </w:tr>
      <w:tr w14:paraId="2642E5FA">
        <w:tblPrEx>
          <w:tblCellMar>
            <w:top w:w="0" w:type="dxa"/>
            <w:left w:w="108" w:type="dxa"/>
            <w:bottom w:w="0" w:type="dxa"/>
            <w:right w:w="108" w:type="dxa"/>
          </w:tblCellMar>
        </w:tblPrEx>
        <w:trPr>
          <w:trHeight w:val="767" w:hRule="atLeast"/>
        </w:trPr>
        <w:tc>
          <w:tcPr>
            <w:tcW w:w="489" w:type="pct"/>
            <w:vMerge w:val="restart"/>
            <w:tcBorders>
              <w:top w:val="nil"/>
              <w:left w:val="single" w:color="000000" w:sz="8" w:space="0"/>
              <w:bottom w:val="single" w:color="000000" w:sz="8" w:space="0"/>
              <w:right w:val="single" w:color="000000" w:sz="8" w:space="0"/>
            </w:tcBorders>
            <w:shd w:val="clear" w:color="auto" w:fill="auto"/>
            <w:vAlign w:val="center"/>
          </w:tcPr>
          <w:p w14:paraId="7EABDFA8">
            <w:pPr>
              <w:pStyle w:val="45"/>
              <w:rPr>
                <w:rFonts w:hint="default"/>
              </w:rPr>
            </w:pPr>
            <w:r>
              <w:rPr>
                <w:rFonts w:hint="eastAsia"/>
                <w:lang w:val="en-US" w:eastAsia="zh-CN"/>
              </w:rPr>
              <w:t>不</w:t>
            </w:r>
            <w:r>
              <w:t>达标区评价</w:t>
            </w:r>
          </w:p>
        </w:tc>
        <w:tc>
          <w:tcPr>
            <w:tcW w:w="1193" w:type="pct"/>
            <w:vMerge w:val="restart"/>
            <w:tcBorders>
              <w:top w:val="nil"/>
              <w:left w:val="single" w:color="000000" w:sz="8" w:space="0"/>
              <w:bottom w:val="single" w:color="000000" w:sz="8" w:space="0"/>
              <w:right w:val="single" w:color="000000" w:sz="8" w:space="0"/>
            </w:tcBorders>
            <w:shd w:val="clear" w:color="auto" w:fill="auto"/>
            <w:vAlign w:val="center"/>
          </w:tcPr>
          <w:p w14:paraId="3F05A57E">
            <w:pPr>
              <w:pStyle w:val="45"/>
              <w:rPr>
                <w:rFonts w:hint="default"/>
              </w:rPr>
            </w:pPr>
            <w:r>
              <w:t>新增污染源</w:t>
            </w:r>
          </w:p>
        </w:tc>
        <w:tc>
          <w:tcPr>
            <w:tcW w:w="888" w:type="pct"/>
            <w:vMerge w:val="restart"/>
            <w:tcBorders>
              <w:top w:val="nil"/>
              <w:left w:val="single" w:color="000000" w:sz="8" w:space="0"/>
              <w:bottom w:val="single" w:color="000000" w:sz="8" w:space="0"/>
              <w:right w:val="single" w:color="000000" w:sz="8" w:space="0"/>
            </w:tcBorders>
            <w:shd w:val="clear" w:color="auto" w:fill="auto"/>
            <w:vAlign w:val="center"/>
          </w:tcPr>
          <w:p w14:paraId="2170017B">
            <w:pPr>
              <w:pStyle w:val="45"/>
              <w:rPr>
                <w:rFonts w:hint="default"/>
              </w:rPr>
            </w:pPr>
            <w:r>
              <w:t>正常排放</w:t>
            </w:r>
          </w:p>
        </w:tc>
        <w:tc>
          <w:tcPr>
            <w:tcW w:w="653" w:type="pct"/>
            <w:tcBorders>
              <w:top w:val="nil"/>
              <w:left w:val="single" w:color="000000" w:sz="8" w:space="0"/>
              <w:bottom w:val="single" w:color="000000" w:sz="8" w:space="0"/>
              <w:right w:val="single" w:color="000000" w:sz="8" w:space="0"/>
            </w:tcBorders>
            <w:shd w:val="clear" w:color="auto" w:fill="auto"/>
            <w:vAlign w:val="center"/>
          </w:tcPr>
          <w:p w14:paraId="5C2A081A">
            <w:pPr>
              <w:pStyle w:val="45"/>
              <w:rPr>
                <w:rFonts w:hint="default"/>
              </w:rPr>
            </w:pPr>
            <w:r>
              <w:t>短期浓度</w:t>
            </w:r>
            <w:r>
              <w:rPr>
                <w:rFonts w:hint="eastAsia"/>
                <w:lang w:eastAsia="zh-CN"/>
              </w:rPr>
              <w:t>、</w:t>
            </w:r>
            <w:r>
              <w:t>长期浓度</w:t>
            </w:r>
          </w:p>
        </w:tc>
        <w:tc>
          <w:tcPr>
            <w:tcW w:w="1775" w:type="pct"/>
            <w:vMerge w:val="restart"/>
            <w:tcBorders>
              <w:top w:val="nil"/>
              <w:left w:val="single" w:color="000000" w:sz="8" w:space="0"/>
              <w:bottom w:val="single" w:color="000000" w:sz="8" w:space="0"/>
              <w:right w:val="single" w:color="000000" w:sz="8" w:space="0"/>
            </w:tcBorders>
            <w:shd w:val="clear" w:color="auto" w:fill="auto"/>
            <w:vAlign w:val="center"/>
          </w:tcPr>
          <w:p w14:paraId="7E6860E3">
            <w:pPr>
              <w:pStyle w:val="45"/>
              <w:rPr>
                <w:rFonts w:hint="default"/>
              </w:rPr>
            </w:pPr>
            <w:r>
              <w:t>最大浓度占标率</w:t>
            </w:r>
          </w:p>
        </w:tc>
      </w:tr>
      <w:tr w14:paraId="2E19781D">
        <w:tblPrEx>
          <w:tblCellMar>
            <w:top w:w="0" w:type="dxa"/>
            <w:left w:w="108" w:type="dxa"/>
            <w:bottom w:w="0" w:type="dxa"/>
            <w:right w:w="108" w:type="dxa"/>
          </w:tblCellMar>
        </w:tblPrEx>
        <w:trPr>
          <w:trHeight w:val="2889" w:hRule="atLeast"/>
        </w:trPr>
        <w:tc>
          <w:tcPr>
            <w:tcW w:w="489" w:type="pct"/>
            <w:vMerge w:val="continue"/>
            <w:tcBorders>
              <w:top w:val="nil"/>
              <w:left w:val="single" w:color="000000" w:sz="8" w:space="0"/>
              <w:bottom w:val="single" w:color="000000" w:sz="8" w:space="0"/>
              <w:right w:val="single" w:color="000000" w:sz="8" w:space="0"/>
            </w:tcBorders>
            <w:shd w:val="clear" w:color="auto" w:fill="auto"/>
            <w:vAlign w:val="center"/>
          </w:tcPr>
          <w:p w14:paraId="698AE10E">
            <w:pPr>
              <w:pStyle w:val="45"/>
              <w:rPr>
                <w:rFonts w:hint="default"/>
              </w:rPr>
            </w:pPr>
          </w:p>
        </w:tc>
        <w:tc>
          <w:tcPr>
            <w:tcW w:w="1193" w:type="pct"/>
            <w:tcBorders>
              <w:top w:val="nil"/>
              <w:left w:val="single" w:color="000000" w:sz="8" w:space="0"/>
              <w:bottom w:val="single" w:color="000000" w:sz="8" w:space="0"/>
              <w:right w:val="single" w:color="000000" w:sz="8" w:space="0"/>
            </w:tcBorders>
            <w:shd w:val="clear" w:color="auto" w:fill="auto"/>
            <w:vAlign w:val="center"/>
          </w:tcPr>
          <w:p w14:paraId="246BA6D4">
            <w:pPr>
              <w:pStyle w:val="45"/>
              <w:rPr>
                <w:rFonts w:hint="default"/>
              </w:rPr>
            </w:pPr>
            <w:r>
              <w:t>新增污染源</w:t>
            </w:r>
            <w:r>
              <w:rPr>
                <w:rFonts w:hint="default"/>
              </w:rPr>
              <w:t>-“</w:t>
            </w:r>
            <w:r>
              <w:t>以新带老</w:t>
            </w:r>
            <w:r>
              <w:rPr>
                <w:rFonts w:hint="default"/>
              </w:rPr>
              <w:t>”</w:t>
            </w:r>
            <w:r>
              <w:t>污染源（如有）</w:t>
            </w:r>
            <w:r>
              <w:rPr>
                <w:rFonts w:hint="default"/>
              </w:rPr>
              <w:t>-</w:t>
            </w:r>
            <w:r>
              <w:t>区域削减源（如有）</w:t>
            </w:r>
            <w:r>
              <w:rPr>
                <w:rFonts w:hint="default"/>
              </w:rPr>
              <w:t>+</w:t>
            </w:r>
            <w:r>
              <w:t>其他在建、拟建污染源（如有）</w:t>
            </w:r>
          </w:p>
        </w:tc>
        <w:tc>
          <w:tcPr>
            <w:tcW w:w="888" w:type="pct"/>
            <w:tcBorders>
              <w:top w:val="nil"/>
              <w:left w:val="single" w:color="000000" w:sz="8" w:space="0"/>
              <w:bottom w:val="single" w:color="000000" w:sz="8" w:space="0"/>
              <w:right w:val="single" w:color="000000" w:sz="8" w:space="0"/>
            </w:tcBorders>
            <w:shd w:val="clear" w:color="auto" w:fill="auto"/>
            <w:vAlign w:val="center"/>
          </w:tcPr>
          <w:p w14:paraId="59299FD7">
            <w:pPr>
              <w:pStyle w:val="45"/>
              <w:rPr>
                <w:rFonts w:hint="default"/>
              </w:rPr>
            </w:pPr>
            <w:r>
              <w:t>正常排放</w:t>
            </w:r>
          </w:p>
        </w:tc>
        <w:tc>
          <w:tcPr>
            <w:tcW w:w="653" w:type="pct"/>
            <w:tcBorders>
              <w:top w:val="nil"/>
              <w:left w:val="single" w:color="000000" w:sz="8" w:space="0"/>
              <w:bottom w:val="single" w:color="000000" w:sz="8" w:space="0"/>
              <w:right w:val="single" w:color="000000" w:sz="8" w:space="0"/>
            </w:tcBorders>
            <w:shd w:val="clear" w:color="auto" w:fill="auto"/>
            <w:vAlign w:val="center"/>
          </w:tcPr>
          <w:p w14:paraId="756671B1">
            <w:pPr>
              <w:pStyle w:val="45"/>
              <w:rPr>
                <w:rFonts w:hint="default"/>
              </w:rPr>
            </w:pPr>
            <w:r>
              <w:t>短期浓度</w:t>
            </w:r>
            <w:r>
              <w:rPr>
                <w:rFonts w:hint="eastAsia"/>
                <w:lang w:eastAsia="zh-CN"/>
              </w:rPr>
              <w:t>、</w:t>
            </w:r>
            <w:r>
              <w:t>长期浓度</w:t>
            </w:r>
          </w:p>
        </w:tc>
        <w:tc>
          <w:tcPr>
            <w:tcW w:w="1775" w:type="pct"/>
            <w:tcBorders>
              <w:top w:val="nil"/>
              <w:left w:val="single" w:color="000000" w:sz="8" w:space="0"/>
              <w:bottom w:val="single" w:color="000000" w:sz="8" w:space="0"/>
              <w:right w:val="single" w:color="000000" w:sz="8" w:space="0"/>
            </w:tcBorders>
            <w:shd w:val="clear" w:color="auto" w:fill="auto"/>
            <w:vAlign w:val="center"/>
          </w:tcPr>
          <w:p w14:paraId="0A63CB6F">
            <w:pPr>
              <w:pStyle w:val="45"/>
              <w:rPr>
                <w:rFonts w:hint="default" w:eastAsia="宋体"/>
                <w:lang w:val="en-US" w:eastAsia="zh-CN"/>
              </w:rPr>
            </w:pPr>
            <w:r>
              <w:t>叠加</w:t>
            </w:r>
            <w:r>
              <w:rPr>
                <w:rFonts w:hint="eastAsia"/>
                <w:lang w:val="en-US" w:eastAsia="zh-CN"/>
              </w:rPr>
              <w:t>达标规划目标</w:t>
            </w:r>
            <w:r>
              <w:rPr>
                <w:rFonts w:hint="eastAsia"/>
                <w:b w:val="0"/>
                <w:bCs w:val="0"/>
                <w:lang w:val="en-US" w:eastAsia="zh-CN"/>
              </w:rPr>
              <w:t>浓度</w:t>
            </w:r>
            <w:r>
              <w:t>后的保证率日平均质量浓度和年平均质量浓度的达标情况，或短期浓度的达标情况</w:t>
            </w:r>
            <w:r>
              <w:rPr>
                <w:rFonts w:hint="eastAsia"/>
                <w:lang w:eastAsia="zh-CN"/>
              </w:rPr>
              <w:t>；</w:t>
            </w:r>
            <w:r>
              <w:rPr>
                <w:rFonts w:hint="eastAsia"/>
                <w:lang w:val="en-US" w:eastAsia="zh-CN"/>
              </w:rPr>
              <w:t>评价年平均质量浓度变化率</w:t>
            </w:r>
          </w:p>
        </w:tc>
      </w:tr>
      <w:tr w14:paraId="54ABC4CA">
        <w:tblPrEx>
          <w:tblCellMar>
            <w:top w:w="0" w:type="dxa"/>
            <w:left w:w="108" w:type="dxa"/>
            <w:bottom w:w="0" w:type="dxa"/>
            <w:right w:w="108" w:type="dxa"/>
          </w:tblCellMar>
        </w:tblPrEx>
        <w:trPr>
          <w:trHeight w:val="612" w:hRule="atLeast"/>
        </w:trPr>
        <w:tc>
          <w:tcPr>
            <w:tcW w:w="489" w:type="pct"/>
            <w:vMerge w:val="continue"/>
            <w:tcBorders>
              <w:top w:val="nil"/>
              <w:left w:val="single" w:color="000000" w:sz="8" w:space="0"/>
              <w:bottom w:val="single" w:color="auto" w:sz="4" w:space="0"/>
              <w:right w:val="single" w:color="000000" w:sz="8" w:space="0"/>
            </w:tcBorders>
            <w:shd w:val="clear" w:color="auto" w:fill="auto"/>
            <w:vAlign w:val="center"/>
          </w:tcPr>
          <w:p w14:paraId="442A172C">
            <w:pPr>
              <w:pStyle w:val="45"/>
              <w:rPr>
                <w:rFonts w:hint="default"/>
              </w:rPr>
            </w:pPr>
          </w:p>
        </w:tc>
        <w:tc>
          <w:tcPr>
            <w:tcW w:w="1193" w:type="pct"/>
            <w:tcBorders>
              <w:top w:val="nil"/>
              <w:left w:val="single" w:color="000000" w:sz="8" w:space="0"/>
              <w:bottom w:val="single" w:color="auto" w:sz="4" w:space="0"/>
              <w:right w:val="single" w:color="000000" w:sz="8" w:space="0"/>
            </w:tcBorders>
            <w:shd w:val="clear" w:color="auto" w:fill="auto"/>
            <w:vAlign w:val="center"/>
          </w:tcPr>
          <w:p w14:paraId="18906525">
            <w:pPr>
              <w:pStyle w:val="45"/>
              <w:rPr>
                <w:rFonts w:hint="default"/>
              </w:rPr>
            </w:pPr>
            <w:r>
              <w:t>新增污染源</w:t>
            </w:r>
          </w:p>
        </w:tc>
        <w:tc>
          <w:tcPr>
            <w:tcW w:w="888" w:type="pct"/>
            <w:tcBorders>
              <w:top w:val="nil"/>
              <w:left w:val="single" w:color="000000" w:sz="8" w:space="0"/>
              <w:bottom w:val="single" w:color="auto" w:sz="4" w:space="0"/>
              <w:right w:val="single" w:color="000000" w:sz="8" w:space="0"/>
            </w:tcBorders>
            <w:shd w:val="clear" w:color="auto" w:fill="auto"/>
            <w:vAlign w:val="center"/>
          </w:tcPr>
          <w:p w14:paraId="426B11AC">
            <w:pPr>
              <w:pStyle w:val="45"/>
              <w:rPr>
                <w:rFonts w:hint="default"/>
              </w:rPr>
            </w:pPr>
            <w:r>
              <w:t>非正常排放</w:t>
            </w:r>
          </w:p>
        </w:tc>
        <w:tc>
          <w:tcPr>
            <w:tcW w:w="653" w:type="pct"/>
            <w:tcBorders>
              <w:top w:val="nil"/>
              <w:left w:val="single" w:color="000000" w:sz="8" w:space="0"/>
              <w:bottom w:val="single" w:color="auto" w:sz="4" w:space="0"/>
              <w:right w:val="single" w:color="000000" w:sz="8" w:space="0"/>
            </w:tcBorders>
            <w:shd w:val="clear" w:color="auto" w:fill="auto"/>
            <w:vAlign w:val="center"/>
          </w:tcPr>
          <w:p w14:paraId="1CE5C8E9">
            <w:pPr>
              <w:pStyle w:val="45"/>
              <w:rPr>
                <w:rFonts w:hint="default"/>
              </w:rPr>
            </w:pPr>
            <w:r>
              <w:rPr>
                <w:rFonts w:hint="default"/>
              </w:rPr>
              <w:t xml:space="preserve">1h </w:t>
            </w:r>
            <w:r>
              <w:t>平均质量浓度</w:t>
            </w:r>
          </w:p>
        </w:tc>
        <w:tc>
          <w:tcPr>
            <w:tcW w:w="1775" w:type="pct"/>
            <w:tcBorders>
              <w:top w:val="nil"/>
              <w:left w:val="single" w:color="000000" w:sz="8" w:space="0"/>
              <w:bottom w:val="single" w:color="auto" w:sz="4" w:space="0"/>
              <w:right w:val="single" w:color="000000" w:sz="8" w:space="0"/>
            </w:tcBorders>
            <w:shd w:val="clear" w:color="auto" w:fill="auto"/>
            <w:vAlign w:val="center"/>
          </w:tcPr>
          <w:p w14:paraId="6DB4A874">
            <w:pPr>
              <w:pStyle w:val="45"/>
              <w:rPr>
                <w:rFonts w:hint="default"/>
              </w:rPr>
            </w:pPr>
            <w:r>
              <w:t>最大浓度占标率</w:t>
            </w:r>
          </w:p>
        </w:tc>
      </w:tr>
      <w:tr w14:paraId="0C8E0DFD">
        <w:tblPrEx>
          <w:tblCellMar>
            <w:top w:w="0" w:type="dxa"/>
            <w:left w:w="108" w:type="dxa"/>
            <w:bottom w:w="0" w:type="dxa"/>
            <w:right w:w="108" w:type="dxa"/>
          </w:tblCellMar>
        </w:tblPrEx>
        <w:trPr>
          <w:trHeight w:val="623" w:hRule="atLeast"/>
        </w:trPr>
        <w:tc>
          <w:tcPr>
            <w:tcW w:w="489" w:type="pct"/>
            <w:tcBorders>
              <w:top w:val="single" w:color="auto" w:sz="4" w:space="0"/>
              <w:left w:val="single" w:color="000000" w:sz="8" w:space="0"/>
              <w:bottom w:val="single" w:color="000000" w:sz="8" w:space="0"/>
              <w:right w:val="single" w:color="000000" w:sz="8" w:space="0"/>
            </w:tcBorders>
            <w:shd w:val="clear" w:color="auto" w:fill="auto"/>
            <w:vAlign w:val="center"/>
          </w:tcPr>
          <w:p w14:paraId="470C24C7">
            <w:pPr>
              <w:pStyle w:val="45"/>
              <w:rPr>
                <w:rFonts w:hint="default"/>
              </w:rPr>
            </w:pPr>
            <w:r>
              <w:t>大气环境防护距离</w:t>
            </w:r>
          </w:p>
        </w:tc>
        <w:tc>
          <w:tcPr>
            <w:tcW w:w="1193" w:type="pct"/>
            <w:tcBorders>
              <w:top w:val="single" w:color="auto" w:sz="4" w:space="0"/>
              <w:left w:val="single" w:color="000000" w:sz="8" w:space="0"/>
              <w:bottom w:val="single" w:color="000000" w:sz="8" w:space="0"/>
              <w:right w:val="single" w:color="000000" w:sz="8" w:space="0"/>
            </w:tcBorders>
            <w:shd w:val="clear" w:color="auto" w:fill="auto"/>
            <w:vAlign w:val="center"/>
          </w:tcPr>
          <w:p w14:paraId="7FD1C4DE">
            <w:pPr>
              <w:pStyle w:val="45"/>
              <w:rPr>
                <w:rFonts w:hint="default"/>
              </w:rPr>
            </w:pPr>
            <w:r>
              <w:t>新增污染源</w:t>
            </w:r>
            <w:r>
              <w:rPr>
                <w:rFonts w:hint="default"/>
              </w:rPr>
              <w:t>-“</w:t>
            </w:r>
            <w:r>
              <w:t>以新带老</w:t>
            </w:r>
            <w:r>
              <w:rPr>
                <w:rFonts w:hint="default"/>
              </w:rPr>
              <w:t>”</w:t>
            </w:r>
            <w:r>
              <w:t>削减源（如有）</w:t>
            </w:r>
            <w:r>
              <w:rPr>
                <w:rFonts w:hint="default"/>
              </w:rPr>
              <w:t>+</w:t>
            </w:r>
            <w:r>
              <w:t>项目全厂现有污染源</w:t>
            </w:r>
          </w:p>
        </w:tc>
        <w:tc>
          <w:tcPr>
            <w:tcW w:w="888" w:type="pct"/>
            <w:tcBorders>
              <w:top w:val="single" w:color="auto" w:sz="4" w:space="0"/>
              <w:left w:val="single" w:color="000000" w:sz="8" w:space="0"/>
              <w:bottom w:val="single" w:color="000000" w:sz="8" w:space="0"/>
              <w:right w:val="single" w:color="000000" w:sz="8" w:space="0"/>
            </w:tcBorders>
            <w:shd w:val="clear" w:color="auto" w:fill="auto"/>
            <w:vAlign w:val="center"/>
          </w:tcPr>
          <w:p w14:paraId="7C7EA2C7">
            <w:pPr>
              <w:pStyle w:val="45"/>
              <w:rPr>
                <w:rFonts w:hint="default"/>
              </w:rPr>
            </w:pPr>
            <w:r>
              <w:t>正常排放</w:t>
            </w:r>
          </w:p>
        </w:tc>
        <w:tc>
          <w:tcPr>
            <w:tcW w:w="653" w:type="pct"/>
            <w:tcBorders>
              <w:top w:val="single" w:color="auto" w:sz="4" w:space="0"/>
              <w:left w:val="single" w:color="000000" w:sz="8" w:space="0"/>
              <w:bottom w:val="single" w:color="000000" w:sz="8" w:space="0"/>
              <w:right w:val="single" w:color="000000" w:sz="8" w:space="0"/>
            </w:tcBorders>
            <w:shd w:val="clear" w:color="auto" w:fill="auto"/>
            <w:vAlign w:val="center"/>
          </w:tcPr>
          <w:p w14:paraId="5BEBDDCA">
            <w:pPr>
              <w:pStyle w:val="45"/>
              <w:rPr>
                <w:rFonts w:hint="default"/>
              </w:rPr>
            </w:pPr>
            <w:r>
              <w:t>短期浓度</w:t>
            </w:r>
          </w:p>
        </w:tc>
        <w:tc>
          <w:tcPr>
            <w:tcW w:w="1775" w:type="pct"/>
            <w:tcBorders>
              <w:top w:val="single" w:color="auto" w:sz="4" w:space="0"/>
              <w:left w:val="single" w:color="000000" w:sz="8" w:space="0"/>
              <w:bottom w:val="single" w:color="000000" w:sz="8" w:space="0"/>
              <w:right w:val="single" w:color="000000" w:sz="8" w:space="0"/>
            </w:tcBorders>
            <w:shd w:val="clear" w:color="auto" w:fill="auto"/>
            <w:vAlign w:val="center"/>
          </w:tcPr>
          <w:p w14:paraId="05E03110">
            <w:pPr>
              <w:pStyle w:val="45"/>
              <w:rPr>
                <w:rFonts w:hint="default"/>
              </w:rPr>
            </w:pPr>
            <w:r>
              <w:t>大气环境防护距离</w:t>
            </w:r>
          </w:p>
        </w:tc>
      </w:tr>
    </w:tbl>
    <w:p w14:paraId="7BD5681F">
      <w:pPr>
        <w:bidi w:val="0"/>
        <w:ind w:left="480" w:leftChars="200" w:firstLine="0" w:firstLineChars="0"/>
        <w:rPr>
          <w:rFonts w:hint="eastAsia" w:eastAsia="宋体"/>
          <w:lang w:eastAsia="zh-CN"/>
        </w:rPr>
      </w:pPr>
    </w:p>
    <w:p w14:paraId="0CBF7207">
      <w:pPr>
        <w:bidi w:val="0"/>
        <w:ind w:left="480" w:leftChars="200" w:firstLine="0" w:firstLineChars="0"/>
      </w:pPr>
      <w:r>
        <w:rPr>
          <w:rFonts w:hint="eastAsia"/>
        </w:rPr>
        <w:t>具体评价预测内容如下：</w:t>
      </w:r>
    </w:p>
    <w:p w14:paraId="6560A0CA">
      <w:pPr>
        <w:bidi w:val="0"/>
      </w:pPr>
      <w:r>
        <w:rPr>
          <w:rFonts w:hint="eastAsia"/>
        </w:rPr>
        <w:t>1、项目正常工况下影响预测</w:t>
      </w:r>
    </w:p>
    <w:p w14:paraId="213BCD1C">
      <w:pPr>
        <w:ind w:firstLine="480"/>
        <w:rPr>
          <w:rFonts w:hint="default" w:eastAsia="宋体"/>
          <w:lang w:val="en-US" w:eastAsia="zh-CN"/>
        </w:rPr>
      </w:pPr>
      <w:r>
        <w:t>（1）新增污染源预测：A.项目评价基准年逐次1小时气象条件下，环境空气保护目标、网格点处的地面浓度和评价范围内的最大地面小时浓度，并绘制典型1小时平均浓度等值线分布图；B.项目评价基准年全年逐日气象条件下，环境空气保护目标、网格点处的地面浓度和评价范围内最大地面日平均浓度，并绘制典型日平均浓度等值线分布图；C.项目评价基准年全年气象条件下，环境空气保护目标、网格点处的地面浓度和评价范围内最大地面年平均浓度，并绘制年平均浓度等值线分布图；D.</w:t>
      </w:r>
      <w:r>
        <w:rPr>
          <w:rFonts w:hint="eastAsia"/>
          <w:lang w:val="en-US" w:eastAsia="zh-CN"/>
        </w:rPr>
        <w:t>Cl</w:t>
      </w:r>
      <w:r>
        <w:rPr>
          <w:rFonts w:hint="eastAsia"/>
          <w:vertAlign w:val="subscript"/>
          <w:lang w:val="en-US" w:eastAsia="zh-CN"/>
        </w:rPr>
        <w:t>2</w:t>
      </w:r>
      <w:r>
        <w:rPr>
          <w:rFonts w:hint="eastAsia"/>
          <w:lang w:val="en-US" w:eastAsia="zh-CN"/>
        </w:rPr>
        <w:t>、HCl、颗粒物（TSP）等现状达标因子</w:t>
      </w:r>
      <w:r>
        <w:t>预测</w:t>
      </w:r>
      <w:r>
        <w:rPr>
          <w:rFonts w:hint="eastAsia"/>
          <w:lang w:val="en-US" w:eastAsia="zh-CN"/>
        </w:rPr>
        <w:t>叠加</w:t>
      </w:r>
      <w:r>
        <w:rPr>
          <w:rFonts w:hint="eastAsia"/>
          <w:b w:val="0"/>
          <w:bCs w:val="0"/>
          <w:lang w:val="en-US" w:eastAsia="zh-CN"/>
        </w:rPr>
        <w:t>环境质量现状浓度</w:t>
      </w:r>
      <w:r>
        <w:t>后，环境空气保护目标和网格点主要污染物的保证率日平均质量浓度和年平均质量浓度的达标情况</w:t>
      </w:r>
      <w:r>
        <w:rPr>
          <w:rFonts w:hint="eastAsia"/>
          <w:lang w:eastAsia="zh-CN"/>
        </w:rPr>
        <w:t>，</w:t>
      </w:r>
      <w:r>
        <w:t>或短期浓度的达标情况</w:t>
      </w:r>
      <w:r>
        <w:rPr>
          <w:rFonts w:hint="eastAsia"/>
          <w:lang w:eastAsia="zh-CN"/>
        </w:rPr>
        <w:t>；</w:t>
      </w:r>
    </w:p>
    <w:p w14:paraId="3E4A047A">
      <w:pPr>
        <w:ind w:firstLine="480"/>
      </w:pPr>
      <w:r>
        <w:t>（2）考虑到区域削减和其他拟建在建污染源，故选取项目建成后区域削减和其他拟建在建污染源与本项目排放相同的污染物预测值及背景值进行叠加分析。</w:t>
      </w:r>
    </w:p>
    <w:p w14:paraId="0FD0EFB3">
      <w:pPr>
        <w:ind w:firstLine="480"/>
      </w:pPr>
      <w:r>
        <w:t>2、非正常工况下影响预测</w:t>
      </w:r>
    </w:p>
    <w:p w14:paraId="17BA770E">
      <w:pPr>
        <w:ind w:firstLine="480"/>
      </w:pPr>
      <w:r>
        <w:t>项目污染物非正常排放情况，逐次小时气象条件下，环境空气保护目标、评价范围内的最大地面1小时浓度。</w:t>
      </w:r>
    </w:p>
    <w:p w14:paraId="361E43A8">
      <w:pPr>
        <w:ind w:firstLine="480"/>
      </w:pPr>
      <w:r>
        <w:t>项目污染物排放面源减去区域削减源再叠加拟建在建污染源，计算大气环境防护距离。</w:t>
      </w:r>
    </w:p>
    <w:p w14:paraId="7E7BF1C0">
      <w:pPr>
        <w:ind w:firstLine="480"/>
        <w:rPr>
          <w:rFonts w:hint="default" w:eastAsia="宋体"/>
          <w:lang w:val="en-US" w:eastAsia="zh-CN"/>
        </w:rPr>
      </w:pPr>
      <w:r>
        <w:t>3、污染物背景浓度</w:t>
      </w:r>
      <w:r>
        <w:rPr>
          <w:rFonts w:hint="eastAsia"/>
          <w:lang w:eastAsia="zh-CN"/>
        </w:rPr>
        <w:t>、</w:t>
      </w:r>
      <w:r>
        <w:rPr>
          <w:rFonts w:hint="eastAsia"/>
          <w:lang w:val="en-US" w:eastAsia="zh-CN"/>
        </w:rPr>
        <w:t>达标规划浓度</w:t>
      </w:r>
    </w:p>
    <w:p w14:paraId="144E119D">
      <w:pPr>
        <w:ind w:firstLine="480"/>
      </w:pPr>
      <w:r>
        <w:t>（1）基本污染物背景浓度</w:t>
      </w:r>
    </w:p>
    <w:p w14:paraId="28110992">
      <w:pPr>
        <w:ind w:firstLine="480"/>
        <w:rPr>
          <w:rFonts w:hint="default" w:eastAsia="宋体"/>
          <w:lang w:val="en-US" w:eastAsia="zh-CN"/>
        </w:rPr>
      </w:pPr>
      <w:r>
        <w:t>本项目基本污染物（SO</w:t>
      </w:r>
      <w:r>
        <w:rPr>
          <w:vertAlign w:val="subscript"/>
        </w:rPr>
        <w:t>2</w:t>
      </w:r>
      <w:r>
        <w:t>、NO</w:t>
      </w:r>
      <w:r>
        <w:rPr>
          <w:vertAlign w:val="subscript"/>
        </w:rPr>
        <w:t>2</w:t>
      </w:r>
      <w:r>
        <w:t>、PM</w:t>
      </w:r>
      <w:r>
        <w:rPr>
          <w:rFonts w:hint="eastAsia"/>
          <w:vertAlign w:val="subscript"/>
          <w:lang w:val="en-US" w:eastAsia="zh-CN"/>
        </w:rPr>
        <w:t>2.5</w:t>
      </w:r>
      <w:r>
        <w:t>、PM</w:t>
      </w:r>
      <w:r>
        <w:rPr>
          <w:vertAlign w:val="subscript"/>
        </w:rPr>
        <w:t>10</w:t>
      </w:r>
      <w:r>
        <w:t>、CO</w:t>
      </w:r>
      <w:r>
        <w:rPr>
          <w:rFonts w:hint="eastAsia"/>
          <w:lang w:eastAsia="zh-CN"/>
        </w:rPr>
        <w:t>、</w:t>
      </w:r>
      <w:r>
        <w:rPr>
          <w:rFonts w:hint="eastAsia"/>
          <w:lang w:val="en-US" w:eastAsia="zh-CN"/>
        </w:rPr>
        <w:t>O</w:t>
      </w:r>
      <w:r>
        <w:rPr>
          <w:rFonts w:hint="eastAsia"/>
          <w:vertAlign w:val="subscript"/>
          <w:lang w:val="en-US" w:eastAsia="zh-CN"/>
        </w:rPr>
        <w:t>3</w:t>
      </w:r>
      <w:r>
        <w:t>）背景浓度均采用衡阳市生态环境局发布的《关于202</w:t>
      </w:r>
      <w:r>
        <w:rPr>
          <w:rFonts w:hint="eastAsia"/>
          <w:lang w:val="en-US" w:eastAsia="zh-CN"/>
        </w:rPr>
        <w:t>3</w:t>
      </w:r>
      <w:r>
        <w:t>年12月及1-12月全市环境质量状况的通报》中的数据。</w:t>
      </w:r>
    </w:p>
    <w:p w14:paraId="55EA582B">
      <w:pPr>
        <w:ind w:firstLine="480"/>
      </w:pPr>
      <w:r>
        <w:t>（2）其他污染物背景浓度</w:t>
      </w:r>
    </w:p>
    <w:p w14:paraId="3C47E7BB">
      <w:pPr>
        <w:ind w:firstLine="480"/>
      </w:pPr>
      <w:r>
        <w:t>本项目排放的特征污染物TS</w:t>
      </w:r>
      <w:r>
        <w:rPr>
          <w:rFonts w:hint="eastAsia"/>
          <w:lang w:val="en-US" w:eastAsia="zh-CN"/>
        </w:rPr>
        <w:t>P</w:t>
      </w:r>
      <w:r>
        <w:t>、HCl、Cl</w:t>
      </w:r>
      <w:r>
        <w:rPr>
          <w:vertAlign w:val="subscript"/>
        </w:rPr>
        <w:t>2</w:t>
      </w:r>
      <w:r>
        <w:t>背景浓度采用监测浓度中的最大值。</w:t>
      </w:r>
    </w:p>
    <w:p w14:paraId="71A984F6">
      <w:pPr>
        <w:ind w:firstLine="480"/>
        <w:rPr>
          <w:rFonts w:hint="default" w:eastAsia="宋体"/>
          <w:lang w:val="en-US" w:eastAsia="zh-CN"/>
        </w:rPr>
      </w:pPr>
      <w:r>
        <w:rPr>
          <w:rFonts w:hint="eastAsia"/>
          <w:lang w:eastAsia="zh-CN"/>
        </w:rPr>
        <w:t>（</w:t>
      </w:r>
      <w:r>
        <w:rPr>
          <w:rFonts w:hint="eastAsia"/>
          <w:lang w:val="en-US" w:eastAsia="zh-CN"/>
        </w:rPr>
        <w:t>3</w:t>
      </w:r>
      <w:r>
        <w:rPr>
          <w:rFonts w:hint="eastAsia"/>
          <w:lang w:eastAsia="zh-CN"/>
        </w:rPr>
        <w:t>）</w:t>
      </w:r>
      <w:r>
        <w:rPr>
          <w:rFonts w:hint="eastAsia"/>
          <w:lang w:val="en-US" w:eastAsia="zh-CN"/>
        </w:rPr>
        <w:t>达标规划浓度</w:t>
      </w:r>
    </w:p>
    <w:p w14:paraId="1B8B5620">
      <w:pPr>
        <w:ind w:firstLine="480"/>
        <w:rPr>
          <w:rFonts w:hint="eastAsia"/>
          <w:lang w:eastAsia="zh-CN"/>
        </w:rPr>
      </w:pPr>
      <w:r>
        <w:rPr>
          <w:rFonts w:hint="eastAsia"/>
          <w:lang w:val="en-US" w:eastAsia="zh-CN"/>
        </w:rPr>
        <w:t>根据《衡阳市大气环境质量限期达标规划（2020-2025）》，项目所在区域不达标指标 PM</w:t>
      </w:r>
      <w:r>
        <w:rPr>
          <w:rFonts w:hint="eastAsia"/>
          <w:vertAlign w:val="subscript"/>
          <w:lang w:val="en-US" w:eastAsia="zh-CN"/>
        </w:rPr>
        <w:t>2.5</w:t>
      </w:r>
      <w:r>
        <w:rPr>
          <w:rFonts w:hint="eastAsia"/>
          <w:lang w:val="en-US" w:eastAsia="zh-CN"/>
        </w:rPr>
        <w:t>达标规划浓度为年均浓度35</w:t>
      </w:r>
      <w:r>
        <w:rPr>
          <w:rFonts w:hint="default"/>
        </w:rPr>
        <w:t>μ</w:t>
      </w:r>
      <w:r>
        <w:rPr>
          <w:rFonts w:hint="eastAsia"/>
          <w:lang w:val="en-US" w:eastAsia="zh-CN"/>
        </w:rPr>
        <w:t>g/m</w:t>
      </w:r>
      <w:r>
        <w:rPr>
          <w:rFonts w:hint="eastAsia"/>
          <w:vertAlign w:val="superscript"/>
          <w:lang w:val="en-US" w:eastAsia="zh-CN"/>
        </w:rPr>
        <w:t>3</w:t>
      </w:r>
      <w:r>
        <w:rPr>
          <w:rFonts w:hint="eastAsia"/>
          <w:vertAlign w:val="baseline"/>
          <w:lang w:val="en-US" w:eastAsia="zh-CN"/>
        </w:rPr>
        <w:t>。</w:t>
      </w:r>
    </w:p>
    <w:p w14:paraId="38147760">
      <w:pPr>
        <w:ind w:left="480" w:leftChars="200" w:firstLine="0" w:firstLineChars="0"/>
      </w:pPr>
      <w:r>
        <w:t>4、 保证率日平均质量浓度</w:t>
      </w:r>
    </w:p>
    <w:p w14:paraId="46713F49">
      <w:pPr>
        <w:ind w:firstLine="480"/>
      </w:pPr>
      <w:r>
        <w:t>按照《环境影响评价技术导则 大气环境》（HJ2.2-2018）的规定，对于保证率日平均质量浓度在按导则方法计算叠加后预测点上的日平均质量浓度，然后对该预测点所有日平均质量浓度从小到大进行排序，根据各污染物日平均质量浓度的保证率（p），计算排在p百分位数的第m个序数，序数m对应的日平均质量浓度即为保证率日平均浓度。p按HJ663规定的对应污染物年评价24h平均百分位数取值，其中 SO</w:t>
      </w:r>
      <w:r>
        <w:rPr>
          <w:vertAlign w:val="subscript"/>
        </w:rPr>
        <w:t>2</w:t>
      </w:r>
      <w:r>
        <w:t>、NO</w:t>
      </w:r>
      <w:r>
        <w:rPr>
          <w:vertAlign w:val="subscript"/>
        </w:rPr>
        <w:t>2</w:t>
      </w:r>
      <w:r>
        <w:t>取98，PM</w:t>
      </w:r>
      <w:r>
        <w:rPr>
          <w:vertAlign w:val="subscript"/>
        </w:rPr>
        <w:t>10</w:t>
      </w:r>
      <w:r>
        <w:t>取95，对于HJ663中未规定的污染物，不进行保证率计算。</w:t>
      </w:r>
    </w:p>
    <w:p w14:paraId="6B400362">
      <w:pPr>
        <w:pStyle w:val="4"/>
        <w:numPr>
          <w:ilvl w:val="2"/>
          <w:numId w:val="1"/>
        </w:numPr>
      </w:pPr>
      <w:bookmarkStart w:id="249" w:name="_Toc11114"/>
      <w:r>
        <w:rPr>
          <w:rFonts w:hint="eastAsia"/>
        </w:rPr>
        <w:t>预测源强</w:t>
      </w:r>
      <w:bookmarkEnd w:id="249"/>
    </w:p>
    <w:p w14:paraId="052B5E34">
      <w:pPr>
        <w:ind w:firstLine="480"/>
      </w:pPr>
      <w:r>
        <w:rPr>
          <w:rFonts w:hint="eastAsia"/>
        </w:rPr>
        <w:t>预测源强见下表所示。</w:t>
      </w:r>
    </w:p>
    <w:p w14:paraId="786D59C9">
      <w:pPr>
        <w:ind w:firstLine="0" w:firstLineChars="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5E52646A">
      <w:pPr>
        <w:pStyle w:val="43"/>
        <w:numPr>
          <w:ilvl w:val="5"/>
          <w:numId w:val="1"/>
        </w:numPr>
        <w:rPr>
          <w:rFonts w:hint="default"/>
        </w:rPr>
      </w:pPr>
      <w:r>
        <w:t>本项目污染源（有组织）正常排放情况一览表</w:t>
      </w:r>
    </w:p>
    <w:tbl>
      <w:tblPr>
        <w:tblStyle w:val="32"/>
        <w:tblW w:w="4998" w:type="pct"/>
        <w:tblInd w:w="0" w:type="dxa"/>
        <w:tblLayout w:type="autofit"/>
        <w:tblCellMar>
          <w:top w:w="0" w:type="dxa"/>
          <w:left w:w="108" w:type="dxa"/>
          <w:bottom w:w="0" w:type="dxa"/>
          <w:right w:w="108" w:type="dxa"/>
        </w:tblCellMar>
      </w:tblPr>
      <w:tblGrid>
        <w:gridCol w:w="998"/>
        <w:gridCol w:w="1484"/>
        <w:gridCol w:w="914"/>
        <w:gridCol w:w="917"/>
        <w:gridCol w:w="1070"/>
        <w:gridCol w:w="911"/>
        <w:gridCol w:w="1070"/>
        <w:gridCol w:w="1246"/>
        <w:gridCol w:w="1163"/>
        <w:gridCol w:w="939"/>
        <w:gridCol w:w="795"/>
        <w:gridCol w:w="902"/>
        <w:gridCol w:w="902"/>
        <w:gridCol w:w="857"/>
      </w:tblGrid>
      <w:tr w14:paraId="39C531A3">
        <w:tblPrEx>
          <w:tblCellMar>
            <w:top w:w="0" w:type="dxa"/>
            <w:left w:w="108" w:type="dxa"/>
            <w:bottom w:w="0" w:type="dxa"/>
            <w:right w:w="108" w:type="dxa"/>
          </w:tblCellMar>
        </w:tblPrEx>
        <w:trPr>
          <w:trHeight w:val="825" w:hRule="atLeast"/>
          <w:tblHeader/>
        </w:trPr>
        <w:tc>
          <w:tcPr>
            <w:tcW w:w="35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21E16C7">
            <w:pPr>
              <w:pStyle w:val="45"/>
              <w:rPr>
                <w:rFonts w:hint="default"/>
                <w:b/>
                <w:bCs/>
              </w:rPr>
            </w:pPr>
            <w:r>
              <w:rPr>
                <w:b/>
                <w:bCs/>
              </w:rPr>
              <w:t>排气筒编号</w:t>
            </w:r>
          </w:p>
        </w:tc>
        <w:tc>
          <w:tcPr>
            <w:tcW w:w="52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DA22F5F">
            <w:pPr>
              <w:pStyle w:val="45"/>
              <w:rPr>
                <w:rFonts w:hint="default"/>
                <w:b/>
                <w:bCs/>
              </w:rPr>
            </w:pPr>
            <w:r>
              <w:rPr>
                <w:b/>
                <w:bCs/>
              </w:rPr>
              <w:t>废气名称</w:t>
            </w:r>
          </w:p>
        </w:tc>
        <w:tc>
          <w:tcPr>
            <w:tcW w:w="64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88A6545">
            <w:pPr>
              <w:pStyle w:val="45"/>
              <w:rPr>
                <w:rFonts w:hint="default"/>
                <w:b/>
                <w:bCs/>
              </w:rPr>
            </w:pPr>
            <w:r>
              <w:rPr>
                <w:b/>
                <w:bCs/>
              </w:rPr>
              <w:t>排气筒底部中心坐标（m）</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28BAAB">
            <w:pPr>
              <w:pStyle w:val="45"/>
              <w:rPr>
                <w:rFonts w:hint="default"/>
                <w:b/>
                <w:bCs/>
              </w:rPr>
            </w:pPr>
            <w:r>
              <w:rPr>
                <w:b/>
                <w:bCs/>
              </w:rPr>
              <w:t>排气筒底部海拔(m)</w:t>
            </w:r>
          </w:p>
        </w:tc>
        <w:tc>
          <w:tcPr>
            <w:tcW w:w="3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28FCE3">
            <w:pPr>
              <w:pStyle w:val="45"/>
              <w:rPr>
                <w:rFonts w:hint="default"/>
                <w:b/>
                <w:bCs/>
              </w:rPr>
            </w:pPr>
            <w:r>
              <w:rPr>
                <w:b/>
                <w:bCs/>
              </w:rPr>
              <w:t>排气筒高度(m)</w:t>
            </w:r>
          </w:p>
        </w:tc>
        <w:tc>
          <w:tcPr>
            <w:tcW w:w="3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D41DAA">
            <w:pPr>
              <w:pStyle w:val="45"/>
              <w:rPr>
                <w:rFonts w:hint="default"/>
                <w:b/>
                <w:bCs/>
              </w:rPr>
            </w:pPr>
            <w:r>
              <w:rPr>
                <w:b/>
                <w:bCs/>
              </w:rPr>
              <w:t>排气筒出口内径(m)</w:t>
            </w:r>
          </w:p>
        </w:tc>
        <w:tc>
          <w:tcPr>
            <w:tcW w:w="4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6CFA0E">
            <w:pPr>
              <w:pStyle w:val="45"/>
              <w:rPr>
                <w:rFonts w:hint="default"/>
                <w:b/>
                <w:bCs/>
              </w:rPr>
            </w:pPr>
            <w:r>
              <w:rPr>
                <w:b/>
                <w:bCs/>
              </w:rPr>
              <w:t>烟气流速（m</w:t>
            </w:r>
            <w:r>
              <w:rPr>
                <w:b/>
                <w:bCs/>
                <w:vertAlign w:val="superscript"/>
              </w:rPr>
              <w:t>3</w:t>
            </w:r>
            <w:r>
              <w:rPr>
                <w:b/>
                <w:bCs/>
              </w:rPr>
              <w:t>/h)</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CFCF3C">
            <w:pPr>
              <w:pStyle w:val="45"/>
              <w:rPr>
                <w:rFonts w:hint="default"/>
                <w:b/>
                <w:bCs/>
              </w:rPr>
            </w:pPr>
            <w:r>
              <w:rPr>
                <w:b/>
                <w:bCs/>
              </w:rPr>
              <w:t>烟气温度（℃）</w:t>
            </w:r>
          </w:p>
        </w:tc>
        <w:tc>
          <w:tcPr>
            <w:tcW w:w="33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585209F">
            <w:pPr>
              <w:pStyle w:val="45"/>
              <w:rPr>
                <w:rFonts w:hint="default"/>
                <w:b/>
                <w:bCs/>
              </w:rPr>
            </w:pPr>
            <w:r>
              <w:rPr>
                <w:b/>
                <w:bCs/>
              </w:rPr>
              <w:t>排放时间（h)</w:t>
            </w:r>
          </w:p>
        </w:tc>
        <w:tc>
          <w:tcPr>
            <w:tcW w:w="28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D0B4B75">
            <w:pPr>
              <w:pStyle w:val="45"/>
              <w:rPr>
                <w:rFonts w:hint="default"/>
                <w:b/>
                <w:bCs/>
              </w:rPr>
            </w:pPr>
            <w:r>
              <w:rPr>
                <w:b/>
                <w:bCs/>
              </w:rPr>
              <w:t>排放工况</w:t>
            </w:r>
          </w:p>
        </w:tc>
        <w:tc>
          <w:tcPr>
            <w:tcW w:w="93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1CB88A6">
            <w:pPr>
              <w:pStyle w:val="45"/>
              <w:rPr>
                <w:rFonts w:hint="default"/>
                <w:b/>
                <w:bCs/>
              </w:rPr>
            </w:pPr>
            <w:r>
              <w:rPr>
                <w:b/>
                <w:bCs/>
              </w:rPr>
              <w:t>污染物排放速率（</w:t>
            </w:r>
            <w:r>
              <w:rPr>
                <w:rFonts w:hint="default"/>
                <w:b/>
                <w:bCs/>
              </w:rPr>
              <w:t>kg/h</w:t>
            </w:r>
            <w:r>
              <w:rPr>
                <w:b/>
                <w:bCs/>
              </w:rPr>
              <w:t>）</w:t>
            </w:r>
          </w:p>
        </w:tc>
      </w:tr>
      <w:tr w14:paraId="6649CFA6">
        <w:tblPrEx>
          <w:tblCellMar>
            <w:top w:w="0" w:type="dxa"/>
            <w:left w:w="108" w:type="dxa"/>
            <w:bottom w:w="0" w:type="dxa"/>
            <w:right w:w="108" w:type="dxa"/>
          </w:tblCellMar>
        </w:tblPrEx>
        <w:trPr>
          <w:trHeight w:val="270" w:hRule="atLeast"/>
          <w:tblHeader/>
        </w:trPr>
        <w:tc>
          <w:tcPr>
            <w:tcW w:w="35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8C0825">
            <w:pPr>
              <w:pStyle w:val="45"/>
              <w:rPr>
                <w:rFonts w:hint="default"/>
                <w:b/>
                <w:bCs/>
              </w:rPr>
            </w:pPr>
          </w:p>
        </w:tc>
        <w:tc>
          <w:tcPr>
            <w:tcW w:w="52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79F31B">
            <w:pPr>
              <w:pStyle w:val="45"/>
              <w:rPr>
                <w:rFonts w:hint="default"/>
                <w:b/>
                <w:bCs/>
              </w:rPr>
            </w:pP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7D34F">
            <w:pPr>
              <w:pStyle w:val="45"/>
              <w:rPr>
                <w:rFonts w:hint="default"/>
                <w:b/>
                <w:bCs/>
              </w:rPr>
            </w:pPr>
            <w:r>
              <w:rPr>
                <w:b/>
                <w:bCs/>
              </w:rPr>
              <w:t>X</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B1D82">
            <w:pPr>
              <w:pStyle w:val="45"/>
              <w:rPr>
                <w:rFonts w:hint="default"/>
                <w:b/>
                <w:bCs/>
              </w:rPr>
            </w:pPr>
            <w:r>
              <w:rPr>
                <w:b/>
                <w:bCs/>
              </w:rPr>
              <w:t>Y</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7C05C">
            <w:pPr>
              <w:pStyle w:val="45"/>
              <w:rPr>
                <w:rFonts w:hint="default"/>
                <w:b/>
                <w:bCs/>
              </w:rPr>
            </w:pPr>
            <w:r>
              <w:rPr>
                <w:b/>
                <w:bCs/>
              </w:rPr>
              <w:t>Z</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B5377">
            <w:pPr>
              <w:pStyle w:val="45"/>
              <w:rPr>
                <w:rFonts w:hint="default"/>
                <w:b/>
                <w:bCs/>
              </w:rPr>
            </w:pPr>
            <w:r>
              <w:rPr>
                <w:b/>
                <w:bCs/>
              </w:rPr>
              <w:t>H</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B273A4">
            <w:pPr>
              <w:pStyle w:val="45"/>
              <w:rPr>
                <w:rFonts w:hint="default"/>
                <w:b/>
                <w:bCs/>
              </w:rPr>
            </w:pPr>
            <w:r>
              <w:rPr>
                <w:b/>
                <w:bCs/>
              </w:rPr>
              <w:t>D</w:t>
            </w:r>
          </w:p>
        </w:tc>
        <w:tc>
          <w:tcPr>
            <w:tcW w:w="4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65661">
            <w:pPr>
              <w:pStyle w:val="45"/>
              <w:rPr>
                <w:rFonts w:hint="default"/>
                <w:b/>
                <w:bCs/>
              </w:rPr>
            </w:pPr>
            <w:r>
              <w:rPr>
                <w:b/>
                <w:bCs/>
              </w:rPr>
              <w:t>V</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002954">
            <w:pPr>
              <w:pStyle w:val="45"/>
              <w:rPr>
                <w:rFonts w:hint="default"/>
                <w:b/>
                <w:bCs/>
              </w:rPr>
            </w:pPr>
            <w:r>
              <w:rPr>
                <w:b/>
                <w:bCs/>
              </w:rPr>
              <w:t>T</w:t>
            </w:r>
          </w:p>
        </w:tc>
        <w:tc>
          <w:tcPr>
            <w:tcW w:w="33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2B6BCF">
            <w:pPr>
              <w:pStyle w:val="45"/>
              <w:rPr>
                <w:rFonts w:hint="default"/>
                <w:b/>
                <w:bCs/>
              </w:rPr>
            </w:pPr>
          </w:p>
        </w:tc>
        <w:tc>
          <w:tcPr>
            <w:tcW w:w="28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05198F">
            <w:pPr>
              <w:pStyle w:val="45"/>
              <w:rPr>
                <w:rFonts w:hint="default"/>
                <w:b/>
                <w:bCs/>
              </w:rPr>
            </w:pP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A7F1A">
            <w:pPr>
              <w:pStyle w:val="45"/>
              <w:rPr>
                <w:rFonts w:hint="default"/>
                <w:b/>
                <w:bCs/>
              </w:rPr>
            </w:pPr>
            <w:r>
              <w:rPr>
                <w:b/>
                <w:bCs/>
              </w:rPr>
              <w:t>氯气</w:t>
            </w:r>
          </w:p>
        </w:tc>
        <w:tc>
          <w:tcPr>
            <w:tcW w:w="3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42B528">
            <w:pPr>
              <w:pStyle w:val="45"/>
              <w:rPr>
                <w:rFonts w:hint="default"/>
                <w:b/>
                <w:bCs/>
              </w:rPr>
            </w:pPr>
            <w:r>
              <w:rPr>
                <w:b/>
                <w:bCs/>
              </w:rPr>
              <w:t>氯化氢</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B7FF8B">
            <w:pPr>
              <w:pStyle w:val="45"/>
              <w:rPr>
                <w:rFonts w:hint="default"/>
                <w:b/>
                <w:bCs/>
              </w:rPr>
            </w:pPr>
            <w:r>
              <w:rPr>
                <w:b/>
                <w:bCs/>
              </w:rPr>
              <w:t>颗粒物</w:t>
            </w:r>
          </w:p>
        </w:tc>
      </w:tr>
      <w:tr w14:paraId="50C79BE4">
        <w:tblPrEx>
          <w:tblCellMar>
            <w:top w:w="0" w:type="dxa"/>
            <w:left w:w="108" w:type="dxa"/>
            <w:bottom w:w="0" w:type="dxa"/>
            <w:right w:w="108" w:type="dxa"/>
          </w:tblCellMar>
        </w:tblPrEx>
        <w:trPr>
          <w:trHeight w:val="540" w:hRule="atLeast"/>
        </w:trPr>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D0A63">
            <w:pPr>
              <w:pStyle w:val="45"/>
              <w:bidi w:val="0"/>
              <w:rPr>
                <w:rFonts w:hint="default"/>
              </w:rPr>
            </w:pPr>
            <w:r>
              <w:rPr>
                <w:rFonts w:hint="eastAsia"/>
                <w:lang w:val="en-US" w:eastAsia="zh-CN"/>
              </w:rPr>
              <w:t>DA001</w:t>
            </w:r>
          </w:p>
        </w:tc>
        <w:tc>
          <w:tcPr>
            <w:tcW w:w="14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C7A0A4">
            <w:pPr>
              <w:pStyle w:val="45"/>
              <w:bidi w:val="0"/>
              <w:rPr>
                <w:rFonts w:hint="default"/>
              </w:rPr>
            </w:pPr>
            <w:r>
              <w:rPr>
                <w:rFonts w:hint="eastAsia"/>
                <w:lang w:val="en-US" w:eastAsia="zh-CN"/>
              </w:rPr>
              <w:t>一次电解尾气</w:t>
            </w:r>
          </w:p>
        </w:tc>
        <w:tc>
          <w:tcPr>
            <w:tcW w:w="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40860">
            <w:pPr>
              <w:pStyle w:val="45"/>
              <w:bidi w:val="0"/>
              <w:rPr>
                <w:rFonts w:hint="default"/>
              </w:rPr>
            </w:pPr>
            <w:r>
              <w:rPr>
                <w:rFonts w:hint="eastAsia"/>
                <w:lang w:val="en-US" w:eastAsia="zh-CN"/>
              </w:rPr>
              <w:t>-14.4</w:t>
            </w:r>
          </w:p>
        </w:tc>
        <w:tc>
          <w:tcPr>
            <w:tcW w:w="9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8D336">
            <w:pPr>
              <w:pStyle w:val="45"/>
              <w:bidi w:val="0"/>
              <w:rPr>
                <w:rFonts w:hint="default"/>
              </w:rPr>
            </w:pPr>
            <w:r>
              <w:rPr>
                <w:rFonts w:hint="eastAsia"/>
                <w:lang w:val="en-US" w:eastAsia="zh-CN"/>
              </w:rPr>
              <w:t>-16</w:t>
            </w:r>
          </w:p>
        </w:tc>
        <w:tc>
          <w:tcPr>
            <w:tcW w:w="10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FE2F6">
            <w:pPr>
              <w:pStyle w:val="45"/>
              <w:bidi w:val="0"/>
              <w:rPr>
                <w:rFonts w:hint="default"/>
              </w:rPr>
            </w:pPr>
            <w:r>
              <w:rPr>
                <w:rFonts w:hint="eastAsia"/>
                <w:lang w:val="en-US" w:eastAsia="zh-CN"/>
              </w:rPr>
              <w:t>59</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BF2D62">
            <w:pPr>
              <w:pStyle w:val="45"/>
              <w:bidi w:val="0"/>
              <w:rPr>
                <w:rFonts w:hint="default"/>
              </w:rPr>
            </w:pPr>
            <w:r>
              <w:rPr>
                <w:rFonts w:hint="default"/>
                <w:lang w:val="en-US" w:eastAsia="zh-CN"/>
              </w:rPr>
              <w:t>25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C284AE">
            <w:pPr>
              <w:pStyle w:val="45"/>
              <w:bidi w:val="0"/>
              <w:rPr>
                <w:rFonts w:hint="default"/>
              </w:rPr>
            </w:pPr>
            <w:r>
              <w:rPr>
                <w:rFonts w:hint="default"/>
                <w:lang w:val="en-US" w:eastAsia="zh-CN"/>
              </w:rPr>
              <w:t>0.4</w:t>
            </w:r>
          </w:p>
        </w:tc>
        <w:tc>
          <w:tcPr>
            <w:tcW w:w="12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02F79F">
            <w:pPr>
              <w:pStyle w:val="45"/>
              <w:bidi w:val="0"/>
              <w:rPr>
                <w:rFonts w:hint="default"/>
              </w:rPr>
            </w:pPr>
            <w:r>
              <w:rPr>
                <w:rFonts w:hint="default"/>
                <w:lang w:val="en-US" w:eastAsia="zh-CN"/>
              </w:rPr>
              <w:t>2000</w:t>
            </w:r>
          </w:p>
        </w:tc>
        <w:tc>
          <w:tcPr>
            <w:tcW w:w="11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B4A3F">
            <w:pPr>
              <w:pStyle w:val="45"/>
              <w:bidi w:val="0"/>
              <w:rPr>
                <w:rFonts w:hint="default"/>
              </w:rPr>
            </w:pPr>
            <w:r>
              <w:rPr>
                <w:rFonts w:hint="default"/>
                <w:lang w:val="en-US" w:eastAsia="zh-CN"/>
              </w:rPr>
              <w:t>25</w:t>
            </w:r>
          </w:p>
        </w:tc>
        <w:tc>
          <w:tcPr>
            <w:tcW w:w="9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1AD28B">
            <w:pPr>
              <w:pStyle w:val="45"/>
              <w:bidi w:val="0"/>
              <w:rPr>
                <w:rFonts w:hint="default"/>
              </w:rPr>
            </w:pPr>
            <w:r>
              <w:rPr>
                <w:rFonts w:hint="eastAsia"/>
                <w:lang w:val="en-US" w:eastAsia="zh-CN"/>
              </w:rPr>
              <w:t>7200</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94E63D">
            <w:pPr>
              <w:pStyle w:val="45"/>
              <w:bidi w:val="0"/>
              <w:rPr>
                <w:rFonts w:hint="default"/>
              </w:rPr>
            </w:pPr>
            <w:r>
              <w:rPr>
                <w:rFonts w:hint="eastAsia"/>
                <w:lang w:val="en-US" w:eastAsia="zh-CN"/>
              </w:rPr>
              <w:t>正常</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240E0">
            <w:pPr>
              <w:pStyle w:val="45"/>
              <w:bidi w:val="0"/>
              <w:rPr>
                <w:rFonts w:hint="default"/>
              </w:rPr>
            </w:pPr>
            <w:r>
              <w:rPr>
                <w:rFonts w:hint="eastAsia"/>
                <w:lang w:val="en-US" w:eastAsia="zh-CN"/>
              </w:rPr>
              <w:t>0.0146</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BAADF">
            <w:pPr>
              <w:pStyle w:val="45"/>
              <w:bidi w:val="0"/>
              <w:rPr>
                <w:rFonts w:hint="default"/>
              </w:rPr>
            </w:pPr>
            <w:r>
              <w:rPr>
                <w:rFonts w:hint="eastAsia"/>
                <w:lang w:val="en-US" w:eastAsia="zh-CN"/>
              </w:rPr>
              <w:t>0.0151</w:t>
            </w:r>
          </w:p>
        </w:tc>
        <w:tc>
          <w:tcPr>
            <w:tcW w:w="8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C9DDF">
            <w:pPr>
              <w:pStyle w:val="45"/>
              <w:bidi w:val="0"/>
              <w:rPr>
                <w:rFonts w:hint="default"/>
              </w:rPr>
            </w:pPr>
            <w:r>
              <w:rPr>
                <w:rFonts w:hint="eastAsia"/>
                <w:lang w:val="en-US" w:eastAsia="zh-CN"/>
              </w:rPr>
              <w:t>/</w:t>
            </w:r>
          </w:p>
        </w:tc>
      </w:tr>
      <w:tr w14:paraId="497943AB">
        <w:tblPrEx>
          <w:tblCellMar>
            <w:top w:w="0" w:type="dxa"/>
            <w:left w:w="108" w:type="dxa"/>
            <w:bottom w:w="0" w:type="dxa"/>
            <w:right w:w="108" w:type="dxa"/>
          </w:tblCellMar>
        </w:tblPrEx>
        <w:trPr>
          <w:trHeight w:val="270" w:hRule="atLeast"/>
        </w:trPr>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CCD7B">
            <w:pPr>
              <w:pStyle w:val="45"/>
              <w:bidi w:val="0"/>
              <w:rPr>
                <w:rFonts w:hint="default"/>
              </w:rPr>
            </w:pPr>
            <w:r>
              <w:rPr>
                <w:rFonts w:hint="eastAsia"/>
                <w:lang w:val="en-US" w:eastAsia="zh-CN"/>
              </w:rPr>
              <w:t>DA002</w:t>
            </w:r>
          </w:p>
        </w:tc>
        <w:tc>
          <w:tcPr>
            <w:tcW w:w="14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415D5">
            <w:pPr>
              <w:pStyle w:val="45"/>
              <w:bidi w:val="0"/>
              <w:rPr>
                <w:rFonts w:hint="default"/>
              </w:rPr>
            </w:pPr>
            <w:r>
              <w:rPr>
                <w:rFonts w:hint="eastAsia"/>
                <w:lang w:val="en-US" w:eastAsia="zh-CN"/>
              </w:rPr>
              <w:t>除次钠尾气</w:t>
            </w:r>
          </w:p>
        </w:tc>
        <w:tc>
          <w:tcPr>
            <w:tcW w:w="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2CC45">
            <w:pPr>
              <w:pStyle w:val="45"/>
              <w:bidi w:val="0"/>
              <w:rPr>
                <w:rFonts w:hint="default"/>
              </w:rPr>
            </w:pPr>
            <w:r>
              <w:rPr>
                <w:rFonts w:hint="eastAsia"/>
                <w:lang w:val="en-US" w:eastAsia="zh-CN"/>
              </w:rPr>
              <w:t>-14.4</w:t>
            </w:r>
          </w:p>
        </w:tc>
        <w:tc>
          <w:tcPr>
            <w:tcW w:w="9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2AADF">
            <w:pPr>
              <w:pStyle w:val="45"/>
              <w:bidi w:val="0"/>
              <w:rPr>
                <w:rFonts w:hint="default"/>
              </w:rPr>
            </w:pPr>
            <w:r>
              <w:rPr>
                <w:rFonts w:hint="eastAsia"/>
                <w:lang w:val="en-US" w:eastAsia="zh-CN"/>
              </w:rPr>
              <w:t>-22</w:t>
            </w:r>
          </w:p>
        </w:tc>
        <w:tc>
          <w:tcPr>
            <w:tcW w:w="10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B578D">
            <w:pPr>
              <w:pStyle w:val="45"/>
              <w:bidi w:val="0"/>
              <w:rPr>
                <w:rFonts w:hint="default"/>
              </w:rPr>
            </w:pPr>
            <w:r>
              <w:rPr>
                <w:rFonts w:hint="eastAsia"/>
                <w:lang w:val="en-US" w:eastAsia="zh-CN"/>
              </w:rPr>
              <w:t>60</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FD7BB3">
            <w:pPr>
              <w:pStyle w:val="45"/>
              <w:bidi w:val="0"/>
              <w:rPr>
                <w:rFonts w:hint="default"/>
              </w:rPr>
            </w:pPr>
            <w:r>
              <w:rPr>
                <w:rFonts w:hint="default"/>
                <w:lang w:val="en-US" w:eastAsia="zh-CN"/>
              </w:rPr>
              <w:t>25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4C65FA">
            <w:pPr>
              <w:pStyle w:val="45"/>
              <w:bidi w:val="0"/>
              <w:rPr>
                <w:rFonts w:hint="default"/>
              </w:rPr>
            </w:pPr>
            <w:r>
              <w:rPr>
                <w:rFonts w:hint="default"/>
                <w:lang w:val="en-US" w:eastAsia="zh-CN"/>
              </w:rPr>
              <w:t>0.4</w:t>
            </w:r>
          </w:p>
        </w:tc>
        <w:tc>
          <w:tcPr>
            <w:tcW w:w="12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5EB83D">
            <w:pPr>
              <w:pStyle w:val="45"/>
              <w:bidi w:val="0"/>
              <w:rPr>
                <w:rFonts w:hint="default"/>
              </w:rPr>
            </w:pPr>
            <w:r>
              <w:rPr>
                <w:rFonts w:hint="default"/>
                <w:lang w:val="en-US" w:eastAsia="zh-CN"/>
              </w:rPr>
              <w:t>2000</w:t>
            </w:r>
          </w:p>
        </w:tc>
        <w:tc>
          <w:tcPr>
            <w:tcW w:w="11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299670">
            <w:pPr>
              <w:pStyle w:val="45"/>
              <w:bidi w:val="0"/>
              <w:rPr>
                <w:rFonts w:hint="default"/>
              </w:rPr>
            </w:pPr>
            <w:r>
              <w:rPr>
                <w:rFonts w:hint="default"/>
                <w:lang w:val="en-US" w:eastAsia="zh-CN"/>
              </w:rPr>
              <w:t>25</w:t>
            </w:r>
          </w:p>
        </w:tc>
        <w:tc>
          <w:tcPr>
            <w:tcW w:w="9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F8EA4">
            <w:pPr>
              <w:pStyle w:val="45"/>
              <w:bidi w:val="0"/>
              <w:rPr>
                <w:rFonts w:hint="default"/>
              </w:rPr>
            </w:pPr>
            <w:r>
              <w:rPr>
                <w:rFonts w:hint="eastAsia"/>
                <w:lang w:val="en-US" w:eastAsia="zh-CN"/>
              </w:rPr>
              <w:t>7200</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F39A4">
            <w:pPr>
              <w:pStyle w:val="45"/>
              <w:bidi w:val="0"/>
              <w:rPr>
                <w:rFonts w:hint="default"/>
              </w:rPr>
            </w:pPr>
            <w:r>
              <w:rPr>
                <w:rFonts w:hint="eastAsia"/>
                <w:lang w:val="en-US" w:eastAsia="zh-CN"/>
              </w:rPr>
              <w:t>正常</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0FA80">
            <w:pPr>
              <w:pStyle w:val="45"/>
              <w:bidi w:val="0"/>
              <w:rPr>
                <w:rFonts w:hint="default"/>
              </w:rPr>
            </w:pPr>
            <w:r>
              <w:rPr>
                <w:rFonts w:hint="eastAsia"/>
                <w:lang w:val="en-US" w:eastAsia="zh-CN"/>
              </w:rPr>
              <w:t>0.001</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83CE9E">
            <w:pPr>
              <w:pStyle w:val="45"/>
              <w:bidi w:val="0"/>
              <w:rPr>
                <w:rFonts w:hint="default"/>
              </w:rPr>
            </w:pPr>
            <w:r>
              <w:rPr>
                <w:rFonts w:hint="eastAsia"/>
                <w:lang w:val="en-US" w:eastAsia="zh-CN"/>
              </w:rPr>
              <w:t>0.0011</w:t>
            </w:r>
          </w:p>
        </w:tc>
        <w:tc>
          <w:tcPr>
            <w:tcW w:w="8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2518C">
            <w:pPr>
              <w:pStyle w:val="45"/>
              <w:bidi w:val="0"/>
              <w:rPr>
                <w:rFonts w:hint="default"/>
              </w:rPr>
            </w:pPr>
            <w:r>
              <w:rPr>
                <w:rFonts w:hint="eastAsia"/>
                <w:lang w:val="en-US" w:eastAsia="zh-CN"/>
              </w:rPr>
              <w:t>/</w:t>
            </w:r>
          </w:p>
        </w:tc>
      </w:tr>
      <w:tr w14:paraId="79467BD6">
        <w:tblPrEx>
          <w:tblCellMar>
            <w:top w:w="0" w:type="dxa"/>
            <w:left w:w="108" w:type="dxa"/>
            <w:bottom w:w="0" w:type="dxa"/>
            <w:right w:w="108" w:type="dxa"/>
          </w:tblCellMar>
        </w:tblPrEx>
        <w:trPr>
          <w:trHeight w:val="270" w:hRule="atLeast"/>
        </w:trPr>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91CFE">
            <w:pPr>
              <w:pStyle w:val="45"/>
              <w:bidi w:val="0"/>
              <w:rPr>
                <w:rFonts w:hint="default"/>
              </w:rPr>
            </w:pPr>
            <w:r>
              <w:rPr>
                <w:rFonts w:hint="eastAsia"/>
                <w:lang w:val="en-US" w:eastAsia="zh-CN"/>
              </w:rPr>
              <w:t>DA003</w:t>
            </w:r>
          </w:p>
        </w:tc>
        <w:tc>
          <w:tcPr>
            <w:tcW w:w="14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6FA04">
            <w:pPr>
              <w:pStyle w:val="45"/>
              <w:bidi w:val="0"/>
              <w:rPr>
                <w:rFonts w:hint="default"/>
              </w:rPr>
            </w:pPr>
            <w:r>
              <w:rPr>
                <w:rFonts w:hint="eastAsia"/>
                <w:lang w:val="en-US" w:eastAsia="zh-CN"/>
              </w:rPr>
              <w:t>二次电解尾气1</w:t>
            </w:r>
          </w:p>
        </w:tc>
        <w:tc>
          <w:tcPr>
            <w:tcW w:w="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F2F11">
            <w:pPr>
              <w:pStyle w:val="45"/>
              <w:bidi w:val="0"/>
              <w:rPr>
                <w:rFonts w:hint="default"/>
              </w:rPr>
            </w:pPr>
            <w:r>
              <w:rPr>
                <w:rFonts w:hint="eastAsia"/>
                <w:lang w:val="en-US" w:eastAsia="zh-CN"/>
              </w:rPr>
              <w:t>-31.3</w:t>
            </w:r>
          </w:p>
        </w:tc>
        <w:tc>
          <w:tcPr>
            <w:tcW w:w="9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A1C5D">
            <w:pPr>
              <w:pStyle w:val="45"/>
              <w:bidi w:val="0"/>
              <w:rPr>
                <w:rFonts w:hint="default"/>
              </w:rPr>
            </w:pPr>
            <w:r>
              <w:rPr>
                <w:rFonts w:hint="eastAsia"/>
                <w:lang w:val="en-US" w:eastAsia="zh-CN"/>
              </w:rPr>
              <w:t>-8.5</w:t>
            </w:r>
          </w:p>
        </w:tc>
        <w:tc>
          <w:tcPr>
            <w:tcW w:w="10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4AB49">
            <w:pPr>
              <w:pStyle w:val="45"/>
              <w:bidi w:val="0"/>
              <w:rPr>
                <w:rFonts w:hint="default"/>
              </w:rPr>
            </w:pPr>
            <w:r>
              <w:rPr>
                <w:rFonts w:hint="eastAsia"/>
                <w:lang w:val="en-US" w:eastAsia="zh-CN"/>
              </w:rPr>
              <w:t>59</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D5223C">
            <w:pPr>
              <w:pStyle w:val="45"/>
              <w:bidi w:val="0"/>
              <w:rPr>
                <w:rFonts w:hint="default"/>
              </w:rPr>
            </w:pPr>
            <w:r>
              <w:rPr>
                <w:rFonts w:hint="default"/>
                <w:lang w:val="en-US" w:eastAsia="zh-CN"/>
              </w:rPr>
              <w:t>25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5C8AE9">
            <w:pPr>
              <w:pStyle w:val="45"/>
              <w:bidi w:val="0"/>
              <w:rPr>
                <w:rFonts w:hint="default"/>
              </w:rPr>
            </w:pPr>
            <w:r>
              <w:rPr>
                <w:rFonts w:hint="default"/>
                <w:lang w:val="en-US" w:eastAsia="zh-CN"/>
              </w:rPr>
              <w:t>0.4</w:t>
            </w:r>
          </w:p>
        </w:tc>
        <w:tc>
          <w:tcPr>
            <w:tcW w:w="12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A69A1B">
            <w:pPr>
              <w:pStyle w:val="45"/>
              <w:bidi w:val="0"/>
              <w:rPr>
                <w:rFonts w:hint="default"/>
              </w:rPr>
            </w:pPr>
            <w:r>
              <w:rPr>
                <w:rFonts w:hint="default"/>
                <w:lang w:val="en-US" w:eastAsia="zh-CN"/>
              </w:rPr>
              <w:t>2000</w:t>
            </w:r>
          </w:p>
        </w:tc>
        <w:tc>
          <w:tcPr>
            <w:tcW w:w="11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A22F89">
            <w:pPr>
              <w:pStyle w:val="45"/>
              <w:bidi w:val="0"/>
              <w:rPr>
                <w:rFonts w:hint="default"/>
              </w:rPr>
            </w:pPr>
            <w:r>
              <w:rPr>
                <w:rFonts w:hint="default"/>
                <w:lang w:val="en-US" w:eastAsia="zh-CN"/>
              </w:rPr>
              <w:t>25</w:t>
            </w:r>
          </w:p>
        </w:tc>
        <w:tc>
          <w:tcPr>
            <w:tcW w:w="9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E4289">
            <w:pPr>
              <w:pStyle w:val="45"/>
              <w:bidi w:val="0"/>
              <w:rPr>
                <w:rFonts w:hint="default"/>
              </w:rPr>
            </w:pPr>
            <w:r>
              <w:rPr>
                <w:rFonts w:hint="eastAsia"/>
                <w:lang w:val="en-US" w:eastAsia="zh-CN"/>
              </w:rPr>
              <w:t>7200</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A5FB3">
            <w:pPr>
              <w:pStyle w:val="45"/>
              <w:bidi w:val="0"/>
              <w:rPr>
                <w:rFonts w:hint="default"/>
              </w:rPr>
            </w:pPr>
            <w:r>
              <w:rPr>
                <w:rFonts w:hint="eastAsia"/>
                <w:lang w:val="en-US" w:eastAsia="zh-CN"/>
              </w:rPr>
              <w:t>正常</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A18C3">
            <w:pPr>
              <w:pStyle w:val="45"/>
              <w:bidi w:val="0"/>
              <w:rPr>
                <w:rFonts w:hint="default"/>
              </w:rPr>
            </w:pPr>
            <w:r>
              <w:rPr>
                <w:rFonts w:hint="eastAsia"/>
                <w:lang w:val="en-US" w:eastAsia="zh-CN"/>
              </w:rPr>
              <w:t>0.0104</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3ECEE">
            <w:pPr>
              <w:pStyle w:val="45"/>
              <w:bidi w:val="0"/>
              <w:rPr>
                <w:rFonts w:hint="default"/>
              </w:rPr>
            </w:pPr>
            <w:r>
              <w:rPr>
                <w:rFonts w:hint="eastAsia"/>
                <w:lang w:val="en-US" w:eastAsia="zh-CN"/>
              </w:rPr>
              <w:t>0.0121</w:t>
            </w:r>
          </w:p>
        </w:tc>
        <w:tc>
          <w:tcPr>
            <w:tcW w:w="8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FCB4F">
            <w:pPr>
              <w:pStyle w:val="45"/>
              <w:bidi w:val="0"/>
              <w:rPr>
                <w:rFonts w:hint="default"/>
              </w:rPr>
            </w:pPr>
            <w:r>
              <w:rPr>
                <w:rFonts w:hint="eastAsia"/>
                <w:lang w:val="en-US" w:eastAsia="zh-CN"/>
              </w:rPr>
              <w:t>/</w:t>
            </w:r>
          </w:p>
        </w:tc>
      </w:tr>
      <w:tr w14:paraId="257D339E">
        <w:tblPrEx>
          <w:tblCellMar>
            <w:top w:w="0" w:type="dxa"/>
            <w:left w:w="108" w:type="dxa"/>
            <w:bottom w:w="0" w:type="dxa"/>
            <w:right w:w="108" w:type="dxa"/>
          </w:tblCellMar>
        </w:tblPrEx>
        <w:trPr>
          <w:trHeight w:val="270" w:hRule="atLeast"/>
        </w:trPr>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6C380">
            <w:pPr>
              <w:pStyle w:val="45"/>
              <w:bidi w:val="0"/>
              <w:rPr>
                <w:rFonts w:hint="default"/>
              </w:rPr>
            </w:pPr>
            <w:r>
              <w:rPr>
                <w:rFonts w:hint="eastAsia"/>
                <w:lang w:val="en-US" w:eastAsia="zh-CN"/>
              </w:rPr>
              <w:t>DA004</w:t>
            </w:r>
          </w:p>
        </w:tc>
        <w:tc>
          <w:tcPr>
            <w:tcW w:w="14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59487A">
            <w:pPr>
              <w:pStyle w:val="45"/>
              <w:bidi w:val="0"/>
              <w:rPr>
                <w:rFonts w:hint="default"/>
              </w:rPr>
            </w:pPr>
            <w:r>
              <w:rPr>
                <w:rFonts w:hint="eastAsia"/>
                <w:lang w:val="en-US" w:eastAsia="zh-CN"/>
              </w:rPr>
              <w:t>二次电解尾气2</w:t>
            </w:r>
          </w:p>
        </w:tc>
        <w:tc>
          <w:tcPr>
            <w:tcW w:w="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C1B51">
            <w:pPr>
              <w:pStyle w:val="45"/>
              <w:bidi w:val="0"/>
              <w:rPr>
                <w:rFonts w:hint="default"/>
              </w:rPr>
            </w:pPr>
            <w:r>
              <w:rPr>
                <w:rFonts w:hint="eastAsia"/>
                <w:lang w:val="en-US" w:eastAsia="zh-CN"/>
              </w:rPr>
              <w:t>-39.4</w:t>
            </w:r>
          </w:p>
        </w:tc>
        <w:tc>
          <w:tcPr>
            <w:tcW w:w="9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80A4B">
            <w:pPr>
              <w:pStyle w:val="45"/>
              <w:bidi w:val="0"/>
              <w:rPr>
                <w:rFonts w:hint="default"/>
              </w:rPr>
            </w:pPr>
            <w:r>
              <w:rPr>
                <w:rFonts w:hint="eastAsia"/>
                <w:lang w:val="en-US" w:eastAsia="zh-CN"/>
              </w:rPr>
              <w:t>-8.5</w:t>
            </w:r>
          </w:p>
        </w:tc>
        <w:tc>
          <w:tcPr>
            <w:tcW w:w="10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BEC0BF">
            <w:pPr>
              <w:pStyle w:val="45"/>
              <w:bidi w:val="0"/>
              <w:rPr>
                <w:rFonts w:hint="default"/>
              </w:rPr>
            </w:pPr>
            <w:r>
              <w:rPr>
                <w:rFonts w:hint="eastAsia"/>
                <w:lang w:val="en-US" w:eastAsia="zh-CN"/>
              </w:rPr>
              <w:t>59</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D101CA">
            <w:pPr>
              <w:pStyle w:val="45"/>
              <w:bidi w:val="0"/>
              <w:rPr>
                <w:rFonts w:hint="default"/>
              </w:rPr>
            </w:pPr>
            <w:r>
              <w:rPr>
                <w:rFonts w:hint="default"/>
                <w:lang w:val="en-US" w:eastAsia="zh-CN"/>
              </w:rPr>
              <w:t>25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AAD59E">
            <w:pPr>
              <w:pStyle w:val="45"/>
              <w:bidi w:val="0"/>
              <w:rPr>
                <w:rFonts w:hint="default"/>
              </w:rPr>
            </w:pPr>
            <w:r>
              <w:rPr>
                <w:rFonts w:hint="default"/>
                <w:lang w:val="en-US" w:eastAsia="zh-CN"/>
              </w:rPr>
              <w:t>0.4</w:t>
            </w:r>
          </w:p>
        </w:tc>
        <w:tc>
          <w:tcPr>
            <w:tcW w:w="12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C2500">
            <w:pPr>
              <w:pStyle w:val="45"/>
              <w:bidi w:val="0"/>
              <w:rPr>
                <w:rFonts w:hint="default"/>
              </w:rPr>
            </w:pPr>
            <w:r>
              <w:rPr>
                <w:rFonts w:hint="default"/>
                <w:lang w:val="en-US" w:eastAsia="zh-CN"/>
              </w:rPr>
              <w:t>2000</w:t>
            </w:r>
          </w:p>
        </w:tc>
        <w:tc>
          <w:tcPr>
            <w:tcW w:w="11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B6B7FD">
            <w:pPr>
              <w:pStyle w:val="45"/>
              <w:bidi w:val="0"/>
              <w:rPr>
                <w:rFonts w:hint="default"/>
              </w:rPr>
            </w:pPr>
            <w:r>
              <w:rPr>
                <w:rFonts w:hint="default"/>
                <w:lang w:val="en-US" w:eastAsia="zh-CN"/>
              </w:rPr>
              <w:t>25</w:t>
            </w:r>
          </w:p>
        </w:tc>
        <w:tc>
          <w:tcPr>
            <w:tcW w:w="9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A07B0B">
            <w:pPr>
              <w:pStyle w:val="45"/>
              <w:bidi w:val="0"/>
              <w:rPr>
                <w:rFonts w:hint="default"/>
              </w:rPr>
            </w:pPr>
            <w:r>
              <w:rPr>
                <w:rFonts w:hint="eastAsia"/>
                <w:lang w:val="en-US" w:eastAsia="zh-CN"/>
              </w:rPr>
              <w:t>7200</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FB340">
            <w:pPr>
              <w:pStyle w:val="45"/>
              <w:bidi w:val="0"/>
              <w:rPr>
                <w:rFonts w:hint="default"/>
              </w:rPr>
            </w:pPr>
            <w:r>
              <w:rPr>
                <w:rFonts w:hint="eastAsia"/>
                <w:lang w:val="en-US" w:eastAsia="zh-CN"/>
              </w:rPr>
              <w:t>正常</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414A8">
            <w:pPr>
              <w:pStyle w:val="45"/>
              <w:bidi w:val="0"/>
              <w:rPr>
                <w:rFonts w:hint="default"/>
              </w:rPr>
            </w:pPr>
            <w:r>
              <w:rPr>
                <w:rFonts w:hint="eastAsia"/>
                <w:lang w:val="en-US" w:eastAsia="zh-CN"/>
              </w:rPr>
              <w:t>0.0104</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1FF0A">
            <w:pPr>
              <w:pStyle w:val="45"/>
              <w:bidi w:val="0"/>
              <w:rPr>
                <w:rFonts w:hint="default"/>
              </w:rPr>
            </w:pPr>
            <w:r>
              <w:rPr>
                <w:rFonts w:hint="eastAsia"/>
                <w:lang w:val="en-US" w:eastAsia="zh-CN"/>
              </w:rPr>
              <w:t>0.0121</w:t>
            </w:r>
          </w:p>
        </w:tc>
        <w:tc>
          <w:tcPr>
            <w:tcW w:w="8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2B45C">
            <w:pPr>
              <w:pStyle w:val="45"/>
              <w:bidi w:val="0"/>
              <w:rPr>
                <w:rFonts w:hint="default"/>
              </w:rPr>
            </w:pPr>
            <w:r>
              <w:rPr>
                <w:rFonts w:hint="eastAsia"/>
                <w:lang w:val="en-US" w:eastAsia="zh-CN"/>
              </w:rPr>
              <w:t>/</w:t>
            </w:r>
          </w:p>
        </w:tc>
      </w:tr>
      <w:tr w14:paraId="73D07569">
        <w:tblPrEx>
          <w:tblCellMar>
            <w:top w:w="0" w:type="dxa"/>
            <w:left w:w="108" w:type="dxa"/>
            <w:bottom w:w="0" w:type="dxa"/>
            <w:right w:w="108" w:type="dxa"/>
          </w:tblCellMar>
        </w:tblPrEx>
        <w:trPr>
          <w:trHeight w:val="270" w:hRule="atLeast"/>
        </w:trPr>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E21645">
            <w:pPr>
              <w:pStyle w:val="45"/>
              <w:bidi w:val="0"/>
              <w:rPr>
                <w:rFonts w:hint="default"/>
              </w:rPr>
            </w:pPr>
            <w:r>
              <w:rPr>
                <w:rFonts w:hint="eastAsia"/>
                <w:lang w:val="en-US" w:eastAsia="zh-CN"/>
              </w:rPr>
              <w:t>DA005</w:t>
            </w:r>
          </w:p>
        </w:tc>
        <w:tc>
          <w:tcPr>
            <w:tcW w:w="14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2357C">
            <w:pPr>
              <w:pStyle w:val="45"/>
              <w:bidi w:val="0"/>
              <w:rPr>
                <w:rFonts w:hint="default"/>
              </w:rPr>
            </w:pPr>
            <w:r>
              <w:rPr>
                <w:rFonts w:hint="eastAsia"/>
                <w:lang w:val="en-US" w:eastAsia="zh-CN"/>
              </w:rPr>
              <w:t>复分解干燥粉尘1</w:t>
            </w:r>
          </w:p>
        </w:tc>
        <w:tc>
          <w:tcPr>
            <w:tcW w:w="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5F4087">
            <w:pPr>
              <w:pStyle w:val="45"/>
              <w:bidi w:val="0"/>
              <w:rPr>
                <w:rFonts w:hint="default"/>
              </w:rPr>
            </w:pPr>
            <w:r>
              <w:rPr>
                <w:rFonts w:hint="eastAsia"/>
                <w:lang w:val="en-US" w:eastAsia="zh-CN"/>
              </w:rPr>
              <w:t>14.5</w:t>
            </w:r>
          </w:p>
        </w:tc>
        <w:tc>
          <w:tcPr>
            <w:tcW w:w="9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A58EE">
            <w:pPr>
              <w:pStyle w:val="45"/>
              <w:bidi w:val="0"/>
              <w:rPr>
                <w:rFonts w:hint="default"/>
              </w:rPr>
            </w:pPr>
            <w:r>
              <w:rPr>
                <w:rFonts w:hint="eastAsia"/>
                <w:lang w:val="en-US" w:eastAsia="zh-CN"/>
              </w:rPr>
              <w:t>-16.5</w:t>
            </w:r>
          </w:p>
        </w:tc>
        <w:tc>
          <w:tcPr>
            <w:tcW w:w="10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445A31">
            <w:pPr>
              <w:pStyle w:val="45"/>
              <w:bidi w:val="0"/>
              <w:rPr>
                <w:rFonts w:hint="default"/>
              </w:rPr>
            </w:pPr>
            <w:r>
              <w:rPr>
                <w:rFonts w:hint="eastAsia"/>
                <w:lang w:val="en-US" w:eastAsia="zh-CN"/>
              </w:rPr>
              <w:t>60</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A6CCD9">
            <w:pPr>
              <w:pStyle w:val="45"/>
              <w:bidi w:val="0"/>
              <w:rPr>
                <w:rFonts w:hint="default"/>
              </w:rPr>
            </w:pPr>
            <w:r>
              <w:rPr>
                <w:rFonts w:hint="default"/>
                <w:lang w:val="en-US" w:eastAsia="zh-CN"/>
              </w:rPr>
              <w:t>15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528BF8">
            <w:pPr>
              <w:pStyle w:val="45"/>
              <w:bidi w:val="0"/>
              <w:rPr>
                <w:rFonts w:hint="default"/>
              </w:rPr>
            </w:pPr>
            <w:r>
              <w:rPr>
                <w:rFonts w:hint="default"/>
                <w:lang w:val="en-US" w:eastAsia="zh-CN"/>
              </w:rPr>
              <w:t>0.6</w:t>
            </w:r>
          </w:p>
        </w:tc>
        <w:tc>
          <w:tcPr>
            <w:tcW w:w="12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C2DAC7">
            <w:pPr>
              <w:pStyle w:val="45"/>
              <w:bidi w:val="0"/>
              <w:rPr>
                <w:rFonts w:hint="default"/>
              </w:rPr>
            </w:pPr>
            <w:r>
              <w:rPr>
                <w:rFonts w:hint="default"/>
                <w:lang w:val="en-US" w:eastAsia="zh-CN"/>
              </w:rPr>
              <w:t>8000</w:t>
            </w:r>
          </w:p>
        </w:tc>
        <w:tc>
          <w:tcPr>
            <w:tcW w:w="11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4B88FE">
            <w:pPr>
              <w:pStyle w:val="45"/>
              <w:bidi w:val="0"/>
              <w:rPr>
                <w:rFonts w:hint="default"/>
              </w:rPr>
            </w:pPr>
            <w:r>
              <w:rPr>
                <w:rFonts w:hint="default"/>
                <w:lang w:val="en-US" w:eastAsia="zh-CN"/>
              </w:rPr>
              <w:t>25</w:t>
            </w:r>
          </w:p>
        </w:tc>
        <w:tc>
          <w:tcPr>
            <w:tcW w:w="9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E65E6">
            <w:pPr>
              <w:pStyle w:val="45"/>
              <w:bidi w:val="0"/>
              <w:rPr>
                <w:rFonts w:hint="default"/>
              </w:rPr>
            </w:pPr>
            <w:r>
              <w:rPr>
                <w:rFonts w:hint="eastAsia"/>
                <w:lang w:val="en-US" w:eastAsia="zh-CN"/>
              </w:rPr>
              <w:t>7200</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0131F">
            <w:pPr>
              <w:pStyle w:val="45"/>
              <w:bidi w:val="0"/>
              <w:rPr>
                <w:rFonts w:hint="default"/>
              </w:rPr>
            </w:pPr>
            <w:r>
              <w:rPr>
                <w:rFonts w:hint="eastAsia"/>
                <w:lang w:val="en-US" w:eastAsia="zh-CN"/>
              </w:rPr>
              <w:t>正常</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E8464">
            <w:pPr>
              <w:pStyle w:val="45"/>
              <w:bidi w:val="0"/>
              <w:rPr>
                <w:rFonts w:hint="default"/>
              </w:rPr>
            </w:pPr>
            <w:r>
              <w:rPr>
                <w:rFonts w:hint="eastAsia"/>
                <w:lang w:val="en-US" w:eastAsia="zh-CN"/>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F6D20">
            <w:pPr>
              <w:pStyle w:val="45"/>
              <w:bidi w:val="0"/>
              <w:rPr>
                <w:rFonts w:hint="default"/>
              </w:rPr>
            </w:pPr>
            <w:r>
              <w:rPr>
                <w:rFonts w:hint="eastAsia"/>
                <w:lang w:val="en-US" w:eastAsia="zh-CN"/>
              </w:rPr>
              <w:t>/</w:t>
            </w:r>
          </w:p>
        </w:tc>
        <w:tc>
          <w:tcPr>
            <w:tcW w:w="8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48753">
            <w:pPr>
              <w:pStyle w:val="45"/>
              <w:bidi w:val="0"/>
              <w:rPr>
                <w:rFonts w:hint="default"/>
              </w:rPr>
            </w:pPr>
            <w:r>
              <w:rPr>
                <w:rFonts w:hint="eastAsia"/>
                <w:lang w:val="en-US" w:eastAsia="zh-CN"/>
              </w:rPr>
              <w:t>0.1925</w:t>
            </w:r>
          </w:p>
        </w:tc>
      </w:tr>
      <w:tr w14:paraId="6DCF0D85">
        <w:tblPrEx>
          <w:tblCellMar>
            <w:top w:w="0" w:type="dxa"/>
            <w:left w:w="108" w:type="dxa"/>
            <w:bottom w:w="0" w:type="dxa"/>
            <w:right w:w="108" w:type="dxa"/>
          </w:tblCellMar>
        </w:tblPrEx>
        <w:trPr>
          <w:trHeight w:val="270" w:hRule="atLeast"/>
        </w:trPr>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E5E5D1">
            <w:pPr>
              <w:pStyle w:val="45"/>
              <w:bidi w:val="0"/>
              <w:rPr>
                <w:rFonts w:hint="default"/>
              </w:rPr>
            </w:pPr>
            <w:r>
              <w:rPr>
                <w:rFonts w:hint="eastAsia"/>
                <w:lang w:val="en-US" w:eastAsia="zh-CN"/>
              </w:rPr>
              <w:t>DA006</w:t>
            </w:r>
          </w:p>
        </w:tc>
        <w:tc>
          <w:tcPr>
            <w:tcW w:w="14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4CE679">
            <w:pPr>
              <w:pStyle w:val="45"/>
              <w:bidi w:val="0"/>
              <w:rPr>
                <w:rFonts w:hint="default"/>
              </w:rPr>
            </w:pPr>
            <w:r>
              <w:rPr>
                <w:rFonts w:hint="eastAsia"/>
                <w:lang w:val="en-US" w:eastAsia="zh-CN"/>
              </w:rPr>
              <w:t>复分解干燥粉尘2</w:t>
            </w:r>
          </w:p>
        </w:tc>
        <w:tc>
          <w:tcPr>
            <w:tcW w:w="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6D720">
            <w:pPr>
              <w:pStyle w:val="45"/>
              <w:bidi w:val="0"/>
              <w:rPr>
                <w:rFonts w:hint="default"/>
              </w:rPr>
            </w:pPr>
            <w:r>
              <w:rPr>
                <w:rFonts w:hint="eastAsia"/>
                <w:lang w:val="en-US" w:eastAsia="zh-CN"/>
              </w:rPr>
              <w:t>24.5</w:t>
            </w:r>
          </w:p>
        </w:tc>
        <w:tc>
          <w:tcPr>
            <w:tcW w:w="9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0B740">
            <w:pPr>
              <w:pStyle w:val="45"/>
              <w:bidi w:val="0"/>
              <w:rPr>
                <w:rFonts w:hint="default"/>
              </w:rPr>
            </w:pPr>
            <w:r>
              <w:rPr>
                <w:rFonts w:hint="eastAsia"/>
                <w:lang w:val="en-US" w:eastAsia="zh-CN"/>
              </w:rPr>
              <w:t>-16.5</w:t>
            </w:r>
          </w:p>
        </w:tc>
        <w:tc>
          <w:tcPr>
            <w:tcW w:w="10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F6559">
            <w:pPr>
              <w:pStyle w:val="45"/>
              <w:bidi w:val="0"/>
              <w:rPr>
                <w:rFonts w:hint="default"/>
              </w:rPr>
            </w:pPr>
            <w:r>
              <w:rPr>
                <w:rFonts w:hint="eastAsia"/>
                <w:lang w:val="en-US" w:eastAsia="zh-CN"/>
              </w:rPr>
              <w:t>60</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EA8AA9">
            <w:pPr>
              <w:pStyle w:val="45"/>
              <w:bidi w:val="0"/>
              <w:rPr>
                <w:rFonts w:hint="default"/>
              </w:rPr>
            </w:pPr>
            <w:r>
              <w:rPr>
                <w:rFonts w:hint="default"/>
                <w:lang w:val="en-US" w:eastAsia="zh-CN"/>
              </w:rPr>
              <w:t>15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62D847">
            <w:pPr>
              <w:pStyle w:val="45"/>
              <w:bidi w:val="0"/>
              <w:rPr>
                <w:rFonts w:hint="default"/>
              </w:rPr>
            </w:pPr>
            <w:r>
              <w:rPr>
                <w:rFonts w:hint="default"/>
                <w:lang w:val="en-US" w:eastAsia="zh-CN"/>
              </w:rPr>
              <w:t>0.6</w:t>
            </w:r>
          </w:p>
        </w:tc>
        <w:tc>
          <w:tcPr>
            <w:tcW w:w="12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D1B4E6">
            <w:pPr>
              <w:pStyle w:val="45"/>
              <w:bidi w:val="0"/>
              <w:rPr>
                <w:rFonts w:hint="default"/>
              </w:rPr>
            </w:pPr>
            <w:r>
              <w:rPr>
                <w:rFonts w:hint="default"/>
                <w:lang w:val="en-US" w:eastAsia="zh-CN"/>
              </w:rPr>
              <w:t>8000</w:t>
            </w:r>
          </w:p>
        </w:tc>
        <w:tc>
          <w:tcPr>
            <w:tcW w:w="11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B889A4">
            <w:pPr>
              <w:pStyle w:val="45"/>
              <w:bidi w:val="0"/>
              <w:rPr>
                <w:rFonts w:hint="default"/>
              </w:rPr>
            </w:pPr>
            <w:r>
              <w:rPr>
                <w:rFonts w:hint="default"/>
                <w:lang w:val="en-US" w:eastAsia="zh-CN"/>
              </w:rPr>
              <w:t>25</w:t>
            </w:r>
          </w:p>
        </w:tc>
        <w:tc>
          <w:tcPr>
            <w:tcW w:w="9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26A98C">
            <w:pPr>
              <w:pStyle w:val="45"/>
              <w:bidi w:val="0"/>
              <w:rPr>
                <w:rFonts w:hint="default"/>
              </w:rPr>
            </w:pPr>
            <w:r>
              <w:rPr>
                <w:rFonts w:hint="eastAsia"/>
                <w:lang w:val="en-US" w:eastAsia="zh-CN"/>
              </w:rPr>
              <w:t>7200</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88BE21">
            <w:pPr>
              <w:pStyle w:val="45"/>
              <w:bidi w:val="0"/>
              <w:rPr>
                <w:rFonts w:hint="default"/>
              </w:rPr>
            </w:pPr>
            <w:r>
              <w:rPr>
                <w:rFonts w:hint="eastAsia"/>
                <w:lang w:val="en-US" w:eastAsia="zh-CN"/>
              </w:rPr>
              <w:t>正常</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6EA2E">
            <w:pPr>
              <w:pStyle w:val="45"/>
              <w:bidi w:val="0"/>
              <w:rPr>
                <w:rFonts w:hint="default"/>
              </w:rPr>
            </w:pPr>
            <w:r>
              <w:rPr>
                <w:rFonts w:hint="eastAsia"/>
                <w:lang w:val="en-US" w:eastAsia="zh-CN"/>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5C530">
            <w:pPr>
              <w:pStyle w:val="45"/>
              <w:bidi w:val="0"/>
              <w:rPr>
                <w:rFonts w:hint="default"/>
              </w:rPr>
            </w:pPr>
            <w:r>
              <w:rPr>
                <w:rFonts w:hint="eastAsia"/>
                <w:lang w:val="en-US" w:eastAsia="zh-CN"/>
              </w:rPr>
              <w:t>/</w:t>
            </w:r>
          </w:p>
        </w:tc>
        <w:tc>
          <w:tcPr>
            <w:tcW w:w="8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9C295">
            <w:pPr>
              <w:pStyle w:val="45"/>
              <w:bidi w:val="0"/>
              <w:rPr>
                <w:rFonts w:hint="default"/>
              </w:rPr>
            </w:pPr>
            <w:r>
              <w:rPr>
                <w:rFonts w:hint="eastAsia"/>
                <w:lang w:val="en-US" w:eastAsia="zh-CN"/>
              </w:rPr>
              <w:t>0.1925</w:t>
            </w:r>
          </w:p>
        </w:tc>
      </w:tr>
      <w:tr w14:paraId="713D838F">
        <w:tblPrEx>
          <w:tblCellMar>
            <w:top w:w="0" w:type="dxa"/>
            <w:left w:w="108" w:type="dxa"/>
            <w:bottom w:w="0" w:type="dxa"/>
            <w:right w:w="108" w:type="dxa"/>
          </w:tblCellMar>
        </w:tblPrEx>
        <w:trPr>
          <w:trHeight w:val="270" w:hRule="atLeast"/>
        </w:trPr>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B6FCAF">
            <w:pPr>
              <w:pStyle w:val="45"/>
              <w:bidi w:val="0"/>
              <w:rPr>
                <w:rFonts w:hint="default"/>
                <w:lang w:val="en-US" w:eastAsia="zh-CN"/>
              </w:rPr>
            </w:pPr>
            <w:r>
              <w:rPr>
                <w:rFonts w:hint="eastAsia"/>
                <w:lang w:val="en-US" w:eastAsia="zh-CN"/>
              </w:rPr>
              <w:t>DA007</w:t>
            </w:r>
          </w:p>
        </w:tc>
        <w:tc>
          <w:tcPr>
            <w:tcW w:w="14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243150">
            <w:pPr>
              <w:pStyle w:val="45"/>
              <w:bidi w:val="0"/>
            </w:pPr>
            <w:r>
              <w:rPr>
                <w:rFonts w:hint="eastAsia"/>
                <w:lang w:val="en-US" w:eastAsia="zh-CN"/>
              </w:rPr>
              <w:t>锂盐中和尾气</w:t>
            </w:r>
          </w:p>
        </w:tc>
        <w:tc>
          <w:tcPr>
            <w:tcW w:w="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C9E8D">
            <w:pPr>
              <w:pStyle w:val="45"/>
              <w:bidi w:val="0"/>
            </w:pPr>
            <w:r>
              <w:rPr>
                <w:rFonts w:hint="eastAsia"/>
                <w:lang w:val="en-US" w:eastAsia="zh-CN"/>
              </w:rPr>
              <w:t>-49.4</w:t>
            </w:r>
          </w:p>
        </w:tc>
        <w:tc>
          <w:tcPr>
            <w:tcW w:w="9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D4796">
            <w:pPr>
              <w:pStyle w:val="45"/>
              <w:bidi w:val="0"/>
            </w:pPr>
            <w:r>
              <w:rPr>
                <w:rFonts w:hint="eastAsia"/>
                <w:lang w:val="en-US" w:eastAsia="zh-CN"/>
              </w:rPr>
              <w:t>-18.5</w:t>
            </w:r>
          </w:p>
        </w:tc>
        <w:tc>
          <w:tcPr>
            <w:tcW w:w="10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53FD7">
            <w:pPr>
              <w:pStyle w:val="45"/>
              <w:bidi w:val="0"/>
            </w:pPr>
            <w:r>
              <w:rPr>
                <w:rFonts w:hint="eastAsia"/>
                <w:lang w:val="en-US" w:eastAsia="zh-CN"/>
              </w:rPr>
              <w:t>59</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64A0E9">
            <w:pPr>
              <w:pStyle w:val="45"/>
              <w:bidi w:val="0"/>
              <w:rPr>
                <w:rFonts w:hint="default"/>
              </w:rPr>
            </w:pPr>
            <w:r>
              <w:rPr>
                <w:rFonts w:hint="default"/>
                <w:lang w:val="en-US" w:eastAsia="zh-CN"/>
              </w:rPr>
              <w:t>15</w:t>
            </w:r>
          </w:p>
        </w:tc>
        <w:tc>
          <w:tcPr>
            <w:tcW w:w="10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4FF8C3">
            <w:pPr>
              <w:pStyle w:val="45"/>
              <w:bidi w:val="0"/>
              <w:rPr>
                <w:rFonts w:hint="default"/>
              </w:rPr>
            </w:pPr>
            <w:r>
              <w:rPr>
                <w:rFonts w:hint="default"/>
                <w:lang w:val="en-US" w:eastAsia="zh-CN"/>
              </w:rPr>
              <w:t>0.4</w:t>
            </w:r>
          </w:p>
        </w:tc>
        <w:tc>
          <w:tcPr>
            <w:tcW w:w="12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716539">
            <w:pPr>
              <w:pStyle w:val="45"/>
              <w:bidi w:val="0"/>
              <w:rPr>
                <w:rFonts w:hint="default"/>
              </w:rPr>
            </w:pPr>
            <w:r>
              <w:rPr>
                <w:rFonts w:hint="default"/>
                <w:lang w:val="en-US" w:eastAsia="zh-CN"/>
              </w:rPr>
              <w:t>2000</w:t>
            </w:r>
          </w:p>
        </w:tc>
        <w:tc>
          <w:tcPr>
            <w:tcW w:w="116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427CD3">
            <w:pPr>
              <w:pStyle w:val="45"/>
              <w:bidi w:val="0"/>
              <w:rPr>
                <w:rFonts w:hint="default"/>
              </w:rPr>
            </w:pPr>
            <w:r>
              <w:rPr>
                <w:rFonts w:hint="default"/>
                <w:lang w:val="en-US" w:eastAsia="zh-CN"/>
              </w:rPr>
              <w:t>25</w:t>
            </w:r>
          </w:p>
        </w:tc>
        <w:tc>
          <w:tcPr>
            <w:tcW w:w="9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E8ECA">
            <w:pPr>
              <w:pStyle w:val="45"/>
              <w:bidi w:val="0"/>
            </w:pPr>
            <w:r>
              <w:rPr>
                <w:rFonts w:hint="eastAsia"/>
                <w:lang w:val="en-US" w:eastAsia="zh-CN"/>
              </w:rPr>
              <w:t>7200</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CF647">
            <w:pPr>
              <w:pStyle w:val="45"/>
              <w:bidi w:val="0"/>
            </w:pPr>
            <w:r>
              <w:rPr>
                <w:rFonts w:hint="eastAsia"/>
                <w:lang w:val="en-US" w:eastAsia="zh-CN"/>
              </w:rPr>
              <w:t>正常</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76772">
            <w:pPr>
              <w:pStyle w:val="45"/>
              <w:bidi w:val="0"/>
            </w:pPr>
            <w:r>
              <w:rPr>
                <w:rFonts w:hint="eastAsia"/>
                <w:lang w:val="en-US" w:eastAsia="zh-CN"/>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7F053">
            <w:pPr>
              <w:pStyle w:val="45"/>
              <w:bidi w:val="0"/>
            </w:pPr>
            <w:r>
              <w:rPr>
                <w:rFonts w:hint="eastAsia"/>
                <w:lang w:val="en-US" w:eastAsia="zh-CN"/>
              </w:rPr>
              <w:t>0.0144</w:t>
            </w:r>
          </w:p>
        </w:tc>
        <w:tc>
          <w:tcPr>
            <w:tcW w:w="8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66AE3E">
            <w:pPr>
              <w:pStyle w:val="45"/>
              <w:bidi w:val="0"/>
            </w:pPr>
            <w:r>
              <w:rPr>
                <w:rFonts w:hint="eastAsia"/>
                <w:lang w:val="en-US" w:eastAsia="zh-CN"/>
              </w:rPr>
              <w:t>/</w:t>
            </w:r>
          </w:p>
        </w:tc>
      </w:tr>
    </w:tbl>
    <w:p w14:paraId="4A09FCEA">
      <w:pPr>
        <w:spacing w:line="240" w:lineRule="auto"/>
        <w:ind w:firstLine="0" w:firstLineChars="0"/>
      </w:pPr>
    </w:p>
    <w:p w14:paraId="033218FC">
      <w:pPr>
        <w:pStyle w:val="43"/>
        <w:numPr>
          <w:ilvl w:val="5"/>
          <w:numId w:val="1"/>
        </w:numPr>
        <w:rPr>
          <w:rFonts w:hint="default"/>
        </w:rPr>
      </w:pPr>
      <w:r>
        <w:t>本项目污染源（无组织）排放情况一览表</w:t>
      </w:r>
    </w:p>
    <w:tbl>
      <w:tblPr>
        <w:tblStyle w:val="32"/>
        <w:tblW w:w="0" w:type="auto"/>
        <w:tblInd w:w="0" w:type="dxa"/>
        <w:tblLayout w:type="autofit"/>
        <w:tblCellMar>
          <w:top w:w="0" w:type="dxa"/>
          <w:left w:w="108" w:type="dxa"/>
          <w:bottom w:w="0" w:type="dxa"/>
          <w:right w:w="108" w:type="dxa"/>
        </w:tblCellMar>
      </w:tblPr>
      <w:tblGrid>
        <w:gridCol w:w="558"/>
        <w:gridCol w:w="1308"/>
        <w:gridCol w:w="761"/>
        <w:gridCol w:w="895"/>
        <w:gridCol w:w="1233"/>
        <w:gridCol w:w="972"/>
        <w:gridCol w:w="972"/>
        <w:gridCol w:w="1168"/>
        <w:gridCol w:w="1494"/>
        <w:gridCol w:w="1268"/>
        <w:gridCol w:w="898"/>
        <w:gridCol w:w="794"/>
        <w:gridCol w:w="1004"/>
        <w:gridCol w:w="849"/>
      </w:tblGrid>
      <w:tr w14:paraId="7E10BAC4">
        <w:tblPrEx>
          <w:tblCellMar>
            <w:top w:w="0" w:type="dxa"/>
            <w:left w:w="108" w:type="dxa"/>
            <w:bottom w:w="0" w:type="dxa"/>
            <w:right w:w="108" w:type="dxa"/>
          </w:tblCellMar>
        </w:tblPrEx>
        <w:trPr>
          <w:trHeight w:val="270" w:hRule="atLeast"/>
          <w:tblHeader/>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CFE4CA8">
            <w:pPr>
              <w:pStyle w:val="45"/>
              <w:rPr>
                <w:rFonts w:hint="default"/>
                <w:b/>
                <w:bCs/>
              </w:rPr>
            </w:pPr>
            <w:r>
              <w:rPr>
                <w:b/>
                <w:bCs/>
              </w:rPr>
              <w:t>编号</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EB4C5AD">
            <w:pPr>
              <w:pStyle w:val="45"/>
              <w:rPr>
                <w:rFonts w:hint="default"/>
                <w:b/>
                <w:bCs/>
              </w:rPr>
            </w:pPr>
            <w:r>
              <w:rPr>
                <w:b/>
                <w:bCs/>
              </w:rPr>
              <w:t>名称</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F50B521">
            <w:pPr>
              <w:pStyle w:val="45"/>
              <w:rPr>
                <w:rFonts w:hint="default"/>
                <w:b/>
                <w:bCs/>
              </w:rPr>
            </w:pPr>
            <w:r>
              <w:rPr>
                <w:b/>
                <w:bCs/>
              </w:rPr>
              <w:t>面源中心坐标</w:t>
            </w:r>
            <w:r>
              <w:rPr>
                <w:rFonts w:hint="default"/>
                <w:b/>
                <w:bCs/>
              </w:rPr>
              <w:t>/m</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F5D9B36">
            <w:pPr>
              <w:pStyle w:val="45"/>
              <w:rPr>
                <w:rFonts w:hint="default"/>
                <w:b/>
                <w:bCs/>
              </w:rPr>
            </w:pPr>
            <w:r>
              <w:rPr>
                <w:b/>
                <w:bCs/>
              </w:rPr>
              <w:t>面源海拔高度</w:t>
            </w:r>
            <w:r>
              <w:rPr>
                <w:rFonts w:hint="default"/>
                <w:b/>
                <w:bCs/>
              </w:rPr>
              <w:t>/m</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23BCFA">
            <w:pPr>
              <w:pStyle w:val="45"/>
              <w:rPr>
                <w:rFonts w:hint="default"/>
                <w:b/>
                <w:bCs/>
              </w:rPr>
            </w:pPr>
            <w:r>
              <w:rPr>
                <w:b/>
                <w:bCs/>
              </w:rPr>
              <w:t>面源长度</w:t>
            </w:r>
            <w:r>
              <w:rPr>
                <w:rFonts w:hint="default"/>
                <w:b/>
                <w:bCs/>
              </w:rPr>
              <w:t>/m</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D8A856F">
            <w:pPr>
              <w:pStyle w:val="45"/>
              <w:rPr>
                <w:rFonts w:hint="default"/>
                <w:b/>
                <w:bCs/>
              </w:rPr>
            </w:pPr>
            <w:r>
              <w:rPr>
                <w:b/>
                <w:bCs/>
              </w:rPr>
              <w:t>面源宽度</w:t>
            </w:r>
            <w:r>
              <w:rPr>
                <w:rFonts w:hint="default"/>
                <w:b/>
                <w:bCs/>
              </w:rPr>
              <w:t>/m</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1A1DA49">
            <w:pPr>
              <w:pStyle w:val="45"/>
              <w:rPr>
                <w:rFonts w:hint="default"/>
                <w:b/>
                <w:bCs/>
              </w:rPr>
            </w:pPr>
            <w:r>
              <w:rPr>
                <w:b/>
                <w:bCs/>
              </w:rPr>
              <w:t>与正北向夹角</w:t>
            </w:r>
            <w:r>
              <w:rPr>
                <w:rFonts w:hint="default"/>
                <w:b/>
                <w:bCs/>
              </w:rPr>
              <w:t>/°</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5A6E07E">
            <w:pPr>
              <w:pStyle w:val="45"/>
              <w:rPr>
                <w:rFonts w:hint="default"/>
                <w:b/>
                <w:bCs/>
              </w:rPr>
            </w:pPr>
            <w:r>
              <w:rPr>
                <w:b/>
                <w:bCs/>
              </w:rPr>
              <w:t>面源有效排放高度</w:t>
            </w:r>
            <w:r>
              <w:rPr>
                <w:rFonts w:hint="default"/>
                <w:b/>
                <w:bCs/>
              </w:rPr>
              <w:t>/m</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F2614B3">
            <w:pPr>
              <w:pStyle w:val="45"/>
              <w:rPr>
                <w:rFonts w:hint="default"/>
                <w:b/>
                <w:bCs/>
              </w:rPr>
            </w:pPr>
            <w:r>
              <w:rPr>
                <w:b/>
                <w:bCs/>
              </w:rPr>
              <w:t>年排放小时数</w:t>
            </w:r>
            <w:r>
              <w:rPr>
                <w:rFonts w:hint="default"/>
                <w:b/>
                <w:bCs/>
              </w:rPr>
              <w:t>/h</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A96FE7F">
            <w:pPr>
              <w:pStyle w:val="45"/>
              <w:rPr>
                <w:rFonts w:hint="default"/>
                <w:b/>
                <w:bCs/>
              </w:rPr>
            </w:pPr>
            <w:r>
              <w:rPr>
                <w:b/>
                <w:bCs/>
              </w:rPr>
              <w:t>排放工况</w:t>
            </w: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B763C2A">
            <w:pPr>
              <w:pStyle w:val="45"/>
              <w:rPr>
                <w:rFonts w:hint="default"/>
                <w:b/>
                <w:bCs/>
              </w:rPr>
            </w:pPr>
            <w:r>
              <w:rPr>
                <w:b/>
                <w:bCs/>
              </w:rPr>
              <w:t>污染物排放速率（</w:t>
            </w:r>
            <w:r>
              <w:rPr>
                <w:rFonts w:hint="default"/>
                <w:b/>
                <w:bCs/>
              </w:rPr>
              <w:t>kg/h</w:t>
            </w:r>
            <w:r>
              <w:rPr>
                <w:b/>
                <w:bCs/>
              </w:rPr>
              <w:t>）</w:t>
            </w:r>
          </w:p>
        </w:tc>
      </w:tr>
      <w:tr w14:paraId="7232B7B4">
        <w:tblPrEx>
          <w:tblCellMar>
            <w:top w:w="0" w:type="dxa"/>
            <w:left w:w="108" w:type="dxa"/>
            <w:bottom w:w="0" w:type="dxa"/>
            <w:right w:w="108" w:type="dxa"/>
          </w:tblCellMar>
        </w:tblPrEx>
        <w:trPr>
          <w:trHeight w:val="270" w:hRule="atLeast"/>
          <w:tblHead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311578">
            <w:pPr>
              <w:pStyle w:val="45"/>
              <w:rPr>
                <w:rFonts w:hint="default"/>
                <w:b/>
                <w:bCs/>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7BADDB">
            <w:pPr>
              <w:pStyle w:val="45"/>
              <w:rPr>
                <w:rFonts w:hint="default"/>
                <w:b/>
                <w:bCs/>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2A091">
            <w:pPr>
              <w:pStyle w:val="45"/>
              <w:rPr>
                <w:rFonts w:hint="default"/>
                <w:b/>
                <w:bCs/>
              </w:rPr>
            </w:pPr>
            <w:r>
              <w:rPr>
                <w:b/>
                <w:bCs/>
              </w:rPr>
              <w:t>X</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783BF5">
            <w:pPr>
              <w:pStyle w:val="45"/>
              <w:rPr>
                <w:rFonts w:hint="default"/>
                <w:b/>
                <w:bCs/>
              </w:rPr>
            </w:pPr>
            <w:r>
              <w:rPr>
                <w:b/>
                <w:bCs/>
              </w:rPr>
              <w:t>Y</w:t>
            </w: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267E04">
            <w:pPr>
              <w:pStyle w:val="45"/>
              <w:rPr>
                <w:rFonts w:hint="default"/>
                <w:b/>
                <w:bCs/>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32B8C8">
            <w:pPr>
              <w:pStyle w:val="45"/>
              <w:rPr>
                <w:rFonts w:hint="default"/>
                <w:b/>
                <w:bCs/>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996101">
            <w:pPr>
              <w:pStyle w:val="45"/>
              <w:rPr>
                <w:rFonts w:hint="default"/>
                <w:b/>
                <w:bCs/>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DF58A3">
            <w:pPr>
              <w:pStyle w:val="45"/>
              <w:rPr>
                <w:rFonts w:hint="default"/>
                <w:b/>
                <w:bCs/>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2A8CE0">
            <w:pPr>
              <w:pStyle w:val="45"/>
              <w:rPr>
                <w:rFonts w:hint="default"/>
                <w:b/>
                <w:bCs/>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2487E0">
            <w:pPr>
              <w:pStyle w:val="45"/>
              <w:rPr>
                <w:rFonts w:hint="default"/>
                <w:b/>
                <w:bCs/>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8AC0CE">
            <w:pPr>
              <w:pStyle w:val="45"/>
              <w:rPr>
                <w:rFonts w:hint="default"/>
                <w:b/>
                <w:bCs/>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30A8A">
            <w:pPr>
              <w:pStyle w:val="45"/>
              <w:rPr>
                <w:rFonts w:hint="default"/>
                <w:b/>
                <w:bCs/>
              </w:rPr>
            </w:pPr>
            <w:r>
              <w:rPr>
                <w:b/>
                <w:bCs/>
              </w:rPr>
              <w:t>氯气</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02DB6">
            <w:pPr>
              <w:pStyle w:val="45"/>
              <w:rPr>
                <w:rFonts w:hint="default"/>
                <w:b/>
                <w:bCs/>
              </w:rPr>
            </w:pPr>
            <w:r>
              <w:rPr>
                <w:b/>
                <w:bCs/>
              </w:rPr>
              <w:t>氯化氢</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658CF">
            <w:pPr>
              <w:pStyle w:val="45"/>
              <w:rPr>
                <w:rFonts w:hint="default"/>
                <w:b/>
                <w:bCs/>
              </w:rPr>
            </w:pPr>
            <w:r>
              <w:rPr>
                <w:b/>
                <w:bCs/>
              </w:rPr>
              <w:t>颗粒物</w:t>
            </w:r>
          </w:p>
        </w:tc>
      </w:tr>
      <w:tr w14:paraId="54D11D1A">
        <w:tblPrEx>
          <w:tblCellMar>
            <w:top w:w="0" w:type="dxa"/>
            <w:left w:w="108" w:type="dxa"/>
            <w:bottom w:w="0" w:type="dxa"/>
            <w:right w:w="108" w:type="dxa"/>
          </w:tblCellMar>
        </w:tblPrEx>
        <w:trPr>
          <w:trHeight w:val="510" w:hRule="atLeast"/>
        </w:trPr>
        <w:tc>
          <w:tcPr>
            <w:tcW w:w="5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85572">
            <w:pPr>
              <w:pStyle w:val="45"/>
              <w:bidi w:val="0"/>
              <w:rPr>
                <w:rFonts w:hint="default"/>
              </w:rPr>
            </w:pPr>
            <w:r>
              <w:rPr>
                <w:rFonts w:hint="eastAsia"/>
                <w:lang w:val="en-US" w:eastAsia="zh-CN"/>
              </w:rPr>
              <w:t>1</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92729A">
            <w:pPr>
              <w:pStyle w:val="45"/>
              <w:bidi w:val="0"/>
              <w:rPr>
                <w:rFonts w:hint="default"/>
              </w:rPr>
            </w:pPr>
            <w:r>
              <w:rPr>
                <w:rFonts w:hint="eastAsia"/>
                <w:lang w:val="en-US" w:eastAsia="zh-CN"/>
              </w:rPr>
              <w:t>电解区无组织氯气及氯化氢面源</w:t>
            </w:r>
          </w:p>
        </w:tc>
        <w:tc>
          <w:tcPr>
            <w:tcW w:w="6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E8CB4">
            <w:pPr>
              <w:pStyle w:val="45"/>
              <w:bidi w:val="0"/>
              <w:rPr>
                <w:rFonts w:hint="default"/>
              </w:rPr>
            </w:pPr>
            <w:r>
              <w:rPr>
                <w:rFonts w:hint="eastAsia"/>
                <w:lang w:val="en-US" w:eastAsia="zh-CN"/>
              </w:rPr>
              <w:t>-34</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F7B474">
            <w:pPr>
              <w:pStyle w:val="45"/>
              <w:bidi w:val="0"/>
              <w:rPr>
                <w:rFonts w:hint="default"/>
              </w:rPr>
            </w:pPr>
            <w:r>
              <w:rPr>
                <w:rFonts w:hint="eastAsia"/>
                <w:lang w:val="en-US" w:eastAsia="zh-CN"/>
              </w:rPr>
              <w:t>0</w:t>
            </w:r>
          </w:p>
        </w:tc>
        <w:tc>
          <w:tcPr>
            <w:tcW w:w="1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D99FB7">
            <w:pPr>
              <w:pStyle w:val="45"/>
              <w:bidi w:val="0"/>
              <w:rPr>
                <w:rFonts w:hint="default"/>
              </w:rPr>
            </w:pPr>
            <w:r>
              <w:rPr>
                <w:rFonts w:hint="eastAsia"/>
                <w:lang w:val="en-US" w:eastAsia="zh-CN"/>
              </w:rPr>
              <w:t>60</w:t>
            </w:r>
          </w:p>
        </w:tc>
        <w:tc>
          <w:tcPr>
            <w:tcW w:w="9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F1561">
            <w:pPr>
              <w:pStyle w:val="45"/>
              <w:bidi w:val="0"/>
              <w:rPr>
                <w:rFonts w:hint="default"/>
              </w:rPr>
            </w:pPr>
            <w:r>
              <w:rPr>
                <w:rFonts w:hint="eastAsia"/>
                <w:lang w:val="en-US" w:eastAsia="zh-CN"/>
              </w:rPr>
              <w:t>61</w:t>
            </w:r>
          </w:p>
        </w:tc>
        <w:tc>
          <w:tcPr>
            <w:tcW w:w="9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1489E9">
            <w:pPr>
              <w:pStyle w:val="45"/>
              <w:bidi w:val="0"/>
              <w:rPr>
                <w:rFonts w:hint="default"/>
              </w:rPr>
            </w:pPr>
            <w:r>
              <w:rPr>
                <w:rFonts w:hint="eastAsia"/>
                <w:lang w:val="en-US" w:eastAsia="zh-CN"/>
              </w:rPr>
              <w:t>48</w:t>
            </w:r>
          </w:p>
        </w:tc>
        <w:tc>
          <w:tcPr>
            <w:tcW w:w="11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A9FF6">
            <w:pPr>
              <w:pStyle w:val="45"/>
              <w:bidi w:val="0"/>
              <w:rPr>
                <w:rFonts w:hint="default"/>
              </w:rPr>
            </w:pPr>
            <w:r>
              <w:rPr>
                <w:rFonts w:hint="eastAsia"/>
                <w:lang w:val="en-US" w:eastAsia="zh-CN"/>
              </w:rPr>
              <w:t>0</w:t>
            </w:r>
          </w:p>
        </w:tc>
        <w:tc>
          <w:tcPr>
            <w:tcW w:w="14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E803A">
            <w:pPr>
              <w:pStyle w:val="45"/>
              <w:bidi w:val="0"/>
              <w:rPr>
                <w:rFonts w:hint="default"/>
              </w:rPr>
            </w:pPr>
            <w:r>
              <w:rPr>
                <w:rFonts w:hint="eastAsia"/>
                <w:lang w:val="en-US" w:eastAsia="zh-CN"/>
              </w:rPr>
              <w:t>8</w:t>
            </w:r>
          </w:p>
        </w:tc>
        <w:tc>
          <w:tcPr>
            <w:tcW w:w="12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349CD">
            <w:pPr>
              <w:pStyle w:val="45"/>
              <w:bidi w:val="0"/>
              <w:rPr>
                <w:rFonts w:hint="default"/>
              </w:rPr>
            </w:pPr>
            <w:r>
              <w:rPr>
                <w:rFonts w:hint="eastAsia"/>
                <w:lang w:val="en-US" w:eastAsia="zh-CN"/>
              </w:rPr>
              <w:t>7200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719A5">
            <w:pPr>
              <w:pStyle w:val="45"/>
              <w:bidi w:val="0"/>
              <w:rPr>
                <w:rFonts w:hint="default"/>
              </w:rPr>
            </w:pPr>
            <w:r>
              <w:rPr>
                <w:rFonts w:hint="eastAsia"/>
                <w:lang w:val="en-US" w:eastAsia="zh-CN"/>
              </w:rPr>
              <w:t>正常</w:t>
            </w:r>
          </w:p>
        </w:tc>
        <w:tc>
          <w:tcPr>
            <w:tcW w:w="7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12144">
            <w:pPr>
              <w:pStyle w:val="45"/>
              <w:bidi w:val="0"/>
              <w:rPr>
                <w:rFonts w:hint="default"/>
              </w:rPr>
            </w:pPr>
            <w:r>
              <w:rPr>
                <w:rFonts w:hint="eastAsia"/>
                <w:lang w:val="en-US" w:eastAsia="zh-CN"/>
              </w:rPr>
              <w:t>0.0008</w:t>
            </w:r>
          </w:p>
        </w:tc>
        <w:tc>
          <w:tcPr>
            <w:tcW w:w="8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2345F">
            <w:pPr>
              <w:pStyle w:val="45"/>
              <w:bidi w:val="0"/>
              <w:rPr>
                <w:rFonts w:hint="default"/>
              </w:rPr>
            </w:pPr>
            <w:r>
              <w:rPr>
                <w:rFonts w:hint="eastAsia"/>
                <w:lang w:val="en-US" w:eastAsia="zh-CN"/>
              </w:rPr>
              <w:t>0.0009</w:t>
            </w:r>
          </w:p>
        </w:tc>
        <w:tc>
          <w:tcPr>
            <w:tcW w:w="8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CDBBD">
            <w:pPr>
              <w:pStyle w:val="45"/>
              <w:bidi w:val="0"/>
              <w:rPr>
                <w:rFonts w:hint="default"/>
              </w:rPr>
            </w:pPr>
            <w:r>
              <w:rPr>
                <w:rFonts w:hint="eastAsia"/>
                <w:lang w:val="en-US" w:eastAsia="zh-CN"/>
              </w:rPr>
              <w:t>/</w:t>
            </w:r>
          </w:p>
        </w:tc>
      </w:tr>
      <w:tr w14:paraId="0EA611EA">
        <w:tblPrEx>
          <w:tblCellMar>
            <w:top w:w="0" w:type="dxa"/>
            <w:left w:w="108" w:type="dxa"/>
            <w:bottom w:w="0" w:type="dxa"/>
            <w:right w:w="108" w:type="dxa"/>
          </w:tblCellMar>
        </w:tblPrEx>
        <w:trPr>
          <w:trHeight w:val="510" w:hRule="atLeast"/>
        </w:trPr>
        <w:tc>
          <w:tcPr>
            <w:tcW w:w="5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0BC47">
            <w:pPr>
              <w:pStyle w:val="45"/>
              <w:bidi w:val="0"/>
              <w:rPr>
                <w:rFonts w:hint="default"/>
              </w:rPr>
            </w:pPr>
            <w:r>
              <w:rPr>
                <w:rFonts w:hint="eastAsia"/>
                <w:lang w:val="en-US" w:eastAsia="zh-CN"/>
              </w:rPr>
              <w:t>2</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646289">
            <w:pPr>
              <w:pStyle w:val="45"/>
              <w:bidi w:val="0"/>
              <w:rPr>
                <w:rFonts w:hint="default"/>
              </w:rPr>
            </w:pPr>
            <w:r>
              <w:rPr>
                <w:rFonts w:hint="eastAsia"/>
                <w:lang w:val="en-US" w:eastAsia="zh-CN"/>
              </w:rPr>
              <w:t>盐酸储罐大小呼吸面源</w:t>
            </w:r>
          </w:p>
        </w:tc>
        <w:tc>
          <w:tcPr>
            <w:tcW w:w="6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9D80F">
            <w:pPr>
              <w:pStyle w:val="45"/>
              <w:bidi w:val="0"/>
              <w:rPr>
                <w:rFonts w:hint="default"/>
              </w:rPr>
            </w:pPr>
            <w:r>
              <w:rPr>
                <w:rFonts w:hint="eastAsia"/>
                <w:lang w:val="en-US" w:eastAsia="zh-CN"/>
              </w:rPr>
              <w:t>60</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803903">
            <w:pPr>
              <w:pStyle w:val="45"/>
              <w:bidi w:val="0"/>
              <w:rPr>
                <w:rFonts w:hint="default"/>
              </w:rPr>
            </w:pPr>
            <w:r>
              <w:rPr>
                <w:rFonts w:hint="eastAsia"/>
                <w:lang w:val="en-US" w:eastAsia="zh-CN"/>
              </w:rPr>
              <w:t>0</w:t>
            </w:r>
          </w:p>
        </w:tc>
        <w:tc>
          <w:tcPr>
            <w:tcW w:w="1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6B0BE">
            <w:pPr>
              <w:pStyle w:val="45"/>
              <w:bidi w:val="0"/>
              <w:rPr>
                <w:rFonts w:hint="default"/>
              </w:rPr>
            </w:pPr>
            <w:r>
              <w:rPr>
                <w:rFonts w:hint="eastAsia"/>
                <w:lang w:val="en-US" w:eastAsia="zh-CN"/>
              </w:rPr>
              <w:t>60</w:t>
            </w:r>
          </w:p>
        </w:tc>
        <w:tc>
          <w:tcPr>
            <w:tcW w:w="9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02E2C">
            <w:pPr>
              <w:pStyle w:val="45"/>
              <w:bidi w:val="0"/>
              <w:rPr>
                <w:rFonts w:hint="default"/>
              </w:rPr>
            </w:pPr>
            <w:r>
              <w:rPr>
                <w:rFonts w:hint="eastAsia"/>
                <w:lang w:val="en-US" w:eastAsia="zh-CN"/>
              </w:rPr>
              <w:t>4</w:t>
            </w:r>
          </w:p>
        </w:tc>
        <w:tc>
          <w:tcPr>
            <w:tcW w:w="9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B29B3C">
            <w:pPr>
              <w:pStyle w:val="45"/>
              <w:bidi w:val="0"/>
              <w:rPr>
                <w:rFonts w:hint="default"/>
              </w:rPr>
            </w:pPr>
            <w:r>
              <w:rPr>
                <w:rFonts w:hint="eastAsia"/>
                <w:lang w:val="en-US" w:eastAsia="zh-CN"/>
              </w:rPr>
              <w:t>4</w:t>
            </w:r>
          </w:p>
        </w:tc>
        <w:tc>
          <w:tcPr>
            <w:tcW w:w="11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49CFFB">
            <w:pPr>
              <w:pStyle w:val="45"/>
              <w:bidi w:val="0"/>
              <w:rPr>
                <w:rFonts w:hint="default"/>
              </w:rPr>
            </w:pPr>
            <w:r>
              <w:rPr>
                <w:rFonts w:hint="eastAsia"/>
                <w:lang w:val="en-US" w:eastAsia="zh-CN"/>
              </w:rPr>
              <w:t>0</w:t>
            </w:r>
          </w:p>
        </w:tc>
        <w:tc>
          <w:tcPr>
            <w:tcW w:w="14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F4982">
            <w:pPr>
              <w:pStyle w:val="45"/>
              <w:bidi w:val="0"/>
              <w:rPr>
                <w:rFonts w:hint="default"/>
              </w:rPr>
            </w:pPr>
            <w:r>
              <w:rPr>
                <w:rFonts w:hint="eastAsia"/>
                <w:lang w:val="en-US" w:eastAsia="zh-CN"/>
              </w:rPr>
              <w:t>8</w:t>
            </w:r>
          </w:p>
        </w:tc>
        <w:tc>
          <w:tcPr>
            <w:tcW w:w="12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C47EF">
            <w:pPr>
              <w:pStyle w:val="45"/>
              <w:bidi w:val="0"/>
              <w:rPr>
                <w:rFonts w:hint="default"/>
              </w:rPr>
            </w:pPr>
            <w:r>
              <w:rPr>
                <w:rFonts w:hint="eastAsia"/>
                <w:lang w:val="en-US" w:eastAsia="zh-CN"/>
              </w:rPr>
              <w:t>7200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A0493">
            <w:pPr>
              <w:pStyle w:val="45"/>
              <w:bidi w:val="0"/>
              <w:rPr>
                <w:rFonts w:hint="default"/>
              </w:rPr>
            </w:pPr>
            <w:r>
              <w:rPr>
                <w:rFonts w:hint="eastAsia"/>
                <w:lang w:val="en-US" w:eastAsia="zh-CN"/>
              </w:rPr>
              <w:t>正常</w:t>
            </w:r>
          </w:p>
        </w:tc>
        <w:tc>
          <w:tcPr>
            <w:tcW w:w="7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7C8CB">
            <w:pPr>
              <w:pStyle w:val="45"/>
              <w:bidi w:val="0"/>
              <w:rPr>
                <w:rFonts w:hint="default"/>
              </w:rPr>
            </w:pPr>
            <w:r>
              <w:rPr>
                <w:rFonts w:hint="eastAsia"/>
                <w:lang w:val="en-US" w:eastAsia="zh-CN"/>
              </w:rPr>
              <w:t>/</w:t>
            </w:r>
          </w:p>
        </w:tc>
        <w:tc>
          <w:tcPr>
            <w:tcW w:w="8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1DA94">
            <w:pPr>
              <w:pStyle w:val="45"/>
              <w:bidi w:val="0"/>
              <w:rPr>
                <w:rFonts w:hint="default"/>
              </w:rPr>
            </w:pPr>
            <w:r>
              <w:rPr>
                <w:rFonts w:hint="eastAsia"/>
                <w:lang w:val="en-US" w:eastAsia="zh-CN"/>
              </w:rPr>
              <w:t>0.000546</w:t>
            </w:r>
          </w:p>
        </w:tc>
        <w:tc>
          <w:tcPr>
            <w:tcW w:w="8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4D9727">
            <w:pPr>
              <w:pStyle w:val="45"/>
              <w:bidi w:val="0"/>
              <w:rPr>
                <w:rFonts w:hint="default"/>
              </w:rPr>
            </w:pPr>
            <w:r>
              <w:rPr>
                <w:rFonts w:hint="eastAsia"/>
                <w:lang w:val="en-US" w:eastAsia="zh-CN"/>
              </w:rPr>
              <w:t>/</w:t>
            </w:r>
          </w:p>
        </w:tc>
      </w:tr>
      <w:tr w14:paraId="7DE2E372">
        <w:tblPrEx>
          <w:tblCellMar>
            <w:top w:w="0" w:type="dxa"/>
            <w:left w:w="108" w:type="dxa"/>
            <w:bottom w:w="0" w:type="dxa"/>
            <w:right w:w="108" w:type="dxa"/>
          </w:tblCellMar>
        </w:tblPrEx>
        <w:trPr>
          <w:trHeight w:val="510" w:hRule="atLeast"/>
        </w:trPr>
        <w:tc>
          <w:tcPr>
            <w:tcW w:w="5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4B7B29">
            <w:pPr>
              <w:pStyle w:val="45"/>
              <w:bidi w:val="0"/>
              <w:rPr>
                <w:rFonts w:hint="default"/>
              </w:rPr>
            </w:pPr>
            <w:r>
              <w:rPr>
                <w:rFonts w:hint="eastAsia"/>
                <w:lang w:val="en-US" w:eastAsia="zh-CN"/>
              </w:rPr>
              <w:t>3</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CD5752">
            <w:pPr>
              <w:pStyle w:val="45"/>
              <w:bidi w:val="0"/>
              <w:rPr>
                <w:rFonts w:hint="default"/>
              </w:rPr>
            </w:pPr>
            <w:r>
              <w:rPr>
                <w:rFonts w:hint="eastAsia"/>
                <w:lang w:val="en-US" w:eastAsia="zh-CN"/>
              </w:rPr>
              <w:t>复分解区干燥包装无组织粉尘面源</w:t>
            </w:r>
          </w:p>
        </w:tc>
        <w:tc>
          <w:tcPr>
            <w:tcW w:w="6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4E890">
            <w:pPr>
              <w:pStyle w:val="45"/>
              <w:bidi w:val="0"/>
              <w:rPr>
                <w:rFonts w:hint="default"/>
              </w:rPr>
            </w:pPr>
            <w:r>
              <w:rPr>
                <w:rFonts w:hint="eastAsia"/>
                <w:lang w:val="en-US" w:eastAsia="zh-CN"/>
              </w:rPr>
              <w:t>20</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F46A9">
            <w:pPr>
              <w:pStyle w:val="45"/>
              <w:bidi w:val="0"/>
              <w:rPr>
                <w:rFonts w:hint="default"/>
              </w:rPr>
            </w:pPr>
            <w:r>
              <w:rPr>
                <w:rFonts w:hint="eastAsia"/>
                <w:lang w:val="en-US" w:eastAsia="zh-CN"/>
              </w:rPr>
              <w:t>0</w:t>
            </w:r>
          </w:p>
        </w:tc>
        <w:tc>
          <w:tcPr>
            <w:tcW w:w="1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EBA79F">
            <w:pPr>
              <w:pStyle w:val="45"/>
              <w:bidi w:val="0"/>
              <w:rPr>
                <w:rFonts w:hint="default"/>
              </w:rPr>
            </w:pPr>
            <w:r>
              <w:rPr>
                <w:rFonts w:hint="eastAsia"/>
                <w:lang w:val="en-US" w:eastAsia="zh-CN"/>
              </w:rPr>
              <w:t>60</w:t>
            </w:r>
          </w:p>
        </w:tc>
        <w:tc>
          <w:tcPr>
            <w:tcW w:w="9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A56F3">
            <w:pPr>
              <w:pStyle w:val="45"/>
              <w:bidi w:val="0"/>
              <w:rPr>
                <w:rFonts w:hint="default"/>
              </w:rPr>
            </w:pPr>
            <w:r>
              <w:rPr>
                <w:rFonts w:hint="eastAsia"/>
                <w:lang w:val="en-US" w:eastAsia="zh-CN"/>
              </w:rPr>
              <w:t>60</w:t>
            </w:r>
          </w:p>
        </w:tc>
        <w:tc>
          <w:tcPr>
            <w:tcW w:w="9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B904D">
            <w:pPr>
              <w:pStyle w:val="45"/>
              <w:bidi w:val="0"/>
              <w:rPr>
                <w:rFonts w:hint="default"/>
              </w:rPr>
            </w:pPr>
            <w:r>
              <w:rPr>
                <w:rFonts w:hint="eastAsia"/>
                <w:lang w:val="en-US" w:eastAsia="zh-CN"/>
              </w:rPr>
              <w:t>46</w:t>
            </w:r>
          </w:p>
        </w:tc>
        <w:tc>
          <w:tcPr>
            <w:tcW w:w="11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19F54">
            <w:pPr>
              <w:pStyle w:val="45"/>
              <w:bidi w:val="0"/>
              <w:rPr>
                <w:rFonts w:hint="default"/>
              </w:rPr>
            </w:pPr>
            <w:r>
              <w:rPr>
                <w:rFonts w:hint="eastAsia"/>
                <w:lang w:val="en-US" w:eastAsia="zh-CN"/>
              </w:rPr>
              <w:t>0</w:t>
            </w:r>
          </w:p>
        </w:tc>
        <w:tc>
          <w:tcPr>
            <w:tcW w:w="14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F2A054">
            <w:pPr>
              <w:pStyle w:val="45"/>
              <w:bidi w:val="0"/>
              <w:rPr>
                <w:rFonts w:hint="default"/>
              </w:rPr>
            </w:pPr>
            <w:r>
              <w:rPr>
                <w:rFonts w:hint="eastAsia"/>
                <w:lang w:val="en-US" w:eastAsia="zh-CN"/>
              </w:rPr>
              <w:t>8</w:t>
            </w:r>
          </w:p>
        </w:tc>
        <w:tc>
          <w:tcPr>
            <w:tcW w:w="12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1CEC5">
            <w:pPr>
              <w:pStyle w:val="45"/>
              <w:bidi w:val="0"/>
              <w:rPr>
                <w:rFonts w:hint="default"/>
              </w:rPr>
            </w:pPr>
            <w:r>
              <w:rPr>
                <w:rFonts w:hint="eastAsia"/>
                <w:lang w:val="en-US" w:eastAsia="zh-CN"/>
              </w:rPr>
              <w:t>7200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6D2451">
            <w:pPr>
              <w:pStyle w:val="45"/>
              <w:bidi w:val="0"/>
              <w:rPr>
                <w:rFonts w:hint="default"/>
              </w:rPr>
            </w:pPr>
            <w:r>
              <w:rPr>
                <w:rFonts w:hint="eastAsia"/>
                <w:lang w:val="en-US" w:eastAsia="zh-CN"/>
              </w:rPr>
              <w:t>正常</w:t>
            </w:r>
          </w:p>
        </w:tc>
        <w:tc>
          <w:tcPr>
            <w:tcW w:w="7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B899C">
            <w:pPr>
              <w:pStyle w:val="45"/>
              <w:bidi w:val="0"/>
              <w:rPr>
                <w:rFonts w:hint="default"/>
              </w:rPr>
            </w:pPr>
            <w:r>
              <w:rPr>
                <w:rFonts w:hint="eastAsia"/>
                <w:lang w:val="en-US" w:eastAsia="zh-CN"/>
              </w:rPr>
              <w:t>/</w:t>
            </w:r>
          </w:p>
        </w:tc>
        <w:tc>
          <w:tcPr>
            <w:tcW w:w="8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8802A">
            <w:pPr>
              <w:pStyle w:val="45"/>
              <w:bidi w:val="0"/>
              <w:rPr>
                <w:rFonts w:hint="default"/>
              </w:rPr>
            </w:pPr>
            <w:r>
              <w:rPr>
                <w:rFonts w:hint="eastAsia"/>
                <w:lang w:val="en-US" w:eastAsia="zh-CN"/>
              </w:rPr>
              <w:t>/</w:t>
            </w:r>
          </w:p>
        </w:tc>
        <w:tc>
          <w:tcPr>
            <w:tcW w:w="8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53FCD">
            <w:pPr>
              <w:pStyle w:val="45"/>
              <w:bidi w:val="0"/>
              <w:rPr>
                <w:rFonts w:hint="default"/>
              </w:rPr>
            </w:pPr>
            <w:r>
              <w:rPr>
                <w:rFonts w:hint="eastAsia"/>
                <w:lang w:val="en-US" w:eastAsia="zh-CN"/>
              </w:rPr>
              <w:t>0.3556</w:t>
            </w:r>
          </w:p>
        </w:tc>
      </w:tr>
      <w:tr w14:paraId="2F390ADD">
        <w:tblPrEx>
          <w:tblCellMar>
            <w:top w:w="0" w:type="dxa"/>
            <w:left w:w="108" w:type="dxa"/>
            <w:bottom w:w="0" w:type="dxa"/>
            <w:right w:w="108" w:type="dxa"/>
          </w:tblCellMar>
        </w:tblPrEx>
        <w:trPr>
          <w:trHeight w:val="270" w:hRule="atLeast"/>
        </w:trPr>
        <w:tc>
          <w:tcPr>
            <w:tcW w:w="5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2C51E">
            <w:pPr>
              <w:pStyle w:val="45"/>
              <w:bidi w:val="0"/>
              <w:rPr>
                <w:rFonts w:hint="default"/>
              </w:rPr>
            </w:pPr>
            <w:r>
              <w:rPr>
                <w:rFonts w:hint="eastAsia"/>
                <w:lang w:val="en-US" w:eastAsia="zh-CN"/>
              </w:rPr>
              <w:t>4</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A0B794">
            <w:pPr>
              <w:pStyle w:val="45"/>
              <w:bidi w:val="0"/>
              <w:rPr>
                <w:rFonts w:hint="default"/>
              </w:rPr>
            </w:pPr>
            <w:r>
              <w:rPr>
                <w:rFonts w:hint="eastAsia"/>
                <w:lang w:val="en-US" w:eastAsia="zh-CN"/>
              </w:rPr>
              <w:t>锂盐区干燥包装粉尘无组织面源</w:t>
            </w:r>
          </w:p>
        </w:tc>
        <w:tc>
          <w:tcPr>
            <w:tcW w:w="6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6ADE2">
            <w:pPr>
              <w:pStyle w:val="45"/>
              <w:bidi w:val="0"/>
              <w:rPr>
                <w:rFonts w:hint="default"/>
              </w:rPr>
            </w:pPr>
            <w:r>
              <w:rPr>
                <w:rFonts w:hint="eastAsia"/>
                <w:lang w:val="en-US" w:eastAsia="zh-CN"/>
              </w:rPr>
              <w:t>-44</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113ED">
            <w:pPr>
              <w:pStyle w:val="45"/>
              <w:bidi w:val="0"/>
              <w:rPr>
                <w:rFonts w:hint="default"/>
              </w:rPr>
            </w:pPr>
            <w:r>
              <w:rPr>
                <w:rFonts w:hint="eastAsia"/>
                <w:lang w:val="en-US" w:eastAsia="zh-CN"/>
              </w:rPr>
              <w:t>-10</w:t>
            </w:r>
          </w:p>
        </w:tc>
        <w:tc>
          <w:tcPr>
            <w:tcW w:w="1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0B07E">
            <w:pPr>
              <w:pStyle w:val="45"/>
              <w:bidi w:val="0"/>
              <w:rPr>
                <w:rFonts w:hint="default"/>
              </w:rPr>
            </w:pPr>
            <w:r>
              <w:rPr>
                <w:rFonts w:hint="eastAsia"/>
                <w:lang w:val="en-US" w:eastAsia="zh-CN"/>
              </w:rPr>
              <w:t>59</w:t>
            </w:r>
          </w:p>
        </w:tc>
        <w:tc>
          <w:tcPr>
            <w:tcW w:w="9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CB779">
            <w:pPr>
              <w:pStyle w:val="45"/>
              <w:bidi w:val="0"/>
              <w:rPr>
                <w:rFonts w:hint="default"/>
              </w:rPr>
            </w:pPr>
            <w:r>
              <w:rPr>
                <w:rFonts w:hint="eastAsia"/>
                <w:lang w:val="en-US" w:eastAsia="zh-CN"/>
              </w:rPr>
              <w:t>25</w:t>
            </w:r>
          </w:p>
        </w:tc>
        <w:tc>
          <w:tcPr>
            <w:tcW w:w="9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6E556F">
            <w:pPr>
              <w:pStyle w:val="45"/>
              <w:bidi w:val="0"/>
              <w:rPr>
                <w:rFonts w:hint="default"/>
              </w:rPr>
            </w:pPr>
            <w:r>
              <w:rPr>
                <w:rFonts w:hint="eastAsia"/>
                <w:lang w:val="en-US" w:eastAsia="zh-CN"/>
              </w:rPr>
              <w:t>18</w:t>
            </w:r>
          </w:p>
        </w:tc>
        <w:tc>
          <w:tcPr>
            <w:tcW w:w="11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3C2F26">
            <w:pPr>
              <w:pStyle w:val="45"/>
              <w:bidi w:val="0"/>
              <w:rPr>
                <w:rFonts w:hint="default"/>
              </w:rPr>
            </w:pPr>
            <w:r>
              <w:rPr>
                <w:rFonts w:hint="eastAsia"/>
                <w:lang w:val="en-US" w:eastAsia="zh-CN"/>
              </w:rPr>
              <w:t>0</w:t>
            </w:r>
          </w:p>
        </w:tc>
        <w:tc>
          <w:tcPr>
            <w:tcW w:w="14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706E3">
            <w:pPr>
              <w:pStyle w:val="45"/>
              <w:bidi w:val="0"/>
              <w:rPr>
                <w:rFonts w:hint="default"/>
              </w:rPr>
            </w:pPr>
            <w:r>
              <w:rPr>
                <w:rFonts w:hint="eastAsia"/>
                <w:lang w:val="en-US" w:eastAsia="zh-CN"/>
              </w:rPr>
              <w:t>4</w:t>
            </w:r>
          </w:p>
        </w:tc>
        <w:tc>
          <w:tcPr>
            <w:tcW w:w="12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0D21E">
            <w:pPr>
              <w:pStyle w:val="45"/>
              <w:bidi w:val="0"/>
              <w:rPr>
                <w:rFonts w:hint="default"/>
              </w:rPr>
            </w:pPr>
            <w:r>
              <w:rPr>
                <w:rFonts w:hint="eastAsia"/>
                <w:lang w:val="en-US" w:eastAsia="zh-CN"/>
              </w:rPr>
              <w:t>7200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39E17">
            <w:pPr>
              <w:pStyle w:val="45"/>
              <w:bidi w:val="0"/>
              <w:rPr>
                <w:rFonts w:hint="default"/>
              </w:rPr>
            </w:pPr>
            <w:r>
              <w:rPr>
                <w:rFonts w:hint="eastAsia"/>
                <w:lang w:val="en-US" w:eastAsia="zh-CN"/>
              </w:rPr>
              <w:t>正常</w:t>
            </w:r>
          </w:p>
        </w:tc>
        <w:tc>
          <w:tcPr>
            <w:tcW w:w="7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FF692">
            <w:pPr>
              <w:pStyle w:val="45"/>
              <w:bidi w:val="0"/>
              <w:rPr>
                <w:rFonts w:hint="default"/>
              </w:rPr>
            </w:pPr>
            <w:r>
              <w:rPr>
                <w:rFonts w:hint="eastAsia"/>
                <w:lang w:val="en-US" w:eastAsia="zh-CN"/>
              </w:rPr>
              <w:t>/</w:t>
            </w:r>
          </w:p>
        </w:tc>
        <w:tc>
          <w:tcPr>
            <w:tcW w:w="8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B6094">
            <w:pPr>
              <w:pStyle w:val="45"/>
              <w:bidi w:val="0"/>
              <w:rPr>
                <w:rFonts w:hint="default"/>
              </w:rPr>
            </w:pPr>
            <w:r>
              <w:rPr>
                <w:rFonts w:hint="eastAsia"/>
                <w:lang w:val="en-US" w:eastAsia="zh-CN"/>
              </w:rPr>
              <w:t>/</w:t>
            </w:r>
          </w:p>
        </w:tc>
        <w:tc>
          <w:tcPr>
            <w:tcW w:w="8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6FBFA">
            <w:pPr>
              <w:pStyle w:val="45"/>
              <w:bidi w:val="0"/>
              <w:rPr>
                <w:rFonts w:hint="default"/>
              </w:rPr>
            </w:pPr>
            <w:r>
              <w:rPr>
                <w:rFonts w:hint="eastAsia"/>
                <w:lang w:val="en-US" w:eastAsia="zh-CN"/>
              </w:rPr>
              <w:t>0.0083</w:t>
            </w:r>
          </w:p>
        </w:tc>
      </w:tr>
      <w:tr w14:paraId="596BAA36">
        <w:tblPrEx>
          <w:tblCellMar>
            <w:top w:w="0" w:type="dxa"/>
            <w:left w:w="108" w:type="dxa"/>
            <w:bottom w:w="0" w:type="dxa"/>
            <w:right w:w="108" w:type="dxa"/>
          </w:tblCellMar>
        </w:tblPrEx>
        <w:trPr>
          <w:trHeight w:val="270" w:hRule="atLeast"/>
        </w:trPr>
        <w:tc>
          <w:tcPr>
            <w:tcW w:w="5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5CEE3B">
            <w:pPr>
              <w:pStyle w:val="45"/>
              <w:bidi w:val="0"/>
            </w:pPr>
            <w:r>
              <w:rPr>
                <w:rFonts w:hint="eastAsia"/>
                <w:lang w:val="en-US" w:eastAsia="zh-CN"/>
              </w:rPr>
              <w:t>5</w:t>
            </w:r>
          </w:p>
        </w:tc>
        <w:tc>
          <w:tcPr>
            <w:tcW w:w="15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F62E74">
            <w:pPr>
              <w:pStyle w:val="45"/>
              <w:bidi w:val="0"/>
            </w:pPr>
            <w:r>
              <w:rPr>
                <w:rFonts w:hint="eastAsia"/>
                <w:lang w:val="en-US" w:eastAsia="zh-CN"/>
              </w:rPr>
              <w:t>投料无组织粉尘面源</w:t>
            </w:r>
          </w:p>
        </w:tc>
        <w:tc>
          <w:tcPr>
            <w:tcW w:w="6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639DE">
            <w:pPr>
              <w:pStyle w:val="45"/>
              <w:bidi w:val="0"/>
              <w:rPr>
                <w:rFonts w:hint="default"/>
              </w:rPr>
            </w:pPr>
            <w:r>
              <w:rPr>
                <w:rFonts w:hint="eastAsia"/>
                <w:lang w:val="en-US" w:eastAsia="zh-CN"/>
              </w:rPr>
              <w:t>-93</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94BD1">
            <w:pPr>
              <w:pStyle w:val="45"/>
              <w:bidi w:val="0"/>
              <w:rPr>
                <w:rFonts w:hint="default"/>
              </w:rPr>
            </w:pPr>
            <w:r>
              <w:rPr>
                <w:rFonts w:hint="eastAsia"/>
                <w:lang w:val="en-US" w:eastAsia="zh-CN"/>
              </w:rPr>
              <w:t>28.5</w:t>
            </w:r>
          </w:p>
        </w:tc>
        <w:tc>
          <w:tcPr>
            <w:tcW w:w="1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1F6B0">
            <w:pPr>
              <w:pStyle w:val="45"/>
              <w:bidi w:val="0"/>
              <w:rPr>
                <w:rFonts w:hint="default"/>
              </w:rPr>
            </w:pPr>
            <w:r>
              <w:rPr>
                <w:rFonts w:hint="eastAsia"/>
                <w:lang w:val="en-US" w:eastAsia="zh-CN"/>
              </w:rPr>
              <w:t>61</w:t>
            </w:r>
          </w:p>
        </w:tc>
        <w:tc>
          <w:tcPr>
            <w:tcW w:w="9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83AD16">
            <w:pPr>
              <w:pStyle w:val="45"/>
              <w:bidi w:val="0"/>
            </w:pPr>
            <w:r>
              <w:rPr>
                <w:rFonts w:hint="eastAsia"/>
                <w:lang w:val="en-US" w:eastAsia="zh-CN"/>
              </w:rPr>
              <w:t>15</w:t>
            </w:r>
          </w:p>
        </w:tc>
        <w:tc>
          <w:tcPr>
            <w:tcW w:w="9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4A67E">
            <w:pPr>
              <w:pStyle w:val="45"/>
              <w:bidi w:val="0"/>
            </w:pPr>
            <w:r>
              <w:rPr>
                <w:rFonts w:hint="eastAsia"/>
                <w:lang w:val="en-US" w:eastAsia="zh-CN"/>
              </w:rPr>
              <w:t>40</w:t>
            </w:r>
          </w:p>
        </w:tc>
        <w:tc>
          <w:tcPr>
            <w:tcW w:w="11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CE7D5">
            <w:pPr>
              <w:pStyle w:val="45"/>
              <w:bidi w:val="0"/>
            </w:pPr>
            <w:r>
              <w:rPr>
                <w:rFonts w:hint="eastAsia"/>
                <w:lang w:val="en-US" w:eastAsia="zh-CN"/>
              </w:rPr>
              <w:t>0</w:t>
            </w:r>
          </w:p>
        </w:tc>
        <w:tc>
          <w:tcPr>
            <w:tcW w:w="14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A85F51">
            <w:pPr>
              <w:pStyle w:val="45"/>
              <w:bidi w:val="0"/>
            </w:pPr>
            <w:r>
              <w:rPr>
                <w:rFonts w:hint="eastAsia"/>
                <w:lang w:val="en-US" w:eastAsia="zh-CN"/>
              </w:rPr>
              <w:t>8</w:t>
            </w:r>
          </w:p>
        </w:tc>
        <w:tc>
          <w:tcPr>
            <w:tcW w:w="12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070FF8">
            <w:pPr>
              <w:pStyle w:val="45"/>
              <w:bidi w:val="0"/>
            </w:pPr>
            <w:r>
              <w:rPr>
                <w:rFonts w:hint="eastAsia"/>
                <w:lang w:val="en-US" w:eastAsia="zh-CN"/>
              </w:rPr>
              <w:t>7200</w:t>
            </w:r>
          </w:p>
        </w:tc>
        <w:tc>
          <w:tcPr>
            <w:tcW w:w="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EDAEC">
            <w:pPr>
              <w:pStyle w:val="45"/>
              <w:bidi w:val="0"/>
            </w:pPr>
            <w:r>
              <w:rPr>
                <w:rFonts w:hint="eastAsia"/>
                <w:lang w:val="en-US" w:eastAsia="zh-CN"/>
              </w:rPr>
              <w:t>正常</w:t>
            </w:r>
          </w:p>
        </w:tc>
        <w:tc>
          <w:tcPr>
            <w:tcW w:w="7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EA06C">
            <w:pPr>
              <w:pStyle w:val="45"/>
              <w:bidi w:val="0"/>
              <w:rPr>
                <w:rFonts w:hint="default"/>
              </w:rPr>
            </w:pPr>
            <w:r>
              <w:rPr>
                <w:rFonts w:hint="eastAsia"/>
                <w:lang w:val="en-US" w:eastAsia="zh-CN"/>
              </w:rPr>
              <w:t>/</w:t>
            </w:r>
          </w:p>
        </w:tc>
        <w:tc>
          <w:tcPr>
            <w:tcW w:w="8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DBF4A">
            <w:pPr>
              <w:pStyle w:val="45"/>
              <w:bidi w:val="0"/>
              <w:rPr>
                <w:rFonts w:hint="default"/>
              </w:rPr>
            </w:pPr>
            <w:r>
              <w:rPr>
                <w:rFonts w:hint="eastAsia"/>
                <w:lang w:val="en-US" w:eastAsia="zh-CN"/>
              </w:rPr>
              <w:t>/</w:t>
            </w:r>
          </w:p>
        </w:tc>
        <w:tc>
          <w:tcPr>
            <w:tcW w:w="8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D1CA4">
            <w:pPr>
              <w:pStyle w:val="45"/>
              <w:bidi w:val="0"/>
              <w:rPr>
                <w:rFonts w:hint="default"/>
              </w:rPr>
            </w:pPr>
            <w:r>
              <w:rPr>
                <w:rFonts w:hint="eastAsia"/>
                <w:lang w:val="en-US" w:eastAsia="zh-CN"/>
              </w:rPr>
              <w:t>0.1389</w:t>
            </w:r>
          </w:p>
        </w:tc>
      </w:tr>
    </w:tbl>
    <w:p w14:paraId="18F4E7B5">
      <w:pPr>
        <w:pStyle w:val="38"/>
      </w:pPr>
    </w:p>
    <w:p w14:paraId="4F76359A">
      <w:pPr>
        <w:pStyle w:val="43"/>
        <w:numPr>
          <w:ilvl w:val="5"/>
          <w:numId w:val="1"/>
        </w:numPr>
        <w:rPr>
          <w:rFonts w:hint="default"/>
        </w:rPr>
      </w:pPr>
      <w:r>
        <w:t>区域拟建、在建同类源排放情况一览表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34"/>
        <w:gridCol w:w="1731"/>
        <w:gridCol w:w="1095"/>
        <w:gridCol w:w="2240"/>
        <w:gridCol w:w="930"/>
        <w:gridCol w:w="1028"/>
        <w:gridCol w:w="978"/>
        <w:gridCol w:w="1394"/>
        <w:gridCol w:w="883"/>
        <w:gridCol w:w="1128"/>
        <w:gridCol w:w="1821"/>
      </w:tblGrid>
      <w:tr w14:paraId="5D50F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trPr>
        <w:tc>
          <w:tcPr>
            <w:tcW w:w="263" w:type="pct"/>
            <w:vMerge w:val="restart"/>
            <w:vAlign w:val="center"/>
          </w:tcPr>
          <w:p w14:paraId="078B078B">
            <w:pPr>
              <w:snapToGrid w:val="0"/>
              <w:spacing w:line="240" w:lineRule="auto"/>
              <w:ind w:firstLine="0" w:firstLineChars="0"/>
              <w:jc w:val="center"/>
              <w:rPr>
                <w:rFonts w:cs="Times New Roman"/>
                <w:b/>
                <w:bCs/>
                <w:kern w:val="0"/>
                <w:sz w:val="21"/>
                <w:szCs w:val="21"/>
                <w:lang w:val="zh-CN"/>
              </w:rPr>
            </w:pPr>
            <w:r>
              <w:rPr>
                <w:rFonts w:cs="Times New Roman"/>
                <w:b/>
                <w:bCs/>
                <w:kern w:val="0"/>
                <w:sz w:val="21"/>
                <w:szCs w:val="21"/>
                <w:lang w:val="zh-CN"/>
              </w:rPr>
              <w:t>序号</w:t>
            </w:r>
          </w:p>
        </w:tc>
        <w:tc>
          <w:tcPr>
            <w:tcW w:w="620" w:type="pct"/>
            <w:vMerge w:val="restart"/>
            <w:vAlign w:val="center"/>
          </w:tcPr>
          <w:p w14:paraId="79438034">
            <w:pPr>
              <w:snapToGrid w:val="0"/>
              <w:spacing w:line="240" w:lineRule="auto"/>
              <w:ind w:firstLine="0" w:firstLineChars="0"/>
              <w:jc w:val="center"/>
              <w:rPr>
                <w:rFonts w:cs="Times New Roman"/>
                <w:b/>
                <w:bCs/>
                <w:kern w:val="0"/>
                <w:sz w:val="21"/>
                <w:szCs w:val="21"/>
              </w:rPr>
            </w:pPr>
            <w:r>
              <w:rPr>
                <w:rFonts w:hint="eastAsia" w:cs="Times New Roman"/>
                <w:b/>
                <w:bCs/>
                <w:kern w:val="0"/>
                <w:sz w:val="21"/>
                <w:szCs w:val="21"/>
              </w:rPr>
              <w:t>企业</w:t>
            </w:r>
          </w:p>
        </w:tc>
        <w:tc>
          <w:tcPr>
            <w:tcW w:w="392" w:type="pct"/>
            <w:vMerge w:val="restart"/>
            <w:vAlign w:val="center"/>
          </w:tcPr>
          <w:p w14:paraId="58E2BBDB">
            <w:pPr>
              <w:snapToGrid w:val="0"/>
              <w:spacing w:line="240" w:lineRule="auto"/>
              <w:ind w:firstLine="0" w:firstLineChars="0"/>
              <w:jc w:val="center"/>
              <w:rPr>
                <w:rFonts w:cs="Times New Roman"/>
                <w:b/>
                <w:bCs/>
                <w:kern w:val="0"/>
                <w:sz w:val="21"/>
                <w:szCs w:val="21"/>
                <w:lang w:val="zh-CN"/>
              </w:rPr>
            </w:pPr>
            <w:r>
              <w:rPr>
                <w:rFonts w:cs="Times New Roman"/>
                <w:b/>
                <w:bCs/>
                <w:kern w:val="0"/>
                <w:sz w:val="21"/>
                <w:szCs w:val="21"/>
                <w:lang w:val="zh-CN"/>
              </w:rPr>
              <w:t>类型</w:t>
            </w:r>
          </w:p>
        </w:tc>
        <w:tc>
          <w:tcPr>
            <w:tcW w:w="802" w:type="pct"/>
            <w:vMerge w:val="restart"/>
            <w:vAlign w:val="center"/>
          </w:tcPr>
          <w:p w14:paraId="1BAD0A1A">
            <w:pPr>
              <w:snapToGrid w:val="0"/>
              <w:spacing w:line="240" w:lineRule="auto"/>
              <w:ind w:firstLine="0" w:firstLineChars="0"/>
              <w:jc w:val="center"/>
              <w:rPr>
                <w:rFonts w:cs="Times New Roman"/>
                <w:b/>
                <w:bCs/>
                <w:kern w:val="0"/>
                <w:sz w:val="21"/>
                <w:szCs w:val="21"/>
                <w:lang w:val="zh-CN"/>
              </w:rPr>
            </w:pPr>
            <w:r>
              <w:rPr>
                <w:rFonts w:cs="Times New Roman"/>
                <w:b/>
                <w:bCs/>
                <w:kern w:val="0"/>
                <w:sz w:val="21"/>
                <w:szCs w:val="21"/>
                <w:lang w:val="zh-CN"/>
              </w:rPr>
              <w:t>污染源名称</w:t>
            </w:r>
          </w:p>
        </w:tc>
        <w:tc>
          <w:tcPr>
            <w:tcW w:w="701" w:type="pct"/>
            <w:gridSpan w:val="2"/>
            <w:vAlign w:val="center"/>
          </w:tcPr>
          <w:p w14:paraId="739D4293">
            <w:pPr>
              <w:autoSpaceDE w:val="0"/>
              <w:autoSpaceDN w:val="0"/>
              <w:snapToGrid w:val="0"/>
              <w:spacing w:line="240" w:lineRule="auto"/>
              <w:ind w:firstLine="0" w:firstLineChars="0"/>
              <w:jc w:val="center"/>
              <w:rPr>
                <w:rFonts w:cs="Times New Roman"/>
                <w:b/>
                <w:bCs/>
                <w:kern w:val="0"/>
                <w:sz w:val="21"/>
                <w:szCs w:val="21"/>
              </w:rPr>
            </w:pPr>
            <w:r>
              <w:rPr>
                <w:rFonts w:cs="Times New Roman"/>
                <w:b/>
                <w:bCs/>
                <w:kern w:val="0"/>
                <w:sz w:val="21"/>
                <w:szCs w:val="21"/>
              </w:rPr>
              <w:t>排气筒</w:t>
            </w:r>
          </w:p>
        </w:tc>
        <w:tc>
          <w:tcPr>
            <w:tcW w:w="350" w:type="pct"/>
            <w:vAlign w:val="center"/>
          </w:tcPr>
          <w:p w14:paraId="74A0FBA8">
            <w:pPr>
              <w:autoSpaceDE w:val="0"/>
              <w:autoSpaceDN w:val="0"/>
              <w:snapToGrid w:val="0"/>
              <w:spacing w:line="240" w:lineRule="auto"/>
              <w:ind w:firstLine="0" w:firstLineChars="0"/>
              <w:jc w:val="center"/>
              <w:rPr>
                <w:rFonts w:cs="Times New Roman"/>
                <w:b/>
                <w:bCs/>
                <w:kern w:val="0"/>
                <w:sz w:val="21"/>
                <w:szCs w:val="21"/>
              </w:rPr>
            </w:pPr>
            <w:r>
              <w:rPr>
                <w:rFonts w:cs="Times New Roman"/>
                <w:b/>
                <w:bCs/>
                <w:kern w:val="0"/>
                <w:sz w:val="21"/>
                <w:szCs w:val="21"/>
              </w:rPr>
              <w:t>烟气</w:t>
            </w:r>
          </w:p>
        </w:tc>
        <w:tc>
          <w:tcPr>
            <w:tcW w:w="499" w:type="pct"/>
            <w:vAlign w:val="center"/>
          </w:tcPr>
          <w:p w14:paraId="0D07FEBA">
            <w:pPr>
              <w:autoSpaceDE w:val="0"/>
              <w:autoSpaceDN w:val="0"/>
              <w:snapToGrid w:val="0"/>
              <w:spacing w:line="240" w:lineRule="auto"/>
              <w:ind w:firstLine="0" w:firstLineChars="0"/>
              <w:jc w:val="center"/>
              <w:rPr>
                <w:rFonts w:cs="Times New Roman"/>
                <w:b/>
                <w:bCs/>
                <w:kern w:val="0"/>
                <w:sz w:val="21"/>
                <w:szCs w:val="21"/>
              </w:rPr>
            </w:pPr>
            <w:r>
              <w:rPr>
                <w:rFonts w:cs="Times New Roman"/>
                <w:b/>
                <w:bCs/>
                <w:kern w:val="0"/>
                <w:sz w:val="21"/>
                <w:szCs w:val="21"/>
              </w:rPr>
              <w:t>烟气(m</w:t>
            </w:r>
            <w:r>
              <w:rPr>
                <w:rFonts w:cs="Times New Roman"/>
                <w:b/>
                <w:bCs/>
                <w:kern w:val="0"/>
                <w:sz w:val="21"/>
                <w:szCs w:val="21"/>
                <w:vertAlign w:val="superscript"/>
              </w:rPr>
              <w:t>3</w:t>
            </w:r>
            <w:r>
              <w:rPr>
                <w:rFonts w:cs="Times New Roman"/>
                <w:b/>
                <w:bCs/>
                <w:kern w:val="0"/>
                <w:sz w:val="21"/>
                <w:szCs w:val="21"/>
              </w:rPr>
              <w:t>/h)</w:t>
            </w:r>
          </w:p>
        </w:tc>
        <w:tc>
          <w:tcPr>
            <w:tcW w:w="1372" w:type="pct"/>
            <w:gridSpan w:val="3"/>
            <w:vAlign w:val="center"/>
          </w:tcPr>
          <w:p w14:paraId="3451BCA7">
            <w:pPr>
              <w:autoSpaceDE w:val="0"/>
              <w:autoSpaceDN w:val="0"/>
              <w:snapToGrid w:val="0"/>
              <w:spacing w:line="240" w:lineRule="auto"/>
              <w:ind w:firstLine="0" w:firstLineChars="0"/>
              <w:jc w:val="center"/>
              <w:rPr>
                <w:rFonts w:cs="Times New Roman"/>
                <w:b/>
                <w:bCs/>
                <w:kern w:val="0"/>
                <w:sz w:val="21"/>
                <w:szCs w:val="21"/>
              </w:rPr>
            </w:pPr>
            <w:r>
              <w:rPr>
                <w:rFonts w:cs="Times New Roman"/>
                <w:b/>
                <w:bCs/>
                <w:kern w:val="0"/>
                <w:sz w:val="21"/>
                <w:szCs w:val="21"/>
              </w:rPr>
              <w:t>污染物排放速率（</w:t>
            </w:r>
            <w:r>
              <w:rPr>
                <w:rFonts w:cs="Times New Roman"/>
                <w:b/>
                <w:bCs/>
                <w:spacing w:val="1"/>
                <w:kern w:val="0"/>
                <w:sz w:val="21"/>
                <w:szCs w:val="21"/>
              </w:rPr>
              <w:t>kg</w:t>
            </w:r>
            <w:r>
              <w:rPr>
                <w:rFonts w:cs="Times New Roman"/>
                <w:b/>
                <w:bCs/>
                <w:spacing w:val="-1"/>
                <w:kern w:val="0"/>
                <w:sz w:val="21"/>
                <w:szCs w:val="21"/>
              </w:rPr>
              <w:t>/</w:t>
            </w:r>
            <w:r>
              <w:rPr>
                <w:rFonts w:cs="Times New Roman"/>
                <w:b/>
                <w:bCs/>
                <w:spacing w:val="1"/>
                <w:kern w:val="0"/>
                <w:sz w:val="21"/>
                <w:szCs w:val="21"/>
              </w:rPr>
              <w:t>h</w:t>
            </w:r>
            <w:r>
              <w:rPr>
                <w:rFonts w:cs="Times New Roman"/>
                <w:b/>
                <w:bCs/>
                <w:kern w:val="0"/>
                <w:sz w:val="21"/>
                <w:szCs w:val="21"/>
              </w:rPr>
              <w:t>）</w:t>
            </w:r>
          </w:p>
        </w:tc>
      </w:tr>
      <w:tr w14:paraId="7AEED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trPr>
        <w:tc>
          <w:tcPr>
            <w:tcW w:w="263" w:type="pct"/>
            <w:vMerge w:val="continue"/>
            <w:vAlign w:val="center"/>
          </w:tcPr>
          <w:p w14:paraId="3D39A422">
            <w:pPr>
              <w:snapToGrid w:val="0"/>
              <w:spacing w:line="240" w:lineRule="auto"/>
              <w:ind w:firstLine="0" w:firstLineChars="0"/>
              <w:jc w:val="center"/>
              <w:rPr>
                <w:rFonts w:cs="Times New Roman"/>
                <w:b/>
                <w:bCs/>
                <w:kern w:val="0"/>
                <w:sz w:val="21"/>
                <w:szCs w:val="21"/>
              </w:rPr>
            </w:pPr>
          </w:p>
        </w:tc>
        <w:tc>
          <w:tcPr>
            <w:tcW w:w="620" w:type="pct"/>
            <w:vMerge w:val="continue"/>
            <w:vAlign w:val="center"/>
          </w:tcPr>
          <w:p w14:paraId="54AA33C8">
            <w:pPr>
              <w:snapToGrid w:val="0"/>
              <w:spacing w:line="240" w:lineRule="auto"/>
              <w:ind w:firstLine="0" w:firstLineChars="0"/>
              <w:jc w:val="center"/>
              <w:rPr>
                <w:rFonts w:cs="Times New Roman"/>
                <w:b/>
                <w:bCs/>
                <w:kern w:val="0"/>
                <w:sz w:val="21"/>
                <w:szCs w:val="21"/>
              </w:rPr>
            </w:pPr>
          </w:p>
        </w:tc>
        <w:tc>
          <w:tcPr>
            <w:tcW w:w="392" w:type="pct"/>
            <w:vMerge w:val="continue"/>
            <w:vAlign w:val="center"/>
          </w:tcPr>
          <w:p w14:paraId="1ACA0CFD">
            <w:pPr>
              <w:snapToGrid w:val="0"/>
              <w:spacing w:line="240" w:lineRule="auto"/>
              <w:ind w:firstLine="0" w:firstLineChars="0"/>
              <w:jc w:val="center"/>
              <w:rPr>
                <w:rFonts w:cs="Times New Roman"/>
                <w:b/>
                <w:bCs/>
                <w:kern w:val="0"/>
                <w:sz w:val="21"/>
                <w:szCs w:val="21"/>
              </w:rPr>
            </w:pPr>
          </w:p>
        </w:tc>
        <w:tc>
          <w:tcPr>
            <w:tcW w:w="802" w:type="pct"/>
            <w:vMerge w:val="continue"/>
            <w:vAlign w:val="center"/>
          </w:tcPr>
          <w:p w14:paraId="13C632D0">
            <w:pPr>
              <w:snapToGrid w:val="0"/>
              <w:spacing w:line="240" w:lineRule="auto"/>
              <w:ind w:firstLine="0" w:firstLineChars="0"/>
              <w:jc w:val="center"/>
              <w:rPr>
                <w:rFonts w:cs="Times New Roman"/>
                <w:b/>
                <w:bCs/>
                <w:kern w:val="0"/>
                <w:sz w:val="21"/>
                <w:szCs w:val="21"/>
              </w:rPr>
            </w:pPr>
          </w:p>
        </w:tc>
        <w:tc>
          <w:tcPr>
            <w:tcW w:w="333" w:type="pct"/>
            <w:vAlign w:val="center"/>
          </w:tcPr>
          <w:p w14:paraId="7BD801BE">
            <w:pPr>
              <w:autoSpaceDE w:val="0"/>
              <w:autoSpaceDN w:val="0"/>
              <w:snapToGrid w:val="0"/>
              <w:spacing w:line="240" w:lineRule="auto"/>
              <w:ind w:firstLine="0" w:firstLineChars="0"/>
              <w:jc w:val="center"/>
              <w:rPr>
                <w:rFonts w:cs="Times New Roman"/>
                <w:b/>
                <w:bCs/>
                <w:kern w:val="0"/>
                <w:sz w:val="21"/>
                <w:szCs w:val="21"/>
              </w:rPr>
            </w:pPr>
            <w:r>
              <w:rPr>
                <w:rFonts w:cs="Times New Roman"/>
                <w:b/>
                <w:bCs/>
                <w:kern w:val="0"/>
                <w:sz w:val="21"/>
                <w:szCs w:val="21"/>
              </w:rPr>
              <w:t>高度</w:t>
            </w:r>
            <w:r>
              <w:rPr>
                <w:rFonts w:cs="Times New Roman"/>
                <w:b/>
                <w:bCs/>
                <w:spacing w:val="1"/>
                <w:kern w:val="0"/>
                <w:sz w:val="21"/>
                <w:szCs w:val="21"/>
              </w:rPr>
              <w:t>[</w:t>
            </w:r>
            <w:r>
              <w:rPr>
                <w:rFonts w:cs="Times New Roman"/>
                <w:b/>
                <w:bCs/>
                <w:spacing w:val="-1"/>
                <w:kern w:val="0"/>
                <w:sz w:val="21"/>
                <w:szCs w:val="21"/>
              </w:rPr>
              <w:t>m</w:t>
            </w:r>
            <w:r>
              <w:rPr>
                <w:rFonts w:cs="Times New Roman"/>
                <w:b/>
                <w:bCs/>
                <w:kern w:val="0"/>
                <w:sz w:val="21"/>
                <w:szCs w:val="21"/>
              </w:rPr>
              <w:t>]</w:t>
            </w:r>
          </w:p>
        </w:tc>
        <w:tc>
          <w:tcPr>
            <w:tcW w:w="367" w:type="pct"/>
            <w:vAlign w:val="center"/>
          </w:tcPr>
          <w:p w14:paraId="2F06D170">
            <w:pPr>
              <w:autoSpaceDE w:val="0"/>
              <w:autoSpaceDN w:val="0"/>
              <w:snapToGrid w:val="0"/>
              <w:spacing w:line="240" w:lineRule="auto"/>
              <w:ind w:firstLine="0" w:firstLineChars="0"/>
              <w:jc w:val="center"/>
              <w:rPr>
                <w:rFonts w:cs="Times New Roman"/>
                <w:b/>
                <w:bCs/>
                <w:kern w:val="0"/>
                <w:sz w:val="21"/>
                <w:szCs w:val="21"/>
              </w:rPr>
            </w:pPr>
            <w:r>
              <w:rPr>
                <w:rFonts w:cs="Times New Roman"/>
                <w:b/>
                <w:bCs/>
                <w:kern w:val="0"/>
                <w:sz w:val="21"/>
                <w:szCs w:val="21"/>
              </w:rPr>
              <w:t>内径</w:t>
            </w:r>
            <w:r>
              <w:rPr>
                <w:rFonts w:cs="Times New Roman"/>
                <w:b/>
                <w:bCs/>
                <w:spacing w:val="1"/>
                <w:kern w:val="0"/>
                <w:sz w:val="21"/>
                <w:szCs w:val="21"/>
              </w:rPr>
              <w:t>[</w:t>
            </w:r>
            <w:r>
              <w:rPr>
                <w:rFonts w:cs="Times New Roman"/>
                <w:b/>
                <w:bCs/>
                <w:spacing w:val="-1"/>
                <w:kern w:val="0"/>
                <w:sz w:val="21"/>
                <w:szCs w:val="21"/>
              </w:rPr>
              <w:t>m</w:t>
            </w:r>
            <w:r>
              <w:rPr>
                <w:rFonts w:cs="Times New Roman"/>
                <w:b/>
                <w:bCs/>
                <w:kern w:val="0"/>
                <w:sz w:val="21"/>
                <w:szCs w:val="21"/>
              </w:rPr>
              <w:t>]</w:t>
            </w:r>
          </w:p>
        </w:tc>
        <w:tc>
          <w:tcPr>
            <w:tcW w:w="350" w:type="pct"/>
            <w:vAlign w:val="center"/>
          </w:tcPr>
          <w:p w14:paraId="0C009D65">
            <w:pPr>
              <w:autoSpaceDE w:val="0"/>
              <w:autoSpaceDN w:val="0"/>
              <w:snapToGrid w:val="0"/>
              <w:spacing w:line="240" w:lineRule="auto"/>
              <w:ind w:firstLine="0" w:firstLineChars="0"/>
              <w:jc w:val="center"/>
              <w:rPr>
                <w:rFonts w:cs="Times New Roman"/>
                <w:b/>
                <w:bCs/>
                <w:kern w:val="0"/>
                <w:sz w:val="21"/>
                <w:szCs w:val="21"/>
              </w:rPr>
            </w:pPr>
            <w:r>
              <w:rPr>
                <w:rFonts w:cs="Times New Roman"/>
                <w:b/>
                <w:bCs/>
                <w:kern w:val="0"/>
                <w:sz w:val="21"/>
                <w:szCs w:val="21"/>
              </w:rPr>
              <w:t>温度</w:t>
            </w:r>
            <w:r>
              <w:rPr>
                <w:rFonts w:cs="Times New Roman"/>
                <w:b/>
                <w:bCs/>
                <w:spacing w:val="1"/>
                <w:kern w:val="0"/>
                <w:sz w:val="21"/>
                <w:szCs w:val="21"/>
              </w:rPr>
              <w:t>[</w:t>
            </w:r>
            <w:r>
              <w:rPr>
                <w:rFonts w:cs="Times New Roman"/>
                <w:b/>
                <w:bCs/>
                <w:kern w:val="0"/>
                <w:sz w:val="21"/>
                <w:szCs w:val="21"/>
              </w:rPr>
              <w:t>℃]</w:t>
            </w:r>
          </w:p>
        </w:tc>
        <w:tc>
          <w:tcPr>
            <w:tcW w:w="499" w:type="pct"/>
            <w:vAlign w:val="center"/>
          </w:tcPr>
          <w:p w14:paraId="63C0C0A3">
            <w:pPr>
              <w:autoSpaceDE w:val="0"/>
              <w:autoSpaceDN w:val="0"/>
              <w:snapToGrid w:val="0"/>
              <w:spacing w:line="240" w:lineRule="auto"/>
              <w:ind w:firstLine="0" w:firstLineChars="0"/>
              <w:jc w:val="center"/>
              <w:rPr>
                <w:rFonts w:cs="Times New Roman"/>
                <w:b/>
                <w:bCs/>
                <w:kern w:val="0"/>
                <w:sz w:val="21"/>
                <w:szCs w:val="21"/>
              </w:rPr>
            </w:pPr>
            <w:r>
              <w:rPr>
                <w:rFonts w:cs="Times New Roman"/>
                <w:b/>
                <w:bCs/>
                <w:kern w:val="0"/>
                <w:sz w:val="21"/>
                <w:szCs w:val="21"/>
              </w:rPr>
              <w:t>排气量</w:t>
            </w:r>
          </w:p>
        </w:tc>
        <w:tc>
          <w:tcPr>
            <w:tcW w:w="316" w:type="pct"/>
            <w:vAlign w:val="center"/>
          </w:tcPr>
          <w:p w14:paraId="24701980">
            <w:pPr>
              <w:autoSpaceDE w:val="0"/>
              <w:autoSpaceDN w:val="0"/>
              <w:snapToGrid w:val="0"/>
              <w:spacing w:line="240" w:lineRule="auto"/>
              <w:ind w:firstLine="0" w:firstLineChars="0"/>
              <w:jc w:val="center"/>
              <w:rPr>
                <w:rFonts w:cs="Times New Roman"/>
                <w:b/>
                <w:bCs/>
                <w:kern w:val="0"/>
                <w:sz w:val="21"/>
                <w:szCs w:val="21"/>
              </w:rPr>
            </w:pPr>
            <w:r>
              <w:rPr>
                <w:rFonts w:hint="eastAsia" w:cs="Times New Roman"/>
                <w:b/>
                <w:bCs/>
                <w:kern w:val="0"/>
                <w:sz w:val="21"/>
                <w:szCs w:val="21"/>
              </w:rPr>
              <w:t>HCl</w:t>
            </w:r>
          </w:p>
        </w:tc>
        <w:tc>
          <w:tcPr>
            <w:tcW w:w="404" w:type="pct"/>
            <w:vAlign w:val="center"/>
          </w:tcPr>
          <w:p w14:paraId="612AABF1">
            <w:pPr>
              <w:autoSpaceDE w:val="0"/>
              <w:autoSpaceDN w:val="0"/>
              <w:snapToGrid w:val="0"/>
              <w:spacing w:line="240" w:lineRule="auto"/>
              <w:ind w:firstLine="0" w:firstLineChars="0"/>
              <w:jc w:val="center"/>
              <w:rPr>
                <w:rFonts w:cs="Times New Roman"/>
                <w:b/>
                <w:bCs/>
                <w:kern w:val="0"/>
                <w:sz w:val="21"/>
                <w:szCs w:val="21"/>
              </w:rPr>
            </w:pPr>
            <w:r>
              <w:rPr>
                <w:rFonts w:hint="eastAsia" w:cs="Times New Roman"/>
                <w:b/>
                <w:bCs/>
                <w:kern w:val="0"/>
                <w:sz w:val="21"/>
                <w:szCs w:val="21"/>
              </w:rPr>
              <w:t>氯气</w:t>
            </w:r>
          </w:p>
        </w:tc>
        <w:tc>
          <w:tcPr>
            <w:tcW w:w="651" w:type="pct"/>
            <w:vAlign w:val="center"/>
          </w:tcPr>
          <w:p w14:paraId="061C1293">
            <w:pPr>
              <w:autoSpaceDE w:val="0"/>
              <w:autoSpaceDN w:val="0"/>
              <w:snapToGrid w:val="0"/>
              <w:spacing w:line="240" w:lineRule="auto"/>
              <w:ind w:firstLine="0" w:firstLineChars="0"/>
              <w:jc w:val="center"/>
              <w:rPr>
                <w:rFonts w:cs="Times New Roman"/>
                <w:b/>
                <w:bCs/>
                <w:kern w:val="0"/>
                <w:sz w:val="21"/>
                <w:szCs w:val="21"/>
              </w:rPr>
            </w:pPr>
            <w:r>
              <w:rPr>
                <w:rFonts w:hint="eastAsia" w:cs="Times New Roman"/>
                <w:b/>
                <w:bCs/>
                <w:kern w:val="0"/>
                <w:sz w:val="21"/>
                <w:szCs w:val="21"/>
              </w:rPr>
              <w:t>颗粒物</w:t>
            </w:r>
          </w:p>
        </w:tc>
      </w:tr>
      <w:tr w14:paraId="49E44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63" w:type="pct"/>
            <w:vAlign w:val="center"/>
          </w:tcPr>
          <w:p w14:paraId="7CAEEABB">
            <w:pPr>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1</w:t>
            </w:r>
          </w:p>
        </w:tc>
        <w:tc>
          <w:tcPr>
            <w:tcW w:w="620" w:type="pct"/>
            <w:vAlign w:val="center"/>
          </w:tcPr>
          <w:p w14:paraId="6D10F1FD">
            <w:pPr>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衡阳市铖昱锌品有限责任公司</w:t>
            </w:r>
          </w:p>
        </w:tc>
        <w:tc>
          <w:tcPr>
            <w:tcW w:w="392" w:type="pct"/>
            <w:vAlign w:val="center"/>
          </w:tcPr>
          <w:p w14:paraId="0D6B2EBC">
            <w:pPr>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点源</w:t>
            </w:r>
          </w:p>
        </w:tc>
        <w:tc>
          <w:tcPr>
            <w:tcW w:w="802" w:type="pct"/>
            <w:vAlign w:val="center"/>
          </w:tcPr>
          <w:p w14:paraId="6A7040CE">
            <w:pPr>
              <w:snapToGrid w:val="0"/>
              <w:spacing w:line="240" w:lineRule="auto"/>
              <w:ind w:firstLine="0" w:firstLineChars="0"/>
              <w:jc w:val="center"/>
              <w:rPr>
                <w:rFonts w:cs="Times New Roman"/>
                <w:kern w:val="0"/>
                <w:sz w:val="21"/>
                <w:szCs w:val="21"/>
              </w:rPr>
            </w:pPr>
            <w:r>
              <w:rPr>
                <w:rFonts w:hint="eastAsia" w:cs="Times New Roman"/>
                <w:kern w:val="0"/>
                <w:sz w:val="21"/>
                <w:szCs w:val="21"/>
              </w:rPr>
              <w:t>回转窑焙烧废气</w:t>
            </w:r>
          </w:p>
        </w:tc>
        <w:tc>
          <w:tcPr>
            <w:tcW w:w="333" w:type="pct"/>
            <w:vAlign w:val="center"/>
          </w:tcPr>
          <w:p w14:paraId="59A7C79F">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30</w:t>
            </w:r>
          </w:p>
        </w:tc>
        <w:tc>
          <w:tcPr>
            <w:tcW w:w="367" w:type="pct"/>
            <w:vAlign w:val="center"/>
          </w:tcPr>
          <w:p w14:paraId="7B5E7E53">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1.2</w:t>
            </w:r>
          </w:p>
        </w:tc>
        <w:tc>
          <w:tcPr>
            <w:tcW w:w="350" w:type="pct"/>
            <w:vAlign w:val="center"/>
          </w:tcPr>
          <w:p w14:paraId="1A1F2194">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50</w:t>
            </w:r>
          </w:p>
        </w:tc>
        <w:tc>
          <w:tcPr>
            <w:tcW w:w="499" w:type="pct"/>
            <w:vAlign w:val="center"/>
          </w:tcPr>
          <w:p w14:paraId="201504E3">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40000</w:t>
            </w:r>
          </w:p>
        </w:tc>
        <w:tc>
          <w:tcPr>
            <w:tcW w:w="316" w:type="pct"/>
            <w:vAlign w:val="center"/>
          </w:tcPr>
          <w:p w14:paraId="23BC5F73">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04" w:type="pct"/>
            <w:vAlign w:val="center"/>
          </w:tcPr>
          <w:p w14:paraId="6FF4167C">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651" w:type="pct"/>
            <w:vAlign w:val="center"/>
          </w:tcPr>
          <w:p w14:paraId="3FD36B04">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0.345</w:t>
            </w:r>
          </w:p>
        </w:tc>
      </w:tr>
      <w:tr w14:paraId="4CAEA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63" w:type="pct"/>
            <w:vMerge w:val="restart"/>
            <w:vAlign w:val="center"/>
          </w:tcPr>
          <w:p w14:paraId="2EC61239">
            <w:pPr>
              <w:snapToGrid w:val="0"/>
              <w:spacing w:line="240" w:lineRule="auto"/>
              <w:ind w:firstLine="0" w:firstLineChars="0"/>
              <w:jc w:val="center"/>
              <w:rPr>
                <w:rFonts w:cs="Times New Roman"/>
                <w:kern w:val="0"/>
                <w:sz w:val="21"/>
                <w:szCs w:val="21"/>
              </w:rPr>
            </w:pPr>
            <w:r>
              <w:rPr>
                <w:rFonts w:hint="eastAsia" w:cs="Times New Roman"/>
                <w:kern w:val="0"/>
                <w:sz w:val="21"/>
                <w:szCs w:val="21"/>
              </w:rPr>
              <w:t>2</w:t>
            </w:r>
          </w:p>
        </w:tc>
        <w:tc>
          <w:tcPr>
            <w:tcW w:w="620" w:type="pct"/>
            <w:vMerge w:val="restart"/>
            <w:vAlign w:val="center"/>
          </w:tcPr>
          <w:p w14:paraId="6D2ECF28">
            <w:pPr>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湖南恒光化工有限公司</w:t>
            </w:r>
          </w:p>
        </w:tc>
        <w:tc>
          <w:tcPr>
            <w:tcW w:w="392" w:type="pct"/>
            <w:vAlign w:val="center"/>
          </w:tcPr>
          <w:p w14:paraId="585DF465">
            <w:pPr>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点源</w:t>
            </w:r>
          </w:p>
        </w:tc>
        <w:tc>
          <w:tcPr>
            <w:tcW w:w="802" w:type="pct"/>
            <w:vAlign w:val="center"/>
          </w:tcPr>
          <w:p w14:paraId="3223FB6A">
            <w:pPr>
              <w:widowControl/>
              <w:snapToGrid w:val="0"/>
              <w:spacing w:line="240" w:lineRule="auto"/>
              <w:ind w:firstLine="0" w:firstLineChars="0"/>
              <w:jc w:val="center"/>
              <w:rPr>
                <w:rFonts w:cs="Times New Roman"/>
                <w:kern w:val="0"/>
                <w:sz w:val="21"/>
                <w:szCs w:val="21"/>
              </w:rPr>
            </w:pPr>
            <w:r>
              <w:rPr>
                <w:rFonts w:cs="Times New Roman"/>
                <w:kern w:val="0"/>
                <w:sz w:val="21"/>
                <w:szCs w:val="21"/>
              </w:rPr>
              <w:t>1</w:t>
            </w:r>
            <w:r>
              <w:rPr>
                <w:rFonts w:cs="Times New Roman"/>
                <w:kern w:val="0"/>
                <w:sz w:val="21"/>
                <w:szCs w:val="21"/>
                <w:vertAlign w:val="superscript"/>
              </w:rPr>
              <w:t>#</w:t>
            </w:r>
            <w:r>
              <w:rPr>
                <w:rFonts w:cs="Times New Roman"/>
                <w:kern w:val="0"/>
                <w:sz w:val="21"/>
                <w:szCs w:val="21"/>
              </w:rPr>
              <w:t>排气筒</w:t>
            </w:r>
          </w:p>
          <w:p w14:paraId="5717631D">
            <w:pPr>
              <w:widowControl/>
              <w:snapToGrid w:val="0"/>
              <w:spacing w:line="240" w:lineRule="auto"/>
              <w:ind w:firstLine="0" w:firstLineChars="0"/>
              <w:jc w:val="center"/>
              <w:rPr>
                <w:rFonts w:cs="Times New Roman"/>
                <w:kern w:val="0"/>
                <w:sz w:val="21"/>
                <w:szCs w:val="21"/>
              </w:rPr>
            </w:pPr>
            <w:r>
              <w:rPr>
                <w:rFonts w:cs="Times New Roman"/>
                <w:kern w:val="0"/>
                <w:sz w:val="21"/>
                <w:szCs w:val="21"/>
              </w:rPr>
              <w:t>（氨基磺酸生产装置洗涤废气）</w:t>
            </w:r>
          </w:p>
        </w:tc>
        <w:tc>
          <w:tcPr>
            <w:tcW w:w="333" w:type="pct"/>
            <w:vAlign w:val="center"/>
          </w:tcPr>
          <w:p w14:paraId="0BE4EC8E">
            <w:pPr>
              <w:widowControl/>
              <w:snapToGrid w:val="0"/>
              <w:spacing w:line="240" w:lineRule="auto"/>
              <w:ind w:firstLine="0" w:firstLineChars="0"/>
              <w:jc w:val="center"/>
              <w:rPr>
                <w:rFonts w:cs="Times New Roman"/>
                <w:kern w:val="0"/>
                <w:sz w:val="21"/>
                <w:szCs w:val="21"/>
              </w:rPr>
            </w:pPr>
            <w:r>
              <w:rPr>
                <w:rFonts w:cs="Times New Roman"/>
                <w:kern w:val="0"/>
                <w:sz w:val="21"/>
                <w:szCs w:val="21"/>
              </w:rPr>
              <w:t>25.00</w:t>
            </w:r>
          </w:p>
        </w:tc>
        <w:tc>
          <w:tcPr>
            <w:tcW w:w="367" w:type="pct"/>
            <w:vAlign w:val="center"/>
          </w:tcPr>
          <w:p w14:paraId="6446FCB2">
            <w:pPr>
              <w:widowControl/>
              <w:snapToGrid w:val="0"/>
              <w:spacing w:line="240" w:lineRule="auto"/>
              <w:ind w:firstLine="0" w:firstLineChars="0"/>
              <w:jc w:val="center"/>
              <w:rPr>
                <w:rFonts w:cs="Times New Roman"/>
                <w:kern w:val="0"/>
                <w:sz w:val="21"/>
                <w:szCs w:val="21"/>
              </w:rPr>
            </w:pPr>
            <w:r>
              <w:rPr>
                <w:rFonts w:cs="Times New Roman"/>
                <w:kern w:val="0"/>
                <w:sz w:val="21"/>
                <w:szCs w:val="21"/>
              </w:rPr>
              <w:t>1.2</w:t>
            </w:r>
          </w:p>
        </w:tc>
        <w:tc>
          <w:tcPr>
            <w:tcW w:w="350" w:type="pct"/>
            <w:vAlign w:val="center"/>
          </w:tcPr>
          <w:p w14:paraId="5FF7B7F4">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25</w:t>
            </w:r>
          </w:p>
        </w:tc>
        <w:tc>
          <w:tcPr>
            <w:tcW w:w="499" w:type="pct"/>
            <w:vAlign w:val="center"/>
          </w:tcPr>
          <w:p w14:paraId="5F1112AA">
            <w:pPr>
              <w:widowControl/>
              <w:snapToGrid w:val="0"/>
              <w:spacing w:beforeLines="10" w:afterLines="10" w:line="240" w:lineRule="auto"/>
              <w:ind w:left="-72" w:leftChars="-30" w:right="-72" w:rightChars="-30" w:firstLine="0" w:firstLineChars="0"/>
              <w:contextualSpacing/>
              <w:jc w:val="center"/>
              <w:rPr>
                <w:rFonts w:cs="Times New Roman"/>
                <w:kern w:val="0"/>
                <w:sz w:val="21"/>
                <w:szCs w:val="21"/>
              </w:rPr>
            </w:pPr>
            <w:r>
              <w:rPr>
                <w:rFonts w:cs="Times New Roman"/>
                <w:sz w:val="21"/>
                <w:szCs w:val="21"/>
              </w:rPr>
              <w:t>54000</w:t>
            </w:r>
          </w:p>
        </w:tc>
        <w:tc>
          <w:tcPr>
            <w:tcW w:w="316" w:type="pct"/>
            <w:vAlign w:val="center"/>
          </w:tcPr>
          <w:p w14:paraId="48A6B0BD">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04" w:type="pct"/>
            <w:vAlign w:val="center"/>
          </w:tcPr>
          <w:p w14:paraId="109432CF">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651" w:type="pct"/>
            <w:vAlign w:val="center"/>
          </w:tcPr>
          <w:p w14:paraId="690D9622">
            <w:pPr>
              <w:widowControl/>
              <w:snapToGrid w:val="0"/>
              <w:spacing w:beforeLines="10" w:afterLines="10" w:line="240" w:lineRule="auto"/>
              <w:ind w:left="-72" w:leftChars="-30" w:right="-72" w:rightChars="-30" w:firstLine="0" w:firstLineChars="0"/>
              <w:contextualSpacing/>
              <w:jc w:val="center"/>
              <w:rPr>
                <w:rFonts w:cs="Times New Roman"/>
                <w:kern w:val="0"/>
                <w:sz w:val="21"/>
                <w:szCs w:val="21"/>
              </w:rPr>
            </w:pPr>
            <w:r>
              <w:rPr>
                <w:rFonts w:cs="Times New Roman"/>
                <w:kern w:val="0"/>
                <w:sz w:val="21"/>
                <w:szCs w:val="21"/>
              </w:rPr>
              <w:t>0.075</w:t>
            </w:r>
          </w:p>
        </w:tc>
      </w:tr>
      <w:tr w14:paraId="61237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63" w:type="pct"/>
            <w:vMerge w:val="continue"/>
            <w:vAlign w:val="center"/>
          </w:tcPr>
          <w:p w14:paraId="735CAC21">
            <w:pPr>
              <w:snapToGrid w:val="0"/>
              <w:spacing w:line="240" w:lineRule="auto"/>
              <w:ind w:firstLine="0" w:firstLineChars="0"/>
              <w:jc w:val="center"/>
              <w:rPr>
                <w:rFonts w:cs="Times New Roman"/>
                <w:kern w:val="0"/>
                <w:sz w:val="21"/>
                <w:szCs w:val="21"/>
                <w:lang w:val="zh-CN"/>
              </w:rPr>
            </w:pPr>
          </w:p>
        </w:tc>
        <w:tc>
          <w:tcPr>
            <w:tcW w:w="620" w:type="pct"/>
            <w:vMerge w:val="continue"/>
            <w:vAlign w:val="center"/>
          </w:tcPr>
          <w:p w14:paraId="2A0DD38E">
            <w:pPr>
              <w:snapToGrid w:val="0"/>
              <w:spacing w:line="240" w:lineRule="auto"/>
              <w:ind w:firstLine="0" w:firstLineChars="0"/>
              <w:jc w:val="center"/>
              <w:rPr>
                <w:rFonts w:cs="Times New Roman"/>
                <w:kern w:val="0"/>
                <w:sz w:val="21"/>
                <w:szCs w:val="21"/>
                <w:lang w:val="zh-CN"/>
              </w:rPr>
            </w:pPr>
          </w:p>
        </w:tc>
        <w:tc>
          <w:tcPr>
            <w:tcW w:w="392" w:type="pct"/>
            <w:vAlign w:val="center"/>
          </w:tcPr>
          <w:p w14:paraId="18766411">
            <w:pPr>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点源</w:t>
            </w:r>
          </w:p>
        </w:tc>
        <w:tc>
          <w:tcPr>
            <w:tcW w:w="802" w:type="pct"/>
            <w:vAlign w:val="center"/>
          </w:tcPr>
          <w:p w14:paraId="4EB635D8">
            <w:pPr>
              <w:widowControl/>
              <w:snapToGrid w:val="0"/>
              <w:spacing w:line="240" w:lineRule="auto"/>
              <w:ind w:firstLine="0" w:firstLineChars="0"/>
              <w:jc w:val="center"/>
              <w:rPr>
                <w:rFonts w:cs="Times New Roman"/>
                <w:kern w:val="0"/>
                <w:sz w:val="21"/>
                <w:szCs w:val="21"/>
              </w:rPr>
            </w:pPr>
            <w:r>
              <w:rPr>
                <w:rFonts w:cs="Times New Roman"/>
                <w:kern w:val="0"/>
                <w:sz w:val="21"/>
                <w:szCs w:val="21"/>
              </w:rPr>
              <w:t>2</w:t>
            </w:r>
            <w:r>
              <w:rPr>
                <w:rFonts w:cs="Times New Roman"/>
                <w:kern w:val="0"/>
                <w:sz w:val="21"/>
                <w:szCs w:val="21"/>
                <w:vertAlign w:val="superscript"/>
              </w:rPr>
              <w:t>#</w:t>
            </w:r>
            <w:r>
              <w:rPr>
                <w:rFonts w:cs="Times New Roman"/>
                <w:kern w:val="0"/>
                <w:sz w:val="21"/>
                <w:szCs w:val="21"/>
              </w:rPr>
              <w:t>排气筒</w:t>
            </w:r>
          </w:p>
          <w:p w14:paraId="4884D115">
            <w:pPr>
              <w:widowControl/>
              <w:snapToGrid w:val="0"/>
              <w:spacing w:line="240" w:lineRule="auto"/>
              <w:ind w:firstLine="0" w:firstLineChars="0"/>
              <w:jc w:val="center"/>
              <w:rPr>
                <w:rFonts w:cs="Times New Roman"/>
                <w:kern w:val="0"/>
                <w:sz w:val="21"/>
                <w:szCs w:val="21"/>
              </w:rPr>
            </w:pPr>
            <w:r>
              <w:rPr>
                <w:rFonts w:cs="Times New Roman"/>
                <w:kern w:val="0"/>
                <w:sz w:val="21"/>
                <w:szCs w:val="21"/>
              </w:rPr>
              <w:t>（硫酸镁生产装置反应废气）</w:t>
            </w:r>
          </w:p>
        </w:tc>
        <w:tc>
          <w:tcPr>
            <w:tcW w:w="333" w:type="pct"/>
            <w:vAlign w:val="center"/>
          </w:tcPr>
          <w:p w14:paraId="68847B07">
            <w:pPr>
              <w:widowControl/>
              <w:snapToGrid w:val="0"/>
              <w:spacing w:line="240" w:lineRule="auto"/>
              <w:ind w:firstLine="0" w:firstLineChars="0"/>
              <w:jc w:val="center"/>
              <w:rPr>
                <w:rFonts w:cs="Times New Roman"/>
                <w:kern w:val="0"/>
                <w:sz w:val="21"/>
                <w:szCs w:val="21"/>
              </w:rPr>
            </w:pPr>
            <w:r>
              <w:rPr>
                <w:rFonts w:cs="Times New Roman"/>
                <w:kern w:val="0"/>
                <w:sz w:val="21"/>
                <w:szCs w:val="21"/>
              </w:rPr>
              <w:t>20.00</w:t>
            </w:r>
          </w:p>
        </w:tc>
        <w:tc>
          <w:tcPr>
            <w:tcW w:w="367" w:type="pct"/>
            <w:vAlign w:val="center"/>
          </w:tcPr>
          <w:p w14:paraId="2135E583">
            <w:pPr>
              <w:widowControl/>
              <w:snapToGrid w:val="0"/>
              <w:spacing w:line="240" w:lineRule="auto"/>
              <w:ind w:firstLine="0" w:firstLineChars="0"/>
              <w:jc w:val="center"/>
              <w:rPr>
                <w:rFonts w:cs="Times New Roman"/>
                <w:kern w:val="0"/>
                <w:sz w:val="21"/>
                <w:szCs w:val="21"/>
              </w:rPr>
            </w:pPr>
            <w:r>
              <w:rPr>
                <w:rFonts w:cs="Times New Roman"/>
                <w:kern w:val="0"/>
                <w:sz w:val="21"/>
                <w:szCs w:val="21"/>
              </w:rPr>
              <w:t>0.8</w:t>
            </w:r>
          </w:p>
        </w:tc>
        <w:tc>
          <w:tcPr>
            <w:tcW w:w="350" w:type="pct"/>
            <w:vAlign w:val="center"/>
          </w:tcPr>
          <w:p w14:paraId="46BC578E">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25</w:t>
            </w:r>
          </w:p>
        </w:tc>
        <w:tc>
          <w:tcPr>
            <w:tcW w:w="499" w:type="pct"/>
            <w:vAlign w:val="center"/>
          </w:tcPr>
          <w:p w14:paraId="70A03AAC">
            <w:pPr>
              <w:widowControl/>
              <w:snapToGrid w:val="0"/>
              <w:spacing w:beforeLines="10" w:afterLines="10" w:line="240" w:lineRule="auto"/>
              <w:ind w:left="-72" w:leftChars="-30" w:right="-72" w:rightChars="-30" w:firstLine="0" w:firstLineChars="0"/>
              <w:contextualSpacing/>
              <w:jc w:val="center"/>
              <w:rPr>
                <w:rFonts w:cs="Times New Roman"/>
                <w:kern w:val="0"/>
                <w:sz w:val="21"/>
                <w:szCs w:val="21"/>
              </w:rPr>
            </w:pPr>
            <w:r>
              <w:rPr>
                <w:rFonts w:cs="Times New Roman"/>
                <w:sz w:val="21"/>
                <w:szCs w:val="21"/>
              </w:rPr>
              <w:t>15000</w:t>
            </w:r>
          </w:p>
        </w:tc>
        <w:tc>
          <w:tcPr>
            <w:tcW w:w="316" w:type="pct"/>
            <w:vAlign w:val="center"/>
          </w:tcPr>
          <w:p w14:paraId="4389485E">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04" w:type="pct"/>
            <w:vAlign w:val="center"/>
          </w:tcPr>
          <w:p w14:paraId="60D7AA4A">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651" w:type="pct"/>
            <w:vAlign w:val="center"/>
          </w:tcPr>
          <w:p w14:paraId="188463F6">
            <w:pPr>
              <w:widowControl/>
              <w:snapToGrid w:val="0"/>
              <w:spacing w:beforeLines="10" w:afterLines="10" w:line="240" w:lineRule="auto"/>
              <w:ind w:left="-72" w:leftChars="-30" w:right="-72" w:rightChars="-30" w:firstLine="0" w:firstLineChars="0"/>
              <w:contextualSpacing/>
              <w:jc w:val="center"/>
              <w:rPr>
                <w:rFonts w:cs="Times New Roman"/>
                <w:kern w:val="0"/>
                <w:sz w:val="21"/>
                <w:szCs w:val="21"/>
              </w:rPr>
            </w:pPr>
            <w:r>
              <w:rPr>
                <w:rFonts w:cs="Times New Roman"/>
                <w:kern w:val="0"/>
                <w:sz w:val="21"/>
                <w:szCs w:val="21"/>
              </w:rPr>
              <w:t>0.028</w:t>
            </w:r>
          </w:p>
        </w:tc>
      </w:tr>
      <w:tr w14:paraId="0C2CB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63" w:type="pct"/>
            <w:vMerge w:val="continue"/>
            <w:vAlign w:val="center"/>
          </w:tcPr>
          <w:p w14:paraId="614B1D10">
            <w:pPr>
              <w:snapToGrid w:val="0"/>
              <w:spacing w:line="240" w:lineRule="auto"/>
              <w:ind w:firstLine="0" w:firstLineChars="0"/>
              <w:jc w:val="center"/>
              <w:rPr>
                <w:rFonts w:cs="Times New Roman"/>
                <w:kern w:val="0"/>
                <w:sz w:val="21"/>
                <w:szCs w:val="21"/>
                <w:lang w:val="zh-CN"/>
              </w:rPr>
            </w:pPr>
          </w:p>
        </w:tc>
        <w:tc>
          <w:tcPr>
            <w:tcW w:w="620" w:type="pct"/>
            <w:vMerge w:val="continue"/>
            <w:vAlign w:val="center"/>
          </w:tcPr>
          <w:p w14:paraId="3D5E02FE">
            <w:pPr>
              <w:snapToGrid w:val="0"/>
              <w:spacing w:line="240" w:lineRule="auto"/>
              <w:ind w:firstLine="0" w:firstLineChars="0"/>
              <w:jc w:val="center"/>
              <w:rPr>
                <w:rFonts w:cs="Times New Roman"/>
                <w:kern w:val="0"/>
                <w:sz w:val="21"/>
                <w:szCs w:val="21"/>
                <w:lang w:val="zh-CN"/>
              </w:rPr>
            </w:pPr>
          </w:p>
        </w:tc>
        <w:tc>
          <w:tcPr>
            <w:tcW w:w="392" w:type="pct"/>
            <w:vAlign w:val="center"/>
          </w:tcPr>
          <w:p w14:paraId="7028B9C4">
            <w:pPr>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点源</w:t>
            </w:r>
          </w:p>
        </w:tc>
        <w:tc>
          <w:tcPr>
            <w:tcW w:w="802" w:type="pct"/>
            <w:vAlign w:val="center"/>
          </w:tcPr>
          <w:p w14:paraId="3B7983D1">
            <w:pPr>
              <w:widowControl/>
              <w:snapToGrid w:val="0"/>
              <w:spacing w:line="240" w:lineRule="auto"/>
              <w:ind w:firstLine="0" w:firstLineChars="0"/>
              <w:jc w:val="center"/>
              <w:rPr>
                <w:rFonts w:cs="Times New Roman"/>
                <w:kern w:val="0"/>
                <w:sz w:val="21"/>
                <w:szCs w:val="21"/>
              </w:rPr>
            </w:pPr>
            <w:r>
              <w:rPr>
                <w:rFonts w:cs="Times New Roman"/>
                <w:kern w:val="0"/>
                <w:sz w:val="21"/>
                <w:szCs w:val="21"/>
              </w:rPr>
              <w:t>3</w:t>
            </w:r>
            <w:r>
              <w:rPr>
                <w:rFonts w:cs="Times New Roman"/>
                <w:kern w:val="0"/>
                <w:sz w:val="21"/>
                <w:szCs w:val="21"/>
                <w:vertAlign w:val="superscript"/>
              </w:rPr>
              <w:t>#</w:t>
            </w:r>
            <w:r>
              <w:rPr>
                <w:rFonts w:cs="Times New Roman"/>
                <w:kern w:val="0"/>
                <w:sz w:val="21"/>
                <w:szCs w:val="21"/>
              </w:rPr>
              <w:t>排气筒</w:t>
            </w:r>
          </w:p>
          <w:p w14:paraId="5BA22C46">
            <w:pPr>
              <w:widowControl/>
              <w:snapToGrid w:val="0"/>
              <w:spacing w:line="240" w:lineRule="auto"/>
              <w:ind w:firstLine="0" w:firstLineChars="0"/>
              <w:jc w:val="center"/>
              <w:rPr>
                <w:rFonts w:cs="Times New Roman"/>
                <w:kern w:val="0"/>
                <w:sz w:val="21"/>
                <w:szCs w:val="21"/>
              </w:rPr>
            </w:pPr>
            <w:r>
              <w:rPr>
                <w:rFonts w:cs="Times New Roman"/>
                <w:kern w:val="0"/>
                <w:sz w:val="21"/>
                <w:szCs w:val="21"/>
              </w:rPr>
              <w:t>（硫酸镁生产装置干燥废气）</w:t>
            </w:r>
          </w:p>
        </w:tc>
        <w:tc>
          <w:tcPr>
            <w:tcW w:w="333" w:type="pct"/>
            <w:vAlign w:val="center"/>
          </w:tcPr>
          <w:p w14:paraId="09C898DD">
            <w:pPr>
              <w:widowControl/>
              <w:snapToGrid w:val="0"/>
              <w:spacing w:line="240" w:lineRule="auto"/>
              <w:ind w:firstLine="0" w:firstLineChars="0"/>
              <w:jc w:val="center"/>
              <w:rPr>
                <w:rFonts w:cs="Times New Roman"/>
                <w:kern w:val="0"/>
                <w:sz w:val="21"/>
                <w:szCs w:val="21"/>
              </w:rPr>
            </w:pPr>
            <w:r>
              <w:rPr>
                <w:rFonts w:cs="Times New Roman"/>
                <w:kern w:val="0"/>
                <w:sz w:val="21"/>
                <w:szCs w:val="21"/>
              </w:rPr>
              <w:t>26.00</w:t>
            </w:r>
          </w:p>
        </w:tc>
        <w:tc>
          <w:tcPr>
            <w:tcW w:w="367" w:type="pct"/>
            <w:vAlign w:val="center"/>
          </w:tcPr>
          <w:p w14:paraId="16AF5A09">
            <w:pPr>
              <w:widowControl/>
              <w:snapToGrid w:val="0"/>
              <w:spacing w:line="240" w:lineRule="auto"/>
              <w:ind w:firstLine="0" w:firstLineChars="0"/>
              <w:jc w:val="center"/>
              <w:rPr>
                <w:rFonts w:cs="Times New Roman"/>
                <w:kern w:val="0"/>
                <w:sz w:val="21"/>
                <w:szCs w:val="21"/>
              </w:rPr>
            </w:pPr>
            <w:r>
              <w:rPr>
                <w:rFonts w:cs="Times New Roman"/>
                <w:kern w:val="0"/>
                <w:sz w:val="21"/>
                <w:szCs w:val="21"/>
              </w:rPr>
              <w:t>1.6</w:t>
            </w:r>
          </w:p>
        </w:tc>
        <w:tc>
          <w:tcPr>
            <w:tcW w:w="350" w:type="pct"/>
            <w:vAlign w:val="center"/>
          </w:tcPr>
          <w:p w14:paraId="35CEAC28">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60</w:t>
            </w:r>
          </w:p>
        </w:tc>
        <w:tc>
          <w:tcPr>
            <w:tcW w:w="499" w:type="pct"/>
            <w:vAlign w:val="center"/>
          </w:tcPr>
          <w:p w14:paraId="7A5FD8F8">
            <w:pPr>
              <w:widowControl/>
              <w:snapToGrid w:val="0"/>
              <w:spacing w:beforeLines="10" w:afterLines="10" w:line="240" w:lineRule="auto"/>
              <w:ind w:left="-72" w:leftChars="-30" w:right="-72" w:rightChars="-30" w:firstLine="0" w:firstLineChars="0"/>
              <w:contextualSpacing/>
              <w:jc w:val="center"/>
              <w:rPr>
                <w:rFonts w:cs="Times New Roman"/>
                <w:kern w:val="0"/>
                <w:sz w:val="21"/>
                <w:szCs w:val="21"/>
              </w:rPr>
            </w:pPr>
            <w:r>
              <w:rPr>
                <w:rFonts w:cs="Times New Roman"/>
                <w:sz w:val="21"/>
                <w:szCs w:val="21"/>
              </w:rPr>
              <w:t>112000</w:t>
            </w:r>
          </w:p>
        </w:tc>
        <w:tc>
          <w:tcPr>
            <w:tcW w:w="316" w:type="pct"/>
            <w:vAlign w:val="center"/>
          </w:tcPr>
          <w:p w14:paraId="7C7CC4B2">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04" w:type="pct"/>
            <w:vAlign w:val="center"/>
          </w:tcPr>
          <w:p w14:paraId="076C5336">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651" w:type="pct"/>
            <w:vAlign w:val="center"/>
          </w:tcPr>
          <w:p w14:paraId="7FE3ED92">
            <w:pPr>
              <w:widowControl/>
              <w:snapToGrid w:val="0"/>
              <w:spacing w:beforeLines="10" w:afterLines="10" w:line="240" w:lineRule="auto"/>
              <w:ind w:left="-72" w:leftChars="-30" w:right="-72" w:rightChars="-30" w:firstLine="0" w:firstLineChars="0"/>
              <w:contextualSpacing/>
              <w:jc w:val="center"/>
              <w:rPr>
                <w:rFonts w:cs="Times New Roman"/>
                <w:kern w:val="0"/>
                <w:sz w:val="21"/>
                <w:szCs w:val="21"/>
              </w:rPr>
            </w:pPr>
            <w:r>
              <w:rPr>
                <w:rFonts w:cs="Times New Roman"/>
                <w:kern w:val="0"/>
                <w:sz w:val="21"/>
                <w:szCs w:val="21"/>
              </w:rPr>
              <w:t>1.071</w:t>
            </w:r>
          </w:p>
        </w:tc>
      </w:tr>
      <w:tr w14:paraId="23072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63" w:type="pct"/>
            <w:vMerge w:val="continue"/>
            <w:vAlign w:val="center"/>
          </w:tcPr>
          <w:p w14:paraId="6D9BDD51">
            <w:pPr>
              <w:snapToGrid w:val="0"/>
              <w:spacing w:line="240" w:lineRule="auto"/>
              <w:ind w:firstLine="0" w:firstLineChars="0"/>
              <w:jc w:val="center"/>
              <w:rPr>
                <w:rFonts w:cs="Times New Roman"/>
                <w:kern w:val="0"/>
                <w:sz w:val="21"/>
                <w:szCs w:val="21"/>
                <w:lang w:val="zh-CN"/>
              </w:rPr>
            </w:pPr>
          </w:p>
        </w:tc>
        <w:tc>
          <w:tcPr>
            <w:tcW w:w="620" w:type="pct"/>
            <w:vMerge w:val="continue"/>
            <w:vAlign w:val="center"/>
          </w:tcPr>
          <w:p w14:paraId="604C2B45">
            <w:pPr>
              <w:snapToGrid w:val="0"/>
              <w:spacing w:line="240" w:lineRule="auto"/>
              <w:ind w:firstLine="0" w:firstLineChars="0"/>
              <w:jc w:val="center"/>
              <w:rPr>
                <w:rFonts w:cs="Times New Roman"/>
                <w:kern w:val="0"/>
                <w:sz w:val="21"/>
                <w:szCs w:val="21"/>
                <w:lang w:val="zh-CN"/>
              </w:rPr>
            </w:pPr>
          </w:p>
        </w:tc>
        <w:tc>
          <w:tcPr>
            <w:tcW w:w="392" w:type="pct"/>
            <w:vAlign w:val="center"/>
          </w:tcPr>
          <w:p w14:paraId="72E9979A">
            <w:pPr>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点源</w:t>
            </w:r>
          </w:p>
        </w:tc>
        <w:tc>
          <w:tcPr>
            <w:tcW w:w="802" w:type="pct"/>
            <w:vAlign w:val="center"/>
          </w:tcPr>
          <w:p w14:paraId="08E8DFA4">
            <w:pPr>
              <w:widowControl/>
              <w:snapToGrid w:val="0"/>
              <w:spacing w:line="240" w:lineRule="auto"/>
              <w:ind w:firstLine="0" w:firstLineChars="0"/>
              <w:jc w:val="center"/>
              <w:rPr>
                <w:rFonts w:cs="Times New Roman"/>
                <w:kern w:val="0"/>
                <w:sz w:val="21"/>
                <w:szCs w:val="21"/>
              </w:rPr>
            </w:pPr>
            <w:r>
              <w:rPr>
                <w:rFonts w:cs="Times New Roman"/>
                <w:kern w:val="0"/>
                <w:sz w:val="21"/>
                <w:szCs w:val="21"/>
              </w:rPr>
              <w:t>4</w:t>
            </w:r>
            <w:r>
              <w:rPr>
                <w:rFonts w:cs="Times New Roman"/>
                <w:kern w:val="0"/>
                <w:sz w:val="21"/>
                <w:szCs w:val="21"/>
                <w:vertAlign w:val="superscript"/>
              </w:rPr>
              <w:t>#</w:t>
            </w:r>
            <w:r>
              <w:rPr>
                <w:rFonts w:cs="Times New Roman"/>
                <w:kern w:val="0"/>
                <w:sz w:val="21"/>
                <w:szCs w:val="21"/>
              </w:rPr>
              <w:t>排气筒（镁铝水滑石生产装置干燥废气）</w:t>
            </w:r>
          </w:p>
        </w:tc>
        <w:tc>
          <w:tcPr>
            <w:tcW w:w="333" w:type="pct"/>
            <w:vAlign w:val="center"/>
          </w:tcPr>
          <w:p w14:paraId="527071D4">
            <w:pPr>
              <w:widowControl/>
              <w:snapToGrid w:val="0"/>
              <w:spacing w:line="240" w:lineRule="auto"/>
              <w:ind w:firstLine="0" w:firstLineChars="0"/>
              <w:jc w:val="center"/>
              <w:rPr>
                <w:rFonts w:cs="Times New Roman"/>
                <w:kern w:val="0"/>
                <w:sz w:val="21"/>
                <w:szCs w:val="21"/>
              </w:rPr>
            </w:pPr>
            <w:r>
              <w:rPr>
                <w:rFonts w:cs="Times New Roman"/>
                <w:kern w:val="0"/>
                <w:sz w:val="21"/>
                <w:szCs w:val="21"/>
              </w:rPr>
              <w:t>20.00</w:t>
            </w:r>
          </w:p>
        </w:tc>
        <w:tc>
          <w:tcPr>
            <w:tcW w:w="367" w:type="pct"/>
            <w:vAlign w:val="center"/>
          </w:tcPr>
          <w:p w14:paraId="3A7F0111">
            <w:pPr>
              <w:widowControl/>
              <w:snapToGrid w:val="0"/>
              <w:spacing w:line="240" w:lineRule="auto"/>
              <w:ind w:firstLine="0" w:firstLineChars="0"/>
              <w:jc w:val="center"/>
              <w:rPr>
                <w:rFonts w:cs="Times New Roman"/>
                <w:kern w:val="0"/>
                <w:sz w:val="21"/>
                <w:szCs w:val="21"/>
              </w:rPr>
            </w:pPr>
            <w:r>
              <w:rPr>
                <w:rFonts w:cs="Times New Roman"/>
                <w:kern w:val="0"/>
                <w:sz w:val="21"/>
                <w:szCs w:val="21"/>
              </w:rPr>
              <w:t>0.8</w:t>
            </w:r>
          </w:p>
        </w:tc>
        <w:tc>
          <w:tcPr>
            <w:tcW w:w="350" w:type="pct"/>
            <w:vAlign w:val="center"/>
          </w:tcPr>
          <w:p w14:paraId="719F7440">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60</w:t>
            </w:r>
          </w:p>
        </w:tc>
        <w:tc>
          <w:tcPr>
            <w:tcW w:w="499" w:type="pct"/>
            <w:vAlign w:val="center"/>
          </w:tcPr>
          <w:p w14:paraId="0E798EB7">
            <w:pPr>
              <w:widowControl/>
              <w:snapToGrid w:val="0"/>
              <w:spacing w:beforeLines="10" w:afterLines="10" w:line="240" w:lineRule="auto"/>
              <w:ind w:left="-72" w:leftChars="-30" w:right="-72" w:rightChars="-30" w:firstLine="0" w:firstLineChars="0"/>
              <w:contextualSpacing/>
              <w:jc w:val="center"/>
              <w:rPr>
                <w:rFonts w:cs="Times New Roman"/>
                <w:kern w:val="0"/>
                <w:sz w:val="21"/>
                <w:szCs w:val="21"/>
              </w:rPr>
            </w:pPr>
            <w:r>
              <w:rPr>
                <w:rFonts w:cs="Times New Roman"/>
                <w:sz w:val="21"/>
                <w:szCs w:val="21"/>
              </w:rPr>
              <w:t>39000</w:t>
            </w:r>
          </w:p>
        </w:tc>
        <w:tc>
          <w:tcPr>
            <w:tcW w:w="316" w:type="pct"/>
            <w:vAlign w:val="center"/>
          </w:tcPr>
          <w:p w14:paraId="15F6A959">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04" w:type="pct"/>
            <w:vAlign w:val="center"/>
          </w:tcPr>
          <w:p w14:paraId="59BFC80E">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651" w:type="pct"/>
            <w:vAlign w:val="center"/>
          </w:tcPr>
          <w:p w14:paraId="55A66B59">
            <w:pPr>
              <w:widowControl/>
              <w:snapToGrid w:val="0"/>
              <w:spacing w:beforeLines="10" w:afterLines="10" w:line="240" w:lineRule="auto"/>
              <w:ind w:left="-72" w:leftChars="-30" w:right="-72" w:rightChars="-30" w:firstLine="0" w:firstLineChars="0"/>
              <w:contextualSpacing/>
              <w:jc w:val="center"/>
              <w:rPr>
                <w:rFonts w:cs="Times New Roman"/>
                <w:kern w:val="0"/>
                <w:sz w:val="21"/>
                <w:szCs w:val="21"/>
              </w:rPr>
            </w:pPr>
            <w:r>
              <w:rPr>
                <w:rFonts w:cs="Times New Roman"/>
                <w:kern w:val="0"/>
                <w:sz w:val="21"/>
                <w:szCs w:val="21"/>
              </w:rPr>
              <w:t>0.303</w:t>
            </w:r>
          </w:p>
        </w:tc>
      </w:tr>
      <w:tr w14:paraId="1EDD5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63" w:type="pct"/>
            <w:vMerge w:val="continue"/>
            <w:vAlign w:val="center"/>
          </w:tcPr>
          <w:p w14:paraId="01E113ED">
            <w:pPr>
              <w:snapToGrid w:val="0"/>
              <w:spacing w:line="240" w:lineRule="auto"/>
              <w:ind w:firstLine="0" w:firstLineChars="0"/>
              <w:jc w:val="center"/>
              <w:rPr>
                <w:rFonts w:cs="Times New Roman"/>
                <w:kern w:val="0"/>
                <w:sz w:val="21"/>
                <w:szCs w:val="21"/>
                <w:lang w:val="zh-CN"/>
              </w:rPr>
            </w:pPr>
          </w:p>
        </w:tc>
        <w:tc>
          <w:tcPr>
            <w:tcW w:w="620" w:type="pct"/>
            <w:vMerge w:val="continue"/>
            <w:vAlign w:val="center"/>
          </w:tcPr>
          <w:p w14:paraId="5899E6AF">
            <w:pPr>
              <w:snapToGrid w:val="0"/>
              <w:spacing w:line="240" w:lineRule="auto"/>
              <w:ind w:firstLine="0" w:firstLineChars="0"/>
              <w:jc w:val="center"/>
              <w:rPr>
                <w:rFonts w:cs="Times New Roman"/>
                <w:kern w:val="0"/>
                <w:sz w:val="21"/>
                <w:szCs w:val="21"/>
                <w:lang w:val="zh-CN"/>
              </w:rPr>
            </w:pPr>
          </w:p>
        </w:tc>
        <w:tc>
          <w:tcPr>
            <w:tcW w:w="392" w:type="pct"/>
            <w:vAlign w:val="center"/>
          </w:tcPr>
          <w:p w14:paraId="308D7832">
            <w:pPr>
              <w:snapToGrid w:val="0"/>
              <w:spacing w:line="240" w:lineRule="auto"/>
              <w:ind w:firstLine="0" w:firstLineChars="0"/>
              <w:jc w:val="center"/>
              <w:rPr>
                <w:rFonts w:cs="Times New Roman"/>
                <w:kern w:val="0"/>
                <w:sz w:val="21"/>
                <w:szCs w:val="21"/>
              </w:rPr>
            </w:pPr>
            <w:r>
              <w:rPr>
                <w:rFonts w:hint="eastAsia" w:cs="Times New Roman"/>
                <w:kern w:val="0"/>
                <w:sz w:val="21"/>
                <w:szCs w:val="21"/>
              </w:rPr>
              <w:t>面源</w:t>
            </w:r>
          </w:p>
        </w:tc>
        <w:tc>
          <w:tcPr>
            <w:tcW w:w="802" w:type="pct"/>
            <w:vAlign w:val="center"/>
          </w:tcPr>
          <w:p w14:paraId="1FDFA6D5">
            <w:pPr>
              <w:widowControl/>
              <w:snapToGrid w:val="0"/>
              <w:spacing w:line="240" w:lineRule="auto"/>
              <w:ind w:firstLine="0" w:firstLineChars="0"/>
              <w:jc w:val="center"/>
              <w:textAlignment w:val="center"/>
              <w:rPr>
                <w:rFonts w:cs="Times New Roman"/>
                <w:kern w:val="0"/>
                <w:sz w:val="21"/>
                <w:szCs w:val="21"/>
              </w:rPr>
            </w:pPr>
            <w:r>
              <w:rPr>
                <w:rFonts w:cs="Times New Roman"/>
                <w:kern w:val="0"/>
                <w:sz w:val="21"/>
                <w:szCs w:val="21"/>
              </w:rPr>
              <w:t>硫酸镁生产装置区面源</w:t>
            </w:r>
            <w:r>
              <w:rPr>
                <w:rFonts w:cs="Times New Roman"/>
                <w:sz w:val="21"/>
                <w:szCs w:val="21"/>
              </w:rPr>
              <w:t>-1</w:t>
            </w:r>
          </w:p>
        </w:tc>
        <w:tc>
          <w:tcPr>
            <w:tcW w:w="1550" w:type="pct"/>
            <w:gridSpan w:val="4"/>
            <w:vAlign w:val="center"/>
          </w:tcPr>
          <w:p w14:paraId="3916915F">
            <w:pPr>
              <w:widowControl/>
              <w:snapToGrid w:val="0"/>
              <w:spacing w:line="240" w:lineRule="auto"/>
              <w:ind w:firstLine="0" w:firstLineChars="0"/>
              <w:jc w:val="center"/>
              <w:rPr>
                <w:rFonts w:cs="Times New Roman"/>
                <w:sz w:val="21"/>
                <w:szCs w:val="21"/>
              </w:rPr>
            </w:pPr>
            <w:r>
              <w:rPr>
                <w:rFonts w:cs="Times New Roman"/>
                <w:sz w:val="21"/>
                <w:szCs w:val="21"/>
              </w:rPr>
              <w:t>17×30×20</w:t>
            </w:r>
          </w:p>
        </w:tc>
        <w:tc>
          <w:tcPr>
            <w:tcW w:w="316" w:type="pct"/>
            <w:vAlign w:val="center"/>
          </w:tcPr>
          <w:p w14:paraId="41502389">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04" w:type="pct"/>
            <w:vAlign w:val="center"/>
          </w:tcPr>
          <w:p w14:paraId="418B15ED">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651" w:type="pct"/>
            <w:vAlign w:val="center"/>
          </w:tcPr>
          <w:p w14:paraId="19B9A383">
            <w:pPr>
              <w:widowControl/>
              <w:snapToGrid w:val="0"/>
              <w:spacing w:beforeLines="10" w:afterLines="10" w:line="240" w:lineRule="auto"/>
              <w:ind w:left="-72" w:leftChars="-30" w:right="-72" w:rightChars="-30" w:firstLine="0" w:firstLineChars="0"/>
              <w:contextualSpacing/>
              <w:jc w:val="center"/>
              <w:rPr>
                <w:rFonts w:cs="Times New Roman"/>
                <w:kern w:val="0"/>
                <w:sz w:val="21"/>
                <w:szCs w:val="21"/>
              </w:rPr>
            </w:pPr>
            <w:r>
              <w:rPr>
                <w:rFonts w:cs="Times New Roman"/>
                <w:sz w:val="21"/>
                <w:szCs w:val="21"/>
              </w:rPr>
              <w:t>0.028</w:t>
            </w:r>
          </w:p>
        </w:tc>
      </w:tr>
      <w:tr w14:paraId="559AC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63" w:type="pct"/>
            <w:vMerge w:val="continue"/>
            <w:vAlign w:val="center"/>
          </w:tcPr>
          <w:p w14:paraId="7DBCD4DC">
            <w:pPr>
              <w:snapToGrid w:val="0"/>
              <w:spacing w:line="240" w:lineRule="auto"/>
              <w:ind w:firstLine="0" w:firstLineChars="0"/>
              <w:jc w:val="center"/>
              <w:rPr>
                <w:rFonts w:cs="Times New Roman"/>
                <w:kern w:val="0"/>
                <w:sz w:val="21"/>
                <w:szCs w:val="21"/>
                <w:lang w:val="zh-CN"/>
              </w:rPr>
            </w:pPr>
          </w:p>
        </w:tc>
        <w:tc>
          <w:tcPr>
            <w:tcW w:w="620" w:type="pct"/>
            <w:vMerge w:val="continue"/>
            <w:vAlign w:val="center"/>
          </w:tcPr>
          <w:p w14:paraId="065F9275">
            <w:pPr>
              <w:snapToGrid w:val="0"/>
              <w:spacing w:line="240" w:lineRule="auto"/>
              <w:ind w:firstLine="0" w:firstLineChars="0"/>
              <w:jc w:val="center"/>
              <w:rPr>
                <w:rFonts w:cs="Times New Roman"/>
                <w:kern w:val="0"/>
                <w:sz w:val="21"/>
                <w:szCs w:val="21"/>
                <w:lang w:val="zh-CN"/>
              </w:rPr>
            </w:pPr>
          </w:p>
        </w:tc>
        <w:tc>
          <w:tcPr>
            <w:tcW w:w="392" w:type="pct"/>
            <w:vAlign w:val="center"/>
          </w:tcPr>
          <w:p w14:paraId="4BE09163">
            <w:pPr>
              <w:snapToGrid w:val="0"/>
              <w:spacing w:line="240" w:lineRule="auto"/>
              <w:ind w:firstLine="0" w:firstLineChars="0"/>
              <w:jc w:val="center"/>
              <w:rPr>
                <w:rFonts w:cs="Times New Roman"/>
                <w:kern w:val="0"/>
                <w:sz w:val="21"/>
                <w:szCs w:val="21"/>
                <w:lang w:val="zh-CN"/>
              </w:rPr>
            </w:pPr>
            <w:r>
              <w:rPr>
                <w:rFonts w:hint="eastAsia" w:cs="Times New Roman"/>
                <w:kern w:val="0"/>
                <w:sz w:val="21"/>
                <w:szCs w:val="21"/>
              </w:rPr>
              <w:t>面源</w:t>
            </w:r>
          </w:p>
        </w:tc>
        <w:tc>
          <w:tcPr>
            <w:tcW w:w="802" w:type="pct"/>
            <w:vAlign w:val="center"/>
          </w:tcPr>
          <w:p w14:paraId="0A054749">
            <w:pPr>
              <w:widowControl/>
              <w:snapToGrid w:val="0"/>
              <w:spacing w:line="240" w:lineRule="auto"/>
              <w:ind w:firstLine="0" w:firstLineChars="0"/>
              <w:jc w:val="center"/>
              <w:textAlignment w:val="center"/>
              <w:rPr>
                <w:rFonts w:cs="Times New Roman"/>
                <w:kern w:val="0"/>
                <w:sz w:val="21"/>
                <w:szCs w:val="21"/>
              </w:rPr>
            </w:pPr>
            <w:r>
              <w:rPr>
                <w:rFonts w:cs="Times New Roman"/>
                <w:kern w:val="0"/>
                <w:sz w:val="21"/>
                <w:szCs w:val="21"/>
              </w:rPr>
              <w:t>硫酸镁生产装置区面源</w:t>
            </w:r>
            <w:r>
              <w:rPr>
                <w:rFonts w:cs="Times New Roman"/>
                <w:sz w:val="21"/>
                <w:szCs w:val="21"/>
              </w:rPr>
              <w:t>-2</w:t>
            </w:r>
          </w:p>
        </w:tc>
        <w:tc>
          <w:tcPr>
            <w:tcW w:w="1550" w:type="pct"/>
            <w:gridSpan w:val="4"/>
            <w:vAlign w:val="center"/>
          </w:tcPr>
          <w:p w14:paraId="24320E9B">
            <w:pPr>
              <w:widowControl/>
              <w:snapToGrid w:val="0"/>
              <w:spacing w:line="240" w:lineRule="auto"/>
              <w:ind w:firstLine="0" w:firstLineChars="0"/>
              <w:jc w:val="center"/>
              <w:rPr>
                <w:rFonts w:cs="Times New Roman"/>
                <w:sz w:val="21"/>
                <w:szCs w:val="21"/>
              </w:rPr>
            </w:pPr>
            <w:r>
              <w:rPr>
                <w:rFonts w:cs="Times New Roman"/>
                <w:sz w:val="21"/>
                <w:szCs w:val="21"/>
              </w:rPr>
              <w:t>33×60×20</w:t>
            </w:r>
          </w:p>
        </w:tc>
        <w:tc>
          <w:tcPr>
            <w:tcW w:w="316" w:type="pct"/>
            <w:vAlign w:val="center"/>
          </w:tcPr>
          <w:p w14:paraId="72198919">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04" w:type="pct"/>
            <w:vAlign w:val="center"/>
          </w:tcPr>
          <w:p w14:paraId="414976E2">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651" w:type="pct"/>
            <w:vAlign w:val="center"/>
          </w:tcPr>
          <w:p w14:paraId="79FE1D2A">
            <w:pPr>
              <w:widowControl/>
              <w:snapToGrid w:val="0"/>
              <w:spacing w:beforeLines="10" w:afterLines="10" w:line="240" w:lineRule="auto"/>
              <w:ind w:left="-72" w:leftChars="-30" w:right="-72" w:rightChars="-30" w:firstLine="0" w:firstLineChars="0"/>
              <w:contextualSpacing/>
              <w:jc w:val="center"/>
              <w:rPr>
                <w:rFonts w:cs="Times New Roman"/>
                <w:kern w:val="0"/>
                <w:sz w:val="21"/>
                <w:szCs w:val="21"/>
              </w:rPr>
            </w:pPr>
            <w:r>
              <w:rPr>
                <w:rFonts w:cs="Times New Roman"/>
                <w:sz w:val="21"/>
                <w:szCs w:val="21"/>
              </w:rPr>
              <w:t>0.024</w:t>
            </w:r>
          </w:p>
        </w:tc>
      </w:tr>
      <w:tr w14:paraId="2AF64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63" w:type="pct"/>
            <w:vMerge w:val="continue"/>
            <w:vAlign w:val="center"/>
          </w:tcPr>
          <w:p w14:paraId="6B3AF4DA">
            <w:pPr>
              <w:snapToGrid w:val="0"/>
              <w:spacing w:line="240" w:lineRule="auto"/>
              <w:ind w:firstLine="0" w:firstLineChars="0"/>
              <w:jc w:val="center"/>
              <w:rPr>
                <w:rFonts w:cs="Times New Roman"/>
                <w:kern w:val="0"/>
                <w:sz w:val="21"/>
                <w:szCs w:val="21"/>
                <w:lang w:val="zh-CN"/>
              </w:rPr>
            </w:pPr>
          </w:p>
        </w:tc>
        <w:tc>
          <w:tcPr>
            <w:tcW w:w="620" w:type="pct"/>
            <w:vMerge w:val="continue"/>
            <w:vAlign w:val="center"/>
          </w:tcPr>
          <w:p w14:paraId="412A59B4">
            <w:pPr>
              <w:snapToGrid w:val="0"/>
              <w:spacing w:line="240" w:lineRule="auto"/>
              <w:ind w:firstLine="0" w:firstLineChars="0"/>
              <w:jc w:val="center"/>
              <w:rPr>
                <w:rFonts w:cs="Times New Roman"/>
                <w:kern w:val="0"/>
                <w:sz w:val="21"/>
                <w:szCs w:val="21"/>
                <w:lang w:val="zh-CN"/>
              </w:rPr>
            </w:pPr>
          </w:p>
        </w:tc>
        <w:tc>
          <w:tcPr>
            <w:tcW w:w="392" w:type="pct"/>
            <w:vAlign w:val="center"/>
          </w:tcPr>
          <w:p w14:paraId="2393E448">
            <w:pPr>
              <w:snapToGrid w:val="0"/>
              <w:spacing w:line="240" w:lineRule="auto"/>
              <w:ind w:firstLine="0" w:firstLineChars="0"/>
              <w:jc w:val="center"/>
              <w:rPr>
                <w:rFonts w:cs="Times New Roman"/>
                <w:kern w:val="0"/>
                <w:sz w:val="21"/>
                <w:szCs w:val="21"/>
                <w:lang w:val="zh-CN"/>
              </w:rPr>
            </w:pPr>
            <w:r>
              <w:rPr>
                <w:rFonts w:hint="eastAsia" w:cs="Times New Roman"/>
                <w:kern w:val="0"/>
                <w:sz w:val="21"/>
                <w:szCs w:val="21"/>
              </w:rPr>
              <w:t>面源</w:t>
            </w:r>
          </w:p>
        </w:tc>
        <w:tc>
          <w:tcPr>
            <w:tcW w:w="802" w:type="pct"/>
            <w:vAlign w:val="center"/>
          </w:tcPr>
          <w:p w14:paraId="51EEB04E">
            <w:pPr>
              <w:widowControl/>
              <w:snapToGrid w:val="0"/>
              <w:spacing w:line="240" w:lineRule="auto"/>
              <w:ind w:firstLine="0" w:firstLineChars="0"/>
              <w:jc w:val="center"/>
              <w:textAlignment w:val="center"/>
              <w:rPr>
                <w:rFonts w:cs="Times New Roman"/>
                <w:kern w:val="0"/>
                <w:sz w:val="21"/>
                <w:szCs w:val="21"/>
              </w:rPr>
            </w:pPr>
            <w:r>
              <w:rPr>
                <w:rFonts w:cs="Times New Roman"/>
                <w:kern w:val="0"/>
                <w:sz w:val="21"/>
                <w:szCs w:val="21"/>
              </w:rPr>
              <w:t>镁铝水滑石生产装置区面源</w:t>
            </w:r>
            <w:r>
              <w:rPr>
                <w:rFonts w:cs="Times New Roman"/>
                <w:sz w:val="21"/>
                <w:szCs w:val="21"/>
              </w:rPr>
              <w:t>-1</w:t>
            </w:r>
          </w:p>
        </w:tc>
        <w:tc>
          <w:tcPr>
            <w:tcW w:w="1550" w:type="pct"/>
            <w:gridSpan w:val="4"/>
            <w:vAlign w:val="center"/>
          </w:tcPr>
          <w:p w14:paraId="17268CAA">
            <w:pPr>
              <w:widowControl/>
              <w:snapToGrid w:val="0"/>
              <w:spacing w:line="240" w:lineRule="auto"/>
              <w:ind w:firstLine="0" w:firstLineChars="0"/>
              <w:jc w:val="center"/>
              <w:rPr>
                <w:rFonts w:cs="Times New Roman"/>
                <w:sz w:val="21"/>
                <w:szCs w:val="21"/>
              </w:rPr>
            </w:pPr>
            <w:r>
              <w:rPr>
                <w:rFonts w:cs="Times New Roman"/>
                <w:sz w:val="21"/>
                <w:szCs w:val="21"/>
              </w:rPr>
              <w:t>22×22×16</w:t>
            </w:r>
          </w:p>
        </w:tc>
        <w:tc>
          <w:tcPr>
            <w:tcW w:w="316" w:type="pct"/>
            <w:vAlign w:val="center"/>
          </w:tcPr>
          <w:p w14:paraId="5EB60D64">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04" w:type="pct"/>
            <w:vAlign w:val="center"/>
          </w:tcPr>
          <w:p w14:paraId="2E8DA8F5">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651" w:type="pct"/>
            <w:vAlign w:val="center"/>
          </w:tcPr>
          <w:p w14:paraId="06867700">
            <w:pPr>
              <w:widowControl/>
              <w:snapToGrid w:val="0"/>
              <w:spacing w:beforeLines="10" w:afterLines="10" w:line="240" w:lineRule="auto"/>
              <w:ind w:left="-72" w:leftChars="-30" w:right="-72" w:rightChars="-30" w:firstLine="0" w:firstLineChars="0"/>
              <w:contextualSpacing/>
              <w:jc w:val="center"/>
              <w:rPr>
                <w:rFonts w:cs="Times New Roman"/>
                <w:kern w:val="0"/>
                <w:sz w:val="21"/>
                <w:szCs w:val="21"/>
              </w:rPr>
            </w:pPr>
            <w:r>
              <w:rPr>
                <w:rFonts w:cs="Times New Roman"/>
                <w:sz w:val="21"/>
                <w:szCs w:val="21"/>
              </w:rPr>
              <w:t>0.01</w:t>
            </w:r>
          </w:p>
        </w:tc>
      </w:tr>
      <w:tr w14:paraId="393B4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63" w:type="pct"/>
            <w:vMerge w:val="continue"/>
            <w:vAlign w:val="center"/>
          </w:tcPr>
          <w:p w14:paraId="1A979475">
            <w:pPr>
              <w:snapToGrid w:val="0"/>
              <w:spacing w:line="240" w:lineRule="auto"/>
              <w:ind w:firstLine="0" w:firstLineChars="0"/>
              <w:jc w:val="center"/>
              <w:rPr>
                <w:rFonts w:cs="Times New Roman"/>
                <w:kern w:val="0"/>
                <w:sz w:val="21"/>
                <w:szCs w:val="21"/>
                <w:lang w:val="zh-CN"/>
              </w:rPr>
            </w:pPr>
          </w:p>
        </w:tc>
        <w:tc>
          <w:tcPr>
            <w:tcW w:w="620" w:type="pct"/>
            <w:vMerge w:val="continue"/>
            <w:vAlign w:val="center"/>
          </w:tcPr>
          <w:p w14:paraId="020490C4">
            <w:pPr>
              <w:snapToGrid w:val="0"/>
              <w:spacing w:line="240" w:lineRule="auto"/>
              <w:ind w:firstLine="0" w:firstLineChars="0"/>
              <w:jc w:val="center"/>
              <w:rPr>
                <w:rFonts w:cs="Times New Roman"/>
                <w:kern w:val="0"/>
                <w:sz w:val="21"/>
                <w:szCs w:val="21"/>
                <w:lang w:val="zh-CN"/>
              </w:rPr>
            </w:pPr>
          </w:p>
        </w:tc>
        <w:tc>
          <w:tcPr>
            <w:tcW w:w="392" w:type="pct"/>
            <w:vAlign w:val="center"/>
          </w:tcPr>
          <w:p w14:paraId="2EA4CB72">
            <w:pPr>
              <w:snapToGrid w:val="0"/>
              <w:spacing w:line="240" w:lineRule="auto"/>
              <w:ind w:firstLine="0" w:firstLineChars="0"/>
              <w:jc w:val="center"/>
              <w:rPr>
                <w:rFonts w:cs="Times New Roman"/>
                <w:kern w:val="0"/>
                <w:sz w:val="21"/>
                <w:szCs w:val="21"/>
                <w:lang w:val="zh-CN"/>
              </w:rPr>
            </w:pPr>
            <w:r>
              <w:rPr>
                <w:rFonts w:hint="eastAsia" w:cs="Times New Roman"/>
                <w:kern w:val="0"/>
                <w:sz w:val="21"/>
                <w:szCs w:val="21"/>
              </w:rPr>
              <w:t>面源</w:t>
            </w:r>
          </w:p>
        </w:tc>
        <w:tc>
          <w:tcPr>
            <w:tcW w:w="802" w:type="pct"/>
            <w:vAlign w:val="center"/>
          </w:tcPr>
          <w:p w14:paraId="0A1596D4">
            <w:pPr>
              <w:widowControl/>
              <w:snapToGrid w:val="0"/>
              <w:spacing w:line="240" w:lineRule="auto"/>
              <w:ind w:firstLine="0" w:firstLineChars="0"/>
              <w:jc w:val="center"/>
              <w:textAlignment w:val="center"/>
              <w:rPr>
                <w:rFonts w:cs="Times New Roman"/>
                <w:kern w:val="0"/>
                <w:sz w:val="21"/>
                <w:szCs w:val="21"/>
              </w:rPr>
            </w:pPr>
            <w:r>
              <w:rPr>
                <w:rFonts w:cs="Times New Roman"/>
                <w:kern w:val="0"/>
                <w:sz w:val="21"/>
                <w:szCs w:val="21"/>
              </w:rPr>
              <w:t>镁铝水滑石生产装置区面源</w:t>
            </w:r>
            <w:r>
              <w:rPr>
                <w:rFonts w:cs="Times New Roman"/>
                <w:sz w:val="21"/>
                <w:szCs w:val="21"/>
              </w:rPr>
              <w:t>-2</w:t>
            </w:r>
          </w:p>
        </w:tc>
        <w:tc>
          <w:tcPr>
            <w:tcW w:w="1550" w:type="pct"/>
            <w:gridSpan w:val="4"/>
            <w:vAlign w:val="center"/>
          </w:tcPr>
          <w:p w14:paraId="7DF141CF">
            <w:pPr>
              <w:widowControl/>
              <w:snapToGrid w:val="0"/>
              <w:spacing w:line="240" w:lineRule="auto"/>
              <w:ind w:firstLine="0" w:firstLineChars="0"/>
              <w:jc w:val="center"/>
              <w:rPr>
                <w:rFonts w:cs="Times New Roman"/>
                <w:sz w:val="21"/>
                <w:szCs w:val="21"/>
              </w:rPr>
            </w:pPr>
            <w:r>
              <w:rPr>
                <w:rFonts w:cs="Times New Roman"/>
                <w:sz w:val="21"/>
                <w:szCs w:val="21"/>
              </w:rPr>
              <w:t>16×22×15</w:t>
            </w:r>
          </w:p>
        </w:tc>
        <w:tc>
          <w:tcPr>
            <w:tcW w:w="316" w:type="pct"/>
            <w:vAlign w:val="center"/>
          </w:tcPr>
          <w:p w14:paraId="62F2857A">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04" w:type="pct"/>
            <w:vAlign w:val="center"/>
          </w:tcPr>
          <w:p w14:paraId="4D3591CC">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651" w:type="pct"/>
            <w:vAlign w:val="center"/>
          </w:tcPr>
          <w:p w14:paraId="0390C843">
            <w:pPr>
              <w:widowControl/>
              <w:snapToGrid w:val="0"/>
              <w:spacing w:beforeLines="10" w:afterLines="10" w:line="240" w:lineRule="auto"/>
              <w:ind w:left="-72" w:leftChars="-30" w:right="-72" w:rightChars="-30" w:firstLine="0" w:firstLineChars="0"/>
              <w:contextualSpacing/>
              <w:jc w:val="center"/>
              <w:rPr>
                <w:rFonts w:cs="Times New Roman"/>
                <w:kern w:val="0"/>
                <w:sz w:val="21"/>
                <w:szCs w:val="21"/>
              </w:rPr>
            </w:pPr>
            <w:r>
              <w:rPr>
                <w:rFonts w:cs="Times New Roman"/>
                <w:sz w:val="21"/>
                <w:szCs w:val="21"/>
              </w:rPr>
              <w:t>0.015</w:t>
            </w:r>
          </w:p>
        </w:tc>
      </w:tr>
      <w:tr w14:paraId="64340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63" w:type="pct"/>
            <w:vMerge w:val="restart"/>
            <w:vAlign w:val="center"/>
          </w:tcPr>
          <w:p w14:paraId="76C4BD70">
            <w:pPr>
              <w:snapToGrid w:val="0"/>
              <w:spacing w:line="240" w:lineRule="auto"/>
              <w:ind w:firstLine="0" w:firstLineChars="0"/>
              <w:jc w:val="center"/>
              <w:rPr>
                <w:rFonts w:cs="Times New Roman"/>
                <w:kern w:val="0"/>
                <w:sz w:val="21"/>
                <w:szCs w:val="21"/>
              </w:rPr>
            </w:pPr>
            <w:r>
              <w:rPr>
                <w:rFonts w:hint="eastAsia" w:cs="Times New Roman"/>
                <w:kern w:val="0"/>
                <w:sz w:val="21"/>
                <w:szCs w:val="21"/>
              </w:rPr>
              <w:t>3</w:t>
            </w:r>
          </w:p>
        </w:tc>
        <w:tc>
          <w:tcPr>
            <w:tcW w:w="620" w:type="pct"/>
            <w:vMerge w:val="restart"/>
            <w:vAlign w:val="center"/>
          </w:tcPr>
          <w:p w14:paraId="2C92F2D2">
            <w:pPr>
              <w:snapToGrid w:val="0"/>
              <w:spacing w:line="240" w:lineRule="auto"/>
              <w:ind w:firstLine="0" w:firstLineChars="0"/>
              <w:jc w:val="center"/>
              <w:rPr>
                <w:rFonts w:cs="Times New Roman"/>
                <w:kern w:val="0"/>
                <w:sz w:val="21"/>
                <w:szCs w:val="21"/>
                <w:lang w:val="zh-CN"/>
              </w:rPr>
            </w:pPr>
            <w:r>
              <w:rPr>
                <w:rFonts w:cs="Times New Roman"/>
                <w:kern w:val="0"/>
                <w:sz w:val="21"/>
                <w:szCs w:val="21"/>
                <w:lang w:val="zh-CN"/>
              </w:rPr>
              <w:t>建滔（衡阳）电子材料有限公司</w:t>
            </w:r>
          </w:p>
        </w:tc>
        <w:tc>
          <w:tcPr>
            <w:tcW w:w="392" w:type="pct"/>
            <w:vAlign w:val="center"/>
          </w:tcPr>
          <w:p w14:paraId="71E14831">
            <w:pPr>
              <w:snapToGrid w:val="0"/>
              <w:spacing w:line="240" w:lineRule="auto"/>
              <w:ind w:firstLine="0" w:firstLineChars="0"/>
              <w:jc w:val="center"/>
              <w:rPr>
                <w:rFonts w:cs="Times New Roman"/>
                <w:kern w:val="0"/>
                <w:sz w:val="21"/>
                <w:szCs w:val="21"/>
              </w:rPr>
            </w:pPr>
            <w:r>
              <w:rPr>
                <w:rFonts w:cs="Times New Roman"/>
                <w:kern w:val="0"/>
                <w:sz w:val="21"/>
                <w:szCs w:val="21"/>
                <w:lang w:val="zh-CN"/>
              </w:rPr>
              <w:t>点源</w:t>
            </w:r>
          </w:p>
        </w:tc>
        <w:tc>
          <w:tcPr>
            <w:tcW w:w="802" w:type="pct"/>
            <w:vAlign w:val="center"/>
          </w:tcPr>
          <w:p w14:paraId="06446074">
            <w:pPr>
              <w:widowControl/>
              <w:snapToGrid w:val="0"/>
              <w:spacing w:line="240" w:lineRule="auto"/>
              <w:ind w:firstLine="0" w:firstLineChars="0"/>
              <w:jc w:val="center"/>
              <w:rPr>
                <w:rFonts w:cs="Times New Roman"/>
                <w:kern w:val="0"/>
                <w:sz w:val="21"/>
                <w:szCs w:val="21"/>
              </w:rPr>
            </w:pPr>
            <w:r>
              <w:rPr>
                <w:rFonts w:cs="Times New Roman"/>
                <w:kern w:val="0"/>
                <w:sz w:val="21"/>
                <w:szCs w:val="21"/>
              </w:rPr>
              <w:t>1</w:t>
            </w:r>
            <w:r>
              <w:rPr>
                <w:rFonts w:cs="Times New Roman"/>
                <w:kern w:val="0"/>
                <w:sz w:val="21"/>
                <w:szCs w:val="21"/>
                <w:vertAlign w:val="superscript"/>
              </w:rPr>
              <w:t>#</w:t>
            </w:r>
            <w:r>
              <w:rPr>
                <w:rFonts w:cs="Times New Roman"/>
                <w:kern w:val="0"/>
                <w:sz w:val="21"/>
                <w:szCs w:val="21"/>
              </w:rPr>
              <w:t>排气筒</w:t>
            </w:r>
          </w:p>
          <w:p w14:paraId="0CF2E62A">
            <w:pPr>
              <w:widowControl/>
              <w:snapToGrid w:val="0"/>
              <w:spacing w:line="240" w:lineRule="auto"/>
              <w:ind w:firstLine="0" w:firstLineChars="0"/>
              <w:jc w:val="center"/>
              <w:textAlignment w:val="center"/>
              <w:rPr>
                <w:rFonts w:cs="Times New Roman"/>
                <w:kern w:val="0"/>
                <w:sz w:val="21"/>
                <w:szCs w:val="21"/>
              </w:rPr>
            </w:pPr>
            <w:r>
              <w:rPr>
                <w:rFonts w:hint="eastAsia" w:cs="Times New Roman"/>
                <w:kern w:val="0"/>
                <w:sz w:val="21"/>
                <w:szCs w:val="21"/>
              </w:rPr>
              <w:t>（</w:t>
            </w:r>
            <w:r>
              <w:rPr>
                <w:rFonts w:cs="Times New Roman"/>
                <w:kern w:val="0"/>
                <w:sz w:val="21"/>
                <w:szCs w:val="21"/>
              </w:rPr>
              <w:t>兰炭输送系统</w:t>
            </w:r>
            <w:r>
              <w:rPr>
                <w:rFonts w:hint="eastAsia" w:cs="Times New Roman"/>
                <w:kern w:val="0"/>
                <w:sz w:val="21"/>
                <w:szCs w:val="21"/>
              </w:rPr>
              <w:t>废气）</w:t>
            </w:r>
          </w:p>
        </w:tc>
        <w:tc>
          <w:tcPr>
            <w:tcW w:w="333" w:type="pct"/>
            <w:vAlign w:val="center"/>
          </w:tcPr>
          <w:p w14:paraId="2CD5EF2B">
            <w:pPr>
              <w:widowControl/>
              <w:snapToGrid w:val="0"/>
              <w:spacing w:line="240" w:lineRule="auto"/>
              <w:ind w:firstLine="0" w:firstLineChars="0"/>
              <w:jc w:val="center"/>
              <w:rPr>
                <w:rFonts w:cs="Times New Roman"/>
                <w:sz w:val="21"/>
                <w:szCs w:val="21"/>
              </w:rPr>
            </w:pPr>
            <w:r>
              <w:rPr>
                <w:rFonts w:hint="eastAsia" w:cs="Times New Roman"/>
                <w:sz w:val="21"/>
                <w:szCs w:val="21"/>
              </w:rPr>
              <w:t>15</w:t>
            </w:r>
          </w:p>
        </w:tc>
        <w:tc>
          <w:tcPr>
            <w:tcW w:w="367" w:type="pct"/>
            <w:vAlign w:val="center"/>
          </w:tcPr>
          <w:p w14:paraId="3AF4F140">
            <w:pPr>
              <w:widowControl/>
              <w:snapToGrid w:val="0"/>
              <w:spacing w:line="240" w:lineRule="auto"/>
              <w:ind w:firstLine="0" w:firstLineChars="0"/>
              <w:jc w:val="center"/>
              <w:rPr>
                <w:rFonts w:cs="Times New Roman"/>
                <w:sz w:val="21"/>
                <w:szCs w:val="21"/>
              </w:rPr>
            </w:pPr>
            <w:r>
              <w:rPr>
                <w:rFonts w:hint="eastAsia" w:cs="Times New Roman"/>
                <w:sz w:val="21"/>
                <w:szCs w:val="21"/>
              </w:rPr>
              <w:t>0.5</w:t>
            </w:r>
          </w:p>
        </w:tc>
        <w:tc>
          <w:tcPr>
            <w:tcW w:w="350" w:type="pct"/>
            <w:vAlign w:val="center"/>
          </w:tcPr>
          <w:p w14:paraId="150574AD">
            <w:pPr>
              <w:widowControl/>
              <w:snapToGrid w:val="0"/>
              <w:spacing w:line="240" w:lineRule="auto"/>
              <w:ind w:firstLine="0" w:firstLineChars="0"/>
              <w:jc w:val="center"/>
              <w:rPr>
                <w:rFonts w:cs="Times New Roman"/>
                <w:sz w:val="21"/>
                <w:szCs w:val="21"/>
              </w:rPr>
            </w:pPr>
            <w:r>
              <w:rPr>
                <w:rFonts w:hint="eastAsia" w:cs="Times New Roman"/>
                <w:sz w:val="21"/>
                <w:szCs w:val="21"/>
              </w:rPr>
              <w:t>25</w:t>
            </w:r>
          </w:p>
        </w:tc>
        <w:tc>
          <w:tcPr>
            <w:tcW w:w="499" w:type="pct"/>
            <w:vAlign w:val="center"/>
          </w:tcPr>
          <w:p w14:paraId="7DD28EA4">
            <w:pPr>
              <w:widowControl/>
              <w:snapToGrid w:val="0"/>
              <w:spacing w:line="240" w:lineRule="auto"/>
              <w:ind w:firstLine="0" w:firstLineChars="0"/>
              <w:jc w:val="center"/>
              <w:rPr>
                <w:rFonts w:cs="Times New Roman"/>
                <w:sz w:val="21"/>
                <w:szCs w:val="21"/>
              </w:rPr>
            </w:pPr>
            <w:r>
              <w:rPr>
                <w:rFonts w:hint="eastAsia" w:cs="Times New Roman"/>
                <w:sz w:val="21"/>
                <w:szCs w:val="21"/>
              </w:rPr>
              <w:t>8000</w:t>
            </w:r>
          </w:p>
        </w:tc>
        <w:tc>
          <w:tcPr>
            <w:tcW w:w="316" w:type="pct"/>
            <w:vAlign w:val="center"/>
          </w:tcPr>
          <w:p w14:paraId="1B402D2F">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04" w:type="pct"/>
            <w:vAlign w:val="center"/>
          </w:tcPr>
          <w:p w14:paraId="0A2101CE">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651" w:type="pct"/>
            <w:vAlign w:val="center"/>
          </w:tcPr>
          <w:p w14:paraId="6944942F">
            <w:pPr>
              <w:widowControl/>
              <w:snapToGrid w:val="0"/>
              <w:spacing w:beforeLines="10" w:afterLines="10" w:line="240" w:lineRule="auto"/>
              <w:ind w:left="-72" w:leftChars="-30" w:right="-72" w:rightChars="-30" w:firstLine="0" w:firstLineChars="0"/>
              <w:contextualSpacing/>
              <w:jc w:val="center"/>
              <w:rPr>
                <w:rFonts w:cs="Times New Roman"/>
                <w:sz w:val="21"/>
                <w:szCs w:val="21"/>
              </w:rPr>
            </w:pPr>
            <w:r>
              <w:rPr>
                <w:rFonts w:hint="eastAsia" w:cs="Times New Roman"/>
                <w:sz w:val="21"/>
                <w:szCs w:val="21"/>
              </w:rPr>
              <w:t>0.110</w:t>
            </w:r>
          </w:p>
        </w:tc>
      </w:tr>
      <w:tr w14:paraId="59BCD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63" w:type="pct"/>
            <w:vMerge w:val="continue"/>
            <w:vAlign w:val="center"/>
          </w:tcPr>
          <w:p w14:paraId="058FCBF7">
            <w:pPr>
              <w:snapToGrid w:val="0"/>
              <w:spacing w:line="240" w:lineRule="auto"/>
              <w:ind w:firstLine="0" w:firstLineChars="0"/>
              <w:jc w:val="center"/>
              <w:rPr>
                <w:rFonts w:cs="Times New Roman"/>
                <w:kern w:val="0"/>
                <w:sz w:val="21"/>
                <w:szCs w:val="21"/>
              </w:rPr>
            </w:pPr>
          </w:p>
        </w:tc>
        <w:tc>
          <w:tcPr>
            <w:tcW w:w="620" w:type="pct"/>
            <w:vMerge w:val="continue"/>
            <w:vAlign w:val="center"/>
          </w:tcPr>
          <w:p w14:paraId="704B779B">
            <w:pPr>
              <w:snapToGrid w:val="0"/>
              <w:spacing w:line="240" w:lineRule="auto"/>
              <w:ind w:firstLine="0" w:firstLineChars="0"/>
              <w:jc w:val="center"/>
              <w:rPr>
                <w:rFonts w:cs="Times New Roman"/>
                <w:kern w:val="0"/>
                <w:sz w:val="21"/>
                <w:szCs w:val="21"/>
                <w:lang w:val="zh-CN"/>
              </w:rPr>
            </w:pPr>
          </w:p>
        </w:tc>
        <w:tc>
          <w:tcPr>
            <w:tcW w:w="392" w:type="pct"/>
            <w:vAlign w:val="center"/>
          </w:tcPr>
          <w:p w14:paraId="245BAD36">
            <w:pPr>
              <w:snapToGrid w:val="0"/>
              <w:spacing w:line="240" w:lineRule="auto"/>
              <w:ind w:firstLine="0" w:firstLineChars="0"/>
              <w:jc w:val="center"/>
              <w:rPr>
                <w:rFonts w:cs="Times New Roman"/>
                <w:kern w:val="0"/>
                <w:sz w:val="21"/>
                <w:szCs w:val="21"/>
              </w:rPr>
            </w:pPr>
            <w:r>
              <w:rPr>
                <w:rFonts w:cs="Times New Roman"/>
                <w:kern w:val="0"/>
                <w:sz w:val="21"/>
                <w:szCs w:val="21"/>
                <w:lang w:val="zh-CN"/>
              </w:rPr>
              <w:t>点源</w:t>
            </w:r>
          </w:p>
        </w:tc>
        <w:tc>
          <w:tcPr>
            <w:tcW w:w="802" w:type="pct"/>
            <w:vAlign w:val="center"/>
          </w:tcPr>
          <w:p w14:paraId="1099CB03">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rPr>
              <w:t>2</w:t>
            </w:r>
            <w:r>
              <w:rPr>
                <w:rFonts w:cs="Times New Roman"/>
                <w:kern w:val="0"/>
                <w:sz w:val="21"/>
                <w:szCs w:val="21"/>
                <w:vertAlign w:val="superscript"/>
              </w:rPr>
              <w:t>#</w:t>
            </w:r>
            <w:r>
              <w:rPr>
                <w:rFonts w:cs="Times New Roman"/>
                <w:kern w:val="0"/>
                <w:sz w:val="21"/>
                <w:szCs w:val="21"/>
              </w:rPr>
              <w:t>排气筒</w:t>
            </w:r>
            <w:r>
              <w:rPr>
                <w:rFonts w:hint="eastAsia" w:cs="Times New Roman"/>
                <w:kern w:val="0"/>
                <w:sz w:val="21"/>
                <w:szCs w:val="21"/>
              </w:rPr>
              <w:t>（气化装置烟灰渣出渣粉尘）</w:t>
            </w:r>
          </w:p>
        </w:tc>
        <w:tc>
          <w:tcPr>
            <w:tcW w:w="333" w:type="pct"/>
            <w:vAlign w:val="center"/>
          </w:tcPr>
          <w:p w14:paraId="7C4DA965">
            <w:pPr>
              <w:widowControl/>
              <w:snapToGrid w:val="0"/>
              <w:spacing w:line="240" w:lineRule="auto"/>
              <w:ind w:firstLine="0" w:firstLineChars="0"/>
              <w:jc w:val="center"/>
              <w:rPr>
                <w:rFonts w:cs="Times New Roman"/>
                <w:sz w:val="21"/>
                <w:szCs w:val="21"/>
              </w:rPr>
            </w:pPr>
            <w:r>
              <w:rPr>
                <w:rFonts w:hint="eastAsia" w:cs="Times New Roman"/>
                <w:sz w:val="21"/>
                <w:szCs w:val="21"/>
              </w:rPr>
              <w:t>15</w:t>
            </w:r>
          </w:p>
        </w:tc>
        <w:tc>
          <w:tcPr>
            <w:tcW w:w="367" w:type="pct"/>
            <w:vAlign w:val="center"/>
          </w:tcPr>
          <w:p w14:paraId="5B5D4F39">
            <w:pPr>
              <w:widowControl/>
              <w:snapToGrid w:val="0"/>
              <w:spacing w:line="240" w:lineRule="auto"/>
              <w:ind w:firstLine="0" w:firstLineChars="0"/>
              <w:jc w:val="center"/>
              <w:rPr>
                <w:rFonts w:cs="Times New Roman"/>
                <w:sz w:val="21"/>
                <w:szCs w:val="21"/>
              </w:rPr>
            </w:pPr>
            <w:r>
              <w:rPr>
                <w:rFonts w:hint="eastAsia" w:cs="Times New Roman"/>
                <w:sz w:val="21"/>
                <w:szCs w:val="21"/>
              </w:rPr>
              <w:t>0.8</w:t>
            </w:r>
          </w:p>
        </w:tc>
        <w:tc>
          <w:tcPr>
            <w:tcW w:w="350" w:type="pct"/>
            <w:vAlign w:val="center"/>
          </w:tcPr>
          <w:p w14:paraId="635C515D">
            <w:pPr>
              <w:widowControl/>
              <w:snapToGrid w:val="0"/>
              <w:spacing w:line="240" w:lineRule="auto"/>
              <w:ind w:firstLine="0" w:firstLineChars="0"/>
              <w:jc w:val="center"/>
              <w:rPr>
                <w:rFonts w:cs="Times New Roman"/>
                <w:sz w:val="21"/>
                <w:szCs w:val="21"/>
              </w:rPr>
            </w:pPr>
            <w:r>
              <w:rPr>
                <w:rFonts w:hint="eastAsia" w:cs="Times New Roman"/>
                <w:sz w:val="21"/>
                <w:szCs w:val="21"/>
              </w:rPr>
              <w:t>25</w:t>
            </w:r>
          </w:p>
        </w:tc>
        <w:tc>
          <w:tcPr>
            <w:tcW w:w="499" w:type="pct"/>
            <w:vAlign w:val="center"/>
          </w:tcPr>
          <w:p w14:paraId="262E9D65">
            <w:pPr>
              <w:widowControl/>
              <w:snapToGrid w:val="0"/>
              <w:spacing w:line="240" w:lineRule="auto"/>
              <w:ind w:firstLine="0" w:firstLineChars="0"/>
              <w:jc w:val="center"/>
              <w:rPr>
                <w:rFonts w:cs="Times New Roman"/>
                <w:sz w:val="21"/>
                <w:szCs w:val="21"/>
              </w:rPr>
            </w:pPr>
            <w:r>
              <w:rPr>
                <w:rFonts w:hint="eastAsia" w:cs="Times New Roman"/>
                <w:sz w:val="21"/>
                <w:szCs w:val="21"/>
              </w:rPr>
              <w:t>20000</w:t>
            </w:r>
          </w:p>
        </w:tc>
        <w:tc>
          <w:tcPr>
            <w:tcW w:w="316" w:type="pct"/>
            <w:vAlign w:val="center"/>
          </w:tcPr>
          <w:p w14:paraId="4349CECB">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04" w:type="pct"/>
            <w:vAlign w:val="center"/>
          </w:tcPr>
          <w:p w14:paraId="25B16969">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651" w:type="pct"/>
            <w:vAlign w:val="center"/>
          </w:tcPr>
          <w:p w14:paraId="7C8B27DA">
            <w:pPr>
              <w:widowControl/>
              <w:snapToGrid w:val="0"/>
              <w:spacing w:beforeLines="10" w:afterLines="10" w:line="240" w:lineRule="auto"/>
              <w:ind w:left="-72" w:leftChars="-30" w:right="-72" w:rightChars="-30" w:firstLine="0" w:firstLineChars="0"/>
              <w:contextualSpacing/>
              <w:jc w:val="center"/>
              <w:rPr>
                <w:rFonts w:cs="Times New Roman"/>
                <w:sz w:val="21"/>
                <w:szCs w:val="21"/>
              </w:rPr>
            </w:pPr>
            <w:r>
              <w:rPr>
                <w:rFonts w:hint="eastAsia" w:cs="Times New Roman"/>
                <w:sz w:val="21"/>
                <w:szCs w:val="21"/>
              </w:rPr>
              <w:t>0.313</w:t>
            </w:r>
          </w:p>
        </w:tc>
      </w:tr>
      <w:tr w14:paraId="3F400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63" w:type="pct"/>
            <w:vMerge w:val="continue"/>
            <w:vAlign w:val="center"/>
          </w:tcPr>
          <w:p w14:paraId="5A87DA0D">
            <w:pPr>
              <w:snapToGrid w:val="0"/>
              <w:spacing w:line="240" w:lineRule="auto"/>
              <w:ind w:firstLine="0" w:firstLineChars="0"/>
              <w:jc w:val="center"/>
              <w:rPr>
                <w:rFonts w:cs="Times New Roman"/>
                <w:kern w:val="0"/>
                <w:sz w:val="21"/>
                <w:szCs w:val="21"/>
              </w:rPr>
            </w:pPr>
          </w:p>
        </w:tc>
        <w:tc>
          <w:tcPr>
            <w:tcW w:w="620" w:type="pct"/>
            <w:vMerge w:val="continue"/>
            <w:vAlign w:val="center"/>
          </w:tcPr>
          <w:p w14:paraId="139B4668">
            <w:pPr>
              <w:snapToGrid w:val="0"/>
              <w:spacing w:line="240" w:lineRule="auto"/>
              <w:ind w:firstLine="0" w:firstLineChars="0"/>
              <w:jc w:val="center"/>
              <w:rPr>
                <w:rFonts w:cs="Times New Roman"/>
                <w:kern w:val="0"/>
                <w:sz w:val="21"/>
                <w:szCs w:val="21"/>
                <w:lang w:val="zh-CN"/>
              </w:rPr>
            </w:pPr>
          </w:p>
        </w:tc>
        <w:tc>
          <w:tcPr>
            <w:tcW w:w="392" w:type="pct"/>
            <w:vAlign w:val="center"/>
          </w:tcPr>
          <w:p w14:paraId="186063F6">
            <w:pPr>
              <w:snapToGrid w:val="0"/>
              <w:spacing w:line="240" w:lineRule="auto"/>
              <w:ind w:firstLine="0" w:firstLineChars="0"/>
              <w:jc w:val="center"/>
              <w:rPr>
                <w:rFonts w:cs="Times New Roman"/>
                <w:kern w:val="0"/>
                <w:sz w:val="21"/>
                <w:szCs w:val="21"/>
              </w:rPr>
            </w:pPr>
            <w:r>
              <w:rPr>
                <w:rFonts w:cs="Times New Roman"/>
                <w:kern w:val="0"/>
                <w:sz w:val="21"/>
                <w:szCs w:val="21"/>
                <w:lang w:val="zh-CN"/>
              </w:rPr>
              <w:t>点源</w:t>
            </w:r>
          </w:p>
        </w:tc>
        <w:tc>
          <w:tcPr>
            <w:tcW w:w="802" w:type="pct"/>
            <w:vAlign w:val="center"/>
          </w:tcPr>
          <w:p w14:paraId="761C1C7C">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rPr>
              <w:t>3</w:t>
            </w:r>
            <w:r>
              <w:rPr>
                <w:rFonts w:cs="Times New Roman"/>
                <w:kern w:val="0"/>
                <w:sz w:val="21"/>
                <w:szCs w:val="21"/>
                <w:vertAlign w:val="superscript"/>
              </w:rPr>
              <w:t>#</w:t>
            </w:r>
            <w:r>
              <w:rPr>
                <w:rFonts w:cs="Times New Roman"/>
                <w:kern w:val="0"/>
                <w:sz w:val="21"/>
                <w:szCs w:val="21"/>
              </w:rPr>
              <w:t>排气筒</w:t>
            </w:r>
            <w:r>
              <w:rPr>
                <w:rFonts w:hint="eastAsia" w:cs="Times New Roman"/>
                <w:kern w:val="0"/>
                <w:sz w:val="21"/>
                <w:szCs w:val="21"/>
              </w:rPr>
              <w:t>（硫回收系统（含脱硫脱碳单元闪蒸尾气、硫回收尾气））</w:t>
            </w:r>
          </w:p>
        </w:tc>
        <w:tc>
          <w:tcPr>
            <w:tcW w:w="333" w:type="pct"/>
            <w:vAlign w:val="center"/>
          </w:tcPr>
          <w:p w14:paraId="76F9032D">
            <w:pPr>
              <w:widowControl/>
              <w:snapToGrid w:val="0"/>
              <w:spacing w:line="240" w:lineRule="auto"/>
              <w:ind w:firstLine="0" w:firstLineChars="0"/>
              <w:jc w:val="center"/>
              <w:rPr>
                <w:rFonts w:cs="Times New Roman"/>
                <w:sz w:val="21"/>
                <w:szCs w:val="21"/>
              </w:rPr>
            </w:pPr>
            <w:r>
              <w:rPr>
                <w:rFonts w:hint="eastAsia" w:cs="Times New Roman"/>
                <w:sz w:val="21"/>
                <w:szCs w:val="21"/>
              </w:rPr>
              <w:t>15</w:t>
            </w:r>
          </w:p>
        </w:tc>
        <w:tc>
          <w:tcPr>
            <w:tcW w:w="367" w:type="pct"/>
            <w:vAlign w:val="center"/>
          </w:tcPr>
          <w:p w14:paraId="457B58D8">
            <w:pPr>
              <w:widowControl/>
              <w:snapToGrid w:val="0"/>
              <w:spacing w:line="240" w:lineRule="auto"/>
              <w:ind w:firstLine="0" w:firstLineChars="0"/>
              <w:jc w:val="center"/>
              <w:rPr>
                <w:rFonts w:cs="Times New Roman"/>
                <w:sz w:val="21"/>
                <w:szCs w:val="21"/>
              </w:rPr>
            </w:pPr>
            <w:r>
              <w:rPr>
                <w:rFonts w:hint="eastAsia" w:cs="Times New Roman"/>
                <w:sz w:val="21"/>
                <w:szCs w:val="21"/>
              </w:rPr>
              <w:t>0.4</w:t>
            </w:r>
          </w:p>
        </w:tc>
        <w:tc>
          <w:tcPr>
            <w:tcW w:w="350" w:type="pct"/>
            <w:vAlign w:val="center"/>
          </w:tcPr>
          <w:p w14:paraId="1219A56F">
            <w:pPr>
              <w:widowControl/>
              <w:snapToGrid w:val="0"/>
              <w:spacing w:line="240" w:lineRule="auto"/>
              <w:ind w:firstLine="0" w:firstLineChars="0"/>
              <w:jc w:val="center"/>
              <w:rPr>
                <w:rFonts w:cs="Times New Roman"/>
                <w:sz w:val="21"/>
                <w:szCs w:val="21"/>
              </w:rPr>
            </w:pPr>
            <w:r>
              <w:rPr>
                <w:rFonts w:hint="eastAsia" w:cs="Times New Roman"/>
                <w:sz w:val="21"/>
                <w:szCs w:val="21"/>
              </w:rPr>
              <w:t>25</w:t>
            </w:r>
          </w:p>
        </w:tc>
        <w:tc>
          <w:tcPr>
            <w:tcW w:w="499" w:type="pct"/>
            <w:vAlign w:val="center"/>
          </w:tcPr>
          <w:p w14:paraId="042A8099">
            <w:pPr>
              <w:widowControl/>
              <w:snapToGrid w:val="0"/>
              <w:spacing w:line="240" w:lineRule="auto"/>
              <w:ind w:firstLine="0" w:firstLineChars="0"/>
              <w:jc w:val="center"/>
              <w:rPr>
                <w:rFonts w:cs="Times New Roman"/>
                <w:sz w:val="21"/>
                <w:szCs w:val="21"/>
              </w:rPr>
            </w:pPr>
            <w:r>
              <w:rPr>
                <w:rFonts w:hint="eastAsia" w:cs="Times New Roman"/>
                <w:sz w:val="21"/>
                <w:szCs w:val="21"/>
              </w:rPr>
              <w:t>4536</w:t>
            </w:r>
          </w:p>
        </w:tc>
        <w:tc>
          <w:tcPr>
            <w:tcW w:w="316" w:type="pct"/>
            <w:vAlign w:val="center"/>
          </w:tcPr>
          <w:p w14:paraId="47B47AC1">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04" w:type="pct"/>
            <w:vAlign w:val="center"/>
          </w:tcPr>
          <w:p w14:paraId="28ECCD87">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651" w:type="pct"/>
            <w:vAlign w:val="center"/>
          </w:tcPr>
          <w:p w14:paraId="24E8305E">
            <w:pPr>
              <w:widowControl/>
              <w:snapToGrid w:val="0"/>
              <w:spacing w:beforeLines="10" w:afterLines="10" w:line="240" w:lineRule="auto"/>
              <w:ind w:left="-72" w:leftChars="-30" w:right="-72" w:rightChars="-30" w:firstLine="0" w:firstLineChars="0"/>
              <w:contextualSpacing/>
              <w:jc w:val="center"/>
              <w:rPr>
                <w:rFonts w:cs="Times New Roman"/>
                <w:sz w:val="21"/>
                <w:szCs w:val="21"/>
              </w:rPr>
            </w:pPr>
            <w:r>
              <w:rPr>
                <w:rFonts w:hint="eastAsia" w:cs="Times New Roman"/>
                <w:sz w:val="21"/>
                <w:szCs w:val="21"/>
              </w:rPr>
              <w:t>0.032</w:t>
            </w:r>
          </w:p>
        </w:tc>
      </w:tr>
      <w:tr w14:paraId="3A82E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63" w:type="pct"/>
            <w:vMerge w:val="continue"/>
            <w:vAlign w:val="center"/>
          </w:tcPr>
          <w:p w14:paraId="3AECF34C">
            <w:pPr>
              <w:snapToGrid w:val="0"/>
              <w:spacing w:line="240" w:lineRule="auto"/>
              <w:ind w:firstLine="0" w:firstLineChars="0"/>
              <w:jc w:val="center"/>
              <w:rPr>
                <w:rFonts w:cs="Times New Roman"/>
                <w:kern w:val="0"/>
                <w:sz w:val="21"/>
                <w:szCs w:val="21"/>
              </w:rPr>
            </w:pPr>
          </w:p>
        </w:tc>
        <w:tc>
          <w:tcPr>
            <w:tcW w:w="620" w:type="pct"/>
            <w:vMerge w:val="continue"/>
            <w:vAlign w:val="center"/>
          </w:tcPr>
          <w:p w14:paraId="1A77C53E">
            <w:pPr>
              <w:snapToGrid w:val="0"/>
              <w:spacing w:line="240" w:lineRule="auto"/>
              <w:ind w:firstLine="0" w:firstLineChars="0"/>
              <w:jc w:val="center"/>
              <w:rPr>
                <w:rFonts w:cs="Times New Roman"/>
                <w:kern w:val="0"/>
                <w:sz w:val="21"/>
                <w:szCs w:val="21"/>
                <w:lang w:val="zh-CN"/>
              </w:rPr>
            </w:pPr>
          </w:p>
        </w:tc>
        <w:tc>
          <w:tcPr>
            <w:tcW w:w="392" w:type="pct"/>
            <w:vAlign w:val="center"/>
          </w:tcPr>
          <w:p w14:paraId="799715F1">
            <w:pPr>
              <w:snapToGrid w:val="0"/>
              <w:spacing w:line="240" w:lineRule="auto"/>
              <w:ind w:firstLine="0" w:firstLineChars="0"/>
              <w:jc w:val="center"/>
              <w:rPr>
                <w:rFonts w:cs="Times New Roman"/>
                <w:kern w:val="0"/>
                <w:sz w:val="21"/>
                <w:szCs w:val="21"/>
              </w:rPr>
            </w:pPr>
            <w:r>
              <w:rPr>
                <w:rFonts w:cs="Times New Roman"/>
                <w:kern w:val="0"/>
                <w:sz w:val="21"/>
                <w:szCs w:val="21"/>
                <w:lang w:val="zh-CN"/>
              </w:rPr>
              <w:t>点源</w:t>
            </w:r>
          </w:p>
        </w:tc>
        <w:tc>
          <w:tcPr>
            <w:tcW w:w="802" w:type="pct"/>
            <w:vAlign w:val="center"/>
          </w:tcPr>
          <w:p w14:paraId="37D0C746">
            <w:pPr>
              <w:widowControl/>
              <w:snapToGrid w:val="0"/>
              <w:spacing w:line="240" w:lineRule="auto"/>
              <w:ind w:firstLine="0" w:firstLineChars="0"/>
              <w:jc w:val="center"/>
              <w:textAlignment w:val="center"/>
              <w:rPr>
                <w:rFonts w:cs="Times New Roman"/>
                <w:kern w:val="0"/>
                <w:sz w:val="21"/>
                <w:szCs w:val="21"/>
              </w:rPr>
            </w:pPr>
            <w:r>
              <w:rPr>
                <w:rFonts w:hint="eastAsia" w:cs="Times New Roman"/>
                <w:kern w:val="0"/>
                <w:sz w:val="21"/>
                <w:szCs w:val="21"/>
              </w:rPr>
              <w:t>4</w:t>
            </w:r>
            <w:r>
              <w:rPr>
                <w:rFonts w:cs="Times New Roman"/>
                <w:kern w:val="0"/>
                <w:sz w:val="21"/>
                <w:szCs w:val="21"/>
                <w:vertAlign w:val="superscript"/>
              </w:rPr>
              <w:t>#</w:t>
            </w:r>
            <w:r>
              <w:rPr>
                <w:rFonts w:cs="Times New Roman"/>
                <w:kern w:val="0"/>
                <w:sz w:val="21"/>
                <w:szCs w:val="21"/>
              </w:rPr>
              <w:t>排气筒</w:t>
            </w:r>
            <w:r>
              <w:rPr>
                <w:rFonts w:hint="eastAsia" w:cs="Times New Roman"/>
                <w:kern w:val="0"/>
                <w:sz w:val="21"/>
                <w:szCs w:val="21"/>
              </w:rPr>
              <w:t>（</w:t>
            </w:r>
            <w:r>
              <w:rPr>
                <w:rFonts w:cs="Times New Roman"/>
                <w:kern w:val="0"/>
                <w:sz w:val="21"/>
                <w:szCs w:val="21"/>
              </w:rPr>
              <w:t>造气废水处理系统恶臭尾气、低温甲醇洗尾气、冷箱分离燃料气、醋酸装置尾气（含碘甲烷尾气、闪蒸尾气及其他不凝尾气）</w:t>
            </w:r>
            <w:r>
              <w:rPr>
                <w:rFonts w:hint="eastAsia" w:cs="Times New Roman"/>
                <w:kern w:val="0"/>
                <w:sz w:val="21"/>
                <w:szCs w:val="21"/>
              </w:rPr>
              <w:t>）</w:t>
            </w:r>
          </w:p>
        </w:tc>
        <w:tc>
          <w:tcPr>
            <w:tcW w:w="333" w:type="pct"/>
            <w:vAlign w:val="center"/>
          </w:tcPr>
          <w:p w14:paraId="2022CE6C">
            <w:pPr>
              <w:widowControl/>
              <w:snapToGrid w:val="0"/>
              <w:spacing w:line="240" w:lineRule="auto"/>
              <w:ind w:firstLine="0" w:firstLineChars="0"/>
              <w:jc w:val="center"/>
              <w:rPr>
                <w:rFonts w:cs="Times New Roman"/>
                <w:sz w:val="21"/>
                <w:szCs w:val="21"/>
              </w:rPr>
            </w:pPr>
            <w:r>
              <w:rPr>
                <w:rFonts w:hint="eastAsia" w:cs="Times New Roman"/>
                <w:sz w:val="21"/>
                <w:szCs w:val="21"/>
              </w:rPr>
              <w:t>45</w:t>
            </w:r>
          </w:p>
        </w:tc>
        <w:tc>
          <w:tcPr>
            <w:tcW w:w="367" w:type="pct"/>
            <w:vAlign w:val="center"/>
          </w:tcPr>
          <w:p w14:paraId="268E29DB">
            <w:pPr>
              <w:widowControl/>
              <w:snapToGrid w:val="0"/>
              <w:spacing w:line="240" w:lineRule="auto"/>
              <w:ind w:firstLine="0" w:firstLineChars="0"/>
              <w:jc w:val="center"/>
              <w:rPr>
                <w:rFonts w:cs="Times New Roman"/>
                <w:sz w:val="21"/>
                <w:szCs w:val="21"/>
              </w:rPr>
            </w:pPr>
            <w:r>
              <w:rPr>
                <w:rFonts w:hint="eastAsia" w:cs="Times New Roman"/>
                <w:sz w:val="21"/>
                <w:szCs w:val="21"/>
              </w:rPr>
              <w:t>1.5</w:t>
            </w:r>
          </w:p>
        </w:tc>
        <w:tc>
          <w:tcPr>
            <w:tcW w:w="350" w:type="pct"/>
            <w:vAlign w:val="center"/>
          </w:tcPr>
          <w:p w14:paraId="5D5D4716">
            <w:pPr>
              <w:widowControl/>
              <w:snapToGrid w:val="0"/>
              <w:spacing w:line="240" w:lineRule="auto"/>
              <w:ind w:firstLine="0" w:firstLineChars="0"/>
              <w:jc w:val="center"/>
              <w:rPr>
                <w:rFonts w:cs="Times New Roman"/>
                <w:sz w:val="21"/>
                <w:szCs w:val="21"/>
              </w:rPr>
            </w:pPr>
            <w:r>
              <w:rPr>
                <w:rFonts w:hint="eastAsia" w:cs="Times New Roman"/>
                <w:sz w:val="21"/>
                <w:szCs w:val="21"/>
              </w:rPr>
              <w:t>60</w:t>
            </w:r>
          </w:p>
        </w:tc>
        <w:tc>
          <w:tcPr>
            <w:tcW w:w="499" w:type="pct"/>
            <w:vAlign w:val="center"/>
          </w:tcPr>
          <w:p w14:paraId="23044162">
            <w:pPr>
              <w:widowControl/>
              <w:snapToGrid w:val="0"/>
              <w:spacing w:line="240" w:lineRule="auto"/>
              <w:ind w:firstLine="0" w:firstLineChars="0"/>
              <w:jc w:val="center"/>
              <w:rPr>
                <w:rFonts w:cs="Times New Roman"/>
                <w:sz w:val="21"/>
                <w:szCs w:val="21"/>
              </w:rPr>
            </w:pPr>
            <w:r>
              <w:rPr>
                <w:rFonts w:hint="eastAsia" w:cs="Times New Roman"/>
                <w:sz w:val="21"/>
                <w:szCs w:val="21"/>
              </w:rPr>
              <w:t>72552</w:t>
            </w:r>
          </w:p>
        </w:tc>
        <w:tc>
          <w:tcPr>
            <w:tcW w:w="316" w:type="pct"/>
            <w:vAlign w:val="center"/>
          </w:tcPr>
          <w:p w14:paraId="159AA9F9">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04" w:type="pct"/>
            <w:vAlign w:val="center"/>
          </w:tcPr>
          <w:p w14:paraId="3020C7BB">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651" w:type="pct"/>
            <w:vAlign w:val="center"/>
          </w:tcPr>
          <w:p w14:paraId="08E2D0F8">
            <w:pPr>
              <w:widowControl/>
              <w:snapToGrid w:val="0"/>
              <w:spacing w:beforeLines="10" w:afterLines="10" w:line="240" w:lineRule="auto"/>
              <w:ind w:left="-72" w:leftChars="-30" w:right="-72" w:rightChars="-30" w:firstLine="0" w:firstLineChars="0"/>
              <w:contextualSpacing/>
              <w:jc w:val="center"/>
              <w:rPr>
                <w:rFonts w:cs="Times New Roman"/>
                <w:sz w:val="21"/>
                <w:szCs w:val="21"/>
              </w:rPr>
            </w:pPr>
            <w:r>
              <w:rPr>
                <w:rFonts w:hint="eastAsia" w:cs="Times New Roman"/>
                <w:sz w:val="21"/>
                <w:szCs w:val="21"/>
              </w:rPr>
              <w:t>0.86</w:t>
            </w:r>
          </w:p>
        </w:tc>
      </w:tr>
      <w:tr w14:paraId="3220D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63" w:type="pct"/>
            <w:vMerge w:val="continue"/>
            <w:vAlign w:val="center"/>
          </w:tcPr>
          <w:p w14:paraId="3C8CB0D6">
            <w:pPr>
              <w:snapToGrid w:val="0"/>
              <w:spacing w:line="240" w:lineRule="auto"/>
              <w:ind w:firstLine="0" w:firstLineChars="0"/>
              <w:jc w:val="center"/>
              <w:rPr>
                <w:rFonts w:cs="Times New Roman"/>
                <w:kern w:val="0"/>
                <w:sz w:val="21"/>
                <w:szCs w:val="21"/>
              </w:rPr>
            </w:pPr>
          </w:p>
        </w:tc>
        <w:tc>
          <w:tcPr>
            <w:tcW w:w="620" w:type="pct"/>
            <w:vMerge w:val="continue"/>
            <w:vAlign w:val="center"/>
          </w:tcPr>
          <w:p w14:paraId="0BE5CBEA">
            <w:pPr>
              <w:snapToGrid w:val="0"/>
              <w:spacing w:line="240" w:lineRule="auto"/>
              <w:ind w:firstLine="0" w:firstLineChars="0"/>
              <w:jc w:val="center"/>
              <w:rPr>
                <w:rFonts w:cs="Times New Roman"/>
                <w:kern w:val="0"/>
                <w:sz w:val="21"/>
                <w:szCs w:val="21"/>
                <w:lang w:val="zh-CN"/>
              </w:rPr>
            </w:pPr>
          </w:p>
        </w:tc>
        <w:tc>
          <w:tcPr>
            <w:tcW w:w="392" w:type="pct"/>
            <w:vAlign w:val="center"/>
          </w:tcPr>
          <w:p w14:paraId="0F2394A9">
            <w:pPr>
              <w:snapToGrid w:val="0"/>
              <w:spacing w:line="240" w:lineRule="auto"/>
              <w:ind w:firstLine="0" w:firstLineChars="0"/>
              <w:jc w:val="center"/>
              <w:rPr>
                <w:rFonts w:cs="Times New Roman"/>
                <w:kern w:val="0"/>
                <w:sz w:val="21"/>
                <w:szCs w:val="21"/>
              </w:rPr>
            </w:pPr>
            <w:r>
              <w:rPr>
                <w:rFonts w:hint="eastAsia" w:cs="Times New Roman"/>
                <w:kern w:val="0"/>
                <w:sz w:val="21"/>
                <w:szCs w:val="21"/>
              </w:rPr>
              <w:t>面源</w:t>
            </w:r>
          </w:p>
        </w:tc>
        <w:tc>
          <w:tcPr>
            <w:tcW w:w="802" w:type="pct"/>
            <w:vAlign w:val="center"/>
          </w:tcPr>
          <w:p w14:paraId="4FD534CE">
            <w:pPr>
              <w:widowControl/>
              <w:snapToGrid w:val="0"/>
              <w:spacing w:line="240" w:lineRule="auto"/>
              <w:ind w:firstLine="0" w:firstLineChars="0"/>
              <w:jc w:val="center"/>
              <w:textAlignment w:val="center"/>
              <w:rPr>
                <w:rFonts w:cs="Times New Roman"/>
                <w:kern w:val="0"/>
                <w:sz w:val="21"/>
                <w:szCs w:val="21"/>
              </w:rPr>
            </w:pPr>
            <w:r>
              <w:rPr>
                <w:rFonts w:cs="Times New Roman"/>
                <w:kern w:val="0"/>
                <w:sz w:val="21"/>
                <w:szCs w:val="21"/>
              </w:rPr>
              <w:t>兰炭装卸</w:t>
            </w:r>
            <w:r>
              <w:rPr>
                <w:rFonts w:hint="eastAsia" w:cs="Times New Roman"/>
                <w:kern w:val="0"/>
                <w:sz w:val="21"/>
                <w:szCs w:val="21"/>
              </w:rPr>
              <w:t>面源</w:t>
            </w:r>
          </w:p>
        </w:tc>
        <w:tc>
          <w:tcPr>
            <w:tcW w:w="1550" w:type="pct"/>
            <w:gridSpan w:val="4"/>
            <w:vAlign w:val="center"/>
          </w:tcPr>
          <w:p w14:paraId="387798E8">
            <w:pPr>
              <w:widowControl/>
              <w:snapToGrid w:val="0"/>
              <w:spacing w:line="240" w:lineRule="auto"/>
              <w:ind w:firstLine="0" w:firstLineChars="0"/>
              <w:jc w:val="center"/>
              <w:rPr>
                <w:rFonts w:cs="Times New Roman"/>
                <w:sz w:val="21"/>
                <w:szCs w:val="21"/>
              </w:rPr>
            </w:pPr>
            <w:r>
              <w:rPr>
                <w:rFonts w:hint="eastAsia" w:cs="Times New Roman"/>
                <w:sz w:val="21"/>
                <w:szCs w:val="21"/>
              </w:rPr>
              <w:t>200</w:t>
            </w:r>
            <w:r>
              <w:rPr>
                <w:rFonts w:cs="Times New Roman"/>
                <w:sz w:val="21"/>
                <w:szCs w:val="21"/>
              </w:rPr>
              <w:t>×</w:t>
            </w:r>
            <w:r>
              <w:rPr>
                <w:rFonts w:hint="eastAsia" w:cs="Times New Roman"/>
                <w:sz w:val="21"/>
                <w:szCs w:val="21"/>
              </w:rPr>
              <w:t>80</w:t>
            </w:r>
            <w:r>
              <w:rPr>
                <w:rFonts w:cs="Times New Roman"/>
                <w:sz w:val="21"/>
                <w:szCs w:val="21"/>
              </w:rPr>
              <w:t>×</w:t>
            </w:r>
            <w:r>
              <w:rPr>
                <w:rFonts w:hint="eastAsia" w:cs="Times New Roman"/>
                <w:sz w:val="21"/>
                <w:szCs w:val="21"/>
              </w:rPr>
              <w:t>8</w:t>
            </w:r>
          </w:p>
        </w:tc>
        <w:tc>
          <w:tcPr>
            <w:tcW w:w="316" w:type="pct"/>
            <w:vAlign w:val="center"/>
          </w:tcPr>
          <w:p w14:paraId="1DDFDA01">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04" w:type="pct"/>
            <w:vAlign w:val="center"/>
          </w:tcPr>
          <w:p w14:paraId="15BCFB04">
            <w:pPr>
              <w:autoSpaceDE w:val="0"/>
              <w:autoSpaceDN w:val="0"/>
              <w:snapToGrid w:val="0"/>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651" w:type="pct"/>
            <w:vAlign w:val="center"/>
          </w:tcPr>
          <w:p w14:paraId="15B2D65A">
            <w:pPr>
              <w:widowControl/>
              <w:snapToGrid w:val="0"/>
              <w:spacing w:beforeLines="10" w:afterLines="10" w:line="240" w:lineRule="auto"/>
              <w:ind w:left="-72" w:leftChars="-30" w:right="-72" w:rightChars="-30" w:firstLine="0" w:firstLineChars="0"/>
              <w:contextualSpacing/>
              <w:jc w:val="center"/>
              <w:rPr>
                <w:rFonts w:cs="Times New Roman"/>
                <w:sz w:val="21"/>
                <w:szCs w:val="21"/>
              </w:rPr>
            </w:pPr>
            <w:r>
              <w:rPr>
                <w:rFonts w:hint="eastAsia" w:cs="Times New Roman"/>
                <w:sz w:val="21"/>
                <w:szCs w:val="21"/>
              </w:rPr>
              <w:t>0.35</w:t>
            </w:r>
          </w:p>
        </w:tc>
      </w:tr>
    </w:tbl>
    <w:p w14:paraId="6576CEFF">
      <w:pPr>
        <w:spacing w:line="240" w:lineRule="auto"/>
        <w:ind w:firstLine="0" w:firstLineChars="0"/>
      </w:pPr>
    </w:p>
    <w:p w14:paraId="35A3570C">
      <w:pPr>
        <w:pStyle w:val="43"/>
        <w:numPr>
          <w:ilvl w:val="5"/>
          <w:numId w:val="1"/>
        </w:numPr>
        <w:rPr>
          <w:rFonts w:hint="default"/>
        </w:rPr>
      </w:pPr>
      <w:r>
        <w:t>区域削减污染源排放情况一览表</w:t>
      </w:r>
    </w:p>
    <w:tbl>
      <w:tblPr>
        <w:tblStyle w:val="32"/>
        <w:tblpPr w:leftFromText="180" w:rightFromText="180" w:vertAnchor="text" w:tblpY="1"/>
        <w:tblOverlap w:val="neve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54"/>
        <w:gridCol w:w="2012"/>
        <w:gridCol w:w="1420"/>
        <w:gridCol w:w="2222"/>
        <w:gridCol w:w="897"/>
        <w:gridCol w:w="908"/>
        <w:gridCol w:w="1042"/>
        <w:gridCol w:w="1255"/>
        <w:gridCol w:w="1062"/>
        <w:gridCol w:w="791"/>
        <w:gridCol w:w="931"/>
        <w:gridCol w:w="668"/>
      </w:tblGrid>
      <w:tr w14:paraId="585F7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trPr>
        <w:tc>
          <w:tcPr>
            <w:tcW w:w="270" w:type="pct"/>
            <w:vMerge w:val="restart"/>
            <w:vAlign w:val="center"/>
          </w:tcPr>
          <w:p w14:paraId="5ED91F06">
            <w:pPr>
              <w:autoSpaceDE w:val="0"/>
              <w:autoSpaceDN w:val="0"/>
              <w:snapToGrid w:val="0"/>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序号</w:t>
            </w:r>
          </w:p>
        </w:tc>
        <w:tc>
          <w:tcPr>
            <w:tcW w:w="720" w:type="pct"/>
            <w:vMerge w:val="restart"/>
            <w:vAlign w:val="center"/>
          </w:tcPr>
          <w:p w14:paraId="5896C49E">
            <w:pPr>
              <w:autoSpaceDE w:val="0"/>
              <w:autoSpaceDN w:val="0"/>
              <w:snapToGrid w:val="0"/>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企业</w:t>
            </w:r>
          </w:p>
        </w:tc>
        <w:tc>
          <w:tcPr>
            <w:tcW w:w="508" w:type="pct"/>
            <w:vMerge w:val="restart"/>
            <w:vAlign w:val="center"/>
          </w:tcPr>
          <w:p w14:paraId="178B373D">
            <w:pPr>
              <w:autoSpaceDE w:val="0"/>
              <w:autoSpaceDN w:val="0"/>
              <w:snapToGrid w:val="0"/>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类型</w:t>
            </w:r>
          </w:p>
        </w:tc>
        <w:tc>
          <w:tcPr>
            <w:tcW w:w="795" w:type="pct"/>
            <w:vMerge w:val="restart"/>
            <w:vAlign w:val="center"/>
          </w:tcPr>
          <w:p w14:paraId="6C320A4D">
            <w:pPr>
              <w:autoSpaceDE w:val="0"/>
              <w:autoSpaceDN w:val="0"/>
              <w:snapToGrid w:val="0"/>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污染源名称</w:t>
            </w:r>
          </w:p>
        </w:tc>
        <w:tc>
          <w:tcPr>
            <w:tcW w:w="646" w:type="pct"/>
            <w:gridSpan w:val="2"/>
            <w:vAlign w:val="center"/>
          </w:tcPr>
          <w:p w14:paraId="1521DA00">
            <w:pPr>
              <w:autoSpaceDE w:val="0"/>
              <w:autoSpaceDN w:val="0"/>
              <w:snapToGrid w:val="0"/>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排气筒</w:t>
            </w:r>
          </w:p>
        </w:tc>
        <w:tc>
          <w:tcPr>
            <w:tcW w:w="373" w:type="pct"/>
            <w:vAlign w:val="center"/>
          </w:tcPr>
          <w:p w14:paraId="249C0439">
            <w:pPr>
              <w:autoSpaceDE w:val="0"/>
              <w:autoSpaceDN w:val="0"/>
              <w:snapToGrid w:val="0"/>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烟气</w:t>
            </w:r>
          </w:p>
        </w:tc>
        <w:tc>
          <w:tcPr>
            <w:tcW w:w="449" w:type="pct"/>
            <w:vAlign w:val="center"/>
          </w:tcPr>
          <w:p w14:paraId="286E0BF5">
            <w:pPr>
              <w:autoSpaceDE w:val="0"/>
              <w:autoSpaceDN w:val="0"/>
              <w:snapToGrid w:val="0"/>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烟气(m</w:t>
            </w:r>
            <w:r>
              <w:rPr>
                <w:rFonts w:cs="Times New Roman"/>
                <w:b/>
                <w:bCs/>
                <w:color w:val="000000"/>
                <w:kern w:val="0"/>
                <w:sz w:val="21"/>
                <w:szCs w:val="21"/>
                <w:vertAlign w:val="superscript"/>
              </w:rPr>
              <w:t>3</w:t>
            </w:r>
            <w:r>
              <w:rPr>
                <w:rFonts w:cs="Times New Roman"/>
                <w:b/>
                <w:bCs/>
                <w:color w:val="000000"/>
                <w:kern w:val="0"/>
                <w:sz w:val="21"/>
                <w:szCs w:val="21"/>
              </w:rPr>
              <w:t>/h)</w:t>
            </w:r>
          </w:p>
        </w:tc>
        <w:tc>
          <w:tcPr>
            <w:tcW w:w="1235" w:type="pct"/>
            <w:gridSpan w:val="4"/>
            <w:vAlign w:val="center"/>
          </w:tcPr>
          <w:p w14:paraId="6E312656">
            <w:pPr>
              <w:autoSpaceDE w:val="0"/>
              <w:autoSpaceDN w:val="0"/>
              <w:snapToGrid w:val="0"/>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污染物排放速率（</w:t>
            </w:r>
            <w:r>
              <w:rPr>
                <w:rFonts w:cs="Times New Roman"/>
                <w:b/>
                <w:bCs/>
                <w:color w:val="000000"/>
                <w:spacing w:val="1"/>
                <w:kern w:val="0"/>
                <w:sz w:val="21"/>
                <w:szCs w:val="21"/>
              </w:rPr>
              <w:t>kg/h</w:t>
            </w:r>
            <w:r>
              <w:rPr>
                <w:rFonts w:cs="Times New Roman"/>
                <w:b/>
                <w:bCs/>
                <w:color w:val="000000"/>
                <w:kern w:val="0"/>
                <w:sz w:val="21"/>
                <w:szCs w:val="21"/>
              </w:rPr>
              <w:t>）</w:t>
            </w:r>
          </w:p>
        </w:tc>
      </w:tr>
      <w:tr w14:paraId="32277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trPr>
        <w:tc>
          <w:tcPr>
            <w:tcW w:w="270" w:type="pct"/>
            <w:vMerge w:val="continue"/>
            <w:vAlign w:val="center"/>
          </w:tcPr>
          <w:p w14:paraId="1CD5D387">
            <w:pPr>
              <w:autoSpaceDE w:val="0"/>
              <w:autoSpaceDN w:val="0"/>
              <w:snapToGrid w:val="0"/>
              <w:spacing w:line="240" w:lineRule="auto"/>
              <w:ind w:firstLine="0" w:firstLineChars="0"/>
              <w:jc w:val="center"/>
              <w:rPr>
                <w:rFonts w:cs="Times New Roman"/>
                <w:b/>
                <w:bCs/>
                <w:color w:val="000000"/>
                <w:kern w:val="0"/>
                <w:sz w:val="21"/>
                <w:szCs w:val="21"/>
              </w:rPr>
            </w:pPr>
          </w:p>
        </w:tc>
        <w:tc>
          <w:tcPr>
            <w:tcW w:w="720" w:type="pct"/>
            <w:vMerge w:val="continue"/>
            <w:vAlign w:val="center"/>
          </w:tcPr>
          <w:p w14:paraId="2A977A02">
            <w:pPr>
              <w:autoSpaceDE w:val="0"/>
              <w:autoSpaceDN w:val="0"/>
              <w:snapToGrid w:val="0"/>
              <w:spacing w:line="240" w:lineRule="auto"/>
              <w:ind w:firstLine="0" w:firstLineChars="0"/>
              <w:jc w:val="center"/>
              <w:rPr>
                <w:rFonts w:cs="Times New Roman"/>
                <w:b/>
                <w:bCs/>
                <w:color w:val="000000"/>
                <w:kern w:val="0"/>
                <w:sz w:val="21"/>
                <w:szCs w:val="21"/>
              </w:rPr>
            </w:pPr>
          </w:p>
        </w:tc>
        <w:tc>
          <w:tcPr>
            <w:tcW w:w="508" w:type="pct"/>
            <w:vMerge w:val="continue"/>
            <w:vAlign w:val="center"/>
          </w:tcPr>
          <w:p w14:paraId="5DE9E804">
            <w:pPr>
              <w:autoSpaceDE w:val="0"/>
              <w:autoSpaceDN w:val="0"/>
              <w:snapToGrid w:val="0"/>
              <w:spacing w:line="240" w:lineRule="auto"/>
              <w:ind w:firstLine="0" w:firstLineChars="0"/>
              <w:jc w:val="center"/>
              <w:rPr>
                <w:rFonts w:cs="Times New Roman"/>
                <w:b/>
                <w:bCs/>
                <w:color w:val="000000"/>
                <w:kern w:val="0"/>
                <w:sz w:val="21"/>
                <w:szCs w:val="21"/>
              </w:rPr>
            </w:pPr>
          </w:p>
        </w:tc>
        <w:tc>
          <w:tcPr>
            <w:tcW w:w="795" w:type="pct"/>
            <w:vMerge w:val="continue"/>
            <w:vAlign w:val="center"/>
          </w:tcPr>
          <w:p w14:paraId="3C0581A6">
            <w:pPr>
              <w:autoSpaceDE w:val="0"/>
              <w:autoSpaceDN w:val="0"/>
              <w:snapToGrid w:val="0"/>
              <w:spacing w:line="240" w:lineRule="auto"/>
              <w:ind w:firstLine="0" w:firstLineChars="0"/>
              <w:jc w:val="center"/>
              <w:rPr>
                <w:rFonts w:cs="Times New Roman"/>
                <w:b/>
                <w:bCs/>
                <w:color w:val="000000"/>
                <w:kern w:val="0"/>
                <w:sz w:val="21"/>
                <w:szCs w:val="21"/>
              </w:rPr>
            </w:pPr>
          </w:p>
        </w:tc>
        <w:tc>
          <w:tcPr>
            <w:tcW w:w="321" w:type="pct"/>
            <w:vAlign w:val="center"/>
          </w:tcPr>
          <w:p w14:paraId="3D1BE128">
            <w:pPr>
              <w:autoSpaceDE w:val="0"/>
              <w:autoSpaceDN w:val="0"/>
              <w:snapToGrid w:val="0"/>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高度</w:t>
            </w:r>
            <w:r>
              <w:rPr>
                <w:rFonts w:cs="Times New Roman"/>
                <w:b/>
                <w:bCs/>
                <w:color w:val="000000"/>
                <w:spacing w:val="1"/>
                <w:kern w:val="0"/>
                <w:sz w:val="21"/>
                <w:szCs w:val="21"/>
              </w:rPr>
              <w:t>[</w:t>
            </w:r>
            <w:r>
              <w:rPr>
                <w:rFonts w:cs="Times New Roman"/>
                <w:b/>
                <w:bCs/>
                <w:color w:val="000000"/>
                <w:spacing w:val="-1"/>
                <w:kern w:val="0"/>
                <w:sz w:val="21"/>
                <w:szCs w:val="21"/>
              </w:rPr>
              <w:t>m</w:t>
            </w:r>
            <w:r>
              <w:rPr>
                <w:rFonts w:cs="Times New Roman"/>
                <w:b/>
                <w:bCs/>
                <w:color w:val="000000"/>
                <w:kern w:val="0"/>
                <w:sz w:val="21"/>
                <w:szCs w:val="21"/>
              </w:rPr>
              <w:t>]</w:t>
            </w:r>
          </w:p>
        </w:tc>
        <w:tc>
          <w:tcPr>
            <w:tcW w:w="325" w:type="pct"/>
            <w:vAlign w:val="center"/>
          </w:tcPr>
          <w:p w14:paraId="2D7185EA">
            <w:pPr>
              <w:autoSpaceDE w:val="0"/>
              <w:autoSpaceDN w:val="0"/>
              <w:snapToGrid w:val="0"/>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内径</w:t>
            </w:r>
            <w:r>
              <w:rPr>
                <w:rFonts w:cs="Times New Roman"/>
                <w:b/>
                <w:bCs/>
                <w:color w:val="000000"/>
                <w:spacing w:val="1"/>
                <w:kern w:val="0"/>
                <w:sz w:val="21"/>
                <w:szCs w:val="21"/>
              </w:rPr>
              <w:t>[</w:t>
            </w:r>
            <w:r>
              <w:rPr>
                <w:rFonts w:cs="Times New Roman"/>
                <w:b/>
                <w:bCs/>
                <w:color w:val="000000"/>
                <w:spacing w:val="-1"/>
                <w:kern w:val="0"/>
                <w:sz w:val="21"/>
                <w:szCs w:val="21"/>
              </w:rPr>
              <w:t>m</w:t>
            </w:r>
            <w:r>
              <w:rPr>
                <w:rFonts w:cs="Times New Roman"/>
                <w:b/>
                <w:bCs/>
                <w:color w:val="000000"/>
                <w:kern w:val="0"/>
                <w:sz w:val="21"/>
                <w:szCs w:val="21"/>
              </w:rPr>
              <w:t>]</w:t>
            </w:r>
          </w:p>
        </w:tc>
        <w:tc>
          <w:tcPr>
            <w:tcW w:w="373" w:type="pct"/>
            <w:vAlign w:val="center"/>
          </w:tcPr>
          <w:p w14:paraId="4397A468">
            <w:pPr>
              <w:autoSpaceDE w:val="0"/>
              <w:autoSpaceDN w:val="0"/>
              <w:snapToGrid w:val="0"/>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温度</w:t>
            </w:r>
            <w:r>
              <w:rPr>
                <w:rFonts w:cs="Times New Roman"/>
                <w:b/>
                <w:bCs/>
                <w:color w:val="000000"/>
                <w:spacing w:val="1"/>
                <w:kern w:val="0"/>
                <w:sz w:val="21"/>
                <w:szCs w:val="21"/>
              </w:rPr>
              <w:t>[</w:t>
            </w:r>
            <w:r>
              <w:rPr>
                <w:rFonts w:cs="Times New Roman"/>
                <w:b/>
                <w:bCs/>
                <w:color w:val="000000"/>
                <w:kern w:val="0"/>
                <w:sz w:val="21"/>
                <w:szCs w:val="21"/>
              </w:rPr>
              <w:t>℃]</w:t>
            </w:r>
          </w:p>
        </w:tc>
        <w:tc>
          <w:tcPr>
            <w:tcW w:w="449" w:type="pct"/>
            <w:vAlign w:val="center"/>
          </w:tcPr>
          <w:p w14:paraId="41582CD9">
            <w:pPr>
              <w:autoSpaceDE w:val="0"/>
              <w:autoSpaceDN w:val="0"/>
              <w:snapToGrid w:val="0"/>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排气量</w:t>
            </w:r>
          </w:p>
        </w:tc>
        <w:tc>
          <w:tcPr>
            <w:tcW w:w="380" w:type="pct"/>
            <w:vAlign w:val="center"/>
          </w:tcPr>
          <w:p w14:paraId="09931327">
            <w:pPr>
              <w:autoSpaceDE w:val="0"/>
              <w:autoSpaceDN w:val="0"/>
              <w:snapToGrid w:val="0"/>
              <w:spacing w:line="240" w:lineRule="auto"/>
              <w:ind w:firstLine="0" w:firstLineChars="0"/>
              <w:jc w:val="center"/>
              <w:rPr>
                <w:rFonts w:cs="Times New Roman"/>
                <w:b/>
                <w:bCs/>
                <w:color w:val="000000"/>
                <w:kern w:val="0"/>
                <w:sz w:val="21"/>
                <w:szCs w:val="21"/>
              </w:rPr>
            </w:pPr>
            <w:r>
              <w:rPr>
                <w:rFonts w:hint="eastAsia" w:cs="Times New Roman"/>
                <w:b/>
                <w:bCs/>
                <w:color w:val="000000"/>
                <w:kern w:val="0"/>
                <w:sz w:val="21"/>
                <w:szCs w:val="21"/>
              </w:rPr>
              <w:t>HCl</w:t>
            </w:r>
          </w:p>
        </w:tc>
        <w:tc>
          <w:tcPr>
            <w:tcW w:w="283" w:type="pct"/>
            <w:vAlign w:val="center"/>
          </w:tcPr>
          <w:p w14:paraId="093155CC">
            <w:pPr>
              <w:autoSpaceDE w:val="0"/>
              <w:autoSpaceDN w:val="0"/>
              <w:snapToGrid w:val="0"/>
              <w:spacing w:line="240" w:lineRule="auto"/>
              <w:ind w:firstLine="0" w:firstLineChars="0"/>
              <w:jc w:val="center"/>
              <w:rPr>
                <w:rFonts w:cs="Times New Roman"/>
                <w:b/>
                <w:bCs/>
                <w:color w:val="000000"/>
                <w:kern w:val="0"/>
                <w:sz w:val="21"/>
                <w:szCs w:val="21"/>
              </w:rPr>
            </w:pPr>
            <w:r>
              <w:rPr>
                <w:rFonts w:hint="eastAsia" w:cs="Times New Roman"/>
                <w:b/>
                <w:bCs/>
                <w:color w:val="000000"/>
                <w:kern w:val="0"/>
                <w:sz w:val="21"/>
                <w:szCs w:val="21"/>
              </w:rPr>
              <w:t>氟化物</w:t>
            </w:r>
          </w:p>
        </w:tc>
        <w:tc>
          <w:tcPr>
            <w:tcW w:w="333" w:type="pct"/>
            <w:vAlign w:val="center"/>
          </w:tcPr>
          <w:p w14:paraId="45610672">
            <w:pPr>
              <w:autoSpaceDE w:val="0"/>
              <w:autoSpaceDN w:val="0"/>
              <w:snapToGrid w:val="0"/>
              <w:spacing w:line="240" w:lineRule="auto"/>
              <w:ind w:firstLine="0" w:firstLineChars="0"/>
              <w:jc w:val="center"/>
              <w:rPr>
                <w:rFonts w:cs="Times New Roman"/>
                <w:b/>
                <w:bCs/>
                <w:color w:val="000000"/>
                <w:kern w:val="0"/>
                <w:sz w:val="21"/>
                <w:szCs w:val="21"/>
              </w:rPr>
            </w:pPr>
            <w:r>
              <w:rPr>
                <w:rFonts w:hint="eastAsia" w:cs="Times New Roman"/>
                <w:b/>
                <w:bCs/>
                <w:color w:val="000000"/>
                <w:kern w:val="0"/>
                <w:sz w:val="21"/>
                <w:szCs w:val="21"/>
              </w:rPr>
              <w:t>颗粒物</w:t>
            </w:r>
          </w:p>
        </w:tc>
        <w:tc>
          <w:tcPr>
            <w:tcW w:w="238" w:type="pct"/>
            <w:vAlign w:val="center"/>
          </w:tcPr>
          <w:p w14:paraId="7EF33C68">
            <w:pPr>
              <w:autoSpaceDE w:val="0"/>
              <w:autoSpaceDN w:val="0"/>
              <w:snapToGrid w:val="0"/>
              <w:spacing w:line="240" w:lineRule="auto"/>
              <w:ind w:firstLine="0" w:firstLineChars="0"/>
              <w:jc w:val="center"/>
              <w:rPr>
                <w:rFonts w:cs="Times New Roman"/>
                <w:b/>
                <w:bCs/>
                <w:color w:val="000000"/>
                <w:kern w:val="0"/>
                <w:sz w:val="21"/>
                <w:szCs w:val="21"/>
              </w:rPr>
            </w:pPr>
            <w:r>
              <w:rPr>
                <w:rFonts w:hint="eastAsia" w:cs="Times New Roman"/>
                <w:b/>
                <w:bCs/>
                <w:color w:val="000000"/>
                <w:kern w:val="0"/>
                <w:sz w:val="21"/>
                <w:szCs w:val="21"/>
              </w:rPr>
              <w:t>铅及其化合物</w:t>
            </w:r>
          </w:p>
        </w:tc>
      </w:tr>
      <w:tr w14:paraId="40E54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70" w:type="pct"/>
            <w:vAlign w:val="center"/>
          </w:tcPr>
          <w:p w14:paraId="44FCF9DA">
            <w:pPr>
              <w:autoSpaceDE w:val="0"/>
              <w:autoSpaceDN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1</w:t>
            </w:r>
          </w:p>
        </w:tc>
        <w:tc>
          <w:tcPr>
            <w:tcW w:w="720" w:type="pct"/>
            <w:vAlign w:val="center"/>
          </w:tcPr>
          <w:p w14:paraId="0C24B1DB">
            <w:pPr>
              <w:autoSpaceDE w:val="0"/>
              <w:autoSpaceDN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lang w:val="zh-CN"/>
              </w:rPr>
              <w:t>衡阳市铖昱锌品有限责任公司</w:t>
            </w:r>
          </w:p>
        </w:tc>
        <w:tc>
          <w:tcPr>
            <w:tcW w:w="508" w:type="pct"/>
            <w:vAlign w:val="center"/>
          </w:tcPr>
          <w:p w14:paraId="53553D57">
            <w:pPr>
              <w:autoSpaceDE w:val="0"/>
              <w:autoSpaceDN w:val="0"/>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点源</w:t>
            </w:r>
          </w:p>
        </w:tc>
        <w:tc>
          <w:tcPr>
            <w:tcW w:w="795" w:type="pct"/>
            <w:vAlign w:val="center"/>
          </w:tcPr>
          <w:p w14:paraId="56B1CBD9">
            <w:pPr>
              <w:autoSpaceDE w:val="0"/>
              <w:autoSpaceDN w:val="0"/>
              <w:snapToGrid w:val="0"/>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回转窑烟气</w:t>
            </w:r>
          </w:p>
        </w:tc>
        <w:tc>
          <w:tcPr>
            <w:tcW w:w="321" w:type="pct"/>
            <w:vAlign w:val="center"/>
          </w:tcPr>
          <w:p w14:paraId="17D85CB2">
            <w:pPr>
              <w:autoSpaceDE w:val="0"/>
              <w:autoSpaceDN w:val="0"/>
              <w:snapToGrid w:val="0"/>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30</w:t>
            </w:r>
          </w:p>
        </w:tc>
        <w:tc>
          <w:tcPr>
            <w:tcW w:w="325" w:type="pct"/>
            <w:vAlign w:val="center"/>
          </w:tcPr>
          <w:p w14:paraId="37CA41A4">
            <w:pPr>
              <w:autoSpaceDE w:val="0"/>
              <w:autoSpaceDN w:val="0"/>
              <w:snapToGrid w:val="0"/>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1.2</w:t>
            </w:r>
          </w:p>
        </w:tc>
        <w:tc>
          <w:tcPr>
            <w:tcW w:w="373" w:type="pct"/>
            <w:vAlign w:val="center"/>
          </w:tcPr>
          <w:p w14:paraId="32CD49E0">
            <w:pPr>
              <w:snapToGrid w:val="0"/>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150</w:t>
            </w:r>
          </w:p>
        </w:tc>
        <w:tc>
          <w:tcPr>
            <w:tcW w:w="449" w:type="pct"/>
            <w:vAlign w:val="center"/>
          </w:tcPr>
          <w:p w14:paraId="596016F2">
            <w:pPr>
              <w:snapToGrid w:val="0"/>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65000</w:t>
            </w:r>
          </w:p>
        </w:tc>
        <w:tc>
          <w:tcPr>
            <w:tcW w:w="380" w:type="pct"/>
            <w:vAlign w:val="center"/>
          </w:tcPr>
          <w:p w14:paraId="0E6DB081">
            <w:pPr>
              <w:snapToGrid w:val="0"/>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w:t>
            </w:r>
          </w:p>
        </w:tc>
        <w:tc>
          <w:tcPr>
            <w:tcW w:w="283" w:type="pct"/>
            <w:vAlign w:val="center"/>
          </w:tcPr>
          <w:p w14:paraId="7ACA6B6A">
            <w:pPr>
              <w:snapToGrid w:val="0"/>
              <w:spacing w:line="240" w:lineRule="auto"/>
              <w:ind w:firstLine="0" w:firstLineChars="0"/>
              <w:jc w:val="center"/>
              <w:rPr>
                <w:rFonts w:cs="Times New Roman"/>
                <w:color w:val="000000"/>
                <w:kern w:val="0"/>
                <w:sz w:val="21"/>
                <w:szCs w:val="21"/>
              </w:rPr>
            </w:pPr>
            <w:r>
              <w:rPr>
                <w:rFonts w:cs="Times New Roman"/>
                <w:color w:val="000000"/>
                <w:kern w:val="0"/>
                <w:sz w:val="21"/>
                <w:szCs w:val="21"/>
              </w:rPr>
              <w:t>/</w:t>
            </w:r>
          </w:p>
        </w:tc>
        <w:tc>
          <w:tcPr>
            <w:tcW w:w="333" w:type="pct"/>
            <w:vAlign w:val="center"/>
          </w:tcPr>
          <w:p w14:paraId="2156E065">
            <w:pPr>
              <w:snapToGrid w:val="0"/>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0.444</w:t>
            </w:r>
          </w:p>
        </w:tc>
        <w:tc>
          <w:tcPr>
            <w:tcW w:w="238" w:type="pct"/>
            <w:vAlign w:val="center"/>
          </w:tcPr>
          <w:p w14:paraId="4E236B52">
            <w:pPr>
              <w:snapToGrid w:val="0"/>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0.0334</w:t>
            </w:r>
          </w:p>
        </w:tc>
      </w:tr>
    </w:tbl>
    <w:p w14:paraId="0FAFC1CE">
      <w:pPr>
        <w:pStyle w:val="43"/>
        <w:numPr>
          <w:ilvl w:val="5"/>
          <w:numId w:val="0"/>
        </w:numPr>
        <w:jc w:val="both"/>
        <w:rPr>
          <w:rFonts w:hint="default"/>
        </w:rPr>
      </w:pPr>
    </w:p>
    <w:p w14:paraId="7A88CAA2">
      <w:pPr>
        <w:pStyle w:val="43"/>
        <w:numPr>
          <w:ilvl w:val="5"/>
          <w:numId w:val="1"/>
        </w:numPr>
        <w:rPr>
          <w:rFonts w:hint="default"/>
        </w:rPr>
      </w:pPr>
      <w:r>
        <w:rPr>
          <w:rFonts w:hint="default"/>
        </w:rPr>
        <w:t>本项目污染源（有组织）非正常/事故排放情况一览表</w:t>
      </w:r>
    </w:p>
    <w:tbl>
      <w:tblPr>
        <w:tblStyle w:val="32"/>
        <w:tblW w:w="4999" w:type="pct"/>
        <w:tblInd w:w="0" w:type="dxa"/>
        <w:tblLayout w:type="autofit"/>
        <w:tblCellMar>
          <w:top w:w="0" w:type="dxa"/>
          <w:left w:w="108" w:type="dxa"/>
          <w:bottom w:w="0" w:type="dxa"/>
          <w:right w:w="108" w:type="dxa"/>
        </w:tblCellMar>
      </w:tblPr>
      <w:tblGrid>
        <w:gridCol w:w="874"/>
        <w:gridCol w:w="1478"/>
        <w:gridCol w:w="984"/>
        <w:gridCol w:w="987"/>
        <w:gridCol w:w="984"/>
        <w:gridCol w:w="983"/>
        <w:gridCol w:w="983"/>
        <w:gridCol w:w="983"/>
        <w:gridCol w:w="983"/>
        <w:gridCol w:w="984"/>
        <w:gridCol w:w="986"/>
        <w:gridCol w:w="947"/>
        <w:gridCol w:w="1006"/>
        <w:gridCol w:w="1009"/>
      </w:tblGrid>
      <w:tr w14:paraId="5277CD54">
        <w:tblPrEx>
          <w:tblCellMar>
            <w:top w:w="0" w:type="dxa"/>
            <w:left w:w="108" w:type="dxa"/>
            <w:bottom w:w="0" w:type="dxa"/>
            <w:right w:w="108" w:type="dxa"/>
          </w:tblCellMar>
        </w:tblPrEx>
        <w:trPr>
          <w:trHeight w:val="765" w:hRule="atLeast"/>
          <w:tblHeader/>
        </w:trPr>
        <w:tc>
          <w:tcPr>
            <w:tcW w:w="30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ECFE51E">
            <w:pPr>
              <w:pStyle w:val="45"/>
              <w:rPr>
                <w:rFonts w:hint="default"/>
                <w:b/>
                <w:bCs/>
              </w:rPr>
            </w:pPr>
            <w:r>
              <w:rPr>
                <w:b/>
                <w:bCs/>
              </w:rPr>
              <w:t>排气筒编号</w:t>
            </w:r>
          </w:p>
        </w:tc>
        <w:tc>
          <w:tcPr>
            <w:tcW w:w="52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3A249DD">
            <w:pPr>
              <w:pStyle w:val="45"/>
              <w:rPr>
                <w:rFonts w:hint="default"/>
                <w:b/>
                <w:bCs/>
              </w:rPr>
            </w:pPr>
            <w:r>
              <w:rPr>
                <w:b/>
                <w:bCs/>
              </w:rPr>
              <w:t>废气名称</w:t>
            </w:r>
          </w:p>
        </w:tc>
        <w:tc>
          <w:tcPr>
            <w:tcW w:w="69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DDB2D92">
            <w:pPr>
              <w:pStyle w:val="45"/>
              <w:rPr>
                <w:rFonts w:hint="default"/>
                <w:b/>
                <w:bCs/>
              </w:rPr>
            </w:pPr>
            <w:r>
              <w:rPr>
                <w:b/>
                <w:bCs/>
              </w:rPr>
              <w:t>排气筒底部中心坐标（m）</w:t>
            </w:r>
          </w:p>
        </w:tc>
        <w:tc>
          <w:tcPr>
            <w:tcW w:w="3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217ADF">
            <w:pPr>
              <w:pStyle w:val="45"/>
              <w:rPr>
                <w:rFonts w:hint="default"/>
                <w:b/>
                <w:bCs/>
              </w:rPr>
            </w:pPr>
            <w:r>
              <w:rPr>
                <w:b/>
                <w:bCs/>
              </w:rPr>
              <w:t>排气筒底部海拔(m)</w:t>
            </w:r>
          </w:p>
        </w:tc>
        <w:tc>
          <w:tcPr>
            <w:tcW w:w="3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273594">
            <w:pPr>
              <w:pStyle w:val="45"/>
              <w:rPr>
                <w:rFonts w:hint="default"/>
                <w:b/>
                <w:bCs/>
              </w:rPr>
            </w:pPr>
            <w:r>
              <w:rPr>
                <w:b/>
                <w:bCs/>
              </w:rPr>
              <w:t>排气筒高度(m)</w:t>
            </w:r>
          </w:p>
        </w:tc>
        <w:tc>
          <w:tcPr>
            <w:tcW w:w="3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603971">
            <w:pPr>
              <w:pStyle w:val="45"/>
              <w:rPr>
                <w:rFonts w:hint="default"/>
                <w:b/>
                <w:bCs/>
              </w:rPr>
            </w:pPr>
            <w:r>
              <w:rPr>
                <w:b/>
                <w:bCs/>
              </w:rPr>
              <w:t>排气筒出口内径(m)</w:t>
            </w:r>
          </w:p>
        </w:tc>
        <w:tc>
          <w:tcPr>
            <w:tcW w:w="3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C95F6F">
            <w:pPr>
              <w:pStyle w:val="45"/>
              <w:rPr>
                <w:rFonts w:hint="default"/>
                <w:b/>
                <w:bCs/>
              </w:rPr>
            </w:pPr>
            <w:r>
              <w:rPr>
                <w:b/>
                <w:bCs/>
              </w:rPr>
              <w:t>烟气流速（m</w:t>
            </w:r>
            <w:r>
              <w:rPr>
                <w:b/>
                <w:bCs/>
                <w:vertAlign w:val="superscript"/>
              </w:rPr>
              <w:t>3</w:t>
            </w:r>
            <w:r>
              <w:rPr>
                <w:b/>
                <w:bCs/>
              </w:rPr>
              <w:t>/h)</w:t>
            </w:r>
          </w:p>
        </w:tc>
        <w:tc>
          <w:tcPr>
            <w:tcW w:w="3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B8D76B">
            <w:pPr>
              <w:pStyle w:val="45"/>
              <w:rPr>
                <w:rFonts w:hint="default"/>
                <w:b/>
                <w:bCs/>
              </w:rPr>
            </w:pPr>
            <w:r>
              <w:rPr>
                <w:b/>
                <w:bCs/>
              </w:rPr>
              <w:t>烟气温度（℃）</w:t>
            </w:r>
          </w:p>
        </w:tc>
        <w:tc>
          <w:tcPr>
            <w:tcW w:w="34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949D561">
            <w:pPr>
              <w:pStyle w:val="45"/>
              <w:rPr>
                <w:rFonts w:hint="default"/>
                <w:b/>
                <w:bCs/>
              </w:rPr>
            </w:pPr>
            <w:r>
              <w:rPr>
                <w:b/>
                <w:bCs/>
              </w:rPr>
              <w:t>排放时间（h)</w:t>
            </w:r>
          </w:p>
        </w:tc>
        <w:tc>
          <w:tcPr>
            <w:tcW w:w="34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5C7942E">
            <w:pPr>
              <w:pStyle w:val="45"/>
              <w:rPr>
                <w:rFonts w:hint="default"/>
                <w:b/>
                <w:bCs/>
              </w:rPr>
            </w:pPr>
            <w:r>
              <w:rPr>
                <w:b/>
                <w:bCs/>
              </w:rPr>
              <w:t>排放工况</w:t>
            </w:r>
          </w:p>
        </w:tc>
        <w:tc>
          <w:tcPr>
            <w:tcW w:w="104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112985C">
            <w:pPr>
              <w:pStyle w:val="45"/>
              <w:rPr>
                <w:rFonts w:hint="default"/>
                <w:b/>
                <w:bCs/>
              </w:rPr>
            </w:pPr>
            <w:r>
              <w:rPr>
                <w:b/>
                <w:bCs/>
              </w:rPr>
              <w:t>污染物排放速率（</w:t>
            </w:r>
            <w:r>
              <w:rPr>
                <w:rFonts w:hint="default"/>
                <w:b/>
                <w:bCs/>
              </w:rPr>
              <w:t>kg/h</w:t>
            </w:r>
            <w:r>
              <w:rPr>
                <w:b/>
                <w:bCs/>
              </w:rPr>
              <w:t>）</w:t>
            </w:r>
          </w:p>
        </w:tc>
      </w:tr>
      <w:tr w14:paraId="71A2A685">
        <w:tblPrEx>
          <w:tblCellMar>
            <w:top w:w="0" w:type="dxa"/>
            <w:left w:w="108" w:type="dxa"/>
            <w:bottom w:w="0" w:type="dxa"/>
            <w:right w:w="108" w:type="dxa"/>
          </w:tblCellMar>
        </w:tblPrEx>
        <w:trPr>
          <w:trHeight w:val="270" w:hRule="atLeast"/>
          <w:tblHeader/>
        </w:trPr>
        <w:tc>
          <w:tcPr>
            <w:tcW w:w="30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B2762A">
            <w:pPr>
              <w:pStyle w:val="45"/>
              <w:rPr>
                <w:rFonts w:hint="default"/>
                <w:b/>
                <w:bCs/>
              </w:rPr>
            </w:pPr>
          </w:p>
        </w:tc>
        <w:tc>
          <w:tcPr>
            <w:tcW w:w="52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E25121">
            <w:pPr>
              <w:pStyle w:val="45"/>
              <w:rPr>
                <w:rFonts w:hint="default"/>
                <w:b/>
                <w:bCs/>
              </w:rPr>
            </w:pP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ECB70">
            <w:pPr>
              <w:pStyle w:val="45"/>
              <w:rPr>
                <w:rFonts w:hint="default"/>
                <w:b/>
                <w:bCs/>
              </w:rPr>
            </w:pPr>
            <w:r>
              <w:rPr>
                <w:b/>
                <w:bCs/>
              </w:rPr>
              <w:t>X</w:t>
            </w: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2C7F7">
            <w:pPr>
              <w:pStyle w:val="45"/>
              <w:rPr>
                <w:rFonts w:hint="default"/>
                <w:b/>
                <w:bCs/>
              </w:rPr>
            </w:pPr>
            <w:r>
              <w:rPr>
                <w:b/>
                <w:bCs/>
              </w:rPr>
              <w:t>Y</w:t>
            </w: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8C96F">
            <w:pPr>
              <w:pStyle w:val="45"/>
              <w:rPr>
                <w:rFonts w:hint="default"/>
                <w:b/>
                <w:bCs/>
              </w:rPr>
            </w:pPr>
            <w:r>
              <w:rPr>
                <w:b/>
                <w:bCs/>
              </w:rPr>
              <w:t>Z</w:t>
            </w: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B5E7F">
            <w:pPr>
              <w:pStyle w:val="45"/>
              <w:rPr>
                <w:rFonts w:hint="default"/>
                <w:b/>
                <w:bCs/>
              </w:rPr>
            </w:pPr>
            <w:r>
              <w:rPr>
                <w:b/>
                <w:bCs/>
              </w:rPr>
              <w:t>H</w:t>
            </w: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915F7">
            <w:pPr>
              <w:pStyle w:val="45"/>
              <w:rPr>
                <w:rFonts w:hint="default"/>
                <w:b/>
                <w:bCs/>
              </w:rPr>
            </w:pPr>
            <w:r>
              <w:rPr>
                <w:b/>
                <w:bCs/>
              </w:rPr>
              <w:t>D</w:t>
            </w: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92A36">
            <w:pPr>
              <w:pStyle w:val="45"/>
              <w:rPr>
                <w:rFonts w:hint="default"/>
                <w:b/>
                <w:bCs/>
              </w:rPr>
            </w:pPr>
            <w:r>
              <w:rPr>
                <w:b/>
                <w:bCs/>
              </w:rPr>
              <w:t>V</w:t>
            </w: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D096B">
            <w:pPr>
              <w:pStyle w:val="45"/>
              <w:rPr>
                <w:rFonts w:hint="default"/>
                <w:b/>
                <w:bCs/>
              </w:rPr>
            </w:pPr>
            <w:r>
              <w:rPr>
                <w:b/>
                <w:bCs/>
              </w:rPr>
              <w:t>T</w:t>
            </w:r>
          </w:p>
        </w:tc>
        <w:tc>
          <w:tcPr>
            <w:tcW w:w="34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8B3CB9">
            <w:pPr>
              <w:pStyle w:val="45"/>
              <w:rPr>
                <w:rFonts w:hint="default"/>
                <w:b/>
                <w:bCs/>
              </w:rPr>
            </w:pPr>
          </w:p>
        </w:tc>
        <w:tc>
          <w:tcPr>
            <w:tcW w:w="34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66613B">
            <w:pPr>
              <w:pStyle w:val="45"/>
              <w:rPr>
                <w:rFonts w:hint="default"/>
                <w:b/>
                <w:bCs/>
              </w:rPr>
            </w:pP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2C0A9">
            <w:pPr>
              <w:pStyle w:val="45"/>
              <w:rPr>
                <w:rFonts w:hint="default"/>
                <w:b/>
                <w:bCs/>
              </w:rPr>
            </w:pPr>
            <w:r>
              <w:rPr>
                <w:b/>
                <w:bCs/>
              </w:rPr>
              <w:t>氯气</w:t>
            </w:r>
          </w:p>
        </w:tc>
        <w:tc>
          <w:tcPr>
            <w:tcW w:w="3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0DA7C">
            <w:pPr>
              <w:pStyle w:val="45"/>
              <w:rPr>
                <w:rFonts w:hint="default"/>
                <w:b/>
                <w:bCs/>
              </w:rPr>
            </w:pPr>
            <w:r>
              <w:rPr>
                <w:b/>
                <w:bCs/>
              </w:rPr>
              <w:t>氯化氢</w:t>
            </w:r>
          </w:p>
        </w:tc>
        <w:tc>
          <w:tcPr>
            <w:tcW w:w="3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03D35">
            <w:pPr>
              <w:pStyle w:val="45"/>
              <w:rPr>
                <w:rFonts w:hint="default"/>
                <w:b/>
                <w:bCs/>
              </w:rPr>
            </w:pPr>
            <w:r>
              <w:rPr>
                <w:b/>
                <w:bCs/>
              </w:rPr>
              <w:t>颗粒物</w:t>
            </w:r>
          </w:p>
        </w:tc>
      </w:tr>
      <w:tr w14:paraId="1C6107FC">
        <w:tblPrEx>
          <w:tblCellMar>
            <w:top w:w="0" w:type="dxa"/>
            <w:left w:w="108" w:type="dxa"/>
            <w:bottom w:w="0" w:type="dxa"/>
            <w:right w:w="108" w:type="dxa"/>
          </w:tblCellMar>
        </w:tblPrEx>
        <w:trPr>
          <w:trHeight w:val="270" w:hRule="atLeast"/>
        </w:trPr>
        <w:tc>
          <w:tcPr>
            <w:tcW w:w="8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A35EB">
            <w:pPr>
              <w:pStyle w:val="45"/>
              <w:bidi w:val="0"/>
              <w:rPr>
                <w:rFonts w:hint="default"/>
              </w:rPr>
            </w:pPr>
            <w:r>
              <w:rPr>
                <w:rFonts w:hint="eastAsia"/>
                <w:lang w:val="en-US" w:eastAsia="zh-CN"/>
              </w:rPr>
              <w:t>DA001</w:t>
            </w:r>
          </w:p>
        </w:tc>
        <w:tc>
          <w:tcPr>
            <w:tcW w:w="14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A6E7C5">
            <w:pPr>
              <w:pStyle w:val="45"/>
              <w:bidi w:val="0"/>
              <w:rPr>
                <w:rFonts w:hint="default"/>
              </w:rPr>
            </w:pPr>
            <w:r>
              <w:rPr>
                <w:rFonts w:hint="eastAsia"/>
                <w:lang w:val="en-US" w:eastAsia="zh-CN"/>
              </w:rPr>
              <w:t>一次电解尾气</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090C9">
            <w:pPr>
              <w:pStyle w:val="45"/>
              <w:bidi w:val="0"/>
              <w:rPr>
                <w:rFonts w:hint="default"/>
              </w:rPr>
            </w:pPr>
            <w:r>
              <w:rPr>
                <w:rFonts w:hint="eastAsia"/>
                <w:lang w:val="en-US" w:eastAsia="zh-CN"/>
              </w:rPr>
              <w:t>-14.4</w:t>
            </w: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657BA">
            <w:pPr>
              <w:pStyle w:val="45"/>
              <w:bidi w:val="0"/>
              <w:rPr>
                <w:rFonts w:hint="default"/>
              </w:rPr>
            </w:pPr>
            <w:r>
              <w:rPr>
                <w:rFonts w:hint="eastAsia"/>
                <w:lang w:val="en-US" w:eastAsia="zh-CN"/>
              </w:rPr>
              <w:t>-16</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40155C">
            <w:pPr>
              <w:pStyle w:val="45"/>
              <w:bidi w:val="0"/>
              <w:rPr>
                <w:rFonts w:hint="default"/>
              </w:rPr>
            </w:pPr>
            <w:r>
              <w:rPr>
                <w:rFonts w:hint="eastAsia"/>
                <w:lang w:val="en-US" w:eastAsia="zh-CN"/>
              </w:rPr>
              <w:t>59</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0DA263">
            <w:pPr>
              <w:pStyle w:val="45"/>
              <w:bidi w:val="0"/>
              <w:rPr>
                <w:rFonts w:hint="default"/>
              </w:rPr>
            </w:pPr>
            <w:r>
              <w:rPr>
                <w:rFonts w:hint="default"/>
                <w:lang w:val="en-US" w:eastAsia="zh-CN"/>
              </w:rPr>
              <w:t>25</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3E46AF">
            <w:pPr>
              <w:pStyle w:val="45"/>
              <w:bidi w:val="0"/>
              <w:rPr>
                <w:rFonts w:hint="default"/>
              </w:rPr>
            </w:pPr>
            <w:r>
              <w:rPr>
                <w:rFonts w:hint="default"/>
                <w:lang w:val="en-US" w:eastAsia="zh-CN"/>
              </w:rPr>
              <w:t>0.4</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BE8F5D">
            <w:pPr>
              <w:pStyle w:val="45"/>
              <w:bidi w:val="0"/>
              <w:rPr>
                <w:rFonts w:hint="default"/>
              </w:rPr>
            </w:pPr>
            <w:r>
              <w:rPr>
                <w:rFonts w:hint="default"/>
                <w:lang w:val="en-US" w:eastAsia="zh-CN"/>
              </w:rPr>
              <w:t>2000</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C5E0F8">
            <w:pPr>
              <w:pStyle w:val="45"/>
              <w:bidi w:val="0"/>
              <w:rPr>
                <w:rFonts w:hint="default"/>
              </w:rPr>
            </w:pPr>
            <w:r>
              <w:rPr>
                <w:rFonts w:hint="default"/>
                <w:lang w:val="en-US" w:eastAsia="zh-CN"/>
              </w:rPr>
              <w:t>25</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0F7B05">
            <w:pPr>
              <w:pStyle w:val="45"/>
              <w:bidi w:val="0"/>
              <w:rPr>
                <w:rFonts w:hint="default"/>
              </w:rPr>
            </w:pPr>
            <w:r>
              <w:rPr>
                <w:rFonts w:hint="eastAsia"/>
                <w:lang w:val="en-US" w:eastAsia="zh-CN"/>
              </w:rPr>
              <w:t>1</w:t>
            </w:r>
          </w:p>
        </w:tc>
        <w:tc>
          <w:tcPr>
            <w:tcW w:w="9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961528">
            <w:pPr>
              <w:pStyle w:val="45"/>
              <w:bidi w:val="0"/>
              <w:rPr>
                <w:rFonts w:hint="default"/>
              </w:rPr>
            </w:pPr>
            <w:r>
              <w:rPr>
                <w:rFonts w:hint="eastAsia"/>
                <w:lang w:val="en-US" w:eastAsia="zh-CN"/>
              </w:rPr>
              <w:t>非正常</w:t>
            </w:r>
          </w:p>
        </w:tc>
        <w:tc>
          <w:tcPr>
            <w:tcW w:w="9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F2850">
            <w:pPr>
              <w:pStyle w:val="45"/>
              <w:bidi w:val="0"/>
              <w:rPr>
                <w:rFonts w:hint="default"/>
              </w:rPr>
            </w:pPr>
            <w:r>
              <w:rPr>
                <w:rFonts w:hint="eastAsia"/>
                <w:lang w:val="en-US" w:eastAsia="zh-CN"/>
              </w:rPr>
              <w:t>1.46</w:t>
            </w:r>
          </w:p>
        </w:tc>
        <w:tc>
          <w:tcPr>
            <w:tcW w:w="10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F67F7">
            <w:pPr>
              <w:pStyle w:val="45"/>
              <w:bidi w:val="0"/>
              <w:rPr>
                <w:rFonts w:hint="default"/>
              </w:rPr>
            </w:pPr>
            <w:r>
              <w:rPr>
                <w:rFonts w:hint="eastAsia"/>
                <w:lang w:val="en-US" w:eastAsia="zh-CN"/>
              </w:rPr>
              <w:t>1.51</w:t>
            </w:r>
          </w:p>
        </w:tc>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6CFFE">
            <w:pPr>
              <w:pStyle w:val="45"/>
              <w:bidi w:val="0"/>
              <w:rPr>
                <w:rFonts w:hint="default"/>
              </w:rPr>
            </w:pPr>
            <w:r>
              <w:rPr>
                <w:rFonts w:hint="eastAsia"/>
                <w:lang w:val="en-US" w:eastAsia="zh-CN"/>
              </w:rPr>
              <w:t>/</w:t>
            </w:r>
          </w:p>
        </w:tc>
      </w:tr>
      <w:tr w14:paraId="4F9E0D2F">
        <w:tblPrEx>
          <w:tblCellMar>
            <w:top w:w="0" w:type="dxa"/>
            <w:left w:w="108" w:type="dxa"/>
            <w:bottom w:w="0" w:type="dxa"/>
            <w:right w:w="108" w:type="dxa"/>
          </w:tblCellMar>
        </w:tblPrEx>
        <w:trPr>
          <w:trHeight w:val="270" w:hRule="atLeast"/>
        </w:trPr>
        <w:tc>
          <w:tcPr>
            <w:tcW w:w="8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C91B1">
            <w:pPr>
              <w:pStyle w:val="45"/>
              <w:bidi w:val="0"/>
              <w:rPr>
                <w:rFonts w:hint="default"/>
              </w:rPr>
            </w:pPr>
            <w:r>
              <w:rPr>
                <w:rFonts w:hint="eastAsia"/>
                <w:lang w:val="en-US" w:eastAsia="zh-CN"/>
              </w:rPr>
              <w:t>DA002</w:t>
            </w:r>
          </w:p>
        </w:tc>
        <w:tc>
          <w:tcPr>
            <w:tcW w:w="14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722E0">
            <w:pPr>
              <w:pStyle w:val="45"/>
              <w:bidi w:val="0"/>
              <w:rPr>
                <w:rFonts w:hint="default"/>
              </w:rPr>
            </w:pPr>
            <w:r>
              <w:rPr>
                <w:rFonts w:hint="eastAsia"/>
                <w:lang w:val="en-US" w:eastAsia="zh-CN"/>
              </w:rPr>
              <w:t>除次钠尾气</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C48C1">
            <w:pPr>
              <w:pStyle w:val="45"/>
              <w:bidi w:val="0"/>
              <w:rPr>
                <w:rFonts w:hint="default"/>
              </w:rPr>
            </w:pPr>
            <w:r>
              <w:rPr>
                <w:rFonts w:hint="eastAsia"/>
                <w:lang w:val="en-US" w:eastAsia="zh-CN"/>
              </w:rPr>
              <w:t>-14.4</w:t>
            </w: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1EE43">
            <w:pPr>
              <w:pStyle w:val="45"/>
              <w:bidi w:val="0"/>
              <w:rPr>
                <w:rFonts w:hint="default"/>
              </w:rPr>
            </w:pPr>
            <w:r>
              <w:rPr>
                <w:rFonts w:hint="eastAsia"/>
                <w:lang w:val="en-US" w:eastAsia="zh-CN"/>
              </w:rPr>
              <w:t>-22</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6CECD">
            <w:pPr>
              <w:pStyle w:val="45"/>
              <w:bidi w:val="0"/>
              <w:rPr>
                <w:rFonts w:hint="default"/>
              </w:rPr>
            </w:pPr>
            <w:r>
              <w:rPr>
                <w:rFonts w:hint="eastAsia"/>
                <w:lang w:val="en-US" w:eastAsia="zh-CN"/>
              </w:rPr>
              <w:t>60</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8E1E14">
            <w:pPr>
              <w:pStyle w:val="45"/>
              <w:bidi w:val="0"/>
              <w:rPr>
                <w:rFonts w:hint="default"/>
              </w:rPr>
            </w:pPr>
            <w:r>
              <w:rPr>
                <w:rFonts w:hint="default"/>
                <w:lang w:val="en-US" w:eastAsia="zh-CN"/>
              </w:rPr>
              <w:t>25</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99CA41">
            <w:pPr>
              <w:pStyle w:val="45"/>
              <w:bidi w:val="0"/>
              <w:rPr>
                <w:rFonts w:hint="default"/>
              </w:rPr>
            </w:pPr>
            <w:r>
              <w:rPr>
                <w:rFonts w:hint="default"/>
                <w:lang w:val="en-US" w:eastAsia="zh-CN"/>
              </w:rPr>
              <w:t>0.4</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4220B4">
            <w:pPr>
              <w:pStyle w:val="45"/>
              <w:bidi w:val="0"/>
              <w:rPr>
                <w:rFonts w:hint="default"/>
              </w:rPr>
            </w:pPr>
            <w:r>
              <w:rPr>
                <w:rFonts w:hint="default"/>
                <w:lang w:val="en-US" w:eastAsia="zh-CN"/>
              </w:rPr>
              <w:t>2000</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7F00C1">
            <w:pPr>
              <w:pStyle w:val="45"/>
              <w:bidi w:val="0"/>
              <w:rPr>
                <w:rFonts w:hint="default"/>
              </w:rPr>
            </w:pPr>
            <w:r>
              <w:rPr>
                <w:rFonts w:hint="default"/>
                <w:lang w:val="en-US" w:eastAsia="zh-CN"/>
              </w:rPr>
              <w:t>25</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8A5E6">
            <w:pPr>
              <w:pStyle w:val="45"/>
              <w:bidi w:val="0"/>
              <w:rPr>
                <w:rFonts w:hint="default"/>
              </w:rPr>
            </w:pPr>
            <w:r>
              <w:rPr>
                <w:rFonts w:hint="eastAsia"/>
                <w:lang w:val="en-US" w:eastAsia="zh-CN"/>
              </w:rPr>
              <w:t>1</w:t>
            </w:r>
          </w:p>
        </w:tc>
        <w:tc>
          <w:tcPr>
            <w:tcW w:w="9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BD05D">
            <w:pPr>
              <w:pStyle w:val="45"/>
              <w:bidi w:val="0"/>
              <w:rPr>
                <w:rFonts w:hint="default"/>
              </w:rPr>
            </w:pPr>
            <w:r>
              <w:rPr>
                <w:rFonts w:hint="eastAsia"/>
                <w:lang w:val="en-US" w:eastAsia="zh-CN"/>
              </w:rPr>
              <w:t>非正常</w:t>
            </w:r>
          </w:p>
        </w:tc>
        <w:tc>
          <w:tcPr>
            <w:tcW w:w="9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95DAE">
            <w:pPr>
              <w:pStyle w:val="45"/>
              <w:bidi w:val="0"/>
              <w:rPr>
                <w:rFonts w:hint="default"/>
              </w:rPr>
            </w:pPr>
            <w:r>
              <w:rPr>
                <w:rFonts w:hint="eastAsia"/>
                <w:lang w:val="en-US" w:eastAsia="zh-CN"/>
              </w:rPr>
              <w:t>0.0015</w:t>
            </w:r>
          </w:p>
        </w:tc>
        <w:tc>
          <w:tcPr>
            <w:tcW w:w="10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32847">
            <w:pPr>
              <w:pStyle w:val="45"/>
              <w:bidi w:val="0"/>
              <w:rPr>
                <w:rFonts w:hint="default"/>
              </w:rPr>
            </w:pPr>
            <w:r>
              <w:rPr>
                <w:rFonts w:hint="eastAsia"/>
                <w:lang w:val="en-US" w:eastAsia="zh-CN"/>
              </w:rPr>
              <w:t>0.0015</w:t>
            </w:r>
          </w:p>
        </w:tc>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A9863">
            <w:pPr>
              <w:pStyle w:val="45"/>
              <w:bidi w:val="0"/>
              <w:rPr>
                <w:rFonts w:hint="default"/>
              </w:rPr>
            </w:pPr>
            <w:r>
              <w:rPr>
                <w:rFonts w:hint="eastAsia"/>
                <w:lang w:val="en-US" w:eastAsia="zh-CN"/>
              </w:rPr>
              <w:t>/</w:t>
            </w:r>
          </w:p>
        </w:tc>
      </w:tr>
      <w:tr w14:paraId="48BC7348">
        <w:tblPrEx>
          <w:tblCellMar>
            <w:top w:w="0" w:type="dxa"/>
            <w:left w:w="108" w:type="dxa"/>
            <w:bottom w:w="0" w:type="dxa"/>
            <w:right w:w="108" w:type="dxa"/>
          </w:tblCellMar>
        </w:tblPrEx>
        <w:trPr>
          <w:trHeight w:val="270" w:hRule="atLeast"/>
        </w:trPr>
        <w:tc>
          <w:tcPr>
            <w:tcW w:w="8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42FB2">
            <w:pPr>
              <w:pStyle w:val="45"/>
              <w:bidi w:val="0"/>
              <w:rPr>
                <w:rFonts w:hint="default"/>
              </w:rPr>
            </w:pPr>
            <w:r>
              <w:rPr>
                <w:rFonts w:hint="eastAsia"/>
                <w:lang w:val="en-US" w:eastAsia="zh-CN"/>
              </w:rPr>
              <w:t>DA003</w:t>
            </w:r>
          </w:p>
        </w:tc>
        <w:tc>
          <w:tcPr>
            <w:tcW w:w="14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1BC33">
            <w:pPr>
              <w:pStyle w:val="45"/>
              <w:bidi w:val="0"/>
              <w:rPr>
                <w:rFonts w:hint="default"/>
              </w:rPr>
            </w:pPr>
            <w:r>
              <w:rPr>
                <w:rFonts w:hint="eastAsia"/>
                <w:lang w:val="en-US" w:eastAsia="zh-CN"/>
              </w:rPr>
              <w:t>二次电解尾气1</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1FEAB">
            <w:pPr>
              <w:pStyle w:val="45"/>
              <w:bidi w:val="0"/>
              <w:rPr>
                <w:rFonts w:hint="default"/>
              </w:rPr>
            </w:pPr>
            <w:r>
              <w:rPr>
                <w:rFonts w:hint="eastAsia"/>
                <w:lang w:val="en-US" w:eastAsia="zh-CN"/>
              </w:rPr>
              <w:t>-31.3</w:t>
            </w: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ADB08">
            <w:pPr>
              <w:pStyle w:val="45"/>
              <w:bidi w:val="0"/>
              <w:rPr>
                <w:rFonts w:hint="default"/>
              </w:rPr>
            </w:pPr>
            <w:r>
              <w:rPr>
                <w:rFonts w:hint="eastAsia"/>
                <w:lang w:val="en-US" w:eastAsia="zh-CN"/>
              </w:rPr>
              <w:t>-8.5</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76AE28">
            <w:pPr>
              <w:pStyle w:val="45"/>
              <w:bidi w:val="0"/>
              <w:rPr>
                <w:rFonts w:hint="default"/>
              </w:rPr>
            </w:pPr>
            <w:r>
              <w:rPr>
                <w:rFonts w:hint="eastAsia"/>
                <w:lang w:val="en-US" w:eastAsia="zh-CN"/>
              </w:rPr>
              <w:t>59</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31F960">
            <w:pPr>
              <w:pStyle w:val="45"/>
              <w:bidi w:val="0"/>
              <w:rPr>
                <w:rFonts w:hint="default"/>
              </w:rPr>
            </w:pPr>
            <w:r>
              <w:rPr>
                <w:rFonts w:hint="default"/>
                <w:lang w:val="en-US" w:eastAsia="zh-CN"/>
              </w:rPr>
              <w:t>25</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60378D">
            <w:pPr>
              <w:pStyle w:val="45"/>
              <w:bidi w:val="0"/>
              <w:rPr>
                <w:rFonts w:hint="default"/>
              </w:rPr>
            </w:pPr>
            <w:r>
              <w:rPr>
                <w:rFonts w:hint="default"/>
                <w:lang w:val="en-US" w:eastAsia="zh-CN"/>
              </w:rPr>
              <w:t>0.4</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C8DD01">
            <w:pPr>
              <w:pStyle w:val="45"/>
              <w:bidi w:val="0"/>
              <w:rPr>
                <w:rFonts w:hint="default"/>
              </w:rPr>
            </w:pPr>
            <w:r>
              <w:rPr>
                <w:rFonts w:hint="default"/>
                <w:lang w:val="en-US" w:eastAsia="zh-CN"/>
              </w:rPr>
              <w:t>2000</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F0088">
            <w:pPr>
              <w:pStyle w:val="45"/>
              <w:bidi w:val="0"/>
              <w:rPr>
                <w:rFonts w:hint="default"/>
              </w:rPr>
            </w:pPr>
            <w:r>
              <w:rPr>
                <w:rFonts w:hint="default"/>
                <w:lang w:val="en-US" w:eastAsia="zh-CN"/>
              </w:rPr>
              <w:t>25</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2492C">
            <w:pPr>
              <w:pStyle w:val="45"/>
              <w:bidi w:val="0"/>
              <w:rPr>
                <w:rFonts w:hint="default"/>
              </w:rPr>
            </w:pPr>
            <w:r>
              <w:rPr>
                <w:rFonts w:hint="eastAsia"/>
                <w:lang w:val="en-US" w:eastAsia="zh-CN"/>
              </w:rPr>
              <w:t>1</w:t>
            </w:r>
          </w:p>
        </w:tc>
        <w:tc>
          <w:tcPr>
            <w:tcW w:w="9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0063A">
            <w:pPr>
              <w:pStyle w:val="45"/>
              <w:bidi w:val="0"/>
              <w:rPr>
                <w:rFonts w:hint="default"/>
              </w:rPr>
            </w:pPr>
            <w:r>
              <w:rPr>
                <w:rFonts w:hint="eastAsia"/>
                <w:lang w:val="en-US" w:eastAsia="zh-CN"/>
              </w:rPr>
              <w:t>非正常</w:t>
            </w:r>
          </w:p>
        </w:tc>
        <w:tc>
          <w:tcPr>
            <w:tcW w:w="9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FC612">
            <w:pPr>
              <w:pStyle w:val="45"/>
              <w:bidi w:val="0"/>
              <w:rPr>
                <w:rFonts w:hint="default"/>
              </w:rPr>
            </w:pPr>
            <w:r>
              <w:rPr>
                <w:rFonts w:hint="eastAsia"/>
                <w:lang w:val="en-US" w:eastAsia="zh-CN"/>
              </w:rPr>
              <w:t>0.104</w:t>
            </w:r>
          </w:p>
        </w:tc>
        <w:tc>
          <w:tcPr>
            <w:tcW w:w="10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E25ECD">
            <w:pPr>
              <w:pStyle w:val="45"/>
              <w:bidi w:val="0"/>
              <w:rPr>
                <w:rFonts w:hint="default"/>
              </w:rPr>
            </w:pPr>
            <w:r>
              <w:rPr>
                <w:rFonts w:hint="eastAsia"/>
                <w:lang w:val="en-US" w:eastAsia="zh-CN"/>
              </w:rPr>
              <w:t>0.121</w:t>
            </w:r>
          </w:p>
        </w:tc>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EF42F">
            <w:pPr>
              <w:pStyle w:val="45"/>
              <w:bidi w:val="0"/>
              <w:rPr>
                <w:rFonts w:hint="default"/>
              </w:rPr>
            </w:pPr>
            <w:r>
              <w:rPr>
                <w:rFonts w:hint="eastAsia"/>
                <w:lang w:val="en-US" w:eastAsia="zh-CN"/>
              </w:rPr>
              <w:t>/</w:t>
            </w:r>
          </w:p>
        </w:tc>
      </w:tr>
      <w:tr w14:paraId="5F48F8AE">
        <w:tblPrEx>
          <w:tblCellMar>
            <w:top w:w="0" w:type="dxa"/>
            <w:left w:w="108" w:type="dxa"/>
            <w:bottom w:w="0" w:type="dxa"/>
            <w:right w:w="108" w:type="dxa"/>
          </w:tblCellMar>
        </w:tblPrEx>
        <w:trPr>
          <w:trHeight w:val="270" w:hRule="atLeast"/>
        </w:trPr>
        <w:tc>
          <w:tcPr>
            <w:tcW w:w="8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9DCFB">
            <w:pPr>
              <w:pStyle w:val="45"/>
              <w:bidi w:val="0"/>
              <w:rPr>
                <w:rFonts w:hint="default"/>
              </w:rPr>
            </w:pPr>
            <w:r>
              <w:rPr>
                <w:rFonts w:hint="eastAsia"/>
                <w:lang w:val="en-US" w:eastAsia="zh-CN"/>
              </w:rPr>
              <w:t>DA004</w:t>
            </w:r>
          </w:p>
        </w:tc>
        <w:tc>
          <w:tcPr>
            <w:tcW w:w="14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D3080">
            <w:pPr>
              <w:pStyle w:val="45"/>
              <w:bidi w:val="0"/>
              <w:rPr>
                <w:rFonts w:hint="default"/>
              </w:rPr>
            </w:pPr>
            <w:r>
              <w:rPr>
                <w:rFonts w:hint="eastAsia"/>
                <w:lang w:val="en-US" w:eastAsia="zh-CN"/>
              </w:rPr>
              <w:t>二次电解尾气2</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0FD9F">
            <w:pPr>
              <w:pStyle w:val="45"/>
              <w:bidi w:val="0"/>
              <w:rPr>
                <w:rFonts w:hint="default"/>
              </w:rPr>
            </w:pPr>
            <w:r>
              <w:rPr>
                <w:rFonts w:hint="eastAsia"/>
                <w:lang w:val="en-US" w:eastAsia="zh-CN"/>
              </w:rPr>
              <w:t>-39.4</w:t>
            </w: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718DC">
            <w:pPr>
              <w:pStyle w:val="45"/>
              <w:bidi w:val="0"/>
              <w:rPr>
                <w:rFonts w:hint="default"/>
              </w:rPr>
            </w:pPr>
            <w:r>
              <w:rPr>
                <w:rFonts w:hint="eastAsia"/>
                <w:lang w:val="en-US" w:eastAsia="zh-CN"/>
              </w:rPr>
              <w:t>-8.5</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722611">
            <w:pPr>
              <w:pStyle w:val="45"/>
              <w:bidi w:val="0"/>
              <w:rPr>
                <w:rFonts w:hint="default"/>
              </w:rPr>
            </w:pPr>
            <w:r>
              <w:rPr>
                <w:rFonts w:hint="eastAsia"/>
                <w:lang w:val="en-US" w:eastAsia="zh-CN"/>
              </w:rPr>
              <w:t>59</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EDDD9">
            <w:pPr>
              <w:pStyle w:val="45"/>
              <w:bidi w:val="0"/>
              <w:rPr>
                <w:rFonts w:hint="default"/>
              </w:rPr>
            </w:pPr>
            <w:r>
              <w:rPr>
                <w:rFonts w:hint="default"/>
                <w:lang w:val="en-US" w:eastAsia="zh-CN"/>
              </w:rPr>
              <w:t>25</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A0F29">
            <w:pPr>
              <w:pStyle w:val="45"/>
              <w:bidi w:val="0"/>
              <w:rPr>
                <w:rFonts w:hint="default"/>
              </w:rPr>
            </w:pPr>
            <w:r>
              <w:rPr>
                <w:rFonts w:hint="default"/>
                <w:lang w:val="en-US" w:eastAsia="zh-CN"/>
              </w:rPr>
              <w:t>0.4</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718259">
            <w:pPr>
              <w:pStyle w:val="45"/>
              <w:bidi w:val="0"/>
              <w:rPr>
                <w:rFonts w:hint="default"/>
              </w:rPr>
            </w:pPr>
            <w:r>
              <w:rPr>
                <w:rFonts w:hint="default"/>
                <w:lang w:val="en-US" w:eastAsia="zh-CN"/>
              </w:rPr>
              <w:t>2000</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9C6D30">
            <w:pPr>
              <w:pStyle w:val="45"/>
              <w:bidi w:val="0"/>
              <w:rPr>
                <w:rFonts w:hint="default"/>
              </w:rPr>
            </w:pPr>
            <w:r>
              <w:rPr>
                <w:rFonts w:hint="default"/>
                <w:lang w:val="en-US" w:eastAsia="zh-CN"/>
              </w:rPr>
              <w:t>25</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04E9B">
            <w:pPr>
              <w:pStyle w:val="45"/>
              <w:bidi w:val="0"/>
              <w:rPr>
                <w:rFonts w:hint="default"/>
              </w:rPr>
            </w:pPr>
            <w:r>
              <w:rPr>
                <w:rFonts w:hint="eastAsia"/>
                <w:lang w:val="en-US" w:eastAsia="zh-CN"/>
              </w:rPr>
              <w:t>1</w:t>
            </w:r>
          </w:p>
        </w:tc>
        <w:tc>
          <w:tcPr>
            <w:tcW w:w="9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D4371">
            <w:pPr>
              <w:pStyle w:val="45"/>
              <w:bidi w:val="0"/>
              <w:rPr>
                <w:rFonts w:hint="default"/>
              </w:rPr>
            </w:pPr>
            <w:r>
              <w:rPr>
                <w:rFonts w:hint="eastAsia"/>
                <w:lang w:val="en-US" w:eastAsia="zh-CN"/>
              </w:rPr>
              <w:t>非正常</w:t>
            </w:r>
          </w:p>
        </w:tc>
        <w:tc>
          <w:tcPr>
            <w:tcW w:w="9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CAE05B">
            <w:pPr>
              <w:pStyle w:val="45"/>
              <w:bidi w:val="0"/>
              <w:rPr>
                <w:rFonts w:hint="default"/>
              </w:rPr>
            </w:pPr>
            <w:r>
              <w:rPr>
                <w:rFonts w:hint="eastAsia"/>
                <w:lang w:val="en-US" w:eastAsia="zh-CN"/>
              </w:rPr>
              <w:t>0.104</w:t>
            </w:r>
          </w:p>
        </w:tc>
        <w:tc>
          <w:tcPr>
            <w:tcW w:w="10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EB536">
            <w:pPr>
              <w:pStyle w:val="45"/>
              <w:bidi w:val="0"/>
              <w:rPr>
                <w:rFonts w:hint="default"/>
              </w:rPr>
            </w:pPr>
            <w:r>
              <w:rPr>
                <w:rFonts w:hint="eastAsia"/>
                <w:lang w:val="en-US" w:eastAsia="zh-CN"/>
              </w:rPr>
              <w:t>0.121</w:t>
            </w:r>
          </w:p>
        </w:tc>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7731EA">
            <w:pPr>
              <w:pStyle w:val="45"/>
              <w:bidi w:val="0"/>
              <w:rPr>
                <w:rFonts w:hint="default"/>
              </w:rPr>
            </w:pPr>
            <w:r>
              <w:rPr>
                <w:rFonts w:hint="eastAsia"/>
                <w:lang w:val="en-US" w:eastAsia="zh-CN"/>
              </w:rPr>
              <w:t>/</w:t>
            </w:r>
          </w:p>
        </w:tc>
      </w:tr>
      <w:tr w14:paraId="49C56AB9">
        <w:tblPrEx>
          <w:tblCellMar>
            <w:top w:w="0" w:type="dxa"/>
            <w:left w:w="108" w:type="dxa"/>
            <w:bottom w:w="0" w:type="dxa"/>
            <w:right w:w="108" w:type="dxa"/>
          </w:tblCellMar>
        </w:tblPrEx>
        <w:trPr>
          <w:trHeight w:val="270" w:hRule="atLeast"/>
        </w:trPr>
        <w:tc>
          <w:tcPr>
            <w:tcW w:w="8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50D1C">
            <w:pPr>
              <w:pStyle w:val="45"/>
              <w:bidi w:val="0"/>
              <w:rPr>
                <w:rFonts w:hint="default"/>
              </w:rPr>
            </w:pPr>
            <w:r>
              <w:rPr>
                <w:rFonts w:hint="eastAsia"/>
                <w:lang w:val="en-US" w:eastAsia="zh-CN"/>
              </w:rPr>
              <w:t>DA005</w:t>
            </w:r>
          </w:p>
        </w:tc>
        <w:tc>
          <w:tcPr>
            <w:tcW w:w="14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59CF6B">
            <w:pPr>
              <w:pStyle w:val="45"/>
              <w:bidi w:val="0"/>
              <w:rPr>
                <w:rFonts w:hint="default"/>
              </w:rPr>
            </w:pPr>
            <w:r>
              <w:rPr>
                <w:rFonts w:hint="eastAsia"/>
                <w:lang w:val="en-US" w:eastAsia="zh-CN"/>
              </w:rPr>
              <w:t>复分解干燥粉尘1</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37953">
            <w:pPr>
              <w:pStyle w:val="45"/>
              <w:bidi w:val="0"/>
              <w:rPr>
                <w:rFonts w:hint="default"/>
              </w:rPr>
            </w:pPr>
            <w:r>
              <w:rPr>
                <w:rFonts w:hint="eastAsia"/>
                <w:lang w:val="en-US" w:eastAsia="zh-CN"/>
              </w:rPr>
              <w:t>14.5</w:t>
            </w: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8A72F4">
            <w:pPr>
              <w:pStyle w:val="45"/>
              <w:bidi w:val="0"/>
              <w:rPr>
                <w:rFonts w:hint="default"/>
              </w:rPr>
            </w:pPr>
            <w:r>
              <w:rPr>
                <w:rFonts w:hint="eastAsia"/>
                <w:lang w:val="en-US" w:eastAsia="zh-CN"/>
              </w:rPr>
              <w:t>-16.5</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6B0E7">
            <w:pPr>
              <w:pStyle w:val="45"/>
              <w:bidi w:val="0"/>
              <w:rPr>
                <w:rFonts w:hint="default"/>
              </w:rPr>
            </w:pPr>
            <w:r>
              <w:rPr>
                <w:rFonts w:hint="eastAsia"/>
                <w:lang w:val="en-US" w:eastAsia="zh-CN"/>
              </w:rPr>
              <w:t>60</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FDAD9D">
            <w:pPr>
              <w:pStyle w:val="45"/>
              <w:bidi w:val="0"/>
              <w:rPr>
                <w:rFonts w:hint="default"/>
              </w:rPr>
            </w:pPr>
            <w:r>
              <w:rPr>
                <w:rFonts w:hint="default"/>
                <w:lang w:val="en-US" w:eastAsia="zh-CN"/>
              </w:rPr>
              <w:t>15</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2EF306">
            <w:pPr>
              <w:pStyle w:val="45"/>
              <w:bidi w:val="0"/>
              <w:rPr>
                <w:rFonts w:hint="default"/>
              </w:rPr>
            </w:pPr>
            <w:r>
              <w:rPr>
                <w:rFonts w:hint="default"/>
                <w:lang w:val="en-US" w:eastAsia="zh-CN"/>
              </w:rPr>
              <w:t>0.6</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02AAED">
            <w:pPr>
              <w:pStyle w:val="45"/>
              <w:bidi w:val="0"/>
              <w:rPr>
                <w:rFonts w:hint="default"/>
              </w:rPr>
            </w:pPr>
            <w:r>
              <w:rPr>
                <w:rFonts w:hint="default"/>
                <w:lang w:val="en-US" w:eastAsia="zh-CN"/>
              </w:rPr>
              <w:t>8000</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F0A8E2">
            <w:pPr>
              <w:pStyle w:val="45"/>
              <w:bidi w:val="0"/>
              <w:rPr>
                <w:rFonts w:hint="default"/>
              </w:rPr>
            </w:pPr>
            <w:r>
              <w:rPr>
                <w:rFonts w:hint="default"/>
                <w:lang w:val="en-US" w:eastAsia="zh-CN"/>
              </w:rPr>
              <w:t>25</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8A2082">
            <w:pPr>
              <w:pStyle w:val="45"/>
              <w:bidi w:val="0"/>
              <w:rPr>
                <w:rFonts w:hint="default"/>
              </w:rPr>
            </w:pPr>
            <w:r>
              <w:rPr>
                <w:rFonts w:hint="eastAsia"/>
                <w:lang w:val="en-US" w:eastAsia="zh-CN"/>
              </w:rPr>
              <w:t>1</w:t>
            </w:r>
          </w:p>
        </w:tc>
        <w:tc>
          <w:tcPr>
            <w:tcW w:w="9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53711">
            <w:pPr>
              <w:pStyle w:val="45"/>
              <w:bidi w:val="0"/>
              <w:rPr>
                <w:rFonts w:hint="default"/>
              </w:rPr>
            </w:pPr>
            <w:r>
              <w:rPr>
                <w:rFonts w:hint="eastAsia"/>
                <w:lang w:val="en-US" w:eastAsia="zh-CN"/>
              </w:rPr>
              <w:t>非正常</w:t>
            </w:r>
          </w:p>
        </w:tc>
        <w:tc>
          <w:tcPr>
            <w:tcW w:w="9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EB5EC">
            <w:pPr>
              <w:pStyle w:val="45"/>
              <w:bidi w:val="0"/>
              <w:rPr>
                <w:rFonts w:hint="default"/>
              </w:rPr>
            </w:pPr>
            <w:r>
              <w:rPr>
                <w:rFonts w:hint="eastAsia"/>
                <w:lang w:val="en-US" w:eastAsia="zh-CN"/>
              </w:rPr>
              <w:t>/</w:t>
            </w:r>
          </w:p>
        </w:tc>
        <w:tc>
          <w:tcPr>
            <w:tcW w:w="10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EF8BA">
            <w:pPr>
              <w:pStyle w:val="45"/>
              <w:bidi w:val="0"/>
              <w:rPr>
                <w:rFonts w:hint="default"/>
              </w:rPr>
            </w:pPr>
            <w:r>
              <w:rPr>
                <w:rFonts w:hint="eastAsia"/>
                <w:lang w:val="en-US" w:eastAsia="zh-CN"/>
              </w:rPr>
              <w:t>/</w:t>
            </w:r>
          </w:p>
        </w:tc>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4840A3">
            <w:pPr>
              <w:pStyle w:val="45"/>
              <w:bidi w:val="0"/>
              <w:rPr>
                <w:rFonts w:hint="default"/>
              </w:rPr>
            </w:pPr>
            <w:r>
              <w:rPr>
                <w:rFonts w:hint="eastAsia"/>
                <w:lang w:val="en-US" w:eastAsia="zh-CN"/>
              </w:rPr>
              <w:t>3.89</w:t>
            </w:r>
          </w:p>
        </w:tc>
      </w:tr>
      <w:tr w14:paraId="1E9179ED">
        <w:tblPrEx>
          <w:tblCellMar>
            <w:top w:w="0" w:type="dxa"/>
            <w:left w:w="108" w:type="dxa"/>
            <w:bottom w:w="0" w:type="dxa"/>
            <w:right w:w="108" w:type="dxa"/>
          </w:tblCellMar>
        </w:tblPrEx>
        <w:trPr>
          <w:trHeight w:val="270" w:hRule="atLeast"/>
        </w:trPr>
        <w:tc>
          <w:tcPr>
            <w:tcW w:w="8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54CD6B">
            <w:pPr>
              <w:pStyle w:val="45"/>
              <w:bidi w:val="0"/>
              <w:rPr>
                <w:rFonts w:hint="default"/>
              </w:rPr>
            </w:pPr>
            <w:r>
              <w:rPr>
                <w:rFonts w:hint="eastAsia"/>
                <w:lang w:val="en-US" w:eastAsia="zh-CN"/>
              </w:rPr>
              <w:t>DA006</w:t>
            </w:r>
          </w:p>
        </w:tc>
        <w:tc>
          <w:tcPr>
            <w:tcW w:w="14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E1B24">
            <w:pPr>
              <w:pStyle w:val="45"/>
              <w:bidi w:val="0"/>
              <w:rPr>
                <w:rFonts w:hint="default"/>
              </w:rPr>
            </w:pPr>
            <w:r>
              <w:rPr>
                <w:rFonts w:hint="eastAsia"/>
                <w:lang w:val="en-US" w:eastAsia="zh-CN"/>
              </w:rPr>
              <w:t>复分解干燥粉尘2</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8233EA">
            <w:pPr>
              <w:pStyle w:val="45"/>
              <w:bidi w:val="0"/>
              <w:rPr>
                <w:rFonts w:hint="default"/>
              </w:rPr>
            </w:pPr>
            <w:r>
              <w:rPr>
                <w:rFonts w:hint="eastAsia"/>
                <w:lang w:val="en-US" w:eastAsia="zh-CN"/>
              </w:rPr>
              <w:t>24.5</w:t>
            </w: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FB2BA">
            <w:pPr>
              <w:pStyle w:val="45"/>
              <w:bidi w:val="0"/>
              <w:rPr>
                <w:rFonts w:hint="default"/>
              </w:rPr>
            </w:pPr>
            <w:r>
              <w:rPr>
                <w:rFonts w:hint="eastAsia"/>
                <w:lang w:val="en-US" w:eastAsia="zh-CN"/>
              </w:rPr>
              <w:t>-16.5</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A65F0">
            <w:pPr>
              <w:pStyle w:val="45"/>
              <w:bidi w:val="0"/>
              <w:rPr>
                <w:rFonts w:hint="default"/>
              </w:rPr>
            </w:pPr>
            <w:r>
              <w:rPr>
                <w:rFonts w:hint="eastAsia"/>
                <w:lang w:val="en-US" w:eastAsia="zh-CN"/>
              </w:rPr>
              <w:t>60</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C70AD3">
            <w:pPr>
              <w:pStyle w:val="45"/>
              <w:bidi w:val="0"/>
              <w:rPr>
                <w:rFonts w:hint="default"/>
              </w:rPr>
            </w:pPr>
            <w:r>
              <w:rPr>
                <w:rFonts w:hint="default"/>
                <w:lang w:val="en-US" w:eastAsia="zh-CN"/>
              </w:rPr>
              <w:t>15</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FB4C8">
            <w:pPr>
              <w:pStyle w:val="45"/>
              <w:bidi w:val="0"/>
              <w:rPr>
                <w:rFonts w:hint="default"/>
              </w:rPr>
            </w:pPr>
            <w:r>
              <w:rPr>
                <w:rFonts w:hint="default"/>
                <w:lang w:val="en-US" w:eastAsia="zh-CN"/>
              </w:rPr>
              <w:t>0.6</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FD86F1">
            <w:pPr>
              <w:pStyle w:val="45"/>
              <w:bidi w:val="0"/>
              <w:rPr>
                <w:rFonts w:hint="default"/>
              </w:rPr>
            </w:pPr>
            <w:r>
              <w:rPr>
                <w:rFonts w:hint="default"/>
                <w:lang w:val="en-US" w:eastAsia="zh-CN"/>
              </w:rPr>
              <w:t>8000</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42C7D">
            <w:pPr>
              <w:pStyle w:val="45"/>
              <w:bidi w:val="0"/>
              <w:rPr>
                <w:rFonts w:hint="default"/>
              </w:rPr>
            </w:pPr>
            <w:r>
              <w:rPr>
                <w:rFonts w:hint="default"/>
                <w:lang w:val="en-US" w:eastAsia="zh-CN"/>
              </w:rPr>
              <w:t>25</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8379A">
            <w:pPr>
              <w:pStyle w:val="45"/>
              <w:bidi w:val="0"/>
              <w:rPr>
                <w:rFonts w:hint="default"/>
              </w:rPr>
            </w:pPr>
            <w:r>
              <w:rPr>
                <w:rFonts w:hint="eastAsia"/>
                <w:lang w:val="en-US" w:eastAsia="zh-CN"/>
              </w:rPr>
              <w:t>1</w:t>
            </w:r>
          </w:p>
        </w:tc>
        <w:tc>
          <w:tcPr>
            <w:tcW w:w="9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F086E4">
            <w:pPr>
              <w:pStyle w:val="45"/>
              <w:bidi w:val="0"/>
              <w:rPr>
                <w:rFonts w:hint="default"/>
              </w:rPr>
            </w:pPr>
            <w:r>
              <w:rPr>
                <w:rFonts w:hint="eastAsia"/>
                <w:lang w:val="en-US" w:eastAsia="zh-CN"/>
              </w:rPr>
              <w:t>非正常</w:t>
            </w:r>
          </w:p>
        </w:tc>
        <w:tc>
          <w:tcPr>
            <w:tcW w:w="9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741206">
            <w:pPr>
              <w:pStyle w:val="45"/>
              <w:bidi w:val="0"/>
              <w:rPr>
                <w:rFonts w:hint="default"/>
              </w:rPr>
            </w:pPr>
            <w:r>
              <w:rPr>
                <w:rFonts w:hint="eastAsia"/>
                <w:lang w:val="en-US" w:eastAsia="zh-CN"/>
              </w:rPr>
              <w:t>/</w:t>
            </w:r>
          </w:p>
        </w:tc>
        <w:tc>
          <w:tcPr>
            <w:tcW w:w="10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7CBA1">
            <w:pPr>
              <w:pStyle w:val="45"/>
              <w:bidi w:val="0"/>
              <w:rPr>
                <w:rFonts w:hint="default"/>
              </w:rPr>
            </w:pPr>
            <w:r>
              <w:rPr>
                <w:rFonts w:hint="eastAsia"/>
                <w:lang w:val="en-US" w:eastAsia="zh-CN"/>
              </w:rPr>
              <w:t>/</w:t>
            </w:r>
          </w:p>
        </w:tc>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0A59F4">
            <w:pPr>
              <w:pStyle w:val="45"/>
              <w:bidi w:val="0"/>
              <w:rPr>
                <w:rFonts w:hint="default"/>
              </w:rPr>
            </w:pPr>
            <w:r>
              <w:rPr>
                <w:rFonts w:hint="eastAsia"/>
                <w:lang w:val="en-US" w:eastAsia="zh-CN"/>
              </w:rPr>
              <w:t>3.89</w:t>
            </w:r>
          </w:p>
        </w:tc>
      </w:tr>
      <w:tr w14:paraId="55B416BA">
        <w:tblPrEx>
          <w:tblCellMar>
            <w:top w:w="0" w:type="dxa"/>
            <w:left w:w="108" w:type="dxa"/>
            <w:bottom w:w="0" w:type="dxa"/>
            <w:right w:w="108" w:type="dxa"/>
          </w:tblCellMar>
        </w:tblPrEx>
        <w:trPr>
          <w:trHeight w:val="270" w:hRule="atLeast"/>
        </w:trPr>
        <w:tc>
          <w:tcPr>
            <w:tcW w:w="8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D2AD2">
            <w:pPr>
              <w:pStyle w:val="45"/>
              <w:bidi w:val="0"/>
            </w:pPr>
            <w:r>
              <w:rPr>
                <w:rFonts w:hint="eastAsia"/>
                <w:lang w:val="en-US" w:eastAsia="zh-CN"/>
              </w:rPr>
              <w:t>DA007</w:t>
            </w:r>
          </w:p>
        </w:tc>
        <w:tc>
          <w:tcPr>
            <w:tcW w:w="14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C18AC">
            <w:pPr>
              <w:pStyle w:val="45"/>
              <w:bidi w:val="0"/>
            </w:pPr>
            <w:r>
              <w:rPr>
                <w:rFonts w:hint="eastAsia"/>
                <w:lang w:val="en-US" w:eastAsia="zh-CN"/>
              </w:rPr>
              <w:t>锂盐中和尾气</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E6F07">
            <w:pPr>
              <w:pStyle w:val="45"/>
              <w:bidi w:val="0"/>
            </w:pPr>
            <w:r>
              <w:rPr>
                <w:rFonts w:hint="eastAsia"/>
                <w:lang w:val="en-US" w:eastAsia="zh-CN"/>
              </w:rPr>
              <w:t>-49.4</w:t>
            </w: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1A025">
            <w:pPr>
              <w:pStyle w:val="45"/>
              <w:bidi w:val="0"/>
            </w:pPr>
            <w:r>
              <w:rPr>
                <w:rFonts w:hint="eastAsia"/>
                <w:lang w:val="en-US" w:eastAsia="zh-CN"/>
              </w:rPr>
              <w:t>-18.5</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4530E9">
            <w:pPr>
              <w:pStyle w:val="45"/>
              <w:bidi w:val="0"/>
              <w:rPr>
                <w:rFonts w:hint="default"/>
              </w:rPr>
            </w:pPr>
            <w:r>
              <w:rPr>
                <w:rFonts w:hint="eastAsia"/>
                <w:lang w:val="en-US" w:eastAsia="zh-CN"/>
              </w:rPr>
              <w:t>59</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3E33BF">
            <w:pPr>
              <w:pStyle w:val="45"/>
              <w:bidi w:val="0"/>
              <w:rPr>
                <w:rFonts w:hint="default"/>
              </w:rPr>
            </w:pPr>
            <w:r>
              <w:rPr>
                <w:rFonts w:hint="default"/>
                <w:lang w:val="en-US" w:eastAsia="zh-CN"/>
              </w:rPr>
              <w:t>15</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B17B84">
            <w:pPr>
              <w:pStyle w:val="45"/>
              <w:bidi w:val="0"/>
              <w:rPr>
                <w:rFonts w:hint="default"/>
              </w:rPr>
            </w:pPr>
            <w:r>
              <w:rPr>
                <w:rFonts w:hint="default"/>
                <w:lang w:val="en-US" w:eastAsia="zh-CN"/>
              </w:rPr>
              <w:t>0.4</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E03D4">
            <w:pPr>
              <w:pStyle w:val="45"/>
              <w:bidi w:val="0"/>
              <w:rPr>
                <w:rFonts w:hint="default"/>
              </w:rPr>
            </w:pPr>
            <w:r>
              <w:rPr>
                <w:rFonts w:hint="default"/>
                <w:lang w:val="en-US" w:eastAsia="zh-CN"/>
              </w:rPr>
              <w:t>2000</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176BF1">
            <w:pPr>
              <w:pStyle w:val="45"/>
              <w:bidi w:val="0"/>
              <w:rPr>
                <w:rFonts w:hint="default"/>
              </w:rPr>
            </w:pPr>
            <w:r>
              <w:rPr>
                <w:rFonts w:hint="default"/>
                <w:lang w:val="en-US" w:eastAsia="zh-CN"/>
              </w:rPr>
              <w:t>25</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64E0A">
            <w:pPr>
              <w:pStyle w:val="45"/>
              <w:bidi w:val="0"/>
            </w:pPr>
            <w:r>
              <w:rPr>
                <w:rFonts w:hint="eastAsia"/>
                <w:lang w:val="en-US" w:eastAsia="zh-CN"/>
              </w:rPr>
              <w:t>1</w:t>
            </w:r>
          </w:p>
        </w:tc>
        <w:tc>
          <w:tcPr>
            <w:tcW w:w="9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04C01">
            <w:pPr>
              <w:pStyle w:val="45"/>
              <w:bidi w:val="0"/>
            </w:pPr>
            <w:r>
              <w:rPr>
                <w:rFonts w:hint="eastAsia"/>
                <w:lang w:val="en-US" w:eastAsia="zh-CN"/>
              </w:rPr>
              <w:t>非正常</w:t>
            </w:r>
          </w:p>
        </w:tc>
        <w:tc>
          <w:tcPr>
            <w:tcW w:w="9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4EE6DE">
            <w:pPr>
              <w:pStyle w:val="45"/>
              <w:bidi w:val="0"/>
            </w:pPr>
            <w:r>
              <w:rPr>
                <w:rFonts w:hint="eastAsia"/>
                <w:lang w:val="en-US" w:eastAsia="zh-CN"/>
              </w:rPr>
              <w:t>/</w:t>
            </w:r>
          </w:p>
        </w:tc>
        <w:tc>
          <w:tcPr>
            <w:tcW w:w="10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BC983">
            <w:pPr>
              <w:pStyle w:val="45"/>
              <w:bidi w:val="0"/>
            </w:pPr>
            <w:r>
              <w:rPr>
                <w:rFonts w:hint="eastAsia"/>
                <w:lang w:val="en-US" w:eastAsia="zh-CN"/>
              </w:rPr>
              <w:t>0.036</w:t>
            </w:r>
          </w:p>
        </w:tc>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51D091">
            <w:pPr>
              <w:pStyle w:val="45"/>
              <w:bidi w:val="0"/>
            </w:pPr>
            <w:r>
              <w:rPr>
                <w:rFonts w:hint="eastAsia"/>
                <w:lang w:val="en-US" w:eastAsia="zh-CN"/>
              </w:rPr>
              <w:t>/</w:t>
            </w:r>
          </w:p>
        </w:tc>
      </w:tr>
    </w:tbl>
    <w:p w14:paraId="6925DBF1">
      <w:pPr>
        <w:ind w:firstLine="0" w:firstLineChars="0"/>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31ABB636">
      <w:pPr>
        <w:pStyle w:val="4"/>
        <w:numPr>
          <w:ilvl w:val="2"/>
          <w:numId w:val="1"/>
        </w:numPr>
      </w:pPr>
      <w:bookmarkStart w:id="250" w:name="_Toc5035"/>
      <w:r>
        <w:rPr>
          <w:rFonts w:hint="eastAsia"/>
        </w:rPr>
        <w:t>预测结果与评价</w:t>
      </w:r>
      <w:bookmarkEnd w:id="250"/>
    </w:p>
    <w:p w14:paraId="54BD7182">
      <w:pPr>
        <w:pStyle w:val="5"/>
        <w:numPr>
          <w:ilvl w:val="3"/>
          <w:numId w:val="1"/>
        </w:numPr>
      </w:pPr>
      <w:r>
        <w:rPr>
          <w:rFonts w:hint="eastAsia"/>
        </w:rPr>
        <w:t>项目废气污染物正常排放的环境影响预测结果与评价</w:t>
      </w:r>
    </w:p>
    <w:p w14:paraId="5FAB19B8">
      <w:pPr>
        <w:ind w:firstLine="480"/>
      </w:pPr>
      <w:r>
        <w:rPr>
          <w:rFonts w:hint="eastAsia"/>
        </w:rPr>
        <w:t>1、情景1预测结果</w:t>
      </w:r>
    </w:p>
    <w:p w14:paraId="7AD211AB">
      <w:pPr>
        <w:ind w:firstLine="480"/>
      </w:pPr>
      <w:r>
        <w:rPr>
          <w:rFonts w:hint="eastAsia"/>
        </w:rPr>
        <w:t>本情景考虑在正常工况下，全厂所排烟气对周边环境的影响情况</w:t>
      </w:r>
    </w:p>
    <w:p w14:paraId="3FFBAD32">
      <w:pPr>
        <w:ind w:firstLine="480"/>
      </w:pPr>
      <w:r>
        <w:rPr>
          <w:rFonts w:hint="eastAsia"/>
        </w:rPr>
        <w:t>情景1预测结果分为以下几个部分：</w:t>
      </w:r>
    </w:p>
    <w:p w14:paraId="7D1F4401">
      <w:pPr>
        <w:ind w:firstLine="960" w:firstLineChars="400"/>
      </w:pPr>
      <w:r>
        <w:rPr>
          <w:rFonts w:hint="eastAsia"/>
        </w:rPr>
        <w:t>（一）本项目在评价区域贡献值的最大地面浓度；</w:t>
      </w:r>
    </w:p>
    <w:p w14:paraId="0C828F3B">
      <w:pPr>
        <w:ind w:firstLine="960" w:firstLineChars="400"/>
      </w:pPr>
      <w:r>
        <w:rPr>
          <w:rFonts w:hint="eastAsia"/>
        </w:rPr>
        <w:t>（二）本项目贡献值对环境保护目标的最大影响程度。</w:t>
      </w:r>
    </w:p>
    <w:p w14:paraId="7C66B699">
      <w:pPr>
        <w:ind w:firstLine="482"/>
        <w:rPr>
          <w:b/>
          <w:bCs/>
        </w:rPr>
      </w:pPr>
      <w:r>
        <w:rPr>
          <w:rFonts w:hint="eastAsia"/>
          <w:b/>
          <w:bCs/>
        </w:rPr>
        <w:t>（一）本项目在评价区域贡献值的最大地面浓度</w:t>
      </w:r>
    </w:p>
    <w:p w14:paraId="262813E6">
      <w:pPr>
        <w:ind w:firstLine="480"/>
      </w:pPr>
      <w:r>
        <w:rPr>
          <w:rFonts w:hint="eastAsia"/>
        </w:rPr>
        <w:t>1、氯气</w:t>
      </w:r>
    </w:p>
    <w:p w14:paraId="4A8205FB">
      <w:pPr>
        <w:ind w:firstLine="480"/>
      </w:pPr>
      <w:r>
        <w:t>由预测结果可知，在最不利小时气象条件下，</w:t>
      </w:r>
      <w:r>
        <w:rPr>
          <w:rFonts w:hint="eastAsia"/>
        </w:rPr>
        <w:t>氯气</w:t>
      </w:r>
      <w:r>
        <w:t>的正常排放对各环境敏感点中</w:t>
      </w:r>
      <w:r>
        <w:rPr>
          <w:rFonts w:hint="eastAsia"/>
        </w:rPr>
        <w:t>园区安置房</w:t>
      </w:r>
      <w:r>
        <w:t>的贡献值最大，为</w:t>
      </w:r>
      <w:r>
        <w:rPr>
          <w:rFonts w:hint="eastAsia"/>
        </w:rPr>
        <w:t>0.001841</w:t>
      </w:r>
      <w:r>
        <w:t>mg/m</w:t>
      </w:r>
      <w:r>
        <w:rPr>
          <w:vertAlign w:val="superscript"/>
        </w:rPr>
        <w:t>3</w:t>
      </w:r>
      <w:r>
        <w:t>，占标率为</w:t>
      </w:r>
      <w:r>
        <w:rPr>
          <w:rFonts w:hint="eastAsia"/>
        </w:rPr>
        <w:t>1.</w:t>
      </w:r>
      <w:r>
        <w:rPr>
          <w:rFonts w:hint="eastAsia"/>
          <w:lang w:val="en-US" w:eastAsia="zh-CN"/>
        </w:rPr>
        <w:t>84</w:t>
      </w:r>
      <w:r>
        <w:t>%，达到《环境影响评价技术导则--大气环境》（HJ2.2-2018）附录D中标准要求；评价范围内</w:t>
      </w:r>
      <w:r>
        <w:rPr>
          <w:rFonts w:hint="eastAsia"/>
        </w:rPr>
        <w:t>氯气</w:t>
      </w:r>
      <w:r>
        <w:t>最大小时地面浓度贡献值为</w:t>
      </w:r>
      <w:r>
        <w:rPr>
          <w:rFonts w:hint="eastAsia"/>
        </w:rPr>
        <w:t>0.009529</w:t>
      </w:r>
      <w:r>
        <w:t>mg/m</w:t>
      </w:r>
      <w:r>
        <w:rPr>
          <w:vertAlign w:val="superscript"/>
        </w:rPr>
        <w:t>3</w:t>
      </w:r>
      <w:r>
        <w:t>，贡献值占标率为</w:t>
      </w:r>
      <w:r>
        <w:rPr>
          <w:rFonts w:hint="eastAsia"/>
          <w:lang w:val="en-US" w:eastAsia="zh-CN"/>
        </w:rPr>
        <w:t>9.53</w:t>
      </w:r>
      <w:r>
        <w:t>%，达到《环境影响评价技术导则--大气环境》（HJ2.2-2018）附录D中标准要求，该点坐标为</w:t>
      </w:r>
      <w:r>
        <w:rPr>
          <w:rFonts w:hint="eastAsia" w:cs="宋体"/>
          <w:color w:val="000000"/>
          <w:kern w:val="0"/>
          <w:sz w:val="21"/>
          <w:szCs w:val="22"/>
        </w:rPr>
        <w:t>（</w:t>
      </w:r>
      <w:r>
        <w:rPr>
          <w:rFonts w:hint="eastAsia" w:cs="宋体"/>
          <w:color w:val="000000"/>
          <w:kern w:val="0"/>
          <w:sz w:val="21"/>
          <w:szCs w:val="22"/>
          <w:lang w:val="en-US" w:eastAsia="zh-CN"/>
        </w:rPr>
        <w:t>-450，250</w:t>
      </w:r>
      <w:r>
        <w:rPr>
          <w:rFonts w:hint="eastAsia" w:cs="宋体"/>
          <w:color w:val="000000"/>
          <w:kern w:val="0"/>
          <w:sz w:val="21"/>
          <w:szCs w:val="22"/>
        </w:rPr>
        <w:t>）</w:t>
      </w:r>
      <w:r>
        <w:rPr>
          <w:rFonts w:hint="eastAsia"/>
        </w:rPr>
        <w:t>，</w:t>
      </w:r>
      <w:r>
        <w:t>位于</w:t>
      </w:r>
      <w:r>
        <w:rPr>
          <w:rFonts w:hint="eastAsia"/>
        </w:rPr>
        <w:t>厂区外</w:t>
      </w:r>
      <w:r>
        <w:t>，厂界外无超标点。</w:t>
      </w:r>
    </w:p>
    <w:p w14:paraId="38490B24">
      <w:pPr>
        <w:ind w:firstLine="480"/>
      </w:pPr>
      <w:r>
        <w:t>在最不利日气象条件下，</w:t>
      </w:r>
      <w:r>
        <w:rPr>
          <w:rFonts w:hint="eastAsia"/>
        </w:rPr>
        <w:t>氯气</w:t>
      </w:r>
      <w:r>
        <w:t>的正常排放对各环境敏感点中</w:t>
      </w:r>
      <w:r>
        <w:rPr>
          <w:rFonts w:hint="eastAsia"/>
        </w:rPr>
        <w:t>园区安置房</w:t>
      </w:r>
      <w:r>
        <w:t>的贡献值最大，日平均浓度为</w:t>
      </w:r>
      <w:r>
        <w:rPr>
          <w:rFonts w:hint="eastAsia"/>
        </w:rPr>
        <w:t>0.0001</w:t>
      </w:r>
      <w:r>
        <w:t>mg/m</w:t>
      </w:r>
      <w:r>
        <w:rPr>
          <w:vertAlign w:val="superscript"/>
        </w:rPr>
        <w:t>3</w:t>
      </w:r>
      <w:r>
        <w:t>，贡献值占标率为</w:t>
      </w:r>
      <w:r>
        <w:rPr>
          <w:rFonts w:hint="eastAsia"/>
        </w:rPr>
        <w:t>0.</w:t>
      </w:r>
      <w:r>
        <w:rPr>
          <w:rFonts w:hint="eastAsia"/>
          <w:lang w:val="en-US" w:eastAsia="zh-CN"/>
        </w:rPr>
        <w:t>33</w:t>
      </w:r>
      <w:r>
        <w:t>%，达到《环境影响评价技术导则--大气环境》（HJ2.2-2018）附录D中标准要求；评价范围内</w:t>
      </w:r>
      <w:r>
        <w:rPr>
          <w:rFonts w:hint="eastAsia"/>
        </w:rPr>
        <w:t>氯气</w:t>
      </w:r>
      <w:r>
        <w:t>最大日均地面浓度贡献值为</w:t>
      </w:r>
      <w:r>
        <w:rPr>
          <w:rFonts w:hint="eastAsia"/>
        </w:rPr>
        <w:t>0.00092</w:t>
      </w:r>
      <w:r>
        <w:t>mg/m</w:t>
      </w:r>
      <w:r>
        <w:rPr>
          <w:vertAlign w:val="superscript"/>
        </w:rPr>
        <w:t>3</w:t>
      </w:r>
      <w:r>
        <w:t>，占标率为</w:t>
      </w:r>
      <w:r>
        <w:rPr>
          <w:rFonts w:hint="eastAsia"/>
          <w:lang w:val="en-US" w:eastAsia="zh-CN"/>
        </w:rPr>
        <w:t>3.07</w:t>
      </w:r>
      <w:r>
        <w:t>%，达到《环境影响评价技术导则--大气环境》（HJ2.2-2018）附录D中标准要求。区域最大落地浓度点坐标为</w:t>
      </w:r>
      <w:r>
        <w:rPr>
          <w:rFonts w:hint="eastAsia"/>
        </w:rPr>
        <w:t>（-250</w:t>
      </w:r>
      <w:r>
        <w:rPr>
          <w:rFonts w:hint="eastAsia"/>
          <w:lang w:eastAsia="zh-CN"/>
        </w:rPr>
        <w:t>，</w:t>
      </w:r>
      <w:r>
        <w:rPr>
          <w:rFonts w:hint="eastAsia"/>
        </w:rPr>
        <w:t>750），</w:t>
      </w:r>
      <w:r>
        <w:t>位于厂区</w:t>
      </w:r>
      <w:r>
        <w:rPr>
          <w:rFonts w:hint="eastAsia"/>
        </w:rPr>
        <w:t>外</w:t>
      </w:r>
      <w:r>
        <w:t>，厂界外无超标点。</w:t>
      </w:r>
    </w:p>
    <w:p w14:paraId="2D0702BA">
      <w:pPr>
        <w:ind w:firstLine="48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t>长期气象条件下（年均），</w:t>
      </w:r>
      <w:r>
        <w:rPr>
          <w:rFonts w:hint="eastAsia"/>
        </w:rPr>
        <w:t>氯气</w:t>
      </w:r>
      <w:r>
        <w:t>的正常排放对评价范围内环境空气敏感点中</w:t>
      </w:r>
      <w:r>
        <w:rPr>
          <w:rFonts w:hint="eastAsia"/>
          <w:lang w:val="en-US" w:eastAsia="zh-CN"/>
        </w:rPr>
        <w:t>园区安置房、</w:t>
      </w:r>
      <w:r>
        <w:rPr>
          <w:rFonts w:hint="eastAsia"/>
        </w:rPr>
        <w:t>友谊村</w:t>
      </w:r>
      <w:r>
        <w:t>的贡献最大，为</w:t>
      </w:r>
      <w:r>
        <w:rPr>
          <w:rFonts w:hint="eastAsia"/>
        </w:rPr>
        <w:t>0.000008</w:t>
      </w:r>
      <w:r>
        <w:t>mg/m</w:t>
      </w:r>
      <w:r>
        <w:rPr>
          <w:vertAlign w:val="superscript"/>
        </w:rPr>
        <w:t>3</w:t>
      </w:r>
      <w:r>
        <w:t>。评价范围内</w:t>
      </w:r>
      <w:r>
        <w:rPr>
          <w:rFonts w:hint="eastAsia"/>
        </w:rPr>
        <w:t>氯气</w:t>
      </w:r>
      <w:r>
        <w:t>最大全时段平均地面浓度贡献值为</w:t>
      </w:r>
      <w:r>
        <w:rPr>
          <w:rFonts w:hint="eastAsia"/>
        </w:rPr>
        <w:t>0.000115</w:t>
      </w:r>
      <w:r>
        <w:t>mg/m</w:t>
      </w:r>
      <w:r>
        <w:rPr>
          <w:vertAlign w:val="superscript"/>
        </w:rPr>
        <w:t>3</w:t>
      </w:r>
      <w:r>
        <w:t>。区域最大落地浓度点坐标为（</w:t>
      </w:r>
      <w:r>
        <w:rPr>
          <w:rFonts w:hint="eastAsia"/>
        </w:rPr>
        <w:t>-100</w:t>
      </w:r>
      <w:r>
        <w:t>，</w:t>
      </w:r>
      <w:r>
        <w:rPr>
          <w:rFonts w:hint="eastAsia"/>
        </w:rPr>
        <w:t>-100</w:t>
      </w:r>
      <w:r>
        <w:t>）</w:t>
      </w:r>
      <w:r>
        <w:rPr>
          <w:rFonts w:hint="eastAsia"/>
        </w:rPr>
        <w:t>，</w:t>
      </w:r>
      <w:r>
        <w:t>位于厂区</w:t>
      </w:r>
      <w:r>
        <w:rPr>
          <w:rFonts w:hint="eastAsia"/>
        </w:rPr>
        <w:t>外</w:t>
      </w:r>
      <w:r>
        <w:t>，厂界外无超标点。</w:t>
      </w:r>
    </w:p>
    <w:p w14:paraId="31734FDE">
      <w:pPr>
        <w:ind w:firstLine="480"/>
      </w:pPr>
      <w:r>
        <w:rPr>
          <w:rFonts w:hint="eastAsia"/>
        </w:rPr>
        <w:t>2、氯化氢</w:t>
      </w:r>
    </w:p>
    <w:p w14:paraId="63FC1445">
      <w:pPr>
        <w:ind w:firstLine="480"/>
      </w:pPr>
      <w:r>
        <w:t>由预测结果可知，在最不利小时气象条件下，</w:t>
      </w:r>
      <w:r>
        <w:rPr>
          <w:rFonts w:hint="eastAsia"/>
        </w:rPr>
        <w:t>氯化氢</w:t>
      </w:r>
      <w:r>
        <w:t>的正常排放对各环境敏感点中</w:t>
      </w:r>
      <w:r>
        <w:rPr>
          <w:rFonts w:hint="eastAsia"/>
          <w:lang w:val="en-US" w:eastAsia="zh-CN"/>
        </w:rPr>
        <w:t>松木村2</w:t>
      </w:r>
      <w:r>
        <w:t>的贡献值最大，为</w:t>
      </w:r>
      <w:r>
        <w:rPr>
          <w:rFonts w:hint="eastAsia"/>
        </w:rPr>
        <w:t>0.002064</w:t>
      </w:r>
      <w:r>
        <w:t>mg/m</w:t>
      </w:r>
      <w:r>
        <w:rPr>
          <w:vertAlign w:val="superscript"/>
        </w:rPr>
        <w:t>3</w:t>
      </w:r>
      <w:r>
        <w:t>，占标率为</w:t>
      </w:r>
      <w:r>
        <w:rPr>
          <w:rFonts w:hint="eastAsia"/>
          <w:lang w:val="en-US" w:eastAsia="zh-CN"/>
        </w:rPr>
        <w:t>4.13</w:t>
      </w:r>
      <w:r>
        <w:t>%，达到《环境影响评价技术导则--大气环境》（HJ2.2-2018）附录D中标准要求；评价范围内</w:t>
      </w:r>
      <w:r>
        <w:rPr>
          <w:rFonts w:hint="eastAsia"/>
        </w:rPr>
        <w:t>氯化氢</w:t>
      </w:r>
      <w:r>
        <w:t>最大小时地面浓度贡献值为</w:t>
      </w:r>
      <w:r>
        <w:rPr>
          <w:rFonts w:hint="eastAsia"/>
        </w:rPr>
        <w:t>0.010593</w:t>
      </w:r>
      <w:r>
        <w:t>mg/m</w:t>
      </w:r>
      <w:r>
        <w:rPr>
          <w:vertAlign w:val="superscript"/>
        </w:rPr>
        <w:t>3</w:t>
      </w:r>
      <w:r>
        <w:t>，贡献值占标率为</w:t>
      </w:r>
      <w:r>
        <w:rPr>
          <w:rFonts w:hint="eastAsia"/>
        </w:rPr>
        <w:t xml:space="preserve">21.19 </w:t>
      </w:r>
      <w:r>
        <w:t>%，达到《环境影响评价技术导则--大气环境》（HJ2.2-2018）附录D中标准要求，该点坐标为</w:t>
      </w:r>
      <w:r>
        <w:rPr>
          <w:rFonts w:hint="eastAsia"/>
        </w:rPr>
        <w:t>（-450</w:t>
      </w:r>
      <w:r>
        <w:rPr>
          <w:rFonts w:hint="eastAsia"/>
          <w:lang w:eastAsia="zh-CN"/>
        </w:rPr>
        <w:t>，</w:t>
      </w:r>
      <w:r>
        <w:rPr>
          <w:rFonts w:hint="eastAsia"/>
        </w:rPr>
        <w:t>250），</w:t>
      </w:r>
      <w:r>
        <w:t>位于</w:t>
      </w:r>
      <w:r>
        <w:rPr>
          <w:rFonts w:hint="eastAsia"/>
        </w:rPr>
        <w:t>厂区外</w:t>
      </w:r>
      <w:r>
        <w:t>，厂界外无超标点。</w:t>
      </w:r>
    </w:p>
    <w:p w14:paraId="4420251C">
      <w:pPr>
        <w:ind w:firstLine="480"/>
      </w:pPr>
      <w:r>
        <w:t>在最不利日气象条件下，</w:t>
      </w:r>
      <w:r>
        <w:rPr>
          <w:rFonts w:hint="eastAsia"/>
        </w:rPr>
        <w:t>氯化氢</w:t>
      </w:r>
      <w:r>
        <w:t>的正常排放对各环境敏感点中</w:t>
      </w:r>
      <w:r>
        <w:rPr>
          <w:rFonts w:hint="eastAsia"/>
          <w:lang w:val="en-US" w:eastAsia="zh-CN"/>
        </w:rPr>
        <w:t>友谊村</w:t>
      </w:r>
      <w:r>
        <w:t>的贡献值最大，日平均浓度为</w:t>
      </w:r>
      <w:r>
        <w:rPr>
          <w:rFonts w:hint="eastAsia"/>
        </w:rPr>
        <w:t>0.000131</w:t>
      </w:r>
      <w:r>
        <w:t>mg/m</w:t>
      </w:r>
      <w:r>
        <w:rPr>
          <w:vertAlign w:val="superscript"/>
        </w:rPr>
        <w:t>3</w:t>
      </w:r>
      <w:r>
        <w:t>，贡献值占标率为</w:t>
      </w:r>
      <w:r>
        <w:rPr>
          <w:rFonts w:hint="eastAsia"/>
          <w:lang w:val="en-US" w:eastAsia="zh-CN"/>
        </w:rPr>
        <w:t>0.87</w:t>
      </w:r>
      <w:r>
        <w:t>%，达到《环境影响评价技术导则--大气环境》（HJ2.2-2018）附录D中标准要求；评价范围内</w:t>
      </w:r>
      <w:r>
        <w:rPr>
          <w:rFonts w:hint="eastAsia"/>
        </w:rPr>
        <w:t>氯化氢</w:t>
      </w:r>
      <w:r>
        <w:t>最大日均地面浓度贡献值为</w:t>
      </w:r>
      <w:r>
        <w:rPr>
          <w:rFonts w:hint="eastAsia"/>
          <w:lang w:val="en-US" w:eastAsia="zh-CN"/>
        </w:rPr>
        <w:t>0.001023</w:t>
      </w:r>
      <w:r>
        <w:t>mg/m</w:t>
      </w:r>
      <w:r>
        <w:rPr>
          <w:vertAlign w:val="superscript"/>
        </w:rPr>
        <w:t>3</w:t>
      </w:r>
      <w:r>
        <w:t>，占标率为</w:t>
      </w:r>
      <w:r>
        <w:rPr>
          <w:rFonts w:hint="eastAsia"/>
          <w:lang w:val="en-US" w:eastAsia="zh-CN"/>
        </w:rPr>
        <w:t>6.82</w:t>
      </w:r>
      <w:r>
        <w:t>%，达到《环境影响评价技术导则--大气环境》（HJ2.2-2018）附录D中标准要求。区域最大落地浓度点坐标为</w:t>
      </w:r>
      <w:r>
        <w:rPr>
          <w:rFonts w:hint="eastAsia"/>
        </w:rPr>
        <w:t>（-250</w:t>
      </w:r>
      <w:r>
        <w:rPr>
          <w:rFonts w:hint="eastAsia"/>
          <w:lang w:eastAsia="zh-CN"/>
        </w:rPr>
        <w:t>，</w:t>
      </w:r>
      <w:r>
        <w:rPr>
          <w:rFonts w:hint="eastAsia"/>
        </w:rPr>
        <w:t>750），</w:t>
      </w:r>
      <w:r>
        <w:t>位于厂区</w:t>
      </w:r>
      <w:r>
        <w:rPr>
          <w:rFonts w:hint="eastAsia"/>
        </w:rPr>
        <w:t>外</w:t>
      </w:r>
      <w:r>
        <w:t>，厂界外无超标点。</w:t>
      </w:r>
    </w:p>
    <w:p w14:paraId="30EF677D">
      <w:pPr>
        <w:ind w:firstLine="48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t>长期气象条件下（年均），</w:t>
      </w:r>
      <w:r>
        <w:rPr>
          <w:rFonts w:hint="eastAsia"/>
        </w:rPr>
        <w:t>氯化氢</w:t>
      </w:r>
      <w:r>
        <w:t>的正常排放对评价范围内环境空气敏感点中的</w:t>
      </w:r>
      <w:r>
        <w:rPr>
          <w:rFonts w:hint="eastAsia"/>
        </w:rPr>
        <w:t>友谊村</w:t>
      </w:r>
      <w:r>
        <w:t>贡献最大，为</w:t>
      </w:r>
      <w:r>
        <w:rPr>
          <w:rFonts w:hint="eastAsia"/>
          <w:lang w:val="en-US" w:eastAsia="zh-CN"/>
        </w:rPr>
        <w:t>0.00002</w:t>
      </w:r>
      <w:r>
        <w:t>mg/m</w:t>
      </w:r>
      <w:r>
        <w:rPr>
          <w:vertAlign w:val="superscript"/>
        </w:rPr>
        <w:t>3</w:t>
      </w:r>
      <w:r>
        <w:t>。评价范围内</w:t>
      </w:r>
      <w:r>
        <w:rPr>
          <w:rFonts w:hint="eastAsia"/>
        </w:rPr>
        <w:t>氯化氢</w:t>
      </w:r>
      <w:r>
        <w:t>最大全时段平均地面浓度贡献值为</w:t>
      </w:r>
      <w:r>
        <w:rPr>
          <w:rFonts w:hint="eastAsia"/>
        </w:rPr>
        <w:t>0.000253</w:t>
      </w:r>
      <w:r>
        <w:t>mg/m</w:t>
      </w:r>
      <w:r>
        <w:rPr>
          <w:vertAlign w:val="superscript"/>
        </w:rPr>
        <w:t>3</w:t>
      </w:r>
      <w:r>
        <w:t>。区域最大落地浓度点坐标为（</w:t>
      </w:r>
      <w:r>
        <w:rPr>
          <w:rFonts w:hint="eastAsia"/>
        </w:rPr>
        <w:t>-100</w:t>
      </w:r>
      <w:r>
        <w:t>，</w:t>
      </w:r>
      <w:r>
        <w:rPr>
          <w:rFonts w:hint="eastAsia"/>
        </w:rPr>
        <w:t>-100</w:t>
      </w:r>
      <w:r>
        <w:t>）</w:t>
      </w:r>
      <w:r>
        <w:rPr>
          <w:rFonts w:hint="eastAsia"/>
        </w:rPr>
        <w:t>，</w:t>
      </w:r>
      <w:r>
        <w:t>位于厂区</w:t>
      </w:r>
      <w:r>
        <w:rPr>
          <w:rFonts w:hint="eastAsia"/>
        </w:rPr>
        <w:t>内</w:t>
      </w:r>
      <w:r>
        <w:t>，厂界外无超标点。</w:t>
      </w:r>
    </w:p>
    <w:p w14:paraId="792A3B93">
      <w:pPr>
        <w:ind w:firstLine="480"/>
      </w:pPr>
      <w:r>
        <w:rPr>
          <w:rFonts w:hint="eastAsia"/>
        </w:rPr>
        <w:t>3、颗粒物（</w:t>
      </w:r>
      <w:r>
        <w:rPr>
          <w:rFonts w:hint="eastAsia"/>
          <w:lang w:val="en-US" w:eastAsia="zh-CN"/>
        </w:rPr>
        <w:t>TSP</w:t>
      </w:r>
      <w:r>
        <w:rPr>
          <w:rFonts w:hint="eastAsia"/>
        </w:rPr>
        <w:t>）</w:t>
      </w:r>
    </w:p>
    <w:p w14:paraId="72A4BD64">
      <w:pPr>
        <w:ind w:firstLine="480"/>
      </w:pPr>
      <w:r>
        <w:t>由预测结果可知，在最不利小时气象条件下，颗粒物</w:t>
      </w:r>
      <w:r>
        <w:rPr>
          <w:rFonts w:hint="eastAsia"/>
        </w:rPr>
        <w:t>（</w:t>
      </w:r>
      <w:r>
        <w:rPr>
          <w:rFonts w:hint="eastAsia"/>
          <w:lang w:val="en-US" w:eastAsia="zh-CN"/>
        </w:rPr>
        <w:t>TSP</w:t>
      </w:r>
      <w:r>
        <w:rPr>
          <w:rFonts w:hint="eastAsia"/>
        </w:rPr>
        <w:t>）</w:t>
      </w:r>
      <w:r>
        <w:t>的正常排放对各环境敏感点中</w:t>
      </w:r>
      <w:r>
        <w:rPr>
          <w:rFonts w:hint="eastAsia"/>
          <w:lang w:val="en-US" w:eastAsia="zh-CN"/>
        </w:rPr>
        <w:t>友谊</w:t>
      </w:r>
      <w:r>
        <w:rPr>
          <w:rFonts w:hint="eastAsia"/>
        </w:rPr>
        <w:t>村</w:t>
      </w:r>
      <w:r>
        <w:t>的贡献值最大，为</w:t>
      </w:r>
      <w:r>
        <w:rPr>
          <w:rFonts w:hint="eastAsia"/>
          <w:lang w:val="en-US" w:eastAsia="zh-CN"/>
        </w:rPr>
        <w:t>0.070052</w:t>
      </w:r>
      <w:r>
        <w:t>mg/m</w:t>
      </w:r>
      <w:r>
        <w:rPr>
          <w:vertAlign w:val="superscript"/>
        </w:rPr>
        <w:t>3</w:t>
      </w:r>
      <w:r>
        <w:t>，占标率为</w:t>
      </w:r>
      <w:r>
        <w:rPr>
          <w:rFonts w:hint="eastAsia"/>
          <w:lang w:val="en-US" w:eastAsia="zh-CN"/>
        </w:rPr>
        <w:t xml:space="preserve">7.78 </w:t>
      </w:r>
      <w:r>
        <w:t>%，达到《环境空气质量标准》（GB3095-2012）二级标准要求；评价范围内颗粒物最大小时地面浓度贡献值为</w:t>
      </w:r>
      <w:r>
        <w:rPr>
          <w:rFonts w:hint="eastAsia"/>
          <w:lang w:val="en-US" w:eastAsia="zh-CN"/>
        </w:rPr>
        <w:t>0.535461</w:t>
      </w:r>
      <w:r>
        <w:t>mg/m</w:t>
      </w:r>
      <w:r>
        <w:rPr>
          <w:vertAlign w:val="superscript"/>
        </w:rPr>
        <w:t>3</w:t>
      </w:r>
      <w:r>
        <w:t>，贡献值占标率为</w:t>
      </w:r>
      <w:r>
        <w:rPr>
          <w:rFonts w:hint="eastAsia"/>
          <w:lang w:val="en-US" w:eastAsia="zh-CN"/>
        </w:rPr>
        <w:t xml:space="preserve">59.50 </w:t>
      </w:r>
      <w:r>
        <w:t>%，达到《环境空气质量标准》（GB3095-2012）</w:t>
      </w:r>
      <w:r>
        <w:rPr>
          <w:rFonts w:hint="eastAsia"/>
          <w:lang w:val="en-US" w:eastAsia="zh-CN"/>
        </w:rPr>
        <w:t>中</w:t>
      </w:r>
      <w:r>
        <w:t>二级标准要求，该点坐标为</w:t>
      </w:r>
      <w:r>
        <w:rPr>
          <w:rFonts w:hint="eastAsia" w:cs="宋体"/>
          <w:color w:val="000000"/>
          <w:kern w:val="0"/>
          <w:sz w:val="21"/>
          <w:szCs w:val="22"/>
        </w:rPr>
        <w:t>（</w:t>
      </w:r>
      <w:r>
        <w:rPr>
          <w:rFonts w:hint="eastAsia" w:cs="宋体"/>
          <w:color w:val="000000"/>
          <w:kern w:val="0"/>
          <w:sz w:val="21"/>
          <w:szCs w:val="22"/>
          <w:lang w:val="en-US" w:eastAsia="zh-CN"/>
        </w:rPr>
        <w:t>-250,200</w:t>
      </w:r>
      <w:r>
        <w:rPr>
          <w:rFonts w:hint="eastAsia" w:cs="宋体"/>
          <w:color w:val="000000"/>
          <w:kern w:val="0"/>
          <w:sz w:val="21"/>
          <w:szCs w:val="22"/>
        </w:rPr>
        <w:t>）</w:t>
      </w:r>
      <w:r>
        <w:t>，位于</w:t>
      </w:r>
      <w:r>
        <w:rPr>
          <w:rFonts w:hint="eastAsia"/>
        </w:rPr>
        <w:t>厂区</w:t>
      </w:r>
      <w:r>
        <w:rPr>
          <w:rFonts w:hint="eastAsia"/>
          <w:lang w:val="en-US" w:eastAsia="zh-CN"/>
        </w:rPr>
        <w:t>外</w:t>
      </w:r>
      <w:r>
        <w:t>，厂界外无超标点。</w:t>
      </w:r>
    </w:p>
    <w:p w14:paraId="161DEF56">
      <w:pPr>
        <w:ind w:firstLine="480"/>
        <w:rPr>
          <w:color w:val="000000" w:themeColor="text1"/>
          <w14:textFill>
            <w14:solidFill>
              <w14:schemeClr w14:val="tx1"/>
            </w14:solidFill>
          </w14:textFill>
        </w:rPr>
      </w:pPr>
      <w:r>
        <w:rPr>
          <w:color w:val="000000" w:themeColor="text1"/>
          <w14:textFill>
            <w14:solidFill>
              <w14:schemeClr w14:val="tx1"/>
            </w14:solidFill>
          </w14:textFill>
        </w:rPr>
        <w:t>在最不利日气象条件下，</w:t>
      </w:r>
      <w:r>
        <w:t>颗粒物</w:t>
      </w:r>
      <w:r>
        <w:rPr>
          <w:rFonts w:hint="eastAsia"/>
        </w:rPr>
        <w:t>（</w:t>
      </w:r>
      <w:r>
        <w:rPr>
          <w:rFonts w:hint="eastAsia"/>
          <w:lang w:val="en-US" w:eastAsia="zh-CN"/>
        </w:rPr>
        <w:t>TSP</w:t>
      </w:r>
      <w:r>
        <w:rPr>
          <w:rFonts w:hint="eastAsia"/>
        </w:rPr>
        <w:t>）</w:t>
      </w:r>
      <w:r>
        <w:rPr>
          <w:color w:val="000000" w:themeColor="text1"/>
          <w14:textFill>
            <w14:solidFill>
              <w14:schemeClr w14:val="tx1"/>
            </w14:solidFill>
          </w14:textFill>
        </w:rPr>
        <w:t>的正常排放对各环境敏感点中</w:t>
      </w:r>
      <w:r>
        <w:rPr>
          <w:rFonts w:hint="eastAsia"/>
          <w:color w:val="000000" w:themeColor="text1"/>
          <w14:textFill>
            <w14:solidFill>
              <w14:schemeClr w14:val="tx1"/>
            </w14:solidFill>
          </w14:textFill>
        </w:rPr>
        <w:t>友谊</w:t>
      </w:r>
      <w:r>
        <w:rPr>
          <w:color w:val="000000" w:themeColor="text1"/>
          <w14:textFill>
            <w14:solidFill>
              <w14:schemeClr w14:val="tx1"/>
            </w14:solidFill>
          </w14:textFill>
        </w:rPr>
        <w:t>村的贡献值最大，日平均浓度为0.008465mg/m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，贡献值占标率为</w:t>
      </w:r>
      <w:r>
        <w:rPr>
          <w:rFonts w:hint="eastAsia"/>
          <w:color w:val="000000" w:themeColor="text1"/>
          <w14:textFill>
            <w14:solidFill>
              <w14:schemeClr w14:val="tx1"/>
            </w14:solidFill>
          </w14:textFill>
        </w:rPr>
        <w:t xml:space="preserve">2.85 </w:t>
      </w:r>
      <w:r>
        <w:rPr>
          <w:color w:val="000000" w:themeColor="text1"/>
          <w14:textFill>
            <w14:solidFill>
              <w14:schemeClr w14:val="tx1"/>
            </w14:solidFill>
          </w14:textFill>
        </w:rPr>
        <w:t>%，达到《环境空气质量标准》（GB3095-2012）二级标准要求；评价范围内</w:t>
      </w:r>
      <w:r>
        <w:t>颗粒物</w:t>
      </w:r>
      <w:r>
        <w:rPr>
          <w:rFonts w:hint="eastAsia"/>
        </w:rPr>
        <w:t>（</w:t>
      </w:r>
      <w:r>
        <w:rPr>
          <w:rFonts w:hint="eastAsia"/>
          <w:lang w:val="en-US" w:eastAsia="zh-CN"/>
        </w:rPr>
        <w:t>TSP</w:t>
      </w:r>
      <w:r>
        <w:rPr>
          <w:rFonts w:hint="eastAsia"/>
        </w:rPr>
        <w:t>）</w:t>
      </w:r>
      <w:r>
        <w:rPr>
          <w:color w:val="000000" w:themeColor="text1"/>
          <w14:textFill>
            <w14:solidFill>
              <w14:schemeClr w14:val="tx1"/>
            </w14:solidFill>
          </w14:textFill>
        </w:rPr>
        <w:t>最大日均地面浓度贡献值为</w:t>
      </w:r>
      <w:r>
        <w:rPr>
          <w:rFonts w:hint="eastAsia"/>
          <w:color w:val="000000" w:themeColor="text1"/>
          <w14:textFill>
            <w14:solidFill>
              <w14:schemeClr w14:val="tx1"/>
            </w14:solidFill>
          </w14:textFill>
        </w:rPr>
        <w:t>0.04462</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，占标率为</w:t>
      </w:r>
      <w:r>
        <w:rPr>
          <w:rFonts w:hint="eastAsia"/>
          <w:color w:val="000000" w:themeColor="text1"/>
          <w14:textFill>
            <w14:solidFill>
              <w14:schemeClr w14:val="tx1"/>
            </w14:solidFill>
          </w14:textFill>
        </w:rPr>
        <w:t xml:space="preserve">14.87 </w:t>
      </w:r>
      <w:r>
        <w:rPr>
          <w:color w:val="000000" w:themeColor="text1"/>
          <w14:textFill>
            <w14:solidFill>
              <w14:schemeClr w14:val="tx1"/>
            </w14:solidFill>
          </w14:textFill>
        </w:rPr>
        <w:t>%，达到《环境空气质量标准》（GB3095-2012）二级标准要求。区域最大落地浓度点坐标为（</w:t>
      </w:r>
      <w:r>
        <w:rPr>
          <w:rFonts w:hint="eastAsia"/>
          <w:color w:val="000000" w:themeColor="text1"/>
          <w14:textFill>
            <w14:solidFill>
              <w14:schemeClr w14:val="tx1"/>
            </w14:solidFill>
          </w14:textFill>
        </w:rPr>
        <w:t>-50</w:t>
      </w:r>
      <w:r>
        <w:rPr>
          <w:color w:val="000000" w:themeColor="text1"/>
          <w14:textFill>
            <w14:solidFill>
              <w14:schemeClr w14:val="tx1"/>
            </w14:solidFill>
          </w14:textFill>
        </w:rPr>
        <w:t>，50）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位于厂区内，厂界外无超标点。</w:t>
      </w:r>
    </w:p>
    <w:p w14:paraId="4BD70FC2">
      <w:pPr>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在</w:t>
      </w:r>
      <w:r>
        <w:rPr>
          <w:color w:val="000000" w:themeColor="text1"/>
          <w14:textFill>
            <w14:solidFill>
              <w14:schemeClr w14:val="tx1"/>
            </w14:solidFill>
          </w14:textFill>
        </w:rPr>
        <w:t>长期气象条件下，</w:t>
      </w:r>
      <w:r>
        <w:t>颗粒物</w:t>
      </w:r>
      <w:r>
        <w:rPr>
          <w:rFonts w:hint="eastAsia"/>
        </w:rPr>
        <w:t>（</w:t>
      </w:r>
      <w:r>
        <w:rPr>
          <w:rFonts w:hint="eastAsia"/>
          <w:lang w:val="en-US" w:eastAsia="zh-CN"/>
        </w:rPr>
        <w:t>TSP</w:t>
      </w:r>
      <w:r>
        <w:rPr>
          <w:rFonts w:hint="eastAsia"/>
        </w:rPr>
        <w:t>）</w:t>
      </w:r>
      <w:r>
        <w:rPr>
          <w:color w:val="000000" w:themeColor="text1"/>
          <w14:textFill>
            <w14:solidFill>
              <w14:schemeClr w14:val="tx1"/>
            </w14:solidFill>
          </w14:textFill>
        </w:rPr>
        <w:t>的正常排放对评价范围内环境空气敏感点中</w:t>
      </w:r>
      <w:r>
        <w:rPr>
          <w:rFonts w:hint="eastAsia"/>
          <w:color w:val="000000" w:themeColor="text1"/>
          <w14:textFill>
            <w14:solidFill>
              <w14:schemeClr w14:val="tx1"/>
            </w14:solidFill>
          </w14:textFill>
        </w:rPr>
        <w:t>友谊村</w:t>
      </w:r>
      <w:r>
        <w:rPr>
          <w:color w:val="000000" w:themeColor="text1"/>
          <w14:textFill>
            <w14:solidFill>
              <w14:schemeClr w14:val="tx1"/>
            </w14:solidFill>
          </w14:textFill>
        </w:rPr>
        <w:t>的贡献最大，为</w:t>
      </w:r>
      <w:r>
        <w:rPr>
          <w:rFonts w:hint="eastAsia"/>
          <w:color w:val="000000" w:themeColor="text1"/>
          <w14:textFill>
            <w14:solidFill>
              <w14:schemeClr w14:val="tx1"/>
            </w14:solidFill>
          </w14:textFill>
        </w:rPr>
        <w:t>0.001295</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，占标率为</w:t>
      </w:r>
      <w:r>
        <w:rPr>
          <w:rFonts w:hint="eastAsia"/>
          <w:color w:val="000000" w:themeColor="text1"/>
          <w:lang w:val="en-US" w:eastAsia="zh-CN"/>
          <w14:textFill>
            <w14:solidFill>
              <w14:schemeClr w14:val="tx1"/>
            </w14:solidFill>
          </w14:textFill>
        </w:rPr>
        <w:t>0.65</w:t>
      </w:r>
      <w:r>
        <w:rPr>
          <w:color w:val="000000" w:themeColor="text1"/>
          <w14:textFill>
            <w14:solidFill>
              <w14:schemeClr w14:val="tx1"/>
            </w14:solidFill>
          </w14:textFill>
        </w:rPr>
        <w:t>%，达到《环境空气质量标准》（GB3095-2012）二级标准要求。评价范围内</w:t>
      </w:r>
      <w:r>
        <w:t>颗粒物</w:t>
      </w:r>
      <w:r>
        <w:rPr>
          <w:rFonts w:hint="eastAsia"/>
        </w:rPr>
        <w:t>（</w:t>
      </w:r>
      <w:r>
        <w:rPr>
          <w:rFonts w:hint="eastAsia"/>
          <w:lang w:val="en-US" w:eastAsia="zh-CN"/>
        </w:rPr>
        <w:t>TSP</w:t>
      </w:r>
      <w:r>
        <w:rPr>
          <w:rFonts w:hint="eastAsia"/>
        </w:rPr>
        <w:t>）</w:t>
      </w:r>
      <w:r>
        <w:rPr>
          <w:color w:val="000000" w:themeColor="text1"/>
          <w14:textFill>
            <w14:solidFill>
              <w14:schemeClr w14:val="tx1"/>
            </w14:solidFill>
          </w14:textFill>
        </w:rPr>
        <w:t>最大</w:t>
      </w:r>
      <w:r>
        <w:rPr>
          <w:rFonts w:hint="eastAsia"/>
          <w:color w:val="000000" w:themeColor="text1"/>
          <w:lang w:val="en-US" w:eastAsia="zh-CN"/>
          <w14:textFill>
            <w14:solidFill>
              <w14:schemeClr w14:val="tx1"/>
            </w14:solidFill>
          </w14:textFill>
        </w:rPr>
        <w:t>年均</w:t>
      </w:r>
      <w:r>
        <w:rPr>
          <w:color w:val="000000" w:themeColor="text1"/>
          <w14:textFill>
            <w14:solidFill>
              <w14:schemeClr w14:val="tx1"/>
            </w14:solidFill>
          </w14:textFill>
        </w:rPr>
        <w:t>地面浓度贡献值为</w:t>
      </w:r>
      <w:r>
        <w:rPr>
          <w:rFonts w:hint="eastAsia"/>
          <w:color w:val="000000" w:themeColor="text1"/>
          <w14:textFill>
            <w14:solidFill>
              <w14:schemeClr w14:val="tx1"/>
            </w14:solidFill>
          </w14:textFill>
        </w:rPr>
        <w:t>0.016274</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，占标率为</w:t>
      </w:r>
      <w:r>
        <w:rPr>
          <w:rFonts w:hint="eastAsia"/>
          <w:color w:val="000000" w:themeColor="text1"/>
          <w:lang w:val="en-US" w:eastAsia="zh-CN"/>
          <w14:textFill>
            <w14:solidFill>
              <w14:schemeClr w14:val="tx1"/>
            </w14:solidFill>
          </w14:textFill>
        </w:rPr>
        <w:t>8.14</w:t>
      </w:r>
      <w:r>
        <w:rPr>
          <w:color w:val="000000" w:themeColor="text1"/>
          <w14:textFill>
            <w14:solidFill>
              <w14:schemeClr w14:val="tx1"/>
            </w14:solidFill>
          </w14:textFill>
        </w:rPr>
        <w:t>%，达到《环境空气质量标准》（GB3095-2012）二级标准要求。区域最大落地浓度点坐标为（</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50）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位于厂区内，厂界外无超标点。</w:t>
      </w:r>
    </w:p>
    <w:p w14:paraId="396F5C8A">
      <w:pPr>
        <w:ind w:firstLine="480"/>
        <w:rPr>
          <w:color w:val="000000" w:themeColor="text1"/>
          <w14:textFill>
            <w14:solidFill>
              <w14:schemeClr w14:val="tx1"/>
            </w14:solidFill>
          </w14:textFill>
        </w:rPr>
      </w:pPr>
    </w:p>
    <w:p w14:paraId="42D85A9A">
      <w:pPr>
        <w:ind w:firstLine="480"/>
        <w:rPr>
          <w:color w:val="FF0000"/>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29AE3696">
      <w:pPr>
        <w:numPr>
          <w:ilvl w:val="0"/>
          <w:numId w:val="17"/>
        </w:numPr>
        <w:ind w:firstLine="482"/>
        <w:rPr>
          <w:b/>
          <w:bCs/>
        </w:rPr>
      </w:pPr>
      <w:r>
        <w:rPr>
          <w:b/>
          <w:bCs/>
        </w:rPr>
        <w:t>本项目贡献值对环境保护目标的最大影响程度</w:t>
      </w:r>
    </w:p>
    <w:p w14:paraId="6D32D321">
      <w:pPr>
        <w:pStyle w:val="43"/>
        <w:numPr>
          <w:ilvl w:val="5"/>
          <w:numId w:val="1"/>
        </w:numPr>
        <w:rPr>
          <w:rFonts w:hint="default"/>
        </w:rPr>
      </w:pPr>
      <w:r>
        <w:rPr>
          <w:rFonts w:hint="default"/>
        </w:rPr>
        <w:t>正常排放下环境保护目标及网格点处小时平均贡献质量浓度占标率（单位：mg/m³）</w:t>
      </w:r>
    </w:p>
    <w:tbl>
      <w:tblPr>
        <w:tblStyle w:val="32"/>
        <w:tblW w:w="0" w:type="auto"/>
        <w:tblInd w:w="0" w:type="dxa"/>
        <w:tblLayout w:type="autofit"/>
        <w:tblCellMar>
          <w:top w:w="0" w:type="dxa"/>
          <w:left w:w="108" w:type="dxa"/>
          <w:bottom w:w="0" w:type="dxa"/>
          <w:right w:w="108" w:type="dxa"/>
        </w:tblCellMar>
      </w:tblPr>
      <w:tblGrid>
        <w:gridCol w:w="998"/>
        <w:gridCol w:w="3971"/>
        <w:gridCol w:w="1416"/>
        <w:gridCol w:w="1955"/>
        <w:gridCol w:w="1965"/>
        <w:gridCol w:w="1788"/>
        <w:gridCol w:w="2081"/>
      </w:tblGrid>
      <w:tr w14:paraId="122DCD74">
        <w:tblPrEx>
          <w:tblCellMar>
            <w:top w:w="0" w:type="dxa"/>
            <w:left w:w="108" w:type="dxa"/>
            <w:bottom w:w="0" w:type="dxa"/>
            <w:right w:w="108" w:type="dxa"/>
          </w:tblCellMar>
        </w:tblPrEx>
        <w:trPr>
          <w:trHeight w:val="170"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EEB795C">
            <w:pPr>
              <w:widowControl/>
              <w:spacing w:line="240" w:lineRule="auto"/>
              <w:ind w:firstLine="0" w:firstLineChars="0"/>
              <w:jc w:val="center"/>
              <w:textAlignment w:val="center"/>
              <w:rPr>
                <w:rFonts w:cs="宋体"/>
                <w:b/>
                <w:bCs/>
                <w:color w:val="000000"/>
                <w:sz w:val="21"/>
                <w:szCs w:val="22"/>
              </w:rPr>
            </w:pPr>
            <w:r>
              <w:rPr>
                <w:rFonts w:hint="eastAsia" w:cs="宋体"/>
                <w:b/>
                <w:bCs/>
                <w:color w:val="000000"/>
                <w:kern w:val="0"/>
                <w:sz w:val="21"/>
                <w:szCs w:val="22"/>
              </w:rPr>
              <w:t>评价因子</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9F4F2C3">
            <w:pPr>
              <w:widowControl/>
              <w:spacing w:line="240" w:lineRule="auto"/>
              <w:ind w:firstLine="0" w:firstLineChars="0"/>
              <w:jc w:val="center"/>
              <w:textAlignment w:val="center"/>
              <w:rPr>
                <w:rFonts w:cs="宋体"/>
                <w:b/>
                <w:bCs/>
                <w:color w:val="000000"/>
                <w:sz w:val="21"/>
                <w:szCs w:val="22"/>
              </w:rPr>
            </w:pPr>
            <w:r>
              <w:rPr>
                <w:rFonts w:hint="eastAsia" w:cs="宋体"/>
                <w:b/>
                <w:bCs/>
                <w:color w:val="000000"/>
                <w:kern w:val="0"/>
                <w:sz w:val="21"/>
                <w:szCs w:val="22"/>
              </w:rPr>
              <w:t>环境空气保护目标</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C9D736B">
            <w:pPr>
              <w:widowControl/>
              <w:spacing w:line="240" w:lineRule="auto"/>
              <w:ind w:firstLine="0" w:firstLineChars="0"/>
              <w:jc w:val="center"/>
              <w:textAlignment w:val="center"/>
              <w:rPr>
                <w:rFonts w:cs="宋体"/>
                <w:b/>
                <w:bCs/>
                <w:color w:val="000000"/>
                <w:sz w:val="21"/>
                <w:szCs w:val="22"/>
              </w:rPr>
            </w:pPr>
            <w:r>
              <w:rPr>
                <w:rFonts w:hint="eastAsia" w:cs="宋体"/>
                <w:b/>
                <w:bCs/>
                <w:color w:val="000000"/>
                <w:kern w:val="0"/>
                <w:sz w:val="21"/>
                <w:szCs w:val="22"/>
              </w:rPr>
              <w:t>评价标准mg/m</w:t>
            </w:r>
            <w:r>
              <w:rPr>
                <w:rFonts w:hint="eastAsia" w:cs="宋体"/>
                <w:b/>
                <w:bCs/>
                <w:color w:val="000000"/>
                <w:kern w:val="0"/>
                <w:sz w:val="21"/>
                <w:szCs w:val="22"/>
                <w:vertAlign w:val="superscript"/>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D37B0F6">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最大浓度贡献值</w:t>
            </w:r>
            <w:r>
              <w:rPr>
                <w:rFonts w:cs="Times New Roman"/>
                <w:b/>
                <w:bCs/>
                <w:color w:val="000000"/>
                <w:kern w:val="0"/>
                <w:sz w:val="21"/>
                <w:szCs w:val="21"/>
              </w:rPr>
              <w:t xml:space="preserve"> mg/m</w:t>
            </w:r>
            <w:r>
              <w:rPr>
                <w:rFonts w:cs="Times New Roman"/>
                <w:b/>
                <w:bCs/>
                <w:color w:val="000000"/>
                <w:kern w:val="0"/>
                <w:sz w:val="21"/>
                <w:szCs w:val="21"/>
                <w:vertAlign w:val="superscript"/>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41FF0F1">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最大浓度贡献值占标率</w:t>
            </w:r>
            <w:r>
              <w:rPr>
                <w:rFonts w:cs="Times New Roman"/>
                <w:b/>
                <w:bCs/>
                <w:color w:val="000000"/>
                <w:kern w:val="0"/>
                <w:sz w:val="21"/>
                <w:szCs w:val="21"/>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93F69B7">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最大浓度贡献值达标情况</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BC1BB09">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最大浓度贡献值出现时间</w:t>
            </w:r>
          </w:p>
        </w:tc>
      </w:tr>
      <w:tr w14:paraId="341BFFDF">
        <w:tblPrEx>
          <w:tblCellMar>
            <w:top w:w="0" w:type="dxa"/>
            <w:left w:w="108" w:type="dxa"/>
            <w:bottom w:w="0" w:type="dxa"/>
            <w:right w:w="108" w:type="dxa"/>
          </w:tblCellMar>
        </w:tblPrEx>
        <w:trPr>
          <w:trHeight w:val="170" w:hRule="atLeast"/>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9077D9B">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颗粒物（</w:t>
            </w:r>
            <w:r>
              <w:rPr>
                <w:rFonts w:hint="eastAsia" w:cs="Times New Roman"/>
                <w:color w:val="000000"/>
                <w:sz w:val="21"/>
                <w:szCs w:val="21"/>
                <w:lang w:val="en-US" w:eastAsia="zh-CN"/>
              </w:rPr>
              <w:t>TSP</w:t>
            </w:r>
            <w:r>
              <w:rPr>
                <w:rFonts w:hint="eastAsia" w:cs="宋体"/>
                <w:color w:val="000000"/>
                <w:kern w:val="0"/>
                <w:sz w:val="21"/>
                <w:szCs w:val="22"/>
              </w:rPr>
              <w:t>）</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493C6">
            <w:pPr>
              <w:pStyle w:val="45"/>
              <w:bidi w:val="0"/>
            </w:pPr>
            <w:r>
              <w:rPr>
                <w:rFonts w:hint="eastAsia"/>
                <w:lang w:val="en-US" w:eastAsia="zh-CN"/>
              </w:rPr>
              <w:t>新安村</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11C16D">
            <w:pPr>
              <w:pStyle w:val="45"/>
              <w:bidi w:val="0"/>
              <w:rPr>
                <w:rFonts w:hint="default"/>
              </w:rPr>
            </w:pPr>
            <w:r>
              <w:rPr>
                <w:rFonts w:hint="default"/>
                <w:lang w:val="en-US" w:eastAsia="zh-CN"/>
              </w:rPr>
              <w:t>0.9</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161083">
            <w:pPr>
              <w:pStyle w:val="45"/>
              <w:bidi w:val="0"/>
            </w:pPr>
            <w:r>
              <w:rPr>
                <w:rFonts w:hint="default"/>
                <w:lang w:val="en-US" w:eastAsia="zh-CN"/>
              </w:rPr>
              <w:t>0.057984</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630E62">
            <w:pPr>
              <w:pStyle w:val="45"/>
              <w:bidi w:val="0"/>
              <w:rPr>
                <w:rFonts w:hint="default"/>
              </w:rPr>
            </w:pPr>
            <w:r>
              <w:rPr>
                <w:rFonts w:hint="default"/>
                <w:lang w:val="en-US" w:eastAsia="zh-CN"/>
              </w:rPr>
              <w:t>6.44</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B1F5B">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3FE66">
            <w:pPr>
              <w:pStyle w:val="45"/>
              <w:bidi w:val="0"/>
            </w:pPr>
            <w:r>
              <w:rPr>
                <w:rFonts w:hint="default"/>
                <w:lang w:val="en-US" w:eastAsia="zh-CN"/>
              </w:rPr>
              <w:t>22112604</w:t>
            </w:r>
          </w:p>
        </w:tc>
      </w:tr>
      <w:tr w14:paraId="6BEF3E2F">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2ECF7D">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C8528F">
            <w:pPr>
              <w:pStyle w:val="45"/>
              <w:bidi w:val="0"/>
            </w:pPr>
            <w:r>
              <w:rPr>
                <w:rFonts w:hint="eastAsia"/>
                <w:lang w:val="en-US" w:eastAsia="zh-CN"/>
              </w:rPr>
              <w:t>松木村</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4C5FCF">
            <w:pPr>
              <w:pStyle w:val="45"/>
              <w:bidi w:val="0"/>
              <w:rPr>
                <w:rFonts w:hint="default"/>
              </w:rPr>
            </w:pPr>
            <w:r>
              <w:rPr>
                <w:rFonts w:hint="default"/>
                <w:lang w:val="en-US" w:eastAsia="zh-CN"/>
              </w:rPr>
              <w:t>0.9</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B14921">
            <w:pPr>
              <w:pStyle w:val="45"/>
              <w:bidi w:val="0"/>
            </w:pPr>
            <w:r>
              <w:rPr>
                <w:rFonts w:hint="default"/>
                <w:lang w:val="en-US" w:eastAsia="zh-CN"/>
              </w:rPr>
              <w:t>0.010103</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CD438C">
            <w:pPr>
              <w:pStyle w:val="45"/>
              <w:bidi w:val="0"/>
              <w:rPr>
                <w:rFonts w:hint="default"/>
              </w:rPr>
            </w:pPr>
            <w:r>
              <w:rPr>
                <w:rFonts w:hint="default"/>
                <w:lang w:val="en-US" w:eastAsia="zh-CN"/>
              </w:rPr>
              <w:t>1.12</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D1FEF3">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B4E71A">
            <w:pPr>
              <w:pStyle w:val="45"/>
              <w:bidi w:val="0"/>
            </w:pPr>
            <w:r>
              <w:rPr>
                <w:rFonts w:hint="default"/>
                <w:lang w:val="en-US" w:eastAsia="zh-CN"/>
              </w:rPr>
              <w:t>22052507</w:t>
            </w:r>
          </w:p>
        </w:tc>
      </w:tr>
      <w:tr w14:paraId="39EAB0A2">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08E778">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02CDCC">
            <w:pPr>
              <w:pStyle w:val="45"/>
              <w:bidi w:val="0"/>
            </w:pPr>
            <w:r>
              <w:rPr>
                <w:rFonts w:hint="eastAsia"/>
                <w:lang w:val="en-US" w:eastAsia="zh-CN"/>
              </w:rPr>
              <w:t>金源小学</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12358">
            <w:pPr>
              <w:pStyle w:val="45"/>
              <w:bidi w:val="0"/>
              <w:rPr>
                <w:rFonts w:hint="default"/>
              </w:rPr>
            </w:pPr>
            <w:r>
              <w:rPr>
                <w:rFonts w:hint="default"/>
                <w:lang w:val="en-US" w:eastAsia="zh-CN"/>
              </w:rPr>
              <w:t>0.9</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6EED64">
            <w:pPr>
              <w:pStyle w:val="45"/>
              <w:bidi w:val="0"/>
            </w:pPr>
            <w:r>
              <w:rPr>
                <w:rFonts w:hint="default"/>
                <w:lang w:val="en-US" w:eastAsia="zh-CN"/>
              </w:rPr>
              <w:t>0.012348</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95CA46">
            <w:pPr>
              <w:pStyle w:val="45"/>
              <w:bidi w:val="0"/>
              <w:rPr>
                <w:rFonts w:hint="default"/>
              </w:rPr>
            </w:pPr>
            <w:r>
              <w:rPr>
                <w:rFonts w:hint="default"/>
                <w:lang w:val="en-US" w:eastAsia="zh-CN"/>
              </w:rPr>
              <w:t>1.37</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A7F77B">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BEF8C0">
            <w:pPr>
              <w:pStyle w:val="45"/>
              <w:bidi w:val="0"/>
            </w:pPr>
            <w:r>
              <w:rPr>
                <w:rFonts w:hint="default"/>
                <w:lang w:val="en-US" w:eastAsia="zh-CN"/>
              </w:rPr>
              <w:t>22010209</w:t>
            </w:r>
          </w:p>
        </w:tc>
      </w:tr>
      <w:tr w14:paraId="26EE8485">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7EFA4D">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507F8B">
            <w:pPr>
              <w:pStyle w:val="45"/>
              <w:bidi w:val="0"/>
            </w:pPr>
            <w:r>
              <w:rPr>
                <w:rFonts w:hint="eastAsia"/>
                <w:lang w:val="en-US" w:eastAsia="zh-CN"/>
              </w:rPr>
              <w:t>金源社区安置房</w:t>
            </w:r>
            <w:r>
              <w:rPr>
                <w:rFonts w:hint="default"/>
                <w:lang w:val="en-US" w:eastAsia="zh-CN"/>
              </w:rPr>
              <w:t>2</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CC3D9">
            <w:pPr>
              <w:pStyle w:val="45"/>
              <w:bidi w:val="0"/>
              <w:rPr>
                <w:rFonts w:hint="default"/>
              </w:rPr>
            </w:pPr>
            <w:r>
              <w:rPr>
                <w:rFonts w:hint="default"/>
                <w:lang w:val="en-US" w:eastAsia="zh-CN"/>
              </w:rPr>
              <w:t>0.9</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32848C">
            <w:pPr>
              <w:pStyle w:val="45"/>
              <w:bidi w:val="0"/>
            </w:pPr>
            <w:r>
              <w:rPr>
                <w:rFonts w:hint="default"/>
                <w:lang w:val="en-US" w:eastAsia="zh-CN"/>
              </w:rPr>
              <w:t>0.045611</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077B88">
            <w:pPr>
              <w:pStyle w:val="45"/>
              <w:bidi w:val="0"/>
              <w:rPr>
                <w:rFonts w:hint="default"/>
              </w:rPr>
            </w:pPr>
            <w:r>
              <w:rPr>
                <w:rFonts w:hint="default"/>
                <w:lang w:val="en-US" w:eastAsia="zh-CN"/>
              </w:rPr>
              <w:t>5.07</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ED6F11">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6299CC">
            <w:pPr>
              <w:pStyle w:val="45"/>
              <w:bidi w:val="0"/>
            </w:pPr>
            <w:r>
              <w:rPr>
                <w:rFonts w:hint="default"/>
                <w:lang w:val="en-US" w:eastAsia="zh-CN"/>
              </w:rPr>
              <w:t>22062006</w:t>
            </w:r>
          </w:p>
        </w:tc>
      </w:tr>
      <w:tr w14:paraId="4A12A048">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3C5F83">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D0F12">
            <w:pPr>
              <w:pStyle w:val="45"/>
              <w:bidi w:val="0"/>
            </w:pPr>
            <w:r>
              <w:rPr>
                <w:rFonts w:hint="eastAsia"/>
                <w:lang w:val="en-US" w:eastAsia="zh-CN"/>
              </w:rPr>
              <w:t>金源社区医院</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8161A4">
            <w:pPr>
              <w:pStyle w:val="45"/>
              <w:bidi w:val="0"/>
              <w:rPr>
                <w:rFonts w:hint="default"/>
              </w:rPr>
            </w:pPr>
            <w:r>
              <w:rPr>
                <w:rFonts w:hint="default"/>
                <w:lang w:val="en-US" w:eastAsia="zh-CN"/>
              </w:rPr>
              <w:t>0.9</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C63369">
            <w:pPr>
              <w:pStyle w:val="45"/>
              <w:bidi w:val="0"/>
            </w:pPr>
            <w:r>
              <w:rPr>
                <w:rFonts w:hint="default"/>
                <w:lang w:val="en-US" w:eastAsia="zh-CN"/>
              </w:rPr>
              <w:t>0.048304</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A1C0DB">
            <w:pPr>
              <w:pStyle w:val="45"/>
              <w:bidi w:val="0"/>
              <w:rPr>
                <w:rFonts w:hint="default"/>
              </w:rPr>
            </w:pPr>
            <w:r>
              <w:rPr>
                <w:rFonts w:hint="default"/>
                <w:lang w:val="en-US" w:eastAsia="zh-CN"/>
              </w:rPr>
              <w:t>5.37</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DAD1AD">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EB4852">
            <w:pPr>
              <w:pStyle w:val="45"/>
              <w:bidi w:val="0"/>
            </w:pPr>
            <w:r>
              <w:rPr>
                <w:rFonts w:hint="default"/>
                <w:lang w:val="en-US" w:eastAsia="zh-CN"/>
              </w:rPr>
              <w:t>22062006</w:t>
            </w:r>
          </w:p>
        </w:tc>
      </w:tr>
      <w:tr w14:paraId="5290CC9A">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58F4E3">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F5437C">
            <w:pPr>
              <w:pStyle w:val="45"/>
              <w:bidi w:val="0"/>
            </w:pPr>
            <w:r>
              <w:rPr>
                <w:rFonts w:hint="eastAsia"/>
                <w:lang w:val="en-US" w:eastAsia="zh-CN"/>
              </w:rPr>
              <w:t>金源社区安置房</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DF8BFB">
            <w:pPr>
              <w:pStyle w:val="45"/>
              <w:bidi w:val="0"/>
              <w:rPr>
                <w:rFonts w:hint="default"/>
              </w:rPr>
            </w:pPr>
            <w:r>
              <w:rPr>
                <w:rFonts w:hint="default"/>
                <w:lang w:val="en-US" w:eastAsia="zh-CN"/>
              </w:rPr>
              <w:t>0.9</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33CCF">
            <w:pPr>
              <w:pStyle w:val="45"/>
              <w:bidi w:val="0"/>
            </w:pPr>
            <w:r>
              <w:rPr>
                <w:rFonts w:hint="default"/>
                <w:lang w:val="en-US" w:eastAsia="zh-CN"/>
              </w:rPr>
              <w:t>0.006746</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C7AFAB">
            <w:pPr>
              <w:pStyle w:val="45"/>
              <w:bidi w:val="0"/>
              <w:rPr>
                <w:rFonts w:hint="default"/>
              </w:rPr>
            </w:pPr>
            <w:r>
              <w:rPr>
                <w:rFonts w:hint="default"/>
                <w:lang w:val="en-US" w:eastAsia="zh-CN"/>
              </w:rPr>
              <w:t>0.75</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29DCE">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580904">
            <w:pPr>
              <w:pStyle w:val="45"/>
              <w:bidi w:val="0"/>
            </w:pPr>
            <w:r>
              <w:rPr>
                <w:rFonts w:hint="default"/>
                <w:lang w:val="en-US" w:eastAsia="zh-CN"/>
              </w:rPr>
              <w:t>22062007</w:t>
            </w:r>
          </w:p>
        </w:tc>
      </w:tr>
      <w:tr w14:paraId="61B42461">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1DF5F3">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6EB835">
            <w:pPr>
              <w:pStyle w:val="45"/>
              <w:bidi w:val="0"/>
            </w:pPr>
            <w:r>
              <w:rPr>
                <w:rFonts w:hint="eastAsia"/>
                <w:lang w:val="en-US" w:eastAsia="zh-CN"/>
              </w:rPr>
              <w:t>湖南工商职业学院</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83A4D">
            <w:pPr>
              <w:pStyle w:val="45"/>
              <w:bidi w:val="0"/>
              <w:rPr>
                <w:rFonts w:hint="default"/>
              </w:rPr>
            </w:pPr>
            <w:r>
              <w:rPr>
                <w:rFonts w:hint="default"/>
                <w:lang w:val="en-US" w:eastAsia="zh-CN"/>
              </w:rPr>
              <w:t>0.9</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5035AE">
            <w:pPr>
              <w:pStyle w:val="45"/>
              <w:bidi w:val="0"/>
            </w:pPr>
            <w:r>
              <w:rPr>
                <w:rFonts w:hint="default"/>
                <w:lang w:val="en-US" w:eastAsia="zh-CN"/>
              </w:rPr>
              <w:t>0.006897</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ABF9E9">
            <w:pPr>
              <w:pStyle w:val="45"/>
              <w:bidi w:val="0"/>
              <w:rPr>
                <w:rFonts w:hint="default"/>
              </w:rPr>
            </w:pPr>
            <w:r>
              <w:rPr>
                <w:rFonts w:hint="default"/>
                <w:lang w:val="en-US" w:eastAsia="zh-CN"/>
              </w:rPr>
              <w:t>0.77</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984693">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EB4CE5">
            <w:pPr>
              <w:pStyle w:val="45"/>
              <w:bidi w:val="0"/>
            </w:pPr>
            <w:r>
              <w:rPr>
                <w:rFonts w:hint="default"/>
                <w:lang w:val="en-US" w:eastAsia="zh-CN"/>
              </w:rPr>
              <w:t>22031208</w:t>
            </w:r>
          </w:p>
        </w:tc>
      </w:tr>
      <w:tr w14:paraId="262D0F48">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888B3A">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E14C2C">
            <w:pPr>
              <w:pStyle w:val="45"/>
              <w:bidi w:val="0"/>
            </w:pPr>
            <w:r>
              <w:rPr>
                <w:rFonts w:hint="eastAsia"/>
                <w:lang w:val="en-US" w:eastAsia="zh-CN"/>
              </w:rPr>
              <w:t>园区管委会</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A23A41">
            <w:pPr>
              <w:pStyle w:val="45"/>
              <w:bidi w:val="0"/>
              <w:rPr>
                <w:rFonts w:hint="default"/>
              </w:rPr>
            </w:pPr>
            <w:r>
              <w:rPr>
                <w:rFonts w:hint="default"/>
                <w:lang w:val="en-US" w:eastAsia="zh-CN"/>
              </w:rPr>
              <w:t>0.9</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102EB4">
            <w:pPr>
              <w:pStyle w:val="45"/>
              <w:bidi w:val="0"/>
            </w:pPr>
            <w:r>
              <w:rPr>
                <w:rFonts w:hint="default"/>
                <w:lang w:val="en-US" w:eastAsia="zh-CN"/>
              </w:rPr>
              <w:t>0.027723</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C71CD">
            <w:pPr>
              <w:pStyle w:val="45"/>
              <w:bidi w:val="0"/>
              <w:rPr>
                <w:rFonts w:hint="default"/>
              </w:rPr>
            </w:pPr>
            <w:r>
              <w:rPr>
                <w:rFonts w:hint="default"/>
                <w:lang w:val="en-US" w:eastAsia="zh-CN"/>
              </w:rPr>
              <w:t>3.08</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26F787">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55D6A4">
            <w:pPr>
              <w:pStyle w:val="45"/>
              <w:bidi w:val="0"/>
            </w:pPr>
            <w:r>
              <w:rPr>
                <w:rFonts w:hint="default"/>
                <w:lang w:val="en-US" w:eastAsia="zh-CN"/>
              </w:rPr>
              <w:t>22091121</w:t>
            </w:r>
          </w:p>
        </w:tc>
      </w:tr>
      <w:tr w14:paraId="2A1CD950">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D5097C">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596216">
            <w:pPr>
              <w:pStyle w:val="45"/>
              <w:bidi w:val="0"/>
            </w:pPr>
            <w:r>
              <w:rPr>
                <w:rFonts w:hint="eastAsia"/>
                <w:lang w:val="en-US" w:eastAsia="zh-CN"/>
              </w:rPr>
              <w:t>松木中学</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3F4565">
            <w:pPr>
              <w:pStyle w:val="45"/>
              <w:bidi w:val="0"/>
              <w:rPr>
                <w:rFonts w:hint="default"/>
              </w:rPr>
            </w:pPr>
            <w:r>
              <w:rPr>
                <w:rFonts w:hint="default"/>
                <w:lang w:val="en-US" w:eastAsia="zh-CN"/>
              </w:rPr>
              <w:t>0.9</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DAAEC1">
            <w:pPr>
              <w:pStyle w:val="45"/>
              <w:bidi w:val="0"/>
            </w:pPr>
            <w:r>
              <w:rPr>
                <w:rFonts w:hint="default"/>
                <w:lang w:val="en-US" w:eastAsia="zh-CN"/>
              </w:rPr>
              <w:t>0.011058</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5F3F7D">
            <w:pPr>
              <w:pStyle w:val="45"/>
              <w:bidi w:val="0"/>
              <w:rPr>
                <w:rFonts w:hint="default"/>
              </w:rPr>
            </w:pPr>
            <w:r>
              <w:rPr>
                <w:rFonts w:hint="default"/>
                <w:lang w:val="en-US" w:eastAsia="zh-CN"/>
              </w:rPr>
              <w:t>1.23</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B1ECAD">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490ACF">
            <w:pPr>
              <w:pStyle w:val="45"/>
              <w:bidi w:val="0"/>
            </w:pPr>
            <w:r>
              <w:rPr>
                <w:rFonts w:hint="default"/>
                <w:lang w:val="en-US" w:eastAsia="zh-CN"/>
              </w:rPr>
              <w:t>22031208</w:t>
            </w:r>
          </w:p>
        </w:tc>
      </w:tr>
      <w:tr w14:paraId="46AEB40E">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0176A7">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52169C">
            <w:pPr>
              <w:pStyle w:val="45"/>
              <w:bidi w:val="0"/>
            </w:pPr>
            <w:r>
              <w:rPr>
                <w:rFonts w:hint="eastAsia"/>
                <w:lang w:val="en-US" w:eastAsia="zh-CN"/>
              </w:rPr>
              <w:t>松木村</w:t>
            </w:r>
            <w:r>
              <w:rPr>
                <w:rFonts w:hint="default"/>
                <w:lang w:val="en-US" w:eastAsia="zh-CN"/>
              </w:rPr>
              <w:t>2</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550BCB">
            <w:pPr>
              <w:pStyle w:val="45"/>
              <w:bidi w:val="0"/>
              <w:rPr>
                <w:rFonts w:hint="default"/>
              </w:rPr>
            </w:pPr>
            <w:r>
              <w:rPr>
                <w:rFonts w:hint="default"/>
                <w:lang w:val="en-US" w:eastAsia="zh-CN"/>
              </w:rPr>
              <w:t>0.9</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91CEB5">
            <w:pPr>
              <w:pStyle w:val="45"/>
              <w:bidi w:val="0"/>
            </w:pPr>
            <w:r>
              <w:rPr>
                <w:rFonts w:hint="default"/>
                <w:lang w:val="en-US" w:eastAsia="zh-CN"/>
              </w:rPr>
              <w:t>0.011719</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B047D9">
            <w:pPr>
              <w:pStyle w:val="45"/>
              <w:bidi w:val="0"/>
              <w:rPr>
                <w:rFonts w:hint="default"/>
              </w:rPr>
            </w:pPr>
            <w:r>
              <w:rPr>
                <w:rFonts w:hint="default"/>
                <w:lang w:val="en-US" w:eastAsia="zh-CN"/>
              </w:rPr>
              <w:t>1.3</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D32171">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F3793D">
            <w:pPr>
              <w:pStyle w:val="45"/>
              <w:bidi w:val="0"/>
            </w:pPr>
            <w:r>
              <w:rPr>
                <w:rFonts w:hint="default"/>
                <w:lang w:val="en-US" w:eastAsia="zh-CN"/>
              </w:rPr>
              <w:t>22112020</w:t>
            </w:r>
          </w:p>
        </w:tc>
      </w:tr>
      <w:tr w14:paraId="10991B9E">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180479">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995A31">
            <w:pPr>
              <w:pStyle w:val="45"/>
              <w:bidi w:val="0"/>
            </w:pPr>
            <w:r>
              <w:rPr>
                <w:rFonts w:hint="eastAsia"/>
                <w:lang w:val="en-US" w:eastAsia="zh-CN"/>
              </w:rPr>
              <w:t>园区安置房</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4AB808">
            <w:pPr>
              <w:pStyle w:val="45"/>
              <w:bidi w:val="0"/>
              <w:rPr>
                <w:rFonts w:hint="default"/>
              </w:rPr>
            </w:pPr>
            <w:r>
              <w:rPr>
                <w:rFonts w:hint="default"/>
                <w:lang w:val="en-US" w:eastAsia="zh-CN"/>
              </w:rPr>
              <w:t>0.9</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ED759A">
            <w:pPr>
              <w:pStyle w:val="45"/>
              <w:bidi w:val="0"/>
            </w:pPr>
            <w:r>
              <w:rPr>
                <w:rFonts w:hint="default"/>
                <w:lang w:val="en-US" w:eastAsia="zh-CN"/>
              </w:rPr>
              <w:t>0.014045</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C0797">
            <w:pPr>
              <w:pStyle w:val="45"/>
              <w:bidi w:val="0"/>
              <w:rPr>
                <w:rFonts w:hint="default"/>
              </w:rPr>
            </w:pPr>
            <w:r>
              <w:rPr>
                <w:rFonts w:hint="default"/>
                <w:lang w:val="en-US" w:eastAsia="zh-CN"/>
              </w:rPr>
              <w:t>1.56</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63857A">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C65A18">
            <w:pPr>
              <w:pStyle w:val="45"/>
              <w:bidi w:val="0"/>
            </w:pPr>
            <w:r>
              <w:rPr>
                <w:rFonts w:hint="default"/>
                <w:lang w:val="en-US" w:eastAsia="zh-CN"/>
              </w:rPr>
              <w:t>22082821</w:t>
            </w:r>
          </w:p>
        </w:tc>
      </w:tr>
      <w:tr w14:paraId="4BD03053">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B8E7C1">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A71FC3">
            <w:pPr>
              <w:pStyle w:val="45"/>
              <w:bidi w:val="0"/>
            </w:pPr>
            <w:r>
              <w:rPr>
                <w:rFonts w:hint="eastAsia"/>
                <w:lang w:val="en-US" w:eastAsia="zh-CN"/>
              </w:rPr>
              <w:t>友谊村</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16CBC5">
            <w:pPr>
              <w:pStyle w:val="45"/>
              <w:bidi w:val="0"/>
              <w:rPr>
                <w:rFonts w:hint="default"/>
              </w:rPr>
            </w:pPr>
            <w:r>
              <w:rPr>
                <w:rFonts w:hint="default"/>
                <w:lang w:val="en-US" w:eastAsia="zh-CN"/>
              </w:rPr>
              <w:t>0.9</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CA83DE">
            <w:pPr>
              <w:pStyle w:val="45"/>
              <w:bidi w:val="0"/>
            </w:pPr>
            <w:r>
              <w:rPr>
                <w:rFonts w:hint="default"/>
                <w:lang w:val="en-US" w:eastAsia="zh-CN"/>
              </w:rPr>
              <w:t>0.070052</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2501D5">
            <w:pPr>
              <w:pStyle w:val="45"/>
              <w:bidi w:val="0"/>
              <w:rPr>
                <w:rFonts w:hint="default"/>
              </w:rPr>
            </w:pPr>
            <w:r>
              <w:rPr>
                <w:rFonts w:hint="default"/>
                <w:lang w:val="en-US" w:eastAsia="zh-CN"/>
              </w:rPr>
              <w:t>7.78</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C2045">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DEF36B">
            <w:pPr>
              <w:pStyle w:val="45"/>
              <w:bidi w:val="0"/>
            </w:pPr>
            <w:r>
              <w:rPr>
                <w:rFonts w:hint="default"/>
                <w:lang w:val="en-US" w:eastAsia="zh-CN"/>
              </w:rPr>
              <w:t>22123009</w:t>
            </w:r>
          </w:p>
        </w:tc>
      </w:tr>
      <w:tr w14:paraId="2984A1CE">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8543E5">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9953C7">
            <w:pPr>
              <w:pStyle w:val="45"/>
              <w:bidi w:val="0"/>
            </w:pPr>
            <w:r>
              <w:rPr>
                <w:rFonts w:hint="eastAsia"/>
                <w:lang w:val="en-US" w:eastAsia="zh-CN"/>
              </w:rPr>
              <w:t>龙谊村</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0C78CF">
            <w:pPr>
              <w:pStyle w:val="45"/>
              <w:bidi w:val="0"/>
              <w:rPr>
                <w:rFonts w:hint="default"/>
              </w:rPr>
            </w:pPr>
            <w:r>
              <w:rPr>
                <w:rFonts w:hint="default"/>
                <w:lang w:val="en-US" w:eastAsia="zh-CN"/>
              </w:rPr>
              <w:t>0.9</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A318C3">
            <w:pPr>
              <w:pStyle w:val="45"/>
              <w:bidi w:val="0"/>
            </w:pPr>
            <w:r>
              <w:rPr>
                <w:rFonts w:hint="default"/>
                <w:lang w:val="en-US" w:eastAsia="zh-CN"/>
              </w:rPr>
              <w:t>0.065667</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850447">
            <w:pPr>
              <w:pStyle w:val="45"/>
              <w:bidi w:val="0"/>
              <w:rPr>
                <w:rFonts w:hint="default"/>
              </w:rPr>
            </w:pPr>
            <w:r>
              <w:rPr>
                <w:rFonts w:hint="default"/>
                <w:lang w:val="en-US" w:eastAsia="zh-CN"/>
              </w:rPr>
              <w:t>7.3</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29DC6C">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96CFDD">
            <w:pPr>
              <w:pStyle w:val="45"/>
              <w:bidi w:val="0"/>
            </w:pPr>
            <w:r>
              <w:rPr>
                <w:rFonts w:hint="default"/>
                <w:lang w:val="en-US" w:eastAsia="zh-CN"/>
              </w:rPr>
              <w:t>22121203</w:t>
            </w:r>
          </w:p>
        </w:tc>
      </w:tr>
      <w:tr w14:paraId="61C0FC2F">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78DA5C">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498170">
            <w:pPr>
              <w:pStyle w:val="45"/>
              <w:bidi w:val="0"/>
            </w:pPr>
            <w:r>
              <w:rPr>
                <w:rFonts w:hint="eastAsia"/>
                <w:lang w:val="en-US" w:eastAsia="zh-CN"/>
              </w:rPr>
              <w:t>友爱村</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075F61">
            <w:pPr>
              <w:pStyle w:val="45"/>
              <w:bidi w:val="0"/>
              <w:rPr>
                <w:rFonts w:hint="default"/>
              </w:rPr>
            </w:pPr>
            <w:r>
              <w:rPr>
                <w:rFonts w:hint="default"/>
                <w:lang w:val="en-US" w:eastAsia="zh-CN"/>
              </w:rPr>
              <w:t>0.9</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79BD3D">
            <w:pPr>
              <w:pStyle w:val="45"/>
              <w:bidi w:val="0"/>
            </w:pPr>
            <w:r>
              <w:rPr>
                <w:rFonts w:hint="default"/>
                <w:lang w:val="en-US" w:eastAsia="zh-CN"/>
              </w:rPr>
              <w:t>0.032786</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5FE695">
            <w:pPr>
              <w:pStyle w:val="45"/>
              <w:bidi w:val="0"/>
              <w:rPr>
                <w:rFonts w:hint="default"/>
              </w:rPr>
            </w:pPr>
            <w:r>
              <w:rPr>
                <w:rFonts w:hint="default"/>
                <w:lang w:val="en-US" w:eastAsia="zh-CN"/>
              </w:rPr>
              <w:t>3.64</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B57E47">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E48C37">
            <w:pPr>
              <w:pStyle w:val="45"/>
              <w:bidi w:val="0"/>
            </w:pPr>
            <w:r>
              <w:rPr>
                <w:rFonts w:hint="default"/>
                <w:lang w:val="en-US" w:eastAsia="zh-CN"/>
              </w:rPr>
              <w:t>22120808</w:t>
            </w:r>
          </w:p>
        </w:tc>
      </w:tr>
      <w:tr w14:paraId="6D0CD84F">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CC0E8C">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FAD4E6">
            <w:pPr>
              <w:pStyle w:val="45"/>
              <w:bidi w:val="0"/>
            </w:pPr>
            <w:r>
              <w:rPr>
                <w:rFonts w:hint="eastAsia"/>
                <w:lang w:val="en-US" w:eastAsia="zh-CN"/>
              </w:rPr>
              <w:t>江霞村</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3B3AFF">
            <w:pPr>
              <w:pStyle w:val="45"/>
              <w:bidi w:val="0"/>
              <w:rPr>
                <w:rFonts w:hint="default"/>
              </w:rPr>
            </w:pPr>
            <w:r>
              <w:rPr>
                <w:rFonts w:hint="default"/>
                <w:lang w:val="en-US" w:eastAsia="zh-CN"/>
              </w:rPr>
              <w:t>0.9</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390EF7">
            <w:pPr>
              <w:pStyle w:val="45"/>
              <w:bidi w:val="0"/>
            </w:pPr>
            <w:r>
              <w:rPr>
                <w:rFonts w:hint="default"/>
                <w:lang w:val="en-US" w:eastAsia="zh-CN"/>
              </w:rPr>
              <w:t>0.046994</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CCEB03">
            <w:pPr>
              <w:pStyle w:val="45"/>
              <w:bidi w:val="0"/>
              <w:rPr>
                <w:rFonts w:hint="default"/>
              </w:rPr>
            </w:pPr>
            <w:r>
              <w:rPr>
                <w:rFonts w:hint="default"/>
                <w:lang w:val="en-US" w:eastAsia="zh-CN"/>
              </w:rPr>
              <w:t>5.22</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D3309F">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C45EBF">
            <w:pPr>
              <w:pStyle w:val="45"/>
              <w:bidi w:val="0"/>
            </w:pPr>
            <w:r>
              <w:rPr>
                <w:rFonts w:hint="default"/>
                <w:lang w:val="en-US" w:eastAsia="zh-CN"/>
              </w:rPr>
              <w:t>22022404</w:t>
            </w:r>
          </w:p>
        </w:tc>
      </w:tr>
      <w:tr w14:paraId="65D4FA32">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424322">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824FDE">
            <w:pPr>
              <w:pStyle w:val="45"/>
              <w:bidi w:val="0"/>
            </w:pPr>
            <w:r>
              <w:rPr>
                <w:rFonts w:hint="eastAsia"/>
                <w:lang w:val="en-US" w:eastAsia="zh-CN"/>
              </w:rPr>
              <w:t>金兰村</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55A031">
            <w:pPr>
              <w:pStyle w:val="45"/>
              <w:bidi w:val="0"/>
              <w:rPr>
                <w:rFonts w:hint="default"/>
              </w:rPr>
            </w:pPr>
            <w:r>
              <w:rPr>
                <w:rFonts w:hint="default"/>
                <w:lang w:val="en-US" w:eastAsia="zh-CN"/>
              </w:rPr>
              <w:t>0.9</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63B786">
            <w:pPr>
              <w:pStyle w:val="45"/>
              <w:bidi w:val="0"/>
            </w:pPr>
            <w:r>
              <w:rPr>
                <w:rFonts w:hint="default"/>
                <w:lang w:val="en-US" w:eastAsia="zh-CN"/>
              </w:rPr>
              <w:t>0.051745</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E4E877">
            <w:pPr>
              <w:pStyle w:val="45"/>
              <w:bidi w:val="0"/>
              <w:rPr>
                <w:rFonts w:hint="default"/>
              </w:rPr>
            </w:pPr>
            <w:r>
              <w:rPr>
                <w:rFonts w:hint="default"/>
                <w:lang w:val="en-US" w:eastAsia="zh-CN"/>
              </w:rPr>
              <w:t>5.75</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8AC309">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30B01">
            <w:pPr>
              <w:pStyle w:val="45"/>
              <w:bidi w:val="0"/>
            </w:pPr>
            <w:r>
              <w:rPr>
                <w:rFonts w:hint="default"/>
                <w:lang w:val="en-US" w:eastAsia="zh-CN"/>
              </w:rPr>
              <w:t>22060605</w:t>
            </w:r>
          </w:p>
        </w:tc>
      </w:tr>
      <w:tr w14:paraId="66593944">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5B054B">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CE8379">
            <w:pPr>
              <w:pStyle w:val="45"/>
              <w:bidi w:val="0"/>
            </w:pPr>
            <w:r>
              <w:rPr>
                <w:rFonts w:hint="eastAsia"/>
                <w:lang w:val="en-US" w:eastAsia="zh-CN"/>
              </w:rPr>
              <w:t>大昌村</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7F33F4">
            <w:pPr>
              <w:pStyle w:val="45"/>
              <w:bidi w:val="0"/>
              <w:rPr>
                <w:rFonts w:hint="default"/>
              </w:rPr>
            </w:pPr>
            <w:r>
              <w:rPr>
                <w:rFonts w:hint="default"/>
                <w:lang w:val="en-US" w:eastAsia="zh-CN"/>
              </w:rPr>
              <w:t>0.9</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338927">
            <w:pPr>
              <w:pStyle w:val="45"/>
              <w:bidi w:val="0"/>
            </w:pPr>
            <w:r>
              <w:rPr>
                <w:rFonts w:hint="default"/>
                <w:lang w:val="en-US" w:eastAsia="zh-CN"/>
              </w:rPr>
              <w:t>0.054366</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6875E">
            <w:pPr>
              <w:pStyle w:val="45"/>
              <w:bidi w:val="0"/>
              <w:rPr>
                <w:rFonts w:hint="default"/>
              </w:rPr>
            </w:pPr>
            <w:r>
              <w:rPr>
                <w:rFonts w:hint="default"/>
                <w:lang w:val="en-US" w:eastAsia="zh-CN"/>
              </w:rPr>
              <w:t>6.04</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623581">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104206">
            <w:pPr>
              <w:pStyle w:val="45"/>
              <w:bidi w:val="0"/>
            </w:pPr>
            <w:r>
              <w:rPr>
                <w:rFonts w:hint="default"/>
                <w:lang w:val="en-US" w:eastAsia="zh-CN"/>
              </w:rPr>
              <w:t>22020309</w:t>
            </w:r>
          </w:p>
        </w:tc>
      </w:tr>
      <w:tr w14:paraId="7FF53AED">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FBFF03">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5BA30B">
            <w:pPr>
              <w:pStyle w:val="45"/>
              <w:bidi w:val="0"/>
              <w:rPr>
                <w:rFonts w:hint="eastAsia"/>
                <w:lang w:val="en-US" w:eastAsia="zh-CN"/>
              </w:rPr>
            </w:pPr>
            <w:r>
              <w:rPr>
                <w:rFonts w:hint="eastAsia"/>
                <w:lang w:val="en-US" w:eastAsia="zh-CN"/>
              </w:rPr>
              <w:t>区域最大落地浓度坐标（</w:t>
            </w:r>
            <w:r>
              <w:rPr>
                <w:rFonts w:hint="default"/>
                <w:lang w:val="en-US" w:eastAsia="zh-CN"/>
              </w:rPr>
              <w:t>-250,200</w:t>
            </w:r>
            <w:r>
              <w:rPr>
                <w:rFonts w:hint="eastAsia"/>
                <w:lang w:val="en-US" w:eastAsia="zh-CN"/>
              </w:rPr>
              <w:t>）</w:t>
            </w:r>
          </w:p>
          <w:p w14:paraId="22567090">
            <w:pPr>
              <w:pStyle w:val="45"/>
              <w:bidi w:val="0"/>
            </w:pPr>
            <w:r>
              <w:rPr>
                <w:rFonts w:hint="eastAsia"/>
                <w:lang w:val="en-US" w:eastAsia="zh-CN"/>
              </w:rPr>
              <w:t>厂界外</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9A76A">
            <w:pPr>
              <w:pStyle w:val="45"/>
              <w:bidi w:val="0"/>
              <w:rPr>
                <w:rFonts w:hint="default"/>
              </w:rPr>
            </w:pPr>
            <w:r>
              <w:rPr>
                <w:rFonts w:hint="default"/>
                <w:lang w:val="en-US" w:eastAsia="zh-CN"/>
              </w:rPr>
              <w:t>0.9</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3A1C40">
            <w:pPr>
              <w:pStyle w:val="45"/>
              <w:bidi w:val="0"/>
            </w:pPr>
            <w:r>
              <w:rPr>
                <w:rFonts w:hint="default"/>
                <w:lang w:val="en-US" w:eastAsia="zh-CN"/>
              </w:rPr>
              <w:t>0.535461</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B13794">
            <w:pPr>
              <w:pStyle w:val="45"/>
              <w:bidi w:val="0"/>
              <w:rPr>
                <w:rFonts w:hint="default"/>
              </w:rPr>
            </w:pPr>
            <w:r>
              <w:rPr>
                <w:rFonts w:hint="default"/>
                <w:lang w:val="en-US" w:eastAsia="zh-CN"/>
              </w:rPr>
              <w:t>59.5</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4ECAB3">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A4F013">
            <w:pPr>
              <w:pStyle w:val="45"/>
              <w:bidi w:val="0"/>
            </w:pPr>
            <w:r>
              <w:rPr>
                <w:rFonts w:hint="default"/>
                <w:lang w:val="en-US" w:eastAsia="zh-CN"/>
              </w:rPr>
              <w:t>22040224</w:t>
            </w:r>
          </w:p>
        </w:tc>
      </w:tr>
      <w:tr w14:paraId="2C0053F4">
        <w:tblPrEx>
          <w:tblCellMar>
            <w:top w:w="0" w:type="dxa"/>
            <w:left w:w="108" w:type="dxa"/>
            <w:bottom w:w="0" w:type="dxa"/>
            <w:right w:w="108" w:type="dxa"/>
          </w:tblCellMar>
        </w:tblPrEx>
        <w:trPr>
          <w:trHeight w:val="170" w:hRule="atLeast"/>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BD090FC">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氯气（Cl</w:t>
            </w:r>
            <w:r>
              <w:rPr>
                <w:rFonts w:hint="eastAsia" w:cs="宋体"/>
                <w:color w:val="000000"/>
                <w:kern w:val="0"/>
                <w:sz w:val="21"/>
                <w:szCs w:val="22"/>
                <w:vertAlign w:val="subscript"/>
              </w:rPr>
              <w:t>2</w:t>
            </w:r>
            <w:r>
              <w:rPr>
                <w:rFonts w:hint="eastAsia" w:cs="宋体"/>
                <w:color w:val="000000"/>
                <w:kern w:val="0"/>
                <w:sz w:val="21"/>
                <w:szCs w:val="22"/>
              </w:rPr>
              <w:t>）</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BDABD3">
            <w:pPr>
              <w:pStyle w:val="45"/>
              <w:bidi w:val="0"/>
            </w:pPr>
            <w:r>
              <w:rPr>
                <w:rFonts w:hint="eastAsia"/>
                <w:lang w:val="en-US" w:eastAsia="zh-CN"/>
              </w:rPr>
              <w:t>新安村</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218B64">
            <w:pPr>
              <w:pStyle w:val="45"/>
              <w:bidi w:val="0"/>
            </w:pPr>
            <w:r>
              <w:rPr>
                <w:rFonts w:hint="default"/>
                <w:lang w:val="en-US" w:eastAsia="zh-CN"/>
              </w:rPr>
              <w:t>0.1</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3BA189">
            <w:pPr>
              <w:pStyle w:val="45"/>
              <w:bidi w:val="0"/>
            </w:pPr>
            <w:r>
              <w:rPr>
                <w:rFonts w:hint="default"/>
                <w:lang w:val="en-US" w:eastAsia="zh-CN"/>
              </w:rPr>
              <w:t>0.000298</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57FBA7">
            <w:pPr>
              <w:pStyle w:val="45"/>
              <w:bidi w:val="0"/>
            </w:pPr>
            <w:r>
              <w:rPr>
                <w:rFonts w:hint="default"/>
                <w:lang w:val="en-US" w:eastAsia="zh-CN"/>
              </w:rPr>
              <w:t>0.3</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E894B4">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CC01FB">
            <w:pPr>
              <w:pStyle w:val="45"/>
              <w:bidi w:val="0"/>
            </w:pPr>
            <w:r>
              <w:rPr>
                <w:rFonts w:hint="default"/>
                <w:lang w:val="en-US" w:eastAsia="zh-CN"/>
              </w:rPr>
              <w:t>22050607</w:t>
            </w:r>
          </w:p>
        </w:tc>
      </w:tr>
      <w:tr w14:paraId="798CC7FB">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77A02F">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302102">
            <w:pPr>
              <w:pStyle w:val="45"/>
              <w:bidi w:val="0"/>
            </w:pPr>
            <w:r>
              <w:rPr>
                <w:rFonts w:hint="eastAsia"/>
                <w:lang w:val="en-US" w:eastAsia="zh-CN"/>
              </w:rPr>
              <w:t>松木村</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744C84">
            <w:pPr>
              <w:pStyle w:val="45"/>
              <w:bidi w:val="0"/>
            </w:pPr>
            <w:r>
              <w:rPr>
                <w:rFonts w:hint="default"/>
                <w:lang w:val="en-US" w:eastAsia="zh-CN"/>
              </w:rPr>
              <w:t>0.1</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5FF4A9">
            <w:pPr>
              <w:pStyle w:val="45"/>
              <w:bidi w:val="0"/>
            </w:pPr>
            <w:r>
              <w:rPr>
                <w:rFonts w:hint="default"/>
                <w:lang w:val="en-US" w:eastAsia="zh-CN"/>
              </w:rPr>
              <w:t>0.0004</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29E1DD">
            <w:pPr>
              <w:pStyle w:val="45"/>
              <w:bidi w:val="0"/>
            </w:pPr>
            <w:r>
              <w:rPr>
                <w:rFonts w:hint="default"/>
                <w:lang w:val="en-US" w:eastAsia="zh-CN"/>
              </w:rPr>
              <w:t>0.4</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139038">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92DE6">
            <w:pPr>
              <w:pStyle w:val="45"/>
              <w:bidi w:val="0"/>
            </w:pPr>
            <w:r>
              <w:rPr>
                <w:rFonts w:hint="default"/>
                <w:lang w:val="en-US" w:eastAsia="zh-CN"/>
              </w:rPr>
              <w:t>22040623</w:t>
            </w:r>
          </w:p>
        </w:tc>
      </w:tr>
      <w:tr w14:paraId="5D7EA2AD">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ADAB28">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7A82E3">
            <w:pPr>
              <w:pStyle w:val="45"/>
              <w:bidi w:val="0"/>
            </w:pPr>
            <w:r>
              <w:rPr>
                <w:rFonts w:hint="eastAsia"/>
                <w:lang w:val="en-US" w:eastAsia="zh-CN"/>
              </w:rPr>
              <w:t>金源小学</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5E9362">
            <w:pPr>
              <w:pStyle w:val="45"/>
              <w:bidi w:val="0"/>
            </w:pPr>
            <w:r>
              <w:rPr>
                <w:rFonts w:hint="default"/>
                <w:lang w:val="en-US" w:eastAsia="zh-CN"/>
              </w:rPr>
              <w:t>0.1</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C5C926">
            <w:pPr>
              <w:pStyle w:val="45"/>
              <w:bidi w:val="0"/>
            </w:pPr>
            <w:r>
              <w:rPr>
                <w:rFonts w:hint="default"/>
                <w:lang w:val="en-US" w:eastAsia="zh-CN"/>
              </w:rPr>
              <w:t>0.000388</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9C65B9">
            <w:pPr>
              <w:pStyle w:val="45"/>
              <w:bidi w:val="0"/>
            </w:pPr>
            <w:r>
              <w:rPr>
                <w:rFonts w:hint="default"/>
                <w:lang w:val="en-US" w:eastAsia="zh-CN"/>
              </w:rPr>
              <w:t>0.39</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79EB26">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282D5">
            <w:pPr>
              <w:pStyle w:val="45"/>
              <w:bidi w:val="0"/>
            </w:pPr>
            <w:r>
              <w:rPr>
                <w:rFonts w:hint="default"/>
                <w:lang w:val="en-US" w:eastAsia="zh-CN"/>
              </w:rPr>
              <w:t>22030907</w:t>
            </w:r>
          </w:p>
        </w:tc>
      </w:tr>
      <w:tr w14:paraId="5E37770A">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D1CD95">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D82115">
            <w:pPr>
              <w:pStyle w:val="45"/>
              <w:bidi w:val="0"/>
            </w:pPr>
            <w:r>
              <w:rPr>
                <w:rFonts w:hint="eastAsia"/>
                <w:lang w:val="en-US" w:eastAsia="zh-CN"/>
              </w:rPr>
              <w:t>金源社区安置房</w:t>
            </w:r>
            <w:r>
              <w:rPr>
                <w:rFonts w:hint="default"/>
                <w:lang w:val="en-US" w:eastAsia="zh-CN"/>
              </w:rPr>
              <w:t>2</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F894F5">
            <w:pPr>
              <w:pStyle w:val="45"/>
              <w:bidi w:val="0"/>
            </w:pPr>
            <w:r>
              <w:rPr>
                <w:rFonts w:hint="default"/>
                <w:lang w:val="en-US" w:eastAsia="zh-CN"/>
              </w:rPr>
              <w:t>0.1</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806418">
            <w:pPr>
              <w:pStyle w:val="45"/>
              <w:bidi w:val="0"/>
            </w:pPr>
            <w:r>
              <w:rPr>
                <w:rFonts w:hint="default"/>
                <w:lang w:val="en-US" w:eastAsia="zh-CN"/>
              </w:rPr>
              <w:t>0.000444</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97785">
            <w:pPr>
              <w:pStyle w:val="45"/>
              <w:bidi w:val="0"/>
            </w:pPr>
            <w:r>
              <w:rPr>
                <w:rFonts w:hint="default"/>
                <w:lang w:val="en-US" w:eastAsia="zh-CN"/>
              </w:rPr>
              <w:t>0.44</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24867F">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FB23D4">
            <w:pPr>
              <w:pStyle w:val="45"/>
              <w:bidi w:val="0"/>
            </w:pPr>
            <w:r>
              <w:rPr>
                <w:rFonts w:hint="default"/>
                <w:lang w:val="en-US" w:eastAsia="zh-CN"/>
              </w:rPr>
              <w:t>22060102</w:t>
            </w:r>
          </w:p>
        </w:tc>
      </w:tr>
      <w:tr w14:paraId="727B39D4">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D2C7AE">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7C9CE7">
            <w:pPr>
              <w:pStyle w:val="45"/>
              <w:bidi w:val="0"/>
            </w:pPr>
            <w:r>
              <w:rPr>
                <w:rFonts w:hint="eastAsia"/>
                <w:lang w:val="en-US" w:eastAsia="zh-CN"/>
              </w:rPr>
              <w:t>金源社区医院</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7AE99C">
            <w:pPr>
              <w:pStyle w:val="45"/>
              <w:bidi w:val="0"/>
            </w:pPr>
            <w:r>
              <w:rPr>
                <w:rFonts w:hint="default"/>
                <w:lang w:val="en-US" w:eastAsia="zh-CN"/>
              </w:rPr>
              <w:t>0.1</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ACB2DA">
            <w:pPr>
              <w:pStyle w:val="45"/>
              <w:bidi w:val="0"/>
            </w:pPr>
            <w:r>
              <w:rPr>
                <w:rFonts w:hint="default"/>
                <w:lang w:val="en-US" w:eastAsia="zh-CN"/>
              </w:rPr>
              <w:t>0.000371</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3BB3E6">
            <w:pPr>
              <w:pStyle w:val="45"/>
              <w:bidi w:val="0"/>
            </w:pPr>
            <w:r>
              <w:rPr>
                <w:rFonts w:hint="default"/>
                <w:lang w:val="en-US" w:eastAsia="zh-CN"/>
              </w:rPr>
              <w:t>0.37</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375DB3">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6646AA">
            <w:pPr>
              <w:pStyle w:val="45"/>
              <w:bidi w:val="0"/>
            </w:pPr>
            <w:r>
              <w:rPr>
                <w:rFonts w:hint="default"/>
                <w:lang w:val="en-US" w:eastAsia="zh-CN"/>
              </w:rPr>
              <w:t>22010209</w:t>
            </w:r>
          </w:p>
        </w:tc>
      </w:tr>
      <w:tr w14:paraId="795E61B4">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A1F3D7">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049DD6">
            <w:pPr>
              <w:pStyle w:val="45"/>
              <w:bidi w:val="0"/>
            </w:pPr>
            <w:r>
              <w:rPr>
                <w:rFonts w:hint="eastAsia"/>
                <w:lang w:val="en-US" w:eastAsia="zh-CN"/>
              </w:rPr>
              <w:t>金源社区安置房</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892906">
            <w:pPr>
              <w:pStyle w:val="45"/>
              <w:bidi w:val="0"/>
            </w:pPr>
            <w:r>
              <w:rPr>
                <w:rFonts w:hint="default"/>
                <w:lang w:val="en-US" w:eastAsia="zh-CN"/>
              </w:rPr>
              <w:t>0.1</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CA927">
            <w:pPr>
              <w:pStyle w:val="45"/>
              <w:bidi w:val="0"/>
            </w:pPr>
            <w:r>
              <w:rPr>
                <w:rFonts w:hint="default"/>
                <w:lang w:val="en-US" w:eastAsia="zh-CN"/>
              </w:rPr>
              <w:t>0.00028</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D8038A">
            <w:pPr>
              <w:pStyle w:val="45"/>
              <w:bidi w:val="0"/>
            </w:pPr>
            <w:r>
              <w:rPr>
                <w:rFonts w:hint="default"/>
                <w:lang w:val="en-US" w:eastAsia="zh-CN"/>
              </w:rPr>
              <w:t>0.28</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7DC624">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C2CC23">
            <w:pPr>
              <w:pStyle w:val="45"/>
              <w:bidi w:val="0"/>
            </w:pPr>
            <w:r>
              <w:rPr>
                <w:rFonts w:hint="default"/>
                <w:lang w:val="en-US" w:eastAsia="zh-CN"/>
              </w:rPr>
              <w:t>22010209</w:t>
            </w:r>
          </w:p>
        </w:tc>
      </w:tr>
      <w:tr w14:paraId="49957DAA">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5DEAD8">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9DC9CE">
            <w:pPr>
              <w:pStyle w:val="45"/>
              <w:bidi w:val="0"/>
            </w:pPr>
            <w:r>
              <w:rPr>
                <w:rFonts w:hint="eastAsia"/>
                <w:lang w:val="en-US" w:eastAsia="zh-CN"/>
              </w:rPr>
              <w:t>湖南工商职业学院</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1EEE56">
            <w:pPr>
              <w:pStyle w:val="45"/>
              <w:bidi w:val="0"/>
            </w:pPr>
            <w:r>
              <w:rPr>
                <w:rFonts w:hint="default"/>
                <w:lang w:val="en-US" w:eastAsia="zh-CN"/>
              </w:rPr>
              <w:t>0.1</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1FDA66">
            <w:pPr>
              <w:pStyle w:val="45"/>
              <w:bidi w:val="0"/>
            </w:pPr>
            <w:r>
              <w:rPr>
                <w:rFonts w:hint="default"/>
                <w:lang w:val="en-US" w:eastAsia="zh-CN"/>
              </w:rPr>
              <w:t>0.000264</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B70E8D">
            <w:pPr>
              <w:pStyle w:val="45"/>
              <w:bidi w:val="0"/>
            </w:pPr>
            <w:r>
              <w:rPr>
                <w:rFonts w:hint="default"/>
                <w:lang w:val="en-US" w:eastAsia="zh-CN"/>
              </w:rPr>
              <w:t>0.26</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5D9498">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4C2B88">
            <w:pPr>
              <w:pStyle w:val="45"/>
              <w:bidi w:val="0"/>
            </w:pPr>
            <w:r>
              <w:rPr>
                <w:rFonts w:hint="default"/>
                <w:lang w:val="en-US" w:eastAsia="zh-CN"/>
              </w:rPr>
              <w:t>22031208</w:t>
            </w:r>
          </w:p>
        </w:tc>
      </w:tr>
      <w:tr w14:paraId="02B1EF91">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7404A2">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88E5AA">
            <w:pPr>
              <w:pStyle w:val="45"/>
              <w:bidi w:val="0"/>
            </w:pPr>
            <w:r>
              <w:rPr>
                <w:rFonts w:hint="eastAsia"/>
                <w:lang w:val="en-US" w:eastAsia="zh-CN"/>
              </w:rPr>
              <w:t>园区管委会</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985F3E">
            <w:pPr>
              <w:pStyle w:val="45"/>
              <w:bidi w:val="0"/>
            </w:pPr>
            <w:r>
              <w:rPr>
                <w:rFonts w:hint="default"/>
                <w:lang w:val="en-US" w:eastAsia="zh-CN"/>
              </w:rPr>
              <w:t>0.1</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86C5F1">
            <w:pPr>
              <w:pStyle w:val="45"/>
              <w:bidi w:val="0"/>
            </w:pPr>
            <w:r>
              <w:rPr>
                <w:rFonts w:hint="default"/>
                <w:lang w:val="en-US" w:eastAsia="zh-CN"/>
              </w:rPr>
              <w:t>0.000822</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CD3E01">
            <w:pPr>
              <w:pStyle w:val="45"/>
              <w:bidi w:val="0"/>
            </w:pPr>
            <w:r>
              <w:rPr>
                <w:rFonts w:hint="default"/>
                <w:lang w:val="en-US" w:eastAsia="zh-CN"/>
              </w:rPr>
              <w:t>0.82</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0E0854">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8FE984">
            <w:pPr>
              <w:pStyle w:val="45"/>
              <w:bidi w:val="0"/>
            </w:pPr>
            <w:r>
              <w:rPr>
                <w:rFonts w:hint="default"/>
                <w:lang w:val="en-US" w:eastAsia="zh-CN"/>
              </w:rPr>
              <w:t>22091121</w:t>
            </w:r>
          </w:p>
        </w:tc>
      </w:tr>
      <w:tr w14:paraId="6F8B94C3">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5EB96E">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E47785">
            <w:pPr>
              <w:pStyle w:val="45"/>
              <w:bidi w:val="0"/>
            </w:pPr>
            <w:r>
              <w:rPr>
                <w:rFonts w:hint="eastAsia"/>
                <w:lang w:val="en-US" w:eastAsia="zh-CN"/>
              </w:rPr>
              <w:t>松木中学</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6EEAD0">
            <w:pPr>
              <w:pStyle w:val="45"/>
              <w:bidi w:val="0"/>
            </w:pPr>
            <w:r>
              <w:rPr>
                <w:rFonts w:hint="default"/>
                <w:lang w:val="en-US" w:eastAsia="zh-CN"/>
              </w:rPr>
              <w:t>0.1</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D22B18">
            <w:pPr>
              <w:pStyle w:val="45"/>
              <w:bidi w:val="0"/>
            </w:pPr>
            <w:r>
              <w:rPr>
                <w:rFonts w:hint="default"/>
                <w:lang w:val="en-US" w:eastAsia="zh-CN"/>
              </w:rPr>
              <w:t>0.000332</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DD63BA">
            <w:pPr>
              <w:pStyle w:val="45"/>
              <w:bidi w:val="0"/>
            </w:pPr>
            <w:r>
              <w:rPr>
                <w:rFonts w:hint="default"/>
                <w:lang w:val="en-US" w:eastAsia="zh-CN"/>
              </w:rPr>
              <w:t>0.33</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CE26E8">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4264F">
            <w:pPr>
              <w:pStyle w:val="45"/>
              <w:bidi w:val="0"/>
            </w:pPr>
            <w:r>
              <w:rPr>
                <w:rFonts w:hint="default"/>
                <w:lang w:val="en-US" w:eastAsia="zh-CN"/>
              </w:rPr>
              <w:t>22031208</w:t>
            </w:r>
          </w:p>
        </w:tc>
      </w:tr>
      <w:tr w14:paraId="1810F4D5">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7CEBFD">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048826">
            <w:pPr>
              <w:pStyle w:val="45"/>
              <w:bidi w:val="0"/>
            </w:pPr>
            <w:r>
              <w:rPr>
                <w:rFonts w:hint="eastAsia"/>
                <w:lang w:val="en-US" w:eastAsia="zh-CN"/>
              </w:rPr>
              <w:t>松木村</w:t>
            </w:r>
            <w:r>
              <w:rPr>
                <w:rFonts w:hint="default"/>
                <w:lang w:val="en-US" w:eastAsia="zh-CN"/>
              </w:rPr>
              <w:t>2</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F8D92B">
            <w:pPr>
              <w:pStyle w:val="45"/>
              <w:bidi w:val="0"/>
            </w:pPr>
            <w:r>
              <w:rPr>
                <w:rFonts w:hint="default"/>
                <w:lang w:val="en-US" w:eastAsia="zh-CN"/>
              </w:rPr>
              <w:t>0.1</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8B234">
            <w:pPr>
              <w:pStyle w:val="45"/>
              <w:bidi w:val="0"/>
            </w:pPr>
            <w:r>
              <w:rPr>
                <w:rFonts w:hint="default"/>
                <w:lang w:val="en-US" w:eastAsia="zh-CN"/>
              </w:rPr>
              <w:t>0.001834</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E70BC5">
            <w:pPr>
              <w:pStyle w:val="45"/>
              <w:bidi w:val="0"/>
            </w:pPr>
            <w:r>
              <w:rPr>
                <w:rFonts w:hint="default"/>
                <w:lang w:val="en-US" w:eastAsia="zh-CN"/>
              </w:rPr>
              <w:t>1.83</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4776EE">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C92D85">
            <w:pPr>
              <w:pStyle w:val="45"/>
              <w:bidi w:val="0"/>
            </w:pPr>
            <w:r>
              <w:rPr>
                <w:rFonts w:hint="default"/>
                <w:lang w:val="en-US" w:eastAsia="zh-CN"/>
              </w:rPr>
              <w:t>22091121</w:t>
            </w:r>
          </w:p>
        </w:tc>
      </w:tr>
      <w:tr w14:paraId="6BBB46AE">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756719">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4D7B22">
            <w:pPr>
              <w:pStyle w:val="45"/>
              <w:bidi w:val="0"/>
            </w:pPr>
            <w:r>
              <w:rPr>
                <w:rFonts w:hint="eastAsia"/>
                <w:lang w:val="en-US" w:eastAsia="zh-CN"/>
              </w:rPr>
              <w:t>园区安置房</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ECCD51">
            <w:pPr>
              <w:pStyle w:val="45"/>
              <w:bidi w:val="0"/>
            </w:pPr>
            <w:r>
              <w:rPr>
                <w:rFonts w:hint="default"/>
                <w:lang w:val="en-US" w:eastAsia="zh-CN"/>
              </w:rPr>
              <w:t>0.1</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0393DA">
            <w:pPr>
              <w:pStyle w:val="45"/>
              <w:bidi w:val="0"/>
            </w:pPr>
            <w:r>
              <w:rPr>
                <w:rFonts w:hint="default"/>
                <w:lang w:val="en-US" w:eastAsia="zh-CN"/>
              </w:rPr>
              <w:t>0.001841</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BB2821">
            <w:pPr>
              <w:pStyle w:val="45"/>
              <w:bidi w:val="0"/>
            </w:pPr>
            <w:r>
              <w:rPr>
                <w:rFonts w:hint="default"/>
                <w:lang w:val="en-US" w:eastAsia="zh-CN"/>
              </w:rPr>
              <w:t>1.84</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25AA45">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1F3349">
            <w:pPr>
              <w:pStyle w:val="45"/>
              <w:bidi w:val="0"/>
            </w:pPr>
            <w:r>
              <w:rPr>
                <w:rFonts w:hint="default"/>
                <w:lang w:val="en-US" w:eastAsia="zh-CN"/>
              </w:rPr>
              <w:t>22042002</w:t>
            </w:r>
          </w:p>
        </w:tc>
      </w:tr>
      <w:tr w14:paraId="3483FC5D">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425AA6">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52E2D3">
            <w:pPr>
              <w:pStyle w:val="45"/>
              <w:bidi w:val="0"/>
            </w:pPr>
            <w:r>
              <w:rPr>
                <w:rFonts w:hint="eastAsia"/>
                <w:lang w:val="en-US" w:eastAsia="zh-CN"/>
              </w:rPr>
              <w:t>友谊村</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0E4A33">
            <w:pPr>
              <w:pStyle w:val="45"/>
              <w:bidi w:val="0"/>
            </w:pPr>
            <w:r>
              <w:rPr>
                <w:rFonts w:hint="default"/>
                <w:lang w:val="en-US" w:eastAsia="zh-CN"/>
              </w:rPr>
              <w:t>0.1</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D2FFA1">
            <w:pPr>
              <w:pStyle w:val="45"/>
              <w:bidi w:val="0"/>
            </w:pPr>
            <w:r>
              <w:rPr>
                <w:rFonts w:hint="default"/>
                <w:lang w:val="en-US" w:eastAsia="zh-CN"/>
              </w:rPr>
              <w:t>0.000425</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3394A6">
            <w:pPr>
              <w:pStyle w:val="45"/>
              <w:bidi w:val="0"/>
            </w:pPr>
            <w:r>
              <w:rPr>
                <w:rFonts w:hint="default"/>
                <w:lang w:val="en-US" w:eastAsia="zh-CN"/>
              </w:rPr>
              <w:t>0.43</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A1DD2A">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95687E">
            <w:pPr>
              <w:pStyle w:val="45"/>
              <w:bidi w:val="0"/>
            </w:pPr>
            <w:r>
              <w:rPr>
                <w:rFonts w:hint="default"/>
                <w:lang w:val="en-US" w:eastAsia="zh-CN"/>
              </w:rPr>
              <w:t>22021709</w:t>
            </w:r>
          </w:p>
        </w:tc>
      </w:tr>
      <w:tr w14:paraId="2ABDF50E">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4104FE">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62FFB1">
            <w:pPr>
              <w:pStyle w:val="45"/>
              <w:bidi w:val="0"/>
            </w:pPr>
            <w:r>
              <w:rPr>
                <w:rFonts w:hint="eastAsia"/>
                <w:lang w:val="en-US" w:eastAsia="zh-CN"/>
              </w:rPr>
              <w:t>龙谊村</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0BF737">
            <w:pPr>
              <w:pStyle w:val="45"/>
              <w:bidi w:val="0"/>
            </w:pPr>
            <w:r>
              <w:rPr>
                <w:rFonts w:hint="default"/>
                <w:lang w:val="en-US" w:eastAsia="zh-CN"/>
              </w:rPr>
              <w:t>0.1</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3827D8">
            <w:pPr>
              <w:pStyle w:val="45"/>
              <w:bidi w:val="0"/>
            </w:pPr>
            <w:r>
              <w:rPr>
                <w:rFonts w:hint="default"/>
                <w:lang w:val="en-US" w:eastAsia="zh-CN"/>
              </w:rPr>
              <w:t>0.000335</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73F70C">
            <w:pPr>
              <w:pStyle w:val="45"/>
              <w:bidi w:val="0"/>
            </w:pPr>
            <w:r>
              <w:rPr>
                <w:rFonts w:hint="default"/>
                <w:lang w:val="en-US" w:eastAsia="zh-CN"/>
              </w:rPr>
              <w:t>0.34</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4608FA">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71D8B4">
            <w:pPr>
              <w:pStyle w:val="45"/>
              <w:bidi w:val="0"/>
            </w:pPr>
            <w:r>
              <w:rPr>
                <w:rFonts w:hint="default"/>
                <w:lang w:val="en-US" w:eastAsia="zh-CN"/>
              </w:rPr>
              <w:t>22020109</w:t>
            </w:r>
          </w:p>
        </w:tc>
      </w:tr>
      <w:tr w14:paraId="20780BB8">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7F3DB7">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FC5AF6">
            <w:pPr>
              <w:pStyle w:val="45"/>
              <w:bidi w:val="0"/>
            </w:pPr>
            <w:r>
              <w:rPr>
                <w:rFonts w:hint="eastAsia"/>
                <w:lang w:val="en-US" w:eastAsia="zh-CN"/>
              </w:rPr>
              <w:t>友爱村</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A9D01">
            <w:pPr>
              <w:pStyle w:val="45"/>
              <w:bidi w:val="0"/>
            </w:pPr>
            <w:r>
              <w:rPr>
                <w:rFonts w:hint="default"/>
                <w:lang w:val="en-US" w:eastAsia="zh-CN"/>
              </w:rPr>
              <w:t>0.1</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E217B0">
            <w:pPr>
              <w:pStyle w:val="45"/>
              <w:bidi w:val="0"/>
            </w:pPr>
            <w:r>
              <w:rPr>
                <w:rFonts w:hint="default"/>
                <w:lang w:val="en-US" w:eastAsia="zh-CN"/>
              </w:rPr>
              <w:t>0.000285</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49FB2D">
            <w:pPr>
              <w:pStyle w:val="45"/>
              <w:bidi w:val="0"/>
            </w:pPr>
            <w:r>
              <w:rPr>
                <w:rFonts w:hint="default"/>
                <w:lang w:val="en-US" w:eastAsia="zh-CN"/>
              </w:rPr>
              <w:t>0.29</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E4F162">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F10240">
            <w:pPr>
              <w:pStyle w:val="45"/>
              <w:bidi w:val="0"/>
            </w:pPr>
            <w:r>
              <w:rPr>
                <w:rFonts w:hint="default"/>
                <w:lang w:val="en-US" w:eastAsia="zh-CN"/>
              </w:rPr>
              <w:t>22052407</w:t>
            </w:r>
          </w:p>
        </w:tc>
      </w:tr>
      <w:tr w14:paraId="10309930">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4358FE">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EA91E8">
            <w:pPr>
              <w:pStyle w:val="45"/>
              <w:bidi w:val="0"/>
            </w:pPr>
            <w:r>
              <w:rPr>
                <w:rFonts w:hint="eastAsia"/>
                <w:lang w:val="en-US" w:eastAsia="zh-CN"/>
              </w:rPr>
              <w:t>江霞村</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5EF8AA">
            <w:pPr>
              <w:pStyle w:val="45"/>
              <w:bidi w:val="0"/>
            </w:pPr>
            <w:r>
              <w:rPr>
                <w:rFonts w:hint="default"/>
                <w:lang w:val="en-US" w:eastAsia="zh-CN"/>
              </w:rPr>
              <w:t>0.1</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327638">
            <w:pPr>
              <w:pStyle w:val="45"/>
              <w:bidi w:val="0"/>
            </w:pPr>
            <w:r>
              <w:rPr>
                <w:rFonts w:hint="default"/>
                <w:lang w:val="en-US" w:eastAsia="zh-CN"/>
              </w:rPr>
              <w:t>0.000272</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4C93DB">
            <w:pPr>
              <w:pStyle w:val="45"/>
              <w:bidi w:val="0"/>
            </w:pPr>
            <w:r>
              <w:rPr>
                <w:rFonts w:hint="default"/>
                <w:lang w:val="en-US" w:eastAsia="zh-CN"/>
              </w:rPr>
              <w:t>0.27</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6221C3">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DB9750">
            <w:pPr>
              <w:pStyle w:val="45"/>
              <w:bidi w:val="0"/>
            </w:pPr>
            <w:r>
              <w:rPr>
                <w:rFonts w:hint="default"/>
                <w:lang w:val="en-US" w:eastAsia="zh-CN"/>
              </w:rPr>
              <w:t>22102907</w:t>
            </w:r>
          </w:p>
        </w:tc>
      </w:tr>
      <w:tr w14:paraId="731F3D7C">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A36E4E">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2C9792">
            <w:pPr>
              <w:pStyle w:val="45"/>
              <w:bidi w:val="0"/>
            </w:pPr>
            <w:r>
              <w:rPr>
                <w:rFonts w:hint="eastAsia"/>
                <w:lang w:val="en-US" w:eastAsia="zh-CN"/>
              </w:rPr>
              <w:t>金兰村</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412516">
            <w:pPr>
              <w:pStyle w:val="45"/>
              <w:bidi w:val="0"/>
            </w:pPr>
            <w:r>
              <w:rPr>
                <w:rFonts w:hint="default"/>
                <w:lang w:val="en-US" w:eastAsia="zh-CN"/>
              </w:rPr>
              <w:t>0.1</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0EE310">
            <w:pPr>
              <w:pStyle w:val="45"/>
              <w:bidi w:val="0"/>
            </w:pPr>
            <w:r>
              <w:rPr>
                <w:rFonts w:hint="default"/>
                <w:lang w:val="en-US" w:eastAsia="zh-CN"/>
              </w:rPr>
              <w:t>0.00019</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4AC4C7">
            <w:pPr>
              <w:pStyle w:val="45"/>
              <w:bidi w:val="0"/>
            </w:pPr>
            <w:r>
              <w:rPr>
                <w:rFonts w:hint="default"/>
                <w:lang w:val="en-US" w:eastAsia="zh-CN"/>
              </w:rPr>
              <w:t>0.19</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E76623">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6E00CC">
            <w:pPr>
              <w:pStyle w:val="45"/>
              <w:bidi w:val="0"/>
            </w:pPr>
            <w:r>
              <w:rPr>
                <w:rFonts w:hint="default"/>
                <w:lang w:val="en-US" w:eastAsia="zh-CN"/>
              </w:rPr>
              <w:t>22012803</w:t>
            </w:r>
          </w:p>
        </w:tc>
      </w:tr>
      <w:tr w14:paraId="3F18BFF3">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A38498">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69743">
            <w:pPr>
              <w:pStyle w:val="45"/>
              <w:bidi w:val="0"/>
            </w:pPr>
            <w:r>
              <w:rPr>
                <w:rFonts w:hint="eastAsia"/>
                <w:lang w:val="en-US" w:eastAsia="zh-CN"/>
              </w:rPr>
              <w:t>大昌村</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FFE5DE">
            <w:pPr>
              <w:pStyle w:val="45"/>
              <w:bidi w:val="0"/>
            </w:pPr>
            <w:r>
              <w:rPr>
                <w:rFonts w:hint="default"/>
                <w:lang w:val="en-US" w:eastAsia="zh-CN"/>
              </w:rPr>
              <w:t>0.1</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3C68EE">
            <w:pPr>
              <w:pStyle w:val="45"/>
              <w:bidi w:val="0"/>
            </w:pPr>
            <w:r>
              <w:rPr>
                <w:rFonts w:hint="default"/>
                <w:lang w:val="en-US" w:eastAsia="zh-CN"/>
              </w:rPr>
              <w:t>0.000212</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851D7A">
            <w:pPr>
              <w:pStyle w:val="45"/>
              <w:bidi w:val="0"/>
            </w:pPr>
            <w:r>
              <w:rPr>
                <w:rFonts w:hint="default"/>
                <w:lang w:val="en-US" w:eastAsia="zh-CN"/>
              </w:rPr>
              <w:t>0.21</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F0CEC4">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E76D9A">
            <w:pPr>
              <w:pStyle w:val="45"/>
              <w:bidi w:val="0"/>
            </w:pPr>
            <w:r>
              <w:rPr>
                <w:rFonts w:hint="default"/>
                <w:lang w:val="en-US" w:eastAsia="zh-CN"/>
              </w:rPr>
              <w:t>22061020</w:t>
            </w:r>
          </w:p>
        </w:tc>
      </w:tr>
      <w:tr w14:paraId="33580205">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B24136">
            <w:pPr>
              <w:widowControl/>
              <w:spacing w:line="240" w:lineRule="auto"/>
              <w:ind w:firstLine="0" w:firstLineChars="0"/>
              <w:jc w:val="center"/>
              <w:rPr>
                <w:rFonts w:cs="宋体"/>
                <w:color w:val="000000"/>
                <w:sz w:val="21"/>
                <w:szCs w:val="22"/>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D9F1F9">
            <w:pPr>
              <w:pStyle w:val="45"/>
              <w:bidi w:val="0"/>
              <w:rPr>
                <w:rFonts w:hint="eastAsia"/>
                <w:lang w:val="en-US" w:eastAsia="zh-CN"/>
              </w:rPr>
            </w:pPr>
            <w:r>
              <w:rPr>
                <w:rFonts w:hint="eastAsia"/>
                <w:lang w:val="en-US" w:eastAsia="zh-CN"/>
              </w:rPr>
              <w:t>区域最大落地浓度坐标（</w:t>
            </w:r>
            <w:r>
              <w:rPr>
                <w:rFonts w:hint="default"/>
                <w:lang w:val="en-US" w:eastAsia="zh-CN"/>
              </w:rPr>
              <w:t>-450,250</w:t>
            </w:r>
            <w:r>
              <w:rPr>
                <w:rFonts w:hint="eastAsia"/>
                <w:lang w:val="en-US" w:eastAsia="zh-CN"/>
              </w:rPr>
              <w:t>）</w:t>
            </w:r>
          </w:p>
          <w:p w14:paraId="2CFAFCBF">
            <w:pPr>
              <w:pStyle w:val="45"/>
              <w:bidi w:val="0"/>
            </w:pPr>
            <w:r>
              <w:rPr>
                <w:rFonts w:hint="eastAsia"/>
                <w:lang w:val="en-US" w:eastAsia="zh-CN"/>
              </w:rPr>
              <w:t>厂界外</w:t>
            </w:r>
          </w:p>
        </w:tc>
        <w:tc>
          <w:tcPr>
            <w:tcW w:w="1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CCAF17">
            <w:pPr>
              <w:pStyle w:val="45"/>
              <w:bidi w:val="0"/>
            </w:pPr>
            <w:r>
              <w:rPr>
                <w:rFonts w:hint="default"/>
                <w:lang w:val="en-US" w:eastAsia="zh-CN"/>
              </w:rPr>
              <w:t>0.1</w:t>
            </w:r>
          </w:p>
        </w:tc>
        <w:tc>
          <w:tcPr>
            <w:tcW w:w="19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AD0AC8">
            <w:pPr>
              <w:pStyle w:val="45"/>
              <w:bidi w:val="0"/>
            </w:pPr>
            <w:r>
              <w:rPr>
                <w:rFonts w:hint="default"/>
                <w:lang w:val="en-US" w:eastAsia="zh-CN"/>
              </w:rPr>
              <w:t>0.009529</w:t>
            </w:r>
          </w:p>
        </w:tc>
        <w:tc>
          <w:tcPr>
            <w:tcW w:w="19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06A7A8">
            <w:pPr>
              <w:pStyle w:val="45"/>
              <w:bidi w:val="0"/>
            </w:pPr>
            <w:r>
              <w:rPr>
                <w:rFonts w:hint="default"/>
                <w:lang w:val="en-US" w:eastAsia="zh-CN"/>
              </w:rPr>
              <w:t>9.53</w:t>
            </w:r>
          </w:p>
        </w:tc>
        <w:tc>
          <w:tcPr>
            <w:tcW w:w="18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48F628">
            <w:pPr>
              <w:pStyle w:val="45"/>
              <w:bidi w:val="0"/>
            </w:pPr>
            <w:r>
              <w:rPr>
                <w:rFonts w:hint="eastAsia"/>
                <w:lang w:val="en-US" w:eastAsia="zh-CN"/>
              </w:rPr>
              <w:t>达标</w:t>
            </w:r>
          </w:p>
        </w:tc>
        <w:tc>
          <w:tcPr>
            <w:tcW w:w="2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0F3DF0">
            <w:pPr>
              <w:pStyle w:val="45"/>
              <w:bidi w:val="0"/>
            </w:pPr>
            <w:r>
              <w:rPr>
                <w:rFonts w:hint="default"/>
                <w:lang w:val="en-US" w:eastAsia="zh-CN"/>
              </w:rPr>
              <w:t>22031905</w:t>
            </w:r>
          </w:p>
        </w:tc>
      </w:tr>
      <w:tr w14:paraId="1BA273C4">
        <w:tblPrEx>
          <w:tblCellMar>
            <w:top w:w="0" w:type="dxa"/>
            <w:left w:w="108" w:type="dxa"/>
            <w:bottom w:w="0" w:type="dxa"/>
            <w:right w:w="108" w:type="dxa"/>
          </w:tblCellMar>
        </w:tblPrEx>
        <w:trPr>
          <w:trHeight w:val="170" w:hRule="atLeast"/>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44AEC32">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氯化氢（HCl）</w:t>
            </w:r>
          </w:p>
        </w:tc>
        <w:tc>
          <w:tcPr>
            <w:tcW w:w="41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700215">
            <w:pPr>
              <w:pStyle w:val="45"/>
              <w:bidi w:val="0"/>
            </w:pPr>
            <w:r>
              <w:rPr>
                <w:rFonts w:hint="eastAsia"/>
                <w:lang w:val="en-US" w:eastAsia="zh-CN"/>
              </w:rPr>
              <w:t>新安村</w:t>
            </w:r>
          </w:p>
        </w:tc>
        <w:tc>
          <w:tcPr>
            <w:tcW w:w="13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CE955">
            <w:pPr>
              <w:pStyle w:val="45"/>
              <w:bidi w:val="0"/>
            </w:pPr>
            <w:r>
              <w:rPr>
                <w:rFonts w:hint="default"/>
                <w:lang w:val="en-US" w:eastAsia="zh-CN"/>
              </w:rPr>
              <w:t>0.05</w:t>
            </w:r>
          </w:p>
        </w:tc>
        <w:tc>
          <w:tcPr>
            <w:tcW w:w="19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1C3407">
            <w:pPr>
              <w:pStyle w:val="45"/>
              <w:bidi w:val="0"/>
            </w:pPr>
            <w:r>
              <w:rPr>
                <w:rFonts w:hint="default"/>
                <w:lang w:val="en-US" w:eastAsia="zh-CN"/>
              </w:rPr>
              <w:t>0.00054</w:t>
            </w:r>
          </w:p>
        </w:tc>
        <w:tc>
          <w:tcPr>
            <w:tcW w:w="18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0248E5">
            <w:pPr>
              <w:pStyle w:val="45"/>
              <w:bidi w:val="0"/>
            </w:pPr>
            <w:r>
              <w:rPr>
                <w:rFonts w:hint="default"/>
                <w:lang w:val="en-US" w:eastAsia="zh-CN"/>
              </w:rPr>
              <w:t>1.08</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6BAA11">
            <w:pPr>
              <w:pStyle w:val="45"/>
              <w:bidi w:val="0"/>
            </w:pPr>
            <w:r>
              <w:rPr>
                <w:rFonts w:hint="eastAsia"/>
                <w:lang w:val="en-US" w:eastAsia="zh-CN"/>
              </w:rPr>
              <w:t>达标</w:t>
            </w:r>
          </w:p>
        </w:tc>
        <w:tc>
          <w:tcPr>
            <w:tcW w:w="20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F8D9A">
            <w:pPr>
              <w:pStyle w:val="45"/>
              <w:bidi w:val="0"/>
            </w:pPr>
            <w:r>
              <w:rPr>
                <w:rFonts w:hint="default"/>
                <w:lang w:val="en-US" w:eastAsia="zh-CN"/>
              </w:rPr>
              <w:t>22061822</w:t>
            </w:r>
          </w:p>
        </w:tc>
      </w:tr>
      <w:tr w14:paraId="19AB1B6A">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289D25">
            <w:pPr>
              <w:widowControl/>
              <w:spacing w:line="240" w:lineRule="auto"/>
              <w:ind w:firstLine="0" w:firstLineChars="0"/>
              <w:jc w:val="center"/>
              <w:rPr>
                <w:rFonts w:cs="宋体"/>
                <w:color w:val="000000"/>
                <w:sz w:val="21"/>
                <w:szCs w:val="22"/>
              </w:rPr>
            </w:pPr>
          </w:p>
        </w:tc>
        <w:tc>
          <w:tcPr>
            <w:tcW w:w="41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1448B3">
            <w:pPr>
              <w:pStyle w:val="45"/>
              <w:bidi w:val="0"/>
            </w:pPr>
            <w:r>
              <w:rPr>
                <w:rFonts w:hint="eastAsia"/>
                <w:lang w:val="en-US" w:eastAsia="zh-CN"/>
              </w:rPr>
              <w:t>松木村</w:t>
            </w:r>
          </w:p>
        </w:tc>
        <w:tc>
          <w:tcPr>
            <w:tcW w:w="13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E389E">
            <w:pPr>
              <w:pStyle w:val="45"/>
              <w:bidi w:val="0"/>
            </w:pPr>
            <w:r>
              <w:rPr>
                <w:rFonts w:hint="default"/>
                <w:lang w:val="en-US" w:eastAsia="zh-CN"/>
              </w:rPr>
              <w:t>0.05</w:t>
            </w:r>
          </w:p>
        </w:tc>
        <w:tc>
          <w:tcPr>
            <w:tcW w:w="19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D5E3D">
            <w:pPr>
              <w:pStyle w:val="45"/>
              <w:bidi w:val="0"/>
            </w:pPr>
            <w:r>
              <w:rPr>
                <w:rFonts w:hint="default"/>
                <w:lang w:val="en-US" w:eastAsia="zh-CN"/>
              </w:rPr>
              <w:t>0.000589</w:t>
            </w:r>
          </w:p>
        </w:tc>
        <w:tc>
          <w:tcPr>
            <w:tcW w:w="18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7C93F">
            <w:pPr>
              <w:pStyle w:val="45"/>
              <w:bidi w:val="0"/>
            </w:pPr>
            <w:r>
              <w:rPr>
                <w:rFonts w:hint="default"/>
                <w:lang w:val="en-US" w:eastAsia="zh-CN"/>
              </w:rPr>
              <w:t>1.18</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9C35EC">
            <w:pPr>
              <w:pStyle w:val="45"/>
              <w:bidi w:val="0"/>
            </w:pPr>
            <w:r>
              <w:rPr>
                <w:rFonts w:hint="eastAsia"/>
                <w:lang w:val="en-US" w:eastAsia="zh-CN"/>
              </w:rPr>
              <w:t>达标</w:t>
            </w:r>
          </w:p>
        </w:tc>
        <w:tc>
          <w:tcPr>
            <w:tcW w:w="20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9D789">
            <w:pPr>
              <w:pStyle w:val="45"/>
              <w:bidi w:val="0"/>
            </w:pPr>
            <w:r>
              <w:rPr>
                <w:rFonts w:hint="default"/>
                <w:lang w:val="en-US" w:eastAsia="zh-CN"/>
              </w:rPr>
              <w:t>22052507</w:t>
            </w:r>
          </w:p>
        </w:tc>
      </w:tr>
      <w:tr w14:paraId="045F8351">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2030C6">
            <w:pPr>
              <w:widowControl/>
              <w:spacing w:line="240" w:lineRule="auto"/>
              <w:ind w:firstLine="0" w:firstLineChars="0"/>
              <w:jc w:val="center"/>
              <w:rPr>
                <w:rFonts w:cs="宋体"/>
                <w:color w:val="000000"/>
                <w:sz w:val="21"/>
                <w:szCs w:val="22"/>
              </w:rPr>
            </w:pPr>
          </w:p>
        </w:tc>
        <w:tc>
          <w:tcPr>
            <w:tcW w:w="41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924ED9">
            <w:pPr>
              <w:pStyle w:val="45"/>
              <w:bidi w:val="0"/>
            </w:pPr>
            <w:r>
              <w:rPr>
                <w:rFonts w:hint="eastAsia"/>
                <w:lang w:val="en-US" w:eastAsia="zh-CN"/>
              </w:rPr>
              <w:t>金源小学</w:t>
            </w:r>
          </w:p>
        </w:tc>
        <w:tc>
          <w:tcPr>
            <w:tcW w:w="13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3FD0F">
            <w:pPr>
              <w:pStyle w:val="45"/>
              <w:bidi w:val="0"/>
            </w:pPr>
            <w:r>
              <w:rPr>
                <w:rFonts w:hint="default"/>
                <w:lang w:val="en-US" w:eastAsia="zh-CN"/>
              </w:rPr>
              <w:t>0.05</w:t>
            </w:r>
          </w:p>
        </w:tc>
        <w:tc>
          <w:tcPr>
            <w:tcW w:w="19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C9747">
            <w:pPr>
              <w:pStyle w:val="45"/>
              <w:bidi w:val="0"/>
            </w:pPr>
            <w:r>
              <w:rPr>
                <w:rFonts w:hint="default"/>
                <w:lang w:val="en-US" w:eastAsia="zh-CN"/>
              </w:rPr>
              <w:t>0.000528</w:t>
            </w:r>
          </w:p>
        </w:tc>
        <w:tc>
          <w:tcPr>
            <w:tcW w:w="18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04FCF">
            <w:pPr>
              <w:pStyle w:val="45"/>
              <w:bidi w:val="0"/>
            </w:pPr>
            <w:r>
              <w:rPr>
                <w:rFonts w:hint="default"/>
                <w:lang w:val="en-US" w:eastAsia="zh-CN"/>
              </w:rPr>
              <w:t>1.06</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E52065">
            <w:pPr>
              <w:pStyle w:val="45"/>
              <w:bidi w:val="0"/>
            </w:pPr>
            <w:r>
              <w:rPr>
                <w:rFonts w:hint="eastAsia"/>
                <w:lang w:val="en-US" w:eastAsia="zh-CN"/>
              </w:rPr>
              <w:t>达标</w:t>
            </w:r>
          </w:p>
        </w:tc>
        <w:tc>
          <w:tcPr>
            <w:tcW w:w="20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251D9">
            <w:pPr>
              <w:pStyle w:val="45"/>
              <w:bidi w:val="0"/>
            </w:pPr>
            <w:r>
              <w:rPr>
                <w:rFonts w:hint="default"/>
                <w:lang w:val="en-US" w:eastAsia="zh-CN"/>
              </w:rPr>
              <w:t>22010209</w:t>
            </w:r>
          </w:p>
        </w:tc>
      </w:tr>
      <w:tr w14:paraId="1B3E4928">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12A023">
            <w:pPr>
              <w:widowControl/>
              <w:spacing w:line="240" w:lineRule="auto"/>
              <w:ind w:firstLine="0" w:firstLineChars="0"/>
              <w:jc w:val="center"/>
              <w:rPr>
                <w:rFonts w:cs="宋体"/>
                <w:color w:val="000000"/>
                <w:sz w:val="21"/>
                <w:szCs w:val="22"/>
              </w:rPr>
            </w:pPr>
          </w:p>
        </w:tc>
        <w:tc>
          <w:tcPr>
            <w:tcW w:w="41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5E2112">
            <w:pPr>
              <w:pStyle w:val="45"/>
              <w:bidi w:val="0"/>
            </w:pPr>
            <w:r>
              <w:rPr>
                <w:rFonts w:hint="eastAsia"/>
                <w:lang w:val="en-US" w:eastAsia="zh-CN"/>
              </w:rPr>
              <w:t>金源社区安置房</w:t>
            </w:r>
            <w:r>
              <w:rPr>
                <w:rFonts w:hint="default"/>
                <w:lang w:val="en-US" w:eastAsia="zh-CN"/>
              </w:rPr>
              <w:t>2</w:t>
            </w:r>
          </w:p>
        </w:tc>
        <w:tc>
          <w:tcPr>
            <w:tcW w:w="13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FBFF9">
            <w:pPr>
              <w:pStyle w:val="45"/>
              <w:bidi w:val="0"/>
            </w:pPr>
            <w:r>
              <w:rPr>
                <w:rFonts w:hint="default"/>
                <w:lang w:val="en-US" w:eastAsia="zh-CN"/>
              </w:rPr>
              <w:t>0.05</w:t>
            </w:r>
          </w:p>
        </w:tc>
        <w:tc>
          <w:tcPr>
            <w:tcW w:w="19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73767">
            <w:pPr>
              <w:pStyle w:val="45"/>
              <w:bidi w:val="0"/>
            </w:pPr>
            <w:r>
              <w:rPr>
                <w:rFonts w:hint="default"/>
                <w:lang w:val="en-US" w:eastAsia="zh-CN"/>
              </w:rPr>
              <w:t>0.001129</w:t>
            </w:r>
          </w:p>
        </w:tc>
        <w:tc>
          <w:tcPr>
            <w:tcW w:w="18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83B1A">
            <w:pPr>
              <w:pStyle w:val="45"/>
              <w:bidi w:val="0"/>
            </w:pPr>
            <w:r>
              <w:rPr>
                <w:rFonts w:hint="default"/>
                <w:lang w:val="en-US" w:eastAsia="zh-CN"/>
              </w:rPr>
              <w:t>2.26</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DC9E6D">
            <w:pPr>
              <w:pStyle w:val="45"/>
              <w:bidi w:val="0"/>
            </w:pPr>
            <w:r>
              <w:rPr>
                <w:rFonts w:hint="eastAsia"/>
                <w:lang w:val="en-US" w:eastAsia="zh-CN"/>
              </w:rPr>
              <w:t>达标</w:t>
            </w:r>
          </w:p>
        </w:tc>
        <w:tc>
          <w:tcPr>
            <w:tcW w:w="20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517BCA">
            <w:pPr>
              <w:pStyle w:val="45"/>
              <w:bidi w:val="0"/>
            </w:pPr>
            <w:r>
              <w:rPr>
                <w:rFonts w:hint="default"/>
                <w:lang w:val="en-US" w:eastAsia="zh-CN"/>
              </w:rPr>
              <w:t>22060102</w:t>
            </w:r>
          </w:p>
        </w:tc>
      </w:tr>
      <w:tr w14:paraId="02035A1F">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EE1BD8">
            <w:pPr>
              <w:widowControl/>
              <w:spacing w:line="240" w:lineRule="auto"/>
              <w:ind w:firstLine="0" w:firstLineChars="0"/>
              <w:jc w:val="center"/>
              <w:rPr>
                <w:rFonts w:cs="宋体"/>
                <w:color w:val="000000"/>
                <w:sz w:val="21"/>
                <w:szCs w:val="22"/>
              </w:rPr>
            </w:pPr>
          </w:p>
        </w:tc>
        <w:tc>
          <w:tcPr>
            <w:tcW w:w="41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932C9D">
            <w:pPr>
              <w:pStyle w:val="45"/>
              <w:bidi w:val="0"/>
            </w:pPr>
            <w:r>
              <w:rPr>
                <w:rFonts w:hint="eastAsia"/>
                <w:lang w:val="en-US" w:eastAsia="zh-CN"/>
              </w:rPr>
              <w:t>金源社区医院</w:t>
            </w:r>
          </w:p>
        </w:tc>
        <w:tc>
          <w:tcPr>
            <w:tcW w:w="13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6D1D1">
            <w:pPr>
              <w:pStyle w:val="45"/>
              <w:bidi w:val="0"/>
            </w:pPr>
            <w:r>
              <w:rPr>
                <w:rFonts w:hint="default"/>
                <w:lang w:val="en-US" w:eastAsia="zh-CN"/>
              </w:rPr>
              <w:t>0.05</w:t>
            </w:r>
          </w:p>
        </w:tc>
        <w:tc>
          <w:tcPr>
            <w:tcW w:w="19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87FD3">
            <w:pPr>
              <w:pStyle w:val="45"/>
              <w:bidi w:val="0"/>
            </w:pPr>
            <w:r>
              <w:rPr>
                <w:rFonts w:hint="default"/>
                <w:lang w:val="en-US" w:eastAsia="zh-CN"/>
              </w:rPr>
              <w:t>0.00102</w:t>
            </w:r>
          </w:p>
        </w:tc>
        <w:tc>
          <w:tcPr>
            <w:tcW w:w="18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3F6DE">
            <w:pPr>
              <w:pStyle w:val="45"/>
              <w:bidi w:val="0"/>
            </w:pPr>
            <w:r>
              <w:rPr>
                <w:rFonts w:hint="default"/>
                <w:lang w:val="en-US" w:eastAsia="zh-CN"/>
              </w:rPr>
              <w:t>2.04</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85A6C3">
            <w:pPr>
              <w:pStyle w:val="45"/>
              <w:bidi w:val="0"/>
            </w:pPr>
            <w:r>
              <w:rPr>
                <w:rFonts w:hint="eastAsia"/>
                <w:lang w:val="en-US" w:eastAsia="zh-CN"/>
              </w:rPr>
              <w:t>达标</w:t>
            </w:r>
          </w:p>
        </w:tc>
        <w:tc>
          <w:tcPr>
            <w:tcW w:w="20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D41D7">
            <w:pPr>
              <w:pStyle w:val="45"/>
              <w:bidi w:val="0"/>
            </w:pPr>
            <w:r>
              <w:rPr>
                <w:rFonts w:hint="default"/>
                <w:lang w:val="en-US" w:eastAsia="zh-CN"/>
              </w:rPr>
              <w:t>22062006</w:t>
            </w:r>
          </w:p>
        </w:tc>
      </w:tr>
      <w:tr w14:paraId="590194BF">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23B5B2">
            <w:pPr>
              <w:widowControl/>
              <w:spacing w:line="240" w:lineRule="auto"/>
              <w:ind w:firstLine="0" w:firstLineChars="0"/>
              <w:jc w:val="center"/>
              <w:rPr>
                <w:rFonts w:cs="宋体"/>
                <w:color w:val="000000"/>
                <w:sz w:val="21"/>
                <w:szCs w:val="22"/>
              </w:rPr>
            </w:pPr>
          </w:p>
        </w:tc>
        <w:tc>
          <w:tcPr>
            <w:tcW w:w="41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AEB712">
            <w:pPr>
              <w:pStyle w:val="45"/>
              <w:bidi w:val="0"/>
            </w:pPr>
            <w:r>
              <w:rPr>
                <w:rFonts w:hint="eastAsia"/>
                <w:lang w:val="en-US" w:eastAsia="zh-CN"/>
              </w:rPr>
              <w:t>金源社区安置房</w:t>
            </w:r>
          </w:p>
        </w:tc>
        <w:tc>
          <w:tcPr>
            <w:tcW w:w="13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C97938">
            <w:pPr>
              <w:pStyle w:val="45"/>
              <w:bidi w:val="0"/>
            </w:pPr>
            <w:r>
              <w:rPr>
                <w:rFonts w:hint="default"/>
                <w:lang w:val="en-US" w:eastAsia="zh-CN"/>
              </w:rPr>
              <w:t>0.05</w:t>
            </w:r>
          </w:p>
        </w:tc>
        <w:tc>
          <w:tcPr>
            <w:tcW w:w="19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BFCD6">
            <w:pPr>
              <w:pStyle w:val="45"/>
              <w:bidi w:val="0"/>
            </w:pPr>
            <w:r>
              <w:rPr>
                <w:rFonts w:hint="default"/>
                <w:lang w:val="en-US" w:eastAsia="zh-CN"/>
              </w:rPr>
              <w:t>0.00043</w:t>
            </w:r>
          </w:p>
        </w:tc>
        <w:tc>
          <w:tcPr>
            <w:tcW w:w="18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50C68">
            <w:pPr>
              <w:pStyle w:val="45"/>
              <w:bidi w:val="0"/>
            </w:pPr>
            <w:r>
              <w:rPr>
                <w:rFonts w:hint="default"/>
                <w:lang w:val="en-US" w:eastAsia="zh-CN"/>
              </w:rPr>
              <w:t>0.86</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6B6F18">
            <w:pPr>
              <w:pStyle w:val="45"/>
              <w:bidi w:val="0"/>
            </w:pPr>
            <w:r>
              <w:rPr>
                <w:rFonts w:hint="eastAsia"/>
                <w:lang w:val="en-US" w:eastAsia="zh-CN"/>
              </w:rPr>
              <w:t>达标</w:t>
            </w:r>
          </w:p>
        </w:tc>
        <w:tc>
          <w:tcPr>
            <w:tcW w:w="20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15E93">
            <w:pPr>
              <w:pStyle w:val="45"/>
              <w:bidi w:val="0"/>
            </w:pPr>
            <w:r>
              <w:rPr>
                <w:rFonts w:hint="default"/>
                <w:lang w:val="en-US" w:eastAsia="zh-CN"/>
              </w:rPr>
              <w:t>22010209</w:t>
            </w:r>
          </w:p>
        </w:tc>
      </w:tr>
      <w:tr w14:paraId="2898FB76">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6E695D">
            <w:pPr>
              <w:widowControl/>
              <w:spacing w:line="240" w:lineRule="auto"/>
              <w:ind w:firstLine="0" w:firstLineChars="0"/>
              <w:jc w:val="center"/>
              <w:rPr>
                <w:rFonts w:cs="宋体"/>
                <w:color w:val="000000"/>
                <w:sz w:val="21"/>
                <w:szCs w:val="22"/>
              </w:rPr>
            </w:pPr>
          </w:p>
        </w:tc>
        <w:tc>
          <w:tcPr>
            <w:tcW w:w="41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0572BC">
            <w:pPr>
              <w:pStyle w:val="45"/>
              <w:bidi w:val="0"/>
            </w:pPr>
            <w:r>
              <w:rPr>
                <w:rFonts w:hint="eastAsia"/>
                <w:lang w:val="en-US" w:eastAsia="zh-CN"/>
              </w:rPr>
              <w:t>湖南工商职业学院</w:t>
            </w:r>
          </w:p>
        </w:tc>
        <w:tc>
          <w:tcPr>
            <w:tcW w:w="13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A9946">
            <w:pPr>
              <w:pStyle w:val="45"/>
              <w:bidi w:val="0"/>
            </w:pPr>
            <w:r>
              <w:rPr>
                <w:rFonts w:hint="default"/>
                <w:lang w:val="en-US" w:eastAsia="zh-CN"/>
              </w:rPr>
              <w:t>0.05</w:t>
            </w:r>
          </w:p>
        </w:tc>
        <w:tc>
          <w:tcPr>
            <w:tcW w:w="19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96E22C">
            <w:pPr>
              <w:pStyle w:val="45"/>
              <w:bidi w:val="0"/>
            </w:pPr>
            <w:r>
              <w:rPr>
                <w:rFonts w:hint="default"/>
                <w:lang w:val="en-US" w:eastAsia="zh-CN"/>
              </w:rPr>
              <w:t>0.000401</w:t>
            </w:r>
          </w:p>
        </w:tc>
        <w:tc>
          <w:tcPr>
            <w:tcW w:w="18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935FAE">
            <w:pPr>
              <w:pStyle w:val="45"/>
              <w:bidi w:val="0"/>
            </w:pPr>
            <w:r>
              <w:rPr>
                <w:rFonts w:hint="default"/>
                <w:lang w:val="en-US" w:eastAsia="zh-CN"/>
              </w:rPr>
              <w:t>0.8</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061B14">
            <w:pPr>
              <w:pStyle w:val="45"/>
              <w:bidi w:val="0"/>
            </w:pPr>
            <w:r>
              <w:rPr>
                <w:rFonts w:hint="eastAsia"/>
                <w:lang w:val="en-US" w:eastAsia="zh-CN"/>
              </w:rPr>
              <w:t>达标</w:t>
            </w:r>
          </w:p>
        </w:tc>
        <w:tc>
          <w:tcPr>
            <w:tcW w:w="20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560AED">
            <w:pPr>
              <w:pStyle w:val="45"/>
              <w:bidi w:val="0"/>
            </w:pPr>
            <w:r>
              <w:rPr>
                <w:rFonts w:hint="default"/>
                <w:lang w:val="en-US" w:eastAsia="zh-CN"/>
              </w:rPr>
              <w:t>22031208</w:t>
            </w:r>
          </w:p>
        </w:tc>
      </w:tr>
      <w:tr w14:paraId="4F73066A">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A40742">
            <w:pPr>
              <w:widowControl/>
              <w:spacing w:line="240" w:lineRule="auto"/>
              <w:ind w:firstLine="0" w:firstLineChars="0"/>
              <w:jc w:val="center"/>
              <w:rPr>
                <w:rFonts w:cs="宋体"/>
                <w:color w:val="000000"/>
                <w:sz w:val="21"/>
                <w:szCs w:val="22"/>
              </w:rPr>
            </w:pPr>
          </w:p>
        </w:tc>
        <w:tc>
          <w:tcPr>
            <w:tcW w:w="41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D3D1B">
            <w:pPr>
              <w:pStyle w:val="45"/>
              <w:bidi w:val="0"/>
            </w:pPr>
            <w:r>
              <w:rPr>
                <w:rFonts w:hint="eastAsia"/>
                <w:lang w:val="en-US" w:eastAsia="zh-CN"/>
              </w:rPr>
              <w:t>园区管委会</w:t>
            </w:r>
          </w:p>
        </w:tc>
        <w:tc>
          <w:tcPr>
            <w:tcW w:w="13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3C83E">
            <w:pPr>
              <w:pStyle w:val="45"/>
              <w:bidi w:val="0"/>
            </w:pPr>
            <w:r>
              <w:rPr>
                <w:rFonts w:hint="default"/>
                <w:lang w:val="en-US" w:eastAsia="zh-CN"/>
              </w:rPr>
              <w:t>0.05</w:t>
            </w:r>
          </w:p>
        </w:tc>
        <w:tc>
          <w:tcPr>
            <w:tcW w:w="19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80FD6F">
            <w:pPr>
              <w:pStyle w:val="45"/>
              <w:bidi w:val="0"/>
            </w:pPr>
            <w:r>
              <w:rPr>
                <w:rFonts w:hint="default"/>
                <w:lang w:val="en-US" w:eastAsia="zh-CN"/>
              </w:rPr>
              <w:t>0.001191</w:t>
            </w:r>
          </w:p>
        </w:tc>
        <w:tc>
          <w:tcPr>
            <w:tcW w:w="18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2A3255">
            <w:pPr>
              <w:pStyle w:val="45"/>
              <w:bidi w:val="0"/>
            </w:pPr>
            <w:r>
              <w:rPr>
                <w:rFonts w:hint="default"/>
                <w:lang w:val="en-US" w:eastAsia="zh-CN"/>
              </w:rPr>
              <w:t>2.38</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786B14">
            <w:pPr>
              <w:pStyle w:val="45"/>
              <w:bidi w:val="0"/>
            </w:pPr>
            <w:r>
              <w:rPr>
                <w:rFonts w:hint="eastAsia"/>
                <w:lang w:val="en-US" w:eastAsia="zh-CN"/>
              </w:rPr>
              <w:t>达标</w:t>
            </w:r>
          </w:p>
        </w:tc>
        <w:tc>
          <w:tcPr>
            <w:tcW w:w="20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AFFA1">
            <w:pPr>
              <w:pStyle w:val="45"/>
              <w:bidi w:val="0"/>
            </w:pPr>
            <w:r>
              <w:rPr>
                <w:rFonts w:hint="default"/>
                <w:lang w:val="en-US" w:eastAsia="zh-CN"/>
              </w:rPr>
              <w:t>22111718</w:t>
            </w:r>
          </w:p>
        </w:tc>
      </w:tr>
      <w:tr w14:paraId="3DE94CCE">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600AD7">
            <w:pPr>
              <w:widowControl/>
              <w:spacing w:line="240" w:lineRule="auto"/>
              <w:ind w:firstLine="0" w:firstLineChars="0"/>
              <w:jc w:val="center"/>
              <w:rPr>
                <w:rFonts w:cs="宋体"/>
                <w:color w:val="000000"/>
                <w:sz w:val="21"/>
                <w:szCs w:val="22"/>
              </w:rPr>
            </w:pPr>
          </w:p>
        </w:tc>
        <w:tc>
          <w:tcPr>
            <w:tcW w:w="41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FE83CA">
            <w:pPr>
              <w:pStyle w:val="45"/>
              <w:bidi w:val="0"/>
            </w:pPr>
            <w:r>
              <w:rPr>
                <w:rFonts w:hint="eastAsia"/>
                <w:lang w:val="en-US" w:eastAsia="zh-CN"/>
              </w:rPr>
              <w:t>松木中学</w:t>
            </w:r>
          </w:p>
        </w:tc>
        <w:tc>
          <w:tcPr>
            <w:tcW w:w="13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48AC6">
            <w:pPr>
              <w:pStyle w:val="45"/>
              <w:bidi w:val="0"/>
            </w:pPr>
            <w:r>
              <w:rPr>
                <w:rFonts w:hint="default"/>
                <w:lang w:val="en-US" w:eastAsia="zh-CN"/>
              </w:rPr>
              <w:t>0.05</w:t>
            </w:r>
          </w:p>
        </w:tc>
        <w:tc>
          <w:tcPr>
            <w:tcW w:w="19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3A319">
            <w:pPr>
              <w:pStyle w:val="45"/>
              <w:bidi w:val="0"/>
            </w:pPr>
            <w:r>
              <w:rPr>
                <w:rFonts w:hint="default"/>
                <w:lang w:val="en-US" w:eastAsia="zh-CN"/>
              </w:rPr>
              <w:t>0.000524</w:t>
            </w:r>
          </w:p>
        </w:tc>
        <w:tc>
          <w:tcPr>
            <w:tcW w:w="18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7EAF3A">
            <w:pPr>
              <w:pStyle w:val="45"/>
              <w:bidi w:val="0"/>
            </w:pPr>
            <w:r>
              <w:rPr>
                <w:rFonts w:hint="default"/>
                <w:lang w:val="en-US" w:eastAsia="zh-CN"/>
              </w:rPr>
              <w:t>1.05</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D3376D">
            <w:pPr>
              <w:pStyle w:val="45"/>
              <w:bidi w:val="0"/>
            </w:pPr>
            <w:r>
              <w:rPr>
                <w:rFonts w:hint="eastAsia"/>
                <w:lang w:val="en-US" w:eastAsia="zh-CN"/>
              </w:rPr>
              <w:t>达标</w:t>
            </w:r>
          </w:p>
        </w:tc>
        <w:tc>
          <w:tcPr>
            <w:tcW w:w="20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3CB4A">
            <w:pPr>
              <w:pStyle w:val="45"/>
              <w:bidi w:val="0"/>
            </w:pPr>
            <w:r>
              <w:rPr>
                <w:rFonts w:hint="default"/>
                <w:lang w:val="en-US" w:eastAsia="zh-CN"/>
              </w:rPr>
              <w:t>22031208</w:t>
            </w:r>
          </w:p>
        </w:tc>
      </w:tr>
      <w:tr w14:paraId="3BDE8EA7">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AD4165">
            <w:pPr>
              <w:widowControl/>
              <w:spacing w:line="240" w:lineRule="auto"/>
              <w:ind w:firstLine="0" w:firstLineChars="0"/>
              <w:jc w:val="center"/>
              <w:rPr>
                <w:rFonts w:cs="宋体"/>
                <w:color w:val="000000"/>
                <w:sz w:val="21"/>
                <w:szCs w:val="22"/>
              </w:rPr>
            </w:pPr>
          </w:p>
        </w:tc>
        <w:tc>
          <w:tcPr>
            <w:tcW w:w="41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37E8FB">
            <w:pPr>
              <w:pStyle w:val="45"/>
              <w:bidi w:val="0"/>
            </w:pPr>
            <w:r>
              <w:rPr>
                <w:rFonts w:hint="eastAsia"/>
                <w:lang w:val="en-US" w:eastAsia="zh-CN"/>
              </w:rPr>
              <w:t>松木村</w:t>
            </w:r>
            <w:r>
              <w:rPr>
                <w:rFonts w:hint="default"/>
                <w:lang w:val="en-US" w:eastAsia="zh-CN"/>
              </w:rPr>
              <w:t>2</w:t>
            </w:r>
          </w:p>
        </w:tc>
        <w:tc>
          <w:tcPr>
            <w:tcW w:w="13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C8ED7">
            <w:pPr>
              <w:pStyle w:val="45"/>
              <w:bidi w:val="0"/>
            </w:pPr>
            <w:r>
              <w:rPr>
                <w:rFonts w:hint="default"/>
                <w:lang w:val="en-US" w:eastAsia="zh-CN"/>
              </w:rPr>
              <w:t>0.05</w:t>
            </w:r>
          </w:p>
        </w:tc>
        <w:tc>
          <w:tcPr>
            <w:tcW w:w="19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A4D45">
            <w:pPr>
              <w:pStyle w:val="45"/>
              <w:bidi w:val="0"/>
            </w:pPr>
            <w:r>
              <w:rPr>
                <w:rFonts w:hint="default"/>
                <w:lang w:val="en-US" w:eastAsia="zh-CN"/>
              </w:rPr>
              <w:t>0.002064</w:t>
            </w:r>
          </w:p>
        </w:tc>
        <w:tc>
          <w:tcPr>
            <w:tcW w:w="18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BC88F5">
            <w:pPr>
              <w:pStyle w:val="45"/>
              <w:bidi w:val="0"/>
            </w:pPr>
            <w:r>
              <w:rPr>
                <w:rFonts w:hint="default"/>
                <w:lang w:val="en-US" w:eastAsia="zh-CN"/>
              </w:rPr>
              <w:t>4.13</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BE39FE">
            <w:pPr>
              <w:pStyle w:val="45"/>
              <w:bidi w:val="0"/>
            </w:pPr>
            <w:r>
              <w:rPr>
                <w:rFonts w:hint="eastAsia"/>
                <w:lang w:val="en-US" w:eastAsia="zh-CN"/>
              </w:rPr>
              <w:t>达标</w:t>
            </w:r>
          </w:p>
        </w:tc>
        <w:tc>
          <w:tcPr>
            <w:tcW w:w="20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7018A">
            <w:pPr>
              <w:pStyle w:val="45"/>
              <w:bidi w:val="0"/>
            </w:pPr>
            <w:r>
              <w:rPr>
                <w:rFonts w:hint="default"/>
                <w:lang w:val="en-US" w:eastAsia="zh-CN"/>
              </w:rPr>
              <w:t>22091121</w:t>
            </w:r>
          </w:p>
        </w:tc>
      </w:tr>
      <w:tr w14:paraId="1A455468">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8B474A">
            <w:pPr>
              <w:widowControl/>
              <w:spacing w:line="240" w:lineRule="auto"/>
              <w:ind w:firstLine="0" w:firstLineChars="0"/>
              <w:jc w:val="center"/>
              <w:rPr>
                <w:rFonts w:cs="宋体"/>
                <w:color w:val="000000"/>
                <w:sz w:val="21"/>
                <w:szCs w:val="22"/>
              </w:rPr>
            </w:pPr>
          </w:p>
        </w:tc>
        <w:tc>
          <w:tcPr>
            <w:tcW w:w="41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FC5703">
            <w:pPr>
              <w:pStyle w:val="45"/>
              <w:bidi w:val="0"/>
            </w:pPr>
            <w:r>
              <w:rPr>
                <w:rFonts w:hint="eastAsia"/>
                <w:lang w:val="en-US" w:eastAsia="zh-CN"/>
              </w:rPr>
              <w:t>园区安置房</w:t>
            </w:r>
          </w:p>
        </w:tc>
        <w:tc>
          <w:tcPr>
            <w:tcW w:w="13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41BE38">
            <w:pPr>
              <w:pStyle w:val="45"/>
              <w:bidi w:val="0"/>
            </w:pPr>
            <w:r>
              <w:rPr>
                <w:rFonts w:hint="default"/>
                <w:lang w:val="en-US" w:eastAsia="zh-CN"/>
              </w:rPr>
              <w:t>0.05</w:t>
            </w:r>
          </w:p>
        </w:tc>
        <w:tc>
          <w:tcPr>
            <w:tcW w:w="19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12D3A">
            <w:pPr>
              <w:pStyle w:val="45"/>
              <w:bidi w:val="0"/>
            </w:pPr>
            <w:r>
              <w:rPr>
                <w:rFonts w:hint="default"/>
                <w:lang w:val="en-US" w:eastAsia="zh-CN"/>
              </w:rPr>
              <w:t>0.002048</w:t>
            </w:r>
          </w:p>
        </w:tc>
        <w:tc>
          <w:tcPr>
            <w:tcW w:w="18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4A7E9">
            <w:pPr>
              <w:pStyle w:val="45"/>
              <w:bidi w:val="0"/>
            </w:pPr>
            <w:r>
              <w:rPr>
                <w:rFonts w:hint="default"/>
                <w:lang w:val="en-US" w:eastAsia="zh-CN"/>
              </w:rPr>
              <w:t>4.1</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473C4">
            <w:pPr>
              <w:pStyle w:val="45"/>
              <w:bidi w:val="0"/>
            </w:pPr>
            <w:r>
              <w:rPr>
                <w:rFonts w:hint="eastAsia"/>
                <w:lang w:val="en-US" w:eastAsia="zh-CN"/>
              </w:rPr>
              <w:t>达标</w:t>
            </w:r>
          </w:p>
        </w:tc>
        <w:tc>
          <w:tcPr>
            <w:tcW w:w="20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3B6E3F">
            <w:pPr>
              <w:pStyle w:val="45"/>
              <w:bidi w:val="0"/>
            </w:pPr>
            <w:r>
              <w:rPr>
                <w:rFonts w:hint="default"/>
                <w:lang w:val="en-US" w:eastAsia="zh-CN"/>
              </w:rPr>
              <w:t>22042002</w:t>
            </w:r>
          </w:p>
        </w:tc>
      </w:tr>
      <w:tr w14:paraId="0C17B18C">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F0AC25">
            <w:pPr>
              <w:widowControl/>
              <w:spacing w:line="240" w:lineRule="auto"/>
              <w:ind w:firstLine="0" w:firstLineChars="0"/>
              <w:jc w:val="center"/>
              <w:rPr>
                <w:rFonts w:cs="宋体"/>
                <w:color w:val="000000"/>
                <w:sz w:val="21"/>
                <w:szCs w:val="22"/>
              </w:rPr>
            </w:pPr>
          </w:p>
        </w:tc>
        <w:tc>
          <w:tcPr>
            <w:tcW w:w="41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E66590">
            <w:pPr>
              <w:pStyle w:val="45"/>
              <w:bidi w:val="0"/>
            </w:pPr>
            <w:r>
              <w:rPr>
                <w:rFonts w:hint="eastAsia"/>
                <w:lang w:val="en-US" w:eastAsia="zh-CN"/>
              </w:rPr>
              <w:t>友谊村</w:t>
            </w:r>
          </w:p>
        </w:tc>
        <w:tc>
          <w:tcPr>
            <w:tcW w:w="13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FF2AF">
            <w:pPr>
              <w:pStyle w:val="45"/>
              <w:bidi w:val="0"/>
            </w:pPr>
            <w:r>
              <w:rPr>
                <w:rFonts w:hint="default"/>
                <w:lang w:val="en-US" w:eastAsia="zh-CN"/>
              </w:rPr>
              <w:t>0.05</w:t>
            </w:r>
          </w:p>
        </w:tc>
        <w:tc>
          <w:tcPr>
            <w:tcW w:w="19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38609">
            <w:pPr>
              <w:pStyle w:val="45"/>
              <w:bidi w:val="0"/>
            </w:pPr>
            <w:r>
              <w:rPr>
                <w:rFonts w:hint="default"/>
                <w:lang w:val="en-US" w:eastAsia="zh-CN"/>
              </w:rPr>
              <w:t>0.001057</w:t>
            </w:r>
          </w:p>
        </w:tc>
        <w:tc>
          <w:tcPr>
            <w:tcW w:w="18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8982D">
            <w:pPr>
              <w:pStyle w:val="45"/>
              <w:bidi w:val="0"/>
            </w:pPr>
            <w:r>
              <w:rPr>
                <w:rFonts w:hint="default"/>
                <w:lang w:val="en-US" w:eastAsia="zh-CN"/>
              </w:rPr>
              <w:t>2.11</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7BB223">
            <w:pPr>
              <w:pStyle w:val="45"/>
              <w:bidi w:val="0"/>
            </w:pPr>
            <w:r>
              <w:rPr>
                <w:rFonts w:hint="eastAsia"/>
                <w:lang w:val="en-US" w:eastAsia="zh-CN"/>
              </w:rPr>
              <w:t>达标</w:t>
            </w:r>
          </w:p>
        </w:tc>
        <w:tc>
          <w:tcPr>
            <w:tcW w:w="20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93065">
            <w:pPr>
              <w:pStyle w:val="45"/>
              <w:bidi w:val="0"/>
            </w:pPr>
            <w:r>
              <w:rPr>
                <w:rFonts w:hint="default"/>
                <w:lang w:val="en-US" w:eastAsia="zh-CN"/>
              </w:rPr>
              <w:t>22021505</w:t>
            </w:r>
          </w:p>
        </w:tc>
      </w:tr>
      <w:tr w14:paraId="7E1D479D">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C6600E">
            <w:pPr>
              <w:widowControl/>
              <w:spacing w:line="240" w:lineRule="auto"/>
              <w:ind w:firstLine="0" w:firstLineChars="0"/>
              <w:jc w:val="center"/>
              <w:rPr>
                <w:rFonts w:cs="宋体"/>
                <w:color w:val="000000"/>
                <w:sz w:val="21"/>
                <w:szCs w:val="22"/>
              </w:rPr>
            </w:pPr>
          </w:p>
        </w:tc>
        <w:tc>
          <w:tcPr>
            <w:tcW w:w="41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CB4B65">
            <w:pPr>
              <w:pStyle w:val="45"/>
              <w:bidi w:val="0"/>
            </w:pPr>
            <w:r>
              <w:rPr>
                <w:rFonts w:hint="eastAsia"/>
                <w:lang w:val="en-US" w:eastAsia="zh-CN"/>
              </w:rPr>
              <w:t>龙谊村</w:t>
            </w:r>
          </w:p>
        </w:tc>
        <w:tc>
          <w:tcPr>
            <w:tcW w:w="13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26136">
            <w:pPr>
              <w:pStyle w:val="45"/>
              <w:bidi w:val="0"/>
            </w:pPr>
            <w:r>
              <w:rPr>
                <w:rFonts w:hint="default"/>
                <w:lang w:val="en-US" w:eastAsia="zh-CN"/>
              </w:rPr>
              <w:t>0.05</w:t>
            </w:r>
          </w:p>
        </w:tc>
        <w:tc>
          <w:tcPr>
            <w:tcW w:w="19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310BE8">
            <w:pPr>
              <w:pStyle w:val="45"/>
              <w:bidi w:val="0"/>
            </w:pPr>
            <w:r>
              <w:rPr>
                <w:rFonts w:hint="default"/>
                <w:lang w:val="en-US" w:eastAsia="zh-CN"/>
              </w:rPr>
              <w:t>0.000703</w:t>
            </w:r>
          </w:p>
        </w:tc>
        <w:tc>
          <w:tcPr>
            <w:tcW w:w="18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3420B">
            <w:pPr>
              <w:pStyle w:val="45"/>
              <w:bidi w:val="0"/>
            </w:pPr>
            <w:r>
              <w:rPr>
                <w:rFonts w:hint="default"/>
                <w:lang w:val="en-US" w:eastAsia="zh-CN"/>
              </w:rPr>
              <w:t>1.41</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7C4FBA">
            <w:pPr>
              <w:pStyle w:val="45"/>
              <w:bidi w:val="0"/>
            </w:pPr>
            <w:r>
              <w:rPr>
                <w:rFonts w:hint="eastAsia"/>
                <w:lang w:val="en-US" w:eastAsia="zh-CN"/>
              </w:rPr>
              <w:t>达标</w:t>
            </w:r>
          </w:p>
        </w:tc>
        <w:tc>
          <w:tcPr>
            <w:tcW w:w="20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95A3B">
            <w:pPr>
              <w:pStyle w:val="45"/>
              <w:bidi w:val="0"/>
            </w:pPr>
            <w:r>
              <w:rPr>
                <w:rFonts w:hint="default"/>
                <w:lang w:val="en-US" w:eastAsia="zh-CN"/>
              </w:rPr>
              <w:t>22020109</w:t>
            </w:r>
          </w:p>
        </w:tc>
      </w:tr>
      <w:tr w14:paraId="122F9C54">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813ECE">
            <w:pPr>
              <w:widowControl/>
              <w:spacing w:line="240" w:lineRule="auto"/>
              <w:ind w:firstLine="0" w:firstLineChars="0"/>
              <w:jc w:val="center"/>
              <w:rPr>
                <w:rFonts w:cs="宋体"/>
                <w:color w:val="000000"/>
                <w:sz w:val="21"/>
                <w:szCs w:val="22"/>
              </w:rPr>
            </w:pPr>
          </w:p>
        </w:tc>
        <w:tc>
          <w:tcPr>
            <w:tcW w:w="41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8F00B">
            <w:pPr>
              <w:pStyle w:val="45"/>
              <w:bidi w:val="0"/>
            </w:pPr>
            <w:r>
              <w:rPr>
                <w:rFonts w:hint="eastAsia"/>
                <w:lang w:val="en-US" w:eastAsia="zh-CN"/>
              </w:rPr>
              <w:t>友爱村</w:t>
            </w:r>
          </w:p>
        </w:tc>
        <w:tc>
          <w:tcPr>
            <w:tcW w:w="13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4D542">
            <w:pPr>
              <w:pStyle w:val="45"/>
              <w:bidi w:val="0"/>
            </w:pPr>
            <w:r>
              <w:rPr>
                <w:rFonts w:hint="default"/>
                <w:lang w:val="en-US" w:eastAsia="zh-CN"/>
              </w:rPr>
              <w:t>0.05</w:t>
            </w:r>
          </w:p>
        </w:tc>
        <w:tc>
          <w:tcPr>
            <w:tcW w:w="19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F281F9">
            <w:pPr>
              <w:pStyle w:val="45"/>
              <w:bidi w:val="0"/>
            </w:pPr>
            <w:r>
              <w:rPr>
                <w:rFonts w:hint="default"/>
                <w:lang w:val="en-US" w:eastAsia="zh-CN"/>
              </w:rPr>
              <w:t>0.000452</w:t>
            </w:r>
          </w:p>
        </w:tc>
        <w:tc>
          <w:tcPr>
            <w:tcW w:w="18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DD54A">
            <w:pPr>
              <w:pStyle w:val="45"/>
              <w:bidi w:val="0"/>
            </w:pPr>
            <w:r>
              <w:rPr>
                <w:rFonts w:hint="default"/>
                <w:lang w:val="en-US" w:eastAsia="zh-CN"/>
              </w:rPr>
              <w:t>0.9</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698FE2">
            <w:pPr>
              <w:pStyle w:val="45"/>
              <w:bidi w:val="0"/>
            </w:pPr>
            <w:r>
              <w:rPr>
                <w:rFonts w:hint="eastAsia"/>
                <w:lang w:val="en-US" w:eastAsia="zh-CN"/>
              </w:rPr>
              <w:t>达标</w:t>
            </w:r>
          </w:p>
        </w:tc>
        <w:tc>
          <w:tcPr>
            <w:tcW w:w="20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6642C">
            <w:pPr>
              <w:pStyle w:val="45"/>
              <w:bidi w:val="0"/>
            </w:pPr>
            <w:r>
              <w:rPr>
                <w:rFonts w:hint="default"/>
                <w:lang w:val="en-US" w:eastAsia="zh-CN"/>
              </w:rPr>
              <w:t>22011708</w:t>
            </w:r>
          </w:p>
        </w:tc>
      </w:tr>
      <w:tr w14:paraId="55B8E7E1">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1CD2A5">
            <w:pPr>
              <w:widowControl/>
              <w:spacing w:line="240" w:lineRule="auto"/>
              <w:ind w:firstLine="0" w:firstLineChars="0"/>
              <w:jc w:val="center"/>
              <w:rPr>
                <w:rFonts w:cs="宋体"/>
                <w:color w:val="000000"/>
                <w:sz w:val="21"/>
                <w:szCs w:val="22"/>
              </w:rPr>
            </w:pPr>
          </w:p>
        </w:tc>
        <w:tc>
          <w:tcPr>
            <w:tcW w:w="41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FAD6D2">
            <w:pPr>
              <w:pStyle w:val="45"/>
              <w:bidi w:val="0"/>
            </w:pPr>
            <w:r>
              <w:rPr>
                <w:rFonts w:hint="eastAsia"/>
                <w:lang w:val="en-US" w:eastAsia="zh-CN"/>
              </w:rPr>
              <w:t>江霞村</w:t>
            </w:r>
          </w:p>
        </w:tc>
        <w:tc>
          <w:tcPr>
            <w:tcW w:w="13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7D427">
            <w:pPr>
              <w:pStyle w:val="45"/>
              <w:bidi w:val="0"/>
            </w:pPr>
            <w:r>
              <w:rPr>
                <w:rFonts w:hint="default"/>
                <w:lang w:val="en-US" w:eastAsia="zh-CN"/>
              </w:rPr>
              <w:t>0.05</w:t>
            </w:r>
          </w:p>
        </w:tc>
        <w:tc>
          <w:tcPr>
            <w:tcW w:w="19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681E4">
            <w:pPr>
              <w:pStyle w:val="45"/>
              <w:bidi w:val="0"/>
            </w:pPr>
            <w:r>
              <w:rPr>
                <w:rFonts w:hint="default"/>
                <w:lang w:val="en-US" w:eastAsia="zh-CN"/>
              </w:rPr>
              <w:t>0.000513</w:t>
            </w:r>
          </w:p>
        </w:tc>
        <w:tc>
          <w:tcPr>
            <w:tcW w:w="18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2CAB23">
            <w:pPr>
              <w:pStyle w:val="45"/>
              <w:bidi w:val="0"/>
            </w:pPr>
            <w:r>
              <w:rPr>
                <w:rFonts w:hint="default"/>
                <w:lang w:val="en-US" w:eastAsia="zh-CN"/>
              </w:rPr>
              <w:t>1.03</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A436C0">
            <w:pPr>
              <w:pStyle w:val="45"/>
              <w:bidi w:val="0"/>
            </w:pPr>
            <w:r>
              <w:rPr>
                <w:rFonts w:hint="eastAsia"/>
                <w:lang w:val="en-US" w:eastAsia="zh-CN"/>
              </w:rPr>
              <w:t>达标</w:t>
            </w:r>
          </w:p>
        </w:tc>
        <w:tc>
          <w:tcPr>
            <w:tcW w:w="20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0F1015">
            <w:pPr>
              <w:pStyle w:val="45"/>
              <w:bidi w:val="0"/>
            </w:pPr>
            <w:r>
              <w:rPr>
                <w:rFonts w:hint="default"/>
                <w:lang w:val="en-US" w:eastAsia="zh-CN"/>
              </w:rPr>
              <w:t>22102907</w:t>
            </w:r>
          </w:p>
        </w:tc>
      </w:tr>
      <w:tr w14:paraId="7A67F46A">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21D6BB">
            <w:pPr>
              <w:widowControl/>
              <w:spacing w:line="240" w:lineRule="auto"/>
              <w:ind w:firstLine="0" w:firstLineChars="0"/>
              <w:jc w:val="center"/>
              <w:rPr>
                <w:rFonts w:cs="宋体"/>
                <w:color w:val="000000"/>
                <w:sz w:val="21"/>
                <w:szCs w:val="22"/>
              </w:rPr>
            </w:pPr>
          </w:p>
        </w:tc>
        <w:tc>
          <w:tcPr>
            <w:tcW w:w="41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BF6C31">
            <w:pPr>
              <w:pStyle w:val="45"/>
              <w:bidi w:val="0"/>
            </w:pPr>
            <w:r>
              <w:rPr>
                <w:rFonts w:hint="eastAsia"/>
                <w:lang w:val="en-US" w:eastAsia="zh-CN"/>
              </w:rPr>
              <w:t>金兰村</w:t>
            </w:r>
          </w:p>
        </w:tc>
        <w:tc>
          <w:tcPr>
            <w:tcW w:w="13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F4B29F">
            <w:pPr>
              <w:pStyle w:val="45"/>
              <w:bidi w:val="0"/>
            </w:pPr>
            <w:r>
              <w:rPr>
                <w:rFonts w:hint="default"/>
                <w:lang w:val="en-US" w:eastAsia="zh-CN"/>
              </w:rPr>
              <w:t>0.05</w:t>
            </w:r>
          </w:p>
        </w:tc>
        <w:tc>
          <w:tcPr>
            <w:tcW w:w="19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C21C3">
            <w:pPr>
              <w:pStyle w:val="45"/>
              <w:bidi w:val="0"/>
            </w:pPr>
            <w:r>
              <w:rPr>
                <w:rFonts w:hint="default"/>
                <w:lang w:val="en-US" w:eastAsia="zh-CN"/>
              </w:rPr>
              <w:t>0.000507</w:t>
            </w:r>
          </w:p>
        </w:tc>
        <w:tc>
          <w:tcPr>
            <w:tcW w:w="18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C8F49">
            <w:pPr>
              <w:pStyle w:val="45"/>
              <w:bidi w:val="0"/>
            </w:pPr>
            <w:r>
              <w:rPr>
                <w:rFonts w:hint="default"/>
                <w:lang w:val="en-US" w:eastAsia="zh-CN"/>
              </w:rPr>
              <w:t>1.01</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00731A">
            <w:pPr>
              <w:pStyle w:val="45"/>
              <w:bidi w:val="0"/>
            </w:pPr>
            <w:r>
              <w:rPr>
                <w:rFonts w:hint="eastAsia"/>
                <w:lang w:val="en-US" w:eastAsia="zh-CN"/>
              </w:rPr>
              <w:t>达标</w:t>
            </w:r>
          </w:p>
        </w:tc>
        <w:tc>
          <w:tcPr>
            <w:tcW w:w="20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04F1C">
            <w:pPr>
              <w:pStyle w:val="45"/>
              <w:bidi w:val="0"/>
            </w:pPr>
            <w:r>
              <w:rPr>
                <w:rFonts w:hint="default"/>
                <w:lang w:val="en-US" w:eastAsia="zh-CN"/>
              </w:rPr>
              <w:t>22012803</w:t>
            </w:r>
          </w:p>
        </w:tc>
      </w:tr>
      <w:tr w14:paraId="2E52ABF3">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22BBA5">
            <w:pPr>
              <w:widowControl/>
              <w:spacing w:line="240" w:lineRule="auto"/>
              <w:ind w:firstLine="0" w:firstLineChars="0"/>
              <w:jc w:val="center"/>
              <w:rPr>
                <w:rFonts w:cs="宋体"/>
                <w:color w:val="000000"/>
                <w:sz w:val="21"/>
                <w:szCs w:val="22"/>
              </w:rPr>
            </w:pPr>
          </w:p>
        </w:tc>
        <w:tc>
          <w:tcPr>
            <w:tcW w:w="41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92BE3D">
            <w:pPr>
              <w:pStyle w:val="45"/>
              <w:bidi w:val="0"/>
            </w:pPr>
            <w:r>
              <w:rPr>
                <w:rFonts w:hint="eastAsia"/>
                <w:lang w:val="en-US" w:eastAsia="zh-CN"/>
              </w:rPr>
              <w:t>大昌村</w:t>
            </w:r>
          </w:p>
        </w:tc>
        <w:tc>
          <w:tcPr>
            <w:tcW w:w="13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F6DC3">
            <w:pPr>
              <w:pStyle w:val="45"/>
              <w:bidi w:val="0"/>
            </w:pPr>
            <w:r>
              <w:rPr>
                <w:rFonts w:hint="default"/>
                <w:lang w:val="en-US" w:eastAsia="zh-CN"/>
              </w:rPr>
              <w:t>0.05</w:t>
            </w:r>
          </w:p>
        </w:tc>
        <w:tc>
          <w:tcPr>
            <w:tcW w:w="19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3C731">
            <w:pPr>
              <w:pStyle w:val="45"/>
              <w:bidi w:val="0"/>
            </w:pPr>
            <w:r>
              <w:rPr>
                <w:rFonts w:hint="default"/>
                <w:lang w:val="en-US" w:eastAsia="zh-CN"/>
              </w:rPr>
              <w:t>0.000518</w:t>
            </w:r>
          </w:p>
        </w:tc>
        <w:tc>
          <w:tcPr>
            <w:tcW w:w="18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90E75">
            <w:pPr>
              <w:pStyle w:val="45"/>
              <w:bidi w:val="0"/>
            </w:pPr>
            <w:r>
              <w:rPr>
                <w:rFonts w:hint="default"/>
                <w:lang w:val="en-US" w:eastAsia="zh-CN"/>
              </w:rPr>
              <w:t>1.04</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3E3E25">
            <w:pPr>
              <w:pStyle w:val="45"/>
              <w:bidi w:val="0"/>
            </w:pPr>
            <w:r>
              <w:rPr>
                <w:rFonts w:hint="eastAsia"/>
                <w:lang w:val="en-US" w:eastAsia="zh-CN"/>
              </w:rPr>
              <w:t>达标</w:t>
            </w:r>
          </w:p>
        </w:tc>
        <w:tc>
          <w:tcPr>
            <w:tcW w:w="20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AC260">
            <w:pPr>
              <w:pStyle w:val="45"/>
              <w:bidi w:val="0"/>
            </w:pPr>
            <w:r>
              <w:rPr>
                <w:rFonts w:hint="default"/>
                <w:lang w:val="en-US" w:eastAsia="zh-CN"/>
              </w:rPr>
              <w:t>22030521</w:t>
            </w:r>
          </w:p>
        </w:tc>
      </w:tr>
      <w:tr w14:paraId="3F5E02F1">
        <w:tblPrEx>
          <w:tblCellMar>
            <w:top w:w="0" w:type="dxa"/>
            <w:left w:w="108" w:type="dxa"/>
            <w:bottom w:w="0" w:type="dxa"/>
            <w:right w:w="108" w:type="dxa"/>
          </w:tblCellMar>
        </w:tblPrEx>
        <w:trPr>
          <w:trHeight w:val="1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4C92FD">
            <w:pPr>
              <w:widowControl/>
              <w:spacing w:line="240" w:lineRule="auto"/>
              <w:ind w:firstLine="0" w:firstLineChars="0"/>
              <w:jc w:val="center"/>
              <w:rPr>
                <w:rFonts w:cs="宋体"/>
                <w:color w:val="000000"/>
                <w:sz w:val="21"/>
                <w:szCs w:val="22"/>
              </w:rPr>
            </w:pPr>
          </w:p>
        </w:tc>
        <w:tc>
          <w:tcPr>
            <w:tcW w:w="41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8E8BD">
            <w:pPr>
              <w:pStyle w:val="45"/>
              <w:bidi w:val="0"/>
              <w:rPr>
                <w:rFonts w:hint="eastAsia"/>
                <w:lang w:val="en-US" w:eastAsia="zh-CN"/>
              </w:rPr>
            </w:pPr>
            <w:r>
              <w:rPr>
                <w:rFonts w:hint="eastAsia"/>
                <w:lang w:val="en-US" w:eastAsia="zh-CN"/>
              </w:rPr>
              <w:t>区域最大落地浓度坐标（</w:t>
            </w:r>
            <w:r>
              <w:rPr>
                <w:rFonts w:hint="default"/>
                <w:lang w:val="en-US" w:eastAsia="zh-CN"/>
              </w:rPr>
              <w:t>-450,250</w:t>
            </w:r>
            <w:r>
              <w:rPr>
                <w:rFonts w:hint="eastAsia"/>
                <w:lang w:val="en-US" w:eastAsia="zh-CN"/>
              </w:rPr>
              <w:t>）</w:t>
            </w:r>
          </w:p>
          <w:p w14:paraId="0949B4CC">
            <w:pPr>
              <w:pStyle w:val="45"/>
              <w:bidi w:val="0"/>
            </w:pPr>
            <w:r>
              <w:rPr>
                <w:rFonts w:hint="eastAsia"/>
                <w:lang w:val="en-US" w:eastAsia="zh-CN"/>
              </w:rPr>
              <w:t>厂界外</w:t>
            </w:r>
          </w:p>
        </w:tc>
        <w:tc>
          <w:tcPr>
            <w:tcW w:w="13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51FEFA">
            <w:pPr>
              <w:pStyle w:val="45"/>
              <w:bidi w:val="0"/>
            </w:pPr>
            <w:r>
              <w:rPr>
                <w:rFonts w:hint="default"/>
                <w:lang w:val="en-US" w:eastAsia="zh-CN"/>
              </w:rPr>
              <w:t>0.05</w:t>
            </w:r>
          </w:p>
        </w:tc>
        <w:tc>
          <w:tcPr>
            <w:tcW w:w="19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3A8DA">
            <w:pPr>
              <w:pStyle w:val="45"/>
              <w:bidi w:val="0"/>
            </w:pPr>
            <w:r>
              <w:rPr>
                <w:rFonts w:hint="default"/>
                <w:lang w:val="en-US" w:eastAsia="zh-CN"/>
              </w:rPr>
              <w:t>0.010593</w:t>
            </w:r>
          </w:p>
        </w:tc>
        <w:tc>
          <w:tcPr>
            <w:tcW w:w="18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5751D">
            <w:pPr>
              <w:pStyle w:val="45"/>
              <w:bidi w:val="0"/>
            </w:pPr>
            <w:r>
              <w:rPr>
                <w:rFonts w:hint="default"/>
                <w:lang w:val="en-US" w:eastAsia="zh-CN"/>
              </w:rPr>
              <w:t>21.19</w:t>
            </w:r>
          </w:p>
        </w:tc>
        <w:tc>
          <w:tcPr>
            <w:tcW w:w="1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BD9297">
            <w:pPr>
              <w:pStyle w:val="45"/>
              <w:bidi w:val="0"/>
            </w:pPr>
            <w:r>
              <w:rPr>
                <w:rFonts w:hint="eastAsia"/>
                <w:lang w:val="en-US" w:eastAsia="zh-CN"/>
              </w:rPr>
              <w:t>达标</w:t>
            </w:r>
          </w:p>
        </w:tc>
        <w:tc>
          <w:tcPr>
            <w:tcW w:w="20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1706E">
            <w:pPr>
              <w:pStyle w:val="45"/>
              <w:bidi w:val="0"/>
            </w:pPr>
            <w:r>
              <w:rPr>
                <w:rFonts w:hint="default"/>
                <w:lang w:val="en-US" w:eastAsia="zh-CN"/>
              </w:rPr>
              <w:t>22031905</w:t>
            </w:r>
          </w:p>
        </w:tc>
      </w:tr>
    </w:tbl>
    <w:p w14:paraId="61093BEC">
      <w:pPr>
        <w:ind w:firstLine="0" w:firstLineChars="0"/>
        <w:rPr>
          <w:b/>
          <w:bCs/>
          <w:sz w:val="21"/>
          <w:szCs w:val="21"/>
        </w:rPr>
      </w:pPr>
      <w:r>
        <w:rPr>
          <w:rFonts w:hint="eastAsia"/>
          <w:b/>
          <w:bCs/>
          <w:sz w:val="21"/>
          <w:szCs w:val="21"/>
        </w:rPr>
        <w:t>注：</w:t>
      </w:r>
      <w:r>
        <w:rPr>
          <w:rFonts w:hint="eastAsia"/>
          <w:b/>
          <w:bCs/>
          <w:sz w:val="21"/>
          <w:szCs w:val="21"/>
          <w:lang w:val="en-US" w:eastAsia="zh-CN"/>
        </w:rPr>
        <w:t>TSP</w:t>
      </w:r>
      <w:r>
        <w:rPr>
          <w:b/>
          <w:bCs/>
          <w:sz w:val="21"/>
          <w:szCs w:val="21"/>
        </w:rPr>
        <w:t>小时值由日均值折算</w:t>
      </w:r>
      <w:r>
        <w:rPr>
          <w:rFonts w:hint="eastAsia"/>
          <w:b/>
          <w:bCs/>
          <w:sz w:val="21"/>
          <w:szCs w:val="21"/>
        </w:rPr>
        <w:t>。</w:t>
      </w:r>
    </w:p>
    <w:p w14:paraId="2A45F8C0">
      <w:pPr>
        <w:spacing w:line="240" w:lineRule="auto"/>
        <w:ind w:firstLine="0" w:firstLineChars="0"/>
        <w:rPr>
          <w:b/>
          <w:bCs/>
        </w:rPr>
      </w:pPr>
    </w:p>
    <w:p w14:paraId="01845D30">
      <w:pPr>
        <w:pStyle w:val="43"/>
        <w:numPr>
          <w:ilvl w:val="5"/>
          <w:numId w:val="1"/>
        </w:numPr>
        <w:rPr>
          <w:rFonts w:hint="default"/>
        </w:rPr>
      </w:pPr>
      <w:r>
        <w:rPr>
          <w:rFonts w:hint="default"/>
        </w:rPr>
        <w:t>正常排放下环境保护目标及网格点处</w:t>
      </w:r>
      <w:r>
        <w:t>日平均</w:t>
      </w:r>
      <w:r>
        <w:rPr>
          <w:rFonts w:hint="default"/>
        </w:rPr>
        <w:t>贡献质量浓度占标率（单位：mg/m³）</w:t>
      </w:r>
    </w:p>
    <w:tbl>
      <w:tblPr>
        <w:tblStyle w:val="32"/>
        <w:tblW w:w="4997" w:type="pct"/>
        <w:tblInd w:w="0" w:type="dxa"/>
        <w:tblLayout w:type="fixed"/>
        <w:tblCellMar>
          <w:top w:w="0" w:type="dxa"/>
          <w:left w:w="108" w:type="dxa"/>
          <w:bottom w:w="0" w:type="dxa"/>
          <w:right w:w="108" w:type="dxa"/>
        </w:tblCellMar>
      </w:tblPr>
      <w:tblGrid>
        <w:gridCol w:w="989"/>
        <w:gridCol w:w="3844"/>
        <w:gridCol w:w="1429"/>
        <w:gridCol w:w="1973"/>
        <w:gridCol w:w="1987"/>
        <w:gridCol w:w="1908"/>
        <w:gridCol w:w="2035"/>
      </w:tblGrid>
      <w:tr w14:paraId="14590849">
        <w:tblPrEx>
          <w:tblCellMar>
            <w:top w:w="0" w:type="dxa"/>
            <w:left w:w="108" w:type="dxa"/>
            <w:bottom w:w="0" w:type="dxa"/>
            <w:right w:w="108" w:type="dxa"/>
          </w:tblCellMar>
        </w:tblPrEx>
        <w:trPr>
          <w:trHeight w:val="170" w:hRule="atLeast"/>
          <w:tblHeader/>
        </w:trPr>
        <w:tc>
          <w:tcPr>
            <w:tcW w:w="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642C8D">
            <w:pPr>
              <w:widowControl/>
              <w:spacing w:line="240" w:lineRule="auto"/>
              <w:ind w:firstLine="0" w:firstLineChars="0"/>
              <w:jc w:val="center"/>
              <w:textAlignment w:val="center"/>
              <w:rPr>
                <w:rFonts w:cs="宋体"/>
                <w:b/>
                <w:bCs/>
                <w:color w:val="000000"/>
                <w:sz w:val="21"/>
                <w:szCs w:val="22"/>
              </w:rPr>
            </w:pPr>
            <w:r>
              <w:rPr>
                <w:rFonts w:hint="eastAsia" w:cs="宋体"/>
                <w:b/>
                <w:bCs/>
                <w:color w:val="000000"/>
                <w:kern w:val="0"/>
                <w:sz w:val="21"/>
                <w:szCs w:val="22"/>
              </w:rPr>
              <w:t>评价因子</w:t>
            </w:r>
          </w:p>
        </w:tc>
        <w:tc>
          <w:tcPr>
            <w:tcW w:w="13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457134">
            <w:pPr>
              <w:widowControl/>
              <w:spacing w:line="240" w:lineRule="auto"/>
              <w:ind w:firstLine="0" w:firstLineChars="0"/>
              <w:jc w:val="center"/>
              <w:textAlignment w:val="center"/>
              <w:rPr>
                <w:rFonts w:cs="宋体"/>
                <w:b/>
                <w:bCs/>
                <w:color w:val="000000"/>
                <w:sz w:val="21"/>
                <w:szCs w:val="22"/>
              </w:rPr>
            </w:pPr>
            <w:r>
              <w:rPr>
                <w:rFonts w:hint="eastAsia" w:cs="宋体"/>
                <w:b/>
                <w:bCs/>
                <w:color w:val="000000"/>
                <w:kern w:val="0"/>
                <w:sz w:val="21"/>
                <w:szCs w:val="22"/>
              </w:rPr>
              <w:t>环境空气保护目标</w:t>
            </w:r>
          </w:p>
        </w:tc>
        <w:tc>
          <w:tcPr>
            <w:tcW w:w="5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89074B">
            <w:pPr>
              <w:widowControl/>
              <w:spacing w:line="240" w:lineRule="auto"/>
              <w:ind w:firstLine="0" w:firstLineChars="0"/>
              <w:jc w:val="center"/>
              <w:textAlignment w:val="center"/>
              <w:rPr>
                <w:rFonts w:cs="宋体"/>
                <w:b/>
                <w:bCs/>
                <w:color w:val="000000"/>
                <w:sz w:val="21"/>
                <w:szCs w:val="22"/>
              </w:rPr>
            </w:pPr>
            <w:r>
              <w:rPr>
                <w:rFonts w:hint="eastAsia" w:cs="宋体"/>
                <w:b/>
                <w:bCs/>
                <w:color w:val="000000"/>
                <w:kern w:val="0"/>
                <w:sz w:val="21"/>
                <w:szCs w:val="22"/>
              </w:rPr>
              <w:t>评价标准mg/m</w:t>
            </w:r>
            <w:r>
              <w:rPr>
                <w:rFonts w:hint="eastAsia" w:cs="宋体"/>
                <w:b/>
                <w:bCs/>
                <w:color w:val="000000"/>
                <w:kern w:val="0"/>
                <w:sz w:val="21"/>
                <w:szCs w:val="22"/>
                <w:vertAlign w:val="superscript"/>
              </w:rPr>
              <w:t>3</w:t>
            </w:r>
          </w:p>
        </w:tc>
        <w:tc>
          <w:tcPr>
            <w:tcW w:w="6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47EEE1">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最大浓度贡献值</w:t>
            </w:r>
            <w:r>
              <w:rPr>
                <w:rFonts w:cs="Times New Roman"/>
                <w:b/>
                <w:bCs/>
                <w:color w:val="000000"/>
                <w:kern w:val="0"/>
                <w:sz w:val="21"/>
                <w:szCs w:val="21"/>
              </w:rPr>
              <w:t xml:space="preserve"> mg/m</w:t>
            </w:r>
            <w:r>
              <w:rPr>
                <w:rFonts w:cs="Times New Roman"/>
                <w:b/>
                <w:bCs/>
                <w:color w:val="000000"/>
                <w:kern w:val="0"/>
                <w:sz w:val="21"/>
                <w:szCs w:val="21"/>
                <w:vertAlign w:val="superscript"/>
              </w:rPr>
              <w:t>3</w:t>
            </w:r>
          </w:p>
        </w:tc>
        <w:tc>
          <w:tcPr>
            <w:tcW w:w="7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A4EFDE">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最大浓度贡献值占标率</w:t>
            </w:r>
            <w:r>
              <w:rPr>
                <w:rFonts w:cs="Times New Roman"/>
                <w:b/>
                <w:bCs/>
                <w:color w:val="000000"/>
                <w:kern w:val="0"/>
                <w:sz w:val="21"/>
                <w:szCs w:val="21"/>
              </w:rPr>
              <w:t>%</w:t>
            </w:r>
          </w:p>
        </w:tc>
        <w:tc>
          <w:tcPr>
            <w:tcW w:w="6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82B360">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最大浓度贡献值达标情况</w:t>
            </w:r>
          </w:p>
        </w:tc>
        <w:tc>
          <w:tcPr>
            <w:tcW w:w="7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EFF6CD">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最大浓度贡献值出现时间</w:t>
            </w:r>
          </w:p>
        </w:tc>
      </w:tr>
      <w:tr w14:paraId="275D584A">
        <w:tblPrEx>
          <w:tblCellMar>
            <w:top w:w="0" w:type="dxa"/>
            <w:left w:w="108" w:type="dxa"/>
            <w:bottom w:w="0" w:type="dxa"/>
            <w:right w:w="108" w:type="dxa"/>
          </w:tblCellMar>
        </w:tblPrEx>
        <w:trPr>
          <w:trHeight w:val="170" w:hRule="atLeast"/>
        </w:trPr>
        <w:tc>
          <w:tcPr>
            <w:tcW w:w="34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4674613">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颗粒物（</w:t>
            </w:r>
            <w:r>
              <w:rPr>
                <w:rFonts w:hint="eastAsia" w:cs="Times New Roman"/>
                <w:color w:val="000000"/>
                <w:sz w:val="21"/>
                <w:szCs w:val="21"/>
                <w:lang w:val="en-US" w:eastAsia="zh-CN"/>
              </w:rPr>
              <w:t>TSP</w:t>
            </w:r>
            <w:r>
              <w:rPr>
                <w:rFonts w:hint="eastAsia" w:cs="宋体"/>
                <w:color w:val="000000"/>
                <w:kern w:val="0"/>
                <w:sz w:val="21"/>
                <w:szCs w:val="22"/>
              </w:rPr>
              <w:t>）</w:t>
            </w: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778D9B">
            <w:pPr>
              <w:pStyle w:val="45"/>
              <w:bidi w:val="0"/>
            </w:pPr>
            <w:r>
              <w:rPr>
                <w:rFonts w:hint="eastAsia"/>
                <w:lang w:val="en-US" w:eastAsia="zh-CN"/>
              </w:rPr>
              <w:t>新安村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2F058">
            <w:pPr>
              <w:pStyle w:val="45"/>
              <w:bidi w:val="0"/>
              <w:rPr>
                <w:rFonts w:hint="default"/>
              </w:rPr>
            </w:pPr>
            <w:r>
              <w:rPr>
                <w:rFonts w:hint="default"/>
                <w:lang w:val="en-US" w:eastAsia="zh-CN"/>
              </w:rPr>
              <w:t>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E2714">
            <w:pPr>
              <w:pStyle w:val="45"/>
              <w:bidi w:val="0"/>
            </w:pPr>
            <w:r>
              <w:rPr>
                <w:rFonts w:hint="default"/>
                <w:lang w:val="en-US" w:eastAsia="zh-CN"/>
              </w:rPr>
              <w:t>0.003294</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F37D8">
            <w:pPr>
              <w:pStyle w:val="45"/>
              <w:bidi w:val="0"/>
              <w:rPr>
                <w:rFonts w:hint="default"/>
              </w:rPr>
            </w:pPr>
            <w:r>
              <w:rPr>
                <w:rFonts w:hint="default"/>
                <w:lang w:val="en-US" w:eastAsia="zh-CN"/>
              </w:rPr>
              <w:t>1.1</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4C256C">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0028A">
            <w:pPr>
              <w:pStyle w:val="45"/>
              <w:bidi w:val="0"/>
            </w:pPr>
            <w:r>
              <w:rPr>
                <w:rFonts w:hint="default"/>
                <w:lang w:val="en-US" w:eastAsia="zh-CN"/>
              </w:rPr>
              <w:t>220213</w:t>
            </w:r>
          </w:p>
        </w:tc>
      </w:tr>
      <w:tr w14:paraId="28CC8329">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506DD9">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80E08C">
            <w:pPr>
              <w:pStyle w:val="45"/>
              <w:bidi w:val="0"/>
            </w:pPr>
            <w:r>
              <w:rPr>
                <w:rFonts w:hint="eastAsia"/>
                <w:lang w:val="en-US" w:eastAsia="zh-CN"/>
              </w:rPr>
              <w:t>松木村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2B968F">
            <w:pPr>
              <w:pStyle w:val="45"/>
              <w:bidi w:val="0"/>
              <w:rPr>
                <w:rFonts w:hint="default"/>
              </w:rPr>
            </w:pPr>
            <w:r>
              <w:rPr>
                <w:rFonts w:hint="default"/>
                <w:lang w:val="en-US" w:eastAsia="zh-CN"/>
              </w:rPr>
              <w:t>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2FFF2">
            <w:pPr>
              <w:pStyle w:val="45"/>
              <w:bidi w:val="0"/>
            </w:pPr>
            <w:r>
              <w:rPr>
                <w:rFonts w:hint="default"/>
                <w:lang w:val="en-US" w:eastAsia="zh-CN"/>
              </w:rPr>
              <w:t>0.000509</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C0B104">
            <w:pPr>
              <w:pStyle w:val="45"/>
              <w:bidi w:val="0"/>
              <w:rPr>
                <w:rFonts w:hint="default"/>
              </w:rPr>
            </w:pPr>
            <w:r>
              <w:rPr>
                <w:rFonts w:hint="default"/>
                <w:lang w:val="en-US" w:eastAsia="zh-CN"/>
              </w:rPr>
              <w:t>0.17</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C16B13">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188EC">
            <w:pPr>
              <w:pStyle w:val="45"/>
              <w:bidi w:val="0"/>
            </w:pPr>
            <w:r>
              <w:rPr>
                <w:rFonts w:hint="default"/>
                <w:lang w:val="en-US" w:eastAsia="zh-CN"/>
              </w:rPr>
              <w:t>220525</w:t>
            </w:r>
          </w:p>
        </w:tc>
      </w:tr>
      <w:tr w14:paraId="3F6DF24E">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CD1639">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4AF932">
            <w:pPr>
              <w:pStyle w:val="45"/>
              <w:bidi w:val="0"/>
            </w:pPr>
            <w:r>
              <w:rPr>
                <w:rFonts w:hint="eastAsia"/>
                <w:lang w:val="en-US" w:eastAsia="zh-CN"/>
              </w:rPr>
              <w:t>金源小学</w:t>
            </w:r>
          </w:p>
        </w:tc>
        <w:tc>
          <w:tcPr>
            <w:tcW w:w="14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A6C885">
            <w:pPr>
              <w:pStyle w:val="45"/>
              <w:bidi w:val="0"/>
              <w:rPr>
                <w:rFonts w:hint="default"/>
              </w:rPr>
            </w:pPr>
            <w:r>
              <w:rPr>
                <w:rFonts w:hint="default"/>
                <w:lang w:val="en-US" w:eastAsia="zh-CN"/>
              </w:rPr>
              <w:t>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B6755">
            <w:pPr>
              <w:pStyle w:val="45"/>
              <w:bidi w:val="0"/>
            </w:pPr>
            <w:r>
              <w:rPr>
                <w:rFonts w:hint="default"/>
                <w:lang w:val="en-US" w:eastAsia="zh-CN"/>
              </w:rPr>
              <w:t>0.000537</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5F004">
            <w:pPr>
              <w:pStyle w:val="45"/>
              <w:bidi w:val="0"/>
              <w:rPr>
                <w:rFonts w:hint="default"/>
              </w:rPr>
            </w:pPr>
            <w:r>
              <w:rPr>
                <w:rFonts w:hint="default"/>
                <w:lang w:val="en-US" w:eastAsia="zh-CN"/>
              </w:rPr>
              <w:t>0.18</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DD192F">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1901AA">
            <w:pPr>
              <w:pStyle w:val="45"/>
              <w:bidi w:val="0"/>
            </w:pPr>
            <w:r>
              <w:rPr>
                <w:rFonts w:hint="default"/>
                <w:lang w:val="en-US" w:eastAsia="zh-CN"/>
              </w:rPr>
              <w:t>220102</w:t>
            </w:r>
          </w:p>
        </w:tc>
      </w:tr>
      <w:tr w14:paraId="0EB9E86D">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684855">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F3E52A">
            <w:pPr>
              <w:pStyle w:val="45"/>
              <w:bidi w:val="0"/>
            </w:pPr>
            <w:r>
              <w:rPr>
                <w:rFonts w:hint="eastAsia"/>
                <w:lang w:val="en-US" w:eastAsia="zh-CN"/>
              </w:rPr>
              <w:t>金源社区安置房</w:t>
            </w:r>
            <w:r>
              <w:rPr>
                <w:rFonts w:hint="default"/>
                <w:lang w:val="en-US" w:eastAsia="zh-CN"/>
              </w:rPr>
              <w:t>2</w:t>
            </w:r>
          </w:p>
        </w:tc>
        <w:tc>
          <w:tcPr>
            <w:tcW w:w="14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DEA841">
            <w:pPr>
              <w:pStyle w:val="45"/>
              <w:bidi w:val="0"/>
              <w:rPr>
                <w:rFonts w:hint="default"/>
              </w:rPr>
            </w:pPr>
            <w:r>
              <w:rPr>
                <w:rFonts w:hint="default"/>
                <w:lang w:val="en-US" w:eastAsia="zh-CN"/>
              </w:rPr>
              <w:t>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983BC">
            <w:pPr>
              <w:pStyle w:val="45"/>
              <w:bidi w:val="0"/>
            </w:pPr>
            <w:r>
              <w:rPr>
                <w:rFonts w:hint="default"/>
                <w:lang w:val="en-US" w:eastAsia="zh-CN"/>
              </w:rPr>
              <w:t>0.003011</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4711C">
            <w:pPr>
              <w:pStyle w:val="45"/>
              <w:bidi w:val="0"/>
              <w:rPr>
                <w:rFonts w:hint="default"/>
              </w:rPr>
            </w:pPr>
            <w:r>
              <w:rPr>
                <w:rFonts w:hint="default"/>
                <w:lang w:val="en-US" w:eastAsia="zh-CN"/>
              </w:rPr>
              <w:t>1</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8ADB03">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6FAD5">
            <w:pPr>
              <w:pStyle w:val="45"/>
              <w:bidi w:val="0"/>
            </w:pPr>
            <w:r>
              <w:rPr>
                <w:rFonts w:hint="default"/>
                <w:lang w:val="en-US" w:eastAsia="zh-CN"/>
              </w:rPr>
              <w:t>220525</w:t>
            </w:r>
          </w:p>
        </w:tc>
      </w:tr>
      <w:tr w14:paraId="3F642510">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01725F">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121BD4">
            <w:pPr>
              <w:pStyle w:val="45"/>
              <w:bidi w:val="0"/>
            </w:pPr>
            <w:r>
              <w:rPr>
                <w:rFonts w:hint="eastAsia"/>
                <w:lang w:val="en-US" w:eastAsia="zh-CN"/>
              </w:rPr>
              <w:t>金源社区医院</w:t>
            </w:r>
          </w:p>
        </w:tc>
        <w:tc>
          <w:tcPr>
            <w:tcW w:w="14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F791FA">
            <w:pPr>
              <w:pStyle w:val="45"/>
              <w:bidi w:val="0"/>
              <w:rPr>
                <w:rFonts w:hint="default"/>
              </w:rPr>
            </w:pPr>
            <w:r>
              <w:rPr>
                <w:rFonts w:hint="default"/>
                <w:lang w:val="en-US" w:eastAsia="zh-CN"/>
              </w:rPr>
              <w:t>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EB0B1">
            <w:pPr>
              <w:pStyle w:val="45"/>
              <w:bidi w:val="0"/>
            </w:pPr>
            <w:r>
              <w:rPr>
                <w:rFonts w:hint="default"/>
                <w:lang w:val="en-US" w:eastAsia="zh-CN"/>
              </w:rPr>
              <w:t>0.003142</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37B135">
            <w:pPr>
              <w:pStyle w:val="45"/>
              <w:bidi w:val="0"/>
              <w:rPr>
                <w:rFonts w:hint="default"/>
              </w:rPr>
            </w:pPr>
            <w:r>
              <w:rPr>
                <w:rFonts w:hint="default"/>
                <w:lang w:val="en-US" w:eastAsia="zh-CN"/>
              </w:rPr>
              <w:t>1.05</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3EB8B4">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BABAB">
            <w:pPr>
              <w:pStyle w:val="45"/>
              <w:bidi w:val="0"/>
            </w:pPr>
            <w:r>
              <w:rPr>
                <w:rFonts w:hint="default"/>
                <w:lang w:val="en-US" w:eastAsia="zh-CN"/>
              </w:rPr>
              <w:t>220525</w:t>
            </w:r>
          </w:p>
        </w:tc>
      </w:tr>
      <w:tr w14:paraId="319C396B">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424D21">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F41970">
            <w:pPr>
              <w:pStyle w:val="45"/>
              <w:bidi w:val="0"/>
            </w:pPr>
            <w:r>
              <w:rPr>
                <w:rFonts w:hint="eastAsia"/>
                <w:lang w:val="en-US" w:eastAsia="zh-CN"/>
              </w:rPr>
              <w:t>金源社区安置房</w:t>
            </w:r>
          </w:p>
        </w:tc>
        <w:tc>
          <w:tcPr>
            <w:tcW w:w="14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73D7BB">
            <w:pPr>
              <w:pStyle w:val="45"/>
              <w:bidi w:val="0"/>
              <w:rPr>
                <w:rFonts w:hint="default"/>
              </w:rPr>
            </w:pPr>
            <w:r>
              <w:rPr>
                <w:rFonts w:hint="default"/>
                <w:lang w:val="en-US" w:eastAsia="zh-CN"/>
              </w:rPr>
              <w:t>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025EAB">
            <w:pPr>
              <w:pStyle w:val="45"/>
              <w:bidi w:val="0"/>
            </w:pPr>
            <w:r>
              <w:rPr>
                <w:rFonts w:hint="default"/>
                <w:lang w:val="en-US" w:eastAsia="zh-CN"/>
              </w:rPr>
              <w:t>0.000286</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4C1B8">
            <w:pPr>
              <w:pStyle w:val="45"/>
              <w:bidi w:val="0"/>
              <w:rPr>
                <w:rFonts w:hint="default"/>
              </w:rPr>
            </w:pPr>
            <w:r>
              <w:rPr>
                <w:rFonts w:hint="default"/>
                <w:lang w:val="en-US" w:eastAsia="zh-CN"/>
              </w:rPr>
              <w:t>0.1</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C819B9">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A7133">
            <w:pPr>
              <w:pStyle w:val="45"/>
              <w:bidi w:val="0"/>
            </w:pPr>
            <w:r>
              <w:rPr>
                <w:rFonts w:hint="default"/>
                <w:lang w:val="en-US" w:eastAsia="zh-CN"/>
              </w:rPr>
              <w:t>220328</w:t>
            </w:r>
          </w:p>
        </w:tc>
      </w:tr>
      <w:tr w14:paraId="12EDC97B">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957D81">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349352">
            <w:pPr>
              <w:pStyle w:val="45"/>
              <w:bidi w:val="0"/>
            </w:pPr>
            <w:r>
              <w:rPr>
                <w:rFonts w:hint="eastAsia"/>
                <w:lang w:val="en-US" w:eastAsia="zh-CN"/>
              </w:rPr>
              <w:t>湖南工商职业学院</w:t>
            </w:r>
          </w:p>
        </w:tc>
        <w:tc>
          <w:tcPr>
            <w:tcW w:w="14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579A86">
            <w:pPr>
              <w:pStyle w:val="45"/>
              <w:bidi w:val="0"/>
              <w:rPr>
                <w:rFonts w:hint="default"/>
              </w:rPr>
            </w:pPr>
            <w:r>
              <w:rPr>
                <w:rFonts w:hint="default"/>
                <w:lang w:val="en-US" w:eastAsia="zh-CN"/>
              </w:rPr>
              <w:t>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606FC">
            <w:pPr>
              <w:pStyle w:val="45"/>
              <w:bidi w:val="0"/>
            </w:pPr>
            <w:r>
              <w:rPr>
                <w:rFonts w:hint="default"/>
                <w:lang w:val="en-US" w:eastAsia="zh-CN"/>
              </w:rPr>
              <w:t>0.000321</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0B20C">
            <w:pPr>
              <w:pStyle w:val="45"/>
              <w:bidi w:val="0"/>
              <w:rPr>
                <w:rFonts w:hint="default"/>
              </w:rPr>
            </w:pPr>
            <w:r>
              <w:rPr>
                <w:rFonts w:hint="default"/>
                <w:lang w:val="en-US" w:eastAsia="zh-CN"/>
              </w:rPr>
              <w:t>0.11</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7146A4">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60846">
            <w:pPr>
              <w:pStyle w:val="45"/>
              <w:bidi w:val="0"/>
            </w:pPr>
            <w:r>
              <w:rPr>
                <w:rFonts w:hint="default"/>
                <w:lang w:val="en-US" w:eastAsia="zh-CN"/>
              </w:rPr>
              <w:t>220312</w:t>
            </w:r>
          </w:p>
        </w:tc>
      </w:tr>
      <w:tr w14:paraId="3A804ADC">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1BDB00">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701D14">
            <w:pPr>
              <w:pStyle w:val="45"/>
              <w:bidi w:val="0"/>
            </w:pPr>
            <w:r>
              <w:rPr>
                <w:rFonts w:hint="eastAsia"/>
                <w:lang w:val="en-US" w:eastAsia="zh-CN"/>
              </w:rPr>
              <w:t>园区管委会</w:t>
            </w:r>
          </w:p>
        </w:tc>
        <w:tc>
          <w:tcPr>
            <w:tcW w:w="14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253BD0">
            <w:pPr>
              <w:pStyle w:val="45"/>
              <w:bidi w:val="0"/>
              <w:rPr>
                <w:rFonts w:hint="default"/>
              </w:rPr>
            </w:pPr>
            <w:r>
              <w:rPr>
                <w:rFonts w:hint="default"/>
                <w:lang w:val="en-US" w:eastAsia="zh-CN"/>
              </w:rPr>
              <w:t>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E8903">
            <w:pPr>
              <w:pStyle w:val="45"/>
              <w:bidi w:val="0"/>
            </w:pPr>
            <w:r>
              <w:rPr>
                <w:rFonts w:hint="default"/>
                <w:lang w:val="en-US" w:eastAsia="zh-CN"/>
              </w:rPr>
              <w:t>0.001285</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609D6">
            <w:pPr>
              <w:pStyle w:val="45"/>
              <w:bidi w:val="0"/>
              <w:rPr>
                <w:rFonts w:hint="default"/>
              </w:rPr>
            </w:pPr>
            <w:r>
              <w:rPr>
                <w:rFonts w:hint="default"/>
                <w:lang w:val="en-US" w:eastAsia="zh-CN"/>
              </w:rPr>
              <w:t>0.43</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2FF874">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3ADAA">
            <w:pPr>
              <w:pStyle w:val="45"/>
              <w:bidi w:val="0"/>
            </w:pPr>
            <w:r>
              <w:rPr>
                <w:rFonts w:hint="default"/>
                <w:lang w:val="en-US" w:eastAsia="zh-CN"/>
              </w:rPr>
              <w:t>220409</w:t>
            </w:r>
          </w:p>
        </w:tc>
      </w:tr>
      <w:tr w14:paraId="4A251E6D">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33F551">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4B39A1">
            <w:pPr>
              <w:pStyle w:val="45"/>
              <w:bidi w:val="0"/>
            </w:pPr>
            <w:r>
              <w:rPr>
                <w:rFonts w:hint="eastAsia"/>
                <w:lang w:val="en-US" w:eastAsia="zh-CN"/>
              </w:rPr>
              <w:t>松木中学</w:t>
            </w:r>
          </w:p>
        </w:tc>
        <w:tc>
          <w:tcPr>
            <w:tcW w:w="14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3BBF21">
            <w:pPr>
              <w:pStyle w:val="45"/>
              <w:bidi w:val="0"/>
              <w:rPr>
                <w:rFonts w:hint="default"/>
              </w:rPr>
            </w:pPr>
            <w:r>
              <w:rPr>
                <w:rFonts w:hint="default"/>
                <w:lang w:val="en-US" w:eastAsia="zh-CN"/>
              </w:rPr>
              <w:t>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B212C7">
            <w:pPr>
              <w:pStyle w:val="45"/>
              <w:bidi w:val="0"/>
            </w:pPr>
            <w:r>
              <w:rPr>
                <w:rFonts w:hint="default"/>
                <w:lang w:val="en-US" w:eastAsia="zh-CN"/>
              </w:rPr>
              <w:t>0.000496</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DF921">
            <w:pPr>
              <w:pStyle w:val="45"/>
              <w:bidi w:val="0"/>
              <w:rPr>
                <w:rFonts w:hint="default"/>
              </w:rPr>
            </w:pPr>
            <w:r>
              <w:rPr>
                <w:rFonts w:hint="default"/>
                <w:lang w:val="en-US" w:eastAsia="zh-CN"/>
              </w:rPr>
              <w:t>0.17</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4C7715">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71E18A">
            <w:pPr>
              <w:pStyle w:val="45"/>
              <w:bidi w:val="0"/>
            </w:pPr>
            <w:r>
              <w:rPr>
                <w:rFonts w:hint="default"/>
                <w:lang w:val="en-US" w:eastAsia="zh-CN"/>
              </w:rPr>
              <w:t>220312</w:t>
            </w:r>
          </w:p>
        </w:tc>
      </w:tr>
      <w:tr w14:paraId="20201D14">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22805F">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45FB08">
            <w:pPr>
              <w:pStyle w:val="45"/>
              <w:bidi w:val="0"/>
            </w:pPr>
            <w:r>
              <w:rPr>
                <w:rFonts w:hint="eastAsia"/>
                <w:lang w:val="en-US" w:eastAsia="zh-CN"/>
              </w:rPr>
              <w:t>松木村</w:t>
            </w:r>
            <w:r>
              <w:rPr>
                <w:rFonts w:hint="default"/>
                <w:lang w:val="en-US" w:eastAsia="zh-CN"/>
              </w:rPr>
              <w:t>2</w:t>
            </w:r>
          </w:p>
        </w:tc>
        <w:tc>
          <w:tcPr>
            <w:tcW w:w="14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98D03C">
            <w:pPr>
              <w:pStyle w:val="45"/>
              <w:bidi w:val="0"/>
              <w:rPr>
                <w:rFonts w:hint="default"/>
              </w:rPr>
            </w:pPr>
            <w:r>
              <w:rPr>
                <w:rFonts w:hint="default"/>
                <w:lang w:val="en-US" w:eastAsia="zh-CN"/>
              </w:rPr>
              <w:t>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185E7">
            <w:pPr>
              <w:pStyle w:val="45"/>
              <w:bidi w:val="0"/>
            </w:pPr>
            <w:r>
              <w:rPr>
                <w:rFonts w:hint="default"/>
                <w:lang w:val="en-US" w:eastAsia="zh-CN"/>
              </w:rPr>
              <w:t>0.000663</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1C74C">
            <w:pPr>
              <w:pStyle w:val="45"/>
              <w:bidi w:val="0"/>
              <w:rPr>
                <w:rFonts w:hint="default"/>
              </w:rPr>
            </w:pPr>
            <w:r>
              <w:rPr>
                <w:rFonts w:hint="default"/>
                <w:lang w:val="en-US" w:eastAsia="zh-CN"/>
              </w:rPr>
              <w:t>0.22</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B8B9A2">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B5987">
            <w:pPr>
              <w:pStyle w:val="45"/>
              <w:bidi w:val="0"/>
            </w:pPr>
            <w:r>
              <w:rPr>
                <w:rFonts w:hint="default"/>
                <w:lang w:val="en-US" w:eastAsia="zh-CN"/>
              </w:rPr>
              <w:t>220409</w:t>
            </w:r>
          </w:p>
        </w:tc>
      </w:tr>
      <w:tr w14:paraId="106F2AC8">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6353B4">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3A71CC">
            <w:pPr>
              <w:pStyle w:val="45"/>
              <w:bidi w:val="0"/>
            </w:pPr>
            <w:r>
              <w:rPr>
                <w:rFonts w:hint="eastAsia"/>
                <w:lang w:val="en-US" w:eastAsia="zh-CN"/>
              </w:rPr>
              <w:t>园区安置房</w:t>
            </w:r>
          </w:p>
        </w:tc>
        <w:tc>
          <w:tcPr>
            <w:tcW w:w="14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A54ADA">
            <w:pPr>
              <w:pStyle w:val="45"/>
              <w:bidi w:val="0"/>
              <w:rPr>
                <w:rFonts w:hint="default"/>
              </w:rPr>
            </w:pPr>
            <w:r>
              <w:rPr>
                <w:rFonts w:hint="default"/>
                <w:lang w:val="en-US" w:eastAsia="zh-CN"/>
              </w:rPr>
              <w:t>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A64B6">
            <w:pPr>
              <w:pStyle w:val="45"/>
              <w:bidi w:val="0"/>
            </w:pPr>
            <w:r>
              <w:rPr>
                <w:rFonts w:hint="default"/>
                <w:lang w:val="en-US" w:eastAsia="zh-CN"/>
              </w:rPr>
              <w:t>0.000626</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EF6FBD">
            <w:pPr>
              <w:pStyle w:val="45"/>
              <w:bidi w:val="0"/>
              <w:rPr>
                <w:rFonts w:hint="default"/>
              </w:rPr>
            </w:pPr>
            <w:r>
              <w:rPr>
                <w:rFonts w:hint="default"/>
                <w:lang w:val="en-US" w:eastAsia="zh-CN"/>
              </w:rPr>
              <w:t>0.21</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719219">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58F79">
            <w:pPr>
              <w:pStyle w:val="45"/>
              <w:bidi w:val="0"/>
            </w:pPr>
            <w:r>
              <w:rPr>
                <w:rFonts w:hint="default"/>
                <w:lang w:val="en-US" w:eastAsia="zh-CN"/>
              </w:rPr>
              <w:t>220409</w:t>
            </w:r>
          </w:p>
        </w:tc>
      </w:tr>
      <w:tr w14:paraId="2730D13D">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AD1DFE">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691FA9">
            <w:pPr>
              <w:pStyle w:val="45"/>
              <w:bidi w:val="0"/>
            </w:pPr>
            <w:r>
              <w:rPr>
                <w:rFonts w:hint="eastAsia"/>
                <w:lang w:val="en-US" w:eastAsia="zh-CN"/>
              </w:rPr>
              <w:t>友谊村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475A51">
            <w:pPr>
              <w:pStyle w:val="45"/>
              <w:bidi w:val="0"/>
              <w:rPr>
                <w:rFonts w:hint="default"/>
              </w:rPr>
            </w:pPr>
            <w:r>
              <w:rPr>
                <w:rFonts w:hint="default"/>
                <w:lang w:val="en-US" w:eastAsia="zh-CN"/>
              </w:rPr>
              <w:t>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8D8E01">
            <w:pPr>
              <w:pStyle w:val="45"/>
              <w:bidi w:val="0"/>
            </w:pPr>
            <w:r>
              <w:rPr>
                <w:rFonts w:hint="default"/>
                <w:lang w:val="en-US" w:eastAsia="zh-CN"/>
              </w:rPr>
              <w:t>0.008545</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BB3D53">
            <w:pPr>
              <w:pStyle w:val="45"/>
              <w:bidi w:val="0"/>
              <w:rPr>
                <w:rFonts w:hint="default"/>
              </w:rPr>
            </w:pPr>
            <w:r>
              <w:rPr>
                <w:rFonts w:hint="default"/>
                <w:lang w:val="en-US" w:eastAsia="zh-CN"/>
              </w:rPr>
              <w:t>2.85</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37A744">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120E9">
            <w:pPr>
              <w:pStyle w:val="45"/>
              <w:bidi w:val="0"/>
            </w:pPr>
            <w:r>
              <w:rPr>
                <w:rFonts w:hint="default"/>
                <w:lang w:val="en-US" w:eastAsia="zh-CN"/>
              </w:rPr>
              <w:t>220930</w:t>
            </w:r>
          </w:p>
        </w:tc>
      </w:tr>
      <w:tr w14:paraId="781A623A">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362318">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B75733">
            <w:pPr>
              <w:pStyle w:val="45"/>
              <w:bidi w:val="0"/>
            </w:pPr>
            <w:r>
              <w:rPr>
                <w:rFonts w:hint="eastAsia"/>
                <w:lang w:val="en-US" w:eastAsia="zh-CN"/>
              </w:rPr>
              <w:t>龙谊村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DDADEA">
            <w:pPr>
              <w:pStyle w:val="45"/>
              <w:bidi w:val="0"/>
              <w:rPr>
                <w:rFonts w:hint="default"/>
              </w:rPr>
            </w:pPr>
            <w:r>
              <w:rPr>
                <w:rFonts w:hint="default"/>
                <w:lang w:val="en-US" w:eastAsia="zh-CN"/>
              </w:rPr>
              <w:t>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2B07F">
            <w:pPr>
              <w:pStyle w:val="45"/>
              <w:bidi w:val="0"/>
            </w:pPr>
            <w:r>
              <w:rPr>
                <w:rFonts w:hint="default"/>
                <w:lang w:val="en-US" w:eastAsia="zh-CN"/>
              </w:rPr>
              <w:t>0.0074</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A6DCF5">
            <w:pPr>
              <w:pStyle w:val="45"/>
              <w:bidi w:val="0"/>
              <w:rPr>
                <w:rFonts w:hint="default"/>
              </w:rPr>
            </w:pPr>
            <w:r>
              <w:rPr>
                <w:rFonts w:hint="default"/>
                <w:lang w:val="en-US" w:eastAsia="zh-CN"/>
              </w:rPr>
              <w:t>2.47</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0AD1A9">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2E5E84">
            <w:pPr>
              <w:pStyle w:val="45"/>
              <w:bidi w:val="0"/>
            </w:pPr>
            <w:r>
              <w:rPr>
                <w:rFonts w:hint="default"/>
                <w:lang w:val="en-US" w:eastAsia="zh-CN"/>
              </w:rPr>
              <w:t>221207</w:t>
            </w:r>
          </w:p>
        </w:tc>
      </w:tr>
      <w:tr w14:paraId="257719CA">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1BCC80">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3C50E1">
            <w:pPr>
              <w:pStyle w:val="45"/>
              <w:bidi w:val="0"/>
            </w:pPr>
            <w:r>
              <w:rPr>
                <w:rFonts w:hint="eastAsia"/>
                <w:lang w:val="en-US" w:eastAsia="zh-CN"/>
              </w:rPr>
              <w:t>友爱村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EB96F7">
            <w:pPr>
              <w:pStyle w:val="45"/>
              <w:bidi w:val="0"/>
              <w:rPr>
                <w:rFonts w:hint="default"/>
              </w:rPr>
            </w:pPr>
            <w:r>
              <w:rPr>
                <w:rFonts w:hint="default"/>
                <w:lang w:val="en-US" w:eastAsia="zh-CN"/>
              </w:rPr>
              <w:t>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96BC86">
            <w:pPr>
              <w:pStyle w:val="45"/>
              <w:bidi w:val="0"/>
            </w:pPr>
            <w:r>
              <w:rPr>
                <w:rFonts w:hint="default"/>
                <w:lang w:val="en-US" w:eastAsia="zh-CN"/>
              </w:rPr>
              <w:t>0.004064</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41D350">
            <w:pPr>
              <w:pStyle w:val="45"/>
              <w:bidi w:val="0"/>
              <w:rPr>
                <w:rFonts w:hint="default"/>
              </w:rPr>
            </w:pPr>
            <w:r>
              <w:rPr>
                <w:rFonts w:hint="default"/>
                <w:lang w:val="en-US" w:eastAsia="zh-CN"/>
              </w:rPr>
              <w:t>1.35</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6D2E32">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87E2E4">
            <w:pPr>
              <w:pStyle w:val="45"/>
              <w:bidi w:val="0"/>
            </w:pPr>
            <w:r>
              <w:rPr>
                <w:rFonts w:hint="default"/>
                <w:lang w:val="en-US" w:eastAsia="zh-CN"/>
              </w:rPr>
              <w:t>220110</w:t>
            </w:r>
          </w:p>
        </w:tc>
      </w:tr>
      <w:tr w14:paraId="560C46A1">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465B57">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6E5D82">
            <w:pPr>
              <w:pStyle w:val="45"/>
              <w:bidi w:val="0"/>
            </w:pPr>
            <w:r>
              <w:rPr>
                <w:rFonts w:hint="eastAsia"/>
                <w:lang w:val="en-US" w:eastAsia="zh-CN"/>
              </w:rPr>
              <w:t>江霞村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5474B9">
            <w:pPr>
              <w:pStyle w:val="45"/>
              <w:bidi w:val="0"/>
              <w:rPr>
                <w:rFonts w:hint="default"/>
              </w:rPr>
            </w:pPr>
            <w:r>
              <w:rPr>
                <w:rFonts w:hint="default"/>
                <w:lang w:val="en-US" w:eastAsia="zh-CN"/>
              </w:rPr>
              <w:t>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1CAF9">
            <w:pPr>
              <w:pStyle w:val="45"/>
              <w:bidi w:val="0"/>
            </w:pPr>
            <w:r>
              <w:rPr>
                <w:rFonts w:hint="default"/>
                <w:lang w:val="en-US" w:eastAsia="zh-CN"/>
              </w:rPr>
              <w:t>0.00432</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65FFFB">
            <w:pPr>
              <w:pStyle w:val="45"/>
              <w:bidi w:val="0"/>
              <w:rPr>
                <w:rFonts w:hint="default"/>
              </w:rPr>
            </w:pPr>
            <w:r>
              <w:rPr>
                <w:rFonts w:hint="default"/>
                <w:lang w:val="en-US" w:eastAsia="zh-CN"/>
              </w:rPr>
              <w:t>1.44</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3C085B">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58F38">
            <w:pPr>
              <w:pStyle w:val="45"/>
              <w:bidi w:val="0"/>
            </w:pPr>
            <w:r>
              <w:rPr>
                <w:rFonts w:hint="default"/>
                <w:lang w:val="en-US" w:eastAsia="zh-CN"/>
              </w:rPr>
              <w:t>221218</w:t>
            </w:r>
          </w:p>
        </w:tc>
      </w:tr>
      <w:tr w14:paraId="205A7315">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1970B9">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B1CD9A">
            <w:pPr>
              <w:pStyle w:val="45"/>
              <w:bidi w:val="0"/>
            </w:pPr>
            <w:r>
              <w:rPr>
                <w:rFonts w:hint="eastAsia"/>
                <w:lang w:val="en-US" w:eastAsia="zh-CN"/>
              </w:rPr>
              <w:t>金兰村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D2C370">
            <w:pPr>
              <w:pStyle w:val="45"/>
              <w:bidi w:val="0"/>
              <w:rPr>
                <w:rFonts w:hint="default"/>
              </w:rPr>
            </w:pPr>
            <w:r>
              <w:rPr>
                <w:rFonts w:hint="default"/>
                <w:lang w:val="en-US" w:eastAsia="zh-CN"/>
              </w:rPr>
              <w:t>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721364">
            <w:pPr>
              <w:pStyle w:val="45"/>
              <w:bidi w:val="0"/>
            </w:pPr>
            <w:r>
              <w:rPr>
                <w:rFonts w:hint="default"/>
                <w:lang w:val="en-US" w:eastAsia="zh-CN"/>
              </w:rPr>
              <w:t>0.004852</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586081">
            <w:pPr>
              <w:pStyle w:val="45"/>
              <w:bidi w:val="0"/>
              <w:rPr>
                <w:rFonts w:hint="default"/>
              </w:rPr>
            </w:pPr>
            <w:r>
              <w:rPr>
                <w:rFonts w:hint="default"/>
                <w:lang w:val="en-US" w:eastAsia="zh-CN"/>
              </w:rPr>
              <w:t>1.62</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CCCB07">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A15B3">
            <w:pPr>
              <w:pStyle w:val="45"/>
              <w:bidi w:val="0"/>
            </w:pPr>
            <w:r>
              <w:rPr>
                <w:rFonts w:hint="default"/>
                <w:lang w:val="en-US" w:eastAsia="zh-CN"/>
              </w:rPr>
              <w:t>220512</w:t>
            </w:r>
          </w:p>
        </w:tc>
      </w:tr>
      <w:tr w14:paraId="722A2AF8">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16A970">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8EB9A4">
            <w:pPr>
              <w:pStyle w:val="45"/>
              <w:bidi w:val="0"/>
            </w:pPr>
            <w:r>
              <w:rPr>
                <w:rFonts w:hint="eastAsia"/>
                <w:lang w:val="en-US" w:eastAsia="zh-CN"/>
              </w:rPr>
              <w:t>大昌村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3A3DE6">
            <w:pPr>
              <w:pStyle w:val="45"/>
              <w:bidi w:val="0"/>
              <w:rPr>
                <w:rFonts w:hint="default"/>
              </w:rPr>
            </w:pPr>
            <w:r>
              <w:rPr>
                <w:rFonts w:hint="default"/>
                <w:lang w:val="en-US" w:eastAsia="zh-CN"/>
              </w:rPr>
              <w:t>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F705A">
            <w:pPr>
              <w:pStyle w:val="45"/>
              <w:bidi w:val="0"/>
            </w:pPr>
            <w:r>
              <w:rPr>
                <w:rFonts w:hint="default"/>
                <w:lang w:val="en-US" w:eastAsia="zh-CN"/>
              </w:rPr>
              <w:t>0.004847</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1921B">
            <w:pPr>
              <w:pStyle w:val="45"/>
              <w:bidi w:val="0"/>
              <w:rPr>
                <w:rFonts w:hint="default"/>
              </w:rPr>
            </w:pPr>
            <w:r>
              <w:rPr>
                <w:rFonts w:hint="default"/>
                <w:lang w:val="en-US" w:eastAsia="zh-CN"/>
              </w:rPr>
              <w:t>1.62</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D7D7DF">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C1D48">
            <w:pPr>
              <w:pStyle w:val="45"/>
              <w:bidi w:val="0"/>
            </w:pPr>
            <w:r>
              <w:rPr>
                <w:rFonts w:hint="default"/>
                <w:lang w:val="en-US" w:eastAsia="zh-CN"/>
              </w:rPr>
              <w:t>220512</w:t>
            </w:r>
          </w:p>
        </w:tc>
      </w:tr>
      <w:tr w14:paraId="2E279490">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6ECA3F">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4DF447">
            <w:pPr>
              <w:pStyle w:val="45"/>
              <w:bidi w:val="0"/>
              <w:rPr>
                <w:rFonts w:hint="eastAsia"/>
                <w:lang w:val="en-US" w:eastAsia="zh-CN"/>
              </w:rPr>
            </w:pPr>
            <w:r>
              <w:rPr>
                <w:rFonts w:hint="eastAsia"/>
                <w:lang w:val="en-US" w:eastAsia="zh-CN"/>
              </w:rPr>
              <w:t>区域最大落地浓度坐标（</w:t>
            </w:r>
            <w:r>
              <w:rPr>
                <w:rFonts w:hint="default"/>
                <w:lang w:val="en-US" w:eastAsia="zh-CN"/>
              </w:rPr>
              <w:t>0,50</w:t>
            </w:r>
            <w:r>
              <w:rPr>
                <w:rFonts w:hint="eastAsia"/>
                <w:lang w:val="en-US" w:eastAsia="zh-CN"/>
              </w:rPr>
              <w:t>）</w:t>
            </w:r>
          </w:p>
          <w:p w14:paraId="1A513526">
            <w:pPr>
              <w:pStyle w:val="45"/>
              <w:bidi w:val="0"/>
            </w:pPr>
            <w:r>
              <w:rPr>
                <w:rFonts w:hint="eastAsia"/>
                <w:lang w:val="en-US" w:eastAsia="zh-CN"/>
              </w:rPr>
              <w:t>厂界内</w:t>
            </w:r>
          </w:p>
        </w:tc>
        <w:tc>
          <w:tcPr>
            <w:tcW w:w="14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7FB25A">
            <w:pPr>
              <w:pStyle w:val="45"/>
              <w:bidi w:val="0"/>
              <w:rPr>
                <w:rFonts w:hint="default"/>
              </w:rPr>
            </w:pPr>
            <w:r>
              <w:rPr>
                <w:rFonts w:hint="default"/>
                <w:lang w:val="en-US" w:eastAsia="zh-CN"/>
              </w:rPr>
              <w:t>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272CC">
            <w:pPr>
              <w:pStyle w:val="45"/>
              <w:bidi w:val="0"/>
            </w:pPr>
            <w:r>
              <w:rPr>
                <w:rFonts w:hint="default"/>
                <w:lang w:val="en-US" w:eastAsia="zh-CN"/>
              </w:rPr>
              <w:t>0.04462</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C4EB18">
            <w:pPr>
              <w:pStyle w:val="45"/>
              <w:bidi w:val="0"/>
              <w:rPr>
                <w:rFonts w:hint="default"/>
              </w:rPr>
            </w:pPr>
            <w:r>
              <w:rPr>
                <w:rFonts w:hint="default"/>
                <w:lang w:val="en-US" w:eastAsia="zh-CN"/>
              </w:rPr>
              <w:t>14.87</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0D840E">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EBC2AA">
            <w:pPr>
              <w:pStyle w:val="45"/>
              <w:bidi w:val="0"/>
            </w:pPr>
            <w:r>
              <w:rPr>
                <w:rFonts w:hint="default"/>
                <w:lang w:val="en-US" w:eastAsia="zh-CN"/>
              </w:rPr>
              <w:t>220525</w:t>
            </w:r>
          </w:p>
        </w:tc>
      </w:tr>
      <w:tr w14:paraId="4A4456BF">
        <w:tblPrEx>
          <w:tblCellMar>
            <w:top w:w="0" w:type="dxa"/>
            <w:left w:w="108" w:type="dxa"/>
            <w:bottom w:w="0" w:type="dxa"/>
            <w:right w:w="108" w:type="dxa"/>
          </w:tblCellMar>
        </w:tblPrEx>
        <w:trPr>
          <w:trHeight w:val="170" w:hRule="atLeast"/>
        </w:trPr>
        <w:tc>
          <w:tcPr>
            <w:tcW w:w="34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647BF45">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氯气（Cl</w:t>
            </w:r>
            <w:r>
              <w:rPr>
                <w:rFonts w:hint="eastAsia" w:cs="宋体"/>
                <w:color w:val="000000"/>
                <w:kern w:val="0"/>
                <w:sz w:val="21"/>
                <w:szCs w:val="22"/>
                <w:vertAlign w:val="subscript"/>
              </w:rPr>
              <w:t>2</w:t>
            </w:r>
            <w:r>
              <w:rPr>
                <w:rFonts w:hint="eastAsia" w:cs="宋体"/>
                <w:color w:val="000000"/>
                <w:kern w:val="0"/>
                <w:sz w:val="21"/>
                <w:szCs w:val="22"/>
              </w:rPr>
              <w:t>）</w:t>
            </w: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0EDFF2">
            <w:pPr>
              <w:pStyle w:val="45"/>
              <w:bidi w:val="0"/>
            </w:pPr>
            <w:r>
              <w:rPr>
                <w:rFonts w:hint="eastAsia"/>
                <w:lang w:val="en-US" w:eastAsia="zh-CN"/>
              </w:rPr>
              <w:t>新安村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0DF8A">
            <w:pPr>
              <w:pStyle w:val="45"/>
              <w:bidi w:val="0"/>
            </w:pPr>
            <w:r>
              <w:rPr>
                <w:rFonts w:hint="default"/>
                <w:lang w:val="en-US" w:eastAsia="zh-CN"/>
              </w:rPr>
              <w:t>0.03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93375">
            <w:pPr>
              <w:pStyle w:val="45"/>
              <w:bidi w:val="0"/>
            </w:pPr>
            <w:r>
              <w:rPr>
                <w:rFonts w:hint="default"/>
                <w:lang w:val="en-US" w:eastAsia="zh-CN"/>
              </w:rPr>
              <w:t>0.000034</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77FC6B">
            <w:pPr>
              <w:pStyle w:val="45"/>
              <w:bidi w:val="0"/>
            </w:pPr>
            <w:r>
              <w:rPr>
                <w:rFonts w:hint="default"/>
                <w:lang w:val="en-US" w:eastAsia="zh-CN"/>
              </w:rPr>
              <w:t>0.11</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4E9B25">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99B23">
            <w:pPr>
              <w:pStyle w:val="45"/>
              <w:bidi w:val="0"/>
            </w:pPr>
            <w:r>
              <w:rPr>
                <w:rFonts w:hint="default"/>
                <w:lang w:val="en-US" w:eastAsia="zh-CN"/>
              </w:rPr>
              <w:t>220717</w:t>
            </w:r>
          </w:p>
        </w:tc>
      </w:tr>
      <w:tr w14:paraId="4BEAB14E">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FA523D">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BF8975">
            <w:pPr>
              <w:pStyle w:val="45"/>
              <w:bidi w:val="0"/>
            </w:pPr>
            <w:r>
              <w:rPr>
                <w:rFonts w:hint="eastAsia"/>
                <w:lang w:val="en-US" w:eastAsia="zh-CN"/>
              </w:rPr>
              <w:t>松木村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36EB4">
            <w:pPr>
              <w:pStyle w:val="45"/>
              <w:bidi w:val="0"/>
            </w:pPr>
            <w:r>
              <w:rPr>
                <w:rFonts w:hint="default"/>
                <w:lang w:val="en-US" w:eastAsia="zh-CN"/>
              </w:rPr>
              <w:t>0.03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331C66">
            <w:pPr>
              <w:pStyle w:val="45"/>
              <w:bidi w:val="0"/>
            </w:pPr>
            <w:r>
              <w:rPr>
                <w:rFonts w:hint="default"/>
                <w:lang w:val="en-US" w:eastAsia="zh-CN"/>
              </w:rPr>
              <w:t>0.000041</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46B8A">
            <w:pPr>
              <w:pStyle w:val="45"/>
              <w:bidi w:val="0"/>
            </w:pPr>
            <w:r>
              <w:rPr>
                <w:rFonts w:hint="default"/>
                <w:lang w:val="en-US" w:eastAsia="zh-CN"/>
              </w:rPr>
              <w:t>0.14</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232358">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EA328">
            <w:pPr>
              <w:pStyle w:val="45"/>
              <w:bidi w:val="0"/>
            </w:pPr>
            <w:r>
              <w:rPr>
                <w:rFonts w:hint="default"/>
                <w:lang w:val="en-US" w:eastAsia="zh-CN"/>
              </w:rPr>
              <w:t>220525</w:t>
            </w:r>
          </w:p>
        </w:tc>
      </w:tr>
      <w:tr w14:paraId="4410845D">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A6BB12">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6ACD9B">
            <w:pPr>
              <w:pStyle w:val="45"/>
              <w:bidi w:val="0"/>
            </w:pPr>
            <w:r>
              <w:rPr>
                <w:rFonts w:hint="eastAsia"/>
                <w:lang w:val="en-US" w:eastAsia="zh-CN"/>
              </w:rPr>
              <w:t>金源小学</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C4D2F">
            <w:pPr>
              <w:pStyle w:val="45"/>
              <w:bidi w:val="0"/>
            </w:pPr>
            <w:r>
              <w:rPr>
                <w:rFonts w:hint="default"/>
                <w:lang w:val="en-US" w:eastAsia="zh-CN"/>
              </w:rPr>
              <w:t>0.03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8D4499">
            <w:pPr>
              <w:pStyle w:val="45"/>
              <w:bidi w:val="0"/>
            </w:pPr>
            <w:r>
              <w:rPr>
                <w:rFonts w:hint="default"/>
                <w:lang w:val="en-US" w:eastAsia="zh-CN"/>
              </w:rPr>
              <w:t>0.000034</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9404E4">
            <w:pPr>
              <w:pStyle w:val="45"/>
              <w:bidi w:val="0"/>
            </w:pPr>
            <w:r>
              <w:rPr>
                <w:rFonts w:hint="default"/>
                <w:lang w:val="en-US" w:eastAsia="zh-CN"/>
              </w:rPr>
              <w:t>0.11</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2E1C90">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83796">
            <w:pPr>
              <w:pStyle w:val="45"/>
              <w:bidi w:val="0"/>
            </w:pPr>
            <w:r>
              <w:rPr>
                <w:rFonts w:hint="default"/>
                <w:lang w:val="en-US" w:eastAsia="zh-CN"/>
              </w:rPr>
              <w:t>220421</w:t>
            </w:r>
          </w:p>
        </w:tc>
      </w:tr>
      <w:tr w14:paraId="4D6A8427">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94906F">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9AF1C7">
            <w:pPr>
              <w:pStyle w:val="45"/>
              <w:bidi w:val="0"/>
            </w:pPr>
            <w:r>
              <w:rPr>
                <w:rFonts w:hint="eastAsia"/>
                <w:lang w:val="en-US" w:eastAsia="zh-CN"/>
              </w:rPr>
              <w:t>金源社区安置房</w:t>
            </w:r>
            <w:r>
              <w:rPr>
                <w:rFonts w:hint="default"/>
                <w:lang w:val="en-US" w:eastAsia="zh-CN"/>
              </w:rPr>
              <w:t>2</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72137">
            <w:pPr>
              <w:pStyle w:val="45"/>
              <w:bidi w:val="0"/>
            </w:pPr>
            <w:r>
              <w:rPr>
                <w:rFonts w:hint="default"/>
                <w:lang w:val="en-US" w:eastAsia="zh-CN"/>
              </w:rPr>
              <w:t>0.03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56366">
            <w:pPr>
              <w:pStyle w:val="45"/>
              <w:bidi w:val="0"/>
            </w:pPr>
            <w:r>
              <w:rPr>
                <w:rFonts w:hint="default"/>
                <w:lang w:val="en-US" w:eastAsia="zh-CN"/>
              </w:rPr>
              <w:t>0.000025</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845C8">
            <w:pPr>
              <w:pStyle w:val="45"/>
              <w:bidi w:val="0"/>
            </w:pPr>
            <w:r>
              <w:rPr>
                <w:rFonts w:hint="default"/>
                <w:lang w:val="en-US" w:eastAsia="zh-CN"/>
              </w:rPr>
              <w:t>0.08</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78D56C">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11BA6">
            <w:pPr>
              <w:pStyle w:val="45"/>
              <w:bidi w:val="0"/>
            </w:pPr>
            <w:r>
              <w:rPr>
                <w:rFonts w:hint="default"/>
                <w:lang w:val="en-US" w:eastAsia="zh-CN"/>
              </w:rPr>
              <w:t>220421</w:t>
            </w:r>
          </w:p>
        </w:tc>
      </w:tr>
      <w:tr w14:paraId="3128709F">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A91EE9">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C51CA3">
            <w:pPr>
              <w:pStyle w:val="45"/>
              <w:bidi w:val="0"/>
            </w:pPr>
            <w:r>
              <w:rPr>
                <w:rFonts w:hint="eastAsia"/>
                <w:lang w:val="en-US" w:eastAsia="zh-CN"/>
              </w:rPr>
              <w:t>金源社区医院</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FCD11">
            <w:pPr>
              <w:pStyle w:val="45"/>
              <w:bidi w:val="0"/>
            </w:pPr>
            <w:r>
              <w:rPr>
                <w:rFonts w:hint="default"/>
                <w:lang w:val="en-US" w:eastAsia="zh-CN"/>
              </w:rPr>
              <w:t>0.03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A37EC">
            <w:pPr>
              <w:pStyle w:val="45"/>
              <w:bidi w:val="0"/>
            </w:pPr>
            <w:r>
              <w:rPr>
                <w:rFonts w:hint="default"/>
                <w:lang w:val="en-US" w:eastAsia="zh-CN"/>
              </w:rPr>
              <w:t>0.000024</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EB8C5">
            <w:pPr>
              <w:pStyle w:val="45"/>
              <w:bidi w:val="0"/>
            </w:pPr>
            <w:r>
              <w:rPr>
                <w:rFonts w:hint="default"/>
                <w:lang w:val="en-US" w:eastAsia="zh-CN"/>
              </w:rPr>
              <w:t>0.08</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E0A592">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91862">
            <w:pPr>
              <w:pStyle w:val="45"/>
              <w:bidi w:val="0"/>
            </w:pPr>
            <w:r>
              <w:rPr>
                <w:rFonts w:hint="default"/>
                <w:lang w:val="en-US" w:eastAsia="zh-CN"/>
              </w:rPr>
              <w:t>220804</w:t>
            </w:r>
          </w:p>
        </w:tc>
      </w:tr>
      <w:tr w14:paraId="1041E1CC">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E467FD">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A6125D">
            <w:pPr>
              <w:pStyle w:val="45"/>
              <w:bidi w:val="0"/>
            </w:pPr>
            <w:r>
              <w:rPr>
                <w:rFonts w:hint="eastAsia"/>
                <w:lang w:val="en-US" w:eastAsia="zh-CN"/>
              </w:rPr>
              <w:t>金源社区安置房</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1EF961">
            <w:pPr>
              <w:pStyle w:val="45"/>
              <w:bidi w:val="0"/>
            </w:pPr>
            <w:r>
              <w:rPr>
                <w:rFonts w:hint="default"/>
                <w:lang w:val="en-US" w:eastAsia="zh-CN"/>
              </w:rPr>
              <w:t>0.03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F05F2">
            <w:pPr>
              <w:pStyle w:val="45"/>
              <w:bidi w:val="0"/>
            </w:pPr>
            <w:r>
              <w:rPr>
                <w:rFonts w:hint="default"/>
                <w:lang w:val="en-US" w:eastAsia="zh-CN"/>
              </w:rPr>
              <w:t>0.000012</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DA0EDB">
            <w:pPr>
              <w:pStyle w:val="45"/>
              <w:bidi w:val="0"/>
            </w:pPr>
            <w:r>
              <w:rPr>
                <w:rFonts w:hint="default"/>
                <w:lang w:val="en-US" w:eastAsia="zh-CN"/>
              </w:rPr>
              <w:t>0.04</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7333C3">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839ED">
            <w:pPr>
              <w:pStyle w:val="45"/>
              <w:bidi w:val="0"/>
            </w:pPr>
            <w:r>
              <w:rPr>
                <w:rFonts w:hint="default"/>
                <w:lang w:val="en-US" w:eastAsia="zh-CN"/>
              </w:rPr>
              <w:t>220102</w:t>
            </w:r>
          </w:p>
        </w:tc>
      </w:tr>
      <w:tr w14:paraId="5BF98BD8">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294658">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C5F806">
            <w:pPr>
              <w:pStyle w:val="45"/>
              <w:bidi w:val="0"/>
            </w:pPr>
            <w:r>
              <w:rPr>
                <w:rFonts w:hint="eastAsia"/>
                <w:lang w:val="en-US" w:eastAsia="zh-CN"/>
              </w:rPr>
              <w:t>湖南工商职业学院</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C021F">
            <w:pPr>
              <w:pStyle w:val="45"/>
              <w:bidi w:val="0"/>
            </w:pPr>
            <w:r>
              <w:rPr>
                <w:rFonts w:hint="default"/>
                <w:lang w:val="en-US" w:eastAsia="zh-CN"/>
              </w:rPr>
              <w:t>0.03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0F386">
            <w:pPr>
              <w:pStyle w:val="45"/>
              <w:bidi w:val="0"/>
            </w:pPr>
            <w:r>
              <w:rPr>
                <w:rFonts w:hint="default"/>
                <w:lang w:val="en-US" w:eastAsia="zh-CN"/>
              </w:rPr>
              <w:t>0.000012</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8D6B0">
            <w:pPr>
              <w:pStyle w:val="45"/>
              <w:bidi w:val="0"/>
            </w:pPr>
            <w:r>
              <w:rPr>
                <w:rFonts w:hint="default"/>
                <w:lang w:val="en-US" w:eastAsia="zh-CN"/>
              </w:rPr>
              <w:t>0.04</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567BC">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87785">
            <w:pPr>
              <w:pStyle w:val="45"/>
              <w:bidi w:val="0"/>
            </w:pPr>
            <w:r>
              <w:rPr>
                <w:rFonts w:hint="default"/>
                <w:lang w:val="en-US" w:eastAsia="zh-CN"/>
              </w:rPr>
              <w:t>220312</w:t>
            </w:r>
          </w:p>
        </w:tc>
      </w:tr>
      <w:tr w14:paraId="48C4BE84">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C91652">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625952">
            <w:pPr>
              <w:pStyle w:val="45"/>
              <w:bidi w:val="0"/>
            </w:pPr>
            <w:r>
              <w:rPr>
                <w:rFonts w:hint="eastAsia"/>
                <w:lang w:val="en-US" w:eastAsia="zh-CN"/>
              </w:rPr>
              <w:t>园区管委会</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B1B19">
            <w:pPr>
              <w:pStyle w:val="45"/>
              <w:bidi w:val="0"/>
            </w:pPr>
            <w:r>
              <w:rPr>
                <w:rFonts w:hint="default"/>
                <w:lang w:val="en-US" w:eastAsia="zh-CN"/>
              </w:rPr>
              <w:t>0.03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EA65D">
            <w:pPr>
              <w:pStyle w:val="45"/>
              <w:bidi w:val="0"/>
            </w:pPr>
            <w:r>
              <w:rPr>
                <w:rFonts w:hint="default"/>
                <w:lang w:val="en-US" w:eastAsia="zh-CN"/>
              </w:rPr>
              <w:t>0.000043</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3B617D">
            <w:pPr>
              <w:pStyle w:val="45"/>
              <w:bidi w:val="0"/>
            </w:pPr>
            <w:r>
              <w:rPr>
                <w:rFonts w:hint="default"/>
                <w:lang w:val="en-US" w:eastAsia="zh-CN"/>
              </w:rPr>
              <w:t>0.14</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0EB2A">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69F27">
            <w:pPr>
              <w:pStyle w:val="45"/>
              <w:bidi w:val="0"/>
            </w:pPr>
            <w:r>
              <w:rPr>
                <w:rFonts w:hint="default"/>
                <w:lang w:val="en-US" w:eastAsia="zh-CN"/>
              </w:rPr>
              <w:t>220409</w:t>
            </w:r>
          </w:p>
        </w:tc>
      </w:tr>
      <w:tr w14:paraId="2046CD29">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ED72A1">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03F29B">
            <w:pPr>
              <w:pStyle w:val="45"/>
              <w:bidi w:val="0"/>
            </w:pPr>
            <w:r>
              <w:rPr>
                <w:rFonts w:hint="eastAsia"/>
                <w:lang w:val="en-US" w:eastAsia="zh-CN"/>
              </w:rPr>
              <w:t>松木中学</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5F130">
            <w:pPr>
              <w:pStyle w:val="45"/>
              <w:bidi w:val="0"/>
            </w:pPr>
            <w:r>
              <w:rPr>
                <w:rFonts w:hint="default"/>
                <w:lang w:val="en-US" w:eastAsia="zh-CN"/>
              </w:rPr>
              <w:t>0.03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3475E">
            <w:pPr>
              <w:pStyle w:val="45"/>
              <w:bidi w:val="0"/>
            </w:pPr>
            <w:r>
              <w:rPr>
                <w:rFonts w:hint="default"/>
                <w:lang w:val="en-US" w:eastAsia="zh-CN"/>
              </w:rPr>
              <w:t>0.000015</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D8B10">
            <w:pPr>
              <w:pStyle w:val="45"/>
              <w:bidi w:val="0"/>
            </w:pPr>
            <w:r>
              <w:rPr>
                <w:rFonts w:hint="default"/>
                <w:lang w:val="en-US" w:eastAsia="zh-CN"/>
              </w:rPr>
              <w:t>0.05</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F5D4AB">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B7A68E">
            <w:pPr>
              <w:pStyle w:val="45"/>
              <w:bidi w:val="0"/>
            </w:pPr>
            <w:r>
              <w:rPr>
                <w:rFonts w:hint="default"/>
                <w:lang w:val="en-US" w:eastAsia="zh-CN"/>
              </w:rPr>
              <w:t>220312</w:t>
            </w:r>
          </w:p>
        </w:tc>
      </w:tr>
      <w:tr w14:paraId="46467984">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D8540C">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D4BF6">
            <w:pPr>
              <w:pStyle w:val="45"/>
              <w:bidi w:val="0"/>
            </w:pPr>
            <w:r>
              <w:rPr>
                <w:rFonts w:hint="eastAsia"/>
                <w:lang w:val="en-US" w:eastAsia="zh-CN"/>
              </w:rPr>
              <w:t>松木村</w:t>
            </w:r>
            <w:r>
              <w:rPr>
                <w:rFonts w:hint="default"/>
                <w:lang w:val="en-US" w:eastAsia="zh-CN"/>
              </w:rPr>
              <w:t>2</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87218">
            <w:pPr>
              <w:pStyle w:val="45"/>
              <w:bidi w:val="0"/>
            </w:pPr>
            <w:r>
              <w:rPr>
                <w:rFonts w:hint="default"/>
                <w:lang w:val="en-US" w:eastAsia="zh-CN"/>
              </w:rPr>
              <w:t>0.03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548CB">
            <w:pPr>
              <w:pStyle w:val="45"/>
              <w:bidi w:val="0"/>
            </w:pPr>
            <w:r>
              <w:rPr>
                <w:rFonts w:hint="default"/>
                <w:lang w:val="en-US" w:eastAsia="zh-CN"/>
              </w:rPr>
              <w:t>0.000093</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BA2B2">
            <w:pPr>
              <w:pStyle w:val="45"/>
              <w:bidi w:val="0"/>
            </w:pPr>
            <w:r>
              <w:rPr>
                <w:rFonts w:hint="default"/>
                <w:lang w:val="en-US" w:eastAsia="zh-CN"/>
              </w:rPr>
              <w:t>0.31</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77F470">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1E6344">
            <w:pPr>
              <w:pStyle w:val="45"/>
              <w:bidi w:val="0"/>
            </w:pPr>
            <w:r>
              <w:rPr>
                <w:rFonts w:hint="default"/>
                <w:lang w:val="en-US" w:eastAsia="zh-CN"/>
              </w:rPr>
              <w:t>220911</w:t>
            </w:r>
          </w:p>
        </w:tc>
      </w:tr>
      <w:tr w14:paraId="765A2B16">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972C3D">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3A2140">
            <w:pPr>
              <w:pStyle w:val="45"/>
              <w:bidi w:val="0"/>
            </w:pPr>
            <w:r>
              <w:rPr>
                <w:rFonts w:hint="eastAsia"/>
                <w:lang w:val="en-US" w:eastAsia="zh-CN"/>
              </w:rPr>
              <w:t>园区安置房</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67ECB">
            <w:pPr>
              <w:pStyle w:val="45"/>
              <w:bidi w:val="0"/>
            </w:pPr>
            <w:r>
              <w:rPr>
                <w:rFonts w:hint="default"/>
                <w:lang w:val="en-US" w:eastAsia="zh-CN"/>
              </w:rPr>
              <w:t>0.03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63F83">
            <w:pPr>
              <w:pStyle w:val="45"/>
              <w:bidi w:val="0"/>
            </w:pPr>
            <w:r>
              <w:rPr>
                <w:rFonts w:hint="default"/>
                <w:lang w:val="en-US" w:eastAsia="zh-CN"/>
              </w:rPr>
              <w:t>0.0001</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D4086">
            <w:pPr>
              <w:pStyle w:val="45"/>
              <w:bidi w:val="0"/>
            </w:pPr>
            <w:r>
              <w:rPr>
                <w:rFonts w:hint="default"/>
                <w:lang w:val="en-US" w:eastAsia="zh-CN"/>
              </w:rPr>
              <w:t>0.33</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274922">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66A3B">
            <w:pPr>
              <w:pStyle w:val="45"/>
              <w:bidi w:val="0"/>
            </w:pPr>
            <w:r>
              <w:rPr>
                <w:rFonts w:hint="default"/>
                <w:lang w:val="en-US" w:eastAsia="zh-CN"/>
              </w:rPr>
              <w:t>220203</w:t>
            </w:r>
          </w:p>
        </w:tc>
      </w:tr>
      <w:tr w14:paraId="728165F8">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345446">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3E1A1A">
            <w:pPr>
              <w:pStyle w:val="45"/>
              <w:bidi w:val="0"/>
            </w:pPr>
            <w:r>
              <w:rPr>
                <w:rFonts w:hint="eastAsia"/>
                <w:lang w:val="en-US" w:eastAsia="zh-CN"/>
              </w:rPr>
              <w:t>友谊村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EA970">
            <w:pPr>
              <w:pStyle w:val="45"/>
              <w:bidi w:val="0"/>
            </w:pPr>
            <w:r>
              <w:rPr>
                <w:rFonts w:hint="default"/>
                <w:lang w:val="en-US" w:eastAsia="zh-CN"/>
              </w:rPr>
              <w:t>0.03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5411F">
            <w:pPr>
              <w:pStyle w:val="45"/>
              <w:bidi w:val="0"/>
            </w:pPr>
            <w:r>
              <w:rPr>
                <w:rFonts w:hint="default"/>
                <w:lang w:val="en-US" w:eastAsia="zh-CN"/>
              </w:rPr>
              <w:t>0.000048</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5846A8">
            <w:pPr>
              <w:pStyle w:val="45"/>
              <w:bidi w:val="0"/>
            </w:pPr>
            <w:r>
              <w:rPr>
                <w:rFonts w:hint="default"/>
                <w:lang w:val="en-US" w:eastAsia="zh-CN"/>
              </w:rPr>
              <w:t>0.16</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BC5D7C">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E7644">
            <w:pPr>
              <w:pStyle w:val="45"/>
              <w:bidi w:val="0"/>
            </w:pPr>
            <w:r>
              <w:rPr>
                <w:rFonts w:hint="default"/>
                <w:lang w:val="en-US" w:eastAsia="zh-CN"/>
              </w:rPr>
              <w:t>220107</w:t>
            </w:r>
          </w:p>
        </w:tc>
      </w:tr>
      <w:tr w14:paraId="33A33022">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D3DFB5">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4F5E0A">
            <w:pPr>
              <w:pStyle w:val="45"/>
              <w:bidi w:val="0"/>
            </w:pPr>
            <w:r>
              <w:rPr>
                <w:rFonts w:hint="eastAsia"/>
                <w:lang w:val="en-US" w:eastAsia="zh-CN"/>
              </w:rPr>
              <w:t>龙谊村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0160C8">
            <w:pPr>
              <w:pStyle w:val="45"/>
              <w:bidi w:val="0"/>
            </w:pPr>
            <w:r>
              <w:rPr>
                <w:rFonts w:hint="default"/>
                <w:lang w:val="en-US" w:eastAsia="zh-CN"/>
              </w:rPr>
              <w:t>0.03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446AD6">
            <w:pPr>
              <w:pStyle w:val="45"/>
              <w:bidi w:val="0"/>
            </w:pPr>
            <w:r>
              <w:rPr>
                <w:rFonts w:hint="default"/>
                <w:lang w:val="en-US" w:eastAsia="zh-CN"/>
              </w:rPr>
              <w:t>0.000031</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C2445">
            <w:pPr>
              <w:pStyle w:val="45"/>
              <w:bidi w:val="0"/>
            </w:pPr>
            <w:r>
              <w:rPr>
                <w:rFonts w:hint="default"/>
                <w:lang w:val="en-US" w:eastAsia="zh-CN"/>
              </w:rPr>
              <w:t>0.1</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8AC083">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33FBEE">
            <w:pPr>
              <w:pStyle w:val="45"/>
              <w:bidi w:val="0"/>
            </w:pPr>
            <w:r>
              <w:rPr>
                <w:rFonts w:hint="default"/>
                <w:lang w:val="en-US" w:eastAsia="zh-CN"/>
              </w:rPr>
              <w:t>221204</w:t>
            </w:r>
          </w:p>
        </w:tc>
      </w:tr>
      <w:tr w14:paraId="1FC3BC05">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8B00F8">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0F490B">
            <w:pPr>
              <w:pStyle w:val="45"/>
              <w:bidi w:val="0"/>
            </w:pPr>
            <w:r>
              <w:rPr>
                <w:rFonts w:hint="eastAsia"/>
                <w:lang w:val="en-US" w:eastAsia="zh-CN"/>
              </w:rPr>
              <w:t>友爱村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67EB0">
            <w:pPr>
              <w:pStyle w:val="45"/>
              <w:bidi w:val="0"/>
            </w:pPr>
            <w:r>
              <w:rPr>
                <w:rFonts w:hint="default"/>
                <w:lang w:val="en-US" w:eastAsia="zh-CN"/>
              </w:rPr>
              <w:t>0.03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27114">
            <w:pPr>
              <w:pStyle w:val="45"/>
              <w:bidi w:val="0"/>
            </w:pPr>
            <w:r>
              <w:rPr>
                <w:rFonts w:hint="default"/>
                <w:lang w:val="en-US" w:eastAsia="zh-CN"/>
              </w:rPr>
              <w:t>0.000031</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CBFC7">
            <w:pPr>
              <w:pStyle w:val="45"/>
              <w:bidi w:val="0"/>
            </w:pPr>
            <w:r>
              <w:rPr>
                <w:rFonts w:hint="default"/>
                <w:lang w:val="en-US" w:eastAsia="zh-CN"/>
              </w:rPr>
              <w:t>0.1</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DA7A1B">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7ECB9">
            <w:pPr>
              <w:pStyle w:val="45"/>
              <w:bidi w:val="0"/>
            </w:pPr>
            <w:r>
              <w:rPr>
                <w:rFonts w:hint="default"/>
                <w:lang w:val="en-US" w:eastAsia="zh-CN"/>
              </w:rPr>
              <w:t>221201</w:t>
            </w:r>
          </w:p>
        </w:tc>
      </w:tr>
      <w:tr w14:paraId="6370F136">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8D0ACE">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72036">
            <w:pPr>
              <w:pStyle w:val="45"/>
              <w:bidi w:val="0"/>
            </w:pPr>
            <w:r>
              <w:rPr>
                <w:rFonts w:hint="eastAsia"/>
                <w:lang w:val="en-US" w:eastAsia="zh-CN"/>
              </w:rPr>
              <w:t>江霞村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566A5">
            <w:pPr>
              <w:pStyle w:val="45"/>
              <w:bidi w:val="0"/>
            </w:pPr>
            <w:r>
              <w:rPr>
                <w:rFonts w:hint="default"/>
                <w:lang w:val="en-US" w:eastAsia="zh-CN"/>
              </w:rPr>
              <w:t>0.03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A93FC7">
            <w:pPr>
              <w:pStyle w:val="45"/>
              <w:bidi w:val="0"/>
            </w:pPr>
            <w:r>
              <w:rPr>
                <w:rFonts w:hint="default"/>
                <w:lang w:val="en-US" w:eastAsia="zh-CN"/>
              </w:rPr>
              <w:t>0.000045</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52836">
            <w:pPr>
              <w:pStyle w:val="45"/>
              <w:bidi w:val="0"/>
            </w:pPr>
            <w:r>
              <w:rPr>
                <w:rFonts w:hint="default"/>
                <w:lang w:val="en-US" w:eastAsia="zh-CN"/>
              </w:rPr>
              <w:t>0.15</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B0DA77">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914127">
            <w:pPr>
              <w:pStyle w:val="45"/>
              <w:bidi w:val="0"/>
            </w:pPr>
            <w:r>
              <w:rPr>
                <w:rFonts w:hint="default"/>
                <w:lang w:val="en-US" w:eastAsia="zh-CN"/>
              </w:rPr>
              <w:t>220520</w:t>
            </w:r>
          </w:p>
        </w:tc>
      </w:tr>
      <w:tr w14:paraId="432F4142">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65A6D9">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9448B8">
            <w:pPr>
              <w:pStyle w:val="45"/>
              <w:bidi w:val="0"/>
            </w:pPr>
            <w:r>
              <w:rPr>
                <w:rFonts w:hint="eastAsia"/>
                <w:lang w:val="en-US" w:eastAsia="zh-CN"/>
              </w:rPr>
              <w:t>金兰村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7CEDD6">
            <w:pPr>
              <w:pStyle w:val="45"/>
              <w:bidi w:val="0"/>
            </w:pPr>
            <w:r>
              <w:rPr>
                <w:rFonts w:hint="default"/>
                <w:lang w:val="en-US" w:eastAsia="zh-CN"/>
              </w:rPr>
              <w:t>0.03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606E2">
            <w:pPr>
              <w:pStyle w:val="45"/>
              <w:bidi w:val="0"/>
            </w:pPr>
            <w:r>
              <w:rPr>
                <w:rFonts w:hint="default"/>
                <w:lang w:val="en-US" w:eastAsia="zh-CN"/>
              </w:rPr>
              <w:t>0.000013</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226EF">
            <w:pPr>
              <w:pStyle w:val="45"/>
              <w:bidi w:val="0"/>
            </w:pPr>
            <w:r>
              <w:rPr>
                <w:rFonts w:hint="default"/>
                <w:lang w:val="en-US" w:eastAsia="zh-CN"/>
              </w:rPr>
              <w:t>0.04</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047F43">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F70FC">
            <w:pPr>
              <w:pStyle w:val="45"/>
              <w:bidi w:val="0"/>
            </w:pPr>
            <w:r>
              <w:rPr>
                <w:rFonts w:hint="default"/>
                <w:lang w:val="en-US" w:eastAsia="zh-CN"/>
              </w:rPr>
              <w:t>221203</w:t>
            </w:r>
          </w:p>
        </w:tc>
      </w:tr>
      <w:tr w14:paraId="6C9A14BD">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020A64">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0D9DF1">
            <w:pPr>
              <w:pStyle w:val="45"/>
              <w:bidi w:val="0"/>
            </w:pPr>
            <w:r>
              <w:rPr>
                <w:rFonts w:hint="eastAsia"/>
                <w:lang w:val="en-US" w:eastAsia="zh-CN"/>
              </w:rPr>
              <w:t>大昌村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9EFB0F">
            <w:pPr>
              <w:pStyle w:val="45"/>
              <w:bidi w:val="0"/>
            </w:pPr>
            <w:r>
              <w:rPr>
                <w:rFonts w:hint="default"/>
                <w:lang w:val="en-US" w:eastAsia="zh-CN"/>
              </w:rPr>
              <w:t>0.03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8B7D8">
            <w:pPr>
              <w:pStyle w:val="45"/>
              <w:bidi w:val="0"/>
            </w:pPr>
            <w:r>
              <w:rPr>
                <w:rFonts w:hint="default"/>
                <w:lang w:val="en-US" w:eastAsia="zh-CN"/>
              </w:rPr>
              <w:t>0.000011</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50D52">
            <w:pPr>
              <w:pStyle w:val="45"/>
              <w:bidi w:val="0"/>
            </w:pPr>
            <w:r>
              <w:rPr>
                <w:rFonts w:hint="default"/>
                <w:lang w:val="en-US" w:eastAsia="zh-CN"/>
              </w:rPr>
              <w:t>0.04</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89FB8">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EB19FC">
            <w:pPr>
              <w:pStyle w:val="45"/>
              <w:bidi w:val="0"/>
            </w:pPr>
            <w:r>
              <w:rPr>
                <w:rFonts w:hint="default"/>
                <w:lang w:val="en-US" w:eastAsia="zh-CN"/>
              </w:rPr>
              <w:t>221229</w:t>
            </w:r>
          </w:p>
        </w:tc>
      </w:tr>
      <w:tr w14:paraId="7C5CB37C">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A9CBB5">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169A99">
            <w:pPr>
              <w:pStyle w:val="45"/>
              <w:bidi w:val="0"/>
              <w:rPr>
                <w:rFonts w:hint="eastAsia"/>
                <w:lang w:val="en-US" w:eastAsia="zh-CN"/>
              </w:rPr>
            </w:pPr>
            <w:r>
              <w:rPr>
                <w:rFonts w:hint="eastAsia"/>
                <w:lang w:val="en-US" w:eastAsia="zh-CN"/>
              </w:rPr>
              <w:t>区域最大落地浓度坐标（</w:t>
            </w:r>
            <w:r>
              <w:rPr>
                <w:rFonts w:hint="default"/>
                <w:lang w:val="en-US" w:eastAsia="zh-CN"/>
              </w:rPr>
              <w:t>-250,750</w:t>
            </w:r>
            <w:r>
              <w:rPr>
                <w:rFonts w:hint="eastAsia"/>
                <w:lang w:val="en-US" w:eastAsia="zh-CN"/>
              </w:rPr>
              <w:t>）</w:t>
            </w:r>
          </w:p>
          <w:p w14:paraId="3F209CC6">
            <w:pPr>
              <w:pStyle w:val="45"/>
              <w:bidi w:val="0"/>
            </w:pPr>
            <w:r>
              <w:rPr>
                <w:rFonts w:hint="eastAsia"/>
                <w:lang w:val="en-US" w:eastAsia="zh-CN"/>
              </w:rPr>
              <w:t>厂界外</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274AB">
            <w:pPr>
              <w:pStyle w:val="45"/>
              <w:bidi w:val="0"/>
            </w:pPr>
            <w:r>
              <w:rPr>
                <w:rFonts w:hint="default"/>
                <w:lang w:val="en-US" w:eastAsia="zh-CN"/>
              </w:rPr>
              <w:t>0.03</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A67D3">
            <w:pPr>
              <w:pStyle w:val="45"/>
              <w:bidi w:val="0"/>
            </w:pPr>
            <w:r>
              <w:rPr>
                <w:rFonts w:hint="default"/>
                <w:lang w:val="en-US" w:eastAsia="zh-CN"/>
              </w:rPr>
              <w:t>0.00092</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2DDC9">
            <w:pPr>
              <w:pStyle w:val="45"/>
              <w:bidi w:val="0"/>
            </w:pPr>
            <w:r>
              <w:rPr>
                <w:rFonts w:hint="default"/>
                <w:lang w:val="en-US" w:eastAsia="zh-CN"/>
              </w:rPr>
              <w:t>3.07</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DAFB64">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CDB6E">
            <w:pPr>
              <w:pStyle w:val="45"/>
              <w:bidi w:val="0"/>
            </w:pPr>
            <w:r>
              <w:rPr>
                <w:rFonts w:hint="default"/>
                <w:lang w:val="en-US" w:eastAsia="zh-CN"/>
              </w:rPr>
              <w:t>220119</w:t>
            </w:r>
          </w:p>
        </w:tc>
      </w:tr>
      <w:tr w14:paraId="57A37C82">
        <w:tblPrEx>
          <w:tblCellMar>
            <w:top w:w="0" w:type="dxa"/>
            <w:left w:w="108" w:type="dxa"/>
            <w:bottom w:w="0" w:type="dxa"/>
            <w:right w:w="108" w:type="dxa"/>
          </w:tblCellMar>
        </w:tblPrEx>
        <w:trPr>
          <w:trHeight w:val="170" w:hRule="atLeast"/>
        </w:trPr>
        <w:tc>
          <w:tcPr>
            <w:tcW w:w="34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E2AA6B7">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氯化氢（HCl）</w:t>
            </w: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B6E951">
            <w:pPr>
              <w:pStyle w:val="45"/>
              <w:bidi w:val="0"/>
            </w:pPr>
            <w:r>
              <w:rPr>
                <w:rFonts w:hint="eastAsia"/>
                <w:lang w:val="en-US" w:eastAsia="zh-CN"/>
              </w:rPr>
              <w:t>新安村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114B6">
            <w:pPr>
              <w:pStyle w:val="45"/>
              <w:bidi w:val="0"/>
            </w:pPr>
            <w:r>
              <w:rPr>
                <w:rFonts w:hint="default"/>
                <w:lang w:val="en-US" w:eastAsia="zh-CN"/>
              </w:rPr>
              <w:t>0.015</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A746A">
            <w:pPr>
              <w:pStyle w:val="45"/>
              <w:bidi w:val="0"/>
            </w:pPr>
            <w:r>
              <w:rPr>
                <w:rFonts w:hint="default"/>
                <w:lang w:val="en-US" w:eastAsia="zh-CN"/>
              </w:rPr>
              <w:t>0.000066</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F76D7E">
            <w:pPr>
              <w:pStyle w:val="45"/>
              <w:bidi w:val="0"/>
            </w:pPr>
            <w:r>
              <w:rPr>
                <w:rFonts w:hint="default"/>
                <w:lang w:val="en-US" w:eastAsia="zh-CN"/>
              </w:rPr>
              <w:t>0.44</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999CF1">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7807E">
            <w:pPr>
              <w:pStyle w:val="45"/>
              <w:bidi w:val="0"/>
            </w:pPr>
            <w:r>
              <w:rPr>
                <w:rFonts w:hint="default"/>
                <w:lang w:val="en-US" w:eastAsia="zh-CN"/>
              </w:rPr>
              <w:t>220807</w:t>
            </w:r>
          </w:p>
        </w:tc>
      </w:tr>
      <w:tr w14:paraId="3282B9E3">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3137A5">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196385">
            <w:pPr>
              <w:pStyle w:val="45"/>
              <w:bidi w:val="0"/>
            </w:pPr>
            <w:r>
              <w:rPr>
                <w:rFonts w:hint="eastAsia"/>
                <w:lang w:val="en-US" w:eastAsia="zh-CN"/>
              </w:rPr>
              <w:t>松木村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87299">
            <w:pPr>
              <w:pStyle w:val="45"/>
              <w:bidi w:val="0"/>
            </w:pPr>
            <w:r>
              <w:rPr>
                <w:rFonts w:hint="default"/>
                <w:lang w:val="en-US" w:eastAsia="zh-CN"/>
              </w:rPr>
              <w:t>0.015</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1B94B">
            <w:pPr>
              <w:pStyle w:val="45"/>
              <w:bidi w:val="0"/>
            </w:pPr>
            <w:r>
              <w:rPr>
                <w:rFonts w:hint="default"/>
                <w:lang w:val="en-US" w:eastAsia="zh-CN"/>
              </w:rPr>
              <w:t>0.000055</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80765">
            <w:pPr>
              <w:pStyle w:val="45"/>
              <w:bidi w:val="0"/>
            </w:pPr>
            <w:r>
              <w:rPr>
                <w:rFonts w:hint="default"/>
                <w:lang w:val="en-US" w:eastAsia="zh-CN"/>
              </w:rPr>
              <w:t>0.36</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E1DE01">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54E50A">
            <w:pPr>
              <w:pStyle w:val="45"/>
              <w:bidi w:val="0"/>
            </w:pPr>
            <w:r>
              <w:rPr>
                <w:rFonts w:hint="default"/>
                <w:lang w:val="en-US" w:eastAsia="zh-CN"/>
              </w:rPr>
              <w:t>220525</w:t>
            </w:r>
          </w:p>
        </w:tc>
      </w:tr>
      <w:tr w14:paraId="3D8C42C6">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324C7E">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352EA8">
            <w:pPr>
              <w:pStyle w:val="45"/>
              <w:bidi w:val="0"/>
            </w:pPr>
            <w:r>
              <w:rPr>
                <w:rFonts w:hint="eastAsia"/>
                <w:lang w:val="en-US" w:eastAsia="zh-CN"/>
              </w:rPr>
              <w:t>金源小学</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11737">
            <w:pPr>
              <w:pStyle w:val="45"/>
              <w:bidi w:val="0"/>
            </w:pPr>
            <w:r>
              <w:rPr>
                <w:rFonts w:hint="default"/>
                <w:lang w:val="en-US" w:eastAsia="zh-CN"/>
              </w:rPr>
              <w:t>0.015</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47B67">
            <w:pPr>
              <w:pStyle w:val="45"/>
              <w:bidi w:val="0"/>
            </w:pPr>
            <w:r>
              <w:rPr>
                <w:rFonts w:hint="default"/>
                <w:lang w:val="en-US" w:eastAsia="zh-CN"/>
              </w:rPr>
              <w:t>0.00004</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672C8">
            <w:pPr>
              <w:pStyle w:val="45"/>
              <w:bidi w:val="0"/>
            </w:pPr>
            <w:r>
              <w:rPr>
                <w:rFonts w:hint="default"/>
                <w:lang w:val="en-US" w:eastAsia="zh-CN"/>
              </w:rPr>
              <w:t>0.27</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18687B">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E7948">
            <w:pPr>
              <w:pStyle w:val="45"/>
              <w:bidi w:val="0"/>
            </w:pPr>
            <w:r>
              <w:rPr>
                <w:rFonts w:hint="default"/>
                <w:lang w:val="en-US" w:eastAsia="zh-CN"/>
              </w:rPr>
              <w:t>220421</w:t>
            </w:r>
          </w:p>
        </w:tc>
      </w:tr>
      <w:tr w14:paraId="619F48A2">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41F693">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933D7E">
            <w:pPr>
              <w:pStyle w:val="45"/>
              <w:bidi w:val="0"/>
            </w:pPr>
            <w:r>
              <w:rPr>
                <w:rFonts w:hint="eastAsia"/>
                <w:lang w:val="en-US" w:eastAsia="zh-CN"/>
              </w:rPr>
              <w:t>金源社区安置房</w:t>
            </w:r>
            <w:r>
              <w:rPr>
                <w:rFonts w:hint="default"/>
                <w:lang w:val="en-US" w:eastAsia="zh-CN"/>
              </w:rPr>
              <w:t>2</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ADD16">
            <w:pPr>
              <w:pStyle w:val="45"/>
              <w:bidi w:val="0"/>
            </w:pPr>
            <w:r>
              <w:rPr>
                <w:rFonts w:hint="default"/>
                <w:lang w:val="en-US" w:eastAsia="zh-CN"/>
              </w:rPr>
              <w:t>0.015</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E5BA3">
            <w:pPr>
              <w:pStyle w:val="45"/>
              <w:bidi w:val="0"/>
            </w:pPr>
            <w:r>
              <w:rPr>
                <w:rFonts w:hint="default"/>
                <w:lang w:val="en-US" w:eastAsia="zh-CN"/>
              </w:rPr>
              <w:t>0.000071</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6CBBC">
            <w:pPr>
              <w:pStyle w:val="45"/>
              <w:bidi w:val="0"/>
            </w:pPr>
            <w:r>
              <w:rPr>
                <w:rFonts w:hint="default"/>
                <w:lang w:val="en-US" w:eastAsia="zh-CN"/>
              </w:rPr>
              <w:t>0.48</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CF2DFC">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9FB58">
            <w:pPr>
              <w:pStyle w:val="45"/>
              <w:bidi w:val="0"/>
            </w:pPr>
            <w:r>
              <w:rPr>
                <w:rFonts w:hint="default"/>
                <w:lang w:val="en-US" w:eastAsia="zh-CN"/>
              </w:rPr>
              <w:t>220421</w:t>
            </w:r>
          </w:p>
        </w:tc>
      </w:tr>
      <w:tr w14:paraId="10B8E19E">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A57FF4">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7168CD">
            <w:pPr>
              <w:pStyle w:val="45"/>
              <w:bidi w:val="0"/>
            </w:pPr>
            <w:r>
              <w:rPr>
                <w:rFonts w:hint="eastAsia"/>
                <w:lang w:val="en-US" w:eastAsia="zh-CN"/>
              </w:rPr>
              <w:t>金源社区医院</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77F99">
            <w:pPr>
              <w:pStyle w:val="45"/>
              <w:bidi w:val="0"/>
            </w:pPr>
            <w:r>
              <w:rPr>
                <w:rFonts w:hint="default"/>
                <w:lang w:val="en-US" w:eastAsia="zh-CN"/>
              </w:rPr>
              <w:t>0.015</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F87B3">
            <w:pPr>
              <w:pStyle w:val="45"/>
              <w:bidi w:val="0"/>
            </w:pPr>
            <w:r>
              <w:rPr>
                <w:rFonts w:hint="default"/>
                <w:lang w:val="en-US" w:eastAsia="zh-CN"/>
              </w:rPr>
              <w:t>0.000069</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C8726">
            <w:pPr>
              <w:pStyle w:val="45"/>
              <w:bidi w:val="0"/>
            </w:pPr>
            <w:r>
              <w:rPr>
                <w:rFonts w:hint="default"/>
                <w:lang w:val="en-US" w:eastAsia="zh-CN"/>
              </w:rPr>
              <w:t>0.46</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591827">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C96AC">
            <w:pPr>
              <w:pStyle w:val="45"/>
              <w:bidi w:val="0"/>
            </w:pPr>
            <w:r>
              <w:rPr>
                <w:rFonts w:hint="default"/>
                <w:lang w:val="en-US" w:eastAsia="zh-CN"/>
              </w:rPr>
              <w:t>220421</w:t>
            </w:r>
          </w:p>
        </w:tc>
      </w:tr>
      <w:tr w14:paraId="46522D7D">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76B682">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9A1253">
            <w:pPr>
              <w:pStyle w:val="45"/>
              <w:bidi w:val="0"/>
            </w:pPr>
            <w:r>
              <w:rPr>
                <w:rFonts w:hint="eastAsia"/>
                <w:lang w:val="en-US" w:eastAsia="zh-CN"/>
              </w:rPr>
              <w:t>金源社区安置房</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B9BA0">
            <w:pPr>
              <w:pStyle w:val="45"/>
              <w:bidi w:val="0"/>
            </w:pPr>
            <w:r>
              <w:rPr>
                <w:rFonts w:hint="default"/>
                <w:lang w:val="en-US" w:eastAsia="zh-CN"/>
              </w:rPr>
              <w:t>0.015</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738634">
            <w:pPr>
              <w:pStyle w:val="45"/>
              <w:bidi w:val="0"/>
            </w:pPr>
            <w:r>
              <w:rPr>
                <w:rFonts w:hint="default"/>
                <w:lang w:val="en-US" w:eastAsia="zh-CN"/>
              </w:rPr>
              <w:t>0.000019</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D9D21">
            <w:pPr>
              <w:pStyle w:val="45"/>
              <w:bidi w:val="0"/>
            </w:pPr>
            <w:r>
              <w:rPr>
                <w:rFonts w:hint="default"/>
                <w:lang w:val="en-US" w:eastAsia="zh-CN"/>
              </w:rPr>
              <w:t>0.12</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574238">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6B45E">
            <w:pPr>
              <w:pStyle w:val="45"/>
              <w:bidi w:val="0"/>
            </w:pPr>
            <w:r>
              <w:rPr>
                <w:rFonts w:hint="default"/>
                <w:lang w:val="en-US" w:eastAsia="zh-CN"/>
              </w:rPr>
              <w:t>220102</w:t>
            </w:r>
          </w:p>
        </w:tc>
      </w:tr>
      <w:tr w14:paraId="5AC92712">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908915">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A5AD34">
            <w:pPr>
              <w:pStyle w:val="45"/>
              <w:bidi w:val="0"/>
            </w:pPr>
            <w:r>
              <w:rPr>
                <w:rFonts w:hint="eastAsia"/>
                <w:lang w:val="en-US" w:eastAsia="zh-CN"/>
              </w:rPr>
              <w:t>湖南工商职业学院</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6CC0F">
            <w:pPr>
              <w:pStyle w:val="45"/>
              <w:bidi w:val="0"/>
            </w:pPr>
            <w:r>
              <w:rPr>
                <w:rFonts w:hint="default"/>
                <w:lang w:val="en-US" w:eastAsia="zh-CN"/>
              </w:rPr>
              <w:t>0.015</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C022E">
            <w:pPr>
              <w:pStyle w:val="45"/>
              <w:bidi w:val="0"/>
            </w:pPr>
            <w:r>
              <w:rPr>
                <w:rFonts w:hint="default"/>
                <w:lang w:val="en-US" w:eastAsia="zh-CN"/>
              </w:rPr>
              <w:t>0.000018</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C9B964">
            <w:pPr>
              <w:pStyle w:val="45"/>
              <w:bidi w:val="0"/>
            </w:pPr>
            <w:r>
              <w:rPr>
                <w:rFonts w:hint="default"/>
                <w:lang w:val="en-US" w:eastAsia="zh-CN"/>
              </w:rPr>
              <w:t>0.12</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869A7E">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457A9A">
            <w:pPr>
              <w:pStyle w:val="45"/>
              <w:bidi w:val="0"/>
            </w:pPr>
            <w:r>
              <w:rPr>
                <w:rFonts w:hint="default"/>
                <w:lang w:val="en-US" w:eastAsia="zh-CN"/>
              </w:rPr>
              <w:t>220312</w:t>
            </w:r>
          </w:p>
        </w:tc>
      </w:tr>
      <w:tr w14:paraId="2F4992ED">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B6AFEE">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0B153">
            <w:pPr>
              <w:pStyle w:val="45"/>
              <w:bidi w:val="0"/>
            </w:pPr>
            <w:r>
              <w:rPr>
                <w:rFonts w:hint="eastAsia"/>
                <w:lang w:val="en-US" w:eastAsia="zh-CN"/>
              </w:rPr>
              <w:t>园区管委会</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B346AF">
            <w:pPr>
              <w:pStyle w:val="45"/>
              <w:bidi w:val="0"/>
            </w:pPr>
            <w:r>
              <w:rPr>
                <w:rFonts w:hint="default"/>
                <w:lang w:val="en-US" w:eastAsia="zh-CN"/>
              </w:rPr>
              <w:t>0.015</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BF048">
            <w:pPr>
              <w:pStyle w:val="45"/>
              <w:bidi w:val="0"/>
            </w:pPr>
            <w:r>
              <w:rPr>
                <w:rFonts w:hint="default"/>
                <w:lang w:val="en-US" w:eastAsia="zh-CN"/>
              </w:rPr>
              <w:t>0.000067</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C2B73">
            <w:pPr>
              <w:pStyle w:val="45"/>
              <w:bidi w:val="0"/>
            </w:pPr>
            <w:r>
              <w:rPr>
                <w:rFonts w:hint="default"/>
                <w:lang w:val="en-US" w:eastAsia="zh-CN"/>
              </w:rPr>
              <w:t>0.44</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EFCED">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84FC31">
            <w:pPr>
              <w:pStyle w:val="45"/>
              <w:bidi w:val="0"/>
            </w:pPr>
            <w:r>
              <w:rPr>
                <w:rFonts w:hint="default"/>
                <w:lang w:val="en-US" w:eastAsia="zh-CN"/>
              </w:rPr>
              <w:t>220409</w:t>
            </w:r>
          </w:p>
        </w:tc>
      </w:tr>
      <w:tr w14:paraId="51C4E2A0">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AB5D23">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9DD378">
            <w:pPr>
              <w:pStyle w:val="45"/>
              <w:bidi w:val="0"/>
            </w:pPr>
            <w:r>
              <w:rPr>
                <w:rFonts w:hint="eastAsia"/>
                <w:lang w:val="en-US" w:eastAsia="zh-CN"/>
              </w:rPr>
              <w:t>松木中学</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AFB48">
            <w:pPr>
              <w:pStyle w:val="45"/>
              <w:bidi w:val="0"/>
            </w:pPr>
            <w:r>
              <w:rPr>
                <w:rFonts w:hint="default"/>
                <w:lang w:val="en-US" w:eastAsia="zh-CN"/>
              </w:rPr>
              <w:t>0.015</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1D89B">
            <w:pPr>
              <w:pStyle w:val="45"/>
              <w:bidi w:val="0"/>
            </w:pPr>
            <w:r>
              <w:rPr>
                <w:rFonts w:hint="default"/>
                <w:lang w:val="en-US" w:eastAsia="zh-CN"/>
              </w:rPr>
              <w:t>0.000023</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EA7B0">
            <w:pPr>
              <w:pStyle w:val="45"/>
              <w:bidi w:val="0"/>
            </w:pPr>
            <w:r>
              <w:rPr>
                <w:rFonts w:hint="default"/>
                <w:lang w:val="en-US" w:eastAsia="zh-CN"/>
              </w:rPr>
              <w:t>0.15</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0263DD">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8032FA">
            <w:pPr>
              <w:pStyle w:val="45"/>
              <w:bidi w:val="0"/>
            </w:pPr>
            <w:r>
              <w:rPr>
                <w:rFonts w:hint="default"/>
                <w:lang w:val="en-US" w:eastAsia="zh-CN"/>
              </w:rPr>
              <w:t>220312</w:t>
            </w:r>
          </w:p>
        </w:tc>
      </w:tr>
      <w:tr w14:paraId="3D039BA2">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3CBB41">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30B677">
            <w:pPr>
              <w:pStyle w:val="45"/>
              <w:bidi w:val="0"/>
            </w:pPr>
            <w:r>
              <w:rPr>
                <w:rFonts w:hint="eastAsia"/>
                <w:lang w:val="en-US" w:eastAsia="zh-CN"/>
              </w:rPr>
              <w:t>松木村</w:t>
            </w:r>
            <w:r>
              <w:rPr>
                <w:rFonts w:hint="default"/>
                <w:lang w:val="en-US" w:eastAsia="zh-CN"/>
              </w:rPr>
              <w:t>2</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573F89">
            <w:pPr>
              <w:pStyle w:val="45"/>
              <w:bidi w:val="0"/>
            </w:pPr>
            <w:r>
              <w:rPr>
                <w:rFonts w:hint="default"/>
                <w:lang w:val="en-US" w:eastAsia="zh-CN"/>
              </w:rPr>
              <w:t>0.015</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245F6">
            <w:pPr>
              <w:pStyle w:val="45"/>
              <w:bidi w:val="0"/>
            </w:pPr>
            <w:r>
              <w:rPr>
                <w:rFonts w:hint="default"/>
                <w:lang w:val="en-US" w:eastAsia="zh-CN"/>
              </w:rPr>
              <w:t>0.000105</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9711EA">
            <w:pPr>
              <w:pStyle w:val="45"/>
              <w:bidi w:val="0"/>
            </w:pPr>
            <w:r>
              <w:rPr>
                <w:rFonts w:hint="default"/>
                <w:lang w:val="en-US" w:eastAsia="zh-CN"/>
              </w:rPr>
              <w:t>0.7</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307CA3">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5764B">
            <w:pPr>
              <w:pStyle w:val="45"/>
              <w:bidi w:val="0"/>
            </w:pPr>
            <w:r>
              <w:rPr>
                <w:rFonts w:hint="default"/>
                <w:lang w:val="en-US" w:eastAsia="zh-CN"/>
              </w:rPr>
              <w:t>220911</w:t>
            </w:r>
          </w:p>
        </w:tc>
      </w:tr>
      <w:tr w14:paraId="663F4EE1">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238A2E">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992369">
            <w:pPr>
              <w:pStyle w:val="45"/>
              <w:bidi w:val="0"/>
            </w:pPr>
            <w:r>
              <w:rPr>
                <w:rFonts w:hint="eastAsia"/>
                <w:lang w:val="en-US" w:eastAsia="zh-CN"/>
              </w:rPr>
              <w:t>园区安置房</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FEE7A">
            <w:pPr>
              <w:pStyle w:val="45"/>
              <w:bidi w:val="0"/>
            </w:pPr>
            <w:r>
              <w:rPr>
                <w:rFonts w:hint="default"/>
                <w:lang w:val="en-US" w:eastAsia="zh-CN"/>
              </w:rPr>
              <w:t>0.015</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A8196">
            <w:pPr>
              <w:pStyle w:val="45"/>
              <w:bidi w:val="0"/>
            </w:pPr>
            <w:r>
              <w:rPr>
                <w:rFonts w:hint="default"/>
                <w:lang w:val="en-US" w:eastAsia="zh-CN"/>
              </w:rPr>
              <w:t>0.000111</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108D1">
            <w:pPr>
              <w:pStyle w:val="45"/>
              <w:bidi w:val="0"/>
            </w:pPr>
            <w:r>
              <w:rPr>
                <w:rFonts w:hint="default"/>
                <w:lang w:val="en-US" w:eastAsia="zh-CN"/>
              </w:rPr>
              <w:t>0.74</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1B0563">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55479">
            <w:pPr>
              <w:pStyle w:val="45"/>
              <w:bidi w:val="0"/>
            </w:pPr>
            <w:r>
              <w:rPr>
                <w:rFonts w:hint="default"/>
                <w:lang w:val="en-US" w:eastAsia="zh-CN"/>
              </w:rPr>
              <w:t>220203</w:t>
            </w:r>
          </w:p>
        </w:tc>
      </w:tr>
      <w:tr w14:paraId="1687CF88">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0D71B3">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00D5AE">
            <w:pPr>
              <w:pStyle w:val="45"/>
              <w:bidi w:val="0"/>
            </w:pPr>
            <w:r>
              <w:rPr>
                <w:rFonts w:hint="eastAsia"/>
                <w:lang w:val="en-US" w:eastAsia="zh-CN"/>
              </w:rPr>
              <w:t>友谊村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434431">
            <w:pPr>
              <w:pStyle w:val="45"/>
              <w:bidi w:val="0"/>
            </w:pPr>
            <w:r>
              <w:rPr>
                <w:rFonts w:hint="default"/>
                <w:lang w:val="en-US" w:eastAsia="zh-CN"/>
              </w:rPr>
              <w:t>0.015</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479EE0">
            <w:pPr>
              <w:pStyle w:val="45"/>
              <w:bidi w:val="0"/>
            </w:pPr>
            <w:r>
              <w:rPr>
                <w:rFonts w:hint="default"/>
                <w:lang w:val="en-US" w:eastAsia="zh-CN"/>
              </w:rPr>
              <w:t>0.000131</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BE980">
            <w:pPr>
              <w:pStyle w:val="45"/>
              <w:bidi w:val="0"/>
            </w:pPr>
            <w:r>
              <w:rPr>
                <w:rFonts w:hint="default"/>
                <w:lang w:val="en-US" w:eastAsia="zh-CN"/>
              </w:rPr>
              <w:t>0.87</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A07815">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1CE6C">
            <w:pPr>
              <w:pStyle w:val="45"/>
              <w:bidi w:val="0"/>
            </w:pPr>
            <w:r>
              <w:rPr>
                <w:rFonts w:hint="default"/>
                <w:lang w:val="en-US" w:eastAsia="zh-CN"/>
              </w:rPr>
              <w:t>220107</w:t>
            </w:r>
          </w:p>
        </w:tc>
      </w:tr>
      <w:tr w14:paraId="3C733F7D">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BD3EB3">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6FCE7E">
            <w:pPr>
              <w:pStyle w:val="45"/>
              <w:bidi w:val="0"/>
            </w:pPr>
            <w:r>
              <w:rPr>
                <w:rFonts w:hint="eastAsia"/>
                <w:lang w:val="en-US" w:eastAsia="zh-CN"/>
              </w:rPr>
              <w:t>龙谊村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BF133">
            <w:pPr>
              <w:pStyle w:val="45"/>
              <w:bidi w:val="0"/>
            </w:pPr>
            <w:r>
              <w:rPr>
                <w:rFonts w:hint="default"/>
                <w:lang w:val="en-US" w:eastAsia="zh-CN"/>
              </w:rPr>
              <w:t>0.015</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7F880">
            <w:pPr>
              <w:pStyle w:val="45"/>
              <w:bidi w:val="0"/>
            </w:pPr>
            <w:r>
              <w:rPr>
                <w:rFonts w:hint="default"/>
                <w:lang w:val="en-US" w:eastAsia="zh-CN"/>
              </w:rPr>
              <w:t>0.000102</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80C04">
            <w:pPr>
              <w:pStyle w:val="45"/>
              <w:bidi w:val="0"/>
            </w:pPr>
            <w:r>
              <w:rPr>
                <w:rFonts w:hint="default"/>
                <w:lang w:val="en-US" w:eastAsia="zh-CN"/>
              </w:rPr>
              <w:t>0.68</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0DE3C9">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A7E82">
            <w:pPr>
              <w:pStyle w:val="45"/>
              <w:bidi w:val="0"/>
            </w:pPr>
            <w:r>
              <w:rPr>
                <w:rFonts w:hint="default"/>
                <w:lang w:val="en-US" w:eastAsia="zh-CN"/>
              </w:rPr>
              <w:t>221204</w:t>
            </w:r>
          </w:p>
        </w:tc>
      </w:tr>
      <w:tr w14:paraId="491359C0">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9E4536">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4E07E6">
            <w:pPr>
              <w:pStyle w:val="45"/>
              <w:bidi w:val="0"/>
            </w:pPr>
            <w:r>
              <w:rPr>
                <w:rFonts w:hint="eastAsia"/>
                <w:lang w:val="en-US" w:eastAsia="zh-CN"/>
              </w:rPr>
              <w:t>友爱村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33B17">
            <w:pPr>
              <w:pStyle w:val="45"/>
              <w:bidi w:val="0"/>
            </w:pPr>
            <w:r>
              <w:rPr>
                <w:rFonts w:hint="default"/>
                <w:lang w:val="en-US" w:eastAsia="zh-CN"/>
              </w:rPr>
              <w:t>0.015</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3AD35">
            <w:pPr>
              <w:pStyle w:val="45"/>
              <w:bidi w:val="0"/>
            </w:pPr>
            <w:r>
              <w:rPr>
                <w:rFonts w:hint="default"/>
                <w:lang w:val="en-US" w:eastAsia="zh-CN"/>
              </w:rPr>
              <w:t>0.000064</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E07E7B">
            <w:pPr>
              <w:pStyle w:val="45"/>
              <w:bidi w:val="0"/>
            </w:pPr>
            <w:r>
              <w:rPr>
                <w:rFonts w:hint="default"/>
                <w:lang w:val="en-US" w:eastAsia="zh-CN"/>
              </w:rPr>
              <w:t>0.43</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5BD8EF">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A3B512">
            <w:pPr>
              <w:pStyle w:val="45"/>
              <w:bidi w:val="0"/>
            </w:pPr>
            <w:r>
              <w:rPr>
                <w:rFonts w:hint="default"/>
                <w:lang w:val="en-US" w:eastAsia="zh-CN"/>
              </w:rPr>
              <w:t>221201</w:t>
            </w:r>
          </w:p>
        </w:tc>
      </w:tr>
      <w:tr w14:paraId="1FC5D858">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F41245">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25B4D9">
            <w:pPr>
              <w:pStyle w:val="45"/>
              <w:bidi w:val="0"/>
            </w:pPr>
            <w:r>
              <w:rPr>
                <w:rFonts w:hint="eastAsia"/>
                <w:lang w:val="en-US" w:eastAsia="zh-CN"/>
              </w:rPr>
              <w:t>江霞村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D0516">
            <w:pPr>
              <w:pStyle w:val="45"/>
              <w:bidi w:val="0"/>
            </w:pPr>
            <w:r>
              <w:rPr>
                <w:rFonts w:hint="default"/>
                <w:lang w:val="en-US" w:eastAsia="zh-CN"/>
              </w:rPr>
              <w:t>0.015</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FD99C">
            <w:pPr>
              <w:pStyle w:val="45"/>
              <w:bidi w:val="0"/>
            </w:pPr>
            <w:r>
              <w:rPr>
                <w:rFonts w:hint="default"/>
                <w:lang w:val="en-US" w:eastAsia="zh-CN"/>
              </w:rPr>
              <w:t>0.000097</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6901B">
            <w:pPr>
              <w:pStyle w:val="45"/>
              <w:bidi w:val="0"/>
            </w:pPr>
            <w:r>
              <w:rPr>
                <w:rFonts w:hint="default"/>
                <w:lang w:val="en-US" w:eastAsia="zh-CN"/>
              </w:rPr>
              <w:t>0.65</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B0C5CA">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EDD9BB">
            <w:pPr>
              <w:pStyle w:val="45"/>
              <w:bidi w:val="0"/>
            </w:pPr>
            <w:r>
              <w:rPr>
                <w:rFonts w:hint="default"/>
                <w:lang w:val="en-US" w:eastAsia="zh-CN"/>
              </w:rPr>
              <w:t>220520</w:t>
            </w:r>
          </w:p>
        </w:tc>
      </w:tr>
      <w:tr w14:paraId="37BE32BE">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2DFB2A">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419FCB">
            <w:pPr>
              <w:pStyle w:val="45"/>
              <w:bidi w:val="0"/>
            </w:pPr>
            <w:r>
              <w:rPr>
                <w:rFonts w:hint="eastAsia"/>
                <w:lang w:val="en-US" w:eastAsia="zh-CN"/>
              </w:rPr>
              <w:t>金兰村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C20080">
            <w:pPr>
              <w:pStyle w:val="45"/>
              <w:bidi w:val="0"/>
            </w:pPr>
            <w:r>
              <w:rPr>
                <w:rFonts w:hint="default"/>
                <w:lang w:val="en-US" w:eastAsia="zh-CN"/>
              </w:rPr>
              <w:t>0.015</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8A5752">
            <w:pPr>
              <w:pStyle w:val="45"/>
              <w:bidi w:val="0"/>
            </w:pPr>
            <w:r>
              <w:rPr>
                <w:rFonts w:hint="default"/>
                <w:lang w:val="en-US" w:eastAsia="zh-CN"/>
              </w:rPr>
              <w:t>0.000056</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7181F">
            <w:pPr>
              <w:pStyle w:val="45"/>
              <w:bidi w:val="0"/>
            </w:pPr>
            <w:r>
              <w:rPr>
                <w:rFonts w:hint="default"/>
                <w:lang w:val="en-US" w:eastAsia="zh-CN"/>
              </w:rPr>
              <w:t>0.37</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EE1507">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20F7D">
            <w:pPr>
              <w:pStyle w:val="45"/>
              <w:bidi w:val="0"/>
            </w:pPr>
            <w:r>
              <w:rPr>
                <w:rFonts w:hint="default"/>
                <w:lang w:val="en-US" w:eastAsia="zh-CN"/>
              </w:rPr>
              <w:t>221229</w:t>
            </w:r>
          </w:p>
        </w:tc>
      </w:tr>
      <w:tr w14:paraId="0FE6BDD3">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11A714">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DCD128">
            <w:pPr>
              <w:pStyle w:val="45"/>
              <w:bidi w:val="0"/>
            </w:pPr>
            <w:r>
              <w:rPr>
                <w:rFonts w:hint="eastAsia"/>
                <w:lang w:val="en-US" w:eastAsia="zh-CN"/>
              </w:rPr>
              <w:t>大昌村</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375DF6">
            <w:pPr>
              <w:pStyle w:val="45"/>
              <w:bidi w:val="0"/>
            </w:pPr>
            <w:r>
              <w:rPr>
                <w:rFonts w:hint="default"/>
                <w:lang w:val="en-US" w:eastAsia="zh-CN"/>
              </w:rPr>
              <w:t>0.015</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6EB37">
            <w:pPr>
              <w:pStyle w:val="45"/>
              <w:bidi w:val="0"/>
            </w:pPr>
            <w:r>
              <w:rPr>
                <w:rFonts w:hint="default"/>
                <w:lang w:val="en-US" w:eastAsia="zh-CN"/>
              </w:rPr>
              <w:t>0.000056</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B8A84">
            <w:pPr>
              <w:pStyle w:val="45"/>
              <w:bidi w:val="0"/>
            </w:pPr>
            <w:r>
              <w:rPr>
                <w:rFonts w:hint="default"/>
                <w:lang w:val="en-US" w:eastAsia="zh-CN"/>
              </w:rPr>
              <w:t>0.37</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6685CE">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9A316">
            <w:pPr>
              <w:pStyle w:val="45"/>
              <w:bidi w:val="0"/>
            </w:pPr>
            <w:r>
              <w:rPr>
                <w:rFonts w:hint="default"/>
                <w:lang w:val="en-US" w:eastAsia="zh-CN"/>
              </w:rPr>
              <w:t>221229</w:t>
            </w:r>
          </w:p>
        </w:tc>
      </w:tr>
      <w:tr w14:paraId="31E8EA13">
        <w:tblPrEx>
          <w:tblCellMar>
            <w:top w:w="0" w:type="dxa"/>
            <w:left w:w="108" w:type="dxa"/>
            <w:bottom w:w="0" w:type="dxa"/>
            <w:right w:w="108" w:type="dxa"/>
          </w:tblCellMar>
        </w:tblPrEx>
        <w:trPr>
          <w:trHeight w:val="170" w:hRule="atLeast"/>
        </w:trPr>
        <w:tc>
          <w:tcPr>
            <w:tcW w:w="3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330E76">
            <w:pPr>
              <w:widowControl/>
              <w:spacing w:line="240" w:lineRule="auto"/>
              <w:ind w:firstLine="0" w:firstLineChars="0"/>
              <w:jc w:val="center"/>
              <w:rPr>
                <w:rFonts w:cs="宋体"/>
                <w:color w:val="000000"/>
                <w:sz w:val="21"/>
                <w:szCs w:val="22"/>
              </w:rPr>
            </w:pPr>
          </w:p>
        </w:tc>
        <w:tc>
          <w:tcPr>
            <w:tcW w:w="38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093803">
            <w:pPr>
              <w:pStyle w:val="45"/>
              <w:bidi w:val="0"/>
              <w:rPr>
                <w:rFonts w:hint="eastAsia"/>
                <w:lang w:val="en-US" w:eastAsia="zh-CN"/>
              </w:rPr>
            </w:pPr>
            <w:r>
              <w:rPr>
                <w:rFonts w:hint="eastAsia"/>
                <w:lang w:val="en-US" w:eastAsia="zh-CN"/>
              </w:rPr>
              <w:t>区域最大落地浓度坐标（</w:t>
            </w:r>
            <w:r>
              <w:rPr>
                <w:rFonts w:hint="default"/>
                <w:lang w:val="en-US" w:eastAsia="zh-CN"/>
              </w:rPr>
              <w:t>-250,750</w:t>
            </w:r>
            <w:r>
              <w:rPr>
                <w:rFonts w:hint="eastAsia"/>
                <w:lang w:val="en-US" w:eastAsia="zh-CN"/>
              </w:rPr>
              <w:t>）</w:t>
            </w:r>
          </w:p>
          <w:p w14:paraId="173F12AF">
            <w:pPr>
              <w:pStyle w:val="45"/>
              <w:bidi w:val="0"/>
            </w:pPr>
            <w:r>
              <w:rPr>
                <w:rFonts w:hint="eastAsia"/>
                <w:lang w:val="en-US" w:eastAsia="zh-CN"/>
              </w:rPr>
              <w:t>厂界外</w:t>
            </w:r>
          </w:p>
        </w:tc>
        <w:tc>
          <w:tcPr>
            <w:tcW w:w="1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1228C">
            <w:pPr>
              <w:pStyle w:val="45"/>
              <w:bidi w:val="0"/>
            </w:pPr>
            <w:r>
              <w:rPr>
                <w:rFonts w:hint="default"/>
                <w:lang w:val="en-US" w:eastAsia="zh-CN"/>
              </w:rPr>
              <w:t>0.015</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C83D96">
            <w:pPr>
              <w:pStyle w:val="45"/>
              <w:bidi w:val="0"/>
            </w:pPr>
            <w:r>
              <w:rPr>
                <w:rFonts w:hint="default"/>
                <w:lang w:val="en-US" w:eastAsia="zh-CN"/>
              </w:rPr>
              <w:t>0.001023</w:t>
            </w:r>
          </w:p>
        </w:tc>
        <w:tc>
          <w:tcPr>
            <w:tcW w:w="1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50E80">
            <w:pPr>
              <w:pStyle w:val="45"/>
              <w:bidi w:val="0"/>
            </w:pPr>
            <w:r>
              <w:rPr>
                <w:rFonts w:hint="default"/>
                <w:lang w:val="en-US" w:eastAsia="zh-CN"/>
              </w:rPr>
              <w:t>6.82</w:t>
            </w:r>
          </w:p>
        </w:tc>
        <w:tc>
          <w:tcPr>
            <w:tcW w:w="1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856630">
            <w:pPr>
              <w:pStyle w:val="45"/>
              <w:bidi w:val="0"/>
            </w:pPr>
            <w:r>
              <w:rPr>
                <w:rFonts w:hint="eastAsia"/>
                <w:lang w:val="en-US" w:eastAsia="zh-CN"/>
              </w:rPr>
              <w:t>达标</w:t>
            </w:r>
          </w:p>
        </w:tc>
        <w:tc>
          <w:tcPr>
            <w:tcW w:w="2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F9198">
            <w:pPr>
              <w:pStyle w:val="45"/>
              <w:bidi w:val="0"/>
            </w:pPr>
            <w:r>
              <w:rPr>
                <w:rFonts w:hint="default"/>
                <w:lang w:val="en-US" w:eastAsia="zh-CN"/>
              </w:rPr>
              <w:t>220119</w:t>
            </w:r>
          </w:p>
        </w:tc>
      </w:tr>
    </w:tbl>
    <w:p w14:paraId="5B79DC83">
      <w:pPr>
        <w:spacing w:line="240" w:lineRule="auto"/>
        <w:ind w:firstLine="0" w:firstLineChars="0"/>
        <w:rPr>
          <w:b/>
          <w:bCs/>
        </w:rPr>
      </w:pPr>
    </w:p>
    <w:p w14:paraId="655E1DA0">
      <w:pPr>
        <w:pStyle w:val="43"/>
        <w:numPr>
          <w:ilvl w:val="5"/>
          <w:numId w:val="1"/>
        </w:numPr>
        <w:rPr>
          <w:rFonts w:hint="default"/>
        </w:rPr>
      </w:pPr>
      <w:r>
        <w:rPr>
          <w:rFonts w:hint="default"/>
        </w:rPr>
        <w:t xml:space="preserve">正常排放下环境保护目标及网格点处年均（长期平均）贡献质量浓度占标率（单位：mg/m³） </w:t>
      </w:r>
    </w:p>
    <w:tbl>
      <w:tblPr>
        <w:tblStyle w:val="32"/>
        <w:tblW w:w="4978" w:type="pct"/>
        <w:tblInd w:w="0" w:type="dxa"/>
        <w:tblLayout w:type="autofit"/>
        <w:tblCellMar>
          <w:top w:w="0" w:type="dxa"/>
          <w:left w:w="108" w:type="dxa"/>
          <w:bottom w:w="0" w:type="dxa"/>
          <w:right w:w="108" w:type="dxa"/>
        </w:tblCellMar>
      </w:tblPr>
      <w:tblGrid>
        <w:gridCol w:w="1008"/>
        <w:gridCol w:w="3067"/>
        <w:gridCol w:w="1740"/>
        <w:gridCol w:w="2477"/>
        <w:gridCol w:w="1940"/>
        <w:gridCol w:w="1940"/>
        <w:gridCol w:w="1940"/>
      </w:tblGrid>
      <w:tr w14:paraId="76991BD1">
        <w:tblPrEx>
          <w:tblCellMar>
            <w:top w:w="0" w:type="dxa"/>
            <w:left w:w="108" w:type="dxa"/>
            <w:bottom w:w="0" w:type="dxa"/>
            <w:right w:w="108" w:type="dxa"/>
          </w:tblCellMar>
        </w:tblPrEx>
        <w:trPr>
          <w:trHeight w:val="170" w:hRule="atLeast"/>
          <w:tblHeader/>
        </w:trPr>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E136CC">
            <w:pPr>
              <w:widowControl/>
              <w:spacing w:line="240" w:lineRule="auto"/>
              <w:ind w:firstLine="0" w:firstLineChars="0"/>
              <w:jc w:val="center"/>
              <w:textAlignment w:val="center"/>
              <w:rPr>
                <w:rFonts w:cs="宋体"/>
                <w:b/>
                <w:bCs/>
                <w:color w:val="000000"/>
                <w:sz w:val="21"/>
                <w:szCs w:val="22"/>
              </w:rPr>
            </w:pPr>
            <w:r>
              <w:rPr>
                <w:rFonts w:hint="eastAsia" w:cs="宋体"/>
                <w:b/>
                <w:bCs/>
                <w:color w:val="000000"/>
                <w:kern w:val="0"/>
                <w:sz w:val="21"/>
                <w:szCs w:val="22"/>
              </w:rPr>
              <w:t>评价因子</w:t>
            </w:r>
          </w:p>
        </w:tc>
        <w:tc>
          <w:tcPr>
            <w:tcW w:w="10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B526D9">
            <w:pPr>
              <w:widowControl/>
              <w:spacing w:line="240" w:lineRule="auto"/>
              <w:ind w:firstLine="0" w:firstLineChars="0"/>
              <w:jc w:val="center"/>
              <w:textAlignment w:val="center"/>
              <w:rPr>
                <w:rFonts w:cs="宋体"/>
                <w:b/>
                <w:bCs/>
                <w:color w:val="000000"/>
                <w:sz w:val="21"/>
                <w:szCs w:val="22"/>
              </w:rPr>
            </w:pPr>
            <w:r>
              <w:rPr>
                <w:rFonts w:hint="eastAsia" w:cs="宋体"/>
                <w:b/>
                <w:bCs/>
                <w:color w:val="000000"/>
                <w:kern w:val="0"/>
                <w:sz w:val="21"/>
                <w:szCs w:val="22"/>
              </w:rPr>
              <w:t>环境空气保护目标</w:t>
            </w:r>
          </w:p>
        </w:tc>
        <w:tc>
          <w:tcPr>
            <w:tcW w:w="6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764D17">
            <w:pPr>
              <w:widowControl/>
              <w:spacing w:line="240" w:lineRule="auto"/>
              <w:ind w:firstLine="0" w:firstLineChars="0"/>
              <w:jc w:val="center"/>
              <w:textAlignment w:val="center"/>
              <w:rPr>
                <w:rFonts w:cs="宋体"/>
                <w:b/>
                <w:bCs/>
                <w:color w:val="000000"/>
                <w:sz w:val="21"/>
                <w:szCs w:val="22"/>
              </w:rPr>
            </w:pPr>
            <w:r>
              <w:rPr>
                <w:rFonts w:hint="eastAsia" w:cs="宋体"/>
                <w:b/>
                <w:bCs/>
                <w:color w:val="000000"/>
                <w:kern w:val="0"/>
                <w:sz w:val="21"/>
                <w:szCs w:val="22"/>
              </w:rPr>
              <w:t>评价标准mg/m</w:t>
            </w:r>
            <w:r>
              <w:rPr>
                <w:rFonts w:hint="eastAsia" w:cs="宋体"/>
                <w:b/>
                <w:bCs/>
                <w:color w:val="000000"/>
                <w:kern w:val="0"/>
                <w:sz w:val="21"/>
                <w:szCs w:val="22"/>
                <w:vertAlign w:val="superscript"/>
              </w:rPr>
              <w:t>3</w:t>
            </w:r>
          </w:p>
        </w:tc>
        <w:tc>
          <w:tcPr>
            <w:tcW w:w="8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C1E039">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最大浓度贡献值</w:t>
            </w:r>
            <w:r>
              <w:rPr>
                <w:rFonts w:cs="Times New Roman"/>
                <w:b/>
                <w:bCs/>
                <w:color w:val="000000"/>
                <w:kern w:val="0"/>
                <w:sz w:val="21"/>
                <w:szCs w:val="21"/>
              </w:rPr>
              <w:t xml:space="preserve"> mg/m</w:t>
            </w:r>
            <w:r>
              <w:rPr>
                <w:rFonts w:cs="Times New Roman"/>
                <w:b/>
                <w:bCs/>
                <w:color w:val="000000"/>
                <w:kern w:val="0"/>
                <w:sz w:val="21"/>
                <w:szCs w:val="21"/>
                <w:vertAlign w:val="superscript"/>
              </w:rPr>
              <w:t>3</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513F67">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最大浓度贡献值占标率</w:t>
            </w:r>
            <w:r>
              <w:rPr>
                <w:rFonts w:cs="Times New Roman"/>
                <w:b/>
                <w:bCs/>
                <w:color w:val="000000"/>
                <w:kern w:val="0"/>
                <w:sz w:val="21"/>
                <w:szCs w:val="21"/>
              </w:rPr>
              <w:t>%</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964127">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最大浓度贡献值达标情况</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A63ACC">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最大浓度贡献值出现时间</w:t>
            </w:r>
          </w:p>
        </w:tc>
      </w:tr>
      <w:tr w14:paraId="116AC10A">
        <w:tblPrEx>
          <w:tblCellMar>
            <w:top w:w="0" w:type="dxa"/>
            <w:left w:w="108" w:type="dxa"/>
            <w:bottom w:w="0" w:type="dxa"/>
            <w:right w:w="108" w:type="dxa"/>
          </w:tblCellMar>
        </w:tblPrEx>
        <w:trPr>
          <w:trHeight w:val="170" w:hRule="atLeast"/>
        </w:trPr>
        <w:tc>
          <w:tcPr>
            <w:tcW w:w="35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ECF86A1">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颗粒物（</w:t>
            </w:r>
            <w:r>
              <w:rPr>
                <w:rFonts w:hint="eastAsia" w:cs="宋体"/>
                <w:color w:val="000000"/>
                <w:kern w:val="0"/>
                <w:sz w:val="21"/>
                <w:szCs w:val="22"/>
                <w:lang w:val="en-US" w:eastAsia="zh-CN"/>
              </w:rPr>
              <w:t>TSP</w:t>
            </w:r>
            <w:r>
              <w:rPr>
                <w:rFonts w:hint="eastAsia" w:cs="宋体"/>
                <w:color w:val="000000"/>
                <w:kern w:val="0"/>
                <w:sz w:val="21"/>
                <w:szCs w:val="22"/>
              </w:rPr>
              <w:t>）</w:t>
            </w: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310B26">
            <w:pPr>
              <w:pStyle w:val="45"/>
              <w:bidi w:val="0"/>
            </w:pPr>
            <w:r>
              <w:rPr>
                <w:rFonts w:hint="eastAsia"/>
                <w:lang w:val="en-US" w:eastAsia="zh-CN"/>
              </w:rPr>
              <w:t>新安村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AF79C7">
            <w:pPr>
              <w:pStyle w:val="45"/>
              <w:bidi w:val="0"/>
              <w:rPr>
                <w:rFonts w:hint="default"/>
              </w:rPr>
            </w:pPr>
            <w:r>
              <w:rPr>
                <w:rFonts w:hint="default"/>
                <w:lang w:val="en-US" w:eastAsia="zh-CN"/>
              </w:rPr>
              <w:t>0.2</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4D342">
            <w:pPr>
              <w:pStyle w:val="45"/>
              <w:bidi w:val="0"/>
            </w:pPr>
            <w:r>
              <w:rPr>
                <w:rFonts w:hint="default"/>
                <w:lang w:val="en-US" w:eastAsia="zh-CN"/>
              </w:rPr>
              <w:t>0.000308</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A82D6C">
            <w:pPr>
              <w:pStyle w:val="45"/>
              <w:bidi w:val="0"/>
              <w:rPr>
                <w:rFonts w:hint="default"/>
              </w:rPr>
            </w:pPr>
            <w:r>
              <w:rPr>
                <w:rFonts w:hint="default"/>
                <w:lang w:val="en-US" w:eastAsia="zh-CN"/>
              </w:rPr>
              <w:t>0.15</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DFD66F">
            <w:pPr>
              <w:pStyle w:val="45"/>
              <w:bidi w:val="0"/>
            </w:pPr>
            <w:r>
              <w:rPr>
                <w:rFonts w:hint="eastAsia"/>
                <w:lang w:val="en-US" w:eastAsia="zh-CN"/>
              </w:rPr>
              <w:t>达标</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A4C31">
            <w:pPr>
              <w:pStyle w:val="45"/>
              <w:bidi w:val="0"/>
            </w:pPr>
            <w:r>
              <w:rPr>
                <w:rFonts w:hint="eastAsia"/>
                <w:lang w:val="en-US" w:eastAsia="zh-CN"/>
              </w:rPr>
              <w:t>平均值</w:t>
            </w:r>
          </w:p>
        </w:tc>
      </w:tr>
      <w:tr w14:paraId="313A9E13">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59A117">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2A9555">
            <w:pPr>
              <w:pStyle w:val="45"/>
              <w:bidi w:val="0"/>
            </w:pPr>
            <w:r>
              <w:rPr>
                <w:rFonts w:hint="eastAsia"/>
                <w:lang w:val="en-US" w:eastAsia="zh-CN"/>
              </w:rPr>
              <w:t>松木村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3F2F77">
            <w:pPr>
              <w:pStyle w:val="45"/>
              <w:bidi w:val="0"/>
              <w:rPr>
                <w:rFonts w:hint="default"/>
              </w:rPr>
            </w:pPr>
            <w:r>
              <w:rPr>
                <w:rFonts w:hint="default"/>
                <w:lang w:val="en-US" w:eastAsia="zh-CN"/>
              </w:rPr>
              <w:t>0.2</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752B8">
            <w:pPr>
              <w:pStyle w:val="45"/>
              <w:bidi w:val="0"/>
            </w:pPr>
            <w:r>
              <w:rPr>
                <w:rFonts w:hint="default"/>
                <w:lang w:val="en-US" w:eastAsia="zh-CN"/>
              </w:rPr>
              <w:t>0.000028</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16FB0">
            <w:pPr>
              <w:pStyle w:val="45"/>
              <w:bidi w:val="0"/>
              <w:rPr>
                <w:rFonts w:hint="default"/>
              </w:rPr>
            </w:pPr>
            <w:r>
              <w:rPr>
                <w:rFonts w:hint="default"/>
                <w:lang w:val="en-US" w:eastAsia="zh-CN"/>
              </w:rPr>
              <w:t>0.01</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3D5D92">
            <w:pPr>
              <w:pStyle w:val="45"/>
              <w:bidi w:val="0"/>
            </w:pPr>
            <w:r>
              <w:rPr>
                <w:rFonts w:hint="eastAsia"/>
                <w:lang w:val="en-US" w:eastAsia="zh-CN"/>
              </w:rPr>
              <w:t>达标</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621CF0">
            <w:pPr>
              <w:pStyle w:val="45"/>
              <w:bidi w:val="0"/>
            </w:pPr>
            <w:r>
              <w:rPr>
                <w:rFonts w:hint="eastAsia"/>
                <w:lang w:val="en-US" w:eastAsia="zh-CN"/>
              </w:rPr>
              <w:t>平均值</w:t>
            </w:r>
          </w:p>
        </w:tc>
      </w:tr>
      <w:tr w14:paraId="56323BF0">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CB8609">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B9DCE4">
            <w:pPr>
              <w:pStyle w:val="45"/>
              <w:bidi w:val="0"/>
            </w:pPr>
            <w:r>
              <w:rPr>
                <w:rFonts w:hint="eastAsia"/>
                <w:lang w:val="en-US" w:eastAsia="zh-CN"/>
              </w:rPr>
              <w:t>金源小学</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44E91F">
            <w:pPr>
              <w:pStyle w:val="45"/>
              <w:bidi w:val="0"/>
              <w:rPr>
                <w:rFonts w:hint="default"/>
              </w:rPr>
            </w:pPr>
            <w:r>
              <w:rPr>
                <w:rFonts w:hint="default"/>
                <w:lang w:val="en-US" w:eastAsia="zh-CN"/>
              </w:rPr>
              <w:t>0.2</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E833E">
            <w:pPr>
              <w:pStyle w:val="45"/>
              <w:bidi w:val="0"/>
            </w:pPr>
            <w:r>
              <w:rPr>
                <w:rFonts w:hint="default"/>
                <w:lang w:val="en-US" w:eastAsia="zh-CN"/>
              </w:rPr>
              <w:t>0.00002</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2E7DC6">
            <w:pPr>
              <w:pStyle w:val="45"/>
              <w:bidi w:val="0"/>
              <w:rPr>
                <w:rFonts w:hint="default"/>
              </w:rPr>
            </w:pPr>
            <w:r>
              <w:rPr>
                <w:rFonts w:hint="default"/>
                <w:lang w:val="en-US" w:eastAsia="zh-CN"/>
              </w:rPr>
              <w:t>0.01</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E35F8F">
            <w:pPr>
              <w:pStyle w:val="45"/>
              <w:bidi w:val="0"/>
            </w:pPr>
            <w:r>
              <w:rPr>
                <w:rFonts w:hint="eastAsia"/>
                <w:lang w:val="en-US" w:eastAsia="zh-CN"/>
              </w:rPr>
              <w:t>达标</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FEE22">
            <w:pPr>
              <w:pStyle w:val="45"/>
              <w:bidi w:val="0"/>
            </w:pPr>
            <w:r>
              <w:rPr>
                <w:rFonts w:hint="eastAsia"/>
                <w:lang w:val="en-US" w:eastAsia="zh-CN"/>
              </w:rPr>
              <w:t>平均值</w:t>
            </w:r>
          </w:p>
        </w:tc>
      </w:tr>
      <w:tr w14:paraId="6DDDBC85">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6D6A1D">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D21CE3">
            <w:pPr>
              <w:pStyle w:val="45"/>
              <w:bidi w:val="0"/>
            </w:pPr>
            <w:r>
              <w:rPr>
                <w:rFonts w:hint="eastAsia"/>
                <w:lang w:val="en-US" w:eastAsia="zh-CN"/>
              </w:rPr>
              <w:t>金源社区安置房</w:t>
            </w:r>
            <w:r>
              <w:rPr>
                <w:rFonts w:hint="default"/>
                <w:lang w:val="en-US" w:eastAsia="zh-CN"/>
              </w:rPr>
              <w:t>2</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BF228B">
            <w:pPr>
              <w:pStyle w:val="45"/>
              <w:bidi w:val="0"/>
              <w:rPr>
                <w:rFonts w:hint="default"/>
              </w:rPr>
            </w:pPr>
            <w:r>
              <w:rPr>
                <w:rFonts w:hint="default"/>
                <w:lang w:val="en-US" w:eastAsia="zh-CN"/>
              </w:rPr>
              <w:t>0.2</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5A205">
            <w:pPr>
              <w:pStyle w:val="45"/>
              <w:bidi w:val="0"/>
            </w:pPr>
            <w:r>
              <w:rPr>
                <w:rFonts w:hint="default"/>
                <w:lang w:val="en-US" w:eastAsia="zh-CN"/>
              </w:rPr>
              <w:t>0.000123</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8F929">
            <w:pPr>
              <w:pStyle w:val="45"/>
              <w:bidi w:val="0"/>
              <w:rPr>
                <w:rFonts w:hint="default"/>
              </w:rPr>
            </w:pPr>
            <w:r>
              <w:rPr>
                <w:rFonts w:hint="default"/>
                <w:lang w:val="en-US" w:eastAsia="zh-CN"/>
              </w:rPr>
              <w:t>0.06</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BE58E2">
            <w:pPr>
              <w:pStyle w:val="45"/>
              <w:bidi w:val="0"/>
            </w:pPr>
            <w:r>
              <w:rPr>
                <w:rFonts w:hint="eastAsia"/>
                <w:lang w:val="en-US" w:eastAsia="zh-CN"/>
              </w:rPr>
              <w:t>达标</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29700">
            <w:pPr>
              <w:pStyle w:val="45"/>
              <w:bidi w:val="0"/>
            </w:pPr>
            <w:r>
              <w:rPr>
                <w:rFonts w:hint="eastAsia"/>
                <w:lang w:val="en-US" w:eastAsia="zh-CN"/>
              </w:rPr>
              <w:t>平均值</w:t>
            </w:r>
          </w:p>
        </w:tc>
      </w:tr>
      <w:tr w14:paraId="5A5E2E66">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BF9398">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F7EC4D">
            <w:pPr>
              <w:pStyle w:val="45"/>
              <w:bidi w:val="0"/>
            </w:pPr>
            <w:r>
              <w:rPr>
                <w:rFonts w:hint="eastAsia"/>
                <w:lang w:val="en-US" w:eastAsia="zh-CN"/>
              </w:rPr>
              <w:t>金源社区医院</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7F9F7">
            <w:pPr>
              <w:pStyle w:val="45"/>
              <w:bidi w:val="0"/>
              <w:rPr>
                <w:rFonts w:hint="default"/>
              </w:rPr>
            </w:pPr>
            <w:r>
              <w:rPr>
                <w:rFonts w:hint="default"/>
                <w:lang w:val="en-US" w:eastAsia="zh-CN"/>
              </w:rPr>
              <w:t>0.2</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DFD3C">
            <w:pPr>
              <w:pStyle w:val="45"/>
              <w:bidi w:val="0"/>
            </w:pPr>
            <w:r>
              <w:rPr>
                <w:rFonts w:hint="default"/>
                <w:lang w:val="en-US" w:eastAsia="zh-CN"/>
              </w:rPr>
              <w:t>0.00013</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B92C4">
            <w:pPr>
              <w:pStyle w:val="45"/>
              <w:bidi w:val="0"/>
              <w:rPr>
                <w:rFonts w:hint="default"/>
              </w:rPr>
            </w:pPr>
            <w:r>
              <w:rPr>
                <w:rFonts w:hint="default"/>
                <w:lang w:val="en-US" w:eastAsia="zh-CN"/>
              </w:rPr>
              <w:t>0.07</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A4D09">
            <w:pPr>
              <w:pStyle w:val="45"/>
              <w:bidi w:val="0"/>
            </w:pPr>
            <w:r>
              <w:rPr>
                <w:rFonts w:hint="eastAsia"/>
                <w:lang w:val="en-US" w:eastAsia="zh-CN"/>
              </w:rPr>
              <w:t>达标</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EE2C55">
            <w:pPr>
              <w:pStyle w:val="45"/>
              <w:bidi w:val="0"/>
            </w:pPr>
            <w:r>
              <w:rPr>
                <w:rFonts w:hint="eastAsia"/>
                <w:lang w:val="en-US" w:eastAsia="zh-CN"/>
              </w:rPr>
              <w:t>平均值</w:t>
            </w:r>
          </w:p>
        </w:tc>
      </w:tr>
      <w:tr w14:paraId="3DED0CD3">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25AEAD">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357CA6">
            <w:pPr>
              <w:pStyle w:val="45"/>
              <w:bidi w:val="0"/>
            </w:pPr>
            <w:r>
              <w:rPr>
                <w:rFonts w:hint="eastAsia"/>
                <w:lang w:val="en-US" w:eastAsia="zh-CN"/>
              </w:rPr>
              <w:t>金源社区安置房</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836477">
            <w:pPr>
              <w:pStyle w:val="45"/>
              <w:bidi w:val="0"/>
              <w:rPr>
                <w:rFonts w:hint="default"/>
              </w:rPr>
            </w:pPr>
            <w:r>
              <w:rPr>
                <w:rFonts w:hint="default"/>
                <w:lang w:val="en-US" w:eastAsia="zh-CN"/>
              </w:rPr>
              <w:t>0.2</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FAA4C3">
            <w:pPr>
              <w:pStyle w:val="45"/>
              <w:bidi w:val="0"/>
            </w:pPr>
            <w:r>
              <w:rPr>
                <w:rFonts w:hint="default"/>
                <w:lang w:val="en-US" w:eastAsia="zh-CN"/>
              </w:rPr>
              <w:t>0.000016</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C2858A">
            <w:pPr>
              <w:pStyle w:val="45"/>
              <w:bidi w:val="0"/>
              <w:rPr>
                <w:rFonts w:hint="default"/>
              </w:rPr>
            </w:pPr>
            <w:r>
              <w:rPr>
                <w:rFonts w:hint="default"/>
                <w:lang w:val="en-US" w:eastAsia="zh-CN"/>
              </w:rPr>
              <w:t>0.01</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D17B7A">
            <w:pPr>
              <w:pStyle w:val="45"/>
              <w:bidi w:val="0"/>
            </w:pPr>
            <w:r>
              <w:rPr>
                <w:rFonts w:hint="eastAsia"/>
                <w:lang w:val="en-US" w:eastAsia="zh-CN"/>
              </w:rPr>
              <w:t>达标</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D37DE">
            <w:pPr>
              <w:pStyle w:val="45"/>
              <w:bidi w:val="0"/>
            </w:pPr>
            <w:r>
              <w:rPr>
                <w:rFonts w:hint="eastAsia"/>
                <w:lang w:val="en-US" w:eastAsia="zh-CN"/>
              </w:rPr>
              <w:t>平均值</w:t>
            </w:r>
          </w:p>
        </w:tc>
      </w:tr>
      <w:tr w14:paraId="58A178B5">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57FD2F">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64AB5B">
            <w:pPr>
              <w:pStyle w:val="45"/>
              <w:bidi w:val="0"/>
            </w:pPr>
            <w:r>
              <w:rPr>
                <w:rFonts w:hint="eastAsia"/>
                <w:lang w:val="en-US" w:eastAsia="zh-CN"/>
              </w:rPr>
              <w:t>湖南工商职业学院</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5C7EE3">
            <w:pPr>
              <w:pStyle w:val="45"/>
              <w:bidi w:val="0"/>
              <w:rPr>
                <w:rFonts w:hint="default"/>
              </w:rPr>
            </w:pPr>
            <w:r>
              <w:rPr>
                <w:rFonts w:hint="default"/>
                <w:lang w:val="en-US" w:eastAsia="zh-CN"/>
              </w:rPr>
              <w:t>0.2</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C2BF9">
            <w:pPr>
              <w:pStyle w:val="45"/>
              <w:bidi w:val="0"/>
            </w:pPr>
            <w:r>
              <w:rPr>
                <w:rFonts w:hint="default"/>
                <w:lang w:val="en-US" w:eastAsia="zh-CN"/>
              </w:rPr>
              <w:t>0.000012</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8FEC1">
            <w:pPr>
              <w:pStyle w:val="45"/>
              <w:bidi w:val="0"/>
              <w:rPr>
                <w:rFonts w:hint="default"/>
              </w:rPr>
            </w:pPr>
            <w:r>
              <w:rPr>
                <w:rFonts w:hint="default"/>
                <w:lang w:val="en-US" w:eastAsia="zh-CN"/>
              </w:rPr>
              <w:t>0.01</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5DBB9C">
            <w:pPr>
              <w:pStyle w:val="45"/>
              <w:bidi w:val="0"/>
            </w:pPr>
            <w:r>
              <w:rPr>
                <w:rFonts w:hint="eastAsia"/>
                <w:lang w:val="en-US" w:eastAsia="zh-CN"/>
              </w:rPr>
              <w:t>达标</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26EE2">
            <w:pPr>
              <w:pStyle w:val="45"/>
              <w:bidi w:val="0"/>
            </w:pPr>
            <w:r>
              <w:rPr>
                <w:rFonts w:hint="eastAsia"/>
                <w:lang w:val="en-US" w:eastAsia="zh-CN"/>
              </w:rPr>
              <w:t>平均值</w:t>
            </w:r>
          </w:p>
        </w:tc>
      </w:tr>
      <w:tr w14:paraId="188BF4B7">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01234A">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FA70E0">
            <w:pPr>
              <w:pStyle w:val="45"/>
              <w:bidi w:val="0"/>
            </w:pPr>
            <w:r>
              <w:rPr>
                <w:rFonts w:hint="eastAsia"/>
                <w:lang w:val="en-US" w:eastAsia="zh-CN"/>
              </w:rPr>
              <w:t>园区管委会</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9BA155">
            <w:pPr>
              <w:pStyle w:val="45"/>
              <w:bidi w:val="0"/>
              <w:rPr>
                <w:rFonts w:hint="default"/>
              </w:rPr>
            </w:pPr>
            <w:r>
              <w:rPr>
                <w:rFonts w:hint="default"/>
                <w:lang w:val="en-US" w:eastAsia="zh-CN"/>
              </w:rPr>
              <w:t>0.2</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97A215">
            <w:pPr>
              <w:pStyle w:val="45"/>
              <w:bidi w:val="0"/>
            </w:pPr>
            <w:r>
              <w:rPr>
                <w:rFonts w:hint="default"/>
                <w:lang w:val="en-US" w:eastAsia="zh-CN"/>
              </w:rPr>
              <w:t>0.00009</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6596B">
            <w:pPr>
              <w:pStyle w:val="45"/>
              <w:bidi w:val="0"/>
              <w:rPr>
                <w:rFonts w:hint="default"/>
              </w:rPr>
            </w:pPr>
            <w:r>
              <w:rPr>
                <w:rFonts w:hint="default"/>
                <w:lang w:val="en-US" w:eastAsia="zh-CN"/>
              </w:rPr>
              <w:t>0.05</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5591AB">
            <w:pPr>
              <w:pStyle w:val="45"/>
              <w:bidi w:val="0"/>
            </w:pPr>
            <w:r>
              <w:rPr>
                <w:rFonts w:hint="eastAsia"/>
                <w:lang w:val="en-US" w:eastAsia="zh-CN"/>
              </w:rPr>
              <w:t>达标</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97244">
            <w:pPr>
              <w:pStyle w:val="45"/>
              <w:bidi w:val="0"/>
            </w:pPr>
            <w:r>
              <w:rPr>
                <w:rFonts w:hint="eastAsia"/>
                <w:lang w:val="en-US" w:eastAsia="zh-CN"/>
              </w:rPr>
              <w:t>平均值</w:t>
            </w:r>
          </w:p>
        </w:tc>
      </w:tr>
      <w:tr w14:paraId="1024CD5F">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D3E9BA">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707B8">
            <w:pPr>
              <w:pStyle w:val="45"/>
              <w:bidi w:val="0"/>
            </w:pPr>
            <w:r>
              <w:rPr>
                <w:rFonts w:hint="eastAsia"/>
                <w:lang w:val="en-US" w:eastAsia="zh-CN"/>
              </w:rPr>
              <w:t>松木中学</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D26A72">
            <w:pPr>
              <w:pStyle w:val="45"/>
              <w:bidi w:val="0"/>
              <w:rPr>
                <w:rFonts w:hint="default"/>
              </w:rPr>
            </w:pPr>
            <w:r>
              <w:rPr>
                <w:rFonts w:hint="default"/>
                <w:lang w:val="en-US" w:eastAsia="zh-CN"/>
              </w:rPr>
              <w:t>0.2</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B4195">
            <w:pPr>
              <w:pStyle w:val="45"/>
              <w:bidi w:val="0"/>
            </w:pPr>
            <w:r>
              <w:rPr>
                <w:rFonts w:hint="default"/>
                <w:lang w:val="en-US" w:eastAsia="zh-CN"/>
              </w:rPr>
              <w:t>0.000015</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3552F">
            <w:pPr>
              <w:pStyle w:val="45"/>
              <w:bidi w:val="0"/>
              <w:rPr>
                <w:rFonts w:hint="default"/>
              </w:rPr>
            </w:pPr>
            <w:r>
              <w:rPr>
                <w:rFonts w:hint="default"/>
                <w:lang w:val="en-US" w:eastAsia="zh-CN"/>
              </w:rPr>
              <w:t>0.01</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49A221">
            <w:pPr>
              <w:pStyle w:val="45"/>
              <w:bidi w:val="0"/>
            </w:pPr>
            <w:r>
              <w:rPr>
                <w:rFonts w:hint="eastAsia"/>
                <w:lang w:val="en-US" w:eastAsia="zh-CN"/>
              </w:rPr>
              <w:t>达标</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D554D8">
            <w:pPr>
              <w:pStyle w:val="45"/>
              <w:bidi w:val="0"/>
            </w:pPr>
            <w:r>
              <w:rPr>
                <w:rFonts w:hint="eastAsia"/>
                <w:lang w:val="en-US" w:eastAsia="zh-CN"/>
              </w:rPr>
              <w:t>平均值</w:t>
            </w:r>
          </w:p>
        </w:tc>
      </w:tr>
      <w:tr w14:paraId="604E1654">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17DF48">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371F92">
            <w:pPr>
              <w:pStyle w:val="45"/>
              <w:bidi w:val="0"/>
            </w:pPr>
            <w:r>
              <w:rPr>
                <w:rFonts w:hint="eastAsia"/>
                <w:lang w:val="en-US" w:eastAsia="zh-CN"/>
              </w:rPr>
              <w:t>松木村</w:t>
            </w:r>
            <w:r>
              <w:rPr>
                <w:rFonts w:hint="default"/>
                <w:lang w:val="en-US" w:eastAsia="zh-CN"/>
              </w:rPr>
              <w:t>2</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99BCA8">
            <w:pPr>
              <w:pStyle w:val="45"/>
              <w:bidi w:val="0"/>
              <w:rPr>
                <w:rFonts w:hint="default"/>
              </w:rPr>
            </w:pPr>
            <w:r>
              <w:rPr>
                <w:rFonts w:hint="default"/>
                <w:lang w:val="en-US" w:eastAsia="zh-CN"/>
              </w:rPr>
              <w:t>0.2</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652B7">
            <w:pPr>
              <w:pStyle w:val="45"/>
              <w:bidi w:val="0"/>
            </w:pPr>
            <w:r>
              <w:rPr>
                <w:rFonts w:hint="default"/>
                <w:lang w:val="en-US" w:eastAsia="zh-CN"/>
              </w:rPr>
              <w:t>0.000033</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B4062">
            <w:pPr>
              <w:pStyle w:val="45"/>
              <w:bidi w:val="0"/>
              <w:rPr>
                <w:rFonts w:hint="default"/>
              </w:rPr>
            </w:pPr>
            <w:r>
              <w:rPr>
                <w:rFonts w:hint="default"/>
                <w:lang w:val="en-US" w:eastAsia="zh-CN"/>
              </w:rPr>
              <w:t>0.02</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15D66">
            <w:pPr>
              <w:pStyle w:val="45"/>
              <w:bidi w:val="0"/>
            </w:pPr>
            <w:r>
              <w:rPr>
                <w:rFonts w:hint="eastAsia"/>
                <w:lang w:val="en-US" w:eastAsia="zh-CN"/>
              </w:rPr>
              <w:t>达标</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20244E">
            <w:pPr>
              <w:pStyle w:val="45"/>
              <w:bidi w:val="0"/>
            </w:pPr>
            <w:r>
              <w:rPr>
                <w:rFonts w:hint="eastAsia"/>
                <w:lang w:val="en-US" w:eastAsia="zh-CN"/>
              </w:rPr>
              <w:t>平均值</w:t>
            </w:r>
          </w:p>
        </w:tc>
      </w:tr>
      <w:tr w14:paraId="37AA0CA1">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AD63C1">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625AB5">
            <w:pPr>
              <w:pStyle w:val="45"/>
              <w:bidi w:val="0"/>
            </w:pPr>
            <w:r>
              <w:rPr>
                <w:rFonts w:hint="eastAsia"/>
                <w:lang w:val="en-US" w:eastAsia="zh-CN"/>
              </w:rPr>
              <w:t>园区安置房</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E36FE9">
            <w:pPr>
              <w:pStyle w:val="45"/>
              <w:bidi w:val="0"/>
              <w:rPr>
                <w:rFonts w:hint="default"/>
              </w:rPr>
            </w:pPr>
            <w:r>
              <w:rPr>
                <w:rFonts w:hint="default"/>
                <w:lang w:val="en-US" w:eastAsia="zh-CN"/>
              </w:rPr>
              <w:t>0.2</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B4643">
            <w:pPr>
              <w:pStyle w:val="45"/>
              <w:bidi w:val="0"/>
            </w:pPr>
            <w:r>
              <w:rPr>
                <w:rFonts w:hint="default"/>
                <w:lang w:val="en-US" w:eastAsia="zh-CN"/>
              </w:rPr>
              <w:t>0.000034</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43E983">
            <w:pPr>
              <w:pStyle w:val="45"/>
              <w:bidi w:val="0"/>
              <w:rPr>
                <w:rFonts w:hint="default"/>
              </w:rPr>
            </w:pPr>
            <w:r>
              <w:rPr>
                <w:rFonts w:hint="default"/>
                <w:lang w:val="en-US" w:eastAsia="zh-CN"/>
              </w:rPr>
              <w:t>0.02</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4460DB">
            <w:pPr>
              <w:pStyle w:val="45"/>
              <w:bidi w:val="0"/>
            </w:pPr>
            <w:r>
              <w:rPr>
                <w:rFonts w:hint="eastAsia"/>
                <w:lang w:val="en-US" w:eastAsia="zh-CN"/>
              </w:rPr>
              <w:t>达标</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8F46F">
            <w:pPr>
              <w:pStyle w:val="45"/>
              <w:bidi w:val="0"/>
            </w:pPr>
            <w:r>
              <w:rPr>
                <w:rFonts w:hint="eastAsia"/>
                <w:lang w:val="en-US" w:eastAsia="zh-CN"/>
              </w:rPr>
              <w:t>平均值</w:t>
            </w:r>
          </w:p>
        </w:tc>
      </w:tr>
      <w:tr w14:paraId="5B0AB8C1">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D99A30">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E993BB">
            <w:pPr>
              <w:pStyle w:val="45"/>
              <w:bidi w:val="0"/>
            </w:pPr>
            <w:r>
              <w:rPr>
                <w:rFonts w:hint="eastAsia"/>
                <w:lang w:val="en-US" w:eastAsia="zh-CN"/>
              </w:rPr>
              <w:t>友谊村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29A815">
            <w:pPr>
              <w:pStyle w:val="45"/>
              <w:bidi w:val="0"/>
              <w:rPr>
                <w:rFonts w:hint="default"/>
              </w:rPr>
            </w:pPr>
            <w:r>
              <w:rPr>
                <w:rFonts w:hint="default"/>
                <w:lang w:val="en-US" w:eastAsia="zh-CN"/>
              </w:rPr>
              <w:t>0.2</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E1F02">
            <w:pPr>
              <w:pStyle w:val="45"/>
              <w:bidi w:val="0"/>
            </w:pPr>
            <w:r>
              <w:rPr>
                <w:rFonts w:hint="default"/>
                <w:lang w:val="en-US" w:eastAsia="zh-CN"/>
              </w:rPr>
              <w:t>0.001295</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219DA">
            <w:pPr>
              <w:pStyle w:val="45"/>
              <w:bidi w:val="0"/>
              <w:rPr>
                <w:rFonts w:hint="default"/>
              </w:rPr>
            </w:pPr>
            <w:r>
              <w:rPr>
                <w:rFonts w:hint="default"/>
                <w:lang w:val="en-US" w:eastAsia="zh-CN"/>
              </w:rPr>
              <w:t>0.65</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571F70">
            <w:pPr>
              <w:pStyle w:val="45"/>
              <w:bidi w:val="0"/>
            </w:pPr>
            <w:r>
              <w:rPr>
                <w:rFonts w:hint="eastAsia"/>
                <w:lang w:val="en-US" w:eastAsia="zh-CN"/>
              </w:rPr>
              <w:t>达标</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D0D48">
            <w:pPr>
              <w:pStyle w:val="45"/>
              <w:bidi w:val="0"/>
            </w:pPr>
            <w:r>
              <w:rPr>
                <w:rFonts w:hint="eastAsia"/>
                <w:lang w:val="en-US" w:eastAsia="zh-CN"/>
              </w:rPr>
              <w:t>平均值</w:t>
            </w:r>
          </w:p>
        </w:tc>
      </w:tr>
      <w:tr w14:paraId="761B1C89">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2C4879">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B94FDA">
            <w:pPr>
              <w:pStyle w:val="45"/>
              <w:bidi w:val="0"/>
            </w:pPr>
            <w:r>
              <w:rPr>
                <w:rFonts w:hint="eastAsia"/>
                <w:lang w:val="en-US" w:eastAsia="zh-CN"/>
              </w:rPr>
              <w:t>龙谊村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54F711">
            <w:pPr>
              <w:pStyle w:val="45"/>
              <w:bidi w:val="0"/>
              <w:rPr>
                <w:rFonts w:hint="default"/>
              </w:rPr>
            </w:pPr>
            <w:r>
              <w:rPr>
                <w:rFonts w:hint="default"/>
                <w:lang w:val="en-US" w:eastAsia="zh-CN"/>
              </w:rPr>
              <w:t>0.2</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8D0213">
            <w:pPr>
              <w:pStyle w:val="45"/>
              <w:bidi w:val="0"/>
            </w:pPr>
            <w:r>
              <w:rPr>
                <w:rFonts w:hint="default"/>
                <w:lang w:val="en-US" w:eastAsia="zh-CN"/>
              </w:rPr>
              <w:t>0.000683</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4FAAE">
            <w:pPr>
              <w:pStyle w:val="45"/>
              <w:bidi w:val="0"/>
              <w:rPr>
                <w:rFonts w:hint="default"/>
              </w:rPr>
            </w:pPr>
            <w:r>
              <w:rPr>
                <w:rFonts w:hint="default"/>
                <w:lang w:val="en-US" w:eastAsia="zh-CN"/>
              </w:rPr>
              <w:t>0.34</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8CA685">
            <w:pPr>
              <w:pStyle w:val="45"/>
              <w:bidi w:val="0"/>
            </w:pPr>
            <w:r>
              <w:rPr>
                <w:rFonts w:hint="eastAsia"/>
                <w:lang w:val="en-US" w:eastAsia="zh-CN"/>
              </w:rPr>
              <w:t>达标</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6D0640">
            <w:pPr>
              <w:pStyle w:val="45"/>
              <w:bidi w:val="0"/>
            </w:pPr>
            <w:r>
              <w:rPr>
                <w:rFonts w:hint="eastAsia"/>
                <w:lang w:val="en-US" w:eastAsia="zh-CN"/>
              </w:rPr>
              <w:t>平均值</w:t>
            </w:r>
          </w:p>
        </w:tc>
      </w:tr>
      <w:tr w14:paraId="77D8A781">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BD4712">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8082C8">
            <w:pPr>
              <w:pStyle w:val="45"/>
              <w:bidi w:val="0"/>
            </w:pPr>
            <w:r>
              <w:rPr>
                <w:rFonts w:hint="eastAsia"/>
                <w:lang w:val="en-US" w:eastAsia="zh-CN"/>
              </w:rPr>
              <w:t>友爱村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6F8836">
            <w:pPr>
              <w:pStyle w:val="45"/>
              <w:bidi w:val="0"/>
              <w:rPr>
                <w:rFonts w:hint="default"/>
              </w:rPr>
            </w:pPr>
            <w:r>
              <w:rPr>
                <w:rFonts w:hint="default"/>
                <w:lang w:val="en-US" w:eastAsia="zh-CN"/>
              </w:rPr>
              <w:t>0.2</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19AFA">
            <w:pPr>
              <w:pStyle w:val="45"/>
              <w:bidi w:val="0"/>
            </w:pPr>
            <w:r>
              <w:rPr>
                <w:rFonts w:hint="default"/>
                <w:lang w:val="en-US" w:eastAsia="zh-CN"/>
              </w:rPr>
              <w:t>0.000367</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33470D">
            <w:pPr>
              <w:pStyle w:val="45"/>
              <w:bidi w:val="0"/>
              <w:rPr>
                <w:rFonts w:hint="default"/>
              </w:rPr>
            </w:pPr>
            <w:r>
              <w:rPr>
                <w:rFonts w:hint="default"/>
                <w:lang w:val="en-US" w:eastAsia="zh-CN"/>
              </w:rPr>
              <w:t>0.18</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CEAA33">
            <w:pPr>
              <w:pStyle w:val="45"/>
              <w:bidi w:val="0"/>
            </w:pPr>
            <w:r>
              <w:rPr>
                <w:rFonts w:hint="eastAsia"/>
                <w:lang w:val="en-US" w:eastAsia="zh-CN"/>
              </w:rPr>
              <w:t>达标</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D0E7A">
            <w:pPr>
              <w:pStyle w:val="45"/>
              <w:bidi w:val="0"/>
            </w:pPr>
            <w:r>
              <w:rPr>
                <w:rFonts w:hint="eastAsia"/>
                <w:lang w:val="en-US" w:eastAsia="zh-CN"/>
              </w:rPr>
              <w:t>平均值</w:t>
            </w:r>
          </w:p>
        </w:tc>
      </w:tr>
      <w:tr w14:paraId="76D8DBD4">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DBD610">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72C20E">
            <w:pPr>
              <w:pStyle w:val="45"/>
              <w:bidi w:val="0"/>
            </w:pPr>
            <w:r>
              <w:rPr>
                <w:rFonts w:hint="eastAsia"/>
                <w:lang w:val="en-US" w:eastAsia="zh-CN"/>
              </w:rPr>
              <w:t>江霞村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9BACB9">
            <w:pPr>
              <w:pStyle w:val="45"/>
              <w:bidi w:val="0"/>
              <w:rPr>
                <w:rFonts w:hint="default"/>
              </w:rPr>
            </w:pPr>
            <w:r>
              <w:rPr>
                <w:rFonts w:hint="default"/>
                <w:lang w:val="en-US" w:eastAsia="zh-CN"/>
              </w:rPr>
              <w:t>0.2</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ABF30">
            <w:pPr>
              <w:pStyle w:val="45"/>
              <w:bidi w:val="0"/>
            </w:pPr>
            <w:r>
              <w:rPr>
                <w:rFonts w:hint="default"/>
                <w:lang w:val="en-US" w:eastAsia="zh-CN"/>
              </w:rPr>
              <w:t>0.00043</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E97691">
            <w:pPr>
              <w:pStyle w:val="45"/>
              <w:bidi w:val="0"/>
              <w:rPr>
                <w:rFonts w:hint="default"/>
              </w:rPr>
            </w:pPr>
            <w:r>
              <w:rPr>
                <w:rFonts w:hint="default"/>
                <w:lang w:val="en-US" w:eastAsia="zh-CN"/>
              </w:rPr>
              <w:t>0.22</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14B2E4">
            <w:pPr>
              <w:pStyle w:val="45"/>
              <w:bidi w:val="0"/>
            </w:pPr>
            <w:r>
              <w:rPr>
                <w:rFonts w:hint="eastAsia"/>
                <w:lang w:val="en-US" w:eastAsia="zh-CN"/>
              </w:rPr>
              <w:t>达标</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656C1">
            <w:pPr>
              <w:pStyle w:val="45"/>
              <w:bidi w:val="0"/>
            </w:pPr>
            <w:r>
              <w:rPr>
                <w:rFonts w:hint="eastAsia"/>
                <w:lang w:val="en-US" w:eastAsia="zh-CN"/>
              </w:rPr>
              <w:t>平均值</w:t>
            </w:r>
          </w:p>
        </w:tc>
      </w:tr>
      <w:tr w14:paraId="275A4C48">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ABD7DC">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9A95A1">
            <w:pPr>
              <w:pStyle w:val="45"/>
              <w:bidi w:val="0"/>
            </w:pPr>
            <w:r>
              <w:rPr>
                <w:rFonts w:hint="eastAsia"/>
                <w:lang w:val="en-US" w:eastAsia="zh-CN"/>
              </w:rPr>
              <w:t>金兰村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476F23">
            <w:pPr>
              <w:pStyle w:val="45"/>
              <w:bidi w:val="0"/>
              <w:rPr>
                <w:rFonts w:hint="default"/>
              </w:rPr>
            </w:pPr>
            <w:r>
              <w:rPr>
                <w:rFonts w:hint="default"/>
                <w:lang w:val="en-US" w:eastAsia="zh-CN"/>
              </w:rPr>
              <w:t>0.2</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D5ACB">
            <w:pPr>
              <w:pStyle w:val="45"/>
              <w:bidi w:val="0"/>
            </w:pPr>
            <w:r>
              <w:rPr>
                <w:rFonts w:hint="default"/>
                <w:lang w:val="en-US" w:eastAsia="zh-CN"/>
              </w:rPr>
              <w:t>0.000308</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D985E">
            <w:pPr>
              <w:pStyle w:val="45"/>
              <w:bidi w:val="0"/>
              <w:rPr>
                <w:rFonts w:hint="default"/>
              </w:rPr>
            </w:pPr>
            <w:r>
              <w:rPr>
                <w:rFonts w:hint="default"/>
                <w:lang w:val="en-US" w:eastAsia="zh-CN"/>
              </w:rPr>
              <w:t>0.15</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93733A">
            <w:pPr>
              <w:pStyle w:val="45"/>
              <w:bidi w:val="0"/>
            </w:pPr>
            <w:r>
              <w:rPr>
                <w:rFonts w:hint="eastAsia"/>
                <w:lang w:val="en-US" w:eastAsia="zh-CN"/>
              </w:rPr>
              <w:t>达标</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EB67A">
            <w:pPr>
              <w:pStyle w:val="45"/>
              <w:bidi w:val="0"/>
            </w:pPr>
            <w:r>
              <w:rPr>
                <w:rFonts w:hint="eastAsia"/>
                <w:lang w:val="en-US" w:eastAsia="zh-CN"/>
              </w:rPr>
              <w:t>平均值</w:t>
            </w:r>
          </w:p>
        </w:tc>
      </w:tr>
      <w:tr w14:paraId="5530B4BC">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81103A">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AAF76C">
            <w:pPr>
              <w:pStyle w:val="45"/>
              <w:bidi w:val="0"/>
            </w:pPr>
            <w:r>
              <w:rPr>
                <w:rFonts w:hint="eastAsia"/>
                <w:lang w:val="en-US" w:eastAsia="zh-CN"/>
              </w:rPr>
              <w:t>大昌村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B38E65">
            <w:pPr>
              <w:pStyle w:val="45"/>
              <w:bidi w:val="0"/>
              <w:rPr>
                <w:rFonts w:hint="default"/>
              </w:rPr>
            </w:pPr>
            <w:r>
              <w:rPr>
                <w:rFonts w:hint="default"/>
                <w:lang w:val="en-US" w:eastAsia="zh-CN"/>
              </w:rPr>
              <w:t>0.2</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66C1C">
            <w:pPr>
              <w:pStyle w:val="45"/>
              <w:bidi w:val="0"/>
            </w:pPr>
            <w:r>
              <w:rPr>
                <w:rFonts w:hint="default"/>
                <w:lang w:val="en-US" w:eastAsia="zh-CN"/>
              </w:rPr>
              <w:t>0.000301</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E43092">
            <w:pPr>
              <w:pStyle w:val="45"/>
              <w:bidi w:val="0"/>
              <w:rPr>
                <w:rFonts w:hint="default"/>
              </w:rPr>
            </w:pPr>
            <w:r>
              <w:rPr>
                <w:rFonts w:hint="default"/>
                <w:lang w:val="en-US" w:eastAsia="zh-CN"/>
              </w:rPr>
              <w:t>0.15</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E7C3B7">
            <w:pPr>
              <w:pStyle w:val="45"/>
              <w:bidi w:val="0"/>
            </w:pPr>
            <w:r>
              <w:rPr>
                <w:rFonts w:hint="eastAsia"/>
                <w:lang w:val="en-US" w:eastAsia="zh-CN"/>
              </w:rPr>
              <w:t>达标</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5852E">
            <w:pPr>
              <w:pStyle w:val="45"/>
              <w:bidi w:val="0"/>
            </w:pPr>
            <w:r>
              <w:rPr>
                <w:rFonts w:hint="eastAsia"/>
                <w:lang w:val="en-US" w:eastAsia="zh-CN"/>
              </w:rPr>
              <w:t>平均值</w:t>
            </w:r>
          </w:p>
        </w:tc>
      </w:tr>
      <w:tr w14:paraId="6DB87F50">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3C24F0">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84970">
            <w:pPr>
              <w:pStyle w:val="45"/>
              <w:bidi w:val="0"/>
            </w:pPr>
            <w:r>
              <w:rPr>
                <w:rFonts w:hint="eastAsia"/>
                <w:lang w:val="en-US" w:eastAsia="zh-CN"/>
              </w:rPr>
              <w:t>区域最大落地浓度坐标（</w:t>
            </w:r>
            <w:r>
              <w:rPr>
                <w:rFonts w:hint="default"/>
                <w:lang w:val="en-US" w:eastAsia="zh-CN"/>
              </w:rPr>
              <w:t>0,-50</w:t>
            </w:r>
            <w:r>
              <w:rPr>
                <w:rFonts w:hint="eastAsia"/>
                <w:lang w:val="en-US" w:eastAsia="zh-CN"/>
              </w:rPr>
              <w:t>）厂界内</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49310B">
            <w:pPr>
              <w:pStyle w:val="45"/>
              <w:bidi w:val="0"/>
              <w:rPr>
                <w:rFonts w:hint="default"/>
              </w:rPr>
            </w:pPr>
            <w:r>
              <w:rPr>
                <w:rFonts w:hint="default"/>
                <w:lang w:val="en-US" w:eastAsia="zh-CN"/>
              </w:rPr>
              <w:t>0.2</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57E74B">
            <w:pPr>
              <w:pStyle w:val="45"/>
              <w:bidi w:val="0"/>
            </w:pPr>
            <w:r>
              <w:rPr>
                <w:rFonts w:hint="default"/>
                <w:lang w:val="en-US" w:eastAsia="zh-CN"/>
              </w:rPr>
              <w:t>0.016274</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7E2AFD">
            <w:pPr>
              <w:pStyle w:val="45"/>
              <w:bidi w:val="0"/>
              <w:rPr>
                <w:rFonts w:hint="default"/>
              </w:rPr>
            </w:pPr>
            <w:r>
              <w:rPr>
                <w:rFonts w:hint="default"/>
                <w:lang w:val="en-US" w:eastAsia="zh-CN"/>
              </w:rPr>
              <w:t>8.14</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75440A">
            <w:pPr>
              <w:pStyle w:val="45"/>
              <w:bidi w:val="0"/>
            </w:pPr>
            <w:r>
              <w:rPr>
                <w:rFonts w:hint="eastAsia"/>
                <w:lang w:val="en-US" w:eastAsia="zh-CN"/>
              </w:rPr>
              <w:t>达标</w:t>
            </w:r>
          </w:p>
        </w:tc>
        <w:tc>
          <w:tcPr>
            <w:tcW w:w="19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F2D9A">
            <w:pPr>
              <w:pStyle w:val="45"/>
              <w:bidi w:val="0"/>
            </w:pPr>
            <w:r>
              <w:rPr>
                <w:rFonts w:hint="eastAsia"/>
                <w:lang w:val="en-US" w:eastAsia="zh-CN"/>
              </w:rPr>
              <w:t>平均值</w:t>
            </w:r>
          </w:p>
        </w:tc>
      </w:tr>
      <w:tr w14:paraId="7C01BB04">
        <w:tblPrEx>
          <w:tblCellMar>
            <w:top w:w="0" w:type="dxa"/>
            <w:left w:w="108" w:type="dxa"/>
            <w:bottom w:w="0" w:type="dxa"/>
            <w:right w:w="108" w:type="dxa"/>
          </w:tblCellMar>
        </w:tblPrEx>
        <w:trPr>
          <w:trHeight w:val="170" w:hRule="atLeast"/>
        </w:trPr>
        <w:tc>
          <w:tcPr>
            <w:tcW w:w="35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010F123">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氯气（Cl</w:t>
            </w:r>
            <w:r>
              <w:rPr>
                <w:rFonts w:hint="eastAsia" w:cs="宋体"/>
                <w:color w:val="000000"/>
                <w:kern w:val="0"/>
                <w:sz w:val="21"/>
                <w:szCs w:val="22"/>
                <w:vertAlign w:val="subscript"/>
              </w:rPr>
              <w:t>2</w:t>
            </w:r>
            <w:r>
              <w:rPr>
                <w:rFonts w:hint="eastAsia" w:cs="宋体"/>
                <w:color w:val="000000"/>
                <w:kern w:val="0"/>
                <w:sz w:val="21"/>
                <w:szCs w:val="22"/>
              </w:rPr>
              <w:t>）</w:t>
            </w: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AA5F2C">
            <w:pPr>
              <w:pStyle w:val="45"/>
              <w:bidi w:val="0"/>
            </w:pPr>
            <w:r>
              <w:rPr>
                <w:rFonts w:hint="eastAsia"/>
                <w:lang w:val="en-US" w:eastAsia="zh-CN"/>
              </w:rPr>
              <w:t>新安村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ADB9F0">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277F9">
            <w:pPr>
              <w:pStyle w:val="45"/>
              <w:bidi w:val="0"/>
            </w:pPr>
            <w:r>
              <w:rPr>
                <w:rFonts w:hint="default"/>
                <w:lang w:val="en-US" w:eastAsia="zh-CN"/>
              </w:rPr>
              <w:t>0.000003</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04F56C">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B1E2B5">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6B13B3">
            <w:pPr>
              <w:pStyle w:val="45"/>
              <w:bidi w:val="0"/>
            </w:pPr>
            <w:r>
              <w:rPr>
                <w:rFonts w:hint="eastAsia"/>
                <w:lang w:val="en-US" w:eastAsia="zh-CN"/>
              </w:rPr>
              <w:t>平均值</w:t>
            </w:r>
          </w:p>
        </w:tc>
      </w:tr>
      <w:tr w14:paraId="3E8155E4">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95124C">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F41C78">
            <w:pPr>
              <w:pStyle w:val="45"/>
              <w:bidi w:val="0"/>
            </w:pPr>
            <w:r>
              <w:rPr>
                <w:rFonts w:hint="eastAsia"/>
                <w:lang w:val="en-US" w:eastAsia="zh-CN"/>
              </w:rPr>
              <w:t>松木村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9859B0">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BCB79">
            <w:pPr>
              <w:pStyle w:val="45"/>
              <w:bidi w:val="0"/>
            </w:pPr>
            <w:r>
              <w:rPr>
                <w:rFonts w:hint="default"/>
                <w:lang w:val="en-US" w:eastAsia="zh-CN"/>
              </w:rPr>
              <w:t>0.000002</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EF2565">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F1AD69">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000AA8">
            <w:pPr>
              <w:pStyle w:val="45"/>
              <w:bidi w:val="0"/>
            </w:pPr>
            <w:r>
              <w:rPr>
                <w:rFonts w:hint="eastAsia"/>
                <w:lang w:val="en-US" w:eastAsia="zh-CN"/>
              </w:rPr>
              <w:t>平均值</w:t>
            </w:r>
          </w:p>
        </w:tc>
      </w:tr>
      <w:tr w14:paraId="1E59DC93">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8C5283">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46B859">
            <w:pPr>
              <w:pStyle w:val="45"/>
              <w:bidi w:val="0"/>
            </w:pPr>
            <w:r>
              <w:rPr>
                <w:rFonts w:hint="eastAsia"/>
                <w:lang w:val="en-US" w:eastAsia="zh-CN"/>
              </w:rPr>
              <w:t>金源小学</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98C0CB">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15CABB">
            <w:pPr>
              <w:pStyle w:val="45"/>
              <w:bidi w:val="0"/>
            </w:pPr>
            <w:r>
              <w:rPr>
                <w:rFonts w:hint="default"/>
                <w:lang w:val="en-US" w:eastAsia="zh-CN"/>
              </w:rPr>
              <w:t>0.000002</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A8937">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4A5554">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D3C7CA">
            <w:pPr>
              <w:pStyle w:val="45"/>
              <w:bidi w:val="0"/>
            </w:pPr>
            <w:r>
              <w:rPr>
                <w:rFonts w:hint="eastAsia"/>
                <w:lang w:val="en-US" w:eastAsia="zh-CN"/>
              </w:rPr>
              <w:t>平均值</w:t>
            </w:r>
          </w:p>
        </w:tc>
      </w:tr>
      <w:tr w14:paraId="1949E843">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8D071A">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C7DD42">
            <w:pPr>
              <w:pStyle w:val="45"/>
              <w:bidi w:val="0"/>
            </w:pPr>
            <w:r>
              <w:rPr>
                <w:rFonts w:hint="eastAsia"/>
                <w:lang w:val="en-US" w:eastAsia="zh-CN"/>
              </w:rPr>
              <w:t>金源社区安置房</w:t>
            </w:r>
            <w:r>
              <w:rPr>
                <w:rFonts w:hint="default"/>
                <w:lang w:val="en-US" w:eastAsia="zh-CN"/>
              </w:rPr>
              <w:t>2</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00F74F">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17A46">
            <w:pPr>
              <w:pStyle w:val="45"/>
              <w:bidi w:val="0"/>
            </w:pPr>
            <w:r>
              <w:rPr>
                <w:rFonts w:hint="default"/>
                <w:lang w:val="en-US" w:eastAsia="zh-CN"/>
              </w:rPr>
              <w:t>0.000002</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55EF77">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1654F8">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230B06">
            <w:pPr>
              <w:pStyle w:val="45"/>
              <w:bidi w:val="0"/>
            </w:pPr>
            <w:r>
              <w:rPr>
                <w:rFonts w:hint="eastAsia"/>
                <w:lang w:val="en-US" w:eastAsia="zh-CN"/>
              </w:rPr>
              <w:t>平均值</w:t>
            </w:r>
          </w:p>
        </w:tc>
      </w:tr>
      <w:tr w14:paraId="108CA5CF">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B8FAFE">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76C49">
            <w:pPr>
              <w:pStyle w:val="45"/>
              <w:bidi w:val="0"/>
            </w:pPr>
            <w:r>
              <w:rPr>
                <w:rFonts w:hint="eastAsia"/>
                <w:lang w:val="en-US" w:eastAsia="zh-CN"/>
              </w:rPr>
              <w:t>金源社区医院</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CE93B5">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0436D">
            <w:pPr>
              <w:pStyle w:val="45"/>
              <w:bidi w:val="0"/>
            </w:pPr>
            <w:r>
              <w:rPr>
                <w:rFonts w:hint="default"/>
                <w:lang w:val="en-US" w:eastAsia="zh-CN"/>
              </w:rPr>
              <w:t>0.000002</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D1804F">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9D2C80">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B165B6">
            <w:pPr>
              <w:pStyle w:val="45"/>
              <w:bidi w:val="0"/>
            </w:pPr>
            <w:r>
              <w:rPr>
                <w:rFonts w:hint="eastAsia"/>
                <w:lang w:val="en-US" w:eastAsia="zh-CN"/>
              </w:rPr>
              <w:t>平均值</w:t>
            </w:r>
          </w:p>
        </w:tc>
      </w:tr>
      <w:tr w14:paraId="1A37F2A9">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C86061">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D6F501">
            <w:pPr>
              <w:pStyle w:val="45"/>
              <w:bidi w:val="0"/>
            </w:pPr>
            <w:r>
              <w:rPr>
                <w:rFonts w:hint="eastAsia"/>
                <w:lang w:val="en-US" w:eastAsia="zh-CN"/>
              </w:rPr>
              <w:t>金源社区安置房</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AD9221">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B54E5">
            <w:pPr>
              <w:pStyle w:val="45"/>
              <w:bidi w:val="0"/>
            </w:pPr>
            <w:r>
              <w:rPr>
                <w:rFonts w:hint="default"/>
                <w:lang w:val="en-US" w:eastAsia="zh-CN"/>
              </w:rPr>
              <w:t>0</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5C1EE1">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63CDE1">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66F37C">
            <w:pPr>
              <w:pStyle w:val="45"/>
              <w:bidi w:val="0"/>
            </w:pPr>
            <w:r>
              <w:rPr>
                <w:rFonts w:hint="eastAsia"/>
                <w:lang w:val="en-US" w:eastAsia="zh-CN"/>
              </w:rPr>
              <w:t>平均值</w:t>
            </w:r>
          </w:p>
        </w:tc>
      </w:tr>
      <w:tr w14:paraId="6B835E83">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993DB1">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B17F72">
            <w:pPr>
              <w:pStyle w:val="45"/>
              <w:bidi w:val="0"/>
            </w:pPr>
            <w:r>
              <w:rPr>
                <w:rFonts w:hint="eastAsia"/>
                <w:lang w:val="en-US" w:eastAsia="zh-CN"/>
              </w:rPr>
              <w:t>湖南工商职业学院</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9B057D">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F575A">
            <w:pPr>
              <w:pStyle w:val="45"/>
              <w:bidi w:val="0"/>
            </w:pPr>
            <w:r>
              <w:rPr>
                <w:rFonts w:hint="default"/>
                <w:lang w:val="en-US" w:eastAsia="zh-CN"/>
              </w:rPr>
              <w:t>0</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5A582F">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3FACAE">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459841">
            <w:pPr>
              <w:pStyle w:val="45"/>
              <w:bidi w:val="0"/>
            </w:pPr>
            <w:r>
              <w:rPr>
                <w:rFonts w:hint="eastAsia"/>
                <w:lang w:val="en-US" w:eastAsia="zh-CN"/>
              </w:rPr>
              <w:t>平均值</w:t>
            </w:r>
          </w:p>
        </w:tc>
      </w:tr>
      <w:tr w14:paraId="5B0B3071">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CCB529">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2BA03B">
            <w:pPr>
              <w:pStyle w:val="45"/>
              <w:bidi w:val="0"/>
            </w:pPr>
            <w:r>
              <w:rPr>
                <w:rFonts w:hint="eastAsia"/>
                <w:lang w:val="en-US" w:eastAsia="zh-CN"/>
              </w:rPr>
              <w:t>园区管委会</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666E4B">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D0B99">
            <w:pPr>
              <w:pStyle w:val="45"/>
              <w:bidi w:val="0"/>
            </w:pPr>
            <w:r>
              <w:rPr>
                <w:rFonts w:hint="default"/>
                <w:lang w:val="en-US" w:eastAsia="zh-CN"/>
              </w:rPr>
              <w:t>0.000003</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591E6">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2E2DB5">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30C1F1">
            <w:pPr>
              <w:pStyle w:val="45"/>
              <w:bidi w:val="0"/>
            </w:pPr>
            <w:r>
              <w:rPr>
                <w:rFonts w:hint="eastAsia"/>
                <w:lang w:val="en-US" w:eastAsia="zh-CN"/>
              </w:rPr>
              <w:t>平均值</w:t>
            </w:r>
          </w:p>
        </w:tc>
      </w:tr>
      <w:tr w14:paraId="16916F90">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F3B42D">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96BE62">
            <w:pPr>
              <w:pStyle w:val="45"/>
              <w:bidi w:val="0"/>
            </w:pPr>
            <w:r>
              <w:rPr>
                <w:rFonts w:hint="eastAsia"/>
                <w:lang w:val="en-US" w:eastAsia="zh-CN"/>
              </w:rPr>
              <w:t>松木中学</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FACAD">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9013A">
            <w:pPr>
              <w:pStyle w:val="45"/>
              <w:bidi w:val="0"/>
            </w:pPr>
            <w:r>
              <w:rPr>
                <w:rFonts w:hint="default"/>
                <w:lang w:val="en-US" w:eastAsia="zh-CN"/>
              </w:rPr>
              <w:t>0.000001</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CFB2D">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B2AACF">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864A5">
            <w:pPr>
              <w:pStyle w:val="45"/>
              <w:bidi w:val="0"/>
            </w:pPr>
            <w:r>
              <w:rPr>
                <w:rFonts w:hint="eastAsia"/>
                <w:lang w:val="en-US" w:eastAsia="zh-CN"/>
              </w:rPr>
              <w:t>平均值</w:t>
            </w:r>
          </w:p>
        </w:tc>
      </w:tr>
      <w:tr w14:paraId="49A074EB">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676F9F">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FB4D3B">
            <w:pPr>
              <w:pStyle w:val="45"/>
              <w:bidi w:val="0"/>
            </w:pPr>
            <w:r>
              <w:rPr>
                <w:rFonts w:hint="eastAsia"/>
                <w:lang w:val="en-US" w:eastAsia="zh-CN"/>
              </w:rPr>
              <w:t>松木村</w:t>
            </w:r>
            <w:r>
              <w:rPr>
                <w:rFonts w:hint="default"/>
                <w:lang w:val="en-US" w:eastAsia="zh-CN"/>
              </w:rPr>
              <w:t>2</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29029C">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07C19">
            <w:pPr>
              <w:pStyle w:val="45"/>
              <w:bidi w:val="0"/>
            </w:pPr>
            <w:r>
              <w:rPr>
                <w:rFonts w:hint="default"/>
                <w:lang w:val="en-US" w:eastAsia="zh-CN"/>
              </w:rPr>
              <w:t>0.000006</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941095">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7F35B7">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EB2C4">
            <w:pPr>
              <w:pStyle w:val="45"/>
              <w:bidi w:val="0"/>
            </w:pPr>
            <w:r>
              <w:rPr>
                <w:rFonts w:hint="eastAsia"/>
                <w:lang w:val="en-US" w:eastAsia="zh-CN"/>
              </w:rPr>
              <w:t>平均值</w:t>
            </w:r>
          </w:p>
        </w:tc>
      </w:tr>
      <w:tr w14:paraId="5439E2AC">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82E535">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B9F98E">
            <w:pPr>
              <w:pStyle w:val="45"/>
              <w:bidi w:val="0"/>
            </w:pPr>
            <w:r>
              <w:rPr>
                <w:rFonts w:hint="eastAsia"/>
                <w:lang w:val="en-US" w:eastAsia="zh-CN"/>
              </w:rPr>
              <w:t>园区安置房</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88B975">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6E104">
            <w:pPr>
              <w:pStyle w:val="45"/>
              <w:bidi w:val="0"/>
            </w:pPr>
            <w:r>
              <w:rPr>
                <w:rFonts w:hint="default"/>
                <w:lang w:val="en-US" w:eastAsia="zh-CN"/>
              </w:rPr>
              <w:t>0.000008</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92D907">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B50490">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87EBF0">
            <w:pPr>
              <w:pStyle w:val="45"/>
              <w:bidi w:val="0"/>
            </w:pPr>
            <w:r>
              <w:rPr>
                <w:rFonts w:hint="eastAsia"/>
                <w:lang w:val="en-US" w:eastAsia="zh-CN"/>
              </w:rPr>
              <w:t>平均值</w:t>
            </w:r>
          </w:p>
        </w:tc>
      </w:tr>
      <w:tr w14:paraId="196C5385">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5CD54F">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FC4ECC">
            <w:pPr>
              <w:pStyle w:val="45"/>
              <w:bidi w:val="0"/>
            </w:pPr>
            <w:r>
              <w:rPr>
                <w:rFonts w:hint="eastAsia"/>
                <w:lang w:val="en-US" w:eastAsia="zh-CN"/>
              </w:rPr>
              <w:t>友谊村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860A05">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5A21D">
            <w:pPr>
              <w:pStyle w:val="45"/>
              <w:bidi w:val="0"/>
            </w:pPr>
            <w:r>
              <w:rPr>
                <w:rFonts w:hint="default"/>
                <w:lang w:val="en-US" w:eastAsia="zh-CN"/>
              </w:rPr>
              <w:t>0.000008</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96D8B2">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70DA23">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F2DA25">
            <w:pPr>
              <w:pStyle w:val="45"/>
              <w:bidi w:val="0"/>
            </w:pPr>
            <w:r>
              <w:rPr>
                <w:rFonts w:hint="eastAsia"/>
                <w:lang w:val="en-US" w:eastAsia="zh-CN"/>
              </w:rPr>
              <w:t>平均值</w:t>
            </w:r>
          </w:p>
        </w:tc>
      </w:tr>
      <w:tr w14:paraId="4CF8FC5D">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317DAE">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38AB44">
            <w:pPr>
              <w:pStyle w:val="45"/>
              <w:bidi w:val="0"/>
            </w:pPr>
            <w:r>
              <w:rPr>
                <w:rFonts w:hint="eastAsia"/>
                <w:lang w:val="en-US" w:eastAsia="zh-CN"/>
              </w:rPr>
              <w:t>龙谊村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52E348">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C23F59">
            <w:pPr>
              <w:pStyle w:val="45"/>
              <w:bidi w:val="0"/>
            </w:pPr>
            <w:r>
              <w:rPr>
                <w:rFonts w:hint="default"/>
                <w:lang w:val="en-US" w:eastAsia="zh-CN"/>
              </w:rPr>
              <w:t>0.000003</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A343E4">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8D10AB">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D57F90">
            <w:pPr>
              <w:pStyle w:val="45"/>
              <w:bidi w:val="0"/>
            </w:pPr>
            <w:r>
              <w:rPr>
                <w:rFonts w:hint="eastAsia"/>
                <w:lang w:val="en-US" w:eastAsia="zh-CN"/>
              </w:rPr>
              <w:t>平均值</w:t>
            </w:r>
          </w:p>
        </w:tc>
      </w:tr>
      <w:tr w14:paraId="3CF1D959">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E8EB53">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5552DE">
            <w:pPr>
              <w:pStyle w:val="45"/>
              <w:bidi w:val="0"/>
            </w:pPr>
            <w:r>
              <w:rPr>
                <w:rFonts w:hint="eastAsia"/>
                <w:lang w:val="en-US" w:eastAsia="zh-CN"/>
              </w:rPr>
              <w:t>友爱村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B7137F">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48C3A">
            <w:pPr>
              <w:pStyle w:val="45"/>
              <w:bidi w:val="0"/>
            </w:pPr>
            <w:r>
              <w:rPr>
                <w:rFonts w:hint="default"/>
                <w:lang w:val="en-US" w:eastAsia="zh-CN"/>
              </w:rPr>
              <w:t>0.000003</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4CE68">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084C10">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F1EA43">
            <w:pPr>
              <w:pStyle w:val="45"/>
              <w:bidi w:val="0"/>
            </w:pPr>
            <w:r>
              <w:rPr>
                <w:rFonts w:hint="eastAsia"/>
                <w:lang w:val="en-US" w:eastAsia="zh-CN"/>
              </w:rPr>
              <w:t>平均值</w:t>
            </w:r>
          </w:p>
        </w:tc>
      </w:tr>
      <w:tr w14:paraId="39E8FC5E">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ED094E">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B480A5">
            <w:pPr>
              <w:pStyle w:val="45"/>
              <w:bidi w:val="0"/>
            </w:pPr>
            <w:r>
              <w:rPr>
                <w:rFonts w:hint="eastAsia"/>
                <w:lang w:val="en-US" w:eastAsia="zh-CN"/>
              </w:rPr>
              <w:t>江霞村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F8E00F">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8C0D6">
            <w:pPr>
              <w:pStyle w:val="45"/>
              <w:bidi w:val="0"/>
            </w:pPr>
            <w:r>
              <w:rPr>
                <w:rFonts w:hint="default"/>
                <w:lang w:val="en-US" w:eastAsia="zh-CN"/>
              </w:rPr>
              <w:t>0.000003</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073513">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215538">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ACB0AB">
            <w:pPr>
              <w:pStyle w:val="45"/>
              <w:bidi w:val="0"/>
            </w:pPr>
            <w:r>
              <w:rPr>
                <w:rFonts w:hint="eastAsia"/>
                <w:lang w:val="en-US" w:eastAsia="zh-CN"/>
              </w:rPr>
              <w:t>平均值</w:t>
            </w:r>
          </w:p>
        </w:tc>
      </w:tr>
      <w:tr w14:paraId="6BCF9162">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5B0021">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F66AA4">
            <w:pPr>
              <w:pStyle w:val="45"/>
              <w:bidi w:val="0"/>
            </w:pPr>
            <w:r>
              <w:rPr>
                <w:rFonts w:hint="eastAsia"/>
                <w:lang w:val="en-US" w:eastAsia="zh-CN"/>
              </w:rPr>
              <w:t>金兰村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88092D">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8F024">
            <w:pPr>
              <w:pStyle w:val="45"/>
              <w:bidi w:val="0"/>
            </w:pPr>
            <w:r>
              <w:rPr>
                <w:rFonts w:hint="default"/>
                <w:lang w:val="en-US" w:eastAsia="zh-CN"/>
              </w:rPr>
              <w:t>0.000001</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DF44DC">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C15B46">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7085DC">
            <w:pPr>
              <w:pStyle w:val="45"/>
              <w:bidi w:val="0"/>
            </w:pPr>
            <w:r>
              <w:rPr>
                <w:rFonts w:hint="eastAsia"/>
                <w:lang w:val="en-US" w:eastAsia="zh-CN"/>
              </w:rPr>
              <w:t>平均值</w:t>
            </w:r>
          </w:p>
        </w:tc>
      </w:tr>
      <w:tr w14:paraId="655FCDC7">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793CE6">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2525D9">
            <w:pPr>
              <w:pStyle w:val="45"/>
              <w:bidi w:val="0"/>
            </w:pPr>
            <w:r>
              <w:rPr>
                <w:rFonts w:hint="eastAsia"/>
                <w:lang w:val="en-US" w:eastAsia="zh-CN"/>
              </w:rPr>
              <w:t>大昌村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4D4B1E">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10794">
            <w:pPr>
              <w:pStyle w:val="45"/>
              <w:bidi w:val="0"/>
            </w:pPr>
            <w:r>
              <w:rPr>
                <w:rFonts w:hint="default"/>
                <w:lang w:val="en-US" w:eastAsia="zh-CN"/>
              </w:rPr>
              <w:t>0.000001</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77D5B5">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B2B9E1">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BD8404">
            <w:pPr>
              <w:pStyle w:val="45"/>
              <w:bidi w:val="0"/>
            </w:pPr>
            <w:r>
              <w:rPr>
                <w:rFonts w:hint="eastAsia"/>
                <w:lang w:val="en-US" w:eastAsia="zh-CN"/>
              </w:rPr>
              <w:t>平均值</w:t>
            </w:r>
          </w:p>
        </w:tc>
      </w:tr>
      <w:tr w14:paraId="2E11CF46">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E7B0EF">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927E28">
            <w:pPr>
              <w:pStyle w:val="45"/>
              <w:bidi w:val="0"/>
            </w:pPr>
            <w:r>
              <w:rPr>
                <w:rFonts w:hint="eastAsia"/>
                <w:lang w:val="en-US" w:eastAsia="zh-CN"/>
              </w:rPr>
              <w:t>区域最大落地浓度坐标（</w:t>
            </w:r>
            <w:r>
              <w:rPr>
                <w:rFonts w:hint="default"/>
                <w:lang w:val="en-US" w:eastAsia="zh-CN"/>
              </w:rPr>
              <w:t>-100</w:t>
            </w:r>
            <w:r>
              <w:rPr>
                <w:rFonts w:hint="eastAsia"/>
                <w:lang w:val="en-US" w:eastAsia="zh-CN"/>
              </w:rPr>
              <w:t>，</w:t>
            </w:r>
            <w:r>
              <w:rPr>
                <w:rFonts w:hint="default"/>
                <w:lang w:val="en-US" w:eastAsia="zh-CN"/>
              </w:rPr>
              <w:t>-100</w:t>
            </w:r>
            <w:r>
              <w:rPr>
                <w:rFonts w:hint="eastAsia"/>
                <w:lang w:val="en-US" w:eastAsia="zh-CN"/>
              </w:rPr>
              <w:t>）厂界外</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2B5F90">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F90E5">
            <w:pPr>
              <w:pStyle w:val="45"/>
              <w:bidi w:val="0"/>
            </w:pPr>
            <w:r>
              <w:rPr>
                <w:rFonts w:hint="default"/>
                <w:lang w:val="en-US" w:eastAsia="zh-CN"/>
              </w:rPr>
              <w:t>0.000115</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9BC9EA">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520F8D">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5F2515">
            <w:pPr>
              <w:pStyle w:val="45"/>
              <w:bidi w:val="0"/>
            </w:pPr>
            <w:r>
              <w:rPr>
                <w:rFonts w:hint="eastAsia"/>
                <w:lang w:val="en-US" w:eastAsia="zh-CN"/>
              </w:rPr>
              <w:t>平均值</w:t>
            </w:r>
          </w:p>
        </w:tc>
      </w:tr>
      <w:tr w14:paraId="72EB387D">
        <w:tblPrEx>
          <w:tblCellMar>
            <w:top w:w="0" w:type="dxa"/>
            <w:left w:w="108" w:type="dxa"/>
            <w:bottom w:w="0" w:type="dxa"/>
            <w:right w:w="108" w:type="dxa"/>
          </w:tblCellMar>
        </w:tblPrEx>
        <w:trPr>
          <w:trHeight w:val="170" w:hRule="atLeast"/>
        </w:trPr>
        <w:tc>
          <w:tcPr>
            <w:tcW w:w="35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CB5336D">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氯化氢（HCl）</w:t>
            </w: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2E7429">
            <w:pPr>
              <w:pStyle w:val="45"/>
              <w:bidi w:val="0"/>
            </w:pPr>
            <w:r>
              <w:rPr>
                <w:rFonts w:hint="eastAsia"/>
                <w:lang w:val="en-US" w:eastAsia="zh-CN"/>
              </w:rPr>
              <w:t>新安村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0FF794">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2BA16">
            <w:pPr>
              <w:pStyle w:val="45"/>
              <w:bidi w:val="0"/>
            </w:pPr>
            <w:r>
              <w:rPr>
                <w:rFonts w:hint="default"/>
                <w:lang w:val="en-US" w:eastAsia="zh-CN"/>
              </w:rPr>
              <w:t>0.000008</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8BBC63">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63EB42">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DD22BC">
            <w:pPr>
              <w:pStyle w:val="45"/>
              <w:bidi w:val="0"/>
            </w:pPr>
            <w:r>
              <w:rPr>
                <w:rFonts w:hint="eastAsia"/>
                <w:lang w:val="en-US" w:eastAsia="zh-CN"/>
              </w:rPr>
              <w:t>平均值</w:t>
            </w:r>
          </w:p>
        </w:tc>
      </w:tr>
      <w:tr w14:paraId="4809F845">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C07B91">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EFA153">
            <w:pPr>
              <w:pStyle w:val="45"/>
              <w:bidi w:val="0"/>
            </w:pPr>
            <w:r>
              <w:rPr>
                <w:rFonts w:hint="eastAsia"/>
                <w:lang w:val="en-US" w:eastAsia="zh-CN"/>
              </w:rPr>
              <w:t>松木村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A38BCE">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79A1D">
            <w:pPr>
              <w:pStyle w:val="45"/>
              <w:bidi w:val="0"/>
            </w:pPr>
            <w:r>
              <w:rPr>
                <w:rFonts w:hint="default"/>
                <w:lang w:val="en-US" w:eastAsia="zh-CN"/>
              </w:rPr>
              <w:t>0.000002</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107CFC">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35218">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85345F">
            <w:pPr>
              <w:pStyle w:val="45"/>
              <w:bidi w:val="0"/>
            </w:pPr>
            <w:r>
              <w:rPr>
                <w:rFonts w:hint="eastAsia"/>
                <w:lang w:val="en-US" w:eastAsia="zh-CN"/>
              </w:rPr>
              <w:t>平均值</w:t>
            </w:r>
          </w:p>
        </w:tc>
      </w:tr>
      <w:tr w14:paraId="0E485F5D">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247209">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15AAB">
            <w:pPr>
              <w:pStyle w:val="45"/>
              <w:bidi w:val="0"/>
            </w:pPr>
            <w:r>
              <w:rPr>
                <w:rFonts w:hint="eastAsia"/>
                <w:lang w:val="en-US" w:eastAsia="zh-CN"/>
              </w:rPr>
              <w:t>金源小学</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250E28">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AB43D4">
            <w:pPr>
              <w:pStyle w:val="45"/>
              <w:bidi w:val="0"/>
            </w:pPr>
            <w:r>
              <w:rPr>
                <w:rFonts w:hint="default"/>
                <w:lang w:val="en-US" w:eastAsia="zh-CN"/>
              </w:rPr>
              <w:t>0.000002</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6047B4">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BEFC54">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1EFA39">
            <w:pPr>
              <w:pStyle w:val="45"/>
              <w:bidi w:val="0"/>
            </w:pPr>
            <w:r>
              <w:rPr>
                <w:rFonts w:hint="eastAsia"/>
                <w:lang w:val="en-US" w:eastAsia="zh-CN"/>
              </w:rPr>
              <w:t>平均值</w:t>
            </w:r>
          </w:p>
        </w:tc>
      </w:tr>
      <w:tr w14:paraId="1CF398DA">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881373">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88E6E0">
            <w:pPr>
              <w:pStyle w:val="45"/>
              <w:bidi w:val="0"/>
            </w:pPr>
            <w:r>
              <w:rPr>
                <w:rFonts w:hint="eastAsia"/>
                <w:lang w:val="en-US" w:eastAsia="zh-CN"/>
              </w:rPr>
              <w:t>金源社区安置房</w:t>
            </w:r>
            <w:r>
              <w:rPr>
                <w:rFonts w:hint="default"/>
                <w:lang w:val="en-US" w:eastAsia="zh-CN"/>
              </w:rPr>
              <w:t>2</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12C5C0">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1824EE">
            <w:pPr>
              <w:pStyle w:val="45"/>
              <w:bidi w:val="0"/>
            </w:pPr>
            <w:r>
              <w:rPr>
                <w:rFonts w:hint="default"/>
                <w:lang w:val="en-US" w:eastAsia="zh-CN"/>
              </w:rPr>
              <w:t>0.000004</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71798">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194612">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730C42">
            <w:pPr>
              <w:pStyle w:val="45"/>
              <w:bidi w:val="0"/>
            </w:pPr>
            <w:r>
              <w:rPr>
                <w:rFonts w:hint="eastAsia"/>
                <w:lang w:val="en-US" w:eastAsia="zh-CN"/>
              </w:rPr>
              <w:t>平均值</w:t>
            </w:r>
          </w:p>
        </w:tc>
      </w:tr>
      <w:tr w14:paraId="4EE02A3F">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FF26EC">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9F1E03">
            <w:pPr>
              <w:pStyle w:val="45"/>
              <w:bidi w:val="0"/>
            </w:pPr>
            <w:r>
              <w:rPr>
                <w:rFonts w:hint="eastAsia"/>
                <w:lang w:val="en-US" w:eastAsia="zh-CN"/>
              </w:rPr>
              <w:t>金源社区医院</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72794F">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57FFA8">
            <w:pPr>
              <w:pStyle w:val="45"/>
              <w:bidi w:val="0"/>
            </w:pPr>
            <w:r>
              <w:rPr>
                <w:rFonts w:hint="default"/>
                <w:lang w:val="en-US" w:eastAsia="zh-CN"/>
              </w:rPr>
              <w:t>0.000004</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026D73">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841470">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A447AF">
            <w:pPr>
              <w:pStyle w:val="45"/>
              <w:bidi w:val="0"/>
            </w:pPr>
            <w:r>
              <w:rPr>
                <w:rFonts w:hint="eastAsia"/>
                <w:lang w:val="en-US" w:eastAsia="zh-CN"/>
              </w:rPr>
              <w:t>平均值</w:t>
            </w:r>
          </w:p>
        </w:tc>
      </w:tr>
      <w:tr w14:paraId="09DE5EFF">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82E330">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F87176">
            <w:pPr>
              <w:pStyle w:val="45"/>
              <w:bidi w:val="0"/>
            </w:pPr>
            <w:r>
              <w:rPr>
                <w:rFonts w:hint="eastAsia"/>
                <w:lang w:val="en-US" w:eastAsia="zh-CN"/>
              </w:rPr>
              <w:t>金源社区安置房</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8C8DC4">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62FD7D">
            <w:pPr>
              <w:pStyle w:val="45"/>
              <w:bidi w:val="0"/>
            </w:pPr>
            <w:r>
              <w:rPr>
                <w:rFonts w:hint="default"/>
                <w:lang w:val="en-US" w:eastAsia="zh-CN"/>
              </w:rPr>
              <w:t>0.000001</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A45BC3">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96782D">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9666CF">
            <w:pPr>
              <w:pStyle w:val="45"/>
              <w:bidi w:val="0"/>
            </w:pPr>
            <w:r>
              <w:rPr>
                <w:rFonts w:hint="eastAsia"/>
                <w:lang w:val="en-US" w:eastAsia="zh-CN"/>
              </w:rPr>
              <w:t>平均值</w:t>
            </w:r>
          </w:p>
        </w:tc>
      </w:tr>
      <w:tr w14:paraId="27235133">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5A9AFA">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BEF5BE">
            <w:pPr>
              <w:pStyle w:val="45"/>
              <w:bidi w:val="0"/>
            </w:pPr>
            <w:r>
              <w:rPr>
                <w:rFonts w:hint="eastAsia"/>
                <w:lang w:val="en-US" w:eastAsia="zh-CN"/>
              </w:rPr>
              <w:t>湖南工商职业学院</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3393BB">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523099">
            <w:pPr>
              <w:pStyle w:val="45"/>
              <w:bidi w:val="0"/>
            </w:pPr>
            <w:r>
              <w:rPr>
                <w:rFonts w:hint="default"/>
                <w:lang w:val="en-US" w:eastAsia="zh-CN"/>
              </w:rPr>
              <w:t>0.000001</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BA399C">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764F68">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81EE55">
            <w:pPr>
              <w:pStyle w:val="45"/>
              <w:bidi w:val="0"/>
            </w:pPr>
            <w:r>
              <w:rPr>
                <w:rFonts w:hint="eastAsia"/>
                <w:lang w:val="en-US" w:eastAsia="zh-CN"/>
              </w:rPr>
              <w:t>平均值</w:t>
            </w:r>
          </w:p>
        </w:tc>
      </w:tr>
      <w:tr w14:paraId="74414B2B">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CD58F5">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B06919">
            <w:pPr>
              <w:pStyle w:val="45"/>
              <w:bidi w:val="0"/>
            </w:pPr>
            <w:r>
              <w:rPr>
                <w:rFonts w:hint="eastAsia"/>
                <w:lang w:val="en-US" w:eastAsia="zh-CN"/>
              </w:rPr>
              <w:t>园区管委会</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E9112C">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F8732">
            <w:pPr>
              <w:pStyle w:val="45"/>
              <w:bidi w:val="0"/>
            </w:pPr>
            <w:r>
              <w:rPr>
                <w:rFonts w:hint="default"/>
                <w:lang w:val="en-US" w:eastAsia="zh-CN"/>
              </w:rPr>
              <w:t>0.000005</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F3898B">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AA91D4">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2187B2">
            <w:pPr>
              <w:pStyle w:val="45"/>
              <w:bidi w:val="0"/>
            </w:pPr>
            <w:r>
              <w:rPr>
                <w:rFonts w:hint="eastAsia"/>
                <w:lang w:val="en-US" w:eastAsia="zh-CN"/>
              </w:rPr>
              <w:t>平均值</w:t>
            </w:r>
          </w:p>
        </w:tc>
      </w:tr>
      <w:tr w14:paraId="48779A6B">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7D0235">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B03519">
            <w:pPr>
              <w:pStyle w:val="45"/>
              <w:bidi w:val="0"/>
            </w:pPr>
            <w:r>
              <w:rPr>
                <w:rFonts w:hint="eastAsia"/>
                <w:lang w:val="en-US" w:eastAsia="zh-CN"/>
              </w:rPr>
              <w:t>松木中学</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E0596B">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415B7">
            <w:pPr>
              <w:pStyle w:val="45"/>
              <w:bidi w:val="0"/>
            </w:pPr>
            <w:r>
              <w:rPr>
                <w:rFonts w:hint="default"/>
                <w:lang w:val="en-US" w:eastAsia="zh-CN"/>
              </w:rPr>
              <w:t>0.000001</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F3C873">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60DC43">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1083EB">
            <w:pPr>
              <w:pStyle w:val="45"/>
              <w:bidi w:val="0"/>
            </w:pPr>
            <w:r>
              <w:rPr>
                <w:rFonts w:hint="eastAsia"/>
                <w:lang w:val="en-US" w:eastAsia="zh-CN"/>
              </w:rPr>
              <w:t>平均值</w:t>
            </w:r>
          </w:p>
        </w:tc>
      </w:tr>
      <w:tr w14:paraId="0E390834">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09B078">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F89AEA">
            <w:pPr>
              <w:pStyle w:val="45"/>
              <w:bidi w:val="0"/>
            </w:pPr>
            <w:r>
              <w:rPr>
                <w:rFonts w:hint="eastAsia"/>
                <w:lang w:val="en-US" w:eastAsia="zh-CN"/>
              </w:rPr>
              <w:t>松木村</w:t>
            </w:r>
            <w:r>
              <w:rPr>
                <w:rFonts w:hint="default"/>
                <w:lang w:val="en-US" w:eastAsia="zh-CN"/>
              </w:rPr>
              <w:t>2</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A13D8C">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20048">
            <w:pPr>
              <w:pStyle w:val="45"/>
              <w:bidi w:val="0"/>
            </w:pPr>
            <w:r>
              <w:rPr>
                <w:rFonts w:hint="default"/>
                <w:lang w:val="en-US" w:eastAsia="zh-CN"/>
              </w:rPr>
              <w:t>0.000007</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67DDBD">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E27AE1">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491597">
            <w:pPr>
              <w:pStyle w:val="45"/>
              <w:bidi w:val="0"/>
            </w:pPr>
            <w:r>
              <w:rPr>
                <w:rFonts w:hint="eastAsia"/>
                <w:lang w:val="en-US" w:eastAsia="zh-CN"/>
              </w:rPr>
              <w:t>平均值</w:t>
            </w:r>
          </w:p>
        </w:tc>
      </w:tr>
      <w:tr w14:paraId="2C117217">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2FD306">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2BE4D0">
            <w:pPr>
              <w:pStyle w:val="45"/>
              <w:bidi w:val="0"/>
            </w:pPr>
            <w:r>
              <w:rPr>
                <w:rFonts w:hint="eastAsia"/>
                <w:lang w:val="en-US" w:eastAsia="zh-CN"/>
              </w:rPr>
              <w:t>园区安置房</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94A850">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97E63">
            <w:pPr>
              <w:pStyle w:val="45"/>
              <w:bidi w:val="0"/>
            </w:pPr>
            <w:r>
              <w:rPr>
                <w:rFonts w:hint="default"/>
                <w:lang w:val="en-US" w:eastAsia="zh-CN"/>
              </w:rPr>
              <w:t>0.000009</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B3D82E">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74D04">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338F2E">
            <w:pPr>
              <w:pStyle w:val="45"/>
              <w:bidi w:val="0"/>
            </w:pPr>
            <w:r>
              <w:rPr>
                <w:rFonts w:hint="eastAsia"/>
                <w:lang w:val="en-US" w:eastAsia="zh-CN"/>
              </w:rPr>
              <w:t>平均值</w:t>
            </w:r>
          </w:p>
        </w:tc>
      </w:tr>
      <w:tr w14:paraId="2C36DA4B">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22E9B6">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2909B6">
            <w:pPr>
              <w:pStyle w:val="45"/>
              <w:bidi w:val="0"/>
            </w:pPr>
            <w:r>
              <w:rPr>
                <w:rFonts w:hint="eastAsia"/>
                <w:lang w:val="en-US" w:eastAsia="zh-CN"/>
              </w:rPr>
              <w:t>友谊村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55EDCC">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114BC">
            <w:pPr>
              <w:pStyle w:val="45"/>
              <w:bidi w:val="0"/>
            </w:pPr>
            <w:r>
              <w:rPr>
                <w:rFonts w:hint="default"/>
                <w:lang w:val="en-US" w:eastAsia="zh-CN"/>
              </w:rPr>
              <w:t>0.00002</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5F9793">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A5489A">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BB08D1">
            <w:pPr>
              <w:pStyle w:val="45"/>
              <w:bidi w:val="0"/>
            </w:pPr>
            <w:r>
              <w:rPr>
                <w:rFonts w:hint="eastAsia"/>
                <w:lang w:val="en-US" w:eastAsia="zh-CN"/>
              </w:rPr>
              <w:t>平均值</w:t>
            </w:r>
          </w:p>
        </w:tc>
      </w:tr>
      <w:tr w14:paraId="6565DF28">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1C0FE1">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F35E56">
            <w:pPr>
              <w:pStyle w:val="45"/>
              <w:bidi w:val="0"/>
            </w:pPr>
            <w:r>
              <w:rPr>
                <w:rFonts w:hint="eastAsia"/>
                <w:lang w:val="en-US" w:eastAsia="zh-CN"/>
              </w:rPr>
              <w:t>龙谊村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FEF14A">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994651">
            <w:pPr>
              <w:pStyle w:val="45"/>
              <w:bidi w:val="0"/>
            </w:pPr>
            <w:r>
              <w:rPr>
                <w:rFonts w:hint="default"/>
                <w:lang w:val="en-US" w:eastAsia="zh-CN"/>
              </w:rPr>
              <w:t>0.00001</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E652C">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068842">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7F87B7">
            <w:pPr>
              <w:pStyle w:val="45"/>
              <w:bidi w:val="0"/>
            </w:pPr>
            <w:r>
              <w:rPr>
                <w:rFonts w:hint="eastAsia"/>
                <w:lang w:val="en-US" w:eastAsia="zh-CN"/>
              </w:rPr>
              <w:t>平均值</w:t>
            </w:r>
          </w:p>
        </w:tc>
      </w:tr>
      <w:tr w14:paraId="74F204E3">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5ABB40">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181445">
            <w:pPr>
              <w:pStyle w:val="45"/>
              <w:bidi w:val="0"/>
            </w:pPr>
            <w:r>
              <w:rPr>
                <w:rFonts w:hint="eastAsia"/>
                <w:lang w:val="en-US" w:eastAsia="zh-CN"/>
              </w:rPr>
              <w:t>友爱村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AD1537">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95F6E">
            <w:pPr>
              <w:pStyle w:val="45"/>
              <w:bidi w:val="0"/>
            </w:pPr>
            <w:r>
              <w:rPr>
                <w:rFonts w:hint="default"/>
                <w:lang w:val="en-US" w:eastAsia="zh-CN"/>
              </w:rPr>
              <w:t>0.000008</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C18D43">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D53E50">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C78C1D">
            <w:pPr>
              <w:pStyle w:val="45"/>
              <w:bidi w:val="0"/>
            </w:pPr>
            <w:r>
              <w:rPr>
                <w:rFonts w:hint="eastAsia"/>
                <w:lang w:val="en-US" w:eastAsia="zh-CN"/>
              </w:rPr>
              <w:t>平均值</w:t>
            </w:r>
          </w:p>
        </w:tc>
      </w:tr>
      <w:tr w14:paraId="7B672C7C">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3DF78E">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81B2B2">
            <w:pPr>
              <w:pStyle w:val="45"/>
              <w:bidi w:val="0"/>
            </w:pPr>
            <w:r>
              <w:rPr>
                <w:rFonts w:hint="eastAsia"/>
                <w:lang w:val="en-US" w:eastAsia="zh-CN"/>
              </w:rPr>
              <w:t>江霞村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1AC73E">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52AFD">
            <w:pPr>
              <w:pStyle w:val="45"/>
              <w:bidi w:val="0"/>
            </w:pPr>
            <w:r>
              <w:rPr>
                <w:rFonts w:hint="default"/>
                <w:lang w:val="en-US" w:eastAsia="zh-CN"/>
              </w:rPr>
              <w:t>0.000008</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3206A3">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8745FF">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5F7A6B">
            <w:pPr>
              <w:pStyle w:val="45"/>
              <w:bidi w:val="0"/>
            </w:pPr>
            <w:r>
              <w:rPr>
                <w:rFonts w:hint="eastAsia"/>
                <w:lang w:val="en-US" w:eastAsia="zh-CN"/>
              </w:rPr>
              <w:t>平均值</w:t>
            </w:r>
          </w:p>
        </w:tc>
      </w:tr>
      <w:tr w14:paraId="63122E8F">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F34C4A">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920917">
            <w:pPr>
              <w:pStyle w:val="45"/>
              <w:bidi w:val="0"/>
            </w:pPr>
            <w:r>
              <w:rPr>
                <w:rFonts w:hint="eastAsia"/>
                <w:lang w:val="en-US" w:eastAsia="zh-CN"/>
              </w:rPr>
              <w:t>金兰村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4A0E67">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672129">
            <w:pPr>
              <w:pStyle w:val="45"/>
              <w:bidi w:val="0"/>
            </w:pPr>
            <w:r>
              <w:rPr>
                <w:rFonts w:hint="default"/>
                <w:lang w:val="en-US" w:eastAsia="zh-CN"/>
              </w:rPr>
              <w:t>0.000004</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77B9C2">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571594">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39D3A9">
            <w:pPr>
              <w:pStyle w:val="45"/>
              <w:bidi w:val="0"/>
            </w:pPr>
            <w:r>
              <w:rPr>
                <w:rFonts w:hint="eastAsia"/>
                <w:lang w:val="en-US" w:eastAsia="zh-CN"/>
              </w:rPr>
              <w:t>平均值</w:t>
            </w:r>
          </w:p>
        </w:tc>
      </w:tr>
      <w:tr w14:paraId="6C47C729">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394849">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B3F33E">
            <w:pPr>
              <w:pStyle w:val="45"/>
              <w:bidi w:val="0"/>
            </w:pPr>
            <w:r>
              <w:rPr>
                <w:rFonts w:hint="eastAsia"/>
                <w:lang w:val="en-US" w:eastAsia="zh-CN"/>
              </w:rPr>
              <w:t>大昌村</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26B1CD">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17BEC6">
            <w:pPr>
              <w:pStyle w:val="45"/>
              <w:bidi w:val="0"/>
            </w:pPr>
            <w:r>
              <w:rPr>
                <w:rFonts w:hint="default"/>
                <w:lang w:val="en-US" w:eastAsia="zh-CN"/>
              </w:rPr>
              <w:t>0.000004</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B1AD6B">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68C7A8">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4E14A">
            <w:pPr>
              <w:pStyle w:val="45"/>
              <w:bidi w:val="0"/>
            </w:pPr>
            <w:r>
              <w:rPr>
                <w:rFonts w:hint="eastAsia"/>
                <w:lang w:val="en-US" w:eastAsia="zh-CN"/>
              </w:rPr>
              <w:t>平均值</w:t>
            </w:r>
          </w:p>
        </w:tc>
      </w:tr>
      <w:tr w14:paraId="72E2A483">
        <w:tblPrEx>
          <w:tblCellMar>
            <w:top w:w="0" w:type="dxa"/>
            <w:left w:w="108" w:type="dxa"/>
            <w:bottom w:w="0" w:type="dxa"/>
            <w:right w:w="108" w:type="dxa"/>
          </w:tblCellMar>
        </w:tblPrEx>
        <w:trPr>
          <w:trHeight w:val="170" w:hRule="atLeast"/>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94A794">
            <w:pPr>
              <w:widowControl/>
              <w:spacing w:line="240" w:lineRule="auto"/>
              <w:ind w:firstLine="0" w:firstLineChars="0"/>
              <w:jc w:val="center"/>
              <w:rPr>
                <w:rFonts w:cs="宋体"/>
                <w:color w:val="000000"/>
                <w:sz w:val="21"/>
                <w:szCs w:val="22"/>
              </w:rPr>
            </w:pPr>
          </w:p>
        </w:tc>
        <w:tc>
          <w:tcPr>
            <w:tcW w:w="30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295359">
            <w:pPr>
              <w:pStyle w:val="45"/>
              <w:bidi w:val="0"/>
            </w:pPr>
            <w:r>
              <w:rPr>
                <w:rFonts w:hint="eastAsia"/>
                <w:lang w:val="en-US" w:eastAsia="zh-CN"/>
              </w:rPr>
              <w:t>区域最大落地浓度坐标（</w:t>
            </w:r>
            <w:r>
              <w:rPr>
                <w:rFonts w:hint="default"/>
                <w:lang w:val="en-US" w:eastAsia="zh-CN"/>
              </w:rPr>
              <w:t>-100</w:t>
            </w:r>
            <w:r>
              <w:rPr>
                <w:rFonts w:hint="eastAsia"/>
                <w:lang w:val="en-US" w:eastAsia="zh-CN"/>
              </w:rPr>
              <w:t>，</w:t>
            </w:r>
            <w:r>
              <w:rPr>
                <w:rFonts w:hint="default"/>
                <w:lang w:val="en-US" w:eastAsia="zh-CN"/>
              </w:rPr>
              <w:t>-100</w:t>
            </w:r>
            <w:r>
              <w:rPr>
                <w:rFonts w:hint="eastAsia"/>
                <w:lang w:val="en-US" w:eastAsia="zh-CN"/>
              </w:rPr>
              <w:t>）厂界外</w:t>
            </w: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9E550">
            <w:pPr>
              <w:pStyle w:val="45"/>
              <w:bidi w:val="0"/>
            </w:pPr>
            <w:r>
              <w:rPr>
                <w:rFonts w:hint="default"/>
                <w:lang w:val="en-US" w:eastAsia="zh-CN"/>
              </w:rPr>
              <w:t>/</w:t>
            </w:r>
          </w:p>
        </w:tc>
        <w:tc>
          <w:tcPr>
            <w:tcW w:w="2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378FC">
            <w:pPr>
              <w:pStyle w:val="45"/>
              <w:bidi w:val="0"/>
            </w:pPr>
            <w:r>
              <w:rPr>
                <w:rFonts w:hint="default"/>
                <w:lang w:val="en-US" w:eastAsia="zh-CN"/>
              </w:rPr>
              <w:t>0.000253</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6CB6A6">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2EFFA5">
            <w:pPr>
              <w:pStyle w:val="45"/>
              <w:bidi w:val="0"/>
            </w:pPr>
            <w:r>
              <w:rPr>
                <w:rFonts w:hint="default"/>
                <w:lang w:val="en-US" w:eastAsia="zh-CN"/>
              </w:rPr>
              <w:t>/</w:t>
            </w:r>
          </w:p>
        </w:tc>
        <w:tc>
          <w:tcPr>
            <w:tcW w:w="1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F6C5DD">
            <w:pPr>
              <w:pStyle w:val="45"/>
              <w:bidi w:val="0"/>
            </w:pPr>
            <w:r>
              <w:rPr>
                <w:rFonts w:hint="eastAsia"/>
                <w:lang w:val="en-US" w:eastAsia="zh-CN"/>
              </w:rPr>
              <w:t>平均值</w:t>
            </w:r>
          </w:p>
        </w:tc>
      </w:tr>
    </w:tbl>
    <w:p w14:paraId="5A6866A7">
      <w:pPr>
        <w:ind w:firstLine="0" w:firstLineChars="0"/>
        <w:rPr>
          <w:b/>
          <w:bCs/>
        </w:rPr>
      </w:pPr>
    </w:p>
    <w:p w14:paraId="67D3BFA8">
      <w:pPr>
        <w:ind w:firstLine="0" w:firstLineChars="0"/>
        <w:rPr>
          <w:b/>
          <w:bCs/>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tbl>
      <w:tblPr>
        <w:tblStyle w:val="33"/>
        <w:tblpPr w:leftFromText="180" w:rightFromText="180" w:vertAnchor="page" w:horzAnchor="page" w:tblpX="1826" w:tblpY="2105"/>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29B2A8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20E2DDBF">
            <w:pPr>
              <w:spacing w:line="240" w:lineRule="auto"/>
              <w:ind w:firstLine="0" w:firstLineChars="0"/>
              <w:rPr>
                <w:rFonts w:cs="Times New Roman"/>
                <w:b/>
                <w:bCs/>
                <w:sz w:val="21"/>
                <w:szCs w:val="21"/>
              </w:rPr>
            </w:pPr>
            <w:r>
              <w:drawing>
                <wp:inline distT="0" distB="0" distL="114300" distR="114300">
                  <wp:extent cx="5267960" cy="4161790"/>
                  <wp:effectExtent l="0" t="0" r="8890" b="10160"/>
                  <wp:docPr id="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7"/>
                          <pic:cNvPicPr>
                            <a:picLocks noChangeAspect="1"/>
                          </pic:cNvPicPr>
                        </pic:nvPicPr>
                        <pic:blipFill>
                          <a:blip r:embed="rId153"/>
                          <a:stretch>
                            <a:fillRect/>
                          </a:stretch>
                        </pic:blipFill>
                        <pic:spPr>
                          <a:xfrm>
                            <a:off x="0" y="0"/>
                            <a:ext cx="5267960" cy="4161790"/>
                          </a:xfrm>
                          <a:prstGeom prst="rect">
                            <a:avLst/>
                          </a:prstGeom>
                          <a:noFill/>
                          <a:ln>
                            <a:noFill/>
                          </a:ln>
                        </pic:spPr>
                      </pic:pic>
                    </a:graphicData>
                  </a:graphic>
                </wp:inline>
              </w:drawing>
            </w:r>
          </w:p>
        </w:tc>
      </w:tr>
      <w:tr w14:paraId="0B409B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24525D1F">
            <w:pPr>
              <w:widowControl/>
              <w:tabs>
                <w:tab w:val="left" w:pos="420"/>
              </w:tabs>
              <w:spacing w:line="240" w:lineRule="auto"/>
              <w:ind w:firstLine="0" w:firstLineChars="0"/>
              <w:jc w:val="center"/>
              <w:textAlignment w:val="center"/>
              <w:rPr>
                <w:rFonts w:cs="Times New Roman"/>
                <w:b/>
                <w:bCs/>
                <w:snapToGrid w:val="0"/>
                <w:kern w:val="0"/>
                <w:sz w:val="21"/>
                <w:szCs w:val="21"/>
              </w:rPr>
            </w:pPr>
            <w:r>
              <w:rPr>
                <w:rFonts w:hint="eastAsia" w:cs="Times New Roman"/>
                <w:b/>
                <w:bCs/>
                <w:snapToGrid w:val="0"/>
                <w:kern w:val="0"/>
                <w:sz w:val="21"/>
                <w:szCs w:val="21"/>
              </w:rPr>
              <w:t>颗粒物（</w:t>
            </w:r>
            <w:r>
              <w:rPr>
                <w:rFonts w:hint="eastAsia" w:cs="Times New Roman"/>
                <w:color w:val="000000"/>
                <w:sz w:val="21"/>
                <w:szCs w:val="21"/>
                <w:lang w:val="en-US" w:eastAsia="zh-CN"/>
              </w:rPr>
              <w:t>TSP</w:t>
            </w:r>
            <w:r>
              <w:rPr>
                <w:rFonts w:hint="eastAsia" w:cs="Times New Roman"/>
                <w:b/>
                <w:bCs/>
                <w:snapToGrid w:val="0"/>
                <w:kern w:val="0"/>
                <w:sz w:val="21"/>
                <w:szCs w:val="21"/>
              </w:rPr>
              <w:t>）正常排放小时贡献值分布图</w:t>
            </w:r>
          </w:p>
        </w:tc>
      </w:tr>
      <w:tr w14:paraId="5A056B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2EA5E2C2">
            <w:pPr>
              <w:widowControl/>
              <w:tabs>
                <w:tab w:val="left" w:pos="420"/>
              </w:tabs>
              <w:spacing w:line="240" w:lineRule="auto"/>
              <w:ind w:firstLine="0" w:firstLineChars="0"/>
              <w:jc w:val="center"/>
              <w:textAlignment w:val="center"/>
              <w:rPr>
                <w:rFonts w:cs="Times New Roman"/>
                <w:b/>
                <w:bCs/>
                <w:snapToGrid w:val="0"/>
                <w:kern w:val="0"/>
                <w:sz w:val="21"/>
                <w:szCs w:val="21"/>
              </w:rPr>
            </w:pPr>
            <w:r>
              <w:drawing>
                <wp:inline distT="0" distB="0" distL="114300" distR="114300">
                  <wp:extent cx="5268595" cy="3938270"/>
                  <wp:effectExtent l="0" t="0" r="8255" b="5080"/>
                  <wp:docPr id="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8"/>
                          <pic:cNvPicPr>
                            <a:picLocks noChangeAspect="1"/>
                          </pic:cNvPicPr>
                        </pic:nvPicPr>
                        <pic:blipFill>
                          <a:blip r:embed="rId154"/>
                          <a:stretch>
                            <a:fillRect/>
                          </a:stretch>
                        </pic:blipFill>
                        <pic:spPr>
                          <a:xfrm>
                            <a:off x="0" y="0"/>
                            <a:ext cx="5268595" cy="3938270"/>
                          </a:xfrm>
                          <a:prstGeom prst="rect">
                            <a:avLst/>
                          </a:prstGeom>
                          <a:noFill/>
                          <a:ln>
                            <a:noFill/>
                          </a:ln>
                        </pic:spPr>
                      </pic:pic>
                    </a:graphicData>
                  </a:graphic>
                </wp:inline>
              </w:drawing>
            </w:r>
          </w:p>
        </w:tc>
      </w:tr>
      <w:tr w14:paraId="42D098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00891B60">
            <w:pPr>
              <w:widowControl/>
              <w:tabs>
                <w:tab w:val="left" w:pos="420"/>
              </w:tabs>
              <w:spacing w:line="240" w:lineRule="auto"/>
              <w:ind w:firstLine="0" w:firstLineChars="0"/>
              <w:jc w:val="center"/>
              <w:textAlignment w:val="center"/>
              <w:rPr>
                <w:rFonts w:cs="Times New Roman"/>
                <w:b/>
                <w:bCs/>
                <w:snapToGrid w:val="0"/>
                <w:kern w:val="0"/>
                <w:sz w:val="21"/>
                <w:szCs w:val="21"/>
              </w:rPr>
            </w:pPr>
            <w:r>
              <w:rPr>
                <w:rFonts w:hint="eastAsia" w:cs="Times New Roman"/>
                <w:b/>
                <w:bCs/>
                <w:snapToGrid w:val="0"/>
                <w:kern w:val="0"/>
                <w:sz w:val="21"/>
                <w:szCs w:val="21"/>
              </w:rPr>
              <w:t>颗粒物（</w:t>
            </w:r>
            <w:r>
              <w:rPr>
                <w:rFonts w:hint="eastAsia" w:cs="Times New Roman"/>
                <w:color w:val="000000"/>
                <w:sz w:val="21"/>
                <w:szCs w:val="21"/>
                <w:lang w:val="en-US" w:eastAsia="zh-CN"/>
              </w:rPr>
              <w:t>TSP</w:t>
            </w:r>
            <w:r>
              <w:rPr>
                <w:rFonts w:hint="eastAsia" w:cs="Times New Roman"/>
                <w:b/>
                <w:bCs/>
                <w:snapToGrid w:val="0"/>
                <w:kern w:val="0"/>
                <w:sz w:val="21"/>
                <w:szCs w:val="21"/>
              </w:rPr>
              <w:t>）正常排放日均贡献值分布图</w:t>
            </w:r>
          </w:p>
        </w:tc>
      </w:tr>
      <w:tr w14:paraId="4CAACC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1E50BAA5">
            <w:pPr>
              <w:widowControl/>
              <w:tabs>
                <w:tab w:val="left" w:pos="420"/>
              </w:tabs>
              <w:spacing w:line="240" w:lineRule="auto"/>
              <w:ind w:firstLine="0" w:firstLineChars="0"/>
              <w:jc w:val="center"/>
              <w:textAlignment w:val="center"/>
              <w:rPr>
                <w:rFonts w:cs="Times New Roman"/>
                <w:b/>
                <w:bCs/>
                <w:snapToGrid w:val="0"/>
                <w:kern w:val="0"/>
                <w:sz w:val="21"/>
                <w:szCs w:val="21"/>
              </w:rPr>
            </w:pPr>
            <w:r>
              <w:drawing>
                <wp:inline distT="0" distB="0" distL="114300" distR="114300">
                  <wp:extent cx="5268595" cy="3893820"/>
                  <wp:effectExtent l="0" t="0" r="8255" b="11430"/>
                  <wp:docPr id="1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9"/>
                          <pic:cNvPicPr>
                            <a:picLocks noChangeAspect="1"/>
                          </pic:cNvPicPr>
                        </pic:nvPicPr>
                        <pic:blipFill>
                          <a:blip r:embed="rId155"/>
                          <a:stretch>
                            <a:fillRect/>
                          </a:stretch>
                        </pic:blipFill>
                        <pic:spPr>
                          <a:xfrm>
                            <a:off x="0" y="0"/>
                            <a:ext cx="5268595" cy="3893820"/>
                          </a:xfrm>
                          <a:prstGeom prst="rect">
                            <a:avLst/>
                          </a:prstGeom>
                          <a:noFill/>
                          <a:ln>
                            <a:noFill/>
                          </a:ln>
                        </pic:spPr>
                      </pic:pic>
                    </a:graphicData>
                  </a:graphic>
                </wp:inline>
              </w:drawing>
            </w:r>
          </w:p>
        </w:tc>
      </w:tr>
      <w:tr w14:paraId="41EE8E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4778D456">
            <w:pPr>
              <w:widowControl/>
              <w:tabs>
                <w:tab w:val="left" w:pos="420"/>
              </w:tabs>
              <w:spacing w:line="240" w:lineRule="auto"/>
              <w:ind w:firstLine="0" w:firstLineChars="0"/>
              <w:jc w:val="center"/>
              <w:textAlignment w:val="center"/>
              <w:rPr>
                <w:rFonts w:cs="Times New Roman"/>
                <w:b/>
                <w:bCs/>
                <w:snapToGrid w:val="0"/>
                <w:kern w:val="0"/>
                <w:sz w:val="21"/>
                <w:szCs w:val="21"/>
              </w:rPr>
            </w:pPr>
            <w:r>
              <w:rPr>
                <w:rFonts w:hint="eastAsia" w:cs="Times New Roman"/>
                <w:b/>
                <w:bCs/>
                <w:snapToGrid w:val="0"/>
                <w:kern w:val="0"/>
                <w:sz w:val="21"/>
                <w:szCs w:val="21"/>
              </w:rPr>
              <w:t>颗粒物（</w:t>
            </w:r>
            <w:r>
              <w:rPr>
                <w:rFonts w:hint="eastAsia" w:cs="Times New Roman"/>
                <w:b/>
                <w:bCs/>
                <w:color w:val="000000"/>
                <w:sz w:val="21"/>
                <w:szCs w:val="21"/>
              </w:rPr>
              <w:t>PM</w:t>
            </w:r>
            <w:r>
              <w:rPr>
                <w:rFonts w:hint="eastAsia" w:cs="Times New Roman"/>
                <w:b/>
                <w:bCs/>
                <w:color w:val="000000"/>
                <w:sz w:val="21"/>
                <w:szCs w:val="21"/>
                <w:vertAlign w:val="subscript"/>
              </w:rPr>
              <w:t>10</w:t>
            </w:r>
            <w:r>
              <w:rPr>
                <w:rFonts w:hint="eastAsia" w:cs="Times New Roman"/>
                <w:b/>
                <w:bCs/>
                <w:snapToGrid w:val="0"/>
                <w:kern w:val="0"/>
                <w:sz w:val="21"/>
                <w:szCs w:val="21"/>
              </w:rPr>
              <w:t>）正常排放</w:t>
            </w:r>
            <w:r>
              <w:rPr>
                <w:rFonts w:hint="eastAsia" w:cs="Times New Roman"/>
                <w:b/>
                <w:bCs/>
                <w:snapToGrid w:val="0"/>
                <w:kern w:val="0"/>
                <w:sz w:val="21"/>
                <w:szCs w:val="21"/>
                <w:lang w:val="en-US" w:eastAsia="zh-CN"/>
              </w:rPr>
              <w:t>年均</w:t>
            </w:r>
            <w:r>
              <w:rPr>
                <w:rFonts w:hint="eastAsia" w:cs="Times New Roman"/>
                <w:b/>
                <w:bCs/>
                <w:snapToGrid w:val="0"/>
                <w:kern w:val="0"/>
                <w:sz w:val="21"/>
                <w:szCs w:val="21"/>
              </w:rPr>
              <w:t>贡献值分布图</w:t>
            </w:r>
          </w:p>
        </w:tc>
      </w:tr>
      <w:tr w14:paraId="4D9763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43372814">
            <w:pPr>
              <w:widowControl/>
              <w:tabs>
                <w:tab w:val="left" w:pos="420"/>
              </w:tabs>
              <w:spacing w:line="240" w:lineRule="auto"/>
              <w:ind w:firstLine="0" w:firstLineChars="0"/>
              <w:jc w:val="center"/>
              <w:textAlignment w:val="center"/>
              <w:rPr>
                <w:rFonts w:cs="Times New Roman"/>
                <w:b/>
                <w:bCs/>
                <w:snapToGrid w:val="0"/>
                <w:kern w:val="0"/>
                <w:sz w:val="21"/>
                <w:szCs w:val="21"/>
              </w:rPr>
            </w:pPr>
            <w:r>
              <w:drawing>
                <wp:inline distT="0" distB="0" distL="114300" distR="114300">
                  <wp:extent cx="5272405" cy="4055745"/>
                  <wp:effectExtent l="0" t="0" r="4445" b="1905"/>
                  <wp:docPr id="5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0"/>
                          <pic:cNvPicPr>
                            <a:picLocks noChangeAspect="1"/>
                          </pic:cNvPicPr>
                        </pic:nvPicPr>
                        <pic:blipFill>
                          <a:blip r:embed="rId156"/>
                          <a:stretch>
                            <a:fillRect/>
                          </a:stretch>
                        </pic:blipFill>
                        <pic:spPr>
                          <a:xfrm>
                            <a:off x="0" y="0"/>
                            <a:ext cx="5272405" cy="4055745"/>
                          </a:xfrm>
                          <a:prstGeom prst="rect">
                            <a:avLst/>
                          </a:prstGeom>
                          <a:noFill/>
                          <a:ln>
                            <a:noFill/>
                          </a:ln>
                        </pic:spPr>
                      </pic:pic>
                    </a:graphicData>
                  </a:graphic>
                </wp:inline>
              </w:drawing>
            </w:r>
          </w:p>
        </w:tc>
      </w:tr>
      <w:tr w14:paraId="1C4370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4F3499F7">
            <w:pPr>
              <w:widowControl/>
              <w:tabs>
                <w:tab w:val="left" w:pos="420"/>
              </w:tabs>
              <w:spacing w:line="240" w:lineRule="auto"/>
              <w:ind w:firstLine="0" w:firstLineChars="0"/>
              <w:jc w:val="center"/>
              <w:textAlignment w:val="center"/>
              <w:rPr>
                <w:rFonts w:cs="Times New Roman"/>
                <w:b/>
                <w:bCs/>
                <w:snapToGrid w:val="0"/>
                <w:kern w:val="0"/>
                <w:sz w:val="21"/>
                <w:szCs w:val="21"/>
              </w:rPr>
            </w:pPr>
            <w:r>
              <w:rPr>
                <w:rFonts w:hint="eastAsia" w:cs="Times New Roman"/>
                <w:b/>
                <w:bCs/>
                <w:snapToGrid w:val="0"/>
                <w:kern w:val="0"/>
                <w:sz w:val="21"/>
                <w:szCs w:val="21"/>
              </w:rPr>
              <w:t>氯气（Cl</w:t>
            </w:r>
            <w:r>
              <w:rPr>
                <w:rFonts w:hint="eastAsia" w:cs="Times New Roman"/>
                <w:b/>
                <w:bCs/>
                <w:snapToGrid w:val="0"/>
                <w:kern w:val="0"/>
                <w:sz w:val="21"/>
                <w:szCs w:val="21"/>
                <w:vertAlign w:val="subscript"/>
              </w:rPr>
              <w:t>2</w:t>
            </w:r>
            <w:r>
              <w:rPr>
                <w:rFonts w:hint="eastAsia" w:cs="Times New Roman"/>
                <w:b/>
                <w:bCs/>
                <w:snapToGrid w:val="0"/>
                <w:kern w:val="0"/>
                <w:sz w:val="21"/>
                <w:szCs w:val="21"/>
              </w:rPr>
              <w:t>）正常排放小时贡献值分布图</w:t>
            </w:r>
          </w:p>
        </w:tc>
      </w:tr>
      <w:tr w14:paraId="75A72B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2" w:hRule="atLeast"/>
        </w:trPr>
        <w:tc>
          <w:tcPr>
            <w:tcW w:w="8522" w:type="dxa"/>
          </w:tcPr>
          <w:p w14:paraId="5BDDD1FF">
            <w:pPr>
              <w:widowControl/>
              <w:tabs>
                <w:tab w:val="left" w:pos="420"/>
              </w:tabs>
              <w:spacing w:line="240" w:lineRule="auto"/>
              <w:ind w:firstLine="0" w:firstLineChars="0"/>
              <w:jc w:val="center"/>
              <w:textAlignment w:val="center"/>
              <w:rPr>
                <w:rFonts w:cs="Times New Roman"/>
                <w:b/>
                <w:bCs/>
                <w:snapToGrid w:val="0"/>
                <w:kern w:val="0"/>
                <w:sz w:val="21"/>
                <w:szCs w:val="21"/>
              </w:rPr>
            </w:pPr>
            <w:r>
              <w:drawing>
                <wp:inline distT="0" distB="0" distL="114300" distR="114300">
                  <wp:extent cx="5267325" cy="3747135"/>
                  <wp:effectExtent l="0" t="0" r="9525" b="5715"/>
                  <wp:docPr id="5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1"/>
                          <pic:cNvPicPr>
                            <a:picLocks noChangeAspect="1"/>
                          </pic:cNvPicPr>
                        </pic:nvPicPr>
                        <pic:blipFill>
                          <a:blip r:embed="rId157"/>
                          <a:stretch>
                            <a:fillRect/>
                          </a:stretch>
                        </pic:blipFill>
                        <pic:spPr>
                          <a:xfrm>
                            <a:off x="0" y="0"/>
                            <a:ext cx="5267325" cy="3747135"/>
                          </a:xfrm>
                          <a:prstGeom prst="rect">
                            <a:avLst/>
                          </a:prstGeom>
                          <a:noFill/>
                          <a:ln>
                            <a:noFill/>
                          </a:ln>
                        </pic:spPr>
                      </pic:pic>
                    </a:graphicData>
                  </a:graphic>
                </wp:inline>
              </w:drawing>
            </w:r>
          </w:p>
        </w:tc>
      </w:tr>
      <w:tr w14:paraId="2BF2D7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73B6EB28">
            <w:pPr>
              <w:widowControl/>
              <w:tabs>
                <w:tab w:val="left" w:pos="420"/>
              </w:tabs>
              <w:spacing w:line="240" w:lineRule="auto"/>
              <w:ind w:firstLine="0" w:firstLineChars="0"/>
              <w:jc w:val="center"/>
              <w:textAlignment w:val="center"/>
              <w:rPr>
                <w:rFonts w:cs="Times New Roman"/>
                <w:b/>
                <w:bCs/>
                <w:snapToGrid w:val="0"/>
                <w:kern w:val="0"/>
                <w:sz w:val="21"/>
                <w:szCs w:val="21"/>
              </w:rPr>
            </w:pPr>
            <w:r>
              <w:rPr>
                <w:rFonts w:hint="eastAsia" w:cs="Times New Roman"/>
                <w:b/>
                <w:bCs/>
                <w:snapToGrid w:val="0"/>
                <w:kern w:val="0"/>
                <w:sz w:val="21"/>
                <w:szCs w:val="21"/>
              </w:rPr>
              <w:t>氯气（Cl</w:t>
            </w:r>
            <w:r>
              <w:rPr>
                <w:rFonts w:hint="eastAsia" w:cs="Times New Roman"/>
                <w:b/>
                <w:bCs/>
                <w:snapToGrid w:val="0"/>
                <w:kern w:val="0"/>
                <w:sz w:val="21"/>
                <w:szCs w:val="21"/>
                <w:vertAlign w:val="subscript"/>
              </w:rPr>
              <w:t>2</w:t>
            </w:r>
            <w:r>
              <w:rPr>
                <w:rFonts w:hint="eastAsia" w:cs="Times New Roman"/>
                <w:b/>
                <w:bCs/>
                <w:snapToGrid w:val="0"/>
                <w:kern w:val="0"/>
                <w:sz w:val="21"/>
                <w:szCs w:val="21"/>
              </w:rPr>
              <w:t>）正常排放日均贡献值分布图</w:t>
            </w:r>
          </w:p>
        </w:tc>
      </w:tr>
      <w:tr w14:paraId="08575A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441D1B5B">
            <w:pPr>
              <w:widowControl/>
              <w:tabs>
                <w:tab w:val="left" w:pos="420"/>
              </w:tabs>
              <w:spacing w:line="240" w:lineRule="auto"/>
              <w:ind w:firstLine="0" w:firstLineChars="0"/>
              <w:jc w:val="center"/>
              <w:textAlignment w:val="center"/>
              <w:rPr>
                <w:rFonts w:cs="Times New Roman"/>
                <w:b/>
                <w:bCs/>
                <w:snapToGrid w:val="0"/>
                <w:kern w:val="0"/>
                <w:sz w:val="21"/>
                <w:szCs w:val="21"/>
              </w:rPr>
            </w:pPr>
            <w:r>
              <w:drawing>
                <wp:inline distT="0" distB="0" distL="114300" distR="114300">
                  <wp:extent cx="5267325" cy="3836670"/>
                  <wp:effectExtent l="0" t="0" r="9525" b="11430"/>
                  <wp:docPr id="60"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3"/>
                          <pic:cNvPicPr>
                            <a:picLocks noChangeAspect="1"/>
                          </pic:cNvPicPr>
                        </pic:nvPicPr>
                        <pic:blipFill>
                          <a:blip r:embed="rId158"/>
                          <a:stretch>
                            <a:fillRect/>
                          </a:stretch>
                        </pic:blipFill>
                        <pic:spPr>
                          <a:xfrm>
                            <a:off x="0" y="0"/>
                            <a:ext cx="5267325" cy="3836670"/>
                          </a:xfrm>
                          <a:prstGeom prst="rect">
                            <a:avLst/>
                          </a:prstGeom>
                          <a:noFill/>
                          <a:ln>
                            <a:noFill/>
                          </a:ln>
                        </pic:spPr>
                      </pic:pic>
                    </a:graphicData>
                  </a:graphic>
                </wp:inline>
              </w:drawing>
            </w:r>
          </w:p>
        </w:tc>
      </w:tr>
      <w:tr w14:paraId="11A8AD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249F6B8A">
            <w:pPr>
              <w:widowControl/>
              <w:tabs>
                <w:tab w:val="left" w:pos="420"/>
              </w:tabs>
              <w:spacing w:line="240" w:lineRule="auto"/>
              <w:ind w:firstLine="0" w:firstLineChars="0"/>
              <w:jc w:val="center"/>
              <w:textAlignment w:val="center"/>
              <w:rPr>
                <w:rFonts w:cs="Times New Roman"/>
                <w:b/>
                <w:bCs/>
                <w:snapToGrid w:val="0"/>
                <w:kern w:val="0"/>
                <w:sz w:val="21"/>
                <w:szCs w:val="21"/>
              </w:rPr>
            </w:pPr>
            <w:r>
              <w:rPr>
                <w:rFonts w:hint="eastAsia" w:cs="Times New Roman"/>
                <w:b/>
                <w:bCs/>
                <w:snapToGrid w:val="0"/>
                <w:kern w:val="0"/>
                <w:sz w:val="21"/>
                <w:szCs w:val="21"/>
              </w:rPr>
              <w:t>氯气（Cl</w:t>
            </w:r>
            <w:r>
              <w:rPr>
                <w:rFonts w:hint="eastAsia" w:cs="Times New Roman"/>
                <w:b/>
                <w:bCs/>
                <w:snapToGrid w:val="0"/>
                <w:kern w:val="0"/>
                <w:sz w:val="21"/>
                <w:szCs w:val="21"/>
                <w:vertAlign w:val="subscript"/>
              </w:rPr>
              <w:t>2</w:t>
            </w:r>
            <w:r>
              <w:rPr>
                <w:rFonts w:hint="eastAsia" w:cs="Times New Roman"/>
                <w:b/>
                <w:bCs/>
                <w:snapToGrid w:val="0"/>
                <w:kern w:val="0"/>
                <w:sz w:val="21"/>
                <w:szCs w:val="21"/>
              </w:rPr>
              <w:t>）正常排放</w:t>
            </w:r>
            <w:r>
              <w:rPr>
                <w:rFonts w:hint="eastAsia" w:cs="Times New Roman"/>
                <w:b/>
                <w:bCs/>
                <w:snapToGrid w:val="0"/>
                <w:kern w:val="0"/>
                <w:sz w:val="21"/>
                <w:szCs w:val="21"/>
                <w:lang w:val="en-US" w:eastAsia="zh-CN"/>
              </w:rPr>
              <w:t>年均</w:t>
            </w:r>
            <w:r>
              <w:rPr>
                <w:rFonts w:hint="eastAsia" w:cs="Times New Roman"/>
                <w:b/>
                <w:bCs/>
                <w:snapToGrid w:val="0"/>
                <w:kern w:val="0"/>
                <w:sz w:val="21"/>
                <w:szCs w:val="21"/>
              </w:rPr>
              <w:t>贡献值分布图</w:t>
            </w:r>
          </w:p>
        </w:tc>
      </w:tr>
      <w:tr w14:paraId="610619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2833C83C">
            <w:pPr>
              <w:widowControl/>
              <w:tabs>
                <w:tab w:val="left" w:pos="420"/>
              </w:tabs>
              <w:spacing w:line="240" w:lineRule="auto"/>
              <w:ind w:firstLine="0" w:firstLineChars="0"/>
              <w:jc w:val="center"/>
              <w:textAlignment w:val="center"/>
              <w:rPr>
                <w:rFonts w:cs="Times New Roman"/>
                <w:b/>
                <w:bCs/>
                <w:snapToGrid w:val="0"/>
                <w:kern w:val="0"/>
                <w:sz w:val="21"/>
                <w:szCs w:val="21"/>
              </w:rPr>
            </w:pPr>
            <w:r>
              <w:drawing>
                <wp:inline distT="0" distB="0" distL="114300" distR="114300">
                  <wp:extent cx="5271135" cy="4002405"/>
                  <wp:effectExtent l="0" t="0" r="5715" b="17145"/>
                  <wp:docPr id="6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4"/>
                          <pic:cNvPicPr>
                            <a:picLocks noChangeAspect="1"/>
                          </pic:cNvPicPr>
                        </pic:nvPicPr>
                        <pic:blipFill>
                          <a:blip r:embed="rId159"/>
                          <a:stretch>
                            <a:fillRect/>
                          </a:stretch>
                        </pic:blipFill>
                        <pic:spPr>
                          <a:xfrm>
                            <a:off x="0" y="0"/>
                            <a:ext cx="5271135" cy="4002405"/>
                          </a:xfrm>
                          <a:prstGeom prst="rect">
                            <a:avLst/>
                          </a:prstGeom>
                          <a:noFill/>
                          <a:ln>
                            <a:noFill/>
                          </a:ln>
                        </pic:spPr>
                      </pic:pic>
                    </a:graphicData>
                  </a:graphic>
                </wp:inline>
              </w:drawing>
            </w:r>
          </w:p>
        </w:tc>
      </w:tr>
      <w:tr w14:paraId="7D2C38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2923B3D0">
            <w:pPr>
              <w:widowControl/>
              <w:tabs>
                <w:tab w:val="left" w:pos="420"/>
              </w:tabs>
              <w:spacing w:line="240" w:lineRule="auto"/>
              <w:ind w:firstLine="0" w:firstLineChars="0"/>
              <w:jc w:val="center"/>
              <w:textAlignment w:val="center"/>
              <w:rPr>
                <w:rFonts w:cs="Times New Roman"/>
                <w:b/>
                <w:bCs/>
                <w:snapToGrid w:val="0"/>
                <w:kern w:val="0"/>
                <w:sz w:val="21"/>
                <w:szCs w:val="21"/>
              </w:rPr>
            </w:pPr>
            <w:r>
              <w:rPr>
                <w:rFonts w:hint="eastAsia" w:cs="Times New Roman"/>
                <w:b/>
                <w:bCs/>
                <w:snapToGrid w:val="0"/>
                <w:kern w:val="0"/>
                <w:sz w:val="21"/>
                <w:szCs w:val="21"/>
              </w:rPr>
              <w:t>氯化氢（HCl）正常排放小时贡献值分布图</w:t>
            </w:r>
          </w:p>
        </w:tc>
      </w:tr>
      <w:tr w14:paraId="59746D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6B94FAA0">
            <w:pPr>
              <w:widowControl/>
              <w:tabs>
                <w:tab w:val="left" w:pos="420"/>
              </w:tabs>
              <w:spacing w:line="240" w:lineRule="auto"/>
              <w:ind w:firstLine="0" w:firstLineChars="0"/>
              <w:jc w:val="center"/>
              <w:textAlignment w:val="center"/>
              <w:rPr>
                <w:rFonts w:cs="Times New Roman"/>
                <w:b/>
                <w:bCs/>
                <w:snapToGrid w:val="0"/>
                <w:kern w:val="0"/>
                <w:sz w:val="21"/>
                <w:szCs w:val="21"/>
              </w:rPr>
            </w:pPr>
            <w:r>
              <w:drawing>
                <wp:inline distT="0" distB="0" distL="114300" distR="114300">
                  <wp:extent cx="5267325" cy="3966210"/>
                  <wp:effectExtent l="0" t="0" r="9525" b="15240"/>
                  <wp:docPr id="62"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5"/>
                          <pic:cNvPicPr>
                            <a:picLocks noChangeAspect="1"/>
                          </pic:cNvPicPr>
                        </pic:nvPicPr>
                        <pic:blipFill>
                          <a:blip r:embed="rId160"/>
                          <a:stretch>
                            <a:fillRect/>
                          </a:stretch>
                        </pic:blipFill>
                        <pic:spPr>
                          <a:xfrm>
                            <a:off x="0" y="0"/>
                            <a:ext cx="5267325" cy="3966210"/>
                          </a:xfrm>
                          <a:prstGeom prst="rect">
                            <a:avLst/>
                          </a:prstGeom>
                          <a:noFill/>
                          <a:ln>
                            <a:noFill/>
                          </a:ln>
                        </pic:spPr>
                      </pic:pic>
                    </a:graphicData>
                  </a:graphic>
                </wp:inline>
              </w:drawing>
            </w:r>
          </w:p>
        </w:tc>
      </w:tr>
      <w:tr w14:paraId="16D8E8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62F12BE1">
            <w:pPr>
              <w:widowControl/>
              <w:tabs>
                <w:tab w:val="left" w:pos="420"/>
              </w:tabs>
              <w:spacing w:line="240" w:lineRule="auto"/>
              <w:ind w:firstLine="0" w:firstLineChars="0"/>
              <w:jc w:val="center"/>
              <w:textAlignment w:val="center"/>
              <w:rPr>
                <w:rFonts w:cs="Times New Roman"/>
                <w:b/>
                <w:bCs/>
                <w:snapToGrid w:val="0"/>
                <w:kern w:val="0"/>
                <w:sz w:val="21"/>
                <w:szCs w:val="21"/>
              </w:rPr>
            </w:pPr>
            <w:r>
              <w:rPr>
                <w:rFonts w:hint="eastAsia" w:cs="Times New Roman"/>
                <w:b/>
                <w:bCs/>
                <w:snapToGrid w:val="0"/>
                <w:kern w:val="0"/>
                <w:sz w:val="21"/>
                <w:szCs w:val="21"/>
              </w:rPr>
              <w:t>氯化氢（HCl）正常排放日均贡献值分布图</w:t>
            </w:r>
          </w:p>
        </w:tc>
      </w:tr>
      <w:tr w14:paraId="16A987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3902B1EC">
            <w:pPr>
              <w:widowControl/>
              <w:tabs>
                <w:tab w:val="left" w:pos="420"/>
              </w:tabs>
              <w:spacing w:line="240" w:lineRule="auto"/>
              <w:ind w:firstLine="0" w:firstLineChars="0"/>
              <w:jc w:val="center"/>
              <w:textAlignment w:val="center"/>
              <w:rPr>
                <w:rFonts w:cs="Times New Roman"/>
                <w:b/>
                <w:bCs/>
                <w:snapToGrid w:val="0"/>
                <w:kern w:val="0"/>
                <w:sz w:val="21"/>
                <w:szCs w:val="21"/>
              </w:rPr>
            </w:pPr>
            <w:r>
              <w:drawing>
                <wp:inline distT="0" distB="0" distL="114300" distR="114300">
                  <wp:extent cx="5266690" cy="3858260"/>
                  <wp:effectExtent l="0" t="0" r="10160" b="8890"/>
                  <wp:docPr id="6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6"/>
                          <pic:cNvPicPr>
                            <a:picLocks noChangeAspect="1"/>
                          </pic:cNvPicPr>
                        </pic:nvPicPr>
                        <pic:blipFill>
                          <a:blip r:embed="rId161"/>
                          <a:stretch>
                            <a:fillRect/>
                          </a:stretch>
                        </pic:blipFill>
                        <pic:spPr>
                          <a:xfrm>
                            <a:off x="0" y="0"/>
                            <a:ext cx="5266690" cy="3858260"/>
                          </a:xfrm>
                          <a:prstGeom prst="rect">
                            <a:avLst/>
                          </a:prstGeom>
                          <a:noFill/>
                          <a:ln>
                            <a:noFill/>
                          </a:ln>
                        </pic:spPr>
                      </pic:pic>
                    </a:graphicData>
                  </a:graphic>
                </wp:inline>
              </w:drawing>
            </w:r>
          </w:p>
        </w:tc>
      </w:tr>
      <w:tr w14:paraId="068F3B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5DF5CEF7">
            <w:pPr>
              <w:widowControl/>
              <w:tabs>
                <w:tab w:val="left" w:pos="420"/>
              </w:tabs>
              <w:spacing w:line="240" w:lineRule="auto"/>
              <w:ind w:firstLine="0" w:firstLineChars="0"/>
              <w:jc w:val="center"/>
              <w:textAlignment w:val="center"/>
              <w:rPr>
                <w:rFonts w:cs="Times New Roman"/>
                <w:b/>
                <w:bCs/>
                <w:snapToGrid w:val="0"/>
                <w:kern w:val="0"/>
                <w:sz w:val="21"/>
                <w:szCs w:val="21"/>
              </w:rPr>
            </w:pPr>
            <w:r>
              <w:rPr>
                <w:rFonts w:hint="eastAsia" w:cs="Times New Roman"/>
                <w:b/>
                <w:bCs/>
                <w:snapToGrid w:val="0"/>
                <w:kern w:val="0"/>
                <w:sz w:val="21"/>
                <w:szCs w:val="21"/>
              </w:rPr>
              <w:t>氯化氢（HCl）正常排放</w:t>
            </w:r>
            <w:r>
              <w:rPr>
                <w:rFonts w:hint="eastAsia" w:cs="Times New Roman"/>
                <w:b/>
                <w:bCs/>
                <w:snapToGrid w:val="0"/>
                <w:kern w:val="0"/>
                <w:sz w:val="21"/>
                <w:szCs w:val="21"/>
                <w:lang w:val="en-US" w:eastAsia="zh-CN"/>
              </w:rPr>
              <w:t>年均</w:t>
            </w:r>
            <w:r>
              <w:rPr>
                <w:rFonts w:hint="eastAsia" w:cs="Times New Roman"/>
                <w:b/>
                <w:bCs/>
                <w:snapToGrid w:val="0"/>
                <w:kern w:val="0"/>
                <w:sz w:val="21"/>
                <w:szCs w:val="21"/>
              </w:rPr>
              <w:t>贡献值分布图</w:t>
            </w:r>
          </w:p>
        </w:tc>
      </w:tr>
    </w:tbl>
    <w:p w14:paraId="7E6F870E">
      <w:pPr>
        <w:pStyle w:val="42"/>
        <w:numPr>
          <w:ilvl w:val="6"/>
          <w:numId w:val="1"/>
        </w:numPr>
        <w:rPr>
          <w:rFonts w:hint="default"/>
        </w:rPr>
      </w:pPr>
      <w:r>
        <w:rPr>
          <w:rFonts w:hint="default"/>
        </w:rPr>
        <w:t>正常情况下，各类主要大气特征污染物影响预测结果图</w:t>
      </w:r>
    </w:p>
    <w:p w14:paraId="01E3CFE4">
      <w:pPr>
        <w:ind w:firstLine="48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037CA853">
      <w:pPr>
        <w:ind w:firstLine="0" w:firstLineChars="0"/>
      </w:pPr>
      <w:r>
        <w:t>2、情景2预测结果</w:t>
      </w:r>
    </w:p>
    <w:p w14:paraId="603DE9D6">
      <w:pPr>
        <w:ind w:firstLine="480"/>
        <w:rPr>
          <w:highlight w:val="none"/>
        </w:rPr>
      </w:pPr>
      <w:r>
        <w:rPr>
          <w:highlight w:val="none"/>
        </w:rPr>
        <w:t>按照《环境影响评价技术导则 大气环境》（HJ2.2-2018）项目正常排放条件下，预测评价叠加环境质量现状浓度后，环境空气保护目标和网格点主要污染物保证率日平均质量浓度和年平均质量浓度的达标情况。</w:t>
      </w:r>
    </w:p>
    <w:p w14:paraId="09181B81">
      <w:pPr>
        <w:ind w:firstLine="480"/>
        <w:rPr>
          <w:highlight w:val="none"/>
        </w:rPr>
      </w:pPr>
      <w:r>
        <w:rPr>
          <w:highlight w:val="none"/>
        </w:rPr>
        <w:t>对采用补充监测数据进行现状评价的，取各污染物不同评价时段监测浓度的最大值，作为评价范围内环境空气保护目标及网格点环境质量现状浓度（浓度未检出因子，取检出限的一半作为背景值）。</w:t>
      </w:r>
    </w:p>
    <w:p w14:paraId="3F53EE28">
      <w:pPr>
        <w:ind w:firstLine="480"/>
        <w:rPr>
          <w:highlight w:val="none"/>
        </w:rPr>
      </w:pPr>
      <w:r>
        <w:rPr>
          <w:highlight w:val="none"/>
        </w:rPr>
        <w:t>情景 2 预测结果分为以下几个部分：</w:t>
      </w:r>
    </w:p>
    <w:p w14:paraId="7BD970E5">
      <w:pPr>
        <w:ind w:firstLine="480"/>
        <w:rPr>
          <w:highlight w:val="none"/>
        </w:rPr>
      </w:pPr>
      <w:r>
        <w:rPr>
          <w:highlight w:val="none"/>
        </w:rPr>
        <w:t>（一）本项目在评价区域叠加在建、拟建源、削减源及区域环境背景浓度后对应保证率的最大地面浓度；</w:t>
      </w:r>
    </w:p>
    <w:p w14:paraId="4EE40F26">
      <w:pPr>
        <w:ind w:firstLine="480"/>
        <w:rPr>
          <w:highlight w:val="none"/>
        </w:rPr>
      </w:pPr>
      <w:r>
        <w:rPr>
          <w:highlight w:val="none"/>
        </w:rPr>
        <w:t>（二）各环境保护目标叠加在建、拟建源、削减源及区域环境背景浓度后对应保证率的最大影响程度。</w:t>
      </w:r>
    </w:p>
    <w:p w14:paraId="402C6E2F">
      <w:pPr>
        <w:ind w:firstLine="48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726726AF">
      <w:pPr>
        <w:ind w:firstLine="480"/>
      </w:pPr>
      <w:r>
        <w:t>（一）本项目在评价区域叠加在建、拟建源、削减源及区域环境背景浓度后对应保证率的最大地面浓度</w:t>
      </w:r>
    </w:p>
    <w:p w14:paraId="3C15104F">
      <w:pPr>
        <w:pStyle w:val="43"/>
        <w:numPr>
          <w:ilvl w:val="5"/>
          <w:numId w:val="1"/>
        </w:numPr>
        <w:rPr>
          <w:rFonts w:hint="default"/>
          <w:highlight w:val="none"/>
        </w:rPr>
      </w:pPr>
      <w:r>
        <w:rPr>
          <w:rFonts w:hint="default"/>
          <w:highlight w:val="none"/>
        </w:rPr>
        <w:t>本项目排放的不同因子叠加值在区域最大地面浓度预测结果</w:t>
      </w:r>
    </w:p>
    <w:tbl>
      <w:tblPr>
        <w:tblStyle w:val="32"/>
        <w:tblW w:w="4996" w:type="pct"/>
        <w:tblInd w:w="0" w:type="dxa"/>
        <w:tblLayout w:type="autofit"/>
        <w:tblCellMar>
          <w:top w:w="0" w:type="dxa"/>
          <w:left w:w="108" w:type="dxa"/>
          <w:bottom w:w="0" w:type="dxa"/>
          <w:right w:w="108" w:type="dxa"/>
        </w:tblCellMar>
      </w:tblPr>
      <w:tblGrid>
        <w:gridCol w:w="1163"/>
        <w:gridCol w:w="1132"/>
        <w:gridCol w:w="1577"/>
        <w:gridCol w:w="1824"/>
        <w:gridCol w:w="1656"/>
        <w:gridCol w:w="1656"/>
        <w:gridCol w:w="1656"/>
        <w:gridCol w:w="1656"/>
        <w:gridCol w:w="1843"/>
      </w:tblGrid>
      <w:tr w14:paraId="6D33150E">
        <w:tblPrEx>
          <w:tblCellMar>
            <w:top w:w="0" w:type="dxa"/>
            <w:left w:w="108" w:type="dxa"/>
            <w:bottom w:w="0" w:type="dxa"/>
            <w:right w:w="108" w:type="dxa"/>
          </w:tblCellMar>
        </w:tblPrEx>
        <w:trPr>
          <w:trHeight w:val="170" w:hRule="atLeast"/>
          <w:tblHeader/>
        </w:trPr>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7B6B34">
            <w:pPr>
              <w:widowControl/>
              <w:spacing w:line="240" w:lineRule="auto"/>
              <w:ind w:firstLine="0" w:firstLineChars="0"/>
              <w:jc w:val="center"/>
              <w:textAlignment w:val="center"/>
              <w:rPr>
                <w:rFonts w:cs="宋体"/>
                <w:b/>
                <w:bCs/>
                <w:color w:val="000000"/>
                <w:sz w:val="21"/>
                <w:szCs w:val="21"/>
                <w:highlight w:val="none"/>
              </w:rPr>
            </w:pPr>
            <w:r>
              <w:rPr>
                <w:rFonts w:hint="eastAsia" w:cs="宋体"/>
                <w:b/>
                <w:bCs/>
                <w:color w:val="000000"/>
                <w:kern w:val="0"/>
                <w:sz w:val="21"/>
                <w:szCs w:val="21"/>
                <w:highlight w:val="none"/>
              </w:rPr>
              <w:t>因子</w:t>
            </w: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6055CE">
            <w:pPr>
              <w:widowControl/>
              <w:spacing w:line="240" w:lineRule="auto"/>
              <w:ind w:firstLine="0" w:firstLineChars="0"/>
              <w:jc w:val="center"/>
              <w:textAlignment w:val="center"/>
              <w:rPr>
                <w:rFonts w:cs="宋体"/>
                <w:b/>
                <w:bCs/>
                <w:color w:val="000000"/>
                <w:sz w:val="21"/>
                <w:szCs w:val="21"/>
                <w:highlight w:val="none"/>
              </w:rPr>
            </w:pPr>
            <w:r>
              <w:rPr>
                <w:rFonts w:hint="eastAsia" w:cs="宋体"/>
                <w:b/>
                <w:bCs/>
                <w:color w:val="000000"/>
                <w:kern w:val="0"/>
                <w:sz w:val="21"/>
                <w:szCs w:val="21"/>
                <w:highlight w:val="none"/>
              </w:rPr>
              <w:t>平均时间</w:t>
            </w: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1E065B">
            <w:pPr>
              <w:widowControl/>
              <w:spacing w:line="240" w:lineRule="auto"/>
              <w:ind w:firstLine="0" w:firstLineChars="0"/>
              <w:jc w:val="center"/>
              <w:textAlignment w:val="center"/>
              <w:rPr>
                <w:rFonts w:cs="宋体"/>
                <w:b/>
                <w:bCs/>
                <w:color w:val="000000"/>
                <w:sz w:val="21"/>
                <w:szCs w:val="21"/>
                <w:highlight w:val="none"/>
              </w:rPr>
            </w:pPr>
            <w:r>
              <w:rPr>
                <w:rFonts w:hint="eastAsia" w:cs="宋体"/>
                <w:b/>
                <w:bCs/>
                <w:color w:val="000000"/>
                <w:kern w:val="0"/>
                <w:sz w:val="21"/>
                <w:szCs w:val="21"/>
                <w:highlight w:val="none"/>
              </w:rPr>
              <w:t>出现时刻</w:t>
            </w:r>
          </w:p>
        </w:tc>
        <w:tc>
          <w:tcPr>
            <w:tcW w:w="6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BD512E">
            <w:pPr>
              <w:widowControl/>
              <w:spacing w:line="240" w:lineRule="auto"/>
              <w:ind w:firstLine="0" w:firstLineChars="0"/>
              <w:jc w:val="center"/>
              <w:textAlignment w:val="center"/>
              <w:rPr>
                <w:rFonts w:cs="宋体"/>
                <w:b/>
                <w:bCs/>
                <w:color w:val="000000"/>
                <w:sz w:val="21"/>
                <w:szCs w:val="21"/>
                <w:highlight w:val="none"/>
              </w:rPr>
            </w:pPr>
            <w:r>
              <w:rPr>
                <w:rFonts w:hint="eastAsia" w:cs="宋体"/>
                <w:b/>
                <w:bCs/>
                <w:color w:val="000000"/>
                <w:kern w:val="0"/>
                <w:sz w:val="21"/>
                <w:szCs w:val="21"/>
                <w:highlight w:val="none"/>
              </w:rPr>
              <w:t>落地坐标</w:t>
            </w:r>
          </w:p>
        </w:tc>
        <w:tc>
          <w:tcPr>
            <w:tcW w:w="5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E50286">
            <w:pPr>
              <w:widowControl/>
              <w:spacing w:line="240" w:lineRule="auto"/>
              <w:ind w:firstLine="0" w:firstLineChars="0"/>
              <w:jc w:val="center"/>
              <w:textAlignment w:val="center"/>
              <w:rPr>
                <w:rFonts w:cs="宋体"/>
                <w:b/>
                <w:bCs/>
                <w:color w:val="000000"/>
                <w:sz w:val="21"/>
                <w:szCs w:val="21"/>
                <w:highlight w:val="none"/>
              </w:rPr>
            </w:pPr>
            <w:r>
              <w:rPr>
                <w:rFonts w:hint="eastAsia" w:cs="宋体"/>
                <w:b/>
                <w:bCs/>
                <w:color w:val="000000"/>
                <w:kern w:val="0"/>
                <w:sz w:val="21"/>
                <w:szCs w:val="21"/>
                <w:highlight w:val="none"/>
              </w:rPr>
              <w:t>叠加其他在建、拟建、削减源后浓度（</w:t>
            </w:r>
            <w:r>
              <w:rPr>
                <w:rFonts w:cs="Times New Roman"/>
                <w:b/>
                <w:bCs/>
                <w:color w:val="000000"/>
                <w:kern w:val="0"/>
                <w:sz w:val="21"/>
                <w:szCs w:val="21"/>
                <w:highlight w:val="none"/>
              </w:rPr>
              <w:t>mg/m</w:t>
            </w:r>
            <w:r>
              <w:rPr>
                <w:rFonts w:cs="Times New Roman"/>
                <w:b/>
                <w:bCs/>
                <w:color w:val="000000"/>
                <w:kern w:val="0"/>
                <w:sz w:val="21"/>
                <w:szCs w:val="21"/>
                <w:highlight w:val="none"/>
                <w:vertAlign w:val="superscript"/>
              </w:rPr>
              <w:t>3</w:t>
            </w:r>
            <w:r>
              <w:rPr>
                <w:rFonts w:hint="eastAsia" w:cs="宋体"/>
                <w:b/>
                <w:bCs/>
                <w:color w:val="000000"/>
                <w:kern w:val="0"/>
                <w:sz w:val="21"/>
                <w:szCs w:val="21"/>
                <w:highlight w:val="none"/>
              </w:rPr>
              <w:t>）</w:t>
            </w:r>
          </w:p>
        </w:tc>
        <w:tc>
          <w:tcPr>
            <w:tcW w:w="5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81ACE1">
            <w:pPr>
              <w:widowControl/>
              <w:spacing w:line="240" w:lineRule="auto"/>
              <w:ind w:firstLine="0" w:firstLineChars="0"/>
              <w:jc w:val="center"/>
              <w:textAlignment w:val="center"/>
              <w:rPr>
                <w:rFonts w:cs="宋体"/>
                <w:b/>
                <w:bCs/>
                <w:color w:val="000000"/>
                <w:sz w:val="21"/>
                <w:szCs w:val="21"/>
                <w:highlight w:val="none"/>
              </w:rPr>
            </w:pPr>
            <w:r>
              <w:rPr>
                <w:rFonts w:hint="eastAsia" w:cs="宋体"/>
                <w:b/>
                <w:bCs/>
                <w:color w:val="000000"/>
                <w:kern w:val="0"/>
                <w:sz w:val="21"/>
                <w:szCs w:val="21"/>
                <w:highlight w:val="none"/>
              </w:rPr>
              <w:t>背景值（</w:t>
            </w:r>
            <w:r>
              <w:rPr>
                <w:rFonts w:cs="Times New Roman"/>
                <w:b/>
                <w:bCs/>
                <w:color w:val="000000"/>
                <w:kern w:val="0"/>
                <w:sz w:val="21"/>
                <w:szCs w:val="21"/>
                <w:highlight w:val="none"/>
              </w:rPr>
              <w:t>mg/m</w:t>
            </w:r>
            <w:r>
              <w:rPr>
                <w:rFonts w:cs="Times New Roman"/>
                <w:b/>
                <w:bCs/>
                <w:color w:val="000000"/>
                <w:kern w:val="0"/>
                <w:sz w:val="21"/>
                <w:szCs w:val="21"/>
                <w:highlight w:val="none"/>
                <w:vertAlign w:val="superscript"/>
              </w:rPr>
              <w:t>3</w:t>
            </w:r>
            <w:r>
              <w:rPr>
                <w:rFonts w:hint="eastAsia" w:cs="宋体"/>
                <w:b/>
                <w:bCs/>
                <w:color w:val="000000"/>
                <w:kern w:val="0"/>
                <w:sz w:val="21"/>
                <w:szCs w:val="21"/>
                <w:highlight w:val="none"/>
              </w:rPr>
              <w:t>）</w:t>
            </w:r>
          </w:p>
        </w:tc>
        <w:tc>
          <w:tcPr>
            <w:tcW w:w="5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DCA413">
            <w:pPr>
              <w:widowControl/>
              <w:spacing w:line="240" w:lineRule="auto"/>
              <w:ind w:firstLine="0" w:firstLineChars="0"/>
              <w:jc w:val="center"/>
              <w:textAlignment w:val="center"/>
              <w:rPr>
                <w:rFonts w:cs="宋体"/>
                <w:b/>
                <w:bCs/>
                <w:color w:val="000000"/>
                <w:sz w:val="21"/>
                <w:szCs w:val="21"/>
                <w:highlight w:val="none"/>
              </w:rPr>
            </w:pPr>
            <w:r>
              <w:rPr>
                <w:rFonts w:hint="eastAsia" w:cs="宋体"/>
                <w:b/>
                <w:bCs/>
                <w:color w:val="000000"/>
                <w:kern w:val="0"/>
                <w:sz w:val="21"/>
                <w:szCs w:val="21"/>
                <w:highlight w:val="none"/>
              </w:rPr>
              <w:t>叠加值（</w:t>
            </w:r>
            <w:r>
              <w:rPr>
                <w:rFonts w:cs="Times New Roman"/>
                <w:b/>
                <w:bCs/>
                <w:color w:val="000000"/>
                <w:kern w:val="0"/>
                <w:sz w:val="21"/>
                <w:szCs w:val="21"/>
                <w:highlight w:val="none"/>
              </w:rPr>
              <w:t>mg/m</w:t>
            </w:r>
            <w:r>
              <w:rPr>
                <w:rFonts w:cs="Times New Roman"/>
                <w:b/>
                <w:bCs/>
                <w:color w:val="000000"/>
                <w:kern w:val="0"/>
                <w:sz w:val="21"/>
                <w:szCs w:val="21"/>
                <w:highlight w:val="none"/>
                <w:vertAlign w:val="superscript"/>
              </w:rPr>
              <w:t>3</w:t>
            </w:r>
            <w:r>
              <w:rPr>
                <w:rFonts w:hint="eastAsia" w:cs="宋体"/>
                <w:b/>
                <w:bCs/>
                <w:color w:val="000000"/>
                <w:kern w:val="0"/>
                <w:sz w:val="21"/>
                <w:szCs w:val="21"/>
                <w:highlight w:val="none"/>
              </w:rPr>
              <w:t>）</w:t>
            </w:r>
          </w:p>
        </w:tc>
        <w:tc>
          <w:tcPr>
            <w:tcW w:w="5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CA7604">
            <w:pPr>
              <w:widowControl/>
              <w:spacing w:line="240" w:lineRule="auto"/>
              <w:ind w:firstLine="0" w:firstLineChars="0"/>
              <w:jc w:val="center"/>
              <w:textAlignment w:val="center"/>
              <w:rPr>
                <w:rFonts w:cs="宋体"/>
                <w:b/>
                <w:bCs/>
                <w:color w:val="000000"/>
                <w:sz w:val="21"/>
                <w:szCs w:val="21"/>
                <w:highlight w:val="none"/>
              </w:rPr>
            </w:pPr>
            <w:r>
              <w:rPr>
                <w:rFonts w:hint="eastAsia" w:cs="宋体"/>
                <w:b/>
                <w:bCs/>
                <w:color w:val="000000"/>
                <w:kern w:val="0"/>
                <w:sz w:val="21"/>
                <w:szCs w:val="21"/>
                <w:highlight w:val="none"/>
              </w:rPr>
              <w:t>标准值（</w:t>
            </w:r>
            <w:r>
              <w:rPr>
                <w:rFonts w:cs="Times New Roman"/>
                <w:b/>
                <w:bCs/>
                <w:color w:val="000000"/>
                <w:kern w:val="0"/>
                <w:sz w:val="21"/>
                <w:szCs w:val="21"/>
                <w:highlight w:val="none"/>
              </w:rPr>
              <w:t>mg/m</w:t>
            </w:r>
            <w:r>
              <w:rPr>
                <w:rFonts w:cs="Times New Roman"/>
                <w:b/>
                <w:bCs/>
                <w:color w:val="000000"/>
                <w:kern w:val="0"/>
                <w:sz w:val="21"/>
                <w:szCs w:val="21"/>
                <w:highlight w:val="none"/>
                <w:vertAlign w:val="superscript"/>
              </w:rPr>
              <w:t>3</w:t>
            </w:r>
            <w:r>
              <w:rPr>
                <w:rFonts w:hint="eastAsia" w:cs="宋体"/>
                <w:b/>
                <w:bCs/>
                <w:color w:val="000000"/>
                <w:kern w:val="0"/>
                <w:sz w:val="21"/>
                <w:szCs w:val="21"/>
                <w:highlight w:val="none"/>
              </w:rPr>
              <w:t>）</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7E21AB">
            <w:pPr>
              <w:widowControl/>
              <w:spacing w:line="240" w:lineRule="auto"/>
              <w:ind w:firstLine="0" w:firstLineChars="0"/>
              <w:jc w:val="center"/>
              <w:textAlignment w:val="center"/>
              <w:rPr>
                <w:rFonts w:cs="宋体"/>
                <w:b/>
                <w:bCs/>
                <w:color w:val="000000"/>
                <w:sz w:val="21"/>
                <w:szCs w:val="21"/>
                <w:highlight w:val="none"/>
              </w:rPr>
            </w:pPr>
            <w:r>
              <w:rPr>
                <w:rFonts w:hint="eastAsia" w:cs="宋体"/>
                <w:b/>
                <w:bCs/>
                <w:color w:val="000000"/>
                <w:kern w:val="0"/>
                <w:sz w:val="21"/>
                <w:szCs w:val="21"/>
                <w:highlight w:val="none"/>
              </w:rPr>
              <w:t>占标率（%）</w:t>
            </w:r>
          </w:p>
        </w:tc>
      </w:tr>
      <w:tr w14:paraId="4A48083C">
        <w:tblPrEx>
          <w:tblCellMar>
            <w:top w:w="0" w:type="dxa"/>
            <w:left w:w="108" w:type="dxa"/>
            <w:bottom w:w="0" w:type="dxa"/>
            <w:right w:w="108" w:type="dxa"/>
          </w:tblCellMar>
        </w:tblPrEx>
        <w:trPr>
          <w:trHeight w:val="17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AB5541">
            <w:pPr>
              <w:widowControl/>
              <w:spacing w:line="240" w:lineRule="auto"/>
              <w:ind w:firstLine="0" w:firstLineChars="0"/>
              <w:jc w:val="center"/>
              <w:textAlignment w:val="center"/>
              <w:rPr>
                <w:rFonts w:hint="eastAsia" w:cs="Times New Roman"/>
                <w:color w:val="000000"/>
                <w:sz w:val="21"/>
                <w:szCs w:val="21"/>
                <w:highlight w:val="none"/>
              </w:rPr>
            </w:pPr>
            <w:r>
              <w:rPr>
                <w:rFonts w:hint="eastAsia" w:cs="Times New Roman"/>
                <w:color w:val="000000"/>
                <w:sz w:val="21"/>
                <w:szCs w:val="21"/>
                <w:highlight w:val="none"/>
              </w:rPr>
              <w:t>颗粒物（</w:t>
            </w:r>
            <w:r>
              <w:rPr>
                <w:rFonts w:hint="eastAsia" w:cs="Times New Roman"/>
                <w:color w:val="000000"/>
                <w:sz w:val="21"/>
                <w:szCs w:val="21"/>
                <w:highlight w:val="none"/>
                <w:lang w:val="en-US" w:eastAsia="zh-CN"/>
              </w:rPr>
              <w:t>TSP</w:t>
            </w:r>
            <w:r>
              <w:rPr>
                <w:rFonts w:hint="eastAsia" w:cs="Times New Roman"/>
                <w:color w:val="000000"/>
                <w:sz w:val="21"/>
                <w:szCs w:val="21"/>
                <w:highlight w:val="none"/>
              </w:rPr>
              <w:t>）</w:t>
            </w: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238F53">
            <w:pPr>
              <w:widowControl/>
              <w:spacing w:line="240" w:lineRule="auto"/>
              <w:ind w:firstLine="0" w:firstLineChars="0"/>
              <w:jc w:val="center"/>
              <w:textAlignment w:val="center"/>
              <w:rPr>
                <w:rFonts w:cs="Times New Roman"/>
                <w:color w:val="000000"/>
                <w:kern w:val="0"/>
                <w:sz w:val="21"/>
                <w:szCs w:val="21"/>
                <w:highlight w:val="none"/>
              </w:rPr>
            </w:pPr>
            <w:r>
              <w:rPr>
                <w:rFonts w:cs="Times New Roman"/>
                <w:color w:val="000000"/>
                <w:kern w:val="0"/>
                <w:sz w:val="21"/>
                <w:szCs w:val="21"/>
                <w:highlight w:val="none"/>
                <w:u w:val="single"/>
              </w:rPr>
              <w:t>1h</w:t>
            </w:r>
          </w:p>
        </w:tc>
        <w:tc>
          <w:tcPr>
            <w:tcW w:w="5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EE24D">
            <w:pPr>
              <w:pStyle w:val="45"/>
              <w:bidi w:val="0"/>
              <w:rPr>
                <w:rFonts w:hint="eastAsia"/>
                <w:highlight w:val="none"/>
                <w:lang w:val="en-US" w:eastAsia="zh-CN"/>
              </w:rPr>
            </w:pPr>
            <w:r>
              <w:rPr>
                <w:rFonts w:hint="eastAsia"/>
                <w:highlight w:val="none"/>
                <w:lang w:val="en-US" w:eastAsia="zh-CN"/>
              </w:rPr>
              <w:t>22040224</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D55ED">
            <w:pPr>
              <w:widowControl/>
              <w:spacing w:line="240" w:lineRule="auto"/>
              <w:ind w:firstLine="0" w:firstLineChars="0"/>
              <w:jc w:val="center"/>
              <w:textAlignment w:val="center"/>
              <w:rPr>
                <w:rFonts w:hint="default" w:eastAsia="宋体" w:cs="宋体"/>
                <w:color w:val="000000"/>
                <w:kern w:val="0"/>
                <w:sz w:val="21"/>
                <w:szCs w:val="22"/>
                <w:highlight w:val="none"/>
                <w:lang w:val="en-US" w:eastAsia="zh-CN"/>
              </w:rPr>
            </w:pPr>
            <w:r>
              <w:rPr>
                <w:rFonts w:hint="eastAsia" w:cs="宋体"/>
                <w:color w:val="000000"/>
                <w:kern w:val="0"/>
                <w:sz w:val="21"/>
                <w:szCs w:val="22"/>
                <w:highlight w:val="none"/>
                <w:lang w:val="en-US" w:eastAsia="zh-CN"/>
              </w:rPr>
              <w:t>-250,200</w:t>
            </w:r>
          </w:p>
        </w:tc>
        <w:tc>
          <w:tcPr>
            <w:tcW w:w="5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47D4E1">
            <w:pPr>
              <w:pStyle w:val="45"/>
              <w:bidi w:val="0"/>
              <w:rPr>
                <w:rFonts w:hint="eastAsia"/>
                <w:highlight w:val="none"/>
                <w:lang w:val="en-US" w:eastAsia="zh-CN"/>
              </w:rPr>
            </w:pPr>
            <w:r>
              <w:rPr>
                <w:rFonts w:hint="eastAsia"/>
                <w:highlight w:val="none"/>
                <w:lang w:val="en-US" w:eastAsia="zh-CN"/>
              </w:rPr>
              <w:t>0.598026</w:t>
            </w:r>
          </w:p>
        </w:tc>
        <w:tc>
          <w:tcPr>
            <w:tcW w:w="5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FEDE76">
            <w:pPr>
              <w:widowControl/>
              <w:spacing w:line="240" w:lineRule="auto"/>
              <w:ind w:firstLine="0" w:firstLineChars="0"/>
              <w:jc w:val="center"/>
              <w:textAlignment w:val="center"/>
              <w:rPr>
                <w:rFonts w:hint="default" w:eastAsia="宋体" w:cs="Times New Roman"/>
                <w:color w:val="000000"/>
                <w:kern w:val="0"/>
                <w:sz w:val="21"/>
                <w:szCs w:val="21"/>
                <w:highlight w:val="none"/>
                <w:lang w:val="en-US" w:eastAsia="zh-CN"/>
              </w:rPr>
            </w:pPr>
            <w:r>
              <w:rPr>
                <w:rFonts w:hint="eastAsia" w:cs="Times New Roman"/>
                <w:color w:val="000000"/>
                <w:kern w:val="0"/>
                <w:sz w:val="21"/>
                <w:szCs w:val="21"/>
                <w:highlight w:val="none"/>
                <w:lang w:val="en-US" w:eastAsia="zh-CN"/>
              </w:rPr>
              <w:t>0.117</w:t>
            </w:r>
          </w:p>
        </w:tc>
        <w:tc>
          <w:tcPr>
            <w:tcW w:w="5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60A7BC">
            <w:pPr>
              <w:pStyle w:val="45"/>
              <w:bidi w:val="0"/>
              <w:rPr>
                <w:rFonts w:hint="eastAsia"/>
                <w:highlight w:val="none"/>
                <w:lang w:val="en-US" w:eastAsia="zh-CN"/>
              </w:rPr>
            </w:pPr>
            <w:r>
              <w:rPr>
                <w:rFonts w:hint="eastAsia"/>
                <w:highlight w:val="none"/>
                <w:lang w:val="en-US" w:eastAsia="zh-CN"/>
              </w:rPr>
              <w:t>0.715026</w:t>
            </w:r>
          </w:p>
        </w:tc>
        <w:tc>
          <w:tcPr>
            <w:tcW w:w="5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BCB1CC">
            <w:pPr>
              <w:widowControl/>
              <w:spacing w:line="240" w:lineRule="auto"/>
              <w:ind w:firstLine="0" w:firstLineChars="0"/>
              <w:jc w:val="center"/>
              <w:textAlignment w:val="center"/>
              <w:rPr>
                <w:rFonts w:hint="default" w:eastAsia="宋体" w:cs="宋体"/>
                <w:color w:val="000000"/>
                <w:kern w:val="0"/>
                <w:sz w:val="21"/>
                <w:szCs w:val="22"/>
                <w:highlight w:val="none"/>
                <w:lang w:val="en-US" w:eastAsia="zh-CN"/>
              </w:rPr>
            </w:pPr>
            <w:r>
              <w:rPr>
                <w:rFonts w:hint="eastAsia" w:cs="宋体"/>
                <w:color w:val="000000"/>
                <w:kern w:val="0"/>
                <w:sz w:val="21"/>
                <w:szCs w:val="22"/>
                <w:highlight w:val="none"/>
                <w:lang w:val="en-US" w:eastAsia="zh-CN"/>
              </w:rPr>
              <w:t>0.9</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B10CF6">
            <w:pPr>
              <w:widowControl/>
              <w:spacing w:line="240" w:lineRule="auto"/>
              <w:ind w:firstLine="0" w:firstLineChars="0"/>
              <w:jc w:val="center"/>
              <w:textAlignment w:val="center"/>
              <w:rPr>
                <w:rFonts w:hint="default" w:eastAsia="宋体" w:cs="Times New Roman"/>
                <w:color w:val="000000"/>
                <w:kern w:val="0"/>
                <w:sz w:val="21"/>
                <w:szCs w:val="21"/>
                <w:highlight w:val="none"/>
                <w:lang w:val="en-US" w:eastAsia="zh-CN"/>
              </w:rPr>
            </w:pPr>
            <w:r>
              <w:rPr>
                <w:rFonts w:hint="eastAsia" w:cs="Times New Roman"/>
                <w:color w:val="000000"/>
                <w:kern w:val="0"/>
                <w:sz w:val="21"/>
                <w:szCs w:val="21"/>
                <w:highlight w:val="none"/>
                <w:lang w:val="en-US" w:eastAsia="zh-CN"/>
              </w:rPr>
              <w:t>79.45</w:t>
            </w:r>
          </w:p>
        </w:tc>
      </w:tr>
      <w:tr w14:paraId="77A6378E">
        <w:tblPrEx>
          <w:tblCellMar>
            <w:top w:w="0" w:type="dxa"/>
            <w:left w:w="108" w:type="dxa"/>
            <w:bottom w:w="0" w:type="dxa"/>
            <w:right w:w="108" w:type="dxa"/>
          </w:tblCellMar>
        </w:tblPrEx>
        <w:trPr>
          <w:trHeight w:val="17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516FB2">
            <w:pPr>
              <w:widowControl/>
              <w:spacing w:line="240" w:lineRule="auto"/>
              <w:ind w:firstLine="0" w:firstLineChars="0"/>
              <w:jc w:val="center"/>
              <w:textAlignment w:val="center"/>
              <w:rPr>
                <w:rFonts w:cs="Times New Roman"/>
                <w:color w:val="000000"/>
                <w:sz w:val="21"/>
                <w:szCs w:val="21"/>
                <w:highlight w:val="none"/>
              </w:rPr>
            </w:pPr>
            <w:r>
              <w:rPr>
                <w:rFonts w:hint="eastAsia" w:cs="Times New Roman"/>
                <w:color w:val="000000"/>
                <w:sz w:val="21"/>
                <w:szCs w:val="21"/>
                <w:highlight w:val="none"/>
              </w:rPr>
              <w:t>颗粒物（</w:t>
            </w:r>
            <w:r>
              <w:rPr>
                <w:rFonts w:hint="eastAsia" w:cs="Times New Roman"/>
                <w:color w:val="000000"/>
                <w:sz w:val="21"/>
                <w:szCs w:val="21"/>
                <w:highlight w:val="none"/>
                <w:lang w:val="en-US" w:eastAsia="zh-CN"/>
              </w:rPr>
              <w:t>TSP</w:t>
            </w:r>
            <w:r>
              <w:rPr>
                <w:rFonts w:hint="eastAsia" w:cs="Times New Roman"/>
                <w:color w:val="000000"/>
                <w:sz w:val="21"/>
                <w:szCs w:val="21"/>
                <w:highlight w:val="none"/>
              </w:rPr>
              <w:t>）</w:t>
            </w: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49B72E">
            <w:pPr>
              <w:widowControl/>
              <w:spacing w:line="240" w:lineRule="auto"/>
              <w:ind w:firstLine="0" w:firstLineChars="0"/>
              <w:jc w:val="center"/>
              <w:textAlignment w:val="center"/>
              <w:rPr>
                <w:rFonts w:cs="Times New Roman"/>
                <w:color w:val="000000"/>
                <w:sz w:val="21"/>
                <w:szCs w:val="21"/>
                <w:highlight w:val="none"/>
              </w:rPr>
            </w:pPr>
            <w:r>
              <w:rPr>
                <w:rFonts w:cs="Times New Roman"/>
                <w:color w:val="000000"/>
                <w:kern w:val="0"/>
                <w:sz w:val="21"/>
                <w:szCs w:val="21"/>
                <w:highlight w:val="none"/>
              </w:rPr>
              <w:t>24h</w:t>
            </w:r>
          </w:p>
        </w:tc>
        <w:tc>
          <w:tcPr>
            <w:tcW w:w="5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15BD98">
            <w:pPr>
              <w:pStyle w:val="45"/>
              <w:bidi w:val="0"/>
              <w:rPr>
                <w:rFonts w:hint="eastAsia"/>
                <w:highlight w:val="none"/>
                <w:lang w:val="en-US" w:eastAsia="zh-CN"/>
              </w:rPr>
            </w:pPr>
            <w:r>
              <w:rPr>
                <w:rFonts w:hint="eastAsia"/>
                <w:highlight w:val="none"/>
                <w:lang w:val="en-US" w:eastAsia="zh-CN"/>
              </w:rPr>
              <w:t>220525</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3B4BF">
            <w:pPr>
              <w:widowControl/>
              <w:spacing w:line="240" w:lineRule="auto"/>
              <w:ind w:firstLine="0" w:firstLineChars="0"/>
              <w:jc w:val="center"/>
              <w:textAlignment w:val="center"/>
              <w:rPr>
                <w:rFonts w:hint="default" w:eastAsia="宋体" w:cs="宋体"/>
                <w:color w:val="000000"/>
                <w:sz w:val="21"/>
                <w:szCs w:val="22"/>
                <w:highlight w:val="none"/>
                <w:lang w:val="en-US" w:eastAsia="zh-CN"/>
              </w:rPr>
            </w:pPr>
            <w:r>
              <w:rPr>
                <w:rFonts w:hint="eastAsia" w:cs="宋体"/>
                <w:color w:val="000000"/>
                <w:kern w:val="0"/>
                <w:sz w:val="21"/>
                <w:szCs w:val="22"/>
                <w:highlight w:val="none"/>
                <w:lang w:val="en-US" w:eastAsia="zh-CN"/>
              </w:rPr>
              <w:t>0,50</w:t>
            </w:r>
          </w:p>
        </w:tc>
        <w:tc>
          <w:tcPr>
            <w:tcW w:w="5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49C8C0">
            <w:pPr>
              <w:pStyle w:val="45"/>
              <w:bidi w:val="0"/>
              <w:rPr>
                <w:rFonts w:hint="eastAsia" w:ascii="宋体" w:hAnsi="宋体" w:eastAsia="宋体" w:cs="宋体"/>
                <w:i w:val="0"/>
                <w:iCs w:val="0"/>
                <w:color w:val="000000"/>
                <w:kern w:val="2"/>
                <w:szCs w:val="22"/>
                <w:highlight w:val="none"/>
                <w:u w:val="none"/>
                <w:lang w:val="en-US" w:eastAsia="zh-CN" w:bidi="ar-SA"/>
              </w:rPr>
            </w:pPr>
            <w:r>
              <w:rPr>
                <w:rFonts w:hint="eastAsia"/>
                <w:highlight w:val="none"/>
                <w:lang w:val="en-US" w:eastAsia="zh-CN"/>
              </w:rPr>
              <w:t>0.045913</w:t>
            </w:r>
          </w:p>
        </w:tc>
        <w:tc>
          <w:tcPr>
            <w:tcW w:w="5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04CE73">
            <w:pPr>
              <w:widowControl/>
              <w:spacing w:line="240" w:lineRule="auto"/>
              <w:ind w:firstLine="0" w:firstLineChars="0"/>
              <w:jc w:val="center"/>
              <w:textAlignment w:val="center"/>
              <w:rPr>
                <w:rFonts w:hint="default" w:eastAsia="宋体" w:cs="Times New Roman"/>
                <w:color w:val="000000"/>
                <w:sz w:val="21"/>
                <w:szCs w:val="21"/>
                <w:highlight w:val="none"/>
                <w:lang w:val="en-US" w:eastAsia="zh-CN"/>
              </w:rPr>
            </w:pPr>
            <w:r>
              <w:rPr>
                <w:rFonts w:hint="eastAsia" w:cs="Times New Roman"/>
                <w:color w:val="000000"/>
                <w:kern w:val="0"/>
                <w:sz w:val="21"/>
                <w:szCs w:val="21"/>
                <w:highlight w:val="none"/>
                <w:lang w:val="en-US" w:eastAsia="zh-CN"/>
              </w:rPr>
              <w:t>0.117</w:t>
            </w:r>
          </w:p>
        </w:tc>
        <w:tc>
          <w:tcPr>
            <w:tcW w:w="5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828860">
            <w:pPr>
              <w:pStyle w:val="45"/>
              <w:bidi w:val="0"/>
              <w:rPr>
                <w:rFonts w:hint="eastAsia"/>
                <w:highlight w:val="none"/>
                <w:lang w:val="en-US" w:eastAsia="zh-CN"/>
              </w:rPr>
            </w:pPr>
            <w:r>
              <w:rPr>
                <w:rFonts w:hint="eastAsia"/>
                <w:highlight w:val="none"/>
                <w:lang w:val="en-US" w:eastAsia="zh-CN"/>
              </w:rPr>
              <w:t>0.162913</w:t>
            </w:r>
          </w:p>
        </w:tc>
        <w:tc>
          <w:tcPr>
            <w:tcW w:w="5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DFB4B">
            <w:pPr>
              <w:widowControl/>
              <w:spacing w:line="240" w:lineRule="auto"/>
              <w:ind w:firstLine="0" w:firstLineChars="0"/>
              <w:jc w:val="center"/>
              <w:textAlignment w:val="center"/>
              <w:rPr>
                <w:rFonts w:cs="宋体"/>
                <w:color w:val="000000"/>
                <w:sz w:val="21"/>
                <w:szCs w:val="22"/>
                <w:highlight w:val="none"/>
              </w:rPr>
            </w:pPr>
            <w:r>
              <w:rPr>
                <w:rFonts w:hint="eastAsia" w:cs="宋体"/>
                <w:color w:val="000000"/>
                <w:kern w:val="0"/>
                <w:sz w:val="21"/>
                <w:szCs w:val="22"/>
                <w:highlight w:val="none"/>
              </w:rPr>
              <w:t>0.3</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AF1406">
            <w:pPr>
              <w:widowControl/>
              <w:spacing w:line="240" w:lineRule="auto"/>
              <w:ind w:firstLine="0" w:firstLineChars="0"/>
              <w:jc w:val="center"/>
              <w:textAlignment w:val="center"/>
              <w:rPr>
                <w:rFonts w:hint="default" w:eastAsia="宋体" w:cs="Times New Roman"/>
                <w:color w:val="000000"/>
                <w:sz w:val="21"/>
                <w:szCs w:val="21"/>
                <w:highlight w:val="none"/>
                <w:lang w:val="en-US" w:eastAsia="zh-CN"/>
              </w:rPr>
            </w:pPr>
            <w:r>
              <w:rPr>
                <w:rFonts w:hint="eastAsia" w:cs="Times New Roman"/>
                <w:color w:val="000000"/>
                <w:kern w:val="0"/>
                <w:sz w:val="21"/>
                <w:szCs w:val="21"/>
                <w:highlight w:val="none"/>
                <w:lang w:val="en-US" w:eastAsia="zh-CN"/>
              </w:rPr>
              <w:t>54.30</w:t>
            </w:r>
          </w:p>
        </w:tc>
      </w:tr>
      <w:tr w14:paraId="701F97A9">
        <w:tblPrEx>
          <w:tblCellMar>
            <w:top w:w="0" w:type="dxa"/>
            <w:left w:w="108" w:type="dxa"/>
            <w:bottom w:w="0" w:type="dxa"/>
            <w:right w:w="108" w:type="dxa"/>
          </w:tblCellMar>
        </w:tblPrEx>
        <w:trPr>
          <w:trHeight w:val="17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4998B9">
            <w:pPr>
              <w:widowControl/>
              <w:spacing w:line="240" w:lineRule="auto"/>
              <w:ind w:firstLine="0" w:firstLineChars="0"/>
              <w:jc w:val="center"/>
              <w:textAlignment w:val="center"/>
              <w:rPr>
                <w:rFonts w:cs="Times New Roman"/>
                <w:color w:val="000000"/>
                <w:sz w:val="21"/>
                <w:szCs w:val="21"/>
                <w:highlight w:val="none"/>
                <w:u w:val="single"/>
              </w:rPr>
            </w:pPr>
            <w:r>
              <w:rPr>
                <w:rFonts w:cs="Times New Roman"/>
                <w:color w:val="000000"/>
                <w:kern w:val="0"/>
                <w:sz w:val="21"/>
                <w:szCs w:val="21"/>
                <w:highlight w:val="none"/>
                <w:u w:val="single"/>
              </w:rPr>
              <w:t>Cl</w:t>
            </w:r>
            <w:r>
              <w:rPr>
                <w:rFonts w:cs="Times New Roman"/>
                <w:color w:val="000000"/>
                <w:kern w:val="0"/>
                <w:sz w:val="21"/>
                <w:szCs w:val="21"/>
                <w:highlight w:val="none"/>
                <w:u w:val="single"/>
                <w:vertAlign w:val="subscript"/>
              </w:rPr>
              <w:t>2</w:t>
            </w: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852E52">
            <w:pPr>
              <w:widowControl/>
              <w:spacing w:line="240" w:lineRule="auto"/>
              <w:ind w:firstLine="0" w:firstLineChars="0"/>
              <w:jc w:val="center"/>
              <w:textAlignment w:val="center"/>
              <w:rPr>
                <w:rFonts w:cs="Times New Roman"/>
                <w:color w:val="000000"/>
                <w:sz w:val="21"/>
                <w:szCs w:val="21"/>
                <w:highlight w:val="none"/>
                <w:u w:val="single"/>
              </w:rPr>
            </w:pPr>
            <w:r>
              <w:rPr>
                <w:rFonts w:cs="Times New Roman"/>
                <w:color w:val="000000"/>
                <w:kern w:val="0"/>
                <w:sz w:val="21"/>
                <w:szCs w:val="21"/>
                <w:highlight w:val="none"/>
                <w:u w:val="single"/>
              </w:rPr>
              <w:t>1h</w:t>
            </w: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A4D9DE">
            <w:pPr>
              <w:pStyle w:val="45"/>
              <w:bidi w:val="0"/>
              <w:rPr>
                <w:rFonts w:hint="eastAsia"/>
                <w:highlight w:val="none"/>
                <w:lang w:val="en-US" w:eastAsia="zh-CN"/>
              </w:rPr>
            </w:pPr>
            <w:r>
              <w:rPr>
                <w:rFonts w:hint="eastAsia"/>
                <w:highlight w:val="none"/>
                <w:lang w:val="en-US" w:eastAsia="zh-CN"/>
              </w:rPr>
              <w:t>22031905</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FA1E1">
            <w:pPr>
              <w:pStyle w:val="45"/>
              <w:bidi w:val="0"/>
              <w:rPr>
                <w:highlight w:val="none"/>
              </w:rPr>
            </w:pPr>
            <w:r>
              <w:rPr>
                <w:rFonts w:hint="eastAsia"/>
                <w:highlight w:val="none"/>
                <w:lang w:val="en-US" w:eastAsia="zh-CN"/>
              </w:rPr>
              <w:t>-450,250</w:t>
            </w:r>
          </w:p>
        </w:tc>
        <w:tc>
          <w:tcPr>
            <w:tcW w:w="5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0599C9">
            <w:pPr>
              <w:pStyle w:val="45"/>
              <w:bidi w:val="0"/>
              <w:rPr>
                <w:rFonts w:hint="eastAsia"/>
                <w:highlight w:val="none"/>
                <w:lang w:val="en-US" w:eastAsia="zh-CN"/>
              </w:rPr>
            </w:pPr>
            <w:r>
              <w:rPr>
                <w:rFonts w:hint="eastAsia"/>
                <w:highlight w:val="none"/>
                <w:lang w:val="en-US" w:eastAsia="zh-CN"/>
              </w:rPr>
              <w:t>0.009529</w:t>
            </w:r>
          </w:p>
        </w:tc>
        <w:tc>
          <w:tcPr>
            <w:tcW w:w="5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808A1">
            <w:pPr>
              <w:widowControl/>
              <w:spacing w:line="240" w:lineRule="auto"/>
              <w:ind w:firstLine="0" w:firstLineChars="0"/>
              <w:jc w:val="center"/>
              <w:textAlignment w:val="center"/>
              <w:rPr>
                <w:rFonts w:cs="宋体"/>
                <w:color w:val="000000"/>
                <w:sz w:val="21"/>
                <w:szCs w:val="22"/>
                <w:highlight w:val="none"/>
              </w:rPr>
            </w:pPr>
            <w:r>
              <w:rPr>
                <w:rFonts w:hint="eastAsia" w:cs="宋体"/>
                <w:color w:val="000000"/>
                <w:kern w:val="0"/>
                <w:sz w:val="21"/>
                <w:szCs w:val="22"/>
                <w:highlight w:val="none"/>
              </w:rPr>
              <w:t>0.0015</w:t>
            </w:r>
          </w:p>
        </w:tc>
        <w:tc>
          <w:tcPr>
            <w:tcW w:w="5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39EEB">
            <w:pPr>
              <w:pStyle w:val="45"/>
              <w:bidi w:val="0"/>
              <w:rPr>
                <w:rFonts w:hint="eastAsia"/>
                <w:lang w:val="en-US" w:eastAsia="zh-CN"/>
              </w:rPr>
            </w:pPr>
            <w:r>
              <w:rPr>
                <w:rFonts w:hint="eastAsia"/>
                <w:lang w:val="en-US" w:eastAsia="zh-CN"/>
              </w:rPr>
              <w:t>0.011029</w:t>
            </w:r>
          </w:p>
        </w:tc>
        <w:tc>
          <w:tcPr>
            <w:tcW w:w="5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9AD3F9">
            <w:pPr>
              <w:widowControl/>
              <w:spacing w:line="240" w:lineRule="auto"/>
              <w:ind w:firstLine="0" w:firstLineChars="0"/>
              <w:jc w:val="center"/>
              <w:textAlignment w:val="center"/>
              <w:rPr>
                <w:rFonts w:cs="宋体"/>
                <w:color w:val="000000"/>
                <w:sz w:val="21"/>
                <w:szCs w:val="22"/>
                <w:highlight w:val="none"/>
              </w:rPr>
            </w:pPr>
            <w:r>
              <w:rPr>
                <w:rFonts w:hint="eastAsia" w:cs="宋体"/>
                <w:color w:val="000000"/>
                <w:kern w:val="0"/>
                <w:sz w:val="21"/>
                <w:szCs w:val="22"/>
                <w:highlight w:val="none"/>
              </w:rPr>
              <w:t>0.1</w:t>
            </w:r>
          </w:p>
        </w:tc>
        <w:tc>
          <w:tcPr>
            <w:tcW w:w="6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B167DF">
            <w:pPr>
              <w:widowControl/>
              <w:spacing w:line="240" w:lineRule="auto"/>
              <w:ind w:firstLine="0" w:firstLineChars="0"/>
              <w:jc w:val="center"/>
              <w:textAlignment w:val="center"/>
              <w:rPr>
                <w:rFonts w:hint="default" w:eastAsia="宋体" w:cs="宋体"/>
                <w:color w:val="000000"/>
                <w:sz w:val="21"/>
                <w:szCs w:val="22"/>
                <w:highlight w:val="none"/>
                <w:lang w:val="en-US" w:eastAsia="zh-CN"/>
              </w:rPr>
            </w:pPr>
            <w:r>
              <w:rPr>
                <w:rFonts w:hint="eastAsia" w:cs="宋体"/>
                <w:color w:val="000000"/>
                <w:kern w:val="0"/>
                <w:sz w:val="21"/>
                <w:szCs w:val="22"/>
                <w:highlight w:val="none"/>
                <w:lang w:val="en-US" w:eastAsia="zh-CN"/>
              </w:rPr>
              <w:t>9.53</w:t>
            </w:r>
          </w:p>
        </w:tc>
      </w:tr>
      <w:tr w14:paraId="37ED14A4">
        <w:tblPrEx>
          <w:tblCellMar>
            <w:top w:w="0" w:type="dxa"/>
            <w:left w:w="108" w:type="dxa"/>
            <w:bottom w:w="0" w:type="dxa"/>
            <w:right w:w="108" w:type="dxa"/>
          </w:tblCellMar>
        </w:tblPrEx>
        <w:trPr>
          <w:trHeight w:val="17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8756F9">
            <w:pPr>
              <w:widowControl/>
              <w:spacing w:line="240" w:lineRule="auto"/>
              <w:ind w:firstLine="0" w:firstLineChars="0"/>
              <w:jc w:val="center"/>
              <w:textAlignment w:val="center"/>
              <w:rPr>
                <w:rFonts w:cs="Times New Roman"/>
                <w:color w:val="000000"/>
                <w:kern w:val="0"/>
                <w:sz w:val="21"/>
                <w:szCs w:val="21"/>
                <w:highlight w:val="none"/>
                <w:u w:val="single"/>
              </w:rPr>
            </w:pPr>
            <w:r>
              <w:rPr>
                <w:rFonts w:cs="Times New Roman"/>
                <w:color w:val="000000"/>
                <w:kern w:val="0"/>
                <w:sz w:val="21"/>
                <w:szCs w:val="21"/>
                <w:highlight w:val="none"/>
                <w:u w:val="single"/>
              </w:rPr>
              <w:t>Cl</w:t>
            </w:r>
            <w:r>
              <w:rPr>
                <w:rFonts w:cs="Times New Roman"/>
                <w:color w:val="000000"/>
                <w:kern w:val="0"/>
                <w:sz w:val="21"/>
                <w:szCs w:val="21"/>
                <w:highlight w:val="none"/>
                <w:u w:val="single"/>
                <w:vertAlign w:val="subscript"/>
              </w:rPr>
              <w:t>2</w:t>
            </w: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30BE08">
            <w:pPr>
              <w:widowControl/>
              <w:spacing w:line="240" w:lineRule="auto"/>
              <w:ind w:firstLine="0" w:firstLineChars="0"/>
              <w:jc w:val="center"/>
              <w:textAlignment w:val="center"/>
              <w:rPr>
                <w:rFonts w:cs="Times New Roman"/>
                <w:color w:val="000000"/>
                <w:kern w:val="0"/>
                <w:sz w:val="21"/>
                <w:szCs w:val="21"/>
                <w:highlight w:val="none"/>
                <w:u w:val="single"/>
              </w:rPr>
            </w:pPr>
            <w:r>
              <w:rPr>
                <w:rFonts w:cs="Times New Roman"/>
                <w:color w:val="000000"/>
                <w:kern w:val="0"/>
                <w:sz w:val="21"/>
                <w:szCs w:val="21"/>
                <w:highlight w:val="none"/>
              </w:rPr>
              <w:t>24h</w:t>
            </w: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4E154C">
            <w:pPr>
              <w:widowControl/>
              <w:spacing w:line="240" w:lineRule="auto"/>
              <w:ind w:firstLine="0" w:firstLineChars="0"/>
              <w:jc w:val="center"/>
              <w:textAlignment w:val="center"/>
              <w:rPr>
                <w:rFonts w:hint="default" w:eastAsia="宋体" w:cs="宋体"/>
                <w:color w:val="000000"/>
                <w:kern w:val="0"/>
                <w:sz w:val="21"/>
                <w:szCs w:val="22"/>
                <w:highlight w:val="none"/>
                <w:lang w:val="en-US" w:eastAsia="zh-CN"/>
              </w:rPr>
            </w:pPr>
            <w:r>
              <w:rPr>
                <w:rFonts w:hint="eastAsia" w:cs="宋体"/>
                <w:color w:val="000000"/>
                <w:kern w:val="0"/>
                <w:sz w:val="21"/>
                <w:szCs w:val="22"/>
                <w:highlight w:val="none"/>
                <w:lang w:val="en-US" w:eastAsia="zh-CN"/>
              </w:rPr>
              <w:t>220119</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FA7B0">
            <w:pPr>
              <w:widowControl/>
              <w:spacing w:line="240" w:lineRule="auto"/>
              <w:ind w:firstLine="0" w:firstLineChars="0"/>
              <w:jc w:val="center"/>
              <w:textAlignment w:val="center"/>
              <w:rPr>
                <w:rFonts w:hint="eastAsia" w:cs="宋体"/>
                <w:color w:val="000000"/>
                <w:kern w:val="0"/>
                <w:sz w:val="21"/>
                <w:szCs w:val="22"/>
                <w:highlight w:val="none"/>
              </w:rPr>
            </w:pPr>
            <w:r>
              <w:rPr>
                <w:rFonts w:hint="eastAsia" w:cs="宋体"/>
                <w:color w:val="000000"/>
                <w:kern w:val="0"/>
                <w:sz w:val="21"/>
                <w:szCs w:val="22"/>
                <w:highlight w:val="none"/>
                <w:lang w:val="en-US" w:eastAsia="zh-CN"/>
              </w:rPr>
              <w:t>-250,750</w:t>
            </w:r>
          </w:p>
        </w:tc>
        <w:tc>
          <w:tcPr>
            <w:tcW w:w="5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16989D">
            <w:pPr>
              <w:widowControl/>
              <w:spacing w:line="240" w:lineRule="auto"/>
              <w:ind w:firstLine="0" w:firstLineChars="0"/>
              <w:jc w:val="center"/>
              <w:textAlignment w:val="center"/>
              <w:rPr>
                <w:rFonts w:hint="default" w:eastAsia="宋体" w:cs="宋体"/>
                <w:color w:val="000000"/>
                <w:kern w:val="0"/>
                <w:sz w:val="21"/>
                <w:szCs w:val="22"/>
                <w:highlight w:val="none"/>
                <w:lang w:val="en-US" w:eastAsia="zh-CN"/>
              </w:rPr>
            </w:pPr>
            <w:r>
              <w:rPr>
                <w:rFonts w:hint="eastAsia" w:cs="宋体"/>
                <w:color w:val="000000"/>
                <w:kern w:val="0"/>
                <w:sz w:val="21"/>
                <w:szCs w:val="22"/>
                <w:highlight w:val="none"/>
                <w:lang w:val="en-US" w:eastAsia="zh-CN"/>
              </w:rPr>
              <w:t>0.00092</w:t>
            </w:r>
          </w:p>
        </w:tc>
        <w:tc>
          <w:tcPr>
            <w:tcW w:w="5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69CDF">
            <w:pPr>
              <w:widowControl/>
              <w:spacing w:line="240" w:lineRule="auto"/>
              <w:ind w:firstLine="0" w:firstLineChars="0"/>
              <w:jc w:val="center"/>
              <w:textAlignment w:val="center"/>
              <w:rPr>
                <w:rFonts w:hint="eastAsia" w:cs="宋体"/>
                <w:color w:val="000000"/>
                <w:kern w:val="0"/>
                <w:sz w:val="21"/>
                <w:szCs w:val="22"/>
                <w:highlight w:val="none"/>
              </w:rPr>
            </w:pPr>
            <w:r>
              <w:rPr>
                <w:rFonts w:hint="eastAsia" w:cs="宋体"/>
                <w:color w:val="000000"/>
                <w:kern w:val="0"/>
                <w:sz w:val="21"/>
                <w:szCs w:val="22"/>
                <w:highlight w:val="none"/>
              </w:rPr>
              <w:t>0.0015</w:t>
            </w:r>
          </w:p>
        </w:tc>
        <w:tc>
          <w:tcPr>
            <w:tcW w:w="5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2687F">
            <w:pPr>
              <w:widowControl/>
              <w:spacing w:line="240" w:lineRule="auto"/>
              <w:ind w:firstLine="0" w:firstLineChars="0"/>
              <w:jc w:val="center"/>
              <w:textAlignment w:val="center"/>
              <w:rPr>
                <w:rFonts w:hint="default" w:eastAsia="宋体" w:cs="宋体"/>
                <w:color w:val="000000"/>
                <w:kern w:val="0"/>
                <w:sz w:val="21"/>
                <w:szCs w:val="22"/>
                <w:highlight w:val="none"/>
                <w:lang w:val="en-US" w:eastAsia="zh-CN"/>
              </w:rPr>
            </w:pPr>
            <w:r>
              <w:rPr>
                <w:rFonts w:hint="eastAsia" w:cs="宋体"/>
                <w:color w:val="000000"/>
                <w:kern w:val="0"/>
                <w:sz w:val="21"/>
                <w:szCs w:val="22"/>
                <w:highlight w:val="none"/>
                <w:lang w:val="en-US" w:eastAsia="zh-CN"/>
              </w:rPr>
              <w:t>0.00242</w:t>
            </w:r>
          </w:p>
        </w:tc>
        <w:tc>
          <w:tcPr>
            <w:tcW w:w="5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FE20F">
            <w:pPr>
              <w:widowControl/>
              <w:spacing w:line="240" w:lineRule="auto"/>
              <w:ind w:firstLine="0" w:firstLineChars="0"/>
              <w:jc w:val="center"/>
              <w:textAlignment w:val="center"/>
              <w:rPr>
                <w:rFonts w:hint="default" w:eastAsia="宋体" w:cs="宋体"/>
                <w:color w:val="000000"/>
                <w:kern w:val="0"/>
                <w:sz w:val="21"/>
                <w:szCs w:val="22"/>
                <w:highlight w:val="none"/>
                <w:lang w:val="en-US" w:eastAsia="zh-CN"/>
              </w:rPr>
            </w:pPr>
            <w:r>
              <w:rPr>
                <w:rFonts w:hint="eastAsia" w:cs="宋体"/>
                <w:color w:val="000000"/>
                <w:kern w:val="0"/>
                <w:sz w:val="21"/>
                <w:szCs w:val="22"/>
                <w:highlight w:val="none"/>
                <w:lang w:val="en-US" w:eastAsia="zh-CN"/>
              </w:rPr>
              <w:t>0.03</w:t>
            </w:r>
          </w:p>
        </w:tc>
        <w:tc>
          <w:tcPr>
            <w:tcW w:w="6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7D343">
            <w:pPr>
              <w:widowControl/>
              <w:spacing w:line="240" w:lineRule="auto"/>
              <w:ind w:firstLine="0" w:firstLineChars="0"/>
              <w:jc w:val="center"/>
              <w:textAlignment w:val="center"/>
              <w:rPr>
                <w:rFonts w:hint="default" w:eastAsia="宋体" w:cs="宋体"/>
                <w:color w:val="000000"/>
                <w:kern w:val="0"/>
                <w:sz w:val="21"/>
                <w:szCs w:val="22"/>
                <w:highlight w:val="none"/>
                <w:lang w:val="en-US" w:eastAsia="zh-CN"/>
              </w:rPr>
            </w:pPr>
            <w:r>
              <w:rPr>
                <w:rFonts w:hint="eastAsia" w:cs="宋体"/>
                <w:color w:val="000000"/>
                <w:kern w:val="0"/>
                <w:sz w:val="21"/>
                <w:szCs w:val="22"/>
                <w:highlight w:val="none"/>
                <w:lang w:val="en-US" w:eastAsia="zh-CN"/>
              </w:rPr>
              <w:t>5.04</w:t>
            </w:r>
          </w:p>
        </w:tc>
      </w:tr>
      <w:tr w14:paraId="74146BDC">
        <w:tblPrEx>
          <w:tblCellMar>
            <w:top w:w="0" w:type="dxa"/>
            <w:left w:w="108" w:type="dxa"/>
            <w:bottom w:w="0" w:type="dxa"/>
            <w:right w:w="108" w:type="dxa"/>
          </w:tblCellMar>
        </w:tblPrEx>
        <w:trPr>
          <w:trHeight w:val="17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7A4E20">
            <w:pPr>
              <w:widowControl/>
              <w:spacing w:line="240" w:lineRule="auto"/>
              <w:ind w:firstLine="0" w:firstLineChars="0"/>
              <w:jc w:val="center"/>
              <w:textAlignment w:val="center"/>
              <w:rPr>
                <w:rFonts w:cs="Times New Roman"/>
                <w:color w:val="000000"/>
                <w:kern w:val="0"/>
                <w:sz w:val="21"/>
                <w:szCs w:val="21"/>
                <w:highlight w:val="none"/>
                <w:u w:val="single"/>
              </w:rPr>
            </w:pPr>
            <w:r>
              <w:rPr>
                <w:rFonts w:cs="Times New Roman"/>
                <w:color w:val="000000"/>
                <w:kern w:val="0"/>
                <w:sz w:val="21"/>
                <w:szCs w:val="21"/>
                <w:highlight w:val="none"/>
                <w:u w:val="single"/>
              </w:rPr>
              <w:t>HCl</w:t>
            </w: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699A76">
            <w:pPr>
              <w:widowControl/>
              <w:spacing w:line="240" w:lineRule="auto"/>
              <w:ind w:firstLine="0" w:firstLineChars="0"/>
              <w:jc w:val="center"/>
              <w:textAlignment w:val="center"/>
              <w:rPr>
                <w:rFonts w:cs="Times New Roman"/>
                <w:color w:val="000000"/>
                <w:kern w:val="0"/>
                <w:sz w:val="21"/>
                <w:szCs w:val="21"/>
                <w:highlight w:val="none"/>
              </w:rPr>
            </w:pPr>
            <w:r>
              <w:rPr>
                <w:rFonts w:cs="Times New Roman"/>
                <w:color w:val="000000"/>
                <w:kern w:val="0"/>
                <w:sz w:val="21"/>
                <w:szCs w:val="21"/>
                <w:highlight w:val="none"/>
                <w:u w:val="single"/>
              </w:rPr>
              <w:t>1h</w:t>
            </w: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DD887D">
            <w:pPr>
              <w:pStyle w:val="45"/>
              <w:bidi w:val="0"/>
              <w:rPr>
                <w:rFonts w:hint="default"/>
                <w:lang w:val="en-US" w:eastAsia="zh-CN"/>
              </w:rPr>
            </w:pPr>
            <w:r>
              <w:rPr>
                <w:rFonts w:hint="eastAsia"/>
                <w:lang w:val="en-US" w:eastAsia="zh-CN"/>
              </w:rPr>
              <w:t>22031905</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44340">
            <w:pPr>
              <w:pStyle w:val="45"/>
              <w:bidi w:val="0"/>
              <w:rPr>
                <w:rFonts w:hint="eastAsia"/>
                <w:lang w:val="en-US" w:eastAsia="zh-CN"/>
              </w:rPr>
            </w:pPr>
            <w:r>
              <w:rPr>
                <w:rFonts w:hint="eastAsia"/>
                <w:lang w:val="en-US" w:eastAsia="zh-CN"/>
              </w:rPr>
              <w:t>-450,250</w:t>
            </w:r>
          </w:p>
        </w:tc>
        <w:tc>
          <w:tcPr>
            <w:tcW w:w="5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A4BA93">
            <w:pPr>
              <w:pStyle w:val="45"/>
              <w:bidi w:val="0"/>
              <w:rPr>
                <w:rFonts w:hint="eastAsia"/>
                <w:lang w:val="en-US" w:eastAsia="zh-CN"/>
              </w:rPr>
            </w:pPr>
            <w:r>
              <w:rPr>
                <w:rFonts w:hint="eastAsia"/>
                <w:lang w:val="en-US" w:eastAsia="zh-CN"/>
              </w:rPr>
              <w:t>0.010593</w:t>
            </w:r>
          </w:p>
        </w:tc>
        <w:tc>
          <w:tcPr>
            <w:tcW w:w="5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7E536">
            <w:pPr>
              <w:widowControl/>
              <w:spacing w:line="240" w:lineRule="auto"/>
              <w:ind w:firstLine="0" w:firstLineChars="0"/>
              <w:jc w:val="center"/>
              <w:textAlignment w:val="center"/>
              <w:rPr>
                <w:rFonts w:hint="eastAsia" w:cs="宋体"/>
                <w:color w:val="000000"/>
                <w:kern w:val="0"/>
                <w:sz w:val="21"/>
                <w:szCs w:val="22"/>
                <w:highlight w:val="none"/>
              </w:rPr>
            </w:pPr>
            <w:r>
              <w:rPr>
                <w:rFonts w:hint="eastAsia" w:cs="宋体"/>
                <w:color w:val="000000"/>
                <w:kern w:val="0"/>
                <w:sz w:val="21"/>
                <w:szCs w:val="22"/>
                <w:highlight w:val="none"/>
              </w:rPr>
              <w:t>0.002</w:t>
            </w:r>
          </w:p>
        </w:tc>
        <w:tc>
          <w:tcPr>
            <w:tcW w:w="5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2845F">
            <w:pPr>
              <w:pStyle w:val="45"/>
              <w:bidi w:val="0"/>
              <w:rPr>
                <w:rFonts w:hint="eastAsia"/>
                <w:lang w:val="en-US" w:eastAsia="zh-CN"/>
              </w:rPr>
            </w:pPr>
            <w:r>
              <w:rPr>
                <w:rFonts w:hint="eastAsia"/>
                <w:lang w:val="en-US" w:eastAsia="zh-CN"/>
              </w:rPr>
              <w:t>0.012593</w:t>
            </w:r>
          </w:p>
        </w:tc>
        <w:tc>
          <w:tcPr>
            <w:tcW w:w="5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AEB35">
            <w:pPr>
              <w:widowControl/>
              <w:spacing w:line="240" w:lineRule="auto"/>
              <w:ind w:firstLine="0" w:firstLineChars="0"/>
              <w:jc w:val="center"/>
              <w:textAlignment w:val="center"/>
              <w:rPr>
                <w:rFonts w:hint="eastAsia" w:cs="宋体"/>
                <w:color w:val="000000"/>
                <w:kern w:val="0"/>
                <w:sz w:val="21"/>
                <w:szCs w:val="22"/>
                <w:highlight w:val="none"/>
              </w:rPr>
            </w:pPr>
            <w:r>
              <w:rPr>
                <w:rFonts w:hint="eastAsia" w:cs="宋体"/>
                <w:color w:val="000000"/>
                <w:kern w:val="0"/>
                <w:sz w:val="21"/>
                <w:szCs w:val="22"/>
                <w:highlight w:val="none"/>
              </w:rPr>
              <w:t>0.05</w:t>
            </w:r>
          </w:p>
        </w:tc>
        <w:tc>
          <w:tcPr>
            <w:tcW w:w="6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E4552D">
            <w:pPr>
              <w:widowControl/>
              <w:spacing w:line="240" w:lineRule="auto"/>
              <w:ind w:firstLine="0" w:firstLineChars="0"/>
              <w:jc w:val="center"/>
              <w:textAlignment w:val="center"/>
              <w:rPr>
                <w:rFonts w:hint="default" w:eastAsia="宋体" w:cs="宋体"/>
                <w:color w:val="000000"/>
                <w:kern w:val="0"/>
                <w:sz w:val="21"/>
                <w:szCs w:val="22"/>
                <w:highlight w:val="none"/>
                <w:lang w:val="en-US" w:eastAsia="zh-CN"/>
              </w:rPr>
            </w:pPr>
            <w:r>
              <w:rPr>
                <w:rFonts w:hint="eastAsia" w:cs="宋体"/>
                <w:color w:val="000000"/>
                <w:kern w:val="0"/>
                <w:sz w:val="21"/>
                <w:szCs w:val="22"/>
                <w:highlight w:val="none"/>
                <w:lang w:val="en-US" w:eastAsia="zh-CN"/>
              </w:rPr>
              <w:t>25.19</w:t>
            </w:r>
          </w:p>
        </w:tc>
      </w:tr>
      <w:tr w14:paraId="5510B063">
        <w:tblPrEx>
          <w:tblCellMar>
            <w:top w:w="0" w:type="dxa"/>
            <w:left w:w="108" w:type="dxa"/>
            <w:bottom w:w="0" w:type="dxa"/>
            <w:right w:w="108" w:type="dxa"/>
          </w:tblCellMar>
        </w:tblPrEx>
        <w:trPr>
          <w:trHeight w:val="17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089CBF">
            <w:pPr>
              <w:widowControl/>
              <w:spacing w:line="240" w:lineRule="auto"/>
              <w:ind w:firstLine="0" w:firstLineChars="0"/>
              <w:jc w:val="center"/>
              <w:textAlignment w:val="center"/>
              <w:rPr>
                <w:rFonts w:cs="Times New Roman"/>
                <w:color w:val="000000"/>
                <w:kern w:val="0"/>
                <w:sz w:val="21"/>
                <w:szCs w:val="21"/>
                <w:highlight w:val="none"/>
                <w:u w:val="single"/>
              </w:rPr>
            </w:pPr>
            <w:r>
              <w:rPr>
                <w:rFonts w:cs="Times New Roman"/>
                <w:color w:val="000000"/>
                <w:kern w:val="0"/>
                <w:sz w:val="21"/>
                <w:szCs w:val="21"/>
                <w:highlight w:val="none"/>
                <w:u w:val="single"/>
              </w:rPr>
              <w:t>HCl</w:t>
            </w:r>
          </w:p>
        </w:tc>
        <w:tc>
          <w:tcPr>
            <w:tcW w:w="3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776C63">
            <w:pPr>
              <w:widowControl/>
              <w:spacing w:line="240" w:lineRule="auto"/>
              <w:ind w:firstLine="0" w:firstLineChars="0"/>
              <w:jc w:val="center"/>
              <w:textAlignment w:val="center"/>
              <w:rPr>
                <w:rFonts w:cs="Times New Roman"/>
                <w:color w:val="000000"/>
                <w:kern w:val="0"/>
                <w:sz w:val="21"/>
                <w:szCs w:val="21"/>
                <w:highlight w:val="none"/>
              </w:rPr>
            </w:pPr>
            <w:r>
              <w:rPr>
                <w:rFonts w:cs="Times New Roman"/>
                <w:color w:val="000000"/>
                <w:kern w:val="0"/>
                <w:sz w:val="21"/>
                <w:szCs w:val="21"/>
                <w:highlight w:val="none"/>
              </w:rPr>
              <w:t>24h</w:t>
            </w: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DE7BE7">
            <w:pPr>
              <w:widowControl/>
              <w:spacing w:line="240" w:lineRule="auto"/>
              <w:ind w:firstLine="0" w:firstLineChars="0"/>
              <w:jc w:val="center"/>
              <w:textAlignment w:val="center"/>
              <w:rPr>
                <w:rFonts w:hint="default" w:eastAsia="宋体" w:cs="宋体"/>
                <w:color w:val="000000"/>
                <w:kern w:val="0"/>
                <w:sz w:val="21"/>
                <w:szCs w:val="22"/>
                <w:highlight w:val="none"/>
                <w:lang w:val="en-US" w:eastAsia="zh-CN"/>
              </w:rPr>
            </w:pPr>
            <w:r>
              <w:rPr>
                <w:rFonts w:hint="eastAsia" w:cs="宋体"/>
                <w:color w:val="000000"/>
                <w:kern w:val="0"/>
                <w:sz w:val="21"/>
                <w:szCs w:val="22"/>
                <w:highlight w:val="none"/>
                <w:lang w:val="en-US" w:eastAsia="zh-CN"/>
              </w:rPr>
              <w:t>220119</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864B5">
            <w:pPr>
              <w:widowControl/>
              <w:spacing w:line="240" w:lineRule="auto"/>
              <w:ind w:firstLine="0" w:firstLineChars="0"/>
              <w:jc w:val="center"/>
              <w:textAlignment w:val="center"/>
              <w:rPr>
                <w:rFonts w:hint="eastAsia" w:cs="宋体"/>
                <w:color w:val="000000"/>
                <w:kern w:val="0"/>
                <w:sz w:val="21"/>
                <w:szCs w:val="22"/>
                <w:highlight w:val="none"/>
                <w:lang w:val="en-US" w:eastAsia="zh-CN"/>
              </w:rPr>
            </w:pPr>
            <w:r>
              <w:rPr>
                <w:rFonts w:hint="eastAsia" w:cs="宋体"/>
                <w:color w:val="000000"/>
                <w:kern w:val="0"/>
                <w:sz w:val="21"/>
                <w:szCs w:val="22"/>
                <w:highlight w:val="none"/>
                <w:lang w:val="en-US" w:eastAsia="zh-CN"/>
              </w:rPr>
              <w:t>-250,750</w:t>
            </w:r>
          </w:p>
        </w:tc>
        <w:tc>
          <w:tcPr>
            <w:tcW w:w="5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989E30">
            <w:pPr>
              <w:widowControl/>
              <w:spacing w:line="240" w:lineRule="auto"/>
              <w:ind w:firstLine="0" w:firstLineChars="0"/>
              <w:jc w:val="center"/>
              <w:textAlignment w:val="center"/>
              <w:rPr>
                <w:rFonts w:hint="default" w:eastAsia="宋体" w:cs="宋体"/>
                <w:color w:val="000000"/>
                <w:kern w:val="0"/>
                <w:sz w:val="21"/>
                <w:szCs w:val="22"/>
                <w:highlight w:val="none"/>
                <w:lang w:val="en-US" w:eastAsia="zh-CN"/>
              </w:rPr>
            </w:pPr>
            <w:r>
              <w:rPr>
                <w:rFonts w:hint="eastAsia" w:cs="宋体"/>
                <w:color w:val="000000"/>
                <w:kern w:val="0"/>
                <w:sz w:val="21"/>
                <w:szCs w:val="22"/>
                <w:highlight w:val="none"/>
                <w:lang w:val="en-US" w:eastAsia="zh-CN"/>
              </w:rPr>
              <w:t>0.001023</w:t>
            </w:r>
          </w:p>
        </w:tc>
        <w:tc>
          <w:tcPr>
            <w:tcW w:w="5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12319">
            <w:pPr>
              <w:widowControl/>
              <w:spacing w:line="240" w:lineRule="auto"/>
              <w:ind w:firstLine="0" w:firstLineChars="0"/>
              <w:jc w:val="center"/>
              <w:textAlignment w:val="center"/>
              <w:rPr>
                <w:rFonts w:hint="eastAsia" w:cs="宋体"/>
                <w:color w:val="000000"/>
                <w:kern w:val="0"/>
                <w:sz w:val="21"/>
                <w:szCs w:val="22"/>
                <w:highlight w:val="none"/>
              </w:rPr>
            </w:pPr>
            <w:r>
              <w:rPr>
                <w:rFonts w:hint="eastAsia" w:cs="宋体"/>
                <w:color w:val="000000"/>
                <w:kern w:val="0"/>
                <w:sz w:val="21"/>
                <w:szCs w:val="22"/>
                <w:highlight w:val="none"/>
              </w:rPr>
              <w:t>0.002</w:t>
            </w:r>
          </w:p>
        </w:tc>
        <w:tc>
          <w:tcPr>
            <w:tcW w:w="5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E0152D">
            <w:pPr>
              <w:widowControl/>
              <w:spacing w:line="240" w:lineRule="auto"/>
              <w:ind w:firstLine="0" w:firstLineChars="0"/>
              <w:jc w:val="center"/>
              <w:textAlignment w:val="center"/>
              <w:rPr>
                <w:rFonts w:hint="default" w:eastAsia="宋体" w:cs="宋体"/>
                <w:color w:val="000000"/>
                <w:kern w:val="0"/>
                <w:sz w:val="21"/>
                <w:szCs w:val="22"/>
                <w:highlight w:val="none"/>
                <w:lang w:val="en-US" w:eastAsia="zh-CN"/>
              </w:rPr>
            </w:pPr>
            <w:r>
              <w:rPr>
                <w:rFonts w:hint="eastAsia" w:cs="宋体"/>
                <w:color w:val="000000"/>
                <w:kern w:val="0"/>
                <w:sz w:val="21"/>
                <w:szCs w:val="22"/>
                <w:highlight w:val="none"/>
                <w:lang w:val="en-US" w:eastAsia="zh-CN"/>
              </w:rPr>
              <w:t>0.003023</w:t>
            </w:r>
          </w:p>
        </w:tc>
        <w:tc>
          <w:tcPr>
            <w:tcW w:w="5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DB3D72">
            <w:pPr>
              <w:widowControl/>
              <w:spacing w:line="240" w:lineRule="auto"/>
              <w:ind w:firstLine="0" w:firstLineChars="0"/>
              <w:jc w:val="center"/>
              <w:textAlignment w:val="center"/>
              <w:rPr>
                <w:rFonts w:hint="default" w:eastAsia="宋体" w:cs="宋体"/>
                <w:color w:val="000000"/>
                <w:kern w:val="0"/>
                <w:sz w:val="21"/>
                <w:szCs w:val="22"/>
                <w:highlight w:val="none"/>
                <w:lang w:val="en-US" w:eastAsia="zh-CN"/>
              </w:rPr>
            </w:pPr>
            <w:r>
              <w:rPr>
                <w:rFonts w:hint="eastAsia" w:cs="宋体"/>
                <w:color w:val="000000"/>
                <w:kern w:val="0"/>
                <w:sz w:val="21"/>
                <w:szCs w:val="22"/>
                <w:highlight w:val="none"/>
                <w:lang w:val="en-US" w:eastAsia="zh-CN"/>
              </w:rPr>
              <w:t>0.015</w:t>
            </w:r>
          </w:p>
        </w:tc>
        <w:tc>
          <w:tcPr>
            <w:tcW w:w="6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2CB2A">
            <w:pPr>
              <w:widowControl/>
              <w:spacing w:line="240" w:lineRule="auto"/>
              <w:ind w:firstLine="0" w:firstLineChars="0"/>
              <w:jc w:val="center"/>
              <w:textAlignment w:val="center"/>
              <w:rPr>
                <w:rFonts w:hint="default" w:eastAsia="宋体" w:cs="宋体"/>
                <w:color w:val="000000"/>
                <w:kern w:val="0"/>
                <w:sz w:val="21"/>
                <w:szCs w:val="22"/>
                <w:highlight w:val="none"/>
                <w:lang w:val="en-US" w:eastAsia="zh-CN"/>
              </w:rPr>
            </w:pPr>
            <w:r>
              <w:rPr>
                <w:rFonts w:hint="eastAsia" w:cs="宋体"/>
                <w:color w:val="000000"/>
                <w:kern w:val="0"/>
                <w:sz w:val="21"/>
                <w:szCs w:val="22"/>
                <w:highlight w:val="none"/>
                <w:lang w:val="en-US" w:eastAsia="zh-CN"/>
              </w:rPr>
              <w:t>20.15</w:t>
            </w:r>
          </w:p>
        </w:tc>
      </w:tr>
    </w:tbl>
    <w:p w14:paraId="11DD2E21">
      <w:pPr>
        <w:ind w:firstLine="480"/>
        <w:rPr>
          <w:highlight w:val="yellow"/>
        </w:rPr>
      </w:pPr>
    </w:p>
    <w:p w14:paraId="27ECC025">
      <w:pPr>
        <w:ind w:firstLine="480"/>
      </w:pPr>
      <w:r>
        <w:t>（二）各环境保护目标叠加在建、拟建源、削减源及区域环境背景浓度后对应保证率的最大影响程度</w:t>
      </w:r>
    </w:p>
    <w:p w14:paraId="23C82E84">
      <w:pPr>
        <w:ind w:firstLine="480"/>
        <w:rPr>
          <w:rFonts w:cs="Times New Roman"/>
        </w:rPr>
      </w:pPr>
      <w:r>
        <w:rPr>
          <w:rFonts w:hint="eastAsia"/>
        </w:rPr>
        <w:t>（1）颗粒物（</w:t>
      </w:r>
      <w:r>
        <w:rPr>
          <w:rFonts w:hint="eastAsia" w:cs="Times New Roman"/>
          <w:color w:val="000000"/>
          <w:sz w:val="21"/>
          <w:szCs w:val="21"/>
          <w:lang w:val="en-US" w:eastAsia="zh-CN"/>
        </w:rPr>
        <w:t>TSP</w:t>
      </w:r>
      <w:r>
        <w:rPr>
          <w:rFonts w:hint="eastAsia"/>
        </w:rPr>
        <w:t>）：</w:t>
      </w:r>
      <w:r>
        <w:rPr>
          <w:rFonts w:cs="Times New Roman"/>
        </w:rPr>
        <w:t>评价范围内</w:t>
      </w:r>
      <w:r>
        <w:rPr>
          <w:rFonts w:hint="eastAsia"/>
        </w:rPr>
        <w:t>颗粒物（</w:t>
      </w:r>
      <w:r>
        <w:rPr>
          <w:rFonts w:hint="eastAsia" w:cs="Times New Roman"/>
          <w:color w:val="000000"/>
          <w:sz w:val="21"/>
          <w:szCs w:val="21"/>
          <w:lang w:val="en-US" w:eastAsia="zh-CN"/>
        </w:rPr>
        <w:t>TSP</w:t>
      </w:r>
      <w:r>
        <w:rPr>
          <w:rFonts w:hint="eastAsia"/>
        </w:rPr>
        <w:t>）</w:t>
      </w:r>
      <w:r>
        <w:rPr>
          <w:rFonts w:cs="Times New Roman"/>
        </w:rPr>
        <w:t>对环境保护目标预测结果如</w:t>
      </w:r>
      <w:r>
        <w:rPr>
          <w:rFonts w:hint="eastAsia" w:cs="Times New Roman"/>
        </w:rPr>
        <w:t>下表</w:t>
      </w:r>
      <w:r>
        <w:rPr>
          <w:rFonts w:cs="Times New Roman"/>
        </w:rPr>
        <w:t>所示。可以看出，本项目</w:t>
      </w:r>
      <w:r>
        <w:rPr>
          <w:rFonts w:hint="eastAsia"/>
        </w:rPr>
        <w:t>颗粒物（</w:t>
      </w:r>
      <w:r>
        <w:rPr>
          <w:rFonts w:hint="eastAsia" w:cs="Times New Roman"/>
          <w:color w:val="000000"/>
          <w:sz w:val="21"/>
          <w:szCs w:val="21"/>
          <w:lang w:val="en-US" w:eastAsia="zh-CN"/>
        </w:rPr>
        <w:t>TSP</w:t>
      </w:r>
      <w:r>
        <w:rPr>
          <w:rFonts w:hint="eastAsia"/>
        </w:rPr>
        <w:t>）</w:t>
      </w:r>
      <w:r>
        <w:rPr>
          <w:rFonts w:cs="Times New Roman"/>
        </w:rPr>
        <w:t>日均浓度在叠加在建、拟建源、削减源及区域背景浓度后对应保证率的</w:t>
      </w:r>
      <w:r>
        <w:rPr>
          <w:highlight w:val="none"/>
        </w:rPr>
        <w:t>日均浓度</w:t>
      </w:r>
      <w:r>
        <w:rPr>
          <w:rFonts w:cs="Times New Roman"/>
        </w:rPr>
        <w:t>预测值以及年均浓度预测值对环境保护目标的影响满足《环境空气质量标准》（GB3095-2012）二级标准。</w:t>
      </w:r>
    </w:p>
    <w:p w14:paraId="1D4D2B1C">
      <w:pPr>
        <w:pStyle w:val="43"/>
        <w:numPr>
          <w:ilvl w:val="5"/>
          <w:numId w:val="1"/>
        </w:numPr>
        <w:rPr>
          <w:rFonts w:hint="default"/>
        </w:rPr>
      </w:pPr>
      <w:r>
        <w:rPr>
          <w:rFonts w:hint="default"/>
        </w:rPr>
        <w:t xml:space="preserve"> </w:t>
      </w:r>
      <w:r>
        <w:rPr>
          <w:rFonts w:hint="eastAsia"/>
        </w:rPr>
        <w:t>颗粒物（</w:t>
      </w:r>
      <w:r>
        <w:rPr>
          <w:rFonts w:hint="eastAsia" w:cs="Times New Roman"/>
          <w:color w:val="000000"/>
          <w:sz w:val="21"/>
          <w:szCs w:val="21"/>
          <w:lang w:val="en-US" w:eastAsia="zh-CN"/>
        </w:rPr>
        <w:t>TSP</w:t>
      </w:r>
      <w:r>
        <w:rPr>
          <w:rFonts w:hint="eastAsia"/>
        </w:rPr>
        <w:t>）</w:t>
      </w:r>
      <w:r>
        <w:rPr>
          <w:rFonts w:hint="default"/>
        </w:rPr>
        <w:t>在环境保护目标及网格点处</w:t>
      </w:r>
      <w:r>
        <w:rPr>
          <w:rFonts w:hint="eastAsia"/>
          <w:lang w:val="en-US" w:eastAsia="zh-CN"/>
        </w:rPr>
        <w:t>日</w:t>
      </w:r>
      <w:r>
        <w:rPr>
          <w:rFonts w:hint="default"/>
        </w:rPr>
        <w:t>平均质量浓度占标率</w:t>
      </w:r>
    </w:p>
    <w:tbl>
      <w:tblPr>
        <w:tblStyle w:val="32"/>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3"/>
        <w:gridCol w:w="2031"/>
        <w:gridCol w:w="1119"/>
        <w:gridCol w:w="3476"/>
        <w:gridCol w:w="1722"/>
        <w:gridCol w:w="2476"/>
        <w:gridCol w:w="1227"/>
        <w:gridCol w:w="913"/>
      </w:tblGrid>
      <w:tr w14:paraId="402EE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trPr>
        <w:tc>
          <w:tcPr>
            <w:tcW w:w="421" w:type="pct"/>
            <w:vMerge w:val="restart"/>
            <w:shd w:val="clear" w:color="auto" w:fill="auto"/>
            <w:vAlign w:val="center"/>
          </w:tcPr>
          <w:p w14:paraId="2143C3E4">
            <w:pPr>
              <w:pStyle w:val="45"/>
              <w:rPr>
                <w:rFonts w:hint="default"/>
                <w:b/>
                <w:bCs/>
              </w:rPr>
            </w:pPr>
            <w:r>
              <w:rPr>
                <w:b/>
                <w:bCs/>
              </w:rPr>
              <w:t>评价因子</w:t>
            </w:r>
          </w:p>
        </w:tc>
        <w:tc>
          <w:tcPr>
            <w:tcW w:w="717" w:type="pct"/>
            <w:vMerge w:val="restart"/>
            <w:shd w:val="clear" w:color="auto" w:fill="auto"/>
            <w:vAlign w:val="center"/>
          </w:tcPr>
          <w:p w14:paraId="3F874694">
            <w:pPr>
              <w:pStyle w:val="45"/>
              <w:rPr>
                <w:rFonts w:hint="default"/>
                <w:b/>
                <w:bCs/>
              </w:rPr>
            </w:pPr>
            <w:r>
              <w:rPr>
                <w:b/>
                <w:bCs/>
              </w:rPr>
              <w:t>环境空气保护目标</w:t>
            </w:r>
          </w:p>
        </w:tc>
        <w:tc>
          <w:tcPr>
            <w:tcW w:w="395" w:type="pct"/>
            <w:vMerge w:val="restart"/>
            <w:shd w:val="clear" w:color="auto" w:fill="auto"/>
            <w:vAlign w:val="center"/>
          </w:tcPr>
          <w:p w14:paraId="3C29FCCD">
            <w:pPr>
              <w:pStyle w:val="45"/>
              <w:rPr>
                <w:rFonts w:hint="default"/>
                <w:b/>
                <w:bCs/>
              </w:rPr>
            </w:pPr>
            <w:r>
              <w:rPr>
                <w:b/>
                <w:bCs/>
              </w:rPr>
              <w:t>标准值</w:t>
            </w:r>
            <w:r>
              <w:rPr>
                <w:rFonts w:cs="宋体"/>
                <w:b/>
                <w:bCs/>
                <w:color w:val="000000"/>
              </w:rPr>
              <w:t>（</w:t>
            </w:r>
            <w:r>
              <w:rPr>
                <w:rFonts w:hint="default"/>
                <w:b/>
                <w:bCs/>
                <w:color w:val="000000"/>
              </w:rPr>
              <w:t>mg/m</w:t>
            </w:r>
            <w:r>
              <w:rPr>
                <w:rFonts w:hint="default"/>
                <w:b/>
                <w:bCs/>
                <w:color w:val="000000"/>
                <w:vertAlign w:val="superscript"/>
              </w:rPr>
              <w:t>3</w:t>
            </w:r>
            <w:r>
              <w:rPr>
                <w:rFonts w:cs="宋体"/>
                <w:b/>
                <w:bCs/>
                <w:color w:val="000000"/>
              </w:rPr>
              <w:t>）</w:t>
            </w:r>
          </w:p>
        </w:tc>
        <w:tc>
          <w:tcPr>
            <w:tcW w:w="3466" w:type="pct"/>
            <w:gridSpan w:val="5"/>
            <w:shd w:val="clear" w:color="auto" w:fill="auto"/>
            <w:vAlign w:val="center"/>
          </w:tcPr>
          <w:p w14:paraId="2B211A45">
            <w:pPr>
              <w:pStyle w:val="45"/>
              <w:rPr>
                <w:rFonts w:hint="default"/>
                <w:b/>
                <w:bCs/>
              </w:rPr>
            </w:pPr>
            <w:r>
              <w:rPr>
                <w:b/>
                <w:bCs/>
              </w:rPr>
              <w:t>日平均质量浓度</w:t>
            </w:r>
          </w:p>
        </w:tc>
      </w:tr>
      <w:tr w14:paraId="7A71C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trPr>
        <w:tc>
          <w:tcPr>
            <w:tcW w:w="421" w:type="pct"/>
            <w:vMerge w:val="continue"/>
            <w:shd w:val="clear" w:color="auto" w:fill="auto"/>
            <w:vAlign w:val="center"/>
          </w:tcPr>
          <w:p w14:paraId="717367ED">
            <w:pPr>
              <w:pStyle w:val="45"/>
              <w:rPr>
                <w:rFonts w:hint="default"/>
                <w:b/>
                <w:bCs/>
              </w:rPr>
            </w:pPr>
          </w:p>
        </w:tc>
        <w:tc>
          <w:tcPr>
            <w:tcW w:w="717" w:type="pct"/>
            <w:vMerge w:val="continue"/>
            <w:shd w:val="clear" w:color="auto" w:fill="auto"/>
            <w:vAlign w:val="center"/>
          </w:tcPr>
          <w:p w14:paraId="13B51D86">
            <w:pPr>
              <w:pStyle w:val="45"/>
              <w:rPr>
                <w:rFonts w:hint="default"/>
                <w:b/>
                <w:bCs/>
              </w:rPr>
            </w:pPr>
          </w:p>
        </w:tc>
        <w:tc>
          <w:tcPr>
            <w:tcW w:w="395" w:type="pct"/>
            <w:vMerge w:val="continue"/>
            <w:shd w:val="clear" w:color="auto" w:fill="auto"/>
            <w:vAlign w:val="center"/>
          </w:tcPr>
          <w:p w14:paraId="15C95167">
            <w:pPr>
              <w:pStyle w:val="45"/>
              <w:rPr>
                <w:rFonts w:hint="default"/>
                <w:b/>
                <w:bCs/>
              </w:rPr>
            </w:pPr>
          </w:p>
        </w:tc>
        <w:tc>
          <w:tcPr>
            <w:tcW w:w="1227" w:type="pct"/>
            <w:shd w:val="clear" w:color="auto" w:fill="auto"/>
            <w:vAlign w:val="center"/>
          </w:tcPr>
          <w:p w14:paraId="4097BDE3">
            <w:pPr>
              <w:pStyle w:val="45"/>
              <w:rPr>
                <w:rFonts w:hint="default"/>
                <w:b/>
                <w:bCs/>
              </w:rPr>
            </w:pPr>
            <w:r>
              <w:rPr>
                <w:b/>
                <w:bCs/>
              </w:rPr>
              <w:t>叠加在建、拟建源、削减源后最大浓度值</w:t>
            </w:r>
            <w:r>
              <w:rPr>
                <w:rFonts w:cs="宋体"/>
                <w:b/>
                <w:bCs/>
                <w:color w:val="000000"/>
              </w:rPr>
              <w:t>（</w:t>
            </w:r>
            <w:r>
              <w:rPr>
                <w:rFonts w:hint="default"/>
                <w:b/>
                <w:bCs/>
                <w:color w:val="000000"/>
              </w:rPr>
              <w:t>mg/m</w:t>
            </w:r>
            <w:r>
              <w:rPr>
                <w:rFonts w:hint="default"/>
                <w:b/>
                <w:bCs/>
                <w:color w:val="000000"/>
                <w:vertAlign w:val="superscript"/>
              </w:rPr>
              <w:t>3</w:t>
            </w:r>
            <w:r>
              <w:rPr>
                <w:rFonts w:cs="宋体"/>
                <w:b/>
                <w:bCs/>
                <w:color w:val="000000"/>
              </w:rPr>
              <w:t>）</w:t>
            </w:r>
          </w:p>
        </w:tc>
        <w:tc>
          <w:tcPr>
            <w:tcW w:w="608" w:type="pct"/>
            <w:shd w:val="clear" w:color="auto" w:fill="auto"/>
            <w:vAlign w:val="center"/>
          </w:tcPr>
          <w:p w14:paraId="24C62784">
            <w:pPr>
              <w:pStyle w:val="45"/>
              <w:rPr>
                <w:rFonts w:hint="default"/>
                <w:b/>
                <w:bCs/>
              </w:rPr>
            </w:pPr>
            <w:r>
              <w:rPr>
                <w:b/>
                <w:bCs/>
              </w:rPr>
              <w:t>现状浓度</w:t>
            </w:r>
            <w:r>
              <w:rPr>
                <w:rFonts w:cs="宋体"/>
                <w:b/>
                <w:bCs/>
                <w:color w:val="000000"/>
              </w:rPr>
              <w:t>（</w:t>
            </w:r>
            <w:r>
              <w:rPr>
                <w:rFonts w:hint="default"/>
                <w:b/>
                <w:bCs/>
                <w:color w:val="000000"/>
              </w:rPr>
              <w:t>mg/m</w:t>
            </w:r>
            <w:r>
              <w:rPr>
                <w:rFonts w:hint="default"/>
                <w:b/>
                <w:bCs/>
                <w:color w:val="000000"/>
                <w:vertAlign w:val="superscript"/>
              </w:rPr>
              <w:t>3</w:t>
            </w:r>
            <w:r>
              <w:rPr>
                <w:rFonts w:cs="宋体"/>
                <w:b/>
                <w:bCs/>
                <w:color w:val="000000"/>
              </w:rPr>
              <w:t>）</w:t>
            </w:r>
          </w:p>
        </w:tc>
        <w:tc>
          <w:tcPr>
            <w:tcW w:w="874" w:type="pct"/>
            <w:shd w:val="clear" w:color="auto" w:fill="auto"/>
            <w:vAlign w:val="center"/>
          </w:tcPr>
          <w:p w14:paraId="052DCCFB">
            <w:pPr>
              <w:pStyle w:val="45"/>
              <w:rPr>
                <w:rFonts w:hint="default"/>
                <w:b/>
                <w:bCs/>
              </w:rPr>
            </w:pPr>
            <w:r>
              <w:rPr>
                <w:b/>
                <w:bCs/>
              </w:rPr>
              <w:t>叠加现状浓度后的浓度</w:t>
            </w:r>
            <w:r>
              <w:rPr>
                <w:rFonts w:cs="宋体"/>
                <w:b/>
                <w:bCs/>
                <w:color w:val="000000"/>
              </w:rPr>
              <w:t>（</w:t>
            </w:r>
            <w:r>
              <w:rPr>
                <w:rFonts w:hint="default"/>
                <w:b/>
                <w:bCs/>
                <w:color w:val="000000"/>
              </w:rPr>
              <w:t>mg/m</w:t>
            </w:r>
            <w:r>
              <w:rPr>
                <w:rFonts w:hint="default"/>
                <w:b/>
                <w:bCs/>
                <w:color w:val="000000"/>
                <w:vertAlign w:val="superscript"/>
              </w:rPr>
              <w:t>3</w:t>
            </w:r>
            <w:r>
              <w:rPr>
                <w:rFonts w:cs="宋体"/>
                <w:b/>
                <w:bCs/>
                <w:color w:val="000000"/>
              </w:rPr>
              <w:t>）</w:t>
            </w:r>
          </w:p>
        </w:tc>
        <w:tc>
          <w:tcPr>
            <w:tcW w:w="433" w:type="pct"/>
            <w:shd w:val="clear" w:color="auto" w:fill="auto"/>
            <w:vAlign w:val="center"/>
          </w:tcPr>
          <w:p w14:paraId="071CFDD5">
            <w:pPr>
              <w:pStyle w:val="45"/>
              <w:rPr>
                <w:rFonts w:hint="default"/>
                <w:b/>
                <w:bCs/>
              </w:rPr>
            </w:pPr>
            <w:r>
              <w:rPr>
                <w:b/>
                <w:bCs/>
              </w:rPr>
              <w:t>占标率（%）</w:t>
            </w:r>
          </w:p>
        </w:tc>
        <w:tc>
          <w:tcPr>
            <w:tcW w:w="322" w:type="pct"/>
            <w:shd w:val="clear" w:color="auto" w:fill="auto"/>
            <w:vAlign w:val="center"/>
          </w:tcPr>
          <w:p w14:paraId="33C0B588">
            <w:pPr>
              <w:pStyle w:val="45"/>
              <w:rPr>
                <w:rFonts w:hint="default"/>
                <w:b/>
                <w:bCs/>
              </w:rPr>
            </w:pPr>
            <w:r>
              <w:rPr>
                <w:b/>
                <w:bCs/>
              </w:rPr>
              <w:t>达标情况</w:t>
            </w:r>
          </w:p>
        </w:tc>
      </w:tr>
      <w:tr w14:paraId="0F195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1" w:type="pct"/>
            <w:vMerge w:val="restart"/>
            <w:shd w:val="clear" w:color="auto" w:fill="auto"/>
            <w:vAlign w:val="center"/>
          </w:tcPr>
          <w:p w14:paraId="55488BE3">
            <w:pPr>
              <w:pStyle w:val="45"/>
              <w:rPr>
                <w:rFonts w:hint="default"/>
              </w:rPr>
            </w:pPr>
            <w:r>
              <w:rPr>
                <w:rFonts w:hint="eastAsia"/>
              </w:rPr>
              <w:t>颗粒物（</w:t>
            </w:r>
            <w:r>
              <w:rPr>
                <w:rFonts w:hint="eastAsia" w:cs="Times New Roman"/>
                <w:color w:val="000000"/>
                <w:sz w:val="21"/>
                <w:szCs w:val="21"/>
                <w:lang w:val="en-US" w:eastAsia="zh-CN"/>
              </w:rPr>
              <w:t>TSP</w:t>
            </w:r>
            <w:r>
              <w:rPr>
                <w:rFonts w:hint="eastAsia"/>
              </w:rPr>
              <w:t>）</w:t>
            </w:r>
          </w:p>
        </w:tc>
        <w:tc>
          <w:tcPr>
            <w:tcW w:w="717" w:type="pct"/>
            <w:shd w:val="clear" w:color="auto" w:fill="auto"/>
            <w:vAlign w:val="center"/>
          </w:tcPr>
          <w:p w14:paraId="725FCB9E">
            <w:pPr>
              <w:pStyle w:val="45"/>
              <w:rPr>
                <w:rFonts w:hint="default"/>
              </w:rPr>
            </w:pPr>
            <w:r>
              <w:t>新安村</w:t>
            </w:r>
          </w:p>
        </w:tc>
        <w:tc>
          <w:tcPr>
            <w:tcW w:w="395" w:type="pct"/>
            <w:shd w:val="clear" w:color="auto" w:fill="auto"/>
            <w:vAlign w:val="center"/>
          </w:tcPr>
          <w:p w14:paraId="0AB01E0A">
            <w:pPr>
              <w:pStyle w:val="45"/>
              <w:bidi w:val="0"/>
              <w:rPr>
                <w:rFonts w:hint="default"/>
              </w:rPr>
            </w:pPr>
            <w:r>
              <w:rPr>
                <w:rFonts w:hint="eastAsia"/>
                <w:lang w:val="en-US" w:eastAsia="zh-CN"/>
              </w:rPr>
              <w:t>0.3</w:t>
            </w:r>
          </w:p>
        </w:tc>
        <w:tc>
          <w:tcPr>
            <w:tcW w:w="3476" w:type="dxa"/>
            <w:shd w:val="clear" w:color="auto" w:fill="auto"/>
            <w:noWrap/>
            <w:vAlign w:val="center"/>
          </w:tcPr>
          <w:p w14:paraId="5A47139F">
            <w:pPr>
              <w:pStyle w:val="45"/>
              <w:bidi w:val="0"/>
              <w:rPr>
                <w:rFonts w:hint="default"/>
              </w:rPr>
            </w:pPr>
            <w:r>
              <w:rPr>
                <w:rFonts w:hint="eastAsia"/>
                <w:lang w:val="en-US" w:eastAsia="zh-CN"/>
              </w:rPr>
              <w:t>0.004163</w:t>
            </w:r>
          </w:p>
        </w:tc>
        <w:tc>
          <w:tcPr>
            <w:tcW w:w="608" w:type="pct"/>
            <w:shd w:val="clear" w:color="auto" w:fill="auto"/>
            <w:vAlign w:val="center"/>
          </w:tcPr>
          <w:p w14:paraId="4B979C7E">
            <w:pPr>
              <w:pStyle w:val="45"/>
              <w:bidi w:val="0"/>
              <w:rPr>
                <w:rFonts w:hint="default"/>
              </w:rPr>
            </w:pPr>
            <w:r>
              <w:rPr>
                <w:rFonts w:hint="eastAsia"/>
                <w:lang w:val="en-US" w:eastAsia="zh-CN"/>
              </w:rPr>
              <w:t>0.117</w:t>
            </w:r>
          </w:p>
        </w:tc>
        <w:tc>
          <w:tcPr>
            <w:tcW w:w="2476" w:type="dxa"/>
            <w:shd w:val="clear" w:color="auto" w:fill="auto"/>
            <w:noWrap/>
            <w:vAlign w:val="center"/>
          </w:tcPr>
          <w:p w14:paraId="5ACB433C">
            <w:pPr>
              <w:pStyle w:val="45"/>
              <w:bidi w:val="0"/>
              <w:rPr>
                <w:rFonts w:hint="default"/>
              </w:rPr>
            </w:pPr>
            <w:r>
              <w:rPr>
                <w:rFonts w:hint="eastAsia"/>
                <w:lang w:val="en-US" w:eastAsia="zh-CN"/>
              </w:rPr>
              <w:t>0.121163</w:t>
            </w:r>
          </w:p>
        </w:tc>
        <w:tc>
          <w:tcPr>
            <w:tcW w:w="1227" w:type="dxa"/>
            <w:shd w:val="clear" w:color="auto" w:fill="auto"/>
            <w:noWrap/>
            <w:vAlign w:val="center"/>
          </w:tcPr>
          <w:p w14:paraId="59EBCDDA">
            <w:pPr>
              <w:pStyle w:val="45"/>
              <w:bidi w:val="0"/>
              <w:rPr>
                <w:rFonts w:hint="default"/>
              </w:rPr>
            </w:pPr>
            <w:r>
              <w:rPr>
                <w:rFonts w:hint="eastAsia"/>
                <w:lang w:val="en-US" w:eastAsia="zh-CN"/>
              </w:rPr>
              <w:t xml:space="preserve">40.39 </w:t>
            </w:r>
          </w:p>
        </w:tc>
        <w:tc>
          <w:tcPr>
            <w:tcW w:w="322" w:type="pct"/>
            <w:shd w:val="clear" w:color="auto" w:fill="auto"/>
            <w:noWrap/>
            <w:vAlign w:val="center"/>
          </w:tcPr>
          <w:p w14:paraId="6CEFC636">
            <w:pPr>
              <w:pStyle w:val="45"/>
              <w:rPr>
                <w:rFonts w:hint="default"/>
              </w:rPr>
            </w:pPr>
            <w:r>
              <w:t>达标</w:t>
            </w:r>
          </w:p>
        </w:tc>
      </w:tr>
      <w:tr w14:paraId="06445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1" w:type="pct"/>
            <w:vMerge w:val="continue"/>
            <w:shd w:val="clear" w:color="auto" w:fill="auto"/>
            <w:vAlign w:val="center"/>
          </w:tcPr>
          <w:p w14:paraId="7A8AFACF">
            <w:pPr>
              <w:pStyle w:val="45"/>
              <w:rPr>
                <w:rFonts w:hint="default"/>
              </w:rPr>
            </w:pPr>
          </w:p>
        </w:tc>
        <w:tc>
          <w:tcPr>
            <w:tcW w:w="717" w:type="pct"/>
            <w:shd w:val="clear" w:color="auto" w:fill="auto"/>
            <w:vAlign w:val="center"/>
          </w:tcPr>
          <w:p w14:paraId="0923EAFE">
            <w:pPr>
              <w:pStyle w:val="45"/>
              <w:rPr>
                <w:rFonts w:hint="default"/>
              </w:rPr>
            </w:pPr>
            <w:r>
              <w:t>松木村</w:t>
            </w:r>
          </w:p>
        </w:tc>
        <w:tc>
          <w:tcPr>
            <w:tcW w:w="395" w:type="pct"/>
            <w:shd w:val="clear" w:color="auto" w:fill="auto"/>
            <w:vAlign w:val="center"/>
          </w:tcPr>
          <w:p w14:paraId="246D5D44">
            <w:pPr>
              <w:pStyle w:val="45"/>
              <w:bidi w:val="0"/>
              <w:rPr>
                <w:rFonts w:hint="default"/>
              </w:rPr>
            </w:pPr>
            <w:r>
              <w:rPr>
                <w:rFonts w:hint="eastAsia"/>
                <w:lang w:val="en-US" w:eastAsia="zh-CN"/>
              </w:rPr>
              <w:t>0.3</w:t>
            </w:r>
          </w:p>
        </w:tc>
        <w:tc>
          <w:tcPr>
            <w:tcW w:w="3476" w:type="dxa"/>
            <w:shd w:val="clear" w:color="auto" w:fill="auto"/>
            <w:noWrap/>
            <w:vAlign w:val="center"/>
          </w:tcPr>
          <w:p w14:paraId="6206CF09">
            <w:pPr>
              <w:pStyle w:val="45"/>
              <w:bidi w:val="0"/>
              <w:rPr>
                <w:rFonts w:hint="default"/>
              </w:rPr>
            </w:pPr>
            <w:r>
              <w:rPr>
                <w:rFonts w:hint="eastAsia"/>
                <w:lang w:val="en-US" w:eastAsia="zh-CN"/>
              </w:rPr>
              <w:t>0.0011</w:t>
            </w:r>
          </w:p>
        </w:tc>
        <w:tc>
          <w:tcPr>
            <w:tcW w:w="608" w:type="pct"/>
            <w:shd w:val="clear" w:color="auto" w:fill="auto"/>
            <w:vAlign w:val="center"/>
          </w:tcPr>
          <w:p w14:paraId="47660BCF">
            <w:pPr>
              <w:pStyle w:val="45"/>
              <w:bidi w:val="0"/>
              <w:rPr>
                <w:rFonts w:hint="default"/>
              </w:rPr>
            </w:pPr>
            <w:r>
              <w:rPr>
                <w:rFonts w:hint="eastAsia"/>
                <w:lang w:val="en-US" w:eastAsia="zh-CN"/>
              </w:rPr>
              <w:t>0.117</w:t>
            </w:r>
          </w:p>
        </w:tc>
        <w:tc>
          <w:tcPr>
            <w:tcW w:w="2476" w:type="dxa"/>
            <w:shd w:val="clear" w:color="auto" w:fill="auto"/>
            <w:noWrap/>
            <w:vAlign w:val="center"/>
          </w:tcPr>
          <w:p w14:paraId="62E8B253">
            <w:pPr>
              <w:pStyle w:val="45"/>
              <w:bidi w:val="0"/>
              <w:rPr>
                <w:rFonts w:hint="default"/>
              </w:rPr>
            </w:pPr>
            <w:r>
              <w:rPr>
                <w:rFonts w:hint="eastAsia"/>
                <w:lang w:val="en-US" w:eastAsia="zh-CN"/>
              </w:rPr>
              <w:t>0.1181</w:t>
            </w:r>
          </w:p>
        </w:tc>
        <w:tc>
          <w:tcPr>
            <w:tcW w:w="1227" w:type="dxa"/>
            <w:shd w:val="clear" w:color="auto" w:fill="auto"/>
            <w:noWrap/>
            <w:vAlign w:val="center"/>
          </w:tcPr>
          <w:p w14:paraId="001E2EB6">
            <w:pPr>
              <w:pStyle w:val="45"/>
              <w:bidi w:val="0"/>
              <w:rPr>
                <w:rFonts w:hint="default"/>
              </w:rPr>
            </w:pPr>
            <w:r>
              <w:rPr>
                <w:rFonts w:hint="eastAsia"/>
                <w:lang w:val="en-US" w:eastAsia="zh-CN"/>
              </w:rPr>
              <w:t xml:space="preserve">39.37 </w:t>
            </w:r>
          </w:p>
        </w:tc>
        <w:tc>
          <w:tcPr>
            <w:tcW w:w="322" w:type="pct"/>
            <w:shd w:val="clear" w:color="auto" w:fill="auto"/>
            <w:noWrap/>
            <w:vAlign w:val="center"/>
          </w:tcPr>
          <w:p w14:paraId="54958073">
            <w:pPr>
              <w:pStyle w:val="45"/>
              <w:rPr>
                <w:rFonts w:hint="default"/>
              </w:rPr>
            </w:pPr>
            <w:r>
              <w:t>达标</w:t>
            </w:r>
          </w:p>
        </w:tc>
      </w:tr>
      <w:tr w14:paraId="46CCD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1" w:type="pct"/>
            <w:vMerge w:val="continue"/>
            <w:shd w:val="clear" w:color="auto" w:fill="auto"/>
            <w:vAlign w:val="center"/>
          </w:tcPr>
          <w:p w14:paraId="49CCFD6B">
            <w:pPr>
              <w:pStyle w:val="45"/>
              <w:rPr>
                <w:rFonts w:hint="default"/>
              </w:rPr>
            </w:pPr>
          </w:p>
        </w:tc>
        <w:tc>
          <w:tcPr>
            <w:tcW w:w="717" w:type="pct"/>
            <w:shd w:val="clear" w:color="auto" w:fill="auto"/>
            <w:vAlign w:val="center"/>
          </w:tcPr>
          <w:p w14:paraId="349D3EA4">
            <w:pPr>
              <w:pStyle w:val="45"/>
              <w:rPr>
                <w:rFonts w:hint="default"/>
              </w:rPr>
            </w:pPr>
            <w:r>
              <w:t>金源小学</w:t>
            </w:r>
          </w:p>
        </w:tc>
        <w:tc>
          <w:tcPr>
            <w:tcW w:w="395" w:type="pct"/>
            <w:shd w:val="clear" w:color="auto" w:fill="auto"/>
            <w:vAlign w:val="center"/>
          </w:tcPr>
          <w:p w14:paraId="57C775FE">
            <w:pPr>
              <w:pStyle w:val="45"/>
              <w:bidi w:val="0"/>
              <w:rPr>
                <w:rFonts w:hint="default"/>
              </w:rPr>
            </w:pPr>
            <w:r>
              <w:rPr>
                <w:rFonts w:hint="eastAsia"/>
                <w:lang w:val="en-US" w:eastAsia="zh-CN"/>
              </w:rPr>
              <w:t>0.3</w:t>
            </w:r>
          </w:p>
        </w:tc>
        <w:tc>
          <w:tcPr>
            <w:tcW w:w="3476" w:type="dxa"/>
            <w:shd w:val="clear" w:color="auto" w:fill="auto"/>
            <w:noWrap/>
            <w:vAlign w:val="center"/>
          </w:tcPr>
          <w:p w14:paraId="4826CF60">
            <w:pPr>
              <w:pStyle w:val="45"/>
              <w:bidi w:val="0"/>
              <w:rPr>
                <w:rFonts w:hint="default"/>
              </w:rPr>
            </w:pPr>
            <w:r>
              <w:rPr>
                <w:rFonts w:hint="eastAsia"/>
                <w:lang w:val="en-US" w:eastAsia="zh-CN"/>
              </w:rPr>
              <w:t>0.001108</w:t>
            </w:r>
          </w:p>
        </w:tc>
        <w:tc>
          <w:tcPr>
            <w:tcW w:w="608" w:type="pct"/>
            <w:shd w:val="clear" w:color="auto" w:fill="auto"/>
            <w:vAlign w:val="center"/>
          </w:tcPr>
          <w:p w14:paraId="4194B96A">
            <w:pPr>
              <w:pStyle w:val="45"/>
              <w:bidi w:val="0"/>
              <w:rPr>
                <w:rFonts w:hint="default"/>
              </w:rPr>
            </w:pPr>
            <w:r>
              <w:rPr>
                <w:rFonts w:hint="eastAsia"/>
                <w:lang w:val="en-US" w:eastAsia="zh-CN"/>
              </w:rPr>
              <w:t>0.117</w:t>
            </w:r>
          </w:p>
        </w:tc>
        <w:tc>
          <w:tcPr>
            <w:tcW w:w="2476" w:type="dxa"/>
            <w:shd w:val="clear" w:color="auto" w:fill="auto"/>
            <w:noWrap/>
            <w:vAlign w:val="center"/>
          </w:tcPr>
          <w:p w14:paraId="728F6091">
            <w:pPr>
              <w:pStyle w:val="45"/>
              <w:bidi w:val="0"/>
              <w:rPr>
                <w:rFonts w:hint="default"/>
              </w:rPr>
            </w:pPr>
            <w:r>
              <w:rPr>
                <w:rFonts w:hint="eastAsia"/>
                <w:lang w:val="en-US" w:eastAsia="zh-CN"/>
              </w:rPr>
              <w:t>0.118108</w:t>
            </w:r>
          </w:p>
        </w:tc>
        <w:tc>
          <w:tcPr>
            <w:tcW w:w="1227" w:type="dxa"/>
            <w:shd w:val="clear" w:color="auto" w:fill="auto"/>
            <w:noWrap/>
            <w:vAlign w:val="center"/>
          </w:tcPr>
          <w:p w14:paraId="5A0F24AC">
            <w:pPr>
              <w:pStyle w:val="45"/>
              <w:bidi w:val="0"/>
              <w:rPr>
                <w:rFonts w:hint="default"/>
              </w:rPr>
            </w:pPr>
            <w:r>
              <w:rPr>
                <w:rFonts w:hint="eastAsia"/>
                <w:lang w:val="en-US" w:eastAsia="zh-CN"/>
              </w:rPr>
              <w:t xml:space="preserve">39.37 </w:t>
            </w:r>
          </w:p>
        </w:tc>
        <w:tc>
          <w:tcPr>
            <w:tcW w:w="322" w:type="pct"/>
            <w:shd w:val="clear" w:color="auto" w:fill="auto"/>
            <w:noWrap/>
            <w:vAlign w:val="center"/>
          </w:tcPr>
          <w:p w14:paraId="28827B9A">
            <w:pPr>
              <w:pStyle w:val="45"/>
              <w:rPr>
                <w:rFonts w:hint="default"/>
              </w:rPr>
            </w:pPr>
            <w:r>
              <w:t>达标</w:t>
            </w:r>
          </w:p>
        </w:tc>
      </w:tr>
      <w:tr w14:paraId="7F0F0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1" w:type="pct"/>
            <w:vMerge w:val="continue"/>
            <w:shd w:val="clear" w:color="auto" w:fill="auto"/>
            <w:vAlign w:val="center"/>
          </w:tcPr>
          <w:p w14:paraId="72A71397">
            <w:pPr>
              <w:pStyle w:val="45"/>
              <w:rPr>
                <w:rFonts w:hint="default"/>
              </w:rPr>
            </w:pPr>
          </w:p>
        </w:tc>
        <w:tc>
          <w:tcPr>
            <w:tcW w:w="717" w:type="pct"/>
            <w:shd w:val="clear" w:color="auto" w:fill="auto"/>
            <w:vAlign w:val="center"/>
          </w:tcPr>
          <w:p w14:paraId="0ED1707D">
            <w:pPr>
              <w:pStyle w:val="45"/>
              <w:rPr>
                <w:rFonts w:hint="default"/>
              </w:rPr>
            </w:pPr>
            <w:r>
              <w:t>金源社区安置房2</w:t>
            </w:r>
          </w:p>
        </w:tc>
        <w:tc>
          <w:tcPr>
            <w:tcW w:w="395" w:type="pct"/>
            <w:shd w:val="clear" w:color="auto" w:fill="auto"/>
            <w:vAlign w:val="center"/>
          </w:tcPr>
          <w:p w14:paraId="70F836CF">
            <w:pPr>
              <w:pStyle w:val="45"/>
              <w:bidi w:val="0"/>
              <w:rPr>
                <w:rFonts w:hint="default"/>
              </w:rPr>
            </w:pPr>
            <w:r>
              <w:rPr>
                <w:rFonts w:hint="eastAsia"/>
                <w:lang w:val="en-US" w:eastAsia="zh-CN"/>
              </w:rPr>
              <w:t>0.3</w:t>
            </w:r>
          </w:p>
        </w:tc>
        <w:tc>
          <w:tcPr>
            <w:tcW w:w="3476" w:type="dxa"/>
            <w:shd w:val="clear" w:color="auto" w:fill="auto"/>
            <w:noWrap/>
            <w:vAlign w:val="center"/>
          </w:tcPr>
          <w:p w14:paraId="73F35EA1">
            <w:pPr>
              <w:pStyle w:val="45"/>
              <w:bidi w:val="0"/>
              <w:rPr>
                <w:rFonts w:hint="default"/>
              </w:rPr>
            </w:pPr>
            <w:r>
              <w:rPr>
                <w:rFonts w:hint="eastAsia"/>
                <w:lang w:val="en-US" w:eastAsia="zh-CN"/>
              </w:rPr>
              <w:t>0.005088</w:t>
            </w:r>
          </w:p>
        </w:tc>
        <w:tc>
          <w:tcPr>
            <w:tcW w:w="608" w:type="pct"/>
            <w:shd w:val="clear" w:color="auto" w:fill="auto"/>
            <w:vAlign w:val="center"/>
          </w:tcPr>
          <w:p w14:paraId="298A905D">
            <w:pPr>
              <w:pStyle w:val="45"/>
              <w:bidi w:val="0"/>
              <w:rPr>
                <w:rFonts w:hint="default"/>
              </w:rPr>
            </w:pPr>
            <w:r>
              <w:rPr>
                <w:rFonts w:hint="eastAsia"/>
                <w:lang w:val="en-US" w:eastAsia="zh-CN"/>
              </w:rPr>
              <w:t>0.117</w:t>
            </w:r>
          </w:p>
        </w:tc>
        <w:tc>
          <w:tcPr>
            <w:tcW w:w="2476" w:type="dxa"/>
            <w:shd w:val="clear" w:color="auto" w:fill="auto"/>
            <w:noWrap/>
            <w:vAlign w:val="center"/>
          </w:tcPr>
          <w:p w14:paraId="5653AB15">
            <w:pPr>
              <w:pStyle w:val="45"/>
              <w:bidi w:val="0"/>
              <w:rPr>
                <w:rFonts w:hint="default"/>
              </w:rPr>
            </w:pPr>
            <w:r>
              <w:rPr>
                <w:rFonts w:hint="eastAsia"/>
                <w:lang w:val="en-US" w:eastAsia="zh-CN"/>
              </w:rPr>
              <w:t>0.122088</w:t>
            </w:r>
          </w:p>
        </w:tc>
        <w:tc>
          <w:tcPr>
            <w:tcW w:w="1227" w:type="dxa"/>
            <w:shd w:val="clear" w:color="auto" w:fill="auto"/>
            <w:noWrap/>
            <w:vAlign w:val="center"/>
          </w:tcPr>
          <w:p w14:paraId="66AC4A6D">
            <w:pPr>
              <w:pStyle w:val="45"/>
              <w:bidi w:val="0"/>
              <w:rPr>
                <w:rFonts w:hint="default"/>
              </w:rPr>
            </w:pPr>
            <w:r>
              <w:rPr>
                <w:rFonts w:hint="eastAsia"/>
                <w:lang w:val="en-US" w:eastAsia="zh-CN"/>
              </w:rPr>
              <w:t xml:space="preserve">40.70 </w:t>
            </w:r>
          </w:p>
        </w:tc>
        <w:tc>
          <w:tcPr>
            <w:tcW w:w="322" w:type="pct"/>
            <w:shd w:val="clear" w:color="auto" w:fill="auto"/>
            <w:noWrap/>
            <w:vAlign w:val="center"/>
          </w:tcPr>
          <w:p w14:paraId="772EA0DF">
            <w:pPr>
              <w:pStyle w:val="45"/>
              <w:rPr>
                <w:rFonts w:hint="default"/>
              </w:rPr>
            </w:pPr>
            <w:r>
              <w:t>达标</w:t>
            </w:r>
          </w:p>
        </w:tc>
      </w:tr>
      <w:tr w14:paraId="457A7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0" w:hRule="atLeast"/>
        </w:trPr>
        <w:tc>
          <w:tcPr>
            <w:tcW w:w="421" w:type="pct"/>
            <w:vMerge w:val="continue"/>
            <w:shd w:val="clear" w:color="auto" w:fill="auto"/>
            <w:vAlign w:val="center"/>
          </w:tcPr>
          <w:p w14:paraId="0B16FFE8">
            <w:pPr>
              <w:pStyle w:val="45"/>
              <w:rPr>
                <w:rFonts w:hint="default"/>
              </w:rPr>
            </w:pPr>
          </w:p>
        </w:tc>
        <w:tc>
          <w:tcPr>
            <w:tcW w:w="717" w:type="pct"/>
            <w:shd w:val="clear" w:color="auto" w:fill="auto"/>
            <w:vAlign w:val="center"/>
          </w:tcPr>
          <w:p w14:paraId="69EDB717">
            <w:pPr>
              <w:pStyle w:val="45"/>
              <w:rPr>
                <w:rFonts w:hint="default"/>
              </w:rPr>
            </w:pPr>
            <w:r>
              <w:t>金源社区医院</w:t>
            </w:r>
          </w:p>
        </w:tc>
        <w:tc>
          <w:tcPr>
            <w:tcW w:w="395" w:type="pct"/>
            <w:shd w:val="clear" w:color="auto" w:fill="auto"/>
            <w:vAlign w:val="center"/>
          </w:tcPr>
          <w:p w14:paraId="5576D428">
            <w:pPr>
              <w:pStyle w:val="45"/>
              <w:bidi w:val="0"/>
              <w:rPr>
                <w:rFonts w:hint="default"/>
              </w:rPr>
            </w:pPr>
            <w:r>
              <w:rPr>
                <w:rFonts w:hint="eastAsia"/>
                <w:lang w:val="en-US" w:eastAsia="zh-CN"/>
              </w:rPr>
              <w:t>0.3</w:t>
            </w:r>
          </w:p>
        </w:tc>
        <w:tc>
          <w:tcPr>
            <w:tcW w:w="3476" w:type="dxa"/>
            <w:shd w:val="clear" w:color="auto" w:fill="auto"/>
            <w:noWrap/>
            <w:vAlign w:val="center"/>
          </w:tcPr>
          <w:p w14:paraId="0813B869">
            <w:pPr>
              <w:pStyle w:val="45"/>
              <w:bidi w:val="0"/>
              <w:rPr>
                <w:rFonts w:hint="default"/>
              </w:rPr>
            </w:pPr>
            <w:r>
              <w:rPr>
                <w:rFonts w:hint="eastAsia"/>
                <w:lang w:val="en-US" w:eastAsia="zh-CN"/>
              </w:rPr>
              <w:t>0.005293</w:t>
            </w:r>
          </w:p>
        </w:tc>
        <w:tc>
          <w:tcPr>
            <w:tcW w:w="608" w:type="pct"/>
            <w:shd w:val="clear" w:color="auto" w:fill="auto"/>
            <w:vAlign w:val="center"/>
          </w:tcPr>
          <w:p w14:paraId="25F4C90B">
            <w:pPr>
              <w:pStyle w:val="45"/>
              <w:bidi w:val="0"/>
              <w:rPr>
                <w:rFonts w:hint="default"/>
              </w:rPr>
            </w:pPr>
            <w:r>
              <w:rPr>
                <w:rFonts w:hint="eastAsia"/>
                <w:lang w:val="en-US" w:eastAsia="zh-CN"/>
              </w:rPr>
              <w:t>0.117</w:t>
            </w:r>
          </w:p>
        </w:tc>
        <w:tc>
          <w:tcPr>
            <w:tcW w:w="2476" w:type="dxa"/>
            <w:shd w:val="clear" w:color="auto" w:fill="auto"/>
            <w:noWrap/>
            <w:vAlign w:val="center"/>
          </w:tcPr>
          <w:p w14:paraId="0D48F440">
            <w:pPr>
              <w:pStyle w:val="45"/>
              <w:bidi w:val="0"/>
              <w:rPr>
                <w:rFonts w:hint="default"/>
              </w:rPr>
            </w:pPr>
            <w:r>
              <w:rPr>
                <w:rFonts w:hint="eastAsia"/>
                <w:lang w:val="en-US" w:eastAsia="zh-CN"/>
              </w:rPr>
              <w:t>0.122293</w:t>
            </w:r>
          </w:p>
        </w:tc>
        <w:tc>
          <w:tcPr>
            <w:tcW w:w="1227" w:type="dxa"/>
            <w:shd w:val="clear" w:color="auto" w:fill="auto"/>
            <w:noWrap/>
            <w:vAlign w:val="center"/>
          </w:tcPr>
          <w:p w14:paraId="1162C510">
            <w:pPr>
              <w:pStyle w:val="45"/>
              <w:bidi w:val="0"/>
              <w:rPr>
                <w:rFonts w:hint="default"/>
              </w:rPr>
            </w:pPr>
            <w:r>
              <w:rPr>
                <w:rFonts w:hint="eastAsia"/>
                <w:lang w:val="en-US" w:eastAsia="zh-CN"/>
              </w:rPr>
              <w:t xml:space="preserve">40.76 </w:t>
            </w:r>
          </w:p>
        </w:tc>
        <w:tc>
          <w:tcPr>
            <w:tcW w:w="322" w:type="pct"/>
            <w:shd w:val="clear" w:color="auto" w:fill="auto"/>
            <w:noWrap/>
            <w:vAlign w:val="center"/>
          </w:tcPr>
          <w:p w14:paraId="7B1749B0">
            <w:pPr>
              <w:pStyle w:val="45"/>
              <w:rPr>
                <w:rFonts w:hint="default"/>
              </w:rPr>
            </w:pPr>
            <w:r>
              <w:t>达标</w:t>
            </w:r>
          </w:p>
        </w:tc>
      </w:tr>
      <w:tr w14:paraId="1BC51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1" w:type="pct"/>
            <w:vMerge w:val="continue"/>
            <w:shd w:val="clear" w:color="auto" w:fill="auto"/>
            <w:vAlign w:val="center"/>
          </w:tcPr>
          <w:p w14:paraId="564D5357">
            <w:pPr>
              <w:pStyle w:val="45"/>
              <w:rPr>
                <w:rFonts w:hint="default"/>
              </w:rPr>
            </w:pPr>
          </w:p>
        </w:tc>
        <w:tc>
          <w:tcPr>
            <w:tcW w:w="717" w:type="pct"/>
            <w:shd w:val="clear" w:color="auto" w:fill="auto"/>
            <w:vAlign w:val="center"/>
          </w:tcPr>
          <w:p w14:paraId="497B3AED">
            <w:pPr>
              <w:pStyle w:val="45"/>
              <w:rPr>
                <w:rFonts w:hint="default"/>
              </w:rPr>
            </w:pPr>
            <w:r>
              <w:t>金源社区安置房</w:t>
            </w:r>
          </w:p>
        </w:tc>
        <w:tc>
          <w:tcPr>
            <w:tcW w:w="395" w:type="pct"/>
            <w:shd w:val="clear" w:color="auto" w:fill="auto"/>
            <w:vAlign w:val="center"/>
          </w:tcPr>
          <w:p w14:paraId="5751CDFF">
            <w:pPr>
              <w:pStyle w:val="45"/>
              <w:bidi w:val="0"/>
              <w:rPr>
                <w:rFonts w:hint="default"/>
              </w:rPr>
            </w:pPr>
            <w:r>
              <w:rPr>
                <w:rFonts w:hint="eastAsia"/>
                <w:lang w:val="en-US" w:eastAsia="zh-CN"/>
              </w:rPr>
              <w:t>0.3</w:t>
            </w:r>
          </w:p>
        </w:tc>
        <w:tc>
          <w:tcPr>
            <w:tcW w:w="3476" w:type="dxa"/>
            <w:shd w:val="clear" w:color="auto" w:fill="auto"/>
            <w:noWrap/>
            <w:vAlign w:val="center"/>
          </w:tcPr>
          <w:p w14:paraId="75A9B1C9">
            <w:pPr>
              <w:pStyle w:val="45"/>
              <w:bidi w:val="0"/>
              <w:rPr>
                <w:rFonts w:hint="default"/>
              </w:rPr>
            </w:pPr>
            <w:r>
              <w:rPr>
                <w:rFonts w:hint="eastAsia"/>
                <w:lang w:val="en-US" w:eastAsia="zh-CN"/>
              </w:rPr>
              <w:t>0.000583</w:t>
            </w:r>
          </w:p>
        </w:tc>
        <w:tc>
          <w:tcPr>
            <w:tcW w:w="608" w:type="pct"/>
            <w:shd w:val="clear" w:color="auto" w:fill="auto"/>
            <w:vAlign w:val="center"/>
          </w:tcPr>
          <w:p w14:paraId="6A4F24E6">
            <w:pPr>
              <w:pStyle w:val="45"/>
              <w:bidi w:val="0"/>
              <w:rPr>
                <w:rFonts w:hint="default"/>
              </w:rPr>
            </w:pPr>
            <w:r>
              <w:rPr>
                <w:rFonts w:hint="eastAsia"/>
                <w:lang w:val="en-US" w:eastAsia="zh-CN"/>
              </w:rPr>
              <w:t>0.117</w:t>
            </w:r>
          </w:p>
        </w:tc>
        <w:tc>
          <w:tcPr>
            <w:tcW w:w="2476" w:type="dxa"/>
            <w:shd w:val="clear" w:color="auto" w:fill="auto"/>
            <w:noWrap/>
            <w:vAlign w:val="center"/>
          </w:tcPr>
          <w:p w14:paraId="0F7636C8">
            <w:pPr>
              <w:pStyle w:val="45"/>
              <w:bidi w:val="0"/>
              <w:rPr>
                <w:rFonts w:hint="default"/>
              </w:rPr>
            </w:pPr>
            <w:r>
              <w:rPr>
                <w:rFonts w:hint="eastAsia"/>
                <w:lang w:val="en-US" w:eastAsia="zh-CN"/>
              </w:rPr>
              <w:t>0.117583</w:t>
            </w:r>
          </w:p>
        </w:tc>
        <w:tc>
          <w:tcPr>
            <w:tcW w:w="1227" w:type="dxa"/>
            <w:shd w:val="clear" w:color="auto" w:fill="auto"/>
            <w:noWrap/>
            <w:vAlign w:val="center"/>
          </w:tcPr>
          <w:p w14:paraId="58CAB522">
            <w:pPr>
              <w:pStyle w:val="45"/>
              <w:bidi w:val="0"/>
              <w:rPr>
                <w:rFonts w:hint="default"/>
              </w:rPr>
            </w:pPr>
            <w:r>
              <w:rPr>
                <w:rFonts w:hint="eastAsia"/>
                <w:lang w:val="en-US" w:eastAsia="zh-CN"/>
              </w:rPr>
              <w:t xml:space="preserve">39.19 </w:t>
            </w:r>
          </w:p>
        </w:tc>
        <w:tc>
          <w:tcPr>
            <w:tcW w:w="322" w:type="pct"/>
            <w:shd w:val="clear" w:color="auto" w:fill="auto"/>
            <w:noWrap/>
            <w:vAlign w:val="center"/>
          </w:tcPr>
          <w:p w14:paraId="4F1F8C52">
            <w:pPr>
              <w:pStyle w:val="45"/>
              <w:rPr>
                <w:rFonts w:hint="default"/>
              </w:rPr>
            </w:pPr>
            <w:r>
              <w:t>达标</w:t>
            </w:r>
          </w:p>
        </w:tc>
      </w:tr>
      <w:tr w14:paraId="0D806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1" w:type="pct"/>
            <w:vMerge w:val="continue"/>
            <w:shd w:val="clear" w:color="auto" w:fill="auto"/>
            <w:vAlign w:val="center"/>
          </w:tcPr>
          <w:p w14:paraId="1978441B">
            <w:pPr>
              <w:pStyle w:val="45"/>
              <w:rPr>
                <w:rFonts w:hint="default"/>
              </w:rPr>
            </w:pPr>
          </w:p>
        </w:tc>
        <w:tc>
          <w:tcPr>
            <w:tcW w:w="717" w:type="pct"/>
            <w:shd w:val="clear" w:color="auto" w:fill="auto"/>
            <w:vAlign w:val="center"/>
          </w:tcPr>
          <w:p w14:paraId="171B7E9B">
            <w:pPr>
              <w:pStyle w:val="45"/>
              <w:rPr>
                <w:rFonts w:hint="default"/>
              </w:rPr>
            </w:pPr>
            <w:r>
              <w:t>湖南工商职业学院</w:t>
            </w:r>
          </w:p>
        </w:tc>
        <w:tc>
          <w:tcPr>
            <w:tcW w:w="395" w:type="pct"/>
            <w:shd w:val="clear" w:color="auto" w:fill="auto"/>
            <w:vAlign w:val="center"/>
          </w:tcPr>
          <w:p w14:paraId="37A74EC3">
            <w:pPr>
              <w:pStyle w:val="45"/>
              <w:bidi w:val="0"/>
              <w:rPr>
                <w:rFonts w:hint="default"/>
              </w:rPr>
            </w:pPr>
            <w:r>
              <w:rPr>
                <w:rFonts w:hint="eastAsia"/>
                <w:lang w:val="en-US" w:eastAsia="zh-CN"/>
              </w:rPr>
              <w:t>0.3</w:t>
            </w:r>
          </w:p>
        </w:tc>
        <w:tc>
          <w:tcPr>
            <w:tcW w:w="3476" w:type="dxa"/>
            <w:shd w:val="clear" w:color="auto" w:fill="auto"/>
            <w:noWrap/>
            <w:vAlign w:val="center"/>
          </w:tcPr>
          <w:p w14:paraId="63BEDDB4">
            <w:pPr>
              <w:pStyle w:val="45"/>
              <w:bidi w:val="0"/>
              <w:rPr>
                <w:rFonts w:hint="default"/>
              </w:rPr>
            </w:pPr>
            <w:r>
              <w:rPr>
                <w:rFonts w:hint="eastAsia"/>
                <w:lang w:val="en-US" w:eastAsia="zh-CN"/>
              </w:rPr>
              <w:t>0.000588</w:t>
            </w:r>
          </w:p>
        </w:tc>
        <w:tc>
          <w:tcPr>
            <w:tcW w:w="608" w:type="pct"/>
            <w:shd w:val="clear" w:color="auto" w:fill="auto"/>
            <w:vAlign w:val="center"/>
          </w:tcPr>
          <w:p w14:paraId="6BF0D6FC">
            <w:pPr>
              <w:pStyle w:val="45"/>
              <w:bidi w:val="0"/>
              <w:rPr>
                <w:rFonts w:hint="default"/>
              </w:rPr>
            </w:pPr>
            <w:r>
              <w:rPr>
                <w:rFonts w:hint="eastAsia"/>
                <w:lang w:val="en-US" w:eastAsia="zh-CN"/>
              </w:rPr>
              <w:t>0.117</w:t>
            </w:r>
          </w:p>
        </w:tc>
        <w:tc>
          <w:tcPr>
            <w:tcW w:w="2476" w:type="dxa"/>
            <w:shd w:val="clear" w:color="auto" w:fill="auto"/>
            <w:noWrap/>
            <w:vAlign w:val="center"/>
          </w:tcPr>
          <w:p w14:paraId="2A3D859F">
            <w:pPr>
              <w:pStyle w:val="45"/>
              <w:bidi w:val="0"/>
              <w:rPr>
                <w:rFonts w:hint="default"/>
              </w:rPr>
            </w:pPr>
            <w:r>
              <w:rPr>
                <w:rFonts w:hint="eastAsia"/>
                <w:lang w:val="en-US" w:eastAsia="zh-CN"/>
              </w:rPr>
              <w:t>0.117588</w:t>
            </w:r>
          </w:p>
        </w:tc>
        <w:tc>
          <w:tcPr>
            <w:tcW w:w="1227" w:type="dxa"/>
            <w:shd w:val="clear" w:color="auto" w:fill="auto"/>
            <w:noWrap/>
            <w:vAlign w:val="center"/>
          </w:tcPr>
          <w:p w14:paraId="5D29D129">
            <w:pPr>
              <w:pStyle w:val="45"/>
              <w:bidi w:val="0"/>
              <w:rPr>
                <w:rFonts w:hint="default"/>
              </w:rPr>
            </w:pPr>
            <w:r>
              <w:rPr>
                <w:rFonts w:hint="eastAsia"/>
                <w:lang w:val="en-US" w:eastAsia="zh-CN"/>
              </w:rPr>
              <w:t xml:space="preserve">39.20 </w:t>
            </w:r>
          </w:p>
        </w:tc>
        <w:tc>
          <w:tcPr>
            <w:tcW w:w="322" w:type="pct"/>
            <w:shd w:val="clear" w:color="auto" w:fill="auto"/>
            <w:noWrap/>
            <w:vAlign w:val="center"/>
          </w:tcPr>
          <w:p w14:paraId="36EBAAE4">
            <w:pPr>
              <w:pStyle w:val="45"/>
              <w:rPr>
                <w:rFonts w:hint="default"/>
              </w:rPr>
            </w:pPr>
            <w:r>
              <w:t>达标</w:t>
            </w:r>
          </w:p>
        </w:tc>
      </w:tr>
      <w:tr w14:paraId="01B5E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1" w:type="pct"/>
            <w:vMerge w:val="continue"/>
            <w:shd w:val="clear" w:color="auto" w:fill="auto"/>
            <w:vAlign w:val="center"/>
          </w:tcPr>
          <w:p w14:paraId="7700EABF">
            <w:pPr>
              <w:pStyle w:val="45"/>
              <w:rPr>
                <w:rFonts w:hint="default"/>
              </w:rPr>
            </w:pPr>
          </w:p>
        </w:tc>
        <w:tc>
          <w:tcPr>
            <w:tcW w:w="717" w:type="pct"/>
            <w:shd w:val="clear" w:color="auto" w:fill="auto"/>
            <w:vAlign w:val="center"/>
          </w:tcPr>
          <w:p w14:paraId="6B3A577E">
            <w:pPr>
              <w:pStyle w:val="45"/>
              <w:rPr>
                <w:rFonts w:hint="default"/>
              </w:rPr>
            </w:pPr>
            <w:r>
              <w:t>园区管委会</w:t>
            </w:r>
          </w:p>
        </w:tc>
        <w:tc>
          <w:tcPr>
            <w:tcW w:w="395" w:type="pct"/>
            <w:shd w:val="clear" w:color="auto" w:fill="auto"/>
            <w:vAlign w:val="center"/>
          </w:tcPr>
          <w:p w14:paraId="5E7620E1">
            <w:pPr>
              <w:pStyle w:val="45"/>
              <w:bidi w:val="0"/>
              <w:rPr>
                <w:rFonts w:hint="default"/>
              </w:rPr>
            </w:pPr>
            <w:r>
              <w:rPr>
                <w:rFonts w:hint="eastAsia"/>
                <w:lang w:val="en-US" w:eastAsia="zh-CN"/>
              </w:rPr>
              <w:t>0.3</w:t>
            </w:r>
          </w:p>
        </w:tc>
        <w:tc>
          <w:tcPr>
            <w:tcW w:w="3476" w:type="dxa"/>
            <w:shd w:val="clear" w:color="auto" w:fill="auto"/>
            <w:noWrap/>
            <w:vAlign w:val="center"/>
          </w:tcPr>
          <w:p w14:paraId="6035DE30">
            <w:pPr>
              <w:pStyle w:val="45"/>
              <w:bidi w:val="0"/>
              <w:rPr>
                <w:rFonts w:hint="default"/>
              </w:rPr>
            </w:pPr>
            <w:r>
              <w:rPr>
                <w:rFonts w:hint="eastAsia"/>
                <w:lang w:val="en-US" w:eastAsia="zh-CN"/>
              </w:rPr>
              <w:t>0.002032</w:t>
            </w:r>
          </w:p>
        </w:tc>
        <w:tc>
          <w:tcPr>
            <w:tcW w:w="608" w:type="pct"/>
            <w:shd w:val="clear" w:color="auto" w:fill="auto"/>
            <w:vAlign w:val="center"/>
          </w:tcPr>
          <w:p w14:paraId="5103F791">
            <w:pPr>
              <w:pStyle w:val="45"/>
              <w:bidi w:val="0"/>
              <w:rPr>
                <w:rFonts w:hint="default"/>
              </w:rPr>
            </w:pPr>
            <w:r>
              <w:rPr>
                <w:rFonts w:hint="eastAsia"/>
                <w:lang w:val="en-US" w:eastAsia="zh-CN"/>
              </w:rPr>
              <w:t>0.117</w:t>
            </w:r>
          </w:p>
        </w:tc>
        <w:tc>
          <w:tcPr>
            <w:tcW w:w="2476" w:type="dxa"/>
            <w:shd w:val="clear" w:color="auto" w:fill="auto"/>
            <w:noWrap/>
            <w:vAlign w:val="center"/>
          </w:tcPr>
          <w:p w14:paraId="0CBDE997">
            <w:pPr>
              <w:pStyle w:val="45"/>
              <w:bidi w:val="0"/>
              <w:rPr>
                <w:rFonts w:hint="default"/>
              </w:rPr>
            </w:pPr>
            <w:r>
              <w:rPr>
                <w:rFonts w:hint="eastAsia"/>
                <w:lang w:val="en-US" w:eastAsia="zh-CN"/>
              </w:rPr>
              <w:t>0.119032</w:t>
            </w:r>
          </w:p>
        </w:tc>
        <w:tc>
          <w:tcPr>
            <w:tcW w:w="1227" w:type="dxa"/>
            <w:shd w:val="clear" w:color="auto" w:fill="auto"/>
            <w:noWrap/>
            <w:vAlign w:val="center"/>
          </w:tcPr>
          <w:p w14:paraId="46F77379">
            <w:pPr>
              <w:pStyle w:val="45"/>
              <w:bidi w:val="0"/>
              <w:rPr>
                <w:rFonts w:hint="default"/>
              </w:rPr>
            </w:pPr>
            <w:r>
              <w:rPr>
                <w:rFonts w:hint="eastAsia"/>
                <w:lang w:val="en-US" w:eastAsia="zh-CN"/>
              </w:rPr>
              <w:t xml:space="preserve">39.68 </w:t>
            </w:r>
          </w:p>
        </w:tc>
        <w:tc>
          <w:tcPr>
            <w:tcW w:w="322" w:type="pct"/>
            <w:shd w:val="clear" w:color="auto" w:fill="auto"/>
            <w:noWrap/>
            <w:vAlign w:val="center"/>
          </w:tcPr>
          <w:p w14:paraId="3BCC3A20">
            <w:pPr>
              <w:pStyle w:val="45"/>
              <w:rPr>
                <w:rFonts w:hint="default"/>
              </w:rPr>
            </w:pPr>
            <w:r>
              <w:t>达标</w:t>
            </w:r>
          </w:p>
        </w:tc>
      </w:tr>
      <w:tr w14:paraId="1C684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1" w:type="pct"/>
            <w:vMerge w:val="continue"/>
            <w:shd w:val="clear" w:color="auto" w:fill="auto"/>
            <w:vAlign w:val="center"/>
          </w:tcPr>
          <w:p w14:paraId="1C6A2099">
            <w:pPr>
              <w:pStyle w:val="45"/>
              <w:rPr>
                <w:rFonts w:hint="default"/>
              </w:rPr>
            </w:pPr>
          </w:p>
        </w:tc>
        <w:tc>
          <w:tcPr>
            <w:tcW w:w="717" w:type="pct"/>
            <w:shd w:val="clear" w:color="auto" w:fill="auto"/>
            <w:vAlign w:val="center"/>
          </w:tcPr>
          <w:p w14:paraId="727CFB0B">
            <w:pPr>
              <w:pStyle w:val="45"/>
              <w:rPr>
                <w:rFonts w:hint="default"/>
              </w:rPr>
            </w:pPr>
            <w:r>
              <w:t>松木中学</w:t>
            </w:r>
          </w:p>
        </w:tc>
        <w:tc>
          <w:tcPr>
            <w:tcW w:w="395" w:type="pct"/>
            <w:shd w:val="clear" w:color="auto" w:fill="auto"/>
            <w:vAlign w:val="center"/>
          </w:tcPr>
          <w:p w14:paraId="69AAD370">
            <w:pPr>
              <w:pStyle w:val="45"/>
              <w:bidi w:val="0"/>
              <w:rPr>
                <w:rFonts w:hint="default"/>
              </w:rPr>
            </w:pPr>
            <w:r>
              <w:rPr>
                <w:rFonts w:hint="eastAsia"/>
                <w:lang w:val="en-US" w:eastAsia="zh-CN"/>
              </w:rPr>
              <w:t>0.3</w:t>
            </w:r>
          </w:p>
        </w:tc>
        <w:tc>
          <w:tcPr>
            <w:tcW w:w="3476" w:type="dxa"/>
            <w:shd w:val="clear" w:color="auto" w:fill="auto"/>
            <w:noWrap/>
            <w:vAlign w:val="center"/>
          </w:tcPr>
          <w:p w14:paraId="16816EC0">
            <w:pPr>
              <w:pStyle w:val="45"/>
              <w:bidi w:val="0"/>
              <w:rPr>
                <w:rFonts w:hint="default"/>
              </w:rPr>
            </w:pPr>
            <w:r>
              <w:rPr>
                <w:rFonts w:hint="eastAsia"/>
                <w:lang w:val="en-US" w:eastAsia="zh-CN"/>
              </w:rPr>
              <w:t>0.000819</w:t>
            </w:r>
          </w:p>
        </w:tc>
        <w:tc>
          <w:tcPr>
            <w:tcW w:w="608" w:type="pct"/>
            <w:shd w:val="clear" w:color="auto" w:fill="auto"/>
            <w:vAlign w:val="center"/>
          </w:tcPr>
          <w:p w14:paraId="30828A5F">
            <w:pPr>
              <w:pStyle w:val="45"/>
              <w:bidi w:val="0"/>
              <w:rPr>
                <w:rFonts w:hint="default"/>
              </w:rPr>
            </w:pPr>
            <w:r>
              <w:rPr>
                <w:rFonts w:hint="eastAsia"/>
                <w:lang w:val="en-US" w:eastAsia="zh-CN"/>
              </w:rPr>
              <w:t>0.117</w:t>
            </w:r>
          </w:p>
        </w:tc>
        <w:tc>
          <w:tcPr>
            <w:tcW w:w="2476" w:type="dxa"/>
            <w:shd w:val="clear" w:color="auto" w:fill="auto"/>
            <w:noWrap/>
            <w:vAlign w:val="center"/>
          </w:tcPr>
          <w:p w14:paraId="62BD5344">
            <w:pPr>
              <w:pStyle w:val="45"/>
              <w:bidi w:val="0"/>
              <w:rPr>
                <w:rFonts w:hint="default"/>
              </w:rPr>
            </w:pPr>
            <w:r>
              <w:rPr>
                <w:rFonts w:hint="eastAsia"/>
                <w:lang w:val="en-US" w:eastAsia="zh-CN"/>
              </w:rPr>
              <w:t>0.117819</w:t>
            </w:r>
          </w:p>
        </w:tc>
        <w:tc>
          <w:tcPr>
            <w:tcW w:w="1227" w:type="dxa"/>
            <w:shd w:val="clear" w:color="auto" w:fill="auto"/>
            <w:noWrap/>
            <w:vAlign w:val="center"/>
          </w:tcPr>
          <w:p w14:paraId="57C76084">
            <w:pPr>
              <w:pStyle w:val="45"/>
              <w:bidi w:val="0"/>
              <w:rPr>
                <w:rFonts w:hint="default"/>
              </w:rPr>
            </w:pPr>
            <w:r>
              <w:rPr>
                <w:rFonts w:hint="eastAsia"/>
                <w:lang w:val="en-US" w:eastAsia="zh-CN"/>
              </w:rPr>
              <w:t xml:space="preserve">39.27 </w:t>
            </w:r>
          </w:p>
        </w:tc>
        <w:tc>
          <w:tcPr>
            <w:tcW w:w="322" w:type="pct"/>
            <w:shd w:val="clear" w:color="auto" w:fill="auto"/>
            <w:noWrap/>
            <w:vAlign w:val="center"/>
          </w:tcPr>
          <w:p w14:paraId="20DCAB7B">
            <w:pPr>
              <w:pStyle w:val="45"/>
              <w:rPr>
                <w:rFonts w:hint="default"/>
              </w:rPr>
            </w:pPr>
            <w:r>
              <w:t>达标</w:t>
            </w:r>
          </w:p>
        </w:tc>
      </w:tr>
      <w:tr w14:paraId="38802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1" w:type="pct"/>
            <w:vMerge w:val="continue"/>
            <w:shd w:val="clear" w:color="auto" w:fill="auto"/>
            <w:vAlign w:val="center"/>
          </w:tcPr>
          <w:p w14:paraId="1331DD93">
            <w:pPr>
              <w:pStyle w:val="45"/>
              <w:rPr>
                <w:rFonts w:hint="default"/>
              </w:rPr>
            </w:pPr>
          </w:p>
        </w:tc>
        <w:tc>
          <w:tcPr>
            <w:tcW w:w="717" w:type="pct"/>
            <w:shd w:val="clear" w:color="auto" w:fill="auto"/>
            <w:vAlign w:val="center"/>
          </w:tcPr>
          <w:p w14:paraId="1F46E499">
            <w:pPr>
              <w:pStyle w:val="45"/>
              <w:rPr>
                <w:rFonts w:hint="default"/>
              </w:rPr>
            </w:pPr>
            <w:r>
              <w:t>松木村2</w:t>
            </w:r>
          </w:p>
        </w:tc>
        <w:tc>
          <w:tcPr>
            <w:tcW w:w="395" w:type="pct"/>
            <w:shd w:val="clear" w:color="auto" w:fill="auto"/>
            <w:vAlign w:val="center"/>
          </w:tcPr>
          <w:p w14:paraId="7D54BD5E">
            <w:pPr>
              <w:pStyle w:val="45"/>
              <w:bidi w:val="0"/>
              <w:rPr>
                <w:rFonts w:hint="default"/>
              </w:rPr>
            </w:pPr>
            <w:r>
              <w:rPr>
                <w:rFonts w:hint="eastAsia"/>
                <w:lang w:val="en-US" w:eastAsia="zh-CN"/>
              </w:rPr>
              <w:t>0.3</w:t>
            </w:r>
          </w:p>
        </w:tc>
        <w:tc>
          <w:tcPr>
            <w:tcW w:w="3476" w:type="dxa"/>
            <w:shd w:val="clear" w:color="auto" w:fill="auto"/>
            <w:noWrap/>
            <w:vAlign w:val="center"/>
          </w:tcPr>
          <w:p w14:paraId="42AB252E">
            <w:pPr>
              <w:pStyle w:val="45"/>
              <w:bidi w:val="0"/>
              <w:rPr>
                <w:rFonts w:hint="default"/>
              </w:rPr>
            </w:pPr>
            <w:r>
              <w:rPr>
                <w:rFonts w:hint="eastAsia"/>
                <w:lang w:val="en-US" w:eastAsia="zh-CN"/>
              </w:rPr>
              <w:t>0.000877</w:t>
            </w:r>
          </w:p>
        </w:tc>
        <w:tc>
          <w:tcPr>
            <w:tcW w:w="608" w:type="pct"/>
            <w:shd w:val="clear" w:color="auto" w:fill="auto"/>
            <w:vAlign w:val="center"/>
          </w:tcPr>
          <w:p w14:paraId="31F7D877">
            <w:pPr>
              <w:pStyle w:val="45"/>
              <w:bidi w:val="0"/>
              <w:rPr>
                <w:rFonts w:hint="default"/>
              </w:rPr>
            </w:pPr>
            <w:r>
              <w:rPr>
                <w:rFonts w:hint="eastAsia"/>
                <w:lang w:val="en-US" w:eastAsia="zh-CN"/>
              </w:rPr>
              <w:t>0.117</w:t>
            </w:r>
          </w:p>
        </w:tc>
        <w:tc>
          <w:tcPr>
            <w:tcW w:w="2476" w:type="dxa"/>
            <w:shd w:val="clear" w:color="auto" w:fill="auto"/>
            <w:noWrap/>
            <w:vAlign w:val="center"/>
          </w:tcPr>
          <w:p w14:paraId="23D700A2">
            <w:pPr>
              <w:pStyle w:val="45"/>
              <w:bidi w:val="0"/>
              <w:rPr>
                <w:rFonts w:hint="default"/>
              </w:rPr>
            </w:pPr>
            <w:r>
              <w:rPr>
                <w:rFonts w:hint="eastAsia"/>
                <w:lang w:val="en-US" w:eastAsia="zh-CN"/>
              </w:rPr>
              <w:t>0.117877</w:t>
            </w:r>
          </w:p>
        </w:tc>
        <w:tc>
          <w:tcPr>
            <w:tcW w:w="1227" w:type="dxa"/>
            <w:shd w:val="clear" w:color="auto" w:fill="auto"/>
            <w:noWrap/>
            <w:vAlign w:val="center"/>
          </w:tcPr>
          <w:p w14:paraId="1E2AE254">
            <w:pPr>
              <w:pStyle w:val="45"/>
              <w:bidi w:val="0"/>
              <w:rPr>
                <w:rFonts w:hint="default"/>
              </w:rPr>
            </w:pPr>
            <w:r>
              <w:rPr>
                <w:rFonts w:hint="eastAsia"/>
                <w:lang w:val="en-US" w:eastAsia="zh-CN"/>
              </w:rPr>
              <w:t xml:space="preserve">39.29 </w:t>
            </w:r>
          </w:p>
        </w:tc>
        <w:tc>
          <w:tcPr>
            <w:tcW w:w="322" w:type="pct"/>
            <w:shd w:val="clear" w:color="auto" w:fill="auto"/>
            <w:noWrap/>
            <w:vAlign w:val="center"/>
          </w:tcPr>
          <w:p w14:paraId="433B44A8">
            <w:pPr>
              <w:pStyle w:val="45"/>
              <w:rPr>
                <w:rFonts w:hint="default"/>
              </w:rPr>
            </w:pPr>
            <w:r>
              <w:t>达标</w:t>
            </w:r>
          </w:p>
        </w:tc>
      </w:tr>
      <w:tr w14:paraId="2AAA3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1" w:type="pct"/>
            <w:vMerge w:val="continue"/>
            <w:shd w:val="clear" w:color="auto" w:fill="auto"/>
            <w:vAlign w:val="center"/>
          </w:tcPr>
          <w:p w14:paraId="2A5CB131">
            <w:pPr>
              <w:pStyle w:val="45"/>
              <w:rPr>
                <w:rFonts w:hint="default"/>
              </w:rPr>
            </w:pPr>
          </w:p>
        </w:tc>
        <w:tc>
          <w:tcPr>
            <w:tcW w:w="717" w:type="pct"/>
            <w:shd w:val="clear" w:color="auto" w:fill="auto"/>
            <w:vAlign w:val="center"/>
          </w:tcPr>
          <w:p w14:paraId="1254D151">
            <w:pPr>
              <w:pStyle w:val="45"/>
              <w:rPr>
                <w:rFonts w:hint="default"/>
              </w:rPr>
            </w:pPr>
            <w:r>
              <w:t>园区安置房</w:t>
            </w:r>
          </w:p>
        </w:tc>
        <w:tc>
          <w:tcPr>
            <w:tcW w:w="395" w:type="pct"/>
            <w:shd w:val="clear" w:color="auto" w:fill="auto"/>
            <w:vAlign w:val="center"/>
          </w:tcPr>
          <w:p w14:paraId="5C57DD07">
            <w:pPr>
              <w:pStyle w:val="45"/>
              <w:bidi w:val="0"/>
              <w:rPr>
                <w:rFonts w:hint="default"/>
              </w:rPr>
            </w:pPr>
            <w:r>
              <w:rPr>
                <w:rFonts w:hint="eastAsia"/>
                <w:lang w:val="en-US" w:eastAsia="zh-CN"/>
              </w:rPr>
              <w:t>0.3</w:t>
            </w:r>
          </w:p>
        </w:tc>
        <w:tc>
          <w:tcPr>
            <w:tcW w:w="3476" w:type="dxa"/>
            <w:shd w:val="clear" w:color="auto" w:fill="auto"/>
            <w:noWrap/>
            <w:vAlign w:val="center"/>
          </w:tcPr>
          <w:p w14:paraId="76A14C6C">
            <w:pPr>
              <w:pStyle w:val="45"/>
              <w:bidi w:val="0"/>
              <w:rPr>
                <w:rFonts w:hint="default"/>
              </w:rPr>
            </w:pPr>
            <w:r>
              <w:rPr>
                <w:rFonts w:hint="eastAsia"/>
                <w:lang w:val="en-US" w:eastAsia="zh-CN"/>
              </w:rPr>
              <w:t>0.000916</w:t>
            </w:r>
          </w:p>
        </w:tc>
        <w:tc>
          <w:tcPr>
            <w:tcW w:w="608" w:type="pct"/>
            <w:shd w:val="clear" w:color="auto" w:fill="auto"/>
            <w:vAlign w:val="center"/>
          </w:tcPr>
          <w:p w14:paraId="54E8C47E">
            <w:pPr>
              <w:pStyle w:val="45"/>
              <w:bidi w:val="0"/>
              <w:rPr>
                <w:rFonts w:hint="default"/>
              </w:rPr>
            </w:pPr>
            <w:r>
              <w:rPr>
                <w:rFonts w:hint="eastAsia"/>
                <w:lang w:val="en-US" w:eastAsia="zh-CN"/>
              </w:rPr>
              <w:t>0.117</w:t>
            </w:r>
          </w:p>
        </w:tc>
        <w:tc>
          <w:tcPr>
            <w:tcW w:w="2476" w:type="dxa"/>
            <w:shd w:val="clear" w:color="auto" w:fill="auto"/>
            <w:noWrap/>
            <w:vAlign w:val="center"/>
          </w:tcPr>
          <w:p w14:paraId="2ADF38BB">
            <w:pPr>
              <w:pStyle w:val="45"/>
              <w:bidi w:val="0"/>
              <w:rPr>
                <w:rFonts w:hint="default"/>
              </w:rPr>
            </w:pPr>
            <w:r>
              <w:rPr>
                <w:rFonts w:hint="eastAsia"/>
                <w:lang w:val="en-US" w:eastAsia="zh-CN"/>
              </w:rPr>
              <w:t>0.117916</w:t>
            </w:r>
          </w:p>
        </w:tc>
        <w:tc>
          <w:tcPr>
            <w:tcW w:w="1227" w:type="dxa"/>
            <w:shd w:val="clear" w:color="auto" w:fill="auto"/>
            <w:noWrap/>
            <w:vAlign w:val="center"/>
          </w:tcPr>
          <w:p w14:paraId="2BDACA76">
            <w:pPr>
              <w:pStyle w:val="45"/>
              <w:bidi w:val="0"/>
              <w:rPr>
                <w:rFonts w:hint="default"/>
              </w:rPr>
            </w:pPr>
            <w:r>
              <w:rPr>
                <w:rFonts w:hint="eastAsia"/>
                <w:lang w:val="en-US" w:eastAsia="zh-CN"/>
              </w:rPr>
              <w:t xml:space="preserve">39.31 </w:t>
            </w:r>
          </w:p>
        </w:tc>
        <w:tc>
          <w:tcPr>
            <w:tcW w:w="322" w:type="pct"/>
            <w:shd w:val="clear" w:color="auto" w:fill="auto"/>
            <w:noWrap/>
            <w:vAlign w:val="center"/>
          </w:tcPr>
          <w:p w14:paraId="3935F96B">
            <w:pPr>
              <w:pStyle w:val="45"/>
              <w:rPr>
                <w:rFonts w:hint="default"/>
              </w:rPr>
            </w:pPr>
            <w:r>
              <w:t>达标</w:t>
            </w:r>
          </w:p>
        </w:tc>
      </w:tr>
      <w:tr w14:paraId="75FC4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1" w:type="pct"/>
            <w:vMerge w:val="continue"/>
            <w:shd w:val="clear" w:color="auto" w:fill="auto"/>
            <w:vAlign w:val="center"/>
          </w:tcPr>
          <w:p w14:paraId="37D847D1">
            <w:pPr>
              <w:pStyle w:val="45"/>
              <w:rPr>
                <w:rFonts w:hint="default"/>
              </w:rPr>
            </w:pPr>
          </w:p>
        </w:tc>
        <w:tc>
          <w:tcPr>
            <w:tcW w:w="717" w:type="pct"/>
            <w:shd w:val="clear" w:color="auto" w:fill="auto"/>
            <w:vAlign w:val="center"/>
          </w:tcPr>
          <w:p w14:paraId="717FF1CA">
            <w:pPr>
              <w:pStyle w:val="45"/>
              <w:rPr>
                <w:rFonts w:hint="default"/>
              </w:rPr>
            </w:pPr>
            <w:r>
              <w:t>友谊村</w:t>
            </w:r>
          </w:p>
        </w:tc>
        <w:tc>
          <w:tcPr>
            <w:tcW w:w="395" w:type="pct"/>
            <w:shd w:val="clear" w:color="auto" w:fill="auto"/>
            <w:vAlign w:val="center"/>
          </w:tcPr>
          <w:p w14:paraId="534A30AE">
            <w:pPr>
              <w:pStyle w:val="45"/>
              <w:bidi w:val="0"/>
              <w:rPr>
                <w:rFonts w:hint="default"/>
              </w:rPr>
            </w:pPr>
            <w:r>
              <w:rPr>
                <w:rFonts w:hint="eastAsia"/>
                <w:lang w:val="en-US" w:eastAsia="zh-CN"/>
              </w:rPr>
              <w:t>0.3</w:t>
            </w:r>
          </w:p>
        </w:tc>
        <w:tc>
          <w:tcPr>
            <w:tcW w:w="3476" w:type="dxa"/>
            <w:shd w:val="clear" w:color="auto" w:fill="auto"/>
            <w:noWrap/>
            <w:vAlign w:val="center"/>
          </w:tcPr>
          <w:p w14:paraId="19E97D6B">
            <w:pPr>
              <w:pStyle w:val="45"/>
              <w:bidi w:val="0"/>
              <w:rPr>
                <w:rFonts w:hint="default"/>
              </w:rPr>
            </w:pPr>
            <w:r>
              <w:rPr>
                <w:rFonts w:hint="eastAsia"/>
                <w:lang w:val="en-US" w:eastAsia="zh-CN"/>
              </w:rPr>
              <w:t>0.011103</w:t>
            </w:r>
          </w:p>
        </w:tc>
        <w:tc>
          <w:tcPr>
            <w:tcW w:w="608" w:type="pct"/>
            <w:shd w:val="clear" w:color="auto" w:fill="auto"/>
            <w:vAlign w:val="center"/>
          </w:tcPr>
          <w:p w14:paraId="02D530AA">
            <w:pPr>
              <w:pStyle w:val="45"/>
              <w:bidi w:val="0"/>
              <w:rPr>
                <w:rFonts w:hint="default"/>
              </w:rPr>
            </w:pPr>
            <w:r>
              <w:rPr>
                <w:rFonts w:hint="eastAsia"/>
                <w:lang w:val="en-US" w:eastAsia="zh-CN"/>
              </w:rPr>
              <w:t>0.117</w:t>
            </w:r>
          </w:p>
        </w:tc>
        <w:tc>
          <w:tcPr>
            <w:tcW w:w="2476" w:type="dxa"/>
            <w:shd w:val="clear" w:color="auto" w:fill="auto"/>
            <w:noWrap/>
            <w:vAlign w:val="center"/>
          </w:tcPr>
          <w:p w14:paraId="0C8560E6">
            <w:pPr>
              <w:pStyle w:val="45"/>
              <w:bidi w:val="0"/>
              <w:rPr>
                <w:rFonts w:hint="default"/>
              </w:rPr>
            </w:pPr>
            <w:r>
              <w:rPr>
                <w:rFonts w:hint="eastAsia"/>
                <w:lang w:val="en-US" w:eastAsia="zh-CN"/>
              </w:rPr>
              <w:t>0.128103</w:t>
            </w:r>
          </w:p>
        </w:tc>
        <w:tc>
          <w:tcPr>
            <w:tcW w:w="1227" w:type="dxa"/>
            <w:shd w:val="clear" w:color="auto" w:fill="auto"/>
            <w:noWrap/>
            <w:vAlign w:val="center"/>
          </w:tcPr>
          <w:p w14:paraId="7B1020BF">
            <w:pPr>
              <w:pStyle w:val="45"/>
              <w:bidi w:val="0"/>
              <w:rPr>
                <w:rFonts w:hint="default"/>
              </w:rPr>
            </w:pPr>
            <w:r>
              <w:rPr>
                <w:rFonts w:hint="eastAsia"/>
                <w:lang w:val="en-US" w:eastAsia="zh-CN"/>
              </w:rPr>
              <w:t xml:space="preserve">42.70 </w:t>
            </w:r>
          </w:p>
        </w:tc>
        <w:tc>
          <w:tcPr>
            <w:tcW w:w="322" w:type="pct"/>
            <w:shd w:val="clear" w:color="auto" w:fill="auto"/>
            <w:noWrap/>
            <w:vAlign w:val="center"/>
          </w:tcPr>
          <w:p w14:paraId="2DAD721E">
            <w:pPr>
              <w:pStyle w:val="45"/>
              <w:rPr>
                <w:rFonts w:hint="default"/>
              </w:rPr>
            </w:pPr>
            <w:r>
              <w:t>达标</w:t>
            </w:r>
          </w:p>
        </w:tc>
      </w:tr>
      <w:tr w14:paraId="74332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1" w:type="pct"/>
            <w:vMerge w:val="continue"/>
            <w:shd w:val="clear" w:color="auto" w:fill="auto"/>
            <w:vAlign w:val="center"/>
          </w:tcPr>
          <w:p w14:paraId="7C7E2D37">
            <w:pPr>
              <w:pStyle w:val="45"/>
              <w:rPr>
                <w:rFonts w:hint="default"/>
              </w:rPr>
            </w:pPr>
          </w:p>
        </w:tc>
        <w:tc>
          <w:tcPr>
            <w:tcW w:w="717" w:type="pct"/>
            <w:shd w:val="clear" w:color="auto" w:fill="auto"/>
            <w:vAlign w:val="center"/>
          </w:tcPr>
          <w:p w14:paraId="72E636C8">
            <w:pPr>
              <w:pStyle w:val="45"/>
              <w:rPr>
                <w:rFonts w:hint="default"/>
              </w:rPr>
            </w:pPr>
            <w:r>
              <w:t>龙谊村</w:t>
            </w:r>
          </w:p>
        </w:tc>
        <w:tc>
          <w:tcPr>
            <w:tcW w:w="395" w:type="pct"/>
            <w:shd w:val="clear" w:color="auto" w:fill="auto"/>
            <w:vAlign w:val="center"/>
          </w:tcPr>
          <w:p w14:paraId="206BCAD3">
            <w:pPr>
              <w:pStyle w:val="45"/>
              <w:bidi w:val="0"/>
              <w:rPr>
                <w:rFonts w:hint="default"/>
              </w:rPr>
            </w:pPr>
            <w:r>
              <w:rPr>
                <w:rFonts w:hint="eastAsia"/>
                <w:lang w:val="en-US" w:eastAsia="zh-CN"/>
              </w:rPr>
              <w:t>0.3</w:t>
            </w:r>
          </w:p>
        </w:tc>
        <w:tc>
          <w:tcPr>
            <w:tcW w:w="3476" w:type="dxa"/>
            <w:shd w:val="clear" w:color="auto" w:fill="auto"/>
            <w:noWrap/>
            <w:vAlign w:val="center"/>
          </w:tcPr>
          <w:p w14:paraId="009BDF01">
            <w:pPr>
              <w:pStyle w:val="45"/>
              <w:bidi w:val="0"/>
              <w:rPr>
                <w:rFonts w:hint="default"/>
              </w:rPr>
            </w:pPr>
            <w:r>
              <w:rPr>
                <w:rFonts w:hint="eastAsia"/>
                <w:lang w:val="en-US" w:eastAsia="zh-CN"/>
              </w:rPr>
              <w:t>0.009125</w:t>
            </w:r>
          </w:p>
        </w:tc>
        <w:tc>
          <w:tcPr>
            <w:tcW w:w="608" w:type="pct"/>
            <w:shd w:val="clear" w:color="auto" w:fill="auto"/>
            <w:vAlign w:val="center"/>
          </w:tcPr>
          <w:p w14:paraId="6F5F4323">
            <w:pPr>
              <w:pStyle w:val="45"/>
              <w:bidi w:val="0"/>
              <w:rPr>
                <w:rFonts w:hint="default"/>
              </w:rPr>
            </w:pPr>
            <w:r>
              <w:rPr>
                <w:rFonts w:hint="eastAsia"/>
                <w:lang w:val="en-US" w:eastAsia="zh-CN"/>
              </w:rPr>
              <w:t>0.117</w:t>
            </w:r>
          </w:p>
        </w:tc>
        <w:tc>
          <w:tcPr>
            <w:tcW w:w="2476" w:type="dxa"/>
            <w:shd w:val="clear" w:color="auto" w:fill="auto"/>
            <w:noWrap/>
            <w:vAlign w:val="center"/>
          </w:tcPr>
          <w:p w14:paraId="5897ACED">
            <w:pPr>
              <w:pStyle w:val="45"/>
              <w:bidi w:val="0"/>
              <w:rPr>
                <w:rFonts w:hint="default"/>
              </w:rPr>
            </w:pPr>
            <w:r>
              <w:rPr>
                <w:rFonts w:hint="eastAsia"/>
                <w:lang w:val="en-US" w:eastAsia="zh-CN"/>
              </w:rPr>
              <w:t>0.126125</w:t>
            </w:r>
          </w:p>
        </w:tc>
        <w:tc>
          <w:tcPr>
            <w:tcW w:w="1227" w:type="dxa"/>
            <w:shd w:val="clear" w:color="auto" w:fill="auto"/>
            <w:noWrap/>
            <w:vAlign w:val="center"/>
          </w:tcPr>
          <w:p w14:paraId="6ACE195A">
            <w:pPr>
              <w:pStyle w:val="45"/>
              <w:bidi w:val="0"/>
              <w:rPr>
                <w:rFonts w:hint="default"/>
              </w:rPr>
            </w:pPr>
            <w:r>
              <w:rPr>
                <w:rFonts w:hint="eastAsia"/>
                <w:lang w:val="en-US" w:eastAsia="zh-CN"/>
              </w:rPr>
              <w:t xml:space="preserve">42.04 </w:t>
            </w:r>
          </w:p>
        </w:tc>
        <w:tc>
          <w:tcPr>
            <w:tcW w:w="322" w:type="pct"/>
            <w:shd w:val="clear" w:color="auto" w:fill="auto"/>
            <w:noWrap/>
            <w:vAlign w:val="center"/>
          </w:tcPr>
          <w:p w14:paraId="631733D4">
            <w:pPr>
              <w:pStyle w:val="45"/>
              <w:rPr>
                <w:rFonts w:hint="default"/>
              </w:rPr>
            </w:pPr>
            <w:r>
              <w:t>达标</w:t>
            </w:r>
          </w:p>
        </w:tc>
      </w:tr>
      <w:tr w14:paraId="2EA39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1" w:type="pct"/>
            <w:vMerge w:val="continue"/>
            <w:shd w:val="clear" w:color="auto" w:fill="auto"/>
            <w:vAlign w:val="center"/>
          </w:tcPr>
          <w:p w14:paraId="0B9C6B10">
            <w:pPr>
              <w:pStyle w:val="45"/>
              <w:rPr>
                <w:rFonts w:hint="default"/>
              </w:rPr>
            </w:pPr>
          </w:p>
        </w:tc>
        <w:tc>
          <w:tcPr>
            <w:tcW w:w="717" w:type="pct"/>
            <w:shd w:val="clear" w:color="auto" w:fill="auto"/>
            <w:vAlign w:val="center"/>
          </w:tcPr>
          <w:p w14:paraId="42F77EF8">
            <w:pPr>
              <w:pStyle w:val="45"/>
              <w:rPr>
                <w:rFonts w:hint="default"/>
              </w:rPr>
            </w:pPr>
            <w:r>
              <w:t>友爱村</w:t>
            </w:r>
          </w:p>
        </w:tc>
        <w:tc>
          <w:tcPr>
            <w:tcW w:w="395" w:type="pct"/>
            <w:shd w:val="clear" w:color="auto" w:fill="auto"/>
            <w:vAlign w:val="center"/>
          </w:tcPr>
          <w:p w14:paraId="79873B3E">
            <w:pPr>
              <w:pStyle w:val="45"/>
              <w:bidi w:val="0"/>
              <w:rPr>
                <w:rFonts w:hint="default"/>
              </w:rPr>
            </w:pPr>
            <w:r>
              <w:rPr>
                <w:rFonts w:hint="eastAsia"/>
                <w:lang w:val="en-US" w:eastAsia="zh-CN"/>
              </w:rPr>
              <w:t>0.3</w:t>
            </w:r>
          </w:p>
        </w:tc>
        <w:tc>
          <w:tcPr>
            <w:tcW w:w="3476" w:type="dxa"/>
            <w:shd w:val="clear" w:color="auto" w:fill="auto"/>
            <w:noWrap/>
            <w:vAlign w:val="center"/>
          </w:tcPr>
          <w:p w14:paraId="7FD14855">
            <w:pPr>
              <w:pStyle w:val="45"/>
              <w:bidi w:val="0"/>
              <w:rPr>
                <w:rFonts w:hint="default"/>
              </w:rPr>
            </w:pPr>
            <w:r>
              <w:rPr>
                <w:rFonts w:hint="eastAsia"/>
                <w:lang w:val="en-US" w:eastAsia="zh-CN"/>
              </w:rPr>
              <w:t>0.006198</w:t>
            </w:r>
          </w:p>
        </w:tc>
        <w:tc>
          <w:tcPr>
            <w:tcW w:w="608" w:type="pct"/>
            <w:shd w:val="clear" w:color="auto" w:fill="auto"/>
            <w:vAlign w:val="center"/>
          </w:tcPr>
          <w:p w14:paraId="54D2FC91">
            <w:pPr>
              <w:pStyle w:val="45"/>
              <w:bidi w:val="0"/>
              <w:rPr>
                <w:rFonts w:hint="default"/>
              </w:rPr>
            </w:pPr>
            <w:r>
              <w:rPr>
                <w:rFonts w:hint="eastAsia"/>
                <w:lang w:val="en-US" w:eastAsia="zh-CN"/>
              </w:rPr>
              <w:t>0.117</w:t>
            </w:r>
          </w:p>
        </w:tc>
        <w:tc>
          <w:tcPr>
            <w:tcW w:w="2476" w:type="dxa"/>
            <w:shd w:val="clear" w:color="auto" w:fill="auto"/>
            <w:noWrap/>
            <w:vAlign w:val="center"/>
          </w:tcPr>
          <w:p w14:paraId="31800D42">
            <w:pPr>
              <w:pStyle w:val="45"/>
              <w:bidi w:val="0"/>
              <w:rPr>
                <w:rFonts w:hint="default"/>
              </w:rPr>
            </w:pPr>
            <w:r>
              <w:rPr>
                <w:rFonts w:hint="eastAsia"/>
                <w:lang w:val="en-US" w:eastAsia="zh-CN"/>
              </w:rPr>
              <w:t>0.123198</w:t>
            </w:r>
          </w:p>
        </w:tc>
        <w:tc>
          <w:tcPr>
            <w:tcW w:w="1227" w:type="dxa"/>
            <w:shd w:val="clear" w:color="auto" w:fill="auto"/>
            <w:noWrap/>
            <w:vAlign w:val="center"/>
          </w:tcPr>
          <w:p w14:paraId="51BC5149">
            <w:pPr>
              <w:pStyle w:val="45"/>
              <w:bidi w:val="0"/>
              <w:rPr>
                <w:rFonts w:hint="default"/>
              </w:rPr>
            </w:pPr>
            <w:r>
              <w:rPr>
                <w:rFonts w:hint="eastAsia"/>
                <w:lang w:val="en-US" w:eastAsia="zh-CN"/>
              </w:rPr>
              <w:t xml:space="preserve">41.07 </w:t>
            </w:r>
          </w:p>
        </w:tc>
        <w:tc>
          <w:tcPr>
            <w:tcW w:w="322" w:type="pct"/>
            <w:shd w:val="clear" w:color="auto" w:fill="auto"/>
            <w:noWrap/>
            <w:vAlign w:val="center"/>
          </w:tcPr>
          <w:p w14:paraId="6D6EA543">
            <w:pPr>
              <w:pStyle w:val="45"/>
              <w:rPr>
                <w:rFonts w:hint="default"/>
              </w:rPr>
            </w:pPr>
            <w:r>
              <w:t>达标</w:t>
            </w:r>
          </w:p>
        </w:tc>
      </w:tr>
      <w:tr w14:paraId="3A5D4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1" w:type="pct"/>
            <w:vMerge w:val="continue"/>
            <w:shd w:val="clear" w:color="auto" w:fill="auto"/>
            <w:vAlign w:val="center"/>
          </w:tcPr>
          <w:p w14:paraId="3C2ED75D">
            <w:pPr>
              <w:pStyle w:val="45"/>
              <w:rPr>
                <w:rFonts w:hint="default"/>
              </w:rPr>
            </w:pPr>
          </w:p>
        </w:tc>
        <w:tc>
          <w:tcPr>
            <w:tcW w:w="717" w:type="pct"/>
            <w:shd w:val="clear" w:color="auto" w:fill="auto"/>
            <w:vAlign w:val="center"/>
          </w:tcPr>
          <w:p w14:paraId="2A4BDD07">
            <w:pPr>
              <w:pStyle w:val="45"/>
              <w:rPr>
                <w:rFonts w:hint="default"/>
              </w:rPr>
            </w:pPr>
            <w:r>
              <w:t>江霞村</w:t>
            </w:r>
          </w:p>
        </w:tc>
        <w:tc>
          <w:tcPr>
            <w:tcW w:w="395" w:type="pct"/>
            <w:shd w:val="clear" w:color="auto" w:fill="auto"/>
            <w:vAlign w:val="center"/>
          </w:tcPr>
          <w:p w14:paraId="63DB6164">
            <w:pPr>
              <w:pStyle w:val="45"/>
              <w:bidi w:val="0"/>
              <w:rPr>
                <w:rFonts w:hint="default"/>
              </w:rPr>
            </w:pPr>
            <w:r>
              <w:rPr>
                <w:rFonts w:hint="eastAsia"/>
                <w:lang w:val="en-US" w:eastAsia="zh-CN"/>
              </w:rPr>
              <w:t>0.3</w:t>
            </w:r>
          </w:p>
        </w:tc>
        <w:tc>
          <w:tcPr>
            <w:tcW w:w="3476" w:type="dxa"/>
            <w:shd w:val="clear" w:color="auto" w:fill="auto"/>
            <w:noWrap/>
            <w:vAlign w:val="center"/>
          </w:tcPr>
          <w:p w14:paraId="34F3F0BA">
            <w:pPr>
              <w:pStyle w:val="45"/>
              <w:bidi w:val="0"/>
              <w:rPr>
                <w:rFonts w:hint="default"/>
              </w:rPr>
            </w:pPr>
            <w:r>
              <w:rPr>
                <w:rFonts w:hint="eastAsia"/>
                <w:lang w:val="en-US" w:eastAsia="zh-CN"/>
              </w:rPr>
              <w:t>0.006408</w:t>
            </w:r>
          </w:p>
        </w:tc>
        <w:tc>
          <w:tcPr>
            <w:tcW w:w="608" w:type="pct"/>
            <w:shd w:val="clear" w:color="auto" w:fill="auto"/>
            <w:vAlign w:val="center"/>
          </w:tcPr>
          <w:p w14:paraId="569762E5">
            <w:pPr>
              <w:pStyle w:val="45"/>
              <w:bidi w:val="0"/>
              <w:rPr>
                <w:rFonts w:hint="default"/>
              </w:rPr>
            </w:pPr>
            <w:r>
              <w:rPr>
                <w:rFonts w:hint="eastAsia"/>
                <w:lang w:val="en-US" w:eastAsia="zh-CN"/>
              </w:rPr>
              <w:t>0.117</w:t>
            </w:r>
          </w:p>
        </w:tc>
        <w:tc>
          <w:tcPr>
            <w:tcW w:w="2476" w:type="dxa"/>
            <w:shd w:val="clear" w:color="auto" w:fill="auto"/>
            <w:noWrap/>
            <w:vAlign w:val="center"/>
          </w:tcPr>
          <w:p w14:paraId="6D247C28">
            <w:pPr>
              <w:pStyle w:val="45"/>
              <w:bidi w:val="0"/>
              <w:rPr>
                <w:rFonts w:hint="default"/>
              </w:rPr>
            </w:pPr>
            <w:r>
              <w:rPr>
                <w:rFonts w:hint="eastAsia"/>
                <w:lang w:val="en-US" w:eastAsia="zh-CN"/>
              </w:rPr>
              <w:t>0.123408</w:t>
            </w:r>
          </w:p>
        </w:tc>
        <w:tc>
          <w:tcPr>
            <w:tcW w:w="1227" w:type="dxa"/>
            <w:shd w:val="clear" w:color="auto" w:fill="auto"/>
            <w:noWrap/>
            <w:vAlign w:val="center"/>
          </w:tcPr>
          <w:p w14:paraId="468FA81E">
            <w:pPr>
              <w:pStyle w:val="45"/>
              <w:bidi w:val="0"/>
              <w:rPr>
                <w:rFonts w:hint="default"/>
              </w:rPr>
            </w:pPr>
            <w:r>
              <w:rPr>
                <w:rFonts w:hint="eastAsia"/>
                <w:lang w:val="en-US" w:eastAsia="zh-CN"/>
              </w:rPr>
              <w:t xml:space="preserve">41.14 </w:t>
            </w:r>
          </w:p>
        </w:tc>
        <w:tc>
          <w:tcPr>
            <w:tcW w:w="322" w:type="pct"/>
            <w:shd w:val="clear" w:color="auto" w:fill="auto"/>
            <w:noWrap/>
            <w:vAlign w:val="center"/>
          </w:tcPr>
          <w:p w14:paraId="6F64309E">
            <w:pPr>
              <w:pStyle w:val="45"/>
              <w:rPr>
                <w:rFonts w:hint="default"/>
              </w:rPr>
            </w:pPr>
            <w:r>
              <w:t>达标</w:t>
            </w:r>
          </w:p>
        </w:tc>
      </w:tr>
      <w:tr w14:paraId="160BE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1" w:type="pct"/>
            <w:vMerge w:val="continue"/>
            <w:shd w:val="clear" w:color="auto" w:fill="auto"/>
            <w:vAlign w:val="center"/>
          </w:tcPr>
          <w:p w14:paraId="44A17698">
            <w:pPr>
              <w:pStyle w:val="45"/>
              <w:rPr>
                <w:rFonts w:hint="default"/>
              </w:rPr>
            </w:pPr>
          </w:p>
        </w:tc>
        <w:tc>
          <w:tcPr>
            <w:tcW w:w="717" w:type="pct"/>
            <w:shd w:val="clear" w:color="auto" w:fill="auto"/>
            <w:vAlign w:val="center"/>
          </w:tcPr>
          <w:p w14:paraId="46A8B7EA">
            <w:pPr>
              <w:pStyle w:val="45"/>
              <w:rPr>
                <w:rFonts w:hint="default"/>
              </w:rPr>
            </w:pPr>
            <w:r>
              <w:t>金兰村</w:t>
            </w:r>
          </w:p>
        </w:tc>
        <w:tc>
          <w:tcPr>
            <w:tcW w:w="395" w:type="pct"/>
            <w:shd w:val="clear" w:color="auto" w:fill="auto"/>
            <w:vAlign w:val="center"/>
          </w:tcPr>
          <w:p w14:paraId="2FC3EAD1">
            <w:pPr>
              <w:pStyle w:val="45"/>
              <w:bidi w:val="0"/>
              <w:rPr>
                <w:rFonts w:hint="default"/>
              </w:rPr>
            </w:pPr>
            <w:r>
              <w:rPr>
                <w:rFonts w:hint="eastAsia"/>
                <w:lang w:val="en-US" w:eastAsia="zh-CN"/>
              </w:rPr>
              <w:t>0.3</w:t>
            </w:r>
          </w:p>
        </w:tc>
        <w:tc>
          <w:tcPr>
            <w:tcW w:w="3476" w:type="dxa"/>
            <w:shd w:val="clear" w:color="auto" w:fill="auto"/>
            <w:noWrap/>
            <w:vAlign w:val="center"/>
          </w:tcPr>
          <w:p w14:paraId="301E10AE">
            <w:pPr>
              <w:pStyle w:val="45"/>
              <w:bidi w:val="0"/>
              <w:rPr>
                <w:rFonts w:hint="default"/>
              </w:rPr>
            </w:pPr>
            <w:r>
              <w:rPr>
                <w:rFonts w:hint="eastAsia"/>
                <w:lang w:val="en-US" w:eastAsia="zh-CN"/>
              </w:rPr>
              <w:t>0.007031</w:t>
            </w:r>
          </w:p>
        </w:tc>
        <w:tc>
          <w:tcPr>
            <w:tcW w:w="608" w:type="pct"/>
            <w:shd w:val="clear" w:color="auto" w:fill="auto"/>
            <w:vAlign w:val="center"/>
          </w:tcPr>
          <w:p w14:paraId="0FD7FA92">
            <w:pPr>
              <w:pStyle w:val="45"/>
              <w:bidi w:val="0"/>
              <w:rPr>
                <w:rFonts w:hint="default"/>
              </w:rPr>
            </w:pPr>
            <w:r>
              <w:rPr>
                <w:rFonts w:hint="eastAsia"/>
                <w:lang w:val="en-US" w:eastAsia="zh-CN"/>
              </w:rPr>
              <w:t>0.117</w:t>
            </w:r>
          </w:p>
        </w:tc>
        <w:tc>
          <w:tcPr>
            <w:tcW w:w="2476" w:type="dxa"/>
            <w:shd w:val="clear" w:color="auto" w:fill="auto"/>
            <w:noWrap/>
            <w:vAlign w:val="center"/>
          </w:tcPr>
          <w:p w14:paraId="37CD5CB0">
            <w:pPr>
              <w:pStyle w:val="45"/>
              <w:bidi w:val="0"/>
              <w:rPr>
                <w:rFonts w:hint="default"/>
              </w:rPr>
            </w:pPr>
            <w:r>
              <w:rPr>
                <w:rFonts w:hint="eastAsia"/>
                <w:lang w:val="en-US" w:eastAsia="zh-CN"/>
              </w:rPr>
              <w:t>0.124031</w:t>
            </w:r>
          </w:p>
        </w:tc>
        <w:tc>
          <w:tcPr>
            <w:tcW w:w="1227" w:type="dxa"/>
            <w:shd w:val="clear" w:color="auto" w:fill="auto"/>
            <w:noWrap/>
            <w:vAlign w:val="center"/>
          </w:tcPr>
          <w:p w14:paraId="61041717">
            <w:pPr>
              <w:pStyle w:val="45"/>
              <w:bidi w:val="0"/>
              <w:rPr>
                <w:rFonts w:hint="default"/>
              </w:rPr>
            </w:pPr>
            <w:r>
              <w:rPr>
                <w:rFonts w:hint="eastAsia"/>
                <w:lang w:val="en-US" w:eastAsia="zh-CN"/>
              </w:rPr>
              <w:t xml:space="preserve">41.34 </w:t>
            </w:r>
          </w:p>
        </w:tc>
        <w:tc>
          <w:tcPr>
            <w:tcW w:w="322" w:type="pct"/>
            <w:shd w:val="clear" w:color="auto" w:fill="auto"/>
            <w:noWrap/>
            <w:vAlign w:val="center"/>
          </w:tcPr>
          <w:p w14:paraId="55003664">
            <w:pPr>
              <w:pStyle w:val="45"/>
              <w:rPr>
                <w:rFonts w:hint="default"/>
              </w:rPr>
            </w:pPr>
            <w:r>
              <w:t>达标</w:t>
            </w:r>
          </w:p>
        </w:tc>
      </w:tr>
      <w:tr w14:paraId="7C54A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1" w:type="pct"/>
            <w:vMerge w:val="continue"/>
            <w:shd w:val="clear" w:color="auto" w:fill="auto"/>
            <w:vAlign w:val="center"/>
          </w:tcPr>
          <w:p w14:paraId="2D170A9D">
            <w:pPr>
              <w:pStyle w:val="45"/>
              <w:rPr>
                <w:rFonts w:hint="default"/>
              </w:rPr>
            </w:pPr>
          </w:p>
        </w:tc>
        <w:tc>
          <w:tcPr>
            <w:tcW w:w="717" w:type="pct"/>
            <w:shd w:val="clear" w:color="auto" w:fill="auto"/>
            <w:vAlign w:val="center"/>
          </w:tcPr>
          <w:p w14:paraId="746FC394">
            <w:pPr>
              <w:pStyle w:val="45"/>
              <w:rPr>
                <w:rFonts w:hint="default"/>
              </w:rPr>
            </w:pPr>
            <w:r>
              <w:t>大昌村</w:t>
            </w:r>
          </w:p>
        </w:tc>
        <w:tc>
          <w:tcPr>
            <w:tcW w:w="395" w:type="pct"/>
            <w:shd w:val="clear" w:color="auto" w:fill="auto"/>
            <w:vAlign w:val="center"/>
          </w:tcPr>
          <w:p w14:paraId="15B8AB06">
            <w:pPr>
              <w:pStyle w:val="45"/>
              <w:bidi w:val="0"/>
              <w:rPr>
                <w:rFonts w:hint="default"/>
              </w:rPr>
            </w:pPr>
            <w:r>
              <w:rPr>
                <w:rFonts w:hint="eastAsia"/>
                <w:lang w:val="en-US" w:eastAsia="zh-CN"/>
              </w:rPr>
              <w:t>0.3</w:t>
            </w:r>
          </w:p>
        </w:tc>
        <w:tc>
          <w:tcPr>
            <w:tcW w:w="3476" w:type="dxa"/>
            <w:shd w:val="clear" w:color="auto" w:fill="auto"/>
            <w:noWrap/>
            <w:vAlign w:val="center"/>
          </w:tcPr>
          <w:p w14:paraId="77460AC1">
            <w:pPr>
              <w:pStyle w:val="45"/>
              <w:bidi w:val="0"/>
              <w:rPr>
                <w:rFonts w:hint="default"/>
              </w:rPr>
            </w:pPr>
            <w:r>
              <w:rPr>
                <w:rFonts w:hint="eastAsia"/>
                <w:lang w:val="en-US" w:eastAsia="zh-CN"/>
              </w:rPr>
              <w:t>0.006386</w:t>
            </w:r>
          </w:p>
        </w:tc>
        <w:tc>
          <w:tcPr>
            <w:tcW w:w="608" w:type="pct"/>
            <w:shd w:val="clear" w:color="auto" w:fill="auto"/>
            <w:vAlign w:val="center"/>
          </w:tcPr>
          <w:p w14:paraId="50EFD4B6">
            <w:pPr>
              <w:pStyle w:val="45"/>
              <w:bidi w:val="0"/>
              <w:rPr>
                <w:rFonts w:hint="default"/>
              </w:rPr>
            </w:pPr>
            <w:r>
              <w:rPr>
                <w:rFonts w:hint="eastAsia"/>
                <w:lang w:val="en-US" w:eastAsia="zh-CN"/>
              </w:rPr>
              <w:t>0.117</w:t>
            </w:r>
          </w:p>
        </w:tc>
        <w:tc>
          <w:tcPr>
            <w:tcW w:w="2476" w:type="dxa"/>
            <w:shd w:val="clear" w:color="auto" w:fill="auto"/>
            <w:noWrap/>
            <w:vAlign w:val="center"/>
          </w:tcPr>
          <w:p w14:paraId="71D7C15B">
            <w:pPr>
              <w:pStyle w:val="45"/>
              <w:bidi w:val="0"/>
              <w:rPr>
                <w:rFonts w:hint="default"/>
              </w:rPr>
            </w:pPr>
            <w:r>
              <w:rPr>
                <w:rFonts w:hint="eastAsia"/>
                <w:lang w:val="en-US" w:eastAsia="zh-CN"/>
              </w:rPr>
              <w:t>0.123386</w:t>
            </w:r>
          </w:p>
        </w:tc>
        <w:tc>
          <w:tcPr>
            <w:tcW w:w="1227" w:type="dxa"/>
            <w:shd w:val="clear" w:color="auto" w:fill="auto"/>
            <w:noWrap/>
            <w:vAlign w:val="center"/>
          </w:tcPr>
          <w:p w14:paraId="52AEAE71">
            <w:pPr>
              <w:pStyle w:val="45"/>
              <w:bidi w:val="0"/>
              <w:rPr>
                <w:rFonts w:hint="default"/>
              </w:rPr>
            </w:pPr>
            <w:r>
              <w:rPr>
                <w:rFonts w:hint="eastAsia"/>
                <w:lang w:val="en-US" w:eastAsia="zh-CN"/>
              </w:rPr>
              <w:t xml:space="preserve">41.13 </w:t>
            </w:r>
          </w:p>
        </w:tc>
        <w:tc>
          <w:tcPr>
            <w:tcW w:w="322" w:type="pct"/>
            <w:shd w:val="clear" w:color="auto" w:fill="auto"/>
            <w:noWrap/>
            <w:vAlign w:val="center"/>
          </w:tcPr>
          <w:p w14:paraId="779A1CDB">
            <w:pPr>
              <w:pStyle w:val="45"/>
              <w:rPr>
                <w:rFonts w:hint="default"/>
              </w:rPr>
            </w:pPr>
            <w:r>
              <w:t>达标</w:t>
            </w:r>
          </w:p>
        </w:tc>
      </w:tr>
      <w:tr w14:paraId="0DD45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1" w:type="pct"/>
            <w:vMerge w:val="continue"/>
            <w:shd w:val="clear" w:color="auto" w:fill="auto"/>
            <w:vAlign w:val="center"/>
          </w:tcPr>
          <w:p w14:paraId="6FAC7301">
            <w:pPr>
              <w:pStyle w:val="45"/>
              <w:rPr>
                <w:rFonts w:hint="default"/>
              </w:rPr>
            </w:pPr>
          </w:p>
        </w:tc>
        <w:tc>
          <w:tcPr>
            <w:tcW w:w="717" w:type="pct"/>
            <w:shd w:val="clear" w:color="auto" w:fill="auto"/>
            <w:vAlign w:val="center"/>
          </w:tcPr>
          <w:p w14:paraId="371C38FC">
            <w:pPr>
              <w:pStyle w:val="45"/>
              <w:rPr>
                <w:rFonts w:hint="default"/>
                <w:lang w:val="en-US"/>
              </w:rPr>
            </w:pPr>
            <w:r>
              <w:rPr>
                <w:rFonts w:hint="eastAsia"/>
                <w:lang w:val="en-US" w:eastAsia="zh-CN"/>
              </w:rPr>
              <w:t>区域最大落地浓度坐标（0,50）厂界内</w:t>
            </w:r>
          </w:p>
        </w:tc>
        <w:tc>
          <w:tcPr>
            <w:tcW w:w="395" w:type="pct"/>
            <w:shd w:val="clear" w:color="auto" w:fill="auto"/>
            <w:vAlign w:val="center"/>
          </w:tcPr>
          <w:p w14:paraId="0C08EB76">
            <w:pPr>
              <w:pStyle w:val="45"/>
              <w:bidi w:val="0"/>
            </w:pPr>
            <w:r>
              <w:rPr>
                <w:rFonts w:hint="eastAsia"/>
                <w:lang w:val="en-US" w:eastAsia="zh-CN"/>
              </w:rPr>
              <w:t>0.3</w:t>
            </w:r>
          </w:p>
        </w:tc>
        <w:tc>
          <w:tcPr>
            <w:tcW w:w="3476" w:type="dxa"/>
            <w:shd w:val="clear" w:color="auto" w:fill="auto"/>
            <w:noWrap/>
            <w:vAlign w:val="center"/>
          </w:tcPr>
          <w:p w14:paraId="27DC490B">
            <w:pPr>
              <w:pStyle w:val="45"/>
              <w:bidi w:val="0"/>
              <w:rPr>
                <w:rFonts w:hint="eastAsia"/>
                <w:lang w:val="en-US" w:eastAsia="zh-CN"/>
              </w:rPr>
            </w:pPr>
            <w:r>
              <w:rPr>
                <w:rFonts w:hint="eastAsia"/>
                <w:lang w:val="en-US" w:eastAsia="zh-CN"/>
              </w:rPr>
              <w:t>0.045913</w:t>
            </w:r>
          </w:p>
        </w:tc>
        <w:tc>
          <w:tcPr>
            <w:tcW w:w="608" w:type="pct"/>
            <w:shd w:val="clear" w:color="auto" w:fill="auto"/>
            <w:vAlign w:val="center"/>
          </w:tcPr>
          <w:p w14:paraId="7F842C65">
            <w:pPr>
              <w:pStyle w:val="45"/>
              <w:bidi w:val="0"/>
              <w:rPr>
                <w:rFonts w:hint="default"/>
                <w:lang w:val="en-US" w:eastAsia="zh-CN"/>
              </w:rPr>
            </w:pPr>
            <w:r>
              <w:rPr>
                <w:rFonts w:hint="eastAsia"/>
                <w:lang w:val="en-US" w:eastAsia="zh-CN"/>
              </w:rPr>
              <w:t>0.117</w:t>
            </w:r>
          </w:p>
        </w:tc>
        <w:tc>
          <w:tcPr>
            <w:tcW w:w="2476" w:type="dxa"/>
            <w:shd w:val="clear" w:color="auto" w:fill="auto"/>
            <w:noWrap/>
            <w:vAlign w:val="center"/>
          </w:tcPr>
          <w:p w14:paraId="14D76356">
            <w:pPr>
              <w:pStyle w:val="45"/>
              <w:bidi w:val="0"/>
              <w:rPr>
                <w:rFonts w:hint="eastAsia"/>
                <w:lang w:val="en-US" w:eastAsia="zh-CN"/>
              </w:rPr>
            </w:pPr>
            <w:r>
              <w:rPr>
                <w:rFonts w:hint="eastAsia"/>
                <w:lang w:val="en-US" w:eastAsia="zh-CN"/>
              </w:rPr>
              <w:t>0.162913</w:t>
            </w:r>
          </w:p>
        </w:tc>
        <w:tc>
          <w:tcPr>
            <w:tcW w:w="1227" w:type="dxa"/>
            <w:shd w:val="clear" w:color="auto" w:fill="auto"/>
            <w:noWrap/>
            <w:vAlign w:val="center"/>
          </w:tcPr>
          <w:p w14:paraId="0443B060">
            <w:pPr>
              <w:pStyle w:val="45"/>
              <w:bidi w:val="0"/>
              <w:rPr>
                <w:rFonts w:hint="eastAsia"/>
                <w:lang w:val="en-US" w:eastAsia="zh-CN"/>
              </w:rPr>
            </w:pPr>
            <w:r>
              <w:rPr>
                <w:rFonts w:hint="eastAsia"/>
                <w:lang w:val="en-US" w:eastAsia="zh-CN"/>
              </w:rPr>
              <w:t xml:space="preserve">54.30 </w:t>
            </w:r>
          </w:p>
        </w:tc>
        <w:tc>
          <w:tcPr>
            <w:tcW w:w="322" w:type="pct"/>
            <w:shd w:val="clear" w:color="auto" w:fill="auto"/>
            <w:noWrap/>
            <w:vAlign w:val="center"/>
          </w:tcPr>
          <w:p w14:paraId="44B0C64F">
            <w:pPr>
              <w:pStyle w:val="45"/>
            </w:pPr>
            <w:r>
              <w:t>达标</w:t>
            </w:r>
          </w:p>
        </w:tc>
      </w:tr>
    </w:tbl>
    <w:p w14:paraId="3F54302E">
      <w:pPr>
        <w:spacing w:line="240" w:lineRule="auto"/>
        <w:ind w:firstLine="0" w:firstLineChars="0"/>
      </w:pPr>
    </w:p>
    <w:p w14:paraId="0D4D8D1D">
      <w:pPr>
        <w:pStyle w:val="43"/>
        <w:numPr>
          <w:ilvl w:val="5"/>
          <w:numId w:val="1"/>
        </w:numPr>
        <w:rPr>
          <w:rFonts w:hint="default"/>
        </w:rPr>
      </w:pPr>
      <w:r>
        <w:rPr>
          <w:rFonts w:hint="default"/>
        </w:rPr>
        <w:t xml:space="preserve"> </w:t>
      </w:r>
      <w:r>
        <w:rPr>
          <w:rFonts w:hint="eastAsia"/>
        </w:rPr>
        <w:t>颗粒物（</w:t>
      </w:r>
      <w:r>
        <w:rPr>
          <w:rFonts w:hint="eastAsia" w:cs="Times New Roman"/>
          <w:color w:val="000000"/>
          <w:sz w:val="21"/>
          <w:szCs w:val="21"/>
          <w:lang w:val="en-US" w:eastAsia="zh-CN"/>
        </w:rPr>
        <w:t>TSP</w:t>
      </w:r>
      <w:r>
        <w:rPr>
          <w:rFonts w:hint="eastAsia"/>
        </w:rPr>
        <w:t>）</w:t>
      </w:r>
      <w:r>
        <w:rPr>
          <w:rFonts w:hint="default"/>
        </w:rPr>
        <w:t>在环境保护目标及网格点处</w:t>
      </w:r>
      <w:r>
        <w:rPr>
          <w:rFonts w:hint="eastAsia"/>
          <w:lang w:val="en-US" w:eastAsia="zh-CN"/>
        </w:rPr>
        <w:t>年平</w:t>
      </w:r>
      <w:r>
        <w:rPr>
          <w:rFonts w:hint="default"/>
        </w:rPr>
        <w:t>均质量浓度占标率</w:t>
      </w:r>
    </w:p>
    <w:tbl>
      <w:tblPr>
        <w:tblStyle w:val="32"/>
        <w:tblW w:w="0" w:type="auto"/>
        <w:tblInd w:w="9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0"/>
        <w:gridCol w:w="2037"/>
        <w:gridCol w:w="1246"/>
        <w:gridCol w:w="3425"/>
        <w:gridCol w:w="1710"/>
        <w:gridCol w:w="2445"/>
        <w:gridCol w:w="1216"/>
        <w:gridCol w:w="883"/>
      </w:tblGrid>
      <w:tr w14:paraId="7923F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trPr>
        <w:tc>
          <w:tcPr>
            <w:tcW w:w="1080" w:type="dxa"/>
            <w:vMerge w:val="restart"/>
            <w:shd w:val="clear" w:color="auto" w:fill="auto"/>
            <w:vAlign w:val="center"/>
          </w:tcPr>
          <w:p w14:paraId="6C81C4A8">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评价因子</w:t>
            </w:r>
          </w:p>
        </w:tc>
        <w:tc>
          <w:tcPr>
            <w:tcW w:w="2037" w:type="dxa"/>
            <w:vMerge w:val="restart"/>
            <w:shd w:val="clear" w:color="auto" w:fill="auto"/>
            <w:vAlign w:val="center"/>
          </w:tcPr>
          <w:p w14:paraId="1C8212B9">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环境空气保护目标</w:t>
            </w:r>
          </w:p>
        </w:tc>
        <w:tc>
          <w:tcPr>
            <w:tcW w:w="1246" w:type="dxa"/>
            <w:vMerge w:val="restart"/>
            <w:shd w:val="clear" w:color="auto" w:fill="auto"/>
            <w:vAlign w:val="center"/>
          </w:tcPr>
          <w:p w14:paraId="10C76DDC">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标准值（mg/m</w:t>
            </w:r>
            <w:r>
              <w:rPr>
                <w:rFonts w:hint="eastAsia" w:cs="宋体"/>
                <w:b/>
                <w:bCs/>
                <w:color w:val="000000"/>
                <w:kern w:val="0"/>
                <w:sz w:val="21"/>
                <w:szCs w:val="21"/>
                <w:vertAlign w:val="superscript"/>
              </w:rPr>
              <w:t>3</w:t>
            </w:r>
            <w:r>
              <w:rPr>
                <w:rFonts w:hint="eastAsia" w:cs="宋体"/>
                <w:b/>
                <w:bCs/>
                <w:color w:val="000000"/>
                <w:kern w:val="0"/>
                <w:sz w:val="21"/>
                <w:szCs w:val="21"/>
              </w:rPr>
              <w:t>）</w:t>
            </w:r>
          </w:p>
        </w:tc>
        <w:tc>
          <w:tcPr>
            <w:tcW w:w="9679" w:type="dxa"/>
            <w:gridSpan w:val="5"/>
            <w:shd w:val="clear" w:color="auto" w:fill="auto"/>
            <w:vAlign w:val="center"/>
          </w:tcPr>
          <w:p w14:paraId="4C4F5C29">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年平均质量浓度</w:t>
            </w:r>
          </w:p>
        </w:tc>
      </w:tr>
      <w:tr w14:paraId="55BF5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trPr>
        <w:tc>
          <w:tcPr>
            <w:tcW w:w="1080" w:type="dxa"/>
            <w:vMerge w:val="continue"/>
            <w:shd w:val="clear" w:color="auto" w:fill="auto"/>
            <w:vAlign w:val="center"/>
          </w:tcPr>
          <w:p w14:paraId="1C3DD6E1">
            <w:pPr>
              <w:widowControl/>
              <w:spacing w:line="240" w:lineRule="auto"/>
              <w:ind w:firstLine="0" w:firstLineChars="0"/>
              <w:jc w:val="center"/>
              <w:rPr>
                <w:rFonts w:cs="宋体"/>
                <w:b/>
                <w:bCs/>
                <w:color w:val="000000"/>
                <w:sz w:val="21"/>
                <w:szCs w:val="21"/>
              </w:rPr>
            </w:pPr>
          </w:p>
        </w:tc>
        <w:tc>
          <w:tcPr>
            <w:tcW w:w="2037" w:type="dxa"/>
            <w:vMerge w:val="continue"/>
            <w:shd w:val="clear" w:color="auto" w:fill="auto"/>
            <w:vAlign w:val="center"/>
          </w:tcPr>
          <w:p w14:paraId="74FAEE27">
            <w:pPr>
              <w:widowControl/>
              <w:spacing w:line="240" w:lineRule="auto"/>
              <w:ind w:firstLine="0" w:firstLineChars="0"/>
              <w:jc w:val="center"/>
              <w:rPr>
                <w:rFonts w:cs="宋体"/>
                <w:b/>
                <w:bCs/>
                <w:color w:val="000000"/>
                <w:sz w:val="21"/>
                <w:szCs w:val="21"/>
              </w:rPr>
            </w:pPr>
          </w:p>
        </w:tc>
        <w:tc>
          <w:tcPr>
            <w:tcW w:w="1246" w:type="dxa"/>
            <w:vMerge w:val="continue"/>
            <w:shd w:val="clear" w:color="auto" w:fill="auto"/>
            <w:vAlign w:val="center"/>
          </w:tcPr>
          <w:p w14:paraId="23879E1D">
            <w:pPr>
              <w:widowControl/>
              <w:spacing w:line="240" w:lineRule="auto"/>
              <w:ind w:firstLine="0" w:firstLineChars="0"/>
              <w:jc w:val="center"/>
              <w:rPr>
                <w:rFonts w:cs="宋体"/>
                <w:b/>
                <w:bCs/>
                <w:color w:val="000000"/>
                <w:sz w:val="21"/>
                <w:szCs w:val="21"/>
              </w:rPr>
            </w:pPr>
          </w:p>
        </w:tc>
        <w:tc>
          <w:tcPr>
            <w:tcW w:w="3425" w:type="dxa"/>
            <w:shd w:val="clear" w:color="auto" w:fill="auto"/>
            <w:vAlign w:val="center"/>
          </w:tcPr>
          <w:p w14:paraId="23161A95">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叠加在建、拟建源、削减源后最大浓度值（mg/m</w:t>
            </w:r>
            <w:r>
              <w:rPr>
                <w:rFonts w:hint="eastAsia" w:cs="宋体"/>
                <w:b/>
                <w:bCs/>
                <w:color w:val="000000"/>
                <w:kern w:val="0"/>
                <w:sz w:val="21"/>
                <w:szCs w:val="21"/>
                <w:vertAlign w:val="superscript"/>
              </w:rPr>
              <w:t>3</w:t>
            </w:r>
            <w:r>
              <w:rPr>
                <w:rFonts w:hint="eastAsia" w:cs="宋体"/>
                <w:b/>
                <w:bCs/>
                <w:color w:val="000000"/>
                <w:kern w:val="0"/>
                <w:sz w:val="21"/>
                <w:szCs w:val="21"/>
              </w:rPr>
              <w:t>）</w:t>
            </w:r>
          </w:p>
        </w:tc>
        <w:tc>
          <w:tcPr>
            <w:tcW w:w="1710" w:type="dxa"/>
            <w:shd w:val="clear" w:color="auto" w:fill="auto"/>
            <w:vAlign w:val="center"/>
          </w:tcPr>
          <w:p w14:paraId="1AA781CF">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现状浓度（mg/m</w:t>
            </w:r>
            <w:r>
              <w:rPr>
                <w:rFonts w:hint="eastAsia" w:cs="宋体"/>
                <w:b/>
                <w:bCs/>
                <w:color w:val="000000"/>
                <w:kern w:val="0"/>
                <w:sz w:val="21"/>
                <w:szCs w:val="21"/>
                <w:vertAlign w:val="superscript"/>
              </w:rPr>
              <w:t>3</w:t>
            </w:r>
            <w:r>
              <w:rPr>
                <w:rFonts w:hint="eastAsia" w:cs="宋体"/>
                <w:b/>
                <w:bCs/>
                <w:color w:val="000000"/>
                <w:kern w:val="0"/>
                <w:sz w:val="21"/>
                <w:szCs w:val="21"/>
              </w:rPr>
              <w:t>）</w:t>
            </w:r>
          </w:p>
        </w:tc>
        <w:tc>
          <w:tcPr>
            <w:tcW w:w="2445" w:type="dxa"/>
            <w:shd w:val="clear" w:color="auto" w:fill="auto"/>
            <w:vAlign w:val="center"/>
          </w:tcPr>
          <w:p w14:paraId="4E839D2F">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叠加现状浓度后的浓度（mg/m</w:t>
            </w:r>
            <w:r>
              <w:rPr>
                <w:rFonts w:hint="eastAsia" w:cs="宋体"/>
                <w:b/>
                <w:bCs/>
                <w:color w:val="000000"/>
                <w:kern w:val="0"/>
                <w:sz w:val="21"/>
                <w:szCs w:val="21"/>
                <w:vertAlign w:val="superscript"/>
              </w:rPr>
              <w:t>3</w:t>
            </w:r>
            <w:r>
              <w:rPr>
                <w:rFonts w:hint="eastAsia" w:cs="宋体"/>
                <w:b/>
                <w:bCs/>
                <w:color w:val="000000"/>
                <w:kern w:val="0"/>
                <w:sz w:val="21"/>
                <w:szCs w:val="21"/>
              </w:rPr>
              <w:t>）</w:t>
            </w:r>
          </w:p>
        </w:tc>
        <w:tc>
          <w:tcPr>
            <w:tcW w:w="1216" w:type="dxa"/>
            <w:shd w:val="clear" w:color="auto" w:fill="auto"/>
            <w:vAlign w:val="center"/>
          </w:tcPr>
          <w:p w14:paraId="55100B45">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占标率（%）</w:t>
            </w:r>
          </w:p>
        </w:tc>
        <w:tc>
          <w:tcPr>
            <w:tcW w:w="883" w:type="dxa"/>
            <w:shd w:val="clear" w:color="auto" w:fill="auto"/>
            <w:vAlign w:val="center"/>
          </w:tcPr>
          <w:p w14:paraId="733BBD83">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达标情况</w:t>
            </w:r>
          </w:p>
        </w:tc>
      </w:tr>
      <w:tr w14:paraId="0A006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80" w:type="dxa"/>
            <w:vMerge w:val="restart"/>
            <w:shd w:val="clear" w:color="auto" w:fill="auto"/>
            <w:vAlign w:val="center"/>
          </w:tcPr>
          <w:p w14:paraId="46C5E2FA">
            <w:pPr>
              <w:widowControl/>
              <w:spacing w:line="240" w:lineRule="auto"/>
              <w:ind w:firstLine="0" w:firstLineChars="0"/>
              <w:jc w:val="center"/>
              <w:textAlignment w:val="center"/>
              <w:rPr>
                <w:rFonts w:cs="宋体"/>
                <w:color w:val="000000"/>
                <w:sz w:val="21"/>
                <w:szCs w:val="22"/>
              </w:rPr>
            </w:pPr>
            <w:r>
              <w:rPr>
                <w:rFonts w:hint="eastAsia"/>
              </w:rPr>
              <w:t>颗粒物（</w:t>
            </w:r>
            <w:r>
              <w:rPr>
                <w:rFonts w:hint="eastAsia" w:cs="Times New Roman"/>
                <w:color w:val="000000"/>
                <w:sz w:val="21"/>
                <w:szCs w:val="21"/>
                <w:lang w:val="en-US" w:eastAsia="zh-CN"/>
              </w:rPr>
              <w:t>TSP</w:t>
            </w:r>
            <w:r>
              <w:rPr>
                <w:rFonts w:hint="eastAsia"/>
              </w:rPr>
              <w:t>）</w:t>
            </w:r>
          </w:p>
        </w:tc>
        <w:tc>
          <w:tcPr>
            <w:tcW w:w="2037" w:type="dxa"/>
            <w:shd w:val="clear" w:color="auto" w:fill="auto"/>
            <w:vAlign w:val="center"/>
          </w:tcPr>
          <w:p w14:paraId="1F9CA3AB">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新安村</w:t>
            </w:r>
          </w:p>
        </w:tc>
        <w:tc>
          <w:tcPr>
            <w:tcW w:w="1246" w:type="dxa"/>
            <w:shd w:val="clear" w:color="auto" w:fill="auto"/>
            <w:vAlign w:val="center"/>
          </w:tcPr>
          <w:p w14:paraId="2A833650">
            <w:pPr>
              <w:pStyle w:val="45"/>
              <w:bidi w:val="0"/>
            </w:pPr>
            <w:r>
              <w:rPr>
                <w:rFonts w:hint="eastAsia"/>
                <w:lang w:val="en-US" w:eastAsia="zh-CN"/>
              </w:rPr>
              <w:t>0.2</w:t>
            </w:r>
          </w:p>
        </w:tc>
        <w:tc>
          <w:tcPr>
            <w:tcW w:w="3425" w:type="dxa"/>
            <w:shd w:val="clear" w:color="auto" w:fill="auto"/>
            <w:noWrap/>
            <w:vAlign w:val="center"/>
          </w:tcPr>
          <w:p w14:paraId="5CC47DE7">
            <w:pPr>
              <w:pStyle w:val="45"/>
              <w:bidi w:val="0"/>
            </w:pPr>
            <w:r>
              <w:rPr>
                <w:rFonts w:hint="eastAsia"/>
                <w:lang w:val="en-US" w:eastAsia="zh-CN"/>
              </w:rPr>
              <w:t>0.000635</w:t>
            </w:r>
          </w:p>
        </w:tc>
        <w:tc>
          <w:tcPr>
            <w:tcW w:w="1710" w:type="dxa"/>
            <w:shd w:val="clear" w:color="auto" w:fill="auto"/>
            <w:vAlign w:val="center"/>
          </w:tcPr>
          <w:p w14:paraId="55CCB2FD">
            <w:pPr>
              <w:pStyle w:val="45"/>
              <w:bidi w:val="0"/>
              <w:ind w:firstLine="0" w:firstLineChars="0"/>
              <w:rPr>
                <w:rFonts w:cs="Times New Roman"/>
                <w:color w:val="000000"/>
                <w:sz w:val="21"/>
                <w:szCs w:val="21"/>
              </w:rPr>
            </w:pPr>
            <w:r>
              <w:rPr>
                <w:rFonts w:hint="eastAsia"/>
                <w:lang w:val="en-US" w:eastAsia="zh-CN"/>
              </w:rPr>
              <w:t>0.117</w:t>
            </w:r>
          </w:p>
        </w:tc>
        <w:tc>
          <w:tcPr>
            <w:tcW w:w="2445" w:type="dxa"/>
            <w:shd w:val="clear" w:color="auto" w:fill="auto"/>
            <w:noWrap/>
            <w:vAlign w:val="center"/>
          </w:tcPr>
          <w:p w14:paraId="1484F182">
            <w:pPr>
              <w:pStyle w:val="45"/>
              <w:bidi w:val="0"/>
            </w:pPr>
            <w:r>
              <w:rPr>
                <w:rFonts w:hint="eastAsia"/>
                <w:lang w:val="en-US" w:eastAsia="zh-CN"/>
              </w:rPr>
              <w:t>0.117635</w:t>
            </w:r>
          </w:p>
        </w:tc>
        <w:tc>
          <w:tcPr>
            <w:tcW w:w="1216" w:type="dxa"/>
            <w:shd w:val="clear" w:color="auto" w:fill="auto"/>
            <w:noWrap/>
            <w:vAlign w:val="center"/>
          </w:tcPr>
          <w:p w14:paraId="6E43E935">
            <w:pPr>
              <w:pStyle w:val="45"/>
              <w:bidi w:val="0"/>
            </w:pPr>
            <w:r>
              <w:rPr>
                <w:rFonts w:hint="eastAsia"/>
                <w:lang w:val="en-US" w:eastAsia="zh-CN"/>
              </w:rPr>
              <w:t xml:space="preserve">58.82 </w:t>
            </w:r>
          </w:p>
        </w:tc>
        <w:tc>
          <w:tcPr>
            <w:tcW w:w="883" w:type="dxa"/>
            <w:shd w:val="clear" w:color="auto" w:fill="auto"/>
            <w:noWrap/>
            <w:vAlign w:val="center"/>
          </w:tcPr>
          <w:p w14:paraId="74938274">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50DD5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80" w:type="dxa"/>
            <w:vMerge w:val="continue"/>
            <w:shd w:val="clear" w:color="auto" w:fill="auto"/>
            <w:vAlign w:val="center"/>
          </w:tcPr>
          <w:p w14:paraId="7E8727AD">
            <w:pPr>
              <w:widowControl/>
              <w:spacing w:line="240" w:lineRule="auto"/>
              <w:ind w:firstLine="0" w:firstLineChars="0"/>
              <w:jc w:val="center"/>
              <w:rPr>
                <w:rFonts w:cs="宋体"/>
                <w:color w:val="000000"/>
                <w:sz w:val="21"/>
                <w:szCs w:val="22"/>
              </w:rPr>
            </w:pPr>
          </w:p>
        </w:tc>
        <w:tc>
          <w:tcPr>
            <w:tcW w:w="2037" w:type="dxa"/>
            <w:shd w:val="clear" w:color="auto" w:fill="auto"/>
            <w:vAlign w:val="center"/>
          </w:tcPr>
          <w:p w14:paraId="64F32967">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松木村</w:t>
            </w:r>
          </w:p>
        </w:tc>
        <w:tc>
          <w:tcPr>
            <w:tcW w:w="1246" w:type="dxa"/>
            <w:shd w:val="clear" w:color="auto" w:fill="auto"/>
            <w:vAlign w:val="center"/>
          </w:tcPr>
          <w:p w14:paraId="0706D5B3">
            <w:pPr>
              <w:pStyle w:val="45"/>
              <w:bidi w:val="0"/>
            </w:pPr>
            <w:r>
              <w:rPr>
                <w:rFonts w:hint="eastAsia"/>
                <w:lang w:val="en-US" w:eastAsia="zh-CN"/>
              </w:rPr>
              <w:t>0.2</w:t>
            </w:r>
          </w:p>
        </w:tc>
        <w:tc>
          <w:tcPr>
            <w:tcW w:w="3425" w:type="dxa"/>
            <w:shd w:val="clear" w:color="auto" w:fill="auto"/>
            <w:noWrap/>
            <w:vAlign w:val="center"/>
          </w:tcPr>
          <w:p w14:paraId="00070EC6">
            <w:pPr>
              <w:pStyle w:val="45"/>
              <w:bidi w:val="0"/>
            </w:pPr>
            <w:r>
              <w:rPr>
                <w:rFonts w:hint="eastAsia"/>
                <w:lang w:val="en-US" w:eastAsia="zh-CN"/>
              </w:rPr>
              <w:t>0.000089</w:t>
            </w:r>
          </w:p>
        </w:tc>
        <w:tc>
          <w:tcPr>
            <w:tcW w:w="1710" w:type="dxa"/>
            <w:shd w:val="clear" w:color="auto" w:fill="auto"/>
            <w:vAlign w:val="center"/>
          </w:tcPr>
          <w:p w14:paraId="3A339455">
            <w:pPr>
              <w:pStyle w:val="45"/>
              <w:bidi w:val="0"/>
              <w:ind w:firstLine="0" w:firstLineChars="0"/>
              <w:rPr>
                <w:rFonts w:cs="Times New Roman"/>
                <w:color w:val="000000"/>
                <w:sz w:val="21"/>
                <w:szCs w:val="21"/>
              </w:rPr>
            </w:pPr>
            <w:r>
              <w:rPr>
                <w:rFonts w:hint="eastAsia"/>
                <w:lang w:val="en-US" w:eastAsia="zh-CN"/>
              </w:rPr>
              <w:t>0.117</w:t>
            </w:r>
          </w:p>
        </w:tc>
        <w:tc>
          <w:tcPr>
            <w:tcW w:w="2445" w:type="dxa"/>
            <w:shd w:val="clear" w:color="auto" w:fill="auto"/>
            <w:noWrap/>
            <w:vAlign w:val="center"/>
          </w:tcPr>
          <w:p w14:paraId="793B798B">
            <w:pPr>
              <w:pStyle w:val="45"/>
              <w:bidi w:val="0"/>
            </w:pPr>
            <w:r>
              <w:rPr>
                <w:rFonts w:hint="eastAsia"/>
                <w:lang w:val="en-US" w:eastAsia="zh-CN"/>
              </w:rPr>
              <w:t>0.117089</w:t>
            </w:r>
          </w:p>
        </w:tc>
        <w:tc>
          <w:tcPr>
            <w:tcW w:w="1216" w:type="dxa"/>
            <w:shd w:val="clear" w:color="auto" w:fill="auto"/>
            <w:noWrap/>
            <w:vAlign w:val="center"/>
          </w:tcPr>
          <w:p w14:paraId="2EBB67C3">
            <w:pPr>
              <w:pStyle w:val="45"/>
              <w:bidi w:val="0"/>
            </w:pPr>
            <w:r>
              <w:rPr>
                <w:rFonts w:hint="eastAsia"/>
                <w:lang w:val="en-US" w:eastAsia="zh-CN"/>
              </w:rPr>
              <w:t xml:space="preserve">58.54 </w:t>
            </w:r>
          </w:p>
        </w:tc>
        <w:tc>
          <w:tcPr>
            <w:tcW w:w="883" w:type="dxa"/>
            <w:shd w:val="clear" w:color="auto" w:fill="auto"/>
            <w:noWrap/>
            <w:vAlign w:val="center"/>
          </w:tcPr>
          <w:p w14:paraId="3A9CA274">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37BAF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80" w:type="dxa"/>
            <w:vMerge w:val="continue"/>
            <w:shd w:val="clear" w:color="auto" w:fill="auto"/>
            <w:vAlign w:val="center"/>
          </w:tcPr>
          <w:p w14:paraId="0866CDD3">
            <w:pPr>
              <w:widowControl/>
              <w:spacing w:line="240" w:lineRule="auto"/>
              <w:ind w:firstLine="0" w:firstLineChars="0"/>
              <w:jc w:val="center"/>
              <w:rPr>
                <w:rFonts w:cs="宋体"/>
                <w:color w:val="000000"/>
                <w:sz w:val="21"/>
                <w:szCs w:val="22"/>
              </w:rPr>
            </w:pPr>
          </w:p>
        </w:tc>
        <w:tc>
          <w:tcPr>
            <w:tcW w:w="2037" w:type="dxa"/>
            <w:shd w:val="clear" w:color="auto" w:fill="auto"/>
            <w:vAlign w:val="center"/>
          </w:tcPr>
          <w:p w14:paraId="06573325">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金源小学</w:t>
            </w:r>
          </w:p>
        </w:tc>
        <w:tc>
          <w:tcPr>
            <w:tcW w:w="1246" w:type="dxa"/>
            <w:shd w:val="clear" w:color="auto" w:fill="auto"/>
            <w:vAlign w:val="center"/>
          </w:tcPr>
          <w:p w14:paraId="42F9345F">
            <w:pPr>
              <w:pStyle w:val="45"/>
              <w:bidi w:val="0"/>
            </w:pPr>
            <w:r>
              <w:rPr>
                <w:rFonts w:hint="eastAsia"/>
                <w:lang w:val="en-US" w:eastAsia="zh-CN"/>
              </w:rPr>
              <w:t>0.2</w:t>
            </w:r>
          </w:p>
        </w:tc>
        <w:tc>
          <w:tcPr>
            <w:tcW w:w="3425" w:type="dxa"/>
            <w:shd w:val="clear" w:color="auto" w:fill="auto"/>
            <w:noWrap/>
            <w:vAlign w:val="center"/>
          </w:tcPr>
          <w:p w14:paraId="38322562">
            <w:pPr>
              <w:pStyle w:val="45"/>
              <w:bidi w:val="0"/>
            </w:pPr>
            <w:r>
              <w:rPr>
                <w:rFonts w:hint="eastAsia"/>
                <w:lang w:val="en-US" w:eastAsia="zh-CN"/>
              </w:rPr>
              <w:t>0.000062</w:t>
            </w:r>
          </w:p>
        </w:tc>
        <w:tc>
          <w:tcPr>
            <w:tcW w:w="1710" w:type="dxa"/>
            <w:shd w:val="clear" w:color="auto" w:fill="auto"/>
            <w:vAlign w:val="center"/>
          </w:tcPr>
          <w:p w14:paraId="787B4830">
            <w:pPr>
              <w:pStyle w:val="45"/>
              <w:bidi w:val="0"/>
              <w:ind w:firstLine="0" w:firstLineChars="0"/>
              <w:rPr>
                <w:rFonts w:cs="Times New Roman"/>
                <w:color w:val="000000"/>
                <w:sz w:val="21"/>
                <w:szCs w:val="21"/>
              </w:rPr>
            </w:pPr>
            <w:r>
              <w:rPr>
                <w:rFonts w:hint="eastAsia"/>
                <w:lang w:val="en-US" w:eastAsia="zh-CN"/>
              </w:rPr>
              <w:t>0.117</w:t>
            </w:r>
          </w:p>
        </w:tc>
        <w:tc>
          <w:tcPr>
            <w:tcW w:w="2445" w:type="dxa"/>
            <w:shd w:val="clear" w:color="auto" w:fill="auto"/>
            <w:noWrap/>
            <w:vAlign w:val="center"/>
          </w:tcPr>
          <w:p w14:paraId="7A6AE570">
            <w:pPr>
              <w:pStyle w:val="45"/>
              <w:bidi w:val="0"/>
            </w:pPr>
            <w:r>
              <w:rPr>
                <w:rFonts w:hint="eastAsia"/>
                <w:lang w:val="en-US" w:eastAsia="zh-CN"/>
              </w:rPr>
              <w:t>0.117062</w:t>
            </w:r>
          </w:p>
        </w:tc>
        <w:tc>
          <w:tcPr>
            <w:tcW w:w="1216" w:type="dxa"/>
            <w:shd w:val="clear" w:color="auto" w:fill="auto"/>
            <w:noWrap/>
            <w:vAlign w:val="center"/>
          </w:tcPr>
          <w:p w14:paraId="6873D7A3">
            <w:pPr>
              <w:pStyle w:val="45"/>
              <w:bidi w:val="0"/>
            </w:pPr>
            <w:r>
              <w:rPr>
                <w:rFonts w:hint="eastAsia"/>
                <w:lang w:val="en-US" w:eastAsia="zh-CN"/>
              </w:rPr>
              <w:t xml:space="preserve">58.53 </w:t>
            </w:r>
          </w:p>
        </w:tc>
        <w:tc>
          <w:tcPr>
            <w:tcW w:w="883" w:type="dxa"/>
            <w:shd w:val="clear" w:color="auto" w:fill="auto"/>
            <w:noWrap/>
            <w:vAlign w:val="center"/>
          </w:tcPr>
          <w:p w14:paraId="2F04EEA4">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05F27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80" w:type="dxa"/>
            <w:vMerge w:val="continue"/>
            <w:shd w:val="clear" w:color="auto" w:fill="auto"/>
            <w:vAlign w:val="center"/>
          </w:tcPr>
          <w:p w14:paraId="280CC67A">
            <w:pPr>
              <w:widowControl/>
              <w:spacing w:line="240" w:lineRule="auto"/>
              <w:ind w:firstLine="0" w:firstLineChars="0"/>
              <w:jc w:val="center"/>
              <w:rPr>
                <w:rFonts w:cs="宋体"/>
                <w:color w:val="000000"/>
                <w:sz w:val="21"/>
                <w:szCs w:val="22"/>
              </w:rPr>
            </w:pPr>
          </w:p>
        </w:tc>
        <w:tc>
          <w:tcPr>
            <w:tcW w:w="2037" w:type="dxa"/>
            <w:shd w:val="clear" w:color="auto" w:fill="auto"/>
            <w:vAlign w:val="center"/>
          </w:tcPr>
          <w:p w14:paraId="6C78A4B9">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金源社区安置房2</w:t>
            </w:r>
          </w:p>
        </w:tc>
        <w:tc>
          <w:tcPr>
            <w:tcW w:w="1246" w:type="dxa"/>
            <w:shd w:val="clear" w:color="auto" w:fill="auto"/>
            <w:vAlign w:val="center"/>
          </w:tcPr>
          <w:p w14:paraId="186C8B34">
            <w:pPr>
              <w:pStyle w:val="45"/>
              <w:bidi w:val="0"/>
            </w:pPr>
            <w:r>
              <w:rPr>
                <w:rFonts w:hint="eastAsia"/>
                <w:lang w:val="en-US" w:eastAsia="zh-CN"/>
              </w:rPr>
              <w:t>0.2</w:t>
            </w:r>
          </w:p>
        </w:tc>
        <w:tc>
          <w:tcPr>
            <w:tcW w:w="3425" w:type="dxa"/>
            <w:shd w:val="clear" w:color="auto" w:fill="auto"/>
            <w:noWrap/>
            <w:vAlign w:val="center"/>
          </w:tcPr>
          <w:p w14:paraId="70A4693C">
            <w:pPr>
              <w:pStyle w:val="45"/>
              <w:bidi w:val="0"/>
            </w:pPr>
            <w:r>
              <w:rPr>
                <w:rFonts w:hint="eastAsia"/>
                <w:lang w:val="en-US" w:eastAsia="zh-CN"/>
              </w:rPr>
              <w:t>0.000241</w:t>
            </w:r>
          </w:p>
        </w:tc>
        <w:tc>
          <w:tcPr>
            <w:tcW w:w="1710" w:type="dxa"/>
            <w:shd w:val="clear" w:color="auto" w:fill="auto"/>
            <w:vAlign w:val="center"/>
          </w:tcPr>
          <w:p w14:paraId="74248520">
            <w:pPr>
              <w:pStyle w:val="45"/>
              <w:bidi w:val="0"/>
              <w:ind w:firstLine="0" w:firstLineChars="0"/>
              <w:rPr>
                <w:rFonts w:cs="Times New Roman"/>
                <w:color w:val="000000"/>
                <w:sz w:val="21"/>
                <w:szCs w:val="21"/>
              </w:rPr>
            </w:pPr>
            <w:r>
              <w:rPr>
                <w:rFonts w:hint="eastAsia"/>
                <w:lang w:val="en-US" w:eastAsia="zh-CN"/>
              </w:rPr>
              <w:t>0.117</w:t>
            </w:r>
          </w:p>
        </w:tc>
        <w:tc>
          <w:tcPr>
            <w:tcW w:w="2445" w:type="dxa"/>
            <w:shd w:val="clear" w:color="auto" w:fill="auto"/>
            <w:noWrap/>
            <w:vAlign w:val="center"/>
          </w:tcPr>
          <w:p w14:paraId="5F1F6746">
            <w:pPr>
              <w:pStyle w:val="45"/>
              <w:bidi w:val="0"/>
            </w:pPr>
            <w:r>
              <w:rPr>
                <w:rFonts w:hint="eastAsia"/>
                <w:lang w:val="en-US" w:eastAsia="zh-CN"/>
              </w:rPr>
              <w:t>0.117241</w:t>
            </w:r>
          </w:p>
        </w:tc>
        <w:tc>
          <w:tcPr>
            <w:tcW w:w="1216" w:type="dxa"/>
            <w:shd w:val="clear" w:color="auto" w:fill="auto"/>
            <w:noWrap/>
            <w:vAlign w:val="center"/>
          </w:tcPr>
          <w:p w14:paraId="4113AEE6">
            <w:pPr>
              <w:pStyle w:val="45"/>
              <w:bidi w:val="0"/>
            </w:pPr>
            <w:r>
              <w:rPr>
                <w:rFonts w:hint="eastAsia"/>
                <w:lang w:val="en-US" w:eastAsia="zh-CN"/>
              </w:rPr>
              <w:t xml:space="preserve">58.62 </w:t>
            </w:r>
          </w:p>
        </w:tc>
        <w:tc>
          <w:tcPr>
            <w:tcW w:w="883" w:type="dxa"/>
            <w:shd w:val="clear" w:color="auto" w:fill="auto"/>
            <w:noWrap/>
            <w:vAlign w:val="center"/>
          </w:tcPr>
          <w:p w14:paraId="672CB0D3">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51F79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80" w:type="dxa"/>
            <w:vMerge w:val="continue"/>
            <w:shd w:val="clear" w:color="auto" w:fill="auto"/>
            <w:vAlign w:val="center"/>
          </w:tcPr>
          <w:p w14:paraId="042C4B3C">
            <w:pPr>
              <w:widowControl/>
              <w:spacing w:line="240" w:lineRule="auto"/>
              <w:ind w:firstLine="0" w:firstLineChars="0"/>
              <w:jc w:val="center"/>
              <w:rPr>
                <w:rFonts w:cs="宋体"/>
                <w:color w:val="000000"/>
                <w:sz w:val="21"/>
                <w:szCs w:val="22"/>
              </w:rPr>
            </w:pPr>
          </w:p>
        </w:tc>
        <w:tc>
          <w:tcPr>
            <w:tcW w:w="2037" w:type="dxa"/>
            <w:shd w:val="clear" w:color="auto" w:fill="auto"/>
            <w:vAlign w:val="center"/>
          </w:tcPr>
          <w:p w14:paraId="0713987B">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金源社区医院</w:t>
            </w:r>
          </w:p>
        </w:tc>
        <w:tc>
          <w:tcPr>
            <w:tcW w:w="1246" w:type="dxa"/>
            <w:shd w:val="clear" w:color="auto" w:fill="auto"/>
            <w:vAlign w:val="center"/>
          </w:tcPr>
          <w:p w14:paraId="111737F5">
            <w:pPr>
              <w:pStyle w:val="45"/>
              <w:bidi w:val="0"/>
            </w:pPr>
            <w:r>
              <w:rPr>
                <w:rFonts w:hint="eastAsia"/>
                <w:lang w:val="en-US" w:eastAsia="zh-CN"/>
              </w:rPr>
              <w:t>0.2</w:t>
            </w:r>
          </w:p>
        </w:tc>
        <w:tc>
          <w:tcPr>
            <w:tcW w:w="3425" w:type="dxa"/>
            <w:shd w:val="clear" w:color="auto" w:fill="auto"/>
            <w:noWrap/>
            <w:vAlign w:val="center"/>
          </w:tcPr>
          <w:p w14:paraId="5660D198">
            <w:pPr>
              <w:pStyle w:val="45"/>
              <w:bidi w:val="0"/>
            </w:pPr>
            <w:r>
              <w:rPr>
                <w:rFonts w:hint="eastAsia"/>
                <w:lang w:val="en-US" w:eastAsia="zh-CN"/>
              </w:rPr>
              <w:t>0.000254</w:t>
            </w:r>
          </w:p>
        </w:tc>
        <w:tc>
          <w:tcPr>
            <w:tcW w:w="1710" w:type="dxa"/>
            <w:shd w:val="clear" w:color="auto" w:fill="auto"/>
            <w:vAlign w:val="center"/>
          </w:tcPr>
          <w:p w14:paraId="2560F51A">
            <w:pPr>
              <w:pStyle w:val="45"/>
              <w:bidi w:val="0"/>
              <w:ind w:firstLine="0" w:firstLineChars="0"/>
              <w:rPr>
                <w:rFonts w:cs="Times New Roman"/>
                <w:color w:val="000000"/>
                <w:sz w:val="21"/>
                <w:szCs w:val="21"/>
              </w:rPr>
            </w:pPr>
            <w:r>
              <w:rPr>
                <w:rFonts w:hint="eastAsia"/>
                <w:lang w:val="en-US" w:eastAsia="zh-CN"/>
              </w:rPr>
              <w:t>0.117</w:t>
            </w:r>
          </w:p>
        </w:tc>
        <w:tc>
          <w:tcPr>
            <w:tcW w:w="2445" w:type="dxa"/>
            <w:shd w:val="clear" w:color="auto" w:fill="auto"/>
            <w:noWrap/>
            <w:vAlign w:val="center"/>
          </w:tcPr>
          <w:p w14:paraId="7ADB7F08">
            <w:pPr>
              <w:pStyle w:val="45"/>
              <w:bidi w:val="0"/>
            </w:pPr>
            <w:r>
              <w:rPr>
                <w:rFonts w:hint="eastAsia"/>
                <w:lang w:val="en-US" w:eastAsia="zh-CN"/>
              </w:rPr>
              <w:t>0.117254</w:t>
            </w:r>
          </w:p>
        </w:tc>
        <w:tc>
          <w:tcPr>
            <w:tcW w:w="1216" w:type="dxa"/>
            <w:shd w:val="clear" w:color="auto" w:fill="auto"/>
            <w:noWrap/>
            <w:vAlign w:val="center"/>
          </w:tcPr>
          <w:p w14:paraId="3ED301C4">
            <w:pPr>
              <w:pStyle w:val="45"/>
              <w:bidi w:val="0"/>
            </w:pPr>
            <w:r>
              <w:rPr>
                <w:rFonts w:hint="eastAsia"/>
                <w:lang w:val="en-US" w:eastAsia="zh-CN"/>
              </w:rPr>
              <w:t xml:space="preserve">58.63 </w:t>
            </w:r>
          </w:p>
        </w:tc>
        <w:tc>
          <w:tcPr>
            <w:tcW w:w="883" w:type="dxa"/>
            <w:shd w:val="clear" w:color="auto" w:fill="auto"/>
            <w:noWrap/>
            <w:vAlign w:val="center"/>
          </w:tcPr>
          <w:p w14:paraId="009698BC">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52596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80" w:type="dxa"/>
            <w:vMerge w:val="continue"/>
            <w:shd w:val="clear" w:color="auto" w:fill="auto"/>
            <w:vAlign w:val="center"/>
          </w:tcPr>
          <w:p w14:paraId="450AAA1F">
            <w:pPr>
              <w:widowControl/>
              <w:spacing w:line="240" w:lineRule="auto"/>
              <w:ind w:firstLine="0" w:firstLineChars="0"/>
              <w:jc w:val="center"/>
              <w:rPr>
                <w:rFonts w:cs="宋体"/>
                <w:color w:val="000000"/>
                <w:sz w:val="21"/>
                <w:szCs w:val="22"/>
              </w:rPr>
            </w:pPr>
          </w:p>
        </w:tc>
        <w:tc>
          <w:tcPr>
            <w:tcW w:w="2037" w:type="dxa"/>
            <w:shd w:val="clear" w:color="auto" w:fill="auto"/>
            <w:vAlign w:val="center"/>
          </w:tcPr>
          <w:p w14:paraId="42AFDB6C">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金源社区安置房</w:t>
            </w:r>
          </w:p>
        </w:tc>
        <w:tc>
          <w:tcPr>
            <w:tcW w:w="1246" w:type="dxa"/>
            <w:shd w:val="clear" w:color="auto" w:fill="auto"/>
            <w:vAlign w:val="center"/>
          </w:tcPr>
          <w:p w14:paraId="4A104B57">
            <w:pPr>
              <w:pStyle w:val="45"/>
              <w:bidi w:val="0"/>
            </w:pPr>
            <w:r>
              <w:rPr>
                <w:rFonts w:hint="eastAsia"/>
                <w:lang w:val="en-US" w:eastAsia="zh-CN"/>
              </w:rPr>
              <w:t>0.2</w:t>
            </w:r>
          </w:p>
        </w:tc>
        <w:tc>
          <w:tcPr>
            <w:tcW w:w="3425" w:type="dxa"/>
            <w:shd w:val="clear" w:color="auto" w:fill="auto"/>
            <w:noWrap/>
            <w:vAlign w:val="center"/>
          </w:tcPr>
          <w:p w14:paraId="42BF8E21">
            <w:pPr>
              <w:pStyle w:val="45"/>
              <w:bidi w:val="0"/>
            </w:pPr>
            <w:r>
              <w:rPr>
                <w:rFonts w:hint="eastAsia"/>
                <w:lang w:val="en-US" w:eastAsia="zh-CN"/>
              </w:rPr>
              <w:t>0.000055</w:t>
            </w:r>
          </w:p>
        </w:tc>
        <w:tc>
          <w:tcPr>
            <w:tcW w:w="1710" w:type="dxa"/>
            <w:shd w:val="clear" w:color="auto" w:fill="auto"/>
            <w:vAlign w:val="center"/>
          </w:tcPr>
          <w:p w14:paraId="2D4CCEBF">
            <w:pPr>
              <w:pStyle w:val="45"/>
              <w:bidi w:val="0"/>
              <w:ind w:firstLine="0" w:firstLineChars="0"/>
              <w:rPr>
                <w:rFonts w:cs="Times New Roman"/>
                <w:color w:val="000000"/>
                <w:sz w:val="21"/>
                <w:szCs w:val="21"/>
              </w:rPr>
            </w:pPr>
            <w:r>
              <w:rPr>
                <w:rFonts w:hint="eastAsia"/>
                <w:lang w:val="en-US" w:eastAsia="zh-CN"/>
              </w:rPr>
              <w:t>0.117</w:t>
            </w:r>
          </w:p>
        </w:tc>
        <w:tc>
          <w:tcPr>
            <w:tcW w:w="2445" w:type="dxa"/>
            <w:shd w:val="clear" w:color="auto" w:fill="auto"/>
            <w:noWrap/>
            <w:vAlign w:val="center"/>
          </w:tcPr>
          <w:p w14:paraId="346E43C7">
            <w:pPr>
              <w:pStyle w:val="45"/>
              <w:bidi w:val="0"/>
            </w:pPr>
            <w:r>
              <w:rPr>
                <w:rFonts w:hint="eastAsia"/>
                <w:lang w:val="en-US" w:eastAsia="zh-CN"/>
              </w:rPr>
              <w:t>0.117055</w:t>
            </w:r>
          </w:p>
        </w:tc>
        <w:tc>
          <w:tcPr>
            <w:tcW w:w="1216" w:type="dxa"/>
            <w:shd w:val="clear" w:color="auto" w:fill="auto"/>
            <w:noWrap/>
            <w:vAlign w:val="center"/>
          </w:tcPr>
          <w:p w14:paraId="081D71F6">
            <w:pPr>
              <w:pStyle w:val="45"/>
              <w:bidi w:val="0"/>
            </w:pPr>
            <w:r>
              <w:rPr>
                <w:rFonts w:hint="eastAsia"/>
                <w:lang w:val="en-US" w:eastAsia="zh-CN"/>
              </w:rPr>
              <w:t xml:space="preserve">58.53 </w:t>
            </w:r>
          </w:p>
        </w:tc>
        <w:tc>
          <w:tcPr>
            <w:tcW w:w="883" w:type="dxa"/>
            <w:shd w:val="clear" w:color="auto" w:fill="auto"/>
            <w:noWrap/>
            <w:vAlign w:val="center"/>
          </w:tcPr>
          <w:p w14:paraId="5B27A05A">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1B2D8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80" w:type="dxa"/>
            <w:vMerge w:val="continue"/>
            <w:shd w:val="clear" w:color="auto" w:fill="auto"/>
            <w:vAlign w:val="center"/>
          </w:tcPr>
          <w:p w14:paraId="077BC4FD">
            <w:pPr>
              <w:widowControl/>
              <w:spacing w:line="240" w:lineRule="auto"/>
              <w:ind w:firstLine="0" w:firstLineChars="0"/>
              <w:jc w:val="center"/>
              <w:rPr>
                <w:rFonts w:cs="宋体"/>
                <w:color w:val="000000"/>
                <w:sz w:val="21"/>
                <w:szCs w:val="22"/>
              </w:rPr>
            </w:pPr>
          </w:p>
        </w:tc>
        <w:tc>
          <w:tcPr>
            <w:tcW w:w="2037" w:type="dxa"/>
            <w:shd w:val="clear" w:color="auto" w:fill="auto"/>
            <w:vAlign w:val="center"/>
          </w:tcPr>
          <w:p w14:paraId="71051279">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湖南工商职业学院</w:t>
            </w:r>
          </w:p>
        </w:tc>
        <w:tc>
          <w:tcPr>
            <w:tcW w:w="1246" w:type="dxa"/>
            <w:shd w:val="clear" w:color="auto" w:fill="auto"/>
            <w:vAlign w:val="center"/>
          </w:tcPr>
          <w:p w14:paraId="24F47FFA">
            <w:pPr>
              <w:pStyle w:val="45"/>
              <w:bidi w:val="0"/>
            </w:pPr>
            <w:r>
              <w:rPr>
                <w:rFonts w:hint="eastAsia"/>
                <w:lang w:val="en-US" w:eastAsia="zh-CN"/>
              </w:rPr>
              <w:t>0.2</w:t>
            </w:r>
          </w:p>
        </w:tc>
        <w:tc>
          <w:tcPr>
            <w:tcW w:w="3425" w:type="dxa"/>
            <w:shd w:val="clear" w:color="auto" w:fill="auto"/>
            <w:noWrap/>
            <w:vAlign w:val="center"/>
          </w:tcPr>
          <w:p w14:paraId="1BF9558B">
            <w:pPr>
              <w:pStyle w:val="45"/>
              <w:bidi w:val="0"/>
            </w:pPr>
            <w:r>
              <w:rPr>
                <w:rFonts w:hint="eastAsia"/>
                <w:lang w:val="en-US" w:eastAsia="zh-CN"/>
              </w:rPr>
              <w:t>0.000053</w:t>
            </w:r>
          </w:p>
        </w:tc>
        <w:tc>
          <w:tcPr>
            <w:tcW w:w="1710" w:type="dxa"/>
            <w:shd w:val="clear" w:color="auto" w:fill="auto"/>
            <w:vAlign w:val="center"/>
          </w:tcPr>
          <w:p w14:paraId="2FEE7BEE">
            <w:pPr>
              <w:pStyle w:val="45"/>
              <w:bidi w:val="0"/>
              <w:ind w:firstLine="0" w:firstLineChars="0"/>
              <w:rPr>
                <w:rFonts w:cs="Times New Roman"/>
                <w:color w:val="000000"/>
                <w:sz w:val="21"/>
                <w:szCs w:val="21"/>
              </w:rPr>
            </w:pPr>
            <w:r>
              <w:rPr>
                <w:rFonts w:hint="eastAsia"/>
                <w:lang w:val="en-US" w:eastAsia="zh-CN"/>
              </w:rPr>
              <w:t>0.117</w:t>
            </w:r>
          </w:p>
        </w:tc>
        <w:tc>
          <w:tcPr>
            <w:tcW w:w="2445" w:type="dxa"/>
            <w:shd w:val="clear" w:color="auto" w:fill="auto"/>
            <w:noWrap/>
            <w:vAlign w:val="center"/>
          </w:tcPr>
          <w:p w14:paraId="1122F563">
            <w:pPr>
              <w:pStyle w:val="45"/>
              <w:bidi w:val="0"/>
            </w:pPr>
            <w:r>
              <w:rPr>
                <w:rFonts w:hint="eastAsia"/>
                <w:lang w:val="en-US" w:eastAsia="zh-CN"/>
              </w:rPr>
              <w:t>0.117053</w:t>
            </w:r>
          </w:p>
        </w:tc>
        <w:tc>
          <w:tcPr>
            <w:tcW w:w="1216" w:type="dxa"/>
            <w:shd w:val="clear" w:color="auto" w:fill="auto"/>
            <w:noWrap/>
            <w:vAlign w:val="center"/>
          </w:tcPr>
          <w:p w14:paraId="08C00578">
            <w:pPr>
              <w:pStyle w:val="45"/>
              <w:bidi w:val="0"/>
            </w:pPr>
            <w:r>
              <w:rPr>
                <w:rFonts w:hint="eastAsia"/>
                <w:lang w:val="en-US" w:eastAsia="zh-CN"/>
              </w:rPr>
              <w:t xml:space="preserve">58.53 </w:t>
            </w:r>
          </w:p>
        </w:tc>
        <w:tc>
          <w:tcPr>
            <w:tcW w:w="883" w:type="dxa"/>
            <w:shd w:val="clear" w:color="auto" w:fill="auto"/>
            <w:noWrap/>
            <w:vAlign w:val="center"/>
          </w:tcPr>
          <w:p w14:paraId="7C512025">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5D499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80" w:type="dxa"/>
            <w:vMerge w:val="continue"/>
            <w:shd w:val="clear" w:color="auto" w:fill="auto"/>
            <w:vAlign w:val="center"/>
          </w:tcPr>
          <w:p w14:paraId="5855E6F2">
            <w:pPr>
              <w:widowControl/>
              <w:spacing w:line="240" w:lineRule="auto"/>
              <w:ind w:firstLine="0" w:firstLineChars="0"/>
              <w:jc w:val="center"/>
              <w:rPr>
                <w:rFonts w:cs="宋体"/>
                <w:color w:val="000000"/>
                <w:sz w:val="21"/>
                <w:szCs w:val="22"/>
              </w:rPr>
            </w:pPr>
          </w:p>
        </w:tc>
        <w:tc>
          <w:tcPr>
            <w:tcW w:w="2037" w:type="dxa"/>
            <w:shd w:val="clear" w:color="auto" w:fill="auto"/>
            <w:vAlign w:val="center"/>
          </w:tcPr>
          <w:p w14:paraId="7A6532C5">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园区管委会</w:t>
            </w:r>
          </w:p>
        </w:tc>
        <w:tc>
          <w:tcPr>
            <w:tcW w:w="1246" w:type="dxa"/>
            <w:shd w:val="clear" w:color="auto" w:fill="auto"/>
            <w:vAlign w:val="center"/>
          </w:tcPr>
          <w:p w14:paraId="51307094">
            <w:pPr>
              <w:pStyle w:val="45"/>
              <w:bidi w:val="0"/>
            </w:pPr>
            <w:r>
              <w:rPr>
                <w:rFonts w:hint="eastAsia"/>
                <w:lang w:val="en-US" w:eastAsia="zh-CN"/>
              </w:rPr>
              <w:t>0.2</w:t>
            </w:r>
          </w:p>
        </w:tc>
        <w:tc>
          <w:tcPr>
            <w:tcW w:w="3425" w:type="dxa"/>
            <w:shd w:val="clear" w:color="auto" w:fill="auto"/>
            <w:noWrap/>
            <w:vAlign w:val="center"/>
          </w:tcPr>
          <w:p w14:paraId="5668C7D6">
            <w:pPr>
              <w:pStyle w:val="45"/>
              <w:bidi w:val="0"/>
            </w:pPr>
            <w:r>
              <w:rPr>
                <w:rFonts w:hint="eastAsia"/>
                <w:lang w:val="en-US" w:eastAsia="zh-CN"/>
              </w:rPr>
              <w:t>0.00021</w:t>
            </w:r>
          </w:p>
        </w:tc>
        <w:tc>
          <w:tcPr>
            <w:tcW w:w="1710" w:type="dxa"/>
            <w:shd w:val="clear" w:color="auto" w:fill="auto"/>
            <w:vAlign w:val="center"/>
          </w:tcPr>
          <w:p w14:paraId="4C551D53">
            <w:pPr>
              <w:pStyle w:val="45"/>
              <w:bidi w:val="0"/>
              <w:ind w:firstLine="0" w:firstLineChars="0"/>
              <w:rPr>
                <w:rFonts w:cs="Times New Roman"/>
                <w:color w:val="000000"/>
                <w:sz w:val="21"/>
                <w:szCs w:val="21"/>
              </w:rPr>
            </w:pPr>
            <w:r>
              <w:rPr>
                <w:rFonts w:hint="eastAsia"/>
                <w:lang w:val="en-US" w:eastAsia="zh-CN"/>
              </w:rPr>
              <w:t>0.117</w:t>
            </w:r>
          </w:p>
        </w:tc>
        <w:tc>
          <w:tcPr>
            <w:tcW w:w="2445" w:type="dxa"/>
            <w:shd w:val="clear" w:color="auto" w:fill="auto"/>
            <w:noWrap/>
            <w:vAlign w:val="center"/>
          </w:tcPr>
          <w:p w14:paraId="5F7A44CC">
            <w:pPr>
              <w:pStyle w:val="45"/>
              <w:bidi w:val="0"/>
            </w:pPr>
            <w:r>
              <w:rPr>
                <w:rFonts w:hint="eastAsia"/>
                <w:lang w:val="en-US" w:eastAsia="zh-CN"/>
              </w:rPr>
              <w:t>0.11721</w:t>
            </w:r>
          </w:p>
        </w:tc>
        <w:tc>
          <w:tcPr>
            <w:tcW w:w="1216" w:type="dxa"/>
            <w:shd w:val="clear" w:color="auto" w:fill="auto"/>
            <w:noWrap/>
            <w:vAlign w:val="center"/>
          </w:tcPr>
          <w:p w14:paraId="1DDA04F9">
            <w:pPr>
              <w:pStyle w:val="45"/>
              <w:bidi w:val="0"/>
            </w:pPr>
            <w:r>
              <w:rPr>
                <w:rFonts w:hint="eastAsia"/>
                <w:lang w:val="en-US" w:eastAsia="zh-CN"/>
              </w:rPr>
              <w:t xml:space="preserve">58.61 </w:t>
            </w:r>
          </w:p>
        </w:tc>
        <w:tc>
          <w:tcPr>
            <w:tcW w:w="883" w:type="dxa"/>
            <w:shd w:val="clear" w:color="auto" w:fill="auto"/>
            <w:noWrap/>
            <w:vAlign w:val="center"/>
          </w:tcPr>
          <w:p w14:paraId="05CC105B">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4F1F0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80" w:type="dxa"/>
            <w:vMerge w:val="continue"/>
            <w:shd w:val="clear" w:color="auto" w:fill="auto"/>
            <w:vAlign w:val="center"/>
          </w:tcPr>
          <w:p w14:paraId="21EC8969">
            <w:pPr>
              <w:widowControl/>
              <w:spacing w:line="240" w:lineRule="auto"/>
              <w:ind w:firstLine="0" w:firstLineChars="0"/>
              <w:jc w:val="center"/>
              <w:rPr>
                <w:rFonts w:cs="宋体"/>
                <w:color w:val="000000"/>
                <w:sz w:val="21"/>
                <w:szCs w:val="22"/>
              </w:rPr>
            </w:pPr>
          </w:p>
        </w:tc>
        <w:tc>
          <w:tcPr>
            <w:tcW w:w="2037" w:type="dxa"/>
            <w:shd w:val="clear" w:color="auto" w:fill="auto"/>
            <w:vAlign w:val="center"/>
          </w:tcPr>
          <w:p w14:paraId="03383AE5">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松木中学</w:t>
            </w:r>
          </w:p>
        </w:tc>
        <w:tc>
          <w:tcPr>
            <w:tcW w:w="1246" w:type="dxa"/>
            <w:shd w:val="clear" w:color="auto" w:fill="auto"/>
            <w:vAlign w:val="center"/>
          </w:tcPr>
          <w:p w14:paraId="0AEE4A44">
            <w:pPr>
              <w:pStyle w:val="45"/>
              <w:bidi w:val="0"/>
            </w:pPr>
            <w:r>
              <w:rPr>
                <w:rFonts w:hint="eastAsia"/>
                <w:lang w:val="en-US" w:eastAsia="zh-CN"/>
              </w:rPr>
              <w:t>0.2</w:t>
            </w:r>
          </w:p>
        </w:tc>
        <w:tc>
          <w:tcPr>
            <w:tcW w:w="3425" w:type="dxa"/>
            <w:shd w:val="clear" w:color="auto" w:fill="auto"/>
            <w:noWrap/>
            <w:vAlign w:val="center"/>
          </w:tcPr>
          <w:p w14:paraId="75E35F7B">
            <w:pPr>
              <w:pStyle w:val="45"/>
              <w:bidi w:val="0"/>
            </w:pPr>
            <w:r>
              <w:rPr>
                <w:rFonts w:hint="eastAsia"/>
                <w:lang w:val="en-US" w:eastAsia="zh-CN"/>
              </w:rPr>
              <w:t>0.000063</w:t>
            </w:r>
          </w:p>
        </w:tc>
        <w:tc>
          <w:tcPr>
            <w:tcW w:w="1710" w:type="dxa"/>
            <w:shd w:val="clear" w:color="auto" w:fill="auto"/>
            <w:vAlign w:val="center"/>
          </w:tcPr>
          <w:p w14:paraId="780F541A">
            <w:pPr>
              <w:pStyle w:val="45"/>
              <w:bidi w:val="0"/>
              <w:ind w:firstLine="0" w:firstLineChars="0"/>
              <w:rPr>
                <w:rFonts w:cs="Times New Roman"/>
                <w:color w:val="000000"/>
                <w:sz w:val="21"/>
                <w:szCs w:val="21"/>
              </w:rPr>
            </w:pPr>
            <w:r>
              <w:rPr>
                <w:rFonts w:hint="eastAsia"/>
                <w:lang w:val="en-US" w:eastAsia="zh-CN"/>
              </w:rPr>
              <w:t>0.117</w:t>
            </w:r>
          </w:p>
        </w:tc>
        <w:tc>
          <w:tcPr>
            <w:tcW w:w="2445" w:type="dxa"/>
            <w:shd w:val="clear" w:color="auto" w:fill="auto"/>
            <w:noWrap/>
            <w:vAlign w:val="center"/>
          </w:tcPr>
          <w:p w14:paraId="0658666B">
            <w:pPr>
              <w:pStyle w:val="45"/>
              <w:bidi w:val="0"/>
            </w:pPr>
            <w:r>
              <w:rPr>
                <w:rFonts w:hint="eastAsia"/>
                <w:lang w:val="en-US" w:eastAsia="zh-CN"/>
              </w:rPr>
              <w:t>0.117063</w:t>
            </w:r>
          </w:p>
        </w:tc>
        <w:tc>
          <w:tcPr>
            <w:tcW w:w="1216" w:type="dxa"/>
            <w:shd w:val="clear" w:color="auto" w:fill="auto"/>
            <w:noWrap/>
            <w:vAlign w:val="center"/>
          </w:tcPr>
          <w:p w14:paraId="6D6572B3">
            <w:pPr>
              <w:pStyle w:val="45"/>
              <w:bidi w:val="0"/>
            </w:pPr>
            <w:r>
              <w:rPr>
                <w:rFonts w:hint="eastAsia"/>
                <w:lang w:val="en-US" w:eastAsia="zh-CN"/>
              </w:rPr>
              <w:t xml:space="preserve">58.53 </w:t>
            </w:r>
          </w:p>
        </w:tc>
        <w:tc>
          <w:tcPr>
            <w:tcW w:w="883" w:type="dxa"/>
            <w:shd w:val="clear" w:color="auto" w:fill="auto"/>
            <w:noWrap/>
            <w:vAlign w:val="center"/>
          </w:tcPr>
          <w:p w14:paraId="7283621B">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3C2C5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80" w:type="dxa"/>
            <w:vMerge w:val="continue"/>
            <w:shd w:val="clear" w:color="auto" w:fill="auto"/>
            <w:vAlign w:val="center"/>
          </w:tcPr>
          <w:p w14:paraId="687604FE">
            <w:pPr>
              <w:widowControl/>
              <w:spacing w:line="240" w:lineRule="auto"/>
              <w:ind w:firstLine="0" w:firstLineChars="0"/>
              <w:jc w:val="center"/>
              <w:rPr>
                <w:rFonts w:cs="宋体"/>
                <w:color w:val="000000"/>
                <w:sz w:val="21"/>
                <w:szCs w:val="22"/>
              </w:rPr>
            </w:pPr>
          </w:p>
        </w:tc>
        <w:tc>
          <w:tcPr>
            <w:tcW w:w="2037" w:type="dxa"/>
            <w:shd w:val="clear" w:color="auto" w:fill="auto"/>
            <w:vAlign w:val="center"/>
          </w:tcPr>
          <w:p w14:paraId="63BD3B0A">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松木村2</w:t>
            </w:r>
          </w:p>
        </w:tc>
        <w:tc>
          <w:tcPr>
            <w:tcW w:w="1246" w:type="dxa"/>
            <w:shd w:val="clear" w:color="auto" w:fill="auto"/>
            <w:vAlign w:val="center"/>
          </w:tcPr>
          <w:p w14:paraId="5C836FD1">
            <w:pPr>
              <w:pStyle w:val="45"/>
              <w:bidi w:val="0"/>
            </w:pPr>
            <w:r>
              <w:rPr>
                <w:rFonts w:hint="eastAsia"/>
                <w:lang w:val="en-US" w:eastAsia="zh-CN"/>
              </w:rPr>
              <w:t>0.2</w:t>
            </w:r>
          </w:p>
        </w:tc>
        <w:tc>
          <w:tcPr>
            <w:tcW w:w="3425" w:type="dxa"/>
            <w:shd w:val="clear" w:color="auto" w:fill="auto"/>
            <w:noWrap/>
            <w:vAlign w:val="center"/>
          </w:tcPr>
          <w:p w14:paraId="455CBA56">
            <w:pPr>
              <w:pStyle w:val="45"/>
              <w:bidi w:val="0"/>
            </w:pPr>
            <w:r>
              <w:rPr>
                <w:rFonts w:hint="eastAsia"/>
                <w:lang w:val="en-US" w:eastAsia="zh-CN"/>
              </w:rPr>
              <w:t>0.000122</w:t>
            </w:r>
          </w:p>
        </w:tc>
        <w:tc>
          <w:tcPr>
            <w:tcW w:w="1710" w:type="dxa"/>
            <w:shd w:val="clear" w:color="auto" w:fill="auto"/>
            <w:vAlign w:val="center"/>
          </w:tcPr>
          <w:p w14:paraId="5EA3D10D">
            <w:pPr>
              <w:pStyle w:val="45"/>
              <w:bidi w:val="0"/>
              <w:ind w:firstLine="0" w:firstLineChars="0"/>
              <w:rPr>
                <w:rFonts w:cs="Times New Roman"/>
                <w:color w:val="000000"/>
                <w:sz w:val="21"/>
                <w:szCs w:val="21"/>
              </w:rPr>
            </w:pPr>
            <w:r>
              <w:rPr>
                <w:rFonts w:hint="eastAsia"/>
                <w:lang w:val="en-US" w:eastAsia="zh-CN"/>
              </w:rPr>
              <w:t>0.117</w:t>
            </w:r>
          </w:p>
        </w:tc>
        <w:tc>
          <w:tcPr>
            <w:tcW w:w="2445" w:type="dxa"/>
            <w:shd w:val="clear" w:color="auto" w:fill="auto"/>
            <w:noWrap/>
            <w:vAlign w:val="center"/>
          </w:tcPr>
          <w:p w14:paraId="0ECB1122">
            <w:pPr>
              <w:pStyle w:val="45"/>
              <w:bidi w:val="0"/>
            </w:pPr>
            <w:r>
              <w:rPr>
                <w:rFonts w:hint="eastAsia"/>
                <w:lang w:val="en-US" w:eastAsia="zh-CN"/>
              </w:rPr>
              <w:t>0.117122</w:t>
            </w:r>
          </w:p>
        </w:tc>
        <w:tc>
          <w:tcPr>
            <w:tcW w:w="1216" w:type="dxa"/>
            <w:shd w:val="clear" w:color="auto" w:fill="auto"/>
            <w:noWrap/>
            <w:vAlign w:val="center"/>
          </w:tcPr>
          <w:p w14:paraId="565FE49C">
            <w:pPr>
              <w:pStyle w:val="45"/>
              <w:bidi w:val="0"/>
            </w:pPr>
            <w:r>
              <w:rPr>
                <w:rFonts w:hint="eastAsia"/>
                <w:lang w:val="en-US" w:eastAsia="zh-CN"/>
              </w:rPr>
              <w:t xml:space="preserve">58.56 </w:t>
            </w:r>
          </w:p>
        </w:tc>
        <w:tc>
          <w:tcPr>
            <w:tcW w:w="883" w:type="dxa"/>
            <w:shd w:val="clear" w:color="auto" w:fill="auto"/>
            <w:noWrap/>
            <w:vAlign w:val="center"/>
          </w:tcPr>
          <w:p w14:paraId="3E2306BA">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7CEDB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80" w:type="dxa"/>
            <w:vMerge w:val="continue"/>
            <w:shd w:val="clear" w:color="auto" w:fill="auto"/>
            <w:vAlign w:val="center"/>
          </w:tcPr>
          <w:p w14:paraId="2FDA2429">
            <w:pPr>
              <w:widowControl/>
              <w:spacing w:line="240" w:lineRule="auto"/>
              <w:ind w:firstLine="0" w:firstLineChars="0"/>
              <w:jc w:val="center"/>
              <w:rPr>
                <w:rFonts w:cs="宋体"/>
                <w:color w:val="000000"/>
                <w:sz w:val="21"/>
                <w:szCs w:val="22"/>
              </w:rPr>
            </w:pPr>
          </w:p>
        </w:tc>
        <w:tc>
          <w:tcPr>
            <w:tcW w:w="2037" w:type="dxa"/>
            <w:shd w:val="clear" w:color="auto" w:fill="auto"/>
            <w:vAlign w:val="center"/>
          </w:tcPr>
          <w:p w14:paraId="5E7CA1C6">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园区安置房</w:t>
            </w:r>
          </w:p>
        </w:tc>
        <w:tc>
          <w:tcPr>
            <w:tcW w:w="1246" w:type="dxa"/>
            <w:shd w:val="clear" w:color="auto" w:fill="auto"/>
            <w:vAlign w:val="center"/>
          </w:tcPr>
          <w:p w14:paraId="1FF28C99">
            <w:pPr>
              <w:pStyle w:val="45"/>
              <w:bidi w:val="0"/>
            </w:pPr>
            <w:r>
              <w:rPr>
                <w:rFonts w:hint="eastAsia"/>
                <w:lang w:val="en-US" w:eastAsia="zh-CN"/>
              </w:rPr>
              <w:t>0.2</w:t>
            </w:r>
          </w:p>
        </w:tc>
        <w:tc>
          <w:tcPr>
            <w:tcW w:w="3425" w:type="dxa"/>
            <w:shd w:val="clear" w:color="auto" w:fill="auto"/>
            <w:noWrap/>
            <w:vAlign w:val="center"/>
          </w:tcPr>
          <w:p w14:paraId="51C7F171">
            <w:pPr>
              <w:pStyle w:val="45"/>
              <w:bidi w:val="0"/>
            </w:pPr>
            <w:r>
              <w:rPr>
                <w:rFonts w:hint="eastAsia"/>
                <w:lang w:val="en-US" w:eastAsia="zh-CN"/>
              </w:rPr>
              <w:t>0.000216</w:t>
            </w:r>
          </w:p>
        </w:tc>
        <w:tc>
          <w:tcPr>
            <w:tcW w:w="1710" w:type="dxa"/>
            <w:shd w:val="clear" w:color="auto" w:fill="auto"/>
            <w:vAlign w:val="center"/>
          </w:tcPr>
          <w:p w14:paraId="7D12A875">
            <w:pPr>
              <w:pStyle w:val="45"/>
              <w:bidi w:val="0"/>
              <w:ind w:firstLine="0" w:firstLineChars="0"/>
              <w:rPr>
                <w:rFonts w:cs="Times New Roman"/>
                <w:color w:val="000000"/>
                <w:sz w:val="21"/>
                <w:szCs w:val="21"/>
              </w:rPr>
            </w:pPr>
            <w:r>
              <w:rPr>
                <w:rFonts w:hint="eastAsia"/>
                <w:lang w:val="en-US" w:eastAsia="zh-CN"/>
              </w:rPr>
              <w:t>0.117</w:t>
            </w:r>
          </w:p>
        </w:tc>
        <w:tc>
          <w:tcPr>
            <w:tcW w:w="2445" w:type="dxa"/>
            <w:shd w:val="clear" w:color="auto" w:fill="auto"/>
            <w:noWrap/>
            <w:vAlign w:val="center"/>
          </w:tcPr>
          <w:p w14:paraId="4E4E37F3">
            <w:pPr>
              <w:pStyle w:val="45"/>
              <w:bidi w:val="0"/>
            </w:pPr>
            <w:r>
              <w:rPr>
                <w:rFonts w:hint="eastAsia"/>
                <w:lang w:val="en-US" w:eastAsia="zh-CN"/>
              </w:rPr>
              <w:t>0.117216</w:t>
            </w:r>
          </w:p>
        </w:tc>
        <w:tc>
          <w:tcPr>
            <w:tcW w:w="1216" w:type="dxa"/>
            <w:shd w:val="clear" w:color="auto" w:fill="auto"/>
            <w:noWrap/>
            <w:vAlign w:val="center"/>
          </w:tcPr>
          <w:p w14:paraId="1D27F858">
            <w:pPr>
              <w:pStyle w:val="45"/>
              <w:bidi w:val="0"/>
            </w:pPr>
            <w:r>
              <w:rPr>
                <w:rFonts w:hint="eastAsia"/>
                <w:lang w:val="en-US" w:eastAsia="zh-CN"/>
              </w:rPr>
              <w:t xml:space="preserve">58.61 </w:t>
            </w:r>
          </w:p>
        </w:tc>
        <w:tc>
          <w:tcPr>
            <w:tcW w:w="883" w:type="dxa"/>
            <w:shd w:val="clear" w:color="auto" w:fill="auto"/>
            <w:noWrap/>
            <w:vAlign w:val="center"/>
          </w:tcPr>
          <w:p w14:paraId="35955527">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69FD8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80" w:type="dxa"/>
            <w:vMerge w:val="continue"/>
            <w:shd w:val="clear" w:color="auto" w:fill="auto"/>
            <w:vAlign w:val="center"/>
          </w:tcPr>
          <w:p w14:paraId="413A7B92">
            <w:pPr>
              <w:widowControl/>
              <w:spacing w:line="240" w:lineRule="auto"/>
              <w:ind w:firstLine="0" w:firstLineChars="0"/>
              <w:jc w:val="center"/>
              <w:rPr>
                <w:rFonts w:cs="宋体"/>
                <w:color w:val="000000"/>
                <w:sz w:val="21"/>
                <w:szCs w:val="22"/>
              </w:rPr>
            </w:pPr>
          </w:p>
        </w:tc>
        <w:tc>
          <w:tcPr>
            <w:tcW w:w="2037" w:type="dxa"/>
            <w:shd w:val="clear" w:color="auto" w:fill="auto"/>
            <w:vAlign w:val="center"/>
          </w:tcPr>
          <w:p w14:paraId="1FDF9C41">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友谊村</w:t>
            </w:r>
          </w:p>
        </w:tc>
        <w:tc>
          <w:tcPr>
            <w:tcW w:w="1246" w:type="dxa"/>
            <w:shd w:val="clear" w:color="auto" w:fill="auto"/>
            <w:vAlign w:val="center"/>
          </w:tcPr>
          <w:p w14:paraId="4F1ADA81">
            <w:pPr>
              <w:pStyle w:val="45"/>
              <w:bidi w:val="0"/>
            </w:pPr>
            <w:r>
              <w:rPr>
                <w:rFonts w:hint="eastAsia"/>
                <w:lang w:val="en-US" w:eastAsia="zh-CN"/>
              </w:rPr>
              <w:t>0.2</w:t>
            </w:r>
          </w:p>
        </w:tc>
        <w:tc>
          <w:tcPr>
            <w:tcW w:w="3425" w:type="dxa"/>
            <w:shd w:val="clear" w:color="auto" w:fill="auto"/>
            <w:noWrap/>
            <w:vAlign w:val="center"/>
          </w:tcPr>
          <w:p w14:paraId="4B077889">
            <w:pPr>
              <w:pStyle w:val="45"/>
              <w:bidi w:val="0"/>
            </w:pPr>
            <w:r>
              <w:rPr>
                <w:rFonts w:hint="eastAsia"/>
                <w:lang w:val="en-US" w:eastAsia="zh-CN"/>
              </w:rPr>
              <w:t>0.002286</w:t>
            </w:r>
          </w:p>
        </w:tc>
        <w:tc>
          <w:tcPr>
            <w:tcW w:w="1710" w:type="dxa"/>
            <w:shd w:val="clear" w:color="auto" w:fill="auto"/>
            <w:vAlign w:val="center"/>
          </w:tcPr>
          <w:p w14:paraId="00A9472D">
            <w:pPr>
              <w:pStyle w:val="45"/>
              <w:bidi w:val="0"/>
              <w:ind w:firstLine="0" w:firstLineChars="0"/>
              <w:rPr>
                <w:rFonts w:cs="Times New Roman"/>
                <w:color w:val="000000"/>
                <w:sz w:val="21"/>
                <w:szCs w:val="21"/>
              </w:rPr>
            </w:pPr>
            <w:r>
              <w:rPr>
                <w:rFonts w:hint="eastAsia"/>
                <w:lang w:val="en-US" w:eastAsia="zh-CN"/>
              </w:rPr>
              <w:t>0.117</w:t>
            </w:r>
          </w:p>
        </w:tc>
        <w:tc>
          <w:tcPr>
            <w:tcW w:w="2445" w:type="dxa"/>
            <w:shd w:val="clear" w:color="auto" w:fill="auto"/>
            <w:noWrap/>
            <w:vAlign w:val="center"/>
          </w:tcPr>
          <w:p w14:paraId="6FBF63CF">
            <w:pPr>
              <w:pStyle w:val="45"/>
              <w:bidi w:val="0"/>
            </w:pPr>
            <w:r>
              <w:rPr>
                <w:rFonts w:hint="eastAsia"/>
                <w:lang w:val="en-US" w:eastAsia="zh-CN"/>
              </w:rPr>
              <w:t>0.119286</w:t>
            </w:r>
          </w:p>
        </w:tc>
        <w:tc>
          <w:tcPr>
            <w:tcW w:w="1216" w:type="dxa"/>
            <w:shd w:val="clear" w:color="auto" w:fill="auto"/>
            <w:noWrap/>
            <w:vAlign w:val="center"/>
          </w:tcPr>
          <w:p w14:paraId="635D50AF">
            <w:pPr>
              <w:pStyle w:val="45"/>
              <w:bidi w:val="0"/>
            </w:pPr>
            <w:r>
              <w:rPr>
                <w:rFonts w:hint="eastAsia"/>
                <w:lang w:val="en-US" w:eastAsia="zh-CN"/>
              </w:rPr>
              <w:t xml:space="preserve">59.64 </w:t>
            </w:r>
          </w:p>
        </w:tc>
        <w:tc>
          <w:tcPr>
            <w:tcW w:w="883" w:type="dxa"/>
            <w:shd w:val="clear" w:color="auto" w:fill="auto"/>
            <w:noWrap/>
            <w:vAlign w:val="center"/>
          </w:tcPr>
          <w:p w14:paraId="1DB8386D">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16B2E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80" w:type="dxa"/>
            <w:vMerge w:val="continue"/>
            <w:shd w:val="clear" w:color="auto" w:fill="auto"/>
            <w:vAlign w:val="center"/>
          </w:tcPr>
          <w:p w14:paraId="1954E106">
            <w:pPr>
              <w:widowControl/>
              <w:spacing w:line="240" w:lineRule="auto"/>
              <w:ind w:firstLine="0" w:firstLineChars="0"/>
              <w:jc w:val="center"/>
              <w:rPr>
                <w:rFonts w:cs="宋体"/>
                <w:color w:val="000000"/>
                <w:sz w:val="21"/>
                <w:szCs w:val="22"/>
              </w:rPr>
            </w:pPr>
          </w:p>
        </w:tc>
        <w:tc>
          <w:tcPr>
            <w:tcW w:w="2037" w:type="dxa"/>
            <w:shd w:val="clear" w:color="auto" w:fill="auto"/>
            <w:vAlign w:val="center"/>
          </w:tcPr>
          <w:p w14:paraId="643FCFEF">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龙谊村</w:t>
            </w:r>
          </w:p>
        </w:tc>
        <w:tc>
          <w:tcPr>
            <w:tcW w:w="1246" w:type="dxa"/>
            <w:shd w:val="clear" w:color="auto" w:fill="auto"/>
            <w:vAlign w:val="center"/>
          </w:tcPr>
          <w:p w14:paraId="125E249F">
            <w:pPr>
              <w:pStyle w:val="45"/>
              <w:bidi w:val="0"/>
            </w:pPr>
            <w:r>
              <w:rPr>
                <w:rFonts w:hint="eastAsia"/>
                <w:lang w:val="en-US" w:eastAsia="zh-CN"/>
              </w:rPr>
              <w:t>0.2</w:t>
            </w:r>
          </w:p>
        </w:tc>
        <w:tc>
          <w:tcPr>
            <w:tcW w:w="3425" w:type="dxa"/>
            <w:shd w:val="clear" w:color="auto" w:fill="auto"/>
            <w:noWrap/>
            <w:vAlign w:val="center"/>
          </w:tcPr>
          <w:p w14:paraId="405B989B">
            <w:pPr>
              <w:pStyle w:val="45"/>
              <w:bidi w:val="0"/>
            </w:pPr>
            <w:r>
              <w:rPr>
                <w:rFonts w:hint="eastAsia"/>
                <w:lang w:val="en-US" w:eastAsia="zh-CN"/>
              </w:rPr>
              <w:t>0.001217</w:t>
            </w:r>
          </w:p>
        </w:tc>
        <w:tc>
          <w:tcPr>
            <w:tcW w:w="1710" w:type="dxa"/>
            <w:shd w:val="clear" w:color="auto" w:fill="auto"/>
            <w:vAlign w:val="center"/>
          </w:tcPr>
          <w:p w14:paraId="02B91282">
            <w:pPr>
              <w:pStyle w:val="45"/>
              <w:bidi w:val="0"/>
              <w:ind w:firstLine="0" w:firstLineChars="0"/>
              <w:rPr>
                <w:rFonts w:cs="Times New Roman"/>
                <w:color w:val="000000"/>
                <w:sz w:val="21"/>
                <w:szCs w:val="21"/>
              </w:rPr>
            </w:pPr>
            <w:r>
              <w:rPr>
                <w:rFonts w:hint="eastAsia"/>
                <w:lang w:val="en-US" w:eastAsia="zh-CN"/>
              </w:rPr>
              <w:t>0.117</w:t>
            </w:r>
          </w:p>
        </w:tc>
        <w:tc>
          <w:tcPr>
            <w:tcW w:w="2445" w:type="dxa"/>
            <w:shd w:val="clear" w:color="auto" w:fill="auto"/>
            <w:noWrap/>
            <w:vAlign w:val="center"/>
          </w:tcPr>
          <w:p w14:paraId="4EC22CC3">
            <w:pPr>
              <w:pStyle w:val="45"/>
              <w:bidi w:val="0"/>
            </w:pPr>
            <w:r>
              <w:rPr>
                <w:rFonts w:hint="eastAsia"/>
                <w:lang w:val="en-US" w:eastAsia="zh-CN"/>
              </w:rPr>
              <w:t>0.118217</w:t>
            </w:r>
          </w:p>
        </w:tc>
        <w:tc>
          <w:tcPr>
            <w:tcW w:w="1216" w:type="dxa"/>
            <w:shd w:val="clear" w:color="auto" w:fill="auto"/>
            <w:noWrap/>
            <w:vAlign w:val="center"/>
          </w:tcPr>
          <w:p w14:paraId="1D2CD007">
            <w:pPr>
              <w:pStyle w:val="45"/>
              <w:bidi w:val="0"/>
            </w:pPr>
            <w:r>
              <w:rPr>
                <w:rFonts w:hint="eastAsia"/>
                <w:lang w:val="en-US" w:eastAsia="zh-CN"/>
              </w:rPr>
              <w:t xml:space="preserve">59.11 </w:t>
            </w:r>
          </w:p>
        </w:tc>
        <w:tc>
          <w:tcPr>
            <w:tcW w:w="883" w:type="dxa"/>
            <w:shd w:val="clear" w:color="auto" w:fill="auto"/>
            <w:noWrap/>
            <w:vAlign w:val="center"/>
          </w:tcPr>
          <w:p w14:paraId="28DE6623">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6F448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80" w:type="dxa"/>
            <w:vMerge w:val="continue"/>
            <w:shd w:val="clear" w:color="auto" w:fill="auto"/>
            <w:vAlign w:val="center"/>
          </w:tcPr>
          <w:p w14:paraId="00DC9C9C">
            <w:pPr>
              <w:widowControl/>
              <w:spacing w:line="240" w:lineRule="auto"/>
              <w:ind w:firstLine="0" w:firstLineChars="0"/>
              <w:jc w:val="center"/>
              <w:rPr>
                <w:rFonts w:cs="宋体"/>
                <w:color w:val="000000"/>
                <w:sz w:val="21"/>
                <w:szCs w:val="22"/>
              </w:rPr>
            </w:pPr>
          </w:p>
        </w:tc>
        <w:tc>
          <w:tcPr>
            <w:tcW w:w="2037" w:type="dxa"/>
            <w:shd w:val="clear" w:color="auto" w:fill="auto"/>
            <w:vAlign w:val="center"/>
          </w:tcPr>
          <w:p w14:paraId="06B88067">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友爱村</w:t>
            </w:r>
          </w:p>
        </w:tc>
        <w:tc>
          <w:tcPr>
            <w:tcW w:w="1246" w:type="dxa"/>
            <w:shd w:val="clear" w:color="auto" w:fill="auto"/>
            <w:vAlign w:val="center"/>
          </w:tcPr>
          <w:p w14:paraId="5D37099F">
            <w:pPr>
              <w:pStyle w:val="45"/>
              <w:bidi w:val="0"/>
            </w:pPr>
            <w:r>
              <w:rPr>
                <w:rFonts w:hint="eastAsia"/>
                <w:lang w:val="en-US" w:eastAsia="zh-CN"/>
              </w:rPr>
              <w:t>0.2</w:t>
            </w:r>
          </w:p>
        </w:tc>
        <w:tc>
          <w:tcPr>
            <w:tcW w:w="3425" w:type="dxa"/>
            <w:shd w:val="clear" w:color="auto" w:fill="auto"/>
            <w:noWrap/>
            <w:vAlign w:val="center"/>
          </w:tcPr>
          <w:p w14:paraId="7685302C">
            <w:pPr>
              <w:pStyle w:val="45"/>
              <w:bidi w:val="0"/>
            </w:pPr>
            <w:r>
              <w:rPr>
                <w:rFonts w:hint="eastAsia"/>
                <w:lang w:val="en-US" w:eastAsia="zh-CN"/>
              </w:rPr>
              <w:t>0.000736</w:t>
            </w:r>
          </w:p>
        </w:tc>
        <w:tc>
          <w:tcPr>
            <w:tcW w:w="1710" w:type="dxa"/>
            <w:shd w:val="clear" w:color="auto" w:fill="auto"/>
            <w:vAlign w:val="center"/>
          </w:tcPr>
          <w:p w14:paraId="25A422E8">
            <w:pPr>
              <w:pStyle w:val="45"/>
              <w:bidi w:val="0"/>
              <w:ind w:firstLine="0" w:firstLineChars="0"/>
              <w:rPr>
                <w:rFonts w:cs="Times New Roman"/>
                <w:color w:val="000000"/>
                <w:sz w:val="21"/>
                <w:szCs w:val="21"/>
              </w:rPr>
            </w:pPr>
            <w:r>
              <w:rPr>
                <w:rFonts w:hint="eastAsia"/>
                <w:lang w:val="en-US" w:eastAsia="zh-CN"/>
              </w:rPr>
              <w:t>0.117</w:t>
            </w:r>
          </w:p>
        </w:tc>
        <w:tc>
          <w:tcPr>
            <w:tcW w:w="2445" w:type="dxa"/>
            <w:shd w:val="clear" w:color="auto" w:fill="auto"/>
            <w:noWrap/>
            <w:vAlign w:val="center"/>
          </w:tcPr>
          <w:p w14:paraId="4DBDFBFC">
            <w:pPr>
              <w:pStyle w:val="45"/>
              <w:bidi w:val="0"/>
            </w:pPr>
            <w:r>
              <w:rPr>
                <w:rFonts w:hint="eastAsia"/>
                <w:lang w:val="en-US" w:eastAsia="zh-CN"/>
              </w:rPr>
              <w:t>0.117736</w:t>
            </w:r>
          </w:p>
        </w:tc>
        <w:tc>
          <w:tcPr>
            <w:tcW w:w="1216" w:type="dxa"/>
            <w:shd w:val="clear" w:color="auto" w:fill="auto"/>
            <w:noWrap/>
            <w:vAlign w:val="center"/>
          </w:tcPr>
          <w:p w14:paraId="05AF9900">
            <w:pPr>
              <w:pStyle w:val="45"/>
              <w:bidi w:val="0"/>
            </w:pPr>
            <w:r>
              <w:rPr>
                <w:rFonts w:hint="eastAsia"/>
                <w:lang w:val="en-US" w:eastAsia="zh-CN"/>
              </w:rPr>
              <w:t xml:space="preserve">58.87 </w:t>
            </w:r>
          </w:p>
        </w:tc>
        <w:tc>
          <w:tcPr>
            <w:tcW w:w="883" w:type="dxa"/>
            <w:shd w:val="clear" w:color="auto" w:fill="auto"/>
            <w:noWrap/>
            <w:vAlign w:val="center"/>
          </w:tcPr>
          <w:p w14:paraId="01274689">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39D44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80" w:type="dxa"/>
            <w:vMerge w:val="continue"/>
            <w:shd w:val="clear" w:color="auto" w:fill="auto"/>
            <w:vAlign w:val="center"/>
          </w:tcPr>
          <w:p w14:paraId="645C07E6">
            <w:pPr>
              <w:widowControl/>
              <w:spacing w:line="240" w:lineRule="auto"/>
              <w:ind w:firstLine="0" w:firstLineChars="0"/>
              <w:jc w:val="center"/>
              <w:rPr>
                <w:rFonts w:cs="宋体"/>
                <w:color w:val="000000"/>
                <w:sz w:val="21"/>
                <w:szCs w:val="22"/>
              </w:rPr>
            </w:pPr>
          </w:p>
        </w:tc>
        <w:tc>
          <w:tcPr>
            <w:tcW w:w="2037" w:type="dxa"/>
            <w:shd w:val="clear" w:color="auto" w:fill="auto"/>
            <w:vAlign w:val="center"/>
          </w:tcPr>
          <w:p w14:paraId="0E6C5FA3">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江霞村</w:t>
            </w:r>
          </w:p>
        </w:tc>
        <w:tc>
          <w:tcPr>
            <w:tcW w:w="1246" w:type="dxa"/>
            <w:shd w:val="clear" w:color="auto" w:fill="auto"/>
            <w:vAlign w:val="center"/>
          </w:tcPr>
          <w:p w14:paraId="5C0E67D5">
            <w:pPr>
              <w:pStyle w:val="45"/>
              <w:bidi w:val="0"/>
            </w:pPr>
            <w:r>
              <w:rPr>
                <w:rFonts w:hint="eastAsia"/>
                <w:lang w:val="en-US" w:eastAsia="zh-CN"/>
              </w:rPr>
              <w:t>0.2</w:t>
            </w:r>
          </w:p>
        </w:tc>
        <w:tc>
          <w:tcPr>
            <w:tcW w:w="3425" w:type="dxa"/>
            <w:shd w:val="clear" w:color="auto" w:fill="auto"/>
            <w:noWrap/>
            <w:vAlign w:val="center"/>
          </w:tcPr>
          <w:p w14:paraId="6239A5FB">
            <w:pPr>
              <w:pStyle w:val="45"/>
              <w:bidi w:val="0"/>
            </w:pPr>
            <w:r>
              <w:rPr>
                <w:rFonts w:hint="eastAsia"/>
                <w:lang w:val="en-US" w:eastAsia="zh-CN"/>
              </w:rPr>
              <w:t>0.000831</w:t>
            </w:r>
          </w:p>
        </w:tc>
        <w:tc>
          <w:tcPr>
            <w:tcW w:w="1710" w:type="dxa"/>
            <w:shd w:val="clear" w:color="auto" w:fill="auto"/>
            <w:vAlign w:val="center"/>
          </w:tcPr>
          <w:p w14:paraId="62D729EC">
            <w:pPr>
              <w:pStyle w:val="45"/>
              <w:bidi w:val="0"/>
              <w:ind w:firstLine="0" w:firstLineChars="0"/>
              <w:rPr>
                <w:rFonts w:cs="Times New Roman"/>
                <w:color w:val="000000"/>
                <w:sz w:val="21"/>
                <w:szCs w:val="21"/>
              </w:rPr>
            </w:pPr>
            <w:r>
              <w:rPr>
                <w:rFonts w:hint="eastAsia"/>
                <w:lang w:val="en-US" w:eastAsia="zh-CN"/>
              </w:rPr>
              <w:t>0.117</w:t>
            </w:r>
          </w:p>
        </w:tc>
        <w:tc>
          <w:tcPr>
            <w:tcW w:w="2445" w:type="dxa"/>
            <w:shd w:val="clear" w:color="auto" w:fill="auto"/>
            <w:noWrap/>
            <w:vAlign w:val="center"/>
          </w:tcPr>
          <w:p w14:paraId="28CDC5E8">
            <w:pPr>
              <w:pStyle w:val="45"/>
              <w:bidi w:val="0"/>
            </w:pPr>
            <w:r>
              <w:rPr>
                <w:rFonts w:hint="eastAsia"/>
                <w:lang w:val="en-US" w:eastAsia="zh-CN"/>
              </w:rPr>
              <w:t>0.117831</w:t>
            </w:r>
          </w:p>
        </w:tc>
        <w:tc>
          <w:tcPr>
            <w:tcW w:w="1216" w:type="dxa"/>
            <w:shd w:val="clear" w:color="auto" w:fill="auto"/>
            <w:noWrap/>
            <w:vAlign w:val="center"/>
          </w:tcPr>
          <w:p w14:paraId="6D403C03">
            <w:pPr>
              <w:pStyle w:val="45"/>
              <w:bidi w:val="0"/>
            </w:pPr>
            <w:r>
              <w:rPr>
                <w:rFonts w:hint="eastAsia"/>
                <w:lang w:val="en-US" w:eastAsia="zh-CN"/>
              </w:rPr>
              <w:t xml:space="preserve">58.92 </w:t>
            </w:r>
          </w:p>
        </w:tc>
        <w:tc>
          <w:tcPr>
            <w:tcW w:w="883" w:type="dxa"/>
            <w:shd w:val="clear" w:color="auto" w:fill="auto"/>
            <w:noWrap/>
            <w:vAlign w:val="center"/>
          </w:tcPr>
          <w:p w14:paraId="71F8C4B8">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0F958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80" w:type="dxa"/>
            <w:vMerge w:val="continue"/>
            <w:shd w:val="clear" w:color="auto" w:fill="auto"/>
            <w:vAlign w:val="center"/>
          </w:tcPr>
          <w:p w14:paraId="4B757C9F">
            <w:pPr>
              <w:widowControl/>
              <w:spacing w:line="240" w:lineRule="auto"/>
              <w:ind w:firstLine="0" w:firstLineChars="0"/>
              <w:jc w:val="center"/>
              <w:rPr>
                <w:rFonts w:cs="宋体"/>
                <w:color w:val="000000"/>
                <w:sz w:val="21"/>
                <w:szCs w:val="22"/>
              </w:rPr>
            </w:pPr>
          </w:p>
        </w:tc>
        <w:tc>
          <w:tcPr>
            <w:tcW w:w="2037" w:type="dxa"/>
            <w:shd w:val="clear" w:color="auto" w:fill="auto"/>
            <w:vAlign w:val="center"/>
          </w:tcPr>
          <w:p w14:paraId="3EC35ECE">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金兰村</w:t>
            </w:r>
          </w:p>
        </w:tc>
        <w:tc>
          <w:tcPr>
            <w:tcW w:w="1246" w:type="dxa"/>
            <w:shd w:val="clear" w:color="auto" w:fill="auto"/>
            <w:vAlign w:val="center"/>
          </w:tcPr>
          <w:p w14:paraId="63663F87">
            <w:pPr>
              <w:pStyle w:val="45"/>
              <w:bidi w:val="0"/>
            </w:pPr>
            <w:r>
              <w:rPr>
                <w:rFonts w:hint="eastAsia"/>
                <w:lang w:val="en-US" w:eastAsia="zh-CN"/>
              </w:rPr>
              <w:t>0.2</w:t>
            </w:r>
          </w:p>
        </w:tc>
        <w:tc>
          <w:tcPr>
            <w:tcW w:w="3425" w:type="dxa"/>
            <w:shd w:val="clear" w:color="auto" w:fill="auto"/>
            <w:noWrap/>
            <w:vAlign w:val="center"/>
          </w:tcPr>
          <w:p w14:paraId="66384C1C">
            <w:pPr>
              <w:pStyle w:val="45"/>
              <w:bidi w:val="0"/>
            </w:pPr>
            <w:r>
              <w:rPr>
                <w:rFonts w:hint="eastAsia"/>
                <w:lang w:val="en-US" w:eastAsia="zh-CN"/>
              </w:rPr>
              <w:t>0.000511</w:t>
            </w:r>
          </w:p>
        </w:tc>
        <w:tc>
          <w:tcPr>
            <w:tcW w:w="1710" w:type="dxa"/>
            <w:shd w:val="clear" w:color="auto" w:fill="auto"/>
            <w:vAlign w:val="center"/>
          </w:tcPr>
          <w:p w14:paraId="36DF919B">
            <w:pPr>
              <w:pStyle w:val="45"/>
              <w:bidi w:val="0"/>
              <w:ind w:firstLine="0" w:firstLineChars="0"/>
              <w:rPr>
                <w:rFonts w:cs="Times New Roman"/>
                <w:color w:val="000000"/>
                <w:sz w:val="21"/>
                <w:szCs w:val="21"/>
              </w:rPr>
            </w:pPr>
            <w:r>
              <w:rPr>
                <w:rFonts w:hint="eastAsia"/>
                <w:lang w:val="en-US" w:eastAsia="zh-CN"/>
              </w:rPr>
              <w:t>0.117</w:t>
            </w:r>
          </w:p>
        </w:tc>
        <w:tc>
          <w:tcPr>
            <w:tcW w:w="2445" w:type="dxa"/>
            <w:shd w:val="clear" w:color="auto" w:fill="auto"/>
            <w:noWrap/>
            <w:vAlign w:val="center"/>
          </w:tcPr>
          <w:p w14:paraId="198D1E41">
            <w:pPr>
              <w:pStyle w:val="45"/>
              <w:bidi w:val="0"/>
            </w:pPr>
            <w:r>
              <w:rPr>
                <w:rFonts w:hint="eastAsia"/>
                <w:lang w:val="en-US" w:eastAsia="zh-CN"/>
              </w:rPr>
              <w:t>0.117511</w:t>
            </w:r>
          </w:p>
        </w:tc>
        <w:tc>
          <w:tcPr>
            <w:tcW w:w="1216" w:type="dxa"/>
            <w:shd w:val="clear" w:color="auto" w:fill="auto"/>
            <w:noWrap/>
            <w:vAlign w:val="center"/>
          </w:tcPr>
          <w:p w14:paraId="114996CA">
            <w:pPr>
              <w:pStyle w:val="45"/>
              <w:bidi w:val="0"/>
            </w:pPr>
            <w:r>
              <w:rPr>
                <w:rFonts w:hint="eastAsia"/>
                <w:lang w:val="en-US" w:eastAsia="zh-CN"/>
              </w:rPr>
              <w:t xml:space="preserve">58.76 </w:t>
            </w:r>
          </w:p>
        </w:tc>
        <w:tc>
          <w:tcPr>
            <w:tcW w:w="883" w:type="dxa"/>
            <w:shd w:val="clear" w:color="auto" w:fill="auto"/>
            <w:noWrap/>
            <w:vAlign w:val="center"/>
          </w:tcPr>
          <w:p w14:paraId="642E20D7">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48248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80" w:type="dxa"/>
            <w:vMerge w:val="continue"/>
            <w:shd w:val="clear" w:color="auto" w:fill="auto"/>
            <w:vAlign w:val="center"/>
          </w:tcPr>
          <w:p w14:paraId="3794917F">
            <w:pPr>
              <w:widowControl/>
              <w:spacing w:line="240" w:lineRule="auto"/>
              <w:ind w:firstLine="0" w:firstLineChars="0"/>
              <w:jc w:val="center"/>
              <w:rPr>
                <w:rFonts w:cs="宋体"/>
                <w:color w:val="000000"/>
                <w:sz w:val="21"/>
                <w:szCs w:val="22"/>
              </w:rPr>
            </w:pPr>
          </w:p>
        </w:tc>
        <w:tc>
          <w:tcPr>
            <w:tcW w:w="2037" w:type="dxa"/>
            <w:shd w:val="clear" w:color="auto" w:fill="auto"/>
            <w:vAlign w:val="center"/>
          </w:tcPr>
          <w:p w14:paraId="2551A752">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大昌村</w:t>
            </w:r>
          </w:p>
        </w:tc>
        <w:tc>
          <w:tcPr>
            <w:tcW w:w="1246" w:type="dxa"/>
            <w:shd w:val="clear" w:color="auto" w:fill="auto"/>
            <w:vAlign w:val="center"/>
          </w:tcPr>
          <w:p w14:paraId="47D07A5B">
            <w:pPr>
              <w:pStyle w:val="45"/>
              <w:bidi w:val="0"/>
            </w:pPr>
            <w:r>
              <w:rPr>
                <w:rFonts w:hint="eastAsia"/>
                <w:lang w:val="en-US" w:eastAsia="zh-CN"/>
              </w:rPr>
              <w:t>0.2</w:t>
            </w:r>
          </w:p>
        </w:tc>
        <w:tc>
          <w:tcPr>
            <w:tcW w:w="3425" w:type="dxa"/>
            <w:shd w:val="clear" w:color="auto" w:fill="auto"/>
            <w:noWrap/>
            <w:vAlign w:val="center"/>
          </w:tcPr>
          <w:p w14:paraId="62F70EA2">
            <w:pPr>
              <w:pStyle w:val="45"/>
              <w:bidi w:val="0"/>
            </w:pPr>
            <w:r>
              <w:rPr>
                <w:rFonts w:hint="eastAsia"/>
                <w:lang w:val="en-US" w:eastAsia="zh-CN"/>
              </w:rPr>
              <w:t>0.000497</w:t>
            </w:r>
          </w:p>
        </w:tc>
        <w:tc>
          <w:tcPr>
            <w:tcW w:w="1710" w:type="dxa"/>
            <w:shd w:val="clear" w:color="auto" w:fill="auto"/>
            <w:vAlign w:val="center"/>
          </w:tcPr>
          <w:p w14:paraId="0B169E81">
            <w:pPr>
              <w:pStyle w:val="45"/>
              <w:bidi w:val="0"/>
              <w:ind w:firstLine="0" w:firstLineChars="0"/>
              <w:rPr>
                <w:rFonts w:cs="Times New Roman"/>
                <w:color w:val="000000"/>
                <w:sz w:val="21"/>
                <w:szCs w:val="21"/>
              </w:rPr>
            </w:pPr>
            <w:r>
              <w:rPr>
                <w:rFonts w:hint="eastAsia"/>
                <w:lang w:val="en-US" w:eastAsia="zh-CN"/>
              </w:rPr>
              <w:t>0.117</w:t>
            </w:r>
          </w:p>
        </w:tc>
        <w:tc>
          <w:tcPr>
            <w:tcW w:w="2445" w:type="dxa"/>
            <w:shd w:val="clear" w:color="auto" w:fill="auto"/>
            <w:noWrap/>
            <w:vAlign w:val="center"/>
          </w:tcPr>
          <w:p w14:paraId="5F57D0BC">
            <w:pPr>
              <w:pStyle w:val="45"/>
              <w:bidi w:val="0"/>
            </w:pPr>
            <w:r>
              <w:rPr>
                <w:rFonts w:hint="eastAsia"/>
                <w:lang w:val="en-US" w:eastAsia="zh-CN"/>
              </w:rPr>
              <w:t>0.117497</w:t>
            </w:r>
          </w:p>
        </w:tc>
        <w:tc>
          <w:tcPr>
            <w:tcW w:w="1216" w:type="dxa"/>
            <w:shd w:val="clear" w:color="auto" w:fill="auto"/>
            <w:noWrap/>
            <w:vAlign w:val="center"/>
          </w:tcPr>
          <w:p w14:paraId="3A27A106">
            <w:pPr>
              <w:pStyle w:val="45"/>
              <w:bidi w:val="0"/>
            </w:pPr>
            <w:r>
              <w:rPr>
                <w:rFonts w:hint="eastAsia"/>
                <w:lang w:val="en-US" w:eastAsia="zh-CN"/>
              </w:rPr>
              <w:t xml:space="preserve">58.75 </w:t>
            </w:r>
          </w:p>
        </w:tc>
        <w:tc>
          <w:tcPr>
            <w:tcW w:w="883" w:type="dxa"/>
            <w:shd w:val="clear" w:color="auto" w:fill="auto"/>
            <w:noWrap/>
            <w:vAlign w:val="center"/>
          </w:tcPr>
          <w:p w14:paraId="1F26F8C5">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0EC5F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80" w:type="dxa"/>
            <w:vMerge w:val="continue"/>
            <w:shd w:val="clear" w:color="auto" w:fill="auto"/>
            <w:vAlign w:val="center"/>
          </w:tcPr>
          <w:p w14:paraId="4492A103">
            <w:pPr>
              <w:widowControl/>
              <w:spacing w:line="240" w:lineRule="auto"/>
              <w:ind w:firstLine="0" w:firstLineChars="0"/>
              <w:jc w:val="center"/>
              <w:rPr>
                <w:rFonts w:cs="宋体"/>
                <w:color w:val="000000"/>
                <w:sz w:val="21"/>
                <w:szCs w:val="22"/>
              </w:rPr>
            </w:pPr>
          </w:p>
        </w:tc>
        <w:tc>
          <w:tcPr>
            <w:tcW w:w="2037" w:type="dxa"/>
            <w:shd w:val="clear" w:color="auto" w:fill="auto"/>
            <w:vAlign w:val="center"/>
          </w:tcPr>
          <w:p w14:paraId="68DDFEF2">
            <w:pPr>
              <w:widowControl/>
              <w:spacing w:line="240" w:lineRule="auto"/>
              <w:ind w:firstLine="0" w:firstLineChars="0"/>
              <w:jc w:val="center"/>
              <w:textAlignment w:val="center"/>
              <w:rPr>
                <w:rFonts w:hint="eastAsia" w:cs="宋体"/>
                <w:color w:val="000000"/>
                <w:kern w:val="0"/>
                <w:sz w:val="21"/>
                <w:szCs w:val="21"/>
              </w:rPr>
            </w:pPr>
            <w:r>
              <w:rPr>
                <w:rFonts w:hint="eastAsia" w:cs="宋体"/>
                <w:color w:val="000000"/>
                <w:kern w:val="0"/>
                <w:sz w:val="21"/>
                <w:szCs w:val="21"/>
              </w:rPr>
              <w:t>区域最大落地浓度坐标（0,</w:t>
            </w:r>
            <w:r>
              <w:rPr>
                <w:rFonts w:hint="eastAsia" w:cs="宋体"/>
                <w:color w:val="000000"/>
                <w:kern w:val="0"/>
                <w:sz w:val="21"/>
                <w:szCs w:val="21"/>
                <w:lang w:val="en-US" w:eastAsia="zh-CN"/>
              </w:rPr>
              <w:t>-</w:t>
            </w:r>
            <w:r>
              <w:rPr>
                <w:rFonts w:hint="eastAsia" w:cs="宋体"/>
                <w:color w:val="000000"/>
                <w:kern w:val="0"/>
                <w:sz w:val="21"/>
                <w:szCs w:val="21"/>
              </w:rPr>
              <w:t>50）厂界内</w:t>
            </w:r>
          </w:p>
        </w:tc>
        <w:tc>
          <w:tcPr>
            <w:tcW w:w="1246" w:type="dxa"/>
            <w:shd w:val="clear" w:color="auto" w:fill="auto"/>
            <w:vAlign w:val="center"/>
          </w:tcPr>
          <w:p w14:paraId="481A3883">
            <w:pPr>
              <w:pStyle w:val="45"/>
              <w:bidi w:val="0"/>
              <w:rPr>
                <w:rFonts w:hint="eastAsia"/>
              </w:rPr>
            </w:pPr>
            <w:r>
              <w:rPr>
                <w:rFonts w:hint="eastAsia"/>
                <w:lang w:val="en-US" w:eastAsia="zh-CN"/>
              </w:rPr>
              <w:t>0.2</w:t>
            </w:r>
          </w:p>
        </w:tc>
        <w:tc>
          <w:tcPr>
            <w:tcW w:w="3425" w:type="dxa"/>
            <w:shd w:val="clear" w:color="auto" w:fill="auto"/>
            <w:noWrap/>
            <w:vAlign w:val="center"/>
          </w:tcPr>
          <w:p w14:paraId="7DC73123">
            <w:pPr>
              <w:pStyle w:val="45"/>
              <w:bidi w:val="0"/>
              <w:rPr>
                <w:rFonts w:hint="eastAsia"/>
              </w:rPr>
            </w:pPr>
            <w:r>
              <w:rPr>
                <w:rFonts w:hint="eastAsia"/>
                <w:lang w:val="en-US" w:eastAsia="zh-CN"/>
              </w:rPr>
              <w:t>0.016791</w:t>
            </w:r>
          </w:p>
        </w:tc>
        <w:tc>
          <w:tcPr>
            <w:tcW w:w="1710" w:type="dxa"/>
            <w:shd w:val="clear" w:color="auto" w:fill="auto"/>
            <w:vAlign w:val="center"/>
          </w:tcPr>
          <w:p w14:paraId="72886B1A">
            <w:pPr>
              <w:pStyle w:val="45"/>
              <w:bidi w:val="0"/>
              <w:ind w:firstLine="0" w:firstLineChars="0"/>
              <w:rPr>
                <w:rFonts w:cs="Times New Roman"/>
                <w:color w:val="000000"/>
                <w:kern w:val="0"/>
                <w:sz w:val="21"/>
                <w:szCs w:val="21"/>
              </w:rPr>
            </w:pPr>
            <w:r>
              <w:rPr>
                <w:rFonts w:hint="eastAsia"/>
                <w:lang w:val="en-US" w:eastAsia="zh-CN"/>
              </w:rPr>
              <w:t>0.117</w:t>
            </w:r>
          </w:p>
        </w:tc>
        <w:tc>
          <w:tcPr>
            <w:tcW w:w="2445" w:type="dxa"/>
            <w:shd w:val="clear" w:color="auto" w:fill="auto"/>
            <w:noWrap/>
            <w:vAlign w:val="center"/>
          </w:tcPr>
          <w:p w14:paraId="7B73EBCA">
            <w:pPr>
              <w:pStyle w:val="45"/>
              <w:bidi w:val="0"/>
              <w:rPr>
                <w:rFonts w:hint="eastAsia"/>
              </w:rPr>
            </w:pPr>
            <w:r>
              <w:rPr>
                <w:rFonts w:hint="eastAsia"/>
                <w:lang w:val="en-US" w:eastAsia="zh-CN"/>
              </w:rPr>
              <w:t>0.133791</w:t>
            </w:r>
          </w:p>
        </w:tc>
        <w:tc>
          <w:tcPr>
            <w:tcW w:w="1216" w:type="dxa"/>
            <w:shd w:val="clear" w:color="auto" w:fill="auto"/>
            <w:noWrap/>
            <w:vAlign w:val="center"/>
          </w:tcPr>
          <w:p w14:paraId="2CB20023">
            <w:pPr>
              <w:pStyle w:val="45"/>
              <w:bidi w:val="0"/>
              <w:rPr>
                <w:rFonts w:hint="eastAsia"/>
              </w:rPr>
            </w:pPr>
            <w:r>
              <w:rPr>
                <w:rFonts w:hint="eastAsia"/>
                <w:lang w:val="en-US" w:eastAsia="zh-CN"/>
              </w:rPr>
              <w:t xml:space="preserve">66.90 </w:t>
            </w:r>
          </w:p>
        </w:tc>
        <w:tc>
          <w:tcPr>
            <w:tcW w:w="883" w:type="dxa"/>
            <w:shd w:val="clear" w:color="auto" w:fill="auto"/>
            <w:noWrap/>
            <w:vAlign w:val="center"/>
          </w:tcPr>
          <w:p w14:paraId="526DD39D">
            <w:pPr>
              <w:widowControl/>
              <w:spacing w:line="240" w:lineRule="auto"/>
              <w:ind w:firstLine="0" w:firstLineChars="0"/>
              <w:jc w:val="center"/>
              <w:textAlignment w:val="center"/>
              <w:rPr>
                <w:rFonts w:hint="eastAsia" w:cs="宋体"/>
                <w:color w:val="000000"/>
                <w:kern w:val="0"/>
                <w:sz w:val="21"/>
                <w:szCs w:val="22"/>
              </w:rPr>
            </w:pPr>
            <w:r>
              <w:rPr>
                <w:rFonts w:hint="eastAsia" w:cs="宋体"/>
                <w:color w:val="000000"/>
                <w:kern w:val="0"/>
                <w:sz w:val="21"/>
                <w:szCs w:val="22"/>
              </w:rPr>
              <w:t>达标</w:t>
            </w:r>
          </w:p>
        </w:tc>
      </w:tr>
    </w:tbl>
    <w:p w14:paraId="507BB5CC">
      <w:pPr>
        <w:ind w:firstLine="0" w:firstLineChars="0"/>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376802CC">
      <w:pPr>
        <w:ind w:firstLine="480"/>
      </w:pPr>
    </w:p>
    <w:p w14:paraId="040C6DD2">
      <w:pPr>
        <w:ind w:firstLine="480"/>
      </w:pPr>
      <w:r>
        <w:rPr>
          <w:rFonts w:hint="eastAsia"/>
        </w:rPr>
        <w:t>（</w:t>
      </w:r>
      <w:r>
        <w:rPr>
          <w:rFonts w:hint="eastAsia"/>
          <w:lang w:val="en-US" w:eastAsia="zh-CN"/>
        </w:rPr>
        <w:t>2</w:t>
      </w:r>
      <w:r>
        <w:rPr>
          <w:rFonts w:hint="eastAsia"/>
        </w:rPr>
        <w:t>）Cl</w:t>
      </w:r>
      <w:r>
        <w:rPr>
          <w:rFonts w:hint="eastAsia"/>
          <w:vertAlign w:val="subscript"/>
        </w:rPr>
        <w:t>2</w:t>
      </w:r>
      <w:r>
        <w:rPr>
          <w:rFonts w:hint="eastAsia"/>
        </w:rPr>
        <w:t>：评价范围内Cl</w:t>
      </w:r>
      <w:r>
        <w:rPr>
          <w:rFonts w:hint="eastAsia"/>
          <w:vertAlign w:val="subscript"/>
        </w:rPr>
        <w:t>2</w:t>
      </w:r>
      <w:r>
        <w:rPr>
          <w:rFonts w:hint="eastAsia"/>
        </w:rPr>
        <w:t>对环境保护目标预测结果如下表所示。可以看出，本项目Cl</w:t>
      </w:r>
      <w:r>
        <w:rPr>
          <w:rFonts w:hint="eastAsia"/>
          <w:vertAlign w:val="subscript"/>
        </w:rPr>
        <w:t>2</w:t>
      </w:r>
      <w:r>
        <w:rPr>
          <w:rFonts w:hint="eastAsia"/>
        </w:rPr>
        <w:t>小时浓度</w:t>
      </w:r>
      <w:r>
        <w:rPr>
          <w:rFonts w:hint="eastAsia"/>
          <w:lang w:eastAsia="zh-CN"/>
        </w:rPr>
        <w:t>、</w:t>
      </w:r>
      <w:r>
        <w:rPr>
          <w:rFonts w:hint="eastAsia"/>
          <w:lang w:val="en-US" w:eastAsia="zh-CN"/>
        </w:rPr>
        <w:t>日均浓度</w:t>
      </w:r>
      <w:r>
        <w:rPr>
          <w:rFonts w:hint="eastAsia"/>
        </w:rPr>
        <w:t>在叠加在建、拟建源、削减源及区域背景浓度后预测值对环境保护目标的影响满足《环境影响评价技术导则 大气环境》（HJ2.2-2018）附录D的要求。</w:t>
      </w:r>
    </w:p>
    <w:p w14:paraId="45C30FD4">
      <w:pPr>
        <w:pStyle w:val="43"/>
        <w:numPr>
          <w:ilvl w:val="5"/>
          <w:numId w:val="1"/>
        </w:numPr>
        <w:rPr>
          <w:rFonts w:hint="default"/>
        </w:rPr>
      </w:pPr>
      <w:r>
        <w:rPr>
          <w:rFonts w:hint="default"/>
        </w:rPr>
        <w:t>Cl</w:t>
      </w:r>
      <w:r>
        <w:rPr>
          <w:rFonts w:hint="default"/>
          <w:vertAlign w:val="subscript"/>
        </w:rPr>
        <w:t>2</w:t>
      </w:r>
      <w:r>
        <w:rPr>
          <w:rFonts w:hint="default"/>
        </w:rPr>
        <w:t>在环境保护目标及网格点处小时平均质量浓度占标率</w:t>
      </w:r>
    </w:p>
    <w:tbl>
      <w:tblPr>
        <w:tblStyle w:val="3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7"/>
        <w:gridCol w:w="2303"/>
        <w:gridCol w:w="1130"/>
        <w:gridCol w:w="2298"/>
        <w:gridCol w:w="1904"/>
        <w:gridCol w:w="1904"/>
        <w:gridCol w:w="2048"/>
        <w:gridCol w:w="1499"/>
      </w:tblGrid>
      <w:tr w14:paraId="32974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trPr>
        <w:tc>
          <w:tcPr>
            <w:tcW w:w="380" w:type="pct"/>
            <w:vMerge w:val="restart"/>
            <w:shd w:val="clear" w:color="auto" w:fill="auto"/>
            <w:vAlign w:val="center"/>
          </w:tcPr>
          <w:p w14:paraId="708656F9">
            <w:pPr>
              <w:pStyle w:val="45"/>
              <w:rPr>
                <w:rFonts w:hint="default"/>
                <w:b/>
                <w:bCs/>
              </w:rPr>
            </w:pPr>
            <w:r>
              <w:rPr>
                <w:b/>
                <w:bCs/>
              </w:rPr>
              <w:t>评价因子</w:t>
            </w:r>
          </w:p>
        </w:tc>
        <w:tc>
          <w:tcPr>
            <w:tcW w:w="813" w:type="pct"/>
            <w:vMerge w:val="restart"/>
            <w:shd w:val="clear" w:color="auto" w:fill="auto"/>
            <w:vAlign w:val="center"/>
          </w:tcPr>
          <w:p w14:paraId="5EB6E7CA">
            <w:pPr>
              <w:pStyle w:val="45"/>
              <w:rPr>
                <w:rFonts w:hint="default"/>
                <w:b/>
                <w:bCs/>
              </w:rPr>
            </w:pPr>
            <w:r>
              <w:rPr>
                <w:b/>
                <w:bCs/>
              </w:rPr>
              <w:t>环境空气保护目标</w:t>
            </w:r>
          </w:p>
        </w:tc>
        <w:tc>
          <w:tcPr>
            <w:tcW w:w="399" w:type="pct"/>
            <w:vMerge w:val="restart"/>
            <w:shd w:val="clear" w:color="auto" w:fill="auto"/>
            <w:vAlign w:val="center"/>
          </w:tcPr>
          <w:p w14:paraId="3E958DAA">
            <w:pPr>
              <w:pStyle w:val="45"/>
              <w:rPr>
                <w:rFonts w:hint="default"/>
                <w:b/>
                <w:bCs/>
              </w:rPr>
            </w:pPr>
            <w:r>
              <w:rPr>
                <w:b/>
                <w:bCs/>
              </w:rPr>
              <w:t>标准值</w:t>
            </w:r>
            <w:r>
              <w:rPr>
                <w:rFonts w:cs="宋体"/>
                <w:b/>
                <w:bCs/>
                <w:color w:val="000000"/>
              </w:rPr>
              <w:t>（</w:t>
            </w:r>
            <w:r>
              <w:rPr>
                <w:rFonts w:hint="default"/>
                <w:b/>
                <w:bCs/>
                <w:color w:val="000000"/>
              </w:rPr>
              <w:t>mg/m</w:t>
            </w:r>
            <w:r>
              <w:rPr>
                <w:rFonts w:hint="default"/>
                <w:b/>
                <w:bCs/>
                <w:color w:val="000000"/>
                <w:vertAlign w:val="superscript"/>
              </w:rPr>
              <w:t>3</w:t>
            </w:r>
            <w:r>
              <w:rPr>
                <w:rFonts w:cs="宋体"/>
                <w:b/>
                <w:bCs/>
                <w:color w:val="000000"/>
              </w:rPr>
              <w:t>）</w:t>
            </w:r>
          </w:p>
        </w:tc>
        <w:tc>
          <w:tcPr>
            <w:tcW w:w="3407" w:type="pct"/>
            <w:gridSpan w:val="5"/>
            <w:shd w:val="clear" w:color="auto" w:fill="auto"/>
            <w:vAlign w:val="center"/>
          </w:tcPr>
          <w:p w14:paraId="01E45077">
            <w:pPr>
              <w:pStyle w:val="45"/>
              <w:rPr>
                <w:rFonts w:hint="default"/>
                <w:b/>
                <w:bCs/>
              </w:rPr>
            </w:pPr>
            <w:r>
              <w:rPr>
                <w:b/>
                <w:bCs/>
              </w:rPr>
              <w:t>小时平均质量浓度</w:t>
            </w:r>
          </w:p>
        </w:tc>
      </w:tr>
      <w:tr w14:paraId="34319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trPr>
        <w:tc>
          <w:tcPr>
            <w:tcW w:w="380" w:type="pct"/>
            <w:vMerge w:val="continue"/>
            <w:shd w:val="clear" w:color="auto" w:fill="auto"/>
            <w:vAlign w:val="center"/>
          </w:tcPr>
          <w:p w14:paraId="58D5E07B">
            <w:pPr>
              <w:pStyle w:val="45"/>
              <w:rPr>
                <w:rFonts w:hint="default"/>
                <w:b/>
                <w:bCs/>
              </w:rPr>
            </w:pPr>
          </w:p>
        </w:tc>
        <w:tc>
          <w:tcPr>
            <w:tcW w:w="813" w:type="pct"/>
            <w:vMerge w:val="continue"/>
            <w:shd w:val="clear" w:color="auto" w:fill="auto"/>
            <w:vAlign w:val="center"/>
          </w:tcPr>
          <w:p w14:paraId="51E0A073">
            <w:pPr>
              <w:pStyle w:val="45"/>
              <w:rPr>
                <w:rFonts w:hint="default"/>
                <w:b/>
                <w:bCs/>
              </w:rPr>
            </w:pPr>
          </w:p>
        </w:tc>
        <w:tc>
          <w:tcPr>
            <w:tcW w:w="399" w:type="pct"/>
            <w:vMerge w:val="continue"/>
            <w:shd w:val="clear" w:color="auto" w:fill="auto"/>
            <w:vAlign w:val="center"/>
          </w:tcPr>
          <w:p w14:paraId="000E7237">
            <w:pPr>
              <w:pStyle w:val="45"/>
              <w:rPr>
                <w:rFonts w:hint="default"/>
                <w:b/>
                <w:bCs/>
              </w:rPr>
            </w:pPr>
          </w:p>
        </w:tc>
        <w:tc>
          <w:tcPr>
            <w:tcW w:w="811" w:type="pct"/>
            <w:shd w:val="clear" w:color="auto" w:fill="auto"/>
            <w:vAlign w:val="center"/>
          </w:tcPr>
          <w:p w14:paraId="7B58D209">
            <w:pPr>
              <w:pStyle w:val="45"/>
              <w:rPr>
                <w:rFonts w:hint="default"/>
                <w:b/>
                <w:bCs/>
              </w:rPr>
            </w:pPr>
            <w:r>
              <w:rPr>
                <w:b/>
                <w:bCs/>
              </w:rPr>
              <w:t>叠加在建、拟建源、削减源后最大浓度值</w:t>
            </w:r>
            <w:r>
              <w:rPr>
                <w:rFonts w:cs="宋体"/>
                <w:b/>
                <w:bCs/>
                <w:color w:val="000000"/>
              </w:rPr>
              <w:t>（</w:t>
            </w:r>
            <w:r>
              <w:rPr>
                <w:rFonts w:hint="default"/>
                <w:b/>
                <w:bCs/>
                <w:color w:val="000000"/>
              </w:rPr>
              <w:t>mg/m</w:t>
            </w:r>
            <w:r>
              <w:rPr>
                <w:rFonts w:hint="default"/>
                <w:b/>
                <w:bCs/>
                <w:color w:val="000000"/>
                <w:vertAlign w:val="superscript"/>
              </w:rPr>
              <w:t>3</w:t>
            </w:r>
            <w:r>
              <w:rPr>
                <w:rFonts w:cs="宋体"/>
                <w:b/>
                <w:bCs/>
                <w:color w:val="000000"/>
              </w:rPr>
              <w:t>）</w:t>
            </w:r>
          </w:p>
        </w:tc>
        <w:tc>
          <w:tcPr>
            <w:tcW w:w="672" w:type="pct"/>
            <w:shd w:val="clear" w:color="auto" w:fill="auto"/>
            <w:vAlign w:val="center"/>
          </w:tcPr>
          <w:p w14:paraId="01519ACA">
            <w:pPr>
              <w:pStyle w:val="45"/>
              <w:rPr>
                <w:rFonts w:hint="default"/>
                <w:b/>
                <w:bCs/>
              </w:rPr>
            </w:pPr>
            <w:r>
              <w:rPr>
                <w:b/>
                <w:bCs/>
              </w:rPr>
              <w:t>现状浓度</w:t>
            </w:r>
            <w:r>
              <w:rPr>
                <w:rFonts w:cs="宋体"/>
                <w:b/>
                <w:bCs/>
                <w:color w:val="000000"/>
              </w:rPr>
              <w:t>（</w:t>
            </w:r>
            <w:r>
              <w:rPr>
                <w:rFonts w:hint="default"/>
                <w:b/>
                <w:bCs/>
                <w:color w:val="000000"/>
              </w:rPr>
              <w:t>mg/m</w:t>
            </w:r>
            <w:r>
              <w:rPr>
                <w:rFonts w:hint="default"/>
                <w:b/>
                <w:bCs/>
                <w:color w:val="000000"/>
                <w:vertAlign w:val="superscript"/>
              </w:rPr>
              <w:t>3</w:t>
            </w:r>
            <w:r>
              <w:rPr>
                <w:rFonts w:cs="宋体"/>
                <w:b/>
                <w:bCs/>
                <w:color w:val="000000"/>
              </w:rPr>
              <w:t>）</w:t>
            </w:r>
          </w:p>
        </w:tc>
        <w:tc>
          <w:tcPr>
            <w:tcW w:w="672" w:type="pct"/>
            <w:shd w:val="clear" w:color="auto" w:fill="auto"/>
            <w:vAlign w:val="center"/>
          </w:tcPr>
          <w:p w14:paraId="5967F52D">
            <w:pPr>
              <w:pStyle w:val="45"/>
              <w:rPr>
                <w:rFonts w:hint="default"/>
                <w:b/>
                <w:bCs/>
              </w:rPr>
            </w:pPr>
            <w:r>
              <w:rPr>
                <w:b/>
                <w:bCs/>
              </w:rPr>
              <w:t>叠加现状浓度后的浓度</w:t>
            </w:r>
            <w:r>
              <w:rPr>
                <w:rFonts w:cs="宋体"/>
                <w:b/>
                <w:bCs/>
                <w:color w:val="000000"/>
              </w:rPr>
              <w:t>（</w:t>
            </w:r>
            <w:r>
              <w:rPr>
                <w:rFonts w:hint="default"/>
                <w:b/>
                <w:bCs/>
                <w:color w:val="000000"/>
              </w:rPr>
              <w:t>mg/m</w:t>
            </w:r>
            <w:r>
              <w:rPr>
                <w:rFonts w:hint="default"/>
                <w:b/>
                <w:bCs/>
                <w:color w:val="000000"/>
                <w:vertAlign w:val="superscript"/>
              </w:rPr>
              <w:t>3</w:t>
            </w:r>
            <w:r>
              <w:rPr>
                <w:rFonts w:cs="宋体"/>
                <w:b/>
                <w:bCs/>
                <w:color w:val="000000"/>
              </w:rPr>
              <w:t>）</w:t>
            </w:r>
          </w:p>
        </w:tc>
        <w:tc>
          <w:tcPr>
            <w:tcW w:w="723" w:type="pct"/>
            <w:shd w:val="clear" w:color="auto" w:fill="auto"/>
            <w:vAlign w:val="center"/>
          </w:tcPr>
          <w:p w14:paraId="2D53F96A">
            <w:pPr>
              <w:pStyle w:val="45"/>
              <w:rPr>
                <w:rFonts w:hint="default"/>
                <w:b/>
                <w:bCs/>
              </w:rPr>
            </w:pPr>
            <w:r>
              <w:rPr>
                <w:b/>
                <w:bCs/>
              </w:rPr>
              <w:t>占标率（</w:t>
            </w:r>
            <w:r>
              <w:rPr>
                <w:rFonts w:hint="default"/>
                <w:b/>
                <w:bCs/>
              </w:rPr>
              <w:t>%</w:t>
            </w:r>
            <w:r>
              <w:rPr>
                <w:b/>
                <w:bCs/>
              </w:rPr>
              <w:t>）</w:t>
            </w:r>
          </w:p>
        </w:tc>
        <w:tc>
          <w:tcPr>
            <w:tcW w:w="528" w:type="pct"/>
            <w:shd w:val="clear" w:color="auto" w:fill="auto"/>
            <w:vAlign w:val="center"/>
          </w:tcPr>
          <w:p w14:paraId="66832B3B">
            <w:pPr>
              <w:pStyle w:val="45"/>
              <w:rPr>
                <w:rFonts w:hint="default"/>
                <w:b/>
                <w:bCs/>
              </w:rPr>
            </w:pPr>
            <w:r>
              <w:rPr>
                <w:b/>
                <w:bCs/>
              </w:rPr>
              <w:t>达标情况</w:t>
            </w:r>
          </w:p>
        </w:tc>
      </w:tr>
      <w:tr w14:paraId="63D03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restart"/>
            <w:shd w:val="clear" w:color="auto" w:fill="auto"/>
            <w:vAlign w:val="center"/>
          </w:tcPr>
          <w:p w14:paraId="719485E9">
            <w:pPr>
              <w:pStyle w:val="45"/>
              <w:rPr>
                <w:rFonts w:hint="default"/>
              </w:rPr>
            </w:pPr>
            <w:r>
              <w:t>氯气（C</w:t>
            </w:r>
            <w:r>
              <w:rPr>
                <w:vertAlign w:val="subscript"/>
              </w:rPr>
              <w:t>l2</w:t>
            </w:r>
            <w:r>
              <w:t>）</w:t>
            </w:r>
          </w:p>
        </w:tc>
        <w:tc>
          <w:tcPr>
            <w:tcW w:w="813" w:type="pct"/>
            <w:shd w:val="clear" w:color="auto" w:fill="auto"/>
            <w:vAlign w:val="center"/>
          </w:tcPr>
          <w:p w14:paraId="3220F51F">
            <w:pPr>
              <w:pStyle w:val="45"/>
              <w:rPr>
                <w:rFonts w:hint="default"/>
              </w:rPr>
            </w:pPr>
            <w:r>
              <w:t>新安村</w:t>
            </w:r>
          </w:p>
        </w:tc>
        <w:tc>
          <w:tcPr>
            <w:tcW w:w="399" w:type="pct"/>
            <w:shd w:val="clear" w:color="auto" w:fill="auto"/>
            <w:vAlign w:val="center"/>
          </w:tcPr>
          <w:p w14:paraId="60692A1E">
            <w:pPr>
              <w:pStyle w:val="45"/>
              <w:rPr>
                <w:rFonts w:hint="default"/>
              </w:rPr>
            </w:pPr>
            <w:r>
              <w:t>0.1</w:t>
            </w:r>
          </w:p>
        </w:tc>
        <w:tc>
          <w:tcPr>
            <w:tcW w:w="811" w:type="pct"/>
            <w:shd w:val="clear" w:color="auto" w:fill="auto"/>
            <w:vAlign w:val="center"/>
          </w:tcPr>
          <w:p w14:paraId="3B99433C">
            <w:pPr>
              <w:pStyle w:val="45"/>
              <w:bidi w:val="0"/>
              <w:rPr>
                <w:rFonts w:hint="default"/>
              </w:rPr>
            </w:pPr>
            <w:r>
              <w:rPr>
                <w:rFonts w:hint="eastAsia"/>
                <w:lang w:val="en-US" w:eastAsia="zh-CN"/>
              </w:rPr>
              <w:t>0.000298</w:t>
            </w:r>
          </w:p>
        </w:tc>
        <w:tc>
          <w:tcPr>
            <w:tcW w:w="672" w:type="pct"/>
            <w:shd w:val="clear" w:color="auto" w:fill="auto"/>
            <w:noWrap/>
            <w:vAlign w:val="center"/>
          </w:tcPr>
          <w:p w14:paraId="4285249A">
            <w:pPr>
              <w:pStyle w:val="45"/>
              <w:rPr>
                <w:rFonts w:hint="default"/>
              </w:rPr>
            </w:pPr>
            <w:r>
              <w:t>0.0015</w:t>
            </w:r>
          </w:p>
        </w:tc>
        <w:tc>
          <w:tcPr>
            <w:tcW w:w="672" w:type="pct"/>
            <w:shd w:val="clear" w:color="auto" w:fill="auto"/>
            <w:noWrap/>
            <w:vAlign w:val="center"/>
          </w:tcPr>
          <w:p w14:paraId="77B4BA6F">
            <w:pPr>
              <w:pStyle w:val="45"/>
              <w:bidi w:val="0"/>
              <w:rPr>
                <w:rFonts w:hint="default"/>
              </w:rPr>
            </w:pPr>
            <w:r>
              <w:rPr>
                <w:rFonts w:hint="eastAsia"/>
                <w:lang w:val="en-US" w:eastAsia="zh-CN"/>
              </w:rPr>
              <w:t>0.001798</w:t>
            </w:r>
          </w:p>
        </w:tc>
        <w:tc>
          <w:tcPr>
            <w:tcW w:w="723" w:type="pct"/>
            <w:shd w:val="clear" w:color="auto" w:fill="auto"/>
            <w:noWrap/>
            <w:vAlign w:val="center"/>
          </w:tcPr>
          <w:p w14:paraId="24C99147">
            <w:pPr>
              <w:pStyle w:val="45"/>
              <w:bidi w:val="0"/>
              <w:rPr>
                <w:rFonts w:hint="default"/>
              </w:rPr>
            </w:pPr>
            <w:r>
              <w:rPr>
                <w:rFonts w:hint="eastAsia"/>
                <w:lang w:val="en-US" w:eastAsia="zh-CN"/>
              </w:rPr>
              <w:t xml:space="preserve">1.80 </w:t>
            </w:r>
          </w:p>
        </w:tc>
        <w:tc>
          <w:tcPr>
            <w:tcW w:w="528" w:type="pct"/>
            <w:shd w:val="clear" w:color="auto" w:fill="auto"/>
            <w:noWrap/>
            <w:vAlign w:val="center"/>
          </w:tcPr>
          <w:p w14:paraId="5FB75CAA">
            <w:pPr>
              <w:pStyle w:val="45"/>
              <w:rPr>
                <w:rFonts w:hint="default"/>
              </w:rPr>
            </w:pPr>
            <w:r>
              <w:t>达标</w:t>
            </w:r>
          </w:p>
        </w:tc>
      </w:tr>
      <w:tr w14:paraId="3580A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087CDA4D">
            <w:pPr>
              <w:pStyle w:val="45"/>
              <w:rPr>
                <w:rFonts w:hint="default"/>
              </w:rPr>
            </w:pPr>
          </w:p>
        </w:tc>
        <w:tc>
          <w:tcPr>
            <w:tcW w:w="813" w:type="pct"/>
            <w:shd w:val="clear" w:color="auto" w:fill="auto"/>
            <w:vAlign w:val="center"/>
          </w:tcPr>
          <w:p w14:paraId="0E9D1086">
            <w:pPr>
              <w:pStyle w:val="45"/>
              <w:rPr>
                <w:rFonts w:hint="default"/>
              </w:rPr>
            </w:pPr>
            <w:r>
              <w:t>松木村</w:t>
            </w:r>
          </w:p>
        </w:tc>
        <w:tc>
          <w:tcPr>
            <w:tcW w:w="399" w:type="pct"/>
            <w:shd w:val="clear" w:color="auto" w:fill="auto"/>
            <w:vAlign w:val="center"/>
          </w:tcPr>
          <w:p w14:paraId="2C92B939">
            <w:pPr>
              <w:pStyle w:val="45"/>
              <w:rPr>
                <w:rFonts w:hint="default"/>
              </w:rPr>
            </w:pPr>
            <w:r>
              <w:t>0.1</w:t>
            </w:r>
          </w:p>
        </w:tc>
        <w:tc>
          <w:tcPr>
            <w:tcW w:w="811" w:type="pct"/>
            <w:shd w:val="clear" w:color="auto" w:fill="auto"/>
            <w:vAlign w:val="center"/>
          </w:tcPr>
          <w:p w14:paraId="5F0E651F">
            <w:pPr>
              <w:pStyle w:val="45"/>
              <w:bidi w:val="0"/>
              <w:rPr>
                <w:rFonts w:hint="default"/>
              </w:rPr>
            </w:pPr>
            <w:r>
              <w:rPr>
                <w:rFonts w:hint="eastAsia"/>
                <w:lang w:val="en-US" w:eastAsia="zh-CN"/>
              </w:rPr>
              <w:t>0.0004</w:t>
            </w:r>
          </w:p>
        </w:tc>
        <w:tc>
          <w:tcPr>
            <w:tcW w:w="672" w:type="pct"/>
            <w:shd w:val="clear" w:color="auto" w:fill="auto"/>
            <w:noWrap/>
            <w:vAlign w:val="center"/>
          </w:tcPr>
          <w:p w14:paraId="5323CD9C">
            <w:pPr>
              <w:pStyle w:val="45"/>
              <w:rPr>
                <w:rFonts w:hint="default"/>
              </w:rPr>
            </w:pPr>
            <w:r>
              <w:t>0.0015</w:t>
            </w:r>
          </w:p>
        </w:tc>
        <w:tc>
          <w:tcPr>
            <w:tcW w:w="672" w:type="pct"/>
            <w:shd w:val="clear" w:color="auto" w:fill="auto"/>
            <w:noWrap/>
            <w:vAlign w:val="center"/>
          </w:tcPr>
          <w:p w14:paraId="2D85687B">
            <w:pPr>
              <w:pStyle w:val="45"/>
              <w:bidi w:val="0"/>
              <w:rPr>
                <w:rFonts w:hint="default"/>
              </w:rPr>
            </w:pPr>
            <w:r>
              <w:rPr>
                <w:rFonts w:hint="eastAsia"/>
                <w:lang w:val="en-US" w:eastAsia="zh-CN"/>
              </w:rPr>
              <w:t>0.0019</w:t>
            </w:r>
          </w:p>
        </w:tc>
        <w:tc>
          <w:tcPr>
            <w:tcW w:w="723" w:type="pct"/>
            <w:shd w:val="clear" w:color="auto" w:fill="auto"/>
            <w:noWrap/>
            <w:vAlign w:val="center"/>
          </w:tcPr>
          <w:p w14:paraId="25F33742">
            <w:pPr>
              <w:pStyle w:val="45"/>
              <w:bidi w:val="0"/>
              <w:rPr>
                <w:rFonts w:hint="default"/>
              </w:rPr>
            </w:pPr>
            <w:r>
              <w:rPr>
                <w:rFonts w:hint="eastAsia"/>
                <w:lang w:val="en-US" w:eastAsia="zh-CN"/>
              </w:rPr>
              <w:t xml:space="preserve">1.90 </w:t>
            </w:r>
          </w:p>
        </w:tc>
        <w:tc>
          <w:tcPr>
            <w:tcW w:w="528" w:type="pct"/>
            <w:shd w:val="clear" w:color="auto" w:fill="auto"/>
            <w:noWrap/>
            <w:vAlign w:val="center"/>
          </w:tcPr>
          <w:p w14:paraId="1E3B14B8">
            <w:pPr>
              <w:pStyle w:val="45"/>
              <w:rPr>
                <w:rFonts w:hint="default"/>
              </w:rPr>
            </w:pPr>
            <w:r>
              <w:t>达标</w:t>
            </w:r>
          </w:p>
        </w:tc>
      </w:tr>
      <w:tr w14:paraId="6A5D7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2BFB57C6">
            <w:pPr>
              <w:pStyle w:val="45"/>
              <w:rPr>
                <w:rFonts w:hint="default"/>
              </w:rPr>
            </w:pPr>
          </w:p>
        </w:tc>
        <w:tc>
          <w:tcPr>
            <w:tcW w:w="813" w:type="pct"/>
            <w:shd w:val="clear" w:color="auto" w:fill="auto"/>
            <w:vAlign w:val="center"/>
          </w:tcPr>
          <w:p w14:paraId="1FEEEBBB">
            <w:pPr>
              <w:pStyle w:val="45"/>
              <w:rPr>
                <w:rFonts w:hint="default"/>
              </w:rPr>
            </w:pPr>
            <w:r>
              <w:t>金源小学</w:t>
            </w:r>
          </w:p>
        </w:tc>
        <w:tc>
          <w:tcPr>
            <w:tcW w:w="399" w:type="pct"/>
            <w:shd w:val="clear" w:color="auto" w:fill="auto"/>
            <w:vAlign w:val="center"/>
          </w:tcPr>
          <w:p w14:paraId="29497855">
            <w:pPr>
              <w:pStyle w:val="45"/>
              <w:rPr>
                <w:rFonts w:hint="default"/>
              </w:rPr>
            </w:pPr>
            <w:r>
              <w:t>0.1</w:t>
            </w:r>
          </w:p>
        </w:tc>
        <w:tc>
          <w:tcPr>
            <w:tcW w:w="811" w:type="pct"/>
            <w:shd w:val="clear" w:color="auto" w:fill="auto"/>
            <w:vAlign w:val="center"/>
          </w:tcPr>
          <w:p w14:paraId="2C3F3C17">
            <w:pPr>
              <w:pStyle w:val="45"/>
              <w:bidi w:val="0"/>
              <w:rPr>
                <w:rFonts w:hint="default"/>
              </w:rPr>
            </w:pPr>
            <w:r>
              <w:rPr>
                <w:rFonts w:hint="eastAsia"/>
                <w:lang w:val="en-US" w:eastAsia="zh-CN"/>
              </w:rPr>
              <w:t>0.000388</w:t>
            </w:r>
          </w:p>
        </w:tc>
        <w:tc>
          <w:tcPr>
            <w:tcW w:w="672" w:type="pct"/>
            <w:shd w:val="clear" w:color="auto" w:fill="auto"/>
            <w:noWrap/>
            <w:vAlign w:val="center"/>
          </w:tcPr>
          <w:p w14:paraId="45371BBA">
            <w:pPr>
              <w:pStyle w:val="45"/>
              <w:rPr>
                <w:rFonts w:hint="default"/>
              </w:rPr>
            </w:pPr>
            <w:r>
              <w:t>0.0015</w:t>
            </w:r>
          </w:p>
        </w:tc>
        <w:tc>
          <w:tcPr>
            <w:tcW w:w="672" w:type="pct"/>
            <w:shd w:val="clear" w:color="auto" w:fill="auto"/>
            <w:noWrap/>
            <w:vAlign w:val="center"/>
          </w:tcPr>
          <w:p w14:paraId="65AD520C">
            <w:pPr>
              <w:pStyle w:val="45"/>
              <w:bidi w:val="0"/>
              <w:rPr>
                <w:rFonts w:hint="default"/>
              </w:rPr>
            </w:pPr>
            <w:r>
              <w:rPr>
                <w:rFonts w:hint="eastAsia"/>
                <w:lang w:val="en-US" w:eastAsia="zh-CN"/>
              </w:rPr>
              <w:t>0.001888</w:t>
            </w:r>
          </w:p>
        </w:tc>
        <w:tc>
          <w:tcPr>
            <w:tcW w:w="723" w:type="pct"/>
            <w:shd w:val="clear" w:color="auto" w:fill="auto"/>
            <w:noWrap/>
            <w:vAlign w:val="center"/>
          </w:tcPr>
          <w:p w14:paraId="3A06E204">
            <w:pPr>
              <w:pStyle w:val="45"/>
              <w:bidi w:val="0"/>
              <w:rPr>
                <w:rFonts w:hint="default"/>
              </w:rPr>
            </w:pPr>
            <w:r>
              <w:rPr>
                <w:rFonts w:hint="eastAsia"/>
                <w:lang w:val="en-US" w:eastAsia="zh-CN"/>
              </w:rPr>
              <w:t xml:space="preserve">1.89 </w:t>
            </w:r>
          </w:p>
        </w:tc>
        <w:tc>
          <w:tcPr>
            <w:tcW w:w="528" w:type="pct"/>
            <w:shd w:val="clear" w:color="auto" w:fill="auto"/>
            <w:noWrap/>
            <w:vAlign w:val="center"/>
          </w:tcPr>
          <w:p w14:paraId="212BFB29">
            <w:pPr>
              <w:pStyle w:val="45"/>
              <w:rPr>
                <w:rFonts w:hint="default"/>
              </w:rPr>
            </w:pPr>
            <w:r>
              <w:t>达标</w:t>
            </w:r>
          </w:p>
        </w:tc>
      </w:tr>
      <w:tr w14:paraId="794DB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5200AF5A">
            <w:pPr>
              <w:pStyle w:val="45"/>
              <w:rPr>
                <w:rFonts w:hint="default"/>
              </w:rPr>
            </w:pPr>
          </w:p>
        </w:tc>
        <w:tc>
          <w:tcPr>
            <w:tcW w:w="813" w:type="pct"/>
            <w:shd w:val="clear" w:color="auto" w:fill="auto"/>
            <w:vAlign w:val="center"/>
          </w:tcPr>
          <w:p w14:paraId="5B3D81A9">
            <w:pPr>
              <w:pStyle w:val="45"/>
              <w:rPr>
                <w:rFonts w:hint="default"/>
              </w:rPr>
            </w:pPr>
            <w:r>
              <w:t>金源社区安置房</w:t>
            </w:r>
            <w:r>
              <w:rPr>
                <w:rFonts w:hint="default"/>
              </w:rPr>
              <w:t>2</w:t>
            </w:r>
          </w:p>
        </w:tc>
        <w:tc>
          <w:tcPr>
            <w:tcW w:w="399" w:type="pct"/>
            <w:shd w:val="clear" w:color="auto" w:fill="auto"/>
            <w:vAlign w:val="center"/>
          </w:tcPr>
          <w:p w14:paraId="7EE1075B">
            <w:pPr>
              <w:pStyle w:val="45"/>
              <w:rPr>
                <w:rFonts w:hint="default"/>
              </w:rPr>
            </w:pPr>
            <w:r>
              <w:t>0.1</w:t>
            </w:r>
          </w:p>
        </w:tc>
        <w:tc>
          <w:tcPr>
            <w:tcW w:w="811" w:type="pct"/>
            <w:shd w:val="clear" w:color="auto" w:fill="auto"/>
            <w:vAlign w:val="center"/>
          </w:tcPr>
          <w:p w14:paraId="5ED29F44">
            <w:pPr>
              <w:pStyle w:val="45"/>
              <w:bidi w:val="0"/>
              <w:rPr>
                <w:rFonts w:hint="default"/>
              </w:rPr>
            </w:pPr>
            <w:r>
              <w:rPr>
                <w:rFonts w:hint="eastAsia"/>
                <w:lang w:val="en-US" w:eastAsia="zh-CN"/>
              </w:rPr>
              <w:t>0.000444</w:t>
            </w:r>
          </w:p>
        </w:tc>
        <w:tc>
          <w:tcPr>
            <w:tcW w:w="672" w:type="pct"/>
            <w:shd w:val="clear" w:color="auto" w:fill="auto"/>
            <w:noWrap/>
            <w:vAlign w:val="center"/>
          </w:tcPr>
          <w:p w14:paraId="3063474E">
            <w:pPr>
              <w:pStyle w:val="45"/>
              <w:rPr>
                <w:rFonts w:hint="default"/>
              </w:rPr>
            </w:pPr>
            <w:r>
              <w:t>0.0015</w:t>
            </w:r>
          </w:p>
        </w:tc>
        <w:tc>
          <w:tcPr>
            <w:tcW w:w="672" w:type="pct"/>
            <w:shd w:val="clear" w:color="auto" w:fill="auto"/>
            <w:noWrap/>
            <w:vAlign w:val="center"/>
          </w:tcPr>
          <w:p w14:paraId="09E3C8C8">
            <w:pPr>
              <w:pStyle w:val="45"/>
              <w:bidi w:val="0"/>
              <w:rPr>
                <w:rFonts w:hint="default"/>
              </w:rPr>
            </w:pPr>
            <w:r>
              <w:rPr>
                <w:rFonts w:hint="eastAsia"/>
                <w:lang w:val="en-US" w:eastAsia="zh-CN"/>
              </w:rPr>
              <w:t>0.001944</w:t>
            </w:r>
          </w:p>
        </w:tc>
        <w:tc>
          <w:tcPr>
            <w:tcW w:w="723" w:type="pct"/>
            <w:shd w:val="clear" w:color="auto" w:fill="auto"/>
            <w:noWrap/>
            <w:vAlign w:val="center"/>
          </w:tcPr>
          <w:p w14:paraId="7A867307">
            <w:pPr>
              <w:pStyle w:val="45"/>
              <w:bidi w:val="0"/>
              <w:rPr>
                <w:rFonts w:hint="default"/>
              </w:rPr>
            </w:pPr>
            <w:r>
              <w:rPr>
                <w:rFonts w:hint="eastAsia"/>
                <w:lang w:val="en-US" w:eastAsia="zh-CN"/>
              </w:rPr>
              <w:t xml:space="preserve">1.94 </w:t>
            </w:r>
          </w:p>
        </w:tc>
        <w:tc>
          <w:tcPr>
            <w:tcW w:w="528" w:type="pct"/>
            <w:shd w:val="clear" w:color="auto" w:fill="auto"/>
            <w:noWrap/>
            <w:vAlign w:val="center"/>
          </w:tcPr>
          <w:p w14:paraId="0994E08C">
            <w:pPr>
              <w:pStyle w:val="45"/>
              <w:rPr>
                <w:rFonts w:hint="default"/>
              </w:rPr>
            </w:pPr>
            <w:r>
              <w:t>达标</w:t>
            </w:r>
          </w:p>
        </w:tc>
      </w:tr>
      <w:tr w14:paraId="75B69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6638794B">
            <w:pPr>
              <w:pStyle w:val="45"/>
              <w:rPr>
                <w:rFonts w:hint="default"/>
              </w:rPr>
            </w:pPr>
          </w:p>
        </w:tc>
        <w:tc>
          <w:tcPr>
            <w:tcW w:w="813" w:type="pct"/>
            <w:shd w:val="clear" w:color="auto" w:fill="auto"/>
            <w:vAlign w:val="center"/>
          </w:tcPr>
          <w:p w14:paraId="5D3BA333">
            <w:pPr>
              <w:pStyle w:val="45"/>
              <w:rPr>
                <w:rFonts w:hint="default"/>
              </w:rPr>
            </w:pPr>
            <w:r>
              <w:t>金源社区医院</w:t>
            </w:r>
          </w:p>
        </w:tc>
        <w:tc>
          <w:tcPr>
            <w:tcW w:w="399" w:type="pct"/>
            <w:shd w:val="clear" w:color="auto" w:fill="auto"/>
            <w:vAlign w:val="center"/>
          </w:tcPr>
          <w:p w14:paraId="45E154C4">
            <w:pPr>
              <w:pStyle w:val="45"/>
              <w:rPr>
                <w:rFonts w:hint="default"/>
              </w:rPr>
            </w:pPr>
            <w:r>
              <w:t>0.1</w:t>
            </w:r>
          </w:p>
        </w:tc>
        <w:tc>
          <w:tcPr>
            <w:tcW w:w="811" w:type="pct"/>
            <w:shd w:val="clear" w:color="auto" w:fill="auto"/>
            <w:vAlign w:val="center"/>
          </w:tcPr>
          <w:p w14:paraId="5426B53D">
            <w:pPr>
              <w:pStyle w:val="45"/>
              <w:bidi w:val="0"/>
              <w:rPr>
                <w:rFonts w:hint="default"/>
              </w:rPr>
            </w:pPr>
            <w:r>
              <w:rPr>
                <w:rFonts w:hint="eastAsia"/>
                <w:lang w:val="en-US" w:eastAsia="zh-CN"/>
              </w:rPr>
              <w:t>0.000371</w:t>
            </w:r>
          </w:p>
        </w:tc>
        <w:tc>
          <w:tcPr>
            <w:tcW w:w="672" w:type="pct"/>
            <w:shd w:val="clear" w:color="auto" w:fill="auto"/>
            <w:noWrap/>
            <w:vAlign w:val="center"/>
          </w:tcPr>
          <w:p w14:paraId="33EEAE46">
            <w:pPr>
              <w:pStyle w:val="45"/>
              <w:rPr>
                <w:rFonts w:hint="default"/>
              </w:rPr>
            </w:pPr>
            <w:r>
              <w:t>0.0015</w:t>
            </w:r>
          </w:p>
        </w:tc>
        <w:tc>
          <w:tcPr>
            <w:tcW w:w="672" w:type="pct"/>
            <w:shd w:val="clear" w:color="auto" w:fill="auto"/>
            <w:noWrap/>
            <w:vAlign w:val="center"/>
          </w:tcPr>
          <w:p w14:paraId="5EC4C8F6">
            <w:pPr>
              <w:pStyle w:val="45"/>
              <w:bidi w:val="0"/>
              <w:rPr>
                <w:rFonts w:hint="default"/>
              </w:rPr>
            </w:pPr>
            <w:r>
              <w:rPr>
                <w:rFonts w:hint="eastAsia"/>
                <w:lang w:val="en-US" w:eastAsia="zh-CN"/>
              </w:rPr>
              <w:t>0.001871</w:t>
            </w:r>
          </w:p>
        </w:tc>
        <w:tc>
          <w:tcPr>
            <w:tcW w:w="723" w:type="pct"/>
            <w:shd w:val="clear" w:color="auto" w:fill="auto"/>
            <w:noWrap/>
            <w:vAlign w:val="center"/>
          </w:tcPr>
          <w:p w14:paraId="6DC5E099">
            <w:pPr>
              <w:pStyle w:val="45"/>
              <w:bidi w:val="0"/>
              <w:rPr>
                <w:rFonts w:hint="default"/>
              </w:rPr>
            </w:pPr>
            <w:r>
              <w:rPr>
                <w:rFonts w:hint="eastAsia"/>
                <w:lang w:val="en-US" w:eastAsia="zh-CN"/>
              </w:rPr>
              <w:t xml:space="preserve">1.87 </w:t>
            </w:r>
          </w:p>
        </w:tc>
        <w:tc>
          <w:tcPr>
            <w:tcW w:w="528" w:type="pct"/>
            <w:shd w:val="clear" w:color="auto" w:fill="auto"/>
            <w:noWrap/>
            <w:vAlign w:val="center"/>
          </w:tcPr>
          <w:p w14:paraId="549EBD23">
            <w:pPr>
              <w:pStyle w:val="45"/>
              <w:rPr>
                <w:rFonts w:hint="default"/>
              </w:rPr>
            </w:pPr>
            <w:r>
              <w:t>达标</w:t>
            </w:r>
          </w:p>
        </w:tc>
      </w:tr>
      <w:tr w14:paraId="0A15F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0466C5F7">
            <w:pPr>
              <w:pStyle w:val="45"/>
              <w:rPr>
                <w:rFonts w:hint="default"/>
              </w:rPr>
            </w:pPr>
          </w:p>
        </w:tc>
        <w:tc>
          <w:tcPr>
            <w:tcW w:w="813" w:type="pct"/>
            <w:shd w:val="clear" w:color="auto" w:fill="auto"/>
            <w:vAlign w:val="center"/>
          </w:tcPr>
          <w:p w14:paraId="525BF6B5">
            <w:pPr>
              <w:pStyle w:val="45"/>
              <w:rPr>
                <w:rFonts w:hint="default"/>
              </w:rPr>
            </w:pPr>
            <w:r>
              <w:t>金源社区安置房</w:t>
            </w:r>
          </w:p>
        </w:tc>
        <w:tc>
          <w:tcPr>
            <w:tcW w:w="399" w:type="pct"/>
            <w:shd w:val="clear" w:color="auto" w:fill="auto"/>
            <w:vAlign w:val="center"/>
          </w:tcPr>
          <w:p w14:paraId="203EEF66">
            <w:pPr>
              <w:pStyle w:val="45"/>
              <w:rPr>
                <w:rFonts w:hint="default"/>
              </w:rPr>
            </w:pPr>
            <w:r>
              <w:t>0.1</w:t>
            </w:r>
          </w:p>
        </w:tc>
        <w:tc>
          <w:tcPr>
            <w:tcW w:w="811" w:type="pct"/>
            <w:shd w:val="clear" w:color="auto" w:fill="auto"/>
            <w:vAlign w:val="center"/>
          </w:tcPr>
          <w:p w14:paraId="5EB89F6F">
            <w:pPr>
              <w:pStyle w:val="45"/>
              <w:bidi w:val="0"/>
              <w:rPr>
                <w:rFonts w:hint="default"/>
              </w:rPr>
            </w:pPr>
            <w:r>
              <w:rPr>
                <w:rFonts w:hint="eastAsia"/>
                <w:lang w:val="en-US" w:eastAsia="zh-CN"/>
              </w:rPr>
              <w:t>0.00028</w:t>
            </w:r>
          </w:p>
        </w:tc>
        <w:tc>
          <w:tcPr>
            <w:tcW w:w="672" w:type="pct"/>
            <w:shd w:val="clear" w:color="auto" w:fill="auto"/>
            <w:noWrap/>
            <w:vAlign w:val="center"/>
          </w:tcPr>
          <w:p w14:paraId="7F177FFA">
            <w:pPr>
              <w:pStyle w:val="45"/>
              <w:rPr>
                <w:rFonts w:hint="default"/>
              </w:rPr>
            </w:pPr>
            <w:r>
              <w:t>0.0015</w:t>
            </w:r>
          </w:p>
        </w:tc>
        <w:tc>
          <w:tcPr>
            <w:tcW w:w="672" w:type="pct"/>
            <w:shd w:val="clear" w:color="auto" w:fill="auto"/>
            <w:noWrap/>
            <w:vAlign w:val="center"/>
          </w:tcPr>
          <w:p w14:paraId="0E90A4CB">
            <w:pPr>
              <w:pStyle w:val="45"/>
              <w:bidi w:val="0"/>
              <w:rPr>
                <w:rFonts w:hint="default"/>
              </w:rPr>
            </w:pPr>
            <w:r>
              <w:rPr>
                <w:rFonts w:hint="eastAsia"/>
                <w:lang w:val="en-US" w:eastAsia="zh-CN"/>
              </w:rPr>
              <w:t>0.00178</w:t>
            </w:r>
          </w:p>
        </w:tc>
        <w:tc>
          <w:tcPr>
            <w:tcW w:w="723" w:type="pct"/>
            <w:shd w:val="clear" w:color="auto" w:fill="auto"/>
            <w:noWrap/>
            <w:vAlign w:val="center"/>
          </w:tcPr>
          <w:p w14:paraId="2F377B09">
            <w:pPr>
              <w:pStyle w:val="45"/>
              <w:bidi w:val="0"/>
              <w:rPr>
                <w:rFonts w:hint="default"/>
              </w:rPr>
            </w:pPr>
            <w:r>
              <w:rPr>
                <w:rFonts w:hint="eastAsia"/>
                <w:lang w:val="en-US" w:eastAsia="zh-CN"/>
              </w:rPr>
              <w:t xml:space="preserve">1.78 </w:t>
            </w:r>
          </w:p>
        </w:tc>
        <w:tc>
          <w:tcPr>
            <w:tcW w:w="528" w:type="pct"/>
            <w:shd w:val="clear" w:color="auto" w:fill="auto"/>
            <w:noWrap/>
            <w:vAlign w:val="center"/>
          </w:tcPr>
          <w:p w14:paraId="693E41E7">
            <w:pPr>
              <w:pStyle w:val="45"/>
              <w:rPr>
                <w:rFonts w:hint="default"/>
              </w:rPr>
            </w:pPr>
            <w:r>
              <w:t>达标</w:t>
            </w:r>
          </w:p>
        </w:tc>
      </w:tr>
      <w:tr w14:paraId="41945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0A76DA0A">
            <w:pPr>
              <w:pStyle w:val="45"/>
              <w:rPr>
                <w:rFonts w:hint="default"/>
              </w:rPr>
            </w:pPr>
          </w:p>
        </w:tc>
        <w:tc>
          <w:tcPr>
            <w:tcW w:w="813" w:type="pct"/>
            <w:shd w:val="clear" w:color="auto" w:fill="auto"/>
            <w:vAlign w:val="center"/>
          </w:tcPr>
          <w:p w14:paraId="185D71B9">
            <w:pPr>
              <w:pStyle w:val="45"/>
              <w:rPr>
                <w:rFonts w:hint="default"/>
              </w:rPr>
            </w:pPr>
            <w:r>
              <w:t>湖南工商职业学院</w:t>
            </w:r>
          </w:p>
        </w:tc>
        <w:tc>
          <w:tcPr>
            <w:tcW w:w="399" w:type="pct"/>
            <w:shd w:val="clear" w:color="auto" w:fill="auto"/>
            <w:vAlign w:val="center"/>
          </w:tcPr>
          <w:p w14:paraId="2B35D901">
            <w:pPr>
              <w:pStyle w:val="45"/>
              <w:rPr>
                <w:rFonts w:hint="default"/>
              </w:rPr>
            </w:pPr>
            <w:r>
              <w:t>0.1</w:t>
            </w:r>
          </w:p>
        </w:tc>
        <w:tc>
          <w:tcPr>
            <w:tcW w:w="811" w:type="pct"/>
            <w:shd w:val="clear" w:color="auto" w:fill="auto"/>
            <w:vAlign w:val="center"/>
          </w:tcPr>
          <w:p w14:paraId="4E4D16A4">
            <w:pPr>
              <w:pStyle w:val="45"/>
              <w:bidi w:val="0"/>
              <w:rPr>
                <w:rFonts w:hint="default"/>
              </w:rPr>
            </w:pPr>
            <w:r>
              <w:rPr>
                <w:rFonts w:hint="eastAsia"/>
                <w:lang w:val="en-US" w:eastAsia="zh-CN"/>
              </w:rPr>
              <w:t>0.000264</w:t>
            </w:r>
          </w:p>
        </w:tc>
        <w:tc>
          <w:tcPr>
            <w:tcW w:w="672" w:type="pct"/>
            <w:shd w:val="clear" w:color="auto" w:fill="auto"/>
            <w:noWrap/>
            <w:vAlign w:val="center"/>
          </w:tcPr>
          <w:p w14:paraId="248673DF">
            <w:pPr>
              <w:pStyle w:val="45"/>
              <w:rPr>
                <w:rFonts w:hint="default"/>
              </w:rPr>
            </w:pPr>
            <w:r>
              <w:t>0.0015</w:t>
            </w:r>
          </w:p>
        </w:tc>
        <w:tc>
          <w:tcPr>
            <w:tcW w:w="672" w:type="pct"/>
            <w:shd w:val="clear" w:color="auto" w:fill="auto"/>
            <w:noWrap/>
            <w:vAlign w:val="center"/>
          </w:tcPr>
          <w:p w14:paraId="3DE5F72D">
            <w:pPr>
              <w:pStyle w:val="45"/>
              <w:bidi w:val="0"/>
              <w:rPr>
                <w:rFonts w:hint="default"/>
              </w:rPr>
            </w:pPr>
            <w:r>
              <w:rPr>
                <w:rFonts w:hint="eastAsia"/>
                <w:lang w:val="en-US" w:eastAsia="zh-CN"/>
              </w:rPr>
              <w:t>0.001764</w:t>
            </w:r>
          </w:p>
        </w:tc>
        <w:tc>
          <w:tcPr>
            <w:tcW w:w="723" w:type="pct"/>
            <w:shd w:val="clear" w:color="auto" w:fill="auto"/>
            <w:noWrap/>
            <w:vAlign w:val="center"/>
          </w:tcPr>
          <w:p w14:paraId="0EBAC852">
            <w:pPr>
              <w:pStyle w:val="45"/>
              <w:bidi w:val="0"/>
              <w:rPr>
                <w:rFonts w:hint="default"/>
              </w:rPr>
            </w:pPr>
            <w:r>
              <w:rPr>
                <w:rFonts w:hint="eastAsia"/>
                <w:lang w:val="en-US" w:eastAsia="zh-CN"/>
              </w:rPr>
              <w:t xml:space="preserve">1.76 </w:t>
            </w:r>
          </w:p>
        </w:tc>
        <w:tc>
          <w:tcPr>
            <w:tcW w:w="528" w:type="pct"/>
            <w:shd w:val="clear" w:color="auto" w:fill="auto"/>
            <w:noWrap/>
            <w:vAlign w:val="center"/>
          </w:tcPr>
          <w:p w14:paraId="43716A5B">
            <w:pPr>
              <w:pStyle w:val="45"/>
              <w:rPr>
                <w:rFonts w:hint="default"/>
              </w:rPr>
            </w:pPr>
            <w:r>
              <w:t>达标</w:t>
            </w:r>
          </w:p>
        </w:tc>
      </w:tr>
      <w:tr w14:paraId="30C42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085AC450">
            <w:pPr>
              <w:pStyle w:val="45"/>
              <w:rPr>
                <w:rFonts w:hint="default"/>
              </w:rPr>
            </w:pPr>
          </w:p>
        </w:tc>
        <w:tc>
          <w:tcPr>
            <w:tcW w:w="813" w:type="pct"/>
            <w:shd w:val="clear" w:color="auto" w:fill="auto"/>
            <w:vAlign w:val="center"/>
          </w:tcPr>
          <w:p w14:paraId="5C1A19CD">
            <w:pPr>
              <w:pStyle w:val="45"/>
              <w:rPr>
                <w:rFonts w:hint="default"/>
              </w:rPr>
            </w:pPr>
            <w:r>
              <w:t>园区管委会</w:t>
            </w:r>
          </w:p>
        </w:tc>
        <w:tc>
          <w:tcPr>
            <w:tcW w:w="399" w:type="pct"/>
            <w:shd w:val="clear" w:color="auto" w:fill="auto"/>
            <w:vAlign w:val="center"/>
          </w:tcPr>
          <w:p w14:paraId="54FA2901">
            <w:pPr>
              <w:pStyle w:val="45"/>
              <w:rPr>
                <w:rFonts w:hint="default"/>
              </w:rPr>
            </w:pPr>
            <w:r>
              <w:t>0.1</w:t>
            </w:r>
          </w:p>
        </w:tc>
        <w:tc>
          <w:tcPr>
            <w:tcW w:w="811" w:type="pct"/>
            <w:shd w:val="clear" w:color="auto" w:fill="auto"/>
            <w:vAlign w:val="center"/>
          </w:tcPr>
          <w:p w14:paraId="4FDFCAEB">
            <w:pPr>
              <w:pStyle w:val="45"/>
              <w:bidi w:val="0"/>
              <w:rPr>
                <w:rFonts w:hint="default"/>
              </w:rPr>
            </w:pPr>
            <w:r>
              <w:rPr>
                <w:rFonts w:hint="eastAsia"/>
                <w:lang w:val="en-US" w:eastAsia="zh-CN"/>
              </w:rPr>
              <w:t>0.000822</w:t>
            </w:r>
          </w:p>
        </w:tc>
        <w:tc>
          <w:tcPr>
            <w:tcW w:w="672" w:type="pct"/>
            <w:shd w:val="clear" w:color="auto" w:fill="auto"/>
            <w:noWrap/>
            <w:vAlign w:val="center"/>
          </w:tcPr>
          <w:p w14:paraId="7AD64179">
            <w:pPr>
              <w:pStyle w:val="45"/>
              <w:rPr>
                <w:rFonts w:hint="default"/>
              </w:rPr>
            </w:pPr>
            <w:r>
              <w:t>0.0015</w:t>
            </w:r>
          </w:p>
        </w:tc>
        <w:tc>
          <w:tcPr>
            <w:tcW w:w="672" w:type="pct"/>
            <w:shd w:val="clear" w:color="auto" w:fill="auto"/>
            <w:noWrap/>
            <w:vAlign w:val="center"/>
          </w:tcPr>
          <w:p w14:paraId="59777CE7">
            <w:pPr>
              <w:pStyle w:val="45"/>
              <w:bidi w:val="0"/>
              <w:rPr>
                <w:rFonts w:hint="default"/>
              </w:rPr>
            </w:pPr>
            <w:r>
              <w:rPr>
                <w:rFonts w:hint="eastAsia"/>
                <w:lang w:val="en-US" w:eastAsia="zh-CN"/>
              </w:rPr>
              <w:t>0.002322</w:t>
            </w:r>
          </w:p>
        </w:tc>
        <w:tc>
          <w:tcPr>
            <w:tcW w:w="723" w:type="pct"/>
            <w:shd w:val="clear" w:color="auto" w:fill="auto"/>
            <w:noWrap/>
            <w:vAlign w:val="center"/>
          </w:tcPr>
          <w:p w14:paraId="5D3CCBE4">
            <w:pPr>
              <w:pStyle w:val="45"/>
              <w:bidi w:val="0"/>
              <w:rPr>
                <w:rFonts w:hint="default"/>
              </w:rPr>
            </w:pPr>
            <w:r>
              <w:rPr>
                <w:rFonts w:hint="eastAsia"/>
                <w:lang w:val="en-US" w:eastAsia="zh-CN"/>
              </w:rPr>
              <w:t xml:space="preserve">2.32 </w:t>
            </w:r>
          </w:p>
        </w:tc>
        <w:tc>
          <w:tcPr>
            <w:tcW w:w="528" w:type="pct"/>
            <w:shd w:val="clear" w:color="auto" w:fill="auto"/>
            <w:noWrap/>
            <w:vAlign w:val="center"/>
          </w:tcPr>
          <w:p w14:paraId="1E9E9830">
            <w:pPr>
              <w:pStyle w:val="45"/>
              <w:rPr>
                <w:rFonts w:hint="default"/>
              </w:rPr>
            </w:pPr>
            <w:r>
              <w:t>达标</w:t>
            </w:r>
          </w:p>
        </w:tc>
      </w:tr>
      <w:tr w14:paraId="4D5A6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5075042F">
            <w:pPr>
              <w:pStyle w:val="45"/>
              <w:rPr>
                <w:rFonts w:hint="default"/>
              </w:rPr>
            </w:pPr>
          </w:p>
        </w:tc>
        <w:tc>
          <w:tcPr>
            <w:tcW w:w="813" w:type="pct"/>
            <w:shd w:val="clear" w:color="auto" w:fill="auto"/>
            <w:vAlign w:val="center"/>
          </w:tcPr>
          <w:p w14:paraId="7D2F7BA0">
            <w:pPr>
              <w:pStyle w:val="45"/>
              <w:rPr>
                <w:rFonts w:hint="default"/>
              </w:rPr>
            </w:pPr>
            <w:r>
              <w:t>松木中学</w:t>
            </w:r>
          </w:p>
        </w:tc>
        <w:tc>
          <w:tcPr>
            <w:tcW w:w="399" w:type="pct"/>
            <w:shd w:val="clear" w:color="auto" w:fill="auto"/>
            <w:vAlign w:val="center"/>
          </w:tcPr>
          <w:p w14:paraId="73274767">
            <w:pPr>
              <w:pStyle w:val="45"/>
              <w:rPr>
                <w:rFonts w:hint="default"/>
              </w:rPr>
            </w:pPr>
            <w:r>
              <w:t>0.1</w:t>
            </w:r>
          </w:p>
        </w:tc>
        <w:tc>
          <w:tcPr>
            <w:tcW w:w="811" w:type="pct"/>
            <w:shd w:val="clear" w:color="auto" w:fill="auto"/>
            <w:vAlign w:val="center"/>
          </w:tcPr>
          <w:p w14:paraId="05EB6AB5">
            <w:pPr>
              <w:pStyle w:val="45"/>
              <w:bidi w:val="0"/>
              <w:rPr>
                <w:rFonts w:hint="default"/>
              </w:rPr>
            </w:pPr>
            <w:r>
              <w:rPr>
                <w:rFonts w:hint="eastAsia"/>
                <w:lang w:val="en-US" w:eastAsia="zh-CN"/>
              </w:rPr>
              <w:t>0.000332</w:t>
            </w:r>
          </w:p>
        </w:tc>
        <w:tc>
          <w:tcPr>
            <w:tcW w:w="672" w:type="pct"/>
            <w:shd w:val="clear" w:color="auto" w:fill="auto"/>
            <w:noWrap/>
            <w:vAlign w:val="center"/>
          </w:tcPr>
          <w:p w14:paraId="12A2A79F">
            <w:pPr>
              <w:pStyle w:val="45"/>
              <w:rPr>
                <w:rFonts w:hint="default"/>
              </w:rPr>
            </w:pPr>
            <w:r>
              <w:t>0.0015</w:t>
            </w:r>
          </w:p>
        </w:tc>
        <w:tc>
          <w:tcPr>
            <w:tcW w:w="672" w:type="pct"/>
            <w:shd w:val="clear" w:color="auto" w:fill="auto"/>
            <w:noWrap/>
            <w:vAlign w:val="center"/>
          </w:tcPr>
          <w:p w14:paraId="732F54E8">
            <w:pPr>
              <w:pStyle w:val="45"/>
              <w:bidi w:val="0"/>
              <w:rPr>
                <w:rFonts w:hint="default"/>
              </w:rPr>
            </w:pPr>
            <w:r>
              <w:rPr>
                <w:rFonts w:hint="eastAsia"/>
                <w:lang w:val="en-US" w:eastAsia="zh-CN"/>
              </w:rPr>
              <w:t>0.001832</w:t>
            </w:r>
          </w:p>
        </w:tc>
        <w:tc>
          <w:tcPr>
            <w:tcW w:w="723" w:type="pct"/>
            <w:shd w:val="clear" w:color="auto" w:fill="auto"/>
            <w:noWrap/>
            <w:vAlign w:val="center"/>
          </w:tcPr>
          <w:p w14:paraId="7416538F">
            <w:pPr>
              <w:pStyle w:val="45"/>
              <w:bidi w:val="0"/>
              <w:rPr>
                <w:rFonts w:hint="default"/>
              </w:rPr>
            </w:pPr>
            <w:r>
              <w:rPr>
                <w:rFonts w:hint="eastAsia"/>
                <w:lang w:val="en-US" w:eastAsia="zh-CN"/>
              </w:rPr>
              <w:t xml:space="preserve">1.83 </w:t>
            </w:r>
          </w:p>
        </w:tc>
        <w:tc>
          <w:tcPr>
            <w:tcW w:w="528" w:type="pct"/>
            <w:shd w:val="clear" w:color="auto" w:fill="auto"/>
            <w:noWrap/>
            <w:vAlign w:val="center"/>
          </w:tcPr>
          <w:p w14:paraId="69BEC5A9">
            <w:pPr>
              <w:pStyle w:val="45"/>
              <w:rPr>
                <w:rFonts w:hint="default"/>
              </w:rPr>
            </w:pPr>
            <w:r>
              <w:t>达标</w:t>
            </w:r>
          </w:p>
        </w:tc>
      </w:tr>
      <w:tr w14:paraId="754F2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167A9AE9">
            <w:pPr>
              <w:pStyle w:val="45"/>
              <w:rPr>
                <w:rFonts w:hint="default"/>
              </w:rPr>
            </w:pPr>
          </w:p>
        </w:tc>
        <w:tc>
          <w:tcPr>
            <w:tcW w:w="813" w:type="pct"/>
            <w:shd w:val="clear" w:color="auto" w:fill="auto"/>
            <w:vAlign w:val="center"/>
          </w:tcPr>
          <w:p w14:paraId="0EC6C854">
            <w:pPr>
              <w:pStyle w:val="45"/>
              <w:rPr>
                <w:rFonts w:hint="default"/>
              </w:rPr>
            </w:pPr>
            <w:r>
              <w:t>松木村</w:t>
            </w:r>
            <w:r>
              <w:rPr>
                <w:rFonts w:hint="default"/>
              </w:rPr>
              <w:t>2</w:t>
            </w:r>
          </w:p>
        </w:tc>
        <w:tc>
          <w:tcPr>
            <w:tcW w:w="399" w:type="pct"/>
            <w:shd w:val="clear" w:color="auto" w:fill="auto"/>
            <w:vAlign w:val="center"/>
          </w:tcPr>
          <w:p w14:paraId="18A587F4">
            <w:pPr>
              <w:pStyle w:val="45"/>
              <w:rPr>
                <w:rFonts w:hint="default"/>
              </w:rPr>
            </w:pPr>
            <w:r>
              <w:t>0.1</w:t>
            </w:r>
          </w:p>
        </w:tc>
        <w:tc>
          <w:tcPr>
            <w:tcW w:w="811" w:type="pct"/>
            <w:shd w:val="clear" w:color="auto" w:fill="auto"/>
            <w:vAlign w:val="center"/>
          </w:tcPr>
          <w:p w14:paraId="40A8B56E">
            <w:pPr>
              <w:pStyle w:val="45"/>
              <w:bidi w:val="0"/>
              <w:rPr>
                <w:rFonts w:hint="default"/>
              </w:rPr>
            </w:pPr>
            <w:r>
              <w:rPr>
                <w:rFonts w:hint="eastAsia"/>
                <w:lang w:val="en-US" w:eastAsia="zh-CN"/>
              </w:rPr>
              <w:t>0.001834</w:t>
            </w:r>
          </w:p>
        </w:tc>
        <w:tc>
          <w:tcPr>
            <w:tcW w:w="672" w:type="pct"/>
            <w:shd w:val="clear" w:color="auto" w:fill="auto"/>
            <w:noWrap/>
            <w:vAlign w:val="center"/>
          </w:tcPr>
          <w:p w14:paraId="24EFB26C">
            <w:pPr>
              <w:pStyle w:val="45"/>
              <w:rPr>
                <w:rFonts w:hint="default"/>
              </w:rPr>
            </w:pPr>
            <w:r>
              <w:t>0.0015</w:t>
            </w:r>
          </w:p>
        </w:tc>
        <w:tc>
          <w:tcPr>
            <w:tcW w:w="672" w:type="pct"/>
            <w:shd w:val="clear" w:color="auto" w:fill="auto"/>
            <w:noWrap/>
            <w:vAlign w:val="center"/>
          </w:tcPr>
          <w:p w14:paraId="2B4CA66B">
            <w:pPr>
              <w:pStyle w:val="45"/>
              <w:bidi w:val="0"/>
              <w:rPr>
                <w:rFonts w:hint="default"/>
              </w:rPr>
            </w:pPr>
            <w:r>
              <w:rPr>
                <w:rFonts w:hint="eastAsia"/>
                <w:lang w:val="en-US" w:eastAsia="zh-CN"/>
              </w:rPr>
              <w:t>0.003334</w:t>
            </w:r>
          </w:p>
        </w:tc>
        <w:tc>
          <w:tcPr>
            <w:tcW w:w="723" w:type="pct"/>
            <w:shd w:val="clear" w:color="auto" w:fill="auto"/>
            <w:noWrap/>
            <w:vAlign w:val="center"/>
          </w:tcPr>
          <w:p w14:paraId="079B6B52">
            <w:pPr>
              <w:pStyle w:val="45"/>
              <w:bidi w:val="0"/>
              <w:rPr>
                <w:rFonts w:hint="default"/>
              </w:rPr>
            </w:pPr>
            <w:r>
              <w:rPr>
                <w:rFonts w:hint="eastAsia"/>
                <w:lang w:val="en-US" w:eastAsia="zh-CN"/>
              </w:rPr>
              <w:t xml:space="preserve">3.33 </w:t>
            </w:r>
          </w:p>
        </w:tc>
        <w:tc>
          <w:tcPr>
            <w:tcW w:w="528" w:type="pct"/>
            <w:shd w:val="clear" w:color="auto" w:fill="auto"/>
            <w:noWrap/>
            <w:vAlign w:val="center"/>
          </w:tcPr>
          <w:p w14:paraId="35EC55FE">
            <w:pPr>
              <w:pStyle w:val="45"/>
              <w:rPr>
                <w:rFonts w:hint="default"/>
              </w:rPr>
            </w:pPr>
            <w:r>
              <w:t>达标</w:t>
            </w:r>
          </w:p>
        </w:tc>
      </w:tr>
      <w:tr w14:paraId="284C8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58701C98">
            <w:pPr>
              <w:pStyle w:val="45"/>
              <w:rPr>
                <w:rFonts w:hint="default"/>
              </w:rPr>
            </w:pPr>
          </w:p>
        </w:tc>
        <w:tc>
          <w:tcPr>
            <w:tcW w:w="813" w:type="pct"/>
            <w:shd w:val="clear" w:color="auto" w:fill="auto"/>
            <w:vAlign w:val="center"/>
          </w:tcPr>
          <w:p w14:paraId="3CB78C2E">
            <w:pPr>
              <w:pStyle w:val="45"/>
              <w:rPr>
                <w:rFonts w:hint="default"/>
              </w:rPr>
            </w:pPr>
            <w:r>
              <w:t>园区安置房</w:t>
            </w:r>
          </w:p>
        </w:tc>
        <w:tc>
          <w:tcPr>
            <w:tcW w:w="399" w:type="pct"/>
            <w:shd w:val="clear" w:color="auto" w:fill="auto"/>
            <w:vAlign w:val="center"/>
          </w:tcPr>
          <w:p w14:paraId="013D53AB">
            <w:pPr>
              <w:pStyle w:val="45"/>
              <w:rPr>
                <w:rFonts w:hint="default"/>
              </w:rPr>
            </w:pPr>
            <w:r>
              <w:t>0.1</w:t>
            </w:r>
          </w:p>
        </w:tc>
        <w:tc>
          <w:tcPr>
            <w:tcW w:w="811" w:type="pct"/>
            <w:shd w:val="clear" w:color="auto" w:fill="auto"/>
            <w:vAlign w:val="center"/>
          </w:tcPr>
          <w:p w14:paraId="641F8CF4">
            <w:pPr>
              <w:pStyle w:val="45"/>
              <w:bidi w:val="0"/>
              <w:rPr>
                <w:rFonts w:hint="default"/>
              </w:rPr>
            </w:pPr>
            <w:r>
              <w:rPr>
                <w:rFonts w:hint="eastAsia"/>
                <w:lang w:val="en-US" w:eastAsia="zh-CN"/>
              </w:rPr>
              <w:t>0.001841</w:t>
            </w:r>
          </w:p>
        </w:tc>
        <w:tc>
          <w:tcPr>
            <w:tcW w:w="672" w:type="pct"/>
            <w:shd w:val="clear" w:color="auto" w:fill="auto"/>
            <w:noWrap/>
            <w:vAlign w:val="center"/>
          </w:tcPr>
          <w:p w14:paraId="781A63CB">
            <w:pPr>
              <w:pStyle w:val="45"/>
              <w:rPr>
                <w:rFonts w:hint="default"/>
              </w:rPr>
            </w:pPr>
            <w:r>
              <w:t>0.0015</w:t>
            </w:r>
          </w:p>
        </w:tc>
        <w:tc>
          <w:tcPr>
            <w:tcW w:w="672" w:type="pct"/>
            <w:shd w:val="clear" w:color="auto" w:fill="auto"/>
            <w:noWrap/>
            <w:vAlign w:val="center"/>
          </w:tcPr>
          <w:p w14:paraId="44392D51">
            <w:pPr>
              <w:pStyle w:val="45"/>
              <w:bidi w:val="0"/>
              <w:rPr>
                <w:rFonts w:hint="default"/>
              </w:rPr>
            </w:pPr>
            <w:r>
              <w:rPr>
                <w:rFonts w:hint="eastAsia"/>
                <w:lang w:val="en-US" w:eastAsia="zh-CN"/>
              </w:rPr>
              <w:t>0.003341</w:t>
            </w:r>
          </w:p>
        </w:tc>
        <w:tc>
          <w:tcPr>
            <w:tcW w:w="723" w:type="pct"/>
            <w:shd w:val="clear" w:color="auto" w:fill="auto"/>
            <w:noWrap/>
            <w:vAlign w:val="center"/>
          </w:tcPr>
          <w:p w14:paraId="24C6D295">
            <w:pPr>
              <w:pStyle w:val="45"/>
              <w:bidi w:val="0"/>
              <w:rPr>
                <w:rFonts w:hint="default"/>
              </w:rPr>
            </w:pPr>
            <w:r>
              <w:rPr>
                <w:rFonts w:hint="eastAsia"/>
                <w:lang w:val="en-US" w:eastAsia="zh-CN"/>
              </w:rPr>
              <w:t xml:space="preserve">3.34 </w:t>
            </w:r>
          </w:p>
        </w:tc>
        <w:tc>
          <w:tcPr>
            <w:tcW w:w="528" w:type="pct"/>
            <w:shd w:val="clear" w:color="auto" w:fill="auto"/>
            <w:noWrap/>
            <w:vAlign w:val="center"/>
          </w:tcPr>
          <w:p w14:paraId="6A3338FA">
            <w:pPr>
              <w:pStyle w:val="45"/>
              <w:rPr>
                <w:rFonts w:hint="default"/>
              </w:rPr>
            </w:pPr>
            <w:r>
              <w:t>达标</w:t>
            </w:r>
          </w:p>
        </w:tc>
      </w:tr>
      <w:tr w14:paraId="4D23F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322763BA">
            <w:pPr>
              <w:pStyle w:val="45"/>
              <w:rPr>
                <w:rFonts w:hint="default"/>
              </w:rPr>
            </w:pPr>
          </w:p>
        </w:tc>
        <w:tc>
          <w:tcPr>
            <w:tcW w:w="813" w:type="pct"/>
            <w:shd w:val="clear" w:color="auto" w:fill="auto"/>
            <w:vAlign w:val="center"/>
          </w:tcPr>
          <w:p w14:paraId="182D14AD">
            <w:pPr>
              <w:pStyle w:val="45"/>
              <w:rPr>
                <w:rFonts w:hint="default"/>
              </w:rPr>
            </w:pPr>
            <w:r>
              <w:t>友谊村</w:t>
            </w:r>
          </w:p>
        </w:tc>
        <w:tc>
          <w:tcPr>
            <w:tcW w:w="399" w:type="pct"/>
            <w:shd w:val="clear" w:color="auto" w:fill="auto"/>
            <w:vAlign w:val="center"/>
          </w:tcPr>
          <w:p w14:paraId="239FD068">
            <w:pPr>
              <w:pStyle w:val="45"/>
              <w:rPr>
                <w:rFonts w:hint="default"/>
              </w:rPr>
            </w:pPr>
            <w:r>
              <w:t>0.1</w:t>
            </w:r>
          </w:p>
        </w:tc>
        <w:tc>
          <w:tcPr>
            <w:tcW w:w="811" w:type="pct"/>
            <w:shd w:val="clear" w:color="auto" w:fill="auto"/>
            <w:vAlign w:val="center"/>
          </w:tcPr>
          <w:p w14:paraId="6D5CBB19">
            <w:pPr>
              <w:pStyle w:val="45"/>
              <w:bidi w:val="0"/>
              <w:rPr>
                <w:rFonts w:hint="default"/>
              </w:rPr>
            </w:pPr>
            <w:r>
              <w:rPr>
                <w:rFonts w:hint="eastAsia"/>
                <w:lang w:val="en-US" w:eastAsia="zh-CN"/>
              </w:rPr>
              <w:t>0.000425</w:t>
            </w:r>
          </w:p>
        </w:tc>
        <w:tc>
          <w:tcPr>
            <w:tcW w:w="672" w:type="pct"/>
            <w:shd w:val="clear" w:color="auto" w:fill="auto"/>
            <w:noWrap/>
            <w:vAlign w:val="center"/>
          </w:tcPr>
          <w:p w14:paraId="15D1F674">
            <w:pPr>
              <w:pStyle w:val="45"/>
              <w:rPr>
                <w:rFonts w:hint="default"/>
              </w:rPr>
            </w:pPr>
            <w:r>
              <w:t>0.0015</w:t>
            </w:r>
          </w:p>
        </w:tc>
        <w:tc>
          <w:tcPr>
            <w:tcW w:w="672" w:type="pct"/>
            <w:shd w:val="clear" w:color="auto" w:fill="auto"/>
            <w:noWrap/>
            <w:vAlign w:val="center"/>
          </w:tcPr>
          <w:p w14:paraId="4D95871D">
            <w:pPr>
              <w:pStyle w:val="45"/>
              <w:bidi w:val="0"/>
              <w:rPr>
                <w:rFonts w:hint="default"/>
              </w:rPr>
            </w:pPr>
            <w:r>
              <w:rPr>
                <w:rFonts w:hint="eastAsia"/>
                <w:lang w:val="en-US" w:eastAsia="zh-CN"/>
              </w:rPr>
              <w:t>0.001925</w:t>
            </w:r>
          </w:p>
        </w:tc>
        <w:tc>
          <w:tcPr>
            <w:tcW w:w="723" w:type="pct"/>
            <w:shd w:val="clear" w:color="auto" w:fill="auto"/>
            <w:noWrap/>
            <w:vAlign w:val="center"/>
          </w:tcPr>
          <w:p w14:paraId="71A53B9A">
            <w:pPr>
              <w:pStyle w:val="45"/>
              <w:bidi w:val="0"/>
              <w:rPr>
                <w:rFonts w:hint="default"/>
              </w:rPr>
            </w:pPr>
            <w:r>
              <w:rPr>
                <w:rFonts w:hint="eastAsia"/>
                <w:lang w:val="en-US" w:eastAsia="zh-CN"/>
              </w:rPr>
              <w:t xml:space="preserve">1.93 </w:t>
            </w:r>
          </w:p>
        </w:tc>
        <w:tc>
          <w:tcPr>
            <w:tcW w:w="528" w:type="pct"/>
            <w:shd w:val="clear" w:color="auto" w:fill="auto"/>
            <w:noWrap/>
            <w:vAlign w:val="center"/>
          </w:tcPr>
          <w:p w14:paraId="6EFFF802">
            <w:pPr>
              <w:pStyle w:val="45"/>
              <w:rPr>
                <w:rFonts w:hint="default"/>
              </w:rPr>
            </w:pPr>
            <w:r>
              <w:t>达标</w:t>
            </w:r>
          </w:p>
        </w:tc>
      </w:tr>
      <w:tr w14:paraId="2037E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3F939A93">
            <w:pPr>
              <w:pStyle w:val="45"/>
              <w:rPr>
                <w:rFonts w:hint="default"/>
              </w:rPr>
            </w:pPr>
          </w:p>
        </w:tc>
        <w:tc>
          <w:tcPr>
            <w:tcW w:w="813" w:type="pct"/>
            <w:shd w:val="clear" w:color="auto" w:fill="auto"/>
            <w:vAlign w:val="center"/>
          </w:tcPr>
          <w:p w14:paraId="21A97DA1">
            <w:pPr>
              <w:pStyle w:val="45"/>
              <w:rPr>
                <w:rFonts w:hint="default"/>
              </w:rPr>
            </w:pPr>
            <w:r>
              <w:t>龙谊村</w:t>
            </w:r>
          </w:p>
        </w:tc>
        <w:tc>
          <w:tcPr>
            <w:tcW w:w="399" w:type="pct"/>
            <w:shd w:val="clear" w:color="auto" w:fill="auto"/>
            <w:vAlign w:val="center"/>
          </w:tcPr>
          <w:p w14:paraId="53678697">
            <w:pPr>
              <w:pStyle w:val="45"/>
              <w:rPr>
                <w:rFonts w:hint="default"/>
              </w:rPr>
            </w:pPr>
            <w:r>
              <w:t>0.1</w:t>
            </w:r>
          </w:p>
        </w:tc>
        <w:tc>
          <w:tcPr>
            <w:tcW w:w="811" w:type="pct"/>
            <w:shd w:val="clear" w:color="auto" w:fill="auto"/>
            <w:vAlign w:val="center"/>
          </w:tcPr>
          <w:p w14:paraId="3A317281">
            <w:pPr>
              <w:pStyle w:val="45"/>
              <w:bidi w:val="0"/>
              <w:rPr>
                <w:rFonts w:hint="default"/>
              </w:rPr>
            </w:pPr>
            <w:r>
              <w:rPr>
                <w:rFonts w:hint="eastAsia"/>
                <w:lang w:val="en-US" w:eastAsia="zh-CN"/>
              </w:rPr>
              <w:t>0.000335</w:t>
            </w:r>
          </w:p>
        </w:tc>
        <w:tc>
          <w:tcPr>
            <w:tcW w:w="672" w:type="pct"/>
            <w:shd w:val="clear" w:color="auto" w:fill="auto"/>
            <w:noWrap/>
            <w:vAlign w:val="center"/>
          </w:tcPr>
          <w:p w14:paraId="3EB53D83">
            <w:pPr>
              <w:pStyle w:val="45"/>
              <w:rPr>
                <w:rFonts w:hint="default"/>
              </w:rPr>
            </w:pPr>
            <w:r>
              <w:t>0.0015</w:t>
            </w:r>
          </w:p>
        </w:tc>
        <w:tc>
          <w:tcPr>
            <w:tcW w:w="672" w:type="pct"/>
            <w:shd w:val="clear" w:color="auto" w:fill="auto"/>
            <w:noWrap/>
            <w:vAlign w:val="center"/>
          </w:tcPr>
          <w:p w14:paraId="1B039536">
            <w:pPr>
              <w:pStyle w:val="45"/>
              <w:bidi w:val="0"/>
              <w:rPr>
                <w:rFonts w:hint="default"/>
              </w:rPr>
            </w:pPr>
            <w:r>
              <w:rPr>
                <w:rFonts w:hint="eastAsia"/>
                <w:lang w:val="en-US" w:eastAsia="zh-CN"/>
              </w:rPr>
              <w:t>0.001835</w:t>
            </w:r>
          </w:p>
        </w:tc>
        <w:tc>
          <w:tcPr>
            <w:tcW w:w="723" w:type="pct"/>
            <w:shd w:val="clear" w:color="auto" w:fill="auto"/>
            <w:noWrap/>
            <w:vAlign w:val="center"/>
          </w:tcPr>
          <w:p w14:paraId="5111BE5F">
            <w:pPr>
              <w:pStyle w:val="45"/>
              <w:bidi w:val="0"/>
              <w:rPr>
                <w:rFonts w:hint="default"/>
              </w:rPr>
            </w:pPr>
            <w:r>
              <w:rPr>
                <w:rFonts w:hint="eastAsia"/>
                <w:lang w:val="en-US" w:eastAsia="zh-CN"/>
              </w:rPr>
              <w:t xml:space="preserve">1.84 </w:t>
            </w:r>
          </w:p>
        </w:tc>
        <w:tc>
          <w:tcPr>
            <w:tcW w:w="528" w:type="pct"/>
            <w:shd w:val="clear" w:color="auto" w:fill="auto"/>
            <w:noWrap/>
            <w:vAlign w:val="center"/>
          </w:tcPr>
          <w:p w14:paraId="1846BC95">
            <w:pPr>
              <w:pStyle w:val="45"/>
              <w:rPr>
                <w:rFonts w:hint="default"/>
              </w:rPr>
            </w:pPr>
            <w:r>
              <w:t>达标</w:t>
            </w:r>
          </w:p>
        </w:tc>
      </w:tr>
      <w:tr w14:paraId="184C6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46737FA9">
            <w:pPr>
              <w:pStyle w:val="45"/>
              <w:rPr>
                <w:rFonts w:hint="default"/>
              </w:rPr>
            </w:pPr>
          </w:p>
        </w:tc>
        <w:tc>
          <w:tcPr>
            <w:tcW w:w="813" w:type="pct"/>
            <w:shd w:val="clear" w:color="auto" w:fill="auto"/>
            <w:vAlign w:val="center"/>
          </w:tcPr>
          <w:p w14:paraId="064CAD66">
            <w:pPr>
              <w:pStyle w:val="45"/>
              <w:rPr>
                <w:rFonts w:hint="default"/>
              </w:rPr>
            </w:pPr>
            <w:r>
              <w:t>友爱村</w:t>
            </w:r>
          </w:p>
        </w:tc>
        <w:tc>
          <w:tcPr>
            <w:tcW w:w="399" w:type="pct"/>
            <w:shd w:val="clear" w:color="auto" w:fill="auto"/>
            <w:vAlign w:val="center"/>
          </w:tcPr>
          <w:p w14:paraId="7C37CC55">
            <w:pPr>
              <w:pStyle w:val="45"/>
              <w:rPr>
                <w:rFonts w:hint="default"/>
              </w:rPr>
            </w:pPr>
            <w:r>
              <w:t>0.1</w:t>
            </w:r>
          </w:p>
        </w:tc>
        <w:tc>
          <w:tcPr>
            <w:tcW w:w="811" w:type="pct"/>
            <w:shd w:val="clear" w:color="auto" w:fill="auto"/>
            <w:vAlign w:val="center"/>
          </w:tcPr>
          <w:p w14:paraId="5BE68A5F">
            <w:pPr>
              <w:pStyle w:val="45"/>
              <w:bidi w:val="0"/>
              <w:rPr>
                <w:rFonts w:hint="default"/>
              </w:rPr>
            </w:pPr>
            <w:r>
              <w:rPr>
                <w:rFonts w:hint="eastAsia"/>
                <w:lang w:val="en-US" w:eastAsia="zh-CN"/>
              </w:rPr>
              <w:t>0.000285</w:t>
            </w:r>
          </w:p>
        </w:tc>
        <w:tc>
          <w:tcPr>
            <w:tcW w:w="672" w:type="pct"/>
            <w:shd w:val="clear" w:color="auto" w:fill="auto"/>
            <w:noWrap/>
            <w:vAlign w:val="center"/>
          </w:tcPr>
          <w:p w14:paraId="0C4A66FF">
            <w:pPr>
              <w:pStyle w:val="45"/>
              <w:rPr>
                <w:rFonts w:hint="default"/>
              </w:rPr>
            </w:pPr>
            <w:r>
              <w:t>0.0015</w:t>
            </w:r>
          </w:p>
        </w:tc>
        <w:tc>
          <w:tcPr>
            <w:tcW w:w="672" w:type="pct"/>
            <w:shd w:val="clear" w:color="auto" w:fill="auto"/>
            <w:noWrap/>
            <w:vAlign w:val="center"/>
          </w:tcPr>
          <w:p w14:paraId="5ADF7493">
            <w:pPr>
              <w:pStyle w:val="45"/>
              <w:bidi w:val="0"/>
              <w:rPr>
                <w:rFonts w:hint="default"/>
              </w:rPr>
            </w:pPr>
            <w:r>
              <w:rPr>
                <w:rFonts w:hint="eastAsia"/>
                <w:lang w:val="en-US" w:eastAsia="zh-CN"/>
              </w:rPr>
              <w:t>0.001785</w:t>
            </w:r>
          </w:p>
        </w:tc>
        <w:tc>
          <w:tcPr>
            <w:tcW w:w="723" w:type="pct"/>
            <w:shd w:val="clear" w:color="auto" w:fill="auto"/>
            <w:noWrap/>
            <w:vAlign w:val="center"/>
          </w:tcPr>
          <w:p w14:paraId="1CB9A3E6">
            <w:pPr>
              <w:pStyle w:val="45"/>
              <w:bidi w:val="0"/>
              <w:rPr>
                <w:rFonts w:hint="default"/>
              </w:rPr>
            </w:pPr>
            <w:r>
              <w:rPr>
                <w:rFonts w:hint="eastAsia"/>
                <w:lang w:val="en-US" w:eastAsia="zh-CN"/>
              </w:rPr>
              <w:t xml:space="preserve">1.79 </w:t>
            </w:r>
          </w:p>
        </w:tc>
        <w:tc>
          <w:tcPr>
            <w:tcW w:w="528" w:type="pct"/>
            <w:shd w:val="clear" w:color="auto" w:fill="auto"/>
            <w:noWrap/>
            <w:vAlign w:val="center"/>
          </w:tcPr>
          <w:p w14:paraId="35C7A682">
            <w:pPr>
              <w:pStyle w:val="45"/>
              <w:rPr>
                <w:rFonts w:hint="default"/>
              </w:rPr>
            </w:pPr>
            <w:r>
              <w:t>达标</w:t>
            </w:r>
          </w:p>
        </w:tc>
      </w:tr>
      <w:tr w14:paraId="136DD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0AAD2BC2">
            <w:pPr>
              <w:pStyle w:val="45"/>
              <w:rPr>
                <w:rFonts w:hint="default"/>
              </w:rPr>
            </w:pPr>
          </w:p>
        </w:tc>
        <w:tc>
          <w:tcPr>
            <w:tcW w:w="813" w:type="pct"/>
            <w:shd w:val="clear" w:color="auto" w:fill="auto"/>
            <w:vAlign w:val="center"/>
          </w:tcPr>
          <w:p w14:paraId="0061C448">
            <w:pPr>
              <w:pStyle w:val="45"/>
              <w:rPr>
                <w:rFonts w:hint="default"/>
              </w:rPr>
            </w:pPr>
            <w:r>
              <w:t>江霞村</w:t>
            </w:r>
          </w:p>
        </w:tc>
        <w:tc>
          <w:tcPr>
            <w:tcW w:w="399" w:type="pct"/>
            <w:shd w:val="clear" w:color="auto" w:fill="auto"/>
            <w:vAlign w:val="center"/>
          </w:tcPr>
          <w:p w14:paraId="5A19A162">
            <w:pPr>
              <w:pStyle w:val="45"/>
              <w:rPr>
                <w:rFonts w:hint="default"/>
              </w:rPr>
            </w:pPr>
            <w:r>
              <w:t>0.1</w:t>
            </w:r>
          </w:p>
        </w:tc>
        <w:tc>
          <w:tcPr>
            <w:tcW w:w="811" w:type="pct"/>
            <w:shd w:val="clear" w:color="auto" w:fill="auto"/>
            <w:vAlign w:val="center"/>
          </w:tcPr>
          <w:p w14:paraId="02E86307">
            <w:pPr>
              <w:pStyle w:val="45"/>
              <w:bidi w:val="0"/>
              <w:rPr>
                <w:rFonts w:hint="default"/>
              </w:rPr>
            </w:pPr>
            <w:r>
              <w:rPr>
                <w:rFonts w:hint="eastAsia"/>
                <w:lang w:val="en-US" w:eastAsia="zh-CN"/>
              </w:rPr>
              <w:t>0.000272</w:t>
            </w:r>
          </w:p>
        </w:tc>
        <w:tc>
          <w:tcPr>
            <w:tcW w:w="672" w:type="pct"/>
            <w:shd w:val="clear" w:color="auto" w:fill="auto"/>
            <w:noWrap/>
            <w:vAlign w:val="center"/>
          </w:tcPr>
          <w:p w14:paraId="3E0B4D73">
            <w:pPr>
              <w:pStyle w:val="45"/>
              <w:rPr>
                <w:rFonts w:hint="default"/>
              </w:rPr>
            </w:pPr>
            <w:r>
              <w:t>0.0015</w:t>
            </w:r>
          </w:p>
        </w:tc>
        <w:tc>
          <w:tcPr>
            <w:tcW w:w="672" w:type="pct"/>
            <w:shd w:val="clear" w:color="auto" w:fill="auto"/>
            <w:noWrap/>
            <w:vAlign w:val="center"/>
          </w:tcPr>
          <w:p w14:paraId="5CAE080D">
            <w:pPr>
              <w:pStyle w:val="45"/>
              <w:bidi w:val="0"/>
              <w:rPr>
                <w:rFonts w:hint="default"/>
              </w:rPr>
            </w:pPr>
            <w:r>
              <w:rPr>
                <w:rFonts w:hint="eastAsia"/>
                <w:lang w:val="en-US" w:eastAsia="zh-CN"/>
              </w:rPr>
              <w:t>0.001772</w:t>
            </w:r>
          </w:p>
        </w:tc>
        <w:tc>
          <w:tcPr>
            <w:tcW w:w="723" w:type="pct"/>
            <w:shd w:val="clear" w:color="auto" w:fill="auto"/>
            <w:noWrap/>
            <w:vAlign w:val="center"/>
          </w:tcPr>
          <w:p w14:paraId="00A0DAF5">
            <w:pPr>
              <w:pStyle w:val="45"/>
              <w:bidi w:val="0"/>
              <w:rPr>
                <w:rFonts w:hint="default"/>
              </w:rPr>
            </w:pPr>
            <w:r>
              <w:rPr>
                <w:rFonts w:hint="eastAsia"/>
                <w:lang w:val="en-US" w:eastAsia="zh-CN"/>
              </w:rPr>
              <w:t xml:space="preserve">1.77 </w:t>
            </w:r>
          </w:p>
        </w:tc>
        <w:tc>
          <w:tcPr>
            <w:tcW w:w="528" w:type="pct"/>
            <w:shd w:val="clear" w:color="auto" w:fill="auto"/>
            <w:noWrap/>
            <w:vAlign w:val="center"/>
          </w:tcPr>
          <w:p w14:paraId="0D2227B9">
            <w:pPr>
              <w:pStyle w:val="45"/>
              <w:rPr>
                <w:rFonts w:hint="default"/>
              </w:rPr>
            </w:pPr>
            <w:r>
              <w:t>达标</w:t>
            </w:r>
          </w:p>
        </w:tc>
      </w:tr>
      <w:tr w14:paraId="37011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1DB86F28">
            <w:pPr>
              <w:pStyle w:val="45"/>
              <w:rPr>
                <w:rFonts w:hint="default"/>
              </w:rPr>
            </w:pPr>
          </w:p>
        </w:tc>
        <w:tc>
          <w:tcPr>
            <w:tcW w:w="813" w:type="pct"/>
            <w:shd w:val="clear" w:color="auto" w:fill="auto"/>
            <w:vAlign w:val="center"/>
          </w:tcPr>
          <w:p w14:paraId="7B996112">
            <w:pPr>
              <w:pStyle w:val="45"/>
              <w:rPr>
                <w:rFonts w:hint="default"/>
              </w:rPr>
            </w:pPr>
            <w:r>
              <w:t>金兰村</w:t>
            </w:r>
          </w:p>
        </w:tc>
        <w:tc>
          <w:tcPr>
            <w:tcW w:w="399" w:type="pct"/>
            <w:shd w:val="clear" w:color="auto" w:fill="auto"/>
            <w:vAlign w:val="center"/>
          </w:tcPr>
          <w:p w14:paraId="4C4100A8">
            <w:pPr>
              <w:pStyle w:val="45"/>
              <w:rPr>
                <w:rFonts w:hint="default"/>
              </w:rPr>
            </w:pPr>
            <w:r>
              <w:t>0.1</w:t>
            </w:r>
          </w:p>
        </w:tc>
        <w:tc>
          <w:tcPr>
            <w:tcW w:w="811" w:type="pct"/>
            <w:shd w:val="clear" w:color="auto" w:fill="auto"/>
            <w:vAlign w:val="center"/>
          </w:tcPr>
          <w:p w14:paraId="07050C80">
            <w:pPr>
              <w:pStyle w:val="45"/>
              <w:bidi w:val="0"/>
              <w:rPr>
                <w:rFonts w:hint="default"/>
              </w:rPr>
            </w:pPr>
            <w:r>
              <w:rPr>
                <w:rFonts w:hint="eastAsia"/>
                <w:lang w:val="en-US" w:eastAsia="zh-CN"/>
              </w:rPr>
              <w:t>0.00019</w:t>
            </w:r>
          </w:p>
        </w:tc>
        <w:tc>
          <w:tcPr>
            <w:tcW w:w="672" w:type="pct"/>
            <w:shd w:val="clear" w:color="auto" w:fill="auto"/>
            <w:noWrap/>
            <w:vAlign w:val="center"/>
          </w:tcPr>
          <w:p w14:paraId="35283B32">
            <w:pPr>
              <w:pStyle w:val="45"/>
              <w:rPr>
                <w:rFonts w:hint="default"/>
              </w:rPr>
            </w:pPr>
            <w:r>
              <w:t>0.0015</w:t>
            </w:r>
          </w:p>
        </w:tc>
        <w:tc>
          <w:tcPr>
            <w:tcW w:w="672" w:type="pct"/>
            <w:shd w:val="clear" w:color="auto" w:fill="auto"/>
            <w:noWrap/>
            <w:vAlign w:val="center"/>
          </w:tcPr>
          <w:p w14:paraId="7E142176">
            <w:pPr>
              <w:pStyle w:val="45"/>
              <w:bidi w:val="0"/>
              <w:rPr>
                <w:rFonts w:hint="default"/>
              </w:rPr>
            </w:pPr>
            <w:r>
              <w:rPr>
                <w:rFonts w:hint="eastAsia"/>
                <w:lang w:val="en-US" w:eastAsia="zh-CN"/>
              </w:rPr>
              <w:t>0.00169</w:t>
            </w:r>
          </w:p>
        </w:tc>
        <w:tc>
          <w:tcPr>
            <w:tcW w:w="723" w:type="pct"/>
            <w:shd w:val="clear" w:color="auto" w:fill="auto"/>
            <w:noWrap/>
            <w:vAlign w:val="center"/>
          </w:tcPr>
          <w:p w14:paraId="082562F8">
            <w:pPr>
              <w:pStyle w:val="45"/>
              <w:bidi w:val="0"/>
              <w:rPr>
                <w:rFonts w:hint="default"/>
              </w:rPr>
            </w:pPr>
            <w:r>
              <w:rPr>
                <w:rFonts w:hint="eastAsia"/>
                <w:lang w:val="en-US" w:eastAsia="zh-CN"/>
              </w:rPr>
              <w:t xml:space="preserve">1.69 </w:t>
            </w:r>
          </w:p>
        </w:tc>
        <w:tc>
          <w:tcPr>
            <w:tcW w:w="528" w:type="pct"/>
            <w:shd w:val="clear" w:color="auto" w:fill="auto"/>
            <w:noWrap/>
            <w:vAlign w:val="center"/>
          </w:tcPr>
          <w:p w14:paraId="1B787CF6">
            <w:pPr>
              <w:pStyle w:val="45"/>
              <w:rPr>
                <w:rFonts w:hint="default"/>
              </w:rPr>
            </w:pPr>
            <w:r>
              <w:t>达标</w:t>
            </w:r>
          </w:p>
        </w:tc>
      </w:tr>
      <w:tr w14:paraId="7E7F2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34673D2A">
            <w:pPr>
              <w:pStyle w:val="45"/>
              <w:rPr>
                <w:rFonts w:hint="default"/>
              </w:rPr>
            </w:pPr>
          </w:p>
        </w:tc>
        <w:tc>
          <w:tcPr>
            <w:tcW w:w="813" w:type="pct"/>
            <w:shd w:val="clear" w:color="auto" w:fill="auto"/>
            <w:vAlign w:val="center"/>
          </w:tcPr>
          <w:p w14:paraId="3B904CC0">
            <w:pPr>
              <w:pStyle w:val="45"/>
              <w:rPr>
                <w:rFonts w:hint="default"/>
              </w:rPr>
            </w:pPr>
            <w:r>
              <w:t>大昌村</w:t>
            </w:r>
          </w:p>
        </w:tc>
        <w:tc>
          <w:tcPr>
            <w:tcW w:w="399" w:type="pct"/>
            <w:shd w:val="clear" w:color="auto" w:fill="auto"/>
            <w:vAlign w:val="center"/>
          </w:tcPr>
          <w:p w14:paraId="76984A39">
            <w:pPr>
              <w:pStyle w:val="45"/>
              <w:rPr>
                <w:rFonts w:hint="default"/>
              </w:rPr>
            </w:pPr>
            <w:r>
              <w:t>0.1</w:t>
            </w:r>
          </w:p>
        </w:tc>
        <w:tc>
          <w:tcPr>
            <w:tcW w:w="811" w:type="pct"/>
            <w:shd w:val="clear" w:color="auto" w:fill="auto"/>
            <w:vAlign w:val="center"/>
          </w:tcPr>
          <w:p w14:paraId="7EF14790">
            <w:pPr>
              <w:pStyle w:val="45"/>
              <w:bidi w:val="0"/>
              <w:rPr>
                <w:rFonts w:hint="default"/>
              </w:rPr>
            </w:pPr>
            <w:r>
              <w:rPr>
                <w:rFonts w:hint="eastAsia"/>
                <w:lang w:val="en-US" w:eastAsia="zh-CN"/>
              </w:rPr>
              <w:t>0.000212</w:t>
            </w:r>
          </w:p>
        </w:tc>
        <w:tc>
          <w:tcPr>
            <w:tcW w:w="672" w:type="pct"/>
            <w:shd w:val="clear" w:color="auto" w:fill="auto"/>
            <w:noWrap/>
            <w:vAlign w:val="center"/>
          </w:tcPr>
          <w:p w14:paraId="5E71EDC0">
            <w:pPr>
              <w:pStyle w:val="45"/>
              <w:rPr>
                <w:rFonts w:hint="default"/>
              </w:rPr>
            </w:pPr>
            <w:r>
              <w:t>0.0015</w:t>
            </w:r>
          </w:p>
        </w:tc>
        <w:tc>
          <w:tcPr>
            <w:tcW w:w="672" w:type="pct"/>
            <w:shd w:val="clear" w:color="auto" w:fill="auto"/>
            <w:noWrap/>
            <w:vAlign w:val="center"/>
          </w:tcPr>
          <w:p w14:paraId="43D7AEF7">
            <w:pPr>
              <w:pStyle w:val="45"/>
              <w:bidi w:val="0"/>
              <w:rPr>
                <w:rFonts w:hint="default"/>
              </w:rPr>
            </w:pPr>
            <w:r>
              <w:rPr>
                <w:rFonts w:hint="eastAsia"/>
                <w:lang w:val="en-US" w:eastAsia="zh-CN"/>
              </w:rPr>
              <w:t>0.001712</w:t>
            </w:r>
          </w:p>
        </w:tc>
        <w:tc>
          <w:tcPr>
            <w:tcW w:w="723" w:type="pct"/>
            <w:shd w:val="clear" w:color="auto" w:fill="auto"/>
            <w:noWrap/>
            <w:vAlign w:val="center"/>
          </w:tcPr>
          <w:p w14:paraId="0E5FD332">
            <w:pPr>
              <w:pStyle w:val="45"/>
              <w:bidi w:val="0"/>
              <w:rPr>
                <w:rFonts w:hint="default"/>
              </w:rPr>
            </w:pPr>
            <w:r>
              <w:rPr>
                <w:rFonts w:hint="eastAsia"/>
                <w:lang w:val="en-US" w:eastAsia="zh-CN"/>
              </w:rPr>
              <w:t xml:space="preserve">1.71 </w:t>
            </w:r>
          </w:p>
        </w:tc>
        <w:tc>
          <w:tcPr>
            <w:tcW w:w="528" w:type="pct"/>
            <w:shd w:val="clear" w:color="auto" w:fill="auto"/>
            <w:noWrap/>
            <w:vAlign w:val="center"/>
          </w:tcPr>
          <w:p w14:paraId="6EF471DB">
            <w:pPr>
              <w:pStyle w:val="45"/>
              <w:rPr>
                <w:rFonts w:hint="default"/>
              </w:rPr>
            </w:pPr>
            <w:r>
              <w:t>达标</w:t>
            </w:r>
          </w:p>
        </w:tc>
      </w:tr>
      <w:tr w14:paraId="575BF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505C4470">
            <w:pPr>
              <w:pStyle w:val="45"/>
              <w:rPr>
                <w:rFonts w:hint="default"/>
              </w:rPr>
            </w:pPr>
          </w:p>
        </w:tc>
        <w:tc>
          <w:tcPr>
            <w:tcW w:w="813" w:type="pct"/>
            <w:shd w:val="clear" w:color="auto" w:fill="auto"/>
            <w:vAlign w:val="center"/>
          </w:tcPr>
          <w:p w14:paraId="321882DF">
            <w:pPr>
              <w:pStyle w:val="45"/>
              <w:rPr>
                <w:rFonts w:hint="eastAsia" w:eastAsia="宋体"/>
                <w:lang w:val="en-US" w:eastAsia="zh-CN"/>
              </w:rPr>
            </w:pPr>
            <w:r>
              <w:rPr>
                <w:rFonts w:hint="eastAsia" w:cs="宋体"/>
                <w:color w:val="000000"/>
                <w:kern w:val="0"/>
                <w:sz w:val="21"/>
                <w:szCs w:val="21"/>
              </w:rPr>
              <w:t>区域最大落地浓度坐标（</w:t>
            </w:r>
            <w:r>
              <w:rPr>
                <w:rFonts w:hint="eastAsia" w:cs="宋体"/>
                <w:color w:val="000000"/>
                <w:kern w:val="0"/>
                <w:sz w:val="21"/>
                <w:szCs w:val="21"/>
                <w:lang w:val="en-US" w:eastAsia="zh-CN"/>
              </w:rPr>
              <w:t>-450,250</w:t>
            </w:r>
            <w:r>
              <w:rPr>
                <w:rFonts w:hint="eastAsia" w:cs="宋体"/>
                <w:color w:val="000000"/>
                <w:kern w:val="0"/>
                <w:sz w:val="21"/>
                <w:szCs w:val="21"/>
              </w:rPr>
              <w:t>）厂界</w:t>
            </w:r>
            <w:r>
              <w:rPr>
                <w:rFonts w:hint="eastAsia" w:cs="宋体"/>
                <w:color w:val="000000"/>
                <w:kern w:val="0"/>
                <w:sz w:val="21"/>
                <w:szCs w:val="21"/>
                <w:lang w:val="en-US" w:eastAsia="zh-CN"/>
              </w:rPr>
              <w:t>外</w:t>
            </w:r>
          </w:p>
        </w:tc>
        <w:tc>
          <w:tcPr>
            <w:tcW w:w="399" w:type="pct"/>
            <w:shd w:val="clear" w:color="auto" w:fill="auto"/>
            <w:vAlign w:val="center"/>
          </w:tcPr>
          <w:p w14:paraId="3B15D2DE">
            <w:pPr>
              <w:pStyle w:val="45"/>
            </w:pPr>
            <w:r>
              <w:t>0.1</w:t>
            </w:r>
          </w:p>
        </w:tc>
        <w:tc>
          <w:tcPr>
            <w:tcW w:w="811" w:type="pct"/>
            <w:shd w:val="clear" w:color="auto" w:fill="auto"/>
            <w:vAlign w:val="center"/>
          </w:tcPr>
          <w:p w14:paraId="468BB8E9">
            <w:pPr>
              <w:pStyle w:val="45"/>
              <w:bidi w:val="0"/>
            </w:pPr>
            <w:r>
              <w:rPr>
                <w:rFonts w:hint="eastAsia"/>
                <w:lang w:val="en-US" w:eastAsia="zh-CN"/>
              </w:rPr>
              <w:t>0.009529</w:t>
            </w:r>
          </w:p>
        </w:tc>
        <w:tc>
          <w:tcPr>
            <w:tcW w:w="672" w:type="pct"/>
            <w:shd w:val="clear" w:color="auto" w:fill="auto"/>
            <w:noWrap/>
            <w:vAlign w:val="center"/>
          </w:tcPr>
          <w:p w14:paraId="1F3E1E5D">
            <w:pPr>
              <w:pStyle w:val="45"/>
              <w:rPr>
                <w:rFonts w:hint="default" w:eastAsia="宋体"/>
                <w:lang w:val="en-US" w:eastAsia="zh-CN"/>
              </w:rPr>
            </w:pPr>
            <w:r>
              <w:rPr>
                <w:rFonts w:hint="eastAsia"/>
                <w:lang w:val="en-US" w:eastAsia="zh-CN"/>
              </w:rPr>
              <w:t>0.0015</w:t>
            </w:r>
          </w:p>
        </w:tc>
        <w:tc>
          <w:tcPr>
            <w:tcW w:w="672" w:type="pct"/>
            <w:shd w:val="clear" w:color="auto" w:fill="auto"/>
            <w:noWrap/>
            <w:vAlign w:val="center"/>
          </w:tcPr>
          <w:p w14:paraId="6BD2ABDE">
            <w:pPr>
              <w:pStyle w:val="45"/>
              <w:bidi w:val="0"/>
            </w:pPr>
            <w:r>
              <w:rPr>
                <w:rFonts w:hint="eastAsia"/>
                <w:lang w:val="en-US" w:eastAsia="zh-CN"/>
              </w:rPr>
              <w:t>0.011029</w:t>
            </w:r>
          </w:p>
        </w:tc>
        <w:tc>
          <w:tcPr>
            <w:tcW w:w="723" w:type="pct"/>
            <w:shd w:val="clear" w:color="auto" w:fill="auto"/>
            <w:noWrap/>
            <w:vAlign w:val="center"/>
          </w:tcPr>
          <w:p w14:paraId="0D11DB0A">
            <w:pPr>
              <w:pStyle w:val="45"/>
              <w:bidi w:val="0"/>
            </w:pPr>
            <w:r>
              <w:rPr>
                <w:rFonts w:hint="eastAsia"/>
                <w:lang w:val="en-US" w:eastAsia="zh-CN"/>
              </w:rPr>
              <w:t xml:space="preserve">11.03 </w:t>
            </w:r>
          </w:p>
        </w:tc>
        <w:tc>
          <w:tcPr>
            <w:tcW w:w="528" w:type="pct"/>
            <w:shd w:val="clear" w:color="auto" w:fill="auto"/>
            <w:noWrap/>
            <w:vAlign w:val="center"/>
          </w:tcPr>
          <w:p w14:paraId="5BFBA7C1">
            <w:pPr>
              <w:pStyle w:val="45"/>
            </w:pPr>
            <w:r>
              <w:t>达标</w:t>
            </w:r>
          </w:p>
        </w:tc>
      </w:tr>
    </w:tbl>
    <w:p w14:paraId="78465CB9">
      <w:pPr>
        <w:pStyle w:val="43"/>
        <w:numPr>
          <w:ilvl w:val="5"/>
          <w:numId w:val="1"/>
        </w:numPr>
        <w:rPr>
          <w:rFonts w:hint="default"/>
        </w:rPr>
      </w:pPr>
      <w:r>
        <w:rPr>
          <w:rFonts w:hint="default"/>
        </w:rPr>
        <w:t>Cl</w:t>
      </w:r>
      <w:r>
        <w:rPr>
          <w:rFonts w:hint="default"/>
          <w:vertAlign w:val="subscript"/>
        </w:rPr>
        <w:t>2</w:t>
      </w:r>
      <w:r>
        <w:rPr>
          <w:rFonts w:hint="default"/>
        </w:rPr>
        <w:t>在环境保护目标及网格点处</w:t>
      </w:r>
      <w:r>
        <w:rPr>
          <w:rFonts w:hint="eastAsia"/>
          <w:lang w:val="en-US" w:eastAsia="zh-CN"/>
        </w:rPr>
        <w:t>日</w:t>
      </w:r>
      <w:r>
        <w:rPr>
          <w:rFonts w:hint="default"/>
        </w:rPr>
        <w:t>平均质量浓度占标率</w:t>
      </w:r>
    </w:p>
    <w:tbl>
      <w:tblPr>
        <w:tblStyle w:val="3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6"/>
        <w:gridCol w:w="2201"/>
        <w:gridCol w:w="1230"/>
        <w:gridCol w:w="2298"/>
        <w:gridCol w:w="1904"/>
        <w:gridCol w:w="1904"/>
        <w:gridCol w:w="2048"/>
        <w:gridCol w:w="1502"/>
      </w:tblGrid>
      <w:tr w14:paraId="53A3F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trPr>
        <w:tc>
          <w:tcPr>
            <w:tcW w:w="380" w:type="pct"/>
            <w:vMerge w:val="restart"/>
            <w:shd w:val="clear" w:color="auto" w:fill="auto"/>
            <w:vAlign w:val="center"/>
          </w:tcPr>
          <w:p w14:paraId="3F3A227B">
            <w:pPr>
              <w:pStyle w:val="45"/>
              <w:rPr>
                <w:rFonts w:hint="default"/>
                <w:b/>
                <w:bCs/>
              </w:rPr>
            </w:pPr>
            <w:r>
              <w:rPr>
                <w:b/>
                <w:bCs/>
              </w:rPr>
              <w:t>评价因子</w:t>
            </w:r>
          </w:p>
        </w:tc>
        <w:tc>
          <w:tcPr>
            <w:tcW w:w="777" w:type="pct"/>
            <w:vMerge w:val="restart"/>
            <w:shd w:val="clear" w:color="auto" w:fill="auto"/>
            <w:vAlign w:val="center"/>
          </w:tcPr>
          <w:p w14:paraId="455C13E7">
            <w:pPr>
              <w:pStyle w:val="45"/>
              <w:rPr>
                <w:rFonts w:hint="default"/>
                <w:b/>
                <w:bCs/>
              </w:rPr>
            </w:pPr>
            <w:r>
              <w:rPr>
                <w:b/>
                <w:bCs/>
              </w:rPr>
              <w:t>环境空气保护目标</w:t>
            </w:r>
          </w:p>
        </w:tc>
        <w:tc>
          <w:tcPr>
            <w:tcW w:w="434" w:type="pct"/>
            <w:vMerge w:val="restart"/>
            <w:shd w:val="clear" w:color="auto" w:fill="auto"/>
            <w:vAlign w:val="center"/>
          </w:tcPr>
          <w:p w14:paraId="1FE92AF3">
            <w:pPr>
              <w:pStyle w:val="45"/>
              <w:rPr>
                <w:rFonts w:hint="default"/>
                <w:b/>
                <w:bCs/>
              </w:rPr>
            </w:pPr>
            <w:r>
              <w:rPr>
                <w:b/>
                <w:bCs/>
              </w:rPr>
              <w:t>标准值</w:t>
            </w:r>
            <w:r>
              <w:rPr>
                <w:rFonts w:cs="宋体"/>
                <w:b/>
                <w:bCs/>
                <w:color w:val="000000"/>
              </w:rPr>
              <w:t>（</w:t>
            </w:r>
            <w:r>
              <w:rPr>
                <w:rFonts w:hint="default"/>
                <w:b/>
                <w:bCs/>
                <w:color w:val="000000"/>
              </w:rPr>
              <w:t>mg/m</w:t>
            </w:r>
            <w:r>
              <w:rPr>
                <w:rFonts w:hint="default"/>
                <w:b/>
                <w:bCs/>
                <w:color w:val="000000"/>
                <w:vertAlign w:val="superscript"/>
              </w:rPr>
              <w:t>3</w:t>
            </w:r>
            <w:r>
              <w:rPr>
                <w:rFonts w:cs="宋体"/>
                <w:b/>
                <w:bCs/>
                <w:color w:val="000000"/>
              </w:rPr>
              <w:t>）</w:t>
            </w:r>
          </w:p>
        </w:tc>
        <w:tc>
          <w:tcPr>
            <w:tcW w:w="3408" w:type="pct"/>
            <w:gridSpan w:val="5"/>
            <w:shd w:val="clear" w:color="auto" w:fill="auto"/>
            <w:vAlign w:val="center"/>
          </w:tcPr>
          <w:p w14:paraId="07881169">
            <w:pPr>
              <w:pStyle w:val="45"/>
              <w:rPr>
                <w:rFonts w:hint="default"/>
                <w:b/>
                <w:bCs/>
              </w:rPr>
            </w:pPr>
            <w:r>
              <w:rPr>
                <w:rFonts w:hint="eastAsia"/>
                <w:b/>
                <w:bCs/>
                <w:lang w:val="en-US" w:eastAsia="zh-CN"/>
              </w:rPr>
              <w:t>日</w:t>
            </w:r>
            <w:r>
              <w:rPr>
                <w:b/>
                <w:bCs/>
              </w:rPr>
              <w:t>平均质量浓度</w:t>
            </w:r>
          </w:p>
        </w:tc>
      </w:tr>
      <w:tr w14:paraId="576A0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trPr>
        <w:tc>
          <w:tcPr>
            <w:tcW w:w="380" w:type="pct"/>
            <w:vMerge w:val="continue"/>
            <w:shd w:val="clear" w:color="auto" w:fill="auto"/>
            <w:vAlign w:val="center"/>
          </w:tcPr>
          <w:p w14:paraId="48EA8A91">
            <w:pPr>
              <w:pStyle w:val="45"/>
              <w:rPr>
                <w:rFonts w:hint="default"/>
                <w:b/>
                <w:bCs/>
              </w:rPr>
            </w:pPr>
          </w:p>
        </w:tc>
        <w:tc>
          <w:tcPr>
            <w:tcW w:w="777" w:type="pct"/>
            <w:vMerge w:val="continue"/>
            <w:shd w:val="clear" w:color="auto" w:fill="auto"/>
            <w:vAlign w:val="center"/>
          </w:tcPr>
          <w:p w14:paraId="12703C5C">
            <w:pPr>
              <w:pStyle w:val="45"/>
              <w:rPr>
                <w:rFonts w:hint="default"/>
                <w:b/>
                <w:bCs/>
              </w:rPr>
            </w:pPr>
          </w:p>
        </w:tc>
        <w:tc>
          <w:tcPr>
            <w:tcW w:w="434" w:type="pct"/>
            <w:vMerge w:val="continue"/>
            <w:shd w:val="clear" w:color="auto" w:fill="auto"/>
            <w:vAlign w:val="center"/>
          </w:tcPr>
          <w:p w14:paraId="650B6BF6">
            <w:pPr>
              <w:pStyle w:val="45"/>
              <w:rPr>
                <w:rFonts w:hint="default"/>
                <w:b/>
                <w:bCs/>
              </w:rPr>
            </w:pPr>
          </w:p>
        </w:tc>
        <w:tc>
          <w:tcPr>
            <w:tcW w:w="811" w:type="pct"/>
            <w:shd w:val="clear" w:color="auto" w:fill="auto"/>
            <w:vAlign w:val="center"/>
          </w:tcPr>
          <w:p w14:paraId="3535211C">
            <w:pPr>
              <w:pStyle w:val="45"/>
              <w:rPr>
                <w:rFonts w:hint="default"/>
                <w:b/>
                <w:bCs/>
              </w:rPr>
            </w:pPr>
            <w:r>
              <w:rPr>
                <w:b/>
                <w:bCs/>
              </w:rPr>
              <w:t>叠加在建、拟建源、削减源后最大浓度值</w:t>
            </w:r>
            <w:r>
              <w:rPr>
                <w:rFonts w:cs="宋体"/>
                <w:b/>
                <w:bCs/>
                <w:color w:val="000000"/>
              </w:rPr>
              <w:t>（</w:t>
            </w:r>
            <w:r>
              <w:rPr>
                <w:rFonts w:hint="default"/>
                <w:b/>
                <w:bCs/>
                <w:color w:val="000000"/>
              </w:rPr>
              <w:t>mg/m</w:t>
            </w:r>
            <w:r>
              <w:rPr>
                <w:rFonts w:hint="default"/>
                <w:b/>
                <w:bCs/>
                <w:color w:val="000000"/>
                <w:vertAlign w:val="superscript"/>
              </w:rPr>
              <w:t>3</w:t>
            </w:r>
            <w:r>
              <w:rPr>
                <w:rFonts w:cs="宋体"/>
                <w:b/>
                <w:bCs/>
                <w:color w:val="000000"/>
              </w:rPr>
              <w:t>）</w:t>
            </w:r>
          </w:p>
        </w:tc>
        <w:tc>
          <w:tcPr>
            <w:tcW w:w="672" w:type="pct"/>
            <w:shd w:val="clear" w:color="auto" w:fill="auto"/>
            <w:vAlign w:val="center"/>
          </w:tcPr>
          <w:p w14:paraId="28F1A4EF">
            <w:pPr>
              <w:pStyle w:val="45"/>
              <w:rPr>
                <w:rFonts w:hint="default"/>
                <w:b/>
                <w:bCs/>
              </w:rPr>
            </w:pPr>
            <w:r>
              <w:rPr>
                <w:b/>
                <w:bCs/>
              </w:rPr>
              <w:t>现状浓度</w:t>
            </w:r>
            <w:r>
              <w:rPr>
                <w:rFonts w:cs="宋体"/>
                <w:b/>
                <w:bCs/>
                <w:color w:val="000000"/>
              </w:rPr>
              <w:t>（</w:t>
            </w:r>
            <w:r>
              <w:rPr>
                <w:rFonts w:hint="default"/>
                <w:b/>
                <w:bCs/>
                <w:color w:val="000000"/>
              </w:rPr>
              <w:t>mg/m</w:t>
            </w:r>
            <w:r>
              <w:rPr>
                <w:rFonts w:hint="default"/>
                <w:b/>
                <w:bCs/>
                <w:color w:val="000000"/>
                <w:vertAlign w:val="superscript"/>
              </w:rPr>
              <w:t>3</w:t>
            </w:r>
            <w:r>
              <w:rPr>
                <w:rFonts w:cs="宋体"/>
                <w:b/>
                <w:bCs/>
                <w:color w:val="000000"/>
              </w:rPr>
              <w:t>）</w:t>
            </w:r>
          </w:p>
        </w:tc>
        <w:tc>
          <w:tcPr>
            <w:tcW w:w="672" w:type="pct"/>
            <w:shd w:val="clear" w:color="auto" w:fill="auto"/>
            <w:vAlign w:val="center"/>
          </w:tcPr>
          <w:p w14:paraId="6DCA987E">
            <w:pPr>
              <w:pStyle w:val="45"/>
              <w:rPr>
                <w:rFonts w:hint="default"/>
                <w:b/>
                <w:bCs/>
              </w:rPr>
            </w:pPr>
            <w:r>
              <w:rPr>
                <w:b/>
                <w:bCs/>
              </w:rPr>
              <w:t>叠加现状浓度后的浓度</w:t>
            </w:r>
            <w:r>
              <w:rPr>
                <w:rFonts w:cs="宋体"/>
                <w:b/>
                <w:bCs/>
                <w:color w:val="000000"/>
              </w:rPr>
              <w:t>（</w:t>
            </w:r>
            <w:r>
              <w:rPr>
                <w:rFonts w:hint="default"/>
                <w:b/>
                <w:bCs/>
                <w:color w:val="000000"/>
              </w:rPr>
              <w:t>mg/m</w:t>
            </w:r>
            <w:r>
              <w:rPr>
                <w:rFonts w:hint="default"/>
                <w:b/>
                <w:bCs/>
                <w:color w:val="000000"/>
                <w:vertAlign w:val="superscript"/>
              </w:rPr>
              <w:t>3</w:t>
            </w:r>
            <w:r>
              <w:rPr>
                <w:rFonts w:cs="宋体"/>
                <w:b/>
                <w:bCs/>
                <w:color w:val="000000"/>
              </w:rPr>
              <w:t>）</w:t>
            </w:r>
          </w:p>
        </w:tc>
        <w:tc>
          <w:tcPr>
            <w:tcW w:w="723" w:type="pct"/>
            <w:shd w:val="clear" w:color="auto" w:fill="auto"/>
            <w:vAlign w:val="center"/>
          </w:tcPr>
          <w:p w14:paraId="059B608B">
            <w:pPr>
              <w:pStyle w:val="45"/>
              <w:rPr>
                <w:rFonts w:hint="default"/>
                <w:b/>
                <w:bCs/>
              </w:rPr>
            </w:pPr>
            <w:r>
              <w:rPr>
                <w:b/>
                <w:bCs/>
              </w:rPr>
              <w:t>占标率（</w:t>
            </w:r>
            <w:r>
              <w:rPr>
                <w:rFonts w:hint="default"/>
                <w:b/>
                <w:bCs/>
              </w:rPr>
              <w:t>%</w:t>
            </w:r>
            <w:r>
              <w:rPr>
                <w:b/>
                <w:bCs/>
              </w:rPr>
              <w:t>）</w:t>
            </w:r>
          </w:p>
        </w:tc>
        <w:tc>
          <w:tcPr>
            <w:tcW w:w="529" w:type="pct"/>
            <w:shd w:val="clear" w:color="auto" w:fill="auto"/>
            <w:vAlign w:val="center"/>
          </w:tcPr>
          <w:p w14:paraId="0F6740F9">
            <w:pPr>
              <w:pStyle w:val="45"/>
              <w:rPr>
                <w:rFonts w:hint="default"/>
                <w:b/>
                <w:bCs/>
              </w:rPr>
            </w:pPr>
            <w:r>
              <w:rPr>
                <w:b/>
                <w:bCs/>
              </w:rPr>
              <w:t>达标情况</w:t>
            </w:r>
          </w:p>
        </w:tc>
      </w:tr>
      <w:tr w14:paraId="042C6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restart"/>
            <w:shd w:val="clear" w:color="auto" w:fill="auto"/>
            <w:vAlign w:val="center"/>
          </w:tcPr>
          <w:p w14:paraId="05A909AC">
            <w:pPr>
              <w:pStyle w:val="45"/>
              <w:rPr>
                <w:rFonts w:hint="default"/>
              </w:rPr>
            </w:pPr>
            <w:r>
              <w:t>氯气（C</w:t>
            </w:r>
            <w:r>
              <w:rPr>
                <w:vertAlign w:val="subscript"/>
              </w:rPr>
              <w:t>l2</w:t>
            </w:r>
            <w:r>
              <w:t>）</w:t>
            </w:r>
          </w:p>
        </w:tc>
        <w:tc>
          <w:tcPr>
            <w:tcW w:w="777" w:type="pct"/>
            <w:shd w:val="clear" w:color="auto" w:fill="auto"/>
            <w:vAlign w:val="center"/>
          </w:tcPr>
          <w:p w14:paraId="45FA80D9">
            <w:pPr>
              <w:pStyle w:val="45"/>
              <w:rPr>
                <w:rFonts w:hint="default"/>
              </w:rPr>
            </w:pPr>
            <w:r>
              <w:t>新安村</w:t>
            </w:r>
          </w:p>
        </w:tc>
        <w:tc>
          <w:tcPr>
            <w:tcW w:w="434" w:type="pct"/>
            <w:shd w:val="clear" w:color="auto" w:fill="auto"/>
            <w:vAlign w:val="center"/>
          </w:tcPr>
          <w:p w14:paraId="01594DE9">
            <w:pPr>
              <w:pStyle w:val="45"/>
              <w:bidi w:val="0"/>
              <w:rPr>
                <w:rFonts w:hint="default"/>
              </w:rPr>
            </w:pPr>
            <w:r>
              <w:rPr>
                <w:rFonts w:hint="eastAsia"/>
                <w:lang w:val="en-US" w:eastAsia="zh-CN"/>
              </w:rPr>
              <w:t>0.03</w:t>
            </w:r>
          </w:p>
        </w:tc>
        <w:tc>
          <w:tcPr>
            <w:tcW w:w="811" w:type="pct"/>
            <w:shd w:val="clear" w:color="auto" w:fill="auto"/>
            <w:vAlign w:val="center"/>
          </w:tcPr>
          <w:p w14:paraId="041248D6">
            <w:pPr>
              <w:pStyle w:val="45"/>
              <w:bidi w:val="0"/>
              <w:rPr>
                <w:rFonts w:hint="default"/>
              </w:rPr>
            </w:pPr>
            <w:r>
              <w:rPr>
                <w:rFonts w:hint="eastAsia"/>
                <w:lang w:val="en-US" w:eastAsia="zh-CN"/>
              </w:rPr>
              <w:t>0.000034</w:t>
            </w:r>
          </w:p>
        </w:tc>
        <w:tc>
          <w:tcPr>
            <w:tcW w:w="672" w:type="pct"/>
            <w:shd w:val="clear" w:color="auto" w:fill="auto"/>
            <w:noWrap/>
            <w:vAlign w:val="center"/>
          </w:tcPr>
          <w:p w14:paraId="4924C415">
            <w:pPr>
              <w:pStyle w:val="45"/>
              <w:rPr>
                <w:rFonts w:hint="default"/>
              </w:rPr>
            </w:pPr>
            <w:r>
              <w:t>0.0015</w:t>
            </w:r>
          </w:p>
        </w:tc>
        <w:tc>
          <w:tcPr>
            <w:tcW w:w="1904" w:type="dxa"/>
            <w:shd w:val="clear" w:color="auto" w:fill="auto"/>
            <w:noWrap/>
            <w:vAlign w:val="center"/>
          </w:tcPr>
          <w:p w14:paraId="03C15BE9">
            <w:pPr>
              <w:pStyle w:val="45"/>
              <w:bidi w:val="0"/>
              <w:rPr>
                <w:rFonts w:hint="default"/>
              </w:rPr>
            </w:pPr>
            <w:r>
              <w:rPr>
                <w:rFonts w:hint="eastAsia"/>
                <w:lang w:val="en-US" w:eastAsia="zh-CN"/>
              </w:rPr>
              <w:t>0.001534</w:t>
            </w:r>
          </w:p>
        </w:tc>
        <w:tc>
          <w:tcPr>
            <w:tcW w:w="2048" w:type="dxa"/>
            <w:shd w:val="clear" w:color="auto" w:fill="auto"/>
            <w:noWrap/>
            <w:vAlign w:val="center"/>
          </w:tcPr>
          <w:p w14:paraId="0C3AD2F5">
            <w:pPr>
              <w:pStyle w:val="45"/>
              <w:bidi w:val="0"/>
              <w:rPr>
                <w:rFonts w:hint="default"/>
              </w:rPr>
            </w:pPr>
            <w:r>
              <w:rPr>
                <w:rFonts w:hint="eastAsia"/>
                <w:lang w:val="en-US" w:eastAsia="zh-CN"/>
              </w:rPr>
              <w:t xml:space="preserve">5.11 </w:t>
            </w:r>
          </w:p>
        </w:tc>
        <w:tc>
          <w:tcPr>
            <w:tcW w:w="529" w:type="pct"/>
            <w:shd w:val="clear" w:color="auto" w:fill="auto"/>
            <w:noWrap/>
            <w:vAlign w:val="center"/>
          </w:tcPr>
          <w:p w14:paraId="015A6F22">
            <w:pPr>
              <w:pStyle w:val="45"/>
              <w:rPr>
                <w:rFonts w:hint="default"/>
              </w:rPr>
            </w:pPr>
            <w:r>
              <w:t>达标</w:t>
            </w:r>
          </w:p>
        </w:tc>
      </w:tr>
      <w:tr w14:paraId="09E38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5916C55F">
            <w:pPr>
              <w:pStyle w:val="45"/>
              <w:rPr>
                <w:rFonts w:hint="default"/>
              </w:rPr>
            </w:pPr>
          </w:p>
        </w:tc>
        <w:tc>
          <w:tcPr>
            <w:tcW w:w="777" w:type="pct"/>
            <w:shd w:val="clear" w:color="auto" w:fill="auto"/>
            <w:vAlign w:val="center"/>
          </w:tcPr>
          <w:p w14:paraId="00690568">
            <w:pPr>
              <w:pStyle w:val="45"/>
              <w:rPr>
                <w:rFonts w:hint="default"/>
              </w:rPr>
            </w:pPr>
            <w:r>
              <w:t>松木村</w:t>
            </w:r>
          </w:p>
        </w:tc>
        <w:tc>
          <w:tcPr>
            <w:tcW w:w="434" w:type="pct"/>
            <w:shd w:val="clear" w:color="auto" w:fill="auto"/>
            <w:vAlign w:val="center"/>
          </w:tcPr>
          <w:p w14:paraId="43394EF9">
            <w:pPr>
              <w:pStyle w:val="45"/>
              <w:bidi w:val="0"/>
              <w:rPr>
                <w:rFonts w:hint="default"/>
              </w:rPr>
            </w:pPr>
            <w:r>
              <w:rPr>
                <w:rFonts w:hint="eastAsia"/>
                <w:lang w:val="en-US" w:eastAsia="zh-CN"/>
              </w:rPr>
              <w:t>0.03</w:t>
            </w:r>
          </w:p>
        </w:tc>
        <w:tc>
          <w:tcPr>
            <w:tcW w:w="811" w:type="pct"/>
            <w:shd w:val="clear" w:color="auto" w:fill="auto"/>
            <w:vAlign w:val="center"/>
          </w:tcPr>
          <w:p w14:paraId="11E0E173">
            <w:pPr>
              <w:pStyle w:val="45"/>
              <w:bidi w:val="0"/>
              <w:rPr>
                <w:rFonts w:hint="default"/>
              </w:rPr>
            </w:pPr>
            <w:r>
              <w:rPr>
                <w:rFonts w:hint="eastAsia"/>
                <w:lang w:val="en-US" w:eastAsia="zh-CN"/>
              </w:rPr>
              <w:t>0.000041</w:t>
            </w:r>
          </w:p>
        </w:tc>
        <w:tc>
          <w:tcPr>
            <w:tcW w:w="672" w:type="pct"/>
            <w:shd w:val="clear" w:color="auto" w:fill="auto"/>
            <w:noWrap/>
            <w:vAlign w:val="center"/>
          </w:tcPr>
          <w:p w14:paraId="2D48DD01">
            <w:pPr>
              <w:pStyle w:val="45"/>
              <w:rPr>
                <w:rFonts w:hint="default"/>
              </w:rPr>
            </w:pPr>
            <w:r>
              <w:t>0.0015</w:t>
            </w:r>
          </w:p>
        </w:tc>
        <w:tc>
          <w:tcPr>
            <w:tcW w:w="1904" w:type="dxa"/>
            <w:shd w:val="clear" w:color="auto" w:fill="auto"/>
            <w:noWrap/>
            <w:vAlign w:val="center"/>
          </w:tcPr>
          <w:p w14:paraId="10D0AB0E">
            <w:pPr>
              <w:pStyle w:val="45"/>
              <w:bidi w:val="0"/>
              <w:rPr>
                <w:rFonts w:hint="default"/>
              </w:rPr>
            </w:pPr>
            <w:r>
              <w:rPr>
                <w:rFonts w:hint="eastAsia"/>
                <w:lang w:val="en-US" w:eastAsia="zh-CN"/>
              </w:rPr>
              <w:t>0.001541</w:t>
            </w:r>
          </w:p>
        </w:tc>
        <w:tc>
          <w:tcPr>
            <w:tcW w:w="2048" w:type="dxa"/>
            <w:shd w:val="clear" w:color="auto" w:fill="auto"/>
            <w:noWrap/>
            <w:vAlign w:val="center"/>
          </w:tcPr>
          <w:p w14:paraId="03F0121D">
            <w:pPr>
              <w:pStyle w:val="45"/>
              <w:bidi w:val="0"/>
              <w:rPr>
                <w:rFonts w:hint="default"/>
              </w:rPr>
            </w:pPr>
            <w:r>
              <w:rPr>
                <w:rFonts w:hint="eastAsia"/>
                <w:lang w:val="en-US" w:eastAsia="zh-CN"/>
              </w:rPr>
              <w:t xml:space="preserve">5.14 </w:t>
            </w:r>
          </w:p>
        </w:tc>
        <w:tc>
          <w:tcPr>
            <w:tcW w:w="529" w:type="pct"/>
            <w:shd w:val="clear" w:color="auto" w:fill="auto"/>
            <w:noWrap/>
            <w:vAlign w:val="center"/>
          </w:tcPr>
          <w:p w14:paraId="19A7EEFC">
            <w:pPr>
              <w:pStyle w:val="45"/>
              <w:rPr>
                <w:rFonts w:hint="default"/>
              </w:rPr>
            </w:pPr>
            <w:r>
              <w:t>达标</w:t>
            </w:r>
          </w:p>
        </w:tc>
      </w:tr>
      <w:tr w14:paraId="67EED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434B9D44">
            <w:pPr>
              <w:pStyle w:val="45"/>
              <w:rPr>
                <w:rFonts w:hint="default"/>
              </w:rPr>
            </w:pPr>
          </w:p>
        </w:tc>
        <w:tc>
          <w:tcPr>
            <w:tcW w:w="777" w:type="pct"/>
            <w:shd w:val="clear" w:color="auto" w:fill="auto"/>
            <w:vAlign w:val="center"/>
          </w:tcPr>
          <w:p w14:paraId="010A9B69">
            <w:pPr>
              <w:pStyle w:val="45"/>
              <w:rPr>
                <w:rFonts w:hint="default"/>
              </w:rPr>
            </w:pPr>
            <w:r>
              <w:t>金源小学</w:t>
            </w:r>
          </w:p>
        </w:tc>
        <w:tc>
          <w:tcPr>
            <w:tcW w:w="434" w:type="pct"/>
            <w:shd w:val="clear" w:color="auto" w:fill="auto"/>
            <w:vAlign w:val="center"/>
          </w:tcPr>
          <w:p w14:paraId="55A0B7EF">
            <w:pPr>
              <w:pStyle w:val="45"/>
              <w:bidi w:val="0"/>
              <w:rPr>
                <w:rFonts w:hint="default"/>
              </w:rPr>
            </w:pPr>
            <w:r>
              <w:rPr>
                <w:rFonts w:hint="eastAsia"/>
                <w:lang w:val="en-US" w:eastAsia="zh-CN"/>
              </w:rPr>
              <w:t>0.03</w:t>
            </w:r>
          </w:p>
        </w:tc>
        <w:tc>
          <w:tcPr>
            <w:tcW w:w="811" w:type="pct"/>
            <w:shd w:val="clear" w:color="auto" w:fill="auto"/>
            <w:vAlign w:val="center"/>
          </w:tcPr>
          <w:p w14:paraId="4FEAAB27">
            <w:pPr>
              <w:pStyle w:val="45"/>
              <w:bidi w:val="0"/>
              <w:rPr>
                <w:rFonts w:hint="default"/>
              </w:rPr>
            </w:pPr>
            <w:r>
              <w:rPr>
                <w:rFonts w:hint="eastAsia"/>
                <w:lang w:val="en-US" w:eastAsia="zh-CN"/>
              </w:rPr>
              <w:t>0.000034</w:t>
            </w:r>
          </w:p>
        </w:tc>
        <w:tc>
          <w:tcPr>
            <w:tcW w:w="672" w:type="pct"/>
            <w:shd w:val="clear" w:color="auto" w:fill="auto"/>
            <w:noWrap/>
            <w:vAlign w:val="center"/>
          </w:tcPr>
          <w:p w14:paraId="151E78FA">
            <w:pPr>
              <w:pStyle w:val="45"/>
              <w:rPr>
                <w:rFonts w:hint="default"/>
              </w:rPr>
            </w:pPr>
            <w:r>
              <w:t>0.0015</w:t>
            </w:r>
          </w:p>
        </w:tc>
        <w:tc>
          <w:tcPr>
            <w:tcW w:w="1904" w:type="dxa"/>
            <w:shd w:val="clear" w:color="auto" w:fill="auto"/>
            <w:noWrap/>
            <w:vAlign w:val="center"/>
          </w:tcPr>
          <w:p w14:paraId="481C5363">
            <w:pPr>
              <w:pStyle w:val="45"/>
              <w:bidi w:val="0"/>
              <w:rPr>
                <w:rFonts w:hint="default"/>
              </w:rPr>
            </w:pPr>
            <w:r>
              <w:rPr>
                <w:rFonts w:hint="eastAsia"/>
                <w:lang w:val="en-US" w:eastAsia="zh-CN"/>
              </w:rPr>
              <w:t>0.001534</w:t>
            </w:r>
          </w:p>
        </w:tc>
        <w:tc>
          <w:tcPr>
            <w:tcW w:w="2048" w:type="dxa"/>
            <w:shd w:val="clear" w:color="auto" w:fill="auto"/>
            <w:noWrap/>
            <w:vAlign w:val="center"/>
          </w:tcPr>
          <w:p w14:paraId="30791D64">
            <w:pPr>
              <w:pStyle w:val="45"/>
              <w:bidi w:val="0"/>
              <w:rPr>
                <w:rFonts w:hint="default"/>
              </w:rPr>
            </w:pPr>
            <w:r>
              <w:rPr>
                <w:rFonts w:hint="eastAsia"/>
                <w:lang w:val="en-US" w:eastAsia="zh-CN"/>
              </w:rPr>
              <w:t xml:space="preserve">5.11 </w:t>
            </w:r>
          </w:p>
        </w:tc>
        <w:tc>
          <w:tcPr>
            <w:tcW w:w="529" w:type="pct"/>
            <w:shd w:val="clear" w:color="auto" w:fill="auto"/>
            <w:noWrap/>
            <w:vAlign w:val="center"/>
          </w:tcPr>
          <w:p w14:paraId="2E7A71F7">
            <w:pPr>
              <w:pStyle w:val="45"/>
              <w:rPr>
                <w:rFonts w:hint="default"/>
              </w:rPr>
            </w:pPr>
            <w:r>
              <w:t>达标</w:t>
            </w:r>
          </w:p>
        </w:tc>
      </w:tr>
      <w:tr w14:paraId="6323D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363D093F">
            <w:pPr>
              <w:pStyle w:val="45"/>
              <w:rPr>
                <w:rFonts w:hint="default"/>
              </w:rPr>
            </w:pPr>
          </w:p>
        </w:tc>
        <w:tc>
          <w:tcPr>
            <w:tcW w:w="777" w:type="pct"/>
            <w:shd w:val="clear" w:color="auto" w:fill="auto"/>
            <w:vAlign w:val="center"/>
          </w:tcPr>
          <w:p w14:paraId="108C2829">
            <w:pPr>
              <w:pStyle w:val="45"/>
              <w:rPr>
                <w:rFonts w:hint="default"/>
              </w:rPr>
            </w:pPr>
            <w:r>
              <w:t>金源社区安置房</w:t>
            </w:r>
            <w:r>
              <w:rPr>
                <w:rFonts w:hint="default"/>
              </w:rPr>
              <w:t>2</w:t>
            </w:r>
          </w:p>
        </w:tc>
        <w:tc>
          <w:tcPr>
            <w:tcW w:w="434" w:type="pct"/>
            <w:shd w:val="clear" w:color="auto" w:fill="auto"/>
            <w:vAlign w:val="center"/>
          </w:tcPr>
          <w:p w14:paraId="329F293C">
            <w:pPr>
              <w:pStyle w:val="45"/>
              <w:bidi w:val="0"/>
              <w:rPr>
                <w:rFonts w:hint="default"/>
              </w:rPr>
            </w:pPr>
            <w:r>
              <w:rPr>
                <w:rFonts w:hint="eastAsia"/>
                <w:lang w:val="en-US" w:eastAsia="zh-CN"/>
              </w:rPr>
              <w:t>0.03</w:t>
            </w:r>
          </w:p>
        </w:tc>
        <w:tc>
          <w:tcPr>
            <w:tcW w:w="811" w:type="pct"/>
            <w:shd w:val="clear" w:color="auto" w:fill="auto"/>
            <w:vAlign w:val="center"/>
          </w:tcPr>
          <w:p w14:paraId="6065A70B">
            <w:pPr>
              <w:pStyle w:val="45"/>
              <w:bidi w:val="0"/>
              <w:rPr>
                <w:rFonts w:hint="default"/>
              </w:rPr>
            </w:pPr>
            <w:r>
              <w:rPr>
                <w:rFonts w:hint="eastAsia"/>
                <w:lang w:val="en-US" w:eastAsia="zh-CN"/>
              </w:rPr>
              <w:t>0.000025</w:t>
            </w:r>
          </w:p>
        </w:tc>
        <w:tc>
          <w:tcPr>
            <w:tcW w:w="672" w:type="pct"/>
            <w:shd w:val="clear" w:color="auto" w:fill="auto"/>
            <w:noWrap/>
            <w:vAlign w:val="center"/>
          </w:tcPr>
          <w:p w14:paraId="065C710B">
            <w:pPr>
              <w:pStyle w:val="45"/>
              <w:rPr>
                <w:rFonts w:hint="default"/>
              </w:rPr>
            </w:pPr>
            <w:r>
              <w:t>0.0015</w:t>
            </w:r>
          </w:p>
        </w:tc>
        <w:tc>
          <w:tcPr>
            <w:tcW w:w="1904" w:type="dxa"/>
            <w:shd w:val="clear" w:color="auto" w:fill="auto"/>
            <w:noWrap/>
            <w:vAlign w:val="center"/>
          </w:tcPr>
          <w:p w14:paraId="6612FC34">
            <w:pPr>
              <w:pStyle w:val="45"/>
              <w:bidi w:val="0"/>
              <w:rPr>
                <w:rFonts w:hint="default"/>
              </w:rPr>
            </w:pPr>
            <w:r>
              <w:rPr>
                <w:rFonts w:hint="eastAsia"/>
                <w:lang w:val="en-US" w:eastAsia="zh-CN"/>
              </w:rPr>
              <w:t>0.001525</w:t>
            </w:r>
          </w:p>
        </w:tc>
        <w:tc>
          <w:tcPr>
            <w:tcW w:w="2048" w:type="dxa"/>
            <w:shd w:val="clear" w:color="auto" w:fill="auto"/>
            <w:noWrap/>
            <w:vAlign w:val="center"/>
          </w:tcPr>
          <w:p w14:paraId="2D25CFD6">
            <w:pPr>
              <w:pStyle w:val="45"/>
              <w:bidi w:val="0"/>
              <w:rPr>
                <w:rFonts w:hint="default"/>
              </w:rPr>
            </w:pPr>
            <w:r>
              <w:rPr>
                <w:rFonts w:hint="eastAsia"/>
                <w:lang w:val="en-US" w:eastAsia="zh-CN"/>
              </w:rPr>
              <w:t xml:space="preserve">5.08 </w:t>
            </w:r>
          </w:p>
        </w:tc>
        <w:tc>
          <w:tcPr>
            <w:tcW w:w="529" w:type="pct"/>
            <w:shd w:val="clear" w:color="auto" w:fill="auto"/>
            <w:noWrap/>
            <w:vAlign w:val="center"/>
          </w:tcPr>
          <w:p w14:paraId="02E7750D">
            <w:pPr>
              <w:pStyle w:val="45"/>
              <w:rPr>
                <w:rFonts w:hint="default"/>
              </w:rPr>
            </w:pPr>
            <w:r>
              <w:t>达标</w:t>
            </w:r>
          </w:p>
        </w:tc>
      </w:tr>
      <w:tr w14:paraId="59C14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3ECA3DE4">
            <w:pPr>
              <w:pStyle w:val="45"/>
              <w:rPr>
                <w:rFonts w:hint="default"/>
              </w:rPr>
            </w:pPr>
          </w:p>
        </w:tc>
        <w:tc>
          <w:tcPr>
            <w:tcW w:w="777" w:type="pct"/>
            <w:shd w:val="clear" w:color="auto" w:fill="auto"/>
            <w:vAlign w:val="center"/>
          </w:tcPr>
          <w:p w14:paraId="22D155FD">
            <w:pPr>
              <w:pStyle w:val="45"/>
              <w:rPr>
                <w:rFonts w:hint="default"/>
              </w:rPr>
            </w:pPr>
            <w:r>
              <w:t>金源社区医院</w:t>
            </w:r>
          </w:p>
        </w:tc>
        <w:tc>
          <w:tcPr>
            <w:tcW w:w="434" w:type="pct"/>
            <w:shd w:val="clear" w:color="auto" w:fill="auto"/>
            <w:vAlign w:val="center"/>
          </w:tcPr>
          <w:p w14:paraId="13F0823B">
            <w:pPr>
              <w:pStyle w:val="45"/>
              <w:bidi w:val="0"/>
              <w:rPr>
                <w:rFonts w:hint="default"/>
              </w:rPr>
            </w:pPr>
            <w:r>
              <w:rPr>
                <w:rFonts w:hint="eastAsia"/>
                <w:lang w:val="en-US" w:eastAsia="zh-CN"/>
              </w:rPr>
              <w:t>0.03</w:t>
            </w:r>
          </w:p>
        </w:tc>
        <w:tc>
          <w:tcPr>
            <w:tcW w:w="811" w:type="pct"/>
            <w:shd w:val="clear" w:color="auto" w:fill="auto"/>
            <w:vAlign w:val="center"/>
          </w:tcPr>
          <w:p w14:paraId="72C1B8CF">
            <w:pPr>
              <w:pStyle w:val="45"/>
              <w:bidi w:val="0"/>
              <w:rPr>
                <w:rFonts w:hint="default"/>
              </w:rPr>
            </w:pPr>
            <w:r>
              <w:rPr>
                <w:rFonts w:hint="eastAsia"/>
                <w:lang w:val="en-US" w:eastAsia="zh-CN"/>
              </w:rPr>
              <w:t>0.000024</w:t>
            </w:r>
          </w:p>
        </w:tc>
        <w:tc>
          <w:tcPr>
            <w:tcW w:w="672" w:type="pct"/>
            <w:shd w:val="clear" w:color="auto" w:fill="auto"/>
            <w:noWrap/>
            <w:vAlign w:val="center"/>
          </w:tcPr>
          <w:p w14:paraId="2400990F">
            <w:pPr>
              <w:pStyle w:val="45"/>
              <w:rPr>
                <w:rFonts w:hint="default"/>
              </w:rPr>
            </w:pPr>
            <w:r>
              <w:t>0.0015</w:t>
            </w:r>
          </w:p>
        </w:tc>
        <w:tc>
          <w:tcPr>
            <w:tcW w:w="1904" w:type="dxa"/>
            <w:shd w:val="clear" w:color="auto" w:fill="auto"/>
            <w:noWrap/>
            <w:vAlign w:val="center"/>
          </w:tcPr>
          <w:p w14:paraId="7F34E858">
            <w:pPr>
              <w:pStyle w:val="45"/>
              <w:bidi w:val="0"/>
              <w:rPr>
                <w:rFonts w:hint="default"/>
              </w:rPr>
            </w:pPr>
            <w:r>
              <w:rPr>
                <w:rFonts w:hint="eastAsia"/>
                <w:lang w:val="en-US" w:eastAsia="zh-CN"/>
              </w:rPr>
              <w:t>0.001524</w:t>
            </w:r>
          </w:p>
        </w:tc>
        <w:tc>
          <w:tcPr>
            <w:tcW w:w="2048" w:type="dxa"/>
            <w:shd w:val="clear" w:color="auto" w:fill="auto"/>
            <w:noWrap/>
            <w:vAlign w:val="center"/>
          </w:tcPr>
          <w:p w14:paraId="573769A7">
            <w:pPr>
              <w:pStyle w:val="45"/>
              <w:bidi w:val="0"/>
              <w:rPr>
                <w:rFonts w:hint="default"/>
              </w:rPr>
            </w:pPr>
            <w:r>
              <w:rPr>
                <w:rFonts w:hint="eastAsia"/>
                <w:lang w:val="en-US" w:eastAsia="zh-CN"/>
              </w:rPr>
              <w:t xml:space="preserve">5.08 </w:t>
            </w:r>
          </w:p>
        </w:tc>
        <w:tc>
          <w:tcPr>
            <w:tcW w:w="529" w:type="pct"/>
            <w:shd w:val="clear" w:color="auto" w:fill="auto"/>
            <w:noWrap/>
            <w:vAlign w:val="center"/>
          </w:tcPr>
          <w:p w14:paraId="60E67A96">
            <w:pPr>
              <w:pStyle w:val="45"/>
              <w:rPr>
                <w:rFonts w:hint="default"/>
              </w:rPr>
            </w:pPr>
            <w:r>
              <w:t>达标</w:t>
            </w:r>
          </w:p>
        </w:tc>
      </w:tr>
      <w:tr w14:paraId="4ACC2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4EDD43F8">
            <w:pPr>
              <w:pStyle w:val="45"/>
              <w:rPr>
                <w:rFonts w:hint="default"/>
              </w:rPr>
            </w:pPr>
          </w:p>
        </w:tc>
        <w:tc>
          <w:tcPr>
            <w:tcW w:w="777" w:type="pct"/>
            <w:shd w:val="clear" w:color="auto" w:fill="auto"/>
            <w:vAlign w:val="center"/>
          </w:tcPr>
          <w:p w14:paraId="0D07A849">
            <w:pPr>
              <w:pStyle w:val="45"/>
              <w:rPr>
                <w:rFonts w:hint="default"/>
              </w:rPr>
            </w:pPr>
            <w:r>
              <w:t>金源社区安置房</w:t>
            </w:r>
          </w:p>
        </w:tc>
        <w:tc>
          <w:tcPr>
            <w:tcW w:w="434" w:type="pct"/>
            <w:shd w:val="clear" w:color="auto" w:fill="auto"/>
            <w:vAlign w:val="center"/>
          </w:tcPr>
          <w:p w14:paraId="2D795585">
            <w:pPr>
              <w:pStyle w:val="45"/>
              <w:bidi w:val="0"/>
              <w:rPr>
                <w:rFonts w:hint="default"/>
              </w:rPr>
            </w:pPr>
            <w:r>
              <w:rPr>
                <w:rFonts w:hint="eastAsia"/>
                <w:lang w:val="en-US" w:eastAsia="zh-CN"/>
              </w:rPr>
              <w:t>0.03</w:t>
            </w:r>
          </w:p>
        </w:tc>
        <w:tc>
          <w:tcPr>
            <w:tcW w:w="811" w:type="pct"/>
            <w:shd w:val="clear" w:color="auto" w:fill="auto"/>
            <w:vAlign w:val="center"/>
          </w:tcPr>
          <w:p w14:paraId="395910E7">
            <w:pPr>
              <w:pStyle w:val="45"/>
              <w:bidi w:val="0"/>
              <w:rPr>
                <w:rFonts w:hint="default"/>
              </w:rPr>
            </w:pPr>
            <w:r>
              <w:rPr>
                <w:rFonts w:hint="eastAsia"/>
                <w:lang w:val="en-US" w:eastAsia="zh-CN"/>
              </w:rPr>
              <w:t>0.000012</w:t>
            </w:r>
          </w:p>
        </w:tc>
        <w:tc>
          <w:tcPr>
            <w:tcW w:w="672" w:type="pct"/>
            <w:shd w:val="clear" w:color="auto" w:fill="auto"/>
            <w:noWrap/>
            <w:vAlign w:val="center"/>
          </w:tcPr>
          <w:p w14:paraId="3EEB885C">
            <w:pPr>
              <w:pStyle w:val="45"/>
              <w:rPr>
                <w:rFonts w:hint="default"/>
              </w:rPr>
            </w:pPr>
            <w:r>
              <w:t>0.0015</w:t>
            </w:r>
          </w:p>
        </w:tc>
        <w:tc>
          <w:tcPr>
            <w:tcW w:w="1904" w:type="dxa"/>
            <w:shd w:val="clear" w:color="auto" w:fill="auto"/>
            <w:noWrap/>
            <w:vAlign w:val="center"/>
          </w:tcPr>
          <w:p w14:paraId="08A007D2">
            <w:pPr>
              <w:pStyle w:val="45"/>
              <w:bidi w:val="0"/>
              <w:rPr>
                <w:rFonts w:hint="default"/>
              </w:rPr>
            </w:pPr>
            <w:r>
              <w:rPr>
                <w:rFonts w:hint="eastAsia"/>
                <w:lang w:val="en-US" w:eastAsia="zh-CN"/>
              </w:rPr>
              <w:t>0.001512</w:t>
            </w:r>
          </w:p>
        </w:tc>
        <w:tc>
          <w:tcPr>
            <w:tcW w:w="2048" w:type="dxa"/>
            <w:shd w:val="clear" w:color="auto" w:fill="auto"/>
            <w:noWrap/>
            <w:vAlign w:val="center"/>
          </w:tcPr>
          <w:p w14:paraId="7ACB6835">
            <w:pPr>
              <w:pStyle w:val="45"/>
              <w:bidi w:val="0"/>
              <w:rPr>
                <w:rFonts w:hint="default"/>
              </w:rPr>
            </w:pPr>
            <w:r>
              <w:rPr>
                <w:rFonts w:hint="eastAsia"/>
                <w:lang w:val="en-US" w:eastAsia="zh-CN"/>
              </w:rPr>
              <w:t xml:space="preserve">5.04 </w:t>
            </w:r>
          </w:p>
        </w:tc>
        <w:tc>
          <w:tcPr>
            <w:tcW w:w="529" w:type="pct"/>
            <w:shd w:val="clear" w:color="auto" w:fill="auto"/>
            <w:noWrap/>
            <w:vAlign w:val="center"/>
          </w:tcPr>
          <w:p w14:paraId="2DB48083">
            <w:pPr>
              <w:pStyle w:val="45"/>
              <w:rPr>
                <w:rFonts w:hint="default"/>
              </w:rPr>
            </w:pPr>
            <w:r>
              <w:t>达标</w:t>
            </w:r>
          </w:p>
        </w:tc>
      </w:tr>
      <w:tr w14:paraId="3D272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0743D55B">
            <w:pPr>
              <w:pStyle w:val="45"/>
              <w:rPr>
                <w:rFonts w:hint="default"/>
              </w:rPr>
            </w:pPr>
          </w:p>
        </w:tc>
        <w:tc>
          <w:tcPr>
            <w:tcW w:w="777" w:type="pct"/>
            <w:shd w:val="clear" w:color="auto" w:fill="auto"/>
            <w:vAlign w:val="center"/>
          </w:tcPr>
          <w:p w14:paraId="57F0F282">
            <w:pPr>
              <w:pStyle w:val="45"/>
              <w:rPr>
                <w:rFonts w:hint="default"/>
              </w:rPr>
            </w:pPr>
            <w:r>
              <w:t>湖南工商职业学院</w:t>
            </w:r>
          </w:p>
        </w:tc>
        <w:tc>
          <w:tcPr>
            <w:tcW w:w="434" w:type="pct"/>
            <w:shd w:val="clear" w:color="auto" w:fill="auto"/>
            <w:vAlign w:val="center"/>
          </w:tcPr>
          <w:p w14:paraId="537CCA08">
            <w:pPr>
              <w:pStyle w:val="45"/>
              <w:bidi w:val="0"/>
              <w:rPr>
                <w:rFonts w:hint="default"/>
              </w:rPr>
            </w:pPr>
            <w:r>
              <w:rPr>
                <w:rFonts w:hint="eastAsia"/>
                <w:lang w:val="en-US" w:eastAsia="zh-CN"/>
              </w:rPr>
              <w:t>0.03</w:t>
            </w:r>
          </w:p>
        </w:tc>
        <w:tc>
          <w:tcPr>
            <w:tcW w:w="811" w:type="pct"/>
            <w:shd w:val="clear" w:color="auto" w:fill="auto"/>
            <w:vAlign w:val="center"/>
          </w:tcPr>
          <w:p w14:paraId="60CC761A">
            <w:pPr>
              <w:pStyle w:val="45"/>
              <w:bidi w:val="0"/>
              <w:rPr>
                <w:rFonts w:hint="default"/>
              </w:rPr>
            </w:pPr>
            <w:r>
              <w:rPr>
                <w:rFonts w:hint="eastAsia"/>
                <w:lang w:val="en-US" w:eastAsia="zh-CN"/>
              </w:rPr>
              <w:t>0.000012</w:t>
            </w:r>
          </w:p>
        </w:tc>
        <w:tc>
          <w:tcPr>
            <w:tcW w:w="672" w:type="pct"/>
            <w:shd w:val="clear" w:color="auto" w:fill="auto"/>
            <w:noWrap/>
            <w:vAlign w:val="center"/>
          </w:tcPr>
          <w:p w14:paraId="4D283BBA">
            <w:pPr>
              <w:pStyle w:val="45"/>
              <w:rPr>
                <w:rFonts w:hint="default"/>
              </w:rPr>
            </w:pPr>
            <w:r>
              <w:t>0.0015</w:t>
            </w:r>
          </w:p>
        </w:tc>
        <w:tc>
          <w:tcPr>
            <w:tcW w:w="1904" w:type="dxa"/>
            <w:shd w:val="clear" w:color="auto" w:fill="auto"/>
            <w:noWrap/>
            <w:vAlign w:val="center"/>
          </w:tcPr>
          <w:p w14:paraId="38F4BE1E">
            <w:pPr>
              <w:pStyle w:val="45"/>
              <w:bidi w:val="0"/>
              <w:rPr>
                <w:rFonts w:hint="default"/>
              </w:rPr>
            </w:pPr>
            <w:r>
              <w:rPr>
                <w:rFonts w:hint="eastAsia"/>
                <w:lang w:val="en-US" w:eastAsia="zh-CN"/>
              </w:rPr>
              <w:t>0.001512</w:t>
            </w:r>
          </w:p>
        </w:tc>
        <w:tc>
          <w:tcPr>
            <w:tcW w:w="2048" w:type="dxa"/>
            <w:shd w:val="clear" w:color="auto" w:fill="auto"/>
            <w:noWrap/>
            <w:vAlign w:val="center"/>
          </w:tcPr>
          <w:p w14:paraId="2C3B7A73">
            <w:pPr>
              <w:pStyle w:val="45"/>
              <w:bidi w:val="0"/>
              <w:rPr>
                <w:rFonts w:hint="default"/>
              </w:rPr>
            </w:pPr>
            <w:r>
              <w:rPr>
                <w:rFonts w:hint="eastAsia"/>
                <w:lang w:val="en-US" w:eastAsia="zh-CN"/>
              </w:rPr>
              <w:t xml:space="preserve">5.04 </w:t>
            </w:r>
          </w:p>
        </w:tc>
        <w:tc>
          <w:tcPr>
            <w:tcW w:w="529" w:type="pct"/>
            <w:shd w:val="clear" w:color="auto" w:fill="auto"/>
            <w:noWrap/>
            <w:vAlign w:val="center"/>
          </w:tcPr>
          <w:p w14:paraId="2AC3E35F">
            <w:pPr>
              <w:pStyle w:val="45"/>
              <w:rPr>
                <w:rFonts w:hint="default"/>
              </w:rPr>
            </w:pPr>
            <w:r>
              <w:t>达标</w:t>
            </w:r>
          </w:p>
        </w:tc>
      </w:tr>
      <w:tr w14:paraId="63C2D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1F53B7BF">
            <w:pPr>
              <w:pStyle w:val="45"/>
              <w:rPr>
                <w:rFonts w:hint="default"/>
              </w:rPr>
            </w:pPr>
          </w:p>
        </w:tc>
        <w:tc>
          <w:tcPr>
            <w:tcW w:w="777" w:type="pct"/>
            <w:shd w:val="clear" w:color="auto" w:fill="auto"/>
            <w:vAlign w:val="center"/>
          </w:tcPr>
          <w:p w14:paraId="49FD0051">
            <w:pPr>
              <w:pStyle w:val="45"/>
              <w:rPr>
                <w:rFonts w:hint="default"/>
              </w:rPr>
            </w:pPr>
            <w:r>
              <w:t>园区管委会</w:t>
            </w:r>
          </w:p>
        </w:tc>
        <w:tc>
          <w:tcPr>
            <w:tcW w:w="434" w:type="pct"/>
            <w:shd w:val="clear" w:color="auto" w:fill="auto"/>
            <w:vAlign w:val="center"/>
          </w:tcPr>
          <w:p w14:paraId="3C9BD49E">
            <w:pPr>
              <w:pStyle w:val="45"/>
              <w:bidi w:val="0"/>
              <w:rPr>
                <w:rFonts w:hint="default"/>
              </w:rPr>
            </w:pPr>
            <w:r>
              <w:rPr>
                <w:rFonts w:hint="eastAsia"/>
                <w:lang w:val="en-US" w:eastAsia="zh-CN"/>
              </w:rPr>
              <w:t>0.03</w:t>
            </w:r>
          </w:p>
        </w:tc>
        <w:tc>
          <w:tcPr>
            <w:tcW w:w="811" w:type="pct"/>
            <w:shd w:val="clear" w:color="auto" w:fill="auto"/>
            <w:vAlign w:val="center"/>
          </w:tcPr>
          <w:p w14:paraId="1CF21CF6">
            <w:pPr>
              <w:pStyle w:val="45"/>
              <w:bidi w:val="0"/>
              <w:rPr>
                <w:rFonts w:hint="default"/>
              </w:rPr>
            </w:pPr>
            <w:r>
              <w:rPr>
                <w:rFonts w:hint="eastAsia"/>
                <w:lang w:val="en-US" w:eastAsia="zh-CN"/>
              </w:rPr>
              <w:t>0.000043</w:t>
            </w:r>
          </w:p>
        </w:tc>
        <w:tc>
          <w:tcPr>
            <w:tcW w:w="672" w:type="pct"/>
            <w:shd w:val="clear" w:color="auto" w:fill="auto"/>
            <w:noWrap/>
            <w:vAlign w:val="center"/>
          </w:tcPr>
          <w:p w14:paraId="420E3CDE">
            <w:pPr>
              <w:pStyle w:val="45"/>
              <w:rPr>
                <w:rFonts w:hint="default"/>
              </w:rPr>
            </w:pPr>
            <w:r>
              <w:t>0.0015</w:t>
            </w:r>
          </w:p>
        </w:tc>
        <w:tc>
          <w:tcPr>
            <w:tcW w:w="1904" w:type="dxa"/>
            <w:shd w:val="clear" w:color="auto" w:fill="auto"/>
            <w:noWrap/>
            <w:vAlign w:val="center"/>
          </w:tcPr>
          <w:p w14:paraId="00B58E2D">
            <w:pPr>
              <w:pStyle w:val="45"/>
              <w:bidi w:val="0"/>
              <w:rPr>
                <w:rFonts w:hint="default"/>
              </w:rPr>
            </w:pPr>
            <w:r>
              <w:rPr>
                <w:rFonts w:hint="eastAsia"/>
                <w:lang w:val="en-US" w:eastAsia="zh-CN"/>
              </w:rPr>
              <w:t>0.001543</w:t>
            </w:r>
          </w:p>
        </w:tc>
        <w:tc>
          <w:tcPr>
            <w:tcW w:w="2048" w:type="dxa"/>
            <w:shd w:val="clear" w:color="auto" w:fill="auto"/>
            <w:noWrap/>
            <w:vAlign w:val="center"/>
          </w:tcPr>
          <w:p w14:paraId="28C437F2">
            <w:pPr>
              <w:pStyle w:val="45"/>
              <w:bidi w:val="0"/>
              <w:rPr>
                <w:rFonts w:hint="default"/>
              </w:rPr>
            </w:pPr>
            <w:r>
              <w:rPr>
                <w:rFonts w:hint="eastAsia"/>
                <w:lang w:val="en-US" w:eastAsia="zh-CN"/>
              </w:rPr>
              <w:t xml:space="preserve">5.14 </w:t>
            </w:r>
          </w:p>
        </w:tc>
        <w:tc>
          <w:tcPr>
            <w:tcW w:w="529" w:type="pct"/>
            <w:shd w:val="clear" w:color="auto" w:fill="auto"/>
            <w:noWrap/>
            <w:vAlign w:val="center"/>
          </w:tcPr>
          <w:p w14:paraId="5FB606FB">
            <w:pPr>
              <w:pStyle w:val="45"/>
              <w:rPr>
                <w:rFonts w:hint="default"/>
              </w:rPr>
            </w:pPr>
            <w:r>
              <w:t>达标</w:t>
            </w:r>
          </w:p>
        </w:tc>
      </w:tr>
      <w:tr w14:paraId="4E21D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2B49DD86">
            <w:pPr>
              <w:pStyle w:val="45"/>
              <w:rPr>
                <w:rFonts w:hint="default"/>
              </w:rPr>
            </w:pPr>
          </w:p>
        </w:tc>
        <w:tc>
          <w:tcPr>
            <w:tcW w:w="777" w:type="pct"/>
            <w:shd w:val="clear" w:color="auto" w:fill="auto"/>
            <w:vAlign w:val="center"/>
          </w:tcPr>
          <w:p w14:paraId="43E81C5D">
            <w:pPr>
              <w:pStyle w:val="45"/>
              <w:rPr>
                <w:rFonts w:hint="default"/>
              </w:rPr>
            </w:pPr>
            <w:r>
              <w:t>松木中学</w:t>
            </w:r>
          </w:p>
        </w:tc>
        <w:tc>
          <w:tcPr>
            <w:tcW w:w="434" w:type="pct"/>
            <w:shd w:val="clear" w:color="auto" w:fill="auto"/>
            <w:vAlign w:val="center"/>
          </w:tcPr>
          <w:p w14:paraId="445EF28B">
            <w:pPr>
              <w:pStyle w:val="45"/>
              <w:bidi w:val="0"/>
              <w:rPr>
                <w:rFonts w:hint="default"/>
              </w:rPr>
            </w:pPr>
            <w:r>
              <w:rPr>
                <w:rFonts w:hint="eastAsia"/>
                <w:lang w:val="en-US" w:eastAsia="zh-CN"/>
              </w:rPr>
              <w:t>0.03</w:t>
            </w:r>
          </w:p>
        </w:tc>
        <w:tc>
          <w:tcPr>
            <w:tcW w:w="811" w:type="pct"/>
            <w:shd w:val="clear" w:color="auto" w:fill="auto"/>
            <w:vAlign w:val="center"/>
          </w:tcPr>
          <w:p w14:paraId="1CA73CC5">
            <w:pPr>
              <w:pStyle w:val="45"/>
              <w:bidi w:val="0"/>
              <w:rPr>
                <w:rFonts w:hint="default"/>
              </w:rPr>
            </w:pPr>
            <w:r>
              <w:rPr>
                <w:rFonts w:hint="eastAsia"/>
                <w:lang w:val="en-US" w:eastAsia="zh-CN"/>
              </w:rPr>
              <w:t>0.000015</w:t>
            </w:r>
          </w:p>
        </w:tc>
        <w:tc>
          <w:tcPr>
            <w:tcW w:w="672" w:type="pct"/>
            <w:shd w:val="clear" w:color="auto" w:fill="auto"/>
            <w:noWrap/>
            <w:vAlign w:val="center"/>
          </w:tcPr>
          <w:p w14:paraId="690D1D76">
            <w:pPr>
              <w:pStyle w:val="45"/>
              <w:rPr>
                <w:rFonts w:hint="default"/>
              </w:rPr>
            </w:pPr>
            <w:r>
              <w:t>0.0015</w:t>
            </w:r>
          </w:p>
        </w:tc>
        <w:tc>
          <w:tcPr>
            <w:tcW w:w="1904" w:type="dxa"/>
            <w:shd w:val="clear" w:color="auto" w:fill="auto"/>
            <w:noWrap/>
            <w:vAlign w:val="center"/>
          </w:tcPr>
          <w:p w14:paraId="2B3CB4BC">
            <w:pPr>
              <w:pStyle w:val="45"/>
              <w:bidi w:val="0"/>
              <w:rPr>
                <w:rFonts w:hint="default"/>
              </w:rPr>
            </w:pPr>
            <w:r>
              <w:rPr>
                <w:rFonts w:hint="eastAsia"/>
                <w:lang w:val="en-US" w:eastAsia="zh-CN"/>
              </w:rPr>
              <w:t>0.001515</w:t>
            </w:r>
          </w:p>
        </w:tc>
        <w:tc>
          <w:tcPr>
            <w:tcW w:w="2048" w:type="dxa"/>
            <w:shd w:val="clear" w:color="auto" w:fill="auto"/>
            <w:noWrap/>
            <w:vAlign w:val="center"/>
          </w:tcPr>
          <w:p w14:paraId="12306F42">
            <w:pPr>
              <w:pStyle w:val="45"/>
              <w:bidi w:val="0"/>
              <w:rPr>
                <w:rFonts w:hint="default"/>
              </w:rPr>
            </w:pPr>
            <w:r>
              <w:rPr>
                <w:rFonts w:hint="eastAsia"/>
                <w:lang w:val="en-US" w:eastAsia="zh-CN"/>
              </w:rPr>
              <w:t xml:space="preserve">5.05 </w:t>
            </w:r>
          </w:p>
        </w:tc>
        <w:tc>
          <w:tcPr>
            <w:tcW w:w="529" w:type="pct"/>
            <w:shd w:val="clear" w:color="auto" w:fill="auto"/>
            <w:noWrap/>
            <w:vAlign w:val="center"/>
          </w:tcPr>
          <w:p w14:paraId="3091EA67">
            <w:pPr>
              <w:pStyle w:val="45"/>
              <w:rPr>
                <w:rFonts w:hint="default"/>
              </w:rPr>
            </w:pPr>
            <w:r>
              <w:t>达标</w:t>
            </w:r>
          </w:p>
        </w:tc>
      </w:tr>
      <w:tr w14:paraId="75E80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2D1ACE44">
            <w:pPr>
              <w:pStyle w:val="45"/>
              <w:rPr>
                <w:rFonts w:hint="default"/>
              </w:rPr>
            </w:pPr>
          </w:p>
        </w:tc>
        <w:tc>
          <w:tcPr>
            <w:tcW w:w="777" w:type="pct"/>
            <w:shd w:val="clear" w:color="auto" w:fill="auto"/>
            <w:vAlign w:val="center"/>
          </w:tcPr>
          <w:p w14:paraId="364C77C3">
            <w:pPr>
              <w:pStyle w:val="45"/>
              <w:rPr>
                <w:rFonts w:hint="default"/>
              </w:rPr>
            </w:pPr>
            <w:r>
              <w:t>松木村</w:t>
            </w:r>
            <w:r>
              <w:rPr>
                <w:rFonts w:hint="default"/>
              </w:rPr>
              <w:t>2</w:t>
            </w:r>
          </w:p>
        </w:tc>
        <w:tc>
          <w:tcPr>
            <w:tcW w:w="434" w:type="pct"/>
            <w:shd w:val="clear" w:color="auto" w:fill="auto"/>
            <w:vAlign w:val="center"/>
          </w:tcPr>
          <w:p w14:paraId="127F4008">
            <w:pPr>
              <w:pStyle w:val="45"/>
              <w:bidi w:val="0"/>
              <w:rPr>
                <w:rFonts w:hint="default"/>
              </w:rPr>
            </w:pPr>
            <w:r>
              <w:rPr>
                <w:rFonts w:hint="eastAsia"/>
                <w:lang w:val="en-US" w:eastAsia="zh-CN"/>
              </w:rPr>
              <w:t>0.03</w:t>
            </w:r>
          </w:p>
        </w:tc>
        <w:tc>
          <w:tcPr>
            <w:tcW w:w="811" w:type="pct"/>
            <w:shd w:val="clear" w:color="auto" w:fill="auto"/>
            <w:vAlign w:val="center"/>
          </w:tcPr>
          <w:p w14:paraId="4BDEE942">
            <w:pPr>
              <w:pStyle w:val="45"/>
              <w:bidi w:val="0"/>
              <w:rPr>
                <w:rFonts w:hint="default"/>
              </w:rPr>
            </w:pPr>
            <w:r>
              <w:rPr>
                <w:rFonts w:hint="eastAsia"/>
                <w:lang w:val="en-US" w:eastAsia="zh-CN"/>
              </w:rPr>
              <w:t>0.000093</w:t>
            </w:r>
          </w:p>
        </w:tc>
        <w:tc>
          <w:tcPr>
            <w:tcW w:w="672" w:type="pct"/>
            <w:shd w:val="clear" w:color="auto" w:fill="auto"/>
            <w:noWrap/>
            <w:vAlign w:val="center"/>
          </w:tcPr>
          <w:p w14:paraId="45E91920">
            <w:pPr>
              <w:pStyle w:val="45"/>
              <w:rPr>
                <w:rFonts w:hint="default"/>
              </w:rPr>
            </w:pPr>
            <w:r>
              <w:t>0.0015</w:t>
            </w:r>
          </w:p>
        </w:tc>
        <w:tc>
          <w:tcPr>
            <w:tcW w:w="1904" w:type="dxa"/>
            <w:shd w:val="clear" w:color="auto" w:fill="auto"/>
            <w:noWrap/>
            <w:vAlign w:val="center"/>
          </w:tcPr>
          <w:p w14:paraId="4FCFB8BF">
            <w:pPr>
              <w:pStyle w:val="45"/>
              <w:bidi w:val="0"/>
              <w:rPr>
                <w:rFonts w:hint="default"/>
              </w:rPr>
            </w:pPr>
            <w:r>
              <w:rPr>
                <w:rFonts w:hint="eastAsia"/>
                <w:lang w:val="en-US" w:eastAsia="zh-CN"/>
              </w:rPr>
              <w:t>0.001593</w:t>
            </w:r>
          </w:p>
        </w:tc>
        <w:tc>
          <w:tcPr>
            <w:tcW w:w="2048" w:type="dxa"/>
            <w:shd w:val="clear" w:color="auto" w:fill="auto"/>
            <w:noWrap/>
            <w:vAlign w:val="center"/>
          </w:tcPr>
          <w:p w14:paraId="39A8FD43">
            <w:pPr>
              <w:pStyle w:val="45"/>
              <w:bidi w:val="0"/>
              <w:rPr>
                <w:rFonts w:hint="default"/>
              </w:rPr>
            </w:pPr>
            <w:r>
              <w:rPr>
                <w:rFonts w:hint="eastAsia"/>
                <w:lang w:val="en-US" w:eastAsia="zh-CN"/>
              </w:rPr>
              <w:t xml:space="preserve">5.31 </w:t>
            </w:r>
          </w:p>
        </w:tc>
        <w:tc>
          <w:tcPr>
            <w:tcW w:w="529" w:type="pct"/>
            <w:shd w:val="clear" w:color="auto" w:fill="auto"/>
            <w:noWrap/>
            <w:vAlign w:val="center"/>
          </w:tcPr>
          <w:p w14:paraId="61CB5466">
            <w:pPr>
              <w:pStyle w:val="45"/>
              <w:rPr>
                <w:rFonts w:hint="default"/>
              </w:rPr>
            </w:pPr>
            <w:r>
              <w:t>达标</w:t>
            </w:r>
          </w:p>
        </w:tc>
      </w:tr>
      <w:tr w14:paraId="11B29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00E6CF1F">
            <w:pPr>
              <w:pStyle w:val="45"/>
              <w:rPr>
                <w:rFonts w:hint="default"/>
              </w:rPr>
            </w:pPr>
          </w:p>
        </w:tc>
        <w:tc>
          <w:tcPr>
            <w:tcW w:w="777" w:type="pct"/>
            <w:shd w:val="clear" w:color="auto" w:fill="auto"/>
            <w:vAlign w:val="center"/>
          </w:tcPr>
          <w:p w14:paraId="6D50EB3F">
            <w:pPr>
              <w:pStyle w:val="45"/>
              <w:rPr>
                <w:rFonts w:hint="default"/>
              </w:rPr>
            </w:pPr>
            <w:r>
              <w:t>园区安置房</w:t>
            </w:r>
          </w:p>
        </w:tc>
        <w:tc>
          <w:tcPr>
            <w:tcW w:w="434" w:type="pct"/>
            <w:shd w:val="clear" w:color="auto" w:fill="auto"/>
            <w:vAlign w:val="center"/>
          </w:tcPr>
          <w:p w14:paraId="0F983CFC">
            <w:pPr>
              <w:pStyle w:val="45"/>
              <w:bidi w:val="0"/>
              <w:rPr>
                <w:rFonts w:hint="default"/>
              </w:rPr>
            </w:pPr>
            <w:r>
              <w:rPr>
                <w:rFonts w:hint="eastAsia"/>
                <w:lang w:val="en-US" w:eastAsia="zh-CN"/>
              </w:rPr>
              <w:t>0.03</w:t>
            </w:r>
          </w:p>
        </w:tc>
        <w:tc>
          <w:tcPr>
            <w:tcW w:w="811" w:type="pct"/>
            <w:shd w:val="clear" w:color="auto" w:fill="auto"/>
            <w:vAlign w:val="center"/>
          </w:tcPr>
          <w:p w14:paraId="13B2E065">
            <w:pPr>
              <w:pStyle w:val="45"/>
              <w:bidi w:val="0"/>
              <w:rPr>
                <w:rFonts w:hint="default"/>
              </w:rPr>
            </w:pPr>
            <w:r>
              <w:rPr>
                <w:rFonts w:hint="eastAsia"/>
                <w:lang w:val="en-US" w:eastAsia="zh-CN"/>
              </w:rPr>
              <w:t>0.0001</w:t>
            </w:r>
          </w:p>
        </w:tc>
        <w:tc>
          <w:tcPr>
            <w:tcW w:w="672" w:type="pct"/>
            <w:shd w:val="clear" w:color="auto" w:fill="auto"/>
            <w:noWrap/>
            <w:vAlign w:val="center"/>
          </w:tcPr>
          <w:p w14:paraId="68484297">
            <w:pPr>
              <w:pStyle w:val="45"/>
              <w:rPr>
                <w:rFonts w:hint="default"/>
              </w:rPr>
            </w:pPr>
            <w:r>
              <w:t>0.0015</w:t>
            </w:r>
          </w:p>
        </w:tc>
        <w:tc>
          <w:tcPr>
            <w:tcW w:w="1904" w:type="dxa"/>
            <w:shd w:val="clear" w:color="auto" w:fill="auto"/>
            <w:noWrap/>
            <w:vAlign w:val="center"/>
          </w:tcPr>
          <w:p w14:paraId="0B5251DB">
            <w:pPr>
              <w:pStyle w:val="45"/>
              <w:bidi w:val="0"/>
              <w:rPr>
                <w:rFonts w:hint="default"/>
              </w:rPr>
            </w:pPr>
            <w:r>
              <w:rPr>
                <w:rFonts w:hint="eastAsia"/>
                <w:lang w:val="en-US" w:eastAsia="zh-CN"/>
              </w:rPr>
              <w:t>0.0016</w:t>
            </w:r>
          </w:p>
        </w:tc>
        <w:tc>
          <w:tcPr>
            <w:tcW w:w="2048" w:type="dxa"/>
            <w:shd w:val="clear" w:color="auto" w:fill="auto"/>
            <w:noWrap/>
            <w:vAlign w:val="center"/>
          </w:tcPr>
          <w:p w14:paraId="7EE37BED">
            <w:pPr>
              <w:pStyle w:val="45"/>
              <w:bidi w:val="0"/>
              <w:rPr>
                <w:rFonts w:hint="default"/>
              </w:rPr>
            </w:pPr>
            <w:r>
              <w:rPr>
                <w:rFonts w:hint="eastAsia"/>
                <w:lang w:val="en-US" w:eastAsia="zh-CN"/>
              </w:rPr>
              <w:t xml:space="preserve">5.33 </w:t>
            </w:r>
          </w:p>
        </w:tc>
        <w:tc>
          <w:tcPr>
            <w:tcW w:w="529" w:type="pct"/>
            <w:shd w:val="clear" w:color="auto" w:fill="auto"/>
            <w:noWrap/>
            <w:vAlign w:val="center"/>
          </w:tcPr>
          <w:p w14:paraId="001E8604">
            <w:pPr>
              <w:pStyle w:val="45"/>
              <w:rPr>
                <w:rFonts w:hint="default"/>
              </w:rPr>
            </w:pPr>
            <w:r>
              <w:t>达标</w:t>
            </w:r>
          </w:p>
        </w:tc>
      </w:tr>
      <w:tr w14:paraId="1BD72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14F7DB90">
            <w:pPr>
              <w:pStyle w:val="45"/>
              <w:rPr>
                <w:rFonts w:hint="default"/>
              </w:rPr>
            </w:pPr>
          </w:p>
        </w:tc>
        <w:tc>
          <w:tcPr>
            <w:tcW w:w="777" w:type="pct"/>
            <w:shd w:val="clear" w:color="auto" w:fill="auto"/>
            <w:vAlign w:val="center"/>
          </w:tcPr>
          <w:p w14:paraId="0B0D0DD7">
            <w:pPr>
              <w:pStyle w:val="45"/>
              <w:rPr>
                <w:rFonts w:hint="default"/>
              </w:rPr>
            </w:pPr>
            <w:r>
              <w:t>友谊村</w:t>
            </w:r>
          </w:p>
        </w:tc>
        <w:tc>
          <w:tcPr>
            <w:tcW w:w="434" w:type="pct"/>
            <w:shd w:val="clear" w:color="auto" w:fill="auto"/>
            <w:vAlign w:val="center"/>
          </w:tcPr>
          <w:p w14:paraId="07895384">
            <w:pPr>
              <w:pStyle w:val="45"/>
              <w:bidi w:val="0"/>
              <w:rPr>
                <w:rFonts w:hint="default"/>
              </w:rPr>
            </w:pPr>
            <w:r>
              <w:rPr>
                <w:rFonts w:hint="eastAsia"/>
                <w:lang w:val="en-US" w:eastAsia="zh-CN"/>
              </w:rPr>
              <w:t>0.03</w:t>
            </w:r>
          </w:p>
        </w:tc>
        <w:tc>
          <w:tcPr>
            <w:tcW w:w="811" w:type="pct"/>
            <w:shd w:val="clear" w:color="auto" w:fill="auto"/>
            <w:vAlign w:val="center"/>
          </w:tcPr>
          <w:p w14:paraId="145BBBE0">
            <w:pPr>
              <w:pStyle w:val="45"/>
              <w:bidi w:val="0"/>
              <w:rPr>
                <w:rFonts w:hint="default"/>
              </w:rPr>
            </w:pPr>
            <w:r>
              <w:rPr>
                <w:rFonts w:hint="eastAsia"/>
                <w:lang w:val="en-US" w:eastAsia="zh-CN"/>
              </w:rPr>
              <w:t>0.000048</w:t>
            </w:r>
          </w:p>
        </w:tc>
        <w:tc>
          <w:tcPr>
            <w:tcW w:w="672" w:type="pct"/>
            <w:shd w:val="clear" w:color="auto" w:fill="auto"/>
            <w:noWrap/>
            <w:vAlign w:val="center"/>
          </w:tcPr>
          <w:p w14:paraId="3A00A135">
            <w:pPr>
              <w:pStyle w:val="45"/>
              <w:rPr>
                <w:rFonts w:hint="default"/>
              </w:rPr>
            </w:pPr>
            <w:r>
              <w:t>0.0015</w:t>
            </w:r>
          </w:p>
        </w:tc>
        <w:tc>
          <w:tcPr>
            <w:tcW w:w="1904" w:type="dxa"/>
            <w:shd w:val="clear" w:color="auto" w:fill="auto"/>
            <w:noWrap/>
            <w:vAlign w:val="center"/>
          </w:tcPr>
          <w:p w14:paraId="3CA43337">
            <w:pPr>
              <w:pStyle w:val="45"/>
              <w:bidi w:val="0"/>
              <w:rPr>
                <w:rFonts w:hint="default"/>
              </w:rPr>
            </w:pPr>
            <w:r>
              <w:rPr>
                <w:rFonts w:hint="eastAsia"/>
                <w:lang w:val="en-US" w:eastAsia="zh-CN"/>
              </w:rPr>
              <w:t>0.001548</w:t>
            </w:r>
          </w:p>
        </w:tc>
        <w:tc>
          <w:tcPr>
            <w:tcW w:w="2048" w:type="dxa"/>
            <w:shd w:val="clear" w:color="auto" w:fill="auto"/>
            <w:noWrap/>
            <w:vAlign w:val="center"/>
          </w:tcPr>
          <w:p w14:paraId="61C0068B">
            <w:pPr>
              <w:pStyle w:val="45"/>
              <w:bidi w:val="0"/>
              <w:rPr>
                <w:rFonts w:hint="default"/>
              </w:rPr>
            </w:pPr>
            <w:r>
              <w:rPr>
                <w:rFonts w:hint="eastAsia"/>
                <w:lang w:val="en-US" w:eastAsia="zh-CN"/>
              </w:rPr>
              <w:t xml:space="preserve">5.16 </w:t>
            </w:r>
          </w:p>
        </w:tc>
        <w:tc>
          <w:tcPr>
            <w:tcW w:w="529" w:type="pct"/>
            <w:shd w:val="clear" w:color="auto" w:fill="auto"/>
            <w:noWrap/>
            <w:vAlign w:val="center"/>
          </w:tcPr>
          <w:p w14:paraId="68DBDB88">
            <w:pPr>
              <w:pStyle w:val="45"/>
              <w:rPr>
                <w:rFonts w:hint="default"/>
              </w:rPr>
            </w:pPr>
            <w:r>
              <w:t>达标</w:t>
            </w:r>
          </w:p>
        </w:tc>
      </w:tr>
      <w:tr w14:paraId="2D5F5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6686F002">
            <w:pPr>
              <w:pStyle w:val="45"/>
              <w:rPr>
                <w:rFonts w:hint="default"/>
              </w:rPr>
            </w:pPr>
          </w:p>
        </w:tc>
        <w:tc>
          <w:tcPr>
            <w:tcW w:w="777" w:type="pct"/>
            <w:shd w:val="clear" w:color="auto" w:fill="auto"/>
            <w:vAlign w:val="center"/>
          </w:tcPr>
          <w:p w14:paraId="32BE9147">
            <w:pPr>
              <w:pStyle w:val="45"/>
              <w:rPr>
                <w:rFonts w:hint="default"/>
              </w:rPr>
            </w:pPr>
            <w:r>
              <w:t>龙谊村</w:t>
            </w:r>
          </w:p>
        </w:tc>
        <w:tc>
          <w:tcPr>
            <w:tcW w:w="434" w:type="pct"/>
            <w:shd w:val="clear" w:color="auto" w:fill="auto"/>
            <w:vAlign w:val="center"/>
          </w:tcPr>
          <w:p w14:paraId="28DEDE21">
            <w:pPr>
              <w:pStyle w:val="45"/>
              <w:bidi w:val="0"/>
              <w:rPr>
                <w:rFonts w:hint="default"/>
              </w:rPr>
            </w:pPr>
            <w:r>
              <w:rPr>
                <w:rFonts w:hint="eastAsia"/>
                <w:lang w:val="en-US" w:eastAsia="zh-CN"/>
              </w:rPr>
              <w:t>0.03</w:t>
            </w:r>
          </w:p>
        </w:tc>
        <w:tc>
          <w:tcPr>
            <w:tcW w:w="811" w:type="pct"/>
            <w:shd w:val="clear" w:color="auto" w:fill="auto"/>
            <w:vAlign w:val="center"/>
          </w:tcPr>
          <w:p w14:paraId="3E8F3150">
            <w:pPr>
              <w:pStyle w:val="45"/>
              <w:bidi w:val="0"/>
              <w:rPr>
                <w:rFonts w:hint="default"/>
              </w:rPr>
            </w:pPr>
            <w:r>
              <w:rPr>
                <w:rFonts w:hint="eastAsia"/>
                <w:lang w:val="en-US" w:eastAsia="zh-CN"/>
              </w:rPr>
              <w:t>0.000031</w:t>
            </w:r>
          </w:p>
        </w:tc>
        <w:tc>
          <w:tcPr>
            <w:tcW w:w="672" w:type="pct"/>
            <w:shd w:val="clear" w:color="auto" w:fill="auto"/>
            <w:noWrap/>
            <w:vAlign w:val="center"/>
          </w:tcPr>
          <w:p w14:paraId="23395326">
            <w:pPr>
              <w:pStyle w:val="45"/>
              <w:rPr>
                <w:rFonts w:hint="default"/>
              </w:rPr>
            </w:pPr>
            <w:r>
              <w:t>0.0015</w:t>
            </w:r>
          </w:p>
        </w:tc>
        <w:tc>
          <w:tcPr>
            <w:tcW w:w="1904" w:type="dxa"/>
            <w:shd w:val="clear" w:color="auto" w:fill="auto"/>
            <w:noWrap/>
            <w:vAlign w:val="center"/>
          </w:tcPr>
          <w:p w14:paraId="21EB7BC8">
            <w:pPr>
              <w:pStyle w:val="45"/>
              <w:bidi w:val="0"/>
              <w:rPr>
                <w:rFonts w:hint="default"/>
              </w:rPr>
            </w:pPr>
            <w:r>
              <w:rPr>
                <w:rFonts w:hint="eastAsia"/>
                <w:lang w:val="en-US" w:eastAsia="zh-CN"/>
              </w:rPr>
              <w:t>0.001531</w:t>
            </w:r>
          </w:p>
        </w:tc>
        <w:tc>
          <w:tcPr>
            <w:tcW w:w="2048" w:type="dxa"/>
            <w:shd w:val="clear" w:color="auto" w:fill="auto"/>
            <w:noWrap/>
            <w:vAlign w:val="center"/>
          </w:tcPr>
          <w:p w14:paraId="0FCE88B1">
            <w:pPr>
              <w:pStyle w:val="45"/>
              <w:bidi w:val="0"/>
              <w:rPr>
                <w:rFonts w:hint="default"/>
              </w:rPr>
            </w:pPr>
            <w:r>
              <w:rPr>
                <w:rFonts w:hint="eastAsia"/>
                <w:lang w:val="en-US" w:eastAsia="zh-CN"/>
              </w:rPr>
              <w:t xml:space="preserve">5.10 </w:t>
            </w:r>
          </w:p>
        </w:tc>
        <w:tc>
          <w:tcPr>
            <w:tcW w:w="529" w:type="pct"/>
            <w:shd w:val="clear" w:color="auto" w:fill="auto"/>
            <w:noWrap/>
            <w:vAlign w:val="center"/>
          </w:tcPr>
          <w:p w14:paraId="15305D60">
            <w:pPr>
              <w:pStyle w:val="45"/>
              <w:rPr>
                <w:rFonts w:hint="default"/>
              </w:rPr>
            </w:pPr>
            <w:r>
              <w:t>达标</w:t>
            </w:r>
          </w:p>
        </w:tc>
      </w:tr>
      <w:tr w14:paraId="02EBA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780E185E">
            <w:pPr>
              <w:pStyle w:val="45"/>
              <w:rPr>
                <w:rFonts w:hint="default"/>
              </w:rPr>
            </w:pPr>
          </w:p>
        </w:tc>
        <w:tc>
          <w:tcPr>
            <w:tcW w:w="777" w:type="pct"/>
            <w:shd w:val="clear" w:color="auto" w:fill="auto"/>
            <w:vAlign w:val="center"/>
          </w:tcPr>
          <w:p w14:paraId="568C0DFE">
            <w:pPr>
              <w:pStyle w:val="45"/>
              <w:rPr>
                <w:rFonts w:hint="default"/>
              </w:rPr>
            </w:pPr>
            <w:r>
              <w:t>友爱村</w:t>
            </w:r>
          </w:p>
        </w:tc>
        <w:tc>
          <w:tcPr>
            <w:tcW w:w="434" w:type="pct"/>
            <w:shd w:val="clear" w:color="auto" w:fill="auto"/>
            <w:vAlign w:val="center"/>
          </w:tcPr>
          <w:p w14:paraId="54742FA2">
            <w:pPr>
              <w:pStyle w:val="45"/>
              <w:bidi w:val="0"/>
              <w:rPr>
                <w:rFonts w:hint="default"/>
              </w:rPr>
            </w:pPr>
            <w:r>
              <w:rPr>
                <w:rFonts w:hint="eastAsia"/>
                <w:lang w:val="en-US" w:eastAsia="zh-CN"/>
              </w:rPr>
              <w:t>0.03</w:t>
            </w:r>
          </w:p>
        </w:tc>
        <w:tc>
          <w:tcPr>
            <w:tcW w:w="811" w:type="pct"/>
            <w:shd w:val="clear" w:color="auto" w:fill="auto"/>
            <w:vAlign w:val="center"/>
          </w:tcPr>
          <w:p w14:paraId="4F9C7645">
            <w:pPr>
              <w:pStyle w:val="45"/>
              <w:bidi w:val="0"/>
              <w:rPr>
                <w:rFonts w:hint="default"/>
              </w:rPr>
            </w:pPr>
            <w:r>
              <w:rPr>
                <w:rFonts w:hint="eastAsia"/>
                <w:lang w:val="en-US" w:eastAsia="zh-CN"/>
              </w:rPr>
              <w:t>0.000031</w:t>
            </w:r>
          </w:p>
        </w:tc>
        <w:tc>
          <w:tcPr>
            <w:tcW w:w="672" w:type="pct"/>
            <w:shd w:val="clear" w:color="auto" w:fill="auto"/>
            <w:noWrap/>
            <w:vAlign w:val="center"/>
          </w:tcPr>
          <w:p w14:paraId="4BC9A990">
            <w:pPr>
              <w:pStyle w:val="45"/>
              <w:rPr>
                <w:rFonts w:hint="default"/>
              </w:rPr>
            </w:pPr>
            <w:r>
              <w:t>0.0015</w:t>
            </w:r>
          </w:p>
        </w:tc>
        <w:tc>
          <w:tcPr>
            <w:tcW w:w="1904" w:type="dxa"/>
            <w:shd w:val="clear" w:color="auto" w:fill="auto"/>
            <w:noWrap/>
            <w:vAlign w:val="center"/>
          </w:tcPr>
          <w:p w14:paraId="564C68FE">
            <w:pPr>
              <w:pStyle w:val="45"/>
              <w:bidi w:val="0"/>
              <w:rPr>
                <w:rFonts w:hint="default"/>
              </w:rPr>
            </w:pPr>
            <w:r>
              <w:rPr>
                <w:rFonts w:hint="eastAsia"/>
                <w:lang w:val="en-US" w:eastAsia="zh-CN"/>
              </w:rPr>
              <w:t>0.001531</w:t>
            </w:r>
          </w:p>
        </w:tc>
        <w:tc>
          <w:tcPr>
            <w:tcW w:w="2048" w:type="dxa"/>
            <w:shd w:val="clear" w:color="auto" w:fill="auto"/>
            <w:noWrap/>
            <w:vAlign w:val="center"/>
          </w:tcPr>
          <w:p w14:paraId="128A6B23">
            <w:pPr>
              <w:pStyle w:val="45"/>
              <w:bidi w:val="0"/>
              <w:rPr>
                <w:rFonts w:hint="default"/>
              </w:rPr>
            </w:pPr>
            <w:r>
              <w:rPr>
                <w:rFonts w:hint="eastAsia"/>
                <w:lang w:val="en-US" w:eastAsia="zh-CN"/>
              </w:rPr>
              <w:t xml:space="preserve">5.10 </w:t>
            </w:r>
          </w:p>
        </w:tc>
        <w:tc>
          <w:tcPr>
            <w:tcW w:w="529" w:type="pct"/>
            <w:shd w:val="clear" w:color="auto" w:fill="auto"/>
            <w:noWrap/>
            <w:vAlign w:val="center"/>
          </w:tcPr>
          <w:p w14:paraId="7CF23C19">
            <w:pPr>
              <w:pStyle w:val="45"/>
              <w:rPr>
                <w:rFonts w:hint="default"/>
              </w:rPr>
            </w:pPr>
            <w:r>
              <w:t>达标</w:t>
            </w:r>
          </w:p>
        </w:tc>
      </w:tr>
      <w:tr w14:paraId="2B008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266CBA4D">
            <w:pPr>
              <w:pStyle w:val="45"/>
              <w:rPr>
                <w:rFonts w:hint="default"/>
              </w:rPr>
            </w:pPr>
          </w:p>
        </w:tc>
        <w:tc>
          <w:tcPr>
            <w:tcW w:w="777" w:type="pct"/>
            <w:shd w:val="clear" w:color="auto" w:fill="auto"/>
            <w:vAlign w:val="center"/>
          </w:tcPr>
          <w:p w14:paraId="30699E78">
            <w:pPr>
              <w:pStyle w:val="45"/>
              <w:rPr>
                <w:rFonts w:hint="default"/>
              </w:rPr>
            </w:pPr>
            <w:r>
              <w:t>江霞村</w:t>
            </w:r>
          </w:p>
        </w:tc>
        <w:tc>
          <w:tcPr>
            <w:tcW w:w="434" w:type="pct"/>
            <w:shd w:val="clear" w:color="auto" w:fill="auto"/>
            <w:vAlign w:val="center"/>
          </w:tcPr>
          <w:p w14:paraId="06C05178">
            <w:pPr>
              <w:pStyle w:val="45"/>
              <w:bidi w:val="0"/>
              <w:rPr>
                <w:rFonts w:hint="default"/>
              </w:rPr>
            </w:pPr>
            <w:r>
              <w:rPr>
                <w:rFonts w:hint="eastAsia"/>
                <w:lang w:val="en-US" w:eastAsia="zh-CN"/>
              </w:rPr>
              <w:t>0.03</w:t>
            </w:r>
          </w:p>
        </w:tc>
        <w:tc>
          <w:tcPr>
            <w:tcW w:w="811" w:type="pct"/>
            <w:shd w:val="clear" w:color="auto" w:fill="auto"/>
            <w:vAlign w:val="center"/>
          </w:tcPr>
          <w:p w14:paraId="6AFEB268">
            <w:pPr>
              <w:pStyle w:val="45"/>
              <w:bidi w:val="0"/>
              <w:rPr>
                <w:rFonts w:hint="default"/>
              </w:rPr>
            </w:pPr>
            <w:r>
              <w:rPr>
                <w:rFonts w:hint="eastAsia"/>
                <w:lang w:val="en-US" w:eastAsia="zh-CN"/>
              </w:rPr>
              <w:t>0.000045</w:t>
            </w:r>
          </w:p>
        </w:tc>
        <w:tc>
          <w:tcPr>
            <w:tcW w:w="672" w:type="pct"/>
            <w:shd w:val="clear" w:color="auto" w:fill="auto"/>
            <w:noWrap/>
            <w:vAlign w:val="center"/>
          </w:tcPr>
          <w:p w14:paraId="6852A7D2">
            <w:pPr>
              <w:pStyle w:val="45"/>
              <w:rPr>
                <w:rFonts w:hint="default"/>
              </w:rPr>
            </w:pPr>
            <w:r>
              <w:t>0.0015</w:t>
            </w:r>
          </w:p>
        </w:tc>
        <w:tc>
          <w:tcPr>
            <w:tcW w:w="1904" w:type="dxa"/>
            <w:shd w:val="clear" w:color="auto" w:fill="auto"/>
            <w:noWrap/>
            <w:vAlign w:val="center"/>
          </w:tcPr>
          <w:p w14:paraId="34454C42">
            <w:pPr>
              <w:pStyle w:val="45"/>
              <w:bidi w:val="0"/>
              <w:rPr>
                <w:rFonts w:hint="default"/>
              </w:rPr>
            </w:pPr>
            <w:r>
              <w:rPr>
                <w:rFonts w:hint="eastAsia"/>
                <w:lang w:val="en-US" w:eastAsia="zh-CN"/>
              </w:rPr>
              <w:t>0.001545</w:t>
            </w:r>
          </w:p>
        </w:tc>
        <w:tc>
          <w:tcPr>
            <w:tcW w:w="2048" w:type="dxa"/>
            <w:shd w:val="clear" w:color="auto" w:fill="auto"/>
            <w:noWrap/>
            <w:vAlign w:val="center"/>
          </w:tcPr>
          <w:p w14:paraId="0DD208C0">
            <w:pPr>
              <w:pStyle w:val="45"/>
              <w:bidi w:val="0"/>
              <w:rPr>
                <w:rFonts w:hint="default"/>
              </w:rPr>
            </w:pPr>
            <w:r>
              <w:rPr>
                <w:rFonts w:hint="eastAsia"/>
                <w:lang w:val="en-US" w:eastAsia="zh-CN"/>
              </w:rPr>
              <w:t xml:space="preserve">5.15 </w:t>
            </w:r>
          </w:p>
        </w:tc>
        <w:tc>
          <w:tcPr>
            <w:tcW w:w="529" w:type="pct"/>
            <w:shd w:val="clear" w:color="auto" w:fill="auto"/>
            <w:noWrap/>
            <w:vAlign w:val="center"/>
          </w:tcPr>
          <w:p w14:paraId="362CFF4E">
            <w:pPr>
              <w:pStyle w:val="45"/>
              <w:rPr>
                <w:rFonts w:hint="default"/>
              </w:rPr>
            </w:pPr>
            <w:r>
              <w:t>达标</w:t>
            </w:r>
          </w:p>
        </w:tc>
      </w:tr>
      <w:tr w14:paraId="5DFF0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4F9A57DB">
            <w:pPr>
              <w:pStyle w:val="45"/>
              <w:rPr>
                <w:rFonts w:hint="default"/>
              </w:rPr>
            </w:pPr>
          </w:p>
        </w:tc>
        <w:tc>
          <w:tcPr>
            <w:tcW w:w="777" w:type="pct"/>
            <w:shd w:val="clear" w:color="auto" w:fill="auto"/>
            <w:vAlign w:val="center"/>
          </w:tcPr>
          <w:p w14:paraId="18843D1F">
            <w:pPr>
              <w:pStyle w:val="45"/>
              <w:rPr>
                <w:rFonts w:hint="default"/>
              </w:rPr>
            </w:pPr>
            <w:r>
              <w:t>金兰村</w:t>
            </w:r>
          </w:p>
        </w:tc>
        <w:tc>
          <w:tcPr>
            <w:tcW w:w="434" w:type="pct"/>
            <w:shd w:val="clear" w:color="auto" w:fill="auto"/>
            <w:vAlign w:val="center"/>
          </w:tcPr>
          <w:p w14:paraId="23F2B42D">
            <w:pPr>
              <w:pStyle w:val="45"/>
              <w:bidi w:val="0"/>
              <w:rPr>
                <w:rFonts w:hint="default"/>
              </w:rPr>
            </w:pPr>
            <w:r>
              <w:rPr>
                <w:rFonts w:hint="eastAsia"/>
                <w:lang w:val="en-US" w:eastAsia="zh-CN"/>
              </w:rPr>
              <w:t>0.03</w:t>
            </w:r>
          </w:p>
        </w:tc>
        <w:tc>
          <w:tcPr>
            <w:tcW w:w="811" w:type="pct"/>
            <w:shd w:val="clear" w:color="auto" w:fill="auto"/>
            <w:vAlign w:val="center"/>
          </w:tcPr>
          <w:p w14:paraId="030976AB">
            <w:pPr>
              <w:pStyle w:val="45"/>
              <w:bidi w:val="0"/>
              <w:rPr>
                <w:rFonts w:hint="default"/>
              </w:rPr>
            </w:pPr>
            <w:r>
              <w:rPr>
                <w:rFonts w:hint="eastAsia"/>
                <w:lang w:val="en-US" w:eastAsia="zh-CN"/>
              </w:rPr>
              <w:t>0.000013</w:t>
            </w:r>
          </w:p>
        </w:tc>
        <w:tc>
          <w:tcPr>
            <w:tcW w:w="672" w:type="pct"/>
            <w:shd w:val="clear" w:color="auto" w:fill="auto"/>
            <w:noWrap/>
            <w:vAlign w:val="center"/>
          </w:tcPr>
          <w:p w14:paraId="58463437">
            <w:pPr>
              <w:pStyle w:val="45"/>
              <w:rPr>
                <w:rFonts w:hint="default"/>
              </w:rPr>
            </w:pPr>
            <w:r>
              <w:t>0.0015</w:t>
            </w:r>
          </w:p>
        </w:tc>
        <w:tc>
          <w:tcPr>
            <w:tcW w:w="1904" w:type="dxa"/>
            <w:shd w:val="clear" w:color="auto" w:fill="auto"/>
            <w:noWrap/>
            <w:vAlign w:val="center"/>
          </w:tcPr>
          <w:p w14:paraId="165E82C3">
            <w:pPr>
              <w:pStyle w:val="45"/>
              <w:bidi w:val="0"/>
              <w:rPr>
                <w:rFonts w:hint="default"/>
              </w:rPr>
            </w:pPr>
            <w:r>
              <w:rPr>
                <w:rFonts w:hint="eastAsia"/>
                <w:lang w:val="en-US" w:eastAsia="zh-CN"/>
              </w:rPr>
              <w:t>0.001513</w:t>
            </w:r>
          </w:p>
        </w:tc>
        <w:tc>
          <w:tcPr>
            <w:tcW w:w="2048" w:type="dxa"/>
            <w:shd w:val="clear" w:color="auto" w:fill="auto"/>
            <w:noWrap/>
            <w:vAlign w:val="center"/>
          </w:tcPr>
          <w:p w14:paraId="63D1DB7E">
            <w:pPr>
              <w:pStyle w:val="45"/>
              <w:bidi w:val="0"/>
              <w:rPr>
                <w:rFonts w:hint="default"/>
              </w:rPr>
            </w:pPr>
            <w:r>
              <w:rPr>
                <w:rFonts w:hint="eastAsia"/>
                <w:lang w:val="en-US" w:eastAsia="zh-CN"/>
              </w:rPr>
              <w:t xml:space="preserve">5.04 </w:t>
            </w:r>
          </w:p>
        </w:tc>
        <w:tc>
          <w:tcPr>
            <w:tcW w:w="529" w:type="pct"/>
            <w:shd w:val="clear" w:color="auto" w:fill="auto"/>
            <w:noWrap/>
            <w:vAlign w:val="center"/>
          </w:tcPr>
          <w:p w14:paraId="4F9AFD48">
            <w:pPr>
              <w:pStyle w:val="45"/>
              <w:rPr>
                <w:rFonts w:hint="default"/>
              </w:rPr>
            </w:pPr>
            <w:r>
              <w:t>达标</w:t>
            </w:r>
          </w:p>
        </w:tc>
      </w:tr>
      <w:tr w14:paraId="7F149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5A344F3F">
            <w:pPr>
              <w:pStyle w:val="45"/>
              <w:rPr>
                <w:rFonts w:hint="default"/>
              </w:rPr>
            </w:pPr>
          </w:p>
        </w:tc>
        <w:tc>
          <w:tcPr>
            <w:tcW w:w="777" w:type="pct"/>
            <w:shd w:val="clear" w:color="auto" w:fill="auto"/>
            <w:vAlign w:val="center"/>
          </w:tcPr>
          <w:p w14:paraId="0F5F7F70">
            <w:pPr>
              <w:pStyle w:val="45"/>
              <w:rPr>
                <w:rFonts w:hint="default"/>
              </w:rPr>
            </w:pPr>
            <w:r>
              <w:t>大昌村</w:t>
            </w:r>
          </w:p>
        </w:tc>
        <w:tc>
          <w:tcPr>
            <w:tcW w:w="434" w:type="pct"/>
            <w:shd w:val="clear" w:color="auto" w:fill="auto"/>
            <w:vAlign w:val="center"/>
          </w:tcPr>
          <w:p w14:paraId="3419621C">
            <w:pPr>
              <w:pStyle w:val="45"/>
              <w:bidi w:val="0"/>
              <w:rPr>
                <w:rFonts w:hint="default"/>
              </w:rPr>
            </w:pPr>
            <w:r>
              <w:rPr>
                <w:rFonts w:hint="eastAsia"/>
                <w:lang w:val="en-US" w:eastAsia="zh-CN"/>
              </w:rPr>
              <w:t>0.03</w:t>
            </w:r>
          </w:p>
        </w:tc>
        <w:tc>
          <w:tcPr>
            <w:tcW w:w="811" w:type="pct"/>
            <w:shd w:val="clear" w:color="auto" w:fill="auto"/>
            <w:vAlign w:val="center"/>
          </w:tcPr>
          <w:p w14:paraId="62157CEB">
            <w:pPr>
              <w:pStyle w:val="45"/>
              <w:bidi w:val="0"/>
              <w:rPr>
                <w:rFonts w:hint="default"/>
              </w:rPr>
            </w:pPr>
            <w:r>
              <w:rPr>
                <w:rFonts w:hint="eastAsia"/>
                <w:lang w:val="en-US" w:eastAsia="zh-CN"/>
              </w:rPr>
              <w:t>0.000011</w:t>
            </w:r>
          </w:p>
        </w:tc>
        <w:tc>
          <w:tcPr>
            <w:tcW w:w="672" w:type="pct"/>
            <w:shd w:val="clear" w:color="auto" w:fill="auto"/>
            <w:noWrap/>
            <w:vAlign w:val="center"/>
          </w:tcPr>
          <w:p w14:paraId="39075E60">
            <w:pPr>
              <w:pStyle w:val="45"/>
              <w:rPr>
                <w:rFonts w:hint="default"/>
              </w:rPr>
            </w:pPr>
            <w:r>
              <w:t>0.0015</w:t>
            </w:r>
          </w:p>
        </w:tc>
        <w:tc>
          <w:tcPr>
            <w:tcW w:w="1904" w:type="dxa"/>
            <w:shd w:val="clear" w:color="auto" w:fill="auto"/>
            <w:noWrap/>
            <w:vAlign w:val="center"/>
          </w:tcPr>
          <w:p w14:paraId="1DBB3DF4">
            <w:pPr>
              <w:pStyle w:val="45"/>
              <w:bidi w:val="0"/>
              <w:rPr>
                <w:rFonts w:hint="default"/>
              </w:rPr>
            </w:pPr>
            <w:r>
              <w:rPr>
                <w:rFonts w:hint="eastAsia"/>
                <w:lang w:val="en-US" w:eastAsia="zh-CN"/>
              </w:rPr>
              <w:t>0.001511</w:t>
            </w:r>
          </w:p>
        </w:tc>
        <w:tc>
          <w:tcPr>
            <w:tcW w:w="2048" w:type="dxa"/>
            <w:shd w:val="clear" w:color="auto" w:fill="auto"/>
            <w:noWrap/>
            <w:vAlign w:val="center"/>
          </w:tcPr>
          <w:p w14:paraId="25550B0D">
            <w:pPr>
              <w:pStyle w:val="45"/>
              <w:bidi w:val="0"/>
              <w:rPr>
                <w:rFonts w:hint="default"/>
              </w:rPr>
            </w:pPr>
            <w:r>
              <w:rPr>
                <w:rFonts w:hint="eastAsia"/>
                <w:lang w:val="en-US" w:eastAsia="zh-CN"/>
              </w:rPr>
              <w:t xml:space="preserve">5.04 </w:t>
            </w:r>
          </w:p>
        </w:tc>
        <w:tc>
          <w:tcPr>
            <w:tcW w:w="529" w:type="pct"/>
            <w:shd w:val="clear" w:color="auto" w:fill="auto"/>
            <w:noWrap/>
            <w:vAlign w:val="center"/>
          </w:tcPr>
          <w:p w14:paraId="4A57313B">
            <w:pPr>
              <w:pStyle w:val="45"/>
              <w:rPr>
                <w:rFonts w:hint="default"/>
              </w:rPr>
            </w:pPr>
            <w:r>
              <w:t>达标</w:t>
            </w:r>
          </w:p>
        </w:tc>
      </w:tr>
      <w:tr w14:paraId="0E991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80" w:type="pct"/>
            <w:vMerge w:val="continue"/>
            <w:shd w:val="clear" w:color="auto" w:fill="auto"/>
            <w:vAlign w:val="center"/>
          </w:tcPr>
          <w:p w14:paraId="6FE2DC92">
            <w:pPr>
              <w:pStyle w:val="45"/>
              <w:rPr>
                <w:rFonts w:hint="default"/>
              </w:rPr>
            </w:pPr>
          </w:p>
        </w:tc>
        <w:tc>
          <w:tcPr>
            <w:tcW w:w="777" w:type="pct"/>
            <w:shd w:val="clear" w:color="auto" w:fill="auto"/>
            <w:vAlign w:val="center"/>
          </w:tcPr>
          <w:p w14:paraId="727B85C7">
            <w:pPr>
              <w:pStyle w:val="45"/>
              <w:rPr>
                <w:rFonts w:hint="eastAsia" w:eastAsia="宋体"/>
                <w:lang w:val="en-US" w:eastAsia="zh-CN"/>
              </w:rPr>
            </w:pPr>
            <w:r>
              <w:rPr>
                <w:rFonts w:hint="eastAsia" w:cs="宋体"/>
                <w:color w:val="000000"/>
                <w:kern w:val="0"/>
                <w:sz w:val="21"/>
                <w:szCs w:val="21"/>
              </w:rPr>
              <w:t>区域最大落地浓度坐标（</w:t>
            </w:r>
            <w:r>
              <w:rPr>
                <w:rFonts w:hint="eastAsia" w:cs="宋体"/>
                <w:color w:val="000000"/>
                <w:kern w:val="0"/>
                <w:sz w:val="21"/>
                <w:szCs w:val="21"/>
                <w:lang w:val="en-US" w:eastAsia="zh-CN"/>
              </w:rPr>
              <w:t>-250,750</w:t>
            </w:r>
            <w:r>
              <w:rPr>
                <w:rFonts w:hint="eastAsia" w:cs="宋体"/>
                <w:color w:val="000000"/>
                <w:kern w:val="0"/>
                <w:sz w:val="21"/>
                <w:szCs w:val="21"/>
              </w:rPr>
              <w:t>）厂界</w:t>
            </w:r>
            <w:r>
              <w:rPr>
                <w:rFonts w:hint="eastAsia" w:cs="宋体"/>
                <w:color w:val="000000"/>
                <w:kern w:val="0"/>
                <w:sz w:val="21"/>
                <w:szCs w:val="21"/>
                <w:lang w:val="en-US" w:eastAsia="zh-CN"/>
              </w:rPr>
              <w:t>外</w:t>
            </w:r>
          </w:p>
        </w:tc>
        <w:tc>
          <w:tcPr>
            <w:tcW w:w="434" w:type="pct"/>
            <w:shd w:val="clear" w:color="auto" w:fill="auto"/>
            <w:vAlign w:val="center"/>
          </w:tcPr>
          <w:p w14:paraId="76FC024E">
            <w:pPr>
              <w:pStyle w:val="45"/>
              <w:bidi w:val="0"/>
            </w:pPr>
            <w:r>
              <w:rPr>
                <w:rFonts w:hint="eastAsia"/>
                <w:lang w:val="en-US" w:eastAsia="zh-CN"/>
              </w:rPr>
              <w:t>0.03</w:t>
            </w:r>
          </w:p>
        </w:tc>
        <w:tc>
          <w:tcPr>
            <w:tcW w:w="811" w:type="pct"/>
            <w:shd w:val="clear" w:color="auto" w:fill="auto"/>
            <w:vAlign w:val="center"/>
          </w:tcPr>
          <w:p w14:paraId="7D6E340E">
            <w:pPr>
              <w:pStyle w:val="45"/>
              <w:bidi w:val="0"/>
            </w:pPr>
            <w:r>
              <w:rPr>
                <w:rFonts w:hint="eastAsia"/>
                <w:lang w:val="en-US" w:eastAsia="zh-CN"/>
              </w:rPr>
              <w:t>0.00092</w:t>
            </w:r>
          </w:p>
        </w:tc>
        <w:tc>
          <w:tcPr>
            <w:tcW w:w="672" w:type="pct"/>
            <w:shd w:val="clear" w:color="auto" w:fill="auto"/>
            <w:noWrap/>
            <w:vAlign w:val="center"/>
          </w:tcPr>
          <w:p w14:paraId="5D28D5D7">
            <w:pPr>
              <w:pStyle w:val="45"/>
              <w:rPr>
                <w:rFonts w:hint="default" w:eastAsia="宋体"/>
                <w:lang w:val="en-US" w:eastAsia="zh-CN"/>
              </w:rPr>
            </w:pPr>
            <w:r>
              <w:rPr>
                <w:rFonts w:hint="eastAsia"/>
                <w:lang w:val="en-US" w:eastAsia="zh-CN"/>
              </w:rPr>
              <w:t>0.0015</w:t>
            </w:r>
          </w:p>
        </w:tc>
        <w:tc>
          <w:tcPr>
            <w:tcW w:w="1904" w:type="dxa"/>
            <w:shd w:val="clear" w:color="auto" w:fill="auto"/>
            <w:noWrap/>
            <w:vAlign w:val="center"/>
          </w:tcPr>
          <w:p w14:paraId="7FE95A66">
            <w:pPr>
              <w:pStyle w:val="45"/>
              <w:bidi w:val="0"/>
            </w:pPr>
            <w:r>
              <w:rPr>
                <w:rFonts w:hint="eastAsia"/>
                <w:lang w:val="en-US" w:eastAsia="zh-CN"/>
              </w:rPr>
              <w:t>0.00242</w:t>
            </w:r>
          </w:p>
        </w:tc>
        <w:tc>
          <w:tcPr>
            <w:tcW w:w="2048" w:type="dxa"/>
            <w:shd w:val="clear" w:color="auto" w:fill="auto"/>
            <w:noWrap/>
            <w:vAlign w:val="center"/>
          </w:tcPr>
          <w:p w14:paraId="2DAD88C3">
            <w:pPr>
              <w:pStyle w:val="45"/>
              <w:bidi w:val="0"/>
            </w:pPr>
            <w:r>
              <w:rPr>
                <w:rFonts w:hint="eastAsia"/>
                <w:lang w:val="en-US" w:eastAsia="zh-CN"/>
              </w:rPr>
              <w:t xml:space="preserve">8.07 </w:t>
            </w:r>
          </w:p>
        </w:tc>
        <w:tc>
          <w:tcPr>
            <w:tcW w:w="529" w:type="pct"/>
            <w:shd w:val="clear" w:color="auto" w:fill="auto"/>
            <w:noWrap/>
            <w:vAlign w:val="center"/>
          </w:tcPr>
          <w:p w14:paraId="3DD3621C">
            <w:pPr>
              <w:pStyle w:val="45"/>
            </w:pPr>
            <w:r>
              <w:t>达标</w:t>
            </w:r>
          </w:p>
        </w:tc>
      </w:tr>
    </w:tbl>
    <w:p w14:paraId="1FD01301">
      <w:pPr>
        <w:ind w:firstLine="480"/>
      </w:pPr>
    </w:p>
    <w:p w14:paraId="1B16331E">
      <w:pPr>
        <w:ind w:firstLine="480"/>
      </w:pPr>
      <w:r>
        <w:rPr>
          <w:rFonts w:hint="eastAsia"/>
        </w:rPr>
        <w:t>（</w:t>
      </w:r>
      <w:r>
        <w:rPr>
          <w:rFonts w:hint="eastAsia"/>
          <w:lang w:val="en-US" w:eastAsia="zh-CN"/>
        </w:rPr>
        <w:t>3</w:t>
      </w:r>
      <w:r>
        <w:rPr>
          <w:rFonts w:hint="eastAsia"/>
        </w:rPr>
        <w:t>）HCl：评价范围内HCl对环境保护目标预测结果如下表所示。可以看出，本项目HC</w:t>
      </w:r>
      <w:r>
        <w:rPr>
          <w:rFonts w:hint="eastAsia"/>
          <w:lang w:val="en-US" w:eastAsia="zh-CN"/>
        </w:rPr>
        <w:t>l</w:t>
      </w:r>
      <w:r>
        <w:rPr>
          <w:rFonts w:hint="eastAsia"/>
        </w:rPr>
        <w:t>小时浓度</w:t>
      </w:r>
      <w:r>
        <w:rPr>
          <w:rFonts w:hint="eastAsia"/>
          <w:lang w:eastAsia="zh-CN"/>
        </w:rPr>
        <w:t>、</w:t>
      </w:r>
      <w:r>
        <w:rPr>
          <w:rFonts w:hint="eastAsia"/>
          <w:lang w:val="en-US" w:eastAsia="zh-CN"/>
        </w:rPr>
        <w:t>日均浓度</w:t>
      </w:r>
      <w:r>
        <w:rPr>
          <w:rFonts w:hint="eastAsia"/>
        </w:rPr>
        <w:t>在叠加在建、拟建源、削减源及区域背景浓度后预测值对环境保护目标的影响满足《环境影响评价技术导则 大气环境》（HJ2.2-2018）附录D的要求。</w:t>
      </w:r>
    </w:p>
    <w:p w14:paraId="7DA9F448">
      <w:pPr>
        <w:pStyle w:val="43"/>
        <w:numPr>
          <w:ilvl w:val="5"/>
          <w:numId w:val="1"/>
        </w:numPr>
        <w:rPr>
          <w:rFonts w:hint="default"/>
        </w:rPr>
      </w:pPr>
      <w:r>
        <w:t>HCl在环境保护目标及网格点处小时平均质量浓度占标率</w:t>
      </w:r>
    </w:p>
    <w:tbl>
      <w:tblPr>
        <w:tblStyle w:val="32"/>
        <w:tblW w:w="4996" w:type="pct"/>
        <w:tblInd w:w="0" w:type="dxa"/>
        <w:tblLayout w:type="autofit"/>
        <w:tblCellMar>
          <w:top w:w="0" w:type="dxa"/>
          <w:left w:w="108" w:type="dxa"/>
          <w:bottom w:w="0" w:type="dxa"/>
          <w:right w:w="108" w:type="dxa"/>
        </w:tblCellMar>
      </w:tblPr>
      <w:tblGrid>
        <w:gridCol w:w="1042"/>
        <w:gridCol w:w="2264"/>
        <w:gridCol w:w="1641"/>
        <w:gridCol w:w="1845"/>
        <w:gridCol w:w="1845"/>
        <w:gridCol w:w="1845"/>
        <w:gridCol w:w="2128"/>
        <w:gridCol w:w="1553"/>
      </w:tblGrid>
      <w:tr w14:paraId="009CC9D6">
        <w:tblPrEx>
          <w:tblCellMar>
            <w:top w:w="0" w:type="dxa"/>
            <w:left w:w="108" w:type="dxa"/>
            <w:bottom w:w="0" w:type="dxa"/>
            <w:right w:w="108" w:type="dxa"/>
          </w:tblCellMar>
        </w:tblPrEx>
        <w:trPr>
          <w:trHeight w:val="170" w:hRule="atLeast"/>
          <w:tblHeader/>
        </w:trPr>
        <w:tc>
          <w:tcPr>
            <w:tcW w:w="36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9BCD283">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评价因子</w:t>
            </w:r>
          </w:p>
        </w:tc>
        <w:tc>
          <w:tcPr>
            <w:tcW w:w="79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788CD65">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环境空气保护目标</w:t>
            </w:r>
          </w:p>
        </w:tc>
        <w:tc>
          <w:tcPr>
            <w:tcW w:w="57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B4D8033">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标准值（</w:t>
            </w:r>
            <w:r>
              <w:rPr>
                <w:rFonts w:cs="Times New Roman"/>
                <w:b/>
                <w:bCs/>
                <w:color w:val="000000"/>
                <w:kern w:val="0"/>
                <w:sz w:val="21"/>
                <w:szCs w:val="21"/>
              </w:rPr>
              <w:t>mg/m</w:t>
            </w:r>
            <w:r>
              <w:rPr>
                <w:rFonts w:cs="Times New Roman"/>
                <w:b/>
                <w:bCs/>
                <w:color w:val="000000"/>
                <w:kern w:val="0"/>
                <w:sz w:val="21"/>
                <w:szCs w:val="21"/>
                <w:vertAlign w:val="superscript"/>
              </w:rPr>
              <w:t>3</w:t>
            </w:r>
            <w:r>
              <w:rPr>
                <w:rFonts w:hint="eastAsia" w:cs="宋体"/>
                <w:b/>
                <w:bCs/>
                <w:color w:val="000000"/>
                <w:kern w:val="0"/>
                <w:sz w:val="21"/>
                <w:szCs w:val="21"/>
              </w:rPr>
              <w:t>）</w:t>
            </w:r>
          </w:p>
        </w:tc>
        <w:tc>
          <w:tcPr>
            <w:tcW w:w="3252"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D83090A">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小时平均质量浓度</w:t>
            </w:r>
          </w:p>
        </w:tc>
      </w:tr>
      <w:tr w14:paraId="3D4343AD">
        <w:tblPrEx>
          <w:tblCellMar>
            <w:top w:w="0" w:type="dxa"/>
            <w:left w:w="108" w:type="dxa"/>
            <w:bottom w:w="0" w:type="dxa"/>
            <w:right w:w="108" w:type="dxa"/>
          </w:tblCellMar>
        </w:tblPrEx>
        <w:trPr>
          <w:trHeight w:val="170" w:hRule="atLeast"/>
          <w:tblHeader/>
        </w:trPr>
        <w:tc>
          <w:tcPr>
            <w:tcW w:w="36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95E5A6">
            <w:pPr>
              <w:widowControl/>
              <w:spacing w:line="240" w:lineRule="auto"/>
              <w:ind w:firstLine="0" w:firstLineChars="0"/>
              <w:jc w:val="center"/>
              <w:rPr>
                <w:rFonts w:cs="宋体"/>
                <w:b/>
                <w:bCs/>
                <w:color w:val="000000"/>
                <w:sz w:val="21"/>
                <w:szCs w:val="21"/>
              </w:rPr>
            </w:pPr>
          </w:p>
        </w:tc>
        <w:tc>
          <w:tcPr>
            <w:tcW w:w="79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5E61F3">
            <w:pPr>
              <w:widowControl/>
              <w:spacing w:line="240" w:lineRule="auto"/>
              <w:ind w:firstLine="0" w:firstLineChars="0"/>
              <w:jc w:val="center"/>
              <w:rPr>
                <w:rFonts w:cs="宋体"/>
                <w:b/>
                <w:bCs/>
                <w:color w:val="000000"/>
                <w:sz w:val="21"/>
                <w:szCs w:val="21"/>
              </w:rPr>
            </w:pPr>
          </w:p>
        </w:tc>
        <w:tc>
          <w:tcPr>
            <w:tcW w:w="57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9247EB">
            <w:pPr>
              <w:widowControl/>
              <w:spacing w:line="240" w:lineRule="auto"/>
              <w:ind w:firstLine="0" w:firstLineChars="0"/>
              <w:jc w:val="center"/>
              <w:rPr>
                <w:rFonts w:cs="宋体"/>
                <w:b/>
                <w:bCs/>
                <w:color w:val="000000"/>
                <w:sz w:val="21"/>
                <w:szCs w:val="21"/>
              </w:rPr>
            </w:pPr>
          </w:p>
        </w:tc>
        <w:tc>
          <w:tcPr>
            <w:tcW w:w="6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2B1D7B">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叠加在建、拟建源、削减源后最大浓度值（</w:t>
            </w:r>
            <w:r>
              <w:rPr>
                <w:rFonts w:cs="Times New Roman"/>
                <w:b/>
                <w:bCs/>
                <w:color w:val="000000"/>
                <w:kern w:val="0"/>
                <w:sz w:val="21"/>
                <w:szCs w:val="21"/>
              </w:rPr>
              <w:t>mg/m</w:t>
            </w:r>
            <w:r>
              <w:rPr>
                <w:rFonts w:cs="Times New Roman"/>
                <w:b/>
                <w:bCs/>
                <w:color w:val="000000"/>
                <w:kern w:val="0"/>
                <w:sz w:val="21"/>
                <w:szCs w:val="21"/>
                <w:vertAlign w:val="superscript"/>
              </w:rPr>
              <w:t>3</w:t>
            </w:r>
            <w:r>
              <w:rPr>
                <w:rFonts w:hint="eastAsia" w:cs="宋体"/>
                <w:b/>
                <w:bCs/>
                <w:color w:val="000000"/>
                <w:kern w:val="0"/>
                <w:sz w:val="21"/>
                <w:szCs w:val="21"/>
              </w:rPr>
              <w:t>）</w:t>
            </w:r>
          </w:p>
        </w:tc>
        <w:tc>
          <w:tcPr>
            <w:tcW w:w="6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182153">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现状浓度（</w:t>
            </w:r>
            <w:r>
              <w:rPr>
                <w:rFonts w:cs="Times New Roman"/>
                <w:b/>
                <w:bCs/>
                <w:color w:val="000000"/>
                <w:kern w:val="0"/>
                <w:sz w:val="21"/>
                <w:szCs w:val="21"/>
              </w:rPr>
              <w:t>mg/m</w:t>
            </w:r>
            <w:r>
              <w:rPr>
                <w:rFonts w:cs="Times New Roman"/>
                <w:b/>
                <w:bCs/>
                <w:color w:val="000000"/>
                <w:kern w:val="0"/>
                <w:sz w:val="21"/>
                <w:szCs w:val="21"/>
                <w:vertAlign w:val="superscript"/>
              </w:rPr>
              <w:t>3</w:t>
            </w:r>
            <w:r>
              <w:rPr>
                <w:rFonts w:hint="eastAsia" w:cs="宋体"/>
                <w:b/>
                <w:bCs/>
                <w:color w:val="000000"/>
                <w:kern w:val="0"/>
                <w:sz w:val="21"/>
                <w:szCs w:val="21"/>
              </w:rPr>
              <w:t>）</w:t>
            </w:r>
          </w:p>
        </w:tc>
        <w:tc>
          <w:tcPr>
            <w:tcW w:w="6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7070F9">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叠加现状浓度后的浓度（</w:t>
            </w:r>
            <w:r>
              <w:rPr>
                <w:rFonts w:cs="Times New Roman"/>
                <w:b/>
                <w:bCs/>
                <w:color w:val="000000"/>
                <w:kern w:val="0"/>
                <w:sz w:val="21"/>
                <w:szCs w:val="21"/>
              </w:rPr>
              <w:t>mg/m</w:t>
            </w:r>
            <w:r>
              <w:rPr>
                <w:rFonts w:cs="Times New Roman"/>
                <w:b/>
                <w:bCs/>
                <w:color w:val="000000"/>
                <w:kern w:val="0"/>
                <w:sz w:val="21"/>
                <w:szCs w:val="21"/>
                <w:vertAlign w:val="superscript"/>
              </w:rPr>
              <w:t>3</w:t>
            </w:r>
            <w:r>
              <w:rPr>
                <w:rFonts w:hint="eastAsia" w:cs="宋体"/>
                <w:b/>
                <w:bCs/>
                <w:color w:val="000000"/>
                <w:kern w:val="0"/>
                <w:sz w:val="21"/>
                <w:szCs w:val="21"/>
              </w:rPr>
              <w:t>）</w:t>
            </w:r>
          </w:p>
        </w:tc>
        <w:tc>
          <w:tcPr>
            <w:tcW w:w="7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C97533">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占标率（</w:t>
            </w:r>
            <w:r>
              <w:rPr>
                <w:rFonts w:cs="Times New Roman"/>
                <w:b/>
                <w:bCs/>
                <w:color w:val="000000"/>
                <w:kern w:val="0"/>
                <w:sz w:val="21"/>
                <w:szCs w:val="21"/>
              </w:rPr>
              <w:t>%</w:t>
            </w:r>
            <w:r>
              <w:rPr>
                <w:rFonts w:hint="eastAsia" w:cs="宋体"/>
                <w:b/>
                <w:bCs/>
                <w:color w:val="000000"/>
                <w:kern w:val="0"/>
                <w:sz w:val="21"/>
                <w:szCs w:val="21"/>
              </w:rPr>
              <w:t>）</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C872C0">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达标情况</w:t>
            </w:r>
          </w:p>
        </w:tc>
      </w:tr>
      <w:tr w14:paraId="5098F66C">
        <w:tblPrEx>
          <w:tblCellMar>
            <w:top w:w="0" w:type="dxa"/>
            <w:left w:w="108" w:type="dxa"/>
            <w:bottom w:w="0" w:type="dxa"/>
            <w:right w:w="108" w:type="dxa"/>
          </w:tblCellMar>
        </w:tblPrEx>
        <w:trPr>
          <w:trHeight w:val="170" w:hRule="atLeast"/>
        </w:trPr>
        <w:tc>
          <w:tcPr>
            <w:tcW w:w="368" w:type="pct"/>
            <w:vMerge w:val="restart"/>
            <w:tcBorders>
              <w:top w:val="single" w:color="000000" w:sz="4" w:space="0"/>
              <w:left w:val="single" w:color="000000" w:sz="4" w:space="0"/>
              <w:right w:val="single" w:color="000000" w:sz="4" w:space="0"/>
            </w:tcBorders>
            <w:shd w:val="clear" w:color="auto" w:fill="auto"/>
            <w:vAlign w:val="center"/>
          </w:tcPr>
          <w:p w14:paraId="5ED1A217">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氯化氢（HCl）</w:t>
            </w: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C02701">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新安村</w:t>
            </w:r>
          </w:p>
        </w:tc>
        <w:tc>
          <w:tcPr>
            <w:tcW w:w="5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4AD29">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943CD">
            <w:pPr>
              <w:pStyle w:val="45"/>
              <w:bidi w:val="0"/>
            </w:pPr>
            <w:r>
              <w:rPr>
                <w:rFonts w:hint="eastAsia"/>
                <w:lang w:val="en-US" w:eastAsia="zh-CN"/>
              </w:rPr>
              <w:t>0.00054</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7C3DD1">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AA9FF">
            <w:pPr>
              <w:pStyle w:val="45"/>
              <w:bidi w:val="0"/>
            </w:pPr>
            <w:r>
              <w:rPr>
                <w:rFonts w:hint="eastAsia"/>
                <w:lang w:val="en-US" w:eastAsia="zh-CN"/>
              </w:rPr>
              <w:t>0.00254</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BFBD6">
            <w:pPr>
              <w:pStyle w:val="45"/>
              <w:bidi w:val="0"/>
            </w:pPr>
            <w:r>
              <w:rPr>
                <w:rFonts w:hint="eastAsia"/>
                <w:lang w:val="en-US" w:eastAsia="zh-CN"/>
              </w:rPr>
              <w:t xml:space="preserve">5.08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DC6F2">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4F9C6C27">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357F7176">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7AFAB3">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松木村</w:t>
            </w:r>
          </w:p>
        </w:tc>
        <w:tc>
          <w:tcPr>
            <w:tcW w:w="5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73645">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68BC4">
            <w:pPr>
              <w:pStyle w:val="45"/>
              <w:bidi w:val="0"/>
            </w:pPr>
            <w:r>
              <w:rPr>
                <w:rFonts w:hint="eastAsia"/>
                <w:lang w:val="en-US" w:eastAsia="zh-CN"/>
              </w:rPr>
              <w:t>0.000589</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A4CF6">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4D155">
            <w:pPr>
              <w:pStyle w:val="45"/>
              <w:bidi w:val="0"/>
            </w:pPr>
            <w:r>
              <w:rPr>
                <w:rFonts w:hint="eastAsia"/>
                <w:lang w:val="en-US" w:eastAsia="zh-CN"/>
              </w:rPr>
              <w:t>0.002589</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7DEB6">
            <w:pPr>
              <w:pStyle w:val="45"/>
              <w:bidi w:val="0"/>
            </w:pPr>
            <w:r>
              <w:rPr>
                <w:rFonts w:hint="eastAsia"/>
                <w:lang w:val="en-US" w:eastAsia="zh-CN"/>
              </w:rPr>
              <w:t xml:space="preserve">5.18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CE984B">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662B4DDD">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39B344EE">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6DCFF8">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金源小学</w:t>
            </w:r>
          </w:p>
        </w:tc>
        <w:tc>
          <w:tcPr>
            <w:tcW w:w="5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625080">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01F407">
            <w:pPr>
              <w:pStyle w:val="45"/>
              <w:bidi w:val="0"/>
            </w:pPr>
            <w:r>
              <w:rPr>
                <w:rFonts w:hint="eastAsia"/>
                <w:lang w:val="en-US" w:eastAsia="zh-CN"/>
              </w:rPr>
              <w:t>0.000528</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FCA3CF">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7A1FE">
            <w:pPr>
              <w:pStyle w:val="45"/>
              <w:bidi w:val="0"/>
            </w:pPr>
            <w:r>
              <w:rPr>
                <w:rFonts w:hint="eastAsia"/>
                <w:lang w:val="en-US" w:eastAsia="zh-CN"/>
              </w:rPr>
              <w:t>0.002528</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96EE5">
            <w:pPr>
              <w:pStyle w:val="45"/>
              <w:bidi w:val="0"/>
            </w:pPr>
            <w:r>
              <w:rPr>
                <w:rFonts w:hint="eastAsia"/>
                <w:lang w:val="en-US" w:eastAsia="zh-CN"/>
              </w:rPr>
              <w:t xml:space="preserve">5.06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DFD9C3">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1B84EC82">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650576DF">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29D0B2">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金源社区安置房</w:t>
            </w:r>
            <w:r>
              <w:rPr>
                <w:rFonts w:cs="Times New Roman"/>
                <w:color w:val="000000"/>
                <w:kern w:val="0"/>
                <w:sz w:val="21"/>
                <w:szCs w:val="21"/>
              </w:rPr>
              <w:t>2</w:t>
            </w:r>
          </w:p>
        </w:tc>
        <w:tc>
          <w:tcPr>
            <w:tcW w:w="5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3952EC">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863AE">
            <w:pPr>
              <w:pStyle w:val="45"/>
              <w:bidi w:val="0"/>
            </w:pPr>
            <w:r>
              <w:rPr>
                <w:rFonts w:hint="eastAsia"/>
                <w:lang w:val="en-US" w:eastAsia="zh-CN"/>
              </w:rPr>
              <w:t>0.001129</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7EE30C">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C6AE21">
            <w:pPr>
              <w:pStyle w:val="45"/>
              <w:bidi w:val="0"/>
            </w:pPr>
            <w:r>
              <w:rPr>
                <w:rFonts w:hint="eastAsia"/>
                <w:lang w:val="en-US" w:eastAsia="zh-CN"/>
              </w:rPr>
              <w:t>0.003129</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9429C">
            <w:pPr>
              <w:pStyle w:val="45"/>
              <w:bidi w:val="0"/>
            </w:pPr>
            <w:r>
              <w:rPr>
                <w:rFonts w:hint="eastAsia"/>
                <w:lang w:val="en-US" w:eastAsia="zh-CN"/>
              </w:rPr>
              <w:t xml:space="preserve">6.26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FFE0D">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68F8DA5E">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5154192E">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3D295F">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金源社区医院</w:t>
            </w:r>
          </w:p>
        </w:tc>
        <w:tc>
          <w:tcPr>
            <w:tcW w:w="5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376D1">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619D28">
            <w:pPr>
              <w:pStyle w:val="45"/>
              <w:bidi w:val="0"/>
            </w:pPr>
            <w:r>
              <w:rPr>
                <w:rFonts w:hint="eastAsia"/>
                <w:lang w:val="en-US" w:eastAsia="zh-CN"/>
              </w:rPr>
              <w:t>0.00102</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6ECB6">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5A604">
            <w:pPr>
              <w:pStyle w:val="45"/>
              <w:bidi w:val="0"/>
            </w:pPr>
            <w:r>
              <w:rPr>
                <w:rFonts w:hint="eastAsia"/>
                <w:lang w:val="en-US" w:eastAsia="zh-CN"/>
              </w:rPr>
              <w:t>0.00302</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902C6">
            <w:pPr>
              <w:pStyle w:val="45"/>
              <w:bidi w:val="0"/>
            </w:pPr>
            <w:r>
              <w:rPr>
                <w:rFonts w:hint="eastAsia"/>
                <w:lang w:val="en-US" w:eastAsia="zh-CN"/>
              </w:rPr>
              <w:t xml:space="preserve">6.04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C89ECA">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73849DAD">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46369885">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3C164D">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金源社区安置房</w:t>
            </w:r>
          </w:p>
        </w:tc>
        <w:tc>
          <w:tcPr>
            <w:tcW w:w="5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BCFD3B">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B4ABA">
            <w:pPr>
              <w:pStyle w:val="45"/>
              <w:bidi w:val="0"/>
            </w:pPr>
            <w:r>
              <w:rPr>
                <w:rFonts w:hint="eastAsia"/>
                <w:lang w:val="en-US" w:eastAsia="zh-CN"/>
              </w:rPr>
              <w:t>0.00043</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47460">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9743D">
            <w:pPr>
              <w:pStyle w:val="45"/>
              <w:bidi w:val="0"/>
            </w:pPr>
            <w:r>
              <w:rPr>
                <w:rFonts w:hint="eastAsia"/>
                <w:lang w:val="en-US" w:eastAsia="zh-CN"/>
              </w:rPr>
              <w:t>0.00243</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48306">
            <w:pPr>
              <w:pStyle w:val="45"/>
              <w:bidi w:val="0"/>
            </w:pPr>
            <w:r>
              <w:rPr>
                <w:rFonts w:hint="eastAsia"/>
                <w:lang w:val="en-US" w:eastAsia="zh-CN"/>
              </w:rPr>
              <w:t xml:space="preserve">4.86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8DFBF">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4BD04BF2">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0D44ACEB">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7F5576">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湖南工商职业学院</w:t>
            </w:r>
          </w:p>
        </w:tc>
        <w:tc>
          <w:tcPr>
            <w:tcW w:w="5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8D04C">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E4ED30">
            <w:pPr>
              <w:pStyle w:val="45"/>
              <w:bidi w:val="0"/>
            </w:pPr>
            <w:r>
              <w:rPr>
                <w:rFonts w:hint="eastAsia"/>
                <w:lang w:val="en-US" w:eastAsia="zh-CN"/>
              </w:rPr>
              <w:t>0.000401</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BF15A7">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A05ADF">
            <w:pPr>
              <w:pStyle w:val="45"/>
              <w:bidi w:val="0"/>
            </w:pPr>
            <w:r>
              <w:rPr>
                <w:rFonts w:hint="eastAsia"/>
                <w:lang w:val="en-US" w:eastAsia="zh-CN"/>
              </w:rPr>
              <w:t>0.002401</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28C3B">
            <w:pPr>
              <w:pStyle w:val="45"/>
              <w:bidi w:val="0"/>
            </w:pPr>
            <w:r>
              <w:rPr>
                <w:rFonts w:hint="eastAsia"/>
                <w:lang w:val="en-US" w:eastAsia="zh-CN"/>
              </w:rPr>
              <w:t xml:space="preserve">4.80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950B9">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1523EE53">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6DAD587D">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8F81E3">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园区管委会</w:t>
            </w:r>
          </w:p>
        </w:tc>
        <w:tc>
          <w:tcPr>
            <w:tcW w:w="5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B1F789">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8EE352">
            <w:pPr>
              <w:pStyle w:val="45"/>
              <w:bidi w:val="0"/>
            </w:pPr>
            <w:r>
              <w:rPr>
                <w:rFonts w:hint="eastAsia"/>
                <w:lang w:val="en-US" w:eastAsia="zh-CN"/>
              </w:rPr>
              <w:t>0.001191</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5FCB6">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C7998">
            <w:pPr>
              <w:pStyle w:val="45"/>
              <w:bidi w:val="0"/>
            </w:pPr>
            <w:r>
              <w:rPr>
                <w:rFonts w:hint="eastAsia"/>
                <w:lang w:val="en-US" w:eastAsia="zh-CN"/>
              </w:rPr>
              <w:t>0.003191</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C6ADC">
            <w:pPr>
              <w:pStyle w:val="45"/>
              <w:bidi w:val="0"/>
            </w:pPr>
            <w:r>
              <w:rPr>
                <w:rFonts w:hint="eastAsia"/>
                <w:lang w:val="en-US" w:eastAsia="zh-CN"/>
              </w:rPr>
              <w:t xml:space="preserve">6.38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63D030">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767517BE">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55642D6B">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ABA6FE">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松木中学</w:t>
            </w:r>
          </w:p>
        </w:tc>
        <w:tc>
          <w:tcPr>
            <w:tcW w:w="5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63B1C">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D2707">
            <w:pPr>
              <w:pStyle w:val="45"/>
              <w:bidi w:val="0"/>
            </w:pPr>
            <w:r>
              <w:rPr>
                <w:rFonts w:hint="eastAsia"/>
                <w:lang w:val="en-US" w:eastAsia="zh-CN"/>
              </w:rPr>
              <w:t>0.000524</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9B134">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A9BF1">
            <w:pPr>
              <w:pStyle w:val="45"/>
              <w:bidi w:val="0"/>
            </w:pPr>
            <w:r>
              <w:rPr>
                <w:rFonts w:hint="eastAsia"/>
                <w:lang w:val="en-US" w:eastAsia="zh-CN"/>
              </w:rPr>
              <w:t>0.002524</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7C3602">
            <w:pPr>
              <w:pStyle w:val="45"/>
              <w:bidi w:val="0"/>
            </w:pPr>
            <w:r>
              <w:rPr>
                <w:rFonts w:hint="eastAsia"/>
                <w:lang w:val="en-US" w:eastAsia="zh-CN"/>
              </w:rPr>
              <w:t xml:space="preserve">5.05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54F3A">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5A796B38">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0D901CB4">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0D3069">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松木村</w:t>
            </w:r>
            <w:r>
              <w:rPr>
                <w:rFonts w:cs="Times New Roman"/>
                <w:color w:val="000000"/>
                <w:kern w:val="0"/>
                <w:sz w:val="21"/>
                <w:szCs w:val="21"/>
              </w:rPr>
              <w:t>2</w:t>
            </w:r>
          </w:p>
        </w:tc>
        <w:tc>
          <w:tcPr>
            <w:tcW w:w="5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14F33">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D1083">
            <w:pPr>
              <w:pStyle w:val="45"/>
              <w:bidi w:val="0"/>
            </w:pPr>
            <w:r>
              <w:rPr>
                <w:rFonts w:hint="eastAsia"/>
                <w:lang w:val="en-US" w:eastAsia="zh-CN"/>
              </w:rPr>
              <w:t>0.002064</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81B71">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50B81">
            <w:pPr>
              <w:pStyle w:val="45"/>
              <w:bidi w:val="0"/>
            </w:pPr>
            <w:r>
              <w:rPr>
                <w:rFonts w:hint="eastAsia"/>
                <w:lang w:val="en-US" w:eastAsia="zh-CN"/>
              </w:rPr>
              <w:t>0.004064</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AC3EF">
            <w:pPr>
              <w:pStyle w:val="45"/>
              <w:bidi w:val="0"/>
            </w:pPr>
            <w:r>
              <w:rPr>
                <w:rFonts w:hint="eastAsia"/>
                <w:lang w:val="en-US" w:eastAsia="zh-CN"/>
              </w:rPr>
              <w:t xml:space="preserve">8.13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9977BF">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0658489D">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4F298924">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FC8D0E">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园区安置房</w:t>
            </w:r>
          </w:p>
        </w:tc>
        <w:tc>
          <w:tcPr>
            <w:tcW w:w="5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B7A8FA">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01FD2">
            <w:pPr>
              <w:pStyle w:val="45"/>
              <w:bidi w:val="0"/>
            </w:pPr>
            <w:r>
              <w:rPr>
                <w:rFonts w:hint="eastAsia"/>
                <w:lang w:val="en-US" w:eastAsia="zh-CN"/>
              </w:rPr>
              <w:t>0.002048</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760EA">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EE5047">
            <w:pPr>
              <w:pStyle w:val="45"/>
              <w:bidi w:val="0"/>
            </w:pPr>
            <w:r>
              <w:rPr>
                <w:rFonts w:hint="eastAsia"/>
                <w:lang w:val="en-US" w:eastAsia="zh-CN"/>
              </w:rPr>
              <w:t>0.004048</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544F29">
            <w:pPr>
              <w:pStyle w:val="45"/>
              <w:bidi w:val="0"/>
            </w:pPr>
            <w:r>
              <w:rPr>
                <w:rFonts w:hint="eastAsia"/>
                <w:lang w:val="en-US" w:eastAsia="zh-CN"/>
              </w:rPr>
              <w:t xml:space="preserve">8.10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055C3E">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07B219CC">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49DFB795">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1CB705">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友谊村</w:t>
            </w:r>
          </w:p>
        </w:tc>
        <w:tc>
          <w:tcPr>
            <w:tcW w:w="5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99E9C">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18BA2">
            <w:pPr>
              <w:pStyle w:val="45"/>
              <w:bidi w:val="0"/>
            </w:pPr>
            <w:r>
              <w:rPr>
                <w:rFonts w:hint="eastAsia"/>
                <w:lang w:val="en-US" w:eastAsia="zh-CN"/>
              </w:rPr>
              <w:t>0.001057</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4A761">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411A3">
            <w:pPr>
              <w:pStyle w:val="45"/>
              <w:bidi w:val="0"/>
            </w:pPr>
            <w:r>
              <w:rPr>
                <w:rFonts w:hint="eastAsia"/>
                <w:lang w:val="en-US" w:eastAsia="zh-CN"/>
              </w:rPr>
              <w:t>0.003057</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ACC477">
            <w:pPr>
              <w:pStyle w:val="45"/>
              <w:bidi w:val="0"/>
            </w:pPr>
            <w:r>
              <w:rPr>
                <w:rFonts w:hint="eastAsia"/>
                <w:lang w:val="en-US" w:eastAsia="zh-CN"/>
              </w:rPr>
              <w:t xml:space="preserve">6.11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79C865">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25D70460">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5BD60821">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20485D">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龙谊村</w:t>
            </w:r>
          </w:p>
        </w:tc>
        <w:tc>
          <w:tcPr>
            <w:tcW w:w="5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50311">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2E760">
            <w:pPr>
              <w:pStyle w:val="45"/>
              <w:bidi w:val="0"/>
            </w:pPr>
            <w:r>
              <w:rPr>
                <w:rFonts w:hint="eastAsia"/>
                <w:lang w:val="en-US" w:eastAsia="zh-CN"/>
              </w:rPr>
              <w:t>0.000703</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76F27">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00A26">
            <w:pPr>
              <w:pStyle w:val="45"/>
              <w:bidi w:val="0"/>
            </w:pPr>
            <w:r>
              <w:rPr>
                <w:rFonts w:hint="eastAsia"/>
                <w:lang w:val="en-US" w:eastAsia="zh-CN"/>
              </w:rPr>
              <w:t>0.002703</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CB573">
            <w:pPr>
              <w:pStyle w:val="45"/>
              <w:bidi w:val="0"/>
            </w:pPr>
            <w:r>
              <w:rPr>
                <w:rFonts w:hint="eastAsia"/>
                <w:lang w:val="en-US" w:eastAsia="zh-CN"/>
              </w:rPr>
              <w:t xml:space="preserve">5.41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D9BA8">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30F146FA">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5A28B8DA">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59EC86">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友爱村</w:t>
            </w:r>
          </w:p>
        </w:tc>
        <w:tc>
          <w:tcPr>
            <w:tcW w:w="5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29492">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3F2A1">
            <w:pPr>
              <w:pStyle w:val="45"/>
              <w:bidi w:val="0"/>
            </w:pPr>
            <w:r>
              <w:rPr>
                <w:rFonts w:hint="eastAsia"/>
                <w:lang w:val="en-US" w:eastAsia="zh-CN"/>
              </w:rPr>
              <w:t>0.000452</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DDDEA">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EF0A70">
            <w:pPr>
              <w:pStyle w:val="45"/>
              <w:bidi w:val="0"/>
            </w:pPr>
            <w:r>
              <w:rPr>
                <w:rFonts w:hint="eastAsia"/>
                <w:lang w:val="en-US" w:eastAsia="zh-CN"/>
              </w:rPr>
              <w:t>0.002452</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2AD92">
            <w:pPr>
              <w:pStyle w:val="45"/>
              <w:bidi w:val="0"/>
            </w:pPr>
            <w:r>
              <w:rPr>
                <w:rFonts w:hint="eastAsia"/>
                <w:lang w:val="en-US" w:eastAsia="zh-CN"/>
              </w:rPr>
              <w:t xml:space="preserve">4.90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5F3822">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20F45667">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1AE7CA68">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F3DE33">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江霞村</w:t>
            </w:r>
          </w:p>
        </w:tc>
        <w:tc>
          <w:tcPr>
            <w:tcW w:w="5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4705F">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8D33E">
            <w:pPr>
              <w:pStyle w:val="45"/>
              <w:bidi w:val="0"/>
            </w:pPr>
            <w:r>
              <w:rPr>
                <w:rFonts w:hint="eastAsia"/>
                <w:lang w:val="en-US" w:eastAsia="zh-CN"/>
              </w:rPr>
              <w:t>0.000513</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087C4">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5419E1">
            <w:pPr>
              <w:pStyle w:val="45"/>
              <w:bidi w:val="0"/>
            </w:pPr>
            <w:r>
              <w:rPr>
                <w:rFonts w:hint="eastAsia"/>
                <w:lang w:val="en-US" w:eastAsia="zh-CN"/>
              </w:rPr>
              <w:t>0.002513</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D5C942">
            <w:pPr>
              <w:pStyle w:val="45"/>
              <w:bidi w:val="0"/>
            </w:pPr>
            <w:r>
              <w:rPr>
                <w:rFonts w:hint="eastAsia"/>
                <w:lang w:val="en-US" w:eastAsia="zh-CN"/>
              </w:rPr>
              <w:t xml:space="preserve">5.03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979340">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42579214">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375BF27A">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72275C">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金兰村</w:t>
            </w:r>
          </w:p>
        </w:tc>
        <w:tc>
          <w:tcPr>
            <w:tcW w:w="5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BD289">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BE6E8">
            <w:pPr>
              <w:pStyle w:val="45"/>
              <w:bidi w:val="0"/>
            </w:pPr>
            <w:r>
              <w:rPr>
                <w:rFonts w:hint="eastAsia"/>
                <w:lang w:val="en-US" w:eastAsia="zh-CN"/>
              </w:rPr>
              <w:t>0.000507</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89B2C">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4209C7">
            <w:pPr>
              <w:pStyle w:val="45"/>
              <w:bidi w:val="0"/>
            </w:pPr>
            <w:r>
              <w:rPr>
                <w:rFonts w:hint="eastAsia"/>
                <w:lang w:val="en-US" w:eastAsia="zh-CN"/>
              </w:rPr>
              <w:t>0.002507</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8DD41">
            <w:pPr>
              <w:pStyle w:val="45"/>
              <w:bidi w:val="0"/>
            </w:pPr>
            <w:r>
              <w:rPr>
                <w:rFonts w:hint="eastAsia"/>
                <w:lang w:val="en-US" w:eastAsia="zh-CN"/>
              </w:rPr>
              <w:t xml:space="preserve">5.01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941EAC">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0CD03B58">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7B17C83C">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F6C7CF">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大昌村</w:t>
            </w:r>
          </w:p>
        </w:tc>
        <w:tc>
          <w:tcPr>
            <w:tcW w:w="5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48D06">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EFC64">
            <w:pPr>
              <w:pStyle w:val="45"/>
              <w:bidi w:val="0"/>
            </w:pPr>
            <w:r>
              <w:rPr>
                <w:rFonts w:hint="eastAsia"/>
                <w:lang w:val="en-US" w:eastAsia="zh-CN"/>
              </w:rPr>
              <w:t>0.000518</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C41D7">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7D7B3">
            <w:pPr>
              <w:pStyle w:val="45"/>
              <w:bidi w:val="0"/>
            </w:pPr>
            <w:r>
              <w:rPr>
                <w:rFonts w:hint="eastAsia"/>
                <w:lang w:val="en-US" w:eastAsia="zh-CN"/>
              </w:rPr>
              <w:t>0.002518</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894081">
            <w:pPr>
              <w:pStyle w:val="45"/>
              <w:bidi w:val="0"/>
            </w:pPr>
            <w:r>
              <w:rPr>
                <w:rFonts w:hint="eastAsia"/>
                <w:lang w:val="en-US" w:eastAsia="zh-CN"/>
              </w:rPr>
              <w:t xml:space="preserve">5.04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5AE0F">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509FC865">
        <w:tblPrEx>
          <w:tblCellMar>
            <w:top w:w="0" w:type="dxa"/>
            <w:left w:w="108" w:type="dxa"/>
            <w:bottom w:w="0" w:type="dxa"/>
            <w:right w:w="108" w:type="dxa"/>
          </w:tblCellMar>
        </w:tblPrEx>
        <w:trPr>
          <w:trHeight w:val="170" w:hRule="atLeast"/>
        </w:trPr>
        <w:tc>
          <w:tcPr>
            <w:tcW w:w="368" w:type="pct"/>
            <w:vMerge w:val="continue"/>
            <w:tcBorders>
              <w:left w:val="single" w:color="000000" w:sz="4" w:space="0"/>
              <w:bottom w:val="single" w:color="000000" w:sz="4" w:space="0"/>
              <w:right w:val="single" w:color="000000" w:sz="4" w:space="0"/>
            </w:tcBorders>
            <w:shd w:val="clear" w:color="auto" w:fill="auto"/>
            <w:vAlign w:val="center"/>
          </w:tcPr>
          <w:p w14:paraId="7EF8B0E6">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497CF7">
            <w:pPr>
              <w:widowControl/>
              <w:spacing w:line="240" w:lineRule="auto"/>
              <w:ind w:firstLine="0" w:firstLineChars="0"/>
              <w:jc w:val="center"/>
              <w:textAlignment w:val="center"/>
              <w:rPr>
                <w:rFonts w:hint="eastAsia" w:cs="宋体"/>
                <w:color w:val="000000"/>
                <w:kern w:val="0"/>
                <w:sz w:val="21"/>
                <w:szCs w:val="21"/>
              </w:rPr>
            </w:pPr>
            <w:r>
              <w:rPr>
                <w:rFonts w:hint="eastAsia" w:cs="宋体"/>
                <w:color w:val="000000"/>
                <w:kern w:val="0"/>
                <w:sz w:val="21"/>
                <w:szCs w:val="21"/>
              </w:rPr>
              <w:t>区域最大落地浓度坐标（</w:t>
            </w:r>
            <w:r>
              <w:rPr>
                <w:rFonts w:hint="eastAsia" w:cs="宋体"/>
                <w:color w:val="000000"/>
                <w:kern w:val="0"/>
                <w:sz w:val="21"/>
                <w:szCs w:val="21"/>
                <w:lang w:val="en-US" w:eastAsia="zh-CN"/>
              </w:rPr>
              <w:t>-450,250</w:t>
            </w:r>
            <w:r>
              <w:rPr>
                <w:rFonts w:hint="eastAsia" w:cs="宋体"/>
                <w:color w:val="000000"/>
                <w:kern w:val="0"/>
                <w:sz w:val="21"/>
                <w:szCs w:val="21"/>
              </w:rPr>
              <w:t>）厂界</w:t>
            </w:r>
            <w:r>
              <w:rPr>
                <w:rFonts w:hint="eastAsia" w:cs="宋体"/>
                <w:color w:val="000000"/>
                <w:kern w:val="0"/>
                <w:sz w:val="21"/>
                <w:szCs w:val="21"/>
                <w:lang w:val="en-US" w:eastAsia="zh-CN"/>
              </w:rPr>
              <w:t>外</w:t>
            </w:r>
          </w:p>
        </w:tc>
        <w:tc>
          <w:tcPr>
            <w:tcW w:w="5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782D5">
            <w:pPr>
              <w:widowControl/>
              <w:spacing w:line="240" w:lineRule="auto"/>
              <w:ind w:firstLine="0" w:firstLineChars="0"/>
              <w:jc w:val="center"/>
              <w:textAlignment w:val="center"/>
              <w:rPr>
                <w:rFonts w:hint="default" w:eastAsia="宋体" w:cs="宋体"/>
                <w:color w:val="000000"/>
                <w:kern w:val="0"/>
                <w:sz w:val="21"/>
                <w:szCs w:val="22"/>
                <w:lang w:val="en-US" w:eastAsia="zh-CN"/>
              </w:rPr>
            </w:pPr>
            <w:r>
              <w:rPr>
                <w:rFonts w:hint="eastAsia" w:cs="宋体"/>
                <w:color w:val="000000"/>
                <w:kern w:val="0"/>
                <w:sz w:val="21"/>
                <w:szCs w:val="22"/>
                <w:lang w:val="en-US" w:eastAsia="zh-CN"/>
              </w:rPr>
              <w:t>0.05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D3DDF">
            <w:pPr>
              <w:pStyle w:val="45"/>
              <w:bidi w:val="0"/>
              <w:rPr>
                <w:rFonts w:hint="eastAsia"/>
              </w:rPr>
            </w:pPr>
            <w:r>
              <w:rPr>
                <w:rFonts w:hint="eastAsia"/>
                <w:lang w:val="en-US" w:eastAsia="zh-CN"/>
              </w:rPr>
              <w:t>0.010593</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DA440D">
            <w:pPr>
              <w:widowControl/>
              <w:spacing w:line="240" w:lineRule="auto"/>
              <w:ind w:firstLine="0" w:firstLineChars="0"/>
              <w:jc w:val="center"/>
              <w:textAlignment w:val="center"/>
              <w:rPr>
                <w:rFonts w:hint="default" w:eastAsia="宋体" w:cs="宋体"/>
                <w:color w:val="000000"/>
                <w:kern w:val="0"/>
                <w:sz w:val="21"/>
                <w:szCs w:val="22"/>
                <w:lang w:val="en-US" w:eastAsia="zh-CN"/>
              </w:rPr>
            </w:pPr>
            <w:r>
              <w:rPr>
                <w:rFonts w:hint="eastAsia" w:cs="宋体"/>
                <w:color w:val="000000"/>
                <w:kern w:val="0"/>
                <w:sz w:val="21"/>
                <w:szCs w:val="22"/>
                <w:lang w:val="en-US" w:eastAsia="zh-CN"/>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66CFE">
            <w:pPr>
              <w:pStyle w:val="45"/>
              <w:bidi w:val="0"/>
              <w:rPr>
                <w:rFonts w:hint="eastAsia"/>
              </w:rPr>
            </w:pPr>
            <w:r>
              <w:rPr>
                <w:rFonts w:hint="eastAsia"/>
                <w:lang w:val="en-US" w:eastAsia="zh-CN"/>
              </w:rPr>
              <w:t>0.012593</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39984C">
            <w:pPr>
              <w:pStyle w:val="45"/>
              <w:bidi w:val="0"/>
              <w:rPr>
                <w:rFonts w:hint="eastAsia"/>
              </w:rPr>
            </w:pPr>
            <w:r>
              <w:rPr>
                <w:rFonts w:hint="eastAsia"/>
                <w:lang w:val="en-US" w:eastAsia="zh-CN"/>
              </w:rPr>
              <w:t xml:space="preserve">25.19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4E3E7C">
            <w:pPr>
              <w:widowControl/>
              <w:spacing w:line="240" w:lineRule="auto"/>
              <w:ind w:firstLine="0" w:firstLineChars="0"/>
              <w:jc w:val="center"/>
              <w:textAlignment w:val="center"/>
              <w:rPr>
                <w:rFonts w:hint="eastAsia" w:cs="宋体"/>
                <w:color w:val="000000"/>
                <w:kern w:val="0"/>
                <w:sz w:val="21"/>
                <w:szCs w:val="22"/>
              </w:rPr>
            </w:pPr>
            <w:r>
              <w:rPr>
                <w:rFonts w:hint="eastAsia" w:cs="宋体"/>
                <w:color w:val="000000"/>
                <w:kern w:val="0"/>
                <w:sz w:val="21"/>
                <w:szCs w:val="22"/>
              </w:rPr>
              <w:t>达标</w:t>
            </w:r>
          </w:p>
        </w:tc>
      </w:tr>
    </w:tbl>
    <w:p w14:paraId="7CDD6AC7">
      <w:pPr>
        <w:ind w:firstLine="480"/>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4CC4F8A2">
      <w:pPr>
        <w:pStyle w:val="43"/>
        <w:numPr>
          <w:ilvl w:val="5"/>
          <w:numId w:val="1"/>
        </w:numPr>
        <w:rPr>
          <w:rFonts w:hint="default"/>
        </w:rPr>
      </w:pPr>
      <w:r>
        <w:t>HCl在环境保护目标及网格点处</w:t>
      </w:r>
      <w:r>
        <w:rPr>
          <w:rFonts w:hint="eastAsia"/>
          <w:lang w:val="en-US" w:eastAsia="zh-CN"/>
        </w:rPr>
        <w:t>日</w:t>
      </w:r>
      <w:r>
        <w:t>平均质量浓度占标率</w:t>
      </w:r>
    </w:p>
    <w:tbl>
      <w:tblPr>
        <w:tblStyle w:val="32"/>
        <w:tblW w:w="4996" w:type="pct"/>
        <w:tblInd w:w="0" w:type="dxa"/>
        <w:tblLayout w:type="autofit"/>
        <w:tblCellMar>
          <w:top w:w="0" w:type="dxa"/>
          <w:left w:w="108" w:type="dxa"/>
          <w:bottom w:w="0" w:type="dxa"/>
          <w:right w:w="108" w:type="dxa"/>
        </w:tblCellMar>
      </w:tblPr>
      <w:tblGrid>
        <w:gridCol w:w="1042"/>
        <w:gridCol w:w="2264"/>
        <w:gridCol w:w="1641"/>
        <w:gridCol w:w="1845"/>
        <w:gridCol w:w="1845"/>
        <w:gridCol w:w="1845"/>
        <w:gridCol w:w="2128"/>
        <w:gridCol w:w="1553"/>
      </w:tblGrid>
      <w:tr w14:paraId="4E1490B3">
        <w:trPr>
          <w:trHeight w:val="170" w:hRule="atLeast"/>
          <w:tblHeader/>
        </w:trPr>
        <w:tc>
          <w:tcPr>
            <w:tcW w:w="36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F8772CB">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评价因子</w:t>
            </w:r>
          </w:p>
        </w:tc>
        <w:tc>
          <w:tcPr>
            <w:tcW w:w="79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DADD61C">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环境空气保护目标</w:t>
            </w:r>
          </w:p>
        </w:tc>
        <w:tc>
          <w:tcPr>
            <w:tcW w:w="57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2EB941F">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标准值（</w:t>
            </w:r>
            <w:r>
              <w:rPr>
                <w:rFonts w:cs="Times New Roman"/>
                <w:b/>
                <w:bCs/>
                <w:color w:val="000000"/>
                <w:kern w:val="0"/>
                <w:sz w:val="21"/>
                <w:szCs w:val="21"/>
              </w:rPr>
              <w:t>mg/m</w:t>
            </w:r>
            <w:r>
              <w:rPr>
                <w:rFonts w:cs="Times New Roman"/>
                <w:b/>
                <w:bCs/>
                <w:color w:val="000000"/>
                <w:kern w:val="0"/>
                <w:sz w:val="21"/>
                <w:szCs w:val="21"/>
                <w:vertAlign w:val="superscript"/>
              </w:rPr>
              <w:t>3</w:t>
            </w:r>
            <w:r>
              <w:rPr>
                <w:rFonts w:hint="eastAsia" w:cs="宋体"/>
                <w:b/>
                <w:bCs/>
                <w:color w:val="000000"/>
                <w:kern w:val="0"/>
                <w:sz w:val="21"/>
                <w:szCs w:val="21"/>
              </w:rPr>
              <w:t>）</w:t>
            </w:r>
          </w:p>
        </w:tc>
        <w:tc>
          <w:tcPr>
            <w:tcW w:w="3252"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3B765D1">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lang w:val="en-US" w:eastAsia="zh-CN"/>
              </w:rPr>
              <w:t>日</w:t>
            </w:r>
            <w:r>
              <w:rPr>
                <w:rFonts w:hint="eastAsia" w:cs="宋体"/>
                <w:b/>
                <w:bCs/>
                <w:color w:val="000000"/>
                <w:kern w:val="0"/>
                <w:sz w:val="21"/>
                <w:szCs w:val="21"/>
              </w:rPr>
              <w:t>平均质量浓度</w:t>
            </w:r>
          </w:p>
        </w:tc>
      </w:tr>
      <w:tr w14:paraId="0BA6EAA3">
        <w:tblPrEx>
          <w:tblCellMar>
            <w:top w:w="0" w:type="dxa"/>
            <w:left w:w="108" w:type="dxa"/>
            <w:bottom w:w="0" w:type="dxa"/>
            <w:right w:w="108" w:type="dxa"/>
          </w:tblCellMar>
        </w:tblPrEx>
        <w:trPr>
          <w:trHeight w:val="170" w:hRule="atLeast"/>
          <w:tblHeader/>
        </w:trPr>
        <w:tc>
          <w:tcPr>
            <w:tcW w:w="36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EB312B">
            <w:pPr>
              <w:widowControl/>
              <w:spacing w:line="240" w:lineRule="auto"/>
              <w:ind w:firstLine="0" w:firstLineChars="0"/>
              <w:jc w:val="center"/>
              <w:rPr>
                <w:rFonts w:cs="宋体"/>
                <w:b/>
                <w:bCs/>
                <w:color w:val="000000"/>
                <w:sz w:val="21"/>
                <w:szCs w:val="21"/>
              </w:rPr>
            </w:pPr>
          </w:p>
        </w:tc>
        <w:tc>
          <w:tcPr>
            <w:tcW w:w="79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7D02D4">
            <w:pPr>
              <w:widowControl/>
              <w:spacing w:line="240" w:lineRule="auto"/>
              <w:ind w:firstLine="0" w:firstLineChars="0"/>
              <w:jc w:val="center"/>
              <w:rPr>
                <w:rFonts w:cs="宋体"/>
                <w:b/>
                <w:bCs/>
                <w:color w:val="000000"/>
                <w:sz w:val="21"/>
                <w:szCs w:val="21"/>
              </w:rPr>
            </w:pPr>
          </w:p>
        </w:tc>
        <w:tc>
          <w:tcPr>
            <w:tcW w:w="57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7AFF47">
            <w:pPr>
              <w:widowControl/>
              <w:spacing w:line="240" w:lineRule="auto"/>
              <w:ind w:firstLine="0" w:firstLineChars="0"/>
              <w:jc w:val="center"/>
              <w:rPr>
                <w:rFonts w:cs="宋体"/>
                <w:b/>
                <w:bCs/>
                <w:color w:val="000000"/>
                <w:sz w:val="21"/>
                <w:szCs w:val="21"/>
              </w:rPr>
            </w:pPr>
          </w:p>
        </w:tc>
        <w:tc>
          <w:tcPr>
            <w:tcW w:w="6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7D54C2">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叠加在建、拟建源、削减源后最大浓度值（</w:t>
            </w:r>
            <w:r>
              <w:rPr>
                <w:rFonts w:cs="Times New Roman"/>
                <w:b/>
                <w:bCs/>
                <w:color w:val="000000"/>
                <w:kern w:val="0"/>
                <w:sz w:val="21"/>
                <w:szCs w:val="21"/>
              </w:rPr>
              <w:t>mg/m</w:t>
            </w:r>
            <w:r>
              <w:rPr>
                <w:rFonts w:cs="Times New Roman"/>
                <w:b/>
                <w:bCs/>
                <w:color w:val="000000"/>
                <w:kern w:val="0"/>
                <w:sz w:val="21"/>
                <w:szCs w:val="21"/>
                <w:vertAlign w:val="superscript"/>
              </w:rPr>
              <w:t>3</w:t>
            </w:r>
            <w:r>
              <w:rPr>
                <w:rFonts w:hint="eastAsia" w:cs="宋体"/>
                <w:b/>
                <w:bCs/>
                <w:color w:val="000000"/>
                <w:kern w:val="0"/>
                <w:sz w:val="21"/>
                <w:szCs w:val="21"/>
              </w:rPr>
              <w:t>）</w:t>
            </w:r>
          </w:p>
        </w:tc>
        <w:tc>
          <w:tcPr>
            <w:tcW w:w="6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5729F0">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现状浓度（</w:t>
            </w:r>
            <w:r>
              <w:rPr>
                <w:rFonts w:cs="Times New Roman"/>
                <w:b/>
                <w:bCs/>
                <w:color w:val="000000"/>
                <w:kern w:val="0"/>
                <w:sz w:val="21"/>
                <w:szCs w:val="21"/>
              </w:rPr>
              <w:t>mg/m</w:t>
            </w:r>
            <w:r>
              <w:rPr>
                <w:rFonts w:cs="Times New Roman"/>
                <w:b/>
                <w:bCs/>
                <w:color w:val="000000"/>
                <w:kern w:val="0"/>
                <w:sz w:val="21"/>
                <w:szCs w:val="21"/>
                <w:vertAlign w:val="superscript"/>
              </w:rPr>
              <w:t>3</w:t>
            </w:r>
            <w:r>
              <w:rPr>
                <w:rFonts w:hint="eastAsia" w:cs="宋体"/>
                <w:b/>
                <w:bCs/>
                <w:color w:val="000000"/>
                <w:kern w:val="0"/>
                <w:sz w:val="21"/>
                <w:szCs w:val="21"/>
              </w:rPr>
              <w:t>）</w:t>
            </w:r>
          </w:p>
        </w:tc>
        <w:tc>
          <w:tcPr>
            <w:tcW w:w="6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839EB3">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叠加现状浓度后的浓度（</w:t>
            </w:r>
            <w:r>
              <w:rPr>
                <w:rFonts w:cs="Times New Roman"/>
                <w:b/>
                <w:bCs/>
                <w:color w:val="000000"/>
                <w:kern w:val="0"/>
                <w:sz w:val="21"/>
                <w:szCs w:val="21"/>
              </w:rPr>
              <w:t>mg/m</w:t>
            </w:r>
            <w:r>
              <w:rPr>
                <w:rFonts w:cs="Times New Roman"/>
                <w:b/>
                <w:bCs/>
                <w:color w:val="000000"/>
                <w:kern w:val="0"/>
                <w:sz w:val="21"/>
                <w:szCs w:val="21"/>
                <w:vertAlign w:val="superscript"/>
              </w:rPr>
              <w:t>3</w:t>
            </w:r>
            <w:r>
              <w:rPr>
                <w:rFonts w:hint="eastAsia" w:cs="宋体"/>
                <w:b/>
                <w:bCs/>
                <w:color w:val="000000"/>
                <w:kern w:val="0"/>
                <w:sz w:val="21"/>
                <w:szCs w:val="21"/>
              </w:rPr>
              <w:t>）</w:t>
            </w:r>
          </w:p>
        </w:tc>
        <w:tc>
          <w:tcPr>
            <w:tcW w:w="7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FE2DBB">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占标率（</w:t>
            </w:r>
            <w:r>
              <w:rPr>
                <w:rFonts w:cs="Times New Roman"/>
                <w:b/>
                <w:bCs/>
                <w:color w:val="000000"/>
                <w:kern w:val="0"/>
                <w:sz w:val="21"/>
                <w:szCs w:val="21"/>
              </w:rPr>
              <w:t>%</w:t>
            </w:r>
            <w:r>
              <w:rPr>
                <w:rFonts w:hint="eastAsia" w:cs="宋体"/>
                <w:b/>
                <w:bCs/>
                <w:color w:val="000000"/>
                <w:kern w:val="0"/>
                <w:sz w:val="21"/>
                <w:szCs w:val="21"/>
              </w:rPr>
              <w:t>）</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25155D">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达标情况</w:t>
            </w:r>
          </w:p>
        </w:tc>
      </w:tr>
      <w:tr w14:paraId="1E8AD16D">
        <w:tblPrEx>
          <w:tblCellMar>
            <w:top w:w="0" w:type="dxa"/>
            <w:left w:w="108" w:type="dxa"/>
            <w:bottom w:w="0" w:type="dxa"/>
            <w:right w:w="108" w:type="dxa"/>
          </w:tblCellMar>
        </w:tblPrEx>
        <w:trPr>
          <w:trHeight w:val="170" w:hRule="atLeast"/>
        </w:trPr>
        <w:tc>
          <w:tcPr>
            <w:tcW w:w="368" w:type="pct"/>
            <w:vMerge w:val="restart"/>
            <w:tcBorders>
              <w:top w:val="single" w:color="000000" w:sz="4" w:space="0"/>
              <w:left w:val="single" w:color="000000" w:sz="4" w:space="0"/>
              <w:right w:val="single" w:color="000000" w:sz="4" w:space="0"/>
            </w:tcBorders>
            <w:shd w:val="clear" w:color="auto" w:fill="auto"/>
            <w:vAlign w:val="center"/>
          </w:tcPr>
          <w:p w14:paraId="73DA0A50">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氯化氢（HCl）</w:t>
            </w: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79D363">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新安村</w:t>
            </w:r>
          </w:p>
        </w:tc>
        <w:tc>
          <w:tcPr>
            <w:tcW w:w="16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56ED1E">
            <w:pPr>
              <w:pStyle w:val="45"/>
              <w:bidi w:val="0"/>
            </w:pPr>
            <w:r>
              <w:rPr>
                <w:rFonts w:hint="eastAsia"/>
                <w:lang w:val="en-US" w:eastAsia="zh-CN"/>
              </w:rPr>
              <w:t>0.015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9B5ED">
            <w:pPr>
              <w:pStyle w:val="45"/>
              <w:bidi w:val="0"/>
            </w:pPr>
            <w:r>
              <w:rPr>
                <w:rFonts w:hint="eastAsia"/>
                <w:lang w:val="en-US" w:eastAsia="zh-CN"/>
              </w:rPr>
              <w:t>0.000066</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46DDC">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32FA2E">
            <w:pPr>
              <w:pStyle w:val="45"/>
              <w:bidi w:val="0"/>
            </w:pPr>
            <w:r>
              <w:rPr>
                <w:rFonts w:hint="eastAsia"/>
                <w:lang w:val="en-US" w:eastAsia="zh-CN"/>
              </w:rPr>
              <w:t>0.002066</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88253">
            <w:pPr>
              <w:pStyle w:val="45"/>
              <w:bidi w:val="0"/>
            </w:pPr>
            <w:r>
              <w:rPr>
                <w:rFonts w:hint="eastAsia"/>
                <w:lang w:val="en-US" w:eastAsia="zh-CN"/>
              </w:rPr>
              <w:t xml:space="preserve">13.77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75F5B">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734E4328">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27E3F541">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3EA581">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松木村</w:t>
            </w:r>
          </w:p>
        </w:tc>
        <w:tc>
          <w:tcPr>
            <w:tcW w:w="16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817AD">
            <w:pPr>
              <w:pStyle w:val="45"/>
              <w:bidi w:val="0"/>
            </w:pPr>
            <w:r>
              <w:rPr>
                <w:rFonts w:hint="eastAsia"/>
                <w:lang w:val="en-US" w:eastAsia="zh-CN"/>
              </w:rPr>
              <w:t>0.015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02015">
            <w:pPr>
              <w:pStyle w:val="45"/>
              <w:bidi w:val="0"/>
            </w:pPr>
            <w:r>
              <w:rPr>
                <w:rFonts w:hint="eastAsia"/>
                <w:lang w:val="en-US" w:eastAsia="zh-CN"/>
              </w:rPr>
              <w:t>0.000055</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C98D0">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E131F">
            <w:pPr>
              <w:pStyle w:val="45"/>
              <w:bidi w:val="0"/>
            </w:pPr>
            <w:r>
              <w:rPr>
                <w:rFonts w:hint="eastAsia"/>
                <w:lang w:val="en-US" w:eastAsia="zh-CN"/>
              </w:rPr>
              <w:t>0.002055</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8FA50">
            <w:pPr>
              <w:pStyle w:val="45"/>
              <w:bidi w:val="0"/>
            </w:pPr>
            <w:r>
              <w:rPr>
                <w:rFonts w:hint="eastAsia"/>
                <w:lang w:val="en-US" w:eastAsia="zh-CN"/>
              </w:rPr>
              <w:t xml:space="preserve">13.70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A9A97">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7B2F8145">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1E47620B">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5E7166">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金源小学</w:t>
            </w:r>
          </w:p>
        </w:tc>
        <w:tc>
          <w:tcPr>
            <w:tcW w:w="16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882BFC">
            <w:pPr>
              <w:pStyle w:val="45"/>
              <w:bidi w:val="0"/>
            </w:pPr>
            <w:r>
              <w:rPr>
                <w:rFonts w:hint="eastAsia"/>
                <w:lang w:val="en-US" w:eastAsia="zh-CN"/>
              </w:rPr>
              <w:t>0.015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79524">
            <w:pPr>
              <w:pStyle w:val="45"/>
              <w:bidi w:val="0"/>
            </w:pPr>
            <w:r>
              <w:rPr>
                <w:rFonts w:hint="eastAsia"/>
                <w:lang w:val="en-US" w:eastAsia="zh-CN"/>
              </w:rPr>
              <w:t>0.00004</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317B5F">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8C6235">
            <w:pPr>
              <w:pStyle w:val="45"/>
              <w:bidi w:val="0"/>
            </w:pPr>
            <w:r>
              <w:rPr>
                <w:rFonts w:hint="eastAsia"/>
                <w:lang w:val="en-US" w:eastAsia="zh-CN"/>
              </w:rPr>
              <w:t>0.00204</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07B05">
            <w:pPr>
              <w:pStyle w:val="45"/>
              <w:bidi w:val="0"/>
            </w:pPr>
            <w:r>
              <w:rPr>
                <w:rFonts w:hint="eastAsia"/>
                <w:lang w:val="en-US" w:eastAsia="zh-CN"/>
              </w:rPr>
              <w:t xml:space="preserve">13.60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1E503B">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279028BD">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6D461DB7">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7243C1">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金源社区安置房</w:t>
            </w:r>
            <w:r>
              <w:rPr>
                <w:rFonts w:cs="Times New Roman"/>
                <w:color w:val="000000"/>
                <w:kern w:val="0"/>
                <w:sz w:val="21"/>
                <w:szCs w:val="21"/>
              </w:rPr>
              <w:t>2</w:t>
            </w:r>
          </w:p>
        </w:tc>
        <w:tc>
          <w:tcPr>
            <w:tcW w:w="16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E4DE70">
            <w:pPr>
              <w:pStyle w:val="45"/>
              <w:bidi w:val="0"/>
            </w:pPr>
            <w:r>
              <w:rPr>
                <w:rFonts w:hint="eastAsia"/>
                <w:lang w:val="en-US" w:eastAsia="zh-CN"/>
              </w:rPr>
              <w:t>0.015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45199">
            <w:pPr>
              <w:pStyle w:val="45"/>
              <w:bidi w:val="0"/>
            </w:pPr>
            <w:r>
              <w:rPr>
                <w:rFonts w:hint="eastAsia"/>
                <w:lang w:val="en-US" w:eastAsia="zh-CN"/>
              </w:rPr>
              <w:t>0.000071</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8F5392">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D9767">
            <w:pPr>
              <w:pStyle w:val="45"/>
              <w:bidi w:val="0"/>
            </w:pPr>
            <w:r>
              <w:rPr>
                <w:rFonts w:hint="eastAsia"/>
                <w:lang w:val="en-US" w:eastAsia="zh-CN"/>
              </w:rPr>
              <w:t>0.002071</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37B5B2">
            <w:pPr>
              <w:pStyle w:val="45"/>
              <w:bidi w:val="0"/>
            </w:pPr>
            <w:r>
              <w:rPr>
                <w:rFonts w:hint="eastAsia"/>
                <w:lang w:val="en-US" w:eastAsia="zh-CN"/>
              </w:rPr>
              <w:t xml:space="preserve">13.81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48D244">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2A65508E">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7AFB7155">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A0A07C">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金源社区医院</w:t>
            </w:r>
          </w:p>
        </w:tc>
        <w:tc>
          <w:tcPr>
            <w:tcW w:w="16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C0AD3">
            <w:pPr>
              <w:pStyle w:val="45"/>
              <w:bidi w:val="0"/>
            </w:pPr>
            <w:r>
              <w:rPr>
                <w:rFonts w:hint="eastAsia"/>
                <w:lang w:val="en-US" w:eastAsia="zh-CN"/>
              </w:rPr>
              <w:t>0.015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7CCEC">
            <w:pPr>
              <w:pStyle w:val="45"/>
              <w:bidi w:val="0"/>
            </w:pPr>
            <w:r>
              <w:rPr>
                <w:rFonts w:hint="eastAsia"/>
                <w:lang w:val="en-US" w:eastAsia="zh-CN"/>
              </w:rPr>
              <w:t>0.000069</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84EF7">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828FC">
            <w:pPr>
              <w:pStyle w:val="45"/>
              <w:bidi w:val="0"/>
            </w:pPr>
            <w:r>
              <w:rPr>
                <w:rFonts w:hint="eastAsia"/>
                <w:lang w:val="en-US" w:eastAsia="zh-CN"/>
              </w:rPr>
              <w:t>0.002069</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1CEE9B">
            <w:pPr>
              <w:pStyle w:val="45"/>
              <w:bidi w:val="0"/>
            </w:pPr>
            <w:r>
              <w:rPr>
                <w:rFonts w:hint="eastAsia"/>
                <w:lang w:val="en-US" w:eastAsia="zh-CN"/>
              </w:rPr>
              <w:t xml:space="preserve">13.79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945C1">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41CF6966">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4179ECCD">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CA8403">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金源社区安置房</w:t>
            </w:r>
          </w:p>
        </w:tc>
        <w:tc>
          <w:tcPr>
            <w:tcW w:w="16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585FB">
            <w:pPr>
              <w:pStyle w:val="45"/>
              <w:bidi w:val="0"/>
            </w:pPr>
            <w:r>
              <w:rPr>
                <w:rFonts w:hint="eastAsia"/>
                <w:lang w:val="en-US" w:eastAsia="zh-CN"/>
              </w:rPr>
              <w:t>0.015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578E0">
            <w:pPr>
              <w:pStyle w:val="45"/>
              <w:bidi w:val="0"/>
            </w:pPr>
            <w:r>
              <w:rPr>
                <w:rFonts w:hint="eastAsia"/>
                <w:lang w:val="en-US" w:eastAsia="zh-CN"/>
              </w:rPr>
              <w:t>0.000019</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8DA923">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429155">
            <w:pPr>
              <w:pStyle w:val="45"/>
              <w:bidi w:val="0"/>
            </w:pPr>
            <w:r>
              <w:rPr>
                <w:rFonts w:hint="eastAsia"/>
                <w:lang w:val="en-US" w:eastAsia="zh-CN"/>
              </w:rPr>
              <w:t>0.002019</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A8A1B9">
            <w:pPr>
              <w:pStyle w:val="45"/>
              <w:bidi w:val="0"/>
            </w:pPr>
            <w:r>
              <w:rPr>
                <w:rFonts w:hint="eastAsia"/>
                <w:lang w:val="en-US" w:eastAsia="zh-CN"/>
              </w:rPr>
              <w:t xml:space="preserve">13.46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6D48F2">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4090D6C7">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39A9B58D">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4415AC">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湖南工商职业学院</w:t>
            </w:r>
          </w:p>
        </w:tc>
        <w:tc>
          <w:tcPr>
            <w:tcW w:w="16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E711F">
            <w:pPr>
              <w:pStyle w:val="45"/>
              <w:bidi w:val="0"/>
            </w:pPr>
            <w:r>
              <w:rPr>
                <w:rFonts w:hint="eastAsia"/>
                <w:lang w:val="en-US" w:eastAsia="zh-CN"/>
              </w:rPr>
              <w:t>0.015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C8315">
            <w:pPr>
              <w:pStyle w:val="45"/>
              <w:bidi w:val="0"/>
            </w:pPr>
            <w:r>
              <w:rPr>
                <w:rFonts w:hint="eastAsia"/>
                <w:lang w:val="en-US" w:eastAsia="zh-CN"/>
              </w:rPr>
              <w:t>0.000018</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2A537E">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9EA64">
            <w:pPr>
              <w:pStyle w:val="45"/>
              <w:bidi w:val="0"/>
            </w:pPr>
            <w:r>
              <w:rPr>
                <w:rFonts w:hint="eastAsia"/>
                <w:lang w:val="en-US" w:eastAsia="zh-CN"/>
              </w:rPr>
              <w:t>0.002018</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EDC39">
            <w:pPr>
              <w:pStyle w:val="45"/>
              <w:bidi w:val="0"/>
            </w:pPr>
            <w:r>
              <w:rPr>
                <w:rFonts w:hint="eastAsia"/>
                <w:lang w:val="en-US" w:eastAsia="zh-CN"/>
              </w:rPr>
              <w:t xml:space="preserve">13.45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93864">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7866BAE8">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120EFA06">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A1A341">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园区管委会</w:t>
            </w:r>
          </w:p>
        </w:tc>
        <w:tc>
          <w:tcPr>
            <w:tcW w:w="16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BA462">
            <w:pPr>
              <w:pStyle w:val="45"/>
              <w:bidi w:val="0"/>
            </w:pPr>
            <w:r>
              <w:rPr>
                <w:rFonts w:hint="eastAsia"/>
                <w:lang w:val="en-US" w:eastAsia="zh-CN"/>
              </w:rPr>
              <w:t>0.015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34D899">
            <w:pPr>
              <w:pStyle w:val="45"/>
              <w:bidi w:val="0"/>
            </w:pPr>
            <w:r>
              <w:rPr>
                <w:rFonts w:hint="eastAsia"/>
                <w:lang w:val="en-US" w:eastAsia="zh-CN"/>
              </w:rPr>
              <w:t>0.000067</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F894B">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56753">
            <w:pPr>
              <w:pStyle w:val="45"/>
              <w:bidi w:val="0"/>
            </w:pPr>
            <w:r>
              <w:rPr>
                <w:rFonts w:hint="eastAsia"/>
                <w:lang w:val="en-US" w:eastAsia="zh-CN"/>
              </w:rPr>
              <w:t>0.002067</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A2CD6">
            <w:pPr>
              <w:pStyle w:val="45"/>
              <w:bidi w:val="0"/>
            </w:pPr>
            <w:r>
              <w:rPr>
                <w:rFonts w:hint="eastAsia"/>
                <w:lang w:val="en-US" w:eastAsia="zh-CN"/>
              </w:rPr>
              <w:t xml:space="preserve">13.78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AD2956">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68822D4C">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577E91E7">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99BF71">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松木中学</w:t>
            </w:r>
          </w:p>
        </w:tc>
        <w:tc>
          <w:tcPr>
            <w:tcW w:w="16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0428E">
            <w:pPr>
              <w:pStyle w:val="45"/>
              <w:bidi w:val="0"/>
            </w:pPr>
            <w:r>
              <w:rPr>
                <w:rFonts w:hint="eastAsia"/>
                <w:lang w:val="en-US" w:eastAsia="zh-CN"/>
              </w:rPr>
              <w:t>0.015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E912C">
            <w:pPr>
              <w:pStyle w:val="45"/>
              <w:bidi w:val="0"/>
            </w:pPr>
            <w:r>
              <w:rPr>
                <w:rFonts w:hint="eastAsia"/>
                <w:lang w:val="en-US" w:eastAsia="zh-CN"/>
              </w:rPr>
              <w:t>0.000023</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C388E">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E68220">
            <w:pPr>
              <w:pStyle w:val="45"/>
              <w:bidi w:val="0"/>
            </w:pPr>
            <w:r>
              <w:rPr>
                <w:rFonts w:hint="eastAsia"/>
                <w:lang w:val="en-US" w:eastAsia="zh-CN"/>
              </w:rPr>
              <w:t>0.002023</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8436E">
            <w:pPr>
              <w:pStyle w:val="45"/>
              <w:bidi w:val="0"/>
            </w:pPr>
            <w:r>
              <w:rPr>
                <w:rFonts w:hint="eastAsia"/>
                <w:lang w:val="en-US" w:eastAsia="zh-CN"/>
              </w:rPr>
              <w:t xml:space="preserve">13.49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33A24">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6E0F777F">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2E6DF0FE">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0DA49F">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松木村</w:t>
            </w:r>
            <w:r>
              <w:rPr>
                <w:rFonts w:cs="Times New Roman"/>
                <w:color w:val="000000"/>
                <w:kern w:val="0"/>
                <w:sz w:val="21"/>
                <w:szCs w:val="21"/>
              </w:rPr>
              <w:t>2</w:t>
            </w:r>
          </w:p>
        </w:tc>
        <w:tc>
          <w:tcPr>
            <w:tcW w:w="16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3AA20">
            <w:pPr>
              <w:pStyle w:val="45"/>
              <w:bidi w:val="0"/>
            </w:pPr>
            <w:r>
              <w:rPr>
                <w:rFonts w:hint="eastAsia"/>
                <w:lang w:val="en-US" w:eastAsia="zh-CN"/>
              </w:rPr>
              <w:t>0.015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921D2">
            <w:pPr>
              <w:pStyle w:val="45"/>
              <w:bidi w:val="0"/>
            </w:pPr>
            <w:r>
              <w:rPr>
                <w:rFonts w:hint="eastAsia"/>
                <w:lang w:val="en-US" w:eastAsia="zh-CN"/>
              </w:rPr>
              <w:t>0.000105</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96A7A">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99FE9">
            <w:pPr>
              <w:pStyle w:val="45"/>
              <w:bidi w:val="0"/>
            </w:pPr>
            <w:r>
              <w:rPr>
                <w:rFonts w:hint="eastAsia"/>
                <w:lang w:val="en-US" w:eastAsia="zh-CN"/>
              </w:rPr>
              <w:t>0.002105</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F3854">
            <w:pPr>
              <w:pStyle w:val="45"/>
              <w:bidi w:val="0"/>
            </w:pPr>
            <w:r>
              <w:rPr>
                <w:rFonts w:hint="eastAsia"/>
                <w:lang w:val="en-US" w:eastAsia="zh-CN"/>
              </w:rPr>
              <w:t xml:space="preserve">14.03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4F4EA1">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39E1AE75">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0A29CDD9">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C67C0F">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园区安置房</w:t>
            </w:r>
          </w:p>
        </w:tc>
        <w:tc>
          <w:tcPr>
            <w:tcW w:w="16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0B5C0">
            <w:pPr>
              <w:pStyle w:val="45"/>
              <w:bidi w:val="0"/>
            </w:pPr>
            <w:r>
              <w:rPr>
                <w:rFonts w:hint="eastAsia"/>
                <w:lang w:val="en-US" w:eastAsia="zh-CN"/>
              </w:rPr>
              <w:t>0.015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46002A">
            <w:pPr>
              <w:pStyle w:val="45"/>
              <w:bidi w:val="0"/>
            </w:pPr>
            <w:r>
              <w:rPr>
                <w:rFonts w:hint="eastAsia"/>
                <w:lang w:val="en-US" w:eastAsia="zh-CN"/>
              </w:rPr>
              <w:t>0.000111</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82698">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82EDA">
            <w:pPr>
              <w:pStyle w:val="45"/>
              <w:bidi w:val="0"/>
            </w:pPr>
            <w:r>
              <w:rPr>
                <w:rFonts w:hint="eastAsia"/>
                <w:lang w:val="en-US" w:eastAsia="zh-CN"/>
              </w:rPr>
              <w:t>0.002111</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EBE7A">
            <w:pPr>
              <w:pStyle w:val="45"/>
              <w:bidi w:val="0"/>
            </w:pPr>
            <w:r>
              <w:rPr>
                <w:rFonts w:hint="eastAsia"/>
                <w:lang w:val="en-US" w:eastAsia="zh-CN"/>
              </w:rPr>
              <w:t xml:space="preserve">14.07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0F843">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3108F192">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52E9F470">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E40569">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友谊村</w:t>
            </w:r>
          </w:p>
        </w:tc>
        <w:tc>
          <w:tcPr>
            <w:tcW w:w="16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1E9B8">
            <w:pPr>
              <w:pStyle w:val="45"/>
              <w:bidi w:val="0"/>
            </w:pPr>
            <w:r>
              <w:rPr>
                <w:rFonts w:hint="eastAsia"/>
                <w:lang w:val="en-US" w:eastAsia="zh-CN"/>
              </w:rPr>
              <w:t>0.015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DFDFC">
            <w:pPr>
              <w:pStyle w:val="45"/>
              <w:bidi w:val="0"/>
            </w:pPr>
            <w:r>
              <w:rPr>
                <w:rFonts w:hint="eastAsia"/>
                <w:lang w:val="en-US" w:eastAsia="zh-CN"/>
              </w:rPr>
              <w:t>0.000131</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299A24">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9852A">
            <w:pPr>
              <w:pStyle w:val="45"/>
              <w:bidi w:val="0"/>
            </w:pPr>
            <w:r>
              <w:rPr>
                <w:rFonts w:hint="eastAsia"/>
                <w:lang w:val="en-US" w:eastAsia="zh-CN"/>
              </w:rPr>
              <w:t>0.002131</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6C204">
            <w:pPr>
              <w:pStyle w:val="45"/>
              <w:bidi w:val="0"/>
            </w:pPr>
            <w:r>
              <w:rPr>
                <w:rFonts w:hint="eastAsia"/>
                <w:lang w:val="en-US" w:eastAsia="zh-CN"/>
              </w:rPr>
              <w:t xml:space="preserve">14.21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AB246">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3C665520">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3C223F46">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348E2B">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龙谊村</w:t>
            </w:r>
          </w:p>
        </w:tc>
        <w:tc>
          <w:tcPr>
            <w:tcW w:w="16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CFCAA">
            <w:pPr>
              <w:pStyle w:val="45"/>
              <w:bidi w:val="0"/>
            </w:pPr>
            <w:r>
              <w:rPr>
                <w:rFonts w:hint="eastAsia"/>
                <w:lang w:val="en-US" w:eastAsia="zh-CN"/>
              </w:rPr>
              <w:t>0.015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4FE572">
            <w:pPr>
              <w:pStyle w:val="45"/>
              <w:bidi w:val="0"/>
            </w:pPr>
            <w:r>
              <w:rPr>
                <w:rFonts w:hint="eastAsia"/>
                <w:lang w:val="en-US" w:eastAsia="zh-CN"/>
              </w:rPr>
              <w:t>0.000102</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BB51F">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65B91">
            <w:pPr>
              <w:pStyle w:val="45"/>
              <w:bidi w:val="0"/>
            </w:pPr>
            <w:r>
              <w:rPr>
                <w:rFonts w:hint="eastAsia"/>
                <w:lang w:val="en-US" w:eastAsia="zh-CN"/>
              </w:rPr>
              <w:t>0.002102</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AB6541">
            <w:pPr>
              <w:pStyle w:val="45"/>
              <w:bidi w:val="0"/>
            </w:pPr>
            <w:r>
              <w:rPr>
                <w:rFonts w:hint="eastAsia"/>
                <w:lang w:val="en-US" w:eastAsia="zh-CN"/>
              </w:rPr>
              <w:t xml:space="preserve">14.01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1F2AC">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774C043B">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0012131B">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A42604">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友爱村</w:t>
            </w:r>
          </w:p>
        </w:tc>
        <w:tc>
          <w:tcPr>
            <w:tcW w:w="16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D8759B">
            <w:pPr>
              <w:pStyle w:val="45"/>
              <w:bidi w:val="0"/>
            </w:pPr>
            <w:r>
              <w:rPr>
                <w:rFonts w:hint="eastAsia"/>
                <w:lang w:val="en-US" w:eastAsia="zh-CN"/>
              </w:rPr>
              <w:t>0.015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130AFE">
            <w:pPr>
              <w:pStyle w:val="45"/>
              <w:bidi w:val="0"/>
            </w:pPr>
            <w:r>
              <w:rPr>
                <w:rFonts w:hint="eastAsia"/>
                <w:lang w:val="en-US" w:eastAsia="zh-CN"/>
              </w:rPr>
              <w:t>0.000064</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66D657">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56538">
            <w:pPr>
              <w:pStyle w:val="45"/>
              <w:bidi w:val="0"/>
            </w:pPr>
            <w:r>
              <w:rPr>
                <w:rFonts w:hint="eastAsia"/>
                <w:lang w:val="en-US" w:eastAsia="zh-CN"/>
              </w:rPr>
              <w:t>0.002064</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0DADF1">
            <w:pPr>
              <w:pStyle w:val="45"/>
              <w:bidi w:val="0"/>
            </w:pPr>
            <w:r>
              <w:rPr>
                <w:rFonts w:hint="eastAsia"/>
                <w:lang w:val="en-US" w:eastAsia="zh-CN"/>
              </w:rPr>
              <w:t xml:space="preserve">13.76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9FB2E0">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33A5E044">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0E109036">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541463">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江霞村</w:t>
            </w:r>
          </w:p>
        </w:tc>
        <w:tc>
          <w:tcPr>
            <w:tcW w:w="16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60811">
            <w:pPr>
              <w:pStyle w:val="45"/>
              <w:bidi w:val="0"/>
            </w:pPr>
            <w:r>
              <w:rPr>
                <w:rFonts w:hint="eastAsia"/>
                <w:lang w:val="en-US" w:eastAsia="zh-CN"/>
              </w:rPr>
              <w:t>0.015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7B4B33">
            <w:pPr>
              <w:pStyle w:val="45"/>
              <w:bidi w:val="0"/>
            </w:pPr>
            <w:r>
              <w:rPr>
                <w:rFonts w:hint="eastAsia"/>
                <w:lang w:val="en-US" w:eastAsia="zh-CN"/>
              </w:rPr>
              <w:t>0.000097</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158E3">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D6D862">
            <w:pPr>
              <w:pStyle w:val="45"/>
              <w:bidi w:val="0"/>
            </w:pPr>
            <w:r>
              <w:rPr>
                <w:rFonts w:hint="eastAsia"/>
                <w:lang w:val="en-US" w:eastAsia="zh-CN"/>
              </w:rPr>
              <w:t>0.002097</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02A34">
            <w:pPr>
              <w:pStyle w:val="45"/>
              <w:bidi w:val="0"/>
            </w:pPr>
            <w:r>
              <w:rPr>
                <w:rFonts w:hint="eastAsia"/>
                <w:lang w:val="en-US" w:eastAsia="zh-CN"/>
              </w:rPr>
              <w:t xml:space="preserve">13.98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C47F2">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7C1FBF7A">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78A3CD79">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9AC764">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金兰村</w:t>
            </w:r>
          </w:p>
        </w:tc>
        <w:tc>
          <w:tcPr>
            <w:tcW w:w="16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26782">
            <w:pPr>
              <w:pStyle w:val="45"/>
              <w:bidi w:val="0"/>
            </w:pPr>
            <w:r>
              <w:rPr>
                <w:rFonts w:hint="eastAsia"/>
                <w:lang w:val="en-US" w:eastAsia="zh-CN"/>
              </w:rPr>
              <w:t>0.015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41E461">
            <w:pPr>
              <w:pStyle w:val="45"/>
              <w:bidi w:val="0"/>
            </w:pPr>
            <w:r>
              <w:rPr>
                <w:rFonts w:hint="eastAsia"/>
                <w:lang w:val="en-US" w:eastAsia="zh-CN"/>
              </w:rPr>
              <w:t>0.000056</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2DA05">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0508A">
            <w:pPr>
              <w:pStyle w:val="45"/>
              <w:bidi w:val="0"/>
            </w:pPr>
            <w:r>
              <w:rPr>
                <w:rFonts w:hint="eastAsia"/>
                <w:lang w:val="en-US" w:eastAsia="zh-CN"/>
              </w:rPr>
              <w:t>0.002056</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52BCF">
            <w:pPr>
              <w:pStyle w:val="45"/>
              <w:bidi w:val="0"/>
            </w:pPr>
            <w:r>
              <w:rPr>
                <w:rFonts w:hint="eastAsia"/>
                <w:lang w:val="en-US" w:eastAsia="zh-CN"/>
              </w:rPr>
              <w:t xml:space="preserve">13.71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FD47A">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4F2D848A">
        <w:tblPrEx>
          <w:tblCellMar>
            <w:top w:w="0" w:type="dxa"/>
            <w:left w:w="108" w:type="dxa"/>
            <w:bottom w:w="0" w:type="dxa"/>
            <w:right w:w="108" w:type="dxa"/>
          </w:tblCellMar>
        </w:tblPrEx>
        <w:trPr>
          <w:trHeight w:val="170" w:hRule="atLeast"/>
        </w:trPr>
        <w:tc>
          <w:tcPr>
            <w:tcW w:w="368" w:type="pct"/>
            <w:vMerge w:val="continue"/>
            <w:tcBorders>
              <w:left w:val="single" w:color="000000" w:sz="4" w:space="0"/>
              <w:right w:val="single" w:color="000000" w:sz="4" w:space="0"/>
            </w:tcBorders>
            <w:shd w:val="clear" w:color="auto" w:fill="auto"/>
            <w:vAlign w:val="center"/>
          </w:tcPr>
          <w:p w14:paraId="449FFFCE">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3E9CFE">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大昌村</w:t>
            </w:r>
          </w:p>
        </w:tc>
        <w:tc>
          <w:tcPr>
            <w:tcW w:w="16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C8396C">
            <w:pPr>
              <w:pStyle w:val="45"/>
              <w:bidi w:val="0"/>
            </w:pPr>
            <w:r>
              <w:rPr>
                <w:rFonts w:hint="eastAsia"/>
                <w:lang w:val="en-US" w:eastAsia="zh-CN"/>
              </w:rPr>
              <w:t>0.015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D3FDF">
            <w:pPr>
              <w:pStyle w:val="45"/>
              <w:bidi w:val="0"/>
            </w:pPr>
            <w:r>
              <w:rPr>
                <w:rFonts w:hint="eastAsia"/>
                <w:lang w:val="en-US" w:eastAsia="zh-CN"/>
              </w:rPr>
              <w:t>0.000056</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50910">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E91626">
            <w:pPr>
              <w:pStyle w:val="45"/>
              <w:bidi w:val="0"/>
            </w:pPr>
            <w:r>
              <w:rPr>
                <w:rFonts w:hint="eastAsia"/>
                <w:lang w:val="en-US" w:eastAsia="zh-CN"/>
              </w:rPr>
              <w:t>0.002056</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A6E39">
            <w:pPr>
              <w:pStyle w:val="45"/>
              <w:bidi w:val="0"/>
            </w:pPr>
            <w:r>
              <w:rPr>
                <w:rFonts w:hint="eastAsia"/>
                <w:lang w:val="en-US" w:eastAsia="zh-CN"/>
              </w:rPr>
              <w:t xml:space="preserve">13.71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724426">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r>
      <w:tr w14:paraId="22566C3C">
        <w:tblPrEx>
          <w:tblCellMar>
            <w:top w:w="0" w:type="dxa"/>
            <w:left w:w="108" w:type="dxa"/>
            <w:bottom w:w="0" w:type="dxa"/>
            <w:right w:w="108" w:type="dxa"/>
          </w:tblCellMar>
        </w:tblPrEx>
        <w:trPr>
          <w:trHeight w:val="170" w:hRule="atLeast"/>
        </w:trPr>
        <w:tc>
          <w:tcPr>
            <w:tcW w:w="368" w:type="pct"/>
            <w:vMerge w:val="continue"/>
            <w:tcBorders>
              <w:left w:val="single" w:color="000000" w:sz="4" w:space="0"/>
              <w:bottom w:val="single" w:color="000000" w:sz="4" w:space="0"/>
              <w:right w:val="single" w:color="000000" w:sz="4" w:space="0"/>
            </w:tcBorders>
            <w:shd w:val="clear" w:color="auto" w:fill="auto"/>
            <w:vAlign w:val="center"/>
          </w:tcPr>
          <w:p w14:paraId="7308EBF3">
            <w:pPr>
              <w:widowControl/>
              <w:spacing w:line="240" w:lineRule="auto"/>
              <w:ind w:firstLine="0" w:firstLineChars="0"/>
              <w:jc w:val="center"/>
              <w:rPr>
                <w:rFonts w:cs="宋体"/>
                <w:color w:val="000000"/>
                <w:sz w:val="21"/>
                <w:szCs w:val="22"/>
              </w:rPr>
            </w:pPr>
          </w:p>
        </w:tc>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A7544D">
            <w:pPr>
              <w:widowControl/>
              <w:spacing w:line="240" w:lineRule="auto"/>
              <w:ind w:firstLine="0" w:firstLineChars="0"/>
              <w:jc w:val="center"/>
              <w:textAlignment w:val="center"/>
              <w:rPr>
                <w:rFonts w:hint="eastAsia" w:cs="宋体"/>
                <w:color w:val="000000"/>
                <w:kern w:val="0"/>
                <w:sz w:val="21"/>
                <w:szCs w:val="21"/>
              </w:rPr>
            </w:pPr>
            <w:r>
              <w:rPr>
                <w:rFonts w:hint="eastAsia" w:cs="宋体"/>
                <w:color w:val="000000"/>
                <w:kern w:val="0"/>
                <w:sz w:val="21"/>
                <w:szCs w:val="21"/>
              </w:rPr>
              <w:t>区域最大落地浓度坐标（</w:t>
            </w:r>
            <w:r>
              <w:rPr>
                <w:rFonts w:hint="eastAsia" w:cs="宋体"/>
                <w:color w:val="000000"/>
                <w:kern w:val="0"/>
                <w:sz w:val="21"/>
                <w:szCs w:val="21"/>
                <w:lang w:val="en-US" w:eastAsia="zh-CN"/>
              </w:rPr>
              <w:t>-250,750</w:t>
            </w:r>
            <w:r>
              <w:rPr>
                <w:rFonts w:hint="eastAsia" w:cs="宋体"/>
                <w:color w:val="000000"/>
                <w:kern w:val="0"/>
                <w:sz w:val="21"/>
                <w:szCs w:val="21"/>
              </w:rPr>
              <w:t>）厂界</w:t>
            </w:r>
            <w:r>
              <w:rPr>
                <w:rFonts w:hint="eastAsia" w:cs="宋体"/>
                <w:color w:val="000000"/>
                <w:kern w:val="0"/>
                <w:sz w:val="21"/>
                <w:szCs w:val="21"/>
                <w:lang w:val="en-US" w:eastAsia="zh-CN"/>
              </w:rPr>
              <w:t>外</w:t>
            </w:r>
          </w:p>
        </w:tc>
        <w:tc>
          <w:tcPr>
            <w:tcW w:w="16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CAE3DD">
            <w:pPr>
              <w:pStyle w:val="45"/>
              <w:bidi w:val="0"/>
              <w:rPr>
                <w:rFonts w:hint="default"/>
                <w:lang w:val="en-US" w:eastAsia="zh-CN"/>
              </w:rPr>
            </w:pPr>
            <w:r>
              <w:rPr>
                <w:rFonts w:hint="eastAsia"/>
                <w:lang w:val="en-US" w:eastAsia="zh-CN"/>
              </w:rPr>
              <w:t>0.015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C9227">
            <w:pPr>
              <w:pStyle w:val="45"/>
              <w:bidi w:val="0"/>
              <w:rPr>
                <w:rFonts w:hint="eastAsia"/>
              </w:rPr>
            </w:pPr>
            <w:r>
              <w:rPr>
                <w:rFonts w:hint="eastAsia"/>
                <w:lang w:val="en-US" w:eastAsia="zh-CN"/>
              </w:rPr>
              <w:t>0.001023</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7E25A">
            <w:pPr>
              <w:widowControl/>
              <w:spacing w:line="240" w:lineRule="auto"/>
              <w:ind w:firstLine="0" w:firstLineChars="0"/>
              <w:jc w:val="center"/>
              <w:textAlignment w:val="center"/>
              <w:rPr>
                <w:rFonts w:hint="default" w:eastAsia="宋体" w:cs="宋体"/>
                <w:color w:val="000000"/>
                <w:kern w:val="0"/>
                <w:sz w:val="21"/>
                <w:szCs w:val="22"/>
                <w:lang w:val="en-US" w:eastAsia="zh-CN"/>
              </w:rPr>
            </w:pPr>
            <w:r>
              <w:rPr>
                <w:rFonts w:hint="eastAsia" w:cs="宋体"/>
                <w:color w:val="000000"/>
                <w:kern w:val="0"/>
                <w:sz w:val="21"/>
                <w:szCs w:val="22"/>
                <w:lang w:val="en-US" w:eastAsia="zh-CN"/>
              </w:rPr>
              <w:t>0.002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24A6A">
            <w:pPr>
              <w:pStyle w:val="45"/>
              <w:bidi w:val="0"/>
              <w:rPr>
                <w:rFonts w:hint="eastAsia"/>
              </w:rPr>
            </w:pPr>
            <w:r>
              <w:rPr>
                <w:rFonts w:hint="eastAsia"/>
                <w:lang w:val="en-US" w:eastAsia="zh-CN"/>
              </w:rPr>
              <w:t>0.003023</w:t>
            </w:r>
          </w:p>
        </w:tc>
        <w:tc>
          <w:tcPr>
            <w:tcW w:w="2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0BCB6">
            <w:pPr>
              <w:pStyle w:val="45"/>
              <w:bidi w:val="0"/>
              <w:rPr>
                <w:rFonts w:hint="eastAsia"/>
              </w:rPr>
            </w:pPr>
            <w:r>
              <w:rPr>
                <w:rFonts w:hint="eastAsia"/>
                <w:lang w:val="en-US" w:eastAsia="zh-CN"/>
              </w:rPr>
              <w:t xml:space="preserve">20.15 </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C310F">
            <w:pPr>
              <w:widowControl/>
              <w:spacing w:line="240" w:lineRule="auto"/>
              <w:ind w:firstLine="0" w:firstLineChars="0"/>
              <w:jc w:val="center"/>
              <w:textAlignment w:val="center"/>
              <w:rPr>
                <w:rFonts w:hint="eastAsia" w:cs="宋体"/>
                <w:color w:val="000000"/>
                <w:kern w:val="0"/>
                <w:sz w:val="21"/>
                <w:szCs w:val="22"/>
              </w:rPr>
            </w:pPr>
            <w:r>
              <w:rPr>
                <w:rFonts w:hint="eastAsia" w:cs="宋体"/>
                <w:color w:val="000000"/>
                <w:kern w:val="0"/>
                <w:sz w:val="21"/>
                <w:szCs w:val="22"/>
              </w:rPr>
              <w:t>达标</w:t>
            </w:r>
          </w:p>
        </w:tc>
      </w:tr>
    </w:tbl>
    <w:p w14:paraId="493260C6">
      <w:pPr>
        <w:ind w:firstLine="480"/>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03197422">
      <w:pPr>
        <w:pStyle w:val="5"/>
        <w:numPr>
          <w:ilvl w:val="3"/>
          <w:numId w:val="1"/>
        </w:numPr>
      </w:pPr>
      <w:r>
        <w:t>项目废气污染物</w:t>
      </w:r>
      <w:r>
        <w:rPr>
          <w:rFonts w:hint="eastAsia"/>
          <w:lang w:val="en-US" w:eastAsia="zh-CN"/>
        </w:rPr>
        <w:t>非</w:t>
      </w:r>
      <w:r>
        <w:t>正常排放的环境影响预测结果与评价</w:t>
      </w:r>
    </w:p>
    <w:p w14:paraId="37051C94">
      <w:pPr>
        <w:ind w:firstLine="480"/>
      </w:pPr>
      <w:r>
        <w:rPr>
          <w:rFonts w:hint="eastAsia"/>
        </w:rPr>
        <w:t>（1）颗粒物（</w:t>
      </w:r>
      <w:r>
        <w:rPr>
          <w:rFonts w:hint="eastAsia" w:cs="Times New Roman"/>
          <w:color w:val="000000"/>
          <w:sz w:val="21"/>
          <w:szCs w:val="21"/>
          <w:lang w:val="en-US" w:eastAsia="zh-CN"/>
        </w:rPr>
        <w:t>TSP</w:t>
      </w:r>
      <w:r>
        <w:rPr>
          <w:rFonts w:hint="eastAsia"/>
        </w:rPr>
        <w:t>）：由预测结果可知，在最不利小时气象条件下，颗粒物（</w:t>
      </w:r>
      <w:r>
        <w:rPr>
          <w:rFonts w:hint="eastAsia" w:cs="Times New Roman"/>
          <w:color w:val="000000"/>
          <w:sz w:val="21"/>
          <w:szCs w:val="21"/>
          <w:lang w:val="en-US" w:eastAsia="zh-CN"/>
        </w:rPr>
        <w:t>TSP</w:t>
      </w:r>
      <w:r>
        <w:rPr>
          <w:rFonts w:hint="eastAsia"/>
        </w:rPr>
        <w:t>）的非正常排放对各环境敏感点中友谊村的贡献值最大，为0.466289mg/m</w:t>
      </w:r>
      <w:r>
        <w:rPr>
          <w:rFonts w:hint="eastAsia"/>
          <w:vertAlign w:val="superscript"/>
        </w:rPr>
        <w:t>3</w:t>
      </w:r>
      <w:r>
        <w:rPr>
          <w:rFonts w:hint="eastAsia"/>
        </w:rPr>
        <w:t>，贡献值占标率为</w:t>
      </w:r>
      <w:r>
        <w:rPr>
          <w:rFonts w:hint="eastAsia"/>
          <w:lang w:val="en-US" w:eastAsia="zh-CN"/>
        </w:rPr>
        <w:t>51.81</w:t>
      </w:r>
      <w:r>
        <w:rPr>
          <w:rFonts w:hint="eastAsia"/>
        </w:rPr>
        <w:t>%，未超过《环境空气质量标准》（GB3095-2012）二级标准要求；评价范围内颗粒物（</w:t>
      </w:r>
      <w:r>
        <w:rPr>
          <w:rFonts w:hint="eastAsia" w:cs="Times New Roman"/>
          <w:color w:val="000000"/>
          <w:sz w:val="21"/>
          <w:szCs w:val="21"/>
          <w:lang w:val="en-US" w:eastAsia="zh-CN"/>
        </w:rPr>
        <w:t>TSP</w:t>
      </w:r>
      <w:r>
        <w:rPr>
          <w:rFonts w:hint="eastAsia"/>
        </w:rPr>
        <w:t>）最大小时地面浓度贡献值为2.908503mg/m</w:t>
      </w:r>
      <w:r>
        <w:rPr>
          <w:rFonts w:hint="eastAsia"/>
          <w:vertAlign w:val="superscript"/>
        </w:rPr>
        <w:t>3</w:t>
      </w:r>
      <w:r>
        <w:rPr>
          <w:rFonts w:hint="eastAsia"/>
        </w:rPr>
        <w:t>，贡献值占标率为</w:t>
      </w:r>
      <w:r>
        <w:rPr>
          <w:rFonts w:hint="eastAsia"/>
          <w:lang w:val="en-US" w:eastAsia="zh-CN"/>
        </w:rPr>
        <w:t>323.17</w:t>
      </w:r>
      <w:r>
        <w:rPr>
          <w:rFonts w:hint="eastAsia"/>
        </w:rPr>
        <w:t>%，超过《环境空气质量标准》（GB3095-2012）二级标准要求，该点坐标为（-250，350），位于厂区外。因此</w:t>
      </w:r>
      <w:r>
        <w:rPr>
          <w:rFonts w:hint="eastAsia"/>
          <w:lang w:val="en-US" w:eastAsia="zh-CN"/>
        </w:rPr>
        <w:t>,</w:t>
      </w:r>
      <w:r>
        <w:rPr>
          <w:rFonts w:hint="eastAsia"/>
        </w:rPr>
        <w:t>需要杜绝项目颗粒物（</w:t>
      </w:r>
      <w:r>
        <w:rPr>
          <w:rFonts w:hint="eastAsia" w:cs="Times New Roman"/>
          <w:color w:val="000000"/>
          <w:sz w:val="21"/>
          <w:szCs w:val="21"/>
          <w:lang w:val="en-US" w:eastAsia="zh-CN"/>
        </w:rPr>
        <w:t>TSP</w:t>
      </w:r>
      <w:r>
        <w:rPr>
          <w:rFonts w:hint="eastAsia"/>
        </w:rPr>
        <w:t>）的非正常排放，一旦发生，及时停产检修，待检修合格后方可恢复生产。</w:t>
      </w:r>
    </w:p>
    <w:p w14:paraId="37BA4972">
      <w:pPr>
        <w:ind w:firstLine="480"/>
      </w:pPr>
      <w:r>
        <w:rPr>
          <w:rFonts w:hint="eastAsia"/>
        </w:rPr>
        <w:t>（</w:t>
      </w:r>
      <w:r>
        <w:rPr>
          <w:rFonts w:hint="eastAsia"/>
          <w:lang w:val="en-US" w:eastAsia="zh-CN"/>
        </w:rPr>
        <w:t>2</w:t>
      </w:r>
      <w:r>
        <w:rPr>
          <w:rFonts w:hint="eastAsia"/>
        </w:rPr>
        <w:t>）Cl</w:t>
      </w:r>
      <w:r>
        <w:rPr>
          <w:rFonts w:hint="eastAsia"/>
          <w:vertAlign w:val="subscript"/>
        </w:rPr>
        <w:t>2</w:t>
      </w:r>
      <w:r>
        <w:rPr>
          <w:rFonts w:hint="eastAsia"/>
        </w:rPr>
        <w:t>：由预测结果可知，在最不利小时气象条件下，Cl</w:t>
      </w:r>
      <w:r>
        <w:rPr>
          <w:rFonts w:hint="eastAsia"/>
          <w:vertAlign w:val="subscript"/>
        </w:rPr>
        <w:t>2</w:t>
      </w:r>
      <w:r>
        <w:rPr>
          <w:rFonts w:hint="eastAsia"/>
        </w:rPr>
        <w:t>的非正常排放对各环境敏感点中</w:t>
      </w:r>
      <w:r>
        <w:rPr>
          <w:rFonts w:hint="eastAsia"/>
          <w:lang w:val="en-US" w:eastAsia="zh-CN"/>
        </w:rPr>
        <w:t>松木村2</w:t>
      </w:r>
      <w:r>
        <w:rPr>
          <w:rFonts w:hint="eastAsia"/>
        </w:rPr>
        <w:t>的贡献值最大，为0.083562mg/m</w:t>
      </w:r>
      <w:r>
        <w:rPr>
          <w:rFonts w:hint="eastAsia"/>
          <w:vertAlign w:val="superscript"/>
        </w:rPr>
        <w:t>3</w:t>
      </w:r>
      <w:r>
        <w:rPr>
          <w:rFonts w:hint="eastAsia"/>
        </w:rPr>
        <w:t>，贡献值占标率为</w:t>
      </w:r>
      <w:r>
        <w:rPr>
          <w:rFonts w:hint="eastAsia"/>
          <w:lang w:val="en-US" w:eastAsia="zh-CN"/>
        </w:rPr>
        <w:t>83.56</w:t>
      </w:r>
      <w:r>
        <w:rPr>
          <w:rFonts w:hint="eastAsia"/>
        </w:rPr>
        <w:t>%，</w:t>
      </w:r>
      <w:r>
        <w:rPr>
          <w:rFonts w:hint="eastAsia"/>
          <w:lang w:val="en-US" w:eastAsia="zh-CN"/>
        </w:rPr>
        <w:t>未</w:t>
      </w:r>
      <w:r>
        <w:rPr>
          <w:rFonts w:hint="eastAsia"/>
        </w:rPr>
        <w:t>超过《环境影响评价技术导则--大气环境》（HJ2.2-2018）附录D中标准要求；评价范围内Cl</w:t>
      </w:r>
      <w:r>
        <w:rPr>
          <w:rFonts w:hint="eastAsia"/>
          <w:vertAlign w:val="subscript"/>
        </w:rPr>
        <w:t>2</w:t>
      </w:r>
      <w:r>
        <w:rPr>
          <w:rFonts w:hint="eastAsia"/>
        </w:rPr>
        <w:t>最大小时地面浓度贡献值为0.434233mg/m</w:t>
      </w:r>
      <w:r>
        <w:rPr>
          <w:rFonts w:hint="eastAsia"/>
          <w:vertAlign w:val="superscript"/>
        </w:rPr>
        <w:t>3</w:t>
      </w:r>
      <w:r>
        <w:rPr>
          <w:rFonts w:hint="eastAsia"/>
        </w:rPr>
        <w:t>，贡献值占标率为</w:t>
      </w:r>
      <w:r>
        <w:rPr>
          <w:rFonts w:hint="eastAsia"/>
          <w:lang w:val="en-US" w:eastAsia="zh-CN"/>
        </w:rPr>
        <w:t>434.23</w:t>
      </w:r>
      <w:r>
        <w:rPr>
          <w:rFonts w:hint="eastAsia"/>
        </w:rPr>
        <w:t>%，超过《环境影响评价技术导则--大气环境》（HJ2.2-2018）附录D中标准要求，该点坐标为（-750，-150），位于厂界外。因此需要杜绝项目Cl</w:t>
      </w:r>
      <w:r>
        <w:rPr>
          <w:rFonts w:hint="eastAsia"/>
          <w:vertAlign w:val="subscript"/>
        </w:rPr>
        <w:t>2</w:t>
      </w:r>
      <w:r>
        <w:rPr>
          <w:rFonts w:hint="eastAsia"/>
        </w:rPr>
        <w:t>的非正常排放，一旦发生，及时停产检修，待检修合格后方可恢复生产。</w:t>
      </w:r>
    </w:p>
    <w:p w14:paraId="6C34DC0A">
      <w:pPr>
        <w:ind w:firstLine="480"/>
      </w:pPr>
      <w:r>
        <w:rPr>
          <w:rFonts w:hint="eastAsia"/>
        </w:rPr>
        <w:t>（</w:t>
      </w:r>
      <w:r>
        <w:rPr>
          <w:rFonts w:hint="eastAsia"/>
          <w:lang w:val="en-US" w:eastAsia="zh-CN"/>
        </w:rPr>
        <w:t>3</w:t>
      </w:r>
      <w:r>
        <w:rPr>
          <w:rFonts w:hint="eastAsia"/>
        </w:rPr>
        <w:t>）HCl：由预测结果可知，在最不利小时气象条件下，HCl的非正常排放对各环境敏感点中</w:t>
      </w:r>
      <w:r>
        <w:rPr>
          <w:rFonts w:hint="eastAsia"/>
          <w:lang w:val="en-US" w:eastAsia="zh-CN"/>
        </w:rPr>
        <w:t>松木村2</w:t>
      </w:r>
      <w:r>
        <w:rPr>
          <w:rFonts w:hint="eastAsia"/>
        </w:rPr>
        <w:t>的贡献值最大，为</w:t>
      </w:r>
      <w:r>
        <w:rPr>
          <w:rFonts w:hint="eastAsia"/>
          <w:lang w:val="en-US" w:eastAsia="zh-CN"/>
        </w:rPr>
        <w:t>0.08782</w:t>
      </w:r>
      <w:r>
        <w:rPr>
          <w:rFonts w:hint="eastAsia"/>
        </w:rPr>
        <w:t>mg/m</w:t>
      </w:r>
      <w:r>
        <w:rPr>
          <w:rFonts w:hint="eastAsia"/>
          <w:vertAlign w:val="superscript"/>
        </w:rPr>
        <w:t>3</w:t>
      </w:r>
      <w:r>
        <w:rPr>
          <w:rFonts w:hint="eastAsia"/>
        </w:rPr>
        <w:t>，贡献值占标率为</w:t>
      </w:r>
      <w:r>
        <w:rPr>
          <w:rFonts w:hint="eastAsia"/>
          <w:lang w:val="en-US" w:eastAsia="zh-CN"/>
        </w:rPr>
        <w:t>175.4</w:t>
      </w:r>
      <w:r>
        <w:rPr>
          <w:rFonts w:hint="eastAsia"/>
        </w:rPr>
        <w:t>%，超过《环境影响评价技术导则--大气环境》（HJ2.2-2018）附录D中标准要求；评价范围内HCl最大小时地面浓度贡献值为0.455982mg/m</w:t>
      </w:r>
      <w:r>
        <w:rPr>
          <w:rFonts w:hint="eastAsia"/>
          <w:vertAlign w:val="superscript"/>
        </w:rPr>
        <w:t>3</w:t>
      </w:r>
      <w:r>
        <w:rPr>
          <w:rFonts w:hint="eastAsia"/>
        </w:rPr>
        <w:t>，贡献值占标率为</w:t>
      </w:r>
      <w:r>
        <w:rPr>
          <w:rFonts w:hint="eastAsia"/>
          <w:lang w:val="en-US" w:eastAsia="zh-CN"/>
        </w:rPr>
        <w:t>911.96</w:t>
      </w:r>
      <w:r>
        <w:rPr>
          <w:rFonts w:hint="eastAsia"/>
        </w:rPr>
        <w:t>%，超过《环境影响评价技术导则--大气环境》（HJ2.2-2018）附录D中标准要求，该点坐标为（-750，-150），位于厂界外。因此需要杜绝项目HCl的非正常排放，一旦发生，及时停产检修，待检修合格后方可恢复生产。</w:t>
      </w:r>
    </w:p>
    <w:p w14:paraId="6A2898CE">
      <w:pPr>
        <w:ind w:firstLine="48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1DE186CF">
      <w:pPr>
        <w:pStyle w:val="43"/>
        <w:numPr>
          <w:ilvl w:val="5"/>
          <w:numId w:val="1"/>
        </w:numPr>
        <w:rPr>
          <w:rFonts w:hint="default"/>
        </w:rPr>
      </w:pPr>
      <w:r>
        <w:t xml:space="preserve">非正常排放下环境保护目标及网格点处小时平均贡献质量浓度占标率（单位：mg/m³） </w:t>
      </w:r>
    </w:p>
    <w:tbl>
      <w:tblPr>
        <w:tblStyle w:val="32"/>
        <w:tblW w:w="5007" w:type="pct"/>
        <w:tblInd w:w="0" w:type="dxa"/>
        <w:tblLayout w:type="autofit"/>
        <w:tblCellMar>
          <w:top w:w="0" w:type="dxa"/>
          <w:left w:w="108" w:type="dxa"/>
          <w:bottom w:w="0" w:type="dxa"/>
          <w:right w:w="108" w:type="dxa"/>
        </w:tblCellMar>
      </w:tblPr>
      <w:tblGrid>
        <w:gridCol w:w="2026"/>
        <w:gridCol w:w="2609"/>
        <w:gridCol w:w="1853"/>
        <w:gridCol w:w="2057"/>
        <w:gridCol w:w="1969"/>
        <w:gridCol w:w="1623"/>
        <w:gridCol w:w="2057"/>
      </w:tblGrid>
      <w:tr w14:paraId="08287170">
        <w:tblPrEx>
          <w:tblCellMar>
            <w:top w:w="0" w:type="dxa"/>
            <w:left w:w="108" w:type="dxa"/>
            <w:bottom w:w="0" w:type="dxa"/>
            <w:right w:w="108" w:type="dxa"/>
          </w:tblCellMar>
        </w:tblPrEx>
        <w:trPr>
          <w:trHeight w:val="170" w:hRule="atLeast"/>
          <w:tblHeader/>
        </w:trPr>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E75FBE">
            <w:pPr>
              <w:widowControl/>
              <w:spacing w:line="240" w:lineRule="auto"/>
              <w:ind w:firstLine="0" w:firstLineChars="0"/>
              <w:jc w:val="center"/>
              <w:textAlignment w:val="center"/>
              <w:rPr>
                <w:rFonts w:cs="宋体"/>
                <w:b/>
                <w:bCs/>
                <w:color w:val="000000"/>
                <w:sz w:val="21"/>
                <w:szCs w:val="22"/>
              </w:rPr>
            </w:pPr>
            <w:r>
              <w:rPr>
                <w:rFonts w:hint="eastAsia" w:cs="宋体"/>
                <w:b/>
                <w:bCs/>
                <w:color w:val="000000"/>
                <w:kern w:val="0"/>
                <w:sz w:val="21"/>
                <w:szCs w:val="22"/>
              </w:rPr>
              <w:t>评价因子</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9524ED">
            <w:pPr>
              <w:widowControl/>
              <w:spacing w:line="240" w:lineRule="auto"/>
              <w:ind w:firstLine="0" w:firstLineChars="0"/>
              <w:jc w:val="center"/>
              <w:textAlignment w:val="center"/>
              <w:rPr>
                <w:rFonts w:cs="宋体"/>
                <w:b/>
                <w:bCs/>
                <w:color w:val="000000"/>
                <w:sz w:val="21"/>
                <w:szCs w:val="22"/>
              </w:rPr>
            </w:pPr>
            <w:r>
              <w:rPr>
                <w:rFonts w:hint="eastAsia" w:cs="宋体"/>
                <w:b/>
                <w:bCs/>
                <w:color w:val="000000"/>
                <w:kern w:val="0"/>
                <w:sz w:val="21"/>
                <w:szCs w:val="22"/>
              </w:rPr>
              <w:t>环境空气保护目标</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6A5B7F">
            <w:pPr>
              <w:widowControl/>
              <w:spacing w:line="240" w:lineRule="auto"/>
              <w:ind w:firstLine="0" w:firstLineChars="0"/>
              <w:jc w:val="center"/>
              <w:textAlignment w:val="center"/>
              <w:rPr>
                <w:rFonts w:cs="宋体"/>
                <w:b/>
                <w:bCs/>
                <w:color w:val="000000"/>
                <w:sz w:val="21"/>
                <w:szCs w:val="22"/>
              </w:rPr>
            </w:pPr>
            <w:r>
              <w:rPr>
                <w:rFonts w:hint="eastAsia" w:cs="宋体"/>
                <w:b/>
                <w:bCs/>
                <w:color w:val="000000"/>
                <w:kern w:val="0"/>
                <w:sz w:val="21"/>
                <w:szCs w:val="22"/>
              </w:rPr>
              <w:t>评价标准mg/m</w:t>
            </w:r>
            <w:r>
              <w:rPr>
                <w:rFonts w:hint="eastAsia" w:cs="宋体"/>
                <w:b/>
                <w:bCs/>
                <w:color w:val="000000"/>
                <w:kern w:val="0"/>
                <w:sz w:val="21"/>
                <w:szCs w:val="22"/>
                <w:vertAlign w:val="superscript"/>
              </w:rPr>
              <w:t>3</w:t>
            </w:r>
          </w:p>
        </w:tc>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8FD4D6">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最大浓度贡献值</w:t>
            </w:r>
            <w:r>
              <w:rPr>
                <w:rFonts w:cs="Times New Roman"/>
                <w:b/>
                <w:bCs/>
                <w:color w:val="000000"/>
                <w:kern w:val="0"/>
                <w:sz w:val="21"/>
                <w:szCs w:val="21"/>
              </w:rPr>
              <w:t xml:space="preserve"> mg/m</w:t>
            </w:r>
            <w:r>
              <w:rPr>
                <w:rFonts w:cs="Times New Roman"/>
                <w:b/>
                <w:bCs/>
                <w:color w:val="000000"/>
                <w:kern w:val="0"/>
                <w:sz w:val="21"/>
                <w:szCs w:val="21"/>
                <w:vertAlign w:val="superscript"/>
              </w:rPr>
              <w:t>3</w:t>
            </w:r>
          </w:p>
        </w:tc>
        <w:tc>
          <w:tcPr>
            <w:tcW w:w="6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659683">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最大浓度贡献值占标率</w:t>
            </w:r>
            <w:r>
              <w:rPr>
                <w:rFonts w:cs="Times New Roman"/>
                <w:b/>
                <w:bCs/>
                <w:color w:val="000000"/>
                <w:kern w:val="0"/>
                <w:sz w:val="21"/>
                <w:szCs w:val="21"/>
              </w:rPr>
              <w:t>%</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98CA66">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最大浓度贡献值达标情况</w:t>
            </w:r>
          </w:p>
        </w:tc>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CD596F">
            <w:pPr>
              <w:widowControl/>
              <w:spacing w:line="240" w:lineRule="auto"/>
              <w:ind w:firstLine="0" w:firstLineChars="0"/>
              <w:jc w:val="center"/>
              <w:textAlignment w:val="center"/>
              <w:rPr>
                <w:rFonts w:cs="宋体"/>
                <w:b/>
                <w:bCs/>
                <w:color w:val="000000"/>
                <w:sz w:val="21"/>
                <w:szCs w:val="21"/>
              </w:rPr>
            </w:pPr>
            <w:r>
              <w:rPr>
                <w:rFonts w:hint="eastAsia" w:cs="宋体"/>
                <w:b/>
                <w:bCs/>
                <w:color w:val="000000"/>
                <w:kern w:val="0"/>
                <w:sz w:val="21"/>
                <w:szCs w:val="21"/>
              </w:rPr>
              <w:t>最大浓度贡献值出现时间</w:t>
            </w:r>
          </w:p>
        </w:tc>
      </w:tr>
      <w:tr w14:paraId="51407426">
        <w:tblPrEx>
          <w:tblCellMar>
            <w:top w:w="0" w:type="dxa"/>
            <w:left w:w="108" w:type="dxa"/>
            <w:bottom w:w="0" w:type="dxa"/>
            <w:right w:w="108" w:type="dxa"/>
          </w:tblCellMar>
        </w:tblPrEx>
        <w:trPr>
          <w:trHeight w:val="170" w:hRule="atLeast"/>
        </w:trPr>
        <w:tc>
          <w:tcPr>
            <w:tcW w:w="71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BCAC3DB">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颗粒物（</w:t>
            </w:r>
            <w:r>
              <w:rPr>
                <w:rFonts w:hint="eastAsia" w:cs="宋体"/>
                <w:color w:val="000000"/>
                <w:kern w:val="0"/>
                <w:sz w:val="21"/>
                <w:szCs w:val="22"/>
                <w:lang w:val="en-US" w:eastAsia="zh-CN"/>
              </w:rPr>
              <w:t>TSP</w:t>
            </w:r>
            <w:r>
              <w:rPr>
                <w:rFonts w:hint="eastAsia" w:cs="宋体"/>
                <w:color w:val="000000"/>
                <w:kern w:val="0"/>
                <w:sz w:val="21"/>
                <w:szCs w:val="22"/>
              </w:rPr>
              <w:t>）</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F757C0">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新安村</w:t>
            </w:r>
          </w:p>
        </w:tc>
        <w:tc>
          <w:tcPr>
            <w:tcW w:w="1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62B786">
            <w:pPr>
              <w:pStyle w:val="45"/>
              <w:bidi w:val="0"/>
            </w:pPr>
            <w:r>
              <w:rPr>
                <w:rFonts w:hint="eastAsia"/>
                <w:lang w:val="en-US" w:eastAsia="zh-CN"/>
              </w:rPr>
              <w:t>0.9</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6BC091">
            <w:pPr>
              <w:pStyle w:val="45"/>
              <w:bidi w:val="0"/>
            </w:pPr>
            <w:r>
              <w:rPr>
                <w:rFonts w:hint="eastAsia"/>
                <w:lang w:val="en-US" w:eastAsia="zh-CN"/>
              </w:rPr>
              <w:t>0.207141</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89E1DF">
            <w:pPr>
              <w:pStyle w:val="45"/>
              <w:bidi w:val="0"/>
            </w:pPr>
            <w:r>
              <w:rPr>
                <w:rFonts w:hint="eastAsia"/>
                <w:lang w:val="en-US" w:eastAsia="zh-CN"/>
              </w:rPr>
              <w:t>23.02</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D2AEC0">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DEDF1">
            <w:pPr>
              <w:pStyle w:val="45"/>
              <w:bidi w:val="0"/>
            </w:pPr>
            <w:r>
              <w:rPr>
                <w:rFonts w:hint="eastAsia"/>
                <w:lang w:val="en-US" w:eastAsia="zh-CN"/>
              </w:rPr>
              <w:t>22050720</w:t>
            </w:r>
          </w:p>
        </w:tc>
      </w:tr>
      <w:tr w14:paraId="0D115278">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EFCA54">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474F09">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松木村</w:t>
            </w:r>
          </w:p>
        </w:tc>
        <w:tc>
          <w:tcPr>
            <w:tcW w:w="1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3B718B">
            <w:pPr>
              <w:pStyle w:val="45"/>
              <w:bidi w:val="0"/>
            </w:pPr>
            <w:r>
              <w:rPr>
                <w:rFonts w:hint="eastAsia"/>
                <w:lang w:val="en-US" w:eastAsia="zh-CN"/>
              </w:rPr>
              <w:t>0.9</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3C3AFD">
            <w:pPr>
              <w:pStyle w:val="45"/>
              <w:bidi w:val="0"/>
            </w:pPr>
            <w:r>
              <w:rPr>
                <w:rFonts w:hint="eastAsia"/>
                <w:lang w:val="en-US" w:eastAsia="zh-CN"/>
              </w:rPr>
              <w:t>0.088672</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E658CC">
            <w:pPr>
              <w:pStyle w:val="45"/>
              <w:bidi w:val="0"/>
            </w:pPr>
            <w:r>
              <w:rPr>
                <w:rFonts w:hint="eastAsia"/>
                <w:lang w:val="en-US" w:eastAsia="zh-CN"/>
              </w:rPr>
              <w:t>9.85</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5BF6DE">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437B1">
            <w:pPr>
              <w:pStyle w:val="45"/>
              <w:bidi w:val="0"/>
            </w:pPr>
            <w:r>
              <w:rPr>
                <w:rFonts w:hint="eastAsia"/>
                <w:lang w:val="en-US" w:eastAsia="zh-CN"/>
              </w:rPr>
              <w:t>22052507</w:t>
            </w:r>
          </w:p>
        </w:tc>
      </w:tr>
      <w:tr w14:paraId="02C9803A">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4B09AE">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A2AB45">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金源小学</w:t>
            </w:r>
          </w:p>
        </w:tc>
        <w:tc>
          <w:tcPr>
            <w:tcW w:w="1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B15E29">
            <w:pPr>
              <w:pStyle w:val="45"/>
              <w:bidi w:val="0"/>
            </w:pPr>
            <w:r>
              <w:rPr>
                <w:rFonts w:hint="eastAsia"/>
                <w:lang w:val="en-US" w:eastAsia="zh-CN"/>
              </w:rPr>
              <w:t>0.9</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AD6F5C">
            <w:pPr>
              <w:pStyle w:val="45"/>
              <w:bidi w:val="0"/>
            </w:pPr>
            <w:r>
              <w:rPr>
                <w:rFonts w:hint="eastAsia"/>
                <w:lang w:val="en-US" w:eastAsia="zh-CN"/>
              </w:rPr>
              <w:t>0.085385</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E1ADBA">
            <w:pPr>
              <w:pStyle w:val="45"/>
              <w:bidi w:val="0"/>
            </w:pPr>
            <w:r>
              <w:rPr>
                <w:rFonts w:hint="eastAsia"/>
                <w:lang w:val="en-US" w:eastAsia="zh-CN"/>
              </w:rPr>
              <w:t>9.49</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8F1A9B">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DEAD0B">
            <w:pPr>
              <w:pStyle w:val="45"/>
              <w:bidi w:val="0"/>
            </w:pPr>
            <w:r>
              <w:rPr>
                <w:rFonts w:hint="eastAsia"/>
                <w:lang w:val="en-US" w:eastAsia="zh-CN"/>
              </w:rPr>
              <w:t>22010209</w:t>
            </w:r>
          </w:p>
        </w:tc>
      </w:tr>
      <w:tr w14:paraId="3C99DCE0">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19DE64">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09D4D0">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金源社区安置房</w:t>
            </w:r>
            <w:r>
              <w:rPr>
                <w:rFonts w:cs="Times New Roman"/>
                <w:color w:val="000000"/>
                <w:kern w:val="0"/>
                <w:sz w:val="21"/>
                <w:szCs w:val="21"/>
              </w:rPr>
              <w:t>2</w:t>
            </w:r>
          </w:p>
        </w:tc>
        <w:tc>
          <w:tcPr>
            <w:tcW w:w="1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8CFF71">
            <w:pPr>
              <w:pStyle w:val="45"/>
              <w:bidi w:val="0"/>
            </w:pPr>
            <w:r>
              <w:rPr>
                <w:rFonts w:hint="eastAsia"/>
                <w:lang w:val="en-US" w:eastAsia="zh-CN"/>
              </w:rPr>
              <w:t>0.9</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143626">
            <w:pPr>
              <w:pStyle w:val="45"/>
              <w:bidi w:val="0"/>
            </w:pPr>
            <w:r>
              <w:rPr>
                <w:rFonts w:hint="eastAsia"/>
                <w:lang w:val="en-US" w:eastAsia="zh-CN"/>
              </w:rPr>
              <w:t>0.398639</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C3D4F6">
            <w:pPr>
              <w:pStyle w:val="45"/>
              <w:bidi w:val="0"/>
            </w:pPr>
            <w:r>
              <w:rPr>
                <w:rFonts w:hint="eastAsia"/>
                <w:lang w:val="en-US" w:eastAsia="zh-CN"/>
              </w:rPr>
              <w:t>44.29</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1B3A4C">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F15E0">
            <w:pPr>
              <w:pStyle w:val="45"/>
              <w:bidi w:val="0"/>
            </w:pPr>
            <w:r>
              <w:rPr>
                <w:rFonts w:hint="eastAsia"/>
                <w:lang w:val="en-US" w:eastAsia="zh-CN"/>
              </w:rPr>
              <w:t>22062006</w:t>
            </w:r>
          </w:p>
        </w:tc>
      </w:tr>
      <w:tr w14:paraId="4CACF012">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2CE4D3">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60351E">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金源社区医院</w:t>
            </w:r>
          </w:p>
        </w:tc>
        <w:tc>
          <w:tcPr>
            <w:tcW w:w="1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9F1965">
            <w:pPr>
              <w:pStyle w:val="45"/>
              <w:bidi w:val="0"/>
            </w:pPr>
            <w:r>
              <w:rPr>
                <w:rFonts w:hint="eastAsia"/>
                <w:lang w:val="en-US" w:eastAsia="zh-CN"/>
              </w:rPr>
              <w:t>0.9</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F6923C">
            <w:pPr>
              <w:pStyle w:val="45"/>
              <w:bidi w:val="0"/>
            </w:pPr>
            <w:r>
              <w:rPr>
                <w:rFonts w:hint="eastAsia"/>
                <w:lang w:val="en-US" w:eastAsia="zh-CN"/>
              </w:rPr>
              <w:t>0.413736</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3A217F">
            <w:pPr>
              <w:pStyle w:val="45"/>
              <w:bidi w:val="0"/>
            </w:pPr>
            <w:r>
              <w:rPr>
                <w:rFonts w:hint="eastAsia"/>
                <w:lang w:val="en-US" w:eastAsia="zh-CN"/>
              </w:rPr>
              <w:t>45.97</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38913D">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8D7879">
            <w:pPr>
              <w:pStyle w:val="45"/>
              <w:bidi w:val="0"/>
            </w:pPr>
            <w:r>
              <w:rPr>
                <w:rFonts w:hint="eastAsia"/>
                <w:lang w:val="en-US" w:eastAsia="zh-CN"/>
              </w:rPr>
              <w:t>22062006</w:t>
            </w:r>
          </w:p>
        </w:tc>
      </w:tr>
      <w:tr w14:paraId="1261D5CF">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2DD972">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BFA1E9">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金源社区安置房</w:t>
            </w:r>
          </w:p>
        </w:tc>
        <w:tc>
          <w:tcPr>
            <w:tcW w:w="1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3C72FB">
            <w:pPr>
              <w:pStyle w:val="45"/>
              <w:bidi w:val="0"/>
            </w:pPr>
            <w:r>
              <w:rPr>
                <w:rFonts w:hint="eastAsia"/>
                <w:lang w:val="en-US" w:eastAsia="zh-CN"/>
              </w:rPr>
              <w:t>0.9</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C47FC8">
            <w:pPr>
              <w:pStyle w:val="45"/>
              <w:bidi w:val="0"/>
            </w:pPr>
            <w:r>
              <w:rPr>
                <w:rFonts w:hint="eastAsia"/>
                <w:lang w:val="en-US" w:eastAsia="zh-CN"/>
              </w:rPr>
              <w:t>0.062694</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2D6B2A">
            <w:pPr>
              <w:pStyle w:val="45"/>
              <w:bidi w:val="0"/>
            </w:pPr>
            <w:r>
              <w:rPr>
                <w:rFonts w:hint="eastAsia"/>
                <w:lang w:val="en-US" w:eastAsia="zh-CN"/>
              </w:rPr>
              <w:t>6.97</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09CB32">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5A56A">
            <w:pPr>
              <w:pStyle w:val="45"/>
              <w:bidi w:val="0"/>
            </w:pPr>
            <w:r>
              <w:rPr>
                <w:rFonts w:hint="eastAsia"/>
                <w:lang w:val="en-US" w:eastAsia="zh-CN"/>
              </w:rPr>
              <w:t>22010209</w:t>
            </w:r>
          </w:p>
        </w:tc>
      </w:tr>
      <w:tr w14:paraId="6E40B431">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E51F96">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52F508">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湖南工商职业学院</w:t>
            </w:r>
          </w:p>
        </w:tc>
        <w:tc>
          <w:tcPr>
            <w:tcW w:w="1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F01E40">
            <w:pPr>
              <w:pStyle w:val="45"/>
              <w:bidi w:val="0"/>
            </w:pPr>
            <w:r>
              <w:rPr>
                <w:rFonts w:hint="eastAsia"/>
                <w:lang w:val="en-US" w:eastAsia="zh-CN"/>
              </w:rPr>
              <w:t>0.9</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D5A21A">
            <w:pPr>
              <w:pStyle w:val="45"/>
              <w:bidi w:val="0"/>
            </w:pPr>
            <w:r>
              <w:rPr>
                <w:rFonts w:hint="eastAsia"/>
                <w:lang w:val="en-US" w:eastAsia="zh-CN"/>
              </w:rPr>
              <w:t>0.060189</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EE6417">
            <w:pPr>
              <w:pStyle w:val="45"/>
              <w:bidi w:val="0"/>
            </w:pPr>
            <w:r>
              <w:rPr>
                <w:rFonts w:hint="eastAsia"/>
                <w:lang w:val="en-US" w:eastAsia="zh-CN"/>
              </w:rPr>
              <w:t>6.69</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7F2397">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323A6">
            <w:pPr>
              <w:pStyle w:val="45"/>
              <w:bidi w:val="0"/>
            </w:pPr>
            <w:r>
              <w:rPr>
                <w:rFonts w:hint="eastAsia"/>
                <w:lang w:val="en-US" w:eastAsia="zh-CN"/>
              </w:rPr>
              <w:t>22031208</w:t>
            </w:r>
          </w:p>
        </w:tc>
      </w:tr>
      <w:tr w14:paraId="02B19A4C">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F64819">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5331FF">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园区管委会</w:t>
            </w:r>
          </w:p>
        </w:tc>
        <w:tc>
          <w:tcPr>
            <w:tcW w:w="1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81C5D4">
            <w:pPr>
              <w:pStyle w:val="45"/>
              <w:bidi w:val="0"/>
            </w:pPr>
            <w:r>
              <w:rPr>
                <w:rFonts w:hint="eastAsia"/>
                <w:lang w:val="en-US" w:eastAsia="zh-CN"/>
              </w:rPr>
              <w:t>0.9</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A6D024">
            <w:pPr>
              <w:pStyle w:val="45"/>
              <w:bidi w:val="0"/>
            </w:pPr>
            <w:r>
              <w:rPr>
                <w:rFonts w:hint="eastAsia"/>
                <w:lang w:val="en-US" w:eastAsia="zh-CN"/>
              </w:rPr>
              <w:t>0.203582</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B6FB26">
            <w:pPr>
              <w:pStyle w:val="45"/>
              <w:bidi w:val="0"/>
            </w:pPr>
            <w:r>
              <w:rPr>
                <w:rFonts w:hint="eastAsia"/>
                <w:lang w:val="en-US" w:eastAsia="zh-CN"/>
              </w:rPr>
              <w:t>22.62</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77ACFC">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A6F8EA">
            <w:pPr>
              <w:pStyle w:val="45"/>
              <w:bidi w:val="0"/>
            </w:pPr>
            <w:r>
              <w:rPr>
                <w:rFonts w:hint="eastAsia"/>
                <w:lang w:val="en-US" w:eastAsia="zh-CN"/>
              </w:rPr>
              <w:t>22111718</w:t>
            </w:r>
          </w:p>
        </w:tc>
      </w:tr>
      <w:tr w14:paraId="5769696C">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EA72C3">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0081CD">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松木中学</w:t>
            </w:r>
          </w:p>
        </w:tc>
        <w:tc>
          <w:tcPr>
            <w:tcW w:w="1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5A132D">
            <w:pPr>
              <w:pStyle w:val="45"/>
              <w:bidi w:val="0"/>
            </w:pPr>
            <w:r>
              <w:rPr>
                <w:rFonts w:hint="eastAsia"/>
                <w:lang w:val="en-US" w:eastAsia="zh-CN"/>
              </w:rPr>
              <w:t>0.9</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9BFCC1">
            <w:pPr>
              <w:pStyle w:val="45"/>
              <w:bidi w:val="0"/>
            </w:pPr>
            <w:r>
              <w:rPr>
                <w:rFonts w:hint="eastAsia"/>
                <w:lang w:val="en-US" w:eastAsia="zh-CN"/>
              </w:rPr>
              <w:t>0.084443</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A4BE39">
            <w:pPr>
              <w:pStyle w:val="45"/>
              <w:bidi w:val="0"/>
            </w:pPr>
            <w:r>
              <w:rPr>
                <w:rFonts w:hint="eastAsia"/>
                <w:lang w:val="en-US" w:eastAsia="zh-CN"/>
              </w:rPr>
              <w:t>9.38</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16F773">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1C7BB">
            <w:pPr>
              <w:pStyle w:val="45"/>
              <w:bidi w:val="0"/>
            </w:pPr>
            <w:r>
              <w:rPr>
                <w:rFonts w:hint="eastAsia"/>
                <w:lang w:val="en-US" w:eastAsia="zh-CN"/>
              </w:rPr>
              <w:t>22031208</w:t>
            </w:r>
          </w:p>
        </w:tc>
      </w:tr>
      <w:tr w14:paraId="752520F2">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7E31B6">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CD33B5">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松木村</w:t>
            </w:r>
            <w:r>
              <w:rPr>
                <w:rFonts w:cs="Times New Roman"/>
                <w:color w:val="000000"/>
                <w:kern w:val="0"/>
                <w:sz w:val="21"/>
                <w:szCs w:val="21"/>
              </w:rPr>
              <w:t>2</w:t>
            </w:r>
          </w:p>
        </w:tc>
        <w:tc>
          <w:tcPr>
            <w:tcW w:w="1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09FE6E">
            <w:pPr>
              <w:pStyle w:val="45"/>
              <w:bidi w:val="0"/>
            </w:pPr>
            <w:r>
              <w:rPr>
                <w:rFonts w:hint="eastAsia"/>
                <w:lang w:val="en-US" w:eastAsia="zh-CN"/>
              </w:rPr>
              <w:t>0.9</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E9C095">
            <w:pPr>
              <w:pStyle w:val="45"/>
              <w:bidi w:val="0"/>
            </w:pPr>
            <w:r>
              <w:rPr>
                <w:rFonts w:hint="eastAsia"/>
                <w:lang w:val="en-US" w:eastAsia="zh-CN"/>
              </w:rPr>
              <w:t>0.101848</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316DB4">
            <w:pPr>
              <w:pStyle w:val="45"/>
              <w:bidi w:val="0"/>
            </w:pPr>
            <w:r>
              <w:rPr>
                <w:rFonts w:hint="eastAsia"/>
                <w:lang w:val="en-US" w:eastAsia="zh-CN"/>
              </w:rPr>
              <w:t>11.32</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639002">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9C07B">
            <w:pPr>
              <w:pStyle w:val="45"/>
              <w:bidi w:val="0"/>
            </w:pPr>
            <w:r>
              <w:rPr>
                <w:rFonts w:hint="eastAsia"/>
                <w:lang w:val="en-US" w:eastAsia="zh-CN"/>
              </w:rPr>
              <w:t>22112020</w:t>
            </w:r>
          </w:p>
        </w:tc>
      </w:tr>
      <w:tr w14:paraId="36AE650B">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C448B4">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73DCF8">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园区安置房</w:t>
            </w:r>
          </w:p>
        </w:tc>
        <w:tc>
          <w:tcPr>
            <w:tcW w:w="1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696EEF">
            <w:pPr>
              <w:pStyle w:val="45"/>
              <w:bidi w:val="0"/>
            </w:pPr>
            <w:r>
              <w:rPr>
                <w:rFonts w:hint="eastAsia"/>
                <w:lang w:val="en-US" w:eastAsia="zh-CN"/>
              </w:rPr>
              <w:t>0.9</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0BA902">
            <w:pPr>
              <w:pStyle w:val="45"/>
              <w:bidi w:val="0"/>
            </w:pPr>
            <w:r>
              <w:rPr>
                <w:rFonts w:hint="eastAsia"/>
                <w:lang w:val="en-US" w:eastAsia="zh-CN"/>
              </w:rPr>
              <w:t>0.114888</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849A04">
            <w:pPr>
              <w:pStyle w:val="45"/>
              <w:bidi w:val="0"/>
            </w:pPr>
            <w:r>
              <w:rPr>
                <w:rFonts w:hint="eastAsia"/>
                <w:lang w:val="en-US" w:eastAsia="zh-CN"/>
              </w:rPr>
              <w:t>12.77</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BD0AB8">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C6B01">
            <w:pPr>
              <w:pStyle w:val="45"/>
              <w:bidi w:val="0"/>
            </w:pPr>
            <w:r>
              <w:rPr>
                <w:rFonts w:hint="eastAsia"/>
                <w:lang w:val="en-US" w:eastAsia="zh-CN"/>
              </w:rPr>
              <w:t>22082821</w:t>
            </w:r>
          </w:p>
        </w:tc>
      </w:tr>
      <w:tr w14:paraId="3E3BDA39">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40F1C6">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5CB180">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友谊村</w:t>
            </w:r>
          </w:p>
        </w:tc>
        <w:tc>
          <w:tcPr>
            <w:tcW w:w="1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2ABEBE">
            <w:pPr>
              <w:pStyle w:val="45"/>
              <w:bidi w:val="0"/>
            </w:pPr>
            <w:r>
              <w:rPr>
                <w:rFonts w:hint="eastAsia"/>
                <w:lang w:val="en-US" w:eastAsia="zh-CN"/>
              </w:rPr>
              <w:t>0.9</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0516B9">
            <w:pPr>
              <w:pStyle w:val="45"/>
              <w:bidi w:val="0"/>
            </w:pPr>
            <w:r>
              <w:rPr>
                <w:rFonts w:hint="eastAsia"/>
                <w:lang w:val="en-US" w:eastAsia="zh-CN"/>
              </w:rPr>
              <w:t>0.466289</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D7FDE">
            <w:pPr>
              <w:pStyle w:val="45"/>
              <w:bidi w:val="0"/>
            </w:pPr>
            <w:r>
              <w:rPr>
                <w:rFonts w:hint="eastAsia"/>
                <w:lang w:val="en-US" w:eastAsia="zh-CN"/>
              </w:rPr>
              <w:t>51.81</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D2513B">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DC56F">
            <w:pPr>
              <w:pStyle w:val="45"/>
              <w:bidi w:val="0"/>
            </w:pPr>
            <w:r>
              <w:rPr>
                <w:rFonts w:hint="eastAsia"/>
                <w:lang w:val="en-US" w:eastAsia="zh-CN"/>
              </w:rPr>
              <w:t>22021505</w:t>
            </w:r>
          </w:p>
        </w:tc>
      </w:tr>
      <w:tr w14:paraId="6E2B20D0">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E29BC6">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E56421">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龙谊村</w:t>
            </w:r>
          </w:p>
        </w:tc>
        <w:tc>
          <w:tcPr>
            <w:tcW w:w="1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941408">
            <w:pPr>
              <w:pStyle w:val="45"/>
              <w:bidi w:val="0"/>
            </w:pPr>
            <w:r>
              <w:rPr>
                <w:rFonts w:hint="eastAsia"/>
                <w:lang w:val="en-US" w:eastAsia="zh-CN"/>
              </w:rPr>
              <w:t>0.9</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85447F">
            <w:pPr>
              <w:pStyle w:val="45"/>
              <w:bidi w:val="0"/>
            </w:pPr>
            <w:r>
              <w:rPr>
                <w:rFonts w:hint="eastAsia"/>
                <w:lang w:val="en-US" w:eastAsia="zh-CN"/>
              </w:rPr>
              <w:t>0.235826</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B9ABE3">
            <w:pPr>
              <w:pStyle w:val="45"/>
              <w:bidi w:val="0"/>
            </w:pPr>
            <w:r>
              <w:rPr>
                <w:rFonts w:hint="eastAsia"/>
                <w:lang w:val="en-US" w:eastAsia="zh-CN"/>
              </w:rPr>
              <w:t>26.2</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A64528">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FE644">
            <w:pPr>
              <w:pStyle w:val="45"/>
              <w:bidi w:val="0"/>
            </w:pPr>
            <w:r>
              <w:rPr>
                <w:rFonts w:hint="eastAsia"/>
                <w:lang w:val="en-US" w:eastAsia="zh-CN"/>
              </w:rPr>
              <w:t>22120620</w:t>
            </w:r>
          </w:p>
        </w:tc>
      </w:tr>
      <w:tr w14:paraId="20A146C1">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23C84B">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600DCE">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友爱村</w:t>
            </w:r>
          </w:p>
        </w:tc>
        <w:tc>
          <w:tcPr>
            <w:tcW w:w="1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6754B7">
            <w:pPr>
              <w:pStyle w:val="45"/>
              <w:bidi w:val="0"/>
            </w:pPr>
            <w:r>
              <w:rPr>
                <w:rFonts w:hint="eastAsia"/>
                <w:lang w:val="en-US" w:eastAsia="zh-CN"/>
              </w:rPr>
              <w:t>0.9</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FDE6DB">
            <w:pPr>
              <w:pStyle w:val="45"/>
              <w:bidi w:val="0"/>
            </w:pPr>
            <w:r>
              <w:rPr>
                <w:rFonts w:hint="eastAsia"/>
                <w:lang w:val="en-US" w:eastAsia="zh-CN"/>
              </w:rPr>
              <w:t>0.151254</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899033">
            <w:pPr>
              <w:pStyle w:val="45"/>
              <w:bidi w:val="0"/>
            </w:pPr>
            <w:r>
              <w:rPr>
                <w:rFonts w:hint="eastAsia"/>
                <w:lang w:val="en-US" w:eastAsia="zh-CN"/>
              </w:rPr>
              <w:t>16.81</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D35FBC">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2D3FA">
            <w:pPr>
              <w:pStyle w:val="45"/>
              <w:bidi w:val="0"/>
            </w:pPr>
            <w:r>
              <w:rPr>
                <w:rFonts w:hint="eastAsia"/>
                <w:lang w:val="en-US" w:eastAsia="zh-CN"/>
              </w:rPr>
              <w:t>22020224</w:t>
            </w:r>
          </w:p>
        </w:tc>
      </w:tr>
      <w:tr w14:paraId="10E32DEC">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D3F436">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99C8CA">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江霞村</w:t>
            </w:r>
          </w:p>
        </w:tc>
        <w:tc>
          <w:tcPr>
            <w:tcW w:w="1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3DFBB7">
            <w:pPr>
              <w:pStyle w:val="45"/>
              <w:bidi w:val="0"/>
            </w:pPr>
            <w:r>
              <w:rPr>
                <w:rFonts w:hint="eastAsia"/>
                <w:lang w:val="en-US" w:eastAsia="zh-CN"/>
              </w:rPr>
              <w:t>0.9</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FB0B2A">
            <w:pPr>
              <w:pStyle w:val="45"/>
              <w:bidi w:val="0"/>
            </w:pPr>
            <w:r>
              <w:rPr>
                <w:rFonts w:hint="eastAsia"/>
                <w:lang w:val="en-US" w:eastAsia="zh-CN"/>
              </w:rPr>
              <w:t>0.178202</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5D15BC">
            <w:pPr>
              <w:pStyle w:val="45"/>
              <w:bidi w:val="0"/>
            </w:pPr>
            <w:r>
              <w:rPr>
                <w:rFonts w:hint="eastAsia"/>
                <w:lang w:val="en-US" w:eastAsia="zh-CN"/>
              </w:rPr>
              <w:t>19.8</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B39C49">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ADA837">
            <w:pPr>
              <w:pStyle w:val="45"/>
              <w:bidi w:val="0"/>
            </w:pPr>
            <w:r>
              <w:rPr>
                <w:rFonts w:hint="eastAsia"/>
                <w:lang w:val="en-US" w:eastAsia="zh-CN"/>
              </w:rPr>
              <w:t>22120708</w:t>
            </w:r>
          </w:p>
        </w:tc>
      </w:tr>
      <w:tr w14:paraId="1DD36A5F">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B877DF">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3E1DFE">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金兰村</w:t>
            </w:r>
          </w:p>
        </w:tc>
        <w:tc>
          <w:tcPr>
            <w:tcW w:w="1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C26B0C">
            <w:pPr>
              <w:pStyle w:val="45"/>
              <w:bidi w:val="0"/>
            </w:pPr>
            <w:r>
              <w:rPr>
                <w:rFonts w:hint="eastAsia"/>
                <w:lang w:val="en-US" w:eastAsia="zh-CN"/>
              </w:rPr>
              <w:t>0.9</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78296C">
            <w:pPr>
              <w:pStyle w:val="45"/>
              <w:bidi w:val="0"/>
            </w:pPr>
            <w:r>
              <w:rPr>
                <w:rFonts w:hint="eastAsia"/>
                <w:lang w:val="en-US" w:eastAsia="zh-CN"/>
              </w:rPr>
              <w:t>0.206067</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A368D2">
            <w:pPr>
              <w:pStyle w:val="45"/>
              <w:bidi w:val="0"/>
            </w:pPr>
            <w:r>
              <w:rPr>
                <w:rFonts w:hint="eastAsia"/>
                <w:lang w:val="en-US" w:eastAsia="zh-CN"/>
              </w:rPr>
              <w:t>22.9</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8E7177">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AF11B">
            <w:pPr>
              <w:pStyle w:val="45"/>
              <w:bidi w:val="0"/>
            </w:pPr>
            <w:r>
              <w:rPr>
                <w:rFonts w:hint="eastAsia"/>
                <w:lang w:val="en-US" w:eastAsia="zh-CN"/>
              </w:rPr>
              <w:t>22020406</w:t>
            </w:r>
          </w:p>
        </w:tc>
      </w:tr>
      <w:tr w14:paraId="647A0241">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3ADE49">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DDD786">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大昌村</w:t>
            </w:r>
          </w:p>
        </w:tc>
        <w:tc>
          <w:tcPr>
            <w:tcW w:w="1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DE73B2">
            <w:pPr>
              <w:pStyle w:val="45"/>
              <w:bidi w:val="0"/>
            </w:pPr>
            <w:r>
              <w:rPr>
                <w:rFonts w:hint="eastAsia"/>
                <w:lang w:val="en-US" w:eastAsia="zh-CN"/>
              </w:rPr>
              <w:t>0.9</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D7CCB0">
            <w:pPr>
              <w:pStyle w:val="45"/>
              <w:bidi w:val="0"/>
            </w:pPr>
            <w:r>
              <w:rPr>
                <w:rFonts w:hint="eastAsia"/>
                <w:lang w:val="en-US" w:eastAsia="zh-CN"/>
              </w:rPr>
              <w:t>0.199861</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A5F339">
            <w:pPr>
              <w:pStyle w:val="45"/>
              <w:bidi w:val="0"/>
            </w:pPr>
            <w:r>
              <w:rPr>
                <w:rFonts w:hint="eastAsia"/>
                <w:lang w:val="en-US" w:eastAsia="zh-CN"/>
              </w:rPr>
              <w:t>22.21</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927329">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94BE3">
            <w:pPr>
              <w:pStyle w:val="45"/>
              <w:bidi w:val="0"/>
            </w:pPr>
            <w:r>
              <w:rPr>
                <w:rFonts w:hint="eastAsia"/>
                <w:lang w:val="en-US" w:eastAsia="zh-CN"/>
              </w:rPr>
              <w:t>22020401</w:t>
            </w:r>
          </w:p>
        </w:tc>
      </w:tr>
      <w:tr w14:paraId="3D041B2B">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860F8A">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5C5E73">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区域最大落地浓度坐标（-250,350）厂界外</w:t>
            </w:r>
          </w:p>
        </w:tc>
        <w:tc>
          <w:tcPr>
            <w:tcW w:w="1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6E0DF">
            <w:pPr>
              <w:pStyle w:val="45"/>
              <w:bidi w:val="0"/>
            </w:pPr>
            <w:r>
              <w:rPr>
                <w:rFonts w:hint="eastAsia"/>
                <w:lang w:val="en-US" w:eastAsia="zh-CN"/>
              </w:rPr>
              <w:t>0.9</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44A9B1">
            <w:pPr>
              <w:pStyle w:val="45"/>
              <w:bidi w:val="0"/>
            </w:pPr>
            <w:r>
              <w:rPr>
                <w:rFonts w:hint="eastAsia"/>
                <w:lang w:val="en-US" w:eastAsia="zh-CN"/>
              </w:rPr>
              <w:t>2.908503</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C85CB4">
            <w:pPr>
              <w:pStyle w:val="45"/>
              <w:bidi w:val="0"/>
            </w:pPr>
            <w:r>
              <w:rPr>
                <w:rFonts w:hint="eastAsia"/>
                <w:lang w:val="en-US" w:eastAsia="zh-CN"/>
              </w:rPr>
              <w:t>323.17</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13CC78">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不达标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C85F7">
            <w:pPr>
              <w:pStyle w:val="45"/>
              <w:bidi w:val="0"/>
            </w:pPr>
            <w:r>
              <w:rPr>
                <w:rFonts w:hint="eastAsia"/>
                <w:lang w:val="en-US" w:eastAsia="zh-CN"/>
              </w:rPr>
              <w:t>22030123</w:t>
            </w:r>
          </w:p>
        </w:tc>
      </w:tr>
      <w:tr w14:paraId="1AE0933C">
        <w:tblPrEx>
          <w:tblCellMar>
            <w:top w:w="0" w:type="dxa"/>
            <w:left w:w="108" w:type="dxa"/>
            <w:bottom w:w="0" w:type="dxa"/>
            <w:right w:w="108" w:type="dxa"/>
          </w:tblCellMar>
        </w:tblPrEx>
        <w:trPr>
          <w:trHeight w:val="170" w:hRule="atLeast"/>
        </w:trPr>
        <w:tc>
          <w:tcPr>
            <w:tcW w:w="71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FC0CA9D">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氯气（Cl</w:t>
            </w:r>
            <w:r>
              <w:rPr>
                <w:rFonts w:hint="eastAsia" w:cs="宋体"/>
                <w:color w:val="000000"/>
                <w:kern w:val="0"/>
                <w:sz w:val="21"/>
                <w:szCs w:val="22"/>
                <w:vertAlign w:val="subscript"/>
              </w:rPr>
              <w:t>2</w:t>
            </w:r>
            <w:r>
              <w:rPr>
                <w:rFonts w:hint="eastAsia" w:cs="宋体"/>
                <w:color w:val="000000"/>
                <w:kern w:val="0"/>
                <w:sz w:val="21"/>
                <w:szCs w:val="22"/>
              </w:rPr>
              <w:t>）</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A2437E">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新安村</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DD1E40">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0.1</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C622CF">
            <w:pPr>
              <w:pStyle w:val="45"/>
              <w:bidi w:val="0"/>
            </w:pPr>
            <w:r>
              <w:rPr>
                <w:rFonts w:hint="eastAsia"/>
                <w:lang w:val="en-US" w:eastAsia="zh-CN"/>
              </w:rPr>
              <w:t>0.013602</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9BE669">
            <w:pPr>
              <w:pStyle w:val="45"/>
              <w:bidi w:val="0"/>
            </w:pPr>
            <w:r>
              <w:rPr>
                <w:rFonts w:hint="eastAsia"/>
                <w:lang w:val="en-US" w:eastAsia="zh-CN"/>
              </w:rPr>
              <w:t>13.6</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3C267F">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CEE33C">
            <w:pPr>
              <w:pStyle w:val="45"/>
              <w:bidi w:val="0"/>
            </w:pPr>
            <w:r>
              <w:rPr>
                <w:rFonts w:hint="eastAsia"/>
                <w:lang w:val="en-US" w:eastAsia="zh-CN"/>
              </w:rPr>
              <w:t>22050607</w:t>
            </w:r>
          </w:p>
        </w:tc>
      </w:tr>
      <w:tr w14:paraId="4700B9E0">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444359">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2F79D1">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松木村</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281D36">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0.1</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153E9F">
            <w:pPr>
              <w:pStyle w:val="45"/>
              <w:bidi w:val="0"/>
            </w:pPr>
            <w:r>
              <w:rPr>
                <w:rFonts w:hint="eastAsia"/>
                <w:lang w:val="en-US" w:eastAsia="zh-CN"/>
              </w:rPr>
              <w:t>0.018153</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C18A89">
            <w:pPr>
              <w:pStyle w:val="45"/>
              <w:bidi w:val="0"/>
            </w:pPr>
            <w:r>
              <w:rPr>
                <w:rFonts w:hint="eastAsia"/>
                <w:lang w:val="en-US" w:eastAsia="zh-CN"/>
              </w:rPr>
              <w:t>18.15</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78FD6C">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1F0585">
            <w:pPr>
              <w:pStyle w:val="45"/>
              <w:bidi w:val="0"/>
            </w:pPr>
            <w:r>
              <w:rPr>
                <w:rFonts w:hint="eastAsia"/>
                <w:lang w:val="en-US" w:eastAsia="zh-CN"/>
              </w:rPr>
              <w:t>22040623</w:t>
            </w:r>
          </w:p>
        </w:tc>
      </w:tr>
      <w:tr w14:paraId="0540BE24">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A2C5C9">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D41561">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金源小学</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69F65C">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0.1</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596EB2">
            <w:pPr>
              <w:pStyle w:val="45"/>
              <w:bidi w:val="0"/>
            </w:pPr>
            <w:r>
              <w:rPr>
                <w:rFonts w:hint="eastAsia"/>
                <w:lang w:val="en-US" w:eastAsia="zh-CN"/>
              </w:rPr>
              <w:t>0.017608</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610C84">
            <w:pPr>
              <w:pStyle w:val="45"/>
              <w:bidi w:val="0"/>
            </w:pPr>
            <w:r>
              <w:rPr>
                <w:rFonts w:hint="eastAsia"/>
                <w:lang w:val="en-US" w:eastAsia="zh-CN"/>
              </w:rPr>
              <w:t>17.61</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9CD5C1">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79D0A1">
            <w:pPr>
              <w:pStyle w:val="45"/>
              <w:bidi w:val="0"/>
            </w:pPr>
            <w:r>
              <w:rPr>
                <w:rFonts w:hint="eastAsia"/>
                <w:lang w:val="en-US" w:eastAsia="zh-CN"/>
              </w:rPr>
              <w:t>22030907</w:t>
            </w:r>
          </w:p>
        </w:tc>
      </w:tr>
      <w:tr w14:paraId="41885E35">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BF128E">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ED3843">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金源社区安置房</w:t>
            </w:r>
            <w:r>
              <w:rPr>
                <w:rFonts w:cs="Times New Roman"/>
                <w:color w:val="000000"/>
                <w:kern w:val="0"/>
                <w:sz w:val="21"/>
                <w:szCs w:val="21"/>
              </w:rPr>
              <w:t>2</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98C0EE">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0.1</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1B9A71">
            <w:pPr>
              <w:pStyle w:val="45"/>
              <w:bidi w:val="0"/>
            </w:pPr>
            <w:r>
              <w:rPr>
                <w:rFonts w:hint="eastAsia"/>
                <w:lang w:val="en-US" w:eastAsia="zh-CN"/>
              </w:rPr>
              <w:t>0.018692</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3D7818">
            <w:pPr>
              <w:pStyle w:val="45"/>
              <w:bidi w:val="0"/>
            </w:pPr>
            <w:r>
              <w:rPr>
                <w:rFonts w:hint="eastAsia"/>
                <w:lang w:val="en-US" w:eastAsia="zh-CN"/>
              </w:rPr>
              <w:t>18.69</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574294">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0EC36E">
            <w:pPr>
              <w:pStyle w:val="45"/>
              <w:bidi w:val="0"/>
            </w:pPr>
            <w:r>
              <w:rPr>
                <w:rFonts w:hint="eastAsia"/>
                <w:lang w:val="en-US" w:eastAsia="zh-CN"/>
              </w:rPr>
              <w:t>22060102</w:t>
            </w:r>
          </w:p>
        </w:tc>
      </w:tr>
      <w:tr w14:paraId="39AB7F3A">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49AA82">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3F5232">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金源社区医院</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0832EB">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0.1</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C35B22">
            <w:pPr>
              <w:pStyle w:val="45"/>
              <w:bidi w:val="0"/>
            </w:pPr>
            <w:r>
              <w:rPr>
                <w:rFonts w:hint="eastAsia"/>
                <w:lang w:val="en-US" w:eastAsia="zh-CN"/>
              </w:rPr>
              <w:t>0.016167</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F0204">
            <w:pPr>
              <w:pStyle w:val="45"/>
              <w:bidi w:val="0"/>
            </w:pPr>
            <w:r>
              <w:rPr>
                <w:rFonts w:hint="eastAsia"/>
                <w:lang w:val="en-US" w:eastAsia="zh-CN"/>
              </w:rPr>
              <w:t>16.17</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D476C7">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5EDC06">
            <w:pPr>
              <w:pStyle w:val="45"/>
              <w:bidi w:val="0"/>
            </w:pPr>
            <w:r>
              <w:rPr>
                <w:rFonts w:hint="eastAsia"/>
                <w:lang w:val="en-US" w:eastAsia="zh-CN"/>
              </w:rPr>
              <w:t>22010209</w:t>
            </w:r>
          </w:p>
        </w:tc>
      </w:tr>
      <w:tr w14:paraId="0815CB5E">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60F9CC">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1EAE45">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金源社区安置房</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3EE1C8">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0.1</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4CF189">
            <w:pPr>
              <w:pStyle w:val="45"/>
              <w:bidi w:val="0"/>
            </w:pPr>
            <w:r>
              <w:rPr>
                <w:rFonts w:hint="eastAsia"/>
                <w:lang w:val="en-US" w:eastAsia="zh-CN"/>
              </w:rPr>
              <w:t>0.01264</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E11848">
            <w:pPr>
              <w:pStyle w:val="45"/>
              <w:bidi w:val="0"/>
            </w:pPr>
            <w:r>
              <w:rPr>
                <w:rFonts w:hint="eastAsia"/>
                <w:lang w:val="en-US" w:eastAsia="zh-CN"/>
              </w:rPr>
              <w:t>12.64</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047FC0">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47233">
            <w:pPr>
              <w:pStyle w:val="45"/>
              <w:bidi w:val="0"/>
            </w:pPr>
            <w:r>
              <w:rPr>
                <w:rFonts w:hint="eastAsia"/>
                <w:lang w:val="en-US" w:eastAsia="zh-CN"/>
              </w:rPr>
              <w:t>22010209</w:t>
            </w:r>
          </w:p>
        </w:tc>
      </w:tr>
      <w:tr w14:paraId="1873F655">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9F8923">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C9ACD7">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湖南工商职业学院</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D9E8CE">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0.1</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0B803F">
            <w:pPr>
              <w:pStyle w:val="45"/>
              <w:bidi w:val="0"/>
            </w:pPr>
            <w:r>
              <w:rPr>
                <w:rFonts w:hint="eastAsia"/>
                <w:lang w:val="en-US" w:eastAsia="zh-CN"/>
              </w:rPr>
              <w:t>0.01163</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B880ED">
            <w:pPr>
              <w:pStyle w:val="45"/>
              <w:bidi w:val="0"/>
            </w:pPr>
            <w:r>
              <w:rPr>
                <w:rFonts w:hint="eastAsia"/>
                <w:lang w:val="en-US" w:eastAsia="zh-CN"/>
              </w:rPr>
              <w:t>11.63</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450BA9">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A75BC1">
            <w:pPr>
              <w:pStyle w:val="45"/>
              <w:bidi w:val="0"/>
            </w:pPr>
            <w:r>
              <w:rPr>
                <w:rFonts w:hint="eastAsia"/>
                <w:lang w:val="en-US" w:eastAsia="zh-CN"/>
              </w:rPr>
              <w:t>22031208</w:t>
            </w:r>
          </w:p>
        </w:tc>
      </w:tr>
      <w:tr w14:paraId="7E2C405D">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FBC24C">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F42918">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园区管委会</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27696A">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0.1</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AB9619">
            <w:pPr>
              <w:pStyle w:val="45"/>
              <w:bidi w:val="0"/>
            </w:pPr>
            <w:r>
              <w:rPr>
                <w:rFonts w:hint="eastAsia"/>
                <w:lang w:val="en-US" w:eastAsia="zh-CN"/>
              </w:rPr>
              <w:t>0.036308</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38A114">
            <w:pPr>
              <w:pStyle w:val="45"/>
              <w:bidi w:val="0"/>
            </w:pPr>
            <w:r>
              <w:rPr>
                <w:rFonts w:hint="eastAsia"/>
                <w:lang w:val="en-US" w:eastAsia="zh-CN"/>
              </w:rPr>
              <w:t>36.31</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946810">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79813E">
            <w:pPr>
              <w:pStyle w:val="45"/>
              <w:bidi w:val="0"/>
            </w:pPr>
            <w:r>
              <w:rPr>
                <w:rFonts w:hint="eastAsia"/>
                <w:lang w:val="en-US" w:eastAsia="zh-CN"/>
              </w:rPr>
              <w:t>22091121</w:t>
            </w:r>
          </w:p>
        </w:tc>
      </w:tr>
      <w:tr w14:paraId="0C6BBFA8">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AFC9E1">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C268C7">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松木中学</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A02659">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0.1</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A3A93F">
            <w:pPr>
              <w:pStyle w:val="45"/>
              <w:bidi w:val="0"/>
            </w:pPr>
            <w:r>
              <w:rPr>
                <w:rFonts w:hint="eastAsia"/>
                <w:lang w:val="en-US" w:eastAsia="zh-CN"/>
              </w:rPr>
              <w:t>0.014637</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388738">
            <w:pPr>
              <w:pStyle w:val="45"/>
              <w:bidi w:val="0"/>
            </w:pPr>
            <w:r>
              <w:rPr>
                <w:rFonts w:hint="eastAsia"/>
                <w:lang w:val="en-US" w:eastAsia="zh-CN"/>
              </w:rPr>
              <w:t>14.64</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61E1A3">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B884BC">
            <w:pPr>
              <w:pStyle w:val="45"/>
              <w:bidi w:val="0"/>
            </w:pPr>
            <w:r>
              <w:rPr>
                <w:rFonts w:hint="eastAsia"/>
                <w:lang w:val="en-US" w:eastAsia="zh-CN"/>
              </w:rPr>
              <w:t>22031208</w:t>
            </w:r>
          </w:p>
        </w:tc>
      </w:tr>
      <w:tr w14:paraId="3CC35104">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772C1E">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3070FD">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松木村</w:t>
            </w:r>
            <w:r>
              <w:rPr>
                <w:rFonts w:cs="Times New Roman"/>
                <w:color w:val="000000"/>
                <w:kern w:val="0"/>
                <w:sz w:val="21"/>
                <w:szCs w:val="21"/>
              </w:rPr>
              <w:t>2</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8915B5">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0.1</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3FEB7A">
            <w:pPr>
              <w:pStyle w:val="45"/>
              <w:bidi w:val="0"/>
            </w:pPr>
            <w:r>
              <w:rPr>
                <w:rFonts w:hint="eastAsia"/>
                <w:lang w:val="en-US" w:eastAsia="zh-CN"/>
              </w:rPr>
              <w:t>0.083562</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B2575D">
            <w:pPr>
              <w:pStyle w:val="45"/>
              <w:bidi w:val="0"/>
            </w:pPr>
            <w:r>
              <w:rPr>
                <w:rFonts w:hint="eastAsia"/>
                <w:lang w:val="en-US" w:eastAsia="zh-CN"/>
              </w:rPr>
              <w:t>83.56</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DA3446">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E33FFA">
            <w:pPr>
              <w:pStyle w:val="45"/>
              <w:bidi w:val="0"/>
            </w:pPr>
            <w:r>
              <w:rPr>
                <w:rFonts w:hint="eastAsia"/>
                <w:lang w:val="en-US" w:eastAsia="zh-CN"/>
              </w:rPr>
              <w:t>22091121</w:t>
            </w:r>
          </w:p>
        </w:tc>
      </w:tr>
      <w:tr w14:paraId="2DD72EFD">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5B392F">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DDB94B">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园区安置房</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CBF7D5">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0.1</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5D380F">
            <w:pPr>
              <w:pStyle w:val="45"/>
              <w:bidi w:val="0"/>
            </w:pPr>
            <w:r>
              <w:rPr>
                <w:rFonts w:hint="eastAsia"/>
                <w:lang w:val="en-US" w:eastAsia="zh-CN"/>
              </w:rPr>
              <w:t>0.083331</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419E2C">
            <w:pPr>
              <w:pStyle w:val="45"/>
              <w:bidi w:val="0"/>
            </w:pPr>
            <w:r>
              <w:rPr>
                <w:rFonts w:hint="eastAsia"/>
                <w:lang w:val="en-US" w:eastAsia="zh-CN"/>
              </w:rPr>
              <w:t>83.33</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F7792F">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717055">
            <w:pPr>
              <w:pStyle w:val="45"/>
              <w:bidi w:val="0"/>
            </w:pPr>
            <w:r>
              <w:rPr>
                <w:rFonts w:hint="eastAsia"/>
                <w:lang w:val="en-US" w:eastAsia="zh-CN"/>
              </w:rPr>
              <w:t>22042002</w:t>
            </w:r>
          </w:p>
        </w:tc>
      </w:tr>
      <w:tr w14:paraId="30E951C8">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6D73CB">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5A7522">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友谊村</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9D1F2B">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0.1</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BCFFE">
            <w:pPr>
              <w:pStyle w:val="45"/>
              <w:bidi w:val="0"/>
            </w:pPr>
            <w:r>
              <w:rPr>
                <w:rFonts w:hint="eastAsia"/>
                <w:lang w:val="en-US" w:eastAsia="zh-CN"/>
              </w:rPr>
              <w:t>0.018884</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03CB54">
            <w:pPr>
              <w:pStyle w:val="45"/>
              <w:bidi w:val="0"/>
            </w:pPr>
            <w:r>
              <w:rPr>
                <w:rFonts w:hint="eastAsia"/>
                <w:lang w:val="en-US" w:eastAsia="zh-CN"/>
              </w:rPr>
              <w:t>18.88</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B599C3">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8556C4">
            <w:pPr>
              <w:pStyle w:val="45"/>
              <w:bidi w:val="0"/>
            </w:pPr>
            <w:r>
              <w:rPr>
                <w:rFonts w:hint="eastAsia"/>
                <w:lang w:val="en-US" w:eastAsia="zh-CN"/>
              </w:rPr>
              <w:t>22021709</w:t>
            </w:r>
          </w:p>
        </w:tc>
      </w:tr>
      <w:tr w14:paraId="32EC9117">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969544">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A6DA50">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龙谊村</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CC2371">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0.1</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1549B4">
            <w:pPr>
              <w:pStyle w:val="45"/>
              <w:bidi w:val="0"/>
            </w:pPr>
            <w:r>
              <w:rPr>
                <w:rFonts w:hint="eastAsia"/>
                <w:lang w:val="en-US" w:eastAsia="zh-CN"/>
              </w:rPr>
              <w:t>0.014228</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623926">
            <w:pPr>
              <w:pStyle w:val="45"/>
              <w:bidi w:val="0"/>
            </w:pPr>
            <w:r>
              <w:rPr>
                <w:rFonts w:hint="eastAsia"/>
                <w:lang w:val="en-US" w:eastAsia="zh-CN"/>
              </w:rPr>
              <w:t>14.23</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CBCC67">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BC2CA0">
            <w:pPr>
              <w:pStyle w:val="45"/>
              <w:bidi w:val="0"/>
            </w:pPr>
            <w:r>
              <w:rPr>
                <w:rFonts w:hint="eastAsia"/>
                <w:lang w:val="en-US" w:eastAsia="zh-CN"/>
              </w:rPr>
              <w:t>22020109</w:t>
            </w:r>
          </w:p>
        </w:tc>
      </w:tr>
      <w:tr w14:paraId="0E055211">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55D890">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D269EE">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友爱村</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1EFF61">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0.1</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9578E4">
            <w:pPr>
              <w:pStyle w:val="45"/>
              <w:bidi w:val="0"/>
            </w:pPr>
            <w:r>
              <w:rPr>
                <w:rFonts w:hint="eastAsia"/>
                <w:lang w:val="en-US" w:eastAsia="zh-CN"/>
              </w:rPr>
              <w:t>0.012717</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A4047E">
            <w:pPr>
              <w:pStyle w:val="45"/>
              <w:bidi w:val="0"/>
            </w:pPr>
            <w:r>
              <w:rPr>
                <w:rFonts w:hint="eastAsia"/>
                <w:lang w:val="en-US" w:eastAsia="zh-CN"/>
              </w:rPr>
              <w:t>12.72</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724695">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709BD3">
            <w:pPr>
              <w:pStyle w:val="45"/>
              <w:bidi w:val="0"/>
            </w:pPr>
            <w:r>
              <w:rPr>
                <w:rFonts w:hint="eastAsia"/>
                <w:lang w:val="en-US" w:eastAsia="zh-CN"/>
              </w:rPr>
              <w:t>22052407</w:t>
            </w:r>
          </w:p>
        </w:tc>
      </w:tr>
      <w:tr w14:paraId="50BD57DD">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B88BAA">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797120">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江霞村</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FB3C8C">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0.1</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6378B7">
            <w:pPr>
              <w:pStyle w:val="45"/>
              <w:bidi w:val="0"/>
            </w:pPr>
            <w:r>
              <w:rPr>
                <w:rFonts w:hint="eastAsia"/>
                <w:lang w:val="en-US" w:eastAsia="zh-CN"/>
              </w:rPr>
              <w:t>0.01193</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85BE0A">
            <w:pPr>
              <w:pStyle w:val="45"/>
              <w:bidi w:val="0"/>
            </w:pPr>
            <w:r>
              <w:rPr>
                <w:rFonts w:hint="eastAsia"/>
                <w:lang w:val="en-US" w:eastAsia="zh-CN"/>
              </w:rPr>
              <w:t>11.93</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144DF4">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39624B">
            <w:pPr>
              <w:pStyle w:val="45"/>
              <w:bidi w:val="0"/>
            </w:pPr>
            <w:r>
              <w:rPr>
                <w:rFonts w:hint="eastAsia"/>
                <w:lang w:val="en-US" w:eastAsia="zh-CN"/>
              </w:rPr>
              <w:t>22102907</w:t>
            </w:r>
          </w:p>
        </w:tc>
      </w:tr>
      <w:tr w14:paraId="2D2C2D33">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757DBC">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37ED44">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金兰村</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E85794">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0.1</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2881D0">
            <w:pPr>
              <w:pStyle w:val="45"/>
              <w:bidi w:val="0"/>
            </w:pPr>
            <w:r>
              <w:rPr>
                <w:rFonts w:hint="eastAsia"/>
                <w:lang w:val="en-US" w:eastAsia="zh-CN"/>
              </w:rPr>
              <w:t>0.007821</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A9A932">
            <w:pPr>
              <w:pStyle w:val="45"/>
              <w:bidi w:val="0"/>
            </w:pPr>
            <w:r>
              <w:rPr>
                <w:rFonts w:hint="eastAsia"/>
                <w:lang w:val="en-US" w:eastAsia="zh-CN"/>
              </w:rPr>
              <w:t>7.82</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82AF73">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A28291">
            <w:pPr>
              <w:pStyle w:val="45"/>
              <w:bidi w:val="0"/>
            </w:pPr>
            <w:r>
              <w:rPr>
                <w:rFonts w:hint="eastAsia"/>
                <w:lang w:val="en-US" w:eastAsia="zh-CN"/>
              </w:rPr>
              <w:t>22012803</w:t>
            </w:r>
          </w:p>
        </w:tc>
      </w:tr>
      <w:tr w14:paraId="4D8D9B16">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B92A62">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F3B462">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大昌村</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05776E">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0.1</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C137F5">
            <w:pPr>
              <w:pStyle w:val="45"/>
              <w:bidi w:val="0"/>
            </w:pPr>
            <w:r>
              <w:rPr>
                <w:rFonts w:hint="eastAsia"/>
                <w:lang w:val="en-US" w:eastAsia="zh-CN"/>
              </w:rPr>
              <w:t>0.008921</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FA933F">
            <w:pPr>
              <w:pStyle w:val="45"/>
              <w:bidi w:val="0"/>
            </w:pPr>
            <w:r>
              <w:rPr>
                <w:rFonts w:hint="eastAsia"/>
                <w:lang w:val="en-US" w:eastAsia="zh-CN"/>
              </w:rPr>
              <w:t>8.92</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E8EE61">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C61E29">
            <w:pPr>
              <w:pStyle w:val="45"/>
              <w:bidi w:val="0"/>
            </w:pPr>
            <w:r>
              <w:rPr>
                <w:rFonts w:hint="eastAsia"/>
                <w:lang w:val="en-US" w:eastAsia="zh-CN"/>
              </w:rPr>
              <w:t>22061020</w:t>
            </w:r>
          </w:p>
        </w:tc>
      </w:tr>
      <w:tr w14:paraId="1CA2C36C">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92D151">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17CA1D">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区域最大落地浓度坐标（-750，-150）厂界外</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CEBF8C">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0.1</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67C6F6">
            <w:pPr>
              <w:pStyle w:val="45"/>
              <w:bidi w:val="0"/>
            </w:pPr>
            <w:r>
              <w:rPr>
                <w:rFonts w:hint="eastAsia"/>
                <w:lang w:val="en-US" w:eastAsia="zh-CN"/>
              </w:rPr>
              <w:t>0.434233</w:t>
            </w:r>
          </w:p>
        </w:tc>
        <w:tc>
          <w:tcPr>
            <w:tcW w:w="19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784C4">
            <w:pPr>
              <w:pStyle w:val="45"/>
              <w:bidi w:val="0"/>
            </w:pPr>
            <w:r>
              <w:rPr>
                <w:rFonts w:hint="eastAsia"/>
                <w:lang w:val="en-US" w:eastAsia="zh-CN"/>
              </w:rPr>
              <w:t>434.23</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7E3729">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不达标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16C8D1">
            <w:pPr>
              <w:pStyle w:val="45"/>
              <w:bidi w:val="0"/>
            </w:pPr>
            <w:r>
              <w:rPr>
                <w:rFonts w:hint="eastAsia"/>
                <w:lang w:val="en-US" w:eastAsia="zh-CN"/>
              </w:rPr>
              <w:t>22091121</w:t>
            </w:r>
          </w:p>
        </w:tc>
      </w:tr>
      <w:tr w14:paraId="510B5641">
        <w:tblPrEx>
          <w:tblCellMar>
            <w:top w:w="0" w:type="dxa"/>
            <w:left w:w="108" w:type="dxa"/>
            <w:bottom w:w="0" w:type="dxa"/>
            <w:right w:w="108" w:type="dxa"/>
          </w:tblCellMar>
        </w:tblPrEx>
        <w:trPr>
          <w:trHeight w:val="170" w:hRule="atLeast"/>
        </w:trPr>
        <w:tc>
          <w:tcPr>
            <w:tcW w:w="71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6ECC3A0">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氯化氢（HCl）</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5DCC9F">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新安村</w:t>
            </w:r>
          </w:p>
        </w:tc>
        <w:tc>
          <w:tcPr>
            <w:tcW w:w="6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AC361">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6E0F3">
            <w:pPr>
              <w:pStyle w:val="45"/>
              <w:bidi w:val="0"/>
            </w:pPr>
            <w:r>
              <w:rPr>
                <w:rFonts w:hint="eastAsia"/>
                <w:lang w:val="en-US" w:eastAsia="zh-CN"/>
              </w:rPr>
              <w:t>0.01458</w:t>
            </w:r>
          </w:p>
        </w:tc>
        <w:tc>
          <w:tcPr>
            <w:tcW w:w="1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8DA6C1">
            <w:pPr>
              <w:pStyle w:val="45"/>
              <w:bidi w:val="0"/>
            </w:pPr>
            <w:r>
              <w:rPr>
                <w:rFonts w:hint="eastAsia"/>
                <w:lang w:val="en-US" w:eastAsia="zh-CN"/>
              </w:rPr>
              <w:t>29.16</w:t>
            </w:r>
          </w:p>
        </w:tc>
        <w:tc>
          <w:tcPr>
            <w:tcW w:w="1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5F052F">
            <w:pPr>
              <w:pStyle w:val="45"/>
              <w:bidi w:val="0"/>
            </w:pPr>
            <w:r>
              <w:rPr>
                <w:rFonts w:hint="eastAsia"/>
                <w:lang w:val="en-US" w:eastAsia="zh-CN"/>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7E123F">
            <w:pPr>
              <w:pStyle w:val="45"/>
              <w:bidi w:val="0"/>
            </w:pPr>
            <w:r>
              <w:rPr>
                <w:rFonts w:hint="eastAsia"/>
                <w:lang w:val="en-US" w:eastAsia="zh-CN"/>
              </w:rPr>
              <w:t>22050607</w:t>
            </w:r>
          </w:p>
        </w:tc>
      </w:tr>
      <w:tr w14:paraId="32CD85EC">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6EC173">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684F84">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松木村</w:t>
            </w:r>
          </w:p>
        </w:tc>
        <w:tc>
          <w:tcPr>
            <w:tcW w:w="6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CC936">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B441A">
            <w:pPr>
              <w:pStyle w:val="45"/>
              <w:bidi w:val="0"/>
            </w:pPr>
            <w:r>
              <w:rPr>
                <w:rFonts w:hint="eastAsia"/>
                <w:lang w:val="en-US" w:eastAsia="zh-CN"/>
              </w:rPr>
              <w:t>0.019072</w:t>
            </w:r>
          </w:p>
        </w:tc>
        <w:tc>
          <w:tcPr>
            <w:tcW w:w="1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2A18F">
            <w:pPr>
              <w:pStyle w:val="45"/>
              <w:bidi w:val="0"/>
            </w:pPr>
            <w:r>
              <w:rPr>
                <w:rFonts w:hint="eastAsia"/>
                <w:lang w:val="en-US" w:eastAsia="zh-CN"/>
              </w:rPr>
              <w:t>38.14</w:t>
            </w:r>
          </w:p>
        </w:tc>
        <w:tc>
          <w:tcPr>
            <w:tcW w:w="1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00F13">
            <w:pPr>
              <w:pStyle w:val="45"/>
              <w:bidi w:val="0"/>
            </w:pPr>
            <w:r>
              <w:rPr>
                <w:rFonts w:hint="eastAsia"/>
                <w:lang w:val="en-US" w:eastAsia="zh-CN"/>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972C8">
            <w:pPr>
              <w:pStyle w:val="45"/>
              <w:bidi w:val="0"/>
            </w:pPr>
            <w:r>
              <w:rPr>
                <w:rFonts w:hint="eastAsia"/>
                <w:lang w:val="en-US" w:eastAsia="zh-CN"/>
              </w:rPr>
              <w:t>22040623</w:t>
            </w:r>
          </w:p>
        </w:tc>
      </w:tr>
      <w:tr w14:paraId="3EF8AA45">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A73574">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4B35C0">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金源小学</w:t>
            </w:r>
          </w:p>
        </w:tc>
        <w:tc>
          <w:tcPr>
            <w:tcW w:w="6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75AD3">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41932C">
            <w:pPr>
              <w:pStyle w:val="45"/>
              <w:bidi w:val="0"/>
            </w:pPr>
            <w:r>
              <w:rPr>
                <w:rFonts w:hint="eastAsia"/>
                <w:lang w:val="en-US" w:eastAsia="zh-CN"/>
              </w:rPr>
              <w:t>0.0185</w:t>
            </w:r>
          </w:p>
        </w:tc>
        <w:tc>
          <w:tcPr>
            <w:tcW w:w="1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6664C7">
            <w:pPr>
              <w:pStyle w:val="45"/>
              <w:bidi w:val="0"/>
            </w:pPr>
            <w:r>
              <w:rPr>
                <w:rFonts w:hint="eastAsia"/>
                <w:lang w:val="en-US" w:eastAsia="zh-CN"/>
              </w:rPr>
              <w:t>37</w:t>
            </w:r>
          </w:p>
        </w:tc>
        <w:tc>
          <w:tcPr>
            <w:tcW w:w="1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9002BB">
            <w:pPr>
              <w:pStyle w:val="45"/>
              <w:bidi w:val="0"/>
            </w:pPr>
            <w:r>
              <w:rPr>
                <w:rFonts w:hint="eastAsia"/>
                <w:lang w:val="en-US" w:eastAsia="zh-CN"/>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996A88">
            <w:pPr>
              <w:pStyle w:val="45"/>
              <w:bidi w:val="0"/>
            </w:pPr>
            <w:r>
              <w:rPr>
                <w:rFonts w:hint="eastAsia"/>
                <w:lang w:val="en-US" w:eastAsia="zh-CN"/>
              </w:rPr>
              <w:t>22030907</w:t>
            </w:r>
          </w:p>
        </w:tc>
      </w:tr>
      <w:tr w14:paraId="33B5CACA">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047375">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479C7F">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金源社区安置房</w:t>
            </w:r>
            <w:r>
              <w:rPr>
                <w:rFonts w:cs="Times New Roman"/>
                <w:color w:val="000000"/>
                <w:kern w:val="0"/>
                <w:sz w:val="21"/>
                <w:szCs w:val="21"/>
              </w:rPr>
              <w:t>2</w:t>
            </w:r>
          </w:p>
        </w:tc>
        <w:tc>
          <w:tcPr>
            <w:tcW w:w="6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45718A">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753BB">
            <w:pPr>
              <w:pStyle w:val="45"/>
              <w:bidi w:val="0"/>
            </w:pPr>
            <w:r>
              <w:rPr>
                <w:rFonts w:hint="eastAsia"/>
                <w:lang w:val="en-US" w:eastAsia="zh-CN"/>
              </w:rPr>
              <w:t>0.021195</w:t>
            </w:r>
          </w:p>
        </w:tc>
        <w:tc>
          <w:tcPr>
            <w:tcW w:w="1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2C398">
            <w:pPr>
              <w:pStyle w:val="45"/>
              <w:bidi w:val="0"/>
            </w:pPr>
            <w:r>
              <w:rPr>
                <w:rFonts w:hint="eastAsia"/>
                <w:lang w:val="en-US" w:eastAsia="zh-CN"/>
              </w:rPr>
              <w:t>42.39</w:t>
            </w:r>
          </w:p>
        </w:tc>
        <w:tc>
          <w:tcPr>
            <w:tcW w:w="1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D31E70">
            <w:pPr>
              <w:pStyle w:val="45"/>
              <w:bidi w:val="0"/>
            </w:pPr>
            <w:r>
              <w:rPr>
                <w:rFonts w:hint="eastAsia"/>
                <w:lang w:val="en-US" w:eastAsia="zh-CN"/>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48695D">
            <w:pPr>
              <w:pStyle w:val="45"/>
              <w:bidi w:val="0"/>
            </w:pPr>
            <w:r>
              <w:rPr>
                <w:rFonts w:hint="eastAsia"/>
                <w:lang w:val="en-US" w:eastAsia="zh-CN"/>
              </w:rPr>
              <w:t>22060102</w:t>
            </w:r>
          </w:p>
        </w:tc>
      </w:tr>
      <w:tr w14:paraId="402019B9">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2DEB2F">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DCFFEA">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金源社区医院</w:t>
            </w:r>
          </w:p>
        </w:tc>
        <w:tc>
          <w:tcPr>
            <w:tcW w:w="6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D9C143">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A1EC4">
            <w:pPr>
              <w:pStyle w:val="45"/>
              <w:bidi w:val="0"/>
            </w:pPr>
            <w:r>
              <w:rPr>
                <w:rFonts w:hint="eastAsia"/>
                <w:lang w:val="en-US" w:eastAsia="zh-CN"/>
              </w:rPr>
              <w:t>0.017401</w:t>
            </w:r>
          </w:p>
        </w:tc>
        <w:tc>
          <w:tcPr>
            <w:tcW w:w="1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1F57AF">
            <w:pPr>
              <w:pStyle w:val="45"/>
              <w:bidi w:val="0"/>
            </w:pPr>
            <w:r>
              <w:rPr>
                <w:rFonts w:hint="eastAsia"/>
                <w:lang w:val="en-US" w:eastAsia="zh-CN"/>
              </w:rPr>
              <w:t>34.8</w:t>
            </w:r>
          </w:p>
        </w:tc>
        <w:tc>
          <w:tcPr>
            <w:tcW w:w="1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90F562">
            <w:pPr>
              <w:pStyle w:val="45"/>
              <w:bidi w:val="0"/>
            </w:pPr>
            <w:r>
              <w:rPr>
                <w:rFonts w:hint="eastAsia"/>
                <w:lang w:val="en-US" w:eastAsia="zh-CN"/>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DB24AD">
            <w:pPr>
              <w:pStyle w:val="45"/>
              <w:bidi w:val="0"/>
            </w:pPr>
            <w:r>
              <w:rPr>
                <w:rFonts w:hint="eastAsia"/>
                <w:lang w:val="en-US" w:eastAsia="zh-CN"/>
              </w:rPr>
              <w:t>22010209</w:t>
            </w:r>
          </w:p>
        </w:tc>
      </w:tr>
      <w:tr w14:paraId="125E4E7A">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D552FA">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375A45">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金源社区安置房</w:t>
            </w:r>
          </w:p>
        </w:tc>
        <w:tc>
          <w:tcPr>
            <w:tcW w:w="6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5D83E3">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7B3C2">
            <w:pPr>
              <w:pStyle w:val="45"/>
              <w:bidi w:val="0"/>
            </w:pPr>
            <w:r>
              <w:rPr>
                <w:rFonts w:hint="eastAsia"/>
                <w:lang w:val="en-US" w:eastAsia="zh-CN"/>
              </w:rPr>
              <w:t>0.013573</w:t>
            </w:r>
          </w:p>
        </w:tc>
        <w:tc>
          <w:tcPr>
            <w:tcW w:w="1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B7BB65">
            <w:pPr>
              <w:pStyle w:val="45"/>
              <w:bidi w:val="0"/>
            </w:pPr>
            <w:r>
              <w:rPr>
                <w:rFonts w:hint="eastAsia"/>
                <w:lang w:val="en-US" w:eastAsia="zh-CN"/>
              </w:rPr>
              <w:t>27.15</w:t>
            </w:r>
          </w:p>
        </w:tc>
        <w:tc>
          <w:tcPr>
            <w:tcW w:w="1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E0B5F8">
            <w:pPr>
              <w:pStyle w:val="45"/>
              <w:bidi w:val="0"/>
            </w:pPr>
            <w:r>
              <w:rPr>
                <w:rFonts w:hint="eastAsia"/>
                <w:lang w:val="en-US" w:eastAsia="zh-CN"/>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500A6">
            <w:pPr>
              <w:pStyle w:val="45"/>
              <w:bidi w:val="0"/>
            </w:pPr>
            <w:r>
              <w:rPr>
                <w:rFonts w:hint="eastAsia"/>
                <w:lang w:val="en-US" w:eastAsia="zh-CN"/>
              </w:rPr>
              <w:t>22010209</w:t>
            </w:r>
          </w:p>
        </w:tc>
      </w:tr>
      <w:tr w14:paraId="18CE3614">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D1B7C3">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8EFEEB">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湖南工商职业学院</w:t>
            </w:r>
          </w:p>
        </w:tc>
        <w:tc>
          <w:tcPr>
            <w:tcW w:w="6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40AC4">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1E2D0">
            <w:pPr>
              <w:pStyle w:val="45"/>
              <w:bidi w:val="0"/>
            </w:pPr>
            <w:r>
              <w:rPr>
                <w:rFonts w:hint="eastAsia"/>
                <w:lang w:val="en-US" w:eastAsia="zh-CN"/>
              </w:rPr>
              <w:t>0.012486</w:t>
            </w:r>
          </w:p>
        </w:tc>
        <w:tc>
          <w:tcPr>
            <w:tcW w:w="1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C06A89">
            <w:pPr>
              <w:pStyle w:val="45"/>
              <w:bidi w:val="0"/>
            </w:pPr>
            <w:r>
              <w:rPr>
                <w:rFonts w:hint="eastAsia"/>
                <w:lang w:val="en-US" w:eastAsia="zh-CN"/>
              </w:rPr>
              <w:t>24.97</w:t>
            </w:r>
          </w:p>
        </w:tc>
        <w:tc>
          <w:tcPr>
            <w:tcW w:w="1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2855AF">
            <w:pPr>
              <w:pStyle w:val="45"/>
              <w:bidi w:val="0"/>
            </w:pPr>
            <w:r>
              <w:rPr>
                <w:rFonts w:hint="eastAsia"/>
                <w:lang w:val="en-US" w:eastAsia="zh-CN"/>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AFF0B">
            <w:pPr>
              <w:pStyle w:val="45"/>
              <w:bidi w:val="0"/>
            </w:pPr>
            <w:r>
              <w:rPr>
                <w:rFonts w:hint="eastAsia"/>
                <w:lang w:val="en-US" w:eastAsia="zh-CN"/>
              </w:rPr>
              <w:t>22031208</w:t>
            </w:r>
          </w:p>
        </w:tc>
      </w:tr>
      <w:tr w14:paraId="626E7037">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EF498D">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6EE20C">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园区管委会</w:t>
            </w:r>
          </w:p>
        </w:tc>
        <w:tc>
          <w:tcPr>
            <w:tcW w:w="6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04885">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3268F">
            <w:pPr>
              <w:pStyle w:val="45"/>
              <w:bidi w:val="0"/>
            </w:pPr>
            <w:r>
              <w:rPr>
                <w:rFonts w:hint="eastAsia"/>
                <w:lang w:val="en-US" w:eastAsia="zh-CN"/>
              </w:rPr>
              <w:t>0.038778</w:t>
            </w:r>
          </w:p>
        </w:tc>
        <w:tc>
          <w:tcPr>
            <w:tcW w:w="1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182772">
            <w:pPr>
              <w:pStyle w:val="45"/>
              <w:bidi w:val="0"/>
            </w:pPr>
            <w:r>
              <w:rPr>
                <w:rFonts w:hint="eastAsia"/>
                <w:lang w:val="en-US" w:eastAsia="zh-CN"/>
              </w:rPr>
              <w:t>77.56</w:t>
            </w:r>
          </w:p>
        </w:tc>
        <w:tc>
          <w:tcPr>
            <w:tcW w:w="1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17C3CD">
            <w:pPr>
              <w:pStyle w:val="45"/>
              <w:bidi w:val="0"/>
            </w:pPr>
            <w:r>
              <w:rPr>
                <w:rFonts w:hint="eastAsia"/>
                <w:lang w:val="en-US" w:eastAsia="zh-CN"/>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59491">
            <w:pPr>
              <w:pStyle w:val="45"/>
              <w:bidi w:val="0"/>
            </w:pPr>
            <w:r>
              <w:rPr>
                <w:rFonts w:hint="eastAsia"/>
                <w:lang w:val="en-US" w:eastAsia="zh-CN"/>
              </w:rPr>
              <w:t>22091121</w:t>
            </w:r>
          </w:p>
        </w:tc>
      </w:tr>
      <w:tr w14:paraId="27C36FE4">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21DB31">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8A1DBA">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松木中学</w:t>
            </w:r>
          </w:p>
        </w:tc>
        <w:tc>
          <w:tcPr>
            <w:tcW w:w="6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121B9">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BDF90">
            <w:pPr>
              <w:pStyle w:val="45"/>
              <w:bidi w:val="0"/>
            </w:pPr>
            <w:r>
              <w:rPr>
                <w:rFonts w:hint="eastAsia"/>
                <w:lang w:val="en-US" w:eastAsia="zh-CN"/>
              </w:rPr>
              <w:t>0.015752</w:t>
            </w:r>
          </w:p>
        </w:tc>
        <w:tc>
          <w:tcPr>
            <w:tcW w:w="1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3CE05F">
            <w:pPr>
              <w:pStyle w:val="45"/>
              <w:bidi w:val="0"/>
            </w:pPr>
            <w:r>
              <w:rPr>
                <w:rFonts w:hint="eastAsia"/>
                <w:lang w:val="en-US" w:eastAsia="zh-CN"/>
              </w:rPr>
              <w:t>31.5</w:t>
            </w:r>
          </w:p>
        </w:tc>
        <w:tc>
          <w:tcPr>
            <w:tcW w:w="1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0B2D62">
            <w:pPr>
              <w:pStyle w:val="45"/>
              <w:bidi w:val="0"/>
            </w:pPr>
            <w:r>
              <w:rPr>
                <w:rFonts w:hint="eastAsia"/>
                <w:lang w:val="en-US" w:eastAsia="zh-CN"/>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2C93C">
            <w:pPr>
              <w:pStyle w:val="45"/>
              <w:bidi w:val="0"/>
            </w:pPr>
            <w:r>
              <w:rPr>
                <w:rFonts w:hint="eastAsia"/>
                <w:lang w:val="en-US" w:eastAsia="zh-CN"/>
              </w:rPr>
              <w:t>22031208</w:t>
            </w:r>
          </w:p>
        </w:tc>
      </w:tr>
      <w:tr w14:paraId="7662E0C4">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925E6C">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4D1912">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松木村</w:t>
            </w:r>
            <w:r>
              <w:rPr>
                <w:rFonts w:cs="Times New Roman"/>
                <w:color w:val="000000"/>
                <w:kern w:val="0"/>
                <w:sz w:val="21"/>
                <w:szCs w:val="21"/>
              </w:rPr>
              <w:t>2</w:t>
            </w:r>
          </w:p>
        </w:tc>
        <w:tc>
          <w:tcPr>
            <w:tcW w:w="6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E3928">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D8BB9">
            <w:pPr>
              <w:pStyle w:val="45"/>
              <w:bidi w:val="0"/>
            </w:pPr>
            <w:r>
              <w:rPr>
                <w:rFonts w:hint="eastAsia"/>
                <w:lang w:val="en-US" w:eastAsia="zh-CN"/>
              </w:rPr>
              <w:t>0.08782</w:t>
            </w:r>
          </w:p>
        </w:tc>
        <w:tc>
          <w:tcPr>
            <w:tcW w:w="1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89967">
            <w:pPr>
              <w:pStyle w:val="45"/>
              <w:bidi w:val="0"/>
            </w:pPr>
            <w:r>
              <w:rPr>
                <w:rFonts w:hint="eastAsia"/>
                <w:lang w:val="en-US" w:eastAsia="zh-CN"/>
              </w:rPr>
              <w:t>175.64</w:t>
            </w:r>
          </w:p>
        </w:tc>
        <w:tc>
          <w:tcPr>
            <w:tcW w:w="1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577CDE">
            <w:pPr>
              <w:pStyle w:val="45"/>
              <w:bidi w:val="0"/>
            </w:pPr>
            <w:r>
              <w:rPr>
                <w:rFonts w:hint="eastAsia"/>
              </w:rPr>
              <w:t>不达标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59B372">
            <w:pPr>
              <w:pStyle w:val="45"/>
              <w:bidi w:val="0"/>
            </w:pPr>
            <w:r>
              <w:rPr>
                <w:rFonts w:hint="eastAsia"/>
                <w:lang w:val="en-US" w:eastAsia="zh-CN"/>
              </w:rPr>
              <w:t>22091121</w:t>
            </w:r>
          </w:p>
        </w:tc>
      </w:tr>
      <w:tr w14:paraId="7623FCBF">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4F1406">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0B618B">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园区安置房</w:t>
            </w:r>
          </w:p>
        </w:tc>
        <w:tc>
          <w:tcPr>
            <w:tcW w:w="6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488A0">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78B98">
            <w:pPr>
              <w:pStyle w:val="45"/>
              <w:bidi w:val="0"/>
            </w:pPr>
            <w:r>
              <w:rPr>
                <w:rFonts w:hint="eastAsia"/>
                <w:lang w:val="en-US" w:eastAsia="zh-CN"/>
              </w:rPr>
              <w:t>0.087553</w:t>
            </w:r>
          </w:p>
        </w:tc>
        <w:tc>
          <w:tcPr>
            <w:tcW w:w="1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E72ED">
            <w:pPr>
              <w:pStyle w:val="45"/>
              <w:bidi w:val="0"/>
            </w:pPr>
            <w:r>
              <w:rPr>
                <w:rFonts w:hint="eastAsia"/>
                <w:lang w:val="en-US" w:eastAsia="zh-CN"/>
              </w:rPr>
              <w:t>175.11</w:t>
            </w:r>
          </w:p>
        </w:tc>
        <w:tc>
          <w:tcPr>
            <w:tcW w:w="1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185B69">
            <w:pPr>
              <w:pStyle w:val="45"/>
              <w:bidi w:val="0"/>
            </w:pPr>
            <w:r>
              <w:rPr>
                <w:rFonts w:hint="eastAsia"/>
              </w:rPr>
              <w:t>不达标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18C48">
            <w:pPr>
              <w:pStyle w:val="45"/>
              <w:bidi w:val="0"/>
            </w:pPr>
            <w:r>
              <w:rPr>
                <w:rFonts w:hint="eastAsia"/>
                <w:lang w:val="en-US" w:eastAsia="zh-CN"/>
              </w:rPr>
              <w:t>22042002</w:t>
            </w:r>
          </w:p>
        </w:tc>
      </w:tr>
      <w:tr w14:paraId="2764CC0E">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B5A629">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D3B6C1">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友谊村</w:t>
            </w:r>
          </w:p>
        </w:tc>
        <w:tc>
          <w:tcPr>
            <w:tcW w:w="6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07CC0">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9B3A7B">
            <w:pPr>
              <w:pStyle w:val="45"/>
              <w:bidi w:val="0"/>
            </w:pPr>
            <w:r>
              <w:rPr>
                <w:rFonts w:hint="eastAsia"/>
                <w:lang w:val="en-US" w:eastAsia="zh-CN"/>
              </w:rPr>
              <w:t>0.020308</w:t>
            </w:r>
          </w:p>
        </w:tc>
        <w:tc>
          <w:tcPr>
            <w:tcW w:w="1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408FCA">
            <w:pPr>
              <w:pStyle w:val="45"/>
              <w:bidi w:val="0"/>
            </w:pPr>
            <w:r>
              <w:rPr>
                <w:rFonts w:hint="eastAsia"/>
                <w:lang w:val="en-US" w:eastAsia="zh-CN"/>
              </w:rPr>
              <w:t>40.62</w:t>
            </w:r>
          </w:p>
        </w:tc>
        <w:tc>
          <w:tcPr>
            <w:tcW w:w="1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292B07">
            <w:pPr>
              <w:pStyle w:val="45"/>
              <w:bidi w:val="0"/>
            </w:pPr>
            <w:r>
              <w:rPr>
                <w:rFonts w:hint="eastAsia"/>
                <w:lang w:val="en-US" w:eastAsia="zh-CN"/>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5C85BC">
            <w:pPr>
              <w:pStyle w:val="45"/>
              <w:bidi w:val="0"/>
            </w:pPr>
            <w:r>
              <w:rPr>
                <w:rFonts w:hint="eastAsia"/>
                <w:lang w:val="en-US" w:eastAsia="zh-CN"/>
              </w:rPr>
              <w:t>22021709</w:t>
            </w:r>
          </w:p>
        </w:tc>
      </w:tr>
      <w:tr w14:paraId="4C9AE748">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A7C8DA">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83DF43">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龙谊村</w:t>
            </w:r>
          </w:p>
        </w:tc>
        <w:tc>
          <w:tcPr>
            <w:tcW w:w="6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92E70C">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53DE73">
            <w:pPr>
              <w:pStyle w:val="45"/>
              <w:bidi w:val="0"/>
            </w:pPr>
            <w:r>
              <w:rPr>
                <w:rFonts w:hint="eastAsia"/>
                <w:lang w:val="en-US" w:eastAsia="zh-CN"/>
              </w:rPr>
              <w:t>0.015762</w:t>
            </w:r>
          </w:p>
        </w:tc>
        <w:tc>
          <w:tcPr>
            <w:tcW w:w="1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0258E">
            <w:pPr>
              <w:pStyle w:val="45"/>
              <w:bidi w:val="0"/>
            </w:pPr>
            <w:r>
              <w:rPr>
                <w:rFonts w:hint="eastAsia"/>
                <w:lang w:val="en-US" w:eastAsia="zh-CN"/>
              </w:rPr>
              <w:t>31.52</w:t>
            </w:r>
          </w:p>
        </w:tc>
        <w:tc>
          <w:tcPr>
            <w:tcW w:w="1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9D71E8">
            <w:pPr>
              <w:pStyle w:val="45"/>
              <w:bidi w:val="0"/>
            </w:pPr>
            <w:r>
              <w:rPr>
                <w:rFonts w:hint="eastAsia"/>
                <w:lang w:val="en-US" w:eastAsia="zh-CN"/>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53C71">
            <w:pPr>
              <w:pStyle w:val="45"/>
              <w:bidi w:val="0"/>
            </w:pPr>
            <w:r>
              <w:rPr>
                <w:rFonts w:hint="eastAsia"/>
                <w:lang w:val="en-US" w:eastAsia="zh-CN"/>
              </w:rPr>
              <w:t>22020109</w:t>
            </w:r>
          </w:p>
        </w:tc>
      </w:tr>
      <w:tr w14:paraId="4BA925BE">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F0E285">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463073">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友爱村</w:t>
            </w:r>
          </w:p>
        </w:tc>
        <w:tc>
          <w:tcPr>
            <w:tcW w:w="6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D58C3">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1DB50">
            <w:pPr>
              <w:pStyle w:val="45"/>
              <w:bidi w:val="0"/>
            </w:pPr>
            <w:r>
              <w:rPr>
                <w:rFonts w:hint="eastAsia"/>
                <w:lang w:val="en-US" w:eastAsia="zh-CN"/>
              </w:rPr>
              <w:t>0.013665</w:t>
            </w:r>
          </w:p>
        </w:tc>
        <w:tc>
          <w:tcPr>
            <w:tcW w:w="1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98969">
            <w:pPr>
              <w:pStyle w:val="45"/>
              <w:bidi w:val="0"/>
            </w:pPr>
            <w:r>
              <w:rPr>
                <w:rFonts w:hint="eastAsia"/>
                <w:lang w:val="en-US" w:eastAsia="zh-CN"/>
              </w:rPr>
              <w:t>27.33</w:t>
            </w:r>
          </w:p>
        </w:tc>
        <w:tc>
          <w:tcPr>
            <w:tcW w:w="1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65270C">
            <w:pPr>
              <w:pStyle w:val="45"/>
              <w:bidi w:val="0"/>
            </w:pPr>
            <w:r>
              <w:rPr>
                <w:rFonts w:hint="eastAsia"/>
                <w:lang w:val="en-US" w:eastAsia="zh-CN"/>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FC0FC">
            <w:pPr>
              <w:pStyle w:val="45"/>
              <w:bidi w:val="0"/>
            </w:pPr>
            <w:r>
              <w:rPr>
                <w:rFonts w:hint="eastAsia"/>
                <w:lang w:val="en-US" w:eastAsia="zh-CN"/>
              </w:rPr>
              <w:t>22052407</w:t>
            </w:r>
          </w:p>
        </w:tc>
      </w:tr>
      <w:tr w14:paraId="5D065079">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50C006">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7F0529">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江霞村</w:t>
            </w:r>
          </w:p>
        </w:tc>
        <w:tc>
          <w:tcPr>
            <w:tcW w:w="6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14B3BA">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0C6F5">
            <w:pPr>
              <w:pStyle w:val="45"/>
              <w:bidi w:val="0"/>
            </w:pPr>
            <w:r>
              <w:rPr>
                <w:rFonts w:hint="eastAsia"/>
                <w:lang w:val="en-US" w:eastAsia="zh-CN"/>
              </w:rPr>
              <w:t>0.013047</w:t>
            </w:r>
          </w:p>
        </w:tc>
        <w:tc>
          <w:tcPr>
            <w:tcW w:w="1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5F545">
            <w:pPr>
              <w:pStyle w:val="45"/>
              <w:bidi w:val="0"/>
            </w:pPr>
            <w:r>
              <w:rPr>
                <w:rFonts w:hint="eastAsia"/>
                <w:lang w:val="en-US" w:eastAsia="zh-CN"/>
              </w:rPr>
              <w:t>26.09</w:t>
            </w:r>
          </w:p>
        </w:tc>
        <w:tc>
          <w:tcPr>
            <w:tcW w:w="1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2D0B0E">
            <w:pPr>
              <w:pStyle w:val="45"/>
              <w:bidi w:val="0"/>
            </w:pPr>
            <w:r>
              <w:rPr>
                <w:rFonts w:hint="eastAsia"/>
                <w:lang w:val="en-US" w:eastAsia="zh-CN"/>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1DC554">
            <w:pPr>
              <w:pStyle w:val="45"/>
              <w:bidi w:val="0"/>
            </w:pPr>
            <w:r>
              <w:rPr>
                <w:rFonts w:hint="eastAsia"/>
                <w:lang w:val="en-US" w:eastAsia="zh-CN"/>
              </w:rPr>
              <w:t>22102907</w:t>
            </w:r>
          </w:p>
        </w:tc>
      </w:tr>
      <w:tr w14:paraId="3EE23992">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27CD8A">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A701C7">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金兰村</w:t>
            </w:r>
          </w:p>
        </w:tc>
        <w:tc>
          <w:tcPr>
            <w:tcW w:w="6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8A525">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2DBF9">
            <w:pPr>
              <w:pStyle w:val="45"/>
              <w:bidi w:val="0"/>
            </w:pPr>
            <w:r>
              <w:rPr>
                <w:rFonts w:hint="eastAsia"/>
                <w:lang w:val="en-US" w:eastAsia="zh-CN"/>
              </w:rPr>
              <w:t>0.008938</w:t>
            </w:r>
          </w:p>
        </w:tc>
        <w:tc>
          <w:tcPr>
            <w:tcW w:w="1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FEB4D">
            <w:pPr>
              <w:pStyle w:val="45"/>
              <w:bidi w:val="0"/>
            </w:pPr>
            <w:r>
              <w:rPr>
                <w:rFonts w:hint="eastAsia"/>
                <w:lang w:val="en-US" w:eastAsia="zh-CN"/>
              </w:rPr>
              <w:t>17.88</w:t>
            </w:r>
          </w:p>
        </w:tc>
        <w:tc>
          <w:tcPr>
            <w:tcW w:w="1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E215EE">
            <w:pPr>
              <w:pStyle w:val="45"/>
              <w:bidi w:val="0"/>
            </w:pPr>
            <w:r>
              <w:rPr>
                <w:rFonts w:hint="eastAsia"/>
                <w:lang w:val="en-US" w:eastAsia="zh-CN"/>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540DE">
            <w:pPr>
              <w:pStyle w:val="45"/>
              <w:bidi w:val="0"/>
            </w:pPr>
            <w:r>
              <w:rPr>
                <w:rFonts w:hint="eastAsia"/>
                <w:lang w:val="en-US" w:eastAsia="zh-CN"/>
              </w:rPr>
              <w:t>22012803</w:t>
            </w:r>
          </w:p>
        </w:tc>
      </w:tr>
      <w:tr w14:paraId="712EB877">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3E7D89">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9E2C4E">
            <w:pPr>
              <w:widowControl/>
              <w:spacing w:line="240" w:lineRule="auto"/>
              <w:ind w:firstLine="0" w:firstLineChars="0"/>
              <w:jc w:val="center"/>
              <w:textAlignment w:val="center"/>
              <w:rPr>
                <w:rFonts w:cs="宋体"/>
                <w:color w:val="000000"/>
                <w:sz w:val="21"/>
                <w:szCs w:val="21"/>
              </w:rPr>
            </w:pPr>
            <w:r>
              <w:rPr>
                <w:rFonts w:hint="eastAsia" w:cs="宋体"/>
                <w:color w:val="000000"/>
                <w:kern w:val="0"/>
                <w:sz w:val="21"/>
                <w:szCs w:val="21"/>
              </w:rPr>
              <w:t>大昌村</w:t>
            </w:r>
          </w:p>
        </w:tc>
        <w:tc>
          <w:tcPr>
            <w:tcW w:w="6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F8F3CE">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CFB94">
            <w:pPr>
              <w:pStyle w:val="45"/>
              <w:bidi w:val="0"/>
            </w:pPr>
            <w:r>
              <w:rPr>
                <w:rFonts w:hint="eastAsia"/>
                <w:lang w:val="en-US" w:eastAsia="zh-CN"/>
              </w:rPr>
              <w:t>0.010057</w:t>
            </w:r>
          </w:p>
        </w:tc>
        <w:tc>
          <w:tcPr>
            <w:tcW w:w="1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A9B52">
            <w:pPr>
              <w:pStyle w:val="45"/>
              <w:bidi w:val="0"/>
            </w:pPr>
            <w:r>
              <w:rPr>
                <w:rFonts w:hint="eastAsia"/>
                <w:lang w:val="en-US" w:eastAsia="zh-CN"/>
              </w:rPr>
              <w:t>20.11</w:t>
            </w:r>
          </w:p>
        </w:tc>
        <w:tc>
          <w:tcPr>
            <w:tcW w:w="1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02A71B">
            <w:pPr>
              <w:pStyle w:val="45"/>
              <w:bidi w:val="0"/>
            </w:pPr>
            <w:r>
              <w:rPr>
                <w:rFonts w:hint="eastAsia"/>
                <w:lang w:val="en-US" w:eastAsia="zh-CN"/>
              </w:rPr>
              <w:t>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A01C8F">
            <w:pPr>
              <w:pStyle w:val="45"/>
              <w:bidi w:val="0"/>
            </w:pPr>
            <w:r>
              <w:rPr>
                <w:rFonts w:hint="eastAsia"/>
                <w:lang w:val="en-US" w:eastAsia="zh-CN"/>
              </w:rPr>
              <w:t>22061020</w:t>
            </w:r>
          </w:p>
        </w:tc>
      </w:tr>
      <w:tr w14:paraId="79E0A866">
        <w:tblPrEx>
          <w:tblCellMar>
            <w:top w:w="0" w:type="dxa"/>
            <w:left w:w="108" w:type="dxa"/>
            <w:bottom w:w="0" w:type="dxa"/>
            <w:right w:w="108" w:type="dxa"/>
          </w:tblCellMar>
        </w:tblPrEx>
        <w:trPr>
          <w:trHeight w:val="170" w:hRule="atLeast"/>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FE0403">
            <w:pPr>
              <w:widowControl/>
              <w:spacing w:line="240" w:lineRule="auto"/>
              <w:ind w:firstLine="0" w:firstLineChars="0"/>
              <w:jc w:val="center"/>
              <w:rPr>
                <w:rFonts w:cs="宋体"/>
                <w:color w:val="000000"/>
                <w:sz w:val="21"/>
                <w:szCs w:val="22"/>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5AA3B1">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区域最大落地浓度坐标（-750，-150）厂界外</w:t>
            </w:r>
          </w:p>
        </w:tc>
        <w:tc>
          <w:tcPr>
            <w:tcW w:w="6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28FE8">
            <w:pPr>
              <w:widowControl/>
              <w:spacing w:line="240" w:lineRule="auto"/>
              <w:ind w:firstLine="0" w:firstLineChars="0"/>
              <w:jc w:val="center"/>
              <w:textAlignment w:val="center"/>
              <w:rPr>
                <w:rFonts w:cs="宋体"/>
                <w:color w:val="000000"/>
                <w:sz w:val="21"/>
                <w:szCs w:val="22"/>
              </w:rPr>
            </w:pPr>
            <w:r>
              <w:rPr>
                <w:rFonts w:hint="eastAsia" w:cs="宋体"/>
                <w:color w:val="000000"/>
                <w:kern w:val="0"/>
                <w:sz w:val="21"/>
                <w:szCs w:val="22"/>
              </w:rPr>
              <w:t>0.05</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02857E">
            <w:pPr>
              <w:pStyle w:val="45"/>
              <w:bidi w:val="0"/>
            </w:pPr>
            <w:r>
              <w:rPr>
                <w:rFonts w:hint="eastAsia"/>
                <w:lang w:val="en-US" w:eastAsia="zh-CN"/>
              </w:rPr>
              <w:t>0.455982</w:t>
            </w:r>
          </w:p>
        </w:tc>
        <w:tc>
          <w:tcPr>
            <w:tcW w:w="1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D34CBB">
            <w:pPr>
              <w:pStyle w:val="45"/>
              <w:bidi w:val="0"/>
            </w:pPr>
            <w:r>
              <w:rPr>
                <w:rFonts w:hint="eastAsia"/>
                <w:lang w:val="en-US" w:eastAsia="zh-CN"/>
              </w:rPr>
              <w:t>911.96</w:t>
            </w:r>
          </w:p>
        </w:tc>
        <w:tc>
          <w:tcPr>
            <w:tcW w:w="1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156827">
            <w:pPr>
              <w:pStyle w:val="45"/>
              <w:bidi w:val="0"/>
            </w:pPr>
            <w:r>
              <w:rPr>
                <w:rFonts w:hint="eastAsia" w:cs="宋体"/>
                <w:color w:val="000000"/>
                <w:kern w:val="0"/>
                <w:sz w:val="21"/>
                <w:szCs w:val="22"/>
              </w:rPr>
              <w:t>不达标</w:t>
            </w:r>
          </w:p>
        </w:tc>
        <w:tc>
          <w:tcPr>
            <w:tcW w:w="20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05AA4">
            <w:pPr>
              <w:pStyle w:val="45"/>
              <w:bidi w:val="0"/>
            </w:pPr>
            <w:r>
              <w:rPr>
                <w:rFonts w:hint="eastAsia"/>
                <w:lang w:val="en-US" w:eastAsia="zh-CN"/>
              </w:rPr>
              <w:t>22091121</w:t>
            </w:r>
          </w:p>
        </w:tc>
      </w:tr>
    </w:tbl>
    <w:p w14:paraId="57F07D78">
      <w:pPr>
        <w:ind w:firstLine="0" w:firstLineChars="0"/>
      </w:pPr>
    </w:p>
    <w:p w14:paraId="3FF49EEA">
      <w:pPr>
        <w:ind w:firstLine="0" w:firstLineChars="0"/>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4DC48E79">
      <w:pPr>
        <w:ind w:firstLine="0" w:firstLineChars="0"/>
      </w:pPr>
    </w:p>
    <w:tbl>
      <w:tblPr>
        <w:tblStyle w:val="3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38BC69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429FF540">
            <w:pPr>
              <w:pStyle w:val="45"/>
              <w:rPr>
                <w:rFonts w:hint="default"/>
              </w:rPr>
            </w:pPr>
            <w:r>
              <w:drawing>
                <wp:inline distT="0" distB="0" distL="114300" distR="114300">
                  <wp:extent cx="5269230" cy="4064635"/>
                  <wp:effectExtent l="0" t="0" r="7620" b="12065"/>
                  <wp:docPr id="65"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8"/>
                          <pic:cNvPicPr>
                            <a:picLocks noChangeAspect="1"/>
                          </pic:cNvPicPr>
                        </pic:nvPicPr>
                        <pic:blipFill>
                          <a:blip r:embed="rId162"/>
                          <a:stretch>
                            <a:fillRect/>
                          </a:stretch>
                        </pic:blipFill>
                        <pic:spPr>
                          <a:xfrm>
                            <a:off x="0" y="0"/>
                            <a:ext cx="5269230" cy="4064635"/>
                          </a:xfrm>
                          <a:prstGeom prst="rect">
                            <a:avLst/>
                          </a:prstGeom>
                          <a:noFill/>
                          <a:ln>
                            <a:noFill/>
                          </a:ln>
                        </pic:spPr>
                      </pic:pic>
                    </a:graphicData>
                  </a:graphic>
                </wp:inline>
              </w:drawing>
            </w:r>
          </w:p>
        </w:tc>
      </w:tr>
      <w:tr w14:paraId="69E6ED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38E8A6BB">
            <w:pPr>
              <w:pStyle w:val="45"/>
              <w:rPr>
                <w:rFonts w:hint="default"/>
              </w:rPr>
            </w:pPr>
            <w:r>
              <w:rPr>
                <w:rFonts w:hint="eastAsia"/>
                <w:b/>
                <w:bCs/>
                <w:lang w:val="en-US" w:eastAsia="zh-CN"/>
              </w:rPr>
              <w:t>颗粒物（TSP）</w:t>
            </w:r>
            <w:r>
              <w:rPr>
                <w:rFonts w:hint="default"/>
                <w:b/>
                <w:bCs/>
              </w:rPr>
              <w:t>非正常排放小时贡献值分布图</w:t>
            </w:r>
          </w:p>
        </w:tc>
      </w:tr>
      <w:tr w14:paraId="2B7925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51BBCC94">
            <w:pPr>
              <w:pStyle w:val="45"/>
              <w:rPr>
                <w:rFonts w:hint="default"/>
              </w:rPr>
            </w:pPr>
            <w:r>
              <w:drawing>
                <wp:inline distT="0" distB="0" distL="114300" distR="114300">
                  <wp:extent cx="5272405" cy="4035425"/>
                  <wp:effectExtent l="0" t="0" r="4445" b="3175"/>
                  <wp:docPr id="6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7"/>
                          <pic:cNvPicPr>
                            <a:picLocks noChangeAspect="1"/>
                          </pic:cNvPicPr>
                        </pic:nvPicPr>
                        <pic:blipFill>
                          <a:blip r:embed="rId163"/>
                          <a:stretch>
                            <a:fillRect/>
                          </a:stretch>
                        </pic:blipFill>
                        <pic:spPr>
                          <a:xfrm>
                            <a:off x="0" y="0"/>
                            <a:ext cx="5272405" cy="4035425"/>
                          </a:xfrm>
                          <a:prstGeom prst="rect">
                            <a:avLst/>
                          </a:prstGeom>
                          <a:noFill/>
                          <a:ln>
                            <a:noFill/>
                          </a:ln>
                        </pic:spPr>
                      </pic:pic>
                    </a:graphicData>
                  </a:graphic>
                </wp:inline>
              </w:drawing>
            </w:r>
          </w:p>
        </w:tc>
      </w:tr>
      <w:tr w14:paraId="01ACE4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0E91E1A3">
            <w:pPr>
              <w:pStyle w:val="45"/>
              <w:rPr>
                <w:rFonts w:hint="default"/>
              </w:rPr>
            </w:pPr>
            <w:r>
              <w:rPr>
                <w:b/>
                <w:bCs/>
              </w:rPr>
              <w:t>Cl</w:t>
            </w:r>
            <w:r>
              <w:rPr>
                <w:b/>
                <w:bCs/>
                <w:vertAlign w:val="subscript"/>
              </w:rPr>
              <w:t>2</w:t>
            </w:r>
            <w:r>
              <w:rPr>
                <w:rFonts w:hint="default"/>
                <w:b/>
                <w:bCs/>
              </w:rPr>
              <w:t>非正常排放小时贡献值分布图</w:t>
            </w:r>
          </w:p>
        </w:tc>
      </w:tr>
      <w:tr w14:paraId="3E3E39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638A5D06">
            <w:pPr>
              <w:pStyle w:val="45"/>
              <w:rPr>
                <w:rFonts w:hint="default"/>
              </w:rPr>
            </w:pPr>
            <w:r>
              <w:drawing>
                <wp:inline distT="0" distB="0" distL="114300" distR="114300">
                  <wp:extent cx="5269865" cy="3919855"/>
                  <wp:effectExtent l="0" t="0" r="6985" b="4445"/>
                  <wp:docPr id="6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9"/>
                          <pic:cNvPicPr>
                            <a:picLocks noChangeAspect="1"/>
                          </pic:cNvPicPr>
                        </pic:nvPicPr>
                        <pic:blipFill>
                          <a:blip r:embed="rId164"/>
                          <a:stretch>
                            <a:fillRect/>
                          </a:stretch>
                        </pic:blipFill>
                        <pic:spPr>
                          <a:xfrm>
                            <a:off x="0" y="0"/>
                            <a:ext cx="5269865" cy="3919855"/>
                          </a:xfrm>
                          <a:prstGeom prst="rect">
                            <a:avLst/>
                          </a:prstGeom>
                          <a:noFill/>
                          <a:ln>
                            <a:noFill/>
                          </a:ln>
                        </pic:spPr>
                      </pic:pic>
                    </a:graphicData>
                  </a:graphic>
                </wp:inline>
              </w:drawing>
            </w:r>
          </w:p>
        </w:tc>
      </w:tr>
      <w:tr w14:paraId="2969D2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5461F5A6">
            <w:pPr>
              <w:pStyle w:val="45"/>
              <w:rPr>
                <w:rFonts w:hint="default"/>
              </w:rPr>
            </w:pPr>
            <w:r>
              <w:rPr>
                <w:b/>
                <w:bCs/>
              </w:rPr>
              <w:t>HCl</w:t>
            </w:r>
            <w:r>
              <w:rPr>
                <w:rFonts w:hint="default"/>
                <w:b/>
                <w:bCs/>
              </w:rPr>
              <w:t>非正常排放小时贡献值分布图</w:t>
            </w:r>
          </w:p>
        </w:tc>
      </w:tr>
    </w:tbl>
    <w:p w14:paraId="6CB389AE">
      <w:pPr>
        <w:pStyle w:val="42"/>
        <w:numPr>
          <w:ilvl w:val="6"/>
          <w:numId w:val="1"/>
        </w:numPr>
        <w:rPr>
          <w:rFonts w:hint="default"/>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rPr>
        <w:t>非正常情况下，各类主要大气特征污染物影响预测结果图</w:t>
      </w:r>
    </w:p>
    <w:p w14:paraId="1F581117">
      <w:pPr>
        <w:pStyle w:val="4"/>
        <w:numPr>
          <w:ilvl w:val="2"/>
          <w:numId w:val="1"/>
        </w:numPr>
      </w:pPr>
      <w:bookmarkStart w:id="251" w:name="_Toc9532"/>
      <w:r>
        <w:rPr>
          <w:rFonts w:hint="eastAsia"/>
        </w:rPr>
        <w:t>大气防护距离</w:t>
      </w:r>
      <w:bookmarkEnd w:id="251"/>
    </w:p>
    <w:p w14:paraId="593FC27F">
      <w:pPr>
        <w:ind w:firstLine="480"/>
      </w:pPr>
      <w:r>
        <w:rPr>
          <w:rFonts w:hint="eastAsia"/>
        </w:rPr>
        <w:t>由《环境影响评价技术导则－大气环境》（HJ2.2-2018）可知，大气环境防护距离是为保护人群健康，减少正常排放条件下大气污染物对居住区的环境影响，在项目厂界以外设置的环境防护距离。其确定方法是采用推荐模式中的大气环境防护距离模式计算各源的大气环境防护距离。</w:t>
      </w:r>
    </w:p>
    <w:p w14:paraId="62A8C3F3">
      <w:pPr>
        <w:ind w:firstLine="480"/>
      </w:pPr>
      <w:r>
        <w:rPr>
          <w:rFonts w:hint="eastAsia"/>
        </w:rPr>
        <w:t>由工程分析可知，项目大气污染物主要有</w:t>
      </w:r>
      <w:r>
        <w:rPr>
          <w:rFonts w:hint="eastAsia"/>
          <w:lang w:val="en-US" w:eastAsia="zh-CN"/>
        </w:rPr>
        <w:t>颗粒物（TSP）、</w:t>
      </w:r>
      <w:r>
        <w:rPr>
          <w:rFonts w:hint="eastAsia"/>
        </w:rPr>
        <w:t>Cl</w:t>
      </w:r>
      <w:r>
        <w:rPr>
          <w:rFonts w:hint="eastAsia"/>
          <w:vertAlign w:val="subscript"/>
        </w:rPr>
        <w:t>2</w:t>
      </w:r>
      <w:r>
        <w:rPr>
          <w:rFonts w:hint="eastAsia"/>
          <w:lang w:val="en-US" w:eastAsia="zh-CN"/>
        </w:rPr>
        <w:t>、</w:t>
      </w:r>
      <w:r>
        <w:rPr>
          <w:rFonts w:hint="eastAsia"/>
        </w:rPr>
        <w:t>HCl，根据导则推荐模型预测，征程工况下，本项目厂界外无超标点，无需设置大气环境防护距离。</w:t>
      </w:r>
    </w:p>
    <w:p w14:paraId="4CFC6E83">
      <w:pPr>
        <w:pStyle w:val="4"/>
        <w:numPr>
          <w:ilvl w:val="2"/>
          <w:numId w:val="1"/>
        </w:numPr>
      </w:pPr>
      <w:bookmarkStart w:id="252" w:name="_Toc12284"/>
      <w:r>
        <w:rPr>
          <w:rFonts w:hint="eastAsia"/>
        </w:rPr>
        <w:t>小结</w:t>
      </w:r>
      <w:bookmarkEnd w:id="252"/>
    </w:p>
    <w:p w14:paraId="4FAD6BA1">
      <w:pPr>
        <w:ind w:firstLine="480"/>
      </w:pPr>
      <w:r>
        <w:rPr>
          <w:rFonts w:hint="eastAsia"/>
        </w:rPr>
        <w:t>（1）正常工况下，项目所排放的各大气污染物最大地面浓度贡献值以及叠加环境质量现状的预测值在各个环境敏感点以及网格内最大落地浓度点均满足环境标准要求，因此正常工况下本项目污染物排放对区域和主要环境敏感目标的环境空气影响均处于可接受范围内。</w:t>
      </w:r>
    </w:p>
    <w:p w14:paraId="6A280ACC">
      <w:pPr>
        <w:ind w:firstLine="480"/>
      </w:pPr>
      <w:r>
        <w:rPr>
          <w:rFonts w:hint="eastAsia"/>
        </w:rPr>
        <w:t>（2）非正常工况下，评价范围内</w:t>
      </w:r>
      <w:r>
        <w:rPr>
          <w:rFonts w:hint="eastAsia"/>
          <w:lang w:val="en-US" w:eastAsia="zh-CN"/>
        </w:rPr>
        <w:t>颗粒物（TSP）、</w:t>
      </w:r>
      <w:r>
        <w:rPr>
          <w:rFonts w:hint="eastAsia"/>
        </w:rPr>
        <w:t>Cl</w:t>
      </w:r>
      <w:r>
        <w:rPr>
          <w:rFonts w:hint="eastAsia"/>
          <w:vertAlign w:val="subscript"/>
        </w:rPr>
        <w:t>2</w:t>
      </w:r>
      <w:r>
        <w:rPr>
          <w:rFonts w:hint="eastAsia"/>
        </w:rPr>
        <w:t>对各环境敏感点的最大小时浓度贡献值未超过相关标准要求，HCl对环境敏感点中</w:t>
      </w:r>
      <w:r>
        <w:rPr>
          <w:rFonts w:hint="eastAsia"/>
          <w:lang w:val="en-US" w:eastAsia="zh-CN"/>
        </w:rPr>
        <w:t>松木村2</w:t>
      </w:r>
      <w:r>
        <w:rPr>
          <w:rFonts w:hint="eastAsia"/>
        </w:rPr>
        <w:t>的贡献值最大，超过相关标准要求；</w:t>
      </w:r>
      <w:r>
        <w:rPr>
          <w:rFonts w:hint="eastAsia"/>
          <w:lang w:val="en-US" w:eastAsia="zh-CN"/>
        </w:rPr>
        <w:t>颗粒物（TSP）、</w:t>
      </w:r>
      <w:r>
        <w:rPr>
          <w:rFonts w:hint="eastAsia"/>
        </w:rPr>
        <w:t>Cl</w:t>
      </w:r>
      <w:r>
        <w:rPr>
          <w:rFonts w:hint="eastAsia"/>
          <w:vertAlign w:val="subscript"/>
        </w:rPr>
        <w:t>2</w:t>
      </w:r>
      <w:r>
        <w:rPr>
          <w:rFonts w:hint="eastAsia"/>
          <w:lang w:val="en-US" w:eastAsia="zh-CN"/>
        </w:rPr>
        <w:t>、</w:t>
      </w:r>
      <w:r>
        <w:rPr>
          <w:rFonts w:hint="eastAsia"/>
        </w:rPr>
        <w:t>HCl对区域网格的最大小时浓度贡献值均超过相关标准要求。因此本环评要求项目，</w:t>
      </w:r>
      <w:r>
        <w:rPr>
          <w:rFonts w:hint="eastAsia"/>
          <w:lang w:val="en-US" w:eastAsia="zh-CN"/>
        </w:rPr>
        <w:t>建设单位应</w:t>
      </w:r>
      <w:r>
        <w:rPr>
          <w:rFonts w:hint="eastAsia"/>
        </w:rPr>
        <w:t>定时检修废气处理设施，杜绝非正常排放，一旦发生非正常排放必须立即停产检修直至合格后方可恢复生产。</w:t>
      </w:r>
    </w:p>
    <w:p w14:paraId="6EB14699">
      <w:pPr>
        <w:ind w:firstLine="480"/>
      </w:pPr>
      <w:r>
        <w:rPr>
          <w:rFonts w:hint="eastAsia"/>
        </w:rPr>
        <w:t>（3）本项目厂界外无超标点，无需设置大气环境防护距离。</w:t>
      </w:r>
    </w:p>
    <w:p w14:paraId="0C70F2E7">
      <w:pPr>
        <w:pStyle w:val="43"/>
        <w:numPr>
          <w:ilvl w:val="5"/>
          <w:numId w:val="1"/>
        </w:numPr>
        <w:rPr>
          <w:rFonts w:hint="default"/>
        </w:rPr>
      </w:pPr>
      <w:r>
        <w:t>建设项目大气环境影响评价自查表</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3"/>
        <w:gridCol w:w="1340"/>
        <w:gridCol w:w="968"/>
        <w:gridCol w:w="135"/>
        <w:gridCol w:w="510"/>
        <w:gridCol w:w="334"/>
        <w:gridCol w:w="170"/>
        <w:gridCol w:w="35"/>
        <w:gridCol w:w="256"/>
        <w:gridCol w:w="578"/>
        <w:gridCol w:w="240"/>
        <w:gridCol w:w="348"/>
        <w:gridCol w:w="205"/>
        <w:gridCol w:w="408"/>
        <w:gridCol w:w="116"/>
        <w:gridCol w:w="512"/>
        <w:gridCol w:w="25"/>
        <w:gridCol w:w="290"/>
        <w:gridCol w:w="179"/>
        <w:gridCol w:w="446"/>
        <w:gridCol w:w="700"/>
      </w:tblGrid>
      <w:tr w14:paraId="049F3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blHeader/>
        </w:trPr>
        <w:tc>
          <w:tcPr>
            <w:tcW w:w="2073" w:type="dxa"/>
            <w:gridSpan w:val="2"/>
            <w:vAlign w:val="center"/>
          </w:tcPr>
          <w:p w14:paraId="607DC8AD">
            <w:pPr>
              <w:tabs>
                <w:tab w:val="left" w:pos="1021"/>
              </w:tabs>
              <w:snapToGrid w:val="0"/>
              <w:spacing w:line="240" w:lineRule="auto"/>
              <w:ind w:firstLine="0" w:firstLineChars="0"/>
              <w:jc w:val="center"/>
              <w:rPr>
                <w:rFonts w:cs="Times New Roman"/>
                <w:b/>
                <w:bCs/>
                <w:kern w:val="0"/>
                <w:sz w:val="18"/>
                <w:szCs w:val="18"/>
              </w:rPr>
            </w:pPr>
            <w:r>
              <w:rPr>
                <w:rFonts w:cs="Times New Roman"/>
                <w:b/>
                <w:bCs/>
                <w:kern w:val="0"/>
                <w:sz w:val="18"/>
                <w:szCs w:val="18"/>
              </w:rPr>
              <w:t>工作内容</w:t>
            </w:r>
          </w:p>
        </w:tc>
        <w:tc>
          <w:tcPr>
            <w:tcW w:w="6455" w:type="dxa"/>
            <w:gridSpan w:val="19"/>
            <w:vAlign w:val="center"/>
          </w:tcPr>
          <w:p w14:paraId="51BE86F7">
            <w:pPr>
              <w:tabs>
                <w:tab w:val="left" w:pos="1021"/>
              </w:tabs>
              <w:snapToGrid w:val="0"/>
              <w:spacing w:line="240" w:lineRule="auto"/>
              <w:ind w:firstLine="0" w:firstLineChars="0"/>
              <w:jc w:val="center"/>
              <w:rPr>
                <w:rFonts w:cs="Times New Roman"/>
                <w:b/>
                <w:bCs/>
                <w:kern w:val="0"/>
                <w:sz w:val="18"/>
                <w:szCs w:val="18"/>
              </w:rPr>
            </w:pPr>
            <w:r>
              <w:rPr>
                <w:rFonts w:cs="Times New Roman"/>
                <w:b/>
                <w:bCs/>
                <w:kern w:val="0"/>
                <w:sz w:val="18"/>
                <w:szCs w:val="18"/>
              </w:rPr>
              <w:t>自查项目</w:t>
            </w:r>
          </w:p>
        </w:tc>
      </w:tr>
      <w:tr w14:paraId="1AFE3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Merge w:val="restart"/>
            <w:vAlign w:val="center"/>
          </w:tcPr>
          <w:p w14:paraId="2CC05B88">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评价等级与范围</w:t>
            </w:r>
          </w:p>
        </w:tc>
        <w:tc>
          <w:tcPr>
            <w:tcW w:w="1340" w:type="dxa"/>
          </w:tcPr>
          <w:p w14:paraId="71870C3D">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评价等级</w:t>
            </w:r>
          </w:p>
        </w:tc>
        <w:tc>
          <w:tcPr>
            <w:tcW w:w="1947" w:type="dxa"/>
            <w:gridSpan w:val="4"/>
          </w:tcPr>
          <w:p w14:paraId="6BB266BC">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一级</w:t>
            </w:r>
            <w:r>
              <w:rPr>
                <w:rFonts w:cs="Times New Roman"/>
                <w:kern w:val="0"/>
                <w:sz w:val="18"/>
                <w:szCs w:val="18"/>
              </w:rPr>
              <w:sym w:font="Wingdings 2" w:char="0052"/>
            </w:r>
          </w:p>
        </w:tc>
        <w:tc>
          <w:tcPr>
            <w:tcW w:w="2868" w:type="dxa"/>
            <w:gridSpan w:val="10"/>
          </w:tcPr>
          <w:p w14:paraId="14DC4F54">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二级</w:t>
            </w:r>
            <w:r>
              <w:rPr>
                <w:rFonts w:cs="Times New Roman"/>
                <w:kern w:val="0"/>
                <w:sz w:val="18"/>
                <w:szCs w:val="18"/>
              </w:rPr>
              <w:sym w:font="Wingdings 2" w:char="00A3"/>
            </w:r>
          </w:p>
        </w:tc>
        <w:tc>
          <w:tcPr>
            <w:tcW w:w="1640" w:type="dxa"/>
            <w:gridSpan w:val="5"/>
          </w:tcPr>
          <w:p w14:paraId="20C2B8EB">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三级□</w:t>
            </w:r>
          </w:p>
        </w:tc>
      </w:tr>
      <w:tr w14:paraId="102DB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Merge w:val="continue"/>
          </w:tcPr>
          <w:p w14:paraId="13E7EE2F">
            <w:pPr>
              <w:tabs>
                <w:tab w:val="left" w:pos="1021"/>
              </w:tabs>
              <w:snapToGrid w:val="0"/>
              <w:spacing w:line="240" w:lineRule="auto"/>
              <w:ind w:firstLine="0" w:firstLineChars="0"/>
              <w:jc w:val="center"/>
              <w:rPr>
                <w:rFonts w:cs="Times New Roman"/>
                <w:b/>
                <w:kern w:val="0"/>
                <w:sz w:val="18"/>
                <w:szCs w:val="18"/>
              </w:rPr>
            </w:pPr>
          </w:p>
        </w:tc>
        <w:tc>
          <w:tcPr>
            <w:tcW w:w="1340" w:type="dxa"/>
            <w:vAlign w:val="center"/>
          </w:tcPr>
          <w:p w14:paraId="3E93DD6E">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评价范围</w:t>
            </w:r>
          </w:p>
        </w:tc>
        <w:tc>
          <w:tcPr>
            <w:tcW w:w="1947" w:type="dxa"/>
            <w:gridSpan w:val="4"/>
            <w:vAlign w:val="center"/>
          </w:tcPr>
          <w:p w14:paraId="17DFF328">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边长=50km□</w:t>
            </w:r>
          </w:p>
        </w:tc>
        <w:tc>
          <w:tcPr>
            <w:tcW w:w="2868" w:type="dxa"/>
            <w:gridSpan w:val="10"/>
            <w:vAlign w:val="center"/>
          </w:tcPr>
          <w:p w14:paraId="47F1E882">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边长5～50km□</w:t>
            </w:r>
          </w:p>
        </w:tc>
        <w:tc>
          <w:tcPr>
            <w:tcW w:w="1640" w:type="dxa"/>
            <w:gridSpan w:val="5"/>
            <w:vAlign w:val="center"/>
          </w:tcPr>
          <w:p w14:paraId="1179B4B1">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边长=5km</w:t>
            </w:r>
            <w:r>
              <w:rPr>
                <w:rFonts w:cs="Times New Roman"/>
                <w:kern w:val="0"/>
                <w:sz w:val="18"/>
                <w:szCs w:val="18"/>
              </w:rPr>
              <w:sym w:font="Wingdings 2" w:char="0052"/>
            </w:r>
          </w:p>
        </w:tc>
      </w:tr>
      <w:tr w14:paraId="306BB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Merge w:val="restart"/>
            <w:vAlign w:val="center"/>
          </w:tcPr>
          <w:p w14:paraId="4706FA3E">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评价因子</w:t>
            </w:r>
          </w:p>
        </w:tc>
        <w:tc>
          <w:tcPr>
            <w:tcW w:w="1340" w:type="dxa"/>
          </w:tcPr>
          <w:p w14:paraId="4765ED5C">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SO</w:t>
            </w:r>
            <w:r>
              <w:rPr>
                <w:rFonts w:cs="Times New Roman"/>
                <w:kern w:val="0"/>
                <w:sz w:val="18"/>
                <w:szCs w:val="18"/>
                <w:vertAlign w:val="subscript"/>
              </w:rPr>
              <w:t>2</w:t>
            </w:r>
            <w:r>
              <w:rPr>
                <w:rFonts w:cs="Times New Roman"/>
                <w:kern w:val="0"/>
                <w:sz w:val="18"/>
                <w:szCs w:val="18"/>
              </w:rPr>
              <w:t>+NO</w:t>
            </w:r>
            <w:r>
              <w:rPr>
                <w:rFonts w:cs="Times New Roman"/>
                <w:kern w:val="0"/>
                <w:sz w:val="18"/>
                <w:szCs w:val="18"/>
                <w:vertAlign w:val="subscript"/>
              </w:rPr>
              <w:t>X</w:t>
            </w:r>
            <w:r>
              <w:rPr>
                <w:rFonts w:cs="Times New Roman"/>
                <w:kern w:val="0"/>
                <w:sz w:val="18"/>
                <w:szCs w:val="18"/>
              </w:rPr>
              <w:t>排放量</w:t>
            </w:r>
          </w:p>
        </w:tc>
        <w:tc>
          <w:tcPr>
            <w:tcW w:w="1947" w:type="dxa"/>
            <w:gridSpan w:val="4"/>
            <w:vAlign w:val="center"/>
          </w:tcPr>
          <w:p w14:paraId="0F839182">
            <w:pPr>
              <w:tabs>
                <w:tab w:val="left" w:pos="1021"/>
              </w:tabs>
              <w:snapToGrid w:val="0"/>
              <w:spacing w:line="240" w:lineRule="auto"/>
              <w:ind w:firstLine="0" w:firstLineChars="0"/>
              <w:jc w:val="center"/>
              <w:rPr>
                <w:rFonts w:cs="Times New Roman"/>
                <w:b/>
                <w:kern w:val="0"/>
                <w:sz w:val="18"/>
                <w:szCs w:val="18"/>
              </w:rPr>
            </w:pPr>
            <w:r>
              <w:rPr>
                <w:rFonts w:cs="Times New Roman"/>
                <w:kern w:val="0"/>
                <w:sz w:val="18"/>
                <w:szCs w:val="18"/>
              </w:rPr>
              <w:t>≥2000t/a□</w:t>
            </w:r>
          </w:p>
        </w:tc>
        <w:tc>
          <w:tcPr>
            <w:tcW w:w="2868" w:type="dxa"/>
            <w:gridSpan w:val="10"/>
            <w:vAlign w:val="center"/>
          </w:tcPr>
          <w:p w14:paraId="62310E9F">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500～2000t/a□</w:t>
            </w:r>
          </w:p>
        </w:tc>
        <w:tc>
          <w:tcPr>
            <w:tcW w:w="1640" w:type="dxa"/>
            <w:gridSpan w:val="5"/>
            <w:vAlign w:val="center"/>
          </w:tcPr>
          <w:p w14:paraId="022C08DE">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&lt;500t/a</w:t>
            </w:r>
            <w:r>
              <w:rPr>
                <w:rFonts w:cs="Times New Roman"/>
                <w:kern w:val="0"/>
                <w:sz w:val="18"/>
                <w:szCs w:val="18"/>
              </w:rPr>
              <w:sym w:font="Wingdings 2" w:char="0052"/>
            </w:r>
          </w:p>
        </w:tc>
      </w:tr>
      <w:tr w14:paraId="395D7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33" w:type="dxa"/>
            <w:vMerge w:val="continue"/>
          </w:tcPr>
          <w:p w14:paraId="4DB287E4">
            <w:pPr>
              <w:tabs>
                <w:tab w:val="left" w:pos="1021"/>
              </w:tabs>
              <w:snapToGrid w:val="0"/>
              <w:spacing w:line="240" w:lineRule="auto"/>
              <w:ind w:firstLine="0" w:firstLineChars="0"/>
              <w:jc w:val="center"/>
              <w:rPr>
                <w:rFonts w:cs="Times New Roman"/>
                <w:b/>
                <w:kern w:val="0"/>
                <w:sz w:val="18"/>
                <w:szCs w:val="18"/>
              </w:rPr>
            </w:pPr>
          </w:p>
        </w:tc>
        <w:tc>
          <w:tcPr>
            <w:tcW w:w="1340" w:type="dxa"/>
            <w:vAlign w:val="center"/>
          </w:tcPr>
          <w:p w14:paraId="4AB09F5A">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评价因子</w:t>
            </w:r>
          </w:p>
        </w:tc>
        <w:tc>
          <w:tcPr>
            <w:tcW w:w="3574" w:type="dxa"/>
            <w:gridSpan w:val="10"/>
          </w:tcPr>
          <w:p w14:paraId="3150F856">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基本污染物（SO</w:t>
            </w:r>
            <w:r>
              <w:rPr>
                <w:rFonts w:cs="Times New Roman"/>
                <w:kern w:val="0"/>
                <w:sz w:val="18"/>
                <w:szCs w:val="18"/>
                <w:vertAlign w:val="subscript"/>
              </w:rPr>
              <w:t>2</w:t>
            </w:r>
            <w:r>
              <w:rPr>
                <w:rFonts w:cs="Times New Roman"/>
                <w:kern w:val="0"/>
                <w:sz w:val="18"/>
                <w:szCs w:val="18"/>
              </w:rPr>
              <w:t>、NOx、CO、臭氧、PM</w:t>
            </w:r>
            <w:r>
              <w:rPr>
                <w:rFonts w:cs="Times New Roman"/>
                <w:kern w:val="0"/>
                <w:sz w:val="18"/>
                <w:szCs w:val="18"/>
                <w:vertAlign w:val="subscript"/>
              </w:rPr>
              <w:t>10</w:t>
            </w:r>
            <w:r>
              <w:rPr>
                <w:rFonts w:cs="Times New Roman"/>
                <w:kern w:val="0"/>
                <w:sz w:val="18"/>
                <w:szCs w:val="18"/>
              </w:rPr>
              <w:t>、PM</w:t>
            </w:r>
            <w:r>
              <w:rPr>
                <w:rFonts w:cs="Times New Roman"/>
                <w:kern w:val="0"/>
                <w:sz w:val="18"/>
                <w:szCs w:val="18"/>
                <w:vertAlign w:val="subscript"/>
              </w:rPr>
              <w:t>2.5</w:t>
            </w:r>
            <w:r>
              <w:rPr>
                <w:rFonts w:cs="Times New Roman"/>
                <w:kern w:val="0"/>
                <w:sz w:val="18"/>
                <w:szCs w:val="18"/>
              </w:rPr>
              <w:t>）</w:t>
            </w:r>
          </w:p>
          <w:p w14:paraId="4477825F">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其他污染物（</w:t>
            </w:r>
            <w:r>
              <w:rPr>
                <w:rFonts w:hint="eastAsia" w:cs="Times New Roman"/>
                <w:kern w:val="0"/>
                <w:sz w:val="18"/>
                <w:szCs w:val="18"/>
                <w:lang w:val="en-US" w:eastAsia="zh-CN"/>
              </w:rPr>
              <w:t>TSP、</w:t>
            </w:r>
            <w:r>
              <w:rPr>
                <w:rFonts w:cs="Times New Roman"/>
                <w:kern w:val="0"/>
                <w:sz w:val="18"/>
                <w:szCs w:val="18"/>
              </w:rPr>
              <w:t>HCl、Cl</w:t>
            </w:r>
            <w:r>
              <w:rPr>
                <w:rFonts w:cs="Times New Roman"/>
                <w:kern w:val="0"/>
                <w:sz w:val="18"/>
                <w:szCs w:val="18"/>
                <w:vertAlign w:val="subscript"/>
              </w:rPr>
              <w:t>2</w:t>
            </w:r>
            <w:r>
              <w:rPr>
                <w:rFonts w:cs="Times New Roman"/>
                <w:kern w:val="0"/>
                <w:sz w:val="18"/>
                <w:szCs w:val="18"/>
              </w:rPr>
              <w:t>）</w:t>
            </w:r>
          </w:p>
        </w:tc>
        <w:tc>
          <w:tcPr>
            <w:tcW w:w="2881" w:type="dxa"/>
            <w:gridSpan w:val="9"/>
          </w:tcPr>
          <w:p w14:paraId="7BBDCC0E">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包括二次PM</w:t>
            </w:r>
            <w:r>
              <w:rPr>
                <w:rFonts w:cs="Times New Roman"/>
                <w:kern w:val="0"/>
                <w:sz w:val="18"/>
                <w:szCs w:val="18"/>
                <w:vertAlign w:val="subscript"/>
              </w:rPr>
              <w:t>2.5</w:t>
            </w:r>
            <w:r>
              <w:rPr>
                <w:rFonts w:cs="Times New Roman"/>
                <w:kern w:val="0"/>
                <w:sz w:val="18"/>
                <w:szCs w:val="18"/>
              </w:rPr>
              <w:sym w:font="Wingdings 2" w:char="00A3"/>
            </w:r>
          </w:p>
          <w:p w14:paraId="35008799">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不包括二次PM</w:t>
            </w:r>
            <w:r>
              <w:rPr>
                <w:rFonts w:cs="Times New Roman"/>
                <w:kern w:val="0"/>
                <w:sz w:val="18"/>
                <w:szCs w:val="18"/>
                <w:vertAlign w:val="subscript"/>
              </w:rPr>
              <w:t>2.5</w:t>
            </w:r>
            <w:r>
              <w:rPr>
                <w:rFonts w:cs="Times New Roman"/>
                <w:kern w:val="0"/>
                <w:sz w:val="18"/>
                <w:szCs w:val="18"/>
              </w:rPr>
              <w:sym w:font="Wingdings 2" w:char="0052"/>
            </w:r>
          </w:p>
        </w:tc>
      </w:tr>
      <w:tr w14:paraId="64FEC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tcPr>
          <w:p w14:paraId="3EB7A13F">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评价标准</w:t>
            </w:r>
          </w:p>
        </w:tc>
        <w:tc>
          <w:tcPr>
            <w:tcW w:w="1340" w:type="dxa"/>
            <w:vAlign w:val="center"/>
          </w:tcPr>
          <w:p w14:paraId="57C26034">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评价标准</w:t>
            </w:r>
          </w:p>
        </w:tc>
        <w:tc>
          <w:tcPr>
            <w:tcW w:w="1947" w:type="dxa"/>
            <w:gridSpan w:val="4"/>
            <w:vAlign w:val="center"/>
          </w:tcPr>
          <w:p w14:paraId="3A8E96EF">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国家标准</w:t>
            </w:r>
            <w:r>
              <w:rPr>
                <w:rFonts w:cs="Times New Roman"/>
                <w:kern w:val="0"/>
                <w:sz w:val="18"/>
                <w:szCs w:val="18"/>
              </w:rPr>
              <w:sym w:font="Wingdings 2" w:char="0052"/>
            </w:r>
          </w:p>
        </w:tc>
        <w:tc>
          <w:tcPr>
            <w:tcW w:w="1627" w:type="dxa"/>
            <w:gridSpan w:val="6"/>
            <w:vAlign w:val="center"/>
          </w:tcPr>
          <w:p w14:paraId="61E8490A">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地方标准□</w:t>
            </w:r>
          </w:p>
        </w:tc>
        <w:tc>
          <w:tcPr>
            <w:tcW w:w="1735" w:type="dxa"/>
            <w:gridSpan w:val="7"/>
            <w:vAlign w:val="center"/>
          </w:tcPr>
          <w:p w14:paraId="545E466A">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附录D</w:t>
            </w:r>
            <w:r>
              <w:rPr>
                <w:rFonts w:cs="Times New Roman"/>
                <w:kern w:val="0"/>
                <w:sz w:val="18"/>
                <w:szCs w:val="18"/>
              </w:rPr>
              <w:sym w:font="Wingdings 2" w:char="0052"/>
            </w:r>
          </w:p>
        </w:tc>
        <w:tc>
          <w:tcPr>
            <w:tcW w:w="1146" w:type="dxa"/>
            <w:gridSpan w:val="2"/>
            <w:vAlign w:val="center"/>
          </w:tcPr>
          <w:p w14:paraId="78E61561">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其他标准□</w:t>
            </w:r>
          </w:p>
        </w:tc>
      </w:tr>
      <w:tr w14:paraId="1F4F9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Merge w:val="restart"/>
            <w:vAlign w:val="center"/>
          </w:tcPr>
          <w:p w14:paraId="2EAB4B48">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现状评价</w:t>
            </w:r>
          </w:p>
        </w:tc>
        <w:tc>
          <w:tcPr>
            <w:tcW w:w="1340" w:type="dxa"/>
            <w:vAlign w:val="center"/>
          </w:tcPr>
          <w:p w14:paraId="2EFEDA64">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环境功能区</w:t>
            </w:r>
          </w:p>
        </w:tc>
        <w:tc>
          <w:tcPr>
            <w:tcW w:w="2117" w:type="dxa"/>
            <w:gridSpan w:val="5"/>
            <w:vAlign w:val="center"/>
          </w:tcPr>
          <w:p w14:paraId="24EB5ADA">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一类区□</w:t>
            </w:r>
          </w:p>
        </w:tc>
        <w:tc>
          <w:tcPr>
            <w:tcW w:w="2698" w:type="dxa"/>
            <w:gridSpan w:val="9"/>
            <w:vAlign w:val="center"/>
          </w:tcPr>
          <w:p w14:paraId="64EAADBC">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二类区</w:t>
            </w:r>
            <w:r>
              <w:rPr>
                <w:rFonts w:cs="Times New Roman"/>
                <w:kern w:val="0"/>
                <w:sz w:val="18"/>
                <w:szCs w:val="18"/>
              </w:rPr>
              <w:sym w:font="Wingdings 2" w:char="0052"/>
            </w:r>
          </w:p>
        </w:tc>
        <w:tc>
          <w:tcPr>
            <w:tcW w:w="1640" w:type="dxa"/>
            <w:gridSpan w:val="5"/>
          </w:tcPr>
          <w:p w14:paraId="4B6BB527">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一类区和二类区□</w:t>
            </w:r>
          </w:p>
        </w:tc>
      </w:tr>
      <w:tr w14:paraId="13C52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Merge w:val="continue"/>
          </w:tcPr>
          <w:p w14:paraId="004F8081">
            <w:pPr>
              <w:tabs>
                <w:tab w:val="left" w:pos="1021"/>
              </w:tabs>
              <w:snapToGrid w:val="0"/>
              <w:spacing w:line="240" w:lineRule="auto"/>
              <w:ind w:firstLine="0" w:firstLineChars="0"/>
              <w:jc w:val="center"/>
              <w:rPr>
                <w:rFonts w:cs="Times New Roman"/>
                <w:b/>
                <w:kern w:val="0"/>
                <w:sz w:val="18"/>
                <w:szCs w:val="18"/>
              </w:rPr>
            </w:pPr>
          </w:p>
        </w:tc>
        <w:tc>
          <w:tcPr>
            <w:tcW w:w="1340" w:type="dxa"/>
          </w:tcPr>
          <w:p w14:paraId="539853DE">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环评基准年</w:t>
            </w:r>
          </w:p>
        </w:tc>
        <w:tc>
          <w:tcPr>
            <w:tcW w:w="6455" w:type="dxa"/>
            <w:gridSpan w:val="19"/>
          </w:tcPr>
          <w:p w14:paraId="430FA001">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（202</w:t>
            </w:r>
            <w:r>
              <w:rPr>
                <w:rFonts w:hint="eastAsia" w:cs="Times New Roman"/>
                <w:kern w:val="0"/>
                <w:sz w:val="18"/>
                <w:szCs w:val="18"/>
                <w:lang w:val="en-US" w:eastAsia="zh-CN"/>
              </w:rPr>
              <w:t>3</w:t>
            </w:r>
            <w:r>
              <w:rPr>
                <w:rFonts w:cs="Times New Roman"/>
                <w:kern w:val="0"/>
                <w:sz w:val="18"/>
                <w:szCs w:val="18"/>
              </w:rPr>
              <w:t>）年</w:t>
            </w:r>
          </w:p>
        </w:tc>
      </w:tr>
      <w:tr w14:paraId="4FC4B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733" w:type="dxa"/>
            <w:vMerge w:val="continue"/>
          </w:tcPr>
          <w:p w14:paraId="4C6F93C7">
            <w:pPr>
              <w:tabs>
                <w:tab w:val="left" w:pos="1021"/>
              </w:tabs>
              <w:snapToGrid w:val="0"/>
              <w:spacing w:line="240" w:lineRule="auto"/>
              <w:ind w:firstLine="0" w:firstLineChars="0"/>
              <w:jc w:val="center"/>
              <w:rPr>
                <w:rFonts w:cs="Times New Roman"/>
                <w:b/>
                <w:kern w:val="0"/>
                <w:sz w:val="18"/>
                <w:szCs w:val="18"/>
              </w:rPr>
            </w:pPr>
          </w:p>
        </w:tc>
        <w:tc>
          <w:tcPr>
            <w:tcW w:w="1340" w:type="dxa"/>
            <w:vAlign w:val="center"/>
          </w:tcPr>
          <w:p w14:paraId="7BAD16FE">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环境空气质量现状调查数据来源</w:t>
            </w:r>
          </w:p>
        </w:tc>
        <w:tc>
          <w:tcPr>
            <w:tcW w:w="2117" w:type="dxa"/>
            <w:gridSpan w:val="5"/>
            <w:vAlign w:val="center"/>
          </w:tcPr>
          <w:p w14:paraId="03756D06">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长期例行监测数据</w:t>
            </w:r>
            <w:r>
              <w:rPr>
                <w:rFonts w:cs="Times New Roman"/>
                <w:kern w:val="0"/>
                <w:sz w:val="18"/>
                <w:szCs w:val="18"/>
              </w:rPr>
              <w:sym w:font="Wingdings 2" w:char="00A3"/>
            </w:r>
          </w:p>
        </w:tc>
        <w:tc>
          <w:tcPr>
            <w:tcW w:w="2698" w:type="dxa"/>
            <w:gridSpan w:val="9"/>
            <w:vAlign w:val="center"/>
          </w:tcPr>
          <w:p w14:paraId="7549A17B">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主管部门发布的数据</w:t>
            </w:r>
            <w:r>
              <w:rPr>
                <w:rFonts w:cs="Times New Roman"/>
                <w:kern w:val="0"/>
                <w:sz w:val="18"/>
                <w:szCs w:val="18"/>
              </w:rPr>
              <w:sym w:font="Wingdings 2" w:char="0052"/>
            </w:r>
          </w:p>
        </w:tc>
        <w:tc>
          <w:tcPr>
            <w:tcW w:w="1640" w:type="dxa"/>
            <w:gridSpan w:val="5"/>
            <w:vAlign w:val="center"/>
          </w:tcPr>
          <w:p w14:paraId="5FA4598C">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现状补充监测</w:t>
            </w:r>
            <w:r>
              <w:rPr>
                <w:rFonts w:cs="Times New Roman"/>
                <w:kern w:val="0"/>
                <w:sz w:val="18"/>
                <w:szCs w:val="18"/>
              </w:rPr>
              <w:sym w:font="Wingdings 2" w:char="0052"/>
            </w:r>
          </w:p>
        </w:tc>
      </w:tr>
      <w:tr w14:paraId="6BEE8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Merge w:val="continue"/>
          </w:tcPr>
          <w:p w14:paraId="3E5822E3">
            <w:pPr>
              <w:tabs>
                <w:tab w:val="left" w:pos="1021"/>
              </w:tabs>
              <w:snapToGrid w:val="0"/>
              <w:spacing w:line="240" w:lineRule="auto"/>
              <w:ind w:firstLine="0" w:firstLineChars="0"/>
              <w:jc w:val="center"/>
              <w:rPr>
                <w:rFonts w:cs="Times New Roman"/>
                <w:b/>
                <w:kern w:val="0"/>
                <w:sz w:val="18"/>
                <w:szCs w:val="18"/>
              </w:rPr>
            </w:pPr>
          </w:p>
        </w:tc>
        <w:tc>
          <w:tcPr>
            <w:tcW w:w="1340" w:type="dxa"/>
          </w:tcPr>
          <w:p w14:paraId="19467B36">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现状评价</w:t>
            </w:r>
          </w:p>
        </w:tc>
        <w:tc>
          <w:tcPr>
            <w:tcW w:w="3574" w:type="dxa"/>
            <w:gridSpan w:val="10"/>
          </w:tcPr>
          <w:p w14:paraId="0201EB45">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达标区</w:t>
            </w:r>
            <w:r>
              <w:rPr>
                <w:rFonts w:cs="Times New Roman"/>
                <w:kern w:val="0"/>
                <w:sz w:val="18"/>
                <w:szCs w:val="18"/>
              </w:rPr>
              <w:sym w:font="Wingdings 2" w:char="00A3"/>
            </w:r>
          </w:p>
        </w:tc>
        <w:tc>
          <w:tcPr>
            <w:tcW w:w="2881" w:type="dxa"/>
            <w:gridSpan w:val="9"/>
          </w:tcPr>
          <w:p w14:paraId="378CA37E">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不达标区</w:t>
            </w:r>
            <w:r>
              <w:rPr>
                <w:rFonts w:cs="Times New Roman"/>
                <w:kern w:val="0"/>
                <w:sz w:val="18"/>
                <w:szCs w:val="18"/>
              </w:rPr>
              <w:sym w:font="Wingdings 2" w:char="0052"/>
            </w:r>
          </w:p>
        </w:tc>
      </w:tr>
      <w:tr w14:paraId="5DD0C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trPr>
        <w:tc>
          <w:tcPr>
            <w:tcW w:w="733" w:type="dxa"/>
            <w:vAlign w:val="center"/>
          </w:tcPr>
          <w:p w14:paraId="2A610337">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污染源调查</w:t>
            </w:r>
          </w:p>
        </w:tc>
        <w:tc>
          <w:tcPr>
            <w:tcW w:w="1340" w:type="dxa"/>
            <w:vAlign w:val="center"/>
          </w:tcPr>
          <w:p w14:paraId="58726EA3">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调查内容</w:t>
            </w:r>
          </w:p>
        </w:tc>
        <w:tc>
          <w:tcPr>
            <w:tcW w:w="1947" w:type="dxa"/>
            <w:gridSpan w:val="4"/>
          </w:tcPr>
          <w:p w14:paraId="250DAF4D">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 xml:space="preserve">本项目正常排放源  </w:t>
            </w:r>
            <w:r>
              <w:rPr>
                <w:rFonts w:cs="Times New Roman"/>
                <w:kern w:val="0"/>
                <w:sz w:val="18"/>
                <w:szCs w:val="18"/>
              </w:rPr>
              <w:sym w:font="Wingdings 2" w:char="0052"/>
            </w:r>
          </w:p>
          <w:p w14:paraId="272299C3">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本项目非正常排放源</w:t>
            </w:r>
            <w:r>
              <w:rPr>
                <w:rFonts w:cs="Times New Roman"/>
                <w:kern w:val="0"/>
                <w:sz w:val="18"/>
                <w:szCs w:val="18"/>
              </w:rPr>
              <w:sym w:font="Wingdings 2" w:char="0052"/>
            </w:r>
          </w:p>
          <w:p w14:paraId="2C838F8C">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 xml:space="preserve">现有污染源        </w:t>
            </w:r>
            <w:r>
              <w:rPr>
                <w:rFonts w:cs="Times New Roman"/>
                <w:kern w:val="0"/>
                <w:sz w:val="18"/>
                <w:szCs w:val="18"/>
              </w:rPr>
              <w:sym w:font="Wingdings 2" w:char="0052"/>
            </w:r>
          </w:p>
        </w:tc>
        <w:tc>
          <w:tcPr>
            <w:tcW w:w="1627" w:type="dxa"/>
            <w:gridSpan w:val="6"/>
            <w:vAlign w:val="center"/>
          </w:tcPr>
          <w:p w14:paraId="65330A10">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拟替代的污染源</w:t>
            </w:r>
            <w:r>
              <w:rPr>
                <w:rFonts w:cs="Times New Roman"/>
                <w:kern w:val="0"/>
                <w:sz w:val="18"/>
                <w:szCs w:val="18"/>
              </w:rPr>
              <w:sym w:font="Wingdings 2" w:char="0052"/>
            </w:r>
          </w:p>
        </w:tc>
        <w:tc>
          <w:tcPr>
            <w:tcW w:w="1735" w:type="dxa"/>
            <w:gridSpan w:val="7"/>
            <w:vAlign w:val="center"/>
          </w:tcPr>
          <w:p w14:paraId="157FEBDC">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其他在建、拟建项目污染源</w:t>
            </w:r>
            <w:r>
              <w:rPr>
                <w:rFonts w:cs="Times New Roman"/>
                <w:kern w:val="0"/>
                <w:sz w:val="18"/>
                <w:szCs w:val="18"/>
              </w:rPr>
              <w:sym w:font="Wingdings 2" w:char="0052"/>
            </w:r>
          </w:p>
        </w:tc>
        <w:tc>
          <w:tcPr>
            <w:tcW w:w="1146" w:type="dxa"/>
            <w:gridSpan w:val="2"/>
            <w:vAlign w:val="center"/>
          </w:tcPr>
          <w:p w14:paraId="14E3EB8E">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区域污染源</w:t>
            </w:r>
            <w:r>
              <w:rPr>
                <w:rFonts w:cs="Times New Roman"/>
                <w:kern w:val="0"/>
                <w:sz w:val="18"/>
                <w:szCs w:val="18"/>
              </w:rPr>
              <w:sym w:font="Wingdings 2" w:char="0052"/>
            </w:r>
          </w:p>
        </w:tc>
      </w:tr>
      <w:tr w14:paraId="7DC26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733" w:type="dxa"/>
            <w:vMerge w:val="restart"/>
            <w:vAlign w:val="center"/>
          </w:tcPr>
          <w:p w14:paraId="5C36883E">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大气环境影响预测与评价</w:t>
            </w:r>
          </w:p>
        </w:tc>
        <w:tc>
          <w:tcPr>
            <w:tcW w:w="1340" w:type="dxa"/>
            <w:vAlign w:val="center"/>
          </w:tcPr>
          <w:p w14:paraId="5F86DB3E">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预测模型</w:t>
            </w:r>
          </w:p>
        </w:tc>
        <w:tc>
          <w:tcPr>
            <w:tcW w:w="968" w:type="dxa"/>
            <w:vAlign w:val="center"/>
          </w:tcPr>
          <w:p w14:paraId="3013BC53">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AERMOD</w:t>
            </w:r>
            <w:r>
              <w:rPr>
                <w:rFonts w:cs="Times New Roman"/>
                <w:kern w:val="0"/>
                <w:sz w:val="18"/>
                <w:szCs w:val="18"/>
              </w:rPr>
              <w:sym w:font="Wingdings 2" w:char="0052"/>
            </w:r>
          </w:p>
        </w:tc>
        <w:tc>
          <w:tcPr>
            <w:tcW w:w="979" w:type="dxa"/>
            <w:gridSpan w:val="3"/>
            <w:vAlign w:val="center"/>
          </w:tcPr>
          <w:p w14:paraId="17BDED82">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ADMS□</w:t>
            </w:r>
          </w:p>
        </w:tc>
        <w:tc>
          <w:tcPr>
            <w:tcW w:w="1039" w:type="dxa"/>
            <w:gridSpan w:val="4"/>
            <w:vAlign w:val="center"/>
          </w:tcPr>
          <w:p w14:paraId="298F585D">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AUSTAL2000□</w:t>
            </w:r>
          </w:p>
        </w:tc>
        <w:tc>
          <w:tcPr>
            <w:tcW w:w="1201" w:type="dxa"/>
            <w:gridSpan w:val="4"/>
            <w:vAlign w:val="center"/>
          </w:tcPr>
          <w:p w14:paraId="09C3C881">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EDMS/AEDT□</w:t>
            </w:r>
          </w:p>
        </w:tc>
        <w:tc>
          <w:tcPr>
            <w:tcW w:w="943" w:type="dxa"/>
            <w:gridSpan w:val="4"/>
            <w:vAlign w:val="center"/>
          </w:tcPr>
          <w:p w14:paraId="0D47186D">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CALPUFF□</w:t>
            </w:r>
          </w:p>
        </w:tc>
        <w:tc>
          <w:tcPr>
            <w:tcW w:w="625" w:type="dxa"/>
            <w:gridSpan w:val="2"/>
            <w:vAlign w:val="center"/>
          </w:tcPr>
          <w:p w14:paraId="64F2C31B">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网格模型□</w:t>
            </w:r>
          </w:p>
        </w:tc>
        <w:tc>
          <w:tcPr>
            <w:tcW w:w="700" w:type="dxa"/>
            <w:vAlign w:val="center"/>
          </w:tcPr>
          <w:p w14:paraId="155BA7E3">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其他□</w:t>
            </w:r>
          </w:p>
        </w:tc>
      </w:tr>
      <w:tr w14:paraId="59B27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Merge w:val="continue"/>
          </w:tcPr>
          <w:p w14:paraId="171C8BB2">
            <w:pPr>
              <w:tabs>
                <w:tab w:val="left" w:pos="1021"/>
              </w:tabs>
              <w:snapToGrid w:val="0"/>
              <w:spacing w:line="240" w:lineRule="auto"/>
              <w:ind w:firstLine="0" w:firstLineChars="0"/>
              <w:jc w:val="center"/>
              <w:rPr>
                <w:rFonts w:cs="Times New Roman"/>
                <w:b/>
                <w:kern w:val="0"/>
                <w:sz w:val="18"/>
                <w:szCs w:val="18"/>
              </w:rPr>
            </w:pPr>
          </w:p>
        </w:tc>
        <w:tc>
          <w:tcPr>
            <w:tcW w:w="1340" w:type="dxa"/>
          </w:tcPr>
          <w:p w14:paraId="3A37ADC4">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预测范围</w:t>
            </w:r>
          </w:p>
        </w:tc>
        <w:tc>
          <w:tcPr>
            <w:tcW w:w="2152" w:type="dxa"/>
            <w:gridSpan w:val="6"/>
          </w:tcPr>
          <w:p w14:paraId="17016BCA">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边长≥50km □</w:t>
            </w:r>
          </w:p>
        </w:tc>
        <w:tc>
          <w:tcPr>
            <w:tcW w:w="2151" w:type="dxa"/>
            <w:gridSpan w:val="7"/>
          </w:tcPr>
          <w:p w14:paraId="17EBF2DB">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边长5～50km □</w:t>
            </w:r>
          </w:p>
        </w:tc>
        <w:tc>
          <w:tcPr>
            <w:tcW w:w="2152" w:type="dxa"/>
            <w:gridSpan w:val="6"/>
          </w:tcPr>
          <w:p w14:paraId="239AA4C9">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 xml:space="preserve">边长=5km </w:t>
            </w:r>
            <w:r>
              <w:rPr>
                <w:rFonts w:cs="Times New Roman"/>
                <w:kern w:val="0"/>
                <w:sz w:val="18"/>
                <w:szCs w:val="18"/>
              </w:rPr>
              <w:sym w:font="Wingdings 2" w:char="0052"/>
            </w:r>
          </w:p>
        </w:tc>
      </w:tr>
      <w:tr w14:paraId="5EEF1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Merge w:val="continue"/>
          </w:tcPr>
          <w:p w14:paraId="22005902">
            <w:pPr>
              <w:tabs>
                <w:tab w:val="left" w:pos="1021"/>
              </w:tabs>
              <w:snapToGrid w:val="0"/>
              <w:spacing w:line="240" w:lineRule="auto"/>
              <w:ind w:firstLine="0" w:firstLineChars="0"/>
              <w:jc w:val="center"/>
              <w:rPr>
                <w:rFonts w:cs="Times New Roman"/>
                <w:b/>
                <w:kern w:val="0"/>
                <w:sz w:val="18"/>
                <w:szCs w:val="18"/>
                <w:highlight w:val="yellow"/>
              </w:rPr>
            </w:pPr>
          </w:p>
        </w:tc>
        <w:tc>
          <w:tcPr>
            <w:tcW w:w="1340" w:type="dxa"/>
            <w:vMerge w:val="restart"/>
            <w:vAlign w:val="center"/>
          </w:tcPr>
          <w:p w14:paraId="792A09C0">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预测因子</w:t>
            </w:r>
          </w:p>
        </w:tc>
        <w:tc>
          <w:tcPr>
            <w:tcW w:w="3226" w:type="dxa"/>
            <w:gridSpan w:val="9"/>
            <w:vMerge w:val="restart"/>
            <w:vAlign w:val="center"/>
          </w:tcPr>
          <w:p w14:paraId="794C874B">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预测因子（HCl、Cl2）</w:t>
            </w:r>
          </w:p>
        </w:tc>
        <w:tc>
          <w:tcPr>
            <w:tcW w:w="3229" w:type="dxa"/>
            <w:gridSpan w:val="10"/>
          </w:tcPr>
          <w:p w14:paraId="51E89B42">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包括二次PM</w:t>
            </w:r>
            <w:r>
              <w:rPr>
                <w:rFonts w:cs="Times New Roman"/>
                <w:kern w:val="0"/>
                <w:sz w:val="18"/>
                <w:szCs w:val="18"/>
                <w:vertAlign w:val="subscript"/>
              </w:rPr>
              <w:t>2.5</w:t>
            </w:r>
            <w:r>
              <w:rPr>
                <w:rFonts w:cs="Times New Roman"/>
                <w:kern w:val="0"/>
                <w:sz w:val="18"/>
                <w:szCs w:val="18"/>
              </w:rPr>
              <w:t>□</w:t>
            </w:r>
          </w:p>
        </w:tc>
      </w:tr>
      <w:tr w14:paraId="4BDB6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Merge w:val="continue"/>
          </w:tcPr>
          <w:p w14:paraId="4A792F20">
            <w:pPr>
              <w:tabs>
                <w:tab w:val="left" w:pos="1021"/>
              </w:tabs>
              <w:snapToGrid w:val="0"/>
              <w:spacing w:line="240" w:lineRule="auto"/>
              <w:ind w:firstLine="0" w:firstLineChars="0"/>
              <w:jc w:val="center"/>
              <w:rPr>
                <w:rFonts w:cs="Times New Roman"/>
                <w:b/>
                <w:kern w:val="0"/>
                <w:sz w:val="18"/>
                <w:szCs w:val="18"/>
                <w:highlight w:val="yellow"/>
              </w:rPr>
            </w:pPr>
          </w:p>
        </w:tc>
        <w:tc>
          <w:tcPr>
            <w:tcW w:w="1340" w:type="dxa"/>
            <w:vMerge w:val="continue"/>
          </w:tcPr>
          <w:p w14:paraId="475B8B03">
            <w:pPr>
              <w:tabs>
                <w:tab w:val="left" w:pos="1021"/>
              </w:tabs>
              <w:snapToGrid w:val="0"/>
              <w:spacing w:line="240" w:lineRule="auto"/>
              <w:ind w:firstLine="0" w:firstLineChars="0"/>
              <w:jc w:val="center"/>
              <w:rPr>
                <w:rFonts w:cs="Times New Roman"/>
                <w:kern w:val="0"/>
                <w:sz w:val="18"/>
                <w:szCs w:val="18"/>
              </w:rPr>
            </w:pPr>
          </w:p>
        </w:tc>
        <w:tc>
          <w:tcPr>
            <w:tcW w:w="3226" w:type="dxa"/>
            <w:gridSpan w:val="9"/>
            <w:vMerge w:val="continue"/>
          </w:tcPr>
          <w:p w14:paraId="09F2A489">
            <w:pPr>
              <w:tabs>
                <w:tab w:val="left" w:pos="1021"/>
              </w:tabs>
              <w:snapToGrid w:val="0"/>
              <w:spacing w:line="240" w:lineRule="auto"/>
              <w:ind w:firstLine="0" w:firstLineChars="0"/>
              <w:jc w:val="center"/>
              <w:rPr>
                <w:rFonts w:cs="Times New Roman"/>
                <w:b/>
                <w:kern w:val="0"/>
                <w:sz w:val="18"/>
                <w:szCs w:val="18"/>
              </w:rPr>
            </w:pPr>
          </w:p>
        </w:tc>
        <w:tc>
          <w:tcPr>
            <w:tcW w:w="3229" w:type="dxa"/>
            <w:gridSpan w:val="10"/>
          </w:tcPr>
          <w:p w14:paraId="5A8A396E">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不包括二次PM</w:t>
            </w:r>
            <w:r>
              <w:rPr>
                <w:rFonts w:cs="Times New Roman"/>
                <w:kern w:val="0"/>
                <w:sz w:val="18"/>
                <w:szCs w:val="18"/>
                <w:vertAlign w:val="subscript"/>
              </w:rPr>
              <w:t>2.5</w:t>
            </w:r>
            <w:r>
              <w:rPr>
                <w:rFonts w:cs="Times New Roman"/>
                <w:kern w:val="0"/>
                <w:sz w:val="18"/>
                <w:szCs w:val="18"/>
              </w:rPr>
              <w:sym w:font="Wingdings 2" w:char="0052"/>
            </w:r>
          </w:p>
        </w:tc>
      </w:tr>
      <w:tr w14:paraId="13B0A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733" w:type="dxa"/>
            <w:vMerge w:val="continue"/>
          </w:tcPr>
          <w:p w14:paraId="31A66F3C">
            <w:pPr>
              <w:tabs>
                <w:tab w:val="left" w:pos="1021"/>
              </w:tabs>
              <w:snapToGrid w:val="0"/>
              <w:spacing w:line="240" w:lineRule="auto"/>
              <w:ind w:firstLine="0" w:firstLineChars="0"/>
              <w:jc w:val="center"/>
              <w:rPr>
                <w:rFonts w:cs="Times New Roman"/>
                <w:b/>
                <w:kern w:val="0"/>
                <w:sz w:val="18"/>
                <w:szCs w:val="18"/>
                <w:highlight w:val="yellow"/>
              </w:rPr>
            </w:pPr>
          </w:p>
        </w:tc>
        <w:tc>
          <w:tcPr>
            <w:tcW w:w="1340" w:type="dxa"/>
            <w:vAlign w:val="center"/>
          </w:tcPr>
          <w:p w14:paraId="239E648C">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正常排放短期浓度贡献值</w:t>
            </w:r>
          </w:p>
        </w:tc>
        <w:tc>
          <w:tcPr>
            <w:tcW w:w="3226" w:type="dxa"/>
            <w:gridSpan w:val="9"/>
            <w:vAlign w:val="center"/>
          </w:tcPr>
          <w:p w14:paraId="39C33475">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C</w:t>
            </w:r>
            <w:r>
              <w:rPr>
                <w:rFonts w:cs="Times New Roman"/>
                <w:kern w:val="0"/>
                <w:sz w:val="18"/>
                <w:szCs w:val="18"/>
                <w:vertAlign w:val="subscript"/>
              </w:rPr>
              <w:t>本项目</w:t>
            </w:r>
            <w:r>
              <w:rPr>
                <w:rFonts w:cs="Times New Roman"/>
                <w:kern w:val="0"/>
                <w:sz w:val="18"/>
                <w:szCs w:val="18"/>
              </w:rPr>
              <w:t>最大占标率≤100%</w:t>
            </w:r>
            <w:r>
              <w:rPr>
                <w:rFonts w:cs="Times New Roman"/>
                <w:kern w:val="0"/>
                <w:sz w:val="18"/>
                <w:szCs w:val="18"/>
              </w:rPr>
              <w:sym w:font="Wingdings 2" w:char="0052"/>
            </w:r>
          </w:p>
        </w:tc>
        <w:tc>
          <w:tcPr>
            <w:tcW w:w="3229" w:type="dxa"/>
            <w:gridSpan w:val="10"/>
            <w:vAlign w:val="center"/>
          </w:tcPr>
          <w:p w14:paraId="4F48A2D8">
            <w:pPr>
              <w:tabs>
                <w:tab w:val="left" w:pos="1021"/>
              </w:tabs>
              <w:snapToGrid w:val="0"/>
              <w:spacing w:line="240" w:lineRule="auto"/>
              <w:ind w:firstLine="0" w:firstLineChars="0"/>
              <w:jc w:val="center"/>
              <w:rPr>
                <w:rFonts w:cs="Times New Roman"/>
                <w:b/>
                <w:kern w:val="0"/>
                <w:sz w:val="18"/>
                <w:szCs w:val="18"/>
              </w:rPr>
            </w:pPr>
            <w:r>
              <w:rPr>
                <w:rFonts w:cs="Times New Roman"/>
                <w:kern w:val="0"/>
                <w:sz w:val="18"/>
                <w:szCs w:val="18"/>
              </w:rPr>
              <w:t>C</w:t>
            </w:r>
            <w:r>
              <w:rPr>
                <w:rFonts w:cs="Times New Roman"/>
                <w:kern w:val="0"/>
                <w:sz w:val="18"/>
                <w:szCs w:val="18"/>
                <w:vertAlign w:val="subscript"/>
              </w:rPr>
              <w:t>本项目</w:t>
            </w:r>
            <w:r>
              <w:rPr>
                <w:rFonts w:cs="Times New Roman"/>
                <w:kern w:val="0"/>
                <w:sz w:val="18"/>
                <w:szCs w:val="18"/>
              </w:rPr>
              <w:t>最大占标率&gt;100%□</w:t>
            </w:r>
          </w:p>
        </w:tc>
      </w:tr>
      <w:tr w14:paraId="30E5F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Merge w:val="continue"/>
          </w:tcPr>
          <w:p w14:paraId="60E07BD6">
            <w:pPr>
              <w:tabs>
                <w:tab w:val="left" w:pos="1021"/>
              </w:tabs>
              <w:snapToGrid w:val="0"/>
              <w:spacing w:line="240" w:lineRule="auto"/>
              <w:ind w:firstLine="0" w:firstLineChars="0"/>
              <w:jc w:val="center"/>
              <w:rPr>
                <w:rFonts w:cs="Times New Roman"/>
                <w:b/>
                <w:kern w:val="0"/>
                <w:sz w:val="18"/>
                <w:szCs w:val="18"/>
                <w:highlight w:val="yellow"/>
              </w:rPr>
            </w:pPr>
          </w:p>
        </w:tc>
        <w:tc>
          <w:tcPr>
            <w:tcW w:w="1340" w:type="dxa"/>
            <w:vMerge w:val="restart"/>
            <w:vAlign w:val="center"/>
          </w:tcPr>
          <w:p w14:paraId="525C0877">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正常排放年均浓度贡献值</w:t>
            </w:r>
          </w:p>
        </w:tc>
        <w:tc>
          <w:tcPr>
            <w:tcW w:w="1103" w:type="dxa"/>
            <w:gridSpan w:val="2"/>
          </w:tcPr>
          <w:p w14:paraId="7CC3F592">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一类区</w:t>
            </w:r>
          </w:p>
        </w:tc>
        <w:tc>
          <w:tcPr>
            <w:tcW w:w="2676" w:type="dxa"/>
            <w:gridSpan w:val="9"/>
          </w:tcPr>
          <w:p w14:paraId="4140FE45">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C</w:t>
            </w:r>
            <w:r>
              <w:rPr>
                <w:rFonts w:cs="Times New Roman"/>
                <w:kern w:val="0"/>
                <w:sz w:val="18"/>
                <w:szCs w:val="18"/>
                <w:vertAlign w:val="subscript"/>
              </w:rPr>
              <w:t>本项目</w:t>
            </w:r>
            <w:r>
              <w:rPr>
                <w:rFonts w:cs="Times New Roman"/>
                <w:kern w:val="0"/>
                <w:sz w:val="18"/>
                <w:szCs w:val="18"/>
              </w:rPr>
              <w:t>最大占标率≤10%□</w:t>
            </w:r>
          </w:p>
        </w:tc>
        <w:tc>
          <w:tcPr>
            <w:tcW w:w="2676" w:type="dxa"/>
            <w:gridSpan w:val="8"/>
          </w:tcPr>
          <w:p w14:paraId="0F05E398">
            <w:pPr>
              <w:tabs>
                <w:tab w:val="left" w:pos="1021"/>
              </w:tabs>
              <w:snapToGrid w:val="0"/>
              <w:spacing w:line="240" w:lineRule="auto"/>
              <w:ind w:firstLine="0" w:firstLineChars="0"/>
              <w:jc w:val="center"/>
              <w:rPr>
                <w:rFonts w:cs="Times New Roman"/>
                <w:b/>
                <w:kern w:val="0"/>
                <w:sz w:val="18"/>
                <w:szCs w:val="18"/>
              </w:rPr>
            </w:pPr>
            <w:r>
              <w:rPr>
                <w:rFonts w:cs="Times New Roman"/>
                <w:kern w:val="0"/>
                <w:sz w:val="18"/>
                <w:szCs w:val="18"/>
              </w:rPr>
              <w:t>C</w:t>
            </w:r>
            <w:r>
              <w:rPr>
                <w:rFonts w:cs="Times New Roman"/>
                <w:kern w:val="0"/>
                <w:sz w:val="18"/>
                <w:szCs w:val="18"/>
                <w:vertAlign w:val="subscript"/>
              </w:rPr>
              <w:t>本项目</w:t>
            </w:r>
            <w:r>
              <w:rPr>
                <w:rFonts w:cs="Times New Roman"/>
                <w:kern w:val="0"/>
                <w:sz w:val="18"/>
                <w:szCs w:val="18"/>
              </w:rPr>
              <w:t>最大占标率&gt;10%□</w:t>
            </w:r>
          </w:p>
        </w:tc>
      </w:tr>
      <w:tr w14:paraId="511B6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Merge w:val="continue"/>
          </w:tcPr>
          <w:p w14:paraId="550A3760">
            <w:pPr>
              <w:tabs>
                <w:tab w:val="left" w:pos="1021"/>
              </w:tabs>
              <w:snapToGrid w:val="0"/>
              <w:spacing w:line="240" w:lineRule="auto"/>
              <w:ind w:firstLine="0" w:firstLineChars="0"/>
              <w:jc w:val="center"/>
              <w:rPr>
                <w:rFonts w:cs="Times New Roman"/>
                <w:b/>
                <w:kern w:val="0"/>
                <w:sz w:val="18"/>
                <w:szCs w:val="18"/>
                <w:highlight w:val="yellow"/>
              </w:rPr>
            </w:pPr>
          </w:p>
        </w:tc>
        <w:tc>
          <w:tcPr>
            <w:tcW w:w="1340" w:type="dxa"/>
            <w:vMerge w:val="continue"/>
          </w:tcPr>
          <w:p w14:paraId="27C3F0A9">
            <w:pPr>
              <w:tabs>
                <w:tab w:val="left" w:pos="1021"/>
              </w:tabs>
              <w:snapToGrid w:val="0"/>
              <w:spacing w:line="240" w:lineRule="auto"/>
              <w:ind w:firstLine="0" w:firstLineChars="0"/>
              <w:jc w:val="center"/>
              <w:rPr>
                <w:rFonts w:cs="Times New Roman"/>
                <w:kern w:val="0"/>
                <w:sz w:val="18"/>
                <w:szCs w:val="18"/>
              </w:rPr>
            </w:pPr>
          </w:p>
        </w:tc>
        <w:tc>
          <w:tcPr>
            <w:tcW w:w="1103" w:type="dxa"/>
            <w:gridSpan w:val="2"/>
          </w:tcPr>
          <w:p w14:paraId="5CCE475D">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二类区</w:t>
            </w:r>
          </w:p>
        </w:tc>
        <w:tc>
          <w:tcPr>
            <w:tcW w:w="2676" w:type="dxa"/>
            <w:gridSpan w:val="9"/>
          </w:tcPr>
          <w:p w14:paraId="6CAD6223">
            <w:pPr>
              <w:tabs>
                <w:tab w:val="left" w:pos="1021"/>
              </w:tabs>
              <w:snapToGrid w:val="0"/>
              <w:spacing w:line="240" w:lineRule="auto"/>
              <w:ind w:firstLine="0" w:firstLineChars="0"/>
              <w:jc w:val="center"/>
              <w:rPr>
                <w:rFonts w:cs="Times New Roman"/>
                <w:b/>
                <w:kern w:val="0"/>
                <w:sz w:val="18"/>
                <w:szCs w:val="18"/>
              </w:rPr>
            </w:pPr>
            <w:r>
              <w:rPr>
                <w:rFonts w:cs="Times New Roman"/>
                <w:kern w:val="0"/>
                <w:sz w:val="18"/>
                <w:szCs w:val="18"/>
              </w:rPr>
              <w:t>C</w:t>
            </w:r>
            <w:r>
              <w:rPr>
                <w:rFonts w:cs="Times New Roman"/>
                <w:kern w:val="0"/>
                <w:sz w:val="18"/>
                <w:szCs w:val="18"/>
                <w:vertAlign w:val="subscript"/>
              </w:rPr>
              <w:t>本项目</w:t>
            </w:r>
            <w:r>
              <w:rPr>
                <w:rFonts w:cs="Times New Roman"/>
                <w:kern w:val="0"/>
                <w:sz w:val="18"/>
                <w:szCs w:val="18"/>
              </w:rPr>
              <w:t>最大占标率≤30%</w:t>
            </w:r>
            <w:r>
              <w:rPr>
                <w:rFonts w:cs="Times New Roman"/>
                <w:kern w:val="0"/>
                <w:sz w:val="18"/>
                <w:szCs w:val="18"/>
              </w:rPr>
              <w:sym w:font="Wingdings 2" w:char="0052"/>
            </w:r>
          </w:p>
        </w:tc>
        <w:tc>
          <w:tcPr>
            <w:tcW w:w="2676" w:type="dxa"/>
            <w:gridSpan w:val="8"/>
          </w:tcPr>
          <w:p w14:paraId="435B22FB">
            <w:pPr>
              <w:tabs>
                <w:tab w:val="left" w:pos="1021"/>
              </w:tabs>
              <w:snapToGrid w:val="0"/>
              <w:spacing w:line="240" w:lineRule="auto"/>
              <w:ind w:firstLine="0" w:firstLineChars="0"/>
              <w:jc w:val="center"/>
              <w:rPr>
                <w:rFonts w:cs="Times New Roman"/>
                <w:b/>
                <w:kern w:val="0"/>
                <w:sz w:val="18"/>
                <w:szCs w:val="18"/>
              </w:rPr>
            </w:pPr>
            <w:r>
              <w:rPr>
                <w:rFonts w:cs="Times New Roman"/>
                <w:kern w:val="0"/>
                <w:sz w:val="18"/>
                <w:szCs w:val="18"/>
              </w:rPr>
              <w:t>C</w:t>
            </w:r>
            <w:r>
              <w:rPr>
                <w:rFonts w:cs="Times New Roman"/>
                <w:kern w:val="0"/>
                <w:sz w:val="18"/>
                <w:szCs w:val="18"/>
                <w:vertAlign w:val="subscript"/>
              </w:rPr>
              <w:t>本项目</w:t>
            </w:r>
            <w:r>
              <w:rPr>
                <w:rFonts w:cs="Times New Roman"/>
                <w:kern w:val="0"/>
                <w:sz w:val="18"/>
                <w:szCs w:val="18"/>
              </w:rPr>
              <w:t>最大占标率&gt;30%</w:t>
            </w:r>
            <w:r>
              <w:rPr>
                <w:rFonts w:cs="Times New Roman"/>
                <w:kern w:val="0"/>
                <w:sz w:val="18"/>
                <w:szCs w:val="18"/>
              </w:rPr>
              <w:sym w:font="Wingdings 2" w:char="00A3"/>
            </w:r>
          </w:p>
        </w:tc>
      </w:tr>
      <w:tr w14:paraId="2EF6D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733" w:type="dxa"/>
            <w:vMerge w:val="continue"/>
          </w:tcPr>
          <w:p w14:paraId="6269214A">
            <w:pPr>
              <w:tabs>
                <w:tab w:val="left" w:pos="1021"/>
              </w:tabs>
              <w:snapToGrid w:val="0"/>
              <w:spacing w:line="240" w:lineRule="auto"/>
              <w:ind w:firstLine="0" w:firstLineChars="0"/>
              <w:jc w:val="center"/>
              <w:rPr>
                <w:rFonts w:cs="Times New Roman"/>
                <w:b/>
                <w:kern w:val="0"/>
                <w:sz w:val="18"/>
                <w:szCs w:val="18"/>
                <w:highlight w:val="yellow"/>
              </w:rPr>
            </w:pPr>
          </w:p>
        </w:tc>
        <w:tc>
          <w:tcPr>
            <w:tcW w:w="1340" w:type="dxa"/>
            <w:vAlign w:val="center"/>
          </w:tcPr>
          <w:p w14:paraId="4ECFC99A">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非正常排放1h浓度贡献值</w:t>
            </w:r>
          </w:p>
        </w:tc>
        <w:tc>
          <w:tcPr>
            <w:tcW w:w="2152" w:type="dxa"/>
            <w:gridSpan w:val="6"/>
            <w:vAlign w:val="center"/>
          </w:tcPr>
          <w:p w14:paraId="4D1419ED">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非正常持续时长（1）h</w:t>
            </w:r>
          </w:p>
        </w:tc>
        <w:tc>
          <w:tcPr>
            <w:tcW w:w="2151" w:type="dxa"/>
            <w:gridSpan w:val="7"/>
            <w:vAlign w:val="center"/>
          </w:tcPr>
          <w:p w14:paraId="124DDA2B">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C</w:t>
            </w:r>
            <w:r>
              <w:rPr>
                <w:rFonts w:cs="Times New Roman"/>
                <w:kern w:val="0"/>
                <w:sz w:val="18"/>
                <w:szCs w:val="18"/>
                <w:vertAlign w:val="subscript"/>
              </w:rPr>
              <w:t>非正常</w:t>
            </w:r>
            <w:r>
              <w:rPr>
                <w:rFonts w:cs="Times New Roman"/>
                <w:kern w:val="0"/>
                <w:sz w:val="18"/>
                <w:szCs w:val="18"/>
              </w:rPr>
              <w:t>占标率≤100%□</w:t>
            </w:r>
          </w:p>
        </w:tc>
        <w:tc>
          <w:tcPr>
            <w:tcW w:w="2152" w:type="dxa"/>
            <w:gridSpan w:val="6"/>
            <w:vAlign w:val="center"/>
          </w:tcPr>
          <w:p w14:paraId="673D5974">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C</w:t>
            </w:r>
            <w:r>
              <w:rPr>
                <w:rFonts w:cs="Times New Roman"/>
                <w:kern w:val="0"/>
                <w:sz w:val="18"/>
                <w:szCs w:val="18"/>
                <w:vertAlign w:val="subscript"/>
              </w:rPr>
              <w:t>非正常</w:t>
            </w:r>
            <w:r>
              <w:rPr>
                <w:rFonts w:cs="Times New Roman"/>
                <w:kern w:val="0"/>
                <w:sz w:val="18"/>
                <w:szCs w:val="18"/>
              </w:rPr>
              <w:t>占标率&gt;100%</w:t>
            </w:r>
            <w:r>
              <w:rPr>
                <w:rFonts w:cs="Times New Roman"/>
                <w:kern w:val="0"/>
                <w:sz w:val="18"/>
                <w:szCs w:val="18"/>
              </w:rPr>
              <w:sym w:font="Wingdings 2" w:char="0052"/>
            </w:r>
          </w:p>
        </w:tc>
      </w:tr>
      <w:tr w14:paraId="491EAF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733" w:type="dxa"/>
            <w:vMerge w:val="continue"/>
          </w:tcPr>
          <w:p w14:paraId="71132EDD">
            <w:pPr>
              <w:tabs>
                <w:tab w:val="left" w:pos="1021"/>
              </w:tabs>
              <w:snapToGrid w:val="0"/>
              <w:spacing w:line="240" w:lineRule="auto"/>
              <w:ind w:firstLine="0" w:firstLineChars="0"/>
              <w:jc w:val="center"/>
              <w:rPr>
                <w:rFonts w:cs="Times New Roman"/>
                <w:b/>
                <w:kern w:val="0"/>
                <w:sz w:val="18"/>
                <w:szCs w:val="18"/>
                <w:highlight w:val="yellow"/>
              </w:rPr>
            </w:pPr>
          </w:p>
        </w:tc>
        <w:tc>
          <w:tcPr>
            <w:tcW w:w="1340" w:type="dxa"/>
            <w:vAlign w:val="center"/>
          </w:tcPr>
          <w:p w14:paraId="56C0D7E7">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保证率日平均浓度和年平均浓度叠加值</w:t>
            </w:r>
          </w:p>
        </w:tc>
        <w:tc>
          <w:tcPr>
            <w:tcW w:w="3226" w:type="dxa"/>
            <w:gridSpan w:val="9"/>
            <w:vAlign w:val="center"/>
          </w:tcPr>
          <w:p w14:paraId="1AF8F575">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C</w:t>
            </w:r>
            <w:r>
              <w:rPr>
                <w:rFonts w:cs="Times New Roman"/>
                <w:kern w:val="0"/>
                <w:sz w:val="18"/>
                <w:szCs w:val="18"/>
                <w:vertAlign w:val="subscript"/>
              </w:rPr>
              <w:t>叠加</w:t>
            </w:r>
            <w:r>
              <w:rPr>
                <w:rFonts w:cs="Times New Roman"/>
                <w:kern w:val="0"/>
                <w:sz w:val="18"/>
                <w:szCs w:val="18"/>
              </w:rPr>
              <w:t xml:space="preserve">达标 </w:t>
            </w:r>
            <w:r>
              <w:rPr>
                <w:rFonts w:cs="Times New Roman"/>
                <w:kern w:val="0"/>
                <w:sz w:val="18"/>
                <w:szCs w:val="18"/>
              </w:rPr>
              <w:sym w:font="Wingdings 2" w:char="0052"/>
            </w:r>
          </w:p>
        </w:tc>
        <w:tc>
          <w:tcPr>
            <w:tcW w:w="3229" w:type="dxa"/>
            <w:gridSpan w:val="10"/>
            <w:vAlign w:val="center"/>
          </w:tcPr>
          <w:p w14:paraId="7E8C40F2">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C</w:t>
            </w:r>
            <w:r>
              <w:rPr>
                <w:rFonts w:cs="Times New Roman"/>
                <w:kern w:val="0"/>
                <w:sz w:val="18"/>
                <w:szCs w:val="18"/>
                <w:vertAlign w:val="subscript"/>
              </w:rPr>
              <w:t>叠加</w:t>
            </w:r>
            <w:r>
              <w:rPr>
                <w:rFonts w:cs="Times New Roman"/>
                <w:kern w:val="0"/>
                <w:sz w:val="18"/>
                <w:szCs w:val="18"/>
              </w:rPr>
              <w:t xml:space="preserve">不达标 </w:t>
            </w:r>
            <w:r>
              <w:rPr>
                <w:rFonts w:cs="Times New Roman"/>
                <w:kern w:val="0"/>
                <w:sz w:val="18"/>
                <w:szCs w:val="18"/>
              </w:rPr>
              <w:sym w:font="Wingdings 2" w:char="00A3"/>
            </w:r>
          </w:p>
        </w:tc>
      </w:tr>
      <w:tr w14:paraId="79E25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rPr>
        <w:tc>
          <w:tcPr>
            <w:tcW w:w="733" w:type="dxa"/>
            <w:vMerge w:val="continue"/>
          </w:tcPr>
          <w:p w14:paraId="57DB87A8">
            <w:pPr>
              <w:tabs>
                <w:tab w:val="left" w:pos="1021"/>
              </w:tabs>
              <w:snapToGrid w:val="0"/>
              <w:spacing w:line="240" w:lineRule="auto"/>
              <w:ind w:firstLine="0" w:firstLineChars="0"/>
              <w:jc w:val="center"/>
              <w:rPr>
                <w:rFonts w:cs="Times New Roman"/>
                <w:b/>
                <w:kern w:val="0"/>
                <w:sz w:val="18"/>
                <w:szCs w:val="18"/>
                <w:highlight w:val="yellow"/>
              </w:rPr>
            </w:pPr>
          </w:p>
        </w:tc>
        <w:tc>
          <w:tcPr>
            <w:tcW w:w="1340" w:type="dxa"/>
            <w:vAlign w:val="center"/>
          </w:tcPr>
          <w:p w14:paraId="0C63FE63">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区域环境质量的整体变化情况</w:t>
            </w:r>
          </w:p>
        </w:tc>
        <w:tc>
          <w:tcPr>
            <w:tcW w:w="3226" w:type="dxa"/>
            <w:gridSpan w:val="9"/>
            <w:vAlign w:val="center"/>
          </w:tcPr>
          <w:p w14:paraId="406C3106">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 xml:space="preserve">k≤-20% </w:t>
            </w:r>
            <w:r>
              <w:rPr>
                <w:rFonts w:cs="Times New Roman"/>
                <w:kern w:val="0"/>
                <w:sz w:val="18"/>
                <w:szCs w:val="18"/>
              </w:rPr>
              <w:sym w:font="Wingdings 2" w:char="00A3"/>
            </w:r>
          </w:p>
        </w:tc>
        <w:tc>
          <w:tcPr>
            <w:tcW w:w="3229" w:type="dxa"/>
            <w:gridSpan w:val="10"/>
            <w:vAlign w:val="center"/>
          </w:tcPr>
          <w:p w14:paraId="3D774CE8">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k&gt;-20% □</w:t>
            </w:r>
          </w:p>
        </w:tc>
      </w:tr>
      <w:tr w14:paraId="779C1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733" w:type="dxa"/>
            <w:vMerge w:val="restart"/>
            <w:vAlign w:val="center"/>
          </w:tcPr>
          <w:p w14:paraId="2329FA41">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环境监测计划</w:t>
            </w:r>
          </w:p>
        </w:tc>
        <w:tc>
          <w:tcPr>
            <w:tcW w:w="1340" w:type="dxa"/>
            <w:vAlign w:val="center"/>
          </w:tcPr>
          <w:p w14:paraId="5637BB48">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污染源监测</w:t>
            </w:r>
          </w:p>
        </w:tc>
        <w:tc>
          <w:tcPr>
            <w:tcW w:w="2408" w:type="dxa"/>
            <w:gridSpan w:val="7"/>
            <w:vAlign w:val="center"/>
          </w:tcPr>
          <w:p w14:paraId="60E88EB8">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监测因子：（</w:t>
            </w:r>
            <w:r>
              <w:rPr>
                <w:rFonts w:hint="eastAsia" w:cs="Times New Roman"/>
                <w:kern w:val="0"/>
                <w:sz w:val="18"/>
                <w:szCs w:val="18"/>
                <w:lang w:val="en-US" w:eastAsia="zh-CN"/>
              </w:rPr>
              <w:t>TSP、</w:t>
            </w:r>
            <w:r>
              <w:rPr>
                <w:rFonts w:cs="Times New Roman"/>
                <w:kern w:val="0"/>
                <w:sz w:val="18"/>
                <w:szCs w:val="18"/>
              </w:rPr>
              <w:t>HCl、Cl</w:t>
            </w:r>
            <w:r>
              <w:rPr>
                <w:rFonts w:cs="Times New Roman"/>
                <w:kern w:val="0"/>
                <w:sz w:val="18"/>
                <w:szCs w:val="18"/>
                <w:vertAlign w:val="subscript"/>
              </w:rPr>
              <w:t>2</w:t>
            </w:r>
            <w:r>
              <w:rPr>
                <w:rFonts w:cs="Times New Roman"/>
                <w:kern w:val="0"/>
                <w:sz w:val="18"/>
                <w:szCs w:val="18"/>
              </w:rPr>
              <w:t>）</w:t>
            </w:r>
          </w:p>
        </w:tc>
        <w:tc>
          <w:tcPr>
            <w:tcW w:w="2407" w:type="dxa"/>
            <w:gridSpan w:val="7"/>
          </w:tcPr>
          <w:p w14:paraId="2EAA4892">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 xml:space="preserve">有组织废气监测 </w:t>
            </w:r>
            <w:r>
              <w:rPr>
                <w:rFonts w:cs="Times New Roman"/>
                <w:kern w:val="0"/>
                <w:sz w:val="18"/>
                <w:szCs w:val="18"/>
              </w:rPr>
              <w:sym w:font="Wingdings 2" w:char="0052"/>
            </w:r>
          </w:p>
          <w:p w14:paraId="430E534D">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 xml:space="preserve">无组织废气监测 </w:t>
            </w:r>
            <w:r>
              <w:rPr>
                <w:rFonts w:cs="Times New Roman"/>
                <w:kern w:val="0"/>
                <w:sz w:val="18"/>
                <w:szCs w:val="18"/>
              </w:rPr>
              <w:sym w:font="Wingdings 2" w:char="0052"/>
            </w:r>
          </w:p>
        </w:tc>
        <w:tc>
          <w:tcPr>
            <w:tcW w:w="1640" w:type="dxa"/>
            <w:gridSpan w:val="5"/>
            <w:vAlign w:val="center"/>
          </w:tcPr>
          <w:p w14:paraId="5F7C0080">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无监测 □</w:t>
            </w:r>
          </w:p>
        </w:tc>
      </w:tr>
      <w:tr w14:paraId="57199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Merge w:val="continue"/>
          </w:tcPr>
          <w:p w14:paraId="193AC044">
            <w:pPr>
              <w:tabs>
                <w:tab w:val="left" w:pos="1021"/>
              </w:tabs>
              <w:snapToGrid w:val="0"/>
              <w:spacing w:line="240" w:lineRule="auto"/>
              <w:ind w:firstLine="0" w:firstLineChars="0"/>
              <w:jc w:val="center"/>
              <w:rPr>
                <w:rFonts w:cs="Times New Roman"/>
                <w:b/>
                <w:kern w:val="0"/>
                <w:sz w:val="18"/>
                <w:szCs w:val="18"/>
              </w:rPr>
            </w:pPr>
          </w:p>
        </w:tc>
        <w:tc>
          <w:tcPr>
            <w:tcW w:w="1340" w:type="dxa"/>
          </w:tcPr>
          <w:p w14:paraId="2BBB3ABD">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环境质量监测</w:t>
            </w:r>
          </w:p>
        </w:tc>
        <w:tc>
          <w:tcPr>
            <w:tcW w:w="2408" w:type="dxa"/>
            <w:gridSpan w:val="7"/>
          </w:tcPr>
          <w:p w14:paraId="4A86FD22">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监测因子（</w:t>
            </w:r>
            <w:r>
              <w:rPr>
                <w:rFonts w:hint="eastAsia" w:cs="Times New Roman"/>
                <w:kern w:val="0"/>
                <w:sz w:val="18"/>
                <w:szCs w:val="18"/>
                <w:lang w:val="en-US" w:eastAsia="zh-CN"/>
              </w:rPr>
              <w:t>TSP、</w:t>
            </w:r>
            <w:r>
              <w:rPr>
                <w:rFonts w:cs="Times New Roman"/>
                <w:kern w:val="0"/>
                <w:sz w:val="18"/>
                <w:szCs w:val="18"/>
              </w:rPr>
              <w:t>HCl、Cl</w:t>
            </w:r>
            <w:r>
              <w:rPr>
                <w:rFonts w:cs="Times New Roman"/>
                <w:kern w:val="0"/>
                <w:sz w:val="18"/>
                <w:szCs w:val="18"/>
                <w:vertAlign w:val="subscript"/>
              </w:rPr>
              <w:t>2</w:t>
            </w:r>
            <w:r>
              <w:rPr>
                <w:rFonts w:cs="Times New Roman"/>
                <w:kern w:val="0"/>
                <w:sz w:val="18"/>
                <w:szCs w:val="18"/>
              </w:rPr>
              <w:t>）</w:t>
            </w:r>
          </w:p>
        </w:tc>
        <w:tc>
          <w:tcPr>
            <w:tcW w:w="2407" w:type="dxa"/>
            <w:gridSpan w:val="7"/>
          </w:tcPr>
          <w:p w14:paraId="1BB873E0">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监测点位数（1）</w:t>
            </w:r>
          </w:p>
        </w:tc>
        <w:tc>
          <w:tcPr>
            <w:tcW w:w="1640" w:type="dxa"/>
            <w:gridSpan w:val="5"/>
          </w:tcPr>
          <w:p w14:paraId="2F660E5B">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无检测 □</w:t>
            </w:r>
          </w:p>
        </w:tc>
      </w:tr>
      <w:tr w14:paraId="51367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Merge w:val="restart"/>
            <w:vAlign w:val="center"/>
          </w:tcPr>
          <w:p w14:paraId="6234A020">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评价结论</w:t>
            </w:r>
          </w:p>
        </w:tc>
        <w:tc>
          <w:tcPr>
            <w:tcW w:w="1340" w:type="dxa"/>
          </w:tcPr>
          <w:p w14:paraId="1DDB5D70">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环境影响</w:t>
            </w:r>
          </w:p>
        </w:tc>
        <w:tc>
          <w:tcPr>
            <w:tcW w:w="6455" w:type="dxa"/>
            <w:gridSpan w:val="19"/>
          </w:tcPr>
          <w:p w14:paraId="2437EDCF">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可以接受</w:t>
            </w:r>
            <w:r>
              <w:rPr>
                <w:rFonts w:cs="Times New Roman"/>
                <w:kern w:val="0"/>
                <w:sz w:val="18"/>
                <w:szCs w:val="18"/>
              </w:rPr>
              <w:sym w:font="Wingdings 2" w:char="0052"/>
            </w:r>
            <w:r>
              <w:rPr>
                <w:rFonts w:cs="Times New Roman"/>
                <w:kern w:val="0"/>
                <w:sz w:val="18"/>
                <w:szCs w:val="18"/>
              </w:rPr>
              <w:t xml:space="preserve">       不可以接受□</w:t>
            </w:r>
          </w:p>
        </w:tc>
      </w:tr>
      <w:tr w14:paraId="3A358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Merge w:val="continue"/>
          </w:tcPr>
          <w:p w14:paraId="39B050A8">
            <w:pPr>
              <w:tabs>
                <w:tab w:val="left" w:pos="1021"/>
              </w:tabs>
              <w:snapToGrid w:val="0"/>
              <w:spacing w:line="240" w:lineRule="auto"/>
              <w:ind w:firstLine="0" w:firstLineChars="0"/>
              <w:jc w:val="center"/>
              <w:rPr>
                <w:rFonts w:cs="Times New Roman"/>
                <w:b/>
                <w:kern w:val="0"/>
                <w:sz w:val="18"/>
                <w:szCs w:val="18"/>
              </w:rPr>
            </w:pPr>
          </w:p>
        </w:tc>
        <w:tc>
          <w:tcPr>
            <w:tcW w:w="1340" w:type="dxa"/>
          </w:tcPr>
          <w:p w14:paraId="7757C85A">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大气环境防护距离</w:t>
            </w:r>
          </w:p>
        </w:tc>
        <w:tc>
          <w:tcPr>
            <w:tcW w:w="6455" w:type="dxa"/>
            <w:gridSpan w:val="19"/>
            <w:vAlign w:val="center"/>
          </w:tcPr>
          <w:p w14:paraId="74B427CC">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 xml:space="preserve">距（     ）厂界最远（    </w:t>
            </w:r>
            <w:r>
              <w:rPr>
                <w:rFonts w:hint="eastAsia" w:cs="Times New Roman"/>
                <w:kern w:val="0"/>
                <w:sz w:val="18"/>
                <w:szCs w:val="18"/>
              </w:rPr>
              <w:t>/</w:t>
            </w:r>
            <w:r>
              <w:rPr>
                <w:rFonts w:cs="Times New Roman"/>
                <w:kern w:val="0"/>
                <w:sz w:val="18"/>
                <w:szCs w:val="18"/>
              </w:rPr>
              <w:t xml:space="preserve">    ）m</w:t>
            </w:r>
          </w:p>
        </w:tc>
      </w:tr>
      <w:tr w14:paraId="2A0C6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Merge w:val="continue"/>
          </w:tcPr>
          <w:p w14:paraId="13E9A3AC">
            <w:pPr>
              <w:tabs>
                <w:tab w:val="left" w:pos="1021"/>
              </w:tabs>
              <w:snapToGrid w:val="0"/>
              <w:spacing w:line="240" w:lineRule="auto"/>
              <w:ind w:firstLine="0" w:firstLineChars="0"/>
              <w:jc w:val="center"/>
              <w:rPr>
                <w:rFonts w:cs="Times New Roman"/>
                <w:b/>
                <w:kern w:val="0"/>
                <w:sz w:val="18"/>
                <w:szCs w:val="18"/>
              </w:rPr>
            </w:pPr>
          </w:p>
        </w:tc>
        <w:tc>
          <w:tcPr>
            <w:tcW w:w="1340" w:type="dxa"/>
          </w:tcPr>
          <w:p w14:paraId="39BE05FA">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污染源年排放量</w:t>
            </w:r>
          </w:p>
        </w:tc>
        <w:tc>
          <w:tcPr>
            <w:tcW w:w="1613" w:type="dxa"/>
            <w:gridSpan w:val="3"/>
            <w:vAlign w:val="center"/>
          </w:tcPr>
          <w:p w14:paraId="512EB5AC">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SO</w:t>
            </w:r>
            <w:r>
              <w:rPr>
                <w:rFonts w:cs="Times New Roman"/>
                <w:kern w:val="0"/>
                <w:sz w:val="18"/>
                <w:szCs w:val="18"/>
                <w:vertAlign w:val="subscript"/>
              </w:rPr>
              <w:t>2</w:t>
            </w:r>
            <w:r>
              <w:rPr>
                <w:rFonts w:cs="Times New Roman"/>
                <w:kern w:val="0"/>
                <w:sz w:val="18"/>
                <w:szCs w:val="18"/>
              </w:rPr>
              <w:t>:（/）t/a</w:t>
            </w:r>
          </w:p>
        </w:tc>
        <w:tc>
          <w:tcPr>
            <w:tcW w:w="1613" w:type="dxa"/>
            <w:gridSpan w:val="6"/>
            <w:vAlign w:val="center"/>
          </w:tcPr>
          <w:p w14:paraId="365F319F">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NO</w:t>
            </w:r>
            <w:r>
              <w:rPr>
                <w:rFonts w:cs="Times New Roman"/>
                <w:kern w:val="0"/>
                <w:sz w:val="18"/>
                <w:szCs w:val="18"/>
                <w:vertAlign w:val="subscript"/>
              </w:rPr>
              <w:t>x</w:t>
            </w:r>
            <w:r>
              <w:rPr>
                <w:rFonts w:cs="Times New Roman"/>
                <w:kern w:val="0"/>
                <w:sz w:val="18"/>
                <w:szCs w:val="18"/>
              </w:rPr>
              <w:t>:（/）t/a</w:t>
            </w:r>
          </w:p>
        </w:tc>
        <w:tc>
          <w:tcPr>
            <w:tcW w:w="1614" w:type="dxa"/>
            <w:gridSpan w:val="6"/>
            <w:vAlign w:val="center"/>
          </w:tcPr>
          <w:p w14:paraId="05BE415B">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颗粒物:（</w:t>
            </w:r>
            <w:r>
              <w:rPr>
                <w:rFonts w:hint="eastAsia" w:cs="Times New Roman"/>
                <w:kern w:val="0"/>
                <w:sz w:val="18"/>
                <w:szCs w:val="18"/>
              </w:rPr>
              <w:t>/</w:t>
            </w:r>
            <w:r>
              <w:rPr>
                <w:rFonts w:cs="Times New Roman"/>
                <w:kern w:val="0"/>
                <w:sz w:val="18"/>
                <w:szCs w:val="18"/>
              </w:rPr>
              <w:t>）t/a</w:t>
            </w:r>
          </w:p>
        </w:tc>
        <w:tc>
          <w:tcPr>
            <w:tcW w:w="1615" w:type="dxa"/>
            <w:gridSpan w:val="4"/>
            <w:vAlign w:val="center"/>
          </w:tcPr>
          <w:p w14:paraId="4C20F6E9">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VOC</w:t>
            </w:r>
            <w:r>
              <w:rPr>
                <w:rFonts w:cs="Times New Roman"/>
                <w:kern w:val="0"/>
                <w:sz w:val="18"/>
                <w:szCs w:val="18"/>
                <w:vertAlign w:val="subscript"/>
              </w:rPr>
              <w:t>S</w:t>
            </w:r>
            <w:r>
              <w:rPr>
                <w:rFonts w:cs="Times New Roman"/>
                <w:kern w:val="0"/>
                <w:sz w:val="18"/>
                <w:szCs w:val="18"/>
              </w:rPr>
              <w:t>:（</w:t>
            </w:r>
            <w:r>
              <w:rPr>
                <w:rFonts w:hint="eastAsia" w:cs="Times New Roman"/>
                <w:kern w:val="0"/>
                <w:sz w:val="18"/>
                <w:szCs w:val="18"/>
              </w:rPr>
              <w:t>/</w:t>
            </w:r>
            <w:r>
              <w:rPr>
                <w:rFonts w:cs="Times New Roman"/>
                <w:kern w:val="0"/>
                <w:sz w:val="18"/>
                <w:szCs w:val="18"/>
              </w:rPr>
              <w:t>）t/a</w:t>
            </w:r>
          </w:p>
        </w:tc>
      </w:tr>
      <w:tr w14:paraId="598BD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21"/>
          </w:tcPr>
          <w:p w14:paraId="747F3B15">
            <w:pPr>
              <w:tabs>
                <w:tab w:val="left" w:pos="1021"/>
              </w:tabs>
              <w:snapToGrid w:val="0"/>
              <w:spacing w:line="240" w:lineRule="auto"/>
              <w:ind w:firstLine="0" w:firstLineChars="0"/>
              <w:jc w:val="center"/>
              <w:rPr>
                <w:rFonts w:cs="Times New Roman"/>
                <w:kern w:val="0"/>
                <w:sz w:val="18"/>
                <w:szCs w:val="18"/>
              </w:rPr>
            </w:pPr>
            <w:r>
              <w:rPr>
                <w:rFonts w:cs="Times New Roman"/>
                <w:kern w:val="0"/>
                <w:sz w:val="18"/>
                <w:szCs w:val="18"/>
              </w:rPr>
              <w:t>注:“□”为勾选项，填“√” ；“（   ）”为内容填写项</w:t>
            </w:r>
          </w:p>
        </w:tc>
      </w:tr>
    </w:tbl>
    <w:p w14:paraId="0FCADFE1">
      <w:pPr>
        <w:ind w:firstLine="0" w:firstLineChars="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003F7AD4">
      <w:pPr>
        <w:pStyle w:val="3"/>
        <w:numPr>
          <w:ilvl w:val="1"/>
          <w:numId w:val="1"/>
        </w:numPr>
        <w:rPr>
          <w:highlight w:val="none"/>
        </w:rPr>
      </w:pPr>
      <w:bookmarkStart w:id="253" w:name="_Toc19194"/>
      <w:bookmarkStart w:id="254" w:name="_Toc31838"/>
      <w:bookmarkStart w:id="255" w:name="_Toc19277"/>
      <w:r>
        <w:rPr>
          <w:highlight w:val="none"/>
        </w:rPr>
        <w:t>声环境影响预测与评价</w:t>
      </w:r>
      <w:bookmarkEnd w:id="253"/>
      <w:bookmarkEnd w:id="254"/>
      <w:bookmarkEnd w:id="255"/>
    </w:p>
    <w:p w14:paraId="0F8C772B">
      <w:pPr>
        <w:pStyle w:val="4"/>
        <w:numPr>
          <w:ilvl w:val="2"/>
          <w:numId w:val="1"/>
        </w:numPr>
      </w:pPr>
      <w:bookmarkStart w:id="256" w:name="_Toc23299"/>
      <w:r>
        <w:rPr>
          <w:rFonts w:hint="eastAsia"/>
        </w:rPr>
        <w:t>噪声源强</w:t>
      </w:r>
      <w:bookmarkEnd w:id="256"/>
    </w:p>
    <w:p w14:paraId="05A40277">
      <w:pPr>
        <w:ind w:firstLine="480"/>
      </w:pPr>
      <w:r>
        <w:rPr>
          <w:rFonts w:hint="eastAsia"/>
        </w:rPr>
        <w:t>本项目噪声产生源为各类泵、风机等，等效噪声源在85~95dB（A）。根据现场踏勘、项目</w:t>
      </w:r>
      <w:r>
        <w:rPr>
          <w:rFonts w:hint="eastAsia"/>
          <w:lang w:eastAsia="zh-CN"/>
        </w:rPr>
        <w:t>总平面图</w:t>
      </w:r>
      <w:r>
        <w:rPr>
          <w:rFonts w:hint="eastAsia"/>
        </w:rPr>
        <w:t>等，本项目声源源强调查清单见表7.3-1、表7.3-2。</w:t>
      </w:r>
    </w:p>
    <w:p w14:paraId="1CCC5DD9">
      <w:pPr>
        <w:ind w:firstLine="480"/>
      </w:pPr>
    </w:p>
    <w:p w14:paraId="77016FDF">
      <w:pPr>
        <w:ind w:firstLine="48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1C9A1B37">
      <w:pPr>
        <w:pStyle w:val="43"/>
        <w:numPr>
          <w:ilvl w:val="5"/>
          <w:numId w:val="1"/>
        </w:numPr>
        <w:rPr>
          <w:rFonts w:hint="default"/>
        </w:rPr>
      </w:pPr>
      <w:r>
        <w:t>工业企业噪声源强调查清单（室内声源）</w:t>
      </w:r>
    </w:p>
    <w:tbl>
      <w:tblPr>
        <w:tblStyle w:val="32"/>
        <w:tblW w:w="4998" w:type="pct"/>
        <w:tblInd w:w="0" w:type="dxa"/>
        <w:tblLayout w:type="autofit"/>
        <w:tblCellMar>
          <w:top w:w="0" w:type="dxa"/>
          <w:left w:w="108" w:type="dxa"/>
          <w:bottom w:w="0" w:type="dxa"/>
          <w:right w:w="108" w:type="dxa"/>
        </w:tblCellMar>
      </w:tblPr>
      <w:tblGrid>
        <w:gridCol w:w="515"/>
        <w:gridCol w:w="963"/>
        <w:gridCol w:w="845"/>
        <w:gridCol w:w="2498"/>
        <w:gridCol w:w="1044"/>
        <w:gridCol w:w="1619"/>
        <w:gridCol w:w="664"/>
        <w:gridCol w:w="664"/>
        <w:gridCol w:w="357"/>
        <w:gridCol w:w="769"/>
        <w:gridCol w:w="1869"/>
        <w:gridCol w:w="769"/>
        <w:gridCol w:w="2291"/>
        <w:gridCol w:w="693"/>
        <w:gridCol w:w="1437"/>
        <w:gridCol w:w="769"/>
        <w:gridCol w:w="2291"/>
        <w:gridCol w:w="1082"/>
      </w:tblGrid>
      <w:tr w14:paraId="079361CA">
        <w:tblPrEx>
          <w:tblCellMar>
            <w:top w:w="0" w:type="dxa"/>
            <w:left w:w="108" w:type="dxa"/>
            <w:bottom w:w="0" w:type="dxa"/>
            <w:right w:w="108" w:type="dxa"/>
          </w:tblCellMar>
        </w:tblPrEx>
        <w:trPr>
          <w:trHeight w:val="315" w:hRule="atLeast"/>
          <w:tblHeader/>
        </w:trPr>
        <w:tc>
          <w:tcPr>
            <w:tcW w:w="12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63B99C8">
            <w:pPr>
              <w:pStyle w:val="45"/>
              <w:rPr>
                <w:rFonts w:hint="default"/>
                <w:b/>
                <w:bCs/>
              </w:rPr>
            </w:pPr>
            <w:r>
              <w:rPr>
                <w:b/>
                <w:bCs/>
              </w:rPr>
              <w:t>序号</w:t>
            </w:r>
          </w:p>
        </w:tc>
        <w:tc>
          <w:tcPr>
            <w:tcW w:w="22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18FA0EF">
            <w:pPr>
              <w:pStyle w:val="45"/>
              <w:rPr>
                <w:rFonts w:hint="default"/>
                <w:b/>
                <w:bCs/>
              </w:rPr>
            </w:pPr>
            <w:r>
              <w:rPr>
                <w:b/>
                <w:bCs/>
              </w:rPr>
              <w:t>声源位置</w:t>
            </w:r>
          </w:p>
        </w:tc>
        <w:tc>
          <w:tcPr>
            <w:tcW w:w="20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A70A9BD">
            <w:pPr>
              <w:pStyle w:val="45"/>
              <w:rPr>
                <w:rFonts w:hint="default"/>
                <w:b/>
                <w:bCs/>
              </w:rPr>
            </w:pPr>
            <w:r>
              <w:rPr>
                <w:b/>
                <w:bCs/>
              </w:rPr>
              <w:t>声源名称</w:t>
            </w:r>
          </w:p>
        </w:tc>
        <w:tc>
          <w:tcPr>
            <w:tcW w:w="59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61D6CD4">
            <w:pPr>
              <w:pStyle w:val="45"/>
              <w:rPr>
                <w:rFonts w:hint="default"/>
                <w:b/>
                <w:bCs/>
              </w:rPr>
            </w:pPr>
            <w:r>
              <w:rPr>
                <w:b/>
                <w:bCs/>
              </w:rPr>
              <w:t>单个设备声压级/距声源距离（dB(A)/m）</w:t>
            </w:r>
          </w:p>
        </w:tc>
        <w:tc>
          <w:tcPr>
            <w:tcW w:w="24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E0F2ED7">
            <w:pPr>
              <w:pStyle w:val="45"/>
              <w:rPr>
                <w:rFonts w:hint="default"/>
                <w:b/>
                <w:bCs/>
              </w:rPr>
            </w:pPr>
            <w:r>
              <w:rPr>
                <w:b/>
                <w:bCs/>
              </w:rPr>
              <w:t>声压级dB(A)</w:t>
            </w:r>
          </w:p>
        </w:tc>
        <w:tc>
          <w:tcPr>
            <w:tcW w:w="38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83E69AF">
            <w:pPr>
              <w:pStyle w:val="45"/>
              <w:rPr>
                <w:rFonts w:hint="default"/>
                <w:b/>
                <w:bCs/>
              </w:rPr>
            </w:pPr>
            <w:r>
              <w:rPr>
                <w:b/>
                <w:bCs/>
              </w:rPr>
              <w:t>声源控制措施</w:t>
            </w:r>
          </w:p>
        </w:tc>
        <w:tc>
          <w:tcPr>
            <w:tcW w:w="39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68253E5">
            <w:pPr>
              <w:pStyle w:val="45"/>
              <w:rPr>
                <w:rFonts w:hint="default"/>
                <w:b/>
                <w:bCs/>
              </w:rPr>
            </w:pPr>
            <w:r>
              <w:rPr>
                <w:b/>
                <w:bCs/>
              </w:rPr>
              <w:t>空间相对位置/m</w:t>
            </w:r>
          </w:p>
        </w:tc>
        <w:tc>
          <w:tcPr>
            <w:tcW w:w="624" w:type="pct"/>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91CDBAF">
            <w:pPr>
              <w:pStyle w:val="45"/>
              <w:rPr>
                <w:rFonts w:hint="default"/>
                <w:b/>
                <w:bCs/>
              </w:rPr>
            </w:pPr>
            <w:r>
              <w:rPr>
                <w:b/>
                <w:bCs/>
              </w:rPr>
              <w:t>声源距室内边界距离/m</w:t>
            </w:r>
          </w:p>
        </w:tc>
        <w:tc>
          <w:tcPr>
            <w:tcW w:w="724" w:type="pct"/>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CE9B69D">
            <w:pPr>
              <w:pStyle w:val="45"/>
              <w:rPr>
                <w:rFonts w:hint="default"/>
                <w:b/>
                <w:bCs/>
              </w:rPr>
            </w:pPr>
            <w:r>
              <w:rPr>
                <w:b/>
                <w:bCs/>
              </w:rPr>
              <w:t>室内边界声级/dB(A)</w:t>
            </w:r>
          </w:p>
        </w:tc>
        <w:tc>
          <w:tcPr>
            <w:tcW w:w="16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C10907D">
            <w:pPr>
              <w:pStyle w:val="45"/>
              <w:rPr>
                <w:rFonts w:hint="default"/>
                <w:b/>
                <w:bCs/>
              </w:rPr>
            </w:pPr>
            <w:r>
              <w:rPr>
                <w:b/>
                <w:bCs/>
              </w:rPr>
              <w:t>运行时段</w:t>
            </w:r>
          </w:p>
        </w:tc>
        <w:tc>
          <w:tcPr>
            <w:tcW w:w="34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DF10BB8">
            <w:pPr>
              <w:pStyle w:val="45"/>
              <w:rPr>
                <w:rFonts w:hint="default"/>
                <w:b/>
                <w:bCs/>
              </w:rPr>
            </w:pPr>
            <w:r>
              <w:rPr>
                <w:b/>
                <w:bCs/>
              </w:rPr>
              <w:t>建筑物插入损失/dB(A)</w:t>
            </w:r>
          </w:p>
        </w:tc>
        <w:tc>
          <w:tcPr>
            <w:tcW w:w="9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D923D85">
            <w:pPr>
              <w:pStyle w:val="45"/>
              <w:rPr>
                <w:rFonts w:hint="default"/>
                <w:b/>
                <w:bCs/>
              </w:rPr>
            </w:pPr>
            <w:r>
              <w:rPr>
                <w:b/>
                <w:bCs/>
              </w:rPr>
              <w:t>建筑物外噪声</w:t>
            </w:r>
          </w:p>
        </w:tc>
      </w:tr>
      <w:tr w14:paraId="6F426AE7">
        <w:tblPrEx>
          <w:tblCellMar>
            <w:top w:w="0" w:type="dxa"/>
            <w:left w:w="108" w:type="dxa"/>
            <w:bottom w:w="0" w:type="dxa"/>
            <w:right w:w="108" w:type="dxa"/>
          </w:tblCellMar>
        </w:tblPrEx>
        <w:trPr>
          <w:trHeight w:val="285" w:hRule="atLeast"/>
          <w:tblHeader/>
        </w:trPr>
        <w:tc>
          <w:tcPr>
            <w:tcW w:w="12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397108">
            <w:pPr>
              <w:pStyle w:val="45"/>
              <w:rPr>
                <w:rFonts w:hint="default"/>
                <w:b/>
                <w:bCs/>
              </w:rPr>
            </w:pP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3D2147">
            <w:pPr>
              <w:pStyle w:val="45"/>
              <w:rPr>
                <w:rFonts w:hint="default"/>
                <w:b/>
                <w:bCs/>
              </w:rPr>
            </w:pPr>
          </w:p>
        </w:tc>
        <w:tc>
          <w:tcPr>
            <w:tcW w:w="20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0F56C4">
            <w:pPr>
              <w:pStyle w:val="45"/>
              <w:rPr>
                <w:rFonts w:hint="default"/>
                <w:b/>
                <w:bCs/>
              </w:rPr>
            </w:pPr>
          </w:p>
        </w:tc>
        <w:tc>
          <w:tcPr>
            <w:tcW w:w="5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15624A">
            <w:pPr>
              <w:pStyle w:val="45"/>
              <w:rPr>
                <w:rFonts w:hint="default"/>
                <w:b/>
                <w:bCs/>
              </w:rPr>
            </w:pPr>
          </w:p>
        </w:tc>
        <w:tc>
          <w:tcPr>
            <w:tcW w:w="24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C42A1B">
            <w:pPr>
              <w:pStyle w:val="45"/>
              <w:rPr>
                <w:rFonts w:hint="default"/>
                <w:b/>
                <w:bCs/>
              </w:rPr>
            </w:pPr>
          </w:p>
        </w:tc>
        <w:tc>
          <w:tcPr>
            <w:tcW w:w="3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54A893">
            <w:pPr>
              <w:pStyle w:val="45"/>
              <w:rPr>
                <w:rFonts w:hint="default"/>
                <w:b/>
                <w:bCs/>
              </w:rPr>
            </w:pPr>
          </w:p>
        </w:tc>
        <w:tc>
          <w:tcPr>
            <w:tcW w:w="1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25C753">
            <w:pPr>
              <w:pStyle w:val="45"/>
              <w:rPr>
                <w:rFonts w:hint="default"/>
                <w:b/>
                <w:bCs/>
              </w:rPr>
            </w:pPr>
            <w:r>
              <w:rPr>
                <w:rFonts w:hint="default"/>
                <w:b/>
                <w:bCs/>
              </w:rPr>
              <w:t>X</w:t>
            </w:r>
          </w:p>
        </w:tc>
        <w:tc>
          <w:tcPr>
            <w:tcW w:w="1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31AB92">
            <w:pPr>
              <w:pStyle w:val="45"/>
              <w:rPr>
                <w:rFonts w:hint="default"/>
                <w:b/>
                <w:bCs/>
              </w:rPr>
            </w:pPr>
            <w:r>
              <w:rPr>
                <w:rFonts w:hint="default"/>
                <w:b/>
                <w:bCs/>
              </w:rPr>
              <w:t>Y</w:t>
            </w:r>
          </w:p>
        </w:tc>
        <w:tc>
          <w:tcPr>
            <w:tcW w:w="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D2F8BF">
            <w:pPr>
              <w:pStyle w:val="45"/>
              <w:rPr>
                <w:rFonts w:hint="default"/>
                <w:b/>
                <w:bCs/>
              </w:rPr>
            </w:pPr>
            <w:r>
              <w:rPr>
                <w:rFonts w:hint="default"/>
                <w:b/>
                <w:bCs/>
              </w:rPr>
              <w:t>Z</w:t>
            </w:r>
          </w:p>
        </w:tc>
        <w:tc>
          <w:tcPr>
            <w:tcW w:w="624"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6E9238">
            <w:pPr>
              <w:pStyle w:val="45"/>
              <w:rPr>
                <w:rFonts w:hint="default"/>
                <w:b/>
                <w:bCs/>
              </w:rPr>
            </w:pPr>
          </w:p>
        </w:tc>
        <w:tc>
          <w:tcPr>
            <w:tcW w:w="724"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B72B3E">
            <w:pPr>
              <w:pStyle w:val="45"/>
              <w:rPr>
                <w:rFonts w:hint="default"/>
                <w:b/>
                <w:bCs/>
              </w:rPr>
            </w:pPr>
          </w:p>
        </w:tc>
        <w:tc>
          <w:tcPr>
            <w:tcW w:w="1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3F1957">
            <w:pPr>
              <w:pStyle w:val="45"/>
              <w:rPr>
                <w:rFonts w:hint="default"/>
                <w:b/>
                <w:bCs/>
              </w:rPr>
            </w:pPr>
          </w:p>
        </w:tc>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82CECE">
            <w:pPr>
              <w:pStyle w:val="45"/>
              <w:rPr>
                <w:rFonts w:hint="default"/>
                <w:b/>
                <w:bCs/>
              </w:rPr>
            </w:pPr>
          </w:p>
        </w:tc>
        <w:tc>
          <w:tcPr>
            <w:tcW w:w="72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2E4E543">
            <w:pPr>
              <w:pStyle w:val="45"/>
              <w:rPr>
                <w:rFonts w:hint="default"/>
                <w:b/>
                <w:bCs/>
              </w:rPr>
            </w:pPr>
            <w:r>
              <w:rPr>
                <w:b/>
                <w:bCs/>
              </w:rPr>
              <w:t>声压级/dB(A)</w:t>
            </w:r>
          </w:p>
        </w:tc>
        <w:tc>
          <w:tcPr>
            <w:tcW w:w="2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CAD057">
            <w:pPr>
              <w:pStyle w:val="45"/>
              <w:rPr>
                <w:rFonts w:hint="default"/>
                <w:b/>
                <w:bCs/>
              </w:rPr>
            </w:pPr>
            <w:r>
              <w:rPr>
                <w:b/>
                <w:bCs/>
              </w:rPr>
              <w:t>建筑物外距离/m</w:t>
            </w:r>
          </w:p>
        </w:tc>
      </w:tr>
      <w:tr w14:paraId="38992A2A">
        <w:tblPrEx>
          <w:tblCellMar>
            <w:top w:w="0" w:type="dxa"/>
            <w:left w:w="108" w:type="dxa"/>
            <w:bottom w:w="0" w:type="dxa"/>
            <w:right w:w="108" w:type="dxa"/>
          </w:tblCellMar>
        </w:tblPrEx>
        <w:trPr>
          <w:trHeight w:val="315" w:hRule="atLeast"/>
        </w:trPr>
        <w:tc>
          <w:tcPr>
            <w:tcW w:w="1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7826EF">
            <w:pPr>
              <w:pStyle w:val="45"/>
              <w:rPr>
                <w:rFonts w:hint="default"/>
              </w:rPr>
            </w:pPr>
            <w:r>
              <w:rPr>
                <w:rFonts w:hint="default"/>
              </w:rPr>
              <w:t xml:space="preserve">1 </w:t>
            </w:r>
          </w:p>
        </w:tc>
        <w:tc>
          <w:tcPr>
            <w:tcW w:w="22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691CBFD">
            <w:pPr>
              <w:pStyle w:val="45"/>
              <w:rPr>
                <w:rFonts w:hint="default"/>
              </w:rPr>
            </w:pPr>
            <w:r>
              <w:t>化盐车间</w:t>
            </w:r>
          </w:p>
        </w:tc>
        <w:tc>
          <w:tcPr>
            <w:tcW w:w="2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3495E9">
            <w:pPr>
              <w:pStyle w:val="45"/>
              <w:rPr>
                <w:rFonts w:hint="default"/>
              </w:rPr>
            </w:pPr>
            <w:r>
              <w:t>机泵*24</w:t>
            </w:r>
          </w:p>
        </w:tc>
        <w:tc>
          <w:tcPr>
            <w:tcW w:w="5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302C65">
            <w:pPr>
              <w:pStyle w:val="45"/>
              <w:rPr>
                <w:rFonts w:hint="default"/>
              </w:rPr>
            </w:pPr>
            <w:r>
              <w:t>85/1</w:t>
            </w:r>
          </w:p>
        </w:tc>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CE8921">
            <w:pPr>
              <w:pStyle w:val="45"/>
              <w:rPr>
                <w:rFonts w:hint="default"/>
              </w:rPr>
            </w:pPr>
            <w:r>
              <w:t>97.79</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44715D">
            <w:pPr>
              <w:pStyle w:val="45"/>
              <w:rPr>
                <w:rFonts w:hint="default"/>
              </w:rPr>
            </w:pPr>
            <w:r>
              <w:t>合理布局、基础减振、隔声等</w:t>
            </w:r>
          </w:p>
        </w:tc>
        <w:tc>
          <w:tcPr>
            <w:tcW w:w="1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6BB0F2">
            <w:pPr>
              <w:pStyle w:val="45"/>
              <w:rPr>
                <w:rFonts w:hint="default"/>
              </w:rPr>
            </w:pPr>
            <w:r>
              <w:t>-90.4</w:t>
            </w:r>
          </w:p>
        </w:tc>
        <w:tc>
          <w:tcPr>
            <w:tcW w:w="1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C2FF7E">
            <w:pPr>
              <w:pStyle w:val="45"/>
              <w:rPr>
                <w:rFonts w:hint="default"/>
              </w:rPr>
            </w:pPr>
            <w:r>
              <w:t>29.1</w:t>
            </w:r>
          </w:p>
        </w:tc>
        <w:tc>
          <w:tcPr>
            <w:tcW w:w="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950496">
            <w:pPr>
              <w:pStyle w:val="45"/>
              <w:rPr>
                <w:rFonts w:hint="default"/>
              </w:rPr>
            </w:pPr>
            <w:r>
              <w:t>1</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47DAE9">
            <w:pPr>
              <w:pStyle w:val="45"/>
              <w:rPr>
                <w:rFonts w:hint="default"/>
              </w:rPr>
            </w:pPr>
            <w:r>
              <w:t>东/南/西/北</w:t>
            </w:r>
          </w:p>
        </w:tc>
        <w:tc>
          <w:tcPr>
            <w:tcW w:w="4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D32593">
            <w:pPr>
              <w:pStyle w:val="45"/>
              <w:rPr>
                <w:rFonts w:hint="default"/>
              </w:rPr>
            </w:pPr>
            <w:r>
              <w:t>10.5/13.5/7.5/11.5</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6D9A3E">
            <w:pPr>
              <w:pStyle w:val="45"/>
              <w:rPr>
                <w:rFonts w:hint="default"/>
              </w:rPr>
            </w:pPr>
            <w:r>
              <w:t>东/南/西/北</w:t>
            </w: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9F29A0">
            <w:pPr>
              <w:pStyle w:val="45"/>
              <w:rPr>
                <w:rFonts w:hint="default"/>
              </w:rPr>
            </w:pPr>
            <w:r>
              <w:rPr>
                <w:rFonts w:hint="default"/>
              </w:rPr>
              <w:t>77.37/75.18/80.29/76.57</w:t>
            </w:r>
          </w:p>
        </w:tc>
        <w:tc>
          <w:tcPr>
            <w:tcW w:w="1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7066D1">
            <w:pPr>
              <w:pStyle w:val="45"/>
              <w:rPr>
                <w:rFonts w:hint="default"/>
              </w:rPr>
            </w:pPr>
            <w:r>
              <w:t>连续</w:t>
            </w:r>
          </w:p>
        </w:tc>
        <w:tc>
          <w:tcPr>
            <w:tcW w:w="3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108DD1">
            <w:pPr>
              <w:pStyle w:val="45"/>
              <w:rPr>
                <w:rFonts w:hint="default"/>
              </w:rPr>
            </w:pPr>
            <w:r>
              <w:rPr>
                <w:rFonts w:hint="default"/>
              </w:rPr>
              <w:t xml:space="preserve">25.00 </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0347F">
            <w:pPr>
              <w:pStyle w:val="45"/>
              <w:rPr>
                <w:rFonts w:hint="default"/>
              </w:rPr>
            </w:pPr>
            <w:r>
              <w:t>东/南/西/北</w:t>
            </w: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873E58">
            <w:pPr>
              <w:pStyle w:val="45"/>
              <w:rPr>
                <w:rFonts w:hint="default"/>
              </w:rPr>
            </w:pPr>
            <w:r>
              <w:rPr>
                <w:rFonts w:hint="default"/>
              </w:rPr>
              <w:t>52.37/50.18/55.29/51.57</w:t>
            </w:r>
          </w:p>
        </w:tc>
        <w:tc>
          <w:tcPr>
            <w:tcW w:w="2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E40E6D">
            <w:pPr>
              <w:pStyle w:val="45"/>
              <w:rPr>
                <w:rFonts w:hint="default"/>
              </w:rPr>
            </w:pPr>
            <w:r>
              <w:rPr>
                <w:rFonts w:hint="default"/>
              </w:rPr>
              <w:t xml:space="preserve">1.00 </w:t>
            </w:r>
          </w:p>
        </w:tc>
      </w:tr>
      <w:tr w14:paraId="598BF1AF">
        <w:tblPrEx>
          <w:tblCellMar>
            <w:top w:w="0" w:type="dxa"/>
            <w:left w:w="108" w:type="dxa"/>
            <w:bottom w:w="0" w:type="dxa"/>
            <w:right w:w="108" w:type="dxa"/>
          </w:tblCellMar>
        </w:tblPrEx>
        <w:trPr>
          <w:trHeight w:val="315" w:hRule="atLeast"/>
        </w:trPr>
        <w:tc>
          <w:tcPr>
            <w:tcW w:w="1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96918A">
            <w:pPr>
              <w:pStyle w:val="45"/>
              <w:rPr>
                <w:rFonts w:hint="default"/>
              </w:rPr>
            </w:pPr>
            <w:r>
              <w:rPr>
                <w:rFonts w:hint="default"/>
              </w:rPr>
              <w:t xml:space="preserve">2 </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B17411">
            <w:pPr>
              <w:pStyle w:val="45"/>
              <w:rPr>
                <w:rFonts w:hint="default"/>
              </w:rPr>
            </w:pPr>
          </w:p>
        </w:tc>
        <w:tc>
          <w:tcPr>
            <w:tcW w:w="2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75C938">
            <w:pPr>
              <w:pStyle w:val="45"/>
              <w:rPr>
                <w:rFonts w:hint="default"/>
              </w:rPr>
            </w:pPr>
            <w:r>
              <w:t>压滤机*4</w:t>
            </w:r>
          </w:p>
        </w:tc>
        <w:tc>
          <w:tcPr>
            <w:tcW w:w="5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AFA1E1">
            <w:pPr>
              <w:pStyle w:val="45"/>
              <w:rPr>
                <w:rFonts w:hint="default"/>
              </w:rPr>
            </w:pPr>
            <w:r>
              <w:t>90/1</w:t>
            </w:r>
          </w:p>
        </w:tc>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9DF4AE">
            <w:pPr>
              <w:pStyle w:val="45"/>
              <w:rPr>
                <w:rFonts w:hint="default"/>
              </w:rPr>
            </w:pPr>
            <w:r>
              <w:t>91.02</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D5B451">
            <w:pPr>
              <w:pStyle w:val="45"/>
              <w:rPr>
                <w:rFonts w:hint="default"/>
              </w:rPr>
            </w:pPr>
            <w:r>
              <w:t>合理布局、基础减振、隔声等</w:t>
            </w:r>
          </w:p>
        </w:tc>
        <w:tc>
          <w:tcPr>
            <w:tcW w:w="1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4E7930">
            <w:pPr>
              <w:pStyle w:val="45"/>
              <w:rPr>
                <w:rFonts w:hint="default"/>
              </w:rPr>
            </w:pPr>
            <w:r>
              <w:t>-94.4</w:t>
            </w:r>
          </w:p>
        </w:tc>
        <w:tc>
          <w:tcPr>
            <w:tcW w:w="1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A62CC2">
            <w:pPr>
              <w:pStyle w:val="45"/>
              <w:rPr>
                <w:rFonts w:hint="default"/>
              </w:rPr>
            </w:pPr>
            <w:r>
              <w:t xml:space="preserve">19.0 </w:t>
            </w:r>
          </w:p>
        </w:tc>
        <w:tc>
          <w:tcPr>
            <w:tcW w:w="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49F96B">
            <w:pPr>
              <w:pStyle w:val="45"/>
              <w:rPr>
                <w:rFonts w:hint="default"/>
              </w:rPr>
            </w:pPr>
            <w:r>
              <w:t>1</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244CA8">
            <w:pPr>
              <w:pStyle w:val="45"/>
              <w:rPr>
                <w:rFonts w:hint="default"/>
              </w:rPr>
            </w:pPr>
            <w:r>
              <w:t>东/南/西/北</w:t>
            </w:r>
          </w:p>
        </w:tc>
        <w:tc>
          <w:tcPr>
            <w:tcW w:w="4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BE46A5">
            <w:pPr>
              <w:pStyle w:val="45"/>
              <w:rPr>
                <w:rFonts w:hint="default"/>
              </w:rPr>
            </w:pPr>
            <w:r>
              <w:t>6.0/4.5/12/20.5</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92AB70">
            <w:pPr>
              <w:pStyle w:val="45"/>
              <w:rPr>
                <w:rFonts w:hint="default"/>
              </w:rPr>
            </w:pPr>
            <w:r>
              <w:t>东/南/西/北</w:t>
            </w: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14C10F">
            <w:pPr>
              <w:pStyle w:val="45"/>
              <w:rPr>
                <w:rFonts w:hint="default"/>
              </w:rPr>
            </w:pPr>
            <w:r>
              <w:rPr>
                <w:rFonts w:hint="default"/>
              </w:rPr>
              <w:t>75.46/77.95/69.44/64.78</w:t>
            </w:r>
          </w:p>
        </w:tc>
        <w:tc>
          <w:tcPr>
            <w:tcW w:w="1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174A49">
            <w:pPr>
              <w:pStyle w:val="45"/>
              <w:rPr>
                <w:rFonts w:hint="default"/>
              </w:rPr>
            </w:pPr>
            <w:r>
              <w:t>连续</w:t>
            </w:r>
          </w:p>
        </w:tc>
        <w:tc>
          <w:tcPr>
            <w:tcW w:w="3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DF5790">
            <w:pPr>
              <w:pStyle w:val="45"/>
              <w:rPr>
                <w:rFonts w:hint="default"/>
              </w:rPr>
            </w:pPr>
            <w:r>
              <w:rPr>
                <w:rFonts w:hint="default"/>
              </w:rPr>
              <w:t xml:space="preserve">25.00 </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2DF820">
            <w:pPr>
              <w:pStyle w:val="45"/>
              <w:rPr>
                <w:rFonts w:hint="default"/>
              </w:rPr>
            </w:pPr>
            <w:r>
              <w:t>东/南/西/北</w:t>
            </w: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C9B883">
            <w:pPr>
              <w:pStyle w:val="45"/>
              <w:rPr>
                <w:rFonts w:hint="default"/>
              </w:rPr>
            </w:pPr>
            <w:r>
              <w:rPr>
                <w:rFonts w:hint="default"/>
              </w:rPr>
              <w:t>50.46/52.95/44.44/39.78</w:t>
            </w:r>
          </w:p>
        </w:tc>
        <w:tc>
          <w:tcPr>
            <w:tcW w:w="2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2713A4">
            <w:pPr>
              <w:pStyle w:val="45"/>
              <w:rPr>
                <w:rFonts w:hint="default"/>
              </w:rPr>
            </w:pPr>
            <w:r>
              <w:rPr>
                <w:rFonts w:hint="default"/>
              </w:rPr>
              <w:t xml:space="preserve">1.00 </w:t>
            </w:r>
          </w:p>
        </w:tc>
      </w:tr>
      <w:tr w14:paraId="372F08D2">
        <w:tblPrEx>
          <w:tblCellMar>
            <w:top w:w="0" w:type="dxa"/>
            <w:left w:w="108" w:type="dxa"/>
            <w:bottom w:w="0" w:type="dxa"/>
            <w:right w:w="108" w:type="dxa"/>
          </w:tblCellMar>
        </w:tblPrEx>
        <w:trPr>
          <w:trHeight w:val="315" w:hRule="atLeast"/>
        </w:trPr>
        <w:tc>
          <w:tcPr>
            <w:tcW w:w="1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D1148F">
            <w:pPr>
              <w:pStyle w:val="45"/>
              <w:rPr>
                <w:rFonts w:hint="default"/>
              </w:rPr>
            </w:pPr>
            <w:r>
              <w:rPr>
                <w:rFonts w:hint="default"/>
              </w:rPr>
              <w:t xml:space="preserve">3 </w:t>
            </w:r>
          </w:p>
        </w:tc>
        <w:tc>
          <w:tcPr>
            <w:tcW w:w="22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39A4C29">
            <w:pPr>
              <w:pStyle w:val="45"/>
              <w:rPr>
                <w:rFonts w:hint="default"/>
              </w:rPr>
            </w:pPr>
            <w:r>
              <w:t>电解车间</w:t>
            </w:r>
          </w:p>
        </w:tc>
        <w:tc>
          <w:tcPr>
            <w:tcW w:w="2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A33632">
            <w:pPr>
              <w:pStyle w:val="45"/>
              <w:rPr>
                <w:rFonts w:hint="default"/>
              </w:rPr>
            </w:pPr>
            <w:r>
              <w:t>机泵*31</w:t>
            </w:r>
          </w:p>
        </w:tc>
        <w:tc>
          <w:tcPr>
            <w:tcW w:w="5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CBA845">
            <w:pPr>
              <w:pStyle w:val="45"/>
              <w:rPr>
                <w:rFonts w:hint="default"/>
              </w:rPr>
            </w:pPr>
            <w:r>
              <w:t>85/1</w:t>
            </w:r>
          </w:p>
        </w:tc>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0E76FE">
            <w:pPr>
              <w:pStyle w:val="45"/>
              <w:rPr>
                <w:rFonts w:hint="default"/>
              </w:rPr>
            </w:pPr>
            <w:r>
              <w:t>99.15</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C81FF5">
            <w:pPr>
              <w:pStyle w:val="45"/>
              <w:rPr>
                <w:rFonts w:hint="default"/>
              </w:rPr>
            </w:pPr>
            <w:r>
              <w:t>合理布局、基础减振、隔声等</w:t>
            </w:r>
          </w:p>
        </w:tc>
        <w:tc>
          <w:tcPr>
            <w:tcW w:w="1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D6B92F">
            <w:pPr>
              <w:pStyle w:val="45"/>
              <w:rPr>
                <w:rFonts w:hint="default"/>
              </w:rPr>
            </w:pPr>
            <w:r>
              <w:t>33.7</w:t>
            </w:r>
          </w:p>
        </w:tc>
        <w:tc>
          <w:tcPr>
            <w:tcW w:w="1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3B6BCE">
            <w:pPr>
              <w:pStyle w:val="45"/>
              <w:rPr>
                <w:rFonts w:hint="default"/>
              </w:rPr>
            </w:pPr>
            <w:r>
              <w:t>0</w:t>
            </w:r>
          </w:p>
        </w:tc>
        <w:tc>
          <w:tcPr>
            <w:tcW w:w="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B9FAFC">
            <w:pPr>
              <w:pStyle w:val="45"/>
              <w:rPr>
                <w:rFonts w:hint="default"/>
              </w:rPr>
            </w:pPr>
            <w:r>
              <w:t>1</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212D5E">
            <w:pPr>
              <w:pStyle w:val="45"/>
              <w:rPr>
                <w:rFonts w:hint="default"/>
              </w:rPr>
            </w:pPr>
            <w:r>
              <w:t>东/南/西/北</w:t>
            </w:r>
          </w:p>
        </w:tc>
        <w:tc>
          <w:tcPr>
            <w:tcW w:w="4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8A8263">
            <w:pPr>
              <w:pStyle w:val="45"/>
              <w:rPr>
                <w:rFonts w:hint="default"/>
              </w:rPr>
            </w:pPr>
            <w:r>
              <w:t>22.5/35/25.5/26</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1D3787">
            <w:pPr>
              <w:pStyle w:val="45"/>
              <w:rPr>
                <w:rFonts w:hint="default"/>
              </w:rPr>
            </w:pPr>
            <w:r>
              <w:t>东/南/西/北</w:t>
            </w: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C3E989">
            <w:pPr>
              <w:pStyle w:val="45"/>
              <w:rPr>
                <w:rFonts w:hint="default"/>
              </w:rPr>
            </w:pPr>
            <w:r>
              <w:rPr>
                <w:rFonts w:hint="default"/>
              </w:rPr>
              <w:t>72.11/68.27/71.02/70.85</w:t>
            </w:r>
          </w:p>
        </w:tc>
        <w:tc>
          <w:tcPr>
            <w:tcW w:w="1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B164E4">
            <w:pPr>
              <w:pStyle w:val="45"/>
              <w:rPr>
                <w:rFonts w:hint="default"/>
              </w:rPr>
            </w:pPr>
            <w:r>
              <w:t>连续</w:t>
            </w:r>
          </w:p>
        </w:tc>
        <w:tc>
          <w:tcPr>
            <w:tcW w:w="3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7D1FD5">
            <w:pPr>
              <w:pStyle w:val="45"/>
              <w:rPr>
                <w:rFonts w:hint="default"/>
              </w:rPr>
            </w:pPr>
            <w:r>
              <w:rPr>
                <w:rFonts w:hint="default"/>
              </w:rPr>
              <w:t xml:space="preserve">25.00 </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F892A6">
            <w:pPr>
              <w:pStyle w:val="45"/>
              <w:rPr>
                <w:rFonts w:hint="default"/>
              </w:rPr>
            </w:pPr>
            <w:r>
              <w:t>东/南/西/北</w:t>
            </w: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11BE34">
            <w:pPr>
              <w:pStyle w:val="45"/>
              <w:rPr>
                <w:rFonts w:hint="default"/>
              </w:rPr>
            </w:pPr>
            <w:r>
              <w:rPr>
                <w:rFonts w:hint="default"/>
              </w:rPr>
              <w:t>47.11/43.27/46.02/45.85</w:t>
            </w:r>
          </w:p>
        </w:tc>
        <w:tc>
          <w:tcPr>
            <w:tcW w:w="2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3D9E73">
            <w:pPr>
              <w:pStyle w:val="45"/>
              <w:rPr>
                <w:rFonts w:hint="default"/>
              </w:rPr>
            </w:pPr>
            <w:r>
              <w:rPr>
                <w:rFonts w:hint="default"/>
              </w:rPr>
              <w:t xml:space="preserve">1.00 </w:t>
            </w:r>
          </w:p>
        </w:tc>
      </w:tr>
      <w:tr w14:paraId="265D31E3">
        <w:tblPrEx>
          <w:tblCellMar>
            <w:top w:w="0" w:type="dxa"/>
            <w:left w:w="108" w:type="dxa"/>
            <w:bottom w:w="0" w:type="dxa"/>
            <w:right w:w="108" w:type="dxa"/>
          </w:tblCellMar>
        </w:tblPrEx>
        <w:trPr>
          <w:trHeight w:val="315" w:hRule="atLeast"/>
        </w:trPr>
        <w:tc>
          <w:tcPr>
            <w:tcW w:w="1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311CB4">
            <w:pPr>
              <w:pStyle w:val="45"/>
              <w:rPr>
                <w:rFonts w:hint="default"/>
              </w:rPr>
            </w:pPr>
            <w:r>
              <w:rPr>
                <w:rFonts w:hint="default"/>
              </w:rPr>
              <w:t xml:space="preserve">4 </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5A916A">
            <w:pPr>
              <w:pStyle w:val="45"/>
              <w:rPr>
                <w:rFonts w:hint="default"/>
              </w:rPr>
            </w:pPr>
          </w:p>
        </w:tc>
        <w:tc>
          <w:tcPr>
            <w:tcW w:w="2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EE503B">
            <w:pPr>
              <w:pStyle w:val="45"/>
              <w:rPr>
                <w:rFonts w:hint="default"/>
              </w:rPr>
            </w:pPr>
            <w:r>
              <w:t>压滤机*3</w:t>
            </w:r>
          </w:p>
        </w:tc>
        <w:tc>
          <w:tcPr>
            <w:tcW w:w="5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8D4516">
            <w:pPr>
              <w:pStyle w:val="45"/>
              <w:rPr>
                <w:rFonts w:hint="default"/>
              </w:rPr>
            </w:pPr>
            <w:r>
              <w:t>85/1</w:t>
            </w:r>
          </w:p>
        </w:tc>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F6B1D5">
            <w:pPr>
              <w:pStyle w:val="45"/>
              <w:rPr>
                <w:rFonts w:hint="default"/>
              </w:rPr>
            </w:pPr>
            <w:r>
              <w:t>89.77</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98AC99">
            <w:pPr>
              <w:pStyle w:val="45"/>
              <w:rPr>
                <w:rFonts w:hint="default"/>
              </w:rPr>
            </w:pPr>
            <w:r>
              <w:t>合理布局、基础减振、隔声等</w:t>
            </w:r>
          </w:p>
        </w:tc>
        <w:tc>
          <w:tcPr>
            <w:tcW w:w="1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2F870A">
            <w:pPr>
              <w:pStyle w:val="45"/>
              <w:rPr>
                <w:rFonts w:hint="default"/>
              </w:rPr>
            </w:pPr>
            <w:r>
              <w:t>-35.5</w:t>
            </w:r>
          </w:p>
        </w:tc>
        <w:tc>
          <w:tcPr>
            <w:tcW w:w="1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1C31F5">
            <w:pPr>
              <w:pStyle w:val="45"/>
              <w:rPr>
                <w:rFonts w:hint="default"/>
              </w:rPr>
            </w:pPr>
            <w:r>
              <w:t>-20.1</w:t>
            </w:r>
          </w:p>
        </w:tc>
        <w:tc>
          <w:tcPr>
            <w:tcW w:w="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554B4D">
            <w:pPr>
              <w:pStyle w:val="45"/>
              <w:rPr>
                <w:rFonts w:hint="default"/>
              </w:rPr>
            </w:pPr>
            <w:r>
              <w:t>1</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0F47AB">
            <w:pPr>
              <w:pStyle w:val="45"/>
              <w:rPr>
                <w:rFonts w:hint="default"/>
              </w:rPr>
            </w:pPr>
            <w:r>
              <w:t>东/南/西/北</w:t>
            </w:r>
          </w:p>
        </w:tc>
        <w:tc>
          <w:tcPr>
            <w:tcW w:w="4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6A0FF0">
            <w:pPr>
              <w:pStyle w:val="45"/>
              <w:rPr>
                <w:rFonts w:hint="default"/>
              </w:rPr>
            </w:pPr>
            <w:r>
              <w:t>22.5/24.3/25.5/36.7</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0FB2CE">
            <w:pPr>
              <w:pStyle w:val="45"/>
              <w:rPr>
                <w:rFonts w:hint="default"/>
              </w:rPr>
            </w:pPr>
            <w:r>
              <w:t>东/南/西/北</w:t>
            </w: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154263">
            <w:pPr>
              <w:pStyle w:val="45"/>
              <w:rPr>
                <w:rFonts w:hint="default"/>
              </w:rPr>
            </w:pPr>
            <w:r>
              <w:rPr>
                <w:rFonts w:hint="default"/>
              </w:rPr>
              <w:t>62.73/62.06/61.64/58.48</w:t>
            </w:r>
          </w:p>
        </w:tc>
        <w:tc>
          <w:tcPr>
            <w:tcW w:w="1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FFF0F2">
            <w:pPr>
              <w:pStyle w:val="45"/>
              <w:rPr>
                <w:rFonts w:hint="default"/>
              </w:rPr>
            </w:pPr>
            <w:r>
              <w:t>连续</w:t>
            </w:r>
          </w:p>
        </w:tc>
        <w:tc>
          <w:tcPr>
            <w:tcW w:w="3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146C5A">
            <w:pPr>
              <w:pStyle w:val="45"/>
              <w:rPr>
                <w:rFonts w:hint="default"/>
              </w:rPr>
            </w:pPr>
            <w:r>
              <w:rPr>
                <w:rFonts w:hint="default"/>
              </w:rPr>
              <w:t xml:space="preserve">25.00 </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B7B61A">
            <w:pPr>
              <w:pStyle w:val="45"/>
              <w:rPr>
                <w:rFonts w:hint="default"/>
              </w:rPr>
            </w:pPr>
            <w:r>
              <w:t>东/南/西/北</w:t>
            </w: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499295">
            <w:pPr>
              <w:pStyle w:val="45"/>
              <w:rPr>
                <w:rFonts w:hint="default"/>
              </w:rPr>
            </w:pPr>
            <w:r>
              <w:rPr>
                <w:rFonts w:hint="default"/>
              </w:rPr>
              <w:t>37.73/37.03/36.64/33.48</w:t>
            </w:r>
          </w:p>
        </w:tc>
        <w:tc>
          <w:tcPr>
            <w:tcW w:w="2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F7C21D">
            <w:pPr>
              <w:pStyle w:val="45"/>
              <w:rPr>
                <w:rFonts w:hint="default"/>
              </w:rPr>
            </w:pPr>
            <w:r>
              <w:rPr>
                <w:rFonts w:hint="default"/>
              </w:rPr>
              <w:t xml:space="preserve">1.00 </w:t>
            </w:r>
          </w:p>
        </w:tc>
      </w:tr>
      <w:tr w14:paraId="36F3064A">
        <w:tblPrEx>
          <w:tblCellMar>
            <w:top w:w="0" w:type="dxa"/>
            <w:left w:w="108" w:type="dxa"/>
            <w:bottom w:w="0" w:type="dxa"/>
            <w:right w:w="108" w:type="dxa"/>
          </w:tblCellMar>
        </w:tblPrEx>
        <w:trPr>
          <w:trHeight w:val="315" w:hRule="atLeast"/>
        </w:trPr>
        <w:tc>
          <w:tcPr>
            <w:tcW w:w="1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D382ED">
            <w:pPr>
              <w:pStyle w:val="45"/>
              <w:rPr>
                <w:rFonts w:hint="default"/>
              </w:rPr>
            </w:pPr>
            <w:r>
              <w:rPr>
                <w:rFonts w:hint="default"/>
              </w:rPr>
              <w:t xml:space="preserve">5 </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CAF7A0">
            <w:pPr>
              <w:pStyle w:val="45"/>
              <w:rPr>
                <w:rFonts w:hint="default"/>
              </w:rPr>
            </w:pPr>
          </w:p>
        </w:tc>
        <w:tc>
          <w:tcPr>
            <w:tcW w:w="2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911A4C">
            <w:pPr>
              <w:pStyle w:val="45"/>
              <w:rPr>
                <w:rFonts w:hint="default"/>
              </w:rPr>
            </w:pPr>
            <w:r>
              <w:t>引风机*4</w:t>
            </w:r>
          </w:p>
        </w:tc>
        <w:tc>
          <w:tcPr>
            <w:tcW w:w="5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2F0C71">
            <w:pPr>
              <w:pStyle w:val="45"/>
              <w:rPr>
                <w:rFonts w:hint="default"/>
              </w:rPr>
            </w:pPr>
            <w:r>
              <w:t>90/1</w:t>
            </w:r>
          </w:p>
        </w:tc>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F0497D">
            <w:pPr>
              <w:pStyle w:val="45"/>
              <w:rPr>
                <w:rFonts w:hint="default"/>
              </w:rPr>
            </w:pPr>
            <w:r>
              <w:t>96.02</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C8BD96">
            <w:pPr>
              <w:pStyle w:val="45"/>
              <w:rPr>
                <w:rFonts w:hint="default"/>
              </w:rPr>
            </w:pPr>
            <w:r>
              <w:t>合理布局、基础减振、隔声等</w:t>
            </w:r>
          </w:p>
        </w:tc>
        <w:tc>
          <w:tcPr>
            <w:tcW w:w="1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2EAD60">
            <w:pPr>
              <w:pStyle w:val="45"/>
              <w:rPr>
                <w:rFonts w:hint="default"/>
              </w:rPr>
            </w:pPr>
            <w:r>
              <w:t>-35.6</w:t>
            </w:r>
          </w:p>
        </w:tc>
        <w:tc>
          <w:tcPr>
            <w:tcW w:w="1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C3DFCE">
            <w:pPr>
              <w:pStyle w:val="45"/>
              <w:rPr>
                <w:rFonts w:hint="default"/>
              </w:rPr>
            </w:pPr>
            <w:r>
              <w:t>-8.7</w:t>
            </w:r>
          </w:p>
        </w:tc>
        <w:tc>
          <w:tcPr>
            <w:tcW w:w="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1BF477">
            <w:pPr>
              <w:pStyle w:val="45"/>
              <w:rPr>
                <w:rFonts w:hint="default"/>
              </w:rPr>
            </w:pPr>
            <w:r>
              <w:t>1</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5B5BBF">
            <w:pPr>
              <w:pStyle w:val="45"/>
              <w:rPr>
                <w:rFonts w:hint="default"/>
              </w:rPr>
            </w:pPr>
            <w:r>
              <w:t>东/南/西/北</w:t>
            </w:r>
          </w:p>
        </w:tc>
        <w:tc>
          <w:tcPr>
            <w:tcW w:w="4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131455">
            <w:pPr>
              <w:pStyle w:val="45"/>
              <w:rPr>
                <w:rFonts w:hint="default"/>
              </w:rPr>
            </w:pPr>
            <w:r>
              <w:t>22.5/14.7/25.5/46.3</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E5D2BE">
            <w:pPr>
              <w:pStyle w:val="45"/>
              <w:rPr>
                <w:rFonts w:hint="default"/>
              </w:rPr>
            </w:pPr>
            <w:r>
              <w:t>东/南/西/北</w:t>
            </w: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14FF3F">
            <w:pPr>
              <w:pStyle w:val="45"/>
              <w:rPr>
                <w:rFonts w:hint="default"/>
              </w:rPr>
            </w:pPr>
            <w:r>
              <w:rPr>
                <w:rFonts w:hint="default"/>
              </w:rPr>
              <w:t>68.98/72.67/67.89/62.71</w:t>
            </w:r>
          </w:p>
        </w:tc>
        <w:tc>
          <w:tcPr>
            <w:tcW w:w="1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65679D">
            <w:pPr>
              <w:pStyle w:val="45"/>
              <w:rPr>
                <w:rFonts w:hint="default"/>
              </w:rPr>
            </w:pPr>
            <w:r>
              <w:t>连续</w:t>
            </w:r>
          </w:p>
        </w:tc>
        <w:tc>
          <w:tcPr>
            <w:tcW w:w="3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116B9D">
            <w:pPr>
              <w:pStyle w:val="45"/>
              <w:rPr>
                <w:rFonts w:hint="default"/>
              </w:rPr>
            </w:pPr>
            <w:r>
              <w:rPr>
                <w:rFonts w:hint="default"/>
              </w:rPr>
              <w:t xml:space="preserve">25.00 </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62F1DC">
            <w:pPr>
              <w:pStyle w:val="45"/>
              <w:rPr>
                <w:rFonts w:hint="default"/>
              </w:rPr>
            </w:pPr>
            <w:r>
              <w:t>东/南/西/北</w:t>
            </w: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F43460">
            <w:pPr>
              <w:pStyle w:val="45"/>
              <w:rPr>
                <w:rFonts w:hint="default"/>
              </w:rPr>
            </w:pPr>
            <w:r>
              <w:rPr>
                <w:rFonts w:hint="default"/>
              </w:rPr>
              <w:t>43.98/47.67/42.89/37.71</w:t>
            </w:r>
          </w:p>
        </w:tc>
        <w:tc>
          <w:tcPr>
            <w:tcW w:w="2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44920A">
            <w:pPr>
              <w:pStyle w:val="45"/>
              <w:rPr>
                <w:rFonts w:hint="default"/>
              </w:rPr>
            </w:pPr>
            <w:r>
              <w:rPr>
                <w:rFonts w:hint="default"/>
              </w:rPr>
              <w:t xml:space="preserve">1.00 </w:t>
            </w:r>
          </w:p>
        </w:tc>
      </w:tr>
      <w:tr w14:paraId="78E9291A">
        <w:tblPrEx>
          <w:tblCellMar>
            <w:top w:w="0" w:type="dxa"/>
            <w:left w:w="108" w:type="dxa"/>
            <w:bottom w:w="0" w:type="dxa"/>
            <w:right w:w="108" w:type="dxa"/>
          </w:tblCellMar>
        </w:tblPrEx>
        <w:trPr>
          <w:trHeight w:val="315" w:hRule="atLeast"/>
        </w:trPr>
        <w:tc>
          <w:tcPr>
            <w:tcW w:w="1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5CE46C">
            <w:pPr>
              <w:pStyle w:val="45"/>
              <w:rPr>
                <w:rFonts w:hint="default"/>
              </w:rPr>
            </w:pPr>
            <w:r>
              <w:rPr>
                <w:rFonts w:hint="default"/>
              </w:rPr>
              <w:t xml:space="preserve">6 </w:t>
            </w:r>
          </w:p>
        </w:tc>
        <w:tc>
          <w:tcPr>
            <w:tcW w:w="22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9AF7CAC">
            <w:pPr>
              <w:pStyle w:val="45"/>
              <w:rPr>
                <w:rFonts w:hint="default"/>
              </w:rPr>
            </w:pPr>
            <w:r>
              <w:t>复分解联合车间</w:t>
            </w:r>
          </w:p>
        </w:tc>
        <w:tc>
          <w:tcPr>
            <w:tcW w:w="2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CD1D6E">
            <w:pPr>
              <w:pStyle w:val="45"/>
              <w:rPr>
                <w:rFonts w:hint="default"/>
              </w:rPr>
            </w:pPr>
            <w:r>
              <w:t>真空机组*3</w:t>
            </w:r>
          </w:p>
        </w:tc>
        <w:tc>
          <w:tcPr>
            <w:tcW w:w="5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90737E">
            <w:pPr>
              <w:pStyle w:val="45"/>
              <w:rPr>
                <w:rFonts w:hint="default"/>
              </w:rPr>
            </w:pPr>
            <w:r>
              <w:t>90/1</w:t>
            </w:r>
          </w:p>
        </w:tc>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3C9CE1">
            <w:pPr>
              <w:pStyle w:val="45"/>
              <w:rPr>
                <w:rFonts w:hint="default"/>
              </w:rPr>
            </w:pPr>
            <w:r>
              <w:t>94.77</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2F1A6C">
            <w:pPr>
              <w:pStyle w:val="45"/>
              <w:rPr>
                <w:rFonts w:hint="default"/>
              </w:rPr>
            </w:pPr>
            <w:r>
              <w:t>合理布局、基础减振、隔声等</w:t>
            </w:r>
          </w:p>
        </w:tc>
        <w:tc>
          <w:tcPr>
            <w:tcW w:w="1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3C9C0C">
            <w:pPr>
              <w:pStyle w:val="45"/>
              <w:rPr>
                <w:rFonts w:hint="default"/>
              </w:rPr>
            </w:pPr>
            <w:r>
              <w:t>18.6</w:t>
            </w:r>
          </w:p>
        </w:tc>
        <w:tc>
          <w:tcPr>
            <w:tcW w:w="1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CB305E">
            <w:pPr>
              <w:pStyle w:val="45"/>
              <w:rPr>
                <w:rFonts w:hint="default"/>
              </w:rPr>
            </w:pPr>
            <w:r>
              <w:t>12.1</w:t>
            </w:r>
          </w:p>
        </w:tc>
        <w:tc>
          <w:tcPr>
            <w:tcW w:w="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1212B9">
            <w:pPr>
              <w:pStyle w:val="45"/>
              <w:rPr>
                <w:rFonts w:hint="default"/>
              </w:rPr>
            </w:pPr>
            <w:r>
              <w:t>1</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AA5A29">
            <w:pPr>
              <w:pStyle w:val="45"/>
              <w:rPr>
                <w:rFonts w:hint="default"/>
              </w:rPr>
            </w:pPr>
            <w:r>
              <w:t>东/南/西/北</w:t>
            </w:r>
          </w:p>
        </w:tc>
        <w:tc>
          <w:tcPr>
            <w:tcW w:w="4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A563E8">
            <w:pPr>
              <w:pStyle w:val="45"/>
              <w:rPr>
                <w:rFonts w:hint="default"/>
              </w:rPr>
            </w:pPr>
            <w:r>
              <w:t>10.9/19.3/12.1/30.7</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1CE872">
            <w:pPr>
              <w:pStyle w:val="45"/>
              <w:rPr>
                <w:rFonts w:hint="default"/>
              </w:rPr>
            </w:pPr>
            <w:r>
              <w:t>东/南/西/北</w:t>
            </w: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D8DFD1">
            <w:pPr>
              <w:pStyle w:val="45"/>
              <w:rPr>
                <w:rFonts w:hint="default"/>
              </w:rPr>
            </w:pPr>
            <w:r>
              <w:rPr>
                <w:rFonts w:hint="default"/>
              </w:rPr>
              <w:t>74.02/69.06/73.11/65.03</w:t>
            </w:r>
          </w:p>
        </w:tc>
        <w:tc>
          <w:tcPr>
            <w:tcW w:w="1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FDCB04">
            <w:pPr>
              <w:pStyle w:val="45"/>
              <w:rPr>
                <w:rFonts w:hint="default"/>
              </w:rPr>
            </w:pPr>
            <w:r>
              <w:t>连续</w:t>
            </w:r>
          </w:p>
        </w:tc>
        <w:tc>
          <w:tcPr>
            <w:tcW w:w="3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B1C32F">
            <w:pPr>
              <w:pStyle w:val="45"/>
              <w:rPr>
                <w:rFonts w:hint="default"/>
              </w:rPr>
            </w:pPr>
            <w:r>
              <w:rPr>
                <w:rFonts w:hint="default"/>
              </w:rPr>
              <w:t xml:space="preserve">25.00 </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14C1C7">
            <w:pPr>
              <w:pStyle w:val="45"/>
              <w:rPr>
                <w:rFonts w:hint="default"/>
              </w:rPr>
            </w:pPr>
            <w:r>
              <w:t>东/南/西/北</w:t>
            </w: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9A2F16">
            <w:pPr>
              <w:pStyle w:val="45"/>
              <w:rPr>
                <w:rFonts w:hint="default"/>
              </w:rPr>
            </w:pPr>
            <w:r>
              <w:rPr>
                <w:rFonts w:hint="default"/>
              </w:rPr>
              <w:t>49.02/44.06/48.11/40.03</w:t>
            </w:r>
          </w:p>
        </w:tc>
        <w:tc>
          <w:tcPr>
            <w:tcW w:w="2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2B2A60">
            <w:pPr>
              <w:pStyle w:val="45"/>
              <w:rPr>
                <w:rFonts w:hint="default"/>
              </w:rPr>
            </w:pPr>
            <w:r>
              <w:rPr>
                <w:rFonts w:hint="default"/>
              </w:rPr>
              <w:t xml:space="preserve">1.00 </w:t>
            </w:r>
          </w:p>
        </w:tc>
      </w:tr>
      <w:tr w14:paraId="4ADD5D9F">
        <w:tblPrEx>
          <w:tblCellMar>
            <w:top w:w="0" w:type="dxa"/>
            <w:left w:w="108" w:type="dxa"/>
            <w:bottom w:w="0" w:type="dxa"/>
            <w:right w:w="108" w:type="dxa"/>
          </w:tblCellMar>
        </w:tblPrEx>
        <w:trPr>
          <w:trHeight w:val="315" w:hRule="atLeast"/>
        </w:trPr>
        <w:tc>
          <w:tcPr>
            <w:tcW w:w="1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054883">
            <w:pPr>
              <w:pStyle w:val="45"/>
              <w:rPr>
                <w:rFonts w:hint="default"/>
              </w:rPr>
            </w:pPr>
            <w:r>
              <w:rPr>
                <w:rFonts w:hint="default"/>
              </w:rPr>
              <w:t xml:space="preserve">7 </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8ED0CC">
            <w:pPr>
              <w:pStyle w:val="45"/>
              <w:rPr>
                <w:rFonts w:hint="default"/>
              </w:rPr>
            </w:pPr>
          </w:p>
        </w:tc>
        <w:tc>
          <w:tcPr>
            <w:tcW w:w="2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FB1ADA">
            <w:pPr>
              <w:pStyle w:val="45"/>
              <w:rPr>
                <w:rFonts w:hint="default"/>
              </w:rPr>
            </w:pPr>
            <w:r>
              <w:t>冷冻机组*2</w:t>
            </w:r>
          </w:p>
        </w:tc>
        <w:tc>
          <w:tcPr>
            <w:tcW w:w="5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F6CF54">
            <w:pPr>
              <w:pStyle w:val="45"/>
              <w:rPr>
                <w:rFonts w:hint="default"/>
              </w:rPr>
            </w:pPr>
            <w:r>
              <w:t>90/1</w:t>
            </w:r>
          </w:p>
        </w:tc>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9BB6D3">
            <w:pPr>
              <w:pStyle w:val="45"/>
              <w:rPr>
                <w:rFonts w:hint="default"/>
              </w:rPr>
            </w:pPr>
            <w:r>
              <w:t>93.01</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CABAD4">
            <w:pPr>
              <w:pStyle w:val="45"/>
              <w:rPr>
                <w:rFonts w:hint="default"/>
              </w:rPr>
            </w:pPr>
            <w:r>
              <w:t>合理布局、基础减振、隔声等</w:t>
            </w:r>
          </w:p>
        </w:tc>
        <w:tc>
          <w:tcPr>
            <w:tcW w:w="1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5E87C0">
            <w:pPr>
              <w:pStyle w:val="45"/>
              <w:rPr>
                <w:rFonts w:hint="default"/>
              </w:rPr>
            </w:pPr>
            <w:r>
              <w:t>18.5</w:t>
            </w:r>
          </w:p>
        </w:tc>
        <w:tc>
          <w:tcPr>
            <w:tcW w:w="1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3440AA">
            <w:pPr>
              <w:pStyle w:val="45"/>
              <w:rPr>
                <w:rFonts w:hint="default"/>
              </w:rPr>
            </w:pPr>
            <w:r>
              <w:t>-9.8</w:t>
            </w:r>
          </w:p>
        </w:tc>
        <w:tc>
          <w:tcPr>
            <w:tcW w:w="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7AC4FC">
            <w:pPr>
              <w:pStyle w:val="45"/>
              <w:rPr>
                <w:rFonts w:hint="default"/>
              </w:rPr>
            </w:pPr>
            <w:r>
              <w:t>1</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639B5E">
            <w:pPr>
              <w:pStyle w:val="45"/>
              <w:rPr>
                <w:rFonts w:hint="default"/>
              </w:rPr>
            </w:pPr>
            <w:r>
              <w:t>东/南/西/北</w:t>
            </w:r>
          </w:p>
        </w:tc>
        <w:tc>
          <w:tcPr>
            <w:tcW w:w="4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811290">
            <w:pPr>
              <w:pStyle w:val="45"/>
              <w:rPr>
                <w:rFonts w:hint="default"/>
              </w:rPr>
            </w:pPr>
            <w:r>
              <w:t>10.9/23.6/12.1/36.4</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469CF7">
            <w:pPr>
              <w:pStyle w:val="45"/>
              <w:rPr>
                <w:rFonts w:hint="default"/>
              </w:rPr>
            </w:pPr>
            <w:r>
              <w:t>东/南/西/北</w:t>
            </w: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B2EE16">
            <w:pPr>
              <w:pStyle w:val="45"/>
              <w:rPr>
                <w:rFonts w:hint="default"/>
              </w:rPr>
            </w:pPr>
            <w:r>
              <w:rPr>
                <w:rFonts w:hint="default"/>
              </w:rPr>
              <w:t>72.26/65.55/71.35/61.79</w:t>
            </w:r>
          </w:p>
        </w:tc>
        <w:tc>
          <w:tcPr>
            <w:tcW w:w="1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17A4F0">
            <w:pPr>
              <w:pStyle w:val="45"/>
              <w:rPr>
                <w:rFonts w:hint="default"/>
              </w:rPr>
            </w:pPr>
            <w:r>
              <w:t>连续</w:t>
            </w:r>
          </w:p>
        </w:tc>
        <w:tc>
          <w:tcPr>
            <w:tcW w:w="3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3F6ACF">
            <w:pPr>
              <w:pStyle w:val="45"/>
              <w:rPr>
                <w:rFonts w:hint="default"/>
              </w:rPr>
            </w:pPr>
            <w:r>
              <w:rPr>
                <w:rFonts w:hint="default"/>
              </w:rPr>
              <w:t xml:space="preserve">25.00 </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1173A3">
            <w:pPr>
              <w:pStyle w:val="45"/>
              <w:rPr>
                <w:rFonts w:hint="default"/>
              </w:rPr>
            </w:pPr>
            <w:r>
              <w:t>东/南/西/北</w:t>
            </w: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D798DC">
            <w:pPr>
              <w:pStyle w:val="45"/>
              <w:rPr>
                <w:rFonts w:hint="default"/>
              </w:rPr>
            </w:pPr>
            <w:r>
              <w:rPr>
                <w:rFonts w:hint="default"/>
              </w:rPr>
              <w:t>47.26/40.55/46.35/36.79</w:t>
            </w:r>
          </w:p>
        </w:tc>
        <w:tc>
          <w:tcPr>
            <w:tcW w:w="2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6D6BFA">
            <w:pPr>
              <w:pStyle w:val="45"/>
              <w:rPr>
                <w:rFonts w:hint="default"/>
              </w:rPr>
            </w:pPr>
            <w:r>
              <w:rPr>
                <w:rFonts w:hint="default"/>
              </w:rPr>
              <w:t xml:space="preserve">1.00 </w:t>
            </w:r>
          </w:p>
        </w:tc>
      </w:tr>
      <w:tr w14:paraId="04579282">
        <w:tblPrEx>
          <w:tblCellMar>
            <w:top w:w="0" w:type="dxa"/>
            <w:left w:w="108" w:type="dxa"/>
            <w:bottom w:w="0" w:type="dxa"/>
            <w:right w:w="108" w:type="dxa"/>
          </w:tblCellMar>
        </w:tblPrEx>
        <w:trPr>
          <w:trHeight w:val="315" w:hRule="atLeast"/>
        </w:trPr>
        <w:tc>
          <w:tcPr>
            <w:tcW w:w="1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396344">
            <w:pPr>
              <w:pStyle w:val="45"/>
              <w:rPr>
                <w:rFonts w:hint="default"/>
              </w:rPr>
            </w:pPr>
            <w:r>
              <w:rPr>
                <w:rFonts w:hint="default"/>
              </w:rPr>
              <w:t xml:space="preserve">8 </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27679C">
            <w:pPr>
              <w:pStyle w:val="45"/>
              <w:rPr>
                <w:rFonts w:hint="default"/>
              </w:rPr>
            </w:pPr>
          </w:p>
        </w:tc>
        <w:tc>
          <w:tcPr>
            <w:tcW w:w="2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148FE5">
            <w:pPr>
              <w:pStyle w:val="45"/>
              <w:rPr>
                <w:rFonts w:hint="default"/>
              </w:rPr>
            </w:pPr>
            <w:r>
              <w:t>机泵*34</w:t>
            </w:r>
          </w:p>
        </w:tc>
        <w:tc>
          <w:tcPr>
            <w:tcW w:w="5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D5D8FF">
            <w:pPr>
              <w:pStyle w:val="45"/>
              <w:rPr>
                <w:rFonts w:hint="default"/>
              </w:rPr>
            </w:pPr>
            <w:r>
              <w:t>85/1</w:t>
            </w:r>
          </w:p>
        </w:tc>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9E2BA4">
            <w:pPr>
              <w:pStyle w:val="45"/>
              <w:rPr>
                <w:rFonts w:hint="default"/>
              </w:rPr>
            </w:pPr>
            <w:r>
              <w:t>99.63</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A730F6">
            <w:pPr>
              <w:pStyle w:val="45"/>
              <w:rPr>
                <w:rFonts w:hint="default"/>
              </w:rPr>
            </w:pPr>
            <w:r>
              <w:t>合理布局、基础减振、隔声等</w:t>
            </w:r>
          </w:p>
        </w:tc>
        <w:tc>
          <w:tcPr>
            <w:tcW w:w="1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825B65">
            <w:pPr>
              <w:pStyle w:val="45"/>
              <w:rPr>
                <w:rFonts w:hint="default"/>
              </w:rPr>
            </w:pPr>
            <w:r>
              <w:t>18.6</w:t>
            </w:r>
          </w:p>
        </w:tc>
        <w:tc>
          <w:tcPr>
            <w:tcW w:w="1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679011">
            <w:pPr>
              <w:pStyle w:val="45"/>
              <w:rPr>
                <w:rFonts w:hint="default"/>
              </w:rPr>
            </w:pPr>
            <w:r>
              <w:t>0</w:t>
            </w:r>
          </w:p>
        </w:tc>
        <w:tc>
          <w:tcPr>
            <w:tcW w:w="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0FFC1F">
            <w:pPr>
              <w:pStyle w:val="45"/>
              <w:rPr>
                <w:rFonts w:hint="default"/>
              </w:rPr>
            </w:pPr>
            <w:r>
              <w:t>1</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BF3938">
            <w:pPr>
              <w:pStyle w:val="45"/>
              <w:rPr>
                <w:rFonts w:hint="default"/>
              </w:rPr>
            </w:pPr>
            <w:r>
              <w:t>东/南/西/北</w:t>
            </w:r>
          </w:p>
        </w:tc>
        <w:tc>
          <w:tcPr>
            <w:tcW w:w="4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B3AA75">
            <w:pPr>
              <w:pStyle w:val="45"/>
              <w:rPr>
                <w:rFonts w:hint="default"/>
              </w:rPr>
            </w:pPr>
            <w:r>
              <w:t>10.9/32.5/12.1/27.5</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39281A">
            <w:pPr>
              <w:pStyle w:val="45"/>
              <w:rPr>
                <w:rFonts w:hint="default"/>
              </w:rPr>
            </w:pPr>
            <w:r>
              <w:t>东/南/西/北</w:t>
            </w: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5F9B99">
            <w:pPr>
              <w:pStyle w:val="45"/>
              <w:rPr>
                <w:rFonts w:hint="default"/>
              </w:rPr>
            </w:pPr>
            <w:r>
              <w:rPr>
                <w:rFonts w:hint="default"/>
              </w:rPr>
              <w:t>78.89/69.39/77.97/70.84</w:t>
            </w:r>
          </w:p>
        </w:tc>
        <w:tc>
          <w:tcPr>
            <w:tcW w:w="1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BB9D68">
            <w:pPr>
              <w:pStyle w:val="45"/>
              <w:rPr>
                <w:rFonts w:hint="default"/>
              </w:rPr>
            </w:pPr>
            <w:r>
              <w:t>连续</w:t>
            </w:r>
          </w:p>
        </w:tc>
        <w:tc>
          <w:tcPr>
            <w:tcW w:w="3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7D0C62">
            <w:pPr>
              <w:pStyle w:val="45"/>
              <w:rPr>
                <w:rFonts w:hint="default"/>
              </w:rPr>
            </w:pPr>
            <w:r>
              <w:rPr>
                <w:rFonts w:hint="default"/>
              </w:rPr>
              <w:t xml:space="preserve">25.00 </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42A3BC">
            <w:pPr>
              <w:pStyle w:val="45"/>
              <w:rPr>
                <w:rFonts w:hint="default"/>
              </w:rPr>
            </w:pPr>
            <w:r>
              <w:t>东/南/西/北</w:t>
            </w: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3AA929">
            <w:pPr>
              <w:pStyle w:val="45"/>
              <w:rPr>
                <w:rFonts w:hint="default"/>
              </w:rPr>
            </w:pPr>
            <w:r>
              <w:rPr>
                <w:rFonts w:hint="default"/>
              </w:rPr>
              <w:t>53.89/44.39/52.97/45.84</w:t>
            </w:r>
          </w:p>
        </w:tc>
        <w:tc>
          <w:tcPr>
            <w:tcW w:w="2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1212A3">
            <w:pPr>
              <w:pStyle w:val="45"/>
              <w:rPr>
                <w:rFonts w:hint="default"/>
              </w:rPr>
            </w:pPr>
            <w:r>
              <w:rPr>
                <w:rFonts w:hint="default"/>
              </w:rPr>
              <w:t xml:space="preserve">1.00 </w:t>
            </w:r>
          </w:p>
        </w:tc>
      </w:tr>
      <w:tr w14:paraId="4CC61398">
        <w:tblPrEx>
          <w:tblCellMar>
            <w:top w:w="0" w:type="dxa"/>
            <w:left w:w="108" w:type="dxa"/>
            <w:bottom w:w="0" w:type="dxa"/>
            <w:right w:w="108" w:type="dxa"/>
          </w:tblCellMar>
        </w:tblPrEx>
        <w:trPr>
          <w:trHeight w:val="315" w:hRule="atLeast"/>
        </w:trPr>
        <w:tc>
          <w:tcPr>
            <w:tcW w:w="1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4D83A1">
            <w:pPr>
              <w:pStyle w:val="45"/>
              <w:rPr>
                <w:rFonts w:hint="default"/>
              </w:rPr>
            </w:pPr>
            <w:r>
              <w:rPr>
                <w:rFonts w:hint="default"/>
              </w:rPr>
              <w:t xml:space="preserve">9 </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CC8CE8">
            <w:pPr>
              <w:pStyle w:val="45"/>
              <w:rPr>
                <w:rFonts w:hint="default"/>
              </w:rPr>
            </w:pPr>
          </w:p>
        </w:tc>
        <w:tc>
          <w:tcPr>
            <w:tcW w:w="2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FEA6F3">
            <w:pPr>
              <w:pStyle w:val="45"/>
              <w:rPr>
                <w:rFonts w:hint="default"/>
              </w:rPr>
            </w:pPr>
            <w:r>
              <w:t>离心机*2</w:t>
            </w:r>
          </w:p>
        </w:tc>
        <w:tc>
          <w:tcPr>
            <w:tcW w:w="5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24EE6D">
            <w:pPr>
              <w:pStyle w:val="45"/>
              <w:rPr>
                <w:rFonts w:hint="default"/>
              </w:rPr>
            </w:pPr>
            <w:r>
              <w:t>95/1</w:t>
            </w:r>
          </w:p>
        </w:tc>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B59968">
            <w:pPr>
              <w:pStyle w:val="45"/>
              <w:rPr>
                <w:rFonts w:hint="default"/>
              </w:rPr>
            </w:pPr>
            <w:r>
              <w:t>98.01</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A214ED">
            <w:pPr>
              <w:pStyle w:val="45"/>
              <w:rPr>
                <w:rFonts w:hint="default"/>
              </w:rPr>
            </w:pPr>
            <w:r>
              <w:t>合理布局、基础减振、隔声等</w:t>
            </w:r>
          </w:p>
        </w:tc>
        <w:tc>
          <w:tcPr>
            <w:tcW w:w="1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ECF26B">
            <w:pPr>
              <w:pStyle w:val="45"/>
              <w:rPr>
                <w:rFonts w:hint="default"/>
              </w:rPr>
            </w:pPr>
            <w:r>
              <w:t>18.4</w:t>
            </w:r>
          </w:p>
        </w:tc>
        <w:tc>
          <w:tcPr>
            <w:tcW w:w="1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9BF0BB">
            <w:pPr>
              <w:pStyle w:val="45"/>
              <w:rPr>
                <w:rFonts w:hint="default"/>
              </w:rPr>
            </w:pPr>
            <w:r>
              <w:t>19.3</w:t>
            </w:r>
          </w:p>
        </w:tc>
        <w:tc>
          <w:tcPr>
            <w:tcW w:w="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7C2A32">
            <w:pPr>
              <w:pStyle w:val="45"/>
              <w:rPr>
                <w:rFonts w:hint="default"/>
              </w:rPr>
            </w:pPr>
            <w:r>
              <w:t>1</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619E6B">
            <w:pPr>
              <w:pStyle w:val="45"/>
              <w:rPr>
                <w:rFonts w:hint="default"/>
              </w:rPr>
            </w:pPr>
            <w:r>
              <w:t>东/南/西/北</w:t>
            </w:r>
          </w:p>
        </w:tc>
        <w:tc>
          <w:tcPr>
            <w:tcW w:w="4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59FF58">
            <w:pPr>
              <w:pStyle w:val="45"/>
              <w:rPr>
                <w:rFonts w:hint="default"/>
              </w:rPr>
            </w:pPr>
            <w:r>
              <w:t>10.9/53/12.1/7.5</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2FA541">
            <w:pPr>
              <w:pStyle w:val="45"/>
              <w:rPr>
                <w:rFonts w:hint="default"/>
              </w:rPr>
            </w:pPr>
            <w:r>
              <w:t>东/南/西/北</w:t>
            </w: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632A3B">
            <w:pPr>
              <w:pStyle w:val="45"/>
              <w:rPr>
                <w:rFonts w:hint="default"/>
              </w:rPr>
            </w:pPr>
            <w:r>
              <w:rPr>
                <w:rFonts w:hint="default"/>
              </w:rPr>
              <w:t>77.26/63.52/76.35/80.51</w:t>
            </w:r>
          </w:p>
        </w:tc>
        <w:tc>
          <w:tcPr>
            <w:tcW w:w="1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7B7D1C">
            <w:pPr>
              <w:pStyle w:val="45"/>
              <w:rPr>
                <w:rFonts w:hint="default"/>
              </w:rPr>
            </w:pPr>
            <w:r>
              <w:t>连续</w:t>
            </w:r>
          </w:p>
        </w:tc>
        <w:tc>
          <w:tcPr>
            <w:tcW w:w="3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E8B9A1">
            <w:pPr>
              <w:pStyle w:val="45"/>
              <w:rPr>
                <w:rFonts w:hint="default"/>
              </w:rPr>
            </w:pPr>
            <w:r>
              <w:rPr>
                <w:rFonts w:hint="default"/>
              </w:rPr>
              <w:t xml:space="preserve">25.00 </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A9AB16">
            <w:pPr>
              <w:pStyle w:val="45"/>
              <w:rPr>
                <w:rFonts w:hint="default"/>
              </w:rPr>
            </w:pPr>
            <w:r>
              <w:t>东/南/西/北</w:t>
            </w: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2AEAC1">
            <w:pPr>
              <w:pStyle w:val="45"/>
              <w:rPr>
                <w:rFonts w:hint="default"/>
              </w:rPr>
            </w:pPr>
            <w:r>
              <w:rPr>
                <w:rFonts w:hint="default"/>
              </w:rPr>
              <w:t>52.26/38.52/51.35/55.51</w:t>
            </w:r>
          </w:p>
        </w:tc>
        <w:tc>
          <w:tcPr>
            <w:tcW w:w="2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4D425C">
            <w:pPr>
              <w:pStyle w:val="45"/>
              <w:rPr>
                <w:rFonts w:hint="default"/>
              </w:rPr>
            </w:pPr>
            <w:r>
              <w:rPr>
                <w:rFonts w:hint="default"/>
              </w:rPr>
              <w:t xml:space="preserve">1.00 </w:t>
            </w:r>
          </w:p>
        </w:tc>
      </w:tr>
      <w:tr w14:paraId="7DB40418">
        <w:tblPrEx>
          <w:tblCellMar>
            <w:top w:w="0" w:type="dxa"/>
            <w:left w:w="108" w:type="dxa"/>
            <w:bottom w:w="0" w:type="dxa"/>
            <w:right w:w="108" w:type="dxa"/>
          </w:tblCellMar>
        </w:tblPrEx>
        <w:trPr>
          <w:trHeight w:val="315" w:hRule="atLeast"/>
        </w:trPr>
        <w:tc>
          <w:tcPr>
            <w:tcW w:w="1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26D176">
            <w:pPr>
              <w:pStyle w:val="45"/>
              <w:rPr>
                <w:rFonts w:hint="default"/>
              </w:rPr>
            </w:pPr>
            <w:r>
              <w:rPr>
                <w:rFonts w:hint="default"/>
              </w:rPr>
              <w:t xml:space="preserve">10 </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833011">
            <w:pPr>
              <w:pStyle w:val="45"/>
              <w:rPr>
                <w:rFonts w:hint="default"/>
              </w:rPr>
            </w:pPr>
          </w:p>
        </w:tc>
        <w:tc>
          <w:tcPr>
            <w:tcW w:w="2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0F3C9A">
            <w:pPr>
              <w:pStyle w:val="45"/>
              <w:rPr>
                <w:rFonts w:hint="default"/>
              </w:rPr>
            </w:pPr>
            <w:r>
              <w:t>引风机*2</w:t>
            </w:r>
          </w:p>
        </w:tc>
        <w:tc>
          <w:tcPr>
            <w:tcW w:w="5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E9C271">
            <w:pPr>
              <w:pStyle w:val="45"/>
              <w:rPr>
                <w:rFonts w:hint="default"/>
              </w:rPr>
            </w:pPr>
            <w:r>
              <w:t>90/1</w:t>
            </w:r>
          </w:p>
        </w:tc>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5A8EDB">
            <w:pPr>
              <w:pStyle w:val="45"/>
              <w:rPr>
                <w:rFonts w:hint="default"/>
              </w:rPr>
            </w:pPr>
            <w:r>
              <w:t>93.01</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9C94D5">
            <w:pPr>
              <w:pStyle w:val="45"/>
              <w:rPr>
                <w:rFonts w:hint="default"/>
              </w:rPr>
            </w:pPr>
            <w:r>
              <w:t>合理布局、基础减振、隔声等</w:t>
            </w:r>
          </w:p>
        </w:tc>
        <w:tc>
          <w:tcPr>
            <w:tcW w:w="1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27F3AD">
            <w:pPr>
              <w:pStyle w:val="45"/>
              <w:rPr>
                <w:rFonts w:hint="default"/>
              </w:rPr>
            </w:pPr>
            <w:r>
              <w:t>18.5</w:t>
            </w:r>
          </w:p>
        </w:tc>
        <w:tc>
          <w:tcPr>
            <w:tcW w:w="1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0E0092">
            <w:pPr>
              <w:pStyle w:val="45"/>
              <w:rPr>
                <w:rFonts w:hint="default"/>
              </w:rPr>
            </w:pPr>
            <w:r>
              <w:t>-19.3</w:t>
            </w:r>
          </w:p>
        </w:tc>
        <w:tc>
          <w:tcPr>
            <w:tcW w:w="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7C9EC7">
            <w:pPr>
              <w:pStyle w:val="45"/>
              <w:rPr>
                <w:rFonts w:hint="default"/>
              </w:rPr>
            </w:pPr>
            <w:r>
              <w:t>1</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61E92F">
            <w:pPr>
              <w:pStyle w:val="45"/>
              <w:rPr>
                <w:rFonts w:hint="default"/>
              </w:rPr>
            </w:pPr>
            <w:r>
              <w:t>东/南/西/北</w:t>
            </w:r>
          </w:p>
        </w:tc>
        <w:tc>
          <w:tcPr>
            <w:tcW w:w="4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3533E1">
            <w:pPr>
              <w:pStyle w:val="45"/>
              <w:rPr>
                <w:rFonts w:hint="default"/>
              </w:rPr>
            </w:pPr>
            <w:r>
              <w:t>10.9/33.4/12.1/27.1</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D9ED34">
            <w:pPr>
              <w:pStyle w:val="45"/>
              <w:rPr>
                <w:rFonts w:hint="default"/>
              </w:rPr>
            </w:pPr>
            <w:r>
              <w:t>东/南/西/北</w:t>
            </w: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10CE66">
            <w:pPr>
              <w:pStyle w:val="45"/>
              <w:rPr>
                <w:rFonts w:hint="default"/>
              </w:rPr>
            </w:pPr>
            <w:r>
              <w:rPr>
                <w:rFonts w:hint="default"/>
              </w:rPr>
              <w:t>72.26/62.54/71.35/64.35</w:t>
            </w:r>
          </w:p>
        </w:tc>
        <w:tc>
          <w:tcPr>
            <w:tcW w:w="1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19F6AB">
            <w:pPr>
              <w:pStyle w:val="45"/>
              <w:rPr>
                <w:rFonts w:hint="default"/>
              </w:rPr>
            </w:pPr>
            <w:r>
              <w:t>连续</w:t>
            </w:r>
          </w:p>
        </w:tc>
        <w:tc>
          <w:tcPr>
            <w:tcW w:w="3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325E3A">
            <w:pPr>
              <w:pStyle w:val="45"/>
              <w:rPr>
                <w:rFonts w:hint="default"/>
              </w:rPr>
            </w:pPr>
            <w:r>
              <w:rPr>
                <w:rFonts w:hint="default"/>
              </w:rPr>
              <w:t xml:space="preserve">25.00 </w:t>
            </w:r>
          </w:p>
        </w:tc>
        <w:tc>
          <w:tcPr>
            <w:tcW w:w="1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E0306A">
            <w:pPr>
              <w:pStyle w:val="45"/>
              <w:rPr>
                <w:rFonts w:hint="default"/>
              </w:rPr>
            </w:pPr>
            <w:r>
              <w:t>东/南/西/北</w:t>
            </w: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6823D9">
            <w:pPr>
              <w:pStyle w:val="45"/>
              <w:rPr>
                <w:rFonts w:hint="default"/>
              </w:rPr>
            </w:pPr>
            <w:r>
              <w:rPr>
                <w:rFonts w:hint="default"/>
              </w:rPr>
              <w:t>47.26/37.26/46.35/39.35</w:t>
            </w:r>
          </w:p>
        </w:tc>
        <w:tc>
          <w:tcPr>
            <w:tcW w:w="2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97B57B">
            <w:pPr>
              <w:pStyle w:val="45"/>
              <w:rPr>
                <w:rFonts w:hint="default"/>
              </w:rPr>
            </w:pPr>
            <w:r>
              <w:rPr>
                <w:rFonts w:hint="default"/>
              </w:rPr>
              <w:t xml:space="preserve">1.00 </w:t>
            </w:r>
          </w:p>
        </w:tc>
      </w:tr>
      <w:tr w14:paraId="7CD7609B">
        <w:tblPrEx>
          <w:tblCellMar>
            <w:top w:w="0" w:type="dxa"/>
            <w:left w:w="108" w:type="dxa"/>
            <w:bottom w:w="0" w:type="dxa"/>
            <w:right w:w="108" w:type="dxa"/>
          </w:tblCellMar>
        </w:tblPrEx>
        <w:trPr>
          <w:trHeight w:val="270" w:hRule="atLeast"/>
        </w:trPr>
        <w:tc>
          <w:tcPr>
            <w:tcW w:w="5000" w:type="pct"/>
            <w:gridSpan w:val="18"/>
            <w:tcBorders>
              <w:top w:val="single" w:color="000000" w:sz="4" w:space="0"/>
              <w:left w:val="single" w:color="000000" w:sz="4" w:space="0"/>
              <w:bottom w:val="single" w:color="000000" w:sz="4" w:space="0"/>
              <w:right w:val="single" w:color="000000" w:sz="4" w:space="0"/>
            </w:tcBorders>
            <w:shd w:val="clear" w:color="auto" w:fill="auto"/>
            <w:vAlign w:val="center"/>
          </w:tcPr>
          <w:p w14:paraId="0E152E2A">
            <w:pPr>
              <w:pStyle w:val="45"/>
              <w:rPr>
                <w:rFonts w:hint="default"/>
              </w:rPr>
            </w:pPr>
            <w:r>
              <w:t>表中坐标以厂界中心为坐标原点，正东向为X轴正方向，正北向为Y轴正方向。</w:t>
            </w:r>
          </w:p>
        </w:tc>
      </w:tr>
    </w:tbl>
    <w:p w14:paraId="0FCE8D94">
      <w:pPr>
        <w:ind w:firstLine="0" w:firstLineChars="0"/>
      </w:pPr>
    </w:p>
    <w:p w14:paraId="3E88C38A">
      <w:pPr>
        <w:keepNext/>
        <w:numPr>
          <w:ilvl w:val="5"/>
          <w:numId w:val="1"/>
        </w:numPr>
        <w:snapToGrid w:val="0"/>
        <w:spacing w:line="240" w:lineRule="auto"/>
        <w:ind w:firstLine="420" w:firstLineChars="0"/>
        <w:jc w:val="center"/>
        <w:rPr>
          <w:b/>
          <w:bCs/>
          <w:sz w:val="21"/>
          <w:szCs w:val="21"/>
        </w:rPr>
      </w:pPr>
      <w:r>
        <w:rPr>
          <w:rFonts w:hint="eastAsia"/>
          <w:b/>
          <w:bCs/>
          <w:sz w:val="21"/>
          <w:szCs w:val="21"/>
        </w:rPr>
        <w:t>工业企业噪声源强调查清单（室外声源）</w:t>
      </w:r>
    </w:p>
    <w:tbl>
      <w:tblPr>
        <w:tblStyle w:val="32"/>
        <w:tblW w:w="4998" w:type="pct"/>
        <w:tblInd w:w="0" w:type="dxa"/>
        <w:tblLayout w:type="autofit"/>
        <w:tblCellMar>
          <w:top w:w="0" w:type="dxa"/>
          <w:left w:w="108" w:type="dxa"/>
          <w:bottom w:w="0" w:type="dxa"/>
          <w:right w:w="108" w:type="dxa"/>
        </w:tblCellMar>
      </w:tblPr>
      <w:tblGrid>
        <w:gridCol w:w="1057"/>
        <w:gridCol w:w="2807"/>
        <w:gridCol w:w="1759"/>
        <w:gridCol w:w="1230"/>
        <w:gridCol w:w="981"/>
        <w:gridCol w:w="617"/>
        <w:gridCol w:w="6016"/>
        <w:gridCol w:w="4908"/>
        <w:gridCol w:w="1764"/>
      </w:tblGrid>
      <w:tr w14:paraId="27218F0E">
        <w:tblPrEx>
          <w:tblCellMar>
            <w:top w:w="0" w:type="dxa"/>
            <w:left w:w="108" w:type="dxa"/>
            <w:bottom w:w="0" w:type="dxa"/>
            <w:right w:w="108" w:type="dxa"/>
          </w:tblCellMar>
        </w:tblPrEx>
        <w:trPr>
          <w:trHeight w:val="170" w:hRule="atLeast"/>
          <w:tblHeader/>
        </w:trPr>
        <w:tc>
          <w:tcPr>
            <w:tcW w:w="25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94ECF9D">
            <w:pPr>
              <w:pStyle w:val="45"/>
              <w:rPr>
                <w:rFonts w:hint="default"/>
                <w:b/>
                <w:bCs/>
              </w:rPr>
            </w:pPr>
            <w:r>
              <w:rPr>
                <w:b/>
                <w:bCs/>
              </w:rPr>
              <w:t>序号</w:t>
            </w:r>
          </w:p>
        </w:tc>
        <w:tc>
          <w:tcPr>
            <w:tcW w:w="66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03BD892">
            <w:pPr>
              <w:pStyle w:val="45"/>
              <w:rPr>
                <w:rFonts w:hint="default"/>
                <w:b/>
                <w:bCs/>
              </w:rPr>
            </w:pPr>
            <w:r>
              <w:rPr>
                <w:b/>
                <w:bCs/>
              </w:rPr>
              <w:t>声源位置</w:t>
            </w:r>
          </w:p>
        </w:tc>
        <w:tc>
          <w:tcPr>
            <w:tcW w:w="41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7124622">
            <w:pPr>
              <w:pStyle w:val="45"/>
              <w:rPr>
                <w:rFonts w:hint="default"/>
                <w:b/>
                <w:bCs/>
              </w:rPr>
            </w:pPr>
            <w:r>
              <w:rPr>
                <w:b/>
                <w:bCs/>
              </w:rPr>
              <w:t>声源名称</w:t>
            </w:r>
          </w:p>
        </w:tc>
        <w:tc>
          <w:tcPr>
            <w:tcW w:w="66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49707A3">
            <w:pPr>
              <w:pStyle w:val="45"/>
              <w:rPr>
                <w:rFonts w:hint="default"/>
                <w:b/>
                <w:bCs/>
              </w:rPr>
            </w:pPr>
            <w:r>
              <w:rPr>
                <w:b/>
                <w:bCs/>
              </w:rPr>
              <w:t>空间相对位置/m</w:t>
            </w:r>
          </w:p>
        </w:tc>
        <w:tc>
          <w:tcPr>
            <w:tcW w:w="142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4368C95">
            <w:pPr>
              <w:pStyle w:val="45"/>
              <w:rPr>
                <w:rFonts w:hint="default"/>
                <w:b/>
                <w:bCs/>
              </w:rPr>
            </w:pPr>
            <w:r>
              <w:rPr>
                <w:b/>
                <w:bCs/>
              </w:rPr>
              <w:t>（声压级/距声源距离）/（dB(A)/m）</w:t>
            </w:r>
          </w:p>
        </w:tc>
        <w:tc>
          <w:tcPr>
            <w:tcW w:w="116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E77F18F">
            <w:pPr>
              <w:pStyle w:val="45"/>
              <w:rPr>
                <w:rFonts w:hint="default"/>
                <w:b/>
                <w:bCs/>
              </w:rPr>
            </w:pPr>
            <w:r>
              <w:rPr>
                <w:b/>
                <w:bCs/>
              </w:rPr>
              <w:t>声源控制措施</w:t>
            </w:r>
          </w:p>
        </w:tc>
        <w:tc>
          <w:tcPr>
            <w:tcW w:w="41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8A2AE11">
            <w:pPr>
              <w:pStyle w:val="45"/>
              <w:rPr>
                <w:rFonts w:hint="default"/>
                <w:b/>
                <w:bCs/>
              </w:rPr>
            </w:pPr>
            <w:r>
              <w:rPr>
                <w:b/>
                <w:bCs/>
              </w:rPr>
              <w:t>运行时段</w:t>
            </w:r>
          </w:p>
        </w:tc>
      </w:tr>
      <w:tr w14:paraId="20D1BEE5">
        <w:tblPrEx>
          <w:tblCellMar>
            <w:top w:w="0" w:type="dxa"/>
            <w:left w:w="108" w:type="dxa"/>
            <w:bottom w:w="0" w:type="dxa"/>
            <w:right w:w="108" w:type="dxa"/>
          </w:tblCellMar>
        </w:tblPrEx>
        <w:trPr>
          <w:trHeight w:val="170" w:hRule="atLeast"/>
          <w:tblHeader/>
        </w:trPr>
        <w:tc>
          <w:tcPr>
            <w:tcW w:w="2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BE5765">
            <w:pPr>
              <w:pStyle w:val="45"/>
              <w:rPr>
                <w:rFonts w:hint="default"/>
                <w:b/>
                <w:bCs/>
              </w:rPr>
            </w:pPr>
          </w:p>
        </w:tc>
        <w:tc>
          <w:tcPr>
            <w:tcW w:w="6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07BE46">
            <w:pPr>
              <w:pStyle w:val="45"/>
              <w:rPr>
                <w:rFonts w:hint="default"/>
                <w:b/>
                <w:bCs/>
              </w:rPr>
            </w:pPr>
          </w:p>
        </w:tc>
        <w:tc>
          <w:tcPr>
            <w:tcW w:w="4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AB2B57">
            <w:pPr>
              <w:pStyle w:val="45"/>
              <w:rPr>
                <w:rFonts w:hint="default"/>
                <w:b/>
                <w:bCs/>
              </w:rPr>
            </w:pP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DC40B3">
            <w:pPr>
              <w:pStyle w:val="45"/>
              <w:rPr>
                <w:rFonts w:hint="default"/>
                <w:b/>
                <w:bCs/>
              </w:rPr>
            </w:pPr>
            <w:r>
              <w:rPr>
                <w:rFonts w:hint="default"/>
                <w:b/>
                <w:bCs/>
              </w:rPr>
              <w:t>X</w:t>
            </w:r>
          </w:p>
        </w:tc>
        <w:tc>
          <w:tcPr>
            <w:tcW w:w="2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F57C9A">
            <w:pPr>
              <w:pStyle w:val="45"/>
              <w:rPr>
                <w:rFonts w:hint="default"/>
                <w:b/>
                <w:bCs/>
              </w:rPr>
            </w:pPr>
            <w:r>
              <w:rPr>
                <w:rFonts w:hint="default"/>
                <w:b/>
                <w:bCs/>
              </w:rPr>
              <w:t>Y</w:t>
            </w:r>
          </w:p>
        </w:tc>
        <w:tc>
          <w:tcPr>
            <w:tcW w:w="1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2D1338">
            <w:pPr>
              <w:pStyle w:val="45"/>
              <w:rPr>
                <w:rFonts w:hint="default"/>
                <w:b/>
                <w:bCs/>
              </w:rPr>
            </w:pPr>
            <w:r>
              <w:rPr>
                <w:rFonts w:hint="default"/>
                <w:b/>
                <w:bCs/>
              </w:rPr>
              <w:t>Z</w:t>
            </w:r>
          </w:p>
        </w:tc>
        <w:tc>
          <w:tcPr>
            <w:tcW w:w="142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2CC81D">
            <w:pPr>
              <w:pStyle w:val="45"/>
              <w:rPr>
                <w:rFonts w:hint="default"/>
                <w:b/>
                <w:bCs/>
              </w:rPr>
            </w:pPr>
          </w:p>
        </w:tc>
        <w:tc>
          <w:tcPr>
            <w:tcW w:w="116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FE747A">
            <w:pPr>
              <w:pStyle w:val="45"/>
              <w:rPr>
                <w:rFonts w:hint="default"/>
                <w:b/>
                <w:bCs/>
              </w:rPr>
            </w:pPr>
          </w:p>
        </w:tc>
        <w:tc>
          <w:tcPr>
            <w:tcW w:w="4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1A3CEE">
            <w:pPr>
              <w:pStyle w:val="45"/>
              <w:rPr>
                <w:rFonts w:hint="default"/>
                <w:b/>
                <w:bCs/>
              </w:rPr>
            </w:pPr>
          </w:p>
        </w:tc>
      </w:tr>
      <w:tr w14:paraId="550036AA">
        <w:tblPrEx>
          <w:tblCellMar>
            <w:top w:w="0" w:type="dxa"/>
            <w:left w:w="108" w:type="dxa"/>
            <w:bottom w:w="0" w:type="dxa"/>
            <w:right w:w="108" w:type="dxa"/>
          </w:tblCellMar>
        </w:tblPrEx>
        <w:trPr>
          <w:trHeight w:val="170" w:hRule="atLeast"/>
        </w:trPr>
        <w:tc>
          <w:tcPr>
            <w:tcW w:w="2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5477F7">
            <w:pPr>
              <w:pStyle w:val="45"/>
              <w:rPr>
                <w:rFonts w:hint="default"/>
              </w:rPr>
            </w:pPr>
            <w:r>
              <w:rPr>
                <w:rFonts w:hint="default"/>
              </w:rPr>
              <w:t>1</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2EA13D">
            <w:pPr>
              <w:pStyle w:val="45"/>
              <w:rPr>
                <w:rFonts w:hint="default"/>
              </w:rPr>
            </w:pPr>
            <w:r>
              <w:t>纯水及循环水站</w:t>
            </w:r>
          </w:p>
        </w:tc>
        <w:tc>
          <w:tcPr>
            <w:tcW w:w="4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BCA6B6">
            <w:pPr>
              <w:pStyle w:val="45"/>
              <w:rPr>
                <w:rFonts w:hint="default"/>
              </w:rPr>
            </w:pPr>
            <w:r>
              <w:t>机泵*1</w:t>
            </w: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B8ECA6">
            <w:pPr>
              <w:pStyle w:val="45"/>
              <w:rPr>
                <w:rFonts w:hint="default"/>
              </w:rPr>
            </w:pPr>
            <w:r>
              <w:t>-45.7</w:t>
            </w:r>
          </w:p>
        </w:tc>
        <w:tc>
          <w:tcPr>
            <w:tcW w:w="2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2FC635">
            <w:pPr>
              <w:pStyle w:val="45"/>
              <w:rPr>
                <w:rFonts w:hint="default"/>
              </w:rPr>
            </w:pPr>
            <w:r>
              <w:t>41</w:t>
            </w:r>
          </w:p>
        </w:tc>
        <w:tc>
          <w:tcPr>
            <w:tcW w:w="1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2EA94B">
            <w:pPr>
              <w:pStyle w:val="45"/>
              <w:rPr>
                <w:rFonts w:hint="default"/>
              </w:rPr>
            </w:pPr>
            <w:r>
              <w:t>1</w:t>
            </w:r>
          </w:p>
        </w:tc>
        <w:tc>
          <w:tcPr>
            <w:tcW w:w="14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929467">
            <w:pPr>
              <w:pStyle w:val="45"/>
              <w:rPr>
                <w:rFonts w:hint="default"/>
              </w:rPr>
            </w:pPr>
            <w:r>
              <w:t>85</w:t>
            </w:r>
          </w:p>
        </w:tc>
        <w:tc>
          <w:tcPr>
            <w:tcW w:w="11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91EE41">
            <w:pPr>
              <w:pStyle w:val="45"/>
              <w:rPr>
                <w:rFonts w:hint="default"/>
              </w:rPr>
            </w:pPr>
            <w:r>
              <w:t>合理布局、基础减振、隔声等</w:t>
            </w:r>
          </w:p>
        </w:tc>
        <w:tc>
          <w:tcPr>
            <w:tcW w:w="4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EBF160">
            <w:pPr>
              <w:pStyle w:val="45"/>
              <w:rPr>
                <w:rFonts w:hint="default"/>
              </w:rPr>
            </w:pPr>
            <w:r>
              <w:t>连续</w:t>
            </w:r>
          </w:p>
        </w:tc>
      </w:tr>
      <w:tr w14:paraId="34EF3457">
        <w:tblPrEx>
          <w:tblCellMar>
            <w:top w:w="0" w:type="dxa"/>
            <w:left w:w="108" w:type="dxa"/>
            <w:bottom w:w="0" w:type="dxa"/>
            <w:right w:w="108" w:type="dxa"/>
          </w:tblCellMar>
        </w:tblPrEx>
        <w:trPr>
          <w:trHeight w:val="170" w:hRule="atLeast"/>
        </w:trPr>
        <w:tc>
          <w:tcPr>
            <w:tcW w:w="25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2B8284B">
            <w:pPr>
              <w:pStyle w:val="45"/>
              <w:rPr>
                <w:rFonts w:hint="default"/>
              </w:rPr>
            </w:pPr>
            <w:r>
              <w:rPr>
                <w:rFonts w:hint="default"/>
              </w:rPr>
              <w:t>2</w:t>
            </w:r>
          </w:p>
        </w:tc>
        <w:tc>
          <w:tcPr>
            <w:tcW w:w="66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DA52F6F">
            <w:pPr>
              <w:pStyle w:val="45"/>
              <w:rPr>
                <w:rFonts w:hint="default"/>
              </w:rPr>
            </w:pPr>
            <w:r>
              <w:t>废水处理站</w:t>
            </w:r>
          </w:p>
        </w:tc>
        <w:tc>
          <w:tcPr>
            <w:tcW w:w="4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D2B2B7">
            <w:pPr>
              <w:pStyle w:val="45"/>
              <w:rPr>
                <w:rFonts w:hint="default"/>
              </w:rPr>
            </w:pPr>
            <w:r>
              <w:t>机泵*1</w:t>
            </w: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587089">
            <w:pPr>
              <w:pStyle w:val="45"/>
              <w:rPr>
                <w:rFonts w:hint="default"/>
              </w:rPr>
            </w:pPr>
            <w:r>
              <w:t>112.9</w:t>
            </w:r>
          </w:p>
        </w:tc>
        <w:tc>
          <w:tcPr>
            <w:tcW w:w="2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81CCAC">
            <w:pPr>
              <w:pStyle w:val="45"/>
              <w:rPr>
                <w:rFonts w:hint="default"/>
              </w:rPr>
            </w:pPr>
            <w:r>
              <w:t>-4.1</w:t>
            </w:r>
          </w:p>
        </w:tc>
        <w:tc>
          <w:tcPr>
            <w:tcW w:w="1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A3A7D2">
            <w:pPr>
              <w:pStyle w:val="45"/>
              <w:rPr>
                <w:rFonts w:hint="default"/>
              </w:rPr>
            </w:pPr>
            <w:r>
              <w:t>1</w:t>
            </w:r>
          </w:p>
        </w:tc>
        <w:tc>
          <w:tcPr>
            <w:tcW w:w="14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8D550D">
            <w:pPr>
              <w:pStyle w:val="45"/>
              <w:rPr>
                <w:rFonts w:hint="default"/>
              </w:rPr>
            </w:pPr>
            <w:r>
              <w:t>85</w:t>
            </w:r>
          </w:p>
        </w:tc>
        <w:tc>
          <w:tcPr>
            <w:tcW w:w="11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221C5B">
            <w:pPr>
              <w:pStyle w:val="45"/>
              <w:rPr>
                <w:rFonts w:hint="default"/>
              </w:rPr>
            </w:pPr>
            <w:r>
              <w:t>合理布局、基础减振、隔声等</w:t>
            </w:r>
          </w:p>
        </w:tc>
        <w:tc>
          <w:tcPr>
            <w:tcW w:w="4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D6EF9B">
            <w:pPr>
              <w:pStyle w:val="45"/>
              <w:rPr>
                <w:rFonts w:hint="default"/>
              </w:rPr>
            </w:pPr>
            <w:r>
              <w:t>连续</w:t>
            </w:r>
          </w:p>
        </w:tc>
      </w:tr>
      <w:tr w14:paraId="101D72A5">
        <w:tblPrEx>
          <w:tblCellMar>
            <w:top w:w="0" w:type="dxa"/>
            <w:left w:w="108" w:type="dxa"/>
            <w:bottom w:w="0" w:type="dxa"/>
            <w:right w:w="108" w:type="dxa"/>
          </w:tblCellMar>
        </w:tblPrEx>
        <w:trPr>
          <w:trHeight w:val="170" w:hRule="atLeast"/>
        </w:trPr>
        <w:tc>
          <w:tcPr>
            <w:tcW w:w="2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7F5074">
            <w:pPr>
              <w:pStyle w:val="45"/>
              <w:rPr>
                <w:rFonts w:hint="default"/>
              </w:rPr>
            </w:pPr>
          </w:p>
        </w:tc>
        <w:tc>
          <w:tcPr>
            <w:tcW w:w="6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4F6001">
            <w:pPr>
              <w:pStyle w:val="45"/>
              <w:rPr>
                <w:rFonts w:hint="default"/>
              </w:rPr>
            </w:pPr>
          </w:p>
        </w:tc>
        <w:tc>
          <w:tcPr>
            <w:tcW w:w="4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267ECC">
            <w:pPr>
              <w:pStyle w:val="45"/>
              <w:rPr>
                <w:rFonts w:hint="default"/>
              </w:rPr>
            </w:pPr>
            <w:r>
              <w:t>压滤机*1</w:t>
            </w: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681AB9">
            <w:pPr>
              <w:pStyle w:val="45"/>
              <w:rPr>
                <w:rFonts w:hint="default"/>
              </w:rPr>
            </w:pPr>
            <w:r>
              <w:t>112.9</w:t>
            </w:r>
          </w:p>
        </w:tc>
        <w:tc>
          <w:tcPr>
            <w:tcW w:w="2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4E2706">
            <w:pPr>
              <w:pStyle w:val="45"/>
              <w:rPr>
                <w:rFonts w:hint="default"/>
              </w:rPr>
            </w:pPr>
            <w:r>
              <w:t>-6.8</w:t>
            </w:r>
          </w:p>
        </w:tc>
        <w:tc>
          <w:tcPr>
            <w:tcW w:w="1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4C1F4F">
            <w:pPr>
              <w:pStyle w:val="45"/>
              <w:rPr>
                <w:rFonts w:hint="default"/>
              </w:rPr>
            </w:pPr>
            <w:r>
              <w:t>1</w:t>
            </w:r>
          </w:p>
        </w:tc>
        <w:tc>
          <w:tcPr>
            <w:tcW w:w="14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B438E2">
            <w:pPr>
              <w:pStyle w:val="45"/>
              <w:rPr>
                <w:rFonts w:hint="default"/>
              </w:rPr>
            </w:pPr>
            <w:r>
              <w:t>85</w:t>
            </w:r>
          </w:p>
        </w:tc>
        <w:tc>
          <w:tcPr>
            <w:tcW w:w="11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7ADE15">
            <w:pPr>
              <w:pStyle w:val="45"/>
              <w:rPr>
                <w:rFonts w:hint="default"/>
              </w:rPr>
            </w:pPr>
            <w:r>
              <w:t>合理布局、基础减振、隔声等</w:t>
            </w:r>
          </w:p>
        </w:tc>
        <w:tc>
          <w:tcPr>
            <w:tcW w:w="4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1BE383">
            <w:pPr>
              <w:pStyle w:val="45"/>
              <w:rPr>
                <w:rFonts w:hint="default"/>
              </w:rPr>
            </w:pPr>
            <w:r>
              <w:t>连续</w:t>
            </w:r>
          </w:p>
        </w:tc>
      </w:tr>
      <w:tr w14:paraId="7D70AD28">
        <w:tblPrEx>
          <w:tblCellMar>
            <w:top w:w="0" w:type="dxa"/>
            <w:left w:w="108" w:type="dxa"/>
            <w:bottom w:w="0" w:type="dxa"/>
            <w:right w:w="108" w:type="dxa"/>
          </w:tblCellMar>
        </w:tblPrEx>
        <w:trPr>
          <w:trHeight w:val="170" w:hRule="atLeast"/>
        </w:trPr>
        <w:tc>
          <w:tcPr>
            <w:tcW w:w="2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FB0587">
            <w:pPr>
              <w:pStyle w:val="45"/>
              <w:rPr>
                <w:rFonts w:hint="eastAsia" w:eastAsia="宋体"/>
                <w:lang w:val="en-US" w:eastAsia="zh-CN"/>
              </w:rPr>
            </w:pPr>
            <w:r>
              <w:rPr>
                <w:rFonts w:hint="eastAsia"/>
                <w:lang w:val="en-US" w:eastAsia="zh-CN"/>
              </w:rPr>
              <w:t>3</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C6843F">
            <w:pPr>
              <w:pStyle w:val="45"/>
              <w:rPr>
                <w:rFonts w:hint="default" w:eastAsia="宋体"/>
                <w:lang w:val="en-US" w:eastAsia="zh-CN"/>
              </w:rPr>
            </w:pPr>
            <w:r>
              <w:rPr>
                <w:rFonts w:hint="eastAsia"/>
                <w:lang w:val="en-US" w:eastAsia="zh-CN"/>
              </w:rPr>
              <w:t>氢气回收区</w:t>
            </w:r>
          </w:p>
        </w:tc>
        <w:tc>
          <w:tcPr>
            <w:tcW w:w="4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F4F597">
            <w:pPr>
              <w:pStyle w:val="45"/>
              <w:rPr>
                <w:rFonts w:hint="default" w:eastAsia="宋体"/>
                <w:lang w:val="en-US" w:eastAsia="zh-CN"/>
              </w:rPr>
            </w:pPr>
            <w:r>
              <w:rPr>
                <w:rFonts w:hint="eastAsia"/>
                <w:lang w:val="en-US" w:eastAsia="zh-CN"/>
              </w:rPr>
              <w:t>氢气压缩机*4</w:t>
            </w:r>
          </w:p>
        </w:tc>
        <w:tc>
          <w:tcPr>
            <w:tcW w:w="1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DA3F92">
            <w:pPr>
              <w:pStyle w:val="45"/>
              <w:ind w:firstLine="0" w:firstLineChars="0"/>
              <w:rPr>
                <w:rFonts w:hint="eastAsia" w:eastAsia="宋体"/>
                <w:lang w:val="en-US" w:eastAsia="zh-CN"/>
              </w:rPr>
            </w:pPr>
            <w:r>
              <w:t>-</w:t>
            </w:r>
            <w:r>
              <w:rPr>
                <w:rFonts w:hint="eastAsia"/>
                <w:lang w:val="en-US" w:eastAsia="zh-CN"/>
              </w:rPr>
              <w:t>1</w:t>
            </w:r>
            <w:r>
              <w:t>35.5</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9C3C40">
            <w:pPr>
              <w:pStyle w:val="45"/>
              <w:ind w:firstLine="0" w:firstLineChars="0"/>
            </w:pPr>
            <w:r>
              <w:t>-20.1</w:t>
            </w:r>
          </w:p>
        </w:tc>
        <w:tc>
          <w:tcPr>
            <w:tcW w:w="6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E5153F">
            <w:pPr>
              <w:pStyle w:val="45"/>
              <w:ind w:firstLine="0" w:firstLineChars="0"/>
            </w:pPr>
            <w:r>
              <w:t>1</w:t>
            </w:r>
          </w:p>
        </w:tc>
        <w:tc>
          <w:tcPr>
            <w:tcW w:w="14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8917B2">
            <w:pPr>
              <w:pStyle w:val="45"/>
              <w:rPr>
                <w:rFonts w:hint="default" w:eastAsia="宋体"/>
                <w:lang w:val="en-US" w:eastAsia="zh-CN"/>
              </w:rPr>
            </w:pPr>
            <w:r>
              <w:rPr>
                <w:rFonts w:hint="eastAsia"/>
                <w:lang w:val="en-US" w:eastAsia="zh-CN"/>
              </w:rPr>
              <w:t>85</w:t>
            </w:r>
          </w:p>
        </w:tc>
        <w:tc>
          <w:tcPr>
            <w:tcW w:w="49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544E52">
            <w:pPr>
              <w:pStyle w:val="45"/>
              <w:ind w:firstLine="0" w:firstLineChars="0"/>
            </w:pPr>
            <w:r>
              <w:t>合理布局、基础减振、隔声等</w:t>
            </w:r>
          </w:p>
        </w:tc>
        <w:tc>
          <w:tcPr>
            <w:tcW w:w="17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E3AF0E">
            <w:pPr>
              <w:pStyle w:val="45"/>
              <w:ind w:firstLine="0" w:firstLineChars="0"/>
            </w:pPr>
            <w:r>
              <w:t>连续</w:t>
            </w:r>
          </w:p>
        </w:tc>
      </w:tr>
      <w:tr w14:paraId="1960FB94">
        <w:tblPrEx>
          <w:tblCellMar>
            <w:top w:w="0" w:type="dxa"/>
            <w:left w:w="108" w:type="dxa"/>
            <w:bottom w:w="0" w:type="dxa"/>
            <w:right w:w="108" w:type="dxa"/>
          </w:tblCellMar>
        </w:tblPrEx>
        <w:trPr>
          <w:trHeight w:val="170" w:hRule="atLeast"/>
        </w:trPr>
        <w:tc>
          <w:tcPr>
            <w:tcW w:w="5000" w:type="pct"/>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1ABF02B0">
            <w:pPr>
              <w:pStyle w:val="45"/>
              <w:rPr>
                <w:rFonts w:hint="default"/>
              </w:rPr>
            </w:pPr>
            <w:r>
              <w:t>表中坐标以厂界中心为坐标原点，正东向为X轴正方向，正北向为Y轴正方向。</w:t>
            </w:r>
          </w:p>
        </w:tc>
      </w:tr>
    </w:tbl>
    <w:p w14:paraId="20DC5828">
      <w:pPr>
        <w:ind w:firstLine="0" w:firstLineChars="0"/>
        <w:sectPr>
          <w:pgSz w:w="23811" w:h="16838"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6D4A47AD">
      <w:pPr>
        <w:pStyle w:val="4"/>
        <w:numPr>
          <w:ilvl w:val="2"/>
          <w:numId w:val="1"/>
        </w:numPr>
      </w:pPr>
      <w:r>
        <w:rPr>
          <w:rFonts w:hint="eastAsia"/>
        </w:rPr>
        <w:t>预测距离及模式</w:t>
      </w:r>
    </w:p>
    <w:p w14:paraId="531E6B89">
      <w:pPr>
        <w:ind w:firstLine="480"/>
      </w:pPr>
      <w:r>
        <w:t>噪声的衰减主要与声传播距离、空气吸收、阻挡物的反射与屏障等因素有关。根据《环境影响评价技术导则 声环境》（HJ2.4-2021）的要求，本评价选择点声源预测模式来模拟预测本项目噪声源排放噪声随距离的衰减变化规律。声源如位于室内，室内声源可采用等效室外声源声功率级法进行计算。</w:t>
      </w:r>
    </w:p>
    <w:p w14:paraId="4EDE88EB">
      <w:pPr>
        <w:ind w:firstLine="480"/>
        <w:rPr>
          <w:rFonts w:cs="Times New Roman"/>
        </w:rPr>
      </w:pPr>
      <w:r>
        <w:rPr>
          <w:rFonts w:hint="eastAsia" w:cs="Times New Roman"/>
        </w:rPr>
        <w:t>①等效室外声源</w:t>
      </w:r>
    </w:p>
    <w:p w14:paraId="49D822E8">
      <w:pPr>
        <w:ind w:firstLine="480"/>
        <w:rPr>
          <w:rFonts w:cs="Times New Roman"/>
        </w:rPr>
      </w:pPr>
      <w:r>
        <w:rPr>
          <w:rFonts w:hint="eastAsia" w:cs="Times New Roman"/>
        </w:rPr>
        <w:t>声源位于室内，室内声源可采用等效室外声源声功率级法进行计算。设靠近开口处（或窗户）室内、室外某倍频带的声压级分别为Lp1和Lp2。若声源所在室内声场为近似扩散声场，则室外的倍频带声压级可按下面公式近似求出：</w:t>
      </w:r>
    </w:p>
    <w:p w14:paraId="4A3EBB60">
      <w:pPr>
        <w:ind w:firstLine="0" w:firstLineChars="0"/>
        <w:jc w:val="center"/>
        <w:rPr>
          <w:rFonts w:cs="Times New Roman"/>
        </w:rPr>
      </w:pPr>
      <w:r>
        <w:drawing>
          <wp:inline distT="0" distB="0" distL="114300" distR="114300">
            <wp:extent cx="1255395" cy="218440"/>
            <wp:effectExtent l="0" t="0" r="1905" b="10795"/>
            <wp:docPr id="4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6"/>
                    <pic:cNvPicPr>
                      <a:picLocks noChangeAspect="1"/>
                    </pic:cNvPicPr>
                  </pic:nvPicPr>
                  <pic:blipFill>
                    <a:blip r:embed="rId165" cstate="print"/>
                    <a:stretch>
                      <a:fillRect/>
                    </a:stretch>
                  </pic:blipFill>
                  <pic:spPr>
                    <a:xfrm>
                      <a:off x="0" y="0"/>
                      <a:ext cx="1255395" cy="218440"/>
                    </a:xfrm>
                    <a:prstGeom prst="rect">
                      <a:avLst/>
                    </a:prstGeom>
                    <a:noFill/>
                    <a:ln>
                      <a:noFill/>
                    </a:ln>
                  </pic:spPr>
                </pic:pic>
              </a:graphicData>
            </a:graphic>
          </wp:inline>
        </w:drawing>
      </w:r>
    </w:p>
    <w:p w14:paraId="7B18F3CE">
      <w:pPr>
        <w:ind w:firstLine="480"/>
        <w:rPr>
          <w:rFonts w:cs="Times New Roman"/>
        </w:rPr>
      </w:pPr>
      <w:r>
        <w:rPr>
          <w:rFonts w:hint="eastAsia" w:cs="Times New Roman"/>
        </w:rPr>
        <w:t>式中：TL—隔墙（或窗户）倍频带的隔声量，dB（A），本次预测取19。</w:t>
      </w:r>
    </w:p>
    <w:p w14:paraId="746AFBD6">
      <w:pPr>
        <w:ind w:left="480" w:leftChars="200" w:firstLine="0" w:firstLineChars="0"/>
        <w:rPr>
          <w:rFonts w:cs="Times New Roman"/>
        </w:rPr>
      </w:pPr>
      <w:r>
        <w:rPr>
          <w:rFonts w:hint="eastAsia" w:cs="Times New Roman"/>
        </w:rPr>
        <w:t>②声源叠加</w:t>
      </w:r>
    </w:p>
    <w:p w14:paraId="709CCA3D">
      <w:pPr>
        <w:widowControl/>
        <w:adjustRightInd/>
        <w:ind w:firstLine="480"/>
        <w:jc w:val="left"/>
        <w:rPr>
          <w:rFonts w:cs="Times New Roman"/>
          <w:kern w:val="0"/>
        </w:rPr>
      </w:pPr>
      <w:r>
        <w:rPr>
          <w:rFonts w:cs="Times New Roman"/>
          <w:kern w:val="0"/>
        </w:rPr>
        <w:t>按导则HJ2.4-2021附录A推荐模式，设第i个室外声源在预测点产生的A声级为L</w:t>
      </w:r>
      <w:r>
        <w:rPr>
          <w:rFonts w:cs="Times New Roman"/>
          <w:kern w:val="0"/>
          <w:vertAlign w:val="subscript"/>
        </w:rPr>
        <w:t>Ai</w:t>
      </w:r>
      <w:r>
        <w:rPr>
          <w:rFonts w:cs="Times New Roman"/>
          <w:kern w:val="0"/>
        </w:rPr>
        <w:t>，在T时间内该声源工作时间为T</w:t>
      </w:r>
      <w:r>
        <w:rPr>
          <w:rFonts w:cs="Times New Roman"/>
          <w:kern w:val="0"/>
          <w:vertAlign w:val="subscript"/>
        </w:rPr>
        <w:t>i</w:t>
      </w:r>
      <w:r>
        <w:rPr>
          <w:rFonts w:cs="Times New Roman"/>
          <w:kern w:val="0"/>
        </w:rPr>
        <w:t>；第j个等效室外声源在预测点产生的A声级为L</w:t>
      </w:r>
      <w:r>
        <w:rPr>
          <w:rFonts w:cs="Times New Roman"/>
          <w:kern w:val="0"/>
          <w:vertAlign w:val="subscript"/>
        </w:rPr>
        <w:t>Aj</w:t>
      </w:r>
      <w:r>
        <w:rPr>
          <w:rFonts w:cs="Times New Roman"/>
          <w:kern w:val="0"/>
        </w:rPr>
        <w:t>，在T时间内该声源工作时间为t</w:t>
      </w:r>
      <w:r>
        <w:rPr>
          <w:rFonts w:cs="Times New Roman"/>
          <w:kern w:val="0"/>
          <w:vertAlign w:val="subscript"/>
        </w:rPr>
        <w:t>j</w:t>
      </w:r>
      <w:r>
        <w:rPr>
          <w:rFonts w:cs="Times New Roman"/>
          <w:kern w:val="0"/>
        </w:rPr>
        <w:t>，则声源在预测点产生的贡献值为：</w:t>
      </w:r>
    </w:p>
    <w:p w14:paraId="19C38872">
      <w:pPr>
        <w:widowControl/>
        <w:adjustRightInd/>
        <w:ind w:firstLine="480"/>
        <w:jc w:val="center"/>
        <w:rPr>
          <w:rFonts w:cs="Times New Roman"/>
          <w:kern w:val="0"/>
        </w:rPr>
      </w:pPr>
      <w:r>
        <w:rPr>
          <w:rFonts w:cs="Times New Roman"/>
          <w:kern w:val="0"/>
        </w:rPr>
        <w:pict>
          <v:shape id="对象 8009" o:spid="_x0000_s1027" o:spt="75" type="#_x0000_t75" style="position:absolute;left:0pt;margin-left:83.25pt;margin-top:6.1pt;height:38.25pt;width:215.2pt;z-index:251663360;mso-width-relative:page;mso-height-relative:page;" o:ole="t" filled="f" o:preferrelative="t" stroked="f" coordsize="21600,21600">
            <v:path/>
            <v:fill on="f" focussize="0,0"/>
            <v:stroke on="f" joinstyle="miter"/>
            <v:imagedata r:id="rId167" o:title=""/>
            <o:lock v:ext="edit" aspectratio="t"/>
          </v:shape>
          <o:OLEObject Type="Embed" ProgID="" ShapeID="对象 8009" DrawAspect="Content" ObjectID="_1468075787" r:id="rId166">
            <o:LockedField>false</o:LockedField>
          </o:OLEObject>
        </w:pict>
      </w:r>
    </w:p>
    <w:p w14:paraId="2D8ED001">
      <w:pPr>
        <w:widowControl/>
        <w:adjustRightInd/>
        <w:ind w:firstLine="480"/>
        <w:jc w:val="left"/>
        <w:rPr>
          <w:rFonts w:cs="Times New Roman"/>
          <w:kern w:val="0"/>
        </w:rPr>
      </w:pPr>
    </w:p>
    <w:p w14:paraId="1BC835AF">
      <w:pPr>
        <w:widowControl/>
        <w:snapToGrid w:val="0"/>
        <w:ind w:firstLine="480"/>
        <w:jc w:val="left"/>
        <w:rPr>
          <w:rFonts w:cs="Times New Roman"/>
          <w:kern w:val="0"/>
        </w:rPr>
      </w:pPr>
      <w:r>
        <w:rPr>
          <w:rFonts w:cs="Times New Roman"/>
          <w:kern w:val="0"/>
        </w:rPr>
        <w:t>式中：T为计算等效声级的时间，N为室外声源个数，M为等效室外声源个数</w:t>
      </w:r>
      <w:r>
        <w:rPr>
          <w:rFonts w:hint="eastAsia" w:cs="Times New Roman"/>
          <w:kern w:val="0"/>
        </w:rPr>
        <w:t>。</w:t>
      </w:r>
    </w:p>
    <w:p w14:paraId="4DA662F8">
      <w:pPr>
        <w:pStyle w:val="4"/>
        <w:numPr>
          <w:ilvl w:val="2"/>
          <w:numId w:val="1"/>
        </w:numPr>
      </w:pPr>
      <w:bookmarkStart w:id="257" w:name="_Toc7268"/>
      <w:r>
        <w:rPr>
          <w:rFonts w:hint="eastAsia"/>
        </w:rPr>
        <w:t>预测结果及评价结论</w:t>
      </w:r>
      <w:bookmarkEnd w:id="257"/>
    </w:p>
    <w:p w14:paraId="362DEC44">
      <w:pPr>
        <w:ind w:firstLine="480"/>
      </w:pPr>
      <w:r>
        <w:t>结合工程分析，采用《环境影响评价技术导则 声环境》（HJ2.4-2021）推荐的噪声预测模式，预测分析本项目建成投产后厂界噪声贡献值情况见下表。</w:t>
      </w:r>
    </w:p>
    <w:p w14:paraId="7B7CCBA4">
      <w:pPr>
        <w:keepNext/>
        <w:numPr>
          <w:ilvl w:val="5"/>
          <w:numId w:val="1"/>
        </w:numPr>
        <w:snapToGrid w:val="0"/>
        <w:spacing w:line="240" w:lineRule="auto"/>
        <w:ind w:firstLine="420" w:firstLineChars="0"/>
        <w:jc w:val="center"/>
        <w:rPr>
          <w:b/>
          <w:bCs/>
          <w:sz w:val="21"/>
          <w:szCs w:val="21"/>
        </w:rPr>
      </w:pPr>
      <w:r>
        <w:rPr>
          <w:rFonts w:hint="eastAsia"/>
          <w:b/>
          <w:bCs/>
          <w:sz w:val="21"/>
          <w:szCs w:val="21"/>
        </w:rPr>
        <w:t>噪声预测结果</w:t>
      </w:r>
    </w:p>
    <w:tbl>
      <w:tblPr>
        <w:tblStyle w:val="32"/>
        <w:tblW w:w="0" w:type="auto"/>
        <w:tblInd w:w="93" w:type="dxa"/>
        <w:tblLayout w:type="autofit"/>
        <w:tblCellMar>
          <w:top w:w="0" w:type="dxa"/>
          <w:left w:w="108" w:type="dxa"/>
          <w:bottom w:w="0" w:type="dxa"/>
          <w:right w:w="108" w:type="dxa"/>
        </w:tblCellMar>
      </w:tblPr>
      <w:tblGrid>
        <w:gridCol w:w="1063"/>
        <w:gridCol w:w="1842"/>
        <w:gridCol w:w="1841"/>
        <w:gridCol w:w="1842"/>
        <w:gridCol w:w="1841"/>
      </w:tblGrid>
      <w:tr w14:paraId="62A27E5B">
        <w:tblPrEx>
          <w:tblCellMar>
            <w:top w:w="0" w:type="dxa"/>
            <w:left w:w="108" w:type="dxa"/>
            <w:bottom w:w="0" w:type="dxa"/>
            <w:right w:w="108" w:type="dxa"/>
          </w:tblCellMar>
        </w:tblPrEx>
        <w:trPr>
          <w:trHeight w:val="270" w:hRule="atLeast"/>
          <w:tblHeader/>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31152B8">
            <w:pPr>
              <w:pStyle w:val="45"/>
              <w:rPr>
                <w:rFonts w:hint="default"/>
                <w:b/>
                <w:bCs/>
              </w:rPr>
            </w:pPr>
            <w:r>
              <w:rPr>
                <w:b/>
                <w:bCs/>
              </w:rPr>
              <w:t>厂界</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8CD5E65">
            <w:pPr>
              <w:pStyle w:val="45"/>
              <w:rPr>
                <w:rFonts w:hint="default"/>
                <w:b/>
                <w:bCs/>
              </w:rPr>
            </w:pPr>
            <w:r>
              <w:rPr>
                <w:b/>
                <w:bCs/>
              </w:rPr>
              <w:t>昼间</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F5F7BCB">
            <w:pPr>
              <w:pStyle w:val="45"/>
              <w:rPr>
                <w:rFonts w:hint="default"/>
                <w:b/>
                <w:bCs/>
              </w:rPr>
            </w:pPr>
            <w:r>
              <w:rPr>
                <w:b/>
                <w:bCs/>
              </w:rPr>
              <w:t>夜间</w:t>
            </w:r>
          </w:p>
        </w:tc>
      </w:tr>
      <w:tr w14:paraId="330F7AAC">
        <w:tblPrEx>
          <w:tblCellMar>
            <w:top w:w="0" w:type="dxa"/>
            <w:left w:w="108" w:type="dxa"/>
            <w:bottom w:w="0" w:type="dxa"/>
            <w:right w:w="108" w:type="dxa"/>
          </w:tblCellMar>
        </w:tblPrEx>
        <w:trPr>
          <w:trHeight w:val="510" w:hRule="atLeast"/>
          <w:tblHead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672DF9">
            <w:pPr>
              <w:pStyle w:val="45"/>
              <w:rPr>
                <w:rFonts w:hint="default"/>
                <w:b/>
                <w:bCs/>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B56F5CD">
            <w:pPr>
              <w:pStyle w:val="45"/>
              <w:rPr>
                <w:rFonts w:hint="default"/>
                <w:b/>
                <w:bCs/>
              </w:rPr>
            </w:pPr>
            <w:r>
              <w:rPr>
                <w:b/>
                <w:bCs/>
              </w:rPr>
              <w:t>贡献值dB(A)</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B4FB9E4">
            <w:pPr>
              <w:pStyle w:val="45"/>
              <w:rPr>
                <w:rFonts w:hint="default"/>
                <w:b/>
                <w:bCs/>
              </w:rPr>
            </w:pPr>
            <w:r>
              <w:rPr>
                <w:b/>
                <w:bCs/>
              </w:rPr>
              <w:t>标准值dB(A)</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C8E33EC">
            <w:pPr>
              <w:pStyle w:val="45"/>
              <w:rPr>
                <w:rFonts w:hint="default"/>
                <w:b/>
                <w:bCs/>
              </w:rPr>
            </w:pPr>
            <w:r>
              <w:rPr>
                <w:b/>
                <w:bCs/>
              </w:rPr>
              <w:t>贡献值dB(A)</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5EB7503">
            <w:pPr>
              <w:pStyle w:val="45"/>
              <w:rPr>
                <w:rFonts w:hint="default"/>
                <w:b/>
                <w:bCs/>
              </w:rPr>
            </w:pPr>
            <w:r>
              <w:rPr>
                <w:b/>
                <w:bCs/>
              </w:rPr>
              <w:t>标准值dB(A)</w:t>
            </w:r>
          </w:p>
        </w:tc>
      </w:tr>
      <w:tr w14:paraId="7282B731">
        <w:tblPrEx>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C9F8D05">
            <w:pPr>
              <w:pStyle w:val="45"/>
              <w:rPr>
                <w:rFonts w:hint="default"/>
              </w:rPr>
            </w:pPr>
            <w:r>
              <w:t>东厂界</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B819937">
            <w:pPr>
              <w:pStyle w:val="45"/>
              <w:rPr>
                <w:rFonts w:hint="default"/>
              </w:rPr>
            </w:pPr>
            <w:r>
              <w:rPr>
                <w:rFonts w:hint="default"/>
              </w:rPr>
              <w:t>50.61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A41F764">
            <w:pPr>
              <w:pStyle w:val="45"/>
              <w:rPr>
                <w:rFonts w:hint="default"/>
              </w:rPr>
            </w:pPr>
            <w:r>
              <w:rPr>
                <w:rFonts w:hint="default"/>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11E1512">
            <w:pPr>
              <w:pStyle w:val="45"/>
              <w:rPr>
                <w:rFonts w:hint="default"/>
              </w:rPr>
            </w:pPr>
            <w:r>
              <w:rPr>
                <w:rFonts w:hint="default"/>
              </w:rPr>
              <w:t>50.61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4B4CA5B">
            <w:pPr>
              <w:pStyle w:val="45"/>
              <w:rPr>
                <w:rFonts w:hint="default"/>
              </w:rPr>
            </w:pPr>
            <w:r>
              <w:rPr>
                <w:rFonts w:hint="default"/>
              </w:rPr>
              <w:t>55</w:t>
            </w:r>
          </w:p>
        </w:tc>
      </w:tr>
      <w:tr w14:paraId="7254E741">
        <w:tblPrEx>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7A382ED">
            <w:pPr>
              <w:pStyle w:val="45"/>
              <w:rPr>
                <w:rFonts w:hint="default"/>
              </w:rPr>
            </w:pPr>
            <w:r>
              <w:t>南厂界</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DAB00CD">
            <w:pPr>
              <w:pStyle w:val="45"/>
              <w:rPr>
                <w:rFonts w:hint="default"/>
              </w:rPr>
            </w:pPr>
            <w:r>
              <w:rPr>
                <w:rFonts w:hint="default"/>
              </w:rPr>
              <w:t>41.33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38052F1">
            <w:pPr>
              <w:pStyle w:val="45"/>
              <w:rPr>
                <w:rFonts w:hint="default"/>
              </w:rPr>
            </w:pPr>
            <w:r>
              <w:rPr>
                <w:rFonts w:hint="default"/>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05E3D1D">
            <w:pPr>
              <w:pStyle w:val="45"/>
              <w:rPr>
                <w:rFonts w:hint="default"/>
              </w:rPr>
            </w:pPr>
            <w:r>
              <w:rPr>
                <w:rFonts w:hint="default"/>
              </w:rPr>
              <w:t>41.33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1DC4766">
            <w:pPr>
              <w:pStyle w:val="45"/>
              <w:rPr>
                <w:rFonts w:hint="default"/>
              </w:rPr>
            </w:pPr>
            <w:r>
              <w:rPr>
                <w:rFonts w:hint="default"/>
              </w:rPr>
              <w:t>55</w:t>
            </w:r>
          </w:p>
        </w:tc>
      </w:tr>
      <w:tr w14:paraId="015142F0">
        <w:tblPrEx>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AA093C5">
            <w:pPr>
              <w:pStyle w:val="45"/>
              <w:rPr>
                <w:rFonts w:hint="default"/>
              </w:rPr>
            </w:pPr>
            <w:r>
              <w:t>西厂界</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3E7DFB3">
            <w:pPr>
              <w:pStyle w:val="45"/>
              <w:rPr>
                <w:rFonts w:hint="default"/>
              </w:rPr>
            </w:pPr>
            <w:r>
              <w:rPr>
                <w:rFonts w:hint="default"/>
              </w:rPr>
              <w:t>36.78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A540A5E">
            <w:pPr>
              <w:pStyle w:val="45"/>
              <w:rPr>
                <w:rFonts w:hint="default"/>
              </w:rPr>
            </w:pPr>
            <w:r>
              <w:rPr>
                <w:rFonts w:hint="default"/>
              </w:rPr>
              <w:t>65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FED25F0">
            <w:pPr>
              <w:pStyle w:val="45"/>
              <w:rPr>
                <w:rFonts w:hint="default"/>
              </w:rPr>
            </w:pPr>
            <w:r>
              <w:rPr>
                <w:rFonts w:hint="default"/>
              </w:rPr>
              <w:t>36.78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2A47CA4">
            <w:pPr>
              <w:pStyle w:val="45"/>
              <w:rPr>
                <w:rFonts w:hint="default"/>
              </w:rPr>
            </w:pPr>
            <w:r>
              <w:rPr>
                <w:rFonts w:hint="default"/>
              </w:rPr>
              <w:t>55</w:t>
            </w:r>
          </w:p>
        </w:tc>
      </w:tr>
      <w:tr w14:paraId="28ECB946">
        <w:tblPrEx>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D26ECA3">
            <w:pPr>
              <w:pStyle w:val="45"/>
              <w:rPr>
                <w:rFonts w:hint="default"/>
              </w:rPr>
            </w:pPr>
            <w:r>
              <w:t>北厂界</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DC73A03">
            <w:pPr>
              <w:pStyle w:val="45"/>
              <w:rPr>
                <w:rFonts w:hint="default"/>
              </w:rPr>
            </w:pPr>
            <w:r>
              <w:rPr>
                <w:rFonts w:hint="default"/>
              </w:rPr>
              <w:t>50.72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602E856">
            <w:pPr>
              <w:pStyle w:val="45"/>
              <w:rPr>
                <w:rFonts w:hint="default"/>
              </w:rPr>
            </w:pPr>
            <w:r>
              <w:rPr>
                <w:rFonts w:hint="default"/>
              </w:rPr>
              <w:t>65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1C11C3B">
            <w:pPr>
              <w:pStyle w:val="45"/>
              <w:rPr>
                <w:rFonts w:hint="default"/>
              </w:rPr>
            </w:pPr>
            <w:r>
              <w:rPr>
                <w:rFonts w:hint="default"/>
              </w:rPr>
              <w:t>50.72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EAF6BE1">
            <w:pPr>
              <w:pStyle w:val="45"/>
              <w:rPr>
                <w:rFonts w:hint="default"/>
              </w:rPr>
            </w:pPr>
            <w:r>
              <w:rPr>
                <w:rFonts w:hint="default"/>
              </w:rPr>
              <w:t>55</w:t>
            </w:r>
          </w:p>
        </w:tc>
      </w:tr>
      <w:tr w14:paraId="1EA521D4">
        <w:tblPrEx>
          <w:tblCellMar>
            <w:top w:w="0" w:type="dxa"/>
            <w:left w:w="108" w:type="dxa"/>
            <w:bottom w:w="0" w:type="dxa"/>
            <w:right w:w="108" w:type="dxa"/>
          </w:tblCellMar>
        </w:tblPrEx>
        <w:trPr>
          <w:trHeight w:val="270" w:hRule="atLeast"/>
        </w:trPr>
        <w:tc>
          <w:tcPr>
            <w:tcW w:w="0" w:type="auto"/>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495678D0">
            <w:pPr>
              <w:pStyle w:val="45"/>
              <w:rPr>
                <w:rFonts w:hint="default"/>
              </w:rPr>
            </w:pPr>
            <w:r>
              <w:t>备注：《工业企业厂界环境噪声排放标准》GB12348-2008  3类标准：昼间：65dB(A)，夜间：55dB(A)，4类标准：：昼间：70dB(A)，夜间：55dB(A)。</w:t>
            </w:r>
          </w:p>
        </w:tc>
      </w:tr>
    </w:tbl>
    <w:p w14:paraId="10F40006">
      <w:pPr>
        <w:spacing w:line="240" w:lineRule="auto"/>
        <w:ind w:firstLine="0" w:firstLineChars="0"/>
      </w:pPr>
    </w:p>
    <w:p w14:paraId="770380BF">
      <w:pPr>
        <w:ind w:firstLine="480"/>
      </w:pPr>
      <w:r>
        <w:t>预测结果显示，在考虑车间及其它控制措施等对声源的削减作用，在主要声源同时排放噪声这种最严重影响情况下，本项目东、南厂界噪声预测值符合《工业企业厂界环境噪声排放标准》（GB12348-2008）4类标准要求，西</w:t>
      </w:r>
      <w:r>
        <w:rPr>
          <w:rFonts w:hint="eastAsia"/>
        </w:rPr>
        <w:t>、北</w:t>
      </w:r>
      <w:r>
        <w:t>厂界噪声预测值符合《工业企业厂界环境噪声排放标准》（GB12348-2008）3类标准要求，本项目</w:t>
      </w:r>
      <w:r>
        <w:rPr>
          <w:rFonts w:hint="eastAsia"/>
        </w:rPr>
        <w:t>建成后</w:t>
      </w:r>
      <w:r>
        <w:t>不会对区域声环境质量带来较为明显的影响。</w:t>
      </w:r>
    </w:p>
    <w:p w14:paraId="48DCCCC3">
      <w:pPr>
        <w:pStyle w:val="43"/>
        <w:numPr>
          <w:ilvl w:val="5"/>
          <w:numId w:val="1"/>
        </w:numPr>
        <w:rPr>
          <w:rFonts w:hint="default"/>
        </w:rPr>
      </w:pPr>
      <w:r>
        <w:rPr>
          <w:rFonts w:hint="default"/>
        </w:rPr>
        <w:t>声环境影响评价自查表</w:t>
      </w:r>
    </w:p>
    <w:tbl>
      <w:tblPr>
        <w:tblStyle w:val="3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1"/>
        <w:gridCol w:w="1455"/>
        <w:gridCol w:w="900"/>
        <w:gridCol w:w="595"/>
        <w:gridCol w:w="285"/>
        <w:gridCol w:w="1004"/>
        <w:gridCol w:w="169"/>
        <w:gridCol w:w="37"/>
        <w:gridCol w:w="60"/>
        <w:gridCol w:w="738"/>
        <w:gridCol w:w="988"/>
        <w:gridCol w:w="194"/>
        <w:gridCol w:w="1154"/>
      </w:tblGrid>
      <w:tr w14:paraId="3DAC4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jc w:val="center"/>
        </w:trPr>
        <w:tc>
          <w:tcPr>
            <w:tcW w:w="1407" w:type="pct"/>
            <w:gridSpan w:val="2"/>
            <w:vAlign w:val="center"/>
          </w:tcPr>
          <w:p w14:paraId="6656CBA7">
            <w:pPr>
              <w:widowControl/>
              <w:snapToGrid w:val="0"/>
              <w:spacing w:line="240" w:lineRule="auto"/>
              <w:ind w:firstLine="0" w:firstLineChars="0"/>
              <w:jc w:val="center"/>
              <w:rPr>
                <w:rFonts w:cs="Times New Roman"/>
                <w:b/>
                <w:bCs/>
                <w:kern w:val="0"/>
                <w:sz w:val="21"/>
                <w:szCs w:val="21"/>
              </w:rPr>
            </w:pPr>
            <w:r>
              <w:rPr>
                <w:rFonts w:cs="Times New Roman"/>
                <w:b/>
                <w:bCs/>
                <w:kern w:val="0"/>
                <w:sz w:val="21"/>
                <w:szCs w:val="21"/>
              </w:rPr>
              <w:t>工作内容</w:t>
            </w:r>
          </w:p>
        </w:tc>
        <w:tc>
          <w:tcPr>
            <w:tcW w:w="3592" w:type="pct"/>
            <w:gridSpan w:val="11"/>
            <w:vAlign w:val="center"/>
          </w:tcPr>
          <w:p w14:paraId="23E04308">
            <w:pPr>
              <w:widowControl/>
              <w:snapToGrid w:val="0"/>
              <w:spacing w:line="240" w:lineRule="auto"/>
              <w:ind w:firstLine="0" w:firstLineChars="0"/>
              <w:jc w:val="center"/>
              <w:rPr>
                <w:rFonts w:cs="Times New Roman"/>
                <w:b/>
                <w:bCs/>
                <w:kern w:val="0"/>
                <w:sz w:val="21"/>
                <w:szCs w:val="21"/>
              </w:rPr>
            </w:pPr>
            <w:r>
              <w:rPr>
                <w:rFonts w:cs="Times New Roman"/>
                <w:b/>
                <w:bCs/>
                <w:kern w:val="0"/>
                <w:sz w:val="21"/>
                <w:szCs w:val="21"/>
              </w:rPr>
              <w:t>自查项目</w:t>
            </w:r>
          </w:p>
        </w:tc>
      </w:tr>
      <w:tr w14:paraId="6F101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53" w:type="pct"/>
            <w:vMerge w:val="restart"/>
            <w:vAlign w:val="center"/>
          </w:tcPr>
          <w:p w14:paraId="3ADF10CF">
            <w:pPr>
              <w:widowControl/>
              <w:snapToGrid w:val="0"/>
              <w:spacing w:line="240" w:lineRule="auto"/>
              <w:ind w:firstLine="0" w:firstLineChars="0"/>
              <w:jc w:val="center"/>
              <w:rPr>
                <w:rFonts w:cs="Times New Roman"/>
                <w:kern w:val="0"/>
                <w:sz w:val="21"/>
                <w:szCs w:val="21"/>
              </w:rPr>
            </w:pPr>
            <w:r>
              <w:rPr>
                <w:rFonts w:cs="Times New Roman"/>
                <w:kern w:val="0"/>
                <w:sz w:val="21"/>
                <w:szCs w:val="21"/>
              </w:rPr>
              <w:t>评价等级与范围</w:t>
            </w:r>
          </w:p>
        </w:tc>
        <w:tc>
          <w:tcPr>
            <w:tcW w:w="853" w:type="pct"/>
            <w:vAlign w:val="center"/>
          </w:tcPr>
          <w:p w14:paraId="7B6E7A99">
            <w:pPr>
              <w:widowControl/>
              <w:snapToGrid w:val="0"/>
              <w:spacing w:line="240" w:lineRule="auto"/>
              <w:ind w:firstLine="0" w:firstLineChars="0"/>
              <w:jc w:val="center"/>
              <w:rPr>
                <w:rFonts w:cs="Times New Roman"/>
                <w:kern w:val="0"/>
                <w:sz w:val="21"/>
                <w:szCs w:val="21"/>
              </w:rPr>
            </w:pPr>
            <w:r>
              <w:rPr>
                <w:rFonts w:cs="Times New Roman"/>
                <w:kern w:val="0"/>
                <w:sz w:val="21"/>
                <w:szCs w:val="21"/>
              </w:rPr>
              <w:t>评价等级</w:t>
            </w:r>
          </w:p>
        </w:tc>
        <w:tc>
          <w:tcPr>
            <w:tcW w:w="1044" w:type="pct"/>
            <w:gridSpan w:val="3"/>
            <w:vAlign w:val="center"/>
          </w:tcPr>
          <w:p w14:paraId="20088CB0">
            <w:pPr>
              <w:widowControl/>
              <w:snapToGrid w:val="0"/>
              <w:spacing w:line="240" w:lineRule="auto"/>
              <w:ind w:firstLine="0" w:firstLineChars="0"/>
              <w:jc w:val="center"/>
              <w:rPr>
                <w:rFonts w:cs="Times New Roman"/>
                <w:kern w:val="0"/>
                <w:sz w:val="21"/>
                <w:szCs w:val="21"/>
              </w:rPr>
            </w:pPr>
            <w:r>
              <w:rPr>
                <w:rFonts w:cs="Times New Roman"/>
                <w:kern w:val="0"/>
                <w:sz w:val="21"/>
                <w:szCs w:val="21"/>
              </w:rPr>
              <w:t>一级</w:t>
            </w:r>
            <w:r>
              <w:rPr>
                <w:rFonts w:hint="eastAsia" w:cs="Times New Roman"/>
                <w:kern w:val="0"/>
                <w:sz w:val="21"/>
                <w:szCs w:val="21"/>
              </w:rPr>
              <w:t>□</w:t>
            </w:r>
          </w:p>
        </w:tc>
        <w:tc>
          <w:tcPr>
            <w:tcW w:w="1178" w:type="pct"/>
            <w:gridSpan w:val="5"/>
            <w:vAlign w:val="center"/>
          </w:tcPr>
          <w:p w14:paraId="588EA3AD">
            <w:pPr>
              <w:widowControl/>
              <w:snapToGrid w:val="0"/>
              <w:spacing w:line="240" w:lineRule="auto"/>
              <w:ind w:firstLine="0" w:firstLineChars="0"/>
              <w:jc w:val="center"/>
              <w:rPr>
                <w:rFonts w:cs="Times New Roman"/>
                <w:kern w:val="0"/>
                <w:sz w:val="21"/>
                <w:szCs w:val="21"/>
              </w:rPr>
            </w:pPr>
            <w:r>
              <w:rPr>
                <w:rFonts w:cs="Times New Roman"/>
                <w:kern w:val="0"/>
                <w:sz w:val="21"/>
                <w:szCs w:val="21"/>
              </w:rPr>
              <w:t>二级</w:t>
            </w:r>
            <w:r>
              <w:rPr>
                <w:rFonts w:hint="eastAsia" w:cs="Times New Roman"/>
                <w:kern w:val="0"/>
                <w:sz w:val="21"/>
                <w:szCs w:val="21"/>
              </w:rPr>
              <w:t>□</w:t>
            </w:r>
          </w:p>
        </w:tc>
        <w:tc>
          <w:tcPr>
            <w:tcW w:w="1369" w:type="pct"/>
            <w:gridSpan w:val="3"/>
            <w:vAlign w:val="center"/>
          </w:tcPr>
          <w:p w14:paraId="6B719887">
            <w:pPr>
              <w:widowControl/>
              <w:snapToGrid w:val="0"/>
              <w:spacing w:line="240" w:lineRule="auto"/>
              <w:ind w:firstLine="0" w:firstLineChars="0"/>
              <w:jc w:val="center"/>
              <w:rPr>
                <w:rFonts w:cs="Times New Roman"/>
                <w:kern w:val="0"/>
                <w:sz w:val="21"/>
                <w:szCs w:val="21"/>
              </w:rPr>
            </w:pPr>
            <w:r>
              <w:rPr>
                <w:rFonts w:cs="Times New Roman"/>
                <w:kern w:val="0"/>
                <w:sz w:val="21"/>
                <w:szCs w:val="21"/>
              </w:rPr>
              <w:t>三级</w:t>
            </w:r>
            <w:r>
              <w:rPr>
                <w:rFonts w:hint="eastAsia" w:cs="Times New Roman"/>
                <w:kern w:val="0"/>
                <w:sz w:val="21"/>
                <w:szCs w:val="21"/>
              </w:rPr>
              <w:t>☑</w:t>
            </w:r>
          </w:p>
        </w:tc>
      </w:tr>
      <w:tr w14:paraId="4ED51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53" w:type="pct"/>
            <w:vMerge w:val="continue"/>
            <w:vAlign w:val="center"/>
          </w:tcPr>
          <w:p w14:paraId="3E6B4BC5">
            <w:pPr>
              <w:widowControl/>
              <w:snapToGrid w:val="0"/>
              <w:spacing w:line="240" w:lineRule="auto"/>
              <w:ind w:firstLine="0" w:firstLineChars="0"/>
              <w:jc w:val="left"/>
              <w:rPr>
                <w:rFonts w:cs="Times New Roman"/>
                <w:kern w:val="0"/>
                <w:sz w:val="21"/>
                <w:szCs w:val="21"/>
              </w:rPr>
            </w:pPr>
          </w:p>
        </w:tc>
        <w:tc>
          <w:tcPr>
            <w:tcW w:w="853" w:type="pct"/>
            <w:vAlign w:val="center"/>
          </w:tcPr>
          <w:p w14:paraId="31A2EC4F">
            <w:pPr>
              <w:widowControl/>
              <w:snapToGrid w:val="0"/>
              <w:spacing w:line="240" w:lineRule="auto"/>
              <w:ind w:firstLine="0" w:firstLineChars="0"/>
              <w:jc w:val="center"/>
              <w:rPr>
                <w:rFonts w:cs="Times New Roman"/>
                <w:kern w:val="0"/>
                <w:sz w:val="21"/>
                <w:szCs w:val="21"/>
              </w:rPr>
            </w:pPr>
            <w:r>
              <w:rPr>
                <w:rFonts w:cs="Times New Roman"/>
                <w:kern w:val="0"/>
                <w:sz w:val="21"/>
                <w:szCs w:val="21"/>
              </w:rPr>
              <w:t>评价范围</w:t>
            </w:r>
          </w:p>
        </w:tc>
        <w:tc>
          <w:tcPr>
            <w:tcW w:w="1044" w:type="pct"/>
            <w:gridSpan w:val="3"/>
            <w:vAlign w:val="center"/>
          </w:tcPr>
          <w:p w14:paraId="18C13D61">
            <w:pPr>
              <w:widowControl/>
              <w:snapToGrid w:val="0"/>
              <w:spacing w:line="240" w:lineRule="auto"/>
              <w:ind w:firstLine="0" w:firstLineChars="0"/>
              <w:jc w:val="center"/>
              <w:rPr>
                <w:rFonts w:cs="Times New Roman"/>
                <w:kern w:val="0"/>
                <w:sz w:val="21"/>
                <w:szCs w:val="21"/>
              </w:rPr>
            </w:pPr>
            <w:r>
              <w:rPr>
                <w:rFonts w:cs="Times New Roman"/>
                <w:kern w:val="0"/>
                <w:sz w:val="21"/>
                <w:szCs w:val="21"/>
              </w:rPr>
              <w:t>200m</w:t>
            </w:r>
            <w:r>
              <w:rPr>
                <w:rFonts w:hint="eastAsia" w:cs="Times New Roman"/>
                <w:kern w:val="0"/>
                <w:sz w:val="21"/>
                <w:szCs w:val="21"/>
              </w:rPr>
              <w:t>☑</w:t>
            </w:r>
          </w:p>
        </w:tc>
        <w:tc>
          <w:tcPr>
            <w:tcW w:w="1178" w:type="pct"/>
            <w:gridSpan w:val="5"/>
            <w:vAlign w:val="center"/>
          </w:tcPr>
          <w:p w14:paraId="1C02E02D">
            <w:pPr>
              <w:widowControl/>
              <w:snapToGrid w:val="0"/>
              <w:spacing w:line="240" w:lineRule="auto"/>
              <w:ind w:firstLine="0" w:firstLineChars="0"/>
              <w:jc w:val="center"/>
              <w:rPr>
                <w:rFonts w:cs="Times New Roman"/>
                <w:kern w:val="0"/>
                <w:sz w:val="21"/>
                <w:szCs w:val="21"/>
              </w:rPr>
            </w:pPr>
            <w:r>
              <w:rPr>
                <w:rFonts w:cs="Times New Roman"/>
                <w:kern w:val="0"/>
                <w:sz w:val="21"/>
                <w:szCs w:val="21"/>
              </w:rPr>
              <w:t>大于200m</w:t>
            </w:r>
            <w:r>
              <w:rPr>
                <w:rFonts w:hint="eastAsia" w:cs="Times New Roman"/>
                <w:kern w:val="0"/>
                <w:sz w:val="21"/>
                <w:szCs w:val="21"/>
              </w:rPr>
              <w:t>□</w:t>
            </w:r>
          </w:p>
        </w:tc>
        <w:tc>
          <w:tcPr>
            <w:tcW w:w="1369" w:type="pct"/>
            <w:gridSpan w:val="3"/>
            <w:vAlign w:val="center"/>
          </w:tcPr>
          <w:p w14:paraId="413DE5FB">
            <w:pPr>
              <w:widowControl/>
              <w:snapToGrid w:val="0"/>
              <w:spacing w:line="240" w:lineRule="auto"/>
              <w:ind w:firstLine="0" w:firstLineChars="0"/>
              <w:jc w:val="center"/>
              <w:rPr>
                <w:rFonts w:cs="Times New Roman"/>
                <w:kern w:val="0"/>
                <w:sz w:val="21"/>
                <w:szCs w:val="21"/>
              </w:rPr>
            </w:pPr>
            <w:r>
              <w:rPr>
                <w:rFonts w:cs="Times New Roman"/>
                <w:kern w:val="0"/>
                <w:sz w:val="21"/>
                <w:szCs w:val="21"/>
              </w:rPr>
              <w:t>小于200m</w:t>
            </w:r>
            <w:r>
              <w:rPr>
                <w:rFonts w:hint="eastAsia" w:cs="Times New Roman"/>
                <w:kern w:val="0"/>
                <w:sz w:val="21"/>
                <w:szCs w:val="21"/>
              </w:rPr>
              <w:t>□</w:t>
            </w:r>
          </w:p>
        </w:tc>
      </w:tr>
      <w:tr w14:paraId="1EE56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53" w:type="pct"/>
            <w:vAlign w:val="center"/>
          </w:tcPr>
          <w:p w14:paraId="68350990">
            <w:pPr>
              <w:widowControl/>
              <w:snapToGrid w:val="0"/>
              <w:spacing w:line="240" w:lineRule="auto"/>
              <w:ind w:firstLine="0" w:firstLineChars="0"/>
              <w:jc w:val="center"/>
              <w:rPr>
                <w:rFonts w:cs="Times New Roman"/>
                <w:kern w:val="0"/>
                <w:sz w:val="21"/>
                <w:szCs w:val="21"/>
              </w:rPr>
            </w:pPr>
            <w:r>
              <w:rPr>
                <w:rFonts w:cs="Times New Roman"/>
                <w:kern w:val="0"/>
                <w:sz w:val="21"/>
                <w:szCs w:val="21"/>
              </w:rPr>
              <w:t>评价因子</w:t>
            </w:r>
          </w:p>
        </w:tc>
        <w:tc>
          <w:tcPr>
            <w:tcW w:w="853" w:type="pct"/>
            <w:vAlign w:val="center"/>
          </w:tcPr>
          <w:p w14:paraId="710619CE">
            <w:pPr>
              <w:widowControl/>
              <w:snapToGrid w:val="0"/>
              <w:spacing w:line="240" w:lineRule="auto"/>
              <w:ind w:firstLine="0" w:firstLineChars="0"/>
              <w:jc w:val="center"/>
              <w:rPr>
                <w:rFonts w:cs="Times New Roman"/>
                <w:kern w:val="0"/>
                <w:sz w:val="21"/>
                <w:szCs w:val="21"/>
              </w:rPr>
            </w:pPr>
            <w:r>
              <w:rPr>
                <w:rFonts w:cs="Times New Roman"/>
                <w:kern w:val="0"/>
                <w:sz w:val="21"/>
                <w:szCs w:val="21"/>
              </w:rPr>
              <w:t>评价因子</w:t>
            </w:r>
          </w:p>
        </w:tc>
        <w:tc>
          <w:tcPr>
            <w:tcW w:w="1044" w:type="pct"/>
            <w:gridSpan w:val="3"/>
            <w:vAlign w:val="center"/>
          </w:tcPr>
          <w:p w14:paraId="6C25F599">
            <w:pPr>
              <w:widowControl/>
              <w:snapToGrid w:val="0"/>
              <w:spacing w:line="240" w:lineRule="auto"/>
              <w:ind w:firstLine="0" w:firstLineChars="0"/>
              <w:jc w:val="center"/>
              <w:rPr>
                <w:rFonts w:cs="Times New Roman"/>
                <w:kern w:val="0"/>
                <w:sz w:val="21"/>
                <w:szCs w:val="21"/>
              </w:rPr>
            </w:pPr>
            <w:r>
              <w:rPr>
                <w:rFonts w:cs="Times New Roman"/>
                <w:kern w:val="0"/>
                <w:sz w:val="21"/>
                <w:szCs w:val="21"/>
              </w:rPr>
              <w:t>等效连续A声级</w:t>
            </w:r>
            <w:r>
              <w:rPr>
                <w:rFonts w:ascii="Wingdings 2" w:hAnsi="Wingdings 2" w:cs="Times New Roman"/>
                <w:kern w:val="0"/>
                <w:sz w:val="21"/>
                <w:szCs w:val="21"/>
              </w:rPr>
              <w:t>☑</w:t>
            </w:r>
          </w:p>
        </w:tc>
        <w:tc>
          <w:tcPr>
            <w:tcW w:w="1178" w:type="pct"/>
            <w:gridSpan w:val="5"/>
            <w:vAlign w:val="center"/>
          </w:tcPr>
          <w:p w14:paraId="795B3FDF">
            <w:pPr>
              <w:widowControl/>
              <w:snapToGrid w:val="0"/>
              <w:spacing w:line="240" w:lineRule="auto"/>
              <w:ind w:firstLine="0" w:firstLineChars="0"/>
              <w:jc w:val="center"/>
              <w:rPr>
                <w:rFonts w:cs="Times New Roman"/>
                <w:kern w:val="0"/>
                <w:sz w:val="21"/>
                <w:szCs w:val="21"/>
              </w:rPr>
            </w:pPr>
            <w:r>
              <w:rPr>
                <w:rFonts w:cs="Times New Roman"/>
                <w:kern w:val="0"/>
                <w:sz w:val="21"/>
                <w:szCs w:val="21"/>
              </w:rPr>
              <w:t>最大A声级</w:t>
            </w:r>
            <w:r>
              <w:rPr>
                <w:rFonts w:hint="eastAsia" w:cs="Times New Roman"/>
                <w:kern w:val="0"/>
                <w:sz w:val="21"/>
                <w:szCs w:val="21"/>
              </w:rPr>
              <w:t>□</w:t>
            </w:r>
          </w:p>
        </w:tc>
        <w:tc>
          <w:tcPr>
            <w:tcW w:w="1369" w:type="pct"/>
            <w:gridSpan w:val="3"/>
            <w:vAlign w:val="center"/>
          </w:tcPr>
          <w:p w14:paraId="4F6B62A3">
            <w:pPr>
              <w:widowControl/>
              <w:snapToGrid w:val="0"/>
              <w:spacing w:line="240" w:lineRule="auto"/>
              <w:ind w:firstLine="0" w:firstLineChars="0"/>
              <w:jc w:val="center"/>
              <w:rPr>
                <w:rFonts w:cs="Times New Roman"/>
                <w:kern w:val="0"/>
                <w:sz w:val="21"/>
                <w:szCs w:val="21"/>
              </w:rPr>
            </w:pPr>
            <w:r>
              <w:rPr>
                <w:rFonts w:cs="Times New Roman"/>
                <w:kern w:val="0"/>
                <w:sz w:val="21"/>
                <w:szCs w:val="21"/>
              </w:rPr>
              <w:t>计权等效连续感觉噪声级</w:t>
            </w:r>
            <w:r>
              <w:rPr>
                <w:rFonts w:hint="eastAsia" w:cs="Times New Roman"/>
                <w:kern w:val="0"/>
                <w:sz w:val="21"/>
                <w:szCs w:val="21"/>
              </w:rPr>
              <w:t>□</w:t>
            </w:r>
          </w:p>
        </w:tc>
      </w:tr>
      <w:tr w14:paraId="5AF47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53" w:type="pct"/>
            <w:vAlign w:val="center"/>
          </w:tcPr>
          <w:p w14:paraId="4216B8A1">
            <w:pPr>
              <w:widowControl/>
              <w:snapToGrid w:val="0"/>
              <w:spacing w:line="240" w:lineRule="auto"/>
              <w:ind w:firstLine="0" w:firstLineChars="0"/>
              <w:jc w:val="center"/>
              <w:rPr>
                <w:rFonts w:cs="Times New Roman"/>
                <w:kern w:val="0"/>
                <w:sz w:val="21"/>
                <w:szCs w:val="21"/>
              </w:rPr>
            </w:pPr>
            <w:r>
              <w:rPr>
                <w:rFonts w:cs="Times New Roman"/>
                <w:kern w:val="0"/>
                <w:sz w:val="21"/>
                <w:szCs w:val="21"/>
              </w:rPr>
              <w:t>评价标准</w:t>
            </w:r>
          </w:p>
        </w:tc>
        <w:tc>
          <w:tcPr>
            <w:tcW w:w="853" w:type="pct"/>
            <w:vAlign w:val="center"/>
          </w:tcPr>
          <w:p w14:paraId="7550D446">
            <w:pPr>
              <w:widowControl/>
              <w:snapToGrid w:val="0"/>
              <w:spacing w:line="240" w:lineRule="auto"/>
              <w:ind w:firstLine="0" w:firstLineChars="0"/>
              <w:jc w:val="center"/>
              <w:rPr>
                <w:rFonts w:cs="Times New Roman"/>
                <w:kern w:val="0"/>
                <w:sz w:val="21"/>
                <w:szCs w:val="21"/>
              </w:rPr>
            </w:pPr>
            <w:r>
              <w:rPr>
                <w:rFonts w:cs="Times New Roman"/>
                <w:kern w:val="0"/>
                <w:sz w:val="21"/>
                <w:szCs w:val="21"/>
              </w:rPr>
              <w:t>评价标准</w:t>
            </w:r>
          </w:p>
        </w:tc>
        <w:tc>
          <w:tcPr>
            <w:tcW w:w="1044" w:type="pct"/>
            <w:gridSpan w:val="3"/>
            <w:vAlign w:val="center"/>
          </w:tcPr>
          <w:p w14:paraId="3B0F233C">
            <w:pPr>
              <w:widowControl/>
              <w:snapToGrid w:val="0"/>
              <w:spacing w:line="240" w:lineRule="auto"/>
              <w:ind w:firstLine="0" w:firstLineChars="0"/>
              <w:jc w:val="center"/>
              <w:rPr>
                <w:rFonts w:cs="Times New Roman"/>
                <w:kern w:val="0"/>
                <w:sz w:val="21"/>
                <w:szCs w:val="21"/>
              </w:rPr>
            </w:pPr>
            <w:r>
              <w:rPr>
                <w:rFonts w:cs="Times New Roman"/>
                <w:kern w:val="0"/>
                <w:sz w:val="21"/>
                <w:szCs w:val="21"/>
              </w:rPr>
              <w:t>国家标准</w:t>
            </w:r>
            <w:r>
              <w:rPr>
                <w:rFonts w:hint="eastAsia" w:cs="Times New Roman"/>
                <w:kern w:val="0"/>
                <w:sz w:val="21"/>
                <w:szCs w:val="21"/>
              </w:rPr>
              <w:t>☑</w:t>
            </w:r>
          </w:p>
        </w:tc>
        <w:tc>
          <w:tcPr>
            <w:tcW w:w="1178" w:type="pct"/>
            <w:gridSpan w:val="5"/>
            <w:vAlign w:val="center"/>
          </w:tcPr>
          <w:p w14:paraId="74490B06">
            <w:pPr>
              <w:snapToGrid w:val="0"/>
              <w:spacing w:line="240" w:lineRule="auto"/>
              <w:ind w:firstLine="0" w:firstLineChars="0"/>
              <w:jc w:val="center"/>
              <w:rPr>
                <w:rFonts w:cs="Times New Roman"/>
                <w:kern w:val="0"/>
                <w:sz w:val="21"/>
                <w:szCs w:val="21"/>
              </w:rPr>
            </w:pPr>
            <w:r>
              <w:rPr>
                <w:rFonts w:cs="Times New Roman"/>
                <w:kern w:val="0"/>
                <w:sz w:val="21"/>
                <w:szCs w:val="21"/>
              </w:rPr>
              <w:t>地方标准</w:t>
            </w:r>
            <w:r>
              <w:rPr>
                <w:rFonts w:hint="eastAsia" w:cs="Times New Roman"/>
                <w:kern w:val="0"/>
                <w:sz w:val="21"/>
                <w:szCs w:val="21"/>
              </w:rPr>
              <w:t>□</w:t>
            </w:r>
          </w:p>
        </w:tc>
        <w:tc>
          <w:tcPr>
            <w:tcW w:w="1369" w:type="pct"/>
            <w:gridSpan w:val="3"/>
            <w:vAlign w:val="center"/>
          </w:tcPr>
          <w:p w14:paraId="2A07E60F">
            <w:pPr>
              <w:widowControl/>
              <w:snapToGrid w:val="0"/>
              <w:spacing w:line="240" w:lineRule="auto"/>
              <w:ind w:firstLine="0" w:firstLineChars="0"/>
              <w:jc w:val="center"/>
              <w:rPr>
                <w:rFonts w:cs="Times New Roman"/>
                <w:kern w:val="0"/>
                <w:sz w:val="21"/>
                <w:szCs w:val="21"/>
              </w:rPr>
            </w:pPr>
            <w:r>
              <w:rPr>
                <w:rFonts w:cs="Times New Roman"/>
                <w:kern w:val="0"/>
                <w:sz w:val="21"/>
                <w:szCs w:val="21"/>
              </w:rPr>
              <w:t>国外标准</w:t>
            </w:r>
            <w:r>
              <w:rPr>
                <w:rFonts w:hint="eastAsia" w:cs="Times New Roman"/>
                <w:kern w:val="0"/>
                <w:sz w:val="21"/>
                <w:szCs w:val="21"/>
              </w:rPr>
              <w:t>□</w:t>
            </w:r>
          </w:p>
        </w:tc>
      </w:tr>
      <w:tr w14:paraId="0B8B2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53" w:type="pct"/>
            <w:vMerge w:val="restart"/>
            <w:vAlign w:val="center"/>
          </w:tcPr>
          <w:p w14:paraId="4DDED3D1">
            <w:pPr>
              <w:widowControl/>
              <w:snapToGrid w:val="0"/>
              <w:spacing w:line="240" w:lineRule="auto"/>
              <w:ind w:firstLine="0" w:firstLineChars="0"/>
              <w:jc w:val="center"/>
              <w:rPr>
                <w:rFonts w:cs="Times New Roman"/>
                <w:kern w:val="0"/>
                <w:sz w:val="21"/>
                <w:szCs w:val="21"/>
              </w:rPr>
            </w:pPr>
            <w:r>
              <w:rPr>
                <w:rFonts w:cs="Times New Roman"/>
                <w:kern w:val="0"/>
                <w:sz w:val="21"/>
                <w:szCs w:val="21"/>
              </w:rPr>
              <w:t>现状评价</w:t>
            </w:r>
          </w:p>
        </w:tc>
        <w:tc>
          <w:tcPr>
            <w:tcW w:w="853" w:type="pct"/>
            <w:vAlign w:val="center"/>
          </w:tcPr>
          <w:p w14:paraId="47717BB0">
            <w:pPr>
              <w:widowControl/>
              <w:snapToGrid w:val="0"/>
              <w:spacing w:line="240" w:lineRule="auto"/>
              <w:ind w:firstLine="0" w:firstLineChars="0"/>
              <w:jc w:val="center"/>
              <w:rPr>
                <w:rFonts w:cs="Times New Roman"/>
                <w:kern w:val="0"/>
                <w:sz w:val="21"/>
                <w:szCs w:val="21"/>
              </w:rPr>
            </w:pPr>
            <w:r>
              <w:rPr>
                <w:rFonts w:cs="Times New Roman"/>
                <w:kern w:val="0"/>
                <w:sz w:val="21"/>
                <w:szCs w:val="21"/>
              </w:rPr>
              <w:t>评价功能区</w:t>
            </w:r>
          </w:p>
        </w:tc>
        <w:tc>
          <w:tcPr>
            <w:tcW w:w="528" w:type="pct"/>
            <w:vAlign w:val="center"/>
          </w:tcPr>
          <w:p w14:paraId="3A827ACC">
            <w:pPr>
              <w:widowControl/>
              <w:snapToGrid w:val="0"/>
              <w:spacing w:line="240" w:lineRule="auto"/>
              <w:ind w:firstLine="0" w:firstLineChars="0"/>
              <w:jc w:val="center"/>
              <w:rPr>
                <w:rFonts w:cs="Times New Roman"/>
                <w:kern w:val="0"/>
                <w:sz w:val="21"/>
                <w:szCs w:val="21"/>
              </w:rPr>
            </w:pPr>
            <w:r>
              <w:rPr>
                <w:rFonts w:cs="Times New Roman"/>
                <w:kern w:val="0"/>
                <w:sz w:val="21"/>
                <w:szCs w:val="21"/>
              </w:rPr>
              <w:t>0类区</w:t>
            </w:r>
            <w:r>
              <w:rPr>
                <w:rFonts w:hint="eastAsia" w:cs="Times New Roman"/>
                <w:kern w:val="0"/>
                <w:sz w:val="21"/>
                <w:szCs w:val="21"/>
              </w:rPr>
              <w:t>□</w:t>
            </w:r>
          </w:p>
        </w:tc>
        <w:tc>
          <w:tcPr>
            <w:tcW w:w="516" w:type="pct"/>
            <w:gridSpan w:val="2"/>
            <w:vAlign w:val="center"/>
          </w:tcPr>
          <w:p w14:paraId="372FE649">
            <w:pPr>
              <w:widowControl/>
              <w:snapToGrid w:val="0"/>
              <w:spacing w:line="240" w:lineRule="auto"/>
              <w:ind w:firstLine="0" w:firstLineChars="0"/>
              <w:jc w:val="center"/>
              <w:rPr>
                <w:rFonts w:cs="Times New Roman"/>
                <w:kern w:val="0"/>
                <w:sz w:val="21"/>
                <w:szCs w:val="21"/>
              </w:rPr>
            </w:pPr>
            <w:r>
              <w:rPr>
                <w:rFonts w:cs="Times New Roman"/>
                <w:kern w:val="0"/>
                <w:sz w:val="21"/>
                <w:szCs w:val="21"/>
              </w:rPr>
              <w:t>1类区</w:t>
            </w:r>
            <w:r>
              <w:rPr>
                <w:rFonts w:hint="eastAsia" w:cs="Times New Roman"/>
                <w:kern w:val="0"/>
                <w:sz w:val="21"/>
                <w:szCs w:val="21"/>
              </w:rPr>
              <w:t>□</w:t>
            </w:r>
          </w:p>
        </w:tc>
        <w:tc>
          <w:tcPr>
            <w:tcW w:w="589" w:type="pct"/>
            <w:vAlign w:val="center"/>
          </w:tcPr>
          <w:p w14:paraId="169522DB">
            <w:pPr>
              <w:widowControl/>
              <w:snapToGrid w:val="0"/>
              <w:spacing w:line="240" w:lineRule="auto"/>
              <w:ind w:firstLine="0" w:firstLineChars="0"/>
              <w:jc w:val="center"/>
              <w:rPr>
                <w:rFonts w:cs="Times New Roman"/>
                <w:kern w:val="0"/>
                <w:sz w:val="21"/>
                <w:szCs w:val="21"/>
              </w:rPr>
            </w:pPr>
            <w:r>
              <w:rPr>
                <w:rFonts w:cs="Times New Roman"/>
                <w:kern w:val="0"/>
                <w:sz w:val="21"/>
                <w:szCs w:val="21"/>
              </w:rPr>
              <w:t>2类区</w:t>
            </w:r>
            <w:r>
              <w:rPr>
                <w:rFonts w:ascii="Wingdings 2" w:hAnsi="Wingdings 2" w:cs="Times New Roman"/>
                <w:kern w:val="0"/>
                <w:sz w:val="21"/>
                <w:szCs w:val="21"/>
              </w:rPr>
              <w:t>□</w:t>
            </w:r>
          </w:p>
        </w:tc>
        <w:tc>
          <w:tcPr>
            <w:tcW w:w="589" w:type="pct"/>
            <w:gridSpan w:val="4"/>
            <w:vAlign w:val="center"/>
          </w:tcPr>
          <w:p w14:paraId="2468BD24">
            <w:pPr>
              <w:widowControl/>
              <w:snapToGrid w:val="0"/>
              <w:spacing w:line="240" w:lineRule="auto"/>
              <w:ind w:firstLine="0" w:firstLineChars="0"/>
              <w:jc w:val="center"/>
              <w:rPr>
                <w:rFonts w:cs="Times New Roman"/>
                <w:kern w:val="0"/>
                <w:sz w:val="21"/>
                <w:szCs w:val="21"/>
              </w:rPr>
            </w:pPr>
            <w:r>
              <w:rPr>
                <w:rFonts w:cs="Times New Roman"/>
                <w:kern w:val="0"/>
                <w:sz w:val="21"/>
                <w:szCs w:val="21"/>
              </w:rPr>
              <w:t>3类区</w:t>
            </w:r>
            <w:r>
              <w:rPr>
                <w:rFonts w:hint="eastAsia" w:cs="Times New Roman"/>
                <w:kern w:val="0"/>
                <w:sz w:val="21"/>
                <w:szCs w:val="21"/>
              </w:rPr>
              <w:t>☑</w:t>
            </w:r>
          </w:p>
        </w:tc>
        <w:tc>
          <w:tcPr>
            <w:tcW w:w="694" w:type="pct"/>
            <w:gridSpan w:val="2"/>
            <w:vAlign w:val="center"/>
          </w:tcPr>
          <w:p w14:paraId="6D9A098A">
            <w:pPr>
              <w:widowControl/>
              <w:snapToGrid w:val="0"/>
              <w:spacing w:line="240" w:lineRule="auto"/>
              <w:ind w:firstLine="0" w:firstLineChars="0"/>
              <w:jc w:val="center"/>
              <w:rPr>
                <w:rFonts w:cs="Times New Roman"/>
                <w:kern w:val="0"/>
                <w:sz w:val="21"/>
                <w:szCs w:val="21"/>
              </w:rPr>
            </w:pPr>
            <w:r>
              <w:rPr>
                <w:rFonts w:cs="Times New Roman"/>
                <w:kern w:val="0"/>
                <w:sz w:val="21"/>
                <w:szCs w:val="21"/>
              </w:rPr>
              <w:t>4a类区</w:t>
            </w:r>
            <w:r>
              <w:rPr>
                <w:rFonts w:hint="eastAsia" w:cs="Times New Roman"/>
                <w:kern w:val="0"/>
                <w:sz w:val="21"/>
                <w:szCs w:val="21"/>
              </w:rPr>
              <w:t>☑</w:t>
            </w:r>
          </w:p>
        </w:tc>
        <w:tc>
          <w:tcPr>
            <w:tcW w:w="674" w:type="pct"/>
            <w:vAlign w:val="center"/>
          </w:tcPr>
          <w:p w14:paraId="519D1E02">
            <w:pPr>
              <w:widowControl/>
              <w:snapToGrid w:val="0"/>
              <w:spacing w:line="240" w:lineRule="auto"/>
              <w:ind w:firstLine="0" w:firstLineChars="0"/>
              <w:jc w:val="center"/>
              <w:rPr>
                <w:rFonts w:cs="Times New Roman"/>
                <w:kern w:val="0"/>
                <w:sz w:val="21"/>
                <w:szCs w:val="21"/>
              </w:rPr>
            </w:pPr>
            <w:r>
              <w:rPr>
                <w:rFonts w:cs="Times New Roman"/>
                <w:kern w:val="0"/>
                <w:sz w:val="21"/>
                <w:szCs w:val="21"/>
              </w:rPr>
              <w:t>4b类区</w:t>
            </w:r>
            <w:r>
              <w:rPr>
                <w:rFonts w:hint="eastAsia" w:cs="Times New Roman"/>
                <w:kern w:val="0"/>
                <w:sz w:val="21"/>
                <w:szCs w:val="21"/>
              </w:rPr>
              <w:t>□</w:t>
            </w:r>
          </w:p>
        </w:tc>
      </w:tr>
      <w:tr w14:paraId="60C77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53" w:type="pct"/>
            <w:vMerge w:val="continue"/>
            <w:vAlign w:val="center"/>
          </w:tcPr>
          <w:p w14:paraId="79FC307B">
            <w:pPr>
              <w:widowControl/>
              <w:snapToGrid w:val="0"/>
              <w:spacing w:line="240" w:lineRule="auto"/>
              <w:ind w:firstLine="0" w:firstLineChars="0"/>
              <w:jc w:val="left"/>
              <w:rPr>
                <w:rFonts w:cs="Times New Roman"/>
                <w:kern w:val="0"/>
                <w:sz w:val="21"/>
                <w:szCs w:val="21"/>
              </w:rPr>
            </w:pPr>
          </w:p>
        </w:tc>
        <w:tc>
          <w:tcPr>
            <w:tcW w:w="853" w:type="pct"/>
            <w:vAlign w:val="center"/>
          </w:tcPr>
          <w:p w14:paraId="648DD634">
            <w:pPr>
              <w:widowControl/>
              <w:snapToGrid w:val="0"/>
              <w:spacing w:line="240" w:lineRule="auto"/>
              <w:ind w:firstLine="0" w:firstLineChars="0"/>
              <w:jc w:val="center"/>
              <w:rPr>
                <w:rFonts w:cs="Times New Roman"/>
                <w:kern w:val="0"/>
                <w:sz w:val="21"/>
                <w:szCs w:val="21"/>
              </w:rPr>
            </w:pPr>
            <w:r>
              <w:rPr>
                <w:rFonts w:cs="Times New Roman"/>
                <w:kern w:val="0"/>
                <w:sz w:val="21"/>
                <w:szCs w:val="21"/>
              </w:rPr>
              <w:t>评价年度</w:t>
            </w:r>
          </w:p>
        </w:tc>
        <w:tc>
          <w:tcPr>
            <w:tcW w:w="877" w:type="pct"/>
            <w:gridSpan w:val="2"/>
            <w:vAlign w:val="center"/>
          </w:tcPr>
          <w:p w14:paraId="110906B1">
            <w:pPr>
              <w:widowControl/>
              <w:snapToGrid w:val="0"/>
              <w:spacing w:line="240" w:lineRule="auto"/>
              <w:ind w:firstLine="0" w:firstLineChars="0"/>
              <w:jc w:val="center"/>
              <w:rPr>
                <w:rFonts w:cs="Times New Roman"/>
                <w:kern w:val="0"/>
                <w:sz w:val="21"/>
                <w:szCs w:val="21"/>
              </w:rPr>
            </w:pPr>
            <w:r>
              <w:rPr>
                <w:rFonts w:cs="Times New Roman"/>
                <w:kern w:val="0"/>
                <w:sz w:val="21"/>
                <w:szCs w:val="21"/>
              </w:rPr>
              <w:t>初期</w:t>
            </w:r>
            <w:r>
              <w:rPr>
                <w:rFonts w:hint="eastAsia" w:cs="Times New Roman"/>
                <w:kern w:val="0"/>
                <w:sz w:val="21"/>
                <w:szCs w:val="21"/>
              </w:rPr>
              <w:t>□</w:t>
            </w:r>
          </w:p>
        </w:tc>
        <w:tc>
          <w:tcPr>
            <w:tcW w:w="877" w:type="pct"/>
            <w:gridSpan w:val="4"/>
            <w:vAlign w:val="center"/>
          </w:tcPr>
          <w:p w14:paraId="0BA515FC">
            <w:pPr>
              <w:widowControl/>
              <w:snapToGrid w:val="0"/>
              <w:spacing w:line="240" w:lineRule="auto"/>
              <w:ind w:firstLine="0" w:firstLineChars="0"/>
              <w:jc w:val="center"/>
              <w:rPr>
                <w:rFonts w:cs="Times New Roman"/>
                <w:kern w:val="0"/>
                <w:sz w:val="21"/>
                <w:szCs w:val="21"/>
              </w:rPr>
            </w:pPr>
            <w:r>
              <w:rPr>
                <w:rFonts w:cs="Times New Roman"/>
                <w:kern w:val="0"/>
                <w:sz w:val="21"/>
                <w:szCs w:val="21"/>
              </w:rPr>
              <w:t>近期</w:t>
            </w:r>
            <w:r>
              <w:rPr>
                <w:rFonts w:ascii="Wingdings 2" w:hAnsi="Wingdings 2" w:cs="Times New Roman"/>
                <w:kern w:val="0"/>
                <w:sz w:val="21"/>
                <w:szCs w:val="21"/>
              </w:rPr>
              <w:t>□</w:t>
            </w:r>
          </w:p>
        </w:tc>
        <w:tc>
          <w:tcPr>
            <w:tcW w:w="467" w:type="pct"/>
            <w:gridSpan w:val="2"/>
            <w:vAlign w:val="center"/>
          </w:tcPr>
          <w:p w14:paraId="7181686A">
            <w:pPr>
              <w:widowControl/>
              <w:snapToGrid w:val="0"/>
              <w:spacing w:line="240" w:lineRule="auto"/>
              <w:ind w:firstLine="0" w:firstLineChars="0"/>
              <w:jc w:val="center"/>
              <w:rPr>
                <w:rFonts w:cs="Times New Roman"/>
                <w:kern w:val="0"/>
                <w:sz w:val="21"/>
                <w:szCs w:val="21"/>
              </w:rPr>
            </w:pPr>
            <w:r>
              <w:rPr>
                <w:rFonts w:cs="Times New Roman"/>
                <w:kern w:val="0"/>
                <w:sz w:val="21"/>
                <w:szCs w:val="21"/>
              </w:rPr>
              <w:t>中期</w:t>
            </w:r>
            <w:r>
              <w:rPr>
                <w:rFonts w:hint="eastAsia" w:cs="Times New Roman"/>
                <w:kern w:val="0"/>
                <w:sz w:val="21"/>
                <w:szCs w:val="21"/>
              </w:rPr>
              <w:t>□</w:t>
            </w:r>
          </w:p>
        </w:tc>
        <w:tc>
          <w:tcPr>
            <w:tcW w:w="1369" w:type="pct"/>
            <w:gridSpan w:val="3"/>
            <w:vAlign w:val="center"/>
          </w:tcPr>
          <w:p w14:paraId="00D14EFB">
            <w:pPr>
              <w:widowControl/>
              <w:snapToGrid w:val="0"/>
              <w:spacing w:line="240" w:lineRule="auto"/>
              <w:ind w:firstLine="0" w:firstLineChars="0"/>
              <w:jc w:val="center"/>
              <w:rPr>
                <w:rFonts w:cs="Times New Roman"/>
                <w:kern w:val="0"/>
                <w:sz w:val="21"/>
                <w:szCs w:val="21"/>
              </w:rPr>
            </w:pPr>
            <w:r>
              <w:rPr>
                <w:rFonts w:cs="Times New Roman"/>
                <w:kern w:val="0"/>
                <w:sz w:val="21"/>
                <w:szCs w:val="21"/>
              </w:rPr>
              <w:t>远期</w:t>
            </w:r>
            <w:r>
              <w:rPr>
                <w:rFonts w:hint="eastAsia" w:cs="Times New Roman"/>
                <w:kern w:val="0"/>
                <w:sz w:val="21"/>
                <w:szCs w:val="21"/>
              </w:rPr>
              <w:t>□</w:t>
            </w:r>
          </w:p>
        </w:tc>
      </w:tr>
      <w:tr w14:paraId="29B21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53" w:type="pct"/>
            <w:vMerge w:val="continue"/>
            <w:vAlign w:val="center"/>
          </w:tcPr>
          <w:p w14:paraId="29D3CEAE">
            <w:pPr>
              <w:widowControl/>
              <w:snapToGrid w:val="0"/>
              <w:spacing w:line="240" w:lineRule="auto"/>
              <w:ind w:firstLine="0" w:firstLineChars="0"/>
              <w:jc w:val="left"/>
              <w:rPr>
                <w:rFonts w:cs="Times New Roman"/>
                <w:kern w:val="0"/>
                <w:sz w:val="21"/>
                <w:szCs w:val="21"/>
              </w:rPr>
            </w:pPr>
          </w:p>
        </w:tc>
        <w:tc>
          <w:tcPr>
            <w:tcW w:w="853" w:type="pct"/>
            <w:vAlign w:val="center"/>
          </w:tcPr>
          <w:p w14:paraId="4CDA59CA">
            <w:pPr>
              <w:widowControl/>
              <w:snapToGrid w:val="0"/>
              <w:spacing w:line="240" w:lineRule="auto"/>
              <w:ind w:firstLine="0" w:firstLineChars="0"/>
              <w:jc w:val="center"/>
              <w:rPr>
                <w:rFonts w:cs="Times New Roman"/>
                <w:kern w:val="0"/>
                <w:sz w:val="21"/>
                <w:szCs w:val="21"/>
              </w:rPr>
            </w:pPr>
            <w:r>
              <w:rPr>
                <w:rFonts w:cs="Times New Roman"/>
                <w:kern w:val="0"/>
                <w:sz w:val="21"/>
                <w:szCs w:val="21"/>
              </w:rPr>
              <w:t>现状调查方法</w:t>
            </w:r>
          </w:p>
        </w:tc>
        <w:tc>
          <w:tcPr>
            <w:tcW w:w="3592" w:type="pct"/>
            <w:gridSpan w:val="11"/>
            <w:vAlign w:val="center"/>
          </w:tcPr>
          <w:p w14:paraId="10C72824">
            <w:pPr>
              <w:widowControl/>
              <w:snapToGrid w:val="0"/>
              <w:spacing w:line="240" w:lineRule="auto"/>
              <w:ind w:firstLine="210" w:firstLineChars="100"/>
              <w:rPr>
                <w:rFonts w:cs="Times New Roman"/>
                <w:kern w:val="0"/>
                <w:sz w:val="21"/>
                <w:szCs w:val="21"/>
              </w:rPr>
            </w:pPr>
            <w:r>
              <w:rPr>
                <w:rFonts w:cs="Times New Roman"/>
                <w:kern w:val="0"/>
                <w:sz w:val="21"/>
                <w:szCs w:val="21"/>
              </w:rPr>
              <w:t>现场实测法</w:t>
            </w:r>
            <w:r>
              <w:rPr>
                <w:rFonts w:hint="eastAsia" w:cs="Times New Roman"/>
                <w:kern w:val="0"/>
                <w:sz w:val="21"/>
                <w:szCs w:val="21"/>
              </w:rPr>
              <w:t xml:space="preserve">☑    </w:t>
            </w:r>
            <w:r>
              <w:rPr>
                <w:rFonts w:cs="Times New Roman"/>
                <w:kern w:val="0"/>
                <w:sz w:val="21"/>
                <w:szCs w:val="21"/>
              </w:rPr>
              <w:t>现场实测加模型计算法</w:t>
            </w:r>
            <w:r>
              <w:rPr>
                <w:rFonts w:hint="eastAsia" w:cs="Times New Roman"/>
                <w:kern w:val="0"/>
                <w:sz w:val="21"/>
                <w:szCs w:val="21"/>
              </w:rPr>
              <w:t xml:space="preserve">□     </w:t>
            </w:r>
            <w:r>
              <w:rPr>
                <w:rFonts w:cs="Times New Roman"/>
                <w:kern w:val="0"/>
                <w:sz w:val="21"/>
                <w:szCs w:val="21"/>
              </w:rPr>
              <w:t>收集资料</w:t>
            </w:r>
            <w:r>
              <w:rPr>
                <w:rFonts w:hint="eastAsia" w:cs="Times New Roman"/>
                <w:kern w:val="0"/>
                <w:sz w:val="21"/>
                <w:szCs w:val="21"/>
              </w:rPr>
              <w:t>□</w:t>
            </w:r>
          </w:p>
        </w:tc>
      </w:tr>
      <w:tr w14:paraId="7C746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53" w:type="pct"/>
            <w:vMerge w:val="continue"/>
            <w:vAlign w:val="center"/>
          </w:tcPr>
          <w:p w14:paraId="7F32C25E">
            <w:pPr>
              <w:widowControl/>
              <w:snapToGrid w:val="0"/>
              <w:spacing w:line="240" w:lineRule="auto"/>
              <w:ind w:firstLine="0" w:firstLineChars="0"/>
              <w:jc w:val="left"/>
              <w:rPr>
                <w:rFonts w:cs="Times New Roman"/>
                <w:kern w:val="0"/>
                <w:sz w:val="21"/>
                <w:szCs w:val="21"/>
              </w:rPr>
            </w:pPr>
          </w:p>
        </w:tc>
        <w:tc>
          <w:tcPr>
            <w:tcW w:w="853" w:type="pct"/>
            <w:vAlign w:val="center"/>
          </w:tcPr>
          <w:p w14:paraId="08BF773C">
            <w:pPr>
              <w:widowControl/>
              <w:snapToGrid w:val="0"/>
              <w:spacing w:line="240" w:lineRule="auto"/>
              <w:ind w:firstLine="0" w:firstLineChars="0"/>
              <w:jc w:val="center"/>
              <w:rPr>
                <w:rFonts w:cs="Times New Roman"/>
                <w:kern w:val="0"/>
                <w:sz w:val="21"/>
                <w:szCs w:val="21"/>
              </w:rPr>
            </w:pPr>
            <w:r>
              <w:rPr>
                <w:rFonts w:cs="Times New Roman"/>
                <w:kern w:val="0"/>
                <w:sz w:val="21"/>
                <w:szCs w:val="21"/>
              </w:rPr>
              <w:t>现状评价</w:t>
            </w:r>
          </w:p>
        </w:tc>
        <w:tc>
          <w:tcPr>
            <w:tcW w:w="1732" w:type="pct"/>
            <w:gridSpan w:val="5"/>
            <w:vAlign w:val="center"/>
          </w:tcPr>
          <w:p w14:paraId="1B740EE6">
            <w:pPr>
              <w:widowControl/>
              <w:snapToGrid w:val="0"/>
              <w:spacing w:line="240" w:lineRule="auto"/>
              <w:ind w:firstLine="0" w:firstLineChars="0"/>
              <w:jc w:val="center"/>
              <w:rPr>
                <w:rFonts w:cs="Times New Roman"/>
                <w:kern w:val="0"/>
                <w:sz w:val="21"/>
                <w:szCs w:val="21"/>
              </w:rPr>
            </w:pPr>
            <w:r>
              <w:rPr>
                <w:rFonts w:cs="Times New Roman"/>
                <w:kern w:val="0"/>
                <w:sz w:val="21"/>
                <w:szCs w:val="21"/>
              </w:rPr>
              <w:t>达标百分比</w:t>
            </w:r>
          </w:p>
        </w:tc>
        <w:tc>
          <w:tcPr>
            <w:tcW w:w="1860" w:type="pct"/>
            <w:gridSpan w:val="6"/>
            <w:vAlign w:val="center"/>
          </w:tcPr>
          <w:p w14:paraId="3B1BB6ED">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rPr>
              <w:t>100%</w:t>
            </w:r>
          </w:p>
        </w:tc>
      </w:tr>
      <w:tr w14:paraId="2D6D6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53" w:type="pct"/>
            <w:vAlign w:val="center"/>
          </w:tcPr>
          <w:p w14:paraId="0A02098E">
            <w:pPr>
              <w:widowControl/>
              <w:snapToGrid w:val="0"/>
              <w:spacing w:line="240" w:lineRule="auto"/>
              <w:ind w:firstLine="0" w:firstLineChars="0"/>
              <w:jc w:val="center"/>
              <w:rPr>
                <w:rFonts w:cs="Times New Roman"/>
                <w:kern w:val="0"/>
                <w:sz w:val="21"/>
                <w:szCs w:val="21"/>
              </w:rPr>
            </w:pPr>
            <w:r>
              <w:rPr>
                <w:rFonts w:cs="Times New Roman"/>
                <w:kern w:val="0"/>
                <w:sz w:val="21"/>
                <w:szCs w:val="21"/>
              </w:rPr>
              <w:t>噪声源调查</w:t>
            </w:r>
          </w:p>
        </w:tc>
        <w:tc>
          <w:tcPr>
            <w:tcW w:w="853" w:type="pct"/>
            <w:vAlign w:val="center"/>
          </w:tcPr>
          <w:p w14:paraId="625428BB">
            <w:pPr>
              <w:widowControl/>
              <w:snapToGrid w:val="0"/>
              <w:spacing w:line="240" w:lineRule="auto"/>
              <w:ind w:firstLine="0" w:firstLineChars="0"/>
              <w:jc w:val="center"/>
              <w:rPr>
                <w:rFonts w:cs="Times New Roman"/>
                <w:kern w:val="0"/>
                <w:sz w:val="21"/>
                <w:szCs w:val="21"/>
              </w:rPr>
            </w:pPr>
            <w:r>
              <w:rPr>
                <w:rFonts w:cs="Times New Roman"/>
                <w:kern w:val="0"/>
                <w:sz w:val="21"/>
                <w:szCs w:val="21"/>
              </w:rPr>
              <w:t>噪声源调查方法</w:t>
            </w:r>
          </w:p>
        </w:tc>
        <w:tc>
          <w:tcPr>
            <w:tcW w:w="3592" w:type="pct"/>
            <w:gridSpan w:val="11"/>
            <w:vAlign w:val="center"/>
          </w:tcPr>
          <w:p w14:paraId="21B59262">
            <w:pPr>
              <w:snapToGrid w:val="0"/>
              <w:spacing w:line="240" w:lineRule="auto"/>
              <w:ind w:firstLine="0" w:firstLineChars="0"/>
              <w:rPr>
                <w:rFonts w:cs="Times New Roman"/>
                <w:kern w:val="0"/>
                <w:sz w:val="21"/>
                <w:szCs w:val="21"/>
              </w:rPr>
            </w:pPr>
            <w:r>
              <w:rPr>
                <w:rFonts w:cs="Times New Roman"/>
                <w:kern w:val="0"/>
                <w:sz w:val="21"/>
                <w:szCs w:val="21"/>
              </w:rPr>
              <w:t>现场实测</w:t>
            </w:r>
            <w:r>
              <w:rPr>
                <w:rFonts w:hint="eastAsia" w:cs="Times New Roman"/>
                <w:kern w:val="0"/>
                <w:sz w:val="21"/>
                <w:szCs w:val="21"/>
              </w:rPr>
              <w:t xml:space="preserve">□              </w:t>
            </w:r>
            <w:r>
              <w:rPr>
                <w:rFonts w:cs="Times New Roman"/>
                <w:kern w:val="0"/>
                <w:sz w:val="21"/>
                <w:szCs w:val="21"/>
              </w:rPr>
              <w:t>已有资料</w:t>
            </w:r>
            <w:r>
              <w:rPr>
                <w:rFonts w:ascii="Wingdings 2" w:hAnsi="Wingdings 2" w:cs="Times New Roman"/>
                <w:kern w:val="0"/>
                <w:sz w:val="21"/>
                <w:szCs w:val="21"/>
              </w:rPr>
              <w:t>☑</w:t>
            </w:r>
            <w:r>
              <w:rPr>
                <w:rFonts w:hint="eastAsia" w:cs="Times New Roman"/>
                <w:kern w:val="0"/>
                <w:sz w:val="21"/>
                <w:szCs w:val="21"/>
              </w:rPr>
              <w:t xml:space="preserve">           </w:t>
            </w:r>
            <w:r>
              <w:rPr>
                <w:rFonts w:cs="Times New Roman"/>
                <w:kern w:val="0"/>
                <w:sz w:val="21"/>
                <w:szCs w:val="21"/>
              </w:rPr>
              <w:t>研究成果</w:t>
            </w:r>
            <w:r>
              <w:rPr>
                <w:rFonts w:hint="eastAsia" w:cs="Times New Roman"/>
                <w:kern w:val="0"/>
                <w:sz w:val="21"/>
                <w:szCs w:val="21"/>
              </w:rPr>
              <w:t>□</w:t>
            </w:r>
          </w:p>
        </w:tc>
      </w:tr>
      <w:tr w14:paraId="6CA26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53" w:type="pct"/>
            <w:vMerge w:val="restart"/>
            <w:vAlign w:val="center"/>
          </w:tcPr>
          <w:p w14:paraId="29130C32">
            <w:pPr>
              <w:widowControl/>
              <w:snapToGrid w:val="0"/>
              <w:spacing w:line="240" w:lineRule="auto"/>
              <w:ind w:firstLine="0" w:firstLineChars="0"/>
              <w:jc w:val="center"/>
              <w:rPr>
                <w:rFonts w:cs="Times New Roman"/>
                <w:kern w:val="0"/>
                <w:sz w:val="21"/>
                <w:szCs w:val="21"/>
              </w:rPr>
            </w:pPr>
            <w:r>
              <w:rPr>
                <w:rFonts w:cs="Times New Roman"/>
                <w:kern w:val="0"/>
                <w:sz w:val="21"/>
                <w:szCs w:val="21"/>
              </w:rPr>
              <w:t>声环境影响预测与评价</w:t>
            </w:r>
          </w:p>
        </w:tc>
        <w:tc>
          <w:tcPr>
            <w:tcW w:w="853" w:type="pct"/>
            <w:vAlign w:val="center"/>
          </w:tcPr>
          <w:p w14:paraId="60FF4E32">
            <w:pPr>
              <w:widowControl/>
              <w:snapToGrid w:val="0"/>
              <w:spacing w:line="240" w:lineRule="auto"/>
              <w:ind w:firstLine="0" w:firstLineChars="0"/>
              <w:jc w:val="center"/>
              <w:rPr>
                <w:rFonts w:cs="Times New Roman"/>
                <w:kern w:val="0"/>
                <w:sz w:val="21"/>
                <w:szCs w:val="21"/>
              </w:rPr>
            </w:pPr>
            <w:r>
              <w:rPr>
                <w:rFonts w:cs="Times New Roman"/>
                <w:kern w:val="0"/>
                <w:sz w:val="21"/>
                <w:szCs w:val="21"/>
              </w:rPr>
              <w:t>预测模型</w:t>
            </w:r>
          </w:p>
        </w:tc>
        <w:tc>
          <w:tcPr>
            <w:tcW w:w="3592" w:type="pct"/>
            <w:gridSpan w:val="11"/>
            <w:vAlign w:val="center"/>
          </w:tcPr>
          <w:p w14:paraId="016D2ACD">
            <w:pPr>
              <w:widowControl/>
              <w:snapToGrid w:val="0"/>
              <w:spacing w:line="240" w:lineRule="auto"/>
              <w:ind w:firstLine="0" w:firstLineChars="0"/>
              <w:rPr>
                <w:rFonts w:cs="Times New Roman"/>
                <w:kern w:val="0"/>
                <w:sz w:val="21"/>
                <w:szCs w:val="21"/>
              </w:rPr>
            </w:pPr>
            <w:r>
              <w:rPr>
                <w:rFonts w:cs="Times New Roman"/>
                <w:kern w:val="0"/>
                <w:sz w:val="21"/>
                <w:szCs w:val="21"/>
              </w:rPr>
              <w:t>导则推荐模型</w:t>
            </w:r>
            <w:r>
              <w:rPr>
                <w:rFonts w:ascii="Wingdings 2" w:hAnsi="Wingdings 2" w:cs="Times New Roman"/>
                <w:kern w:val="0"/>
                <w:sz w:val="21"/>
                <w:szCs w:val="21"/>
              </w:rPr>
              <w:t>☑</w:t>
            </w:r>
            <w:r>
              <w:rPr>
                <w:rFonts w:hint="eastAsia" w:cs="Times New Roman"/>
                <w:kern w:val="0"/>
                <w:sz w:val="21"/>
                <w:szCs w:val="21"/>
              </w:rPr>
              <w:t xml:space="preserve">                                  </w:t>
            </w:r>
            <w:r>
              <w:rPr>
                <w:rFonts w:cs="Times New Roman"/>
                <w:kern w:val="0"/>
                <w:sz w:val="21"/>
                <w:szCs w:val="21"/>
              </w:rPr>
              <w:t>其他</w:t>
            </w:r>
            <w:r>
              <w:rPr>
                <w:rFonts w:hint="eastAsia" w:cs="Times New Roman"/>
                <w:kern w:val="0"/>
                <w:sz w:val="21"/>
                <w:szCs w:val="21"/>
              </w:rPr>
              <w:t>□</w:t>
            </w:r>
          </w:p>
        </w:tc>
      </w:tr>
      <w:tr w14:paraId="591A9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53" w:type="pct"/>
            <w:vMerge w:val="continue"/>
            <w:vAlign w:val="bottom"/>
          </w:tcPr>
          <w:p w14:paraId="7374B366">
            <w:pPr>
              <w:snapToGrid w:val="0"/>
              <w:spacing w:line="240" w:lineRule="auto"/>
              <w:ind w:firstLine="0" w:firstLineChars="0"/>
              <w:jc w:val="left"/>
              <w:rPr>
                <w:rFonts w:cs="Times New Roman"/>
                <w:kern w:val="0"/>
                <w:sz w:val="21"/>
                <w:szCs w:val="21"/>
              </w:rPr>
            </w:pPr>
          </w:p>
        </w:tc>
        <w:tc>
          <w:tcPr>
            <w:tcW w:w="853" w:type="pct"/>
            <w:vAlign w:val="center"/>
          </w:tcPr>
          <w:p w14:paraId="6F137DD2">
            <w:pPr>
              <w:widowControl/>
              <w:snapToGrid w:val="0"/>
              <w:spacing w:line="240" w:lineRule="auto"/>
              <w:ind w:firstLine="0" w:firstLineChars="0"/>
              <w:jc w:val="center"/>
              <w:rPr>
                <w:rFonts w:cs="Times New Roman"/>
                <w:kern w:val="0"/>
                <w:sz w:val="21"/>
                <w:szCs w:val="21"/>
              </w:rPr>
            </w:pPr>
            <w:r>
              <w:rPr>
                <w:rFonts w:cs="Times New Roman"/>
                <w:kern w:val="0"/>
                <w:sz w:val="21"/>
                <w:szCs w:val="21"/>
              </w:rPr>
              <w:t>预测范围</w:t>
            </w:r>
          </w:p>
        </w:tc>
        <w:tc>
          <w:tcPr>
            <w:tcW w:w="1044" w:type="pct"/>
            <w:gridSpan w:val="3"/>
            <w:vAlign w:val="center"/>
          </w:tcPr>
          <w:p w14:paraId="78DCE32D">
            <w:pPr>
              <w:widowControl/>
              <w:snapToGrid w:val="0"/>
              <w:spacing w:line="240" w:lineRule="auto"/>
              <w:ind w:firstLine="0" w:firstLineChars="0"/>
              <w:jc w:val="center"/>
              <w:rPr>
                <w:rFonts w:cs="Times New Roman"/>
                <w:kern w:val="0"/>
                <w:sz w:val="21"/>
                <w:szCs w:val="21"/>
              </w:rPr>
            </w:pPr>
            <w:r>
              <w:rPr>
                <w:rFonts w:cs="Times New Roman"/>
                <w:kern w:val="0"/>
                <w:sz w:val="21"/>
                <w:szCs w:val="21"/>
              </w:rPr>
              <w:t>200m</w:t>
            </w:r>
            <w:r>
              <w:rPr>
                <w:rFonts w:ascii="Wingdings 2" w:hAnsi="Wingdings 2" w:cs="Times New Roman"/>
                <w:kern w:val="0"/>
                <w:sz w:val="21"/>
                <w:szCs w:val="21"/>
              </w:rPr>
              <w:t>☑</w:t>
            </w:r>
          </w:p>
        </w:tc>
        <w:tc>
          <w:tcPr>
            <w:tcW w:w="1178" w:type="pct"/>
            <w:gridSpan w:val="5"/>
            <w:vAlign w:val="center"/>
          </w:tcPr>
          <w:p w14:paraId="6C5D052E">
            <w:pPr>
              <w:widowControl/>
              <w:snapToGrid w:val="0"/>
              <w:spacing w:line="240" w:lineRule="auto"/>
              <w:ind w:firstLine="0" w:firstLineChars="0"/>
              <w:jc w:val="center"/>
              <w:rPr>
                <w:rFonts w:cs="Times New Roman"/>
                <w:kern w:val="0"/>
                <w:sz w:val="21"/>
                <w:szCs w:val="21"/>
              </w:rPr>
            </w:pPr>
            <w:r>
              <w:rPr>
                <w:rFonts w:cs="Times New Roman"/>
                <w:kern w:val="0"/>
                <w:sz w:val="21"/>
                <w:szCs w:val="21"/>
              </w:rPr>
              <w:t>大于200m</w:t>
            </w:r>
            <w:r>
              <w:rPr>
                <w:rFonts w:hint="eastAsia" w:cs="Times New Roman"/>
                <w:kern w:val="0"/>
                <w:sz w:val="21"/>
                <w:szCs w:val="21"/>
              </w:rPr>
              <w:t>□</w:t>
            </w:r>
          </w:p>
        </w:tc>
        <w:tc>
          <w:tcPr>
            <w:tcW w:w="1369" w:type="pct"/>
            <w:gridSpan w:val="3"/>
            <w:vAlign w:val="center"/>
          </w:tcPr>
          <w:p w14:paraId="6016A6D0">
            <w:pPr>
              <w:widowControl/>
              <w:snapToGrid w:val="0"/>
              <w:spacing w:line="240" w:lineRule="auto"/>
              <w:ind w:firstLine="0" w:firstLineChars="0"/>
              <w:jc w:val="center"/>
              <w:rPr>
                <w:rFonts w:cs="Times New Roman"/>
                <w:kern w:val="0"/>
                <w:sz w:val="21"/>
                <w:szCs w:val="21"/>
              </w:rPr>
            </w:pPr>
            <w:r>
              <w:rPr>
                <w:rFonts w:cs="Times New Roman"/>
                <w:kern w:val="0"/>
                <w:sz w:val="21"/>
                <w:szCs w:val="21"/>
              </w:rPr>
              <w:t>小于200m</w:t>
            </w:r>
            <w:r>
              <w:rPr>
                <w:rFonts w:hint="eastAsia" w:cs="Times New Roman"/>
                <w:kern w:val="0"/>
                <w:sz w:val="21"/>
                <w:szCs w:val="21"/>
              </w:rPr>
              <w:t>□</w:t>
            </w:r>
          </w:p>
        </w:tc>
      </w:tr>
      <w:tr w14:paraId="58837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53" w:type="pct"/>
            <w:vMerge w:val="continue"/>
            <w:noWrap/>
            <w:vAlign w:val="bottom"/>
          </w:tcPr>
          <w:p w14:paraId="0ECD3EC5">
            <w:pPr>
              <w:snapToGrid w:val="0"/>
              <w:spacing w:line="240" w:lineRule="auto"/>
              <w:ind w:firstLine="0" w:firstLineChars="0"/>
              <w:jc w:val="left"/>
              <w:rPr>
                <w:rFonts w:cs="Times New Roman"/>
                <w:kern w:val="0"/>
                <w:sz w:val="21"/>
                <w:szCs w:val="21"/>
              </w:rPr>
            </w:pPr>
          </w:p>
        </w:tc>
        <w:tc>
          <w:tcPr>
            <w:tcW w:w="853" w:type="pct"/>
            <w:vAlign w:val="center"/>
          </w:tcPr>
          <w:p w14:paraId="25BCA516">
            <w:pPr>
              <w:widowControl/>
              <w:snapToGrid w:val="0"/>
              <w:spacing w:line="240" w:lineRule="auto"/>
              <w:ind w:firstLine="0" w:firstLineChars="0"/>
              <w:jc w:val="center"/>
              <w:rPr>
                <w:rFonts w:cs="Times New Roman"/>
                <w:kern w:val="0"/>
                <w:sz w:val="21"/>
                <w:szCs w:val="21"/>
              </w:rPr>
            </w:pPr>
            <w:r>
              <w:rPr>
                <w:rFonts w:cs="Times New Roman"/>
                <w:kern w:val="0"/>
                <w:sz w:val="21"/>
                <w:szCs w:val="21"/>
              </w:rPr>
              <w:t>预测因子</w:t>
            </w:r>
          </w:p>
        </w:tc>
        <w:tc>
          <w:tcPr>
            <w:tcW w:w="3592" w:type="pct"/>
            <w:gridSpan w:val="11"/>
            <w:vAlign w:val="center"/>
          </w:tcPr>
          <w:p w14:paraId="2DD3D44C">
            <w:pPr>
              <w:snapToGrid w:val="0"/>
              <w:spacing w:line="240" w:lineRule="auto"/>
              <w:ind w:firstLine="0" w:firstLineChars="0"/>
              <w:rPr>
                <w:rFonts w:cs="Times New Roman"/>
                <w:kern w:val="0"/>
                <w:sz w:val="21"/>
                <w:szCs w:val="21"/>
              </w:rPr>
            </w:pPr>
            <w:r>
              <w:rPr>
                <w:rFonts w:cs="Times New Roman"/>
                <w:kern w:val="0"/>
                <w:sz w:val="21"/>
                <w:szCs w:val="21"/>
              </w:rPr>
              <w:t>等效连续A声级</w:t>
            </w:r>
            <w:r>
              <w:rPr>
                <w:rFonts w:ascii="Wingdings 2" w:hAnsi="Wingdings 2" w:cs="Times New Roman"/>
                <w:kern w:val="0"/>
                <w:sz w:val="21"/>
                <w:szCs w:val="21"/>
              </w:rPr>
              <w:t>☑</w:t>
            </w:r>
            <w:r>
              <w:rPr>
                <w:rFonts w:cs="Times New Roman"/>
                <w:kern w:val="0"/>
                <w:sz w:val="21"/>
                <w:szCs w:val="21"/>
              </w:rPr>
              <w:t xml:space="preserve">   最大A声级</w:t>
            </w:r>
            <w:r>
              <w:rPr>
                <w:rFonts w:hint="eastAsia" w:cs="Times New Roman"/>
                <w:kern w:val="0"/>
                <w:sz w:val="21"/>
                <w:szCs w:val="21"/>
              </w:rPr>
              <w:t>□</w:t>
            </w:r>
            <w:r>
              <w:rPr>
                <w:rFonts w:cs="Times New Roman"/>
                <w:kern w:val="0"/>
                <w:sz w:val="21"/>
                <w:szCs w:val="21"/>
              </w:rPr>
              <w:t xml:space="preserve">   计权等效连续感觉噪声级</w:t>
            </w:r>
            <w:r>
              <w:rPr>
                <w:rFonts w:hint="eastAsia" w:cs="Times New Roman"/>
                <w:kern w:val="0"/>
                <w:sz w:val="21"/>
                <w:szCs w:val="21"/>
              </w:rPr>
              <w:t>□</w:t>
            </w:r>
          </w:p>
        </w:tc>
      </w:tr>
      <w:tr w14:paraId="7170C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53" w:type="pct"/>
            <w:vMerge w:val="continue"/>
            <w:noWrap/>
            <w:vAlign w:val="bottom"/>
          </w:tcPr>
          <w:p w14:paraId="22FB7830">
            <w:pPr>
              <w:snapToGrid w:val="0"/>
              <w:spacing w:line="240" w:lineRule="auto"/>
              <w:ind w:firstLine="0" w:firstLineChars="0"/>
              <w:jc w:val="left"/>
              <w:rPr>
                <w:rFonts w:cs="Times New Roman"/>
                <w:kern w:val="0"/>
                <w:sz w:val="21"/>
                <w:szCs w:val="21"/>
              </w:rPr>
            </w:pPr>
          </w:p>
        </w:tc>
        <w:tc>
          <w:tcPr>
            <w:tcW w:w="853" w:type="pct"/>
            <w:vAlign w:val="center"/>
          </w:tcPr>
          <w:p w14:paraId="22DD068B">
            <w:pPr>
              <w:widowControl/>
              <w:snapToGrid w:val="0"/>
              <w:spacing w:line="240" w:lineRule="auto"/>
              <w:ind w:firstLine="0" w:firstLineChars="0"/>
              <w:jc w:val="center"/>
              <w:rPr>
                <w:rFonts w:cs="Times New Roman"/>
                <w:kern w:val="0"/>
                <w:sz w:val="21"/>
                <w:szCs w:val="21"/>
              </w:rPr>
            </w:pPr>
            <w:r>
              <w:rPr>
                <w:rFonts w:cs="Times New Roman"/>
                <w:kern w:val="0"/>
                <w:sz w:val="21"/>
                <w:szCs w:val="21"/>
              </w:rPr>
              <w:t>厂界噪声贡献值</w:t>
            </w:r>
          </w:p>
        </w:tc>
        <w:tc>
          <w:tcPr>
            <w:tcW w:w="3592" w:type="pct"/>
            <w:gridSpan w:val="11"/>
            <w:vAlign w:val="center"/>
          </w:tcPr>
          <w:p w14:paraId="6D08EB4C">
            <w:pPr>
              <w:widowControl/>
              <w:snapToGrid w:val="0"/>
              <w:spacing w:line="240" w:lineRule="auto"/>
              <w:ind w:firstLine="945" w:firstLineChars="450"/>
              <w:rPr>
                <w:rFonts w:cs="Times New Roman"/>
                <w:kern w:val="0"/>
                <w:sz w:val="21"/>
                <w:szCs w:val="21"/>
              </w:rPr>
            </w:pPr>
            <w:r>
              <w:rPr>
                <w:rFonts w:cs="Times New Roman"/>
                <w:kern w:val="0"/>
                <w:sz w:val="21"/>
                <w:szCs w:val="21"/>
              </w:rPr>
              <w:t>达标</w:t>
            </w:r>
            <w:r>
              <w:rPr>
                <w:rFonts w:ascii="Wingdings 2" w:hAnsi="Wingdings 2" w:cs="Times New Roman"/>
                <w:kern w:val="0"/>
                <w:sz w:val="21"/>
                <w:szCs w:val="21"/>
              </w:rPr>
              <w:t>☑</w:t>
            </w:r>
            <w:r>
              <w:rPr>
                <w:rFonts w:hint="eastAsia" w:cs="Times New Roman"/>
                <w:kern w:val="0"/>
                <w:sz w:val="21"/>
                <w:szCs w:val="21"/>
              </w:rPr>
              <w:t xml:space="preserve">                       </w:t>
            </w:r>
            <w:r>
              <w:rPr>
                <w:rFonts w:cs="Times New Roman"/>
                <w:kern w:val="0"/>
                <w:sz w:val="21"/>
                <w:szCs w:val="21"/>
              </w:rPr>
              <w:t>不达标</w:t>
            </w:r>
            <w:r>
              <w:rPr>
                <w:rFonts w:hint="eastAsia" w:cs="Times New Roman"/>
                <w:kern w:val="0"/>
                <w:sz w:val="21"/>
                <w:szCs w:val="21"/>
              </w:rPr>
              <w:t>□</w:t>
            </w:r>
          </w:p>
        </w:tc>
      </w:tr>
      <w:tr w14:paraId="2B5A6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53" w:type="pct"/>
            <w:vMerge w:val="continue"/>
            <w:noWrap/>
            <w:vAlign w:val="bottom"/>
          </w:tcPr>
          <w:p w14:paraId="637B4B5C">
            <w:pPr>
              <w:snapToGrid w:val="0"/>
              <w:spacing w:line="240" w:lineRule="auto"/>
              <w:ind w:firstLine="0" w:firstLineChars="0"/>
              <w:jc w:val="left"/>
              <w:rPr>
                <w:rFonts w:cs="Times New Roman"/>
                <w:kern w:val="0"/>
                <w:sz w:val="21"/>
                <w:szCs w:val="21"/>
              </w:rPr>
            </w:pPr>
          </w:p>
        </w:tc>
        <w:tc>
          <w:tcPr>
            <w:tcW w:w="853" w:type="pct"/>
            <w:vAlign w:val="center"/>
          </w:tcPr>
          <w:p w14:paraId="0E340583">
            <w:pPr>
              <w:widowControl/>
              <w:snapToGrid w:val="0"/>
              <w:spacing w:line="240" w:lineRule="auto"/>
              <w:ind w:firstLine="0" w:firstLineChars="0"/>
              <w:jc w:val="center"/>
              <w:rPr>
                <w:rFonts w:cs="Times New Roman"/>
                <w:kern w:val="0"/>
                <w:sz w:val="21"/>
                <w:szCs w:val="21"/>
              </w:rPr>
            </w:pPr>
            <w:r>
              <w:rPr>
                <w:rFonts w:cs="Times New Roman"/>
                <w:kern w:val="0"/>
                <w:sz w:val="21"/>
                <w:szCs w:val="21"/>
              </w:rPr>
              <w:t>声环境保护目标处噪声值</w:t>
            </w:r>
          </w:p>
        </w:tc>
        <w:tc>
          <w:tcPr>
            <w:tcW w:w="3592" w:type="pct"/>
            <w:gridSpan w:val="11"/>
            <w:vAlign w:val="center"/>
          </w:tcPr>
          <w:p w14:paraId="5E856307">
            <w:pPr>
              <w:widowControl/>
              <w:snapToGrid w:val="0"/>
              <w:spacing w:line="240" w:lineRule="auto"/>
              <w:ind w:firstLine="945" w:firstLineChars="450"/>
              <w:rPr>
                <w:rFonts w:cs="Times New Roman"/>
                <w:kern w:val="0"/>
                <w:sz w:val="21"/>
                <w:szCs w:val="21"/>
              </w:rPr>
            </w:pPr>
            <w:r>
              <w:rPr>
                <w:rFonts w:cs="Times New Roman"/>
                <w:kern w:val="0"/>
                <w:sz w:val="21"/>
                <w:szCs w:val="21"/>
              </w:rPr>
              <w:t>达标</w:t>
            </w:r>
            <w:r>
              <w:rPr>
                <w:rFonts w:hint="eastAsia" w:cs="Times New Roman"/>
                <w:kern w:val="0"/>
                <w:sz w:val="21"/>
                <w:szCs w:val="21"/>
              </w:rPr>
              <w:t xml:space="preserve">☑                       </w:t>
            </w:r>
            <w:r>
              <w:rPr>
                <w:rFonts w:cs="Times New Roman"/>
                <w:kern w:val="0"/>
                <w:sz w:val="21"/>
                <w:szCs w:val="21"/>
              </w:rPr>
              <w:t>不达标</w:t>
            </w:r>
            <w:r>
              <w:rPr>
                <w:rFonts w:hint="eastAsia" w:cs="Times New Roman"/>
                <w:kern w:val="0"/>
                <w:sz w:val="21"/>
                <w:szCs w:val="21"/>
              </w:rPr>
              <w:t>□</w:t>
            </w:r>
          </w:p>
        </w:tc>
      </w:tr>
      <w:tr w14:paraId="04EC9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53" w:type="pct"/>
            <w:vMerge w:val="restart"/>
            <w:vAlign w:val="center"/>
          </w:tcPr>
          <w:p w14:paraId="45029CAF">
            <w:pPr>
              <w:widowControl/>
              <w:snapToGrid w:val="0"/>
              <w:spacing w:line="240" w:lineRule="auto"/>
              <w:ind w:firstLine="0" w:firstLineChars="0"/>
              <w:jc w:val="center"/>
              <w:rPr>
                <w:rFonts w:cs="Times New Roman"/>
                <w:kern w:val="0"/>
                <w:sz w:val="21"/>
                <w:szCs w:val="21"/>
              </w:rPr>
            </w:pPr>
            <w:r>
              <w:rPr>
                <w:rFonts w:cs="Times New Roman"/>
                <w:kern w:val="0"/>
                <w:sz w:val="21"/>
                <w:szCs w:val="21"/>
              </w:rPr>
              <w:t>环境监测计划</w:t>
            </w:r>
          </w:p>
        </w:tc>
        <w:tc>
          <w:tcPr>
            <w:tcW w:w="853" w:type="pct"/>
            <w:vAlign w:val="center"/>
          </w:tcPr>
          <w:p w14:paraId="6E981606">
            <w:pPr>
              <w:widowControl/>
              <w:snapToGrid w:val="0"/>
              <w:spacing w:line="240" w:lineRule="auto"/>
              <w:ind w:firstLine="0" w:firstLineChars="0"/>
              <w:jc w:val="center"/>
              <w:rPr>
                <w:rFonts w:cs="Times New Roman"/>
                <w:kern w:val="0"/>
                <w:sz w:val="21"/>
                <w:szCs w:val="21"/>
              </w:rPr>
            </w:pPr>
            <w:r>
              <w:rPr>
                <w:rFonts w:cs="Times New Roman"/>
                <w:kern w:val="0"/>
                <w:sz w:val="21"/>
                <w:szCs w:val="21"/>
              </w:rPr>
              <w:t>排放监测</w:t>
            </w:r>
          </w:p>
        </w:tc>
        <w:tc>
          <w:tcPr>
            <w:tcW w:w="3592" w:type="pct"/>
            <w:gridSpan w:val="11"/>
            <w:vAlign w:val="center"/>
          </w:tcPr>
          <w:p w14:paraId="239E6A7A">
            <w:pPr>
              <w:widowControl/>
              <w:snapToGrid w:val="0"/>
              <w:spacing w:line="240" w:lineRule="auto"/>
              <w:ind w:firstLine="0" w:firstLineChars="0"/>
              <w:rPr>
                <w:rFonts w:cs="Times New Roman"/>
                <w:kern w:val="0"/>
                <w:sz w:val="21"/>
                <w:szCs w:val="21"/>
              </w:rPr>
            </w:pPr>
            <w:r>
              <w:rPr>
                <w:rFonts w:cs="Times New Roman"/>
                <w:kern w:val="0"/>
                <w:sz w:val="21"/>
                <w:szCs w:val="21"/>
              </w:rPr>
              <w:t>厂界监测</w:t>
            </w:r>
            <w:r>
              <w:rPr>
                <w:rFonts w:ascii="Wingdings 2" w:hAnsi="Wingdings 2" w:cs="Times New Roman"/>
                <w:kern w:val="0"/>
                <w:sz w:val="21"/>
                <w:szCs w:val="21"/>
              </w:rPr>
              <w:t>☑</w:t>
            </w:r>
            <w:r>
              <w:rPr>
                <w:rFonts w:cs="Times New Roman"/>
                <w:kern w:val="0"/>
                <w:sz w:val="21"/>
                <w:szCs w:val="21"/>
              </w:rPr>
              <w:t xml:space="preserve">  固定位置监测</w:t>
            </w:r>
            <w:r>
              <w:rPr>
                <w:rFonts w:hint="eastAsia" w:cs="Times New Roman"/>
                <w:kern w:val="0"/>
                <w:sz w:val="21"/>
                <w:szCs w:val="21"/>
              </w:rPr>
              <w:t>□</w:t>
            </w:r>
            <w:r>
              <w:rPr>
                <w:rFonts w:cs="Times New Roman"/>
                <w:kern w:val="0"/>
                <w:sz w:val="21"/>
                <w:szCs w:val="21"/>
              </w:rPr>
              <w:t xml:space="preserve">  自动监测</w:t>
            </w:r>
            <w:r>
              <w:rPr>
                <w:rFonts w:hint="eastAsia" w:cs="Times New Roman"/>
                <w:kern w:val="0"/>
                <w:sz w:val="21"/>
                <w:szCs w:val="21"/>
              </w:rPr>
              <w:t>□</w:t>
            </w:r>
            <w:r>
              <w:rPr>
                <w:rFonts w:cs="Times New Roman"/>
                <w:kern w:val="0"/>
                <w:sz w:val="21"/>
                <w:szCs w:val="21"/>
              </w:rPr>
              <w:t xml:space="preserve">  手动监测</w:t>
            </w:r>
            <w:r>
              <w:rPr>
                <w:rFonts w:hint="eastAsia" w:cs="Times New Roman"/>
                <w:kern w:val="0"/>
                <w:sz w:val="21"/>
                <w:szCs w:val="21"/>
              </w:rPr>
              <w:t>□</w:t>
            </w:r>
            <w:r>
              <w:rPr>
                <w:rFonts w:cs="Times New Roman"/>
                <w:kern w:val="0"/>
                <w:sz w:val="21"/>
                <w:szCs w:val="21"/>
              </w:rPr>
              <w:t xml:space="preserve">  无监测</w:t>
            </w:r>
            <w:r>
              <w:rPr>
                <w:rFonts w:hint="eastAsia" w:cs="Times New Roman"/>
                <w:kern w:val="0"/>
                <w:sz w:val="21"/>
                <w:szCs w:val="21"/>
              </w:rPr>
              <w:t>□</w:t>
            </w:r>
          </w:p>
        </w:tc>
      </w:tr>
      <w:tr w14:paraId="72C77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53" w:type="pct"/>
            <w:vMerge w:val="continue"/>
            <w:vAlign w:val="center"/>
          </w:tcPr>
          <w:p w14:paraId="54A722B3">
            <w:pPr>
              <w:widowControl/>
              <w:snapToGrid w:val="0"/>
              <w:spacing w:line="240" w:lineRule="auto"/>
              <w:ind w:firstLine="0" w:firstLineChars="0"/>
              <w:jc w:val="left"/>
              <w:rPr>
                <w:rFonts w:cs="Times New Roman"/>
                <w:kern w:val="0"/>
                <w:sz w:val="21"/>
                <w:szCs w:val="21"/>
              </w:rPr>
            </w:pPr>
          </w:p>
        </w:tc>
        <w:tc>
          <w:tcPr>
            <w:tcW w:w="853" w:type="pct"/>
            <w:vAlign w:val="center"/>
          </w:tcPr>
          <w:p w14:paraId="274ADAB7">
            <w:pPr>
              <w:widowControl/>
              <w:snapToGrid w:val="0"/>
              <w:spacing w:line="240" w:lineRule="auto"/>
              <w:ind w:firstLine="0" w:firstLineChars="0"/>
              <w:jc w:val="center"/>
              <w:rPr>
                <w:rFonts w:cs="Times New Roman"/>
                <w:kern w:val="0"/>
                <w:sz w:val="21"/>
                <w:szCs w:val="21"/>
              </w:rPr>
            </w:pPr>
            <w:r>
              <w:rPr>
                <w:rFonts w:cs="Times New Roman"/>
                <w:kern w:val="0"/>
                <w:sz w:val="21"/>
                <w:szCs w:val="21"/>
              </w:rPr>
              <w:t>声环境保护目标处噪声监测</w:t>
            </w:r>
          </w:p>
        </w:tc>
        <w:tc>
          <w:tcPr>
            <w:tcW w:w="1789" w:type="pct"/>
            <w:gridSpan w:val="7"/>
            <w:vAlign w:val="center"/>
          </w:tcPr>
          <w:p w14:paraId="062F80B1">
            <w:pPr>
              <w:widowControl/>
              <w:snapToGrid w:val="0"/>
              <w:spacing w:line="240" w:lineRule="auto"/>
              <w:ind w:firstLine="0" w:firstLineChars="0"/>
              <w:jc w:val="center"/>
              <w:rPr>
                <w:rFonts w:cs="Times New Roman"/>
                <w:kern w:val="0"/>
                <w:sz w:val="21"/>
                <w:szCs w:val="21"/>
              </w:rPr>
            </w:pPr>
            <w:r>
              <w:rPr>
                <w:rFonts w:cs="Times New Roman"/>
                <w:kern w:val="0"/>
                <w:sz w:val="21"/>
                <w:szCs w:val="21"/>
              </w:rPr>
              <w:t>监测因子：（等效连续A声级）</w:t>
            </w:r>
          </w:p>
        </w:tc>
        <w:tc>
          <w:tcPr>
            <w:tcW w:w="1013" w:type="pct"/>
            <w:gridSpan w:val="2"/>
            <w:vAlign w:val="center"/>
          </w:tcPr>
          <w:p w14:paraId="374EFC82">
            <w:pPr>
              <w:widowControl/>
              <w:snapToGrid w:val="0"/>
              <w:spacing w:line="240" w:lineRule="auto"/>
              <w:ind w:firstLine="0" w:firstLineChars="0"/>
              <w:jc w:val="center"/>
              <w:rPr>
                <w:rFonts w:cs="Times New Roman"/>
                <w:kern w:val="0"/>
                <w:sz w:val="21"/>
                <w:szCs w:val="21"/>
              </w:rPr>
            </w:pPr>
            <w:r>
              <w:rPr>
                <w:rFonts w:cs="Times New Roman"/>
                <w:kern w:val="0"/>
                <w:sz w:val="21"/>
                <w:szCs w:val="21"/>
              </w:rPr>
              <w:t>监测点位数（</w:t>
            </w:r>
            <w:r>
              <w:rPr>
                <w:rFonts w:hint="eastAsia" w:cs="Times New Roman"/>
                <w:kern w:val="0"/>
                <w:sz w:val="21"/>
                <w:szCs w:val="21"/>
              </w:rPr>
              <w:t xml:space="preserve"> 4 </w:t>
            </w:r>
            <w:r>
              <w:rPr>
                <w:rFonts w:cs="Times New Roman"/>
                <w:kern w:val="0"/>
                <w:sz w:val="21"/>
                <w:szCs w:val="21"/>
              </w:rPr>
              <w:t>）</w:t>
            </w:r>
          </w:p>
        </w:tc>
        <w:tc>
          <w:tcPr>
            <w:tcW w:w="789" w:type="pct"/>
            <w:gridSpan w:val="2"/>
            <w:vAlign w:val="center"/>
          </w:tcPr>
          <w:p w14:paraId="21CCEBE9">
            <w:pPr>
              <w:widowControl/>
              <w:snapToGrid w:val="0"/>
              <w:spacing w:line="240" w:lineRule="auto"/>
              <w:ind w:firstLine="0" w:firstLineChars="0"/>
              <w:jc w:val="center"/>
              <w:rPr>
                <w:rFonts w:cs="Times New Roman"/>
                <w:kern w:val="0"/>
                <w:sz w:val="21"/>
                <w:szCs w:val="21"/>
              </w:rPr>
            </w:pPr>
            <w:r>
              <w:rPr>
                <w:rFonts w:cs="Times New Roman"/>
                <w:kern w:val="0"/>
                <w:sz w:val="21"/>
                <w:szCs w:val="21"/>
              </w:rPr>
              <w:t>无监测</w:t>
            </w:r>
            <w:r>
              <w:rPr>
                <w:rFonts w:ascii="Wingdings 2" w:hAnsi="Wingdings 2" w:cs="Times New Roman"/>
                <w:kern w:val="0"/>
                <w:sz w:val="21"/>
                <w:szCs w:val="21"/>
              </w:rPr>
              <w:t>□</w:t>
            </w:r>
          </w:p>
        </w:tc>
      </w:tr>
      <w:tr w14:paraId="6EAE9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53" w:type="pct"/>
            <w:vAlign w:val="center"/>
          </w:tcPr>
          <w:p w14:paraId="31980A72">
            <w:pPr>
              <w:widowControl/>
              <w:snapToGrid w:val="0"/>
              <w:spacing w:line="240" w:lineRule="auto"/>
              <w:ind w:firstLine="0" w:firstLineChars="0"/>
              <w:jc w:val="center"/>
              <w:rPr>
                <w:rFonts w:cs="Times New Roman"/>
                <w:kern w:val="0"/>
                <w:sz w:val="21"/>
                <w:szCs w:val="21"/>
              </w:rPr>
            </w:pPr>
            <w:r>
              <w:rPr>
                <w:rFonts w:cs="Times New Roman"/>
                <w:kern w:val="0"/>
                <w:sz w:val="21"/>
                <w:szCs w:val="21"/>
              </w:rPr>
              <w:t>评价结论</w:t>
            </w:r>
          </w:p>
        </w:tc>
        <w:tc>
          <w:tcPr>
            <w:tcW w:w="853" w:type="pct"/>
            <w:vAlign w:val="center"/>
          </w:tcPr>
          <w:p w14:paraId="1ABFEDBE">
            <w:pPr>
              <w:widowControl/>
              <w:snapToGrid w:val="0"/>
              <w:spacing w:line="240" w:lineRule="auto"/>
              <w:ind w:firstLine="0" w:firstLineChars="0"/>
              <w:jc w:val="center"/>
              <w:rPr>
                <w:rFonts w:cs="Times New Roman"/>
                <w:kern w:val="0"/>
                <w:sz w:val="21"/>
                <w:szCs w:val="21"/>
              </w:rPr>
            </w:pPr>
            <w:r>
              <w:rPr>
                <w:rFonts w:cs="Times New Roman"/>
                <w:kern w:val="0"/>
                <w:sz w:val="21"/>
                <w:szCs w:val="21"/>
              </w:rPr>
              <w:t>环境影响</w:t>
            </w:r>
          </w:p>
        </w:tc>
        <w:tc>
          <w:tcPr>
            <w:tcW w:w="3592" w:type="pct"/>
            <w:gridSpan w:val="11"/>
            <w:vAlign w:val="center"/>
          </w:tcPr>
          <w:p w14:paraId="5F3EBA61">
            <w:pPr>
              <w:widowControl/>
              <w:snapToGrid w:val="0"/>
              <w:spacing w:line="240" w:lineRule="auto"/>
              <w:ind w:firstLine="0" w:firstLineChars="0"/>
              <w:jc w:val="center"/>
              <w:rPr>
                <w:rFonts w:cs="Times New Roman"/>
                <w:kern w:val="0"/>
                <w:sz w:val="21"/>
                <w:szCs w:val="21"/>
              </w:rPr>
            </w:pPr>
            <w:r>
              <w:rPr>
                <w:rFonts w:cs="Times New Roman"/>
                <w:kern w:val="0"/>
                <w:sz w:val="21"/>
                <w:szCs w:val="21"/>
              </w:rPr>
              <w:t>可行</w:t>
            </w:r>
            <w:r>
              <w:rPr>
                <w:rFonts w:hint="eastAsia" w:cs="Times New Roman"/>
                <w:kern w:val="0"/>
                <w:sz w:val="21"/>
                <w:szCs w:val="21"/>
              </w:rPr>
              <w:t>☑</w:t>
            </w:r>
            <w:r>
              <w:rPr>
                <w:rFonts w:cs="Times New Roman"/>
                <w:kern w:val="0"/>
                <w:sz w:val="21"/>
                <w:szCs w:val="21"/>
              </w:rPr>
              <w:t xml:space="preserve">              不可行</w:t>
            </w:r>
            <w:r>
              <w:rPr>
                <w:rFonts w:hint="eastAsia" w:cs="Times New Roman"/>
                <w:kern w:val="0"/>
                <w:sz w:val="21"/>
                <w:szCs w:val="21"/>
              </w:rPr>
              <w:t>□</w:t>
            </w:r>
          </w:p>
        </w:tc>
      </w:tr>
      <w:tr w14:paraId="7680B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000" w:type="pct"/>
            <w:gridSpan w:val="13"/>
            <w:vAlign w:val="center"/>
          </w:tcPr>
          <w:p w14:paraId="7FDDBBCE">
            <w:pPr>
              <w:widowControl/>
              <w:snapToGrid w:val="0"/>
              <w:spacing w:line="240" w:lineRule="auto"/>
              <w:ind w:firstLine="0" w:firstLineChars="0"/>
              <w:jc w:val="left"/>
              <w:rPr>
                <w:rFonts w:cs="Times New Roman"/>
                <w:kern w:val="0"/>
                <w:sz w:val="21"/>
                <w:szCs w:val="21"/>
              </w:rPr>
            </w:pPr>
            <w:r>
              <w:rPr>
                <w:rFonts w:cs="Times New Roman"/>
                <w:kern w:val="0"/>
                <w:sz w:val="21"/>
                <w:szCs w:val="21"/>
              </w:rPr>
              <w:t>注：“</w:t>
            </w:r>
            <w:r>
              <w:rPr>
                <w:rFonts w:hint="eastAsia" w:cs="Times New Roman"/>
                <w:kern w:val="0"/>
                <w:sz w:val="21"/>
                <w:szCs w:val="21"/>
              </w:rPr>
              <w:t>□</w:t>
            </w:r>
            <w:r>
              <w:rPr>
                <w:rFonts w:cs="Times New Roman"/>
                <w:kern w:val="0"/>
                <w:sz w:val="21"/>
                <w:szCs w:val="21"/>
              </w:rPr>
              <w:t>”，填“√”；“（  ）”为内容填写项</w:t>
            </w:r>
          </w:p>
        </w:tc>
      </w:tr>
    </w:tbl>
    <w:p w14:paraId="05F35D98">
      <w:pPr>
        <w:ind w:firstLine="0" w:firstLineChars="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1F4ACC2C">
      <w:pPr>
        <w:pStyle w:val="3"/>
        <w:numPr>
          <w:ilvl w:val="1"/>
          <w:numId w:val="1"/>
        </w:numPr>
      </w:pPr>
      <w:bookmarkStart w:id="258" w:name="_Toc20248"/>
      <w:bookmarkStart w:id="259" w:name="_Toc19238"/>
      <w:bookmarkStart w:id="260" w:name="_Toc27409"/>
      <w:r>
        <w:t>固体废物处理处置影响分析</w:t>
      </w:r>
      <w:bookmarkEnd w:id="258"/>
      <w:bookmarkEnd w:id="259"/>
      <w:bookmarkEnd w:id="260"/>
    </w:p>
    <w:p w14:paraId="77C37C10">
      <w:pPr>
        <w:pStyle w:val="6"/>
        <w:bidi w:val="0"/>
      </w:pPr>
      <w:bookmarkStart w:id="261" w:name="_Toc24968"/>
      <w:r>
        <w:rPr>
          <w:rFonts w:hint="eastAsia"/>
        </w:rPr>
        <w:t>固废源强和处理处置方式</w:t>
      </w:r>
      <w:bookmarkEnd w:id="261"/>
    </w:p>
    <w:p w14:paraId="2C53C195">
      <w:pPr>
        <w:ind w:firstLine="480"/>
      </w:pPr>
      <w:r>
        <w:rPr>
          <w:rFonts w:hint="eastAsia"/>
        </w:rPr>
        <w:t>①生活垃圾</w:t>
      </w:r>
    </w:p>
    <w:p w14:paraId="77D7CACE">
      <w:pPr>
        <w:ind w:firstLine="480"/>
      </w:pPr>
      <w:r>
        <w:rPr>
          <w:rFonts w:hint="eastAsia"/>
        </w:rPr>
        <w:t>本项目产生的办公生活垃圾集中收集后交市政环卫部门统一清运处置。</w:t>
      </w:r>
    </w:p>
    <w:p w14:paraId="3D0B348A">
      <w:pPr>
        <w:ind w:firstLine="480"/>
      </w:pPr>
      <w:r>
        <w:rPr>
          <w:rFonts w:hint="eastAsia"/>
        </w:rPr>
        <w:t>②一般工业固废</w:t>
      </w:r>
    </w:p>
    <w:p w14:paraId="52AE9234">
      <w:pPr>
        <w:ind w:firstLine="480"/>
      </w:pPr>
      <w:r>
        <w:rPr>
          <w:rFonts w:hint="eastAsia"/>
        </w:rPr>
        <w:t>本项目产生的一般工业固废主要有除杂滤渣、</w:t>
      </w:r>
      <w:r>
        <w:rPr>
          <w:rFonts w:hint="eastAsia"/>
          <w:lang w:eastAsia="zh-CN"/>
        </w:rPr>
        <w:t>废RO膜、废活性炭（纯水制备）</w:t>
      </w:r>
      <w:r>
        <w:rPr>
          <w:rFonts w:hint="eastAsia"/>
        </w:rPr>
        <w:t>、废电极材料、普通废包装、布袋除尘收集粉尘等。除杂滤渣交由建材厂利用，</w:t>
      </w:r>
      <w:r>
        <w:rPr>
          <w:rFonts w:hint="eastAsia"/>
          <w:lang w:eastAsia="zh-CN"/>
        </w:rPr>
        <w:t>废RO膜、废活性炭（纯水制备）</w:t>
      </w:r>
      <w:r>
        <w:rPr>
          <w:rFonts w:hint="eastAsia"/>
        </w:rPr>
        <w:t>、废电极材料交由厂家回收，普通废包装外售给回收单位利用，布袋除尘收集粉尘回用包装后外售。一般工业固废收集后暂存于一般固废暂存间，一般工业固废暂存场所的建设需满足《一般工业固体废物贮存和填埋污染控制标准》（GB18599-2020）II类暂存场所的要求。</w:t>
      </w:r>
    </w:p>
    <w:p w14:paraId="01C6A469">
      <w:pPr>
        <w:ind w:firstLine="480"/>
      </w:pPr>
      <w:r>
        <w:rPr>
          <w:rFonts w:hint="eastAsia"/>
        </w:rPr>
        <w:t>③危险废物</w:t>
      </w:r>
    </w:p>
    <w:p w14:paraId="3DB4788B">
      <w:pPr>
        <w:ind w:firstLine="480"/>
      </w:pPr>
      <w:r>
        <w:rPr>
          <w:rFonts w:hint="eastAsia"/>
        </w:rPr>
        <w:t>项目危险废物包括生产过程产生的</w:t>
      </w:r>
      <w:r>
        <w:rPr>
          <w:rFonts w:hint="eastAsia"/>
          <w:lang w:eastAsia="zh-CN"/>
        </w:rPr>
        <w:t>除铬滤渣</w:t>
      </w:r>
      <w:r>
        <w:rPr>
          <w:rFonts w:hint="eastAsia"/>
        </w:rPr>
        <w:t>、电解槽沉渣、危化品废包装、机修废物、化验室废物</w:t>
      </w:r>
      <w:r>
        <w:rPr>
          <w:rFonts w:hint="eastAsia"/>
          <w:lang w:eastAsia="zh-CN"/>
        </w:rPr>
        <w:t>、</w:t>
      </w:r>
      <w:r>
        <w:rPr>
          <w:rFonts w:hint="eastAsia"/>
          <w:lang w:val="en-US" w:eastAsia="zh-CN"/>
        </w:rPr>
        <w:t>废催化剂、废吸附剂</w:t>
      </w:r>
      <w:r>
        <w:rPr>
          <w:rFonts w:hint="eastAsia"/>
        </w:rPr>
        <w:t>等。危险废物分类收集后暂存于危废暂存间，交由有资质单位处置。危险废物暂存场所的建设需严格按照《危险废物贮存污染控制标准》（GB18597-2023）中的要求。</w:t>
      </w:r>
    </w:p>
    <w:p w14:paraId="6B3868B9">
      <w:pPr>
        <w:pStyle w:val="6"/>
        <w:bidi w:val="0"/>
      </w:pPr>
      <w:bookmarkStart w:id="262" w:name="_Toc25216"/>
      <w:r>
        <w:rPr>
          <w:rFonts w:hint="eastAsia"/>
        </w:rPr>
        <w:t>危险废物贮存场所的环境影响分析</w:t>
      </w:r>
      <w:bookmarkEnd w:id="262"/>
    </w:p>
    <w:p w14:paraId="53FAB0D3">
      <w:pPr>
        <w:ind w:firstLine="480"/>
      </w:pPr>
      <w:r>
        <w:rPr>
          <w:rFonts w:hint="eastAsia"/>
        </w:rPr>
        <w:t>危险废物暂存在厂内危废暂存间，危废暂存间严格按照《危险废物贮存污染控制标准》（GB18597-2023）中的要求建设和维护使用，危废暂存间顶部为加盖结构，即可防风、防雨、防晒。危废仓地面设置10cm厚的</w:t>
      </w:r>
      <w:r>
        <w:rPr>
          <w:rFonts w:hint="eastAsia"/>
          <w:lang w:eastAsia="zh-CN"/>
        </w:rPr>
        <w:t>混凝土</w:t>
      </w:r>
      <w:r>
        <w:rPr>
          <w:rFonts w:hint="eastAsia"/>
        </w:rPr>
        <w:t>结构和10cm高的围堰，发生泄漏时可以不让其外泄。通过采取上述措施后，危险废物贮存过程中对环境空气、地表水、地下水、土壤以及环境敏感保护目标可能造成的影响较小。</w:t>
      </w:r>
    </w:p>
    <w:p w14:paraId="74F331EF">
      <w:pPr>
        <w:pStyle w:val="6"/>
        <w:bidi w:val="0"/>
      </w:pPr>
      <w:r>
        <w:rPr>
          <w:rFonts w:hint="eastAsia"/>
        </w:rPr>
        <w:t>运输过程的环境影响分析</w:t>
      </w:r>
    </w:p>
    <w:p w14:paraId="200A5154">
      <w:pPr>
        <w:ind w:firstLine="480"/>
      </w:pPr>
      <w:r>
        <w:rPr>
          <w:rFonts w:hint="eastAsia"/>
        </w:rPr>
        <w:t>在危险废物运输过程中，通过使用有运输资质的专用车辆将危险废物从厂区内产生工艺环节运输到贮存场所。专用车辆运输危险废物时保持密闭状态，由于厂内运输距离较短，因此运输过程对周围环境影响较小。</w:t>
      </w:r>
    </w:p>
    <w:p w14:paraId="21B7AD37">
      <w:pPr>
        <w:ind w:firstLine="480"/>
      </w:pPr>
      <w:r>
        <w:rPr>
          <w:rFonts w:hint="eastAsia"/>
        </w:rPr>
        <w:t>综上所述，本项目建成后所产生的固体废物对周围产生的环境影响较小。</w:t>
      </w:r>
    </w:p>
    <w:p w14:paraId="71A77478">
      <w:pPr>
        <w:pStyle w:val="3"/>
        <w:numPr>
          <w:ilvl w:val="1"/>
          <w:numId w:val="1"/>
        </w:numPr>
      </w:pPr>
      <w:bookmarkStart w:id="263" w:name="_Toc28558"/>
      <w:bookmarkStart w:id="264" w:name="_Toc16358"/>
      <w:bookmarkStart w:id="265" w:name="_Toc13071"/>
      <w:r>
        <w:t>土壤环境影响</w:t>
      </w:r>
      <w:r>
        <w:rPr>
          <w:rFonts w:hint="eastAsia"/>
        </w:rPr>
        <w:t>预测与评价</w:t>
      </w:r>
      <w:bookmarkEnd w:id="263"/>
      <w:bookmarkEnd w:id="264"/>
      <w:bookmarkEnd w:id="265"/>
    </w:p>
    <w:p w14:paraId="02FB0C1B">
      <w:pPr>
        <w:pStyle w:val="4"/>
        <w:numPr>
          <w:ilvl w:val="2"/>
          <w:numId w:val="1"/>
        </w:numPr>
      </w:pPr>
      <w:bookmarkStart w:id="266" w:name="_Toc27536"/>
      <w:r>
        <w:rPr>
          <w:rFonts w:hint="eastAsia"/>
        </w:rPr>
        <w:t>项目土壤环境影响识别</w:t>
      </w:r>
      <w:bookmarkEnd w:id="266"/>
    </w:p>
    <w:p w14:paraId="0386ABA9">
      <w:pPr>
        <w:ind w:firstLine="480"/>
      </w:pPr>
      <w:r>
        <w:rPr>
          <w:rFonts w:hint="eastAsia"/>
        </w:rPr>
        <w:t>本项目土壤环境影响途径主要和大气沉降、地面漫流以及垂直入渗。</w:t>
      </w:r>
    </w:p>
    <w:p w14:paraId="47B53AA7">
      <w:pPr>
        <w:ind w:firstLine="482"/>
        <w:rPr>
          <w:b/>
          <w:bCs/>
        </w:rPr>
      </w:pPr>
      <w:r>
        <w:rPr>
          <w:rFonts w:hint="eastAsia"/>
          <w:b/>
          <w:bCs/>
        </w:rPr>
        <w:t>1、大气沉降</w:t>
      </w:r>
    </w:p>
    <w:p w14:paraId="5CC638FD">
      <w:pPr>
        <w:ind w:firstLine="480"/>
      </w:pPr>
      <w:r>
        <w:rPr>
          <w:rFonts w:hint="eastAsia"/>
        </w:rPr>
        <w:t>本项目主要生产废气为</w:t>
      </w:r>
      <w:r>
        <w:rPr>
          <w:rFonts w:hint="eastAsia"/>
          <w:lang w:val="en-US" w:eastAsia="zh-CN"/>
        </w:rPr>
        <w:t>颗粒物、</w:t>
      </w:r>
      <w:r>
        <w:rPr>
          <w:rFonts w:hint="eastAsia"/>
        </w:rPr>
        <w:t>HCl、Cl</w:t>
      </w:r>
      <w:r>
        <w:rPr>
          <w:rFonts w:hint="eastAsia"/>
          <w:vertAlign w:val="subscript"/>
        </w:rPr>
        <w:t>2</w:t>
      </w:r>
      <w:r>
        <w:rPr>
          <w:rFonts w:hint="eastAsia"/>
        </w:rPr>
        <w:t>，且经处理后的废气排放量较小，HCl、Cl</w:t>
      </w:r>
      <w:r>
        <w:rPr>
          <w:rFonts w:hint="eastAsia"/>
          <w:vertAlign w:val="subscript"/>
        </w:rPr>
        <w:t>2</w:t>
      </w:r>
      <w:r>
        <w:rPr>
          <w:rFonts w:hint="eastAsia"/>
        </w:rPr>
        <w:t>等主要污染物不易沉降，且不涉及重金属等对土壤影响的污染因子排放，本项目废气排放沉降对土壤的影响较小，因此本次评价不考虑大气污染物沉降污染。</w:t>
      </w:r>
    </w:p>
    <w:p w14:paraId="7F05E11E">
      <w:pPr>
        <w:ind w:firstLine="482"/>
        <w:rPr>
          <w:b/>
          <w:bCs/>
        </w:rPr>
      </w:pPr>
      <w:r>
        <w:rPr>
          <w:rFonts w:hint="eastAsia"/>
          <w:b/>
          <w:bCs/>
        </w:rPr>
        <w:t>2、地面漫流</w:t>
      </w:r>
    </w:p>
    <w:p w14:paraId="118EE5B6">
      <w:pPr>
        <w:ind w:firstLine="480"/>
      </w:pPr>
      <w:r>
        <w:rPr>
          <w:rFonts w:hint="eastAsia"/>
        </w:rPr>
        <w:t>对于地上设施，在事故情况和降雨情况下产生的废水会发生地面漫流，进一步污染土壤。企业设置废水三级防控，设置管沟拦截事故水，进入事故池。全面防控事故废水和可能受污染的雨水发生地面漫流，进入土壤。在全面落实三级防控措施的情况下，物料或污染物的地面漫流对土壤影响较小。因此本次评价不考虑地面漫流污染。</w:t>
      </w:r>
    </w:p>
    <w:p w14:paraId="1883AE08">
      <w:pPr>
        <w:snapToGrid w:val="0"/>
        <w:ind w:firstLine="482"/>
        <w:rPr>
          <w:rFonts w:cs="Times New Roman"/>
          <w:b/>
          <w:bCs/>
        </w:rPr>
      </w:pPr>
      <w:r>
        <w:rPr>
          <w:rFonts w:cs="Times New Roman"/>
          <w:b/>
          <w:bCs/>
        </w:rPr>
        <w:t>3、垂直入渗</w:t>
      </w:r>
    </w:p>
    <w:p w14:paraId="7546D65F">
      <w:pPr>
        <w:snapToGrid w:val="0"/>
        <w:ind w:firstLine="480"/>
      </w:pPr>
      <w:r>
        <w:rPr>
          <w:rFonts w:cs="Times New Roman"/>
        </w:rPr>
        <w:t>对于地下或半地下工程构筑物，在事故情况下，会造成物料、污染物等的泄漏，通过垂直入渗进一步污染土壤。本项目参照《石油化工工程防渗技术规范》（GB/T50934-2013）中的要求，根据场地特性和项目特征，制定分区防渗。对于地下及半地下工程构筑物采取重点防渗，对于可能发生物料和污染物泄漏的地上构筑物采取一般防渗，其他区域按建筑要求做地面</w:t>
      </w:r>
      <w:r>
        <w:rPr>
          <w:rFonts w:cs="Times New Roman"/>
          <w:color w:val="000000"/>
        </w:rPr>
        <w:t>处理。正常工况下，土壤和地下水防渗措施完好，基本不会对土壤造成不利影响。假设非正常工况下，</w:t>
      </w:r>
      <w:r>
        <w:rPr>
          <w:rFonts w:hint="eastAsia" w:cs="Times New Roman"/>
          <w:color w:val="000000"/>
        </w:rPr>
        <w:t>盐酸</w:t>
      </w:r>
      <w:r>
        <w:rPr>
          <w:rFonts w:cs="Times New Roman"/>
          <w:color w:val="000000"/>
        </w:rPr>
        <w:t>储罐底部泄漏进入土壤，对土壤的影响进行土壤环境影响预测，均概化为连续点源情景</w:t>
      </w:r>
      <w:r>
        <w:rPr>
          <w:rFonts w:hint="eastAsia" w:cs="Times New Roman"/>
          <w:color w:val="000000"/>
        </w:rPr>
        <w:t>。</w:t>
      </w:r>
    </w:p>
    <w:p w14:paraId="007085F8">
      <w:pPr>
        <w:pStyle w:val="6"/>
        <w:numPr>
          <w:ilvl w:val="4"/>
          <w:numId w:val="0"/>
        </w:numPr>
        <w:ind w:left="480" w:leftChars="200"/>
      </w:pPr>
      <w:bookmarkStart w:id="267" w:name="_Toc11808"/>
      <w:r>
        <w:rPr>
          <w:rFonts w:hint="eastAsia"/>
        </w:rPr>
        <w:t>（1）</w:t>
      </w:r>
      <w:r>
        <w:t>预测模型</w:t>
      </w:r>
      <w:bookmarkEnd w:id="267"/>
      <w:r>
        <w:t xml:space="preserve"> </w:t>
      </w:r>
    </w:p>
    <w:p w14:paraId="735BDC3C">
      <w:pPr>
        <w:ind w:firstLine="480"/>
      </w:pPr>
      <w:r>
        <w:t xml:space="preserve">本项目土壤环境影响预测采用导则推荐的一维非饱和溶质运移模型，具体公式如下： </w:t>
      </w:r>
    </w:p>
    <w:p w14:paraId="635F1B83">
      <w:pPr>
        <w:ind w:firstLine="480"/>
      </w:pPr>
      <w:r>
        <w:t xml:space="preserve">（1）一维非饱和溶质垂向运移控制方程 </w:t>
      </w:r>
    </w:p>
    <w:p w14:paraId="18C662E8">
      <w:pPr>
        <w:ind w:firstLine="480"/>
        <w:jc w:val="center"/>
      </w:pPr>
      <w:r>
        <w:drawing>
          <wp:inline distT="0" distB="0" distL="114300" distR="114300">
            <wp:extent cx="2876550" cy="571500"/>
            <wp:effectExtent l="0" t="0" r="0" b="0"/>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168" cstate="print"/>
                    <a:stretch>
                      <a:fillRect/>
                    </a:stretch>
                  </pic:blipFill>
                  <pic:spPr>
                    <a:xfrm>
                      <a:off x="0" y="0"/>
                      <a:ext cx="2876550" cy="571500"/>
                    </a:xfrm>
                    <a:prstGeom prst="rect">
                      <a:avLst/>
                    </a:prstGeom>
                    <a:noFill/>
                    <a:ln>
                      <a:noFill/>
                    </a:ln>
                  </pic:spPr>
                </pic:pic>
              </a:graphicData>
            </a:graphic>
          </wp:inline>
        </w:drawing>
      </w:r>
    </w:p>
    <w:p w14:paraId="2F20533F">
      <w:pPr>
        <w:ind w:firstLine="480"/>
      </w:pPr>
      <w:r>
        <w:t xml:space="preserve">式中：c—污染物介质中的浓度，mg/L； </w:t>
      </w:r>
    </w:p>
    <w:p w14:paraId="180C21CA">
      <w:pPr>
        <w:ind w:firstLine="480"/>
      </w:pPr>
      <w:r>
        <w:t>D—弥散系数，m</w:t>
      </w:r>
      <w:r>
        <w:rPr>
          <w:vertAlign w:val="superscript"/>
        </w:rPr>
        <w:t>2</w:t>
      </w:r>
      <w:r>
        <w:t xml:space="preserve">/d； </w:t>
      </w:r>
    </w:p>
    <w:p w14:paraId="68D19060">
      <w:pPr>
        <w:ind w:firstLine="480"/>
      </w:pPr>
      <w:r>
        <w:t xml:space="preserve">q—渗流速率，m/d； </w:t>
      </w:r>
    </w:p>
    <w:p w14:paraId="6FE244A4">
      <w:pPr>
        <w:ind w:firstLine="480"/>
      </w:pPr>
      <w:r>
        <w:t xml:space="preserve">z—沿 z 轴的距离，m； </w:t>
      </w:r>
    </w:p>
    <w:p w14:paraId="19A6B7A9">
      <w:pPr>
        <w:ind w:firstLine="480"/>
      </w:pPr>
      <w:r>
        <w:t xml:space="preserve">t—时间变量，d； </w:t>
      </w:r>
    </w:p>
    <w:p w14:paraId="48C4ACE8">
      <w:pPr>
        <w:ind w:firstLine="480"/>
      </w:pPr>
      <w:r>
        <w:t xml:space="preserve">θ—土壤含水率，%。 </w:t>
      </w:r>
    </w:p>
    <w:p w14:paraId="137B5E4B">
      <w:pPr>
        <w:ind w:firstLine="480"/>
      </w:pPr>
      <w:r>
        <w:t xml:space="preserve">（2）初始条件 </w:t>
      </w:r>
    </w:p>
    <w:p w14:paraId="6FB601AB">
      <w:pPr>
        <w:ind w:firstLine="480"/>
        <w:jc w:val="center"/>
      </w:pPr>
      <w:r>
        <w:drawing>
          <wp:inline distT="0" distB="0" distL="114300" distR="114300">
            <wp:extent cx="3045460" cy="464820"/>
            <wp:effectExtent l="0" t="0" r="2540" b="11430"/>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169" cstate="print"/>
                    <a:stretch>
                      <a:fillRect/>
                    </a:stretch>
                  </pic:blipFill>
                  <pic:spPr>
                    <a:xfrm>
                      <a:off x="0" y="0"/>
                      <a:ext cx="3045460" cy="464820"/>
                    </a:xfrm>
                    <a:prstGeom prst="rect">
                      <a:avLst/>
                    </a:prstGeom>
                    <a:noFill/>
                    <a:ln>
                      <a:noFill/>
                    </a:ln>
                  </pic:spPr>
                </pic:pic>
              </a:graphicData>
            </a:graphic>
          </wp:inline>
        </w:drawing>
      </w:r>
    </w:p>
    <w:p w14:paraId="21529D58">
      <w:pPr>
        <w:ind w:firstLine="480"/>
      </w:pPr>
      <w:r>
        <w:t xml:space="preserve">（3）边界条件 </w:t>
      </w:r>
    </w:p>
    <w:p w14:paraId="4B240DF7">
      <w:pPr>
        <w:ind w:firstLine="480"/>
      </w:pPr>
      <w:r>
        <w:t xml:space="preserve">第一类 Dirichlet 边界条件： </w:t>
      </w:r>
    </w:p>
    <w:p w14:paraId="6DB493A8">
      <w:pPr>
        <w:ind w:firstLine="480"/>
      </w:pPr>
      <w:r>
        <w:t xml:space="preserve">连续点源： </w:t>
      </w:r>
    </w:p>
    <w:p w14:paraId="518DC2E7">
      <w:pPr>
        <w:ind w:firstLine="480"/>
        <w:jc w:val="center"/>
      </w:pPr>
      <w:r>
        <w:drawing>
          <wp:inline distT="0" distB="0" distL="114300" distR="114300">
            <wp:extent cx="3089275" cy="474345"/>
            <wp:effectExtent l="0" t="0" r="15875" b="1905"/>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170" cstate="print"/>
                    <a:srcRect t="15874"/>
                    <a:stretch>
                      <a:fillRect/>
                    </a:stretch>
                  </pic:blipFill>
                  <pic:spPr>
                    <a:xfrm>
                      <a:off x="0" y="0"/>
                      <a:ext cx="3089275" cy="474345"/>
                    </a:xfrm>
                    <a:prstGeom prst="rect">
                      <a:avLst/>
                    </a:prstGeom>
                    <a:noFill/>
                    <a:ln>
                      <a:noFill/>
                    </a:ln>
                  </pic:spPr>
                </pic:pic>
              </a:graphicData>
            </a:graphic>
          </wp:inline>
        </w:drawing>
      </w:r>
    </w:p>
    <w:p w14:paraId="25C0965D">
      <w:pPr>
        <w:ind w:firstLine="480"/>
      </w:pPr>
      <w:r>
        <w:t xml:space="preserve">非连续点源： </w:t>
      </w:r>
    </w:p>
    <w:p w14:paraId="3EB7727E">
      <w:pPr>
        <w:ind w:firstLine="480"/>
        <w:jc w:val="center"/>
      </w:pPr>
      <w:r>
        <w:drawing>
          <wp:inline distT="0" distB="0" distL="114300" distR="114300">
            <wp:extent cx="2686050" cy="675005"/>
            <wp:effectExtent l="0" t="0" r="0" b="10795"/>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171" cstate="print"/>
                    <a:srcRect l="7454" t="14185"/>
                    <a:stretch>
                      <a:fillRect/>
                    </a:stretch>
                  </pic:blipFill>
                  <pic:spPr>
                    <a:xfrm>
                      <a:off x="0" y="0"/>
                      <a:ext cx="2686050" cy="675005"/>
                    </a:xfrm>
                    <a:prstGeom prst="rect">
                      <a:avLst/>
                    </a:prstGeom>
                    <a:noFill/>
                    <a:ln>
                      <a:noFill/>
                    </a:ln>
                  </pic:spPr>
                </pic:pic>
              </a:graphicData>
            </a:graphic>
          </wp:inline>
        </w:drawing>
      </w:r>
    </w:p>
    <w:p w14:paraId="1D72E2CC">
      <w:pPr>
        <w:ind w:firstLine="480"/>
      </w:pPr>
      <w:r>
        <w:t>第二类 neumann 零梯度边界：</w:t>
      </w:r>
    </w:p>
    <w:p w14:paraId="57931970">
      <w:pPr>
        <w:ind w:firstLine="480"/>
        <w:jc w:val="center"/>
        <w:rPr>
          <w:rFonts w:cs="Times New Roman"/>
        </w:rPr>
      </w:pPr>
      <w:r>
        <w:drawing>
          <wp:inline distT="0" distB="0" distL="114300" distR="114300">
            <wp:extent cx="3045460" cy="561340"/>
            <wp:effectExtent l="0" t="0" r="2540" b="10160"/>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172" cstate="print"/>
                    <a:stretch>
                      <a:fillRect/>
                    </a:stretch>
                  </pic:blipFill>
                  <pic:spPr>
                    <a:xfrm>
                      <a:off x="0" y="0"/>
                      <a:ext cx="3045460" cy="561340"/>
                    </a:xfrm>
                    <a:prstGeom prst="rect">
                      <a:avLst/>
                    </a:prstGeom>
                    <a:noFill/>
                    <a:ln>
                      <a:noFill/>
                    </a:ln>
                  </pic:spPr>
                </pic:pic>
              </a:graphicData>
            </a:graphic>
          </wp:inline>
        </w:drawing>
      </w:r>
    </w:p>
    <w:p w14:paraId="71D2B640">
      <w:pPr>
        <w:pStyle w:val="7"/>
        <w:bidi w:val="0"/>
      </w:pPr>
      <w:bookmarkStart w:id="268" w:name="_Toc15497"/>
      <w:r>
        <w:rPr>
          <w:rFonts w:hint="eastAsia"/>
        </w:rPr>
        <w:t>（2）预测方案</w:t>
      </w:r>
      <w:bookmarkEnd w:id="268"/>
    </w:p>
    <w:p w14:paraId="037F9850">
      <w:pPr>
        <w:ind w:firstLine="480"/>
      </w:pPr>
      <w:r>
        <w:t>预测因子：根据本项目物料，筛选出盐酸储罐区预测因子为氯化物，初始浓度取1150000mg/L（1150mg/mL）。</w:t>
      </w:r>
    </w:p>
    <w:p w14:paraId="007215C3">
      <w:pPr>
        <w:ind w:firstLine="480"/>
      </w:pPr>
      <w:r>
        <w:t>根据建设单位的水文地质勘查资料，杂填土层（以黏土为主），厚度约390cm。本项目土壤结构概化为1层，上边界为地表，下边界为素填土层底部，模型总厚度取400cm。模型选择自地表向下4m范围内进行模拟，选取0.1m（N1）、0.2m（N2）、0.3m（N3）、0.5m（N4）、1m（N5）、2m（N6）、3m（N7）、4m（N8）作为观测点。该区域上层滞水平均地下水埋深为1.8~3.6m，本次取1.8m为稳定地下水埋深进行预测。</w:t>
      </w:r>
    </w:p>
    <w:p w14:paraId="6F032F2A">
      <w:pPr>
        <w:ind w:firstLine="480"/>
      </w:pPr>
      <w:r>
        <w:t>预测时限以</w:t>
      </w:r>
      <w:r>
        <w:rPr>
          <w:rFonts w:hint="eastAsia"/>
        </w:rPr>
        <w:t>盐酸储罐</w:t>
      </w:r>
      <w:r>
        <w:t>非可视部分发生不易发现的小面积渗漏计后3650d（10年）。</w:t>
      </w:r>
    </w:p>
    <w:p w14:paraId="0EE0447E">
      <w:pPr>
        <w:ind w:firstLine="480"/>
      </w:pPr>
      <w:r>
        <w:t>水分运移模型采用Van Genuchten公式处理土壤的水力特性。Hydrus软件中提供了一组土壤经验参数库，可供参考，本文根据已有数据进行土壤数值模拟。因杂填土层以黏土为主，因此土壤水力选取经验值参数见下表。</w:t>
      </w:r>
    </w:p>
    <w:p w14:paraId="48B7A8C0">
      <w:pPr>
        <w:pStyle w:val="43"/>
        <w:numPr>
          <w:ilvl w:val="5"/>
          <w:numId w:val="1"/>
        </w:numPr>
        <w:rPr>
          <w:rFonts w:hint="default"/>
        </w:rPr>
      </w:pPr>
      <w:r>
        <w:rPr>
          <w:rFonts w:hint="default"/>
        </w:rPr>
        <w:t>土壤水力参数</w:t>
      </w:r>
    </w:p>
    <w:tbl>
      <w:tblPr>
        <w:tblStyle w:val="3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9"/>
        <w:gridCol w:w="1369"/>
        <w:gridCol w:w="1369"/>
        <w:gridCol w:w="1336"/>
        <w:gridCol w:w="1050"/>
        <w:gridCol w:w="1292"/>
        <w:gridCol w:w="1050"/>
      </w:tblGrid>
      <w:tr w14:paraId="6E486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trPr>
        <w:tc>
          <w:tcPr>
            <w:tcW w:w="714" w:type="pct"/>
            <w:vAlign w:val="center"/>
          </w:tcPr>
          <w:p w14:paraId="61F75908">
            <w:pPr>
              <w:pStyle w:val="45"/>
              <w:rPr>
                <w:rFonts w:hint="default"/>
                <w:b/>
                <w:bCs/>
              </w:rPr>
            </w:pPr>
            <w:r>
              <w:rPr>
                <w:rFonts w:hint="default"/>
                <w:b/>
                <w:bCs/>
              </w:rPr>
              <w:t>厚度（cm）</w:t>
            </w:r>
          </w:p>
        </w:tc>
        <w:tc>
          <w:tcPr>
            <w:tcW w:w="714" w:type="pct"/>
            <w:vAlign w:val="center"/>
          </w:tcPr>
          <w:p w14:paraId="6ED6260D">
            <w:pPr>
              <w:pStyle w:val="45"/>
              <w:rPr>
                <w:rFonts w:hint="default"/>
                <w:b/>
                <w:bCs/>
              </w:rPr>
            </w:pPr>
            <w:r>
              <w:rPr>
                <w:rFonts w:hint="default"/>
                <w:b/>
                <w:bCs/>
              </w:rPr>
              <w:t>土壤残余含水量θr（cm</w:t>
            </w:r>
            <w:r>
              <w:rPr>
                <w:rFonts w:hint="default"/>
                <w:b/>
                <w:bCs/>
                <w:vertAlign w:val="superscript"/>
              </w:rPr>
              <w:t>3</w:t>
            </w:r>
            <w:r>
              <w:rPr>
                <w:rFonts w:hint="default"/>
                <w:b/>
                <w:bCs/>
              </w:rPr>
              <w:t>/cm</w:t>
            </w:r>
            <w:r>
              <w:rPr>
                <w:rFonts w:hint="default"/>
                <w:b/>
                <w:bCs/>
                <w:vertAlign w:val="superscript"/>
              </w:rPr>
              <w:t>3</w:t>
            </w:r>
            <w:r>
              <w:rPr>
                <w:rFonts w:hint="default"/>
                <w:b/>
                <w:bCs/>
              </w:rPr>
              <w:t>）</w:t>
            </w:r>
          </w:p>
        </w:tc>
        <w:tc>
          <w:tcPr>
            <w:tcW w:w="714" w:type="pct"/>
            <w:vAlign w:val="center"/>
          </w:tcPr>
          <w:p w14:paraId="03B223D9">
            <w:pPr>
              <w:pStyle w:val="45"/>
              <w:rPr>
                <w:rFonts w:hint="default"/>
                <w:b/>
                <w:bCs/>
              </w:rPr>
            </w:pPr>
            <w:r>
              <w:rPr>
                <w:rFonts w:hint="default"/>
                <w:b/>
                <w:bCs/>
              </w:rPr>
              <w:t>饱和土壤含水量θs（cm</w:t>
            </w:r>
            <w:r>
              <w:rPr>
                <w:rFonts w:hint="default"/>
                <w:b/>
                <w:bCs/>
                <w:vertAlign w:val="superscript"/>
              </w:rPr>
              <w:t>3</w:t>
            </w:r>
            <w:r>
              <w:rPr>
                <w:rFonts w:hint="default"/>
                <w:b/>
                <w:bCs/>
              </w:rPr>
              <w:t>/cm</w:t>
            </w:r>
            <w:r>
              <w:rPr>
                <w:rFonts w:hint="default"/>
                <w:b/>
                <w:bCs/>
                <w:vertAlign w:val="superscript"/>
              </w:rPr>
              <w:t>3</w:t>
            </w:r>
            <w:r>
              <w:rPr>
                <w:rFonts w:hint="default"/>
                <w:b/>
                <w:bCs/>
              </w:rPr>
              <w:t>）</w:t>
            </w:r>
          </w:p>
        </w:tc>
        <w:tc>
          <w:tcPr>
            <w:tcW w:w="714" w:type="pct"/>
            <w:vAlign w:val="center"/>
          </w:tcPr>
          <w:p w14:paraId="7F20D036">
            <w:pPr>
              <w:pStyle w:val="45"/>
              <w:rPr>
                <w:rFonts w:hint="default"/>
                <w:b/>
                <w:bCs/>
              </w:rPr>
            </w:pPr>
            <w:r>
              <w:rPr>
                <w:rFonts w:hint="default"/>
                <w:b/>
                <w:bCs/>
              </w:rPr>
              <w:t>土壤水分保持参数Alpha(1/cm)</w:t>
            </w:r>
          </w:p>
        </w:tc>
        <w:tc>
          <w:tcPr>
            <w:tcW w:w="714" w:type="pct"/>
            <w:vAlign w:val="center"/>
          </w:tcPr>
          <w:p w14:paraId="2120F6BE">
            <w:pPr>
              <w:pStyle w:val="45"/>
              <w:rPr>
                <w:rFonts w:hint="default"/>
                <w:b/>
                <w:bCs/>
              </w:rPr>
            </w:pPr>
            <w:r>
              <w:rPr>
                <w:rFonts w:hint="default"/>
                <w:b/>
                <w:bCs/>
              </w:rPr>
              <w:t>土壤水分保持参数n</w:t>
            </w:r>
          </w:p>
        </w:tc>
        <w:tc>
          <w:tcPr>
            <w:tcW w:w="714" w:type="pct"/>
            <w:vAlign w:val="center"/>
          </w:tcPr>
          <w:p w14:paraId="7A54005E">
            <w:pPr>
              <w:pStyle w:val="45"/>
              <w:rPr>
                <w:rFonts w:hint="default"/>
                <w:b/>
                <w:bCs/>
              </w:rPr>
            </w:pPr>
            <w:r>
              <w:rPr>
                <w:rFonts w:hint="default"/>
                <w:b/>
                <w:bCs/>
              </w:rPr>
              <w:t>饱和导水率</w:t>
            </w:r>
          </w:p>
          <w:p w14:paraId="5DB85106">
            <w:pPr>
              <w:pStyle w:val="45"/>
              <w:rPr>
                <w:rFonts w:hint="default"/>
                <w:b/>
                <w:bCs/>
              </w:rPr>
            </w:pPr>
            <w:r>
              <w:rPr>
                <w:rFonts w:hint="default"/>
                <w:b/>
                <w:bCs/>
              </w:rPr>
              <w:t>（cm/day）</w:t>
            </w:r>
          </w:p>
        </w:tc>
        <w:tc>
          <w:tcPr>
            <w:tcW w:w="714" w:type="pct"/>
            <w:vAlign w:val="center"/>
          </w:tcPr>
          <w:p w14:paraId="5CEC2443">
            <w:pPr>
              <w:pStyle w:val="45"/>
              <w:rPr>
                <w:rFonts w:hint="default"/>
                <w:b/>
                <w:bCs/>
              </w:rPr>
            </w:pPr>
            <w:r>
              <w:rPr>
                <w:rFonts w:hint="default"/>
                <w:b/>
                <w:bCs/>
              </w:rPr>
              <w:t>电导率函数中的弯曲参数</w:t>
            </w:r>
          </w:p>
        </w:tc>
      </w:tr>
      <w:tr w14:paraId="75ABD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14" w:type="pct"/>
            <w:vAlign w:val="center"/>
          </w:tcPr>
          <w:p w14:paraId="03402156">
            <w:pPr>
              <w:pStyle w:val="45"/>
              <w:rPr>
                <w:rFonts w:hint="default"/>
              </w:rPr>
            </w:pPr>
            <w:r>
              <w:rPr>
                <w:rFonts w:hint="default"/>
              </w:rPr>
              <w:t>400</w:t>
            </w:r>
          </w:p>
        </w:tc>
        <w:tc>
          <w:tcPr>
            <w:tcW w:w="714" w:type="pct"/>
            <w:vAlign w:val="center"/>
          </w:tcPr>
          <w:p w14:paraId="2B07316C">
            <w:pPr>
              <w:pStyle w:val="45"/>
              <w:rPr>
                <w:rFonts w:hint="default"/>
              </w:rPr>
            </w:pPr>
            <w:r>
              <w:rPr>
                <w:rFonts w:hint="default"/>
              </w:rPr>
              <w:t>0.068</w:t>
            </w:r>
          </w:p>
        </w:tc>
        <w:tc>
          <w:tcPr>
            <w:tcW w:w="714" w:type="pct"/>
            <w:vAlign w:val="center"/>
          </w:tcPr>
          <w:p w14:paraId="2CF592D2">
            <w:pPr>
              <w:pStyle w:val="45"/>
              <w:rPr>
                <w:rFonts w:hint="default"/>
              </w:rPr>
            </w:pPr>
            <w:r>
              <w:rPr>
                <w:rFonts w:hint="default"/>
              </w:rPr>
              <w:t>0.38</w:t>
            </w:r>
          </w:p>
        </w:tc>
        <w:tc>
          <w:tcPr>
            <w:tcW w:w="714" w:type="pct"/>
            <w:vAlign w:val="center"/>
          </w:tcPr>
          <w:p w14:paraId="41907512">
            <w:pPr>
              <w:pStyle w:val="45"/>
              <w:rPr>
                <w:rFonts w:hint="default"/>
              </w:rPr>
            </w:pPr>
            <w:r>
              <w:rPr>
                <w:rFonts w:hint="default"/>
              </w:rPr>
              <w:t>0.0008</w:t>
            </w:r>
          </w:p>
        </w:tc>
        <w:tc>
          <w:tcPr>
            <w:tcW w:w="714" w:type="pct"/>
            <w:vAlign w:val="center"/>
          </w:tcPr>
          <w:p w14:paraId="758FDC52">
            <w:pPr>
              <w:pStyle w:val="45"/>
              <w:rPr>
                <w:rFonts w:hint="default"/>
              </w:rPr>
            </w:pPr>
            <w:r>
              <w:rPr>
                <w:rFonts w:hint="default"/>
              </w:rPr>
              <w:t>0.19</w:t>
            </w:r>
          </w:p>
        </w:tc>
        <w:tc>
          <w:tcPr>
            <w:tcW w:w="714" w:type="pct"/>
            <w:vAlign w:val="center"/>
          </w:tcPr>
          <w:p w14:paraId="4736D679">
            <w:pPr>
              <w:pStyle w:val="45"/>
              <w:rPr>
                <w:rFonts w:hint="default"/>
              </w:rPr>
            </w:pPr>
            <w:r>
              <w:rPr>
                <w:rFonts w:hint="default"/>
              </w:rPr>
              <w:t>48</w:t>
            </w:r>
          </w:p>
        </w:tc>
        <w:tc>
          <w:tcPr>
            <w:tcW w:w="714" w:type="pct"/>
            <w:vAlign w:val="center"/>
          </w:tcPr>
          <w:p w14:paraId="65941FA2">
            <w:pPr>
              <w:pStyle w:val="45"/>
              <w:rPr>
                <w:rFonts w:hint="default"/>
              </w:rPr>
            </w:pPr>
            <w:r>
              <w:rPr>
                <w:rFonts w:hint="default"/>
              </w:rPr>
              <w:t>0.5</w:t>
            </w:r>
          </w:p>
        </w:tc>
      </w:tr>
    </w:tbl>
    <w:p w14:paraId="39517704">
      <w:pPr>
        <w:spacing w:line="240" w:lineRule="auto"/>
        <w:ind w:firstLine="480"/>
      </w:pPr>
    </w:p>
    <w:p w14:paraId="2DD8B18A">
      <w:pPr>
        <w:pStyle w:val="7"/>
        <w:bidi w:val="0"/>
      </w:pPr>
      <w:bookmarkStart w:id="269" w:name="_Toc30129"/>
      <w:r>
        <w:rPr>
          <w:rFonts w:hint="eastAsia"/>
        </w:rPr>
        <w:t>（3）预测结果</w:t>
      </w:r>
      <w:bookmarkEnd w:id="269"/>
    </w:p>
    <w:p w14:paraId="5A63D362">
      <w:pPr>
        <w:ind w:firstLine="480"/>
      </w:pPr>
      <w:r>
        <w:rPr>
          <w:rFonts w:hint="eastAsia"/>
        </w:rPr>
        <w:t>盐酸储罐泄漏对土壤的影响预测结果（以氯化物预测）。</w:t>
      </w:r>
    </w:p>
    <w:p w14:paraId="1AEA8A16">
      <w:pPr>
        <w:ind w:firstLine="0" w:firstLineChars="0"/>
        <w:jc w:val="center"/>
      </w:pPr>
      <w:r>
        <w:drawing>
          <wp:inline distT="0" distB="0" distL="114300" distR="114300">
            <wp:extent cx="3342640" cy="2435225"/>
            <wp:effectExtent l="0" t="0" r="10160" b="3175"/>
            <wp:docPr id="4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9"/>
                    <pic:cNvPicPr>
                      <a:picLocks noChangeAspect="1"/>
                    </pic:cNvPicPr>
                  </pic:nvPicPr>
                  <pic:blipFill>
                    <a:blip r:embed="rId173" cstate="print"/>
                    <a:stretch>
                      <a:fillRect/>
                    </a:stretch>
                  </pic:blipFill>
                  <pic:spPr>
                    <a:xfrm>
                      <a:off x="0" y="0"/>
                      <a:ext cx="3342640" cy="2435225"/>
                    </a:xfrm>
                    <a:prstGeom prst="rect">
                      <a:avLst/>
                    </a:prstGeom>
                    <a:noFill/>
                    <a:ln>
                      <a:noFill/>
                    </a:ln>
                  </pic:spPr>
                </pic:pic>
              </a:graphicData>
            </a:graphic>
          </wp:inline>
        </w:drawing>
      </w:r>
    </w:p>
    <w:p w14:paraId="3E4D0B5C">
      <w:pPr>
        <w:pStyle w:val="42"/>
        <w:numPr>
          <w:ilvl w:val="6"/>
          <w:numId w:val="1"/>
        </w:numPr>
        <w:rPr>
          <w:rFonts w:hint="default"/>
        </w:rPr>
      </w:pPr>
      <w:r>
        <w:t>盐酸储罐泄漏在土壤中氯化物浓度随时间变化曲线图</w:t>
      </w:r>
    </w:p>
    <w:p w14:paraId="470C17A3">
      <w:pPr>
        <w:pStyle w:val="26"/>
        <w:ind w:firstLine="480"/>
        <w:jc w:val="center"/>
      </w:pPr>
      <w:r>
        <w:drawing>
          <wp:inline distT="0" distB="0" distL="114300" distR="114300">
            <wp:extent cx="3510280" cy="2551430"/>
            <wp:effectExtent l="0" t="0" r="7620" b="1270"/>
            <wp:docPr id="7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0"/>
                    <pic:cNvPicPr>
                      <a:picLocks noChangeAspect="1"/>
                    </pic:cNvPicPr>
                  </pic:nvPicPr>
                  <pic:blipFill>
                    <a:blip r:embed="rId174" cstate="print"/>
                    <a:stretch>
                      <a:fillRect/>
                    </a:stretch>
                  </pic:blipFill>
                  <pic:spPr>
                    <a:xfrm>
                      <a:off x="0" y="0"/>
                      <a:ext cx="3510280" cy="2551430"/>
                    </a:xfrm>
                    <a:prstGeom prst="rect">
                      <a:avLst/>
                    </a:prstGeom>
                    <a:noFill/>
                    <a:ln>
                      <a:noFill/>
                    </a:ln>
                  </pic:spPr>
                </pic:pic>
              </a:graphicData>
            </a:graphic>
          </wp:inline>
        </w:drawing>
      </w:r>
    </w:p>
    <w:p w14:paraId="1C3C2AD5">
      <w:pPr>
        <w:pStyle w:val="42"/>
        <w:numPr>
          <w:ilvl w:val="6"/>
          <w:numId w:val="1"/>
        </w:numPr>
        <w:rPr>
          <w:rFonts w:hint="default"/>
        </w:rPr>
      </w:pPr>
      <w:r>
        <w:t>盐酸储罐泄漏在土壤中氯化物浓度随土壤深度变化曲线图</w:t>
      </w:r>
    </w:p>
    <w:p w14:paraId="56F28C22">
      <w:pPr>
        <w:ind w:firstLine="480"/>
      </w:pPr>
    </w:p>
    <w:p w14:paraId="5B9322FB">
      <w:pPr>
        <w:ind w:firstLine="480"/>
      </w:pPr>
      <w:r>
        <w:rPr>
          <w:rFonts w:hint="eastAsia"/>
        </w:rPr>
        <w:t>根据预测结果可知：（1）盐酸泄漏进入包气带后，地表以下第一个观测点N1（0.1m）处在1d时开始出现污染；地表以下N4（0.5m）处在29d出现污染；地表以下N5（1m）处在269d时开始出现污染，随时间推移，浓度逐渐上升。（2）盐酸泄漏后，其浓度随土壤的深度逐渐变小，说明土壤对污染物具有一定的吸附阻截能力，但是随着泄漏时间的延长，同一深度的土壤中污染物浓度会逐渐增大，说明土壤并不能无限制地对污染物进行阻截，在污染源持续泄漏的情况下，污染物会穿透土壤层进入地下水中，进而污染地下水。本项目采取按照“源头控制、分区防治、污染监控、应急响应”相结合的原则，从污染物的产生、入渗、扩散、应急响应进行控制。对各罐区、生产单元等区域建设严格的防腐防渗措施。在采取上述措施后，项目建设对厂区及周边土壤环境的影响可接受。</w:t>
      </w:r>
    </w:p>
    <w:p w14:paraId="6F44F12D">
      <w:pPr>
        <w:pStyle w:val="26"/>
        <w:ind w:firstLine="48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1FBFF823">
      <w:pPr>
        <w:pStyle w:val="43"/>
        <w:numPr>
          <w:ilvl w:val="5"/>
          <w:numId w:val="1"/>
        </w:numPr>
        <w:rPr>
          <w:rFonts w:hint="default"/>
        </w:rPr>
      </w:pPr>
      <w:r>
        <w:t>盐酸储罐泄漏在土壤中氯化物浓度随时间变化表</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0"/>
        <w:gridCol w:w="1457"/>
        <w:gridCol w:w="1692"/>
        <w:gridCol w:w="1692"/>
        <w:gridCol w:w="1692"/>
        <w:gridCol w:w="1692"/>
        <w:gridCol w:w="1692"/>
        <w:gridCol w:w="1692"/>
        <w:gridCol w:w="1695"/>
      </w:tblGrid>
      <w:tr w14:paraId="561A7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trPr>
        <w:tc>
          <w:tcPr>
            <w:tcW w:w="307" w:type="pct"/>
            <w:noWrap/>
            <w:vAlign w:val="center"/>
          </w:tcPr>
          <w:p w14:paraId="310C1AB3">
            <w:pPr>
              <w:widowControl/>
              <w:snapToGrid w:val="0"/>
              <w:spacing w:line="240" w:lineRule="auto"/>
              <w:ind w:firstLine="0" w:firstLineChars="0"/>
              <w:jc w:val="center"/>
              <w:textAlignment w:val="center"/>
              <w:rPr>
                <w:rFonts w:cs="Times New Roman"/>
                <w:b/>
                <w:bCs/>
                <w:color w:val="000000"/>
                <w:kern w:val="0"/>
                <w:sz w:val="21"/>
                <w:szCs w:val="21"/>
              </w:rPr>
            </w:pPr>
            <w:r>
              <w:rPr>
                <w:rFonts w:cs="Times New Roman"/>
                <w:b/>
                <w:bCs/>
                <w:color w:val="000000"/>
                <w:kern w:val="0"/>
                <w:sz w:val="21"/>
                <w:szCs w:val="21"/>
              </w:rPr>
              <w:t>时间(d)</w:t>
            </w:r>
          </w:p>
        </w:tc>
        <w:tc>
          <w:tcPr>
            <w:tcW w:w="513" w:type="pct"/>
            <w:noWrap/>
            <w:vAlign w:val="center"/>
          </w:tcPr>
          <w:p w14:paraId="64AFDEFB">
            <w:pPr>
              <w:widowControl/>
              <w:snapToGrid w:val="0"/>
              <w:spacing w:line="240" w:lineRule="auto"/>
              <w:ind w:firstLine="0" w:firstLineChars="0"/>
              <w:jc w:val="center"/>
              <w:textAlignment w:val="center"/>
              <w:rPr>
                <w:rFonts w:cs="Times New Roman"/>
                <w:b/>
                <w:bCs/>
                <w:color w:val="000000"/>
                <w:kern w:val="0"/>
                <w:sz w:val="21"/>
                <w:szCs w:val="21"/>
              </w:rPr>
            </w:pPr>
            <w:r>
              <w:rPr>
                <w:rFonts w:cs="Times New Roman"/>
                <w:b/>
                <w:bCs/>
                <w:color w:val="000000"/>
                <w:kern w:val="0"/>
                <w:sz w:val="21"/>
                <w:szCs w:val="21"/>
              </w:rPr>
              <w:t>观测点N1浓度（mg/cm</w:t>
            </w:r>
            <w:r>
              <w:rPr>
                <w:rFonts w:cs="Times New Roman"/>
                <w:b/>
                <w:bCs/>
                <w:color w:val="000000"/>
                <w:kern w:val="0"/>
                <w:sz w:val="21"/>
                <w:szCs w:val="21"/>
                <w:vertAlign w:val="superscript"/>
              </w:rPr>
              <w:t>3</w:t>
            </w:r>
            <w:r>
              <w:rPr>
                <w:rFonts w:cs="Times New Roman"/>
                <w:b/>
                <w:bCs/>
                <w:color w:val="000000"/>
                <w:kern w:val="0"/>
                <w:sz w:val="21"/>
                <w:szCs w:val="21"/>
              </w:rPr>
              <w:t>)</w:t>
            </w:r>
          </w:p>
        </w:tc>
        <w:tc>
          <w:tcPr>
            <w:tcW w:w="596" w:type="pct"/>
            <w:noWrap/>
            <w:vAlign w:val="center"/>
          </w:tcPr>
          <w:p w14:paraId="2DCA96B6">
            <w:pPr>
              <w:widowControl/>
              <w:snapToGrid w:val="0"/>
              <w:spacing w:line="240" w:lineRule="auto"/>
              <w:ind w:firstLine="0" w:firstLineChars="0"/>
              <w:jc w:val="center"/>
              <w:textAlignment w:val="center"/>
              <w:rPr>
                <w:rFonts w:cs="Times New Roman"/>
                <w:b/>
                <w:bCs/>
                <w:color w:val="000000"/>
                <w:kern w:val="0"/>
                <w:sz w:val="21"/>
                <w:szCs w:val="21"/>
              </w:rPr>
            </w:pPr>
            <w:r>
              <w:rPr>
                <w:rFonts w:cs="Times New Roman"/>
                <w:b/>
                <w:bCs/>
                <w:color w:val="000000"/>
                <w:kern w:val="0"/>
                <w:sz w:val="21"/>
                <w:szCs w:val="21"/>
              </w:rPr>
              <w:t>观测点N2浓度（mg/cm</w:t>
            </w:r>
            <w:r>
              <w:rPr>
                <w:rFonts w:cs="Times New Roman"/>
                <w:b/>
                <w:bCs/>
                <w:color w:val="000000"/>
                <w:kern w:val="0"/>
                <w:sz w:val="21"/>
                <w:szCs w:val="21"/>
                <w:vertAlign w:val="superscript"/>
              </w:rPr>
              <w:t>3</w:t>
            </w:r>
            <w:r>
              <w:rPr>
                <w:rFonts w:cs="Times New Roman"/>
                <w:b/>
                <w:bCs/>
                <w:color w:val="000000"/>
                <w:kern w:val="0"/>
                <w:sz w:val="21"/>
                <w:szCs w:val="21"/>
              </w:rPr>
              <w:t>)</w:t>
            </w:r>
          </w:p>
        </w:tc>
        <w:tc>
          <w:tcPr>
            <w:tcW w:w="596" w:type="pct"/>
            <w:noWrap/>
            <w:vAlign w:val="center"/>
          </w:tcPr>
          <w:p w14:paraId="1686044D">
            <w:pPr>
              <w:widowControl/>
              <w:snapToGrid w:val="0"/>
              <w:spacing w:line="240" w:lineRule="auto"/>
              <w:ind w:firstLine="0" w:firstLineChars="0"/>
              <w:jc w:val="center"/>
              <w:textAlignment w:val="center"/>
              <w:rPr>
                <w:rFonts w:cs="Times New Roman"/>
                <w:b/>
                <w:bCs/>
                <w:color w:val="000000"/>
                <w:kern w:val="0"/>
                <w:sz w:val="21"/>
                <w:szCs w:val="21"/>
              </w:rPr>
            </w:pPr>
            <w:r>
              <w:rPr>
                <w:rFonts w:cs="Times New Roman"/>
                <w:b/>
                <w:bCs/>
                <w:color w:val="000000"/>
                <w:kern w:val="0"/>
                <w:sz w:val="21"/>
                <w:szCs w:val="21"/>
              </w:rPr>
              <w:t>观测点N3浓度（mg/cm</w:t>
            </w:r>
            <w:r>
              <w:rPr>
                <w:rFonts w:cs="Times New Roman"/>
                <w:b/>
                <w:bCs/>
                <w:color w:val="000000"/>
                <w:kern w:val="0"/>
                <w:sz w:val="21"/>
                <w:szCs w:val="21"/>
                <w:vertAlign w:val="superscript"/>
              </w:rPr>
              <w:t>3</w:t>
            </w:r>
            <w:r>
              <w:rPr>
                <w:rFonts w:cs="Times New Roman"/>
                <w:b/>
                <w:bCs/>
                <w:color w:val="000000"/>
                <w:kern w:val="0"/>
                <w:sz w:val="21"/>
                <w:szCs w:val="21"/>
              </w:rPr>
              <w:t>)</w:t>
            </w:r>
          </w:p>
        </w:tc>
        <w:tc>
          <w:tcPr>
            <w:tcW w:w="596" w:type="pct"/>
            <w:noWrap/>
            <w:vAlign w:val="center"/>
          </w:tcPr>
          <w:p w14:paraId="4682AA56">
            <w:pPr>
              <w:widowControl/>
              <w:snapToGrid w:val="0"/>
              <w:spacing w:line="240" w:lineRule="auto"/>
              <w:ind w:firstLine="0" w:firstLineChars="0"/>
              <w:jc w:val="center"/>
              <w:textAlignment w:val="center"/>
              <w:rPr>
                <w:rFonts w:cs="Times New Roman"/>
                <w:b/>
                <w:bCs/>
                <w:color w:val="000000"/>
                <w:kern w:val="0"/>
                <w:sz w:val="21"/>
                <w:szCs w:val="21"/>
              </w:rPr>
            </w:pPr>
            <w:r>
              <w:rPr>
                <w:rFonts w:cs="Times New Roman"/>
                <w:b/>
                <w:bCs/>
                <w:color w:val="000000"/>
                <w:kern w:val="0"/>
                <w:sz w:val="21"/>
                <w:szCs w:val="21"/>
              </w:rPr>
              <w:t>观测点N4浓度（mg/cm</w:t>
            </w:r>
            <w:r>
              <w:rPr>
                <w:rFonts w:cs="Times New Roman"/>
                <w:b/>
                <w:bCs/>
                <w:color w:val="000000"/>
                <w:kern w:val="0"/>
                <w:sz w:val="21"/>
                <w:szCs w:val="21"/>
                <w:vertAlign w:val="superscript"/>
              </w:rPr>
              <w:t>3</w:t>
            </w:r>
            <w:r>
              <w:rPr>
                <w:rFonts w:cs="Times New Roman"/>
                <w:b/>
                <w:bCs/>
                <w:color w:val="000000"/>
                <w:kern w:val="0"/>
                <w:sz w:val="21"/>
                <w:szCs w:val="21"/>
              </w:rPr>
              <w:t>)</w:t>
            </w:r>
          </w:p>
        </w:tc>
        <w:tc>
          <w:tcPr>
            <w:tcW w:w="596" w:type="pct"/>
            <w:noWrap/>
            <w:vAlign w:val="center"/>
          </w:tcPr>
          <w:p w14:paraId="5D1684DD">
            <w:pPr>
              <w:widowControl/>
              <w:snapToGrid w:val="0"/>
              <w:spacing w:line="240" w:lineRule="auto"/>
              <w:ind w:firstLine="0" w:firstLineChars="0"/>
              <w:jc w:val="center"/>
              <w:textAlignment w:val="center"/>
              <w:rPr>
                <w:rFonts w:cs="Times New Roman"/>
                <w:b/>
                <w:bCs/>
                <w:color w:val="000000"/>
                <w:kern w:val="0"/>
                <w:sz w:val="21"/>
                <w:szCs w:val="21"/>
              </w:rPr>
            </w:pPr>
            <w:r>
              <w:rPr>
                <w:rFonts w:cs="Times New Roman"/>
                <w:b/>
                <w:bCs/>
                <w:color w:val="000000"/>
                <w:kern w:val="0"/>
                <w:sz w:val="21"/>
                <w:szCs w:val="21"/>
              </w:rPr>
              <w:t>观测点N5浓度（mg/cm</w:t>
            </w:r>
            <w:r>
              <w:rPr>
                <w:rFonts w:cs="Times New Roman"/>
                <w:b/>
                <w:bCs/>
                <w:color w:val="000000"/>
                <w:kern w:val="0"/>
                <w:sz w:val="21"/>
                <w:szCs w:val="21"/>
                <w:vertAlign w:val="superscript"/>
              </w:rPr>
              <w:t>3</w:t>
            </w:r>
            <w:r>
              <w:rPr>
                <w:rFonts w:cs="Times New Roman"/>
                <w:b/>
                <w:bCs/>
                <w:color w:val="000000"/>
                <w:kern w:val="0"/>
                <w:sz w:val="21"/>
                <w:szCs w:val="21"/>
              </w:rPr>
              <w:t>)</w:t>
            </w:r>
          </w:p>
        </w:tc>
        <w:tc>
          <w:tcPr>
            <w:tcW w:w="596" w:type="pct"/>
            <w:noWrap/>
            <w:vAlign w:val="center"/>
          </w:tcPr>
          <w:p w14:paraId="6ABBC641">
            <w:pPr>
              <w:widowControl/>
              <w:snapToGrid w:val="0"/>
              <w:spacing w:line="240" w:lineRule="auto"/>
              <w:ind w:firstLine="0" w:firstLineChars="0"/>
              <w:jc w:val="center"/>
              <w:textAlignment w:val="center"/>
              <w:rPr>
                <w:rFonts w:cs="Times New Roman"/>
                <w:b/>
                <w:bCs/>
                <w:color w:val="000000"/>
                <w:kern w:val="0"/>
                <w:sz w:val="21"/>
                <w:szCs w:val="21"/>
              </w:rPr>
            </w:pPr>
            <w:r>
              <w:rPr>
                <w:rFonts w:cs="Times New Roman"/>
                <w:b/>
                <w:bCs/>
                <w:color w:val="000000"/>
                <w:kern w:val="0"/>
                <w:sz w:val="21"/>
                <w:szCs w:val="21"/>
              </w:rPr>
              <w:t>观测点N6浓度（mg/cm</w:t>
            </w:r>
            <w:r>
              <w:rPr>
                <w:rFonts w:cs="Times New Roman"/>
                <w:b/>
                <w:bCs/>
                <w:color w:val="000000"/>
                <w:kern w:val="0"/>
                <w:sz w:val="21"/>
                <w:szCs w:val="21"/>
                <w:vertAlign w:val="superscript"/>
              </w:rPr>
              <w:t>3</w:t>
            </w:r>
            <w:r>
              <w:rPr>
                <w:rFonts w:cs="Times New Roman"/>
                <w:b/>
                <w:bCs/>
                <w:color w:val="000000"/>
                <w:kern w:val="0"/>
                <w:sz w:val="21"/>
                <w:szCs w:val="21"/>
              </w:rPr>
              <w:t>)</w:t>
            </w:r>
          </w:p>
        </w:tc>
        <w:tc>
          <w:tcPr>
            <w:tcW w:w="596" w:type="pct"/>
            <w:noWrap/>
            <w:vAlign w:val="center"/>
          </w:tcPr>
          <w:p w14:paraId="044545B2">
            <w:pPr>
              <w:widowControl/>
              <w:snapToGrid w:val="0"/>
              <w:spacing w:line="240" w:lineRule="auto"/>
              <w:ind w:firstLine="0" w:firstLineChars="0"/>
              <w:jc w:val="center"/>
              <w:textAlignment w:val="center"/>
              <w:rPr>
                <w:rFonts w:cs="Times New Roman"/>
                <w:b/>
                <w:bCs/>
                <w:color w:val="000000"/>
                <w:kern w:val="0"/>
                <w:sz w:val="21"/>
                <w:szCs w:val="21"/>
              </w:rPr>
            </w:pPr>
            <w:r>
              <w:rPr>
                <w:rFonts w:cs="Times New Roman"/>
                <w:b/>
                <w:bCs/>
                <w:color w:val="000000"/>
                <w:kern w:val="0"/>
                <w:sz w:val="21"/>
                <w:szCs w:val="21"/>
              </w:rPr>
              <w:t>观测点N7浓度（mg/cm</w:t>
            </w:r>
            <w:r>
              <w:rPr>
                <w:rFonts w:cs="Times New Roman"/>
                <w:b/>
                <w:bCs/>
                <w:color w:val="000000"/>
                <w:kern w:val="0"/>
                <w:sz w:val="21"/>
                <w:szCs w:val="21"/>
                <w:vertAlign w:val="superscript"/>
              </w:rPr>
              <w:t>3</w:t>
            </w:r>
            <w:r>
              <w:rPr>
                <w:rFonts w:cs="Times New Roman"/>
                <w:b/>
                <w:bCs/>
                <w:color w:val="000000"/>
                <w:kern w:val="0"/>
                <w:sz w:val="21"/>
                <w:szCs w:val="21"/>
              </w:rPr>
              <w:t>)</w:t>
            </w:r>
          </w:p>
        </w:tc>
        <w:tc>
          <w:tcPr>
            <w:tcW w:w="597" w:type="pct"/>
            <w:noWrap/>
            <w:vAlign w:val="center"/>
          </w:tcPr>
          <w:p w14:paraId="2C78D428">
            <w:pPr>
              <w:widowControl/>
              <w:snapToGrid w:val="0"/>
              <w:spacing w:line="240" w:lineRule="auto"/>
              <w:ind w:firstLine="0" w:firstLineChars="0"/>
              <w:jc w:val="center"/>
              <w:textAlignment w:val="center"/>
              <w:rPr>
                <w:rFonts w:cs="Times New Roman"/>
                <w:b/>
                <w:bCs/>
                <w:color w:val="000000"/>
                <w:kern w:val="0"/>
                <w:sz w:val="21"/>
                <w:szCs w:val="21"/>
              </w:rPr>
            </w:pPr>
            <w:r>
              <w:rPr>
                <w:rFonts w:cs="Times New Roman"/>
                <w:b/>
                <w:bCs/>
                <w:color w:val="000000"/>
                <w:kern w:val="0"/>
                <w:sz w:val="21"/>
                <w:szCs w:val="21"/>
              </w:rPr>
              <w:t>观测点N8浓度（mg/cm</w:t>
            </w:r>
            <w:r>
              <w:rPr>
                <w:rFonts w:cs="Times New Roman"/>
                <w:b/>
                <w:bCs/>
                <w:color w:val="000000"/>
                <w:kern w:val="0"/>
                <w:sz w:val="21"/>
                <w:szCs w:val="21"/>
                <w:vertAlign w:val="superscript"/>
              </w:rPr>
              <w:t>3</w:t>
            </w:r>
            <w:r>
              <w:rPr>
                <w:rFonts w:cs="Times New Roman"/>
                <w:b/>
                <w:bCs/>
                <w:color w:val="000000"/>
                <w:kern w:val="0"/>
                <w:sz w:val="21"/>
                <w:szCs w:val="21"/>
              </w:rPr>
              <w:t>)</w:t>
            </w:r>
          </w:p>
        </w:tc>
      </w:tr>
      <w:tr w14:paraId="00E23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13A7BF1F">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402" w:type="dxa"/>
            <w:noWrap/>
            <w:vAlign w:val="center"/>
          </w:tcPr>
          <w:p w14:paraId="5A802F2D">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15994416">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5F6BFD5F">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34CDD69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0D9CD9EA">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156F8C3B">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19522790">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3" w:type="dxa"/>
            <w:noWrap/>
            <w:vAlign w:val="center"/>
          </w:tcPr>
          <w:p w14:paraId="7B4AB4BE">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r>
      <w:tr w14:paraId="3EE78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3D78651C">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w:t>
            </w:r>
          </w:p>
        </w:tc>
        <w:tc>
          <w:tcPr>
            <w:tcW w:w="1402" w:type="dxa"/>
            <w:noWrap/>
            <w:vAlign w:val="center"/>
          </w:tcPr>
          <w:p w14:paraId="06D48B06">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0.002006</w:t>
            </w:r>
          </w:p>
        </w:tc>
        <w:tc>
          <w:tcPr>
            <w:tcW w:w="1630" w:type="dxa"/>
            <w:noWrap/>
            <w:vAlign w:val="center"/>
          </w:tcPr>
          <w:p w14:paraId="19BF33C8">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344063D2">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59757E5A">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2B43CEEA">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2C109316">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3895534F">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3" w:type="dxa"/>
            <w:noWrap/>
            <w:vAlign w:val="center"/>
          </w:tcPr>
          <w:p w14:paraId="782059A7">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r>
      <w:tr w14:paraId="7CCB1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32F8C811">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5</w:t>
            </w:r>
          </w:p>
        </w:tc>
        <w:tc>
          <w:tcPr>
            <w:tcW w:w="1402" w:type="dxa"/>
            <w:noWrap/>
            <w:vAlign w:val="center"/>
          </w:tcPr>
          <w:p w14:paraId="20957F1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2.111</w:t>
            </w:r>
          </w:p>
        </w:tc>
        <w:tc>
          <w:tcPr>
            <w:tcW w:w="1630" w:type="dxa"/>
            <w:noWrap/>
            <w:vAlign w:val="center"/>
          </w:tcPr>
          <w:p w14:paraId="563E2101">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1.212E-09</w:t>
            </w:r>
          </w:p>
        </w:tc>
        <w:tc>
          <w:tcPr>
            <w:tcW w:w="1630" w:type="dxa"/>
            <w:noWrap/>
            <w:vAlign w:val="center"/>
          </w:tcPr>
          <w:p w14:paraId="0C97A137">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43EC3F3D">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098C4CD4">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2C6E3C7B">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78CD743D">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3" w:type="dxa"/>
            <w:noWrap/>
            <w:vAlign w:val="center"/>
          </w:tcPr>
          <w:p w14:paraId="10227DAB">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r>
      <w:tr w14:paraId="7A2A0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1217FFCD">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w:t>
            </w:r>
          </w:p>
        </w:tc>
        <w:tc>
          <w:tcPr>
            <w:tcW w:w="1402" w:type="dxa"/>
            <w:noWrap/>
            <w:vAlign w:val="center"/>
          </w:tcPr>
          <w:p w14:paraId="7E6B2A9B">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3.48E+01</w:t>
            </w:r>
          </w:p>
        </w:tc>
        <w:tc>
          <w:tcPr>
            <w:tcW w:w="1630" w:type="dxa"/>
            <w:noWrap/>
            <w:vAlign w:val="center"/>
          </w:tcPr>
          <w:p w14:paraId="205202AC">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0.0003016</w:t>
            </w:r>
          </w:p>
        </w:tc>
        <w:tc>
          <w:tcPr>
            <w:tcW w:w="1630" w:type="dxa"/>
            <w:noWrap/>
            <w:vAlign w:val="center"/>
          </w:tcPr>
          <w:p w14:paraId="3BD6006F">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6.816E-07</w:t>
            </w:r>
          </w:p>
        </w:tc>
        <w:tc>
          <w:tcPr>
            <w:tcW w:w="1630" w:type="dxa"/>
            <w:noWrap/>
            <w:vAlign w:val="center"/>
          </w:tcPr>
          <w:p w14:paraId="5B321D35">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1A210E6C">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6F3201A5">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40399DD7">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3" w:type="dxa"/>
            <w:noWrap/>
            <w:vAlign w:val="center"/>
          </w:tcPr>
          <w:p w14:paraId="7258A6E2">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r>
      <w:tr w14:paraId="3FFE6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759E5DB1">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20</w:t>
            </w:r>
          </w:p>
        </w:tc>
        <w:tc>
          <w:tcPr>
            <w:tcW w:w="1402" w:type="dxa"/>
            <w:noWrap/>
            <w:vAlign w:val="center"/>
          </w:tcPr>
          <w:p w14:paraId="7FF47E2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8.62E+01</w:t>
            </w:r>
          </w:p>
        </w:tc>
        <w:tc>
          <w:tcPr>
            <w:tcW w:w="1630" w:type="dxa"/>
            <w:noWrap/>
            <w:vAlign w:val="center"/>
          </w:tcPr>
          <w:p w14:paraId="6C89663E">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0.02731</w:t>
            </w:r>
          </w:p>
        </w:tc>
        <w:tc>
          <w:tcPr>
            <w:tcW w:w="1630" w:type="dxa"/>
            <w:noWrap/>
            <w:vAlign w:val="center"/>
          </w:tcPr>
          <w:p w14:paraId="391A98C4">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0.0002987</w:t>
            </w:r>
          </w:p>
        </w:tc>
        <w:tc>
          <w:tcPr>
            <w:tcW w:w="1630" w:type="dxa"/>
            <w:noWrap/>
            <w:vAlign w:val="center"/>
          </w:tcPr>
          <w:p w14:paraId="2A0AE6DC">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0E3F47B7">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2CF37418">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0F668733">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3" w:type="dxa"/>
            <w:noWrap/>
            <w:vAlign w:val="center"/>
          </w:tcPr>
          <w:p w14:paraId="58BF440C">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r>
      <w:tr w14:paraId="20029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0D488936">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30</w:t>
            </w:r>
          </w:p>
        </w:tc>
        <w:tc>
          <w:tcPr>
            <w:tcW w:w="1402" w:type="dxa"/>
            <w:noWrap/>
            <w:vAlign w:val="center"/>
          </w:tcPr>
          <w:p w14:paraId="3C4CB8AC">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151.5</w:t>
            </w:r>
          </w:p>
        </w:tc>
        <w:tc>
          <w:tcPr>
            <w:tcW w:w="1630" w:type="dxa"/>
            <w:noWrap/>
            <w:vAlign w:val="center"/>
          </w:tcPr>
          <w:p w14:paraId="2B7490F8">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4.42E-01</w:t>
            </w:r>
          </w:p>
        </w:tc>
        <w:tc>
          <w:tcPr>
            <w:tcW w:w="1630" w:type="dxa"/>
            <w:noWrap/>
            <w:vAlign w:val="center"/>
          </w:tcPr>
          <w:p w14:paraId="466A9AB4">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0.01282</w:t>
            </w:r>
          </w:p>
        </w:tc>
        <w:tc>
          <w:tcPr>
            <w:tcW w:w="1630" w:type="dxa"/>
            <w:noWrap/>
            <w:vAlign w:val="center"/>
          </w:tcPr>
          <w:p w14:paraId="7B9BFEA7">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7.608E-09</w:t>
            </w:r>
          </w:p>
        </w:tc>
        <w:tc>
          <w:tcPr>
            <w:tcW w:w="1630" w:type="dxa"/>
            <w:noWrap/>
            <w:vAlign w:val="center"/>
          </w:tcPr>
          <w:p w14:paraId="253C8B72">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20163C81">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330864E3">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3" w:type="dxa"/>
            <w:noWrap/>
            <w:vAlign w:val="center"/>
          </w:tcPr>
          <w:p w14:paraId="5AD81C9C">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r>
      <w:tr w14:paraId="407D3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2090EB91">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40</w:t>
            </w:r>
          </w:p>
        </w:tc>
        <w:tc>
          <w:tcPr>
            <w:tcW w:w="1402" w:type="dxa"/>
            <w:noWrap/>
            <w:vAlign w:val="center"/>
          </w:tcPr>
          <w:p w14:paraId="0FDD007B">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210.9</w:t>
            </w:r>
          </w:p>
        </w:tc>
        <w:tc>
          <w:tcPr>
            <w:tcW w:w="1630" w:type="dxa"/>
            <w:noWrap/>
            <w:vAlign w:val="center"/>
          </w:tcPr>
          <w:p w14:paraId="48F51BF5">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2.21E+00</w:t>
            </w:r>
          </w:p>
        </w:tc>
        <w:tc>
          <w:tcPr>
            <w:tcW w:w="1630" w:type="dxa"/>
            <w:noWrap/>
            <w:vAlign w:val="center"/>
          </w:tcPr>
          <w:p w14:paraId="65F4C114">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0.1223</w:t>
            </w:r>
          </w:p>
        </w:tc>
        <w:tc>
          <w:tcPr>
            <w:tcW w:w="1630" w:type="dxa"/>
            <w:noWrap/>
            <w:vAlign w:val="center"/>
          </w:tcPr>
          <w:p w14:paraId="38A2C9BF">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4.032E-07</w:t>
            </w:r>
          </w:p>
        </w:tc>
        <w:tc>
          <w:tcPr>
            <w:tcW w:w="1630" w:type="dxa"/>
            <w:noWrap/>
            <w:vAlign w:val="center"/>
          </w:tcPr>
          <w:p w14:paraId="1F14D70F">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5468C77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0E406456">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3" w:type="dxa"/>
            <w:noWrap/>
            <w:vAlign w:val="center"/>
          </w:tcPr>
          <w:p w14:paraId="7DD6A40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r>
      <w:tr w14:paraId="4191C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3E9627CE">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50</w:t>
            </w:r>
          </w:p>
        </w:tc>
        <w:tc>
          <w:tcPr>
            <w:tcW w:w="1402" w:type="dxa"/>
            <w:noWrap/>
            <w:vAlign w:val="center"/>
          </w:tcPr>
          <w:p w14:paraId="77DFCC98">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264.2</w:t>
            </w:r>
          </w:p>
        </w:tc>
        <w:tc>
          <w:tcPr>
            <w:tcW w:w="1630" w:type="dxa"/>
            <w:noWrap/>
            <w:vAlign w:val="center"/>
          </w:tcPr>
          <w:p w14:paraId="29F04CC1">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6.35E+00</w:t>
            </w:r>
          </w:p>
        </w:tc>
        <w:tc>
          <w:tcPr>
            <w:tcW w:w="1630" w:type="dxa"/>
            <w:noWrap/>
            <w:vAlign w:val="center"/>
          </w:tcPr>
          <w:p w14:paraId="1BCF7264">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5.69E-01</w:t>
            </w:r>
          </w:p>
        </w:tc>
        <w:tc>
          <w:tcPr>
            <w:tcW w:w="1630" w:type="dxa"/>
            <w:noWrap/>
            <w:vAlign w:val="center"/>
          </w:tcPr>
          <w:p w14:paraId="36A02DE8">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8.15E-06</w:t>
            </w:r>
          </w:p>
        </w:tc>
        <w:tc>
          <w:tcPr>
            <w:tcW w:w="1630" w:type="dxa"/>
            <w:noWrap/>
            <w:vAlign w:val="center"/>
          </w:tcPr>
          <w:p w14:paraId="2650F47F">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00AA2A70">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2CE09026">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3" w:type="dxa"/>
            <w:noWrap/>
            <w:vAlign w:val="center"/>
          </w:tcPr>
          <w:p w14:paraId="59B6D2C2">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r>
      <w:tr w14:paraId="08CE8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7877FD1E">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100</w:t>
            </w:r>
          </w:p>
        </w:tc>
        <w:tc>
          <w:tcPr>
            <w:tcW w:w="1402" w:type="dxa"/>
            <w:noWrap/>
            <w:vAlign w:val="center"/>
          </w:tcPr>
          <w:p w14:paraId="27C8C9E8">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464.3</w:t>
            </w:r>
          </w:p>
        </w:tc>
        <w:tc>
          <w:tcPr>
            <w:tcW w:w="1630" w:type="dxa"/>
            <w:noWrap/>
            <w:vAlign w:val="center"/>
          </w:tcPr>
          <w:p w14:paraId="73458C24">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66.92</w:t>
            </w:r>
          </w:p>
        </w:tc>
        <w:tc>
          <w:tcPr>
            <w:tcW w:w="1630" w:type="dxa"/>
            <w:noWrap/>
            <w:vAlign w:val="center"/>
          </w:tcPr>
          <w:p w14:paraId="4426403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19.22</w:t>
            </w:r>
          </w:p>
        </w:tc>
        <w:tc>
          <w:tcPr>
            <w:tcW w:w="1630" w:type="dxa"/>
            <w:noWrap/>
            <w:vAlign w:val="center"/>
          </w:tcPr>
          <w:p w14:paraId="73DF9C5E">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3.14E-02</w:t>
            </w:r>
          </w:p>
        </w:tc>
        <w:tc>
          <w:tcPr>
            <w:tcW w:w="1630" w:type="dxa"/>
            <w:noWrap/>
            <w:vAlign w:val="center"/>
          </w:tcPr>
          <w:p w14:paraId="35635EBF">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7FDDA277">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16B20736">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3" w:type="dxa"/>
            <w:noWrap/>
            <w:vAlign w:val="center"/>
          </w:tcPr>
          <w:p w14:paraId="1F955895">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r>
      <w:tr w14:paraId="68B62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386B2540">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200</w:t>
            </w:r>
          </w:p>
        </w:tc>
        <w:tc>
          <w:tcPr>
            <w:tcW w:w="1402" w:type="dxa"/>
            <w:noWrap/>
            <w:vAlign w:val="center"/>
          </w:tcPr>
          <w:p w14:paraId="44EE8121">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695</w:t>
            </w:r>
          </w:p>
        </w:tc>
        <w:tc>
          <w:tcPr>
            <w:tcW w:w="1630" w:type="dxa"/>
            <w:noWrap/>
            <w:vAlign w:val="center"/>
          </w:tcPr>
          <w:p w14:paraId="610F60E3">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2.69E+02</w:t>
            </w:r>
          </w:p>
        </w:tc>
        <w:tc>
          <w:tcPr>
            <w:tcW w:w="1630" w:type="dxa"/>
            <w:noWrap/>
            <w:vAlign w:val="center"/>
          </w:tcPr>
          <w:p w14:paraId="414944B3">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148</w:t>
            </w:r>
          </w:p>
        </w:tc>
        <w:tc>
          <w:tcPr>
            <w:tcW w:w="1630" w:type="dxa"/>
            <w:noWrap/>
            <w:vAlign w:val="center"/>
          </w:tcPr>
          <w:p w14:paraId="2AFED32B">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6.5</w:t>
            </w:r>
          </w:p>
        </w:tc>
        <w:tc>
          <w:tcPr>
            <w:tcW w:w="1630" w:type="dxa"/>
            <w:noWrap/>
            <w:vAlign w:val="center"/>
          </w:tcPr>
          <w:p w14:paraId="12A598F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45DFDBF1">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60CD9F63">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3" w:type="dxa"/>
            <w:noWrap/>
            <w:vAlign w:val="center"/>
          </w:tcPr>
          <w:p w14:paraId="5C2A8C6C">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r>
      <w:tr w14:paraId="7A17E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66D3FED6">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300</w:t>
            </w:r>
          </w:p>
        </w:tc>
        <w:tc>
          <w:tcPr>
            <w:tcW w:w="1402" w:type="dxa"/>
            <w:noWrap/>
            <w:vAlign w:val="center"/>
          </w:tcPr>
          <w:p w14:paraId="406FFB54">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827.2</w:t>
            </w:r>
          </w:p>
        </w:tc>
        <w:tc>
          <w:tcPr>
            <w:tcW w:w="1630" w:type="dxa"/>
            <w:noWrap/>
            <w:vAlign w:val="center"/>
          </w:tcPr>
          <w:p w14:paraId="502AEE63">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458.2</w:t>
            </w:r>
          </w:p>
        </w:tc>
        <w:tc>
          <w:tcPr>
            <w:tcW w:w="1630" w:type="dxa"/>
            <w:noWrap/>
            <w:vAlign w:val="center"/>
          </w:tcPr>
          <w:p w14:paraId="32A9A794">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315.7</w:t>
            </w:r>
          </w:p>
        </w:tc>
        <w:tc>
          <w:tcPr>
            <w:tcW w:w="1630" w:type="dxa"/>
            <w:noWrap/>
            <w:vAlign w:val="center"/>
          </w:tcPr>
          <w:p w14:paraId="62629316">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44.7</w:t>
            </w:r>
          </w:p>
        </w:tc>
        <w:tc>
          <w:tcPr>
            <w:tcW w:w="1630" w:type="dxa"/>
            <w:noWrap/>
            <w:vAlign w:val="center"/>
          </w:tcPr>
          <w:p w14:paraId="63404848">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5.18E-09</w:t>
            </w:r>
          </w:p>
        </w:tc>
        <w:tc>
          <w:tcPr>
            <w:tcW w:w="1630" w:type="dxa"/>
            <w:noWrap/>
            <w:vAlign w:val="center"/>
          </w:tcPr>
          <w:p w14:paraId="6EEC5E7D">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4B44FA97">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3" w:type="dxa"/>
            <w:noWrap/>
            <w:vAlign w:val="center"/>
          </w:tcPr>
          <w:p w14:paraId="7DF3B86C">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r>
      <w:tr w14:paraId="75F29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229C302F">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400</w:t>
            </w:r>
          </w:p>
        </w:tc>
        <w:tc>
          <w:tcPr>
            <w:tcW w:w="1402" w:type="dxa"/>
            <w:noWrap/>
            <w:vAlign w:val="center"/>
          </w:tcPr>
          <w:p w14:paraId="784B72EE">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913</w:t>
            </w:r>
          </w:p>
        </w:tc>
        <w:tc>
          <w:tcPr>
            <w:tcW w:w="1630" w:type="dxa"/>
            <w:noWrap/>
            <w:vAlign w:val="center"/>
          </w:tcPr>
          <w:p w14:paraId="526FF566">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609</w:t>
            </w:r>
          </w:p>
        </w:tc>
        <w:tc>
          <w:tcPr>
            <w:tcW w:w="1630" w:type="dxa"/>
            <w:noWrap/>
            <w:vAlign w:val="center"/>
          </w:tcPr>
          <w:p w14:paraId="1019C6E2">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471.5</w:t>
            </w:r>
          </w:p>
        </w:tc>
        <w:tc>
          <w:tcPr>
            <w:tcW w:w="1630" w:type="dxa"/>
            <w:noWrap/>
            <w:vAlign w:val="center"/>
          </w:tcPr>
          <w:p w14:paraId="5BE66B48">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121.4</w:t>
            </w:r>
          </w:p>
        </w:tc>
        <w:tc>
          <w:tcPr>
            <w:tcW w:w="1630" w:type="dxa"/>
            <w:noWrap/>
            <w:vAlign w:val="center"/>
          </w:tcPr>
          <w:p w14:paraId="64086E1B">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6.99E-06</w:t>
            </w:r>
          </w:p>
        </w:tc>
        <w:tc>
          <w:tcPr>
            <w:tcW w:w="1630" w:type="dxa"/>
            <w:noWrap/>
            <w:vAlign w:val="center"/>
          </w:tcPr>
          <w:p w14:paraId="58E6D051">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30AC1007">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3" w:type="dxa"/>
            <w:noWrap/>
            <w:vAlign w:val="center"/>
          </w:tcPr>
          <w:p w14:paraId="6EA20F70">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r>
      <w:tr w14:paraId="22454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7F229DB8">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500</w:t>
            </w:r>
          </w:p>
        </w:tc>
        <w:tc>
          <w:tcPr>
            <w:tcW w:w="1402" w:type="dxa"/>
            <w:noWrap/>
            <w:vAlign w:val="center"/>
          </w:tcPr>
          <w:p w14:paraId="33156C7F">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971.3</w:t>
            </w:r>
          </w:p>
        </w:tc>
        <w:tc>
          <w:tcPr>
            <w:tcW w:w="1630" w:type="dxa"/>
            <w:noWrap/>
            <w:vAlign w:val="center"/>
          </w:tcPr>
          <w:p w14:paraId="2BA33BAC">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724.3</w:t>
            </w:r>
          </w:p>
        </w:tc>
        <w:tc>
          <w:tcPr>
            <w:tcW w:w="1630" w:type="dxa"/>
            <w:noWrap/>
            <w:vAlign w:val="center"/>
          </w:tcPr>
          <w:p w14:paraId="46C8947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601</w:t>
            </w:r>
          </w:p>
        </w:tc>
        <w:tc>
          <w:tcPr>
            <w:tcW w:w="1630" w:type="dxa"/>
            <w:noWrap/>
            <w:vAlign w:val="center"/>
          </w:tcPr>
          <w:p w14:paraId="53EC2DBD">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220.9</w:t>
            </w:r>
          </w:p>
        </w:tc>
        <w:tc>
          <w:tcPr>
            <w:tcW w:w="1630" w:type="dxa"/>
            <w:noWrap/>
            <w:vAlign w:val="center"/>
          </w:tcPr>
          <w:p w14:paraId="32F8317B">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0.0006018</w:t>
            </w:r>
          </w:p>
        </w:tc>
        <w:tc>
          <w:tcPr>
            <w:tcW w:w="1630" w:type="dxa"/>
            <w:noWrap/>
            <w:vAlign w:val="center"/>
          </w:tcPr>
          <w:p w14:paraId="15C0CE1A">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58DFC0D0">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3" w:type="dxa"/>
            <w:noWrap/>
            <w:vAlign w:val="center"/>
          </w:tcPr>
          <w:p w14:paraId="155C123D">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r>
      <w:tr w14:paraId="2A8F9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2916ED72">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600</w:t>
            </w:r>
          </w:p>
        </w:tc>
        <w:tc>
          <w:tcPr>
            <w:tcW w:w="1402" w:type="dxa"/>
            <w:noWrap/>
            <w:vAlign w:val="center"/>
          </w:tcPr>
          <w:p w14:paraId="66B8C2BE">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1013</w:t>
            </w:r>
          </w:p>
        </w:tc>
        <w:tc>
          <w:tcPr>
            <w:tcW w:w="1630" w:type="dxa"/>
            <w:noWrap/>
            <w:vAlign w:val="center"/>
          </w:tcPr>
          <w:p w14:paraId="0AFF8B14">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813.1</w:t>
            </w:r>
          </w:p>
        </w:tc>
        <w:tc>
          <w:tcPr>
            <w:tcW w:w="1630" w:type="dxa"/>
            <w:noWrap/>
            <w:vAlign w:val="center"/>
          </w:tcPr>
          <w:p w14:paraId="1D6C2C27">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706.3</w:t>
            </w:r>
          </w:p>
        </w:tc>
        <w:tc>
          <w:tcPr>
            <w:tcW w:w="1630" w:type="dxa"/>
            <w:noWrap/>
            <w:vAlign w:val="center"/>
          </w:tcPr>
          <w:p w14:paraId="791B3158">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328.8</w:t>
            </w:r>
          </w:p>
        </w:tc>
        <w:tc>
          <w:tcPr>
            <w:tcW w:w="1630" w:type="dxa"/>
            <w:noWrap/>
            <w:vAlign w:val="center"/>
          </w:tcPr>
          <w:p w14:paraId="21625A6B">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0.01224</w:t>
            </w:r>
          </w:p>
        </w:tc>
        <w:tc>
          <w:tcPr>
            <w:tcW w:w="1630" w:type="dxa"/>
            <w:noWrap/>
            <w:vAlign w:val="center"/>
          </w:tcPr>
          <w:p w14:paraId="02E92F04">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0" w:type="dxa"/>
            <w:noWrap/>
            <w:vAlign w:val="center"/>
          </w:tcPr>
          <w:p w14:paraId="552DCE5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3" w:type="dxa"/>
            <w:noWrap/>
            <w:vAlign w:val="center"/>
          </w:tcPr>
          <w:p w14:paraId="3CAD0D83">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r>
      <w:tr w14:paraId="2A422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623F547A">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700</w:t>
            </w:r>
          </w:p>
        </w:tc>
        <w:tc>
          <w:tcPr>
            <w:tcW w:w="1402" w:type="dxa"/>
            <w:noWrap/>
            <w:vAlign w:val="center"/>
          </w:tcPr>
          <w:p w14:paraId="7965D82F">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1044</w:t>
            </w:r>
          </w:p>
        </w:tc>
        <w:tc>
          <w:tcPr>
            <w:tcW w:w="1630" w:type="dxa"/>
            <w:noWrap/>
            <w:vAlign w:val="center"/>
          </w:tcPr>
          <w:p w14:paraId="6AC07E7C">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881.9</w:t>
            </w:r>
          </w:p>
        </w:tc>
        <w:tc>
          <w:tcPr>
            <w:tcW w:w="1630" w:type="dxa"/>
            <w:noWrap/>
            <w:vAlign w:val="center"/>
          </w:tcPr>
          <w:p w14:paraId="0380E90D">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791</w:t>
            </w:r>
          </w:p>
        </w:tc>
        <w:tc>
          <w:tcPr>
            <w:tcW w:w="1630" w:type="dxa"/>
            <w:noWrap/>
            <w:vAlign w:val="center"/>
          </w:tcPr>
          <w:p w14:paraId="79117223">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434.9</w:t>
            </w:r>
          </w:p>
        </w:tc>
        <w:tc>
          <w:tcPr>
            <w:tcW w:w="1630" w:type="dxa"/>
            <w:noWrap/>
            <w:vAlign w:val="center"/>
          </w:tcPr>
          <w:p w14:paraId="6EF56011">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0.106</w:t>
            </w:r>
          </w:p>
        </w:tc>
        <w:tc>
          <w:tcPr>
            <w:tcW w:w="1630" w:type="dxa"/>
            <w:noWrap/>
            <w:vAlign w:val="center"/>
          </w:tcPr>
          <w:p w14:paraId="720FF19C">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7.323E-09</w:t>
            </w:r>
          </w:p>
        </w:tc>
        <w:tc>
          <w:tcPr>
            <w:tcW w:w="1630" w:type="dxa"/>
            <w:noWrap/>
            <w:vAlign w:val="center"/>
          </w:tcPr>
          <w:p w14:paraId="2F34DA38">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3" w:type="dxa"/>
            <w:noWrap/>
            <w:vAlign w:val="center"/>
          </w:tcPr>
          <w:p w14:paraId="5DC523DE">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r>
      <w:tr w14:paraId="2F16E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7C8978C0">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800</w:t>
            </w:r>
          </w:p>
        </w:tc>
        <w:tc>
          <w:tcPr>
            <w:tcW w:w="1402" w:type="dxa"/>
            <w:noWrap/>
            <w:vAlign w:val="center"/>
          </w:tcPr>
          <w:p w14:paraId="2CE872FD">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1066</w:t>
            </w:r>
          </w:p>
        </w:tc>
        <w:tc>
          <w:tcPr>
            <w:tcW w:w="1630" w:type="dxa"/>
            <w:noWrap/>
            <w:vAlign w:val="center"/>
          </w:tcPr>
          <w:p w14:paraId="511C6CF0">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935.5</w:t>
            </w:r>
          </w:p>
        </w:tc>
        <w:tc>
          <w:tcPr>
            <w:tcW w:w="1630" w:type="dxa"/>
            <w:noWrap/>
            <w:vAlign w:val="center"/>
          </w:tcPr>
          <w:p w14:paraId="0906E6F4">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859</w:t>
            </w:r>
          </w:p>
        </w:tc>
        <w:tc>
          <w:tcPr>
            <w:tcW w:w="1630" w:type="dxa"/>
            <w:noWrap/>
            <w:vAlign w:val="center"/>
          </w:tcPr>
          <w:p w14:paraId="4C3CA58A">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533.6</w:t>
            </w:r>
          </w:p>
        </w:tc>
        <w:tc>
          <w:tcPr>
            <w:tcW w:w="1630" w:type="dxa"/>
            <w:noWrap/>
            <w:vAlign w:val="center"/>
          </w:tcPr>
          <w:p w14:paraId="66C9A961">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0.5323</w:t>
            </w:r>
          </w:p>
        </w:tc>
        <w:tc>
          <w:tcPr>
            <w:tcW w:w="1630" w:type="dxa"/>
            <w:noWrap/>
            <w:vAlign w:val="center"/>
          </w:tcPr>
          <w:p w14:paraId="4B8D95DB">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4.132E-07</w:t>
            </w:r>
          </w:p>
        </w:tc>
        <w:tc>
          <w:tcPr>
            <w:tcW w:w="1630" w:type="dxa"/>
            <w:noWrap/>
            <w:vAlign w:val="center"/>
          </w:tcPr>
          <w:p w14:paraId="61CE9E0B">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3" w:type="dxa"/>
            <w:noWrap/>
            <w:vAlign w:val="center"/>
          </w:tcPr>
          <w:p w14:paraId="63AAEAAB">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r>
      <w:tr w14:paraId="019D5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06166B9B">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900</w:t>
            </w:r>
          </w:p>
        </w:tc>
        <w:tc>
          <w:tcPr>
            <w:tcW w:w="1402" w:type="dxa"/>
            <w:noWrap/>
            <w:vAlign w:val="center"/>
          </w:tcPr>
          <w:p w14:paraId="050D6DDB">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1084</w:t>
            </w:r>
          </w:p>
        </w:tc>
        <w:tc>
          <w:tcPr>
            <w:tcW w:w="1630" w:type="dxa"/>
            <w:noWrap/>
            <w:vAlign w:val="center"/>
          </w:tcPr>
          <w:p w14:paraId="0B11D9DB">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977.5</w:t>
            </w:r>
          </w:p>
        </w:tc>
        <w:tc>
          <w:tcPr>
            <w:tcW w:w="1630" w:type="dxa"/>
            <w:noWrap/>
            <w:vAlign w:val="center"/>
          </w:tcPr>
          <w:p w14:paraId="1DF27344">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913.4</w:t>
            </w:r>
          </w:p>
        </w:tc>
        <w:tc>
          <w:tcPr>
            <w:tcW w:w="1630" w:type="dxa"/>
            <w:noWrap/>
            <w:vAlign w:val="center"/>
          </w:tcPr>
          <w:p w14:paraId="664E8472">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622.5</w:t>
            </w:r>
          </w:p>
        </w:tc>
        <w:tc>
          <w:tcPr>
            <w:tcW w:w="1630" w:type="dxa"/>
            <w:noWrap/>
            <w:vAlign w:val="center"/>
          </w:tcPr>
          <w:p w14:paraId="3D160EC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1.852</w:t>
            </w:r>
          </w:p>
        </w:tc>
        <w:tc>
          <w:tcPr>
            <w:tcW w:w="1630" w:type="dxa"/>
            <w:noWrap/>
            <w:vAlign w:val="center"/>
          </w:tcPr>
          <w:p w14:paraId="34BAA7D4">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9.68E-06</w:t>
            </w:r>
          </w:p>
        </w:tc>
        <w:tc>
          <w:tcPr>
            <w:tcW w:w="1630" w:type="dxa"/>
            <w:noWrap/>
            <w:vAlign w:val="center"/>
          </w:tcPr>
          <w:p w14:paraId="079AD7B5">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3" w:type="dxa"/>
            <w:noWrap/>
            <w:vAlign w:val="center"/>
          </w:tcPr>
          <w:p w14:paraId="3D7A8A02">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r>
      <w:tr w14:paraId="40664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008AC8C8">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1000</w:t>
            </w:r>
          </w:p>
        </w:tc>
        <w:tc>
          <w:tcPr>
            <w:tcW w:w="1402" w:type="dxa"/>
            <w:noWrap/>
            <w:vAlign w:val="center"/>
          </w:tcPr>
          <w:p w14:paraId="28971A92">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1097</w:t>
            </w:r>
          </w:p>
        </w:tc>
        <w:tc>
          <w:tcPr>
            <w:tcW w:w="1630" w:type="dxa"/>
            <w:noWrap/>
            <w:vAlign w:val="center"/>
          </w:tcPr>
          <w:p w14:paraId="2A18EB82">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1011</w:t>
            </w:r>
          </w:p>
        </w:tc>
        <w:tc>
          <w:tcPr>
            <w:tcW w:w="1630" w:type="dxa"/>
            <w:noWrap/>
            <w:vAlign w:val="center"/>
          </w:tcPr>
          <w:p w14:paraId="481F9CD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957.2</w:t>
            </w:r>
          </w:p>
        </w:tc>
        <w:tc>
          <w:tcPr>
            <w:tcW w:w="1630" w:type="dxa"/>
            <w:noWrap/>
            <w:vAlign w:val="center"/>
          </w:tcPr>
          <w:p w14:paraId="038DAB7C">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700.8</w:t>
            </w:r>
          </w:p>
        </w:tc>
        <w:tc>
          <w:tcPr>
            <w:tcW w:w="1630" w:type="dxa"/>
            <w:noWrap/>
            <w:vAlign w:val="center"/>
          </w:tcPr>
          <w:p w14:paraId="3A1A09F5">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4.97</w:t>
            </w:r>
          </w:p>
        </w:tc>
        <w:tc>
          <w:tcPr>
            <w:tcW w:w="1630" w:type="dxa"/>
            <w:noWrap/>
            <w:vAlign w:val="center"/>
          </w:tcPr>
          <w:p w14:paraId="33EAC168">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1.21E-04</w:t>
            </w:r>
          </w:p>
        </w:tc>
        <w:tc>
          <w:tcPr>
            <w:tcW w:w="1630" w:type="dxa"/>
            <w:noWrap/>
            <w:vAlign w:val="center"/>
          </w:tcPr>
          <w:p w14:paraId="6EA6F58F">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1633" w:type="dxa"/>
            <w:noWrap/>
            <w:vAlign w:val="center"/>
          </w:tcPr>
          <w:p w14:paraId="0DB48498">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r>
      <w:tr w14:paraId="323F3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00DEDBE8">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1500</w:t>
            </w:r>
          </w:p>
        </w:tc>
        <w:tc>
          <w:tcPr>
            <w:tcW w:w="1402" w:type="dxa"/>
            <w:noWrap/>
            <w:vAlign w:val="center"/>
          </w:tcPr>
          <w:p w14:paraId="000F7041">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1132</w:t>
            </w:r>
          </w:p>
        </w:tc>
        <w:tc>
          <w:tcPr>
            <w:tcW w:w="1630" w:type="dxa"/>
            <w:noWrap/>
            <w:vAlign w:val="center"/>
          </w:tcPr>
          <w:p w14:paraId="027E8D17">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1100</w:t>
            </w:r>
          </w:p>
        </w:tc>
        <w:tc>
          <w:tcPr>
            <w:tcW w:w="1630" w:type="dxa"/>
            <w:noWrap/>
            <w:vAlign w:val="center"/>
          </w:tcPr>
          <w:p w14:paraId="36CE317D">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1078</w:t>
            </w:r>
          </w:p>
        </w:tc>
        <w:tc>
          <w:tcPr>
            <w:tcW w:w="1630" w:type="dxa"/>
            <w:noWrap/>
            <w:vAlign w:val="center"/>
          </w:tcPr>
          <w:p w14:paraId="3CADB067">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955.8</w:t>
            </w:r>
          </w:p>
        </w:tc>
        <w:tc>
          <w:tcPr>
            <w:tcW w:w="1630" w:type="dxa"/>
            <w:noWrap/>
            <w:vAlign w:val="center"/>
          </w:tcPr>
          <w:p w14:paraId="1F76819D">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84.92</w:t>
            </w:r>
          </w:p>
        </w:tc>
        <w:tc>
          <w:tcPr>
            <w:tcW w:w="1630" w:type="dxa"/>
            <w:noWrap/>
            <w:vAlign w:val="center"/>
          </w:tcPr>
          <w:p w14:paraId="3D262FD7">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2.14E-01</w:t>
            </w:r>
          </w:p>
        </w:tc>
        <w:tc>
          <w:tcPr>
            <w:tcW w:w="1630" w:type="dxa"/>
            <w:noWrap/>
            <w:vAlign w:val="center"/>
          </w:tcPr>
          <w:p w14:paraId="063C50AD">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1.86E-06</w:t>
            </w:r>
          </w:p>
        </w:tc>
        <w:tc>
          <w:tcPr>
            <w:tcW w:w="1633" w:type="dxa"/>
            <w:noWrap/>
            <w:vAlign w:val="center"/>
          </w:tcPr>
          <w:p w14:paraId="52CFCF9C">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r>
      <w:tr w14:paraId="655F6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380BE08B">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2000</w:t>
            </w:r>
          </w:p>
        </w:tc>
        <w:tc>
          <w:tcPr>
            <w:tcW w:w="1402" w:type="dxa"/>
            <w:noWrap/>
            <w:vAlign w:val="center"/>
          </w:tcPr>
          <w:p w14:paraId="0ADB034B">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1143</w:t>
            </w:r>
          </w:p>
        </w:tc>
        <w:tc>
          <w:tcPr>
            <w:tcW w:w="1630" w:type="dxa"/>
            <w:noWrap/>
            <w:vAlign w:val="center"/>
          </w:tcPr>
          <w:p w14:paraId="4F038FD8">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1131</w:t>
            </w:r>
          </w:p>
        </w:tc>
        <w:tc>
          <w:tcPr>
            <w:tcW w:w="1630" w:type="dxa"/>
            <w:noWrap/>
            <w:vAlign w:val="center"/>
          </w:tcPr>
          <w:p w14:paraId="18741025">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1122</w:t>
            </w:r>
          </w:p>
        </w:tc>
        <w:tc>
          <w:tcPr>
            <w:tcW w:w="1630" w:type="dxa"/>
            <w:noWrap/>
            <w:vAlign w:val="center"/>
          </w:tcPr>
          <w:p w14:paraId="01F30B5C">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1067</w:t>
            </w:r>
          </w:p>
        </w:tc>
        <w:tc>
          <w:tcPr>
            <w:tcW w:w="1630" w:type="dxa"/>
            <w:noWrap/>
            <w:vAlign w:val="center"/>
          </w:tcPr>
          <w:p w14:paraId="3287D2B1">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297.8</w:t>
            </w:r>
          </w:p>
        </w:tc>
        <w:tc>
          <w:tcPr>
            <w:tcW w:w="1630" w:type="dxa"/>
            <w:noWrap/>
            <w:vAlign w:val="center"/>
          </w:tcPr>
          <w:p w14:paraId="0AF32C88">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7.438</w:t>
            </w:r>
          </w:p>
        </w:tc>
        <w:tc>
          <w:tcPr>
            <w:tcW w:w="1630" w:type="dxa"/>
            <w:noWrap/>
            <w:vAlign w:val="center"/>
          </w:tcPr>
          <w:p w14:paraId="62A7245B">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3.24E-03</w:t>
            </w:r>
          </w:p>
        </w:tc>
        <w:tc>
          <w:tcPr>
            <w:tcW w:w="1633" w:type="dxa"/>
            <w:noWrap/>
            <w:vAlign w:val="center"/>
          </w:tcPr>
          <w:p w14:paraId="0D6850F0">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7.931E-07</w:t>
            </w:r>
          </w:p>
        </w:tc>
      </w:tr>
      <w:tr w14:paraId="7386D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2BA0FC17">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2500</w:t>
            </w:r>
          </w:p>
        </w:tc>
        <w:tc>
          <w:tcPr>
            <w:tcW w:w="1402" w:type="dxa"/>
            <w:noWrap/>
            <w:vAlign w:val="center"/>
          </w:tcPr>
          <w:p w14:paraId="2524C2C6">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1147</w:t>
            </w:r>
          </w:p>
        </w:tc>
        <w:tc>
          <w:tcPr>
            <w:tcW w:w="1630" w:type="dxa"/>
            <w:noWrap/>
            <w:vAlign w:val="center"/>
          </w:tcPr>
          <w:p w14:paraId="56578A83">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1142</w:t>
            </w:r>
          </w:p>
        </w:tc>
        <w:tc>
          <w:tcPr>
            <w:tcW w:w="1630" w:type="dxa"/>
            <w:noWrap/>
            <w:vAlign w:val="center"/>
          </w:tcPr>
          <w:p w14:paraId="0FE544A1">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1139</w:t>
            </w:r>
          </w:p>
        </w:tc>
        <w:tc>
          <w:tcPr>
            <w:tcW w:w="1630" w:type="dxa"/>
            <w:noWrap/>
            <w:vAlign w:val="center"/>
          </w:tcPr>
          <w:p w14:paraId="45C21BCE">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1115</w:t>
            </w:r>
          </w:p>
        </w:tc>
        <w:tc>
          <w:tcPr>
            <w:tcW w:w="1630" w:type="dxa"/>
            <w:noWrap/>
            <w:vAlign w:val="center"/>
          </w:tcPr>
          <w:p w14:paraId="03BDD7AC">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559.6</w:t>
            </w:r>
          </w:p>
        </w:tc>
        <w:tc>
          <w:tcPr>
            <w:tcW w:w="1630" w:type="dxa"/>
            <w:noWrap/>
            <w:vAlign w:val="center"/>
          </w:tcPr>
          <w:p w14:paraId="0727614A">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52.74</w:t>
            </w:r>
          </w:p>
        </w:tc>
        <w:tc>
          <w:tcPr>
            <w:tcW w:w="1630" w:type="dxa"/>
            <w:noWrap/>
            <w:vAlign w:val="center"/>
          </w:tcPr>
          <w:p w14:paraId="2360BDC5">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2.39E-01</w:t>
            </w:r>
          </w:p>
        </w:tc>
        <w:tc>
          <w:tcPr>
            <w:tcW w:w="1633" w:type="dxa"/>
            <w:noWrap/>
            <w:vAlign w:val="center"/>
          </w:tcPr>
          <w:p w14:paraId="51B1DC7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0.0006145</w:t>
            </w:r>
          </w:p>
        </w:tc>
      </w:tr>
      <w:tr w14:paraId="22E45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19F5D3ED">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3000</w:t>
            </w:r>
          </w:p>
        </w:tc>
        <w:tc>
          <w:tcPr>
            <w:tcW w:w="1402" w:type="dxa"/>
            <w:noWrap/>
            <w:vAlign w:val="center"/>
          </w:tcPr>
          <w:p w14:paraId="0DD0702E">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1149</w:t>
            </w:r>
          </w:p>
        </w:tc>
        <w:tc>
          <w:tcPr>
            <w:tcW w:w="1630" w:type="dxa"/>
            <w:noWrap/>
            <w:vAlign w:val="center"/>
          </w:tcPr>
          <w:p w14:paraId="5881C6BE">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1147</w:t>
            </w:r>
          </w:p>
        </w:tc>
        <w:tc>
          <w:tcPr>
            <w:tcW w:w="1630" w:type="dxa"/>
            <w:noWrap/>
            <w:vAlign w:val="center"/>
          </w:tcPr>
          <w:p w14:paraId="3DD60BA4">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1145</w:t>
            </w:r>
          </w:p>
        </w:tc>
        <w:tc>
          <w:tcPr>
            <w:tcW w:w="1630" w:type="dxa"/>
            <w:noWrap/>
            <w:vAlign w:val="center"/>
          </w:tcPr>
          <w:p w14:paraId="03569DC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1135</w:t>
            </w:r>
          </w:p>
        </w:tc>
        <w:tc>
          <w:tcPr>
            <w:tcW w:w="1630" w:type="dxa"/>
            <w:noWrap/>
            <w:vAlign w:val="center"/>
          </w:tcPr>
          <w:p w14:paraId="1FAC8ABB">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781.6</w:t>
            </w:r>
          </w:p>
        </w:tc>
        <w:tc>
          <w:tcPr>
            <w:tcW w:w="1630" w:type="dxa"/>
            <w:noWrap/>
            <w:vAlign w:val="center"/>
          </w:tcPr>
          <w:p w14:paraId="2CE30380">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169.4</w:t>
            </w:r>
          </w:p>
        </w:tc>
        <w:tc>
          <w:tcPr>
            <w:tcW w:w="1630" w:type="dxa"/>
            <w:noWrap/>
            <w:vAlign w:val="center"/>
          </w:tcPr>
          <w:p w14:paraId="77941FBE">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3.579</w:t>
            </w:r>
          </w:p>
        </w:tc>
        <w:tc>
          <w:tcPr>
            <w:tcW w:w="1633" w:type="dxa"/>
            <w:noWrap/>
            <w:vAlign w:val="center"/>
          </w:tcPr>
          <w:p w14:paraId="34690713">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0.04354</w:t>
            </w:r>
          </w:p>
        </w:tc>
      </w:tr>
      <w:tr w14:paraId="78216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 w:type="pct"/>
            <w:noWrap/>
            <w:vAlign w:val="center"/>
          </w:tcPr>
          <w:p w14:paraId="5B381F64">
            <w:pPr>
              <w:widowControl/>
              <w:snapToGrid w:val="0"/>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3650</w:t>
            </w:r>
          </w:p>
        </w:tc>
        <w:tc>
          <w:tcPr>
            <w:tcW w:w="1402" w:type="dxa"/>
            <w:noWrap/>
            <w:vAlign w:val="center"/>
          </w:tcPr>
          <w:p w14:paraId="390B42A6">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1150</w:t>
            </w:r>
          </w:p>
        </w:tc>
        <w:tc>
          <w:tcPr>
            <w:tcW w:w="1630" w:type="dxa"/>
            <w:noWrap/>
            <w:vAlign w:val="center"/>
          </w:tcPr>
          <w:p w14:paraId="73DFDD68">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1149</w:t>
            </w:r>
          </w:p>
        </w:tc>
        <w:tc>
          <w:tcPr>
            <w:tcW w:w="1630" w:type="dxa"/>
            <w:noWrap/>
            <w:vAlign w:val="center"/>
          </w:tcPr>
          <w:p w14:paraId="27E0D2FA">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1148</w:t>
            </w:r>
          </w:p>
        </w:tc>
        <w:tc>
          <w:tcPr>
            <w:tcW w:w="1630" w:type="dxa"/>
            <w:noWrap/>
            <w:vAlign w:val="center"/>
          </w:tcPr>
          <w:p w14:paraId="10645225">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1145</w:t>
            </w:r>
          </w:p>
        </w:tc>
        <w:tc>
          <w:tcPr>
            <w:tcW w:w="1630" w:type="dxa"/>
            <w:noWrap/>
            <w:vAlign w:val="center"/>
          </w:tcPr>
          <w:p w14:paraId="63041FD7">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970.1</w:t>
            </w:r>
          </w:p>
        </w:tc>
        <w:tc>
          <w:tcPr>
            <w:tcW w:w="1630" w:type="dxa"/>
            <w:noWrap/>
            <w:vAlign w:val="center"/>
          </w:tcPr>
          <w:p w14:paraId="0CDC22E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408.9</w:t>
            </w:r>
          </w:p>
        </w:tc>
        <w:tc>
          <w:tcPr>
            <w:tcW w:w="1630" w:type="dxa"/>
            <w:noWrap/>
            <w:vAlign w:val="center"/>
          </w:tcPr>
          <w:p w14:paraId="1B0840CD">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32.65</w:t>
            </w:r>
          </w:p>
        </w:tc>
        <w:tc>
          <w:tcPr>
            <w:tcW w:w="1633" w:type="dxa"/>
            <w:noWrap/>
            <w:vAlign w:val="center"/>
          </w:tcPr>
          <w:p w14:paraId="08AF5B6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1.54E+00</w:t>
            </w:r>
          </w:p>
        </w:tc>
      </w:tr>
    </w:tbl>
    <w:p w14:paraId="0AAC6D47">
      <w:pPr>
        <w:bidi w:val="0"/>
        <w:rPr>
          <w:rFonts w:hint="default"/>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0DBD72F8">
      <w:pPr>
        <w:pStyle w:val="43"/>
        <w:numPr>
          <w:ilvl w:val="5"/>
          <w:numId w:val="1"/>
        </w:numPr>
        <w:rPr>
          <w:rFonts w:hint="default"/>
        </w:rPr>
      </w:pPr>
      <w:r>
        <w:t>盐酸储罐泄漏在土壤中氯化物浓度随土壤深度变化表</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1"/>
        <w:gridCol w:w="1220"/>
        <w:gridCol w:w="1220"/>
        <w:gridCol w:w="1220"/>
        <w:gridCol w:w="1220"/>
        <w:gridCol w:w="1220"/>
        <w:gridCol w:w="1220"/>
        <w:gridCol w:w="1220"/>
        <w:gridCol w:w="1220"/>
        <w:gridCol w:w="1220"/>
        <w:gridCol w:w="1220"/>
        <w:gridCol w:w="1273"/>
      </w:tblGrid>
      <w:tr w14:paraId="4F881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247" w:type="pct"/>
            <w:noWrap/>
            <w:vAlign w:val="center"/>
          </w:tcPr>
          <w:p w14:paraId="03DE379B">
            <w:pPr>
              <w:widowControl/>
              <w:snapToGrid w:val="0"/>
              <w:spacing w:line="240" w:lineRule="auto"/>
              <w:ind w:firstLine="0" w:firstLineChars="0"/>
              <w:jc w:val="center"/>
              <w:textAlignment w:val="center"/>
              <w:rPr>
                <w:rFonts w:cs="Times New Roman"/>
                <w:b/>
                <w:bCs/>
                <w:color w:val="000000"/>
                <w:kern w:val="0"/>
                <w:sz w:val="20"/>
                <w:szCs w:val="20"/>
              </w:rPr>
            </w:pPr>
            <w:r>
              <w:rPr>
                <w:rFonts w:cs="Times New Roman"/>
                <w:b/>
                <w:bCs/>
                <w:color w:val="000000"/>
                <w:kern w:val="0"/>
                <w:sz w:val="20"/>
                <w:szCs w:val="20"/>
              </w:rPr>
              <w:t>深度（cm)</w:t>
            </w:r>
          </w:p>
        </w:tc>
        <w:tc>
          <w:tcPr>
            <w:tcW w:w="430" w:type="pct"/>
            <w:noWrap/>
            <w:vAlign w:val="center"/>
          </w:tcPr>
          <w:p w14:paraId="2475FD6F">
            <w:pPr>
              <w:widowControl/>
              <w:snapToGrid w:val="0"/>
              <w:spacing w:line="240" w:lineRule="auto"/>
              <w:ind w:firstLine="0" w:firstLineChars="0"/>
              <w:jc w:val="center"/>
              <w:textAlignment w:val="center"/>
              <w:rPr>
                <w:rFonts w:cs="Times New Roman"/>
                <w:b/>
                <w:bCs/>
                <w:color w:val="000000"/>
                <w:kern w:val="0"/>
                <w:sz w:val="20"/>
                <w:szCs w:val="20"/>
              </w:rPr>
            </w:pPr>
            <w:r>
              <w:rPr>
                <w:rFonts w:cs="Times New Roman"/>
                <w:b/>
                <w:bCs/>
                <w:color w:val="000000"/>
                <w:kern w:val="0"/>
                <w:sz w:val="20"/>
                <w:szCs w:val="20"/>
              </w:rPr>
              <w:t>第0年浓度（mg/cm</w:t>
            </w:r>
            <w:r>
              <w:rPr>
                <w:rFonts w:cs="Times New Roman"/>
                <w:b/>
                <w:bCs/>
                <w:color w:val="000000"/>
                <w:kern w:val="0"/>
                <w:sz w:val="20"/>
                <w:szCs w:val="20"/>
                <w:vertAlign w:val="superscript"/>
              </w:rPr>
              <w:t>3</w:t>
            </w:r>
            <w:r>
              <w:rPr>
                <w:rFonts w:cs="Times New Roman"/>
                <w:b/>
                <w:bCs/>
                <w:color w:val="000000"/>
                <w:kern w:val="0"/>
                <w:sz w:val="20"/>
                <w:szCs w:val="20"/>
              </w:rPr>
              <w:t>)</w:t>
            </w:r>
          </w:p>
        </w:tc>
        <w:tc>
          <w:tcPr>
            <w:tcW w:w="430" w:type="pct"/>
            <w:noWrap/>
            <w:vAlign w:val="center"/>
          </w:tcPr>
          <w:p w14:paraId="1C9F2D35">
            <w:pPr>
              <w:widowControl/>
              <w:snapToGrid w:val="0"/>
              <w:spacing w:line="240" w:lineRule="auto"/>
              <w:ind w:firstLine="0" w:firstLineChars="0"/>
              <w:jc w:val="center"/>
              <w:textAlignment w:val="center"/>
              <w:rPr>
                <w:rFonts w:cs="Times New Roman"/>
                <w:b/>
                <w:bCs/>
                <w:color w:val="000000"/>
                <w:kern w:val="0"/>
                <w:sz w:val="20"/>
                <w:szCs w:val="20"/>
              </w:rPr>
            </w:pPr>
            <w:r>
              <w:rPr>
                <w:rFonts w:cs="Times New Roman"/>
                <w:b/>
                <w:bCs/>
                <w:color w:val="000000"/>
                <w:kern w:val="0"/>
                <w:sz w:val="20"/>
                <w:szCs w:val="20"/>
              </w:rPr>
              <w:t>第1年浓度（mg/cm</w:t>
            </w:r>
            <w:r>
              <w:rPr>
                <w:rFonts w:cs="Times New Roman"/>
                <w:b/>
                <w:bCs/>
                <w:color w:val="000000"/>
                <w:kern w:val="0"/>
                <w:sz w:val="20"/>
                <w:szCs w:val="20"/>
                <w:vertAlign w:val="superscript"/>
              </w:rPr>
              <w:t>3</w:t>
            </w:r>
            <w:r>
              <w:rPr>
                <w:rFonts w:cs="Times New Roman"/>
                <w:b/>
                <w:bCs/>
                <w:color w:val="000000"/>
                <w:kern w:val="0"/>
                <w:sz w:val="20"/>
                <w:szCs w:val="20"/>
              </w:rPr>
              <w:t>)</w:t>
            </w:r>
          </w:p>
        </w:tc>
        <w:tc>
          <w:tcPr>
            <w:tcW w:w="430" w:type="pct"/>
            <w:noWrap/>
            <w:vAlign w:val="center"/>
          </w:tcPr>
          <w:p w14:paraId="1974EABE">
            <w:pPr>
              <w:widowControl/>
              <w:snapToGrid w:val="0"/>
              <w:spacing w:line="240" w:lineRule="auto"/>
              <w:ind w:firstLine="0" w:firstLineChars="0"/>
              <w:jc w:val="center"/>
              <w:textAlignment w:val="center"/>
              <w:rPr>
                <w:rFonts w:cs="Times New Roman"/>
                <w:b/>
                <w:bCs/>
                <w:color w:val="000000"/>
                <w:kern w:val="0"/>
                <w:sz w:val="20"/>
                <w:szCs w:val="20"/>
              </w:rPr>
            </w:pPr>
            <w:r>
              <w:rPr>
                <w:rFonts w:cs="Times New Roman"/>
                <w:b/>
                <w:bCs/>
                <w:color w:val="000000"/>
                <w:kern w:val="0"/>
                <w:sz w:val="20"/>
                <w:szCs w:val="20"/>
              </w:rPr>
              <w:t>第2年浓度（mg/cm</w:t>
            </w:r>
            <w:r>
              <w:rPr>
                <w:rFonts w:cs="Times New Roman"/>
                <w:b/>
                <w:bCs/>
                <w:color w:val="000000"/>
                <w:kern w:val="0"/>
                <w:sz w:val="20"/>
                <w:szCs w:val="20"/>
                <w:vertAlign w:val="superscript"/>
              </w:rPr>
              <w:t>3</w:t>
            </w:r>
            <w:r>
              <w:rPr>
                <w:rFonts w:cs="Times New Roman"/>
                <w:b/>
                <w:bCs/>
                <w:color w:val="000000"/>
                <w:kern w:val="0"/>
                <w:sz w:val="20"/>
                <w:szCs w:val="20"/>
              </w:rPr>
              <w:t>)</w:t>
            </w:r>
          </w:p>
        </w:tc>
        <w:tc>
          <w:tcPr>
            <w:tcW w:w="430" w:type="pct"/>
            <w:noWrap/>
            <w:vAlign w:val="center"/>
          </w:tcPr>
          <w:p w14:paraId="18B785AF">
            <w:pPr>
              <w:widowControl/>
              <w:snapToGrid w:val="0"/>
              <w:spacing w:line="240" w:lineRule="auto"/>
              <w:ind w:firstLine="0" w:firstLineChars="0"/>
              <w:jc w:val="center"/>
              <w:textAlignment w:val="center"/>
              <w:rPr>
                <w:rFonts w:cs="Times New Roman"/>
                <w:b/>
                <w:bCs/>
                <w:color w:val="000000"/>
                <w:kern w:val="0"/>
                <w:sz w:val="20"/>
                <w:szCs w:val="20"/>
              </w:rPr>
            </w:pPr>
            <w:r>
              <w:rPr>
                <w:rFonts w:cs="Times New Roman"/>
                <w:b/>
                <w:bCs/>
                <w:color w:val="000000"/>
                <w:kern w:val="0"/>
                <w:sz w:val="20"/>
                <w:szCs w:val="20"/>
              </w:rPr>
              <w:t>第3年浓度（mg/cm</w:t>
            </w:r>
            <w:r>
              <w:rPr>
                <w:rFonts w:cs="Times New Roman"/>
                <w:b/>
                <w:bCs/>
                <w:color w:val="000000"/>
                <w:kern w:val="0"/>
                <w:sz w:val="20"/>
                <w:szCs w:val="20"/>
                <w:vertAlign w:val="superscript"/>
              </w:rPr>
              <w:t>3</w:t>
            </w:r>
            <w:r>
              <w:rPr>
                <w:rFonts w:cs="Times New Roman"/>
                <w:b/>
                <w:bCs/>
                <w:color w:val="000000"/>
                <w:kern w:val="0"/>
                <w:sz w:val="20"/>
                <w:szCs w:val="20"/>
              </w:rPr>
              <w:t>)</w:t>
            </w:r>
          </w:p>
        </w:tc>
        <w:tc>
          <w:tcPr>
            <w:tcW w:w="430" w:type="pct"/>
            <w:noWrap/>
            <w:vAlign w:val="center"/>
          </w:tcPr>
          <w:p w14:paraId="7D197A15">
            <w:pPr>
              <w:widowControl/>
              <w:snapToGrid w:val="0"/>
              <w:spacing w:line="240" w:lineRule="auto"/>
              <w:ind w:firstLine="0" w:firstLineChars="0"/>
              <w:jc w:val="center"/>
              <w:textAlignment w:val="center"/>
              <w:rPr>
                <w:rFonts w:cs="Times New Roman"/>
                <w:b/>
                <w:bCs/>
                <w:color w:val="000000"/>
                <w:kern w:val="0"/>
                <w:sz w:val="20"/>
                <w:szCs w:val="20"/>
              </w:rPr>
            </w:pPr>
            <w:r>
              <w:rPr>
                <w:rFonts w:cs="Times New Roman"/>
                <w:b/>
                <w:bCs/>
                <w:color w:val="000000"/>
                <w:kern w:val="0"/>
                <w:sz w:val="20"/>
                <w:szCs w:val="20"/>
              </w:rPr>
              <w:t>第4年浓度（mg/cm</w:t>
            </w:r>
            <w:r>
              <w:rPr>
                <w:rFonts w:cs="Times New Roman"/>
                <w:b/>
                <w:bCs/>
                <w:color w:val="000000"/>
                <w:kern w:val="0"/>
                <w:sz w:val="20"/>
                <w:szCs w:val="20"/>
                <w:vertAlign w:val="superscript"/>
              </w:rPr>
              <w:t>3</w:t>
            </w:r>
            <w:r>
              <w:rPr>
                <w:rFonts w:cs="Times New Roman"/>
                <w:b/>
                <w:bCs/>
                <w:color w:val="000000"/>
                <w:kern w:val="0"/>
                <w:sz w:val="20"/>
                <w:szCs w:val="20"/>
              </w:rPr>
              <w:t>)</w:t>
            </w:r>
          </w:p>
        </w:tc>
        <w:tc>
          <w:tcPr>
            <w:tcW w:w="430" w:type="pct"/>
            <w:noWrap/>
            <w:vAlign w:val="center"/>
          </w:tcPr>
          <w:p w14:paraId="4FB9439E">
            <w:pPr>
              <w:widowControl/>
              <w:snapToGrid w:val="0"/>
              <w:spacing w:line="240" w:lineRule="auto"/>
              <w:ind w:firstLine="0" w:firstLineChars="0"/>
              <w:jc w:val="center"/>
              <w:textAlignment w:val="center"/>
              <w:rPr>
                <w:rFonts w:cs="Times New Roman"/>
                <w:b/>
                <w:bCs/>
                <w:color w:val="000000"/>
                <w:kern w:val="0"/>
                <w:sz w:val="20"/>
                <w:szCs w:val="20"/>
              </w:rPr>
            </w:pPr>
            <w:r>
              <w:rPr>
                <w:rFonts w:cs="Times New Roman"/>
                <w:b/>
                <w:bCs/>
                <w:color w:val="000000"/>
                <w:kern w:val="0"/>
                <w:sz w:val="20"/>
                <w:szCs w:val="20"/>
              </w:rPr>
              <w:t>第5年浓度（mg/cm</w:t>
            </w:r>
            <w:r>
              <w:rPr>
                <w:rFonts w:cs="Times New Roman"/>
                <w:b/>
                <w:bCs/>
                <w:color w:val="000000"/>
                <w:kern w:val="0"/>
                <w:sz w:val="20"/>
                <w:szCs w:val="20"/>
                <w:vertAlign w:val="superscript"/>
              </w:rPr>
              <w:t>3</w:t>
            </w:r>
            <w:r>
              <w:rPr>
                <w:rFonts w:cs="Times New Roman"/>
                <w:b/>
                <w:bCs/>
                <w:color w:val="000000"/>
                <w:kern w:val="0"/>
                <w:sz w:val="20"/>
                <w:szCs w:val="20"/>
              </w:rPr>
              <w:t>)</w:t>
            </w:r>
          </w:p>
        </w:tc>
        <w:tc>
          <w:tcPr>
            <w:tcW w:w="430" w:type="pct"/>
            <w:noWrap/>
            <w:vAlign w:val="center"/>
          </w:tcPr>
          <w:p w14:paraId="09441AE8">
            <w:pPr>
              <w:widowControl/>
              <w:snapToGrid w:val="0"/>
              <w:spacing w:line="240" w:lineRule="auto"/>
              <w:ind w:firstLine="0" w:firstLineChars="0"/>
              <w:jc w:val="center"/>
              <w:textAlignment w:val="center"/>
              <w:rPr>
                <w:rFonts w:cs="Times New Roman"/>
                <w:b/>
                <w:bCs/>
                <w:color w:val="000000"/>
                <w:kern w:val="0"/>
                <w:sz w:val="20"/>
                <w:szCs w:val="20"/>
              </w:rPr>
            </w:pPr>
            <w:r>
              <w:rPr>
                <w:rFonts w:cs="Times New Roman"/>
                <w:b/>
                <w:bCs/>
                <w:color w:val="000000"/>
                <w:kern w:val="0"/>
                <w:sz w:val="20"/>
                <w:szCs w:val="20"/>
              </w:rPr>
              <w:t>第6年浓度（mg/cm</w:t>
            </w:r>
            <w:r>
              <w:rPr>
                <w:rFonts w:cs="Times New Roman"/>
                <w:b/>
                <w:bCs/>
                <w:color w:val="000000"/>
                <w:kern w:val="0"/>
                <w:sz w:val="20"/>
                <w:szCs w:val="20"/>
                <w:vertAlign w:val="superscript"/>
              </w:rPr>
              <w:t>3</w:t>
            </w:r>
            <w:r>
              <w:rPr>
                <w:rFonts w:cs="Times New Roman"/>
                <w:b/>
                <w:bCs/>
                <w:color w:val="000000"/>
                <w:kern w:val="0"/>
                <w:sz w:val="20"/>
                <w:szCs w:val="20"/>
              </w:rPr>
              <w:t>)</w:t>
            </w:r>
          </w:p>
        </w:tc>
        <w:tc>
          <w:tcPr>
            <w:tcW w:w="430" w:type="pct"/>
            <w:noWrap/>
            <w:vAlign w:val="center"/>
          </w:tcPr>
          <w:p w14:paraId="3C6ACB63">
            <w:pPr>
              <w:widowControl/>
              <w:snapToGrid w:val="0"/>
              <w:spacing w:line="240" w:lineRule="auto"/>
              <w:ind w:firstLine="0" w:firstLineChars="0"/>
              <w:jc w:val="center"/>
              <w:textAlignment w:val="center"/>
              <w:rPr>
                <w:rFonts w:cs="Times New Roman"/>
                <w:b/>
                <w:bCs/>
                <w:color w:val="000000"/>
                <w:kern w:val="0"/>
                <w:sz w:val="20"/>
                <w:szCs w:val="20"/>
              </w:rPr>
            </w:pPr>
            <w:r>
              <w:rPr>
                <w:rFonts w:cs="Times New Roman"/>
                <w:b/>
                <w:bCs/>
                <w:color w:val="000000"/>
                <w:kern w:val="0"/>
                <w:sz w:val="20"/>
                <w:szCs w:val="20"/>
              </w:rPr>
              <w:t>第7年浓度（mg/cm</w:t>
            </w:r>
            <w:r>
              <w:rPr>
                <w:rFonts w:cs="Times New Roman"/>
                <w:b/>
                <w:bCs/>
                <w:color w:val="000000"/>
                <w:kern w:val="0"/>
                <w:sz w:val="20"/>
                <w:szCs w:val="20"/>
                <w:vertAlign w:val="superscript"/>
              </w:rPr>
              <w:t>3</w:t>
            </w:r>
            <w:r>
              <w:rPr>
                <w:rFonts w:cs="Times New Roman"/>
                <w:b/>
                <w:bCs/>
                <w:color w:val="000000"/>
                <w:kern w:val="0"/>
                <w:sz w:val="20"/>
                <w:szCs w:val="20"/>
              </w:rPr>
              <w:t>)</w:t>
            </w:r>
          </w:p>
        </w:tc>
        <w:tc>
          <w:tcPr>
            <w:tcW w:w="430" w:type="pct"/>
            <w:noWrap/>
            <w:vAlign w:val="center"/>
          </w:tcPr>
          <w:p w14:paraId="109DAF27">
            <w:pPr>
              <w:widowControl/>
              <w:snapToGrid w:val="0"/>
              <w:spacing w:line="240" w:lineRule="auto"/>
              <w:ind w:firstLine="0" w:firstLineChars="0"/>
              <w:jc w:val="center"/>
              <w:textAlignment w:val="center"/>
              <w:rPr>
                <w:rFonts w:cs="Times New Roman"/>
                <w:b/>
                <w:bCs/>
                <w:color w:val="000000"/>
                <w:kern w:val="0"/>
                <w:sz w:val="20"/>
                <w:szCs w:val="20"/>
              </w:rPr>
            </w:pPr>
            <w:r>
              <w:rPr>
                <w:rFonts w:cs="Times New Roman"/>
                <w:b/>
                <w:bCs/>
                <w:color w:val="000000"/>
                <w:kern w:val="0"/>
                <w:sz w:val="20"/>
                <w:szCs w:val="20"/>
              </w:rPr>
              <w:t>第8年浓度（mg/cm</w:t>
            </w:r>
            <w:r>
              <w:rPr>
                <w:rFonts w:cs="Times New Roman"/>
                <w:b/>
                <w:bCs/>
                <w:color w:val="000000"/>
                <w:kern w:val="0"/>
                <w:sz w:val="20"/>
                <w:szCs w:val="20"/>
                <w:vertAlign w:val="superscript"/>
              </w:rPr>
              <w:t>3</w:t>
            </w:r>
            <w:r>
              <w:rPr>
                <w:rFonts w:cs="Times New Roman"/>
                <w:b/>
                <w:bCs/>
                <w:color w:val="000000"/>
                <w:kern w:val="0"/>
                <w:sz w:val="20"/>
                <w:szCs w:val="20"/>
              </w:rPr>
              <w:t>)</w:t>
            </w:r>
          </w:p>
        </w:tc>
        <w:tc>
          <w:tcPr>
            <w:tcW w:w="430" w:type="pct"/>
            <w:noWrap/>
            <w:vAlign w:val="center"/>
          </w:tcPr>
          <w:p w14:paraId="2D801493">
            <w:pPr>
              <w:widowControl/>
              <w:snapToGrid w:val="0"/>
              <w:spacing w:line="240" w:lineRule="auto"/>
              <w:ind w:firstLine="0" w:firstLineChars="0"/>
              <w:jc w:val="center"/>
              <w:textAlignment w:val="center"/>
              <w:rPr>
                <w:rFonts w:cs="Times New Roman"/>
                <w:b/>
                <w:bCs/>
                <w:color w:val="000000"/>
                <w:kern w:val="0"/>
                <w:sz w:val="20"/>
                <w:szCs w:val="20"/>
              </w:rPr>
            </w:pPr>
            <w:r>
              <w:rPr>
                <w:rFonts w:cs="Times New Roman"/>
                <w:b/>
                <w:bCs/>
                <w:color w:val="000000"/>
                <w:kern w:val="0"/>
                <w:sz w:val="20"/>
                <w:szCs w:val="20"/>
              </w:rPr>
              <w:t>第9年浓度（mg/cm</w:t>
            </w:r>
            <w:r>
              <w:rPr>
                <w:rFonts w:cs="Times New Roman"/>
                <w:b/>
                <w:bCs/>
                <w:color w:val="000000"/>
                <w:kern w:val="0"/>
                <w:sz w:val="20"/>
                <w:szCs w:val="20"/>
                <w:vertAlign w:val="superscript"/>
              </w:rPr>
              <w:t>3</w:t>
            </w:r>
            <w:r>
              <w:rPr>
                <w:rFonts w:cs="Times New Roman"/>
                <w:b/>
                <w:bCs/>
                <w:color w:val="000000"/>
                <w:kern w:val="0"/>
                <w:sz w:val="20"/>
                <w:szCs w:val="20"/>
              </w:rPr>
              <w:t>)</w:t>
            </w:r>
          </w:p>
        </w:tc>
        <w:tc>
          <w:tcPr>
            <w:tcW w:w="449" w:type="pct"/>
            <w:noWrap/>
            <w:vAlign w:val="center"/>
          </w:tcPr>
          <w:p w14:paraId="2D45CB57">
            <w:pPr>
              <w:widowControl/>
              <w:snapToGrid w:val="0"/>
              <w:spacing w:line="240" w:lineRule="auto"/>
              <w:ind w:firstLine="0" w:firstLineChars="0"/>
              <w:jc w:val="center"/>
              <w:textAlignment w:val="center"/>
              <w:rPr>
                <w:rFonts w:cs="Times New Roman"/>
                <w:b/>
                <w:bCs/>
                <w:color w:val="000000"/>
                <w:kern w:val="0"/>
                <w:sz w:val="20"/>
                <w:szCs w:val="20"/>
              </w:rPr>
            </w:pPr>
            <w:r>
              <w:rPr>
                <w:rFonts w:cs="Times New Roman"/>
                <w:b/>
                <w:bCs/>
                <w:color w:val="000000"/>
                <w:kern w:val="0"/>
                <w:sz w:val="20"/>
                <w:szCs w:val="20"/>
              </w:rPr>
              <w:t>第10年浓度（mg/cm</w:t>
            </w:r>
            <w:r>
              <w:rPr>
                <w:rFonts w:cs="Times New Roman"/>
                <w:b/>
                <w:bCs/>
                <w:color w:val="000000"/>
                <w:kern w:val="0"/>
                <w:sz w:val="20"/>
                <w:szCs w:val="20"/>
                <w:vertAlign w:val="superscript"/>
              </w:rPr>
              <w:t>3</w:t>
            </w:r>
            <w:r>
              <w:rPr>
                <w:rFonts w:cs="Times New Roman"/>
                <w:b/>
                <w:bCs/>
                <w:color w:val="000000"/>
                <w:kern w:val="0"/>
                <w:sz w:val="20"/>
                <w:szCs w:val="20"/>
              </w:rPr>
              <w:t>)</w:t>
            </w:r>
          </w:p>
        </w:tc>
      </w:tr>
      <w:tr w14:paraId="34BCA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47" w:type="pct"/>
            <w:noWrap/>
            <w:vAlign w:val="center"/>
          </w:tcPr>
          <w:p w14:paraId="1E6581DB">
            <w:pPr>
              <w:widowControl/>
              <w:snapToGrid w:val="0"/>
              <w:spacing w:line="240" w:lineRule="auto"/>
              <w:ind w:firstLine="0" w:firstLineChars="0"/>
              <w:jc w:val="center"/>
              <w:textAlignment w:val="center"/>
              <w:rPr>
                <w:rFonts w:cs="Times New Roman"/>
                <w:color w:val="000000"/>
                <w:kern w:val="0"/>
                <w:sz w:val="20"/>
                <w:szCs w:val="20"/>
              </w:rPr>
            </w:pPr>
            <w:r>
              <w:rPr>
                <w:rFonts w:cs="Times New Roman"/>
                <w:color w:val="000000"/>
                <w:kern w:val="0"/>
                <w:sz w:val="20"/>
                <w:szCs w:val="20"/>
              </w:rPr>
              <w:t>0</w:t>
            </w:r>
          </w:p>
        </w:tc>
        <w:tc>
          <w:tcPr>
            <w:tcW w:w="430" w:type="pct"/>
            <w:noWrap/>
            <w:vAlign w:val="center"/>
          </w:tcPr>
          <w:p w14:paraId="5C003037">
            <w:pPr>
              <w:widowControl/>
              <w:snapToGrid w:val="0"/>
              <w:spacing w:line="240" w:lineRule="auto"/>
              <w:ind w:firstLine="0" w:firstLineChars="0"/>
              <w:jc w:val="center"/>
              <w:textAlignment w:val="center"/>
              <w:rPr>
                <w:rFonts w:cs="Times New Roman"/>
                <w:color w:val="000000"/>
                <w:kern w:val="0"/>
                <w:sz w:val="20"/>
                <w:szCs w:val="20"/>
              </w:rPr>
            </w:pPr>
            <w:r>
              <w:rPr>
                <w:rFonts w:cs="Times New Roman"/>
                <w:color w:val="000000"/>
                <w:kern w:val="0"/>
                <w:sz w:val="20"/>
                <w:szCs w:val="20"/>
              </w:rPr>
              <w:t>0</w:t>
            </w:r>
          </w:p>
        </w:tc>
        <w:tc>
          <w:tcPr>
            <w:tcW w:w="430" w:type="pct"/>
            <w:noWrap/>
            <w:vAlign w:val="center"/>
          </w:tcPr>
          <w:p w14:paraId="74CCBC4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980.8</w:t>
            </w:r>
          </w:p>
        </w:tc>
        <w:tc>
          <w:tcPr>
            <w:tcW w:w="430" w:type="pct"/>
            <w:noWrap/>
            <w:vAlign w:val="center"/>
          </w:tcPr>
          <w:p w14:paraId="747F67DA">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1087</w:t>
            </w:r>
          </w:p>
        </w:tc>
        <w:tc>
          <w:tcPr>
            <w:tcW w:w="430" w:type="pct"/>
            <w:noWrap/>
            <w:vAlign w:val="center"/>
          </w:tcPr>
          <w:p w14:paraId="4129F8D4">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1023</w:t>
            </w:r>
          </w:p>
        </w:tc>
        <w:tc>
          <w:tcPr>
            <w:tcW w:w="430" w:type="pct"/>
            <w:noWrap/>
            <w:vAlign w:val="center"/>
          </w:tcPr>
          <w:p w14:paraId="237335DC">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1138</w:t>
            </w:r>
          </w:p>
        </w:tc>
        <w:tc>
          <w:tcPr>
            <w:tcW w:w="430" w:type="pct"/>
            <w:noWrap/>
            <w:vAlign w:val="center"/>
          </w:tcPr>
          <w:p w14:paraId="4FC3FC02">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1144</w:t>
            </w:r>
          </w:p>
        </w:tc>
        <w:tc>
          <w:tcPr>
            <w:tcW w:w="430" w:type="pct"/>
            <w:noWrap/>
            <w:vAlign w:val="center"/>
          </w:tcPr>
          <w:p w14:paraId="66AED557">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1147</w:t>
            </w:r>
          </w:p>
        </w:tc>
        <w:tc>
          <w:tcPr>
            <w:tcW w:w="430" w:type="pct"/>
            <w:noWrap/>
            <w:vAlign w:val="center"/>
          </w:tcPr>
          <w:p w14:paraId="4C24340D">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1148</w:t>
            </w:r>
          </w:p>
        </w:tc>
        <w:tc>
          <w:tcPr>
            <w:tcW w:w="430" w:type="pct"/>
            <w:noWrap/>
            <w:vAlign w:val="center"/>
          </w:tcPr>
          <w:p w14:paraId="4F390ECF">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1149</w:t>
            </w:r>
          </w:p>
        </w:tc>
        <w:tc>
          <w:tcPr>
            <w:tcW w:w="430" w:type="pct"/>
            <w:noWrap/>
            <w:vAlign w:val="center"/>
          </w:tcPr>
          <w:p w14:paraId="23F23F2B">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1150</w:t>
            </w:r>
          </w:p>
        </w:tc>
        <w:tc>
          <w:tcPr>
            <w:tcW w:w="449" w:type="pct"/>
            <w:noWrap/>
            <w:vAlign w:val="center"/>
          </w:tcPr>
          <w:p w14:paraId="15DC5A4E">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1150</w:t>
            </w:r>
          </w:p>
        </w:tc>
      </w:tr>
      <w:tr w14:paraId="3E595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47" w:type="pct"/>
            <w:noWrap/>
            <w:vAlign w:val="center"/>
          </w:tcPr>
          <w:p w14:paraId="0CDB6118">
            <w:pPr>
              <w:widowControl/>
              <w:snapToGrid w:val="0"/>
              <w:spacing w:line="240" w:lineRule="auto"/>
              <w:ind w:firstLine="0" w:firstLineChars="0"/>
              <w:jc w:val="center"/>
              <w:textAlignment w:val="center"/>
              <w:rPr>
                <w:rFonts w:cs="Times New Roman"/>
                <w:color w:val="000000"/>
                <w:kern w:val="0"/>
                <w:sz w:val="20"/>
                <w:szCs w:val="20"/>
              </w:rPr>
            </w:pPr>
            <w:r>
              <w:rPr>
                <w:rFonts w:cs="Times New Roman"/>
                <w:color w:val="000000"/>
                <w:kern w:val="0"/>
                <w:sz w:val="20"/>
                <w:szCs w:val="20"/>
              </w:rPr>
              <w:t>-10</w:t>
            </w:r>
          </w:p>
        </w:tc>
        <w:tc>
          <w:tcPr>
            <w:tcW w:w="430" w:type="pct"/>
            <w:noWrap/>
            <w:vAlign w:val="center"/>
          </w:tcPr>
          <w:p w14:paraId="7E01F470">
            <w:pPr>
              <w:widowControl/>
              <w:snapToGrid w:val="0"/>
              <w:spacing w:line="240" w:lineRule="auto"/>
              <w:ind w:firstLine="0" w:firstLineChars="0"/>
              <w:jc w:val="center"/>
              <w:textAlignment w:val="center"/>
              <w:rPr>
                <w:rFonts w:cs="Times New Roman"/>
                <w:color w:val="000000"/>
                <w:kern w:val="0"/>
                <w:sz w:val="20"/>
                <w:szCs w:val="20"/>
              </w:rPr>
            </w:pPr>
            <w:r>
              <w:rPr>
                <w:rFonts w:cs="Times New Roman"/>
                <w:color w:val="000000"/>
                <w:kern w:val="0"/>
                <w:sz w:val="20"/>
                <w:szCs w:val="20"/>
              </w:rPr>
              <w:t>0</w:t>
            </w:r>
          </w:p>
        </w:tc>
        <w:tc>
          <w:tcPr>
            <w:tcW w:w="430" w:type="pct"/>
            <w:noWrap/>
            <w:vAlign w:val="center"/>
          </w:tcPr>
          <w:p w14:paraId="5874DEDE">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777.6</w:t>
            </w:r>
          </w:p>
        </w:tc>
        <w:tc>
          <w:tcPr>
            <w:tcW w:w="430" w:type="pct"/>
            <w:noWrap/>
            <w:vAlign w:val="center"/>
          </w:tcPr>
          <w:p w14:paraId="11BA0FD7">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1006</w:t>
            </w:r>
          </w:p>
        </w:tc>
        <w:tc>
          <w:tcPr>
            <w:tcW w:w="430" w:type="pct"/>
            <w:noWrap/>
            <w:vAlign w:val="center"/>
          </w:tcPr>
          <w:p w14:paraId="641D7CB3">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1087</w:t>
            </w:r>
          </w:p>
        </w:tc>
        <w:tc>
          <w:tcPr>
            <w:tcW w:w="430" w:type="pct"/>
            <w:noWrap/>
            <w:vAlign w:val="center"/>
          </w:tcPr>
          <w:p w14:paraId="1A2E1D4E">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1121</w:t>
            </w:r>
          </w:p>
        </w:tc>
        <w:tc>
          <w:tcPr>
            <w:tcW w:w="430" w:type="pct"/>
            <w:noWrap/>
            <w:vAlign w:val="center"/>
          </w:tcPr>
          <w:p w14:paraId="4693F0B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1136</w:t>
            </w:r>
          </w:p>
        </w:tc>
        <w:tc>
          <w:tcPr>
            <w:tcW w:w="430" w:type="pct"/>
            <w:noWrap/>
            <w:vAlign w:val="center"/>
          </w:tcPr>
          <w:p w14:paraId="10AC6266">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1143</w:t>
            </w:r>
          </w:p>
        </w:tc>
        <w:tc>
          <w:tcPr>
            <w:tcW w:w="430" w:type="pct"/>
            <w:noWrap/>
            <w:vAlign w:val="center"/>
          </w:tcPr>
          <w:p w14:paraId="02EC440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1146</w:t>
            </w:r>
          </w:p>
        </w:tc>
        <w:tc>
          <w:tcPr>
            <w:tcW w:w="430" w:type="pct"/>
            <w:noWrap/>
            <w:vAlign w:val="center"/>
          </w:tcPr>
          <w:p w14:paraId="10EB6794">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1148</w:t>
            </w:r>
          </w:p>
        </w:tc>
        <w:tc>
          <w:tcPr>
            <w:tcW w:w="430" w:type="pct"/>
            <w:noWrap/>
            <w:vAlign w:val="center"/>
          </w:tcPr>
          <w:p w14:paraId="2E9C3E35">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1149</w:t>
            </w:r>
          </w:p>
        </w:tc>
        <w:tc>
          <w:tcPr>
            <w:tcW w:w="449" w:type="pct"/>
            <w:noWrap/>
            <w:vAlign w:val="center"/>
          </w:tcPr>
          <w:p w14:paraId="46E0C9DB">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1149</w:t>
            </w:r>
          </w:p>
        </w:tc>
      </w:tr>
      <w:tr w14:paraId="7ABA6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47" w:type="pct"/>
            <w:noWrap/>
            <w:vAlign w:val="center"/>
          </w:tcPr>
          <w:p w14:paraId="76271A0D">
            <w:pPr>
              <w:widowControl/>
              <w:snapToGrid w:val="0"/>
              <w:spacing w:line="240" w:lineRule="auto"/>
              <w:ind w:firstLine="0" w:firstLineChars="0"/>
              <w:jc w:val="center"/>
              <w:textAlignment w:val="center"/>
              <w:rPr>
                <w:rFonts w:cs="Times New Roman"/>
                <w:color w:val="000000"/>
                <w:kern w:val="0"/>
                <w:sz w:val="20"/>
                <w:szCs w:val="20"/>
              </w:rPr>
            </w:pPr>
            <w:r>
              <w:rPr>
                <w:rFonts w:cs="Times New Roman"/>
                <w:color w:val="000000"/>
                <w:kern w:val="0"/>
                <w:sz w:val="20"/>
                <w:szCs w:val="20"/>
              </w:rPr>
              <w:t>-20</w:t>
            </w:r>
          </w:p>
        </w:tc>
        <w:tc>
          <w:tcPr>
            <w:tcW w:w="430" w:type="pct"/>
            <w:noWrap/>
            <w:vAlign w:val="center"/>
          </w:tcPr>
          <w:p w14:paraId="61CEE001">
            <w:pPr>
              <w:widowControl/>
              <w:snapToGrid w:val="0"/>
              <w:spacing w:line="240" w:lineRule="auto"/>
              <w:ind w:firstLine="0" w:firstLineChars="0"/>
              <w:jc w:val="center"/>
              <w:textAlignment w:val="center"/>
              <w:rPr>
                <w:rFonts w:cs="Times New Roman"/>
                <w:color w:val="000000"/>
                <w:kern w:val="0"/>
                <w:sz w:val="20"/>
                <w:szCs w:val="20"/>
              </w:rPr>
            </w:pPr>
            <w:r>
              <w:rPr>
                <w:rFonts w:cs="Times New Roman"/>
                <w:color w:val="000000"/>
                <w:kern w:val="0"/>
                <w:sz w:val="20"/>
                <w:szCs w:val="20"/>
              </w:rPr>
              <w:t>0</w:t>
            </w:r>
          </w:p>
        </w:tc>
        <w:tc>
          <w:tcPr>
            <w:tcW w:w="430" w:type="pct"/>
            <w:noWrap/>
            <w:vAlign w:val="center"/>
          </w:tcPr>
          <w:p w14:paraId="2060967E">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536.8</w:t>
            </w:r>
          </w:p>
        </w:tc>
        <w:tc>
          <w:tcPr>
            <w:tcW w:w="430" w:type="pct"/>
            <w:noWrap/>
            <w:vAlign w:val="center"/>
          </w:tcPr>
          <w:p w14:paraId="797812BC">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885.8</w:t>
            </w:r>
          </w:p>
        </w:tc>
        <w:tc>
          <w:tcPr>
            <w:tcW w:w="430" w:type="pct"/>
            <w:noWrap/>
            <w:vAlign w:val="center"/>
          </w:tcPr>
          <w:p w14:paraId="74DA8AA3">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1029</w:t>
            </w:r>
          </w:p>
        </w:tc>
        <w:tc>
          <w:tcPr>
            <w:tcW w:w="430" w:type="pct"/>
            <w:noWrap/>
            <w:vAlign w:val="center"/>
          </w:tcPr>
          <w:p w14:paraId="00026273">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1092</w:t>
            </w:r>
          </w:p>
        </w:tc>
        <w:tc>
          <w:tcPr>
            <w:tcW w:w="430" w:type="pct"/>
            <w:noWrap/>
            <w:vAlign w:val="center"/>
          </w:tcPr>
          <w:p w14:paraId="74453AED">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1121</w:t>
            </w:r>
          </w:p>
        </w:tc>
        <w:tc>
          <w:tcPr>
            <w:tcW w:w="430" w:type="pct"/>
            <w:noWrap/>
            <w:vAlign w:val="center"/>
          </w:tcPr>
          <w:p w14:paraId="186A7A0E">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1135</w:t>
            </w:r>
          </w:p>
        </w:tc>
        <w:tc>
          <w:tcPr>
            <w:tcW w:w="430" w:type="pct"/>
            <w:noWrap/>
            <w:vAlign w:val="center"/>
          </w:tcPr>
          <w:p w14:paraId="62A2A673">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1143</w:t>
            </w:r>
          </w:p>
        </w:tc>
        <w:tc>
          <w:tcPr>
            <w:tcW w:w="430" w:type="pct"/>
            <w:noWrap/>
            <w:vAlign w:val="center"/>
          </w:tcPr>
          <w:p w14:paraId="1DB49B77">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1146</w:t>
            </w:r>
          </w:p>
        </w:tc>
        <w:tc>
          <w:tcPr>
            <w:tcW w:w="430" w:type="pct"/>
            <w:noWrap/>
            <w:vAlign w:val="center"/>
          </w:tcPr>
          <w:p w14:paraId="2DBCEAA1">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1148</w:t>
            </w:r>
          </w:p>
        </w:tc>
        <w:tc>
          <w:tcPr>
            <w:tcW w:w="449" w:type="pct"/>
            <w:noWrap/>
            <w:vAlign w:val="center"/>
          </w:tcPr>
          <w:p w14:paraId="33EBC988">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1149</w:t>
            </w:r>
          </w:p>
        </w:tc>
      </w:tr>
      <w:tr w14:paraId="6D166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47" w:type="pct"/>
            <w:noWrap/>
            <w:vAlign w:val="center"/>
          </w:tcPr>
          <w:p w14:paraId="0FA34048">
            <w:pPr>
              <w:widowControl/>
              <w:snapToGrid w:val="0"/>
              <w:spacing w:line="240" w:lineRule="auto"/>
              <w:ind w:firstLine="0" w:firstLineChars="0"/>
              <w:jc w:val="center"/>
              <w:textAlignment w:val="center"/>
              <w:rPr>
                <w:rFonts w:cs="Times New Roman"/>
                <w:color w:val="000000"/>
                <w:kern w:val="0"/>
                <w:sz w:val="20"/>
                <w:szCs w:val="20"/>
              </w:rPr>
            </w:pPr>
            <w:r>
              <w:rPr>
                <w:rFonts w:cs="Times New Roman"/>
                <w:color w:val="000000"/>
                <w:kern w:val="0"/>
                <w:sz w:val="20"/>
                <w:szCs w:val="20"/>
              </w:rPr>
              <w:t>-30</w:t>
            </w:r>
          </w:p>
        </w:tc>
        <w:tc>
          <w:tcPr>
            <w:tcW w:w="430" w:type="pct"/>
            <w:noWrap/>
            <w:vAlign w:val="center"/>
          </w:tcPr>
          <w:p w14:paraId="16062CE0">
            <w:pPr>
              <w:widowControl/>
              <w:snapToGrid w:val="0"/>
              <w:spacing w:line="240" w:lineRule="auto"/>
              <w:ind w:firstLine="0" w:firstLineChars="0"/>
              <w:jc w:val="center"/>
              <w:textAlignment w:val="center"/>
              <w:rPr>
                <w:rFonts w:cs="Times New Roman"/>
                <w:color w:val="000000"/>
                <w:kern w:val="0"/>
                <w:sz w:val="20"/>
                <w:szCs w:val="20"/>
              </w:rPr>
            </w:pPr>
            <w:r>
              <w:rPr>
                <w:rFonts w:cs="Times New Roman"/>
                <w:color w:val="000000"/>
                <w:kern w:val="0"/>
                <w:sz w:val="20"/>
                <w:szCs w:val="20"/>
              </w:rPr>
              <w:t>0</w:t>
            </w:r>
          </w:p>
        </w:tc>
        <w:tc>
          <w:tcPr>
            <w:tcW w:w="430" w:type="pct"/>
            <w:noWrap/>
            <w:vAlign w:val="center"/>
          </w:tcPr>
          <w:p w14:paraId="75A510D4">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314.7</w:t>
            </w:r>
          </w:p>
        </w:tc>
        <w:tc>
          <w:tcPr>
            <w:tcW w:w="430" w:type="pct"/>
            <w:noWrap/>
            <w:vAlign w:val="center"/>
          </w:tcPr>
          <w:p w14:paraId="5E40D9ED">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733.8</w:t>
            </w:r>
          </w:p>
        </w:tc>
        <w:tc>
          <w:tcPr>
            <w:tcW w:w="430" w:type="pct"/>
            <w:noWrap/>
            <w:vAlign w:val="center"/>
          </w:tcPr>
          <w:p w14:paraId="3F8E7372">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946.4</w:t>
            </w:r>
          </w:p>
        </w:tc>
        <w:tc>
          <w:tcPr>
            <w:tcW w:w="430" w:type="pct"/>
            <w:noWrap/>
            <w:vAlign w:val="center"/>
          </w:tcPr>
          <w:p w14:paraId="218A38C6">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1049</w:t>
            </w:r>
          </w:p>
        </w:tc>
        <w:tc>
          <w:tcPr>
            <w:tcW w:w="430" w:type="pct"/>
            <w:noWrap/>
            <w:vAlign w:val="center"/>
          </w:tcPr>
          <w:p w14:paraId="6EF20DB4">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1099</w:t>
            </w:r>
          </w:p>
        </w:tc>
        <w:tc>
          <w:tcPr>
            <w:tcW w:w="430" w:type="pct"/>
            <w:noWrap/>
            <w:vAlign w:val="center"/>
          </w:tcPr>
          <w:p w14:paraId="1D404747">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1123</w:t>
            </w:r>
          </w:p>
        </w:tc>
        <w:tc>
          <w:tcPr>
            <w:tcW w:w="430" w:type="pct"/>
            <w:noWrap/>
            <w:vAlign w:val="center"/>
          </w:tcPr>
          <w:p w14:paraId="0813630F">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1136</w:t>
            </w:r>
          </w:p>
        </w:tc>
        <w:tc>
          <w:tcPr>
            <w:tcW w:w="430" w:type="pct"/>
            <w:noWrap/>
            <w:vAlign w:val="center"/>
          </w:tcPr>
          <w:p w14:paraId="78C21A0C">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1143</w:t>
            </w:r>
          </w:p>
        </w:tc>
        <w:tc>
          <w:tcPr>
            <w:tcW w:w="430" w:type="pct"/>
            <w:noWrap/>
            <w:vAlign w:val="center"/>
          </w:tcPr>
          <w:p w14:paraId="4081DC08">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1146</w:t>
            </w:r>
          </w:p>
        </w:tc>
        <w:tc>
          <w:tcPr>
            <w:tcW w:w="449" w:type="pct"/>
            <w:noWrap/>
            <w:vAlign w:val="center"/>
          </w:tcPr>
          <w:p w14:paraId="2A874E67">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1148</w:t>
            </w:r>
          </w:p>
        </w:tc>
      </w:tr>
      <w:tr w14:paraId="6675F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47" w:type="pct"/>
            <w:noWrap/>
            <w:vAlign w:val="center"/>
          </w:tcPr>
          <w:p w14:paraId="2674DC6B">
            <w:pPr>
              <w:widowControl/>
              <w:snapToGrid w:val="0"/>
              <w:spacing w:line="240" w:lineRule="auto"/>
              <w:ind w:firstLine="0" w:firstLineChars="0"/>
              <w:jc w:val="center"/>
              <w:textAlignment w:val="center"/>
              <w:rPr>
                <w:rFonts w:cs="Times New Roman"/>
                <w:color w:val="000000"/>
                <w:kern w:val="0"/>
                <w:sz w:val="20"/>
                <w:szCs w:val="20"/>
              </w:rPr>
            </w:pPr>
            <w:r>
              <w:rPr>
                <w:rFonts w:cs="Times New Roman"/>
                <w:color w:val="000000"/>
                <w:kern w:val="0"/>
                <w:sz w:val="20"/>
                <w:szCs w:val="20"/>
              </w:rPr>
              <w:t>-50</w:t>
            </w:r>
          </w:p>
        </w:tc>
        <w:tc>
          <w:tcPr>
            <w:tcW w:w="430" w:type="pct"/>
            <w:noWrap/>
            <w:vAlign w:val="center"/>
          </w:tcPr>
          <w:p w14:paraId="09D09F15">
            <w:pPr>
              <w:widowControl/>
              <w:snapToGrid w:val="0"/>
              <w:spacing w:line="240" w:lineRule="auto"/>
              <w:ind w:firstLine="0" w:firstLineChars="0"/>
              <w:jc w:val="center"/>
              <w:textAlignment w:val="center"/>
              <w:rPr>
                <w:rFonts w:cs="Times New Roman"/>
                <w:color w:val="000000"/>
                <w:kern w:val="0"/>
                <w:sz w:val="20"/>
                <w:szCs w:val="20"/>
              </w:rPr>
            </w:pPr>
            <w:r>
              <w:rPr>
                <w:rFonts w:cs="Times New Roman"/>
                <w:color w:val="000000"/>
                <w:kern w:val="0"/>
                <w:sz w:val="20"/>
                <w:szCs w:val="20"/>
              </w:rPr>
              <w:t>0</w:t>
            </w:r>
          </w:p>
        </w:tc>
        <w:tc>
          <w:tcPr>
            <w:tcW w:w="430" w:type="pct"/>
            <w:noWrap/>
            <w:vAlign w:val="center"/>
          </w:tcPr>
          <w:p w14:paraId="674DFD53">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61.8</w:t>
            </w:r>
          </w:p>
        </w:tc>
        <w:tc>
          <w:tcPr>
            <w:tcW w:w="430" w:type="pct"/>
            <w:noWrap/>
            <w:vAlign w:val="center"/>
          </w:tcPr>
          <w:p w14:paraId="701E728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401.8</w:t>
            </w:r>
          </w:p>
        </w:tc>
        <w:tc>
          <w:tcPr>
            <w:tcW w:w="430" w:type="pct"/>
            <w:noWrap/>
            <w:vAlign w:val="center"/>
          </w:tcPr>
          <w:p w14:paraId="6DA2A0B3">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713.5</w:t>
            </w:r>
          </w:p>
        </w:tc>
        <w:tc>
          <w:tcPr>
            <w:tcW w:w="430" w:type="pct"/>
            <w:noWrap/>
            <w:vAlign w:val="center"/>
          </w:tcPr>
          <w:p w14:paraId="07552BFA">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908</w:t>
            </w:r>
          </w:p>
        </w:tc>
        <w:tc>
          <w:tcPr>
            <w:tcW w:w="430" w:type="pct"/>
            <w:noWrap/>
            <w:vAlign w:val="center"/>
          </w:tcPr>
          <w:p w14:paraId="76BC9DE0">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1018</w:t>
            </w:r>
          </w:p>
        </w:tc>
        <w:tc>
          <w:tcPr>
            <w:tcW w:w="430" w:type="pct"/>
            <w:noWrap/>
            <w:vAlign w:val="center"/>
          </w:tcPr>
          <w:p w14:paraId="42518272">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1078</w:t>
            </w:r>
          </w:p>
        </w:tc>
        <w:tc>
          <w:tcPr>
            <w:tcW w:w="430" w:type="pct"/>
            <w:noWrap/>
            <w:vAlign w:val="center"/>
          </w:tcPr>
          <w:p w14:paraId="0A439B9F">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1111</w:t>
            </w:r>
          </w:p>
        </w:tc>
        <w:tc>
          <w:tcPr>
            <w:tcW w:w="430" w:type="pct"/>
            <w:noWrap/>
            <w:vAlign w:val="center"/>
          </w:tcPr>
          <w:p w14:paraId="2867EB77">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1129</w:t>
            </w:r>
          </w:p>
        </w:tc>
        <w:tc>
          <w:tcPr>
            <w:tcW w:w="430" w:type="pct"/>
            <w:noWrap/>
            <w:vAlign w:val="center"/>
          </w:tcPr>
          <w:p w14:paraId="3F0A738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1138</w:t>
            </w:r>
          </w:p>
        </w:tc>
        <w:tc>
          <w:tcPr>
            <w:tcW w:w="449" w:type="pct"/>
            <w:noWrap/>
            <w:vAlign w:val="center"/>
          </w:tcPr>
          <w:p w14:paraId="68BCC42D">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1144</w:t>
            </w:r>
          </w:p>
        </w:tc>
      </w:tr>
      <w:tr w14:paraId="562A7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47" w:type="pct"/>
            <w:noWrap/>
            <w:vAlign w:val="center"/>
          </w:tcPr>
          <w:p w14:paraId="3AB5B05E">
            <w:pPr>
              <w:widowControl/>
              <w:snapToGrid w:val="0"/>
              <w:spacing w:line="240" w:lineRule="auto"/>
              <w:ind w:firstLine="0" w:firstLineChars="0"/>
              <w:jc w:val="center"/>
              <w:textAlignment w:val="center"/>
              <w:rPr>
                <w:rFonts w:cs="Times New Roman"/>
                <w:color w:val="000000"/>
                <w:kern w:val="0"/>
                <w:sz w:val="20"/>
                <w:szCs w:val="20"/>
              </w:rPr>
            </w:pPr>
            <w:r>
              <w:rPr>
                <w:rFonts w:cs="Times New Roman"/>
                <w:color w:val="000000"/>
                <w:kern w:val="0"/>
                <w:sz w:val="20"/>
                <w:szCs w:val="20"/>
              </w:rPr>
              <w:t>-100</w:t>
            </w:r>
          </w:p>
        </w:tc>
        <w:tc>
          <w:tcPr>
            <w:tcW w:w="430" w:type="pct"/>
            <w:noWrap/>
            <w:vAlign w:val="center"/>
          </w:tcPr>
          <w:p w14:paraId="489A2D6A">
            <w:pPr>
              <w:widowControl/>
              <w:snapToGrid w:val="0"/>
              <w:spacing w:line="240" w:lineRule="auto"/>
              <w:ind w:firstLine="0" w:firstLineChars="0"/>
              <w:jc w:val="center"/>
              <w:textAlignment w:val="center"/>
              <w:rPr>
                <w:rFonts w:cs="Times New Roman"/>
                <w:color w:val="000000"/>
                <w:kern w:val="0"/>
                <w:sz w:val="20"/>
                <w:szCs w:val="20"/>
              </w:rPr>
            </w:pPr>
            <w:r>
              <w:rPr>
                <w:rFonts w:cs="Times New Roman"/>
                <w:color w:val="000000"/>
                <w:kern w:val="0"/>
                <w:sz w:val="20"/>
                <w:szCs w:val="20"/>
              </w:rPr>
              <w:t>0</w:t>
            </w:r>
          </w:p>
        </w:tc>
        <w:tc>
          <w:tcPr>
            <w:tcW w:w="430" w:type="pct"/>
            <w:noWrap/>
            <w:vAlign w:val="center"/>
          </w:tcPr>
          <w:p w14:paraId="0B490CFE">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2.71E-02</w:t>
            </w:r>
          </w:p>
        </w:tc>
        <w:tc>
          <w:tcPr>
            <w:tcW w:w="430" w:type="pct"/>
            <w:noWrap/>
            <w:vAlign w:val="center"/>
          </w:tcPr>
          <w:p w14:paraId="4A5E4AB6">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17.31</w:t>
            </w:r>
          </w:p>
        </w:tc>
        <w:tc>
          <w:tcPr>
            <w:tcW w:w="430" w:type="pct"/>
            <w:noWrap/>
            <w:vAlign w:val="center"/>
          </w:tcPr>
          <w:p w14:paraId="27250633">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138.8</w:t>
            </w:r>
          </w:p>
        </w:tc>
        <w:tc>
          <w:tcPr>
            <w:tcW w:w="430" w:type="pct"/>
            <w:noWrap/>
            <w:vAlign w:val="center"/>
          </w:tcPr>
          <w:p w14:paraId="012E87A5">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358.5</w:t>
            </w:r>
          </w:p>
        </w:tc>
        <w:tc>
          <w:tcPr>
            <w:tcW w:w="430" w:type="pct"/>
            <w:noWrap/>
            <w:vAlign w:val="center"/>
          </w:tcPr>
          <w:p w14:paraId="22C2806D">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589.1</w:t>
            </w:r>
          </w:p>
        </w:tc>
        <w:tc>
          <w:tcPr>
            <w:tcW w:w="430" w:type="pct"/>
            <w:noWrap/>
            <w:vAlign w:val="center"/>
          </w:tcPr>
          <w:p w14:paraId="71779D8E">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777.7</w:t>
            </w:r>
          </w:p>
        </w:tc>
        <w:tc>
          <w:tcPr>
            <w:tcW w:w="430" w:type="pct"/>
            <w:noWrap/>
            <w:vAlign w:val="center"/>
          </w:tcPr>
          <w:p w14:paraId="19FB0ADD">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913.2</w:t>
            </w:r>
          </w:p>
        </w:tc>
        <w:tc>
          <w:tcPr>
            <w:tcW w:w="430" w:type="pct"/>
            <w:noWrap/>
            <w:vAlign w:val="center"/>
          </w:tcPr>
          <w:p w14:paraId="76B62233">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1004</w:t>
            </w:r>
          </w:p>
        </w:tc>
        <w:tc>
          <w:tcPr>
            <w:tcW w:w="430" w:type="pct"/>
            <w:noWrap/>
            <w:vAlign w:val="center"/>
          </w:tcPr>
          <w:p w14:paraId="7459F7CA">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1061</w:t>
            </w:r>
          </w:p>
        </w:tc>
        <w:tc>
          <w:tcPr>
            <w:tcW w:w="449" w:type="pct"/>
            <w:noWrap/>
            <w:vAlign w:val="center"/>
          </w:tcPr>
          <w:p w14:paraId="502F211A">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1097</w:t>
            </w:r>
          </w:p>
        </w:tc>
      </w:tr>
      <w:tr w14:paraId="0AE40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47" w:type="pct"/>
            <w:noWrap/>
            <w:vAlign w:val="center"/>
          </w:tcPr>
          <w:p w14:paraId="17A166A6">
            <w:pPr>
              <w:widowControl/>
              <w:snapToGrid w:val="0"/>
              <w:spacing w:line="240" w:lineRule="auto"/>
              <w:ind w:firstLine="0" w:firstLineChars="0"/>
              <w:jc w:val="center"/>
              <w:textAlignment w:val="center"/>
              <w:rPr>
                <w:rFonts w:cs="Times New Roman"/>
                <w:color w:val="000000"/>
                <w:kern w:val="0"/>
                <w:sz w:val="20"/>
                <w:szCs w:val="20"/>
              </w:rPr>
            </w:pPr>
            <w:r>
              <w:rPr>
                <w:rFonts w:cs="Times New Roman"/>
                <w:color w:val="000000"/>
                <w:kern w:val="0"/>
                <w:sz w:val="20"/>
                <w:szCs w:val="20"/>
              </w:rPr>
              <w:t>-200</w:t>
            </w:r>
          </w:p>
        </w:tc>
        <w:tc>
          <w:tcPr>
            <w:tcW w:w="430" w:type="pct"/>
            <w:noWrap/>
            <w:vAlign w:val="center"/>
          </w:tcPr>
          <w:p w14:paraId="3B92AC8C">
            <w:pPr>
              <w:widowControl/>
              <w:snapToGrid w:val="0"/>
              <w:spacing w:line="240" w:lineRule="auto"/>
              <w:ind w:firstLine="0" w:firstLineChars="0"/>
              <w:jc w:val="center"/>
              <w:textAlignment w:val="center"/>
              <w:rPr>
                <w:rFonts w:cs="Times New Roman"/>
                <w:color w:val="000000"/>
                <w:kern w:val="0"/>
                <w:sz w:val="20"/>
                <w:szCs w:val="20"/>
              </w:rPr>
            </w:pPr>
            <w:r>
              <w:rPr>
                <w:rFonts w:cs="Times New Roman"/>
                <w:color w:val="000000"/>
                <w:kern w:val="0"/>
                <w:sz w:val="20"/>
                <w:szCs w:val="20"/>
              </w:rPr>
              <w:t>0</w:t>
            </w:r>
          </w:p>
        </w:tc>
        <w:tc>
          <w:tcPr>
            <w:tcW w:w="430" w:type="pct"/>
            <w:noWrap/>
            <w:vAlign w:val="center"/>
          </w:tcPr>
          <w:p w14:paraId="7F4408BE">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430" w:type="pct"/>
            <w:noWrap/>
            <w:vAlign w:val="center"/>
          </w:tcPr>
          <w:p w14:paraId="43F36204">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9.26E-06</w:t>
            </w:r>
          </w:p>
        </w:tc>
        <w:tc>
          <w:tcPr>
            <w:tcW w:w="430" w:type="pct"/>
            <w:noWrap/>
            <w:vAlign w:val="center"/>
          </w:tcPr>
          <w:p w14:paraId="4D7DDE96">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3.04E-02</w:t>
            </w:r>
          </w:p>
        </w:tc>
        <w:tc>
          <w:tcPr>
            <w:tcW w:w="430" w:type="pct"/>
            <w:noWrap/>
            <w:vAlign w:val="center"/>
          </w:tcPr>
          <w:p w14:paraId="48B057EC">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1.58E+00</w:t>
            </w:r>
          </w:p>
        </w:tc>
        <w:tc>
          <w:tcPr>
            <w:tcW w:w="430" w:type="pct"/>
            <w:noWrap/>
            <w:vAlign w:val="center"/>
          </w:tcPr>
          <w:p w14:paraId="4E371F8A">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15.17</w:t>
            </w:r>
          </w:p>
        </w:tc>
        <w:tc>
          <w:tcPr>
            <w:tcW w:w="430" w:type="pct"/>
            <w:noWrap/>
            <w:vAlign w:val="center"/>
          </w:tcPr>
          <w:p w14:paraId="49CAD596">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62.08</w:t>
            </w:r>
          </w:p>
        </w:tc>
        <w:tc>
          <w:tcPr>
            <w:tcW w:w="430" w:type="pct"/>
            <w:noWrap/>
            <w:vAlign w:val="center"/>
          </w:tcPr>
          <w:p w14:paraId="7EFDCCC0">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156.3</w:t>
            </w:r>
          </w:p>
        </w:tc>
        <w:tc>
          <w:tcPr>
            <w:tcW w:w="430" w:type="pct"/>
            <w:noWrap/>
            <w:vAlign w:val="center"/>
          </w:tcPr>
          <w:p w14:paraId="51F088BB">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291.7</w:t>
            </w:r>
          </w:p>
        </w:tc>
        <w:tc>
          <w:tcPr>
            <w:tcW w:w="430" w:type="pct"/>
            <w:noWrap/>
            <w:vAlign w:val="center"/>
          </w:tcPr>
          <w:p w14:paraId="218A3EA7">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447.8</w:t>
            </w:r>
          </w:p>
        </w:tc>
        <w:tc>
          <w:tcPr>
            <w:tcW w:w="449" w:type="pct"/>
            <w:noWrap/>
            <w:vAlign w:val="center"/>
          </w:tcPr>
          <w:p w14:paraId="37ABAC8D">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602.5</w:t>
            </w:r>
          </w:p>
        </w:tc>
      </w:tr>
      <w:tr w14:paraId="1F935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47" w:type="pct"/>
            <w:noWrap/>
            <w:vAlign w:val="center"/>
          </w:tcPr>
          <w:p w14:paraId="691FA5D1">
            <w:pPr>
              <w:widowControl/>
              <w:snapToGrid w:val="0"/>
              <w:spacing w:line="240" w:lineRule="auto"/>
              <w:ind w:firstLine="0" w:firstLineChars="0"/>
              <w:jc w:val="center"/>
              <w:textAlignment w:val="center"/>
              <w:rPr>
                <w:rFonts w:cs="Times New Roman"/>
                <w:color w:val="000000"/>
                <w:kern w:val="0"/>
                <w:sz w:val="20"/>
                <w:szCs w:val="20"/>
              </w:rPr>
            </w:pPr>
            <w:r>
              <w:rPr>
                <w:rFonts w:cs="Times New Roman"/>
                <w:color w:val="000000"/>
                <w:kern w:val="0"/>
                <w:sz w:val="20"/>
                <w:szCs w:val="20"/>
              </w:rPr>
              <w:t>-300</w:t>
            </w:r>
          </w:p>
        </w:tc>
        <w:tc>
          <w:tcPr>
            <w:tcW w:w="430" w:type="pct"/>
            <w:noWrap/>
            <w:vAlign w:val="center"/>
          </w:tcPr>
          <w:p w14:paraId="08B5A9D4">
            <w:pPr>
              <w:widowControl/>
              <w:snapToGrid w:val="0"/>
              <w:spacing w:line="240" w:lineRule="auto"/>
              <w:ind w:firstLine="0" w:firstLineChars="0"/>
              <w:jc w:val="center"/>
              <w:textAlignment w:val="center"/>
              <w:rPr>
                <w:rFonts w:cs="Times New Roman"/>
                <w:color w:val="000000"/>
                <w:kern w:val="0"/>
                <w:sz w:val="20"/>
                <w:szCs w:val="20"/>
              </w:rPr>
            </w:pPr>
            <w:r>
              <w:rPr>
                <w:rFonts w:cs="Times New Roman"/>
                <w:color w:val="000000"/>
                <w:kern w:val="0"/>
                <w:sz w:val="20"/>
                <w:szCs w:val="20"/>
              </w:rPr>
              <w:t>0</w:t>
            </w:r>
          </w:p>
        </w:tc>
        <w:tc>
          <w:tcPr>
            <w:tcW w:w="430" w:type="pct"/>
            <w:noWrap/>
            <w:vAlign w:val="center"/>
          </w:tcPr>
          <w:p w14:paraId="490A3C9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430" w:type="pct"/>
            <w:noWrap/>
            <w:vAlign w:val="center"/>
          </w:tcPr>
          <w:p w14:paraId="1C3B9E9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430" w:type="pct"/>
            <w:noWrap/>
            <w:vAlign w:val="center"/>
          </w:tcPr>
          <w:p w14:paraId="349713D6">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3.537E-09</w:t>
            </w:r>
          </w:p>
        </w:tc>
        <w:tc>
          <w:tcPr>
            <w:tcW w:w="430" w:type="pct"/>
            <w:noWrap/>
            <w:vAlign w:val="center"/>
          </w:tcPr>
          <w:p w14:paraId="30EFDB22">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2.67E-05</w:t>
            </w:r>
          </w:p>
        </w:tc>
        <w:tc>
          <w:tcPr>
            <w:tcW w:w="430" w:type="pct"/>
            <w:noWrap/>
            <w:vAlign w:val="center"/>
          </w:tcPr>
          <w:p w14:paraId="4A8D78B0">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0.005208</w:t>
            </w:r>
          </w:p>
        </w:tc>
        <w:tc>
          <w:tcPr>
            <w:tcW w:w="430" w:type="pct"/>
            <w:noWrap/>
            <w:vAlign w:val="center"/>
          </w:tcPr>
          <w:p w14:paraId="0E64E8B2">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1.58E-01</w:t>
            </w:r>
          </w:p>
        </w:tc>
        <w:tc>
          <w:tcPr>
            <w:tcW w:w="430" w:type="pct"/>
            <w:noWrap/>
            <w:vAlign w:val="center"/>
          </w:tcPr>
          <w:p w14:paraId="6F0B3E85">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1.64E+00</w:t>
            </w:r>
          </w:p>
        </w:tc>
        <w:tc>
          <w:tcPr>
            <w:tcW w:w="430" w:type="pct"/>
            <w:noWrap/>
            <w:vAlign w:val="center"/>
          </w:tcPr>
          <w:p w14:paraId="6FA906E5">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8.68E+00</w:t>
            </w:r>
          </w:p>
        </w:tc>
        <w:tc>
          <w:tcPr>
            <w:tcW w:w="430" w:type="pct"/>
            <w:noWrap/>
            <w:vAlign w:val="center"/>
          </w:tcPr>
          <w:p w14:paraId="46FA6224">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2.94E+01</w:t>
            </w:r>
          </w:p>
        </w:tc>
        <w:tc>
          <w:tcPr>
            <w:tcW w:w="449" w:type="pct"/>
            <w:noWrap/>
            <w:vAlign w:val="center"/>
          </w:tcPr>
          <w:p w14:paraId="0015CA9E">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72.97</w:t>
            </w:r>
          </w:p>
        </w:tc>
      </w:tr>
      <w:tr w14:paraId="16488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47" w:type="pct"/>
            <w:noWrap/>
            <w:vAlign w:val="center"/>
          </w:tcPr>
          <w:p w14:paraId="3B4F2427">
            <w:pPr>
              <w:widowControl/>
              <w:snapToGrid w:val="0"/>
              <w:spacing w:line="240" w:lineRule="auto"/>
              <w:ind w:firstLine="0" w:firstLineChars="0"/>
              <w:jc w:val="center"/>
              <w:textAlignment w:val="center"/>
              <w:rPr>
                <w:rFonts w:cs="Times New Roman"/>
                <w:color w:val="000000"/>
                <w:kern w:val="0"/>
                <w:sz w:val="20"/>
                <w:szCs w:val="20"/>
              </w:rPr>
            </w:pPr>
            <w:r>
              <w:rPr>
                <w:rFonts w:cs="Times New Roman"/>
                <w:color w:val="000000"/>
                <w:kern w:val="0"/>
                <w:sz w:val="20"/>
                <w:szCs w:val="20"/>
              </w:rPr>
              <w:t>-400</w:t>
            </w:r>
          </w:p>
        </w:tc>
        <w:tc>
          <w:tcPr>
            <w:tcW w:w="430" w:type="pct"/>
            <w:noWrap/>
            <w:vAlign w:val="center"/>
          </w:tcPr>
          <w:p w14:paraId="17D673CA">
            <w:pPr>
              <w:widowControl/>
              <w:snapToGrid w:val="0"/>
              <w:spacing w:line="240" w:lineRule="auto"/>
              <w:ind w:firstLine="0" w:firstLineChars="0"/>
              <w:jc w:val="center"/>
              <w:textAlignment w:val="center"/>
              <w:rPr>
                <w:rFonts w:cs="Times New Roman"/>
                <w:color w:val="000000"/>
                <w:kern w:val="0"/>
                <w:sz w:val="20"/>
                <w:szCs w:val="20"/>
              </w:rPr>
            </w:pPr>
            <w:r>
              <w:rPr>
                <w:rFonts w:cs="Times New Roman"/>
                <w:color w:val="000000"/>
                <w:kern w:val="0"/>
                <w:sz w:val="20"/>
                <w:szCs w:val="20"/>
              </w:rPr>
              <w:t>0</w:t>
            </w:r>
          </w:p>
        </w:tc>
        <w:tc>
          <w:tcPr>
            <w:tcW w:w="430" w:type="pct"/>
            <w:noWrap/>
            <w:vAlign w:val="center"/>
          </w:tcPr>
          <w:p w14:paraId="44E2B96D">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430" w:type="pct"/>
            <w:noWrap/>
            <w:vAlign w:val="center"/>
          </w:tcPr>
          <w:p w14:paraId="66AB05AA">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430" w:type="pct"/>
            <w:noWrap/>
            <w:vAlign w:val="center"/>
          </w:tcPr>
          <w:p w14:paraId="657E3F2B">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430" w:type="pct"/>
            <w:noWrap/>
            <w:vAlign w:val="center"/>
          </w:tcPr>
          <w:p w14:paraId="5D918461">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w:t>
            </w:r>
          </w:p>
        </w:tc>
        <w:tc>
          <w:tcPr>
            <w:tcW w:w="430" w:type="pct"/>
            <w:noWrap/>
            <w:vAlign w:val="center"/>
          </w:tcPr>
          <w:p w14:paraId="1DD5C096">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3.077E-08</w:t>
            </w:r>
          </w:p>
        </w:tc>
        <w:tc>
          <w:tcPr>
            <w:tcW w:w="430" w:type="pct"/>
            <w:noWrap/>
            <w:vAlign w:val="center"/>
          </w:tcPr>
          <w:p w14:paraId="39AD3834">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1.46E-05</w:t>
            </w:r>
          </w:p>
        </w:tc>
        <w:tc>
          <w:tcPr>
            <w:tcW w:w="430" w:type="pct"/>
            <w:noWrap/>
            <w:vAlign w:val="center"/>
          </w:tcPr>
          <w:p w14:paraId="5A423740">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0.001076</w:t>
            </w:r>
          </w:p>
        </w:tc>
        <w:tc>
          <w:tcPr>
            <w:tcW w:w="430" w:type="pct"/>
            <w:noWrap/>
            <w:vAlign w:val="center"/>
          </w:tcPr>
          <w:p w14:paraId="6DD48B5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0.0246</w:t>
            </w:r>
          </w:p>
        </w:tc>
        <w:tc>
          <w:tcPr>
            <w:tcW w:w="430" w:type="pct"/>
            <w:noWrap/>
            <w:vAlign w:val="center"/>
          </w:tcPr>
          <w:p w14:paraId="477DB159">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0.2565</w:t>
            </w:r>
          </w:p>
        </w:tc>
        <w:tc>
          <w:tcPr>
            <w:tcW w:w="449" w:type="pct"/>
            <w:noWrap/>
            <w:vAlign w:val="center"/>
          </w:tcPr>
          <w:p w14:paraId="3A233EBD">
            <w:pPr>
              <w:widowControl/>
              <w:adjustRightInd/>
              <w:spacing w:line="240" w:lineRule="auto"/>
              <w:ind w:firstLine="0" w:firstLineChars="0"/>
              <w:jc w:val="center"/>
              <w:textAlignment w:val="center"/>
              <w:rPr>
                <w:rFonts w:cs="Times New Roman"/>
                <w:color w:val="000000"/>
                <w:kern w:val="0"/>
                <w:sz w:val="21"/>
                <w:szCs w:val="21"/>
              </w:rPr>
            </w:pPr>
            <w:r>
              <w:rPr>
                <w:rFonts w:cs="Times New Roman"/>
                <w:color w:val="000000"/>
                <w:kern w:val="0"/>
                <w:sz w:val="21"/>
                <w:szCs w:val="21"/>
              </w:rPr>
              <w:t>1.54E+00</w:t>
            </w:r>
          </w:p>
        </w:tc>
      </w:tr>
    </w:tbl>
    <w:p w14:paraId="55140DE3">
      <w:pPr>
        <w:ind w:firstLine="0" w:firstLineChars="0"/>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26171F09">
      <w:pPr>
        <w:pStyle w:val="4"/>
        <w:numPr>
          <w:ilvl w:val="2"/>
          <w:numId w:val="1"/>
        </w:numPr>
      </w:pPr>
      <w:bookmarkStart w:id="270" w:name="_Toc830"/>
      <w:r>
        <w:rPr>
          <w:rFonts w:hint="eastAsia"/>
        </w:rPr>
        <w:t>小结</w:t>
      </w:r>
      <w:bookmarkEnd w:id="270"/>
    </w:p>
    <w:p w14:paraId="14B4F352">
      <w:pPr>
        <w:ind w:firstLine="480"/>
      </w:pPr>
      <w:r>
        <w:t>本项目实施后，对废水池、车间等区域的建设了严格的防腐防渗措施，同时根据要求对项目所使用的化学品储存区域进行防腐防渗，本项目对土壤污染的可能性较低，在采取了上述措施后，对土壤环境的影响在可接受程度之内。</w:t>
      </w:r>
    </w:p>
    <w:p w14:paraId="1E97B891">
      <w:pPr>
        <w:pStyle w:val="43"/>
        <w:numPr>
          <w:ilvl w:val="5"/>
          <w:numId w:val="1"/>
        </w:numPr>
        <w:rPr>
          <w:rFonts w:hint="default"/>
        </w:rPr>
      </w:pPr>
      <w:r>
        <w:t>土壤环境影响评价自查表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1" w:type="dxa"/>
          <w:bottom w:w="0" w:type="dxa"/>
          <w:right w:w="11" w:type="dxa"/>
        </w:tblCellMar>
      </w:tblPr>
      <w:tblGrid>
        <w:gridCol w:w="679"/>
        <w:gridCol w:w="1395"/>
        <w:gridCol w:w="1112"/>
        <w:gridCol w:w="789"/>
        <w:gridCol w:w="183"/>
        <w:gridCol w:w="972"/>
        <w:gridCol w:w="746"/>
        <w:gridCol w:w="1730"/>
        <w:gridCol w:w="719"/>
      </w:tblGrid>
      <w:tr w14:paraId="64BB8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blHeader/>
          <w:jc w:val="center"/>
        </w:trPr>
        <w:tc>
          <w:tcPr>
            <w:tcW w:w="1246" w:type="pct"/>
            <w:gridSpan w:val="2"/>
            <w:vAlign w:val="center"/>
          </w:tcPr>
          <w:p w14:paraId="69F2FACC">
            <w:pPr>
              <w:widowControl/>
              <w:tabs>
                <w:tab w:val="left" w:pos="420"/>
                <w:tab w:val="left" w:pos="1021"/>
              </w:tabs>
              <w:adjustRightInd/>
              <w:spacing w:line="240" w:lineRule="auto"/>
              <w:ind w:firstLine="0" w:firstLineChars="0"/>
              <w:jc w:val="center"/>
              <w:rPr>
                <w:rFonts w:cs="Times New Roman"/>
                <w:b/>
                <w:bCs/>
                <w:kern w:val="0"/>
                <w:sz w:val="21"/>
                <w:szCs w:val="21"/>
              </w:rPr>
            </w:pPr>
            <w:r>
              <w:rPr>
                <w:rFonts w:hAnsi="宋体" w:cs="Times New Roman"/>
                <w:b/>
                <w:bCs/>
                <w:kern w:val="0"/>
                <w:sz w:val="21"/>
                <w:szCs w:val="21"/>
              </w:rPr>
              <w:t>工作内容</w:t>
            </w:r>
          </w:p>
        </w:tc>
        <w:tc>
          <w:tcPr>
            <w:tcW w:w="3323" w:type="pct"/>
            <w:gridSpan w:val="6"/>
            <w:vAlign w:val="center"/>
          </w:tcPr>
          <w:p w14:paraId="73714CB8">
            <w:pPr>
              <w:widowControl/>
              <w:tabs>
                <w:tab w:val="left" w:pos="420"/>
                <w:tab w:val="left" w:pos="1021"/>
              </w:tabs>
              <w:adjustRightInd/>
              <w:spacing w:line="240" w:lineRule="auto"/>
              <w:ind w:firstLine="0" w:firstLineChars="0"/>
              <w:jc w:val="center"/>
              <w:rPr>
                <w:rFonts w:cs="Times New Roman"/>
                <w:b/>
                <w:bCs/>
                <w:kern w:val="0"/>
                <w:sz w:val="21"/>
                <w:szCs w:val="21"/>
              </w:rPr>
            </w:pPr>
            <w:r>
              <w:rPr>
                <w:rFonts w:hAnsi="宋体" w:cs="Times New Roman"/>
                <w:b/>
                <w:bCs/>
                <w:kern w:val="0"/>
                <w:sz w:val="21"/>
                <w:szCs w:val="21"/>
              </w:rPr>
              <w:t>完成情况</w:t>
            </w:r>
          </w:p>
        </w:tc>
        <w:tc>
          <w:tcPr>
            <w:tcW w:w="429" w:type="pct"/>
            <w:vAlign w:val="center"/>
          </w:tcPr>
          <w:p w14:paraId="4B44D52F">
            <w:pPr>
              <w:widowControl/>
              <w:tabs>
                <w:tab w:val="left" w:pos="420"/>
                <w:tab w:val="left" w:pos="1021"/>
              </w:tabs>
              <w:adjustRightInd/>
              <w:spacing w:line="240" w:lineRule="auto"/>
              <w:ind w:firstLine="0" w:firstLineChars="0"/>
              <w:jc w:val="center"/>
              <w:rPr>
                <w:rFonts w:cs="Times New Roman"/>
                <w:b/>
                <w:bCs/>
                <w:kern w:val="0"/>
                <w:sz w:val="21"/>
                <w:szCs w:val="21"/>
              </w:rPr>
            </w:pPr>
            <w:r>
              <w:rPr>
                <w:rFonts w:hAnsi="宋体" w:cs="Times New Roman"/>
                <w:b/>
                <w:bCs/>
                <w:kern w:val="0"/>
                <w:sz w:val="21"/>
                <w:szCs w:val="21"/>
              </w:rPr>
              <w:t>备注</w:t>
            </w:r>
          </w:p>
        </w:tc>
      </w:tr>
      <w:tr w14:paraId="17681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restart"/>
            <w:vAlign w:val="center"/>
          </w:tcPr>
          <w:p w14:paraId="57DAC419">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影响识别</w:t>
            </w:r>
          </w:p>
        </w:tc>
        <w:tc>
          <w:tcPr>
            <w:tcW w:w="837" w:type="pct"/>
            <w:vAlign w:val="center"/>
          </w:tcPr>
          <w:p w14:paraId="62D50C26">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影响类型</w:t>
            </w:r>
          </w:p>
        </w:tc>
        <w:tc>
          <w:tcPr>
            <w:tcW w:w="3323" w:type="pct"/>
            <w:gridSpan w:val="6"/>
            <w:vAlign w:val="center"/>
          </w:tcPr>
          <w:p w14:paraId="0E25F824">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污染影响型</w:t>
            </w:r>
            <w:r>
              <w:rPr>
                <w:rFonts w:hint="eastAsia" w:cs="Times New Roman"/>
                <w:sz w:val="21"/>
                <w:szCs w:val="21"/>
              </w:rPr>
              <w:t>☑</w:t>
            </w:r>
            <w:r>
              <w:rPr>
                <w:rFonts w:hAnsi="宋体" w:cs="Times New Roman"/>
                <w:kern w:val="0"/>
                <w:sz w:val="21"/>
                <w:szCs w:val="21"/>
              </w:rPr>
              <w:t>；生态影响型</w:t>
            </w:r>
            <w:r>
              <w:rPr>
                <w:rFonts w:hint="eastAsia" w:cs="Times New Roman"/>
                <w:kern w:val="0"/>
                <w:sz w:val="21"/>
                <w:szCs w:val="21"/>
              </w:rPr>
              <w:t>□</w:t>
            </w:r>
            <w:r>
              <w:rPr>
                <w:rFonts w:hAnsi="宋体" w:cs="Times New Roman"/>
                <w:kern w:val="0"/>
                <w:sz w:val="21"/>
                <w:szCs w:val="21"/>
              </w:rPr>
              <w:t>；两种兼有</w:t>
            </w:r>
            <w:r>
              <w:rPr>
                <w:rFonts w:hint="eastAsia" w:cs="Times New Roman"/>
                <w:kern w:val="0"/>
                <w:sz w:val="21"/>
                <w:szCs w:val="21"/>
              </w:rPr>
              <w:t>□</w:t>
            </w:r>
          </w:p>
        </w:tc>
        <w:tc>
          <w:tcPr>
            <w:tcW w:w="429" w:type="pct"/>
            <w:vAlign w:val="center"/>
          </w:tcPr>
          <w:p w14:paraId="6B5A9781">
            <w:pPr>
              <w:widowControl/>
              <w:tabs>
                <w:tab w:val="left" w:pos="420"/>
                <w:tab w:val="left" w:pos="1021"/>
              </w:tabs>
              <w:adjustRightInd/>
              <w:spacing w:line="240" w:lineRule="auto"/>
              <w:ind w:firstLine="0" w:firstLineChars="0"/>
              <w:jc w:val="center"/>
              <w:rPr>
                <w:rFonts w:cs="Times New Roman"/>
                <w:kern w:val="0"/>
                <w:sz w:val="21"/>
                <w:szCs w:val="21"/>
              </w:rPr>
            </w:pPr>
          </w:p>
        </w:tc>
      </w:tr>
      <w:tr w14:paraId="749B3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continue"/>
            <w:vAlign w:val="center"/>
          </w:tcPr>
          <w:p w14:paraId="258758D8">
            <w:pPr>
              <w:widowControl/>
              <w:adjustRightInd/>
              <w:spacing w:line="240" w:lineRule="auto"/>
              <w:ind w:firstLine="0" w:firstLineChars="0"/>
              <w:jc w:val="left"/>
              <w:rPr>
                <w:rFonts w:cs="Times New Roman"/>
                <w:kern w:val="0"/>
                <w:sz w:val="21"/>
                <w:szCs w:val="21"/>
              </w:rPr>
            </w:pPr>
          </w:p>
        </w:tc>
        <w:tc>
          <w:tcPr>
            <w:tcW w:w="837" w:type="pct"/>
            <w:vAlign w:val="center"/>
          </w:tcPr>
          <w:p w14:paraId="7C8A4136">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土地利用类型</w:t>
            </w:r>
          </w:p>
        </w:tc>
        <w:tc>
          <w:tcPr>
            <w:tcW w:w="3323" w:type="pct"/>
            <w:gridSpan w:val="6"/>
            <w:vAlign w:val="center"/>
          </w:tcPr>
          <w:p w14:paraId="55B04992">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建设用地</w:t>
            </w:r>
            <w:r>
              <w:rPr>
                <w:rFonts w:hint="eastAsia" w:hAnsi="宋体" w:cs="Times New Roman"/>
                <w:kern w:val="0"/>
                <w:sz w:val="21"/>
                <w:szCs w:val="21"/>
              </w:rPr>
              <w:t>☑</w:t>
            </w:r>
            <w:r>
              <w:rPr>
                <w:rFonts w:hAnsi="宋体" w:cs="Times New Roman"/>
                <w:kern w:val="0"/>
                <w:sz w:val="21"/>
                <w:szCs w:val="21"/>
              </w:rPr>
              <w:t>；农用地</w:t>
            </w:r>
            <w:r>
              <w:rPr>
                <w:rFonts w:hint="eastAsia" w:cs="Times New Roman"/>
                <w:kern w:val="0"/>
                <w:sz w:val="21"/>
                <w:szCs w:val="21"/>
              </w:rPr>
              <w:t>□</w:t>
            </w:r>
            <w:r>
              <w:rPr>
                <w:rFonts w:hAnsi="宋体" w:cs="Times New Roman"/>
                <w:kern w:val="0"/>
                <w:sz w:val="21"/>
                <w:szCs w:val="21"/>
              </w:rPr>
              <w:t>；未利用地</w:t>
            </w:r>
            <w:r>
              <w:rPr>
                <w:rFonts w:hint="eastAsia" w:hAnsi="宋体" w:cs="Times New Roman"/>
                <w:kern w:val="0"/>
                <w:sz w:val="21"/>
                <w:szCs w:val="21"/>
              </w:rPr>
              <w:t>□</w:t>
            </w:r>
          </w:p>
        </w:tc>
        <w:tc>
          <w:tcPr>
            <w:tcW w:w="429" w:type="pct"/>
            <w:vAlign w:val="center"/>
          </w:tcPr>
          <w:p w14:paraId="67F199B1">
            <w:pPr>
              <w:widowControl/>
              <w:tabs>
                <w:tab w:val="left" w:pos="420"/>
                <w:tab w:val="left" w:pos="1021"/>
              </w:tabs>
              <w:adjustRightInd/>
              <w:spacing w:line="240" w:lineRule="auto"/>
              <w:ind w:firstLine="0" w:firstLineChars="0"/>
              <w:jc w:val="center"/>
              <w:rPr>
                <w:rFonts w:cs="Times New Roman"/>
                <w:kern w:val="0"/>
                <w:sz w:val="21"/>
                <w:szCs w:val="21"/>
              </w:rPr>
            </w:pPr>
            <w:r>
              <w:rPr>
                <w:rFonts w:hint="eastAsia" w:cs="Times New Roman"/>
                <w:kern w:val="0"/>
                <w:sz w:val="21"/>
                <w:szCs w:val="21"/>
              </w:rPr>
              <w:t>土地利用类型图</w:t>
            </w:r>
          </w:p>
        </w:tc>
      </w:tr>
      <w:tr w14:paraId="73257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continue"/>
            <w:vAlign w:val="center"/>
          </w:tcPr>
          <w:p w14:paraId="1973CD6F">
            <w:pPr>
              <w:widowControl/>
              <w:adjustRightInd/>
              <w:spacing w:line="240" w:lineRule="auto"/>
              <w:ind w:firstLine="0" w:firstLineChars="0"/>
              <w:jc w:val="left"/>
              <w:rPr>
                <w:rFonts w:cs="Times New Roman"/>
                <w:kern w:val="0"/>
                <w:sz w:val="21"/>
                <w:szCs w:val="21"/>
              </w:rPr>
            </w:pPr>
          </w:p>
        </w:tc>
        <w:tc>
          <w:tcPr>
            <w:tcW w:w="837" w:type="pct"/>
            <w:vAlign w:val="center"/>
          </w:tcPr>
          <w:p w14:paraId="077AD3AA">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占地规模</w:t>
            </w:r>
          </w:p>
        </w:tc>
        <w:tc>
          <w:tcPr>
            <w:tcW w:w="3323" w:type="pct"/>
            <w:gridSpan w:val="6"/>
            <w:vAlign w:val="center"/>
          </w:tcPr>
          <w:p w14:paraId="6E94B5F4">
            <w:pPr>
              <w:widowControl/>
              <w:tabs>
                <w:tab w:val="left" w:pos="420"/>
                <w:tab w:val="left" w:pos="1021"/>
              </w:tabs>
              <w:adjustRightInd/>
              <w:spacing w:line="240" w:lineRule="auto"/>
              <w:ind w:firstLine="0" w:firstLineChars="0"/>
              <w:jc w:val="center"/>
              <w:rPr>
                <w:rFonts w:cs="Times New Roman"/>
                <w:kern w:val="0"/>
                <w:sz w:val="21"/>
                <w:szCs w:val="21"/>
              </w:rPr>
            </w:pPr>
            <w:r>
              <w:rPr>
                <w:rFonts w:hint="eastAsia" w:cs="Times New Roman"/>
                <w:kern w:val="0"/>
                <w:sz w:val="21"/>
                <w:szCs w:val="21"/>
              </w:rPr>
              <w:t>（</w:t>
            </w:r>
            <w:r>
              <w:rPr>
                <w:rFonts w:hint="eastAsia" w:cs="Times New Roman"/>
                <w:sz w:val="21"/>
                <w:szCs w:val="21"/>
              </w:rPr>
              <w:t xml:space="preserve">     </w:t>
            </w:r>
            <w:r>
              <w:rPr>
                <w:rFonts w:hint="eastAsia" w:cs="Times New Roman"/>
                <w:kern w:val="0"/>
                <w:sz w:val="21"/>
                <w:szCs w:val="21"/>
              </w:rPr>
              <w:t>）hm</w:t>
            </w:r>
            <w:r>
              <w:rPr>
                <w:rFonts w:cs="Times New Roman"/>
                <w:kern w:val="0"/>
                <w:sz w:val="21"/>
                <w:szCs w:val="21"/>
                <w:vertAlign w:val="superscript"/>
              </w:rPr>
              <w:t>2</w:t>
            </w:r>
          </w:p>
        </w:tc>
        <w:tc>
          <w:tcPr>
            <w:tcW w:w="429" w:type="pct"/>
            <w:vAlign w:val="center"/>
          </w:tcPr>
          <w:p w14:paraId="6186245E">
            <w:pPr>
              <w:widowControl/>
              <w:tabs>
                <w:tab w:val="left" w:pos="420"/>
                <w:tab w:val="left" w:pos="1021"/>
              </w:tabs>
              <w:adjustRightInd/>
              <w:spacing w:line="240" w:lineRule="auto"/>
              <w:ind w:firstLine="0" w:firstLineChars="0"/>
              <w:jc w:val="center"/>
              <w:rPr>
                <w:rFonts w:cs="Times New Roman"/>
                <w:kern w:val="0"/>
                <w:sz w:val="21"/>
                <w:szCs w:val="21"/>
              </w:rPr>
            </w:pPr>
          </w:p>
        </w:tc>
      </w:tr>
      <w:tr w14:paraId="4B33D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continue"/>
            <w:vAlign w:val="center"/>
          </w:tcPr>
          <w:p w14:paraId="01D72015">
            <w:pPr>
              <w:widowControl/>
              <w:adjustRightInd/>
              <w:spacing w:line="240" w:lineRule="auto"/>
              <w:ind w:firstLine="0" w:firstLineChars="0"/>
              <w:jc w:val="left"/>
              <w:rPr>
                <w:rFonts w:cs="Times New Roman"/>
                <w:kern w:val="0"/>
                <w:sz w:val="21"/>
                <w:szCs w:val="21"/>
              </w:rPr>
            </w:pPr>
          </w:p>
        </w:tc>
        <w:tc>
          <w:tcPr>
            <w:tcW w:w="837" w:type="pct"/>
            <w:vAlign w:val="center"/>
          </w:tcPr>
          <w:p w14:paraId="6CE6E608">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敏感目标信息</w:t>
            </w:r>
          </w:p>
        </w:tc>
        <w:tc>
          <w:tcPr>
            <w:tcW w:w="3323" w:type="pct"/>
            <w:gridSpan w:val="6"/>
            <w:vAlign w:val="center"/>
          </w:tcPr>
          <w:p w14:paraId="337230EA">
            <w:pPr>
              <w:widowControl/>
              <w:tabs>
                <w:tab w:val="left" w:pos="420"/>
                <w:tab w:val="left" w:pos="1021"/>
              </w:tabs>
              <w:adjustRightInd/>
              <w:spacing w:line="240" w:lineRule="auto"/>
              <w:ind w:firstLine="0" w:firstLineChars="0"/>
              <w:jc w:val="center"/>
              <w:rPr>
                <w:rFonts w:cs="Times New Roman"/>
                <w:kern w:val="0"/>
                <w:sz w:val="21"/>
                <w:szCs w:val="21"/>
              </w:rPr>
            </w:pPr>
            <w:r>
              <w:rPr>
                <w:rFonts w:hint="eastAsia" w:cs="Times New Roman"/>
                <w:kern w:val="0"/>
                <w:sz w:val="21"/>
                <w:szCs w:val="21"/>
              </w:rPr>
              <w:t>敏感目标（   ）、方位（   ）、距离（   ）</w:t>
            </w:r>
          </w:p>
        </w:tc>
        <w:tc>
          <w:tcPr>
            <w:tcW w:w="429" w:type="pct"/>
            <w:vAlign w:val="center"/>
          </w:tcPr>
          <w:p w14:paraId="7F5A9D20">
            <w:pPr>
              <w:widowControl/>
              <w:tabs>
                <w:tab w:val="left" w:pos="420"/>
                <w:tab w:val="left" w:pos="1021"/>
              </w:tabs>
              <w:adjustRightInd/>
              <w:spacing w:line="240" w:lineRule="auto"/>
              <w:ind w:firstLine="0" w:firstLineChars="0"/>
              <w:jc w:val="center"/>
              <w:rPr>
                <w:rFonts w:cs="Times New Roman"/>
                <w:kern w:val="0"/>
                <w:sz w:val="21"/>
                <w:szCs w:val="21"/>
              </w:rPr>
            </w:pPr>
          </w:p>
        </w:tc>
      </w:tr>
      <w:tr w14:paraId="230CD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continue"/>
            <w:vAlign w:val="center"/>
          </w:tcPr>
          <w:p w14:paraId="6058891B">
            <w:pPr>
              <w:widowControl/>
              <w:adjustRightInd/>
              <w:spacing w:line="240" w:lineRule="auto"/>
              <w:ind w:firstLine="0" w:firstLineChars="0"/>
              <w:jc w:val="left"/>
              <w:rPr>
                <w:rFonts w:cs="Times New Roman"/>
                <w:kern w:val="0"/>
                <w:sz w:val="21"/>
                <w:szCs w:val="21"/>
              </w:rPr>
            </w:pPr>
          </w:p>
        </w:tc>
        <w:tc>
          <w:tcPr>
            <w:tcW w:w="837" w:type="pct"/>
            <w:vAlign w:val="center"/>
          </w:tcPr>
          <w:p w14:paraId="54D38206">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影响途径</w:t>
            </w:r>
          </w:p>
        </w:tc>
        <w:tc>
          <w:tcPr>
            <w:tcW w:w="3323" w:type="pct"/>
            <w:gridSpan w:val="6"/>
            <w:vAlign w:val="center"/>
          </w:tcPr>
          <w:p w14:paraId="5E31B465">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大气沉降</w:t>
            </w:r>
            <w:r>
              <w:rPr>
                <w:rFonts w:hint="eastAsia" w:cs="Times New Roman"/>
                <w:sz w:val="21"/>
                <w:szCs w:val="21"/>
              </w:rPr>
              <w:t>☑</w:t>
            </w:r>
            <w:r>
              <w:rPr>
                <w:rFonts w:hAnsi="宋体" w:cs="Times New Roman"/>
                <w:kern w:val="0"/>
                <w:sz w:val="21"/>
                <w:szCs w:val="21"/>
              </w:rPr>
              <w:t>；地面漫流</w:t>
            </w:r>
            <w:r>
              <w:rPr>
                <w:rFonts w:hint="eastAsia" w:cs="Times New Roman"/>
                <w:kern w:val="0"/>
                <w:sz w:val="21"/>
                <w:szCs w:val="21"/>
              </w:rPr>
              <w:t>☑</w:t>
            </w:r>
            <w:r>
              <w:rPr>
                <w:rFonts w:hAnsi="宋体" w:cs="Times New Roman"/>
                <w:kern w:val="0"/>
                <w:sz w:val="21"/>
                <w:szCs w:val="21"/>
              </w:rPr>
              <w:t>；垂直入渗</w:t>
            </w:r>
            <w:r>
              <w:rPr>
                <w:rFonts w:hint="eastAsia" w:cs="Times New Roman"/>
                <w:kern w:val="0"/>
                <w:sz w:val="21"/>
                <w:szCs w:val="21"/>
              </w:rPr>
              <w:t>☑</w:t>
            </w:r>
            <w:r>
              <w:rPr>
                <w:rFonts w:hAnsi="宋体" w:cs="Times New Roman"/>
                <w:kern w:val="0"/>
                <w:sz w:val="21"/>
                <w:szCs w:val="21"/>
              </w:rPr>
              <w:t>；地下水位</w:t>
            </w:r>
            <w:r>
              <w:rPr>
                <w:rFonts w:hint="eastAsia" w:cs="Times New Roman"/>
                <w:kern w:val="0"/>
                <w:sz w:val="21"/>
                <w:szCs w:val="21"/>
              </w:rPr>
              <w:t>□；其他（   ）</w:t>
            </w:r>
          </w:p>
        </w:tc>
        <w:tc>
          <w:tcPr>
            <w:tcW w:w="429" w:type="pct"/>
            <w:vAlign w:val="center"/>
          </w:tcPr>
          <w:p w14:paraId="47414CA0">
            <w:pPr>
              <w:widowControl/>
              <w:tabs>
                <w:tab w:val="left" w:pos="420"/>
                <w:tab w:val="left" w:pos="1021"/>
              </w:tabs>
              <w:adjustRightInd/>
              <w:spacing w:line="240" w:lineRule="auto"/>
              <w:ind w:firstLine="0" w:firstLineChars="0"/>
              <w:jc w:val="center"/>
              <w:rPr>
                <w:rFonts w:cs="Times New Roman"/>
                <w:kern w:val="0"/>
                <w:sz w:val="21"/>
                <w:szCs w:val="21"/>
              </w:rPr>
            </w:pPr>
          </w:p>
        </w:tc>
      </w:tr>
      <w:tr w14:paraId="4C7E0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continue"/>
            <w:vAlign w:val="center"/>
          </w:tcPr>
          <w:p w14:paraId="29F5E2BC">
            <w:pPr>
              <w:widowControl/>
              <w:adjustRightInd/>
              <w:spacing w:line="240" w:lineRule="auto"/>
              <w:ind w:firstLine="0" w:firstLineChars="0"/>
              <w:jc w:val="left"/>
              <w:rPr>
                <w:rFonts w:cs="Times New Roman"/>
                <w:kern w:val="0"/>
                <w:sz w:val="21"/>
                <w:szCs w:val="21"/>
              </w:rPr>
            </w:pPr>
          </w:p>
        </w:tc>
        <w:tc>
          <w:tcPr>
            <w:tcW w:w="837" w:type="pct"/>
            <w:vAlign w:val="center"/>
          </w:tcPr>
          <w:p w14:paraId="0704456E">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全部污染物</w:t>
            </w:r>
          </w:p>
        </w:tc>
        <w:tc>
          <w:tcPr>
            <w:tcW w:w="3323" w:type="pct"/>
            <w:gridSpan w:val="6"/>
            <w:vAlign w:val="center"/>
          </w:tcPr>
          <w:p w14:paraId="3A78A290">
            <w:pPr>
              <w:widowControl/>
              <w:tabs>
                <w:tab w:val="left" w:pos="1021"/>
              </w:tabs>
              <w:adjustRightInd/>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29" w:type="pct"/>
            <w:vAlign w:val="center"/>
          </w:tcPr>
          <w:p w14:paraId="091CACB4">
            <w:pPr>
              <w:widowControl/>
              <w:tabs>
                <w:tab w:val="left" w:pos="420"/>
                <w:tab w:val="left" w:pos="1021"/>
              </w:tabs>
              <w:adjustRightInd/>
              <w:spacing w:line="240" w:lineRule="auto"/>
              <w:ind w:firstLine="0" w:firstLineChars="0"/>
              <w:jc w:val="center"/>
              <w:rPr>
                <w:rFonts w:cs="Times New Roman"/>
                <w:kern w:val="0"/>
                <w:sz w:val="21"/>
                <w:szCs w:val="21"/>
              </w:rPr>
            </w:pPr>
          </w:p>
        </w:tc>
      </w:tr>
      <w:tr w14:paraId="11F4B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continue"/>
            <w:vAlign w:val="center"/>
          </w:tcPr>
          <w:p w14:paraId="1F5537B2">
            <w:pPr>
              <w:widowControl/>
              <w:adjustRightInd/>
              <w:spacing w:line="240" w:lineRule="auto"/>
              <w:ind w:firstLine="0" w:firstLineChars="0"/>
              <w:jc w:val="left"/>
              <w:rPr>
                <w:rFonts w:cs="Times New Roman"/>
                <w:kern w:val="0"/>
                <w:sz w:val="21"/>
                <w:szCs w:val="21"/>
              </w:rPr>
            </w:pPr>
          </w:p>
        </w:tc>
        <w:tc>
          <w:tcPr>
            <w:tcW w:w="837" w:type="pct"/>
            <w:vAlign w:val="center"/>
          </w:tcPr>
          <w:p w14:paraId="2FF35A53">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特征因子</w:t>
            </w:r>
          </w:p>
        </w:tc>
        <w:tc>
          <w:tcPr>
            <w:tcW w:w="3323" w:type="pct"/>
            <w:gridSpan w:val="6"/>
            <w:vAlign w:val="center"/>
          </w:tcPr>
          <w:p w14:paraId="772F64CF">
            <w:pPr>
              <w:widowControl/>
              <w:tabs>
                <w:tab w:val="left" w:pos="1021"/>
              </w:tabs>
              <w:adjustRightInd/>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29" w:type="pct"/>
            <w:vAlign w:val="center"/>
          </w:tcPr>
          <w:p w14:paraId="5613E89F">
            <w:pPr>
              <w:widowControl/>
              <w:tabs>
                <w:tab w:val="left" w:pos="420"/>
                <w:tab w:val="left" w:pos="1021"/>
              </w:tabs>
              <w:adjustRightInd/>
              <w:spacing w:line="240" w:lineRule="auto"/>
              <w:ind w:firstLine="0" w:firstLineChars="0"/>
              <w:jc w:val="center"/>
              <w:rPr>
                <w:rFonts w:cs="Times New Roman"/>
                <w:kern w:val="0"/>
                <w:sz w:val="21"/>
                <w:szCs w:val="21"/>
              </w:rPr>
            </w:pPr>
          </w:p>
        </w:tc>
      </w:tr>
      <w:tr w14:paraId="226F6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continue"/>
            <w:vAlign w:val="center"/>
          </w:tcPr>
          <w:p w14:paraId="33816190">
            <w:pPr>
              <w:widowControl/>
              <w:adjustRightInd/>
              <w:spacing w:line="240" w:lineRule="auto"/>
              <w:ind w:firstLine="0" w:firstLineChars="0"/>
              <w:jc w:val="left"/>
              <w:rPr>
                <w:rFonts w:cs="Times New Roman"/>
                <w:kern w:val="0"/>
                <w:sz w:val="21"/>
                <w:szCs w:val="21"/>
              </w:rPr>
            </w:pPr>
          </w:p>
        </w:tc>
        <w:tc>
          <w:tcPr>
            <w:tcW w:w="837" w:type="pct"/>
            <w:vAlign w:val="center"/>
          </w:tcPr>
          <w:p w14:paraId="2DF30877">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所属土壤环境影响评价项目类别</w:t>
            </w:r>
          </w:p>
        </w:tc>
        <w:tc>
          <w:tcPr>
            <w:tcW w:w="3323" w:type="pct"/>
            <w:gridSpan w:val="6"/>
            <w:vAlign w:val="center"/>
          </w:tcPr>
          <w:p w14:paraId="56EA6C85">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Ⅰ类</w:t>
            </w:r>
            <w:r>
              <w:rPr>
                <w:rFonts w:hint="eastAsia" w:cs="Times New Roman"/>
                <w:sz w:val="21"/>
                <w:szCs w:val="21"/>
              </w:rPr>
              <w:t>□</w:t>
            </w:r>
            <w:r>
              <w:rPr>
                <w:rFonts w:hAnsi="宋体" w:cs="Times New Roman"/>
                <w:kern w:val="0"/>
                <w:sz w:val="21"/>
                <w:szCs w:val="21"/>
              </w:rPr>
              <w:t>；Ⅱ类</w:t>
            </w:r>
            <w:r>
              <w:rPr>
                <w:rFonts w:hint="eastAsia" w:cs="Times New Roman"/>
                <w:kern w:val="0"/>
                <w:sz w:val="21"/>
                <w:szCs w:val="21"/>
              </w:rPr>
              <w:t>□</w:t>
            </w:r>
            <w:r>
              <w:rPr>
                <w:rFonts w:hAnsi="宋体" w:cs="Times New Roman"/>
                <w:kern w:val="0"/>
                <w:sz w:val="21"/>
                <w:szCs w:val="21"/>
              </w:rPr>
              <w:t>；Ⅲ类</w:t>
            </w:r>
            <w:r>
              <w:rPr>
                <w:rFonts w:hint="eastAsia" w:cs="Times New Roman"/>
                <w:kern w:val="0"/>
                <w:sz w:val="21"/>
                <w:szCs w:val="21"/>
              </w:rPr>
              <w:t>□</w:t>
            </w:r>
            <w:r>
              <w:rPr>
                <w:rFonts w:hAnsi="宋体" w:cs="Times New Roman"/>
                <w:kern w:val="0"/>
                <w:sz w:val="21"/>
                <w:szCs w:val="21"/>
              </w:rPr>
              <w:t>；Ⅳ类</w:t>
            </w:r>
            <w:r>
              <w:rPr>
                <w:rFonts w:hint="eastAsia" w:cs="Times New Roman"/>
                <w:kern w:val="0"/>
                <w:sz w:val="21"/>
                <w:szCs w:val="21"/>
              </w:rPr>
              <w:t>□</w:t>
            </w:r>
          </w:p>
        </w:tc>
        <w:tc>
          <w:tcPr>
            <w:tcW w:w="429" w:type="pct"/>
            <w:vAlign w:val="center"/>
          </w:tcPr>
          <w:p w14:paraId="5564091B">
            <w:pPr>
              <w:widowControl/>
              <w:tabs>
                <w:tab w:val="left" w:pos="420"/>
                <w:tab w:val="left" w:pos="1021"/>
              </w:tabs>
              <w:adjustRightInd/>
              <w:spacing w:line="240" w:lineRule="auto"/>
              <w:ind w:firstLine="0" w:firstLineChars="0"/>
              <w:jc w:val="center"/>
              <w:rPr>
                <w:rFonts w:cs="Times New Roman"/>
                <w:kern w:val="0"/>
                <w:sz w:val="21"/>
                <w:szCs w:val="21"/>
              </w:rPr>
            </w:pPr>
          </w:p>
        </w:tc>
      </w:tr>
      <w:tr w14:paraId="67CC5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continue"/>
            <w:vAlign w:val="center"/>
          </w:tcPr>
          <w:p w14:paraId="00D51162">
            <w:pPr>
              <w:widowControl/>
              <w:adjustRightInd/>
              <w:spacing w:line="240" w:lineRule="auto"/>
              <w:ind w:firstLine="0" w:firstLineChars="0"/>
              <w:jc w:val="left"/>
              <w:rPr>
                <w:rFonts w:cs="Times New Roman"/>
                <w:kern w:val="0"/>
                <w:sz w:val="21"/>
                <w:szCs w:val="21"/>
              </w:rPr>
            </w:pPr>
          </w:p>
        </w:tc>
        <w:tc>
          <w:tcPr>
            <w:tcW w:w="837" w:type="pct"/>
            <w:vAlign w:val="center"/>
          </w:tcPr>
          <w:p w14:paraId="5622B33E">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敏感程度</w:t>
            </w:r>
          </w:p>
        </w:tc>
        <w:tc>
          <w:tcPr>
            <w:tcW w:w="3323" w:type="pct"/>
            <w:gridSpan w:val="6"/>
            <w:vAlign w:val="center"/>
          </w:tcPr>
          <w:p w14:paraId="3A4529BB">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敏感</w:t>
            </w:r>
            <w:r>
              <w:rPr>
                <w:rFonts w:hint="eastAsia" w:cs="Times New Roman"/>
                <w:sz w:val="21"/>
                <w:szCs w:val="21"/>
              </w:rPr>
              <w:t>□</w:t>
            </w:r>
            <w:r>
              <w:rPr>
                <w:rFonts w:hAnsi="宋体" w:cs="Times New Roman"/>
                <w:kern w:val="0"/>
                <w:sz w:val="21"/>
                <w:szCs w:val="21"/>
              </w:rPr>
              <w:t>；较敏感</w:t>
            </w:r>
            <w:r>
              <w:rPr>
                <w:rFonts w:hint="eastAsia" w:cs="Times New Roman"/>
                <w:kern w:val="0"/>
                <w:sz w:val="21"/>
                <w:szCs w:val="21"/>
              </w:rPr>
              <w:t>□</w:t>
            </w:r>
            <w:r>
              <w:rPr>
                <w:rFonts w:hAnsi="宋体" w:cs="Times New Roman"/>
                <w:kern w:val="0"/>
                <w:sz w:val="21"/>
                <w:szCs w:val="21"/>
              </w:rPr>
              <w:t>；不敏感</w:t>
            </w:r>
            <w:r>
              <w:rPr>
                <w:rFonts w:hint="eastAsia" w:cs="Times New Roman"/>
                <w:kern w:val="0"/>
                <w:sz w:val="21"/>
                <w:szCs w:val="21"/>
              </w:rPr>
              <w:t>☑</w:t>
            </w:r>
          </w:p>
        </w:tc>
        <w:tc>
          <w:tcPr>
            <w:tcW w:w="429" w:type="pct"/>
            <w:vAlign w:val="center"/>
          </w:tcPr>
          <w:p w14:paraId="1E533A75">
            <w:pPr>
              <w:widowControl/>
              <w:tabs>
                <w:tab w:val="left" w:pos="420"/>
                <w:tab w:val="left" w:pos="1021"/>
              </w:tabs>
              <w:adjustRightInd/>
              <w:spacing w:line="240" w:lineRule="auto"/>
              <w:ind w:firstLine="0" w:firstLineChars="0"/>
              <w:jc w:val="center"/>
              <w:rPr>
                <w:rFonts w:cs="Times New Roman"/>
                <w:kern w:val="0"/>
                <w:sz w:val="21"/>
                <w:szCs w:val="21"/>
              </w:rPr>
            </w:pPr>
          </w:p>
        </w:tc>
      </w:tr>
      <w:tr w14:paraId="12A56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246" w:type="pct"/>
            <w:gridSpan w:val="2"/>
            <w:vAlign w:val="center"/>
          </w:tcPr>
          <w:p w14:paraId="3FA143FE">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评价工作等级</w:t>
            </w:r>
          </w:p>
        </w:tc>
        <w:tc>
          <w:tcPr>
            <w:tcW w:w="3323" w:type="pct"/>
            <w:gridSpan w:val="6"/>
            <w:vAlign w:val="center"/>
          </w:tcPr>
          <w:p w14:paraId="464006FB">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一级</w:t>
            </w:r>
            <w:r>
              <w:rPr>
                <w:rFonts w:hint="eastAsia" w:cs="Times New Roman"/>
                <w:sz w:val="21"/>
                <w:szCs w:val="21"/>
              </w:rPr>
              <w:t>□</w:t>
            </w:r>
            <w:r>
              <w:rPr>
                <w:rFonts w:hAnsi="宋体" w:cs="Times New Roman"/>
                <w:kern w:val="0"/>
                <w:sz w:val="21"/>
                <w:szCs w:val="21"/>
              </w:rPr>
              <w:t>；二级</w:t>
            </w:r>
            <w:r>
              <w:rPr>
                <w:rFonts w:hint="eastAsia" w:cs="Times New Roman"/>
                <w:kern w:val="0"/>
                <w:sz w:val="21"/>
                <w:szCs w:val="21"/>
              </w:rPr>
              <w:t>☑</w:t>
            </w:r>
            <w:r>
              <w:rPr>
                <w:rFonts w:hAnsi="宋体" w:cs="Times New Roman"/>
                <w:kern w:val="0"/>
                <w:sz w:val="21"/>
                <w:szCs w:val="21"/>
              </w:rPr>
              <w:t>；三级</w:t>
            </w:r>
            <w:r>
              <w:rPr>
                <w:rFonts w:hint="eastAsia" w:cs="Times New Roman"/>
                <w:kern w:val="0"/>
                <w:sz w:val="21"/>
                <w:szCs w:val="21"/>
              </w:rPr>
              <w:t>□</w:t>
            </w:r>
          </w:p>
        </w:tc>
        <w:tc>
          <w:tcPr>
            <w:tcW w:w="429" w:type="pct"/>
            <w:vAlign w:val="center"/>
          </w:tcPr>
          <w:p w14:paraId="0088F06F">
            <w:pPr>
              <w:widowControl/>
              <w:tabs>
                <w:tab w:val="left" w:pos="420"/>
                <w:tab w:val="left" w:pos="1021"/>
              </w:tabs>
              <w:adjustRightInd/>
              <w:spacing w:line="240" w:lineRule="auto"/>
              <w:ind w:firstLine="0" w:firstLineChars="0"/>
              <w:jc w:val="center"/>
              <w:rPr>
                <w:rFonts w:cs="Times New Roman"/>
                <w:kern w:val="0"/>
                <w:sz w:val="21"/>
                <w:szCs w:val="21"/>
              </w:rPr>
            </w:pPr>
          </w:p>
        </w:tc>
      </w:tr>
      <w:tr w14:paraId="39AED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restart"/>
            <w:vAlign w:val="center"/>
          </w:tcPr>
          <w:p w14:paraId="4B880DF6">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现状调查内容</w:t>
            </w:r>
          </w:p>
        </w:tc>
        <w:tc>
          <w:tcPr>
            <w:tcW w:w="837" w:type="pct"/>
            <w:vAlign w:val="center"/>
          </w:tcPr>
          <w:p w14:paraId="392BACB4">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资料收集</w:t>
            </w:r>
          </w:p>
        </w:tc>
        <w:tc>
          <w:tcPr>
            <w:tcW w:w="3323" w:type="pct"/>
            <w:gridSpan w:val="6"/>
            <w:vAlign w:val="center"/>
          </w:tcPr>
          <w:p w14:paraId="3E5AB766">
            <w:pPr>
              <w:widowControl/>
              <w:tabs>
                <w:tab w:val="left" w:pos="420"/>
                <w:tab w:val="left" w:pos="1021"/>
              </w:tabs>
              <w:adjustRightInd/>
              <w:spacing w:line="240" w:lineRule="auto"/>
              <w:ind w:firstLine="0" w:firstLineChars="0"/>
              <w:jc w:val="center"/>
              <w:rPr>
                <w:rFonts w:cs="Times New Roman"/>
                <w:kern w:val="0"/>
                <w:sz w:val="21"/>
                <w:szCs w:val="21"/>
              </w:rPr>
            </w:pPr>
            <w:r>
              <w:rPr>
                <w:rFonts w:cs="Times New Roman"/>
                <w:kern w:val="0"/>
                <w:sz w:val="21"/>
                <w:szCs w:val="21"/>
              </w:rPr>
              <w:t>a</w:t>
            </w:r>
            <w:r>
              <w:rPr>
                <w:rFonts w:hAnsi="宋体" w:cs="Times New Roman"/>
                <w:kern w:val="0"/>
                <w:sz w:val="21"/>
                <w:szCs w:val="21"/>
              </w:rPr>
              <w:t>）</w:t>
            </w:r>
            <w:r>
              <w:rPr>
                <w:rFonts w:hint="eastAsia" w:cs="Times New Roman"/>
                <w:sz w:val="21"/>
                <w:szCs w:val="21"/>
              </w:rPr>
              <w:t>□</w:t>
            </w:r>
            <w:r>
              <w:rPr>
                <w:rFonts w:hAnsi="宋体" w:cs="Times New Roman"/>
                <w:kern w:val="0"/>
                <w:sz w:val="21"/>
                <w:szCs w:val="21"/>
              </w:rPr>
              <w:t>；</w:t>
            </w:r>
            <w:r>
              <w:rPr>
                <w:rFonts w:cs="Times New Roman"/>
                <w:kern w:val="0"/>
                <w:sz w:val="21"/>
                <w:szCs w:val="21"/>
              </w:rPr>
              <w:t>b</w:t>
            </w:r>
            <w:r>
              <w:rPr>
                <w:rFonts w:hAnsi="宋体" w:cs="Times New Roman"/>
                <w:kern w:val="0"/>
                <w:sz w:val="21"/>
                <w:szCs w:val="21"/>
              </w:rPr>
              <w:t>）</w:t>
            </w:r>
            <w:r>
              <w:rPr>
                <w:rFonts w:hint="eastAsia" w:cs="Times New Roman"/>
                <w:sz w:val="21"/>
                <w:szCs w:val="21"/>
              </w:rPr>
              <w:t>☑</w:t>
            </w:r>
            <w:r>
              <w:rPr>
                <w:rFonts w:hAnsi="宋体" w:cs="Times New Roman"/>
                <w:kern w:val="0"/>
                <w:sz w:val="21"/>
                <w:szCs w:val="21"/>
              </w:rPr>
              <w:t>；</w:t>
            </w:r>
            <w:r>
              <w:rPr>
                <w:rFonts w:cs="Times New Roman"/>
                <w:kern w:val="0"/>
                <w:sz w:val="21"/>
                <w:szCs w:val="21"/>
              </w:rPr>
              <w:t>c</w:t>
            </w:r>
            <w:r>
              <w:rPr>
                <w:rFonts w:hAnsi="宋体" w:cs="Times New Roman"/>
                <w:kern w:val="0"/>
                <w:sz w:val="21"/>
                <w:szCs w:val="21"/>
              </w:rPr>
              <w:t>）</w:t>
            </w:r>
            <w:r>
              <w:rPr>
                <w:rFonts w:hint="eastAsia" w:cs="Times New Roman"/>
                <w:kern w:val="0"/>
                <w:sz w:val="21"/>
                <w:szCs w:val="21"/>
              </w:rPr>
              <w:t>☑</w:t>
            </w:r>
            <w:r>
              <w:rPr>
                <w:rFonts w:hAnsi="宋体" w:cs="Times New Roman"/>
                <w:kern w:val="0"/>
                <w:sz w:val="21"/>
                <w:szCs w:val="21"/>
              </w:rPr>
              <w:t>；</w:t>
            </w:r>
            <w:r>
              <w:rPr>
                <w:rFonts w:cs="Times New Roman"/>
                <w:kern w:val="0"/>
                <w:sz w:val="21"/>
                <w:szCs w:val="21"/>
              </w:rPr>
              <w:t>d</w:t>
            </w:r>
            <w:r>
              <w:rPr>
                <w:rFonts w:hAnsi="宋体" w:cs="Times New Roman"/>
                <w:kern w:val="0"/>
                <w:sz w:val="21"/>
                <w:szCs w:val="21"/>
              </w:rPr>
              <w:t>）</w:t>
            </w:r>
            <w:r>
              <w:rPr>
                <w:rFonts w:hint="eastAsia" w:cs="Times New Roman"/>
                <w:kern w:val="0"/>
                <w:sz w:val="21"/>
                <w:szCs w:val="21"/>
              </w:rPr>
              <w:t>☑</w:t>
            </w:r>
          </w:p>
        </w:tc>
        <w:tc>
          <w:tcPr>
            <w:tcW w:w="429" w:type="pct"/>
            <w:vAlign w:val="center"/>
          </w:tcPr>
          <w:p w14:paraId="325EBDA3">
            <w:pPr>
              <w:widowControl/>
              <w:tabs>
                <w:tab w:val="left" w:pos="420"/>
                <w:tab w:val="left" w:pos="1021"/>
              </w:tabs>
              <w:adjustRightInd/>
              <w:spacing w:line="240" w:lineRule="auto"/>
              <w:ind w:firstLine="0" w:firstLineChars="0"/>
              <w:jc w:val="center"/>
              <w:rPr>
                <w:rFonts w:cs="Times New Roman"/>
                <w:kern w:val="0"/>
                <w:sz w:val="21"/>
                <w:szCs w:val="21"/>
              </w:rPr>
            </w:pPr>
          </w:p>
        </w:tc>
      </w:tr>
      <w:tr w14:paraId="33C9F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continue"/>
            <w:vAlign w:val="center"/>
          </w:tcPr>
          <w:p w14:paraId="52AC8E45">
            <w:pPr>
              <w:widowControl/>
              <w:adjustRightInd/>
              <w:spacing w:line="240" w:lineRule="auto"/>
              <w:ind w:firstLine="0" w:firstLineChars="0"/>
              <w:jc w:val="left"/>
              <w:rPr>
                <w:rFonts w:cs="Times New Roman"/>
                <w:kern w:val="0"/>
                <w:sz w:val="21"/>
                <w:szCs w:val="21"/>
              </w:rPr>
            </w:pPr>
          </w:p>
        </w:tc>
        <w:tc>
          <w:tcPr>
            <w:tcW w:w="837" w:type="pct"/>
            <w:vAlign w:val="center"/>
          </w:tcPr>
          <w:p w14:paraId="1FBC4A65">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理化特性</w:t>
            </w:r>
          </w:p>
        </w:tc>
        <w:tc>
          <w:tcPr>
            <w:tcW w:w="3323" w:type="pct"/>
            <w:gridSpan w:val="6"/>
            <w:vAlign w:val="center"/>
          </w:tcPr>
          <w:p w14:paraId="5AAE2003">
            <w:pPr>
              <w:widowControl/>
              <w:tabs>
                <w:tab w:val="left" w:pos="420"/>
                <w:tab w:val="left" w:pos="1021"/>
              </w:tabs>
              <w:adjustRightInd/>
              <w:spacing w:line="240" w:lineRule="auto"/>
              <w:ind w:firstLine="0" w:firstLineChars="0"/>
              <w:jc w:val="center"/>
              <w:rPr>
                <w:rFonts w:cs="Times New Roman"/>
                <w:kern w:val="0"/>
                <w:sz w:val="21"/>
                <w:szCs w:val="21"/>
              </w:rPr>
            </w:pPr>
            <w:r>
              <w:rPr>
                <w:rFonts w:hint="eastAsia" w:cs="Times New Roman"/>
                <w:kern w:val="0"/>
                <w:sz w:val="21"/>
                <w:szCs w:val="21"/>
              </w:rPr>
              <w:t>/</w:t>
            </w:r>
          </w:p>
        </w:tc>
        <w:tc>
          <w:tcPr>
            <w:tcW w:w="429" w:type="pct"/>
            <w:vAlign w:val="center"/>
          </w:tcPr>
          <w:p w14:paraId="07D5A85D">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同附录</w:t>
            </w:r>
            <w:r>
              <w:rPr>
                <w:rFonts w:cs="Times New Roman"/>
                <w:kern w:val="0"/>
                <w:sz w:val="21"/>
                <w:szCs w:val="21"/>
              </w:rPr>
              <w:t>C</w:t>
            </w:r>
          </w:p>
        </w:tc>
      </w:tr>
      <w:tr w14:paraId="396C1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continue"/>
            <w:vAlign w:val="center"/>
          </w:tcPr>
          <w:p w14:paraId="2B929B20">
            <w:pPr>
              <w:widowControl/>
              <w:adjustRightInd/>
              <w:spacing w:line="240" w:lineRule="auto"/>
              <w:ind w:firstLine="0" w:firstLineChars="0"/>
              <w:jc w:val="left"/>
              <w:rPr>
                <w:rFonts w:cs="Times New Roman"/>
                <w:kern w:val="0"/>
                <w:sz w:val="21"/>
                <w:szCs w:val="21"/>
              </w:rPr>
            </w:pPr>
          </w:p>
        </w:tc>
        <w:tc>
          <w:tcPr>
            <w:tcW w:w="837" w:type="pct"/>
            <w:vMerge w:val="restart"/>
            <w:vAlign w:val="center"/>
          </w:tcPr>
          <w:p w14:paraId="4A223F87">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现状监测点位</w:t>
            </w:r>
          </w:p>
        </w:tc>
        <w:tc>
          <w:tcPr>
            <w:tcW w:w="668" w:type="pct"/>
            <w:vAlign w:val="center"/>
          </w:tcPr>
          <w:p w14:paraId="792ED4F9">
            <w:pPr>
              <w:widowControl/>
              <w:tabs>
                <w:tab w:val="left" w:pos="420"/>
                <w:tab w:val="left" w:pos="1021"/>
              </w:tabs>
              <w:adjustRightInd/>
              <w:spacing w:line="240" w:lineRule="auto"/>
              <w:ind w:firstLine="0" w:firstLineChars="0"/>
              <w:jc w:val="center"/>
              <w:rPr>
                <w:rFonts w:cs="Times New Roman"/>
                <w:kern w:val="0"/>
                <w:sz w:val="21"/>
                <w:szCs w:val="21"/>
              </w:rPr>
            </w:pPr>
          </w:p>
        </w:tc>
        <w:tc>
          <w:tcPr>
            <w:tcW w:w="584" w:type="pct"/>
            <w:gridSpan w:val="2"/>
            <w:vAlign w:val="center"/>
          </w:tcPr>
          <w:p w14:paraId="53DEAD3D">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占地范围内</w:t>
            </w:r>
          </w:p>
        </w:tc>
        <w:tc>
          <w:tcPr>
            <w:tcW w:w="584" w:type="pct"/>
            <w:vAlign w:val="center"/>
          </w:tcPr>
          <w:p w14:paraId="3265EBF6">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占地范围外</w:t>
            </w:r>
          </w:p>
        </w:tc>
        <w:tc>
          <w:tcPr>
            <w:tcW w:w="1485" w:type="pct"/>
            <w:gridSpan w:val="2"/>
            <w:vAlign w:val="center"/>
          </w:tcPr>
          <w:p w14:paraId="6879F6C0">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深度</w:t>
            </w:r>
          </w:p>
        </w:tc>
        <w:tc>
          <w:tcPr>
            <w:tcW w:w="429" w:type="pct"/>
            <w:vMerge w:val="restart"/>
            <w:vAlign w:val="center"/>
          </w:tcPr>
          <w:p w14:paraId="51A4FE6D">
            <w:pPr>
              <w:widowControl/>
              <w:tabs>
                <w:tab w:val="left" w:pos="420"/>
                <w:tab w:val="left" w:pos="1021"/>
              </w:tabs>
              <w:adjustRightInd/>
              <w:spacing w:line="240" w:lineRule="auto"/>
              <w:ind w:firstLine="0" w:firstLineChars="0"/>
              <w:jc w:val="center"/>
              <w:rPr>
                <w:rFonts w:cs="Times New Roman"/>
                <w:kern w:val="0"/>
                <w:sz w:val="21"/>
                <w:szCs w:val="21"/>
              </w:rPr>
            </w:pPr>
            <w:r>
              <w:rPr>
                <w:rFonts w:hint="eastAsia" w:cs="Times New Roman"/>
                <w:kern w:val="0"/>
                <w:sz w:val="21"/>
                <w:szCs w:val="21"/>
              </w:rPr>
              <w:t>点位布置图</w:t>
            </w:r>
          </w:p>
        </w:tc>
      </w:tr>
      <w:tr w14:paraId="10586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continue"/>
            <w:vAlign w:val="center"/>
          </w:tcPr>
          <w:p w14:paraId="439220B0">
            <w:pPr>
              <w:widowControl/>
              <w:adjustRightInd/>
              <w:spacing w:line="240" w:lineRule="auto"/>
              <w:ind w:firstLine="0" w:firstLineChars="0"/>
              <w:jc w:val="left"/>
              <w:rPr>
                <w:rFonts w:cs="Times New Roman"/>
                <w:kern w:val="0"/>
                <w:sz w:val="21"/>
                <w:szCs w:val="21"/>
              </w:rPr>
            </w:pPr>
          </w:p>
        </w:tc>
        <w:tc>
          <w:tcPr>
            <w:tcW w:w="837" w:type="pct"/>
            <w:vMerge w:val="continue"/>
            <w:vAlign w:val="center"/>
          </w:tcPr>
          <w:p w14:paraId="1DC83E4F">
            <w:pPr>
              <w:widowControl/>
              <w:adjustRightInd/>
              <w:spacing w:line="240" w:lineRule="auto"/>
              <w:ind w:firstLine="0" w:firstLineChars="0"/>
              <w:jc w:val="left"/>
              <w:rPr>
                <w:rFonts w:cs="Times New Roman"/>
                <w:kern w:val="0"/>
                <w:sz w:val="21"/>
                <w:szCs w:val="21"/>
              </w:rPr>
            </w:pPr>
          </w:p>
        </w:tc>
        <w:tc>
          <w:tcPr>
            <w:tcW w:w="668" w:type="pct"/>
            <w:vAlign w:val="center"/>
          </w:tcPr>
          <w:p w14:paraId="26A1905B">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表层样点数</w:t>
            </w:r>
          </w:p>
        </w:tc>
        <w:tc>
          <w:tcPr>
            <w:tcW w:w="584" w:type="pct"/>
            <w:gridSpan w:val="2"/>
            <w:vAlign w:val="center"/>
          </w:tcPr>
          <w:p w14:paraId="2F61ECFD">
            <w:pPr>
              <w:widowControl/>
              <w:tabs>
                <w:tab w:val="left" w:pos="420"/>
                <w:tab w:val="left" w:pos="1021"/>
              </w:tabs>
              <w:adjustRightInd/>
              <w:spacing w:line="240" w:lineRule="auto"/>
              <w:ind w:firstLine="0" w:firstLineChars="0"/>
              <w:jc w:val="center"/>
              <w:rPr>
                <w:rFonts w:cs="Times New Roman"/>
                <w:kern w:val="0"/>
                <w:sz w:val="21"/>
                <w:szCs w:val="21"/>
              </w:rPr>
            </w:pPr>
            <w:r>
              <w:rPr>
                <w:rFonts w:hint="eastAsia" w:cs="Times New Roman"/>
                <w:kern w:val="0"/>
                <w:sz w:val="21"/>
                <w:szCs w:val="21"/>
              </w:rPr>
              <w:t>1</w:t>
            </w:r>
          </w:p>
        </w:tc>
        <w:tc>
          <w:tcPr>
            <w:tcW w:w="584" w:type="pct"/>
            <w:vAlign w:val="center"/>
          </w:tcPr>
          <w:p w14:paraId="780D744F">
            <w:pPr>
              <w:widowControl/>
              <w:tabs>
                <w:tab w:val="left" w:pos="420"/>
                <w:tab w:val="left" w:pos="1021"/>
              </w:tabs>
              <w:adjustRightInd/>
              <w:spacing w:line="240" w:lineRule="auto"/>
              <w:ind w:firstLine="0" w:firstLineChars="0"/>
              <w:jc w:val="center"/>
              <w:rPr>
                <w:rFonts w:cs="Times New Roman"/>
                <w:kern w:val="0"/>
                <w:sz w:val="21"/>
                <w:szCs w:val="21"/>
              </w:rPr>
            </w:pPr>
            <w:r>
              <w:rPr>
                <w:rFonts w:hint="eastAsia" w:cs="Times New Roman"/>
                <w:kern w:val="0"/>
                <w:sz w:val="21"/>
                <w:szCs w:val="21"/>
              </w:rPr>
              <w:t>2</w:t>
            </w:r>
          </w:p>
        </w:tc>
        <w:tc>
          <w:tcPr>
            <w:tcW w:w="1485" w:type="pct"/>
            <w:gridSpan w:val="2"/>
            <w:vAlign w:val="center"/>
          </w:tcPr>
          <w:p w14:paraId="4343A939">
            <w:pPr>
              <w:widowControl/>
              <w:tabs>
                <w:tab w:val="left" w:pos="420"/>
                <w:tab w:val="left" w:pos="1021"/>
              </w:tabs>
              <w:snapToGrid w:val="0"/>
              <w:spacing w:line="240" w:lineRule="auto"/>
              <w:ind w:firstLine="0" w:firstLineChars="0"/>
              <w:jc w:val="center"/>
              <w:rPr>
                <w:rFonts w:cs="Times New Roman"/>
                <w:kern w:val="0"/>
                <w:sz w:val="21"/>
                <w:szCs w:val="21"/>
              </w:rPr>
            </w:pPr>
            <w:r>
              <w:rPr>
                <w:rFonts w:hint="eastAsia" w:cs="Times New Roman"/>
                <w:kern w:val="0"/>
                <w:sz w:val="21"/>
                <w:szCs w:val="21"/>
              </w:rPr>
              <w:t>0.2m</w:t>
            </w:r>
          </w:p>
        </w:tc>
        <w:tc>
          <w:tcPr>
            <w:tcW w:w="429" w:type="pct"/>
            <w:vMerge w:val="continue"/>
            <w:vAlign w:val="center"/>
          </w:tcPr>
          <w:p w14:paraId="7C419FFA">
            <w:pPr>
              <w:widowControl/>
              <w:tabs>
                <w:tab w:val="left" w:pos="420"/>
                <w:tab w:val="left" w:pos="1021"/>
              </w:tabs>
              <w:adjustRightInd/>
              <w:spacing w:line="240" w:lineRule="auto"/>
              <w:ind w:firstLine="0" w:firstLineChars="0"/>
              <w:jc w:val="center"/>
              <w:rPr>
                <w:rFonts w:cs="Times New Roman"/>
                <w:kern w:val="0"/>
                <w:sz w:val="21"/>
                <w:szCs w:val="21"/>
              </w:rPr>
            </w:pPr>
          </w:p>
        </w:tc>
      </w:tr>
      <w:tr w14:paraId="2FA1D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continue"/>
            <w:vAlign w:val="center"/>
          </w:tcPr>
          <w:p w14:paraId="7A54033B">
            <w:pPr>
              <w:widowControl/>
              <w:adjustRightInd/>
              <w:spacing w:line="240" w:lineRule="auto"/>
              <w:ind w:firstLine="0" w:firstLineChars="0"/>
              <w:jc w:val="left"/>
              <w:rPr>
                <w:rFonts w:cs="Times New Roman"/>
                <w:kern w:val="0"/>
                <w:sz w:val="21"/>
                <w:szCs w:val="21"/>
              </w:rPr>
            </w:pPr>
          </w:p>
        </w:tc>
        <w:tc>
          <w:tcPr>
            <w:tcW w:w="837" w:type="pct"/>
            <w:vMerge w:val="continue"/>
            <w:vAlign w:val="center"/>
          </w:tcPr>
          <w:p w14:paraId="7E2235E0">
            <w:pPr>
              <w:widowControl/>
              <w:adjustRightInd/>
              <w:spacing w:line="240" w:lineRule="auto"/>
              <w:ind w:firstLine="0" w:firstLineChars="0"/>
              <w:jc w:val="left"/>
              <w:rPr>
                <w:rFonts w:cs="Times New Roman"/>
                <w:kern w:val="0"/>
                <w:sz w:val="21"/>
                <w:szCs w:val="21"/>
              </w:rPr>
            </w:pPr>
          </w:p>
        </w:tc>
        <w:tc>
          <w:tcPr>
            <w:tcW w:w="668" w:type="pct"/>
            <w:vAlign w:val="center"/>
          </w:tcPr>
          <w:p w14:paraId="7477E0DF">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柱状样点数</w:t>
            </w:r>
          </w:p>
        </w:tc>
        <w:tc>
          <w:tcPr>
            <w:tcW w:w="584" w:type="pct"/>
            <w:gridSpan w:val="2"/>
            <w:vAlign w:val="center"/>
          </w:tcPr>
          <w:p w14:paraId="374089F6">
            <w:pPr>
              <w:widowControl/>
              <w:tabs>
                <w:tab w:val="left" w:pos="420"/>
                <w:tab w:val="left" w:pos="1021"/>
              </w:tabs>
              <w:adjustRightInd/>
              <w:spacing w:line="240" w:lineRule="auto"/>
              <w:ind w:firstLine="0" w:firstLineChars="0"/>
              <w:jc w:val="center"/>
              <w:rPr>
                <w:rFonts w:cs="Times New Roman"/>
                <w:kern w:val="0"/>
                <w:sz w:val="21"/>
                <w:szCs w:val="21"/>
              </w:rPr>
            </w:pPr>
            <w:r>
              <w:rPr>
                <w:rFonts w:hint="eastAsia" w:cs="Times New Roman"/>
                <w:kern w:val="0"/>
                <w:sz w:val="21"/>
                <w:szCs w:val="21"/>
              </w:rPr>
              <w:t>3</w:t>
            </w:r>
          </w:p>
        </w:tc>
        <w:tc>
          <w:tcPr>
            <w:tcW w:w="584" w:type="pct"/>
            <w:vAlign w:val="center"/>
          </w:tcPr>
          <w:p w14:paraId="5A322A26">
            <w:pPr>
              <w:widowControl/>
              <w:tabs>
                <w:tab w:val="left" w:pos="420"/>
                <w:tab w:val="left" w:pos="1021"/>
              </w:tabs>
              <w:adjustRightInd/>
              <w:spacing w:line="240" w:lineRule="auto"/>
              <w:ind w:firstLine="0" w:firstLineChars="0"/>
              <w:jc w:val="center"/>
              <w:rPr>
                <w:rFonts w:cs="Times New Roman"/>
                <w:kern w:val="0"/>
                <w:sz w:val="21"/>
                <w:szCs w:val="21"/>
              </w:rPr>
            </w:pPr>
          </w:p>
        </w:tc>
        <w:tc>
          <w:tcPr>
            <w:tcW w:w="1485" w:type="pct"/>
            <w:gridSpan w:val="2"/>
            <w:vAlign w:val="center"/>
          </w:tcPr>
          <w:p w14:paraId="0A48B9BF">
            <w:pPr>
              <w:widowControl/>
              <w:tabs>
                <w:tab w:val="left" w:pos="420"/>
                <w:tab w:val="left" w:pos="1021"/>
              </w:tabs>
              <w:snapToGrid w:val="0"/>
              <w:spacing w:line="240" w:lineRule="auto"/>
              <w:ind w:firstLine="0" w:firstLineChars="0"/>
              <w:jc w:val="center"/>
              <w:rPr>
                <w:rFonts w:cs="Times New Roman"/>
                <w:kern w:val="0"/>
                <w:sz w:val="21"/>
                <w:szCs w:val="21"/>
              </w:rPr>
            </w:pPr>
            <w:r>
              <w:rPr>
                <w:rFonts w:hint="eastAsia" w:cs="Times New Roman"/>
                <w:kern w:val="0"/>
                <w:sz w:val="21"/>
                <w:szCs w:val="21"/>
              </w:rPr>
              <w:t>3m</w:t>
            </w:r>
          </w:p>
        </w:tc>
        <w:tc>
          <w:tcPr>
            <w:tcW w:w="429" w:type="pct"/>
            <w:vMerge w:val="continue"/>
            <w:vAlign w:val="center"/>
          </w:tcPr>
          <w:p w14:paraId="1D514877">
            <w:pPr>
              <w:widowControl/>
              <w:tabs>
                <w:tab w:val="left" w:pos="420"/>
                <w:tab w:val="left" w:pos="1021"/>
              </w:tabs>
              <w:adjustRightInd/>
              <w:spacing w:line="240" w:lineRule="auto"/>
              <w:ind w:firstLine="0" w:firstLineChars="0"/>
              <w:jc w:val="center"/>
              <w:rPr>
                <w:rFonts w:cs="Times New Roman"/>
                <w:kern w:val="0"/>
                <w:sz w:val="21"/>
                <w:szCs w:val="21"/>
              </w:rPr>
            </w:pPr>
          </w:p>
        </w:tc>
      </w:tr>
      <w:tr w14:paraId="7BA23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continue"/>
            <w:vAlign w:val="center"/>
          </w:tcPr>
          <w:p w14:paraId="7CC869AD">
            <w:pPr>
              <w:widowControl/>
              <w:adjustRightInd/>
              <w:spacing w:line="240" w:lineRule="auto"/>
              <w:ind w:firstLine="0" w:firstLineChars="0"/>
              <w:jc w:val="left"/>
              <w:rPr>
                <w:rFonts w:cs="Times New Roman"/>
                <w:kern w:val="0"/>
                <w:sz w:val="21"/>
                <w:szCs w:val="21"/>
              </w:rPr>
            </w:pPr>
          </w:p>
        </w:tc>
        <w:tc>
          <w:tcPr>
            <w:tcW w:w="837" w:type="pct"/>
            <w:vAlign w:val="center"/>
          </w:tcPr>
          <w:p w14:paraId="720EB70F">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现状监测因子</w:t>
            </w:r>
          </w:p>
        </w:tc>
        <w:tc>
          <w:tcPr>
            <w:tcW w:w="3323" w:type="pct"/>
            <w:gridSpan w:val="6"/>
            <w:vAlign w:val="center"/>
          </w:tcPr>
          <w:p w14:paraId="055730F9">
            <w:pPr>
              <w:widowControl/>
              <w:tabs>
                <w:tab w:val="left" w:pos="420"/>
                <w:tab w:val="left" w:pos="1021"/>
              </w:tabs>
              <w:adjustRightInd/>
              <w:spacing w:line="240" w:lineRule="auto"/>
              <w:ind w:firstLine="0" w:firstLineChars="0"/>
              <w:jc w:val="center"/>
              <w:rPr>
                <w:rFonts w:hAnsi="宋体" w:cs="Times New Roman"/>
                <w:kern w:val="0"/>
                <w:sz w:val="21"/>
                <w:szCs w:val="21"/>
              </w:rPr>
            </w:pPr>
            <w:r>
              <w:rPr>
                <w:rFonts w:hAnsi="宋体" w:cs="Times New Roman"/>
                <w:kern w:val="0"/>
                <w:sz w:val="21"/>
                <w:szCs w:val="21"/>
              </w:rPr>
              <w:t>《土壤环境质量 建设用地土壤污染风险管控标准》（GB36600-2018）基本项目</w:t>
            </w:r>
          </w:p>
        </w:tc>
        <w:tc>
          <w:tcPr>
            <w:tcW w:w="429" w:type="pct"/>
            <w:vAlign w:val="center"/>
          </w:tcPr>
          <w:p w14:paraId="6F70B7B7">
            <w:pPr>
              <w:widowControl/>
              <w:tabs>
                <w:tab w:val="left" w:pos="420"/>
                <w:tab w:val="left" w:pos="1021"/>
              </w:tabs>
              <w:adjustRightInd/>
              <w:spacing w:line="240" w:lineRule="auto"/>
              <w:ind w:firstLine="0" w:firstLineChars="0"/>
              <w:jc w:val="center"/>
              <w:rPr>
                <w:rFonts w:cs="Times New Roman"/>
                <w:kern w:val="0"/>
                <w:sz w:val="21"/>
                <w:szCs w:val="21"/>
              </w:rPr>
            </w:pPr>
          </w:p>
        </w:tc>
      </w:tr>
      <w:tr w14:paraId="7CF2D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restart"/>
            <w:vAlign w:val="center"/>
          </w:tcPr>
          <w:p w14:paraId="2E5A00C6">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现状评价</w:t>
            </w:r>
          </w:p>
        </w:tc>
        <w:tc>
          <w:tcPr>
            <w:tcW w:w="837" w:type="pct"/>
            <w:vAlign w:val="center"/>
          </w:tcPr>
          <w:p w14:paraId="61E4CF0D">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评价因子</w:t>
            </w:r>
          </w:p>
        </w:tc>
        <w:tc>
          <w:tcPr>
            <w:tcW w:w="3323" w:type="pct"/>
            <w:gridSpan w:val="6"/>
            <w:vAlign w:val="center"/>
          </w:tcPr>
          <w:p w14:paraId="1A70AC7F">
            <w:pPr>
              <w:widowControl/>
              <w:tabs>
                <w:tab w:val="left" w:pos="420"/>
                <w:tab w:val="left" w:pos="1021"/>
              </w:tabs>
              <w:adjustRightInd/>
              <w:spacing w:line="240" w:lineRule="auto"/>
              <w:ind w:firstLine="0" w:firstLineChars="0"/>
              <w:jc w:val="center"/>
              <w:rPr>
                <w:rFonts w:cs="Times New Roman"/>
                <w:kern w:val="0"/>
                <w:sz w:val="21"/>
                <w:szCs w:val="21"/>
              </w:rPr>
            </w:pPr>
            <w:r>
              <w:rPr>
                <w:rFonts w:cs="Times New Roman"/>
                <w:kern w:val="0"/>
                <w:sz w:val="21"/>
                <w:szCs w:val="21"/>
              </w:rPr>
              <w:t>同监测因子</w:t>
            </w:r>
          </w:p>
        </w:tc>
        <w:tc>
          <w:tcPr>
            <w:tcW w:w="429" w:type="pct"/>
            <w:vAlign w:val="center"/>
          </w:tcPr>
          <w:p w14:paraId="0074036B">
            <w:pPr>
              <w:widowControl/>
              <w:tabs>
                <w:tab w:val="left" w:pos="420"/>
                <w:tab w:val="left" w:pos="1021"/>
              </w:tabs>
              <w:adjustRightInd/>
              <w:spacing w:line="240" w:lineRule="auto"/>
              <w:ind w:firstLine="0" w:firstLineChars="0"/>
              <w:jc w:val="center"/>
              <w:rPr>
                <w:rFonts w:cs="Times New Roman"/>
                <w:kern w:val="0"/>
                <w:sz w:val="21"/>
                <w:szCs w:val="21"/>
              </w:rPr>
            </w:pPr>
          </w:p>
        </w:tc>
      </w:tr>
      <w:tr w14:paraId="07D3B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continue"/>
            <w:vAlign w:val="center"/>
          </w:tcPr>
          <w:p w14:paraId="0FE29246">
            <w:pPr>
              <w:widowControl/>
              <w:adjustRightInd/>
              <w:spacing w:line="240" w:lineRule="auto"/>
              <w:ind w:firstLine="0" w:firstLineChars="0"/>
              <w:jc w:val="left"/>
              <w:rPr>
                <w:rFonts w:cs="Times New Roman"/>
                <w:kern w:val="0"/>
                <w:sz w:val="21"/>
                <w:szCs w:val="21"/>
              </w:rPr>
            </w:pPr>
          </w:p>
        </w:tc>
        <w:tc>
          <w:tcPr>
            <w:tcW w:w="837" w:type="pct"/>
            <w:vAlign w:val="center"/>
          </w:tcPr>
          <w:p w14:paraId="1B126939">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评价标准</w:t>
            </w:r>
          </w:p>
        </w:tc>
        <w:tc>
          <w:tcPr>
            <w:tcW w:w="3323" w:type="pct"/>
            <w:gridSpan w:val="6"/>
            <w:vAlign w:val="center"/>
          </w:tcPr>
          <w:p w14:paraId="3A6B53E5">
            <w:pPr>
              <w:widowControl/>
              <w:tabs>
                <w:tab w:val="left" w:pos="420"/>
                <w:tab w:val="left" w:pos="1021"/>
              </w:tabs>
              <w:adjustRightInd/>
              <w:spacing w:line="240" w:lineRule="auto"/>
              <w:ind w:firstLine="0" w:firstLineChars="0"/>
              <w:jc w:val="center"/>
              <w:rPr>
                <w:rFonts w:cs="Times New Roman"/>
                <w:kern w:val="0"/>
                <w:sz w:val="21"/>
                <w:szCs w:val="21"/>
              </w:rPr>
            </w:pPr>
            <w:r>
              <w:rPr>
                <w:rFonts w:cs="Times New Roman"/>
                <w:kern w:val="0"/>
                <w:sz w:val="21"/>
                <w:szCs w:val="21"/>
              </w:rPr>
              <w:t>GB 15618</w:t>
            </w:r>
            <w:r>
              <w:rPr>
                <w:rFonts w:hint="eastAsia" w:cs="Times New Roman"/>
                <w:kern w:val="0"/>
                <w:sz w:val="21"/>
                <w:szCs w:val="21"/>
              </w:rPr>
              <w:t>□</w:t>
            </w:r>
            <w:r>
              <w:rPr>
                <w:rFonts w:hAnsi="宋体" w:cs="Times New Roman"/>
                <w:kern w:val="0"/>
                <w:sz w:val="21"/>
                <w:szCs w:val="21"/>
              </w:rPr>
              <w:t>；</w:t>
            </w:r>
            <w:r>
              <w:rPr>
                <w:rFonts w:cs="Times New Roman"/>
                <w:kern w:val="0"/>
                <w:sz w:val="21"/>
                <w:szCs w:val="21"/>
              </w:rPr>
              <w:t>GB 36600</w:t>
            </w:r>
            <w:r>
              <w:rPr>
                <w:rFonts w:hint="eastAsia" w:cs="Times New Roman"/>
                <w:sz w:val="21"/>
                <w:szCs w:val="21"/>
              </w:rPr>
              <w:t>☑</w:t>
            </w:r>
            <w:r>
              <w:rPr>
                <w:rFonts w:hAnsi="宋体" w:cs="Times New Roman"/>
                <w:kern w:val="0"/>
                <w:sz w:val="21"/>
                <w:szCs w:val="21"/>
              </w:rPr>
              <w:t>；表</w:t>
            </w:r>
            <w:r>
              <w:rPr>
                <w:rFonts w:cs="Times New Roman"/>
                <w:kern w:val="0"/>
                <w:sz w:val="21"/>
                <w:szCs w:val="21"/>
              </w:rPr>
              <w:t>D.1</w:t>
            </w:r>
            <w:r>
              <w:rPr>
                <w:rFonts w:hint="eastAsia" w:cs="Times New Roman"/>
                <w:kern w:val="0"/>
                <w:sz w:val="21"/>
                <w:szCs w:val="21"/>
              </w:rPr>
              <w:t>□</w:t>
            </w:r>
            <w:r>
              <w:rPr>
                <w:rFonts w:hAnsi="宋体" w:cs="Times New Roman"/>
                <w:kern w:val="0"/>
                <w:sz w:val="21"/>
                <w:szCs w:val="21"/>
              </w:rPr>
              <w:t>；表</w:t>
            </w:r>
            <w:r>
              <w:rPr>
                <w:rFonts w:cs="Times New Roman"/>
                <w:kern w:val="0"/>
                <w:sz w:val="21"/>
                <w:szCs w:val="21"/>
              </w:rPr>
              <w:t>D.2</w:t>
            </w:r>
            <w:r>
              <w:rPr>
                <w:rFonts w:hint="eastAsia" w:cs="Times New Roman"/>
                <w:kern w:val="0"/>
                <w:sz w:val="21"/>
                <w:szCs w:val="21"/>
              </w:rPr>
              <w:t>□</w:t>
            </w:r>
            <w:r>
              <w:rPr>
                <w:rFonts w:hAnsi="宋体" w:cs="Times New Roman"/>
                <w:kern w:val="0"/>
                <w:sz w:val="21"/>
                <w:szCs w:val="21"/>
              </w:rPr>
              <w:t>；其他（</w:t>
            </w:r>
            <w:r>
              <w:rPr>
                <w:rFonts w:cs="Times New Roman"/>
                <w:kern w:val="0"/>
                <w:sz w:val="21"/>
                <w:szCs w:val="21"/>
              </w:rPr>
              <w:t xml:space="preserve"> </w:t>
            </w:r>
            <w:r>
              <w:rPr>
                <w:rFonts w:hAnsi="宋体" w:cs="Times New Roman"/>
                <w:kern w:val="0"/>
                <w:sz w:val="21"/>
                <w:szCs w:val="21"/>
              </w:rPr>
              <w:t>）</w:t>
            </w:r>
          </w:p>
        </w:tc>
        <w:tc>
          <w:tcPr>
            <w:tcW w:w="429" w:type="pct"/>
            <w:vAlign w:val="center"/>
          </w:tcPr>
          <w:p w14:paraId="2766D4FC">
            <w:pPr>
              <w:widowControl/>
              <w:tabs>
                <w:tab w:val="left" w:pos="420"/>
                <w:tab w:val="left" w:pos="1021"/>
              </w:tabs>
              <w:adjustRightInd/>
              <w:spacing w:line="240" w:lineRule="auto"/>
              <w:ind w:firstLine="0" w:firstLineChars="0"/>
              <w:jc w:val="center"/>
              <w:rPr>
                <w:rFonts w:cs="Times New Roman"/>
                <w:kern w:val="0"/>
                <w:sz w:val="21"/>
                <w:szCs w:val="21"/>
              </w:rPr>
            </w:pPr>
          </w:p>
        </w:tc>
      </w:tr>
      <w:tr w14:paraId="155AD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continue"/>
            <w:vAlign w:val="center"/>
          </w:tcPr>
          <w:p w14:paraId="611ADDF1">
            <w:pPr>
              <w:widowControl/>
              <w:adjustRightInd/>
              <w:spacing w:line="240" w:lineRule="auto"/>
              <w:ind w:firstLine="0" w:firstLineChars="0"/>
              <w:jc w:val="left"/>
              <w:rPr>
                <w:rFonts w:cs="Times New Roman"/>
                <w:kern w:val="0"/>
                <w:sz w:val="21"/>
                <w:szCs w:val="21"/>
              </w:rPr>
            </w:pPr>
          </w:p>
        </w:tc>
        <w:tc>
          <w:tcPr>
            <w:tcW w:w="837" w:type="pct"/>
            <w:vAlign w:val="center"/>
          </w:tcPr>
          <w:p w14:paraId="2906BAA8">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现状评价结论</w:t>
            </w:r>
          </w:p>
        </w:tc>
        <w:tc>
          <w:tcPr>
            <w:tcW w:w="3323" w:type="pct"/>
            <w:gridSpan w:val="6"/>
            <w:vAlign w:val="center"/>
          </w:tcPr>
          <w:p w14:paraId="6AD09106">
            <w:pPr>
              <w:widowControl/>
              <w:tabs>
                <w:tab w:val="left" w:pos="420"/>
                <w:tab w:val="left" w:pos="1021"/>
              </w:tabs>
              <w:adjustRightInd/>
              <w:spacing w:line="240" w:lineRule="auto"/>
              <w:ind w:firstLine="0" w:firstLineChars="0"/>
              <w:jc w:val="center"/>
              <w:rPr>
                <w:rFonts w:cs="Times New Roman"/>
                <w:kern w:val="0"/>
                <w:sz w:val="21"/>
                <w:szCs w:val="21"/>
              </w:rPr>
            </w:pPr>
            <w:r>
              <w:rPr>
                <w:rFonts w:cs="Times New Roman"/>
                <w:kern w:val="0"/>
                <w:sz w:val="21"/>
                <w:szCs w:val="21"/>
              </w:rPr>
              <w:t>建设用地各监测点满足《土壤环境质量 建设用地土壤污染风险管控标准》（GB36600-2018）标准要求</w:t>
            </w:r>
          </w:p>
        </w:tc>
        <w:tc>
          <w:tcPr>
            <w:tcW w:w="429" w:type="pct"/>
            <w:vAlign w:val="center"/>
          </w:tcPr>
          <w:p w14:paraId="74BC205B">
            <w:pPr>
              <w:widowControl/>
              <w:tabs>
                <w:tab w:val="left" w:pos="420"/>
                <w:tab w:val="left" w:pos="1021"/>
              </w:tabs>
              <w:adjustRightInd/>
              <w:spacing w:line="240" w:lineRule="auto"/>
              <w:ind w:firstLine="0" w:firstLineChars="0"/>
              <w:jc w:val="center"/>
              <w:rPr>
                <w:rFonts w:cs="Times New Roman"/>
                <w:kern w:val="0"/>
                <w:sz w:val="21"/>
                <w:szCs w:val="21"/>
              </w:rPr>
            </w:pPr>
          </w:p>
        </w:tc>
      </w:tr>
      <w:tr w14:paraId="73DA0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restart"/>
            <w:vAlign w:val="center"/>
          </w:tcPr>
          <w:p w14:paraId="69EB362E">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影响预测</w:t>
            </w:r>
          </w:p>
        </w:tc>
        <w:tc>
          <w:tcPr>
            <w:tcW w:w="837" w:type="pct"/>
            <w:vAlign w:val="center"/>
          </w:tcPr>
          <w:p w14:paraId="638E12BB">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预测因子</w:t>
            </w:r>
          </w:p>
        </w:tc>
        <w:tc>
          <w:tcPr>
            <w:tcW w:w="3323" w:type="pct"/>
            <w:gridSpan w:val="6"/>
            <w:vAlign w:val="center"/>
          </w:tcPr>
          <w:p w14:paraId="1133963D">
            <w:pPr>
              <w:widowControl/>
              <w:tabs>
                <w:tab w:val="left" w:pos="420"/>
                <w:tab w:val="left" w:pos="1021"/>
              </w:tabs>
              <w:adjustRightInd/>
              <w:spacing w:line="240" w:lineRule="auto"/>
              <w:ind w:firstLine="0" w:firstLineChars="0"/>
              <w:jc w:val="center"/>
              <w:rPr>
                <w:rFonts w:cs="Times New Roman"/>
                <w:kern w:val="0"/>
                <w:sz w:val="21"/>
                <w:szCs w:val="21"/>
              </w:rPr>
            </w:pPr>
            <w:r>
              <w:rPr>
                <w:rFonts w:hint="eastAsia" w:cs="Times New Roman"/>
                <w:kern w:val="0"/>
                <w:sz w:val="21"/>
                <w:szCs w:val="21"/>
              </w:rPr>
              <w:t>定性分析</w:t>
            </w:r>
          </w:p>
        </w:tc>
        <w:tc>
          <w:tcPr>
            <w:tcW w:w="429" w:type="pct"/>
            <w:vAlign w:val="center"/>
          </w:tcPr>
          <w:p w14:paraId="647FD815">
            <w:pPr>
              <w:widowControl/>
              <w:tabs>
                <w:tab w:val="left" w:pos="420"/>
                <w:tab w:val="left" w:pos="1021"/>
              </w:tabs>
              <w:adjustRightInd/>
              <w:spacing w:line="240" w:lineRule="auto"/>
              <w:ind w:firstLine="0" w:firstLineChars="0"/>
              <w:jc w:val="center"/>
              <w:rPr>
                <w:rFonts w:cs="Times New Roman"/>
                <w:kern w:val="0"/>
                <w:sz w:val="21"/>
                <w:szCs w:val="21"/>
              </w:rPr>
            </w:pPr>
          </w:p>
        </w:tc>
      </w:tr>
      <w:tr w14:paraId="28CAE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continue"/>
            <w:vAlign w:val="center"/>
          </w:tcPr>
          <w:p w14:paraId="0CDD6321">
            <w:pPr>
              <w:widowControl/>
              <w:adjustRightInd/>
              <w:spacing w:line="240" w:lineRule="auto"/>
              <w:ind w:firstLine="0" w:firstLineChars="0"/>
              <w:jc w:val="left"/>
              <w:rPr>
                <w:rFonts w:cs="Times New Roman"/>
                <w:kern w:val="0"/>
                <w:sz w:val="21"/>
                <w:szCs w:val="21"/>
              </w:rPr>
            </w:pPr>
          </w:p>
        </w:tc>
        <w:tc>
          <w:tcPr>
            <w:tcW w:w="837" w:type="pct"/>
            <w:vAlign w:val="center"/>
          </w:tcPr>
          <w:p w14:paraId="6DF1A0EA">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预测方法</w:t>
            </w:r>
          </w:p>
        </w:tc>
        <w:tc>
          <w:tcPr>
            <w:tcW w:w="3323" w:type="pct"/>
            <w:gridSpan w:val="6"/>
            <w:vAlign w:val="center"/>
          </w:tcPr>
          <w:p w14:paraId="67F24F1F">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附录</w:t>
            </w:r>
            <w:r>
              <w:rPr>
                <w:rFonts w:cs="Times New Roman"/>
                <w:kern w:val="0"/>
                <w:sz w:val="21"/>
                <w:szCs w:val="21"/>
              </w:rPr>
              <w:t>E</w:t>
            </w:r>
            <w:r>
              <w:rPr>
                <w:rFonts w:hint="eastAsia" w:cs="Times New Roman"/>
                <w:sz w:val="21"/>
                <w:szCs w:val="21"/>
              </w:rPr>
              <w:t>□</w:t>
            </w:r>
            <w:r>
              <w:rPr>
                <w:rFonts w:hAnsi="宋体" w:cs="Times New Roman"/>
                <w:kern w:val="0"/>
                <w:sz w:val="21"/>
                <w:szCs w:val="21"/>
              </w:rPr>
              <w:t>；附录</w:t>
            </w:r>
            <w:r>
              <w:rPr>
                <w:rFonts w:cs="Times New Roman"/>
                <w:kern w:val="0"/>
                <w:sz w:val="21"/>
                <w:szCs w:val="21"/>
              </w:rPr>
              <w:t>F</w:t>
            </w:r>
            <w:r>
              <w:rPr>
                <w:rFonts w:hint="eastAsia" w:cs="Times New Roman"/>
                <w:kern w:val="0"/>
                <w:sz w:val="21"/>
                <w:szCs w:val="21"/>
              </w:rPr>
              <w:t>□</w:t>
            </w:r>
            <w:r>
              <w:rPr>
                <w:rFonts w:hAnsi="宋体" w:cs="Times New Roman"/>
                <w:kern w:val="0"/>
                <w:sz w:val="21"/>
                <w:szCs w:val="21"/>
              </w:rPr>
              <w:t>；其他（</w:t>
            </w:r>
            <w:r>
              <w:rPr>
                <w:rFonts w:hint="eastAsia" w:cs="Times New Roman"/>
                <w:kern w:val="0"/>
                <w:sz w:val="21"/>
                <w:szCs w:val="21"/>
              </w:rPr>
              <w:t>定性分析</w:t>
            </w:r>
            <w:r>
              <w:rPr>
                <w:rFonts w:hAnsi="宋体" w:cs="Times New Roman"/>
                <w:kern w:val="0"/>
                <w:sz w:val="21"/>
                <w:szCs w:val="21"/>
              </w:rPr>
              <w:t>）</w:t>
            </w:r>
          </w:p>
        </w:tc>
        <w:tc>
          <w:tcPr>
            <w:tcW w:w="429" w:type="pct"/>
            <w:vAlign w:val="center"/>
          </w:tcPr>
          <w:p w14:paraId="2A282169">
            <w:pPr>
              <w:widowControl/>
              <w:tabs>
                <w:tab w:val="left" w:pos="420"/>
                <w:tab w:val="left" w:pos="1021"/>
              </w:tabs>
              <w:adjustRightInd/>
              <w:spacing w:line="240" w:lineRule="auto"/>
              <w:ind w:firstLine="0" w:firstLineChars="0"/>
              <w:jc w:val="center"/>
              <w:rPr>
                <w:rFonts w:cs="Times New Roman"/>
                <w:kern w:val="0"/>
                <w:sz w:val="21"/>
                <w:szCs w:val="21"/>
              </w:rPr>
            </w:pPr>
          </w:p>
        </w:tc>
      </w:tr>
      <w:tr w14:paraId="52E88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continue"/>
            <w:vAlign w:val="center"/>
          </w:tcPr>
          <w:p w14:paraId="290450D7">
            <w:pPr>
              <w:widowControl/>
              <w:adjustRightInd/>
              <w:spacing w:line="240" w:lineRule="auto"/>
              <w:ind w:firstLine="0" w:firstLineChars="0"/>
              <w:jc w:val="left"/>
              <w:rPr>
                <w:rFonts w:cs="Times New Roman"/>
                <w:kern w:val="0"/>
                <w:sz w:val="21"/>
                <w:szCs w:val="21"/>
              </w:rPr>
            </w:pPr>
          </w:p>
        </w:tc>
        <w:tc>
          <w:tcPr>
            <w:tcW w:w="837" w:type="pct"/>
            <w:vAlign w:val="center"/>
          </w:tcPr>
          <w:p w14:paraId="5E393E3D">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预测分析内容</w:t>
            </w:r>
          </w:p>
        </w:tc>
        <w:tc>
          <w:tcPr>
            <w:tcW w:w="3323" w:type="pct"/>
            <w:gridSpan w:val="6"/>
            <w:vAlign w:val="center"/>
          </w:tcPr>
          <w:p w14:paraId="46C25FB3">
            <w:pPr>
              <w:widowControl/>
              <w:tabs>
                <w:tab w:val="left" w:pos="420"/>
                <w:tab w:val="left" w:pos="1021"/>
              </w:tabs>
              <w:adjustRightInd/>
              <w:spacing w:line="240" w:lineRule="auto"/>
              <w:ind w:firstLine="0" w:firstLineChars="0"/>
              <w:jc w:val="center"/>
              <w:rPr>
                <w:rFonts w:hAnsi="宋体" w:cs="Times New Roman"/>
                <w:kern w:val="0"/>
                <w:sz w:val="21"/>
                <w:szCs w:val="21"/>
              </w:rPr>
            </w:pPr>
            <w:r>
              <w:rPr>
                <w:rFonts w:hAnsi="宋体" w:cs="Times New Roman"/>
                <w:kern w:val="0"/>
                <w:sz w:val="21"/>
                <w:szCs w:val="21"/>
              </w:rPr>
              <w:t>影响范围（</w:t>
            </w:r>
            <w:r>
              <w:rPr>
                <w:rFonts w:hint="eastAsia" w:hAnsi="宋体" w:cs="Times New Roman"/>
                <w:kern w:val="0"/>
                <w:sz w:val="21"/>
                <w:szCs w:val="21"/>
              </w:rPr>
              <w:t xml:space="preserve">   </w:t>
            </w:r>
            <w:r>
              <w:rPr>
                <w:rFonts w:cs="Times New Roman"/>
                <w:kern w:val="0"/>
                <w:sz w:val="21"/>
                <w:szCs w:val="21"/>
              </w:rPr>
              <w:t xml:space="preserve"> </w:t>
            </w:r>
            <w:r>
              <w:rPr>
                <w:rFonts w:hAnsi="宋体" w:cs="Times New Roman"/>
                <w:kern w:val="0"/>
                <w:sz w:val="21"/>
                <w:szCs w:val="21"/>
              </w:rPr>
              <w:t>）</w:t>
            </w:r>
          </w:p>
          <w:p w14:paraId="237EC946">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影响程度（</w:t>
            </w:r>
            <w:r>
              <w:rPr>
                <w:rFonts w:hint="eastAsia" w:cs="Times New Roman"/>
                <w:kern w:val="0"/>
                <w:sz w:val="21"/>
                <w:szCs w:val="21"/>
              </w:rPr>
              <w:t xml:space="preserve">    </w:t>
            </w:r>
            <w:r>
              <w:rPr>
                <w:rFonts w:hAnsi="宋体" w:cs="Times New Roman"/>
                <w:kern w:val="0"/>
                <w:sz w:val="21"/>
                <w:szCs w:val="21"/>
              </w:rPr>
              <w:t>）</w:t>
            </w:r>
          </w:p>
        </w:tc>
        <w:tc>
          <w:tcPr>
            <w:tcW w:w="429" w:type="pct"/>
            <w:vAlign w:val="center"/>
          </w:tcPr>
          <w:p w14:paraId="42B3B92F">
            <w:pPr>
              <w:widowControl/>
              <w:tabs>
                <w:tab w:val="left" w:pos="420"/>
                <w:tab w:val="left" w:pos="1021"/>
              </w:tabs>
              <w:adjustRightInd/>
              <w:spacing w:line="240" w:lineRule="auto"/>
              <w:ind w:firstLine="0" w:firstLineChars="0"/>
              <w:jc w:val="center"/>
              <w:rPr>
                <w:rFonts w:cs="Times New Roman"/>
                <w:kern w:val="0"/>
                <w:sz w:val="21"/>
                <w:szCs w:val="21"/>
              </w:rPr>
            </w:pPr>
          </w:p>
        </w:tc>
      </w:tr>
      <w:tr w14:paraId="3BC63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continue"/>
            <w:vAlign w:val="center"/>
          </w:tcPr>
          <w:p w14:paraId="4E5F9638">
            <w:pPr>
              <w:widowControl/>
              <w:adjustRightInd/>
              <w:spacing w:line="240" w:lineRule="auto"/>
              <w:ind w:firstLine="0" w:firstLineChars="0"/>
              <w:jc w:val="left"/>
              <w:rPr>
                <w:rFonts w:cs="Times New Roman"/>
                <w:kern w:val="0"/>
                <w:sz w:val="21"/>
                <w:szCs w:val="21"/>
              </w:rPr>
            </w:pPr>
          </w:p>
        </w:tc>
        <w:tc>
          <w:tcPr>
            <w:tcW w:w="837" w:type="pct"/>
            <w:vAlign w:val="center"/>
          </w:tcPr>
          <w:p w14:paraId="0A455B57">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预测结论</w:t>
            </w:r>
          </w:p>
        </w:tc>
        <w:tc>
          <w:tcPr>
            <w:tcW w:w="3323" w:type="pct"/>
            <w:gridSpan w:val="6"/>
            <w:vAlign w:val="center"/>
          </w:tcPr>
          <w:p w14:paraId="306BD6FD">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达标结论：</w:t>
            </w:r>
            <w:r>
              <w:rPr>
                <w:rFonts w:cs="Times New Roman"/>
                <w:kern w:val="0"/>
                <w:sz w:val="21"/>
                <w:szCs w:val="21"/>
              </w:rPr>
              <w:t>a</w:t>
            </w:r>
            <w:r>
              <w:rPr>
                <w:rFonts w:hAnsi="宋体" w:cs="Times New Roman"/>
                <w:kern w:val="0"/>
                <w:sz w:val="21"/>
                <w:szCs w:val="21"/>
              </w:rPr>
              <w:t>）</w:t>
            </w:r>
            <w:r>
              <w:rPr>
                <w:rFonts w:hint="eastAsia" w:cs="Times New Roman"/>
                <w:sz w:val="21"/>
                <w:szCs w:val="21"/>
              </w:rPr>
              <w:t>☑</w:t>
            </w:r>
            <w:r>
              <w:rPr>
                <w:rFonts w:hAnsi="宋体" w:cs="Times New Roman"/>
                <w:kern w:val="0"/>
                <w:sz w:val="21"/>
                <w:szCs w:val="21"/>
              </w:rPr>
              <w:t>；</w:t>
            </w:r>
            <w:r>
              <w:rPr>
                <w:rFonts w:cs="Times New Roman"/>
                <w:kern w:val="0"/>
                <w:sz w:val="21"/>
                <w:szCs w:val="21"/>
              </w:rPr>
              <w:t>b</w:t>
            </w:r>
            <w:r>
              <w:rPr>
                <w:rFonts w:hAnsi="宋体" w:cs="Times New Roman"/>
                <w:kern w:val="0"/>
                <w:sz w:val="21"/>
                <w:szCs w:val="21"/>
              </w:rPr>
              <w:t>）</w:t>
            </w:r>
            <w:r>
              <w:rPr>
                <w:rFonts w:hint="eastAsia" w:cs="Times New Roman"/>
                <w:kern w:val="0"/>
                <w:sz w:val="21"/>
                <w:szCs w:val="21"/>
              </w:rPr>
              <w:t>□</w:t>
            </w:r>
            <w:r>
              <w:rPr>
                <w:rFonts w:hAnsi="宋体" w:cs="Times New Roman"/>
                <w:kern w:val="0"/>
                <w:sz w:val="21"/>
                <w:szCs w:val="21"/>
              </w:rPr>
              <w:t>；</w:t>
            </w:r>
            <w:r>
              <w:rPr>
                <w:rFonts w:cs="Times New Roman"/>
                <w:kern w:val="0"/>
                <w:sz w:val="21"/>
                <w:szCs w:val="21"/>
              </w:rPr>
              <w:t>c</w:t>
            </w:r>
            <w:r>
              <w:rPr>
                <w:rFonts w:hAnsi="宋体" w:cs="Times New Roman"/>
                <w:kern w:val="0"/>
                <w:sz w:val="21"/>
                <w:szCs w:val="21"/>
              </w:rPr>
              <w:t>）</w:t>
            </w:r>
            <w:r>
              <w:rPr>
                <w:rFonts w:hint="eastAsia" w:cs="Times New Roman"/>
                <w:kern w:val="0"/>
                <w:sz w:val="21"/>
                <w:szCs w:val="21"/>
              </w:rPr>
              <w:t>□</w:t>
            </w:r>
          </w:p>
          <w:p w14:paraId="1BFA1BDF">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不达标结论：</w:t>
            </w:r>
            <w:r>
              <w:rPr>
                <w:rFonts w:cs="Times New Roman"/>
                <w:kern w:val="0"/>
                <w:sz w:val="21"/>
                <w:szCs w:val="21"/>
              </w:rPr>
              <w:t>a</w:t>
            </w:r>
            <w:r>
              <w:rPr>
                <w:rFonts w:hAnsi="宋体" w:cs="Times New Roman"/>
                <w:kern w:val="0"/>
                <w:sz w:val="21"/>
                <w:szCs w:val="21"/>
              </w:rPr>
              <w:t>）</w:t>
            </w:r>
            <w:r>
              <w:rPr>
                <w:rFonts w:hint="eastAsia" w:cs="Times New Roman"/>
                <w:kern w:val="0"/>
                <w:sz w:val="21"/>
                <w:szCs w:val="21"/>
              </w:rPr>
              <w:t>□</w:t>
            </w:r>
            <w:r>
              <w:rPr>
                <w:rFonts w:hAnsi="宋体" w:cs="Times New Roman"/>
                <w:kern w:val="0"/>
                <w:sz w:val="21"/>
                <w:szCs w:val="21"/>
              </w:rPr>
              <w:t>；</w:t>
            </w:r>
            <w:r>
              <w:rPr>
                <w:rFonts w:cs="Times New Roman"/>
                <w:kern w:val="0"/>
                <w:sz w:val="21"/>
                <w:szCs w:val="21"/>
              </w:rPr>
              <w:t>b</w:t>
            </w:r>
            <w:r>
              <w:rPr>
                <w:rFonts w:hAnsi="宋体" w:cs="Times New Roman"/>
                <w:kern w:val="0"/>
                <w:sz w:val="21"/>
                <w:szCs w:val="21"/>
              </w:rPr>
              <w:t>）</w:t>
            </w:r>
            <w:r>
              <w:rPr>
                <w:rFonts w:hint="eastAsia" w:cs="Times New Roman"/>
                <w:kern w:val="0"/>
                <w:sz w:val="21"/>
                <w:szCs w:val="21"/>
              </w:rPr>
              <w:t>□</w:t>
            </w:r>
          </w:p>
        </w:tc>
        <w:tc>
          <w:tcPr>
            <w:tcW w:w="429" w:type="pct"/>
            <w:vAlign w:val="center"/>
          </w:tcPr>
          <w:p w14:paraId="39A127AA">
            <w:pPr>
              <w:widowControl/>
              <w:tabs>
                <w:tab w:val="left" w:pos="420"/>
                <w:tab w:val="left" w:pos="1021"/>
              </w:tabs>
              <w:adjustRightInd/>
              <w:spacing w:line="240" w:lineRule="auto"/>
              <w:ind w:firstLine="0" w:firstLineChars="0"/>
              <w:jc w:val="center"/>
              <w:rPr>
                <w:rFonts w:cs="Times New Roman"/>
                <w:kern w:val="0"/>
                <w:sz w:val="21"/>
                <w:szCs w:val="21"/>
              </w:rPr>
            </w:pPr>
          </w:p>
        </w:tc>
      </w:tr>
      <w:tr w14:paraId="75967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restart"/>
            <w:vAlign w:val="center"/>
          </w:tcPr>
          <w:p w14:paraId="4D524EE2">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防治措施</w:t>
            </w:r>
          </w:p>
        </w:tc>
        <w:tc>
          <w:tcPr>
            <w:tcW w:w="837" w:type="pct"/>
            <w:vAlign w:val="center"/>
          </w:tcPr>
          <w:p w14:paraId="37A0A15E">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防控措施</w:t>
            </w:r>
          </w:p>
        </w:tc>
        <w:tc>
          <w:tcPr>
            <w:tcW w:w="3323" w:type="pct"/>
            <w:gridSpan w:val="6"/>
            <w:vAlign w:val="center"/>
          </w:tcPr>
          <w:p w14:paraId="73794620">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土壤环境质量现状保障</w:t>
            </w:r>
            <w:r>
              <w:rPr>
                <w:rFonts w:hint="eastAsia" w:cs="Times New Roman"/>
                <w:sz w:val="21"/>
                <w:szCs w:val="21"/>
              </w:rPr>
              <w:t>☑</w:t>
            </w:r>
            <w:r>
              <w:rPr>
                <w:rFonts w:hAnsi="宋体" w:cs="Times New Roman"/>
                <w:kern w:val="0"/>
                <w:sz w:val="21"/>
                <w:szCs w:val="21"/>
              </w:rPr>
              <w:t>；源头控制</w:t>
            </w:r>
            <w:r>
              <w:rPr>
                <w:rFonts w:hint="eastAsia" w:cs="Times New Roman"/>
                <w:sz w:val="21"/>
                <w:szCs w:val="21"/>
              </w:rPr>
              <w:t>☑</w:t>
            </w:r>
            <w:r>
              <w:rPr>
                <w:rFonts w:hAnsi="宋体" w:cs="Times New Roman"/>
                <w:kern w:val="0"/>
                <w:sz w:val="21"/>
                <w:szCs w:val="21"/>
              </w:rPr>
              <w:t>；过程防控</w:t>
            </w:r>
            <w:r>
              <w:rPr>
                <w:rFonts w:hint="eastAsia" w:cs="Times New Roman"/>
                <w:sz w:val="21"/>
                <w:szCs w:val="21"/>
              </w:rPr>
              <w:t>☑</w:t>
            </w:r>
            <w:r>
              <w:rPr>
                <w:rFonts w:hAnsi="宋体" w:cs="Times New Roman"/>
                <w:kern w:val="0"/>
                <w:sz w:val="21"/>
                <w:szCs w:val="21"/>
              </w:rPr>
              <w:t>；其他（ ）</w:t>
            </w:r>
            <w:r>
              <w:rPr>
                <w:rFonts w:cs="Times New Roman"/>
                <w:kern w:val="0"/>
                <w:sz w:val="21"/>
                <w:szCs w:val="21"/>
              </w:rPr>
              <w:t xml:space="preserve"> </w:t>
            </w:r>
          </w:p>
        </w:tc>
        <w:tc>
          <w:tcPr>
            <w:tcW w:w="429" w:type="pct"/>
            <w:vAlign w:val="center"/>
          </w:tcPr>
          <w:p w14:paraId="2F91E815">
            <w:pPr>
              <w:widowControl/>
              <w:tabs>
                <w:tab w:val="left" w:pos="420"/>
                <w:tab w:val="left" w:pos="1021"/>
              </w:tabs>
              <w:adjustRightInd/>
              <w:spacing w:line="240" w:lineRule="auto"/>
              <w:ind w:firstLine="0" w:firstLineChars="0"/>
              <w:jc w:val="center"/>
              <w:rPr>
                <w:rFonts w:cs="Times New Roman"/>
                <w:kern w:val="0"/>
                <w:sz w:val="21"/>
                <w:szCs w:val="21"/>
              </w:rPr>
            </w:pPr>
          </w:p>
        </w:tc>
      </w:tr>
      <w:tr w14:paraId="06346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continue"/>
            <w:vAlign w:val="center"/>
          </w:tcPr>
          <w:p w14:paraId="2C272B87">
            <w:pPr>
              <w:widowControl/>
              <w:adjustRightInd/>
              <w:spacing w:line="240" w:lineRule="auto"/>
              <w:ind w:firstLine="0" w:firstLineChars="0"/>
              <w:jc w:val="left"/>
              <w:rPr>
                <w:rFonts w:cs="Times New Roman"/>
                <w:kern w:val="0"/>
                <w:sz w:val="21"/>
                <w:szCs w:val="21"/>
              </w:rPr>
            </w:pPr>
          </w:p>
        </w:tc>
        <w:tc>
          <w:tcPr>
            <w:tcW w:w="837" w:type="pct"/>
            <w:vMerge w:val="restart"/>
            <w:vAlign w:val="center"/>
          </w:tcPr>
          <w:p w14:paraId="68F58A2C">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跟踪监测</w:t>
            </w:r>
          </w:p>
        </w:tc>
        <w:tc>
          <w:tcPr>
            <w:tcW w:w="1142" w:type="pct"/>
            <w:gridSpan w:val="2"/>
            <w:vAlign w:val="center"/>
          </w:tcPr>
          <w:p w14:paraId="6A9F9E7D">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监测点数</w:t>
            </w:r>
          </w:p>
        </w:tc>
        <w:tc>
          <w:tcPr>
            <w:tcW w:w="1142" w:type="pct"/>
            <w:gridSpan w:val="3"/>
            <w:vAlign w:val="center"/>
          </w:tcPr>
          <w:p w14:paraId="7B771368">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监测指标</w:t>
            </w:r>
          </w:p>
        </w:tc>
        <w:tc>
          <w:tcPr>
            <w:tcW w:w="1038" w:type="pct"/>
            <w:vAlign w:val="center"/>
          </w:tcPr>
          <w:p w14:paraId="284D72B1">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监测频次</w:t>
            </w:r>
          </w:p>
        </w:tc>
        <w:tc>
          <w:tcPr>
            <w:tcW w:w="429" w:type="pct"/>
            <w:vAlign w:val="center"/>
          </w:tcPr>
          <w:p w14:paraId="1D4D4A1F">
            <w:pPr>
              <w:widowControl/>
              <w:tabs>
                <w:tab w:val="left" w:pos="420"/>
                <w:tab w:val="left" w:pos="1021"/>
              </w:tabs>
              <w:adjustRightInd/>
              <w:spacing w:line="240" w:lineRule="auto"/>
              <w:ind w:firstLine="0" w:firstLineChars="0"/>
              <w:jc w:val="center"/>
              <w:rPr>
                <w:rFonts w:cs="Times New Roman"/>
                <w:kern w:val="0"/>
                <w:sz w:val="21"/>
                <w:szCs w:val="21"/>
              </w:rPr>
            </w:pPr>
          </w:p>
        </w:tc>
      </w:tr>
      <w:tr w14:paraId="2E35A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continue"/>
            <w:vAlign w:val="center"/>
          </w:tcPr>
          <w:p w14:paraId="62581365">
            <w:pPr>
              <w:widowControl/>
              <w:adjustRightInd/>
              <w:spacing w:line="240" w:lineRule="auto"/>
              <w:ind w:firstLine="0" w:firstLineChars="0"/>
              <w:jc w:val="left"/>
              <w:rPr>
                <w:rFonts w:cs="Times New Roman"/>
                <w:kern w:val="0"/>
                <w:sz w:val="21"/>
                <w:szCs w:val="21"/>
              </w:rPr>
            </w:pPr>
          </w:p>
        </w:tc>
        <w:tc>
          <w:tcPr>
            <w:tcW w:w="837" w:type="pct"/>
            <w:vMerge w:val="continue"/>
            <w:vAlign w:val="center"/>
          </w:tcPr>
          <w:p w14:paraId="4B0C7F7F">
            <w:pPr>
              <w:widowControl/>
              <w:tabs>
                <w:tab w:val="left" w:pos="420"/>
                <w:tab w:val="left" w:pos="1021"/>
              </w:tabs>
              <w:adjustRightInd/>
              <w:spacing w:line="240" w:lineRule="auto"/>
              <w:ind w:firstLine="0" w:firstLineChars="0"/>
              <w:jc w:val="center"/>
              <w:rPr>
                <w:rFonts w:hAnsi="宋体" w:cs="Times New Roman"/>
                <w:kern w:val="0"/>
                <w:sz w:val="21"/>
                <w:szCs w:val="21"/>
              </w:rPr>
            </w:pPr>
          </w:p>
        </w:tc>
        <w:tc>
          <w:tcPr>
            <w:tcW w:w="1142" w:type="pct"/>
            <w:gridSpan w:val="2"/>
            <w:vAlign w:val="center"/>
          </w:tcPr>
          <w:p w14:paraId="74E236E2">
            <w:pPr>
              <w:widowControl/>
              <w:tabs>
                <w:tab w:val="left" w:pos="420"/>
                <w:tab w:val="left" w:pos="1021"/>
              </w:tabs>
              <w:adjustRightInd/>
              <w:spacing w:line="240" w:lineRule="auto"/>
              <w:ind w:firstLine="0" w:firstLineChars="0"/>
              <w:jc w:val="center"/>
              <w:rPr>
                <w:rFonts w:hAnsi="宋体" w:cs="Times New Roman"/>
                <w:kern w:val="0"/>
                <w:sz w:val="21"/>
                <w:szCs w:val="21"/>
              </w:rPr>
            </w:pPr>
            <w:r>
              <w:rPr>
                <w:rFonts w:hAnsi="宋体" w:cs="Times New Roman"/>
                <w:kern w:val="0"/>
                <w:sz w:val="21"/>
                <w:szCs w:val="21"/>
              </w:rPr>
              <w:t>2（场内生产区1个点，厂外1个点）</w:t>
            </w:r>
          </w:p>
        </w:tc>
        <w:tc>
          <w:tcPr>
            <w:tcW w:w="1142" w:type="pct"/>
            <w:gridSpan w:val="3"/>
            <w:vAlign w:val="center"/>
          </w:tcPr>
          <w:p w14:paraId="7F436BE7">
            <w:pPr>
              <w:pStyle w:val="45"/>
              <w:rPr>
                <w:rFonts w:hint="default"/>
              </w:rPr>
            </w:pPr>
            <w:r>
              <w:t>氯化物</w:t>
            </w:r>
          </w:p>
        </w:tc>
        <w:tc>
          <w:tcPr>
            <w:tcW w:w="1038" w:type="pct"/>
            <w:vAlign w:val="center"/>
          </w:tcPr>
          <w:p w14:paraId="5BA202AC">
            <w:pPr>
              <w:pStyle w:val="45"/>
              <w:rPr>
                <w:rFonts w:hint="default"/>
              </w:rPr>
            </w:pPr>
            <w:r>
              <w:rPr>
                <w:rFonts w:hint="default"/>
              </w:rPr>
              <w:t>每5年1次</w:t>
            </w:r>
          </w:p>
        </w:tc>
        <w:tc>
          <w:tcPr>
            <w:tcW w:w="429" w:type="pct"/>
            <w:vAlign w:val="center"/>
          </w:tcPr>
          <w:p w14:paraId="6BF8CD4D">
            <w:pPr>
              <w:widowControl/>
              <w:tabs>
                <w:tab w:val="left" w:pos="420"/>
                <w:tab w:val="left" w:pos="1021"/>
              </w:tabs>
              <w:adjustRightInd/>
              <w:spacing w:line="240" w:lineRule="auto"/>
              <w:ind w:firstLine="0" w:firstLineChars="0"/>
              <w:jc w:val="center"/>
              <w:rPr>
                <w:rFonts w:cs="Times New Roman"/>
                <w:kern w:val="0"/>
                <w:sz w:val="21"/>
                <w:szCs w:val="21"/>
              </w:rPr>
            </w:pPr>
          </w:p>
        </w:tc>
      </w:tr>
      <w:tr w14:paraId="71F9D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408" w:type="pct"/>
            <w:vMerge w:val="continue"/>
            <w:vAlign w:val="center"/>
          </w:tcPr>
          <w:p w14:paraId="3E5D3AC0">
            <w:pPr>
              <w:widowControl/>
              <w:adjustRightInd/>
              <w:spacing w:line="240" w:lineRule="auto"/>
              <w:ind w:firstLine="0" w:firstLineChars="0"/>
              <w:jc w:val="left"/>
              <w:rPr>
                <w:rFonts w:cs="Times New Roman"/>
                <w:kern w:val="0"/>
                <w:sz w:val="21"/>
                <w:szCs w:val="21"/>
              </w:rPr>
            </w:pPr>
          </w:p>
        </w:tc>
        <w:tc>
          <w:tcPr>
            <w:tcW w:w="837" w:type="pct"/>
            <w:vAlign w:val="center"/>
          </w:tcPr>
          <w:p w14:paraId="50CBF14A">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信息公开指标</w:t>
            </w:r>
          </w:p>
        </w:tc>
        <w:tc>
          <w:tcPr>
            <w:tcW w:w="3323" w:type="pct"/>
            <w:gridSpan w:val="6"/>
            <w:vAlign w:val="center"/>
          </w:tcPr>
          <w:p w14:paraId="226A569B">
            <w:pPr>
              <w:widowControl/>
              <w:tabs>
                <w:tab w:val="left" w:pos="420"/>
                <w:tab w:val="left" w:pos="1021"/>
              </w:tabs>
              <w:adjustRightInd/>
              <w:spacing w:line="240" w:lineRule="auto"/>
              <w:ind w:firstLine="0" w:firstLineChars="0"/>
              <w:jc w:val="center"/>
              <w:rPr>
                <w:rFonts w:cs="Times New Roman"/>
                <w:kern w:val="0"/>
                <w:sz w:val="21"/>
                <w:szCs w:val="21"/>
              </w:rPr>
            </w:pPr>
          </w:p>
        </w:tc>
        <w:tc>
          <w:tcPr>
            <w:tcW w:w="429" w:type="pct"/>
            <w:vAlign w:val="center"/>
          </w:tcPr>
          <w:p w14:paraId="43C7028F">
            <w:pPr>
              <w:widowControl/>
              <w:tabs>
                <w:tab w:val="left" w:pos="420"/>
                <w:tab w:val="left" w:pos="1021"/>
              </w:tabs>
              <w:adjustRightInd/>
              <w:spacing w:line="240" w:lineRule="auto"/>
              <w:ind w:firstLine="0" w:firstLineChars="0"/>
              <w:jc w:val="center"/>
              <w:rPr>
                <w:rFonts w:cs="Times New Roman"/>
                <w:kern w:val="0"/>
                <w:sz w:val="21"/>
                <w:szCs w:val="21"/>
              </w:rPr>
            </w:pPr>
          </w:p>
        </w:tc>
      </w:tr>
      <w:tr w14:paraId="6A1DF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1246" w:type="pct"/>
            <w:gridSpan w:val="2"/>
            <w:vAlign w:val="center"/>
          </w:tcPr>
          <w:p w14:paraId="0CF5AB76">
            <w:pPr>
              <w:widowControl/>
              <w:tabs>
                <w:tab w:val="left" w:pos="420"/>
                <w:tab w:val="left" w:pos="1021"/>
              </w:tabs>
              <w:adjustRightInd/>
              <w:spacing w:line="240" w:lineRule="auto"/>
              <w:ind w:firstLine="0" w:firstLineChars="0"/>
              <w:jc w:val="center"/>
              <w:rPr>
                <w:rFonts w:cs="Times New Roman"/>
                <w:kern w:val="0"/>
                <w:sz w:val="21"/>
                <w:szCs w:val="21"/>
              </w:rPr>
            </w:pPr>
            <w:r>
              <w:rPr>
                <w:rFonts w:hAnsi="宋体" w:cs="Times New Roman"/>
                <w:kern w:val="0"/>
                <w:sz w:val="21"/>
                <w:szCs w:val="21"/>
              </w:rPr>
              <w:t>评价结论</w:t>
            </w:r>
          </w:p>
        </w:tc>
        <w:tc>
          <w:tcPr>
            <w:tcW w:w="3323" w:type="pct"/>
            <w:gridSpan w:val="6"/>
            <w:vAlign w:val="center"/>
          </w:tcPr>
          <w:p w14:paraId="4CECC712">
            <w:pPr>
              <w:widowControl/>
              <w:tabs>
                <w:tab w:val="left" w:pos="420"/>
                <w:tab w:val="left" w:pos="1021"/>
              </w:tabs>
              <w:adjustRightInd/>
              <w:spacing w:line="240" w:lineRule="auto"/>
              <w:ind w:firstLine="0" w:firstLineChars="0"/>
              <w:jc w:val="center"/>
              <w:rPr>
                <w:rFonts w:cs="Times New Roman"/>
                <w:kern w:val="0"/>
                <w:sz w:val="21"/>
                <w:szCs w:val="21"/>
              </w:rPr>
            </w:pPr>
            <w:r>
              <w:rPr>
                <w:rFonts w:cs="Times New Roman"/>
                <w:kern w:val="0"/>
                <w:sz w:val="21"/>
                <w:szCs w:val="21"/>
              </w:rPr>
              <w:t>采取本项目提出的土壤污染防治措施，土壤环境影响可接受。</w:t>
            </w:r>
          </w:p>
        </w:tc>
        <w:tc>
          <w:tcPr>
            <w:tcW w:w="429" w:type="pct"/>
            <w:vAlign w:val="center"/>
          </w:tcPr>
          <w:p w14:paraId="371710BF">
            <w:pPr>
              <w:widowControl/>
              <w:tabs>
                <w:tab w:val="left" w:pos="420"/>
                <w:tab w:val="left" w:pos="1021"/>
              </w:tabs>
              <w:adjustRightInd/>
              <w:spacing w:line="240" w:lineRule="auto"/>
              <w:ind w:firstLine="0" w:firstLineChars="0"/>
              <w:jc w:val="center"/>
              <w:rPr>
                <w:rFonts w:cs="Times New Roman"/>
                <w:kern w:val="0"/>
                <w:sz w:val="21"/>
                <w:szCs w:val="21"/>
              </w:rPr>
            </w:pPr>
          </w:p>
        </w:tc>
      </w:tr>
      <w:tr w14:paraId="3517C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jc w:val="center"/>
        </w:trPr>
        <w:tc>
          <w:tcPr>
            <w:tcW w:w="5000" w:type="pct"/>
            <w:gridSpan w:val="9"/>
            <w:vAlign w:val="center"/>
          </w:tcPr>
          <w:p w14:paraId="57F06EA6">
            <w:pPr>
              <w:widowControl/>
              <w:tabs>
                <w:tab w:val="left" w:pos="420"/>
                <w:tab w:val="left" w:pos="1021"/>
              </w:tabs>
              <w:adjustRightInd/>
              <w:spacing w:line="240" w:lineRule="auto"/>
              <w:ind w:firstLine="0" w:firstLineChars="0"/>
              <w:jc w:val="left"/>
              <w:rPr>
                <w:rFonts w:cs="Times New Roman"/>
                <w:kern w:val="0"/>
                <w:sz w:val="21"/>
                <w:szCs w:val="21"/>
              </w:rPr>
            </w:pPr>
            <w:r>
              <w:rPr>
                <w:rFonts w:cs="Times New Roman"/>
                <w:kern w:val="0"/>
                <w:sz w:val="21"/>
                <w:szCs w:val="21"/>
              </w:rPr>
              <w:t>注</w:t>
            </w:r>
            <w:r>
              <w:rPr>
                <w:rFonts w:hint="eastAsia" w:cs="Times New Roman"/>
                <w:kern w:val="0"/>
                <w:sz w:val="21"/>
                <w:szCs w:val="21"/>
              </w:rPr>
              <w:t>1</w:t>
            </w:r>
            <w:r>
              <w:rPr>
                <w:rFonts w:cs="Times New Roman"/>
                <w:kern w:val="0"/>
                <w:sz w:val="21"/>
                <w:szCs w:val="21"/>
              </w:rPr>
              <w:t>：“</w:t>
            </w:r>
            <w:r>
              <w:rPr>
                <w:rFonts w:hint="eastAsia" w:cs="Times New Roman"/>
                <w:kern w:val="0"/>
                <w:sz w:val="21"/>
                <w:szCs w:val="21"/>
              </w:rPr>
              <w:t>□</w:t>
            </w:r>
            <w:r>
              <w:rPr>
                <w:rFonts w:cs="Times New Roman"/>
                <w:kern w:val="0"/>
                <w:sz w:val="21"/>
                <w:szCs w:val="21"/>
              </w:rPr>
              <w:t>”</w:t>
            </w:r>
            <w:r>
              <w:rPr>
                <w:rFonts w:hint="eastAsia" w:cs="Times New Roman"/>
                <w:kern w:val="0"/>
                <w:sz w:val="21"/>
                <w:szCs w:val="21"/>
              </w:rPr>
              <w:t>为勾选项</w:t>
            </w:r>
            <w:r>
              <w:rPr>
                <w:rFonts w:cs="Times New Roman"/>
                <w:kern w:val="0"/>
                <w:sz w:val="21"/>
                <w:szCs w:val="21"/>
              </w:rPr>
              <w:t>，</w:t>
            </w:r>
            <w:r>
              <w:rPr>
                <w:rFonts w:hint="eastAsia" w:cs="Times New Roman"/>
                <w:kern w:val="0"/>
                <w:sz w:val="21"/>
                <w:szCs w:val="21"/>
              </w:rPr>
              <w:t>可</w:t>
            </w:r>
            <w:r>
              <w:rPr>
                <w:rFonts w:cs="Times New Roman"/>
                <w:kern w:val="0"/>
                <w:sz w:val="21"/>
                <w:szCs w:val="21"/>
              </w:rPr>
              <w:t>√；“（  ）”为内容填写项</w:t>
            </w:r>
            <w:r>
              <w:rPr>
                <w:rFonts w:hint="eastAsia" w:cs="Times New Roman"/>
                <w:kern w:val="0"/>
                <w:sz w:val="21"/>
                <w:szCs w:val="21"/>
              </w:rPr>
              <w:t>；“备注”为其他补充内容。</w:t>
            </w:r>
          </w:p>
          <w:p w14:paraId="2AB3038D">
            <w:pPr>
              <w:widowControl/>
              <w:tabs>
                <w:tab w:val="left" w:pos="420"/>
                <w:tab w:val="left" w:pos="1021"/>
              </w:tabs>
              <w:adjustRightInd/>
              <w:spacing w:line="240" w:lineRule="auto"/>
              <w:ind w:firstLine="0" w:firstLineChars="0"/>
              <w:jc w:val="left"/>
              <w:rPr>
                <w:rFonts w:cs="Times New Roman"/>
                <w:kern w:val="0"/>
                <w:sz w:val="21"/>
                <w:szCs w:val="21"/>
              </w:rPr>
            </w:pPr>
            <w:r>
              <w:rPr>
                <w:rFonts w:hint="eastAsia" w:cs="Times New Roman"/>
                <w:kern w:val="0"/>
                <w:sz w:val="21"/>
                <w:szCs w:val="21"/>
              </w:rPr>
              <w:t>注2：需要分别开展土壤环境影响评级工作的，分别填写自查表。</w:t>
            </w:r>
          </w:p>
        </w:tc>
      </w:tr>
    </w:tbl>
    <w:p w14:paraId="7C2F43C8">
      <w:pPr>
        <w:ind w:firstLine="0" w:firstLineChars="0"/>
      </w:pPr>
    </w:p>
    <w:p w14:paraId="31A809D4">
      <w:pPr>
        <w:pStyle w:val="3"/>
        <w:numPr>
          <w:ilvl w:val="1"/>
          <w:numId w:val="1"/>
        </w:numPr>
      </w:pPr>
      <w:bookmarkStart w:id="271" w:name="_Toc4484"/>
      <w:bookmarkStart w:id="272" w:name="_Toc15609"/>
      <w:bookmarkStart w:id="273" w:name="_Toc4556"/>
      <w:r>
        <w:t>生态环境影响分析</w:t>
      </w:r>
      <w:bookmarkEnd w:id="271"/>
      <w:bookmarkEnd w:id="272"/>
      <w:bookmarkEnd w:id="273"/>
    </w:p>
    <w:p w14:paraId="5C9983F7">
      <w:pPr>
        <w:ind w:firstLine="480"/>
      </w:pPr>
      <w:r>
        <w:t>本项目运营期将对所在区域的生态环境造成一定的影响，主要表现在：</w:t>
      </w:r>
    </w:p>
    <w:p w14:paraId="3A09E420">
      <w:pPr>
        <w:ind w:firstLine="480"/>
      </w:pPr>
      <w:r>
        <w:t>1</w:t>
      </w:r>
      <w:r>
        <w:rPr>
          <w:rFonts w:hint="eastAsia"/>
        </w:rPr>
        <w:t>、</w:t>
      </w:r>
      <w:r>
        <w:t>对区域植被生长发育的影响：</w:t>
      </w:r>
      <w:r>
        <w:rPr>
          <w:rFonts w:hint="eastAsia"/>
        </w:rPr>
        <w:t>项目建成后全厂</w:t>
      </w:r>
      <w:r>
        <w:t>不可避免会产生一定的废水，这些废水若不经处理直接排入环境中，一旦进入水体和土壤，对动植物生长产生不利影响。项目建成后产生的废气可能会对主导风向下风向的地区造成不同程度的空气污染影响。有害废气会使周围地区的绿色植物枯死，破坏叶子正常生理机能，威胁植物生长；进而影响植物发育和光合作用固碳等功能，影响区域植被生态。</w:t>
      </w:r>
    </w:p>
    <w:p w14:paraId="4E192837">
      <w:pPr>
        <w:ind w:firstLine="480"/>
      </w:pPr>
      <w:r>
        <w:t>2.对周围人群健康的影响：处于建设项目主导风向下的村落居民有可能受到厂区向外排放的含有有害废气的危害。废气可引起急性哮喘病发作，严重时造成呼吸困难等危害。项目的废水、废气采用严格的污染物防治措施，确保达标排放。类比分析可知，本项目营运期对周边环境和敏感点的生态环境影响可接受</w:t>
      </w:r>
      <w:r>
        <w:rPr>
          <w:rFonts w:hint="eastAsia"/>
        </w:rPr>
        <w:t>。</w:t>
      </w:r>
    </w:p>
    <w:p w14:paraId="1BD604AB">
      <w:pPr>
        <w:pStyle w:val="43"/>
        <w:numPr>
          <w:ilvl w:val="5"/>
          <w:numId w:val="1"/>
        </w:numPr>
        <w:rPr>
          <w:rFonts w:hint="default"/>
        </w:rPr>
      </w:pPr>
      <w:r>
        <w:t>生态影响评价自查表</w:t>
      </w:r>
    </w:p>
    <w:tbl>
      <w:tblPr>
        <w:tblStyle w:val="3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4"/>
        <w:gridCol w:w="1481"/>
        <w:gridCol w:w="6075"/>
      </w:tblGrid>
      <w:tr w14:paraId="7398D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435" w:type="pct"/>
            <w:gridSpan w:val="2"/>
            <w:vAlign w:val="center"/>
          </w:tcPr>
          <w:p w14:paraId="007C49F8">
            <w:pPr>
              <w:widowControl/>
              <w:snapToGrid w:val="0"/>
              <w:spacing w:line="240" w:lineRule="auto"/>
              <w:ind w:firstLine="0" w:firstLineChars="0"/>
              <w:jc w:val="center"/>
              <w:rPr>
                <w:rFonts w:cs="Times New Roman"/>
                <w:b/>
                <w:bCs/>
                <w:kern w:val="0"/>
                <w:sz w:val="21"/>
                <w:szCs w:val="21"/>
              </w:rPr>
            </w:pPr>
            <w:r>
              <w:rPr>
                <w:rFonts w:cs="Times New Roman"/>
                <w:b/>
                <w:bCs/>
                <w:kern w:val="0"/>
                <w:sz w:val="21"/>
                <w:szCs w:val="21"/>
              </w:rPr>
              <w:t>工作内容</w:t>
            </w:r>
          </w:p>
        </w:tc>
        <w:tc>
          <w:tcPr>
            <w:tcW w:w="3564" w:type="pct"/>
            <w:vAlign w:val="center"/>
          </w:tcPr>
          <w:p w14:paraId="6FFA30DA">
            <w:pPr>
              <w:widowControl/>
              <w:snapToGrid w:val="0"/>
              <w:spacing w:line="240" w:lineRule="auto"/>
              <w:ind w:firstLine="0" w:firstLineChars="0"/>
              <w:jc w:val="center"/>
              <w:rPr>
                <w:rFonts w:cs="Times New Roman"/>
                <w:b/>
                <w:bCs/>
                <w:kern w:val="0"/>
                <w:sz w:val="21"/>
                <w:szCs w:val="21"/>
              </w:rPr>
            </w:pPr>
            <w:r>
              <w:rPr>
                <w:rFonts w:cs="Times New Roman"/>
                <w:b/>
                <w:bCs/>
                <w:kern w:val="0"/>
                <w:sz w:val="21"/>
                <w:szCs w:val="21"/>
              </w:rPr>
              <w:t>自查项目</w:t>
            </w:r>
          </w:p>
        </w:tc>
      </w:tr>
      <w:tr w14:paraId="6EF1A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Merge w:val="restart"/>
            <w:vAlign w:val="center"/>
          </w:tcPr>
          <w:p w14:paraId="36AE1790">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rPr>
              <w:t>生态影响识别</w:t>
            </w:r>
          </w:p>
        </w:tc>
        <w:tc>
          <w:tcPr>
            <w:tcW w:w="869" w:type="pct"/>
            <w:vAlign w:val="center"/>
          </w:tcPr>
          <w:p w14:paraId="3498530A">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rPr>
              <w:t>生态保护目标</w:t>
            </w:r>
          </w:p>
        </w:tc>
        <w:tc>
          <w:tcPr>
            <w:tcW w:w="3564" w:type="pct"/>
            <w:vAlign w:val="center"/>
          </w:tcPr>
          <w:p w14:paraId="7B1F0F9F">
            <w:pPr>
              <w:widowControl/>
              <w:snapToGrid w:val="0"/>
              <w:spacing w:line="240" w:lineRule="auto"/>
              <w:ind w:firstLine="0" w:firstLineChars="0"/>
              <w:jc w:val="center"/>
              <w:rPr>
                <w:rFonts w:cs="Times New Roman"/>
                <w:kern w:val="0"/>
                <w:sz w:val="21"/>
                <w:szCs w:val="21"/>
              </w:rPr>
            </w:pPr>
            <w:r>
              <w:rPr>
                <w:rFonts w:cs="Times New Roman"/>
                <w:kern w:val="0"/>
                <w:sz w:val="21"/>
                <w:szCs w:val="21"/>
              </w:rPr>
              <w:t>重要物种</w:t>
            </w:r>
            <w:r>
              <w:rPr>
                <w:rFonts w:hint="eastAsia" w:cs="Times New Roman"/>
                <w:kern w:val="0"/>
                <w:sz w:val="21"/>
                <w:szCs w:val="21"/>
              </w:rPr>
              <w:t>□</w:t>
            </w:r>
            <w:r>
              <w:rPr>
                <w:rFonts w:cs="Times New Roman"/>
                <w:kern w:val="0"/>
                <w:sz w:val="21"/>
                <w:szCs w:val="21"/>
              </w:rPr>
              <w:t>；国家公园</w:t>
            </w:r>
            <w:r>
              <w:rPr>
                <w:rFonts w:hint="eastAsia" w:cs="Times New Roman"/>
                <w:kern w:val="0"/>
                <w:sz w:val="21"/>
                <w:szCs w:val="21"/>
              </w:rPr>
              <w:t>□</w:t>
            </w:r>
            <w:r>
              <w:rPr>
                <w:rFonts w:cs="Times New Roman"/>
                <w:kern w:val="0"/>
                <w:sz w:val="21"/>
                <w:szCs w:val="21"/>
              </w:rPr>
              <w:t>；自然保护区</w:t>
            </w:r>
            <w:r>
              <w:rPr>
                <w:rFonts w:hint="eastAsia" w:cs="Times New Roman"/>
                <w:kern w:val="0"/>
                <w:sz w:val="21"/>
                <w:szCs w:val="21"/>
              </w:rPr>
              <w:t>□</w:t>
            </w:r>
            <w:r>
              <w:rPr>
                <w:rFonts w:cs="Times New Roman"/>
                <w:kern w:val="0"/>
                <w:sz w:val="21"/>
                <w:szCs w:val="21"/>
              </w:rPr>
              <w:t>；自然公园</w:t>
            </w:r>
            <w:r>
              <w:rPr>
                <w:rFonts w:hint="eastAsia" w:cs="Times New Roman"/>
                <w:kern w:val="0"/>
                <w:sz w:val="21"/>
                <w:szCs w:val="21"/>
              </w:rPr>
              <w:t>□</w:t>
            </w:r>
            <w:r>
              <w:rPr>
                <w:rFonts w:cs="Times New Roman"/>
                <w:kern w:val="0"/>
                <w:sz w:val="21"/>
                <w:szCs w:val="21"/>
              </w:rPr>
              <w:t>；世界自然遗产</w:t>
            </w:r>
            <w:r>
              <w:rPr>
                <w:rFonts w:hint="eastAsia" w:cs="Times New Roman"/>
                <w:kern w:val="0"/>
                <w:sz w:val="21"/>
                <w:szCs w:val="21"/>
              </w:rPr>
              <w:t>□</w:t>
            </w:r>
            <w:r>
              <w:rPr>
                <w:rFonts w:cs="Times New Roman"/>
                <w:kern w:val="0"/>
                <w:sz w:val="21"/>
                <w:szCs w:val="21"/>
              </w:rPr>
              <w:t>；生态保护红线</w:t>
            </w:r>
            <w:r>
              <w:rPr>
                <w:rFonts w:hint="eastAsia" w:cs="Times New Roman"/>
                <w:kern w:val="0"/>
                <w:sz w:val="21"/>
                <w:szCs w:val="21"/>
              </w:rPr>
              <w:t>□</w:t>
            </w:r>
            <w:r>
              <w:rPr>
                <w:rFonts w:cs="Times New Roman"/>
                <w:kern w:val="0"/>
                <w:sz w:val="21"/>
                <w:szCs w:val="21"/>
              </w:rPr>
              <w:t>；重要</w:t>
            </w:r>
            <w:r>
              <w:rPr>
                <w:rFonts w:hint="eastAsia" w:cs="Times New Roman"/>
                <w:kern w:val="0"/>
                <w:sz w:val="21"/>
                <w:szCs w:val="21"/>
                <w:lang w:eastAsia="zh-CN"/>
              </w:rPr>
              <w:t>生境</w:t>
            </w:r>
            <w:r>
              <w:rPr>
                <w:rFonts w:hint="eastAsia" w:cs="Times New Roman"/>
                <w:kern w:val="0"/>
                <w:sz w:val="21"/>
                <w:szCs w:val="21"/>
              </w:rPr>
              <w:t>□</w:t>
            </w:r>
            <w:r>
              <w:rPr>
                <w:rFonts w:cs="Times New Roman"/>
                <w:kern w:val="0"/>
                <w:sz w:val="21"/>
                <w:szCs w:val="21"/>
              </w:rPr>
              <w:t>；其他具有重要生态功能、对保护生物多样性具有重要意义的区域</w:t>
            </w:r>
            <w:r>
              <w:rPr>
                <w:rFonts w:hint="eastAsia" w:cs="Times New Roman"/>
                <w:kern w:val="0"/>
                <w:sz w:val="21"/>
                <w:szCs w:val="21"/>
              </w:rPr>
              <w:t>□</w:t>
            </w:r>
            <w:r>
              <w:rPr>
                <w:rFonts w:cs="Times New Roman"/>
                <w:kern w:val="0"/>
                <w:sz w:val="21"/>
                <w:szCs w:val="21"/>
              </w:rPr>
              <w:t>；其他</w:t>
            </w:r>
            <w:r>
              <w:rPr>
                <w:rFonts w:ascii="Wingdings 2" w:hAnsi="Wingdings 2" w:cs="Times New Roman"/>
                <w:kern w:val="0"/>
                <w:sz w:val="21"/>
                <w:szCs w:val="21"/>
              </w:rPr>
              <w:t>☑</w:t>
            </w:r>
          </w:p>
        </w:tc>
      </w:tr>
      <w:tr w14:paraId="5BB2B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Merge w:val="continue"/>
            <w:vAlign w:val="center"/>
          </w:tcPr>
          <w:p w14:paraId="2E6C8466">
            <w:pPr>
              <w:widowControl/>
              <w:snapToGrid w:val="0"/>
              <w:spacing w:line="240" w:lineRule="auto"/>
              <w:ind w:firstLine="0" w:firstLineChars="0"/>
              <w:jc w:val="center"/>
              <w:rPr>
                <w:rFonts w:cs="Times New Roman"/>
                <w:kern w:val="0"/>
                <w:sz w:val="21"/>
                <w:szCs w:val="21"/>
              </w:rPr>
            </w:pPr>
          </w:p>
        </w:tc>
        <w:tc>
          <w:tcPr>
            <w:tcW w:w="869" w:type="pct"/>
            <w:vAlign w:val="center"/>
          </w:tcPr>
          <w:p w14:paraId="30E4F8EB">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rPr>
              <w:t>影响方式</w:t>
            </w:r>
          </w:p>
        </w:tc>
        <w:tc>
          <w:tcPr>
            <w:tcW w:w="3564" w:type="pct"/>
            <w:vAlign w:val="center"/>
          </w:tcPr>
          <w:p w14:paraId="08247A42">
            <w:pPr>
              <w:widowControl/>
              <w:snapToGrid w:val="0"/>
              <w:spacing w:line="240" w:lineRule="auto"/>
              <w:ind w:firstLine="0" w:firstLineChars="0"/>
              <w:jc w:val="center"/>
              <w:rPr>
                <w:rFonts w:cs="Times New Roman"/>
                <w:kern w:val="0"/>
                <w:sz w:val="21"/>
                <w:szCs w:val="21"/>
              </w:rPr>
            </w:pPr>
            <w:r>
              <w:rPr>
                <w:rFonts w:cs="Times New Roman"/>
                <w:kern w:val="0"/>
                <w:sz w:val="21"/>
                <w:szCs w:val="21"/>
              </w:rPr>
              <w:t>工程占用</w:t>
            </w:r>
            <w:r>
              <w:rPr>
                <w:rFonts w:hint="eastAsia" w:cs="Times New Roman"/>
                <w:kern w:val="0"/>
                <w:sz w:val="21"/>
                <w:szCs w:val="21"/>
              </w:rPr>
              <w:t>□</w:t>
            </w:r>
            <w:r>
              <w:rPr>
                <w:rFonts w:cs="Times New Roman"/>
                <w:kern w:val="0"/>
                <w:sz w:val="21"/>
                <w:szCs w:val="21"/>
              </w:rPr>
              <w:t>；施工活动干扰</w:t>
            </w:r>
            <w:r>
              <w:rPr>
                <w:rFonts w:hint="eastAsia" w:cs="Times New Roman"/>
                <w:kern w:val="0"/>
                <w:sz w:val="21"/>
                <w:szCs w:val="21"/>
              </w:rPr>
              <w:t>□</w:t>
            </w:r>
            <w:r>
              <w:rPr>
                <w:rFonts w:cs="Times New Roman"/>
                <w:kern w:val="0"/>
                <w:sz w:val="21"/>
                <w:szCs w:val="21"/>
              </w:rPr>
              <w:t>；改变环境条件</w:t>
            </w:r>
            <w:r>
              <w:rPr>
                <w:rFonts w:hint="eastAsia" w:cs="Times New Roman"/>
                <w:kern w:val="0"/>
                <w:sz w:val="21"/>
                <w:szCs w:val="21"/>
              </w:rPr>
              <w:t>□</w:t>
            </w:r>
            <w:r>
              <w:rPr>
                <w:rFonts w:cs="Times New Roman"/>
                <w:kern w:val="0"/>
                <w:sz w:val="21"/>
                <w:szCs w:val="21"/>
              </w:rPr>
              <w:t>；其他</w:t>
            </w:r>
            <w:r>
              <w:rPr>
                <w:rFonts w:ascii="Wingdings 2" w:hAnsi="Wingdings 2" w:cs="Times New Roman"/>
                <w:kern w:val="0"/>
                <w:sz w:val="21"/>
                <w:szCs w:val="21"/>
              </w:rPr>
              <w:t>☑</w:t>
            </w:r>
          </w:p>
        </w:tc>
      </w:tr>
      <w:tr w14:paraId="5CD70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Merge w:val="continue"/>
            <w:vAlign w:val="center"/>
          </w:tcPr>
          <w:p w14:paraId="4D84F5E9">
            <w:pPr>
              <w:widowControl/>
              <w:snapToGrid w:val="0"/>
              <w:spacing w:line="240" w:lineRule="auto"/>
              <w:ind w:firstLine="0" w:firstLineChars="0"/>
              <w:jc w:val="center"/>
              <w:rPr>
                <w:rFonts w:cs="Times New Roman"/>
                <w:kern w:val="0"/>
                <w:sz w:val="21"/>
                <w:szCs w:val="21"/>
              </w:rPr>
            </w:pPr>
          </w:p>
        </w:tc>
        <w:tc>
          <w:tcPr>
            <w:tcW w:w="869" w:type="pct"/>
            <w:vAlign w:val="center"/>
          </w:tcPr>
          <w:p w14:paraId="56C2AE07">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rPr>
              <w:t>评价因子</w:t>
            </w:r>
          </w:p>
        </w:tc>
        <w:tc>
          <w:tcPr>
            <w:tcW w:w="3564" w:type="pct"/>
            <w:vAlign w:val="center"/>
          </w:tcPr>
          <w:p w14:paraId="694A5293">
            <w:pPr>
              <w:widowControl/>
              <w:snapToGrid w:val="0"/>
              <w:spacing w:line="240" w:lineRule="auto"/>
              <w:ind w:firstLine="0" w:firstLineChars="0"/>
              <w:jc w:val="left"/>
              <w:rPr>
                <w:rFonts w:cs="Times New Roman"/>
                <w:kern w:val="0"/>
                <w:sz w:val="21"/>
                <w:szCs w:val="21"/>
              </w:rPr>
            </w:pPr>
            <w:r>
              <w:rPr>
                <w:rFonts w:cs="Times New Roman"/>
                <w:kern w:val="0"/>
                <w:sz w:val="21"/>
                <w:szCs w:val="21"/>
              </w:rPr>
              <w:t>物种</w:t>
            </w:r>
            <w:r>
              <w:rPr>
                <w:rFonts w:ascii="Wingdings 2" w:hAnsi="Wingdings 2" w:cs="Times New Roman"/>
                <w:kern w:val="0"/>
                <w:sz w:val="21"/>
                <w:szCs w:val="21"/>
              </w:rPr>
              <w:t>□</w:t>
            </w:r>
            <w:r>
              <w:rPr>
                <w:rFonts w:cs="Times New Roman"/>
                <w:kern w:val="0"/>
                <w:sz w:val="21"/>
                <w:szCs w:val="21"/>
              </w:rPr>
              <w:t>（</w:t>
            </w:r>
            <w:r>
              <w:rPr>
                <w:rFonts w:hint="eastAsia" w:cs="Times New Roman"/>
                <w:kern w:val="0"/>
                <w:sz w:val="21"/>
                <w:szCs w:val="21"/>
              </w:rPr>
              <w:t xml:space="preserve">                      </w:t>
            </w:r>
            <w:r>
              <w:rPr>
                <w:rFonts w:cs="Times New Roman"/>
                <w:kern w:val="0"/>
                <w:sz w:val="21"/>
                <w:szCs w:val="21"/>
              </w:rPr>
              <w:t>）</w:t>
            </w:r>
          </w:p>
          <w:p w14:paraId="4986C610">
            <w:pPr>
              <w:widowControl/>
              <w:snapToGrid w:val="0"/>
              <w:spacing w:line="240" w:lineRule="auto"/>
              <w:ind w:firstLine="0" w:firstLineChars="0"/>
              <w:jc w:val="left"/>
              <w:rPr>
                <w:rFonts w:cs="Times New Roman"/>
                <w:kern w:val="0"/>
                <w:sz w:val="21"/>
                <w:szCs w:val="21"/>
              </w:rPr>
            </w:pPr>
            <w:r>
              <w:rPr>
                <w:rFonts w:hint="eastAsia" w:cs="Times New Roman"/>
                <w:kern w:val="0"/>
                <w:sz w:val="21"/>
                <w:szCs w:val="21"/>
                <w:lang w:eastAsia="zh-CN"/>
              </w:rPr>
              <w:t>生境</w:t>
            </w:r>
            <w:r>
              <w:rPr>
                <w:rFonts w:hint="eastAsia" w:cs="Times New Roman"/>
                <w:kern w:val="0"/>
                <w:sz w:val="21"/>
                <w:szCs w:val="21"/>
              </w:rPr>
              <w:t>□</w:t>
            </w:r>
            <w:r>
              <w:rPr>
                <w:rFonts w:cs="Times New Roman"/>
                <w:kern w:val="0"/>
                <w:sz w:val="21"/>
                <w:szCs w:val="21"/>
              </w:rPr>
              <w:t>（</w:t>
            </w:r>
            <w:r>
              <w:rPr>
                <w:rFonts w:hint="eastAsia" w:cs="Times New Roman"/>
                <w:kern w:val="0"/>
                <w:sz w:val="21"/>
                <w:szCs w:val="21"/>
              </w:rPr>
              <w:t xml:space="preserve">                       </w:t>
            </w:r>
            <w:r>
              <w:rPr>
                <w:rFonts w:cs="Times New Roman"/>
                <w:kern w:val="0"/>
                <w:sz w:val="21"/>
                <w:szCs w:val="21"/>
              </w:rPr>
              <w:t>）</w:t>
            </w:r>
          </w:p>
          <w:p w14:paraId="51FA39DD">
            <w:pPr>
              <w:widowControl/>
              <w:snapToGrid w:val="0"/>
              <w:spacing w:line="240" w:lineRule="auto"/>
              <w:ind w:firstLine="0" w:firstLineChars="0"/>
              <w:jc w:val="left"/>
              <w:rPr>
                <w:rFonts w:cs="Times New Roman"/>
                <w:kern w:val="0"/>
                <w:sz w:val="21"/>
                <w:szCs w:val="21"/>
              </w:rPr>
            </w:pPr>
            <w:r>
              <w:rPr>
                <w:rFonts w:cs="Times New Roman"/>
                <w:kern w:val="0"/>
                <w:sz w:val="21"/>
                <w:szCs w:val="21"/>
              </w:rPr>
              <w:t>生物群落</w:t>
            </w:r>
            <w:r>
              <w:rPr>
                <w:rFonts w:ascii="Wingdings 2" w:hAnsi="Wingdings 2" w:cs="Times New Roman"/>
                <w:kern w:val="0"/>
                <w:sz w:val="21"/>
                <w:szCs w:val="21"/>
              </w:rPr>
              <w:t>□</w:t>
            </w:r>
            <w:r>
              <w:rPr>
                <w:rFonts w:cs="Times New Roman"/>
                <w:kern w:val="0"/>
                <w:sz w:val="21"/>
                <w:szCs w:val="21"/>
              </w:rPr>
              <w:t>（</w:t>
            </w:r>
            <w:r>
              <w:rPr>
                <w:rFonts w:hint="eastAsia" w:cs="Times New Roman"/>
                <w:kern w:val="0"/>
                <w:sz w:val="21"/>
                <w:szCs w:val="21"/>
              </w:rPr>
              <w:t xml:space="preserve">                  </w:t>
            </w:r>
            <w:r>
              <w:rPr>
                <w:rFonts w:cs="Times New Roman"/>
                <w:kern w:val="0"/>
                <w:sz w:val="21"/>
                <w:szCs w:val="21"/>
              </w:rPr>
              <w:t>）</w:t>
            </w:r>
          </w:p>
          <w:p w14:paraId="74D09F1B">
            <w:pPr>
              <w:widowControl/>
              <w:snapToGrid w:val="0"/>
              <w:spacing w:line="240" w:lineRule="auto"/>
              <w:ind w:firstLine="0" w:firstLineChars="0"/>
              <w:jc w:val="left"/>
              <w:rPr>
                <w:rFonts w:cs="Times New Roman"/>
                <w:kern w:val="0"/>
                <w:sz w:val="21"/>
                <w:szCs w:val="21"/>
              </w:rPr>
            </w:pPr>
            <w:r>
              <w:rPr>
                <w:rFonts w:cs="Times New Roman"/>
                <w:kern w:val="0"/>
                <w:sz w:val="21"/>
                <w:szCs w:val="21"/>
              </w:rPr>
              <w:t>生态系统</w:t>
            </w:r>
            <w:r>
              <w:rPr>
                <w:rFonts w:ascii="Wingdings 2" w:hAnsi="Wingdings 2" w:cs="Times New Roman"/>
                <w:kern w:val="0"/>
                <w:sz w:val="21"/>
                <w:szCs w:val="21"/>
              </w:rPr>
              <w:t>□</w:t>
            </w:r>
            <w:r>
              <w:rPr>
                <w:rFonts w:cs="Times New Roman"/>
                <w:kern w:val="0"/>
                <w:sz w:val="21"/>
                <w:szCs w:val="21"/>
              </w:rPr>
              <w:t>（</w:t>
            </w:r>
            <w:r>
              <w:rPr>
                <w:rFonts w:hint="eastAsia" w:cs="Times New Roman"/>
                <w:kern w:val="0"/>
                <w:sz w:val="21"/>
                <w:szCs w:val="21"/>
              </w:rPr>
              <w:t xml:space="preserve">                  </w:t>
            </w:r>
            <w:r>
              <w:rPr>
                <w:rFonts w:cs="Times New Roman"/>
                <w:kern w:val="0"/>
                <w:sz w:val="21"/>
                <w:szCs w:val="21"/>
              </w:rPr>
              <w:t>）</w:t>
            </w:r>
          </w:p>
          <w:p w14:paraId="32FAD4F0">
            <w:pPr>
              <w:widowControl/>
              <w:snapToGrid w:val="0"/>
              <w:spacing w:line="240" w:lineRule="auto"/>
              <w:ind w:firstLine="0" w:firstLineChars="0"/>
              <w:jc w:val="left"/>
              <w:rPr>
                <w:rFonts w:cs="Times New Roman"/>
                <w:kern w:val="0"/>
                <w:sz w:val="21"/>
                <w:szCs w:val="21"/>
              </w:rPr>
            </w:pPr>
            <w:r>
              <w:rPr>
                <w:rFonts w:cs="Times New Roman"/>
                <w:kern w:val="0"/>
                <w:sz w:val="21"/>
                <w:szCs w:val="21"/>
              </w:rPr>
              <w:t>生物多样性</w:t>
            </w:r>
            <w:r>
              <w:rPr>
                <w:rFonts w:hint="eastAsia" w:cs="Times New Roman"/>
                <w:kern w:val="0"/>
                <w:sz w:val="21"/>
                <w:szCs w:val="21"/>
              </w:rPr>
              <w:t>□</w:t>
            </w:r>
            <w:r>
              <w:rPr>
                <w:rFonts w:cs="Times New Roman"/>
                <w:kern w:val="0"/>
                <w:sz w:val="21"/>
                <w:szCs w:val="21"/>
              </w:rPr>
              <w:t>（</w:t>
            </w:r>
            <w:r>
              <w:rPr>
                <w:rFonts w:hint="eastAsia" w:cs="Times New Roman"/>
                <w:kern w:val="0"/>
                <w:sz w:val="21"/>
                <w:szCs w:val="21"/>
              </w:rPr>
              <w:t xml:space="preserve">                </w:t>
            </w:r>
            <w:r>
              <w:rPr>
                <w:rFonts w:cs="Times New Roman"/>
                <w:kern w:val="0"/>
                <w:sz w:val="21"/>
                <w:szCs w:val="21"/>
              </w:rPr>
              <w:t>）</w:t>
            </w:r>
          </w:p>
          <w:p w14:paraId="581D6E44">
            <w:pPr>
              <w:widowControl/>
              <w:snapToGrid w:val="0"/>
              <w:spacing w:line="240" w:lineRule="auto"/>
              <w:ind w:firstLine="0" w:firstLineChars="0"/>
              <w:jc w:val="left"/>
              <w:rPr>
                <w:rFonts w:cs="Times New Roman"/>
                <w:kern w:val="0"/>
                <w:sz w:val="21"/>
                <w:szCs w:val="21"/>
              </w:rPr>
            </w:pPr>
            <w:r>
              <w:rPr>
                <w:rFonts w:cs="Times New Roman"/>
                <w:kern w:val="0"/>
                <w:sz w:val="21"/>
                <w:szCs w:val="21"/>
              </w:rPr>
              <w:t>生态敏感区</w:t>
            </w:r>
            <w:r>
              <w:rPr>
                <w:rFonts w:hint="eastAsia" w:cs="Times New Roman"/>
                <w:kern w:val="0"/>
                <w:sz w:val="21"/>
                <w:szCs w:val="21"/>
              </w:rPr>
              <w:t>□</w:t>
            </w:r>
            <w:r>
              <w:rPr>
                <w:rFonts w:cs="Times New Roman"/>
                <w:kern w:val="0"/>
                <w:sz w:val="21"/>
                <w:szCs w:val="21"/>
              </w:rPr>
              <w:t>（</w:t>
            </w:r>
            <w:r>
              <w:rPr>
                <w:rFonts w:hint="eastAsia" w:cs="Times New Roman"/>
                <w:kern w:val="0"/>
                <w:sz w:val="21"/>
                <w:szCs w:val="21"/>
              </w:rPr>
              <w:t xml:space="preserve">                 </w:t>
            </w:r>
            <w:r>
              <w:rPr>
                <w:rFonts w:cs="Times New Roman"/>
                <w:kern w:val="0"/>
                <w:sz w:val="21"/>
                <w:szCs w:val="21"/>
              </w:rPr>
              <w:t>）</w:t>
            </w:r>
          </w:p>
          <w:p w14:paraId="1A707707">
            <w:pPr>
              <w:widowControl/>
              <w:snapToGrid w:val="0"/>
              <w:spacing w:line="240" w:lineRule="auto"/>
              <w:ind w:firstLine="0" w:firstLineChars="0"/>
              <w:jc w:val="left"/>
              <w:rPr>
                <w:rFonts w:cs="Times New Roman"/>
                <w:kern w:val="0"/>
                <w:sz w:val="21"/>
                <w:szCs w:val="21"/>
              </w:rPr>
            </w:pPr>
            <w:r>
              <w:rPr>
                <w:rFonts w:cs="Times New Roman"/>
                <w:kern w:val="0"/>
                <w:sz w:val="21"/>
                <w:szCs w:val="21"/>
              </w:rPr>
              <w:t>自然景观</w:t>
            </w:r>
            <w:r>
              <w:rPr>
                <w:rFonts w:hint="eastAsia" w:cs="Times New Roman"/>
                <w:kern w:val="0"/>
                <w:sz w:val="21"/>
                <w:szCs w:val="21"/>
              </w:rPr>
              <w:t>□</w:t>
            </w:r>
            <w:r>
              <w:rPr>
                <w:rFonts w:cs="Times New Roman"/>
                <w:kern w:val="0"/>
                <w:sz w:val="21"/>
                <w:szCs w:val="21"/>
              </w:rPr>
              <w:t>（</w:t>
            </w:r>
            <w:r>
              <w:rPr>
                <w:rFonts w:hint="eastAsia" w:cs="Times New Roman"/>
                <w:kern w:val="0"/>
                <w:sz w:val="21"/>
                <w:szCs w:val="21"/>
              </w:rPr>
              <w:t xml:space="preserve">                   </w:t>
            </w:r>
            <w:r>
              <w:rPr>
                <w:rFonts w:cs="Times New Roman"/>
                <w:kern w:val="0"/>
                <w:sz w:val="21"/>
                <w:szCs w:val="21"/>
              </w:rPr>
              <w:t>）</w:t>
            </w:r>
          </w:p>
          <w:p w14:paraId="389198D2">
            <w:pPr>
              <w:widowControl/>
              <w:snapToGrid w:val="0"/>
              <w:spacing w:line="240" w:lineRule="auto"/>
              <w:ind w:firstLine="0" w:firstLineChars="0"/>
              <w:jc w:val="left"/>
              <w:rPr>
                <w:rFonts w:cs="Times New Roman"/>
                <w:kern w:val="0"/>
                <w:sz w:val="21"/>
                <w:szCs w:val="21"/>
              </w:rPr>
            </w:pPr>
            <w:r>
              <w:rPr>
                <w:rFonts w:cs="Times New Roman"/>
                <w:kern w:val="0"/>
                <w:sz w:val="21"/>
                <w:szCs w:val="21"/>
              </w:rPr>
              <w:t>自然遗迹</w:t>
            </w:r>
            <w:r>
              <w:rPr>
                <w:rFonts w:hint="eastAsia" w:cs="Times New Roman"/>
                <w:kern w:val="0"/>
                <w:sz w:val="21"/>
                <w:szCs w:val="21"/>
              </w:rPr>
              <w:t>□</w:t>
            </w:r>
            <w:r>
              <w:rPr>
                <w:rFonts w:cs="Times New Roman"/>
                <w:kern w:val="0"/>
                <w:sz w:val="21"/>
                <w:szCs w:val="21"/>
              </w:rPr>
              <w:t>（</w:t>
            </w:r>
            <w:r>
              <w:rPr>
                <w:rFonts w:hint="eastAsia" w:cs="Times New Roman"/>
                <w:kern w:val="0"/>
                <w:sz w:val="21"/>
                <w:szCs w:val="21"/>
              </w:rPr>
              <w:t xml:space="preserve">                   </w:t>
            </w:r>
            <w:r>
              <w:rPr>
                <w:rFonts w:cs="Times New Roman"/>
                <w:kern w:val="0"/>
                <w:sz w:val="21"/>
                <w:szCs w:val="21"/>
              </w:rPr>
              <w:t>）</w:t>
            </w:r>
          </w:p>
          <w:p w14:paraId="4122050F">
            <w:pPr>
              <w:widowControl/>
              <w:snapToGrid w:val="0"/>
              <w:spacing w:line="240" w:lineRule="auto"/>
              <w:ind w:firstLine="0" w:firstLineChars="0"/>
              <w:jc w:val="left"/>
              <w:rPr>
                <w:rFonts w:cs="Times New Roman"/>
                <w:kern w:val="0"/>
                <w:sz w:val="21"/>
                <w:szCs w:val="21"/>
              </w:rPr>
            </w:pPr>
            <w:r>
              <w:rPr>
                <w:rFonts w:cs="Times New Roman"/>
                <w:kern w:val="0"/>
                <w:sz w:val="21"/>
                <w:szCs w:val="21"/>
              </w:rPr>
              <w:t>其他</w:t>
            </w:r>
            <w:r>
              <w:rPr>
                <w:rFonts w:hint="eastAsia" w:cs="Times New Roman"/>
                <w:kern w:val="0"/>
                <w:sz w:val="21"/>
                <w:szCs w:val="21"/>
              </w:rPr>
              <w:t>□</w:t>
            </w:r>
            <w:r>
              <w:rPr>
                <w:rFonts w:cs="Times New Roman"/>
                <w:kern w:val="0"/>
                <w:sz w:val="21"/>
                <w:szCs w:val="21"/>
              </w:rPr>
              <w:t>（</w:t>
            </w:r>
            <w:r>
              <w:rPr>
                <w:rFonts w:hint="eastAsia" w:cs="Times New Roman"/>
                <w:kern w:val="0"/>
                <w:sz w:val="21"/>
                <w:szCs w:val="21"/>
              </w:rPr>
              <w:t xml:space="preserve">                       </w:t>
            </w:r>
            <w:r>
              <w:rPr>
                <w:rFonts w:cs="Times New Roman"/>
                <w:kern w:val="0"/>
                <w:sz w:val="21"/>
                <w:szCs w:val="21"/>
              </w:rPr>
              <w:t>）</w:t>
            </w:r>
          </w:p>
        </w:tc>
      </w:tr>
      <w:tr w14:paraId="0CB18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gridSpan w:val="2"/>
            <w:vAlign w:val="center"/>
          </w:tcPr>
          <w:p w14:paraId="26FB870B">
            <w:pPr>
              <w:widowControl/>
              <w:snapToGrid w:val="0"/>
              <w:spacing w:line="240" w:lineRule="auto"/>
              <w:ind w:firstLine="0" w:firstLineChars="0"/>
              <w:jc w:val="center"/>
              <w:rPr>
                <w:rFonts w:cs="Times New Roman"/>
                <w:kern w:val="0"/>
                <w:sz w:val="21"/>
                <w:szCs w:val="21"/>
              </w:rPr>
            </w:pPr>
            <w:r>
              <w:rPr>
                <w:rFonts w:cs="Times New Roman"/>
                <w:kern w:val="0"/>
                <w:sz w:val="21"/>
                <w:szCs w:val="21"/>
              </w:rPr>
              <w:t>评价等级</w:t>
            </w:r>
          </w:p>
        </w:tc>
        <w:tc>
          <w:tcPr>
            <w:tcW w:w="3564" w:type="pct"/>
            <w:vAlign w:val="center"/>
          </w:tcPr>
          <w:p w14:paraId="5D498DFE">
            <w:pPr>
              <w:widowControl/>
              <w:snapToGrid w:val="0"/>
              <w:spacing w:line="240" w:lineRule="auto"/>
              <w:ind w:firstLine="0" w:firstLineChars="0"/>
              <w:jc w:val="center"/>
              <w:rPr>
                <w:rFonts w:cs="Times New Roman"/>
                <w:kern w:val="0"/>
                <w:sz w:val="21"/>
                <w:szCs w:val="21"/>
              </w:rPr>
            </w:pPr>
            <w:r>
              <w:rPr>
                <w:rFonts w:cs="Times New Roman"/>
                <w:kern w:val="0"/>
                <w:sz w:val="21"/>
                <w:szCs w:val="21"/>
              </w:rPr>
              <w:t>一级</w:t>
            </w:r>
            <w:r>
              <w:rPr>
                <w:rFonts w:hint="eastAsia" w:cs="Times New Roman"/>
                <w:kern w:val="0"/>
                <w:sz w:val="21"/>
                <w:szCs w:val="21"/>
              </w:rPr>
              <w:t xml:space="preserve">□   </w:t>
            </w:r>
            <w:r>
              <w:rPr>
                <w:rFonts w:cs="Times New Roman"/>
                <w:kern w:val="0"/>
                <w:sz w:val="21"/>
                <w:szCs w:val="21"/>
              </w:rPr>
              <w:t>二级</w:t>
            </w:r>
            <w:r>
              <w:rPr>
                <w:rFonts w:hint="eastAsia" w:cs="Times New Roman"/>
                <w:kern w:val="0"/>
                <w:sz w:val="21"/>
                <w:szCs w:val="21"/>
              </w:rPr>
              <w:t xml:space="preserve">□   </w:t>
            </w:r>
            <w:r>
              <w:rPr>
                <w:rFonts w:cs="Times New Roman"/>
                <w:kern w:val="0"/>
                <w:sz w:val="21"/>
                <w:szCs w:val="21"/>
              </w:rPr>
              <w:t>三级</w:t>
            </w:r>
            <w:r>
              <w:rPr>
                <w:rFonts w:hint="eastAsia" w:cs="Times New Roman"/>
                <w:kern w:val="0"/>
                <w:sz w:val="21"/>
                <w:szCs w:val="21"/>
              </w:rPr>
              <w:t xml:space="preserve">□   </w:t>
            </w:r>
            <w:r>
              <w:rPr>
                <w:rFonts w:cs="Times New Roman"/>
                <w:kern w:val="0"/>
                <w:sz w:val="21"/>
                <w:szCs w:val="21"/>
              </w:rPr>
              <w:t>生态影响简单分析</w:t>
            </w:r>
            <w:r>
              <w:rPr>
                <w:rFonts w:hint="eastAsia" w:cs="Times New Roman"/>
                <w:kern w:val="0"/>
                <w:sz w:val="21"/>
                <w:szCs w:val="21"/>
              </w:rPr>
              <w:t>☑</w:t>
            </w:r>
          </w:p>
        </w:tc>
      </w:tr>
      <w:tr w14:paraId="1C1EE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gridSpan w:val="2"/>
            <w:vAlign w:val="center"/>
          </w:tcPr>
          <w:p w14:paraId="60001ECC">
            <w:pPr>
              <w:widowControl/>
              <w:snapToGrid w:val="0"/>
              <w:spacing w:line="240" w:lineRule="auto"/>
              <w:ind w:firstLine="0" w:firstLineChars="0"/>
              <w:jc w:val="center"/>
              <w:rPr>
                <w:rFonts w:cs="Times New Roman"/>
                <w:kern w:val="0"/>
                <w:sz w:val="21"/>
                <w:szCs w:val="21"/>
              </w:rPr>
            </w:pPr>
            <w:r>
              <w:rPr>
                <w:rFonts w:cs="Times New Roman"/>
                <w:kern w:val="0"/>
                <w:sz w:val="21"/>
                <w:szCs w:val="21"/>
              </w:rPr>
              <w:t>评价范围</w:t>
            </w:r>
          </w:p>
        </w:tc>
        <w:tc>
          <w:tcPr>
            <w:tcW w:w="3564" w:type="pct"/>
            <w:vAlign w:val="center"/>
          </w:tcPr>
          <w:p w14:paraId="408CA693">
            <w:pPr>
              <w:widowControl/>
              <w:snapToGrid w:val="0"/>
              <w:spacing w:line="240" w:lineRule="auto"/>
              <w:ind w:firstLine="0" w:firstLineChars="0"/>
              <w:jc w:val="center"/>
              <w:rPr>
                <w:rFonts w:cs="Times New Roman"/>
                <w:kern w:val="0"/>
                <w:sz w:val="21"/>
                <w:szCs w:val="21"/>
              </w:rPr>
            </w:pPr>
            <w:r>
              <w:rPr>
                <w:rFonts w:cs="Times New Roman"/>
                <w:kern w:val="0"/>
                <w:sz w:val="21"/>
                <w:szCs w:val="21"/>
              </w:rPr>
              <w:t>陆域面积：（</w:t>
            </w:r>
            <w:r>
              <w:rPr>
                <w:rFonts w:hint="eastAsia" w:cs="Times New Roman"/>
                <w:kern w:val="0"/>
                <w:sz w:val="21"/>
                <w:szCs w:val="21"/>
              </w:rPr>
              <w:t xml:space="preserve"> </w:t>
            </w:r>
            <w:r>
              <w:rPr>
                <w:rFonts w:cs="Times New Roman"/>
                <w:kern w:val="0"/>
                <w:sz w:val="21"/>
                <w:szCs w:val="21"/>
              </w:rPr>
              <w:t>）km</w:t>
            </w:r>
            <w:r>
              <w:rPr>
                <w:rFonts w:cs="Times New Roman"/>
                <w:kern w:val="0"/>
                <w:sz w:val="21"/>
                <w:szCs w:val="21"/>
                <w:vertAlign w:val="superscript"/>
              </w:rPr>
              <w:t>2</w:t>
            </w:r>
            <w:r>
              <w:rPr>
                <w:rFonts w:cs="Times New Roman"/>
                <w:kern w:val="0"/>
                <w:sz w:val="21"/>
                <w:szCs w:val="21"/>
              </w:rPr>
              <w:t>；水域面积：（）km</w:t>
            </w:r>
            <w:r>
              <w:rPr>
                <w:rFonts w:cs="Times New Roman"/>
                <w:kern w:val="0"/>
                <w:sz w:val="21"/>
                <w:szCs w:val="21"/>
                <w:vertAlign w:val="superscript"/>
              </w:rPr>
              <w:t>2</w:t>
            </w:r>
          </w:p>
        </w:tc>
      </w:tr>
      <w:tr w14:paraId="625E3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Merge w:val="restart"/>
            <w:vAlign w:val="center"/>
          </w:tcPr>
          <w:p w14:paraId="13DDF107">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rPr>
              <w:t>生态</w:t>
            </w:r>
            <w:r>
              <w:rPr>
                <w:rFonts w:cs="Times New Roman"/>
                <w:kern w:val="0"/>
                <w:sz w:val="21"/>
                <w:szCs w:val="21"/>
              </w:rPr>
              <w:t>现状</w:t>
            </w:r>
            <w:r>
              <w:rPr>
                <w:rFonts w:hint="eastAsia" w:cs="Times New Roman"/>
                <w:kern w:val="0"/>
                <w:sz w:val="21"/>
                <w:szCs w:val="21"/>
              </w:rPr>
              <w:t>调查与</w:t>
            </w:r>
            <w:r>
              <w:rPr>
                <w:rFonts w:cs="Times New Roman"/>
                <w:kern w:val="0"/>
                <w:sz w:val="21"/>
                <w:szCs w:val="21"/>
              </w:rPr>
              <w:t>评价</w:t>
            </w:r>
          </w:p>
        </w:tc>
        <w:tc>
          <w:tcPr>
            <w:tcW w:w="869" w:type="pct"/>
            <w:vAlign w:val="center"/>
          </w:tcPr>
          <w:p w14:paraId="45AE83F3">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rPr>
              <w:t>调查方法</w:t>
            </w:r>
          </w:p>
        </w:tc>
        <w:tc>
          <w:tcPr>
            <w:tcW w:w="3564" w:type="pct"/>
            <w:vAlign w:val="center"/>
          </w:tcPr>
          <w:p w14:paraId="39CF2557">
            <w:pPr>
              <w:widowControl/>
              <w:snapToGrid w:val="0"/>
              <w:spacing w:line="240" w:lineRule="auto"/>
              <w:ind w:firstLine="0" w:firstLineChars="0"/>
              <w:jc w:val="center"/>
              <w:rPr>
                <w:rFonts w:cs="Times New Roman"/>
                <w:kern w:val="0"/>
                <w:sz w:val="21"/>
                <w:szCs w:val="21"/>
              </w:rPr>
            </w:pPr>
            <w:r>
              <w:rPr>
                <w:rFonts w:cs="Times New Roman"/>
                <w:kern w:val="0"/>
                <w:sz w:val="21"/>
                <w:szCs w:val="21"/>
              </w:rPr>
              <w:t>资料收集</w:t>
            </w:r>
            <w:r>
              <w:rPr>
                <w:rFonts w:ascii="Wingdings 2" w:hAnsi="Wingdings 2" w:cs="Times New Roman"/>
                <w:kern w:val="0"/>
                <w:sz w:val="21"/>
                <w:szCs w:val="21"/>
              </w:rPr>
              <w:t>□</w:t>
            </w:r>
            <w:r>
              <w:rPr>
                <w:rFonts w:cs="Times New Roman"/>
                <w:kern w:val="0"/>
                <w:sz w:val="21"/>
                <w:szCs w:val="21"/>
              </w:rPr>
              <w:t>；遥感调查</w:t>
            </w:r>
            <w:r>
              <w:rPr>
                <w:rFonts w:ascii="Wingdings 2" w:hAnsi="Wingdings 2" w:cs="Times New Roman"/>
                <w:kern w:val="0"/>
                <w:sz w:val="21"/>
                <w:szCs w:val="21"/>
              </w:rPr>
              <w:t>□</w:t>
            </w:r>
            <w:r>
              <w:rPr>
                <w:rFonts w:cs="Times New Roman"/>
                <w:kern w:val="0"/>
                <w:sz w:val="21"/>
                <w:szCs w:val="21"/>
              </w:rPr>
              <w:t>；调查样方、样线</w:t>
            </w:r>
            <w:r>
              <w:rPr>
                <w:rFonts w:ascii="Wingdings 2" w:hAnsi="Wingdings 2" w:cs="Times New Roman"/>
                <w:kern w:val="0"/>
                <w:sz w:val="21"/>
                <w:szCs w:val="21"/>
              </w:rPr>
              <w:t>□</w:t>
            </w:r>
            <w:r>
              <w:rPr>
                <w:rFonts w:cs="Times New Roman"/>
                <w:kern w:val="0"/>
                <w:sz w:val="21"/>
                <w:szCs w:val="21"/>
              </w:rPr>
              <w:t>；调查点位、断面</w:t>
            </w:r>
            <w:r>
              <w:rPr>
                <w:rFonts w:hint="eastAsia" w:cs="Times New Roman"/>
                <w:kern w:val="0"/>
                <w:sz w:val="21"/>
                <w:szCs w:val="21"/>
              </w:rPr>
              <w:t>□</w:t>
            </w:r>
            <w:r>
              <w:rPr>
                <w:rFonts w:cs="Times New Roman"/>
                <w:kern w:val="0"/>
                <w:sz w:val="21"/>
                <w:szCs w:val="21"/>
              </w:rPr>
              <w:t>；专家和公众咨询法</w:t>
            </w:r>
            <w:r>
              <w:rPr>
                <w:rFonts w:hint="eastAsia" w:cs="Times New Roman"/>
                <w:kern w:val="0"/>
                <w:sz w:val="21"/>
                <w:szCs w:val="21"/>
              </w:rPr>
              <w:t>□</w:t>
            </w:r>
            <w:r>
              <w:rPr>
                <w:rFonts w:cs="Times New Roman"/>
                <w:kern w:val="0"/>
                <w:sz w:val="21"/>
                <w:szCs w:val="21"/>
              </w:rPr>
              <w:t>；其他</w:t>
            </w:r>
            <w:r>
              <w:rPr>
                <w:rFonts w:hint="eastAsia" w:cs="Times New Roman"/>
                <w:kern w:val="0"/>
                <w:sz w:val="21"/>
                <w:szCs w:val="21"/>
              </w:rPr>
              <w:t>□</w:t>
            </w:r>
          </w:p>
        </w:tc>
      </w:tr>
      <w:tr w14:paraId="28D48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Merge w:val="continue"/>
            <w:vAlign w:val="center"/>
          </w:tcPr>
          <w:p w14:paraId="08CB8A81">
            <w:pPr>
              <w:widowControl/>
              <w:snapToGrid w:val="0"/>
              <w:spacing w:line="240" w:lineRule="auto"/>
              <w:ind w:firstLine="0" w:firstLineChars="0"/>
              <w:jc w:val="left"/>
              <w:rPr>
                <w:rFonts w:cs="Times New Roman"/>
                <w:kern w:val="0"/>
                <w:sz w:val="21"/>
                <w:szCs w:val="21"/>
              </w:rPr>
            </w:pPr>
          </w:p>
        </w:tc>
        <w:tc>
          <w:tcPr>
            <w:tcW w:w="869" w:type="pct"/>
            <w:vAlign w:val="center"/>
          </w:tcPr>
          <w:p w14:paraId="1B8559EE">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rPr>
              <w:t>调查时间</w:t>
            </w:r>
          </w:p>
        </w:tc>
        <w:tc>
          <w:tcPr>
            <w:tcW w:w="3564" w:type="pct"/>
            <w:vAlign w:val="center"/>
          </w:tcPr>
          <w:p w14:paraId="6F60E7A1">
            <w:pPr>
              <w:widowControl/>
              <w:snapToGrid w:val="0"/>
              <w:spacing w:line="240" w:lineRule="auto"/>
              <w:ind w:firstLine="0" w:firstLineChars="0"/>
              <w:jc w:val="center"/>
              <w:rPr>
                <w:rFonts w:cs="Times New Roman"/>
                <w:kern w:val="0"/>
                <w:sz w:val="21"/>
                <w:szCs w:val="21"/>
              </w:rPr>
            </w:pPr>
            <w:r>
              <w:rPr>
                <w:rFonts w:cs="Times New Roman"/>
                <w:kern w:val="0"/>
                <w:sz w:val="21"/>
                <w:szCs w:val="21"/>
              </w:rPr>
              <w:t>春季</w:t>
            </w:r>
            <w:r>
              <w:rPr>
                <w:rFonts w:hint="eastAsia" w:cs="Times New Roman"/>
                <w:kern w:val="0"/>
                <w:sz w:val="21"/>
                <w:szCs w:val="21"/>
              </w:rPr>
              <w:t>□</w:t>
            </w:r>
            <w:r>
              <w:rPr>
                <w:rFonts w:cs="Times New Roman"/>
                <w:kern w:val="0"/>
                <w:sz w:val="21"/>
                <w:szCs w:val="21"/>
              </w:rPr>
              <w:t>；夏季</w:t>
            </w:r>
            <w:r>
              <w:rPr>
                <w:rFonts w:ascii="Wingdings 2" w:hAnsi="Wingdings 2" w:cs="Times New Roman"/>
                <w:kern w:val="0"/>
                <w:sz w:val="21"/>
                <w:szCs w:val="21"/>
              </w:rPr>
              <w:t>□</w:t>
            </w:r>
            <w:r>
              <w:rPr>
                <w:rFonts w:cs="Times New Roman"/>
                <w:kern w:val="0"/>
                <w:sz w:val="21"/>
                <w:szCs w:val="21"/>
              </w:rPr>
              <w:t>；秋季</w:t>
            </w:r>
            <w:r>
              <w:rPr>
                <w:rFonts w:hint="eastAsia" w:cs="Times New Roman"/>
                <w:kern w:val="0"/>
                <w:sz w:val="21"/>
                <w:szCs w:val="21"/>
              </w:rPr>
              <w:t>□</w:t>
            </w:r>
            <w:r>
              <w:rPr>
                <w:rFonts w:cs="Times New Roman"/>
                <w:kern w:val="0"/>
                <w:sz w:val="21"/>
                <w:szCs w:val="21"/>
              </w:rPr>
              <w:t>；冬季</w:t>
            </w:r>
            <w:r>
              <w:rPr>
                <w:rFonts w:hint="eastAsia" w:cs="Times New Roman"/>
                <w:kern w:val="0"/>
                <w:sz w:val="21"/>
                <w:szCs w:val="21"/>
              </w:rPr>
              <w:t>□</w:t>
            </w:r>
          </w:p>
          <w:p w14:paraId="767F44AA">
            <w:pPr>
              <w:widowControl/>
              <w:snapToGrid w:val="0"/>
              <w:spacing w:line="240" w:lineRule="auto"/>
              <w:ind w:firstLine="0" w:firstLineChars="0"/>
              <w:jc w:val="center"/>
              <w:rPr>
                <w:rFonts w:cs="Times New Roman"/>
                <w:kern w:val="0"/>
                <w:sz w:val="21"/>
                <w:szCs w:val="21"/>
              </w:rPr>
            </w:pPr>
            <w:r>
              <w:rPr>
                <w:rFonts w:cs="Times New Roman"/>
                <w:kern w:val="0"/>
                <w:sz w:val="21"/>
                <w:szCs w:val="21"/>
              </w:rPr>
              <w:t>丰水期</w:t>
            </w:r>
            <w:r>
              <w:rPr>
                <w:rFonts w:ascii="Wingdings 2" w:hAnsi="Wingdings 2" w:cs="Times New Roman"/>
                <w:kern w:val="0"/>
                <w:sz w:val="21"/>
                <w:szCs w:val="21"/>
              </w:rPr>
              <w:t>□</w:t>
            </w:r>
            <w:r>
              <w:rPr>
                <w:rFonts w:cs="Times New Roman"/>
                <w:kern w:val="0"/>
                <w:sz w:val="21"/>
                <w:szCs w:val="21"/>
              </w:rPr>
              <w:t>；枯水期</w:t>
            </w:r>
            <w:r>
              <w:rPr>
                <w:rFonts w:hint="eastAsia" w:cs="Times New Roman"/>
                <w:kern w:val="0"/>
                <w:sz w:val="21"/>
                <w:szCs w:val="21"/>
              </w:rPr>
              <w:t>□</w:t>
            </w:r>
            <w:r>
              <w:rPr>
                <w:rFonts w:cs="Times New Roman"/>
                <w:kern w:val="0"/>
                <w:sz w:val="21"/>
                <w:szCs w:val="21"/>
              </w:rPr>
              <w:t>；平水期</w:t>
            </w:r>
            <w:r>
              <w:rPr>
                <w:rFonts w:hint="eastAsia" w:cs="Times New Roman"/>
                <w:kern w:val="0"/>
                <w:sz w:val="21"/>
                <w:szCs w:val="21"/>
              </w:rPr>
              <w:t>□</w:t>
            </w:r>
          </w:p>
        </w:tc>
      </w:tr>
      <w:tr w14:paraId="2ED80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566" w:type="pct"/>
            <w:vMerge w:val="continue"/>
            <w:vAlign w:val="center"/>
          </w:tcPr>
          <w:p w14:paraId="2C2840AB">
            <w:pPr>
              <w:widowControl/>
              <w:snapToGrid w:val="0"/>
              <w:spacing w:line="240" w:lineRule="auto"/>
              <w:ind w:firstLine="0" w:firstLineChars="0"/>
              <w:jc w:val="left"/>
              <w:rPr>
                <w:rFonts w:cs="Times New Roman"/>
                <w:kern w:val="0"/>
                <w:sz w:val="21"/>
                <w:szCs w:val="21"/>
              </w:rPr>
            </w:pPr>
          </w:p>
        </w:tc>
        <w:tc>
          <w:tcPr>
            <w:tcW w:w="869" w:type="pct"/>
            <w:vAlign w:val="center"/>
          </w:tcPr>
          <w:p w14:paraId="3C3B0B10">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rPr>
              <w:t>所在区域的生态问题</w:t>
            </w:r>
          </w:p>
        </w:tc>
        <w:tc>
          <w:tcPr>
            <w:tcW w:w="3564" w:type="pct"/>
            <w:vAlign w:val="center"/>
          </w:tcPr>
          <w:p w14:paraId="2F35B024">
            <w:pPr>
              <w:widowControl/>
              <w:snapToGrid w:val="0"/>
              <w:spacing w:line="240" w:lineRule="auto"/>
              <w:ind w:firstLine="0" w:firstLineChars="0"/>
              <w:jc w:val="center"/>
              <w:rPr>
                <w:rFonts w:cs="Times New Roman"/>
                <w:kern w:val="0"/>
                <w:sz w:val="21"/>
                <w:szCs w:val="21"/>
              </w:rPr>
            </w:pPr>
            <w:r>
              <w:rPr>
                <w:rFonts w:cs="Times New Roman"/>
                <w:kern w:val="0"/>
                <w:sz w:val="21"/>
                <w:szCs w:val="21"/>
              </w:rPr>
              <w:t>水土流失</w:t>
            </w:r>
            <w:r>
              <w:rPr>
                <w:rFonts w:ascii="Wingdings 2" w:hAnsi="Wingdings 2" w:cs="Times New Roman"/>
                <w:kern w:val="0"/>
                <w:sz w:val="21"/>
                <w:szCs w:val="21"/>
              </w:rPr>
              <w:t>□</w:t>
            </w:r>
            <w:r>
              <w:rPr>
                <w:rFonts w:cs="Times New Roman"/>
                <w:kern w:val="0"/>
                <w:sz w:val="21"/>
                <w:szCs w:val="21"/>
              </w:rPr>
              <w:t>；沙漠化</w:t>
            </w:r>
            <w:r>
              <w:rPr>
                <w:rFonts w:hint="eastAsia" w:cs="Times New Roman"/>
                <w:kern w:val="0"/>
                <w:sz w:val="21"/>
                <w:szCs w:val="21"/>
              </w:rPr>
              <w:t>□</w:t>
            </w:r>
            <w:r>
              <w:rPr>
                <w:rFonts w:cs="Times New Roman"/>
                <w:kern w:val="0"/>
                <w:sz w:val="21"/>
                <w:szCs w:val="21"/>
              </w:rPr>
              <w:t>；石漠化</w:t>
            </w:r>
            <w:r>
              <w:rPr>
                <w:rFonts w:hint="eastAsia" w:cs="Times New Roman"/>
                <w:kern w:val="0"/>
                <w:sz w:val="21"/>
                <w:szCs w:val="21"/>
              </w:rPr>
              <w:t>□</w:t>
            </w:r>
            <w:r>
              <w:rPr>
                <w:rFonts w:cs="Times New Roman"/>
                <w:kern w:val="0"/>
                <w:sz w:val="21"/>
                <w:szCs w:val="21"/>
              </w:rPr>
              <w:t>；盐渍化</w:t>
            </w:r>
            <w:r>
              <w:rPr>
                <w:rFonts w:hint="eastAsia" w:cs="Times New Roman"/>
                <w:kern w:val="0"/>
                <w:sz w:val="21"/>
                <w:szCs w:val="21"/>
              </w:rPr>
              <w:t>□</w:t>
            </w:r>
            <w:r>
              <w:rPr>
                <w:rFonts w:cs="Times New Roman"/>
                <w:kern w:val="0"/>
                <w:sz w:val="21"/>
                <w:szCs w:val="21"/>
              </w:rPr>
              <w:t>；生物入侵</w:t>
            </w:r>
            <w:r>
              <w:rPr>
                <w:rFonts w:hint="eastAsia" w:cs="Times New Roman"/>
                <w:kern w:val="0"/>
                <w:sz w:val="21"/>
                <w:szCs w:val="21"/>
              </w:rPr>
              <w:t>□</w:t>
            </w:r>
            <w:r>
              <w:rPr>
                <w:rFonts w:cs="Times New Roman"/>
                <w:kern w:val="0"/>
                <w:sz w:val="21"/>
                <w:szCs w:val="21"/>
              </w:rPr>
              <w:t>；污染危害</w:t>
            </w:r>
            <w:r>
              <w:rPr>
                <w:rFonts w:hint="eastAsia" w:cs="Times New Roman"/>
                <w:kern w:val="0"/>
                <w:sz w:val="21"/>
                <w:szCs w:val="21"/>
              </w:rPr>
              <w:t>□</w:t>
            </w:r>
            <w:r>
              <w:rPr>
                <w:rFonts w:cs="Times New Roman"/>
                <w:kern w:val="0"/>
                <w:sz w:val="21"/>
                <w:szCs w:val="21"/>
              </w:rPr>
              <w:t>；其他</w:t>
            </w:r>
            <w:r>
              <w:rPr>
                <w:rFonts w:hint="eastAsia" w:cs="Times New Roman"/>
                <w:kern w:val="0"/>
                <w:sz w:val="21"/>
                <w:szCs w:val="21"/>
              </w:rPr>
              <w:t>☑</w:t>
            </w:r>
          </w:p>
        </w:tc>
      </w:tr>
      <w:tr w14:paraId="5D0CD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Merge w:val="continue"/>
            <w:vAlign w:val="center"/>
          </w:tcPr>
          <w:p w14:paraId="3D06B721">
            <w:pPr>
              <w:widowControl/>
              <w:snapToGrid w:val="0"/>
              <w:spacing w:line="240" w:lineRule="auto"/>
              <w:ind w:firstLine="0" w:firstLineChars="0"/>
              <w:jc w:val="left"/>
              <w:rPr>
                <w:rFonts w:cs="Times New Roman"/>
                <w:kern w:val="0"/>
                <w:sz w:val="21"/>
                <w:szCs w:val="21"/>
              </w:rPr>
            </w:pPr>
          </w:p>
        </w:tc>
        <w:tc>
          <w:tcPr>
            <w:tcW w:w="869" w:type="pct"/>
            <w:vAlign w:val="center"/>
          </w:tcPr>
          <w:p w14:paraId="40DDCC46">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rPr>
              <w:t>评价内容</w:t>
            </w:r>
          </w:p>
        </w:tc>
        <w:tc>
          <w:tcPr>
            <w:tcW w:w="3564" w:type="pct"/>
            <w:vAlign w:val="center"/>
          </w:tcPr>
          <w:p w14:paraId="43E9FB04">
            <w:pPr>
              <w:widowControl/>
              <w:snapToGrid w:val="0"/>
              <w:spacing w:line="240" w:lineRule="auto"/>
              <w:ind w:firstLine="0" w:firstLineChars="0"/>
              <w:jc w:val="center"/>
              <w:rPr>
                <w:rFonts w:cs="Times New Roman"/>
                <w:kern w:val="0"/>
                <w:sz w:val="21"/>
                <w:szCs w:val="21"/>
              </w:rPr>
            </w:pPr>
            <w:r>
              <w:rPr>
                <w:rFonts w:cs="Times New Roman"/>
                <w:kern w:val="0"/>
                <w:sz w:val="21"/>
                <w:szCs w:val="21"/>
              </w:rPr>
              <w:t>植被/植物群落</w:t>
            </w:r>
            <w:r>
              <w:rPr>
                <w:rFonts w:ascii="Wingdings 2" w:hAnsi="Wingdings 2" w:cs="Times New Roman"/>
                <w:kern w:val="0"/>
                <w:sz w:val="21"/>
                <w:szCs w:val="21"/>
              </w:rPr>
              <w:t>□</w:t>
            </w:r>
            <w:r>
              <w:rPr>
                <w:rFonts w:cs="Times New Roman"/>
                <w:kern w:val="0"/>
                <w:sz w:val="21"/>
                <w:szCs w:val="21"/>
              </w:rPr>
              <w:t>；土地利用</w:t>
            </w:r>
            <w:r>
              <w:rPr>
                <w:rFonts w:ascii="Wingdings 2" w:hAnsi="Wingdings 2" w:cs="Times New Roman"/>
                <w:kern w:val="0"/>
                <w:sz w:val="21"/>
                <w:szCs w:val="21"/>
              </w:rPr>
              <w:t>□</w:t>
            </w:r>
            <w:r>
              <w:rPr>
                <w:rFonts w:cs="Times New Roman"/>
                <w:kern w:val="0"/>
                <w:sz w:val="21"/>
                <w:szCs w:val="21"/>
              </w:rPr>
              <w:t>；生态系统</w:t>
            </w:r>
            <w:r>
              <w:rPr>
                <w:rFonts w:ascii="Wingdings 2" w:hAnsi="Wingdings 2" w:cs="Times New Roman"/>
                <w:kern w:val="0"/>
                <w:sz w:val="21"/>
                <w:szCs w:val="21"/>
              </w:rPr>
              <w:t>□</w:t>
            </w:r>
            <w:r>
              <w:rPr>
                <w:rFonts w:cs="Times New Roman"/>
                <w:kern w:val="0"/>
                <w:sz w:val="21"/>
                <w:szCs w:val="21"/>
              </w:rPr>
              <w:t>；生物多样性</w:t>
            </w:r>
            <w:r>
              <w:rPr>
                <w:rFonts w:hint="eastAsia" w:cs="Times New Roman"/>
                <w:kern w:val="0"/>
                <w:sz w:val="21"/>
                <w:szCs w:val="21"/>
              </w:rPr>
              <w:t>□</w:t>
            </w:r>
            <w:r>
              <w:rPr>
                <w:rFonts w:cs="Times New Roman"/>
                <w:kern w:val="0"/>
                <w:sz w:val="21"/>
                <w:szCs w:val="21"/>
              </w:rPr>
              <w:t>；重要物种</w:t>
            </w:r>
            <w:r>
              <w:rPr>
                <w:rFonts w:hint="eastAsia" w:cs="Times New Roman"/>
                <w:kern w:val="0"/>
                <w:sz w:val="21"/>
                <w:szCs w:val="21"/>
              </w:rPr>
              <w:t>□</w:t>
            </w:r>
            <w:r>
              <w:rPr>
                <w:rFonts w:cs="Times New Roman"/>
                <w:kern w:val="0"/>
                <w:sz w:val="21"/>
                <w:szCs w:val="21"/>
              </w:rPr>
              <w:t>；生态敏感区</w:t>
            </w:r>
            <w:r>
              <w:rPr>
                <w:rFonts w:hint="eastAsia" w:cs="Times New Roman"/>
                <w:kern w:val="0"/>
                <w:sz w:val="21"/>
                <w:szCs w:val="21"/>
              </w:rPr>
              <w:t>□</w:t>
            </w:r>
            <w:r>
              <w:rPr>
                <w:rFonts w:cs="Times New Roman"/>
                <w:kern w:val="0"/>
                <w:sz w:val="21"/>
                <w:szCs w:val="21"/>
              </w:rPr>
              <w:t>；其他</w:t>
            </w:r>
            <w:r>
              <w:rPr>
                <w:rFonts w:hint="eastAsia" w:cs="Times New Roman"/>
                <w:kern w:val="0"/>
                <w:sz w:val="21"/>
                <w:szCs w:val="21"/>
              </w:rPr>
              <w:t>☑</w:t>
            </w:r>
          </w:p>
        </w:tc>
      </w:tr>
      <w:tr w14:paraId="2AB7F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566" w:type="pct"/>
            <w:vMerge w:val="restart"/>
            <w:vAlign w:val="center"/>
          </w:tcPr>
          <w:p w14:paraId="538EE73F">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rPr>
              <w:t>生态</w:t>
            </w:r>
            <w:r>
              <w:rPr>
                <w:rFonts w:cs="Times New Roman"/>
                <w:kern w:val="0"/>
                <w:sz w:val="21"/>
                <w:szCs w:val="21"/>
              </w:rPr>
              <w:t>影响预测与评价</w:t>
            </w:r>
          </w:p>
        </w:tc>
        <w:tc>
          <w:tcPr>
            <w:tcW w:w="869" w:type="pct"/>
            <w:vAlign w:val="center"/>
          </w:tcPr>
          <w:p w14:paraId="6BBB37B7">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rPr>
              <w:t>评价方法</w:t>
            </w:r>
          </w:p>
        </w:tc>
        <w:tc>
          <w:tcPr>
            <w:tcW w:w="3564" w:type="pct"/>
            <w:vAlign w:val="center"/>
          </w:tcPr>
          <w:p w14:paraId="5B9BAA51">
            <w:pPr>
              <w:widowControl/>
              <w:snapToGrid w:val="0"/>
              <w:spacing w:line="240" w:lineRule="auto"/>
              <w:ind w:firstLine="0" w:firstLineChars="0"/>
              <w:jc w:val="center"/>
              <w:rPr>
                <w:rFonts w:cs="Times New Roman"/>
                <w:kern w:val="0"/>
                <w:sz w:val="21"/>
                <w:szCs w:val="21"/>
              </w:rPr>
            </w:pPr>
            <w:r>
              <w:rPr>
                <w:rFonts w:cs="Times New Roman"/>
                <w:kern w:val="0"/>
                <w:sz w:val="21"/>
                <w:szCs w:val="21"/>
              </w:rPr>
              <w:t>定性</w:t>
            </w:r>
            <w:r>
              <w:rPr>
                <w:rFonts w:hint="eastAsia" w:cs="Times New Roman"/>
                <w:kern w:val="0"/>
                <w:sz w:val="21"/>
                <w:szCs w:val="21"/>
              </w:rPr>
              <w:t>☑</w:t>
            </w:r>
            <w:r>
              <w:rPr>
                <w:rFonts w:cs="Times New Roman"/>
                <w:kern w:val="0"/>
                <w:sz w:val="21"/>
                <w:szCs w:val="21"/>
              </w:rPr>
              <w:t>；定性和定量</w:t>
            </w:r>
            <w:r>
              <w:rPr>
                <w:rFonts w:ascii="Wingdings 2" w:hAnsi="Wingdings 2" w:cs="Times New Roman"/>
                <w:kern w:val="0"/>
                <w:sz w:val="21"/>
                <w:szCs w:val="21"/>
              </w:rPr>
              <w:t>□</w:t>
            </w:r>
          </w:p>
        </w:tc>
      </w:tr>
      <w:tr w14:paraId="226A9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566" w:type="pct"/>
            <w:vMerge w:val="continue"/>
            <w:noWrap/>
            <w:vAlign w:val="bottom"/>
          </w:tcPr>
          <w:p w14:paraId="17518ADA">
            <w:pPr>
              <w:snapToGrid w:val="0"/>
              <w:spacing w:line="240" w:lineRule="auto"/>
              <w:ind w:firstLine="0" w:firstLineChars="0"/>
              <w:jc w:val="left"/>
              <w:rPr>
                <w:rFonts w:cs="Times New Roman"/>
                <w:kern w:val="0"/>
                <w:sz w:val="21"/>
                <w:szCs w:val="21"/>
              </w:rPr>
            </w:pPr>
          </w:p>
        </w:tc>
        <w:tc>
          <w:tcPr>
            <w:tcW w:w="869" w:type="pct"/>
            <w:vAlign w:val="center"/>
          </w:tcPr>
          <w:p w14:paraId="1EE693FF">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rPr>
              <w:t>评价内容</w:t>
            </w:r>
          </w:p>
        </w:tc>
        <w:tc>
          <w:tcPr>
            <w:tcW w:w="3564" w:type="pct"/>
            <w:vAlign w:val="center"/>
          </w:tcPr>
          <w:p w14:paraId="08AF0924">
            <w:pPr>
              <w:widowControl/>
              <w:snapToGrid w:val="0"/>
              <w:spacing w:line="240" w:lineRule="auto"/>
              <w:ind w:firstLine="0" w:firstLineChars="0"/>
              <w:jc w:val="center"/>
              <w:rPr>
                <w:rFonts w:cs="Times New Roman"/>
                <w:kern w:val="0"/>
                <w:sz w:val="21"/>
                <w:szCs w:val="21"/>
              </w:rPr>
            </w:pPr>
            <w:r>
              <w:rPr>
                <w:rFonts w:cs="Times New Roman"/>
                <w:kern w:val="0"/>
                <w:sz w:val="21"/>
                <w:szCs w:val="21"/>
              </w:rPr>
              <w:t>植被/植物群落</w:t>
            </w:r>
            <w:r>
              <w:rPr>
                <w:rFonts w:ascii="Wingdings 2" w:hAnsi="Wingdings 2" w:cs="Times New Roman"/>
                <w:kern w:val="0"/>
                <w:sz w:val="21"/>
                <w:szCs w:val="21"/>
              </w:rPr>
              <w:t>□</w:t>
            </w:r>
            <w:r>
              <w:rPr>
                <w:rFonts w:cs="Times New Roman"/>
                <w:kern w:val="0"/>
                <w:sz w:val="21"/>
                <w:szCs w:val="21"/>
              </w:rPr>
              <w:t>；土地利用</w:t>
            </w:r>
            <w:r>
              <w:rPr>
                <w:rFonts w:ascii="Wingdings 2" w:hAnsi="Wingdings 2" w:cs="Times New Roman"/>
                <w:kern w:val="0"/>
                <w:sz w:val="21"/>
                <w:szCs w:val="21"/>
              </w:rPr>
              <w:t>□</w:t>
            </w:r>
            <w:r>
              <w:rPr>
                <w:rFonts w:cs="Times New Roman"/>
                <w:kern w:val="0"/>
                <w:sz w:val="21"/>
                <w:szCs w:val="21"/>
              </w:rPr>
              <w:t>；生态系统</w:t>
            </w:r>
            <w:r>
              <w:rPr>
                <w:rFonts w:ascii="Wingdings 2" w:hAnsi="Wingdings 2" w:cs="Times New Roman"/>
                <w:kern w:val="0"/>
                <w:sz w:val="21"/>
                <w:szCs w:val="21"/>
              </w:rPr>
              <w:t>□</w:t>
            </w:r>
            <w:r>
              <w:rPr>
                <w:rFonts w:cs="Times New Roman"/>
                <w:kern w:val="0"/>
                <w:sz w:val="21"/>
                <w:szCs w:val="21"/>
              </w:rPr>
              <w:t>；生物多样性</w:t>
            </w:r>
            <w:r>
              <w:rPr>
                <w:rFonts w:hint="eastAsia" w:cs="Times New Roman"/>
                <w:kern w:val="0"/>
                <w:sz w:val="21"/>
                <w:szCs w:val="21"/>
              </w:rPr>
              <w:t>□</w:t>
            </w:r>
            <w:r>
              <w:rPr>
                <w:rFonts w:cs="Times New Roman"/>
                <w:kern w:val="0"/>
                <w:sz w:val="21"/>
                <w:szCs w:val="21"/>
              </w:rPr>
              <w:t>；重要物种</w:t>
            </w:r>
            <w:r>
              <w:rPr>
                <w:rFonts w:hint="eastAsia" w:cs="Times New Roman"/>
                <w:kern w:val="0"/>
                <w:sz w:val="21"/>
                <w:szCs w:val="21"/>
              </w:rPr>
              <w:t>□</w:t>
            </w:r>
            <w:r>
              <w:rPr>
                <w:rFonts w:cs="Times New Roman"/>
                <w:kern w:val="0"/>
                <w:sz w:val="21"/>
                <w:szCs w:val="21"/>
              </w:rPr>
              <w:t>；生态敏感区</w:t>
            </w:r>
            <w:r>
              <w:rPr>
                <w:rFonts w:hint="eastAsia" w:cs="Times New Roman"/>
                <w:kern w:val="0"/>
                <w:sz w:val="21"/>
                <w:szCs w:val="21"/>
              </w:rPr>
              <w:t>□</w:t>
            </w:r>
            <w:r>
              <w:rPr>
                <w:rFonts w:cs="Times New Roman"/>
                <w:kern w:val="0"/>
                <w:sz w:val="21"/>
                <w:szCs w:val="21"/>
              </w:rPr>
              <w:t>；生物入侵风险</w:t>
            </w:r>
            <w:r>
              <w:rPr>
                <w:rFonts w:ascii="Wingdings 2" w:hAnsi="Wingdings 2" w:cs="Times New Roman"/>
                <w:kern w:val="0"/>
                <w:sz w:val="21"/>
                <w:szCs w:val="21"/>
              </w:rPr>
              <w:t>□</w:t>
            </w:r>
            <w:r>
              <w:rPr>
                <w:rFonts w:cs="Times New Roman"/>
                <w:kern w:val="0"/>
                <w:sz w:val="21"/>
                <w:szCs w:val="21"/>
              </w:rPr>
              <w:t>；其他</w:t>
            </w:r>
            <w:r>
              <w:rPr>
                <w:rFonts w:ascii="Wingdings 2" w:hAnsi="Wingdings 2" w:cs="Times New Roman"/>
                <w:kern w:val="0"/>
                <w:sz w:val="21"/>
                <w:szCs w:val="21"/>
              </w:rPr>
              <w:t>☑</w:t>
            </w:r>
          </w:p>
          <w:p w14:paraId="6F9620CE">
            <w:pPr>
              <w:widowControl/>
              <w:snapToGrid w:val="0"/>
              <w:spacing w:line="240" w:lineRule="auto"/>
              <w:ind w:firstLine="0" w:firstLineChars="0"/>
              <w:jc w:val="center"/>
              <w:rPr>
                <w:rFonts w:cs="Times New Roman"/>
                <w:kern w:val="0"/>
                <w:sz w:val="21"/>
                <w:szCs w:val="21"/>
              </w:rPr>
            </w:pPr>
          </w:p>
        </w:tc>
      </w:tr>
      <w:tr w14:paraId="11FE4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Merge w:val="restart"/>
            <w:vAlign w:val="center"/>
          </w:tcPr>
          <w:p w14:paraId="227F3141">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rPr>
              <w:t>生态保护对策措施</w:t>
            </w:r>
          </w:p>
        </w:tc>
        <w:tc>
          <w:tcPr>
            <w:tcW w:w="869" w:type="pct"/>
            <w:vAlign w:val="center"/>
          </w:tcPr>
          <w:p w14:paraId="2A4AEEFF">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rPr>
              <w:t>对策措施</w:t>
            </w:r>
          </w:p>
        </w:tc>
        <w:tc>
          <w:tcPr>
            <w:tcW w:w="3564" w:type="pct"/>
            <w:vAlign w:val="center"/>
          </w:tcPr>
          <w:p w14:paraId="1FA6E776">
            <w:pPr>
              <w:widowControl/>
              <w:snapToGrid w:val="0"/>
              <w:spacing w:line="240" w:lineRule="auto"/>
              <w:ind w:firstLine="0" w:firstLineChars="0"/>
              <w:jc w:val="center"/>
              <w:rPr>
                <w:rFonts w:cs="Times New Roman"/>
                <w:kern w:val="0"/>
                <w:sz w:val="21"/>
                <w:szCs w:val="21"/>
              </w:rPr>
            </w:pPr>
            <w:r>
              <w:rPr>
                <w:rFonts w:cs="Times New Roman"/>
                <w:kern w:val="0"/>
                <w:sz w:val="21"/>
                <w:szCs w:val="21"/>
              </w:rPr>
              <w:t>避让</w:t>
            </w:r>
            <w:r>
              <w:rPr>
                <w:rFonts w:hint="eastAsia" w:cs="Times New Roman"/>
                <w:kern w:val="0"/>
                <w:sz w:val="21"/>
                <w:szCs w:val="21"/>
              </w:rPr>
              <w:t>□</w:t>
            </w:r>
            <w:r>
              <w:rPr>
                <w:rFonts w:cs="Times New Roman"/>
                <w:kern w:val="0"/>
                <w:sz w:val="21"/>
                <w:szCs w:val="21"/>
              </w:rPr>
              <w:t>；减缓</w:t>
            </w:r>
            <w:r>
              <w:rPr>
                <w:rFonts w:ascii="Wingdings 2" w:hAnsi="Wingdings 2" w:cs="Times New Roman"/>
                <w:kern w:val="0"/>
                <w:sz w:val="21"/>
                <w:szCs w:val="21"/>
              </w:rPr>
              <w:t>□</w:t>
            </w:r>
            <w:r>
              <w:rPr>
                <w:rFonts w:cs="Times New Roman"/>
                <w:kern w:val="0"/>
                <w:sz w:val="21"/>
                <w:szCs w:val="21"/>
              </w:rPr>
              <w:t>；生态修复</w:t>
            </w:r>
            <w:r>
              <w:rPr>
                <w:rFonts w:ascii="Wingdings 2" w:hAnsi="Wingdings 2" w:cs="Times New Roman"/>
                <w:kern w:val="0"/>
                <w:sz w:val="21"/>
                <w:szCs w:val="21"/>
              </w:rPr>
              <w:t>□</w:t>
            </w:r>
            <w:r>
              <w:rPr>
                <w:rFonts w:cs="Times New Roman"/>
                <w:kern w:val="0"/>
                <w:sz w:val="21"/>
                <w:szCs w:val="21"/>
              </w:rPr>
              <w:t>；生态补偿</w:t>
            </w:r>
            <w:r>
              <w:rPr>
                <w:rFonts w:hint="eastAsia" w:cs="Times New Roman"/>
                <w:kern w:val="0"/>
                <w:sz w:val="21"/>
                <w:szCs w:val="21"/>
              </w:rPr>
              <w:t>□</w:t>
            </w:r>
            <w:r>
              <w:rPr>
                <w:rFonts w:cs="Times New Roman"/>
                <w:kern w:val="0"/>
                <w:sz w:val="21"/>
                <w:szCs w:val="21"/>
              </w:rPr>
              <w:t>；科研</w:t>
            </w:r>
            <w:r>
              <w:rPr>
                <w:rFonts w:hint="eastAsia" w:cs="Times New Roman"/>
                <w:kern w:val="0"/>
                <w:sz w:val="21"/>
                <w:szCs w:val="21"/>
              </w:rPr>
              <w:t>□</w:t>
            </w:r>
            <w:r>
              <w:rPr>
                <w:rFonts w:cs="Times New Roman"/>
                <w:kern w:val="0"/>
                <w:sz w:val="21"/>
                <w:szCs w:val="21"/>
              </w:rPr>
              <w:t>；其他</w:t>
            </w:r>
            <w:r>
              <w:rPr>
                <w:rFonts w:hint="eastAsia" w:cs="Times New Roman"/>
                <w:kern w:val="0"/>
                <w:sz w:val="21"/>
                <w:szCs w:val="21"/>
              </w:rPr>
              <w:t>☑</w:t>
            </w:r>
          </w:p>
        </w:tc>
      </w:tr>
      <w:tr w14:paraId="0FAB6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Merge w:val="continue"/>
            <w:vAlign w:val="center"/>
          </w:tcPr>
          <w:p w14:paraId="009BFC2D">
            <w:pPr>
              <w:widowControl/>
              <w:snapToGrid w:val="0"/>
              <w:spacing w:line="240" w:lineRule="auto"/>
              <w:ind w:firstLine="0" w:firstLineChars="0"/>
              <w:jc w:val="center"/>
              <w:rPr>
                <w:rFonts w:cs="Times New Roman"/>
                <w:kern w:val="0"/>
                <w:sz w:val="21"/>
                <w:szCs w:val="21"/>
              </w:rPr>
            </w:pPr>
          </w:p>
        </w:tc>
        <w:tc>
          <w:tcPr>
            <w:tcW w:w="869" w:type="pct"/>
            <w:vAlign w:val="center"/>
          </w:tcPr>
          <w:p w14:paraId="53A44BE5">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rPr>
              <w:t>生态监测计划</w:t>
            </w:r>
          </w:p>
        </w:tc>
        <w:tc>
          <w:tcPr>
            <w:tcW w:w="3564" w:type="pct"/>
            <w:vAlign w:val="center"/>
          </w:tcPr>
          <w:p w14:paraId="5B5FCCFD">
            <w:pPr>
              <w:widowControl/>
              <w:snapToGrid w:val="0"/>
              <w:spacing w:line="240" w:lineRule="auto"/>
              <w:ind w:firstLine="0" w:firstLineChars="0"/>
              <w:jc w:val="center"/>
              <w:rPr>
                <w:rFonts w:cs="Times New Roman"/>
                <w:kern w:val="0"/>
                <w:sz w:val="21"/>
                <w:szCs w:val="21"/>
              </w:rPr>
            </w:pPr>
            <w:r>
              <w:rPr>
                <w:rFonts w:cs="Times New Roman"/>
                <w:kern w:val="0"/>
                <w:sz w:val="21"/>
                <w:szCs w:val="21"/>
              </w:rPr>
              <w:t>全生命周期</w:t>
            </w:r>
            <w:r>
              <w:rPr>
                <w:rFonts w:hint="eastAsia" w:cs="Times New Roman"/>
                <w:kern w:val="0"/>
                <w:sz w:val="21"/>
                <w:szCs w:val="21"/>
              </w:rPr>
              <w:t>□</w:t>
            </w:r>
            <w:r>
              <w:rPr>
                <w:rFonts w:cs="Times New Roman"/>
                <w:kern w:val="0"/>
                <w:sz w:val="21"/>
                <w:szCs w:val="21"/>
              </w:rPr>
              <w:t>；长期跟踪</w:t>
            </w:r>
            <w:r>
              <w:rPr>
                <w:rFonts w:hint="eastAsia" w:cs="Times New Roman"/>
                <w:kern w:val="0"/>
                <w:sz w:val="21"/>
                <w:szCs w:val="21"/>
              </w:rPr>
              <w:t>□</w:t>
            </w:r>
            <w:r>
              <w:rPr>
                <w:rFonts w:cs="Times New Roman"/>
                <w:kern w:val="0"/>
                <w:sz w:val="21"/>
                <w:szCs w:val="21"/>
              </w:rPr>
              <w:t>；常规</w:t>
            </w:r>
            <w:r>
              <w:rPr>
                <w:rFonts w:hint="eastAsia" w:cs="Times New Roman"/>
                <w:kern w:val="0"/>
                <w:sz w:val="21"/>
                <w:szCs w:val="21"/>
              </w:rPr>
              <w:t>□</w:t>
            </w:r>
            <w:r>
              <w:rPr>
                <w:rFonts w:cs="Times New Roman"/>
                <w:kern w:val="0"/>
                <w:sz w:val="21"/>
                <w:szCs w:val="21"/>
              </w:rPr>
              <w:t>；无</w:t>
            </w:r>
            <w:r>
              <w:rPr>
                <w:rFonts w:ascii="Wingdings 2" w:hAnsi="Wingdings 2" w:cs="Times New Roman"/>
                <w:kern w:val="0"/>
                <w:sz w:val="21"/>
                <w:szCs w:val="21"/>
              </w:rPr>
              <w:t>☑</w:t>
            </w:r>
          </w:p>
        </w:tc>
      </w:tr>
      <w:tr w14:paraId="6D54D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Merge w:val="continue"/>
            <w:vAlign w:val="center"/>
          </w:tcPr>
          <w:p w14:paraId="2540D69C">
            <w:pPr>
              <w:widowControl/>
              <w:snapToGrid w:val="0"/>
              <w:spacing w:line="240" w:lineRule="auto"/>
              <w:ind w:firstLine="0" w:firstLineChars="0"/>
              <w:jc w:val="center"/>
              <w:rPr>
                <w:rFonts w:cs="Times New Roman"/>
                <w:kern w:val="0"/>
                <w:sz w:val="21"/>
                <w:szCs w:val="21"/>
              </w:rPr>
            </w:pPr>
          </w:p>
        </w:tc>
        <w:tc>
          <w:tcPr>
            <w:tcW w:w="869" w:type="pct"/>
            <w:vAlign w:val="center"/>
          </w:tcPr>
          <w:p w14:paraId="7F387D19">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rPr>
              <w:t>环境管理</w:t>
            </w:r>
          </w:p>
        </w:tc>
        <w:tc>
          <w:tcPr>
            <w:tcW w:w="3564" w:type="pct"/>
            <w:vAlign w:val="center"/>
          </w:tcPr>
          <w:p w14:paraId="331A40B3">
            <w:pPr>
              <w:widowControl/>
              <w:snapToGrid w:val="0"/>
              <w:spacing w:line="240" w:lineRule="auto"/>
              <w:ind w:firstLine="0" w:firstLineChars="0"/>
              <w:jc w:val="center"/>
              <w:rPr>
                <w:rFonts w:cs="Times New Roman"/>
                <w:kern w:val="0"/>
                <w:sz w:val="21"/>
                <w:szCs w:val="21"/>
              </w:rPr>
            </w:pPr>
            <w:r>
              <w:rPr>
                <w:rFonts w:cs="Times New Roman"/>
                <w:kern w:val="0"/>
                <w:sz w:val="21"/>
                <w:szCs w:val="21"/>
              </w:rPr>
              <w:t>环境监理</w:t>
            </w:r>
            <w:r>
              <w:rPr>
                <w:rFonts w:ascii="Wingdings 2" w:hAnsi="Wingdings 2" w:cs="Times New Roman"/>
                <w:kern w:val="0"/>
                <w:sz w:val="21"/>
                <w:szCs w:val="21"/>
              </w:rPr>
              <w:t>□</w:t>
            </w:r>
            <w:r>
              <w:rPr>
                <w:rFonts w:cs="Times New Roman"/>
                <w:kern w:val="0"/>
                <w:sz w:val="21"/>
                <w:szCs w:val="21"/>
              </w:rPr>
              <w:t>；环境影响后评价</w:t>
            </w:r>
            <w:r>
              <w:rPr>
                <w:rFonts w:hint="eastAsia" w:cs="Times New Roman"/>
                <w:kern w:val="0"/>
                <w:sz w:val="21"/>
                <w:szCs w:val="21"/>
              </w:rPr>
              <w:t>□</w:t>
            </w:r>
            <w:r>
              <w:rPr>
                <w:rFonts w:cs="Times New Roman"/>
                <w:kern w:val="0"/>
                <w:sz w:val="21"/>
                <w:szCs w:val="21"/>
              </w:rPr>
              <w:t>；其他</w:t>
            </w:r>
            <w:r>
              <w:rPr>
                <w:rFonts w:hint="eastAsia" w:cs="Times New Roman"/>
                <w:kern w:val="0"/>
                <w:sz w:val="21"/>
                <w:szCs w:val="21"/>
              </w:rPr>
              <w:t>☑</w:t>
            </w:r>
          </w:p>
        </w:tc>
      </w:tr>
      <w:tr w14:paraId="74E3B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566" w:type="pct"/>
            <w:vAlign w:val="center"/>
          </w:tcPr>
          <w:p w14:paraId="71CF1727">
            <w:pPr>
              <w:widowControl/>
              <w:snapToGrid w:val="0"/>
              <w:spacing w:line="240" w:lineRule="auto"/>
              <w:ind w:firstLine="0" w:firstLineChars="0"/>
              <w:jc w:val="center"/>
              <w:rPr>
                <w:rFonts w:cs="Times New Roman"/>
                <w:kern w:val="0"/>
                <w:sz w:val="21"/>
                <w:szCs w:val="21"/>
              </w:rPr>
            </w:pPr>
            <w:r>
              <w:rPr>
                <w:rFonts w:cs="Times New Roman"/>
                <w:kern w:val="0"/>
                <w:sz w:val="21"/>
                <w:szCs w:val="21"/>
              </w:rPr>
              <w:t>评价结论</w:t>
            </w:r>
          </w:p>
        </w:tc>
        <w:tc>
          <w:tcPr>
            <w:tcW w:w="869" w:type="pct"/>
            <w:vAlign w:val="center"/>
          </w:tcPr>
          <w:p w14:paraId="40D8FC12">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rPr>
              <w:t>生态</w:t>
            </w:r>
            <w:r>
              <w:rPr>
                <w:rFonts w:cs="Times New Roman"/>
                <w:kern w:val="0"/>
                <w:sz w:val="21"/>
                <w:szCs w:val="21"/>
              </w:rPr>
              <w:t>影响</w:t>
            </w:r>
          </w:p>
        </w:tc>
        <w:tc>
          <w:tcPr>
            <w:tcW w:w="3564" w:type="pct"/>
            <w:vAlign w:val="center"/>
          </w:tcPr>
          <w:p w14:paraId="2362C505">
            <w:pPr>
              <w:widowControl/>
              <w:snapToGrid w:val="0"/>
              <w:spacing w:line="240" w:lineRule="auto"/>
              <w:ind w:firstLine="0" w:firstLineChars="0"/>
              <w:jc w:val="center"/>
              <w:rPr>
                <w:rFonts w:cs="Times New Roman"/>
                <w:kern w:val="0"/>
                <w:sz w:val="21"/>
                <w:szCs w:val="21"/>
              </w:rPr>
            </w:pPr>
            <w:r>
              <w:rPr>
                <w:rFonts w:cs="Times New Roman"/>
                <w:kern w:val="0"/>
                <w:sz w:val="21"/>
                <w:szCs w:val="21"/>
              </w:rPr>
              <w:t xml:space="preserve">可行 </w:t>
            </w:r>
            <w:r>
              <w:rPr>
                <w:rFonts w:hint="eastAsia" w:cs="Times New Roman"/>
                <w:kern w:val="0"/>
                <w:sz w:val="21"/>
                <w:szCs w:val="21"/>
              </w:rPr>
              <w:t>☑</w:t>
            </w:r>
            <w:r>
              <w:rPr>
                <w:rFonts w:cs="Times New Roman"/>
                <w:kern w:val="0"/>
                <w:sz w:val="21"/>
                <w:szCs w:val="21"/>
              </w:rPr>
              <w:t xml:space="preserve">             不可行</w:t>
            </w:r>
            <w:r>
              <w:rPr>
                <w:rFonts w:hint="eastAsia" w:cs="Times New Roman"/>
                <w:kern w:val="0"/>
                <w:sz w:val="21"/>
                <w:szCs w:val="21"/>
              </w:rPr>
              <w:t>□</w:t>
            </w:r>
          </w:p>
        </w:tc>
      </w:tr>
      <w:tr w14:paraId="75D04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3"/>
            <w:vAlign w:val="center"/>
          </w:tcPr>
          <w:p w14:paraId="49FF73B8">
            <w:pPr>
              <w:widowControl/>
              <w:snapToGrid w:val="0"/>
              <w:spacing w:line="240" w:lineRule="auto"/>
              <w:ind w:firstLine="0" w:firstLineChars="0"/>
              <w:jc w:val="left"/>
              <w:rPr>
                <w:rFonts w:cs="Times New Roman"/>
                <w:kern w:val="0"/>
                <w:sz w:val="21"/>
                <w:szCs w:val="21"/>
              </w:rPr>
            </w:pPr>
            <w:r>
              <w:rPr>
                <w:rFonts w:cs="Times New Roman"/>
                <w:kern w:val="0"/>
                <w:sz w:val="21"/>
                <w:szCs w:val="21"/>
              </w:rPr>
              <w:t>注：“</w:t>
            </w:r>
            <w:r>
              <w:rPr>
                <w:rFonts w:hint="eastAsia" w:cs="Times New Roman"/>
                <w:kern w:val="0"/>
                <w:sz w:val="21"/>
                <w:szCs w:val="21"/>
              </w:rPr>
              <w:t>□</w:t>
            </w:r>
            <w:r>
              <w:rPr>
                <w:rFonts w:cs="Times New Roman"/>
                <w:kern w:val="0"/>
                <w:sz w:val="21"/>
                <w:szCs w:val="21"/>
              </w:rPr>
              <w:t>”，填“√”；“（  ）”为内容填写项</w:t>
            </w:r>
          </w:p>
        </w:tc>
      </w:tr>
    </w:tbl>
    <w:p w14:paraId="375103E0">
      <w:pPr>
        <w:ind w:firstLine="0" w:firstLineChars="0"/>
      </w:pPr>
    </w:p>
    <w:p w14:paraId="0003F849">
      <w:pPr>
        <w:pStyle w:val="2"/>
        <w:numPr>
          <w:ilvl w:val="0"/>
          <w:numId w:val="1"/>
        </w:numPr>
        <w:spacing w:before="312" w:after="624"/>
      </w:pPr>
      <w:bookmarkStart w:id="274" w:name="_Toc289"/>
      <w:bookmarkStart w:id="275" w:name="_Toc7129"/>
      <w:bookmarkStart w:id="276" w:name="_Toc23965"/>
      <w:r>
        <w:rPr>
          <w:rFonts w:hint="eastAsia"/>
        </w:rPr>
        <w:t>环境风险评价</w:t>
      </w:r>
      <w:bookmarkEnd w:id="274"/>
      <w:bookmarkEnd w:id="275"/>
      <w:bookmarkEnd w:id="276"/>
    </w:p>
    <w:p w14:paraId="45EE6586">
      <w:pPr>
        <w:ind w:firstLine="480"/>
      </w:pPr>
      <w:r>
        <w:t>根据《建设项目环境风险评价技术导则》（HJ169-2018）、《关于进一步加强环境影响评价管理防范环境风险的通知》（环发[2012]77号）和《关于切实加强风险防范严格环境影响评价管理的通知》（环发[2012]98号文）的要求，本次风险评价的重点是：通过对本项目环境风险识别、确定最大可信事故、找出风险事故原因及其对环境产生的影响，最后提出风险防范措施和应急预案。</w:t>
      </w:r>
    </w:p>
    <w:p w14:paraId="29D0B117">
      <w:pPr>
        <w:pStyle w:val="3"/>
        <w:numPr>
          <w:ilvl w:val="1"/>
          <w:numId w:val="1"/>
        </w:numPr>
      </w:pPr>
      <w:bookmarkStart w:id="277" w:name="_Toc27274"/>
      <w:bookmarkStart w:id="278" w:name="_Toc3561"/>
      <w:bookmarkStart w:id="279" w:name="_Toc9454"/>
      <w:r>
        <w:rPr>
          <w:rFonts w:hint="eastAsia"/>
        </w:rPr>
        <w:t>环境风险评价等级和主要评价内容</w:t>
      </w:r>
      <w:bookmarkEnd w:id="277"/>
      <w:bookmarkEnd w:id="278"/>
      <w:bookmarkEnd w:id="279"/>
    </w:p>
    <w:p w14:paraId="06F6DA41">
      <w:pPr>
        <w:ind w:firstLine="480"/>
      </w:pPr>
      <w:r>
        <w:t>1、危险物质数量与临界量比值Q</w:t>
      </w:r>
    </w:p>
    <w:p w14:paraId="52AE68D0">
      <w:pPr>
        <w:ind w:firstLine="480"/>
      </w:pPr>
      <w:r>
        <w:t>根据《建设项目环境风险评价技术导则》（HJ169-2018）附录B，本项目</w:t>
      </w:r>
      <w:r>
        <w:rPr>
          <w:rFonts w:hint="eastAsia"/>
        </w:rPr>
        <w:t>建成</w:t>
      </w:r>
      <w:r>
        <w:rPr>
          <w:rFonts w:hint="eastAsia"/>
          <w:lang w:eastAsia="zh-CN"/>
        </w:rPr>
        <w:t>后</w:t>
      </w:r>
      <w:r>
        <w:rPr>
          <w:rFonts w:hint="eastAsia"/>
        </w:rPr>
        <w:t>全厂</w:t>
      </w:r>
      <w:r>
        <w:t>各类风险物质暂存量（在线量）及临界量</w:t>
      </w:r>
      <w:r>
        <w:rPr>
          <w:rFonts w:hint="eastAsia"/>
        </w:rPr>
        <w:t>如表8.1-1</w:t>
      </w:r>
      <w:r>
        <w:t>，计算得出本项目</w:t>
      </w:r>
      <w:r>
        <w:rPr>
          <w:rFonts w:hint="eastAsia"/>
        </w:rPr>
        <w:t>建成</w:t>
      </w:r>
      <w:r>
        <w:t>后</w:t>
      </w:r>
      <w:r>
        <w:rPr>
          <w:rFonts w:hint="eastAsia"/>
        </w:rPr>
        <w:t>全厂的</w:t>
      </w:r>
      <w:r>
        <w:t>Q值为</w:t>
      </w:r>
      <w:r>
        <w:rPr>
          <w:rFonts w:hint="eastAsia"/>
          <w:lang w:val="en-US" w:eastAsia="zh-CN"/>
        </w:rPr>
        <w:t>20.1248</w:t>
      </w:r>
      <w:r>
        <w:t>，</w:t>
      </w:r>
      <w:r>
        <w:rPr>
          <w:rFonts w:hint="eastAsia"/>
        </w:rPr>
        <w:t>10≤</w:t>
      </w:r>
      <w:r>
        <w:t>Q</w:t>
      </w:r>
      <w:r>
        <w:rPr>
          <w:rFonts w:hint="eastAsia"/>
        </w:rPr>
        <w:t>≤</w:t>
      </w:r>
      <w:r>
        <w:t>10</w:t>
      </w:r>
      <w:r>
        <w:rPr>
          <w:rFonts w:hint="eastAsia"/>
        </w:rPr>
        <w:t>0</w:t>
      </w:r>
      <w:r>
        <w:t>。</w:t>
      </w:r>
    </w:p>
    <w:p w14:paraId="159FA99E">
      <w:pPr>
        <w:pStyle w:val="43"/>
        <w:numPr>
          <w:ilvl w:val="5"/>
          <w:numId w:val="1"/>
        </w:numPr>
        <w:rPr>
          <w:rFonts w:hint="default"/>
          <w:highlight w:val="none"/>
        </w:rPr>
      </w:pPr>
      <w:r>
        <w:rPr>
          <w:highlight w:val="none"/>
        </w:rPr>
        <w:t>本项目相关危险物质临界量判断</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8"/>
        <w:gridCol w:w="1836"/>
        <w:gridCol w:w="2148"/>
        <w:gridCol w:w="1461"/>
        <w:gridCol w:w="1616"/>
      </w:tblGrid>
      <w:tr w14:paraId="2F488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tblHeader/>
        </w:trPr>
        <w:tc>
          <w:tcPr>
            <w:tcW w:w="855" w:type="pct"/>
            <w:vMerge w:val="restart"/>
            <w:shd w:val="clear" w:color="auto" w:fill="auto"/>
            <w:vAlign w:val="center"/>
          </w:tcPr>
          <w:p w14:paraId="4C50327D">
            <w:pPr>
              <w:pStyle w:val="45"/>
              <w:rPr>
                <w:rFonts w:hint="default"/>
                <w:b/>
                <w:bCs/>
              </w:rPr>
            </w:pPr>
            <w:r>
              <w:rPr>
                <w:b/>
                <w:bCs/>
              </w:rPr>
              <w:t>物质名称</w:t>
            </w:r>
          </w:p>
        </w:tc>
        <w:tc>
          <w:tcPr>
            <w:tcW w:w="1077" w:type="pct"/>
            <w:vMerge w:val="restart"/>
            <w:shd w:val="clear" w:color="auto" w:fill="auto"/>
            <w:vAlign w:val="center"/>
          </w:tcPr>
          <w:p w14:paraId="7AD866F3">
            <w:pPr>
              <w:pStyle w:val="45"/>
              <w:rPr>
                <w:rFonts w:hint="default"/>
                <w:b/>
                <w:bCs/>
              </w:rPr>
            </w:pPr>
            <w:r>
              <w:rPr>
                <w:b/>
                <w:bCs/>
              </w:rPr>
              <w:t>临界量（</w:t>
            </w:r>
            <w:r>
              <w:rPr>
                <w:rFonts w:hint="default"/>
                <w:b/>
                <w:bCs/>
              </w:rPr>
              <w:t>t</w:t>
            </w:r>
            <w:r>
              <w:rPr>
                <w:b/>
                <w:bCs/>
              </w:rPr>
              <w:t>）</w:t>
            </w:r>
          </w:p>
        </w:tc>
        <w:tc>
          <w:tcPr>
            <w:tcW w:w="1260" w:type="pct"/>
            <w:vMerge w:val="restart"/>
            <w:shd w:val="clear" w:color="auto" w:fill="auto"/>
            <w:vAlign w:val="center"/>
          </w:tcPr>
          <w:p w14:paraId="1AFC6C49">
            <w:pPr>
              <w:pStyle w:val="45"/>
              <w:rPr>
                <w:rFonts w:hint="default"/>
                <w:b/>
                <w:bCs/>
              </w:rPr>
            </w:pPr>
            <w:r>
              <w:rPr>
                <w:b/>
                <w:bCs/>
              </w:rPr>
              <w:t>最大存在量（含在线量）（</w:t>
            </w:r>
            <w:r>
              <w:rPr>
                <w:rFonts w:hint="default"/>
                <w:b/>
                <w:bCs/>
              </w:rPr>
              <w:t>t</w:t>
            </w:r>
            <w:r>
              <w:rPr>
                <w:b/>
                <w:bCs/>
              </w:rPr>
              <w:t>）</w:t>
            </w:r>
          </w:p>
        </w:tc>
        <w:tc>
          <w:tcPr>
            <w:tcW w:w="1805" w:type="pct"/>
            <w:gridSpan w:val="2"/>
            <w:shd w:val="clear" w:color="auto" w:fill="auto"/>
            <w:vAlign w:val="center"/>
          </w:tcPr>
          <w:p w14:paraId="022AF8D5">
            <w:pPr>
              <w:pStyle w:val="45"/>
              <w:rPr>
                <w:rFonts w:hint="default"/>
                <w:b/>
                <w:bCs/>
              </w:rPr>
            </w:pPr>
            <w:r>
              <w:rPr>
                <w:b/>
                <w:bCs/>
              </w:rPr>
              <w:t>与临界量比值</w:t>
            </w:r>
          </w:p>
        </w:tc>
      </w:tr>
      <w:tr w14:paraId="3A684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855" w:type="pct"/>
            <w:vMerge w:val="continue"/>
            <w:shd w:val="clear" w:color="auto" w:fill="auto"/>
            <w:vAlign w:val="center"/>
          </w:tcPr>
          <w:p w14:paraId="0B11D6F0">
            <w:pPr>
              <w:pStyle w:val="45"/>
              <w:rPr>
                <w:rFonts w:hint="default"/>
                <w:b/>
                <w:bCs/>
              </w:rPr>
            </w:pPr>
          </w:p>
        </w:tc>
        <w:tc>
          <w:tcPr>
            <w:tcW w:w="1077" w:type="pct"/>
            <w:vMerge w:val="continue"/>
            <w:shd w:val="clear" w:color="auto" w:fill="auto"/>
            <w:vAlign w:val="center"/>
          </w:tcPr>
          <w:p w14:paraId="7438954B">
            <w:pPr>
              <w:pStyle w:val="45"/>
              <w:rPr>
                <w:rFonts w:hint="default"/>
                <w:b/>
                <w:bCs/>
              </w:rPr>
            </w:pPr>
          </w:p>
        </w:tc>
        <w:tc>
          <w:tcPr>
            <w:tcW w:w="1260" w:type="pct"/>
            <w:vMerge w:val="continue"/>
            <w:shd w:val="clear" w:color="auto" w:fill="auto"/>
            <w:vAlign w:val="center"/>
          </w:tcPr>
          <w:p w14:paraId="6DB7154B">
            <w:pPr>
              <w:pStyle w:val="45"/>
              <w:rPr>
                <w:rFonts w:hint="default"/>
                <w:b/>
                <w:bCs/>
              </w:rPr>
            </w:pPr>
          </w:p>
        </w:tc>
        <w:tc>
          <w:tcPr>
            <w:tcW w:w="857" w:type="pct"/>
            <w:shd w:val="clear" w:color="auto" w:fill="auto"/>
            <w:vAlign w:val="center"/>
          </w:tcPr>
          <w:p w14:paraId="5977B399">
            <w:pPr>
              <w:pStyle w:val="45"/>
              <w:rPr>
                <w:rFonts w:hint="default"/>
                <w:b/>
                <w:bCs/>
              </w:rPr>
            </w:pPr>
            <w:r>
              <w:rPr>
                <w:rFonts w:hint="default"/>
                <w:b/>
                <w:bCs/>
              </w:rPr>
              <w:t>Q</w:t>
            </w:r>
          </w:p>
        </w:tc>
        <w:tc>
          <w:tcPr>
            <w:tcW w:w="948" w:type="pct"/>
            <w:shd w:val="clear" w:color="auto" w:fill="auto"/>
            <w:vAlign w:val="center"/>
          </w:tcPr>
          <w:p w14:paraId="374A1A5C">
            <w:pPr>
              <w:pStyle w:val="45"/>
              <w:rPr>
                <w:rFonts w:hint="default"/>
                <w:b/>
                <w:bCs/>
              </w:rPr>
            </w:pPr>
            <w:r>
              <w:rPr>
                <w:b/>
                <w:bCs/>
              </w:rPr>
              <w:t>Σ</w:t>
            </w:r>
            <w:r>
              <w:rPr>
                <w:rFonts w:hint="default"/>
                <w:b/>
                <w:bCs/>
              </w:rPr>
              <w:t>Q</w:t>
            </w:r>
          </w:p>
        </w:tc>
      </w:tr>
      <w:tr w14:paraId="4D67B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5" w:type="pct"/>
            <w:shd w:val="clear" w:color="auto" w:fill="auto"/>
            <w:vAlign w:val="center"/>
          </w:tcPr>
          <w:p w14:paraId="3CD23558">
            <w:pPr>
              <w:pStyle w:val="45"/>
              <w:bidi w:val="0"/>
              <w:rPr>
                <w:rFonts w:hint="default"/>
              </w:rPr>
            </w:pPr>
            <w:r>
              <w:rPr>
                <w:rFonts w:hint="default"/>
                <w:lang w:val="en-US" w:eastAsia="zh-CN"/>
              </w:rPr>
              <w:t>31%</w:t>
            </w:r>
            <w:r>
              <w:rPr>
                <w:rFonts w:hint="eastAsia"/>
                <w:lang w:val="en-US" w:eastAsia="zh-CN"/>
              </w:rPr>
              <w:t>盐酸</w:t>
            </w:r>
          </w:p>
        </w:tc>
        <w:tc>
          <w:tcPr>
            <w:tcW w:w="1077" w:type="pct"/>
            <w:shd w:val="clear" w:color="auto" w:fill="auto"/>
            <w:vAlign w:val="center"/>
          </w:tcPr>
          <w:p w14:paraId="730718C1">
            <w:pPr>
              <w:pStyle w:val="45"/>
              <w:bidi w:val="0"/>
              <w:rPr>
                <w:rFonts w:hint="default"/>
                <w:lang w:val="en-US" w:eastAsia="zh-CN"/>
              </w:rPr>
            </w:pPr>
            <w:r>
              <w:rPr>
                <w:rFonts w:hint="default"/>
                <w:lang w:val="en-US" w:eastAsia="zh-CN"/>
              </w:rPr>
              <w:t>2.5</w:t>
            </w:r>
          </w:p>
        </w:tc>
        <w:tc>
          <w:tcPr>
            <w:tcW w:w="1260" w:type="pct"/>
            <w:shd w:val="clear" w:color="auto" w:fill="auto"/>
            <w:vAlign w:val="center"/>
          </w:tcPr>
          <w:p w14:paraId="66C038A0">
            <w:pPr>
              <w:pStyle w:val="45"/>
              <w:bidi w:val="0"/>
              <w:rPr>
                <w:rFonts w:hint="default"/>
                <w:lang w:val="en-US" w:eastAsia="zh-CN"/>
              </w:rPr>
            </w:pPr>
            <w:r>
              <w:rPr>
                <w:rFonts w:hint="default"/>
                <w:lang w:val="en-US" w:eastAsia="zh-CN"/>
              </w:rPr>
              <w:t>15.5</w:t>
            </w:r>
            <w:r>
              <w:rPr>
                <w:rFonts w:hint="eastAsia"/>
                <w:lang w:val="en-US" w:eastAsia="zh-CN"/>
              </w:rPr>
              <w:t>（折纯）</w:t>
            </w:r>
          </w:p>
        </w:tc>
        <w:tc>
          <w:tcPr>
            <w:tcW w:w="857" w:type="pct"/>
            <w:shd w:val="clear" w:color="auto" w:fill="auto"/>
            <w:vAlign w:val="center"/>
          </w:tcPr>
          <w:p w14:paraId="5A88334C">
            <w:pPr>
              <w:pStyle w:val="45"/>
              <w:bidi w:val="0"/>
              <w:rPr>
                <w:rFonts w:hint="default"/>
                <w:lang w:val="en-US" w:eastAsia="zh-CN"/>
              </w:rPr>
            </w:pPr>
            <w:r>
              <w:rPr>
                <w:rFonts w:hint="default"/>
                <w:lang w:val="en-US" w:eastAsia="zh-CN"/>
              </w:rPr>
              <w:t>6.2</w:t>
            </w:r>
          </w:p>
        </w:tc>
        <w:tc>
          <w:tcPr>
            <w:tcW w:w="948" w:type="pct"/>
            <w:vMerge w:val="restart"/>
            <w:shd w:val="clear" w:color="auto" w:fill="auto"/>
            <w:vAlign w:val="center"/>
          </w:tcPr>
          <w:p w14:paraId="7A7DA900">
            <w:pPr>
              <w:pStyle w:val="45"/>
              <w:rPr>
                <w:rFonts w:hint="default"/>
                <w:lang w:val="en-US" w:eastAsia="zh-CN"/>
              </w:rPr>
            </w:pPr>
            <w:r>
              <w:rPr>
                <w:rFonts w:hint="eastAsia"/>
                <w:lang w:val="en-US" w:eastAsia="zh-CN"/>
              </w:rPr>
              <w:t>20.1248</w:t>
            </w:r>
          </w:p>
        </w:tc>
      </w:tr>
      <w:tr w14:paraId="2DAB5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5" w:type="pct"/>
            <w:shd w:val="clear" w:color="auto" w:fill="auto"/>
            <w:vAlign w:val="center"/>
          </w:tcPr>
          <w:p w14:paraId="2AC9A97B">
            <w:pPr>
              <w:pStyle w:val="45"/>
              <w:bidi w:val="0"/>
              <w:rPr>
                <w:rFonts w:hint="eastAsia"/>
                <w:lang w:val="en-US" w:eastAsia="zh-CN"/>
              </w:rPr>
            </w:pPr>
            <w:r>
              <w:rPr>
                <w:rFonts w:hint="eastAsia"/>
                <w:lang w:val="en-US" w:eastAsia="zh-CN"/>
              </w:rPr>
              <w:t>液碱</w:t>
            </w:r>
          </w:p>
        </w:tc>
        <w:tc>
          <w:tcPr>
            <w:tcW w:w="1077" w:type="pct"/>
            <w:shd w:val="clear" w:color="auto" w:fill="auto"/>
            <w:vAlign w:val="center"/>
          </w:tcPr>
          <w:p w14:paraId="438E70F7">
            <w:pPr>
              <w:pStyle w:val="45"/>
              <w:bidi w:val="0"/>
              <w:rPr>
                <w:rFonts w:hint="default"/>
                <w:lang w:val="en-US" w:eastAsia="zh-CN"/>
              </w:rPr>
            </w:pPr>
            <w:r>
              <w:rPr>
                <w:rFonts w:hint="default"/>
                <w:lang w:val="en-US" w:eastAsia="zh-CN"/>
              </w:rPr>
              <w:t>100</w:t>
            </w:r>
          </w:p>
        </w:tc>
        <w:tc>
          <w:tcPr>
            <w:tcW w:w="1260" w:type="pct"/>
            <w:shd w:val="clear" w:color="auto" w:fill="auto"/>
            <w:vAlign w:val="center"/>
          </w:tcPr>
          <w:p w14:paraId="2B6C4285">
            <w:pPr>
              <w:pStyle w:val="45"/>
              <w:bidi w:val="0"/>
              <w:rPr>
                <w:rFonts w:hint="default"/>
                <w:lang w:val="en-US" w:eastAsia="zh-CN"/>
              </w:rPr>
            </w:pPr>
            <w:r>
              <w:rPr>
                <w:rFonts w:hint="default"/>
                <w:lang w:val="en-US" w:eastAsia="zh-CN"/>
              </w:rPr>
              <w:t>50</w:t>
            </w:r>
          </w:p>
        </w:tc>
        <w:tc>
          <w:tcPr>
            <w:tcW w:w="857" w:type="pct"/>
            <w:shd w:val="clear" w:color="auto" w:fill="auto"/>
            <w:vAlign w:val="center"/>
          </w:tcPr>
          <w:p w14:paraId="66B4BB59">
            <w:pPr>
              <w:pStyle w:val="45"/>
              <w:bidi w:val="0"/>
              <w:rPr>
                <w:rFonts w:hint="default"/>
                <w:lang w:val="en-US" w:eastAsia="zh-CN"/>
              </w:rPr>
            </w:pPr>
            <w:r>
              <w:rPr>
                <w:rFonts w:hint="default"/>
                <w:lang w:val="en-US" w:eastAsia="zh-CN"/>
              </w:rPr>
              <w:t>0.5</w:t>
            </w:r>
          </w:p>
        </w:tc>
        <w:tc>
          <w:tcPr>
            <w:tcW w:w="948" w:type="pct"/>
            <w:vMerge w:val="continue"/>
            <w:shd w:val="clear" w:color="auto" w:fill="auto"/>
            <w:vAlign w:val="center"/>
          </w:tcPr>
          <w:p w14:paraId="64F60F1E">
            <w:pPr>
              <w:pStyle w:val="45"/>
              <w:rPr>
                <w:rFonts w:hint="default"/>
              </w:rPr>
            </w:pPr>
          </w:p>
        </w:tc>
      </w:tr>
      <w:tr w14:paraId="0121E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5" w:type="pct"/>
            <w:shd w:val="clear" w:color="auto" w:fill="auto"/>
            <w:vAlign w:val="center"/>
          </w:tcPr>
          <w:p w14:paraId="677F01CC">
            <w:pPr>
              <w:pStyle w:val="45"/>
              <w:bidi w:val="0"/>
              <w:rPr>
                <w:rFonts w:hint="default"/>
              </w:rPr>
            </w:pPr>
            <w:r>
              <w:rPr>
                <w:rFonts w:hint="eastAsia"/>
                <w:lang w:val="en-US" w:eastAsia="zh-CN"/>
              </w:rPr>
              <w:t>氯化钡</w:t>
            </w:r>
          </w:p>
        </w:tc>
        <w:tc>
          <w:tcPr>
            <w:tcW w:w="1077" w:type="pct"/>
            <w:shd w:val="clear" w:color="auto" w:fill="auto"/>
            <w:vAlign w:val="center"/>
          </w:tcPr>
          <w:p w14:paraId="30097D64">
            <w:pPr>
              <w:pStyle w:val="45"/>
              <w:bidi w:val="0"/>
              <w:rPr>
                <w:rFonts w:hint="default"/>
              </w:rPr>
            </w:pPr>
            <w:r>
              <w:rPr>
                <w:rFonts w:hint="default"/>
                <w:lang w:val="en-US" w:eastAsia="zh-CN"/>
              </w:rPr>
              <w:t>50</w:t>
            </w:r>
          </w:p>
        </w:tc>
        <w:tc>
          <w:tcPr>
            <w:tcW w:w="1260" w:type="pct"/>
            <w:shd w:val="clear" w:color="auto" w:fill="auto"/>
            <w:vAlign w:val="center"/>
          </w:tcPr>
          <w:p w14:paraId="32F88855">
            <w:pPr>
              <w:pStyle w:val="45"/>
              <w:bidi w:val="0"/>
              <w:rPr>
                <w:rFonts w:hint="default"/>
              </w:rPr>
            </w:pPr>
            <w:r>
              <w:rPr>
                <w:rFonts w:hint="default"/>
                <w:lang w:val="en-US" w:eastAsia="zh-CN"/>
              </w:rPr>
              <w:t>2</w:t>
            </w:r>
          </w:p>
        </w:tc>
        <w:tc>
          <w:tcPr>
            <w:tcW w:w="857" w:type="pct"/>
            <w:shd w:val="clear" w:color="auto" w:fill="auto"/>
            <w:vAlign w:val="center"/>
          </w:tcPr>
          <w:p w14:paraId="4FB923D1">
            <w:pPr>
              <w:pStyle w:val="45"/>
              <w:bidi w:val="0"/>
              <w:rPr>
                <w:rFonts w:hint="default"/>
              </w:rPr>
            </w:pPr>
            <w:r>
              <w:rPr>
                <w:rFonts w:hint="default"/>
                <w:lang w:val="en-US" w:eastAsia="zh-CN"/>
              </w:rPr>
              <w:t>0.04</w:t>
            </w:r>
          </w:p>
        </w:tc>
        <w:tc>
          <w:tcPr>
            <w:tcW w:w="948" w:type="pct"/>
            <w:vMerge w:val="continue"/>
            <w:shd w:val="clear" w:color="auto" w:fill="auto"/>
            <w:vAlign w:val="center"/>
          </w:tcPr>
          <w:p w14:paraId="6BFB3C93">
            <w:pPr>
              <w:pStyle w:val="45"/>
              <w:rPr>
                <w:rFonts w:hint="default"/>
              </w:rPr>
            </w:pPr>
          </w:p>
        </w:tc>
      </w:tr>
      <w:tr w14:paraId="135EE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5" w:type="pct"/>
            <w:shd w:val="clear" w:color="auto" w:fill="auto"/>
            <w:vAlign w:val="center"/>
          </w:tcPr>
          <w:p w14:paraId="7FE46F21">
            <w:pPr>
              <w:pStyle w:val="45"/>
              <w:bidi w:val="0"/>
              <w:rPr>
                <w:rFonts w:hint="default"/>
              </w:rPr>
            </w:pPr>
            <w:r>
              <w:rPr>
                <w:rFonts w:hint="eastAsia"/>
                <w:lang w:val="en-US" w:eastAsia="zh-CN"/>
              </w:rPr>
              <w:t>重铬酸钠</w:t>
            </w:r>
          </w:p>
        </w:tc>
        <w:tc>
          <w:tcPr>
            <w:tcW w:w="1077" w:type="pct"/>
            <w:shd w:val="clear" w:color="auto" w:fill="auto"/>
            <w:vAlign w:val="center"/>
          </w:tcPr>
          <w:p w14:paraId="1B96CD27">
            <w:pPr>
              <w:pStyle w:val="45"/>
              <w:bidi w:val="0"/>
              <w:rPr>
                <w:rFonts w:hint="eastAsia"/>
                <w:lang w:eastAsia="zh-CN"/>
              </w:rPr>
            </w:pPr>
            <w:r>
              <w:rPr>
                <w:rFonts w:hint="default"/>
                <w:lang w:val="en-US" w:eastAsia="zh-CN"/>
              </w:rPr>
              <w:t>5</w:t>
            </w:r>
          </w:p>
        </w:tc>
        <w:tc>
          <w:tcPr>
            <w:tcW w:w="1260" w:type="pct"/>
            <w:shd w:val="clear" w:color="auto" w:fill="auto"/>
            <w:vAlign w:val="center"/>
          </w:tcPr>
          <w:p w14:paraId="23D2343A">
            <w:pPr>
              <w:pStyle w:val="45"/>
              <w:bidi w:val="0"/>
              <w:rPr>
                <w:rFonts w:hint="default"/>
              </w:rPr>
            </w:pPr>
            <w:r>
              <w:rPr>
                <w:rFonts w:hint="default"/>
                <w:lang w:val="en-US" w:eastAsia="zh-CN"/>
              </w:rPr>
              <w:t>2</w:t>
            </w:r>
          </w:p>
        </w:tc>
        <w:tc>
          <w:tcPr>
            <w:tcW w:w="857" w:type="pct"/>
            <w:shd w:val="clear" w:color="auto" w:fill="auto"/>
            <w:vAlign w:val="center"/>
          </w:tcPr>
          <w:p w14:paraId="79B69B3C">
            <w:pPr>
              <w:pStyle w:val="45"/>
              <w:bidi w:val="0"/>
              <w:rPr>
                <w:rFonts w:hint="default"/>
                <w:lang w:val="en-US" w:eastAsia="zh-CN"/>
              </w:rPr>
            </w:pPr>
            <w:r>
              <w:rPr>
                <w:rFonts w:hint="default"/>
                <w:lang w:val="en-US" w:eastAsia="zh-CN"/>
              </w:rPr>
              <w:t>0.4</w:t>
            </w:r>
          </w:p>
        </w:tc>
        <w:tc>
          <w:tcPr>
            <w:tcW w:w="948" w:type="pct"/>
            <w:vMerge w:val="continue"/>
            <w:shd w:val="clear" w:color="auto" w:fill="auto"/>
            <w:vAlign w:val="center"/>
          </w:tcPr>
          <w:p w14:paraId="0186B256">
            <w:pPr>
              <w:pStyle w:val="45"/>
              <w:rPr>
                <w:rFonts w:hint="default"/>
              </w:rPr>
            </w:pPr>
          </w:p>
        </w:tc>
      </w:tr>
      <w:tr w14:paraId="79A3C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5" w:type="pct"/>
            <w:shd w:val="clear" w:color="auto" w:fill="auto"/>
            <w:vAlign w:val="center"/>
          </w:tcPr>
          <w:p w14:paraId="5AC62316">
            <w:pPr>
              <w:pStyle w:val="45"/>
              <w:bidi w:val="0"/>
              <w:rPr>
                <w:rFonts w:hint="default"/>
                <w:lang w:val="en-US" w:eastAsia="zh-CN"/>
              </w:rPr>
            </w:pPr>
            <w:r>
              <w:rPr>
                <w:rFonts w:hint="eastAsia"/>
                <w:lang w:val="en-US" w:eastAsia="zh-CN"/>
              </w:rPr>
              <w:t>氯酸钠</w:t>
            </w:r>
          </w:p>
        </w:tc>
        <w:tc>
          <w:tcPr>
            <w:tcW w:w="1077" w:type="pct"/>
            <w:shd w:val="clear" w:color="auto" w:fill="auto"/>
            <w:vAlign w:val="center"/>
          </w:tcPr>
          <w:p w14:paraId="6414CCF8">
            <w:pPr>
              <w:pStyle w:val="45"/>
              <w:bidi w:val="0"/>
              <w:rPr>
                <w:rFonts w:hint="default"/>
                <w:lang w:val="en-US" w:eastAsia="zh-CN"/>
              </w:rPr>
            </w:pPr>
            <w:r>
              <w:rPr>
                <w:rFonts w:hint="default"/>
                <w:lang w:val="en-US" w:eastAsia="zh-CN"/>
              </w:rPr>
              <w:t>100</w:t>
            </w:r>
          </w:p>
        </w:tc>
        <w:tc>
          <w:tcPr>
            <w:tcW w:w="1260" w:type="pct"/>
            <w:shd w:val="clear" w:color="auto" w:fill="auto"/>
            <w:vAlign w:val="center"/>
          </w:tcPr>
          <w:p w14:paraId="53AC0C2A">
            <w:pPr>
              <w:pStyle w:val="45"/>
              <w:bidi w:val="0"/>
              <w:rPr>
                <w:rFonts w:hint="eastAsia"/>
                <w:lang w:val="en-US" w:eastAsia="zh-CN"/>
              </w:rPr>
            </w:pPr>
            <w:r>
              <w:rPr>
                <w:rFonts w:hint="default"/>
                <w:lang w:val="en-US" w:eastAsia="zh-CN"/>
              </w:rPr>
              <w:t>200</w:t>
            </w:r>
          </w:p>
        </w:tc>
        <w:tc>
          <w:tcPr>
            <w:tcW w:w="857" w:type="pct"/>
            <w:shd w:val="clear" w:color="auto" w:fill="auto"/>
            <w:vAlign w:val="center"/>
          </w:tcPr>
          <w:p w14:paraId="0CCBCEA1">
            <w:pPr>
              <w:pStyle w:val="45"/>
              <w:bidi w:val="0"/>
              <w:rPr>
                <w:rFonts w:hint="eastAsia"/>
                <w:lang w:val="en-US" w:eastAsia="zh-CN"/>
              </w:rPr>
            </w:pPr>
            <w:r>
              <w:rPr>
                <w:rFonts w:hint="default"/>
                <w:lang w:val="en-US" w:eastAsia="zh-CN"/>
              </w:rPr>
              <w:t>2</w:t>
            </w:r>
          </w:p>
        </w:tc>
        <w:tc>
          <w:tcPr>
            <w:tcW w:w="948" w:type="pct"/>
            <w:vMerge w:val="continue"/>
            <w:shd w:val="clear" w:color="auto" w:fill="auto"/>
            <w:vAlign w:val="center"/>
          </w:tcPr>
          <w:p w14:paraId="777142FA">
            <w:pPr>
              <w:pStyle w:val="45"/>
              <w:rPr>
                <w:rFonts w:hint="default"/>
              </w:rPr>
            </w:pPr>
          </w:p>
        </w:tc>
      </w:tr>
      <w:tr w14:paraId="6C9A3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5" w:type="pct"/>
            <w:shd w:val="clear" w:color="auto" w:fill="auto"/>
            <w:vAlign w:val="center"/>
          </w:tcPr>
          <w:p w14:paraId="11B48679">
            <w:pPr>
              <w:pStyle w:val="45"/>
              <w:bidi w:val="0"/>
              <w:rPr>
                <w:rFonts w:hint="eastAsia"/>
                <w:lang w:val="en-US" w:eastAsia="zh-CN"/>
              </w:rPr>
            </w:pPr>
            <w:r>
              <w:rPr>
                <w:rFonts w:hint="eastAsia"/>
                <w:lang w:val="en-US" w:eastAsia="zh-CN"/>
              </w:rPr>
              <w:t>氯酸钾</w:t>
            </w:r>
          </w:p>
        </w:tc>
        <w:tc>
          <w:tcPr>
            <w:tcW w:w="1077" w:type="pct"/>
            <w:shd w:val="clear" w:color="auto" w:fill="auto"/>
            <w:vAlign w:val="center"/>
          </w:tcPr>
          <w:p w14:paraId="26C92BBD">
            <w:pPr>
              <w:pStyle w:val="45"/>
              <w:bidi w:val="0"/>
              <w:rPr>
                <w:rFonts w:hint="default"/>
                <w:lang w:val="en-US" w:eastAsia="zh-CN"/>
              </w:rPr>
            </w:pPr>
            <w:r>
              <w:rPr>
                <w:rFonts w:hint="default"/>
                <w:lang w:val="en-US" w:eastAsia="zh-CN"/>
              </w:rPr>
              <w:t>100</w:t>
            </w:r>
          </w:p>
        </w:tc>
        <w:tc>
          <w:tcPr>
            <w:tcW w:w="1260" w:type="pct"/>
            <w:shd w:val="clear" w:color="auto" w:fill="auto"/>
            <w:vAlign w:val="center"/>
          </w:tcPr>
          <w:p w14:paraId="485C590A">
            <w:pPr>
              <w:pStyle w:val="45"/>
              <w:bidi w:val="0"/>
              <w:rPr>
                <w:rFonts w:hint="default"/>
                <w:lang w:val="en-US" w:eastAsia="zh-CN"/>
              </w:rPr>
            </w:pPr>
            <w:r>
              <w:rPr>
                <w:rFonts w:hint="default"/>
                <w:lang w:val="en-US" w:eastAsia="zh-CN"/>
              </w:rPr>
              <w:t>200</w:t>
            </w:r>
          </w:p>
        </w:tc>
        <w:tc>
          <w:tcPr>
            <w:tcW w:w="857" w:type="pct"/>
            <w:shd w:val="clear" w:color="auto" w:fill="auto"/>
            <w:vAlign w:val="center"/>
          </w:tcPr>
          <w:p w14:paraId="5393B006">
            <w:pPr>
              <w:pStyle w:val="45"/>
              <w:bidi w:val="0"/>
              <w:rPr>
                <w:rFonts w:hint="eastAsia"/>
                <w:lang w:eastAsia="zh-CN"/>
              </w:rPr>
            </w:pPr>
            <w:r>
              <w:rPr>
                <w:rFonts w:hint="default"/>
                <w:lang w:val="en-US" w:eastAsia="zh-CN"/>
              </w:rPr>
              <w:t>2</w:t>
            </w:r>
          </w:p>
        </w:tc>
        <w:tc>
          <w:tcPr>
            <w:tcW w:w="948" w:type="pct"/>
            <w:vMerge w:val="continue"/>
            <w:shd w:val="clear" w:color="auto" w:fill="auto"/>
            <w:vAlign w:val="center"/>
          </w:tcPr>
          <w:p w14:paraId="700E1F16">
            <w:pPr>
              <w:pStyle w:val="45"/>
              <w:rPr>
                <w:rFonts w:hint="default"/>
              </w:rPr>
            </w:pPr>
          </w:p>
        </w:tc>
      </w:tr>
      <w:tr w14:paraId="40E44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5" w:type="pct"/>
            <w:shd w:val="clear" w:color="auto" w:fill="auto"/>
            <w:vAlign w:val="center"/>
          </w:tcPr>
          <w:p w14:paraId="0D93C7CA">
            <w:pPr>
              <w:pStyle w:val="45"/>
              <w:bidi w:val="0"/>
              <w:rPr>
                <w:rFonts w:hint="eastAsia"/>
                <w:lang w:val="en-US" w:eastAsia="zh-CN"/>
              </w:rPr>
            </w:pPr>
            <w:r>
              <w:rPr>
                <w:rFonts w:hint="eastAsia"/>
                <w:lang w:val="en-US" w:eastAsia="zh-CN"/>
              </w:rPr>
              <w:t>高氯酸钠</w:t>
            </w:r>
          </w:p>
        </w:tc>
        <w:tc>
          <w:tcPr>
            <w:tcW w:w="1077" w:type="pct"/>
            <w:shd w:val="clear" w:color="auto" w:fill="auto"/>
            <w:vAlign w:val="center"/>
          </w:tcPr>
          <w:p w14:paraId="149F5235">
            <w:pPr>
              <w:pStyle w:val="45"/>
              <w:bidi w:val="0"/>
              <w:rPr>
                <w:rFonts w:hint="default"/>
                <w:lang w:val="en-US" w:eastAsia="zh-CN"/>
              </w:rPr>
            </w:pPr>
            <w:r>
              <w:rPr>
                <w:rFonts w:hint="default"/>
                <w:lang w:val="en-US" w:eastAsia="zh-CN"/>
              </w:rPr>
              <w:t>100</w:t>
            </w:r>
          </w:p>
        </w:tc>
        <w:tc>
          <w:tcPr>
            <w:tcW w:w="1260" w:type="pct"/>
            <w:shd w:val="clear" w:color="auto" w:fill="auto"/>
            <w:vAlign w:val="center"/>
          </w:tcPr>
          <w:p w14:paraId="1B9D8AE2">
            <w:pPr>
              <w:pStyle w:val="45"/>
              <w:bidi w:val="0"/>
              <w:rPr>
                <w:rFonts w:hint="default"/>
                <w:lang w:val="en-US" w:eastAsia="zh-CN"/>
              </w:rPr>
            </w:pPr>
            <w:r>
              <w:rPr>
                <w:rFonts w:hint="default"/>
                <w:lang w:val="en-US" w:eastAsia="zh-CN"/>
              </w:rPr>
              <w:t>200</w:t>
            </w:r>
          </w:p>
        </w:tc>
        <w:tc>
          <w:tcPr>
            <w:tcW w:w="857" w:type="pct"/>
            <w:shd w:val="clear" w:color="auto" w:fill="auto"/>
            <w:vAlign w:val="center"/>
          </w:tcPr>
          <w:p w14:paraId="39B8E54C">
            <w:pPr>
              <w:pStyle w:val="45"/>
              <w:bidi w:val="0"/>
              <w:rPr>
                <w:rFonts w:hint="default"/>
                <w:lang w:val="en-US" w:eastAsia="zh-CN"/>
              </w:rPr>
            </w:pPr>
            <w:r>
              <w:rPr>
                <w:rFonts w:hint="default"/>
                <w:lang w:val="en-US" w:eastAsia="zh-CN"/>
              </w:rPr>
              <w:t>2</w:t>
            </w:r>
          </w:p>
        </w:tc>
        <w:tc>
          <w:tcPr>
            <w:tcW w:w="948" w:type="pct"/>
            <w:vMerge w:val="continue"/>
            <w:shd w:val="clear" w:color="auto" w:fill="auto"/>
            <w:vAlign w:val="center"/>
          </w:tcPr>
          <w:p w14:paraId="5B4B8385">
            <w:pPr>
              <w:pStyle w:val="45"/>
              <w:rPr>
                <w:rFonts w:hint="default"/>
              </w:rPr>
            </w:pPr>
          </w:p>
        </w:tc>
      </w:tr>
      <w:tr w14:paraId="39521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5" w:type="pct"/>
            <w:shd w:val="clear" w:color="auto" w:fill="auto"/>
            <w:vAlign w:val="center"/>
          </w:tcPr>
          <w:p w14:paraId="2E20C5C9">
            <w:pPr>
              <w:pStyle w:val="45"/>
              <w:bidi w:val="0"/>
              <w:rPr>
                <w:rFonts w:hint="default"/>
                <w:lang w:val="en-US" w:eastAsia="zh-CN"/>
              </w:rPr>
            </w:pPr>
            <w:r>
              <w:rPr>
                <w:rFonts w:hint="eastAsia"/>
                <w:lang w:val="en-US" w:eastAsia="zh-CN"/>
              </w:rPr>
              <w:t>高氯酸钾</w:t>
            </w:r>
          </w:p>
        </w:tc>
        <w:tc>
          <w:tcPr>
            <w:tcW w:w="1077" w:type="pct"/>
            <w:shd w:val="clear" w:color="auto" w:fill="auto"/>
            <w:vAlign w:val="center"/>
          </w:tcPr>
          <w:p w14:paraId="470AE667">
            <w:pPr>
              <w:pStyle w:val="45"/>
              <w:bidi w:val="0"/>
              <w:rPr>
                <w:rFonts w:hint="default"/>
                <w:lang w:val="en-US" w:eastAsia="zh-CN"/>
              </w:rPr>
            </w:pPr>
            <w:r>
              <w:rPr>
                <w:rFonts w:hint="default"/>
                <w:lang w:val="en-US" w:eastAsia="zh-CN"/>
              </w:rPr>
              <w:t>100</w:t>
            </w:r>
          </w:p>
        </w:tc>
        <w:tc>
          <w:tcPr>
            <w:tcW w:w="1260" w:type="pct"/>
            <w:shd w:val="clear" w:color="auto" w:fill="auto"/>
            <w:vAlign w:val="center"/>
          </w:tcPr>
          <w:p w14:paraId="28B57573">
            <w:pPr>
              <w:pStyle w:val="45"/>
              <w:bidi w:val="0"/>
              <w:rPr>
                <w:rFonts w:hint="default"/>
                <w:lang w:val="en-US" w:eastAsia="zh-CN"/>
              </w:rPr>
            </w:pPr>
            <w:r>
              <w:rPr>
                <w:rFonts w:hint="default"/>
                <w:lang w:val="en-US" w:eastAsia="zh-CN"/>
              </w:rPr>
              <w:t>200</w:t>
            </w:r>
          </w:p>
        </w:tc>
        <w:tc>
          <w:tcPr>
            <w:tcW w:w="857" w:type="pct"/>
            <w:shd w:val="clear" w:color="auto" w:fill="auto"/>
            <w:vAlign w:val="center"/>
          </w:tcPr>
          <w:p w14:paraId="3385627B">
            <w:pPr>
              <w:pStyle w:val="45"/>
              <w:bidi w:val="0"/>
              <w:rPr>
                <w:rFonts w:hint="default"/>
                <w:lang w:val="en-US" w:eastAsia="zh-CN"/>
              </w:rPr>
            </w:pPr>
            <w:r>
              <w:rPr>
                <w:rFonts w:hint="default"/>
                <w:lang w:val="en-US" w:eastAsia="zh-CN"/>
              </w:rPr>
              <w:t>2</w:t>
            </w:r>
          </w:p>
        </w:tc>
        <w:tc>
          <w:tcPr>
            <w:tcW w:w="948" w:type="pct"/>
            <w:vMerge w:val="continue"/>
            <w:shd w:val="clear" w:color="auto" w:fill="auto"/>
            <w:vAlign w:val="center"/>
          </w:tcPr>
          <w:p w14:paraId="1F99CEEB">
            <w:pPr>
              <w:pStyle w:val="45"/>
              <w:rPr>
                <w:rFonts w:hint="default"/>
              </w:rPr>
            </w:pPr>
          </w:p>
        </w:tc>
      </w:tr>
      <w:tr w14:paraId="081F9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5" w:type="pct"/>
            <w:shd w:val="clear" w:color="auto" w:fill="auto"/>
            <w:vAlign w:val="center"/>
          </w:tcPr>
          <w:p w14:paraId="081456B6">
            <w:pPr>
              <w:pStyle w:val="45"/>
              <w:bidi w:val="0"/>
              <w:rPr>
                <w:rFonts w:hint="default"/>
                <w:lang w:val="en-US" w:eastAsia="zh-CN"/>
              </w:rPr>
            </w:pPr>
            <w:r>
              <w:rPr>
                <w:rFonts w:hint="eastAsia"/>
                <w:lang w:val="en-US" w:eastAsia="zh-CN"/>
              </w:rPr>
              <w:t>高氯酸锂</w:t>
            </w:r>
          </w:p>
        </w:tc>
        <w:tc>
          <w:tcPr>
            <w:tcW w:w="1077" w:type="pct"/>
            <w:shd w:val="clear" w:color="auto" w:fill="auto"/>
            <w:vAlign w:val="center"/>
          </w:tcPr>
          <w:p w14:paraId="10E9FC9C">
            <w:pPr>
              <w:pStyle w:val="45"/>
              <w:bidi w:val="0"/>
              <w:rPr>
                <w:rFonts w:hint="default"/>
                <w:lang w:val="en-US" w:eastAsia="zh-CN"/>
              </w:rPr>
            </w:pPr>
            <w:r>
              <w:rPr>
                <w:rFonts w:hint="default"/>
                <w:lang w:val="en-US" w:eastAsia="zh-CN"/>
              </w:rPr>
              <w:t>50</w:t>
            </w:r>
          </w:p>
        </w:tc>
        <w:tc>
          <w:tcPr>
            <w:tcW w:w="1260" w:type="pct"/>
            <w:shd w:val="clear" w:color="auto" w:fill="auto"/>
            <w:vAlign w:val="center"/>
          </w:tcPr>
          <w:p w14:paraId="0BC27139">
            <w:pPr>
              <w:pStyle w:val="45"/>
              <w:bidi w:val="0"/>
              <w:rPr>
                <w:rFonts w:hint="eastAsia"/>
                <w:lang w:val="en-US" w:eastAsia="zh-CN"/>
              </w:rPr>
            </w:pPr>
            <w:r>
              <w:rPr>
                <w:rFonts w:hint="eastAsia"/>
                <w:lang w:val="en-US" w:eastAsia="zh-CN"/>
              </w:rPr>
              <w:t>20</w:t>
            </w:r>
          </w:p>
        </w:tc>
        <w:tc>
          <w:tcPr>
            <w:tcW w:w="857" w:type="pct"/>
            <w:shd w:val="clear" w:color="auto" w:fill="auto"/>
            <w:vAlign w:val="center"/>
          </w:tcPr>
          <w:p w14:paraId="0CA9126A">
            <w:pPr>
              <w:pStyle w:val="45"/>
              <w:bidi w:val="0"/>
              <w:rPr>
                <w:rFonts w:hint="eastAsia"/>
                <w:lang w:val="en-US" w:eastAsia="zh-CN"/>
              </w:rPr>
            </w:pPr>
            <w:r>
              <w:rPr>
                <w:rFonts w:hint="default"/>
                <w:lang w:val="en-US" w:eastAsia="zh-CN"/>
              </w:rPr>
              <w:t>0.4</w:t>
            </w:r>
          </w:p>
        </w:tc>
        <w:tc>
          <w:tcPr>
            <w:tcW w:w="948" w:type="pct"/>
            <w:vMerge w:val="continue"/>
            <w:shd w:val="clear" w:color="auto" w:fill="auto"/>
            <w:vAlign w:val="center"/>
          </w:tcPr>
          <w:p w14:paraId="68143C97">
            <w:pPr>
              <w:pStyle w:val="45"/>
              <w:rPr>
                <w:rFonts w:hint="default"/>
              </w:rPr>
            </w:pPr>
          </w:p>
        </w:tc>
      </w:tr>
      <w:tr w14:paraId="048AC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5" w:type="pct"/>
            <w:shd w:val="clear" w:color="auto" w:fill="auto"/>
            <w:vAlign w:val="center"/>
          </w:tcPr>
          <w:p w14:paraId="221708AE">
            <w:pPr>
              <w:pStyle w:val="45"/>
              <w:bidi w:val="0"/>
              <w:rPr>
                <w:rFonts w:hint="default"/>
                <w:lang w:val="en-US" w:eastAsia="zh-CN"/>
              </w:rPr>
            </w:pPr>
            <w:r>
              <w:rPr>
                <w:rFonts w:hint="eastAsia"/>
                <w:lang w:val="en-US" w:eastAsia="zh-CN"/>
              </w:rPr>
              <w:t>氢氧化锂</w:t>
            </w:r>
          </w:p>
        </w:tc>
        <w:tc>
          <w:tcPr>
            <w:tcW w:w="1077" w:type="pct"/>
            <w:shd w:val="clear" w:color="auto" w:fill="auto"/>
            <w:vAlign w:val="center"/>
          </w:tcPr>
          <w:p w14:paraId="088DB52D">
            <w:pPr>
              <w:pStyle w:val="45"/>
              <w:bidi w:val="0"/>
              <w:rPr>
                <w:rFonts w:hint="default"/>
                <w:lang w:val="en-US" w:eastAsia="zh-CN"/>
              </w:rPr>
            </w:pPr>
            <w:r>
              <w:rPr>
                <w:rFonts w:hint="default"/>
                <w:lang w:val="en-US" w:eastAsia="zh-CN"/>
              </w:rPr>
              <w:t>50</w:t>
            </w:r>
          </w:p>
        </w:tc>
        <w:tc>
          <w:tcPr>
            <w:tcW w:w="1260" w:type="pct"/>
            <w:shd w:val="clear" w:color="auto" w:fill="auto"/>
            <w:vAlign w:val="center"/>
          </w:tcPr>
          <w:p w14:paraId="3702AAC1">
            <w:pPr>
              <w:pStyle w:val="45"/>
              <w:bidi w:val="0"/>
              <w:rPr>
                <w:rFonts w:hint="eastAsia"/>
                <w:lang w:val="en-US" w:eastAsia="zh-CN"/>
              </w:rPr>
            </w:pPr>
            <w:r>
              <w:rPr>
                <w:rFonts w:hint="eastAsia"/>
                <w:lang w:val="en-US" w:eastAsia="zh-CN"/>
              </w:rPr>
              <w:t>1</w:t>
            </w:r>
          </w:p>
        </w:tc>
        <w:tc>
          <w:tcPr>
            <w:tcW w:w="857" w:type="pct"/>
            <w:shd w:val="clear" w:color="auto" w:fill="auto"/>
            <w:vAlign w:val="center"/>
          </w:tcPr>
          <w:p w14:paraId="3D606384">
            <w:pPr>
              <w:pStyle w:val="45"/>
              <w:bidi w:val="0"/>
              <w:rPr>
                <w:rFonts w:hint="eastAsia"/>
                <w:lang w:val="en-US" w:eastAsia="zh-CN"/>
              </w:rPr>
            </w:pPr>
            <w:r>
              <w:rPr>
                <w:rFonts w:hint="default"/>
                <w:lang w:val="en-US" w:eastAsia="zh-CN"/>
              </w:rPr>
              <w:t>0.02</w:t>
            </w:r>
          </w:p>
        </w:tc>
        <w:tc>
          <w:tcPr>
            <w:tcW w:w="948" w:type="pct"/>
            <w:vMerge w:val="continue"/>
            <w:shd w:val="clear" w:color="auto" w:fill="auto"/>
            <w:vAlign w:val="center"/>
          </w:tcPr>
          <w:p w14:paraId="72487DEF">
            <w:pPr>
              <w:pStyle w:val="45"/>
              <w:rPr>
                <w:rFonts w:hint="default"/>
              </w:rPr>
            </w:pPr>
          </w:p>
        </w:tc>
      </w:tr>
      <w:tr w14:paraId="3812C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5" w:type="pct"/>
            <w:shd w:val="clear" w:color="auto" w:fill="auto"/>
            <w:vAlign w:val="center"/>
          </w:tcPr>
          <w:p w14:paraId="1D7FF1D3">
            <w:pPr>
              <w:pStyle w:val="45"/>
              <w:bidi w:val="0"/>
              <w:rPr>
                <w:rFonts w:hint="default"/>
                <w:lang w:val="en-US" w:eastAsia="zh-CN"/>
              </w:rPr>
            </w:pPr>
            <w:r>
              <w:rPr>
                <w:rFonts w:hint="default"/>
                <w:lang w:val="en-US" w:eastAsia="zh-CN"/>
              </w:rPr>
              <w:t>70%</w:t>
            </w:r>
            <w:r>
              <w:rPr>
                <w:rFonts w:hint="eastAsia"/>
                <w:lang w:val="en-US" w:eastAsia="zh-CN"/>
              </w:rPr>
              <w:t>高氯酸</w:t>
            </w:r>
          </w:p>
        </w:tc>
        <w:tc>
          <w:tcPr>
            <w:tcW w:w="1077" w:type="pct"/>
            <w:shd w:val="clear" w:color="auto" w:fill="auto"/>
            <w:vAlign w:val="center"/>
          </w:tcPr>
          <w:p w14:paraId="0B1E0958">
            <w:pPr>
              <w:pStyle w:val="45"/>
              <w:bidi w:val="0"/>
              <w:rPr>
                <w:rFonts w:hint="default"/>
                <w:lang w:val="en-US" w:eastAsia="zh-CN"/>
              </w:rPr>
            </w:pPr>
            <w:r>
              <w:rPr>
                <w:rFonts w:hint="default"/>
                <w:lang w:val="en-US" w:eastAsia="zh-CN"/>
              </w:rPr>
              <w:t>50</w:t>
            </w:r>
          </w:p>
        </w:tc>
        <w:tc>
          <w:tcPr>
            <w:tcW w:w="1260" w:type="pct"/>
            <w:shd w:val="clear" w:color="auto" w:fill="auto"/>
            <w:vAlign w:val="center"/>
          </w:tcPr>
          <w:p w14:paraId="7F7488AF">
            <w:pPr>
              <w:pStyle w:val="45"/>
              <w:bidi w:val="0"/>
              <w:rPr>
                <w:rFonts w:hint="eastAsia"/>
                <w:lang w:val="en-US" w:eastAsia="zh-CN"/>
              </w:rPr>
            </w:pPr>
            <w:r>
              <w:rPr>
                <w:rFonts w:hint="eastAsia"/>
                <w:lang w:val="en-US" w:eastAsia="zh-CN"/>
              </w:rPr>
              <w:t>1.05（折纯）</w:t>
            </w:r>
          </w:p>
        </w:tc>
        <w:tc>
          <w:tcPr>
            <w:tcW w:w="857" w:type="pct"/>
            <w:shd w:val="clear" w:color="auto" w:fill="auto"/>
            <w:vAlign w:val="center"/>
          </w:tcPr>
          <w:p w14:paraId="65799A39">
            <w:pPr>
              <w:pStyle w:val="45"/>
              <w:bidi w:val="0"/>
              <w:rPr>
                <w:rFonts w:hint="eastAsia"/>
                <w:lang w:val="en-US" w:eastAsia="zh-CN"/>
              </w:rPr>
            </w:pPr>
            <w:r>
              <w:rPr>
                <w:rFonts w:hint="eastAsia"/>
                <w:lang w:val="en-US" w:eastAsia="zh-CN"/>
              </w:rPr>
              <w:t>0.021</w:t>
            </w:r>
          </w:p>
        </w:tc>
        <w:tc>
          <w:tcPr>
            <w:tcW w:w="948" w:type="pct"/>
            <w:vMerge w:val="continue"/>
            <w:shd w:val="clear" w:color="auto" w:fill="auto"/>
            <w:vAlign w:val="center"/>
          </w:tcPr>
          <w:p w14:paraId="79EDAF35">
            <w:pPr>
              <w:pStyle w:val="45"/>
              <w:rPr>
                <w:rFonts w:hint="default"/>
              </w:rPr>
            </w:pPr>
          </w:p>
        </w:tc>
      </w:tr>
      <w:tr w14:paraId="2B40F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trPr>
        <w:tc>
          <w:tcPr>
            <w:tcW w:w="855" w:type="pct"/>
            <w:shd w:val="clear" w:color="auto" w:fill="auto"/>
            <w:vAlign w:val="center"/>
          </w:tcPr>
          <w:p w14:paraId="7FAC04D7">
            <w:pPr>
              <w:pStyle w:val="45"/>
              <w:bidi w:val="0"/>
              <w:rPr>
                <w:rFonts w:hint="default"/>
              </w:rPr>
            </w:pPr>
            <w:r>
              <w:rPr>
                <w:rFonts w:hint="eastAsia"/>
                <w:lang w:val="en-US" w:eastAsia="zh-CN"/>
              </w:rPr>
              <w:t>铬及其化合物（以铬计）</w:t>
            </w:r>
          </w:p>
        </w:tc>
        <w:tc>
          <w:tcPr>
            <w:tcW w:w="1077" w:type="pct"/>
            <w:shd w:val="clear" w:color="auto" w:fill="auto"/>
            <w:vAlign w:val="center"/>
          </w:tcPr>
          <w:p w14:paraId="6DEAFF20">
            <w:pPr>
              <w:pStyle w:val="45"/>
              <w:bidi w:val="0"/>
              <w:rPr>
                <w:rFonts w:hint="default"/>
              </w:rPr>
            </w:pPr>
            <w:r>
              <w:rPr>
                <w:rFonts w:hint="default"/>
                <w:lang w:val="en-US" w:eastAsia="zh-CN"/>
              </w:rPr>
              <w:t>0.25</w:t>
            </w:r>
          </w:p>
        </w:tc>
        <w:tc>
          <w:tcPr>
            <w:tcW w:w="1260" w:type="pct"/>
            <w:shd w:val="clear" w:color="auto" w:fill="auto"/>
            <w:vAlign w:val="center"/>
          </w:tcPr>
          <w:p w14:paraId="3C0DCED9">
            <w:pPr>
              <w:pStyle w:val="45"/>
              <w:bidi w:val="0"/>
              <w:rPr>
                <w:rFonts w:hint="default"/>
                <w:lang w:val="en-US" w:eastAsia="zh-CN"/>
              </w:rPr>
            </w:pPr>
            <w:r>
              <w:rPr>
                <w:rFonts w:hint="default"/>
                <w:lang w:val="en-US" w:eastAsia="zh-CN"/>
              </w:rPr>
              <w:t>0.794</w:t>
            </w:r>
          </w:p>
        </w:tc>
        <w:tc>
          <w:tcPr>
            <w:tcW w:w="857" w:type="pct"/>
            <w:shd w:val="clear" w:color="auto" w:fill="auto"/>
            <w:vAlign w:val="center"/>
          </w:tcPr>
          <w:p w14:paraId="556DAB47">
            <w:pPr>
              <w:pStyle w:val="45"/>
              <w:bidi w:val="0"/>
              <w:rPr>
                <w:rFonts w:hint="default"/>
                <w:lang w:val="en-US" w:eastAsia="zh-CN"/>
              </w:rPr>
            </w:pPr>
            <w:r>
              <w:rPr>
                <w:rFonts w:hint="default"/>
                <w:lang w:val="en-US" w:eastAsia="zh-CN"/>
              </w:rPr>
              <w:t>3.176</w:t>
            </w:r>
          </w:p>
        </w:tc>
        <w:tc>
          <w:tcPr>
            <w:tcW w:w="948" w:type="pct"/>
            <w:vMerge w:val="continue"/>
            <w:shd w:val="clear" w:color="auto" w:fill="auto"/>
            <w:vAlign w:val="center"/>
          </w:tcPr>
          <w:p w14:paraId="382F0804">
            <w:pPr>
              <w:pStyle w:val="45"/>
              <w:rPr>
                <w:rFonts w:hint="default"/>
              </w:rPr>
            </w:pPr>
          </w:p>
        </w:tc>
      </w:tr>
      <w:tr w14:paraId="570BE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trPr>
        <w:tc>
          <w:tcPr>
            <w:tcW w:w="855" w:type="pct"/>
            <w:shd w:val="clear" w:color="auto" w:fill="auto"/>
            <w:vAlign w:val="center"/>
          </w:tcPr>
          <w:p w14:paraId="4BDC089C">
            <w:pPr>
              <w:pStyle w:val="45"/>
              <w:bidi w:val="0"/>
              <w:rPr>
                <w:rFonts w:hint="default"/>
                <w:lang w:val="en-US" w:eastAsia="zh-CN"/>
              </w:rPr>
            </w:pPr>
            <w:r>
              <w:rPr>
                <w:rFonts w:hint="eastAsia"/>
                <w:lang w:val="en-US" w:eastAsia="zh-CN"/>
              </w:rPr>
              <w:t>固态危废</w:t>
            </w:r>
          </w:p>
        </w:tc>
        <w:tc>
          <w:tcPr>
            <w:tcW w:w="1077" w:type="pct"/>
            <w:shd w:val="clear" w:color="auto" w:fill="auto"/>
            <w:vAlign w:val="center"/>
          </w:tcPr>
          <w:p w14:paraId="43073736">
            <w:pPr>
              <w:pStyle w:val="45"/>
              <w:bidi w:val="0"/>
              <w:rPr>
                <w:rFonts w:hint="default"/>
                <w:lang w:val="en-US" w:eastAsia="zh-CN"/>
              </w:rPr>
            </w:pPr>
            <w:r>
              <w:rPr>
                <w:rFonts w:hint="default"/>
                <w:lang w:val="en-US" w:eastAsia="zh-CN"/>
              </w:rPr>
              <w:t>50</w:t>
            </w:r>
          </w:p>
        </w:tc>
        <w:tc>
          <w:tcPr>
            <w:tcW w:w="1260" w:type="pct"/>
            <w:shd w:val="clear" w:color="auto" w:fill="auto"/>
            <w:vAlign w:val="center"/>
          </w:tcPr>
          <w:p w14:paraId="20663168">
            <w:pPr>
              <w:pStyle w:val="45"/>
              <w:bidi w:val="0"/>
              <w:rPr>
                <w:rFonts w:hint="default"/>
                <w:lang w:val="en-US" w:eastAsia="zh-CN"/>
              </w:rPr>
            </w:pPr>
            <w:r>
              <w:rPr>
                <w:rFonts w:hint="default"/>
                <w:lang w:val="en-US" w:eastAsia="zh-CN"/>
              </w:rPr>
              <w:t>67.38</w:t>
            </w:r>
          </w:p>
        </w:tc>
        <w:tc>
          <w:tcPr>
            <w:tcW w:w="857" w:type="pct"/>
            <w:shd w:val="clear" w:color="auto" w:fill="auto"/>
            <w:vAlign w:val="center"/>
          </w:tcPr>
          <w:p w14:paraId="408AFE0E">
            <w:pPr>
              <w:pStyle w:val="45"/>
              <w:bidi w:val="0"/>
              <w:rPr>
                <w:rFonts w:hint="default"/>
                <w:lang w:val="en-US" w:eastAsia="zh-CN"/>
              </w:rPr>
            </w:pPr>
            <w:r>
              <w:rPr>
                <w:rFonts w:hint="default"/>
                <w:lang w:val="en-US" w:eastAsia="zh-CN"/>
              </w:rPr>
              <w:t>1.3476</w:t>
            </w:r>
          </w:p>
        </w:tc>
        <w:tc>
          <w:tcPr>
            <w:tcW w:w="948" w:type="pct"/>
            <w:vMerge w:val="continue"/>
            <w:shd w:val="clear" w:color="auto" w:fill="auto"/>
            <w:vAlign w:val="center"/>
          </w:tcPr>
          <w:p w14:paraId="6DB96803">
            <w:pPr>
              <w:pStyle w:val="45"/>
              <w:rPr>
                <w:rFonts w:hint="default"/>
              </w:rPr>
            </w:pPr>
          </w:p>
        </w:tc>
      </w:tr>
      <w:tr w14:paraId="6353F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trPr>
        <w:tc>
          <w:tcPr>
            <w:tcW w:w="855" w:type="pct"/>
            <w:shd w:val="clear" w:color="auto" w:fill="auto"/>
            <w:vAlign w:val="center"/>
          </w:tcPr>
          <w:p w14:paraId="0F2E4BB0">
            <w:pPr>
              <w:pStyle w:val="45"/>
              <w:bidi w:val="0"/>
              <w:rPr>
                <w:rFonts w:hint="default"/>
                <w:lang w:val="en-US" w:eastAsia="zh-CN"/>
              </w:rPr>
            </w:pPr>
            <w:r>
              <w:rPr>
                <w:rFonts w:hint="eastAsia"/>
                <w:lang w:val="en-US" w:eastAsia="zh-CN"/>
              </w:rPr>
              <w:t>废机油</w:t>
            </w:r>
          </w:p>
        </w:tc>
        <w:tc>
          <w:tcPr>
            <w:tcW w:w="1077" w:type="pct"/>
            <w:shd w:val="clear" w:color="auto" w:fill="auto"/>
            <w:vAlign w:val="center"/>
          </w:tcPr>
          <w:p w14:paraId="74B4F644">
            <w:pPr>
              <w:pStyle w:val="45"/>
              <w:bidi w:val="0"/>
              <w:rPr>
                <w:rFonts w:hint="default"/>
                <w:lang w:val="en-US" w:eastAsia="zh-CN"/>
              </w:rPr>
            </w:pPr>
            <w:r>
              <w:rPr>
                <w:rFonts w:hint="default"/>
                <w:lang w:val="en-US" w:eastAsia="zh-CN"/>
              </w:rPr>
              <w:t>50</w:t>
            </w:r>
          </w:p>
        </w:tc>
        <w:tc>
          <w:tcPr>
            <w:tcW w:w="1260" w:type="pct"/>
            <w:shd w:val="clear" w:color="auto" w:fill="auto"/>
            <w:vAlign w:val="center"/>
          </w:tcPr>
          <w:p w14:paraId="56C64CED">
            <w:pPr>
              <w:pStyle w:val="45"/>
              <w:bidi w:val="0"/>
              <w:rPr>
                <w:rFonts w:hint="default"/>
                <w:lang w:val="en-US" w:eastAsia="zh-CN"/>
              </w:rPr>
            </w:pPr>
            <w:r>
              <w:rPr>
                <w:rFonts w:hint="default"/>
                <w:lang w:val="en-US" w:eastAsia="zh-CN"/>
              </w:rPr>
              <w:t>0.2</w:t>
            </w:r>
          </w:p>
        </w:tc>
        <w:tc>
          <w:tcPr>
            <w:tcW w:w="857" w:type="pct"/>
            <w:shd w:val="clear" w:color="auto" w:fill="auto"/>
            <w:vAlign w:val="center"/>
          </w:tcPr>
          <w:p w14:paraId="16E0630C">
            <w:pPr>
              <w:pStyle w:val="45"/>
              <w:bidi w:val="0"/>
              <w:rPr>
                <w:rFonts w:hint="default"/>
                <w:lang w:val="en-US" w:eastAsia="zh-CN"/>
              </w:rPr>
            </w:pPr>
          </w:p>
        </w:tc>
        <w:tc>
          <w:tcPr>
            <w:tcW w:w="948" w:type="pct"/>
            <w:vMerge w:val="continue"/>
            <w:shd w:val="clear" w:color="auto" w:fill="auto"/>
            <w:vAlign w:val="center"/>
          </w:tcPr>
          <w:p w14:paraId="43847950">
            <w:pPr>
              <w:pStyle w:val="45"/>
              <w:rPr>
                <w:rFonts w:hint="default"/>
              </w:rPr>
            </w:pPr>
          </w:p>
        </w:tc>
      </w:tr>
      <w:tr w14:paraId="42CF7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trPr>
        <w:tc>
          <w:tcPr>
            <w:tcW w:w="855" w:type="pct"/>
            <w:shd w:val="clear" w:color="auto" w:fill="auto"/>
            <w:vAlign w:val="center"/>
          </w:tcPr>
          <w:p w14:paraId="3DFA8169">
            <w:pPr>
              <w:pStyle w:val="45"/>
              <w:bidi w:val="0"/>
              <w:rPr>
                <w:rFonts w:hint="default"/>
                <w:lang w:val="en-US" w:eastAsia="zh-CN"/>
              </w:rPr>
            </w:pPr>
            <w:r>
              <w:rPr>
                <w:rFonts w:hint="eastAsia"/>
                <w:lang w:val="en-US" w:eastAsia="zh-CN"/>
              </w:rPr>
              <w:t>氢气</w:t>
            </w:r>
          </w:p>
        </w:tc>
        <w:tc>
          <w:tcPr>
            <w:tcW w:w="1077" w:type="pct"/>
            <w:shd w:val="clear" w:color="auto" w:fill="auto"/>
            <w:vAlign w:val="center"/>
          </w:tcPr>
          <w:p w14:paraId="7A85D91E">
            <w:pPr>
              <w:pStyle w:val="45"/>
              <w:bidi w:val="0"/>
              <w:rPr>
                <w:rFonts w:hint="default"/>
                <w:lang w:val="en-US" w:eastAsia="zh-CN"/>
              </w:rPr>
            </w:pPr>
            <w:r>
              <w:rPr>
                <w:rFonts w:hint="default"/>
                <w:lang w:val="en-US" w:eastAsia="zh-CN"/>
              </w:rPr>
              <w:t>10</w:t>
            </w:r>
          </w:p>
        </w:tc>
        <w:tc>
          <w:tcPr>
            <w:tcW w:w="1260" w:type="pct"/>
            <w:shd w:val="clear" w:color="auto" w:fill="auto"/>
            <w:vAlign w:val="center"/>
          </w:tcPr>
          <w:p w14:paraId="2C9D8224">
            <w:pPr>
              <w:pStyle w:val="45"/>
              <w:bidi w:val="0"/>
              <w:rPr>
                <w:rFonts w:hint="default"/>
                <w:lang w:val="en-US" w:eastAsia="zh-CN"/>
              </w:rPr>
            </w:pPr>
            <w:r>
              <w:rPr>
                <w:rFonts w:hint="eastAsia"/>
                <w:lang w:val="en-US" w:eastAsia="zh-CN"/>
              </w:rPr>
              <w:t>0.178</w:t>
            </w:r>
          </w:p>
        </w:tc>
        <w:tc>
          <w:tcPr>
            <w:tcW w:w="857" w:type="pct"/>
            <w:shd w:val="clear" w:color="auto" w:fill="auto"/>
            <w:vAlign w:val="center"/>
          </w:tcPr>
          <w:p w14:paraId="135D7B45">
            <w:pPr>
              <w:pStyle w:val="45"/>
              <w:bidi w:val="0"/>
              <w:rPr>
                <w:rFonts w:hint="default"/>
                <w:lang w:val="en-US" w:eastAsia="zh-CN"/>
              </w:rPr>
            </w:pPr>
            <w:r>
              <w:rPr>
                <w:rFonts w:hint="eastAsia"/>
                <w:lang w:val="en-US" w:eastAsia="zh-CN"/>
              </w:rPr>
              <w:t>0.0178</w:t>
            </w:r>
          </w:p>
        </w:tc>
        <w:tc>
          <w:tcPr>
            <w:tcW w:w="948" w:type="pct"/>
            <w:vMerge w:val="continue"/>
            <w:shd w:val="clear" w:color="auto" w:fill="auto"/>
            <w:vAlign w:val="center"/>
          </w:tcPr>
          <w:p w14:paraId="79C8B929">
            <w:pPr>
              <w:pStyle w:val="45"/>
              <w:rPr>
                <w:rFonts w:hint="default"/>
              </w:rPr>
            </w:pPr>
          </w:p>
        </w:tc>
      </w:tr>
      <w:tr w14:paraId="61541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trPr>
        <w:tc>
          <w:tcPr>
            <w:tcW w:w="855" w:type="pct"/>
            <w:shd w:val="clear" w:color="auto" w:fill="auto"/>
            <w:vAlign w:val="center"/>
          </w:tcPr>
          <w:p w14:paraId="329EC35F">
            <w:pPr>
              <w:pStyle w:val="45"/>
              <w:bidi w:val="0"/>
              <w:rPr>
                <w:rFonts w:hint="default"/>
                <w:lang w:val="en-US" w:eastAsia="zh-CN"/>
              </w:rPr>
            </w:pPr>
            <w:r>
              <w:rPr>
                <w:rFonts w:hint="eastAsia"/>
                <w:lang w:val="en-US" w:eastAsia="zh-CN"/>
              </w:rPr>
              <w:t>氯气</w:t>
            </w:r>
          </w:p>
        </w:tc>
        <w:tc>
          <w:tcPr>
            <w:tcW w:w="1077" w:type="pct"/>
            <w:shd w:val="clear" w:color="auto" w:fill="auto"/>
            <w:vAlign w:val="center"/>
          </w:tcPr>
          <w:p w14:paraId="3214D815">
            <w:pPr>
              <w:pStyle w:val="45"/>
              <w:bidi w:val="0"/>
              <w:rPr>
                <w:rFonts w:hint="default"/>
                <w:lang w:val="en-US" w:eastAsia="zh-CN"/>
              </w:rPr>
            </w:pPr>
            <w:r>
              <w:rPr>
                <w:rFonts w:hint="default"/>
                <w:lang w:val="en-US" w:eastAsia="zh-CN"/>
              </w:rPr>
              <w:t>1</w:t>
            </w:r>
          </w:p>
        </w:tc>
        <w:tc>
          <w:tcPr>
            <w:tcW w:w="1260" w:type="pct"/>
            <w:shd w:val="clear" w:color="auto" w:fill="auto"/>
            <w:vAlign w:val="center"/>
          </w:tcPr>
          <w:p w14:paraId="75935976">
            <w:pPr>
              <w:pStyle w:val="45"/>
              <w:bidi w:val="0"/>
              <w:rPr>
                <w:rFonts w:hint="default"/>
                <w:lang w:val="en-US" w:eastAsia="zh-CN"/>
              </w:rPr>
            </w:pPr>
            <w:r>
              <w:rPr>
                <w:rFonts w:hint="eastAsia"/>
                <w:lang w:val="en-US" w:eastAsia="zh-CN"/>
              </w:rPr>
              <w:t>0.0017（小时量）</w:t>
            </w:r>
          </w:p>
        </w:tc>
        <w:tc>
          <w:tcPr>
            <w:tcW w:w="857" w:type="pct"/>
            <w:shd w:val="clear" w:color="auto" w:fill="auto"/>
            <w:vAlign w:val="center"/>
          </w:tcPr>
          <w:p w14:paraId="1ACB61DE">
            <w:pPr>
              <w:pStyle w:val="45"/>
              <w:bidi w:val="0"/>
              <w:rPr>
                <w:rFonts w:hint="default"/>
                <w:lang w:val="en-US" w:eastAsia="zh-CN"/>
              </w:rPr>
            </w:pPr>
            <w:r>
              <w:rPr>
                <w:rFonts w:hint="default"/>
                <w:lang w:val="en-US" w:eastAsia="zh-CN"/>
              </w:rPr>
              <w:t xml:space="preserve">0.0017 </w:t>
            </w:r>
          </w:p>
        </w:tc>
        <w:tc>
          <w:tcPr>
            <w:tcW w:w="948" w:type="pct"/>
            <w:vMerge w:val="continue"/>
            <w:shd w:val="clear" w:color="auto" w:fill="auto"/>
            <w:vAlign w:val="center"/>
          </w:tcPr>
          <w:p w14:paraId="202DADC1">
            <w:pPr>
              <w:pStyle w:val="45"/>
              <w:rPr>
                <w:rFonts w:hint="default"/>
              </w:rPr>
            </w:pPr>
          </w:p>
        </w:tc>
      </w:tr>
      <w:tr w14:paraId="09CE6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trPr>
        <w:tc>
          <w:tcPr>
            <w:tcW w:w="855" w:type="pct"/>
            <w:shd w:val="clear" w:color="auto" w:fill="auto"/>
            <w:vAlign w:val="center"/>
          </w:tcPr>
          <w:p w14:paraId="70701AC7">
            <w:pPr>
              <w:pStyle w:val="45"/>
              <w:bidi w:val="0"/>
              <w:rPr>
                <w:rFonts w:hint="default"/>
                <w:lang w:val="en-US" w:eastAsia="zh-CN"/>
              </w:rPr>
            </w:pPr>
            <w:r>
              <w:rPr>
                <w:rFonts w:hint="eastAsia"/>
                <w:lang w:val="en-US" w:eastAsia="zh-CN"/>
              </w:rPr>
              <w:t>氯化氢气体</w:t>
            </w:r>
          </w:p>
        </w:tc>
        <w:tc>
          <w:tcPr>
            <w:tcW w:w="1077" w:type="pct"/>
            <w:shd w:val="clear" w:color="auto" w:fill="auto"/>
            <w:vAlign w:val="center"/>
          </w:tcPr>
          <w:p w14:paraId="683EBE15">
            <w:pPr>
              <w:pStyle w:val="45"/>
              <w:bidi w:val="0"/>
              <w:rPr>
                <w:rFonts w:hint="default"/>
                <w:lang w:val="en-US" w:eastAsia="zh-CN"/>
              </w:rPr>
            </w:pPr>
            <w:r>
              <w:rPr>
                <w:rFonts w:hint="default"/>
                <w:lang w:val="en-US" w:eastAsia="zh-CN"/>
              </w:rPr>
              <w:t>2.5</w:t>
            </w:r>
          </w:p>
        </w:tc>
        <w:tc>
          <w:tcPr>
            <w:tcW w:w="1260" w:type="pct"/>
            <w:shd w:val="clear" w:color="auto" w:fill="auto"/>
            <w:vAlign w:val="center"/>
          </w:tcPr>
          <w:p w14:paraId="78DB68E7">
            <w:pPr>
              <w:pStyle w:val="45"/>
              <w:bidi w:val="0"/>
              <w:rPr>
                <w:rFonts w:hint="default"/>
                <w:lang w:val="en-US" w:eastAsia="zh-CN"/>
              </w:rPr>
            </w:pPr>
            <w:r>
              <w:rPr>
                <w:rFonts w:hint="eastAsia"/>
                <w:lang w:val="en-US" w:eastAsia="zh-CN"/>
              </w:rPr>
              <w:t>0.0018（小时量）</w:t>
            </w:r>
          </w:p>
        </w:tc>
        <w:tc>
          <w:tcPr>
            <w:tcW w:w="857" w:type="pct"/>
            <w:shd w:val="clear" w:color="auto" w:fill="auto"/>
            <w:vAlign w:val="center"/>
          </w:tcPr>
          <w:p w14:paraId="105BD178">
            <w:pPr>
              <w:pStyle w:val="45"/>
              <w:bidi w:val="0"/>
              <w:rPr>
                <w:rFonts w:hint="default"/>
                <w:lang w:val="en-US" w:eastAsia="zh-CN"/>
              </w:rPr>
            </w:pPr>
            <w:r>
              <w:rPr>
                <w:rFonts w:hint="default"/>
                <w:lang w:val="en-US" w:eastAsia="zh-CN"/>
              </w:rPr>
              <w:t xml:space="preserve">0.0007 </w:t>
            </w:r>
          </w:p>
        </w:tc>
        <w:tc>
          <w:tcPr>
            <w:tcW w:w="948" w:type="pct"/>
            <w:vMerge w:val="continue"/>
            <w:shd w:val="clear" w:color="auto" w:fill="auto"/>
            <w:vAlign w:val="center"/>
          </w:tcPr>
          <w:p w14:paraId="265C4AB0">
            <w:pPr>
              <w:pStyle w:val="45"/>
              <w:rPr>
                <w:rFonts w:hint="default"/>
              </w:rPr>
            </w:pPr>
          </w:p>
        </w:tc>
      </w:tr>
    </w:tbl>
    <w:p w14:paraId="043234C4">
      <w:pPr>
        <w:pStyle w:val="45"/>
        <w:ind w:firstLine="420" w:firstLineChars="200"/>
        <w:jc w:val="both"/>
        <w:rPr>
          <w:rFonts w:hint="default"/>
        </w:rPr>
      </w:pPr>
      <w:r>
        <w:t>注：临界量数据来源于《建设项目环境风险评价技术导则》（HJ169-2018）附录B；该附录B中没有的危险化学品物质的临界量参考《企业突发环境事件风险分级方法》（HJ941-2018）附录A、《危险化学品重大危险源辨识》（GB18218-2018）等技术文件中的相关值。</w:t>
      </w:r>
    </w:p>
    <w:p w14:paraId="2E423BA4">
      <w:pPr>
        <w:spacing w:line="240" w:lineRule="auto"/>
        <w:ind w:firstLine="480"/>
      </w:pPr>
    </w:p>
    <w:p w14:paraId="42047D99">
      <w:pPr>
        <w:ind w:firstLine="480"/>
      </w:pPr>
      <w:r>
        <w:t>2、行业及生产工艺M</w:t>
      </w:r>
    </w:p>
    <w:p w14:paraId="245534A7">
      <w:pPr>
        <w:ind w:firstLine="480"/>
      </w:pPr>
      <w:r>
        <w:t>根据导则（HJ169-2018），具有多套工艺单元的项目，对每套生产工艺分别评分并求和。将M划分为（1）M&gt;20；（2）10&lt;M≦20；（3）5&lt;M≦10；（4）M=5，分别以M1、M2、M3和M4表示。由表</w:t>
      </w:r>
      <w:r>
        <w:rPr>
          <w:rFonts w:hint="eastAsia"/>
        </w:rPr>
        <w:t>8</w:t>
      </w:r>
      <w:r>
        <w:t>.1-2可知，本项目</w:t>
      </w:r>
      <w:r>
        <w:rPr>
          <w:rFonts w:hint="eastAsia"/>
        </w:rPr>
        <w:t>建成后全厂的</w:t>
      </w:r>
      <w:r>
        <w:t>行业及生产工艺M值为</w:t>
      </w:r>
      <w:r>
        <w:rPr>
          <w:rFonts w:hint="eastAsia"/>
          <w:lang w:val="en-US" w:eastAsia="zh-CN"/>
        </w:rPr>
        <w:t>60</w:t>
      </w:r>
      <w:r>
        <w:t>，为M1类。</w:t>
      </w:r>
    </w:p>
    <w:p w14:paraId="0192E43B">
      <w:pPr>
        <w:pStyle w:val="43"/>
        <w:numPr>
          <w:ilvl w:val="5"/>
          <w:numId w:val="1"/>
        </w:numPr>
        <w:rPr>
          <w:rFonts w:hint="default"/>
        </w:rPr>
      </w:pPr>
      <w:r>
        <w:t>本项目生产工艺过程评估</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3"/>
        <w:gridCol w:w="3503"/>
        <w:gridCol w:w="1009"/>
        <w:gridCol w:w="2124"/>
        <w:gridCol w:w="683"/>
      </w:tblGrid>
      <w:tr w14:paraId="38571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 w:hRule="atLeast"/>
        </w:trPr>
        <w:tc>
          <w:tcPr>
            <w:tcW w:w="1203" w:type="dxa"/>
            <w:vAlign w:val="center"/>
          </w:tcPr>
          <w:p w14:paraId="24340330">
            <w:pPr>
              <w:pStyle w:val="45"/>
              <w:rPr>
                <w:rFonts w:hint="default"/>
                <w:b/>
                <w:bCs/>
              </w:rPr>
            </w:pPr>
            <w:r>
              <w:rPr>
                <w:b/>
                <w:bCs/>
              </w:rPr>
              <w:t>行业</w:t>
            </w:r>
          </w:p>
        </w:tc>
        <w:tc>
          <w:tcPr>
            <w:tcW w:w="3503" w:type="dxa"/>
            <w:vAlign w:val="center"/>
          </w:tcPr>
          <w:p w14:paraId="12B1ABA4">
            <w:pPr>
              <w:pStyle w:val="45"/>
              <w:rPr>
                <w:rFonts w:hint="default"/>
                <w:b/>
                <w:bCs/>
              </w:rPr>
            </w:pPr>
            <w:r>
              <w:rPr>
                <w:b/>
                <w:bCs/>
              </w:rPr>
              <w:t>评估依据</w:t>
            </w:r>
          </w:p>
        </w:tc>
        <w:tc>
          <w:tcPr>
            <w:tcW w:w="1009" w:type="dxa"/>
            <w:vAlign w:val="center"/>
          </w:tcPr>
          <w:p w14:paraId="547DA3D2">
            <w:pPr>
              <w:pStyle w:val="45"/>
              <w:rPr>
                <w:rFonts w:hint="default"/>
                <w:b/>
                <w:bCs/>
              </w:rPr>
            </w:pPr>
            <w:r>
              <w:rPr>
                <w:b/>
                <w:bCs/>
              </w:rPr>
              <w:t>分值标准</w:t>
            </w:r>
          </w:p>
        </w:tc>
        <w:tc>
          <w:tcPr>
            <w:tcW w:w="2124" w:type="dxa"/>
            <w:vAlign w:val="center"/>
          </w:tcPr>
          <w:p w14:paraId="05AA34C0">
            <w:pPr>
              <w:pStyle w:val="45"/>
              <w:rPr>
                <w:rFonts w:hint="default"/>
                <w:b/>
                <w:bCs/>
              </w:rPr>
            </w:pPr>
            <w:r>
              <w:rPr>
                <w:b/>
                <w:bCs/>
              </w:rPr>
              <w:t>企业水平</w:t>
            </w:r>
          </w:p>
        </w:tc>
        <w:tc>
          <w:tcPr>
            <w:tcW w:w="683" w:type="dxa"/>
            <w:vAlign w:val="center"/>
          </w:tcPr>
          <w:p w14:paraId="22154BF6">
            <w:pPr>
              <w:pStyle w:val="45"/>
              <w:rPr>
                <w:rFonts w:hint="default"/>
                <w:b/>
                <w:bCs/>
              </w:rPr>
            </w:pPr>
            <w:r>
              <w:rPr>
                <w:b/>
                <w:bCs/>
              </w:rPr>
              <w:t>评估分值</w:t>
            </w:r>
          </w:p>
        </w:tc>
      </w:tr>
      <w:tr w14:paraId="72073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1203" w:type="dxa"/>
            <w:vMerge w:val="restart"/>
            <w:vAlign w:val="center"/>
          </w:tcPr>
          <w:p w14:paraId="1542C3E9">
            <w:pPr>
              <w:pStyle w:val="45"/>
              <w:rPr>
                <w:rFonts w:hint="default"/>
              </w:rPr>
            </w:pPr>
            <w:r>
              <w:t>石化、化工、医药、轻工、化纤、有色冶炼</w:t>
            </w:r>
          </w:p>
        </w:tc>
        <w:tc>
          <w:tcPr>
            <w:tcW w:w="3503" w:type="dxa"/>
            <w:vAlign w:val="center"/>
          </w:tcPr>
          <w:p w14:paraId="602F6E1C">
            <w:pPr>
              <w:pStyle w:val="45"/>
              <w:rPr>
                <w:rFonts w:hint="default"/>
              </w:rPr>
            </w:pPr>
            <w: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1009" w:type="dxa"/>
            <w:vAlign w:val="center"/>
          </w:tcPr>
          <w:p w14:paraId="15C15653">
            <w:pPr>
              <w:pStyle w:val="45"/>
              <w:rPr>
                <w:rFonts w:hint="default"/>
              </w:rPr>
            </w:pPr>
            <w:r>
              <w:t>10/套</w:t>
            </w:r>
          </w:p>
        </w:tc>
        <w:tc>
          <w:tcPr>
            <w:tcW w:w="2124" w:type="dxa"/>
            <w:vAlign w:val="center"/>
          </w:tcPr>
          <w:p w14:paraId="75C6104C">
            <w:pPr>
              <w:pStyle w:val="45"/>
              <w:rPr>
                <w:rFonts w:hint="default"/>
              </w:rPr>
            </w:pPr>
            <w:r>
              <w:t>电解装置</w:t>
            </w:r>
            <w:r>
              <w:rPr>
                <w:rFonts w:hint="eastAsia"/>
                <w:lang w:val="en-US" w:eastAsia="zh-CN"/>
              </w:rPr>
              <w:t>3</w:t>
            </w:r>
            <w:r>
              <w:t>套</w:t>
            </w:r>
          </w:p>
        </w:tc>
        <w:tc>
          <w:tcPr>
            <w:tcW w:w="683" w:type="dxa"/>
            <w:vAlign w:val="center"/>
          </w:tcPr>
          <w:p w14:paraId="6D5D81A6">
            <w:pPr>
              <w:pStyle w:val="45"/>
              <w:rPr>
                <w:rFonts w:hint="default" w:eastAsia="宋体"/>
                <w:lang w:val="en-US" w:eastAsia="zh-CN"/>
              </w:rPr>
            </w:pPr>
            <w:r>
              <w:rPr>
                <w:rFonts w:hint="eastAsia"/>
                <w:lang w:val="en-US" w:eastAsia="zh-CN"/>
              </w:rPr>
              <w:t>30</w:t>
            </w:r>
          </w:p>
        </w:tc>
      </w:tr>
      <w:tr w14:paraId="1B2C7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1203" w:type="dxa"/>
            <w:vMerge w:val="continue"/>
            <w:vAlign w:val="center"/>
          </w:tcPr>
          <w:p w14:paraId="41965455">
            <w:pPr>
              <w:pStyle w:val="45"/>
              <w:rPr>
                <w:rFonts w:hint="default"/>
              </w:rPr>
            </w:pPr>
          </w:p>
        </w:tc>
        <w:tc>
          <w:tcPr>
            <w:tcW w:w="3503" w:type="dxa"/>
            <w:vAlign w:val="center"/>
          </w:tcPr>
          <w:p w14:paraId="6678E7D6">
            <w:pPr>
              <w:pStyle w:val="45"/>
              <w:rPr>
                <w:rFonts w:hint="default"/>
              </w:rPr>
            </w:pPr>
            <w:r>
              <w:t>无机酸制酸工艺、焦化工艺</w:t>
            </w:r>
          </w:p>
        </w:tc>
        <w:tc>
          <w:tcPr>
            <w:tcW w:w="1009" w:type="dxa"/>
            <w:vAlign w:val="center"/>
          </w:tcPr>
          <w:p w14:paraId="34AE83B4">
            <w:pPr>
              <w:pStyle w:val="45"/>
              <w:rPr>
                <w:rFonts w:hint="default"/>
              </w:rPr>
            </w:pPr>
            <w:r>
              <w:t>5/套</w:t>
            </w:r>
          </w:p>
        </w:tc>
        <w:tc>
          <w:tcPr>
            <w:tcW w:w="2124" w:type="dxa"/>
            <w:vAlign w:val="center"/>
          </w:tcPr>
          <w:p w14:paraId="7E5AFD5B">
            <w:pPr>
              <w:pStyle w:val="45"/>
              <w:rPr>
                <w:rFonts w:hint="default"/>
              </w:rPr>
            </w:pPr>
            <w:r>
              <w:t>不涉及</w:t>
            </w:r>
          </w:p>
        </w:tc>
        <w:tc>
          <w:tcPr>
            <w:tcW w:w="683" w:type="dxa"/>
            <w:vAlign w:val="center"/>
          </w:tcPr>
          <w:p w14:paraId="25904886">
            <w:pPr>
              <w:pStyle w:val="45"/>
              <w:rPr>
                <w:rFonts w:hint="default"/>
              </w:rPr>
            </w:pPr>
            <w:r>
              <w:t>0</w:t>
            </w:r>
          </w:p>
        </w:tc>
      </w:tr>
      <w:tr w14:paraId="7733A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1203" w:type="dxa"/>
            <w:vMerge w:val="continue"/>
            <w:vAlign w:val="center"/>
          </w:tcPr>
          <w:p w14:paraId="03A6543F">
            <w:pPr>
              <w:pStyle w:val="45"/>
              <w:rPr>
                <w:rFonts w:hint="default"/>
              </w:rPr>
            </w:pPr>
          </w:p>
        </w:tc>
        <w:tc>
          <w:tcPr>
            <w:tcW w:w="3503" w:type="dxa"/>
            <w:vAlign w:val="center"/>
          </w:tcPr>
          <w:p w14:paraId="3A2FC1FD">
            <w:pPr>
              <w:pStyle w:val="45"/>
              <w:rPr>
                <w:rFonts w:hint="default"/>
              </w:rPr>
            </w:pPr>
            <w:r>
              <w:t>其他高温或高压且涉及危险物质的工艺过程a、危险物质贮存罐区</w:t>
            </w:r>
          </w:p>
        </w:tc>
        <w:tc>
          <w:tcPr>
            <w:tcW w:w="1009" w:type="dxa"/>
            <w:vAlign w:val="center"/>
          </w:tcPr>
          <w:p w14:paraId="45FBD540">
            <w:pPr>
              <w:pStyle w:val="45"/>
              <w:rPr>
                <w:rFonts w:hint="default"/>
              </w:rPr>
            </w:pPr>
            <w:r>
              <w:t>5/套（罐区）</w:t>
            </w:r>
          </w:p>
        </w:tc>
        <w:tc>
          <w:tcPr>
            <w:tcW w:w="2124" w:type="dxa"/>
            <w:vAlign w:val="center"/>
          </w:tcPr>
          <w:p w14:paraId="4D33D4A2">
            <w:pPr>
              <w:pStyle w:val="45"/>
              <w:rPr>
                <w:rFonts w:hint="default"/>
              </w:rPr>
            </w:pPr>
            <w:r>
              <w:t>罐区3个（盐酸储罐、液碱储罐、氯酸钠储罐各1个）</w:t>
            </w:r>
          </w:p>
        </w:tc>
        <w:tc>
          <w:tcPr>
            <w:tcW w:w="683" w:type="dxa"/>
            <w:vAlign w:val="center"/>
          </w:tcPr>
          <w:p w14:paraId="441FFFC3">
            <w:pPr>
              <w:pStyle w:val="45"/>
              <w:rPr>
                <w:rFonts w:hint="default"/>
              </w:rPr>
            </w:pPr>
            <w:r>
              <w:t>15</w:t>
            </w:r>
          </w:p>
        </w:tc>
      </w:tr>
      <w:tr w14:paraId="72993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1203" w:type="dxa"/>
            <w:vAlign w:val="center"/>
          </w:tcPr>
          <w:p w14:paraId="395D1ED4">
            <w:pPr>
              <w:pStyle w:val="45"/>
              <w:rPr>
                <w:rFonts w:hint="default"/>
              </w:rPr>
            </w:pPr>
            <w:r>
              <w:t>管道、港口/码头等</w:t>
            </w:r>
          </w:p>
        </w:tc>
        <w:tc>
          <w:tcPr>
            <w:tcW w:w="3503" w:type="dxa"/>
            <w:vAlign w:val="center"/>
          </w:tcPr>
          <w:p w14:paraId="690D3A91">
            <w:pPr>
              <w:pStyle w:val="45"/>
              <w:rPr>
                <w:rFonts w:hint="default"/>
              </w:rPr>
            </w:pPr>
            <w:r>
              <w:t>涉及危险物质管道运输项目、港口/码头等</w:t>
            </w:r>
          </w:p>
        </w:tc>
        <w:tc>
          <w:tcPr>
            <w:tcW w:w="1009" w:type="dxa"/>
            <w:vAlign w:val="center"/>
          </w:tcPr>
          <w:p w14:paraId="30BC1958">
            <w:pPr>
              <w:pStyle w:val="45"/>
              <w:rPr>
                <w:rFonts w:hint="default"/>
              </w:rPr>
            </w:pPr>
            <w:r>
              <w:t>10</w:t>
            </w:r>
          </w:p>
        </w:tc>
        <w:tc>
          <w:tcPr>
            <w:tcW w:w="2124" w:type="dxa"/>
            <w:vAlign w:val="center"/>
          </w:tcPr>
          <w:p w14:paraId="784423FC">
            <w:pPr>
              <w:pStyle w:val="45"/>
              <w:rPr>
                <w:rFonts w:hint="default"/>
              </w:rPr>
            </w:pPr>
            <w:r>
              <w:t>不涉及</w:t>
            </w:r>
          </w:p>
        </w:tc>
        <w:tc>
          <w:tcPr>
            <w:tcW w:w="683" w:type="dxa"/>
            <w:vAlign w:val="center"/>
          </w:tcPr>
          <w:p w14:paraId="13DF4622">
            <w:pPr>
              <w:pStyle w:val="45"/>
              <w:rPr>
                <w:rFonts w:hint="default"/>
              </w:rPr>
            </w:pPr>
            <w:r>
              <w:t>0</w:t>
            </w:r>
          </w:p>
        </w:tc>
      </w:tr>
      <w:tr w14:paraId="6F5E1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1203" w:type="dxa"/>
            <w:vAlign w:val="center"/>
          </w:tcPr>
          <w:p w14:paraId="13A44938">
            <w:pPr>
              <w:pStyle w:val="45"/>
              <w:rPr>
                <w:rFonts w:hint="default"/>
              </w:rPr>
            </w:pPr>
            <w:r>
              <w:t>石油天然气</w:t>
            </w:r>
          </w:p>
        </w:tc>
        <w:tc>
          <w:tcPr>
            <w:tcW w:w="3503" w:type="dxa"/>
            <w:vAlign w:val="center"/>
          </w:tcPr>
          <w:p w14:paraId="7AE5BF22">
            <w:pPr>
              <w:pStyle w:val="45"/>
              <w:rPr>
                <w:rFonts w:hint="default"/>
              </w:rPr>
            </w:pPr>
            <w:r>
              <w:t>石油、天然气、页岩气开采(含净化），气库（不含加气站得气库），油库（不含加气站得油库）、油气管线b（不含城镇燃气管线）</w:t>
            </w:r>
          </w:p>
        </w:tc>
        <w:tc>
          <w:tcPr>
            <w:tcW w:w="1009" w:type="dxa"/>
            <w:vAlign w:val="center"/>
          </w:tcPr>
          <w:p w14:paraId="0FF87D4F">
            <w:pPr>
              <w:pStyle w:val="45"/>
              <w:rPr>
                <w:rFonts w:hint="default"/>
              </w:rPr>
            </w:pPr>
            <w:r>
              <w:t>10</w:t>
            </w:r>
          </w:p>
        </w:tc>
        <w:tc>
          <w:tcPr>
            <w:tcW w:w="2124" w:type="dxa"/>
            <w:vAlign w:val="center"/>
          </w:tcPr>
          <w:p w14:paraId="15820245">
            <w:pPr>
              <w:pStyle w:val="45"/>
              <w:rPr>
                <w:rFonts w:hint="default"/>
              </w:rPr>
            </w:pPr>
            <w:r>
              <w:t>不涉及</w:t>
            </w:r>
          </w:p>
        </w:tc>
        <w:tc>
          <w:tcPr>
            <w:tcW w:w="683" w:type="dxa"/>
            <w:vAlign w:val="center"/>
          </w:tcPr>
          <w:p w14:paraId="177BD2DD">
            <w:pPr>
              <w:pStyle w:val="45"/>
              <w:rPr>
                <w:rFonts w:hint="default"/>
              </w:rPr>
            </w:pPr>
            <w:r>
              <w:t>0</w:t>
            </w:r>
          </w:p>
        </w:tc>
      </w:tr>
      <w:tr w14:paraId="5DECA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1203" w:type="dxa"/>
            <w:vAlign w:val="center"/>
          </w:tcPr>
          <w:p w14:paraId="5BDC5880">
            <w:pPr>
              <w:pStyle w:val="45"/>
              <w:rPr>
                <w:rFonts w:hint="default"/>
              </w:rPr>
            </w:pPr>
            <w:r>
              <w:t>其他</w:t>
            </w:r>
          </w:p>
        </w:tc>
        <w:tc>
          <w:tcPr>
            <w:tcW w:w="3503" w:type="dxa"/>
            <w:vAlign w:val="center"/>
          </w:tcPr>
          <w:p w14:paraId="2BA7C759">
            <w:pPr>
              <w:pStyle w:val="45"/>
              <w:rPr>
                <w:rFonts w:hint="default"/>
              </w:rPr>
            </w:pPr>
            <w:r>
              <w:t>涉及危险物质使用、贮存的项目</w:t>
            </w:r>
          </w:p>
        </w:tc>
        <w:tc>
          <w:tcPr>
            <w:tcW w:w="1009" w:type="dxa"/>
            <w:vAlign w:val="center"/>
          </w:tcPr>
          <w:p w14:paraId="5D5E7D25">
            <w:pPr>
              <w:pStyle w:val="45"/>
              <w:rPr>
                <w:rFonts w:hint="default"/>
              </w:rPr>
            </w:pPr>
            <w:r>
              <w:t>5</w:t>
            </w:r>
          </w:p>
        </w:tc>
        <w:tc>
          <w:tcPr>
            <w:tcW w:w="2124" w:type="dxa"/>
            <w:vAlign w:val="center"/>
          </w:tcPr>
          <w:p w14:paraId="2DBFAD73">
            <w:pPr>
              <w:pStyle w:val="45"/>
              <w:rPr>
                <w:rFonts w:hint="default" w:eastAsia="宋体"/>
                <w:lang w:val="en-US" w:eastAsia="zh-CN"/>
              </w:rPr>
            </w:pPr>
            <w:r>
              <w:rPr>
                <w:rFonts w:hint="eastAsia"/>
                <w:lang w:val="en-US" w:eastAsia="zh-CN"/>
              </w:rPr>
              <w:t>危废暂存间1间、成品仓库1间、氢气气柜1座</w:t>
            </w:r>
          </w:p>
        </w:tc>
        <w:tc>
          <w:tcPr>
            <w:tcW w:w="683" w:type="dxa"/>
            <w:vAlign w:val="center"/>
          </w:tcPr>
          <w:p w14:paraId="2E8AFF98">
            <w:pPr>
              <w:pStyle w:val="45"/>
              <w:rPr>
                <w:rFonts w:hint="default" w:eastAsia="宋体"/>
                <w:lang w:val="en-US" w:eastAsia="zh-CN"/>
              </w:rPr>
            </w:pPr>
            <w:r>
              <w:rPr>
                <w:rFonts w:hint="eastAsia"/>
                <w:lang w:val="en-US" w:eastAsia="zh-CN"/>
              </w:rPr>
              <w:t>15</w:t>
            </w:r>
          </w:p>
        </w:tc>
      </w:tr>
      <w:tr w14:paraId="3DB33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 w:hRule="atLeast"/>
        </w:trPr>
        <w:tc>
          <w:tcPr>
            <w:tcW w:w="7839" w:type="dxa"/>
            <w:gridSpan w:val="4"/>
            <w:vAlign w:val="center"/>
          </w:tcPr>
          <w:p w14:paraId="64DA6028">
            <w:pPr>
              <w:pStyle w:val="45"/>
              <w:rPr>
                <w:rFonts w:hint="default"/>
              </w:rPr>
            </w:pPr>
            <w:r>
              <w:t>a高温指工艺温度≧300℃，高压指压力容器的设计压力（P）≧10.0MPa；</w:t>
            </w:r>
          </w:p>
          <w:p w14:paraId="5E2F546B">
            <w:pPr>
              <w:pStyle w:val="45"/>
              <w:rPr>
                <w:rFonts w:hint="default"/>
              </w:rPr>
            </w:pPr>
            <w:r>
              <w:t>b长输管道运输项目应按站场、管线分段进行评价。</w:t>
            </w:r>
          </w:p>
        </w:tc>
        <w:tc>
          <w:tcPr>
            <w:tcW w:w="683" w:type="dxa"/>
            <w:vAlign w:val="center"/>
          </w:tcPr>
          <w:p w14:paraId="676574BF">
            <w:pPr>
              <w:pStyle w:val="45"/>
              <w:rPr>
                <w:rFonts w:hint="default" w:eastAsia="宋体"/>
                <w:lang w:val="en-US" w:eastAsia="zh-CN"/>
              </w:rPr>
            </w:pPr>
            <w:r>
              <w:rPr>
                <w:rFonts w:hint="eastAsia"/>
                <w:lang w:val="en-US" w:eastAsia="zh-CN"/>
              </w:rPr>
              <w:t>60</w:t>
            </w:r>
          </w:p>
        </w:tc>
      </w:tr>
    </w:tbl>
    <w:p w14:paraId="69880838">
      <w:pPr>
        <w:ind w:firstLine="480"/>
      </w:pPr>
    </w:p>
    <w:p w14:paraId="014C3CB7">
      <w:pPr>
        <w:ind w:firstLine="480"/>
      </w:pPr>
      <w:r>
        <w:t>3、危险物质及工艺系统危险性（P）分级</w:t>
      </w:r>
    </w:p>
    <w:p w14:paraId="26AF0F09">
      <w:pPr>
        <w:ind w:firstLine="480"/>
        <w:rPr>
          <w:color w:val="FF0000"/>
        </w:rPr>
      </w:pPr>
      <w:r>
        <w:t>导则（HJ169-2018）根据危险物质数量与临界量比值Q和行业及生产工艺M，按照表</w:t>
      </w:r>
      <w:r>
        <w:rPr>
          <w:rFonts w:hint="eastAsia"/>
        </w:rPr>
        <w:t>8</w:t>
      </w:r>
      <w:r>
        <w:t>.1-3确定危险物质及工艺系统危险性等级P，分别以P1、P2、P3和P4表示。根据表</w:t>
      </w:r>
      <w:r>
        <w:rPr>
          <w:rFonts w:hint="eastAsia"/>
        </w:rPr>
        <w:t>8</w:t>
      </w:r>
      <w:r>
        <w:t>.1-3，本项目</w:t>
      </w:r>
      <w:r>
        <w:rPr>
          <w:rFonts w:hint="eastAsia"/>
        </w:rPr>
        <w:t>建成后全厂的</w:t>
      </w:r>
      <w:r>
        <w:t>危险物质及工艺系统危险性等级为P1。</w:t>
      </w:r>
    </w:p>
    <w:p w14:paraId="7A9B4214">
      <w:pPr>
        <w:pStyle w:val="43"/>
        <w:numPr>
          <w:ilvl w:val="5"/>
          <w:numId w:val="1"/>
        </w:numPr>
        <w:rPr>
          <w:rFonts w:hint="default"/>
        </w:rPr>
      </w:pPr>
      <w:r>
        <w:t>全厂的危险物质及工艺系统危险性等级判断</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5"/>
        <w:gridCol w:w="1705"/>
        <w:gridCol w:w="1706"/>
        <w:gridCol w:w="1706"/>
        <w:gridCol w:w="1706"/>
      </w:tblGrid>
      <w:tr w14:paraId="5321C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5" w:type="dxa"/>
            <w:vMerge w:val="restart"/>
            <w:shd w:val="clear" w:color="auto" w:fill="auto"/>
            <w:vAlign w:val="center"/>
          </w:tcPr>
          <w:p w14:paraId="44CB1213">
            <w:pPr>
              <w:pStyle w:val="45"/>
              <w:rPr>
                <w:rFonts w:hint="default"/>
                <w:b/>
                <w:bCs/>
              </w:rPr>
            </w:pPr>
            <w:r>
              <w:rPr>
                <w:rFonts w:hint="default"/>
                <w:b/>
                <w:bCs/>
              </w:rPr>
              <w:t>危险物质数量与临界量比值Q</w:t>
            </w:r>
          </w:p>
        </w:tc>
        <w:tc>
          <w:tcPr>
            <w:tcW w:w="6823" w:type="dxa"/>
            <w:gridSpan w:val="4"/>
            <w:shd w:val="clear" w:color="auto" w:fill="auto"/>
            <w:vAlign w:val="center"/>
          </w:tcPr>
          <w:p w14:paraId="4FFB2D0D">
            <w:pPr>
              <w:pStyle w:val="45"/>
              <w:rPr>
                <w:rFonts w:hint="default"/>
                <w:b/>
                <w:bCs/>
              </w:rPr>
            </w:pPr>
            <w:r>
              <w:rPr>
                <w:rFonts w:hint="default"/>
                <w:b/>
                <w:bCs/>
              </w:rPr>
              <w:t>行业及生产工艺M</w:t>
            </w:r>
          </w:p>
        </w:tc>
      </w:tr>
      <w:tr w14:paraId="48D55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5" w:type="dxa"/>
            <w:vMerge w:val="continue"/>
            <w:shd w:val="clear" w:color="auto" w:fill="auto"/>
            <w:vAlign w:val="center"/>
          </w:tcPr>
          <w:p w14:paraId="313F053D">
            <w:pPr>
              <w:pStyle w:val="45"/>
              <w:rPr>
                <w:rFonts w:hint="default"/>
                <w:b/>
                <w:bCs/>
              </w:rPr>
            </w:pPr>
          </w:p>
        </w:tc>
        <w:tc>
          <w:tcPr>
            <w:tcW w:w="1705" w:type="dxa"/>
            <w:shd w:val="clear" w:color="auto" w:fill="auto"/>
            <w:vAlign w:val="center"/>
          </w:tcPr>
          <w:p w14:paraId="7241B16D">
            <w:pPr>
              <w:pStyle w:val="45"/>
              <w:rPr>
                <w:rFonts w:hint="default"/>
                <w:b/>
                <w:bCs/>
              </w:rPr>
            </w:pPr>
            <w:r>
              <w:rPr>
                <w:rFonts w:hint="default"/>
                <w:b/>
                <w:bCs/>
              </w:rPr>
              <w:t>M1</w:t>
            </w:r>
          </w:p>
        </w:tc>
        <w:tc>
          <w:tcPr>
            <w:tcW w:w="1706" w:type="dxa"/>
            <w:shd w:val="clear" w:color="auto" w:fill="auto"/>
            <w:vAlign w:val="center"/>
          </w:tcPr>
          <w:p w14:paraId="39E00B61">
            <w:pPr>
              <w:pStyle w:val="45"/>
              <w:rPr>
                <w:rFonts w:hint="default"/>
                <w:b/>
                <w:bCs/>
              </w:rPr>
            </w:pPr>
            <w:r>
              <w:rPr>
                <w:rFonts w:hint="default"/>
                <w:b/>
                <w:bCs/>
              </w:rPr>
              <w:t>M2</w:t>
            </w:r>
          </w:p>
        </w:tc>
        <w:tc>
          <w:tcPr>
            <w:tcW w:w="1706" w:type="dxa"/>
            <w:shd w:val="clear" w:color="auto" w:fill="auto"/>
            <w:vAlign w:val="center"/>
          </w:tcPr>
          <w:p w14:paraId="3D9FFB4C">
            <w:pPr>
              <w:pStyle w:val="45"/>
              <w:rPr>
                <w:rFonts w:hint="default"/>
                <w:b/>
                <w:bCs/>
              </w:rPr>
            </w:pPr>
            <w:r>
              <w:rPr>
                <w:rFonts w:hint="default"/>
                <w:b/>
                <w:bCs/>
              </w:rPr>
              <w:t>M3</w:t>
            </w:r>
          </w:p>
        </w:tc>
        <w:tc>
          <w:tcPr>
            <w:tcW w:w="1706" w:type="dxa"/>
            <w:shd w:val="clear" w:color="auto" w:fill="auto"/>
            <w:vAlign w:val="center"/>
          </w:tcPr>
          <w:p w14:paraId="4DC9AD28">
            <w:pPr>
              <w:pStyle w:val="45"/>
              <w:rPr>
                <w:rFonts w:hint="default"/>
                <w:b/>
                <w:bCs/>
              </w:rPr>
            </w:pPr>
            <w:r>
              <w:rPr>
                <w:rFonts w:hint="default"/>
                <w:b/>
                <w:bCs/>
              </w:rPr>
              <w:t>M4</w:t>
            </w:r>
          </w:p>
        </w:tc>
      </w:tr>
      <w:tr w14:paraId="7E4D9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5" w:type="dxa"/>
            <w:shd w:val="clear" w:color="auto" w:fill="auto"/>
            <w:vAlign w:val="center"/>
          </w:tcPr>
          <w:p w14:paraId="577435F8">
            <w:pPr>
              <w:pStyle w:val="45"/>
              <w:rPr>
                <w:rFonts w:hint="default"/>
              </w:rPr>
            </w:pPr>
            <w:r>
              <w:rPr>
                <w:rFonts w:hint="default"/>
              </w:rPr>
              <w:t>Q≧100</w:t>
            </w:r>
          </w:p>
        </w:tc>
        <w:tc>
          <w:tcPr>
            <w:tcW w:w="1705" w:type="dxa"/>
            <w:shd w:val="clear" w:color="auto" w:fill="auto"/>
            <w:vAlign w:val="center"/>
          </w:tcPr>
          <w:p w14:paraId="4DCE48E0">
            <w:pPr>
              <w:pStyle w:val="45"/>
              <w:rPr>
                <w:rFonts w:hint="default"/>
              </w:rPr>
            </w:pPr>
            <w:r>
              <w:rPr>
                <w:rFonts w:hint="default"/>
              </w:rPr>
              <w:t>P1</w:t>
            </w:r>
          </w:p>
        </w:tc>
        <w:tc>
          <w:tcPr>
            <w:tcW w:w="1706" w:type="dxa"/>
            <w:shd w:val="clear" w:color="auto" w:fill="auto"/>
            <w:vAlign w:val="center"/>
          </w:tcPr>
          <w:p w14:paraId="20E3418C">
            <w:pPr>
              <w:pStyle w:val="45"/>
              <w:rPr>
                <w:rFonts w:hint="default"/>
              </w:rPr>
            </w:pPr>
            <w:r>
              <w:rPr>
                <w:rFonts w:hint="default"/>
              </w:rPr>
              <w:t>P1</w:t>
            </w:r>
          </w:p>
        </w:tc>
        <w:tc>
          <w:tcPr>
            <w:tcW w:w="1706" w:type="dxa"/>
            <w:shd w:val="clear" w:color="auto" w:fill="auto"/>
            <w:vAlign w:val="center"/>
          </w:tcPr>
          <w:p w14:paraId="279BD361">
            <w:pPr>
              <w:pStyle w:val="45"/>
              <w:rPr>
                <w:rFonts w:hint="default"/>
              </w:rPr>
            </w:pPr>
            <w:r>
              <w:rPr>
                <w:rFonts w:hint="default"/>
              </w:rPr>
              <w:t>P2</w:t>
            </w:r>
          </w:p>
        </w:tc>
        <w:tc>
          <w:tcPr>
            <w:tcW w:w="1706" w:type="dxa"/>
            <w:shd w:val="clear" w:color="auto" w:fill="auto"/>
            <w:vAlign w:val="center"/>
          </w:tcPr>
          <w:p w14:paraId="287A38B5">
            <w:pPr>
              <w:pStyle w:val="45"/>
              <w:rPr>
                <w:rFonts w:hint="default"/>
              </w:rPr>
            </w:pPr>
            <w:r>
              <w:rPr>
                <w:rFonts w:hint="default"/>
              </w:rPr>
              <w:t>P3</w:t>
            </w:r>
          </w:p>
        </w:tc>
      </w:tr>
      <w:tr w14:paraId="580C8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5" w:type="dxa"/>
            <w:shd w:val="clear" w:color="auto" w:fill="auto"/>
            <w:vAlign w:val="center"/>
          </w:tcPr>
          <w:p w14:paraId="60B28DE0">
            <w:pPr>
              <w:pStyle w:val="45"/>
              <w:rPr>
                <w:rFonts w:hint="default"/>
              </w:rPr>
            </w:pPr>
            <w:r>
              <w:rPr>
                <w:rFonts w:hint="default"/>
              </w:rPr>
              <w:t>10≦Q&lt;100</w:t>
            </w:r>
          </w:p>
        </w:tc>
        <w:tc>
          <w:tcPr>
            <w:tcW w:w="1705" w:type="dxa"/>
            <w:shd w:val="clear" w:color="auto" w:fill="E7E6E6" w:themeFill="background2"/>
            <w:vAlign w:val="center"/>
          </w:tcPr>
          <w:p w14:paraId="355F3096">
            <w:pPr>
              <w:pStyle w:val="45"/>
              <w:rPr>
                <w:rFonts w:hint="default"/>
              </w:rPr>
            </w:pPr>
            <w:r>
              <w:rPr>
                <w:rFonts w:hint="default"/>
                <w:shd w:val="clear" w:color="auto" w:fill="E7E6E6" w:themeFill="background2"/>
              </w:rPr>
              <w:t>P1</w:t>
            </w:r>
          </w:p>
        </w:tc>
        <w:tc>
          <w:tcPr>
            <w:tcW w:w="1706" w:type="dxa"/>
            <w:shd w:val="clear" w:color="auto" w:fill="auto"/>
            <w:vAlign w:val="center"/>
          </w:tcPr>
          <w:p w14:paraId="7C30704B">
            <w:pPr>
              <w:pStyle w:val="45"/>
              <w:rPr>
                <w:rFonts w:hint="default"/>
              </w:rPr>
            </w:pPr>
            <w:r>
              <w:rPr>
                <w:rFonts w:hint="default"/>
              </w:rPr>
              <w:t>P2</w:t>
            </w:r>
          </w:p>
        </w:tc>
        <w:tc>
          <w:tcPr>
            <w:tcW w:w="1706" w:type="dxa"/>
            <w:shd w:val="clear" w:color="auto" w:fill="auto"/>
            <w:vAlign w:val="center"/>
          </w:tcPr>
          <w:p w14:paraId="17BB19D0">
            <w:pPr>
              <w:pStyle w:val="45"/>
              <w:rPr>
                <w:rFonts w:hint="default"/>
              </w:rPr>
            </w:pPr>
            <w:r>
              <w:rPr>
                <w:rFonts w:hint="default"/>
              </w:rPr>
              <w:t>P3</w:t>
            </w:r>
          </w:p>
        </w:tc>
        <w:tc>
          <w:tcPr>
            <w:tcW w:w="1706" w:type="dxa"/>
            <w:shd w:val="clear" w:color="auto" w:fill="auto"/>
            <w:vAlign w:val="center"/>
          </w:tcPr>
          <w:p w14:paraId="545F6F22">
            <w:pPr>
              <w:pStyle w:val="45"/>
              <w:rPr>
                <w:rFonts w:hint="default"/>
              </w:rPr>
            </w:pPr>
            <w:r>
              <w:rPr>
                <w:rFonts w:hint="default"/>
              </w:rPr>
              <w:t>P4</w:t>
            </w:r>
          </w:p>
        </w:tc>
      </w:tr>
      <w:tr w14:paraId="29FB6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5" w:type="dxa"/>
            <w:shd w:val="clear" w:color="auto" w:fill="auto"/>
            <w:vAlign w:val="center"/>
          </w:tcPr>
          <w:p w14:paraId="78E19D07">
            <w:pPr>
              <w:pStyle w:val="45"/>
              <w:rPr>
                <w:rFonts w:hint="default"/>
              </w:rPr>
            </w:pPr>
            <w:r>
              <w:rPr>
                <w:rFonts w:hint="default"/>
              </w:rPr>
              <w:t>1≦Q&lt;10</w:t>
            </w:r>
          </w:p>
        </w:tc>
        <w:tc>
          <w:tcPr>
            <w:tcW w:w="1705" w:type="dxa"/>
            <w:shd w:val="clear" w:color="auto" w:fill="auto"/>
            <w:vAlign w:val="center"/>
          </w:tcPr>
          <w:p w14:paraId="11E0CC5F">
            <w:pPr>
              <w:pStyle w:val="45"/>
              <w:rPr>
                <w:rFonts w:hint="default"/>
              </w:rPr>
            </w:pPr>
            <w:r>
              <w:rPr>
                <w:rFonts w:hint="default"/>
              </w:rPr>
              <w:t>P2</w:t>
            </w:r>
          </w:p>
        </w:tc>
        <w:tc>
          <w:tcPr>
            <w:tcW w:w="1706" w:type="dxa"/>
            <w:shd w:val="clear" w:color="auto" w:fill="auto"/>
            <w:vAlign w:val="center"/>
          </w:tcPr>
          <w:p w14:paraId="3E5AC755">
            <w:pPr>
              <w:pStyle w:val="45"/>
              <w:rPr>
                <w:rFonts w:hint="default"/>
              </w:rPr>
            </w:pPr>
            <w:r>
              <w:rPr>
                <w:rFonts w:hint="default"/>
              </w:rPr>
              <w:t>P3</w:t>
            </w:r>
          </w:p>
        </w:tc>
        <w:tc>
          <w:tcPr>
            <w:tcW w:w="1706" w:type="dxa"/>
            <w:shd w:val="clear" w:color="auto" w:fill="auto"/>
            <w:vAlign w:val="center"/>
          </w:tcPr>
          <w:p w14:paraId="185B45D7">
            <w:pPr>
              <w:pStyle w:val="45"/>
              <w:rPr>
                <w:rFonts w:hint="default"/>
              </w:rPr>
            </w:pPr>
            <w:r>
              <w:rPr>
                <w:rFonts w:hint="default"/>
              </w:rPr>
              <w:t>P4</w:t>
            </w:r>
          </w:p>
        </w:tc>
        <w:tc>
          <w:tcPr>
            <w:tcW w:w="1706" w:type="dxa"/>
            <w:shd w:val="clear" w:color="auto" w:fill="auto"/>
            <w:vAlign w:val="center"/>
          </w:tcPr>
          <w:p w14:paraId="7B95863C">
            <w:pPr>
              <w:pStyle w:val="45"/>
              <w:rPr>
                <w:rFonts w:hint="default"/>
              </w:rPr>
            </w:pPr>
            <w:r>
              <w:rPr>
                <w:rFonts w:hint="default"/>
              </w:rPr>
              <w:t>P4</w:t>
            </w:r>
          </w:p>
        </w:tc>
      </w:tr>
    </w:tbl>
    <w:p w14:paraId="55F834B4">
      <w:pPr>
        <w:spacing w:line="240" w:lineRule="auto"/>
        <w:ind w:firstLine="480"/>
      </w:pPr>
    </w:p>
    <w:p w14:paraId="4A7A022F">
      <w:pPr>
        <w:ind w:firstLine="480"/>
      </w:pPr>
      <w:r>
        <w:t>4、环境敏感程度（E）的分级</w:t>
      </w:r>
    </w:p>
    <w:p w14:paraId="13EF583C">
      <w:pPr>
        <w:ind w:firstLine="480"/>
      </w:pPr>
      <w:r>
        <w:t>①大气环境</w:t>
      </w:r>
    </w:p>
    <w:p w14:paraId="61591967">
      <w:pPr>
        <w:ind w:firstLine="480"/>
      </w:pPr>
      <w:r>
        <w:t>根据表</w:t>
      </w:r>
      <w:r>
        <w:rPr>
          <w:rFonts w:hint="eastAsia"/>
          <w:lang w:val="en-US" w:eastAsia="zh-CN"/>
        </w:rPr>
        <w:t>8</w:t>
      </w:r>
      <w:r>
        <w:t>.1-4，本项目所在地周边5km范围内人口总数大于5万人，属于E1类环境高度敏感区。</w:t>
      </w:r>
    </w:p>
    <w:p w14:paraId="500141B1">
      <w:pPr>
        <w:pStyle w:val="43"/>
        <w:numPr>
          <w:ilvl w:val="5"/>
          <w:numId w:val="1"/>
        </w:numPr>
        <w:rPr>
          <w:rFonts w:hint="default"/>
        </w:rPr>
      </w:pPr>
      <w:r>
        <w:t>大气环境敏感分级</w:t>
      </w:r>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7"/>
        <w:gridCol w:w="7395"/>
      </w:tblGrid>
      <w:tr w14:paraId="4CB54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1127" w:type="dxa"/>
            <w:vAlign w:val="center"/>
          </w:tcPr>
          <w:p w14:paraId="39743D4D">
            <w:pPr>
              <w:pStyle w:val="45"/>
              <w:rPr>
                <w:rFonts w:hint="default"/>
                <w:b/>
                <w:bCs/>
              </w:rPr>
            </w:pPr>
            <w:r>
              <w:rPr>
                <w:b/>
                <w:bCs/>
              </w:rPr>
              <w:t>分级</w:t>
            </w:r>
          </w:p>
        </w:tc>
        <w:tc>
          <w:tcPr>
            <w:tcW w:w="7395" w:type="dxa"/>
            <w:vAlign w:val="center"/>
          </w:tcPr>
          <w:p w14:paraId="6537F324">
            <w:pPr>
              <w:pStyle w:val="45"/>
              <w:rPr>
                <w:rFonts w:hint="default"/>
                <w:b/>
                <w:bCs/>
              </w:rPr>
            </w:pPr>
            <w:r>
              <w:rPr>
                <w:b/>
                <w:bCs/>
              </w:rPr>
              <w:t>大气环境敏感性</w:t>
            </w:r>
          </w:p>
        </w:tc>
      </w:tr>
      <w:tr w14:paraId="0A5BB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0" w:hRule="atLeast"/>
          <w:jc w:val="center"/>
        </w:trPr>
        <w:tc>
          <w:tcPr>
            <w:tcW w:w="1127" w:type="dxa"/>
            <w:shd w:val="clear" w:color="auto" w:fill="E7E6E6" w:themeFill="background2"/>
            <w:vAlign w:val="center"/>
          </w:tcPr>
          <w:p w14:paraId="196D7930">
            <w:pPr>
              <w:pStyle w:val="45"/>
              <w:rPr>
                <w:rFonts w:hint="default"/>
              </w:rPr>
            </w:pPr>
            <w:r>
              <w:t>E1（环境高度敏感区）</w:t>
            </w:r>
          </w:p>
        </w:tc>
        <w:tc>
          <w:tcPr>
            <w:tcW w:w="7395" w:type="dxa"/>
            <w:shd w:val="clear" w:color="auto" w:fill="E7E6E6" w:themeFill="background2"/>
            <w:vAlign w:val="center"/>
          </w:tcPr>
          <w:p w14:paraId="121C7F02">
            <w:pPr>
              <w:pStyle w:val="45"/>
              <w:rPr>
                <w:rFonts w:hint="default"/>
              </w:rPr>
            </w:pPr>
            <w:r>
              <w:t>周边5 km范围内居住区、医疗卫生、文化教育、科研、行政办公等机构人口总数大于5万人，或其他需要特殊保护区域；或周边500m范围内人口总数大于1000人；油气、化学品输送管线管段周边200m范围内，每干米管段人口数大于200人</w:t>
            </w:r>
          </w:p>
        </w:tc>
      </w:tr>
      <w:tr w14:paraId="34C5B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atLeast"/>
          <w:jc w:val="center"/>
        </w:trPr>
        <w:tc>
          <w:tcPr>
            <w:tcW w:w="1127" w:type="dxa"/>
            <w:vAlign w:val="center"/>
          </w:tcPr>
          <w:p w14:paraId="0E1C63A3">
            <w:pPr>
              <w:pStyle w:val="45"/>
              <w:rPr>
                <w:rFonts w:hint="default"/>
              </w:rPr>
            </w:pPr>
            <w:r>
              <w:t>E2（环境中度敏感区）</w:t>
            </w:r>
          </w:p>
        </w:tc>
        <w:tc>
          <w:tcPr>
            <w:tcW w:w="7395" w:type="dxa"/>
            <w:vAlign w:val="center"/>
          </w:tcPr>
          <w:p w14:paraId="6D58368A">
            <w:pPr>
              <w:pStyle w:val="45"/>
              <w:rPr>
                <w:rFonts w:hint="default"/>
              </w:rPr>
            </w:pPr>
            <w: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r>
      <w:tr w14:paraId="05E65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7" w:type="dxa"/>
            <w:vAlign w:val="center"/>
          </w:tcPr>
          <w:p w14:paraId="6711A1CD">
            <w:pPr>
              <w:pStyle w:val="45"/>
              <w:rPr>
                <w:rFonts w:hint="default"/>
              </w:rPr>
            </w:pPr>
            <w:r>
              <w:t>E3（环境低度敏感区）</w:t>
            </w:r>
          </w:p>
        </w:tc>
        <w:tc>
          <w:tcPr>
            <w:tcW w:w="7395" w:type="dxa"/>
            <w:vAlign w:val="center"/>
          </w:tcPr>
          <w:p w14:paraId="085B2C08">
            <w:pPr>
              <w:pStyle w:val="45"/>
              <w:rPr>
                <w:rFonts w:hint="default"/>
              </w:rPr>
            </w:pPr>
            <w:r>
              <w:t>周边5km范围内居住区、医疗卫生、文化教育、科研、行政办公等机构人口总数小于1万人；或周边500 m范围内人口总数小于500人；油气、化学品输送管线管段周边200 m范围内，每千米管段人口数小于100人</w:t>
            </w:r>
          </w:p>
        </w:tc>
      </w:tr>
    </w:tbl>
    <w:p w14:paraId="4BF7E6A5">
      <w:pPr>
        <w:spacing w:line="240" w:lineRule="auto"/>
        <w:ind w:firstLine="480"/>
      </w:pPr>
    </w:p>
    <w:p w14:paraId="4FFEB1C2">
      <w:pPr>
        <w:ind w:firstLine="480"/>
      </w:pPr>
      <w:r>
        <w:t>②地表水环境</w:t>
      </w:r>
    </w:p>
    <w:p w14:paraId="5B648720">
      <w:pPr>
        <w:ind w:firstLine="480"/>
      </w:pPr>
      <w:r>
        <w:t>本项目事故情况下危险物质泄漏到水体的排放点进入地表水水域环境功能为Ⅲ类，根据表</w:t>
      </w:r>
      <w:r>
        <w:rPr>
          <w:rFonts w:hint="eastAsia"/>
        </w:rPr>
        <w:t>8</w:t>
      </w:r>
      <w:r>
        <w:t>.1-5，项目地表水功能敏感性为较敏感F2。本项目事故情况下排放点下游(顺水流向)10km范围内有表</w:t>
      </w:r>
      <w:r>
        <w:rPr>
          <w:rFonts w:hint="eastAsia"/>
        </w:rPr>
        <w:t>8.</w:t>
      </w:r>
      <w:r>
        <w:t>1-6中类型S1包括的敏感保护目标（水产种质资源保护区实验区），因此环境敏感目标等级为S1。根据表</w:t>
      </w:r>
      <w:r>
        <w:rPr>
          <w:rFonts w:hint="eastAsia"/>
        </w:rPr>
        <w:t>8</w:t>
      </w:r>
      <w:r>
        <w:t>.1-7，本项目地表水环境敏感程度为E1类环境高度敏感区。</w:t>
      </w:r>
    </w:p>
    <w:p w14:paraId="07AFCDCE">
      <w:pPr>
        <w:pStyle w:val="43"/>
        <w:numPr>
          <w:ilvl w:val="5"/>
          <w:numId w:val="1"/>
        </w:numPr>
        <w:rPr>
          <w:rFonts w:hint="default"/>
        </w:rPr>
      </w:pPr>
      <w:r>
        <w:t>地表水功能敏感性分区</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1"/>
        <w:gridCol w:w="7317"/>
      </w:tblGrid>
      <w:tr w14:paraId="67DD3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1" w:type="dxa"/>
            <w:vAlign w:val="center"/>
          </w:tcPr>
          <w:p w14:paraId="3105CCF2">
            <w:pPr>
              <w:pStyle w:val="45"/>
              <w:rPr>
                <w:rFonts w:hint="default"/>
                <w:b/>
                <w:bCs/>
              </w:rPr>
            </w:pPr>
            <w:r>
              <w:rPr>
                <w:b/>
                <w:bCs/>
              </w:rPr>
              <w:t>敏感性</w:t>
            </w:r>
          </w:p>
        </w:tc>
        <w:tc>
          <w:tcPr>
            <w:tcW w:w="7317" w:type="dxa"/>
            <w:vAlign w:val="center"/>
          </w:tcPr>
          <w:p w14:paraId="23B808B4">
            <w:pPr>
              <w:pStyle w:val="45"/>
              <w:rPr>
                <w:rFonts w:hint="default"/>
                <w:b/>
                <w:bCs/>
              </w:rPr>
            </w:pPr>
            <w:r>
              <w:rPr>
                <w:b/>
                <w:bCs/>
              </w:rPr>
              <w:t>地表水环境敏感特性</w:t>
            </w:r>
          </w:p>
        </w:tc>
      </w:tr>
      <w:tr w14:paraId="51E3C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1" w:type="dxa"/>
            <w:vAlign w:val="center"/>
          </w:tcPr>
          <w:p w14:paraId="344D3336">
            <w:pPr>
              <w:pStyle w:val="45"/>
              <w:rPr>
                <w:rFonts w:hint="default"/>
              </w:rPr>
            </w:pPr>
            <w:r>
              <w:t>敏感F1</w:t>
            </w:r>
          </w:p>
        </w:tc>
        <w:tc>
          <w:tcPr>
            <w:tcW w:w="7317" w:type="dxa"/>
            <w:vAlign w:val="center"/>
          </w:tcPr>
          <w:p w14:paraId="280F81BA">
            <w:pPr>
              <w:pStyle w:val="45"/>
              <w:rPr>
                <w:rFonts w:hint="default"/>
              </w:rPr>
            </w:pPr>
            <w:r>
              <w:t>排放点进入地表水水域环境功能为Ⅱ类及以上，或海水水质分类第一类；或以发生事故时，危险物质泄漏到水体的排放点算起，排放进入受纳河流最大流速时，24h流经范围内涉跨国界的</w:t>
            </w:r>
          </w:p>
        </w:tc>
      </w:tr>
      <w:tr w14:paraId="29059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1" w:type="dxa"/>
            <w:shd w:val="clear" w:color="auto" w:fill="E7E6E6" w:themeFill="background2"/>
            <w:vAlign w:val="center"/>
          </w:tcPr>
          <w:p w14:paraId="6389DA16">
            <w:pPr>
              <w:pStyle w:val="45"/>
              <w:rPr>
                <w:rFonts w:hint="default"/>
              </w:rPr>
            </w:pPr>
            <w:r>
              <w:t>较敏感F2</w:t>
            </w:r>
          </w:p>
        </w:tc>
        <w:tc>
          <w:tcPr>
            <w:tcW w:w="7317" w:type="dxa"/>
            <w:shd w:val="clear" w:color="auto" w:fill="E7E6E6" w:themeFill="background2"/>
            <w:vAlign w:val="center"/>
          </w:tcPr>
          <w:p w14:paraId="65906F21">
            <w:pPr>
              <w:pStyle w:val="45"/>
              <w:rPr>
                <w:rFonts w:hint="default"/>
              </w:rPr>
            </w:pPr>
            <w:r>
              <w:t>排放点进入地表水水城环境功能为Ⅲ类，或海水水质分类第二类；</w:t>
            </w:r>
          </w:p>
          <w:p w14:paraId="3081DE51">
            <w:pPr>
              <w:pStyle w:val="45"/>
              <w:rPr>
                <w:rFonts w:hint="default"/>
              </w:rPr>
            </w:pPr>
            <w:r>
              <w:t>或以发生事故时，危险物质泄漏到水体的排放点算起，排放进入受纳河流最大流速时，24 h流经范围内涉跨省界的</w:t>
            </w:r>
          </w:p>
        </w:tc>
      </w:tr>
      <w:tr w14:paraId="2FBF3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1" w:type="dxa"/>
            <w:vAlign w:val="center"/>
          </w:tcPr>
          <w:p w14:paraId="77B09FD8">
            <w:pPr>
              <w:pStyle w:val="45"/>
              <w:rPr>
                <w:rFonts w:hint="default"/>
              </w:rPr>
            </w:pPr>
            <w:r>
              <w:t>低敏感F3</w:t>
            </w:r>
          </w:p>
        </w:tc>
        <w:tc>
          <w:tcPr>
            <w:tcW w:w="7317" w:type="dxa"/>
            <w:vAlign w:val="center"/>
          </w:tcPr>
          <w:p w14:paraId="0E534BF6">
            <w:pPr>
              <w:pStyle w:val="45"/>
              <w:rPr>
                <w:rFonts w:hint="default"/>
              </w:rPr>
            </w:pPr>
            <w:r>
              <w:t>上述地区之外的其他地区</w:t>
            </w:r>
          </w:p>
        </w:tc>
      </w:tr>
    </w:tbl>
    <w:p w14:paraId="1137F74E">
      <w:pPr>
        <w:spacing w:line="240" w:lineRule="auto"/>
        <w:ind w:firstLine="480"/>
      </w:pPr>
    </w:p>
    <w:p w14:paraId="70B417B0">
      <w:pPr>
        <w:spacing w:line="240" w:lineRule="auto"/>
        <w:ind w:firstLine="480"/>
      </w:pPr>
    </w:p>
    <w:p w14:paraId="4DB39EF7">
      <w:pPr>
        <w:spacing w:line="240" w:lineRule="auto"/>
        <w:ind w:firstLine="48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0E485C54">
      <w:pPr>
        <w:pStyle w:val="43"/>
        <w:numPr>
          <w:ilvl w:val="5"/>
          <w:numId w:val="1"/>
        </w:numPr>
        <w:rPr>
          <w:rFonts w:hint="default"/>
        </w:rPr>
      </w:pPr>
      <w:r>
        <w:t>环境敏感目标分级</w:t>
      </w:r>
    </w:p>
    <w:tbl>
      <w:tblPr>
        <w:tblStyle w:val="32"/>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1"/>
        <w:gridCol w:w="7667"/>
      </w:tblGrid>
      <w:tr w14:paraId="7269D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tblHeader/>
          <w:jc w:val="center"/>
        </w:trPr>
        <w:tc>
          <w:tcPr>
            <w:tcW w:w="861" w:type="dxa"/>
            <w:vAlign w:val="center"/>
          </w:tcPr>
          <w:p w14:paraId="16327439">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分级</w:t>
            </w:r>
          </w:p>
        </w:tc>
        <w:tc>
          <w:tcPr>
            <w:tcW w:w="7667" w:type="dxa"/>
            <w:vAlign w:val="center"/>
          </w:tcPr>
          <w:p w14:paraId="2D05C948">
            <w:pPr>
              <w:snapToGrid w:val="0"/>
              <w:spacing w:line="240" w:lineRule="auto"/>
              <w:ind w:firstLine="0" w:firstLineChars="0"/>
              <w:jc w:val="center"/>
              <w:textAlignment w:val="baseline"/>
              <w:rPr>
                <w:rFonts w:cs="Times New Roman"/>
                <w:b/>
                <w:bCs/>
                <w:kern w:val="0"/>
                <w:sz w:val="21"/>
                <w:szCs w:val="21"/>
              </w:rPr>
            </w:pPr>
            <w:r>
              <w:rPr>
                <w:rFonts w:hint="eastAsia" w:cs="Times New Roman"/>
                <w:b/>
                <w:bCs/>
                <w:kern w:val="0"/>
                <w:sz w:val="21"/>
                <w:szCs w:val="21"/>
              </w:rPr>
              <w:t>环境敏感目标</w:t>
            </w:r>
          </w:p>
        </w:tc>
      </w:tr>
      <w:tr w14:paraId="72663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5" w:hRule="atLeast"/>
          <w:jc w:val="center"/>
        </w:trPr>
        <w:tc>
          <w:tcPr>
            <w:tcW w:w="861" w:type="dxa"/>
            <w:shd w:val="clear" w:color="auto" w:fill="E7E6E6" w:themeFill="background2"/>
            <w:vAlign w:val="center"/>
          </w:tcPr>
          <w:p w14:paraId="78A55C29">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S1</w:t>
            </w:r>
          </w:p>
        </w:tc>
        <w:tc>
          <w:tcPr>
            <w:tcW w:w="7667" w:type="dxa"/>
            <w:shd w:val="clear" w:color="auto" w:fill="E7E6E6" w:themeFill="background2"/>
            <w:vAlign w:val="center"/>
          </w:tcPr>
          <w:p w14:paraId="5BF4DA73">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发生事故时，危险物质泄湘到内陆水体的排放点下游(顺水流向) 10 km范围内、近岸海域一个潮周期水质点可能达到的最大水平距离的两信范围内，有如下一类或多类环境风险受体：集中式地表水饮用水水源保护区(包括一级保护区、 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14:paraId="4B781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9" w:hRule="atLeast"/>
          <w:jc w:val="center"/>
        </w:trPr>
        <w:tc>
          <w:tcPr>
            <w:tcW w:w="861" w:type="dxa"/>
            <w:vAlign w:val="center"/>
          </w:tcPr>
          <w:p w14:paraId="4C87968F">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S2</w:t>
            </w:r>
          </w:p>
        </w:tc>
        <w:tc>
          <w:tcPr>
            <w:tcW w:w="7667" w:type="dxa"/>
            <w:vAlign w:val="center"/>
          </w:tcPr>
          <w:p w14:paraId="58A5194D">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发生事故时，危险物质泄漏到内陆水体的排放点下游(顺水流向) 10km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14:paraId="1753E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0" w:hRule="atLeast"/>
          <w:jc w:val="center"/>
        </w:trPr>
        <w:tc>
          <w:tcPr>
            <w:tcW w:w="861" w:type="dxa"/>
            <w:vAlign w:val="center"/>
          </w:tcPr>
          <w:p w14:paraId="3F684DD4">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S3</w:t>
            </w:r>
          </w:p>
        </w:tc>
        <w:tc>
          <w:tcPr>
            <w:tcW w:w="7667" w:type="dxa"/>
            <w:vAlign w:val="center"/>
          </w:tcPr>
          <w:p w14:paraId="4D78125C">
            <w:pPr>
              <w:snapToGrid w:val="0"/>
              <w:spacing w:line="240" w:lineRule="auto"/>
              <w:ind w:firstLine="0" w:firstLineChars="0"/>
              <w:jc w:val="center"/>
              <w:textAlignment w:val="baseline"/>
              <w:rPr>
                <w:rFonts w:cs="Times New Roman"/>
                <w:kern w:val="0"/>
                <w:sz w:val="21"/>
                <w:szCs w:val="21"/>
              </w:rPr>
            </w:pPr>
            <w:r>
              <w:rPr>
                <w:rFonts w:hint="eastAsia" w:cs="Times New Roman"/>
                <w:kern w:val="0"/>
                <w:sz w:val="21"/>
                <w:szCs w:val="21"/>
              </w:rPr>
              <w:t>排放点下游(顺水流向)10km范围、近岸海域一个潮周期水质点可能达到的最大水平距离的两倍范围内无上述类型1和类型2包括的敏感保护目标</w:t>
            </w:r>
          </w:p>
        </w:tc>
      </w:tr>
    </w:tbl>
    <w:p w14:paraId="0B4BD34F">
      <w:pPr>
        <w:spacing w:line="240" w:lineRule="auto"/>
        <w:ind w:firstLine="480"/>
      </w:pPr>
    </w:p>
    <w:p w14:paraId="23A1C00C">
      <w:pPr>
        <w:pStyle w:val="43"/>
        <w:numPr>
          <w:ilvl w:val="5"/>
          <w:numId w:val="1"/>
        </w:numPr>
        <w:rPr>
          <w:rFonts w:hint="default"/>
        </w:rPr>
      </w:pPr>
      <w:r>
        <w:t>地表水环境敏感程度分级</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3"/>
        <w:gridCol w:w="2133"/>
        <w:gridCol w:w="2131"/>
        <w:gridCol w:w="2131"/>
      </w:tblGrid>
      <w:tr w14:paraId="417C2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 w:hRule="atLeast"/>
          <w:tblHeader/>
        </w:trPr>
        <w:tc>
          <w:tcPr>
            <w:tcW w:w="2133" w:type="dxa"/>
            <w:vMerge w:val="restart"/>
            <w:vAlign w:val="center"/>
          </w:tcPr>
          <w:p w14:paraId="331D3C92">
            <w:pPr>
              <w:pStyle w:val="45"/>
              <w:rPr>
                <w:rFonts w:hint="default"/>
                <w:b/>
                <w:bCs/>
              </w:rPr>
            </w:pPr>
            <w:r>
              <w:rPr>
                <w:b/>
                <w:bCs/>
              </w:rPr>
              <w:t>环境敏感目标</w:t>
            </w:r>
          </w:p>
        </w:tc>
        <w:tc>
          <w:tcPr>
            <w:tcW w:w="6395" w:type="dxa"/>
            <w:gridSpan w:val="3"/>
            <w:vAlign w:val="center"/>
          </w:tcPr>
          <w:p w14:paraId="07236598">
            <w:pPr>
              <w:pStyle w:val="45"/>
              <w:rPr>
                <w:rFonts w:hint="default"/>
                <w:b/>
                <w:bCs/>
              </w:rPr>
            </w:pPr>
            <w:r>
              <w:rPr>
                <w:b/>
                <w:bCs/>
              </w:rPr>
              <w:t>地表水功能敏感性</w:t>
            </w:r>
          </w:p>
        </w:tc>
      </w:tr>
      <w:tr w14:paraId="5B5CD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blHeader/>
        </w:trPr>
        <w:tc>
          <w:tcPr>
            <w:tcW w:w="2133" w:type="dxa"/>
            <w:vMerge w:val="continue"/>
            <w:vAlign w:val="center"/>
          </w:tcPr>
          <w:p w14:paraId="0A4791C4">
            <w:pPr>
              <w:pStyle w:val="45"/>
              <w:rPr>
                <w:rFonts w:hint="default"/>
                <w:b/>
                <w:bCs/>
              </w:rPr>
            </w:pPr>
          </w:p>
        </w:tc>
        <w:tc>
          <w:tcPr>
            <w:tcW w:w="2133" w:type="dxa"/>
            <w:vAlign w:val="center"/>
          </w:tcPr>
          <w:p w14:paraId="2BFCE057">
            <w:pPr>
              <w:pStyle w:val="45"/>
              <w:rPr>
                <w:rFonts w:hint="default"/>
                <w:b/>
                <w:bCs/>
              </w:rPr>
            </w:pPr>
            <w:r>
              <w:rPr>
                <w:b/>
                <w:bCs/>
              </w:rPr>
              <w:t>F1</w:t>
            </w:r>
          </w:p>
        </w:tc>
        <w:tc>
          <w:tcPr>
            <w:tcW w:w="2131" w:type="dxa"/>
            <w:vAlign w:val="center"/>
          </w:tcPr>
          <w:p w14:paraId="30A0ECAB">
            <w:pPr>
              <w:pStyle w:val="45"/>
              <w:rPr>
                <w:rFonts w:hint="default"/>
                <w:b/>
                <w:bCs/>
              </w:rPr>
            </w:pPr>
            <w:r>
              <w:rPr>
                <w:b/>
                <w:bCs/>
              </w:rPr>
              <w:t>F2</w:t>
            </w:r>
          </w:p>
        </w:tc>
        <w:tc>
          <w:tcPr>
            <w:tcW w:w="2131" w:type="dxa"/>
            <w:vAlign w:val="center"/>
          </w:tcPr>
          <w:p w14:paraId="7DE77DF0">
            <w:pPr>
              <w:pStyle w:val="45"/>
              <w:rPr>
                <w:rFonts w:hint="default"/>
                <w:b/>
                <w:bCs/>
              </w:rPr>
            </w:pPr>
            <w:r>
              <w:rPr>
                <w:b/>
                <w:bCs/>
              </w:rPr>
              <w:t>F3</w:t>
            </w:r>
          </w:p>
        </w:tc>
      </w:tr>
      <w:tr w14:paraId="3E460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shd w:val="clear" w:color="auto" w:fill="auto"/>
            <w:vAlign w:val="center"/>
          </w:tcPr>
          <w:p w14:paraId="7BCF161E">
            <w:pPr>
              <w:pStyle w:val="45"/>
              <w:rPr>
                <w:rFonts w:hint="default"/>
              </w:rPr>
            </w:pPr>
            <w:r>
              <w:t>S1</w:t>
            </w:r>
          </w:p>
        </w:tc>
        <w:tc>
          <w:tcPr>
            <w:tcW w:w="2133" w:type="dxa"/>
            <w:shd w:val="clear" w:color="auto" w:fill="auto"/>
            <w:vAlign w:val="center"/>
          </w:tcPr>
          <w:p w14:paraId="14E5E80B">
            <w:pPr>
              <w:pStyle w:val="45"/>
              <w:rPr>
                <w:rFonts w:hint="default"/>
              </w:rPr>
            </w:pPr>
            <w:r>
              <w:t>E1</w:t>
            </w:r>
          </w:p>
        </w:tc>
        <w:tc>
          <w:tcPr>
            <w:tcW w:w="2131" w:type="dxa"/>
            <w:shd w:val="clear" w:color="auto" w:fill="E7E6E6" w:themeFill="background2"/>
            <w:vAlign w:val="center"/>
          </w:tcPr>
          <w:p w14:paraId="57277C08">
            <w:pPr>
              <w:pStyle w:val="45"/>
              <w:rPr>
                <w:rFonts w:hint="default"/>
              </w:rPr>
            </w:pPr>
            <w:r>
              <w:t>E1</w:t>
            </w:r>
          </w:p>
        </w:tc>
        <w:tc>
          <w:tcPr>
            <w:tcW w:w="2131" w:type="dxa"/>
            <w:vAlign w:val="center"/>
          </w:tcPr>
          <w:p w14:paraId="7481008E">
            <w:pPr>
              <w:pStyle w:val="45"/>
              <w:rPr>
                <w:rFonts w:hint="default"/>
              </w:rPr>
            </w:pPr>
            <w:r>
              <w:t>E3</w:t>
            </w:r>
          </w:p>
        </w:tc>
      </w:tr>
      <w:tr w14:paraId="31432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vAlign w:val="center"/>
          </w:tcPr>
          <w:p w14:paraId="4ABA2088">
            <w:pPr>
              <w:pStyle w:val="45"/>
              <w:rPr>
                <w:rFonts w:hint="default"/>
              </w:rPr>
            </w:pPr>
            <w:r>
              <w:t>S2</w:t>
            </w:r>
          </w:p>
        </w:tc>
        <w:tc>
          <w:tcPr>
            <w:tcW w:w="2133" w:type="dxa"/>
            <w:vAlign w:val="center"/>
          </w:tcPr>
          <w:p w14:paraId="6872911D">
            <w:pPr>
              <w:pStyle w:val="45"/>
              <w:rPr>
                <w:rFonts w:hint="default"/>
              </w:rPr>
            </w:pPr>
            <w:r>
              <w:t>E1</w:t>
            </w:r>
          </w:p>
        </w:tc>
        <w:tc>
          <w:tcPr>
            <w:tcW w:w="2131" w:type="dxa"/>
            <w:vAlign w:val="center"/>
          </w:tcPr>
          <w:p w14:paraId="17D67D4B">
            <w:pPr>
              <w:pStyle w:val="45"/>
              <w:rPr>
                <w:rFonts w:hint="default"/>
              </w:rPr>
            </w:pPr>
            <w:r>
              <w:t>E2</w:t>
            </w:r>
          </w:p>
        </w:tc>
        <w:tc>
          <w:tcPr>
            <w:tcW w:w="2131" w:type="dxa"/>
            <w:vAlign w:val="center"/>
          </w:tcPr>
          <w:p w14:paraId="36701296">
            <w:pPr>
              <w:pStyle w:val="45"/>
              <w:rPr>
                <w:rFonts w:hint="default"/>
              </w:rPr>
            </w:pPr>
            <w:r>
              <w:t>E3</w:t>
            </w:r>
          </w:p>
        </w:tc>
      </w:tr>
      <w:tr w14:paraId="612DD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vAlign w:val="center"/>
          </w:tcPr>
          <w:p w14:paraId="287881E3">
            <w:pPr>
              <w:pStyle w:val="45"/>
              <w:rPr>
                <w:rFonts w:hint="default"/>
              </w:rPr>
            </w:pPr>
            <w:r>
              <w:t>S3</w:t>
            </w:r>
          </w:p>
        </w:tc>
        <w:tc>
          <w:tcPr>
            <w:tcW w:w="2133" w:type="dxa"/>
            <w:vAlign w:val="center"/>
          </w:tcPr>
          <w:p w14:paraId="38082D4C">
            <w:pPr>
              <w:pStyle w:val="45"/>
              <w:rPr>
                <w:rFonts w:hint="default"/>
              </w:rPr>
            </w:pPr>
            <w:r>
              <w:t>E1</w:t>
            </w:r>
          </w:p>
        </w:tc>
        <w:tc>
          <w:tcPr>
            <w:tcW w:w="2131" w:type="dxa"/>
            <w:vAlign w:val="center"/>
          </w:tcPr>
          <w:p w14:paraId="0DF96EF8">
            <w:pPr>
              <w:pStyle w:val="45"/>
              <w:rPr>
                <w:rFonts w:hint="default"/>
              </w:rPr>
            </w:pPr>
            <w:r>
              <w:t>E2</w:t>
            </w:r>
          </w:p>
        </w:tc>
        <w:tc>
          <w:tcPr>
            <w:tcW w:w="2131" w:type="dxa"/>
            <w:vAlign w:val="center"/>
          </w:tcPr>
          <w:p w14:paraId="4D913050">
            <w:pPr>
              <w:pStyle w:val="45"/>
              <w:rPr>
                <w:rFonts w:hint="default"/>
              </w:rPr>
            </w:pPr>
            <w:r>
              <w:t>E3</w:t>
            </w:r>
          </w:p>
        </w:tc>
      </w:tr>
    </w:tbl>
    <w:p w14:paraId="3C78AF1D">
      <w:pPr>
        <w:ind w:firstLine="480"/>
      </w:pPr>
    </w:p>
    <w:p w14:paraId="538C91E9">
      <w:pPr>
        <w:ind w:firstLine="480"/>
      </w:pPr>
      <w:r>
        <w:t>③地下水环境</w:t>
      </w:r>
    </w:p>
    <w:p w14:paraId="20084812">
      <w:pPr>
        <w:ind w:firstLine="480"/>
      </w:pPr>
      <w:r>
        <w:t>本项目位于松木工业园，项目所在地不属于集中式饮用水水源保护区和国家或地方政府设定的与地下水环境相关的其他保护区，如热水、矿泉水、温泉等特殊地下水资源保护区，根据表</w:t>
      </w:r>
      <w:r>
        <w:rPr>
          <w:rFonts w:hint="eastAsia"/>
        </w:rPr>
        <w:t>8</w:t>
      </w:r>
      <w:r>
        <w:t>.1-8，本项目地下水环境功能敏感性为G3类不敏感。根据表</w:t>
      </w:r>
      <w:r>
        <w:rPr>
          <w:rFonts w:hint="eastAsia"/>
        </w:rPr>
        <w:t>8</w:t>
      </w:r>
      <w:r>
        <w:t>.1-9，本项目包气带防污性能为D2。根据表</w:t>
      </w:r>
      <w:r>
        <w:rPr>
          <w:rFonts w:hint="eastAsia"/>
        </w:rPr>
        <w:t>8</w:t>
      </w:r>
      <w:r>
        <w:t>.1-10，本项目地下水环境敏感程度为E3类环境低度敏感区。</w:t>
      </w:r>
    </w:p>
    <w:p w14:paraId="3F1D15E4">
      <w:pPr>
        <w:pStyle w:val="43"/>
        <w:numPr>
          <w:ilvl w:val="5"/>
          <w:numId w:val="1"/>
        </w:numPr>
        <w:rPr>
          <w:rFonts w:hint="default"/>
        </w:rPr>
      </w:pPr>
      <w:r>
        <w:t>地下水功能敏感性分区</w:t>
      </w:r>
    </w:p>
    <w:tbl>
      <w:tblPr>
        <w:tblStyle w:val="32"/>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5"/>
        <w:gridCol w:w="7313"/>
      </w:tblGrid>
      <w:tr w14:paraId="5E132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15" w:type="dxa"/>
            <w:vAlign w:val="center"/>
          </w:tcPr>
          <w:p w14:paraId="3F7313BD">
            <w:pPr>
              <w:pStyle w:val="45"/>
              <w:rPr>
                <w:rFonts w:hint="default"/>
                <w:b/>
                <w:bCs/>
              </w:rPr>
            </w:pPr>
            <w:r>
              <w:rPr>
                <w:b/>
                <w:bCs/>
              </w:rPr>
              <w:t>敏感性</w:t>
            </w:r>
          </w:p>
        </w:tc>
        <w:tc>
          <w:tcPr>
            <w:tcW w:w="7313" w:type="dxa"/>
            <w:vAlign w:val="center"/>
          </w:tcPr>
          <w:p w14:paraId="49B0EE3B">
            <w:pPr>
              <w:pStyle w:val="45"/>
              <w:rPr>
                <w:rFonts w:hint="default"/>
                <w:b/>
                <w:bCs/>
              </w:rPr>
            </w:pPr>
            <w:r>
              <w:rPr>
                <w:b/>
                <w:bCs/>
              </w:rPr>
              <w:t>地下水环境敏感特征</w:t>
            </w:r>
          </w:p>
        </w:tc>
      </w:tr>
      <w:tr w14:paraId="31C28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5" w:type="dxa"/>
            <w:vAlign w:val="center"/>
          </w:tcPr>
          <w:p w14:paraId="08A488A7">
            <w:pPr>
              <w:pStyle w:val="45"/>
              <w:rPr>
                <w:rFonts w:hint="default"/>
              </w:rPr>
            </w:pPr>
            <w:r>
              <w:t>敏感G1</w:t>
            </w:r>
          </w:p>
        </w:tc>
        <w:tc>
          <w:tcPr>
            <w:tcW w:w="7313" w:type="dxa"/>
            <w:vAlign w:val="center"/>
          </w:tcPr>
          <w:p w14:paraId="0E2116C1">
            <w:pPr>
              <w:pStyle w:val="45"/>
              <w:rPr>
                <w:rFonts w:hint="default"/>
              </w:rPr>
            </w:pPr>
            <w: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14:paraId="6B7FE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5" w:type="dxa"/>
            <w:vAlign w:val="center"/>
          </w:tcPr>
          <w:p w14:paraId="6942BF55">
            <w:pPr>
              <w:pStyle w:val="45"/>
              <w:rPr>
                <w:rFonts w:hint="default"/>
              </w:rPr>
            </w:pPr>
            <w:r>
              <w:t>较敏感G2</w:t>
            </w:r>
          </w:p>
        </w:tc>
        <w:tc>
          <w:tcPr>
            <w:tcW w:w="7313" w:type="dxa"/>
            <w:vAlign w:val="center"/>
          </w:tcPr>
          <w:p w14:paraId="46C5E2C7">
            <w:pPr>
              <w:pStyle w:val="45"/>
              <w:rPr>
                <w:rFonts w:hint="default"/>
              </w:rPr>
            </w:pPr>
            <w:r>
              <w:t>集中式饮用水水源(包括已建成的在用、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a</w:t>
            </w:r>
          </w:p>
        </w:tc>
      </w:tr>
      <w:tr w14:paraId="3A253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5" w:type="dxa"/>
            <w:shd w:val="clear" w:color="auto" w:fill="E7E6E6" w:themeFill="background2"/>
            <w:vAlign w:val="center"/>
          </w:tcPr>
          <w:p w14:paraId="07992035">
            <w:pPr>
              <w:pStyle w:val="45"/>
              <w:rPr>
                <w:rFonts w:hint="default"/>
              </w:rPr>
            </w:pPr>
            <w:r>
              <w:t>不敏感G3</w:t>
            </w:r>
          </w:p>
        </w:tc>
        <w:tc>
          <w:tcPr>
            <w:tcW w:w="7313" w:type="dxa"/>
            <w:shd w:val="clear" w:color="auto" w:fill="E7E6E6" w:themeFill="background2"/>
            <w:vAlign w:val="center"/>
          </w:tcPr>
          <w:p w14:paraId="268A0A51">
            <w:pPr>
              <w:pStyle w:val="45"/>
              <w:rPr>
                <w:rFonts w:hint="default"/>
              </w:rPr>
            </w:pPr>
            <w:r>
              <w:t>上述地区之外的其他地区</w:t>
            </w:r>
          </w:p>
        </w:tc>
      </w:tr>
      <w:tr w14:paraId="3533D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2"/>
            <w:vAlign w:val="center"/>
          </w:tcPr>
          <w:p w14:paraId="3A14DC3F">
            <w:pPr>
              <w:pStyle w:val="45"/>
              <w:rPr>
                <w:rFonts w:hint="default"/>
              </w:rPr>
            </w:pPr>
            <w:r>
              <w:t>a  “环境敏感区”是指《建设项目环境影响评价分类管理名录》中所界定的涉及地下水的环境敏感区</w:t>
            </w:r>
          </w:p>
        </w:tc>
      </w:tr>
    </w:tbl>
    <w:p w14:paraId="39601206">
      <w:pPr>
        <w:ind w:firstLine="0" w:firstLineChars="0"/>
      </w:pPr>
    </w:p>
    <w:p w14:paraId="27D5D761">
      <w:pPr>
        <w:pStyle w:val="43"/>
        <w:numPr>
          <w:ilvl w:val="5"/>
          <w:numId w:val="1"/>
        </w:numPr>
        <w:rPr>
          <w:rFonts w:hint="default"/>
        </w:rPr>
      </w:pPr>
      <w:r>
        <w:t>包气带防污性能分级</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9"/>
        <w:gridCol w:w="6639"/>
      </w:tblGrid>
      <w:tr w14:paraId="036B1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9" w:type="dxa"/>
            <w:vAlign w:val="center"/>
          </w:tcPr>
          <w:p w14:paraId="4D5343FA">
            <w:pPr>
              <w:pStyle w:val="45"/>
              <w:rPr>
                <w:rFonts w:hint="default"/>
                <w:b/>
                <w:bCs/>
              </w:rPr>
            </w:pPr>
            <w:r>
              <w:rPr>
                <w:b/>
                <w:bCs/>
              </w:rPr>
              <w:t>分级</w:t>
            </w:r>
          </w:p>
        </w:tc>
        <w:tc>
          <w:tcPr>
            <w:tcW w:w="6639" w:type="dxa"/>
            <w:vAlign w:val="center"/>
          </w:tcPr>
          <w:p w14:paraId="2EC5228E">
            <w:pPr>
              <w:pStyle w:val="45"/>
              <w:rPr>
                <w:rFonts w:hint="default"/>
                <w:b/>
                <w:bCs/>
              </w:rPr>
            </w:pPr>
            <w:r>
              <w:rPr>
                <w:b/>
                <w:bCs/>
              </w:rPr>
              <w:t>包气带岩土的渗透性能</w:t>
            </w:r>
          </w:p>
        </w:tc>
      </w:tr>
      <w:tr w14:paraId="4FFB4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9" w:type="dxa"/>
            <w:vAlign w:val="center"/>
          </w:tcPr>
          <w:p w14:paraId="32992316">
            <w:pPr>
              <w:pStyle w:val="45"/>
              <w:rPr>
                <w:rFonts w:hint="default"/>
              </w:rPr>
            </w:pPr>
            <w:r>
              <w:t>D3</w:t>
            </w:r>
          </w:p>
        </w:tc>
        <w:tc>
          <w:tcPr>
            <w:tcW w:w="6639" w:type="dxa"/>
            <w:vAlign w:val="center"/>
          </w:tcPr>
          <w:p w14:paraId="44BD417E">
            <w:pPr>
              <w:pStyle w:val="45"/>
              <w:rPr>
                <w:rFonts w:hint="default"/>
              </w:rPr>
            </w:pPr>
            <w:r>
              <w:t>Mb≥1.0m, K≤1.0x10</w:t>
            </w:r>
            <w:r>
              <w:rPr>
                <w:vertAlign w:val="superscript"/>
              </w:rPr>
              <w:t>-6</w:t>
            </w:r>
            <w:r>
              <w:t>cm/s,且分布连续、稳定</w:t>
            </w:r>
          </w:p>
        </w:tc>
      </w:tr>
      <w:tr w14:paraId="3BEBB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9" w:type="dxa"/>
            <w:shd w:val="clear" w:color="auto" w:fill="E7E6E6" w:themeFill="background2"/>
            <w:vAlign w:val="center"/>
          </w:tcPr>
          <w:p w14:paraId="34CF2328">
            <w:pPr>
              <w:pStyle w:val="45"/>
              <w:rPr>
                <w:rFonts w:hint="default"/>
              </w:rPr>
            </w:pPr>
            <w:r>
              <w:t>D2</w:t>
            </w:r>
          </w:p>
        </w:tc>
        <w:tc>
          <w:tcPr>
            <w:tcW w:w="6639" w:type="dxa"/>
            <w:shd w:val="clear" w:color="auto" w:fill="E7E6E6" w:themeFill="background2"/>
            <w:vAlign w:val="center"/>
          </w:tcPr>
          <w:p w14:paraId="3759A33F">
            <w:pPr>
              <w:pStyle w:val="45"/>
              <w:rPr>
                <w:rFonts w:hint="default"/>
              </w:rPr>
            </w:pPr>
            <w:r>
              <w:t>0.5m≤Mb&lt;1.0m, K≤1.0x10</w:t>
            </w:r>
            <w:r>
              <w:rPr>
                <w:vertAlign w:val="superscript"/>
              </w:rPr>
              <w:t>-6</w:t>
            </w:r>
            <w:r>
              <w:t>cm/s, 且分布连续、稳定</w:t>
            </w:r>
          </w:p>
          <w:p w14:paraId="08CC5F94">
            <w:pPr>
              <w:pStyle w:val="45"/>
              <w:rPr>
                <w:rFonts w:hint="default"/>
              </w:rPr>
            </w:pPr>
            <w:r>
              <w:t>Mb≥1.0m, 1.0x10</w:t>
            </w:r>
            <w:r>
              <w:rPr>
                <w:vertAlign w:val="superscript"/>
              </w:rPr>
              <w:t>-6</w:t>
            </w:r>
            <w:r>
              <w:t>cm/s &lt;K&lt;1.0x10</w:t>
            </w:r>
            <w:r>
              <w:rPr>
                <w:vertAlign w:val="superscript"/>
              </w:rPr>
              <w:t>-4</w:t>
            </w:r>
            <w:r>
              <w:t xml:space="preserve"> cm/s.且分布连续、稳定</w:t>
            </w:r>
          </w:p>
        </w:tc>
      </w:tr>
      <w:tr w14:paraId="1719C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9" w:type="dxa"/>
            <w:vAlign w:val="center"/>
          </w:tcPr>
          <w:p w14:paraId="758545C9">
            <w:pPr>
              <w:pStyle w:val="45"/>
              <w:rPr>
                <w:rFonts w:hint="default"/>
              </w:rPr>
            </w:pPr>
            <w:r>
              <w:t>D1</w:t>
            </w:r>
          </w:p>
        </w:tc>
        <w:tc>
          <w:tcPr>
            <w:tcW w:w="6639" w:type="dxa"/>
            <w:vAlign w:val="center"/>
          </w:tcPr>
          <w:p w14:paraId="2E309D75">
            <w:pPr>
              <w:pStyle w:val="45"/>
              <w:rPr>
                <w:rFonts w:hint="default"/>
              </w:rPr>
            </w:pPr>
            <w:r>
              <w:t>岩(土)层不满足上述“D2”和“D3”条件</w:t>
            </w:r>
          </w:p>
        </w:tc>
      </w:tr>
      <w:tr w14:paraId="24BB1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28" w:type="dxa"/>
            <w:gridSpan w:val="2"/>
            <w:vAlign w:val="center"/>
          </w:tcPr>
          <w:p w14:paraId="7B732048">
            <w:pPr>
              <w:pStyle w:val="45"/>
              <w:rPr>
                <w:rFonts w:hint="default"/>
              </w:rPr>
            </w:pPr>
            <w:r>
              <w:t>Mb：岩土层单层厚度    K:渗透系数</w:t>
            </w:r>
          </w:p>
        </w:tc>
      </w:tr>
    </w:tbl>
    <w:p w14:paraId="4DBB3A61">
      <w:pPr>
        <w:spacing w:line="240" w:lineRule="auto"/>
        <w:ind w:firstLine="0" w:firstLineChars="0"/>
      </w:pPr>
    </w:p>
    <w:p w14:paraId="6EDF8315">
      <w:pPr>
        <w:pStyle w:val="43"/>
        <w:numPr>
          <w:ilvl w:val="5"/>
          <w:numId w:val="1"/>
        </w:numPr>
        <w:rPr>
          <w:rFonts w:hint="default"/>
        </w:rPr>
      </w:pPr>
      <w:r>
        <w:t>地下水环境敏感程度分级</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3"/>
        <w:gridCol w:w="2133"/>
        <w:gridCol w:w="2131"/>
        <w:gridCol w:w="2131"/>
      </w:tblGrid>
      <w:tr w14:paraId="70F9A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 w:hRule="atLeast"/>
          <w:tblHeader/>
        </w:trPr>
        <w:tc>
          <w:tcPr>
            <w:tcW w:w="2133" w:type="dxa"/>
            <w:vMerge w:val="restart"/>
            <w:vAlign w:val="center"/>
          </w:tcPr>
          <w:p w14:paraId="03FC9FE5">
            <w:pPr>
              <w:pStyle w:val="45"/>
              <w:rPr>
                <w:rFonts w:hint="default"/>
                <w:b/>
                <w:bCs/>
              </w:rPr>
            </w:pPr>
            <w:r>
              <w:rPr>
                <w:b/>
                <w:bCs/>
              </w:rPr>
              <w:t>包气带防污性能</w:t>
            </w:r>
          </w:p>
        </w:tc>
        <w:tc>
          <w:tcPr>
            <w:tcW w:w="6395" w:type="dxa"/>
            <w:gridSpan w:val="3"/>
            <w:vAlign w:val="center"/>
          </w:tcPr>
          <w:p w14:paraId="5D7A9249">
            <w:pPr>
              <w:pStyle w:val="45"/>
              <w:rPr>
                <w:rFonts w:hint="default"/>
                <w:b/>
                <w:bCs/>
              </w:rPr>
            </w:pPr>
            <w:r>
              <w:rPr>
                <w:b/>
                <w:bCs/>
              </w:rPr>
              <w:t>地下水功能敏感性</w:t>
            </w:r>
          </w:p>
        </w:tc>
      </w:tr>
      <w:tr w14:paraId="18ED4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blHeader/>
        </w:trPr>
        <w:tc>
          <w:tcPr>
            <w:tcW w:w="2133" w:type="dxa"/>
            <w:vMerge w:val="continue"/>
            <w:vAlign w:val="center"/>
          </w:tcPr>
          <w:p w14:paraId="37640D48">
            <w:pPr>
              <w:pStyle w:val="45"/>
              <w:rPr>
                <w:rFonts w:hint="default"/>
                <w:b/>
                <w:bCs/>
              </w:rPr>
            </w:pPr>
          </w:p>
        </w:tc>
        <w:tc>
          <w:tcPr>
            <w:tcW w:w="2133" w:type="dxa"/>
            <w:vAlign w:val="center"/>
          </w:tcPr>
          <w:p w14:paraId="04697247">
            <w:pPr>
              <w:pStyle w:val="45"/>
              <w:rPr>
                <w:rFonts w:hint="default"/>
                <w:b/>
                <w:bCs/>
              </w:rPr>
            </w:pPr>
            <w:r>
              <w:rPr>
                <w:b/>
                <w:bCs/>
              </w:rPr>
              <w:t>G1</w:t>
            </w:r>
          </w:p>
        </w:tc>
        <w:tc>
          <w:tcPr>
            <w:tcW w:w="2131" w:type="dxa"/>
            <w:vAlign w:val="center"/>
          </w:tcPr>
          <w:p w14:paraId="0C6E6B8F">
            <w:pPr>
              <w:pStyle w:val="45"/>
              <w:rPr>
                <w:rFonts w:hint="default"/>
                <w:b/>
                <w:bCs/>
              </w:rPr>
            </w:pPr>
            <w:r>
              <w:rPr>
                <w:b/>
                <w:bCs/>
              </w:rPr>
              <w:t>G2</w:t>
            </w:r>
          </w:p>
        </w:tc>
        <w:tc>
          <w:tcPr>
            <w:tcW w:w="2131" w:type="dxa"/>
            <w:vAlign w:val="center"/>
          </w:tcPr>
          <w:p w14:paraId="3AC7EDA6">
            <w:pPr>
              <w:pStyle w:val="45"/>
              <w:rPr>
                <w:rFonts w:hint="default"/>
                <w:b/>
                <w:bCs/>
              </w:rPr>
            </w:pPr>
            <w:r>
              <w:rPr>
                <w:b/>
                <w:bCs/>
              </w:rPr>
              <w:t>G3</w:t>
            </w:r>
          </w:p>
        </w:tc>
      </w:tr>
      <w:tr w14:paraId="51140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vAlign w:val="center"/>
          </w:tcPr>
          <w:p w14:paraId="1211CCAD">
            <w:pPr>
              <w:pStyle w:val="45"/>
              <w:rPr>
                <w:rFonts w:hint="default"/>
              </w:rPr>
            </w:pPr>
            <w:r>
              <w:t>D1</w:t>
            </w:r>
          </w:p>
        </w:tc>
        <w:tc>
          <w:tcPr>
            <w:tcW w:w="2133" w:type="dxa"/>
            <w:shd w:val="clear" w:color="auto" w:fill="auto"/>
            <w:vAlign w:val="center"/>
          </w:tcPr>
          <w:p w14:paraId="57E7183F">
            <w:pPr>
              <w:pStyle w:val="45"/>
              <w:rPr>
                <w:rFonts w:hint="default"/>
              </w:rPr>
            </w:pPr>
            <w:r>
              <w:t>E1</w:t>
            </w:r>
          </w:p>
        </w:tc>
        <w:tc>
          <w:tcPr>
            <w:tcW w:w="2131" w:type="dxa"/>
            <w:vAlign w:val="center"/>
          </w:tcPr>
          <w:p w14:paraId="2CA1A182">
            <w:pPr>
              <w:pStyle w:val="45"/>
              <w:rPr>
                <w:rFonts w:hint="default"/>
              </w:rPr>
            </w:pPr>
            <w:r>
              <w:t>E1</w:t>
            </w:r>
          </w:p>
        </w:tc>
        <w:tc>
          <w:tcPr>
            <w:tcW w:w="2131" w:type="dxa"/>
            <w:shd w:val="clear" w:color="auto" w:fill="auto"/>
            <w:vAlign w:val="center"/>
          </w:tcPr>
          <w:p w14:paraId="2B113724">
            <w:pPr>
              <w:pStyle w:val="45"/>
              <w:rPr>
                <w:rFonts w:hint="default"/>
              </w:rPr>
            </w:pPr>
            <w:r>
              <w:t>E2</w:t>
            </w:r>
          </w:p>
        </w:tc>
      </w:tr>
      <w:tr w14:paraId="0ACB4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shd w:val="clear" w:color="auto" w:fill="auto"/>
            <w:vAlign w:val="center"/>
          </w:tcPr>
          <w:p w14:paraId="4AED200C">
            <w:pPr>
              <w:pStyle w:val="45"/>
              <w:rPr>
                <w:rFonts w:hint="default"/>
              </w:rPr>
            </w:pPr>
            <w:r>
              <w:t>D2</w:t>
            </w:r>
          </w:p>
        </w:tc>
        <w:tc>
          <w:tcPr>
            <w:tcW w:w="2133" w:type="dxa"/>
            <w:shd w:val="clear" w:color="auto" w:fill="auto"/>
            <w:vAlign w:val="center"/>
          </w:tcPr>
          <w:p w14:paraId="19E025FE">
            <w:pPr>
              <w:pStyle w:val="45"/>
              <w:rPr>
                <w:rFonts w:hint="default"/>
              </w:rPr>
            </w:pPr>
            <w:r>
              <w:t>E1</w:t>
            </w:r>
          </w:p>
        </w:tc>
        <w:tc>
          <w:tcPr>
            <w:tcW w:w="2131" w:type="dxa"/>
            <w:shd w:val="clear" w:color="auto" w:fill="auto"/>
            <w:vAlign w:val="center"/>
          </w:tcPr>
          <w:p w14:paraId="0F1B1DC7">
            <w:pPr>
              <w:pStyle w:val="45"/>
              <w:rPr>
                <w:rFonts w:hint="default"/>
              </w:rPr>
            </w:pPr>
            <w:r>
              <w:t>E2</w:t>
            </w:r>
          </w:p>
        </w:tc>
        <w:tc>
          <w:tcPr>
            <w:tcW w:w="2131" w:type="dxa"/>
            <w:shd w:val="clear" w:color="auto" w:fill="E7E6E6" w:themeFill="background2"/>
            <w:vAlign w:val="center"/>
          </w:tcPr>
          <w:p w14:paraId="1D706B80">
            <w:pPr>
              <w:pStyle w:val="45"/>
              <w:rPr>
                <w:rFonts w:hint="default"/>
              </w:rPr>
            </w:pPr>
            <w:r>
              <w:t>E3</w:t>
            </w:r>
          </w:p>
        </w:tc>
      </w:tr>
      <w:tr w14:paraId="7F53E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shd w:val="clear" w:color="auto" w:fill="auto"/>
            <w:vAlign w:val="center"/>
          </w:tcPr>
          <w:p w14:paraId="6C42E5E4">
            <w:pPr>
              <w:pStyle w:val="45"/>
              <w:rPr>
                <w:rFonts w:hint="default"/>
              </w:rPr>
            </w:pPr>
            <w:r>
              <w:t>D3</w:t>
            </w:r>
          </w:p>
        </w:tc>
        <w:tc>
          <w:tcPr>
            <w:tcW w:w="2133" w:type="dxa"/>
            <w:shd w:val="clear" w:color="auto" w:fill="auto"/>
            <w:vAlign w:val="center"/>
          </w:tcPr>
          <w:p w14:paraId="6369B389">
            <w:pPr>
              <w:pStyle w:val="45"/>
              <w:rPr>
                <w:rFonts w:hint="default"/>
              </w:rPr>
            </w:pPr>
            <w:r>
              <w:t>E2</w:t>
            </w:r>
          </w:p>
        </w:tc>
        <w:tc>
          <w:tcPr>
            <w:tcW w:w="2131" w:type="dxa"/>
            <w:shd w:val="clear" w:color="auto" w:fill="auto"/>
            <w:vAlign w:val="center"/>
          </w:tcPr>
          <w:p w14:paraId="756F3BFB">
            <w:pPr>
              <w:pStyle w:val="45"/>
              <w:rPr>
                <w:rFonts w:hint="default"/>
              </w:rPr>
            </w:pPr>
            <w:r>
              <w:t>E2</w:t>
            </w:r>
          </w:p>
        </w:tc>
        <w:tc>
          <w:tcPr>
            <w:tcW w:w="2131" w:type="dxa"/>
            <w:shd w:val="clear" w:color="auto" w:fill="auto"/>
            <w:vAlign w:val="center"/>
          </w:tcPr>
          <w:p w14:paraId="7E4F43CF">
            <w:pPr>
              <w:pStyle w:val="45"/>
              <w:rPr>
                <w:rFonts w:hint="default"/>
              </w:rPr>
            </w:pPr>
            <w:r>
              <w:t>E3</w:t>
            </w:r>
          </w:p>
        </w:tc>
      </w:tr>
    </w:tbl>
    <w:p w14:paraId="5509ACFA">
      <w:pPr>
        <w:spacing w:line="240" w:lineRule="auto"/>
        <w:ind w:firstLine="480"/>
      </w:pPr>
    </w:p>
    <w:p w14:paraId="4F2C22EF">
      <w:pPr>
        <w:ind w:firstLine="480"/>
      </w:pPr>
      <w:r>
        <w:t>5、评价等级</w:t>
      </w:r>
    </w:p>
    <w:p w14:paraId="039EF022">
      <w:pPr>
        <w:ind w:firstLine="480"/>
      </w:pPr>
      <w:r>
        <w:t>根据《建设项目环境风险评价技术导则》（HJ169-2018），建设项目环境风险潜势综合等级取各要素等级的相对高值，因此综合大气环境、地表水环境、地下水环境，本项目</w:t>
      </w:r>
      <w:r>
        <w:rPr>
          <w:rFonts w:hint="eastAsia"/>
        </w:rPr>
        <w:t>大气、地表水</w:t>
      </w:r>
      <w:r>
        <w:t>环境敏感程度等级为E1类环境高度敏感区。建设项目涉及的物质和工艺系统的危险性及其所在地的环境敏感程度，结合事故情形下环境影响途径，对</w:t>
      </w:r>
      <w:r>
        <w:rPr>
          <w:rFonts w:hint="eastAsia"/>
        </w:rPr>
        <w:t>项目建成</w:t>
      </w:r>
      <w:r>
        <w:rPr>
          <w:rFonts w:hint="eastAsia"/>
          <w:lang w:eastAsia="zh-CN"/>
        </w:rPr>
        <w:t>后</w:t>
      </w:r>
      <w:r>
        <w:rPr>
          <w:rFonts w:hint="eastAsia"/>
        </w:rPr>
        <w:t>全厂的</w:t>
      </w:r>
      <w:r>
        <w:t>潜在环境危害程度进行概化分析，根据表</w:t>
      </w:r>
      <w:r>
        <w:rPr>
          <w:rFonts w:hint="eastAsia"/>
        </w:rPr>
        <w:t>8</w:t>
      </w:r>
      <w:r>
        <w:t>.1-11。</w:t>
      </w:r>
    </w:p>
    <w:p w14:paraId="492C3C27">
      <w:pPr>
        <w:pStyle w:val="43"/>
        <w:numPr>
          <w:ilvl w:val="5"/>
          <w:numId w:val="1"/>
        </w:numPr>
        <w:rPr>
          <w:rFonts w:hint="default"/>
        </w:rPr>
      </w:pPr>
      <w:r>
        <w:t>项目建成后全厂的环境风险潜势划分</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705"/>
        <w:gridCol w:w="1705"/>
        <w:gridCol w:w="1703"/>
        <w:gridCol w:w="1705"/>
      </w:tblGrid>
      <w:tr w14:paraId="565E0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704" w:type="dxa"/>
            <w:vMerge w:val="restart"/>
            <w:shd w:val="clear" w:color="auto" w:fill="auto"/>
            <w:vAlign w:val="center"/>
          </w:tcPr>
          <w:p w14:paraId="0660E45C">
            <w:pPr>
              <w:pStyle w:val="45"/>
              <w:rPr>
                <w:rFonts w:hint="default" w:ascii="Times New Roman" w:hAnsi="Times New Roman" w:eastAsia="宋体"/>
                <w:b/>
                <w:bCs/>
              </w:rPr>
            </w:pPr>
            <w:r>
              <w:rPr>
                <w:rFonts w:ascii="Times New Roman" w:hAnsi="Times New Roman" w:eastAsia="宋体"/>
                <w:b/>
                <w:bCs/>
              </w:rPr>
              <w:t>环境敏感程度（E）</w:t>
            </w:r>
          </w:p>
        </w:tc>
        <w:tc>
          <w:tcPr>
            <w:tcW w:w="6818" w:type="dxa"/>
            <w:gridSpan w:val="4"/>
            <w:shd w:val="clear" w:color="auto" w:fill="auto"/>
            <w:vAlign w:val="center"/>
          </w:tcPr>
          <w:p w14:paraId="2F72D03C">
            <w:pPr>
              <w:pStyle w:val="45"/>
              <w:rPr>
                <w:rFonts w:hint="default" w:ascii="Times New Roman" w:hAnsi="Times New Roman" w:eastAsia="宋体"/>
                <w:b/>
                <w:bCs/>
              </w:rPr>
            </w:pPr>
            <w:r>
              <w:rPr>
                <w:rFonts w:ascii="Times New Roman" w:hAnsi="Times New Roman" w:eastAsia="宋体"/>
                <w:b/>
                <w:bCs/>
              </w:rPr>
              <w:t>危险物质及工艺系统危险性（P）</w:t>
            </w:r>
          </w:p>
        </w:tc>
      </w:tr>
      <w:tr w14:paraId="07FB0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704" w:type="dxa"/>
            <w:vMerge w:val="continue"/>
            <w:shd w:val="clear" w:color="auto" w:fill="auto"/>
            <w:vAlign w:val="center"/>
          </w:tcPr>
          <w:p w14:paraId="13727668">
            <w:pPr>
              <w:pStyle w:val="45"/>
              <w:rPr>
                <w:rFonts w:hint="default" w:ascii="Times New Roman" w:hAnsi="Times New Roman" w:eastAsia="宋体"/>
                <w:b/>
                <w:bCs/>
              </w:rPr>
            </w:pPr>
          </w:p>
        </w:tc>
        <w:tc>
          <w:tcPr>
            <w:tcW w:w="1705" w:type="dxa"/>
            <w:shd w:val="clear" w:color="auto" w:fill="auto"/>
            <w:vAlign w:val="center"/>
          </w:tcPr>
          <w:p w14:paraId="14BD5A1B">
            <w:pPr>
              <w:pStyle w:val="45"/>
              <w:rPr>
                <w:rFonts w:hint="default" w:ascii="Times New Roman" w:hAnsi="Times New Roman" w:eastAsia="宋体"/>
                <w:b/>
                <w:bCs/>
              </w:rPr>
            </w:pPr>
            <w:r>
              <w:rPr>
                <w:rFonts w:ascii="Times New Roman" w:hAnsi="Times New Roman" w:eastAsia="宋体"/>
                <w:b/>
                <w:bCs/>
              </w:rPr>
              <w:t>极高危害（P1）</w:t>
            </w:r>
          </w:p>
        </w:tc>
        <w:tc>
          <w:tcPr>
            <w:tcW w:w="1705" w:type="dxa"/>
            <w:shd w:val="clear" w:color="auto" w:fill="auto"/>
            <w:vAlign w:val="center"/>
          </w:tcPr>
          <w:p w14:paraId="0BBDF334">
            <w:pPr>
              <w:pStyle w:val="45"/>
              <w:rPr>
                <w:rFonts w:hint="default" w:ascii="Times New Roman" w:hAnsi="Times New Roman" w:eastAsia="宋体"/>
                <w:b/>
                <w:bCs/>
              </w:rPr>
            </w:pPr>
            <w:r>
              <w:rPr>
                <w:rFonts w:ascii="Times New Roman" w:hAnsi="Times New Roman" w:eastAsia="宋体"/>
                <w:b/>
                <w:bCs/>
              </w:rPr>
              <w:t>高度危害（P2）</w:t>
            </w:r>
          </w:p>
        </w:tc>
        <w:tc>
          <w:tcPr>
            <w:tcW w:w="1703" w:type="dxa"/>
            <w:shd w:val="clear" w:color="auto" w:fill="auto"/>
            <w:vAlign w:val="center"/>
          </w:tcPr>
          <w:p w14:paraId="664DF454">
            <w:pPr>
              <w:pStyle w:val="45"/>
              <w:rPr>
                <w:rFonts w:hint="default" w:ascii="Times New Roman" w:hAnsi="Times New Roman" w:eastAsia="宋体"/>
                <w:b/>
                <w:bCs/>
              </w:rPr>
            </w:pPr>
            <w:r>
              <w:rPr>
                <w:rFonts w:ascii="Times New Roman" w:hAnsi="Times New Roman" w:eastAsia="宋体"/>
                <w:b/>
                <w:bCs/>
              </w:rPr>
              <w:t>中度危害（P3）</w:t>
            </w:r>
          </w:p>
        </w:tc>
        <w:tc>
          <w:tcPr>
            <w:tcW w:w="1705" w:type="dxa"/>
            <w:shd w:val="clear" w:color="auto" w:fill="auto"/>
            <w:vAlign w:val="center"/>
          </w:tcPr>
          <w:p w14:paraId="14241132">
            <w:pPr>
              <w:pStyle w:val="45"/>
              <w:rPr>
                <w:rFonts w:hint="default" w:ascii="Times New Roman" w:hAnsi="Times New Roman" w:eastAsia="宋体"/>
                <w:b/>
                <w:bCs/>
              </w:rPr>
            </w:pPr>
            <w:r>
              <w:rPr>
                <w:rFonts w:ascii="Times New Roman" w:hAnsi="Times New Roman" w:eastAsia="宋体"/>
                <w:b/>
                <w:bCs/>
              </w:rPr>
              <w:t>轻度危害（P4）</w:t>
            </w:r>
          </w:p>
        </w:tc>
      </w:tr>
      <w:tr w14:paraId="3C4AD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shd w:val="clear" w:color="auto" w:fill="auto"/>
            <w:vAlign w:val="center"/>
          </w:tcPr>
          <w:p w14:paraId="3E3C7834">
            <w:pPr>
              <w:pStyle w:val="45"/>
              <w:rPr>
                <w:rFonts w:hint="default" w:ascii="Times New Roman" w:hAnsi="Times New Roman" w:eastAsia="宋体"/>
              </w:rPr>
            </w:pPr>
            <w:r>
              <w:rPr>
                <w:rFonts w:ascii="Times New Roman" w:hAnsi="Times New Roman" w:eastAsia="宋体"/>
              </w:rPr>
              <w:t>环境高度敏感区（E1）</w:t>
            </w:r>
          </w:p>
        </w:tc>
        <w:tc>
          <w:tcPr>
            <w:tcW w:w="1705" w:type="dxa"/>
            <w:shd w:val="clear" w:color="auto" w:fill="E7E6E6" w:themeFill="background2"/>
            <w:vAlign w:val="center"/>
          </w:tcPr>
          <w:p w14:paraId="14C7271C">
            <w:pPr>
              <w:pStyle w:val="45"/>
              <w:bidi w:val="0"/>
              <w:rPr>
                <w:rFonts w:hint="default"/>
              </w:rPr>
            </w:pPr>
            <w:r>
              <w:t>Ⅳ+</w:t>
            </w:r>
          </w:p>
        </w:tc>
        <w:tc>
          <w:tcPr>
            <w:tcW w:w="1705" w:type="dxa"/>
            <w:shd w:val="clear" w:color="auto" w:fill="auto"/>
            <w:vAlign w:val="center"/>
          </w:tcPr>
          <w:p w14:paraId="4C95F9A6">
            <w:pPr>
              <w:pStyle w:val="45"/>
              <w:bidi w:val="0"/>
              <w:rPr>
                <w:rFonts w:hint="default"/>
              </w:rPr>
            </w:pPr>
            <w:r>
              <w:t>Ⅳ</w:t>
            </w:r>
          </w:p>
        </w:tc>
        <w:tc>
          <w:tcPr>
            <w:tcW w:w="1703" w:type="dxa"/>
            <w:shd w:val="clear" w:color="auto" w:fill="auto"/>
            <w:vAlign w:val="center"/>
          </w:tcPr>
          <w:p w14:paraId="3D85D9E3">
            <w:pPr>
              <w:pStyle w:val="45"/>
              <w:bidi w:val="0"/>
              <w:rPr>
                <w:rFonts w:hint="default"/>
              </w:rPr>
            </w:pPr>
            <w:r>
              <w:t>Ⅲ</w:t>
            </w:r>
          </w:p>
        </w:tc>
        <w:tc>
          <w:tcPr>
            <w:tcW w:w="1705" w:type="dxa"/>
            <w:shd w:val="clear" w:color="auto" w:fill="auto"/>
            <w:vAlign w:val="center"/>
          </w:tcPr>
          <w:p w14:paraId="23D5A9B9">
            <w:pPr>
              <w:pStyle w:val="45"/>
              <w:bidi w:val="0"/>
              <w:rPr>
                <w:rFonts w:hint="default"/>
              </w:rPr>
            </w:pPr>
            <w:r>
              <w:t>Ⅲ</w:t>
            </w:r>
          </w:p>
        </w:tc>
      </w:tr>
      <w:tr w14:paraId="00599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shd w:val="clear" w:color="auto" w:fill="auto"/>
            <w:vAlign w:val="center"/>
          </w:tcPr>
          <w:p w14:paraId="6B5DE473">
            <w:pPr>
              <w:pStyle w:val="45"/>
              <w:rPr>
                <w:rFonts w:hint="default" w:ascii="Times New Roman" w:hAnsi="Times New Roman" w:eastAsia="宋体"/>
              </w:rPr>
            </w:pPr>
            <w:r>
              <w:rPr>
                <w:rFonts w:ascii="Times New Roman" w:hAnsi="Times New Roman" w:eastAsia="宋体"/>
              </w:rPr>
              <w:t>环境中度敏感区（E2）</w:t>
            </w:r>
          </w:p>
        </w:tc>
        <w:tc>
          <w:tcPr>
            <w:tcW w:w="1705" w:type="dxa"/>
            <w:shd w:val="clear" w:color="auto" w:fill="auto"/>
            <w:vAlign w:val="center"/>
          </w:tcPr>
          <w:p w14:paraId="4B240B2C">
            <w:pPr>
              <w:pStyle w:val="45"/>
              <w:bidi w:val="0"/>
              <w:rPr>
                <w:rFonts w:hint="default"/>
              </w:rPr>
            </w:pPr>
            <w:r>
              <w:t>Ⅳ</w:t>
            </w:r>
          </w:p>
        </w:tc>
        <w:tc>
          <w:tcPr>
            <w:tcW w:w="1705" w:type="dxa"/>
            <w:shd w:val="clear" w:color="auto" w:fill="auto"/>
            <w:vAlign w:val="center"/>
          </w:tcPr>
          <w:p w14:paraId="58FFD25D">
            <w:pPr>
              <w:pStyle w:val="45"/>
              <w:bidi w:val="0"/>
              <w:rPr>
                <w:rFonts w:hint="default"/>
              </w:rPr>
            </w:pPr>
            <w:r>
              <w:t>Ⅲ</w:t>
            </w:r>
          </w:p>
        </w:tc>
        <w:tc>
          <w:tcPr>
            <w:tcW w:w="1703" w:type="dxa"/>
            <w:shd w:val="clear" w:color="auto" w:fill="auto"/>
            <w:vAlign w:val="center"/>
          </w:tcPr>
          <w:p w14:paraId="294C2EAE">
            <w:pPr>
              <w:pStyle w:val="45"/>
              <w:bidi w:val="0"/>
              <w:rPr>
                <w:rFonts w:hint="default"/>
              </w:rPr>
            </w:pPr>
            <w:r>
              <w:t>Ⅲ</w:t>
            </w:r>
          </w:p>
        </w:tc>
        <w:tc>
          <w:tcPr>
            <w:tcW w:w="1705" w:type="dxa"/>
            <w:shd w:val="clear" w:color="auto" w:fill="auto"/>
            <w:vAlign w:val="center"/>
          </w:tcPr>
          <w:p w14:paraId="318FE947">
            <w:pPr>
              <w:pStyle w:val="45"/>
              <w:bidi w:val="0"/>
              <w:rPr>
                <w:rFonts w:hint="default"/>
              </w:rPr>
            </w:pPr>
            <w:r>
              <w:t>Ⅱ</w:t>
            </w:r>
          </w:p>
        </w:tc>
      </w:tr>
      <w:tr w14:paraId="46AE8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shd w:val="clear" w:color="auto" w:fill="auto"/>
            <w:vAlign w:val="center"/>
          </w:tcPr>
          <w:p w14:paraId="03431919">
            <w:pPr>
              <w:pStyle w:val="45"/>
              <w:rPr>
                <w:rFonts w:hint="default" w:ascii="Times New Roman" w:hAnsi="Times New Roman" w:eastAsia="宋体"/>
              </w:rPr>
            </w:pPr>
            <w:r>
              <w:rPr>
                <w:rFonts w:ascii="Times New Roman" w:hAnsi="Times New Roman" w:eastAsia="宋体"/>
              </w:rPr>
              <w:t>环境低度敏感区（E3）</w:t>
            </w:r>
          </w:p>
        </w:tc>
        <w:tc>
          <w:tcPr>
            <w:tcW w:w="1705" w:type="dxa"/>
            <w:shd w:val="clear" w:color="auto" w:fill="auto"/>
            <w:vAlign w:val="center"/>
          </w:tcPr>
          <w:p w14:paraId="53FF2911">
            <w:pPr>
              <w:pStyle w:val="45"/>
              <w:bidi w:val="0"/>
              <w:rPr>
                <w:rFonts w:hint="default"/>
              </w:rPr>
            </w:pPr>
            <w:r>
              <w:t>Ⅲ</w:t>
            </w:r>
          </w:p>
        </w:tc>
        <w:tc>
          <w:tcPr>
            <w:tcW w:w="1705" w:type="dxa"/>
            <w:shd w:val="clear" w:color="auto" w:fill="auto"/>
            <w:vAlign w:val="center"/>
          </w:tcPr>
          <w:p w14:paraId="6D2BAEEB">
            <w:pPr>
              <w:pStyle w:val="45"/>
              <w:bidi w:val="0"/>
              <w:rPr>
                <w:rFonts w:hint="default"/>
              </w:rPr>
            </w:pPr>
            <w:r>
              <w:t>Ⅲ</w:t>
            </w:r>
          </w:p>
        </w:tc>
        <w:tc>
          <w:tcPr>
            <w:tcW w:w="1703" w:type="dxa"/>
            <w:shd w:val="clear" w:color="auto" w:fill="auto"/>
            <w:vAlign w:val="center"/>
          </w:tcPr>
          <w:p w14:paraId="6CFA1ACB">
            <w:pPr>
              <w:pStyle w:val="45"/>
              <w:bidi w:val="0"/>
              <w:rPr>
                <w:rFonts w:hint="default"/>
              </w:rPr>
            </w:pPr>
            <w:r>
              <w:t>Ⅱ</w:t>
            </w:r>
          </w:p>
        </w:tc>
        <w:tc>
          <w:tcPr>
            <w:tcW w:w="1705" w:type="dxa"/>
            <w:shd w:val="clear" w:color="auto" w:fill="auto"/>
            <w:vAlign w:val="center"/>
          </w:tcPr>
          <w:p w14:paraId="4B54CEFD">
            <w:pPr>
              <w:pStyle w:val="45"/>
              <w:bidi w:val="0"/>
              <w:rPr>
                <w:rFonts w:hint="default"/>
              </w:rPr>
            </w:pPr>
            <w:r>
              <w:t>Ⅰ</w:t>
            </w:r>
          </w:p>
        </w:tc>
      </w:tr>
      <w:tr w14:paraId="76A4A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5"/>
            <w:shd w:val="clear" w:color="auto" w:fill="auto"/>
            <w:vAlign w:val="center"/>
          </w:tcPr>
          <w:p w14:paraId="6FA5322A">
            <w:pPr>
              <w:pStyle w:val="45"/>
              <w:rPr>
                <w:rFonts w:hint="default" w:ascii="Times New Roman" w:hAnsi="Times New Roman" w:eastAsia="宋体"/>
              </w:rPr>
            </w:pPr>
            <w:r>
              <w:rPr>
                <w:rFonts w:ascii="Times New Roman" w:hAnsi="Times New Roman" w:eastAsia="宋体"/>
              </w:rPr>
              <w:t>注：Ⅳ+为极高环境风险</w:t>
            </w:r>
          </w:p>
        </w:tc>
      </w:tr>
    </w:tbl>
    <w:p w14:paraId="7A6F7212">
      <w:pPr>
        <w:spacing w:line="240" w:lineRule="auto"/>
        <w:ind w:firstLine="0" w:firstLineChars="0"/>
      </w:pPr>
    </w:p>
    <w:p w14:paraId="79A63926">
      <w:pPr>
        <w:ind w:firstLine="480"/>
      </w:pPr>
      <w:r>
        <w:t>根据《建设项目环境风险评价技术导则》（HJ169-2018），本项目</w:t>
      </w:r>
      <w:r>
        <w:rPr>
          <w:rFonts w:hint="eastAsia"/>
        </w:rPr>
        <w:t>建成后全厂的</w:t>
      </w:r>
      <w:r>
        <w:t>环境风险评价等级为一级。</w:t>
      </w:r>
    </w:p>
    <w:p w14:paraId="701563C0">
      <w:pPr>
        <w:pStyle w:val="43"/>
        <w:numPr>
          <w:ilvl w:val="5"/>
          <w:numId w:val="1"/>
        </w:numPr>
        <w:rPr>
          <w:rFonts w:hint="default"/>
        </w:rPr>
      </w:pPr>
      <w:r>
        <w:t>项目建成后全厂环境风险评价工作等级划分</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7"/>
        <w:gridCol w:w="1698"/>
        <w:gridCol w:w="1698"/>
        <w:gridCol w:w="1698"/>
        <w:gridCol w:w="1698"/>
      </w:tblGrid>
      <w:tr w14:paraId="5B9AE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7" w:type="dxa"/>
            <w:shd w:val="clear" w:color="auto" w:fill="auto"/>
            <w:vAlign w:val="center"/>
          </w:tcPr>
          <w:p w14:paraId="62A885A5">
            <w:pPr>
              <w:pStyle w:val="45"/>
              <w:rPr>
                <w:rFonts w:hint="default"/>
                <w:b/>
                <w:bCs/>
              </w:rPr>
            </w:pPr>
            <w:r>
              <w:rPr>
                <w:b/>
                <w:bCs/>
              </w:rPr>
              <w:t>环境风险潜势</w:t>
            </w:r>
          </w:p>
        </w:tc>
        <w:tc>
          <w:tcPr>
            <w:tcW w:w="1698" w:type="dxa"/>
            <w:shd w:val="clear" w:color="auto" w:fill="auto"/>
            <w:vAlign w:val="center"/>
          </w:tcPr>
          <w:p w14:paraId="62017CF1">
            <w:pPr>
              <w:pStyle w:val="45"/>
              <w:rPr>
                <w:rFonts w:hint="default"/>
              </w:rPr>
            </w:pPr>
            <w:r>
              <w:t>IV、IV+</w:t>
            </w:r>
          </w:p>
        </w:tc>
        <w:tc>
          <w:tcPr>
            <w:tcW w:w="1698" w:type="dxa"/>
            <w:shd w:val="clear" w:color="auto" w:fill="auto"/>
            <w:vAlign w:val="center"/>
          </w:tcPr>
          <w:p w14:paraId="23EF9DBD">
            <w:pPr>
              <w:pStyle w:val="45"/>
              <w:rPr>
                <w:rFonts w:hint="default"/>
              </w:rPr>
            </w:pPr>
            <w:r>
              <w:t>III</w:t>
            </w:r>
          </w:p>
        </w:tc>
        <w:tc>
          <w:tcPr>
            <w:tcW w:w="1698" w:type="dxa"/>
            <w:shd w:val="clear" w:color="auto" w:fill="auto"/>
            <w:vAlign w:val="center"/>
          </w:tcPr>
          <w:p w14:paraId="35AFCF42">
            <w:pPr>
              <w:pStyle w:val="45"/>
              <w:rPr>
                <w:rFonts w:hint="default"/>
              </w:rPr>
            </w:pPr>
            <w:r>
              <w:t>II</w:t>
            </w:r>
          </w:p>
        </w:tc>
        <w:tc>
          <w:tcPr>
            <w:tcW w:w="1698" w:type="dxa"/>
            <w:shd w:val="clear" w:color="auto" w:fill="auto"/>
            <w:vAlign w:val="center"/>
          </w:tcPr>
          <w:p w14:paraId="57C72769">
            <w:pPr>
              <w:pStyle w:val="45"/>
              <w:rPr>
                <w:rFonts w:hint="default"/>
              </w:rPr>
            </w:pPr>
            <w:r>
              <w:t>I</w:t>
            </w:r>
          </w:p>
        </w:tc>
      </w:tr>
      <w:tr w14:paraId="273DE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7" w:type="dxa"/>
            <w:shd w:val="clear" w:color="auto" w:fill="auto"/>
            <w:vAlign w:val="center"/>
          </w:tcPr>
          <w:p w14:paraId="61A14C1E">
            <w:pPr>
              <w:pStyle w:val="45"/>
              <w:rPr>
                <w:rFonts w:hint="default"/>
                <w:b/>
                <w:bCs/>
              </w:rPr>
            </w:pPr>
            <w:r>
              <w:rPr>
                <w:b/>
                <w:bCs/>
              </w:rPr>
              <w:t>评价工作等级</w:t>
            </w:r>
          </w:p>
        </w:tc>
        <w:tc>
          <w:tcPr>
            <w:tcW w:w="1698" w:type="dxa"/>
            <w:shd w:val="clear" w:color="auto" w:fill="E7E6E6" w:themeFill="background2"/>
            <w:vAlign w:val="center"/>
          </w:tcPr>
          <w:p w14:paraId="0DDB5D74">
            <w:pPr>
              <w:pStyle w:val="45"/>
              <w:rPr>
                <w:rFonts w:hint="default"/>
              </w:rPr>
            </w:pPr>
            <w:r>
              <w:t>一</w:t>
            </w:r>
          </w:p>
        </w:tc>
        <w:tc>
          <w:tcPr>
            <w:tcW w:w="1698" w:type="dxa"/>
            <w:shd w:val="clear" w:color="auto" w:fill="auto"/>
            <w:vAlign w:val="center"/>
          </w:tcPr>
          <w:p w14:paraId="34558B6F">
            <w:pPr>
              <w:pStyle w:val="45"/>
              <w:rPr>
                <w:rFonts w:hint="default"/>
              </w:rPr>
            </w:pPr>
            <w:r>
              <w:t>二</w:t>
            </w:r>
          </w:p>
        </w:tc>
        <w:tc>
          <w:tcPr>
            <w:tcW w:w="1698" w:type="dxa"/>
            <w:shd w:val="clear" w:color="auto" w:fill="auto"/>
            <w:vAlign w:val="center"/>
          </w:tcPr>
          <w:p w14:paraId="774C4999">
            <w:pPr>
              <w:pStyle w:val="45"/>
              <w:rPr>
                <w:rFonts w:hint="default"/>
              </w:rPr>
            </w:pPr>
            <w:r>
              <w:t>三</w:t>
            </w:r>
          </w:p>
        </w:tc>
        <w:tc>
          <w:tcPr>
            <w:tcW w:w="1698" w:type="dxa"/>
            <w:shd w:val="clear" w:color="auto" w:fill="auto"/>
            <w:vAlign w:val="center"/>
          </w:tcPr>
          <w:p w14:paraId="489B30D8">
            <w:pPr>
              <w:pStyle w:val="45"/>
              <w:rPr>
                <w:rFonts w:hint="default"/>
              </w:rPr>
            </w:pPr>
            <w:r>
              <w:t>简单分析a</w:t>
            </w:r>
          </w:p>
        </w:tc>
      </w:tr>
      <w:tr w14:paraId="2D8F7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9" w:type="dxa"/>
            <w:gridSpan w:val="5"/>
            <w:shd w:val="clear" w:color="auto" w:fill="auto"/>
            <w:vAlign w:val="center"/>
          </w:tcPr>
          <w:p w14:paraId="766D1C4E">
            <w:pPr>
              <w:pStyle w:val="45"/>
              <w:rPr>
                <w:rFonts w:hint="default"/>
              </w:rPr>
            </w:pPr>
            <w:r>
              <w:t>a是相对于详细评价工作内容而言，在描述危险物质、环境影响途径、环境危害后果、风险防范措施等方面给出定性的说明。</w:t>
            </w:r>
          </w:p>
        </w:tc>
      </w:tr>
    </w:tbl>
    <w:p w14:paraId="0A613C4B">
      <w:pPr>
        <w:pStyle w:val="26"/>
        <w:spacing w:line="240" w:lineRule="auto"/>
        <w:ind w:firstLine="480"/>
      </w:pPr>
    </w:p>
    <w:p w14:paraId="3110E032">
      <w:pPr>
        <w:pStyle w:val="26"/>
        <w:ind w:firstLine="480"/>
      </w:pPr>
      <w:r>
        <w:t>大气</w:t>
      </w:r>
      <w:r>
        <w:rPr>
          <w:rFonts w:hint="eastAsia"/>
          <w:lang w:eastAsia="zh-CN"/>
        </w:rPr>
        <w:t>环境</w:t>
      </w:r>
      <w:r>
        <w:t>敏感程度等级为E1类、地表水环境敏感程度等级为E1类、地下水环境敏感程度等级为E3。本项目</w:t>
      </w:r>
      <w:r>
        <w:rPr>
          <w:rFonts w:hint="eastAsia"/>
        </w:rPr>
        <w:t>建成后全厂的</w:t>
      </w:r>
      <w:r>
        <w:t>各要素</w:t>
      </w:r>
      <w:r>
        <w:rPr>
          <w:lang w:val="zh-CN"/>
        </w:rPr>
        <w:t>环境风险潜势</w:t>
      </w:r>
      <w:r>
        <w:t>详见表</w:t>
      </w:r>
      <w:r>
        <w:rPr>
          <w:rFonts w:hint="eastAsia"/>
        </w:rPr>
        <w:t>8</w:t>
      </w:r>
      <w:r>
        <w:t>.1-13。</w:t>
      </w:r>
    </w:p>
    <w:p w14:paraId="7EB83018">
      <w:pPr>
        <w:pStyle w:val="43"/>
        <w:numPr>
          <w:ilvl w:val="5"/>
          <w:numId w:val="1"/>
        </w:numPr>
        <w:rPr>
          <w:rFonts w:hint="default"/>
        </w:rPr>
      </w:pPr>
      <w:r>
        <w:t>项目建成后全厂的各要素环境风险潜势一览表</w:t>
      </w:r>
    </w:p>
    <w:tbl>
      <w:tblPr>
        <w:tblStyle w:val="32"/>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707"/>
        <w:gridCol w:w="2906"/>
        <w:gridCol w:w="2906"/>
      </w:tblGrid>
      <w:tr w14:paraId="31566F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blHeader/>
          <w:jc w:val="center"/>
        </w:trPr>
        <w:tc>
          <w:tcPr>
            <w:tcW w:w="1588" w:type="pct"/>
            <w:vAlign w:val="center"/>
          </w:tcPr>
          <w:p w14:paraId="26DD49DF">
            <w:pPr>
              <w:pStyle w:val="45"/>
              <w:rPr>
                <w:rFonts w:hint="default"/>
                <w:b/>
                <w:bCs/>
              </w:rPr>
            </w:pPr>
            <w:r>
              <w:rPr>
                <w:rFonts w:hint="default"/>
                <w:b/>
                <w:bCs/>
              </w:rPr>
              <w:t>大气环境风险潜势</w:t>
            </w:r>
          </w:p>
        </w:tc>
        <w:tc>
          <w:tcPr>
            <w:tcW w:w="1705" w:type="pct"/>
            <w:vAlign w:val="center"/>
          </w:tcPr>
          <w:p w14:paraId="512A7FBA">
            <w:pPr>
              <w:pStyle w:val="45"/>
              <w:rPr>
                <w:rFonts w:hint="default"/>
                <w:b/>
                <w:bCs/>
              </w:rPr>
            </w:pPr>
            <w:r>
              <w:rPr>
                <w:rFonts w:hint="default"/>
                <w:b/>
                <w:bCs/>
              </w:rPr>
              <w:t>地表水环境风险潜势</w:t>
            </w:r>
          </w:p>
        </w:tc>
        <w:tc>
          <w:tcPr>
            <w:tcW w:w="1705" w:type="pct"/>
            <w:vAlign w:val="center"/>
          </w:tcPr>
          <w:p w14:paraId="63F9BEA1">
            <w:pPr>
              <w:pStyle w:val="45"/>
              <w:rPr>
                <w:rFonts w:hint="default"/>
                <w:b/>
                <w:bCs/>
              </w:rPr>
            </w:pPr>
            <w:r>
              <w:rPr>
                <w:rFonts w:hint="default"/>
                <w:b/>
                <w:bCs/>
              </w:rPr>
              <w:t>地下水环境风险潜势</w:t>
            </w:r>
          </w:p>
        </w:tc>
      </w:tr>
      <w:tr w14:paraId="6E6968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588" w:type="pct"/>
            <w:vAlign w:val="center"/>
          </w:tcPr>
          <w:p w14:paraId="209ECB30">
            <w:pPr>
              <w:pStyle w:val="45"/>
              <w:rPr>
                <w:rFonts w:hint="default"/>
              </w:rPr>
            </w:pPr>
            <w:r>
              <w:rPr>
                <w:rFonts w:hint="default"/>
              </w:rPr>
              <w:t>Ⅳ+</w:t>
            </w:r>
          </w:p>
        </w:tc>
        <w:tc>
          <w:tcPr>
            <w:tcW w:w="1705" w:type="pct"/>
            <w:vAlign w:val="center"/>
          </w:tcPr>
          <w:p w14:paraId="590E2D9B">
            <w:pPr>
              <w:pStyle w:val="45"/>
              <w:rPr>
                <w:rFonts w:hint="default"/>
              </w:rPr>
            </w:pPr>
            <w:r>
              <w:rPr>
                <w:rFonts w:hint="default"/>
              </w:rPr>
              <w:t>Ⅳ+</w:t>
            </w:r>
          </w:p>
        </w:tc>
        <w:tc>
          <w:tcPr>
            <w:tcW w:w="1705" w:type="pct"/>
            <w:vAlign w:val="center"/>
          </w:tcPr>
          <w:p w14:paraId="7388C1E4">
            <w:pPr>
              <w:pStyle w:val="45"/>
              <w:rPr>
                <w:rFonts w:hint="default"/>
              </w:rPr>
            </w:pPr>
            <w:r>
              <w:rPr>
                <w:rFonts w:hint="default"/>
              </w:rPr>
              <w:t>Ⅲ</w:t>
            </w:r>
          </w:p>
        </w:tc>
      </w:tr>
    </w:tbl>
    <w:p w14:paraId="4ACD2D6D">
      <w:pPr>
        <w:spacing w:line="240" w:lineRule="auto"/>
        <w:ind w:firstLine="0" w:firstLineChars="0"/>
      </w:pPr>
    </w:p>
    <w:p w14:paraId="1995EA21">
      <w:pPr>
        <w:ind w:firstLine="480"/>
        <w:rPr>
          <w:rFonts w:hint="eastAsia" w:eastAsia="宋体"/>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t>本项目</w:t>
      </w:r>
      <w:r>
        <w:rPr>
          <w:rFonts w:hint="eastAsia"/>
        </w:rPr>
        <w:t>建成</w:t>
      </w:r>
      <w:r>
        <w:t>后全厂的危险物质及工艺系统危险性分级为P1，大气、地表水、地下水环境的环境敏感程度分别为E1级、E1级、E3级，因此本项目大气、地表水、地下水环境各要素环境风险潜势分别为Ⅳ+级、Ⅳ+级、Ⅲ级，因此，确定本项目大气环境、地表水环境风险评价等级为一级，地下水环境风险评价等级为二级。整体风险等级为一级</w:t>
      </w:r>
      <w:r>
        <w:rPr>
          <w:rFonts w:hint="eastAsia"/>
          <w:lang w:eastAsia="zh-CN"/>
        </w:rPr>
        <w:t>。</w:t>
      </w:r>
    </w:p>
    <w:p w14:paraId="5AB49220">
      <w:pPr>
        <w:pStyle w:val="3"/>
        <w:numPr>
          <w:ilvl w:val="1"/>
          <w:numId w:val="1"/>
        </w:numPr>
      </w:pPr>
      <w:bookmarkStart w:id="280" w:name="_Toc29132"/>
      <w:bookmarkStart w:id="281" w:name="_Toc12375"/>
      <w:bookmarkStart w:id="282" w:name="_Toc6335"/>
      <w:r>
        <w:rPr>
          <w:rFonts w:hint="eastAsia"/>
        </w:rPr>
        <w:t>风险识别</w:t>
      </w:r>
      <w:bookmarkEnd w:id="280"/>
      <w:bookmarkEnd w:id="281"/>
      <w:bookmarkEnd w:id="282"/>
    </w:p>
    <w:p w14:paraId="3C832D18">
      <w:pPr>
        <w:pStyle w:val="4"/>
        <w:numPr>
          <w:ilvl w:val="2"/>
          <w:numId w:val="1"/>
        </w:numPr>
      </w:pPr>
      <w:bookmarkStart w:id="283" w:name="_Toc8563"/>
      <w:r>
        <w:rPr>
          <w:rFonts w:hint="eastAsia"/>
        </w:rPr>
        <w:t>风险事故案例调查</w:t>
      </w:r>
      <w:bookmarkEnd w:id="283"/>
    </w:p>
    <w:p w14:paraId="2851805A">
      <w:pPr>
        <w:ind w:firstLine="480"/>
      </w:pPr>
      <w:r>
        <w:rPr>
          <w:rFonts w:hint="eastAsia"/>
        </w:rPr>
        <w:t>为全面了解和掌握化工企业的事故风险情况，对国内外同类化工企业部分典型事故情况进行了调查。具体统计结果见下表。</w:t>
      </w:r>
    </w:p>
    <w:p w14:paraId="1E99C64A">
      <w:pPr>
        <w:pStyle w:val="43"/>
        <w:numPr>
          <w:ilvl w:val="5"/>
          <w:numId w:val="1"/>
        </w:numPr>
        <w:rPr>
          <w:rFonts w:hint="default"/>
        </w:rPr>
      </w:pPr>
      <w:r>
        <w:rPr>
          <w:rFonts w:hint="default"/>
        </w:rPr>
        <w:t>同类企业典型突发环境事件</w:t>
      </w:r>
    </w:p>
    <w:tbl>
      <w:tblPr>
        <w:tblStyle w:val="32"/>
        <w:tblW w:w="502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7"/>
        <w:gridCol w:w="1292"/>
        <w:gridCol w:w="1756"/>
        <w:gridCol w:w="2241"/>
        <w:gridCol w:w="6099"/>
        <w:gridCol w:w="2276"/>
      </w:tblGrid>
      <w:tr w14:paraId="7CE18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tblHeader/>
        </w:trPr>
        <w:tc>
          <w:tcPr>
            <w:tcW w:w="206" w:type="pct"/>
            <w:vAlign w:val="center"/>
          </w:tcPr>
          <w:p w14:paraId="421FB5C6">
            <w:pPr>
              <w:pStyle w:val="45"/>
              <w:rPr>
                <w:rFonts w:hint="default"/>
                <w:b/>
                <w:bCs/>
              </w:rPr>
            </w:pPr>
            <w:r>
              <w:rPr>
                <w:b/>
                <w:bCs/>
              </w:rPr>
              <w:t>序号</w:t>
            </w:r>
          </w:p>
        </w:tc>
        <w:tc>
          <w:tcPr>
            <w:tcW w:w="453" w:type="pct"/>
            <w:vAlign w:val="center"/>
          </w:tcPr>
          <w:p w14:paraId="10BC4830">
            <w:pPr>
              <w:pStyle w:val="45"/>
              <w:rPr>
                <w:rFonts w:hint="default"/>
                <w:b/>
                <w:bCs/>
              </w:rPr>
            </w:pPr>
            <w:r>
              <w:rPr>
                <w:b/>
                <w:bCs/>
              </w:rPr>
              <w:t>发生时间</w:t>
            </w:r>
          </w:p>
        </w:tc>
        <w:tc>
          <w:tcPr>
            <w:tcW w:w="616" w:type="pct"/>
            <w:vAlign w:val="center"/>
          </w:tcPr>
          <w:p w14:paraId="4A994A17">
            <w:pPr>
              <w:pStyle w:val="45"/>
              <w:rPr>
                <w:rFonts w:hint="eastAsia" w:eastAsia="宋体"/>
                <w:b/>
                <w:bCs/>
                <w:lang w:eastAsia="zh-CN"/>
              </w:rPr>
            </w:pPr>
            <w:r>
              <w:rPr>
                <w:rFonts w:hint="eastAsia"/>
                <w:b/>
                <w:bCs/>
                <w:lang w:val="en-US" w:eastAsia="zh-CN"/>
              </w:rPr>
              <w:t>企业名称</w:t>
            </w:r>
          </w:p>
        </w:tc>
        <w:tc>
          <w:tcPr>
            <w:tcW w:w="786" w:type="pct"/>
            <w:vAlign w:val="center"/>
          </w:tcPr>
          <w:p w14:paraId="429B9EB2">
            <w:pPr>
              <w:pStyle w:val="45"/>
              <w:rPr>
                <w:rFonts w:hint="default"/>
                <w:b/>
                <w:bCs/>
              </w:rPr>
            </w:pPr>
            <w:r>
              <w:rPr>
                <w:b/>
                <w:bCs/>
              </w:rPr>
              <w:t>事故概况</w:t>
            </w:r>
          </w:p>
        </w:tc>
        <w:tc>
          <w:tcPr>
            <w:tcW w:w="2139" w:type="pct"/>
            <w:vAlign w:val="center"/>
          </w:tcPr>
          <w:p w14:paraId="3817169C">
            <w:pPr>
              <w:pStyle w:val="45"/>
              <w:rPr>
                <w:rFonts w:hint="default"/>
                <w:b/>
                <w:bCs/>
              </w:rPr>
            </w:pPr>
            <w:r>
              <w:rPr>
                <w:b/>
                <w:bCs/>
              </w:rPr>
              <w:t>引发原因</w:t>
            </w:r>
          </w:p>
        </w:tc>
        <w:tc>
          <w:tcPr>
            <w:tcW w:w="798" w:type="pct"/>
            <w:vAlign w:val="center"/>
          </w:tcPr>
          <w:p w14:paraId="766C8939">
            <w:pPr>
              <w:pStyle w:val="45"/>
              <w:rPr>
                <w:rFonts w:hint="default"/>
                <w:b/>
                <w:bCs/>
              </w:rPr>
            </w:pPr>
            <w:r>
              <w:rPr>
                <w:b/>
                <w:bCs/>
              </w:rPr>
              <w:t>事件影响后果</w:t>
            </w:r>
          </w:p>
        </w:tc>
      </w:tr>
      <w:tr w14:paraId="615AC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3" w:hRule="atLeast"/>
        </w:trPr>
        <w:tc>
          <w:tcPr>
            <w:tcW w:w="206" w:type="pct"/>
            <w:vAlign w:val="center"/>
          </w:tcPr>
          <w:p w14:paraId="2BAB13FF">
            <w:pPr>
              <w:pStyle w:val="45"/>
              <w:rPr>
                <w:rFonts w:hint="default"/>
              </w:rPr>
            </w:pPr>
            <w:r>
              <w:t>1</w:t>
            </w:r>
          </w:p>
        </w:tc>
        <w:tc>
          <w:tcPr>
            <w:tcW w:w="453" w:type="pct"/>
            <w:vAlign w:val="center"/>
          </w:tcPr>
          <w:p w14:paraId="2F445FAC">
            <w:pPr>
              <w:pStyle w:val="45"/>
              <w:rPr>
                <w:rFonts w:hint="default"/>
              </w:rPr>
            </w:pPr>
            <w:r>
              <w:t>2005年4月15日</w:t>
            </w:r>
          </w:p>
        </w:tc>
        <w:tc>
          <w:tcPr>
            <w:tcW w:w="616" w:type="pct"/>
            <w:vAlign w:val="center"/>
          </w:tcPr>
          <w:p w14:paraId="66C3582A">
            <w:pPr>
              <w:pStyle w:val="45"/>
              <w:rPr>
                <w:rFonts w:hint="default"/>
              </w:rPr>
            </w:pPr>
            <w:r>
              <w:t>重庆市江北区的天原化工总厂</w:t>
            </w:r>
          </w:p>
        </w:tc>
        <w:tc>
          <w:tcPr>
            <w:tcW w:w="786" w:type="pct"/>
            <w:vAlign w:val="center"/>
          </w:tcPr>
          <w:p w14:paraId="18171A8C">
            <w:pPr>
              <w:pStyle w:val="45"/>
              <w:rPr>
                <w:rFonts w:hint="default"/>
              </w:rPr>
            </w:pPr>
            <w:r>
              <w:t>氯气泄漏</w:t>
            </w:r>
            <w:r>
              <w:rPr>
                <w:rFonts w:hint="eastAsia"/>
                <w:lang w:eastAsia="zh-CN"/>
              </w:rPr>
              <w:t>、</w:t>
            </w:r>
            <w:r>
              <w:t>爆炸</w:t>
            </w:r>
          </w:p>
        </w:tc>
        <w:tc>
          <w:tcPr>
            <w:tcW w:w="2139" w:type="pct"/>
            <w:vAlign w:val="center"/>
          </w:tcPr>
          <w:p w14:paraId="030E4CC3">
            <w:pPr>
              <w:pStyle w:val="45"/>
              <w:rPr>
                <w:rFonts w:hint="default"/>
              </w:rPr>
            </w:pPr>
            <w:r>
              <w:t>重庆天原化工总厂的工人在操作中发现，2号氯冷凝器出现穿孔，有氯气泄漏，厂部立刻进行紧急处置。但16日凌晨2点左右，冷凝器突然发生局部爆炸，氯气随即弥漫开来。16日17时57分由于4、5、6号氯气罐泄漏再次引起爆炸。</w:t>
            </w:r>
          </w:p>
        </w:tc>
        <w:tc>
          <w:tcPr>
            <w:tcW w:w="798" w:type="pct"/>
            <w:vAlign w:val="center"/>
          </w:tcPr>
          <w:p w14:paraId="0A1CD545">
            <w:pPr>
              <w:pStyle w:val="45"/>
              <w:rPr>
                <w:rFonts w:hint="default"/>
              </w:rPr>
            </w:pPr>
            <w:r>
              <w:t>事故共造成9人死亡，3人受伤。造成化工厂附近15万人大转移</w:t>
            </w:r>
          </w:p>
        </w:tc>
      </w:tr>
      <w:tr w14:paraId="78641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0" w:hRule="atLeast"/>
        </w:trPr>
        <w:tc>
          <w:tcPr>
            <w:tcW w:w="206" w:type="pct"/>
            <w:vAlign w:val="center"/>
          </w:tcPr>
          <w:p w14:paraId="49BBCF85">
            <w:pPr>
              <w:pStyle w:val="45"/>
              <w:rPr>
                <w:rFonts w:hint="eastAsia" w:eastAsia="宋体"/>
                <w:lang w:val="en-US" w:eastAsia="zh-CN"/>
              </w:rPr>
            </w:pPr>
            <w:r>
              <w:rPr>
                <w:rFonts w:hint="eastAsia"/>
                <w:lang w:val="en-US" w:eastAsia="zh-CN"/>
              </w:rPr>
              <w:t>2</w:t>
            </w:r>
          </w:p>
        </w:tc>
        <w:tc>
          <w:tcPr>
            <w:tcW w:w="453" w:type="pct"/>
            <w:vAlign w:val="center"/>
          </w:tcPr>
          <w:p w14:paraId="65CF35E3">
            <w:pPr>
              <w:pStyle w:val="45"/>
              <w:rPr>
                <w:rFonts w:hint="default"/>
              </w:rPr>
            </w:pPr>
            <w:r>
              <w:rPr>
                <w:rFonts w:hint="eastAsia"/>
                <w:lang w:val="en-US" w:eastAsia="zh-CN"/>
              </w:rPr>
              <w:t>2017</w:t>
            </w:r>
            <w:r>
              <w:t>年</w:t>
            </w:r>
            <w:r>
              <w:rPr>
                <w:rFonts w:hint="eastAsia"/>
                <w:lang w:val="en-US" w:eastAsia="zh-CN"/>
              </w:rPr>
              <w:t>6</w:t>
            </w:r>
            <w:r>
              <w:t>月</w:t>
            </w:r>
            <w:r>
              <w:rPr>
                <w:rFonts w:hint="eastAsia"/>
                <w:lang w:val="en-US" w:eastAsia="zh-CN"/>
              </w:rPr>
              <w:t>17</w:t>
            </w:r>
            <w:r>
              <w:t>日</w:t>
            </w:r>
          </w:p>
        </w:tc>
        <w:tc>
          <w:tcPr>
            <w:tcW w:w="616" w:type="pct"/>
            <w:vAlign w:val="center"/>
          </w:tcPr>
          <w:p w14:paraId="0BCDCBFE">
            <w:pPr>
              <w:pStyle w:val="45"/>
              <w:rPr>
                <w:rFonts w:hint="default"/>
              </w:rPr>
            </w:pPr>
            <w:r>
              <w:rPr>
                <w:rFonts w:hint="default"/>
              </w:rPr>
              <w:t>河南省佳化能源股份有限公司</w:t>
            </w:r>
          </w:p>
        </w:tc>
        <w:tc>
          <w:tcPr>
            <w:tcW w:w="786" w:type="pct"/>
            <w:vAlign w:val="center"/>
          </w:tcPr>
          <w:p w14:paraId="0E181856">
            <w:pPr>
              <w:pStyle w:val="45"/>
              <w:rPr>
                <w:rFonts w:hint="default"/>
              </w:rPr>
            </w:pPr>
            <w:r>
              <w:rPr>
                <w:rFonts w:hint="eastAsia"/>
                <w:lang w:val="en-US" w:eastAsia="zh-CN"/>
              </w:rPr>
              <w:t>火灾爆炸</w:t>
            </w:r>
          </w:p>
        </w:tc>
        <w:tc>
          <w:tcPr>
            <w:tcW w:w="2139" w:type="pct"/>
            <w:vAlign w:val="center"/>
          </w:tcPr>
          <w:p w14:paraId="77C3233C">
            <w:pPr>
              <w:pStyle w:val="45"/>
              <w:rPr>
                <w:rFonts w:hint="default"/>
              </w:rPr>
            </w:pPr>
            <w:r>
              <w:rPr>
                <w:rFonts w:hint="default"/>
              </w:rPr>
              <w:t>39#物料储罐在装卸加注过程中，起火发生爆炸，同时引发同一防火堤内的其他储罐相继起火。</w:t>
            </w:r>
          </w:p>
        </w:tc>
        <w:tc>
          <w:tcPr>
            <w:tcW w:w="798" w:type="pct"/>
            <w:vAlign w:val="center"/>
          </w:tcPr>
          <w:p w14:paraId="6D75E631">
            <w:pPr>
              <w:pStyle w:val="45"/>
              <w:rPr>
                <w:rFonts w:hint="eastAsia" w:ascii="TimesNewRomanPSMT" w:hAnsi="TimesNewRomanPSMT" w:eastAsia="TimesNewRomanPSMT"/>
                <w:sz w:val="21"/>
                <w:szCs w:val="24"/>
              </w:rPr>
            </w:pPr>
            <w:r>
              <w:rPr>
                <w:rFonts w:hint="eastAsia"/>
              </w:rPr>
              <w:t>死亡 1 人</w:t>
            </w:r>
          </w:p>
        </w:tc>
      </w:tr>
      <w:tr w14:paraId="2D2D2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0" w:hRule="atLeast"/>
        </w:trPr>
        <w:tc>
          <w:tcPr>
            <w:tcW w:w="206" w:type="pct"/>
            <w:vAlign w:val="center"/>
          </w:tcPr>
          <w:p w14:paraId="1DEBFFC2">
            <w:pPr>
              <w:pStyle w:val="45"/>
              <w:rPr>
                <w:rFonts w:hint="eastAsia" w:eastAsia="宋体"/>
                <w:lang w:eastAsia="zh-CN"/>
              </w:rPr>
            </w:pPr>
            <w:r>
              <w:rPr>
                <w:rFonts w:hint="eastAsia"/>
                <w:lang w:val="en-US" w:eastAsia="zh-CN"/>
              </w:rPr>
              <w:t>3</w:t>
            </w:r>
          </w:p>
        </w:tc>
        <w:tc>
          <w:tcPr>
            <w:tcW w:w="453" w:type="pct"/>
            <w:vAlign w:val="center"/>
          </w:tcPr>
          <w:p w14:paraId="27903F89">
            <w:pPr>
              <w:pStyle w:val="45"/>
              <w:rPr>
                <w:rFonts w:hint="default"/>
              </w:rPr>
            </w:pPr>
            <w:r>
              <w:rPr>
                <w:rFonts w:hint="default"/>
              </w:rPr>
              <w:t>2018 年6月21 日</w:t>
            </w:r>
          </w:p>
        </w:tc>
        <w:tc>
          <w:tcPr>
            <w:tcW w:w="616" w:type="pct"/>
            <w:vAlign w:val="center"/>
          </w:tcPr>
          <w:p w14:paraId="0ED77137">
            <w:pPr>
              <w:pStyle w:val="45"/>
              <w:rPr>
                <w:rFonts w:hint="default"/>
              </w:rPr>
            </w:pPr>
            <w:r>
              <w:rPr>
                <w:rFonts w:hint="default"/>
              </w:rPr>
              <w:t>大连市石镜精细化工有限公司</w:t>
            </w:r>
          </w:p>
        </w:tc>
        <w:tc>
          <w:tcPr>
            <w:tcW w:w="786" w:type="pct"/>
            <w:vAlign w:val="center"/>
          </w:tcPr>
          <w:p w14:paraId="04E0A8A6">
            <w:pPr>
              <w:pStyle w:val="45"/>
              <w:rPr>
                <w:rFonts w:hint="default"/>
              </w:rPr>
            </w:pPr>
            <w:r>
              <w:rPr>
                <w:rFonts w:hint="default"/>
              </w:rPr>
              <w:t>泄露</w:t>
            </w:r>
          </w:p>
        </w:tc>
        <w:tc>
          <w:tcPr>
            <w:tcW w:w="2139" w:type="pct"/>
            <w:vAlign w:val="center"/>
          </w:tcPr>
          <w:p w14:paraId="039F608D">
            <w:pPr>
              <w:pStyle w:val="45"/>
              <w:rPr>
                <w:rFonts w:hint="default"/>
              </w:rPr>
            </w:pPr>
            <w:r>
              <w:rPr>
                <w:rFonts w:hint="default"/>
              </w:rPr>
              <w:t>因一名工人误操作，致次氯酸钠溶液少量泄漏，产生刺激性气味</w:t>
            </w:r>
          </w:p>
        </w:tc>
        <w:tc>
          <w:tcPr>
            <w:tcW w:w="798" w:type="pct"/>
            <w:vAlign w:val="center"/>
          </w:tcPr>
          <w:p w14:paraId="51399DFD">
            <w:pPr>
              <w:pStyle w:val="45"/>
              <w:rPr>
                <w:rFonts w:hint="default"/>
              </w:rPr>
            </w:pPr>
            <w:r>
              <w:rPr>
                <w:rFonts w:hint="eastAsia" w:ascii="TimesNewRomanPSMT" w:hAnsi="TimesNewRomanPSMT" w:eastAsia="TimesNewRomanPSMT"/>
                <w:sz w:val="21"/>
                <w:szCs w:val="24"/>
              </w:rPr>
              <w:t xml:space="preserve">20 </w:t>
            </w:r>
            <w:r>
              <w:rPr>
                <w:rFonts w:hint="eastAsia" w:ascii="宋体" w:hAnsi="宋体" w:eastAsia="宋体"/>
                <w:sz w:val="21"/>
                <w:szCs w:val="24"/>
              </w:rPr>
              <w:t>余人送医</w:t>
            </w:r>
          </w:p>
        </w:tc>
      </w:tr>
      <w:tr w14:paraId="7D767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trPr>
        <w:tc>
          <w:tcPr>
            <w:tcW w:w="206" w:type="pct"/>
            <w:vAlign w:val="center"/>
          </w:tcPr>
          <w:p w14:paraId="35720E25">
            <w:pPr>
              <w:pStyle w:val="45"/>
              <w:rPr>
                <w:rFonts w:hint="eastAsia" w:eastAsia="宋体"/>
                <w:lang w:val="en-US" w:eastAsia="zh-CN"/>
              </w:rPr>
            </w:pPr>
            <w:r>
              <w:rPr>
                <w:rFonts w:hint="eastAsia"/>
                <w:lang w:val="en-US" w:eastAsia="zh-CN"/>
              </w:rPr>
              <w:t>4</w:t>
            </w:r>
          </w:p>
        </w:tc>
        <w:tc>
          <w:tcPr>
            <w:tcW w:w="453" w:type="pct"/>
            <w:vAlign w:val="center"/>
          </w:tcPr>
          <w:p w14:paraId="75B54931">
            <w:pPr>
              <w:pStyle w:val="45"/>
            </w:pPr>
            <w:r>
              <w:rPr>
                <w:rFonts w:hint="default"/>
              </w:rPr>
              <w:t>20</w:t>
            </w:r>
            <w:r>
              <w:rPr>
                <w:rFonts w:hint="eastAsia"/>
                <w:lang w:val="en-US" w:eastAsia="zh-CN"/>
              </w:rPr>
              <w:t>08</w:t>
            </w:r>
            <w:r>
              <w:rPr>
                <w:rFonts w:hint="default"/>
              </w:rPr>
              <w:t>年6月</w:t>
            </w:r>
            <w:r>
              <w:rPr>
                <w:rFonts w:hint="eastAsia"/>
                <w:lang w:val="en-US" w:eastAsia="zh-CN"/>
              </w:rPr>
              <w:t>16</w:t>
            </w:r>
            <w:r>
              <w:rPr>
                <w:rFonts w:hint="default"/>
              </w:rPr>
              <w:t>日</w:t>
            </w:r>
          </w:p>
        </w:tc>
        <w:tc>
          <w:tcPr>
            <w:tcW w:w="616" w:type="pct"/>
            <w:vAlign w:val="center"/>
          </w:tcPr>
          <w:p w14:paraId="3DB042A1">
            <w:pPr>
              <w:pStyle w:val="45"/>
            </w:pPr>
            <w:r>
              <w:rPr>
                <w:rFonts w:hint="eastAsia"/>
              </w:rPr>
              <w:t>淄博中轩生化有限公司</w:t>
            </w:r>
          </w:p>
        </w:tc>
        <w:tc>
          <w:tcPr>
            <w:tcW w:w="786" w:type="pct"/>
            <w:vAlign w:val="center"/>
          </w:tcPr>
          <w:p w14:paraId="3B31F67B">
            <w:pPr>
              <w:pStyle w:val="45"/>
            </w:pPr>
            <w:r>
              <w:rPr>
                <w:rFonts w:hint="eastAsia"/>
              </w:rPr>
              <w:t>闪爆火灾</w:t>
            </w:r>
          </w:p>
        </w:tc>
        <w:tc>
          <w:tcPr>
            <w:tcW w:w="2139" w:type="pct"/>
            <w:vAlign w:val="center"/>
          </w:tcPr>
          <w:p w14:paraId="135A814A">
            <w:pPr>
              <w:pStyle w:val="45"/>
              <w:rPr>
                <w:rFonts w:hint="eastAsia"/>
              </w:rPr>
            </w:pPr>
            <w:r>
              <w:rPr>
                <w:rFonts w:hint="eastAsia"/>
              </w:rPr>
              <w:t>违反操作规程，黄原胶生产线离心机维修完毕试</w:t>
            </w:r>
          </w:p>
          <w:p w14:paraId="282E1D45">
            <w:pPr>
              <w:pStyle w:val="45"/>
            </w:pPr>
            <w:r>
              <w:rPr>
                <w:rFonts w:hint="eastAsia"/>
              </w:rPr>
              <w:t>车过程中发生闪爆，引起火灾。</w:t>
            </w:r>
          </w:p>
        </w:tc>
        <w:tc>
          <w:tcPr>
            <w:tcW w:w="798" w:type="pct"/>
            <w:vAlign w:val="center"/>
          </w:tcPr>
          <w:p w14:paraId="6E4E3337">
            <w:pPr>
              <w:pStyle w:val="45"/>
            </w:pPr>
            <w:r>
              <w:rPr>
                <w:rFonts w:hint="eastAsia"/>
              </w:rPr>
              <w:t>伤亡7 人，直接经济损失12 万元。</w:t>
            </w:r>
          </w:p>
        </w:tc>
      </w:tr>
      <w:tr w14:paraId="082EE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trPr>
        <w:tc>
          <w:tcPr>
            <w:tcW w:w="206" w:type="pct"/>
            <w:vAlign w:val="center"/>
          </w:tcPr>
          <w:p w14:paraId="51359308">
            <w:pPr>
              <w:pStyle w:val="45"/>
              <w:rPr>
                <w:rFonts w:hint="default"/>
                <w:lang w:val="en-US" w:eastAsia="zh-CN"/>
              </w:rPr>
            </w:pPr>
            <w:r>
              <w:rPr>
                <w:rFonts w:hint="eastAsia"/>
                <w:lang w:val="en-US" w:eastAsia="zh-CN"/>
              </w:rPr>
              <w:t>5</w:t>
            </w:r>
          </w:p>
        </w:tc>
        <w:tc>
          <w:tcPr>
            <w:tcW w:w="453" w:type="pct"/>
            <w:vAlign w:val="center"/>
          </w:tcPr>
          <w:p w14:paraId="36D91267">
            <w:pPr>
              <w:pStyle w:val="45"/>
              <w:rPr>
                <w:rFonts w:hint="default"/>
              </w:rPr>
            </w:pPr>
            <w:r>
              <w:rPr>
                <w:rFonts w:hint="default"/>
              </w:rPr>
              <w:t>2015年6月28日</w:t>
            </w:r>
          </w:p>
        </w:tc>
        <w:tc>
          <w:tcPr>
            <w:tcW w:w="616" w:type="pct"/>
            <w:vAlign w:val="center"/>
          </w:tcPr>
          <w:p w14:paraId="2294EFB2">
            <w:pPr>
              <w:pStyle w:val="45"/>
              <w:rPr>
                <w:rFonts w:hint="eastAsia"/>
              </w:rPr>
            </w:pPr>
            <w:r>
              <w:rPr>
                <w:rFonts w:hint="eastAsia"/>
              </w:rPr>
              <w:t>伊东九鼎化工厂</w:t>
            </w:r>
          </w:p>
        </w:tc>
        <w:tc>
          <w:tcPr>
            <w:tcW w:w="786" w:type="pct"/>
            <w:vAlign w:val="center"/>
          </w:tcPr>
          <w:p w14:paraId="178879A9">
            <w:pPr>
              <w:pStyle w:val="45"/>
              <w:rPr>
                <w:rFonts w:hint="eastAsia"/>
              </w:rPr>
            </w:pPr>
            <w:r>
              <w:rPr>
                <w:rFonts w:hint="eastAsia"/>
                <w:lang w:val="en-US" w:eastAsia="zh-CN"/>
              </w:rPr>
              <w:t>氢气泄漏、</w:t>
            </w:r>
            <w:r>
              <w:rPr>
                <w:rFonts w:hint="eastAsia"/>
              </w:rPr>
              <w:t>闪爆火灾</w:t>
            </w:r>
          </w:p>
        </w:tc>
        <w:tc>
          <w:tcPr>
            <w:tcW w:w="2139" w:type="pct"/>
            <w:vAlign w:val="center"/>
          </w:tcPr>
          <w:p w14:paraId="024103AF">
            <w:pPr>
              <w:pStyle w:val="45"/>
              <w:rPr>
                <w:rFonts w:hint="eastAsia"/>
              </w:rPr>
            </w:pPr>
            <w:r>
              <w:rPr>
                <w:rFonts w:hint="eastAsia"/>
              </w:rPr>
              <w:t>净化车间内的换热器发生氢气泄漏导致氢气闪爆，闪爆后的氢气小范围着火</w:t>
            </w:r>
          </w:p>
        </w:tc>
        <w:tc>
          <w:tcPr>
            <w:tcW w:w="798" w:type="pct"/>
            <w:vAlign w:val="center"/>
          </w:tcPr>
          <w:p w14:paraId="51CBA46C">
            <w:pPr>
              <w:pStyle w:val="45"/>
              <w:rPr>
                <w:rFonts w:hint="eastAsia"/>
              </w:rPr>
            </w:pPr>
            <w:r>
              <w:rPr>
                <w:rFonts w:hint="eastAsia"/>
              </w:rPr>
              <w:t>3名工作人员死亡，6名工作人员受伤</w:t>
            </w:r>
          </w:p>
        </w:tc>
      </w:tr>
    </w:tbl>
    <w:p w14:paraId="3D9AC19A">
      <w:pPr>
        <w:ind w:firstLine="0" w:firstLineChars="0"/>
      </w:pPr>
    </w:p>
    <w:p w14:paraId="606342F2">
      <w:pPr>
        <w:ind w:firstLine="0" w:firstLineChars="0"/>
      </w:pPr>
    </w:p>
    <w:p w14:paraId="787E5907">
      <w:pPr>
        <w:ind w:firstLine="0" w:firstLineChars="0"/>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49B10FFA">
      <w:pPr>
        <w:pStyle w:val="4"/>
        <w:numPr>
          <w:ilvl w:val="2"/>
          <w:numId w:val="1"/>
        </w:numPr>
      </w:pPr>
      <w:bookmarkStart w:id="284" w:name="_Toc5037"/>
      <w:r>
        <w:rPr>
          <w:rFonts w:hint="eastAsia"/>
        </w:rPr>
        <w:t>物质风险识别</w:t>
      </w:r>
      <w:bookmarkEnd w:id="284"/>
    </w:p>
    <w:p w14:paraId="706D4B04">
      <w:pPr>
        <w:ind w:firstLine="480"/>
        <w:rPr>
          <w:color w:val="FF0000"/>
        </w:rPr>
      </w:pPr>
      <w:r>
        <w:rPr>
          <w:rFonts w:hint="eastAsia"/>
          <w:lang w:val="en-US" w:eastAsia="zh-CN"/>
        </w:rPr>
        <w:t>本项目</w:t>
      </w:r>
      <w:r>
        <w:rPr>
          <w:rFonts w:hint="eastAsia"/>
        </w:rPr>
        <w:t>全厂的生产过程中所涉及的各化学原辅料、主副产品的环境风险特性具体见下表。</w:t>
      </w:r>
    </w:p>
    <w:p w14:paraId="2383282C">
      <w:pPr>
        <w:pStyle w:val="43"/>
        <w:numPr>
          <w:ilvl w:val="5"/>
          <w:numId w:val="1"/>
        </w:numPr>
        <w:rPr>
          <w:rFonts w:hint="default"/>
        </w:rPr>
      </w:pPr>
      <w:r>
        <w:rPr>
          <w:rFonts w:hint="eastAsia" w:ascii="Times New Roman" w:hAnsi="Times New Roman" w:cs="Times New Roman"/>
          <w:b/>
          <w:bCs/>
          <w:sz w:val="21"/>
          <w:szCs w:val="21"/>
        </w:rPr>
        <w:t>企业全厂主要环境风险物质识别一览表</w:t>
      </w:r>
    </w:p>
    <w:tbl>
      <w:tblPr>
        <w:tblStyle w:val="33"/>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5"/>
        <w:gridCol w:w="1263"/>
        <w:gridCol w:w="9282"/>
        <w:gridCol w:w="1405"/>
        <w:gridCol w:w="1462"/>
      </w:tblGrid>
      <w:tr w14:paraId="5DF6E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 w:hRule="atLeast"/>
          <w:tblHeader/>
        </w:trPr>
        <w:tc>
          <w:tcPr>
            <w:tcW w:w="263" w:type="pct"/>
            <w:vAlign w:val="center"/>
          </w:tcPr>
          <w:p w14:paraId="21C9FF2B">
            <w:pPr>
              <w:pStyle w:val="45"/>
              <w:rPr>
                <w:rFonts w:hint="default"/>
                <w:b/>
                <w:bCs/>
              </w:rPr>
            </w:pPr>
            <w:r>
              <w:rPr>
                <w:b/>
                <w:bCs/>
              </w:rPr>
              <w:t>序号</w:t>
            </w:r>
          </w:p>
        </w:tc>
        <w:tc>
          <w:tcPr>
            <w:tcW w:w="446" w:type="pct"/>
            <w:vAlign w:val="center"/>
          </w:tcPr>
          <w:p w14:paraId="4986AFC9">
            <w:pPr>
              <w:pStyle w:val="45"/>
              <w:rPr>
                <w:rFonts w:hint="default"/>
                <w:b/>
                <w:bCs/>
              </w:rPr>
            </w:pPr>
            <w:r>
              <w:rPr>
                <w:b/>
                <w:bCs/>
              </w:rPr>
              <w:t>物料名称</w:t>
            </w:r>
          </w:p>
        </w:tc>
        <w:tc>
          <w:tcPr>
            <w:tcW w:w="3278" w:type="pct"/>
            <w:vAlign w:val="center"/>
          </w:tcPr>
          <w:p w14:paraId="57164AA9">
            <w:pPr>
              <w:pStyle w:val="45"/>
              <w:rPr>
                <w:rFonts w:hint="default"/>
                <w:b/>
                <w:bCs/>
              </w:rPr>
            </w:pPr>
            <w:r>
              <w:rPr>
                <w:b/>
                <w:bCs/>
              </w:rPr>
              <w:t>性质</w:t>
            </w:r>
          </w:p>
        </w:tc>
        <w:tc>
          <w:tcPr>
            <w:tcW w:w="496" w:type="pct"/>
            <w:vAlign w:val="center"/>
          </w:tcPr>
          <w:p w14:paraId="625AF974">
            <w:pPr>
              <w:pStyle w:val="45"/>
              <w:rPr>
                <w:rFonts w:hint="default"/>
                <w:b/>
                <w:bCs/>
              </w:rPr>
            </w:pPr>
            <w:r>
              <w:rPr>
                <w:b/>
                <w:bCs/>
              </w:rPr>
              <w:t>识别结果</w:t>
            </w:r>
          </w:p>
        </w:tc>
        <w:tc>
          <w:tcPr>
            <w:tcW w:w="516" w:type="pct"/>
            <w:vAlign w:val="center"/>
          </w:tcPr>
          <w:p w14:paraId="146C0238">
            <w:pPr>
              <w:pStyle w:val="45"/>
              <w:rPr>
                <w:rFonts w:hint="default"/>
                <w:b/>
                <w:bCs/>
              </w:rPr>
            </w:pPr>
            <w:r>
              <w:rPr>
                <w:b/>
                <w:bCs/>
              </w:rPr>
              <w:t>CAS号</w:t>
            </w:r>
          </w:p>
        </w:tc>
      </w:tr>
      <w:tr w14:paraId="6B928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1" w:hRule="atLeast"/>
        </w:trPr>
        <w:tc>
          <w:tcPr>
            <w:tcW w:w="263" w:type="pct"/>
            <w:vAlign w:val="center"/>
          </w:tcPr>
          <w:p w14:paraId="4BC04EBE">
            <w:pPr>
              <w:pStyle w:val="45"/>
              <w:rPr>
                <w:rFonts w:hint="default"/>
              </w:rPr>
            </w:pPr>
            <w:r>
              <w:t>1</w:t>
            </w:r>
          </w:p>
        </w:tc>
        <w:tc>
          <w:tcPr>
            <w:tcW w:w="446" w:type="pct"/>
            <w:vAlign w:val="center"/>
          </w:tcPr>
          <w:p w14:paraId="61A81970">
            <w:pPr>
              <w:pStyle w:val="45"/>
              <w:rPr>
                <w:rFonts w:hint="default"/>
              </w:rPr>
            </w:pPr>
            <w:r>
              <w:rPr>
                <w:rFonts w:hint="default"/>
              </w:rPr>
              <w:t>重铬酸钠</w:t>
            </w:r>
          </w:p>
        </w:tc>
        <w:tc>
          <w:tcPr>
            <w:tcW w:w="3278" w:type="pct"/>
            <w:vAlign w:val="center"/>
          </w:tcPr>
          <w:p w14:paraId="39A87314">
            <w:pPr>
              <w:pStyle w:val="45"/>
              <w:jc w:val="left"/>
              <w:rPr>
                <w:rFonts w:hint="default"/>
              </w:rPr>
            </w:pPr>
            <w:r>
              <w:rPr>
                <w:rFonts w:hint="default"/>
              </w:rPr>
              <w:t>分子式：Na</w:t>
            </w:r>
            <w:r>
              <w:rPr>
                <w:rFonts w:hint="default"/>
                <w:vertAlign w:val="subscript"/>
              </w:rPr>
              <w:t>2</w:t>
            </w:r>
            <w:r>
              <w:rPr>
                <w:rFonts w:hint="default"/>
              </w:rPr>
              <w:t>Cr</w:t>
            </w:r>
            <w:r>
              <w:rPr>
                <w:rFonts w:hint="default"/>
                <w:vertAlign w:val="subscript"/>
              </w:rPr>
              <w:t>2</w:t>
            </w:r>
            <w:r>
              <w:rPr>
                <w:rFonts w:hint="default"/>
              </w:rPr>
              <w:t>O</w:t>
            </w:r>
            <w:r>
              <w:rPr>
                <w:rFonts w:hint="default"/>
                <w:vertAlign w:val="subscript"/>
              </w:rPr>
              <w:t>7</w:t>
            </w:r>
            <w:r>
              <w:rPr>
                <w:rFonts w:hint="default"/>
              </w:rPr>
              <w:t>·</w:t>
            </w:r>
            <w:r>
              <w:rPr>
                <w:rFonts w:hint="default"/>
                <w:vertAlign w:val="subscript"/>
              </w:rPr>
              <w:t>2</w:t>
            </w:r>
            <w:r>
              <w:rPr>
                <w:rFonts w:hint="default"/>
              </w:rPr>
              <w:t>H2O</w:t>
            </w:r>
            <w:r>
              <w:t>，分子量：297.99；</w:t>
            </w:r>
          </w:p>
          <w:p w14:paraId="7645B7BF">
            <w:pPr>
              <w:pStyle w:val="45"/>
              <w:jc w:val="left"/>
              <w:rPr>
                <w:rFonts w:hint="default"/>
              </w:rPr>
            </w:pPr>
            <w:r>
              <w:t>性状：桔红色结晶，易潮解。</w:t>
            </w:r>
          </w:p>
          <w:p w14:paraId="6004925B">
            <w:pPr>
              <w:pStyle w:val="45"/>
              <w:jc w:val="left"/>
              <w:rPr>
                <w:rFonts w:hint="default"/>
              </w:rPr>
            </w:pPr>
            <w:r>
              <w:t>危险特性：强氧化剂。遇强酸或高温时能释出氧气，促使有机物燃烧。与硝酸盐、氯酸盐接触剧烈反应。有水时与硫化钠混合能引起自燃。与有机物、还原剂、易燃物如硫、磷等接触或混合时有引起燃烧爆炸的危险。具有较强的腐蚀性。</w:t>
            </w:r>
          </w:p>
          <w:p w14:paraId="2488BBC2">
            <w:pPr>
              <w:pStyle w:val="45"/>
              <w:jc w:val="left"/>
              <w:rPr>
                <w:rFonts w:hint="default"/>
              </w:rPr>
            </w:pPr>
            <w:r>
              <w:t>毒性：LD50：50mg/kg(大鼠经口)</w:t>
            </w:r>
          </w:p>
          <w:p w14:paraId="57BB9DD6">
            <w:pPr>
              <w:pStyle w:val="45"/>
              <w:jc w:val="left"/>
              <w:rPr>
                <w:rFonts w:hint="default"/>
              </w:rPr>
            </w:pPr>
            <w:r>
              <w:t>健康危害：急性中毒：吸入后可引起急性呼吸道刺激症状、鼻出血、声音嘶哑、鼻粘膜萎缩，有时出现哮喘和紫绀。重者可发生化学性肺炎。口服可刺激和腐蚀消化道，引起恶心、呕吐、腹痛、血便等；重者出现呼吸困难、紫绀、休克、肝损害及急性肾功能衰竭等。</w:t>
            </w:r>
          </w:p>
        </w:tc>
        <w:tc>
          <w:tcPr>
            <w:tcW w:w="496" w:type="pct"/>
            <w:vAlign w:val="center"/>
          </w:tcPr>
          <w:p w14:paraId="7607DB00">
            <w:pPr>
              <w:pStyle w:val="45"/>
              <w:rPr>
                <w:rFonts w:hint="default"/>
              </w:rPr>
            </w:pPr>
            <w:r>
              <w:t>有毒物质</w:t>
            </w:r>
          </w:p>
        </w:tc>
        <w:tc>
          <w:tcPr>
            <w:tcW w:w="516" w:type="pct"/>
            <w:vAlign w:val="center"/>
          </w:tcPr>
          <w:p w14:paraId="576D5D38">
            <w:pPr>
              <w:pStyle w:val="45"/>
              <w:rPr>
                <w:rFonts w:hint="default"/>
              </w:rPr>
            </w:pPr>
            <w:r>
              <w:t>7789-12-0</w:t>
            </w:r>
          </w:p>
        </w:tc>
      </w:tr>
      <w:tr w14:paraId="19113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63" w:type="pct"/>
            <w:vAlign w:val="center"/>
          </w:tcPr>
          <w:p w14:paraId="3EBB18CC">
            <w:pPr>
              <w:pStyle w:val="45"/>
              <w:rPr>
                <w:rFonts w:hint="default"/>
              </w:rPr>
            </w:pPr>
            <w:r>
              <w:t>2</w:t>
            </w:r>
          </w:p>
        </w:tc>
        <w:tc>
          <w:tcPr>
            <w:tcW w:w="446" w:type="pct"/>
            <w:vAlign w:val="center"/>
          </w:tcPr>
          <w:p w14:paraId="23FDE8A7">
            <w:pPr>
              <w:pStyle w:val="45"/>
              <w:rPr>
                <w:rFonts w:hint="default"/>
              </w:rPr>
            </w:pPr>
            <w:r>
              <w:rPr>
                <w:rFonts w:hint="default"/>
              </w:rPr>
              <w:t>氯酸钠</w:t>
            </w:r>
          </w:p>
        </w:tc>
        <w:tc>
          <w:tcPr>
            <w:tcW w:w="3278" w:type="pct"/>
            <w:vAlign w:val="center"/>
          </w:tcPr>
          <w:p w14:paraId="408EE38D">
            <w:pPr>
              <w:pStyle w:val="45"/>
              <w:jc w:val="left"/>
              <w:rPr>
                <w:rFonts w:hint="default"/>
              </w:rPr>
            </w:pPr>
            <w:r>
              <w:rPr>
                <w:rFonts w:hint="default"/>
              </w:rPr>
              <w:t>分子式：NaClO</w:t>
            </w:r>
            <w:r>
              <w:rPr>
                <w:rFonts w:hint="default"/>
                <w:vertAlign w:val="subscript"/>
              </w:rPr>
              <w:t>3</w:t>
            </w:r>
            <w:r>
              <w:t>；分子量：106.45；</w:t>
            </w:r>
          </w:p>
          <w:p w14:paraId="7FA01F1F">
            <w:pPr>
              <w:pStyle w:val="45"/>
              <w:jc w:val="left"/>
              <w:rPr>
                <w:rFonts w:hint="default"/>
              </w:rPr>
            </w:pPr>
            <w:r>
              <w:t>性状：无色无臭结晶，味咸而凉，有潮解性</w:t>
            </w:r>
          </w:p>
          <w:p w14:paraId="2F59B0E2">
            <w:pPr>
              <w:pStyle w:val="45"/>
              <w:jc w:val="left"/>
              <w:rPr>
                <w:rFonts w:hint="default"/>
              </w:rPr>
            </w:pPr>
            <w:r>
              <w:rPr>
                <w:rFonts w:hint="default"/>
              </w:rPr>
              <w:t>危险特性：强氧化剂。受强热或与强酸接触时即发生爆炸。与还原剂、有机物、易燃物如硫、磷或金属粉等混合可形成爆炸性混合物。急剧加热时可发生爆炸。</w:t>
            </w:r>
          </w:p>
          <w:p w14:paraId="0EF1E79D">
            <w:pPr>
              <w:pStyle w:val="45"/>
              <w:jc w:val="left"/>
              <w:rPr>
                <w:rFonts w:hint="default"/>
              </w:rPr>
            </w:pPr>
            <w:r>
              <w:rPr>
                <w:rFonts w:hint="default"/>
              </w:rPr>
              <w:t>燃烧(分解)产物：氧气、氯化物、氧化钠。灭火方法：用大量水扑救，同时用干粉灭火剂闷熄。</w:t>
            </w:r>
          </w:p>
          <w:p w14:paraId="35FC7395">
            <w:pPr>
              <w:pStyle w:val="45"/>
              <w:jc w:val="left"/>
              <w:rPr>
                <w:rFonts w:hint="default"/>
              </w:rPr>
            </w:pPr>
            <w:r>
              <w:t>毒性：</w:t>
            </w:r>
            <w:r>
              <w:rPr>
                <w:rFonts w:hint="default"/>
              </w:rPr>
              <w:t>属高毒类。LD501200mg/kg(大鼠经口)</w:t>
            </w:r>
          </w:p>
          <w:p w14:paraId="3CEF964A">
            <w:pPr>
              <w:pStyle w:val="45"/>
              <w:jc w:val="left"/>
              <w:rPr>
                <w:rFonts w:hint="default"/>
              </w:rPr>
            </w:pPr>
            <w:r>
              <w:rPr>
                <w:rFonts w:hint="default"/>
              </w:rPr>
              <w:t>健康危害：本品粉尘对呼吸道、眼及皮肤有刺激性。口服急性中毒，表现为高铁血红蛋白血症，胃肠炎，肝肾损伤，甚至发生窒息</w:t>
            </w:r>
          </w:p>
        </w:tc>
        <w:tc>
          <w:tcPr>
            <w:tcW w:w="496" w:type="pct"/>
            <w:vAlign w:val="center"/>
          </w:tcPr>
          <w:p w14:paraId="2405BA6E">
            <w:pPr>
              <w:pStyle w:val="45"/>
              <w:rPr>
                <w:rFonts w:hint="default" w:eastAsia="宋体"/>
                <w:lang w:val="en-US" w:eastAsia="zh-CN"/>
              </w:rPr>
            </w:pPr>
            <w:r>
              <w:rPr>
                <w:rFonts w:hint="eastAsia"/>
                <w:lang w:val="en-US" w:eastAsia="zh-CN"/>
              </w:rPr>
              <w:t>有毒物质、氧化性固体</w:t>
            </w:r>
          </w:p>
        </w:tc>
        <w:tc>
          <w:tcPr>
            <w:tcW w:w="516" w:type="pct"/>
            <w:vAlign w:val="center"/>
          </w:tcPr>
          <w:p w14:paraId="36722611">
            <w:pPr>
              <w:pStyle w:val="45"/>
              <w:rPr>
                <w:rFonts w:hint="default"/>
              </w:rPr>
            </w:pPr>
            <w:r>
              <w:rPr>
                <w:rFonts w:hint="default"/>
              </w:rPr>
              <w:t>7775-09-9</w:t>
            </w:r>
          </w:p>
        </w:tc>
      </w:tr>
      <w:tr w14:paraId="55F00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63" w:type="pct"/>
            <w:vAlign w:val="center"/>
          </w:tcPr>
          <w:p w14:paraId="5D5AA0ED">
            <w:pPr>
              <w:pStyle w:val="45"/>
              <w:rPr>
                <w:rFonts w:hint="eastAsia" w:eastAsia="宋体"/>
                <w:highlight w:val="none"/>
                <w:lang w:val="en-US" w:eastAsia="zh-CN"/>
              </w:rPr>
            </w:pPr>
            <w:r>
              <w:rPr>
                <w:rFonts w:hint="eastAsia"/>
                <w:highlight w:val="none"/>
                <w:lang w:val="en-US" w:eastAsia="zh-CN"/>
              </w:rPr>
              <w:t>3</w:t>
            </w:r>
          </w:p>
        </w:tc>
        <w:tc>
          <w:tcPr>
            <w:tcW w:w="446" w:type="pct"/>
            <w:vAlign w:val="center"/>
          </w:tcPr>
          <w:p w14:paraId="756E3CCD">
            <w:pPr>
              <w:pStyle w:val="45"/>
              <w:rPr>
                <w:rFonts w:hint="eastAsia" w:eastAsia="宋体"/>
                <w:highlight w:val="none"/>
                <w:lang w:val="en-US" w:eastAsia="zh-CN"/>
              </w:rPr>
            </w:pPr>
            <w:r>
              <w:rPr>
                <w:rFonts w:hint="eastAsia"/>
                <w:highlight w:val="none"/>
                <w:lang w:val="en-US" w:eastAsia="zh-CN"/>
              </w:rPr>
              <w:t>氯酸钾</w:t>
            </w:r>
          </w:p>
        </w:tc>
        <w:tc>
          <w:tcPr>
            <w:tcW w:w="3278" w:type="pct"/>
            <w:vAlign w:val="center"/>
          </w:tcPr>
          <w:p w14:paraId="78DA91D0">
            <w:pPr>
              <w:pStyle w:val="45"/>
              <w:bidi w:val="0"/>
              <w:jc w:val="left"/>
              <w:rPr>
                <w:rFonts w:hint="default"/>
                <w:highlight w:val="none"/>
              </w:rPr>
            </w:pPr>
            <w:r>
              <w:rPr>
                <w:rFonts w:hint="default"/>
                <w:highlight w:val="none"/>
              </w:rPr>
              <w:t>分子式：</w:t>
            </w:r>
            <w:r>
              <w:rPr>
                <w:rFonts w:hint="eastAsia"/>
                <w:highlight w:val="none"/>
                <w:lang w:val="en-US" w:eastAsia="zh-CN"/>
              </w:rPr>
              <w:t>K</w:t>
            </w:r>
            <w:r>
              <w:rPr>
                <w:rFonts w:hint="default"/>
                <w:highlight w:val="none"/>
              </w:rPr>
              <w:t>ClO</w:t>
            </w:r>
            <w:r>
              <w:rPr>
                <w:rFonts w:hint="default"/>
                <w:highlight w:val="none"/>
                <w:vertAlign w:val="subscript"/>
              </w:rPr>
              <w:t>3</w:t>
            </w:r>
            <w:r>
              <w:rPr>
                <w:rFonts w:hint="default"/>
                <w:highlight w:val="none"/>
              </w:rPr>
              <w:t>；分子量：1</w:t>
            </w:r>
            <w:r>
              <w:rPr>
                <w:rFonts w:hint="eastAsia"/>
                <w:highlight w:val="none"/>
                <w:lang w:val="en-US" w:eastAsia="zh-CN"/>
              </w:rPr>
              <w:t>22.55</w:t>
            </w:r>
            <w:r>
              <w:rPr>
                <w:rFonts w:hint="default"/>
                <w:highlight w:val="none"/>
              </w:rPr>
              <w:t>；</w:t>
            </w:r>
          </w:p>
          <w:p w14:paraId="6820888E">
            <w:pPr>
              <w:pStyle w:val="45"/>
              <w:bidi w:val="0"/>
              <w:jc w:val="left"/>
              <w:rPr>
                <w:rFonts w:hint="eastAsia"/>
                <w:highlight w:val="none"/>
                <w:lang w:val="en-US" w:eastAsia="zh-CN"/>
              </w:rPr>
            </w:pPr>
            <w:r>
              <w:rPr>
                <w:rFonts w:hint="eastAsia"/>
                <w:highlight w:val="none"/>
                <w:lang w:val="en-US" w:eastAsia="zh-CN"/>
              </w:rPr>
              <w:t>形状：无色透明有光泽的结晶或白色颗粒或粉末。</w:t>
            </w:r>
          </w:p>
          <w:p w14:paraId="080DC1D7">
            <w:pPr>
              <w:pStyle w:val="45"/>
              <w:bidi w:val="0"/>
              <w:jc w:val="left"/>
              <w:rPr>
                <w:rFonts w:hint="eastAsia"/>
                <w:highlight w:val="none"/>
                <w:lang w:val="en-US" w:eastAsia="zh-CN"/>
              </w:rPr>
            </w:pPr>
            <w:r>
              <w:rPr>
                <w:rFonts w:hint="eastAsia"/>
                <w:highlight w:val="none"/>
                <w:lang w:val="en-US" w:eastAsia="zh-CN"/>
              </w:rPr>
              <w:t>危险特性：是一种强氧化剂。在催化剂（二氧化锰）存在时，在较低温度即分解而放出氧。具有强氧化性。与有机物、还原剂、易燃物接触或混合时有引起燃烧爆炸的危险。急剧加热时可发生爆炸。</w:t>
            </w:r>
          </w:p>
          <w:p w14:paraId="04AD8B3B">
            <w:pPr>
              <w:pStyle w:val="45"/>
              <w:bidi w:val="0"/>
              <w:jc w:val="left"/>
              <w:rPr>
                <w:rFonts w:hint="default"/>
                <w:highlight w:val="none"/>
                <w:lang w:val="en-US" w:eastAsia="zh-CN"/>
              </w:rPr>
            </w:pPr>
            <w:r>
              <w:rPr>
                <w:rFonts w:hint="eastAsia"/>
                <w:highlight w:val="none"/>
                <w:lang w:val="en-US" w:eastAsia="zh-CN"/>
              </w:rPr>
              <w:t>毒性：是一种血液毒物，表现为高铁血红蛋白血症，胃肠炎，肝肾损害，甚至窒息。粉尘对呼吸道有刺激性。对人的致死量约109。</w:t>
            </w:r>
          </w:p>
        </w:tc>
        <w:tc>
          <w:tcPr>
            <w:tcW w:w="496" w:type="pct"/>
            <w:vAlign w:val="center"/>
          </w:tcPr>
          <w:p w14:paraId="7ADB5D68">
            <w:pPr>
              <w:pStyle w:val="45"/>
              <w:rPr>
                <w:rFonts w:hint="default" w:eastAsia="宋体"/>
                <w:lang w:val="en-US" w:eastAsia="zh-CN"/>
              </w:rPr>
            </w:pPr>
            <w:r>
              <w:rPr>
                <w:rFonts w:hint="eastAsia"/>
                <w:lang w:val="en-US" w:eastAsia="zh-CN"/>
              </w:rPr>
              <w:t>有毒物质、氧化性固体</w:t>
            </w:r>
          </w:p>
        </w:tc>
        <w:tc>
          <w:tcPr>
            <w:tcW w:w="516" w:type="pct"/>
            <w:vAlign w:val="center"/>
          </w:tcPr>
          <w:p w14:paraId="206B4D39">
            <w:pPr>
              <w:pStyle w:val="45"/>
              <w:rPr>
                <w:rFonts w:hint="default" w:eastAsia="宋体"/>
                <w:lang w:val="en-US" w:eastAsia="zh-CN"/>
              </w:rPr>
            </w:pPr>
            <w:r>
              <w:rPr>
                <w:rFonts w:hint="eastAsia"/>
                <w:lang w:val="en-US" w:eastAsia="zh-CN"/>
              </w:rPr>
              <w:t>3811-04-9</w:t>
            </w:r>
          </w:p>
        </w:tc>
      </w:tr>
      <w:tr w14:paraId="30925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263" w:type="pct"/>
            <w:vAlign w:val="center"/>
          </w:tcPr>
          <w:p w14:paraId="272B4855">
            <w:pPr>
              <w:pStyle w:val="45"/>
              <w:rPr>
                <w:rFonts w:hint="eastAsia" w:eastAsia="宋体"/>
                <w:lang w:eastAsia="zh-CN"/>
              </w:rPr>
            </w:pPr>
            <w:r>
              <w:rPr>
                <w:rFonts w:hint="eastAsia"/>
                <w:lang w:val="en-US" w:eastAsia="zh-CN"/>
              </w:rPr>
              <w:t>4</w:t>
            </w:r>
          </w:p>
        </w:tc>
        <w:tc>
          <w:tcPr>
            <w:tcW w:w="446" w:type="pct"/>
            <w:vAlign w:val="center"/>
          </w:tcPr>
          <w:p w14:paraId="1E1D73C5">
            <w:pPr>
              <w:pStyle w:val="45"/>
              <w:rPr>
                <w:rFonts w:hint="default"/>
              </w:rPr>
            </w:pPr>
            <w:r>
              <w:rPr>
                <w:rFonts w:hint="default"/>
              </w:rPr>
              <w:t>高氯酸钠</w:t>
            </w:r>
          </w:p>
        </w:tc>
        <w:tc>
          <w:tcPr>
            <w:tcW w:w="3278" w:type="pct"/>
            <w:vAlign w:val="center"/>
          </w:tcPr>
          <w:p w14:paraId="29AEFFF5">
            <w:pPr>
              <w:pStyle w:val="45"/>
              <w:jc w:val="left"/>
              <w:rPr>
                <w:rFonts w:hint="default"/>
              </w:rPr>
            </w:pPr>
            <w:r>
              <w:rPr>
                <w:rFonts w:hint="default"/>
              </w:rPr>
              <w:t>分子式：NaClO</w:t>
            </w:r>
            <w:r>
              <w:rPr>
                <w:rFonts w:hint="default"/>
                <w:vertAlign w:val="subscript"/>
              </w:rPr>
              <w:t>4</w:t>
            </w:r>
            <w:r>
              <w:rPr>
                <w:rFonts w:hint="default"/>
              </w:rPr>
              <w:tab/>
            </w:r>
            <w:r>
              <w:rPr>
                <w:rFonts w:hint="default"/>
              </w:rPr>
              <w:t>分子量：122.45</w:t>
            </w:r>
            <w:r>
              <w:t>；</w:t>
            </w:r>
          </w:p>
          <w:p w14:paraId="46782052">
            <w:pPr>
              <w:pStyle w:val="45"/>
              <w:jc w:val="left"/>
              <w:rPr>
                <w:rFonts w:hint="default"/>
              </w:rPr>
            </w:pPr>
            <w:r>
              <w:rPr>
                <w:rFonts w:hint="default"/>
              </w:rPr>
              <w:t>性状：无色或白色斜方晶系结晶，有吸湿性</w:t>
            </w:r>
            <w:r>
              <w:t>；</w:t>
            </w:r>
          </w:p>
          <w:p w14:paraId="32036D96">
            <w:pPr>
              <w:pStyle w:val="45"/>
              <w:jc w:val="left"/>
              <w:rPr>
                <w:rFonts w:hint="default"/>
              </w:rPr>
            </w:pPr>
            <w:r>
              <w:rPr>
                <w:rFonts w:hint="default"/>
              </w:rPr>
              <w:t>危险特性：强氧化剂。与还原剂、有机物、易燃物如硫、磷或金属粉末等混合可形成爆炸性混合物。急剧加热时可发生爆炸。</w:t>
            </w:r>
          </w:p>
          <w:p w14:paraId="04AF9A24">
            <w:pPr>
              <w:pStyle w:val="45"/>
              <w:jc w:val="left"/>
              <w:rPr>
                <w:rFonts w:hint="default"/>
              </w:rPr>
            </w:pPr>
            <w:r>
              <w:rPr>
                <w:rFonts w:hint="default"/>
              </w:rPr>
              <w:t>燃烧(分解)产物：氯化物。</w:t>
            </w:r>
          </w:p>
          <w:p w14:paraId="79602549">
            <w:pPr>
              <w:pStyle w:val="45"/>
              <w:jc w:val="left"/>
              <w:rPr>
                <w:rFonts w:hint="default"/>
              </w:rPr>
            </w:pPr>
            <w:r>
              <w:rPr>
                <w:rFonts w:hint="default"/>
              </w:rPr>
              <w:t>毒性</w:t>
            </w:r>
            <w:r>
              <w:t>：</w:t>
            </w:r>
            <w:r>
              <w:rPr>
                <w:rFonts w:hint="default"/>
              </w:rPr>
              <w:t>LD502100mg/kg(大鼠经口)</w:t>
            </w:r>
            <w:r>
              <w:t>。</w:t>
            </w:r>
          </w:p>
          <w:p w14:paraId="7DC8E051">
            <w:pPr>
              <w:pStyle w:val="45"/>
              <w:jc w:val="left"/>
              <w:rPr>
                <w:rFonts w:hint="default"/>
              </w:rPr>
            </w:pPr>
            <w:r>
              <w:rPr>
                <w:rFonts w:hint="default"/>
              </w:rPr>
              <w:t>健康危害：本品对皮肤粘膜有强烈刺激性</w:t>
            </w:r>
          </w:p>
        </w:tc>
        <w:tc>
          <w:tcPr>
            <w:tcW w:w="496" w:type="pct"/>
            <w:vAlign w:val="center"/>
          </w:tcPr>
          <w:p w14:paraId="657B47A6">
            <w:pPr>
              <w:pStyle w:val="45"/>
              <w:rPr>
                <w:rFonts w:hint="default" w:eastAsia="宋体"/>
                <w:lang w:val="en-US" w:eastAsia="zh-CN"/>
              </w:rPr>
            </w:pPr>
            <w:r>
              <w:rPr>
                <w:rFonts w:hint="eastAsia"/>
                <w:lang w:val="en-US" w:eastAsia="zh-CN"/>
              </w:rPr>
              <w:t>有毒物质、氧化性固体</w:t>
            </w:r>
          </w:p>
        </w:tc>
        <w:tc>
          <w:tcPr>
            <w:tcW w:w="516" w:type="pct"/>
            <w:vAlign w:val="center"/>
          </w:tcPr>
          <w:p w14:paraId="036812A1">
            <w:pPr>
              <w:pStyle w:val="45"/>
              <w:rPr>
                <w:rFonts w:hint="default"/>
              </w:rPr>
            </w:pPr>
            <w:r>
              <w:rPr>
                <w:rFonts w:hint="default"/>
              </w:rPr>
              <w:t>7601-89-0</w:t>
            </w:r>
          </w:p>
        </w:tc>
      </w:tr>
      <w:tr w14:paraId="6C09A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263" w:type="pct"/>
            <w:vAlign w:val="center"/>
          </w:tcPr>
          <w:p w14:paraId="6AEB4D7E">
            <w:pPr>
              <w:pStyle w:val="45"/>
              <w:rPr>
                <w:rFonts w:hint="eastAsia" w:eastAsia="宋体"/>
                <w:lang w:eastAsia="zh-CN"/>
              </w:rPr>
            </w:pPr>
            <w:r>
              <w:rPr>
                <w:rFonts w:hint="eastAsia"/>
                <w:lang w:val="en-US" w:eastAsia="zh-CN"/>
              </w:rPr>
              <w:t>5</w:t>
            </w:r>
          </w:p>
        </w:tc>
        <w:tc>
          <w:tcPr>
            <w:tcW w:w="446" w:type="pct"/>
            <w:vAlign w:val="center"/>
          </w:tcPr>
          <w:p w14:paraId="25271AB2">
            <w:pPr>
              <w:pStyle w:val="45"/>
              <w:rPr>
                <w:rFonts w:hint="default"/>
              </w:rPr>
            </w:pPr>
            <w:r>
              <w:rPr>
                <w:rFonts w:hint="default"/>
              </w:rPr>
              <w:t>高氯酸钾</w:t>
            </w:r>
          </w:p>
        </w:tc>
        <w:tc>
          <w:tcPr>
            <w:tcW w:w="3278" w:type="pct"/>
            <w:vAlign w:val="center"/>
          </w:tcPr>
          <w:p w14:paraId="07FAA7B4">
            <w:pPr>
              <w:pStyle w:val="45"/>
              <w:jc w:val="left"/>
              <w:rPr>
                <w:rFonts w:hint="default"/>
              </w:rPr>
            </w:pPr>
            <w:r>
              <w:rPr>
                <w:rFonts w:hint="default"/>
              </w:rPr>
              <w:t>分子式：KClO</w:t>
            </w:r>
            <w:r>
              <w:rPr>
                <w:rFonts w:hint="default"/>
                <w:vertAlign w:val="subscript"/>
              </w:rPr>
              <w:t>4</w:t>
            </w:r>
            <w:r>
              <w:rPr>
                <w:rFonts w:hint="default"/>
              </w:rPr>
              <w:tab/>
            </w:r>
            <w:r>
              <w:rPr>
                <w:rFonts w:hint="default"/>
              </w:rPr>
              <w:t>分子量：138.55</w:t>
            </w:r>
            <w:r>
              <w:t>；</w:t>
            </w:r>
          </w:p>
          <w:p w14:paraId="329ECFF1">
            <w:pPr>
              <w:pStyle w:val="45"/>
              <w:jc w:val="left"/>
              <w:rPr>
                <w:rFonts w:hint="default"/>
              </w:rPr>
            </w:pPr>
            <w:r>
              <w:rPr>
                <w:rFonts w:hint="default"/>
              </w:rPr>
              <w:t>性状：无色结晶或白色结晶粉末</w:t>
            </w:r>
            <w:r>
              <w:t>；</w:t>
            </w:r>
          </w:p>
          <w:p w14:paraId="1906ABAD">
            <w:pPr>
              <w:pStyle w:val="45"/>
              <w:jc w:val="left"/>
              <w:rPr>
                <w:rFonts w:hint="default"/>
              </w:rPr>
            </w:pPr>
            <w:r>
              <w:rPr>
                <w:rFonts w:hint="default"/>
              </w:rPr>
              <w:t>危险特性：强氧化剂。与还原剂、有机物、易燃物如硫、磷或金属粉等混合可形成爆炸性混合物。在火场中，受热的容器有爆炸危险。受热分解，放出氧气。</w:t>
            </w:r>
          </w:p>
          <w:p w14:paraId="7324D768">
            <w:pPr>
              <w:pStyle w:val="45"/>
              <w:jc w:val="left"/>
              <w:rPr>
                <w:rFonts w:hint="default"/>
              </w:rPr>
            </w:pPr>
            <w:r>
              <w:rPr>
                <w:rFonts w:hint="default"/>
              </w:rPr>
              <w:t>燃烧(分解)产物：氯化物、氧化钾。</w:t>
            </w:r>
          </w:p>
          <w:p w14:paraId="0CF69D66">
            <w:pPr>
              <w:pStyle w:val="45"/>
              <w:jc w:val="left"/>
              <w:rPr>
                <w:rFonts w:hint="default"/>
              </w:rPr>
            </w:pPr>
            <w:r>
              <w:rPr>
                <w:rFonts w:hint="default"/>
              </w:rPr>
              <w:t>健康危害：有强烈刺激性。高浓度接触，严重损害粘膜、上呼吸道、眼睛及皮肤。中毒表现有烧灼感、咳嗽、喘息、气短、喉炎、头痛、恶心和呕吐等。</w:t>
            </w:r>
          </w:p>
        </w:tc>
        <w:tc>
          <w:tcPr>
            <w:tcW w:w="496" w:type="pct"/>
            <w:vAlign w:val="center"/>
          </w:tcPr>
          <w:p w14:paraId="20893E45">
            <w:pPr>
              <w:pStyle w:val="45"/>
              <w:rPr>
                <w:rFonts w:hint="default"/>
              </w:rPr>
            </w:pPr>
            <w:r>
              <w:rPr>
                <w:rFonts w:hint="eastAsia"/>
                <w:lang w:val="en-US" w:eastAsia="zh-CN"/>
              </w:rPr>
              <w:t>有毒物质、氧化性固体</w:t>
            </w:r>
          </w:p>
        </w:tc>
        <w:tc>
          <w:tcPr>
            <w:tcW w:w="516" w:type="pct"/>
            <w:vAlign w:val="center"/>
          </w:tcPr>
          <w:p w14:paraId="2F69CB3B">
            <w:pPr>
              <w:pStyle w:val="45"/>
              <w:rPr>
                <w:rFonts w:hint="default"/>
              </w:rPr>
            </w:pPr>
            <w:r>
              <w:rPr>
                <w:rFonts w:hint="default"/>
              </w:rPr>
              <w:t>7778-74-7</w:t>
            </w:r>
          </w:p>
        </w:tc>
      </w:tr>
      <w:tr w14:paraId="2B2C7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63" w:type="pct"/>
            <w:vAlign w:val="center"/>
          </w:tcPr>
          <w:p w14:paraId="702A7D53">
            <w:pPr>
              <w:pStyle w:val="45"/>
              <w:rPr>
                <w:rFonts w:hint="eastAsia" w:eastAsia="宋体"/>
                <w:lang w:val="en-US" w:eastAsia="zh-CN"/>
              </w:rPr>
            </w:pPr>
            <w:r>
              <w:rPr>
                <w:rFonts w:hint="eastAsia"/>
                <w:lang w:val="en-US" w:eastAsia="zh-CN"/>
              </w:rPr>
              <w:t>6</w:t>
            </w:r>
          </w:p>
        </w:tc>
        <w:tc>
          <w:tcPr>
            <w:tcW w:w="446" w:type="pct"/>
            <w:vAlign w:val="center"/>
          </w:tcPr>
          <w:p w14:paraId="356C713A">
            <w:pPr>
              <w:pStyle w:val="45"/>
              <w:rPr>
                <w:rFonts w:hint="eastAsia" w:eastAsia="宋体"/>
                <w:lang w:val="en-US" w:eastAsia="zh-CN"/>
              </w:rPr>
            </w:pPr>
            <w:r>
              <w:rPr>
                <w:rFonts w:hint="eastAsia"/>
                <w:lang w:val="en-US" w:eastAsia="zh-CN"/>
              </w:rPr>
              <w:t>高氯酸锂</w:t>
            </w:r>
          </w:p>
        </w:tc>
        <w:tc>
          <w:tcPr>
            <w:tcW w:w="3278" w:type="pct"/>
            <w:vAlign w:val="center"/>
          </w:tcPr>
          <w:p w14:paraId="0AC5238A">
            <w:pPr>
              <w:pStyle w:val="45"/>
              <w:jc w:val="left"/>
              <w:rPr>
                <w:rFonts w:hint="default"/>
              </w:rPr>
            </w:pPr>
            <w:r>
              <w:rPr>
                <w:rFonts w:hint="default"/>
              </w:rPr>
              <w:t>分子式：</w:t>
            </w:r>
            <w:r>
              <w:rPr>
                <w:rFonts w:hint="eastAsia"/>
                <w:lang w:val="en-US" w:eastAsia="zh-CN"/>
              </w:rPr>
              <w:t>Li</w:t>
            </w:r>
            <w:r>
              <w:rPr>
                <w:rFonts w:hint="default"/>
              </w:rPr>
              <w:t>ClO</w:t>
            </w:r>
            <w:r>
              <w:rPr>
                <w:rFonts w:hint="default"/>
                <w:vertAlign w:val="subscript"/>
              </w:rPr>
              <w:t>4</w:t>
            </w:r>
            <w:r>
              <w:rPr>
                <w:rFonts w:hint="default"/>
              </w:rPr>
              <w:tab/>
            </w:r>
            <w:r>
              <w:rPr>
                <w:rFonts w:hint="default"/>
              </w:rPr>
              <w:t>分子量：</w:t>
            </w:r>
            <w:r>
              <w:rPr>
                <w:rFonts w:hint="eastAsia"/>
                <w:lang w:val="en-US" w:eastAsia="zh-CN"/>
              </w:rPr>
              <w:t>106.39</w:t>
            </w:r>
            <w:r>
              <w:t>；</w:t>
            </w:r>
          </w:p>
          <w:p w14:paraId="130917C5">
            <w:pPr>
              <w:pStyle w:val="45"/>
              <w:jc w:val="left"/>
              <w:rPr>
                <w:rFonts w:hint="eastAsia"/>
                <w:lang w:val="en-US" w:eastAsia="zh-CN"/>
              </w:rPr>
            </w:pPr>
            <w:r>
              <w:rPr>
                <w:rFonts w:hint="eastAsia"/>
                <w:lang w:val="en-US" w:eastAsia="zh-CN"/>
              </w:rPr>
              <w:t>性状：白色粉末或正交结晶。有潮解性。</w:t>
            </w:r>
          </w:p>
          <w:p w14:paraId="681A736B">
            <w:pPr>
              <w:pStyle w:val="45"/>
              <w:jc w:val="left"/>
              <w:rPr>
                <w:rFonts w:hint="eastAsia"/>
                <w:lang w:val="en-US" w:eastAsia="zh-CN"/>
              </w:rPr>
            </w:pPr>
            <w:r>
              <w:rPr>
                <w:rFonts w:hint="eastAsia"/>
                <w:lang w:val="en-US" w:eastAsia="zh-CN"/>
              </w:rPr>
              <w:t>危险特性：遇易燃或可燃物、活性金属粉末、硫、磷、肼等，摩擦或碰撞易引起爆炸。</w:t>
            </w:r>
          </w:p>
          <w:p w14:paraId="500516BA">
            <w:pPr>
              <w:pStyle w:val="45"/>
              <w:jc w:val="left"/>
              <w:rPr>
                <w:rFonts w:hint="default"/>
                <w:lang w:val="en-US" w:eastAsia="zh-CN"/>
              </w:rPr>
            </w:pPr>
            <w:r>
              <w:rPr>
                <w:rFonts w:hint="eastAsia"/>
                <w:lang w:val="en-US" w:eastAsia="zh-CN"/>
              </w:rPr>
              <w:t>健康危害：对眼睛、皮肤、黏膜和上呼吸道有刺激性。高浓度接触，严重损害黏膜、上呼吸道、眼睛及皮肤。中毒表现有烧灼感、咳嗽、喘息、气短、喉炎、头痛、恶心和呕吐等。</w:t>
            </w:r>
          </w:p>
        </w:tc>
        <w:tc>
          <w:tcPr>
            <w:tcW w:w="496" w:type="pct"/>
            <w:vAlign w:val="center"/>
          </w:tcPr>
          <w:p w14:paraId="568D8B35">
            <w:pPr>
              <w:pStyle w:val="45"/>
            </w:pPr>
            <w:r>
              <w:rPr>
                <w:rFonts w:hint="eastAsia"/>
                <w:lang w:val="en-US" w:eastAsia="zh-CN"/>
              </w:rPr>
              <w:t>有毒物质、氧化性固体</w:t>
            </w:r>
          </w:p>
        </w:tc>
        <w:tc>
          <w:tcPr>
            <w:tcW w:w="516" w:type="pct"/>
            <w:vAlign w:val="center"/>
          </w:tcPr>
          <w:p w14:paraId="1035AE26">
            <w:pPr>
              <w:pStyle w:val="45"/>
              <w:rPr>
                <w:rFonts w:hint="default"/>
              </w:rPr>
            </w:pPr>
            <w:r>
              <w:rPr>
                <w:rFonts w:hint="default"/>
              </w:rPr>
              <w:t>7791-03-9</w:t>
            </w:r>
          </w:p>
        </w:tc>
      </w:tr>
      <w:tr w14:paraId="5D769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745" w:type="dxa"/>
            <w:vAlign w:val="center"/>
          </w:tcPr>
          <w:p w14:paraId="4D65D385">
            <w:pPr>
              <w:pStyle w:val="45"/>
              <w:ind w:firstLine="0" w:firstLineChars="0"/>
              <w:rPr>
                <w:rFonts w:hint="eastAsia"/>
                <w:lang w:val="en-US" w:eastAsia="zh-CN"/>
              </w:rPr>
            </w:pPr>
            <w:r>
              <w:rPr>
                <w:rFonts w:hint="eastAsia"/>
                <w:lang w:val="en-US" w:eastAsia="zh-CN"/>
              </w:rPr>
              <w:t>7</w:t>
            </w:r>
          </w:p>
        </w:tc>
        <w:tc>
          <w:tcPr>
            <w:tcW w:w="446" w:type="pct"/>
            <w:vAlign w:val="center"/>
          </w:tcPr>
          <w:p w14:paraId="3B661F52">
            <w:pPr>
              <w:pStyle w:val="45"/>
              <w:rPr>
                <w:rFonts w:hint="default"/>
                <w:lang w:val="en-US" w:eastAsia="zh-CN"/>
              </w:rPr>
            </w:pPr>
            <w:r>
              <w:rPr>
                <w:rFonts w:hint="eastAsia"/>
                <w:lang w:val="en-US" w:eastAsia="zh-CN"/>
              </w:rPr>
              <w:t>氢氧化锂</w:t>
            </w:r>
          </w:p>
        </w:tc>
        <w:tc>
          <w:tcPr>
            <w:tcW w:w="3278" w:type="pct"/>
            <w:vAlign w:val="center"/>
          </w:tcPr>
          <w:p w14:paraId="07958C5B">
            <w:pPr>
              <w:pStyle w:val="45"/>
              <w:jc w:val="left"/>
              <w:rPr>
                <w:rFonts w:hint="default"/>
              </w:rPr>
            </w:pPr>
            <w:r>
              <w:rPr>
                <w:rFonts w:hint="default"/>
              </w:rPr>
              <w:t>分子式：</w:t>
            </w:r>
            <w:r>
              <w:rPr>
                <w:rFonts w:hint="eastAsia"/>
                <w:lang w:val="en-US" w:eastAsia="zh-CN"/>
              </w:rPr>
              <w:t>LiOH</w:t>
            </w:r>
            <w:r>
              <w:rPr>
                <w:rFonts w:hint="default"/>
              </w:rPr>
              <w:tab/>
            </w:r>
            <w:r>
              <w:rPr>
                <w:rFonts w:hint="default"/>
              </w:rPr>
              <w:t>分子量：</w:t>
            </w:r>
            <w:r>
              <w:rPr>
                <w:rFonts w:hint="eastAsia"/>
                <w:lang w:val="en-US" w:eastAsia="zh-CN"/>
              </w:rPr>
              <w:t>23.95</w:t>
            </w:r>
            <w:r>
              <w:t>；</w:t>
            </w:r>
          </w:p>
          <w:p w14:paraId="3EF01628">
            <w:pPr>
              <w:pStyle w:val="45"/>
              <w:jc w:val="left"/>
              <w:rPr>
                <w:rFonts w:hint="eastAsia"/>
                <w:lang w:val="en-US" w:eastAsia="zh-CN"/>
              </w:rPr>
            </w:pPr>
            <w:r>
              <w:rPr>
                <w:rFonts w:hint="eastAsia"/>
                <w:lang w:val="en-US" w:eastAsia="zh-CN"/>
              </w:rPr>
              <w:t>性状：白色结晶固体。具有吸湿性</w:t>
            </w:r>
          </w:p>
          <w:p w14:paraId="611EAE1D">
            <w:pPr>
              <w:pStyle w:val="45"/>
              <w:jc w:val="left"/>
              <w:rPr>
                <w:rFonts w:hint="default"/>
                <w:lang w:val="en-US" w:eastAsia="zh-CN"/>
              </w:rPr>
            </w:pPr>
            <w:r>
              <w:rPr>
                <w:rFonts w:hint="eastAsia"/>
                <w:lang w:val="en-US" w:eastAsia="zh-CN"/>
              </w:rPr>
              <w:t>危险特性：具有一定的腐蚀性和刺激性，接触皮肤和眼睛时应注意避免直接接触。</w:t>
            </w:r>
          </w:p>
        </w:tc>
        <w:tc>
          <w:tcPr>
            <w:tcW w:w="496" w:type="pct"/>
            <w:vAlign w:val="center"/>
          </w:tcPr>
          <w:p w14:paraId="79A804F8">
            <w:pPr>
              <w:pStyle w:val="45"/>
              <w:rPr>
                <w:rFonts w:hint="default"/>
                <w:lang w:val="en-US" w:eastAsia="zh-CN"/>
              </w:rPr>
            </w:pPr>
            <w:r>
              <w:rPr>
                <w:rFonts w:hint="eastAsia"/>
                <w:lang w:val="en-US" w:eastAsia="zh-CN"/>
              </w:rPr>
              <w:t>碱性腐蚀品</w:t>
            </w:r>
          </w:p>
        </w:tc>
        <w:tc>
          <w:tcPr>
            <w:tcW w:w="516" w:type="pct"/>
            <w:vAlign w:val="center"/>
          </w:tcPr>
          <w:p w14:paraId="1305183C">
            <w:pPr>
              <w:pStyle w:val="45"/>
              <w:rPr>
                <w:rFonts w:hint="default"/>
              </w:rPr>
            </w:pPr>
            <w:r>
              <w:rPr>
                <w:rFonts w:hint="default"/>
              </w:rPr>
              <w:t>1310-65-2</w:t>
            </w:r>
          </w:p>
        </w:tc>
      </w:tr>
      <w:tr w14:paraId="16BBA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745" w:type="dxa"/>
            <w:vAlign w:val="center"/>
          </w:tcPr>
          <w:p w14:paraId="711CBEB3">
            <w:pPr>
              <w:pStyle w:val="45"/>
              <w:ind w:firstLine="0" w:firstLineChars="0"/>
              <w:rPr>
                <w:rFonts w:hint="eastAsia" w:eastAsia="宋体"/>
                <w:lang w:val="en-US" w:eastAsia="zh-CN"/>
              </w:rPr>
            </w:pPr>
            <w:r>
              <w:rPr>
                <w:rFonts w:hint="eastAsia"/>
                <w:lang w:val="en-US" w:eastAsia="zh-CN"/>
              </w:rPr>
              <w:t>8</w:t>
            </w:r>
          </w:p>
        </w:tc>
        <w:tc>
          <w:tcPr>
            <w:tcW w:w="446" w:type="pct"/>
            <w:vAlign w:val="center"/>
          </w:tcPr>
          <w:p w14:paraId="15D52B11">
            <w:pPr>
              <w:pStyle w:val="45"/>
              <w:rPr>
                <w:rFonts w:hint="default"/>
                <w:lang w:val="en-US" w:eastAsia="zh-CN"/>
              </w:rPr>
            </w:pPr>
            <w:r>
              <w:rPr>
                <w:rFonts w:hint="eastAsia"/>
                <w:lang w:val="en-US" w:eastAsia="zh-CN"/>
              </w:rPr>
              <w:t>高氯酸</w:t>
            </w:r>
          </w:p>
        </w:tc>
        <w:tc>
          <w:tcPr>
            <w:tcW w:w="3278" w:type="pct"/>
            <w:vAlign w:val="center"/>
          </w:tcPr>
          <w:p w14:paraId="623B81BC">
            <w:pPr>
              <w:pStyle w:val="45"/>
              <w:jc w:val="left"/>
              <w:rPr>
                <w:rFonts w:hint="default"/>
              </w:rPr>
            </w:pPr>
            <w:r>
              <w:rPr>
                <w:rFonts w:hint="default"/>
              </w:rPr>
              <w:t>分子式：</w:t>
            </w:r>
            <w:r>
              <w:rPr>
                <w:rFonts w:hint="eastAsia"/>
                <w:lang w:val="en-US" w:eastAsia="zh-CN"/>
              </w:rPr>
              <w:t>H</w:t>
            </w:r>
            <w:r>
              <w:rPr>
                <w:rFonts w:hint="default"/>
              </w:rPr>
              <w:t>ClO</w:t>
            </w:r>
            <w:r>
              <w:rPr>
                <w:rFonts w:hint="default"/>
                <w:vertAlign w:val="subscript"/>
              </w:rPr>
              <w:t>4</w:t>
            </w:r>
            <w:r>
              <w:rPr>
                <w:rFonts w:hint="default"/>
              </w:rPr>
              <w:tab/>
            </w:r>
            <w:r>
              <w:rPr>
                <w:rFonts w:hint="default"/>
              </w:rPr>
              <w:t>分子量：</w:t>
            </w:r>
            <w:r>
              <w:rPr>
                <w:rFonts w:hint="eastAsia"/>
                <w:lang w:val="en-US" w:eastAsia="zh-CN"/>
              </w:rPr>
              <w:t>100.46</w:t>
            </w:r>
            <w:r>
              <w:t>；</w:t>
            </w:r>
          </w:p>
          <w:p w14:paraId="57EC4D5C">
            <w:pPr>
              <w:pStyle w:val="45"/>
              <w:jc w:val="left"/>
              <w:rPr>
                <w:rFonts w:hint="eastAsia"/>
                <w:lang w:val="en-US" w:eastAsia="zh-CN"/>
              </w:rPr>
            </w:pPr>
            <w:r>
              <w:rPr>
                <w:rFonts w:hint="eastAsia"/>
                <w:lang w:val="en-US" w:eastAsia="zh-CN"/>
              </w:rPr>
              <w:t>性状：一种无色、不稳定、发烟、吸湿性液体。</w:t>
            </w:r>
          </w:p>
          <w:p w14:paraId="442862C2">
            <w:pPr>
              <w:pStyle w:val="45"/>
              <w:jc w:val="left"/>
              <w:rPr>
                <w:rFonts w:hint="eastAsia"/>
                <w:lang w:val="en-US" w:eastAsia="zh-CN"/>
              </w:rPr>
            </w:pPr>
            <w:r>
              <w:rPr>
                <w:rFonts w:hint="eastAsia"/>
                <w:lang w:val="en-US" w:eastAsia="zh-CN"/>
              </w:rPr>
              <w:t>危险特性：避免发热。遇到有机物、还原剂、易燃物质等可引发剧烈反应，产生有毒气体和火灾。</w:t>
            </w:r>
          </w:p>
          <w:p w14:paraId="0049E894">
            <w:pPr>
              <w:pStyle w:val="45"/>
              <w:jc w:val="left"/>
              <w:rPr>
                <w:rFonts w:hint="default" w:eastAsia="宋体"/>
                <w:lang w:val="en-US" w:eastAsia="zh-CN"/>
              </w:rPr>
            </w:pPr>
            <w:r>
              <w:rPr>
                <w:rFonts w:hint="eastAsia"/>
                <w:lang w:val="en-US" w:eastAsia="zh-CN"/>
              </w:rPr>
              <w:t>健康危害：具有强腐蚀性，对皮肤、眼睛和呼吸道有刺激作用，必须佩戴适当的防护装备。</w:t>
            </w:r>
          </w:p>
        </w:tc>
        <w:tc>
          <w:tcPr>
            <w:tcW w:w="496" w:type="pct"/>
            <w:vAlign w:val="center"/>
          </w:tcPr>
          <w:p w14:paraId="638C6547">
            <w:pPr>
              <w:pStyle w:val="45"/>
              <w:rPr>
                <w:rFonts w:hint="default" w:eastAsia="宋体"/>
                <w:lang w:val="en-US" w:eastAsia="zh-CN"/>
              </w:rPr>
            </w:pPr>
            <w:r>
              <w:rPr>
                <w:rFonts w:hint="eastAsia"/>
                <w:lang w:val="en-US" w:eastAsia="zh-CN"/>
              </w:rPr>
              <w:t>氧化性液体、酸性腐蚀品</w:t>
            </w:r>
          </w:p>
        </w:tc>
        <w:tc>
          <w:tcPr>
            <w:tcW w:w="516" w:type="pct"/>
            <w:vAlign w:val="center"/>
          </w:tcPr>
          <w:p w14:paraId="2B4B62FC">
            <w:pPr>
              <w:pStyle w:val="45"/>
              <w:rPr>
                <w:rFonts w:hint="default"/>
              </w:rPr>
            </w:pPr>
            <w:r>
              <w:rPr>
                <w:rFonts w:hint="default"/>
              </w:rPr>
              <w:t>7601-90-3</w:t>
            </w:r>
          </w:p>
        </w:tc>
      </w:tr>
      <w:tr w14:paraId="59CA1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745" w:type="dxa"/>
            <w:vAlign w:val="center"/>
          </w:tcPr>
          <w:p w14:paraId="46593AC1">
            <w:pPr>
              <w:pStyle w:val="45"/>
              <w:ind w:firstLine="0" w:firstLineChars="0"/>
              <w:rPr>
                <w:rFonts w:hint="eastAsia" w:eastAsia="宋体"/>
                <w:lang w:eastAsia="zh-CN"/>
              </w:rPr>
            </w:pPr>
            <w:r>
              <w:rPr>
                <w:rFonts w:hint="eastAsia"/>
                <w:lang w:val="en-US" w:eastAsia="zh-CN"/>
              </w:rPr>
              <w:t>9</w:t>
            </w:r>
          </w:p>
        </w:tc>
        <w:tc>
          <w:tcPr>
            <w:tcW w:w="446" w:type="pct"/>
            <w:vAlign w:val="center"/>
          </w:tcPr>
          <w:p w14:paraId="7AB56E22">
            <w:pPr>
              <w:pStyle w:val="45"/>
              <w:rPr>
                <w:rFonts w:hint="default"/>
              </w:rPr>
            </w:pPr>
            <w:r>
              <w:rPr>
                <w:rFonts w:hint="default"/>
              </w:rPr>
              <w:t>氯化钡</w:t>
            </w:r>
          </w:p>
        </w:tc>
        <w:tc>
          <w:tcPr>
            <w:tcW w:w="3278" w:type="pct"/>
            <w:vAlign w:val="center"/>
          </w:tcPr>
          <w:p w14:paraId="5ABB709D">
            <w:pPr>
              <w:pStyle w:val="45"/>
              <w:jc w:val="left"/>
              <w:rPr>
                <w:rFonts w:hint="default"/>
              </w:rPr>
            </w:pPr>
            <w:r>
              <w:rPr>
                <w:rFonts w:hint="default"/>
              </w:rPr>
              <w:t>分子式：BaCl</w:t>
            </w:r>
            <w:r>
              <w:rPr>
                <w:rFonts w:hint="default"/>
                <w:vertAlign w:val="subscript"/>
              </w:rPr>
              <w:t>2</w:t>
            </w:r>
            <w:r>
              <w:rPr>
                <w:rFonts w:hint="default"/>
              </w:rPr>
              <w:tab/>
            </w:r>
            <w:r>
              <w:rPr>
                <w:rFonts w:hint="default"/>
              </w:rPr>
              <w:t>分子量：208.25</w:t>
            </w:r>
            <w:r>
              <w:t>；</w:t>
            </w:r>
          </w:p>
          <w:p w14:paraId="4A3C2555">
            <w:pPr>
              <w:pStyle w:val="45"/>
              <w:jc w:val="left"/>
              <w:rPr>
                <w:rFonts w:hint="default"/>
              </w:rPr>
            </w:pPr>
            <w:r>
              <w:rPr>
                <w:rFonts w:hint="default"/>
              </w:rPr>
              <w:t>性状：白色粉末，无臭。</w:t>
            </w:r>
          </w:p>
          <w:p w14:paraId="12E2336E">
            <w:pPr>
              <w:pStyle w:val="45"/>
              <w:jc w:val="left"/>
              <w:rPr>
                <w:rFonts w:hint="default"/>
              </w:rPr>
            </w:pPr>
            <w:r>
              <w:rPr>
                <w:rFonts w:hint="default"/>
              </w:rPr>
              <w:t>危险特性：不燃，高毒。与三氟化硼接触剧烈反应。</w:t>
            </w:r>
          </w:p>
          <w:p w14:paraId="4B4AF69D">
            <w:pPr>
              <w:pStyle w:val="45"/>
              <w:jc w:val="left"/>
              <w:rPr>
                <w:rFonts w:hint="default"/>
              </w:rPr>
            </w:pPr>
            <w:r>
              <w:rPr>
                <w:rFonts w:hint="default"/>
              </w:rPr>
              <w:t>毒性</w:t>
            </w:r>
            <w:r>
              <w:t>：</w:t>
            </w:r>
            <w:r>
              <w:rPr>
                <w:rFonts w:hint="default"/>
              </w:rPr>
              <w:t>LD50：118mg/kg(大鼠经口)</w:t>
            </w:r>
            <w:r>
              <w:t>。</w:t>
            </w:r>
          </w:p>
          <w:p w14:paraId="0C8E8D44">
            <w:pPr>
              <w:pStyle w:val="45"/>
              <w:jc w:val="left"/>
              <w:rPr>
                <w:rFonts w:hint="default"/>
              </w:rPr>
            </w:pPr>
            <w:r>
              <w:rPr>
                <w:rFonts w:hint="default"/>
              </w:rPr>
              <w:t>口服后急性中毒表现为恶心、呕吐、腹痛、腹泻、脉缓、进行性肌麻痹、心律紊乱、血钾明显降低等。可因心律紊乱和呼吸肌麻痹而死亡。吸入烟尘可引起中毒，但消化道症状不明显。接触高温本品溶液造成皮肤灼伤可同时吸收中毒。慢性影响：长期接触钡化合物的工人，可有无力、气促、流涎、口腔粘膜肿胀糜烂、鼻炎、结膜炎、腹泻、心动过速、血压增高、脱发等。</w:t>
            </w:r>
          </w:p>
        </w:tc>
        <w:tc>
          <w:tcPr>
            <w:tcW w:w="496" w:type="pct"/>
            <w:vAlign w:val="center"/>
          </w:tcPr>
          <w:p w14:paraId="67F397AA">
            <w:pPr>
              <w:pStyle w:val="45"/>
              <w:rPr>
                <w:rFonts w:hint="default"/>
              </w:rPr>
            </w:pPr>
            <w:r>
              <w:t>有毒物质</w:t>
            </w:r>
          </w:p>
        </w:tc>
        <w:tc>
          <w:tcPr>
            <w:tcW w:w="516" w:type="pct"/>
            <w:vAlign w:val="center"/>
          </w:tcPr>
          <w:p w14:paraId="16FC5248">
            <w:pPr>
              <w:pStyle w:val="45"/>
              <w:rPr>
                <w:rFonts w:hint="default"/>
              </w:rPr>
            </w:pPr>
            <w:r>
              <w:rPr>
                <w:rFonts w:hint="default"/>
              </w:rPr>
              <w:t>10361-37-2</w:t>
            </w:r>
          </w:p>
        </w:tc>
      </w:tr>
      <w:tr w14:paraId="369AC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745" w:type="dxa"/>
            <w:vAlign w:val="center"/>
          </w:tcPr>
          <w:p w14:paraId="561C1A67">
            <w:pPr>
              <w:pStyle w:val="45"/>
              <w:ind w:firstLine="0" w:firstLineChars="0"/>
              <w:rPr>
                <w:rFonts w:hint="eastAsia" w:eastAsia="宋体"/>
                <w:lang w:eastAsia="zh-CN"/>
              </w:rPr>
            </w:pPr>
            <w:r>
              <w:rPr>
                <w:rFonts w:hint="eastAsia"/>
                <w:lang w:val="en-US" w:eastAsia="zh-CN"/>
              </w:rPr>
              <w:t>10</w:t>
            </w:r>
          </w:p>
        </w:tc>
        <w:tc>
          <w:tcPr>
            <w:tcW w:w="446" w:type="pct"/>
            <w:vAlign w:val="center"/>
          </w:tcPr>
          <w:p w14:paraId="4A49828D">
            <w:pPr>
              <w:pStyle w:val="45"/>
              <w:rPr>
                <w:rFonts w:hint="default"/>
              </w:rPr>
            </w:pPr>
            <w:r>
              <w:rPr>
                <w:rFonts w:hint="default"/>
              </w:rPr>
              <w:t>氢氧化钠</w:t>
            </w:r>
          </w:p>
        </w:tc>
        <w:tc>
          <w:tcPr>
            <w:tcW w:w="3278" w:type="pct"/>
            <w:vAlign w:val="center"/>
          </w:tcPr>
          <w:p w14:paraId="4CC131E3">
            <w:pPr>
              <w:pStyle w:val="45"/>
              <w:jc w:val="left"/>
              <w:rPr>
                <w:rFonts w:hint="default"/>
                <w:lang w:val="en-US" w:eastAsia="zh-CN"/>
              </w:rPr>
            </w:pPr>
            <w:r>
              <w:rPr>
                <w:rFonts w:hint="default"/>
              </w:rPr>
              <w:t>分子式：</w:t>
            </w:r>
            <w:r>
              <w:rPr>
                <w:rFonts w:hint="eastAsia"/>
                <w:lang w:val="en-US" w:eastAsia="zh-CN"/>
              </w:rPr>
              <w:t>NaOH  分子量：40.00</w:t>
            </w:r>
          </w:p>
          <w:p w14:paraId="1AF109A7">
            <w:pPr>
              <w:pStyle w:val="45"/>
              <w:jc w:val="left"/>
              <w:rPr>
                <w:rFonts w:hint="default"/>
              </w:rPr>
            </w:pPr>
            <w:r>
              <w:rPr>
                <w:rFonts w:hint="default"/>
              </w:rPr>
              <w:t>熔点：318.4℃；沸点：1390℃；相对密度：2.13</w:t>
            </w:r>
          </w:p>
          <w:p w14:paraId="15C8FF3F">
            <w:pPr>
              <w:pStyle w:val="45"/>
              <w:jc w:val="left"/>
              <w:rPr>
                <w:rFonts w:hint="default"/>
              </w:rPr>
            </w:pPr>
            <w:r>
              <w:rPr>
                <w:rFonts w:hint="default"/>
              </w:rPr>
              <w:t>理化特性：纯品为无色透明晶体。工业品含少量碳酸钠和氯化钠，为无色至青白色棒状、片状、粒状、块状同体，统称固碱。浓溶液俗称液碱。吸湿性强。从空</w:t>
            </w:r>
          </w:p>
          <w:p w14:paraId="3DD323B2">
            <w:pPr>
              <w:pStyle w:val="45"/>
              <w:jc w:val="left"/>
              <w:rPr>
                <w:rFonts w:hint="default"/>
              </w:rPr>
            </w:pPr>
            <w:r>
              <w:rPr>
                <w:rFonts w:hint="default"/>
              </w:rPr>
              <w:t>气中吸收水分的同时，也吸收二氧化碳。易溶于水，并放出大量热。与酸发生中和反应并放热</w:t>
            </w:r>
          </w:p>
        </w:tc>
        <w:tc>
          <w:tcPr>
            <w:tcW w:w="496" w:type="pct"/>
            <w:vAlign w:val="center"/>
          </w:tcPr>
          <w:p w14:paraId="152FB44E">
            <w:pPr>
              <w:pStyle w:val="45"/>
              <w:rPr>
                <w:rFonts w:hint="default"/>
              </w:rPr>
            </w:pPr>
            <w:r>
              <w:t>碱性腐蚀品</w:t>
            </w:r>
          </w:p>
        </w:tc>
        <w:tc>
          <w:tcPr>
            <w:tcW w:w="516" w:type="pct"/>
            <w:vAlign w:val="center"/>
          </w:tcPr>
          <w:p w14:paraId="721B46E6">
            <w:pPr>
              <w:pStyle w:val="45"/>
              <w:rPr>
                <w:rFonts w:hint="default"/>
              </w:rPr>
            </w:pPr>
            <w:r>
              <w:rPr>
                <w:rFonts w:hint="default"/>
              </w:rPr>
              <w:t>1310-73-2</w:t>
            </w:r>
          </w:p>
        </w:tc>
      </w:tr>
      <w:tr w14:paraId="40CAF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trPr>
        <w:tc>
          <w:tcPr>
            <w:tcW w:w="745" w:type="dxa"/>
            <w:vAlign w:val="center"/>
          </w:tcPr>
          <w:p w14:paraId="0EC6A594">
            <w:pPr>
              <w:pStyle w:val="45"/>
              <w:ind w:firstLine="0" w:firstLineChars="0"/>
              <w:rPr>
                <w:rFonts w:hint="default" w:eastAsia="宋体"/>
                <w:lang w:val="en-US" w:eastAsia="zh-CN"/>
              </w:rPr>
            </w:pPr>
            <w:r>
              <w:rPr>
                <w:rFonts w:hint="eastAsia"/>
                <w:lang w:val="en-US" w:eastAsia="zh-CN"/>
              </w:rPr>
              <w:t>11</w:t>
            </w:r>
          </w:p>
        </w:tc>
        <w:tc>
          <w:tcPr>
            <w:tcW w:w="446" w:type="pct"/>
            <w:vAlign w:val="center"/>
          </w:tcPr>
          <w:p w14:paraId="5B91D227">
            <w:pPr>
              <w:pStyle w:val="45"/>
              <w:rPr>
                <w:rFonts w:hint="default"/>
              </w:rPr>
            </w:pPr>
            <w:r>
              <w:rPr>
                <w:rFonts w:hint="default"/>
              </w:rPr>
              <w:t>盐酸（氯化氢）</w:t>
            </w:r>
          </w:p>
        </w:tc>
        <w:tc>
          <w:tcPr>
            <w:tcW w:w="3278" w:type="pct"/>
            <w:vAlign w:val="center"/>
          </w:tcPr>
          <w:p w14:paraId="093C90C0">
            <w:pPr>
              <w:pStyle w:val="45"/>
              <w:jc w:val="left"/>
              <w:rPr>
                <w:rFonts w:hint="default" w:eastAsia="宋体"/>
                <w:lang w:val="en-US" w:eastAsia="zh-CN"/>
              </w:rPr>
            </w:pPr>
            <w:r>
              <w:rPr>
                <w:rFonts w:hint="default"/>
              </w:rPr>
              <w:t>分子式：</w:t>
            </w:r>
            <w:r>
              <w:rPr>
                <w:rFonts w:hint="eastAsia"/>
                <w:lang w:val="en-US" w:eastAsia="zh-CN"/>
              </w:rPr>
              <w:t>H</w:t>
            </w:r>
            <w:r>
              <w:rPr>
                <w:rFonts w:hint="default"/>
              </w:rPr>
              <w:t>Cl</w:t>
            </w:r>
            <w:r>
              <w:rPr>
                <w:rFonts w:hint="default"/>
              </w:rPr>
              <w:tab/>
            </w:r>
            <w:r>
              <w:rPr>
                <w:rFonts w:hint="eastAsia"/>
                <w:lang w:val="en-US" w:eastAsia="zh-CN"/>
              </w:rPr>
              <w:t xml:space="preserve"> 分子量：36.46</w:t>
            </w:r>
          </w:p>
          <w:p w14:paraId="533D8052">
            <w:pPr>
              <w:pStyle w:val="45"/>
              <w:jc w:val="left"/>
              <w:rPr>
                <w:rFonts w:hint="default"/>
              </w:rPr>
            </w:pPr>
            <w:r>
              <w:rPr>
                <w:rFonts w:hint="default"/>
              </w:rPr>
              <w:t>熔点-114.8℃，沸点为-84.9℃，相对密度为 1.187，具有腐蚀性，氯化氢有毒</w:t>
            </w:r>
          </w:p>
        </w:tc>
        <w:tc>
          <w:tcPr>
            <w:tcW w:w="496" w:type="pct"/>
            <w:vAlign w:val="center"/>
          </w:tcPr>
          <w:p w14:paraId="445D7CAF">
            <w:pPr>
              <w:pStyle w:val="45"/>
              <w:rPr>
                <w:rFonts w:hint="default" w:eastAsia="宋体"/>
                <w:lang w:val="en-US" w:eastAsia="zh-CN"/>
              </w:rPr>
            </w:pPr>
            <w:r>
              <w:t>酸性腐蚀品</w:t>
            </w:r>
            <w:r>
              <w:rPr>
                <w:rFonts w:hint="eastAsia"/>
                <w:lang w:eastAsia="zh-CN"/>
              </w:rPr>
              <w:t>、</w:t>
            </w:r>
            <w:r>
              <w:rPr>
                <w:rFonts w:hint="eastAsia"/>
                <w:lang w:val="en-US" w:eastAsia="zh-CN"/>
              </w:rPr>
              <w:t>有毒气体</w:t>
            </w:r>
          </w:p>
        </w:tc>
        <w:tc>
          <w:tcPr>
            <w:tcW w:w="516" w:type="pct"/>
            <w:vAlign w:val="center"/>
          </w:tcPr>
          <w:p w14:paraId="1124F4BF">
            <w:pPr>
              <w:pStyle w:val="45"/>
              <w:rPr>
                <w:rFonts w:hint="default"/>
              </w:rPr>
            </w:pPr>
            <w:r>
              <w:rPr>
                <w:rFonts w:hint="default"/>
              </w:rPr>
              <w:t>7647-01-0</w:t>
            </w:r>
          </w:p>
        </w:tc>
      </w:tr>
      <w:tr w14:paraId="1FD36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45" w:type="dxa"/>
            <w:vAlign w:val="center"/>
          </w:tcPr>
          <w:p w14:paraId="69784568">
            <w:pPr>
              <w:pStyle w:val="45"/>
              <w:ind w:firstLine="0" w:firstLineChars="0"/>
              <w:rPr>
                <w:rFonts w:hint="default" w:eastAsia="宋体"/>
                <w:lang w:val="en-US" w:eastAsia="zh-CN"/>
              </w:rPr>
            </w:pPr>
            <w:r>
              <w:rPr>
                <w:rFonts w:hint="eastAsia"/>
                <w:lang w:val="en-US" w:eastAsia="zh-CN"/>
              </w:rPr>
              <w:t>12</w:t>
            </w:r>
          </w:p>
        </w:tc>
        <w:tc>
          <w:tcPr>
            <w:tcW w:w="446" w:type="pct"/>
            <w:vAlign w:val="center"/>
          </w:tcPr>
          <w:p w14:paraId="4818F786">
            <w:pPr>
              <w:pStyle w:val="45"/>
              <w:rPr>
                <w:rFonts w:hint="default"/>
              </w:rPr>
            </w:pPr>
            <w:r>
              <w:rPr>
                <w:rFonts w:hint="default"/>
              </w:rPr>
              <w:t>氯气</w:t>
            </w:r>
          </w:p>
        </w:tc>
        <w:tc>
          <w:tcPr>
            <w:tcW w:w="3278" w:type="pct"/>
            <w:vAlign w:val="center"/>
          </w:tcPr>
          <w:p w14:paraId="3C7A7A34">
            <w:pPr>
              <w:pStyle w:val="45"/>
              <w:jc w:val="left"/>
              <w:rPr>
                <w:rFonts w:hint="default"/>
              </w:rPr>
            </w:pPr>
            <w:r>
              <w:rPr>
                <w:rFonts w:hint="default"/>
              </w:rPr>
              <w:t>分子式：Cl</w:t>
            </w:r>
            <w:r>
              <w:rPr>
                <w:rFonts w:hint="default"/>
                <w:vertAlign w:val="subscript"/>
              </w:rPr>
              <w:t>2</w:t>
            </w:r>
            <w:r>
              <w:rPr>
                <w:rFonts w:hint="default"/>
              </w:rPr>
              <w:tab/>
            </w:r>
            <w:r>
              <w:rPr>
                <w:rFonts w:hint="default"/>
              </w:rPr>
              <w:t>分子量：70.91</w:t>
            </w:r>
            <w:r>
              <w:t>；</w:t>
            </w:r>
          </w:p>
          <w:p w14:paraId="642B63FA">
            <w:pPr>
              <w:pStyle w:val="45"/>
              <w:jc w:val="left"/>
              <w:rPr>
                <w:rFonts w:hint="default"/>
              </w:rPr>
            </w:pPr>
            <w:r>
              <w:t>性状：黄绿色有刺激性气味的气体；</w:t>
            </w:r>
          </w:p>
          <w:p w14:paraId="14CE95E6">
            <w:pPr>
              <w:pStyle w:val="45"/>
              <w:jc w:val="left"/>
              <w:rPr>
                <w:rFonts w:hint="default"/>
              </w:rPr>
            </w:pPr>
            <w:r>
              <w:rPr>
                <w:rFonts w:hint="default"/>
              </w:rPr>
              <w:t>危险特性：本品不会燃烧，但可助燃。一般可燃物大都能在氯气中燃烧，一般易燃气体或蒸气也都能与氯气形成爆炸性混合物。氯气能与许多化学品如乙炔、松节油氢气、金属粉末等猛烈反应发生爆炸或生成爆炸性物质。几乎对金属和非金属都有腐蚀作用。</w:t>
            </w:r>
          </w:p>
          <w:p w14:paraId="36D8DC4D">
            <w:pPr>
              <w:pStyle w:val="45"/>
              <w:jc w:val="left"/>
              <w:rPr>
                <w:rFonts w:hint="default"/>
              </w:rPr>
            </w:pPr>
            <w:r>
              <w:t>毒性：属高毒类。LC50：850mg/m3，1小时(大鼠吸入)。</w:t>
            </w:r>
          </w:p>
        </w:tc>
        <w:tc>
          <w:tcPr>
            <w:tcW w:w="496" w:type="pct"/>
            <w:vAlign w:val="center"/>
          </w:tcPr>
          <w:p w14:paraId="3D83BA30">
            <w:pPr>
              <w:pStyle w:val="45"/>
              <w:rPr>
                <w:rFonts w:hint="default"/>
              </w:rPr>
            </w:pPr>
            <w:r>
              <w:t>有毒气体</w:t>
            </w:r>
          </w:p>
        </w:tc>
        <w:tc>
          <w:tcPr>
            <w:tcW w:w="516" w:type="pct"/>
            <w:vAlign w:val="center"/>
          </w:tcPr>
          <w:p w14:paraId="210474F2">
            <w:pPr>
              <w:pStyle w:val="45"/>
              <w:rPr>
                <w:rFonts w:hint="default"/>
              </w:rPr>
            </w:pPr>
            <w:r>
              <w:rPr>
                <w:rFonts w:hint="default"/>
              </w:rPr>
              <w:t>7782-50-5</w:t>
            </w:r>
          </w:p>
        </w:tc>
      </w:tr>
      <w:tr w14:paraId="7FE46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745" w:type="dxa"/>
            <w:vAlign w:val="center"/>
          </w:tcPr>
          <w:p w14:paraId="75B1A541">
            <w:pPr>
              <w:pStyle w:val="45"/>
              <w:ind w:firstLine="0" w:firstLineChars="0"/>
              <w:rPr>
                <w:rFonts w:hint="default" w:eastAsia="宋体"/>
                <w:lang w:val="en-US" w:eastAsia="zh-CN"/>
              </w:rPr>
            </w:pPr>
            <w:r>
              <w:rPr>
                <w:rFonts w:hint="eastAsia"/>
                <w:lang w:val="en-US" w:eastAsia="zh-CN"/>
              </w:rPr>
              <w:t>13</w:t>
            </w:r>
          </w:p>
        </w:tc>
        <w:tc>
          <w:tcPr>
            <w:tcW w:w="446" w:type="pct"/>
            <w:vAlign w:val="center"/>
          </w:tcPr>
          <w:p w14:paraId="39573066">
            <w:pPr>
              <w:pStyle w:val="45"/>
              <w:rPr>
                <w:rFonts w:hint="eastAsia" w:eastAsia="宋体"/>
                <w:lang w:val="en-US" w:eastAsia="zh-CN"/>
              </w:rPr>
            </w:pPr>
            <w:r>
              <w:rPr>
                <w:rFonts w:hint="eastAsia"/>
                <w:lang w:val="en-US" w:eastAsia="zh-CN"/>
              </w:rPr>
              <w:t>氢气</w:t>
            </w:r>
          </w:p>
        </w:tc>
        <w:tc>
          <w:tcPr>
            <w:tcW w:w="3278" w:type="pct"/>
            <w:vAlign w:val="center"/>
          </w:tcPr>
          <w:p w14:paraId="3E83D9B6">
            <w:pPr>
              <w:pStyle w:val="45"/>
              <w:jc w:val="left"/>
              <w:rPr>
                <w:rFonts w:hint="eastAsia"/>
              </w:rPr>
            </w:pPr>
            <w:r>
              <w:rPr>
                <w:rFonts w:hint="default"/>
              </w:rPr>
              <w:t>分子式：</w:t>
            </w:r>
            <w:r>
              <w:rPr>
                <w:rFonts w:hint="eastAsia"/>
                <w:lang w:val="en-US" w:eastAsia="zh-CN"/>
              </w:rPr>
              <w:t>H</w:t>
            </w:r>
            <w:r>
              <w:rPr>
                <w:rFonts w:hint="default"/>
                <w:vertAlign w:val="subscript"/>
              </w:rPr>
              <w:t>2</w:t>
            </w:r>
            <w:r>
              <w:rPr>
                <w:rFonts w:hint="default"/>
              </w:rPr>
              <w:tab/>
            </w:r>
            <w:r>
              <w:rPr>
                <w:rFonts w:hint="default"/>
              </w:rPr>
              <w:t>分子量：</w:t>
            </w:r>
            <w:r>
              <w:rPr>
                <w:rFonts w:hint="eastAsia"/>
                <w:lang w:val="en-US" w:eastAsia="zh-CN"/>
              </w:rPr>
              <w:t>2.02</w:t>
            </w:r>
            <w:r>
              <w:t>；</w:t>
            </w:r>
          </w:p>
          <w:p w14:paraId="6888FCDC">
            <w:pPr>
              <w:pStyle w:val="45"/>
              <w:jc w:val="left"/>
              <w:rPr>
                <w:rFonts w:hint="eastAsia"/>
              </w:rPr>
            </w:pPr>
            <w:r>
              <w:rPr>
                <w:rFonts w:hint="eastAsia"/>
              </w:rPr>
              <w:t>无色无臭气体，不溶于水、乙醇、乙醚，分子量2.01，熔点－259.2℃，沸点－252.8℃，相对密度0.07（空气=1），饱和蒸汽压13.33kPA（－257.9℃）。闪点&lt;50℃。</w:t>
            </w:r>
          </w:p>
          <w:p w14:paraId="5A10D6A3">
            <w:pPr>
              <w:pStyle w:val="45"/>
              <w:jc w:val="left"/>
              <w:rPr>
                <w:rFonts w:hint="default"/>
              </w:rPr>
            </w:pPr>
            <w:r>
              <w:rPr>
                <w:rFonts w:hint="default"/>
              </w:rPr>
              <w:t>易燃、易爆炸，引燃点400℃，爆炸极限4.1~74.1%，与空气混合能形成爆炸性混合物，遇热或明火即会发生爆炸。气体比空气轻，在室内使用和储存时，漏气上升滞留屋顶不易排出，遇火星会引起爆炸。氢气与氟、氯、溴等卤素会剧烈反应。火灾危险分类为甲类。</w:t>
            </w:r>
          </w:p>
          <w:p w14:paraId="1CB0B14C">
            <w:pPr>
              <w:pStyle w:val="45"/>
              <w:jc w:val="left"/>
            </w:pPr>
            <w:r>
              <w:rPr>
                <w:rFonts w:hint="eastAsia"/>
              </w:rPr>
              <w:t>无毒，仅在高浓度时可使人缺氧窒息，呈现出麻醉作用。</w:t>
            </w:r>
          </w:p>
        </w:tc>
        <w:tc>
          <w:tcPr>
            <w:tcW w:w="496" w:type="pct"/>
            <w:vAlign w:val="center"/>
          </w:tcPr>
          <w:p w14:paraId="78AA32E1">
            <w:pPr>
              <w:pStyle w:val="45"/>
              <w:rPr>
                <w:rFonts w:hint="default" w:eastAsia="宋体"/>
                <w:lang w:val="en-US" w:eastAsia="zh-CN"/>
              </w:rPr>
            </w:pPr>
            <w:r>
              <w:rPr>
                <w:rFonts w:hint="eastAsia"/>
                <w:lang w:val="en-US" w:eastAsia="zh-CN"/>
              </w:rPr>
              <w:t>易燃易爆气体</w:t>
            </w:r>
          </w:p>
        </w:tc>
        <w:tc>
          <w:tcPr>
            <w:tcW w:w="516" w:type="pct"/>
            <w:vAlign w:val="center"/>
          </w:tcPr>
          <w:p w14:paraId="0EA2396A">
            <w:pPr>
              <w:pStyle w:val="45"/>
            </w:pPr>
            <w:r>
              <w:rPr>
                <w:rFonts w:hint="eastAsia"/>
              </w:rPr>
              <w:t>1333-74-0</w:t>
            </w:r>
          </w:p>
        </w:tc>
      </w:tr>
      <w:tr w14:paraId="6B1F1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trPr>
        <w:tc>
          <w:tcPr>
            <w:tcW w:w="263" w:type="pct"/>
            <w:vAlign w:val="center"/>
          </w:tcPr>
          <w:p w14:paraId="6A7EDD04">
            <w:pPr>
              <w:pStyle w:val="45"/>
              <w:rPr>
                <w:rFonts w:hint="default" w:eastAsia="宋体"/>
                <w:lang w:val="en-US" w:eastAsia="zh-CN"/>
              </w:rPr>
            </w:pPr>
            <w:r>
              <w:rPr>
                <w:rFonts w:hint="eastAsia"/>
                <w:lang w:val="en-US" w:eastAsia="zh-CN"/>
              </w:rPr>
              <w:t>14</w:t>
            </w:r>
          </w:p>
        </w:tc>
        <w:tc>
          <w:tcPr>
            <w:tcW w:w="446" w:type="pct"/>
            <w:vAlign w:val="center"/>
          </w:tcPr>
          <w:p w14:paraId="7E433047">
            <w:pPr>
              <w:pStyle w:val="45"/>
              <w:rPr>
                <w:rFonts w:hint="eastAsia" w:eastAsia="宋体"/>
                <w:lang w:eastAsia="zh-CN"/>
              </w:rPr>
            </w:pPr>
            <w:r>
              <w:t>危险废物</w:t>
            </w:r>
            <w:r>
              <w:rPr>
                <w:rFonts w:hint="eastAsia"/>
                <w:lang w:eastAsia="zh-CN"/>
              </w:rPr>
              <w:t>（</w:t>
            </w:r>
            <w:r>
              <w:rPr>
                <w:rFonts w:hint="eastAsia"/>
                <w:lang w:val="en-US" w:eastAsia="zh-CN"/>
              </w:rPr>
              <w:t>固体危废、废机油</w:t>
            </w:r>
            <w:r>
              <w:rPr>
                <w:rFonts w:hint="eastAsia"/>
                <w:lang w:eastAsia="zh-CN"/>
              </w:rPr>
              <w:t>）</w:t>
            </w:r>
          </w:p>
        </w:tc>
        <w:tc>
          <w:tcPr>
            <w:tcW w:w="3278" w:type="pct"/>
            <w:vAlign w:val="center"/>
          </w:tcPr>
          <w:p w14:paraId="7CCCA887">
            <w:pPr>
              <w:pStyle w:val="45"/>
              <w:jc w:val="center"/>
              <w:rPr>
                <w:rFonts w:hint="default"/>
              </w:rPr>
            </w:pPr>
            <w:r>
              <w:t>/</w:t>
            </w:r>
          </w:p>
        </w:tc>
        <w:tc>
          <w:tcPr>
            <w:tcW w:w="496" w:type="pct"/>
            <w:vAlign w:val="center"/>
          </w:tcPr>
          <w:p w14:paraId="0724C243">
            <w:pPr>
              <w:pStyle w:val="45"/>
              <w:rPr>
                <w:rFonts w:hint="default" w:eastAsia="宋体"/>
                <w:lang w:val="en-US" w:eastAsia="zh-CN"/>
              </w:rPr>
            </w:pPr>
            <w:r>
              <w:t>有毒</w:t>
            </w:r>
            <w:r>
              <w:rPr>
                <w:rFonts w:hint="eastAsia"/>
                <w:lang w:val="en-US" w:eastAsia="zh-CN"/>
              </w:rPr>
              <w:t>固体/液体</w:t>
            </w:r>
          </w:p>
        </w:tc>
        <w:tc>
          <w:tcPr>
            <w:tcW w:w="516" w:type="pct"/>
            <w:vAlign w:val="center"/>
          </w:tcPr>
          <w:p w14:paraId="6F90F068">
            <w:pPr>
              <w:pStyle w:val="45"/>
              <w:rPr>
                <w:rFonts w:hint="default"/>
              </w:rPr>
            </w:pPr>
            <w:r>
              <w:t>/</w:t>
            </w:r>
          </w:p>
        </w:tc>
      </w:tr>
    </w:tbl>
    <w:p w14:paraId="608FDE30">
      <w:pPr>
        <w:pStyle w:val="4"/>
        <w:numPr>
          <w:ilvl w:val="2"/>
          <w:numId w:val="0"/>
        </w:numPr>
        <w:ind w:leftChars="0"/>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bookmarkStart w:id="285" w:name="_Toc11681"/>
    </w:p>
    <w:p w14:paraId="29E35705">
      <w:pPr>
        <w:pStyle w:val="4"/>
        <w:numPr>
          <w:ilvl w:val="2"/>
          <w:numId w:val="1"/>
        </w:numPr>
      </w:pPr>
      <w:r>
        <w:rPr>
          <w:rFonts w:hint="eastAsia"/>
        </w:rPr>
        <w:t>生产、储存设施风险识别</w:t>
      </w:r>
      <w:bookmarkEnd w:id="285"/>
    </w:p>
    <w:p w14:paraId="27FEEB6C">
      <w:pPr>
        <w:ind w:firstLine="480"/>
      </w:pPr>
      <w:r>
        <w:rPr>
          <w:rFonts w:hint="eastAsia"/>
        </w:rPr>
        <w:t>1.生产线或储存装置识别</w:t>
      </w:r>
    </w:p>
    <w:p w14:paraId="59E0D3A9">
      <w:pPr>
        <w:ind w:firstLine="480"/>
      </w:pPr>
      <w:r>
        <w:rPr>
          <w:rFonts w:hint="eastAsia"/>
        </w:rPr>
        <w:t>各生产线和辅助生产设备（如储存装置）中涉及的设备、储存罐等设施可能发生破裂，停电、设备故障、工作人员违章操作、误操作可能造成生产线不正常运转，从而引起具有毒性或腐蚀性的化学品泄漏。</w:t>
      </w:r>
    </w:p>
    <w:p w14:paraId="61D24638">
      <w:pPr>
        <w:ind w:firstLine="480"/>
      </w:pPr>
      <w:r>
        <w:rPr>
          <w:rFonts w:hint="eastAsia"/>
        </w:rPr>
        <w:t>2.环保设施风险识别</w:t>
      </w:r>
    </w:p>
    <w:p w14:paraId="44F18EAD">
      <w:pPr>
        <w:ind w:firstLine="480"/>
      </w:pPr>
      <w:r>
        <w:rPr>
          <w:rFonts w:hint="eastAsia"/>
        </w:rPr>
        <w:t>厂区内废水、废气的收集、处理设施出现故障或者操作失误，导致收集、处理失效，引起废水、废气的事故性排放；危险废物暂存间泄漏引发。</w:t>
      </w:r>
    </w:p>
    <w:p w14:paraId="3C1FCA14">
      <w:pPr>
        <w:ind w:firstLine="480"/>
        <w:rPr>
          <w:color w:val="FF0000"/>
        </w:rPr>
      </w:pPr>
      <w:r>
        <w:rPr>
          <w:rFonts w:hint="eastAsia"/>
        </w:rPr>
        <w:t>根据项目特点及识别结果，本项目危险源区域主要为电解车间、复分解车间、液态化学品输送转移系统、废水废气处理系统、危险废物暂存间。</w:t>
      </w:r>
    </w:p>
    <w:p w14:paraId="4781849C">
      <w:pPr>
        <w:ind w:firstLine="480"/>
      </w:pPr>
      <w:r>
        <w:rPr>
          <w:rFonts w:hint="eastAsia"/>
        </w:rPr>
        <w:t>（1）废气处理设施</w:t>
      </w:r>
    </w:p>
    <w:p w14:paraId="274031A3">
      <w:pPr>
        <w:ind w:firstLine="480"/>
      </w:pPr>
      <w:r>
        <w:rPr>
          <w:rFonts w:hint="eastAsia"/>
        </w:rPr>
        <w:t>本项目各废气处理装置若发生设施断电、风机故障、处理效率下降等均可能导致大气污染物事故排放，对环境空气会造成影响，使一定范围内大气质量浓度超标，影响周边人员的身体健康，污染物也会随着自然降雨污染地表径流，并影响土壤。因此，项目各废气处理设施为潜在环境风险源。</w:t>
      </w:r>
    </w:p>
    <w:p w14:paraId="125A9B62">
      <w:pPr>
        <w:ind w:firstLine="480"/>
      </w:pPr>
      <w:r>
        <w:rPr>
          <w:rFonts w:hint="eastAsia"/>
        </w:rPr>
        <w:t>（2）废水处理设施</w:t>
      </w:r>
    </w:p>
    <w:p w14:paraId="56980946">
      <w:pPr>
        <w:ind w:firstLine="480"/>
      </w:pPr>
      <w:r>
        <w:rPr>
          <w:rFonts w:hint="eastAsia"/>
        </w:rPr>
        <w:t>本项目设有厂区废水站，如果区域计划停电或临时停电等原因导致厂区污废水站停止运行，尤其长时间停产事故，泵机无法运行，污水在污水处理池内满溢后发生泄漏；废水处理池管道渗漏、堵塞等也会引起污水泄漏，从而对区域地下水、土壤环境造成影响。因此，本项目的废水处理站为潜在环境风险源。</w:t>
      </w:r>
    </w:p>
    <w:p w14:paraId="15B342D0">
      <w:pPr>
        <w:ind w:firstLine="480"/>
      </w:pPr>
      <w:r>
        <w:rPr>
          <w:rFonts w:hint="eastAsia"/>
        </w:rPr>
        <w:t>（3）危险废物暂存间</w:t>
      </w:r>
    </w:p>
    <w:p w14:paraId="0305FED7">
      <w:pPr>
        <w:ind w:firstLine="480"/>
      </w:pPr>
      <w:r>
        <w:rPr>
          <w:rFonts w:hint="eastAsia"/>
        </w:rPr>
        <w:t>本项目危险废物暂存间会存放电解槽废渣、</w:t>
      </w:r>
      <w:r>
        <w:rPr>
          <w:rFonts w:hint="eastAsia"/>
          <w:lang w:eastAsia="zh-CN"/>
        </w:rPr>
        <w:t>除铬滤渣</w:t>
      </w:r>
      <w:r>
        <w:rPr>
          <w:rFonts w:hint="eastAsia"/>
        </w:rPr>
        <w:t>等危险废物，其中液态危险废物一般为桶装暂存，存在泄漏的风险，若恰逢固废暂存间地面防渗层破损，将会下渗污染土壤和地下水环境。因此，危险废物暂存间为潜在环境风险源。</w:t>
      </w:r>
    </w:p>
    <w:p w14:paraId="73B972BE">
      <w:pPr>
        <w:pStyle w:val="4"/>
        <w:numPr>
          <w:ilvl w:val="2"/>
          <w:numId w:val="1"/>
        </w:numPr>
      </w:pPr>
      <w:bookmarkStart w:id="286" w:name="_Toc29007"/>
      <w:r>
        <w:rPr>
          <w:rFonts w:hint="eastAsia"/>
        </w:rPr>
        <w:t>风险事故类型识别</w:t>
      </w:r>
      <w:bookmarkEnd w:id="286"/>
    </w:p>
    <w:p w14:paraId="4E5DB267">
      <w:pPr>
        <w:ind w:firstLine="480"/>
      </w:pPr>
      <w:r>
        <w:rPr>
          <w:rFonts w:hint="eastAsia"/>
        </w:rPr>
        <w:t>通过对本项目物质危险性识别、生产设施风险识别、污水处理系统以及储运系统等的风险识别，结合《建设项目环境风险评价技术导则》对风险类型的定义，确定本项目的风险类型具体如下：</w:t>
      </w:r>
    </w:p>
    <w:p w14:paraId="1A216967">
      <w:pPr>
        <w:ind w:firstLine="480"/>
      </w:pPr>
      <w:r>
        <w:rPr>
          <w:rFonts w:hint="eastAsia"/>
        </w:rPr>
        <w:t>1、厂区废水站故障废水泄漏；</w:t>
      </w:r>
    </w:p>
    <w:p w14:paraId="534638AB">
      <w:pPr>
        <w:ind w:firstLine="480"/>
      </w:pPr>
      <w:r>
        <w:rPr>
          <w:rFonts w:hint="eastAsia"/>
        </w:rPr>
        <w:t>2、生产过程中工艺废气事故排放；</w:t>
      </w:r>
    </w:p>
    <w:p w14:paraId="20CB5EFB">
      <w:pPr>
        <w:ind w:firstLine="480"/>
      </w:pPr>
      <w:r>
        <w:rPr>
          <w:rFonts w:hint="eastAsia"/>
        </w:rPr>
        <w:t>3、生产区、储罐区发生泄漏及其引发的伴生/次生事故；</w:t>
      </w:r>
    </w:p>
    <w:p w14:paraId="1EF833DF">
      <w:pPr>
        <w:ind w:firstLine="480"/>
      </w:pPr>
      <w:r>
        <w:rPr>
          <w:rFonts w:hint="eastAsia"/>
        </w:rPr>
        <w:t>4、火灾爆炸及其引发的伴生/次生环境风险事故</w:t>
      </w:r>
    </w:p>
    <w:p w14:paraId="6BC31C9E">
      <w:pPr>
        <w:pStyle w:val="4"/>
        <w:numPr>
          <w:ilvl w:val="2"/>
          <w:numId w:val="1"/>
        </w:numPr>
      </w:pPr>
      <w:bookmarkStart w:id="287" w:name="_Toc1878"/>
      <w:r>
        <w:rPr>
          <w:rFonts w:hint="eastAsia"/>
        </w:rPr>
        <w:t>可能受影响的环境保护目标</w:t>
      </w:r>
      <w:bookmarkEnd w:id="287"/>
    </w:p>
    <w:p w14:paraId="50B84595">
      <w:pPr>
        <w:ind w:firstLine="480"/>
        <w:rPr>
          <w:color w:val="auto"/>
        </w:rPr>
      </w:pPr>
      <w:r>
        <w:rPr>
          <w:rFonts w:hint="eastAsia"/>
          <w:color w:val="auto"/>
        </w:rPr>
        <w:t>本项目发生事故时可能对周边的大气、水体环境等产生影响，可能受影响的环境保护目标具体</w:t>
      </w:r>
      <w:r>
        <w:rPr>
          <w:rFonts w:hint="eastAsia"/>
          <w:color w:val="auto"/>
          <w:lang w:val="en-US" w:eastAsia="zh-CN"/>
        </w:rPr>
        <w:t>见</w:t>
      </w:r>
      <w:r>
        <w:rPr>
          <w:rFonts w:hint="eastAsia"/>
          <w:color w:val="auto"/>
        </w:rPr>
        <w:t>表</w:t>
      </w:r>
      <w:r>
        <w:rPr>
          <w:rFonts w:hint="eastAsia"/>
          <w:color w:val="auto"/>
          <w:lang w:val="en-US" w:eastAsia="zh-CN"/>
        </w:rPr>
        <w:t>2.6-1</w:t>
      </w:r>
      <w:r>
        <w:rPr>
          <w:rFonts w:hint="eastAsia"/>
          <w:color w:val="auto"/>
        </w:rPr>
        <w:t>。</w:t>
      </w:r>
    </w:p>
    <w:p w14:paraId="216623F2">
      <w:pPr>
        <w:pStyle w:val="4"/>
        <w:numPr>
          <w:ilvl w:val="2"/>
          <w:numId w:val="1"/>
        </w:numPr>
      </w:pPr>
      <w:bookmarkStart w:id="288" w:name="_Toc8441"/>
      <w:r>
        <w:rPr>
          <w:rFonts w:hint="eastAsia"/>
        </w:rPr>
        <w:t>环境风险类型及危害分析</w:t>
      </w:r>
      <w:bookmarkEnd w:id="288"/>
    </w:p>
    <w:p w14:paraId="46526633">
      <w:pPr>
        <w:ind w:firstLine="480"/>
      </w:pPr>
      <w:r>
        <w:rPr>
          <w:rFonts w:hint="eastAsia"/>
        </w:rPr>
        <w:t>本次事故分析不考虑工程外部事故因素（自然灾害等不可抗力），根据企业的资料和环境分析识别的结果可知，项目各单元潜在的环境风险事故见下表</w:t>
      </w:r>
    </w:p>
    <w:p w14:paraId="5DA86A61">
      <w:pPr>
        <w:pStyle w:val="43"/>
        <w:numPr>
          <w:ilvl w:val="5"/>
          <w:numId w:val="1"/>
        </w:numPr>
        <w:rPr>
          <w:rFonts w:hint="default"/>
        </w:rPr>
      </w:pPr>
      <w:r>
        <w:t>本项目各个功能单元潜在的环境风险事故</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7"/>
        <w:gridCol w:w="1756"/>
        <w:gridCol w:w="1134"/>
        <w:gridCol w:w="2142"/>
        <w:gridCol w:w="881"/>
        <w:gridCol w:w="1420"/>
      </w:tblGrid>
      <w:tr w14:paraId="64AD1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187" w:type="dxa"/>
            <w:vMerge w:val="restart"/>
            <w:vAlign w:val="center"/>
          </w:tcPr>
          <w:p w14:paraId="6C840BC5">
            <w:pPr>
              <w:pStyle w:val="45"/>
              <w:rPr>
                <w:rFonts w:hint="default"/>
                <w:b/>
                <w:bCs/>
              </w:rPr>
            </w:pPr>
            <w:r>
              <w:rPr>
                <w:rFonts w:hint="default"/>
                <w:b/>
                <w:bCs/>
              </w:rPr>
              <w:t>功能单元</w:t>
            </w:r>
          </w:p>
        </w:tc>
        <w:tc>
          <w:tcPr>
            <w:tcW w:w="1756" w:type="dxa"/>
            <w:vMerge w:val="restart"/>
            <w:vAlign w:val="center"/>
          </w:tcPr>
          <w:p w14:paraId="322B8FF2">
            <w:pPr>
              <w:pStyle w:val="45"/>
              <w:rPr>
                <w:rFonts w:hint="default"/>
                <w:b/>
                <w:bCs/>
              </w:rPr>
            </w:pPr>
            <w:r>
              <w:rPr>
                <w:rFonts w:hint="default"/>
                <w:b/>
                <w:bCs/>
              </w:rPr>
              <w:t>风险物质</w:t>
            </w:r>
          </w:p>
        </w:tc>
        <w:tc>
          <w:tcPr>
            <w:tcW w:w="1134" w:type="dxa"/>
            <w:vMerge w:val="restart"/>
            <w:vAlign w:val="center"/>
          </w:tcPr>
          <w:p w14:paraId="2C98F9B5">
            <w:pPr>
              <w:pStyle w:val="45"/>
              <w:rPr>
                <w:rFonts w:hint="default"/>
                <w:b/>
                <w:bCs/>
              </w:rPr>
            </w:pPr>
            <w:r>
              <w:rPr>
                <w:b/>
                <w:bCs/>
              </w:rPr>
              <w:t>事故类型</w:t>
            </w:r>
          </w:p>
        </w:tc>
        <w:tc>
          <w:tcPr>
            <w:tcW w:w="4443" w:type="dxa"/>
            <w:gridSpan w:val="3"/>
            <w:vAlign w:val="center"/>
          </w:tcPr>
          <w:p w14:paraId="4D3DFBA6">
            <w:pPr>
              <w:pStyle w:val="45"/>
              <w:rPr>
                <w:rFonts w:hint="default"/>
                <w:b/>
                <w:bCs/>
              </w:rPr>
            </w:pPr>
            <w:r>
              <w:rPr>
                <w:b/>
                <w:bCs/>
              </w:rPr>
              <w:t>关键环节</w:t>
            </w:r>
          </w:p>
        </w:tc>
      </w:tr>
      <w:tr w14:paraId="73C39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187" w:type="dxa"/>
            <w:vMerge w:val="continue"/>
            <w:vAlign w:val="center"/>
          </w:tcPr>
          <w:p w14:paraId="16A401BB">
            <w:pPr>
              <w:pStyle w:val="45"/>
              <w:rPr>
                <w:rFonts w:hint="default"/>
                <w:b/>
                <w:bCs/>
              </w:rPr>
            </w:pPr>
          </w:p>
        </w:tc>
        <w:tc>
          <w:tcPr>
            <w:tcW w:w="1756" w:type="dxa"/>
            <w:vMerge w:val="continue"/>
            <w:vAlign w:val="center"/>
          </w:tcPr>
          <w:p w14:paraId="6D441029">
            <w:pPr>
              <w:pStyle w:val="45"/>
              <w:rPr>
                <w:rFonts w:hint="default"/>
                <w:b/>
                <w:bCs/>
              </w:rPr>
            </w:pPr>
          </w:p>
        </w:tc>
        <w:tc>
          <w:tcPr>
            <w:tcW w:w="1134" w:type="dxa"/>
            <w:vMerge w:val="continue"/>
            <w:vAlign w:val="center"/>
          </w:tcPr>
          <w:p w14:paraId="0B398B9F">
            <w:pPr>
              <w:pStyle w:val="45"/>
              <w:rPr>
                <w:rFonts w:hint="default"/>
                <w:b/>
                <w:bCs/>
              </w:rPr>
            </w:pPr>
          </w:p>
        </w:tc>
        <w:tc>
          <w:tcPr>
            <w:tcW w:w="2142" w:type="dxa"/>
            <w:vAlign w:val="center"/>
          </w:tcPr>
          <w:p w14:paraId="4E5B0AC6">
            <w:pPr>
              <w:pStyle w:val="45"/>
              <w:rPr>
                <w:rFonts w:hint="default"/>
                <w:b/>
                <w:bCs/>
              </w:rPr>
            </w:pPr>
            <w:r>
              <w:rPr>
                <w:b/>
                <w:bCs/>
              </w:rPr>
              <w:t>源头</w:t>
            </w:r>
          </w:p>
        </w:tc>
        <w:tc>
          <w:tcPr>
            <w:tcW w:w="881" w:type="dxa"/>
            <w:vAlign w:val="center"/>
          </w:tcPr>
          <w:p w14:paraId="6DDD116B">
            <w:pPr>
              <w:pStyle w:val="45"/>
              <w:rPr>
                <w:rFonts w:hint="default"/>
                <w:b/>
                <w:bCs/>
              </w:rPr>
            </w:pPr>
            <w:r>
              <w:rPr>
                <w:b/>
                <w:bCs/>
              </w:rPr>
              <w:t>扩散途径</w:t>
            </w:r>
          </w:p>
        </w:tc>
        <w:tc>
          <w:tcPr>
            <w:tcW w:w="1420" w:type="dxa"/>
            <w:vAlign w:val="center"/>
          </w:tcPr>
          <w:p w14:paraId="0E1BE448">
            <w:pPr>
              <w:pStyle w:val="45"/>
              <w:rPr>
                <w:rFonts w:hint="default"/>
                <w:b/>
                <w:bCs/>
              </w:rPr>
            </w:pPr>
            <w:r>
              <w:rPr>
                <w:b/>
                <w:bCs/>
              </w:rPr>
              <w:t>危害分析</w:t>
            </w:r>
          </w:p>
        </w:tc>
      </w:tr>
      <w:tr w14:paraId="0EBE3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Align w:val="center"/>
          </w:tcPr>
          <w:p w14:paraId="34AC6F73">
            <w:pPr>
              <w:pStyle w:val="45"/>
              <w:ind w:firstLine="0" w:firstLineChars="0"/>
              <w:rPr>
                <w:rFonts w:hint="default"/>
              </w:rPr>
            </w:pPr>
            <w:r>
              <w:rPr>
                <w:rFonts w:hint="default"/>
              </w:rPr>
              <w:t>生产车间</w:t>
            </w:r>
          </w:p>
        </w:tc>
        <w:tc>
          <w:tcPr>
            <w:tcW w:w="1756" w:type="dxa"/>
            <w:vAlign w:val="center"/>
          </w:tcPr>
          <w:p w14:paraId="60C6F9E3">
            <w:pPr>
              <w:pStyle w:val="45"/>
              <w:ind w:firstLine="0" w:firstLineChars="0"/>
              <w:rPr>
                <w:rFonts w:hint="default"/>
              </w:rPr>
            </w:pPr>
            <w:r>
              <w:t>氯酸钠、高氯酸钾、高氯酸钠等</w:t>
            </w:r>
          </w:p>
        </w:tc>
        <w:tc>
          <w:tcPr>
            <w:tcW w:w="1134" w:type="dxa"/>
            <w:vAlign w:val="center"/>
          </w:tcPr>
          <w:p w14:paraId="0DE32530">
            <w:pPr>
              <w:pStyle w:val="45"/>
              <w:ind w:firstLine="0" w:firstLineChars="0"/>
              <w:rPr>
                <w:rFonts w:hint="default"/>
              </w:rPr>
            </w:pPr>
            <w:r>
              <w:rPr>
                <w:rFonts w:hint="eastAsia"/>
                <w:lang w:val="en-US" w:eastAsia="zh-CN"/>
              </w:rPr>
              <w:t>火灾、爆炸、</w:t>
            </w:r>
            <w:r>
              <w:rPr>
                <w:rFonts w:hint="default"/>
              </w:rPr>
              <w:t>泄漏</w:t>
            </w:r>
          </w:p>
        </w:tc>
        <w:tc>
          <w:tcPr>
            <w:tcW w:w="2142" w:type="dxa"/>
            <w:vAlign w:val="center"/>
          </w:tcPr>
          <w:p w14:paraId="1CD89638">
            <w:pPr>
              <w:pStyle w:val="45"/>
              <w:ind w:firstLine="0" w:firstLineChars="0"/>
              <w:rPr>
                <w:rFonts w:hint="eastAsia" w:eastAsia="宋体"/>
                <w:lang w:eastAsia="zh-CN"/>
              </w:rPr>
            </w:pPr>
            <w:r>
              <w:rPr>
                <w:rFonts w:hint="eastAsia"/>
                <w:lang w:val="en-US" w:eastAsia="zh-CN"/>
              </w:rPr>
              <w:t>火灾、爆炸、装置破裂</w:t>
            </w:r>
          </w:p>
        </w:tc>
        <w:tc>
          <w:tcPr>
            <w:tcW w:w="881" w:type="dxa"/>
            <w:vMerge w:val="restart"/>
            <w:vAlign w:val="center"/>
          </w:tcPr>
          <w:p w14:paraId="56803E09">
            <w:pPr>
              <w:pStyle w:val="45"/>
              <w:rPr>
                <w:rFonts w:hint="default"/>
              </w:rPr>
            </w:pPr>
            <w:r>
              <w:rPr>
                <w:rFonts w:hint="default"/>
              </w:rPr>
              <w:t>大气、地表水、土壤、地下水</w:t>
            </w:r>
          </w:p>
          <w:p w14:paraId="128BD33B">
            <w:pPr>
              <w:pStyle w:val="45"/>
              <w:ind w:firstLine="0" w:firstLineChars="0"/>
              <w:rPr>
                <w:rFonts w:hint="default"/>
              </w:rPr>
            </w:pPr>
          </w:p>
        </w:tc>
        <w:tc>
          <w:tcPr>
            <w:tcW w:w="1420" w:type="dxa"/>
            <w:vMerge w:val="restart"/>
            <w:vAlign w:val="center"/>
          </w:tcPr>
          <w:p w14:paraId="17E4B436">
            <w:pPr>
              <w:pStyle w:val="45"/>
              <w:ind w:firstLine="0" w:firstLineChars="0"/>
              <w:rPr>
                <w:rFonts w:hint="default"/>
              </w:rPr>
            </w:pPr>
            <w:r>
              <w:rPr>
                <w:rFonts w:hint="default"/>
              </w:rPr>
              <w:t>造成大气、地表水、土壤、地下水污染</w:t>
            </w:r>
          </w:p>
        </w:tc>
      </w:tr>
      <w:tr w14:paraId="10434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Align w:val="center"/>
          </w:tcPr>
          <w:p w14:paraId="4A4B2488">
            <w:pPr>
              <w:pStyle w:val="45"/>
              <w:ind w:firstLine="0" w:firstLineChars="0"/>
              <w:rPr>
                <w:rFonts w:hint="default"/>
              </w:rPr>
            </w:pPr>
            <w:r>
              <w:rPr>
                <w:rFonts w:hint="default"/>
              </w:rPr>
              <w:t>储罐区</w:t>
            </w:r>
          </w:p>
        </w:tc>
        <w:tc>
          <w:tcPr>
            <w:tcW w:w="1756" w:type="dxa"/>
            <w:vAlign w:val="center"/>
          </w:tcPr>
          <w:p w14:paraId="71DEDF35">
            <w:pPr>
              <w:pStyle w:val="45"/>
              <w:ind w:firstLine="0" w:firstLineChars="0"/>
              <w:rPr>
                <w:rFonts w:hint="default"/>
              </w:rPr>
            </w:pPr>
            <w:r>
              <w:t>氯酸钠、盐酸、氢氧化钠</w:t>
            </w:r>
          </w:p>
        </w:tc>
        <w:tc>
          <w:tcPr>
            <w:tcW w:w="1134" w:type="dxa"/>
            <w:vAlign w:val="center"/>
          </w:tcPr>
          <w:p w14:paraId="6CBA3D1C">
            <w:pPr>
              <w:pStyle w:val="45"/>
              <w:ind w:firstLine="0" w:firstLineChars="0"/>
              <w:rPr>
                <w:rFonts w:hint="default"/>
              </w:rPr>
            </w:pPr>
            <w:r>
              <w:rPr>
                <w:rFonts w:hint="default"/>
              </w:rPr>
              <w:t>泄漏</w:t>
            </w:r>
          </w:p>
        </w:tc>
        <w:tc>
          <w:tcPr>
            <w:tcW w:w="2142" w:type="dxa"/>
            <w:vAlign w:val="center"/>
          </w:tcPr>
          <w:p w14:paraId="377BE386">
            <w:pPr>
              <w:pStyle w:val="45"/>
              <w:ind w:firstLine="0" w:firstLineChars="0"/>
              <w:rPr>
                <w:rFonts w:hint="default" w:eastAsia="宋体"/>
                <w:lang w:val="en-US" w:eastAsia="zh-CN"/>
              </w:rPr>
            </w:pPr>
            <w:r>
              <w:rPr>
                <w:rFonts w:hint="eastAsia"/>
                <w:lang w:val="en-US" w:eastAsia="zh-CN"/>
              </w:rPr>
              <w:t>储罐破裂</w:t>
            </w:r>
          </w:p>
        </w:tc>
        <w:tc>
          <w:tcPr>
            <w:tcW w:w="881" w:type="dxa"/>
            <w:vMerge w:val="continue"/>
            <w:vAlign w:val="center"/>
          </w:tcPr>
          <w:p w14:paraId="2C910230">
            <w:pPr>
              <w:pStyle w:val="45"/>
              <w:ind w:firstLine="0" w:firstLineChars="0"/>
              <w:rPr>
                <w:rFonts w:hint="default"/>
              </w:rPr>
            </w:pPr>
          </w:p>
        </w:tc>
        <w:tc>
          <w:tcPr>
            <w:tcW w:w="1420" w:type="dxa"/>
            <w:vMerge w:val="continue"/>
            <w:vAlign w:val="center"/>
          </w:tcPr>
          <w:p w14:paraId="56DF48BB">
            <w:pPr>
              <w:pStyle w:val="45"/>
              <w:ind w:firstLine="0" w:firstLineChars="0"/>
              <w:rPr>
                <w:rFonts w:hint="default"/>
              </w:rPr>
            </w:pPr>
          </w:p>
        </w:tc>
      </w:tr>
      <w:tr w14:paraId="7BCFD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Align w:val="center"/>
          </w:tcPr>
          <w:p w14:paraId="5DA68F3A">
            <w:pPr>
              <w:pStyle w:val="45"/>
              <w:ind w:firstLine="0" w:firstLineChars="0"/>
              <w:rPr>
                <w:rFonts w:hint="default"/>
              </w:rPr>
            </w:pPr>
            <w:r>
              <w:t>原辅料仓库</w:t>
            </w:r>
          </w:p>
        </w:tc>
        <w:tc>
          <w:tcPr>
            <w:tcW w:w="1756" w:type="dxa"/>
            <w:vAlign w:val="center"/>
          </w:tcPr>
          <w:p w14:paraId="60C77184">
            <w:pPr>
              <w:pStyle w:val="45"/>
              <w:ind w:firstLine="0" w:firstLineChars="0"/>
              <w:rPr>
                <w:rFonts w:hint="default"/>
              </w:rPr>
            </w:pPr>
            <w:r>
              <w:t>氯酸钠、重铬酸钠、氯化钡</w:t>
            </w:r>
          </w:p>
        </w:tc>
        <w:tc>
          <w:tcPr>
            <w:tcW w:w="1134" w:type="dxa"/>
            <w:vAlign w:val="center"/>
          </w:tcPr>
          <w:p w14:paraId="79ACCE6B">
            <w:pPr>
              <w:pStyle w:val="45"/>
              <w:ind w:firstLine="0" w:firstLineChars="0"/>
              <w:rPr>
                <w:rFonts w:hint="default"/>
              </w:rPr>
            </w:pPr>
            <w:r>
              <w:rPr>
                <w:rFonts w:hint="default"/>
              </w:rPr>
              <w:t>泄漏</w:t>
            </w:r>
            <w:r>
              <w:t>、</w:t>
            </w:r>
            <w:r>
              <w:rPr>
                <w:rFonts w:hint="default"/>
              </w:rPr>
              <w:t>火灾、爆炸</w:t>
            </w:r>
          </w:p>
        </w:tc>
        <w:tc>
          <w:tcPr>
            <w:tcW w:w="2142" w:type="dxa"/>
            <w:vAlign w:val="center"/>
          </w:tcPr>
          <w:p w14:paraId="360D8652">
            <w:pPr>
              <w:pStyle w:val="45"/>
              <w:ind w:firstLine="0" w:firstLineChars="0"/>
              <w:rPr>
                <w:rFonts w:hint="default"/>
              </w:rPr>
            </w:pPr>
            <w:r>
              <w:rPr>
                <w:rFonts w:hint="default"/>
              </w:rPr>
              <w:t>包装袋破损，操作不当遇明火或静电</w:t>
            </w:r>
          </w:p>
        </w:tc>
        <w:tc>
          <w:tcPr>
            <w:tcW w:w="881" w:type="dxa"/>
            <w:vMerge w:val="continue"/>
            <w:vAlign w:val="center"/>
          </w:tcPr>
          <w:p w14:paraId="2A8C3976">
            <w:pPr>
              <w:pStyle w:val="45"/>
              <w:ind w:firstLine="0" w:firstLineChars="0"/>
              <w:rPr>
                <w:rFonts w:hint="default"/>
              </w:rPr>
            </w:pPr>
          </w:p>
        </w:tc>
        <w:tc>
          <w:tcPr>
            <w:tcW w:w="1420" w:type="dxa"/>
            <w:vMerge w:val="continue"/>
            <w:vAlign w:val="center"/>
          </w:tcPr>
          <w:p w14:paraId="055605F1">
            <w:pPr>
              <w:pStyle w:val="45"/>
              <w:ind w:firstLine="0" w:firstLineChars="0"/>
              <w:rPr>
                <w:rFonts w:hint="default"/>
              </w:rPr>
            </w:pPr>
          </w:p>
        </w:tc>
      </w:tr>
      <w:tr w14:paraId="09A20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Align w:val="center"/>
          </w:tcPr>
          <w:p w14:paraId="78A69E95">
            <w:pPr>
              <w:pStyle w:val="45"/>
              <w:ind w:firstLine="0" w:firstLineChars="0"/>
              <w:rPr>
                <w:rFonts w:hint="default"/>
              </w:rPr>
            </w:pPr>
            <w:r>
              <w:rPr>
                <w:rFonts w:hint="default"/>
              </w:rPr>
              <w:t>产品仓库</w:t>
            </w:r>
          </w:p>
        </w:tc>
        <w:tc>
          <w:tcPr>
            <w:tcW w:w="1756" w:type="dxa"/>
            <w:vAlign w:val="center"/>
          </w:tcPr>
          <w:p w14:paraId="1AE67E1D">
            <w:pPr>
              <w:pStyle w:val="45"/>
              <w:ind w:firstLine="0" w:firstLineChars="0"/>
              <w:rPr>
                <w:rFonts w:hint="default"/>
              </w:rPr>
            </w:pPr>
            <w:r>
              <w:t>高氯酸钠、高氯酸钾</w:t>
            </w:r>
          </w:p>
        </w:tc>
        <w:tc>
          <w:tcPr>
            <w:tcW w:w="1134" w:type="dxa"/>
            <w:vAlign w:val="center"/>
          </w:tcPr>
          <w:p w14:paraId="2BEB59BE">
            <w:pPr>
              <w:pStyle w:val="45"/>
              <w:ind w:firstLine="0" w:firstLineChars="0"/>
              <w:rPr>
                <w:rFonts w:hint="default"/>
              </w:rPr>
            </w:pPr>
            <w:r>
              <w:rPr>
                <w:rFonts w:hint="default"/>
              </w:rPr>
              <w:t>泄漏、火灾、爆炸</w:t>
            </w:r>
          </w:p>
        </w:tc>
        <w:tc>
          <w:tcPr>
            <w:tcW w:w="2142" w:type="dxa"/>
            <w:vAlign w:val="center"/>
          </w:tcPr>
          <w:p w14:paraId="021A2855">
            <w:pPr>
              <w:pStyle w:val="45"/>
              <w:ind w:firstLine="0" w:firstLineChars="0"/>
              <w:rPr>
                <w:rFonts w:hint="default"/>
              </w:rPr>
            </w:pPr>
            <w:r>
              <w:rPr>
                <w:rFonts w:hint="default"/>
              </w:rPr>
              <w:t>包装袋破损，操作不当遇明火或静电</w:t>
            </w:r>
          </w:p>
        </w:tc>
        <w:tc>
          <w:tcPr>
            <w:tcW w:w="881" w:type="dxa"/>
            <w:vMerge w:val="continue"/>
            <w:vAlign w:val="center"/>
          </w:tcPr>
          <w:p w14:paraId="2C82831E">
            <w:pPr>
              <w:pStyle w:val="45"/>
              <w:ind w:firstLine="0" w:firstLineChars="0"/>
              <w:rPr>
                <w:rFonts w:hint="default"/>
              </w:rPr>
            </w:pPr>
          </w:p>
        </w:tc>
        <w:tc>
          <w:tcPr>
            <w:tcW w:w="1420" w:type="dxa"/>
            <w:vMerge w:val="continue"/>
            <w:vAlign w:val="center"/>
          </w:tcPr>
          <w:p w14:paraId="78E7E85A">
            <w:pPr>
              <w:pStyle w:val="45"/>
              <w:ind w:firstLine="0" w:firstLineChars="0"/>
              <w:rPr>
                <w:rFonts w:hint="default"/>
              </w:rPr>
            </w:pPr>
          </w:p>
        </w:tc>
      </w:tr>
      <w:tr w14:paraId="4D4B4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Align w:val="center"/>
          </w:tcPr>
          <w:p w14:paraId="24EFAE47">
            <w:pPr>
              <w:pStyle w:val="45"/>
              <w:ind w:firstLine="0" w:firstLineChars="0"/>
              <w:rPr>
                <w:rFonts w:hint="default"/>
              </w:rPr>
            </w:pPr>
            <w:r>
              <w:rPr>
                <w:rFonts w:hint="default"/>
              </w:rPr>
              <w:t>输送转移系统</w:t>
            </w:r>
          </w:p>
        </w:tc>
        <w:tc>
          <w:tcPr>
            <w:tcW w:w="1756" w:type="dxa"/>
            <w:vAlign w:val="center"/>
          </w:tcPr>
          <w:p w14:paraId="3B612CE6">
            <w:pPr>
              <w:pStyle w:val="45"/>
              <w:ind w:firstLine="0" w:firstLineChars="0"/>
              <w:rPr>
                <w:rFonts w:hint="default"/>
              </w:rPr>
            </w:pPr>
            <w:r>
              <w:t>氯酸钠、盐酸、氢氧化钠</w:t>
            </w:r>
          </w:p>
        </w:tc>
        <w:tc>
          <w:tcPr>
            <w:tcW w:w="1134" w:type="dxa"/>
            <w:vAlign w:val="center"/>
          </w:tcPr>
          <w:p w14:paraId="7143D356">
            <w:pPr>
              <w:pStyle w:val="45"/>
              <w:ind w:firstLine="0" w:firstLineChars="0"/>
              <w:rPr>
                <w:rFonts w:hint="default"/>
              </w:rPr>
            </w:pPr>
            <w:r>
              <w:rPr>
                <w:rFonts w:hint="default"/>
              </w:rPr>
              <w:t>泄漏</w:t>
            </w:r>
          </w:p>
        </w:tc>
        <w:tc>
          <w:tcPr>
            <w:tcW w:w="2142" w:type="dxa"/>
            <w:vAlign w:val="center"/>
          </w:tcPr>
          <w:p w14:paraId="2AE7A48A">
            <w:pPr>
              <w:pStyle w:val="45"/>
              <w:ind w:firstLine="0" w:firstLineChars="0"/>
              <w:rPr>
                <w:rFonts w:hint="default"/>
              </w:rPr>
            </w:pPr>
            <w:r>
              <w:rPr>
                <w:rFonts w:hint="default"/>
              </w:rPr>
              <w:t>管道破损、折断；运输车间碰撞翻车事故</w:t>
            </w:r>
          </w:p>
        </w:tc>
        <w:tc>
          <w:tcPr>
            <w:tcW w:w="881" w:type="dxa"/>
            <w:vMerge w:val="continue"/>
            <w:vAlign w:val="center"/>
          </w:tcPr>
          <w:p w14:paraId="6C203E19">
            <w:pPr>
              <w:pStyle w:val="45"/>
              <w:ind w:firstLine="0" w:firstLineChars="0"/>
              <w:rPr>
                <w:rFonts w:hint="default"/>
              </w:rPr>
            </w:pPr>
          </w:p>
        </w:tc>
        <w:tc>
          <w:tcPr>
            <w:tcW w:w="1420" w:type="dxa"/>
            <w:vMerge w:val="continue"/>
            <w:vAlign w:val="center"/>
          </w:tcPr>
          <w:p w14:paraId="7BFEE659">
            <w:pPr>
              <w:pStyle w:val="45"/>
              <w:ind w:firstLine="0" w:firstLineChars="0"/>
              <w:rPr>
                <w:rFonts w:hint="default"/>
              </w:rPr>
            </w:pPr>
          </w:p>
        </w:tc>
      </w:tr>
      <w:tr w14:paraId="74603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Align w:val="center"/>
          </w:tcPr>
          <w:p w14:paraId="0FE62A8A">
            <w:pPr>
              <w:pStyle w:val="45"/>
              <w:ind w:firstLine="0" w:firstLineChars="0"/>
              <w:rPr>
                <w:rFonts w:hint="default"/>
              </w:rPr>
            </w:pPr>
            <w:r>
              <w:rPr>
                <w:rFonts w:hint="default"/>
              </w:rPr>
              <w:t>废水</w:t>
            </w:r>
            <w:r>
              <w:t>处理站</w:t>
            </w:r>
          </w:p>
        </w:tc>
        <w:tc>
          <w:tcPr>
            <w:tcW w:w="1756" w:type="dxa"/>
            <w:vAlign w:val="center"/>
          </w:tcPr>
          <w:p w14:paraId="3AA285B6">
            <w:pPr>
              <w:pStyle w:val="45"/>
              <w:ind w:firstLine="0" w:firstLineChars="0"/>
              <w:rPr>
                <w:rFonts w:hint="default"/>
              </w:rPr>
            </w:pPr>
            <w:r>
              <w:rPr>
                <w:rFonts w:hint="default"/>
              </w:rPr>
              <w:t>废水</w:t>
            </w:r>
          </w:p>
        </w:tc>
        <w:tc>
          <w:tcPr>
            <w:tcW w:w="1134" w:type="dxa"/>
            <w:vAlign w:val="center"/>
          </w:tcPr>
          <w:p w14:paraId="7B9FD593">
            <w:pPr>
              <w:pStyle w:val="45"/>
              <w:ind w:firstLine="0" w:firstLineChars="0"/>
              <w:rPr>
                <w:rFonts w:hint="default"/>
              </w:rPr>
            </w:pPr>
            <w:r>
              <w:rPr>
                <w:rFonts w:hint="default"/>
              </w:rPr>
              <w:t>泄漏</w:t>
            </w:r>
          </w:p>
        </w:tc>
        <w:tc>
          <w:tcPr>
            <w:tcW w:w="2142" w:type="dxa"/>
            <w:vAlign w:val="center"/>
          </w:tcPr>
          <w:p w14:paraId="35F26AC4">
            <w:pPr>
              <w:pStyle w:val="45"/>
              <w:ind w:firstLine="0" w:firstLineChars="0"/>
              <w:rPr>
                <w:rFonts w:hint="default"/>
              </w:rPr>
            </w:pPr>
            <w:r>
              <w:rPr>
                <w:rFonts w:hint="default"/>
              </w:rPr>
              <w:t>设施破裂</w:t>
            </w:r>
          </w:p>
        </w:tc>
        <w:tc>
          <w:tcPr>
            <w:tcW w:w="881" w:type="dxa"/>
            <w:vMerge w:val="restart"/>
            <w:vAlign w:val="center"/>
          </w:tcPr>
          <w:p w14:paraId="6A3637ED">
            <w:pPr>
              <w:pStyle w:val="45"/>
              <w:ind w:firstLine="0" w:firstLineChars="0"/>
              <w:rPr>
                <w:rFonts w:hint="default"/>
              </w:rPr>
            </w:pPr>
            <w:r>
              <w:rPr>
                <w:rFonts w:hint="default"/>
              </w:rPr>
              <w:t>土壤、地下水</w:t>
            </w:r>
          </w:p>
        </w:tc>
        <w:tc>
          <w:tcPr>
            <w:tcW w:w="1420" w:type="dxa"/>
            <w:vMerge w:val="restart"/>
            <w:vAlign w:val="center"/>
          </w:tcPr>
          <w:p w14:paraId="0E419AA1">
            <w:pPr>
              <w:pStyle w:val="45"/>
              <w:ind w:firstLine="0" w:firstLineChars="0"/>
              <w:rPr>
                <w:rFonts w:hint="default"/>
              </w:rPr>
            </w:pPr>
            <w:r>
              <w:rPr>
                <w:rFonts w:hint="default"/>
              </w:rPr>
              <w:t>造成土壤、地下水污染</w:t>
            </w:r>
          </w:p>
        </w:tc>
      </w:tr>
      <w:tr w14:paraId="5DA12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Align w:val="center"/>
          </w:tcPr>
          <w:p w14:paraId="5E1E76B5">
            <w:pPr>
              <w:pStyle w:val="45"/>
              <w:ind w:firstLine="0" w:firstLineChars="0"/>
              <w:rPr>
                <w:rFonts w:hint="default"/>
              </w:rPr>
            </w:pPr>
            <w:r>
              <w:rPr>
                <w:rFonts w:hint="default"/>
              </w:rPr>
              <w:t>危废收集暂存</w:t>
            </w:r>
          </w:p>
        </w:tc>
        <w:tc>
          <w:tcPr>
            <w:tcW w:w="1756" w:type="dxa"/>
            <w:vAlign w:val="center"/>
          </w:tcPr>
          <w:p w14:paraId="2FD7C516">
            <w:pPr>
              <w:pStyle w:val="45"/>
              <w:ind w:firstLine="0" w:firstLineChars="0"/>
              <w:rPr>
                <w:rFonts w:hint="default"/>
              </w:rPr>
            </w:pPr>
            <w:r>
              <w:t>危险废物</w:t>
            </w:r>
            <w:r>
              <w:rPr>
                <w:rFonts w:hint="default"/>
              </w:rPr>
              <w:t>等</w:t>
            </w:r>
          </w:p>
        </w:tc>
        <w:tc>
          <w:tcPr>
            <w:tcW w:w="1134" w:type="dxa"/>
            <w:vAlign w:val="center"/>
          </w:tcPr>
          <w:p w14:paraId="49282AA3">
            <w:pPr>
              <w:pStyle w:val="45"/>
              <w:ind w:firstLine="0" w:firstLineChars="0"/>
              <w:rPr>
                <w:rFonts w:hint="default"/>
              </w:rPr>
            </w:pPr>
            <w:r>
              <w:rPr>
                <w:rFonts w:hint="default"/>
              </w:rPr>
              <w:t>泄漏</w:t>
            </w:r>
          </w:p>
        </w:tc>
        <w:tc>
          <w:tcPr>
            <w:tcW w:w="2142" w:type="dxa"/>
            <w:vAlign w:val="center"/>
          </w:tcPr>
          <w:p w14:paraId="09E41F25">
            <w:pPr>
              <w:pStyle w:val="45"/>
              <w:ind w:firstLine="0" w:firstLineChars="0"/>
              <w:rPr>
                <w:rFonts w:hint="default"/>
              </w:rPr>
            </w:pPr>
            <w:r>
              <w:rPr>
                <w:rFonts w:hint="default"/>
              </w:rPr>
              <w:t>危废收集、暂存容器破裂</w:t>
            </w:r>
          </w:p>
        </w:tc>
        <w:tc>
          <w:tcPr>
            <w:tcW w:w="881" w:type="dxa"/>
            <w:vMerge w:val="continue"/>
            <w:vAlign w:val="center"/>
          </w:tcPr>
          <w:p w14:paraId="3E94F70C">
            <w:pPr>
              <w:pStyle w:val="45"/>
              <w:ind w:firstLine="0" w:firstLineChars="0"/>
              <w:rPr>
                <w:rFonts w:hint="default"/>
              </w:rPr>
            </w:pPr>
          </w:p>
        </w:tc>
        <w:tc>
          <w:tcPr>
            <w:tcW w:w="1420" w:type="dxa"/>
            <w:vMerge w:val="continue"/>
            <w:vAlign w:val="center"/>
          </w:tcPr>
          <w:p w14:paraId="3A58B9C7">
            <w:pPr>
              <w:pStyle w:val="45"/>
              <w:ind w:firstLine="0" w:firstLineChars="0"/>
              <w:rPr>
                <w:rFonts w:hint="default"/>
              </w:rPr>
            </w:pPr>
          </w:p>
        </w:tc>
      </w:tr>
      <w:tr w14:paraId="759DF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Align w:val="center"/>
          </w:tcPr>
          <w:p w14:paraId="4CCDAABC">
            <w:pPr>
              <w:pStyle w:val="45"/>
              <w:ind w:firstLine="0" w:firstLineChars="0"/>
              <w:rPr>
                <w:rFonts w:hint="default"/>
              </w:rPr>
            </w:pPr>
            <w:r>
              <w:rPr>
                <w:rFonts w:hint="default"/>
              </w:rPr>
              <w:t>废气处理系统</w:t>
            </w:r>
          </w:p>
        </w:tc>
        <w:tc>
          <w:tcPr>
            <w:tcW w:w="1756" w:type="dxa"/>
            <w:vAlign w:val="center"/>
          </w:tcPr>
          <w:p w14:paraId="72200FFB">
            <w:pPr>
              <w:pStyle w:val="45"/>
              <w:ind w:firstLine="0" w:firstLineChars="0"/>
              <w:rPr>
                <w:rFonts w:hint="default"/>
              </w:rPr>
            </w:pPr>
            <w:r>
              <w:rPr>
                <w:rFonts w:hint="default"/>
              </w:rPr>
              <w:t>颗粒物、</w:t>
            </w:r>
            <w:r>
              <w:t>氯气、氯化氢</w:t>
            </w:r>
          </w:p>
        </w:tc>
        <w:tc>
          <w:tcPr>
            <w:tcW w:w="1134" w:type="dxa"/>
            <w:vAlign w:val="center"/>
          </w:tcPr>
          <w:p w14:paraId="7EC83D5B">
            <w:pPr>
              <w:pStyle w:val="45"/>
              <w:ind w:firstLine="0" w:firstLineChars="0"/>
              <w:rPr>
                <w:rFonts w:hint="default" w:eastAsia="宋体"/>
                <w:lang w:val="en-US" w:eastAsia="zh-CN"/>
              </w:rPr>
            </w:pPr>
            <w:r>
              <w:rPr>
                <w:rFonts w:hint="default"/>
              </w:rPr>
              <w:t>废气事故排放</w:t>
            </w:r>
            <w:r>
              <w:rPr>
                <w:rFonts w:hint="eastAsia"/>
                <w:lang w:eastAsia="zh-CN"/>
              </w:rPr>
              <w:t>、</w:t>
            </w:r>
            <w:r>
              <w:rPr>
                <w:rFonts w:hint="eastAsia"/>
                <w:lang w:val="en-US" w:eastAsia="zh-CN"/>
              </w:rPr>
              <w:t>火灾、爆炸</w:t>
            </w:r>
          </w:p>
        </w:tc>
        <w:tc>
          <w:tcPr>
            <w:tcW w:w="2142" w:type="dxa"/>
            <w:vAlign w:val="center"/>
          </w:tcPr>
          <w:p w14:paraId="2A725867">
            <w:pPr>
              <w:pStyle w:val="45"/>
              <w:ind w:firstLine="0" w:firstLineChars="0"/>
              <w:rPr>
                <w:rFonts w:hint="eastAsia" w:eastAsia="宋体"/>
                <w:lang w:eastAsia="zh-CN"/>
              </w:rPr>
            </w:pPr>
            <w:r>
              <w:rPr>
                <w:rFonts w:hint="default"/>
              </w:rPr>
              <w:t>处理系统故障</w:t>
            </w:r>
            <w:r>
              <w:rPr>
                <w:rFonts w:hint="eastAsia"/>
                <w:lang w:eastAsia="zh-CN"/>
              </w:rPr>
              <w:t>；</w:t>
            </w:r>
            <w:r>
              <w:rPr>
                <w:rFonts w:hint="default"/>
              </w:rPr>
              <w:t>操作不当遇明火或静电</w:t>
            </w:r>
          </w:p>
        </w:tc>
        <w:tc>
          <w:tcPr>
            <w:tcW w:w="881" w:type="dxa"/>
            <w:vAlign w:val="center"/>
          </w:tcPr>
          <w:p w14:paraId="698B40FC">
            <w:pPr>
              <w:pStyle w:val="45"/>
              <w:ind w:firstLine="0" w:firstLineChars="0"/>
              <w:rPr>
                <w:rFonts w:hint="default"/>
              </w:rPr>
            </w:pPr>
            <w:r>
              <w:rPr>
                <w:rFonts w:hint="default"/>
              </w:rPr>
              <w:t>大气、地表水、土壤、地下水</w:t>
            </w:r>
          </w:p>
        </w:tc>
        <w:tc>
          <w:tcPr>
            <w:tcW w:w="1420" w:type="dxa"/>
            <w:vAlign w:val="center"/>
          </w:tcPr>
          <w:p w14:paraId="50EC79BA">
            <w:pPr>
              <w:pStyle w:val="45"/>
              <w:ind w:firstLine="0" w:firstLineChars="0"/>
              <w:rPr>
                <w:rFonts w:hint="default"/>
              </w:rPr>
            </w:pPr>
            <w:r>
              <w:rPr>
                <w:rFonts w:hint="default"/>
              </w:rPr>
              <w:t>造成大气、地表水、土壤、地下水污染</w:t>
            </w:r>
          </w:p>
        </w:tc>
      </w:tr>
      <w:tr w14:paraId="51CE7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Align w:val="center"/>
          </w:tcPr>
          <w:p w14:paraId="311EF20F">
            <w:pPr>
              <w:pStyle w:val="45"/>
              <w:ind w:firstLine="0" w:firstLineChars="0"/>
              <w:rPr>
                <w:rFonts w:hint="default" w:eastAsia="宋体"/>
                <w:lang w:val="en-US" w:eastAsia="zh-CN"/>
              </w:rPr>
            </w:pPr>
            <w:r>
              <w:rPr>
                <w:rFonts w:hint="eastAsia"/>
                <w:lang w:val="en-US" w:eastAsia="zh-CN"/>
              </w:rPr>
              <w:t>氢气回收系统</w:t>
            </w:r>
          </w:p>
        </w:tc>
        <w:tc>
          <w:tcPr>
            <w:tcW w:w="1756" w:type="dxa"/>
            <w:vAlign w:val="center"/>
          </w:tcPr>
          <w:p w14:paraId="6497659F">
            <w:pPr>
              <w:pStyle w:val="45"/>
              <w:ind w:firstLine="0" w:firstLineChars="0"/>
              <w:rPr>
                <w:rFonts w:hint="eastAsia" w:eastAsia="宋体"/>
                <w:lang w:val="en-US" w:eastAsia="zh-CN"/>
              </w:rPr>
            </w:pPr>
            <w:r>
              <w:rPr>
                <w:rFonts w:hint="eastAsia"/>
                <w:lang w:val="en-US" w:eastAsia="zh-CN"/>
              </w:rPr>
              <w:t>氢气</w:t>
            </w:r>
          </w:p>
        </w:tc>
        <w:tc>
          <w:tcPr>
            <w:tcW w:w="1134" w:type="dxa"/>
            <w:vAlign w:val="center"/>
          </w:tcPr>
          <w:p w14:paraId="41233F33">
            <w:pPr>
              <w:pStyle w:val="45"/>
              <w:ind w:firstLine="0" w:firstLineChars="0"/>
              <w:rPr>
                <w:rFonts w:hint="default" w:eastAsia="宋体"/>
                <w:lang w:val="en-US" w:eastAsia="zh-CN"/>
              </w:rPr>
            </w:pPr>
            <w:r>
              <w:rPr>
                <w:rFonts w:hint="eastAsia"/>
                <w:lang w:val="en-US" w:eastAsia="zh-CN"/>
              </w:rPr>
              <w:t>火灾、爆炸</w:t>
            </w:r>
          </w:p>
        </w:tc>
        <w:tc>
          <w:tcPr>
            <w:tcW w:w="2142" w:type="dxa"/>
            <w:vAlign w:val="center"/>
          </w:tcPr>
          <w:p w14:paraId="3BD70528">
            <w:pPr>
              <w:pStyle w:val="45"/>
              <w:ind w:firstLine="0" w:firstLineChars="0"/>
              <w:rPr>
                <w:rFonts w:hint="default"/>
              </w:rPr>
            </w:pPr>
            <w:r>
              <w:rPr>
                <w:rFonts w:hint="eastAsia"/>
                <w:lang w:val="en-US" w:eastAsia="zh-CN"/>
              </w:rPr>
              <w:t>氢气泄露、</w:t>
            </w:r>
            <w:r>
              <w:rPr>
                <w:rFonts w:hint="default"/>
              </w:rPr>
              <w:t>处理系统故障</w:t>
            </w:r>
            <w:r>
              <w:rPr>
                <w:rFonts w:hint="eastAsia"/>
                <w:lang w:val="en-US" w:eastAsia="zh-CN"/>
              </w:rPr>
              <w:t>或</w:t>
            </w:r>
            <w:r>
              <w:rPr>
                <w:rFonts w:hint="default"/>
              </w:rPr>
              <w:t>操作不当遇明火或静电</w:t>
            </w:r>
          </w:p>
        </w:tc>
        <w:tc>
          <w:tcPr>
            <w:tcW w:w="881" w:type="dxa"/>
            <w:vAlign w:val="center"/>
          </w:tcPr>
          <w:p w14:paraId="26289E77">
            <w:pPr>
              <w:pStyle w:val="45"/>
              <w:ind w:firstLine="0" w:firstLineChars="0"/>
              <w:rPr>
                <w:rFonts w:hint="default"/>
              </w:rPr>
            </w:pPr>
            <w:r>
              <w:rPr>
                <w:rFonts w:hint="default"/>
              </w:rPr>
              <w:t>大气、地表水、土壤、地下水</w:t>
            </w:r>
          </w:p>
        </w:tc>
        <w:tc>
          <w:tcPr>
            <w:tcW w:w="1420" w:type="dxa"/>
            <w:vAlign w:val="center"/>
          </w:tcPr>
          <w:p w14:paraId="20F3B50D">
            <w:pPr>
              <w:pStyle w:val="45"/>
              <w:ind w:firstLine="0" w:firstLineChars="0"/>
              <w:rPr>
                <w:rFonts w:hint="default"/>
              </w:rPr>
            </w:pPr>
            <w:r>
              <w:rPr>
                <w:rFonts w:hint="default"/>
              </w:rPr>
              <w:t>造成大气、地表水、土壤、地下水污染</w:t>
            </w:r>
          </w:p>
        </w:tc>
      </w:tr>
    </w:tbl>
    <w:p w14:paraId="5181616F">
      <w:pPr>
        <w:spacing w:line="240" w:lineRule="auto"/>
        <w:ind w:firstLine="480"/>
      </w:pPr>
    </w:p>
    <w:p w14:paraId="758515FD">
      <w:pPr>
        <w:ind w:firstLine="48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t>根据上表可知，项目危险性物质主要通过大气、水体、土壤和地下水等途径进入环境，对环境造成影响和维护，其污染物转移途径和维护形式见下表。</w:t>
      </w:r>
    </w:p>
    <w:p w14:paraId="1DA8A5BE">
      <w:pPr>
        <w:pStyle w:val="43"/>
        <w:numPr>
          <w:ilvl w:val="5"/>
          <w:numId w:val="1"/>
        </w:numPr>
        <w:rPr>
          <w:rFonts w:hint="default"/>
        </w:rPr>
      </w:pPr>
      <w:r>
        <w:rPr>
          <w:rFonts w:hint="default"/>
        </w:rPr>
        <w:t>本项目事故类型及危害途径</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6"/>
        <w:gridCol w:w="2153"/>
        <w:gridCol w:w="2166"/>
        <w:gridCol w:w="3014"/>
      </w:tblGrid>
      <w:tr w14:paraId="1D078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96" w:type="pct"/>
            <w:vAlign w:val="center"/>
          </w:tcPr>
          <w:p w14:paraId="77BA84C3">
            <w:pPr>
              <w:pStyle w:val="45"/>
              <w:rPr>
                <w:rFonts w:hint="default"/>
                <w:b/>
                <w:bCs/>
              </w:rPr>
            </w:pPr>
            <w:r>
              <w:rPr>
                <w:b/>
                <w:bCs/>
              </w:rPr>
              <w:t>事故类型</w:t>
            </w:r>
          </w:p>
        </w:tc>
        <w:tc>
          <w:tcPr>
            <w:tcW w:w="1263" w:type="pct"/>
            <w:vAlign w:val="center"/>
          </w:tcPr>
          <w:p w14:paraId="7C60BD8C">
            <w:pPr>
              <w:pStyle w:val="45"/>
              <w:rPr>
                <w:rFonts w:hint="default"/>
                <w:b/>
                <w:bCs/>
              </w:rPr>
            </w:pPr>
            <w:r>
              <w:rPr>
                <w:b/>
                <w:bCs/>
              </w:rPr>
              <w:t>事故位置/单元</w:t>
            </w:r>
          </w:p>
        </w:tc>
        <w:tc>
          <w:tcPr>
            <w:tcW w:w="1271" w:type="pct"/>
            <w:vAlign w:val="center"/>
          </w:tcPr>
          <w:p w14:paraId="5AB6DD5F">
            <w:pPr>
              <w:pStyle w:val="45"/>
              <w:rPr>
                <w:rFonts w:hint="default"/>
                <w:b/>
                <w:bCs/>
              </w:rPr>
            </w:pPr>
            <w:r>
              <w:rPr>
                <w:b/>
                <w:bCs/>
              </w:rPr>
              <w:t>事故影响类型</w:t>
            </w:r>
          </w:p>
        </w:tc>
        <w:tc>
          <w:tcPr>
            <w:tcW w:w="1768" w:type="pct"/>
            <w:vAlign w:val="center"/>
          </w:tcPr>
          <w:p w14:paraId="158B2D54">
            <w:pPr>
              <w:pStyle w:val="45"/>
              <w:rPr>
                <w:rFonts w:hint="default"/>
                <w:b/>
                <w:bCs/>
              </w:rPr>
            </w:pPr>
            <w:r>
              <w:rPr>
                <w:rFonts w:hint="default"/>
                <w:b/>
                <w:bCs/>
              </w:rPr>
              <w:t>污染物转移途径及危害形式</w:t>
            </w:r>
          </w:p>
        </w:tc>
      </w:tr>
      <w:tr w14:paraId="2E743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6" w:type="pct"/>
            <w:vAlign w:val="center"/>
          </w:tcPr>
          <w:p w14:paraId="73D2CF3E">
            <w:pPr>
              <w:pStyle w:val="45"/>
              <w:rPr>
                <w:rFonts w:hint="default"/>
              </w:rPr>
            </w:pPr>
            <w:r>
              <w:rPr>
                <w:rFonts w:hint="default"/>
              </w:rPr>
              <w:t>火灾及次生污染事故</w:t>
            </w:r>
          </w:p>
        </w:tc>
        <w:tc>
          <w:tcPr>
            <w:tcW w:w="1263" w:type="pct"/>
            <w:vAlign w:val="center"/>
          </w:tcPr>
          <w:p w14:paraId="15B7FA5D">
            <w:pPr>
              <w:pStyle w:val="45"/>
              <w:rPr>
                <w:rFonts w:hint="default"/>
              </w:rPr>
            </w:pPr>
            <w:r>
              <w:t>生产车间、储罐区、原料仓库、产品仓库</w:t>
            </w:r>
          </w:p>
        </w:tc>
        <w:tc>
          <w:tcPr>
            <w:tcW w:w="1271" w:type="pct"/>
            <w:vAlign w:val="center"/>
          </w:tcPr>
          <w:p w14:paraId="7F894258">
            <w:pPr>
              <w:pStyle w:val="45"/>
              <w:rPr>
                <w:rFonts w:hint="default"/>
              </w:rPr>
            </w:pPr>
            <w:r>
              <w:t>热辐射、有毒烟气、消洗废水排放</w:t>
            </w:r>
          </w:p>
        </w:tc>
        <w:tc>
          <w:tcPr>
            <w:tcW w:w="1768" w:type="pct"/>
            <w:vMerge w:val="restart"/>
            <w:vAlign w:val="center"/>
          </w:tcPr>
          <w:p w14:paraId="2FDF6AA0">
            <w:pPr>
              <w:pStyle w:val="45"/>
              <w:rPr>
                <w:rFonts w:hint="default"/>
              </w:rPr>
            </w:pPr>
            <w:r>
              <w:rPr>
                <w:rFonts w:hint="default"/>
              </w:rPr>
              <w:t>无组织扩散到大气污染大气环境；消洗废水四处逸散造成环境污染，人员伤亡</w:t>
            </w:r>
          </w:p>
        </w:tc>
      </w:tr>
      <w:tr w14:paraId="1544F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6" w:type="pct"/>
            <w:vAlign w:val="center"/>
          </w:tcPr>
          <w:p w14:paraId="00C3F4CC">
            <w:pPr>
              <w:pStyle w:val="45"/>
              <w:rPr>
                <w:rFonts w:hint="default"/>
              </w:rPr>
            </w:pPr>
            <w:r>
              <w:rPr>
                <w:rFonts w:hint="default"/>
              </w:rPr>
              <w:t>爆炸事故</w:t>
            </w:r>
          </w:p>
        </w:tc>
        <w:tc>
          <w:tcPr>
            <w:tcW w:w="1263" w:type="pct"/>
            <w:vAlign w:val="center"/>
          </w:tcPr>
          <w:p w14:paraId="1A0F12E7">
            <w:pPr>
              <w:pStyle w:val="45"/>
              <w:rPr>
                <w:rFonts w:hint="default" w:eastAsia="宋体"/>
                <w:lang w:val="en-US" w:eastAsia="zh-CN"/>
              </w:rPr>
            </w:pPr>
            <w:r>
              <w:t>生产车间、储罐区、原料仓库、产品仓库</w:t>
            </w:r>
            <w:r>
              <w:rPr>
                <w:rFonts w:hint="eastAsia"/>
                <w:lang w:eastAsia="zh-CN"/>
              </w:rPr>
              <w:t>、</w:t>
            </w:r>
            <w:r>
              <w:rPr>
                <w:rFonts w:hint="eastAsia"/>
                <w:lang w:val="en-US" w:eastAsia="zh-CN"/>
              </w:rPr>
              <w:t>氢气回收系统</w:t>
            </w:r>
          </w:p>
        </w:tc>
        <w:tc>
          <w:tcPr>
            <w:tcW w:w="1271" w:type="pct"/>
            <w:vAlign w:val="center"/>
          </w:tcPr>
          <w:p w14:paraId="331824AB">
            <w:pPr>
              <w:pStyle w:val="45"/>
              <w:rPr>
                <w:rFonts w:hint="default"/>
              </w:rPr>
            </w:pPr>
            <w:r>
              <w:t>冲击波、抛射物、消洗废水排放</w:t>
            </w:r>
          </w:p>
        </w:tc>
        <w:tc>
          <w:tcPr>
            <w:tcW w:w="1768" w:type="pct"/>
            <w:vMerge w:val="continue"/>
            <w:vAlign w:val="center"/>
          </w:tcPr>
          <w:p w14:paraId="5BDF3EAB">
            <w:pPr>
              <w:pStyle w:val="45"/>
              <w:rPr>
                <w:rFonts w:hint="default"/>
              </w:rPr>
            </w:pPr>
          </w:p>
        </w:tc>
      </w:tr>
      <w:tr w14:paraId="58302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6" w:type="pct"/>
            <w:vAlign w:val="center"/>
          </w:tcPr>
          <w:p w14:paraId="3772FFE5">
            <w:pPr>
              <w:pStyle w:val="45"/>
              <w:rPr>
                <w:rFonts w:hint="default"/>
              </w:rPr>
            </w:pPr>
            <w:r>
              <w:rPr>
                <w:rFonts w:hint="default"/>
              </w:rPr>
              <w:t>有毒害物质泄漏及次生污染事故</w:t>
            </w:r>
          </w:p>
        </w:tc>
        <w:tc>
          <w:tcPr>
            <w:tcW w:w="1263" w:type="pct"/>
            <w:vAlign w:val="center"/>
          </w:tcPr>
          <w:p w14:paraId="5A9670DE">
            <w:pPr>
              <w:pStyle w:val="45"/>
              <w:rPr>
                <w:rFonts w:hint="default"/>
              </w:rPr>
            </w:pPr>
            <w:r>
              <w:t>生产车间、储罐区、原料仓库、产品仓库、输送转运系统、废水处理站</w:t>
            </w:r>
          </w:p>
        </w:tc>
        <w:tc>
          <w:tcPr>
            <w:tcW w:w="1271" w:type="pct"/>
            <w:vAlign w:val="center"/>
          </w:tcPr>
          <w:p w14:paraId="0C4D6EF7">
            <w:pPr>
              <w:pStyle w:val="45"/>
              <w:rPr>
                <w:rFonts w:hint="default"/>
              </w:rPr>
            </w:pPr>
            <w:r>
              <w:rPr>
                <w:rFonts w:hint="default"/>
              </w:rPr>
              <w:t>有毒有害物质扩散</w:t>
            </w:r>
          </w:p>
        </w:tc>
        <w:tc>
          <w:tcPr>
            <w:tcW w:w="1768" w:type="pct"/>
            <w:vAlign w:val="center"/>
          </w:tcPr>
          <w:p w14:paraId="4014CD17">
            <w:pPr>
              <w:pStyle w:val="45"/>
              <w:rPr>
                <w:rFonts w:hint="default"/>
              </w:rPr>
            </w:pPr>
            <w:r>
              <w:rPr>
                <w:rFonts w:hint="default"/>
              </w:rPr>
              <w:t>无组织扩散到大气污染大气环境；废水泄漏、消洗废水四处逸散造成土壤地下水环境污染，人员伤亡、植物损害</w:t>
            </w:r>
          </w:p>
        </w:tc>
      </w:tr>
      <w:tr w14:paraId="798C5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6" w:type="pct"/>
            <w:vAlign w:val="center"/>
          </w:tcPr>
          <w:p w14:paraId="69206030">
            <w:pPr>
              <w:pStyle w:val="45"/>
              <w:rPr>
                <w:rFonts w:hint="default"/>
              </w:rPr>
            </w:pPr>
            <w:r>
              <w:rPr>
                <w:rFonts w:hint="default"/>
              </w:rPr>
              <w:t>废气事故排放</w:t>
            </w:r>
          </w:p>
        </w:tc>
        <w:tc>
          <w:tcPr>
            <w:tcW w:w="1263" w:type="pct"/>
            <w:vAlign w:val="center"/>
          </w:tcPr>
          <w:p w14:paraId="231DD55F">
            <w:pPr>
              <w:pStyle w:val="45"/>
              <w:rPr>
                <w:rFonts w:hint="default"/>
              </w:rPr>
            </w:pPr>
            <w:r>
              <w:rPr>
                <w:rFonts w:hint="default"/>
              </w:rPr>
              <w:t>废气处理设施</w:t>
            </w:r>
          </w:p>
        </w:tc>
        <w:tc>
          <w:tcPr>
            <w:tcW w:w="1271" w:type="pct"/>
            <w:vAlign w:val="center"/>
          </w:tcPr>
          <w:p w14:paraId="6F43AE3D">
            <w:pPr>
              <w:pStyle w:val="45"/>
              <w:rPr>
                <w:rFonts w:hint="default"/>
              </w:rPr>
            </w:pPr>
            <w:r>
              <w:rPr>
                <w:rFonts w:hint="default"/>
              </w:rPr>
              <w:t>有毒有害物质扩散</w:t>
            </w:r>
          </w:p>
        </w:tc>
        <w:tc>
          <w:tcPr>
            <w:tcW w:w="1768" w:type="pct"/>
            <w:vAlign w:val="center"/>
          </w:tcPr>
          <w:p w14:paraId="7830C3FE">
            <w:pPr>
              <w:pStyle w:val="45"/>
              <w:rPr>
                <w:rFonts w:hint="default"/>
              </w:rPr>
            </w:pPr>
            <w:r>
              <w:rPr>
                <w:rFonts w:hint="default"/>
              </w:rPr>
              <w:t>扩散到大气污染大气环境</w:t>
            </w:r>
          </w:p>
        </w:tc>
      </w:tr>
    </w:tbl>
    <w:p w14:paraId="499E3D1C">
      <w:pPr>
        <w:spacing w:line="240" w:lineRule="auto"/>
        <w:ind w:firstLine="0" w:firstLineChars="0"/>
      </w:pPr>
    </w:p>
    <w:p w14:paraId="3E18F1DB">
      <w:pPr>
        <w:pStyle w:val="4"/>
        <w:numPr>
          <w:ilvl w:val="2"/>
          <w:numId w:val="1"/>
        </w:numPr>
      </w:pPr>
      <w:bookmarkStart w:id="289" w:name="_Toc1050"/>
      <w:r>
        <w:rPr>
          <w:rFonts w:hint="eastAsia"/>
        </w:rPr>
        <w:t>风险识别结果</w:t>
      </w:r>
      <w:bookmarkEnd w:id="289"/>
    </w:p>
    <w:p w14:paraId="14E6D861">
      <w:pPr>
        <w:ind w:firstLine="480"/>
        <w:rPr>
          <w:rFonts w:hint="default" w:eastAsia="宋体"/>
          <w:lang w:val="en-US" w:eastAsia="zh-CN"/>
        </w:rPr>
      </w:pPr>
      <w:r>
        <w:rPr>
          <w:rFonts w:hint="eastAsia"/>
        </w:rPr>
        <w:t>综上，本项目建成后危险单元和风险源主要有生产车间、储罐区、产品仓库、原料仓库、液态物料输送管道、废水处理站池、废气处理系统故障</w:t>
      </w:r>
      <w:r>
        <w:rPr>
          <w:rFonts w:hint="eastAsia"/>
          <w:lang w:eastAsia="zh-CN"/>
        </w:rPr>
        <w:t>、</w:t>
      </w:r>
      <w:r>
        <w:rPr>
          <w:rFonts w:hint="eastAsia"/>
          <w:lang w:val="en-US" w:eastAsia="zh-CN"/>
        </w:rPr>
        <w:t>氢气回收系统故障</w:t>
      </w:r>
      <w:r>
        <w:rPr>
          <w:rFonts w:hint="eastAsia"/>
        </w:rPr>
        <w:t>等引起的泄漏、火灾爆炸事故等。主要危险物质为重铬酸钠、氯酸钠、</w:t>
      </w:r>
      <w:r>
        <w:rPr>
          <w:rFonts w:hint="eastAsia"/>
          <w:lang w:val="en-US" w:eastAsia="zh-CN"/>
        </w:rPr>
        <w:t>氯酸钾、</w:t>
      </w:r>
      <w:r>
        <w:rPr>
          <w:rFonts w:hint="eastAsia"/>
        </w:rPr>
        <w:t>高氯酸钠、高氯酸钾、</w:t>
      </w:r>
      <w:r>
        <w:rPr>
          <w:rFonts w:hint="eastAsia"/>
          <w:lang w:val="en-US" w:eastAsia="zh-CN"/>
        </w:rPr>
        <w:t>高氯酸锂、高氯酸、</w:t>
      </w:r>
      <w:r>
        <w:rPr>
          <w:rFonts w:hint="eastAsia"/>
        </w:rPr>
        <w:t>氯化钡、氢氧化钠、盐酸</w:t>
      </w:r>
      <w:r>
        <w:rPr>
          <w:rFonts w:hint="eastAsia"/>
          <w:lang w:eastAsia="zh-CN"/>
        </w:rPr>
        <w:t>（</w:t>
      </w:r>
      <w:r>
        <w:rPr>
          <w:rFonts w:hint="eastAsia"/>
          <w:lang w:val="en-US" w:eastAsia="zh-CN"/>
        </w:rPr>
        <w:t>氯化氢</w:t>
      </w:r>
      <w:r>
        <w:rPr>
          <w:rFonts w:hint="eastAsia"/>
          <w:lang w:eastAsia="zh-CN"/>
        </w:rPr>
        <w:t>）</w:t>
      </w:r>
      <w:r>
        <w:rPr>
          <w:rFonts w:hint="eastAsia"/>
        </w:rPr>
        <w:t>、氯气</w:t>
      </w:r>
      <w:r>
        <w:rPr>
          <w:rFonts w:hint="eastAsia"/>
          <w:lang w:eastAsia="zh-CN"/>
        </w:rPr>
        <w:t>、</w:t>
      </w:r>
      <w:r>
        <w:rPr>
          <w:rFonts w:hint="eastAsia"/>
          <w:lang w:val="en-US" w:eastAsia="zh-CN"/>
        </w:rPr>
        <w:t>氢气、危险废物</w:t>
      </w:r>
      <w:r>
        <w:rPr>
          <w:rFonts w:hint="eastAsia"/>
        </w:rPr>
        <w:t>等。环境风险类型主要有危险化学品泄漏、废水废气处理系统故障导致的事故排放、火灾爆炸产生的次生环境风险问题。主要影响途径主要有污染周边大气、水体、地下水、土壤等。可能受影响的环境敏感目标为评价范围内的居民、地表地下水、周边土壤等。</w:t>
      </w:r>
      <w:r>
        <w:rPr>
          <w:rFonts w:hint="eastAsia"/>
          <w:lang w:val="en-US" w:eastAsia="zh-CN"/>
        </w:rPr>
        <w:t>项目风险源分布具体见附图。</w:t>
      </w:r>
    </w:p>
    <w:p w14:paraId="4CF00CE5">
      <w:pPr>
        <w:pStyle w:val="3"/>
        <w:numPr>
          <w:ilvl w:val="1"/>
          <w:numId w:val="1"/>
        </w:numPr>
      </w:pPr>
      <w:bookmarkStart w:id="290" w:name="_Toc6212"/>
      <w:bookmarkStart w:id="291" w:name="_Toc16648"/>
      <w:bookmarkStart w:id="292" w:name="_Toc24604"/>
      <w:r>
        <w:rPr>
          <w:rFonts w:hint="eastAsia"/>
        </w:rPr>
        <w:t>风险事故情形分析</w:t>
      </w:r>
      <w:bookmarkEnd w:id="290"/>
      <w:bookmarkEnd w:id="291"/>
      <w:bookmarkEnd w:id="292"/>
    </w:p>
    <w:p w14:paraId="7B547491">
      <w:pPr>
        <w:pStyle w:val="4"/>
        <w:numPr>
          <w:ilvl w:val="2"/>
          <w:numId w:val="1"/>
        </w:numPr>
      </w:pPr>
      <w:bookmarkStart w:id="293" w:name="_Toc13312"/>
      <w:r>
        <w:rPr>
          <w:rFonts w:hint="eastAsia"/>
        </w:rPr>
        <w:t>最大可信事故及其情形设定</w:t>
      </w:r>
      <w:bookmarkEnd w:id="293"/>
    </w:p>
    <w:p w14:paraId="1804AD04">
      <w:pPr>
        <w:ind w:firstLine="480"/>
      </w:pPr>
      <w:r>
        <w:rPr>
          <w:rFonts w:hint="eastAsia"/>
        </w:rPr>
        <w:t>最大可信事故指在所有预测的概率不为零的事故中，对环境（或健康）危害最严重的重大事故。潜在的危险事故有可能是重大事故，但有些事故并不一定对环境或社会产生严重的影响。如一些机械伤害事故、坠落或遭物体打击事故、触电伤害事故等，有可能造成人员伤害、财产损失而成为重大事故，这些事故对环境的污染与破坏是较小的。对环境风险分析来讲，更关心的是火灾、爆炸、中毒的危险。</w:t>
      </w:r>
    </w:p>
    <w:p w14:paraId="219D07A2">
      <w:pPr>
        <w:ind w:firstLine="480"/>
      </w:pPr>
      <w:r>
        <w:rPr>
          <w:rFonts w:hint="eastAsia"/>
        </w:rPr>
        <w:t>从同类项目事故统计资料可以看出，石化行业贮运系统事故概率较高。因此，应该选择贮运系统的事故作为最大可信事故。另外，生产装置区的环境风险也不容忽视。结合企业现有环境风险情况及环境风险物质的危险特性和环境影响，最终确定</w:t>
      </w:r>
      <w:r>
        <w:rPr>
          <w:rFonts w:hint="eastAsia"/>
          <w:lang w:val="en-US" w:eastAsia="zh-CN"/>
        </w:rPr>
        <w:t>本项目</w:t>
      </w:r>
      <w:r>
        <w:rPr>
          <w:rFonts w:hint="eastAsia"/>
        </w:rPr>
        <w:t>的最大可信事故如下。</w:t>
      </w:r>
    </w:p>
    <w:p w14:paraId="12C67035">
      <w:pPr>
        <w:ind w:firstLine="480"/>
      </w:pPr>
      <w:r>
        <w:rPr>
          <w:rFonts w:hint="eastAsia"/>
        </w:rPr>
        <w:t>根据前文分析，本项目建成后全厂的环境风险事故情形如下：</w:t>
      </w:r>
    </w:p>
    <w:p w14:paraId="65C30860">
      <w:pPr>
        <w:ind w:firstLine="480"/>
      </w:pPr>
      <w:r>
        <w:rPr>
          <w:rFonts w:hint="eastAsia"/>
        </w:rPr>
        <w:t>（1）本项目储罐区贮存的氯酸钠、盐酸、液碱等如管理不严，引发泄漏</w:t>
      </w:r>
      <w:r>
        <w:rPr>
          <w:rFonts w:hint="eastAsia"/>
          <w:lang w:eastAsia="zh-CN"/>
        </w:rPr>
        <w:t>；</w:t>
      </w:r>
    </w:p>
    <w:p w14:paraId="4CC441DB">
      <w:pPr>
        <w:ind w:firstLine="480"/>
      </w:pPr>
      <w:r>
        <w:rPr>
          <w:rFonts w:hint="eastAsia"/>
        </w:rPr>
        <w:t>（</w:t>
      </w:r>
      <w:r>
        <w:rPr>
          <w:rFonts w:hint="eastAsia"/>
          <w:lang w:val="en-US" w:eastAsia="zh-CN"/>
        </w:rPr>
        <w:t>2</w:t>
      </w:r>
      <w:r>
        <w:rPr>
          <w:rFonts w:hint="eastAsia"/>
        </w:rPr>
        <w:t>）本项目</w:t>
      </w:r>
      <w:r>
        <w:rPr>
          <w:rFonts w:hint="eastAsia"/>
          <w:lang w:val="en-US" w:eastAsia="zh-CN"/>
        </w:rPr>
        <w:t>产品</w:t>
      </w:r>
      <w:r>
        <w:rPr>
          <w:rFonts w:hint="eastAsia"/>
        </w:rPr>
        <w:t>氯酸钠</w:t>
      </w:r>
      <w:r>
        <w:rPr>
          <w:rFonts w:hint="eastAsia"/>
          <w:lang w:eastAsia="zh-CN"/>
        </w:rPr>
        <w:t>、</w:t>
      </w:r>
      <w:r>
        <w:rPr>
          <w:rFonts w:hint="eastAsia"/>
          <w:lang w:val="en-US" w:eastAsia="zh-CN"/>
        </w:rPr>
        <w:t>氯酸钾、</w:t>
      </w:r>
      <w:r>
        <w:rPr>
          <w:rFonts w:hint="eastAsia"/>
        </w:rPr>
        <w:t>高氯酸钠、高氯酸钾</w:t>
      </w:r>
      <w:r>
        <w:rPr>
          <w:rFonts w:hint="eastAsia"/>
          <w:lang w:eastAsia="zh-CN"/>
        </w:rPr>
        <w:t>、</w:t>
      </w:r>
      <w:r>
        <w:rPr>
          <w:rFonts w:hint="eastAsia"/>
          <w:lang w:val="en-US" w:eastAsia="zh-CN"/>
        </w:rPr>
        <w:t>高氯酸锂及原料高氯酸</w:t>
      </w:r>
      <w:r>
        <w:rPr>
          <w:rFonts w:hint="eastAsia"/>
        </w:rPr>
        <w:t>均</w:t>
      </w:r>
      <w:r>
        <w:rPr>
          <w:rFonts w:hint="eastAsia"/>
          <w:lang w:val="en-US" w:eastAsia="zh-CN"/>
        </w:rPr>
        <w:t>具有强氧化性，</w:t>
      </w:r>
      <w:r>
        <w:rPr>
          <w:rFonts w:hint="default"/>
        </w:rPr>
        <w:t>当遇明火或静电</w:t>
      </w:r>
      <w:r>
        <w:rPr>
          <w:rFonts w:hint="eastAsia"/>
        </w:rPr>
        <w:t>有火灾爆炸的潜在风险，燃烧过程中会释放有毒有害气体，污染大气环境；</w:t>
      </w:r>
    </w:p>
    <w:p w14:paraId="78380059">
      <w:pPr>
        <w:ind w:firstLine="480"/>
        <w:rPr>
          <w:rFonts w:hint="eastAsia" w:ascii="Times New Roman" w:hAnsi="Times New Roman" w:eastAsia="宋体"/>
          <w:lang w:val="en-US" w:eastAsia="zh-CN"/>
        </w:rPr>
      </w:pPr>
      <w:r>
        <w:rPr>
          <w:rFonts w:hint="eastAsia"/>
        </w:rPr>
        <w:t>（</w:t>
      </w:r>
      <w:r>
        <w:rPr>
          <w:rFonts w:hint="eastAsia"/>
          <w:lang w:val="en-US" w:eastAsia="zh-CN"/>
        </w:rPr>
        <w:t>3</w:t>
      </w:r>
      <w:r>
        <w:rPr>
          <w:rFonts w:hint="eastAsia"/>
        </w:rPr>
        <w:t>）</w:t>
      </w:r>
      <w:r>
        <w:rPr>
          <w:rFonts w:hint="eastAsia"/>
          <w:lang w:val="en-US" w:eastAsia="zh-CN"/>
        </w:rPr>
        <w:t>电解车间电解</w:t>
      </w:r>
      <w:r>
        <w:rPr>
          <w:rFonts w:hint="eastAsia" w:ascii="Times New Roman" w:hAnsi="Times New Roman" w:eastAsia="宋体"/>
          <w:lang w:val="en-US" w:eastAsia="zh-CN"/>
        </w:rPr>
        <w:t>尾气发生泄漏</w:t>
      </w:r>
      <w:r>
        <w:rPr>
          <w:rFonts w:hint="eastAsia" w:ascii="Times New Roman" w:hAnsi="Times New Roman" w:eastAsia="宋体"/>
          <w:lang w:eastAsia="zh-CN"/>
        </w:rPr>
        <w:t>，</w:t>
      </w:r>
      <w:r>
        <w:rPr>
          <w:rFonts w:hint="eastAsia" w:ascii="Times New Roman" w:hAnsi="Times New Roman" w:eastAsia="宋体"/>
          <w:lang w:val="en-US" w:eastAsia="zh-CN"/>
        </w:rPr>
        <w:t>氢气为易燃易爆气体，氯气、氯化氢气体为有毒有害气体，氢气泄漏有火灾爆炸的潜在风险；</w:t>
      </w:r>
    </w:p>
    <w:p w14:paraId="01464E8D">
      <w:pPr>
        <w:ind w:firstLine="480"/>
        <w:rPr>
          <w:rFonts w:hint="default" w:ascii="Times New Roman" w:hAnsi="Times New Roman" w:eastAsia="宋体"/>
          <w:lang w:val="en-US" w:eastAsia="zh-CN"/>
        </w:rPr>
      </w:pPr>
      <w:r>
        <w:rPr>
          <w:rFonts w:hint="eastAsia"/>
          <w:lang w:val="en-US" w:eastAsia="zh-CN"/>
        </w:rPr>
        <w:t>（4）氢气回收系统发生泄露，</w:t>
      </w:r>
      <w:r>
        <w:rPr>
          <w:rFonts w:hint="eastAsia" w:ascii="Times New Roman" w:hAnsi="Times New Roman" w:eastAsia="宋体"/>
          <w:lang w:val="en-US" w:eastAsia="zh-CN"/>
        </w:rPr>
        <w:t>氢气为易燃易爆气体</w:t>
      </w:r>
      <w:r>
        <w:rPr>
          <w:rFonts w:hint="eastAsia"/>
          <w:lang w:val="en-US" w:eastAsia="zh-CN"/>
        </w:rPr>
        <w:t>，</w:t>
      </w:r>
      <w:r>
        <w:rPr>
          <w:rFonts w:hint="eastAsia" w:ascii="Times New Roman" w:hAnsi="Times New Roman" w:eastAsia="宋体"/>
          <w:lang w:val="en-US" w:eastAsia="zh-CN"/>
        </w:rPr>
        <w:t>泄漏有火灾爆炸的潜在风险；</w:t>
      </w:r>
    </w:p>
    <w:p w14:paraId="2ADA7E64">
      <w:pPr>
        <w:ind w:firstLine="480"/>
      </w:pPr>
      <w:r>
        <w:rPr>
          <w:rFonts w:hint="eastAsia"/>
        </w:rPr>
        <w:t>（5）本项目储罐区、液态物料输送管道、生产车间涉及的液</w:t>
      </w:r>
      <w:r>
        <w:rPr>
          <w:rFonts w:hint="eastAsia"/>
          <w:lang w:val="en-US" w:eastAsia="zh-CN"/>
        </w:rPr>
        <w:t>态</w:t>
      </w:r>
      <w:r>
        <w:rPr>
          <w:rFonts w:hint="eastAsia"/>
        </w:rPr>
        <w:t>物料如操作不当引发泄漏，可能引起环境（包括大气、地表水、土壤、地下水等）污染；</w:t>
      </w:r>
    </w:p>
    <w:p w14:paraId="0E857552">
      <w:pPr>
        <w:ind w:firstLine="480"/>
      </w:pPr>
      <w:r>
        <w:rPr>
          <w:rFonts w:hint="eastAsia"/>
        </w:rPr>
        <w:t>（6）根据项目废水去向，本项目生产废水正常情况下不会进入环境，当厂区污废水站长期无法运行或废水处理池管道渗漏、堵塞等会引起污水泄漏，从而对区域地下水、土壤环境造成影响</w:t>
      </w:r>
      <w:r>
        <w:rPr>
          <w:rFonts w:hint="eastAsia"/>
          <w:lang w:eastAsia="zh-CN"/>
        </w:rPr>
        <w:t>；</w:t>
      </w:r>
    </w:p>
    <w:p w14:paraId="49511C6E">
      <w:pPr>
        <w:ind w:firstLine="480"/>
      </w:pPr>
      <w:r>
        <w:rPr>
          <w:rFonts w:hint="eastAsia"/>
        </w:rPr>
        <w:t>（7）项目废气处理装置故障，导致废气事故排放，将会对周边大气环境造成影响。</w:t>
      </w:r>
    </w:p>
    <w:p w14:paraId="20CC3F6C">
      <w:pPr>
        <w:pStyle w:val="4"/>
        <w:numPr>
          <w:ilvl w:val="2"/>
          <w:numId w:val="1"/>
        </w:numPr>
      </w:pPr>
      <w:bookmarkStart w:id="294" w:name="_Toc1985"/>
      <w:r>
        <w:rPr>
          <w:rFonts w:hint="eastAsia"/>
        </w:rPr>
        <w:t>最大可信事故及其发生概率</w:t>
      </w:r>
      <w:bookmarkEnd w:id="294"/>
    </w:p>
    <w:p w14:paraId="1CA2054E">
      <w:pPr>
        <w:ind w:firstLine="480"/>
      </w:pPr>
      <w:r>
        <w:rPr>
          <w:rFonts w:hint="eastAsia"/>
        </w:rPr>
        <w:t>危险源发生事故均属于不可预见性，引发事故的因素较多且由于污染物排放的差异，对风险事故概率及事故危害的量化难度较大。</w:t>
      </w:r>
    </w:p>
    <w:p w14:paraId="08ACED35">
      <w:pPr>
        <w:ind w:firstLine="480"/>
      </w:pPr>
      <w:r>
        <w:rPr>
          <w:rFonts w:hint="eastAsia"/>
        </w:rPr>
        <w:t>根据《环境风险评价实用技术和方法》(胡二邦主编)中统计数据，目前国内化工装置典型事故风险概率在1×10</w:t>
      </w:r>
      <w:r>
        <w:rPr>
          <w:rFonts w:hint="eastAsia"/>
          <w:vertAlign w:val="superscript"/>
        </w:rPr>
        <w:t>-5</w:t>
      </w:r>
      <w:r>
        <w:rPr>
          <w:rFonts w:hint="eastAsia"/>
        </w:rPr>
        <w:t>/年左右，本工程发生风险事故的原因和概率应与国内现有装置接近；结合本项目特点，确定本工程环境风险事故概率为1×10</w:t>
      </w:r>
      <w:r>
        <w:rPr>
          <w:rFonts w:hint="eastAsia"/>
          <w:vertAlign w:val="superscript"/>
        </w:rPr>
        <w:t>-5</w:t>
      </w:r>
      <w:r>
        <w:rPr>
          <w:rFonts w:hint="eastAsia"/>
        </w:rPr>
        <w:t>/年。</w:t>
      </w:r>
    </w:p>
    <w:p w14:paraId="4DC87D7B">
      <w:pPr>
        <w:pStyle w:val="4"/>
        <w:numPr>
          <w:ilvl w:val="2"/>
          <w:numId w:val="1"/>
        </w:numPr>
      </w:pPr>
      <w:bookmarkStart w:id="295" w:name="_Toc18607"/>
      <w:r>
        <w:rPr>
          <w:rFonts w:hint="eastAsia"/>
        </w:rPr>
        <w:t>最大可信事故源项分析</w:t>
      </w:r>
      <w:bookmarkEnd w:id="295"/>
    </w:p>
    <w:p w14:paraId="5D53A7F8">
      <w:pPr>
        <w:pStyle w:val="5"/>
        <w:numPr>
          <w:ilvl w:val="3"/>
          <w:numId w:val="1"/>
        </w:numPr>
      </w:pPr>
      <w:r>
        <w:t>泄漏事故源强</w:t>
      </w:r>
    </w:p>
    <w:p w14:paraId="3BB20169">
      <w:pPr>
        <w:ind w:firstLine="480"/>
      </w:pPr>
      <w:r>
        <w:t>1、泄漏时间确定</w:t>
      </w:r>
    </w:p>
    <w:p w14:paraId="57C060D2">
      <w:pPr>
        <w:ind w:firstLine="480"/>
      </w:pPr>
      <w:r>
        <w:t>发生事故的泄漏时间包括应急反应时间和事故持续时间两个部分。</w:t>
      </w:r>
    </w:p>
    <w:p w14:paraId="686675E1">
      <w:pPr>
        <w:ind w:firstLine="480"/>
      </w:pPr>
      <w:r>
        <w:t>国内石化企业的事故反应时间一般在10~30min之间，最迟在30min内都能做出应急反应措施。包括切断通往事故源的物料管线、开启倒油管线，利用泵等进行事故物料转移等。在《建设项目环境风险评价技术导则》（HJ169-2018）中推荐有关石化企业事故泄漏时间为5~30min。</w:t>
      </w:r>
    </w:p>
    <w:p w14:paraId="06A78BA8">
      <w:pPr>
        <w:ind w:firstLine="480"/>
      </w:pPr>
      <w:r>
        <w:t>国外石化企业的事故反应时间规定：美国国家环保署认为，石化企业事故反应时间一般要控制在10min以内，储罐内物料在参与风险事故特别是爆炸事故时物料的量要控制在总量的10%以内。</w:t>
      </w:r>
    </w:p>
    <w:p w14:paraId="760CE522">
      <w:pPr>
        <w:ind w:firstLine="480"/>
      </w:pPr>
      <w:r>
        <w:t>考虑到事故发生时，企业应急反应时间要留有一定余量，结合企业相关岗位工作人员的经验，本次评价泄漏时间设定为</w:t>
      </w:r>
      <w:r>
        <w:rPr>
          <w:rFonts w:hint="eastAsia"/>
        </w:rPr>
        <w:t>3</w:t>
      </w:r>
      <w:r>
        <w:t>0min。</w:t>
      </w:r>
    </w:p>
    <w:p w14:paraId="5CDECBC0">
      <w:pPr>
        <w:ind w:firstLine="480"/>
      </w:pPr>
      <w:r>
        <w:t>2、液体泄漏速率计算</w:t>
      </w:r>
    </w:p>
    <w:p w14:paraId="25EBCD57">
      <w:pPr>
        <w:ind w:firstLine="480"/>
      </w:pPr>
      <w:r>
        <w:t>项目液体泄漏速率计算QL采用风险导则附录F中伯努利方程计算（限制条件为液体在喷口内不应有急骤蒸发）：</w:t>
      </w:r>
    </w:p>
    <w:p w14:paraId="2EDA7713">
      <w:pPr>
        <w:ind w:firstLine="480"/>
        <w:jc w:val="center"/>
        <w:rPr>
          <w:rFonts w:cs="Times New Roman"/>
        </w:rPr>
      </w:pPr>
      <w:r>
        <w:rPr>
          <w:rFonts w:cs="Times New Roman"/>
        </w:rPr>
        <w:drawing>
          <wp:inline distT="0" distB="0" distL="114300" distR="114300">
            <wp:extent cx="2428240" cy="499745"/>
            <wp:effectExtent l="0" t="0" r="10160" b="14605"/>
            <wp:docPr id="4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7"/>
                    <pic:cNvPicPr>
                      <a:picLocks noChangeAspect="1"/>
                    </pic:cNvPicPr>
                  </pic:nvPicPr>
                  <pic:blipFill>
                    <a:blip r:embed="rId175" cstate="print"/>
                    <a:stretch>
                      <a:fillRect/>
                    </a:stretch>
                  </pic:blipFill>
                  <pic:spPr>
                    <a:xfrm>
                      <a:off x="0" y="0"/>
                      <a:ext cx="2428240" cy="499745"/>
                    </a:xfrm>
                    <a:prstGeom prst="rect">
                      <a:avLst/>
                    </a:prstGeom>
                    <a:noFill/>
                    <a:ln>
                      <a:noFill/>
                    </a:ln>
                  </pic:spPr>
                </pic:pic>
              </a:graphicData>
            </a:graphic>
          </wp:inline>
        </w:drawing>
      </w:r>
    </w:p>
    <w:p w14:paraId="57A67612">
      <w:pPr>
        <w:ind w:firstLine="480"/>
        <w:rPr>
          <w:rFonts w:cs="Times New Roman"/>
        </w:rPr>
      </w:pPr>
      <w:r>
        <w:rPr>
          <w:rFonts w:cs="Times New Roman"/>
        </w:rPr>
        <w:t>式中：QL----液体泄漏速度，kg/s；</w:t>
      </w:r>
    </w:p>
    <w:p w14:paraId="362B9C13">
      <w:pPr>
        <w:ind w:firstLine="480"/>
        <w:rPr>
          <w:rFonts w:cs="Times New Roman"/>
        </w:rPr>
      </w:pPr>
      <w:r>
        <w:rPr>
          <w:rFonts w:cs="Times New Roman"/>
        </w:rPr>
        <w:t>Cd-----液体泄漏系数，选用0.62；</w:t>
      </w:r>
    </w:p>
    <w:p w14:paraId="7DFB8F0C">
      <w:pPr>
        <w:ind w:firstLine="480"/>
        <w:rPr>
          <w:rFonts w:cs="Times New Roman"/>
        </w:rPr>
      </w:pPr>
      <w:r>
        <w:rPr>
          <w:rFonts w:cs="Times New Roman"/>
        </w:rPr>
        <w:t>A-----裂口面积，m</w:t>
      </w:r>
      <w:r>
        <w:rPr>
          <w:rFonts w:cs="Times New Roman"/>
          <w:vertAlign w:val="superscript"/>
        </w:rPr>
        <w:t>2</w:t>
      </w:r>
      <w:r>
        <w:rPr>
          <w:rFonts w:cs="Times New Roman"/>
        </w:rPr>
        <w:t>；</w:t>
      </w:r>
    </w:p>
    <w:p w14:paraId="1C801232">
      <w:pPr>
        <w:ind w:firstLine="480"/>
        <w:rPr>
          <w:rFonts w:cs="Times New Roman"/>
        </w:rPr>
      </w:pPr>
      <w:r>
        <w:rPr>
          <w:rFonts w:cs="Times New Roman"/>
        </w:rPr>
        <w:t>ρ----液体密度，g/cm</w:t>
      </w:r>
      <w:r>
        <w:rPr>
          <w:rFonts w:cs="Times New Roman"/>
          <w:vertAlign w:val="superscript"/>
        </w:rPr>
        <w:t>3</w:t>
      </w:r>
      <w:r>
        <w:rPr>
          <w:rFonts w:hint="eastAsia" w:cs="Times New Roman"/>
        </w:rPr>
        <w:t>；</w:t>
      </w:r>
    </w:p>
    <w:p w14:paraId="5C386B27">
      <w:pPr>
        <w:ind w:firstLine="480"/>
        <w:rPr>
          <w:rFonts w:cs="Times New Roman"/>
        </w:rPr>
      </w:pPr>
      <w:r>
        <w:rPr>
          <w:rFonts w:cs="Times New Roman"/>
        </w:rPr>
        <w:t>P-----容器内介质压力，Pa；</w:t>
      </w:r>
    </w:p>
    <w:p w14:paraId="29CA4ED1">
      <w:pPr>
        <w:ind w:firstLine="480"/>
        <w:rPr>
          <w:rFonts w:cs="Times New Roman"/>
        </w:rPr>
      </w:pPr>
      <w:r>
        <w:rPr>
          <w:rFonts w:cs="Times New Roman"/>
        </w:rPr>
        <w:t>Po -----环境压力，Pa；</w:t>
      </w:r>
    </w:p>
    <w:p w14:paraId="4DC36426">
      <w:pPr>
        <w:ind w:firstLine="480"/>
        <w:rPr>
          <w:rFonts w:cs="Times New Roman"/>
        </w:rPr>
      </w:pPr>
      <w:r>
        <w:rPr>
          <w:rFonts w:cs="Times New Roman"/>
        </w:rPr>
        <w:t>g------重力加速度，9.8m/s</w:t>
      </w:r>
      <w:r>
        <w:rPr>
          <w:rFonts w:cs="Times New Roman"/>
          <w:vertAlign w:val="superscript"/>
        </w:rPr>
        <w:t>2</w:t>
      </w:r>
      <w:r>
        <w:rPr>
          <w:rFonts w:cs="Times New Roman"/>
        </w:rPr>
        <w:t>；</w:t>
      </w:r>
    </w:p>
    <w:p w14:paraId="63469459">
      <w:pPr>
        <w:ind w:firstLine="480"/>
        <w:rPr>
          <w:rFonts w:cs="Times New Roman"/>
        </w:rPr>
      </w:pPr>
      <w:r>
        <w:rPr>
          <w:rFonts w:cs="Times New Roman"/>
        </w:rPr>
        <w:t>h------裂口之上液位高度，m。</w:t>
      </w:r>
    </w:p>
    <w:p w14:paraId="32041A46">
      <w:pPr>
        <w:ind w:firstLine="480"/>
        <w:rPr>
          <w:rFonts w:cs="Times New Roman"/>
        </w:rPr>
      </w:pPr>
      <w:r>
        <w:rPr>
          <w:rFonts w:cs="Times New Roman"/>
        </w:rPr>
        <w:t>本次评价主要考虑储罐区的盐酸以液态方式泄漏，事故环节为储罐破裂，盐酸储罐破裂口上液位高度</w:t>
      </w:r>
      <w:r>
        <w:rPr>
          <w:rFonts w:hint="eastAsia" w:cs="Times New Roman"/>
        </w:rPr>
        <w:t>4</w:t>
      </w:r>
      <w:r>
        <w:rPr>
          <w:rFonts w:cs="Times New Roman"/>
        </w:rPr>
        <w:t>m，假设泄漏时间为30min，则盐酸泄漏源强如下。</w:t>
      </w:r>
    </w:p>
    <w:p w14:paraId="69BEEC9E">
      <w:pPr>
        <w:pStyle w:val="43"/>
        <w:numPr>
          <w:ilvl w:val="5"/>
          <w:numId w:val="1"/>
        </w:numPr>
        <w:rPr>
          <w:rFonts w:hint="default"/>
        </w:rPr>
      </w:pPr>
      <w:r>
        <w:t>盐酸泄露源强</w:t>
      </w:r>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1"/>
        <w:gridCol w:w="846"/>
        <w:gridCol w:w="541"/>
        <w:gridCol w:w="877"/>
        <w:gridCol w:w="1060"/>
        <w:gridCol w:w="1022"/>
        <w:gridCol w:w="776"/>
        <w:gridCol w:w="1289"/>
        <w:gridCol w:w="748"/>
        <w:gridCol w:w="822"/>
      </w:tblGrid>
      <w:tr w14:paraId="550F8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atLeast"/>
          <w:tblHeader/>
          <w:jc w:val="center"/>
        </w:trPr>
        <w:tc>
          <w:tcPr>
            <w:tcW w:w="0" w:type="auto"/>
            <w:vAlign w:val="center"/>
          </w:tcPr>
          <w:p w14:paraId="275471A1">
            <w:pPr>
              <w:pStyle w:val="45"/>
              <w:rPr>
                <w:rFonts w:hint="default"/>
                <w:b/>
                <w:bCs/>
                <w:color w:val="000000" w:themeColor="text1"/>
                <w14:textFill>
                  <w14:solidFill>
                    <w14:schemeClr w14:val="tx1"/>
                  </w14:solidFill>
                </w14:textFill>
              </w:rPr>
            </w:pPr>
            <w:r>
              <w:rPr>
                <w:b/>
                <w:bCs/>
                <w:color w:val="000000" w:themeColor="text1"/>
                <w14:textFill>
                  <w14:solidFill>
                    <w14:schemeClr w14:val="tx1"/>
                  </w14:solidFill>
                </w14:textFill>
              </w:rPr>
              <w:t>危险单元</w:t>
            </w:r>
          </w:p>
        </w:tc>
        <w:tc>
          <w:tcPr>
            <w:tcW w:w="0" w:type="auto"/>
            <w:vAlign w:val="center"/>
          </w:tcPr>
          <w:p w14:paraId="55749154">
            <w:pPr>
              <w:pStyle w:val="45"/>
              <w:rPr>
                <w:rFonts w:hint="default"/>
                <w:b/>
                <w:bCs/>
                <w:color w:val="000000" w:themeColor="text1"/>
                <w14:textFill>
                  <w14:solidFill>
                    <w14:schemeClr w14:val="tx1"/>
                  </w14:solidFill>
                </w14:textFill>
              </w:rPr>
            </w:pPr>
            <w:r>
              <w:rPr>
                <w:b/>
                <w:bCs/>
                <w:color w:val="000000" w:themeColor="text1"/>
                <w14:textFill>
                  <w14:solidFill>
                    <w14:schemeClr w14:val="tx1"/>
                  </w14:solidFill>
                </w14:textFill>
              </w:rPr>
              <w:t>发生事故装置</w:t>
            </w:r>
          </w:p>
        </w:tc>
        <w:tc>
          <w:tcPr>
            <w:tcW w:w="0" w:type="auto"/>
            <w:vAlign w:val="center"/>
          </w:tcPr>
          <w:p w14:paraId="4F6774C3">
            <w:pPr>
              <w:pStyle w:val="45"/>
              <w:rPr>
                <w:rFonts w:hint="default"/>
                <w:b/>
                <w:bCs/>
                <w:color w:val="000000" w:themeColor="text1"/>
                <w14:textFill>
                  <w14:solidFill>
                    <w14:schemeClr w14:val="tx1"/>
                  </w14:solidFill>
                </w14:textFill>
              </w:rPr>
            </w:pPr>
            <w:r>
              <w:rPr>
                <w:b/>
                <w:bCs/>
                <w:color w:val="000000" w:themeColor="text1"/>
                <w14:textFill>
                  <w14:solidFill>
                    <w14:schemeClr w14:val="tx1"/>
                  </w14:solidFill>
                </w14:textFill>
              </w:rPr>
              <w:t>事故环节</w:t>
            </w:r>
          </w:p>
        </w:tc>
        <w:tc>
          <w:tcPr>
            <w:tcW w:w="0" w:type="auto"/>
            <w:vAlign w:val="center"/>
          </w:tcPr>
          <w:p w14:paraId="6D30FEC4">
            <w:pPr>
              <w:pStyle w:val="45"/>
              <w:rPr>
                <w:rFonts w:hint="default"/>
                <w:b/>
                <w:bCs/>
                <w:color w:val="000000" w:themeColor="text1"/>
                <w14:textFill>
                  <w14:solidFill>
                    <w14:schemeClr w14:val="tx1"/>
                  </w14:solidFill>
                </w14:textFill>
              </w:rPr>
            </w:pPr>
            <w:r>
              <w:rPr>
                <w:b/>
                <w:bCs/>
                <w:color w:val="000000" w:themeColor="text1"/>
                <w14:textFill>
                  <w14:solidFill>
                    <w14:schemeClr w14:val="tx1"/>
                  </w14:solidFill>
                </w14:textFill>
              </w:rPr>
              <w:t>温度（K）</w:t>
            </w:r>
          </w:p>
        </w:tc>
        <w:tc>
          <w:tcPr>
            <w:tcW w:w="0" w:type="auto"/>
            <w:vAlign w:val="center"/>
          </w:tcPr>
          <w:p w14:paraId="6EB31DEF">
            <w:pPr>
              <w:pStyle w:val="45"/>
              <w:rPr>
                <w:rFonts w:hint="default"/>
                <w:b/>
                <w:bCs/>
                <w:color w:val="000000" w:themeColor="text1"/>
                <w14:textFill>
                  <w14:solidFill>
                    <w14:schemeClr w14:val="tx1"/>
                  </w14:solidFill>
                </w14:textFill>
              </w:rPr>
            </w:pPr>
            <w:r>
              <w:rPr>
                <w:b/>
                <w:bCs/>
                <w:color w:val="000000" w:themeColor="text1"/>
                <w14:textFill>
                  <w14:solidFill>
                    <w14:schemeClr w14:val="tx1"/>
                  </w14:solidFill>
                </w14:textFill>
              </w:rPr>
              <w:t>容器内压力（Pa）</w:t>
            </w:r>
          </w:p>
        </w:tc>
        <w:tc>
          <w:tcPr>
            <w:tcW w:w="0" w:type="auto"/>
            <w:vAlign w:val="center"/>
          </w:tcPr>
          <w:p w14:paraId="6DDF5B71">
            <w:pPr>
              <w:pStyle w:val="45"/>
              <w:rPr>
                <w:rFonts w:hint="default"/>
                <w:b/>
                <w:bCs/>
                <w:color w:val="000000" w:themeColor="text1"/>
                <w14:textFill>
                  <w14:solidFill>
                    <w14:schemeClr w14:val="tx1"/>
                  </w14:solidFill>
                </w14:textFill>
              </w:rPr>
            </w:pPr>
            <w:r>
              <w:rPr>
                <w:b/>
                <w:bCs/>
                <w:color w:val="000000" w:themeColor="text1"/>
                <w14:textFill>
                  <w14:solidFill>
                    <w14:schemeClr w14:val="tx1"/>
                  </w14:solidFill>
                </w14:textFill>
              </w:rPr>
              <w:t>环境压力（Pa）</w:t>
            </w:r>
          </w:p>
        </w:tc>
        <w:tc>
          <w:tcPr>
            <w:tcW w:w="0" w:type="auto"/>
            <w:vAlign w:val="center"/>
          </w:tcPr>
          <w:p w14:paraId="0E3C8892">
            <w:pPr>
              <w:pStyle w:val="45"/>
              <w:rPr>
                <w:rFonts w:hint="default"/>
                <w:b/>
                <w:bCs/>
                <w:color w:val="000000" w:themeColor="text1"/>
                <w14:textFill>
                  <w14:solidFill>
                    <w14:schemeClr w14:val="tx1"/>
                  </w14:solidFill>
                </w14:textFill>
              </w:rPr>
            </w:pPr>
            <w:r>
              <w:rPr>
                <w:b/>
                <w:bCs/>
                <w:color w:val="000000" w:themeColor="text1"/>
                <w14:textFill>
                  <w14:solidFill>
                    <w14:schemeClr w14:val="tx1"/>
                  </w14:solidFill>
                </w14:textFill>
              </w:rPr>
              <w:t>破损孔径(cm)</w:t>
            </w:r>
          </w:p>
        </w:tc>
        <w:tc>
          <w:tcPr>
            <w:tcW w:w="0" w:type="auto"/>
            <w:vAlign w:val="center"/>
          </w:tcPr>
          <w:p w14:paraId="1B3EF876">
            <w:pPr>
              <w:pStyle w:val="45"/>
              <w:rPr>
                <w:rFonts w:hint="default"/>
                <w:b/>
                <w:bCs/>
                <w:color w:val="000000" w:themeColor="text1"/>
                <w14:textFill>
                  <w14:solidFill>
                    <w14:schemeClr w14:val="tx1"/>
                  </w14:solidFill>
                </w14:textFill>
              </w:rPr>
            </w:pPr>
            <w:r>
              <w:rPr>
                <w:b/>
                <w:bCs/>
                <w:color w:val="000000" w:themeColor="text1"/>
                <w14:textFill>
                  <w14:solidFill>
                    <w14:schemeClr w14:val="tx1"/>
                  </w14:solidFill>
                </w14:textFill>
              </w:rPr>
              <w:t>液体密度（g/cm</w:t>
            </w:r>
            <w:r>
              <w:rPr>
                <w:b/>
                <w:bCs/>
                <w:color w:val="000000" w:themeColor="text1"/>
                <w:vertAlign w:val="superscript"/>
                <w14:textFill>
                  <w14:solidFill>
                    <w14:schemeClr w14:val="tx1"/>
                  </w14:solidFill>
                </w14:textFill>
              </w:rPr>
              <w:t>3</w:t>
            </w:r>
            <w:r>
              <w:rPr>
                <w:b/>
                <w:bCs/>
                <w:color w:val="000000" w:themeColor="text1"/>
                <w14:textFill>
                  <w14:solidFill>
                    <w14:schemeClr w14:val="tx1"/>
                  </w14:solidFill>
                </w14:textFill>
              </w:rPr>
              <w:t>）</w:t>
            </w:r>
          </w:p>
        </w:tc>
        <w:tc>
          <w:tcPr>
            <w:tcW w:w="0" w:type="auto"/>
            <w:vAlign w:val="center"/>
          </w:tcPr>
          <w:p w14:paraId="713218C4">
            <w:pPr>
              <w:pStyle w:val="45"/>
              <w:rPr>
                <w:rFonts w:hint="default"/>
                <w:b/>
                <w:bCs/>
                <w:color w:val="000000" w:themeColor="text1"/>
                <w14:textFill>
                  <w14:solidFill>
                    <w14:schemeClr w14:val="tx1"/>
                  </w14:solidFill>
                </w14:textFill>
              </w:rPr>
            </w:pPr>
            <w:r>
              <w:rPr>
                <w:b/>
                <w:bCs/>
                <w:color w:val="000000" w:themeColor="text1"/>
                <w14:textFill>
                  <w14:solidFill>
                    <w14:schemeClr w14:val="tx1"/>
                  </w14:solidFill>
                </w14:textFill>
              </w:rPr>
              <w:t>泄漏速率 kg/s</w:t>
            </w:r>
          </w:p>
        </w:tc>
        <w:tc>
          <w:tcPr>
            <w:tcW w:w="0" w:type="auto"/>
            <w:vAlign w:val="center"/>
          </w:tcPr>
          <w:p w14:paraId="660C1CC2">
            <w:pPr>
              <w:pStyle w:val="45"/>
              <w:rPr>
                <w:rFonts w:hint="default"/>
                <w:b/>
                <w:bCs/>
                <w:color w:val="000000" w:themeColor="text1"/>
                <w14:textFill>
                  <w14:solidFill>
                    <w14:schemeClr w14:val="tx1"/>
                  </w14:solidFill>
                </w14:textFill>
              </w:rPr>
            </w:pPr>
            <w:r>
              <w:rPr>
                <w:b/>
                <w:bCs/>
                <w:color w:val="000000" w:themeColor="text1"/>
                <w14:textFill>
                  <w14:solidFill>
                    <w14:schemeClr w14:val="tx1"/>
                  </w14:solidFill>
                </w14:textFill>
              </w:rPr>
              <w:t>泄漏量（t）</w:t>
            </w:r>
          </w:p>
        </w:tc>
      </w:tr>
      <w:tr w14:paraId="4E635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0" w:type="auto"/>
            <w:vAlign w:val="center"/>
          </w:tcPr>
          <w:p w14:paraId="78968C34">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储罐区</w:t>
            </w:r>
          </w:p>
        </w:tc>
        <w:tc>
          <w:tcPr>
            <w:tcW w:w="0" w:type="auto"/>
            <w:vAlign w:val="center"/>
          </w:tcPr>
          <w:p w14:paraId="7AD6B314">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50方31%盐酸贮罐</w:t>
            </w:r>
          </w:p>
        </w:tc>
        <w:tc>
          <w:tcPr>
            <w:tcW w:w="0" w:type="auto"/>
            <w:vAlign w:val="center"/>
          </w:tcPr>
          <w:p w14:paraId="7CB56417">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贮罐破裂</w:t>
            </w:r>
          </w:p>
        </w:tc>
        <w:tc>
          <w:tcPr>
            <w:tcW w:w="0" w:type="auto"/>
            <w:vAlign w:val="center"/>
          </w:tcPr>
          <w:p w14:paraId="300FE26D">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298</w:t>
            </w:r>
          </w:p>
        </w:tc>
        <w:tc>
          <w:tcPr>
            <w:tcW w:w="0" w:type="auto"/>
            <w:vAlign w:val="center"/>
          </w:tcPr>
          <w:p w14:paraId="40F14C8E">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101325</w:t>
            </w:r>
          </w:p>
        </w:tc>
        <w:tc>
          <w:tcPr>
            <w:tcW w:w="0" w:type="auto"/>
            <w:vAlign w:val="center"/>
          </w:tcPr>
          <w:p w14:paraId="35DA87CA">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101325</w:t>
            </w:r>
          </w:p>
        </w:tc>
        <w:tc>
          <w:tcPr>
            <w:tcW w:w="0" w:type="auto"/>
            <w:vAlign w:val="center"/>
          </w:tcPr>
          <w:p w14:paraId="5BCF1FFF">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1</w:t>
            </w:r>
          </w:p>
        </w:tc>
        <w:tc>
          <w:tcPr>
            <w:tcW w:w="0" w:type="auto"/>
            <w:vAlign w:val="center"/>
          </w:tcPr>
          <w:p w14:paraId="14022673">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1.15</w:t>
            </w:r>
          </w:p>
        </w:tc>
        <w:tc>
          <w:tcPr>
            <w:tcW w:w="0" w:type="auto"/>
            <w:vAlign w:val="center"/>
          </w:tcPr>
          <w:p w14:paraId="422E12F5">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0.5</w:t>
            </w:r>
          </w:p>
        </w:tc>
        <w:tc>
          <w:tcPr>
            <w:tcW w:w="0" w:type="auto"/>
            <w:vAlign w:val="center"/>
          </w:tcPr>
          <w:p w14:paraId="674D656D">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0.9</w:t>
            </w:r>
          </w:p>
        </w:tc>
      </w:tr>
    </w:tbl>
    <w:p w14:paraId="28B89C0F">
      <w:pPr>
        <w:spacing w:line="240" w:lineRule="auto"/>
        <w:ind w:firstLine="0" w:firstLineChars="0"/>
      </w:pPr>
    </w:p>
    <w:p w14:paraId="66E9089D">
      <w:pPr>
        <w:ind w:firstLine="480"/>
      </w:pPr>
      <w:r>
        <w:t>3、</w:t>
      </w:r>
      <w:r>
        <w:rPr>
          <w:rFonts w:hint="eastAsia"/>
        </w:rPr>
        <w:t>液池</w:t>
      </w:r>
      <w:r>
        <w:t>蒸发量计算</w:t>
      </w:r>
    </w:p>
    <w:p w14:paraId="5D796EF1">
      <w:pPr>
        <w:ind w:firstLine="480"/>
      </w:pPr>
      <w:r>
        <w:rPr>
          <w:rFonts w:hint="eastAsia"/>
        </w:rPr>
        <w:t>液池</w:t>
      </w:r>
      <w:r>
        <w:t>蒸发主要包括闪蒸蒸发、热量蒸发和质量蒸发，因项目主要考虑的泄漏液体泄漏温度约25℃左右，各类液体温度均低于对应液体常压下的沸点，因此闪蒸蒸发量（Q1）和热量蒸发量（Q2）可视为0，因此，本项目储罐区液体泄漏产生的液池蒸发主要为质量蒸发。质量蒸发参照导则附录F中所列公式（如下）计算。</w:t>
      </w:r>
    </w:p>
    <w:p w14:paraId="0C01951E">
      <w:pPr>
        <w:ind w:firstLine="480"/>
        <w:jc w:val="center"/>
        <w:rPr>
          <w:rFonts w:cs="Times New Roman"/>
        </w:rPr>
      </w:pPr>
      <w:r>
        <w:rPr>
          <w:rFonts w:cs="Times New Roman"/>
        </w:rPr>
        <w:drawing>
          <wp:inline distT="0" distB="0" distL="114300" distR="114300">
            <wp:extent cx="1830705" cy="576580"/>
            <wp:effectExtent l="0" t="0" r="17145" b="13970"/>
            <wp:docPr id="4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8"/>
                    <pic:cNvPicPr>
                      <a:picLocks noChangeAspect="1"/>
                    </pic:cNvPicPr>
                  </pic:nvPicPr>
                  <pic:blipFill>
                    <a:blip r:embed="rId176" cstate="print"/>
                    <a:stretch>
                      <a:fillRect/>
                    </a:stretch>
                  </pic:blipFill>
                  <pic:spPr>
                    <a:xfrm>
                      <a:off x="0" y="0"/>
                      <a:ext cx="1830705" cy="576580"/>
                    </a:xfrm>
                    <a:prstGeom prst="rect">
                      <a:avLst/>
                    </a:prstGeom>
                    <a:noFill/>
                    <a:ln>
                      <a:noFill/>
                    </a:ln>
                  </pic:spPr>
                </pic:pic>
              </a:graphicData>
            </a:graphic>
          </wp:inline>
        </w:drawing>
      </w:r>
    </w:p>
    <w:p w14:paraId="64F8A49C">
      <w:pPr>
        <w:ind w:firstLine="480"/>
        <w:rPr>
          <w:rFonts w:cs="Times New Roman"/>
        </w:rPr>
      </w:pPr>
      <w:r>
        <w:rPr>
          <w:rFonts w:cs="Times New Roman"/>
        </w:rPr>
        <w:t>其中：Q</w:t>
      </w:r>
      <w:r>
        <w:rPr>
          <w:rFonts w:cs="Times New Roman"/>
          <w:vertAlign w:val="subscript"/>
        </w:rPr>
        <w:t>3</w:t>
      </w:r>
      <w:r>
        <w:rPr>
          <w:rFonts w:cs="Times New Roman"/>
        </w:rPr>
        <w:t>－液体挥发速率，kg/s</w:t>
      </w:r>
    </w:p>
    <w:p w14:paraId="04DF71C8">
      <w:pPr>
        <w:ind w:firstLine="480"/>
        <w:rPr>
          <w:rFonts w:cs="Times New Roman"/>
        </w:rPr>
      </w:pPr>
      <w:r>
        <w:rPr>
          <w:rFonts w:cs="Times New Roman"/>
        </w:rPr>
        <w:t>P－液体表面蒸汽压，Pa。</w:t>
      </w:r>
    </w:p>
    <w:p w14:paraId="73B5791E">
      <w:pPr>
        <w:ind w:firstLine="480"/>
        <w:rPr>
          <w:rFonts w:cs="Times New Roman"/>
        </w:rPr>
      </w:pPr>
      <w:r>
        <w:rPr>
          <w:rFonts w:cs="Times New Roman"/>
        </w:rPr>
        <w:t>M－分子量，kg/mol。</w:t>
      </w:r>
    </w:p>
    <w:p w14:paraId="2C63BFB2">
      <w:pPr>
        <w:ind w:firstLine="480"/>
        <w:rPr>
          <w:rFonts w:cs="Times New Roman"/>
        </w:rPr>
      </w:pPr>
      <w:r>
        <w:rPr>
          <w:rFonts w:cs="Times New Roman"/>
        </w:rPr>
        <w:t>R－气体常数，J/（mol·K），取8.314.</w:t>
      </w:r>
    </w:p>
    <w:p w14:paraId="1AE7889F">
      <w:pPr>
        <w:ind w:firstLine="480"/>
        <w:rPr>
          <w:rFonts w:cs="Times New Roman"/>
        </w:rPr>
      </w:pPr>
      <w:r>
        <w:rPr>
          <w:rFonts w:cs="Times New Roman"/>
        </w:rPr>
        <w:t>T－大气温度，K。</w:t>
      </w:r>
    </w:p>
    <w:p w14:paraId="0AB6AA1F">
      <w:pPr>
        <w:ind w:firstLine="480"/>
        <w:rPr>
          <w:rFonts w:cs="Times New Roman"/>
        </w:rPr>
      </w:pPr>
      <w:r>
        <w:rPr>
          <w:rFonts w:cs="Times New Roman"/>
        </w:rPr>
        <w:t>u－风速。</w:t>
      </w:r>
    </w:p>
    <w:p w14:paraId="27DDF64C">
      <w:pPr>
        <w:ind w:firstLine="480"/>
        <w:rPr>
          <w:rFonts w:cs="Times New Roman"/>
        </w:rPr>
      </w:pPr>
      <w:r>
        <w:rPr>
          <w:rFonts w:cs="Times New Roman"/>
        </w:rPr>
        <w:t>r－液池半径，m，取等效半径。</w:t>
      </w:r>
    </w:p>
    <w:p w14:paraId="0F3B6FEB">
      <w:pPr>
        <w:ind w:left="480" w:leftChars="200" w:firstLine="0" w:firstLineChars="0"/>
        <w:rPr>
          <w:rFonts w:cs="Times New Roman"/>
        </w:rPr>
      </w:pPr>
      <w:r>
        <w:rPr>
          <w:rFonts w:hint="eastAsia" w:cs="Times New Roman"/>
        </w:rPr>
        <w:t>n，a</w:t>
      </w:r>
      <w:r>
        <w:rPr>
          <w:rFonts w:cs="Times New Roman"/>
        </w:rPr>
        <w:t>－大气稳定度系数。</w:t>
      </w:r>
    </w:p>
    <w:p w14:paraId="40557FBD">
      <w:pPr>
        <w:pStyle w:val="43"/>
        <w:numPr>
          <w:ilvl w:val="5"/>
          <w:numId w:val="1"/>
        </w:numPr>
        <w:rPr>
          <w:rFonts w:hint="default"/>
        </w:rPr>
      </w:pPr>
      <w:r>
        <w:rPr>
          <w:rFonts w:hint="default"/>
        </w:rPr>
        <w:t>参数取值</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35DC6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840" w:type="dxa"/>
          </w:tcPr>
          <w:p w14:paraId="694D3292">
            <w:pPr>
              <w:pStyle w:val="45"/>
              <w:rPr>
                <w:rFonts w:hint="default"/>
                <w:b/>
                <w:bCs/>
              </w:rPr>
            </w:pPr>
            <w:r>
              <w:rPr>
                <w:b/>
                <w:bCs/>
              </w:rPr>
              <w:t>物质名称</w:t>
            </w:r>
          </w:p>
        </w:tc>
        <w:tc>
          <w:tcPr>
            <w:tcW w:w="2841" w:type="dxa"/>
          </w:tcPr>
          <w:p w14:paraId="782FBD11">
            <w:pPr>
              <w:pStyle w:val="45"/>
              <w:rPr>
                <w:rFonts w:hint="default"/>
                <w:b/>
                <w:bCs/>
              </w:rPr>
            </w:pPr>
            <w:r>
              <w:rPr>
                <w:b/>
                <w:bCs/>
              </w:rPr>
              <w:t>P液体表面蒸汽压</w:t>
            </w:r>
          </w:p>
        </w:tc>
        <w:tc>
          <w:tcPr>
            <w:tcW w:w="2841" w:type="dxa"/>
          </w:tcPr>
          <w:p w14:paraId="5D81ED73">
            <w:pPr>
              <w:pStyle w:val="45"/>
              <w:rPr>
                <w:rFonts w:hint="default"/>
                <w:b/>
                <w:bCs/>
              </w:rPr>
            </w:pPr>
            <w:r>
              <w:rPr>
                <w:b/>
                <w:bCs/>
              </w:rPr>
              <w:t>M分子量</w:t>
            </w:r>
          </w:p>
        </w:tc>
      </w:tr>
      <w:tr w14:paraId="100C6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2E6410DC">
            <w:pPr>
              <w:pStyle w:val="45"/>
              <w:rPr>
                <w:rFonts w:hint="default"/>
              </w:rPr>
            </w:pPr>
            <w:r>
              <w:t>31%盐酸</w:t>
            </w:r>
          </w:p>
        </w:tc>
        <w:tc>
          <w:tcPr>
            <w:tcW w:w="2841" w:type="dxa"/>
          </w:tcPr>
          <w:p w14:paraId="2738F23D">
            <w:pPr>
              <w:pStyle w:val="45"/>
              <w:rPr>
                <w:rFonts w:hint="default"/>
              </w:rPr>
            </w:pPr>
            <w:r>
              <w:t>2kpa</w:t>
            </w:r>
          </w:p>
        </w:tc>
        <w:tc>
          <w:tcPr>
            <w:tcW w:w="2841" w:type="dxa"/>
          </w:tcPr>
          <w:p w14:paraId="617D0465">
            <w:pPr>
              <w:pStyle w:val="45"/>
              <w:rPr>
                <w:rFonts w:hint="default"/>
              </w:rPr>
            </w:pPr>
            <w:r>
              <w:t>36.5g/mol</w:t>
            </w:r>
          </w:p>
        </w:tc>
      </w:tr>
    </w:tbl>
    <w:p w14:paraId="44AEA3DB">
      <w:pPr>
        <w:spacing w:line="240" w:lineRule="auto"/>
        <w:ind w:firstLine="480"/>
      </w:pPr>
    </w:p>
    <w:p w14:paraId="6FC11F77">
      <w:pPr>
        <w:pStyle w:val="43"/>
        <w:numPr>
          <w:ilvl w:val="5"/>
          <w:numId w:val="1"/>
        </w:numPr>
        <w:rPr>
          <w:rFonts w:hint="default"/>
        </w:rPr>
      </w:pPr>
      <w:r>
        <w:t>气象参数</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0"/>
        <w:gridCol w:w="2131"/>
        <w:gridCol w:w="2131"/>
      </w:tblGrid>
      <w:tr w14:paraId="451AE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Merge w:val="restart"/>
            <w:vAlign w:val="center"/>
          </w:tcPr>
          <w:p w14:paraId="50104EB4">
            <w:pPr>
              <w:pStyle w:val="45"/>
              <w:rPr>
                <w:rFonts w:hint="default"/>
              </w:rPr>
            </w:pPr>
            <w:r>
              <w:t>气象参数</w:t>
            </w:r>
          </w:p>
        </w:tc>
        <w:tc>
          <w:tcPr>
            <w:tcW w:w="2130" w:type="dxa"/>
            <w:vAlign w:val="center"/>
          </w:tcPr>
          <w:p w14:paraId="5B256C1D">
            <w:pPr>
              <w:pStyle w:val="45"/>
              <w:rPr>
                <w:rFonts w:hint="default"/>
              </w:rPr>
            </w:pPr>
            <w:r>
              <w:t>气象条件类型</w:t>
            </w:r>
          </w:p>
        </w:tc>
        <w:tc>
          <w:tcPr>
            <w:tcW w:w="2131" w:type="dxa"/>
            <w:vAlign w:val="center"/>
          </w:tcPr>
          <w:p w14:paraId="65D0E0F5">
            <w:pPr>
              <w:pStyle w:val="45"/>
              <w:rPr>
                <w:rFonts w:hint="default"/>
              </w:rPr>
            </w:pPr>
            <w:r>
              <w:t>最不利气象</w:t>
            </w:r>
          </w:p>
        </w:tc>
        <w:tc>
          <w:tcPr>
            <w:tcW w:w="2131" w:type="dxa"/>
            <w:vAlign w:val="center"/>
          </w:tcPr>
          <w:p w14:paraId="30DE7BA3">
            <w:pPr>
              <w:pStyle w:val="45"/>
              <w:rPr>
                <w:rFonts w:hint="default"/>
              </w:rPr>
            </w:pPr>
            <w:r>
              <w:t>最常见气象</w:t>
            </w:r>
          </w:p>
        </w:tc>
      </w:tr>
      <w:tr w14:paraId="5E11E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Merge w:val="continue"/>
            <w:vAlign w:val="center"/>
          </w:tcPr>
          <w:p w14:paraId="690CCC54">
            <w:pPr>
              <w:pStyle w:val="45"/>
              <w:rPr>
                <w:rFonts w:hint="default"/>
              </w:rPr>
            </w:pPr>
          </w:p>
        </w:tc>
        <w:tc>
          <w:tcPr>
            <w:tcW w:w="2130" w:type="dxa"/>
            <w:vAlign w:val="center"/>
          </w:tcPr>
          <w:p w14:paraId="7B2E97E8">
            <w:pPr>
              <w:pStyle w:val="45"/>
              <w:rPr>
                <w:rFonts w:hint="default"/>
              </w:rPr>
            </w:pPr>
            <w:r>
              <w:t>风速（m/s）</w:t>
            </w:r>
          </w:p>
        </w:tc>
        <w:tc>
          <w:tcPr>
            <w:tcW w:w="2131" w:type="dxa"/>
            <w:vAlign w:val="center"/>
          </w:tcPr>
          <w:p w14:paraId="6A925FDA">
            <w:pPr>
              <w:pStyle w:val="45"/>
              <w:rPr>
                <w:rFonts w:hint="default"/>
              </w:rPr>
            </w:pPr>
            <w:r>
              <w:t>1.5</w:t>
            </w:r>
          </w:p>
        </w:tc>
        <w:tc>
          <w:tcPr>
            <w:tcW w:w="2131" w:type="dxa"/>
            <w:vAlign w:val="center"/>
          </w:tcPr>
          <w:p w14:paraId="1D3A63E4">
            <w:pPr>
              <w:pStyle w:val="45"/>
              <w:rPr>
                <w:rFonts w:hint="default"/>
              </w:rPr>
            </w:pPr>
            <w:r>
              <w:t>2</w:t>
            </w:r>
          </w:p>
        </w:tc>
      </w:tr>
      <w:tr w14:paraId="664B3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Merge w:val="continue"/>
            <w:vAlign w:val="center"/>
          </w:tcPr>
          <w:p w14:paraId="700638A5">
            <w:pPr>
              <w:pStyle w:val="45"/>
              <w:rPr>
                <w:rFonts w:hint="default"/>
              </w:rPr>
            </w:pPr>
          </w:p>
        </w:tc>
        <w:tc>
          <w:tcPr>
            <w:tcW w:w="2130" w:type="dxa"/>
            <w:vAlign w:val="center"/>
          </w:tcPr>
          <w:p w14:paraId="273E4B1A">
            <w:pPr>
              <w:pStyle w:val="45"/>
              <w:rPr>
                <w:rFonts w:hint="default"/>
              </w:rPr>
            </w:pPr>
            <w:r>
              <w:t>环境温度（℃）</w:t>
            </w:r>
          </w:p>
        </w:tc>
        <w:tc>
          <w:tcPr>
            <w:tcW w:w="2131" w:type="dxa"/>
            <w:vAlign w:val="center"/>
          </w:tcPr>
          <w:p w14:paraId="5CA4416B">
            <w:pPr>
              <w:pStyle w:val="45"/>
              <w:rPr>
                <w:rFonts w:hint="default"/>
              </w:rPr>
            </w:pPr>
            <w:r>
              <w:t>25</w:t>
            </w:r>
          </w:p>
        </w:tc>
        <w:tc>
          <w:tcPr>
            <w:tcW w:w="2131" w:type="dxa"/>
            <w:vAlign w:val="center"/>
          </w:tcPr>
          <w:p w14:paraId="2B23A5BB">
            <w:pPr>
              <w:pStyle w:val="45"/>
              <w:rPr>
                <w:rFonts w:hint="default"/>
              </w:rPr>
            </w:pPr>
            <w:r>
              <w:t>17.9</w:t>
            </w:r>
          </w:p>
        </w:tc>
      </w:tr>
      <w:tr w14:paraId="494AB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Merge w:val="continue"/>
            <w:vAlign w:val="center"/>
          </w:tcPr>
          <w:p w14:paraId="6D2DE508">
            <w:pPr>
              <w:pStyle w:val="45"/>
              <w:rPr>
                <w:rFonts w:hint="default"/>
              </w:rPr>
            </w:pPr>
          </w:p>
        </w:tc>
        <w:tc>
          <w:tcPr>
            <w:tcW w:w="2130" w:type="dxa"/>
            <w:vAlign w:val="center"/>
          </w:tcPr>
          <w:p w14:paraId="16A2ACEF">
            <w:pPr>
              <w:pStyle w:val="45"/>
              <w:rPr>
                <w:rFonts w:hint="default"/>
              </w:rPr>
            </w:pPr>
            <w:r>
              <w:t>相对湿度（%）</w:t>
            </w:r>
          </w:p>
        </w:tc>
        <w:tc>
          <w:tcPr>
            <w:tcW w:w="2131" w:type="dxa"/>
            <w:vAlign w:val="center"/>
          </w:tcPr>
          <w:p w14:paraId="477A594A">
            <w:pPr>
              <w:pStyle w:val="45"/>
              <w:rPr>
                <w:rFonts w:hint="default"/>
              </w:rPr>
            </w:pPr>
            <w:r>
              <w:t>50%</w:t>
            </w:r>
          </w:p>
        </w:tc>
        <w:tc>
          <w:tcPr>
            <w:tcW w:w="2131" w:type="dxa"/>
            <w:vAlign w:val="center"/>
          </w:tcPr>
          <w:p w14:paraId="051CBFE6">
            <w:pPr>
              <w:pStyle w:val="45"/>
              <w:rPr>
                <w:rFonts w:hint="default"/>
              </w:rPr>
            </w:pPr>
            <w:r>
              <w:t>78%</w:t>
            </w:r>
          </w:p>
        </w:tc>
      </w:tr>
      <w:tr w14:paraId="46C1A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Merge w:val="continue"/>
            <w:vAlign w:val="center"/>
          </w:tcPr>
          <w:p w14:paraId="7B852CCF">
            <w:pPr>
              <w:pStyle w:val="45"/>
              <w:rPr>
                <w:rFonts w:hint="default"/>
              </w:rPr>
            </w:pPr>
          </w:p>
        </w:tc>
        <w:tc>
          <w:tcPr>
            <w:tcW w:w="2130" w:type="dxa"/>
            <w:vAlign w:val="center"/>
          </w:tcPr>
          <w:p w14:paraId="3A8E5A5A">
            <w:pPr>
              <w:pStyle w:val="45"/>
              <w:rPr>
                <w:rFonts w:hint="default"/>
              </w:rPr>
            </w:pPr>
            <w:r>
              <w:t>稳定度</w:t>
            </w:r>
          </w:p>
        </w:tc>
        <w:tc>
          <w:tcPr>
            <w:tcW w:w="2131" w:type="dxa"/>
            <w:vAlign w:val="center"/>
          </w:tcPr>
          <w:p w14:paraId="5F7DC0F2">
            <w:pPr>
              <w:pStyle w:val="45"/>
              <w:rPr>
                <w:rFonts w:hint="default"/>
              </w:rPr>
            </w:pPr>
            <w:r>
              <w:t>F</w:t>
            </w:r>
          </w:p>
        </w:tc>
        <w:tc>
          <w:tcPr>
            <w:tcW w:w="2131" w:type="dxa"/>
            <w:vAlign w:val="center"/>
          </w:tcPr>
          <w:p w14:paraId="006E630B">
            <w:pPr>
              <w:pStyle w:val="45"/>
              <w:rPr>
                <w:rFonts w:hint="default"/>
              </w:rPr>
            </w:pPr>
            <w:r>
              <w:t>D</w:t>
            </w:r>
          </w:p>
        </w:tc>
      </w:tr>
    </w:tbl>
    <w:p w14:paraId="4143ED9A">
      <w:pPr>
        <w:spacing w:line="240" w:lineRule="auto"/>
        <w:ind w:firstLine="0" w:firstLineChars="0"/>
      </w:pPr>
    </w:p>
    <w:p w14:paraId="0A8AE268">
      <w:pPr>
        <w:pStyle w:val="43"/>
        <w:numPr>
          <w:ilvl w:val="5"/>
          <w:numId w:val="1"/>
        </w:numPr>
        <w:rPr>
          <w:rFonts w:hint="default"/>
        </w:rPr>
      </w:pPr>
      <w:r>
        <w:t>液体蒸发模式参考</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2841"/>
        <w:gridCol w:w="2841"/>
      </w:tblGrid>
      <w:tr w14:paraId="7FCF7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1EEF0F1F">
            <w:pPr>
              <w:pStyle w:val="45"/>
              <w:rPr>
                <w:rFonts w:hint="default"/>
              </w:rPr>
            </w:pPr>
            <w:r>
              <w:t>稳定度参数</w:t>
            </w:r>
          </w:p>
        </w:tc>
        <w:tc>
          <w:tcPr>
            <w:tcW w:w="2841" w:type="dxa"/>
          </w:tcPr>
          <w:p w14:paraId="148C9A5A">
            <w:pPr>
              <w:pStyle w:val="45"/>
              <w:rPr>
                <w:rFonts w:hint="default"/>
              </w:rPr>
            </w:pPr>
            <w:r>
              <w:t>n</w:t>
            </w:r>
          </w:p>
        </w:tc>
        <w:tc>
          <w:tcPr>
            <w:tcW w:w="2841" w:type="dxa"/>
          </w:tcPr>
          <w:p w14:paraId="1272D63F">
            <w:pPr>
              <w:pStyle w:val="45"/>
              <w:rPr>
                <w:rFonts w:hint="default"/>
              </w:rPr>
            </w:pPr>
            <w:r>
              <w:t>a</w:t>
            </w:r>
          </w:p>
        </w:tc>
      </w:tr>
      <w:tr w14:paraId="1F2EA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3498B233">
            <w:pPr>
              <w:pStyle w:val="45"/>
              <w:rPr>
                <w:rFonts w:hint="default"/>
              </w:rPr>
            </w:pPr>
            <w:r>
              <w:t>不稳定（A，B）</w:t>
            </w:r>
          </w:p>
        </w:tc>
        <w:tc>
          <w:tcPr>
            <w:tcW w:w="2841" w:type="dxa"/>
          </w:tcPr>
          <w:p w14:paraId="0BE964BA">
            <w:pPr>
              <w:pStyle w:val="45"/>
              <w:rPr>
                <w:rFonts w:hint="default"/>
              </w:rPr>
            </w:pPr>
            <w:r>
              <w:t>0.2</w:t>
            </w:r>
          </w:p>
        </w:tc>
        <w:tc>
          <w:tcPr>
            <w:tcW w:w="2841" w:type="dxa"/>
          </w:tcPr>
          <w:p w14:paraId="1FB3E876">
            <w:pPr>
              <w:pStyle w:val="45"/>
              <w:rPr>
                <w:rFonts w:hint="default"/>
              </w:rPr>
            </w:pPr>
            <w:r>
              <w:t>3.846×10</w:t>
            </w:r>
            <w:r>
              <w:rPr>
                <w:vertAlign w:val="superscript"/>
              </w:rPr>
              <w:t>-3</w:t>
            </w:r>
          </w:p>
        </w:tc>
      </w:tr>
      <w:tr w14:paraId="01DE3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1D60FFD5">
            <w:pPr>
              <w:pStyle w:val="45"/>
              <w:rPr>
                <w:rFonts w:hint="default"/>
              </w:rPr>
            </w:pPr>
            <w:r>
              <w:t>中性（D）</w:t>
            </w:r>
          </w:p>
        </w:tc>
        <w:tc>
          <w:tcPr>
            <w:tcW w:w="2841" w:type="dxa"/>
          </w:tcPr>
          <w:p w14:paraId="23C70CC8">
            <w:pPr>
              <w:pStyle w:val="45"/>
              <w:rPr>
                <w:rFonts w:hint="default"/>
              </w:rPr>
            </w:pPr>
            <w:r>
              <w:t>0.25</w:t>
            </w:r>
          </w:p>
        </w:tc>
        <w:tc>
          <w:tcPr>
            <w:tcW w:w="2841" w:type="dxa"/>
          </w:tcPr>
          <w:p w14:paraId="72B4527A">
            <w:pPr>
              <w:pStyle w:val="45"/>
              <w:rPr>
                <w:rFonts w:hint="default"/>
              </w:rPr>
            </w:pPr>
            <w:r>
              <w:t>4.685×10-</w:t>
            </w:r>
            <w:r>
              <w:rPr>
                <w:vertAlign w:val="superscript"/>
              </w:rPr>
              <w:t>3</w:t>
            </w:r>
          </w:p>
        </w:tc>
      </w:tr>
      <w:tr w14:paraId="21351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57CC7680">
            <w:pPr>
              <w:pStyle w:val="45"/>
              <w:rPr>
                <w:rFonts w:hint="default"/>
              </w:rPr>
            </w:pPr>
            <w:r>
              <w:t>稳定（E，F）</w:t>
            </w:r>
          </w:p>
        </w:tc>
        <w:tc>
          <w:tcPr>
            <w:tcW w:w="2841" w:type="dxa"/>
          </w:tcPr>
          <w:p w14:paraId="51D0CA74">
            <w:pPr>
              <w:pStyle w:val="45"/>
              <w:rPr>
                <w:rFonts w:hint="default"/>
              </w:rPr>
            </w:pPr>
            <w:r>
              <w:t>0.3</w:t>
            </w:r>
          </w:p>
        </w:tc>
        <w:tc>
          <w:tcPr>
            <w:tcW w:w="2841" w:type="dxa"/>
          </w:tcPr>
          <w:p w14:paraId="4B80FA79">
            <w:pPr>
              <w:pStyle w:val="45"/>
              <w:rPr>
                <w:rFonts w:hint="default"/>
              </w:rPr>
            </w:pPr>
            <w:r>
              <w:t>5.285×10</w:t>
            </w:r>
            <w:r>
              <w:rPr>
                <w:vertAlign w:val="superscript"/>
              </w:rPr>
              <w:t>-3</w:t>
            </w:r>
          </w:p>
        </w:tc>
      </w:tr>
    </w:tbl>
    <w:p w14:paraId="05C65AE8">
      <w:pPr>
        <w:spacing w:line="240" w:lineRule="auto"/>
        <w:ind w:firstLine="0" w:firstLineChars="0"/>
      </w:pPr>
    </w:p>
    <w:p w14:paraId="6AF19020">
      <w:pPr>
        <w:ind w:firstLine="480"/>
      </w:pPr>
      <w:r>
        <w:t>液池最大直径取决于泄漏点附近的地域构型、泄漏的连续性或瞬时性，有围堰时，以围堰的最大等效半径为液池半径；无围堰时，设定液体瞬间扩散到最小厚度时，推算液池等效半径。</w:t>
      </w:r>
      <w:r>
        <w:rPr>
          <w:rFonts w:hint="eastAsia"/>
        </w:rPr>
        <w:t>本项目储罐区分区设堰，盐酸储罐位于储罐2区，区域占地面积约</w:t>
      </w:r>
      <w:r>
        <w:rPr>
          <w:color w:val="000000" w:themeColor="text1"/>
          <w14:textFill>
            <w14:solidFill>
              <w14:schemeClr w14:val="tx1"/>
            </w14:solidFill>
          </w14:textFill>
        </w:rPr>
        <w:t>为</w:t>
      </w:r>
      <w:r>
        <w:rPr>
          <w:rFonts w:hint="eastAsia"/>
          <w:color w:val="000000" w:themeColor="text1"/>
          <w14:textFill>
            <w14:solidFill>
              <w14:schemeClr w14:val="tx1"/>
            </w14:solidFill>
          </w14:textFill>
        </w:rPr>
        <w:t>306.18</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rFonts w:hint="eastAsia"/>
        </w:rPr>
        <w:t>，区域拟设</w:t>
      </w:r>
      <w:r>
        <w:rPr>
          <w:rFonts w:hint="eastAsia"/>
          <w:lang w:val="en-US" w:eastAsia="zh-CN"/>
        </w:rPr>
        <w:t>60cm</w:t>
      </w:r>
      <w:r>
        <w:rPr>
          <w:rFonts w:hint="eastAsia"/>
        </w:rPr>
        <w:t>高围堰，区域内储罐占地面积约为75</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rFonts w:hint="eastAsia"/>
        </w:rPr>
        <w:t>，扣除储罐面积后区域内可液池面积约231.18</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。计</w:t>
      </w:r>
      <w:r>
        <w:t>算得出不稳定情况下液体挥发速率如下。</w:t>
      </w:r>
    </w:p>
    <w:p w14:paraId="3587BBAF">
      <w:pPr>
        <w:pStyle w:val="43"/>
        <w:numPr>
          <w:ilvl w:val="5"/>
          <w:numId w:val="1"/>
        </w:numPr>
        <w:rPr>
          <w:rFonts w:hint="default"/>
        </w:rPr>
      </w:pPr>
      <w:r>
        <w:t>液</w:t>
      </w:r>
      <w:r>
        <w:rPr>
          <w:rFonts w:hint="default"/>
        </w:rPr>
        <w:t>池质量蒸发计算结果   单位：kg/s</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2841"/>
        <w:gridCol w:w="2841"/>
      </w:tblGrid>
      <w:tr w14:paraId="3A10D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restart"/>
            <w:vAlign w:val="center"/>
          </w:tcPr>
          <w:p w14:paraId="4EF4D30B">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物质</w:t>
            </w:r>
          </w:p>
        </w:tc>
        <w:tc>
          <w:tcPr>
            <w:tcW w:w="5682" w:type="dxa"/>
            <w:gridSpan w:val="2"/>
            <w:vAlign w:val="center"/>
          </w:tcPr>
          <w:p w14:paraId="31776F72">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气象条件</w:t>
            </w:r>
          </w:p>
        </w:tc>
      </w:tr>
      <w:tr w14:paraId="25F1D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vAlign w:val="center"/>
          </w:tcPr>
          <w:p w14:paraId="5EC8E8A8">
            <w:pPr>
              <w:pStyle w:val="45"/>
              <w:rPr>
                <w:rFonts w:hint="default"/>
                <w:color w:val="000000" w:themeColor="text1"/>
                <w14:textFill>
                  <w14:solidFill>
                    <w14:schemeClr w14:val="tx1"/>
                  </w14:solidFill>
                </w14:textFill>
              </w:rPr>
            </w:pPr>
          </w:p>
        </w:tc>
        <w:tc>
          <w:tcPr>
            <w:tcW w:w="2841" w:type="dxa"/>
            <w:vAlign w:val="center"/>
          </w:tcPr>
          <w:p w14:paraId="18062766">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最不利气象</w:t>
            </w:r>
          </w:p>
        </w:tc>
        <w:tc>
          <w:tcPr>
            <w:tcW w:w="2841" w:type="dxa"/>
            <w:vAlign w:val="center"/>
          </w:tcPr>
          <w:p w14:paraId="6BA9228D">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最常见气象</w:t>
            </w:r>
          </w:p>
        </w:tc>
      </w:tr>
      <w:tr w14:paraId="52295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14:paraId="5330723D">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盐酸</w:t>
            </w:r>
          </w:p>
        </w:tc>
        <w:tc>
          <w:tcPr>
            <w:tcW w:w="2841" w:type="dxa"/>
            <w:vAlign w:val="center"/>
          </w:tcPr>
          <w:p w14:paraId="504E7296">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0.0117</w:t>
            </w:r>
          </w:p>
        </w:tc>
        <w:tc>
          <w:tcPr>
            <w:tcW w:w="2841" w:type="dxa"/>
            <w:vAlign w:val="center"/>
          </w:tcPr>
          <w:p w14:paraId="4394FACD">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0.0140</w:t>
            </w:r>
          </w:p>
        </w:tc>
      </w:tr>
    </w:tbl>
    <w:p w14:paraId="516DFDAC">
      <w:pPr>
        <w:spacing w:line="240" w:lineRule="auto"/>
        <w:ind w:firstLine="0" w:firstLineChars="0"/>
      </w:pPr>
    </w:p>
    <w:p w14:paraId="024E0CB0">
      <w:pPr>
        <w:pStyle w:val="3"/>
        <w:numPr>
          <w:ilvl w:val="1"/>
          <w:numId w:val="1"/>
        </w:numPr>
      </w:pPr>
      <w:bookmarkStart w:id="296" w:name="_Toc19143"/>
      <w:bookmarkStart w:id="297" w:name="_Toc13870"/>
      <w:bookmarkStart w:id="298" w:name="_Toc29081"/>
      <w:r>
        <w:rPr>
          <w:rFonts w:hint="eastAsia"/>
        </w:rPr>
        <w:t>风险预测与评价</w:t>
      </w:r>
      <w:bookmarkEnd w:id="296"/>
      <w:bookmarkEnd w:id="297"/>
      <w:bookmarkEnd w:id="298"/>
    </w:p>
    <w:p w14:paraId="336F95FF">
      <w:pPr>
        <w:pStyle w:val="4"/>
        <w:numPr>
          <w:ilvl w:val="2"/>
          <w:numId w:val="1"/>
        </w:numPr>
      </w:pPr>
      <w:bookmarkStart w:id="299" w:name="_Toc18826"/>
      <w:r>
        <w:rPr>
          <w:rFonts w:hint="eastAsia"/>
        </w:rPr>
        <w:t>风险预测</w:t>
      </w:r>
      <w:bookmarkEnd w:id="299"/>
    </w:p>
    <w:p w14:paraId="55F204EC">
      <w:pPr>
        <w:pStyle w:val="5"/>
        <w:numPr>
          <w:ilvl w:val="3"/>
          <w:numId w:val="1"/>
        </w:numPr>
      </w:pPr>
      <w:r>
        <w:t>有毒有害物质在大气中的扩散风险预测</w:t>
      </w:r>
    </w:p>
    <w:p w14:paraId="6E9CA2D0">
      <w:pPr>
        <w:ind w:firstLine="480"/>
      </w:pPr>
      <w:r>
        <w:t>1、预测模型筛选</w:t>
      </w:r>
    </w:p>
    <w:p w14:paraId="036E43E9">
      <w:pPr>
        <w:ind w:firstLine="480"/>
      </w:pPr>
      <w:r>
        <w:t>根据HJ169-2018附录G，预测计算时应区分重质气体和轻质气体选择合适的大气风险预测模型，本项目风险预测中，重质气体采用SLAB模式预测；轻质气体采用AFTOX模式预测。</w:t>
      </w:r>
    </w:p>
    <w:p w14:paraId="1D85C93A">
      <w:pPr>
        <w:ind w:firstLine="480"/>
      </w:pPr>
      <w:r>
        <w:t>判定烟团/烟羽是否为重质气体，取决于它相对空气的“过剩密度”和环境条件等因素。通常采用理查德森数（Ri）作为标准进行判断。Ri是个流体动力学参数。根据不同的排放性质，理查德森数的计算公式不同。一般地，依据排放类型，理查德森数的计算分连续排放、瞬时排放两种形式，本项目泄漏物质均为连续排放，其计算公式如下：</w:t>
      </w:r>
    </w:p>
    <w:p w14:paraId="0831BD5A">
      <w:pPr>
        <w:ind w:firstLine="480"/>
        <w:jc w:val="center"/>
        <w:rPr>
          <w:rFonts w:cs="Times New Roman"/>
          <w:color w:val="000000"/>
          <w:szCs w:val="32"/>
        </w:rPr>
      </w:pPr>
      <w:r>
        <w:rPr>
          <w:rFonts w:cs="Times New Roman"/>
          <w:color w:val="000000"/>
          <w:position w:val="-30"/>
          <w:szCs w:val="32"/>
        </w:rPr>
        <w:object>
          <v:shape id="_x0000_i1087" o:spt="75" type="#_x0000_t75" style="height:61.1pt;width:162pt;" o:ole="t" filled="f" o:preferrelative="t" stroked="f" coordsize="21600,21600">
            <v:path/>
            <v:fill on="f" focussize="0,0"/>
            <v:stroke on="f" joinstyle="miter"/>
            <v:imagedata r:id="rId178" o:title=""/>
            <o:lock v:ext="edit" aspectratio="t"/>
            <w10:wrap type="none"/>
            <w10:anchorlock/>
          </v:shape>
          <o:OLEObject Type="Embed" ProgID="Equation.KSEE3" ShapeID="_x0000_i1087" DrawAspect="Content" ObjectID="_1468075788" r:id="rId177">
            <o:LockedField>false</o:LockedField>
          </o:OLEObject>
        </w:object>
      </w:r>
    </w:p>
    <w:p w14:paraId="20DA2EF1">
      <w:pPr>
        <w:ind w:firstLine="480"/>
        <w:rPr>
          <w:rFonts w:cs="Times New Roman"/>
          <w:color w:val="000000"/>
          <w:szCs w:val="32"/>
        </w:rPr>
      </w:pPr>
      <w:r>
        <w:rPr>
          <w:rFonts w:cs="Times New Roman"/>
          <w:color w:val="000000"/>
          <w:szCs w:val="32"/>
        </w:rPr>
        <w:t>式中：ρrel——排放物质进入大气的初始密度，kg/m</w:t>
      </w:r>
      <w:r>
        <w:rPr>
          <w:rFonts w:cs="Times New Roman"/>
          <w:color w:val="000000"/>
          <w:szCs w:val="32"/>
          <w:vertAlign w:val="superscript"/>
        </w:rPr>
        <w:t>3</w:t>
      </w:r>
      <w:r>
        <w:rPr>
          <w:rFonts w:cs="Times New Roman"/>
          <w:color w:val="000000"/>
          <w:szCs w:val="32"/>
        </w:rPr>
        <w:t>；</w:t>
      </w:r>
    </w:p>
    <w:p w14:paraId="3341583A">
      <w:pPr>
        <w:ind w:firstLine="480"/>
        <w:rPr>
          <w:rFonts w:cs="Times New Roman"/>
          <w:color w:val="000000"/>
          <w:szCs w:val="32"/>
        </w:rPr>
      </w:pPr>
      <w:r>
        <w:rPr>
          <w:rFonts w:cs="Times New Roman"/>
          <w:color w:val="000000"/>
          <w:szCs w:val="32"/>
        </w:rPr>
        <w:t>ρa——环境空气密度，kg/m</w:t>
      </w:r>
      <w:r>
        <w:rPr>
          <w:rFonts w:cs="Times New Roman"/>
          <w:color w:val="000000"/>
          <w:szCs w:val="32"/>
          <w:vertAlign w:val="superscript"/>
        </w:rPr>
        <w:t>3</w:t>
      </w:r>
      <w:r>
        <w:rPr>
          <w:rFonts w:cs="Times New Roman"/>
          <w:color w:val="000000"/>
          <w:szCs w:val="32"/>
        </w:rPr>
        <w:t>；</w:t>
      </w:r>
    </w:p>
    <w:p w14:paraId="1EFA04EC">
      <w:pPr>
        <w:ind w:firstLine="480"/>
        <w:rPr>
          <w:rFonts w:cs="Times New Roman"/>
          <w:color w:val="000000"/>
          <w:szCs w:val="32"/>
        </w:rPr>
      </w:pPr>
      <w:r>
        <w:rPr>
          <w:rFonts w:cs="Times New Roman"/>
          <w:color w:val="000000"/>
          <w:szCs w:val="32"/>
        </w:rPr>
        <w:t>Q——连续排放烟羽的排放速率，kg/s；</w:t>
      </w:r>
    </w:p>
    <w:p w14:paraId="7D173C86">
      <w:pPr>
        <w:ind w:firstLine="480"/>
        <w:rPr>
          <w:rFonts w:cs="Times New Roman"/>
          <w:color w:val="000000"/>
          <w:szCs w:val="32"/>
        </w:rPr>
      </w:pPr>
      <w:r>
        <w:rPr>
          <w:rFonts w:cs="Times New Roman"/>
          <w:color w:val="000000"/>
          <w:szCs w:val="32"/>
        </w:rPr>
        <w:t>Drel——初始烟团宽度，即源直径m，低温液化气容器和常温常压容器，取值为液池等效的直径；压力气体容器和压力液化气容器，取值为裂口等效的直径；</w:t>
      </w:r>
    </w:p>
    <w:p w14:paraId="2E455689">
      <w:pPr>
        <w:ind w:firstLine="480"/>
        <w:rPr>
          <w:rFonts w:cs="Times New Roman"/>
          <w:color w:val="000000"/>
          <w:szCs w:val="32"/>
        </w:rPr>
      </w:pPr>
      <w:r>
        <w:rPr>
          <w:rFonts w:cs="Times New Roman"/>
          <w:color w:val="000000"/>
          <w:szCs w:val="32"/>
        </w:rPr>
        <w:t>g——重力加速度m/s</w:t>
      </w:r>
      <w:r>
        <w:rPr>
          <w:rFonts w:cs="Times New Roman"/>
          <w:color w:val="000000"/>
          <w:szCs w:val="32"/>
          <w:vertAlign w:val="superscript"/>
        </w:rPr>
        <w:t>2</w:t>
      </w:r>
      <w:r>
        <w:rPr>
          <w:rFonts w:cs="Times New Roman"/>
          <w:color w:val="000000"/>
          <w:szCs w:val="32"/>
        </w:rPr>
        <w:t>；</w:t>
      </w:r>
    </w:p>
    <w:p w14:paraId="2CA4CFFC">
      <w:pPr>
        <w:ind w:firstLine="480"/>
        <w:rPr>
          <w:rFonts w:cs="Times New Roman"/>
          <w:color w:val="000000"/>
          <w:szCs w:val="32"/>
        </w:rPr>
      </w:pPr>
      <w:r>
        <w:rPr>
          <w:rFonts w:cs="Times New Roman"/>
          <w:color w:val="000000"/>
          <w:szCs w:val="32"/>
        </w:rPr>
        <w:t>Ur——10m高处风速，m/s。</w:t>
      </w:r>
    </w:p>
    <w:p w14:paraId="618498BD">
      <w:pPr>
        <w:ind w:firstLine="480"/>
        <w:rPr>
          <w:rFonts w:cs="Times New Roman"/>
          <w:color w:val="000000"/>
          <w:szCs w:val="32"/>
        </w:rPr>
      </w:pPr>
      <w:r>
        <w:rPr>
          <w:rFonts w:cs="Times New Roman"/>
          <w:color w:val="000000"/>
          <w:szCs w:val="32"/>
        </w:rPr>
        <w:t>本项目盐酸</w:t>
      </w:r>
      <w:r>
        <w:rPr>
          <w:rFonts w:hint="eastAsia" w:cs="Times New Roman"/>
          <w:color w:val="000000"/>
          <w:szCs w:val="32"/>
        </w:rPr>
        <w:t>、CO</w:t>
      </w:r>
      <w:r>
        <w:rPr>
          <w:rFonts w:cs="Times New Roman"/>
          <w:color w:val="000000"/>
          <w:szCs w:val="32"/>
        </w:rPr>
        <w:t>的理查德森数计算参数及结果详见下表。</w:t>
      </w:r>
    </w:p>
    <w:p w14:paraId="56678C2B">
      <w:pPr>
        <w:pStyle w:val="43"/>
        <w:numPr>
          <w:ilvl w:val="5"/>
          <w:numId w:val="1"/>
        </w:numPr>
        <w:rPr>
          <w:rFonts w:hint="default"/>
        </w:rPr>
      </w:pPr>
      <w:r>
        <w:rPr>
          <w:rFonts w:hint="default"/>
        </w:rPr>
        <w:t>盐酸、</w:t>
      </w:r>
      <w:r>
        <w:t>CO</w:t>
      </w:r>
      <w:r>
        <w:rPr>
          <w:rFonts w:hint="default"/>
        </w:rPr>
        <w:t>的理查德森数计算参数及结果</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8"/>
        <w:gridCol w:w="726"/>
        <w:gridCol w:w="832"/>
        <w:gridCol w:w="748"/>
        <w:gridCol w:w="772"/>
        <w:gridCol w:w="687"/>
        <w:gridCol w:w="709"/>
        <w:gridCol w:w="1014"/>
        <w:gridCol w:w="1111"/>
        <w:gridCol w:w="1112"/>
      </w:tblGrid>
      <w:tr w14:paraId="45AC0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474" w:type="pct"/>
            <w:vMerge w:val="restart"/>
            <w:vAlign w:val="center"/>
          </w:tcPr>
          <w:p w14:paraId="4C85650E">
            <w:pPr>
              <w:widowControl/>
              <w:adjustRightInd/>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物质</w:t>
            </w:r>
          </w:p>
        </w:tc>
        <w:tc>
          <w:tcPr>
            <w:tcW w:w="2625" w:type="pct"/>
            <w:gridSpan w:val="6"/>
            <w:vAlign w:val="center"/>
          </w:tcPr>
          <w:p w14:paraId="6F1E604B">
            <w:pPr>
              <w:widowControl/>
              <w:adjustRightInd/>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计算参数</w:t>
            </w:r>
          </w:p>
        </w:tc>
        <w:tc>
          <w:tcPr>
            <w:tcW w:w="595" w:type="pct"/>
            <w:vMerge w:val="restart"/>
            <w:vAlign w:val="center"/>
          </w:tcPr>
          <w:p w14:paraId="483FC702">
            <w:pPr>
              <w:widowControl/>
              <w:adjustRightInd/>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计算结果R</w:t>
            </w:r>
            <w:r>
              <w:rPr>
                <w:rFonts w:cs="Times New Roman"/>
                <w:b/>
                <w:bCs/>
                <w:color w:val="000000"/>
                <w:kern w:val="0"/>
                <w:sz w:val="21"/>
                <w:szCs w:val="21"/>
                <w:vertAlign w:val="subscript"/>
              </w:rPr>
              <w:t>i</w:t>
            </w:r>
          </w:p>
        </w:tc>
        <w:tc>
          <w:tcPr>
            <w:tcW w:w="652" w:type="pct"/>
            <w:vMerge w:val="restart"/>
            <w:vAlign w:val="center"/>
          </w:tcPr>
          <w:p w14:paraId="4F9A6443">
            <w:pPr>
              <w:widowControl/>
              <w:adjustRightInd/>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重质气体R</w:t>
            </w:r>
            <w:r>
              <w:rPr>
                <w:rFonts w:cs="Times New Roman"/>
                <w:b/>
                <w:bCs/>
                <w:color w:val="000000"/>
                <w:kern w:val="0"/>
                <w:sz w:val="21"/>
                <w:szCs w:val="21"/>
                <w:vertAlign w:val="subscript"/>
              </w:rPr>
              <w:t>i</w:t>
            </w:r>
            <w:r>
              <w:rPr>
                <w:rFonts w:cs="Times New Roman"/>
                <w:b/>
                <w:bCs/>
                <w:color w:val="000000"/>
                <w:kern w:val="0"/>
                <w:sz w:val="21"/>
                <w:szCs w:val="21"/>
              </w:rPr>
              <w:t>≥1/6</w:t>
            </w:r>
          </w:p>
        </w:tc>
        <w:tc>
          <w:tcPr>
            <w:tcW w:w="652" w:type="pct"/>
            <w:vMerge w:val="restart"/>
            <w:vAlign w:val="center"/>
          </w:tcPr>
          <w:p w14:paraId="69F47873">
            <w:pPr>
              <w:widowControl/>
              <w:adjustRightInd/>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轻质气体R</w:t>
            </w:r>
            <w:r>
              <w:rPr>
                <w:rFonts w:cs="Times New Roman"/>
                <w:b/>
                <w:bCs/>
                <w:color w:val="000000"/>
                <w:kern w:val="0"/>
                <w:sz w:val="21"/>
                <w:szCs w:val="21"/>
                <w:vertAlign w:val="subscript"/>
              </w:rPr>
              <w:t>i</w:t>
            </w:r>
            <w:r>
              <w:rPr>
                <w:rFonts w:cs="Times New Roman"/>
                <w:b/>
                <w:bCs/>
                <w:color w:val="000000"/>
                <w:kern w:val="0"/>
                <w:sz w:val="21"/>
                <w:szCs w:val="21"/>
              </w:rPr>
              <w:t>&lt;1/6</w:t>
            </w:r>
          </w:p>
        </w:tc>
      </w:tr>
      <w:tr w14:paraId="19097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474" w:type="pct"/>
            <w:vMerge w:val="continue"/>
            <w:vAlign w:val="center"/>
          </w:tcPr>
          <w:p w14:paraId="15DE49EE">
            <w:pPr>
              <w:widowControl/>
              <w:adjustRightInd/>
              <w:spacing w:line="240" w:lineRule="auto"/>
              <w:ind w:firstLine="0" w:firstLineChars="0"/>
              <w:jc w:val="center"/>
              <w:rPr>
                <w:rFonts w:cs="Times New Roman"/>
                <w:b/>
                <w:bCs/>
                <w:color w:val="000000"/>
                <w:kern w:val="0"/>
                <w:sz w:val="21"/>
                <w:szCs w:val="21"/>
              </w:rPr>
            </w:pPr>
          </w:p>
        </w:tc>
        <w:tc>
          <w:tcPr>
            <w:tcW w:w="426" w:type="pct"/>
            <w:vAlign w:val="center"/>
          </w:tcPr>
          <w:p w14:paraId="311F9ECF">
            <w:pPr>
              <w:widowControl/>
              <w:adjustRightInd/>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ρ</w:t>
            </w:r>
            <w:r>
              <w:rPr>
                <w:rFonts w:cs="Times New Roman"/>
                <w:b/>
                <w:bCs/>
                <w:color w:val="000000"/>
                <w:kern w:val="0"/>
                <w:sz w:val="21"/>
                <w:szCs w:val="21"/>
                <w:vertAlign w:val="subscript"/>
              </w:rPr>
              <w:t>rel</w:t>
            </w:r>
          </w:p>
        </w:tc>
        <w:tc>
          <w:tcPr>
            <w:tcW w:w="488" w:type="pct"/>
            <w:vAlign w:val="center"/>
          </w:tcPr>
          <w:p w14:paraId="4AC73CBD">
            <w:pPr>
              <w:widowControl/>
              <w:adjustRightInd/>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ρ</w:t>
            </w:r>
            <w:r>
              <w:rPr>
                <w:rFonts w:cs="Times New Roman"/>
                <w:b/>
                <w:bCs/>
                <w:color w:val="000000"/>
                <w:kern w:val="0"/>
                <w:sz w:val="21"/>
                <w:szCs w:val="21"/>
                <w:vertAlign w:val="subscript"/>
              </w:rPr>
              <w:t>a</w:t>
            </w:r>
          </w:p>
        </w:tc>
        <w:tc>
          <w:tcPr>
            <w:tcW w:w="439" w:type="pct"/>
            <w:vAlign w:val="center"/>
          </w:tcPr>
          <w:p w14:paraId="646C80CD">
            <w:pPr>
              <w:widowControl/>
              <w:adjustRightInd/>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Q</w:t>
            </w:r>
          </w:p>
        </w:tc>
        <w:tc>
          <w:tcPr>
            <w:tcW w:w="453" w:type="pct"/>
            <w:vAlign w:val="center"/>
          </w:tcPr>
          <w:p w14:paraId="6FB544A2">
            <w:pPr>
              <w:widowControl/>
              <w:adjustRightInd/>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Drel</w:t>
            </w:r>
          </w:p>
        </w:tc>
        <w:tc>
          <w:tcPr>
            <w:tcW w:w="403" w:type="pct"/>
            <w:vAlign w:val="center"/>
          </w:tcPr>
          <w:p w14:paraId="4206D7E5">
            <w:pPr>
              <w:widowControl/>
              <w:adjustRightInd/>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g</w:t>
            </w:r>
          </w:p>
        </w:tc>
        <w:tc>
          <w:tcPr>
            <w:tcW w:w="416" w:type="pct"/>
            <w:vAlign w:val="center"/>
          </w:tcPr>
          <w:p w14:paraId="32664E3A">
            <w:pPr>
              <w:widowControl/>
              <w:adjustRightInd/>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Ur</w:t>
            </w:r>
          </w:p>
        </w:tc>
        <w:tc>
          <w:tcPr>
            <w:tcW w:w="595" w:type="pct"/>
            <w:vMerge w:val="continue"/>
            <w:vAlign w:val="center"/>
          </w:tcPr>
          <w:p w14:paraId="309BDB65">
            <w:pPr>
              <w:widowControl/>
              <w:adjustRightInd/>
              <w:spacing w:line="240" w:lineRule="auto"/>
              <w:ind w:firstLine="0" w:firstLineChars="0"/>
              <w:jc w:val="center"/>
              <w:rPr>
                <w:rFonts w:cs="Times New Roman"/>
                <w:b/>
                <w:bCs/>
                <w:color w:val="000000"/>
                <w:kern w:val="0"/>
                <w:sz w:val="21"/>
                <w:szCs w:val="21"/>
                <w:highlight w:val="yellow"/>
              </w:rPr>
            </w:pPr>
          </w:p>
        </w:tc>
        <w:tc>
          <w:tcPr>
            <w:tcW w:w="652" w:type="pct"/>
            <w:vMerge w:val="continue"/>
            <w:vAlign w:val="center"/>
          </w:tcPr>
          <w:p w14:paraId="65275BBB">
            <w:pPr>
              <w:widowControl/>
              <w:adjustRightInd/>
              <w:spacing w:line="240" w:lineRule="auto"/>
              <w:ind w:firstLine="0" w:firstLineChars="0"/>
              <w:jc w:val="center"/>
              <w:rPr>
                <w:rFonts w:cs="Times New Roman"/>
                <w:b/>
                <w:bCs/>
                <w:color w:val="000000"/>
                <w:kern w:val="0"/>
                <w:sz w:val="21"/>
                <w:szCs w:val="21"/>
                <w:highlight w:val="yellow"/>
              </w:rPr>
            </w:pPr>
          </w:p>
        </w:tc>
        <w:tc>
          <w:tcPr>
            <w:tcW w:w="652" w:type="pct"/>
            <w:vMerge w:val="continue"/>
            <w:vAlign w:val="center"/>
          </w:tcPr>
          <w:p w14:paraId="638ABFFC">
            <w:pPr>
              <w:widowControl/>
              <w:adjustRightInd/>
              <w:spacing w:line="240" w:lineRule="auto"/>
              <w:ind w:firstLine="0" w:firstLineChars="0"/>
              <w:jc w:val="center"/>
              <w:rPr>
                <w:rFonts w:cs="Times New Roman"/>
                <w:b/>
                <w:bCs/>
                <w:color w:val="000000"/>
                <w:kern w:val="0"/>
                <w:sz w:val="21"/>
                <w:szCs w:val="21"/>
                <w:highlight w:val="yellow"/>
              </w:rPr>
            </w:pPr>
          </w:p>
        </w:tc>
      </w:tr>
      <w:tr w14:paraId="496E7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 w:type="pct"/>
            <w:vAlign w:val="center"/>
          </w:tcPr>
          <w:p w14:paraId="157BCDBD">
            <w:pPr>
              <w:widowControl/>
              <w:adjustRightInd/>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盐酸</w:t>
            </w:r>
          </w:p>
        </w:tc>
        <w:tc>
          <w:tcPr>
            <w:tcW w:w="426" w:type="pct"/>
            <w:vAlign w:val="center"/>
          </w:tcPr>
          <w:p w14:paraId="56B857E7">
            <w:pPr>
              <w:widowControl/>
              <w:adjustRightInd/>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1150</w:t>
            </w:r>
          </w:p>
        </w:tc>
        <w:tc>
          <w:tcPr>
            <w:tcW w:w="488" w:type="pct"/>
            <w:vAlign w:val="center"/>
          </w:tcPr>
          <w:p w14:paraId="62D9789A">
            <w:pPr>
              <w:widowControl/>
              <w:adjustRightInd/>
              <w:spacing w:line="240" w:lineRule="auto"/>
              <w:ind w:firstLine="0" w:firstLineChars="0"/>
              <w:jc w:val="center"/>
              <w:rPr>
                <w:rFonts w:cs="Times New Roman"/>
                <w:color w:val="000000"/>
                <w:kern w:val="0"/>
                <w:sz w:val="21"/>
                <w:szCs w:val="21"/>
              </w:rPr>
            </w:pPr>
            <w:r>
              <w:rPr>
                <w:rFonts w:cs="Times New Roman"/>
                <w:color w:val="000000"/>
                <w:kern w:val="0"/>
                <w:sz w:val="21"/>
                <w:szCs w:val="21"/>
              </w:rPr>
              <w:t>1.29</w:t>
            </w:r>
          </w:p>
        </w:tc>
        <w:tc>
          <w:tcPr>
            <w:tcW w:w="439" w:type="pct"/>
            <w:vAlign w:val="center"/>
          </w:tcPr>
          <w:p w14:paraId="278AC7AB">
            <w:pPr>
              <w:widowControl/>
              <w:adjustRightInd/>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0.7</w:t>
            </w:r>
          </w:p>
        </w:tc>
        <w:tc>
          <w:tcPr>
            <w:tcW w:w="453" w:type="pct"/>
            <w:vAlign w:val="center"/>
          </w:tcPr>
          <w:p w14:paraId="1651070A">
            <w:pPr>
              <w:widowControl/>
              <w:adjustRightInd/>
              <w:spacing w:line="240" w:lineRule="auto"/>
              <w:ind w:firstLine="0" w:firstLineChars="0"/>
              <w:jc w:val="center"/>
              <w:rPr>
                <w:rFonts w:cs="Times New Roman"/>
                <w:color w:val="000000"/>
                <w:kern w:val="0"/>
                <w:sz w:val="21"/>
                <w:szCs w:val="21"/>
              </w:rPr>
            </w:pPr>
            <w:r>
              <w:rPr>
                <w:rFonts w:hint="eastAsia" w:cs="Times New Roman"/>
                <w:color w:val="000000"/>
                <w:kern w:val="0"/>
                <w:sz w:val="21"/>
                <w:szCs w:val="21"/>
              </w:rPr>
              <w:t>13.8</w:t>
            </w:r>
          </w:p>
        </w:tc>
        <w:tc>
          <w:tcPr>
            <w:tcW w:w="403" w:type="pct"/>
            <w:vAlign w:val="center"/>
          </w:tcPr>
          <w:p w14:paraId="1ACD8F1E">
            <w:pPr>
              <w:widowControl/>
              <w:adjustRightInd/>
              <w:spacing w:line="240" w:lineRule="auto"/>
              <w:ind w:firstLine="0" w:firstLineChars="0"/>
              <w:jc w:val="center"/>
              <w:rPr>
                <w:rFonts w:cs="Times New Roman"/>
                <w:color w:val="000000"/>
                <w:kern w:val="0"/>
                <w:sz w:val="21"/>
                <w:szCs w:val="21"/>
              </w:rPr>
            </w:pPr>
            <w:r>
              <w:rPr>
                <w:rFonts w:cs="Times New Roman"/>
                <w:color w:val="000000"/>
                <w:kern w:val="0"/>
                <w:sz w:val="21"/>
                <w:szCs w:val="21"/>
              </w:rPr>
              <w:t>9.8</w:t>
            </w:r>
          </w:p>
        </w:tc>
        <w:tc>
          <w:tcPr>
            <w:tcW w:w="416" w:type="pct"/>
            <w:vAlign w:val="center"/>
          </w:tcPr>
          <w:p w14:paraId="29341375">
            <w:pPr>
              <w:widowControl/>
              <w:adjustRightInd/>
              <w:spacing w:line="240" w:lineRule="auto"/>
              <w:ind w:firstLine="0" w:firstLineChars="0"/>
              <w:jc w:val="center"/>
              <w:rPr>
                <w:rFonts w:cs="Times New Roman"/>
                <w:color w:val="000000"/>
                <w:kern w:val="0"/>
                <w:sz w:val="21"/>
                <w:szCs w:val="21"/>
              </w:rPr>
            </w:pPr>
            <w:r>
              <w:rPr>
                <w:rFonts w:cs="Times New Roman"/>
                <w:color w:val="000000"/>
                <w:kern w:val="0"/>
                <w:sz w:val="21"/>
                <w:szCs w:val="21"/>
              </w:rPr>
              <w:t>1.5</w:t>
            </w:r>
          </w:p>
        </w:tc>
        <w:tc>
          <w:tcPr>
            <w:tcW w:w="595" w:type="pct"/>
            <w:vAlign w:val="center"/>
          </w:tcPr>
          <w:p w14:paraId="503188F3">
            <w:pPr>
              <w:widowControl/>
              <w:adjustRightInd/>
              <w:spacing w:line="240" w:lineRule="auto"/>
              <w:ind w:firstLine="0" w:firstLineChars="0"/>
              <w:jc w:val="center"/>
              <w:textAlignment w:val="center"/>
              <w:rPr>
                <w:rFonts w:cs="Times New Roman"/>
                <w:color w:val="000000"/>
                <w:kern w:val="0"/>
                <w:sz w:val="21"/>
                <w:szCs w:val="21"/>
                <w:highlight w:val="yellow"/>
              </w:rPr>
            </w:pPr>
            <w:r>
              <w:rPr>
                <w:rFonts w:cs="Times New Roman"/>
                <w:color w:val="000000"/>
                <w:kern w:val="0"/>
                <w:sz w:val="21"/>
                <w:szCs w:val="21"/>
              </w:rPr>
              <w:t>0.48</w:t>
            </w:r>
          </w:p>
        </w:tc>
        <w:tc>
          <w:tcPr>
            <w:tcW w:w="652" w:type="pct"/>
            <w:vAlign w:val="center"/>
          </w:tcPr>
          <w:p w14:paraId="2F6C096B">
            <w:pPr>
              <w:widowControl/>
              <w:adjustRightInd/>
              <w:spacing w:line="240" w:lineRule="auto"/>
              <w:ind w:firstLine="0" w:firstLineChars="0"/>
              <w:jc w:val="center"/>
              <w:rPr>
                <w:rFonts w:cs="Times New Roman"/>
                <w:color w:val="000000"/>
                <w:kern w:val="0"/>
                <w:sz w:val="21"/>
                <w:szCs w:val="21"/>
              </w:rPr>
            </w:pPr>
            <w:r>
              <w:rPr>
                <w:rFonts w:cs="Times New Roman"/>
                <w:color w:val="000000"/>
                <w:kern w:val="0"/>
                <w:sz w:val="21"/>
                <w:szCs w:val="21"/>
              </w:rPr>
              <w:t>重质气体</w:t>
            </w:r>
          </w:p>
        </w:tc>
        <w:tc>
          <w:tcPr>
            <w:tcW w:w="652" w:type="pct"/>
            <w:vAlign w:val="center"/>
          </w:tcPr>
          <w:p w14:paraId="618FE8EC">
            <w:pPr>
              <w:widowControl/>
              <w:adjustRightInd/>
              <w:spacing w:line="240" w:lineRule="auto"/>
              <w:ind w:firstLine="0" w:firstLineChars="0"/>
              <w:jc w:val="center"/>
              <w:rPr>
                <w:rFonts w:cs="Times New Roman"/>
                <w:color w:val="000000"/>
                <w:kern w:val="0"/>
                <w:sz w:val="21"/>
                <w:szCs w:val="21"/>
              </w:rPr>
            </w:pPr>
            <w:r>
              <w:rPr>
                <w:rFonts w:cs="Times New Roman"/>
                <w:color w:val="000000"/>
                <w:kern w:val="0"/>
                <w:sz w:val="21"/>
                <w:szCs w:val="21"/>
              </w:rPr>
              <w:t>/</w:t>
            </w:r>
          </w:p>
        </w:tc>
      </w:tr>
    </w:tbl>
    <w:p w14:paraId="09E37B6C">
      <w:pPr>
        <w:spacing w:line="240" w:lineRule="auto"/>
        <w:ind w:firstLine="480"/>
        <w:rPr>
          <w:rFonts w:cs="Times New Roman"/>
          <w:color w:val="000000"/>
          <w:szCs w:val="32"/>
        </w:rPr>
      </w:pPr>
    </w:p>
    <w:p w14:paraId="4800348A">
      <w:pPr>
        <w:ind w:firstLine="480"/>
        <w:rPr>
          <w:rFonts w:cs="Times New Roman"/>
          <w:color w:val="000000"/>
          <w:szCs w:val="32"/>
        </w:rPr>
      </w:pPr>
      <w:r>
        <w:rPr>
          <w:rFonts w:cs="Times New Roman"/>
          <w:color w:val="000000"/>
          <w:szCs w:val="32"/>
        </w:rPr>
        <w:t>根据上表计算结果判定，盐酸属于重质气体</w:t>
      </w:r>
      <w:r>
        <w:rPr>
          <w:rFonts w:hint="eastAsia" w:cs="Times New Roman"/>
          <w:color w:val="000000"/>
          <w:szCs w:val="32"/>
        </w:rPr>
        <w:t>。</w:t>
      </w:r>
    </w:p>
    <w:p w14:paraId="655B917B">
      <w:pPr>
        <w:ind w:firstLine="480"/>
        <w:rPr>
          <w:rFonts w:cs="Times New Roman"/>
          <w:color w:val="000000"/>
          <w:szCs w:val="32"/>
        </w:rPr>
      </w:pPr>
      <w:r>
        <w:rPr>
          <w:rFonts w:cs="Times New Roman"/>
          <w:color w:val="000000"/>
          <w:szCs w:val="32"/>
        </w:rPr>
        <w:t>2、大气预测主要参数</w:t>
      </w:r>
    </w:p>
    <w:p w14:paraId="0984B220">
      <w:pPr>
        <w:ind w:firstLine="480"/>
        <w:rPr>
          <w:rFonts w:cs="Times New Roman"/>
          <w:color w:val="000000"/>
          <w:szCs w:val="32"/>
        </w:rPr>
      </w:pPr>
      <w:r>
        <w:rPr>
          <w:rFonts w:cs="Times New Roman"/>
          <w:color w:val="000000"/>
          <w:szCs w:val="32"/>
        </w:rPr>
        <w:t>根据HJ169-2018要求，大气环境风险预测，一级评价需选取最不利气象条件和事故发生地最常见的气象条件进行后果预测。本项目环境风险评价大气预测主要参数见下表。</w:t>
      </w:r>
    </w:p>
    <w:p w14:paraId="60A3B8B3">
      <w:pPr>
        <w:pStyle w:val="43"/>
        <w:numPr>
          <w:ilvl w:val="5"/>
          <w:numId w:val="1"/>
        </w:numPr>
        <w:rPr>
          <w:rFonts w:hint="default"/>
        </w:rPr>
      </w:pPr>
      <w:r>
        <w:rPr>
          <w:rFonts w:hint="default"/>
        </w:rPr>
        <w:t>环境风险大气预测主要参数</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65"/>
        <w:gridCol w:w="2475"/>
        <w:gridCol w:w="1860"/>
        <w:gridCol w:w="1822"/>
      </w:tblGrid>
      <w:tr w14:paraId="22A7B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365" w:type="dxa"/>
            <w:vAlign w:val="center"/>
          </w:tcPr>
          <w:p w14:paraId="6DC54063">
            <w:pPr>
              <w:pStyle w:val="45"/>
              <w:rPr>
                <w:rFonts w:hint="default"/>
                <w:b/>
                <w:bCs/>
                <w:color w:val="000000" w:themeColor="text1"/>
                <w14:textFill>
                  <w14:solidFill>
                    <w14:schemeClr w14:val="tx1"/>
                  </w14:solidFill>
                </w14:textFill>
              </w:rPr>
            </w:pPr>
            <w:r>
              <w:rPr>
                <w:b/>
                <w:bCs/>
                <w:color w:val="000000" w:themeColor="text1"/>
                <w14:textFill>
                  <w14:solidFill>
                    <w14:schemeClr w14:val="tx1"/>
                  </w14:solidFill>
                </w14:textFill>
              </w:rPr>
              <w:t>参数类型</w:t>
            </w:r>
          </w:p>
        </w:tc>
        <w:tc>
          <w:tcPr>
            <w:tcW w:w="2475" w:type="dxa"/>
            <w:vAlign w:val="center"/>
          </w:tcPr>
          <w:p w14:paraId="0708540A">
            <w:pPr>
              <w:pStyle w:val="45"/>
              <w:rPr>
                <w:rFonts w:hint="default"/>
                <w:b/>
                <w:bCs/>
                <w:color w:val="000000" w:themeColor="text1"/>
                <w14:textFill>
                  <w14:solidFill>
                    <w14:schemeClr w14:val="tx1"/>
                  </w14:solidFill>
                </w14:textFill>
              </w:rPr>
            </w:pPr>
            <w:r>
              <w:rPr>
                <w:b/>
                <w:bCs/>
                <w:color w:val="000000" w:themeColor="text1"/>
                <w14:textFill>
                  <w14:solidFill>
                    <w14:schemeClr w14:val="tx1"/>
                  </w14:solidFill>
                </w14:textFill>
              </w:rPr>
              <w:t>选项</w:t>
            </w:r>
          </w:p>
        </w:tc>
        <w:tc>
          <w:tcPr>
            <w:tcW w:w="3682" w:type="dxa"/>
            <w:gridSpan w:val="2"/>
            <w:vAlign w:val="center"/>
          </w:tcPr>
          <w:p w14:paraId="0D2D644A">
            <w:pPr>
              <w:pStyle w:val="45"/>
              <w:rPr>
                <w:rFonts w:hint="default"/>
                <w:b/>
                <w:bCs/>
                <w:color w:val="000000" w:themeColor="text1"/>
                <w14:textFill>
                  <w14:solidFill>
                    <w14:schemeClr w14:val="tx1"/>
                  </w14:solidFill>
                </w14:textFill>
              </w:rPr>
            </w:pPr>
            <w:r>
              <w:rPr>
                <w:b/>
                <w:bCs/>
                <w:color w:val="000000" w:themeColor="text1"/>
                <w14:textFill>
                  <w14:solidFill>
                    <w14:schemeClr w14:val="tx1"/>
                  </w14:solidFill>
                </w14:textFill>
              </w:rPr>
              <w:t>参数</w:t>
            </w:r>
          </w:p>
        </w:tc>
      </w:tr>
      <w:tr w14:paraId="42A6A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5" w:type="dxa"/>
            <w:vMerge w:val="restart"/>
            <w:vAlign w:val="center"/>
          </w:tcPr>
          <w:p w14:paraId="2B91CE8B">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盐酸泄漏事故基本情况</w:t>
            </w:r>
          </w:p>
        </w:tc>
        <w:tc>
          <w:tcPr>
            <w:tcW w:w="2475" w:type="dxa"/>
            <w:vAlign w:val="center"/>
          </w:tcPr>
          <w:p w14:paraId="19FE0AD2">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事故源经纬度</w:t>
            </w:r>
          </w:p>
        </w:tc>
        <w:tc>
          <w:tcPr>
            <w:tcW w:w="3682" w:type="dxa"/>
            <w:gridSpan w:val="2"/>
            <w:vAlign w:val="center"/>
          </w:tcPr>
          <w:p w14:paraId="7FA67125">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112.635609E，26.969616N</w:t>
            </w:r>
          </w:p>
        </w:tc>
      </w:tr>
      <w:tr w14:paraId="4F425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5" w:type="dxa"/>
            <w:vMerge w:val="continue"/>
            <w:vAlign w:val="center"/>
          </w:tcPr>
          <w:p w14:paraId="493B4B32">
            <w:pPr>
              <w:pStyle w:val="45"/>
              <w:rPr>
                <w:rFonts w:hint="default"/>
                <w:color w:val="000000" w:themeColor="text1"/>
                <w14:textFill>
                  <w14:solidFill>
                    <w14:schemeClr w14:val="tx1"/>
                  </w14:solidFill>
                </w14:textFill>
              </w:rPr>
            </w:pPr>
          </w:p>
        </w:tc>
        <w:tc>
          <w:tcPr>
            <w:tcW w:w="2475" w:type="dxa"/>
            <w:vAlign w:val="center"/>
          </w:tcPr>
          <w:p w14:paraId="036A44C2">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事故源类型</w:t>
            </w:r>
          </w:p>
        </w:tc>
        <w:tc>
          <w:tcPr>
            <w:tcW w:w="3682" w:type="dxa"/>
            <w:gridSpan w:val="2"/>
            <w:vAlign w:val="center"/>
          </w:tcPr>
          <w:p w14:paraId="335F735A">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氯化氢泄漏</w:t>
            </w:r>
          </w:p>
        </w:tc>
      </w:tr>
      <w:tr w14:paraId="5E894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5" w:type="dxa"/>
            <w:vMerge w:val="restart"/>
            <w:vAlign w:val="center"/>
          </w:tcPr>
          <w:p w14:paraId="567A0934">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气象参数</w:t>
            </w:r>
          </w:p>
        </w:tc>
        <w:tc>
          <w:tcPr>
            <w:tcW w:w="2475" w:type="dxa"/>
            <w:vAlign w:val="center"/>
          </w:tcPr>
          <w:p w14:paraId="13F41AA6">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气象条件类型</w:t>
            </w:r>
          </w:p>
        </w:tc>
        <w:tc>
          <w:tcPr>
            <w:tcW w:w="1860" w:type="dxa"/>
            <w:vAlign w:val="center"/>
          </w:tcPr>
          <w:p w14:paraId="5DF9B02C">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最不利气象</w:t>
            </w:r>
          </w:p>
        </w:tc>
        <w:tc>
          <w:tcPr>
            <w:tcW w:w="1822" w:type="dxa"/>
            <w:vAlign w:val="center"/>
          </w:tcPr>
          <w:p w14:paraId="4D428742">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最常见气象</w:t>
            </w:r>
          </w:p>
        </w:tc>
      </w:tr>
      <w:tr w14:paraId="091D4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5" w:type="dxa"/>
            <w:vMerge w:val="continue"/>
            <w:vAlign w:val="center"/>
          </w:tcPr>
          <w:p w14:paraId="683E0F8F">
            <w:pPr>
              <w:pStyle w:val="45"/>
              <w:rPr>
                <w:rFonts w:hint="default"/>
                <w:color w:val="000000" w:themeColor="text1"/>
                <w14:textFill>
                  <w14:solidFill>
                    <w14:schemeClr w14:val="tx1"/>
                  </w14:solidFill>
                </w14:textFill>
              </w:rPr>
            </w:pPr>
          </w:p>
        </w:tc>
        <w:tc>
          <w:tcPr>
            <w:tcW w:w="2475" w:type="dxa"/>
            <w:vAlign w:val="center"/>
          </w:tcPr>
          <w:p w14:paraId="5CDAD6DC">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风速（m/s）</w:t>
            </w:r>
          </w:p>
        </w:tc>
        <w:tc>
          <w:tcPr>
            <w:tcW w:w="1860" w:type="dxa"/>
            <w:vAlign w:val="center"/>
          </w:tcPr>
          <w:p w14:paraId="2F632478">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1.5</w:t>
            </w:r>
          </w:p>
        </w:tc>
        <w:tc>
          <w:tcPr>
            <w:tcW w:w="1822" w:type="dxa"/>
            <w:vAlign w:val="center"/>
          </w:tcPr>
          <w:p w14:paraId="6B0A3E64">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2</w:t>
            </w:r>
          </w:p>
        </w:tc>
      </w:tr>
      <w:tr w14:paraId="5F829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5" w:type="dxa"/>
            <w:vMerge w:val="continue"/>
            <w:vAlign w:val="center"/>
          </w:tcPr>
          <w:p w14:paraId="5878979F">
            <w:pPr>
              <w:pStyle w:val="45"/>
              <w:rPr>
                <w:rFonts w:hint="default"/>
                <w:color w:val="000000" w:themeColor="text1"/>
                <w14:textFill>
                  <w14:solidFill>
                    <w14:schemeClr w14:val="tx1"/>
                  </w14:solidFill>
                </w14:textFill>
              </w:rPr>
            </w:pPr>
          </w:p>
        </w:tc>
        <w:tc>
          <w:tcPr>
            <w:tcW w:w="2475" w:type="dxa"/>
            <w:vAlign w:val="center"/>
          </w:tcPr>
          <w:p w14:paraId="006C9AEA">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环境温度（℃）</w:t>
            </w:r>
          </w:p>
        </w:tc>
        <w:tc>
          <w:tcPr>
            <w:tcW w:w="1860" w:type="dxa"/>
            <w:vAlign w:val="center"/>
          </w:tcPr>
          <w:p w14:paraId="6225AD56">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25</w:t>
            </w:r>
          </w:p>
        </w:tc>
        <w:tc>
          <w:tcPr>
            <w:tcW w:w="1822" w:type="dxa"/>
            <w:vAlign w:val="center"/>
          </w:tcPr>
          <w:p w14:paraId="63E0FC8B">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17.9</w:t>
            </w:r>
          </w:p>
        </w:tc>
      </w:tr>
      <w:tr w14:paraId="721C6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5" w:type="dxa"/>
            <w:vMerge w:val="continue"/>
            <w:vAlign w:val="center"/>
          </w:tcPr>
          <w:p w14:paraId="163665E0">
            <w:pPr>
              <w:pStyle w:val="45"/>
              <w:rPr>
                <w:rFonts w:hint="default"/>
                <w:color w:val="000000" w:themeColor="text1"/>
                <w14:textFill>
                  <w14:solidFill>
                    <w14:schemeClr w14:val="tx1"/>
                  </w14:solidFill>
                </w14:textFill>
              </w:rPr>
            </w:pPr>
          </w:p>
        </w:tc>
        <w:tc>
          <w:tcPr>
            <w:tcW w:w="2475" w:type="dxa"/>
            <w:vAlign w:val="center"/>
          </w:tcPr>
          <w:p w14:paraId="394CB348">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相对湿度（%）</w:t>
            </w:r>
          </w:p>
        </w:tc>
        <w:tc>
          <w:tcPr>
            <w:tcW w:w="1860" w:type="dxa"/>
            <w:vAlign w:val="center"/>
          </w:tcPr>
          <w:p w14:paraId="0E6227B9">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50%</w:t>
            </w:r>
          </w:p>
        </w:tc>
        <w:tc>
          <w:tcPr>
            <w:tcW w:w="1822" w:type="dxa"/>
            <w:vAlign w:val="center"/>
          </w:tcPr>
          <w:p w14:paraId="5E65CDF7">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78%</w:t>
            </w:r>
          </w:p>
        </w:tc>
      </w:tr>
      <w:tr w14:paraId="7A796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5" w:type="dxa"/>
            <w:vMerge w:val="continue"/>
            <w:vAlign w:val="center"/>
          </w:tcPr>
          <w:p w14:paraId="6A4442C8">
            <w:pPr>
              <w:pStyle w:val="45"/>
              <w:rPr>
                <w:rFonts w:hint="default"/>
                <w:color w:val="000000" w:themeColor="text1"/>
                <w14:textFill>
                  <w14:solidFill>
                    <w14:schemeClr w14:val="tx1"/>
                  </w14:solidFill>
                </w14:textFill>
              </w:rPr>
            </w:pPr>
          </w:p>
        </w:tc>
        <w:tc>
          <w:tcPr>
            <w:tcW w:w="2475" w:type="dxa"/>
            <w:vAlign w:val="center"/>
          </w:tcPr>
          <w:p w14:paraId="2F50D4F2">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稳定度</w:t>
            </w:r>
          </w:p>
        </w:tc>
        <w:tc>
          <w:tcPr>
            <w:tcW w:w="1860" w:type="dxa"/>
            <w:vAlign w:val="center"/>
          </w:tcPr>
          <w:p w14:paraId="4963EA5A">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F</w:t>
            </w:r>
          </w:p>
        </w:tc>
        <w:tc>
          <w:tcPr>
            <w:tcW w:w="1822" w:type="dxa"/>
            <w:vAlign w:val="center"/>
          </w:tcPr>
          <w:p w14:paraId="0BAFB0F2">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D</w:t>
            </w:r>
          </w:p>
        </w:tc>
      </w:tr>
      <w:tr w14:paraId="229EA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5" w:type="dxa"/>
            <w:vMerge w:val="restart"/>
            <w:vAlign w:val="center"/>
          </w:tcPr>
          <w:p w14:paraId="71EF9967">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其他参数</w:t>
            </w:r>
          </w:p>
        </w:tc>
        <w:tc>
          <w:tcPr>
            <w:tcW w:w="2475" w:type="dxa"/>
            <w:vAlign w:val="center"/>
          </w:tcPr>
          <w:p w14:paraId="7EA4197E">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地表粗糙度</w:t>
            </w:r>
          </w:p>
        </w:tc>
        <w:tc>
          <w:tcPr>
            <w:tcW w:w="3682" w:type="dxa"/>
            <w:gridSpan w:val="2"/>
            <w:vAlign w:val="center"/>
          </w:tcPr>
          <w:p w14:paraId="49A05296">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3cm</w:t>
            </w:r>
          </w:p>
        </w:tc>
      </w:tr>
      <w:tr w14:paraId="569F5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5" w:type="dxa"/>
            <w:vMerge w:val="continue"/>
            <w:vAlign w:val="center"/>
          </w:tcPr>
          <w:p w14:paraId="2BD040E2">
            <w:pPr>
              <w:pStyle w:val="45"/>
              <w:rPr>
                <w:rFonts w:hint="default"/>
                <w:color w:val="000000" w:themeColor="text1"/>
                <w14:textFill>
                  <w14:solidFill>
                    <w14:schemeClr w14:val="tx1"/>
                  </w14:solidFill>
                </w14:textFill>
              </w:rPr>
            </w:pPr>
          </w:p>
        </w:tc>
        <w:tc>
          <w:tcPr>
            <w:tcW w:w="2475" w:type="dxa"/>
            <w:vAlign w:val="center"/>
          </w:tcPr>
          <w:p w14:paraId="7560DCB1">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是否考虑地形</w:t>
            </w:r>
          </w:p>
        </w:tc>
        <w:tc>
          <w:tcPr>
            <w:tcW w:w="3682" w:type="dxa"/>
            <w:gridSpan w:val="2"/>
            <w:vAlign w:val="center"/>
          </w:tcPr>
          <w:p w14:paraId="7C86C47D">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是</w:t>
            </w:r>
          </w:p>
        </w:tc>
      </w:tr>
      <w:tr w14:paraId="5B1AE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5" w:type="dxa"/>
            <w:vMerge w:val="continue"/>
            <w:vAlign w:val="center"/>
          </w:tcPr>
          <w:p w14:paraId="2CDE02A7">
            <w:pPr>
              <w:pStyle w:val="45"/>
              <w:rPr>
                <w:rFonts w:hint="default"/>
                <w:color w:val="000000" w:themeColor="text1"/>
                <w14:textFill>
                  <w14:solidFill>
                    <w14:schemeClr w14:val="tx1"/>
                  </w14:solidFill>
                </w14:textFill>
              </w:rPr>
            </w:pPr>
          </w:p>
        </w:tc>
        <w:tc>
          <w:tcPr>
            <w:tcW w:w="2475" w:type="dxa"/>
            <w:vAlign w:val="center"/>
          </w:tcPr>
          <w:p w14:paraId="2A991B67">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地形数据精度（m）</w:t>
            </w:r>
          </w:p>
        </w:tc>
        <w:tc>
          <w:tcPr>
            <w:tcW w:w="3682" w:type="dxa"/>
            <w:gridSpan w:val="2"/>
            <w:vAlign w:val="center"/>
          </w:tcPr>
          <w:p w14:paraId="5A27441E">
            <w:pPr>
              <w:pStyle w:val="45"/>
              <w:rPr>
                <w:rFonts w:hint="default"/>
                <w:color w:val="000000" w:themeColor="text1"/>
                <w14:textFill>
                  <w14:solidFill>
                    <w14:schemeClr w14:val="tx1"/>
                  </w14:solidFill>
                </w14:textFill>
              </w:rPr>
            </w:pPr>
            <w:r>
              <w:rPr>
                <w:color w:val="000000" w:themeColor="text1"/>
                <w14:textFill>
                  <w14:solidFill>
                    <w14:schemeClr w14:val="tx1"/>
                  </w14:solidFill>
                </w14:textFill>
              </w:rPr>
              <w:t>90m</w:t>
            </w:r>
          </w:p>
        </w:tc>
      </w:tr>
    </w:tbl>
    <w:p w14:paraId="4F01C196">
      <w:pPr>
        <w:spacing w:line="240" w:lineRule="auto"/>
        <w:ind w:firstLine="0" w:firstLineChars="0"/>
      </w:pPr>
    </w:p>
    <w:p w14:paraId="5FE53490">
      <w:pPr>
        <w:ind w:firstLine="480"/>
      </w:pPr>
      <w:r>
        <w:t>3、大气毒性终点浓度</w:t>
      </w:r>
    </w:p>
    <w:p w14:paraId="30FC387D">
      <w:pPr>
        <w:ind w:firstLine="480"/>
      </w:pPr>
      <w:r>
        <w:t>根据HJ169-2018附录H，项目涉及有毒有害物质的评价标准见下表。</w:t>
      </w:r>
    </w:p>
    <w:p w14:paraId="5E542296">
      <w:pPr>
        <w:pStyle w:val="43"/>
        <w:numPr>
          <w:ilvl w:val="5"/>
          <w:numId w:val="1"/>
        </w:numPr>
        <w:rPr>
          <w:rFonts w:hint="default"/>
        </w:rPr>
      </w:pPr>
      <w:r>
        <w:rPr>
          <w:rFonts w:hint="default"/>
        </w:rPr>
        <w:t>有毒有害物质理性参数</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2841"/>
        <w:gridCol w:w="2841"/>
      </w:tblGrid>
      <w:tr w14:paraId="53F0D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14:paraId="2E3F35F5">
            <w:pPr>
              <w:widowControl/>
              <w:snapToGrid w:val="0"/>
              <w:spacing w:line="240" w:lineRule="auto"/>
              <w:ind w:firstLine="0" w:firstLineChars="0"/>
              <w:jc w:val="center"/>
              <w:rPr>
                <w:rFonts w:cs="Times New Roman"/>
                <w:b/>
                <w:bCs/>
                <w:kern w:val="0"/>
                <w:sz w:val="21"/>
                <w:szCs w:val="21"/>
              </w:rPr>
            </w:pPr>
            <w:r>
              <w:rPr>
                <w:rFonts w:cs="Times New Roman"/>
                <w:b/>
                <w:bCs/>
                <w:kern w:val="0"/>
                <w:sz w:val="21"/>
                <w:szCs w:val="21"/>
              </w:rPr>
              <w:t>物质</w:t>
            </w:r>
          </w:p>
        </w:tc>
        <w:tc>
          <w:tcPr>
            <w:tcW w:w="2841" w:type="dxa"/>
            <w:vAlign w:val="center"/>
          </w:tcPr>
          <w:p w14:paraId="797257B0">
            <w:pPr>
              <w:widowControl/>
              <w:snapToGrid w:val="0"/>
              <w:spacing w:line="240" w:lineRule="auto"/>
              <w:ind w:firstLine="0" w:firstLineChars="0"/>
              <w:jc w:val="center"/>
              <w:rPr>
                <w:rFonts w:cs="Times New Roman"/>
                <w:b/>
                <w:bCs/>
                <w:kern w:val="0"/>
                <w:sz w:val="21"/>
                <w:szCs w:val="21"/>
              </w:rPr>
            </w:pPr>
            <w:r>
              <w:rPr>
                <w:rFonts w:cs="Times New Roman"/>
                <w:b/>
                <w:bCs/>
                <w:kern w:val="0"/>
                <w:sz w:val="21"/>
                <w:szCs w:val="21"/>
              </w:rPr>
              <w:t>毒性终点浓度-1（mg/m</w:t>
            </w:r>
            <w:r>
              <w:rPr>
                <w:rFonts w:cs="Times New Roman"/>
                <w:b/>
                <w:bCs/>
                <w:kern w:val="0"/>
                <w:sz w:val="21"/>
                <w:szCs w:val="21"/>
                <w:vertAlign w:val="superscript"/>
              </w:rPr>
              <w:t>3</w:t>
            </w:r>
            <w:r>
              <w:rPr>
                <w:rFonts w:cs="Times New Roman"/>
                <w:b/>
                <w:bCs/>
                <w:kern w:val="0"/>
                <w:sz w:val="21"/>
                <w:szCs w:val="21"/>
              </w:rPr>
              <w:t>）</w:t>
            </w:r>
          </w:p>
        </w:tc>
        <w:tc>
          <w:tcPr>
            <w:tcW w:w="2841" w:type="dxa"/>
            <w:vAlign w:val="center"/>
          </w:tcPr>
          <w:p w14:paraId="73D08B7D">
            <w:pPr>
              <w:widowControl/>
              <w:snapToGrid w:val="0"/>
              <w:spacing w:line="240" w:lineRule="auto"/>
              <w:ind w:firstLine="0" w:firstLineChars="0"/>
              <w:jc w:val="center"/>
              <w:rPr>
                <w:rFonts w:cs="Times New Roman"/>
                <w:b/>
                <w:bCs/>
                <w:kern w:val="0"/>
                <w:sz w:val="21"/>
                <w:szCs w:val="21"/>
              </w:rPr>
            </w:pPr>
            <w:r>
              <w:rPr>
                <w:rFonts w:cs="Times New Roman"/>
                <w:b/>
                <w:bCs/>
                <w:kern w:val="0"/>
                <w:sz w:val="21"/>
                <w:szCs w:val="21"/>
              </w:rPr>
              <w:t>毒性终点浓度-2（mg/m</w:t>
            </w:r>
            <w:r>
              <w:rPr>
                <w:rFonts w:cs="Times New Roman"/>
                <w:b/>
                <w:bCs/>
                <w:kern w:val="0"/>
                <w:sz w:val="21"/>
                <w:szCs w:val="21"/>
                <w:vertAlign w:val="superscript"/>
              </w:rPr>
              <w:t>3</w:t>
            </w:r>
            <w:r>
              <w:rPr>
                <w:rFonts w:cs="Times New Roman"/>
                <w:b/>
                <w:bCs/>
                <w:kern w:val="0"/>
                <w:sz w:val="21"/>
                <w:szCs w:val="21"/>
              </w:rPr>
              <w:t>）</w:t>
            </w:r>
          </w:p>
        </w:tc>
      </w:tr>
      <w:tr w14:paraId="5EA5F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14:paraId="0C8CC612">
            <w:pPr>
              <w:widowControl/>
              <w:snapToGrid w:val="0"/>
              <w:spacing w:line="240" w:lineRule="auto"/>
              <w:ind w:firstLine="0" w:firstLineChars="0"/>
              <w:jc w:val="center"/>
              <w:rPr>
                <w:rFonts w:cs="Times New Roman"/>
                <w:kern w:val="0"/>
                <w:sz w:val="21"/>
                <w:szCs w:val="21"/>
              </w:rPr>
            </w:pPr>
            <w:r>
              <w:rPr>
                <w:rFonts w:hint="eastAsia" w:cs="Times New Roman"/>
                <w:kern w:val="0"/>
                <w:sz w:val="21"/>
                <w:szCs w:val="21"/>
              </w:rPr>
              <w:t>盐酸</w:t>
            </w:r>
          </w:p>
        </w:tc>
        <w:tc>
          <w:tcPr>
            <w:tcW w:w="2841" w:type="dxa"/>
            <w:vAlign w:val="center"/>
          </w:tcPr>
          <w:p w14:paraId="63738595">
            <w:pPr>
              <w:widowControl/>
              <w:snapToGrid w:val="0"/>
              <w:spacing w:line="240" w:lineRule="auto"/>
              <w:ind w:firstLine="0" w:firstLineChars="0"/>
              <w:jc w:val="center"/>
              <w:rPr>
                <w:rFonts w:cs="Times New Roman"/>
                <w:kern w:val="0"/>
                <w:sz w:val="21"/>
                <w:szCs w:val="21"/>
              </w:rPr>
            </w:pPr>
            <w:r>
              <w:rPr>
                <w:rFonts w:cs="Times New Roman"/>
                <w:kern w:val="0"/>
                <w:sz w:val="21"/>
                <w:szCs w:val="21"/>
              </w:rPr>
              <w:t>150</w:t>
            </w:r>
          </w:p>
        </w:tc>
        <w:tc>
          <w:tcPr>
            <w:tcW w:w="2841" w:type="dxa"/>
            <w:vAlign w:val="center"/>
          </w:tcPr>
          <w:p w14:paraId="04DCD451">
            <w:pPr>
              <w:widowControl/>
              <w:snapToGrid w:val="0"/>
              <w:spacing w:line="240" w:lineRule="auto"/>
              <w:ind w:firstLine="0" w:firstLineChars="0"/>
              <w:jc w:val="center"/>
              <w:rPr>
                <w:rFonts w:cs="Times New Roman"/>
                <w:kern w:val="0"/>
                <w:sz w:val="21"/>
                <w:szCs w:val="21"/>
              </w:rPr>
            </w:pPr>
            <w:r>
              <w:rPr>
                <w:rFonts w:cs="Times New Roman"/>
                <w:kern w:val="0"/>
                <w:sz w:val="21"/>
                <w:szCs w:val="21"/>
              </w:rPr>
              <w:t>33</w:t>
            </w:r>
          </w:p>
        </w:tc>
      </w:tr>
    </w:tbl>
    <w:p w14:paraId="782C7A99">
      <w:pPr>
        <w:ind w:firstLine="48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6104479C">
      <w:pPr>
        <w:ind w:firstLine="482"/>
        <w:rPr>
          <w:b/>
          <w:bCs/>
        </w:rPr>
      </w:pPr>
      <w:r>
        <w:rPr>
          <w:rFonts w:hint="eastAsia"/>
          <w:b/>
          <w:bCs/>
        </w:rPr>
        <w:t>4、</w:t>
      </w:r>
      <w:r>
        <w:rPr>
          <w:b/>
          <w:bCs/>
        </w:rPr>
        <w:t>泄漏环境风险预测结果</w:t>
      </w:r>
    </w:p>
    <w:p w14:paraId="39AD48EA">
      <w:pPr>
        <w:ind w:firstLine="480"/>
      </w:pPr>
      <w:r>
        <w:t>本项目在最不利气象和最常见气象条件下下风向不同距离有毒有害物质最大浓度见下表。</w:t>
      </w:r>
    </w:p>
    <w:p w14:paraId="527B1F7E">
      <w:pPr>
        <w:pStyle w:val="43"/>
        <w:numPr>
          <w:ilvl w:val="5"/>
          <w:numId w:val="1"/>
        </w:numPr>
        <w:rPr>
          <w:rFonts w:hint="default"/>
        </w:rPr>
      </w:pPr>
      <w:r>
        <w:rPr>
          <w:rFonts w:hint="default"/>
        </w:rPr>
        <w:t xml:space="preserve"> </w:t>
      </w:r>
      <w:r>
        <w:t>盐酸储罐</w:t>
      </w:r>
      <w:r>
        <w:rPr>
          <w:rFonts w:hint="default"/>
        </w:rPr>
        <w:t>泄漏事故扩散影响预测浓度一览表</w:t>
      </w:r>
    </w:p>
    <w:tbl>
      <w:tblPr>
        <w:tblStyle w:val="3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7"/>
        <w:gridCol w:w="2838"/>
        <w:gridCol w:w="2845"/>
      </w:tblGrid>
      <w:tr w14:paraId="1221A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blHeader/>
        </w:trPr>
        <w:tc>
          <w:tcPr>
            <w:tcW w:w="1665" w:type="pct"/>
            <w:vMerge w:val="restart"/>
            <w:shd w:val="clear" w:color="auto" w:fill="auto"/>
            <w:vAlign w:val="center"/>
          </w:tcPr>
          <w:p w14:paraId="753C1B9E">
            <w:pPr>
              <w:pStyle w:val="45"/>
              <w:rPr>
                <w:rFonts w:hint="default"/>
                <w:b/>
                <w:bCs/>
              </w:rPr>
            </w:pPr>
            <w:r>
              <w:rPr>
                <w:b/>
                <w:bCs/>
              </w:rPr>
              <w:t>距离（</w:t>
            </w:r>
            <w:r>
              <w:rPr>
                <w:rFonts w:hint="default"/>
                <w:b/>
                <w:bCs/>
              </w:rPr>
              <w:t>m</w:t>
            </w:r>
            <w:r>
              <w:rPr>
                <w:b/>
                <w:bCs/>
              </w:rPr>
              <w:t>）</w:t>
            </w:r>
          </w:p>
        </w:tc>
        <w:tc>
          <w:tcPr>
            <w:tcW w:w="3334" w:type="pct"/>
            <w:gridSpan w:val="2"/>
            <w:shd w:val="clear" w:color="auto" w:fill="auto"/>
            <w:vAlign w:val="center"/>
          </w:tcPr>
          <w:p w14:paraId="3A00F413">
            <w:pPr>
              <w:pStyle w:val="45"/>
              <w:rPr>
                <w:rFonts w:hint="default"/>
                <w:b/>
                <w:bCs/>
              </w:rPr>
            </w:pPr>
            <w:r>
              <w:rPr>
                <w:b/>
                <w:bCs/>
              </w:rPr>
              <w:t>高峰浓度值</w:t>
            </w:r>
            <w:r>
              <w:rPr>
                <w:rFonts w:hint="default"/>
                <w:b/>
                <w:bCs/>
              </w:rPr>
              <w:t>mg/m</w:t>
            </w:r>
            <w:r>
              <w:rPr>
                <w:rFonts w:hint="default"/>
                <w:b/>
                <w:bCs/>
                <w:vertAlign w:val="superscript"/>
              </w:rPr>
              <w:t>3</w:t>
            </w:r>
          </w:p>
        </w:tc>
      </w:tr>
      <w:tr w14:paraId="09566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blHeader/>
        </w:trPr>
        <w:tc>
          <w:tcPr>
            <w:tcW w:w="1665" w:type="pct"/>
            <w:vMerge w:val="continue"/>
            <w:shd w:val="clear" w:color="auto" w:fill="auto"/>
            <w:vAlign w:val="center"/>
          </w:tcPr>
          <w:p w14:paraId="0ED65BBF">
            <w:pPr>
              <w:pStyle w:val="45"/>
              <w:rPr>
                <w:rFonts w:hint="default"/>
                <w:b/>
                <w:bCs/>
              </w:rPr>
            </w:pPr>
          </w:p>
        </w:tc>
        <w:tc>
          <w:tcPr>
            <w:tcW w:w="3334" w:type="pct"/>
            <w:gridSpan w:val="2"/>
            <w:shd w:val="clear" w:color="auto" w:fill="auto"/>
            <w:vAlign w:val="center"/>
          </w:tcPr>
          <w:p w14:paraId="712D971F">
            <w:pPr>
              <w:pStyle w:val="45"/>
              <w:rPr>
                <w:rFonts w:hint="default"/>
                <w:b/>
                <w:bCs/>
              </w:rPr>
            </w:pPr>
            <w:r>
              <w:rPr>
                <w:b/>
                <w:bCs/>
              </w:rPr>
              <w:t>盐酸</w:t>
            </w:r>
          </w:p>
        </w:tc>
      </w:tr>
      <w:tr w14:paraId="3C2C6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1665" w:type="pct"/>
            <w:vMerge w:val="continue"/>
            <w:shd w:val="clear" w:color="auto" w:fill="auto"/>
            <w:vAlign w:val="center"/>
          </w:tcPr>
          <w:p w14:paraId="35FE8AA5">
            <w:pPr>
              <w:pStyle w:val="45"/>
              <w:rPr>
                <w:rFonts w:hint="default"/>
                <w:b/>
                <w:bCs/>
              </w:rPr>
            </w:pPr>
          </w:p>
        </w:tc>
        <w:tc>
          <w:tcPr>
            <w:tcW w:w="1665" w:type="pct"/>
            <w:shd w:val="clear" w:color="auto" w:fill="auto"/>
            <w:vAlign w:val="center"/>
          </w:tcPr>
          <w:p w14:paraId="3E545838">
            <w:pPr>
              <w:pStyle w:val="45"/>
              <w:rPr>
                <w:rFonts w:hint="default"/>
                <w:b/>
                <w:bCs/>
              </w:rPr>
            </w:pPr>
            <w:r>
              <w:rPr>
                <w:b/>
                <w:bCs/>
              </w:rPr>
              <w:t>最不利气象</w:t>
            </w:r>
          </w:p>
        </w:tc>
        <w:tc>
          <w:tcPr>
            <w:tcW w:w="1668" w:type="pct"/>
            <w:shd w:val="clear" w:color="auto" w:fill="auto"/>
            <w:vAlign w:val="center"/>
          </w:tcPr>
          <w:p w14:paraId="609BFD6C">
            <w:pPr>
              <w:pStyle w:val="45"/>
              <w:rPr>
                <w:rFonts w:hint="default"/>
                <w:b/>
                <w:bCs/>
              </w:rPr>
            </w:pPr>
            <w:r>
              <w:rPr>
                <w:b/>
                <w:bCs/>
              </w:rPr>
              <w:t>常见气象</w:t>
            </w:r>
          </w:p>
        </w:tc>
      </w:tr>
      <w:tr w14:paraId="3BC5D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662CDBC7">
            <w:pPr>
              <w:pStyle w:val="45"/>
              <w:rPr>
                <w:rFonts w:hint="default"/>
              </w:rPr>
            </w:pPr>
            <w:r>
              <w:t xml:space="preserve">10.00 </w:t>
            </w:r>
          </w:p>
        </w:tc>
        <w:tc>
          <w:tcPr>
            <w:tcW w:w="2838" w:type="dxa"/>
            <w:shd w:val="clear" w:color="auto" w:fill="auto"/>
            <w:noWrap/>
            <w:vAlign w:val="center"/>
          </w:tcPr>
          <w:p w14:paraId="14FA21C4">
            <w:pPr>
              <w:pStyle w:val="45"/>
              <w:rPr>
                <w:rFonts w:hint="default"/>
              </w:rPr>
            </w:pPr>
            <w:r>
              <w:t xml:space="preserve">516.64 </w:t>
            </w:r>
          </w:p>
        </w:tc>
        <w:tc>
          <w:tcPr>
            <w:tcW w:w="2845" w:type="dxa"/>
            <w:shd w:val="clear" w:color="auto" w:fill="auto"/>
            <w:noWrap/>
            <w:vAlign w:val="center"/>
          </w:tcPr>
          <w:p w14:paraId="3188E853">
            <w:pPr>
              <w:pStyle w:val="45"/>
              <w:rPr>
                <w:rFonts w:hint="default"/>
              </w:rPr>
            </w:pPr>
            <w:r>
              <w:t xml:space="preserve">82.55 </w:t>
            </w:r>
          </w:p>
        </w:tc>
      </w:tr>
      <w:tr w14:paraId="2FA8F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53D3F93E">
            <w:pPr>
              <w:pStyle w:val="45"/>
              <w:rPr>
                <w:rFonts w:hint="default"/>
              </w:rPr>
            </w:pPr>
            <w:r>
              <w:t xml:space="preserve">110.00 </w:t>
            </w:r>
          </w:p>
        </w:tc>
        <w:tc>
          <w:tcPr>
            <w:tcW w:w="2838" w:type="dxa"/>
            <w:shd w:val="clear" w:color="auto" w:fill="auto"/>
            <w:noWrap/>
            <w:vAlign w:val="center"/>
          </w:tcPr>
          <w:p w14:paraId="22202F3E">
            <w:pPr>
              <w:pStyle w:val="45"/>
              <w:rPr>
                <w:rFonts w:hint="default"/>
              </w:rPr>
            </w:pPr>
            <w:r>
              <w:t xml:space="preserve">134.43 </w:t>
            </w:r>
          </w:p>
        </w:tc>
        <w:tc>
          <w:tcPr>
            <w:tcW w:w="2845" w:type="dxa"/>
            <w:shd w:val="clear" w:color="auto" w:fill="auto"/>
            <w:noWrap/>
            <w:vAlign w:val="center"/>
          </w:tcPr>
          <w:p w14:paraId="2CC0EB1F">
            <w:pPr>
              <w:pStyle w:val="45"/>
              <w:rPr>
                <w:rFonts w:hint="default"/>
              </w:rPr>
            </w:pPr>
            <w:r>
              <w:t xml:space="preserve">5.43 </w:t>
            </w:r>
          </w:p>
        </w:tc>
      </w:tr>
      <w:tr w14:paraId="4ED96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775599CD">
            <w:pPr>
              <w:pStyle w:val="45"/>
              <w:rPr>
                <w:rFonts w:hint="default"/>
              </w:rPr>
            </w:pPr>
            <w:r>
              <w:t xml:space="preserve">210.00 </w:t>
            </w:r>
          </w:p>
        </w:tc>
        <w:tc>
          <w:tcPr>
            <w:tcW w:w="2838" w:type="dxa"/>
            <w:shd w:val="clear" w:color="auto" w:fill="auto"/>
            <w:noWrap/>
            <w:vAlign w:val="center"/>
          </w:tcPr>
          <w:p w14:paraId="578E1125">
            <w:pPr>
              <w:pStyle w:val="45"/>
              <w:rPr>
                <w:rFonts w:hint="default"/>
              </w:rPr>
            </w:pPr>
            <w:r>
              <w:t xml:space="preserve">64.10 </w:t>
            </w:r>
          </w:p>
        </w:tc>
        <w:tc>
          <w:tcPr>
            <w:tcW w:w="2845" w:type="dxa"/>
            <w:shd w:val="clear" w:color="auto" w:fill="auto"/>
            <w:noWrap/>
            <w:vAlign w:val="center"/>
          </w:tcPr>
          <w:p w14:paraId="1114149E">
            <w:pPr>
              <w:pStyle w:val="45"/>
              <w:rPr>
                <w:rFonts w:hint="default"/>
              </w:rPr>
            </w:pPr>
            <w:r>
              <w:t xml:space="preserve">1.86 </w:t>
            </w:r>
          </w:p>
        </w:tc>
      </w:tr>
      <w:tr w14:paraId="2B0BB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54C96578">
            <w:pPr>
              <w:pStyle w:val="45"/>
              <w:rPr>
                <w:rFonts w:hint="default"/>
              </w:rPr>
            </w:pPr>
            <w:r>
              <w:t xml:space="preserve">310.00 </w:t>
            </w:r>
          </w:p>
        </w:tc>
        <w:tc>
          <w:tcPr>
            <w:tcW w:w="2838" w:type="dxa"/>
            <w:shd w:val="clear" w:color="auto" w:fill="auto"/>
            <w:noWrap/>
            <w:vAlign w:val="center"/>
          </w:tcPr>
          <w:p w14:paraId="5ED9D00F">
            <w:pPr>
              <w:pStyle w:val="45"/>
              <w:rPr>
                <w:rFonts w:hint="default"/>
              </w:rPr>
            </w:pPr>
            <w:r>
              <w:t xml:space="preserve">38.34 </w:t>
            </w:r>
          </w:p>
        </w:tc>
        <w:tc>
          <w:tcPr>
            <w:tcW w:w="2845" w:type="dxa"/>
            <w:shd w:val="clear" w:color="auto" w:fill="auto"/>
            <w:noWrap/>
            <w:vAlign w:val="center"/>
          </w:tcPr>
          <w:p w14:paraId="23A68CE2">
            <w:pPr>
              <w:pStyle w:val="45"/>
              <w:rPr>
                <w:rFonts w:hint="default"/>
              </w:rPr>
            </w:pPr>
            <w:r>
              <w:t xml:space="preserve">0.95 </w:t>
            </w:r>
          </w:p>
        </w:tc>
      </w:tr>
      <w:tr w14:paraId="305F2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7E85ADAE">
            <w:pPr>
              <w:pStyle w:val="45"/>
              <w:rPr>
                <w:rFonts w:hint="default"/>
              </w:rPr>
            </w:pPr>
            <w:r>
              <w:t xml:space="preserve">410.00 </w:t>
            </w:r>
          </w:p>
        </w:tc>
        <w:tc>
          <w:tcPr>
            <w:tcW w:w="2838" w:type="dxa"/>
            <w:shd w:val="clear" w:color="auto" w:fill="auto"/>
            <w:noWrap/>
            <w:vAlign w:val="center"/>
          </w:tcPr>
          <w:p w14:paraId="135DE184">
            <w:pPr>
              <w:pStyle w:val="45"/>
              <w:rPr>
                <w:rFonts w:hint="default"/>
              </w:rPr>
            </w:pPr>
            <w:r>
              <w:t xml:space="preserve">26.00 </w:t>
            </w:r>
          </w:p>
        </w:tc>
        <w:tc>
          <w:tcPr>
            <w:tcW w:w="2845" w:type="dxa"/>
            <w:shd w:val="clear" w:color="auto" w:fill="auto"/>
            <w:noWrap/>
            <w:vAlign w:val="center"/>
          </w:tcPr>
          <w:p w14:paraId="2B7BB394">
            <w:pPr>
              <w:pStyle w:val="45"/>
              <w:rPr>
                <w:rFonts w:hint="default"/>
              </w:rPr>
            </w:pPr>
            <w:r>
              <w:t xml:space="preserve">0.58 </w:t>
            </w:r>
          </w:p>
        </w:tc>
      </w:tr>
      <w:tr w14:paraId="2DCB6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1D8A10EA">
            <w:pPr>
              <w:pStyle w:val="45"/>
              <w:rPr>
                <w:rFonts w:hint="default"/>
              </w:rPr>
            </w:pPr>
            <w:r>
              <w:t xml:space="preserve">510.00 </w:t>
            </w:r>
          </w:p>
        </w:tc>
        <w:tc>
          <w:tcPr>
            <w:tcW w:w="2838" w:type="dxa"/>
            <w:shd w:val="clear" w:color="auto" w:fill="auto"/>
            <w:noWrap/>
            <w:vAlign w:val="center"/>
          </w:tcPr>
          <w:p w14:paraId="5813A608">
            <w:pPr>
              <w:pStyle w:val="45"/>
              <w:rPr>
                <w:rFonts w:hint="default"/>
              </w:rPr>
            </w:pPr>
            <w:r>
              <w:t xml:space="preserve">18.83 </w:t>
            </w:r>
          </w:p>
        </w:tc>
        <w:tc>
          <w:tcPr>
            <w:tcW w:w="2845" w:type="dxa"/>
            <w:shd w:val="clear" w:color="auto" w:fill="auto"/>
            <w:noWrap/>
            <w:vAlign w:val="center"/>
          </w:tcPr>
          <w:p w14:paraId="62920354">
            <w:pPr>
              <w:pStyle w:val="45"/>
              <w:rPr>
                <w:rFonts w:hint="default"/>
              </w:rPr>
            </w:pPr>
            <w:r>
              <w:t xml:space="preserve">0.40 </w:t>
            </w:r>
          </w:p>
        </w:tc>
      </w:tr>
      <w:tr w14:paraId="6C40F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06DB4146">
            <w:pPr>
              <w:pStyle w:val="45"/>
              <w:rPr>
                <w:rFonts w:hint="default"/>
              </w:rPr>
            </w:pPr>
            <w:r>
              <w:t xml:space="preserve">610.00 </w:t>
            </w:r>
          </w:p>
        </w:tc>
        <w:tc>
          <w:tcPr>
            <w:tcW w:w="2838" w:type="dxa"/>
            <w:shd w:val="clear" w:color="auto" w:fill="auto"/>
            <w:noWrap/>
            <w:vAlign w:val="center"/>
          </w:tcPr>
          <w:p w14:paraId="1CE0F47C">
            <w:pPr>
              <w:pStyle w:val="45"/>
              <w:rPr>
                <w:rFonts w:hint="default"/>
              </w:rPr>
            </w:pPr>
            <w:r>
              <w:t xml:space="preserve">14.46 </w:t>
            </w:r>
          </w:p>
        </w:tc>
        <w:tc>
          <w:tcPr>
            <w:tcW w:w="2845" w:type="dxa"/>
            <w:shd w:val="clear" w:color="auto" w:fill="auto"/>
            <w:noWrap/>
            <w:vAlign w:val="center"/>
          </w:tcPr>
          <w:p w14:paraId="43985D5A">
            <w:pPr>
              <w:pStyle w:val="45"/>
              <w:rPr>
                <w:rFonts w:hint="default"/>
              </w:rPr>
            </w:pPr>
            <w:r>
              <w:t xml:space="preserve">0.29 </w:t>
            </w:r>
          </w:p>
        </w:tc>
      </w:tr>
      <w:tr w14:paraId="51F7E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01368AFC">
            <w:pPr>
              <w:pStyle w:val="45"/>
              <w:rPr>
                <w:rFonts w:hint="default"/>
              </w:rPr>
            </w:pPr>
            <w:r>
              <w:t xml:space="preserve">710.00 </w:t>
            </w:r>
          </w:p>
        </w:tc>
        <w:tc>
          <w:tcPr>
            <w:tcW w:w="2838" w:type="dxa"/>
            <w:shd w:val="clear" w:color="auto" w:fill="auto"/>
            <w:noWrap/>
            <w:vAlign w:val="center"/>
          </w:tcPr>
          <w:p w14:paraId="5DFA2ADF">
            <w:pPr>
              <w:pStyle w:val="45"/>
              <w:rPr>
                <w:rFonts w:hint="default"/>
              </w:rPr>
            </w:pPr>
            <w:r>
              <w:t xml:space="preserve">11.47 </w:t>
            </w:r>
          </w:p>
        </w:tc>
        <w:tc>
          <w:tcPr>
            <w:tcW w:w="2845" w:type="dxa"/>
            <w:shd w:val="clear" w:color="auto" w:fill="auto"/>
            <w:noWrap/>
            <w:vAlign w:val="center"/>
          </w:tcPr>
          <w:p w14:paraId="050EB187">
            <w:pPr>
              <w:pStyle w:val="45"/>
              <w:rPr>
                <w:rFonts w:hint="default"/>
              </w:rPr>
            </w:pPr>
            <w:r>
              <w:t xml:space="preserve">0.22 </w:t>
            </w:r>
          </w:p>
        </w:tc>
      </w:tr>
      <w:tr w14:paraId="22FEC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729F832C">
            <w:pPr>
              <w:pStyle w:val="45"/>
              <w:rPr>
                <w:rFonts w:hint="default"/>
              </w:rPr>
            </w:pPr>
            <w:r>
              <w:t xml:space="preserve">810.00 </w:t>
            </w:r>
          </w:p>
        </w:tc>
        <w:tc>
          <w:tcPr>
            <w:tcW w:w="2838" w:type="dxa"/>
            <w:shd w:val="clear" w:color="auto" w:fill="auto"/>
            <w:noWrap/>
            <w:vAlign w:val="center"/>
          </w:tcPr>
          <w:p w14:paraId="399D5CB6">
            <w:pPr>
              <w:pStyle w:val="45"/>
              <w:rPr>
                <w:rFonts w:hint="default"/>
              </w:rPr>
            </w:pPr>
            <w:r>
              <w:t xml:space="preserve">9.63 </w:t>
            </w:r>
          </w:p>
        </w:tc>
        <w:tc>
          <w:tcPr>
            <w:tcW w:w="2845" w:type="dxa"/>
            <w:shd w:val="clear" w:color="auto" w:fill="auto"/>
            <w:noWrap/>
            <w:vAlign w:val="center"/>
          </w:tcPr>
          <w:p w14:paraId="25B14567">
            <w:pPr>
              <w:pStyle w:val="45"/>
              <w:rPr>
                <w:rFonts w:hint="default"/>
              </w:rPr>
            </w:pPr>
            <w:r>
              <w:t xml:space="preserve">0.17 </w:t>
            </w:r>
          </w:p>
        </w:tc>
      </w:tr>
      <w:tr w14:paraId="60539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37D60406">
            <w:pPr>
              <w:pStyle w:val="45"/>
              <w:rPr>
                <w:rFonts w:hint="default"/>
              </w:rPr>
            </w:pPr>
            <w:r>
              <w:t xml:space="preserve">910.00 </w:t>
            </w:r>
          </w:p>
        </w:tc>
        <w:tc>
          <w:tcPr>
            <w:tcW w:w="2838" w:type="dxa"/>
            <w:shd w:val="clear" w:color="auto" w:fill="auto"/>
            <w:noWrap/>
            <w:vAlign w:val="center"/>
          </w:tcPr>
          <w:p w14:paraId="77F5FA25">
            <w:pPr>
              <w:pStyle w:val="45"/>
              <w:rPr>
                <w:rFonts w:hint="default"/>
              </w:rPr>
            </w:pPr>
            <w:r>
              <w:t xml:space="preserve">8.06 </w:t>
            </w:r>
          </w:p>
        </w:tc>
        <w:tc>
          <w:tcPr>
            <w:tcW w:w="2845" w:type="dxa"/>
            <w:shd w:val="clear" w:color="auto" w:fill="auto"/>
            <w:noWrap/>
            <w:vAlign w:val="center"/>
          </w:tcPr>
          <w:p w14:paraId="54368FDF">
            <w:pPr>
              <w:pStyle w:val="45"/>
              <w:rPr>
                <w:rFonts w:hint="default"/>
              </w:rPr>
            </w:pPr>
            <w:r>
              <w:t xml:space="preserve">0.14 </w:t>
            </w:r>
          </w:p>
        </w:tc>
      </w:tr>
      <w:tr w14:paraId="69789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555B10FF">
            <w:pPr>
              <w:pStyle w:val="45"/>
              <w:rPr>
                <w:rFonts w:hint="default"/>
              </w:rPr>
            </w:pPr>
            <w:r>
              <w:t xml:space="preserve">1010.00 </w:t>
            </w:r>
          </w:p>
        </w:tc>
        <w:tc>
          <w:tcPr>
            <w:tcW w:w="2838" w:type="dxa"/>
            <w:shd w:val="clear" w:color="auto" w:fill="auto"/>
            <w:noWrap/>
            <w:vAlign w:val="center"/>
          </w:tcPr>
          <w:p w14:paraId="3F3F0EE1">
            <w:pPr>
              <w:pStyle w:val="45"/>
              <w:rPr>
                <w:rFonts w:hint="default"/>
              </w:rPr>
            </w:pPr>
            <w:r>
              <w:t xml:space="preserve">6.80 </w:t>
            </w:r>
          </w:p>
        </w:tc>
        <w:tc>
          <w:tcPr>
            <w:tcW w:w="2845" w:type="dxa"/>
            <w:shd w:val="clear" w:color="auto" w:fill="auto"/>
            <w:noWrap/>
            <w:vAlign w:val="center"/>
          </w:tcPr>
          <w:p w14:paraId="2EFF3016">
            <w:pPr>
              <w:pStyle w:val="45"/>
              <w:rPr>
                <w:rFonts w:hint="default"/>
              </w:rPr>
            </w:pPr>
            <w:r>
              <w:t xml:space="preserve">0.12 </w:t>
            </w:r>
          </w:p>
        </w:tc>
      </w:tr>
      <w:tr w14:paraId="54F7D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6094A390">
            <w:pPr>
              <w:pStyle w:val="45"/>
              <w:rPr>
                <w:rFonts w:hint="default"/>
              </w:rPr>
            </w:pPr>
            <w:r>
              <w:t xml:space="preserve">1110.00 </w:t>
            </w:r>
          </w:p>
        </w:tc>
        <w:tc>
          <w:tcPr>
            <w:tcW w:w="2838" w:type="dxa"/>
            <w:shd w:val="clear" w:color="auto" w:fill="auto"/>
            <w:noWrap/>
            <w:vAlign w:val="center"/>
          </w:tcPr>
          <w:p w14:paraId="21411E03">
            <w:pPr>
              <w:pStyle w:val="45"/>
              <w:rPr>
                <w:rFonts w:hint="default"/>
              </w:rPr>
            </w:pPr>
            <w:r>
              <w:t xml:space="preserve">5.81 </w:t>
            </w:r>
          </w:p>
        </w:tc>
        <w:tc>
          <w:tcPr>
            <w:tcW w:w="2845" w:type="dxa"/>
            <w:shd w:val="clear" w:color="auto" w:fill="auto"/>
            <w:noWrap/>
            <w:vAlign w:val="center"/>
          </w:tcPr>
          <w:p w14:paraId="57D5D22E">
            <w:pPr>
              <w:pStyle w:val="45"/>
              <w:rPr>
                <w:rFonts w:hint="default"/>
              </w:rPr>
            </w:pPr>
            <w:r>
              <w:t xml:space="preserve">0.10 </w:t>
            </w:r>
          </w:p>
        </w:tc>
      </w:tr>
      <w:tr w14:paraId="042F1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72DF0E0A">
            <w:pPr>
              <w:pStyle w:val="45"/>
              <w:rPr>
                <w:rFonts w:hint="default"/>
              </w:rPr>
            </w:pPr>
            <w:r>
              <w:t xml:space="preserve">1210.00 </w:t>
            </w:r>
          </w:p>
        </w:tc>
        <w:tc>
          <w:tcPr>
            <w:tcW w:w="2838" w:type="dxa"/>
            <w:shd w:val="clear" w:color="auto" w:fill="auto"/>
            <w:noWrap/>
            <w:vAlign w:val="center"/>
          </w:tcPr>
          <w:p w14:paraId="07C5A4E7">
            <w:pPr>
              <w:pStyle w:val="45"/>
              <w:rPr>
                <w:rFonts w:hint="default"/>
              </w:rPr>
            </w:pPr>
            <w:r>
              <w:t xml:space="preserve">5.00 </w:t>
            </w:r>
          </w:p>
        </w:tc>
        <w:tc>
          <w:tcPr>
            <w:tcW w:w="2845" w:type="dxa"/>
            <w:shd w:val="clear" w:color="auto" w:fill="auto"/>
            <w:noWrap/>
            <w:vAlign w:val="center"/>
          </w:tcPr>
          <w:p w14:paraId="62E8C7DA">
            <w:pPr>
              <w:pStyle w:val="45"/>
              <w:rPr>
                <w:rFonts w:hint="default"/>
              </w:rPr>
            </w:pPr>
            <w:r>
              <w:t xml:space="preserve">0.09 </w:t>
            </w:r>
          </w:p>
        </w:tc>
      </w:tr>
      <w:tr w14:paraId="7EB27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5F534046">
            <w:pPr>
              <w:pStyle w:val="45"/>
              <w:rPr>
                <w:rFonts w:hint="default"/>
              </w:rPr>
            </w:pPr>
            <w:r>
              <w:t xml:space="preserve">1310.00 </w:t>
            </w:r>
          </w:p>
        </w:tc>
        <w:tc>
          <w:tcPr>
            <w:tcW w:w="2838" w:type="dxa"/>
            <w:shd w:val="clear" w:color="auto" w:fill="auto"/>
            <w:noWrap/>
            <w:vAlign w:val="center"/>
          </w:tcPr>
          <w:p w14:paraId="7A3D3043">
            <w:pPr>
              <w:pStyle w:val="45"/>
              <w:rPr>
                <w:rFonts w:hint="default"/>
              </w:rPr>
            </w:pPr>
            <w:r>
              <w:t xml:space="preserve">4.35 </w:t>
            </w:r>
          </w:p>
        </w:tc>
        <w:tc>
          <w:tcPr>
            <w:tcW w:w="2845" w:type="dxa"/>
            <w:shd w:val="clear" w:color="auto" w:fill="auto"/>
            <w:noWrap/>
            <w:vAlign w:val="center"/>
          </w:tcPr>
          <w:p w14:paraId="05D3A25D">
            <w:pPr>
              <w:pStyle w:val="45"/>
              <w:rPr>
                <w:rFonts w:hint="default"/>
              </w:rPr>
            </w:pPr>
            <w:r>
              <w:t xml:space="preserve">0.07 </w:t>
            </w:r>
          </w:p>
        </w:tc>
      </w:tr>
      <w:tr w14:paraId="6B5A8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2BDB8B53">
            <w:pPr>
              <w:pStyle w:val="45"/>
              <w:rPr>
                <w:rFonts w:hint="default"/>
              </w:rPr>
            </w:pPr>
            <w:r>
              <w:t xml:space="preserve">1410.00 </w:t>
            </w:r>
          </w:p>
        </w:tc>
        <w:tc>
          <w:tcPr>
            <w:tcW w:w="2838" w:type="dxa"/>
            <w:shd w:val="clear" w:color="auto" w:fill="auto"/>
            <w:noWrap/>
            <w:vAlign w:val="center"/>
          </w:tcPr>
          <w:p w14:paraId="29735C26">
            <w:pPr>
              <w:pStyle w:val="45"/>
              <w:rPr>
                <w:rFonts w:hint="default"/>
              </w:rPr>
            </w:pPr>
            <w:r>
              <w:t xml:space="preserve">3.82 </w:t>
            </w:r>
          </w:p>
        </w:tc>
        <w:tc>
          <w:tcPr>
            <w:tcW w:w="2845" w:type="dxa"/>
            <w:shd w:val="clear" w:color="auto" w:fill="auto"/>
            <w:noWrap/>
            <w:vAlign w:val="center"/>
          </w:tcPr>
          <w:p w14:paraId="7DAFF649">
            <w:pPr>
              <w:pStyle w:val="45"/>
              <w:rPr>
                <w:rFonts w:hint="default"/>
              </w:rPr>
            </w:pPr>
            <w:r>
              <w:t xml:space="preserve">0.00 </w:t>
            </w:r>
          </w:p>
        </w:tc>
      </w:tr>
      <w:tr w14:paraId="6D33D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64E094A2">
            <w:pPr>
              <w:pStyle w:val="45"/>
              <w:rPr>
                <w:rFonts w:hint="default"/>
              </w:rPr>
            </w:pPr>
            <w:r>
              <w:t xml:space="preserve">1510.00 </w:t>
            </w:r>
          </w:p>
        </w:tc>
        <w:tc>
          <w:tcPr>
            <w:tcW w:w="2838" w:type="dxa"/>
            <w:shd w:val="clear" w:color="auto" w:fill="auto"/>
            <w:noWrap/>
            <w:vAlign w:val="center"/>
          </w:tcPr>
          <w:p w14:paraId="53626E2F">
            <w:pPr>
              <w:pStyle w:val="45"/>
              <w:rPr>
                <w:rFonts w:hint="default"/>
              </w:rPr>
            </w:pPr>
            <w:r>
              <w:t xml:space="preserve">3.37 </w:t>
            </w:r>
          </w:p>
        </w:tc>
        <w:tc>
          <w:tcPr>
            <w:tcW w:w="2845" w:type="dxa"/>
            <w:shd w:val="clear" w:color="auto" w:fill="auto"/>
            <w:noWrap/>
            <w:vAlign w:val="center"/>
          </w:tcPr>
          <w:p w14:paraId="7DF510CB">
            <w:pPr>
              <w:pStyle w:val="45"/>
              <w:rPr>
                <w:rFonts w:hint="default"/>
              </w:rPr>
            </w:pPr>
            <w:r>
              <w:t xml:space="preserve">0.00 </w:t>
            </w:r>
          </w:p>
        </w:tc>
      </w:tr>
      <w:tr w14:paraId="26022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076C8024">
            <w:pPr>
              <w:pStyle w:val="45"/>
              <w:rPr>
                <w:rFonts w:hint="default"/>
              </w:rPr>
            </w:pPr>
            <w:r>
              <w:t xml:space="preserve">1610.00 </w:t>
            </w:r>
          </w:p>
        </w:tc>
        <w:tc>
          <w:tcPr>
            <w:tcW w:w="2838" w:type="dxa"/>
            <w:shd w:val="clear" w:color="auto" w:fill="auto"/>
            <w:noWrap/>
            <w:vAlign w:val="center"/>
          </w:tcPr>
          <w:p w14:paraId="7BD52A56">
            <w:pPr>
              <w:pStyle w:val="45"/>
              <w:rPr>
                <w:rFonts w:hint="default"/>
              </w:rPr>
            </w:pPr>
            <w:r>
              <w:t xml:space="preserve">3.00 </w:t>
            </w:r>
          </w:p>
        </w:tc>
        <w:tc>
          <w:tcPr>
            <w:tcW w:w="2845" w:type="dxa"/>
            <w:shd w:val="clear" w:color="auto" w:fill="auto"/>
            <w:noWrap/>
            <w:vAlign w:val="center"/>
          </w:tcPr>
          <w:p w14:paraId="74B61F2E">
            <w:pPr>
              <w:pStyle w:val="45"/>
              <w:rPr>
                <w:rFonts w:hint="default"/>
              </w:rPr>
            </w:pPr>
            <w:r>
              <w:t xml:space="preserve">0.00 </w:t>
            </w:r>
          </w:p>
        </w:tc>
      </w:tr>
      <w:tr w14:paraId="2CB7D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7E465613">
            <w:pPr>
              <w:pStyle w:val="45"/>
              <w:rPr>
                <w:rFonts w:hint="default"/>
              </w:rPr>
            </w:pPr>
            <w:r>
              <w:t xml:space="preserve">1710.00 </w:t>
            </w:r>
          </w:p>
        </w:tc>
        <w:tc>
          <w:tcPr>
            <w:tcW w:w="2838" w:type="dxa"/>
            <w:shd w:val="clear" w:color="auto" w:fill="auto"/>
            <w:noWrap/>
            <w:vAlign w:val="center"/>
          </w:tcPr>
          <w:p w14:paraId="254F6F95">
            <w:pPr>
              <w:pStyle w:val="45"/>
              <w:rPr>
                <w:rFonts w:hint="default"/>
              </w:rPr>
            </w:pPr>
            <w:r>
              <w:t xml:space="preserve">2.69 </w:t>
            </w:r>
          </w:p>
        </w:tc>
        <w:tc>
          <w:tcPr>
            <w:tcW w:w="2845" w:type="dxa"/>
            <w:shd w:val="clear" w:color="auto" w:fill="auto"/>
            <w:noWrap/>
            <w:vAlign w:val="center"/>
          </w:tcPr>
          <w:p w14:paraId="69B29804">
            <w:pPr>
              <w:pStyle w:val="45"/>
              <w:rPr>
                <w:rFonts w:hint="default"/>
              </w:rPr>
            </w:pPr>
            <w:r>
              <w:t xml:space="preserve">0.00 </w:t>
            </w:r>
          </w:p>
        </w:tc>
      </w:tr>
      <w:tr w14:paraId="36A95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7B74F226">
            <w:pPr>
              <w:pStyle w:val="45"/>
              <w:rPr>
                <w:rFonts w:hint="default"/>
              </w:rPr>
            </w:pPr>
            <w:r>
              <w:t xml:space="preserve">1810.00 </w:t>
            </w:r>
          </w:p>
        </w:tc>
        <w:tc>
          <w:tcPr>
            <w:tcW w:w="2838" w:type="dxa"/>
            <w:shd w:val="clear" w:color="auto" w:fill="auto"/>
            <w:noWrap/>
            <w:vAlign w:val="center"/>
          </w:tcPr>
          <w:p w14:paraId="5529EF48">
            <w:pPr>
              <w:pStyle w:val="45"/>
              <w:rPr>
                <w:rFonts w:hint="default"/>
              </w:rPr>
            </w:pPr>
            <w:r>
              <w:t xml:space="preserve">2.42 </w:t>
            </w:r>
          </w:p>
        </w:tc>
        <w:tc>
          <w:tcPr>
            <w:tcW w:w="2845" w:type="dxa"/>
            <w:shd w:val="clear" w:color="auto" w:fill="auto"/>
            <w:noWrap/>
            <w:vAlign w:val="center"/>
          </w:tcPr>
          <w:p w14:paraId="231CB8E7">
            <w:pPr>
              <w:pStyle w:val="45"/>
              <w:rPr>
                <w:rFonts w:hint="default"/>
              </w:rPr>
            </w:pPr>
            <w:r>
              <w:t xml:space="preserve">0.00 </w:t>
            </w:r>
          </w:p>
        </w:tc>
      </w:tr>
      <w:tr w14:paraId="70197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51E0F495">
            <w:pPr>
              <w:pStyle w:val="45"/>
              <w:rPr>
                <w:rFonts w:hint="default"/>
              </w:rPr>
            </w:pPr>
            <w:r>
              <w:t xml:space="preserve">1910.00 </w:t>
            </w:r>
          </w:p>
        </w:tc>
        <w:tc>
          <w:tcPr>
            <w:tcW w:w="2838" w:type="dxa"/>
            <w:shd w:val="clear" w:color="auto" w:fill="auto"/>
            <w:noWrap/>
            <w:vAlign w:val="center"/>
          </w:tcPr>
          <w:p w14:paraId="5205A364">
            <w:pPr>
              <w:pStyle w:val="45"/>
              <w:rPr>
                <w:rFonts w:hint="default"/>
              </w:rPr>
            </w:pPr>
            <w:r>
              <w:t xml:space="preserve">2.19 </w:t>
            </w:r>
          </w:p>
        </w:tc>
        <w:tc>
          <w:tcPr>
            <w:tcW w:w="2845" w:type="dxa"/>
            <w:shd w:val="clear" w:color="auto" w:fill="auto"/>
            <w:noWrap/>
            <w:vAlign w:val="center"/>
          </w:tcPr>
          <w:p w14:paraId="132F4427">
            <w:pPr>
              <w:pStyle w:val="45"/>
              <w:rPr>
                <w:rFonts w:hint="default"/>
              </w:rPr>
            </w:pPr>
            <w:r>
              <w:t xml:space="preserve">0.00 </w:t>
            </w:r>
          </w:p>
        </w:tc>
      </w:tr>
      <w:tr w14:paraId="45983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6300B1A6">
            <w:pPr>
              <w:pStyle w:val="45"/>
              <w:rPr>
                <w:rFonts w:hint="default"/>
              </w:rPr>
            </w:pPr>
            <w:r>
              <w:t xml:space="preserve">2010.00 </w:t>
            </w:r>
          </w:p>
        </w:tc>
        <w:tc>
          <w:tcPr>
            <w:tcW w:w="2838" w:type="dxa"/>
            <w:shd w:val="clear" w:color="auto" w:fill="auto"/>
            <w:noWrap/>
            <w:vAlign w:val="center"/>
          </w:tcPr>
          <w:p w14:paraId="6E0D5BF5">
            <w:pPr>
              <w:pStyle w:val="45"/>
              <w:rPr>
                <w:rFonts w:hint="default"/>
              </w:rPr>
            </w:pPr>
            <w:r>
              <w:t xml:space="preserve">1.99 </w:t>
            </w:r>
          </w:p>
        </w:tc>
        <w:tc>
          <w:tcPr>
            <w:tcW w:w="2845" w:type="dxa"/>
            <w:shd w:val="clear" w:color="auto" w:fill="auto"/>
            <w:noWrap/>
            <w:vAlign w:val="center"/>
          </w:tcPr>
          <w:p w14:paraId="40ED2F19">
            <w:pPr>
              <w:pStyle w:val="45"/>
              <w:rPr>
                <w:rFonts w:hint="default"/>
              </w:rPr>
            </w:pPr>
            <w:r>
              <w:t xml:space="preserve">0.00 </w:t>
            </w:r>
          </w:p>
        </w:tc>
      </w:tr>
      <w:tr w14:paraId="567FD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3B2FD805">
            <w:pPr>
              <w:pStyle w:val="45"/>
              <w:rPr>
                <w:rFonts w:hint="default"/>
              </w:rPr>
            </w:pPr>
            <w:r>
              <w:t xml:space="preserve">2110.00 </w:t>
            </w:r>
          </w:p>
        </w:tc>
        <w:tc>
          <w:tcPr>
            <w:tcW w:w="2838" w:type="dxa"/>
            <w:shd w:val="clear" w:color="auto" w:fill="auto"/>
            <w:noWrap/>
            <w:vAlign w:val="center"/>
          </w:tcPr>
          <w:p w14:paraId="697868FE">
            <w:pPr>
              <w:pStyle w:val="45"/>
              <w:rPr>
                <w:rFonts w:hint="default"/>
              </w:rPr>
            </w:pPr>
            <w:r>
              <w:t xml:space="preserve">1.82 </w:t>
            </w:r>
          </w:p>
        </w:tc>
        <w:tc>
          <w:tcPr>
            <w:tcW w:w="2845" w:type="dxa"/>
            <w:shd w:val="clear" w:color="auto" w:fill="auto"/>
            <w:noWrap/>
            <w:vAlign w:val="center"/>
          </w:tcPr>
          <w:p w14:paraId="5DF81B8C">
            <w:pPr>
              <w:pStyle w:val="45"/>
              <w:rPr>
                <w:rFonts w:hint="default"/>
              </w:rPr>
            </w:pPr>
            <w:r>
              <w:t xml:space="preserve">0.00 </w:t>
            </w:r>
          </w:p>
        </w:tc>
      </w:tr>
      <w:tr w14:paraId="7E6F7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473B544F">
            <w:pPr>
              <w:pStyle w:val="45"/>
              <w:rPr>
                <w:rFonts w:hint="default"/>
              </w:rPr>
            </w:pPr>
            <w:r>
              <w:t xml:space="preserve">2210.00 </w:t>
            </w:r>
          </w:p>
        </w:tc>
        <w:tc>
          <w:tcPr>
            <w:tcW w:w="2838" w:type="dxa"/>
            <w:shd w:val="clear" w:color="auto" w:fill="auto"/>
            <w:noWrap/>
            <w:vAlign w:val="center"/>
          </w:tcPr>
          <w:p w14:paraId="334BEEA7">
            <w:pPr>
              <w:pStyle w:val="45"/>
              <w:rPr>
                <w:rFonts w:hint="default"/>
              </w:rPr>
            </w:pPr>
            <w:r>
              <w:t xml:space="preserve">1.66 </w:t>
            </w:r>
          </w:p>
        </w:tc>
        <w:tc>
          <w:tcPr>
            <w:tcW w:w="2845" w:type="dxa"/>
            <w:shd w:val="clear" w:color="auto" w:fill="auto"/>
            <w:noWrap/>
            <w:vAlign w:val="center"/>
          </w:tcPr>
          <w:p w14:paraId="6FD23638">
            <w:pPr>
              <w:pStyle w:val="45"/>
              <w:rPr>
                <w:rFonts w:hint="default"/>
              </w:rPr>
            </w:pPr>
            <w:r>
              <w:t xml:space="preserve">0.00 </w:t>
            </w:r>
          </w:p>
        </w:tc>
      </w:tr>
      <w:tr w14:paraId="55D01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5803D3CE">
            <w:pPr>
              <w:pStyle w:val="45"/>
              <w:rPr>
                <w:rFonts w:hint="default"/>
              </w:rPr>
            </w:pPr>
            <w:r>
              <w:t xml:space="preserve">2310.00 </w:t>
            </w:r>
          </w:p>
        </w:tc>
        <w:tc>
          <w:tcPr>
            <w:tcW w:w="2838" w:type="dxa"/>
            <w:shd w:val="clear" w:color="auto" w:fill="auto"/>
            <w:noWrap/>
            <w:vAlign w:val="center"/>
          </w:tcPr>
          <w:p w14:paraId="0D1A6A65">
            <w:pPr>
              <w:pStyle w:val="45"/>
              <w:rPr>
                <w:rFonts w:hint="default"/>
              </w:rPr>
            </w:pPr>
            <w:r>
              <w:t xml:space="preserve">1.53 </w:t>
            </w:r>
          </w:p>
        </w:tc>
        <w:tc>
          <w:tcPr>
            <w:tcW w:w="2845" w:type="dxa"/>
            <w:shd w:val="clear" w:color="auto" w:fill="auto"/>
            <w:noWrap/>
            <w:vAlign w:val="center"/>
          </w:tcPr>
          <w:p w14:paraId="590A3C0B">
            <w:pPr>
              <w:pStyle w:val="45"/>
              <w:rPr>
                <w:rFonts w:hint="default"/>
              </w:rPr>
            </w:pPr>
            <w:r>
              <w:t xml:space="preserve">0.00 </w:t>
            </w:r>
          </w:p>
        </w:tc>
      </w:tr>
      <w:tr w14:paraId="3F5C9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4231D5F3">
            <w:pPr>
              <w:pStyle w:val="45"/>
              <w:rPr>
                <w:rFonts w:hint="default"/>
              </w:rPr>
            </w:pPr>
            <w:r>
              <w:t xml:space="preserve">2410.00 </w:t>
            </w:r>
          </w:p>
        </w:tc>
        <w:tc>
          <w:tcPr>
            <w:tcW w:w="2838" w:type="dxa"/>
            <w:shd w:val="clear" w:color="auto" w:fill="auto"/>
            <w:noWrap/>
            <w:vAlign w:val="center"/>
          </w:tcPr>
          <w:p w14:paraId="6997DEA8">
            <w:pPr>
              <w:pStyle w:val="45"/>
              <w:rPr>
                <w:rFonts w:hint="default"/>
              </w:rPr>
            </w:pPr>
            <w:r>
              <w:t xml:space="preserve">1.41 </w:t>
            </w:r>
          </w:p>
        </w:tc>
        <w:tc>
          <w:tcPr>
            <w:tcW w:w="2845" w:type="dxa"/>
            <w:shd w:val="clear" w:color="auto" w:fill="auto"/>
            <w:noWrap/>
            <w:vAlign w:val="center"/>
          </w:tcPr>
          <w:p w14:paraId="4163C991">
            <w:pPr>
              <w:pStyle w:val="45"/>
              <w:rPr>
                <w:rFonts w:hint="default"/>
              </w:rPr>
            </w:pPr>
            <w:r>
              <w:t xml:space="preserve">0.00 </w:t>
            </w:r>
          </w:p>
        </w:tc>
      </w:tr>
      <w:tr w14:paraId="33C4A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141F13EA">
            <w:pPr>
              <w:pStyle w:val="45"/>
              <w:rPr>
                <w:rFonts w:hint="default"/>
              </w:rPr>
            </w:pPr>
            <w:r>
              <w:t xml:space="preserve">2510.00 </w:t>
            </w:r>
          </w:p>
        </w:tc>
        <w:tc>
          <w:tcPr>
            <w:tcW w:w="2838" w:type="dxa"/>
            <w:shd w:val="clear" w:color="auto" w:fill="auto"/>
            <w:noWrap/>
            <w:vAlign w:val="center"/>
          </w:tcPr>
          <w:p w14:paraId="77C23E8D">
            <w:pPr>
              <w:pStyle w:val="45"/>
              <w:rPr>
                <w:rFonts w:hint="default"/>
              </w:rPr>
            </w:pPr>
            <w:r>
              <w:t xml:space="preserve">1.31 </w:t>
            </w:r>
          </w:p>
        </w:tc>
        <w:tc>
          <w:tcPr>
            <w:tcW w:w="2845" w:type="dxa"/>
            <w:shd w:val="clear" w:color="auto" w:fill="auto"/>
            <w:noWrap/>
            <w:vAlign w:val="center"/>
          </w:tcPr>
          <w:p w14:paraId="1A966654">
            <w:pPr>
              <w:pStyle w:val="45"/>
              <w:rPr>
                <w:rFonts w:hint="default"/>
              </w:rPr>
            </w:pPr>
            <w:r>
              <w:t xml:space="preserve">0.00 </w:t>
            </w:r>
          </w:p>
        </w:tc>
      </w:tr>
      <w:tr w14:paraId="14265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5CF39BE1">
            <w:pPr>
              <w:pStyle w:val="45"/>
              <w:rPr>
                <w:rFonts w:hint="default"/>
              </w:rPr>
            </w:pPr>
            <w:r>
              <w:t xml:space="preserve">2610.00 </w:t>
            </w:r>
          </w:p>
        </w:tc>
        <w:tc>
          <w:tcPr>
            <w:tcW w:w="2838" w:type="dxa"/>
            <w:shd w:val="clear" w:color="auto" w:fill="auto"/>
            <w:noWrap/>
            <w:vAlign w:val="center"/>
          </w:tcPr>
          <w:p w14:paraId="0D154289">
            <w:pPr>
              <w:pStyle w:val="45"/>
              <w:rPr>
                <w:rFonts w:hint="default"/>
              </w:rPr>
            </w:pPr>
            <w:r>
              <w:t xml:space="preserve">1.22 </w:t>
            </w:r>
          </w:p>
        </w:tc>
        <w:tc>
          <w:tcPr>
            <w:tcW w:w="2845" w:type="dxa"/>
            <w:shd w:val="clear" w:color="auto" w:fill="auto"/>
            <w:noWrap/>
            <w:vAlign w:val="center"/>
          </w:tcPr>
          <w:p w14:paraId="0CC460E0">
            <w:pPr>
              <w:pStyle w:val="45"/>
              <w:rPr>
                <w:rFonts w:hint="default"/>
              </w:rPr>
            </w:pPr>
            <w:r>
              <w:t xml:space="preserve">0.00 </w:t>
            </w:r>
          </w:p>
        </w:tc>
      </w:tr>
      <w:tr w14:paraId="3A55C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58540476">
            <w:pPr>
              <w:pStyle w:val="45"/>
              <w:rPr>
                <w:rFonts w:hint="default"/>
              </w:rPr>
            </w:pPr>
            <w:r>
              <w:t xml:space="preserve">2710.00 </w:t>
            </w:r>
          </w:p>
        </w:tc>
        <w:tc>
          <w:tcPr>
            <w:tcW w:w="2838" w:type="dxa"/>
            <w:shd w:val="clear" w:color="auto" w:fill="auto"/>
            <w:noWrap/>
            <w:vAlign w:val="center"/>
          </w:tcPr>
          <w:p w14:paraId="4228FAA4">
            <w:pPr>
              <w:pStyle w:val="45"/>
              <w:rPr>
                <w:rFonts w:hint="default"/>
              </w:rPr>
            </w:pPr>
            <w:r>
              <w:t xml:space="preserve">1.13 </w:t>
            </w:r>
          </w:p>
        </w:tc>
        <w:tc>
          <w:tcPr>
            <w:tcW w:w="2845" w:type="dxa"/>
            <w:shd w:val="clear" w:color="auto" w:fill="auto"/>
            <w:noWrap/>
            <w:vAlign w:val="center"/>
          </w:tcPr>
          <w:p w14:paraId="3F44E0DA">
            <w:pPr>
              <w:pStyle w:val="45"/>
              <w:rPr>
                <w:rFonts w:hint="default"/>
              </w:rPr>
            </w:pPr>
            <w:r>
              <w:t xml:space="preserve">0.00 </w:t>
            </w:r>
          </w:p>
        </w:tc>
      </w:tr>
      <w:tr w14:paraId="02548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4A3F32E1">
            <w:pPr>
              <w:pStyle w:val="45"/>
              <w:rPr>
                <w:rFonts w:hint="default"/>
              </w:rPr>
            </w:pPr>
            <w:r>
              <w:t xml:space="preserve">2810.00 </w:t>
            </w:r>
          </w:p>
        </w:tc>
        <w:tc>
          <w:tcPr>
            <w:tcW w:w="2838" w:type="dxa"/>
            <w:shd w:val="clear" w:color="auto" w:fill="auto"/>
            <w:noWrap/>
            <w:vAlign w:val="center"/>
          </w:tcPr>
          <w:p w14:paraId="4B1308C2">
            <w:pPr>
              <w:pStyle w:val="45"/>
              <w:rPr>
                <w:rFonts w:hint="default"/>
              </w:rPr>
            </w:pPr>
            <w:r>
              <w:t xml:space="preserve">1.05 </w:t>
            </w:r>
          </w:p>
        </w:tc>
        <w:tc>
          <w:tcPr>
            <w:tcW w:w="2845" w:type="dxa"/>
            <w:shd w:val="clear" w:color="auto" w:fill="auto"/>
            <w:noWrap/>
            <w:vAlign w:val="center"/>
          </w:tcPr>
          <w:p w14:paraId="1DA66B80">
            <w:pPr>
              <w:pStyle w:val="45"/>
              <w:rPr>
                <w:rFonts w:hint="default"/>
              </w:rPr>
            </w:pPr>
            <w:r>
              <w:t xml:space="preserve">0.00 </w:t>
            </w:r>
          </w:p>
        </w:tc>
      </w:tr>
      <w:tr w14:paraId="79678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246AE79D">
            <w:pPr>
              <w:pStyle w:val="45"/>
              <w:rPr>
                <w:rFonts w:hint="default"/>
              </w:rPr>
            </w:pPr>
            <w:r>
              <w:t xml:space="preserve">2910.00 </w:t>
            </w:r>
          </w:p>
        </w:tc>
        <w:tc>
          <w:tcPr>
            <w:tcW w:w="2838" w:type="dxa"/>
            <w:shd w:val="clear" w:color="auto" w:fill="auto"/>
            <w:noWrap/>
            <w:vAlign w:val="center"/>
          </w:tcPr>
          <w:p w14:paraId="4EAE7D25">
            <w:pPr>
              <w:pStyle w:val="45"/>
              <w:rPr>
                <w:rFonts w:hint="default"/>
              </w:rPr>
            </w:pPr>
            <w:r>
              <w:t xml:space="preserve">0.98 </w:t>
            </w:r>
          </w:p>
        </w:tc>
        <w:tc>
          <w:tcPr>
            <w:tcW w:w="2845" w:type="dxa"/>
            <w:shd w:val="clear" w:color="auto" w:fill="auto"/>
            <w:noWrap/>
            <w:vAlign w:val="center"/>
          </w:tcPr>
          <w:p w14:paraId="66E8BBDF">
            <w:pPr>
              <w:pStyle w:val="45"/>
              <w:rPr>
                <w:rFonts w:hint="default"/>
              </w:rPr>
            </w:pPr>
            <w:r>
              <w:t xml:space="preserve">0.00 </w:t>
            </w:r>
          </w:p>
        </w:tc>
      </w:tr>
      <w:tr w14:paraId="26EA9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1EBA445D">
            <w:pPr>
              <w:pStyle w:val="45"/>
              <w:rPr>
                <w:rFonts w:hint="default"/>
              </w:rPr>
            </w:pPr>
            <w:r>
              <w:t xml:space="preserve">3010.00 </w:t>
            </w:r>
          </w:p>
        </w:tc>
        <w:tc>
          <w:tcPr>
            <w:tcW w:w="2838" w:type="dxa"/>
            <w:shd w:val="clear" w:color="auto" w:fill="auto"/>
            <w:noWrap/>
            <w:vAlign w:val="center"/>
          </w:tcPr>
          <w:p w14:paraId="1502AC85">
            <w:pPr>
              <w:pStyle w:val="45"/>
              <w:rPr>
                <w:rFonts w:hint="default"/>
              </w:rPr>
            </w:pPr>
            <w:r>
              <w:t xml:space="preserve">0.92 </w:t>
            </w:r>
          </w:p>
        </w:tc>
        <w:tc>
          <w:tcPr>
            <w:tcW w:w="2845" w:type="dxa"/>
            <w:shd w:val="clear" w:color="auto" w:fill="auto"/>
            <w:noWrap/>
            <w:vAlign w:val="center"/>
          </w:tcPr>
          <w:p w14:paraId="310E99B0">
            <w:pPr>
              <w:pStyle w:val="45"/>
              <w:rPr>
                <w:rFonts w:hint="default"/>
              </w:rPr>
            </w:pPr>
            <w:r>
              <w:t xml:space="preserve">0.00 </w:t>
            </w:r>
          </w:p>
        </w:tc>
      </w:tr>
      <w:tr w14:paraId="0AE98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5D39C116">
            <w:pPr>
              <w:pStyle w:val="45"/>
              <w:rPr>
                <w:rFonts w:hint="default"/>
              </w:rPr>
            </w:pPr>
            <w:r>
              <w:t xml:space="preserve">3110.00 </w:t>
            </w:r>
          </w:p>
        </w:tc>
        <w:tc>
          <w:tcPr>
            <w:tcW w:w="2838" w:type="dxa"/>
            <w:shd w:val="clear" w:color="auto" w:fill="auto"/>
            <w:noWrap/>
            <w:vAlign w:val="center"/>
          </w:tcPr>
          <w:p w14:paraId="61F9BD44">
            <w:pPr>
              <w:pStyle w:val="45"/>
              <w:rPr>
                <w:rFonts w:hint="default"/>
              </w:rPr>
            </w:pPr>
            <w:r>
              <w:t xml:space="preserve">0.87 </w:t>
            </w:r>
          </w:p>
        </w:tc>
        <w:tc>
          <w:tcPr>
            <w:tcW w:w="2845" w:type="dxa"/>
            <w:shd w:val="clear" w:color="auto" w:fill="auto"/>
            <w:noWrap/>
            <w:vAlign w:val="center"/>
          </w:tcPr>
          <w:p w14:paraId="0A461AD3">
            <w:pPr>
              <w:pStyle w:val="45"/>
              <w:rPr>
                <w:rFonts w:hint="default"/>
              </w:rPr>
            </w:pPr>
            <w:r>
              <w:t xml:space="preserve">0.00 </w:t>
            </w:r>
          </w:p>
        </w:tc>
      </w:tr>
      <w:tr w14:paraId="2EA03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6E243D7F">
            <w:pPr>
              <w:pStyle w:val="45"/>
              <w:rPr>
                <w:rFonts w:hint="default"/>
              </w:rPr>
            </w:pPr>
            <w:r>
              <w:t xml:space="preserve">3210.00 </w:t>
            </w:r>
          </w:p>
        </w:tc>
        <w:tc>
          <w:tcPr>
            <w:tcW w:w="2838" w:type="dxa"/>
            <w:shd w:val="clear" w:color="auto" w:fill="auto"/>
            <w:noWrap/>
            <w:vAlign w:val="center"/>
          </w:tcPr>
          <w:p w14:paraId="471F5DDD">
            <w:pPr>
              <w:pStyle w:val="45"/>
              <w:rPr>
                <w:rFonts w:hint="default"/>
              </w:rPr>
            </w:pPr>
            <w:r>
              <w:t xml:space="preserve">0.82 </w:t>
            </w:r>
          </w:p>
        </w:tc>
        <w:tc>
          <w:tcPr>
            <w:tcW w:w="2845" w:type="dxa"/>
            <w:shd w:val="clear" w:color="auto" w:fill="auto"/>
            <w:noWrap/>
            <w:vAlign w:val="center"/>
          </w:tcPr>
          <w:p w14:paraId="7622272B">
            <w:pPr>
              <w:pStyle w:val="45"/>
              <w:rPr>
                <w:rFonts w:hint="default"/>
              </w:rPr>
            </w:pPr>
            <w:r>
              <w:t xml:space="preserve">0.00 </w:t>
            </w:r>
          </w:p>
        </w:tc>
      </w:tr>
      <w:tr w14:paraId="47011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193AAC29">
            <w:pPr>
              <w:pStyle w:val="45"/>
              <w:rPr>
                <w:rFonts w:hint="default"/>
              </w:rPr>
            </w:pPr>
            <w:r>
              <w:t xml:space="preserve">3310.00 </w:t>
            </w:r>
          </w:p>
        </w:tc>
        <w:tc>
          <w:tcPr>
            <w:tcW w:w="2838" w:type="dxa"/>
            <w:shd w:val="clear" w:color="auto" w:fill="auto"/>
            <w:noWrap/>
            <w:vAlign w:val="center"/>
          </w:tcPr>
          <w:p w14:paraId="44097CD2">
            <w:pPr>
              <w:pStyle w:val="45"/>
              <w:rPr>
                <w:rFonts w:hint="default"/>
              </w:rPr>
            </w:pPr>
            <w:r>
              <w:t xml:space="preserve">0.77 </w:t>
            </w:r>
          </w:p>
        </w:tc>
        <w:tc>
          <w:tcPr>
            <w:tcW w:w="2845" w:type="dxa"/>
            <w:shd w:val="clear" w:color="auto" w:fill="auto"/>
            <w:noWrap/>
            <w:vAlign w:val="center"/>
          </w:tcPr>
          <w:p w14:paraId="28D98B29">
            <w:pPr>
              <w:pStyle w:val="45"/>
              <w:rPr>
                <w:rFonts w:hint="default"/>
              </w:rPr>
            </w:pPr>
            <w:r>
              <w:t xml:space="preserve">0.00 </w:t>
            </w:r>
          </w:p>
        </w:tc>
      </w:tr>
      <w:tr w14:paraId="5D174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4D9CA4F9">
            <w:pPr>
              <w:pStyle w:val="45"/>
              <w:rPr>
                <w:rFonts w:hint="default"/>
              </w:rPr>
            </w:pPr>
            <w:r>
              <w:t xml:space="preserve">3410.00 </w:t>
            </w:r>
          </w:p>
        </w:tc>
        <w:tc>
          <w:tcPr>
            <w:tcW w:w="2838" w:type="dxa"/>
            <w:shd w:val="clear" w:color="auto" w:fill="auto"/>
            <w:noWrap/>
            <w:vAlign w:val="center"/>
          </w:tcPr>
          <w:p w14:paraId="506E4767">
            <w:pPr>
              <w:pStyle w:val="45"/>
              <w:rPr>
                <w:rFonts w:hint="default"/>
              </w:rPr>
            </w:pPr>
            <w:r>
              <w:t xml:space="preserve">0.73 </w:t>
            </w:r>
          </w:p>
        </w:tc>
        <w:tc>
          <w:tcPr>
            <w:tcW w:w="2845" w:type="dxa"/>
            <w:shd w:val="clear" w:color="auto" w:fill="auto"/>
            <w:noWrap/>
            <w:vAlign w:val="center"/>
          </w:tcPr>
          <w:p w14:paraId="4CD196C4">
            <w:pPr>
              <w:pStyle w:val="45"/>
              <w:rPr>
                <w:rFonts w:hint="default"/>
              </w:rPr>
            </w:pPr>
            <w:r>
              <w:t xml:space="preserve">0.00 </w:t>
            </w:r>
          </w:p>
        </w:tc>
      </w:tr>
      <w:tr w14:paraId="46713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730965E1">
            <w:pPr>
              <w:pStyle w:val="45"/>
              <w:rPr>
                <w:rFonts w:hint="default"/>
              </w:rPr>
            </w:pPr>
            <w:r>
              <w:t xml:space="preserve">3510.00 </w:t>
            </w:r>
          </w:p>
        </w:tc>
        <w:tc>
          <w:tcPr>
            <w:tcW w:w="2838" w:type="dxa"/>
            <w:shd w:val="clear" w:color="auto" w:fill="auto"/>
            <w:noWrap/>
            <w:vAlign w:val="center"/>
          </w:tcPr>
          <w:p w14:paraId="42CD7BA6">
            <w:pPr>
              <w:pStyle w:val="45"/>
              <w:rPr>
                <w:rFonts w:hint="default"/>
              </w:rPr>
            </w:pPr>
            <w:r>
              <w:t xml:space="preserve">0.69 </w:t>
            </w:r>
          </w:p>
        </w:tc>
        <w:tc>
          <w:tcPr>
            <w:tcW w:w="2845" w:type="dxa"/>
            <w:shd w:val="clear" w:color="auto" w:fill="auto"/>
            <w:noWrap/>
            <w:vAlign w:val="center"/>
          </w:tcPr>
          <w:p w14:paraId="49D9F09C">
            <w:pPr>
              <w:pStyle w:val="45"/>
              <w:rPr>
                <w:rFonts w:hint="default"/>
              </w:rPr>
            </w:pPr>
            <w:r>
              <w:t xml:space="preserve">0.00 </w:t>
            </w:r>
          </w:p>
        </w:tc>
      </w:tr>
      <w:tr w14:paraId="72145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1C46115E">
            <w:pPr>
              <w:pStyle w:val="45"/>
              <w:rPr>
                <w:rFonts w:hint="default"/>
              </w:rPr>
            </w:pPr>
            <w:r>
              <w:t xml:space="preserve">3610.00 </w:t>
            </w:r>
          </w:p>
        </w:tc>
        <w:tc>
          <w:tcPr>
            <w:tcW w:w="2838" w:type="dxa"/>
            <w:shd w:val="clear" w:color="auto" w:fill="auto"/>
            <w:noWrap/>
            <w:vAlign w:val="center"/>
          </w:tcPr>
          <w:p w14:paraId="7ED37980">
            <w:pPr>
              <w:pStyle w:val="45"/>
              <w:rPr>
                <w:rFonts w:hint="default"/>
              </w:rPr>
            </w:pPr>
            <w:r>
              <w:t xml:space="preserve">0.65 </w:t>
            </w:r>
          </w:p>
        </w:tc>
        <w:tc>
          <w:tcPr>
            <w:tcW w:w="2845" w:type="dxa"/>
            <w:shd w:val="clear" w:color="auto" w:fill="auto"/>
            <w:noWrap/>
            <w:vAlign w:val="center"/>
          </w:tcPr>
          <w:p w14:paraId="790F1590">
            <w:pPr>
              <w:pStyle w:val="45"/>
              <w:rPr>
                <w:rFonts w:hint="default"/>
              </w:rPr>
            </w:pPr>
            <w:r>
              <w:t xml:space="preserve">0.00 </w:t>
            </w:r>
          </w:p>
        </w:tc>
      </w:tr>
      <w:tr w14:paraId="18055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7EA55EC8">
            <w:pPr>
              <w:pStyle w:val="45"/>
              <w:rPr>
                <w:rFonts w:hint="default"/>
              </w:rPr>
            </w:pPr>
            <w:r>
              <w:t xml:space="preserve">3710.00 </w:t>
            </w:r>
          </w:p>
        </w:tc>
        <w:tc>
          <w:tcPr>
            <w:tcW w:w="2838" w:type="dxa"/>
            <w:shd w:val="clear" w:color="auto" w:fill="auto"/>
            <w:noWrap/>
            <w:vAlign w:val="center"/>
          </w:tcPr>
          <w:p w14:paraId="009E8534">
            <w:pPr>
              <w:pStyle w:val="45"/>
              <w:rPr>
                <w:rFonts w:hint="default"/>
              </w:rPr>
            </w:pPr>
            <w:r>
              <w:t xml:space="preserve">0.62 </w:t>
            </w:r>
          </w:p>
        </w:tc>
        <w:tc>
          <w:tcPr>
            <w:tcW w:w="2845" w:type="dxa"/>
            <w:shd w:val="clear" w:color="auto" w:fill="auto"/>
            <w:noWrap/>
            <w:vAlign w:val="center"/>
          </w:tcPr>
          <w:p w14:paraId="2F3E3663">
            <w:pPr>
              <w:pStyle w:val="45"/>
              <w:rPr>
                <w:rFonts w:hint="default"/>
              </w:rPr>
            </w:pPr>
            <w:r>
              <w:t xml:space="preserve">0.00 </w:t>
            </w:r>
          </w:p>
        </w:tc>
      </w:tr>
      <w:tr w14:paraId="18257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445EBE20">
            <w:pPr>
              <w:pStyle w:val="45"/>
              <w:rPr>
                <w:rFonts w:hint="default"/>
              </w:rPr>
            </w:pPr>
            <w:r>
              <w:t xml:space="preserve">3810.00 </w:t>
            </w:r>
          </w:p>
        </w:tc>
        <w:tc>
          <w:tcPr>
            <w:tcW w:w="2838" w:type="dxa"/>
            <w:shd w:val="clear" w:color="auto" w:fill="auto"/>
            <w:noWrap/>
            <w:vAlign w:val="center"/>
          </w:tcPr>
          <w:p w14:paraId="6450716C">
            <w:pPr>
              <w:pStyle w:val="45"/>
              <w:rPr>
                <w:rFonts w:hint="default"/>
              </w:rPr>
            </w:pPr>
            <w:r>
              <w:t xml:space="preserve">0.58 </w:t>
            </w:r>
          </w:p>
        </w:tc>
        <w:tc>
          <w:tcPr>
            <w:tcW w:w="2845" w:type="dxa"/>
            <w:shd w:val="clear" w:color="auto" w:fill="auto"/>
            <w:noWrap/>
            <w:vAlign w:val="center"/>
          </w:tcPr>
          <w:p w14:paraId="38595E72">
            <w:pPr>
              <w:pStyle w:val="45"/>
              <w:rPr>
                <w:rFonts w:hint="default"/>
              </w:rPr>
            </w:pPr>
            <w:r>
              <w:t xml:space="preserve">0.00 </w:t>
            </w:r>
          </w:p>
        </w:tc>
      </w:tr>
      <w:tr w14:paraId="2B648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0937F60C">
            <w:pPr>
              <w:pStyle w:val="45"/>
              <w:rPr>
                <w:rFonts w:hint="default"/>
              </w:rPr>
            </w:pPr>
            <w:r>
              <w:t xml:space="preserve">3910.00 </w:t>
            </w:r>
          </w:p>
        </w:tc>
        <w:tc>
          <w:tcPr>
            <w:tcW w:w="2838" w:type="dxa"/>
            <w:shd w:val="clear" w:color="auto" w:fill="auto"/>
            <w:noWrap/>
            <w:vAlign w:val="center"/>
          </w:tcPr>
          <w:p w14:paraId="281712F6">
            <w:pPr>
              <w:pStyle w:val="45"/>
              <w:rPr>
                <w:rFonts w:hint="default"/>
              </w:rPr>
            </w:pPr>
            <w:r>
              <w:t xml:space="preserve">0.56 </w:t>
            </w:r>
          </w:p>
        </w:tc>
        <w:tc>
          <w:tcPr>
            <w:tcW w:w="2845" w:type="dxa"/>
            <w:shd w:val="clear" w:color="auto" w:fill="auto"/>
            <w:noWrap/>
            <w:vAlign w:val="center"/>
          </w:tcPr>
          <w:p w14:paraId="10AA3DB0">
            <w:pPr>
              <w:pStyle w:val="45"/>
              <w:rPr>
                <w:rFonts w:hint="default"/>
              </w:rPr>
            </w:pPr>
            <w:r>
              <w:t xml:space="preserve">0.00 </w:t>
            </w:r>
          </w:p>
        </w:tc>
      </w:tr>
      <w:tr w14:paraId="0DDAC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34C09F2E">
            <w:pPr>
              <w:pStyle w:val="45"/>
              <w:rPr>
                <w:rFonts w:hint="default"/>
              </w:rPr>
            </w:pPr>
            <w:r>
              <w:t xml:space="preserve">4010.00 </w:t>
            </w:r>
          </w:p>
        </w:tc>
        <w:tc>
          <w:tcPr>
            <w:tcW w:w="2838" w:type="dxa"/>
            <w:shd w:val="clear" w:color="auto" w:fill="auto"/>
            <w:noWrap/>
            <w:vAlign w:val="center"/>
          </w:tcPr>
          <w:p w14:paraId="443F7411">
            <w:pPr>
              <w:pStyle w:val="45"/>
              <w:rPr>
                <w:rFonts w:hint="default"/>
              </w:rPr>
            </w:pPr>
            <w:r>
              <w:t xml:space="preserve">0.53 </w:t>
            </w:r>
          </w:p>
        </w:tc>
        <w:tc>
          <w:tcPr>
            <w:tcW w:w="2845" w:type="dxa"/>
            <w:shd w:val="clear" w:color="auto" w:fill="auto"/>
            <w:noWrap/>
            <w:vAlign w:val="center"/>
          </w:tcPr>
          <w:p w14:paraId="55785682">
            <w:pPr>
              <w:pStyle w:val="45"/>
              <w:rPr>
                <w:rFonts w:hint="default"/>
              </w:rPr>
            </w:pPr>
            <w:r>
              <w:t xml:space="preserve">0.00 </w:t>
            </w:r>
          </w:p>
        </w:tc>
      </w:tr>
      <w:tr w14:paraId="7A151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7F9A766D">
            <w:pPr>
              <w:pStyle w:val="45"/>
              <w:rPr>
                <w:rFonts w:hint="default"/>
              </w:rPr>
            </w:pPr>
            <w:r>
              <w:t xml:space="preserve">4110.00 </w:t>
            </w:r>
          </w:p>
        </w:tc>
        <w:tc>
          <w:tcPr>
            <w:tcW w:w="2838" w:type="dxa"/>
            <w:shd w:val="clear" w:color="auto" w:fill="auto"/>
            <w:noWrap/>
            <w:vAlign w:val="center"/>
          </w:tcPr>
          <w:p w14:paraId="65630344">
            <w:pPr>
              <w:pStyle w:val="45"/>
              <w:rPr>
                <w:rFonts w:hint="default"/>
              </w:rPr>
            </w:pPr>
            <w:r>
              <w:t xml:space="preserve">0.51 </w:t>
            </w:r>
          </w:p>
        </w:tc>
        <w:tc>
          <w:tcPr>
            <w:tcW w:w="2845" w:type="dxa"/>
            <w:shd w:val="clear" w:color="auto" w:fill="auto"/>
            <w:noWrap/>
            <w:vAlign w:val="center"/>
          </w:tcPr>
          <w:p w14:paraId="10F33C3F">
            <w:pPr>
              <w:pStyle w:val="45"/>
              <w:rPr>
                <w:rFonts w:hint="default"/>
              </w:rPr>
            </w:pPr>
            <w:r>
              <w:t xml:space="preserve">0.00 </w:t>
            </w:r>
          </w:p>
        </w:tc>
      </w:tr>
      <w:tr w14:paraId="16AFA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559590F3">
            <w:pPr>
              <w:pStyle w:val="45"/>
              <w:rPr>
                <w:rFonts w:hint="default"/>
              </w:rPr>
            </w:pPr>
            <w:r>
              <w:t xml:space="preserve">4210.00 </w:t>
            </w:r>
          </w:p>
        </w:tc>
        <w:tc>
          <w:tcPr>
            <w:tcW w:w="2838" w:type="dxa"/>
            <w:shd w:val="clear" w:color="auto" w:fill="auto"/>
            <w:noWrap/>
            <w:vAlign w:val="center"/>
          </w:tcPr>
          <w:p w14:paraId="6786686F">
            <w:pPr>
              <w:pStyle w:val="45"/>
              <w:rPr>
                <w:rFonts w:hint="default"/>
              </w:rPr>
            </w:pPr>
            <w:r>
              <w:t xml:space="preserve">0.48 </w:t>
            </w:r>
          </w:p>
        </w:tc>
        <w:tc>
          <w:tcPr>
            <w:tcW w:w="2845" w:type="dxa"/>
            <w:shd w:val="clear" w:color="auto" w:fill="auto"/>
            <w:noWrap/>
            <w:vAlign w:val="center"/>
          </w:tcPr>
          <w:p w14:paraId="604DB316">
            <w:pPr>
              <w:pStyle w:val="45"/>
              <w:rPr>
                <w:rFonts w:hint="default"/>
              </w:rPr>
            </w:pPr>
            <w:r>
              <w:t xml:space="preserve">0.00 </w:t>
            </w:r>
          </w:p>
        </w:tc>
      </w:tr>
      <w:tr w14:paraId="22B67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0E180C70">
            <w:pPr>
              <w:pStyle w:val="45"/>
              <w:rPr>
                <w:rFonts w:hint="default"/>
              </w:rPr>
            </w:pPr>
            <w:r>
              <w:t xml:space="preserve">4310.00 </w:t>
            </w:r>
          </w:p>
        </w:tc>
        <w:tc>
          <w:tcPr>
            <w:tcW w:w="2838" w:type="dxa"/>
            <w:shd w:val="clear" w:color="auto" w:fill="auto"/>
            <w:noWrap/>
            <w:vAlign w:val="center"/>
          </w:tcPr>
          <w:p w14:paraId="025CA3EA">
            <w:pPr>
              <w:pStyle w:val="45"/>
              <w:rPr>
                <w:rFonts w:hint="default"/>
              </w:rPr>
            </w:pPr>
            <w:r>
              <w:t xml:space="preserve">0.46 </w:t>
            </w:r>
          </w:p>
        </w:tc>
        <w:tc>
          <w:tcPr>
            <w:tcW w:w="2845" w:type="dxa"/>
            <w:shd w:val="clear" w:color="auto" w:fill="auto"/>
            <w:noWrap/>
            <w:vAlign w:val="center"/>
          </w:tcPr>
          <w:p w14:paraId="301B033D">
            <w:pPr>
              <w:pStyle w:val="45"/>
              <w:rPr>
                <w:rFonts w:hint="default"/>
              </w:rPr>
            </w:pPr>
            <w:r>
              <w:t xml:space="preserve">0.00 </w:t>
            </w:r>
          </w:p>
        </w:tc>
      </w:tr>
      <w:tr w14:paraId="0CC0E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60CBDA97">
            <w:pPr>
              <w:pStyle w:val="45"/>
              <w:rPr>
                <w:rFonts w:hint="default"/>
              </w:rPr>
            </w:pPr>
            <w:r>
              <w:t xml:space="preserve">4410.00 </w:t>
            </w:r>
          </w:p>
        </w:tc>
        <w:tc>
          <w:tcPr>
            <w:tcW w:w="2838" w:type="dxa"/>
            <w:shd w:val="clear" w:color="auto" w:fill="auto"/>
            <w:noWrap/>
            <w:vAlign w:val="center"/>
          </w:tcPr>
          <w:p w14:paraId="1596E7C1">
            <w:pPr>
              <w:pStyle w:val="45"/>
              <w:rPr>
                <w:rFonts w:hint="default"/>
              </w:rPr>
            </w:pPr>
            <w:r>
              <w:t xml:space="preserve">0.44 </w:t>
            </w:r>
          </w:p>
        </w:tc>
        <w:tc>
          <w:tcPr>
            <w:tcW w:w="2845" w:type="dxa"/>
            <w:shd w:val="clear" w:color="auto" w:fill="auto"/>
            <w:noWrap/>
            <w:vAlign w:val="center"/>
          </w:tcPr>
          <w:p w14:paraId="59BF0CBD">
            <w:pPr>
              <w:pStyle w:val="45"/>
              <w:rPr>
                <w:rFonts w:hint="default"/>
              </w:rPr>
            </w:pPr>
            <w:r>
              <w:t xml:space="preserve">0.00 </w:t>
            </w:r>
          </w:p>
        </w:tc>
      </w:tr>
      <w:tr w14:paraId="65ACA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2DD45E84">
            <w:pPr>
              <w:pStyle w:val="45"/>
              <w:rPr>
                <w:rFonts w:hint="default"/>
              </w:rPr>
            </w:pPr>
            <w:r>
              <w:t xml:space="preserve">4510.00 </w:t>
            </w:r>
          </w:p>
        </w:tc>
        <w:tc>
          <w:tcPr>
            <w:tcW w:w="2838" w:type="dxa"/>
            <w:shd w:val="clear" w:color="auto" w:fill="auto"/>
            <w:noWrap/>
            <w:vAlign w:val="center"/>
          </w:tcPr>
          <w:p w14:paraId="781021AB">
            <w:pPr>
              <w:pStyle w:val="45"/>
              <w:rPr>
                <w:rFonts w:hint="default"/>
              </w:rPr>
            </w:pPr>
            <w:r>
              <w:t xml:space="preserve">0.42 </w:t>
            </w:r>
          </w:p>
        </w:tc>
        <w:tc>
          <w:tcPr>
            <w:tcW w:w="2845" w:type="dxa"/>
            <w:shd w:val="clear" w:color="auto" w:fill="auto"/>
            <w:noWrap/>
            <w:vAlign w:val="center"/>
          </w:tcPr>
          <w:p w14:paraId="1E74AC60">
            <w:pPr>
              <w:pStyle w:val="45"/>
              <w:rPr>
                <w:rFonts w:hint="default"/>
              </w:rPr>
            </w:pPr>
            <w:r>
              <w:t xml:space="preserve">0.00 </w:t>
            </w:r>
          </w:p>
        </w:tc>
      </w:tr>
      <w:tr w14:paraId="33B5F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11700C0D">
            <w:pPr>
              <w:pStyle w:val="45"/>
              <w:rPr>
                <w:rFonts w:hint="default"/>
              </w:rPr>
            </w:pPr>
            <w:r>
              <w:t xml:space="preserve">4610.00 </w:t>
            </w:r>
          </w:p>
        </w:tc>
        <w:tc>
          <w:tcPr>
            <w:tcW w:w="2838" w:type="dxa"/>
            <w:shd w:val="clear" w:color="auto" w:fill="auto"/>
            <w:noWrap/>
            <w:vAlign w:val="center"/>
          </w:tcPr>
          <w:p w14:paraId="046E1AEF">
            <w:pPr>
              <w:pStyle w:val="45"/>
              <w:rPr>
                <w:rFonts w:hint="default"/>
              </w:rPr>
            </w:pPr>
            <w:r>
              <w:t xml:space="preserve">0.40 </w:t>
            </w:r>
          </w:p>
        </w:tc>
        <w:tc>
          <w:tcPr>
            <w:tcW w:w="2845" w:type="dxa"/>
            <w:shd w:val="clear" w:color="auto" w:fill="auto"/>
            <w:noWrap/>
            <w:vAlign w:val="center"/>
          </w:tcPr>
          <w:p w14:paraId="34B1CCF0">
            <w:pPr>
              <w:pStyle w:val="45"/>
              <w:rPr>
                <w:rFonts w:hint="default"/>
              </w:rPr>
            </w:pPr>
            <w:r>
              <w:t xml:space="preserve">0.00 </w:t>
            </w:r>
          </w:p>
        </w:tc>
      </w:tr>
      <w:tr w14:paraId="21CE7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0762763E">
            <w:pPr>
              <w:pStyle w:val="45"/>
              <w:rPr>
                <w:rFonts w:hint="default"/>
              </w:rPr>
            </w:pPr>
            <w:r>
              <w:t xml:space="preserve">4710.00 </w:t>
            </w:r>
          </w:p>
        </w:tc>
        <w:tc>
          <w:tcPr>
            <w:tcW w:w="2838" w:type="dxa"/>
            <w:shd w:val="clear" w:color="auto" w:fill="auto"/>
            <w:noWrap/>
            <w:vAlign w:val="center"/>
          </w:tcPr>
          <w:p w14:paraId="5C71B6A6">
            <w:pPr>
              <w:pStyle w:val="45"/>
              <w:rPr>
                <w:rFonts w:hint="default"/>
              </w:rPr>
            </w:pPr>
            <w:r>
              <w:t xml:space="preserve">0.39 </w:t>
            </w:r>
          </w:p>
        </w:tc>
        <w:tc>
          <w:tcPr>
            <w:tcW w:w="2845" w:type="dxa"/>
            <w:shd w:val="clear" w:color="auto" w:fill="auto"/>
            <w:noWrap/>
            <w:vAlign w:val="center"/>
          </w:tcPr>
          <w:p w14:paraId="756A5E38">
            <w:pPr>
              <w:pStyle w:val="45"/>
              <w:rPr>
                <w:rFonts w:hint="default"/>
              </w:rPr>
            </w:pPr>
            <w:r>
              <w:t xml:space="preserve">0.00 </w:t>
            </w:r>
          </w:p>
        </w:tc>
      </w:tr>
      <w:tr w14:paraId="4A6BF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553EB11C">
            <w:pPr>
              <w:pStyle w:val="45"/>
              <w:rPr>
                <w:rFonts w:hint="default"/>
              </w:rPr>
            </w:pPr>
            <w:r>
              <w:t xml:space="preserve">4810.00 </w:t>
            </w:r>
          </w:p>
        </w:tc>
        <w:tc>
          <w:tcPr>
            <w:tcW w:w="2838" w:type="dxa"/>
            <w:shd w:val="clear" w:color="auto" w:fill="auto"/>
            <w:noWrap/>
            <w:vAlign w:val="center"/>
          </w:tcPr>
          <w:p w14:paraId="32EF3114">
            <w:pPr>
              <w:pStyle w:val="45"/>
              <w:rPr>
                <w:rFonts w:hint="default"/>
              </w:rPr>
            </w:pPr>
            <w:r>
              <w:t xml:space="preserve">0.37 </w:t>
            </w:r>
          </w:p>
        </w:tc>
        <w:tc>
          <w:tcPr>
            <w:tcW w:w="2845" w:type="dxa"/>
            <w:shd w:val="clear" w:color="auto" w:fill="auto"/>
            <w:noWrap/>
            <w:vAlign w:val="center"/>
          </w:tcPr>
          <w:p w14:paraId="7E0A905B">
            <w:pPr>
              <w:pStyle w:val="45"/>
              <w:rPr>
                <w:rFonts w:hint="default"/>
              </w:rPr>
            </w:pPr>
            <w:r>
              <w:t xml:space="preserve">0.00 </w:t>
            </w:r>
          </w:p>
        </w:tc>
      </w:tr>
      <w:tr w14:paraId="2A117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65" w:type="pct"/>
            <w:shd w:val="clear" w:color="auto" w:fill="auto"/>
            <w:noWrap/>
            <w:vAlign w:val="center"/>
          </w:tcPr>
          <w:p w14:paraId="7B8CB7B9">
            <w:pPr>
              <w:pStyle w:val="45"/>
              <w:rPr>
                <w:rFonts w:hint="default"/>
              </w:rPr>
            </w:pPr>
            <w:r>
              <w:t xml:space="preserve">4910.00 </w:t>
            </w:r>
          </w:p>
        </w:tc>
        <w:tc>
          <w:tcPr>
            <w:tcW w:w="2838" w:type="dxa"/>
            <w:shd w:val="clear" w:color="auto" w:fill="auto"/>
            <w:noWrap/>
            <w:vAlign w:val="center"/>
          </w:tcPr>
          <w:p w14:paraId="125A5BA6">
            <w:pPr>
              <w:pStyle w:val="45"/>
              <w:rPr>
                <w:rFonts w:hint="default"/>
              </w:rPr>
            </w:pPr>
            <w:r>
              <w:t xml:space="preserve">0.36 </w:t>
            </w:r>
          </w:p>
        </w:tc>
        <w:tc>
          <w:tcPr>
            <w:tcW w:w="2845" w:type="dxa"/>
            <w:shd w:val="clear" w:color="auto" w:fill="auto"/>
            <w:noWrap/>
            <w:vAlign w:val="center"/>
          </w:tcPr>
          <w:p w14:paraId="365979A1">
            <w:pPr>
              <w:pStyle w:val="45"/>
              <w:rPr>
                <w:rFonts w:hint="default"/>
              </w:rPr>
            </w:pPr>
            <w:r>
              <w:t xml:space="preserve">0.00 </w:t>
            </w:r>
          </w:p>
        </w:tc>
      </w:tr>
    </w:tbl>
    <w:p w14:paraId="09E21082">
      <w:pPr>
        <w:ind w:firstLine="0" w:firstLineChars="0"/>
      </w:pPr>
    </w:p>
    <w:p w14:paraId="0E48312D">
      <w:pPr>
        <w:ind w:firstLine="480"/>
      </w:pPr>
      <w:r>
        <w:t>根据预测结果可知，最不利气象条件下，</w:t>
      </w:r>
      <w:r>
        <w:rPr>
          <w:rFonts w:hint="eastAsia"/>
        </w:rPr>
        <w:t>盐酸</w:t>
      </w:r>
      <w:r>
        <w:t>计算结果超出大气毒性终点浓度1</w:t>
      </w:r>
      <w:r>
        <w:rPr>
          <w:rFonts w:hint="eastAsia"/>
        </w:rPr>
        <w:t>及</w:t>
      </w:r>
      <w:r>
        <w:t>大气毒性终点浓度2</w:t>
      </w:r>
      <w:r>
        <w:rPr>
          <w:rFonts w:hint="eastAsia"/>
        </w:rPr>
        <w:t>，盐酸超出大</w:t>
      </w:r>
      <w:r>
        <w:t>气毒性终点浓度1</w:t>
      </w:r>
      <w:r>
        <w:rPr>
          <w:rFonts w:hint="eastAsia"/>
        </w:rPr>
        <w:t>最大影响范围为340m，超出大</w:t>
      </w:r>
      <w:r>
        <w:t>气毒性终点浓度</w:t>
      </w:r>
      <w:r>
        <w:rPr>
          <w:rFonts w:hint="eastAsia"/>
        </w:rPr>
        <w:t>2最大影响范围为90m</w:t>
      </w:r>
      <w:r>
        <w:t>；最常见气象条件下，</w:t>
      </w:r>
      <w:r>
        <w:rPr>
          <w:rFonts w:hint="eastAsia"/>
        </w:rPr>
        <w:t>盐酸计算结果无</w:t>
      </w:r>
      <w:r>
        <w:t>超出大气毒性终点浓度1及大气毒性终点浓度2</w:t>
      </w:r>
      <w:r>
        <w:rPr>
          <w:rFonts w:hint="eastAsia"/>
        </w:rPr>
        <w:t>。</w:t>
      </w:r>
    </w:p>
    <w:p w14:paraId="017D798E">
      <w:pPr>
        <w:ind w:firstLine="480"/>
      </w:pPr>
      <w:r>
        <w:rPr>
          <w:rFonts w:hint="eastAsia"/>
        </w:rPr>
        <w:t>具体影响范围见下表。</w:t>
      </w:r>
    </w:p>
    <w:p w14:paraId="5EE8468C">
      <w:pPr>
        <w:pStyle w:val="43"/>
        <w:numPr>
          <w:ilvl w:val="5"/>
          <w:numId w:val="1"/>
        </w:numPr>
        <w:rPr>
          <w:rFonts w:hint="default"/>
        </w:rPr>
      </w:pPr>
      <w:r>
        <w:rPr>
          <w:rFonts w:hint="default"/>
        </w:rPr>
        <w:t>各类风险物质影响范围一览表</w:t>
      </w:r>
    </w:p>
    <w:tbl>
      <w:tblPr>
        <w:tblStyle w:val="32"/>
        <w:tblW w:w="497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9"/>
        <w:gridCol w:w="939"/>
        <w:gridCol w:w="940"/>
        <w:gridCol w:w="940"/>
        <w:gridCol w:w="950"/>
        <w:gridCol w:w="940"/>
        <w:gridCol w:w="940"/>
        <w:gridCol w:w="940"/>
        <w:gridCol w:w="950"/>
      </w:tblGrid>
      <w:tr w14:paraId="5B399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554" w:type="pct"/>
            <w:vMerge w:val="restart"/>
            <w:shd w:val="clear" w:color="auto" w:fill="auto"/>
            <w:vAlign w:val="center"/>
          </w:tcPr>
          <w:p w14:paraId="3C1DE381">
            <w:pPr>
              <w:pStyle w:val="45"/>
              <w:rPr>
                <w:rFonts w:hint="default"/>
                <w:b/>
                <w:bCs/>
              </w:rPr>
            </w:pPr>
            <w:r>
              <w:rPr>
                <w:b/>
                <w:bCs/>
              </w:rPr>
              <w:t>预测因子</w:t>
            </w:r>
          </w:p>
        </w:tc>
        <w:tc>
          <w:tcPr>
            <w:tcW w:w="2222" w:type="pct"/>
            <w:gridSpan w:val="4"/>
            <w:shd w:val="clear" w:color="auto" w:fill="auto"/>
            <w:vAlign w:val="center"/>
          </w:tcPr>
          <w:p w14:paraId="56396F68">
            <w:pPr>
              <w:pStyle w:val="45"/>
              <w:rPr>
                <w:rFonts w:hint="default"/>
                <w:b/>
                <w:bCs/>
              </w:rPr>
            </w:pPr>
            <w:r>
              <w:rPr>
                <w:b/>
                <w:bCs/>
              </w:rPr>
              <w:t>最不利气象</w:t>
            </w:r>
          </w:p>
        </w:tc>
        <w:tc>
          <w:tcPr>
            <w:tcW w:w="2222" w:type="pct"/>
            <w:gridSpan w:val="4"/>
            <w:shd w:val="clear" w:color="auto" w:fill="auto"/>
            <w:vAlign w:val="center"/>
          </w:tcPr>
          <w:p w14:paraId="4B9FBBD5">
            <w:pPr>
              <w:pStyle w:val="45"/>
              <w:rPr>
                <w:rFonts w:hint="default"/>
                <w:b/>
                <w:bCs/>
              </w:rPr>
            </w:pPr>
            <w:r>
              <w:rPr>
                <w:b/>
                <w:bCs/>
              </w:rPr>
              <w:t>最常见气象</w:t>
            </w:r>
          </w:p>
        </w:tc>
      </w:tr>
      <w:tr w14:paraId="36AD8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554" w:type="pct"/>
            <w:vMerge w:val="continue"/>
            <w:shd w:val="clear" w:color="auto" w:fill="auto"/>
            <w:vAlign w:val="center"/>
          </w:tcPr>
          <w:p w14:paraId="64E9FDFE">
            <w:pPr>
              <w:pStyle w:val="45"/>
              <w:rPr>
                <w:rFonts w:hint="default"/>
                <w:b/>
                <w:bCs/>
              </w:rPr>
            </w:pPr>
          </w:p>
        </w:tc>
        <w:tc>
          <w:tcPr>
            <w:tcW w:w="554" w:type="pct"/>
            <w:shd w:val="clear" w:color="auto" w:fill="auto"/>
            <w:vAlign w:val="center"/>
          </w:tcPr>
          <w:p w14:paraId="64A507B4">
            <w:pPr>
              <w:pStyle w:val="45"/>
              <w:rPr>
                <w:rFonts w:hint="default"/>
                <w:b/>
                <w:bCs/>
              </w:rPr>
            </w:pPr>
            <w:r>
              <w:rPr>
                <w:rFonts w:hint="default"/>
                <w:b/>
                <w:bCs/>
              </w:rPr>
              <w:t>X</w:t>
            </w:r>
            <w:r>
              <w:rPr>
                <w:b/>
                <w:bCs/>
              </w:rPr>
              <w:t>起点（</w:t>
            </w:r>
            <w:r>
              <w:rPr>
                <w:rFonts w:hint="default"/>
                <w:b/>
                <w:bCs/>
              </w:rPr>
              <w:t>m</w:t>
            </w:r>
            <w:r>
              <w:rPr>
                <w:b/>
                <w:bCs/>
              </w:rPr>
              <w:t>）</w:t>
            </w:r>
          </w:p>
        </w:tc>
        <w:tc>
          <w:tcPr>
            <w:tcW w:w="554" w:type="pct"/>
            <w:shd w:val="clear" w:color="auto" w:fill="auto"/>
            <w:vAlign w:val="center"/>
          </w:tcPr>
          <w:p w14:paraId="358A43F1">
            <w:pPr>
              <w:pStyle w:val="45"/>
              <w:rPr>
                <w:rFonts w:hint="default"/>
                <w:b/>
                <w:bCs/>
              </w:rPr>
            </w:pPr>
            <w:r>
              <w:rPr>
                <w:rFonts w:hint="default"/>
                <w:b/>
                <w:bCs/>
              </w:rPr>
              <w:t>X</w:t>
            </w:r>
            <w:r>
              <w:rPr>
                <w:b/>
                <w:bCs/>
              </w:rPr>
              <w:t>终点（</w:t>
            </w:r>
            <w:r>
              <w:rPr>
                <w:rFonts w:hint="default"/>
                <w:b/>
                <w:bCs/>
              </w:rPr>
              <w:t>m</w:t>
            </w:r>
            <w:r>
              <w:rPr>
                <w:b/>
                <w:bCs/>
              </w:rPr>
              <w:t>）</w:t>
            </w:r>
          </w:p>
        </w:tc>
        <w:tc>
          <w:tcPr>
            <w:tcW w:w="554" w:type="pct"/>
            <w:shd w:val="clear" w:color="auto" w:fill="auto"/>
            <w:vAlign w:val="center"/>
          </w:tcPr>
          <w:p w14:paraId="091EEB2B">
            <w:pPr>
              <w:pStyle w:val="45"/>
              <w:rPr>
                <w:rFonts w:hint="default"/>
                <w:b/>
                <w:bCs/>
              </w:rPr>
            </w:pPr>
            <w:r>
              <w:rPr>
                <w:b/>
                <w:bCs/>
              </w:rPr>
              <w:t>最大半宽（</w:t>
            </w:r>
            <w:r>
              <w:rPr>
                <w:rFonts w:hint="default"/>
                <w:b/>
                <w:bCs/>
              </w:rPr>
              <w:t>m</w:t>
            </w:r>
            <w:r>
              <w:rPr>
                <w:b/>
                <w:bCs/>
              </w:rPr>
              <w:t>）</w:t>
            </w:r>
          </w:p>
        </w:tc>
        <w:tc>
          <w:tcPr>
            <w:tcW w:w="557" w:type="pct"/>
            <w:shd w:val="clear" w:color="auto" w:fill="auto"/>
            <w:vAlign w:val="center"/>
          </w:tcPr>
          <w:p w14:paraId="36F037A7">
            <w:pPr>
              <w:pStyle w:val="45"/>
              <w:rPr>
                <w:rFonts w:hint="default"/>
                <w:b/>
                <w:bCs/>
              </w:rPr>
            </w:pPr>
            <w:r>
              <w:rPr>
                <w:b/>
                <w:bCs/>
              </w:rPr>
              <w:t>最大半宽对应</w:t>
            </w:r>
            <w:r>
              <w:rPr>
                <w:rFonts w:hint="default"/>
                <w:b/>
                <w:bCs/>
              </w:rPr>
              <w:t>X</w:t>
            </w:r>
            <w:r>
              <w:rPr>
                <w:b/>
                <w:bCs/>
              </w:rPr>
              <w:t>（</w:t>
            </w:r>
            <w:r>
              <w:rPr>
                <w:rFonts w:hint="default"/>
                <w:b/>
                <w:bCs/>
              </w:rPr>
              <w:t>m</w:t>
            </w:r>
            <w:r>
              <w:rPr>
                <w:b/>
                <w:bCs/>
              </w:rPr>
              <w:t>）</w:t>
            </w:r>
          </w:p>
        </w:tc>
        <w:tc>
          <w:tcPr>
            <w:tcW w:w="554" w:type="pct"/>
            <w:shd w:val="clear" w:color="auto" w:fill="auto"/>
            <w:vAlign w:val="center"/>
          </w:tcPr>
          <w:p w14:paraId="77254DFE">
            <w:pPr>
              <w:pStyle w:val="45"/>
              <w:rPr>
                <w:rFonts w:hint="default"/>
                <w:b/>
                <w:bCs/>
              </w:rPr>
            </w:pPr>
            <w:r>
              <w:rPr>
                <w:rFonts w:hint="default"/>
                <w:b/>
                <w:bCs/>
              </w:rPr>
              <w:t>X</w:t>
            </w:r>
            <w:r>
              <w:rPr>
                <w:b/>
                <w:bCs/>
              </w:rPr>
              <w:t>起点（</w:t>
            </w:r>
            <w:r>
              <w:rPr>
                <w:rFonts w:hint="default"/>
                <w:b/>
                <w:bCs/>
              </w:rPr>
              <w:t>m</w:t>
            </w:r>
            <w:r>
              <w:rPr>
                <w:b/>
                <w:bCs/>
              </w:rPr>
              <w:t>）</w:t>
            </w:r>
          </w:p>
        </w:tc>
        <w:tc>
          <w:tcPr>
            <w:tcW w:w="554" w:type="pct"/>
            <w:shd w:val="clear" w:color="auto" w:fill="auto"/>
            <w:vAlign w:val="center"/>
          </w:tcPr>
          <w:p w14:paraId="155D701D">
            <w:pPr>
              <w:pStyle w:val="45"/>
              <w:rPr>
                <w:rFonts w:hint="default"/>
                <w:b/>
                <w:bCs/>
              </w:rPr>
            </w:pPr>
            <w:r>
              <w:rPr>
                <w:rFonts w:hint="default"/>
                <w:b/>
                <w:bCs/>
              </w:rPr>
              <w:t>X</w:t>
            </w:r>
            <w:r>
              <w:rPr>
                <w:b/>
                <w:bCs/>
              </w:rPr>
              <w:t>终点（</w:t>
            </w:r>
            <w:r>
              <w:rPr>
                <w:rFonts w:hint="default"/>
                <w:b/>
                <w:bCs/>
              </w:rPr>
              <w:t>m</w:t>
            </w:r>
            <w:r>
              <w:rPr>
                <w:b/>
                <w:bCs/>
              </w:rPr>
              <w:t>）</w:t>
            </w:r>
          </w:p>
        </w:tc>
        <w:tc>
          <w:tcPr>
            <w:tcW w:w="554" w:type="pct"/>
            <w:shd w:val="clear" w:color="auto" w:fill="auto"/>
            <w:vAlign w:val="center"/>
          </w:tcPr>
          <w:p w14:paraId="0DA5367B">
            <w:pPr>
              <w:pStyle w:val="45"/>
              <w:rPr>
                <w:rFonts w:hint="default"/>
                <w:b/>
                <w:bCs/>
              </w:rPr>
            </w:pPr>
            <w:r>
              <w:rPr>
                <w:b/>
                <w:bCs/>
              </w:rPr>
              <w:t>最大半宽（</w:t>
            </w:r>
            <w:r>
              <w:rPr>
                <w:rFonts w:hint="default"/>
                <w:b/>
                <w:bCs/>
              </w:rPr>
              <w:t>m</w:t>
            </w:r>
            <w:r>
              <w:rPr>
                <w:b/>
                <w:bCs/>
              </w:rPr>
              <w:t>）</w:t>
            </w:r>
          </w:p>
        </w:tc>
        <w:tc>
          <w:tcPr>
            <w:tcW w:w="557" w:type="pct"/>
            <w:shd w:val="clear" w:color="auto" w:fill="auto"/>
            <w:vAlign w:val="center"/>
          </w:tcPr>
          <w:p w14:paraId="03533450">
            <w:pPr>
              <w:pStyle w:val="45"/>
              <w:rPr>
                <w:rFonts w:hint="default"/>
                <w:b/>
                <w:bCs/>
              </w:rPr>
            </w:pPr>
            <w:r>
              <w:rPr>
                <w:b/>
                <w:bCs/>
              </w:rPr>
              <w:t>最大半宽对应</w:t>
            </w:r>
            <w:r>
              <w:rPr>
                <w:rFonts w:hint="default"/>
                <w:b/>
                <w:bCs/>
              </w:rPr>
              <w:t>X</w:t>
            </w:r>
            <w:r>
              <w:rPr>
                <w:b/>
                <w:bCs/>
              </w:rPr>
              <w:t>（</w:t>
            </w:r>
            <w:r>
              <w:rPr>
                <w:rFonts w:hint="default"/>
                <w:b/>
                <w:bCs/>
              </w:rPr>
              <w:t>m</w:t>
            </w:r>
            <w:r>
              <w:rPr>
                <w:b/>
                <w:bCs/>
              </w:rPr>
              <w:t>）</w:t>
            </w:r>
          </w:p>
        </w:tc>
      </w:tr>
      <w:tr w14:paraId="59F04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9" w:hRule="atLeast"/>
        </w:trPr>
        <w:tc>
          <w:tcPr>
            <w:tcW w:w="554" w:type="pct"/>
            <w:shd w:val="clear" w:color="auto" w:fill="auto"/>
            <w:vAlign w:val="center"/>
          </w:tcPr>
          <w:p w14:paraId="4A8C2EB4">
            <w:pPr>
              <w:pStyle w:val="45"/>
              <w:rPr>
                <w:rFonts w:hint="default"/>
              </w:rPr>
            </w:pPr>
            <w:r>
              <w:t>盐酸（大气毒性终点浓度</w:t>
            </w:r>
            <w:r>
              <w:rPr>
                <w:rFonts w:hint="default"/>
              </w:rPr>
              <w:t>1</w:t>
            </w:r>
            <w:r>
              <w:t>）</w:t>
            </w:r>
          </w:p>
        </w:tc>
        <w:tc>
          <w:tcPr>
            <w:tcW w:w="554" w:type="pct"/>
            <w:shd w:val="clear" w:color="auto" w:fill="auto"/>
            <w:vAlign w:val="center"/>
          </w:tcPr>
          <w:p w14:paraId="4739BE37">
            <w:pPr>
              <w:pStyle w:val="45"/>
              <w:rPr>
                <w:rFonts w:hint="default"/>
              </w:rPr>
            </w:pPr>
            <w:r>
              <w:t>10</w:t>
            </w:r>
          </w:p>
        </w:tc>
        <w:tc>
          <w:tcPr>
            <w:tcW w:w="554" w:type="pct"/>
            <w:shd w:val="clear" w:color="auto" w:fill="auto"/>
            <w:vAlign w:val="center"/>
          </w:tcPr>
          <w:p w14:paraId="00C51AA8">
            <w:pPr>
              <w:pStyle w:val="45"/>
              <w:rPr>
                <w:rFonts w:hint="default"/>
              </w:rPr>
            </w:pPr>
            <w:r>
              <w:t>340</w:t>
            </w:r>
          </w:p>
        </w:tc>
        <w:tc>
          <w:tcPr>
            <w:tcW w:w="554" w:type="pct"/>
            <w:shd w:val="clear" w:color="auto" w:fill="auto"/>
            <w:vAlign w:val="center"/>
          </w:tcPr>
          <w:p w14:paraId="37C645D4">
            <w:pPr>
              <w:pStyle w:val="45"/>
              <w:rPr>
                <w:rFonts w:hint="default"/>
              </w:rPr>
            </w:pPr>
            <w:r>
              <w:t>16</w:t>
            </w:r>
          </w:p>
        </w:tc>
        <w:tc>
          <w:tcPr>
            <w:tcW w:w="557" w:type="pct"/>
            <w:shd w:val="clear" w:color="auto" w:fill="auto"/>
            <w:vAlign w:val="center"/>
          </w:tcPr>
          <w:p w14:paraId="33CA4049">
            <w:pPr>
              <w:pStyle w:val="45"/>
              <w:rPr>
                <w:rFonts w:hint="default"/>
              </w:rPr>
            </w:pPr>
            <w:r>
              <w:t>160</w:t>
            </w:r>
          </w:p>
        </w:tc>
        <w:tc>
          <w:tcPr>
            <w:tcW w:w="554" w:type="pct"/>
            <w:shd w:val="clear" w:color="auto" w:fill="auto"/>
            <w:vAlign w:val="center"/>
          </w:tcPr>
          <w:p w14:paraId="2CE8063A">
            <w:pPr>
              <w:pStyle w:val="45"/>
              <w:rPr>
                <w:rFonts w:hint="default"/>
              </w:rPr>
            </w:pPr>
            <w:r>
              <w:rPr>
                <w:rFonts w:hint="default"/>
              </w:rPr>
              <w:t>/</w:t>
            </w:r>
          </w:p>
        </w:tc>
        <w:tc>
          <w:tcPr>
            <w:tcW w:w="554" w:type="pct"/>
            <w:shd w:val="clear" w:color="auto" w:fill="auto"/>
            <w:vAlign w:val="center"/>
          </w:tcPr>
          <w:p w14:paraId="4CD08AB4">
            <w:pPr>
              <w:pStyle w:val="45"/>
              <w:rPr>
                <w:rFonts w:hint="default"/>
              </w:rPr>
            </w:pPr>
            <w:r>
              <w:rPr>
                <w:rFonts w:hint="default"/>
              </w:rPr>
              <w:t>/</w:t>
            </w:r>
          </w:p>
        </w:tc>
        <w:tc>
          <w:tcPr>
            <w:tcW w:w="554" w:type="pct"/>
            <w:shd w:val="clear" w:color="auto" w:fill="auto"/>
            <w:vAlign w:val="center"/>
          </w:tcPr>
          <w:p w14:paraId="15E41148">
            <w:pPr>
              <w:pStyle w:val="45"/>
              <w:rPr>
                <w:rFonts w:hint="default"/>
              </w:rPr>
            </w:pPr>
            <w:r>
              <w:rPr>
                <w:rFonts w:hint="default"/>
              </w:rPr>
              <w:t>/</w:t>
            </w:r>
          </w:p>
        </w:tc>
        <w:tc>
          <w:tcPr>
            <w:tcW w:w="557" w:type="pct"/>
            <w:shd w:val="clear" w:color="auto" w:fill="auto"/>
            <w:vAlign w:val="center"/>
          </w:tcPr>
          <w:p w14:paraId="2886D9C5">
            <w:pPr>
              <w:pStyle w:val="45"/>
              <w:rPr>
                <w:rFonts w:hint="default"/>
              </w:rPr>
            </w:pPr>
            <w:r>
              <w:rPr>
                <w:rFonts w:hint="default"/>
              </w:rPr>
              <w:t>/</w:t>
            </w:r>
          </w:p>
        </w:tc>
      </w:tr>
      <w:tr w14:paraId="3D14F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trPr>
        <w:tc>
          <w:tcPr>
            <w:tcW w:w="554" w:type="pct"/>
            <w:shd w:val="clear" w:color="auto" w:fill="auto"/>
            <w:vAlign w:val="center"/>
          </w:tcPr>
          <w:p w14:paraId="45AC8267">
            <w:pPr>
              <w:pStyle w:val="45"/>
              <w:rPr>
                <w:rFonts w:hint="default"/>
              </w:rPr>
            </w:pPr>
            <w:r>
              <w:t>盐酸（大气毒性终点浓度</w:t>
            </w:r>
            <w:r>
              <w:rPr>
                <w:rFonts w:hint="default"/>
              </w:rPr>
              <w:t>2</w:t>
            </w:r>
            <w:r>
              <w:t>）</w:t>
            </w:r>
          </w:p>
        </w:tc>
        <w:tc>
          <w:tcPr>
            <w:tcW w:w="554" w:type="pct"/>
            <w:shd w:val="clear" w:color="auto" w:fill="auto"/>
            <w:vAlign w:val="center"/>
          </w:tcPr>
          <w:p w14:paraId="627588FE">
            <w:pPr>
              <w:pStyle w:val="45"/>
              <w:rPr>
                <w:rFonts w:hint="default"/>
              </w:rPr>
            </w:pPr>
            <w:r>
              <w:t>10</w:t>
            </w:r>
          </w:p>
        </w:tc>
        <w:tc>
          <w:tcPr>
            <w:tcW w:w="554" w:type="pct"/>
            <w:shd w:val="clear" w:color="auto" w:fill="auto"/>
            <w:vAlign w:val="center"/>
          </w:tcPr>
          <w:p w14:paraId="6754939A">
            <w:pPr>
              <w:pStyle w:val="45"/>
              <w:rPr>
                <w:rFonts w:hint="default"/>
              </w:rPr>
            </w:pPr>
            <w:r>
              <w:t>90</w:t>
            </w:r>
          </w:p>
        </w:tc>
        <w:tc>
          <w:tcPr>
            <w:tcW w:w="554" w:type="pct"/>
            <w:shd w:val="clear" w:color="auto" w:fill="auto"/>
            <w:vAlign w:val="center"/>
          </w:tcPr>
          <w:p w14:paraId="4B032FFD">
            <w:pPr>
              <w:pStyle w:val="45"/>
              <w:rPr>
                <w:rFonts w:hint="default"/>
              </w:rPr>
            </w:pPr>
            <w:r>
              <w:t>6</w:t>
            </w:r>
          </w:p>
        </w:tc>
        <w:tc>
          <w:tcPr>
            <w:tcW w:w="557" w:type="pct"/>
            <w:shd w:val="clear" w:color="auto" w:fill="auto"/>
            <w:vAlign w:val="center"/>
          </w:tcPr>
          <w:p w14:paraId="04DE043F">
            <w:pPr>
              <w:pStyle w:val="45"/>
              <w:rPr>
                <w:rFonts w:hint="default"/>
              </w:rPr>
            </w:pPr>
            <w:r>
              <w:t>10</w:t>
            </w:r>
          </w:p>
        </w:tc>
        <w:tc>
          <w:tcPr>
            <w:tcW w:w="554" w:type="pct"/>
            <w:shd w:val="clear" w:color="auto" w:fill="auto"/>
            <w:vAlign w:val="center"/>
          </w:tcPr>
          <w:p w14:paraId="61F36EE7">
            <w:pPr>
              <w:pStyle w:val="45"/>
              <w:rPr>
                <w:rFonts w:hint="default"/>
              </w:rPr>
            </w:pPr>
            <w:r>
              <w:rPr>
                <w:rFonts w:hint="default"/>
              </w:rPr>
              <w:t>/</w:t>
            </w:r>
          </w:p>
        </w:tc>
        <w:tc>
          <w:tcPr>
            <w:tcW w:w="554" w:type="pct"/>
            <w:shd w:val="clear" w:color="auto" w:fill="auto"/>
            <w:vAlign w:val="center"/>
          </w:tcPr>
          <w:p w14:paraId="1B65FDA2">
            <w:pPr>
              <w:pStyle w:val="45"/>
              <w:rPr>
                <w:rFonts w:hint="default"/>
              </w:rPr>
            </w:pPr>
            <w:r>
              <w:rPr>
                <w:rFonts w:hint="default"/>
              </w:rPr>
              <w:t>/</w:t>
            </w:r>
          </w:p>
        </w:tc>
        <w:tc>
          <w:tcPr>
            <w:tcW w:w="554" w:type="pct"/>
            <w:shd w:val="clear" w:color="auto" w:fill="auto"/>
            <w:vAlign w:val="center"/>
          </w:tcPr>
          <w:p w14:paraId="16BADAEF">
            <w:pPr>
              <w:pStyle w:val="45"/>
              <w:rPr>
                <w:rFonts w:hint="default"/>
              </w:rPr>
            </w:pPr>
            <w:r>
              <w:rPr>
                <w:rFonts w:hint="default"/>
              </w:rPr>
              <w:t>/</w:t>
            </w:r>
          </w:p>
        </w:tc>
        <w:tc>
          <w:tcPr>
            <w:tcW w:w="557" w:type="pct"/>
            <w:shd w:val="clear" w:color="auto" w:fill="auto"/>
            <w:vAlign w:val="center"/>
          </w:tcPr>
          <w:p w14:paraId="1F32E4AB">
            <w:pPr>
              <w:pStyle w:val="45"/>
              <w:rPr>
                <w:rFonts w:hint="default"/>
              </w:rPr>
            </w:pPr>
            <w:r>
              <w:rPr>
                <w:rFonts w:hint="default"/>
              </w:rPr>
              <w:t>/</w:t>
            </w:r>
          </w:p>
        </w:tc>
      </w:tr>
    </w:tbl>
    <w:p w14:paraId="312B6239">
      <w:pPr>
        <w:ind w:firstLine="0" w:firstLineChars="0"/>
      </w:pPr>
    </w:p>
    <w:tbl>
      <w:tblPr>
        <w:tblStyle w:val="3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30B7E5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7E7387D8">
            <w:pPr>
              <w:pStyle w:val="45"/>
              <w:rPr>
                <w:rFonts w:hint="default"/>
              </w:rPr>
            </w:pPr>
            <w:r>
              <w:drawing>
                <wp:inline distT="0" distB="0" distL="114300" distR="114300">
                  <wp:extent cx="5269230" cy="3395980"/>
                  <wp:effectExtent l="0" t="0" r="7620" b="13970"/>
                  <wp:docPr id="72" name="图片 72" descr="1700555037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1700555037233"/>
                          <pic:cNvPicPr>
                            <a:picLocks noChangeAspect="1"/>
                          </pic:cNvPicPr>
                        </pic:nvPicPr>
                        <pic:blipFill>
                          <a:blip r:embed="rId179" cstate="print"/>
                          <a:stretch>
                            <a:fillRect/>
                          </a:stretch>
                        </pic:blipFill>
                        <pic:spPr>
                          <a:xfrm>
                            <a:off x="0" y="0"/>
                            <a:ext cx="5269230" cy="3395980"/>
                          </a:xfrm>
                          <a:prstGeom prst="rect">
                            <a:avLst/>
                          </a:prstGeom>
                        </pic:spPr>
                      </pic:pic>
                    </a:graphicData>
                  </a:graphic>
                </wp:inline>
              </w:drawing>
            </w:r>
          </w:p>
        </w:tc>
      </w:tr>
      <w:tr w14:paraId="3B6090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67B7BCAE">
            <w:pPr>
              <w:pStyle w:val="45"/>
              <w:rPr>
                <w:rFonts w:hint="default"/>
              </w:rPr>
            </w:pPr>
            <w:r>
              <w:rPr>
                <w:b/>
                <w:bCs/>
              </w:rPr>
              <w:t>盐酸</w:t>
            </w:r>
            <w:r>
              <w:rPr>
                <w:rFonts w:hint="default"/>
                <w:b/>
                <w:bCs/>
              </w:rPr>
              <w:t>最不利气象条件下浓度分布情况</w:t>
            </w:r>
          </w:p>
        </w:tc>
      </w:tr>
      <w:tr w14:paraId="459ED8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4C45FD95">
            <w:pPr>
              <w:pStyle w:val="45"/>
              <w:rPr>
                <w:rFonts w:hint="default"/>
              </w:rPr>
            </w:pPr>
            <w:r>
              <w:drawing>
                <wp:inline distT="0" distB="0" distL="114300" distR="114300">
                  <wp:extent cx="5270500" cy="3352165"/>
                  <wp:effectExtent l="0" t="0" r="6350" b="635"/>
                  <wp:docPr id="73" name="图片 73" descr="170055560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1700555604123"/>
                          <pic:cNvPicPr>
                            <a:picLocks noChangeAspect="1"/>
                          </pic:cNvPicPr>
                        </pic:nvPicPr>
                        <pic:blipFill>
                          <a:blip r:embed="rId180" cstate="print"/>
                          <a:stretch>
                            <a:fillRect/>
                          </a:stretch>
                        </pic:blipFill>
                        <pic:spPr>
                          <a:xfrm>
                            <a:off x="0" y="0"/>
                            <a:ext cx="5270500" cy="3352165"/>
                          </a:xfrm>
                          <a:prstGeom prst="rect">
                            <a:avLst/>
                          </a:prstGeom>
                        </pic:spPr>
                      </pic:pic>
                    </a:graphicData>
                  </a:graphic>
                </wp:inline>
              </w:drawing>
            </w:r>
          </w:p>
        </w:tc>
      </w:tr>
      <w:tr w14:paraId="2821F8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4B5898F1">
            <w:pPr>
              <w:pStyle w:val="45"/>
              <w:rPr>
                <w:rFonts w:hint="default"/>
              </w:rPr>
            </w:pPr>
            <w:r>
              <w:rPr>
                <w:b/>
                <w:bCs/>
              </w:rPr>
              <w:t>盐酸</w:t>
            </w:r>
            <w:r>
              <w:rPr>
                <w:rFonts w:hint="default"/>
                <w:b/>
                <w:bCs/>
              </w:rPr>
              <w:t>最</w:t>
            </w:r>
            <w:r>
              <w:rPr>
                <w:b/>
                <w:bCs/>
              </w:rPr>
              <w:t>常见</w:t>
            </w:r>
            <w:r>
              <w:rPr>
                <w:rFonts w:hint="default"/>
                <w:b/>
                <w:bCs/>
              </w:rPr>
              <w:t>气象条件下浓度分布情况</w:t>
            </w:r>
          </w:p>
        </w:tc>
      </w:tr>
    </w:tbl>
    <w:p w14:paraId="32B63087">
      <w:pPr>
        <w:pStyle w:val="42"/>
        <w:numPr>
          <w:ilvl w:val="6"/>
          <w:numId w:val="1"/>
        </w:numPr>
        <w:rPr>
          <w:rFonts w:hint="default"/>
        </w:rPr>
      </w:pPr>
      <w:r>
        <w:t>风险预测浓度分布图</w:t>
      </w:r>
    </w:p>
    <w:p w14:paraId="46F97F13">
      <w:pPr>
        <w:ind w:firstLine="480"/>
      </w:pPr>
    </w:p>
    <w:p w14:paraId="543FA166">
      <w:pPr>
        <w:ind w:firstLine="48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07639BF9">
      <w:pPr>
        <w:ind w:firstLine="480"/>
      </w:pPr>
      <w:r>
        <w:rPr>
          <w:rFonts w:hint="eastAsia"/>
        </w:rPr>
        <w:t>盐酸</w:t>
      </w:r>
      <w:r>
        <w:t>泄漏对各敏感点造成的事故后果如下。</w:t>
      </w:r>
    </w:p>
    <w:p w14:paraId="3B429990">
      <w:pPr>
        <w:pStyle w:val="43"/>
        <w:numPr>
          <w:ilvl w:val="5"/>
          <w:numId w:val="1"/>
        </w:numPr>
        <w:rPr>
          <w:rFonts w:hint="default"/>
        </w:rPr>
      </w:pPr>
      <w:r>
        <w:t>盐酸储罐泄露</w:t>
      </w:r>
      <w:r>
        <w:rPr>
          <w:rFonts w:hint="default"/>
        </w:rPr>
        <w:t>产生的废气浓度在各敏感点随时间变化情况</w:t>
      </w:r>
      <w:r>
        <w:rPr>
          <w:rFonts w:hint="eastAsia"/>
          <w:lang w:eastAsia="zh-CN"/>
        </w:rPr>
        <w:t>（</w:t>
      </w:r>
      <w:r>
        <w:rPr>
          <w:rFonts w:hint="eastAsia"/>
          <w:lang w:val="en-US" w:eastAsia="zh-CN"/>
        </w:rPr>
        <w:t>单位：mg/m</w:t>
      </w:r>
      <w:r>
        <w:rPr>
          <w:rFonts w:hint="eastAsia"/>
          <w:vertAlign w:val="superscript"/>
          <w:lang w:val="en-US" w:eastAsia="zh-CN"/>
        </w:rPr>
        <w:t>3</w:t>
      </w:r>
      <w:r>
        <w:rPr>
          <w:rFonts w:hint="eastAsia"/>
          <w:lang w:eastAsia="zh-CN"/>
        </w:rPr>
        <w:t>）</w:t>
      </w:r>
    </w:p>
    <w:tbl>
      <w:tblPr>
        <w:tblStyle w:val="32"/>
        <w:tblW w:w="5000" w:type="pct"/>
        <w:tblInd w:w="0" w:type="dxa"/>
        <w:tblLayout w:type="autofit"/>
        <w:tblCellMar>
          <w:top w:w="0" w:type="dxa"/>
          <w:left w:w="108" w:type="dxa"/>
          <w:bottom w:w="0" w:type="dxa"/>
          <w:right w:w="108" w:type="dxa"/>
        </w:tblCellMar>
      </w:tblPr>
      <w:tblGrid>
        <w:gridCol w:w="742"/>
        <w:gridCol w:w="743"/>
        <w:gridCol w:w="1264"/>
        <w:gridCol w:w="1340"/>
        <w:gridCol w:w="501"/>
        <w:gridCol w:w="566"/>
        <w:gridCol w:w="566"/>
        <w:gridCol w:w="566"/>
        <w:gridCol w:w="566"/>
        <w:gridCol w:w="642"/>
        <w:gridCol w:w="743"/>
        <w:gridCol w:w="1264"/>
        <w:gridCol w:w="1340"/>
        <w:gridCol w:w="501"/>
        <w:gridCol w:w="566"/>
        <w:gridCol w:w="566"/>
        <w:gridCol w:w="566"/>
        <w:gridCol w:w="566"/>
        <w:gridCol w:w="566"/>
      </w:tblGrid>
      <w:tr w14:paraId="3890B91A">
        <w:tblPrEx>
          <w:tblCellMar>
            <w:top w:w="0" w:type="dxa"/>
            <w:left w:w="108" w:type="dxa"/>
            <w:bottom w:w="0" w:type="dxa"/>
            <w:right w:w="108" w:type="dxa"/>
          </w:tblCellMar>
        </w:tblPrEx>
        <w:trPr>
          <w:trHeight w:val="270" w:hRule="atLeast"/>
          <w:tblHeader/>
        </w:trPr>
        <w:tc>
          <w:tcPr>
            <w:tcW w:w="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1D276">
            <w:pPr>
              <w:pStyle w:val="45"/>
              <w:rPr>
                <w:rFonts w:hint="default"/>
                <w:b/>
                <w:bCs/>
              </w:rPr>
            </w:pPr>
            <w:r>
              <w:rPr>
                <w:b/>
                <w:bCs/>
              </w:rPr>
              <w:t>污染因子</w:t>
            </w:r>
          </w:p>
        </w:tc>
        <w:tc>
          <w:tcPr>
            <w:tcW w:w="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9CCFE">
            <w:pPr>
              <w:pStyle w:val="45"/>
              <w:rPr>
                <w:rFonts w:hint="default"/>
                <w:b/>
                <w:bCs/>
              </w:rPr>
            </w:pPr>
            <w:r>
              <w:rPr>
                <w:b/>
                <w:bCs/>
              </w:rPr>
              <w:t>气象情况</w:t>
            </w: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3E1CAC">
            <w:pPr>
              <w:pStyle w:val="45"/>
              <w:rPr>
                <w:rFonts w:hint="default"/>
                <w:b/>
                <w:bCs/>
              </w:rPr>
            </w:pPr>
            <w:r>
              <w:rPr>
                <w:b/>
                <w:bCs/>
              </w:rPr>
              <w:t>敏感点名称</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695E4">
            <w:pPr>
              <w:pStyle w:val="45"/>
              <w:rPr>
                <w:rFonts w:hint="default"/>
                <w:b/>
                <w:bCs/>
              </w:rPr>
            </w:pPr>
            <w:r>
              <w:rPr>
                <w:b/>
                <w:bCs/>
              </w:rPr>
              <w:t>最大浓度</w:t>
            </w:r>
            <w:r>
              <w:rPr>
                <w:rFonts w:hint="default"/>
                <w:b/>
                <w:bCs/>
              </w:rPr>
              <w:t>|</w:t>
            </w:r>
            <w:r>
              <w:rPr>
                <w:b/>
                <w:bCs/>
              </w:rPr>
              <w:t>时间</w:t>
            </w:r>
            <w:r>
              <w:rPr>
                <w:rFonts w:hint="default"/>
                <w:b/>
                <w:bCs/>
              </w:rPr>
              <w:t>(min)</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DBF45">
            <w:pPr>
              <w:pStyle w:val="45"/>
              <w:rPr>
                <w:rFonts w:hint="default"/>
                <w:b/>
                <w:bCs/>
              </w:rPr>
            </w:pPr>
            <w:r>
              <w:rPr>
                <w:rFonts w:hint="default"/>
                <w:b/>
                <w:bCs/>
              </w:rPr>
              <w:t>5min</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9E1AE">
            <w:pPr>
              <w:pStyle w:val="45"/>
              <w:rPr>
                <w:rFonts w:hint="default"/>
                <w:b/>
                <w:bCs/>
              </w:rPr>
            </w:pPr>
            <w:r>
              <w:rPr>
                <w:rFonts w:hint="default"/>
                <w:b/>
                <w:bCs/>
              </w:rPr>
              <w:t>10min</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AB3E8">
            <w:pPr>
              <w:pStyle w:val="45"/>
              <w:rPr>
                <w:rFonts w:hint="default"/>
                <w:b/>
                <w:bCs/>
              </w:rPr>
            </w:pPr>
            <w:r>
              <w:rPr>
                <w:rFonts w:hint="default"/>
                <w:b/>
                <w:bCs/>
              </w:rPr>
              <w:t>15min</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F1F68">
            <w:pPr>
              <w:pStyle w:val="45"/>
              <w:rPr>
                <w:rFonts w:hint="default"/>
                <w:b/>
                <w:bCs/>
              </w:rPr>
            </w:pPr>
            <w:r>
              <w:rPr>
                <w:rFonts w:hint="default"/>
                <w:b/>
                <w:bCs/>
              </w:rPr>
              <w:t>20min</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578CE">
            <w:pPr>
              <w:pStyle w:val="45"/>
              <w:rPr>
                <w:rFonts w:hint="default"/>
                <w:b/>
                <w:bCs/>
              </w:rPr>
            </w:pPr>
            <w:r>
              <w:rPr>
                <w:rFonts w:hint="default"/>
                <w:b/>
                <w:bCs/>
              </w:rPr>
              <w:t>25min</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1583D3">
            <w:pPr>
              <w:pStyle w:val="45"/>
              <w:rPr>
                <w:rFonts w:hint="default"/>
                <w:b/>
                <w:bCs/>
              </w:rPr>
            </w:pPr>
            <w:r>
              <w:rPr>
                <w:rFonts w:hint="default"/>
                <w:b/>
                <w:bCs/>
              </w:rPr>
              <w:t>30min</w:t>
            </w:r>
          </w:p>
        </w:tc>
        <w:tc>
          <w:tcPr>
            <w:tcW w:w="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7B94D">
            <w:pPr>
              <w:pStyle w:val="45"/>
              <w:rPr>
                <w:rFonts w:hint="default"/>
                <w:b/>
                <w:bCs/>
              </w:rPr>
            </w:pPr>
            <w:r>
              <w:rPr>
                <w:b/>
                <w:bCs/>
              </w:rPr>
              <w:t>气象情况</w:t>
            </w: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03145">
            <w:pPr>
              <w:pStyle w:val="45"/>
              <w:rPr>
                <w:rFonts w:hint="default"/>
                <w:b/>
                <w:bCs/>
              </w:rPr>
            </w:pPr>
            <w:r>
              <w:rPr>
                <w:b/>
                <w:bCs/>
              </w:rPr>
              <w:t>敏感点名称</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A381CF">
            <w:pPr>
              <w:pStyle w:val="45"/>
              <w:rPr>
                <w:rFonts w:hint="default"/>
                <w:b/>
                <w:bCs/>
              </w:rPr>
            </w:pPr>
            <w:r>
              <w:rPr>
                <w:b/>
                <w:bCs/>
              </w:rPr>
              <w:t>最大浓度</w:t>
            </w:r>
            <w:r>
              <w:rPr>
                <w:rFonts w:hint="default"/>
                <w:b/>
                <w:bCs/>
              </w:rPr>
              <w:t>|</w:t>
            </w:r>
            <w:r>
              <w:rPr>
                <w:b/>
                <w:bCs/>
              </w:rPr>
              <w:t>时间</w:t>
            </w:r>
            <w:r>
              <w:rPr>
                <w:rFonts w:hint="default"/>
                <w:b/>
                <w:bCs/>
              </w:rPr>
              <w:t>(min)</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1FE0F4">
            <w:pPr>
              <w:pStyle w:val="45"/>
              <w:rPr>
                <w:rFonts w:hint="default"/>
                <w:b/>
                <w:bCs/>
              </w:rPr>
            </w:pPr>
            <w:r>
              <w:rPr>
                <w:rFonts w:hint="default"/>
                <w:b/>
                <w:bCs/>
              </w:rPr>
              <w:t>5min</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FF08F">
            <w:pPr>
              <w:pStyle w:val="45"/>
              <w:rPr>
                <w:rFonts w:hint="default"/>
                <w:b/>
                <w:bCs/>
              </w:rPr>
            </w:pPr>
            <w:r>
              <w:rPr>
                <w:rFonts w:hint="default"/>
                <w:b/>
                <w:bCs/>
              </w:rPr>
              <w:t>10min</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E7464D">
            <w:pPr>
              <w:pStyle w:val="45"/>
              <w:rPr>
                <w:rFonts w:hint="default"/>
                <w:b/>
                <w:bCs/>
              </w:rPr>
            </w:pPr>
            <w:r>
              <w:rPr>
                <w:rFonts w:hint="default"/>
                <w:b/>
                <w:bCs/>
              </w:rPr>
              <w:t>15min</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E40E9">
            <w:pPr>
              <w:pStyle w:val="45"/>
              <w:rPr>
                <w:rFonts w:hint="default"/>
                <w:b/>
                <w:bCs/>
              </w:rPr>
            </w:pPr>
            <w:r>
              <w:rPr>
                <w:rFonts w:hint="default"/>
                <w:b/>
                <w:bCs/>
              </w:rPr>
              <w:t>20min</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FA3D7">
            <w:pPr>
              <w:pStyle w:val="45"/>
              <w:rPr>
                <w:rFonts w:hint="default"/>
                <w:b/>
                <w:bCs/>
              </w:rPr>
            </w:pPr>
            <w:r>
              <w:rPr>
                <w:rFonts w:hint="default"/>
                <w:b/>
                <w:bCs/>
              </w:rPr>
              <w:t>25min</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EA804">
            <w:pPr>
              <w:pStyle w:val="45"/>
              <w:rPr>
                <w:rFonts w:hint="default"/>
                <w:b/>
                <w:bCs/>
              </w:rPr>
            </w:pPr>
            <w:r>
              <w:rPr>
                <w:rFonts w:hint="default"/>
                <w:b/>
                <w:bCs/>
              </w:rPr>
              <w:t>30min</w:t>
            </w:r>
          </w:p>
        </w:tc>
      </w:tr>
      <w:tr w14:paraId="20024CB3">
        <w:tblPrEx>
          <w:tblCellMar>
            <w:top w:w="0" w:type="dxa"/>
            <w:left w:w="108" w:type="dxa"/>
            <w:bottom w:w="0" w:type="dxa"/>
            <w:right w:w="108" w:type="dxa"/>
          </w:tblCellMar>
        </w:tblPrEx>
        <w:trPr>
          <w:trHeight w:val="270" w:hRule="atLeast"/>
        </w:trPr>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1F3D1">
            <w:pPr>
              <w:pStyle w:val="45"/>
              <w:rPr>
                <w:rFonts w:hint="default"/>
              </w:rPr>
            </w:pPr>
            <w:r>
              <w:t>盐酸</w:t>
            </w:r>
          </w:p>
        </w:tc>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C8AD4">
            <w:pPr>
              <w:pStyle w:val="45"/>
              <w:rPr>
                <w:rFonts w:hint="default"/>
              </w:rPr>
            </w:pPr>
            <w:r>
              <w:t>最不利</w:t>
            </w: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ADD977">
            <w:pPr>
              <w:pStyle w:val="45"/>
              <w:rPr>
                <w:rFonts w:hint="default"/>
              </w:rPr>
            </w:pPr>
            <w:r>
              <w:t>新安村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E725A">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C6526">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FC968">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A1CA3">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A62A4">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1BCDA">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09712">
            <w:pPr>
              <w:pStyle w:val="45"/>
              <w:rPr>
                <w:rFonts w:hint="default"/>
              </w:rPr>
            </w:pPr>
            <w:r>
              <w:t>0</w:t>
            </w:r>
          </w:p>
        </w:tc>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4B9E5">
            <w:pPr>
              <w:pStyle w:val="45"/>
              <w:rPr>
                <w:rFonts w:hint="default"/>
              </w:rPr>
            </w:pPr>
            <w:r>
              <w:t>最常见</w:t>
            </w: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911A16">
            <w:pPr>
              <w:pStyle w:val="45"/>
              <w:rPr>
                <w:rFonts w:hint="default"/>
              </w:rPr>
            </w:pPr>
            <w:r>
              <w:t>新安村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B13F0">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878FC">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9ACA4">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06292">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B8092">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56874">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24FDF0">
            <w:pPr>
              <w:pStyle w:val="45"/>
              <w:rPr>
                <w:rFonts w:hint="default"/>
              </w:rPr>
            </w:pPr>
            <w:r>
              <w:t>0</w:t>
            </w:r>
          </w:p>
        </w:tc>
      </w:tr>
      <w:tr w14:paraId="4B5F19EF">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AC5BA3">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4BCE57">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2599A3">
            <w:pPr>
              <w:pStyle w:val="45"/>
              <w:rPr>
                <w:rFonts w:hint="default"/>
              </w:rPr>
            </w:pPr>
            <w:r>
              <w:t>松木村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61DEC">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F7399D">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97FEA">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31871">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C7AEB">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A7B06">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7105E">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43E695">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F2DD2F">
            <w:pPr>
              <w:pStyle w:val="45"/>
              <w:rPr>
                <w:rFonts w:hint="default"/>
              </w:rPr>
            </w:pPr>
            <w:r>
              <w:t>松木村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55608">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A1DC2">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6F4B0">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E347C">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EBF5A">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61400">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4D5DD">
            <w:pPr>
              <w:pStyle w:val="45"/>
              <w:rPr>
                <w:rFonts w:hint="default"/>
              </w:rPr>
            </w:pPr>
            <w:r>
              <w:t>0</w:t>
            </w:r>
          </w:p>
        </w:tc>
      </w:tr>
      <w:tr w14:paraId="53F28E0A">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5B8A2">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694494">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10F23">
            <w:pPr>
              <w:pStyle w:val="45"/>
              <w:rPr>
                <w:rFonts w:hint="default"/>
              </w:rPr>
            </w:pPr>
            <w:r>
              <w:t>金源小学</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7C446">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479A3">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E5FF6">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5CB7A">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C2FD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2F62B">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189A7">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ED848">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8BCFA">
            <w:pPr>
              <w:pStyle w:val="45"/>
              <w:rPr>
                <w:rFonts w:hint="default"/>
              </w:rPr>
            </w:pPr>
            <w:r>
              <w:t>金源小学</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1866D">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5011AB">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380BE">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80EDE8">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078A45">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CA6C6">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89BD0">
            <w:pPr>
              <w:pStyle w:val="45"/>
              <w:rPr>
                <w:rFonts w:hint="default"/>
              </w:rPr>
            </w:pPr>
            <w:r>
              <w:t>0</w:t>
            </w:r>
          </w:p>
        </w:tc>
      </w:tr>
      <w:tr w14:paraId="309BA1AF">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1FCDC9">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BF744B">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0ECFB">
            <w:pPr>
              <w:pStyle w:val="45"/>
              <w:rPr>
                <w:rFonts w:hint="default"/>
              </w:rPr>
            </w:pPr>
            <w:r>
              <w:t>金源社区安置房2</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76D39D">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3A1A3">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1A8867">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A22ACE">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A699D">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5749F">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1A942">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B7FCBD">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5C162">
            <w:pPr>
              <w:pStyle w:val="45"/>
              <w:rPr>
                <w:rFonts w:hint="default"/>
              </w:rPr>
            </w:pPr>
            <w:r>
              <w:t>金源社区安置房2</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A7E58">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2FE43">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E48C8">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57A9A">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33957">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240F1">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6CAE0">
            <w:pPr>
              <w:pStyle w:val="45"/>
              <w:rPr>
                <w:rFonts w:hint="default"/>
              </w:rPr>
            </w:pPr>
            <w:r>
              <w:t>0</w:t>
            </w:r>
          </w:p>
        </w:tc>
      </w:tr>
      <w:tr w14:paraId="1B0B4D40">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D500F2">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7CF27">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7A224">
            <w:pPr>
              <w:pStyle w:val="45"/>
              <w:rPr>
                <w:rFonts w:hint="default"/>
              </w:rPr>
            </w:pPr>
            <w:r>
              <w:t>金源社区医院</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64086">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CF0E3A">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1250A">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4D703">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D392D">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2C92C1">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C1428">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BAB35">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65584">
            <w:pPr>
              <w:pStyle w:val="45"/>
              <w:rPr>
                <w:rFonts w:hint="default"/>
              </w:rPr>
            </w:pPr>
            <w:r>
              <w:t>金源社区医院</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93E0D">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FBE9A">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2A91E">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3A853">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614ACE">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C66DB">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7AF9BF">
            <w:pPr>
              <w:pStyle w:val="45"/>
              <w:rPr>
                <w:rFonts w:hint="default"/>
              </w:rPr>
            </w:pPr>
            <w:r>
              <w:t>0</w:t>
            </w:r>
          </w:p>
        </w:tc>
      </w:tr>
      <w:tr w14:paraId="2806A94A">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A0580">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6FDBC7">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4FAB4B">
            <w:pPr>
              <w:pStyle w:val="45"/>
              <w:rPr>
                <w:rFonts w:hint="default"/>
              </w:rPr>
            </w:pPr>
            <w:r>
              <w:t>金源社区安置房</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7CFA8">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E93B3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78A25C">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0FAB8">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CDE79">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32D1E">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965A7">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48C8E">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EB95D">
            <w:pPr>
              <w:pStyle w:val="45"/>
              <w:rPr>
                <w:rFonts w:hint="default"/>
              </w:rPr>
            </w:pPr>
            <w:r>
              <w:t>金源社区安置房</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79BB5">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05A0E1">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E179B">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1C2D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04FA6D">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DB300">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08AC2">
            <w:pPr>
              <w:pStyle w:val="45"/>
              <w:rPr>
                <w:rFonts w:hint="default"/>
              </w:rPr>
            </w:pPr>
            <w:r>
              <w:t>0</w:t>
            </w:r>
          </w:p>
        </w:tc>
      </w:tr>
      <w:tr w14:paraId="27CEF0D0">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5F7ED">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BB92F1">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133CB9">
            <w:pPr>
              <w:pStyle w:val="45"/>
              <w:rPr>
                <w:rFonts w:hint="default"/>
              </w:rPr>
            </w:pPr>
            <w:r>
              <w:t>湖南工商职业学院</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487E4">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6FF59">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D5AEFE">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FDFEC8">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CF61A">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9EE69E">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E8D220">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15B42">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20296">
            <w:pPr>
              <w:pStyle w:val="45"/>
              <w:rPr>
                <w:rFonts w:hint="default"/>
              </w:rPr>
            </w:pPr>
            <w:r>
              <w:t>湖南工商职业学院</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F4DC78">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82D6C8">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72725C">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45F6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6ECAE">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61DDD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DAF2DC">
            <w:pPr>
              <w:pStyle w:val="45"/>
              <w:rPr>
                <w:rFonts w:hint="default"/>
              </w:rPr>
            </w:pPr>
            <w:r>
              <w:t>0</w:t>
            </w:r>
          </w:p>
        </w:tc>
      </w:tr>
      <w:tr w14:paraId="2A8A77BB">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CCCC2">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F7D79">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C2AA4">
            <w:pPr>
              <w:pStyle w:val="45"/>
              <w:rPr>
                <w:rFonts w:hint="default"/>
              </w:rPr>
            </w:pPr>
            <w:r>
              <w:t>园区管委会</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2238A">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CCE4C9">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F029D">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A51C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A709F1">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79A21">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8526D">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CF513">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636CE">
            <w:pPr>
              <w:pStyle w:val="45"/>
              <w:rPr>
                <w:rFonts w:hint="default"/>
              </w:rPr>
            </w:pPr>
            <w:r>
              <w:t>园区管委会</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BF36D">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1FAA93">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47DD73">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B5C98">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C0EA5">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EEFB7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74725B">
            <w:pPr>
              <w:pStyle w:val="45"/>
              <w:rPr>
                <w:rFonts w:hint="default"/>
              </w:rPr>
            </w:pPr>
            <w:r>
              <w:t>0</w:t>
            </w:r>
          </w:p>
        </w:tc>
      </w:tr>
      <w:tr w14:paraId="39A4B244">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A7F06">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0F033">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766F4">
            <w:pPr>
              <w:pStyle w:val="45"/>
              <w:rPr>
                <w:rFonts w:hint="default"/>
              </w:rPr>
            </w:pPr>
            <w:r>
              <w:t>松木中学</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07B4EC">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3D9263">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5228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2AA59">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96B6B">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F78258">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69000F">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567CA">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780918">
            <w:pPr>
              <w:pStyle w:val="45"/>
              <w:rPr>
                <w:rFonts w:hint="default"/>
              </w:rPr>
            </w:pPr>
            <w:r>
              <w:t>松木中学</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63898">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31BEE">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D7E1C">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26BE2">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E412D">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92D01">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2C6EE3">
            <w:pPr>
              <w:pStyle w:val="45"/>
              <w:rPr>
                <w:rFonts w:hint="default"/>
              </w:rPr>
            </w:pPr>
            <w:r>
              <w:t>0</w:t>
            </w:r>
          </w:p>
        </w:tc>
      </w:tr>
      <w:tr w14:paraId="5176460E">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92709">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44130">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D4C3B">
            <w:pPr>
              <w:pStyle w:val="45"/>
              <w:rPr>
                <w:rFonts w:hint="default"/>
              </w:rPr>
            </w:pPr>
            <w:r>
              <w:t>松木村2</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1BFF4">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EF4BE">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E9C360">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793C8">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01D88">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1AF4DB">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1FB95">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3C6BB">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2356A1">
            <w:pPr>
              <w:pStyle w:val="45"/>
              <w:rPr>
                <w:rFonts w:hint="default"/>
              </w:rPr>
            </w:pPr>
            <w:r>
              <w:t>松木村2</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E5FC4">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1DA03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90675">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E19FD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F8D99">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72BCE">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C2C71">
            <w:pPr>
              <w:pStyle w:val="45"/>
              <w:rPr>
                <w:rFonts w:hint="default"/>
              </w:rPr>
            </w:pPr>
            <w:r>
              <w:t>0</w:t>
            </w:r>
          </w:p>
        </w:tc>
      </w:tr>
      <w:tr w14:paraId="08DAAC94">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1C6BA4">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B72BC">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48D4F">
            <w:pPr>
              <w:pStyle w:val="45"/>
              <w:rPr>
                <w:rFonts w:hint="default"/>
              </w:rPr>
            </w:pPr>
            <w:r>
              <w:t>园区安置房</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D958FD">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DDE58">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36BFE">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90E32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9BA89B">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13564">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67809">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C61CF">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E2A2C7">
            <w:pPr>
              <w:pStyle w:val="45"/>
              <w:rPr>
                <w:rFonts w:hint="default"/>
              </w:rPr>
            </w:pPr>
            <w:r>
              <w:t>园区安置房</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DDCAE">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3F9D3">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F4E499">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9DD75">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042781">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8A986">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F4648">
            <w:pPr>
              <w:pStyle w:val="45"/>
              <w:rPr>
                <w:rFonts w:hint="default"/>
              </w:rPr>
            </w:pPr>
            <w:r>
              <w:t>0</w:t>
            </w:r>
          </w:p>
        </w:tc>
      </w:tr>
      <w:tr w14:paraId="321487FD">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1BE8AA">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47FCA">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D630B">
            <w:pPr>
              <w:pStyle w:val="45"/>
              <w:rPr>
                <w:rFonts w:hint="default"/>
              </w:rPr>
            </w:pPr>
            <w:r>
              <w:t>友谊村</w:t>
            </w:r>
          </w:p>
        </w:tc>
        <w:tc>
          <w:tcPr>
            <w:tcW w:w="13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54EC1">
            <w:pPr>
              <w:pStyle w:val="45"/>
              <w:rPr>
                <w:rFonts w:hint="default"/>
              </w:rPr>
            </w:pPr>
            <w:r>
              <w:t>3.83522|30</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F673F">
            <w:pPr>
              <w:pStyle w:val="45"/>
              <w:rPr>
                <w:rFonts w:hint="default"/>
              </w:rPr>
            </w:pPr>
            <w:r>
              <w:t>0</w:t>
            </w:r>
          </w:p>
        </w:tc>
        <w:tc>
          <w:tcPr>
            <w:tcW w:w="5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89052">
            <w:pPr>
              <w:pStyle w:val="45"/>
              <w:rPr>
                <w:rFonts w:hint="default"/>
              </w:rPr>
            </w:pPr>
            <w:r>
              <w:t>0</w:t>
            </w:r>
          </w:p>
        </w:tc>
        <w:tc>
          <w:tcPr>
            <w:tcW w:w="5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718ED">
            <w:pPr>
              <w:pStyle w:val="45"/>
              <w:rPr>
                <w:rFonts w:hint="default"/>
              </w:rPr>
            </w:pPr>
            <w:r>
              <w:t>0</w:t>
            </w:r>
          </w:p>
        </w:tc>
        <w:tc>
          <w:tcPr>
            <w:tcW w:w="5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B4B04">
            <w:pPr>
              <w:pStyle w:val="45"/>
              <w:rPr>
                <w:rFonts w:hint="default"/>
              </w:rPr>
            </w:pPr>
            <w:r>
              <w:t>0</w:t>
            </w:r>
          </w:p>
        </w:tc>
        <w:tc>
          <w:tcPr>
            <w:tcW w:w="5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31089">
            <w:pPr>
              <w:pStyle w:val="45"/>
              <w:rPr>
                <w:rFonts w:hint="default"/>
              </w:rPr>
            </w:pPr>
            <w:r>
              <w:t>0</w:t>
            </w:r>
          </w:p>
        </w:tc>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CA0139">
            <w:pPr>
              <w:pStyle w:val="45"/>
              <w:rPr>
                <w:rFonts w:hint="default"/>
              </w:rPr>
            </w:pPr>
            <w:r>
              <w:t>3.83522</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EEFF2">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A6757">
            <w:pPr>
              <w:pStyle w:val="45"/>
              <w:rPr>
                <w:rFonts w:hint="default"/>
              </w:rPr>
            </w:pPr>
            <w:r>
              <w:t>友谊村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628EF">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DDEDE">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D5F51">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861E4">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70121">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11213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6249A">
            <w:pPr>
              <w:pStyle w:val="45"/>
              <w:rPr>
                <w:rFonts w:hint="default"/>
              </w:rPr>
            </w:pPr>
            <w:r>
              <w:t>0</w:t>
            </w:r>
          </w:p>
        </w:tc>
      </w:tr>
      <w:tr w14:paraId="3621533C">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E6239">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A88E8">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1442A">
            <w:pPr>
              <w:pStyle w:val="45"/>
              <w:rPr>
                <w:rFonts w:hint="default"/>
              </w:rPr>
            </w:pPr>
            <w:r>
              <w:t>龙谊村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279D3">
            <w:pPr>
              <w:pStyle w:val="45"/>
              <w:rPr>
                <w:rFonts w:hint="default"/>
              </w:rPr>
            </w:pPr>
            <w:r>
              <w:t>0.0|30</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AD91A">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077D7">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E4ED3">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5953E3">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7528B">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A482F">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CE264">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514B6">
            <w:pPr>
              <w:pStyle w:val="45"/>
              <w:rPr>
                <w:rFonts w:hint="default"/>
              </w:rPr>
            </w:pPr>
            <w:r>
              <w:t>龙谊村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C71BFD">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FD2CE">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D6B9A">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41D90">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FC71F2">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2103D">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C8C13">
            <w:pPr>
              <w:pStyle w:val="45"/>
              <w:rPr>
                <w:rFonts w:hint="default"/>
              </w:rPr>
            </w:pPr>
            <w:r>
              <w:t>0</w:t>
            </w:r>
          </w:p>
        </w:tc>
      </w:tr>
      <w:tr w14:paraId="68D5F7DC">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584C2">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4432B4">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D1627F">
            <w:pPr>
              <w:pStyle w:val="45"/>
              <w:rPr>
                <w:rFonts w:hint="default"/>
              </w:rPr>
            </w:pPr>
            <w:r>
              <w:t>友爱村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B1017">
            <w:pPr>
              <w:pStyle w:val="45"/>
              <w:rPr>
                <w:rFonts w:hint="default"/>
              </w:rPr>
            </w:pPr>
            <w:r>
              <w:t>0.0|30</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910F8">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AEE0B">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8D7D5">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8888CB">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18881">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2734B">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3F55B9">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52866">
            <w:pPr>
              <w:pStyle w:val="45"/>
              <w:rPr>
                <w:rFonts w:hint="default"/>
              </w:rPr>
            </w:pPr>
            <w:r>
              <w:t>友爱村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462F0">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3C4B57">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2A1FC">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9BFD72">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5E189">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CE8067">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D79CAA">
            <w:pPr>
              <w:pStyle w:val="45"/>
              <w:rPr>
                <w:rFonts w:hint="default"/>
              </w:rPr>
            </w:pPr>
            <w:r>
              <w:t>0</w:t>
            </w:r>
          </w:p>
        </w:tc>
      </w:tr>
      <w:tr w14:paraId="75753238">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E2FD8">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92C4B">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C31B41">
            <w:pPr>
              <w:pStyle w:val="45"/>
              <w:rPr>
                <w:rFonts w:hint="default"/>
              </w:rPr>
            </w:pPr>
            <w:r>
              <w:t>江霞村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4CF36">
            <w:pPr>
              <w:pStyle w:val="45"/>
              <w:rPr>
                <w:rFonts w:hint="default"/>
              </w:rPr>
            </w:pPr>
            <w:r>
              <w:t>0.0|30</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459D8">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30E34">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7C290">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D36F0">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E7591">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F748D">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DB993">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A42E9">
            <w:pPr>
              <w:pStyle w:val="45"/>
              <w:rPr>
                <w:rFonts w:hint="default"/>
              </w:rPr>
            </w:pPr>
            <w:r>
              <w:t>江霞村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12A7B0">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5E50D6">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0696B7">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D9706">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7A3FE9">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3D53B">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B22E3B">
            <w:pPr>
              <w:pStyle w:val="45"/>
              <w:rPr>
                <w:rFonts w:hint="default"/>
              </w:rPr>
            </w:pPr>
            <w:r>
              <w:t>0</w:t>
            </w:r>
          </w:p>
        </w:tc>
      </w:tr>
      <w:tr w14:paraId="29F25E6E">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BBA15">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70A46">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46A20">
            <w:pPr>
              <w:pStyle w:val="45"/>
              <w:rPr>
                <w:rFonts w:hint="default"/>
              </w:rPr>
            </w:pPr>
            <w:r>
              <w:t>金兰村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A2483B">
            <w:pPr>
              <w:pStyle w:val="45"/>
              <w:rPr>
                <w:rFonts w:hint="default"/>
              </w:rPr>
            </w:pPr>
            <w:r>
              <w:t>0.0|30</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ACA41">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67820">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4EC7E">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5715B6">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5990A5">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0CA4A6">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9A4A2">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DBA0F">
            <w:pPr>
              <w:pStyle w:val="45"/>
              <w:rPr>
                <w:rFonts w:hint="default"/>
              </w:rPr>
            </w:pPr>
            <w:r>
              <w:t>金兰村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C44008">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8EFB5D">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3B70D">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1AF0A">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AE04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DDF16">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340DA">
            <w:pPr>
              <w:pStyle w:val="45"/>
              <w:rPr>
                <w:rFonts w:hint="default"/>
              </w:rPr>
            </w:pPr>
            <w:r>
              <w:t>0</w:t>
            </w:r>
          </w:p>
        </w:tc>
      </w:tr>
      <w:tr w14:paraId="7973AEC5">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7F9E1">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FEC8F">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9C3BD">
            <w:pPr>
              <w:pStyle w:val="45"/>
              <w:rPr>
                <w:rFonts w:hint="default"/>
              </w:rPr>
            </w:pPr>
            <w:r>
              <w:t>大昌村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64FDB">
            <w:pPr>
              <w:pStyle w:val="45"/>
              <w:rPr>
                <w:rFonts w:hint="default"/>
              </w:rPr>
            </w:pPr>
            <w:r>
              <w:t>0.0|30</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51FA0">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52C73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8D903">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39265">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6DF79">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4BA309">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688B4">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0458A2">
            <w:pPr>
              <w:pStyle w:val="45"/>
              <w:rPr>
                <w:rFonts w:hint="default"/>
              </w:rPr>
            </w:pPr>
            <w:r>
              <w:t>大昌村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A4A35">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2AAA56">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D2E62">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BE708">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1B782">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0DC34">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89EF0">
            <w:pPr>
              <w:pStyle w:val="45"/>
              <w:rPr>
                <w:rFonts w:hint="default"/>
              </w:rPr>
            </w:pPr>
            <w:r>
              <w:t>0</w:t>
            </w:r>
          </w:p>
        </w:tc>
      </w:tr>
      <w:tr w14:paraId="1F5F4819">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64339B">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847C5">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0B1B91">
            <w:pPr>
              <w:pStyle w:val="45"/>
              <w:rPr>
                <w:rFonts w:hint="default"/>
              </w:rPr>
            </w:pPr>
            <w:r>
              <w:t>风险-李坳村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6BE251">
            <w:pPr>
              <w:pStyle w:val="45"/>
              <w:rPr>
                <w:rFonts w:hint="default"/>
              </w:rPr>
            </w:pPr>
            <w:r>
              <w:t>0.0|30</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CEB81">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0E2A1">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83937">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0D119">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DE561">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07BD1C">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9BFB0">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60AB7C">
            <w:pPr>
              <w:pStyle w:val="45"/>
              <w:rPr>
                <w:rFonts w:hint="default"/>
              </w:rPr>
            </w:pPr>
            <w:r>
              <w:t>风险-李坳村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8D130">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5F444">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C7CF7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B84BBC">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B4070">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69AA7">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32093">
            <w:pPr>
              <w:pStyle w:val="45"/>
              <w:rPr>
                <w:rFonts w:hint="default"/>
              </w:rPr>
            </w:pPr>
            <w:r>
              <w:t>0</w:t>
            </w:r>
          </w:p>
        </w:tc>
      </w:tr>
      <w:tr w14:paraId="02AD2BA4">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D0529">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920C5">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A88920">
            <w:pPr>
              <w:pStyle w:val="45"/>
              <w:rPr>
                <w:rFonts w:hint="default"/>
              </w:rPr>
            </w:pPr>
            <w:r>
              <w:t>塔兴村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4EEF9">
            <w:pPr>
              <w:pStyle w:val="45"/>
              <w:rPr>
                <w:rFonts w:hint="default"/>
              </w:rPr>
            </w:pPr>
            <w:r>
              <w:t>0.0|30</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D2592">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4380D">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44159">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012BFE">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39D2C6">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5D70B">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98CCB">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A595F">
            <w:pPr>
              <w:pStyle w:val="45"/>
              <w:rPr>
                <w:rFonts w:hint="default"/>
              </w:rPr>
            </w:pPr>
            <w:r>
              <w:t>塔兴村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A9DFB">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9807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E8322">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975881">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A0EF8">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69082">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D91AC">
            <w:pPr>
              <w:pStyle w:val="45"/>
              <w:rPr>
                <w:rFonts w:hint="default"/>
              </w:rPr>
            </w:pPr>
            <w:r>
              <w:t>0</w:t>
            </w:r>
          </w:p>
        </w:tc>
      </w:tr>
      <w:tr w14:paraId="057DACCD">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FC973">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8531B">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597FE2">
            <w:pPr>
              <w:pStyle w:val="45"/>
              <w:rPr>
                <w:rFonts w:hint="default"/>
              </w:rPr>
            </w:pPr>
            <w:r>
              <w:t>三里村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EAE2E">
            <w:pPr>
              <w:pStyle w:val="45"/>
              <w:rPr>
                <w:rFonts w:hint="default"/>
              </w:rPr>
            </w:pPr>
            <w:r>
              <w:t>0.0|30</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A6E7A">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AB02B">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D4193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1258A">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CB07EA">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89CD8">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B48F4">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44536D">
            <w:pPr>
              <w:pStyle w:val="45"/>
              <w:rPr>
                <w:rFonts w:hint="default"/>
              </w:rPr>
            </w:pPr>
            <w:r>
              <w:t>三里村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A263E">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AE7A2D">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249D4">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6A990">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B7325">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BF8014">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CB5B20">
            <w:pPr>
              <w:pStyle w:val="45"/>
              <w:rPr>
                <w:rFonts w:hint="default"/>
              </w:rPr>
            </w:pPr>
            <w:r>
              <w:t>0</w:t>
            </w:r>
          </w:p>
        </w:tc>
      </w:tr>
      <w:tr w14:paraId="53FB8E7A">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5AD16D">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959EC">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2A692">
            <w:pPr>
              <w:pStyle w:val="45"/>
              <w:rPr>
                <w:rFonts w:hint="default"/>
              </w:rPr>
            </w:pPr>
            <w:r>
              <w:t>古城村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308C9">
            <w:pPr>
              <w:pStyle w:val="45"/>
              <w:rPr>
                <w:rFonts w:hint="default"/>
              </w:rPr>
            </w:pPr>
            <w:r>
              <w:t>0.0|30</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75EC7">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D5DAB">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E9A9D">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DCB0B">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79360">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4D10E">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E767D">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F623E">
            <w:pPr>
              <w:pStyle w:val="45"/>
              <w:rPr>
                <w:rFonts w:hint="default"/>
              </w:rPr>
            </w:pPr>
            <w:r>
              <w:t>古城村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13CDF">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D296B">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A212D">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B19D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8839D">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317FC">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B0E6AD">
            <w:pPr>
              <w:pStyle w:val="45"/>
              <w:rPr>
                <w:rFonts w:hint="default"/>
              </w:rPr>
            </w:pPr>
            <w:r>
              <w:t>0</w:t>
            </w:r>
          </w:p>
        </w:tc>
      </w:tr>
      <w:tr w14:paraId="40A99077">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3994C">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5A91E">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7FA77">
            <w:pPr>
              <w:pStyle w:val="45"/>
              <w:rPr>
                <w:rFonts w:hint="default"/>
              </w:rPr>
            </w:pPr>
            <w:r>
              <w:t>金甲村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3DC91">
            <w:pPr>
              <w:pStyle w:val="45"/>
              <w:rPr>
                <w:rFonts w:hint="default"/>
              </w:rPr>
            </w:pPr>
            <w:r>
              <w:t>0.0|30</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F1F7C">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ED95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D2ED8">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C0ACCA">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3FC2C">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3410F">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04572">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EA28B9">
            <w:pPr>
              <w:pStyle w:val="45"/>
              <w:rPr>
                <w:rFonts w:hint="default"/>
              </w:rPr>
            </w:pPr>
            <w:r>
              <w:t>金甲村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4A73C">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148EF8">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08090D">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4544A">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DE9E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99E415">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0792CA">
            <w:pPr>
              <w:pStyle w:val="45"/>
              <w:rPr>
                <w:rFonts w:hint="default"/>
              </w:rPr>
            </w:pPr>
            <w:r>
              <w:t>0</w:t>
            </w:r>
          </w:p>
        </w:tc>
      </w:tr>
      <w:tr w14:paraId="0AECB984">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48E3D">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C595D9">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854964">
            <w:pPr>
              <w:pStyle w:val="45"/>
              <w:rPr>
                <w:rFonts w:hint="default"/>
              </w:rPr>
            </w:pPr>
            <w:r>
              <w:t>藕塘村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17249">
            <w:pPr>
              <w:pStyle w:val="45"/>
              <w:rPr>
                <w:rFonts w:hint="default"/>
              </w:rPr>
            </w:pPr>
            <w:r>
              <w:t>0.0|30</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57D5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7F8AD">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8653C">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CECF87">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036BC">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C3B25">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28E7B">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A9E8E">
            <w:pPr>
              <w:pStyle w:val="45"/>
              <w:rPr>
                <w:rFonts w:hint="default"/>
              </w:rPr>
            </w:pPr>
            <w:r>
              <w:t>藕塘村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0F86E0">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9684E">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700E9">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F080A">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AF744">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25C555">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5E0B7">
            <w:pPr>
              <w:pStyle w:val="45"/>
              <w:rPr>
                <w:rFonts w:hint="default"/>
              </w:rPr>
            </w:pPr>
            <w:r>
              <w:t>0</w:t>
            </w:r>
          </w:p>
        </w:tc>
      </w:tr>
      <w:tr w14:paraId="5615C38C">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14D7C">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9D081E">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94771">
            <w:pPr>
              <w:pStyle w:val="45"/>
              <w:rPr>
                <w:rFonts w:hint="default"/>
              </w:rPr>
            </w:pPr>
            <w:r>
              <w:t>友爱村2</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B310A">
            <w:pPr>
              <w:pStyle w:val="45"/>
              <w:rPr>
                <w:rFonts w:hint="default"/>
              </w:rPr>
            </w:pPr>
            <w:r>
              <w:t>0.0|30</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5B9F0">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D5AAE3">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6FDA3">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1398D">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C0E9C">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CECAB">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893E8">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EA627">
            <w:pPr>
              <w:pStyle w:val="45"/>
              <w:rPr>
                <w:rFonts w:hint="default"/>
              </w:rPr>
            </w:pPr>
            <w:r>
              <w:t>友爱村2</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9DBCC">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CA12E0">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464097">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E0E70">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2123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9B15B">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05915A">
            <w:pPr>
              <w:pStyle w:val="45"/>
              <w:rPr>
                <w:rFonts w:hint="default"/>
              </w:rPr>
            </w:pPr>
            <w:r>
              <w:t>0</w:t>
            </w:r>
          </w:p>
        </w:tc>
      </w:tr>
      <w:tr w14:paraId="0CE33FCE">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22FD10">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88736">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3C394">
            <w:pPr>
              <w:pStyle w:val="45"/>
              <w:rPr>
                <w:rFonts w:hint="default"/>
              </w:rPr>
            </w:pPr>
            <w:r>
              <w:t>合江街道</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2EC30">
            <w:pPr>
              <w:pStyle w:val="45"/>
              <w:rPr>
                <w:rFonts w:hint="default"/>
              </w:rPr>
            </w:pPr>
            <w:r>
              <w:t>0.0|30</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547A3">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4AB46">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DB7E46">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835AB">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AF666">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2E1D8">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8A2B1">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DC7612">
            <w:pPr>
              <w:pStyle w:val="45"/>
              <w:rPr>
                <w:rFonts w:hint="default"/>
              </w:rPr>
            </w:pPr>
            <w:r>
              <w:t>合江街道</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8DC45">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D45AA">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72BCC">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887AB">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88CB5">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BA794">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0008D">
            <w:pPr>
              <w:pStyle w:val="45"/>
              <w:rPr>
                <w:rFonts w:hint="default"/>
              </w:rPr>
            </w:pPr>
            <w:r>
              <w:t>0</w:t>
            </w:r>
          </w:p>
        </w:tc>
      </w:tr>
      <w:tr w14:paraId="29D20168">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56FB9E">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C2BD4">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F40AD5">
            <w:pPr>
              <w:pStyle w:val="45"/>
              <w:rPr>
                <w:rFonts w:hint="default"/>
              </w:rPr>
            </w:pPr>
            <w:r>
              <w:t>畔湖路社区</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BA4AC">
            <w:pPr>
              <w:pStyle w:val="45"/>
              <w:rPr>
                <w:rFonts w:hint="default"/>
              </w:rPr>
            </w:pPr>
            <w:r>
              <w:t>0.0|30</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D636C">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1C2FE">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E659B">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E3C092">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EB88A">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C3FB2">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7C73B">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1CDCBA">
            <w:pPr>
              <w:pStyle w:val="45"/>
              <w:rPr>
                <w:rFonts w:hint="default"/>
              </w:rPr>
            </w:pPr>
            <w:r>
              <w:t>畔湖路社区</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CA8ED">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B5129">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F0196C">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7A400">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7A243">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896B6">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FC95E">
            <w:pPr>
              <w:pStyle w:val="45"/>
              <w:rPr>
                <w:rFonts w:hint="default"/>
              </w:rPr>
            </w:pPr>
            <w:r>
              <w:t>0</w:t>
            </w:r>
          </w:p>
        </w:tc>
      </w:tr>
      <w:tr w14:paraId="1EE7C0A1">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46302A">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E111A2">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421DBC">
            <w:pPr>
              <w:pStyle w:val="45"/>
              <w:rPr>
                <w:rFonts w:hint="default"/>
              </w:rPr>
            </w:pPr>
            <w:r>
              <w:t>黄沙湾街道</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2057C2">
            <w:pPr>
              <w:pStyle w:val="45"/>
              <w:rPr>
                <w:rFonts w:hint="default"/>
              </w:rPr>
            </w:pPr>
            <w:r>
              <w:t>0.0|30</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DB6C62">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C00E0">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D631D">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E2E58">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566FD">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92EFC">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C7ADB">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FD796">
            <w:pPr>
              <w:pStyle w:val="45"/>
              <w:rPr>
                <w:rFonts w:hint="default"/>
              </w:rPr>
            </w:pPr>
            <w:r>
              <w:t>黄沙湾街道</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907BE">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3C6BC">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77001">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8DC1AA">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A40B89">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778281">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19E01">
            <w:pPr>
              <w:pStyle w:val="45"/>
              <w:rPr>
                <w:rFonts w:hint="default"/>
              </w:rPr>
            </w:pPr>
            <w:r>
              <w:t>0</w:t>
            </w:r>
          </w:p>
        </w:tc>
      </w:tr>
      <w:tr w14:paraId="0947E3DE">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3F0B4">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48070B">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20CE1">
            <w:pPr>
              <w:pStyle w:val="45"/>
              <w:rPr>
                <w:rFonts w:hint="default"/>
              </w:rPr>
            </w:pPr>
            <w:r>
              <w:t>灵官庙村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45AC8">
            <w:pPr>
              <w:pStyle w:val="45"/>
              <w:rPr>
                <w:rFonts w:hint="default"/>
              </w:rPr>
            </w:pPr>
            <w:r>
              <w:t>0.0|30</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8FE84">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C478B">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1508E8">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DE645">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71511">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1D1A97">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85949">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A7E2D">
            <w:pPr>
              <w:pStyle w:val="45"/>
              <w:rPr>
                <w:rFonts w:hint="default"/>
              </w:rPr>
            </w:pPr>
            <w:r>
              <w:t>灵官庙村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976E12">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7B2941">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F17F0">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193C9">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06589">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E2ACC">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A53F9">
            <w:pPr>
              <w:pStyle w:val="45"/>
              <w:rPr>
                <w:rFonts w:hint="default"/>
              </w:rPr>
            </w:pPr>
            <w:r>
              <w:t>0</w:t>
            </w:r>
          </w:p>
        </w:tc>
      </w:tr>
      <w:tr w14:paraId="12A4B5E0">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47820">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1F3B9">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1A3C9">
            <w:pPr>
              <w:pStyle w:val="45"/>
              <w:rPr>
                <w:rFonts w:hint="default"/>
              </w:rPr>
            </w:pPr>
            <w:r>
              <w:t>环境生物学院</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AA2F1">
            <w:pPr>
              <w:pStyle w:val="45"/>
              <w:rPr>
                <w:rFonts w:hint="default"/>
              </w:rPr>
            </w:pPr>
            <w:r>
              <w:t>0.0|30</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3B8D7">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EDF792">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6141C">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572B6A">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0855B">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EBC26">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53E58">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C54BAA">
            <w:pPr>
              <w:pStyle w:val="45"/>
              <w:rPr>
                <w:rFonts w:hint="default"/>
              </w:rPr>
            </w:pPr>
            <w:r>
              <w:t>环境生物学院</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39540">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F3BA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25F74C">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A0503">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749A7">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38E09A">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1EF865">
            <w:pPr>
              <w:pStyle w:val="45"/>
              <w:rPr>
                <w:rFonts w:hint="default"/>
              </w:rPr>
            </w:pPr>
            <w:r>
              <w:t>0</w:t>
            </w:r>
          </w:p>
        </w:tc>
      </w:tr>
      <w:tr w14:paraId="11C32BCA">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045216">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934E1">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EE422E">
            <w:pPr>
              <w:pStyle w:val="45"/>
              <w:rPr>
                <w:rFonts w:hint="default"/>
              </w:rPr>
            </w:pPr>
            <w:r>
              <w:t>梽木村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715BF">
            <w:pPr>
              <w:pStyle w:val="45"/>
              <w:rPr>
                <w:rFonts w:hint="default"/>
              </w:rPr>
            </w:pPr>
            <w:r>
              <w:t>0.0|30</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98543">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53239">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7F493">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0115C1">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6E249">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51D24">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7503A">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80438">
            <w:pPr>
              <w:pStyle w:val="45"/>
              <w:rPr>
                <w:rFonts w:hint="default"/>
              </w:rPr>
            </w:pPr>
            <w:r>
              <w:t>梽木村</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E0EDD">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A045A">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075FD7">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45E4FC">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3C2C22">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568E41">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F84762">
            <w:pPr>
              <w:pStyle w:val="45"/>
              <w:rPr>
                <w:rFonts w:hint="default"/>
              </w:rPr>
            </w:pPr>
            <w:r>
              <w:t>0</w:t>
            </w:r>
          </w:p>
        </w:tc>
      </w:tr>
      <w:tr w14:paraId="7AFE8038">
        <w:tblPrEx>
          <w:tblCellMar>
            <w:top w:w="0" w:type="dxa"/>
            <w:left w:w="108" w:type="dxa"/>
            <w:bottom w:w="0" w:type="dxa"/>
            <w:right w:w="108" w:type="dxa"/>
          </w:tblCellMar>
        </w:tblPrEx>
        <w:trPr>
          <w:trHeight w:val="27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6D3E3">
            <w:pPr>
              <w:pStyle w:val="45"/>
              <w:rPr>
                <w:rFonts w:hint="default"/>
              </w:rPr>
            </w:pP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47556">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6061A">
            <w:pPr>
              <w:pStyle w:val="45"/>
              <w:rPr>
                <w:rFonts w:hint="default"/>
              </w:rPr>
            </w:pPr>
            <w:r>
              <w:t>梽木村2</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D39FB3">
            <w:pPr>
              <w:pStyle w:val="45"/>
              <w:rPr>
                <w:rFonts w:hint="default"/>
              </w:rPr>
            </w:pPr>
            <w:r>
              <w:t>0.0|30</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613CA7">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E7C1F">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8BA4D">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EA5653">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EFCDB">
            <w:pPr>
              <w:pStyle w:val="45"/>
              <w:rPr>
                <w:rFonts w:hint="default"/>
              </w:rPr>
            </w:pPr>
            <w:r>
              <w:t>0</w:t>
            </w:r>
          </w:p>
        </w:tc>
        <w:tc>
          <w:tcPr>
            <w:tcW w:w="2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44485">
            <w:pPr>
              <w:pStyle w:val="45"/>
              <w:rPr>
                <w:rFonts w:hint="default"/>
              </w:rPr>
            </w:pPr>
            <w:r>
              <w:t>0</w:t>
            </w:r>
          </w:p>
        </w:tc>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90605">
            <w:pPr>
              <w:pStyle w:val="45"/>
              <w:rPr>
                <w:rFonts w:hint="default"/>
              </w:rPr>
            </w:pPr>
          </w:p>
        </w:tc>
        <w:tc>
          <w:tcPr>
            <w:tcW w:w="4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28BE0">
            <w:pPr>
              <w:pStyle w:val="45"/>
              <w:rPr>
                <w:rFonts w:hint="default"/>
              </w:rPr>
            </w:pPr>
            <w:r>
              <w:t>梽木村2</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20FEA">
            <w:pPr>
              <w:pStyle w:val="45"/>
              <w:rPr>
                <w:rFonts w:hint="default"/>
              </w:rPr>
            </w:pPr>
            <w:r>
              <w:t>0.0|5</w:t>
            </w:r>
          </w:p>
        </w:tc>
        <w:tc>
          <w:tcPr>
            <w:tcW w:w="1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CB00B8">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AFA96">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772BE9">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D0507A">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27CEE">
            <w:pPr>
              <w:pStyle w:val="45"/>
              <w:rPr>
                <w:rFonts w:hint="default"/>
              </w:rPr>
            </w:pPr>
            <w:r>
              <w:t>0</w:t>
            </w:r>
          </w:p>
        </w:tc>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64E37A">
            <w:pPr>
              <w:pStyle w:val="45"/>
              <w:rPr>
                <w:rFonts w:hint="default"/>
              </w:rPr>
            </w:pPr>
            <w:r>
              <w:t>0</w:t>
            </w:r>
          </w:p>
        </w:tc>
      </w:tr>
    </w:tbl>
    <w:p w14:paraId="7108C804">
      <w:pPr>
        <w:ind w:firstLine="0" w:firstLineChars="0"/>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21416933">
      <w:pPr>
        <w:ind w:firstLine="480"/>
      </w:pPr>
      <w:r>
        <w:t>根据上表可知，各物质泄漏，</w:t>
      </w:r>
      <w:r>
        <w:rPr>
          <w:rFonts w:hint="eastAsia"/>
        </w:rPr>
        <w:t>1）</w:t>
      </w:r>
      <w:r>
        <w:t>两种气象条件下，</w:t>
      </w:r>
      <w:r>
        <w:rPr>
          <w:rFonts w:hint="eastAsia"/>
        </w:rPr>
        <w:t>盐酸</w:t>
      </w:r>
      <w:r>
        <w:t>在各敏感点无预测浓度超过评价标准（毒性浓度终点）的时刻。</w:t>
      </w:r>
    </w:p>
    <w:p w14:paraId="3F513718">
      <w:pPr>
        <w:ind w:firstLine="480"/>
      </w:pPr>
      <w:r>
        <w:rPr>
          <w:rFonts w:hint="eastAsia"/>
        </w:rPr>
        <w:t>5、</w:t>
      </w:r>
      <w:r>
        <w:t>大气伤害概率计算</w:t>
      </w:r>
    </w:p>
    <w:p w14:paraId="1ABC1E52">
      <w:pPr>
        <w:ind w:firstLine="480"/>
      </w:pPr>
      <w:r>
        <w:t>本项目涉及大气伤害概率计算的风险物质有盐酸。风险物质中影响最大的为</w:t>
      </w:r>
      <w:r>
        <w:rPr>
          <w:rFonts w:hint="eastAsia"/>
        </w:rPr>
        <w:t>盐酸</w:t>
      </w:r>
      <w:r>
        <w:t>。当发生风险事故时，接触浓度取污染物的大气毒性终点浓度2（盐酸为33mg/m</w:t>
      </w:r>
      <w:r>
        <w:rPr>
          <w:vertAlign w:val="superscript"/>
        </w:rPr>
        <w:t>3</w:t>
      </w:r>
      <w:r>
        <w:t>），接触时间均取60min，预测出：盐酸中间量Y=-9.29＜5，大气伤害概率PE（%）=0；说明本项目物质泄漏时间在较短时间内能发现，在工作人员做好防护措施的情况下，接触时间不超过60min，大气伤害概率可接受。</w:t>
      </w:r>
    </w:p>
    <w:p w14:paraId="58643995">
      <w:pPr>
        <w:pStyle w:val="5"/>
        <w:numPr>
          <w:ilvl w:val="3"/>
          <w:numId w:val="1"/>
        </w:numPr>
      </w:pPr>
      <w:r>
        <w:t>水环境风险影响评价</w:t>
      </w:r>
    </w:p>
    <w:p w14:paraId="0D4E1A1D">
      <w:pPr>
        <w:ind w:firstLine="480"/>
        <w:rPr>
          <w:rFonts w:hint="eastAsia"/>
        </w:rPr>
      </w:pPr>
      <w:r>
        <w:rPr>
          <w:rFonts w:hint="eastAsia"/>
        </w:rPr>
        <w:t>本项目主要废水有碱喷淋废水、真空冷凝水、电解槽清洗废水、膜酸洗废水、</w:t>
      </w:r>
      <w:r>
        <w:rPr>
          <w:rFonts w:hint="eastAsia"/>
          <w:lang w:val="en-US" w:eastAsia="zh-CN"/>
        </w:rPr>
        <w:t>离子交换树脂清洗废水、</w:t>
      </w:r>
      <w:r>
        <w:rPr>
          <w:rFonts w:hint="eastAsia"/>
        </w:rPr>
        <w:t>纯水制备排水、循环冷却排水、</w:t>
      </w:r>
      <w:r>
        <w:rPr>
          <w:rFonts w:hint="eastAsia"/>
          <w:lang w:eastAsia="zh-CN"/>
        </w:rPr>
        <w:t>地面清洗废水、洗车废水、员工清洁废水</w:t>
      </w:r>
      <w:r>
        <w:rPr>
          <w:rFonts w:hint="eastAsia"/>
          <w:lang w:val="en-US" w:eastAsia="zh-CN"/>
        </w:rPr>
        <w:t>、</w:t>
      </w:r>
      <w:r>
        <w:rPr>
          <w:rFonts w:hint="eastAsia"/>
        </w:rPr>
        <w:t>化验室废水、初期雨水、生活污水等。</w:t>
      </w:r>
    </w:p>
    <w:p w14:paraId="770B6495">
      <w:pPr>
        <w:ind w:firstLine="480"/>
        <w:rPr>
          <w:rFonts w:hint="eastAsia"/>
        </w:rPr>
      </w:pPr>
      <w:r>
        <w:rPr>
          <w:rFonts w:hint="eastAsia"/>
        </w:rPr>
        <w:t>正常生产期间，碱喷淋废水、真空冷凝水、电解槽清洗废水、膜酸洗废水</w:t>
      </w:r>
      <w:r>
        <w:rPr>
          <w:rFonts w:hint="eastAsia"/>
          <w:lang w:eastAsia="zh-CN"/>
        </w:rPr>
        <w:t>、</w:t>
      </w:r>
      <w:r>
        <w:rPr>
          <w:rFonts w:hint="eastAsia"/>
          <w:lang w:val="en-US" w:eastAsia="zh-CN"/>
        </w:rPr>
        <w:t>离子交换树脂清洗废水</w:t>
      </w:r>
      <w:r>
        <w:rPr>
          <w:rFonts w:hint="eastAsia"/>
        </w:rPr>
        <w:t>等生产废水直接回用于生产，不外排；纯水制备排水、循环冷却排水、</w:t>
      </w:r>
      <w:r>
        <w:rPr>
          <w:rFonts w:hint="eastAsia"/>
          <w:lang w:eastAsia="zh-CN"/>
        </w:rPr>
        <w:t>地面清洗废水、洗车废水、员工清洁废水</w:t>
      </w:r>
      <w:r>
        <w:rPr>
          <w:rFonts w:hint="eastAsia"/>
          <w:lang w:val="en-US" w:eastAsia="zh-CN"/>
        </w:rPr>
        <w:t>、</w:t>
      </w:r>
      <w:r>
        <w:rPr>
          <w:rFonts w:hint="eastAsia"/>
        </w:rPr>
        <w:t>化验室废水、初期雨水等其他废水进入厂内废水站经</w:t>
      </w:r>
      <w:r>
        <w:rPr>
          <w:rFonts w:hint="eastAsia"/>
          <w:lang w:eastAsia="zh-CN"/>
        </w:rPr>
        <w:t>“</w:t>
      </w:r>
      <w:r>
        <w:rPr>
          <w:rFonts w:hint="eastAsia"/>
        </w:rPr>
        <w:t>混凝沉淀+砂滤</w:t>
      </w:r>
      <w:r>
        <w:rPr>
          <w:rFonts w:hint="eastAsia"/>
          <w:lang w:eastAsia="zh-CN"/>
        </w:rPr>
        <w:t>”</w:t>
      </w:r>
      <w:r>
        <w:rPr>
          <w:rFonts w:hint="eastAsia"/>
        </w:rPr>
        <w:t>处理后回用于生产，不外排。</w:t>
      </w:r>
    </w:p>
    <w:p w14:paraId="19174D3B">
      <w:pPr>
        <w:ind w:firstLine="480"/>
        <w:rPr>
          <w:rFonts w:hint="eastAsia"/>
          <w:lang w:eastAsia="zh-CN"/>
        </w:rPr>
      </w:pPr>
      <w:r>
        <w:rPr>
          <w:rFonts w:hint="eastAsia"/>
        </w:rPr>
        <w:t>非生产期间，初期雨水经</w:t>
      </w:r>
      <w:r>
        <w:rPr>
          <w:rFonts w:hint="eastAsia"/>
          <w:lang w:eastAsia="zh-CN"/>
        </w:rPr>
        <w:t>“混凝沉淀+砂滤+离子交换”</w:t>
      </w:r>
      <w:r>
        <w:rPr>
          <w:rFonts w:hint="eastAsia"/>
        </w:rPr>
        <w:t>处理后达标排入松木污水处理厂进一步处理。生活污水经厂内化粪池预处理达标后通过园区污水管网排入松木污水处理厂进一步处理</w:t>
      </w:r>
      <w:r>
        <w:rPr>
          <w:rFonts w:hint="eastAsia"/>
          <w:lang w:eastAsia="zh-CN"/>
        </w:rPr>
        <w:t>。</w:t>
      </w:r>
    </w:p>
    <w:p w14:paraId="716F25E7">
      <w:pPr>
        <w:pStyle w:val="13"/>
      </w:pPr>
      <w:r>
        <w:rPr>
          <w:rFonts w:hint="eastAsia"/>
          <w:lang w:val="en-US" w:eastAsia="zh-CN"/>
        </w:rPr>
        <w:t>本项目</w:t>
      </w:r>
      <w:r>
        <w:t>废水按要求设置处理措施</w:t>
      </w:r>
      <w:r>
        <w:rPr>
          <w:rFonts w:hint="eastAsia"/>
        </w:rPr>
        <w:t>，</w:t>
      </w:r>
      <w:r>
        <w:t>事故情况下</w:t>
      </w:r>
      <w:r>
        <w:rPr>
          <w:rFonts w:hint="eastAsia"/>
          <w:lang w:val="en-US" w:eastAsia="zh-CN"/>
        </w:rPr>
        <w:t>可</w:t>
      </w:r>
      <w:r>
        <w:t>截留在厂区内</w:t>
      </w:r>
      <w:r>
        <w:rPr>
          <w:rFonts w:hint="eastAsia"/>
        </w:rPr>
        <w:t>，</w:t>
      </w:r>
      <w:r>
        <w:t>极端情况也可以截留在资家港</w:t>
      </w:r>
      <w:r>
        <w:rPr>
          <w:rFonts w:hint="eastAsia"/>
          <w:lang w:eastAsia="zh-CN"/>
        </w:rPr>
        <w:t>，</w:t>
      </w:r>
      <w:r>
        <w:t>直接进入环境的概率很小</w:t>
      </w:r>
      <w:r>
        <w:rPr>
          <w:rFonts w:hint="eastAsia"/>
          <w:lang w:eastAsia="zh-CN"/>
        </w:rPr>
        <w:t>。</w:t>
      </w:r>
      <w:r>
        <w:rPr>
          <w:rFonts w:hint="eastAsia"/>
          <w:lang w:val="en-US" w:eastAsia="zh-CN"/>
        </w:rPr>
        <w:t>因此本项目</w:t>
      </w:r>
      <w:r>
        <w:t>水环境风险影响较小</w:t>
      </w:r>
      <w:r>
        <w:rPr>
          <w:rFonts w:hint="eastAsia"/>
        </w:rPr>
        <w:t>。</w:t>
      </w:r>
    </w:p>
    <w:p w14:paraId="29EF21CB">
      <w:pPr>
        <w:ind w:firstLine="480"/>
      </w:pPr>
      <w:r>
        <w:rPr>
          <w:rFonts w:hint="eastAsia"/>
        </w:rPr>
        <w:t>本项目厂区废水站进水主要污染因子为钙镁离子，</w:t>
      </w:r>
      <w:r>
        <w:rPr>
          <w:rFonts w:hint="eastAsia" w:cs="Times New Roman"/>
        </w:rPr>
        <w:t>正常情况下不会进入环境，当厂区污废水站长期无法运行或废水处理池管道渗漏、堵塞等会引起污水泄漏，从而对区域地下水、土壤环境造成影响。因此，建设单位必须严格废水处理设施管理和日常维护保养，确保厂区调节池池及应急事故池预留足够的容积，事故情况下可容纳厂区废水，同时杜绝废水站长期无法运行情况的发生。</w:t>
      </w:r>
    </w:p>
    <w:p w14:paraId="0F0999F5">
      <w:pPr>
        <w:ind w:firstLine="480"/>
      </w:pPr>
      <w:r>
        <w:t>根据《事故状态下水体污染预防与控制技术要求》（Q/SY1190-20</w:t>
      </w:r>
      <w:r>
        <w:rPr>
          <w:rFonts w:hint="eastAsia"/>
          <w:lang w:val="en-US" w:eastAsia="zh-CN"/>
        </w:rPr>
        <w:t>13</w:t>
      </w:r>
      <w:r>
        <w:t xml:space="preserve">）的规定，考虑极端情况，对全厂事故池容积校核计算如下： </w:t>
      </w:r>
    </w:p>
    <w:p w14:paraId="15A8631C">
      <w:pPr>
        <w:ind w:firstLine="480"/>
      </w:pPr>
      <w:r>
        <w:t>V总=（V1+V2-V3）max+V4+V5</w:t>
      </w:r>
    </w:p>
    <w:p w14:paraId="726F6B28">
      <w:pPr>
        <w:ind w:firstLine="480"/>
      </w:pPr>
      <w:r>
        <w:t>上式中：V1—收集系统范围内发生事故时的一个罐或一套装置的物料量，本项目最大储罐容积为</w:t>
      </w:r>
      <w:r>
        <w:rPr>
          <w:rFonts w:hint="eastAsia"/>
        </w:rPr>
        <w:t>500</w:t>
      </w:r>
      <w:r>
        <w:t>m</w:t>
      </w:r>
      <w:r>
        <w:rPr>
          <w:vertAlign w:val="superscript"/>
        </w:rPr>
        <w:t>3</w:t>
      </w:r>
      <w:r>
        <w:t>，暂存量按80%计，则V1取</w:t>
      </w:r>
      <w:r>
        <w:rPr>
          <w:rFonts w:hint="eastAsia"/>
        </w:rPr>
        <w:t>400</w:t>
      </w:r>
      <w:r>
        <w:t>m</w:t>
      </w:r>
      <w:r>
        <w:rPr>
          <w:vertAlign w:val="superscript"/>
        </w:rPr>
        <w:t>3</w:t>
      </w:r>
      <w:r>
        <w:t>。</w:t>
      </w:r>
    </w:p>
    <w:p w14:paraId="1DA5092C">
      <w:pPr>
        <w:ind w:firstLine="480"/>
      </w:pPr>
      <w:r>
        <w:t>V2—消防水量，根据《石油化工企业设计防火标准》相关规定，本项目室外消火栓设计流量为35L/s，室内消火栓设计流量为10L/s，</w:t>
      </w:r>
      <w:r>
        <w:rPr>
          <w:rFonts w:hint="eastAsia"/>
        </w:rPr>
        <w:t>流量按最大值计，</w:t>
      </w:r>
      <w:r>
        <w:t>火灾延续时间以3h 计，同一时间内的火灾次数按一次考虑</w:t>
      </w:r>
      <w:r>
        <w:rPr>
          <w:rFonts w:hint="eastAsia"/>
        </w:rPr>
        <w:t>，</w:t>
      </w:r>
      <w:r>
        <w:t>本项目火灾消防用水量为486m</w:t>
      </w:r>
      <w:r>
        <w:rPr>
          <w:vertAlign w:val="superscript"/>
        </w:rPr>
        <w:t>3</w:t>
      </w:r>
      <w:r>
        <w:t>，</w:t>
      </w:r>
      <w:r>
        <w:rPr>
          <w:rFonts w:hint="eastAsia"/>
        </w:rPr>
        <w:t>消防废水产生系数按0.8计，一次消防废水产生量约</w:t>
      </w:r>
      <w:r>
        <w:t>为</w:t>
      </w:r>
      <w:r>
        <w:rPr>
          <w:rFonts w:hint="eastAsia"/>
        </w:rPr>
        <w:t>388.8</w:t>
      </w:r>
      <w:r>
        <w:t>m</w:t>
      </w:r>
      <w:r>
        <w:rPr>
          <w:vertAlign w:val="superscript"/>
        </w:rPr>
        <w:t>3</w:t>
      </w:r>
      <w:r>
        <w:t xml:space="preserve">。 </w:t>
      </w:r>
    </w:p>
    <w:p w14:paraId="3E4E1C26">
      <w:pPr>
        <w:ind w:firstLine="480"/>
      </w:pPr>
      <w:r>
        <w:t>V3——发生事故时可以转输到其他储存或者处理设施的物料量，本项目储罐区外设置了</w:t>
      </w:r>
      <w:r>
        <w:rPr>
          <w:rFonts w:hint="eastAsia"/>
          <w:lang w:val="en-US" w:eastAsia="zh-CN"/>
        </w:rPr>
        <w:t>60c</w:t>
      </w:r>
      <w:r>
        <w:t>m高围堰，储罐区</w:t>
      </w:r>
      <w:r>
        <w:rPr>
          <w:rFonts w:hint="eastAsia"/>
        </w:rPr>
        <w:t>（储罐1、储罐2）</w:t>
      </w:r>
      <w:r>
        <w:t>围堰</w:t>
      </w:r>
      <w:r>
        <w:rPr>
          <w:rFonts w:hint="eastAsia"/>
        </w:rPr>
        <w:t>总</w:t>
      </w:r>
      <w:r>
        <w:t>占地面积</w:t>
      </w:r>
      <w:r>
        <w:rPr>
          <w:rFonts w:hint="eastAsia"/>
        </w:rPr>
        <w:t>1773.38</w:t>
      </w:r>
      <w:r>
        <w:t>m</w:t>
      </w:r>
      <w:r>
        <w:rPr>
          <w:vertAlign w:val="superscript"/>
        </w:rPr>
        <w:t>2</w:t>
      </w:r>
      <w:r>
        <w:t>，围堰</w:t>
      </w:r>
      <w:r>
        <w:rPr>
          <w:rFonts w:hint="eastAsia"/>
        </w:rPr>
        <w:t>总</w:t>
      </w:r>
      <w:r>
        <w:t>有效容积按80%计</w:t>
      </w:r>
      <w:r>
        <w:rPr>
          <w:rFonts w:hint="eastAsia"/>
        </w:rPr>
        <w:t>算</w:t>
      </w:r>
      <w:r>
        <w:t>为</w:t>
      </w:r>
      <w:r>
        <w:rPr>
          <w:rFonts w:hint="eastAsia"/>
          <w:lang w:val="en-US" w:eastAsia="zh-CN"/>
        </w:rPr>
        <w:t>851.22</w:t>
      </w:r>
      <w:r>
        <w:t>m</w:t>
      </w:r>
      <w:r>
        <w:rPr>
          <w:vertAlign w:val="superscript"/>
        </w:rPr>
        <w:t>3</w:t>
      </w:r>
      <w:r>
        <w:rPr>
          <w:rFonts w:hint="eastAsia"/>
        </w:rPr>
        <w:t>，</w:t>
      </w:r>
      <w:r>
        <w:t>扣除储罐占据的</w:t>
      </w:r>
      <w:r>
        <w:rPr>
          <w:rFonts w:hint="eastAsia"/>
        </w:rPr>
        <w:t>总</w:t>
      </w:r>
      <w:r>
        <w:t>有效容积</w:t>
      </w:r>
      <w:r>
        <w:rPr>
          <w:rFonts w:hint="eastAsia"/>
        </w:rPr>
        <w:t>为</w:t>
      </w:r>
      <w:r>
        <w:rPr>
          <w:rFonts w:hint="eastAsia"/>
          <w:lang w:val="en-US" w:eastAsia="zh-CN"/>
        </w:rPr>
        <w:t>122.16</w:t>
      </w:r>
      <w:r>
        <w:t>m</w:t>
      </w:r>
      <w:r>
        <w:rPr>
          <w:vertAlign w:val="superscript"/>
        </w:rPr>
        <w:t>3</w:t>
      </w:r>
      <w:r>
        <w:t>，</w:t>
      </w:r>
      <w:r>
        <w:rPr>
          <w:rFonts w:hint="eastAsia"/>
        </w:rPr>
        <w:t>因此</w:t>
      </w:r>
      <w:r>
        <w:t>取V3=</w:t>
      </w:r>
      <w:r>
        <w:rPr>
          <w:rFonts w:hint="eastAsia"/>
          <w:lang w:val="en-US" w:eastAsia="zh-CN"/>
        </w:rPr>
        <w:t>851.22-122.16</w:t>
      </w:r>
      <w:r>
        <w:t>=</w:t>
      </w:r>
      <w:r>
        <w:rPr>
          <w:rFonts w:hint="eastAsia"/>
          <w:lang w:val="en-US" w:eastAsia="zh-CN"/>
        </w:rPr>
        <w:t>729.06</w:t>
      </w:r>
      <w:r>
        <w:t>m</w:t>
      </w:r>
      <w:r>
        <w:rPr>
          <w:vertAlign w:val="superscript"/>
        </w:rPr>
        <w:t>3</w:t>
      </w:r>
      <w:r>
        <w:t>。</w:t>
      </w:r>
    </w:p>
    <w:p w14:paraId="36147B8C">
      <w:pPr>
        <w:ind w:firstLine="480"/>
      </w:pPr>
      <w:r>
        <w:t xml:space="preserve">V4——发生事故时仍需进入该收集系统的生产废水。生产废水处理单元设有生产废水事故缓冲池，因此，生产废水不进入全厂事故池即V4=0。 </w:t>
      </w:r>
    </w:p>
    <w:p w14:paraId="58DB5BDB">
      <w:pPr>
        <w:ind w:firstLine="480"/>
      </w:pPr>
      <w:r>
        <w:t xml:space="preserve">V5——发生事故时可能进入该收集系统的降雨量，雨水均进入初期雨水收集池，V5=0。 </w:t>
      </w:r>
    </w:p>
    <w:p w14:paraId="4BE0672F">
      <w:pPr>
        <w:ind w:firstLine="480"/>
      </w:pPr>
      <w:r>
        <w:t>经计算，事故池容积不小</w:t>
      </w:r>
      <w:r>
        <w:rPr>
          <w:rFonts w:hint="eastAsia"/>
          <w:lang w:val="en-US" w:eastAsia="zh-CN"/>
        </w:rPr>
        <w:t>59.74</w:t>
      </w:r>
      <w:r>
        <w:t>m</w:t>
      </w:r>
      <w:r>
        <w:rPr>
          <w:vertAlign w:val="superscript"/>
        </w:rPr>
        <w:t>3</w:t>
      </w:r>
      <w:r>
        <w:t>，本项目厂区内拟设置</w:t>
      </w:r>
      <w:r>
        <w:rPr>
          <w:rFonts w:hint="eastAsia"/>
        </w:rPr>
        <w:t>550</w:t>
      </w:r>
      <w:r>
        <w:t>m</w:t>
      </w:r>
      <w:r>
        <w:rPr>
          <w:vertAlign w:val="superscript"/>
        </w:rPr>
        <w:t>3</w:t>
      </w:r>
      <w:r>
        <w:t>事故</w:t>
      </w:r>
      <w:r>
        <w:rPr>
          <w:rFonts w:hint="eastAsia"/>
        </w:rPr>
        <w:t>应急</w:t>
      </w:r>
      <w:r>
        <w:t>池，满足拟建项目消防事故废水收集的要求。</w:t>
      </w:r>
    </w:p>
    <w:p w14:paraId="7D7A8507">
      <w:pPr>
        <w:ind w:firstLine="480"/>
      </w:pPr>
      <w:r>
        <w:t>本项目事故</w:t>
      </w:r>
      <w:r>
        <w:rPr>
          <w:rFonts w:hint="eastAsia"/>
        </w:rPr>
        <w:t>应急</w:t>
      </w:r>
      <w:r>
        <w:t>池位于厂内综合废水站</w:t>
      </w:r>
      <w:r>
        <w:rPr>
          <w:rFonts w:hint="eastAsia"/>
        </w:rPr>
        <w:t>南</w:t>
      </w:r>
      <w:r>
        <w:t>面，若发生废水处理设施失效的情况下，该布局能有效的缩短事故废水进入事故池的时间，降低废水事故排放风险。</w:t>
      </w:r>
    </w:p>
    <w:p w14:paraId="16956D52">
      <w:pPr>
        <w:ind w:left="0" w:leftChars="0" w:firstLine="0" w:firstLineChars="0"/>
        <w:jc w:val="center"/>
        <w:rPr>
          <w:rFonts w:hint="eastAsia" w:eastAsia="宋体"/>
          <w:lang w:eastAsia="zh-CN"/>
        </w:rPr>
      </w:pPr>
      <w:r>
        <w:rPr>
          <w:rFonts w:hint="eastAsia" w:eastAsia="宋体"/>
          <w:lang w:eastAsia="zh-CN"/>
        </w:rPr>
        <w:drawing>
          <wp:inline distT="0" distB="0" distL="114300" distR="114300">
            <wp:extent cx="5138420" cy="2274570"/>
            <wp:effectExtent l="0" t="0" r="5080" b="11430"/>
            <wp:docPr id="56" name="图片 56" descr="3ab84fce463f8891bf52ddae4591d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3ab84fce463f8891bf52ddae4591d2f"/>
                    <pic:cNvPicPr>
                      <a:picLocks noChangeAspect="1"/>
                    </pic:cNvPicPr>
                  </pic:nvPicPr>
                  <pic:blipFill>
                    <a:blip r:embed="rId181"/>
                    <a:srcRect l="1036" t="4422" r="2830" b="12915"/>
                    <a:stretch>
                      <a:fillRect/>
                    </a:stretch>
                  </pic:blipFill>
                  <pic:spPr>
                    <a:xfrm>
                      <a:off x="0" y="0"/>
                      <a:ext cx="5138420" cy="2274570"/>
                    </a:xfrm>
                    <a:prstGeom prst="rect">
                      <a:avLst/>
                    </a:prstGeom>
                  </pic:spPr>
                </pic:pic>
              </a:graphicData>
            </a:graphic>
          </wp:inline>
        </w:drawing>
      </w:r>
    </w:p>
    <w:p w14:paraId="7F5FBC30">
      <w:pPr>
        <w:pStyle w:val="42"/>
        <w:numPr>
          <w:ilvl w:val="6"/>
          <w:numId w:val="1"/>
        </w:numPr>
        <w:bidi w:val="0"/>
        <w:rPr>
          <w:rFonts w:hint="default"/>
          <w:lang w:val="en-US" w:eastAsia="zh-CN"/>
        </w:rPr>
      </w:pPr>
      <w:r>
        <w:rPr>
          <w:rFonts w:hint="eastAsia"/>
          <w:lang w:val="en-US" w:eastAsia="zh-CN"/>
        </w:rPr>
        <w:t>雨水收集流程图（仅降雨）</w:t>
      </w:r>
    </w:p>
    <w:p w14:paraId="6E9D85B3">
      <w:pPr>
        <w:ind w:firstLine="0" w:firstLineChars="0"/>
        <w:jc w:val="center"/>
        <w:rPr>
          <w:rFonts w:hint="eastAsia"/>
          <w:lang w:val="en-US" w:eastAsia="zh-CN"/>
        </w:rPr>
      </w:pPr>
      <w:r>
        <w:rPr>
          <w:rFonts w:hint="eastAsia"/>
          <w:lang w:val="en-US" w:eastAsia="zh-CN"/>
        </w:rPr>
        <w:drawing>
          <wp:inline distT="0" distB="0" distL="114300" distR="114300">
            <wp:extent cx="5027930" cy="2950210"/>
            <wp:effectExtent l="0" t="0" r="1270" b="2540"/>
            <wp:docPr id="54" name="图片 54" descr="687221ed76e8181bc1ba81086a1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687221ed76e8181bc1ba81086a14522"/>
                    <pic:cNvPicPr>
                      <a:picLocks noChangeAspect="1"/>
                    </pic:cNvPicPr>
                  </pic:nvPicPr>
                  <pic:blipFill>
                    <a:blip r:embed="rId182"/>
                    <a:srcRect l="7251" t="5912" r="3782" b="10902"/>
                    <a:stretch>
                      <a:fillRect/>
                    </a:stretch>
                  </pic:blipFill>
                  <pic:spPr>
                    <a:xfrm>
                      <a:off x="0" y="0"/>
                      <a:ext cx="5027930" cy="2950210"/>
                    </a:xfrm>
                    <a:prstGeom prst="rect">
                      <a:avLst/>
                    </a:prstGeom>
                  </pic:spPr>
                </pic:pic>
              </a:graphicData>
            </a:graphic>
          </wp:inline>
        </w:drawing>
      </w:r>
    </w:p>
    <w:p w14:paraId="31B01B0A">
      <w:pPr>
        <w:pStyle w:val="42"/>
        <w:numPr>
          <w:ilvl w:val="6"/>
          <w:numId w:val="1"/>
        </w:numPr>
        <w:rPr>
          <w:rFonts w:hint="eastAsia"/>
          <w:lang w:val="en-US" w:eastAsia="zh-CN"/>
        </w:rPr>
      </w:pPr>
      <w:r>
        <w:t>事故水收集流程</w:t>
      </w:r>
      <w:r>
        <w:rPr>
          <w:rFonts w:hint="eastAsia"/>
          <w:lang w:val="en-US" w:eastAsia="zh-CN"/>
        </w:rPr>
        <w:t>图（降雨+事故情况）</w:t>
      </w:r>
    </w:p>
    <w:p w14:paraId="28D18B91">
      <w:pPr>
        <w:spacing w:line="240" w:lineRule="auto"/>
        <w:rPr>
          <w:rFonts w:hint="eastAsia"/>
          <w:lang w:val="en-US" w:eastAsia="zh-CN"/>
        </w:rPr>
      </w:pPr>
    </w:p>
    <w:p w14:paraId="5BCA94F4">
      <w:pPr>
        <w:pStyle w:val="4"/>
        <w:numPr>
          <w:ilvl w:val="2"/>
          <w:numId w:val="1"/>
        </w:numPr>
      </w:pPr>
      <w:bookmarkStart w:id="300" w:name="_Toc780"/>
      <w:r>
        <w:rPr>
          <w:rFonts w:hint="eastAsia"/>
        </w:rPr>
        <w:t>环境风险评价</w:t>
      </w:r>
      <w:bookmarkEnd w:id="300"/>
    </w:p>
    <w:p w14:paraId="63A82075">
      <w:pPr>
        <w:pStyle w:val="5"/>
        <w:numPr>
          <w:ilvl w:val="3"/>
          <w:numId w:val="1"/>
        </w:numPr>
      </w:pPr>
      <w:bookmarkStart w:id="301" w:name="_Toc9815"/>
      <w:r>
        <w:rPr>
          <w:rFonts w:hint="eastAsia"/>
        </w:rPr>
        <w:t>危险化学品和危险废物泄露风险评价</w:t>
      </w:r>
      <w:bookmarkEnd w:id="301"/>
    </w:p>
    <w:p w14:paraId="0F11AF9B">
      <w:pPr>
        <w:ind w:firstLine="480"/>
      </w:pPr>
      <w:r>
        <w:rPr>
          <w:rFonts w:hint="eastAsia"/>
        </w:rPr>
        <w:t>本项目建成后厂区的盐酸、液碱、</w:t>
      </w:r>
      <w:r>
        <w:rPr>
          <w:rFonts w:hint="eastAsia"/>
          <w:lang w:val="en-US" w:eastAsia="zh-CN"/>
        </w:rPr>
        <w:t>高氯酸、</w:t>
      </w:r>
      <w:r>
        <w:rPr>
          <w:rFonts w:hint="eastAsia"/>
        </w:rPr>
        <w:t>氯酸钠、</w:t>
      </w:r>
      <w:r>
        <w:rPr>
          <w:rFonts w:hint="eastAsia"/>
          <w:lang w:val="en-US" w:eastAsia="zh-CN"/>
        </w:rPr>
        <w:t>氯酸钾、</w:t>
      </w:r>
      <w:r>
        <w:rPr>
          <w:rFonts w:hint="eastAsia"/>
        </w:rPr>
        <w:t>高氯酸钠、高氯酸钾</w:t>
      </w:r>
      <w:r>
        <w:rPr>
          <w:rFonts w:hint="eastAsia"/>
          <w:lang w:eastAsia="zh-CN"/>
        </w:rPr>
        <w:t>、</w:t>
      </w:r>
      <w:r>
        <w:rPr>
          <w:rFonts w:hint="eastAsia"/>
          <w:lang w:val="en-US" w:eastAsia="zh-CN"/>
        </w:rPr>
        <w:t>高氯酸锂</w:t>
      </w:r>
      <w:r>
        <w:rPr>
          <w:rFonts w:hint="eastAsia"/>
        </w:rPr>
        <w:t>等属于危险化学品，其一旦发生泄漏，将对周边区域的土壤、水体、环境空气及生态环境等造成一定程度的污染，挥发有毒气体会对周边工作人员及居民的身体健康造成一定的危害。</w:t>
      </w:r>
    </w:p>
    <w:p w14:paraId="6A85DBB9">
      <w:pPr>
        <w:ind w:firstLine="480"/>
      </w:pPr>
      <w:r>
        <w:rPr>
          <w:rFonts w:hint="eastAsia"/>
        </w:rPr>
        <w:t>（1）危险化学品储存风险</w:t>
      </w:r>
    </w:p>
    <w:p w14:paraId="1FAA8CAC">
      <w:pPr>
        <w:ind w:firstLine="480"/>
      </w:pPr>
      <w:r>
        <w:rPr>
          <w:rFonts w:hint="eastAsia"/>
        </w:rPr>
        <w:t>结合现场调查，距离本项目最近的居民点是位于厂区南面800m的友谊村、龙谊村。因此，一旦发生危险品泄漏事故，产生的挥发性有毒有害气体对其环境空气质量会有一定的影响。另外，本项目化学品储罐四周均做防渗处理并设有围堰，一旦发生泄漏，泄漏的化学品经围堰堵截收集，及时采用消防沙等进行处理，经收集后的废液统一交有资质单位处理，可避免其进入外环境而对区域环境造成污染。因此，本项目化学品储罐如发生泄漏，基本上不会对周边居民的生活环境及周边河流水体带来较为明显的影响。</w:t>
      </w:r>
    </w:p>
    <w:p w14:paraId="5A404A0C">
      <w:pPr>
        <w:ind w:firstLine="480"/>
      </w:pPr>
      <w:r>
        <w:rPr>
          <w:rFonts w:hint="eastAsia"/>
        </w:rPr>
        <w:t>总的来说，本项目有毒有害物质泄漏的环境风险水平是可以接受的。但建设单位一定要按照国家对危险物质的使用、储运及相关管理规定，加强管理，做好预防措施，将其风险水平尽可能的降低。</w:t>
      </w:r>
    </w:p>
    <w:p w14:paraId="1C16525A">
      <w:pPr>
        <w:ind w:firstLine="480"/>
      </w:pPr>
      <w:r>
        <w:rPr>
          <w:rFonts w:hint="eastAsia"/>
        </w:rPr>
        <w:t>（2）危险化学品运输环境风险</w:t>
      </w:r>
    </w:p>
    <w:p w14:paraId="47B58FAB">
      <w:pPr>
        <w:ind w:firstLine="480"/>
      </w:pPr>
      <w:r>
        <w:rPr>
          <w:rFonts w:hint="eastAsia"/>
        </w:rPr>
        <w:t>目前，危险化学品运输风险已得到社会各界的关注，国家相续颁布了《危险化学品安全管理条例》（国务院令第344号）、《关于开展化学品环境管理和危险废物专项执法检查的通知》（环办[2011]115号）。</w:t>
      </w:r>
    </w:p>
    <w:p w14:paraId="1C1B0934">
      <w:pPr>
        <w:ind w:firstLine="480"/>
      </w:pPr>
      <w:r>
        <w:rPr>
          <w:rFonts w:hint="eastAsia"/>
        </w:rPr>
        <w:t>本项目使用的各类化学品等均由供货商运输至公司，而且，各供货公司均具有危险化学品道路运输经营许可证，管理制度完善。总的来说，在严格执行相关规定并合理选择运输路线的基础上，可大大降低本项目危险化学品运输风险事故的概率。</w:t>
      </w:r>
    </w:p>
    <w:p w14:paraId="7C8BCDBF">
      <w:pPr>
        <w:ind w:firstLine="480"/>
      </w:pPr>
      <w:r>
        <w:rPr>
          <w:rFonts w:hint="eastAsia"/>
        </w:rPr>
        <w:t>（3）危险化学品泄漏对大气环境影响</w:t>
      </w:r>
    </w:p>
    <w:p w14:paraId="09A573CD">
      <w:pPr>
        <w:ind w:firstLine="480"/>
        <w:rPr>
          <w:rFonts w:hint="default" w:ascii="Times New Roman" w:hAnsi="Times New Roman" w:eastAsia="宋体" w:cs="Times New Roman"/>
          <w:lang w:val="en-US" w:eastAsia="zh-CN"/>
        </w:rPr>
      </w:pPr>
      <w:r>
        <w:rPr>
          <w:rFonts w:hint="eastAsia"/>
        </w:rPr>
        <w:t>本项目涉及</w:t>
      </w:r>
      <w:r>
        <w:rPr>
          <w:rFonts w:hint="eastAsia"/>
          <w:lang w:eastAsia="zh-CN"/>
        </w:rPr>
        <w:t>的</w:t>
      </w:r>
      <w:r>
        <w:rPr>
          <w:rFonts w:hint="eastAsia"/>
        </w:rPr>
        <w:t>危险化学品中液体物料盐酸、</w:t>
      </w:r>
      <w:r>
        <w:rPr>
          <w:rFonts w:hint="eastAsia"/>
          <w:lang w:val="en-US" w:eastAsia="zh-CN"/>
        </w:rPr>
        <w:t>液碱</w:t>
      </w:r>
      <w:r>
        <w:rPr>
          <w:rFonts w:hint="eastAsia"/>
        </w:rPr>
        <w:t>、</w:t>
      </w:r>
      <w:r>
        <w:rPr>
          <w:rFonts w:hint="eastAsia"/>
          <w:lang w:val="en-US" w:eastAsia="zh-CN"/>
        </w:rPr>
        <w:t>高氯酸</w:t>
      </w:r>
      <w:r>
        <w:rPr>
          <w:rFonts w:hint="eastAsia"/>
        </w:rPr>
        <w:t>等由储罐（或贮槽）储存</w:t>
      </w:r>
      <w:r>
        <w:rPr>
          <w:rFonts w:hint="eastAsia"/>
          <w:lang w:eastAsia="zh-CN"/>
        </w:rPr>
        <w:t>。</w:t>
      </w:r>
      <w:r>
        <w:rPr>
          <w:rFonts w:hint="eastAsia" w:ascii="Times New Roman" w:hAnsi="Times New Roman" w:cs="Times New Roman"/>
        </w:rPr>
        <w:t>项目在</w:t>
      </w:r>
      <w:r>
        <w:rPr>
          <w:rFonts w:ascii="Times New Roman" w:hAnsi="Times New Roman" w:cs="Times New Roman"/>
        </w:rPr>
        <w:t>厂区内安装了氯气</w:t>
      </w:r>
      <w:r>
        <w:rPr>
          <w:rFonts w:hint="eastAsia" w:ascii="Times New Roman" w:hAnsi="Times New Roman" w:cs="Times New Roman"/>
        </w:rPr>
        <w:t>、氢气、氯化氢等</w:t>
      </w:r>
      <w:r>
        <w:rPr>
          <w:rFonts w:ascii="Times New Roman" w:hAnsi="Times New Roman" w:cs="Times New Roman"/>
        </w:rPr>
        <w:t>泄漏报警仪和紧急关停阀，当管道氯气</w:t>
      </w:r>
      <w:r>
        <w:rPr>
          <w:rFonts w:hint="eastAsia" w:ascii="Times New Roman" w:hAnsi="Times New Roman" w:cs="Times New Roman"/>
        </w:rPr>
        <w:t>、氢气、氯化等</w:t>
      </w:r>
      <w:r>
        <w:rPr>
          <w:rFonts w:ascii="Times New Roman" w:hAnsi="Times New Roman" w:cs="Times New Roman"/>
        </w:rPr>
        <w:t>发生泄漏时启动报警装置，并通过电话联系相关负责人，相应负责人可在第一时间关闭供应阀门；且</w:t>
      </w:r>
      <w:r>
        <w:rPr>
          <w:rFonts w:hint="eastAsia" w:ascii="Times New Roman" w:hAnsi="Times New Roman" w:cs="Times New Roman"/>
        </w:rPr>
        <w:t>启动</w:t>
      </w:r>
      <w:r>
        <w:rPr>
          <w:rFonts w:ascii="Times New Roman" w:hAnsi="Times New Roman" w:cs="Times New Roman"/>
        </w:rPr>
        <w:t>抽负装置，也可在第一时间将管道内还未泄漏到外环境的</w:t>
      </w:r>
      <w:r>
        <w:rPr>
          <w:rFonts w:hint="eastAsia" w:ascii="Times New Roman" w:hAnsi="Times New Roman" w:cs="Times New Roman"/>
        </w:rPr>
        <w:t>气体物料</w:t>
      </w:r>
      <w:r>
        <w:rPr>
          <w:rFonts w:ascii="Times New Roman" w:hAnsi="Times New Roman" w:cs="Times New Roman"/>
        </w:rPr>
        <w:t>抽回。</w:t>
      </w:r>
      <w:r>
        <w:rPr>
          <w:rFonts w:hint="eastAsia" w:ascii="Times New Roman" w:hAnsi="Times New Roman" w:cs="Times New Roman"/>
          <w:lang w:val="en-US" w:eastAsia="zh-CN"/>
        </w:rPr>
        <w:t>通过以上措施，</w:t>
      </w:r>
      <w:r>
        <w:rPr>
          <w:rFonts w:hint="eastAsia" w:ascii="Times New Roman" w:hAnsi="Times New Roman" w:cs="Times New Roman"/>
        </w:rPr>
        <w:t>可在短时间内进行控制，对环境空气的影响在可接受范围之内。</w:t>
      </w:r>
    </w:p>
    <w:p w14:paraId="385A91BA">
      <w:pPr>
        <w:ind w:firstLine="480"/>
      </w:pPr>
      <w:r>
        <w:rPr>
          <w:rFonts w:hint="eastAsia"/>
        </w:rPr>
        <w:t>（4）危险化学品泄漏对地表水环境、地下水环境影响</w:t>
      </w:r>
    </w:p>
    <w:p w14:paraId="487A662F">
      <w:pPr>
        <w:ind w:firstLine="480"/>
        <w:rPr>
          <w:rFonts w:hint="eastAsia"/>
        </w:rPr>
      </w:pPr>
      <w:r>
        <w:rPr>
          <w:rFonts w:hint="eastAsia"/>
        </w:rPr>
        <w:t>若本项目使用的液体化学品泄漏进入水体，将对地表水造成污染</w:t>
      </w:r>
      <w:r>
        <w:rPr>
          <w:rFonts w:hint="eastAsia"/>
          <w:lang w:eastAsia="zh-CN"/>
        </w:rPr>
        <w:t>。</w:t>
      </w:r>
      <w:r>
        <w:rPr>
          <w:rFonts w:hint="eastAsia"/>
        </w:rPr>
        <w:t>本项目储罐区设置有围堰，围堰通过导流沟连接至事故池，项目三级防控措施完善，储存过程中发生泄漏基本能截留在厂内，可在短时间内进行控制，因此厂内的泄漏对地表水环境的影响较小。</w:t>
      </w:r>
    </w:p>
    <w:p w14:paraId="1987EAF5">
      <w:pPr>
        <w:ind w:firstLine="480"/>
      </w:pPr>
      <w:r>
        <w:rPr>
          <w:rFonts w:hint="eastAsia"/>
        </w:rPr>
        <w:t>本项目按导则要求进行分区防渗，其中电解车间、复分解车间、厂区废水处理站、罐区、危废暂存间、一般固废暂存间、事故应急池等重点防渗区均按相关要求设置防渗措施，渗透系数达到《环境影响评价技术导则  地下水环境》（HJ610-2016）的要求。因此泄漏对地下水的环境影响可控。</w:t>
      </w:r>
    </w:p>
    <w:p w14:paraId="358B0A4C">
      <w:pPr>
        <w:ind w:firstLine="480"/>
      </w:pPr>
      <w:r>
        <w:rPr>
          <w:rFonts w:hint="eastAsia"/>
        </w:rPr>
        <w:t>（5）危险化学品泄漏对周边敏感点的影响</w:t>
      </w:r>
    </w:p>
    <w:p w14:paraId="47AE2055">
      <w:pPr>
        <w:ind w:firstLine="480"/>
      </w:pPr>
      <w:r>
        <w:rPr>
          <w:rFonts w:hint="eastAsia"/>
        </w:rPr>
        <w:t>本项目厂区离集中的居民点较远，发生泄漏时对居民的影响主要是空气环境质量影响，在厂内的泄漏一般短时间内能得到控制，在控制泄漏源后对周边居民的影响不大。</w:t>
      </w:r>
    </w:p>
    <w:p w14:paraId="6BEEB3B8">
      <w:pPr>
        <w:pStyle w:val="5"/>
        <w:numPr>
          <w:ilvl w:val="3"/>
          <w:numId w:val="1"/>
        </w:numPr>
      </w:pPr>
      <w:bookmarkStart w:id="302" w:name="_Toc14708"/>
      <w:r>
        <w:rPr>
          <w:rFonts w:hint="eastAsia"/>
        </w:rPr>
        <w:t>废水事故排放风险评价</w:t>
      </w:r>
      <w:bookmarkEnd w:id="302"/>
    </w:p>
    <w:p w14:paraId="7A676868">
      <w:pPr>
        <w:ind w:firstLine="480"/>
      </w:pPr>
      <w:r>
        <w:rPr>
          <w:rFonts w:hint="eastAsia"/>
        </w:rPr>
        <w:t>建设单位严格废水处理设施管理和日常维护保养，确保废水站调节池及应急事故池预留足够的容积，事故情况下可容纳厂区废水，生产废水事故排放的发生概率较小，对环境的影响在可接受范围之内。</w:t>
      </w:r>
    </w:p>
    <w:p w14:paraId="31C5CF48">
      <w:pPr>
        <w:pStyle w:val="5"/>
        <w:numPr>
          <w:ilvl w:val="3"/>
          <w:numId w:val="1"/>
        </w:numPr>
      </w:pPr>
      <w:bookmarkStart w:id="303" w:name="_Toc977"/>
      <w:r>
        <w:rPr>
          <w:rFonts w:hint="eastAsia"/>
        </w:rPr>
        <w:t>废气事故排放风险评价</w:t>
      </w:r>
      <w:bookmarkEnd w:id="303"/>
    </w:p>
    <w:p w14:paraId="1D71DB66">
      <w:pPr>
        <w:ind w:firstLine="480"/>
      </w:pPr>
      <w:r>
        <w:rPr>
          <w:rFonts w:hint="eastAsia"/>
        </w:rPr>
        <w:t>由废气事故排放环境影响预测结果分析可知废气未经处理直接排放，HCl、Cl</w:t>
      </w:r>
      <w:r>
        <w:rPr>
          <w:rFonts w:hint="eastAsia"/>
          <w:vertAlign w:val="subscript"/>
        </w:rPr>
        <w:t>2</w:t>
      </w:r>
      <w:r>
        <w:rPr>
          <w:rFonts w:hint="eastAsia"/>
        </w:rPr>
        <w:t>对敏感点和区域网格的最大小时浓度贡献值远远超过相关标准要求。项目建成后必须加强管理，定期检修废气处理设施，确保其处理效率达到相应要求。一般来说，在典型小时的气象条件下遇上事故性排放的机会较少，严格废气污染防治措施的管理和维护保养，各废气污染物发生事故排放的概率很小。</w:t>
      </w:r>
    </w:p>
    <w:p w14:paraId="3FBF5F5F">
      <w:pPr>
        <w:pStyle w:val="5"/>
        <w:numPr>
          <w:ilvl w:val="3"/>
          <w:numId w:val="1"/>
        </w:numPr>
      </w:pPr>
      <w:bookmarkStart w:id="304" w:name="_Toc27022"/>
      <w:r>
        <w:rPr>
          <w:rFonts w:hint="eastAsia"/>
        </w:rPr>
        <w:t>火灾、爆炸及其引发的次生环境风险评价</w:t>
      </w:r>
      <w:bookmarkEnd w:id="304"/>
    </w:p>
    <w:p w14:paraId="1E56457F">
      <w:pPr>
        <w:ind w:firstLine="480"/>
      </w:pPr>
      <w:r>
        <w:t>项目相关易燃易爆物质直接爆炸的可能性很小，但发应釜阀门破损，造成泄漏，其</w:t>
      </w:r>
      <w:r>
        <w:rPr>
          <w:color w:val="000000" w:themeColor="text1"/>
          <w14:textFill>
            <w14:solidFill>
              <w14:schemeClr w14:val="tx1"/>
            </w14:solidFill>
          </w14:textFill>
        </w:rPr>
        <w:t>中氯气、氢气等属于易燃易爆物，</w:t>
      </w:r>
      <w:r>
        <w:t>且其蒸汽与空气可形成爆炸性混合物，很容易发生火灾爆炸事故，火灾、爆炸事故对环境的危害主要是热辐射、冲击波和抛射物造成的后果。此外，发生火灾和爆炸后，有害有毒气体及燃烧产生的有毒烟雾将大量扩散，造成严重的环境污染事故。会对车间内、企业及周边企业的人员、装置和建筑物造成伤害，因此要在车间内安装可燃气体探测报警仪，一旦泄漏，立即采取措施，生产严禁火源，另外加强工作人员思想意识和应急处理能力的培养，加强生产管理，反应釜火灾爆炸可以避免。</w:t>
      </w:r>
    </w:p>
    <w:p w14:paraId="0D7DDA03">
      <w:pPr>
        <w:pStyle w:val="3"/>
        <w:numPr>
          <w:ilvl w:val="1"/>
          <w:numId w:val="1"/>
        </w:numPr>
      </w:pPr>
      <w:bookmarkStart w:id="305" w:name="_Toc14853"/>
      <w:bookmarkStart w:id="306" w:name="_Toc5707"/>
      <w:bookmarkStart w:id="307" w:name="_Toc26834"/>
      <w:r>
        <w:rPr>
          <w:rFonts w:hint="eastAsia"/>
        </w:rPr>
        <w:t>环境风险管理</w:t>
      </w:r>
      <w:bookmarkEnd w:id="305"/>
      <w:bookmarkEnd w:id="306"/>
      <w:bookmarkEnd w:id="307"/>
    </w:p>
    <w:p w14:paraId="58EDD23D">
      <w:pPr>
        <w:pStyle w:val="4"/>
        <w:numPr>
          <w:ilvl w:val="2"/>
          <w:numId w:val="1"/>
        </w:numPr>
      </w:pPr>
      <w:bookmarkStart w:id="308" w:name="_Toc4874"/>
      <w:r>
        <w:rPr>
          <w:rFonts w:hint="eastAsia"/>
        </w:rPr>
        <w:t>环境风险管理目标</w:t>
      </w:r>
      <w:bookmarkEnd w:id="308"/>
    </w:p>
    <w:p w14:paraId="78615BD3">
      <w:pPr>
        <w:ind w:firstLine="480"/>
      </w:pPr>
      <w:r>
        <w:rPr>
          <w:rFonts w:hint="eastAsia"/>
        </w:rPr>
        <w:t>为降低企业生产经营中的环境风险，将环境污染事件控制在厂区范围内，建设单位应按相关规定编制突发环境事件应急预案并报管理部门备案，确立相应的环境风险防范措施，以期对项目环境风险进行有效的预防、监控、响应。</w:t>
      </w:r>
    </w:p>
    <w:p w14:paraId="3BB0DCF5">
      <w:pPr>
        <w:pStyle w:val="4"/>
        <w:numPr>
          <w:ilvl w:val="2"/>
          <w:numId w:val="1"/>
        </w:numPr>
      </w:pPr>
      <w:bookmarkStart w:id="309" w:name="_Toc31343"/>
      <w:r>
        <w:rPr>
          <w:rFonts w:hint="eastAsia"/>
        </w:rPr>
        <w:t>环境风险防范措施</w:t>
      </w:r>
      <w:bookmarkEnd w:id="309"/>
    </w:p>
    <w:p w14:paraId="23979489">
      <w:pPr>
        <w:pStyle w:val="5"/>
        <w:numPr>
          <w:ilvl w:val="3"/>
          <w:numId w:val="1"/>
        </w:numPr>
      </w:pPr>
      <w:r>
        <w:t>化学品泄漏的环境风险防范措施</w:t>
      </w:r>
    </w:p>
    <w:p w14:paraId="3573F75D">
      <w:pPr>
        <w:ind w:firstLine="480"/>
      </w:pPr>
      <w:r>
        <w:t>企业内针对化学品泄漏的防范措施主要如下：</w:t>
      </w:r>
    </w:p>
    <w:p w14:paraId="38E92918">
      <w:pPr>
        <w:ind w:firstLine="480"/>
      </w:pPr>
      <w:r>
        <w:t>（1）强化安全、消防和环保管理，完善各项管理制度，加强日常监督检查。</w:t>
      </w:r>
    </w:p>
    <w:p w14:paraId="23775E59">
      <w:pPr>
        <w:ind w:firstLine="480"/>
      </w:pPr>
      <w:r>
        <w:t>（2）各类危险物品应计划采购、分期分批入库，严格控制储存量。</w:t>
      </w:r>
    </w:p>
    <w:p w14:paraId="1124CC9C">
      <w:pPr>
        <w:ind w:firstLine="480"/>
      </w:pPr>
      <w:r>
        <w:t>（3）合理规划危险品运输路线及运输时间。</w:t>
      </w:r>
    </w:p>
    <w:p w14:paraId="534C29A4">
      <w:pPr>
        <w:ind w:firstLine="480"/>
      </w:pPr>
      <w:r>
        <w:t>（4）危险化学品的装运应做到定车、定人。</w:t>
      </w:r>
    </w:p>
    <w:p w14:paraId="6CA48392">
      <w:pPr>
        <w:ind w:firstLine="480"/>
      </w:pPr>
      <w:r>
        <w:t>（5）在装卸化学危险物品前，要预先做好准备工作，了解物品性质，检查装卸搬运的工具是否牢固，不牢固的应予以更换或修理。如工具上曾被易燃物、有机物等污染的，必须清洗后方可使用。</w:t>
      </w:r>
    </w:p>
    <w:p w14:paraId="3F5D2D1C">
      <w:pPr>
        <w:ind w:firstLine="480"/>
      </w:pPr>
      <w:r>
        <w:t>（6）原料入库时，应严格检验物品质量、数量、包装情况、有无泄漏。入库后应采取适当的养护措施，在贮存期内，定期检查，发现其品质变化、包装破损、渗漏、稳定剂短缺等，应及时处理。</w:t>
      </w:r>
    </w:p>
    <w:p w14:paraId="696CDBA6">
      <w:pPr>
        <w:ind w:firstLine="480"/>
      </w:pPr>
      <w:r>
        <w:t>（7）保证泄漏预防设施和检测设备的投入，正确使用与维护。</w:t>
      </w:r>
    </w:p>
    <w:p w14:paraId="7E5FCFC5">
      <w:pPr>
        <w:ind w:firstLine="480"/>
      </w:pPr>
      <w:r>
        <w:t>（8）合理</w:t>
      </w:r>
      <w:r>
        <w:rPr>
          <w:rFonts w:hint="eastAsia"/>
          <w:lang w:eastAsia="zh-CN"/>
        </w:rPr>
        <w:t>规范化</w:t>
      </w:r>
      <w:r>
        <w:t>学品罐车进入厂区的运输路线和运输时间。</w:t>
      </w:r>
    </w:p>
    <w:p w14:paraId="7DA28B69">
      <w:pPr>
        <w:ind w:firstLine="480"/>
      </w:pPr>
      <w:r>
        <w:t>（9）连接化学品罐车管道时，注意检查管道的连接口的是否密封。</w:t>
      </w:r>
    </w:p>
    <w:p w14:paraId="51A7C3F2">
      <w:pPr>
        <w:ind w:firstLine="480"/>
      </w:pPr>
      <w:r>
        <w:t>（10）在化学品储罐区、贮罐区设置围堰并配备消防沙防止危险化学品泄漏。</w:t>
      </w:r>
    </w:p>
    <w:p w14:paraId="05E81EDD">
      <w:pPr>
        <w:ind w:firstLine="480"/>
      </w:pPr>
      <w:r>
        <w:t>（11）电解车间设置防泄漏收集沟（30cm*30cm*30cm）和积液池（约30m</w:t>
      </w:r>
      <w:r>
        <w:rPr>
          <w:vertAlign w:val="superscript"/>
        </w:rPr>
        <w:t>3</w:t>
      </w:r>
      <w:r>
        <w:t>），并对收集沟和积液池按化工行业的要求进行防腐防渗，用于收集“跑冒滴漏”的液体，防止其四处逸散。</w:t>
      </w:r>
    </w:p>
    <w:p w14:paraId="3216D0AB">
      <w:pPr>
        <w:ind w:firstLine="480"/>
      </w:pPr>
      <w:r>
        <w:t>（12）定期巡检化学品存放点（化学品仓库、储罐区），做好泄漏防范措施。</w:t>
      </w:r>
    </w:p>
    <w:p w14:paraId="787971F9">
      <w:pPr>
        <w:ind w:firstLine="480"/>
      </w:pPr>
      <w:r>
        <w:t>（13）主要生产装置区布置在车间厂房内，对人身造成危险的运转设备配备安全罩。根据火灾危险性等级和防火、防爆要求，建筑物的防火等级均应采用国家现行规范要求按一、二级耐火等级设计，满足建筑防火要求。凡禁火区均设置明显标志牌。各种易燃易爆物料均储存在阴凉、通风处，远离火源。安全出口及安全疏散距离应符合《建筑设计防火规范》（GB50016-2014）的要求。</w:t>
      </w:r>
    </w:p>
    <w:p w14:paraId="4173837C">
      <w:pPr>
        <w:ind w:firstLine="480"/>
      </w:pPr>
      <w:r>
        <w:t>（14）根据生产装置的特点，在生产车间按物料性质和人身可能意外接触到有害物质而引起烧伤、刺激或伤害皮肤的区域内，均设置紧急淋浴和洗眼器，并加以明显标记。并在装置区设置救护箱。工作人员配备必要的个人防护用品。</w:t>
      </w:r>
    </w:p>
    <w:p w14:paraId="48EF33CC">
      <w:pPr>
        <w:ind w:firstLine="480"/>
      </w:pPr>
      <w:r>
        <w:t>（15）减少贮存量。项目最大可信事故为储罐区一次性泄漏全部化工原料。危险物的最大储存量是影响风险程度的首要因素之一，建设单位可通过有效途径减少危险化学品的贮存量，使危害减到尽可能小的程度。如：按照生产周期要求配置贮存量，尽量减少不必要的贮存。</w:t>
      </w:r>
    </w:p>
    <w:p w14:paraId="7C40B318">
      <w:pPr>
        <w:ind w:firstLine="480"/>
      </w:pPr>
      <w:r>
        <w:t>（16）通过设置厂区系统的自动控制水平，实现自动预报、切断泄漏源等功能，减少和降低危险出现概率。</w:t>
      </w:r>
    </w:p>
    <w:p w14:paraId="7BA4B935">
      <w:pPr>
        <w:ind w:firstLine="480"/>
      </w:pPr>
      <w:r>
        <w:t>（17）建立一套严格的安全防范体系，制定安全生产规章制度，加强生产管理，操作人员必须严格执行各种作业规章。</w:t>
      </w:r>
    </w:p>
    <w:p w14:paraId="29ED6775">
      <w:pPr>
        <w:ind w:firstLine="480"/>
      </w:pPr>
      <w:r>
        <w:t>（18）对职工进行教育，提高操作工人的技术水平和责任感，降低误操作事故引发的环境风险。</w:t>
      </w:r>
    </w:p>
    <w:p w14:paraId="3336FB8A">
      <w:pPr>
        <w:ind w:firstLine="480"/>
      </w:pPr>
      <w:r>
        <w:t>（19）运输车辆应配备相应品种的消防器材及泄漏应急处理设备，夏季最好早晚运输，槽车应有接地链，严禁与氧化剂和食品混装运输，中途停留远离火种、热源等，公路运输严格按照规定线路行驶，不要在居民区和人口密集区停留，严禁穿越城市市区。</w:t>
      </w:r>
    </w:p>
    <w:p w14:paraId="58DCB1AC">
      <w:pPr>
        <w:ind w:firstLine="480"/>
      </w:pPr>
      <w:r>
        <w:t>（20）装卸区设有专门防泄漏设施，设计有防污槽和真空泵，一旦在装卸过程发生泄漏可防止原材料外泄污染环境，并能及时回收。</w:t>
      </w:r>
    </w:p>
    <w:p w14:paraId="3D2A480F">
      <w:pPr>
        <w:ind w:firstLine="480"/>
      </w:pPr>
      <w:r>
        <w:t>（21）定期对设备进行检修，使关键设备反应器在生产过程中处于良好的运行状况，把由于设备失灵引发的环境风险减至最低。</w:t>
      </w:r>
    </w:p>
    <w:p w14:paraId="24DB0803">
      <w:pPr>
        <w:ind w:firstLine="480"/>
      </w:pPr>
      <w:r>
        <w:t>（22）建设单位通过生产过程的合理调度和物流控制，控制厂区储罐区内危险品的储存规模，储罐区、贮槽区、气柜等设备的设置和生产过程的操作与管理符合公安消防部门的各项规定要求，留有足够的安全防护距离。</w:t>
      </w:r>
    </w:p>
    <w:p w14:paraId="70BC596E">
      <w:pPr>
        <w:ind w:firstLine="480"/>
      </w:pPr>
      <w:r>
        <w:t>（23）建设单位在生产车间有毒性气体、易燃易爆气体检测仪，能实时检测有毒有害气体、易燃易爆气体的浓度，一旦出现有毒性气体、易燃易爆气体泄漏，检测仪立即报警。有毒性气体、易燃易爆气体输送管道分段设置自动阀，有毒性气体、易燃易爆气体输送管道在进后续工序及出产生工序处分别设有总阀门，一旦出现有毒性气体、易燃易爆气体泄漏事故捷均可在各自生产区域内及时关闭总阀门，以便于事故的控制和管道的维修，在毒性气体、易燃易爆气体输送管道两端设置有自动紧急切断阀。在关闭阀门后，可通过的毒性气体、易燃易爆气体反抽装置将管道中的毒性气体、易燃易爆气体抽回。</w:t>
      </w:r>
    </w:p>
    <w:p w14:paraId="5253F7F7">
      <w:pPr>
        <w:ind w:firstLine="480"/>
      </w:pPr>
      <w:r>
        <w:t>（24）建设单位设置专人负责废气收集处理设施的维修和保养工作，按照操作规程严格进行维修和保养。设置专人负责各连接管道、阀门的维修、保养工作，按照操作规程严格进行维修和保养。</w:t>
      </w:r>
    </w:p>
    <w:p w14:paraId="36F12B41">
      <w:pPr>
        <w:pStyle w:val="5"/>
        <w:numPr>
          <w:ilvl w:val="3"/>
          <w:numId w:val="1"/>
        </w:numPr>
      </w:pPr>
      <w:r>
        <w:t>火灾、爆炸事故风险防范措施</w:t>
      </w:r>
    </w:p>
    <w:p w14:paraId="727407BD">
      <w:pPr>
        <w:ind w:firstLine="480"/>
      </w:pPr>
      <w:r>
        <w:t>企业内针对火灾、爆炸事故防范措施主要如下：</w:t>
      </w:r>
    </w:p>
    <w:p w14:paraId="6C287BF9">
      <w:pPr>
        <w:ind w:firstLine="480"/>
      </w:pPr>
      <w:r>
        <w:t>（1）定时巡查，及时发现问题并及时整改。</w:t>
      </w:r>
    </w:p>
    <w:p w14:paraId="399B32AB">
      <w:pPr>
        <w:ind w:firstLine="480"/>
      </w:pPr>
      <w:r>
        <w:t>（2）定期对设备设施和安全管理情况进行检查，发现问题及时整改。特种设备及安全附件按要求进行定期检测。</w:t>
      </w:r>
    </w:p>
    <w:p w14:paraId="01C53CE4">
      <w:pPr>
        <w:ind w:firstLine="480"/>
      </w:pPr>
      <w:r>
        <w:t>（3）制定并严格执行设备设施维护保养制度，定时维护保养确保设备设施符合安全要求，对消防设施、防静电装置等定期检查试验，确保安全设施良好。</w:t>
      </w:r>
    </w:p>
    <w:p w14:paraId="2F0E5F63">
      <w:pPr>
        <w:ind w:firstLine="480"/>
      </w:pPr>
      <w:r>
        <w:t>（4）车间内配置有灭火器、消防沙等消防设施、器材。</w:t>
      </w:r>
    </w:p>
    <w:p w14:paraId="0A598819">
      <w:pPr>
        <w:ind w:firstLine="480"/>
      </w:pPr>
      <w:r>
        <w:t>（5）储罐区、贮槽区、气柜和车间在危险区域设置有安全警示标志，提醒人员注意行为安全。</w:t>
      </w:r>
    </w:p>
    <w:p w14:paraId="42BE0B38">
      <w:pPr>
        <w:ind w:firstLine="480"/>
      </w:pPr>
      <w:r>
        <w:t>（6）防雷接地、防静电接地、电气设备的工作接地和保护接地等共用接地装置。</w:t>
      </w:r>
    </w:p>
    <w:p w14:paraId="67A062E4">
      <w:pPr>
        <w:ind w:firstLine="480"/>
      </w:pPr>
      <w:r>
        <w:t>（7）储罐区、贮槽区、气柜和车间设置完善的消防设施。</w:t>
      </w:r>
    </w:p>
    <w:p w14:paraId="2C7E54ED">
      <w:pPr>
        <w:ind w:firstLine="480"/>
        <w:rPr>
          <w:color w:val="000000" w:themeColor="text1"/>
          <w14:textFill>
            <w14:solidFill>
              <w14:schemeClr w14:val="tx1"/>
            </w14:solidFill>
          </w14:textFill>
        </w:rPr>
      </w:pPr>
      <w:r>
        <w:t>本项目储罐区、贮槽区、气柜和车间若发生火灾应采用消防泡沫灭火，但是对于未着火的临近储罐、贮槽、气柜应采用消防水进行降温，以保护火势不会蔓延到临近储罐、贮槽、气柜。</w:t>
      </w:r>
      <w:r>
        <w:rPr>
          <w:color w:val="000000" w:themeColor="text1"/>
          <w14:textFill>
            <w14:solidFill>
              <w14:schemeClr w14:val="tx1"/>
            </w14:solidFill>
          </w14:textFill>
        </w:rPr>
        <w:t>本项目设置了事故应急池</w:t>
      </w:r>
      <w:r>
        <w:rPr>
          <w:rFonts w:hint="eastAsia"/>
          <w:color w:val="000000" w:themeColor="text1"/>
          <w14:textFill>
            <w14:solidFill>
              <w14:schemeClr w14:val="tx1"/>
            </w14:solidFill>
          </w14:textFill>
        </w:rPr>
        <w:t>864</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，事故池可满足事故废水的收集，事故池能容纳不同区域事故废水和消洗废水暂存。</w:t>
      </w:r>
    </w:p>
    <w:p w14:paraId="2177EA89">
      <w:pPr>
        <w:pStyle w:val="5"/>
        <w:numPr>
          <w:ilvl w:val="3"/>
          <w:numId w:val="1"/>
        </w:numPr>
      </w:pPr>
      <w:r>
        <w:t>废水、废气事故排放风险防范措施</w:t>
      </w:r>
    </w:p>
    <w:p w14:paraId="68DC13DF">
      <w:pPr>
        <w:ind w:firstLine="480"/>
      </w:pPr>
      <w:r>
        <w:t>废水、废气处理系统若发生收集管道破裂、泵站/引风机故障、操作不当和系统失灵等事故可导致污水、废气的事故性排放。防范措施如下：</w:t>
      </w:r>
    </w:p>
    <w:p w14:paraId="67643B08">
      <w:pPr>
        <w:ind w:firstLine="482"/>
        <w:rPr>
          <w:b/>
          <w:bCs/>
        </w:rPr>
      </w:pPr>
      <w:r>
        <w:rPr>
          <w:b/>
          <w:bCs/>
        </w:rPr>
        <w:t>1、废气处理系统事故排放风险防范措施</w:t>
      </w:r>
    </w:p>
    <w:p w14:paraId="419E3910">
      <w:pPr>
        <w:ind w:firstLine="480"/>
      </w:pPr>
      <w:r>
        <w:t>设置专人对废气处理设备定期巡检。出现废气事故排放，应及时暂定相应生产工序，并进行事故调查。在人员安全的情况下进行抢修，尽快恢复生产。</w:t>
      </w:r>
    </w:p>
    <w:p w14:paraId="2BA0EEBB">
      <w:pPr>
        <w:ind w:firstLine="482"/>
        <w:rPr>
          <w:b/>
          <w:bCs/>
        </w:rPr>
      </w:pPr>
      <w:r>
        <w:rPr>
          <w:b/>
          <w:bCs/>
        </w:rPr>
        <w:t>2、废水处理系统事故排放风险防范措施</w:t>
      </w:r>
    </w:p>
    <w:p w14:paraId="4E61F546">
      <w:pPr>
        <w:ind w:firstLine="480"/>
      </w:pPr>
      <w:r>
        <w:t>（1）废水处理系统事故风险防范</w:t>
      </w:r>
    </w:p>
    <w:p w14:paraId="30379068">
      <w:pPr>
        <w:ind w:firstLine="480"/>
      </w:pPr>
      <w:r>
        <w:t>生产废水事故排放是指废水中的某项或多项指标达不到相关排放标准的要求而进入外环境水体，造成外环境水体水质变差、损害其水生产生态的行为。发生生产废水事故排放应及时应停止相关生产车间的生产，停止废水外排。及时查找事故原因，在人员安全的情况下进行抢修，及时恢复正常运行。</w:t>
      </w:r>
    </w:p>
    <w:p w14:paraId="1001BEE9">
      <w:pPr>
        <w:ind w:firstLine="480"/>
      </w:pPr>
      <w:r>
        <w:t>本项目设置了事故应急池</w:t>
      </w:r>
      <w:r>
        <w:rPr>
          <w:rFonts w:hint="eastAsia"/>
        </w:rPr>
        <w:t>（550</w:t>
      </w:r>
      <w:r>
        <w:t>m</w:t>
      </w:r>
      <w:r>
        <w:rPr>
          <w:vertAlign w:val="superscript"/>
        </w:rPr>
        <w:t>3</w:t>
      </w:r>
      <w:r>
        <w:rPr>
          <w:rFonts w:hint="eastAsia"/>
        </w:rPr>
        <w:t>）</w:t>
      </w:r>
      <w:r>
        <w:t>，事故池可满足事故废水的收集，事故池能容纳不同区域事故废水和消洗废水暂存，日常情况下保持清空状态，能足够容纳不同生产区域一次泄漏的废水以及火灾时的消防水，一旦发生突发环境事故，泄漏的废水以及火灾时的消防水可以进入事故应急池。</w:t>
      </w:r>
      <w:r>
        <w:rPr>
          <w:rFonts w:hint="eastAsia"/>
        </w:rPr>
        <w:t>本项目事故应急池兼做雨水收集池。</w:t>
      </w:r>
    </w:p>
    <w:p w14:paraId="477AEF29">
      <w:pPr>
        <w:ind w:firstLine="480"/>
      </w:pPr>
      <w:r>
        <w:t>（2）事故废水三级防控体系</w:t>
      </w:r>
    </w:p>
    <w:p w14:paraId="77FD9B0D">
      <w:pPr>
        <w:ind w:firstLine="480"/>
      </w:pPr>
      <w:r>
        <w:t>本项目在生产车间设置收集沟连接至事故池，在储罐区1.2~1.4m高围堰连接至事故池作为一级预防与控制体系，防治污染雨水和轻微泄漏造成的环境污染；事故应急池作为二级预防与控制体系，防止单套生产装置、单个储罐贮槽、危化品输送管道较大的生产事故物料泄漏、污染消防废水及污染雨水造成环境污染；厂区外围设置10cm高砖砌围墙和松木工业园污水处理厂事故池作为第三级防控体系，防止重大生产事故物料泄漏、污染消防废水、污染雨水等造成的环境污染。</w:t>
      </w:r>
    </w:p>
    <w:p w14:paraId="0FE0E1E7">
      <w:pPr>
        <w:ind w:firstLine="480"/>
      </w:pPr>
      <w:r>
        <w:t>1）第一级防控措施——车间收集管沟、储罐区隔堤和围堰</w:t>
      </w:r>
    </w:p>
    <w:p w14:paraId="0A5530F5">
      <w:pPr>
        <w:ind w:firstLine="480"/>
      </w:pPr>
      <w:r>
        <w:t>本项目生产车间均设置了环车间的收集管沟，储罐区均设置了围堰，上述装置可连接至事故池。车间管沟及储罐区内集水沟槽、排水口作为导流设施，正常情况下关闭排水口，发生事故时首先将事故废水收集在管沟和围堰内。根据生产区储罐区涉及的物料特性，均采取了相应的防腐防渗措施。</w:t>
      </w:r>
    </w:p>
    <w:p w14:paraId="73330C99">
      <w:pPr>
        <w:ind w:firstLine="480"/>
      </w:pPr>
      <w:r>
        <w:t>2）第二级防控措施——事故应急池</w:t>
      </w:r>
    </w:p>
    <w:p w14:paraId="178FA2CC">
      <w:pPr>
        <w:ind w:firstLine="480"/>
      </w:pPr>
      <w:r>
        <w:t>当无法利用一级防控体系控制泄漏或事故废水时，开启一级防控接入收集池或事故池的阀门，各区域的事故废水排入相应的事故池，各区域的初期雨水进入相应的初期雨水收集池，即进入二级事故缓冲设施。事故结束后，事故废水由泵提升至厂区废水站处理后排入松木工业园污水处理厂处理。</w:t>
      </w:r>
    </w:p>
    <w:p w14:paraId="756A25C8">
      <w:pPr>
        <w:ind w:firstLine="480"/>
      </w:pPr>
      <w:r>
        <w:t>3）第三级防控措施——厂区外围实体砖砌围墙、资家港闸门、松木工业园污水厂事故池</w:t>
      </w:r>
    </w:p>
    <w:p w14:paraId="707064F4">
      <w:pPr>
        <w:ind w:firstLine="480"/>
      </w:pPr>
      <w:r>
        <w:t>第三级防控措施是在进入水环境的总排放口前或污水处理厂终端建设终端事故缓冲池，作为事故状态下的储存和调控手段，将污染控制在区内，防止重大事故泄漏物料和消防废水造成环境污染。本项目各类废水均不直接排入水环境，而是先进入厂内自建废水站预处理，再</w:t>
      </w:r>
      <w:r>
        <w:rPr>
          <w:rFonts w:hint="eastAsia"/>
          <w:lang w:val="en-US" w:eastAsia="zh-CN"/>
        </w:rPr>
        <w:t>进行回用或</w:t>
      </w:r>
      <w:r>
        <w:t>排入松木工业园污水处理厂，因此可利用厂区外围砖砌实体围墙阻隔事故废水流出厂外，更严重的情况下，可利用松木工业园污水处理厂事故池，以上可组成本项目的第三级防控措施。</w:t>
      </w:r>
    </w:p>
    <w:p w14:paraId="38DC790F">
      <w:pPr>
        <w:ind w:firstLine="482"/>
        <w:rPr>
          <w:b/>
          <w:bCs/>
        </w:rPr>
      </w:pPr>
      <w:r>
        <w:rPr>
          <w:b/>
          <w:bCs/>
        </w:rPr>
        <w:t>3、废水、废气处理系统日常维护</w:t>
      </w:r>
    </w:p>
    <w:p w14:paraId="7EF2CF09">
      <w:pPr>
        <w:ind w:firstLine="480"/>
      </w:pPr>
      <w:r>
        <w:t>（1）严格控制各处理系统处理单元的水量、水质、停留时间、负荷强度等，确保各处理系统或处理单元处理效果的稳定性。</w:t>
      </w:r>
    </w:p>
    <w:p w14:paraId="7AFA0E2D">
      <w:pPr>
        <w:ind w:firstLine="480"/>
      </w:pPr>
      <w:r>
        <w:t>（2）加强对废水处理系统、废气处理系统工作人员的操作技能的培训，提高工作人员的应变能力，及时有效处理意外情况。</w:t>
      </w:r>
    </w:p>
    <w:p w14:paraId="1700F379">
      <w:pPr>
        <w:ind w:firstLine="480"/>
      </w:pPr>
      <w:r>
        <w:t>（3）废气处理系统应按相关的标准要求设计、施工和管理。项目的生产线应尽可能采用密闭的生产方式。对于系统的设备，在设计过程中应选用耐酸碱材料，并充分考虑对抗震动等要求。对处理系统进行定期与不定期检查，及时维修或更换不良部件。</w:t>
      </w:r>
    </w:p>
    <w:p w14:paraId="07BAE3D5">
      <w:pPr>
        <w:pStyle w:val="5"/>
        <w:numPr>
          <w:ilvl w:val="3"/>
          <w:numId w:val="1"/>
        </w:numPr>
      </w:pPr>
      <w:r>
        <w:t>人员及制度管理</w:t>
      </w:r>
    </w:p>
    <w:p w14:paraId="6E68227B">
      <w:pPr>
        <w:ind w:firstLine="480"/>
      </w:pPr>
      <w:r>
        <w:t>为有效防范风险事故的发生，以及在风险事故发生时应急措施的统一指挥，企业应建立相关制度，具体如下：</w:t>
      </w:r>
    </w:p>
    <w:p w14:paraId="5DD8C116">
      <w:pPr>
        <w:ind w:firstLine="480"/>
      </w:pPr>
      <w:r>
        <w:t xml:space="preserve">1.厂内成立专职的环保管理部门，负责对全厂各环保设施的监督、记录、汇报及维护工作，同时需配合各级环保主管部门及厂内领导对厂内环保设施的检查工作。 </w:t>
      </w:r>
    </w:p>
    <w:p w14:paraId="72F6D639">
      <w:pPr>
        <w:ind w:firstLine="480"/>
      </w:pPr>
      <w:r>
        <w:t>2.各生产部门每班需安排1员工监督生产线运作情况，防止大量的“跑、冒、滴、漏”发生，同时需配合厂内环保管理部门的有关工作。</w:t>
      </w:r>
    </w:p>
    <w:p w14:paraId="4297A9F2">
      <w:pPr>
        <w:ind w:firstLine="480"/>
      </w:pPr>
      <w:r>
        <w:t>3.培训提高员工的环境风险意识，制定制度、方案规范生产操作规程提高事故应急能力，并做到责任到人，层层把关，通过加强管理保证正常生产，预防事故发生。</w:t>
      </w:r>
    </w:p>
    <w:p w14:paraId="2F7D55CB">
      <w:pPr>
        <w:pStyle w:val="3"/>
        <w:numPr>
          <w:ilvl w:val="1"/>
          <w:numId w:val="1"/>
        </w:numPr>
      </w:pPr>
      <w:bookmarkStart w:id="310" w:name="_Toc14287"/>
      <w:bookmarkStart w:id="311" w:name="_Toc22422"/>
      <w:bookmarkStart w:id="312" w:name="_Toc6347"/>
      <w:r>
        <w:rPr>
          <w:rFonts w:hint="eastAsia"/>
        </w:rPr>
        <w:t>环境应急预案</w:t>
      </w:r>
      <w:bookmarkEnd w:id="310"/>
      <w:bookmarkEnd w:id="311"/>
      <w:bookmarkEnd w:id="312"/>
    </w:p>
    <w:p w14:paraId="2FEF6B9C">
      <w:pPr>
        <w:pStyle w:val="4"/>
        <w:numPr>
          <w:ilvl w:val="2"/>
          <w:numId w:val="1"/>
        </w:numPr>
      </w:pPr>
      <w:bookmarkStart w:id="313" w:name="_Toc1076"/>
      <w:r>
        <w:rPr>
          <w:rFonts w:hint="eastAsia"/>
        </w:rPr>
        <w:t>环境风险应急程序</w:t>
      </w:r>
      <w:bookmarkEnd w:id="313"/>
    </w:p>
    <w:p w14:paraId="71AA20FD">
      <w:pPr>
        <w:ind w:firstLine="480"/>
      </w:pPr>
      <w:r>
        <w:rPr>
          <w:rFonts w:hint="eastAsia"/>
        </w:rPr>
        <w:t>建设单位突发环境事件分级响应程序如下图8.6-1所示。</w:t>
      </w:r>
    </w:p>
    <w:p w14:paraId="1099082B">
      <w:pPr>
        <w:ind w:firstLine="480"/>
      </w:pPr>
      <w:r>
        <w:rPr>
          <w:rFonts w:hint="eastAsia"/>
        </w:rPr>
        <w:t>（1）事故现场负责人掌握事故情况后，决定是否三级预警和响应，同时将情况上报厂应急指挥部。厂应急指挥部接到事件报告后，判断事件危险级别，根据情况将预警和响应等级提升为二级或一级，主要领导立即到位，及时向衡阳市生态环境局松木分局报告事件情况，同时指令应急管理办公室通知厂内各应急专业组进入应急状态，在10分钟内在集结点集结待命，派后勤保障组迅速赶赴保安室、劳保室拿取防护装备和应急物资，紧急配发给抢险救援队员。</w:t>
      </w:r>
    </w:p>
    <w:p w14:paraId="01E27101">
      <w:pPr>
        <w:ind w:firstLine="480"/>
      </w:pPr>
      <w:r>
        <w:rPr>
          <w:rFonts w:hint="eastAsia"/>
        </w:rPr>
        <w:t>（2）事故现场负责人向值班室或应急指挥部报告后，立即集合现场值班人员和检修班组人员，成立最初应急组织，在应急专业组到达以前，采取措施在保证人身安全的前提下切断污染源、阻止污染范围扩大、控制住事态。</w:t>
      </w:r>
    </w:p>
    <w:p w14:paraId="6BA2ED69">
      <w:pPr>
        <w:ind w:firstLine="480"/>
      </w:pPr>
      <w:r>
        <w:rPr>
          <w:rFonts w:hint="eastAsia"/>
        </w:rPr>
        <w:t>（3）最初应急组织在先期处置过程中，与应急指挥部保持通讯联系，随时报告事故现场情况进展。</w:t>
      </w:r>
    </w:p>
    <w:p w14:paraId="2E936FD5">
      <w:pPr>
        <w:ind w:firstLine="480"/>
      </w:pPr>
      <w:r>
        <w:rPr>
          <w:rFonts w:hint="eastAsia"/>
        </w:rPr>
        <w:t>（4）应急指挥部根据事件事态全面部署各应急专业组开展应急处置工作，抢险救灾组到达现场后，应急组织应配合抢险救灾组进行事故抢险救援行动。</w:t>
      </w:r>
    </w:p>
    <w:p w14:paraId="5D03F5FB">
      <w:pPr>
        <w:ind w:firstLine="480"/>
      </w:pPr>
      <w:r>
        <w:rPr>
          <w:rFonts w:hint="eastAsia"/>
        </w:rPr>
        <w:t>（5）应急处置工作包括人员救助、过程抢险、警戒与隔离、医疗救护、人群疏散、环境保护、应急监测等。</w:t>
      </w:r>
    </w:p>
    <w:p w14:paraId="70586ACE">
      <w:pPr>
        <w:ind w:firstLine="480"/>
      </w:pPr>
      <w:r>
        <w:rPr>
          <w:rFonts w:hint="eastAsia"/>
        </w:rPr>
        <w:t>（6）在救援过程中，如事故得不到有效控制时，应及时提升预警级别并对外申请外部救援队增援，扩大应急以适应事态的发展，有效控制事态进一步扩大。</w:t>
      </w:r>
    </w:p>
    <w:p w14:paraId="50C5056D">
      <w:pPr>
        <w:ind w:firstLine="480"/>
      </w:pPr>
      <w:r>
        <w:rPr>
          <w:rFonts w:hint="eastAsia"/>
        </w:rPr>
        <w:t>（7）启动一级或二级应急响应后，应急指挥部应在第一时间根据响应级别上报松木工业园管委会应急管理局，请求启动更高级别应急预案。</w:t>
      </w:r>
    </w:p>
    <w:p w14:paraId="5F8CB6D5">
      <w:pPr>
        <w:ind w:firstLine="480"/>
      </w:pPr>
      <w:r>
        <w:rPr>
          <w:rFonts w:hint="eastAsia"/>
        </w:rPr>
        <w:t>（8）上级应急领导小组到达现场后，厂内应急力量听从上级应急领导小组的统一领导和指挥。</w:t>
      </w:r>
    </w:p>
    <w:p w14:paraId="2866D9A7">
      <w:pPr>
        <w:ind w:firstLine="480"/>
      </w:pPr>
      <w:r>
        <w:rPr>
          <w:rFonts w:hint="eastAsia"/>
        </w:rPr>
        <w:t>（9）事故事态得到有效控制后，应急指挥部指令生产指挥组和治安保卫组进行事故现场清理，解除警戒，恢复正常秩序，达到应急关闭条件时，应急指挥部宣布应急结束。</w:t>
      </w:r>
    </w:p>
    <w:p w14:paraId="04D9D684">
      <w:pPr>
        <w:ind w:firstLine="480"/>
      </w:pPr>
      <w:r>
        <w:rPr>
          <w:rFonts w:hint="eastAsia"/>
        </w:rPr>
        <w:t>（10）事故评估组配合政府有关管理部门开展事故善后处理和调查，查找事故发生的原因，并对事故采取的处置措施和环境恢复的效果进行总结和评估。</w:t>
      </w:r>
    </w:p>
    <w:p w14:paraId="3B34832E">
      <w:pPr>
        <w:ind w:firstLine="480"/>
      </w:pPr>
      <w:r>
        <w:rPr>
          <w:rFonts w:hint="eastAsia"/>
        </w:rPr>
        <w:drawing>
          <wp:inline distT="0" distB="0" distL="114300" distR="114300">
            <wp:extent cx="4279265" cy="5580380"/>
            <wp:effectExtent l="0" t="0" r="6985" b="1270"/>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183" cstate="print"/>
                    <a:stretch>
                      <a:fillRect/>
                    </a:stretch>
                  </pic:blipFill>
                  <pic:spPr>
                    <a:xfrm>
                      <a:off x="0" y="0"/>
                      <a:ext cx="4279265" cy="5580380"/>
                    </a:xfrm>
                    <a:prstGeom prst="rect">
                      <a:avLst/>
                    </a:prstGeom>
                    <a:noFill/>
                    <a:ln>
                      <a:noFill/>
                    </a:ln>
                  </pic:spPr>
                </pic:pic>
              </a:graphicData>
            </a:graphic>
          </wp:inline>
        </w:drawing>
      </w:r>
    </w:p>
    <w:p w14:paraId="17762A59">
      <w:pPr>
        <w:pStyle w:val="42"/>
        <w:numPr>
          <w:ilvl w:val="6"/>
          <w:numId w:val="1"/>
        </w:numPr>
        <w:rPr>
          <w:rFonts w:hint="default"/>
        </w:rPr>
      </w:pPr>
      <w:r>
        <w:t>应急救援响应程序图</w:t>
      </w:r>
    </w:p>
    <w:p w14:paraId="1A0465E1">
      <w:pPr>
        <w:ind w:firstLine="480"/>
      </w:pPr>
    </w:p>
    <w:p w14:paraId="1749D930">
      <w:pPr>
        <w:pStyle w:val="4"/>
        <w:numPr>
          <w:ilvl w:val="2"/>
          <w:numId w:val="1"/>
        </w:numPr>
      </w:pPr>
      <w:bookmarkStart w:id="314" w:name="_Toc13284"/>
      <w:r>
        <w:rPr>
          <w:rFonts w:hint="eastAsia"/>
        </w:rPr>
        <w:t>事故分级响应机制</w:t>
      </w:r>
      <w:bookmarkEnd w:id="314"/>
    </w:p>
    <w:p w14:paraId="04490741">
      <w:pPr>
        <w:ind w:firstLine="480"/>
      </w:pPr>
      <w:r>
        <w:rPr>
          <w:rFonts w:hint="eastAsia"/>
        </w:rPr>
        <w:t>突发事件发生后，应急指挥部及时对全厂发布预警，对社会公布的预警由应急指挥报相关部门按照国家规定的要求确认后发布。厂内预警分为三级预警：一级预警、二级预警、三级预警。根据事态的发展和应急处置效果，预警级别可以升级、降级或解除。具体预警分级见表8.6-1。表中可能导致环境事件的分级标准按照《突发环境事件信息报告办法》中的突发环境事件分级标准执行。</w:t>
      </w:r>
    </w:p>
    <w:p w14:paraId="5EC5E9B1">
      <w:pPr>
        <w:pStyle w:val="43"/>
        <w:numPr>
          <w:ilvl w:val="5"/>
          <w:numId w:val="1"/>
        </w:numPr>
        <w:rPr>
          <w:rFonts w:hint="default"/>
        </w:rPr>
      </w:pPr>
      <w:r>
        <w:t>企业分级响应表</w:t>
      </w:r>
    </w:p>
    <w:tbl>
      <w:tblPr>
        <w:tblStyle w:val="32"/>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26"/>
        <w:gridCol w:w="2193"/>
        <w:gridCol w:w="4281"/>
        <w:gridCol w:w="822"/>
      </w:tblGrid>
      <w:tr w14:paraId="0774DA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blHeader/>
        </w:trPr>
        <w:tc>
          <w:tcPr>
            <w:tcW w:w="1226" w:type="dxa"/>
            <w:vAlign w:val="center"/>
          </w:tcPr>
          <w:p w14:paraId="2E6690B4">
            <w:pPr>
              <w:pStyle w:val="45"/>
              <w:rPr>
                <w:rFonts w:hint="default"/>
                <w:b/>
                <w:bCs/>
              </w:rPr>
            </w:pPr>
            <w:r>
              <w:rPr>
                <w:rFonts w:hint="default"/>
                <w:b/>
                <w:bCs/>
              </w:rPr>
              <w:t>预警分级</w:t>
            </w:r>
          </w:p>
        </w:tc>
        <w:tc>
          <w:tcPr>
            <w:tcW w:w="2193" w:type="dxa"/>
            <w:vAlign w:val="center"/>
          </w:tcPr>
          <w:p w14:paraId="519C5A76">
            <w:pPr>
              <w:pStyle w:val="45"/>
              <w:rPr>
                <w:rFonts w:hint="default"/>
                <w:b/>
                <w:bCs/>
              </w:rPr>
            </w:pPr>
            <w:r>
              <w:rPr>
                <w:rFonts w:hint="default"/>
                <w:b/>
                <w:bCs/>
              </w:rPr>
              <w:t>危险区域或设备</w:t>
            </w:r>
          </w:p>
        </w:tc>
        <w:tc>
          <w:tcPr>
            <w:tcW w:w="4281" w:type="dxa"/>
            <w:vAlign w:val="center"/>
          </w:tcPr>
          <w:p w14:paraId="0A4AE2FE">
            <w:pPr>
              <w:pStyle w:val="45"/>
              <w:rPr>
                <w:rFonts w:hint="default"/>
                <w:b/>
                <w:bCs/>
              </w:rPr>
            </w:pPr>
            <w:r>
              <w:rPr>
                <w:rFonts w:hint="default"/>
                <w:b/>
                <w:bCs/>
              </w:rPr>
              <w:t>危险内容</w:t>
            </w:r>
          </w:p>
        </w:tc>
        <w:tc>
          <w:tcPr>
            <w:tcW w:w="822" w:type="dxa"/>
            <w:vAlign w:val="center"/>
          </w:tcPr>
          <w:p w14:paraId="63C4565B">
            <w:pPr>
              <w:pStyle w:val="45"/>
              <w:rPr>
                <w:rFonts w:hint="default"/>
                <w:b/>
                <w:bCs/>
              </w:rPr>
            </w:pPr>
            <w:r>
              <w:rPr>
                <w:rFonts w:hint="default"/>
                <w:b/>
                <w:bCs/>
              </w:rPr>
              <w:t>响应级别</w:t>
            </w:r>
          </w:p>
        </w:tc>
      </w:tr>
      <w:tr w14:paraId="401A0F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26" w:type="dxa"/>
            <w:vMerge w:val="restart"/>
            <w:vAlign w:val="center"/>
          </w:tcPr>
          <w:p w14:paraId="472A68FA">
            <w:pPr>
              <w:pStyle w:val="45"/>
              <w:rPr>
                <w:rFonts w:hint="default"/>
              </w:rPr>
            </w:pPr>
            <w:r>
              <w:rPr>
                <w:rFonts w:hint="default"/>
              </w:rPr>
              <w:t>一级预警</w:t>
            </w:r>
          </w:p>
        </w:tc>
        <w:tc>
          <w:tcPr>
            <w:tcW w:w="2193" w:type="dxa"/>
            <w:vAlign w:val="center"/>
          </w:tcPr>
          <w:p w14:paraId="06E58860">
            <w:pPr>
              <w:pStyle w:val="45"/>
              <w:rPr>
                <w:rFonts w:hint="default" w:eastAsia="宋体"/>
                <w:lang w:val="en-US" w:eastAsia="zh-CN"/>
              </w:rPr>
            </w:pPr>
            <w:r>
              <w:rPr>
                <w:rFonts w:hint="default"/>
              </w:rPr>
              <w:t>化学品仓库、甲类生产区、储罐区</w:t>
            </w:r>
            <w:r>
              <w:rPr>
                <w:rFonts w:hint="eastAsia"/>
                <w:lang w:eastAsia="zh-CN"/>
              </w:rPr>
              <w:t>、</w:t>
            </w:r>
            <w:r>
              <w:rPr>
                <w:rFonts w:hint="eastAsia"/>
                <w:lang w:val="en-US" w:eastAsia="zh-CN"/>
              </w:rPr>
              <w:t>氢气回收区</w:t>
            </w:r>
          </w:p>
        </w:tc>
        <w:tc>
          <w:tcPr>
            <w:tcW w:w="4281" w:type="dxa"/>
            <w:vAlign w:val="center"/>
          </w:tcPr>
          <w:p w14:paraId="78D92B48">
            <w:pPr>
              <w:pStyle w:val="45"/>
              <w:rPr>
                <w:rFonts w:hint="default"/>
              </w:rPr>
            </w:pPr>
            <w:r>
              <w:rPr>
                <w:rFonts w:hint="default"/>
              </w:rPr>
              <w:t>危险化学品</w:t>
            </w:r>
            <w:r>
              <w:rPr>
                <w:rFonts w:hint="eastAsia"/>
                <w:lang w:val="en-US" w:eastAsia="zh-CN"/>
              </w:rPr>
              <w:t>或氢气</w:t>
            </w:r>
            <w:r>
              <w:rPr>
                <w:rFonts w:hint="default"/>
              </w:rPr>
              <w:t>大量泄漏并发生火灾、爆炸</w:t>
            </w:r>
          </w:p>
        </w:tc>
        <w:tc>
          <w:tcPr>
            <w:tcW w:w="822" w:type="dxa"/>
            <w:vMerge w:val="restart"/>
            <w:vAlign w:val="center"/>
          </w:tcPr>
          <w:p w14:paraId="7B3F8986">
            <w:pPr>
              <w:pStyle w:val="45"/>
              <w:rPr>
                <w:rFonts w:hint="default"/>
              </w:rPr>
            </w:pPr>
            <w:r>
              <w:rPr>
                <w:rFonts w:hint="default"/>
              </w:rPr>
              <w:t>一级响应</w:t>
            </w:r>
          </w:p>
        </w:tc>
      </w:tr>
      <w:tr w14:paraId="2033F1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26" w:type="dxa"/>
            <w:vMerge w:val="continue"/>
            <w:vAlign w:val="center"/>
          </w:tcPr>
          <w:p w14:paraId="19C818E4">
            <w:pPr>
              <w:pStyle w:val="45"/>
              <w:rPr>
                <w:rFonts w:hint="default"/>
              </w:rPr>
            </w:pPr>
          </w:p>
        </w:tc>
        <w:tc>
          <w:tcPr>
            <w:tcW w:w="2193" w:type="dxa"/>
            <w:vAlign w:val="center"/>
          </w:tcPr>
          <w:p w14:paraId="0664E8B1">
            <w:pPr>
              <w:pStyle w:val="45"/>
              <w:rPr>
                <w:rFonts w:hint="default"/>
              </w:rPr>
            </w:pPr>
            <w:r>
              <w:rPr>
                <w:rFonts w:hint="default"/>
              </w:rPr>
              <w:t>废气处理设施</w:t>
            </w:r>
          </w:p>
        </w:tc>
        <w:tc>
          <w:tcPr>
            <w:tcW w:w="4281" w:type="dxa"/>
            <w:vAlign w:val="center"/>
          </w:tcPr>
          <w:p w14:paraId="0898CA79">
            <w:pPr>
              <w:pStyle w:val="45"/>
              <w:rPr>
                <w:rFonts w:hint="default"/>
              </w:rPr>
            </w:pPr>
            <w:r>
              <w:rPr>
                <w:rFonts w:hint="default"/>
              </w:rPr>
              <w:t>废气收集、处理装置完全停止工作，废气未经处理直接排放，厂界和敏感点大气环境质量达不到二类功能区要求</w:t>
            </w:r>
          </w:p>
        </w:tc>
        <w:tc>
          <w:tcPr>
            <w:tcW w:w="822" w:type="dxa"/>
            <w:vMerge w:val="continue"/>
            <w:vAlign w:val="center"/>
          </w:tcPr>
          <w:p w14:paraId="695526FB">
            <w:pPr>
              <w:pStyle w:val="45"/>
              <w:rPr>
                <w:rFonts w:hint="default"/>
              </w:rPr>
            </w:pPr>
          </w:p>
        </w:tc>
      </w:tr>
      <w:tr w14:paraId="6C0159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26" w:type="dxa"/>
            <w:vMerge w:val="continue"/>
            <w:vAlign w:val="center"/>
          </w:tcPr>
          <w:p w14:paraId="4311569D">
            <w:pPr>
              <w:pStyle w:val="45"/>
              <w:rPr>
                <w:rFonts w:hint="default"/>
              </w:rPr>
            </w:pPr>
          </w:p>
        </w:tc>
        <w:tc>
          <w:tcPr>
            <w:tcW w:w="2193" w:type="dxa"/>
            <w:vAlign w:val="center"/>
          </w:tcPr>
          <w:p w14:paraId="7BCB2CF4">
            <w:pPr>
              <w:pStyle w:val="45"/>
              <w:rPr>
                <w:rFonts w:hint="default" w:eastAsia="宋体"/>
                <w:lang w:val="en-US" w:eastAsia="zh-CN"/>
              </w:rPr>
            </w:pPr>
            <w:r>
              <w:rPr>
                <w:rFonts w:hint="default"/>
              </w:rPr>
              <w:t>化学品仓、甲类生产区、危废</w:t>
            </w:r>
            <w:r>
              <w:t>暂存间</w:t>
            </w:r>
          </w:p>
        </w:tc>
        <w:tc>
          <w:tcPr>
            <w:tcW w:w="4281" w:type="dxa"/>
            <w:vAlign w:val="center"/>
          </w:tcPr>
          <w:p w14:paraId="6466F593">
            <w:pPr>
              <w:pStyle w:val="45"/>
              <w:rPr>
                <w:rFonts w:hint="default"/>
              </w:rPr>
            </w:pPr>
            <w:r>
              <w:rPr>
                <w:rFonts w:hint="default"/>
              </w:rPr>
              <w:t>发生火灾爆炸，危险化学品、危险废物大量泄漏出厂，燃烧产生有毒有害气体</w:t>
            </w:r>
          </w:p>
        </w:tc>
        <w:tc>
          <w:tcPr>
            <w:tcW w:w="822" w:type="dxa"/>
            <w:vMerge w:val="continue"/>
            <w:vAlign w:val="center"/>
          </w:tcPr>
          <w:p w14:paraId="6137613E">
            <w:pPr>
              <w:pStyle w:val="45"/>
              <w:rPr>
                <w:rFonts w:hint="default"/>
              </w:rPr>
            </w:pPr>
          </w:p>
        </w:tc>
      </w:tr>
      <w:tr w14:paraId="08F13A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26" w:type="dxa"/>
            <w:vMerge w:val="restart"/>
            <w:vAlign w:val="center"/>
          </w:tcPr>
          <w:p w14:paraId="1C85CB28">
            <w:pPr>
              <w:pStyle w:val="45"/>
              <w:rPr>
                <w:rFonts w:hint="default"/>
              </w:rPr>
            </w:pPr>
            <w:r>
              <w:rPr>
                <w:rFonts w:hint="default"/>
              </w:rPr>
              <w:t>二级预警</w:t>
            </w:r>
          </w:p>
        </w:tc>
        <w:tc>
          <w:tcPr>
            <w:tcW w:w="2193" w:type="dxa"/>
            <w:vAlign w:val="center"/>
          </w:tcPr>
          <w:p w14:paraId="110A3713">
            <w:pPr>
              <w:pStyle w:val="45"/>
              <w:rPr>
                <w:rFonts w:hint="default"/>
              </w:rPr>
            </w:pPr>
            <w:r>
              <w:rPr>
                <w:rFonts w:hint="default"/>
              </w:rPr>
              <w:t>化学品仓库、甲类生产区、储罐区</w:t>
            </w:r>
          </w:p>
        </w:tc>
        <w:tc>
          <w:tcPr>
            <w:tcW w:w="4281" w:type="dxa"/>
            <w:vAlign w:val="center"/>
          </w:tcPr>
          <w:p w14:paraId="0363AA75">
            <w:pPr>
              <w:pStyle w:val="45"/>
              <w:rPr>
                <w:rFonts w:hint="default"/>
              </w:rPr>
            </w:pPr>
            <w:r>
              <w:rPr>
                <w:rFonts w:hint="default"/>
              </w:rPr>
              <w:t>危险化学品泄漏并流出生产单元，但未出厂</w:t>
            </w:r>
          </w:p>
        </w:tc>
        <w:tc>
          <w:tcPr>
            <w:tcW w:w="822" w:type="dxa"/>
            <w:vMerge w:val="restart"/>
            <w:vAlign w:val="center"/>
          </w:tcPr>
          <w:p w14:paraId="4212C4B8">
            <w:pPr>
              <w:pStyle w:val="45"/>
              <w:rPr>
                <w:rFonts w:hint="default"/>
              </w:rPr>
            </w:pPr>
            <w:r>
              <w:rPr>
                <w:rFonts w:hint="default"/>
              </w:rPr>
              <w:t>二级响应</w:t>
            </w:r>
          </w:p>
        </w:tc>
      </w:tr>
      <w:tr w14:paraId="0BD809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26" w:type="dxa"/>
            <w:vMerge w:val="continue"/>
            <w:vAlign w:val="center"/>
          </w:tcPr>
          <w:p w14:paraId="638B484B">
            <w:pPr>
              <w:pStyle w:val="45"/>
              <w:rPr>
                <w:rFonts w:hint="default"/>
              </w:rPr>
            </w:pPr>
          </w:p>
        </w:tc>
        <w:tc>
          <w:tcPr>
            <w:tcW w:w="2193" w:type="dxa"/>
            <w:vAlign w:val="center"/>
          </w:tcPr>
          <w:p w14:paraId="3FEF6245">
            <w:pPr>
              <w:pStyle w:val="45"/>
              <w:rPr>
                <w:rFonts w:hint="default"/>
              </w:rPr>
            </w:pPr>
            <w:r>
              <w:rPr>
                <w:rFonts w:hint="default"/>
              </w:rPr>
              <w:t>废气处理设施</w:t>
            </w:r>
          </w:p>
        </w:tc>
        <w:tc>
          <w:tcPr>
            <w:tcW w:w="4281" w:type="dxa"/>
            <w:vAlign w:val="center"/>
          </w:tcPr>
          <w:p w14:paraId="2123086D">
            <w:pPr>
              <w:pStyle w:val="45"/>
              <w:rPr>
                <w:rFonts w:hint="default"/>
              </w:rPr>
            </w:pPr>
            <w:r>
              <w:rPr>
                <w:rFonts w:hint="default"/>
              </w:rPr>
              <w:t>废气处理设施处理率低于正常水平，废气轻微超标排放，厂界和敏感点大气环境质量不超过二级标准限值</w:t>
            </w:r>
          </w:p>
        </w:tc>
        <w:tc>
          <w:tcPr>
            <w:tcW w:w="822" w:type="dxa"/>
            <w:vMerge w:val="continue"/>
            <w:vAlign w:val="center"/>
          </w:tcPr>
          <w:p w14:paraId="2ED2C0E4">
            <w:pPr>
              <w:pStyle w:val="45"/>
              <w:rPr>
                <w:rFonts w:hint="default"/>
              </w:rPr>
            </w:pPr>
          </w:p>
        </w:tc>
      </w:tr>
      <w:tr w14:paraId="3A7D3D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26" w:type="dxa"/>
            <w:vMerge w:val="continue"/>
            <w:vAlign w:val="center"/>
          </w:tcPr>
          <w:p w14:paraId="736E8BA0">
            <w:pPr>
              <w:pStyle w:val="45"/>
              <w:rPr>
                <w:rFonts w:hint="default"/>
              </w:rPr>
            </w:pPr>
          </w:p>
        </w:tc>
        <w:tc>
          <w:tcPr>
            <w:tcW w:w="2193" w:type="dxa"/>
            <w:vAlign w:val="center"/>
          </w:tcPr>
          <w:p w14:paraId="303E272B">
            <w:pPr>
              <w:pStyle w:val="45"/>
              <w:rPr>
                <w:rFonts w:hint="default"/>
              </w:rPr>
            </w:pPr>
            <w:r>
              <w:rPr>
                <w:rFonts w:hint="default"/>
              </w:rPr>
              <w:t>废气处理设施</w:t>
            </w:r>
          </w:p>
        </w:tc>
        <w:tc>
          <w:tcPr>
            <w:tcW w:w="4281" w:type="dxa"/>
            <w:vAlign w:val="center"/>
          </w:tcPr>
          <w:p w14:paraId="69F4EA7A">
            <w:pPr>
              <w:pStyle w:val="45"/>
              <w:rPr>
                <w:rFonts w:hint="default"/>
              </w:rPr>
            </w:pPr>
            <w:r>
              <w:rPr>
                <w:rFonts w:hint="default"/>
              </w:rPr>
              <w:t>废水处理设施发生故障，废水未经处理排放</w:t>
            </w:r>
          </w:p>
        </w:tc>
        <w:tc>
          <w:tcPr>
            <w:tcW w:w="822" w:type="dxa"/>
            <w:vMerge w:val="continue"/>
            <w:vAlign w:val="center"/>
          </w:tcPr>
          <w:p w14:paraId="3A31054E">
            <w:pPr>
              <w:pStyle w:val="45"/>
              <w:rPr>
                <w:rFonts w:hint="default"/>
              </w:rPr>
            </w:pPr>
          </w:p>
        </w:tc>
      </w:tr>
      <w:tr w14:paraId="7567F3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26" w:type="dxa"/>
            <w:vMerge w:val="continue"/>
            <w:vAlign w:val="center"/>
          </w:tcPr>
          <w:p w14:paraId="00584F52">
            <w:pPr>
              <w:pStyle w:val="45"/>
              <w:rPr>
                <w:rFonts w:hint="default"/>
              </w:rPr>
            </w:pPr>
          </w:p>
        </w:tc>
        <w:tc>
          <w:tcPr>
            <w:tcW w:w="2193" w:type="dxa"/>
            <w:vAlign w:val="center"/>
          </w:tcPr>
          <w:p w14:paraId="3AA99715">
            <w:pPr>
              <w:pStyle w:val="45"/>
              <w:rPr>
                <w:rFonts w:hint="default"/>
              </w:rPr>
            </w:pPr>
            <w:r>
              <w:rPr>
                <w:rFonts w:hint="default"/>
              </w:rPr>
              <w:t>危废</w:t>
            </w:r>
            <w:r>
              <w:t>暂存间</w:t>
            </w:r>
          </w:p>
        </w:tc>
        <w:tc>
          <w:tcPr>
            <w:tcW w:w="4281" w:type="dxa"/>
            <w:vAlign w:val="center"/>
          </w:tcPr>
          <w:p w14:paraId="11EB0778">
            <w:pPr>
              <w:pStyle w:val="45"/>
              <w:rPr>
                <w:rFonts w:hint="default"/>
              </w:rPr>
            </w:pPr>
            <w:r>
              <w:rPr>
                <w:rFonts w:hint="default"/>
              </w:rPr>
              <w:t>危险废物泄漏，但未出厂</w:t>
            </w:r>
          </w:p>
        </w:tc>
        <w:tc>
          <w:tcPr>
            <w:tcW w:w="822" w:type="dxa"/>
            <w:vMerge w:val="continue"/>
            <w:vAlign w:val="center"/>
          </w:tcPr>
          <w:p w14:paraId="4B2AE7F1">
            <w:pPr>
              <w:pStyle w:val="45"/>
              <w:rPr>
                <w:rFonts w:hint="default"/>
              </w:rPr>
            </w:pPr>
          </w:p>
        </w:tc>
      </w:tr>
      <w:tr w14:paraId="06683E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42" w:hRule="atLeast"/>
        </w:trPr>
        <w:tc>
          <w:tcPr>
            <w:tcW w:w="1226" w:type="dxa"/>
            <w:vAlign w:val="center"/>
          </w:tcPr>
          <w:p w14:paraId="26A6FB36">
            <w:pPr>
              <w:pStyle w:val="45"/>
              <w:rPr>
                <w:rFonts w:hint="default"/>
              </w:rPr>
            </w:pPr>
            <w:r>
              <w:rPr>
                <w:rFonts w:hint="default"/>
              </w:rPr>
              <w:t>三级预警</w:t>
            </w:r>
          </w:p>
        </w:tc>
        <w:tc>
          <w:tcPr>
            <w:tcW w:w="2193" w:type="dxa"/>
            <w:vAlign w:val="center"/>
          </w:tcPr>
          <w:p w14:paraId="4860D4FB">
            <w:pPr>
              <w:pStyle w:val="45"/>
              <w:rPr>
                <w:rFonts w:hint="default"/>
              </w:rPr>
            </w:pPr>
            <w:r>
              <w:rPr>
                <w:rFonts w:hint="default"/>
              </w:rPr>
              <w:t>化学品仓、甲类生产区、危废</w:t>
            </w:r>
            <w:r>
              <w:t>暂存间</w:t>
            </w:r>
          </w:p>
        </w:tc>
        <w:tc>
          <w:tcPr>
            <w:tcW w:w="4281" w:type="dxa"/>
            <w:vAlign w:val="center"/>
          </w:tcPr>
          <w:p w14:paraId="2C359079">
            <w:pPr>
              <w:pStyle w:val="45"/>
              <w:rPr>
                <w:rFonts w:hint="default"/>
              </w:rPr>
            </w:pPr>
            <w:r>
              <w:rPr>
                <w:rFonts w:hint="default"/>
              </w:rPr>
              <w:t>危化品及危废少量泄漏，但未流出生产单元</w:t>
            </w:r>
          </w:p>
        </w:tc>
        <w:tc>
          <w:tcPr>
            <w:tcW w:w="822" w:type="dxa"/>
            <w:vAlign w:val="center"/>
          </w:tcPr>
          <w:p w14:paraId="045E2B9C">
            <w:pPr>
              <w:pStyle w:val="45"/>
              <w:rPr>
                <w:rFonts w:hint="default"/>
              </w:rPr>
            </w:pPr>
            <w:r>
              <w:rPr>
                <w:rFonts w:hint="default"/>
              </w:rPr>
              <w:t>三级响应</w:t>
            </w:r>
          </w:p>
        </w:tc>
      </w:tr>
    </w:tbl>
    <w:p w14:paraId="62331DB9">
      <w:pPr>
        <w:ind w:firstLine="0" w:firstLineChars="0"/>
      </w:pPr>
    </w:p>
    <w:p w14:paraId="2B7B7DDC">
      <w:pPr>
        <w:ind w:firstLine="480"/>
      </w:pPr>
      <w:r>
        <w:rPr>
          <w:rFonts w:hint="eastAsia"/>
        </w:rPr>
        <w:t>当应急指挥部发出一级预警时，厂应急指挥部立即启动一级应急响应，全体应急单位和人员到位，立即组织人员疏散工作，同时上报松木工业园管理委员会应急管理局，请求支援和启动更高级别的政府突发环境事件应急预案。</w:t>
      </w:r>
    </w:p>
    <w:p w14:paraId="43C0D7A7">
      <w:pPr>
        <w:ind w:firstLine="480"/>
      </w:pPr>
      <w:r>
        <w:rPr>
          <w:rFonts w:hint="eastAsia"/>
        </w:rPr>
        <w:t>当应急指挥部发出二级预警时，厂应急指挥部立即启动二级应急响应，全体应急单位和人员到位，立即组织人员疏散工作，同时上报松木工业园管理委员会应急管理局，必要时向上级应急机构请求应急抢险队伍支援。</w:t>
      </w:r>
    </w:p>
    <w:p w14:paraId="0693E0CF">
      <w:pPr>
        <w:ind w:firstLine="480"/>
      </w:pPr>
      <w:r>
        <w:rPr>
          <w:rFonts w:hint="eastAsia"/>
        </w:rPr>
        <w:t>当事故现场负责人发出三级预警时，事故现场负责人立即启动三级应急响应，召集最初应急组织成员，迅速开展应急处置，随时将事件信息上报厂应急指挥部。</w:t>
      </w:r>
    </w:p>
    <w:p w14:paraId="0D147445">
      <w:pPr>
        <w:pStyle w:val="4"/>
        <w:numPr>
          <w:ilvl w:val="2"/>
          <w:numId w:val="1"/>
        </w:numPr>
      </w:pPr>
      <w:bookmarkStart w:id="315" w:name="_Toc16106"/>
      <w:r>
        <w:rPr>
          <w:rFonts w:hint="eastAsia"/>
        </w:rPr>
        <w:t>应急处理</w:t>
      </w:r>
      <w:bookmarkEnd w:id="315"/>
    </w:p>
    <w:p w14:paraId="0811061F">
      <w:pPr>
        <w:ind w:firstLine="480"/>
      </w:pPr>
      <w:r>
        <w:rPr>
          <w:rFonts w:hint="eastAsia"/>
        </w:rPr>
        <w:t>1、应急指挥与协调</w:t>
      </w:r>
    </w:p>
    <w:p w14:paraId="580D165F">
      <w:pPr>
        <w:ind w:firstLine="480"/>
      </w:pPr>
      <w:r>
        <w:rPr>
          <w:rFonts w:hint="eastAsia"/>
        </w:rPr>
        <w:t>厂突发环境事件应急指挥部指挥协调事故现场的主要内容包括：</w:t>
      </w:r>
    </w:p>
    <w:p w14:paraId="155AE82E">
      <w:pPr>
        <w:ind w:firstLine="480"/>
      </w:pPr>
      <w:r>
        <w:rPr>
          <w:rFonts w:hint="eastAsia"/>
        </w:rPr>
        <w:t>（1）发生突发环境事件时，最初应急组织指挥长与应急指挥部保持通讯联系，按照应急指挥部的指示指挥现场应急工作，必要时应急指挥部派出部分成员赴现场接管现场指挥工作。</w:t>
      </w:r>
    </w:p>
    <w:p w14:paraId="54FFAF56">
      <w:pPr>
        <w:ind w:firstLine="480"/>
      </w:pPr>
      <w:r>
        <w:rPr>
          <w:rFonts w:hint="eastAsia"/>
        </w:rPr>
        <w:t>（2）现场所有员工听从现场最高指挥者统一指挥、统一行动，有秩序的启动应急响应，现场最高指挥者要对事故现场应急行动提出原则要求；</w:t>
      </w:r>
    </w:p>
    <w:p w14:paraId="3EB2C402">
      <w:pPr>
        <w:ind w:firstLine="480"/>
      </w:pPr>
      <w:r>
        <w:rPr>
          <w:rFonts w:hint="eastAsia"/>
        </w:rPr>
        <w:t>（3）厂内的所有物资、工具、车辆、材料均以突发事件为第一保证目标，可授权现场最高指挥者随机调动，事后报告和补办手续。</w:t>
      </w:r>
    </w:p>
    <w:p w14:paraId="19A09830">
      <w:pPr>
        <w:ind w:firstLine="480"/>
      </w:pPr>
      <w:r>
        <w:rPr>
          <w:rFonts w:hint="eastAsia"/>
        </w:rPr>
        <w:t>（4）发生突发环境事件后，应以严防危险品扩散、保护现场人员安全、减轻环境污染为主要原则，其次考虑尽可能减少经济损失。</w:t>
      </w:r>
    </w:p>
    <w:p w14:paraId="0726BB22">
      <w:pPr>
        <w:ind w:firstLine="480"/>
      </w:pPr>
      <w:r>
        <w:rPr>
          <w:rFonts w:hint="eastAsia"/>
        </w:rPr>
        <w:t>（5）严格加强受威胁的周边地区风险源的监控工作。</w:t>
      </w:r>
    </w:p>
    <w:p w14:paraId="5DC19446">
      <w:pPr>
        <w:ind w:firstLine="480"/>
      </w:pPr>
      <w:r>
        <w:rPr>
          <w:rFonts w:hint="eastAsia"/>
        </w:rPr>
        <w:t>（6）划定建立现场警戒区和临时保护区，确定重点防护区域。</w:t>
      </w:r>
    </w:p>
    <w:p w14:paraId="6B5EEA53">
      <w:pPr>
        <w:ind w:firstLine="480"/>
      </w:pPr>
      <w:r>
        <w:rPr>
          <w:rFonts w:hint="eastAsia"/>
        </w:rPr>
        <w:t>（7）根据现场监测结果和救援情况，确定被转移群众的疏散距离及返回时间。</w:t>
      </w:r>
    </w:p>
    <w:p w14:paraId="487C2DE8">
      <w:pPr>
        <w:ind w:firstLine="480"/>
      </w:pPr>
      <w:r>
        <w:rPr>
          <w:rFonts w:hint="eastAsia"/>
        </w:rPr>
        <w:t>（8）配合松木工业园管理委员会和衡阳市突发事件预警信息发布中心以新闻发布形式向外界及时准确、客观公正地发布有关抢险救援进展情况和其它有关信息；</w:t>
      </w:r>
    </w:p>
    <w:p w14:paraId="2C4277E0">
      <w:pPr>
        <w:ind w:firstLine="480"/>
      </w:pPr>
      <w:r>
        <w:rPr>
          <w:rFonts w:hint="eastAsia"/>
        </w:rPr>
        <w:t>（9）及时向上级主管部门报告应急行动的进展情况。</w:t>
      </w:r>
    </w:p>
    <w:p w14:paraId="55B87672">
      <w:pPr>
        <w:ind w:firstLine="480"/>
      </w:pPr>
      <w:r>
        <w:rPr>
          <w:rFonts w:hint="eastAsia"/>
        </w:rPr>
        <w:t>（10）结合《衡阳市突发环境事件应急预案》、《湖南衡阳松木经济开发区突发环境事件应急预案》，配合衡阳市政府、松木经济开发区管委会，保持与有关的应急单位的沟通和联系，加强与毗邻地区的联系，建立健全年环境应急工作协作机制。衡阳市应急管理局24小时值班室电话：8869036。</w:t>
      </w:r>
    </w:p>
    <w:p w14:paraId="173139A6">
      <w:pPr>
        <w:ind w:firstLine="480"/>
      </w:pPr>
      <w:r>
        <w:rPr>
          <w:rFonts w:hint="eastAsia"/>
        </w:rPr>
        <w:t>2、疏散隔离</w:t>
      </w:r>
    </w:p>
    <w:p w14:paraId="7C38A63A">
      <w:pPr>
        <w:ind w:firstLine="480"/>
      </w:pPr>
      <w:r>
        <w:rPr>
          <w:rFonts w:hint="eastAsia"/>
        </w:rPr>
        <w:t>现场警戒组主要负责事故发生时疏散与应急抢险无关的人员并将其统一撤离到安全距离以外，同时设置隔离警戒线。</w:t>
      </w:r>
    </w:p>
    <w:p w14:paraId="00B9EFFD">
      <w:pPr>
        <w:ind w:firstLine="480"/>
      </w:pPr>
      <w:r>
        <w:rPr>
          <w:rFonts w:hint="eastAsia"/>
        </w:rPr>
        <w:t>突发环境事件发生，需要人员及时撤离现场时，现场指挥人员按照应急预案规定的紧急疏散路线图（可根据当时风向进行调整），通过高音喇叭向现场人员发出撤离指令。听到指令后，现场非应急人员应立即按指示的撤离路线撤离至安全区，各班班长集合本班人员清点人数，发现缺员，应陈述所缺人员的姓名和事故前所处位置等，以便应急管理办公室统计缺员情况和制定营救措施。当事故危及周边企业及村庄时，由应急管理办公室向松木工业园管理委员会及周边企业和村庄负责人发送事故报警信息，要求组织撤离疏散，根据事态提出撤离的具体方法和方式，明确说明应采取的预防措施、注意事项、撤离方向和撤离距离。</w:t>
      </w:r>
    </w:p>
    <w:p w14:paraId="3626AFCE">
      <w:pPr>
        <w:ind w:firstLine="480"/>
      </w:pPr>
      <w:r>
        <w:rPr>
          <w:rFonts w:hint="eastAsia"/>
        </w:rPr>
        <w:t>现场警戒组尽快在危险区边界设置明显警戒标志，如围栏、隔离绳、警示牌等，并派专人警戒，禁止无关人员擅自进入危险区。</w:t>
      </w:r>
    </w:p>
    <w:p w14:paraId="15F43228">
      <w:pPr>
        <w:ind w:firstLine="480"/>
      </w:pPr>
      <w:r>
        <w:rPr>
          <w:rFonts w:hint="eastAsia"/>
        </w:rPr>
        <w:t>3、受伤人员救治</w:t>
      </w:r>
    </w:p>
    <w:p w14:paraId="614FD27F">
      <w:pPr>
        <w:ind w:firstLine="480"/>
      </w:pPr>
      <w:r>
        <w:rPr>
          <w:rFonts w:hint="eastAsia"/>
        </w:rPr>
        <w:t>中毒或受伤人员在现场经救护安置组紧急处理后，立即由救护组车辆送医院进行急救。</w:t>
      </w:r>
    </w:p>
    <w:p w14:paraId="0B262A5F">
      <w:pPr>
        <w:ind w:firstLine="480"/>
      </w:pPr>
      <w:r>
        <w:rPr>
          <w:rFonts w:hint="eastAsia"/>
        </w:rPr>
        <w:t>4、应急人员安全防护</w:t>
      </w:r>
    </w:p>
    <w:p w14:paraId="21704193">
      <w:pPr>
        <w:ind w:firstLine="480"/>
      </w:pPr>
      <w:r>
        <w:rPr>
          <w:rFonts w:hint="eastAsia"/>
        </w:rPr>
        <w:t>进入环境事件现场实施救援的应急人员，在危险化学品等泄漏，可能导致中毒、烧伤、化学灼伤、缺氧窒息的情况下，必须配戴好个体防护器材，如：防护服、防毒面具等。</w:t>
      </w:r>
    </w:p>
    <w:p w14:paraId="64111645">
      <w:pPr>
        <w:ind w:firstLine="480"/>
      </w:pPr>
      <w:r>
        <w:rPr>
          <w:rFonts w:hint="eastAsia"/>
        </w:rPr>
        <w:t>5、设备抢救和污染消除</w:t>
      </w:r>
    </w:p>
    <w:p w14:paraId="44504490">
      <w:pPr>
        <w:ind w:firstLine="480"/>
      </w:pPr>
      <w:r>
        <w:rPr>
          <w:rFonts w:hint="eastAsia"/>
        </w:rPr>
        <w:t>发生突发环境事件，最初应急组织成员利用现场或附近的防护用具，开展先期应急处置。响应级别为一级和二级时，抢险救援组集结、接受命令后第一时间佩戴抢险工具、从后勤保障组处领取救援设备，抢险救援组第一时间关闭雨水系统排水闸门、启用事故应急池。</w:t>
      </w:r>
    </w:p>
    <w:p w14:paraId="6B244315">
      <w:pPr>
        <w:ind w:firstLine="480"/>
      </w:pPr>
      <w:r>
        <w:rPr>
          <w:rFonts w:hint="eastAsia"/>
        </w:rPr>
        <w:t>（1）化学品泄漏应急处置</w:t>
      </w:r>
    </w:p>
    <w:p w14:paraId="1D7DC770">
      <w:pPr>
        <w:ind w:firstLine="480"/>
      </w:pPr>
      <w:r>
        <w:rPr>
          <w:rFonts w:hint="eastAsia"/>
        </w:rPr>
        <w:t>一旦发生泄漏，立刻堵住泄漏处并关闭雨水总闸，同时用沙或其它材料吸收地面外溢化学品。</w:t>
      </w:r>
    </w:p>
    <w:p w14:paraId="7135D1FA">
      <w:pPr>
        <w:ind w:firstLine="480"/>
      </w:pPr>
      <w:r>
        <w:rPr>
          <w:rFonts w:hint="eastAsia"/>
        </w:rPr>
        <w:t>泄漏物质可通过防泄漏沟进入事故池收集。吸收物和事故收集池中的泄漏物和清洗水均为危险废物，交由有资质的单位作无害化处理。</w:t>
      </w:r>
    </w:p>
    <w:p w14:paraId="0FAEA416">
      <w:pPr>
        <w:ind w:firstLine="480"/>
      </w:pPr>
      <w:r>
        <w:rPr>
          <w:rFonts w:hint="eastAsia"/>
        </w:rPr>
        <w:t>泄漏控制后及时清理地面以及防泄漏沟，残留化学品采用中和、清洗剂清洗等方法以消除泄漏点残留毒性。</w:t>
      </w:r>
    </w:p>
    <w:p w14:paraId="14580C27">
      <w:pPr>
        <w:ind w:firstLine="480"/>
      </w:pPr>
      <w:r>
        <w:rPr>
          <w:rFonts w:hint="eastAsia"/>
        </w:rPr>
        <w:t>万一泄漏物较多，进入排水系统，应及时堵塞排水系统，防止化学品进入地表水体。然后采用上述方法进行清理。为此应在辅料仓库附近排水沟旁放置沙袋、沙土，以防发生泄漏时堵塞排雨系统之用。</w:t>
      </w:r>
    </w:p>
    <w:p w14:paraId="1B983902">
      <w:pPr>
        <w:ind w:firstLine="480"/>
      </w:pPr>
      <w:r>
        <w:rPr>
          <w:rFonts w:hint="eastAsia"/>
        </w:rPr>
        <w:t>发生泄漏时立即截断厂区排水系统与厂外排水系统，切断危险物质进入环境的途径，从而杜绝泄漏时事故排放的污染物排出厂区，进入污水管网对</w:t>
      </w:r>
      <w:r>
        <w:rPr>
          <w:rFonts w:hint="eastAsia"/>
          <w:lang w:val="en-US" w:eastAsia="zh-CN"/>
        </w:rPr>
        <w:t>松木</w:t>
      </w:r>
      <w:r>
        <w:rPr>
          <w:rFonts w:hint="eastAsia"/>
        </w:rPr>
        <w:t>污水处理厂其水质造成冲击。</w:t>
      </w:r>
    </w:p>
    <w:p w14:paraId="410775AB">
      <w:pPr>
        <w:ind w:firstLine="480"/>
      </w:pPr>
      <w:r>
        <w:rPr>
          <w:rFonts w:hint="eastAsia"/>
        </w:rPr>
        <w:t>考虑到泄漏过程可能伴有挥发泄漏等因素，进入事故现场的人员必须配戴防毒面具、防护靴、防护服等必要的个人防护用具；严禁单独行动，要有监护人，必要时用水枪掩护。如果所泄漏的化学品是易燃易爆的，应急处理时，应严禁火种，并应使用防爆型工器具。</w:t>
      </w:r>
    </w:p>
    <w:p w14:paraId="5DF97267">
      <w:pPr>
        <w:ind w:firstLine="480"/>
      </w:pPr>
      <w:r>
        <w:rPr>
          <w:rFonts w:hint="eastAsia"/>
        </w:rPr>
        <w:t>（2）废气超标排放应急措施</w:t>
      </w:r>
    </w:p>
    <w:p w14:paraId="6DAA1F8B">
      <w:pPr>
        <w:ind w:firstLine="480"/>
      </w:pPr>
      <w:r>
        <w:rPr>
          <w:rFonts w:hint="eastAsia"/>
        </w:rPr>
        <w:t>该项目生产过程中产生的废气、工艺抽排气均有良好的治理对策和措施，从技术上分析是可行的。但由于某些意外情况或管理不善也会出现事故排放。在现时许多企业由于设备长期运行失效而出现环保事故排放可以说是屡见不鲜。故建设单位应认真做好设备的保养，定期维护、保修工作，使处理设施达到预期效果。为确保不发生事故性废气排放，建设单位必须采取一定的事故性防范保护措施：</w:t>
      </w:r>
    </w:p>
    <w:p w14:paraId="54CD1B5B">
      <w:pPr>
        <w:ind w:firstLine="480"/>
      </w:pPr>
      <w:r>
        <w:rPr>
          <w:rFonts w:hint="eastAsia"/>
        </w:rPr>
        <w:t>①各生产环节严格执行生产管理的有关规定，加强设备的检修及保养，提高管理人员素质，并设置机器事故应急措施及管理制度，确保设备长期处于良好状态，使设备达到预期的处理效果。</w:t>
      </w:r>
    </w:p>
    <w:p w14:paraId="113A676B">
      <w:pPr>
        <w:ind w:firstLine="480"/>
      </w:pPr>
      <w:r>
        <w:rPr>
          <w:rFonts w:hint="eastAsia"/>
        </w:rPr>
        <w:t>②现场作业人员定时记录废气处理状况，对设备进行点检工作，并派专人巡视，遇不良工作状况立即停止车间相关作业，维修正常后再开始作业，杜绝事故性废气直排，并及时呈报单位主管。待检修完毕再通知生产车间恢复生产。</w:t>
      </w:r>
    </w:p>
    <w:p w14:paraId="667DF69A">
      <w:pPr>
        <w:ind w:firstLine="480"/>
      </w:pPr>
      <w:r>
        <w:rPr>
          <w:rFonts w:hint="eastAsia"/>
        </w:rPr>
        <w:t>（3）废水超标排放或系统瘫痪应急措施</w:t>
      </w:r>
    </w:p>
    <w:p w14:paraId="5626033E">
      <w:pPr>
        <w:ind w:firstLine="480"/>
      </w:pPr>
      <w:r>
        <w:rPr>
          <w:rFonts w:hint="eastAsia"/>
        </w:rPr>
        <w:t>本项目外排的废水在厂区自建污水处理站处理后再进入松木污水处理厂深度处理后排入湘江。正常情况下不会出现废水超标排放现象，若出现污水处理站系统事故或检修，本项目废水可导入事故池中暂存，待厂内污水处理站正常运行后再进入污水处理站处理。根据企业突发环境事件应急预案，项目事故应急池有足够容积可以满足暂存需要。</w:t>
      </w:r>
    </w:p>
    <w:p w14:paraId="19B8B877">
      <w:pPr>
        <w:ind w:firstLine="480"/>
      </w:pPr>
      <w:r>
        <w:rPr>
          <w:rFonts w:hint="eastAsia"/>
        </w:rPr>
        <w:t>（4）火灾、爆炸应急措施</w:t>
      </w:r>
    </w:p>
    <w:p w14:paraId="57F630E6">
      <w:pPr>
        <w:ind w:firstLine="480"/>
      </w:pPr>
      <w:r>
        <w:rPr>
          <w:rFonts w:hint="eastAsia"/>
        </w:rPr>
        <w:t>全厂有火灾隐患的主要是生产车间反应釜</w:t>
      </w:r>
      <w:r>
        <w:rPr>
          <w:rFonts w:hint="eastAsia"/>
          <w:lang w:eastAsia="zh-CN"/>
        </w:rPr>
        <w:t>、</w:t>
      </w:r>
      <w:r>
        <w:rPr>
          <w:rFonts w:hint="eastAsia"/>
          <w:lang w:val="en-US" w:eastAsia="zh-CN"/>
        </w:rPr>
        <w:t>氢气回收区</w:t>
      </w:r>
      <w:r>
        <w:rPr>
          <w:rFonts w:hint="eastAsia"/>
        </w:rPr>
        <w:t>，发生火灾爆炸的风险较大。</w:t>
      </w:r>
    </w:p>
    <w:p w14:paraId="58FF8A8E">
      <w:pPr>
        <w:ind w:firstLine="480"/>
      </w:pPr>
      <w:r>
        <w:rPr>
          <w:rFonts w:hint="eastAsia"/>
        </w:rPr>
        <w:t>一旦发生火灾，目击者第一时间通过电话或者其他方式向应急指挥部汇报，并汇报火灾的基本情况，地点、火势、引起火灾的可能原因及可能造成的后果等。</w:t>
      </w:r>
    </w:p>
    <w:p w14:paraId="5246E486">
      <w:pPr>
        <w:ind w:firstLine="480"/>
      </w:pPr>
      <w:r>
        <w:rPr>
          <w:rFonts w:hint="eastAsia"/>
        </w:rPr>
        <w:t>应急指挥部接到报警后，立刻向全厂发出火灾警报，并立刻组织消防队和抢险救援队赶到现场进行扑救，并利用就近原则，利用发生火灾工段放置的灭火器，在现场指挥人员的指挥下，及时开展灭火行动。</w:t>
      </w:r>
    </w:p>
    <w:p w14:paraId="76B8409B">
      <w:pPr>
        <w:ind w:firstLine="480"/>
      </w:pPr>
      <w:r>
        <w:rPr>
          <w:rFonts w:hint="eastAsia"/>
        </w:rPr>
        <w:t>如果火势太大，靠公司内部的力量无法扑灭时，公司应急指挥中心应果断下令组织现场人员和公司员工撤离危险区域，并立刻拨打“119”火警电话和“120”急救电话，并到明显位置指引消防车和救护车。各应急小组根据各自职责发挥作用。</w:t>
      </w:r>
    </w:p>
    <w:p w14:paraId="4FC546CD">
      <w:pPr>
        <w:ind w:firstLine="480"/>
      </w:pPr>
      <w:r>
        <w:rPr>
          <w:rFonts w:hint="eastAsia"/>
        </w:rPr>
        <w:t>（5）消防废水收集措施</w:t>
      </w:r>
    </w:p>
    <w:p w14:paraId="258222ED">
      <w:pPr>
        <w:ind w:firstLine="480"/>
      </w:pPr>
      <w:r>
        <w:rPr>
          <w:rFonts w:hint="eastAsia"/>
        </w:rPr>
        <w:t>当厂区发生火灾事故时，消防灭火产生的废水将流入厂区雨水管网，现场人员应立即通知相关人员关闭厂区的雨水总闸。本公司设置应急池可用作消防废水池，在发生火灾时，可将收集消防废水通过雨水管道收集至事故应急池中，将收集起来的消防废水送至厂内自建污水处理站处理。</w:t>
      </w:r>
    </w:p>
    <w:p w14:paraId="6BF7E0BB">
      <w:pPr>
        <w:pStyle w:val="4"/>
        <w:numPr>
          <w:ilvl w:val="2"/>
          <w:numId w:val="1"/>
        </w:numPr>
      </w:pPr>
      <w:bookmarkStart w:id="316" w:name="_Toc1418"/>
      <w:r>
        <w:rPr>
          <w:rFonts w:hint="eastAsia"/>
        </w:rPr>
        <w:t>应急结束</w:t>
      </w:r>
      <w:bookmarkEnd w:id="316"/>
    </w:p>
    <w:p w14:paraId="414AE3CD">
      <w:pPr>
        <w:ind w:firstLine="480"/>
      </w:pPr>
      <w:r>
        <w:rPr>
          <w:rFonts w:hint="eastAsia"/>
        </w:rPr>
        <w:t>1、应急工作结束条件</w:t>
      </w:r>
    </w:p>
    <w:p w14:paraId="0AD05564">
      <w:pPr>
        <w:ind w:firstLine="480"/>
      </w:pPr>
      <w:r>
        <w:rPr>
          <w:rFonts w:hint="eastAsia"/>
        </w:rPr>
        <w:t>（1）污染事件现场得到控制，污染途径已经隔断；</w:t>
      </w:r>
    </w:p>
    <w:p w14:paraId="035D6F6D">
      <w:pPr>
        <w:ind w:firstLine="480"/>
      </w:pPr>
      <w:r>
        <w:rPr>
          <w:rFonts w:hint="eastAsia"/>
        </w:rPr>
        <w:t>（2）污染源的泄漏或释放已降至规定限值以内；</w:t>
      </w:r>
    </w:p>
    <w:p w14:paraId="69217B76">
      <w:pPr>
        <w:ind w:firstLine="480"/>
      </w:pPr>
      <w:r>
        <w:rPr>
          <w:rFonts w:hint="eastAsia"/>
        </w:rPr>
        <w:t>（3）污染物已经采取如隔离、吸收、清洗等相应方法进行消除；</w:t>
      </w:r>
    </w:p>
    <w:p w14:paraId="7C563A1C">
      <w:pPr>
        <w:ind w:firstLine="480"/>
      </w:pPr>
      <w:r>
        <w:rPr>
          <w:rFonts w:hint="eastAsia"/>
        </w:rPr>
        <w:t>（4）污染事件现场已经环境监测人员取样检测合格。</w:t>
      </w:r>
    </w:p>
    <w:p w14:paraId="562B29D5">
      <w:pPr>
        <w:ind w:firstLine="480"/>
      </w:pPr>
      <w:r>
        <w:rPr>
          <w:rFonts w:hint="eastAsia"/>
        </w:rPr>
        <w:t>2、应急工作结束程序</w:t>
      </w:r>
    </w:p>
    <w:p w14:paraId="50701139">
      <w:pPr>
        <w:ind w:firstLine="480"/>
      </w:pPr>
      <w:r>
        <w:rPr>
          <w:rFonts w:hint="eastAsia"/>
        </w:rPr>
        <w:t>污染事件的危害已经得到完全控制，伤亡人员、被困人员已经救出并得到妥善救治和基本安置，经保安部门人员和环境监测人员现场检查，无次生、衍生、耦发灾害发生时，厂应急指挥部下达结束应急行动令，应急行动结束。</w:t>
      </w:r>
    </w:p>
    <w:p w14:paraId="77EE1BD8">
      <w:pPr>
        <w:ind w:firstLine="480"/>
      </w:pPr>
      <w:r>
        <w:rPr>
          <w:rFonts w:hint="eastAsia"/>
        </w:rPr>
        <w:t>3、信息发布</w:t>
      </w:r>
    </w:p>
    <w:p w14:paraId="3C96C8EC">
      <w:pPr>
        <w:ind w:firstLine="480"/>
      </w:pPr>
      <w:r>
        <w:rPr>
          <w:rFonts w:hint="eastAsia"/>
        </w:rPr>
        <w:t>厂应急指挥部向全厂员工及公众提供有关应急活动的信息。由通讯联络组负责及时联络松木工业园管理委员会和衡阳市突发事件预警信息发布中心，配合发布突发环境应急事件的信息。</w:t>
      </w:r>
    </w:p>
    <w:p w14:paraId="2F92DE9E">
      <w:pPr>
        <w:pStyle w:val="4"/>
        <w:numPr>
          <w:ilvl w:val="2"/>
          <w:numId w:val="1"/>
        </w:numPr>
      </w:pPr>
      <w:bookmarkStart w:id="317" w:name="_Toc6339"/>
      <w:r>
        <w:rPr>
          <w:rFonts w:hint="eastAsia"/>
        </w:rPr>
        <w:t>后期处理</w:t>
      </w:r>
      <w:bookmarkEnd w:id="317"/>
    </w:p>
    <w:p w14:paraId="797A0174">
      <w:pPr>
        <w:ind w:firstLine="480"/>
      </w:pPr>
      <w:r>
        <w:rPr>
          <w:rFonts w:hint="eastAsia"/>
        </w:rPr>
        <w:t>1、善后处理</w:t>
      </w:r>
    </w:p>
    <w:p w14:paraId="0DAA3FAA">
      <w:pPr>
        <w:ind w:firstLine="480"/>
      </w:pPr>
      <w:r>
        <w:rPr>
          <w:rFonts w:hint="eastAsia"/>
        </w:rPr>
        <w:t>突发环境事件应急终止后，善后处置主要有如下几个方面：</w:t>
      </w:r>
    </w:p>
    <w:p w14:paraId="65A271EE">
      <w:pPr>
        <w:ind w:firstLine="480"/>
      </w:pPr>
      <w:r>
        <w:rPr>
          <w:rFonts w:hint="eastAsia"/>
        </w:rPr>
        <w:t>（1）做好受灾人员的安置工作，对全企业员工做好精神安抚工作；</w:t>
      </w:r>
    </w:p>
    <w:p w14:paraId="608CFB04">
      <w:pPr>
        <w:ind w:firstLine="480"/>
      </w:pPr>
      <w:r>
        <w:rPr>
          <w:rFonts w:hint="eastAsia"/>
        </w:rPr>
        <w:t>（2）对受伤严重人员继续治疗，并及时对环境应急工作人员办理意外伤害保险赔偿事宜，以保证企业人心稳定，快速投入正常生产；</w:t>
      </w:r>
    </w:p>
    <w:p w14:paraId="7E5EB606">
      <w:pPr>
        <w:ind w:firstLine="480"/>
      </w:pPr>
      <w:r>
        <w:rPr>
          <w:rFonts w:hint="eastAsia"/>
        </w:rPr>
        <w:t>（3）对投保资产损失进行统计，向投保的保险公司提供事件损失的财产价值，请求理赔；</w:t>
      </w:r>
    </w:p>
    <w:p w14:paraId="53D26C44">
      <w:pPr>
        <w:ind w:firstLine="480"/>
      </w:pPr>
      <w:r>
        <w:rPr>
          <w:rFonts w:hint="eastAsia"/>
        </w:rPr>
        <w:t>（4）突发环境事件中损失的其他资产按公司相关规定核实后进行财务处理。</w:t>
      </w:r>
    </w:p>
    <w:p w14:paraId="720C795D">
      <w:pPr>
        <w:ind w:firstLine="480"/>
      </w:pPr>
      <w:r>
        <w:rPr>
          <w:rFonts w:hint="eastAsia"/>
        </w:rPr>
        <w:t>2、调查与评估</w:t>
      </w:r>
    </w:p>
    <w:p w14:paraId="329D1CFD">
      <w:pPr>
        <w:ind w:firstLine="480"/>
      </w:pPr>
      <w:r>
        <w:rPr>
          <w:rFonts w:hint="eastAsia"/>
        </w:rPr>
        <w:t>应急响应结束后，厂领导班子应认真分析事故原因，制定防范措施，落实环境保护责任制，防止类似突发环境污染事故发生。</w:t>
      </w:r>
    </w:p>
    <w:p w14:paraId="6A1A888B">
      <w:pPr>
        <w:ind w:firstLine="480"/>
      </w:pPr>
      <w:r>
        <w:rPr>
          <w:rFonts w:hint="eastAsia"/>
        </w:rPr>
        <w:t>突发环境事件由事故评估组负责组成调查组进行调查；必要时，协同珠海市环境应急领导小组对事故情况进行调查，并完成事故调查报告。</w:t>
      </w:r>
    </w:p>
    <w:p w14:paraId="311B09DB">
      <w:pPr>
        <w:ind w:firstLine="480"/>
      </w:pPr>
      <w:r>
        <w:rPr>
          <w:rFonts w:hint="eastAsia"/>
        </w:rPr>
        <w:t>事故善后处置工作结束后，事故评估组应收集、整理应急救援工作相关资料，对突发环境事件应急救援过程和应急救援保障等工作进行总结和评估，提出改进意见和建议，完成突发环境事件应急总结报告，进一步修订、完善本厂突发环境事件应急预案。</w:t>
      </w:r>
    </w:p>
    <w:p w14:paraId="634449E3">
      <w:pPr>
        <w:ind w:firstLine="480"/>
      </w:pPr>
      <w:r>
        <w:rPr>
          <w:rFonts w:hint="eastAsia"/>
        </w:rPr>
        <w:t>3、生态环境恢复重建</w:t>
      </w:r>
    </w:p>
    <w:p w14:paraId="3ABED593">
      <w:pPr>
        <w:ind w:firstLine="480"/>
      </w:pPr>
      <w:r>
        <w:rPr>
          <w:rFonts w:hint="eastAsia"/>
        </w:rPr>
        <w:t>事故应急处置后，对受灾范围进行科学评估，并对遭受污染的环境进行恢复。</w:t>
      </w:r>
      <w:r>
        <w:rPr>
          <w:rFonts w:hint="eastAsia"/>
          <w:lang w:val="en-US" w:eastAsia="zh-CN"/>
        </w:rPr>
        <w:t>企业</w:t>
      </w:r>
      <w:r>
        <w:rPr>
          <w:rFonts w:hint="eastAsia"/>
        </w:rPr>
        <w:t>突发环境事件可能造成的环境问题主要是地表水、地下水及大气环境的污染。对受污染范围内地表水进行连续监测，直至达到正常指标；对事故产生废水经厂内自建污水处理站处理后排入松木污水处理厂；若对环境造成重大影响时可以组织专家进行科学评估，并对受污染的生态环境提出相应的恢复建议。企业根据专家建议，对生态环境进行恢复。</w:t>
      </w:r>
    </w:p>
    <w:p w14:paraId="3156A525">
      <w:pPr>
        <w:pStyle w:val="4"/>
        <w:numPr>
          <w:ilvl w:val="2"/>
          <w:numId w:val="1"/>
        </w:numPr>
      </w:pPr>
      <w:bookmarkStart w:id="318" w:name="_Toc3896"/>
      <w:r>
        <w:rPr>
          <w:rFonts w:hint="eastAsia"/>
        </w:rPr>
        <w:t>培训与演练</w:t>
      </w:r>
      <w:bookmarkEnd w:id="318"/>
    </w:p>
    <w:p w14:paraId="02A19CCA">
      <w:pPr>
        <w:ind w:firstLine="480"/>
      </w:pPr>
      <w:r>
        <w:rPr>
          <w:rFonts w:hint="eastAsia"/>
        </w:rPr>
        <w:t>基本应急培训是指对参与应急行动所有相关人员进行的最低程度的应急培训，要求应急人员了解和掌握如何识别危险、如何采取必要的应急措施、如何启动紧急警报系统、如何安全疏散人群等基本操作，尤其是火灾应急培训以及危险物质事故应急的培训，因为火灾和危险品事故是常见的事故类型。因此，培训中要加强与灭火操作有关的训练，强调危险物质事故的不同应急水平和注意事故等内容。培训频次：每年不少于两次。</w:t>
      </w:r>
    </w:p>
    <w:p w14:paraId="478ABF7F">
      <w:pPr>
        <w:ind w:firstLine="482"/>
        <w:rPr>
          <w:b/>
          <w:bCs/>
        </w:rPr>
      </w:pPr>
      <w:r>
        <w:rPr>
          <w:rFonts w:hint="eastAsia"/>
          <w:b/>
          <w:bCs/>
        </w:rPr>
        <w:t>1、报警</w:t>
      </w:r>
    </w:p>
    <w:p w14:paraId="0FB66A7A">
      <w:pPr>
        <w:ind w:firstLine="480"/>
      </w:pPr>
      <w:r>
        <w:rPr>
          <w:rFonts w:hint="eastAsia"/>
        </w:rPr>
        <w:t>(1)使应急人员了解并掌握如何利用身边的工具最快最有效地报警，比如使用移动电话(手机)、固定电话、网络或其他方式报警。</w:t>
      </w:r>
    </w:p>
    <w:p w14:paraId="4EBFCA67">
      <w:pPr>
        <w:ind w:firstLine="480"/>
      </w:pPr>
      <w:r>
        <w:rPr>
          <w:rFonts w:hint="eastAsia"/>
        </w:rPr>
        <w:t>(2)使应急人员熟悉发布紧急情况通告的方法，如使用警笛、警钟、电话或广播等。</w:t>
      </w:r>
    </w:p>
    <w:p w14:paraId="354992C0">
      <w:pPr>
        <w:ind w:firstLine="480"/>
      </w:pPr>
      <w:r>
        <w:rPr>
          <w:rFonts w:hint="eastAsia"/>
        </w:rPr>
        <w:t>(3)当事故发生后，为及时疏散事故现场的所有人员，应急队员应掌握如何在现场贴发警示标志。</w:t>
      </w:r>
    </w:p>
    <w:p w14:paraId="7A8B3C67">
      <w:pPr>
        <w:ind w:firstLine="482"/>
        <w:rPr>
          <w:b/>
          <w:bCs/>
        </w:rPr>
      </w:pPr>
      <w:r>
        <w:rPr>
          <w:rFonts w:hint="eastAsia"/>
          <w:b/>
          <w:bCs/>
        </w:rPr>
        <w:t>2、疏散</w:t>
      </w:r>
    </w:p>
    <w:p w14:paraId="78B5FB49">
      <w:pPr>
        <w:ind w:firstLine="480"/>
      </w:pPr>
      <w:r>
        <w:rPr>
          <w:rFonts w:hint="eastAsia"/>
        </w:rPr>
        <w:t>为避免事故中不必要的人员伤亡，应培训足够的应急队员在事故现场安全、有序的疏散被困人员或周围人员。对人员疏散的培训主要在应急演习中进行，通过演习还可以测试应急人员的疏散能力。</w:t>
      </w:r>
    </w:p>
    <w:p w14:paraId="7B2413AA">
      <w:pPr>
        <w:ind w:firstLine="482"/>
        <w:rPr>
          <w:b/>
          <w:bCs/>
        </w:rPr>
      </w:pPr>
      <w:r>
        <w:rPr>
          <w:rFonts w:hint="eastAsia"/>
          <w:b/>
          <w:bCs/>
        </w:rPr>
        <w:t>3、火灾应急培训</w:t>
      </w:r>
    </w:p>
    <w:p w14:paraId="5FD8040A">
      <w:pPr>
        <w:ind w:firstLine="480"/>
      </w:pPr>
      <w:r>
        <w:rPr>
          <w:rFonts w:hint="eastAsia"/>
        </w:rPr>
        <w:t>由于火灾的易发性和多发性，对火灾应急的培训显得尤为重要。要求应急队员必须掌握必要的灭火技术以便在着火初期迅速灭火，降低或减小导致灾难性事故的危险，掌握灭火装置的识别、使用、保养、维修等基本技术。由于灭火主要是消防队员的职责，因此，火灾应急培训主要也是针对消防队员开展的。</w:t>
      </w:r>
    </w:p>
    <w:p w14:paraId="5E018141">
      <w:pPr>
        <w:ind w:firstLine="482"/>
        <w:rPr>
          <w:b/>
          <w:bCs/>
        </w:rPr>
      </w:pPr>
      <w:r>
        <w:rPr>
          <w:rFonts w:hint="eastAsia"/>
          <w:b/>
          <w:bCs/>
        </w:rPr>
        <w:t>4、不同水平应急者培训</w:t>
      </w:r>
    </w:p>
    <w:p w14:paraId="5B170619">
      <w:pPr>
        <w:ind w:firstLine="480"/>
      </w:pPr>
      <w:r>
        <w:rPr>
          <w:rFonts w:hint="eastAsia"/>
        </w:rPr>
        <w:t>针对危险品事故应急，应明确不同层次应急队员的培训要求。通过培训，使应急者掌握必要的知识和技能以识别危险、评价事故危险性、采取正确措施，以降低事故对人员、财产、环境的危害等。</w:t>
      </w:r>
    </w:p>
    <w:p w14:paraId="45896E12">
      <w:pPr>
        <w:ind w:firstLine="480"/>
      </w:pPr>
      <w:r>
        <w:rPr>
          <w:rFonts w:hint="eastAsia"/>
        </w:rPr>
        <w:t>具体培训中，通常将应急者分为五种水平，每一种水平都有相应的培训要求。</w:t>
      </w:r>
    </w:p>
    <w:p w14:paraId="1AB063F4">
      <w:pPr>
        <w:ind w:firstLine="482"/>
        <w:rPr>
          <w:b/>
          <w:bCs/>
        </w:rPr>
      </w:pPr>
      <w:r>
        <w:rPr>
          <w:rFonts w:hint="eastAsia"/>
          <w:b/>
          <w:bCs/>
        </w:rPr>
        <w:t>A初级意识水平应急者（保安、门卫、巡查人员）</w:t>
      </w:r>
    </w:p>
    <w:p w14:paraId="66ECE613">
      <w:pPr>
        <w:ind w:firstLine="480"/>
      </w:pPr>
      <w:r>
        <w:rPr>
          <w:rFonts w:hint="eastAsia"/>
        </w:rPr>
        <w:t>该水平应急者通常是处于能首先发现事故险情并及时报警的岗位上的人员。对他们的要求包括：</w:t>
      </w:r>
    </w:p>
    <w:p w14:paraId="0A7F04E0">
      <w:pPr>
        <w:ind w:firstLine="480"/>
      </w:pPr>
      <w:r>
        <w:rPr>
          <w:rFonts w:hint="eastAsia"/>
        </w:rPr>
        <w:t>(1)确认危险物质并能识别危险物质的泄漏迹象；</w:t>
      </w:r>
    </w:p>
    <w:p w14:paraId="0E283DD6">
      <w:pPr>
        <w:ind w:firstLine="480"/>
      </w:pPr>
      <w:r>
        <w:rPr>
          <w:rFonts w:hint="eastAsia"/>
        </w:rPr>
        <w:t>(2)了解所涉及到的危险物质泄漏的潜在后果；</w:t>
      </w:r>
    </w:p>
    <w:p w14:paraId="27DE89DC">
      <w:pPr>
        <w:ind w:firstLine="480"/>
      </w:pPr>
      <w:r>
        <w:rPr>
          <w:rFonts w:hint="eastAsia"/>
        </w:rPr>
        <w:t>(3)了解应急者自身的作用和责任；</w:t>
      </w:r>
    </w:p>
    <w:p w14:paraId="44A80763">
      <w:pPr>
        <w:ind w:firstLine="480"/>
      </w:pPr>
      <w:r>
        <w:rPr>
          <w:rFonts w:hint="eastAsia"/>
        </w:rPr>
        <w:t>(4)能确认必需的应急资源；</w:t>
      </w:r>
    </w:p>
    <w:p w14:paraId="58B6E52C">
      <w:pPr>
        <w:ind w:firstLine="480"/>
      </w:pPr>
      <w:r>
        <w:rPr>
          <w:rFonts w:hint="eastAsia"/>
        </w:rPr>
        <w:t>(5)如果需要疏散，则应限制未经授权人员进入事故现场；</w:t>
      </w:r>
    </w:p>
    <w:p w14:paraId="302CC932">
      <w:pPr>
        <w:ind w:firstLine="480"/>
      </w:pPr>
      <w:r>
        <w:rPr>
          <w:rFonts w:hint="eastAsia"/>
        </w:rPr>
        <w:t>(6)熟悉事故现场安全区域的划分；</w:t>
      </w:r>
    </w:p>
    <w:p w14:paraId="53215283">
      <w:pPr>
        <w:ind w:firstLine="480"/>
      </w:pPr>
      <w:r>
        <w:rPr>
          <w:rFonts w:hint="eastAsia"/>
        </w:rPr>
        <w:t>(7)了解基本的事故控制技术。</w:t>
      </w:r>
    </w:p>
    <w:p w14:paraId="5D00F96F">
      <w:pPr>
        <w:ind w:firstLine="482"/>
      </w:pPr>
      <w:r>
        <w:rPr>
          <w:rFonts w:hint="eastAsia"/>
          <w:b/>
          <w:bCs/>
        </w:rPr>
        <w:t>B初级操作水平应急者（储罐区、危废仓库操作人员</w:t>
      </w:r>
      <w:r>
        <w:rPr>
          <w:rFonts w:hint="eastAsia"/>
        </w:rPr>
        <w:t>）</w:t>
      </w:r>
    </w:p>
    <w:p w14:paraId="0A38FB52">
      <w:pPr>
        <w:ind w:firstLine="480"/>
      </w:pPr>
      <w:r>
        <w:rPr>
          <w:rFonts w:hint="eastAsia"/>
        </w:rPr>
        <w:t>该水平应急者主要参与预防危险物质泄漏的操作，以及发生泄漏后的事故应急，其作用是有效阻止危险物质的泄漏，降低泄漏事故可能造成的影响。对他们的培训要求包括：</w:t>
      </w:r>
    </w:p>
    <w:p w14:paraId="72D8C79E">
      <w:pPr>
        <w:ind w:firstLine="480"/>
      </w:pPr>
      <w:r>
        <w:rPr>
          <w:rFonts w:hint="eastAsia"/>
        </w:rPr>
        <w:t>(1)掌握危险物质的辨识和危险程度分级方法；</w:t>
      </w:r>
    </w:p>
    <w:p w14:paraId="0BD96E6B">
      <w:pPr>
        <w:ind w:firstLine="480"/>
      </w:pPr>
      <w:r>
        <w:rPr>
          <w:rFonts w:hint="eastAsia"/>
        </w:rPr>
        <w:t>(2)掌握基本的危险和风险评价技术；</w:t>
      </w:r>
    </w:p>
    <w:p w14:paraId="57031859">
      <w:pPr>
        <w:ind w:firstLine="480"/>
      </w:pPr>
      <w:r>
        <w:rPr>
          <w:rFonts w:hint="eastAsia"/>
        </w:rPr>
        <w:t>(3)学会正确选择和使用个人防护设备；</w:t>
      </w:r>
    </w:p>
    <w:p w14:paraId="1E2F01EE">
      <w:pPr>
        <w:ind w:firstLine="480"/>
      </w:pPr>
      <w:r>
        <w:rPr>
          <w:rFonts w:hint="eastAsia"/>
        </w:rPr>
        <w:t>(4)了解危险物质的基本术语以及特性；</w:t>
      </w:r>
    </w:p>
    <w:p w14:paraId="4DD1A2A3">
      <w:pPr>
        <w:ind w:firstLine="480"/>
      </w:pPr>
      <w:r>
        <w:rPr>
          <w:rFonts w:hint="eastAsia"/>
        </w:rPr>
        <w:t>(5)掌握危险物质泄漏的基本控制操作；</w:t>
      </w:r>
    </w:p>
    <w:p w14:paraId="7B336A34">
      <w:pPr>
        <w:ind w:firstLine="480"/>
      </w:pPr>
      <w:r>
        <w:rPr>
          <w:rFonts w:hint="eastAsia"/>
        </w:rPr>
        <w:t>(6)掌握基本的危险物质清除程序；</w:t>
      </w:r>
    </w:p>
    <w:p w14:paraId="4221DF79">
      <w:pPr>
        <w:ind w:firstLine="480"/>
      </w:pPr>
      <w:r>
        <w:rPr>
          <w:rFonts w:hint="eastAsia"/>
        </w:rPr>
        <w:t>(7)熟悉应急预案的内容。</w:t>
      </w:r>
    </w:p>
    <w:p w14:paraId="4ECA9150">
      <w:pPr>
        <w:ind w:firstLine="482"/>
        <w:rPr>
          <w:b/>
          <w:bCs/>
        </w:rPr>
      </w:pPr>
      <w:r>
        <w:rPr>
          <w:rFonts w:hint="eastAsia"/>
          <w:b/>
          <w:bCs/>
        </w:rPr>
        <w:t>C危险物质专业水平应急者（储罐区、危废仓库的管理人员和责任人）</w:t>
      </w:r>
    </w:p>
    <w:p w14:paraId="6459871F">
      <w:pPr>
        <w:ind w:firstLine="480"/>
      </w:pPr>
      <w:r>
        <w:rPr>
          <w:rFonts w:hint="eastAsia"/>
        </w:rPr>
        <w:t>该水平应急者的培训应根据有关指南要求来执行，达到或符合指南要求以后才能参与；危险物质的事故应急。对其培训要求除了掌握上述应急者的知识和技能以外还包括：</w:t>
      </w:r>
    </w:p>
    <w:p w14:paraId="066D164A">
      <w:pPr>
        <w:ind w:firstLine="480"/>
      </w:pPr>
      <w:r>
        <w:rPr>
          <w:rFonts w:hint="eastAsia"/>
        </w:rPr>
        <w:t>(1)保证事故现场的人员安全，防止不必要伤亡的发生；</w:t>
      </w:r>
    </w:p>
    <w:p w14:paraId="7E75E480">
      <w:pPr>
        <w:ind w:firstLine="480"/>
      </w:pPr>
      <w:r>
        <w:rPr>
          <w:rFonts w:hint="eastAsia"/>
        </w:rPr>
        <w:t>(2)执行应急行动计划；</w:t>
      </w:r>
    </w:p>
    <w:p w14:paraId="579826A3">
      <w:pPr>
        <w:ind w:firstLine="480"/>
      </w:pPr>
      <w:r>
        <w:rPr>
          <w:rFonts w:hint="eastAsia"/>
        </w:rPr>
        <w:t>(3)识别、确认、证实危险物质；</w:t>
      </w:r>
    </w:p>
    <w:p w14:paraId="56F5468A">
      <w:pPr>
        <w:ind w:firstLine="480"/>
      </w:pPr>
      <w:r>
        <w:rPr>
          <w:rFonts w:hint="eastAsia"/>
        </w:rPr>
        <w:t>(4)了解应急救援系统各岗位的功能和作用；</w:t>
      </w:r>
    </w:p>
    <w:p w14:paraId="30A00E61">
      <w:pPr>
        <w:ind w:firstLine="480"/>
      </w:pPr>
      <w:r>
        <w:rPr>
          <w:rFonts w:hint="eastAsia"/>
        </w:rPr>
        <w:t>(5)了解特殊化学品个人防护设备的选择和使用；</w:t>
      </w:r>
    </w:p>
    <w:p w14:paraId="4BCB7961">
      <w:pPr>
        <w:ind w:firstLine="480"/>
      </w:pPr>
      <w:r>
        <w:rPr>
          <w:rFonts w:hint="eastAsia"/>
        </w:rPr>
        <w:t>(6)掌握危险的识别和风险的评价技术；</w:t>
      </w:r>
    </w:p>
    <w:p w14:paraId="2617FAE1">
      <w:pPr>
        <w:ind w:firstLine="480"/>
      </w:pPr>
      <w:r>
        <w:rPr>
          <w:rFonts w:hint="eastAsia"/>
        </w:rPr>
        <w:t>(7)了解先进的危险物质控制技术；</w:t>
      </w:r>
    </w:p>
    <w:p w14:paraId="33B8ED12">
      <w:pPr>
        <w:ind w:firstLine="480"/>
      </w:pPr>
      <w:r>
        <w:rPr>
          <w:rFonts w:hint="eastAsia"/>
        </w:rPr>
        <w:t>(8)执行事故现场清除程序；</w:t>
      </w:r>
    </w:p>
    <w:p w14:paraId="18AC3618">
      <w:pPr>
        <w:ind w:firstLine="480"/>
      </w:pPr>
      <w:r>
        <w:rPr>
          <w:rFonts w:hint="eastAsia"/>
        </w:rPr>
        <w:t>(9)了解基本的化学、生物、放射学的术语和其表示形式。</w:t>
      </w:r>
    </w:p>
    <w:p w14:paraId="55FA03B6">
      <w:pPr>
        <w:ind w:firstLine="482"/>
        <w:rPr>
          <w:b/>
          <w:bCs/>
        </w:rPr>
      </w:pPr>
      <w:r>
        <w:rPr>
          <w:rFonts w:hint="eastAsia"/>
          <w:b/>
          <w:bCs/>
        </w:rPr>
        <w:t>D危险物质专家水平应急者（厂区具有相关专业技术的管理人员）</w:t>
      </w:r>
    </w:p>
    <w:p w14:paraId="7498E0CB">
      <w:pPr>
        <w:ind w:firstLine="480"/>
      </w:pPr>
      <w:r>
        <w:rPr>
          <w:rFonts w:hint="eastAsia"/>
        </w:rPr>
        <w:t>具有危险物质专家水平的应急者通常与危险物质专业人员一起对紧急情况做出应急处置，并向危险物质专业人员提供技术支持。因此要求该类专家所具有的关于危险物质的知识和信息必须比危险物质专业人员更广博更精深。因此，危险物质专家必须接受足够的专业培训，以使其具有相当高的应急水平和能力：</w:t>
      </w:r>
    </w:p>
    <w:p w14:paraId="156BFA1C">
      <w:pPr>
        <w:ind w:firstLine="480"/>
      </w:pPr>
      <w:r>
        <w:rPr>
          <w:rFonts w:hint="eastAsia"/>
        </w:rPr>
        <w:t>(1)接受危险物质专业水平应急者的所有培训要求；</w:t>
      </w:r>
    </w:p>
    <w:p w14:paraId="50C87F34">
      <w:pPr>
        <w:ind w:firstLine="480"/>
      </w:pPr>
      <w:r>
        <w:rPr>
          <w:rFonts w:hint="eastAsia"/>
        </w:rPr>
        <w:t>(2)理解并参与应急救援系统的各岗位职责的分配；</w:t>
      </w:r>
    </w:p>
    <w:p w14:paraId="7C1DE4B2">
      <w:pPr>
        <w:ind w:firstLine="480"/>
      </w:pPr>
      <w:r>
        <w:rPr>
          <w:rFonts w:hint="eastAsia"/>
        </w:rPr>
        <w:t>(3)掌握风险评价技术；</w:t>
      </w:r>
    </w:p>
    <w:p w14:paraId="4D99B3DF">
      <w:pPr>
        <w:ind w:firstLine="480"/>
      </w:pPr>
      <w:r>
        <w:rPr>
          <w:rFonts w:hint="eastAsia"/>
        </w:rPr>
        <w:t>(4)掌握危险物质的有效控制操作；</w:t>
      </w:r>
    </w:p>
    <w:p w14:paraId="0A0C27FF">
      <w:pPr>
        <w:ind w:firstLine="480"/>
      </w:pPr>
      <w:r>
        <w:rPr>
          <w:rFonts w:hint="eastAsia"/>
        </w:rPr>
        <w:t>(5)参加一般清除程序的制定与执行；</w:t>
      </w:r>
    </w:p>
    <w:p w14:paraId="161F71D6">
      <w:pPr>
        <w:ind w:firstLine="480"/>
      </w:pPr>
      <w:r>
        <w:rPr>
          <w:rFonts w:hint="eastAsia"/>
        </w:rPr>
        <w:t>(6)参加特别清除程序的制定与执行；</w:t>
      </w:r>
    </w:p>
    <w:p w14:paraId="6AEB4C9C">
      <w:pPr>
        <w:ind w:firstLine="480"/>
      </w:pPr>
      <w:r>
        <w:rPr>
          <w:rFonts w:hint="eastAsia"/>
        </w:rPr>
        <w:t>(7)参加应急行动结束程序的执行；</w:t>
      </w:r>
    </w:p>
    <w:p w14:paraId="2A5542F8">
      <w:pPr>
        <w:ind w:firstLine="480"/>
      </w:pPr>
      <w:r>
        <w:rPr>
          <w:rFonts w:hint="eastAsia"/>
        </w:rPr>
        <w:t>(8)掌握化学、生物、毒理学的术语与表示形式。</w:t>
      </w:r>
    </w:p>
    <w:p w14:paraId="1C1F4DF7">
      <w:pPr>
        <w:ind w:firstLine="482"/>
        <w:rPr>
          <w:b/>
          <w:bCs/>
        </w:rPr>
      </w:pPr>
      <w:r>
        <w:rPr>
          <w:rFonts w:hint="eastAsia"/>
          <w:b/>
          <w:bCs/>
        </w:rPr>
        <w:t>E应急指挥级水平应急者（应急指挥部成员）</w:t>
      </w:r>
    </w:p>
    <w:p w14:paraId="2DCE98E9">
      <w:pPr>
        <w:ind w:firstLine="480"/>
      </w:pPr>
      <w:r>
        <w:rPr>
          <w:rFonts w:hint="eastAsia"/>
        </w:rPr>
        <w:t>该水平应急者主要负责的是对事故现场的控制并执行现场应急行动，协调应急队员之间的活动和通讯联系。该水平的应急者都具有相当丰富的事故应急和现场管理的经验，由于他们责任的重大，要求他们参加的培训应更为全面和严格，以提高应急指挥者的素质，保证事故应急的顺利完成。通常，该类应急者应该具备下列能力：</w:t>
      </w:r>
    </w:p>
    <w:p w14:paraId="796BB75E">
      <w:pPr>
        <w:ind w:firstLine="480"/>
      </w:pPr>
      <w:r>
        <w:rPr>
          <w:rFonts w:hint="eastAsia"/>
        </w:rPr>
        <w:t>(1)协调与指导所有的应急活动；</w:t>
      </w:r>
    </w:p>
    <w:p w14:paraId="45CD505C">
      <w:pPr>
        <w:ind w:firstLine="480"/>
      </w:pPr>
      <w:r>
        <w:rPr>
          <w:rFonts w:hint="eastAsia"/>
        </w:rPr>
        <w:t>(2)负责执行一个综合性的应急救援预案；</w:t>
      </w:r>
    </w:p>
    <w:p w14:paraId="0B2AAA41">
      <w:pPr>
        <w:ind w:firstLine="480"/>
      </w:pPr>
      <w:r>
        <w:rPr>
          <w:rFonts w:hint="eastAsia"/>
        </w:rPr>
        <w:t>(3)对现场内外应急资源的合理调用；</w:t>
      </w:r>
    </w:p>
    <w:p w14:paraId="77C88425">
      <w:pPr>
        <w:ind w:firstLine="480"/>
      </w:pPr>
      <w:r>
        <w:rPr>
          <w:rFonts w:hint="eastAsia"/>
        </w:rPr>
        <w:t>(4)提供管理和技术监督，协调后勤支持；</w:t>
      </w:r>
    </w:p>
    <w:p w14:paraId="57A164C4">
      <w:pPr>
        <w:ind w:firstLine="480"/>
      </w:pPr>
      <w:r>
        <w:rPr>
          <w:rFonts w:hint="eastAsia"/>
        </w:rPr>
        <w:t>(5)协调信息发布和政府官员参与的应急工作；</w:t>
      </w:r>
    </w:p>
    <w:p w14:paraId="66984BBB">
      <w:pPr>
        <w:ind w:firstLine="480"/>
      </w:pPr>
      <w:r>
        <w:rPr>
          <w:rFonts w:hint="eastAsia"/>
        </w:rPr>
        <w:t>(6)负责向国家、省市、当地政府主管部门递交事故报告；</w:t>
      </w:r>
    </w:p>
    <w:p w14:paraId="6503F138">
      <w:pPr>
        <w:ind w:firstLine="480"/>
      </w:pPr>
      <w:r>
        <w:rPr>
          <w:rFonts w:hint="eastAsia"/>
        </w:rPr>
        <w:t>(7)负责提供事故和应急工作总结。</w:t>
      </w:r>
    </w:p>
    <w:p w14:paraId="35F2AFED">
      <w:pPr>
        <w:ind w:firstLine="480"/>
      </w:pPr>
      <w:r>
        <w:rPr>
          <w:rFonts w:hint="eastAsia"/>
        </w:rPr>
        <w:t>演习内容：危险化学品泄漏的紧急隔离与处置，危险废物泄漏的紧急隔离与处置，废水超标排放的紧急处置，废气超标排放的紧急处置，雨水系统的紧急隔离，消防废水的紧急隔离与处置，厂区人员应急疏散，厂外村民根据演练需要应急疏散。一年至少进行一次桌面演练和一次综合现场演练。</w:t>
      </w:r>
    </w:p>
    <w:p w14:paraId="5480CAF6">
      <w:pPr>
        <w:ind w:firstLine="480"/>
      </w:pPr>
      <w:r>
        <w:rPr>
          <w:rFonts w:hint="eastAsia"/>
        </w:rPr>
        <w:t>演练前制定演练进程控制一览表和演练记录表，由专人对演练进程实施情况进行观察，记录演练进度情况和处置实施情况，及时发现演练过程中存在的问题。</w:t>
      </w:r>
    </w:p>
    <w:p w14:paraId="0B4A9142">
      <w:pPr>
        <w:ind w:firstLine="480"/>
      </w:pPr>
      <w:r>
        <w:rPr>
          <w:rFonts w:hint="eastAsia"/>
        </w:rPr>
        <w:t>演练结束后，参加演练的人员应对演练过程进行总结评估，提出演练过程存在的问题，提出改进意见。评估和总结情况要形成演练评价总结记录并及时改进。</w:t>
      </w:r>
    </w:p>
    <w:p w14:paraId="71B0126E">
      <w:pPr>
        <w:pStyle w:val="4"/>
        <w:numPr>
          <w:ilvl w:val="2"/>
          <w:numId w:val="1"/>
        </w:numPr>
      </w:pPr>
      <w:bookmarkStart w:id="319" w:name="_Toc11050"/>
      <w:r>
        <w:rPr>
          <w:rFonts w:hint="eastAsia"/>
        </w:rPr>
        <w:t>事故应急监测</w:t>
      </w:r>
      <w:bookmarkEnd w:id="319"/>
    </w:p>
    <w:p w14:paraId="3E3ACE3E">
      <w:pPr>
        <w:ind w:firstLine="480"/>
      </w:pPr>
      <w:r>
        <w:rPr>
          <w:rFonts w:hint="eastAsia"/>
        </w:rPr>
        <w:t xml:space="preserve">为及时了解和掌握建设项目在发生事故后主要的大气和水污染物的周边环境的影响状况，掌握其扩散运移以及分布规律，及时地、有目的地疏散受影响范围内的人群；最大限度地减小对环境的影响，建设单位应制定事故应急监测方案。在事故发生时委托有资质的环境监测部门进行监测。 </w:t>
      </w:r>
    </w:p>
    <w:p w14:paraId="6E1552DC">
      <w:pPr>
        <w:ind w:firstLine="480"/>
        <w:rPr>
          <w:rFonts w:hint="default" w:eastAsia="宋体"/>
          <w:lang w:val="en-US" w:eastAsia="zh-CN"/>
        </w:rPr>
      </w:pPr>
      <w:r>
        <w:rPr>
          <w:rFonts w:hint="eastAsia"/>
          <w:lang w:val="en-US" w:eastAsia="zh-CN"/>
        </w:rPr>
        <w:t>1、废气应急监测</w:t>
      </w:r>
    </w:p>
    <w:p w14:paraId="09BF6A83">
      <w:pPr>
        <w:ind w:firstLine="480"/>
      </w:pPr>
      <w:r>
        <w:rPr>
          <w:rFonts w:hint="eastAsia"/>
        </w:rPr>
        <w:t>建设项目</w:t>
      </w:r>
      <w:r>
        <w:rPr>
          <w:rFonts w:hint="eastAsia"/>
          <w:lang w:val="en-US" w:eastAsia="zh-CN"/>
        </w:rPr>
        <w:t>废气</w:t>
      </w:r>
      <w:r>
        <w:rPr>
          <w:rFonts w:hint="eastAsia"/>
        </w:rPr>
        <w:t>应急监测重点是废气的事故排放对周边环境空气的影响，</w:t>
      </w:r>
      <w:r>
        <w:rPr>
          <w:rFonts w:hint="eastAsia"/>
          <w:lang w:val="en-US" w:eastAsia="zh-CN"/>
        </w:rPr>
        <w:t>废气应急监测</w:t>
      </w:r>
      <w:r>
        <w:rPr>
          <w:rFonts w:hint="eastAsia"/>
        </w:rPr>
        <w:t>方案制定如下：</w:t>
      </w:r>
    </w:p>
    <w:p w14:paraId="0ACC3B57">
      <w:pPr>
        <w:ind w:firstLine="480"/>
      </w:pPr>
      <w:r>
        <w:rPr>
          <w:rFonts w:hint="eastAsia"/>
        </w:rPr>
        <w:t>当废气发生事故排放应停止生产及时查明事故排放的原因，严格监控、及时监测。</w:t>
      </w:r>
    </w:p>
    <w:p w14:paraId="11D60C9A">
      <w:pPr>
        <w:ind w:firstLine="480"/>
      </w:pPr>
      <w:r>
        <w:rPr>
          <w:rFonts w:hint="eastAsia"/>
        </w:rPr>
        <w:t>采样点位：事故排放的排气筒、南面友谊村、南面龙谊村等敏感点。</w:t>
      </w:r>
    </w:p>
    <w:p w14:paraId="3487B3CB">
      <w:pPr>
        <w:ind w:firstLine="480"/>
        <w:rPr>
          <w:rFonts w:hint="eastAsia"/>
          <w:lang w:val="en-US" w:eastAsia="zh-CN"/>
        </w:rPr>
      </w:pPr>
      <w:r>
        <w:rPr>
          <w:rFonts w:hint="eastAsia"/>
        </w:rPr>
        <w:t>监测项目：</w:t>
      </w:r>
      <w:r>
        <w:rPr>
          <w:rFonts w:hint="eastAsia"/>
          <w:lang w:val="en-US" w:eastAsia="zh-CN"/>
        </w:rPr>
        <w:t>气态污染</w:t>
      </w:r>
      <w:r>
        <w:rPr>
          <w:rFonts w:hint="eastAsia"/>
        </w:rPr>
        <w:t>HCl、Cl</w:t>
      </w:r>
      <w:r>
        <w:rPr>
          <w:rFonts w:hint="eastAsia"/>
          <w:vertAlign w:val="subscript"/>
        </w:rPr>
        <w:t>2</w:t>
      </w:r>
      <w:r>
        <w:rPr>
          <w:rFonts w:hint="eastAsia"/>
        </w:rPr>
        <w:t>、颗粒物等</w:t>
      </w:r>
      <w:r>
        <w:rPr>
          <w:rFonts w:hint="eastAsia"/>
          <w:lang w:val="en-US" w:eastAsia="zh-CN"/>
        </w:rPr>
        <w:t>；</w:t>
      </w:r>
    </w:p>
    <w:p w14:paraId="752C9F13">
      <w:pPr>
        <w:ind w:firstLine="480"/>
        <w:rPr>
          <w:rFonts w:hint="eastAsia"/>
        </w:rPr>
      </w:pPr>
      <w:r>
        <w:rPr>
          <w:rFonts w:hint="eastAsia"/>
        </w:rPr>
        <w:t>监测频次：应每一个小时取样分析，掌握污染带扩散范围和扩散方向。</w:t>
      </w:r>
    </w:p>
    <w:p w14:paraId="71089A7A">
      <w:pPr>
        <w:ind w:firstLine="480"/>
        <w:rPr>
          <w:rFonts w:hint="default"/>
          <w:lang w:val="en-US" w:eastAsia="zh-CN"/>
        </w:rPr>
      </w:pPr>
      <w:r>
        <w:rPr>
          <w:rFonts w:hint="eastAsia"/>
          <w:lang w:val="en-US" w:eastAsia="zh-CN"/>
        </w:rPr>
        <w:t>2、废水应急监测</w:t>
      </w:r>
    </w:p>
    <w:p w14:paraId="3E3C2EAE">
      <w:pPr>
        <w:numPr>
          <w:ilvl w:val="0"/>
          <w:numId w:val="0"/>
        </w:numPr>
        <w:ind w:firstLine="480" w:firstLineChars="200"/>
        <w:rPr>
          <w:rFonts w:hint="eastAsia"/>
          <w:lang w:val="en-US" w:eastAsia="zh-CN"/>
        </w:rPr>
      </w:pPr>
      <w:r>
        <w:rPr>
          <w:rFonts w:hint="eastAsia"/>
          <w:lang w:val="en-US" w:eastAsia="zh-CN"/>
        </w:rPr>
        <w:t>建设项目废水应急监测重点是环境风险事故时污水、消防水对周边地表水环境的影响，废水应急监测方案制定如下：</w:t>
      </w:r>
    </w:p>
    <w:p w14:paraId="2223270D">
      <w:pPr>
        <w:numPr>
          <w:ilvl w:val="0"/>
          <w:numId w:val="0"/>
        </w:numPr>
        <w:ind w:leftChars="200"/>
        <w:rPr>
          <w:rFonts w:hint="default"/>
          <w:lang w:val="en-US" w:eastAsia="zh-CN"/>
        </w:rPr>
      </w:pPr>
      <w:r>
        <w:rPr>
          <w:rFonts w:hint="eastAsia"/>
          <w:lang w:val="en-US" w:eastAsia="zh-CN"/>
        </w:rPr>
        <w:t>采样点位：厂区后期雨水排口、资家港；</w:t>
      </w:r>
    </w:p>
    <w:p w14:paraId="7E53DE1B">
      <w:pPr>
        <w:numPr>
          <w:ilvl w:val="0"/>
          <w:numId w:val="0"/>
        </w:numPr>
        <w:ind w:leftChars="200"/>
        <w:rPr>
          <w:rFonts w:hint="default"/>
          <w:lang w:val="en-US" w:eastAsia="zh-CN"/>
        </w:rPr>
      </w:pPr>
      <w:r>
        <w:rPr>
          <w:rFonts w:hint="default"/>
          <w:lang w:val="en-US" w:eastAsia="zh-CN"/>
        </w:rPr>
        <w:t>监测项目：</w:t>
      </w:r>
      <w:r>
        <w:rPr>
          <w:rFonts w:hint="eastAsia"/>
          <w:lang w:val="en-US" w:eastAsia="zh-CN"/>
        </w:rPr>
        <w:t>SS、COD、氨氮、</w:t>
      </w:r>
      <w:r>
        <w:rPr>
          <w:rFonts w:hint="default"/>
          <w:lang w:val="en-US" w:eastAsia="zh-CN"/>
        </w:rPr>
        <w:t>高氯酸根等。</w:t>
      </w:r>
    </w:p>
    <w:p w14:paraId="2772C046">
      <w:pPr>
        <w:numPr>
          <w:ilvl w:val="0"/>
          <w:numId w:val="0"/>
        </w:numPr>
        <w:ind w:firstLine="480" w:firstLineChars="200"/>
        <w:rPr>
          <w:rFonts w:hint="default"/>
          <w:lang w:val="en-US" w:eastAsia="zh-CN"/>
        </w:rPr>
      </w:pPr>
      <w:r>
        <w:rPr>
          <w:rFonts w:hint="default"/>
          <w:lang w:val="en-US" w:eastAsia="zh-CN"/>
        </w:rPr>
        <w:t>同时，应视污染物的排放和持续时间，加密监测次数、做到连续监测，直至事故性排放消除。</w:t>
      </w:r>
    </w:p>
    <w:p w14:paraId="26C402AF">
      <w:pPr>
        <w:pStyle w:val="4"/>
        <w:numPr>
          <w:ilvl w:val="2"/>
          <w:numId w:val="1"/>
        </w:numPr>
      </w:pPr>
      <w:bookmarkStart w:id="320" w:name="_Toc27219"/>
      <w:r>
        <w:rPr>
          <w:rFonts w:hint="eastAsia"/>
        </w:rPr>
        <w:t>区域联防联控的应急机制</w:t>
      </w:r>
      <w:bookmarkEnd w:id="320"/>
    </w:p>
    <w:p w14:paraId="064B1673">
      <w:pPr>
        <w:ind w:firstLine="480"/>
      </w:pPr>
      <w:r>
        <w:t>建设单位现有的风险应急预案较为全面，可以继续参照执行。同时本评价建议，企业的风险应急预案应当与区域的风险应急建立联动，形成企业与地区联防联控的机制。</w:t>
      </w:r>
    </w:p>
    <w:p w14:paraId="3AC3E235">
      <w:pPr>
        <w:ind w:firstLine="480"/>
      </w:pPr>
      <w:r>
        <w:t>1、企业风险应急预案与《湖南省突发环境事件应急预案》、《衡阳市突发事件总体应急预案》、《松木经济开发区突发环境事件应急预案》具有衔接性和联动性。</w:t>
      </w:r>
    </w:p>
    <w:p w14:paraId="1ED61C02">
      <w:pPr>
        <w:ind w:firstLine="480"/>
      </w:pPr>
      <w:r>
        <w:t>2、当发生重大突发环境事件，则企业应当启动一级或二级应急响应程序，公司应急指挥部及时通知松木工业园、衡阳市环境应急指挥机构，由松木工业园、衡阳市环境应急指挥机构分别启动各自的应急响应程序；</w:t>
      </w:r>
    </w:p>
    <w:p w14:paraId="0DE79852">
      <w:pPr>
        <w:ind w:firstLine="480"/>
      </w:pPr>
      <w:r>
        <w:t>3、当发生一般突发环境事件，公司启动三级应急响应，等事故处理完后上报公司应急指挥机构实行备案。</w:t>
      </w:r>
    </w:p>
    <w:p w14:paraId="2B7F6400">
      <w:pPr>
        <w:pStyle w:val="3"/>
        <w:numPr>
          <w:ilvl w:val="1"/>
          <w:numId w:val="1"/>
        </w:numPr>
      </w:pPr>
      <w:bookmarkStart w:id="321" w:name="_Toc260"/>
      <w:bookmarkStart w:id="322" w:name="_Toc319"/>
      <w:bookmarkStart w:id="323" w:name="_Toc15842"/>
      <w:r>
        <w:rPr>
          <w:rFonts w:hint="eastAsia"/>
        </w:rPr>
        <w:t>小结</w:t>
      </w:r>
      <w:bookmarkEnd w:id="321"/>
      <w:bookmarkEnd w:id="322"/>
      <w:bookmarkEnd w:id="323"/>
    </w:p>
    <w:p w14:paraId="2455C252">
      <w:pPr>
        <w:ind w:firstLine="480"/>
        <w:rPr>
          <w:rFonts w:hint="eastAsia"/>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rPr>
        <w:t>根据风险识别和源项分析，本项目的环境风险分别有：各类化学品在生产储存、运输过程中的泄漏，废水、废气事故排放、火灾爆炸带来消防废水二次污染等。综合上述分析可知，建设单位在现有风险防范措施和应急预案的基础上，继续严格落实本报告书提出的建议和意见，并不断完善风险事故应急预案的前提下，项目</w:t>
      </w:r>
      <w:r>
        <w:rPr>
          <w:rFonts w:hint="eastAsia"/>
          <w:lang w:val="en-US" w:eastAsia="zh-CN"/>
        </w:rPr>
        <w:t>建成</w:t>
      </w:r>
      <w:r>
        <w:rPr>
          <w:rFonts w:hint="eastAsia"/>
        </w:rPr>
        <w:t>后全厂运营期的环境风险在可接受范围之内。因本项目环境风险较大，建议参照相关环境影响后评价的要求定期展开环境影响后评价。</w:t>
      </w:r>
    </w:p>
    <w:p w14:paraId="2C01220D">
      <w:pPr>
        <w:pStyle w:val="43"/>
        <w:numPr>
          <w:ilvl w:val="5"/>
          <w:numId w:val="1"/>
        </w:numPr>
        <w:rPr>
          <w:rFonts w:hint="default"/>
        </w:rPr>
      </w:pPr>
      <w:r>
        <w:t>本项目环境影响风险评价自查表</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57" w:type="dxa"/>
          <w:bottom w:w="0" w:type="dxa"/>
          <w:right w:w="57" w:type="dxa"/>
        </w:tblCellMar>
      </w:tblPr>
      <w:tblGrid>
        <w:gridCol w:w="420"/>
        <w:gridCol w:w="777"/>
        <w:gridCol w:w="700"/>
        <w:gridCol w:w="391"/>
        <w:gridCol w:w="391"/>
        <w:gridCol w:w="416"/>
        <w:gridCol w:w="250"/>
        <w:gridCol w:w="251"/>
        <w:gridCol w:w="238"/>
        <w:gridCol w:w="252"/>
        <w:gridCol w:w="253"/>
        <w:gridCol w:w="328"/>
        <w:gridCol w:w="235"/>
        <w:gridCol w:w="238"/>
        <w:gridCol w:w="235"/>
        <w:gridCol w:w="174"/>
        <w:gridCol w:w="173"/>
        <w:gridCol w:w="1178"/>
        <w:gridCol w:w="1520"/>
      </w:tblGrid>
      <w:tr w14:paraId="056A3CD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blHeader/>
        </w:trPr>
        <w:tc>
          <w:tcPr>
            <w:tcW w:w="0" w:type="auto"/>
            <w:gridSpan w:val="2"/>
            <w:vAlign w:val="center"/>
          </w:tcPr>
          <w:p w14:paraId="20545544">
            <w:pPr>
              <w:adjustRightInd/>
              <w:spacing w:line="240" w:lineRule="auto"/>
              <w:ind w:firstLine="0" w:firstLineChars="0"/>
              <w:jc w:val="center"/>
              <w:rPr>
                <w:rFonts w:cs="Times New Roman"/>
                <w:b/>
                <w:bCs/>
                <w:color w:val="000000" w:themeColor="text1"/>
                <w:sz w:val="18"/>
                <w:szCs w:val="18"/>
                <w14:textFill>
                  <w14:solidFill>
                    <w14:schemeClr w14:val="tx1"/>
                  </w14:solidFill>
                </w14:textFill>
              </w:rPr>
            </w:pPr>
            <w:r>
              <w:rPr>
                <w:rFonts w:hint="eastAsia" w:cs="Times New Roman"/>
                <w:b/>
                <w:bCs/>
                <w:color w:val="000000" w:themeColor="text1"/>
                <w:sz w:val="18"/>
                <w:szCs w:val="18"/>
                <w14:textFill>
                  <w14:solidFill>
                    <w14:schemeClr w14:val="tx1"/>
                  </w14:solidFill>
                </w14:textFill>
              </w:rPr>
              <w:t>工作内容</w:t>
            </w:r>
          </w:p>
        </w:tc>
        <w:tc>
          <w:tcPr>
            <w:tcW w:w="0" w:type="auto"/>
            <w:gridSpan w:val="17"/>
            <w:vAlign w:val="center"/>
          </w:tcPr>
          <w:p w14:paraId="331D44B5">
            <w:pPr>
              <w:adjustRightInd/>
              <w:spacing w:line="240" w:lineRule="auto"/>
              <w:ind w:firstLine="0" w:firstLineChars="0"/>
              <w:jc w:val="center"/>
              <w:rPr>
                <w:rFonts w:cs="Times New Roman"/>
                <w:b/>
                <w:bCs/>
                <w:color w:val="000000" w:themeColor="text1"/>
                <w:sz w:val="18"/>
                <w:szCs w:val="18"/>
                <w14:textFill>
                  <w14:solidFill>
                    <w14:schemeClr w14:val="tx1"/>
                  </w14:solidFill>
                </w14:textFill>
              </w:rPr>
            </w:pPr>
            <w:r>
              <w:rPr>
                <w:rFonts w:hint="eastAsia" w:cs="Times New Roman"/>
                <w:b/>
                <w:bCs/>
                <w:color w:val="000000" w:themeColor="text1"/>
                <w:sz w:val="18"/>
                <w:szCs w:val="18"/>
                <w14:textFill>
                  <w14:solidFill>
                    <w14:schemeClr w14:val="tx1"/>
                  </w14:solidFill>
                </w14:textFill>
              </w:rPr>
              <w:t>完成情况</w:t>
            </w:r>
          </w:p>
        </w:tc>
      </w:tr>
      <w:tr w14:paraId="11D5950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vMerge w:val="restart"/>
            <w:vAlign w:val="center"/>
          </w:tcPr>
          <w:p w14:paraId="66E3A051">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风</w:t>
            </w:r>
          </w:p>
          <w:p w14:paraId="36C50230">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险</w:t>
            </w:r>
          </w:p>
          <w:p w14:paraId="556CC131">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调</w:t>
            </w:r>
          </w:p>
          <w:p w14:paraId="2EA32426">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查</w:t>
            </w:r>
          </w:p>
        </w:tc>
        <w:tc>
          <w:tcPr>
            <w:tcW w:w="0" w:type="auto"/>
            <w:vMerge w:val="restart"/>
            <w:vAlign w:val="center"/>
          </w:tcPr>
          <w:p w14:paraId="5FCA26CA">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危险物质</w:t>
            </w:r>
          </w:p>
        </w:tc>
        <w:tc>
          <w:tcPr>
            <w:tcW w:w="0" w:type="auto"/>
            <w:vAlign w:val="center"/>
          </w:tcPr>
          <w:p w14:paraId="1675E9AF">
            <w:pPr>
              <w:adjustRightInd/>
              <w:spacing w:line="240" w:lineRule="auto"/>
              <w:ind w:firstLine="0" w:firstLineChars="0"/>
              <w:jc w:val="center"/>
              <w:rPr>
                <w:rFonts w:cs="Times New Roman"/>
                <w:b/>
                <w:bCs/>
                <w:color w:val="000000" w:themeColor="text1"/>
                <w:sz w:val="18"/>
                <w:szCs w:val="18"/>
                <w14:textFill>
                  <w14:solidFill>
                    <w14:schemeClr w14:val="tx1"/>
                  </w14:solidFill>
                </w14:textFill>
              </w:rPr>
            </w:pPr>
            <w:r>
              <w:rPr>
                <w:rFonts w:hint="eastAsia" w:cs="Times New Roman"/>
                <w:b/>
                <w:bCs/>
                <w:color w:val="000000" w:themeColor="text1"/>
                <w:sz w:val="18"/>
                <w:szCs w:val="18"/>
                <w14:textFill>
                  <w14:solidFill>
                    <w14:schemeClr w14:val="tx1"/>
                  </w14:solidFill>
                </w14:textFill>
              </w:rPr>
              <w:t>名称</w:t>
            </w:r>
          </w:p>
        </w:tc>
        <w:tc>
          <w:tcPr>
            <w:tcW w:w="0" w:type="auto"/>
            <w:gridSpan w:val="3"/>
            <w:vAlign w:val="center"/>
          </w:tcPr>
          <w:p w14:paraId="13AB2EF1">
            <w:pPr>
              <w:adjustRightInd/>
              <w:spacing w:line="240" w:lineRule="auto"/>
              <w:ind w:firstLine="0" w:firstLineChars="0"/>
              <w:jc w:val="center"/>
              <w:rPr>
                <w:rFonts w:hint="eastAsia" w:eastAsia="宋体" w:cs="Times New Roman"/>
                <w:b/>
                <w:bCs/>
                <w:color w:val="000000" w:themeColor="text1"/>
                <w:sz w:val="18"/>
                <w:szCs w:val="18"/>
                <w:lang w:eastAsia="zh-CN"/>
                <w14:textFill>
                  <w14:solidFill>
                    <w14:schemeClr w14:val="tx1"/>
                  </w14:solidFill>
                </w14:textFill>
              </w:rPr>
            </w:pPr>
            <w:r>
              <w:rPr>
                <w:rFonts w:hint="eastAsia" w:cs="Times New Roman"/>
                <w:b/>
                <w:bCs/>
                <w:color w:val="000000" w:themeColor="text1"/>
                <w:sz w:val="18"/>
                <w:szCs w:val="18"/>
                <w14:textFill>
                  <w14:solidFill>
                    <w14:schemeClr w14:val="tx1"/>
                  </w14:solidFill>
                </w14:textFill>
              </w:rPr>
              <w:t>31%盐酸</w:t>
            </w:r>
          </w:p>
        </w:tc>
        <w:tc>
          <w:tcPr>
            <w:tcW w:w="0" w:type="auto"/>
            <w:gridSpan w:val="3"/>
            <w:vAlign w:val="center"/>
          </w:tcPr>
          <w:p w14:paraId="3959858E">
            <w:pPr>
              <w:adjustRightInd/>
              <w:spacing w:line="240" w:lineRule="auto"/>
              <w:ind w:firstLine="0" w:firstLineChars="0"/>
              <w:jc w:val="center"/>
              <w:rPr>
                <w:rFonts w:cs="Times New Roman"/>
                <w:b/>
                <w:bCs/>
                <w:color w:val="000000" w:themeColor="text1"/>
                <w:sz w:val="18"/>
                <w:szCs w:val="18"/>
                <w14:textFill>
                  <w14:solidFill>
                    <w14:schemeClr w14:val="tx1"/>
                  </w14:solidFill>
                </w14:textFill>
              </w:rPr>
            </w:pPr>
            <w:r>
              <w:rPr>
                <w:rFonts w:hint="eastAsia" w:cs="Times New Roman"/>
                <w:b/>
                <w:bCs/>
                <w:color w:val="000000" w:themeColor="text1"/>
                <w:sz w:val="18"/>
                <w:szCs w:val="18"/>
                <w14:textFill>
                  <w14:solidFill>
                    <w14:schemeClr w14:val="tx1"/>
                  </w14:solidFill>
                </w14:textFill>
              </w:rPr>
              <w:t>液碱</w:t>
            </w:r>
          </w:p>
        </w:tc>
        <w:tc>
          <w:tcPr>
            <w:tcW w:w="0" w:type="auto"/>
            <w:gridSpan w:val="3"/>
            <w:vAlign w:val="center"/>
          </w:tcPr>
          <w:p w14:paraId="6DC65491">
            <w:pPr>
              <w:adjustRightInd/>
              <w:spacing w:line="240" w:lineRule="auto"/>
              <w:ind w:firstLine="0" w:firstLineChars="0"/>
              <w:jc w:val="center"/>
              <w:rPr>
                <w:rFonts w:cs="Times New Roman"/>
                <w:b/>
                <w:bCs/>
                <w:color w:val="000000" w:themeColor="text1"/>
                <w:sz w:val="18"/>
                <w:szCs w:val="18"/>
                <w14:textFill>
                  <w14:solidFill>
                    <w14:schemeClr w14:val="tx1"/>
                  </w14:solidFill>
                </w14:textFill>
              </w:rPr>
            </w:pPr>
            <w:r>
              <w:rPr>
                <w:rFonts w:hint="eastAsia" w:cs="Times New Roman"/>
                <w:b/>
                <w:bCs/>
                <w:color w:val="000000" w:themeColor="text1"/>
                <w:sz w:val="18"/>
                <w:szCs w:val="18"/>
                <w14:textFill>
                  <w14:solidFill>
                    <w14:schemeClr w14:val="tx1"/>
                  </w14:solidFill>
                </w14:textFill>
              </w:rPr>
              <w:t>氯化钡</w:t>
            </w:r>
          </w:p>
        </w:tc>
        <w:tc>
          <w:tcPr>
            <w:tcW w:w="0" w:type="auto"/>
            <w:gridSpan w:val="5"/>
            <w:vAlign w:val="center"/>
          </w:tcPr>
          <w:p w14:paraId="6DC4A4B3">
            <w:pPr>
              <w:adjustRightInd/>
              <w:spacing w:line="240" w:lineRule="auto"/>
              <w:ind w:firstLine="0" w:firstLineChars="0"/>
              <w:jc w:val="center"/>
              <w:rPr>
                <w:rFonts w:cs="Times New Roman"/>
                <w:b/>
                <w:bCs/>
                <w:color w:val="000000" w:themeColor="text1"/>
                <w:sz w:val="18"/>
                <w:szCs w:val="18"/>
                <w14:textFill>
                  <w14:solidFill>
                    <w14:schemeClr w14:val="tx1"/>
                  </w14:solidFill>
                </w14:textFill>
              </w:rPr>
            </w:pPr>
            <w:r>
              <w:rPr>
                <w:rFonts w:hint="eastAsia" w:cs="Times New Roman"/>
                <w:b/>
                <w:bCs/>
                <w:color w:val="000000" w:themeColor="text1"/>
                <w:sz w:val="18"/>
                <w:szCs w:val="18"/>
                <w14:textFill>
                  <w14:solidFill>
                    <w14:schemeClr w14:val="tx1"/>
                  </w14:solidFill>
                </w14:textFill>
              </w:rPr>
              <w:t>重铬酸钠</w:t>
            </w:r>
          </w:p>
        </w:tc>
        <w:tc>
          <w:tcPr>
            <w:tcW w:w="0" w:type="auto"/>
            <w:vAlign w:val="center"/>
          </w:tcPr>
          <w:p w14:paraId="0060FE7D">
            <w:pPr>
              <w:adjustRightInd/>
              <w:spacing w:line="240" w:lineRule="auto"/>
              <w:ind w:firstLine="0" w:firstLineChars="0"/>
              <w:jc w:val="center"/>
              <w:rPr>
                <w:rFonts w:cs="Times New Roman"/>
                <w:b/>
                <w:bCs/>
                <w:color w:val="000000" w:themeColor="text1"/>
                <w:sz w:val="18"/>
                <w:szCs w:val="18"/>
                <w14:textFill>
                  <w14:solidFill>
                    <w14:schemeClr w14:val="tx1"/>
                  </w14:solidFill>
                </w14:textFill>
              </w:rPr>
            </w:pPr>
            <w:r>
              <w:rPr>
                <w:rFonts w:hint="eastAsia" w:cs="Times New Roman"/>
                <w:b/>
                <w:bCs/>
                <w:color w:val="000000" w:themeColor="text1"/>
                <w:sz w:val="18"/>
                <w:szCs w:val="18"/>
                <w14:textFill>
                  <w14:solidFill>
                    <w14:schemeClr w14:val="tx1"/>
                  </w14:solidFill>
                </w14:textFill>
              </w:rPr>
              <w:t>氯酸钠</w:t>
            </w:r>
          </w:p>
        </w:tc>
        <w:tc>
          <w:tcPr>
            <w:tcW w:w="0" w:type="auto"/>
            <w:vAlign w:val="center"/>
          </w:tcPr>
          <w:p w14:paraId="57AEF68C">
            <w:pPr>
              <w:adjustRightInd/>
              <w:spacing w:line="240" w:lineRule="auto"/>
              <w:ind w:firstLine="0" w:firstLineChars="0"/>
              <w:jc w:val="center"/>
              <w:rPr>
                <w:rFonts w:hint="eastAsia" w:eastAsia="宋体" w:cs="Times New Roman"/>
                <w:b/>
                <w:bCs/>
                <w:color w:val="000000" w:themeColor="text1"/>
                <w:sz w:val="18"/>
                <w:szCs w:val="18"/>
                <w:lang w:val="en-US" w:eastAsia="zh-CN"/>
                <w14:textFill>
                  <w14:solidFill>
                    <w14:schemeClr w14:val="tx1"/>
                  </w14:solidFill>
                </w14:textFill>
              </w:rPr>
            </w:pPr>
            <w:r>
              <w:rPr>
                <w:rFonts w:hint="eastAsia" w:cs="Times New Roman"/>
                <w:b/>
                <w:bCs/>
                <w:color w:val="000000" w:themeColor="text1"/>
                <w:sz w:val="18"/>
                <w:szCs w:val="18"/>
                <w:lang w:val="en-US" w:eastAsia="zh-CN"/>
                <w14:textFill>
                  <w14:solidFill>
                    <w14:schemeClr w14:val="tx1"/>
                  </w14:solidFill>
                </w14:textFill>
              </w:rPr>
              <w:t>氯酸钾</w:t>
            </w:r>
          </w:p>
        </w:tc>
      </w:tr>
      <w:tr w14:paraId="2CFDBEB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vMerge w:val="continue"/>
            <w:vAlign w:val="center"/>
          </w:tcPr>
          <w:p w14:paraId="46D1B239">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Merge w:val="continue"/>
            <w:vAlign w:val="center"/>
          </w:tcPr>
          <w:p w14:paraId="689F4EFB">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Align w:val="center"/>
          </w:tcPr>
          <w:p w14:paraId="153ECE19">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存在总量</w:t>
            </w:r>
            <w:r>
              <w:rPr>
                <w:rFonts w:cs="Times New Roman"/>
                <w:color w:val="000000" w:themeColor="text1"/>
                <w:sz w:val="18"/>
                <w:szCs w:val="18"/>
                <w14:textFill>
                  <w14:solidFill>
                    <w14:schemeClr w14:val="tx1"/>
                  </w14:solidFill>
                </w14:textFill>
              </w:rPr>
              <w:t>/t</w:t>
            </w:r>
          </w:p>
        </w:tc>
        <w:tc>
          <w:tcPr>
            <w:tcW w:w="0" w:type="auto"/>
            <w:gridSpan w:val="3"/>
            <w:vAlign w:val="center"/>
          </w:tcPr>
          <w:p w14:paraId="340AC758">
            <w:pPr>
              <w:adjustRightInd/>
              <w:spacing w:line="240" w:lineRule="auto"/>
              <w:ind w:firstLine="0" w:firstLineChars="0"/>
              <w:jc w:val="center"/>
              <w:rPr>
                <w:rFonts w:hint="default"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eastAsia="zh-CN"/>
                <w14:textFill>
                  <w14:solidFill>
                    <w14:schemeClr w14:val="tx1"/>
                  </w14:solidFill>
                </w14:textFill>
              </w:rPr>
              <w:t>（</w:t>
            </w:r>
            <w:r>
              <w:rPr>
                <w:rFonts w:hint="eastAsia" w:cs="Times New Roman"/>
                <w:color w:val="000000" w:themeColor="text1"/>
                <w:sz w:val="18"/>
                <w:szCs w:val="18"/>
                <w:lang w:val="en-US" w:eastAsia="zh-CN"/>
                <w14:textFill>
                  <w14:solidFill>
                    <w14:schemeClr w14:val="tx1"/>
                  </w14:solidFill>
                </w14:textFill>
              </w:rPr>
              <w:t>折纯</w:t>
            </w:r>
            <w:r>
              <w:rPr>
                <w:rFonts w:hint="eastAsia" w:cs="Times New Roman"/>
                <w:color w:val="000000" w:themeColor="text1"/>
                <w:sz w:val="18"/>
                <w:szCs w:val="18"/>
                <w:lang w:eastAsia="zh-CN"/>
                <w14:textFill>
                  <w14:solidFill>
                    <w14:schemeClr w14:val="tx1"/>
                  </w14:solidFill>
                </w14:textFill>
              </w:rPr>
              <w:t>）</w:t>
            </w:r>
            <w:r>
              <w:rPr>
                <w:rFonts w:hint="eastAsia" w:cs="Times New Roman"/>
                <w:color w:val="000000" w:themeColor="text1"/>
                <w:sz w:val="18"/>
                <w:szCs w:val="18"/>
                <w:lang w:val="en-US" w:eastAsia="zh-CN"/>
                <w14:textFill>
                  <w14:solidFill>
                    <w14:schemeClr w14:val="tx1"/>
                  </w14:solidFill>
                </w14:textFill>
              </w:rPr>
              <w:t>15.5</w:t>
            </w:r>
          </w:p>
        </w:tc>
        <w:tc>
          <w:tcPr>
            <w:tcW w:w="0" w:type="auto"/>
            <w:gridSpan w:val="3"/>
            <w:vAlign w:val="center"/>
          </w:tcPr>
          <w:p w14:paraId="78C209C7">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50</w:t>
            </w:r>
          </w:p>
        </w:tc>
        <w:tc>
          <w:tcPr>
            <w:tcW w:w="0" w:type="auto"/>
            <w:gridSpan w:val="3"/>
            <w:vAlign w:val="center"/>
          </w:tcPr>
          <w:p w14:paraId="27D105FE">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2</w:t>
            </w:r>
          </w:p>
        </w:tc>
        <w:tc>
          <w:tcPr>
            <w:tcW w:w="0" w:type="auto"/>
            <w:gridSpan w:val="5"/>
            <w:vAlign w:val="center"/>
          </w:tcPr>
          <w:p w14:paraId="06551946">
            <w:pPr>
              <w:adjustRightInd/>
              <w:spacing w:line="240" w:lineRule="auto"/>
              <w:ind w:firstLine="0" w:firstLineChars="0"/>
              <w:jc w:val="center"/>
              <w:rPr>
                <w:rFonts w:hint="eastAsia" w:eastAsia="宋体" w:cs="Times New Roman"/>
                <w:color w:val="000000" w:themeColor="text1"/>
                <w:sz w:val="18"/>
                <w:szCs w:val="18"/>
                <w:lang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2</w:t>
            </w:r>
          </w:p>
        </w:tc>
        <w:tc>
          <w:tcPr>
            <w:tcW w:w="0" w:type="auto"/>
            <w:vAlign w:val="center"/>
          </w:tcPr>
          <w:p w14:paraId="6E71C8CD">
            <w:pPr>
              <w:adjustRightInd/>
              <w:spacing w:line="240" w:lineRule="auto"/>
              <w:ind w:firstLine="0" w:firstLineChars="0"/>
              <w:jc w:val="center"/>
              <w:rPr>
                <w:rFonts w:hint="default"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100</w:t>
            </w:r>
          </w:p>
        </w:tc>
        <w:tc>
          <w:tcPr>
            <w:tcW w:w="0" w:type="auto"/>
            <w:vAlign w:val="center"/>
          </w:tcPr>
          <w:p w14:paraId="139B5FE0">
            <w:pPr>
              <w:adjustRightInd/>
              <w:spacing w:line="240" w:lineRule="auto"/>
              <w:ind w:firstLine="0" w:firstLineChars="0"/>
              <w:jc w:val="center"/>
              <w:rPr>
                <w:rFonts w:hint="default"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100</w:t>
            </w:r>
          </w:p>
        </w:tc>
      </w:tr>
      <w:tr w14:paraId="5974468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vMerge w:val="continue"/>
            <w:vAlign w:val="center"/>
          </w:tcPr>
          <w:p w14:paraId="757660B7">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Merge w:val="continue"/>
            <w:vAlign w:val="center"/>
          </w:tcPr>
          <w:p w14:paraId="3D6F8A52">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Align w:val="center"/>
          </w:tcPr>
          <w:p w14:paraId="410F31ED">
            <w:pPr>
              <w:adjustRightInd/>
              <w:spacing w:line="240" w:lineRule="auto"/>
              <w:ind w:firstLine="0" w:firstLineChars="0"/>
              <w:jc w:val="center"/>
              <w:rPr>
                <w:rFonts w:hint="eastAsia" w:cs="Times New Roman"/>
                <w:b/>
                <w:bCs/>
                <w:color w:val="000000" w:themeColor="text1"/>
                <w:sz w:val="18"/>
                <w:szCs w:val="18"/>
                <w14:textFill>
                  <w14:solidFill>
                    <w14:schemeClr w14:val="tx1"/>
                  </w14:solidFill>
                </w14:textFill>
              </w:rPr>
            </w:pPr>
            <w:r>
              <w:rPr>
                <w:rFonts w:hint="eastAsia" w:cs="Times New Roman"/>
                <w:b/>
                <w:bCs/>
                <w:color w:val="000000" w:themeColor="text1"/>
                <w:sz w:val="18"/>
                <w:szCs w:val="18"/>
                <w14:textFill>
                  <w14:solidFill>
                    <w14:schemeClr w14:val="tx1"/>
                  </w14:solidFill>
                </w14:textFill>
              </w:rPr>
              <w:t>名称</w:t>
            </w:r>
          </w:p>
        </w:tc>
        <w:tc>
          <w:tcPr>
            <w:tcW w:w="0" w:type="auto"/>
            <w:gridSpan w:val="3"/>
            <w:vAlign w:val="center"/>
          </w:tcPr>
          <w:p w14:paraId="7042A6A9">
            <w:pPr>
              <w:adjustRightInd/>
              <w:spacing w:line="240" w:lineRule="auto"/>
              <w:ind w:firstLine="0" w:firstLineChars="0"/>
              <w:jc w:val="center"/>
              <w:rPr>
                <w:rFonts w:hint="eastAsia" w:cs="Times New Roman"/>
                <w:b/>
                <w:bCs/>
                <w:color w:val="000000" w:themeColor="text1"/>
                <w:sz w:val="18"/>
                <w:szCs w:val="18"/>
                <w14:textFill>
                  <w14:solidFill>
                    <w14:schemeClr w14:val="tx1"/>
                  </w14:solidFill>
                </w14:textFill>
              </w:rPr>
            </w:pPr>
            <w:r>
              <w:rPr>
                <w:rFonts w:hint="eastAsia" w:cs="Times New Roman"/>
                <w:b/>
                <w:bCs/>
                <w:color w:val="000000" w:themeColor="text1"/>
                <w:sz w:val="18"/>
                <w:szCs w:val="18"/>
                <w14:textFill>
                  <w14:solidFill>
                    <w14:schemeClr w14:val="tx1"/>
                  </w14:solidFill>
                </w14:textFill>
              </w:rPr>
              <w:t>高氯酸钠</w:t>
            </w:r>
          </w:p>
        </w:tc>
        <w:tc>
          <w:tcPr>
            <w:tcW w:w="0" w:type="auto"/>
            <w:gridSpan w:val="3"/>
            <w:vAlign w:val="center"/>
          </w:tcPr>
          <w:p w14:paraId="3DB8A1F8">
            <w:pPr>
              <w:adjustRightInd/>
              <w:spacing w:line="240" w:lineRule="auto"/>
              <w:ind w:firstLine="0" w:firstLineChars="0"/>
              <w:jc w:val="center"/>
              <w:rPr>
                <w:rFonts w:hint="eastAsia" w:cs="Times New Roman"/>
                <w:b/>
                <w:bCs/>
                <w:color w:val="000000" w:themeColor="text1"/>
                <w:sz w:val="18"/>
                <w:szCs w:val="18"/>
                <w14:textFill>
                  <w14:solidFill>
                    <w14:schemeClr w14:val="tx1"/>
                  </w14:solidFill>
                </w14:textFill>
              </w:rPr>
            </w:pPr>
            <w:r>
              <w:rPr>
                <w:rFonts w:hint="eastAsia" w:cs="Times New Roman"/>
                <w:b/>
                <w:bCs/>
                <w:color w:val="000000" w:themeColor="text1"/>
                <w:sz w:val="18"/>
                <w:szCs w:val="18"/>
                <w14:textFill>
                  <w14:solidFill>
                    <w14:schemeClr w14:val="tx1"/>
                  </w14:solidFill>
                </w14:textFill>
              </w:rPr>
              <w:t>高氯酸钾</w:t>
            </w:r>
          </w:p>
        </w:tc>
        <w:tc>
          <w:tcPr>
            <w:tcW w:w="0" w:type="auto"/>
            <w:gridSpan w:val="3"/>
            <w:vAlign w:val="center"/>
          </w:tcPr>
          <w:p w14:paraId="0FA7A6C7">
            <w:pPr>
              <w:adjustRightInd/>
              <w:spacing w:line="240" w:lineRule="auto"/>
              <w:ind w:firstLine="0" w:firstLineChars="0"/>
              <w:jc w:val="center"/>
              <w:rPr>
                <w:rFonts w:hint="eastAsia" w:eastAsia="宋体" w:cs="Times New Roman"/>
                <w:b/>
                <w:bCs/>
                <w:color w:val="000000" w:themeColor="text1"/>
                <w:sz w:val="18"/>
                <w:szCs w:val="18"/>
                <w:lang w:val="en-US" w:eastAsia="zh-CN"/>
                <w14:textFill>
                  <w14:solidFill>
                    <w14:schemeClr w14:val="tx1"/>
                  </w14:solidFill>
                </w14:textFill>
              </w:rPr>
            </w:pPr>
            <w:r>
              <w:rPr>
                <w:rFonts w:hint="eastAsia" w:cs="Times New Roman"/>
                <w:b/>
                <w:bCs/>
                <w:color w:val="000000" w:themeColor="text1"/>
                <w:sz w:val="18"/>
                <w:szCs w:val="18"/>
                <w:lang w:val="en-US" w:eastAsia="zh-CN"/>
                <w14:textFill>
                  <w14:solidFill>
                    <w14:schemeClr w14:val="tx1"/>
                  </w14:solidFill>
                </w14:textFill>
              </w:rPr>
              <w:t>高氯酸锂</w:t>
            </w:r>
          </w:p>
        </w:tc>
        <w:tc>
          <w:tcPr>
            <w:tcW w:w="0" w:type="auto"/>
            <w:gridSpan w:val="5"/>
            <w:vAlign w:val="center"/>
          </w:tcPr>
          <w:p w14:paraId="0A591BB5">
            <w:pPr>
              <w:adjustRightInd/>
              <w:spacing w:line="240" w:lineRule="auto"/>
              <w:ind w:firstLine="0" w:firstLineChars="0"/>
              <w:jc w:val="center"/>
              <w:rPr>
                <w:rFonts w:hint="eastAsia" w:eastAsia="宋体" w:cs="Times New Roman"/>
                <w:b/>
                <w:bCs/>
                <w:color w:val="000000" w:themeColor="text1"/>
                <w:sz w:val="18"/>
                <w:szCs w:val="18"/>
                <w:lang w:val="en-US" w:eastAsia="zh-CN"/>
                <w14:textFill>
                  <w14:solidFill>
                    <w14:schemeClr w14:val="tx1"/>
                  </w14:solidFill>
                </w14:textFill>
              </w:rPr>
            </w:pPr>
            <w:r>
              <w:rPr>
                <w:rFonts w:hint="eastAsia" w:cs="Times New Roman"/>
                <w:b/>
                <w:bCs/>
                <w:color w:val="000000" w:themeColor="text1"/>
                <w:sz w:val="18"/>
                <w:szCs w:val="18"/>
                <w:lang w:val="en-US" w:eastAsia="zh-CN"/>
                <w14:textFill>
                  <w14:solidFill>
                    <w14:schemeClr w14:val="tx1"/>
                  </w14:solidFill>
                </w14:textFill>
              </w:rPr>
              <w:t>氢氧化锂</w:t>
            </w:r>
          </w:p>
        </w:tc>
        <w:tc>
          <w:tcPr>
            <w:tcW w:w="0" w:type="auto"/>
            <w:vAlign w:val="center"/>
          </w:tcPr>
          <w:p w14:paraId="26C04E4D">
            <w:pPr>
              <w:adjustRightInd/>
              <w:spacing w:line="240" w:lineRule="auto"/>
              <w:ind w:firstLine="0" w:firstLineChars="0"/>
              <w:jc w:val="center"/>
              <w:rPr>
                <w:rFonts w:hint="default" w:ascii="Times New Roman" w:hAnsi="Times New Roman" w:eastAsia="宋体" w:cs="Times New Roman"/>
                <w:b/>
                <w:bCs/>
                <w:color w:val="000000" w:themeColor="text1"/>
                <w:kern w:val="2"/>
                <w:sz w:val="18"/>
                <w:szCs w:val="18"/>
                <w:lang w:val="en-US" w:eastAsia="zh-CN" w:bidi="ar-SA"/>
                <w14:textFill>
                  <w14:solidFill>
                    <w14:schemeClr w14:val="tx1"/>
                  </w14:solidFill>
                </w14:textFill>
              </w:rPr>
            </w:pPr>
            <w:r>
              <w:rPr>
                <w:rFonts w:hint="eastAsia" w:cs="Times New Roman"/>
                <w:b/>
                <w:bCs/>
                <w:color w:val="000000" w:themeColor="text1"/>
                <w:kern w:val="2"/>
                <w:sz w:val="18"/>
                <w:szCs w:val="18"/>
                <w:lang w:val="en-US" w:eastAsia="zh-CN" w:bidi="ar-SA"/>
                <w14:textFill>
                  <w14:solidFill>
                    <w14:schemeClr w14:val="tx1"/>
                  </w14:solidFill>
                </w14:textFill>
              </w:rPr>
              <w:t>70%高氯酸</w:t>
            </w:r>
          </w:p>
        </w:tc>
        <w:tc>
          <w:tcPr>
            <w:tcW w:w="0" w:type="auto"/>
            <w:vAlign w:val="center"/>
          </w:tcPr>
          <w:p w14:paraId="25BFC837">
            <w:pPr>
              <w:adjustRightInd/>
              <w:spacing w:line="240" w:lineRule="auto"/>
              <w:ind w:firstLine="0" w:firstLineChars="0"/>
              <w:jc w:val="center"/>
              <w:rPr>
                <w:rFonts w:hint="eastAsia" w:cs="Times New Roman"/>
                <w:b/>
                <w:bCs/>
                <w:color w:val="000000" w:themeColor="text1"/>
                <w:sz w:val="18"/>
                <w:szCs w:val="18"/>
                <w:lang w:val="en-US" w:eastAsia="zh-CN"/>
                <w14:textFill>
                  <w14:solidFill>
                    <w14:schemeClr w14:val="tx1"/>
                  </w14:solidFill>
                </w14:textFill>
              </w:rPr>
            </w:pPr>
            <w:r>
              <w:rPr>
                <w:rFonts w:hint="eastAsia" w:cs="Times New Roman"/>
                <w:b/>
                <w:bCs/>
                <w:color w:val="000000" w:themeColor="text1"/>
                <w:sz w:val="18"/>
                <w:szCs w:val="18"/>
                <w:lang w:val="en-US" w:eastAsia="zh-CN"/>
                <w14:textFill>
                  <w14:solidFill>
                    <w14:schemeClr w14:val="tx1"/>
                  </w14:solidFill>
                </w14:textFill>
              </w:rPr>
              <w:t>铬及其化合物（以铬计）</w:t>
            </w:r>
          </w:p>
        </w:tc>
      </w:tr>
      <w:tr w14:paraId="41E1EEC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vMerge w:val="continue"/>
            <w:vAlign w:val="center"/>
          </w:tcPr>
          <w:p w14:paraId="1EFB9648">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Merge w:val="continue"/>
            <w:vAlign w:val="center"/>
          </w:tcPr>
          <w:p w14:paraId="08D3A68F">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Align w:val="center"/>
          </w:tcPr>
          <w:p w14:paraId="76608082">
            <w:pPr>
              <w:adjustRightInd/>
              <w:spacing w:line="240" w:lineRule="auto"/>
              <w:ind w:firstLine="0" w:firstLineChars="0"/>
              <w:jc w:val="center"/>
              <w:rPr>
                <w:rFonts w:hint="eastAsia"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存在总量</w:t>
            </w:r>
            <w:r>
              <w:rPr>
                <w:rFonts w:cs="Times New Roman"/>
                <w:color w:val="000000" w:themeColor="text1"/>
                <w:sz w:val="18"/>
                <w:szCs w:val="18"/>
                <w14:textFill>
                  <w14:solidFill>
                    <w14:schemeClr w14:val="tx1"/>
                  </w14:solidFill>
                </w14:textFill>
              </w:rPr>
              <w:t>/t</w:t>
            </w:r>
          </w:p>
        </w:tc>
        <w:tc>
          <w:tcPr>
            <w:tcW w:w="0" w:type="auto"/>
            <w:gridSpan w:val="3"/>
            <w:vAlign w:val="center"/>
          </w:tcPr>
          <w:p w14:paraId="4C2E3B09">
            <w:pPr>
              <w:adjustRightInd/>
              <w:spacing w:line="240" w:lineRule="auto"/>
              <w:ind w:firstLine="0" w:firstLineChars="0"/>
              <w:jc w:val="center"/>
              <w:rPr>
                <w:rFonts w:hint="default" w:cs="Times New Roman"/>
                <w:color w:val="000000" w:themeColor="text1"/>
                <w:sz w:val="18"/>
                <w:szCs w:val="18"/>
                <w:lang w:val="en-US"/>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200</w:t>
            </w:r>
          </w:p>
        </w:tc>
        <w:tc>
          <w:tcPr>
            <w:tcW w:w="0" w:type="auto"/>
            <w:gridSpan w:val="3"/>
            <w:vAlign w:val="center"/>
          </w:tcPr>
          <w:p w14:paraId="3ACB1AC2">
            <w:pPr>
              <w:adjustRightInd/>
              <w:spacing w:line="240" w:lineRule="auto"/>
              <w:ind w:firstLine="0" w:firstLineChars="0"/>
              <w:jc w:val="center"/>
              <w:rPr>
                <w:rFonts w:hint="default" w:cs="Times New Roman"/>
                <w:color w:val="000000" w:themeColor="text1"/>
                <w:sz w:val="18"/>
                <w:szCs w:val="18"/>
                <w:lang w:val="en-US"/>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200</w:t>
            </w:r>
          </w:p>
        </w:tc>
        <w:tc>
          <w:tcPr>
            <w:tcW w:w="0" w:type="auto"/>
            <w:gridSpan w:val="3"/>
            <w:vAlign w:val="center"/>
          </w:tcPr>
          <w:p w14:paraId="7F64A588">
            <w:pPr>
              <w:adjustRightInd/>
              <w:spacing w:line="240" w:lineRule="auto"/>
              <w:ind w:firstLine="0" w:firstLineChars="0"/>
              <w:jc w:val="center"/>
              <w:rPr>
                <w:rFonts w:hint="default"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20</w:t>
            </w:r>
          </w:p>
        </w:tc>
        <w:tc>
          <w:tcPr>
            <w:tcW w:w="0" w:type="auto"/>
            <w:gridSpan w:val="5"/>
            <w:vAlign w:val="center"/>
          </w:tcPr>
          <w:p w14:paraId="5472A1E2">
            <w:pPr>
              <w:adjustRightInd/>
              <w:spacing w:line="240" w:lineRule="auto"/>
              <w:ind w:firstLine="0" w:firstLineChars="0"/>
              <w:jc w:val="center"/>
              <w:rPr>
                <w:rFonts w:hint="eastAsia"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1</w:t>
            </w:r>
          </w:p>
        </w:tc>
        <w:tc>
          <w:tcPr>
            <w:tcW w:w="0" w:type="auto"/>
            <w:vAlign w:val="center"/>
          </w:tcPr>
          <w:p w14:paraId="10E78EAC">
            <w:pPr>
              <w:adjustRightInd/>
              <w:spacing w:line="240" w:lineRule="auto"/>
              <w:ind w:firstLine="0" w:firstLineChars="0"/>
              <w:jc w:val="center"/>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t>1.05（折纯）</w:t>
            </w:r>
          </w:p>
        </w:tc>
        <w:tc>
          <w:tcPr>
            <w:tcW w:w="0" w:type="auto"/>
            <w:vAlign w:val="center"/>
          </w:tcPr>
          <w:p w14:paraId="17211238">
            <w:pPr>
              <w:adjustRightInd/>
              <w:spacing w:line="240" w:lineRule="auto"/>
              <w:ind w:firstLine="0" w:firstLineChars="0"/>
              <w:jc w:val="center"/>
              <w:rPr>
                <w:rFonts w:hint="default"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0.794</w:t>
            </w:r>
          </w:p>
        </w:tc>
      </w:tr>
      <w:tr w14:paraId="57760DF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vMerge w:val="continue"/>
            <w:vAlign w:val="center"/>
          </w:tcPr>
          <w:p w14:paraId="5F7D6361">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Merge w:val="continue"/>
            <w:vAlign w:val="center"/>
          </w:tcPr>
          <w:p w14:paraId="58C25738">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Align w:val="center"/>
          </w:tcPr>
          <w:p w14:paraId="18819760">
            <w:pPr>
              <w:adjustRightInd/>
              <w:spacing w:line="240" w:lineRule="auto"/>
              <w:ind w:firstLine="0" w:firstLineChars="0"/>
              <w:jc w:val="center"/>
              <w:rPr>
                <w:rFonts w:cs="Times New Roman"/>
                <w:b/>
                <w:bCs/>
                <w:color w:val="000000" w:themeColor="text1"/>
                <w:sz w:val="18"/>
                <w:szCs w:val="18"/>
                <w14:textFill>
                  <w14:solidFill>
                    <w14:schemeClr w14:val="tx1"/>
                  </w14:solidFill>
                </w14:textFill>
              </w:rPr>
            </w:pPr>
            <w:r>
              <w:rPr>
                <w:rFonts w:hint="eastAsia" w:cs="Times New Roman"/>
                <w:b/>
                <w:bCs/>
                <w:color w:val="000000" w:themeColor="text1"/>
                <w:sz w:val="18"/>
                <w:szCs w:val="18"/>
                <w14:textFill>
                  <w14:solidFill>
                    <w14:schemeClr w14:val="tx1"/>
                  </w14:solidFill>
                </w14:textFill>
              </w:rPr>
              <w:t>名称</w:t>
            </w:r>
          </w:p>
        </w:tc>
        <w:tc>
          <w:tcPr>
            <w:tcW w:w="0" w:type="auto"/>
            <w:gridSpan w:val="3"/>
            <w:vAlign w:val="center"/>
          </w:tcPr>
          <w:p w14:paraId="5124EC67">
            <w:pPr>
              <w:adjustRightInd/>
              <w:spacing w:line="240" w:lineRule="auto"/>
              <w:ind w:firstLine="0" w:firstLineChars="0"/>
              <w:jc w:val="center"/>
              <w:rPr>
                <w:rFonts w:hint="default" w:eastAsia="宋体" w:cs="Times New Roman"/>
                <w:b/>
                <w:bCs/>
                <w:color w:val="000000" w:themeColor="text1"/>
                <w:sz w:val="18"/>
                <w:szCs w:val="18"/>
                <w:lang w:val="en-US" w:eastAsia="zh-CN"/>
                <w14:textFill>
                  <w14:solidFill>
                    <w14:schemeClr w14:val="tx1"/>
                  </w14:solidFill>
                </w14:textFill>
              </w:rPr>
            </w:pPr>
            <w:r>
              <w:rPr>
                <w:rFonts w:hint="eastAsia" w:cs="Times New Roman"/>
                <w:b/>
                <w:bCs/>
                <w:color w:val="000000" w:themeColor="text1"/>
                <w:sz w:val="18"/>
                <w:szCs w:val="18"/>
                <w:lang w:val="en-US" w:eastAsia="zh-CN"/>
                <w14:textFill>
                  <w14:solidFill>
                    <w14:schemeClr w14:val="tx1"/>
                  </w14:solidFill>
                </w14:textFill>
              </w:rPr>
              <w:t>固态危废</w:t>
            </w:r>
          </w:p>
        </w:tc>
        <w:tc>
          <w:tcPr>
            <w:tcW w:w="0" w:type="auto"/>
            <w:gridSpan w:val="3"/>
            <w:vAlign w:val="center"/>
          </w:tcPr>
          <w:p w14:paraId="5AF54467">
            <w:pPr>
              <w:adjustRightInd/>
              <w:spacing w:line="240" w:lineRule="auto"/>
              <w:ind w:firstLine="0" w:firstLineChars="0"/>
              <w:jc w:val="center"/>
              <w:rPr>
                <w:rFonts w:hint="eastAsia" w:eastAsia="宋体" w:cs="Times New Roman"/>
                <w:b/>
                <w:bCs/>
                <w:color w:val="000000" w:themeColor="text1"/>
                <w:sz w:val="18"/>
                <w:szCs w:val="18"/>
                <w:lang w:val="en-US" w:eastAsia="zh-CN"/>
                <w14:textFill>
                  <w14:solidFill>
                    <w14:schemeClr w14:val="tx1"/>
                  </w14:solidFill>
                </w14:textFill>
              </w:rPr>
            </w:pPr>
            <w:r>
              <w:rPr>
                <w:rFonts w:hint="eastAsia" w:cs="Times New Roman"/>
                <w:b/>
                <w:bCs/>
                <w:color w:val="000000" w:themeColor="text1"/>
                <w:sz w:val="18"/>
                <w:szCs w:val="18"/>
                <w:lang w:val="en-US" w:eastAsia="zh-CN"/>
                <w14:textFill>
                  <w14:solidFill>
                    <w14:schemeClr w14:val="tx1"/>
                  </w14:solidFill>
                </w14:textFill>
              </w:rPr>
              <w:t>废机油</w:t>
            </w:r>
          </w:p>
        </w:tc>
        <w:tc>
          <w:tcPr>
            <w:tcW w:w="0" w:type="auto"/>
            <w:gridSpan w:val="3"/>
            <w:vAlign w:val="center"/>
          </w:tcPr>
          <w:p w14:paraId="746ABCA0">
            <w:pPr>
              <w:adjustRightInd/>
              <w:spacing w:line="240" w:lineRule="auto"/>
              <w:ind w:firstLine="0" w:firstLineChars="0"/>
              <w:jc w:val="center"/>
              <w:rPr>
                <w:rFonts w:hint="default" w:eastAsia="宋体" w:cs="Times New Roman"/>
                <w:b/>
                <w:bCs/>
                <w:color w:val="000000" w:themeColor="text1"/>
                <w:sz w:val="18"/>
                <w:szCs w:val="18"/>
                <w:lang w:val="en-US" w:eastAsia="zh-CN"/>
                <w14:textFill>
                  <w14:solidFill>
                    <w14:schemeClr w14:val="tx1"/>
                  </w14:solidFill>
                </w14:textFill>
              </w:rPr>
            </w:pPr>
            <w:r>
              <w:rPr>
                <w:rFonts w:hint="eastAsia" w:cs="Times New Roman"/>
                <w:b/>
                <w:bCs/>
                <w:color w:val="000000" w:themeColor="text1"/>
                <w:sz w:val="18"/>
                <w:szCs w:val="18"/>
                <w:lang w:val="en-US" w:eastAsia="zh-CN"/>
                <w14:textFill>
                  <w14:solidFill>
                    <w14:schemeClr w14:val="tx1"/>
                  </w14:solidFill>
                </w14:textFill>
              </w:rPr>
              <w:t>氢气</w:t>
            </w:r>
          </w:p>
        </w:tc>
        <w:tc>
          <w:tcPr>
            <w:tcW w:w="0" w:type="auto"/>
            <w:gridSpan w:val="5"/>
            <w:vAlign w:val="center"/>
          </w:tcPr>
          <w:p w14:paraId="65C68C3F">
            <w:pPr>
              <w:adjustRightInd/>
              <w:spacing w:line="240" w:lineRule="auto"/>
              <w:ind w:firstLine="0" w:firstLineChars="0"/>
              <w:jc w:val="center"/>
              <w:rPr>
                <w:rFonts w:hint="default" w:eastAsia="宋体" w:cs="Times New Roman"/>
                <w:b/>
                <w:bCs/>
                <w:color w:val="000000" w:themeColor="text1"/>
                <w:sz w:val="18"/>
                <w:szCs w:val="18"/>
                <w:lang w:val="en-US" w:eastAsia="zh-CN"/>
                <w14:textFill>
                  <w14:solidFill>
                    <w14:schemeClr w14:val="tx1"/>
                  </w14:solidFill>
                </w14:textFill>
              </w:rPr>
            </w:pPr>
            <w:r>
              <w:rPr>
                <w:rFonts w:hint="eastAsia" w:cs="Times New Roman"/>
                <w:b/>
                <w:bCs/>
                <w:color w:val="000000" w:themeColor="text1"/>
                <w:sz w:val="18"/>
                <w:szCs w:val="18"/>
                <w:lang w:val="en-US" w:eastAsia="zh-CN"/>
                <w14:textFill>
                  <w14:solidFill>
                    <w14:schemeClr w14:val="tx1"/>
                  </w14:solidFill>
                </w14:textFill>
              </w:rPr>
              <w:t>氯气</w:t>
            </w:r>
          </w:p>
        </w:tc>
        <w:tc>
          <w:tcPr>
            <w:tcW w:w="0" w:type="auto"/>
            <w:vAlign w:val="center"/>
          </w:tcPr>
          <w:p w14:paraId="69D9C772">
            <w:pPr>
              <w:adjustRightInd/>
              <w:spacing w:line="240" w:lineRule="auto"/>
              <w:ind w:firstLine="0" w:firstLineChars="0"/>
              <w:jc w:val="center"/>
              <w:rPr>
                <w:rFonts w:hint="default" w:eastAsia="宋体" w:cs="Times New Roman"/>
                <w:b/>
                <w:bCs/>
                <w:color w:val="000000" w:themeColor="text1"/>
                <w:sz w:val="18"/>
                <w:szCs w:val="18"/>
                <w:lang w:val="en-US" w:eastAsia="zh-CN"/>
                <w14:textFill>
                  <w14:solidFill>
                    <w14:schemeClr w14:val="tx1"/>
                  </w14:solidFill>
                </w14:textFill>
              </w:rPr>
            </w:pPr>
            <w:r>
              <w:rPr>
                <w:rFonts w:hint="eastAsia" w:cs="Times New Roman"/>
                <w:b/>
                <w:bCs/>
                <w:color w:val="000000" w:themeColor="text1"/>
                <w:sz w:val="18"/>
                <w:szCs w:val="18"/>
                <w:lang w:val="en-US" w:eastAsia="zh-CN"/>
                <w14:textFill>
                  <w14:solidFill>
                    <w14:schemeClr w14:val="tx1"/>
                  </w14:solidFill>
                </w14:textFill>
              </w:rPr>
              <w:t>氯化氢废气</w:t>
            </w:r>
          </w:p>
        </w:tc>
        <w:tc>
          <w:tcPr>
            <w:tcW w:w="0" w:type="auto"/>
            <w:vAlign w:val="center"/>
          </w:tcPr>
          <w:p w14:paraId="120EF3B6">
            <w:pPr>
              <w:adjustRightInd/>
              <w:spacing w:line="240" w:lineRule="auto"/>
              <w:ind w:firstLine="0" w:firstLineChars="0"/>
              <w:jc w:val="center"/>
              <w:rPr>
                <w:rFonts w:hint="default" w:eastAsia="宋体" w:cs="Times New Roman"/>
                <w:b/>
                <w:bCs/>
                <w:color w:val="000000" w:themeColor="text1"/>
                <w:sz w:val="18"/>
                <w:szCs w:val="18"/>
                <w:lang w:val="en-US" w:eastAsia="zh-CN"/>
                <w14:textFill>
                  <w14:solidFill>
                    <w14:schemeClr w14:val="tx1"/>
                  </w14:solidFill>
                </w14:textFill>
              </w:rPr>
            </w:pPr>
          </w:p>
        </w:tc>
      </w:tr>
      <w:tr w14:paraId="3925519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vMerge w:val="continue"/>
            <w:vAlign w:val="center"/>
          </w:tcPr>
          <w:p w14:paraId="795ADA37">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Merge w:val="continue"/>
            <w:vAlign w:val="center"/>
          </w:tcPr>
          <w:p w14:paraId="1714E475">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Align w:val="center"/>
          </w:tcPr>
          <w:p w14:paraId="2C90B006">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存在总量</w:t>
            </w:r>
            <w:r>
              <w:rPr>
                <w:rFonts w:cs="Times New Roman"/>
                <w:color w:val="000000" w:themeColor="text1"/>
                <w:sz w:val="18"/>
                <w:szCs w:val="18"/>
                <w14:textFill>
                  <w14:solidFill>
                    <w14:schemeClr w14:val="tx1"/>
                  </w14:solidFill>
                </w14:textFill>
              </w:rPr>
              <w:t>/t</w:t>
            </w:r>
          </w:p>
        </w:tc>
        <w:tc>
          <w:tcPr>
            <w:tcW w:w="0" w:type="auto"/>
            <w:gridSpan w:val="3"/>
            <w:vAlign w:val="center"/>
          </w:tcPr>
          <w:p w14:paraId="169AB354">
            <w:pPr>
              <w:adjustRightInd/>
              <w:spacing w:line="240" w:lineRule="auto"/>
              <w:ind w:firstLine="0" w:firstLineChars="0"/>
              <w:jc w:val="center"/>
              <w:rPr>
                <w:rFonts w:hint="default"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67.38</w:t>
            </w:r>
          </w:p>
        </w:tc>
        <w:tc>
          <w:tcPr>
            <w:tcW w:w="0" w:type="auto"/>
            <w:gridSpan w:val="3"/>
            <w:vAlign w:val="center"/>
          </w:tcPr>
          <w:p w14:paraId="457B7E30">
            <w:pPr>
              <w:adjustRightInd/>
              <w:spacing w:line="240" w:lineRule="auto"/>
              <w:ind w:firstLine="0" w:firstLineChars="0"/>
              <w:jc w:val="center"/>
              <w:rPr>
                <w:rFonts w:hint="default"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0.2</w:t>
            </w:r>
          </w:p>
        </w:tc>
        <w:tc>
          <w:tcPr>
            <w:tcW w:w="0" w:type="auto"/>
            <w:gridSpan w:val="3"/>
            <w:vAlign w:val="center"/>
          </w:tcPr>
          <w:p w14:paraId="5F745E8F">
            <w:pPr>
              <w:adjustRightInd/>
              <w:spacing w:line="240" w:lineRule="auto"/>
              <w:ind w:firstLine="0" w:firstLineChars="0"/>
              <w:jc w:val="center"/>
              <w:rPr>
                <w:rFonts w:hint="default"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0.178</w:t>
            </w:r>
          </w:p>
        </w:tc>
        <w:tc>
          <w:tcPr>
            <w:tcW w:w="0" w:type="auto"/>
            <w:gridSpan w:val="5"/>
            <w:vAlign w:val="center"/>
          </w:tcPr>
          <w:p w14:paraId="51ADBAA9">
            <w:pPr>
              <w:adjustRightInd/>
              <w:spacing w:line="240" w:lineRule="auto"/>
              <w:ind w:firstLine="0" w:firstLineChars="0"/>
              <w:jc w:val="center"/>
              <w:rPr>
                <w:rFonts w:hint="default" w:eastAsia="宋体" w:cs="Times New Roman"/>
                <w:color w:val="000000" w:themeColor="text1"/>
                <w:sz w:val="18"/>
                <w:szCs w:val="18"/>
                <w:lang w:val="en-US" w:eastAsia="zh-CN"/>
                <w14:textFill>
                  <w14:solidFill>
                    <w14:schemeClr w14:val="tx1"/>
                  </w14:solidFill>
                </w14:textFill>
              </w:rPr>
            </w:pPr>
            <w:r>
              <w:rPr>
                <w:rFonts w:hint="default" w:eastAsia="宋体" w:cs="Times New Roman"/>
                <w:color w:val="000000" w:themeColor="text1"/>
                <w:sz w:val="18"/>
                <w:szCs w:val="18"/>
                <w:lang w:val="en-US" w:eastAsia="zh-CN"/>
                <w14:textFill>
                  <w14:solidFill>
                    <w14:schemeClr w14:val="tx1"/>
                  </w14:solidFill>
                </w14:textFill>
              </w:rPr>
              <w:t>0.0017</w:t>
            </w:r>
          </w:p>
          <w:p w14:paraId="1E13458B">
            <w:pPr>
              <w:adjustRightInd/>
              <w:spacing w:line="240" w:lineRule="auto"/>
              <w:ind w:firstLine="0" w:firstLineChars="0"/>
              <w:jc w:val="center"/>
              <w:rPr>
                <w:rFonts w:hint="default" w:eastAsia="宋体" w:cs="Times New Roman"/>
                <w:color w:val="000000" w:themeColor="text1"/>
                <w:sz w:val="18"/>
                <w:szCs w:val="18"/>
                <w:lang w:val="en-US" w:eastAsia="zh-CN"/>
                <w14:textFill>
                  <w14:solidFill>
                    <w14:schemeClr w14:val="tx1"/>
                  </w14:solidFill>
                </w14:textFill>
              </w:rPr>
            </w:pPr>
            <w:r>
              <w:rPr>
                <w:rFonts w:hint="default" w:eastAsia="宋体" w:cs="Times New Roman"/>
                <w:color w:val="000000" w:themeColor="text1"/>
                <w:sz w:val="18"/>
                <w:szCs w:val="18"/>
                <w:lang w:val="en-US" w:eastAsia="zh-CN"/>
                <w14:textFill>
                  <w14:solidFill>
                    <w14:schemeClr w14:val="tx1"/>
                  </w14:solidFill>
                </w14:textFill>
              </w:rPr>
              <w:t>（小时量）</w:t>
            </w:r>
          </w:p>
        </w:tc>
        <w:tc>
          <w:tcPr>
            <w:tcW w:w="0" w:type="auto"/>
            <w:vAlign w:val="center"/>
          </w:tcPr>
          <w:p w14:paraId="2BB1A869">
            <w:pPr>
              <w:adjustRightInd/>
              <w:spacing w:line="240" w:lineRule="auto"/>
              <w:ind w:firstLine="0" w:firstLineChars="0"/>
              <w:jc w:val="center"/>
              <w:rPr>
                <w:rFonts w:hint="default" w:eastAsia="宋体" w:cs="Times New Roman"/>
                <w:color w:val="000000" w:themeColor="text1"/>
                <w:sz w:val="18"/>
                <w:szCs w:val="18"/>
                <w:lang w:val="en-US" w:eastAsia="zh-CN"/>
                <w14:textFill>
                  <w14:solidFill>
                    <w14:schemeClr w14:val="tx1"/>
                  </w14:solidFill>
                </w14:textFill>
              </w:rPr>
            </w:pPr>
            <w:r>
              <w:rPr>
                <w:rFonts w:hint="default" w:eastAsia="宋体" w:cs="Times New Roman"/>
                <w:color w:val="000000" w:themeColor="text1"/>
                <w:sz w:val="18"/>
                <w:szCs w:val="18"/>
                <w:lang w:val="en-US" w:eastAsia="zh-CN"/>
                <w14:textFill>
                  <w14:solidFill>
                    <w14:schemeClr w14:val="tx1"/>
                  </w14:solidFill>
                </w14:textFill>
              </w:rPr>
              <w:t>0.0018（小时量）</w:t>
            </w:r>
          </w:p>
        </w:tc>
        <w:tc>
          <w:tcPr>
            <w:tcW w:w="0" w:type="auto"/>
            <w:vAlign w:val="center"/>
          </w:tcPr>
          <w:p w14:paraId="44B7828F">
            <w:pPr>
              <w:adjustRightInd/>
              <w:spacing w:line="240" w:lineRule="auto"/>
              <w:ind w:firstLine="0" w:firstLineChars="0"/>
              <w:jc w:val="center"/>
              <w:rPr>
                <w:rFonts w:hint="default" w:eastAsia="宋体" w:cs="Times New Roman"/>
                <w:color w:val="000000" w:themeColor="text1"/>
                <w:sz w:val="18"/>
                <w:szCs w:val="18"/>
                <w:lang w:val="en-US" w:eastAsia="zh-CN"/>
                <w14:textFill>
                  <w14:solidFill>
                    <w14:schemeClr w14:val="tx1"/>
                  </w14:solidFill>
                </w14:textFill>
              </w:rPr>
            </w:pPr>
          </w:p>
        </w:tc>
      </w:tr>
      <w:tr w14:paraId="488674C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vMerge w:val="continue"/>
            <w:vAlign w:val="center"/>
          </w:tcPr>
          <w:p w14:paraId="561063BF">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Merge w:val="restart"/>
            <w:vAlign w:val="center"/>
          </w:tcPr>
          <w:p w14:paraId="5A9B1E2B">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环境敏感性</w:t>
            </w:r>
          </w:p>
        </w:tc>
        <w:tc>
          <w:tcPr>
            <w:tcW w:w="0" w:type="auto"/>
            <w:vMerge w:val="restart"/>
            <w:vAlign w:val="center"/>
          </w:tcPr>
          <w:p w14:paraId="4305AD5F">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大气</w:t>
            </w:r>
          </w:p>
        </w:tc>
        <w:tc>
          <w:tcPr>
            <w:tcW w:w="0" w:type="auto"/>
            <w:gridSpan w:val="8"/>
            <w:vAlign w:val="center"/>
          </w:tcPr>
          <w:p w14:paraId="128541CE">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500m</w:t>
            </w:r>
            <w:r>
              <w:rPr>
                <w:rFonts w:hint="eastAsia" w:cs="Times New Roman"/>
                <w:color w:val="000000" w:themeColor="text1"/>
                <w:sz w:val="18"/>
                <w:szCs w:val="18"/>
                <w14:textFill>
                  <w14:solidFill>
                    <w14:schemeClr w14:val="tx1"/>
                  </w14:solidFill>
                </w14:textFill>
              </w:rPr>
              <w:t>范围内人口数</w:t>
            </w:r>
            <w:r>
              <w:rPr>
                <w:rFonts w:hint="eastAsia" w:cs="Times New Roman"/>
                <w:color w:val="000000" w:themeColor="text1"/>
                <w:sz w:val="18"/>
                <w:szCs w:val="18"/>
                <w:u w:val="single"/>
                <w14:textFill>
                  <w14:solidFill>
                    <w14:schemeClr w14:val="tx1"/>
                  </w14:solidFill>
                </w14:textFill>
              </w:rPr>
              <w:t xml:space="preserve">约   </w:t>
            </w:r>
            <w:r>
              <w:rPr>
                <w:rFonts w:hint="eastAsia" w:cs="Times New Roman"/>
                <w:color w:val="000000" w:themeColor="text1"/>
                <w:sz w:val="18"/>
                <w:szCs w:val="18"/>
                <w14:textFill>
                  <w14:solidFill>
                    <w14:schemeClr w14:val="tx1"/>
                  </w14:solidFill>
                </w14:textFill>
              </w:rPr>
              <w:t>人</w:t>
            </w:r>
          </w:p>
        </w:tc>
        <w:tc>
          <w:tcPr>
            <w:tcW w:w="0" w:type="auto"/>
            <w:gridSpan w:val="8"/>
            <w:vAlign w:val="center"/>
          </w:tcPr>
          <w:p w14:paraId="2BCF202A">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5km</w:t>
            </w:r>
            <w:r>
              <w:rPr>
                <w:rFonts w:hint="eastAsia" w:cs="Times New Roman"/>
                <w:color w:val="000000" w:themeColor="text1"/>
                <w:sz w:val="18"/>
                <w:szCs w:val="18"/>
                <w14:textFill>
                  <w14:solidFill>
                    <w14:schemeClr w14:val="tx1"/>
                  </w14:solidFill>
                </w14:textFill>
              </w:rPr>
              <w:t>范围内人口数</w:t>
            </w:r>
            <w:r>
              <w:rPr>
                <w:rFonts w:hint="eastAsia" w:cs="Times New Roman"/>
                <w:color w:val="000000" w:themeColor="text1"/>
                <w:sz w:val="18"/>
                <w:szCs w:val="18"/>
                <w:u w:val="single"/>
                <w14:textFill>
                  <w14:solidFill>
                    <w14:schemeClr w14:val="tx1"/>
                  </w14:solidFill>
                </w14:textFill>
              </w:rPr>
              <w:t xml:space="preserve">约50000   </w:t>
            </w:r>
            <w:r>
              <w:rPr>
                <w:rFonts w:hint="eastAsia" w:cs="Times New Roman"/>
                <w:color w:val="000000" w:themeColor="text1"/>
                <w:sz w:val="18"/>
                <w:szCs w:val="18"/>
                <w14:textFill>
                  <w14:solidFill>
                    <w14:schemeClr w14:val="tx1"/>
                  </w14:solidFill>
                </w14:textFill>
              </w:rPr>
              <w:t>人</w:t>
            </w:r>
          </w:p>
        </w:tc>
      </w:tr>
      <w:tr w14:paraId="49598AF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vMerge w:val="continue"/>
            <w:vAlign w:val="center"/>
          </w:tcPr>
          <w:p w14:paraId="77C0AFC1">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Merge w:val="continue"/>
            <w:vAlign w:val="center"/>
          </w:tcPr>
          <w:p w14:paraId="0898C9DD">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Merge w:val="continue"/>
            <w:vAlign w:val="center"/>
          </w:tcPr>
          <w:p w14:paraId="7DE45C26">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gridSpan w:val="12"/>
            <w:vAlign w:val="center"/>
          </w:tcPr>
          <w:p w14:paraId="40D03A61">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每公里管段周边</w:t>
            </w:r>
            <w:r>
              <w:rPr>
                <w:rFonts w:cs="Times New Roman"/>
                <w:color w:val="000000" w:themeColor="text1"/>
                <w:sz w:val="18"/>
                <w:szCs w:val="18"/>
                <w14:textFill>
                  <w14:solidFill>
                    <w14:schemeClr w14:val="tx1"/>
                  </w14:solidFill>
                </w14:textFill>
              </w:rPr>
              <w:t>200m</w:t>
            </w:r>
            <w:r>
              <w:rPr>
                <w:rFonts w:hint="eastAsia" w:cs="Times New Roman"/>
                <w:color w:val="000000" w:themeColor="text1"/>
                <w:sz w:val="18"/>
                <w:szCs w:val="18"/>
                <w14:textFill>
                  <w14:solidFill>
                    <w14:schemeClr w14:val="tx1"/>
                  </w14:solidFill>
                </w14:textFill>
              </w:rPr>
              <w:t>范围内人口数（最大）</w:t>
            </w:r>
          </w:p>
        </w:tc>
        <w:tc>
          <w:tcPr>
            <w:tcW w:w="0" w:type="auto"/>
            <w:gridSpan w:val="4"/>
            <w:vAlign w:val="center"/>
          </w:tcPr>
          <w:p w14:paraId="4BD8633E">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人</w:t>
            </w:r>
          </w:p>
        </w:tc>
      </w:tr>
      <w:tr w14:paraId="6568D60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vMerge w:val="continue"/>
            <w:vAlign w:val="center"/>
          </w:tcPr>
          <w:p w14:paraId="0082D63A">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Merge w:val="continue"/>
            <w:vAlign w:val="center"/>
          </w:tcPr>
          <w:p w14:paraId="291A7343">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Merge w:val="restart"/>
            <w:vAlign w:val="center"/>
          </w:tcPr>
          <w:p w14:paraId="7EAFE84C">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地表水</w:t>
            </w:r>
          </w:p>
        </w:tc>
        <w:tc>
          <w:tcPr>
            <w:tcW w:w="0" w:type="auto"/>
            <w:gridSpan w:val="3"/>
            <w:vAlign w:val="center"/>
          </w:tcPr>
          <w:p w14:paraId="6845E9E8">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地表水功能敏感性</w:t>
            </w:r>
          </w:p>
        </w:tc>
        <w:tc>
          <w:tcPr>
            <w:tcW w:w="0" w:type="auto"/>
            <w:gridSpan w:val="5"/>
            <w:vAlign w:val="center"/>
          </w:tcPr>
          <w:p w14:paraId="12F4334E">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F1 </w:t>
            </w:r>
            <w:r>
              <w:rPr>
                <w:rFonts w:hint="eastAsia" w:cs="Times New Roman"/>
                <w:color w:val="000000" w:themeColor="text1"/>
                <w:sz w:val="18"/>
                <w:szCs w:val="18"/>
                <w14:textFill>
                  <w14:solidFill>
                    <w14:schemeClr w14:val="tx1"/>
                  </w14:solidFill>
                </w14:textFill>
              </w:rPr>
              <w:t>□</w:t>
            </w:r>
          </w:p>
        </w:tc>
        <w:tc>
          <w:tcPr>
            <w:tcW w:w="0" w:type="auto"/>
            <w:gridSpan w:val="4"/>
            <w:vAlign w:val="center"/>
          </w:tcPr>
          <w:p w14:paraId="0101AD7C">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F2 </w:t>
            </w:r>
            <w:r>
              <w:rPr>
                <w:rFonts w:hint="eastAsia" w:cs="Times New Roman"/>
                <w:color w:val="000000" w:themeColor="text1"/>
                <w:sz w:val="18"/>
                <w:szCs w:val="18"/>
                <w14:textFill>
                  <w14:solidFill>
                    <w14:schemeClr w14:val="tx1"/>
                  </w14:solidFill>
                </w14:textFill>
              </w:rPr>
              <w:t>☑</w:t>
            </w:r>
          </w:p>
        </w:tc>
        <w:tc>
          <w:tcPr>
            <w:tcW w:w="0" w:type="auto"/>
            <w:gridSpan w:val="4"/>
            <w:vAlign w:val="center"/>
          </w:tcPr>
          <w:p w14:paraId="4810D7BA">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F3 </w:t>
            </w:r>
            <w:r>
              <w:rPr>
                <w:rFonts w:hint="eastAsia" w:cs="Times New Roman"/>
                <w:color w:val="000000" w:themeColor="text1"/>
                <w:sz w:val="18"/>
                <w:szCs w:val="18"/>
                <w14:textFill>
                  <w14:solidFill>
                    <w14:schemeClr w14:val="tx1"/>
                  </w14:solidFill>
                </w14:textFill>
              </w:rPr>
              <w:t>□</w:t>
            </w:r>
          </w:p>
        </w:tc>
      </w:tr>
      <w:tr w14:paraId="492F192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vMerge w:val="continue"/>
            <w:vAlign w:val="center"/>
          </w:tcPr>
          <w:p w14:paraId="52D92F3C">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Merge w:val="continue"/>
            <w:vAlign w:val="center"/>
          </w:tcPr>
          <w:p w14:paraId="75966473">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Merge w:val="continue"/>
            <w:vAlign w:val="center"/>
          </w:tcPr>
          <w:p w14:paraId="4819D4A8">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gridSpan w:val="3"/>
            <w:vAlign w:val="center"/>
          </w:tcPr>
          <w:p w14:paraId="38B45C42">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环境敏感目标分级</w:t>
            </w:r>
          </w:p>
        </w:tc>
        <w:tc>
          <w:tcPr>
            <w:tcW w:w="0" w:type="auto"/>
            <w:gridSpan w:val="5"/>
            <w:vAlign w:val="center"/>
          </w:tcPr>
          <w:p w14:paraId="17C0C67C">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S1 </w:t>
            </w:r>
            <w:r>
              <w:rPr>
                <w:rFonts w:hint="eastAsia" w:cs="Times New Roman"/>
                <w:color w:val="000000" w:themeColor="text1"/>
                <w:sz w:val="18"/>
                <w:szCs w:val="18"/>
                <w14:textFill>
                  <w14:solidFill>
                    <w14:schemeClr w14:val="tx1"/>
                  </w14:solidFill>
                </w14:textFill>
              </w:rPr>
              <w:t>☑</w:t>
            </w:r>
          </w:p>
        </w:tc>
        <w:tc>
          <w:tcPr>
            <w:tcW w:w="0" w:type="auto"/>
            <w:gridSpan w:val="4"/>
            <w:vAlign w:val="center"/>
          </w:tcPr>
          <w:p w14:paraId="18497434">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S2 </w:t>
            </w:r>
            <w:r>
              <w:rPr>
                <w:rFonts w:hint="eastAsia" w:cs="Times New Roman"/>
                <w:color w:val="000000" w:themeColor="text1"/>
                <w:sz w:val="18"/>
                <w:szCs w:val="18"/>
                <w14:textFill>
                  <w14:solidFill>
                    <w14:schemeClr w14:val="tx1"/>
                  </w14:solidFill>
                </w14:textFill>
              </w:rPr>
              <w:t>□</w:t>
            </w:r>
          </w:p>
        </w:tc>
        <w:tc>
          <w:tcPr>
            <w:tcW w:w="0" w:type="auto"/>
            <w:gridSpan w:val="4"/>
            <w:vAlign w:val="center"/>
          </w:tcPr>
          <w:p w14:paraId="4BBEFD44">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S3 </w:t>
            </w:r>
            <w:r>
              <w:rPr>
                <w:rFonts w:hint="eastAsia" w:cs="Times New Roman"/>
                <w:color w:val="000000" w:themeColor="text1"/>
                <w:sz w:val="18"/>
                <w:szCs w:val="18"/>
                <w14:textFill>
                  <w14:solidFill>
                    <w14:schemeClr w14:val="tx1"/>
                  </w14:solidFill>
                </w14:textFill>
              </w:rPr>
              <w:t>□</w:t>
            </w:r>
          </w:p>
        </w:tc>
      </w:tr>
      <w:tr w14:paraId="18490C8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vMerge w:val="continue"/>
            <w:vAlign w:val="center"/>
          </w:tcPr>
          <w:p w14:paraId="17C94D2D">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Merge w:val="continue"/>
            <w:vAlign w:val="center"/>
          </w:tcPr>
          <w:p w14:paraId="2AA672FC">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Merge w:val="restart"/>
            <w:vAlign w:val="center"/>
          </w:tcPr>
          <w:p w14:paraId="34EDEBA7">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地下水</w:t>
            </w:r>
          </w:p>
        </w:tc>
        <w:tc>
          <w:tcPr>
            <w:tcW w:w="0" w:type="auto"/>
            <w:gridSpan w:val="3"/>
            <w:vAlign w:val="center"/>
          </w:tcPr>
          <w:p w14:paraId="0CE35942">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地下水功能敏感性</w:t>
            </w:r>
          </w:p>
        </w:tc>
        <w:tc>
          <w:tcPr>
            <w:tcW w:w="0" w:type="auto"/>
            <w:gridSpan w:val="5"/>
            <w:vAlign w:val="center"/>
          </w:tcPr>
          <w:p w14:paraId="61C04798">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G1 </w:t>
            </w:r>
            <w:r>
              <w:rPr>
                <w:rFonts w:hint="eastAsia" w:cs="Times New Roman"/>
                <w:color w:val="000000" w:themeColor="text1"/>
                <w:sz w:val="18"/>
                <w:szCs w:val="18"/>
                <w14:textFill>
                  <w14:solidFill>
                    <w14:schemeClr w14:val="tx1"/>
                  </w14:solidFill>
                </w14:textFill>
              </w:rPr>
              <w:t>□</w:t>
            </w:r>
          </w:p>
        </w:tc>
        <w:tc>
          <w:tcPr>
            <w:tcW w:w="0" w:type="auto"/>
            <w:gridSpan w:val="4"/>
            <w:vAlign w:val="center"/>
          </w:tcPr>
          <w:p w14:paraId="5C8A99A7">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G2 </w:t>
            </w:r>
            <w:r>
              <w:rPr>
                <w:rFonts w:hint="eastAsia" w:cs="Times New Roman"/>
                <w:color w:val="000000" w:themeColor="text1"/>
                <w:sz w:val="18"/>
                <w:szCs w:val="18"/>
                <w14:textFill>
                  <w14:solidFill>
                    <w14:schemeClr w14:val="tx1"/>
                  </w14:solidFill>
                </w14:textFill>
              </w:rPr>
              <w:t>□</w:t>
            </w:r>
          </w:p>
        </w:tc>
        <w:tc>
          <w:tcPr>
            <w:tcW w:w="0" w:type="auto"/>
            <w:gridSpan w:val="4"/>
            <w:vAlign w:val="center"/>
          </w:tcPr>
          <w:p w14:paraId="0A7B81B3">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G3 </w:t>
            </w:r>
            <w:r>
              <w:rPr>
                <w:rFonts w:hint="eastAsia" w:cs="Times New Roman"/>
                <w:color w:val="000000" w:themeColor="text1"/>
                <w:sz w:val="18"/>
                <w:szCs w:val="18"/>
                <w14:textFill>
                  <w14:solidFill>
                    <w14:schemeClr w14:val="tx1"/>
                  </w14:solidFill>
                </w14:textFill>
              </w:rPr>
              <w:t>☑</w:t>
            </w:r>
          </w:p>
        </w:tc>
      </w:tr>
      <w:tr w14:paraId="668CB82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vMerge w:val="continue"/>
            <w:vAlign w:val="center"/>
          </w:tcPr>
          <w:p w14:paraId="5E9F0CB7">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Merge w:val="continue"/>
            <w:vAlign w:val="center"/>
          </w:tcPr>
          <w:p w14:paraId="23B02D60">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Merge w:val="continue"/>
            <w:vAlign w:val="center"/>
          </w:tcPr>
          <w:p w14:paraId="77D70471">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gridSpan w:val="3"/>
            <w:vAlign w:val="center"/>
          </w:tcPr>
          <w:p w14:paraId="4265A9AB">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包气带防污性能</w:t>
            </w:r>
          </w:p>
        </w:tc>
        <w:tc>
          <w:tcPr>
            <w:tcW w:w="0" w:type="auto"/>
            <w:gridSpan w:val="5"/>
            <w:vAlign w:val="center"/>
          </w:tcPr>
          <w:p w14:paraId="4FB18534">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D1 </w:t>
            </w:r>
            <w:r>
              <w:rPr>
                <w:rFonts w:hint="eastAsia" w:cs="Times New Roman"/>
                <w:color w:val="000000" w:themeColor="text1"/>
                <w:sz w:val="18"/>
                <w:szCs w:val="18"/>
                <w14:textFill>
                  <w14:solidFill>
                    <w14:schemeClr w14:val="tx1"/>
                  </w14:solidFill>
                </w14:textFill>
              </w:rPr>
              <w:t>□</w:t>
            </w:r>
          </w:p>
        </w:tc>
        <w:tc>
          <w:tcPr>
            <w:tcW w:w="0" w:type="auto"/>
            <w:gridSpan w:val="4"/>
            <w:vAlign w:val="center"/>
          </w:tcPr>
          <w:p w14:paraId="36CFBE19">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D2 </w:t>
            </w:r>
            <w:r>
              <w:rPr>
                <w:rFonts w:hint="eastAsia" w:cs="Times New Roman"/>
                <w:color w:val="000000" w:themeColor="text1"/>
                <w:sz w:val="18"/>
                <w:szCs w:val="18"/>
                <w14:textFill>
                  <w14:solidFill>
                    <w14:schemeClr w14:val="tx1"/>
                  </w14:solidFill>
                </w14:textFill>
              </w:rPr>
              <w:t>☑</w:t>
            </w:r>
          </w:p>
        </w:tc>
        <w:tc>
          <w:tcPr>
            <w:tcW w:w="0" w:type="auto"/>
            <w:gridSpan w:val="4"/>
            <w:vAlign w:val="center"/>
          </w:tcPr>
          <w:p w14:paraId="1FC4C2DD">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D3</w:t>
            </w:r>
            <w:r>
              <w:rPr>
                <w:rFonts w:hint="eastAsia" w:cs="Times New Roman"/>
                <w:color w:val="000000" w:themeColor="text1"/>
                <w:sz w:val="18"/>
                <w:szCs w:val="18"/>
                <w14:textFill>
                  <w14:solidFill>
                    <w14:schemeClr w14:val="tx1"/>
                  </w14:solidFill>
                </w14:textFill>
              </w:rPr>
              <w:t>□</w:t>
            </w:r>
          </w:p>
        </w:tc>
      </w:tr>
      <w:tr w14:paraId="75DB24A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gridSpan w:val="2"/>
            <w:vMerge w:val="restart"/>
            <w:vAlign w:val="center"/>
          </w:tcPr>
          <w:p w14:paraId="669CDA5E">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物质及工艺系统</w:t>
            </w:r>
          </w:p>
          <w:p w14:paraId="0ABEBECC">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危险性</w:t>
            </w:r>
          </w:p>
        </w:tc>
        <w:tc>
          <w:tcPr>
            <w:tcW w:w="0" w:type="auto"/>
            <w:vAlign w:val="center"/>
          </w:tcPr>
          <w:p w14:paraId="6149D78C">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Q</w:t>
            </w:r>
            <w:r>
              <w:rPr>
                <w:rFonts w:hint="eastAsia" w:cs="Times New Roman"/>
                <w:color w:val="000000" w:themeColor="text1"/>
                <w:sz w:val="18"/>
                <w:szCs w:val="18"/>
                <w14:textFill>
                  <w14:solidFill>
                    <w14:schemeClr w14:val="tx1"/>
                  </w14:solidFill>
                </w14:textFill>
              </w:rPr>
              <w:t>值</w:t>
            </w:r>
          </w:p>
        </w:tc>
        <w:tc>
          <w:tcPr>
            <w:tcW w:w="0" w:type="auto"/>
            <w:gridSpan w:val="3"/>
            <w:vAlign w:val="center"/>
          </w:tcPr>
          <w:p w14:paraId="57E255D4">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Q</w:t>
            </w:r>
            <w:r>
              <w:rPr>
                <w:rFonts w:hint="eastAsia" w:cs="Times New Roman"/>
                <w:color w:val="000000" w:themeColor="text1"/>
                <w:sz w:val="18"/>
                <w:szCs w:val="18"/>
                <w14:textFill>
                  <w14:solidFill>
                    <w14:schemeClr w14:val="tx1"/>
                  </w14:solidFill>
                </w14:textFill>
              </w:rPr>
              <w:t>＜</w:t>
            </w:r>
            <w:r>
              <w:rPr>
                <w:rFonts w:cs="Times New Roman"/>
                <w:color w:val="000000" w:themeColor="text1"/>
                <w:sz w:val="18"/>
                <w:szCs w:val="18"/>
                <w14:textFill>
                  <w14:solidFill>
                    <w14:schemeClr w14:val="tx1"/>
                  </w14:solidFill>
                </w14:textFill>
              </w:rPr>
              <w:t xml:space="preserve">1 </w:t>
            </w:r>
            <w:r>
              <w:rPr>
                <w:rFonts w:hint="eastAsia" w:cs="Times New Roman"/>
                <w:color w:val="000000" w:themeColor="text1"/>
                <w:sz w:val="18"/>
                <w:szCs w:val="18"/>
                <w14:textFill>
                  <w14:solidFill>
                    <w14:schemeClr w14:val="tx1"/>
                  </w14:solidFill>
                </w14:textFill>
              </w:rPr>
              <w:t>□</w:t>
            </w:r>
          </w:p>
        </w:tc>
        <w:tc>
          <w:tcPr>
            <w:tcW w:w="0" w:type="auto"/>
            <w:gridSpan w:val="5"/>
            <w:vAlign w:val="center"/>
          </w:tcPr>
          <w:p w14:paraId="3C3C2539">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r>
              <w:rPr>
                <w:rFonts w:hint="eastAsia" w:cs="Times New Roman"/>
                <w:color w:val="000000" w:themeColor="text1"/>
                <w:sz w:val="18"/>
                <w:szCs w:val="18"/>
                <w14:textFill>
                  <w14:solidFill>
                    <w14:schemeClr w14:val="tx1"/>
                  </w14:solidFill>
                </w14:textFill>
              </w:rPr>
              <w:t>≤</w:t>
            </w:r>
            <w:r>
              <w:rPr>
                <w:rFonts w:cs="Times New Roman"/>
                <w:color w:val="000000" w:themeColor="text1"/>
                <w:sz w:val="18"/>
                <w:szCs w:val="18"/>
                <w14:textFill>
                  <w14:solidFill>
                    <w14:schemeClr w14:val="tx1"/>
                  </w14:solidFill>
                </w14:textFill>
              </w:rPr>
              <w:t>Q</w:t>
            </w:r>
            <w:r>
              <w:rPr>
                <w:rFonts w:hint="eastAsia" w:cs="Times New Roman"/>
                <w:color w:val="000000" w:themeColor="text1"/>
                <w:sz w:val="18"/>
                <w:szCs w:val="18"/>
                <w14:textFill>
                  <w14:solidFill>
                    <w14:schemeClr w14:val="tx1"/>
                  </w14:solidFill>
                </w14:textFill>
              </w:rPr>
              <w:t>＜</w:t>
            </w:r>
            <w:r>
              <w:rPr>
                <w:rFonts w:cs="Times New Roman"/>
                <w:color w:val="000000" w:themeColor="text1"/>
                <w:sz w:val="18"/>
                <w:szCs w:val="18"/>
                <w14:textFill>
                  <w14:solidFill>
                    <w14:schemeClr w14:val="tx1"/>
                  </w14:solidFill>
                </w14:textFill>
              </w:rPr>
              <w:t xml:space="preserve">10 </w:t>
            </w:r>
            <w:r>
              <w:rPr>
                <w:rFonts w:hint="eastAsia" w:cs="Times New Roman"/>
                <w:color w:val="000000" w:themeColor="text1"/>
                <w:sz w:val="18"/>
                <w:szCs w:val="18"/>
                <w14:textFill>
                  <w14:solidFill>
                    <w14:schemeClr w14:val="tx1"/>
                  </w14:solidFill>
                </w14:textFill>
              </w:rPr>
              <w:t>□</w:t>
            </w:r>
          </w:p>
        </w:tc>
        <w:tc>
          <w:tcPr>
            <w:tcW w:w="0" w:type="auto"/>
            <w:gridSpan w:val="4"/>
            <w:vAlign w:val="center"/>
          </w:tcPr>
          <w:p w14:paraId="5870B9B4">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r>
              <w:rPr>
                <w:rFonts w:hint="eastAsia" w:cs="Times New Roman"/>
                <w:color w:val="000000" w:themeColor="text1"/>
                <w:sz w:val="18"/>
                <w:szCs w:val="18"/>
                <w14:textFill>
                  <w14:solidFill>
                    <w14:schemeClr w14:val="tx1"/>
                  </w14:solidFill>
                </w14:textFill>
              </w:rPr>
              <w:t>≤</w:t>
            </w:r>
            <w:r>
              <w:rPr>
                <w:rFonts w:cs="Times New Roman"/>
                <w:color w:val="000000" w:themeColor="text1"/>
                <w:sz w:val="18"/>
                <w:szCs w:val="18"/>
                <w14:textFill>
                  <w14:solidFill>
                    <w14:schemeClr w14:val="tx1"/>
                  </w14:solidFill>
                </w14:textFill>
              </w:rPr>
              <w:t>Q</w:t>
            </w:r>
            <w:r>
              <w:rPr>
                <w:rFonts w:hint="eastAsia" w:cs="Times New Roman"/>
                <w:color w:val="000000" w:themeColor="text1"/>
                <w:sz w:val="18"/>
                <w:szCs w:val="18"/>
                <w14:textFill>
                  <w14:solidFill>
                    <w14:schemeClr w14:val="tx1"/>
                  </w14:solidFill>
                </w14:textFill>
              </w:rPr>
              <w:t>＜</w:t>
            </w:r>
            <w:r>
              <w:rPr>
                <w:rFonts w:cs="Times New Roman"/>
                <w:color w:val="000000" w:themeColor="text1"/>
                <w:sz w:val="18"/>
                <w:szCs w:val="18"/>
                <w14:textFill>
                  <w14:solidFill>
                    <w14:schemeClr w14:val="tx1"/>
                  </w14:solidFill>
                </w14:textFill>
              </w:rPr>
              <w:t>100</w:t>
            </w:r>
            <w:r>
              <w:rPr>
                <w:rFonts w:hint="eastAsia" w:cs="Times New Roman"/>
                <w:color w:val="000000" w:themeColor="text1"/>
                <w:sz w:val="18"/>
                <w:szCs w:val="18"/>
                <w14:textFill>
                  <w14:solidFill>
                    <w14:schemeClr w14:val="tx1"/>
                  </w14:solidFill>
                </w14:textFill>
              </w:rPr>
              <w:t xml:space="preserve"> ☑</w:t>
            </w:r>
          </w:p>
        </w:tc>
        <w:tc>
          <w:tcPr>
            <w:tcW w:w="0" w:type="auto"/>
            <w:gridSpan w:val="4"/>
            <w:vAlign w:val="center"/>
          </w:tcPr>
          <w:p w14:paraId="71778A41">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Q</w:t>
            </w:r>
            <w:r>
              <w:rPr>
                <w:rFonts w:hint="eastAsia" w:cs="Times New Roman"/>
                <w:color w:val="000000" w:themeColor="text1"/>
                <w:sz w:val="18"/>
                <w:szCs w:val="18"/>
                <w14:textFill>
                  <w14:solidFill>
                    <w14:schemeClr w14:val="tx1"/>
                  </w14:solidFill>
                </w14:textFill>
              </w:rPr>
              <w:t>＞</w:t>
            </w:r>
            <w:r>
              <w:rPr>
                <w:rFonts w:cs="Times New Roman"/>
                <w:color w:val="000000" w:themeColor="text1"/>
                <w:sz w:val="18"/>
                <w:szCs w:val="18"/>
                <w14:textFill>
                  <w14:solidFill>
                    <w14:schemeClr w14:val="tx1"/>
                  </w14:solidFill>
                </w14:textFill>
              </w:rPr>
              <w:t xml:space="preserve">100 </w:t>
            </w:r>
            <w:r>
              <w:rPr>
                <w:rFonts w:hint="eastAsia" w:cs="Times New Roman"/>
                <w:color w:val="000000" w:themeColor="text1"/>
                <w:sz w:val="18"/>
                <w:szCs w:val="18"/>
                <w14:textFill>
                  <w14:solidFill>
                    <w14:schemeClr w14:val="tx1"/>
                  </w14:solidFill>
                </w14:textFill>
              </w:rPr>
              <w:t>□</w:t>
            </w:r>
          </w:p>
        </w:tc>
      </w:tr>
      <w:tr w14:paraId="11D8B14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gridSpan w:val="2"/>
            <w:vMerge w:val="continue"/>
            <w:vAlign w:val="center"/>
          </w:tcPr>
          <w:p w14:paraId="4099CB84">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Align w:val="center"/>
          </w:tcPr>
          <w:p w14:paraId="4BB35C35">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M</w:t>
            </w:r>
            <w:r>
              <w:rPr>
                <w:rFonts w:hint="eastAsia" w:cs="Times New Roman"/>
                <w:color w:val="000000" w:themeColor="text1"/>
                <w:sz w:val="18"/>
                <w:szCs w:val="18"/>
                <w14:textFill>
                  <w14:solidFill>
                    <w14:schemeClr w14:val="tx1"/>
                  </w14:solidFill>
                </w14:textFill>
              </w:rPr>
              <w:t>值</w:t>
            </w:r>
          </w:p>
        </w:tc>
        <w:tc>
          <w:tcPr>
            <w:tcW w:w="0" w:type="auto"/>
            <w:gridSpan w:val="3"/>
            <w:vAlign w:val="center"/>
          </w:tcPr>
          <w:p w14:paraId="464C7E34">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M1 </w:t>
            </w:r>
            <w:r>
              <w:rPr>
                <w:rFonts w:hint="eastAsia" w:cs="Times New Roman"/>
                <w:color w:val="000000" w:themeColor="text1"/>
                <w:sz w:val="18"/>
                <w:szCs w:val="18"/>
                <w14:textFill>
                  <w14:solidFill>
                    <w14:schemeClr w14:val="tx1"/>
                  </w14:solidFill>
                </w14:textFill>
              </w:rPr>
              <w:t>☑</w:t>
            </w:r>
          </w:p>
        </w:tc>
        <w:tc>
          <w:tcPr>
            <w:tcW w:w="0" w:type="auto"/>
            <w:gridSpan w:val="5"/>
            <w:vAlign w:val="center"/>
          </w:tcPr>
          <w:p w14:paraId="7B7CFD21">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M2 </w:t>
            </w:r>
            <w:r>
              <w:rPr>
                <w:rFonts w:hint="eastAsia" w:cs="Times New Roman"/>
                <w:color w:val="000000" w:themeColor="text1"/>
                <w:sz w:val="18"/>
                <w:szCs w:val="18"/>
                <w14:textFill>
                  <w14:solidFill>
                    <w14:schemeClr w14:val="tx1"/>
                  </w14:solidFill>
                </w14:textFill>
              </w:rPr>
              <w:t>□</w:t>
            </w:r>
          </w:p>
        </w:tc>
        <w:tc>
          <w:tcPr>
            <w:tcW w:w="0" w:type="auto"/>
            <w:gridSpan w:val="4"/>
            <w:vAlign w:val="center"/>
          </w:tcPr>
          <w:p w14:paraId="18FC409E">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M3 </w:t>
            </w:r>
            <w:r>
              <w:rPr>
                <w:rFonts w:hint="eastAsia" w:cs="Times New Roman"/>
                <w:color w:val="000000" w:themeColor="text1"/>
                <w:sz w:val="18"/>
                <w:szCs w:val="18"/>
                <w14:textFill>
                  <w14:solidFill>
                    <w14:schemeClr w14:val="tx1"/>
                  </w14:solidFill>
                </w14:textFill>
              </w:rPr>
              <w:t>□</w:t>
            </w:r>
          </w:p>
        </w:tc>
        <w:tc>
          <w:tcPr>
            <w:tcW w:w="0" w:type="auto"/>
            <w:gridSpan w:val="4"/>
            <w:vAlign w:val="center"/>
          </w:tcPr>
          <w:p w14:paraId="49A483AB">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M4 </w:t>
            </w:r>
            <w:r>
              <w:rPr>
                <w:rFonts w:cs="Times New Roman"/>
                <w:color w:val="000000" w:themeColor="text1"/>
                <w:sz w:val="18"/>
                <w:szCs w:val="18"/>
                <w14:textFill>
                  <w14:solidFill>
                    <w14:schemeClr w14:val="tx1"/>
                  </w14:solidFill>
                </w14:textFill>
              </w:rPr>
              <w:sym w:font="Wingdings 2" w:char="F052"/>
            </w:r>
          </w:p>
        </w:tc>
      </w:tr>
      <w:tr w14:paraId="70A838F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gridSpan w:val="2"/>
            <w:vMerge w:val="continue"/>
            <w:vAlign w:val="center"/>
          </w:tcPr>
          <w:p w14:paraId="69C98856">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Align w:val="center"/>
          </w:tcPr>
          <w:p w14:paraId="7DC693D2">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w:t>
            </w:r>
            <w:r>
              <w:rPr>
                <w:rFonts w:hint="eastAsia" w:cs="Times New Roman"/>
                <w:color w:val="000000" w:themeColor="text1"/>
                <w:sz w:val="18"/>
                <w:szCs w:val="18"/>
                <w14:textFill>
                  <w14:solidFill>
                    <w14:schemeClr w14:val="tx1"/>
                  </w14:solidFill>
                </w14:textFill>
              </w:rPr>
              <w:t>值</w:t>
            </w:r>
          </w:p>
        </w:tc>
        <w:tc>
          <w:tcPr>
            <w:tcW w:w="0" w:type="auto"/>
            <w:gridSpan w:val="3"/>
            <w:vAlign w:val="center"/>
          </w:tcPr>
          <w:p w14:paraId="40A2A8F0">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P1 </w:t>
            </w:r>
            <w:r>
              <w:rPr>
                <w:rFonts w:hint="eastAsia" w:cs="Times New Roman"/>
                <w:color w:val="000000" w:themeColor="text1"/>
                <w:sz w:val="18"/>
                <w:szCs w:val="18"/>
                <w14:textFill>
                  <w14:solidFill>
                    <w14:schemeClr w14:val="tx1"/>
                  </w14:solidFill>
                </w14:textFill>
              </w:rPr>
              <w:t>☑</w:t>
            </w:r>
          </w:p>
        </w:tc>
        <w:tc>
          <w:tcPr>
            <w:tcW w:w="0" w:type="auto"/>
            <w:gridSpan w:val="5"/>
            <w:vAlign w:val="center"/>
          </w:tcPr>
          <w:p w14:paraId="211E78E2">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P2 </w:t>
            </w:r>
            <w:r>
              <w:rPr>
                <w:rFonts w:hint="eastAsia" w:cs="Times New Roman"/>
                <w:color w:val="000000" w:themeColor="text1"/>
                <w:sz w:val="18"/>
                <w:szCs w:val="18"/>
                <w14:textFill>
                  <w14:solidFill>
                    <w14:schemeClr w14:val="tx1"/>
                  </w14:solidFill>
                </w14:textFill>
              </w:rPr>
              <w:t>□</w:t>
            </w:r>
          </w:p>
        </w:tc>
        <w:tc>
          <w:tcPr>
            <w:tcW w:w="0" w:type="auto"/>
            <w:gridSpan w:val="4"/>
            <w:vAlign w:val="center"/>
          </w:tcPr>
          <w:p w14:paraId="0F1D8CE7">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P3 </w:t>
            </w:r>
            <w:r>
              <w:rPr>
                <w:rFonts w:hint="eastAsia" w:cs="Times New Roman"/>
                <w:color w:val="000000" w:themeColor="text1"/>
                <w:sz w:val="18"/>
                <w:szCs w:val="18"/>
                <w14:textFill>
                  <w14:solidFill>
                    <w14:schemeClr w14:val="tx1"/>
                  </w14:solidFill>
                </w14:textFill>
              </w:rPr>
              <w:t>□</w:t>
            </w:r>
          </w:p>
        </w:tc>
        <w:tc>
          <w:tcPr>
            <w:tcW w:w="0" w:type="auto"/>
            <w:gridSpan w:val="4"/>
            <w:vAlign w:val="center"/>
          </w:tcPr>
          <w:p w14:paraId="7ED9A95E">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P4 </w:t>
            </w:r>
            <w:r>
              <w:rPr>
                <w:rFonts w:cs="Times New Roman"/>
                <w:color w:val="000000" w:themeColor="text1"/>
                <w:sz w:val="18"/>
                <w:szCs w:val="18"/>
                <w14:textFill>
                  <w14:solidFill>
                    <w14:schemeClr w14:val="tx1"/>
                  </w14:solidFill>
                </w14:textFill>
              </w:rPr>
              <w:sym w:font="Wingdings 2" w:char="F052"/>
            </w:r>
          </w:p>
        </w:tc>
      </w:tr>
      <w:tr w14:paraId="45AF33F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gridSpan w:val="2"/>
            <w:vMerge w:val="restart"/>
            <w:vAlign w:val="center"/>
          </w:tcPr>
          <w:p w14:paraId="73070B35">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环境敏感</w:t>
            </w:r>
          </w:p>
          <w:p w14:paraId="5118349D">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程度</w:t>
            </w:r>
          </w:p>
        </w:tc>
        <w:tc>
          <w:tcPr>
            <w:tcW w:w="0" w:type="auto"/>
            <w:vAlign w:val="center"/>
          </w:tcPr>
          <w:p w14:paraId="5F084B9A">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大气</w:t>
            </w:r>
          </w:p>
        </w:tc>
        <w:tc>
          <w:tcPr>
            <w:tcW w:w="0" w:type="auto"/>
            <w:gridSpan w:val="3"/>
            <w:vAlign w:val="center"/>
          </w:tcPr>
          <w:p w14:paraId="4904E774">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E1 </w:t>
            </w:r>
            <w:r>
              <w:rPr>
                <w:rFonts w:hint="eastAsia" w:cs="Times New Roman"/>
                <w:color w:val="000000" w:themeColor="text1"/>
                <w:sz w:val="18"/>
                <w:szCs w:val="18"/>
                <w14:textFill>
                  <w14:solidFill>
                    <w14:schemeClr w14:val="tx1"/>
                  </w14:solidFill>
                </w14:textFill>
              </w:rPr>
              <w:t>☑</w:t>
            </w:r>
          </w:p>
        </w:tc>
        <w:tc>
          <w:tcPr>
            <w:tcW w:w="0" w:type="auto"/>
            <w:gridSpan w:val="7"/>
            <w:vAlign w:val="center"/>
          </w:tcPr>
          <w:p w14:paraId="0D552EEF">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E2 </w:t>
            </w:r>
            <w:r>
              <w:rPr>
                <w:rFonts w:hint="eastAsia" w:cs="Times New Roman"/>
                <w:color w:val="000000" w:themeColor="text1"/>
                <w:sz w:val="18"/>
                <w:szCs w:val="18"/>
                <w14:textFill>
                  <w14:solidFill>
                    <w14:schemeClr w14:val="tx1"/>
                  </w14:solidFill>
                </w14:textFill>
              </w:rPr>
              <w:t>□</w:t>
            </w:r>
          </w:p>
        </w:tc>
        <w:tc>
          <w:tcPr>
            <w:tcW w:w="0" w:type="auto"/>
            <w:gridSpan w:val="6"/>
            <w:vAlign w:val="center"/>
          </w:tcPr>
          <w:p w14:paraId="66ECD66B">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E3 </w:t>
            </w:r>
            <w:r>
              <w:rPr>
                <w:rFonts w:hint="eastAsia" w:cs="Times New Roman"/>
                <w:color w:val="000000" w:themeColor="text1"/>
                <w:sz w:val="18"/>
                <w:szCs w:val="18"/>
                <w14:textFill>
                  <w14:solidFill>
                    <w14:schemeClr w14:val="tx1"/>
                  </w14:solidFill>
                </w14:textFill>
              </w:rPr>
              <w:t>□</w:t>
            </w:r>
          </w:p>
        </w:tc>
      </w:tr>
      <w:tr w14:paraId="2569C40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gridSpan w:val="2"/>
            <w:vMerge w:val="continue"/>
            <w:vAlign w:val="center"/>
          </w:tcPr>
          <w:p w14:paraId="2308F726">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Align w:val="center"/>
          </w:tcPr>
          <w:p w14:paraId="6EBCC25F">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地表水</w:t>
            </w:r>
          </w:p>
        </w:tc>
        <w:tc>
          <w:tcPr>
            <w:tcW w:w="0" w:type="auto"/>
            <w:gridSpan w:val="3"/>
            <w:vAlign w:val="center"/>
          </w:tcPr>
          <w:p w14:paraId="4D375ED1">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E1 </w:t>
            </w:r>
            <w:r>
              <w:rPr>
                <w:rFonts w:hint="eastAsia" w:cs="Times New Roman"/>
                <w:color w:val="000000" w:themeColor="text1"/>
                <w:sz w:val="18"/>
                <w:szCs w:val="18"/>
                <w14:textFill>
                  <w14:solidFill>
                    <w14:schemeClr w14:val="tx1"/>
                  </w14:solidFill>
                </w14:textFill>
              </w:rPr>
              <w:t>☑</w:t>
            </w:r>
          </w:p>
        </w:tc>
        <w:tc>
          <w:tcPr>
            <w:tcW w:w="0" w:type="auto"/>
            <w:gridSpan w:val="7"/>
            <w:vAlign w:val="center"/>
          </w:tcPr>
          <w:p w14:paraId="1B257F99">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E2</w:t>
            </w:r>
            <w:r>
              <w:rPr>
                <w:rFonts w:hint="eastAsia" w:cs="Times New Roman"/>
                <w:color w:val="000000" w:themeColor="text1"/>
                <w:sz w:val="18"/>
                <w:szCs w:val="18"/>
                <w14:textFill>
                  <w14:solidFill>
                    <w14:schemeClr w14:val="tx1"/>
                  </w14:solidFill>
                </w14:textFill>
              </w:rPr>
              <w:t xml:space="preserve"> □</w:t>
            </w:r>
          </w:p>
        </w:tc>
        <w:tc>
          <w:tcPr>
            <w:tcW w:w="0" w:type="auto"/>
            <w:gridSpan w:val="6"/>
            <w:vAlign w:val="center"/>
          </w:tcPr>
          <w:p w14:paraId="1C7CA1F5">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E3 </w:t>
            </w:r>
            <w:r>
              <w:rPr>
                <w:rFonts w:hint="eastAsia" w:cs="Times New Roman"/>
                <w:color w:val="000000" w:themeColor="text1"/>
                <w:sz w:val="18"/>
                <w:szCs w:val="18"/>
                <w14:textFill>
                  <w14:solidFill>
                    <w14:schemeClr w14:val="tx1"/>
                  </w14:solidFill>
                </w14:textFill>
              </w:rPr>
              <w:t>□</w:t>
            </w:r>
          </w:p>
        </w:tc>
      </w:tr>
      <w:tr w14:paraId="539C8BB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gridSpan w:val="2"/>
            <w:vMerge w:val="continue"/>
            <w:vAlign w:val="center"/>
          </w:tcPr>
          <w:p w14:paraId="0124112A">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Align w:val="center"/>
          </w:tcPr>
          <w:p w14:paraId="0BBC69B1">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地下水</w:t>
            </w:r>
          </w:p>
        </w:tc>
        <w:tc>
          <w:tcPr>
            <w:tcW w:w="0" w:type="auto"/>
            <w:gridSpan w:val="3"/>
            <w:vAlign w:val="center"/>
          </w:tcPr>
          <w:p w14:paraId="1AF18642">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E1 </w:t>
            </w:r>
            <w:r>
              <w:rPr>
                <w:rFonts w:hint="eastAsia" w:cs="Times New Roman"/>
                <w:color w:val="000000" w:themeColor="text1"/>
                <w:sz w:val="18"/>
                <w:szCs w:val="18"/>
                <w14:textFill>
                  <w14:solidFill>
                    <w14:schemeClr w14:val="tx1"/>
                  </w14:solidFill>
                </w14:textFill>
              </w:rPr>
              <w:t>□</w:t>
            </w:r>
          </w:p>
        </w:tc>
        <w:tc>
          <w:tcPr>
            <w:tcW w:w="0" w:type="auto"/>
            <w:gridSpan w:val="7"/>
            <w:vAlign w:val="center"/>
          </w:tcPr>
          <w:p w14:paraId="03C69051">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E2 </w:t>
            </w:r>
            <w:r>
              <w:rPr>
                <w:rFonts w:hint="eastAsia" w:cs="Times New Roman"/>
                <w:color w:val="000000" w:themeColor="text1"/>
                <w:sz w:val="18"/>
                <w:szCs w:val="18"/>
                <w14:textFill>
                  <w14:solidFill>
                    <w14:schemeClr w14:val="tx1"/>
                  </w14:solidFill>
                </w14:textFill>
              </w:rPr>
              <w:t>□</w:t>
            </w:r>
          </w:p>
        </w:tc>
        <w:tc>
          <w:tcPr>
            <w:tcW w:w="0" w:type="auto"/>
            <w:gridSpan w:val="6"/>
            <w:vAlign w:val="center"/>
          </w:tcPr>
          <w:p w14:paraId="2C34C40B">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E3 </w:t>
            </w:r>
            <w:r>
              <w:rPr>
                <w:rFonts w:hint="eastAsia" w:cs="Times New Roman"/>
                <w:color w:val="000000" w:themeColor="text1"/>
                <w:sz w:val="18"/>
                <w:szCs w:val="18"/>
                <w14:textFill>
                  <w14:solidFill>
                    <w14:schemeClr w14:val="tx1"/>
                  </w14:solidFill>
                </w14:textFill>
              </w:rPr>
              <w:t>☑</w:t>
            </w:r>
          </w:p>
        </w:tc>
      </w:tr>
      <w:tr w14:paraId="4038C63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gridSpan w:val="2"/>
            <w:vAlign w:val="center"/>
          </w:tcPr>
          <w:p w14:paraId="36D96B61">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环境风险</w:t>
            </w:r>
          </w:p>
          <w:p w14:paraId="0466DF06">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潜势</w:t>
            </w:r>
          </w:p>
        </w:tc>
        <w:tc>
          <w:tcPr>
            <w:tcW w:w="0" w:type="auto"/>
            <w:gridSpan w:val="2"/>
            <w:vAlign w:val="center"/>
          </w:tcPr>
          <w:p w14:paraId="5B7D8D39">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Ⅳ</w:t>
            </w:r>
            <w:r>
              <w:rPr>
                <w:rFonts w:cs="Times New Roman"/>
                <w:color w:val="000000" w:themeColor="text1"/>
                <w:sz w:val="18"/>
                <w:szCs w:val="18"/>
                <w:vertAlign w:val="superscript"/>
                <w14:textFill>
                  <w14:solidFill>
                    <w14:schemeClr w14:val="tx1"/>
                  </w14:solidFill>
                </w14:textFill>
              </w:rPr>
              <w:t>+</w:t>
            </w:r>
            <w:r>
              <w:rPr>
                <w:rFonts w:cs="Times New Roman"/>
                <w:color w:val="000000" w:themeColor="text1"/>
                <w:sz w:val="18"/>
                <w:szCs w:val="18"/>
                <w14:textFill>
                  <w14:solidFill>
                    <w14:schemeClr w14:val="tx1"/>
                  </w14:solidFill>
                </w14:textFill>
              </w:rPr>
              <w:t xml:space="preserve"> </w:t>
            </w:r>
            <w:r>
              <w:rPr>
                <w:rFonts w:hint="eastAsia" w:cs="Times New Roman"/>
                <w:color w:val="000000" w:themeColor="text1"/>
                <w:sz w:val="18"/>
                <w:szCs w:val="18"/>
                <w14:textFill>
                  <w14:solidFill>
                    <w14:schemeClr w14:val="tx1"/>
                  </w14:solidFill>
                </w14:textFill>
              </w:rPr>
              <w:t>☑</w:t>
            </w:r>
          </w:p>
        </w:tc>
        <w:tc>
          <w:tcPr>
            <w:tcW w:w="0" w:type="auto"/>
            <w:gridSpan w:val="2"/>
            <w:vAlign w:val="center"/>
          </w:tcPr>
          <w:p w14:paraId="6BCE71A4">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Ⅳ</w:t>
            </w:r>
            <w:r>
              <w:rPr>
                <w:rFonts w:cs="Times New Roman"/>
                <w:color w:val="000000" w:themeColor="text1"/>
                <w:sz w:val="18"/>
                <w:szCs w:val="18"/>
                <w14:textFill>
                  <w14:solidFill>
                    <w14:schemeClr w14:val="tx1"/>
                  </w14:solidFill>
                </w14:textFill>
              </w:rPr>
              <w:t xml:space="preserve"> </w:t>
            </w:r>
            <w:r>
              <w:rPr>
                <w:rFonts w:hint="eastAsia" w:cs="Times New Roman"/>
                <w:color w:val="000000" w:themeColor="text1"/>
                <w:sz w:val="18"/>
                <w:szCs w:val="18"/>
                <w14:textFill>
                  <w14:solidFill>
                    <w14:schemeClr w14:val="tx1"/>
                  </w14:solidFill>
                </w14:textFill>
              </w:rPr>
              <w:t>□</w:t>
            </w:r>
          </w:p>
        </w:tc>
        <w:tc>
          <w:tcPr>
            <w:tcW w:w="0" w:type="auto"/>
            <w:gridSpan w:val="4"/>
            <w:vAlign w:val="center"/>
          </w:tcPr>
          <w:p w14:paraId="4DB17157">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Ⅲ</w:t>
            </w:r>
            <w:r>
              <w:rPr>
                <w:rFonts w:cs="Times New Roman"/>
                <w:color w:val="000000" w:themeColor="text1"/>
                <w:sz w:val="18"/>
                <w:szCs w:val="18"/>
                <w14:textFill>
                  <w14:solidFill>
                    <w14:schemeClr w14:val="tx1"/>
                  </w14:solidFill>
                </w14:textFill>
              </w:rPr>
              <w:t xml:space="preserve"> </w:t>
            </w:r>
            <w:r>
              <w:rPr>
                <w:rFonts w:hint="eastAsia" w:cs="Times New Roman"/>
                <w:color w:val="000000" w:themeColor="text1"/>
                <w:sz w:val="18"/>
                <w:szCs w:val="18"/>
                <w14:textFill>
                  <w14:solidFill>
                    <w14:schemeClr w14:val="tx1"/>
                  </w14:solidFill>
                </w14:textFill>
              </w:rPr>
              <w:t>□</w:t>
            </w:r>
          </w:p>
        </w:tc>
        <w:tc>
          <w:tcPr>
            <w:tcW w:w="0" w:type="auto"/>
            <w:gridSpan w:val="6"/>
            <w:vAlign w:val="center"/>
          </w:tcPr>
          <w:p w14:paraId="7AAD9178">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Ⅱ</w:t>
            </w:r>
            <w:r>
              <w:rPr>
                <w:rFonts w:cs="Times New Roman"/>
                <w:color w:val="000000" w:themeColor="text1"/>
                <w:sz w:val="18"/>
                <w:szCs w:val="18"/>
                <w14:textFill>
                  <w14:solidFill>
                    <w14:schemeClr w14:val="tx1"/>
                  </w14:solidFill>
                </w14:textFill>
              </w:rPr>
              <w:t xml:space="preserve"> </w:t>
            </w:r>
            <w:r>
              <w:rPr>
                <w:rFonts w:hint="eastAsia" w:cs="Times New Roman"/>
                <w:color w:val="000000" w:themeColor="text1"/>
                <w:sz w:val="18"/>
                <w:szCs w:val="18"/>
                <w14:textFill>
                  <w14:solidFill>
                    <w14:schemeClr w14:val="tx1"/>
                  </w14:solidFill>
                </w14:textFill>
              </w:rPr>
              <w:t>□</w:t>
            </w:r>
          </w:p>
        </w:tc>
        <w:tc>
          <w:tcPr>
            <w:tcW w:w="0" w:type="auto"/>
            <w:gridSpan w:val="3"/>
            <w:vAlign w:val="center"/>
          </w:tcPr>
          <w:p w14:paraId="7DF42920">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I </w:t>
            </w:r>
            <w:r>
              <w:rPr>
                <w:rFonts w:hint="eastAsia" w:cs="Times New Roman"/>
                <w:color w:val="000000" w:themeColor="text1"/>
                <w:sz w:val="18"/>
                <w:szCs w:val="18"/>
                <w14:textFill>
                  <w14:solidFill>
                    <w14:schemeClr w14:val="tx1"/>
                  </w14:solidFill>
                </w14:textFill>
              </w:rPr>
              <w:t>□</w:t>
            </w:r>
          </w:p>
        </w:tc>
      </w:tr>
      <w:tr w14:paraId="76C41CA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gridSpan w:val="2"/>
            <w:vAlign w:val="center"/>
          </w:tcPr>
          <w:p w14:paraId="1103640B">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评价等级</w:t>
            </w:r>
          </w:p>
        </w:tc>
        <w:tc>
          <w:tcPr>
            <w:tcW w:w="0" w:type="auto"/>
            <w:gridSpan w:val="3"/>
            <w:vAlign w:val="center"/>
          </w:tcPr>
          <w:p w14:paraId="5A6CD966">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一级</w:t>
            </w:r>
            <w:r>
              <w:rPr>
                <w:rFonts w:cs="Times New Roman"/>
                <w:color w:val="000000" w:themeColor="text1"/>
                <w:sz w:val="18"/>
                <w:szCs w:val="18"/>
                <w14:textFill>
                  <w14:solidFill>
                    <w14:schemeClr w14:val="tx1"/>
                  </w14:solidFill>
                </w14:textFill>
              </w:rPr>
              <w:t xml:space="preserve"> </w:t>
            </w:r>
            <w:r>
              <w:rPr>
                <w:rFonts w:hint="eastAsia" w:cs="Times New Roman"/>
                <w:color w:val="000000" w:themeColor="text1"/>
                <w:sz w:val="18"/>
                <w:szCs w:val="18"/>
                <w14:textFill>
                  <w14:solidFill>
                    <w14:schemeClr w14:val="tx1"/>
                  </w14:solidFill>
                </w14:textFill>
              </w:rPr>
              <w:t>☑</w:t>
            </w:r>
          </w:p>
        </w:tc>
        <w:tc>
          <w:tcPr>
            <w:tcW w:w="0" w:type="auto"/>
            <w:gridSpan w:val="3"/>
            <w:vAlign w:val="center"/>
          </w:tcPr>
          <w:p w14:paraId="483F0A77">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二级</w:t>
            </w:r>
            <w:r>
              <w:rPr>
                <w:rFonts w:cs="Times New Roman"/>
                <w:color w:val="000000" w:themeColor="text1"/>
                <w:sz w:val="18"/>
                <w:szCs w:val="18"/>
                <w14:textFill>
                  <w14:solidFill>
                    <w14:schemeClr w14:val="tx1"/>
                  </w14:solidFill>
                </w14:textFill>
              </w:rPr>
              <w:t xml:space="preserve"> </w:t>
            </w:r>
            <w:r>
              <w:rPr>
                <w:rFonts w:hint="eastAsia" w:cs="Times New Roman"/>
                <w:color w:val="000000" w:themeColor="text1"/>
                <w:sz w:val="18"/>
                <w:szCs w:val="18"/>
                <w14:textFill>
                  <w14:solidFill>
                    <w14:schemeClr w14:val="tx1"/>
                  </w14:solidFill>
                </w14:textFill>
              </w:rPr>
              <w:t>□</w:t>
            </w:r>
          </w:p>
        </w:tc>
        <w:tc>
          <w:tcPr>
            <w:tcW w:w="0" w:type="auto"/>
            <w:gridSpan w:val="6"/>
            <w:vAlign w:val="center"/>
          </w:tcPr>
          <w:p w14:paraId="21E81927">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三级</w:t>
            </w:r>
            <w:r>
              <w:rPr>
                <w:rFonts w:cs="Times New Roman"/>
                <w:color w:val="000000" w:themeColor="text1"/>
                <w:sz w:val="18"/>
                <w:szCs w:val="18"/>
                <w14:textFill>
                  <w14:solidFill>
                    <w14:schemeClr w14:val="tx1"/>
                  </w14:solidFill>
                </w14:textFill>
              </w:rPr>
              <w:t xml:space="preserve"> </w:t>
            </w:r>
            <w:r>
              <w:rPr>
                <w:rFonts w:hint="eastAsia" w:cs="Times New Roman"/>
                <w:color w:val="000000" w:themeColor="text1"/>
                <w:sz w:val="18"/>
                <w:szCs w:val="18"/>
                <w14:textFill>
                  <w14:solidFill>
                    <w14:schemeClr w14:val="tx1"/>
                  </w14:solidFill>
                </w14:textFill>
              </w:rPr>
              <w:t>□</w:t>
            </w:r>
          </w:p>
        </w:tc>
        <w:tc>
          <w:tcPr>
            <w:tcW w:w="0" w:type="auto"/>
            <w:gridSpan w:val="5"/>
            <w:vAlign w:val="center"/>
          </w:tcPr>
          <w:p w14:paraId="3A7B0F0C">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简单分析</w:t>
            </w:r>
            <w:r>
              <w:rPr>
                <w:rFonts w:cs="Times New Roman"/>
                <w:color w:val="000000" w:themeColor="text1"/>
                <w:sz w:val="18"/>
                <w:szCs w:val="18"/>
                <w14:textFill>
                  <w14:solidFill>
                    <w14:schemeClr w14:val="tx1"/>
                  </w14:solidFill>
                </w14:textFill>
              </w:rPr>
              <w:t xml:space="preserve"> </w:t>
            </w:r>
            <w:r>
              <w:rPr>
                <w:rFonts w:hint="eastAsia" w:cs="Times New Roman"/>
                <w:color w:val="000000" w:themeColor="text1"/>
                <w:sz w:val="18"/>
                <w:szCs w:val="18"/>
                <w14:textFill>
                  <w14:solidFill>
                    <w14:schemeClr w14:val="tx1"/>
                  </w14:solidFill>
                </w14:textFill>
              </w:rPr>
              <w:t>□</w:t>
            </w:r>
          </w:p>
        </w:tc>
      </w:tr>
      <w:tr w14:paraId="59BB7B8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vMerge w:val="restart"/>
            <w:vAlign w:val="center"/>
          </w:tcPr>
          <w:p w14:paraId="520DA555">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风</w:t>
            </w:r>
          </w:p>
          <w:p w14:paraId="6500AE60">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险</w:t>
            </w:r>
          </w:p>
          <w:p w14:paraId="0AB72009">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识</w:t>
            </w:r>
          </w:p>
          <w:p w14:paraId="637D6C35">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别</w:t>
            </w:r>
          </w:p>
        </w:tc>
        <w:tc>
          <w:tcPr>
            <w:tcW w:w="0" w:type="auto"/>
            <w:vAlign w:val="center"/>
          </w:tcPr>
          <w:p w14:paraId="19A528B3">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物质危险性</w:t>
            </w:r>
          </w:p>
        </w:tc>
        <w:tc>
          <w:tcPr>
            <w:tcW w:w="0" w:type="auto"/>
            <w:gridSpan w:val="6"/>
            <w:vAlign w:val="center"/>
          </w:tcPr>
          <w:p w14:paraId="65DA80FB">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有毒有害</w:t>
            </w:r>
            <w:r>
              <w:rPr>
                <w:rFonts w:cs="Times New Roman"/>
                <w:color w:val="000000" w:themeColor="text1"/>
                <w:sz w:val="18"/>
                <w:szCs w:val="18"/>
                <w14:textFill>
                  <w14:solidFill>
                    <w14:schemeClr w14:val="tx1"/>
                  </w14:solidFill>
                </w14:textFill>
              </w:rPr>
              <w:t xml:space="preserve"> </w:t>
            </w:r>
            <w:r>
              <w:rPr>
                <w:rFonts w:hint="eastAsia" w:cs="Times New Roman"/>
                <w:color w:val="000000" w:themeColor="text1"/>
                <w:sz w:val="18"/>
                <w:szCs w:val="18"/>
                <w14:textFill>
                  <w14:solidFill>
                    <w14:schemeClr w14:val="tx1"/>
                  </w14:solidFill>
                </w14:textFill>
              </w:rPr>
              <w:t>☑</w:t>
            </w:r>
          </w:p>
        </w:tc>
        <w:tc>
          <w:tcPr>
            <w:tcW w:w="0" w:type="auto"/>
            <w:gridSpan w:val="11"/>
            <w:vAlign w:val="center"/>
          </w:tcPr>
          <w:p w14:paraId="64A04CAE">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易燃易爆</w:t>
            </w:r>
            <w:r>
              <w:rPr>
                <w:rFonts w:cs="Times New Roman"/>
                <w:color w:val="000000" w:themeColor="text1"/>
                <w:sz w:val="18"/>
                <w:szCs w:val="18"/>
                <w14:textFill>
                  <w14:solidFill>
                    <w14:schemeClr w14:val="tx1"/>
                  </w14:solidFill>
                </w14:textFill>
              </w:rPr>
              <w:t xml:space="preserve"> </w:t>
            </w:r>
            <w:r>
              <w:rPr>
                <w:rFonts w:hint="eastAsia" w:cs="Times New Roman"/>
                <w:color w:val="000000" w:themeColor="text1"/>
                <w:sz w:val="18"/>
                <w:szCs w:val="18"/>
                <w14:textFill>
                  <w14:solidFill>
                    <w14:schemeClr w14:val="tx1"/>
                  </w14:solidFill>
                </w14:textFill>
              </w:rPr>
              <w:t>☑</w:t>
            </w:r>
          </w:p>
        </w:tc>
      </w:tr>
      <w:tr w14:paraId="2AC099E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vMerge w:val="continue"/>
            <w:vAlign w:val="center"/>
          </w:tcPr>
          <w:p w14:paraId="6754BBA2">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Align w:val="center"/>
          </w:tcPr>
          <w:p w14:paraId="7D3B3FE5">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环境风险</w:t>
            </w:r>
          </w:p>
          <w:p w14:paraId="5B81D7C2">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类型</w:t>
            </w:r>
          </w:p>
        </w:tc>
        <w:tc>
          <w:tcPr>
            <w:tcW w:w="0" w:type="auto"/>
            <w:gridSpan w:val="6"/>
            <w:vAlign w:val="center"/>
          </w:tcPr>
          <w:p w14:paraId="5A27C45F">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泄漏☑</w:t>
            </w:r>
          </w:p>
        </w:tc>
        <w:tc>
          <w:tcPr>
            <w:tcW w:w="0" w:type="auto"/>
            <w:gridSpan w:val="11"/>
            <w:vAlign w:val="center"/>
          </w:tcPr>
          <w:p w14:paraId="22D25D60">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火灾、爆炸引发伴生</w:t>
            </w:r>
            <w:r>
              <w:rPr>
                <w:rFonts w:cs="Times New Roman"/>
                <w:color w:val="000000" w:themeColor="text1"/>
                <w:sz w:val="18"/>
                <w:szCs w:val="18"/>
                <w14:textFill>
                  <w14:solidFill>
                    <w14:schemeClr w14:val="tx1"/>
                  </w14:solidFill>
                </w14:textFill>
              </w:rPr>
              <w:t>/</w:t>
            </w:r>
            <w:r>
              <w:rPr>
                <w:rFonts w:hint="eastAsia" w:cs="Times New Roman"/>
                <w:color w:val="000000" w:themeColor="text1"/>
                <w:sz w:val="18"/>
                <w:szCs w:val="18"/>
                <w14:textFill>
                  <w14:solidFill>
                    <w14:schemeClr w14:val="tx1"/>
                  </w14:solidFill>
                </w14:textFill>
              </w:rPr>
              <w:t>次生污染物排放</w:t>
            </w:r>
            <w:r>
              <w:rPr>
                <w:rFonts w:cs="Times New Roman"/>
                <w:color w:val="000000" w:themeColor="text1"/>
                <w:sz w:val="18"/>
                <w:szCs w:val="18"/>
                <w14:textFill>
                  <w14:solidFill>
                    <w14:schemeClr w14:val="tx1"/>
                  </w14:solidFill>
                </w14:textFill>
              </w:rPr>
              <w:t xml:space="preserve"> </w:t>
            </w:r>
            <w:r>
              <w:rPr>
                <w:rFonts w:hint="eastAsia" w:cs="Times New Roman"/>
                <w:color w:val="000000" w:themeColor="text1"/>
                <w:sz w:val="18"/>
                <w:szCs w:val="18"/>
                <w14:textFill>
                  <w14:solidFill>
                    <w14:schemeClr w14:val="tx1"/>
                  </w14:solidFill>
                </w14:textFill>
              </w:rPr>
              <w:t>☑</w:t>
            </w:r>
          </w:p>
        </w:tc>
      </w:tr>
      <w:tr w14:paraId="4569881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vMerge w:val="continue"/>
            <w:vAlign w:val="center"/>
          </w:tcPr>
          <w:p w14:paraId="7064BE6F">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Align w:val="center"/>
          </w:tcPr>
          <w:p w14:paraId="19B4141F">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影响途径</w:t>
            </w:r>
          </w:p>
        </w:tc>
        <w:tc>
          <w:tcPr>
            <w:tcW w:w="0" w:type="auto"/>
            <w:gridSpan w:val="5"/>
            <w:vAlign w:val="center"/>
          </w:tcPr>
          <w:p w14:paraId="4DE94F73">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大气</w:t>
            </w:r>
            <w:r>
              <w:rPr>
                <w:rFonts w:cs="Times New Roman"/>
                <w:color w:val="000000" w:themeColor="text1"/>
                <w:sz w:val="18"/>
                <w:szCs w:val="18"/>
                <w14:textFill>
                  <w14:solidFill>
                    <w14:schemeClr w14:val="tx1"/>
                  </w14:solidFill>
                </w14:textFill>
              </w:rPr>
              <w:t xml:space="preserve"> </w:t>
            </w:r>
            <w:r>
              <w:rPr>
                <w:rFonts w:hint="eastAsia" w:cs="Times New Roman"/>
                <w:color w:val="000000" w:themeColor="text1"/>
                <w:sz w:val="18"/>
                <w:szCs w:val="18"/>
                <w14:textFill>
                  <w14:solidFill>
                    <w14:schemeClr w14:val="tx1"/>
                  </w14:solidFill>
                </w14:textFill>
              </w:rPr>
              <w:t>☑</w:t>
            </w:r>
          </w:p>
        </w:tc>
        <w:tc>
          <w:tcPr>
            <w:tcW w:w="0" w:type="auto"/>
            <w:gridSpan w:val="5"/>
            <w:vAlign w:val="center"/>
          </w:tcPr>
          <w:p w14:paraId="1F541B06">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地表水</w:t>
            </w:r>
            <w:r>
              <w:rPr>
                <w:rFonts w:cs="Times New Roman"/>
                <w:color w:val="000000" w:themeColor="text1"/>
                <w:sz w:val="18"/>
                <w:szCs w:val="18"/>
                <w14:textFill>
                  <w14:solidFill>
                    <w14:schemeClr w14:val="tx1"/>
                  </w14:solidFill>
                </w14:textFill>
              </w:rPr>
              <w:t xml:space="preserve"> </w:t>
            </w:r>
            <w:r>
              <w:rPr>
                <w:rFonts w:hint="eastAsia" w:cs="Times New Roman"/>
                <w:color w:val="000000" w:themeColor="text1"/>
                <w:sz w:val="18"/>
                <w:szCs w:val="18"/>
                <w14:textFill>
                  <w14:solidFill>
                    <w14:schemeClr w14:val="tx1"/>
                  </w14:solidFill>
                </w14:textFill>
              </w:rPr>
              <w:t>☑</w:t>
            </w:r>
          </w:p>
        </w:tc>
        <w:tc>
          <w:tcPr>
            <w:tcW w:w="0" w:type="auto"/>
            <w:gridSpan w:val="7"/>
            <w:vAlign w:val="center"/>
          </w:tcPr>
          <w:p w14:paraId="6423362B">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地下水</w:t>
            </w:r>
            <w:r>
              <w:rPr>
                <w:rFonts w:cs="Times New Roman"/>
                <w:color w:val="000000" w:themeColor="text1"/>
                <w:sz w:val="18"/>
                <w:szCs w:val="18"/>
                <w14:textFill>
                  <w14:solidFill>
                    <w14:schemeClr w14:val="tx1"/>
                  </w14:solidFill>
                </w14:textFill>
              </w:rPr>
              <w:t xml:space="preserve"> </w:t>
            </w:r>
            <w:r>
              <w:rPr>
                <w:rFonts w:hint="eastAsia" w:cs="Times New Roman"/>
                <w:color w:val="000000" w:themeColor="text1"/>
                <w:sz w:val="18"/>
                <w:szCs w:val="18"/>
                <w14:textFill>
                  <w14:solidFill>
                    <w14:schemeClr w14:val="tx1"/>
                  </w14:solidFill>
                </w14:textFill>
              </w:rPr>
              <w:t>☑</w:t>
            </w:r>
          </w:p>
        </w:tc>
      </w:tr>
      <w:tr w14:paraId="6094505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gridSpan w:val="2"/>
            <w:vAlign w:val="center"/>
          </w:tcPr>
          <w:p w14:paraId="67198ECF">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事故情形分析</w:t>
            </w:r>
          </w:p>
        </w:tc>
        <w:tc>
          <w:tcPr>
            <w:tcW w:w="0" w:type="auto"/>
            <w:gridSpan w:val="3"/>
            <w:vAlign w:val="center"/>
          </w:tcPr>
          <w:p w14:paraId="5D3143A8">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源强设定方法</w:t>
            </w:r>
          </w:p>
        </w:tc>
        <w:tc>
          <w:tcPr>
            <w:tcW w:w="0" w:type="auto"/>
            <w:gridSpan w:val="3"/>
            <w:vAlign w:val="center"/>
          </w:tcPr>
          <w:p w14:paraId="6DACB1A7">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计算法</w:t>
            </w:r>
            <w:r>
              <w:rPr>
                <w:rFonts w:cs="Times New Roman"/>
                <w:color w:val="000000" w:themeColor="text1"/>
                <w:sz w:val="18"/>
                <w:szCs w:val="18"/>
                <w14:textFill>
                  <w14:solidFill>
                    <w14:schemeClr w14:val="tx1"/>
                  </w14:solidFill>
                </w14:textFill>
              </w:rPr>
              <w:t xml:space="preserve"> </w:t>
            </w:r>
            <w:r>
              <w:rPr>
                <w:rFonts w:hint="eastAsia" w:cs="Times New Roman"/>
                <w:color w:val="000000" w:themeColor="text1"/>
                <w:sz w:val="18"/>
                <w:szCs w:val="18"/>
                <w14:textFill>
                  <w14:solidFill>
                    <w14:schemeClr w14:val="tx1"/>
                  </w14:solidFill>
                </w14:textFill>
              </w:rPr>
              <w:t>☑</w:t>
            </w:r>
          </w:p>
        </w:tc>
        <w:tc>
          <w:tcPr>
            <w:tcW w:w="0" w:type="auto"/>
            <w:gridSpan w:val="6"/>
            <w:vAlign w:val="center"/>
          </w:tcPr>
          <w:p w14:paraId="50D6BF07">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经验估算法</w:t>
            </w:r>
            <w:r>
              <w:rPr>
                <w:rFonts w:cs="Times New Roman"/>
                <w:color w:val="000000" w:themeColor="text1"/>
                <w:sz w:val="18"/>
                <w:szCs w:val="18"/>
                <w14:textFill>
                  <w14:solidFill>
                    <w14:schemeClr w14:val="tx1"/>
                  </w14:solidFill>
                </w14:textFill>
              </w:rPr>
              <w:t xml:space="preserve"> </w:t>
            </w:r>
            <w:r>
              <w:rPr>
                <w:rFonts w:hint="eastAsia" w:cs="Times New Roman"/>
                <w:color w:val="000000" w:themeColor="text1"/>
                <w:sz w:val="18"/>
                <w:szCs w:val="18"/>
                <w14:textFill>
                  <w14:solidFill>
                    <w14:schemeClr w14:val="tx1"/>
                  </w14:solidFill>
                </w14:textFill>
              </w:rPr>
              <w:t>□</w:t>
            </w:r>
          </w:p>
        </w:tc>
        <w:tc>
          <w:tcPr>
            <w:tcW w:w="0" w:type="auto"/>
            <w:gridSpan w:val="5"/>
            <w:vAlign w:val="center"/>
          </w:tcPr>
          <w:p w14:paraId="31C83A19">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其他估算法</w:t>
            </w:r>
            <w:r>
              <w:rPr>
                <w:rFonts w:cs="Times New Roman"/>
                <w:color w:val="000000" w:themeColor="text1"/>
                <w:sz w:val="18"/>
                <w:szCs w:val="18"/>
                <w14:textFill>
                  <w14:solidFill>
                    <w14:schemeClr w14:val="tx1"/>
                  </w14:solidFill>
                </w14:textFill>
              </w:rPr>
              <w:t xml:space="preserve"> </w:t>
            </w:r>
            <w:r>
              <w:rPr>
                <w:rFonts w:hint="eastAsia" w:cs="Times New Roman"/>
                <w:color w:val="000000" w:themeColor="text1"/>
                <w:sz w:val="18"/>
                <w:szCs w:val="18"/>
                <w14:textFill>
                  <w14:solidFill>
                    <w14:schemeClr w14:val="tx1"/>
                  </w14:solidFill>
                </w14:textFill>
              </w:rPr>
              <w:t>□</w:t>
            </w:r>
          </w:p>
        </w:tc>
      </w:tr>
      <w:tr w14:paraId="27E5FD1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vMerge w:val="restart"/>
            <w:vAlign w:val="center"/>
          </w:tcPr>
          <w:p w14:paraId="341A0ECC">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风险</w:t>
            </w:r>
          </w:p>
          <w:p w14:paraId="1660F339">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预测</w:t>
            </w:r>
          </w:p>
          <w:p w14:paraId="453F7972">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与</w:t>
            </w:r>
          </w:p>
          <w:p w14:paraId="3E3A1C6B">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评价</w:t>
            </w:r>
          </w:p>
        </w:tc>
        <w:tc>
          <w:tcPr>
            <w:tcW w:w="0" w:type="auto"/>
            <w:vMerge w:val="restart"/>
            <w:vAlign w:val="center"/>
          </w:tcPr>
          <w:p w14:paraId="17D5A378">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大气</w:t>
            </w:r>
          </w:p>
        </w:tc>
        <w:tc>
          <w:tcPr>
            <w:tcW w:w="0" w:type="auto"/>
            <w:gridSpan w:val="3"/>
            <w:vAlign w:val="center"/>
          </w:tcPr>
          <w:p w14:paraId="704A13C4">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预测模型</w:t>
            </w:r>
          </w:p>
        </w:tc>
        <w:tc>
          <w:tcPr>
            <w:tcW w:w="0" w:type="auto"/>
            <w:gridSpan w:val="3"/>
            <w:vAlign w:val="center"/>
          </w:tcPr>
          <w:p w14:paraId="4C20BF46">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SLAB </w:t>
            </w:r>
            <w:r>
              <w:rPr>
                <w:rFonts w:hint="eastAsia" w:cs="Times New Roman"/>
                <w:color w:val="000000" w:themeColor="text1"/>
                <w:sz w:val="18"/>
                <w:szCs w:val="18"/>
                <w14:textFill>
                  <w14:solidFill>
                    <w14:schemeClr w14:val="tx1"/>
                  </w14:solidFill>
                </w14:textFill>
              </w:rPr>
              <w:t>☑</w:t>
            </w:r>
          </w:p>
        </w:tc>
        <w:tc>
          <w:tcPr>
            <w:tcW w:w="0" w:type="auto"/>
            <w:gridSpan w:val="6"/>
            <w:vAlign w:val="center"/>
          </w:tcPr>
          <w:p w14:paraId="2F5C3A82">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AFTOX </w:t>
            </w:r>
            <w:r>
              <w:rPr>
                <w:rFonts w:hint="eastAsia" w:cs="Times New Roman"/>
                <w:color w:val="000000" w:themeColor="text1"/>
                <w:sz w:val="18"/>
                <w:szCs w:val="18"/>
                <w14:textFill>
                  <w14:solidFill>
                    <w14:schemeClr w14:val="tx1"/>
                  </w14:solidFill>
                </w14:textFill>
              </w:rPr>
              <w:t>□</w:t>
            </w:r>
          </w:p>
        </w:tc>
        <w:tc>
          <w:tcPr>
            <w:tcW w:w="0" w:type="auto"/>
            <w:gridSpan w:val="5"/>
            <w:vAlign w:val="center"/>
          </w:tcPr>
          <w:p w14:paraId="7DE87F3A">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其他</w:t>
            </w:r>
            <w:r>
              <w:rPr>
                <w:rFonts w:cs="Times New Roman"/>
                <w:color w:val="000000" w:themeColor="text1"/>
                <w:sz w:val="18"/>
                <w:szCs w:val="18"/>
                <w14:textFill>
                  <w14:solidFill>
                    <w14:schemeClr w14:val="tx1"/>
                  </w14:solidFill>
                </w14:textFill>
              </w:rPr>
              <w:t xml:space="preserve"> </w:t>
            </w:r>
            <w:r>
              <w:rPr>
                <w:rFonts w:hint="eastAsia" w:cs="Times New Roman"/>
                <w:color w:val="000000" w:themeColor="text1"/>
                <w:sz w:val="18"/>
                <w:szCs w:val="18"/>
                <w14:textFill>
                  <w14:solidFill>
                    <w14:schemeClr w14:val="tx1"/>
                  </w14:solidFill>
                </w14:textFill>
              </w:rPr>
              <w:t>□</w:t>
            </w:r>
          </w:p>
        </w:tc>
      </w:tr>
      <w:tr w14:paraId="13AF659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vMerge w:val="continue"/>
            <w:vAlign w:val="center"/>
          </w:tcPr>
          <w:p w14:paraId="1A5172EC">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Merge w:val="continue"/>
            <w:vAlign w:val="center"/>
          </w:tcPr>
          <w:p w14:paraId="4538A8B5">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gridSpan w:val="3"/>
            <w:vMerge w:val="restart"/>
            <w:vAlign w:val="center"/>
          </w:tcPr>
          <w:p w14:paraId="58D8518C">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预测结果</w:t>
            </w:r>
          </w:p>
        </w:tc>
        <w:tc>
          <w:tcPr>
            <w:tcW w:w="0" w:type="auto"/>
            <w:gridSpan w:val="14"/>
            <w:vAlign w:val="center"/>
          </w:tcPr>
          <w:p w14:paraId="6A74EE55">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最不利气象条件下：</w:t>
            </w:r>
          </w:p>
          <w:p w14:paraId="66CDAD2B">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盐酸泄露大气毒性终点浓度</w:t>
            </w:r>
            <w:r>
              <w:rPr>
                <w:rFonts w:cs="Times New Roman"/>
                <w:color w:val="000000" w:themeColor="text1"/>
                <w:sz w:val="18"/>
                <w:szCs w:val="18"/>
                <w14:textFill>
                  <w14:solidFill>
                    <w14:schemeClr w14:val="tx1"/>
                  </w14:solidFill>
                </w14:textFill>
              </w:rPr>
              <w:t xml:space="preserve">-1 </w:t>
            </w:r>
            <w:r>
              <w:rPr>
                <w:rFonts w:hint="eastAsia" w:cs="Times New Roman"/>
                <w:color w:val="000000" w:themeColor="text1"/>
                <w:sz w:val="18"/>
                <w:szCs w:val="18"/>
                <w14:textFill>
                  <w14:solidFill>
                    <w14:schemeClr w14:val="tx1"/>
                  </w14:solidFill>
                </w14:textFill>
              </w:rPr>
              <w:t>最大影响范围</w:t>
            </w:r>
            <w:r>
              <w:rPr>
                <w:rFonts w:cs="Times New Roman"/>
                <w:color w:val="000000" w:themeColor="text1"/>
                <w:sz w:val="18"/>
                <w:szCs w:val="18"/>
                <w:u w:val="single"/>
                <w14:textFill>
                  <w14:solidFill>
                    <w14:schemeClr w14:val="tx1"/>
                  </w14:solidFill>
                </w14:textFill>
              </w:rPr>
              <w:t xml:space="preserve"> </w:t>
            </w:r>
            <w:r>
              <w:rPr>
                <w:rFonts w:hint="eastAsia" w:cs="Times New Roman"/>
                <w:color w:val="000000" w:themeColor="text1"/>
                <w:sz w:val="18"/>
                <w:szCs w:val="18"/>
                <w:u w:val="single"/>
                <w14:textFill>
                  <w14:solidFill>
                    <w14:schemeClr w14:val="tx1"/>
                  </w14:solidFill>
                </w14:textFill>
              </w:rPr>
              <w:t xml:space="preserve">340 </w:t>
            </w:r>
            <w:r>
              <w:rPr>
                <w:rFonts w:cs="Times New Roman"/>
                <w:color w:val="000000" w:themeColor="text1"/>
                <w:sz w:val="18"/>
                <w:szCs w:val="18"/>
                <w:u w:val="single"/>
                <w14:textFill>
                  <w14:solidFill>
                    <w14:schemeClr w14:val="tx1"/>
                  </w14:solidFill>
                </w14:textFill>
              </w:rPr>
              <w:t xml:space="preserve"> </w:t>
            </w:r>
            <w:r>
              <w:rPr>
                <w:rFonts w:cs="Times New Roman"/>
                <w:color w:val="000000" w:themeColor="text1"/>
                <w:sz w:val="18"/>
                <w:szCs w:val="18"/>
                <w14:textFill>
                  <w14:solidFill>
                    <w14:schemeClr w14:val="tx1"/>
                  </w14:solidFill>
                </w14:textFill>
              </w:rPr>
              <w:t>m</w:t>
            </w:r>
            <w:r>
              <w:rPr>
                <w:rFonts w:hint="eastAsia" w:cs="Times New Roman"/>
                <w:color w:val="000000" w:themeColor="text1"/>
                <w:sz w:val="18"/>
                <w:szCs w:val="18"/>
                <w14:textFill>
                  <w14:solidFill>
                    <w14:schemeClr w14:val="tx1"/>
                  </w14:solidFill>
                </w14:textFill>
              </w:rPr>
              <w:t>；</w:t>
            </w:r>
          </w:p>
          <w:p w14:paraId="5A4E9A19">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盐酸泄露大气毒性终点浓度</w:t>
            </w:r>
            <w:r>
              <w:rPr>
                <w:rFonts w:cs="Times New Roman"/>
                <w:color w:val="000000" w:themeColor="text1"/>
                <w:sz w:val="18"/>
                <w:szCs w:val="18"/>
                <w14:textFill>
                  <w14:solidFill>
                    <w14:schemeClr w14:val="tx1"/>
                  </w14:solidFill>
                </w14:textFill>
              </w:rPr>
              <w:t>-</w:t>
            </w:r>
            <w:r>
              <w:rPr>
                <w:rFonts w:hint="eastAsia" w:cs="Times New Roman"/>
                <w:color w:val="000000" w:themeColor="text1"/>
                <w:sz w:val="18"/>
                <w:szCs w:val="18"/>
                <w14:textFill>
                  <w14:solidFill>
                    <w14:schemeClr w14:val="tx1"/>
                  </w14:solidFill>
                </w14:textFill>
              </w:rPr>
              <w:t>2</w:t>
            </w:r>
            <w:r>
              <w:rPr>
                <w:rFonts w:cs="Times New Roman"/>
                <w:color w:val="000000" w:themeColor="text1"/>
                <w:sz w:val="18"/>
                <w:szCs w:val="18"/>
                <w14:textFill>
                  <w14:solidFill>
                    <w14:schemeClr w14:val="tx1"/>
                  </w14:solidFill>
                </w14:textFill>
              </w:rPr>
              <w:t xml:space="preserve"> </w:t>
            </w:r>
            <w:r>
              <w:rPr>
                <w:rFonts w:hint="eastAsia" w:cs="Times New Roman"/>
                <w:color w:val="000000" w:themeColor="text1"/>
                <w:sz w:val="18"/>
                <w:szCs w:val="18"/>
                <w14:textFill>
                  <w14:solidFill>
                    <w14:schemeClr w14:val="tx1"/>
                  </w14:solidFill>
                </w14:textFill>
              </w:rPr>
              <w:t>最大影响范围</w:t>
            </w:r>
            <w:r>
              <w:rPr>
                <w:rFonts w:cs="Times New Roman"/>
                <w:color w:val="000000" w:themeColor="text1"/>
                <w:sz w:val="18"/>
                <w:szCs w:val="18"/>
                <w:u w:val="single"/>
                <w14:textFill>
                  <w14:solidFill>
                    <w14:schemeClr w14:val="tx1"/>
                  </w14:solidFill>
                </w14:textFill>
              </w:rPr>
              <w:t xml:space="preserve"> </w:t>
            </w:r>
            <w:r>
              <w:rPr>
                <w:rFonts w:hint="eastAsia" w:cs="Times New Roman"/>
                <w:color w:val="000000" w:themeColor="text1"/>
                <w:sz w:val="18"/>
                <w:szCs w:val="18"/>
                <w:u w:val="single"/>
                <w14:textFill>
                  <w14:solidFill>
                    <w14:schemeClr w14:val="tx1"/>
                  </w14:solidFill>
                </w14:textFill>
              </w:rPr>
              <w:t xml:space="preserve">90 </w:t>
            </w:r>
            <w:r>
              <w:rPr>
                <w:rFonts w:cs="Times New Roman"/>
                <w:color w:val="000000" w:themeColor="text1"/>
                <w:sz w:val="18"/>
                <w:szCs w:val="18"/>
                <w:u w:val="single"/>
                <w14:textFill>
                  <w14:solidFill>
                    <w14:schemeClr w14:val="tx1"/>
                  </w14:solidFill>
                </w14:textFill>
              </w:rPr>
              <w:t xml:space="preserve"> </w:t>
            </w:r>
            <w:r>
              <w:rPr>
                <w:rFonts w:cs="Times New Roman"/>
                <w:color w:val="000000" w:themeColor="text1"/>
                <w:sz w:val="18"/>
                <w:szCs w:val="18"/>
                <w14:textFill>
                  <w14:solidFill>
                    <w14:schemeClr w14:val="tx1"/>
                  </w14:solidFill>
                </w14:textFill>
              </w:rPr>
              <w:t>m</w:t>
            </w:r>
            <w:r>
              <w:rPr>
                <w:rFonts w:hint="eastAsia" w:cs="Times New Roman"/>
                <w:color w:val="000000" w:themeColor="text1"/>
                <w:sz w:val="18"/>
                <w:szCs w:val="18"/>
                <w14:textFill>
                  <w14:solidFill>
                    <w14:schemeClr w14:val="tx1"/>
                  </w14:solidFill>
                </w14:textFill>
              </w:rPr>
              <w:t>；</w:t>
            </w:r>
          </w:p>
        </w:tc>
      </w:tr>
      <w:tr w14:paraId="73A0795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vMerge w:val="continue"/>
            <w:vAlign w:val="center"/>
          </w:tcPr>
          <w:p w14:paraId="6643B01B">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Merge w:val="continue"/>
            <w:vAlign w:val="center"/>
          </w:tcPr>
          <w:p w14:paraId="12120C93">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gridSpan w:val="3"/>
            <w:vMerge w:val="continue"/>
            <w:vAlign w:val="center"/>
          </w:tcPr>
          <w:p w14:paraId="1C901AB8">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gridSpan w:val="14"/>
            <w:vAlign w:val="center"/>
          </w:tcPr>
          <w:p w14:paraId="2B089EF8">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最常见气象条件下，盐酸泄漏未超出大气毒性终点浓度1及大气毒性终点浓度2</w:t>
            </w:r>
          </w:p>
        </w:tc>
      </w:tr>
      <w:tr w14:paraId="77F3365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vMerge w:val="continue"/>
            <w:vAlign w:val="center"/>
          </w:tcPr>
          <w:p w14:paraId="5924B0D7">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Align w:val="center"/>
          </w:tcPr>
          <w:p w14:paraId="2E94E1E8">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地表水</w:t>
            </w:r>
          </w:p>
        </w:tc>
        <w:tc>
          <w:tcPr>
            <w:tcW w:w="0" w:type="auto"/>
            <w:gridSpan w:val="17"/>
            <w:vAlign w:val="center"/>
          </w:tcPr>
          <w:p w14:paraId="256056C9">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最近环境敏感目标</w:t>
            </w:r>
            <w:r>
              <w:rPr>
                <w:rFonts w:cs="Times New Roman"/>
                <w:color w:val="000000" w:themeColor="text1"/>
                <w:sz w:val="18"/>
                <w:szCs w:val="18"/>
                <w:u w:val="single"/>
                <w14:textFill>
                  <w14:solidFill>
                    <w14:schemeClr w14:val="tx1"/>
                  </w14:solidFill>
                </w14:textFill>
              </w:rPr>
              <w:t xml:space="preserve"> </w:t>
            </w:r>
            <w:r>
              <w:rPr>
                <w:rFonts w:hint="eastAsia" w:cs="Times New Roman"/>
                <w:color w:val="000000" w:themeColor="text1"/>
                <w:sz w:val="18"/>
                <w:szCs w:val="18"/>
                <w:u w:val="single"/>
                <w14:textFill>
                  <w14:solidFill>
                    <w14:schemeClr w14:val="tx1"/>
                  </w14:solidFill>
                </w14:textFill>
              </w:rPr>
              <w:t xml:space="preserve"> </w:t>
            </w:r>
            <w:r>
              <w:rPr>
                <w:rFonts w:cs="Times New Roman"/>
                <w:color w:val="000000" w:themeColor="text1"/>
                <w:sz w:val="18"/>
                <w:szCs w:val="18"/>
                <w:u w:val="single"/>
                <w14:textFill>
                  <w14:solidFill>
                    <w14:schemeClr w14:val="tx1"/>
                  </w14:solidFill>
                </w14:textFill>
              </w:rPr>
              <w:t xml:space="preserve">  </w:t>
            </w:r>
            <w:r>
              <w:rPr>
                <w:rFonts w:hint="eastAsia" w:cs="Times New Roman"/>
                <w:color w:val="000000" w:themeColor="text1"/>
                <w:sz w:val="18"/>
                <w:szCs w:val="18"/>
                <w14:textFill>
                  <w14:solidFill>
                    <w14:schemeClr w14:val="tx1"/>
                  </w14:solidFill>
                </w14:textFill>
              </w:rPr>
              <w:t>，到达时间</w:t>
            </w:r>
            <w:r>
              <w:rPr>
                <w:rFonts w:cs="Times New Roman"/>
                <w:color w:val="000000" w:themeColor="text1"/>
                <w:sz w:val="18"/>
                <w:szCs w:val="18"/>
                <w:u w:val="single"/>
                <w14:textFill>
                  <w14:solidFill>
                    <w14:schemeClr w14:val="tx1"/>
                  </w14:solidFill>
                </w14:textFill>
              </w:rPr>
              <w:t xml:space="preserve"> </w:t>
            </w:r>
            <w:r>
              <w:rPr>
                <w:rFonts w:hint="eastAsia" w:cs="Times New Roman"/>
                <w:color w:val="000000" w:themeColor="text1"/>
                <w:sz w:val="18"/>
                <w:szCs w:val="18"/>
                <w:u w:val="single"/>
                <w14:textFill>
                  <w14:solidFill>
                    <w14:schemeClr w14:val="tx1"/>
                  </w14:solidFill>
                </w14:textFill>
              </w:rPr>
              <w:t xml:space="preserve">  </w:t>
            </w:r>
            <w:r>
              <w:rPr>
                <w:rFonts w:cs="Times New Roman"/>
                <w:color w:val="000000" w:themeColor="text1"/>
                <w:sz w:val="18"/>
                <w:szCs w:val="18"/>
                <w:u w:val="single"/>
                <w14:textFill>
                  <w14:solidFill>
                    <w14:schemeClr w14:val="tx1"/>
                  </w14:solidFill>
                </w14:textFill>
              </w:rPr>
              <w:t xml:space="preserve">  </w:t>
            </w:r>
            <w:r>
              <w:rPr>
                <w:rFonts w:cs="Times New Roman"/>
                <w:color w:val="000000" w:themeColor="text1"/>
                <w:sz w:val="18"/>
                <w:szCs w:val="18"/>
                <w14:textFill>
                  <w14:solidFill>
                    <w14:schemeClr w14:val="tx1"/>
                  </w14:solidFill>
                </w14:textFill>
              </w:rPr>
              <w:t>h</w:t>
            </w:r>
          </w:p>
        </w:tc>
      </w:tr>
      <w:tr w14:paraId="43AB735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vMerge w:val="continue"/>
            <w:vAlign w:val="center"/>
          </w:tcPr>
          <w:p w14:paraId="7D452546">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Merge w:val="restart"/>
            <w:vAlign w:val="center"/>
          </w:tcPr>
          <w:p w14:paraId="16F28D06">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地下水</w:t>
            </w:r>
          </w:p>
        </w:tc>
        <w:tc>
          <w:tcPr>
            <w:tcW w:w="0" w:type="auto"/>
            <w:gridSpan w:val="17"/>
            <w:vAlign w:val="center"/>
          </w:tcPr>
          <w:p w14:paraId="635ED597">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下游厂区边界到达时间</w:t>
            </w:r>
            <w:r>
              <w:rPr>
                <w:rFonts w:cs="Times New Roman"/>
                <w:color w:val="000000" w:themeColor="text1"/>
                <w:sz w:val="18"/>
                <w:szCs w:val="18"/>
                <w:u w:val="single"/>
                <w14:textFill>
                  <w14:solidFill>
                    <w14:schemeClr w14:val="tx1"/>
                  </w14:solidFill>
                </w14:textFill>
              </w:rPr>
              <w:t xml:space="preserve">  </w:t>
            </w:r>
            <w:r>
              <w:rPr>
                <w:rFonts w:hint="eastAsia" w:cs="Times New Roman"/>
                <w:color w:val="000000" w:themeColor="text1"/>
                <w:sz w:val="18"/>
                <w:szCs w:val="18"/>
                <w:u w:val="single"/>
                <w14:textFill>
                  <w14:solidFill>
                    <w14:schemeClr w14:val="tx1"/>
                  </w14:solidFill>
                </w14:textFill>
              </w:rPr>
              <w:t xml:space="preserve"> </w:t>
            </w:r>
            <w:r>
              <w:rPr>
                <w:rFonts w:cs="Times New Roman"/>
                <w:color w:val="000000" w:themeColor="text1"/>
                <w:sz w:val="18"/>
                <w:szCs w:val="18"/>
                <w:u w:val="single"/>
                <w14:textFill>
                  <w14:solidFill>
                    <w14:schemeClr w14:val="tx1"/>
                  </w14:solidFill>
                </w14:textFill>
              </w:rPr>
              <w:t xml:space="preserve">  </w:t>
            </w:r>
            <w:r>
              <w:rPr>
                <w:rFonts w:cs="Times New Roman"/>
                <w:color w:val="000000" w:themeColor="text1"/>
                <w:sz w:val="18"/>
                <w:szCs w:val="18"/>
                <w14:textFill>
                  <w14:solidFill>
                    <w14:schemeClr w14:val="tx1"/>
                  </w14:solidFill>
                </w14:textFill>
              </w:rPr>
              <w:t>d</w:t>
            </w:r>
          </w:p>
        </w:tc>
      </w:tr>
      <w:tr w14:paraId="5A37255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vMerge w:val="continue"/>
            <w:vAlign w:val="center"/>
          </w:tcPr>
          <w:p w14:paraId="4736AED4">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vMerge w:val="continue"/>
            <w:vAlign w:val="center"/>
          </w:tcPr>
          <w:p w14:paraId="1BF2F77C">
            <w:pPr>
              <w:adjustRightInd/>
              <w:spacing w:line="240" w:lineRule="auto"/>
              <w:ind w:firstLine="0" w:firstLineChars="0"/>
              <w:jc w:val="center"/>
              <w:rPr>
                <w:rFonts w:cs="Times New Roman"/>
                <w:color w:val="000000" w:themeColor="text1"/>
                <w:sz w:val="18"/>
                <w:szCs w:val="18"/>
                <w14:textFill>
                  <w14:solidFill>
                    <w14:schemeClr w14:val="tx1"/>
                  </w14:solidFill>
                </w14:textFill>
              </w:rPr>
            </w:pPr>
          </w:p>
        </w:tc>
        <w:tc>
          <w:tcPr>
            <w:tcW w:w="0" w:type="auto"/>
            <w:gridSpan w:val="17"/>
            <w:vAlign w:val="center"/>
          </w:tcPr>
          <w:p w14:paraId="216D08C5">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最近环境敏感目标</w:t>
            </w:r>
            <w:r>
              <w:rPr>
                <w:rFonts w:cs="Times New Roman"/>
                <w:color w:val="000000" w:themeColor="text1"/>
                <w:sz w:val="18"/>
                <w:szCs w:val="18"/>
                <w:u w:val="single"/>
                <w14:textFill>
                  <w14:solidFill>
                    <w14:schemeClr w14:val="tx1"/>
                  </w14:solidFill>
                </w14:textFill>
              </w:rPr>
              <w:t xml:space="preserve">  </w:t>
            </w:r>
            <w:r>
              <w:rPr>
                <w:rFonts w:hint="eastAsia" w:cs="Times New Roman"/>
                <w:color w:val="000000" w:themeColor="text1"/>
                <w:sz w:val="18"/>
                <w:szCs w:val="18"/>
                <w:u w:val="single"/>
                <w14:textFill>
                  <w14:solidFill>
                    <w14:schemeClr w14:val="tx1"/>
                  </w14:solidFill>
                </w14:textFill>
              </w:rPr>
              <w:t xml:space="preserve"> </w:t>
            </w:r>
            <w:r>
              <w:rPr>
                <w:rFonts w:cs="Times New Roman"/>
                <w:color w:val="000000" w:themeColor="text1"/>
                <w:sz w:val="18"/>
                <w:szCs w:val="18"/>
                <w:u w:val="single"/>
                <w14:textFill>
                  <w14:solidFill>
                    <w14:schemeClr w14:val="tx1"/>
                  </w14:solidFill>
                </w14:textFill>
              </w:rPr>
              <w:t xml:space="preserve">  </w:t>
            </w:r>
            <w:r>
              <w:rPr>
                <w:rFonts w:hint="eastAsia" w:cs="Times New Roman"/>
                <w:color w:val="000000" w:themeColor="text1"/>
                <w:sz w:val="18"/>
                <w:szCs w:val="18"/>
                <w14:textFill>
                  <w14:solidFill>
                    <w14:schemeClr w14:val="tx1"/>
                  </w14:solidFill>
                </w14:textFill>
              </w:rPr>
              <w:t>，到达时间</w:t>
            </w:r>
            <w:r>
              <w:rPr>
                <w:rFonts w:cs="Times New Roman"/>
                <w:color w:val="000000" w:themeColor="text1"/>
                <w:sz w:val="18"/>
                <w:szCs w:val="18"/>
                <w:u w:val="single"/>
                <w14:textFill>
                  <w14:solidFill>
                    <w14:schemeClr w14:val="tx1"/>
                  </w14:solidFill>
                </w14:textFill>
              </w:rPr>
              <w:t xml:space="preserve"> </w:t>
            </w:r>
            <w:r>
              <w:rPr>
                <w:rFonts w:hint="eastAsia" w:cs="Times New Roman"/>
                <w:color w:val="000000" w:themeColor="text1"/>
                <w:sz w:val="18"/>
                <w:szCs w:val="18"/>
                <w:u w:val="single"/>
                <w14:textFill>
                  <w14:solidFill>
                    <w14:schemeClr w14:val="tx1"/>
                  </w14:solidFill>
                </w14:textFill>
              </w:rPr>
              <w:t xml:space="preserve">   </w:t>
            </w:r>
            <w:r>
              <w:rPr>
                <w:rFonts w:cs="Times New Roman"/>
                <w:color w:val="000000" w:themeColor="text1"/>
                <w:sz w:val="18"/>
                <w:szCs w:val="18"/>
                <w:u w:val="single"/>
                <w14:textFill>
                  <w14:solidFill>
                    <w14:schemeClr w14:val="tx1"/>
                  </w14:solidFill>
                </w14:textFill>
              </w:rPr>
              <w:t xml:space="preserve"> </w:t>
            </w:r>
            <w:r>
              <w:rPr>
                <w:rFonts w:cs="Times New Roman"/>
                <w:color w:val="000000" w:themeColor="text1"/>
                <w:sz w:val="18"/>
                <w:szCs w:val="18"/>
                <w14:textFill>
                  <w14:solidFill>
                    <w14:schemeClr w14:val="tx1"/>
                  </w14:solidFill>
                </w14:textFill>
              </w:rPr>
              <w:t>d</w:t>
            </w:r>
          </w:p>
        </w:tc>
      </w:tr>
      <w:tr w14:paraId="61512B0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gridSpan w:val="2"/>
            <w:vAlign w:val="center"/>
          </w:tcPr>
          <w:p w14:paraId="2A4503BD">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重点风险防范措施</w:t>
            </w:r>
          </w:p>
        </w:tc>
        <w:tc>
          <w:tcPr>
            <w:tcW w:w="0" w:type="auto"/>
            <w:gridSpan w:val="17"/>
            <w:vAlign w:val="center"/>
          </w:tcPr>
          <w:p w14:paraId="62FBCF7B">
            <w:pPr>
              <w:adjustRightInd/>
              <w:spacing w:line="240" w:lineRule="auto"/>
              <w:ind w:firstLine="0" w:firstLineChars="0"/>
              <w:jc w:val="center"/>
              <w:rPr>
                <w:rFonts w:hint="eastAsia" w:eastAsia="宋体" w:cs="Times New Roman"/>
                <w:color w:val="000000" w:themeColor="text1"/>
                <w:sz w:val="18"/>
                <w:szCs w:val="18"/>
                <w:lang w:eastAsia="zh-CN"/>
                <w14:textFill>
                  <w14:solidFill>
                    <w14:schemeClr w14:val="tx1"/>
                  </w14:solidFill>
                </w14:textFill>
              </w:rPr>
            </w:pPr>
            <w:r>
              <w:rPr>
                <w:rFonts w:cs="Times New Roman"/>
                <w:color w:val="000000" w:themeColor="text1"/>
                <w:sz w:val="18"/>
                <w:szCs w:val="18"/>
                <w14:textFill>
                  <w14:solidFill>
                    <w14:schemeClr w14:val="tx1"/>
                  </w14:solidFill>
                </w14:textFill>
              </w:rPr>
              <w:t>危险化学品、危险废物按规范要求暂存、运输及处置；事故废水三级防控体系</w:t>
            </w:r>
            <w:r>
              <w:rPr>
                <w:rFonts w:hint="eastAsia" w:cs="Times New Roman"/>
                <w:color w:val="000000" w:themeColor="text1"/>
                <w:sz w:val="18"/>
                <w:szCs w:val="18"/>
                <w:lang w:eastAsia="zh-CN"/>
                <w14:textFill>
                  <w14:solidFill>
                    <w14:schemeClr w14:val="tx1"/>
                  </w14:solidFill>
                </w14:textFill>
              </w:rPr>
              <w:t>；氯气、</w:t>
            </w:r>
            <w:r>
              <w:rPr>
                <w:rFonts w:hint="eastAsia" w:cs="Times New Roman"/>
                <w:color w:val="000000" w:themeColor="text1"/>
                <w:sz w:val="18"/>
                <w:szCs w:val="18"/>
                <w:lang w:val="en-US" w:eastAsia="zh-CN"/>
                <w14:textFill>
                  <w14:solidFill>
                    <w14:schemeClr w14:val="tx1"/>
                  </w14:solidFill>
                </w14:textFill>
              </w:rPr>
              <w:t>氯化氢、氢气</w:t>
            </w:r>
            <w:r>
              <w:rPr>
                <w:rFonts w:hint="eastAsia" w:cs="Times New Roman"/>
                <w:color w:val="000000" w:themeColor="text1"/>
                <w:sz w:val="18"/>
                <w:szCs w:val="18"/>
                <w:lang w:eastAsia="zh-CN"/>
                <w14:textFill>
                  <w14:solidFill>
                    <w14:schemeClr w14:val="tx1"/>
                  </w14:solidFill>
                </w14:textFill>
              </w:rPr>
              <w:t>泄漏报警装置</w:t>
            </w:r>
          </w:p>
        </w:tc>
      </w:tr>
      <w:tr w14:paraId="433A789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gridSpan w:val="2"/>
            <w:vAlign w:val="center"/>
          </w:tcPr>
          <w:p w14:paraId="782AED38">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评价结论与建议</w:t>
            </w:r>
          </w:p>
        </w:tc>
        <w:tc>
          <w:tcPr>
            <w:tcW w:w="0" w:type="auto"/>
            <w:gridSpan w:val="17"/>
            <w:vAlign w:val="center"/>
          </w:tcPr>
          <w:p w14:paraId="5D63E76C">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构成重大危险源，采取本项目提出的各项环节风险防控措施后，环境风险可接受。</w:t>
            </w:r>
          </w:p>
        </w:tc>
      </w:tr>
      <w:tr w14:paraId="74F6C2E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0" w:hRule="atLeast"/>
        </w:trPr>
        <w:tc>
          <w:tcPr>
            <w:tcW w:w="0" w:type="auto"/>
            <w:gridSpan w:val="19"/>
            <w:vAlign w:val="center"/>
          </w:tcPr>
          <w:p w14:paraId="0EB792BD">
            <w:pPr>
              <w:adjustRightInd/>
              <w:spacing w:line="240" w:lineRule="auto"/>
              <w:ind w:firstLine="0" w:firstLineChars="0"/>
              <w:jc w:val="center"/>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注：“□”为勾选项，“</w:t>
            </w:r>
            <w:r>
              <w:rPr>
                <w:rFonts w:cs="Times New Roman"/>
                <w:color w:val="000000" w:themeColor="text1"/>
                <w:sz w:val="18"/>
                <w:szCs w:val="18"/>
                <w:u w:val="single"/>
                <w14:textFill>
                  <w14:solidFill>
                    <w14:schemeClr w14:val="tx1"/>
                  </w14:solidFill>
                </w14:textFill>
              </w:rPr>
              <w:t xml:space="preserve">  </w:t>
            </w:r>
            <w:r>
              <w:rPr>
                <w:rFonts w:hint="eastAsia" w:cs="Times New Roman"/>
                <w:color w:val="000000" w:themeColor="text1"/>
                <w:sz w:val="18"/>
                <w:szCs w:val="18"/>
                <w:u w:val="single"/>
                <w14:textFill>
                  <w14:solidFill>
                    <w14:schemeClr w14:val="tx1"/>
                  </w14:solidFill>
                </w14:textFill>
              </w:rPr>
              <w:t xml:space="preserve"> </w:t>
            </w:r>
            <w:r>
              <w:rPr>
                <w:rFonts w:cs="Times New Roman"/>
                <w:color w:val="000000" w:themeColor="text1"/>
                <w:sz w:val="18"/>
                <w:szCs w:val="18"/>
                <w:u w:val="single"/>
                <w14:textFill>
                  <w14:solidFill>
                    <w14:schemeClr w14:val="tx1"/>
                  </w14:solidFill>
                </w14:textFill>
              </w:rPr>
              <w:t xml:space="preserve">  </w:t>
            </w:r>
            <w:r>
              <w:rPr>
                <w:rFonts w:hint="eastAsia" w:cs="Times New Roman"/>
                <w:color w:val="000000" w:themeColor="text1"/>
                <w:sz w:val="18"/>
                <w:szCs w:val="18"/>
                <w14:textFill>
                  <w14:solidFill>
                    <w14:schemeClr w14:val="tx1"/>
                  </w14:solidFill>
                </w14:textFill>
              </w:rPr>
              <w:t>”为填写项。</w:t>
            </w:r>
          </w:p>
        </w:tc>
      </w:tr>
    </w:tbl>
    <w:p w14:paraId="7DF27E82">
      <w:pPr>
        <w:ind w:firstLine="0" w:firstLineChars="0"/>
      </w:pPr>
    </w:p>
    <w:p w14:paraId="6B4A9002">
      <w:pPr>
        <w:pStyle w:val="2"/>
        <w:numPr>
          <w:ilvl w:val="0"/>
          <w:numId w:val="1"/>
        </w:numPr>
        <w:spacing w:before="312" w:after="624"/>
      </w:pPr>
      <w:bookmarkStart w:id="324" w:name="_Toc17493"/>
      <w:bookmarkStart w:id="325" w:name="_Toc3527"/>
      <w:bookmarkStart w:id="326" w:name="_Toc22753"/>
      <w:r>
        <w:rPr>
          <w:rFonts w:hint="eastAsia"/>
        </w:rPr>
        <w:t>污染防治措施的经济技术可行性分析</w:t>
      </w:r>
      <w:bookmarkEnd w:id="324"/>
      <w:bookmarkEnd w:id="325"/>
      <w:bookmarkEnd w:id="326"/>
    </w:p>
    <w:p w14:paraId="64C6CF85">
      <w:pPr>
        <w:pStyle w:val="3"/>
        <w:numPr>
          <w:ilvl w:val="1"/>
          <w:numId w:val="1"/>
        </w:numPr>
      </w:pPr>
      <w:bookmarkStart w:id="327" w:name="_Toc10323"/>
      <w:bookmarkStart w:id="328" w:name="_Toc5501"/>
      <w:bookmarkStart w:id="329" w:name="_Toc1544"/>
      <w:bookmarkStart w:id="330" w:name="_Toc24785"/>
      <w:bookmarkStart w:id="331" w:name="_Toc29745"/>
      <w:r>
        <w:rPr>
          <w:rFonts w:hint="eastAsia"/>
        </w:rPr>
        <w:t>废水处理措施可行性分析</w:t>
      </w:r>
      <w:bookmarkEnd w:id="327"/>
      <w:bookmarkEnd w:id="328"/>
      <w:bookmarkEnd w:id="329"/>
    </w:p>
    <w:p w14:paraId="1D30B172">
      <w:pPr>
        <w:ind w:firstLine="480"/>
      </w:pPr>
      <w:r>
        <w:rPr>
          <w:rFonts w:hint="eastAsia"/>
        </w:rPr>
        <w:t xml:space="preserve"> 本项目营运期主要废水有碱喷淋废水、真空冷凝水、电解槽清洗废水、膜酸洗废水、离子树脂清洗废水、纯水制备排水、循环冷却排水、地面清洗废水、洗车废水、员工清洁废水、化验室废水、初期雨水、生活污水等。正常生产期间，碱喷淋废水、真空冷凝水、电解槽清洗废水、膜酸洗废水、离子树脂清洗废水等生产废水直接回用于生产，不外排；纯水制备排水、循环冷却排水、地面清洗废水、洗车废水、员工清洁废水、化验室废水、初期雨水等其他废水进入厂内废水经“混凝沉淀+砂滤”处理后回用于生产，不外排。非生产期间，初期雨水经“混凝沉淀+砂滤+离子树脂交换”处理后达标排入松木污水处理厂进一步处理。生活污水经厂内化粪池预处理达标后通过园区污水管网排入松木污水处理厂进一步处理。通过以上措施，本项目的实施对本区域水环境影响较小。</w:t>
      </w:r>
    </w:p>
    <w:p w14:paraId="2838C270">
      <w:pPr>
        <w:pStyle w:val="4"/>
        <w:numPr>
          <w:ilvl w:val="2"/>
          <w:numId w:val="1"/>
        </w:numPr>
      </w:pPr>
      <w:r>
        <w:rPr>
          <w:rFonts w:hint="eastAsia"/>
        </w:rPr>
        <w:t>厂区废水站简介</w:t>
      </w:r>
    </w:p>
    <w:p w14:paraId="36517A7C">
      <w:pPr>
        <w:ind w:firstLine="480"/>
        <w:rPr>
          <w:rFonts w:hint="eastAsia"/>
        </w:rPr>
      </w:pPr>
      <w:r>
        <w:rPr>
          <w:rFonts w:hint="eastAsia"/>
        </w:rPr>
        <w:t>厂区废水站处理废水主要包括纯水制备排水、循环冷却排水、</w:t>
      </w:r>
      <w:r>
        <w:rPr>
          <w:rFonts w:hint="eastAsia"/>
          <w:lang w:eastAsia="zh-CN"/>
        </w:rPr>
        <w:t>地面清洗废水、洗车废水</w:t>
      </w:r>
      <w:r>
        <w:rPr>
          <w:rFonts w:hint="eastAsia"/>
        </w:rPr>
        <w:t>、</w:t>
      </w:r>
      <w:r>
        <w:rPr>
          <w:rFonts w:hint="eastAsia"/>
          <w:lang w:val="en-US" w:eastAsia="zh-CN"/>
        </w:rPr>
        <w:t>员工清洁废水、</w:t>
      </w:r>
      <w:r>
        <w:rPr>
          <w:rFonts w:hint="eastAsia"/>
        </w:rPr>
        <w:t>化验室废水</w:t>
      </w:r>
      <w:r>
        <w:rPr>
          <w:rFonts w:hint="eastAsia"/>
          <w:lang w:eastAsia="zh-CN"/>
        </w:rPr>
        <w:t>、</w:t>
      </w:r>
      <w:r>
        <w:rPr>
          <w:rFonts w:hint="eastAsia"/>
          <w:lang w:val="en-US" w:eastAsia="zh-CN"/>
        </w:rPr>
        <w:t>初期雨水等</w:t>
      </w:r>
      <w:r>
        <w:rPr>
          <w:rFonts w:hint="eastAsia"/>
        </w:rPr>
        <w:t>，其主要污染因子为SS、钙镁离子、高氯酸根等。</w:t>
      </w:r>
    </w:p>
    <w:p w14:paraId="6DC08279">
      <w:pPr>
        <w:ind w:firstLine="480"/>
        <w:rPr>
          <w:rFonts w:hint="eastAsia"/>
          <w:lang w:eastAsia="zh-CN"/>
        </w:rPr>
      </w:pPr>
      <w:r>
        <w:rPr>
          <w:rFonts w:hint="eastAsia"/>
          <w:lang w:val="en-US" w:eastAsia="zh-CN"/>
        </w:rPr>
        <w:t>正常生产期间，厂区废水站主要</w:t>
      </w:r>
      <w:r>
        <w:rPr>
          <w:rFonts w:hint="eastAsia"/>
        </w:rPr>
        <w:t>水量来源纯水制备排水、地面冲洗废水</w:t>
      </w:r>
      <w:r>
        <w:rPr>
          <w:rFonts w:hint="eastAsia"/>
          <w:lang w:eastAsia="zh-CN"/>
        </w:rPr>
        <w:t>，纯水制备排水、循环冷却排水、地面清洗废水、洗车废水、员工清洁废水</w:t>
      </w:r>
      <w:r>
        <w:rPr>
          <w:rFonts w:hint="eastAsia"/>
          <w:lang w:val="en-US" w:eastAsia="zh-CN"/>
        </w:rPr>
        <w:t>、</w:t>
      </w:r>
      <w:r>
        <w:rPr>
          <w:rFonts w:hint="eastAsia"/>
          <w:lang w:eastAsia="zh-CN"/>
        </w:rPr>
        <w:t>化验室废水、初期雨水等进入厂内废水站经混凝沉淀+砂滤处理后回用于生产，不外排。</w:t>
      </w:r>
    </w:p>
    <w:p w14:paraId="4F5E54AA">
      <w:pPr>
        <w:ind w:firstLine="480"/>
      </w:pPr>
      <w:r>
        <w:rPr>
          <w:rFonts w:hint="eastAsia"/>
        </w:rPr>
        <w:t>厂区废水站进水主要含SS、钙镁离子，由于</w:t>
      </w:r>
      <w:r>
        <w:rPr>
          <w:rFonts w:hint="eastAsia"/>
          <w:lang w:val="en-US" w:eastAsia="zh-CN"/>
        </w:rPr>
        <w:t>正常生产期间，</w:t>
      </w:r>
      <w:r>
        <w:rPr>
          <w:rFonts w:hint="eastAsia"/>
        </w:rPr>
        <w:t>废水站出水回用于化盐工序，因此废水处理的重点为SS、钙镁离子。</w:t>
      </w:r>
      <w:r>
        <w:rPr>
          <w:rFonts w:hint="eastAsia"/>
          <w:lang w:val="en-US" w:eastAsia="zh-CN"/>
        </w:rPr>
        <w:t>本项目拟采用</w:t>
      </w:r>
      <w:r>
        <w:rPr>
          <w:rFonts w:hint="eastAsia"/>
          <w:lang w:eastAsia="zh-CN"/>
        </w:rPr>
        <w:t>“混凝沉淀+砂滤”处理</w:t>
      </w:r>
      <w:r>
        <w:rPr>
          <w:rFonts w:hint="eastAsia"/>
        </w:rPr>
        <w:t>后回用。</w:t>
      </w:r>
      <w:r>
        <w:rPr>
          <w:rFonts w:hint="eastAsia"/>
          <w:lang w:val="en-US" w:eastAsia="zh-CN"/>
        </w:rPr>
        <w:t>处理后产生的</w:t>
      </w:r>
      <w:r>
        <w:rPr>
          <w:rFonts w:hint="eastAsia"/>
        </w:rPr>
        <w:t>污泥</w:t>
      </w:r>
      <w:r>
        <w:rPr>
          <w:rFonts w:hint="eastAsia"/>
          <w:lang w:val="en-US" w:eastAsia="zh-CN"/>
        </w:rPr>
        <w:t>主要成分为钙镁沉淀等不溶物，污泥</w:t>
      </w:r>
      <w:r>
        <w:rPr>
          <w:rFonts w:hint="eastAsia"/>
        </w:rPr>
        <w:t>采用压滤机压滤，泥饼与厂区除杂滤渣一并处理，交由建材厂利用</w:t>
      </w:r>
      <w:r>
        <w:rPr>
          <w:rFonts w:hint="eastAsia"/>
          <w:lang w:val="en-US" w:eastAsia="zh-CN"/>
        </w:rPr>
        <w:t>或外售综合利用</w:t>
      </w:r>
      <w:r>
        <w:rPr>
          <w:rFonts w:hint="eastAsia"/>
        </w:rPr>
        <w:t>。</w:t>
      </w:r>
    </w:p>
    <w:p w14:paraId="3552B4A3">
      <w:pPr>
        <w:ind w:firstLine="480"/>
        <w:rPr>
          <w:rFonts w:hint="eastAsia"/>
          <w:highlight w:val="none"/>
        </w:rPr>
      </w:pPr>
      <w:r>
        <w:rPr>
          <w:rFonts w:hint="eastAsia"/>
          <w:highlight w:val="none"/>
        </w:rPr>
        <w:t>根据工程分析，</w:t>
      </w:r>
      <w:r>
        <w:rPr>
          <w:rFonts w:hint="eastAsia"/>
          <w:highlight w:val="none"/>
          <w:lang w:val="en-US" w:eastAsia="zh-CN"/>
        </w:rPr>
        <w:t>正常生产期间，初期雨水按20次/年计，</w:t>
      </w:r>
      <w:r>
        <w:rPr>
          <w:rFonts w:hint="eastAsia"/>
          <w:highlight w:val="none"/>
        </w:rPr>
        <w:t>废水站处理水量约为</w:t>
      </w:r>
      <w:r>
        <w:rPr>
          <w:rFonts w:hint="eastAsia"/>
          <w:highlight w:val="none"/>
          <w:lang w:val="en-US" w:eastAsia="zh-CN"/>
        </w:rPr>
        <w:t>27074.54.33m</w:t>
      </w:r>
      <w:r>
        <w:rPr>
          <w:rFonts w:hint="eastAsia"/>
          <w:highlight w:val="none"/>
          <w:vertAlign w:val="superscript"/>
        </w:rPr>
        <w:t>3</w:t>
      </w:r>
      <w:r>
        <w:rPr>
          <w:rFonts w:hint="eastAsia"/>
          <w:highlight w:val="none"/>
        </w:rPr>
        <w:t>/a（</w:t>
      </w:r>
      <w:r>
        <w:rPr>
          <w:rFonts w:hint="eastAsia"/>
          <w:highlight w:val="none"/>
          <w:lang w:val="en-US" w:eastAsia="zh-CN"/>
        </w:rPr>
        <w:t>90.257</w:t>
      </w:r>
      <w:r>
        <w:rPr>
          <w:rFonts w:hint="eastAsia"/>
          <w:highlight w:val="none"/>
        </w:rPr>
        <w:t>m</w:t>
      </w:r>
      <w:r>
        <w:rPr>
          <w:rFonts w:hint="eastAsia"/>
          <w:highlight w:val="none"/>
          <w:vertAlign w:val="superscript"/>
        </w:rPr>
        <w:t>3</w:t>
      </w:r>
      <w:r>
        <w:rPr>
          <w:rFonts w:hint="eastAsia"/>
          <w:highlight w:val="none"/>
        </w:rPr>
        <w:t>/d），考虑生产废水产生量的波动性，废水站设计建议为</w:t>
      </w:r>
      <w:r>
        <w:rPr>
          <w:rFonts w:hint="eastAsia"/>
          <w:highlight w:val="none"/>
          <w:lang w:val="en-US" w:eastAsia="zh-CN"/>
        </w:rPr>
        <w:t>36000</w:t>
      </w:r>
      <w:r>
        <w:rPr>
          <w:rFonts w:hint="eastAsia"/>
          <w:highlight w:val="none"/>
        </w:rPr>
        <w:t>m</w:t>
      </w:r>
      <w:r>
        <w:rPr>
          <w:rFonts w:hint="eastAsia"/>
          <w:highlight w:val="none"/>
          <w:vertAlign w:val="superscript"/>
        </w:rPr>
        <w:t>3</w:t>
      </w:r>
      <w:r>
        <w:rPr>
          <w:rFonts w:hint="eastAsia"/>
          <w:highlight w:val="none"/>
        </w:rPr>
        <w:t>/a（</w:t>
      </w:r>
      <w:r>
        <w:rPr>
          <w:rFonts w:hint="eastAsia"/>
          <w:highlight w:val="none"/>
          <w:lang w:val="en-US" w:eastAsia="zh-CN"/>
        </w:rPr>
        <w:t>120</w:t>
      </w:r>
      <w:r>
        <w:rPr>
          <w:rFonts w:hint="eastAsia"/>
          <w:highlight w:val="none"/>
        </w:rPr>
        <w:t>m</w:t>
      </w:r>
      <w:r>
        <w:rPr>
          <w:rFonts w:hint="eastAsia"/>
          <w:highlight w:val="none"/>
          <w:vertAlign w:val="superscript"/>
        </w:rPr>
        <w:t>3</w:t>
      </w:r>
      <w:r>
        <w:rPr>
          <w:rFonts w:hint="eastAsia"/>
          <w:highlight w:val="none"/>
        </w:rPr>
        <w:t>/d）。</w:t>
      </w:r>
    </w:p>
    <w:p w14:paraId="4FCFFB7E">
      <w:pPr>
        <w:ind w:firstLine="480"/>
        <w:rPr>
          <w:rFonts w:hint="eastAsia"/>
          <w:lang w:val="en-US" w:eastAsia="zh-CN"/>
        </w:rPr>
      </w:pPr>
      <w:r>
        <w:rPr>
          <w:rFonts w:hint="eastAsia"/>
        </w:rPr>
        <w:t>非生产期间，</w:t>
      </w:r>
      <w:r>
        <w:rPr>
          <w:rFonts w:hint="eastAsia"/>
          <w:lang w:val="en-US" w:eastAsia="zh-CN"/>
        </w:rPr>
        <w:t>废水站进水主要为</w:t>
      </w:r>
      <w:r>
        <w:rPr>
          <w:rFonts w:hint="eastAsia"/>
        </w:rPr>
        <w:t>初期雨水</w:t>
      </w:r>
      <w:r>
        <w:rPr>
          <w:rFonts w:hint="eastAsia"/>
          <w:lang w:eastAsia="zh-CN"/>
        </w:rPr>
        <w:t>，</w:t>
      </w:r>
      <w:r>
        <w:rPr>
          <w:rFonts w:hint="eastAsia"/>
          <w:lang w:val="en-US" w:eastAsia="zh-CN"/>
        </w:rPr>
        <w:t>由于非生产期间初期雨水无法回用，因此考虑将非生产期间多余的初期雨水处理后排入松木污水处理厂进一步处理。非生产期间，初期雨水经“混凝沉淀+砂滤+树脂离子交换”处理后达标排入松木污水处理厂进一步处理。</w:t>
      </w:r>
    </w:p>
    <w:p w14:paraId="6C0BBFFB">
      <w:pPr>
        <w:ind w:firstLine="480"/>
        <w:rPr>
          <w:rFonts w:hint="eastAsia"/>
          <w:lang w:val="en-US" w:eastAsia="zh-CN"/>
        </w:rPr>
      </w:pPr>
      <w:r>
        <w:rPr>
          <w:rFonts w:hint="eastAsia"/>
          <w:lang w:val="en-US" w:eastAsia="zh-CN"/>
        </w:rPr>
        <w:t>参照</w:t>
      </w:r>
      <w:r>
        <w:rPr>
          <w:rFonts w:hint="eastAsia"/>
        </w:rPr>
        <w:t>《工业废水高氯酸盐污染物排放标准》编制说明（征求意见稿）</w:t>
      </w:r>
      <w:r>
        <w:rPr>
          <w:rFonts w:hint="eastAsia"/>
          <w:lang w:eastAsia="zh-CN"/>
        </w:rPr>
        <w:t>，离子交换是一种比较成熟的高氯酸盐去除方法，其去除高氯酸盐的过程主要是通过离子交换，不需要添加其他材料，且在运行中可以使用高流速，使设备小型化，提高处理效率，降低运行成本。在实验室条件下，改性树脂的最大吸附容量约为90～300 mg/g，对高浓度高氯酸盐的去除率可达99%。针对烟花爆竹企业生产废水，通过“絮凝沉淀—砂滤—离子交换吸附”工艺，可将浓度80～600 mg/L的废水处理至30～50 μg/L，出水可实现直排或回用。</w:t>
      </w:r>
    </w:p>
    <w:p w14:paraId="34006D08">
      <w:pPr>
        <w:pStyle w:val="4"/>
        <w:numPr>
          <w:ilvl w:val="2"/>
          <w:numId w:val="1"/>
        </w:numPr>
      </w:pPr>
      <w:r>
        <w:rPr>
          <w:rFonts w:hint="eastAsia"/>
        </w:rPr>
        <w:t>松木污水处理厂简介</w:t>
      </w:r>
    </w:p>
    <w:p w14:paraId="66574F8F">
      <w:pPr>
        <w:ind w:firstLine="482"/>
      </w:pPr>
      <w:r>
        <w:rPr>
          <w:rFonts w:hint="eastAsia"/>
          <w:b/>
          <w:bCs/>
        </w:rPr>
        <w:t>松木污水处理厂：</w:t>
      </w:r>
      <w:r>
        <w:rPr>
          <w:rFonts w:hint="eastAsia"/>
        </w:rPr>
        <w:t>松木污水处理厂位于衡阳市松木经济开发区新安村观音塘组，占地约54.38亩，承担松木经济开发区北外环路以北片区的污水处理任务。松木污水处理厂于2009年开工建设，2010年建成一期工程第一阶段（规模：1万m3/d），并于2012年通水投入使用，改造前的主体工艺为“水解酸化+A/O”工艺，尾水排入湘江，排污口距下游大浦自来水厂取水口约13km。为减少污水厂进水中重金属对生化工艺的不良影响，2017年底建设单位在松木污水处理厂内建设了重金属废水应急处理设施，当污水厂进水中重金属超标时对废水中的重金属进行处理。重金属废水处理系统设计规模1万m</w:t>
      </w:r>
      <w:r>
        <w:rPr>
          <w:rFonts w:hint="eastAsia"/>
          <w:vertAlign w:val="superscript"/>
        </w:rPr>
        <w:t>3</w:t>
      </w:r>
      <w:r>
        <w:rPr>
          <w:rFonts w:hint="eastAsia"/>
        </w:rPr>
        <w:t>/d，工艺采用“复合配位体水处理生物制剂+铁盐石灰沉淀法”处理工艺。</w:t>
      </w:r>
    </w:p>
    <w:p w14:paraId="36663DE6">
      <w:pPr>
        <w:ind w:firstLine="480"/>
      </w:pPr>
      <w:r>
        <w:rPr>
          <w:rFonts w:hint="eastAsia"/>
        </w:rPr>
        <w:t>松木污水处理厂实际处理规模6000~7000m³/d，正在进行提标改造，改造后出水执行《城镇污水处理厂污染物排放标准》（GB18918-2002）一级A标准，提标改造后松木污水处理厂设计进、出水水质要求为：</w:t>
      </w:r>
    </w:p>
    <w:p w14:paraId="5F7BB4CD">
      <w:pPr>
        <w:pStyle w:val="43"/>
        <w:numPr>
          <w:ilvl w:val="5"/>
          <w:numId w:val="1"/>
        </w:numPr>
        <w:rPr>
          <w:rFonts w:hint="default"/>
        </w:rPr>
      </w:pPr>
      <w:r>
        <w:t>松木污水处理厂提标改造后设计进、出水水质（mg/L，pH无量纲）</w:t>
      </w:r>
    </w:p>
    <w:tbl>
      <w:tblPr>
        <w:tblStyle w:val="32"/>
        <w:tblW w:w="84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18"/>
        <w:gridCol w:w="804"/>
        <w:gridCol w:w="982"/>
        <w:gridCol w:w="805"/>
        <w:gridCol w:w="763"/>
        <w:gridCol w:w="887"/>
        <w:gridCol w:w="763"/>
        <w:gridCol w:w="767"/>
      </w:tblGrid>
      <w:tr w14:paraId="4AA0C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vAlign w:val="center"/>
          </w:tcPr>
          <w:p w14:paraId="2B9B1B94">
            <w:pPr>
              <w:snapToGrid w:val="0"/>
              <w:ind w:firstLine="0" w:firstLineChars="0"/>
              <w:jc w:val="center"/>
              <w:rPr>
                <w:rFonts w:cs="Times New Roman"/>
                <w:b/>
                <w:bCs/>
                <w:sz w:val="21"/>
                <w:szCs w:val="21"/>
                <w:lang w:bidi="en-US"/>
              </w:rPr>
            </w:pPr>
            <w:r>
              <w:rPr>
                <w:rFonts w:cs="Times New Roman"/>
                <w:b/>
                <w:bCs/>
                <w:sz w:val="21"/>
                <w:szCs w:val="21"/>
                <w:lang w:bidi="en-US"/>
              </w:rPr>
              <w:t>项目</w:t>
            </w:r>
          </w:p>
        </w:tc>
        <w:tc>
          <w:tcPr>
            <w:tcW w:w="804" w:type="dxa"/>
            <w:vAlign w:val="center"/>
          </w:tcPr>
          <w:p w14:paraId="339FEAE0">
            <w:pPr>
              <w:snapToGrid w:val="0"/>
              <w:ind w:firstLine="0" w:firstLineChars="0"/>
              <w:jc w:val="center"/>
              <w:rPr>
                <w:rFonts w:cs="Times New Roman"/>
                <w:b/>
                <w:bCs/>
                <w:sz w:val="21"/>
                <w:szCs w:val="21"/>
                <w:lang w:bidi="en-US"/>
              </w:rPr>
            </w:pPr>
            <w:r>
              <w:rPr>
                <w:rFonts w:cs="Times New Roman"/>
                <w:b/>
                <w:bCs/>
                <w:sz w:val="21"/>
                <w:szCs w:val="21"/>
                <w:lang w:bidi="en-US"/>
              </w:rPr>
              <w:t>pH</w:t>
            </w:r>
          </w:p>
        </w:tc>
        <w:tc>
          <w:tcPr>
            <w:tcW w:w="982" w:type="dxa"/>
            <w:vAlign w:val="center"/>
          </w:tcPr>
          <w:p w14:paraId="6E6D0D9F">
            <w:pPr>
              <w:snapToGrid w:val="0"/>
              <w:ind w:firstLine="0" w:firstLineChars="0"/>
              <w:jc w:val="center"/>
              <w:rPr>
                <w:rFonts w:cs="Times New Roman"/>
                <w:b/>
                <w:bCs/>
                <w:sz w:val="21"/>
                <w:szCs w:val="21"/>
                <w:lang w:bidi="en-US"/>
              </w:rPr>
            </w:pPr>
            <w:r>
              <w:rPr>
                <w:rFonts w:cs="Times New Roman"/>
                <w:b/>
                <w:bCs/>
                <w:sz w:val="21"/>
                <w:szCs w:val="21"/>
                <w:lang w:bidi="en-US"/>
              </w:rPr>
              <w:t>CODcr</w:t>
            </w:r>
          </w:p>
        </w:tc>
        <w:tc>
          <w:tcPr>
            <w:tcW w:w="805" w:type="dxa"/>
            <w:vAlign w:val="center"/>
          </w:tcPr>
          <w:p w14:paraId="5CF74740">
            <w:pPr>
              <w:snapToGrid w:val="0"/>
              <w:ind w:firstLine="0" w:firstLineChars="0"/>
              <w:jc w:val="center"/>
              <w:rPr>
                <w:rFonts w:cs="Times New Roman"/>
                <w:b/>
                <w:bCs/>
                <w:sz w:val="21"/>
                <w:szCs w:val="21"/>
                <w:lang w:bidi="en-US"/>
              </w:rPr>
            </w:pPr>
            <w:r>
              <w:rPr>
                <w:rFonts w:cs="Times New Roman"/>
                <w:b/>
                <w:bCs/>
                <w:sz w:val="21"/>
                <w:szCs w:val="21"/>
                <w:lang w:bidi="en-US"/>
              </w:rPr>
              <w:t>BOD</w:t>
            </w:r>
            <w:r>
              <w:rPr>
                <w:rFonts w:cs="Times New Roman"/>
                <w:b/>
                <w:bCs/>
                <w:sz w:val="21"/>
                <w:szCs w:val="21"/>
                <w:vertAlign w:val="subscript"/>
                <w:lang w:bidi="en-US"/>
              </w:rPr>
              <w:t>5</w:t>
            </w:r>
          </w:p>
        </w:tc>
        <w:tc>
          <w:tcPr>
            <w:tcW w:w="763" w:type="dxa"/>
            <w:vAlign w:val="center"/>
          </w:tcPr>
          <w:p w14:paraId="438B1D0D">
            <w:pPr>
              <w:snapToGrid w:val="0"/>
              <w:ind w:firstLine="0" w:firstLineChars="0"/>
              <w:jc w:val="center"/>
              <w:rPr>
                <w:rFonts w:cs="Times New Roman"/>
                <w:b/>
                <w:bCs/>
                <w:sz w:val="21"/>
                <w:szCs w:val="21"/>
                <w:lang w:bidi="en-US"/>
              </w:rPr>
            </w:pPr>
            <w:r>
              <w:rPr>
                <w:rFonts w:cs="Times New Roman"/>
                <w:b/>
                <w:bCs/>
                <w:sz w:val="21"/>
                <w:szCs w:val="21"/>
                <w:lang w:bidi="en-US"/>
              </w:rPr>
              <w:t>SS</w:t>
            </w:r>
          </w:p>
        </w:tc>
        <w:tc>
          <w:tcPr>
            <w:tcW w:w="887" w:type="dxa"/>
            <w:vAlign w:val="center"/>
          </w:tcPr>
          <w:p w14:paraId="2432D7BC">
            <w:pPr>
              <w:snapToGrid w:val="0"/>
              <w:ind w:firstLine="0" w:firstLineChars="0"/>
              <w:jc w:val="center"/>
              <w:rPr>
                <w:rFonts w:cs="Times New Roman"/>
                <w:b/>
                <w:bCs/>
                <w:sz w:val="21"/>
                <w:szCs w:val="21"/>
                <w:lang w:bidi="en-US"/>
              </w:rPr>
            </w:pPr>
            <w:r>
              <w:rPr>
                <w:rFonts w:cs="Times New Roman"/>
                <w:b/>
                <w:bCs/>
                <w:sz w:val="21"/>
                <w:szCs w:val="21"/>
                <w:lang w:bidi="en-US"/>
              </w:rPr>
              <w:t>NH</w:t>
            </w:r>
            <w:r>
              <w:rPr>
                <w:rFonts w:cs="Times New Roman"/>
                <w:b/>
                <w:bCs/>
                <w:sz w:val="21"/>
                <w:szCs w:val="21"/>
                <w:vertAlign w:val="subscript"/>
                <w:lang w:bidi="en-US"/>
              </w:rPr>
              <w:t>3</w:t>
            </w:r>
            <w:r>
              <w:rPr>
                <w:rFonts w:cs="Times New Roman"/>
                <w:b/>
                <w:bCs/>
                <w:sz w:val="21"/>
                <w:szCs w:val="21"/>
                <w:lang w:bidi="en-US"/>
              </w:rPr>
              <w:t>-N</w:t>
            </w:r>
          </w:p>
        </w:tc>
        <w:tc>
          <w:tcPr>
            <w:tcW w:w="763" w:type="dxa"/>
            <w:vAlign w:val="center"/>
          </w:tcPr>
          <w:p w14:paraId="1E518854">
            <w:pPr>
              <w:snapToGrid w:val="0"/>
              <w:ind w:firstLine="0" w:firstLineChars="0"/>
              <w:jc w:val="center"/>
              <w:rPr>
                <w:rFonts w:cs="Times New Roman"/>
                <w:b/>
                <w:bCs/>
                <w:sz w:val="21"/>
                <w:szCs w:val="21"/>
                <w:lang w:bidi="en-US"/>
              </w:rPr>
            </w:pPr>
            <w:r>
              <w:rPr>
                <w:rFonts w:cs="Times New Roman"/>
                <w:b/>
                <w:bCs/>
                <w:sz w:val="21"/>
                <w:szCs w:val="21"/>
                <w:lang w:bidi="en-US"/>
              </w:rPr>
              <w:t>TN</w:t>
            </w:r>
          </w:p>
        </w:tc>
        <w:tc>
          <w:tcPr>
            <w:tcW w:w="767" w:type="dxa"/>
            <w:vAlign w:val="center"/>
          </w:tcPr>
          <w:p w14:paraId="6095EEA3">
            <w:pPr>
              <w:snapToGrid w:val="0"/>
              <w:ind w:firstLine="0" w:firstLineChars="0"/>
              <w:jc w:val="center"/>
              <w:rPr>
                <w:rFonts w:cs="Times New Roman"/>
                <w:b/>
                <w:bCs/>
                <w:sz w:val="21"/>
                <w:szCs w:val="21"/>
                <w:lang w:bidi="en-US"/>
              </w:rPr>
            </w:pPr>
            <w:r>
              <w:rPr>
                <w:rFonts w:cs="Times New Roman"/>
                <w:b/>
                <w:bCs/>
                <w:sz w:val="21"/>
                <w:szCs w:val="21"/>
                <w:lang w:bidi="en-US"/>
              </w:rPr>
              <w:t>TP</w:t>
            </w:r>
          </w:p>
        </w:tc>
      </w:tr>
      <w:tr w14:paraId="54A9C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vAlign w:val="center"/>
          </w:tcPr>
          <w:p w14:paraId="546F0403">
            <w:pPr>
              <w:snapToGrid w:val="0"/>
              <w:ind w:firstLine="0" w:firstLineChars="0"/>
              <w:jc w:val="center"/>
              <w:rPr>
                <w:rFonts w:cs="Times New Roman"/>
                <w:sz w:val="21"/>
                <w:szCs w:val="21"/>
                <w:lang w:bidi="en-US"/>
              </w:rPr>
            </w:pPr>
            <w:r>
              <w:rPr>
                <w:rFonts w:cs="Times New Roman"/>
                <w:sz w:val="21"/>
                <w:szCs w:val="21"/>
                <w:lang w:bidi="en-US"/>
              </w:rPr>
              <w:t>设计进水水质</w:t>
            </w:r>
          </w:p>
        </w:tc>
        <w:tc>
          <w:tcPr>
            <w:tcW w:w="804" w:type="dxa"/>
            <w:vAlign w:val="center"/>
          </w:tcPr>
          <w:p w14:paraId="6E840A74">
            <w:pPr>
              <w:snapToGrid w:val="0"/>
              <w:ind w:firstLine="0" w:firstLineChars="0"/>
              <w:jc w:val="center"/>
              <w:rPr>
                <w:rFonts w:cs="Times New Roman"/>
                <w:sz w:val="21"/>
                <w:szCs w:val="21"/>
                <w:lang w:bidi="en-US"/>
              </w:rPr>
            </w:pPr>
            <w:r>
              <w:rPr>
                <w:rFonts w:cs="Times New Roman"/>
                <w:sz w:val="21"/>
                <w:szCs w:val="21"/>
                <w:lang w:bidi="en-US"/>
              </w:rPr>
              <w:t>6-9</w:t>
            </w:r>
          </w:p>
        </w:tc>
        <w:tc>
          <w:tcPr>
            <w:tcW w:w="982" w:type="dxa"/>
            <w:vAlign w:val="center"/>
          </w:tcPr>
          <w:p w14:paraId="1EA5F61C">
            <w:pPr>
              <w:snapToGrid w:val="0"/>
              <w:ind w:firstLine="0" w:firstLineChars="0"/>
              <w:jc w:val="center"/>
              <w:rPr>
                <w:rFonts w:cs="Times New Roman"/>
                <w:sz w:val="21"/>
                <w:szCs w:val="21"/>
                <w:lang w:bidi="en-US"/>
              </w:rPr>
            </w:pPr>
            <w:r>
              <w:rPr>
                <w:rFonts w:cs="Times New Roman"/>
                <w:sz w:val="21"/>
                <w:szCs w:val="21"/>
                <w:lang w:bidi="en-US"/>
              </w:rPr>
              <w:t>≤500</w:t>
            </w:r>
          </w:p>
        </w:tc>
        <w:tc>
          <w:tcPr>
            <w:tcW w:w="805" w:type="dxa"/>
            <w:vAlign w:val="center"/>
          </w:tcPr>
          <w:p w14:paraId="23376C7F">
            <w:pPr>
              <w:snapToGrid w:val="0"/>
              <w:ind w:firstLine="0" w:firstLineChars="0"/>
              <w:jc w:val="center"/>
              <w:rPr>
                <w:rFonts w:cs="Times New Roman"/>
                <w:sz w:val="21"/>
                <w:szCs w:val="21"/>
                <w:lang w:bidi="en-US"/>
              </w:rPr>
            </w:pPr>
            <w:r>
              <w:rPr>
                <w:rFonts w:cs="Times New Roman"/>
                <w:sz w:val="21"/>
                <w:szCs w:val="21"/>
                <w:lang w:bidi="en-US"/>
              </w:rPr>
              <w:t>≤300</w:t>
            </w:r>
          </w:p>
        </w:tc>
        <w:tc>
          <w:tcPr>
            <w:tcW w:w="763" w:type="dxa"/>
            <w:vAlign w:val="center"/>
          </w:tcPr>
          <w:p w14:paraId="1F46B697">
            <w:pPr>
              <w:snapToGrid w:val="0"/>
              <w:ind w:firstLine="0" w:firstLineChars="0"/>
              <w:jc w:val="center"/>
              <w:rPr>
                <w:rFonts w:cs="Times New Roman"/>
                <w:sz w:val="21"/>
                <w:szCs w:val="21"/>
                <w:lang w:bidi="en-US"/>
              </w:rPr>
            </w:pPr>
            <w:r>
              <w:rPr>
                <w:rFonts w:cs="Times New Roman"/>
                <w:sz w:val="21"/>
                <w:szCs w:val="21"/>
                <w:lang w:bidi="en-US"/>
              </w:rPr>
              <w:t>≤400</w:t>
            </w:r>
          </w:p>
        </w:tc>
        <w:tc>
          <w:tcPr>
            <w:tcW w:w="887" w:type="dxa"/>
            <w:vAlign w:val="center"/>
          </w:tcPr>
          <w:p w14:paraId="6987103D">
            <w:pPr>
              <w:snapToGrid w:val="0"/>
              <w:ind w:firstLine="0" w:firstLineChars="0"/>
              <w:jc w:val="center"/>
              <w:rPr>
                <w:rFonts w:cs="Times New Roman"/>
                <w:sz w:val="21"/>
                <w:szCs w:val="21"/>
                <w:lang w:bidi="en-US"/>
              </w:rPr>
            </w:pPr>
            <w:r>
              <w:rPr>
                <w:rFonts w:cs="Times New Roman"/>
                <w:sz w:val="21"/>
                <w:szCs w:val="21"/>
                <w:lang w:bidi="en-US"/>
              </w:rPr>
              <w:t>≤35</w:t>
            </w:r>
          </w:p>
        </w:tc>
        <w:tc>
          <w:tcPr>
            <w:tcW w:w="763" w:type="dxa"/>
            <w:vAlign w:val="center"/>
          </w:tcPr>
          <w:p w14:paraId="1350E87A">
            <w:pPr>
              <w:snapToGrid w:val="0"/>
              <w:ind w:firstLine="0" w:firstLineChars="0"/>
              <w:jc w:val="center"/>
              <w:rPr>
                <w:rFonts w:cs="Times New Roman"/>
                <w:sz w:val="21"/>
                <w:szCs w:val="21"/>
                <w:lang w:bidi="en-US"/>
              </w:rPr>
            </w:pPr>
            <w:r>
              <w:rPr>
                <w:rFonts w:cs="Times New Roman"/>
                <w:sz w:val="21"/>
                <w:szCs w:val="21"/>
                <w:lang w:bidi="en-US"/>
              </w:rPr>
              <w:t>≤70</w:t>
            </w:r>
          </w:p>
        </w:tc>
        <w:tc>
          <w:tcPr>
            <w:tcW w:w="767" w:type="dxa"/>
            <w:vAlign w:val="center"/>
          </w:tcPr>
          <w:p w14:paraId="50D3C24C">
            <w:pPr>
              <w:snapToGrid w:val="0"/>
              <w:ind w:firstLine="0" w:firstLineChars="0"/>
              <w:jc w:val="center"/>
              <w:rPr>
                <w:rFonts w:cs="Times New Roman"/>
                <w:sz w:val="21"/>
                <w:szCs w:val="21"/>
                <w:lang w:bidi="en-US"/>
              </w:rPr>
            </w:pPr>
            <w:r>
              <w:rPr>
                <w:rFonts w:cs="Times New Roman"/>
                <w:sz w:val="21"/>
                <w:szCs w:val="21"/>
                <w:lang w:bidi="en-US"/>
              </w:rPr>
              <w:t>≤8</w:t>
            </w:r>
          </w:p>
        </w:tc>
      </w:tr>
      <w:tr w14:paraId="249A8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vAlign w:val="center"/>
          </w:tcPr>
          <w:p w14:paraId="51BA5F65">
            <w:pPr>
              <w:snapToGrid w:val="0"/>
              <w:ind w:firstLine="0" w:firstLineChars="0"/>
              <w:jc w:val="center"/>
              <w:rPr>
                <w:rFonts w:cs="Times New Roman"/>
                <w:sz w:val="21"/>
                <w:szCs w:val="21"/>
                <w:lang w:bidi="en-US"/>
              </w:rPr>
            </w:pPr>
            <w:r>
              <w:rPr>
                <w:rFonts w:cs="Times New Roman"/>
                <w:sz w:val="21"/>
                <w:szCs w:val="21"/>
                <w:lang w:bidi="en-US"/>
              </w:rPr>
              <w:t>设计出水水质（《城镇污水处理厂污染物排放标准》（GB18918-2002）一级A</w:t>
            </w:r>
          </w:p>
        </w:tc>
        <w:tc>
          <w:tcPr>
            <w:tcW w:w="804" w:type="dxa"/>
            <w:vAlign w:val="center"/>
          </w:tcPr>
          <w:p w14:paraId="6A5F97AA">
            <w:pPr>
              <w:snapToGrid w:val="0"/>
              <w:ind w:firstLine="0" w:firstLineChars="0"/>
              <w:jc w:val="center"/>
              <w:rPr>
                <w:rFonts w:cs="Times New Roman"/>
                <w:sz w:val="21"/>
                <w:szCs w:val="21"/>
                <w:lang w:bidi="en-US"/>
              </w:rPr>
            </w:pPr>
            <w:r>
              <w:rPr>
                <w:rFonts w:cs="Times New Roman"/>
                <w:sz w:val="21"/>
                <w:szCs w:val="21"/>
                <w:lang w:bidi="en-US"/>
              </w:rPr>
              <w:t>6-9</w:t>
            </w:r>
          </w:p>
        </w:tc>
        <w:tc>
          <w:tcPr>
            <w:tcW w:w="982" w:type="dxa"/>
            <w:vAlign w:val="center"/>
          </w:tcPr>
          <w:p w14:paraId="3A60F1CD">
            <w:pPr>
              <w:snapToGrid w:val="0"/>
              <w:ind w:firstLine="0" w:firstLineChars="0"/>
              <w:jc w:val="center"/>
              <w:rPr>
                <w:rFonts w:cs="Times New Roman"/>
                <w:sz w:val="21"/>
                <w:szCs w:val="21"/>
                <w:lang w:bidi="en-US"/>
              </w:rPr>
            </w:pPr>
            <w:r>
              <w:rPr>
                <w:rFonts w:cs="Times New Roman"/>
                <w:sz w:val="21"/>
                <w:szCs w:val="21"/>
                <w:lang w:bidi="en-US"/>
              </w:rPr>
              <w:t>≤50</w:t>
            </w:r>
          </w:p>
        </w:tc>
        <w:tc>
          <w:tcPr>
            <w:tcW w:w="805" w:type="dxa"/>
            <w:vAlign w:val="center"/>
          </w:tcPr>
          <w:p w14:paraId="21D15A87">
            <w:pPr>
              <w:snapToGrid w:val="0"/>
              <w:ind w:firstLine="0" w:firstLineChars="0"/>
              <w:jc w:val="center"/>
              <w:rPr>
                <w:rFonts w:cs="Times New Roman"/>
                <w:sz w:val="21"/>
                <w:szCs w:val="21"/>
                <w:lang w:bidi="en-US"/>
              </w:rPr>
            </w:pPr>
            <w:r>
              <w:rPr>
                <w:rFonts w:cs="Times New Roman"/>
                <w:sz w:val="21"/>
                <w:szCs w:val="21"/>
                <w:lang w:bidi="en-US"/>
              </w:rPr>
              <w:t>≤10</w:t>
            </w:r>
          </w:p>
        </w:tc>
        <w:tc>
          <w:tcPr>
            <w:tcW w:w="763" w:type="dxa"/>
            <w:vAlign w:val="center"/>
          </w:tcPr>
          <w:p w14:paraId="7EBA5D95">
            <w:pPr>
              <w:snapToGrid w:val="0"/>
              <w:ind w:firstLine="0" w:firstLineChars="0"/>
              <w:jc w:val="center"/>
              <w:rPr>
                <w:rFonts w:cs="Times New Roman"/>
                <w:sz w:val="21"/>
                <w:szCs w:val="21"/>
                <w:lang w:bidi="en-US"/>
              </w:rPr>
            </w:pPr>
            <w:r>
              <w:rPr>
                <w:rFonts w:cs="Times New Roman"/>
                <w:sz w:val="21"/>
                <w:szCs w:val="21"/>
                <w:lang w:bidi="en-US"/>
              </w:rPr>
              <w:t>≤10</w:t>
            </w:r>
          </w:p>
        </w:tc>
        <w:tc>
          <w:tcPr>
            <w:tcW w:w="887" w:type="dxa"/>
            <w:vAlign w:val="center"/>
          </w:tcPr>
          <w:p w14:paraId="0C413BF1">
            <w:pPr>
              <w:snapToGrid w:val="0"/>
              <w:ind w:firstLine="0" w:firstLineChars="0"/>
              <w:jc w:val="center"/>
              <w:rPr>
                <w:rFonts w:cs="Times New Roman"/>
                <w:sz w:val="21"/>
                <w:szCs w:val="21"/>
                <w:lang w:bidi="en-US"/>
              </w:rPr>
            </w:pPr>
            <w:r>
              <w:rPr>
                <w:rFonts w:cs="Times New Roman"/>
                <w:sz w:val="21"/>
                <w:szCs w:val="21"/>
                <w:lang w:bidi="en-US"/>
              </w:rPr>
              <w:t>≤5(8)</w:t>
            </w:r>
          </w:p>
        </w:tc>
        <w:tc>
          <w:tcPr>
            <w:tcW w:w="763" w:type="dxa"/>
            <w:vAlign w:val="center"/>
          </w:tcPr>
          <w:p w14:paraId="20C61928">
            <w:pPr>
              <w:snapToGrid w:val="0"/>
              <w:ind w:firstLine="0" w:firstLineChars="0"/>
              <w:jc w:val="center"/>
              <w:rPr>
                <w:rFonts w:cs="Times New Roman"/>
                <w:sz w:val="21"/>
                <w:szCs w:val="21"/>
                <w:lang w:bidi="en-US"/>
              </w:rPr>
            </w:pPr>
            <w:r>
              <w:rPr>
                <w:rFonts w:cs="Times New Roman"/>
                <w:sz w:val="21"/>
                <w:szCs w:val="21"/>
                <w:lang w:bidi="en-US"/>
              </w:rPr>
              <w:t>≤15</w:t>
            </w:r>
          </w:p>
        </w:tc>
        <w:tc>
          <w:tcPr>
            <w:tcW w:w="767" w:type="dxa"/>
            <w:vAlign w:val="center"/>
          </w:tcPr>
          <w:p w14:paraId="0465B849">
            <w:pPr>
              <w:snapToGrid w:val="0"/>
              <w:ind w:firstLine="0" w:firstLineChars="0"/>
              <w:jc w:val="center"/>
              <w:rPr>
                <w:rFonts w:cs="Times New Roman"/>
                <w:sz w:val="21"/>
                <w:szCs w:val="21"/>
                <w:lang w:bidi="en-US"/>
              </w:rPr>
            </w:pPr>
            <w:r>
              <w:rPr>
                <w:rFonts w:cs="Times New Roman"/>
                <w:sz w:val="21"/>
                <w:szCs w:val="21"/>
                <w:lang w:bidi="en-US"/>
              </w:rPr>
              <w:t>≤0.5</w:t>
            </w:r>
          </w:p>
        </w:tc>
      </w:tr>
      <w:tr w14:paraId="17F61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9" w:type="dxa"/>
            <w:gridSpan w:val="8"/>
            <w:vAlign w:val="center"/>
          </w:tcPr>
          <w:p w14:paraId="5382605F">
            <w:pPr>
              <w:snapToGrid w:val="0"/>
              <w:ind w:firstLine="0" w:firstLineChars="0"/>
              <w:rPr>
                <w:rFonts w:cs="Times New Roman"/>
                <w:sz w:val="21"/>
                <w:szCs w:val="21"/>
                <w:lang w:bidi="en-US"/>
              </w:rPr>
            </w:pPr>
            <w:r>
              <w:rPr>
                <w:rFonts w:cs="Times New Roman"/>
                <w:sz w:val="21"/>
                <w:szCs w:val="21"/>
                <w:lang w:bidi="en-US"/>
              </w:rPr>
              <w:t>注：括号外数值为水温＞12℃时的控制指标，括号内数值为水温≤12℃时的控制指标。</w:t>
            </w:r>
          </w:p>
        </w:tc>
      </w:tr>
    </w:tbl>
    <w:p w14:paraId="2B5BBF46">
      <w:pPr>
        <w:snapToGrid w:val="0"/>
        <w:ind w:firstLine="0" w:firstLineChars="0"/>
        <w:jc w:val="center"/>
        <w:rPr>
          <w:rFonts w:cs="Times New Roman"/>
          <w:b/>
          <w:bCs/>
          <w:sz w:val="21"/>
          <w:szCs w:val="21"/>
          <w:lang w:bidi="en-US"/>
        </w:rPr>
      </w:pPr>
    </w:p>
    <w:p w14:paraId="1C5AF839">
      <w:pPr>
        <w:pStyle w:val="43"/>
        <w:numPr>
          <w:ilvl w:val="5"/>
          <w:numId w:val="1"/>
        </w:numPr>
        <w:rPr>
          <w:rFonts w:hint="default"/>
        </w:rPr>
      </w:pPr>
      <w:r>
        <w:rPr>
          <w:rFonts w:hint="default"/>
        </w:rPr>
        <w:t>松木污水处理厂重金属预处理系统设计进出水水质（mg/L，pH无量纲）</w:t>
      </w:r>
    </w:p>
    <w:tbl>
      <w:tblPr>
        <w:tblStyle w:val="32"/>
        <w:tblW w:w="84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1"/>
        <w:gridCol w:w="1185"/>
        <w:gridCol w:w="1413"/>
        <w:gridCol w:w="1413"/>
        <w:gridCol w:w="1414"/>
        <w:gridCol w:w="1413"/>
      </w:tblGrid>
      <w:tr w14:paraId="797C4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1" w:type="dxa"/>
            <w:vAlign w:val="center"/>
          </w:tcPr>
          <w:p w14:paraId="2AC2DC95">
            <w:pPr>
              <w:pStyle w:val="45"/>
              <w:rPr>
                <w:rFonts w:hint="default"/>
              </w:rPr>
            </w:pPr>
            <w:r>
              <w:rPr>
                <w:rFonts w:hint="default"/>
              </w:rPr>
              <w:t>项目</w:t>
            </w:r>
          </w:p>
        </w:tc>
        <w:tc>
          <w:tcPr>
            <w:tcW w:w="1185" w:type="dxa"/>
            <w:vAlign w:val="center"/>
          </w:tcPr>
          <w:p w14:paraId="4108F09A">
            <w:pPr>
              <w:pStyle w:val="45"/>
              <w:rPr>
                <w:rFonts w:hint="default"/>
              </w:rPr>
            </w:pPr>
            <w:r>
              <w:rPr>
                <w:rFonts w:hint="default"/>
              </w:rPr>
              <w:t>总镉</w:t>
            </w:r>
          </w:p>
        </w:tc>
        <w:tc>
          <w:tcPr>
            <w:tcW w:w="1413" w:type="dxa"/>
            <w:vAlign w:val="center"/>
          </w:tcPr>
          <w:p w14:paraId="601D87F4">
            <w:pPr>
              <w:pStyle w:val="45"/>
              <w:rPr>
                <w:rFonts w:hint="default"/>
              </w:rPr>
            </w:pPr>
            <w:r>
              <w:rPr>
                <w:rFonts w:hint="default"/>
              </w:rPr>
              <w:t>总砷</w:t>
            </w:r>
          </w:p>
        </w:tc>
        <w:tc>
          <w:tcPr>
            <w:tcW w:w="1413" w:type="dxa"/>
            <w:vAlign w:val="center"/>
          </w:tcPr>
          <w:p w14:paraId="7CB643D9">
            <w:pPr>
              <w:pStyle w:val="45"/>
              <w:rPr>
                <w:rFonts w:hint="default"/>
              </w:rPr>
            </w:pPr>
            <w:r>
              <w:rPr>
                <w:rFonts w:hint="default"/>
              </w:rPr>
              <w:t>总铅</w:t>
            </w:r>
          </w:p>
        </w:tc>
        <w:tc>
          <w:tcPr>
            <w:tcW w:w="1414" w:type="dxa"/>
            <w:vAlign w:val="center"/>
          </w:tcPr>
          <w:p w14:paraId="725304FA">
            <w:pPr>
              <w:pStyle w:val="45"/>
              <w:rPr>
                <w:rFonts w:hint="default"/>
              </w:rPr>
            </w:pPr>
            <w:r>
              <w:rPr>
                <w:rFonts w:hint="default"/>
              </w:rPr>
              <w:t>总铜</w:t>
            </w:r>
          </w:p>
        </w:tc>
        <w:tc>
          <w:tcPr>
            <w:tcW w:w="1413" w:type="dxa"/>
            <w:vAlign w:val="center"/>
          </w:tcPr>
          <w:p w14:paraId="536C1797">
            <w:pPr>
              <w:pStyle w:val="45"/>
              <w:rPr>
                <w:rFonts w:hint="default"/>
              </w:rPr>
            </w:pPr>
            <w:r>
              <w:rPr>
                <w:rFonts w:hint="default"/>
              </w:rPr>
              <w:t>总锌</w:t>
            </w:r>
          </w:p>
        </w:tc>
      </w:tr>
      <w:tr w14:paraId="2C2F0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1" w:type="dxa"/>
            <w:vAlign w:val="center"/>
          </w:tcPr>
          <w:p w14:paraId="4F58282F">
            <w:pPr>
              <w:pStyle w:val="45"/>
              <w:rPr>
                <w:rFonts w:hint="default"/>
              </w:rPr>
            </w:pPr>
            <w:r>
              <w:rPr>
                <w:rFonts w:hint="default"/>
              </w:rPr>
              <w:t>设计进水水质</w:t>
            </w:r>
          </w:p>
        </w:tc>
        <w:tc>
          <w:tcPr>
            <w:tcW w:w="1185" w:type="dxa"/>
            <w:vAlign w:val="center"/>
          </w:tcPr>
          <w:p w14:paraId="3613F064">
            <w:pPr>
              <w:pStyle w:val="45"/>
              <w:rPr>
                <w:rFonts w:hint="default"/>
              </w:rPr>
            </w:pPr>
            <w:r>
              <w:rPr>
                <w:rFonts w:hint="default"/>
              </w:rPr>
              <w:t>5.0</w:t>
            </w:r>
          </w:p>
        </w:tc>
        <w:tc>
          <w:tcPr>
            <w:tcW w:w="1413" w:type="dxa"/>
            <w:vAlign w:val="center"/>
          </w:tcPr>
          <w:p w14:paraId="161A6459">
            <w:pPr>
              <w:pStyle w:val="45"/>
              <w:rPr>
                <w:rFonts w:hint="default"/>
              </w:rPr>
            </w:pPr>
            <w:r>
              <w:rPr>
                <w:rFonts w:hint="default"/>
              </w:rPr>
              <w:t>1.0</w:t>
            </w:r>
          </w:p>
        </w:tc>
        <w:tc>
          <w:tcPr>
            <w:tcW w:w="1413" w:type="dxa"/>
            <w:vAlign w:val="center"/>
          </w:tcPr>
          <w:p w14:paraId="402AC979">
            <w:pPr>
              <w:pStyle w:val="45"/>
              <w:rPr>
                <w:rFonts w:hint="default"/>
              </w:rPr>
            </w:pPr>
            <w:r>
              <w:rPr>
                <w:rFonts w:hint="default"/>
              </w:rPr>
              <w:t>5.0</w:t>
            </w:r>
          </w:p>
        </w:tc>
        <w:tc>
          <w:tcPr>
            <w:tcW w:w="1414" w:type="dxa"/>
            <w:vAlign w:val="center"/>
          </w:tcPr>
          <w:p w14:paraId="4054E24E">
            <w:pPr>
              <w:pStyle w:val="45"/>
              <w:rPr>
                <w:rFonts w:hint="default"/>
              </w:rPr>
            </w:pPr>
            <w:r>
              <w:rPr>
                <w:rFonts w:hint="default"/>
              </w:rPr>
              <w:t>2.0</w:t>
            </w:r>
          </w:p>
        </w:tc>
        <w:tc>
          <w:tcPr>
            <w:tcW w:w="1413" w:type="dxa"/>
            <w:vAlign w:val="center"/>
          </w:tcPr>
          <w:p w14:paraId="5DE9D8AE">
            <w:pPr>
              <w:pStyle w:val="45"/>
              <w:rPr>
                <w:rFonts w:hint="default"/>
              </w:rPr>
            </w:pPr>
            <w:r>
              <w:rPr>
                <w:rFonts w:hint="default"/>
              </w:rPr>
              <w:t>30.0</w:t>
            </w:r>
          </w:p>
        </w:tc>
      </w:tr>
      <w:tr w14:paraId="2CE32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1" w:type="dxa"/>
            <w:vAlign w:val="center"/>
          </w:tcPr>
          <w:p w14:paraId="7EC64A5F">
            <w:pPr>
              <w:pStyle w:val="45"/>
              <w:rPr>
                <w:rFonts w:hint="default"/>
              </w:rPr>
            </w:pPr>
            <w:r>
              <w:rPr>
                <w:rFonts w:hint="default"/>
              </w:rPr>
              <w:t>设计出水水质</w:t>
            </w:r>
          </w:p>
        </w:tc>
        <w:tc>
          <w:tcPr>
            <w:tcW w:w="1185" w:type="dxa"/>
            <w:vAlign w:val="center"/>
          </w:tcPr>
          <w:p w14:paraId="1D9066CD">
            <w:pPr>
              <w:pStyle w:val="45"/>
              <w:rPr>
                <w:rFonts w:hint="default"/>
              </w:rPr>
            </w:pPr>
            <w:r>
              <w:rPr>
                <w:rFonts w:hint="default"/>
              </w:rPr>
              <w:t>0.005</w:t>
            </w:r>
          </w:p>
        </w:tc>
        <w:tc>
          <w:tcPr>
            <w:tcW w:w="1413" w:type="dxa"/>
            <w:vAlign w:val="center"/>
          </w:tcPr>
          <w:p w14:paraId="171249C5">
            <w:pPr>
              <w:pStyle w:val="45"/>
              <w:rPr>
                <w:rFonts w:hint="default"/>
              </w:rPr>
            </w:pPr>
            <w:r>
              <w:rPr>
                <w:rFonts w:hint="default"/>
              </w:rPr>
              <w:t>0.05</w:t>
            </w:r>
          </w:p>
        </w:tc>
        <w:tc>
          <w:tcPr>
            <w:tcW w:w="1413" w:type="dxa"/>
            <w:vAlign w:val="center"/>
          </w:tcPr>
          <w:p w14:paraId="35B12652">
            <w:pPr>
              <w:pStyle w:val="45"/>
              <w:rPr>
                <w:rFonts w:hint="default"/>
              </w:rPr>
            </w:pPr>
            <w:r>
              <w:rPr>
                <w:rFonts w:hint="default"/>
              </w:rPr>
              <w:t>0.05</w:t>
            </w:r>
          </w:p>
        </w:tc>
        <w:tc>
          <w:tcPr>
            <w:tcW w:w="1414" w:type="dxa"/>
            <w:vAlign w:val="center"/>
          </w:tcPr>
          <w:p w14:paraId="677F1F6A">
            <w:pPr>
              <w:pStyle w:val="45"/>
              <w:rPr>
                <w:rFonts w:hint="default"/>
              </w:rPr>
            </w:pPr>
            <w:r>
              <w:rPr>
                <w:rFonts w:hint="default"/>
              </w:rPr>
              <w:t>0.5</w:t>
            </w:r>
          </w:p>
        </w:tc>
        <w:tc>
          <w:tcPr>
            <w:tcW w:w="1413" w:type="dxa"/>
            <w:vAlign w:val="center"/>
          </w:tcPr>
          <w:p w14:paraId="3BC45BC3">
            <w:pPr>
              <w:pStyle w:val="45"/>
              <w:rPr>
                <w:rFonts w:hint="default"/>
              </w:rPr>
            </w:pPr>
            <w:r>
              <w:rPr>
                <w:rFonts w:hint="default"/>
              </w:rPr>
              <w:t>1.0</w:t>
            </w:r>
          </w:p>
        </w:tc>
      </w:tr>
    </w:tbl>
    <w:p w14:paraId="31D5554D">
      <w:pPr>
        <w:ind w:firstLine="0" w:firstLineChars="0"/>
      </w:pPr>
    </w:p>
    <w:p w14:paraId="15AF751A">
      <w:pPr>
        <w:ind w:firstLine="480"/>
        <w:rPr>
          <w:rFonts w:hint="eastAsia" w:eastAsia="宋体"/>
          <w:lang w:eastAsia="zh-CN"/>
        </w:rPr>
      </w:pPr>
      <w:r>
        <w:rPr>
          <w:rFonts w:hint="eastAsia"/>
        </w:rPr>
        <w:t>提标改造后废水经格栅后进入调节池，若进水水质重金属超标，则废水从调节池进入重金属系统进行预处理，预处理达标后的废水进入生化系统采用“混凝絮凝初沉+水解酸化+A/O+MBR+化学氧化+接触消毒处理”工艺处理达标后排入湘江；若进水水质重金属达标，则废水从调节池进入生化系统采用“混凝絮凝初沉+水解酸化+A/O+MBR+化学氧化+接触消毒处理”工艺处理达标后排入湘江。提标改造后污水处理厂工艺流程见下图</w:t>
      </w:r>
      <w:r>
        <w:rPr>
          <w:rFonts w:hint="eastAsia"/>
          <w:lang w:eastAsia="zh-CN"/>
        </w:rPr>
        <w:t>。</w:t>
      </w:r>
    </w:p>
    <w:p w14:paraId="1450E96C">
      <w:pPr>
        <w:ind w:left="0" w:leftChars="0" w:firstLine="0" w:firstLineChars="0"/>
        <w:rPr>
          <w:rFonts w:cs="Times New Roman"/>
        </w:rPr>
      </w:pPr>
      <w:r>
        <w:rPr>
          <w:rFonts w:cs="Times New Roman"/>
        </w:rPr>
        <w:object>
          <v:shape id="_x0000_i1088" o:spt="75" type="#_x0000_t75" style="height:372.45pt;width:311.2pt;" o:ole="t" filled="f" o:preferrelative="t" stroked="f" coordsize="21600,21600">
            <v:path/>
            <v:fill on="f" focussize="0,0"/>
            <v:stroke on="f"/>
            <v:imagedata r:id="rId185" o:title=""/>
            <o:lock v:ext="edit" aspectratio="f"/>
            <w10:wrap type="none"/>
            <w10:anchorlock/>
          </v:shape>
          <o:OLEObject Type="Embed" ProgID="Visio.Drawing.11" ShapeID="_x0000_i1088" DrawAspect="Content" ObjectID="_1468075789" r:id="rId184">
            <o:LockedField>false</o:LockedField>
          </o:OLEObject>
        </w:object>
      </w:r>
    </w:p>
    <w:p w14:paraId="56C677DE">
      <w:pPr>
        <w:pStyle w:val="42"/>
        <w:numPr>
          <w:ilvl w:val="6"/>
          <w:numId w:val="1"/>
        </w:numPr>
        <w:rPr>
          <w:rFonts w:hint="default"/>
        </w:rPr>
      </w:pPr>
      <w:r>
        <w:t>松木污水处理厂提标改造后工艺流程图</w:t>
      </w:r>
    </w:p>
    <w:p w14:paraId="53BF5BCF">
      <w:pPr>
        <w:ind w:left="0" w:leftChars="0" w:firstLine="0" w:firstLineChars="0"/>
        <w:jc w:val="center"/>
        <w:rPr>
          <w:rFonts w:cs="Times New Roman"/>
          <w:b/>
          <w:bCs/>
        </w:rPr>
      </w:pPr>
      <w:r>
        <w:rPr>
          <w:rFonts w:cs="Times New Roman"/>
          <w:b/>
          <w:bCs/>
        </w:rPr>
        <w:object>
          <v:shape id="_x0000_i1089" o:spt="75" type="#_x0000_t75" style="height:330.55pt;width:165.8pt;" o:ole="t" filled="f" o:preferrelative="t" stroked="f" coordsize="21600,21600">
            <v:path/>
            <v:fill on="f" focussize="0,0"/>
            <v:stroke on="f" joinstyle="miter"/>
            <v:imagedata r:id="rId187" o:title=""/>
            <o:lock v:ext="edit" aspectratio="f"/>
            <w10:wrap type="none"/>
            <w10:anchorlock/>
          </v:shape>
          <o:OLEObject Type="Embed" ProgID="Visio.Drawing.11" ShapeID="_x0000_i1089" DrawAspect="Content" ObjectID="_1468075790" r:id="rId186">
            <o:LockedField>false</o:LockedField>
          </o:OLEObject>
        </w:object>
      </w:r>
    </w:p>
    <w:p w14:paraId="67540E33">
      <w:pPr>
        <w:pStyle w:val="42"/>
        <w:numPr>
          <w:ilvl w:val="6"/>
          <w:numId w:val="1"/>
        </w:numPr>
        <w:rPr>
          <w:rFonts w:hint="default"/>
        </w:rPr>
      </w:pPr>
      <w:r>
        <w:t>松木污水处理厂提标改造后重金属处理系统工艺流程图</w:t>
      </w:r>
    </w:p>
    <w:p w14:paraId="41AFD28F">
      <w:pPr>
        <w:rPr>
          <w:rFonts w:hint="default"/>
        </w:rPr>
      </w:pPr>
    </w:p>
    <w:p w14:paraId="03B9C1E4">
      <w:pPr>
        <w:pStyle w:val="4"/>
        <w:numPr>
          <w:ilvl w:val="2"/>
          <w:numId w:val="1"/>
        </w:numPr>
      </w:pPr>
      <w:r>
        <w:rPr>
          <w:rFonts w:hint="eastAsia"/>
        </w:rPr>
        <w:t>废水排放可行性分析</w:t>
      </w:r>
    </w:p>
    <w:p w14:paraId="242797BA">
      <w:pPr>
        <w:pStyle w:val="6"/>
        <w:bidi w:val="0"/>
      </w:pPr>
      <w:r>
        <w:rPr>
          <w:rFonts w:hint="eastAsia"/>
        </w:rPr>
        <w:t>纳污范围及周边管网敷设情况</w:t>
      </w:r>
    </w:p>
    <w:p w14:paraId="3DF6E842">
      <w:pPr>
        <w:ind w:firstLine="480"/>
      </w:pPr>
      <w:r>
        <w:rPr>
          <w:rFonts w:hint="eastAsia"/>
        </w:rPr>
        <w:t>松木污水处理厂现有纳污面积约2541.25公顷。分为7个纳污区，具体分区情况详见下表。</w:t>
      </w:r>
    </w:p>
    <w:p w14:paraId="7F8F349F">
      <w:pPr>
        <w:pStyle w:val="43"/>
        <w:numPr>
          <w:ilvl w:val="5"/>
          <w:numId w:val="1"/>
        </w:numPr>
        <w:rPr>
          <w:rFonts w:hint="default"/>
        </w:rPr>
      </w:pPr>
      <w:r>
        <w:t>松木污水处理厂纳污分区情况一览表</w:t>
      </w:r>
    </w:p>
    <w:tbl>
      <w:tblPr>
        <w:tblStyle w:val="32"/>
        <w:tblW w:w="84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5"/>
        <w:gridCol w:w="3723"/>
        <w:gridCol w:w="3221"/>
      </w:tblGrid>
      <w:tr w14:paraId="389C3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545" w:type="dxa"/>
          </w:tcPr>
          <w:p w14:paraId="7EEE1137">
            <w:pPr>
              <w:snapToGrid w:val="0"/>
              <w:spacing w:line="240" w:lineRule="auto"/>
              <w:ind w:firstLine="0" w:firstLineChars="0"/>
              <w:jc w:val="center"/>
              <w:rPr>
                <w:rFonts w:cs="Times New Roman"/>
                <w:b/>
                <w:bCs/>
                <w:sz w:val="21"/>
                <w:szCs w:val="21"/>
                <w:lang w:bidi="en-US"/>
              </w:rPr>
            </w:pPr>
            <w:r>
              <w:rPr>
                <w:rFonts w:cs="Times New Roman"/>
                <w:b/>
                <w:bCs/>
                <w:sz w:val="21"/>
                <w:szCs w:val="21"/>
                <w:lang w:bidi="en-US"/>
              </w:rPr>
              <w:t>编号</w:t>
            </w:r>
          </w:p>
        </w:tc>
        <w:tc>
          <w:tcPr>
            <w:tcW w:w="3723" w:type="dxa"/>
          </w:tcPr>
          <w:p w14:paraId="00266484">
            <w:pPr>
              <w:snapToGrid w:val="0"/>
              <w:spacing w:line="240" w:lineRule="auto"/>
              <w:ind w:firstLine="0" w:firstLineChars="0"/>
              <w:jc w:val="center"/>
              <w:rPr>
                <w:rFonts w:cs="Times New Roman"/>
                <w:b/>
                <w:bCs/>
                <w:sz w:val="21"/>
                <w:szCs w:val="21"/>
                <w:lang w:bidi="en-US"/>
              </w:rPr>
            </w:pPr>
            <w:r>
              <w:rPr>
                <w:rFonts w:cs="Times New Roman"/>
                <w:b/>
                <w:bCs/>
                <w:sz w:val="21"/>
                <w:szCs w:val="21"/>
                <w:lang w:bidi="en-US"/>
              </w:rPr>
              <w:t>名称</w:t>
            </w:r>
          </w:p>
        </w:tc>
        <w:tc>
          <w:tcPr>
            <w:tcW w:w="3221" w:type="dxa"/>
          </w:tcPr>
          <w:p w14:paraId="1F62C948">
            <w:pPr>
              <w:snapToGrid w:val="0"/>
              <w:spacing w:line="240" w:lineRule="auto"/>
              <w:ind w:firstLine="0" w:firstLineChars="0"/>
              <w:jc w:val="center"/>
              <w:rPr>
                <w:rFonts w:cs="Times New Roman"/>
                <w:b/>
                <w:bCs/>
                <w:sz w:val="21"/>
                <w:szCs w:val="21"/>
                <w:lang w:bidi="en-US"/>
              </w:rPr>
            </w:pPr>
            <w:r>
              <w:rPr>
                <w:rFonts w:cs="Times New Roman"/>
                <w:b/>
                <w:bCs/>
                <w:sz w:val="21"/>
                <w:szCs w:val="21"/>
                <w:lang w:bidi="en-US"/>
              </w:rPr>
              <w:t>服务面积（ha）</w:t>
            </w:r>
          </w:p>
        </w:tc>
      </w:tr>
      <w:tr w14:paraId="3990E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5" w:type="dxa"/>
          </w:tcPr>
          <w:p w14:paraId="38B89C86">
            <w:pPr>
              <w:snapToGrid w:val="0"/>
              <w:spacing w:line="240" w:lineRule="auto"/>
              <w:ind w:firstLine="0" w:firstLineChars="0"/>
              <w:jc w:val="center"/>
              <w:rPr>
                <w:rFonts w:cs="Times New Roman"/>
                <w:sz w:val="21"/>
                <w:szCs w:val="21"/>
                <w:lang w:bidi="en-US"/>
              </w:rPr>
            </w:pPr>
            <w:r>
              <w:rPr>
                <w:rFonts w:cs="Times New Roman"/>
                <w:sz w:val="21"/>
                <w:szCs w:val="21"/>
                <w:lang w:bidi="en-US"/>
              </w:rPr>
              <w:t>W1</w:t>
            </w:r>
          </w:p>
        </w:tc>
        <w:tc>
          <w:tcPr>
            <w:tcW w:w="3723" w:type="dxa"/>
          </w:tcPr>
          <w:p w14:paraId="3529FE24">
            <w:pPr>
              <w:snapToGrid w:val="0"/>
              <w:spacing w:line="240" w:lineRule="auto"/>
              <w:ind w:firstLine="0" w:firstLineChars="0"/>
              <w:jc w:val="center"/>
              <w:rPr>
                <w:rFonts w:cs="Times New Roman"/>
                <w:sz w:val="21"/>
                <w:szCs w:val="21"/>
                <w:lang w:bidi="en-US"/>
              </w:rPr>
            </w:pPr>
            <w:r>
              <w:rPr>
                <w:rFonts w:cs="Times New Roman"/>
                <w:sz w:val="21"/>
                <w:szCs w:val="21"/>
                <w:lang w:bidi="en-US"/>
              </w:rPr>
              <w:t xml:space="preserve">北部纳污区 </w:t>
            </w:r>
          </w:p>
        </w:tc>
        <w:tc>
          <w:tcPr>
            <w:tcW w:w="3221" w:type="dxa"/>
          </w:tcPr>
          <w:p w14:paraId="5064FEA2">
            <w:pPr>
              <w:snapToGrid w:val="0"/>
              <w:spacing w:line="240" w:lineRule="auto"/>
              <w:ind w:firstLine="0" w:firstLineChars="0"/>
              <w:jc w:val="center"/>
              <w:rPr>
                <w:rFonts w:cs="Times New Roman"/>
                <w:sz w:val="21"/>
                <w:szCs w:val="21"/>
                <w:lang w:bidi="en-US"/>
              </w:rPr>
            </w:pPr>
            <w:r>
              <w:rPr>
                <w:rFonts w:cs="Times New Roman"/>
                <w:sz w:val="21"/>
                <w:szCs w:val="21"/>
                <w:lang w:bidi="en-US"/>
              </w:rPr>
              <w:t>292.82</w:t>
            </w:r>
          </w:p>
        </w:tc>
      </w:tr>
      <w:tr w14:paraId="2C96A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5" w:type="dxa"/>
          </w:tcPr>
          <w:p w14:paraId="2C70D6A2">
            <w:pPr>
              <w:snapToGrid w:val="0"/>
              <w:spacing w:line="240" w:lineRule="auto"/>
              <w:ind w:firstLine="0" w:firstLineChars="0"/>
              <w:jc w:val="center"/>
              <w:rPr>
                <w:rFonts w:cs="Times New Roman"/>
                <w:sz w:val="21"/>
                <w:szCs w:val="21"/>
                <w:lang w:bidi="en-US"/>
              </w:rPr>
            </w:pPr>
            <w:r>
              <w:rPr>
                <w:rFonts w:cs="Times New Roman"/>
                <w:sz w:val="21"/>
                <w:szCs w:val="21"/>
                <w:lang w:bidi="en-US"/>
              </w:rPr>
              <w:t>W2</w:t>
            </w:r>
          </w:p>
        </w:tc>
        <w:tc>
          <w:tcPr>
            <w:tcW w:w="3723" w:type="dxa"/>
          </w:tcPr>
          <w:p w14:paraId="40A49211">
            <w:pPr>
              <w:snapToGrid w:val="0"/>
              <w:spacing w:line="240" w:lineRule="auto"/>
              <w:ind w:firstLine="0" w:firstLineChars="0"/>
              <w:jc w:val="center"/>
              <w:rPr>
                <w:rFonts w:cs="Times New Roman"/>
                <w:sz w:val="21"/>
                <w:szCs w:val="21"/>
                <w:lang w:bidi="en-US"/>
              </w:rPr>
            </w:pPr>
            <w:r>
              <w:rPr>
                <w:rFonts w:cs="Times New Roman"/>
                <w:sz w:val="21"/>
                <w:szCs w:val="21"/>
                <w:lang w:bidi="en-US"/>
              </w:rPr>
              <w:t>聚丰路纳污区</w:t>
            </w:r>
          </w:p>
        </w:tc>
        <w:tc>
          <w:tcPr>
            <w:tcW w:w="3221" w:type="dxa"/>
          </w:tcPr>
          <w:p w14:paraId="637747AF">
            <w:pPr>
              <w:snapToGrid w:val="0"/>
              <w:spacing w:line="240" w:lineRule="auto"/>
              <w:ind w:firstLine="0" w:firstLineChars="0"/>
              <w:jc w:val="center"/>
              <w:rPr>
                <w:rFonts w:cs="Times New Roman"/>
                <w:sz w:val="21"/>
                <w:szCs w:val="21"/>
                <w:lang w:bidi="en-US"/>
              </w:rPr>
            </w:pPr>
            <w:r>
              <w:rPr>
                <w:rFonts w:cs="Times New Roman"/>
                <w:sz w:val="21"/>
                <w:szCs w:val="21"/>
                <w:lang w:bidi="en-US"/>
              </w:rPr>
              <w:t>165.89</w:t>
            </w:r>
          </w:p>
        </w:tc>
      </w:tr>
      <w:tr w14:paraId="49295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5" w:type="dxa"/>
          </w:tcPr>
          <w:p w14:paraId="64A8C59D">
            <w:pPr>
              <w:snapToGrid w:val="0"/>
              <w:spacing w:line="240" w:lineRule="auto"/>
              <w:ind w:firstLine="0" w:firstLineChars="0"/>
              <w:jc w:val="center"/>
              <w:rPr>
                <w:rFonts w:cs="Times New Roman"/>
                <w:sz w:val="21"/>
                <w:szCs w:val="21"/>
                <w:lang w:bidi="en-US"/>
              </w:rPr>
            </w:pPr>
            <w:r>
              <w:rPr>
                <w:rFonts w:cs="Times New Roman"/>
                <w:sz w:val="21"/>
                <w:szCs w:val="21"/>
                <w:lang w:bidi="en-US"/>
              </w:rPr>
              <w:t>W3</w:t>
            </w:r>
          </w:p>
        </w:tc>
        <w:tc>
          <w:tcPr>
            <w:tcW w:w="3723" w:type="dxa"/>
          </w:tcPr>
          <w:p w14:paraId="0872CC9C">
            <w:pPr>
              <w:snapToGrid w:val="0"/>
              <w:spacing w:line="240" w:lineRule="auto"/>
              <w:ind w:firstLine="0" w:firstLineChars="0"/>
              <w:jc w:val="center"/>
              <w:rPr>
                <w:rFonts w:cs="Times New Roman"/>
                <w:sz w:val="21"/>
                <w:szCs w:val="21"/>
                <w:lang w:bidi="en-US"/>
              </w:rPr>
            </w:pPr>
            <w:r>
              <w:rPr>
                <w:rFonts w:cs="Times New Roman"/>
                <w:sz w:val="21"/>
                <w:szCs w:val="21"/>
                <w:lang w:bidi="en-US"/>
              </w:rPr>
              <w:t>上倪路纳污区</w:t>
            </w:r>
          </w:p>
        </w:tc>
        <w:tc>
          <w:tcPr>
            <w:tcW w:w="3221" w:type="dxa"/>
          </w:tcPr>
          <w:p w14:paraId="321D4458">
            <w:pPr>
              <w:snapToGrid w:val="0"/>
              <w:spacing w:line="240" w:lineRule="auto"/>
              <w:ind w:firstLine="0" w:firstLineChars="0"/>
              <w:jc w:val="center"/>
              <w:rPr>
                <w:rFonts w:cs="Times New Roman"/>
                <w:sz w:val="21"/>
                <w:szCs w:val="21"/>
                <w:lang w:bidi="en-US"/>
              </w:rPr>
            </w:pPr>
            <w:r>
              <w:rPr>
                <w:rFonts w:cs="Times New Roman"/>
                <w:sz w:val="21"/>
                <w:szCs w:val="21"/>
                <w:lang w:bidi="en-US"/>
              </w:rPr>
              <w:t>245.50</w:t>
            </w:r>
          </w:p>
        </w:tc>
      </w:tr>
      <w:tr w14:paraId="395BC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5" w:type="dxa"/>
          </w:tcPr>
          <w:p w14:paraId="3F6FF575">
            <w:pPr>
              <w:snapToGrid w:val="0"/>
              <w:spacing w:line="240" w:lineRule="auto"/>
              <w:ind w:firstLine="0" w:firstLineChars="0"/>
              <w:jc w:val="center"/>
              <w:rPr>
                <w:rFonts w:cs="Times New Roman"/>
                <w:sz w:val="21"/>
                <w:szCs w:val="21"/>
                <w:lang w:bidi="en-US"/>
              </w:rPr>
            </w:pPr>
            <w:r>
              <w:rPr>
                <w:rFonts w:cs="Times New Roman"/>
                <w:sz w:val="21"/>
                <w:szCs w:val="21"/>
                <w:lang w:bidi="en-US"/>
              </w:rPr>
              <w:t>W4</w:t>
            </w:r>
          </w:p>
        </w:tc>
        <w:tc>
          <w:tcPr>
            <w:tcW w:w="3723" w:type="dxa"/>
          </w:tcPr>
          <w:p w14:paraId="138F90B5">
            <w:pPr>
              <w:snapToGrid w:val="0"/>
              <w:spacing w:line="240" w:lineRule="auto"/>
              <w:ind w:firstLine="0" w:firstLineChars="0"/>
              <w:jc w:val="center"/>
              <w:rPr>
                <w:rFonts w:cs="Times New Roman"/>
                <w:sz w:val="21"/>
                <w:szCs w:val="21"/>
                <w:lang w:bidi="en-US"/>
              </w:rPr>
            </w:pPr>
            <w:r>
              <w:rPr>
                <w:rFonts w:cs="Times New Roman"/>
                <w:sz w:val="21"/>
                <w:szCs w:val="21"/>
                <w:lang w:bidi="en-US"/>
              </w:rPr>
              <w:t>松枫路纳污区</w:t>
            </w:r>
          </w:p>
        </w:tc>
        <w:tc>
          <w:tcPr>
            <w:tcW w:w="3221" w:type="dxa"/>
          </w:tcPr>
          <w:p w14:paraId="294C9136">
            <w:pPr>
              <w:snapToGrid w:val="0"/>
              <w:spacing w:line="240" w:lineRule="auto"/>
              <w:ind w:firstLine="0" w:firstLineChars="0"/>
              <w:jc w:val="center"/>
              <w:rPr>
                <w:rFonts w:cs="Times New Roman"/>
                <w:sz w:val="21"/>
                <w:szCs w:val="21"/>
                <w:lang w:bidi="en-US"/>
              </w:rPr>
            </w:pPr>
            <w:r>
              <w:rPr>
                <w:rFonts w:cs="Times New Roman"/>
                <w:sz w:val="21"/>
                <w:szCs w:val="21"/>
                <w:lang w:bidi="en-US"/>
              </w:rPr>
              <w:t>577.49</w:t>
            </w:r>
          </w:p>
        </w:tc>
      </w:tr>
      <w:tr w14:paraId="09409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5" w:type="dxa"/>
          </w:tcPr>
          <w:p w14:paraId="37ECA2FD">
            <w:pPr>
              <w:snapToGrid w:val="0"/>
              <w:spacing w:line="240" w:lineRule="auto"/>
              <w:ind w:firstLine="0" w:firstLineChars="0"/>
              <w:jc w:val="center"/>
              <w:rPr>
                <w:rFonts w:cs="Times New Roman"/>
                <w:sz w:val="21"/>
                <w:szCs w:val="21"/>
                <w:lang w:bidi="en-US"/>
              </w:rPr>
            </w:pPr>
            <w:r>
              <w:rPr>
                <w:rFonts w:cs="Times New Roman"/>
                <w:sz w:val="21"/>
                <w:szCs w:val="21"/>
                <w:lang w:bidi="en-US"/>
              </w:rPr>
              <w:t>W5</w:t>
            </w:r>
          </w:p>
        </w:tc>
        <w:tc>
          <w:tcPr>
            <w:tcW w:w="3723" w:type="dxa"/>
          </w:tcPr>
          <w:p w14:paraId="0301BDCC">
            <w:pPr>
              <w:snapToGrid w:val="0"/>
              <w:spacing w:line="240" w:lineRule="auto"/>
              <w:ind w:firstLine="0" w:firstLineChars="0"/>
              <w:jc w:val="center"/>
              <w:rPr>
                <w:rFonts w:cs="Times New Roman"/>
                <w:sz w:val="21"/>
                <w:szCs w:val="21"/>
                <w:lang w:bidi="en-US"/>
              </w:rPr>
            </w:pPr>
            <w:r>
              <w:rPr>
                <w:rFonts w:cs="Times New Roman"/>
                <w:sz w:val="21"/>
                <w:szCs w:val="21"/>
                <w:lang w:bidi="en-US"/>
              </w:rPr>
              <w:t>松梅路纳污区</w:t>
            </w:r>
          </w:p>
        </w:tc>
        <w:tc>
          <w:tcPr>
            <w:tcW w:w="3221" w:type="dxa"/>
          </w:tcPr>
          <w:p w14:paraId="00D6A8A4">
            <w:pPr>
              <w:snapToGrid w:val="0"/>
              <w:spacing w:line="240" w:lineRule="auto"/>
              <w:ind w:firstLine="0" w:firstLineChars="0"/>
              <w:jc w:val="center"/>
              <w:rPr>
                <w:rFonts w:cs="Times New Roman"/>
                <w:sz w:val="21"/>
                <w:szCs w:val="21"/>
                <w:lang w:bidi="en-US"/>
              </w:rPr>
            </w:pPr>
            <w:r>
              <w:rPr>
                <w:rFonts w:cs="Times New Roman"/>
                <w:sz w:val="21"/>
                <w:szCs w:val="21"/>
                <w:lang w:bidi="en-US"/>
              </w:rPr>
              <w:t>608.99</w:t>
            </w:r>
          </w:p>
        </w:tc>
      </w:tr>
      <w:tr w14:paraId="00158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5" w:type="dxa"/>
          </w:tcPr>
          <w:p w14:paraId="3EAF1D1A">
            <w:pPr>
              <w:snapToGrid w:val="0"/>
              <w:spacing w:line="240" w:lineRule="auto"/>
              <w:ind w:firstLine="0" w:firstLineChars="0"/>
              <w:jc w:val="center"/>
              <w:rPr>
                <w:rFonts w:cs="Times New Roman"/>
                <w:sz w:val="21"/>
                <w:szCs w:val="21"/>
                <w:lang w:bidi="en-US"/>
              </w:rPr>
            </w:pPr>
            <w:r>
              <w:rPr>
                <w:rFonts w:cs="Times New Roman"/>
                <w:sz w:val="21"/>
                <w:szCs w:val="21"/>
                <w:lang w:bidi="en-US"/>
              </w:rPr>
              <w:t>W6</w:t>
            </w:r>
          </w:p>
        </w:tc>
        <w:tc>
          <w:tcPr>
            <w:tcW w:w="3723" w:type="dxa"/>
          </w:tcPr>
          <w:p w14:paraId="24FB8DBB">
            <w:pPr>
              <w:snapToGrid w:val="0"/>
              <w:spacing w:line="240" w:lineRule="auto"/>
              <w:ind w:firstLine="0" w:firstLineChars="0"/>
              <w:jc w:val="center"/>
              <w:rPr>
                <w:rFonts w:cs="Times New Roman"/>
                <w:sz w:val="21"/>
                <w:szCs w:val="21"/>
                <w:lang w:bidi="en-US"/>
              </w:rPr>
            </w:pPr>
            <w:r>
              <w:rPr>
                <w:rFonts w:cs="Times New Roman"/>
                <w:sz w:val="21"/>
                <w:szCs w:val="21"/>
                <w:lang w:bidi="en-US"/>
              </w:rPr>
              <w:t>友爱路以西纳污区</w:t>
            </w:r>
          </w:p>
        </w:tc>
        <w:tc>
          <w:tcPr>
            <w:tcW w:w="3221" w:type="dxa"/>
          </w:tcPr>
          <w:p w14:paraId="4D111ECD">
            <w:pPr>
              <w:snapToGrid w:val="0"/>
              <w:spacing w:line="240" w:lineRule="auto"/>
              <w:ind w:firstLine="0" w:firstLineChars="0"/>
              <w:jc w:val="center"/>
              <w:rPr>
                <w:rFonts w:cs="Times New Roman"/>
                <w:sz w:val="21"/>
                <w:szCs w:val="21"/>
                <w:lang w:bidi="en-US"/>
              </w:rPr>
            </w:pPr>
            <w:r>
              <w:rPr>
                <w:rFonts w:cs="Times New Roman"/>
                <w:sz w:val="21"/>
                <w:szCs w:val="21"/>
                <w:lang w:bidi="en-US"/>
              </w:rPr>
              <w:t>446.18</w:t>
            </w:r>
          </w:p>
        </w:tc>
      </w:tr>
      <w:tr w14:paraId="2EAFE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5" w:type="dxa"/>
          </w:tcPr>
          <w:p w14:paraId="47E2594B">
            <w:pPr>
              <w:snapToGrid w:val="0"/>
              <w:spacing w:line="240" w:lineRule="auto"/>
              <w:ind w:firstLine="0" w:firstLineChars="0"/>
              <w:jc w:val="center"/>
              <w:rPr>
                <w:rFonts w:cs="Times New Roman"/>
                <w:sz w:val="21"/>
                <w:szCs w:val="21"/>
                <w:lang w:bidi="en-US"/>
              </w:rPr>
            </w:pPr>
            <w:r>
              <w:rPr>
                <w:rFonts w:cs="Times New Roman"/>
                <w:sz w:val="21"/>
                <w:szCs w:val="21"/>
                <w:lang w:bidi="en-US"/>
              </w:rPr>
              <w:t>W7</w:t>
            </w:r>
          </w:p>
        </w:tc>
        <w:tc>
          <w:tcPr>
            <w:tcW w:w="3723" w:type="dxa"/>
          </w:tcPr>
          <w:p w14:paraId="27696AC1">
            <w:pPr>
              <w:snapToGrid w:val="0"/>
              <w:spacing w:line="240" w:lineRule="auto"/>
              <w:ind w:firstLine="0" w:firstLineChars="0"/>
              <w:jc w:val="center"/>
              <w:rPr>
                <w:rFonts w:cs="Times New Roman"/>
                <w:sz w:val="21"/>
                <w:szCs w:val="21"/>
                <w:lang w:bidi="en-US"/>
              </w:rPr>
            </w:pPr>
            <w:r>
              <w:rPr>
                <w:rFonts w:cs="Times New Roman"/>
                <w:sz w:val="21"/>
                <w:szCs w:val="21"/>
                <w:lang w:bidi="en-US"/>
              </w:rPr>
              <w:t xml:space="preserve">友爱路以东纳污区 </w:t>
            </w:r>
          </w:p>
        </w:tc>
        <w:tc>
          <w:tcPr>
            <w:tcW w:w="3221" w:type="dxa"/>
          </w:tcPr>
          <w:p w14:paraId="10E6E228">
            <w:pPr>
              <w:snapToGrid w:val="0"/>
              <w:spacing w:line="240" w:lineRule="auto"/>
              <w:ind w:firstLine="0" w:firstLineChars="0"/>
              <w:jc w:val="center"/>
              <w:rPr>
                <w:rFonts w:cs="Times New Roman"/>
                <w:sz w:val="21"/>
                <w:szCs w:val="21"/>
                <w:lang w:bidi="en-US"/>
              </w:rPr>
            </w:pPr>
            <w:r>
              <w:rPr>
                <w:rFonts w:cs="Times New Roman"/>
                <w:sz w:val="21"/>
                <w:szCs w:val="21"/>
                <w:lang w:bidi="en-US"/>
              </w:rPr>
              <w:t>204.58</w:t>
            </w:r>
          </w:p>
        </w:tc>
      </w:tr>
      <w:tr w14:paraId="59966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68" w:type="dxa"/>
            <w:gridSpan w:val="2"/>
          </w:tcPr>
          <w:p w14:paraId="1BC755FA">
            <w:pPr>
              <w:snapToGrid w:val="0"/>
              <w:spacing w:line="240" w:lineRule="auto"/>
              <w:ind w:firstLine="0" w:firstLineChars="0"/>
              <w:jc w:val="center"/>
              <w:rPr>
                <w:rFonts w:cs="Times New Roman"/>
                <w:sz w:val="21"/>
                <w:szCs w:val="21"/>
                <w:lang w:bidi="en-US"/>
              </w:rPr>
            </w:pPr>
            <w:r>
              <w:rPr>
                <w:rFonts w:cs="Times New Roman"/>
                <w:sz w:val="21"/>
                <w:szCs w:val="21"/>
                <w:lang w:bidi="en-US"/>
              </w:rPr>
              <w:t>合计</w:t>
            </w:r>
          </w:p>
        </w:tc>
        <w:tc>
          <w:tcPr>
            <w:tcW w:w="3221" w:type="dxa"/>
          </w:tcPr>
          <w:p w14:paraId="175F73EF">
            <w:pPr>
              <w:snapToGrid w:val="0"/>
              <w:spacing w:line="240" w:lineRule="auto"/>
              <w:ind w:firstLine="0" w:firstLineChars="0"/>
              <w:jc w:val="center"/>
              <w:rPr>
                <w:rFonts w:cs="Times New Roman"/>
                <w:sz w:val="21"/>
                <w:szCs w:val="21"/>
                <w:lang w:bidi="en-US"/>
              </w:rPr>
            </w:pPr>
            <w:r>
              <w:rPr>
                <w:rFonts w:cs="Times New Roman"/>
                <w:sz w:val="21"/>
                <w:szCs w:val="21"/>
                <w:lang w:bidi="en-US"/>
              </w:rPr>
              <w:t>2541.45</w:t>
            </w:r>
          </w:p>
        </w:tc>
      </w:tr>
    </w:tbl>
    <w:p w14:paraId="29F7EEE4">
      <w:pPr>
        <w:spacing w:line="240" w:lineRule="auto"/>
        <w:ind w:firstLine="0" w:firstLineChars="0"/>
      </w:pPr>
    </w:p>
    <w:p w14:paraId="1C827272">
      <w:pPr>
        <w:ind w:firstLine="480"/>
      </w:pPr>
      <w:r>
        <w:rPr>
          <w:rFonts w:hint="eastAsia"/>
        </w:rPr>
        <w:t>本项目位于松枫路纳污区。目前项目所在地块附近的建滔实业（建滔化工）、捷瑞化工等企业污废水均纳入松木污水处理厂处理，附近主要收集管道等相关设施已敷设。因此，本项目废水预处理后通过新安路的主要污水管网接入松木污水处理厂进行进一步处理。</w:t>
      </w:r>
    </w:p>
    <w:p w14:paraId="4FDEE453">
      <w:pPr>
        <w:pStyle w:val="6"/>
        <w:bidi w:val="0"/>
      </w:pPr>
      <w:r>
        <w:rPr>
          <w:rFonts w:hint="eastAsia"/>
        </w:rPr>
        <w:t>水量角度的可依托性分析</w:t>
      </w:r>
    </w:p>
    <w:p w14:paraId="3B5BB99B">
      <w:pPr>
        <w:ind w:firstLine="480"/>
        <w:rPr>
          <w:rFonts w:hint="eastAsia"/>
        </w:rPr>
      </w:pPr>
      <w:r>
        <w:rPr>
          <w:rFonts w:hint="eastAsia"/>
        </w:rPr>
        <w:t>松木污水处理厂生化系统设计规模1万m</w:t>
      </w:r>
      <w:r>
        <w:rPr>
          <w:rFonts w:hint="eastAsia"/>
          <w:vertAlign w:val="superscript"/>
        </w:rPr>
        <w:t>3</w:t>
      </w:r>
      <w:r>
        <w:rPr>
          <w:rFonts w:hint="eastAsia"/>
        </w:rPr>
        <w:t>/d，根据调查，松木污水处理厂实际处理规模6000~7000m³/d，尚有3000m³/d的余</w:t>
      </w:r>
      <w:r>
        <w:rPr>
          <w:rFonts w:hint="eastAsia"/>
          <w:color w:val="000000" w:themeColor="text1"/>
          <w14:textFill>
            <w14:solidFill>
              <w14:schemeClr w14:val="tx1"/>
            </w14:solidFill>
          </w14:textFill>
        </w:rPr>
        <w:t>量，根据前文核算，本项目仅外排生活污水，排放量为1976m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/a（6.59m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/d），仅占松</w:t>
      </w:r>
      <w:r>
        <w:rPr>
          <w:rFonts w:hint="eastAsia"/>
        </w:rPr>
        <w:t>木污水处理厂处理规模的0.0658%</w:t>
      </w:r>
      <w:r>
        <w:rPr>
          <w:rFonts w:hint="eastAsia"/>
          <w:lang w:eastAsia="zh-CN"/>
        </w:rPr>
        <w:t>。</w:t>
      </w:r>
    </w:p>
    <w:p w14:paraId="467DED34">
      <w:pPr>
        <w:ind w:firstLine="480"/>
        <w:rPr>
          <w:rFonts w:hint="eastAsia"/>
          <w:lang w:eastAsia="zh-CN"/>
        </w:rPr>
      </w:pPr>
      <w:r>
        <w:rPr>
          <w:rFonts w:hint="eastAsia"/>
          <w:lang w:val="en-US" w:eastAsia="zh-CN"/>
        </w:rPr>
        <w:t>非生产期间，本项目初期雨水收集后进入废水站经混凝沉淀+砂滤+树脂离子交换处理后达标排入松木污水处理厂进一步处理。初期雨水量按20次/年计，降雨强度按30mm计，厂区汇水面积6000</w:t>
      </w:r>
      <w:r>
        <w:t>m</w:t>
      </w:r>
      <w:r>
        <w:rPr>
          <w:vertAlign w:val="superscript"/>
        </w:rPr>
        <w:t>2</w:t>
      </w:r>
      <w:r>
        <w:rPr>
          <w:rFonts w:hint="eastAsia"/>
          <w:lang w:val="en-US" w:eastAsia="zh-CN"/>
        </w:rPr>
        <w:t>，则初期雨水量约为3600</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/a</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仅占</w:t>
      </w:r>
      <w:r>
        <w:rPr>
          <w:rFonts w:hint="eastAsia"/>
          <w:color w:val="000000" w:themeColor="text1"/>
          <w14:textFill>
            <w14:solidFill>
              <w14:schemeClr w14:val="tx1"/>
            </w14:solidFill>
          </w14:textFill>
        </w:rPr>
        <w:t>松</w:t>
      </w:r>
      <w:r>
        <w:rPr>
          <w:rFonts w:hint="eastAsia"/>
        </w:rPr>
        <w:t>木污水处理厂处理规模的</w:t>
      </w:r>
      <w:r>
        <w:rPr>
          <w:rFonts w:hint="eastAsia"/>
          <w:lang w:val="en-US" w:eastAsia="zh-CN"/>
        </w:rPr>
        <w:t>0.12</w:t>
      </w:r>
      <w:r>
        <w:rPr>
          <w:rFonts w:hint="eastAsia"/>
        </w:rPr>
        <w:t>%</w:t>
      </w:r>
      <w:r>
        <w:rPr>
          <w:rFonts w:hint="eastAsia"/>
          <w:lang w:eastAsia="zh-CN"/>
        </w:rPr>
        <w:t>。</w:t>
      </w:r>
    </w:p>
    <w:p w14:paraId="0A35CDCD">
      <w:pPr>
        <w:ind w:firstLine="480"/>
        <w:rPr>
          <w:rFonts w:hint="eastAsia"/>
          <w:lang w:val="en-US" w:eastAsia="zh-CN"/>
        </w:rPr>
      </w:pPr>
      <w:r>
        <w:rPr>
          <w:rFonts w:hint="eastAsia"/>
          <w:lang w:val="en-US" w:eastAsia="zh-CN"/>
        </w:rPr>
        <w:t>综上，从水量角度分析，</w:t>
      </w:r>
      <w:r>
        <w:rPr>
          <w:rFonts w:hint="eastAsia"/>
        </w:rPr>
        <w:t>松木污水处理厂尚有余量接纳本项目废水。</w:t>
      </w:r>
    </w:p>
    <w:p w14:paraId="43EE6004">
      <w:pPr>
        <w:pStyle w:val="6"/>
        <w:bidi w:val="0"/>
      </w:pPr>
      <w:r>
        <w:rPr>
          <w:rFonts w:hint="eastAsia"/>
        </w:rPr>
        <w:t>水质角度的可依托性分析</w:t>
      </w:r>
    </w:p>
    <w:p w14:paraId="2B906F54">
      <w:pPr>
        <w:ind w:firstLine="480"/>
        <w:rPr>
          <w:rFonts w:hint="eastAsia"/>
        </w:rPr>
      </w:pPr>
      <w:r>
        <w:rPr>
          <w:rFonts w:hint="eastAsia"/>
        </w:rPr>
        <w:t>项目生活污水经厂内化粪池处理达标后通过园区排入松木污水处理厂进一步处理，厂区总排口污染物执行《无机化学工业污染物排放标准》（GB31573-2015）表1间接排放限值、《污水综合排放标准》（GB8978-1996）三级标准及松木污水处理厂纳管标准较严者。生活污水CODcr排放浓度200mg/L左右、氨氮25mg/L左右，满足松木污水处理厂的纳管要求。</w:t>
      </w:r>
    </w:p>
    <w:p w14:paraId="613D0D36">
      <w:pPr>
        <w:ind w:firstLine="480"/>
        <w:rPr>
          <w:rFonts w:hint="default"/>
          <w:lang w:val="en-US" w:eastAsia="zh-CN"/>
        </w:rPr>
      </w:pPr>
      <w:r>
        <w:rPr>
          <w:rFonts w:hint="eastAsia"/>
          <w:lang w:val="en-US" w:eastAsia="zh-CN"/>
        </w:rPr>
        <w:t>非生产期间，项目初期雨水进入废水站经混凝沉淀+砂滤+树脂离子交换处理后，参照</w:t>
      </w:r>
      <w:r>
        <w:rPr>
          <w:rFonts w:hint="eastAsia"/>
        </w:rPr>
        <w:t>《工业废水高氯酸盐污染物排放标准》编制说明（征求意见稿）</w:t>
      </w:r>
      <w:r>
        <w:rPr>
          <w:rFonts w:hint="eastAsia"/>
          <w:lang w:eastAsia="zh-CN"/>
        </w:rPr>
        <w:t>，</w:t>
      </w:r>
      <w:r>
        <w:rPr>
          <w:rFonts w:hint="eastAsia"/>
          <w:lang w:val="en-US" w:eastAsia="zh-CN"/>
        </w:rPr>
        <w:t>进水处理后出水高氯酸盐可小于0.07 mg/L。</w:t>
      </w:r>
    </w:p>
    <w:p w14:paraId="53942C65">
      <w:pPr>
        <w:ind w:firstLine="480"/>
        <w:rPr>
          <w:rFonts w:hint="eastAsia"/>
        </w:rPr>
      </w:pPr>
      <w:r>
        <w:rPr>
          <w:rFonts w:hint="eastAsia"/>
          <w:lang w:val="en-US" w:eastAsia="zh-CN"/>
        </w:rPr>
        <w:t>综上，从水质角度分析，</w:t>
      </w:r>
      <w:r>
        <w:rPr>
          <w:rFonts w:hint="eastAsia"/>
        </w:rPr>
        <w:t>本项目</w:t>
      </w:r>
      <w:r>
        <w:rPr>
          <w:rFonts w:hint="eastAsia"/>
          <w:lang w:val="en-US" w:eastAsia="zh-CN"/>
        </w:rPr>
        <w:t>废水经</w:t>
      </w:r>
      <w:r>
        <w:rPr>
          <w:rFonts w:hint="eastAsia"/>
        </w:rPr>
        <w:t>处理达标后可依托松木污水处理厂进行进一步处理后外排。</w:t>
      </w:r>
    </w:p>
    <w:p w14:paraId="1D8A93E1">
      <w:pPr>
        <w:pStyle w:val="4"/>
        <w:numPr>
          <w:ilvl w:val="2"/>
          <w:numId w:val="1"/>
        </w:numPr>
        <w:rPr>
          <w:rFonts w:hint="eastAsia" w:eastAsia="宋体"/>
          <w:lang w:val="en-US" w:eastAsia="zh-CN"/>
        </w:rPr>
      </w:pPr>
      <w:r>
        <w:rPr>
          <w:rFonts w:hint="eastAsia"/>
          <w:lang w:val="en-US" w:eastAsia="zh-CN"/>
        </w:rPr>
        <w:t>经济可行性</w:t>
      </w:r>
    </w:p>
    <w:p w14:paraId="0E946C4C">
      <w:pPr>
        <w:ind w:firstLine="480"/>
        <w:rPr>
          <w:rFonts w:hint="default"/>
          <w:lang w:val="en-US" w:eastAsia="zh-CN"/>
        </w:rPr>
      </w:pPr>
      <w:r>
        <w:rPr>
          <w:rFonts w:hint="default"/>
          <w:lang w:val="en-US" w:eastAsia="zh-CN"/>
        </w:rPr>
        <w:t>本项目废水处理措施投资约</w:t>
      </w:r>
      <w:r>
        <w:rPr>
          <w:rFonts w:hint="eastAsia"/>
          <w:lang w:val="en-US" w:eastAsia="zh-CN"/>
        </w:rPr>
        <w:t>220</w:t>
      </w:r>
      <w:r>
        <w:rPr>
          <w:rFonts w:hint="default"/>
          <w:lang w:val="en-US" w:eastAsia="zh-CN"/>
        </w:rPr>
        <w:t>万元，约占项目总投资4500万元的</w:t>
      </w:r>
      <w:r>
        <w:rPr>
          <w:rFonts w:hint="eastAsia"/>
          <w:lang w:val="en-US" w:eastAsia="zh-CN"/>
        </w:rPr>
        <w:t>4.88</w:t>
      </w:r>
      <w:r>
        <w:rPr>
          <w:rFonts w:hint="default"/>
          <w:lang w:val="en-US" w:eastAsia="zh-CN"/>
        </w:rPr>
        <w:t>%，所占比例较小，采用上述治理措施后可有效处理废水，降低对周围环境的影响，产生较好的社会效益。因此，本项目废水处理措施在经济上是可行的。</w:t>
      </w:r>
    </w:p>
    <w:p w14:paraId="487A6F8E">
      <w:pPr>
        <w:pStyle w:val="4"/>
        <w:numPr>
          <w:ilvl w:val="2"/>
          <w:numId w:val="1"/>
        </w:numPr>
      </w:pPr>
      <w:r>
        <w:rPr>
          <w:rFonts w:hint="eastAsia"/>
        </w:rPr>
        <w:t>小结</w:t>
      </w:r>
    </w:p>
    <w:p w14:paraId="638F7769">
      <w:pPr>
        <w:ind w:firstLine="480"/>
      </w:pPr>
      <w:r>
        <w:t>综上所述，采取上述废水处理措施后，本项目营运期废水可达到松木污水处理厂的纳污标准要求，且项目所在区域主要废水收集管道已敷设，属于松木污水处理厂的纳污范围，本项目废水预处理后可以依托松木污水处理厂进一步处理后能实现达标排放，对水环境造成影响较小，且项目废水处理投资合理，在企业可接受范围之内，处理措施经济技术可行。</w:t>
      </w:r>
    </w:p>
    <w:p w14:paraId="428151FC">
      <w:pPr>
        <w:pStyle w:val="3"/>
        <w:numPr>
          <w:ilvl w:val="1"/>
          <w:numId w:val="1"/>
        </w:numPr>
      </w:pPr>
      <w:bookmarkStart w:id="332" w:name="_Toc13604"/>
      <w:r>
        <w:rPr>
          <w:rFonts w:hint="eastAsia"/>
        </w:rPr>
        <w:t>废气处理措施可行性分析</w:t>
      </w:r>
      <w:bookmarkEnd w:id="330"/>
      <w:bookmarkEnd w:id="331"/>
      <w:bookmarkEnd w:id="332"/>
    </w:p>
    <w:p w14:paraId="5B931733">
      <w:pPr>
        <w:pStyle w:val="4"/>
        <w:numPr>
          <w:ilvl w:val="2"/>
          <w:numId w:val="1"/>
        </w:numPr>
      </w:pPr>
      <w:r>
        <w:rPr>
          <w:rFonts w:hint="eastAsia"/>
        </w:rPr>
        <w:t>废气治理措施</w:t>
      </w:r>
    </w:p>
    <w:p w14:paraId="4C9F2345">
      <w:pPr>
        <w:ind w:firstLine="480"/>
      </w:pPr>
      <w:r>
        <w:rPr>
          <w:rFonts w:hint="eastAsia"/>
        </w:rPr>
        <w:t>本项目的废气主要有：</w:t>
      </w:r>
      <w:r>
        <w:rPr>
          <w:rFonts w:hint="eastAsia"/>
          <w:lang w:val="en-US" w:eastAsia="zh-CN"/>
        </w:rPr>
        <w:t>一次</w:t>
      </w:r>
      <w:r>
        <w:rPr>
          <w:rFonts w:hint="eastAsia"/>
        </w:rPr>
        <w:t>电解尾气、</w:t>
      </w:r>
      <w:r>
        <w:rPr>
          <w:rFonts w:hint="eastAsia"/>
          <w:lang w:val="en-US" w:eastAsia="zh-CN"/>
        </w:rPr>
        <w:t>除次钠尾气、二次电解尾气、复分解</w:t>
      </w:r>
      <w:r>
        <w:rPr>
          <w:rFonts w:hint="eastAsia"/>
        </w:rPr>
        <w:t>干燥粉尘、</w:t>
      </w:r>
      <w:r>
        <w:rPr>
          <w:rFonts w:hint="eastAsia"/>
          <w:lang w:val="en-US" w:eastAsia="zh-CN"/>
        </w:rPr>
        <w:t>锂盐中和尾气</w:t>
      </w:r>
      <w:r>
        <w:rPr>
          <w:rFonts w:hint="eastAsia"/>
        </w:rPr>
        <w:t>、盐酸储罐大小呼吸废气等。</w:t>
      </w:r>
    </w:p>
    <w:p w14:paraId="5C3DE1FD">
      <w:pPr>
        <w:pStyle w:val="6"/>
        <w:bidi w:val="0"/>
      </w:pPr>
      <w:r>
        <w:rPr>
          <w:rFonts w:hint="eastAsia"/>
        </w:rPr>
        <w:t>电解废气、除次钠尾气</w:t>
      </w:r>
      <w:r>
        <w:rPr>
          <w:rFonts w:hint="eastAsia"/>
          <w:lang w:eastAsia="zh-CN"/>
        </w:rPr>
        <w:t>、</w:t>
      </w:r>
      <w:r>
        <w:rPr>
          <w:rFonts w:hint="eastAsia"/>
          <w:lang w:val="en-US" w:eastAsia="zh-CN"/>
        </w:rPr>
        <w:t>锂盐中和尾气</w:t>
      </w:r>
      <w:r>
        <w:rPr>
          <w:rFonts w:hint="eastAsia"/>
        </w:rPr>
        <w:t>处理措施</w:t>
      </w:r>
    </w:p>
    <w:p w14:paraId="3098F607">
      <w:pPr>
        <w:ind w:firstLine="480"/>
        <w:rPr>
          <w:rFonts w:hint="eastAsia" w:eastAsia="宋体"/>
          <w:lang w:val="en-US" w:eastAsia="zh-CN"/>
        </w:rPr>
      </w:pPr>
      <w:r>
        <w:rPr>
          <w:rFonts w:hint="eastAsia"/>
          <w:lang w:val="en-US" w:eastAsia="zh-CN"/>
        </w:rPr>
        <w:t>考虑氢气未进行回收的情况，</w:t>
      </w:r>
      <w:r>
        <w:rPr>
          <w:rFonts w:hint="eastAsia"/>
        </w:rPr>
        <w:t>一次电解尾气</w:t>
      </w:r>
      <w:r>
        <w:t>采用“</w:t>
      </w:r>
      <w:r>
        <w:rPr>
          <w:rFonts w:hint="eastAsia"/>
          <w:lang w:val="en-US" w:eastAsia="zh-CN"/>
        </w:rPr>
        <w:t>盐水洗涤+碱洗</w:t>
      </w:r>
      <w:r>
        <w:t>+</w:t>
      </w:r>
      <w:r>
        <w:rPr>
          <w:rFonts w:hint="eastAsia"/>
          <w:lang w:val="en-US" w:eastAsia="zh-CN"/>
        </w:rPr>
        <w:t>水洗</w:t>
      </w:r>
      <w:r>
        <w:t>”</w:t>
      </w:r>
      <w:r>
        <w:rPr>
          <w:rFonts w:hint="eastAsia"/>
          <w:lang w:eastAsia="zh-CN"/>
        </w:rPr>
        <w:t>处理</w:t>
      </w:r>
      <w:r>
        <w:t>后经25m高排气筒达标排放</w:t>
      </w:r>
      <w:r>
        <w:rPr>
          <w:rFonts w:hint="eastAsia"/>
        </w:rPr>
        <w:t>；二次电解尾气、除次钠尾气采用</w:t>
      </w:r>
      <w:r>
        <w:t>“一级碱洗”</w:t>
      </w:r>
      <w:r>
        <w:rPr>
          <w:rFonts w:hint="eastAsia"/>
          <w:lang w:eastAsia="zh-CN"/>
        </w:rPr>
        <w:t>处理</w:t>
      </w:r>
      <w:r>
        <w:t>后经25m高排气筒达标排放</w:t>
      </w:r>
      <w:r>
        <w:rPr>
          <w:rFonts w:hint="eastAsia"/>
          <w:lang w:eastAsia="zh-CN"/>
        </w:rPr>
        <w:t>；</w:t>
      </w:r>
      <w:r>
        <w:rPr>
          <w:rFonts w:hint="eastAsia"/>
          <w:lang w:val="en-US" w:eastAsia="zh-CN"/>
        </w:rPr>
        <w:t>锂盐中和尾气</w:t>
      </w:r>
      <w:r>
        <w:rPr>
          <w:rFonts w:hint="eastAsia"/>
        </w:rPr>
        <w:t>采用</w:t>
      </w:r>
      <w:r>
        <w:t>“一级碱洗”</w:t>
      </w:r>
      <w:r>
        <w:rPr>
          <w:rFonts w:hint="eastAsia"/>
          <w:lang w:eastAsia="zh-CN"/>
        </w:rPr>
        <w:t>处理</w:t>
      </w:r>
      <w:r>
        <w:t>后经</w:t>
      </w:r>
      <w:r>
        <w:rPr>
          <w:rFonts w:hint="eastAsia"/>
          <w:lang w:val="en-US" w:eastAsia="zh-CN"/>
        </w:rPr>
        <w:t>1</w:t>
      </w:r>
      <w:r>
        <w:t>5m高排气筒达标排放</w:t>
      </w:r>
      <w:r>
        <w:rPr>
          <w:rFonts w:hint="eastAsia"/>
          <w:lang w:val="en-US" w:eastAsia="zh-CN"/>
        </w:rPr>
        <w:t>.</w:t>
      </w:r>
    </w:p>
    <w:p w14:paraId="43A8FF35">
      <w:pPr>
        <w:ind w:firstLine="482"/>
      </w:pPr>
      <w:r>
        <w:rPr>
          <w:rFonts w:hint="eastAsia"/>
          <w:b/>
          <w:bCs/>
        </w:rPr>
        <w:t>废气收集：</w:t>
      </w:r>
      <w:r>
        <w:rPr>
          <w:rFonts w:hint="eastAsia"/>
        </w:rPr>
        <w:t>根据工程分析，电解尾气、除次钠尾气主要产生于电解工序，含有少量的氯气</w:t>
      </w:r>
      <w:r>
        <w:rPr>
          <w:rFonts w:hint="eastAsia"/>
          <w:lang w:eastAsia="zh-CN"/>
        </w:rPr>
        <w:t>、</w:t>
      </w:r>
      <w:r>
        <w:rPr>
          <w:rFonts w:hint="eastAsia"/>
          <w:lang w:val="en-US" w:eastAsia="zh-CN"/>
        </w:rPr>
        <w:t>氯化氢</w:t>
      </w:r>
      <w:r>
        <w:rPr>
          <w:rFonts w:hint="eastAsia"/>
        </w:rPr>
        <w:t>。本项目电解槽采用封闭型电解槽，废气均通过支管、总管连入处理系统，管道连接为密封收集，反应过程中开启废气引风机将废气收集后送入碱液喷淋处理系统处理吸收，脱氯后的气体放空，排气筒高25m。</w:t>
      </w:r>
    </w:p>
    <w:p w14:paraId="1E6A67D4">
      <w:pPr>
        <w:ind w:firstLine="482"/>
      </w:pPr>
      <w:r>
        <w:rPr>
          <w:rFonts w:hint="eastAsia"/>
          <w:b/>
          <w:bCs/>
        </w:rPr>
        <w:t>处理工艺及效果</w:t>
      </w:r>
      <w:r>
        <w:rPr>
          <w:rFonts w:hint="eastAsia"/>
        </w:rPr>
        <w:t>：项目生产过程在全密闭系统中生产，设备和管道中的氯气经管道送入碱液喷淋系统。二次电解尾气、除次钠尾气采用“一级碱洗”处理，一次电解尾气采用“</w:t>
      </w:r>
      <w:r>
        <w:rPr>
          <w:rFonts w:hint="eastAsia"/>
          <w:lang w:val="en-US" w:eastAsia="zh-CN"/>
        </w:rPr>
        <w:t>盐水洗涤+碱洗</w:t>
      </w:r>
      <w:r>
        <w:t>+</w:t>
      </w:r>
      <w:r>
        <w:rPr>
          <w:rFonts w:hint="eastAsia"/>
          <w:lang w:val="en-US" w:eastAsia="zh-CN"/>
        </w:rPr>
        <w:t>水洗</w:t>
      </w:r>
      <w:r>
        <w:rPr>
          <w:rFonts w:hint="eastAsia"/>
          <w:lang w:eastAsia="zh-CN"/>
        </w:rPr>
        <w:t>”</w:t>
      </w:r>
      <w:r>
        <w:rPr>
          <w:rFonts w:hint="eastAsia"/>
        </w:rPr>
        <w:t>处理。项目氯气具有较好的水溶性，且水溶液呈酸性，采用碱液吸收发生中和反应后，能起到较好的净化效果。</w:t>
      </w:r>
    </w:p>
    <w:p w14:paraId="50D603E0">
      <w:pPr>
        <w:ind w:firstLine="482"/>
      </w:pPr>
      <w:r>
        <w:rPr>
          <w:rFonts w:hint="eastAsia"/>
          <w:b/>
          <w:bCs/>
        </w:rPr>
        <w:t>碱液喷淋塔：</w:t>
      </w:r>
      <w:r>
        <w:rPr>
          <w:rFonts w:hint="eastAsia"/>
        </w:rPr>
        <w:t xml:space="preserve">喷淋塔也可称为洗涤塔、水洗塔、废气净化塔，它是气液反应净化系统中的常用的湿式除尘设备，工作时废气与液体逆向接触，将经过洗涤使得气体得到净化、除尘、降温等得作用，目前广泛应用于工业酸碱废气处理中。 </w:t>
      </w:r>
    </w:p>
    <w:p w14:paraId="24383755">
      <w:pPr>
        <w:ind w:firstLine="480"/>
      </w:pPr>
      <w:r>
        <w:rPr>
          <w:rFonts w:hint="eastAsia"/>
        </w:rPr>
        <w:t>项目工业废气在风机的作用下进入喷淋塔。在喷淋塔的喷淋层，喷头喷出吸收液均匀分布在填料上，废气与吸收液在填料表面上充分接触，发生反应。废气中的易溶于水的氯化氢、氯气等酸性物质几乎全被溶解在吸收液里，并与吸收液反应，生成盐类和水，从而达到净化废气的目的。净化后的气体会饱含</w:t>
      </w:r>
      <w:r>
        <w:rPr>
          <w:rFonts w:hint="eastAsia"/>
          <w:lang w:eastAsia="zh-CN"/>
        </w:rPr>
        <w:t>水分</w:t>
      </w:r>
      <w:r>
        <w:rPr>
          <w:rFonts w:hint="eastAsia"/>
        </w:rPr>
        <w:t>，经过塔顶的除雾装置去除</w:t>
      </w:r>
      <w:r>
        <w:rPr>
          <w:rFonts w:hint="eastAsia"/>
          <w:lang w:eastAsia="zh-CN"/>
        </w:rPr>
        <w:t>水分</w:t>
      </w:r>
      <w:r>
        <w:rPr>
          <w:rFonts w:hint="eastAsia"/>
        </w:rPr>
        <w:t>后排放到大气中。吸收液根据污染物性质配制，可循环使用，本项目吸收液为配置NaOH碱液。碱洗塔每段的去除效率可达到90%。</w:t>
      </w:r>
    </w:p>
    <w:p w14:paraId="0BB88E44">
      <w:pPr>
        <w:ind w:firstLine="480"/>
        <w:jc w:val="center"/>
      </w:pPr>
      <w:r>
        <w:drawing>
          <wp:inline distT="0" distB="0" distL="114300" distR="114300">
            <wp:extent cx="2701290" cy="3361690"/>
            <wp:effectExtent l="19050" t="0" r="3463" b="0"/>
            <wp:docPr id="3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9"/>
                    <pic:cNvPicPr>
                      <a:picLocks noChangeAspect="1"/>
                    </pic:cNvPicPr>
                  </pic:nvPicPr>
                  <pic:blipFill>
                    <a:blip r:embed="rId188" cstate="print"/>
                    <a:srcRect r="43037"/>
                    <a:stretch>
                      <a:fillRect/>
                    </a:stretch>
                  </pic:blipFill>
                  <pic:spPr>
                    <a:xfrm>
                      <a:off x="0" y="0"/>
                      <a:ext cx="2701637" cy="3362037"/>
                    </a:xfrm>
                    <a:prstGeom prst="rect">
                      <a:avLst/>
                    </a:prstGeom>
                    <a:noFill/>
                    <a:ln>
                      <a:noFill/>
                    </a:ln>
                  </pic:spPr>
                </pic:pic>
              </a:graphicData>
            </a:graphic>
          </wp:inline>
        </w:drawing>
      </w:r>
    </w:p>
    <w:p w14:paraId="066E4494">
      <w:pPr>
        <w:pStyle w:val="42"/>
        <w:numPr>
          <w:ilvl w:val="6"/>
          <w:numId w:val="1"/>
        </w:numPr>
        <w:rPr>
          <w:rFonts w:hint="default"/>
        </w:rPr>
      </w:pPr>
      <w:r>
        <w:t>喷淋塔示意图</w:t>
      </w:r>
    </w:p>
    <w:p w14:paraId="39E20A09">
      <w:pPr>
        <w:ind w:firstLine="480"/>
      </w:pPr>
    </w:p>
    <w:p w14:paraId="48ACA515">
      <w:pPr>
        <w:ind w:firstLine="482"/>
        <w:rPr>
          <w:rFonts w:hint="default" w:eastAsia="宋体"/>
          <w:b/>
          <w:bCs/>
          <w:lang w:val="en-US" w:eastAsia="zh-CN"/>
        </w:rPr>
      </w:pPr>
      <w:r>
        <w:rPr>
          <w:rFonts w:hint="eastAsia"/>
          <w:b/>
          <w:bCs/>
          <w:lang w:val="en-US" w:eastAsia="zh-CN"/>
        </w:rPr>
        <w:t>技术可行性：</w:t>
      </w:r>
      <w:r>
        <w:rPr>
          <w:rFonts w:hint="eastAsia"/>
        </w:rPr>
        <w:t>项目</w:t>
      </w:r>
      <w:r>
        <w:rPr>
          <w:rFonts w:hint="eastAsia"/>
          <w:lang w:val="en-US" w:eastAsia="zh-CN"/>
        </w:rPr>
        <w:t>电解废气、除次钠尾气、锂盐中和尾气主要为氯酸钠、高氯酸钠、高氯酸锂生产产生，氯酸钠、高氯酸钠、高氯酸锂均</w:t>
      </w:r>
      <w:r>
        <w:rPr>
          <w:rFonts w:hint="eastAsia"/>
        </w:rPr>
        <w:t>未列入《排污许可证申请与核发技术规范</w:t>
      </w:r>
      <w:r>
        <w:rPr>
          <w:rFonts w:hint="eastAsia"/>
          <w:lang w:val="en-US" w:eastAsia="zh-CN"/>
        </w:rPr>
        <w:t xml:space="preserve"> </w:t>
      </w:r>
      <w:r>
        <w:rPr>
          <w:rFonts w:hint="eastAsia"/>
        </w:rPr>
        <w:t>无机化学工业》中，因此无完全对应的污染治理推荐措施</w:t>
      </w:r>
      <w:r>
        <w:rPr>
          <w:rFonts w:hint="eastAsia"/>
          <w:lang w:eastAsia="zh-CN"/>
        </w:rPr>
        <w:t>。</w:t>
      </w:r>
      <w:r>
        <w:rPr>
          <w:rFonts w:hint="eastAsia"/>
          <w:b w:val="0"/>
          <w:bCs w:val="0"/>
          <w:lang w:val="en-US" w:eastAsia="zh-CN"/>
        </w:rPr>
        <w:t>项目电解尾气采用《废气处理技术工程手册》（化学工业出版社） 一般含氯、氯化氢废气的处理技术——碱液洗涤，该技术为含氯、氯化氢废气的常规性处理技术，且类比同类项目耒阳金悦科技发展有限公司（设计生产规模</w:t>
      </w:r>
      <w:r>
        <w:rPr>
          <w:rFonts w:eastAsiaTheme="minorEastAsia"/>
          <w:sz w:val="24"/>
        </w:rPr>
        <w:t>7000</w:t>
      </w:r>
      <w:r>
        <w:rPr>
          <w:rFonts w:hint="eastAsia" w:eastAsiaTheme="minorEastAsia"/>
          <w:sz w:val="24"/>
          <w:lang w:val="en-US" w:eastAsia="zh-CN"/>
        </w:rPr>
        <w:t>t/a氯酸钠、3000t/a高氯酸钾</w:t>
      </w:r>
      <w:r>
        <w:rPr>
          <w:rFonts w:hint="eastAsia"/>
          <w:b w:val="0"/>
          <w:bCs w:val="0"/>
          <w:lang w:val="en-US" w:eastAsia="zh-CN"/>
        </w:rPr>
        <w:t>）废气采取碱液洗涤后，电解尾气可实现稳定运行达标排放，判定技术可行。</w:t>
      </w:r>
    </w:p>
    <w:p w14:paraId="1A87A2AD">
      <w:pPr>
        <w:ind w:firstLine="482"/>
        <w:rPr>
          <w:rFonts w:hint="eastAsia"/>
        </w:rPr>
      </w:pPr>
      <w:r>
        <w:rPr>
          <w:rFonts w:hint="eastAsia"/>
          <w:b/>
          <w:bCs/>
        </w:rPr>
        <w:t>处理达标情况：</w:t>
      </w:r>
      <w:r>
        <w:rPr>
          <w:rFonts w:hint="eastAsia"/>
        </w:rPr>
        <w:t>根据工程分析，经处理后电解废气、除次钠尾气的</w:t>
      </w:r>
      <w:r>
        <w:rPr>
          <w:rFonts w:hint="eastAsia"/>
          <w:lang w:val="en-US" w:eastAsia="zh-CN"/>
        </w:rPr>
        <w:t>锂盐中和尾气</w:t>
      </w:r>
      <w:r>
        <w:rPr>
          <w:rFonts w:hint="eastAsia"/>
        </w:rPr>
        <w:t>均低于《无机化学工业污染物排放标准》（GB31573-2015）中氯酸盐工业大气污染物排放限值。</w:t>
      </w:r>
    </w:p>
    <w:p w14:paraId="7F6D22F1">
      <w:pPr>
        <w:ind w:firstLine="482"/>
      </w:pPr>
      <w:r>
        <w:rPr>
          <w:rFonts w:hint="eastAsia"/>
        </w:rPr>
        <w:t>综上，本项目氯气</w:t>
      </w:r>
      <w:r>
        <w:rPr>
          <w:rFonts w:hint="eastAsia"/>
          <w:lang w:eastAsia="zh-CN"/>
        </w:rPr>
        <w:t>、</w:t>
      </w:r>
      <w:r>
        <w:rPr>
          <w:rFonts w:hint="eastAsia"/>
          <w:lang w:val="en-US" w:eastAsia="zh-CN"/>
        </w:rPr>
        <w:t>氯化氢</w:t>
      </w:r>
      <w:r>
        <w:rPr>
          <w:rFonts w:hint="eastAsia"/>
        </w:rPr>
        <w:t>处理措施在技术上是可行的。</w:t>
      </w:r>
    </w:p>
    <w:p w14:paraId="7AE0A9AA">
      <w:pPr>
        <w:pStyle w:val="6"/>
        <w:bidi w:val="0"/>
      </w:pPr>
      <w:r>
        <w:rPr>
          <w:rFonts w:hint="eastAsia"/>
          <w:lang w:val="en-US" w:eastAsia="zh-CN"/>
        </w:rPr>
        <w:t>复分解</w:t>
      </w:r>
      <w:r>
        <w:rPr>
          <w:rFonts w:hint="eastAsia"/>
        </w:rPr>
        <w:t>干燥粉尘处理措施</w:t>
      </w:r>
    </w:p>
    <w:p w14:paraId="67610D6A">
      <w:pPr>
        <w:ind w:firstLine="480"/>
      </w:pPr>
      <w:r>
        <w:rPr>
          <w:rFonts w:hint="eastAsia"/>
          <w:lang w:val="en-US" w:eastAsia="zh-CN"/>
        </w:rPr>
        <w:t>复分解</w:t>
      </w:r>
      <w:r>
        <w:rPr>
          <w:rFonts w:hint="eastAsia"/>
        </w:rPr>
        <w:t>干燥粉尘</w:t>
      </w:r>
      <w:r>
        <w:t>采用旋风+布袋除尘对含尘废气进行处理，单级旋风除尘器除尘效率约为80%。经过旋风+布袋除尘器处理后</w:t>
      </w:r>
      <w:r>
        <w:rPr>
          <w:rFonts w:hint="eastAsia"/>
        </w:rPr>
        <w:t>经</w:t>
      </w:r>
      <w:r>
        <w:rPr>
          <w:rFonts w:hint="eastAsia"/>
          <w:lang w:val="en-US" w:eastAsia="zh-CN"/>
        </w:rPr>
        <w:t>1</w:t>
      </w:r>
      <w:r>
        <w:rPr>
          <w:rFonts w:hint="eastAsia"/>
        </w:rPr>
        <w:t>5m高排气筒</w:t>
      </w:r>
      <w:r>
        <w:t>达标排放</w:t>
      </w:r>
      <w:r>
        <w:rPr>
          <w:rFonts w:hint="eastAsia"/>
          <w:lang w:val="en-US" w:eastAsia="zh-CN"/>
        </w:rPr>
        <w:t>。</w:t>
      </w:r>
    </w:p>
    <w:p w14:paraId="7D400542">
      <w:pPr>
        <w:ind w:firstLine="482"/>
      </w:pPr>
      <w:r>
        <w:rPr>
          <w:rFonts w:hint="eastAsia"/>
          <w:b/>
          <w:bCs/>
        </w:rPr>
        <w:t>旋风+布袋除尘：</w:t>
      </w:r>
      <w:r>
        <w:rPr>
          <w:rFonts w:hint="eastAsia"/>
        </w:rPr>
        <w:t>旋风除尘利用尘粒随烟气流作旋转借助于尘粒的离心作用，尘粒沿着圆筒壁旋转下降，而净化气体通过排气管从筒体中心排出，从而把尘粒从烟气流中分离出来。结构简单，设备费用低，维修容易，可作为独立的除尘装置，也可作为其他除尘装置的前处理除尘装置，一般捕集粒径在几十微米以下。布袋除尘器采用分室离线脉冲清灰技术，克服了反吹风清灰和一般脉冲清灰各自的缺点，清灰能力强，除尘效率高，排放浓度低，漏风率小，能耗低，占地面积少，运行可靠平稳。</w:t>
      </w:r>
    </w:p>
    <w:p w14:paraId="3FB27B8D">
      <w:pPr>
        <w:ind w:firstLine="480"/>
        <w:jc w:val="center"/>
      </w:pPr>
      <w:r>
        <w:drawing>
          <wp:inline distT="0" distB="0" distL="114300" distR="114300">
            <wp:extent cx="4057650" cy="3000375"/>
            <wp:effectExtent l="0" t="0" r="0" b="9525"/>
            <wp:docPr id="40" name="图片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0" descr="IMG_256"/>
                    <pic:cNvPicPr>
                      <a:picLocks noChangeAspect="1"/>
                    </pic:cNvPicPr>
                  </pic:nvPicPr>
                  <pic:blipFill>
                    <a:blip r:embed="rId189" cstate="print"/>
                    <a:stretch>
                      <a:fillRect/>
                    </a:stretch>
                  </pic:blipFill>
                  <pic:spPr>
                    <a:xfrm>
                      <a:off x="0" y="0"/>
                      <a:ext cx="4057650" cy="3000375"/>
                    </a:xfrm>
                    <a:prstGeom prst="rect">
                      <a:avLst/>
                    </a:prstGeom>
                    <a:noFill/>
                    <a:ln>
                      <a:noFill/>
                    </a:ln>
                  </pic:spPr>
                </pic:pic>
              </a:graphicData>
            </a:graphic>
          </wp:inline>
        </w:drawing>
      </w:r>
    </w:p>
    <w:p w14:paraId="39065197">
      <w:pPr>
        <w:pStyle w:val="42"/>
        <w:numPr>
          <w:ilvl w:val="6"/>
          <w:numId w:val="1"/>
        </w:numPr>
        <w:rPr>
          <w:rFonts w:hint="default"/>
        </w:rPr>
      </w:pPr>
      <w:r>
        <w:t>布袋除尘工作原理</w:t>
      </w:r>
    </w:p>
    <w:p w14:paraId="6321B4E9">
      <w:pPr>
        <w:ind w:firstLine="482"/>
        <w:rPr>
          <w:rFonts w:hint="eastAsia"/>
          <w:b/>
          <w:bCs/>
        </w:rPr>
      </w:pPr>
    </w:p>
    <w:p w14:paraId="4E4B8CF6">
      <w:pPr>
        <w:ind w:firstLine="482"/>
        <w:rPr>
          <w:rFonts w:hint="default" w:eastAsia="宋体"/>
          <w:b w:val="0"/>
          <w:bCs w:val="0"/>
          <w:lang w:val="en-US" w:eastAsia="zh-CN"/>
        </w:rPr>
      </w:pPr>
      <w:r>
        <w:rPr>
          <w:rFonts w:hint="eastAsia"/>
          <w:b/>
          <w:bCs/>
          <w:lang w:val="en-US" w:eastAsia="zh-CN"/>
        </w:rPr>
        <w:t>技术可行性：</w:t>
      </w:r>
      <w:r>
        <w:rPr>
          <w:rFonts w:hint="eastAsia"/>
        </w:rPr>
        <w:t>项目</w:t>
      </w:r>
      <w:r>
        <w:rPr>
          <w:rFonts w:hint="eastAsia"/>
          <w:lang w:val="en-US" w:eastAsia="zh-CN"/>
        </w:rPr>
        <w:t>复分解干燥粉尘主要为氯酸钾、高氯酸钾生产产生</w:t>
      </w:r>
      <w:r>
        <w:rPr>
          <w:rFonts w:hint="eastAsia"/>
          <w:lang w:eastAsia="zh-CN"/>
        </w:rPr>
        <w:t>。</w:t>
      </w:r>
      <w:r>
        <w:rPr>
          <w:rFonts w:hint="eastAsia"/>
        </w:rPr>
        <w:t>参考《排污许可证申请与核发技术规范</w:t>
      </w:r>
      <w:r>
        <w:rPr>
          <w:rFonts w:hint="eastAsia"/>
          <w:lang w:val="en-US" w:eastAsia="zh-CN"/>
        </w:rPr>
        <w:t xml:space="preserve"> </w:t>
      </w:r>
      <w:r>
        <w:rPr>
          <w:rFonts w:hint="eastAsia"/>
        </w:rPr>
        <w:t>无机化学工业》中其他无机盐产品制造中干燥工序推荐的污染治理工艺为旋风除尘、电除尘、袋式除尘、脉冲除尘工艺。根据项目特点及设计材料，本项目干燥废气处理</w:t>
      </w:r>
      <w:r>
        <w:rPr>
          <w:rFonts w:hint="eastAsia"/>
          <w:lang w:val="en-US" w:eastAsia="zh-CN"/>
        </w:rPr>
        <w:t>措施</w:t>
      </w:r>
      <w:r>
        <w:rPr>
          <w:rFonts w:hint="eastAsia"/>
        </w:rPr>
        <w:t>可行。</w:t>
      </w:r>
    </w:p>
    <w:p w14:paraId="2EEFAAE0">
      <w:pPr>
        <w:ind w:firstLine="482"/>
        <w:rPr>
          <w:rFonts w:hint="eastAsia"/>
        </w:rPr>
      </w:pPr>
      <w:r>
        <w:rPr>
          <w:rFonts w:hint="eastAsia"/>
          <w:b/>
          <w:bCs/>
        </w:rPr>
        <w:t>处理达标情况：</w:t>
      </w:r>
      <w:r>
        <w:rPr>
          <w:rFonts w:hint="eastAsia"/>
        </w:rPr>
        <w:t>根据工程分析，</w:t>
      </w:r>
      <w:r>
        <w:rPr>
          <w:rFonts w:hint="eastAsia"/>
          <w:lang w:val="en-US" w:eastAsia="zh-CN"/>
        </w:rPr>
        <w:t>复分解</w:t>
      </w:r>
      <w:r>
        <w:rPr>
          <w:rFonts w:hint="eastAsia"/>
        </w:rPr>
        <w:t>干燥粉尘经处理后的颗粒物排放浓度低于《无机化学工业污染物排放标准》（GB31573-2015）中氯酸盐工业大气污染物排放限值。</w:t>
      </w:r>
    </w:p>
    <w:p w14:paraId="4B5A3E16">
      <w:pPr>
        <w:ind w:firstLine="482"/>
      </w:pPr>
      <w:r>
        <w:rPr>
          <w:rFonts w:hint="eastAsia"/>
        </w:rPr>
        <w:t>综上，本项目颗粒物处理措施在技术上是可行的。</w:t>
      </w:r>
    </w:p>
    <w:p w14:paraId="09414C71">
      <w:pPr>
        <w:pStyle w:val="6"/>
        <w:bidi w:val="0"/>
      </w:pPr>
      <w:r>
        <w:rPr>
          <w:rFonts w:hint="eastAsia"/>
        </w:rPr>
        <w:t>无组织废气</w:t>
      </w:r>
    </w:p>
    <w:p w14:paraId="47600957">
      <w:pPr>
        <w:ind w:firstLine="482"/>
      </w:pPr>
      <w:r>
        <w:rPr>
          <w:rFonts w:hint="eastAsia"/>
          <w:b/>
          <w:bCs/>
        </w:rPr>
        <w:t>储罐呼吸废气：</w:t>
      </w:r>
      <w:r>
        <w:t>储罐通过采用全密闭、下部装载、液下装载、气相平和系统等方式装卸挥发性有机液体，减少大呼吸废气；及时调整储罐物料的储存高度，保持储罐都在较高液位的情况下储存，减少储罐气体空间的体积，设置耐压呼吸阀密闭储存。因此，本项目储罐呼吸废气对厂区周边环境空气质量的影响较小。</w:t>
      </w:r>
    </w:p>
    <w:p w14:paraId="72095337">
      <w:pPr>
        <w:pStyle w:val="4"/>
        <w:numPr>
          <w:ilvl w:val="2"/>
          <w:numId w:val="1"/>
        </w:numPr>
      </w:pPr>
      <w:r>
        <w:rPr>
          <w:rFonts w:hint="eastAsia"/>
        </w:rPr>
        <w:t>排气筒设置的合理性分析</w:t>
      </w:r>
    </w:p>
    <w:p w14:paraId="5900C5CB">
      <w:pPr>
        <w:ind w:firstLine="480"/>
      </w:pPr>
      <w:r>
        <w:rPr>
          <w:rFonts w:hint="eastAsia"/>
        </w:rPr>
        <w:t>（1）排气筒高度</w:t>
      </w:r>
    </w:p>
    <w:p w14:paraId="1BCFB2E4">
      <w:pPr>
        <w:ind w:firstLine="480"/>
      </w:pPr>
      <w:r>
        <w:rPr>
          <w:rFonts w:hint="eastAsia"/>
        </w:rPr>
        <w:t>根据《无机化学工业污染物排放标准》（GB31573-2015）对排气筒高度规定如下：“4.2.6。所有排气筒高度应按环境影响评价要求确定，至少不低于15m（排放含氯气的排气筒高度不得低于25m）。”本项目电解尾气、除次钠尾气排气筒高度设置为25m，干燥粉尘</w:t>
      </w:r>
      <w:r>
        <w:rPr>
          <w:rFonts w:hint="eastAsia"/>
          <w:lang w:eastAsia="zh-CN"/>
        </w:rPr>
        <w:t>、</w:t>
      </w:r>
      <w:r>
        <w:rPr>
          <w:rFonts w:hint="eastAsia"/>
          <w:lang w:val="en-US" w:eastAsia="zh-CN"/>
        </w:rPr>
        <w:t>中和尾气</w:t>
      </w:r>
      <w:r>
        <w:rPr>
          <w:rFonts w:hint="eastAsia"/>
        </w:rPr>
        <w:t>排气筒高度设置为15m，高度设置合理。</w:t>
      </w:r>
    </w:p>
    <w:p w14:paraId="6B6BBB2B">
      <w:pPr>
        <w:ind w:firstLine="480"/>
      </w:pPr>
      <w:r>
        <w:rPr>
          <w:rFonts w:hint="eastAsia"/>
        </w:rPr>
        <w:t>（2）烟气流速</w:t>
      </w:r>
    </w:p>
    <w:p w14:paraId="48B7CB1D">
      <w:pPr>
        <w:ind w:firstLine="480"/>
      </w:pPr>
      <w:r>
        <w:rPr>
          <w:rFonts w:hint="eastAsia"/>
        </w:rPr>
        <w:t>设置满足《制定地方大气污染物排放标准的技术方法》（GB13201-91）、《大气污染治理工程技术导则》（HJ2000-2010）要求，且根据大气环境影响预测结果，本项目排放的污染物落地浓度较小，对周边环境影响较小，故本项目排气筒设置合理。</w:t>
      </w:r>
    </w:p>
    <w:p w14:paraId="13CEEDB1">
      <w:pPr>
        <w:pStyle w:val="4"/>
        <w:numPr>
          <w:ilvl w:val="2"/>
          <w:numId w:val="1"/>
        </w:numPr>
      </w:pPr>
      <w:r>
        <w:rPr>
          <w:rFonts w:hint="eastAsia"/>
        </w:rPr>
        <w:t>经济可行性</w:t>
      </w:r>
    </w:p>
    <w:p w14:paraId="5A3E7C84">
      <w:pPr>
        <w:ind w:firstLine="480"/>
      </w:pPr>
      <w:r>
        <w:rPr>
          <w:rFonts w:hint="eastAsia"/>
        </w:rPr>
        <w:t>根据本项目废气处理的工艺工程建设费用预算，废气处理系统投资为约</w:t>
      </w:r>
      <w:r>
        <w:rPr>
          <w:rFonts w:hint="eastAsia"/>
          <w:lang w:val="en-US" w:eastAsia="zh-CN"/>
        </w:rPr>
        <w:t>225</w:t>
      </w:r>
      <w:r>
        <w:rPr>
          <w:rFonts w:hint="eastAsia"/>
        </w:rPr>
        <w:t>万元人民币，占项目总投资4500万元的</w:t>
      </w:r>
      <w:r>
        <w:rPr>
          <w:rFonts w:hint="eastAsia"/>
          <w:lang w:val="en-US" w:eastAsia="zh-CN"/>
        </w:rPr>
        <w:t>5</w:t>
      </w:r>
      <w:r>
        <w:rPr>
          <w:rFonts w:hint="eastAsia"/>
        </w:rPr>
        <w:t>%，所占比例较小，采用上述治理措施后可有效治理废气污染，降低对周围环境的影响，产生较好的社会效益。因此，本项目废气防治措施在经济上是可行的。</w:t>
      </w:r>
    </w:p>
    <w:p w14:paraId="47B93684">
      <w:pPr>
        <w:pStyle w:val="4"/>
        <w:numPr>
          <w:ilvl w:val="2"/>
          <w:numId w:val="1"/>
        </w:numPr>
      </w:pPr>
      <w:r>
        <w:rPr>
          <w:rFonts w:hint="eastAsia"/>
        </w:rPr>
        <w:t>小结</w:t>
      </w:r>
    </w:p>
    <w:p w14:paraId="6F5EC898">
      <w:pPr>
        <w:ind w:firstLine="480"/>
      </w:pPr>
      <w:r>
        <w:t>上述治理措施均是广泛应用于酸性废气、颗粒物治理，实际操作性高，效果稳定，只要合理设计参数，确定处理目标，经上述措施后，生产工艺废气、其它废气中污染物均可达到相关排放标准的要求。结合类比分析，本项目营运期采取的废气处理措施，在技术和经济上分析是可行的。同时，建议建设单位不断改进废气处理工艺，确保废气满足排放标准的同时不断减少废气污染物的排放量。</w:t>
      </w:r>
    </w:p>
    <w:p w14:paraId="547A4E9D">
      <w:pPr>
        <w:pStyle w:val="3"/>
        <w:numPr>
          <w:ilvl w:val="1"/>
          <w:numId w:val="1"/>
        </w:numPr>
      </w:pPr>
      <w:bookmarkStart w:id="333" w:name="_Toc20569"/>
      <w:bookmarkStart w:id="334" w:name="_Toc12577"/>
      <w:bookmarkStart w:id="335" w:name="_Toc1040"/>
      <w:r>
        <w:rPr>
          <w:rFonts w:hint="eastAsia"/>
        </w:rPr>
        <w:t>噪声防治措施的经济技术可行性分析</w:t>
      </w:r>
      <w:bookmarkEnd w:id="333"/>
      <w:bookmarkEnd w:id="334"/>
      <w:bookmarkEnd w:id="335"/>
    </w:p>
    <w:p w14:paraId="5CA9730B">
      <w:pPr>
        <w:ind w:firstLine="480"/>
      </w:pPr>
      <w:r>
        <w:rPr>
          <w:rFonts w:hint="eastAsia"/>
        </w:rPr>
        <w:t>本项目噪声主要是机泵类生产设备噪声，建设单位拟采取隔声、消声和减震等措施，声环境保护具体措施和对策如下：</w:t>
      </w:r>
    </w:p>
    <w:p w14:paraId="4AA0EC64">
      <w:pPr>
        <w:ind w:firstLine="480"/>
      </w:pPr>
      <w:r>
        <w:rPr>
          <w:rFonts w:hint="eastAsia"/>
        </w:rPr>
        <w:t>（1）尽可能选用环保低噪型设备，车间内各设备合理的布置，且设备作基础减震等防治措施；</w:t>
      </w:r>
    </w:p>
    <w:p w14:paraId="7959125D">
      <w:pPr>
        <w:ind w:firstLine="480"/>
      </w:pPr>
      <w:r>
        <w:rPr>
          <w:rFonts w:hint="eastAsia"/>
        </w:rPr>
        <w:t>（2）厂房内设备噪声经墙体进行隔声处理；</w:t>
      </w:r>
    </w:p>
    <w:p w14:paraId="5E260CBF">
      <w:pPr>
        <w:ind w:firstLine="480"/>
      </w:pPr>
      <w:r>
        <w:rPr>
          <w:rFonts w:hint="eastAsia"/>
        </w:rPr>
        <w:t>（3）高噪声设备设置于专用车间内，在安装设计上，高噪声设备房间拟作相应的消声、吸声措施。</w:t>
      </w:r>
    </w:p>
    <w:p w14:paraId="4B4EC9D3">
      <w:pPr>
        <w:ind w:firstLine="480"/>
      </w:pPr>
      <w:r>
        <w:rPr>
          <w:rFonts w:hint="eastAsia"/>
        </w:rPr>
        <w:t>（4）厂界四周设置绿化隔离带，种植可吸声茂密的树种，减少噪声污染。</w:t>
      </w:r>
    </w:p>
    <w:p w14:paraId="5D500651">
      <w:pPr>
        <w:ind w:firstLine="480"/>
      </w:pPr>
      <w:r>
        <w:rPr>
          <w:rFonts w:hint="eastAsia"/>
        </w:rPr>
        <w:t>（5）尽可能地安排在昼间进行生产，若夜间必须生产应控制夜间生产时间，特别夜间应停止高噪声设备，减少机械的噪声影响，同时减少夜间交通运输活动。</w:t>
      </w:r>
    </w:p>
    <w:p w14:paraId="46A9CC58">
      <w:pPr>
        <w:ind w:firstLine="480"/>
      </w:pPr>
      <w:r>
        <w:rPr>
          <w:rFonts w:hint="eastAsia"/>
        </w:rPr>
        <w:t>项目采取上述措施后，厂界噪声排放符合《工业企业厂界环境噪声排放标准》（GB12348-2008）4类（西、北厂界）、3类（东、南厂界）标准要求，项目建成后对噪声对环境的影响可接受。</w:t>
      </w:r>
      <w:r>
        <w:rPr>
          <w:rFonts w:hint="eastAsia"/>
          <w:lang w:val="en-US" w:eastAsia="zh-CN"/>
        </w:rPr>
        <w:t>本项目噪声防治措施投资约15万元，约</w:t>
      </w:r>
      <w:r>
        <w:rPr>
          <w:rFonts w:hint="eastAsia"/>
        </w:rPr>
        <w:t>占项目总投资4500万元的</w:t>
      </w:r>
      <w:r>
        <w:rPr>
          <w:rFonts w:hint="eastAsia"/>
          <w:lang w:val="en-US" w:eastAsia="zh-CN"/>
        </w:rPr>
        <w:t>0.33</w:t>
      </w:r>
      <w:r>
        <w:rPr>
          <w:rFonts w:hint="eastAsia"/>
        </w:rPr>
        <w:t>%，采用上述</w:t>
      </w:r>
      <w:r>
        <w:rPr>
          <w:rFonts w:hint="eastAsia"/>
          <w:lang w:val="en-US" w:eastAsia="zh-CN"/>
        </w:rPr>
        <w:t>防治</w:t>
      </w:r>
      <w:r>
        <w:rPr>
          <w:rFonts w:hint="eastAsia"/>
        </w:rPr>
        <w:t>措施后可有效降低对周围环境的影响，噪声防治措施经济技术可行。</w:t>
      </w:r>
    </w:p>
    <w:p w14:paraId="060CE91A">
      <w:pPr>
        <w:pStyle w:val="3"/>
        <w:numPr>
          <w:ilvl w:val="1"/>
          <w:numId w:val="1"/>
        </w:numPr>
      </w:pPr>
      <w:bookmarkStart w:id="336" w:name="_Toc28262"/>
      <w:bookmarkStart w:id="337" w:name="_Toc7250"/>
      <w:bookmarkStart w:id="338" w:name="_Toc31841"/>
      <w:r>
        <w:rPr>
          <w:rFonts w:hint="eastAsia"/>
        </w:rPr>
        <w:t>固体废物防治措施的经济技术可行性分析</w:t>
      </w:r>
      <w:bookmarkEnd w:id="336"/>
      <w:bookmarkEnd w:id="337"/>
      <w:bookmarkEnd w:id="338"/>
    </w:p>
    <w:p w14:paraId="6FE16DE2">
      <w:pPr>
        <w:ind w:firstLine="480"/>
      </w:pPr>
      <w:r>
        <w:rPr>
          <w:rFonts w:hint="eastAsia"/>
        </w:rPr>
        <w:t>根据项目的生产工艺和产污环节，本项目主要包括危险固废、一般工业固废和生活垃圾。其中危险废物主要包括：</w:t>
      </w:r>
      <w:r>
        <w:rPr>
          <w:rFonts w:hint="eastAsia"/>
          <w:lang w:eastAsia="zh-CN"/>
        </w:rPr>
        <w:t>除铬滤渣</w:t>
      </w:r>
      <w:r>
        <w:rPr>
          <w:rFonts w:hint="eastAsia"/>
        </w:rPr>
        <w:t>、电解槽沉渣、危化品废包装、机修废物、化验室废物等，危险废物分类收集后暂存于危废暂存间，交由有资质单位处置；一般工业固废主要包括：除杂滤渣、</w:t>
      </w:r>
      <w:r>
        <w:rPr>
          <w:rFonts w:hint="eastAsia"/>
          <w:lang w:eastAsia="zh-CN"/>
        </w:rPr>
        <w:t>废RO膜、废活性炭（纯水制备）</w:t>
      </w:r>
      <w:r>
        <w:rPr>
          <w:rFonts w:hint="eastAsia"/>
        </w:rPr>
        <w:t>、废电极材料、普通废包装、布袋除尘收集粉尘、废水站污泥等，一般固废暂存间一般固废暂存间后回收利用；生活垃圾统集中收集后交由环卫部门统一清运处置。</w:t>
      </w:r>
    </w:p>
    <w:p w14:paraId="326C83CB">
      <w:pPr>
        <w:ind w:firstLine="482"/>
        <w:rPr>
          <w:b/>
          <w:bCs/>
        </w:rPr>
      </w:pPr>
      <w:r>
        <w:rPr>
          <w:rFonts w:hint="eastAsia"/>
          <w:b/>
          <w:bCs/>
        </w:rPr>
        <w:t>1、办公生活垃圾处理处置</w:t>
      </w:r>
    </w:p>
    <w:p w14:paraId="3A54A003">
      <w:pPr>
        <w:ind w:firstLine="480"/>
      </w:pPr>
      <w:r>
        <w:rPr>
          <w:rFonts w:hint="eastAsia"/>
        </w:rPr>
        <w:t>员工办公垃圾和厨余垃圾必须定点堆放，厂区内设置生活垃圾暂存场所，并每日由当地环卫部门清理运走。对垃圾堆放点进行定期的清洁消毒，杀灭害虫，以免散发恶臭，滋生蚊蝇，影响工厂周围环境。</w:t>
      </w:r>
    </w:p>
    <w:p w14:paraId="54D0BFD1">
      <w:pPr>
        <w:ind w:firstLine="482"/>
        <w:rPr>
          <w:b/>
          <w:bCs/>
        </w:rPr>
      </w:pPr>
      <w:r>
        <w:rPr>
          <w:rFonts w:hint="eastAsia"/>
          <w:b/>
          <w:bCs/>
        </w:rPr>
        <w:t>2、一般工业固废处理处置</w:t>
      </w:r>
    </w:p>
    <w:p w14:paraId="5990B07F">
      <w:pPr>
        <w:ind w:firstLine="480"/>
      </w:pPr>
      <w:r>
        <w:rPr>
          <w:rFonts w:hint="eastAsia"/>
        </w:rPr>
        <w:t>一般工业固废主要是除杂滤渣、</w:t>
      </w:r>
      <w:r>
        <w:rPr>
          <w:rFonts w:hint="eastAsia"/>
          <w:lang w:eastAsia="zh-CN"/>
        </w:rPr>
        <w:t>废RO膜、废活性炭（纯水制备）</w:t>
      </w:r>
      <w:r>
        <w:rPr>
          <w:rFonts w:hint="eastAsia"/>
        </w:rPr>
        <w:t>、废电极材料、普通废包装、布袋除尘收集粉尘等，一般固废暂存间一般固废暂存间后回收利用。</w:t>
      </w:r>
    </w:p>
    <w:p w14:paraId="3FA52ECB">
      <w:pPr>
        <w:ind w:firstLine="480"/>
      </w:pPr>
      <w:r>
        <w:rPr>
          <w:rFonts w:hint="eastAsia"/>
        </w:rPr>
        <w:t>一般固废暂存</w:t>
      </w:r>
      <w:r>
        <w:rPr>
          <w:rFonts w:hint="eastAsia"/>
          <w:lang w:val="en-US" w:eastAsia="zh-CN"/>
        </w:rPr>
        <w:t>间</w:t>
      </w:r>
      <w:r>
        <w:rPr>
          <w:rFonts w:hint="eastAsia"/>
        </w:rPr>
        <w:t>拟设于厂区北侧，面积约80m</w:t>
      </w:r>
      <w:r>
        <w:rPr>
          <w:rFonts w:hint="eastAsia"/>
          <w:vertAlign w:val="superscript"/>
        </w:rPr>
        <w:t>2</w:t>
      </w:r>
      <w:r>
        <w:rPr>
          <w:rFonts w:hint="eastAsia"/>
        </w:rPr>
        <w:t>，暂存能力400吨，一般固废暂存间的建设满足《一般工业固体废物贮存和填埋污染控制标准》（GB18599-2020）II类暂存场所的要求。</w:t>
      </w:r>
    </w:p>
    <w:p w14:paraId="72ED7969">
      <w:pPr>
        <w:ind w:firstLine="482"/>
        <w:rPr>
          <w:b/>
          <w:bCs/>
        </w:rPr>
      </w:pPr>
      <w:r>
        <w:rPr>
          <w:rFonts w:hint="eastAsia"/>
          <w:b/>
          <w:bCs/>
        </w:rPr>
        <w:t>3、危险固废处理处置</w:t>
      </w:r>
    </w:p>
    <w:p w14:paraId="6FBD5C1B">
      <w:pPr>
        <w:ind w:firstLine="480"/>
      </w:pPr>
      <w:r>
        <w:rPr>
          <w:rFonts w:hint="eastAsia"/>
        </w:rPr>
        <w:t>危险废物主要是</w:t>
      </w:r>
      <w:r>
        <w:rPr>
          <w:rFonts w:hint="eastAsia"/>
          <w:lang w:eastAsia="zh-CN"/>
        </w:rPr>
        <w:t>除铬滤渣</w:t>
      </w:r>
      <w:r>
        <w:rPr>
          <w:rFonts w:hint="eastAsia"/>
        </w:rPr>
        <w:t>、电解槽沉渣、危化品废包装、机修废物、化验室废物</w:t>
      </w:r>
      <w:r>
        <w:rPr>
          <w:rFonts w:hint="eastAsia"/>
          <w:lang w:eastAsia="zh-CN"/>
        </w:rPr>
        <w:t>、</w:t>
      </w:r>
      <w:r>
        <w:rPr>
          <w:rFonts w:hint="eastAsia"/>
          <w:lang w:val="en-US" w:eastAsia="zh-CN"/>
        </w:rPr>
        <w:t>废催化剂、废吸附剂</w:t>
      </w:r>
      <w:r>
        <w:rPr>
          <w:rFonts w:hint="eastAsia"/>
        </w:rPr>
        <w:t>等。</w:t>
      </w:r>
    </w:p>
    <w:p w14:paraId="51D9CECF">
      <w:pPr>
        <w:ind w:firstLine="482"/>
        <w:rPr>
          <w:b/>
          <w:bCs/>
        </w:rPr>
      </w:pPr>
      <w:r>
        <w:rPr>
          <w:rFonts w:hint="eastAsia"/>
          <w:b/>
          <w:bCs/>
        </w:rPr>
        <w:t>（1）主要处置措施</w:t>
      </w:r>
    </w:p>
    <w:p w14:paraId="6A1CD120">
      <w:pPr>
        <w:ind w:firstLine="480"/>
      </w:pPr>
      <w:r>
        <w:rPr>
          <w:rFonts w:hint="eastAsia"/>
        </w:rPr>
        <w:t>1）对于本项目产生的危险废弃物严格按照危险废物的特性分类收集、贮存、运输、处置，并与非危险废物分开贮存；并定期交由有资质的单位处理处置。</w:t>
      </w:r>
    </w:p>
    <w:p w14:paraId="65039ECD">
      <w:pPr>
        <w:ind w:firstLine="480"/>
      </w:pPr>
      <w:r>
        <w:rPr>
          <w:rFonts w:hint="eastAsia"/>
        </w:rPr>
        <w:t>2）危险废物转移，严格按照国家有关规定填写危险废物转移联单并报当地环境保护局备案；制定危险废物风险事故的防范措施和应急预案，向当地环境保护局备案；因发生事故或者其他突发性事件，造成危险废物严重污染环境的情况，立即采取措施消除或者减轻对环境的污染危害，及时通报可能受到污染危害的单位和居民，向当地环境保护局和有关部门报告，接受调查处理。</w:t>
      </w:r>
    </w:p>
    <w:p w14:paraId="4E8E191B">
      <w:pPr>
        <w:ind w:firstLine="482"/>
        <w:rPr>
          <w:b/>
          <w:bCs/>
        </w:rPr>
      </w:pPr>
      <w:r>
        <w:rPr>
          <w:rFonts w:hint="eastAsia"/>
          <w:b/>
          <w:bCs/>
        </w:rPr>
        <w:t>（2）贮存场所污染防治措施</w:t>
      </w:r>
    </w:p>
    <w:p w14:paraId="75260F12">
      <w:pPr>
        <w:ind w:firstLine="480"/>
      </w:pPr>
      <w:r>
        <w:rPr>
          <w:rFonts w:hint="eastAsia"/>
        </w:rPr>
        <w:t xml:space="preserve">危废暂存间拟设于厂区东侧，建筑面积约30平方米，暂存能力150吨。根据《关于发布&lt;建设项目危险废物环境影响评价指南&gt;的公告》（公告2017年第43号），建设单位应严格按照《危险废物贮存污染控制标准》（GB18597-2023）的要求规范进行危险废物暂存场所的设计、维护管理、做到防风、防雨、防晒、防渗漏，做到堆放合理，警示标示明显，防止发生二次污染，具体措施如下： </w:t>
      </w:r>
    </w:p>
    <w:p w14:paraId="7E838041">
      <w:pPr>
        <w:ind w:firstLine="480"/>
      </w:pPr>
      <w:r>
        <w:rPr>
          <w:rFonts w:hint="eastAsia"/>
        </w:rPr>
        <w:t>1）危险废物应贮存在能防风、防雨、防晒、防渗漏的固定危废房内。污泥堆放设计渗滤液集排水设施。</w:t>
      </w:r>
    </w:p>
    <w:p w14:paraId="2A3F4065">
      <w:pPr>
        <w:ind w:firstLine="480"/>
      </w:pPr>
      <w:r>
        <w:rPr>
          <w:rFonts w:hint="eastAsia"/>
        </w:rPr>
        <w:t>2）按GB15562.2设置环境保护图形标志。建立档案制度，详细记录入场的固体废物的种类和数量等信息，长期保存，供随时查阅。</w:t>
      </w:r>
    </w:p>
    <w:p w14:paraId="508DCE22">
      <w:pPr>
        <w:ind w:firstLine="480"/>
      </w:pPr>
      <w:r>
        <w:rPr>
          <w:rFonts w:hint="eastAsia"/>
        </w:rPr>
        <w:t>3）在常温、常压下易爆、易燃及排出有毒气体的危险废物必须进行预处理，使之稳定后贮存，否则，按易爆、易燃危险品贮存。</w:t>
      </w:r>
    </w:p>
    <w:p w14:paraId="38334812">
      <w:pPr>
        <w:ind w:firstLine="480"/>
      </w:pPr>
      <w:r>
        <w:rPr>
          <w:rFonts w:hint="eastAsia"/>
        </w:rPr>
        <w:t>5）禁止将不兼容（相互反应）的危险废物在同一容器内混装。无法装入常用容器的危险废物可用防漏胶袋等盛装。</w:t>
      </w:r>
    </w:p>
    <w:p w14:paraId="34388B40">
      <w:pPr>
        <w:ind w:firstLine="480"/>
      </w:pPr>
      <w:r>
        <w:rPr>
          <w:rFonts w:hint="eastAsia"/>
        </w:rPr>
        <w:t>6）装载液体、半固体危险废物的容器内须留足够空间，容器顶部与液体表面之间保留100mm以上的空间。</w:t>
      </w:r>
    </w:p>
    <w:p w14:paraId="5E7EBDF2">
      <w:pPr>
        <w:ind w:firstLine="480"/>
      </w:pPr>
      <w:r>
        <w:rPr>
          <w:rFonts w:hint="eastAsia"/>
        </w:rPr>
        <w:t>7）应当使用符合标准的容器盛装危险废物。不相容的危险废物必须分开存放，并设有隔离间隔带。</w:t>
      </w:r>
    </w:p>
    <w:p w14:paraId="694C93F1">
      <w:pPr>
        <w:ind w:firstLine="480"/>
      </w:pPr>
      <w:r>
        <w:rPr>
          <w:rFonts w:hint="eastAsia"/>
        </w:rPr>
        <w:t>8）危险废物贮存前应进行检验，确保同预定接收的危险废物一致，并注册登记，作好记录，记录上须注明危险废物的名称、来源、数量、特性和包装容器的类别、入库日期、存放库位、废物出库日期及接受单位名称。</w:t>
      </w:r>
    </w:p>
    <w:p w14:paraId="3546887E">
      <w:pPr>
        <w:ind w:firstLine="480"/>
      </w:pPr>
      <w:r>
        <w:rPr>
          <w:rFonts w:hint="eastAsia"/>
        </w:rPr>
        <w:t>9）必须定期对贮存危险废物的包装容器及贮存设施进行检查，发现破损，应及时采取措施清理更换。</w:t>
      </w:r>
    </w:p>
    <w:p w14:paraId="1250FD31">
      <w:pPr>
        <w:ind w:firstLine="480"/>
      </w:pPr>
      <w:r>
        <w:rPr>
          <w:rFonts w:hint="eastAsia"/>
        </w:rPr>
        <w:t>10）危险废物贮存设施内清理出来的泄漏物，一律按危险废物处理。</w:t>
      </w:r>
    </w:p>
    <w:p w14:paraId="1A1CE355">
      <w:pPr>
        <w:ind w:firstLine="482"/>
        <w:rPr>
          <w:b/>
          <w:bCs/>
        </w:rPr>
      </w:pPr>
      <w:r>
        <w:rPr>
          <w:rFonts w:hint="eastAsia"/>
          <w:b/>
          <w:bCs/>
        </w:rPr>
        <w:t>（3）危险废物运输过程污染防治措施</w:t>
      </w:r>
    </w:p>
    <w:p w14:paraId="78274553">
      <w:pPr>
        <w:ind w:firstLine="480"/>
      </w:pPr>
      <w:r>
        <w:rPr>
          <w:rFonts w:hint="eastAsia"/>
        </w:rPr>
        <w:t>本项目危险废物将交由有资质的专业废物处理单位进行安全处置。根据《关于发布&lt;建设项目危险废物环境影响评价指南&gt;的公告》（公告2017年第43号），危险废物转移运输途中应采取相应的污染防范及事故应急措施。项目已设置的运输过程危废防治措施主要包括：</w:t>
      </w:r>
    </w:p>
    <w:p w14:paraId="46D45248">
      <w:pPr>
        <w:ind w:firstLine="480"/>
      </w:pPr>
      <w:r>
        <w:rPr>
          <w:rFonts w:hint="eastAsia"/>
        </w:rPr>
        <w:t>1）装载固体废物和危险废物的车辆做好防渗、防漏、防飞扬的措施。</w:t>
      </w:r>
    </w:p>
    <w:p w14:paraId="2C5FF657">
      <w:pPr>
        <w:ind w:firstLine="480"/>
      </w:pPr>
      <w:r>
        <w:rPr>
          <w:rFonts w:hint="eastAsia"/>
        </w:rPr>
        <w:t>2）有化学反应或混装有危险后果的固体废物和危险废物严禁混装运输。</w:t>
      </w:r>
    </w:p>
    <w:p w14:paraId="61C52E2A">
      <w:pPr>
        <w:ind w:firstLine="480"/>
      </w:pPr>
      <w:r>
        <w:rPr>
          <w:rFonts w:hint="eastAsia"/>
        </w:rPr>
        <w:t>3）装载危险废物车辆的行驶路线须绕开人口密集的居民区和受保护的水体等环境保护目标。</w:t>
      </w:r>
    </w:p>
    <w:p w14:paraId="1ECB740A">
      <w:pPr>
        <w:ind w:firstLine="480"/>
      </w:pPr>
      <w:r>
        <w:rPr>
          <w:rFonts w:hint="eastAsia"/>
        </w:rPr>
        <w:t>同时，建设单位应按《中华人民共和国固体废物污染环境防治法》的规定向当地环境保护局如实申报本项目危险废物的产生量、采取的处置措施及去向，并按其相关要求对本项目产生的固体废物特别是危险废物进行全过程严格管理。</w:t>
      </w:r>
    </w:p>
    <w:p w14:paraId="3BAEC4DA">
      <w:pPr>
        <w:ind w:firstLine="480"/>
      </w:pPr>
      <w:r>
        <w:rPr>
          <w:rFonts w:hint="eastAsia"/>
        </w:rPr>
        <w:t>本项目固废防治措施拟投资30万元，约占项目总投资4500万元的0.</w:t>
      </w:r>
      <w:r>
        <w:rPr>
          <w:rFonts w:hint="eastAsia"/>
          <w:lang w:val="en-US" w:eastAsia="zh-CN"/>
        </w:rPr>
        <w:t>67</w:t>
      </w:r>
      <w:r>
        <w:rPr>
          <w:rFonts w:hint="eastAsia"/>
        </w:rPr>
        <w:t>%。</w:t>
      </w:r>
    </w:p>
    <w:p w14:paraId="279263FE">
      <w:pPr>
        <w:ind w:firstLine="480"/>
      </w:pPr>
      <w:r>
        <w:rPr>
          <w:rFonts w:hint="eastAsia"/>
        </w:rPr>
        <w:t>总的来说，项目采取以上固废处理措施可保证各固废污染物得到合理可行的处理处置，类比调查，从经济技术角度分析，该处理方式是合理可行的，不会二次污染，本评价认为建设单位采取的固废治理措施在技术、经济上是可行的。</w:t>
      </w:r>
    </w:p>
    <w:p w14:paraId="189A5D0D">
      <w:pPr>
        <w:pStyle w:val="3"/>
        <w:numPr>
          <w:ilvl w:val="1"/>
          <w:numId w:val="1"/>
        </w:numPr>
      </w:pPr>
      <w:bookmarkStart w:id="339" w:name="_Toc31575"/>
      <w:bookmarkStart w:id="340" w:name="_Toc27957"/>
      <w:bookmarkStart w:id="341" w:name="_Toc21766"/>
      <w:r>
        <w:rPr>
          <w:rFonts w:hint="eastAsia"/>
        </w:rPr>
        <w:t>地下水和土壤污染防治对策可行性分析</w:t>
      </w:r>
      <w:bookmarkEnd w:id="339"/>
      <w:bookmarkEnd w:id="340"/>
      <w:bookmarkEnd w:id="341"/>
    </w:p>
    <w:p w14:paraId="1615AA0E">
      <w:pPr>
        <w:ind w:firstLine="482"/>
        <w:rPr>
          <w:b/>
          <w:bCs/>
        </w:rPr>
      </w:pPr>
      <w:r>
        <w:rPr>
          <w:rFonts w:hint="eastAsia"/>
          <w:b/>
          <w:bCs/>
        </w:rPr>
        <w:t>1、原则</w:t>
      </w:r>
    </w:p>
    <w:p w14:paraId="7509264E">
      <w:pPr>
        <w:ind w:firstLine="480"/>
      </w:pPr>
      <w:r>
        <w:rPr>
          <w:rFonts w:hint="eastAsia"/>
        </w:rPr>
        <w:t>为防止项目涉及的有毒、有害物料及含有污染物的介质泄/渗漏对地下水造成污染，应从原料产品储存、装卸、运输、生产过程、污水处理设施等全过程进行控制，同时对有害物质可能泄漏到地面的区域采取防渗措施，阻止其渗入地下水，即从源头到末端全方位采取控制措施。</w:t>
      </w:r>
    </w:p>
    <w:p w14:paraId="186AF7BE">
      <w:pPr>
        <w:ind w:firstLine="480"/>
      </w:pPr>
      <w:r>
        <w:rPr>
          <w:rFonts w:hint="eastAsia"/>
        </w:rPr>
        <w:t>防止地下水污染应遵循下列原则：</w:t>
      </w:r>
    </w:p>
    <w:p w14:paraId="11F767F6">
      <w:pPr>
        <w:ind w:firstLine="480"/>
      </w:pPr>
      <w:r>
        <w:rPr>
          <w:rFonts w:hint="eastAsia"/>
        </w:rPr>
        <w:t>（1）源头控制、防止渗漏、污染监测及事故应急处理的主动及被动防渗相结合；</w:t>
      </w:r>
    </w:p>
    <w:p w14:paraId="22365EB1">
      <w:pPr>
        <w:ind w:firstLine="480"/>
      </w:pPr>
      <w:r>
        <w:rPr>
          <w:rFonts w:hint="eastAsia"/>
        </w:rPr>
        <w:t>（2）地上污染地上治理，地下污染地下治理；</w:t>
      </w:r>
    </w:p>
    <w:p w14:paraId="627E2EF8">
      <w:pPr>
        <w:ind w:firstLine="480"/>
      </w:pPr>
      <w:r>
        <w:rPr>
          <w:rFonts w:hint="eastAsia"/>
        </w:rPr>
        <w:t>（3）按污染物渗漏的可能性严格划分为污染区和非污染区；</w:t>
      </w:r>
    </w:p>
    <w:p w14:paraId="1AAE02A5">
      <w:pPr>
        <w:ind w:firstLine="480"/>
      </w:pPr>
      <w:r>
        <w:rPr>
          <w:rFonts w:hint="eastAsia"/>
        </w:rPr>
        <w:t>（4）污染区应根据可能泄露污染物的性质划分为非污染区、一般污染防治区和重点污染防治区。</w:t>
      </w:r>
    </w:p>
    <w:p w14:paraId="2ACD69FA">
      <w:pPr>
        <w:ind w:firstLine="480"/>
      </w:pPr>
      <w:r>
        <w:rPr>
          <w:rFonts w:hint="eastAsia"/>
        </w:rPr>
        <w:t>（5）不同的污染防治区应结合包气带天然防渗性能采取相应的防渗措施；</w:t>
      </w:r>
    </w:p>
    <w:p w14:paraId="5D6EA5CD">
      <w:pPr>
        <w:ind w:firstLine="480"/>
      </w:pPr>
      <w:r>
        <w:rPr>
          <w:rFonts w:hint="eastAsia"/>
        </w:rPr>
        <w:t>（6）污染区内应根据可能泄露污染物的性质、数量及场所的不同，设置相应的污染物收集及排放系统；</w:t>
      </w:r>
    </w:p>
    <w:p w14:paraId="1C18D6DD">
      <w:pPr>
        <w:ind w:firstLine="480"/>
      </w:pPr>
      <w:r>
        <w:rPr>
          <w:rFonts w:hint="eastAsia"/>
        </w:rPr>
        <w:t>（7）污染区内应设置污染物泄/渗漏检测设施，及时发现并处理泄/渗漏的污染物。</w:t>
      </w:r>
    </w:p>
    <w:p w14:paraId="0585BEA9">
      <w:pPr>
        <w:ind w:firstLine="482"/>
        <w:rPr>
          <w:b/>
          <w:bCs/>
        </w:rPr>
      </w:pPr>
      <w:r>
        <w:rPr>
          <w:rFonts w:hint="eastAsia"/>
          <w:b/>
          <w:bCs/>
        </w:rPr>
        <w:t>2、源头控制措施</w:t>
      </w:r>
    </w:p>
    <w:p w14:paraId="5E2A28D6">
      <w:pPr>
        <w:ind w:firstLine="480"/>
      </w:pPr>
      <w:r>
        <w:rPr>
          <w:rFonts w:hint="eastAsia"/>
        </w:rPr>
        <w:t>本项目将选择先进、成熟、可靠的工艺技术和较清洁的原辅材料，并对产生的废物进行合理的回用和治理，以尽可能从源头上减少污染物排放。</w:t>
      </w:r>
    </w:p>
    <w:p w14:paraId="243C671C">
      <w:pPr>
        <w:ind w:firstLine="480"/>
      </w:pPr>
      <w:r>
        <w:rPr>
          <w:rFonts w:hint="eastAsia"/>
        </w:rPr>
        <w:t>生产装置区、设备、运输管道、原料及产品储罐区及废水处理站采取相应措施并加强维护，防止和降低污染物跑、冒、滴、漏；尽量“可视化”，做到污染物“早发现、早处理”。</w:t>
      </w:r>
    </w:p>
    <w:p w14:paraId="250C103B">
      <w:pPr>
        <w:ind w:firstLine="480"/>
      </w:pPr>
      <w:r>
        <w:rPr>
          <w:rFonts w:hint="eastAsia"/>
        </w:rPr>
        <w:t>污水收集管道尽量采用地上敷设，特别情况下可采用埋地敷设，埋地敷设的排水管道在穿越厂（库）区干道时采用套管保护。</w:t>
      </w:r>
    </w:p>
    <w:p w14:paraId="5FFEF991">
      <w:pPr>
        <w:ind w:firstLine="482"/>
        <w:rPr>
          <w:b/>
          <w:bCs/>
        </w:rPr>
      </w:pPr>
      <w:r>
        <w:rPr>
          <w:rFonts w:hint="eastAsia"/>
          <w:b/>
          <w:bCs/>
        </w:rPr>
        <w:t>3、分区防控措施</w:t>
      </w:r>
    </w:p>
    <w:p w14:paraId="2D94F0C5">
      <w:pPr>
        <w:ind w:firstLine="480"/>
      </w:pPr>
      <w:r>
        <w:rPr>
          <w:rFonts w:hint="eastAsia"/>
        </w:rPr>
        <w:t>根据污染控制难易程度、天然包气带防污性能、污染物类型，对项目场地进行分区防治，分别是：简单防渗区、一般防渗区及重点防渗区。</w:t>
      </w:r>
    </w:p>
    <w:p w14:paraId="564078B7">
      <w:pPr>
        <w:ind w:firstLine="480"/>
      </w:pPr>
      <w:r>
        <w:rPr>
          <w:rFonts w:hint="eastAsia"/>
        </w:rPr>
        <w:t>该项目重点防渗区包括电解车间、复分解车间、废水处理系统、罐区、危废暂存间、一般固废暂存间、事故应急池；一般防渗区包括循环水站、消防水池、原辅料仓库</w:t>
      </w:r>
      <w:r>
        <w:rPr>
          <w:rFonts w:hint="eastAsia"/>
          <w:lang w:eastAsia="zh-CN"/>
        </w:rPr>
        <w:t>、</w:t>
      </w:r>
      <w:r>
        <w:rPr>
          <w:rFonts w:hint="eastAsia"/>
          <w:lang w:val="en-US" w:eastAsia="zh-CN"/>
        </w:rPr>
        <w:t>氢气回收区</w:t>
      </w:r>
      <w:r>
        <w:rPr>
          <w:rFonts w:hint="eastAsia"/>
        </w:rPr>
        <w:t>；除一般防渗区及重点防渗区以外的生产区及生活办公区为简单防渗区。</w:t>
      </w:r>
    </w:p>
    <w:p w14:paraId="7C2AC9E3">
      <w:pPr>
        <w:ind w:firstLine="480"/>
      </w:pPr>
      <w:r>
        <w:rPr>
          <w:rFonts w:hint="eastAsia"/>
        </w:rPr>
        <w:t>（1）简单防渗区：</w:t>
      </w:r>
    </w:p>
    <w:p w14:paraId="4360509F">
      <w:pPr>
        <w:ind w:firstLine="480"/>
      </w:pPr>
      <w:r>
        <w:rPr>
          <w:rFonts w:hint="eastAsia"/>
        </w:rPr>
        <w:t>该区域主要包括除一般防渗区及重点防渗区以外的生产区及办公区。只需对基础以下采取原土夯实，使渗透系数不大于1.0×10</w:t>
      </w:r>
      <w:r>
        <w:rPr>
          <w:rFonts w:hint="eastAsia"/>
          <w:vertAlign w:val="superscript"/>
        </w:rPr>
        <w:t>-6</w:t>
      </w:r>
      <w:r>
        <w:rPr>
          <w:rFonts w:hint="eastAsia"/>
        </w:rPr>
        <w:t>cm/s，因此，生产区采用防渗标号大于S6的混凝土进行施工，首层及存在生产废水的车间加涂防渗层。生产办公区域地面均进行水泥硬化。</w:t>
      </w:r>
    </w:p>
    <w:p w14:paraId="446C4EAC">
      <w:pPr>
        <w:snapToGrid w:val="0"/>
        <w:ind w:firstLine="480" w:firstLineChars="0"/>
        <w:rPr>
          <w:rFonts w:cs="Times New Roman"/>
          <w:kern w:val="0"/>
        </w:rPr>
      </w:pPr>
      <w:r>
        <w:rPr>
          <w:rFonts w:hint="eastAsia" w:cs="Times New Roman"/>
          <w:kern w:val="0"/>
        </w:rPr>
        <w:t>对</w:t>
      </w:r>
      <w:r>
        <w:rPr>
          <w:rFonts w:cs="Times New Roman"/>
          <w:kern w:val="0"/>
        </w:rPr>
        <w:t>于地下水防渗层，污水穿透时间和渗入量可用下式进行估算：</w:t>
      </w:r>
    </w:p>
    <w:p w14:paraId="5C6175E1">
      <w:pPr>
        <w:snapToGrid w:val="0"/>
        <w:ind w:firstLine="480" w:firstLineChars="0"/>
        <w:jc w:val="center"/>
        <w:rPr>
          <w:rFonts w:cs="Times New Roman"/>
          <w:kern w:val="0"/>
        </w:rPr>
      </w:pPr>
      <w:r>
        <w:rPr>
          <w:rFonts w:cs="Times New Roman"/>
          <w:kern w:val="0"/>
        </w:rPr>
        <w:drawing>
          <wp:inline distT="0" distB="0" distL="114300" distR="114300">
            <wp:extent cx="971550" cy="885825"/>
            <wp:effectExtent l="0" t="0" r="0" b="0"/>
            <wp:docPr id="7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1"/>
                    <pic:cNvPicPr>
                      <a:picLocks noChangeAspect="1"/>
                    </pic:cNvPicPr>
                  </pic:nvPicPr>
                  <pic:blipFill>
                    <a:blip r:embed="rId190" cstate="print"/>
                    <a:stretch>
                      <a:fillRect/>
                    </a:stretch>
                  </pic:blipFill>
                  <pic:spPr>
                    <a:xfrm>
                      <a:off x="0" y="0"/>
                      <a:ext cx="971550" cy="885825"/>
                    </a:xfrm>
                    <a:prstGeom prst="rect">
                      <a:avLst/>
                    </a:prstGeom>
                    <a:noFill/>
                    <a:ln>
                      <a:noFill/>
                    </a:ln>
                  </pic:spPr>
                </pic:pic>
              </a:graphicData>
            </a:graphic>
          </wp:inline>
        </w:drawing>
      </w:r>
    </w:p>
    <w:p w14:paraId="69FAEDC0">
      <w:pPr>
        <w:snapToGrid w:val="0"/>
        <w:ind w:firstLine="480" w:firstLineChars="0"/>
        <w:rPr>
          <w:rFonts w:cs="Times New Roman"/>
          <w:kern w:val="0"/>
        </w:rPr>
      </w:pPr>
      <w:r>
        <w:rPr>
          <w:rFonts w:cs="Times New Roman"/>
          <w:kern w:val="0"/>
        </w:rPr>
        <w:t>其中，Q：废水每天穿透防渗层下渗的污水量，m</w:t>
      </w:r>
      <w:r>
        <w:rPr>
          <w:rFonts w:cs="Times New Roman"/>
          <w:kern w:val="0"/>
          <w:vertAlign w:val="superscript"/>
        </w:rPr>
        <w:t>3</w:t>
      </w:r>
      <w:r>
        <w:rPr>
          <w:rFonts w:cs="Times New Roman"/>
          <w:kern w:val="0"/>
        </w:rPr>
        <w:t>/d；</w:t>
      </w:r>
    </w:p>
    <w:p w14:paraId="06A4158E">
      <w:pPr>
        <w:snapToGrid w:val="0"/>
        <w:ind w:firstLine="480" w:firstLineChars="0"/>
        <w:rPr>
          <w:rFonts w:cs="Times New Roman"/>
          <w:kern w:val="0"/>
        </w:rPr>
      </w:pPr>
      <w:r>
        <w:rPr>
          <w:rFonts w:cs="Times New Roman"/>
          <w:kern w:val="0"/>
        </w:rPr>
        <w:t>I：水力梯度，无量纲；</w:t>
      </w:r>
    </w:p>
    <w:p w14:paraId="2A7BF34B">
      <w:pPr>
        <w:snapToGrid w:val="0"/>
        <w:ind w:firstLine="480" w:firstLineChars="0"/>
        <w:rPr>
          <w:rFonts w:cs="Times New Roman"/>
          <w:kern w:val="0"/>
        </w:rPr>
      </w:pPr>
      <w:r>
        <w:rPr>
          <w:rFonts w:cs="Times New Roman"/>
          <w:kern w:val="0"/>
        </w:rPr>
        <w:t>B：渗漏面面积，m</w:t>
      </w:r>
      <w:r>
        <w:rPr>
          <w:rFonts w:cs="Times New Roman"/>
          <w:kern w:val="0"/>
          <w:vertAlign w:val="superscript"/>
        </w:rPr>
        <w:t>2</w:t>
      </w:r>
      <w:r>
        <w:rPr>
          <w:rFonts w:cs="Times New Roman"/>
          <w:kern w:val="0"/>
        </w:rPr>
        <w:t>；</w:t>
      </w:r>
    </w:p>
    <w:p w14:paraId="6FE8CF8D">
      <w:pPr>
        <w:snapToGrid w:val="0"/>
        <w:ind w:firstLine="480" w:firstLineChars="0"/>
        <w:rPr>
          <w:rFonts w:cs="Times New Roman"/>
          <w:kern w:val="0"/>
        </w:rPr>
      </w:pPr>
      <w:r>
        <w:rPr>
          <w:rFonts w:cs="Times New Roman"/>
          <w:kern w:val="0"/>
        </w:rPr>
        <w:t>t：污染物穿透地下水防渗层的时间，d；</w:t>
      </w:r>
    </w:p>
    <w:p w14:paraId="3DD6CDED">
      <w:pPr>
        <w:snapToGrid w:val="0"/>
        <w:ind w:firstLine="480" w:firstLineChars="0"/>
        <w:rPr>
          <w:rFonts w:cs="Times New Roman"/>
          <w:kern w:val="0"/>
        </w:rPr>
      </w:pPr>
      <w:r>
        <w:rPr>
          <w:rFonts w:cs="Times New Roman"/>
          <w:kern w:val="0"/>
        </w:rPr>
        <w:t>d：地下水防渗层厚度，m；</w:t>
      </w:r>
    </w:p>
    <w:p w14:paraId="5E91F890">
      <w:pPr>
        <w:snapToGrid w:val="0"/>
        <w:ind w:firstLine="480" w:firstLineChars="0"/>
        <w:rPr>
          <w:rFonts w:cs="Times New Roman"/>
          <w:kern w:val="0"/>
        </w:rPr>
      </w:pPr>
      <w:r>
        <w:rPr>
          <w:rFonts w:cs="Times New Roman"/>
          <w:kern w:val="0"/>
        </w:rPr>
        <w:t>k：地下水防渗层渗透系数，m/d；</w:t>
      </w:r>
    </w:p>
    <w:p w14:paraId="0E267524">
      <w:pPr>
        <w:snapToGrid w:val="0"/>
        <w:ind w:firstLine="480" w:firstLineChars="0"/>
        <w:rPr>
          <w:rFonts w:cs="Times New Roman"/>
          <w:kern w:val="0"/>
        </w:rPr>
      </w:pPr>
      <w:r>
        <w:rPr>
          <w:rFonts w:cs="Times New Roman"/>
          <w:kern w:val="0"/>
        </w:rPr>
        <w:t>h：废水高度，m。</w:t>
      </w:r>
    </w:p>
    <w:p w14:paraId="5AC44DE7">
      <w:pPr>
        <w:snapToGrid w:val="0"/>
        <w:ind w:firstLine="480" w:firstLineChars="0"/>
      </w:pPr>
      <w:r>
        <w:rPr>
          <w:rFonts w:cs="Times New Roman"/>
          <w:kern w:val="0"/>
        </w:rPr>
        <w:t>对于简单防渗区域，如生活办公区，假设废水高度1cm，由上式得出一般防渗区域污染物穿透150mm混凝土的时间t为4.5年，单位面积（1m</w:t>
      </w:r>
      <w:r>
        <w:rPr>
          <w:rFonts w:cs="Times New Roman"/>
          <w:kern w:val="0"/>
          <w:vertAlign w:val="superscript"/>
        </w:rPr>
        <w:t>2</w:t>
      </w:r>
      <w:r>
        <w:rPr>
          <w:rFonts w:cs="Times New Roman"/>
          <w:kern w:val="0"/>
        </w:rPr>
        <w:t>）每天下渗的废水量为8.6×10</w:t>
      </w:r>
      <w:r>
        <w:rPr>
          <w:rFonts w:cs="Times New Roman"/>
          <w:kern w:val="0"/>
          <w:vertAlign w:val="superscript"/>
        </w:rPr>
        <w:t>-5</w:t>
      </w:r>
      <w:r>
        <w:rPr>
          <w:rFonts w:cs="Times New Roman"/>
          <w:kern w:val="0"/>
        </w:rPr>
        <w:t>m</w:t>
      </w:r>
      <w:r>
        <w:rPr>
          <w:rFonts w:cs="Times New Roman"/>
          <w:kern w:val="0"/>
          <w:vertAlign w:val="superscript"/>
        </w:rPr>
        <w:t>3</w:t>
      </w:r>
      <w:r>
        <w:rPr>
          <w:rFonts w:cs="Times New Roman"/>
          <w:kern w:val="0"/>
        </w:rPr>
        <w:t>/d，污染物穿透时间长、渗漏量小，该污染防治措施有效可行。</w:t>
      </w:r>
    </w:p>
    <w:p w14:paraId="24D0D895">
      <w:pPr>
        <w:ind w:firstLine="480"/>
      </w:pPr>
      <w:r>
        <w:rPr>
          <w:rFonts w:hint="eastAsia"/>
        </w:rPr>
        <w:t>（2）一般防渗区：</w:t>
      </w:r>
    </w:p>
    <w:p w14:paraId="649326C1">
      <w:pPr>
        <w:ind w:firstLine="480"/>
        <w:rPr>
          <w:color w:val="FF0000"/>
        </w:rPr>
      </w:pPr>
      <w:r>
        <w:rPr>
          <w:rFonts w:hint="eastAsia"/>
        </w:rPr>
        <w:t>一般防渗区主要有循环水站、消防水池、原辅料仓库</w:t>
      </w:r>
      <w:r>
        <w:rPr>
          <w:rFonts w:hint="eastAsia"/>
          <w:lang w:eastAsia="zh-CN"/>
        </w:rPr>
        <w:t>、</w:t>
      </w:r>
      <w:r>
        <w:rPr>
          <w:rFonts w:hint="eastAsia"/>
          <w:lang w:val="en-US" w:eastAsia="zh-CN"/>
        </w:rPr>
        <w:t>氢气回收区</w:t>
      </w:r>
      <w:r>
        <w:rPr>
          <w:rFonts w:hint="eastAsia"/>
        </w:rPr>
        <w:t>。根据《环境影响评价技术导则-地下水环境》（HJ610-2016），一般污染防渗区防渗层的防渗性能应等效于1.5m厚渗透系数为1.0×10</w:t>
      </w:r>
      <w:r>
        <w:rPr>
          <w:rFonts w:hint="eastAsia"/>
          <w:vertAlign w:val="superscript"/>
        </w:rPr>
        <w:t>-7</w:t>
      </w:r>
      <w:r>
        <w:rPr>
          <w:rFonts w:hint="eastAsia"/>
        </w:rPr>
        <w:t>cm/s的黏土层的防渗性能。因此一般防渗区地面均采用防渗标号大于S6的混凝土进行施工，混凝土厚度大于150mm，同时在地面加涂2mm厚的防渗层。</w:t>
      </w:r>
    </w:p>
    <w:p w14:paraId="76852453">
      <w:pPr>
        <w:ind w:firstLine="480"/>
      </w:pPr>
      <w:r>
        <w:rPr>
          <w:rFonts w:hint="eastAsia"/>
        </w:rPr>
        <w:t>（3）重点防渗区：</w:t>
      </w:r>
    </w:p>
    <w:p w14:paraId="79F31146">
      <w:pPr>
        <w:ind w:firstLine="480"/>
      </w:pPr>
      <w:r>
        <w:rPr>
          <w:rFonts w:hint="eastAsia"/>
        </w:rPr>
        <w:t>重点防渗区主要包括电解车间、复分解车间、废水处理系统、罐区、危废暂存间、一般固废暂存间、事故应急池等。均采用防渗标号大于S6（防渗系数≤4.19×10</w:t>
      </w:r>
      <w:r>
        <w:rPr>
          <w:rFonts w:hint="eastAsia"/>
          <w:vertAlign w:val="superscript"/>
        </w:rPr>
        <w:t>-9</w:t>
      </w:r>
      <w:r>
        <w:rPr>
          <w:rFonts w:hint="eastAsia"/>
        </w:rPr>
        <w:t>cm/s）的混凝土进行施工，混凝土厚度大于150mm，池体内壁及底面设置相应的防渗处理，涂2mm厚的聚脂防腐防水材料进行防腐防渗处理。危险废物暂存场已严格按照《危险废物贮存污染控制标准》（GB18597-2023）的相关要求设计相关地下水防护措施，根据《环境影响评价技术导则-地下水环境》（HJ610-2016）要求，重点污染防渗区防渗层的防渗性能应等效于6.0m厚渗透系数为1.0×10</w:t>
      </w:r>
      <w:r>
        <w:rPr>
          <w:rFonts w:hint="eastAsia"/>
          <w:vertAlign w:val="superscript"/>
        </w:rPr>
        <w:t>-7</w:t>
      </w:r>
      <w:r>
        <w:rPr>
          <w:rFonts w:hint="eastAsia"/>
        </w:rPr>
        <w:t>cm/s的黏土层的防渗性能，具体如下：</w:t>
      </w:r>
    </w:p>
    <w:p w14:paraId="0BA91C8C">
      <w:pPr>
        <w:ind w:firstLine="480"/>
      </w:pPr>
      <w:r>
        <w:rPr>
          <w:rFonts w:hint="eastAsia"/>
        </w:rPr>
        <w:t>1）危险废物贮存场基础设置防渗地坪，防渗地坪主要是三层，从下面起第一层为土石混合料，厚度在30-60cm，第二层为二灰土结石，厚度在16-18cm，第三层也就是最上面为防渗混凝土，厚度在20-25cm。</w:t>
      </w:r>
    </w:p>
    <w:p w14:paraId="6660F476">
      <w:pPr>
        <w:ind w:firstLine="480"/>
      </w:pPr>
      <w:r>
        <w:rPr>
          <w:rFonts w:hint="eastAsia"/>
        </w:rPr>
        <w:t>2）地面与裙脚要用坚固、防渗的材料建造，设计堵截泄漏的裙脚；衬里要能够覆盖危险废物或其溶出物可能涉及到的范围。设施内有安全照明设施和观察窗口。</w:t>
      </w:r>
    </w:p>
    <w:p w14:paraId="16E69927">
      <w:pPr>
        <w:ind w:firstLine="480"/>
      </w:pPr>
      <w:r>
        <w:rPr>
          <w:rFonts w:hint="eastAsia"/>
        </w:rPr>
        <w:t>3）不相容的危险废物分开存放，并设有隔离间隔断，加强危险废物的管理，防止其包装出现破损、泄漏等问题。危废暂存要防风、防雨、防晒、防渗、防腐等。</w:t>
      </w:r>
    </w:p>
    <w:p w14:paraId="3AADE403">
      <w:pPr>
        <w:ind w:firstLine="480"/>
      </w:pPr>
      <w:r>
        <w:rPr>
          <w:rFonts w:hint="eastAsia"/>
        </w:rPr>
        <w:t>4）监控措施：项目运行期间，将对项目所在地及周边地下水进行监测，</w:t>
      </w:r>
      <w:r>
        <w:rPr>
          <w:rFonts w:hint="eastAsia"/>
          <w:lang w:val="en-US" w:eastAsia="zh-CN"/>
        </w:rPr>
        <w:t>在厂区上游、厂区内、厂区下游各设置1个地下水监测井（共三个井）进行</w:t>
      </w:r>
      <w:r>
        <w:rPr>
          <w:rFonts w:hint="eastAsia"/>
        </w:rPr>
        <w:t>监测，通过监测，可及时发现可能的地下水和土壤污染，采取补救措施。</w:t>
      </w:r>
    </w:p>
    <w:p w14:paraId="0787F389">
      <w:pPr>
        <w:ind w:firstLine="480"/>
      </w:pPr>
      <w:r>
        <w:rPr>
          <w:rFonts w:hint="eastAsia"/>
        </w:rPr>
        <w:t>项目一般防渗区及重点防渗区较简单防渗区，防渗措施更为严格，污染物穿透防渗层时间更长、渗漏量则更小，理论情况下渗透的污染物质非常少，防治措施有效可行。本项目</w:t>
      </w:r>
      <w:r>
        <w:rPr>
          <w:rFonts w:hint="eastAsia"/>
          <w:lang w:val="en-US" w:eastAsia="zh-CN"/>
        </w:rPr>
        <w:t>地下水、土壤污染</w:t>
      </w:r>
      <w:r>
        <w:rPr>
          <w:rFonts w:hint="eastAsia"/>
        </w:rPr>
        <w:t>防治措施拟投资</w:t>
      </w:r>
      <w:r>
        <w:rPr>
          <w:rFonts w:hint="eastAsia"/>
          <w:lang w:val="en-US" w:eastAsia="zh-CN"/>
        </w:rPr>
        <w:t>60</w:t>
      </w:r>
      <w:r>
        <w:rPr>
          <w:rFonts w:hint="eastAsia"/>
        </w:rPr>
        <w:t>万元，约占项目总投资4500万元的</w:t>
      </w:r>
      <w:r>
        <w:rPr>
          <w:rFonts w:hint="eastAsia"/>
          <w:lang w:val="en-US" w:eastAsia="zh-CN"/>
        </w:rPr>
        <w:t>1</w:t>
      </w:r>
      <w:r>
        <w:rPr>
          <w:rFonts w:hint="eastAsia"/>
        </w:rPr>
        <w:t>.33%。项目建成后，地下水和土壤环境影响在可以控制范围内。综合来说，营运期地下水和土壤污染防治措施可行。</w:t>
      </w:r>
    </w:p>
    <w:p w14:paraId="6B473E93">
      <w:pPr>
        <w:pStyle w:val="3"/>
        <w:numPr>
          <w:ilvl w:val="1"/>
          <w:numId w:val="1"/>
        </w:numPr>
      </w:pPr>
      <w:bookmarkStart w:id="342" w:name="_Toc15610"/>
      <w:bookmarkStart w:id="343" w:name="_Toc6484"/>
      <w:bookmarkStart w:id="344" w:name="_Toc7483"/>
      <w:r>
        <w:rPr>
          <w:rFonts w:hint="eastAsia"/>
        </w:rPr>
        <w:t>小结</w:t>
      </w:r>
      <w:bookmarkEnd w:id="342"/>
      <w:bookmarkEnd w:id="343"/>
      <w:bookmarkEnd w:id="344"/>
    </w:p>
    <w:p w14:paraId="50A92587">
      <w:pPr>
        <w:ind w:firstLine="480"/>
      </w:pPr>
      <w:r>
        <w:rPr>
          <w:rFonts w:hint="eastAsia"/>
        </w:rPr>
        <w:t>综上所述，本项目拟采取或依托的废气、废水、噪声、固废、地下水和土壤防治措施在技术、经济上是合理可行的，可保证废水、废气及噪声等各污染物满足相应排放标准限值要求，有效防止地下水和土壤污染，固废得到合理可行的处理处置，不会造成二次污染。</w:t>
      </w:r>
    </w:p>
    <w:p w14:paraId="0531E43D">
      <w:pPr>
        <w:pStyle w:val="2"/>
        <w:numPr>
          <w:ilvl w:val="0"/>
          <w:numId w:val="1"/>
        </w:numPr>
        <w:spacing w:before="312" w:after="624"/>
      </w:pPr>
      <w:bookmarkStart w:id="345" w:name="_Toc16658"/>
      <w:bookmarkStart w:id="346" w:name="_Toc23196"/>
      <w:bookmarkStart w:id="347" w:name="_Toc18781"/>
      <w:r>
        <w:rPr>
          <w:rFonts w:hint="eastAsia"/>
        </w:rPr>
        <w:t>环境影响经济损益分析</w:t>
      </w:r>
      <w:bookmarkEnd w:id="345"/>
      <w:bookmarkEnd w:id="346"/>
      <w:bookmarkEnd w:id="347"/>
    </w:p>
    <w:p w14:paraId="6ADDE7B4">
      <w:pPr>
        <w:ind w:firstLine="480"/>
      </w:pPr>
      <w:r>
        <w:rPr>
          <w:rFonts w:hint="eastAsia"/>
        </w:rPr>
        <w:t>建设项目对外界社会经济环境常常带来一些极为显著的影响，其影响有正面的也有负面的。社会影响、经济影响、环境影响的最佳结合点可以使得人们的生活质量持续提高。它们三者之间既相互制约，又相互促进，只有站在一个全局的高度，综合考虑全局利益和局部利益、远期利益和近期利益，才能实现社会的良性发展、经济的持续增长、环境的不断改善。</w:t>
      </w:r>
    </w:p>
    <w:p w14:paraId="5178A345">
      <w:pPr>
        <w:ind w:firstLine="480"/>
      </w:pPr>
      <w:r>
        <w:rPr>
          <w:rFonts w:hint="eastAsia"/>
        </w:rPr>
        <w:t>本报告采用指标计算法进行建设项目的环境经济损益分析，即将项目对环境产生的损益分解成各项经济指标包括环保费用指标和环境效益，逐项计算。然后通过环境经济的静态分析，得出项目环保投资的年净效益、环保费用的经济效益， 以及效益与费用比例等各项参数，体现项目环保投资合理性。</w:t>
      </w:r>
    </w:p>
    <w:p w14:paraId="76F25D66">
      <w:pPr>
        <w:pStyle w:val="3"/>
        <w:numPr>
          <w:ilvl w:val="1"/>
          <w:numId w:val="1"/>
        </w:numPr>
      </w:pPr>
      <w:bookmarkStart w:id="348" w:name="_Toc27705"/>
      <w:bookmarkStart w:id="349" w:name="_Toc1318"/>
      <w:bookmarkStart w:id="350" w:name="_Toc17983"/>
      <w:r>
        <w:rPr>
          <w:rFonts w:hint="eastAsia"/>
        </w:rPr>
        <w:t>环境保护措施投资</w:t>
      </w:r>
      <w:bookmarkEnd w:id="348"/>
      <w:bookmarkEnd w:id="349"/>
      <w:bookmarkEnd w:id="350"/>
    </w:p>
    <w:p w14:paraId="4DC4B01A">
      <w:pPr>
        <w:ind w:firstLine="480"/>
        <w:rPr>
          <w:rFonts w:hint="eastAsia"/>
        </w:rPr>
      </w:pPr>
      <w:r>
        <w:rPr>
          <w:rFonts w:hint="eastAsia"/>
        </w:rPr>
        <w:t>本项目在带来显著经济效益和社会效益的同时，不可避免地对环境造成一定程度的破坏。为了减轻环境污染，本项目生产运营注重源头源头治理，以降低和减少污染物的排放，本项目的环保投资主要是厂区防渗、污水处理、废气治理等，本项目总投资约4500万元。其中环保总投资约为</w:t>
      </w:r>
      <w:r>
        <w:rPr>
          <w:rFonts w:hint="eastAsia"/>
          <w:lang w:val="en-US" w:eastAsia="zh-CN"/>
        </w:rPr>
        <w:t>550</w:t>
      </w:r>
      <w:r>
        <w:rPr>
          <w:rFonts w:hint="eastAsia"/>
        </w:rPr>
        <w:t>万元，占工程总投资的</w:t>
      </w:r>
      <w:r>
        <w:rPr>
          <w:rFonts w:hint="eastAsia"/>
          <w:lang w:val="en-US" w:eastAsia="zh-CN"/>
        </w:rPr>
        <w:t>12.22</w:t>
      </w:r>
      <w:r>
        <w:rPr>
          <w:rFonts w:hint="eastAsia"/>
        </w:rPr>
        <w:t>%。</w:t>
      </w:r>
    </w:p>
    <w:p w14:paraId="1A1F02F3">
      <w:pPr>
        <w:ind w:firstLine="480"/>
      </w:pPr>
      <w:r>
        <w:rPr>
          <w:rFonts w:hint="eastAsia"/>
        </w:rPr>
        <w:t>本项目环保投资</w:t>
      </w:r>
      <w:r>
        <w:rPr>
          <w:rFonts w:hint="eastAsia"/>
          <w:lang w:val="en-US" w:eastAsia="zh-CN"/>
        </w:rPr>
        <w:t>具体</w:t>
      </w:r>
      <w:r>
        <w:rPr>
          <w:rFonts w:hint="eastAsia"/>
        </w:rPr>
        <w:t>见下表。</w:t>
      </w:r>
    </w:p>
    <w:p w14:paraId="3BC262B9">
      <w:pPr>
        <w:pStyle w:val="43"/>
        <w:numPr>
          <w:ilvl w:val="5"/>
          <w:numId w:val="1"/>
        </w:numPr>
        <w:rPr>
          <w:rFonts w:hint="default"/>
        </w:rPr>
      </w:pPr>
      <w:r>
        <w:t>项目环保投资一览表</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9"/>
        <w:gridCol w:w="1986"/>
        <w:gridCol w:w="3914"/>
        <w:gridCol w:w="1700"/>
      </w:tblGrid>
      <w:tr w14:paraId="2C5A1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759" w:type="dxa"/>
            <w:shd w:val="clear" w:color="auto" w:fill="auto"/>
            <w:vAlign w:val="center"/>
          </w:tcPr>
          <w:p w14:paraId="2B6EA269">
            <w:pPr>
              <w:pStyle w:val="45"/>
              <w:rPr>
                <w:rFonts w:hint="default"/>
                <w:b/>
                <w:bCs/>
              </w:rPr>
            </w:pPr>
            <w:r>
              <w:rPr>
                <w:b/>
                <w:bCs/>
              </w:rPr>
              <w:t>类别</w:t>
            </w:r>
          </w:p>
        </w:tc>
        <w:tc>
          <w:tcPr>
            <w:tcW w:w="1986" w:type="dxa"/>
            <w:shd w:val="clear" w:color="auto" w:fill="auto"/>
            <w:vAlign w:val="center"/>
          </w:tcPr>
          <w:p w14:paraId="516EC6DA">
            <w:pPr>
              <w:pStyle w:val="45"/>
              <w:rPr>
                <w:rFonts w:hint="default"/>
                <w:b/>
                <w:bCs/>
              </w:rPr>
            </w:pPr>
            <w:r>
              <w:rPr>
                <w:b/>
                <w:bCs/>
              </w:rPr>
              <w:t>污染源</w:t>
            </w:r>
          </w:p>
        </w:tc>
        <w:tc>
          <w:tcPr>
            <w:tcW w:w="3914" w:type="dxa"/>
            <w:shd w:val="clear" w:color="auto" w:fill="auto"/>
            <w:vAlign w:val="center"/>
          </w:tcPr>
          <w:p w14:paraId="26C587D9">
            <w:pPr>
              <w:pStyle w:val="45"/>
              <w:rPr>
                <w:rFonts w:hint="default"/>
                <w:b/>
                <w:bCs/>
              </w:rPr>
            </w:pPr>
            <w:r>
              <w:rPr>
                <w:b/>
                <w:bCs/>
              </w:rPr>
              <w:t>环保措施</w:t>
            </w:r>
          </w:p>
        </w:tc>
        <w:tc>
          <w:tcPr>
            <w:tcW w:w="1700" w:type="dxa"/>
            <w:shd w:val="clear" w:color="auto" w:fill="auto"/>
            <w:vAlign w:val="center"/>
          </w:tcPr>
          <w:p w14:paraId="2CAE3012">
            <w:pPr>
              <w:pStyle w:val="45"/>
              <w:rPr>
                <w:rFonts w:hint="default"/>
                <w:b/>
                <w:bCs/>
              </w:rPr>
            </w:pPr>
            <w:r>
              <w:rPr>
                <w:b/>
                <w:bCs/>
              </w:rPr>
              <w:t>投资估算（万元）</w:t>
            </w:r>
          </w:p>
        </w:tc>
      </w:tr>
      <w:tr w14:paraId="65264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9" w:type="dxa"/>
            <w:vMerge w:val="restart"/>
            <w:shd w:val="clear" w:color="auto" w:fill="auto"/>
            <w:vAlign w:val="center"/>
          </w:tcPr>
          <w:p w14:paraId="552BACD2">
            <w:pPr>
              <w:pStyle w:val="45"/>
              <w:rPr>
                <w:rFonts w:hint="default"/>
              </w:rPr>
            </w:pPr>
            <w:r>
              <w:t>废气</w:t>
            </w:r>
          </w:p>
        </w:tc>
        <w:tc>
          <w:tcPr>
            <w:tcW w:w="1986" w:type="dxa"/>
            <w:shd w:val="clear" w:color="auto" w:fill="auto"/>
            <w:vAlign w:val="center"/>
          </w:tcPr>
          <w:p w14:paraId="2D2ECF73">
            <w:pPr>
              <w:pStyle w:val="45"/>
              <w:rPr>
                <w:rFonts w:hint="default"/>
              </w:rPr>
            </w:pPr>
            <w:r>
              <w:t>一次电解尾气处理</w:t>
            </w:r>
          </w:p>
        </w:tc>
        <w:tc>
          <w:tcPr>
            <w:tcW w:w="3914" w:type="dxa"/>
            <w:shd w:val="clear" w:color="auto" w:fill="auto"/>
            <w:vAlign w:val="center"/>
          </w:tcPr>
          <w:p w14:paraId="38FB69A0">
            <w:pPr>
              <w:pStyle w:val="45"/>
              <w:rPr>
                <w:rFonts w:hint="default" w:eastAsia="宋体"/>
                <w:lang w:val="en-US" w:eastAsia="zh-CN"/>
              </w:rPr>
            </w:pPr>
            <w:r>
              <w:t>1套“盐水洗涤</w:t>
            </w:r>
            <w:r>
              <w:rPr>
                <w:rFonts w:hint="eastAsia"/>
                <w:lang w:val="en-US" w:eastAsia="zh-CN"/>
              </w:rPr>
              <w:t>+一级碱洗+水洗</w:t>
            </w:r>
            <w:r>
              <w:t>+25m高排气筒”</w:t>
            </w:r>
            <w:r>
              <w:rPr>
                <w:rFonts w:hint="eastAsia"/>
                <w:lang w:val="en-US" w:eastAsia="zh-CN"/>
              </w:rPr>
              <w:t>/1套氢气回收装置</w:t>
            </w:r>
          </w:p>
        </w:tc>
        <w:tc>
          <w:tcPr>
            <w:tcW w:w="1700" w:type="dxa"/>
            <w:shd w:val="clear" w:color="auto" w:fill="auto"/>
            <w:vAlign w:val="center"/>
          </w:tcPr>
          <w:p w14:paraId="52E864FA">
            <w:pPr>
              <w:pStyle w:val="45"/>
              <w:rPr>
                <w:rFonts w:hint="default" w:eastAsia="宋体"/>
                <w:lang w:val="en-US" w:eastAsia="zh-CN"/>
              </w:rPr>
            </w:pPr>
            <w:r>
              <w:t>1</w:t>
            </w:r>
            <w:r>
              <w:rPr>
                <w:rFonts w:hint="eastAsia"/>
                <w:lang w:val="en-US" w:eastAsia="zh-CN"/>
              </w:rPr>
              <w:t>10</w:t>
            </w:r>
          </w:p>
        </w:tc>
      </w:tr>
      <w:tr w14:paraId="47762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9" w:type="dxa"/>
            <w:vMerge w:val="continue"/>
            <w:shd w:val="clear" w:color="auto" w:fill="auto"/>
            <w:vAlign w:val="center"/>
          </w:tcPr>
          <w:p w14:paraId="65FC3108">
            <w:pPr>
              <w:pStyle w:val="45"/>
              <w:rPr>
                <w:rFonts w:hint="default"/>
              </w:rPr>
            </w:pPr>
          </w:p>
        </w:tc>
        <w:tc>
          <w:tcPr>
            <w:tcW w:w="1986" w:type="dxa"/>
            <w:shd w:val="clear" w:color="auto" w:fill="auto"/>
            <w:vAlign w:val="center"/>
          </w:tcPr>
          <w:p w14:paraId="370E3D1B">
            <w:pPr>
              <w:pStyle w:val="45"/>
              <w:rPr>
                <w:rFonts w:hint="default"/>
              </w:rPr>
            </w:pPr>
            <w:r>
              <w:t>二次电解尾气处理</w:t>
            </w:r>
          </w:p>
        </w:tc>
        <w:tc>
          <w:tcPr>
            <w:tcW w:w="3914" w:type="dxa"/>
            <w:shd w:val="clear" w:color="auto" w:fill="auto"/>
            <w:vAlign w:val="center"/>
          </w:tcPr>
          <w:p w14:paraId="403479E7">
            <w:pPr>
              <w:pStyle w:val="45"/>
              <w:rPr>
                <w:rFonts w:hint="default"/>
              </w:rPr>
            </w:pPr>
            <w:r>
              <w:t>2套“一级碱洗+25m高排气筒”</w:t>
            </w:r>
          </w:p>
        </w:tc>
        <w:tc>
          <w:tcPr>
            <w:tcW w:w="1700" w:type="dxa"/>
            <w:shd w:val="clear" w:color="auto" w:fill="auto"/>
            <w:vAlign w:val="center"/>
          </w:tcPr>
          <w:p w14:paraId="105455E3">
            <w:pPr>
              <w:pStyle w:val="45"/>
              <w:rPr>
                <w:rFonts w:hint="default"/>
              </w:rPr>
            </w:pPr>
            <w:r>
              <w:t>50</w:t>
            </w:r>
          </w:p>
        </w:tc>
      </w:tr>
      <w:tr w14:paraId="05B01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9" w:type="dxa"/>
            <w:vMerge w:val="continue"/>
            <w:shd w:val="clear" w:color="auto" w:fill="auto"/>
            <w:vAlign w:val="center"/>
          </w:tcPr>
          <w:p w14:paraId="6F9AC8FD">
            <w:pPr>
              <w:pStyle w:val="45"/>
              <w:rPr>
                <w:rFonts w:hint="default"/>
              </w:rPr>
            </w:pPr>
          </w:p>
        </w:tc>
        <w:tc>
          <w:tcPr>
            <w:tcW w:w="1986" w:type="dxa"/>
            <w:shd w:val="clear" w:color="auto" w:fill="auto"/>
            <w:vAlign w:val="center"/>
          </w:tcPr>
          <w:p w14:paraId="296A90F1">
            <w:pPr>
              <w:pStyle w:val="45"/>
              <w:rPr>
                <w:rFonts w:hint="default"/>
              </w:rPr>
            </w:pPr>
            <w:r>
              <w:t>除次钠尾气</w:t>
            </w:r>
          </w:p>
        </w:tc>
        <w:tc>
          <w:tcPr>
            <w:tcW w:w="3914" w:type="dxa"/>
            <w:shd w:val="clear" w:color="auto" w:fill="auto"/>
            <w:vAlign w:val="center"/>
          </w:tcPr>
          <w:p w14:paraId="7B41F398">
            <w:pPr>
              <w:pStyle w:val="45"/>
              <w:rPr>
                <w:rFonts w:hint="default"/>
              </w:rPr>
            </w:pPr>
            <w:r>
              <w:t>1套“一级碱洗+25m高排气筒”</w:t>
            </w:r>
          </w:p>
        </w:tc>
        <w:tc>
          <w:tcPr>
            <w:tcW w:w="1700" w:type="dxa"/>
            <w:shd w:val="clear" w:color="auto" w:fill="auto"/>
            <w:vAlign w:val="center"/>
          </w:tcPr>
          <w:p w14:paraId="72FC6AE4">
            <w:pPr>
              <w:pStyle w:val="45"/>
              <w:rPr>
                <w:rFonts w:hint="default"/>
              </w:rPr>
            </w:pPr>
            <w:r>
              <w:t>25</w:t>
            </w:r>
          </w:p>
        </w:tc>
      </w:tr>
      <w:tr w14:paraId="58866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9" w:type="dxa"/>
            <w:vMerge w:val="continue"/>
            <w:shd w:val="clear" w:color="auto" w:fill="auto"/>
            <w:vAlign w:val="center"/>
          </w:tcPr>
          <w:p w14:paraId="63336AF7">
            <w:pPr>
              <w:pStyle w:val="45"/>
              <w:rPr>
                <w:rFonts w:hint="default"/>
              </w:rPr>
            </w:pPr>
          </w:p>
        </w:tc>
        <w:tc>
          <w:tcPr>
            <w:tcW w:w="1986" w:type="dxa"/>
            <w:shd w:val="clear" w:color="auto" w:fill="auto"/>
            <w:vAlign w:val="center"/>
          </w:tcPr>
          <w:p w14:paraId="7534DE93">
            <w:pPr>
              <w:pStyle w:val="45"/>
              <w:rPr>
                <w:rFonts w:hint="default"/>
              </w:rPr>
            </w:pPr>
            <w:r>
              <w:rPr>
                <w:rFonts w:hint="eastAsia"/>
                <w:lang w:val="en-US" w:eastAsia="zh-CN"/>
              </w:rPr>
              <w:t>复分解</w:t>
            </w:r>
            <w:r>
              <w:t>干燥粉尘</w:t>
            </w:r>
          </w:p>
        </w:tc>
        <w:tc>
          <w:tcPr>
            <w:tcW w:w="3914" w:type="dxa"/>
            <w:shd w:val="clear" w:color="auto" w:fill="auto"/>
            <w:vAlign w:val="center"/>
          </w:tcPr>
          <w:p w14:paraId="6D0DB619">
            <w:pPr>
              <w:pStyle w:val="45"/>
              <w:rPr>
                <w:rFonts w:hint="default"/>
              </w:rPr>
            </w:pPr>
            <w:r>
              <w:t>2套“二次布袋除尘+15m高排气筒”</w:t>
            </w:r>
          </w:p>
        </w:tc>
        <w:tc>
          <w:tcPr>
            <w:tcW w:w="1700" w:type="dxa"/>
            <w:shd w:val="clear" w:color="auto" w:fill="auto"/>
            <w:vAlign w:val="center"/>
          </w:tcPr>
          <w:p w14:paraId="1AB25D08">
            <w:pPr>
              <w:pStyle w:val="45"/>
              <w:rPr>
                <w:rFonts w:hint="default"/>
              </w:rPr>
            </w:pPr>
            <w:r>
              <w:t>10</w:t>
            </w:r>
          </w:p>
        </w:tc>
      </w:tr>
      <w:tr w14:paraId="45714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9" w:type="dxa"/>
            <w:vMerge w:val="continue"/>
            <w:shd w:val="clear" w:color="auto" w:fill="auto"/>
            <w:vAlign w:val="center"/>
          </w:tcPr>
          <w:p w14:paraId="4C91AFCE">
            <w:pPr>
              <w:pStyle w:val="45"/>
              <w:rPr>
                <w:rFonts w:hint="default"/>
              </w:rPr>
            </w:pPr>
          </w:p>
        </w:tc>
        <w:tc>
          <w:tcPr>
            <w:tcW w:w="1986" w:type="dxa"/>
            <w:shd w:val="clear" w:color="auto" w:fill="auto"/>
            <w:vAlign w:val="center"/>
          </w:tcPr>
          <w:p w14:paraId="58AE99C5">
            <w:pPr>
              <w:pStyle w:val="45"/>
              <w:rPr>
                <w:rFonts w:hint="default"/>
                <w:lang w:val="en-US" w:eastAsia="zh-CN"/>
              </w:rPr>
            </w:pPr>
            <w:r>
              <w:rPr>
                <w:rFonts w:hint="eastAsia"/>
                <w:lang w:val="en-US" w:eastAsia="zh-CN"/>
              </w:rPr>
              <w:t>锂盐中和尾气</w:t>
            </w:r>
          </w:p>
        </w:tc>
        <w:tc>
          <w:tcPr>
            <w:tcW w:w="3914" w:type="dxa"/>
            <w:shd w:val="clear" w:color="auto" w:fill="auto"/>
            <w:vAlign w:val="center"/>
          </w:tcPr>
          <w:p w14:paraId="318CC1A7">
            <w:pPr>
              <w:pStyle w:val="45"/>
            </w:pPr>
            <w:r>
              <w:t>1套“一级碱洗+</w:t>
            </w:r>
            <w:r>
              <w:rPr>
                <w:rFonts w:hint="eastAsia"/>
                <w:lang w:val="en-US" w:eastAsia="zh-CN"/>
              </w:rPr>
              <w:t>1</w:t>
            </w:r>
            <w:r>
              <w:t>5m高排气筒”</w:t>
            </w:r>
          </w:p>
        </w:tc>
        <w:tc>
          <w:tcPr>
            <w:tcW w:w="1700" w:type="dxa"/>
            <w:shd w:val="clear" w:color="auto" w:fill="auto"/>
            <w:vAlign w:val="center"/>
          </w:tcPr>
          <w:p w14:paraId="6C8F658C">
            <w:pPr>
              <w:pStyle w:val="45"/>
              <w:rPr>
                <w:rFonts w:hint="default" w:eastAsia="宋体"/>
                <w:lang w:val="en-US" w:eastAsia="zh-CN"/>
              </w:rPr>
            </w:pPr>
            <w:r>
              <w:rPr>
                <w:rFonts w:hint="eastAsia"/>
                <w:lang w:val="en-US" w:eastAsia="zh-CN"/>
              </w:rPr>
              <w:t>25</w:t>
            </w:r>
          </w:p>
        </w:tc>
      </w:tr>
      <w:tr w14:paraId="340EA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9" w:type="dxa"/>
            <w:vMerge w:val="continue"/>
            <w:shd w:val="clear" w:color="auto" w:fill="auto"/>
            <w:vAlign w:val="center"/>
          </w:tcPr>
          <w:p w14:paraId="72BC62CB">
            <w:pPr>
              <w:pStyle w:val="45"/>
              <w:rPr>
                <w:rFonts w:hint="default"/>
              </w:rPr>
            </w:pPr>
          </w:p>
        </w:tc>
        <w:tc>
          <w:tcPr>
            <w:tcW w:w="1986" w:type="dxa"/>
            <w:shd w:val="clear" w:color="auto" w:fill="auto"/>
            <w:vAlign w:val="center"/>
          </w:tcPr>
          <w:p w14:paraId="7F2F1788">
            <w:pPr>
              <w:pStyle w:val="45"/>
              <w:rPr>
                <w:rFonts w:hint="default"/>
              </w:rPr>
            </w:pPr>
            <w:r>
              <w:t>无组织排气</w:t>
            </w:r>
          </w:p>
        </w:tc>
        <w:tc>
          <w:tcPr>
            <w:tcW w:w="3914" w:type="dxa"/>
            <w:shd w:val="clear" w:color="auto" w:fill="auto"/>
            <w:vAlign w:val="center"/>
          </w:tcPr>
          <w:p w14:paraId="3AAA906E">
            <w:pPr>
              <w:pStyle w:val="45"/>
              <w:rPr>
                <w:rFonts w:hint="default"/>
              </w:rPr>
            </w:pPr>
            <w:r>
              <w:t>车间安装通风换气装置，保证换气</w:t>
            </w:r>
          </w:p>
        </w:tc>
        <w:tc>
          <w:tcPr>
            <w:tcW w:w="1700" w:type="dxa"/>
            <w:shd w:val="clear" w:color="auto" w:fill="auto"/>
            <w:vAlign w:val="center"/>
          </w:tcPr>
          <w:p w14:paraId="05D78B41">
            <w:pPr>
              <w:pStyle w:val="45"/>
              <w:rPr>
                <w:rFonts w:hint="default"/>
              </w:rPr>
            </w:pPr>
            <w:r>
              <w:t>5</w:t>
            </w:r>
          </w:p>
        </w:tc>
      </w:tr>
      <w:tr w14:paraId="4AF2F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9" w:type="dxa"/>
            <w:vMerge w:val="restart"/>
            <w:shd w:val="clear" w:color="auto" w:fill="auto"/>
            <w:vAlign w:val="center"/>
          </w:tcPr>
          <w:p w14:paraId="2C3AEBA2">
            <w:pPr>
              <w:pStyle w:val="45"/>
              <w:rPr>
                <w:rFonts w:hint="default"/>
              </w:rPr>
            </w:pPr>
            <w:r>
              <w:t>废水</w:t>
            </w:r>
          </w:p>
        </w:tc>
        <w:tc>
          <w:tcPr>
            <w:tcW w:w="1986" w:type="dxa"/>
            <w:shd w:val="clear" w:color="auto" w:fill="auto"/>
            <w:vAlign w:val="center"/>
          </w:tcPr>
          <w:p w14:paraId="6680695B">
            <w:pPr>
              <w:pStyle w:val="45"/>
              <w:rPr>
                <w:rFonts w:hint="default"/>
              </w:rPr>
            </w:pPr>
            <w:r>
              <w:t>生产废水</w:t>
            </w:r>
          </w:p>
        </w:tc>
        <w:tc>
          <w:tcPr>
            <w:tcW w:w="3914" w:type="dxa"/>
            <w:shd w:val="clear" w:color="auto" w:fill="auto"/>
            <w:vAlign w:val="center"/>
          </w:tcPr>
          <w:p w14:paraId="27C51F44">
            <w:pPr>
              <w:pStyle w:val="45"/>
              <w:rPr>
                <w:rFonts w:hint="eastAsia"/>
                <w:lang w:val="en-US" w:eastAsia="zh-CN"/>
              </w:rPr>
            </w:pPr>
            <w:r>
              <w:rPr>
                <w:rFonts w:hint="eastAsia"/>
                <w:lang w:val="en-US" w:eastAsia="zh-CN"/>
              </w:rPr>
              <w:t>厂区废水站</w:t>
            </w:r>
          </w:p>
          <w:p w14:paraId="47A50A60">
            <w:pPr>
              <w:pStyle w:val="45"/>
              <w:rPr>
                <w:rFonts w:hint="default"/>
              </w:rPr>
            </w:pPr>
            <w:r>
              <w:rPr>
                <w:rFonts w:hint="eastAsia"/>
                <w:lang w:val="en-US" w:eastAsia="zh-CN"/>
              </w:rPr>
              <w:t>（</w:t>
            </w:r>
            <w:r>
              <w:rPr>
                <w:rFonts w:hint="eastAsia"/>
                <w:lang w:eastAsia="zh-CN"/>
              </w:rPr>
              <w:t>混凝沉淀+砂滤+离子交换</w:t>
            </w:r>
            <w:r>
              <w:rPr>
                <w:rFonts w:hint="eastAsia"/>
                <w:lang w:val="en-US" w:eastAsia="zh-CN"/>
              </w:rPr>
              <w:t>）</w:t>
            </w:r>
          </w:p>
        </w:tc>
        <w:tc>
          <w:tcPr>
            <w:tcW w:w="1700" w:type="dxa"/>
            <w:shd w:val="clear" w:color="auto" w:fill="auto"/>
            <w:vAlign w:val="center"/>
          </w:tcPr>
          <w:p w14:paraId="3693962C">
            <w:pPr>
              <w:pStyle w:val="45"/>
              <w:rPr>
                <w:rFonts w:hint="default"/>
                <w:lang w:val="en-US"/>
              </w:rPr>
            </w:pPr>
            <w:r>
              <w:rPr>
                <w:rFonts w:hint="eastAsia"/>
                <w:lang w:val="en-US" w:eastAsia="zh-CN"/>
              </w:rPr>
              <w:t>200</w:t>
            </w:r>
          </w:p>
        </w:tc>
      </w:tr>
      <w:tr w14:paraId="59442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9" w:type="dxa"/>
            <w:vMerge w:val="continue"/>
            <w:shd w:val="clear" w:color="auto" w:fill="auto"/>
            <w:vAlign w:val="center"/>
          </w:tcPr>
          <w:p w14:paraId="4CE7258A">
            <w:pPr>
              <w:pStyle w:val="45"/>
              <w:rPr>
                <w:rFonts w:hint="default"/>
              </w:rPr>
            </w:pPr>
          </w:p>
        </w:tc>
        <w:tc>
          <w:tcPr>
            <w:tcW w:w="1986" w:type="dxa"/>
            <w:shd w:val="clear" w:color="auto" w:fill="auto"/>
            <w:vAlign w:val="center"/>
          </w:tcPr>
          <w:p w14:paraId="69FCB1B5">
            <w:pPr>
              <w:pStyle w:val="45"/>
              <w:rPr>
                <w:rFonts w:hint="default"/>
              </w:rPr>
            </w:pPr>
            <w:r>
              <w:t>生活污水处理</w:t>
            </w:r>
          </w:p>
        </w:tc>
        <w:tc>
          <w:tcPr>
            <w:tcW w:w="3914" w:type="dxa"/>
            <w:shd w:val="clear" w:color="auto" w:fill="auto"/>
            <w:vAlign w:val="center"/>
          </w:tcPr>
          <w:p w14:paraId="17EF4AC0">
            <w:pPr>
              <w:pStyle w:val="45"/>
              <w:rPr>
                <w:rFonts w:hint="default"/>
              </w:rPr>
            </w:pPr>
            <w:r>
              <w:t>化粪池</w:t>
            </w:r>
          </w:p>
        </w:tc>
        <w:tc>
          <w:tcPr>
            <w:tcW w:w="1700" w:type="dxa"/>
            <w:shd w:val="clear" w:color="auto" w:fill="auto"/>
            <w:vAlign w:val="center"/>
          </w:tcPr>
          <w:p w14:paraId="108BB36F">
            <w:pPr>
              <w:pStyle w:val="45"/>
              <w:rPr>
                <w:rFonts w:hint="default"/>
              </w:rPr>
            </w:pPr>
            <w:r>
              <w:t>15</w:t>
            </w:r>
          </w:p>
        </w:tc>
      </w:tr>
      <w:tr w14:paraId="0CD1D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9" w:type="dxa"/>
            <w:vMerge w:val="continue"/>
            <w:shd w:val="clear" w:color="auto" w:fill="auto"/>
            <w:vAlign w:val="center"/>
          </w:tcPr>
          <w:p w14:paraId="7D8E03E1">
            <w:pPr>
              <w:pStyle w:val="45"/>
              <w:rPr>
                <w:rFonts w:hint="default"/>
              </w:rPr>
            </w:pPr>
          </w:p>
        </w:tc>
        <w:tc>
          <w:tcPr>
            <w:tcW w:w="1986" w:type="dxa"/>
            <w:shd w:val="clear" w:color="auto" w:fill="auto"/>
            <w:vAlign w:val="center"/>
          </w:tcPr>
          <w:p w14:paraId="48612B5D">
            <w:pPr>
              <w:pStyle w:val="45"/>
              <w:rPr>
                <w:rFonts w:hint="eastAsia" w:eastAsia="宋体"/>
                <w:lang w:eastAsia="zh-CN"/>
              </w:rPr>
            </w:pPr>
            <w:r>
              <w:t>初期雨水</w:t>
            </w:r>
            <w:r>
              <w:rPr>
                <w:rFonts w:hint="eastAsia"/>
                <w:lang w:val="en-US" w:eastAsia="zh-CN"/>
              </w:rPr>
              <w:t>收集</w:t>
            </w:r>
          </w:p>
        </w:tc>
        <w:tc>
          <w:tcPr>
            <w:tcW w:w="3914" w:type="dxa"/>
            <w:shd w:val="clear" w:color="auto" w:fill="auto"/>
            <w:vAlign w:val="center"/>
          </w:tcPr>
          <w:p w14:paraId="4F143440">
            <w:pPr>
              <w:pStyle w:val="45"/>
              <w:rPr>
                <w:rFonts w:hint="default"/>
              </w:rPr>
            </w:pPr>
            <w:r>
              <w:t>初期雨水池</w:t>
            </w:r>
          </w:p>
        </w:tc>
        <w:tc>
          <w:tcPr>
            <w:tcW w:w="1700" w:type="dxa"/>
            <w:shd w:val="clear" w:color="auto" w:fill="auto"/>
            <w:vAlign w:val="center"/>
          </w:tcPr>
          <w:p w14:paraId="15DAEBA6">
            <w:pPr>
              <w:pStyle w:val="45"/>
              <w:rPr>
                <w:rFonts w:hint="default"/>
              </w:rPr>
            </w:pPr>
            <w:r>
              <w:t>5</w:t>
            </w:r>
          </w:p>
        </w:tc>
      </w:tr>
      <w:tr w14:paraId="79FA4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9" w:type="dxa"/>
            <w:vMerge w:val="restart"/>
            <w:shd w:val="clear" w:color="auto" w:fill="auto"/>
            <w:vAlign w:val="center"/>
          </w:tcPr>
          <w:p w14:paraId="4F6861DB">
            <w:pPr>
              <w:pStyle w:val="45"/>
              <w:rPr>
                <w:rFonts w:hint="default"/>
              </w:rPr>
            </w:pPr>
            <w:r>
              <w:t>固废</w:t>
            </w:r>
          </w:p>
        </w:tc>
        <w:tc>
          <w:tcPr>
            <w:tcW w:w="1986" w:type="dxa"/>
            <w:shd w:val="clear" w:color="auto" w:fill="auto"/>
            <w:vAlign w:val="center"/>
          </w:tcPr>
          <w:p w14:paraId="2D2BA5EC">
            <w:pPr>
              <w:pStyle w:val="45"/>
              <w:rPr>
                <w:rFonts w:hint="default"/>
              </w:rPr>
            </w:pPr>
            <w:r>
              <w:t>危险废物</w:t>
            </w:r>
          </w:p>
        </w:tc>
        <w:tc>
          <w:tcPr>
            <w:tcW w:w="3914" w:type="dxa"/>
            <w:shd w:val="clear" w:color="auto" w:fill="auto"/>
            <w:vAlign w:val="center"/>
          </w:tcPr>
          <w:p w14:paraId="4F94BF78">
            <w:pPr>
              <w:pStyle w:val="45"/>
              <w:rPr>
                <w:rFonts w:hint="default"/>
              </w:rPr>
            </w:pPr>
            <w:r>
              <w:t>危废暂存间</w:t>
            </w:r>
          </w:p>
        </w:tc>
        <w:tc>
          <w:tcPr>
            <w:tcW w:w="1700" w:type="dxa"/>
            <w:shd w:val="clear" w:color="auto" w:fill="auto"/>
            <w:vAlign w:val="center"/>
          </w:tcPr>
          <w:p w14:paraId="62EC4553">
            <w:pPr>
              <w:pStyle w:val="45"/>
              <w:rPr>
                <w:rFonts w:hint="default"/>
              </w:rPr>
            </w:pPr>
            <w:r>
              <w:t>15</w:t>
            </w:r>
          </w:p>
        </w:tc>
      </w:tr>
      <w:tr w14:paraId="085F5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9" w:type="dxa"/>
            <w:vMerge w:val="continue"/>
            <w:shd w:val="clear" w:color="auto" w:fill="auto"/>
            <w:vAlign w:val="center"/>
          </w:tcPr>
          <w:p w14:paraId="79D18BB7">
            <w:pPr>
              <w:pStyle w:val="45"/>
              <w:rPr>
                <w:rFonts w:hint="default"/>
              </w:rPr>
            </w:pPr>
          </w:p>
        </w:tc>
        <w:tc>
          <w:tcPr>
            <w:tcW w:w="1986" w:type="dxa"/>
            <w:shd w:val="clear" w:color="auto" w:fill="auto"/>
            <w:vAlign w:val="center"/>
          </w:tcPr>
          <w:p w14:paraId="7ED3077E">
            <w:pPr>
              <w:pStyle w:val="45"/>
              <w:rPr>
                <w:rFonts w:hint="default"/>
              </w:rPr>
            </w:pPr>
            <w:r>
              <w:t>一般工业固废</w:t>
            </w:r>
          </w:p>
        </w:tc>
        <w:tc>
          <w:tcPr>
            <w:tcW w:w="3914" w:type="dxa"/>
            <w:shd w:val="clear" w:color="auto" w:fill="auto"/>
            <w:vAlign w:val="center"/>
          </w:tcPr>
          <w:p w14:paraId="362D55F3">
            <w:pPr>
              <w:pStyle w:val="45"/>
              <w:rPr>
                <w:rFonts w:hint="default"/>
              </w:rPr>
            </w:pPr>
            <w:r>
              <w:t>一般固废暂存间</w:t>
            </w:r>
          </w:p>
        </w:tc>
        <w:tc>
          <w:tcPr>
            <w:tcW w:w="1700" w:type="dxa"/>
            <w:shd w:val="clear" w:color="auto" w:fill="auto"/>
            <w:vAlign w:val="center"/>
          </w:tcPr>
          <w:p w14:paraId="7EAAD23C">
            <w:pPr>
              <w:pStyle w:val="45"/>
              <w:rPr>
                <w:rFonts w:hint="default"/>
              </w:rPr>
            </w:pPr>
            <w:r>
              <w:t>10</w:t>
            </w:r>
          </w:p>
        </w:tc>
      </w:tr>
      <w:tr w14:paraId="1E842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9" w:type="dxa"/>
            <w:vMerge w:val="continue"/>
            <w:shd w:val="clear" w:color="auto" w:fill="auto"/>
            <w:vAlign w:val="center"/>
          </w:tcPr>
          <w:p w14:paraId="6BD627C6">
            <w:pPr>
              <w:pStyle w:val="45"/>
              <w:rPr>
                <w:rFonts w:hint="default"/>
              </w:rPr>
            </w:pPr>
          </w:p>
        </w:tc>
        <w:tc>
          <w:tcPr>
            <w:tcW w:w="1986" w:type="dxa"/>
            <w:shd w:val="clear" w:color="auto" w:fill="auto"/>
            <w:vAlign w:val="center"/>
          </w:tcPr>
          <w:p w14:paraId="7195F6E7">
            <w:pPr>
              <w:pStyle w:val="45"/>
              <w:rPr>
                <w:rFonts w:hint="default"/>
              </w:rPr>
            </w:pPr>
            <w:r>
              <w:t>生活垃圾</w:t>
            </w:r>
          </w:p>
        </w:tc>
        <w:tc>
          <w:tcPr>
            <w:tcW w:w="3914" w:type="dxa"/>
            <w:shd w:val="clear" w:color="auto" w:fill="auto"/>
            <w:vAlign w:val="center"/>
          </w:tcPr>
          <w:p w14:paraId="2920D6FC">
            <w:pPr>
              <w:pStyle w:val="45"/>
              <w:rPr>
                <w:rFonts w:hint="default"/>
              </w:rPr>
            </w:pPr>
            <w:r>
              <w:t>生活垃圾暂存设施</w:t>
            </w:r>
          </w:p>
        </w:tc>
        <w:tc>
          <w:tcPr>
            <w:tcW w:w="1700" w:type="dxa"/>
            <w:shd w:val="clear" w:color="auto" w:fill="auto"/>
            <w:vAlign w:val="center"/>
          </w:tcPr>
          <w:p w14:paraId="50FAD5E6">
            <w:pPr>
              <w:pStyle w:val="45"/>
              <w:rPr>
                <w:rFonts w:hint="default"/>
              </w:rPr>
            </w:pPr>
            <w:r>
              <w:t>5</w:t>
            </w:r>
          </w:p>
        </w:tc>
      </w:tr>
      <w:tr w14:paraId="115AC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9" w:type="dxa"/>
            <w:shd w:val="clear" w:color="auto" w:fill="auto"/>
            <w:vAlign w:val="center"/>
          </w:tcPr>
          <w:p w14:paraId="430A89C7">
            <w:pPr>
              <w:pStyle w:val="45"/>
              <w:rPr>
                <w:rFonts w:hint="default"/>
              </w:rPr>
            </w:pPr>
            <w:r>
              <w:t>噪声</w:t>
            </w:r>
          </w:p>
        </w:tc>
        <w:tc>
          <w:tcPr>
            <w:tcW w:w="1986" w:type="dxa"/>
            <w:shd w:val="clear" w:color="auto" w:fill="auto"/>
            <w:vAlign w:val="center"/>
          </w:tcPr>
          <w:p w14:paraId="7B131089">
            <w:pPr>
              <w:pStyle w:val="45"/>
              <w:rPr>
                <w:rFonts w:hint="default"/>
              </w:rPr>
            </w:pPr>
            <w:r>
              <w:t>机泵等</w:t>
            </w:r>
          </w:p>
        </w:tc>
        <w:tc>
          <w:tcPr>
            <w:tcW w:w="3914" w:type="dxa"/>
            <w:shd w:val="clear" w:color="auto" w:fill="auto"/>
            <w:noWrap/>
            <w:vAlign w:val="center"/>
          </w:tcPr>
          <w:p w14:paraId="77DFB2C4">
            <w:pPr>
              <w:pStyle w:val="45"/>
              <w:rPr>
                <w:rFonts w:hint="default"/>
              </w:rPr>
            </w:pPr>
            <w:r>
              <w:t>隔声减振等</w:t>
            </w:r>
          </w:p>
        </w:tc>
        <w:tc>
          <w:tcPr>
            <w:tcW w:w="1700" w:type="dxa"/>
            <w:shd w:val="clear" w:color="auto" w:fill="auto"/>
            <w:vAlign w:val="center"/>
          </w:tcPr>
          <w:p w14:paraId="06EE729F">
            <w:pPr>
              <w:pStyle w:val="45"/>
              <w:rPr>
                <w:rFonts w:hint="default"/>
              </w:rPr>
            </w:pPr>
            <w:r>
              <w:t>15</w:t>
            </w:r>
          </w:p>
        </w:tc>
      </w:tr>
      <w:tr w14:paraId="06158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9" w:type="dxa"/>
            <w:vMerge w:val="restart"/>
            <w:shd w:val="clear" w:color="auto" w:fill="auto"/>
            <w:vAlign w:val="center"/>
          </w:tcPr>
          <w:p w14:paraId="4BEFF456">
            <w:pPr>
              <w:pStyle w:val="45"/>
              <w:rPr>
                <w:rFonts w:hint="default"/>
              </w:rPr>
            </w:pPr>
            <w:r>
              <w:t>风险</w:t>
            </w:r>
          </w:p>
        </w:tc>
        <w:tc>
          <w:tcPr>
            <w:tcW w:w="1986" w:type="dxa"/>
            <w:vMerge w:val="restart"/>
            <w:shd w:val="clear" w:color="auto" w:fill="auto"/>
            <w:vAlign w:val="center"/>
          </w:tcPr>
          <w:p w14:paraId="20145C43">
            <w:pPr>
              <w:pStyle w:val="45"/>
              <w:rPr>
                <w:rFonts w:hint="default"/>
              </w:rPr>
            </w:pPr>
            <w:r>
              <w:t>风险事故</w:t>
            </w:r>
          </w:p>
        </w:tc>
        <w:tc>
          <w:tcPr>
            <w:tcW w:w="3914" w:type="dxa"/>
            <w:shd w:val="clear" w:color="auto" w:fill="auto"/>
            <w:vAlign w:val="center"/>
          </w:tcPr>
          <w:p w14:paraId="036971D0">
            <w:pPr>
              <w:pStyle w:val="45"/>
              <w:ind w:firstLine="0" w:firstLineChars="0"/>
              <w:rPr>
                <w:rFonts w:hint="default" w:ascii="Times New Roman" w:hAnsi="Times New Roman" w:eastAsia="宋体" w:cs="Times New Roman"/>
                <w:kern w:val="0"/>
                <w:sz w:val="21"/>
                <w:szCs w:val="21"/>
                <w:lang w:val="en-US" w:eastAsia="zh-CN" w:bidi="ar-SA"/>
              </w:rPr>
            </w:pPr>
            <w:r>
              <w:t>事故应急池等</w:t>
            </w:r>
          </w:p>
        </w:tc>
        <w:tc>
          <w:tcPr>
            <w:tcW w:w="1700" w:type="dxa"/>
            <w:shd w:val="clear" w:color="auto" w:fill="auto"/>
            <w:vAlign w:val="center"/>
          </w:tcPr>
          <w:p w14:paraId="495E0959">
            <w:pPr>
              <w:pStyle w:val="45"/>
            </w:pPr>
            <w:r>
              <w:t>10</w:t>
            </w:r>
          </w:p>
        </w:tc>
      </w:tr>
      <w:tr w14:paraId="18040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9" w:type="dxa"/>
            <w:vMerge w:val="continue"/>
            <w:shd w:val="clear" w:color="auto" w:fill="auto"/>
            <w:vAlign w:val="center"/>
          </w:tcPr>
          <w:p w14:paraId="2000730C">
            <w:pPr>
              <w:pStyle w:val="45"/>
              <w:rPr>
                <w:rFonts w:hint="default"/>
              </w:rPr>
            </w:pPr>
          </w:p>
        </w:tc>
        <w:tc>
          <w:tcPr>
            <w:tcW w:w="1986" w:type="dxa"/>
            <w:vMerge w:val="continue"/>
            <w:shd w:val="clear" w:color="auto" w:fill="auto"/>
            <w:vAlign w:val="center"/>
          </w:tcPr>
          <w:p w14:paraId="2CEA0B9C">
            <w:pPr>
              <w:pStyle w:val="45"/>
              <w:rPr>
                <w:rFonts w:hint="default"/>
              </w:rPr>
            </w:pPr>
          </w:p>
        </w:tc>
        <w:tc>
          <w:tcPr>
            <w:tcW w:w="3914" w:type="dxa"/>
            <w:shd w:val="clear" w:color="auto" w:fill="auto"/>
            <w:vAlign w:val="center"/>
          </w:tcPr>
          <w:p w14:paraId="12363B80">
            <w:pPr>
              <w:pStyle w:val="45"/>
              <w:rPr>
                <w:rFonts w:hint="default"/>
              </w:rPr>
            </w:pPr>
            <w:r>
              <w:rPr>
                <w:rFonts w:hint="eastAsia"/>
                <w:lang w:val="en-US" w:eastAsia="zh-CN"/>
              </w:rPr>
              <w:t>厂区防渗防漏等</w:t>
            </w:r>
          </w:p>
        </w:tc>
        <w:tc>
          <w:tcPr>
            <w:tcW w:w="1700" w:type="dxa"/>
            <w:shd w:val="clear" w:color="auto" w:fill="auto"/>
            <w:vAlign w:val="center"/>
          </w:tcPr>
          <w:p w14:paraId="2A698789">
            <w:pPr>
              <w:pStyle w:val="45"/>
              <w:rPr>
                <w:rFonts w:hint="default"/>
              </w:rPr>
            </w:pPr>
            <w:r>
              <w:rPr>
                <w:rFonts w:hint="eastAsia"/>
                <w:lang w:val="en-US" w:eastAsia="zh-CN"/>
              </w:rPr>
              <w:t>50</w:t>
            </w:r>
          </w:p>
        </w:tc>
      </w:tr>
      <w:tr w14:paraId="68253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659" w:type="dxa"/>
            <w:gridSpan w:val="3"/>
            <w:shd w:val="clear" w:color="auto" w:fill="auto"/>
            <w:vAlign w:val="center"/>
          </w:tcPr>
          <w:p w14:paraId="5D0571DD">
            <w:pPr>
              <w:pStyle w:val="45"/>
              <w:rPr>
                <w:rFonts w:hint="default"/>
              </w:rPr>
            </w:pPr>
            <w:r>
              <w:t>合计</w:t>
            </w:r>
          </w:p>
        </w:tc>
        <w:tc>
          <w:tcPr>
            <w:tcW w:w="1700" w:type="dxa"/>
            <w:shd w:val="clear" w:color="auto" w:fill="auto"/>
            <w:vAlign w:val="center"/>
          </w:tcPr>
          <w:p w14:paraId="642FB329">
            <w:pPr>
              <w:pStyle w:val="45"/>
              <w:rPr>
                <w:rFonts w:hint="default"/>
                <w:lang w:val="en-US"/>
              </w:rPr>
            </w:pPr>
            <w:r>
              <w:rPr>
                <w:rFonts w:hint="eastAsia"/>
                <w:lang w:val="en-US" w:eastAsia="zh-CN"/>
              </w:rPr>
              <w:t>550</w:t>
            </w:r>
          </w:p>
        </w:tc>
      </w:tr>
    </w:tbl>
    <w:p w14:paraId="393820FB">
      <w:pPr>
        <w:ind w:firstLine="0" w:firstLineChars="0"/>
      </w:pPr>
    </w:p>
    <w:p w14:paraId="1ECAC3C7">
      <w:pPr>
        <w:pStyle w:val="3"/>
        <w:numPr>
          <w:ilvl w:val="1"/>
          <w:numId w:val="1"/>
        </w:numPr>
      </w:pPr>
      <w:bookmarkStart w:id="351" w:name="_Toc26098"/>
      <w:bookmarkStart w:id="352" w:name="_Toc20365"/>
      <w:bookmarkStart w:id="353" w:name="_Toc12591"/>
      <w:r>
        <w:rPr>
          <w:rFonts w:hint="eastAsia"/>
        </w:rPr>
        <w:t>环境影响损失</w:t>
      </w:r>
      <w:bookmarkEnd w:id="351"/>
      <w:bookmarkEnd w:id="352"/>
      <w:bookmarkEnd w:id="353"/>
    </w:p>
    <w:p w14:paraId="765AFD40">
      <w:pPr>
        <w:pStyle w:val="4"/>
        <w:numPr>
          <w:ilvl w:val="2"/>
          <w:numId w:val="1"/>
        </w:numPr>
      </w:pPr>
      <w:bookmarkStart w:id="354" w:name="_Toc18693"/>
      <w:r>
        <w:rPr>
          <w:rFonts w:hint="eastAsia"/>
        </w:rPr>
        <w:t>资源损失</w:t>
      </w:r>
      <w:bookmarkEnd w:id="354"/>
    </w:p>
    <w:p w14:paraId="3625A695">
      <w:pPr>
        <w:ind w:firstLine="480"/>
      </w:pPr>
      <w:r>
        <w:rPr>
          <w:rFonts w:hint="eastAsia"/>
        </w:rPr>
        <w:t>本项目的</w:t>
      </w:r>
      <w:r>
        <w:t>资源损失主要是能源（水、电等）等方面的损耗</w:t>
      </w:r>
      <w:r>
        <w:rPr>
          <w:rFonts w:hint="eastAsia"/>
        </w:rPr>
        <w:t>。</w:t>
      </w:r>
    </w:p>
    <w:p w14:paraId="257F3BBD">
      <w:pPr>
        <w:pStyle w:val="4"/>
        <w:numPr>
          <w:ilvl w:val="2"/>
          <w:numId w:val="1"/>
        </w:numPr>
      </w:pPr>
      <w:bookmarkStart w:id="355" w:name="_Toc2450"/>
      <w:r>
        <w:rPr>
          <w:rFonts w:hint="eastAsia"/>
        </w:rPr>
        <w:t>环境影响损失</w:t>
      </w:r>
      <w:bookmarkEnd w:id="355"/>
    </w:p>
    <w:p w14:paraId="45604DBA">
      <w:pPr>
        <w:ind w:firstLine="480"/>
      </w:pPr>
      <w:r>
        <w:rPr>
          <w:rFonts w:hint="eastAsia"/>
        </w:rPr>
        <w:t>本项目</w:t>
      </w:r>
      <w:r>
        <w:t>建设后营运期间的环境影响主要包括：生产过程产生工艺废水、废气、设备噪声及固废等对所在区域的水体环境、大气环境和声环境的影响。由环境影响预测评价的结果可知，在各项</w:t>
      </w:r>
      <w:r>
        <w:rPr>
          <w:rFonts w:hint="eastAsia"/>
        </w:rPr>
        <w:t>环保</w:t>
      </w:r>
      <w:r>
        <w:t>措施正常运行的情况下，</w:t>
      </w:r>
      <w:r>
        <w:rPr>
          <w:rFonts w:hint="eastAsia"/>
        </w:rPr>
        <w:t>本项目</w:t>
      </w:r>
      <w:r>
        <w:t>的建设对区域各主要环境要素影响不明显，固体废物经合理处理处置后，不会造成二次污染。</w:t>
      </w:r>
    </w:p>
    <w:p w14:paraId="2332DFC9">
      <w:pPr>
        <w:pStyle w:val="4"/>
        <w:numPr>
          <w:ilvl w:val="2"/>
          <w:numId w:val="1"/>
        </w:numPr>
      </w:pPr>
      <w:bookmarkStart w:id="356" w:name="_Toc23564"/>
      <w:r>
        <w:rPr>
          <w:rFonts w:hint="eastAsia"/>
        </w:rPr>
        <w:t>环境效益分析</w:t>
      </w:r>
      <w:bookmarkEnd w:id="356"/>
    </w:p>
    <w:p w14:paraId="3343958D">
      <w:pPr>
        <w:ind w:firstLine="480"/>
      </w:pPr>
      <w:r>
        <w:t>本项目在建设中充分考虑项目建设“三同时”要求，“三废”排放物都做到了有效处理，本项目母液等物料实现了循环套用，所有溶剂都实现了综合回收利用，大大降低了三废排放量，废水、废液和废渣进行了有效处理，并确保处理后的三废能达标排放。处理后的三废能达标排放，而且物耗、能耗均有大幅减少，为资源的节约和综合利用打下了坚实的基础</w:t>
      </w:r>
      <w:r>
        <w:rPr>
          <w:rFonts w:hint="eastAsia"/>
        </w:rPr>
        <w:t>。本项目建设完成后在严格按照本报告提出的各项环保措施及环境管理措施的前提下，可将本项目建设带来的环境影响控制在区域环境可接受的范围内。</w:t>
      </w:r>
    </w:p>
    <w:p w14:paraId="56D779F3">
      <w:pPr>
        <w:pStyle w:val="3"/>
        <w:numPr>
          <w:ilvl w:val="1"/>
          <w:numId w:val="1"/>
        </w:numPr>
      </w:pPr>
      <w:bookmarkStart w:id="357" w:name="_Toc13446"/>
      <w:bookmarkStart w:id="358" w:name="_Toc29679"/>
      <w:bookmarkStart w:id="359" w:name="_Toc21350"/>
      <w:r>
        <w:rPr>
          <w:rFonts w:hint="eastAsia"/>
        </w:rPr>
        <w:t>社会经济效益分析</w:t>
      </w:r>
      <w:bookmarkEnd w:id="357"/>
      <w:bookmarkEnd w:id="358"/>
      <w:bookmarkEnd w:id="359"/>
    </w:p>
    <w:p w14:paraId="7DBEB8AA">
      <w:pPr>
        <w:pStyle w:val="4"/>
        <w:numPr>
          <w:ilvl w:val="2"/>
          <w:numId w:val="1"/>
        </w:numPr>
      </w:pPr>
      <w:bookmarkStart w:id="360" w:name="_Toc23358"/>
      <w:r>
        <w:rPr>
          <w:rFonts w:hint="eastAsia"/>
        </w:rPr>
        <w:t>国民经济效益</w:t>
      </w:r>
      <w:bookmarkEnd w:id="360"/>
    </w:p>
    <w:p w14:paraId="7618D7EC">
      <w:pPr>
        <w:ind w:firstLine="480"/>
      </w:pPr>
      <w:r>
        <w:rPr>
          <w:rFonts w:hint="eastAsia"/>
        </w:rPr>
        <w:t>本项目总投资4500 万元，财务评价表明，本项目建设完成后，预测各项财务指标良好，盈亏平衡点比较安全。本项目有良好的经济效益。敏感性分析表明，本项目具有一定的抗风险能力。</w:t>
      </w:r>
    </w:p>
    <w:p w14:paraId="149DAC06">
      <w:pPr>
        <w:ind w:firstLine="480"/>
      </w:pPr>
      <w:r>
        <w:rPr>
          <w:rFonts w:hint="eastAsia"/>
        </w:rPr>
        <w:t>本项目总投资所得税前投资回收期 1.84 年，所得税后投资回收期2.46 年，所得税前内部收益率27. 11%，总投资效益率54.21%，投资利税率40.65%。通过盈亏平衡计算，本项目生产负荷只要达到设计能力的47.83%，本项目就可保本，由此可见本项目的抗风险能力强。综上，项目全部投资动态及静态指标，皆优于化工行业基准数据。项目建成投用后，具有较强的盈利能力。</w:t>
      </w:r>
    </w:p>
    <w:p w14:paraId="7CB56B0C">
      <w:pPr>
        <w:pStyle w:val="4"/>
        <w:numPr>
          <w:ilvl w:val="2"/>
          <w:numId w:val="1"/>
        </w:numPr>
      </w:pPr>
      <w:bookmarkStart w:id="361" w:name="_Toc16793"/>
      <w:r>
        <w:rPr>
          <w:rFonts w:hint="eastAsia"/>
        </w:rPr>
        <w:t>社会效益</w:t>
      </w:r>
      <w:bookmarkEnd w:id="361"/>
    </w:p>
    <w:p w14:paraId="48F4A6B7">
      <w:pPr>
        <w:ind w:firstLine="480"/>
      </w:pPr>
      <w:r>
        <w:rPr>
          <w:rFonts w:hint="eastAsia"/>
        </w:rPr>
        <w:t>本项目的社会效益主要体现在以下几个方面：</w:t>
      </w:r>
    </w:p>
    <w:p w14:paraId="7381A488">
      <w:pPr>
        <w:numPr>
          <w:ilvl w:val="0"/>
          <w:numId w:val="18"/>
        </w:numPr>
        <w:ind w:firstLine="480"/>
      </w:pPr>
      <w:r>
        <w:t>本工程的建设劳动定员</w:t>
      </w:r>
      <w:r>
        <w:rPr>
          <w:rFonts w:hint="eastAsia"/>
        </w:rPr>
        <w:t>65</w:t>
      </w:r>
      <w:r>
        <w:t xml:space="preserve"> 人，可安排周边剩余劳动力就近就业，提高其生活水平。另外，项目建成后可促进当地的餐饮服务等行业的发展也相当于间接创造就业机会。</w:t>
      </w:r>
    </w:p>
    <w:p w14:paraId="3C83254A">
      <w:pPr>
        <w:numPr>
          <w:ilvl w:val="0"/>
          <w:numId w:val="18"/>
        </w:numPr>
        <w:ind w:firstLine="480"/>
      </w:pPr>
      <w:r>
        <w:t>本项目建成后预计每年可多向国家上缴税金</w:t>
      </w:r>
      <w:r>
        <w:rPr>
          <w:rFonts w:hint="eastAsia"/>
        </w:rPr>
        <w:t>609.8</w:t>
      </w:r>
      <w:r>
        <w:t>余万元。</w:t>
      </w:r>
    </w:p>
    <w:p w14:paraId="6B7966DD">
      <w:pPr>
        <w:numPr>
          <w:ilvl w:val="0"/>
          <w:numId w:val="18"/>
        </w:numPr>
        <w:ind w:firstLine="480"/>
      </w:pPr>
      <w:r>
        <w:t>本项目属于国家允许发展产业，符合国家及湖南省衡阳市的产业政策及要求，并符合当地政府的整体规划；建设规模符合目前国内和国际市场的实际，规模合理，市场定位准确。</w:t>
      </w:r>
    </w:p>
    <w:p w14:paraId="6F8B7D62">
      <w:pPr>
        <w:numPr>
          <w:ilvl w:val="0"/>
          <w:numId w:val="18"/>
        </w:numPr>
        <w:ind w:firstLine="480"/>
      </w:pPr>
      <w:r>
        <w:t>本项目采用的技术先进、可靠，整个生产过程安全稳定，产品收率高、质量优，可降低原料消耗，减少生产成本，具有较强的竞争力。</w:t>
      </w:r>
    </w:p>
    <w:p w14:paraId="4BDC1FD0">
      <w:pPr>
        <w:numPr>
          <w:ilvl w:val="0"/>
          <w:numId w:val="18"/>
        </w:numPr>
        <w:ind w:firstLine="480"/>
      </w:pPr>
      <w:r>
        <w:t>本项目产品市场广阔，有销路，并且与周边企业的上下游产品形成产业链，可为国家、地方和企业创造较好的经济效益和社会效益。</w:t>
      </w:r>
    </w:p>
    <w:p w14:paraId="2292853C">
      <w:pPr>
        <w:ind w:firstLine="480"/>
      </w:pPr>
      <w:r>
        <w:rPr>
          <w:rFonts w:hint="eastAsia"/>
        </w:rPr>
        <w:t>综上所述，本项目建设符合国家产业政策，符合国家产业布局和区域产业发展规划，符合国家推进节能减排的要求，项目工艺装备先进，技术成熟可靠，经济合理，有利于提升行业产品的竞争能力和行业产品供应能力，满足日益发展的市场需求。同时，项目的建设符合公司的产业定位和企业长远的战略发展规划，对节约资源、增加地方就业、促进地区和企业经济发展、改善人民生活具有十分重要的意义，本项目实施后具有显著的经济效益和良好的社会效益。</w:t>
      </w:r>
    </w:p>
    <w:p w14:paraId="79E4D382">
      <w:pPr>
        <w:pStyle w:val="3"/>
        <w:numPr>
          <w:ilvl w:val="1"/>
          <w:numId w:val="1"/>
        </w:numPr>
      </w:pPr>
      <w:bookmarkStart w:id="362" w:name="_Toc13558"/>
      <w:bookmarkStart w:id="363" w:name="_Toc27087"/>
      <w:bookmarkStart w:id="364" w:name="_Toc32292"/>
      <w:r>
        <w:rPr>
          <w:rFonts w:hint="eastAsia"/>
        </w:rPr>
        <w:t>小结</w:t>
      </w:r>
      <w:bookmarkEnd w:id="362"/>
      <w:bookmarkEnd w:id="363"/>
      <w:bookmarkEnd w:id="364"/>
    </w:p>
    <w:p w14:paraId="797F8793">
      <w:pPr>
        <w:ind w:firstLine="480"/>
      </w:pPr>
      <w:r>
        <w:rPr>
          <w:rFonts w:hint="eastAsia"/>
        </w:rPr>
        <w:t>本项目建设符合国家产业政策，符合国家产业布局和区域产业发展规划，符合国家推进节能减排的要求，有利于提升产品的市场竞争能力和行业产品供应能力，满足日益发展的市场需求。同时，项目的建设符合公司的产业定位和企业长远的战略发展规划，对节约资源、增加地方就业、促进地区和企业经济发展、改善人民生活具有十分重要的意义，其社会效益和环保效益十分显著</w:t>
      </w:r>
    </w:p>
    <w:p w14:paraId="0C1ED9F7">
      <w:pPr>
        <w:pStyle w:val="2"/>
        <w:numPr>
          <w:ilvl w:val="0"/>
          <w:numId w:val="1"/>
        </w:numPr>
        <w:spacing w:before="312" w:after="624"/>
      </w:pPr>
      <w:bookmarkStart w:id="365" w:name="_Toc27742"/>
      <w:bookmarkStart w:id="366" w:name="_Toc32360"/>
      <w:bookmarkStart w:id="367" w:name="_Toc15088"/>
      <w:r>
        <w:rPr>
          <w:rFonts w:hint="eastAsia"/>
        </w:rPr>
        <w:t>环境管理与环境监测计划</w:t>
      </w:r>
      <w:bookmarkEnd w:id="365"/>
      <w:bookmarkEnd w:id="366"/>
      <w:bookmarkEnd w:id="367"/>
    </w:p>
    <w:p w14:paraId="580E69C2">
      <w:pPr>
        <w:pStyle w:val="3"/>
        <w:numPr>
          <w:ilvl w:val="1"/>
          <w:numId w:val="1"/>
        </w:numPr>
      </w:pPr>
      <w:bookmarkStart w:id="368" w:name="_Toc16400"/>
      <w:bookmarkStart w:id="369" w:name="_Toc7699"/>
      <w:bookmarkStart w:id="370" w:name="_Toc23616"/>
      <w:r>
        <w:rPr>
          <w:rFonts w:hint="eastAsia"/>
        </w:rPr>
        <w:t>环境管理</w:t>
      </w:r>
      <w:bookmarkEnd w:id="368"/>
      <w:bookmarkEnd w:id="369"/>
      <w:bookmarkEnd w:id="370"/>
    </w:p>
    <w:p w14:paraId="0E129D59">
      <w:pPr>
        <w:ind w:firstLine="480"/>
      </w:pPr>
      <w:r>
        <w:rPr>
          <w:rFonts w:hint="eastAsia"/>
        </w:rPr>
        <w:t>环境保护作为我国的一项基本国策，具有持久性和公众性。纵观我国的环境保护状况，最突出的问题在企业。一个企业的领导重视，环境管理部门的管理水平高，这个企业的环保治理工作就做得好，存在的环保问题就少。</w:t>
      </w:r>
    </w:p>
    <w:p w14:paraId="2BE4FB43">
      <w:pPr>
        <w:ind w:firstLine="480"/>
      </w:pPr>
      <w:r>
        <w:rPr>
          <w:rFonts w:hint="eastAsia"/>
        </w:rPr>
        <w:t>环境管理是企业管理中的重要环节之一。在企业中，建立健全的环保机构，加强环境管理工作，开展厂内环境检测、监督，使“三废”排放控制到最低限度，并把环保工作纳入生产管理，对于减少企业污染物排放、促进资源的合理利用与回收，提高经济效益和环境效益有着重要意义，使企业的经济效益与环境保护协调、持续发展。</w:t>
      </w:r>
    </w:p>
    <w:p w14:paraId="01AF562F">
      <w:pPr>
        <w:pStyle w:val="6"/>
        <w:bidi w:val="0"/>
      </w:pPr>
      <w:bookmarkStart w:id="371" w:name="_Toc7158"/>
      <w:r>
        <w:t>环境管理机构设置及职责</w:t>
      </w:r>
      <w:bookmarkEnd w:id="371"/>
    </w:p>
    <w:p w14:paraId="3A4D0963">
      <w:pPr>
        <w:ind w:firstLine="480"/>
      </w:pPr>
      <w:r>
        <w:t>为有效地保护环境和防止污染事故发生，项目应专设负责环境管理</w:t>
      </w:r>
      <w:r>
        <w:rPr>
          <w:rFonts w:hint="eastAsia"/>
        </w:rPr>
        <w:t>部门</w:t>
      </w:r>
      <w:r>
        <w:t>和专职的环保管理人员</w:t>
      </w:r>
      <w:r>
        <w:rPr>
          <w:rFonts w:hint="eastAsia"/>
        </w:rPr>
        <w:t>，</w:t>
      </w:r>
      <w:r>
        <w:rPr>
          <w:rFonts w:cs="Times New Roman"/>
        </w:rPr>
        <w:t>并建有危险废物安全处置有关规章制度、危险废物处置全过程管理制度、转移联单管理制度、职业健康安全管理体系、档案管理制度等。</w:t>
      </w:r>
    </w:p>
    <w:p w14:paraId="4E0A6D42">
      <w:pPr>
        <w:ind w:firstLine="480"/>
      </w:pPr>
      <w:r>
        <w:rPr>
          <w:rFonts w:cs="Times New Roman"/>
        </w:rPr>
        <w:t>环境管理机构的基本任务是负责组织、落实、监督本企业的环保工作</w:t>
      </w:r>
      <w:r>
        <w:rPr>
          <w:rFonts w:hint="eastAsia" w:cs="Times New Roman"/>
        </w:rPr>
        <w:t>，其</w:t>
      </w:r>
      <w:r>
        <w:t>主要职责如下：</w:t>
      </w:r>
    </w:p>
    <w:p w14:paraId="39D48846">
      <w:pPr>
        <w:ind w:firstLine="480"/>
      </w:pPr>
      <w:r>
        <w:t>（1）贯彻执行国家环境保护法律、法规和有关的环保标准；</w:t>
      </w:r>
    </w:p>
    <w:p w14:paraId="210718ED">
      <w:pPr>
        <w:ind w:firstLine="480"/>
      </w:pPr>
      <w:r>
        <w:t>（2）参与本项目环保设施的施工建设，协助有关环境管理部门监督设施的安装、调试，落实“三同时”措施；</w:t>
      </w:r>
    </w:p>
    <w:p w14:paraId="34B4C174">
      <w:pPr>
        <w:ind w:firstLine="480"/>
      </w:pPr>
      <w:r>
        <w:t>（3）负责本项目排污许可证办理、竣工环保验收及日常环境管理工作；</w:t>
      </w:r>
    </w:p>
    <w:p w14:paraId="0BBA56EC">
      <w:pPr>
        <w:ind w:firstLine="480"/>
      </w:pPr>
      <w:r>
        <w:t>（4）负责编制本项目排污许可执行报告，组织实施环境自行监测计划，按环保管理要求进行信息公开和发布；</w:t>
      </w:r>
    </w:p>
    <w:p w14:paraId="361C6CDD">
      <w:pPr>
        <w:ind w:firstLine="480"/>
      </w:pPr>
      <w:r>
        <w:t>（5）定期检查环保设施的运转情况，保证其正常运行，及时提出整改建议；</w:t>
      </w:r>
    </w:p>
    <w:p w14:paraId="7F4A1CC2">
      <w:pPr>
        <w:ind w:firstLine="480"/>
      </w:pPr>
      <w:r>
        <w:t>（6）建立健全本项目环境管理台账档案，做好环境统计工作；</w:t>
      </w:r>
    </w:p>
    <w:p w14:paraId="1187F702">
      <w:pPr>
        <w:ind w:firstLine="480"/>
      </w:pPr>
      <w:r>
        <w:t>（7）积极开展环境保护教育和技术培训，提高员工的环境意识；</w:t>
      </w:r>
    </w:p>
    <w:p w14:paraId="71E9F545">
      <w:pPr>
        <w:ind w:firstLine="480"/>
      </w:pPr>
      <w:r>
        <w:t>（8）推广应用环保先进经验和技术，推行清洁生产工艺；</w:t>
      </w:r>
    </w:p>
    <w:p w14:paraId="570113BE">
      <w:pPr>
        <w:ind w:firstLine="480"/>
      </w:pPr>
      <w:r>
        <w:t>（9）组织和管理项目的污染治理工作，负责环保治理设施的运行及管理工作，建立污染物浓度和排放总量双项控制制度，做到达标排放。</w:t>
      </w:r>
    </w:p>
    <w:p w14:paraId="7B088646">
      <w:pPr>
        <w:ind w:firstLine="480"/>
      </w:pPr>
      <w:r>
        <w:t>（10）加强与环境管理部门的联系，积极配合环保管理部门的工作。</w:t>
      </w:r>
    </w:p>
    <w:p w14:paraId="3DB93387">
      <w:pPr>
        <w:pStyle w:val="6"/>
        <w:bidi w:val="0"/>
      </w:pPr>
      <w:bookmarkStart w:id="372" w:name="_Toc4276"/>
      <w:r>
        <w:rPr>
          <w:rFonts w:hint="eastAsia"/>
        </w:rPr>
        <w:t>环境管理制度</w:t>
      </w:r>
      <w:bookmarkEnd w:id="372"/>
    </w:p>
    <w:p w14:paraId="75C626FD">
      <w:pPr>
        <w:ind w:firstLine="480"/>
      </w:pPr>
      <w:r>
        <w:t>为了落实各项污染防治措施，加强环境保护工作管理，应当根据实际情况，制定各种类型的环保制度。</w:t>
      </w:r>
    </w:p>
    <w:p w14:paraId="3B88D38A">
      <w:pPr>
        <w:ind w:firstLine="480"/>
      </w:pPr>
      <w:r>
        <w:t>（1）排污定期报告制度</w:t>
      </w:r>
    </w:p>
    <w:p w14:paraId="297EE504">
      <w:pPr>
        <w:ind w:firstLine="480"/>
      </w:pPr>
      <w:r>
        <w:t>定期向当地</w:t>
      </w:r>
      <w:r>
        <w:rPr>
          <w:rFonts w:hint="eastAsia"/>
          <w:lang w:eastAsia="zh-CN"/>
        </w:rPr>
        <w:t>生态环境部</w:t>
      </w:r>
      <w:r>
        <w:t>门报告污染治理设施运行情况、污染物排放情况以及污染事故、污染纠纷等情况。</w:t>
      </w:r>
    </w:p>
    <w:p w14:paraId="56CAC538">
      <w:pPr>
        <w:ind w:firstLine="480"/>
      </w:pPr>
      <w:r>
        <w:t>（2）污染处理设施的管理制度</w:t>
      </w:r>
    </w:p>
    <w:p w14:paraId="1EEB791F">
      <w:pPr>
        <w:ind w:firstLine="480"/>
      </w:pPr>
      <w:r>
        <w:t>对污染治理设施的管理必须与生产经营活动一起纳入企业的日常管理中，建立健全岗位责任制、操作规程，建立环境保护</w:t>
      </w:r>
      <w:r>
        <w:rPr>
          <w:rFonts w:hint="eastAsia"/>
          <w:lang w:eastAsia="zh-CN"/>
        </w:rPr>
        <w:t>管理台账</w:t>
      </w:r>
      <w:r>
        <w:t>。</w:t>
      </w:r>
    </w:p>
    <w:p w14:paraId="6DB0A914">
      <w:pPr>
        <w:ind w:firstLine="480"/>
      </w:pPr>
      <w:r>
        <w:t>（3）奖惩制度</w:t>
      </w:r>
    </w:p>
    <w:p w14:paraId="26F0E66A">
      <w:pPr>
        <w:ind w:firstLine="480"/>
      </w:pPr>
      <w:r>
        <w:t>企业应设置环境保护奖惩制度，对爱护环保设施，节能降耗、改善环境者实行奖励；对不按环保要求管理，造成环保设施损坏、环境污染和资源、能源浪费者予以重罚。</w:t>
      </w:r>
    </w:p>
    <w:p w14:paraId="7726A8F0">
      <w:pPr>
        <w:ind w:firstLine="480"/>
      </w:pPr>
      <w:r>
        <w:t>（4）制定各类环保规章制度</w:t>
      </w:r>
    </w:p>
    <w:p w14:paraId="41C098AE">
      <w:pPr>
        <w:ind w:firstLine="480"/>
      </w:pPr>
      <w:r>
        <w:t>制定全公司的环境方针、环境管理手册及一系列作业指导书，促进全公司的环境保护工作，做到环境保护工作规范化和程序化；通过重要环境因素识别，提出持续改进措施。</w:t>
      </w:r>
    </w:p>
    <w:p w14:paraId="459D6184">
      <w:pPr>
        <w:pStyle w:val="3"/>
        <w:numPr>
          <w:ilvl w:val="1"/>
          <w:numId w:val="1"/>
        </w:numPr>
      </w:pPr>
      <w:bookmarkStart w:id="373" w:name="_Toc20247"/>
      <w:bookmarkStart w:id="374" w:name="_Toc12536"/>
      <w:bookmarkStart w:id="375" w:name="_Toc10227"/>
      <w:r>
        <w:rPr>
          <w:rFonts w:hint="eastAsia"/>
        </w:rPr>
        <w:t>环境管理措施</w:t>
      </w:r>
      <w:bookmarkEnd w:id="373"/>
      <w:bookmarkEnd w:id="374"/>
      <w:bookmarkEnd w:id="375"/>
    </w:p>
    <w:p w14:paraId="0734F739">
      <w:pPr>
        <w:pStyle w:val="4"/>
        <w:numPr>
          <w:ilvl w:val="2"/>
          <w:numId w:val="1"/>
        </w:numPr>
      </w:pPr>
      <w:bookmarkStart w:id="376" w:name="_Toc14246"/>
      <w:r>
        <w:rPr>
          <w:rFonts w:hint="eastAsia"/>
        </w:rPr>
        <w:t>施工期环境管理措施</w:t>
      </w:r>
      <w:bookmarkEnd w:id="376"/>
    </w:p>
    <w:p w14:paraId="0AB6B2A5">
      <w:pPr>
        <w:ind w:firstLine="480"/>
      </w:pPr>
      <w:r>
        <w:rPr>
          <w:rFonts w:hint="eastAsia"/>
        </w:rPr>
        <w:t>施工期应成立相应的环境管理监督小组，成员包括施工单位的环保监督员、施工监理和建设单位的环境管理人员。施工场地内有关施工活动造成的污染和影响的防治措施，由施工单位负责实施，由工程监理单位和建设单位进行检查、监督。</w:t>
      </w:r>
    </w:p>
    <w:p w14:paraId="3974148F">
      <w:pPr>
        <w:ind w:firstLine="480"/>
      </w:pPr>
      <w:r>
        <w:rPr>
          <w:rFonts w:hint="eastAsia"/>
        </w:rPr>
        <w:t>施工期主要由监理工程师对施工过程中各项环保措施的落实情况进行监督，</w:t>
      </w:r>
      <w:r>
        <w:rPr>
          <w:rFonts w:hint="eastAsia"/>
          <w:lang w:eastAsia="zh-CN"/>
        </w:rPr>
        <w:t>生态环境部</w:t>
      </w:r>
      <w:r>
        <w:rPr>
          <w:rFonts w:hint="eastAsia"/>
        </w:rPr>
        <w:t>门进行定期和不定期的检查。对施工中出现的环境问题提出相应的解决办法及建议，切实做到文明施工。对施工中出现的环境纠纷，视情况的复杂程度和纠纷的大小，及时给予解决或协助环保主管部门协调解决。</w:t>
      </w:r>
    </w:p>
    <w:p w14:paraId="6C1E262F">
      <w:pPr>
        <w:ind w:firstLine="480"/>
      </w:pPr>
      <w:r>
        <w:rPr>
          <w:rFonts w:hint="eastAsia"/>
        </w:rPr>
        <w:t>监督小组协助施工单位和建设单位对施工队伍进行与项目有关的环境保护方针、政策、法规、条例及标准的学习与教育，增强施工人员的生态保护意识。贯彻“预防为主、防治结合、因地制宜、综合治理”的指导方针。</w:t>
      </w:r>
    </w:p>
    <w:p w14:paraId="088928F8">
      <w:pPr>
        <w:ind w:firstLine="480"/>
      </w:pPr>
      <w:r>
        <w:rPr>
          <w:rFonts w:hint="eastAsia"/>
        </w:rPr>
        <w:t>施工结束后，监督施工单位对施工场地进行清理，平整土地，积极配合</w:t>
      </w:r>
      <w:r>
        <w:rPr>
          <w:rFonts w:hint="eastAsia"/>
          <w:lang w:eastAsia="zh-CN"/>
        </w:rPr>
        <w:t>生态环境部</w:t>
      </w:r>
      <w:r>
        <w:rPr>
          <w:rFonts w:hint="eastAsia"/>
        </w:rPr>
        <w:t>门和建设单位进行“三同时”验收工作，对环保措施不到位的地方进行督促并整改完善。</w:t>
      </w:r>
    </w:p>
    <w:p w14:paraId="310A128D">
      <w:pPr>
        <w:pStyle w:val="4"/>
        <w:numPr>
          <w:ilvl w:val="2"/>
          <w:numId w:val="1"/>
        </w:numPr>
      </w:pPr>
      <w:bookmarkStart w:id="377" w:name="_Toc2412"/>
      <w:r>
        <w:rPr>
          <w:rFonts w:hint="eastAsia"/>
        </w:rPr>
        <w:t>运营期环境管理措施</w:t>
      </w:r>
      <w:bookmarkEnd w:id="377"/>
    </w:p>
    <w:p w14:paraId="35A74767">
      <w:pPr>
        <w:snapToGrid w:val="0"/>
        <w:ind w:firstLine="480"/>
        <w:rPr>
          <w:rFonts w:cs="Times New Roman"/>
        </w:rPr>
      </w:pPr>
      <w:r>
        <w:rPr>
          <w:rFonts w:cs="Times New Roman"/>
        </w:rPr>
        <w:t>1、落实各项污染防治措施，加强环境保护工作的管理，严格执行环境保护工作规章制度；</w:t>
      </w:r>
    </w:p>
    <w:p w14:paraId="0A95C3C2">
      <w:pPr>
        <w:snapToGrid w:val="0"/>
        <w:ind w:firstLine="480"/>
        <w:rPr>
          <w:rFonts w:cs="Times New Roman"/>
        </w:rPr>
      </w:pPr>
      <w:r>
        <w:rPr>
          <w:rFonts w:cs="Times New Roman"/>
        </w:rPr>
        <w:t>2、建立环保档案，包括环评报告、环保工程验收报告、污染源监测报告、环保设施设备运行管理以及其他环境统计资料；</w:t>
      </w:r>
    </w:p>
    <w:p w14:paraId="5E7AA0AB">
      <w:pPr>
        <w:snapToGrid w:val="0"/>
        <w:ind w:firstLine="480"/>
        <w:rPr>
          <w:rFonts w:cs="Times New Roman"/>
        </w:rPr>
      </w:pPr>
      <w:r>
        <w:rPr>
          <w:rFonts w:cs="Times New Roman"/>
        </w:rPr>
        <w:t xml:space="preserve">3、对设施进行性能测试及综合性能指标评价，确保设施的安全稳定达标运行； </w:t>
      </w:r>
    </w:p>
    <w:p w14:paraId="3B19F684">
      <w:pPr>
        <w:snapToGrid w:val="0"/>
        <w:ind w:firstLine="480"/>
        <w:rPr>
          <w:rFonts w:cs="Times New Roman"/>
        </w:rPr>
      </w:pPr>
      <w:r>
        <w:rPr>
          <w:rFonts w:cs="Times New Roman"/>
        </w:rPr>
        <w:t>4、及时了解国家、地方对本项目的有关环境保护的法律、法规和其它要求，加强与环保行政主管部门的沟通与联系，主动接受其管理、监督和指导。</w:t>
      </w:r>
    </w:p>
    <w:p w14:paraId="6A5EF5A5">
      <w:pPr>
        <w:snapToGrid w:val="0"/>
        <w:ind w:firstLine="480"/>
        <w:rPr>
          <w:rFonts w:cs="Times New Roman"/>
        </w:rPr>
      </w:pPr>
      <w:r>
        <w:rPr>
          <w:rFonts w:cs="Times New Roman"/>
        </w:rPr>
        <w:t xml:space="preserve">5、在设施运行期间制定处置设施运行内部监测计划，建立运行参数和污染物排放的监测记录制度； </w:t>
      </w:r>
    </w:p>
    <w:p w14:paraId="02F98939">
      <w:pPr>
        <w:snapToGrid w:val="0"/>
        <w:ind w:firstLine="480"/>
        <w:rPr>
          <w:rFonts w:cs="Times New Roman"/>
        </w:rPr>
      </w:pPr>
      <w:r>
        <w:rPr>
          <w:rFonts w:cs="Times New Roman"/>
        </w:rPr>
        <w:t>6、积极推进设施运行的远程监控，逐步实现工况参数与当地</w:t>
      </w:r>
      <w:r>
        <w:rPr>
          <w:rFonts w:hint="eastAsia" w:cs="Times New Roman"/>
          <w:lang w:eastAsia="zh-CN"/>
        </w:rPr>
        <w:t>生态环境部</w:t>
      </w:r>
      <w:r>
        <w:rPr>
          <w:rFonts w:cs="Times New Roman"/>
        </w:rPr>
        <w:t xml:space="preserve">门联网显示； </w:t>
      </w:r>
    </w:p>
    <w:p w14:paraId="4265E36D">
      <w:pPr>
        <w:snapToGrid w:val="0"/>
        <w:ind w:firstLine="480"/>
        <w:rPr>
          <w:rFonts w:cs="Times New Roman"/>
        </w:rPr>
      </w:pPr>
      <w:r>
        <w:rPr>
          <w:rFonts w:cs="Times New Roman"/>
        </w:rPr>
        <w:t xml:space="preserve">7、建立、健全操作规范，完善员工操作培训，普及职业安全和劳动卫生教育宣传； </w:t>
      </w:r>
    </w:p>
    <w:p w14:paraId="70066928">
      <w:pPr>
        <w:snapToGrid w:val="0"/>
        <w:ind w:firstLine="480"/>
        <w:rPr>
          <w:rFonts w:cs="Times New Roman"/>
        </w:rPr>
      </w:pPr>
      <w:r>
        <w:rPr>
          <w:rFonts w:cs="Times New Roman"/>
        </w:rPr>
        <w:t xml:space="preserve">8、在废气处理系统等重要位置，设置在线检测装置； </w:t>
      </w:r>
    </w:p>
    <w:p w14:paraId="39B9A8AE">
      <w:pPr>
        <w:snapToGrid w:val="0"/>
        <w:ind w:firstLine="480"/>
        <w:rPr>
          <w:rFonts w:cs="Times New Roman"/>
        </w:rPr>
      </w:pPr>
      <w:r>
        <w:rPr>
          <w:rFonts w:cs="Times New Roman"/>
        </w:rPr>
        <w:t>9、废气处理系统设自动报警系统，正常运行范围以及主要辅机设备发生故障等报警内容，紧急状态下应具备停止排风的功能。</w:t>
      </w:r>
    </w:p>
    <w:p w14:paraId="2312EE26">
      <w:pPr>
        <w:snapToGrid w:val="0"/>
        <w:ind w:firstLine="480"/>
        <w:rPr>
          <w:rFonts w:hint="eastAsia" w:cs="Times New Roman"/>
          <w:lang w:val="en-US" w:eastAsia="zh-CN"/>
        </w:rPr>
      </w:pPr>
      <w:r>
        <w:rPr>
          <w:rFonts w:hint="eastAsia" w:cs="Times New Roman"/>
          <w:lang w:val="en-US" w:eastAsia="zh-CN"/>
        </w:rPr>
        <w:t>10、按照《</w:t>
      </w:r>
      <w:r>
        <w:rPr>
          <w:rFonts w:hint="eastAsia" w:cs="Times New Roman"/>
        </w:rPr>
        <w:t>高氯酸盐生产企业专项治理指导意见（暂行）</w:t>
      </w:r>
      <w:r>
        <w:rPr>
          <w:rFonts w:hint="eastAsia" w:cs="Times New Roman"/>
          <w:lang w:val="en-US" w:eastAsia="zh-CN"/>
        </w:rPr>
        <w:t>》相关要求，落实各项管理措施，具体见表1.4-3。</w:t>
      </w:r>
    </w:p>
    <w:p w14:paraId="59738BE9">
      <w:pPr>
        <w:pStyle w:val="4"/>
        <w:numPr>
          <w:ilvl w:val="2"/>
          <w:numId w:val="1"/>
        </w:numPr>
      </w:pPr>
      <w:bookmarkStart w:id="378" w:name="_Toc6510"/>
      <w:r>
        <w:rPr>
          <w:rFonts w:hint="eastAsia"/>
        </w:rPr>
        <w:t>实施排污口规范化建设</w:t>
      </w:r>
      <w:bookmarkEnd w:id="378"/>
    </w:p>
    <w:p w14:paraId="0250466C">
      <w:pPr>
        <w:ind w:firstLine="480"/>
      </w:pPr>
      <w:r>
        <w:rPr>
          <w:rFonts w:hint="eastAsia"/>
        </w:rPr>
        <w:t>根据国家及省市生态环境主管部门的有关文件精神，本项目污染物排放口必须实行排污口规范化建设，该项工作是实施污染物总量控制的基础性工作之一。通过对排污口规范化建设，能够促进企业加强环境管理和污染治理；有利于加强对污染源的监督管理，逐步实现污染物排放的科学化、定量化管理；提高人们的环境意识，保护和改善环境质量。</w:t>
      </w:r>
    </w:p>
    <w:p w14:paraId="50252638">
      <w:pPr>
        <w:ind w:firstLine="480"/>
      </w:pPr>
      <w:r>
        <w:rPr>
          <w:rFonts w:hint="eastAsia"/>
        </w:rPr>
        <w:t>排污口规范化建设技术要求：1.按照相关要求规范排污口建设。2.按照《环境保护图形标志 排放口（源）》（GB15562.1-1995）及《环境保护图形标志 固体废物贮存（处置）场》（GB15562.2-1995）的规定，规范化的排污口应设置相应的环境保护图形标志牌。3.按要求填写由</w:t>
      </w:r>
      <w:r>
        <w:rPr>
          <w:rFonts w:hint="eastAsia"/>
          <w:lang w:eastAsia="zh-CN"/>
        </w:rPr>
        <w:t>生态环境部</w:t>
      </w:r>
      <w:r>
        <w:rPr>
          <w:rFonts w:hint="eastAsia"/>
        </w:rPr>
        <w:t>统一印制的《中华人民共和国规范化排污口标志登记证》并根据登记证的内容建立排污口档案。4.规范化整治排污口有关设施属于环境保护设施，公司应将其纳入其设备管理，并选派责任心强、有专业知识和技能的专、兼职人员对排污口进行管理。</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7"/>
        <w:gridCol w:w="2345"/>
        <w:gridCol w:w="2060"/>
        <w:gridCol w:w="2060"/>
      </w:tblGrid>
      <w:tr w14:paraId="5F83C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057" w:type="dxa"/>
            <w:vAlign w:val="center"/>
          </w:tcPr>
          <w:p w14:paraId="6417070F">
            <w:pPr>
              <w:pStyle w:val="45"/>
              <w:rPr>
                <w:rFonts w:hint="default"/>
                <w:b/>
                <w:bCs/>
              </w:rPr>
            </w:pPr>
            <w:r>
              <w:rPr>
                <w:b/>
                <w:bCs/>
              </w:rPr>
              <w:t>排放口</w:t>
            </w:r>
          </w:p>
        </w:tc>
        <w:tc>
          <w:tcPr>
            <w:tcW w:w="2345" w:type="dxa"/>
            <w:vAlign w:val="center"/>
          </w:tcPr>
          <w:p w14:paraId="39CB47A5">
            <w:pPr>
              <w:pStyle w:val="45"/>
              <w:rPr>
                <w:rFonts w:hint="default"/>
                <w:b/>
                <w:bCs/>
              </w:rPr>
            </w:pPr>
            <w:r>
              <w:rPr>
                <w:b/>
                <w:bCs/>
              </w:rPr>
              <w:t>图形符号</w:t>
            </w:r>
          </w:p>
        </w:tc>
        <w:tc>
          <w:tcPr>
            <w:tcW w:w="2060" w:type="dxa"/>
            <w:vAlign w:val="center"/>
          </w:tcPr>
          <w:p w14:paraId="7B3A4D43">
            <w:pPr>
              <w:pStyle w:val="45"/>
              <w:rPr>
                <w:rFonts w:hint="default"/>
                <w:b/>
                <w:bCs/>
              </w:rPr>
            </w:pPr>
            <w:r>
              <w:rPr>
                <w:b/>
                <w:bCs/>
              </w:rPr>
              <w:t>背景颜色</w:t>
            </w:r>
          </w:p>
        </w:tc>
        <w:tc>
          <w:tcPr>
            <w:tcW w:w="2060" w:type="dxa"/>
            <w:vAlign w:val="center"/>
          </w:tcPr>
          <w:p w14:paraId="18689DEA">
            <w:pPr>
              <w:pStyle w:val="45"/>
              <w:rPr>
                <w:rFonts w:hint="default"/>
                <w:b/>
                <w:bCs/>
              </w:rPr>
            </w:pPr>
            <w:r>
              <w:rPr>
                <w:b/>
                <w:bCs/>
              </w:rPr>
              <w:t>图形颜色</w:t>
            </w:r>
          </w:p>
        </w:tc>
      </w:tr>
      <w:tr w14:paraId="7E147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5" w:hRule="atLeast"/>
        </w:trPr>
        <w:tc>
          <w:tcPr>
            <w:tcW w:w="2057" w:type="dxa"/>
            <w:vAlign w:val="center"/>
          </w:tcPr>
          <w:p w14:paraId="03AB1948">
            <w:pPr>
              <w:pStyle w:val="45"/>
              <w:rPr>
                <w:rFonts w:hint="default"/>
              </w:rPr>
            </w:pPr>
            <w:r>
              <w:t>废水</w:t>
            </w:r>
          </w:p>
        </w:tc>
        <w:tc>
          <w:tcPr>
            <w:tcW w:w="2345" w:type="dxa"/>
            <w:vAlign w:val="center"/>
          </w:tcPr>
          <w:p w14:paraId="29D06FC9">
            <w:pPr>
              <w:pStyle w:val="45"/>
              <w:rPr>
                <w:rFonts w:hint="default"/>
              </w:rPr>
            </w:pPr>
            <w:r>
              <w:drawing>
                <wp:inline distT="0" distB="0" distL="114300" distR="114300">
                  <wp:extent cx="942975" cy="942975"/>
                  <wp:effectExtent l="0" t="0" r="9525" b="9525"/>
                  <wp:docPr id="3" name="图片 4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776"/>
                          <pic:cNvPicPr>
                            <a:picLocks noChangeAspect="1"/>
                          </pic:cNvPicPr>
                        </pic:nvPicPr>
                        <pic:blipFill>
                          <a:blip r:embed="rId191" cstate="print"/>
                          <a:stretch>
                            <a:fillRect/>
                          </a:stretch>
                        </pic:blipFill>
                        <pic:spPr>
                          <a:xfrm>
                            <a:off x="0" y="0"/>
                            <a:ext cx="942975" cy="942975"/>
                          </a:xfrm>
                          <a:prstGeom prst="rect">
                            <a:avLst/>
                          </a:prstGeom>
                          <a:noFill/>
                          <a:ln>
                            <a:noFill/>
                          </a:ln>
                        </pic:spPr>
                      </pic:pic>
                    </a:graphicData>
                  </a:graphic>
                </wp:inline>
              </w:drawing>
            </w:r>
          </w:p>
        </w:tc>
        <w:tc>
          <w:tcPr>
            <w:tcW w:w="2060" w:type="dxa"/>
            <w:vAlign w:val="center"/>
          </w:tcPr>
          <w:p w14:paraId="368334F6">
            <w:pPr>
              <w:pStyle w:val="45"/>
              <w:rPr>
                <w:rFonts w:hint="default"/>
              </w:rPr>
            </w:pPr>
            <w:r>
              <w:t>绿色</w:t>
            </w:r>
          </w:p>
        </w:tc>
        <w:tc>
          <w:tcPr>
            <w:tcW w:w="2060" w:type="dxa"/>
            <w:vAlign w:val="center"/>
          </w:tcPr>
          <w:p w14:paraId="37BF384A">
            <w:pPr>
              <w:pStyle w:val="45"/>
              <w:rPr>
                <w:rFonts w:hint="default"/>
              </w:rPr>
            </w:pPr>
            <w:r>
              <w:t>白色</w:t>
            </w:r>
          </w:p>
        </w:tc>
      </w:tr>
      <w:tr w14:paraId="63A27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7" w:type="dxa"/>
            <w:vAlign w:val="center"/>
          </w:tcPr>
          <w:p w14:paraId="5C2A8851">
            <w:pPr>
              <w:pStyle w:val="45"/>
              <w:rPr>
                <w:rFonts w:hint="default"/>
              </w:rPr>
            </w:pPr>
            <w:r>
              <w:t>废气</w:t>
            </w:r>
          </w:p>
        </w:tc>
        <w:tc>
          <w:tcPr>
            <w:tcW w:w="2345" w:type="dxa"/>
            <w:vAlign w:val="center"/>
          </w:tcPr>
          <w:p w14:paraId="3B360676">
            <w:pPr>
              <w:pStyle w:val="45"/>
              <w:rPr>
                <w:rFonts w:hint="default"/>
              </w:rPr>
            </w:pPr>
            <w:r>
              <w:drawing>
                <wp:inline distT="0" distB="0" distL="114300" distR="114300">
                  <wp:extent cx="933450" cy="933450"/>
                  <wp:effectExtent l="0" t="0" r="0" b="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92" cstate="print"/>
                          <a:stretch>
                            <a:fillRect/>
                          </a:stretch>
                        </pic:blipFill>
                        <pic:spPr>
                          <a:xfrm>
                            <a:off x="0" y="0"/>
                            <a:ext cx="933450" cy="933450"/>
                          </a:xfrm>
                          <a:prstGeom prst="rect">
                            <a:avLst/>
                          </a:prstGeom>
                          <a:noFill/>
                          <a:ln>
                            <a:noFill/>
                          </a:ln>
                        </pic:spPr>
                      </pic:pic>
                    </a:graphicData>
                  </a:graphic>
                </wp:inline>
              </w:drawing>
            </w:r>
          </w:p>
        </w:tc>
        <w:tc>
          <w:tcPr>
            <w:tcW w:w="2060" w:type="dxa"/>
            <w:vAlign w:val="center"/>
          </w:tcPr>
          <w:p w14:paraId="77391141">
            <w:pPr>
              <w:pStyle w:val="45"/>
              <w:rPr>
                <w:rFonts w:hint="default"/>
              </w:rPr>
            </w:pPr>
            <w:r>
              <w:t>绿色</w:t>
            </w:r>
          </w:p>
        </w:tc>
        <w:tc>
          <w:tcPr>
            <w:tcW w:w="2060" w:type="dxa"/>
            <w:vAlign w:val="center"/>
          </w:tcPr>
          <w:p w14:paraId="2AF27FEA">
            <w:pPr>
              <w:pStyle w:val="45"/>
              <w:rPr>
                <w:rFonts w:hint="default"/>
              </w:rPr>
            </w:pPr>
            <w:r>
              <w:t>白色</w:t>
            </w:r>
          </w:p>
        </w:tc>
      </w:tr>
      <w:tr w14:paraId="66DE7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7" w:type="dxa"/>
            <w:vAlign w:val="center"/>
          </w:tcPr>
          <w:p w14:paraId="40A7D96D">
            <w:pPr>
              <w:pStyle w:val="45"/>
              <w:rPr>
                <w:rFonts w:hint="default"/>
              </w:rPr>
            </w:pPr>
            <w:r>
              <w:t>噪声</w:t>
            </w:r>
          </w:p>
        </w:tc>
        <w:tc>
          <w:tcPr>
            <w:tcW w:w="2345" w:type="dxa"/>
            <w:vAlign w:val="center"/>
          </w:tcPr>
          <w:p w14:paraId="1AE2C72B">
            <w:pPr>
              <w:pStyle w:val="45"/>
              <w:rPr>
                <w:rFonts w:hint="default"/>
              </w:rPr>
            </w:pPr>
            <w:r>
              <w:drawing>
                <wp:inline distT="0" distB="0" distL="114300" distR="114300">
                  <wp:extent cx="933450" cy="933450"/>
                  <wp:effectExtent l="0" t="0" r="0" b="0"/>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193" cstate="print"/>
                          <a:stretch>
                            <a:fillRect/>
                          </a:stretch>
                        </pic:blipFill>
                        <pic:spPr>
                          <a:xfrm>
                            <a:off x="0" y="0"/>
                            <a:ext cx="933450" cy="933450"/>
                          </a:xfrm>
                          <a:prstGeom prst="rect">
                            <a:avLst/>
                          </a:prstGeom>
                          <a:noFill/>
                          <a:ln>
                            <a:noFill/>
                          </a:ln>
                        </pic:spPr>
                      </pic:pic>
                    </a:graphicData>
                  </a:graphic>
                </wp:inline>
              </w:drawing>
            </w:r>
          </w:p>
        </w:tc>
        <w:tc>
          <w:tcPr>
            <w:tcW w:w="2060" w:type="dxa"/>
            <w:vAlign w:val="center"/>
          </w:tcPr>
          <w:p w14:paraId="7A2F0AB5">
            <w:pPr>
              <w:pStyle w:val="45"/>
              <w:rPr>
                <w:rFonts w:hint="default"/>
              </w:rPr>
            </w:pPr>
            <w:r>
              <w:t>绿色</w:t>
            </w:r>
          </w:p>
        </w:tc>
        <w:tc>
          <w:tcPr>
            <w:tcW w:w="2060" w:type="dxa"/>
            <w:vAlign w:val="center"/>
          </w:tcPr>
          <w:p w14:paraId="3127C115">
            <w:pPr>
              <w:pStyle w:val="45"/>
              <w:rPr>
                <w:rFonts w:hint="default"/>
              </w:rPr>
            </w:pPr>
            <w:r>
              <w:t>白色</w:t>
            </w:r>
          </w:p>
        </w:tc>
      </w:tr>
      <w:tr w14:paraId="7DC10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7" w:type="dxa"/>
            <w:vAlign w:val="center"/>
          </w:tcPr>
          <w:p w14:paraId="2B2E9B03">
            <w:pPr>
              <w:pStyle w:val="45"/>
              <w:rPr>
                <w:rFonts w:hint="default"/>
              </w:rPr>
            </w:pPr>
            <w:r>
              <w:t>一般固废</w:t>
            </w:r>
          </w:p>
        </w:tc>
        <w:tc>
          <w:tcPr>
            <w:tcW w:w="2345" w:type="dxa"/>
            <w:vAlign w:val="center"/>
          </w:tcPr>
          <w:p w14:paraId="105A14B9">
            <w:pPr>
              <w:pStyle w:val="45"/>
              <w:rPr>
                <w:rFonts w:hint="default"/>
              </w:rPr>
            </w:pPr>
            <w:r>
              <w:drawing>
                <wp:inline distT="0" distB="0" distL="114300" distR="114300">
                  <wp:extent cx="952500" cy="984885"/>
                  <wp:effectExtent l="0" t="0" r="0" b="571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94" cstate="print"/>
                          <a:stretch>
                            <a:fillRect/>
                          </a:stretch>
                        </pic:blipFill>
                        <pic:spPr>
                          <a:xfrm>
                            <a:off x="0" y="0"/>
                            <a:ext cx="952500" cy="984885"/>
                          </a:xfrm>
                          <a:prstGeom prst="rect">
                            <a:avLst/>
                          </a:prstGeom>
                          <a:noFill/>
                          <a:ln>
                            <a:noFill/>
                          </a:ln>
                        </pic:spPr>
                      </pic:pic>
                    </a:graphicData>
                  </a:graphic>
                </wp:inline>
              </w:drawing>
            </w:r>
          </w:p>
        </w:tc>
        <w:tc>
          <w:tcPr>
            <w:tcW w:w="2060" w:type="dxa"/>
            <w:vAlign w:val="center"/>
          </w:tcPr>
          <w:p w14:paraId="1214B38A">
            <w:pPr>
              <w:pStyle w:val="45"/>
              <w:rPr>
                <w:rFonts w:hint="default"/>
              </w:rPr>
            </w:pPr>
            <w:r>
              <w:t>绿色</w:t>
            </w:r>
          </w:p>
        </w:tc>
        <w:tc>
          <w:tcPr>
            <w:tcW w:w="2060" w:type="dxa"/>
            <w:vAlign w:val="center"/>
          </w:tcPr>
          <w:p w14:paraId="395F8885">
            <w:pPr>
              <w:pStyle w:val="45"/>
              <w:rPr>
                <w:rFonts w:hint="default"/>
              </w:rPr>
            </w:pPr>
            <w:r>
              <w:t>白色</w:t>
            </w:r>
          </w:p>
        </w:tc>
      </w:tr>
      <w:tr w14:paraId="76210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7" w:type="dxa"/>
            <w:vAlign w:val="center"/>
          </w:tcPr>
          <w:p w14:paraId="3D90E790">
            <w:pPr>
              <w:pStyle w:val="45"/>
              <w:rPr>
                <w:rFonts w:hint="default"/>
              </w:rPr>
            </w:pPr>
            <w:r>
              <w:t>危险废物</w:t>
            </w:r>
          </w:p>
        </w:tc>
        <w:tc>
          <w:tcPr>
            <w:tcW w:w="2345" w:type="dxa"/>
            <w:vAlign w:val="center"/>
          </w:tcPr>
          <w:p w14:paraId="6E8F83B4">
            <w:pPr>
              <w:pStyle w:val="45"/>
              <w:rPr>
                <w:rFonts w:hint="default"/>
              </w:rPr>
            </w:pPr>
            <w:r>
              <w:drawing>
                <wp:inline distT="0" distB="0" distL="114300" distR="114300">
                  <wp:extent cx="965200" cy="1014095"/>
                  <wp:effectExtent l="0" t="0" r="0" b="1905"/>
                  <wp:docPr id="76" name="图片 76" descr="8)FUI$N`4JX{X0$EILF]@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8)FUI$N`4JX{X0$EILF]@PM"/>
                          <pic:cNvPicPr>
                            <a:picLocks noChangeAspect="1"/>
                          </pic:cNvPicPr>
                        </pic:nvPicPr>
                        <pic:blipFill>
                          <a:blip r:embed="rId195"/>
                          <a:stretch>
                            <a:fillRect/>
                          </a:stretch>
                        </pic:blipFill>
                        <pic:spPr>
                          <a:xfrm>
                            <a:off x="0" y="0"/>
                            <a:ext cx="965200" cy="1014095"/>
                          </a:xfrm>
                          <a:prstGeom prst="rect">
                            <a:avLst/>
                          </a:prstGeom>
                        </pic:spPr>
                      </pic:pic>
                    </a:graphicData>
                  </a:graphic>
                </wp:inline>
              </w:drawing>
            </w:r>
          </w:p>
        </w:tc>
        <w:tc>
          <w:tcPr>
            <w:tcW w:w="2060" w:type="dxa"/>
            <w:vAlign w:val="center"/>
          </w:tcPr>
          <w:p w14:paraId="53952CFF">
            <w:pPr>
              <w:pStyle w:val="45"/>
              <w:rPr>
                <w:rFonts w:hint="default"/>
              </w:rPr>
            </w:pPr>
            <w:r>
              <w:t>黄色</w:t>
            </w:r>
          </w:p>
        </w:tc>
        <w:tc>
          <w:tcPr>
            <w:tcW w:w="2060" w:type="dxa"/>
            <w:vAlign w:val="center"/>
          </w:tcPr>
          <w:p w14:paraId="6CE85CEA">
            <w:pPr>
              <w:pStyle w:val="45"/>
              <w:rPr>
                <w:rFonts w:hint="default"/>
              </w:rPr>
            </w:pPr>
            <w:r>
              <w:t>黑色</w:t>
            </w:r>
          </w:p>
        </w:tc>
      </w:tr>
    </w:tbl>
    <w:p w14:paraId="2D009DE7">
      <w:pPr>
        <w:pStyle w:val="42"/>
        <w:numPr>
          <w:ilvl w:val="6"/>
          <w:numId w:val="1"/>
        </w:numPr>
        <w:rPr>
          <w:rFonts w:hint="default"/>
        </w:rPr>
      </w:pPr>
      <w:r>
        <w:t>排污口图形标志</w:t>
      </w:r>
    </w:p>
    <w:p w14:paraId="0F9FC2A8">
      <w:pPr>
        <w:spacing w:line="240" w:lineRule="auto"/>
        <w:rPr>
          <w:rFonts w:hint="default"/>
        </w:rPr>
      </w:pPr>
    </w:p>
    <w:p w14:paraId="18762C3B">
      <w:pPr>
        <w:pStyle w:val="3"/>
        <w:numPr>
          <w:ilvl w:val="1"/>
          <w:numId w:val="1"/>
        </w:numPr>
      </w:pPr>
      <w:bookmarkStart w:id="379" w:name="_Toc10275"/>
      <w:bookmarkStart w:id="380" w:name="_Toc11368"/>
      <w:bookmarkStart w:id="381" w:name="_Toc19013"/>
      <w:r>
        <w:rPr>
          <w:rFonts w:hint="eastAsia"/>
        </w:rPr>
        <w:t>环境监测计划</w:t>
      </w:r>
      <w:bookmarkEnd w:id="379"/>
      <w:bookmarkEnd w:id="380"/>
      <w:bookmarkEnd w:id="381"/>
    </w:p>
    <w:p w14:paraId="038D4D0A">
      <w:pPr>
        <w:pStyle w:val="4"/>
        <w:numPr>
          <w:ilvl w:val="2"/>
          <w:numId w:val="1"/>
        </w:numPr>
      </w:pPr>
      <w:bookmarkStart w:id="382" w:name="_Toc7382"/>
      <w:r>
        <w:rPr>
          <w:rFonts w:hint="eastAsia"/>
        </w:rPr>
        <w:t>运营期环境监测计划</w:t>
      </w:r>
      <w:bookmarkEnd w:id="382"/>
    </w:p>
    <w:p w14:paraId="41DDCE31">
      <w:pPr>
        <w:ind w:firstLine="480"/>
      </w:pPr>
      <w:r>
        <w:rPr>
          <w:rFonts w:hint="eastAsia"/>
        </w:rPr>
        <w:t>本项目运营期环境监测计划包括污染源监测计划和环境质量监测计划。</w:t>
      </w:r>
    </w:p>
    <w:p w14:paraId="69700312">
      <w:pPr>
        <w:ind w:firstLine="482"/>
        <w:rPr>
          <w:b/>
          <w:bCs/>
        </w:rPr>
      </w:pPr>
      <w:bookmarkStart w:id="383" w:name="_Toc7891"/>
      <w:r>
        <w:rPr>
          <w:rFonts w:hint="eastAsia"/>
          <w:b/>
          <w:bCs/>
        </w:rPr>
        <w:t>（1）污染源监测计划</w:t>
      </w:r>
      <w:bookmarkEnd w:id="383"/>
    </w:p>
    <w:p w14:paraId="6E7B38B1">
      <w:pPr>
        <w:ind w:firstLine="480"/>
      </w:pPr>
      <w:r>
        <w:rPr>
          <w:rFonts w:hint="eastAsia"/>
        </w:rPr>
        <w:t>本项目根据《排污单位自行监测技术指南 总则》（HJ819—2017）、《排污许可申请与核发技术规范 无机化学工业》（HJ 1035-2019）相关要求制定污染源自行监测计划。所有监测项目的采样和分析方法应严格按照污染源监测相关技术规范要求进行。具体详见下表。</w:t>
      </w:r>
    </w:p>
    <w:p w14:paraId="311DA2F7">
      <w:pPr>
        <w:pStyle w:val="43"/>
        <w:numPr>
          <w:ilvl w:val="5"/>
          <w:numId w:val="1"/>
        </w:numPr>
        <w:rPr>
          <w:rFonts w:hint="default"/>
        </w:rPr>
      </w:pPr>
      <w:r>
        <w:t>本项目运营期污染源监测计划</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5"/>
        <w:gridCol w:w="1725"/>
        <w:gridCol w:w="2306"/>
        <w:gridCol w:w="1331"/>
        <w:gridCol w:w="2235"/>
      </w:tblGrid>
      <w:tr w14:paraId="25AC9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tblHeader/>
        </w:trPr>
        <w:tc>
          <w:tcPr>
            <w:tcW w:w="925" w:type="dxa"/>
            <w:vAlign w:val="center"/>
          </w:tcPr>
          <w:p w14:paraId="56EE6A43">
            <w:pPr>
              <w:pStyle w:val="45"/>
              <w:rPr>
                <w:rFonts w:hint="default"/>
                <w:b/>
                <w:bCs/>
              </w:rPr>
            </w:pPr>
            <w:r>
              <w:rPr>
                <w:b/>
                <w:bCs/>
              </w:rPr>
              <w:t>污染类别</w:t>
            </w:r>
          </w:p>
        </w:tc>
        <w:tc>
          <w:tcPr>
            <w:tcW w:w="1725" w:type="dxa"/>
            <w:vAlign w:val="center"/>
          </w:tcPr>
          <w:p w14:paraId="64B53AC1">
            <w:pPr>
              <w:pStyle w:val="45"/>
              <w:rPr>
                <w:rFonts w:hint="default"/>
                <w:b/>
                <w:bCs/>
              </w:rPr>
            </w:pPr>
            <w:r>
              <w:rPr>
                <w:b/>
                <w:bCs/>
              </w:rPr>
              <w:t>监测位置</w:t>
            </w:r>
          </w:p>
        </w:tc>
        <w:tc>
          <w:tcPr>
            <w:tcW w:w="2306" w:type="dxa"/>
            <w:vAlign w:val="center"/>
          </w:tcPr>
          <w:p w14:paraId="50CE68D5">
            <w:pPr>
              <w:pStyle w:val="45"/>
              <w:rPr>
                <w:rFonts w:hint="default"/>
                <w:b/>
                <w:bCs/>
              </w:rPr>
            </w:pPr>
            <w:r>
              <w:rPr>
                <w:b/>
                <w:bCs/>
              </w:rPr>
              <w:t>监测项目</w:t>
            </w:r>
          </w:p>
        </w:tc>
        <w:tc>
          <w:tcPr>
            <w:tcW w:w="1331" w:type="dxa"/>
            <w:vAlign w:val="center"/>
          </w:tcPr>
          <w:p w14:paraId="61E8AE4C">
            <w:pPr>
              <w:pStyle w:val="45"/>
              <w:rPr>
                <w:rFonts w:hint="default"/>
                <w:b/>
                <w:bCs/>
              </w:rPr>
            </w:pPr>
            <w:r>
              <w:rPr>
                <w:b/>
                <w:bCs/>
              </w:rPr>
              <w:t>监测频次</w:t>
            </w:r>
          </w:p>
        </w:tc>
        <w:tc>
          <w:tcPr>
            <w:tcW w:w="2235" w:type="dxa"/>
            <w:vAlign w:val="center"/>
          </w:tcPr>
          <w:p w14:paraId="3E942172">
            <w:pPr>
              <w:pStyle w:val="45"/>
              <w:rPr>
                <w:rFonts w:hint="default"/>
                <w:b/>
                <w:bCs/>
              </w:rPr>
            </w:pPr>
            <w:r>
              <w:rPr>
                <w:b/>
                <w:bCs/>
              </w:rPr>
              <w:t>执行标准</w:t>
            </w:r>
          </w:p>
        </w:tc>
      </w:tr>
      <w:tr w14:paraId="39BF8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5" w:type="dxa"/>
            <w:vMerge w:val="restart"/>
            <w:vAlign w:val="center"/>
          </w:tcPr>
          <w:p w14:paraId="6D403BCC">
            <w:pPr>
              <w:pStyle w:val="45"/>
              <w:rPr>
                <w:rFonts w:hint="default"/>
              </w:rPr>
            </w:pPr>
            <w:r>
              <w:t>废气（有组织）</w:t>
            </w:r>
          </w:p>
        </w:tc>
        <w:tc>
          <w:tcPr>
            <w:tcW w:w="1725" w:type="dxa"/>
            <w:vAlign w:val="center"/>
          </w:tcPr>
          <w:p w14:paraId="2AA514A2">
            <w:pPr>
              <w:pStyle w:val="45"/>
              <w:rPr>
                <w:rFonts w:hint="default"/>
              </w:rPr>
            </w:pPr>
            <w:r>
              <w:rPr>
                <w:rFonts w:hint="eastAsia"/>
                <w:lang w:val="en-US" w:eastAsia="zh-CN"/>
              </w:rPr>
              <w:t>一次</w:t>
            </w:r>
            <w:r>
              <w:t>电解尾气排气筒#DA001</w:t>
            </w:r>
          </w:p>
        </w:tc>
        <w:tc>
          <w:tcPr>
            <w:tcW w:w="2306" w:type="dxa"/>
            <w:vAlign w:val="center"/>
          </w:tcPr>
          <w:p w14:paraId="43434399">
            <w:pPr>
              <w:pStyle w:val="45"/>
              <w:rPr>
                <w:rFonts w:hint="default"/>
              </w:rPr>
            </w:pPr>
            <w:r>
              <w:t>氯气、氯化氢</w:t>
            </w:r>
          </w:p>
        </w:tc>
        <w:tc>
          <w:tcPr>
            <w:tcW w:w="1331" w:type="dxa"/>
            <w:vAlign w:val="center"/>
          </w:tcPr>
          <w:p w14:paraId="0BEDB174">
            <w:pPr>
              <w:pStyle w:val="45"/>
              <w:rPr>
                <w:rFonts w:hint="default"/>
              </w:rPr>
            </w:pPr>
            <w:r>
              <w:t>每季度一次</w:t>
            </w:r>
          </w:p>
        </w:tc>
        <w:tc>
          <w:tcPr>
            <w:tcW w:w="2235" w:type="dxa"/>
            <w:vMerge w:val="restart"/>
            <w:vAlign w:val="center"/>
          </w:tcPr>
          <w:p w14:paraId="42FC452C">
            <w:pPr>
              <w:pStyle w:val="45"/>
              <w:rPr>
                <w:rFonts w:hint="default"/>
              </w:rPr>
            </w:pPr>
            <w:r>
              <w:rPr>
                <w:rFonts w:hint="default"/>
              </w:rPr>
              <w:t>《无机化学工业污染物排放标准》（GB31573-2015）表3</w:t>
            </w:r>
          </w:p>
        </w:tc>
      </w:tr>
      <w:tr w14:paraId="2DE90A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5" w:type="dxa"/>
            <w:vMerge w:val="continue"/>
            <w:vAlign w:val="center"/>
          </w:tcPr>
          <w:p w14:paraId="0FDD2F7A">
            <w:pPr>
              <w:pStyle w:val="45"/>
              <w:rPr>
                <w:rFonts w:hint="default"/>
              </w:rPr>
            </w:pPr>
          </w:p>
        </w:tc>
        <w:tc>
          <w:tcPr>
            <w:tcW w:w="1725" w:type="dxa"/>
            <w:vAlign w:val="center"/>
          </w:tcPr>
          <w:p w14:paraId="212A1328">
            <w:pPr>
              <w:pStyle w:val="45"/>
              <w:rPr>
                <w:rFonts w:hint="default"/>
              </w:rPr>
            </w:pPr>
            <w:r>
              <w:t>除次钠尾气排气筒#DA002</w:t>
            </w:r>
          </w:p>
        </w:tc>
        <w:tc>
          <w:tcPr>
            <w:tcW w:w="2306" w:type="dxa"/>
            <w:vAlign w:val="center"/>
          </w:tcPr>
          <w:p w14:paraId="482E8ACB">
            <w:pPr>
              <w:pStyle w:val="45"/>
              <w:rPr>
                <w:rFonts w:hint="default"/>
              </w:rPr>
            </w:pPr>
            <w:r>
              <w:t>氯气、氯化氢</w:t>
            </w:r>
          </w:p>
        </w:tc>
        <w:tc>
          <w:tcPr>
            <w:tcW w:w="1331" w:type="dxa"/>
            <w:vAlign w:val="center"/>
          </w:tcPr>
          <w:p w14:paraId="649293CD">
            <w:pPr>
              <w:pStyle w:val="45"/>
              <w:rPr>
                <w:rFonts w:hint="default"/>
              </w:rPr>
            </w:pPr>
            <w:r>
              <w:t>每季度一次</w:t>
            </w:r>
          </w:p>
        </w:tc>
        <w:tc>
          <w:tcPr>
            <w:tcW w:w="2235" w:type="dxa"/>
            <w:vMerge w:val="continue"/>
            <w:vAlign w:val="center"/>
          </w:tcPr>
          <w:p w14:paraId="3E42BE3A">
            <w:pPr>
              <w:pStyle w:val="45"/>
              <w:rPr>
                <w:rFonts w:hint="default"/>
              </w:rPr>
            </w:pPr>
          </w:p>
        </w:tc>
      </w:tr>
      <w:tr w14:paraId="2770F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5" w:type="dxa"/>
            <w:vMerge w:val="continue"/>
            <w:vAlign w:val="center"/>
          </w:tcPr>
          <w:p w14:paraId="532378F3">
            <w:pPr>
              <w:pStyle w:val="45"/>
              <w:rPr>
                <w:rFonts w:hint="default"/>
              </w:rPr>
            </w:pPr>
          </w:p>
        </w:tc>
        <w:tc>
          <w:tcPr>
            <w:tcW w:w="1725" w:type="dxa"/>
            <w:vAlign w:val="center"/>
          </w:tcPr>
          <w:p w14:paraId="44E70CEF">
            <w:pPr>
              <w:pStyle w:val="45"/>
              <w:rPr>
                <w:rFonts w:hint="default"/>
              </w:rPr>
            </w:pPr>
            <w:r>
              <w:rPr>
                <w:rFonts w:hint="eastAsia"/>
                <w:lang w:val="en-US" w:eastAsia="zh-CN"/>
              </w:rPr>
              <w:t>二次</w:t>
            </w:r>
            <w:r>
              <w:t>电解尾气排气筒#DA003</w:t>
            </w:r>
          </w:p>
        </w:tc>
        <w:tc>
          <w:tcPr>
            <w:tcW w:w="2306" w:type="dxa"/>
            <w:vAlign w:val="center"/>
          </w:tcPr>
          <w:p w14:paraId="2AC1DDEF">
            <w:pPr>
              <w:pStyle w:val="45"/>
              <w:rPr>
                <w:rFonts w:hint="default"/>
              </w:rPr>
            </w:pPr>
            <w:r>
              <w:t>氯气、氯化氢</w:t>
            </w:r>
          </w:p>
        </w:tc>
        <w:tc>
          <w:tcPr>
            <w:tcW w:w="1331" w:type="dxa"/>
            <w:vAlign w:val="center"/>
          </w:tcPr>
          <w:p w14:paraId="74D6087D">
            <w:pPr>
              <w:pStyle w:val="45"/>
              <w:rPr>
                <w:rFonts w:hint="default"/>
              </w:rPr>
            </w:pPr>
            <w:r>
              <w:t>每季度一次</w:t>
            </w:r>
          </w:p>
        </w:tc>
        <w:tc>
          <w:tcPr>
            <w:tcW w:w="2235" w:type="dxa"/>
            <w:vMerge w:val="continue"/>
            <w:vAlign w:val="center"/>
          </w:tcPr>
          <w:p w14:paraId="1A1264FE">
            <w:pPr>
              <w:pStyle w:val="45"/>
              <w:rPr>
                <w:rFonts w:hint="default"/>
              </w:rPr>
            </w:pPr>
          </w:p>
        </w:tc>
      </w:tr>
      <w:tr w14:paraId="39B5D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5" w:type="dxa"/>
            <w:vMerge w:val="continue"/>
            <w:vAlign w:val="center"/>
          </w:tcPr>
          <w:p w14:paraId="5B891B1B">
            <w:pPr>
              <w:pStyle w:val="45"/>
              <w:rPr>
                <w:rFonts w:hint="default"/>
              </w:rPr>
            </w:pPr>
          </w:p>
        </w:tc>
        <w:tc>
          <w:tcPr>
            <w:tcW w:w="1725" w:type="dxa"/>
            <w:vAlign w:val="center"/>
          </w:tcPr>
          <w:p w14:paraId="7E82667A">
            <w:pPr>
              <w:pStyle w:val="45"/>
              <w:rPr>
                <w:rFonts w:hint="default"/>
              </w:rPr>
            </w:pPr>
            <w:r>
              <w:rPr>
                <w:rFonts w:hint="eastAsia"/>
                <w:lang w:val="en-US" w:eastAsia="zh-CN"/>
              </w:rPr>
              <w:t>二次</w:t>
            </w:r>
            <w:r>
              <w:t>电解尾气排气筒#DA004</w:t>
            </w:r>
          </w:p>
        </w:tc>
        <w:tc>
          <w:tcPr>
            <w:tcW w:w="2306" w:type="dxa"/>
            <w:vAlign w:val="center"/>
          </w:tcPr>
          <w:p w14:paraId="30F43DBF">
            <w:pPr>
              <w:pStyle w:val="45"/>
              <w:rPr>
                <w:rFonts w:hint="default"/>
              </w:rPr>
            </w:pPr>
            <w:r>
              <w:t>氯气、氯化氢</w:t>
            </w:r>
          </w:p>
        </w:tc>
        <w:tc>
          <w:tcPr>
            <w:tcW w:w="1331" w:type="dxa"/>
            <w:vAlign w:val="center"/>
          </w:tcPr>
          <w:p w14:paraId="2E3126FE">
            <w:pPr>
              <w:pStyle w:val="45"/>
              <w:rPr>
                <w:rFonts w:hint="default"/>
              </w:rPr>
            </w:pPr>
            <w:r>
              <w:t>每季度一次</w:t>
            </w:r>
          </w:p>
        </w:tc>
        <w:tc>
          <w:tcPr>
            <w:tcW w:w="2235" w:type="dxa"/>
            <w:vMerge w:val="continue"/>
            <w:vAlign w:val="center"/>
          </w:tcPr>
          <w:p w14:paraId="6C5F08F0">
            <w:pPr>
              <w:pStyle w:val="45"/>
              <w:rPr>
                <w:rFonts w:hint="default"/>
              </w:rPr>
            </w:pPr>
          </w:p>
        </w:tc>
      </w:tr>
      <w:tr w14:paraId="720A1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5" w:type="dxa"/>
            <w:vMerge w:val="continue"/>
            <w:vAlign w:val="center"/>
          </w:tcPr>
          <w:p w14:paraId="7117AD2F">
            <w:pPr>
              <w:pStyle w:val="45"/>
              <w:rPr>
                <w:rFonts w:hint="default"/>
              </w:rPr>
            </w:pPr>
          </w:p>
        </w:tc>
        <w:tc>
          <w:tcPr>
            <w:tcW w:w="1725" w:type="dxa"/>
            <w:vAlign w:val="center"/>
          </w:tcPr>
          <w:p w14:paraId="118FFE90">
            <w:pPr>
              <w:pStyle w:val="45"/>
              <w:rPr>
                <w:rFonts w:hint="default"/>
              </w:rPr>
            </w:pPr>
            <w:r>
              <w:t>干燥粉尘排气筒#DA005</w:t>
            </w:r>
          </w:p>
        </w:tc>
        <w:tc>
          <w:tcPr>
            <w:tcW w:w="2306" w:type="dxa"/>
            <w:vAlign w:val="center"/>
          </w:tcPr>
          <w:p w14:paraId="7444C551">
            <w:pPr>
              <w:pStyle w:val="45"/>
              <w:rPr>
                <w:rFonts w:hint="default"/>
              </w:rPr>
            </w:pPr>
            <w:r>
              <w:t>颗粒物</w:t>
            </w:r>
          </w:p>
        </w:tc>
        <w:tc>
          <w:tcPr>
            <w:tcW w:w="1331" w:type="dxa"/>
            <w:vAlign w:val="center"/>
          </w:tcPr>
          <w:p w14:paraId="09140EA2">
            <w:pPr>
              <w:pStyle w:val="45"/>
              <w:rPr>
                <w:rFonts w:hint="default"/>
              </w:rPr>
            </w:pPr>
            <w:r>
              <w:t>每季度一次</w:t>
            </w:r>
          </w:p>
        </w:tc>
        <w:tc>
          <w:tcPr>
            <w:tcW w:w="2235" w:type="dxa"/>
            <w:vMerge w:val="continue"/>
            <w:vAlign w:val="center"/>
          </w:tcPr>
          <w:p w14:paraId="19CBE8CB">
            <w:pPr>
              <w:pStyle w:val="45"/>
              <w:rPr>
                <w:rFonts w:hint="default"/>
              </w:rPr>
            </w:pPr>
          </w:p>
        </w:tc>
      </w:tr>
      <w:tr w14:paraId="3DA38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5" w:type="dxa"/>
            <w:vMerge w:val="continue"/>
            <w:vAlign w:val="center"/>
          </w:tcPr>
          <w:p w14:paraId="5E825CAD">
            <w:pPr>
              <w:pStyle w:val="45"/>
              <w:rPr>
                <w:rFonts w:hint="default"/>
              </w:rPr>
            </w:pPr>
          </w:p>
        </w:tc>
        <w:tc>
          <w:tcPr>
            <w:tcW w:w="1725" w:type="dxa"/>
            <w:vAlign w:val="center"/>
          </w:tcPr>
          <w:p w14:paraId="0B2C1B2F">
            <w:pPr>
              <w:pStyle w:val="45"/>
              <w:ind w:firstLine="0" w:firstLineChars="0"/>
              <w:rPr>
                <w:rFonts w:hint="default" w:ascii="Times New Roman" w:hAnsi="Times New Roman" w:eastAsia="宋体" w:cs="Times New Roman"/>
                <w:kern w:val="0"/>
                <w:sz w:val="21"/>
                <w:szCs w:val="21"/>
                <w:lang w:val="en-US" w:eastAsia="zh-CN" w:bidi="ar-SA"/>
              </w:rPr>
            </w:pPr>
            <w:r>
              <w:t>干燥粉尘排气筒#DA006</w:t>
            </w:r>
          </w:p>
        </w:tc>
        <w:tc>
          <w:tcPr>
            <w:tcW w:w="2306" w:type="dxa"/>
            <w:vAlign w:val="center"/>
          </w:tcPr>
          <w:p w14:paraId="33D09B10">
            <w:pPr>
              <w:pStyle w:val="45"/>
              <w:ind w:firstLine="0" w:firstLineChars="0"/>
              <w:rPr>
                <w:rFonts w:hint="default" w:ascii="Times New Roman" w:hAnsi="Times New Roman" w:eastAsia="宋体" w:cs="Times New Roman"/>
                <w:kern w:val="0"/>
                <w:sz w:val="21"/>
                <w:szCs w:val="21"/>
                <w:lang w:val="en-US" w:eastAsia="zh-CN" w:bidi="ar-SA"/>
              </w:rPr>
            </w:pPr>
            <w:r>
              <w:t>颗粒物</w:t>
            </w:r>
          </w:p>
        </w:tc>
        <w:tc>
          <w:tcPr>
            <w:tcW w:w="1331" w:type="dxa"/>
            <w:vAlign w:val="center"/>
          </w:tcPr>
          <w:p w14:paraId="5B0EE945">
            <w:pPr>
              <w:pStyle w:val="45"/>
              <w:ind w:firstLine="0" w:firstLineChars="0"/>
              <w:rPr>
                <w:rFonts w:hint="default" w:ascii="Times New Roman" w:hAnsi="Times New Roman" w:eastAsia="宋体" w:cs="Times New Roman"/>
                <w:kern w:val="0"/>
                <w:sz w:val="21"/>
                <w:szCs w:val="21"/>
                <w:lang w:val="en-US" w:eastAsia="zh-CN" w:bidi="ar-SA"/>
              </w:rPr>
            </w:pPr>
            <w:r>
              <w:t>每季度一次</w:t>
            </w:r>
          </w:p>
        </w:tc>
        <w:tc>
          <w:tcPr>
            <w:tcW w:w="2235" w:type="dxa"/>
            <w:vMerge w:val="continue"/>
            <w:vAlign w:val="center"/>
          </w:tcPr>
          <w:p w14:paraId="6CF66F7A">
            <w:pPr>
              <w:pStyle w:val="45"/>
              <w:rPr>
                <w:rFonts w:hint="default"/>
              </w:rPr>
            </w:pPr>
          </w:p>
        </w:tc>
      </w:tr>
      <w:tr w14:paraId="2E776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5" w:type="dxa"/>
            <w:vMerge w:val="continue"/>
            <w:vAlign w:val="center"/>
          </w:tcPr>
          <w:p w14:paraId="554638A9">
            <w:pPr>
              <w:pStyle w:val="45"/>
              <w:rPr>
                <w:rFonts w:hint="default"/>
              </w:rPr>
            </w:pPr>
          </w:p>
        </w:tc>
        <w:tc>
          <w:tcPr>
            <w:tcW w:w="1725" w:type="dxa"/>
            <w:vAlign w:val="center"/>
          </w:tcPr>
          <w:p w14:paraId="1C18C70C">
            <w:pPr>
              <w:pStyle w:val="45"/>
              <w:rPr>
                <w:rFonts w:hint="default"/>
              </w:rPr>
            </w:pPr>
            <w:r>
              <w:rPr>
                <w:rFonts w:hint="eastAsia"/>
                <w:lang w:val="en-US" w:eastAsia="zh-CN"/>
              </w:rPr>
              <w:t>锂盐中和尾气</w:t>
            </w:r>
            <w:r>
              <w:t>排气筒#DA006</w:t>
            </w:r>
          </w:p>
        </w:tc>
        <w:tc>
          <w:tcPr>
            <w:tcW w:w="2306" w:type="dxa"/>
            <w:vAlign w:val="center"/>
          </w:tcPr>
          <w:p w14:paraId="2C417451">
            <w:pPr>
              <w:pStyle w:val="45"/>
              <w:rPr>
                <w:rFonts w:hint="eastAsia" w:eastAsia="宋体"/>
                <w:lang w:val="en-US" w:eastAsia="zh-CN"/>
              </w:rPr>
            </w:pPr>
            <w:r>
              <w:rPr>
                <w:rFonts w:hint="eastAsia"/>
                <w:lang w:val="en-US" w:eastAsia="zh-CN"/>
              </w:rPr>
              <w:t>氯化氢</w:t>
            </w:r>
          </w:p>
        </w:tc>
        <w:tc>
          <w:tcPr>
            <w:tcW w:w="1331" w:type="dxa"/>
            <w:vAlign w:val="center"/>
          </w:tcPr>
          <w:p w14:paraId="090D0CC7">
            <w:pPr>
              <w:pStyle w:val="45"/>
              <w:rPr>
                <w:rFonts w:hint="default"/>
              </w:rPr>
            </w:pPr>
            <w:r>
              <w:t>每季度一次</w:t>
            </w:r>
          </w:p>
        </w:tc>
        <w:tc>
          <w:tcPr>
            <w:tcW w:w="2235" w:type="dxa"/>
            <w:vMerge w:val="continue"/>
            <w:vAlign w:val="center"/>
          </w:tcPr>
          <w:p w14:paraId="49495580">
            <w:pPr>
              <w:pStyle w:val="45"/>
              <w:rPr>
                <w:rFonts w:hint="default"/>
              </w:rPr>
            </w:pPr>
          </w:p>
        </w:tc>
      </w:tr>
      <w:tr w14:paraId="139CD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5" w:type="dxa"/>
            <w:vMerge w:val="restart"/>
            <w:vAlign w:val="center"/>
          </w:tcPr>
          <w:p w14:paraId="3E79A321">
            <w:pPr>
              <w:pStyle w:val="45"/>
              <w:rPr>
                <w:rFonts w:hint="default"/>
              </w:rPr>
            </w:pPr>
            <w:r>
              <w:t>废气（无组织）</w:t>
            </w:r>
          </w:p>
        </w:tc>
        <w:tc>
          <w:tcPr>
            <w:tcW w:w="1725" w:type="dxa"/>
            <w:vAlign w:val="center"/>
          </w:tcPr>
          <w:p w14:paraId="6FE20F49">
            <w:pPr>
              <w:pStyle w:val="45"/>
              <w:rPr>
                <w:rFonts w:hint="default"/>
              </w:rPr>
            </w:pPr>
            <w:r>
              <w:t>厂界</w:t>
            </w:r>
          </w:p>
        </w:tc>
        <w:tc>
          <w:tcPr>
            <w:tcW w:w="2306" w:type="dxa"/>
            <w:vAlign w:val="center"/>
          </w:tcPr>
          <w:p w14:paraId="00047AD3">
            <w:pPr>
              <w:pStyle w:val="45"/>
              <w:rPr>
                <w:rFonts w:hint="default"/>
              </w:rPr>
            </w:pPr>
            <w:r>
              <w:t>氯气、氯化氢</w:t>
            </w:r>
          </w:p>
        </w:tc>
        <w:tc>
          <w:tcPr>
            <w:tcW w:w="1331" w:type="dxa"/>
            <w:vAlign w:val="center"/>
          </w:tcPr>
          <w:p w14:paraId="5AF75EB7">
            <w:pPr>
              <w:pStyle w:val="45"/>
              <w:rPr>
                <w:rFonts w:hint="default"/>
              </w:rPr>
            </w:pPr>
            <w:r>
              <w:t>每半年一次</w:t>
            </w:r>
          </w:p>
        </w:tc>
        <w:tc>
          <w:tcPr>
            <w:tcW w:w="2235" w:type="dxa"/>
            <w:vAlign w:val="center"/>
          </w:tcPr>
          <w:p w14:paraId="07D0A88B">
            <w:pPr>
              <w:pStyle w:val="45"/>
              <w:rPr>
                <w:rFonts w:hint="default"/>
              </w:rPr>
            </w:pPr>
            <w:r>
              <w:rPr>
                <w:rFonts w:hint="default"/>
              </w:rPr>
              <w:t>《无机化学工业污染物排放标准》（GB31573-2015）表5</w:t>
            </w:r>
          </w:p>
        </w:tc>
      </w:tr>
      <w:tr w14:paraId="1A992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5" w:type="dxa"/>
            <w:vMerge w:val="continue"/>
            <w:vAlign w:val="center"/>
          </w:tcPr>
          <w:p w14:paraId="20A51773">
            <w:pPr>
              <w:pStyle w:val="45"/>
              <w:rPr>
                <w:rFonts w:hint="default"/>
              </w:rPr>
            </w:pPr>
          </w:p>
        </w:tc>
        <w:tc>
          <w:tcPr>
            <w:tcW w:w="1725" w:type="dxa"/>
            <w:vAlign w:val="center"/>
          </w:tcPr>
          <w:p w14:paraId="35A22847">
            <w:pPr>
              <w:pStyle w:val="45"/>
              <w:rPr>
                <w:rFonts w:hint="default"/>
              </w:rPr>
            </w:pPr>
            <w:r>
              <w:t>厂界</w:t>
            </w:r>
          </w:p>
        </w:tc>
        <w:tc>
          <w:tcPr>
            <w:tcW w:w="2306" w:type="dxa"/>
            <w:vAlign w:val="center"/>
          </w:tcPr>
          <w:p w14:paraId="325A10D8">
            <w:pPr>
              <w:pStyle w:val="45"/>
              <w:rPr>
                <w:rFonts w:hint="default"/>
              </w:rPr>
            </w:pPr>
            <w:r>
              <w:t>颗粒物</w:t>
            </w:r>
          </w:p>
        </w:tc>
        <w:tc>
          <w:tcPr>
            <w:tcW w:w="1331" w:type="dxa"/>
            <w:vAlign w:val="center"/>
          </w:tcPr>
          <w:p w14:paraId="2630817C">
            <w:pPr>
              <w:pStyle w:val="45"/>
              <w:rPr>
                <w:rFonts w:hint="default"/>
              </w:rPr>
            </w:pPr>
            <w:r>
              <w:t>每半年一次</w:t>
            </w:r>
          </w:p>
        </w:tc>
        <w:tc>
          <w:tcPr>
            <w:tcW w:w="2235" w:type="dxa"/>
            <w:vAlign w:val="center"/>
          </w:tcPr>
          <w:p w14:paraId="48BD4F31">
            <w:pPr>
              <w:pStyle w:val="45"/>
              <w:rPr>
                <w:rFonts w:hint="default"/>
              </w:rPr>
            </w:pPr>
            <w:r>
              <w:rPr>
                <w:rFonts w:hint="default"/>
              </w:rPr>
              <w:t>《大气污染物综合排放标准》（GB16297-1996）表2</w:t>
            </w:r>
          </w:p>
        </w:tc>
      </w:tr>
      <w:tr w14:paraId="43DD2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5" w:type="dxa"/>
            <w:vAlign w:val="center"/>
          </w:tcPr>
          <w:p w14:paraId="06BF2E73">
            <w:pPr>
              <w:pStyle w:val="45"/>
              <w:rPr>
                <w:rFonts w:hint="default"/>
              </w:rPr>
            </w:pPr>
            <w:r>
              <w:t>噪声</w:t>
            </w:r>
          </w:p>
        </w:tc>
        <w:tc>
          <w:tcPr>
            <w:tcW w:w="1725" w:type="dxa"/>
            <w:vAlign w:val="center"/>
          </w:tcPr>
          <w:p w14:paraId="14037467">
            <w:pPr>
              <w:pStyle w:val="45"/>
              <w:rPr>
                <w:rFonts w:hint="default"/>
              </w:rPr>
            </w:pPr>
            <w:r>
              <w:t>厂界外1m处</w:t>
            </w:r>
          </w:p>
        </w:tc>
        <w:tc>
          <w:tcPr>
            <w:tcW w:w="2306" w:type="dxa"/>
            <w:vAlign w:val="center"/>
          </w:tcPr>
          <w:p w14:paraId="272BFF58">
            <w:pPr>
              <w:pStyle w:val="45"/>
              <w:rPr>
                <w:rFonts w:hint="default"/>
              </w:rPr>
            </w:pPr>
            <w:r>
              <w:t>Leq（A）</w:t>
            </w:r>
          </w:p>
        </w:tc>
        <w:tc>
          <w:tcPr>
            <w:tcW w:w="1331" w:type="dxa"/>
            <w:vAlign w:val="center"/>
          </w:tcPr>
          <w:p w14:paraId="496D1002">
            <w:pPr>
              <w:pStyle w:val="45"/>
              <w:rPr>
                <w:rFonts w:hint="default"/>
              </w:rPr>
            </w:pPr>
            <w:r>
              <w:rPr>
                <w:rFonts w:hint="eastAsia"/>
                <w:lang w:val="en-US" w:eastAsia="zh-CN"/>
              </w:rPr>
              <w:t>每季度</w:t>
            </w:r>
            <w:r>
              <w:rPr>
                <w:rFonts w:hint="default"/>
              </w:rPr>
              <w:t>昼、夜各一次</w:t>
            </w:r>
          </w:p>
        </w:tc>
        <w:tc>
          <w:tcPr>
            <w:tcW w:w="2235" w:type="dxa"/>
            <w:vAlign w:val="center"/>
          </w:tcPr>
          <w:p w14:paraId="4D0AACDB">
            <w:pPr>
              <w:pStyle w:val="45"/>
              <w:rPr>
                <w:rFonts w:hint="default"/>
              </w:rPr>
            </w:pPr>
            <w:r>
              <w:rPr>
                <w:rFonts w:hint="default"/>
              </w:rPr>
              <w:t>《工业企业厂界环境噪声排放标准》(GB 12348-2008)</w:t>
            </w:r>
            <w:r>
              <w:t>4</w:t>
            </w:r>
            <w:r>
              <w:rPr>
                <w:rFonts w:hint="default"/>
              </w:rPr>
              <w:t>类（东、南厂界）、</w:t>
            </w:r>
            <w:r>
              <w:t>3</w:t>
            </w:r>
            <w:r>
              <w:rPr>
                <w:rFonts w:hint="default"/>
              </w:rPr>
              <w:t>类（西、北厂界）标准</w:t>
            </w:r>
          </w:p>
        </w:tc>
      </w:tr>
      <w:tr w14:paraId="277D3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5" w:type="dxa"/>
            <w:vMerge w:val="restart"/>
            <w:vAlign w:val="center"/>
          </w:tcPr>
          <w:p w14:paraId="24ED41B6">
            <w:pPr>
              <w:pStyle w:val="45"/>
              <w:rPr>
                <w:rFonts w:hint="eastAsia" w:eastAsia="宋体"/>
                <w:lang w:val="en-US" w:eastAsia="zh-CN"/>
              </w:rPr>
            </w:pPr>
            <w:r>
              <w:rPr>
                <w:rFonts w:hint="eastAsia"/>
                <w:lang w:val="en-US" w:eastAsia="zh-CN"/>
              </w:rPr>
              <w:t>废水</w:t>
            </w:r>
          </w:p>
        </w:tc>
        <w:tc>
          <w:tcPr>
            <w:tcW w:w="1725" w:type="dxa"/>
            <w:vAlign w:val="center"/>
          </w:tcPr>
          <w:p w14:paraId="28457F20">
            <w:pPr>
              <w:pStyle w:val="45"/>
              <w:rPr>
                <w:rFonts w:hint="eastAsia" w:eastAsia="宋体"/>
                <w:lang w:val="en-US" w:eastAsia="zh-CN"/>
              </w:rPr>
            </w:pPr>
            <w:r>
              <w:rPr>
                <w:rFonts w:hint="eastAsia"/>
                <w:lang w:val="en-US" w:eastAsia="zh-CN"/>
              </w:rPr>
              <w:t>废水站总排口</w:t>
            </w:r>
          </w:p>
        </w:tc>
        <w:tc>
          <w:tcPr>
            <w:tcW w:w="2306" w:type="dxa"/>
            <w:vAlign w:val="center"/>
          </w:tcPr>
          <w:p w14:paraId="1FD45AC0">
            <w:pPr>
              <w:pStyle w:val="45"/>
              <w:rPr>
                <w:rFonts w:hint="default"/>
                <w:lang w:val="en-US"/>
              </w:rPr>
            </w:pPr>
            <w:r>
              <w:rPr>
                <w:rFonts w:hint="eastAsia" w:ascii="Times New Roman" w:hAnsi="Times New Roman" w:cs="Times New Roman"/>
                <w:bCs/>
                <w:sz w:val="21"/>
                <w:szCs w:val="21"/>
                <w:lang w:val="en-US" w:eastAsia="zh-CN"/>
              </w:rPr>
              <w:t>流量、pH 值、化学需氧量、氨氮、悬浮物、总磷、总氮、石油类、氟化物、高氯酸根</w:t>
            </w:r>
          </w:p>
        </w:tc>
        <w:tc>
          <w:tcPr>
            <w:tcW w:w="1331" w:type="dxa"/>
            <w:vAlign w:val="center"/>
          </w:tcPr>
          <w:p w14:paraId="4B750FF3">
            <w:pPr>
              <w:pStyle w:val="45"/>
              <w:rPr>
                <w:rFonts w:hint="default" w:eastAsia="宋体"/>
                <w:lang w:val="en-US" w:eastAsia="zh-CN"/>
              </w:rPr>
            </w:pPr>
            <w:r>
              <w:rPr>
                <w:rFonts w:hint="eastAsia"/>
                <w:lang w:val="en-US" w:eastAsia="zh-CN"/>
              </w:rPr>
              <w:t>每季度一次</w:t>
            </w:r>
          </w:p>
        </w:tc>
        <w:tc>
          <w:tcPr>
            <w:tcW w:w="2235" w:type="dxa"/>
            <w:vMerge w:val="restart"/>
            <w:vAlign w:val="center"/>
          </w:tcPr>
          <w:p w14:paraId="6BD7E1C0">
            <w:pPr>
              <w:pStyle w:val="45"/>
              <w:rPr>
                <w:rFonts w:hint="default"/>
                <w:lang w:val="en-US" w:eastAsia="zh-CN"/>
              </w:rPr>
            </w:pPr>
            <w:r>
              <w:rPr>
                <w:rFonts w:hint="default"/>
              </w:rPr>
              <w:t>《无机化学工业污染物排放标准》（GB31573-2015）表</w:t>
            </w:r>
            <w:r>
              <w:rPr>
                <w:rFonts w:hint="eastAsia"/>
                <w:lang w:val="en-US" w:eastAsia="zh-CN"/>
              </w:rPr>
              <w:t>2</w:t>
            </w:r>
            <w:r>
              <w:rPr>
                <w:rFonts w:hint="eastAsia"/>
              </w:rPr>
              <w:t>及松木污水处理厂纳管标准较严者</w:t>
            </w:r>
            <w:r>
              <w:rPr>
                <w:rFonts w:hint="eastAsia"/>
                <w:lang w:val="en-US" w:eastAsia="zh-CN"/>
              </w:rPr>
              <w:t>；高氯酸根参照</w:t>
            </w:r>
            <w:r>
              <w:rPr>
                <w:rFonts w:hint="eastAsia"/>
              </w:rPr>
              <w:t>《工业废水高氯酸盐污染物排放标准》（征求意见稿）执行</w:t>
            </w:r>
          </w:p>
        </w:tc>
      </w:tr>
      <w:tr w14:paraId="67723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5" w:type="dxa"/>
            <w:vMerge w:val="continue"/>
            <w:vAlign w:val="center"/>
          </w:tcPr>
          <w:p w14:paraId="346162F3">
            <w:pPr>
              <w:pStyle w:val="45"/>
              <w:rPr>
                <w:rFonts w:hint="eastAsia"/>
                <w:lang w:val="en-US" w:eastAsia="zh-CN"/>
              </w:rPr>
            </w:pPr>
          </w:p>
        </w:tc>
        <w:tc>
          <w:tcPr>
            <w:tcW w:w="1725" w:type="dxa"/>
            <w:vAlign w:val="center"/>
          </w:tcPr>
          <w:p w14:paraId="1E9C3FF3">
            <w:pPr>
              <w:pStyle w:val="45"/>
              <w:rPr>
                <w:rFonts w:hint="default"/>
                <w:lang w:val="en-US" w:eastAsia="zh-CN"/>
              </w:rPr>
            </w:pPr>
            <w:r>
              <w:rPr>
                <w:rFonts w:hint="eastAsia"/>
                <w:lang w:val="en-US" w:eastAsia="zh-CN"/>
              </w:rPr>
              <w:t>后期雨水排放口</w:t>
            </w:r>
          </w:p>
        </w:tc>
        <w:tc>
          <w:tcPr>
            <w:tcW w:w="2306" w:type="dxa"/>
            <w:vAlign w:val="center"/>
          </w:tcPr>
          <w:p w14:paraId="45C66613">
            <w:pPr>
              <w:pStyle w:val="45"/>
              <w:rPr>
                <w:rFonts w:hint="eastAsia" w:ascii="Times New Roman" w:hAnsi="Times New Roman" w:cs="Times New Roman"/>
                <w:bCs/>
                <w:sz w:val="21"/>
                <w:szCs w:val="21"/>
                <w:lang w:val="en-US" w:eastAsia="zh-CN"/>
              </w:rPr>
            </w:pPr>
            <w:r>
              <w:rPr>
                <w:rFonts w:hint="eastAsia" w:ascii="Times New Roman" w:hAnsi="Times New Roman" w:cs="Times New Roman"/>
                <w:bCs/>
                <w:sz w:val="21"/>
                <w:szCs w:val="21"/>
                <w:lang w:val="en-US" w:eastAsia="zh-CN"/>
              </w:rPr>
              <w:t>流量、pH值、化学需氧量、氨氮、悬浮物、高氯酸根</w:t>
            </w:r>
          </w:p>
        </w:tc>
        <w:tc>
          <w:tcPr>
            <w:tcW w:w="1331" w:type="dxa"/>
            <w:vAlign w:val="center"/>
          </w:tcPr>
          <w:p w14:paraId="35D0BDD3">
            <w:pPr>
              <w:pStyle w:val="45"/>
              <w:rPr>
                <w:rFonts w:hint="default"/>
                <w:lang w:val="en-US" w:eastAsia="zh-CN"/>
              </w:rPr>
            </w:pPr>
            <w:r>
              <w:rPr>
                <w:rFonts w:hint="eastAsia"/>
                <w:lang w:val="en-US" w:eastAsia="zh-CN"/>
              </w:rPr>
              <w:t>有后期雨水排放时必须监测</w:t>
            </w:r>
          </w:p>
        </w:tc>
        <w:tc>
          <w:tcPr>
            <w:tcW w:w="2235" w:type="dxa"/>
            <w:vMerge w:val="continue"/>
            <w:vAlign w:val="center"/>
          </w:tcPr>
          <w:p w14:paraId="79B61807">
            <w:pPr>
              <w:pStyle w:val="45"/>
              <w:jc w:val="both"/>
              <w:rPr>
                <w:rFonts w:hint="default"/>
                <w:lang w:val="en-US" w:eastAsia="zh-CN"/>
              </w:rPr>
            </w:pPr>
          </w:p>
        </w:tc>
      </w:tr>
    </w:tbl>
    <w:p w14:paraId="72F28DAC">
      <w:pPr>
        <w:ind w:firstLine="0" w:firstLineChars="0"/>
      </w:pPr>
    </w:p>
    <w:p w14:paraId="5F2264F2">
      <w:pPr>
        <w:ind w:firstLine="482"/>
        <w:rPr>
          <w:b/>
          <w:bCs/>
        </w:rPr>
      </w:pPr>
      <w:bookmarkStart w:id="384" w:name="_Toc28924"/>
      <w:r>
        <w:rPr>
          <w:rFonts w:hint="eastAsia"/>
          <w:b/>
          <w:bCs/>
        </w:rPr>
        <w:t>（2）环境质量监测计划</w:t>
      </w:r>
      <w:bookmarkEnd w:id="384"/>
    </w:p>
    <w:p w14:paraId="36DC5070">
      <w:pPr>
        <w:ind w:firstLine="480"/>
      </w:pPr>
      <w:r>
        <w:rPr>
          <w:rFonts w:hint="eastAsia"/>
        </w:rPr>
        <w:t>以下监测计划主要根据各环境要素环境影响评价技术导则要求进行，所有监测项目的采样和分析方法应严格按照环境监测相关技术规范要求进行。具体详见下表。</w:t>
      </w:r>
    </w:p>
    <w:p w14:paraId="7EDC9496">
      <w:pPr>
        <w:pStyle w:val="43"/>
        <w:numPr>
          <w:ilvl w:val="5"/>
          <w:numId w:val="1"/>
        </w:numPr>
        <w:rPr>
          <w:rFonts w:hint="default"/>
        </w:rPr>
      </w:pPr>
      <w:r>
        <w:t>环境质量监测计划</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3"/>
        <w:gridCol w:w="936"/>
        <w:gridCol w:w="1762"/>
        <w:gridCol w:w="1518"/>
        <w:gridCol w:w="3363"/>
      </w:tblGrid>
      <w:tr w14:paraId="2E5BA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tblHeader/>
        </w:trPr>
        <w:tc>
          <w:tcPr>
            <w:tcW w:w="553" w:type="pct"/>
            <w:vAlign w:val="center"/>
          </w:tcPr>
          <w:p w14:paraId="5D6C3E70">
            <w:pPr>
              <w:pStyle w:val="45"/>
              <w:rPr>
                <w:rFonts w:hint="default"/>
                <w:b/>
                <w:bCs/>
              </w:rPr>
            </w:pPr>
            <w:r>
              <w:rPr>
                <w:b/>
                <w:bCs/>
              </w:rPr>
              <w:t>环境要素</w:t>
            </w:r>
          </w:p>
        </w:tc>
        <w:tc>
          <w:tcPr>
            <w:tcW w:w="549" w:type="pct"/>
            <w:vAlign w:val="center"/>
          </w:tcPr>
          <w:p w14:paraId="23606B10">
            <w:pPr>
              <w:pStyle w:val="45"/>
              <w:rPr>
                <w:rFonts w:hint="default"/>
                <w:b/>
                <w:bCs/>
              </w:rPr>
            </w:pPr>
            <w:r>
              <w:rPr>
                <w:b/>
                <w:bCs/>
              </w:rPr>
              <w:t>监测位置</w:t>
            </w:r>
          </w:p>
        </w:tc>
        <w:tc>
          <w:tcPr>
            <w:tcW w:w="1033" w:type="pct"/>
            <w:vAlign w:val="center"/>
          </w:tcPr>
          <w:p w14:paraId="66C3DAFD">
            <w:pPr>
              <w:pStyle w:val="45"/>
              <w:rPr>
                <w:rFonts w:hint="default"/>
                <w:b/>
                <w:bCs/>
              </w:rPr>
            </w:pPr>
            <w:r>
              <w:rPr>
                <w:b/>
                <w:bCs/>
              </w:rPr>
              <w:t>监测项目</w:t>
            </w:r>
          </w:p>
        </w:tc>
        <w:tc>
          <w:tcPr>
            <w:tcW w:w="890" w:type="pct"/>
            <w:vAlign w:val="center"/>
          </w:tcPr>
          <w:p w14:paraId="0B3D38E8">
            <w:pPr>
              <w:pStyle w:val="45"/>
              <w:rPr>
                <w:rFonts w:hint="default"/>
                <w:b/>
                <w:bCs/>
              </w:rPr>
            </w:pPr>
            <w:r>
              <w:rPr>
                <w:b/>
                <w:bCs/>
              </w:rPr>
              <w:t>监测频次</w:t>
            </w:r>
          </w:p>
        </w:tc>
        <w:tc>
          <w:tcPr>
            <w:tcW w:w="1971" w:type="pct"/>
            <w:vAlign w:val="center"/>
          </w:tcPr>
          <w:p w14:paraId="419180EA">
            <w:pPr>
              <w:pStyle w:val="45"/>
              <w:rPr>
                <w:rFonts w:hint="default"/>
                <w:b/>
                <w:bCs/>
              </w:rPr>
            </w:pPr>
            <w:r>
              <w:rPr>
                <w:b/>
                <w:bCs/>
              </w:rPr>
              <w:t>执行标准</w:t>
            </w:r>
          </w:p>
        </w:tc>
      </w:tr>
      <w:tr w14:paraId="38EBD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Merge w:val="restart"/>
            <w:vAlign w:val="center"/>
          </w:tcPr>
          <w:p w14:paraId="2F27E845">
            <w:pPr>
              <w:pStyle w:val="45"/>
              <w:rPr>
                <w:rFonts w:hint="default"/>
              </w:rPr>
            </w:pPr>
            <w:r>
              <w:t>环境空气</w:t>
            </w:r>
          </w:p>
        </w:tc>
        <w:tc>
          <w:tcPr>
            <w:tcW w:w="549" w:type="pct"/>
            <w:vMerge w:val="restart"/>
            <w:vAlign w:val="center"/>
          </w:tcPr>
          <w:p w14:paraId="14D2A30F">
            <w:pPr>
              <w:pStyle w:val="45"/>
              <w:rPr>
                <w:rFonts w:hint="eastAsia" w:eastAsia="宋体"/>
                <w:lang w:eastAsia="zh-CN"/>
              </w:rPr>
            </w:pPr>
            <w:r>
              <w:rPr>
                <w:rFonts w:hint="default"/>
              </w:rPr>
              <w:t>项目</w:t>
            </w:r>
            <w:r>
              <w:t>厂界</w:t>
            </w:r>
            <w:r>
              <w:rPr>
                <w:rFonts w:hint="default"/>
              </w:rPr>
              <w:t>、下风向</w:t>
            </w:r>
            <w:r>
              <w:rPr>
                <w:rStyle w:val="37"/>
                <w:rFonts w:hint="eastAsia" w:cstheme="minorBidi"/>
                <w:kern w:val="2"/>
                <w:lang w:val="en-US" w:eastAsia="zh-CN"/>
              </w:rPr>
              <w:t>敏感点</w:t>
            </w:r>
          </w:p>
        </w:tc>
        <w:tc>
          <w:tcPr>
            <w:tcW w:w="1033" w:type="pct"/>
            <w:vAlign w:val="center"/>
          </w:tcPr>
          <w:p w14:paraId="10037F8C">
            <w:pPr>
              <w:pStyle w:val="45"/>
              <w:rPr>
                <w:rFonts w:hint="default"/>
              </w:rPr>
            </w:pPr>
            <w:r>
              <w:t>颗粒物</w:t>
            </w:r>
          </w:p>
        </w:tc>
        <w:tc>
          <w:tcPr>
            <w:tcW w:w="890" w:type="pct"/>
            <w:vAlign w:val="center"/>
          </w:tcPr>
          <w:p w14:paraId="76B70C03">
            <w:pPr>
              <w:pStyle w:val="45"/>
              <w:rPr>
                <w:rFonts w:hint="default"/>
              </w:rPr>
            </w:pPr>
            <w:r>
              <w:rPr>
                <w:rFonts w:hint="default"/>
              </w:rPr>
              <w:t>半年一次</w:t>
            </w:r>
          </w:p>
        </w:tc>
        <w:tc>
          <w:tcPr>
            <w:tcW w:w="1971" w:type="pct"/>
            <w:vAlign w:val="center"/>
          </w:tcPr>
          <w:p w14:paraId="224AE5C2">
            <w:pPr>
              <w:pStyle w:val="45"/>
              <w:rPr>
                <w:rFonts w:hint="default"/>
              </w:rPr>
            </w:pPr>
            <w:r>
              <w:rPr>
                <w:rFonts w:hint="default"/>
              </w:rPr>
              <w:t>《环境空气质量标准》（GB3095-2012）中的二级标准</w:t>
            </w:r>
          </w:p>
        </w:tc>
      </w:tr>
      <w:tr w14:paraId="45BBB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Merge w:val="continue"/>
            <w:vAlign w:val="center"/>
          </w:tcPr>
          <w:p w14:paraId="6341C2E8">
            <w:pPr>
              <w:pStyle w:val="45"/>
              <w:rPr>
                <w:rFonts w:hint="default"/>
              </w:rPr>
            </w:pPr>
          </w:p>
        </w:tc>
        <w:tc>
          <w:tcPr>
            <w:tcW w:w="549" w:type="pct"/>
            <w:vMerge w:val="continue"/>
            <w:vAlign w:val="center"/>
          </w:tcPr>
          <w:p w14:paraId="65C7BB9A">
            <w:pPr>
              <w:pStyle w:val="45"/>
              <w:rPr>
                <w:rFonts w:hint="default"/>
              </w:rPr>
            </w:pPr>
          </w:p>
        </w:tc>
        <w:tc>
          <w:tcPr>
            <w:tcW w:w="1033" w:type="pct"/>
            <w:vAlign w:val="center"/>
          </w:tcPr>
          <w:p w14:paraId="215406D3">
            <w:pPr>
              <w:pStyle w:val="45"/>
              <w:rPr>
                <w:rFonts w:hint="default"/>
              </w:rPr>
            </w:pPr>
            <w:r>
              <w:rPr>
                <w:rFonts w:hint="default"/>
              </w:rPr>
              <w:t>氯气</w:t>
            </w:r>
            <w:r>
              <w:t>、氯化氢</w:t>
            </w:r>
          </w:p>
        </w:tc>
        <w:tc>
          <w:tcPr>
            <w:tcW w:w="890" w:type="pct"/>
            <w:vAlign w:val="center"/>
          </w:tcPr>
          <w:p w14:paraId="501EA14D">
            <w:pPr>
              <w:pStyle w:val="45"/>
              <w:rPr>
                <w:rFonts w:hint="default"/>
              </w:rPr>
            </w:pPr>
            <w:r>
              <w:rPr>
                <w:rFonts w:hint="default"/>
              </w:rPr>
              <w:t>半年一次</w:t>
            </w:r>
          </w:p>
        </w:tc>
        <w:tc>
          <w:tcPr>
            <w:tcW w:w="1971" w:type="pct"/>
            <w:vAlign w:val="center"/>
          </w:tcPr>
          <w:p w14:paraId="35ADDDB2">
            <w:pPr>
              <w:pStyle w:val="45"/>
              <w:rPr>
                <w:rFonts w:hint="default"/>
              </w:rPr>
            </w:pPr>
            <w:r>
              <w:t>《环境影响评价技术导则大气环境》（HJ2.2-2018）附录D 推荐的污染物标准限值</w:t>
            </w:r>
          </w:p>
        </w:tc>
      </w:tr>
      <w:tr w14:paraId="44349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14:paraId="32B0846B">
            <w:pPr>
              <w:pStyle w:val="45"/>
              <w:rPr>
                <w:rFonts w:hint="default"/>
              </w:rPr>
            </w:pPr>
            <w:r>
              <w:t>地下水环境</w:t>
            </w:r>
          </w:p>
        </w:tc>
        <w:tc>
          <w:tcPr>
            <w:tcW w:w="549" w:type="pct"/>
            <w:vAlign w:val="center"/>
          </w:tcPr>
          <w:p w14:paraId="0B782C1C">
            <w:pPr>
              <w:pStyle w:val="45"/>
              <w:rPr>
                <w:rFonts w:hint="default"/>
              </w:rPr>
            </w:pPr>
            <w:r>
              <w:rPr>
                <w:rFonts w:hint="default"/>
              </w:rPr>
              <w:t>厂区上游、厂区</w:t>
            </w:r>
            <w:r>
              <w:t>内</w:t>
            </w:r>
            <w:r>
              <w:rPr>
                <w:rFonts w:hint="default"/>
              </w:rPr>
              <w:t>、厂区</w:t>
            </w:r>
            <w:r>
              <w:t>下游</w:t>
            </w:r>
          </w:p>
        </w:tc>
        <w:tc>
          <w:tcPr>
            <w:tcW w:w="1033" w:type="pct"/>
            <w:vAlign w:val="center"/>
          </w:tcPr>
          <w:p w14:paraId="2F1CC31B">
            <w:pPr>
              <w:pStyle w:val="45"/>
              <w:rPr>
                <w:rFonts w:hint="default"/>
              </w:rPr>
            </w:pPr>
            <w:r>
              <w:rPr>
                <w:rFonts w:hint="default"/>
              </w:rPr>
              <w:t>pH 、COD 、BOD</w:t>
            </w:r>
            <w:r>
              <w:rPr>
                <w:rFonts w:hint="default"/>
                <w:vertAlign w:val="subscript"/>
              </w:rPr>
              <w:t>5</w:t>
            </w:r>
            <w:r>
              <w:rPr>
                <w:rFonts w:hint="default"/>
              </w:rPr>
              <w:t xml:space="preserve"> 、石油类、总硬度、SS、NH</w:t>
            </w:r>
            <w:r>
              <w:rPr>
                <w:rFonts w:hint="default"/>
                <w:vertAlign w:val="subscript"/>
              </w:rPr>
              <w:t>3</w:t>
            </w:r>
            <w:r>
              <w:rPr>
                <w:rFonts w:hint="default"/>
              </w:rPr>
              <w:t>-N、</w:t>
            </w:r>
            <w:r>
              <w:t>氯化物、高氯酸根</w:t>
            </w:r>
          </w:p>
        </w:tc>
        <w:tc>
          <w:tcPr>
            <w:tcW w:w="890" w:type="pct"/>
            <w:vAlign w:val="center"/>
          </w:tcPr>
          <w:p w14:paraId="2A227CDE">
            <w:pPr>
              <w:pStyle w:val="45"/>
              <w:rPr>
                <w:rFonts w:hint="default" w:eastAsia="宋体"/>
                <w:lang w:val="en-US" w:eastAsia="zh-CN"/>
              </w:rPr>
            </w:pPr>
            <w:r>
              <w:rPr>
                <w:rFonts w:hint="eastAsia"/>
                <w:lang w:val="en-US" w:eastAsia="zh-CN"/>
              </w:rPr>
              <w:t>每年一次</w:t>
            </w:r>
          </w:p>
        </w:tc>
        <w:tc>
          <w:tcPr>
            <w:tcW w:w="1971" w:type="pct"/>
            <w:vAlign w:val="center"/>
          </w:tcPr>
          <w:p w14:paraId="3C6A8678">
            <w:pPr>
              <w:pStyle w:val="45"/>
              <w:rPr>
                <w:rFonts w:hint="default"/>
              </w:rPr>
            </w:pPr>
            <w:r>
              <w:t>《地下水质量标准》（GB/T14848-2017）中的III类水质标准</w:t>
            </w:r>
          </w:p>
        </w:tc>
      </w:tr>
      <w:tr w14:paraId="29097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3" w:type="pct"/>
            <w:vAlign w:val="center"/>
          </w:tcPr>
          <w:p w14:paraId="5D4992DD">
            <w:pPr>
              <w:pStyle w:val="45"/>
              <w:rPr>
                <w:rFonts w:hint="default"/>
              </w:rPr>
            </w:pPr>
            <w:r>
              <w:t>土壤</w:t>
            </w:r>
          </w:p>
        </w:tc>
        <w:tc>
          <w:tcPr>
            <w:tcW w:w="549" w:type="pct"/>
            <w:vAlign w:val="center"/>
          </w:tcPr>
          <w:p w14:paraId="1FF857B9">
            <w:pPr>
              <w:pStyle w:val="45"/>
              <w:rPr>
                <w:rFonts w:hint="default"/>
              </w:rPr>
            </w:pPr>
            <w:r>
              <w:t>厂区及周边土壤</w:t>
            </w:r>
          </w:p>
        </w:tc>
        <w:tc>
          <w:tcPr>
            <w:tcW w:w="1033" w:type="pct"/>
            <w:vAlign w:val="center"/>
          </w:tcPr>
          <w:p w14:paraId="332E3298">
            <w:pPr>
              <w:pStyle w:val="45"/>
              <w:rPr>
                <w:rFonts w:hint="default"/>
              </w:rPr>
            </w:pPr>
            <w:r>
              <w:t>45项基本因子</w:t>
            </w:r>
          </w:p>
        </w:tc>
        <w:tc>
          <w:tcPr>
            <w:tcW w:w="890" w:type="pct"/>
            <w:vAlign w:val="center"/>
          </w:tcPr>
          <w:p w14:paraId="6552DD1E">
            <w:pPr>
              <w:pStyle w:val="45"/>
              <w:rPr>
                <w:rFonts w:hint="default"/>
              </w:rPr>
            </w:pPr>
            <w:r>
              <w:rPr>
                <w:rFonts w:hint="eastAsia"/>
                <w:lang w:val="en-US" w:eastAsia="zh-CN"/>
              </w:rPr>
              <w:t>每年一次</w:t>
            </w:r>
          </w:p>
        </w:tc>
        <w:tc>
          <w:tcPr>
            <w:tcW w:w="1971" w:type="pct"/>
            <w:vAlign w:val="center"/>
          </w:tcPr>
          <w:p w14:paraId="3D33E9E8">
            <w:pPr>
              <w:pStyle w:val="45"/>
              <w:rPr>
                <w:rFonts w:hint="default"/>
              </w:rPr>
            </w:pPr>
            <w:r>
              <w:t>土壤环境质量 建设用地土壤污染风险管控标准》（GB36600-2018）标准</w:t>
            </w:r>
          </w:p>
        </w:tc>
      </w:tr>
    </w:tbl>
    <w:p w14:paraId="57BD2C44">
      <w:pPr>
        <w:ind w:firstLine="480"/>
      </w:pPr>
    </w:p>
    <w:p w14:paraId="17523C1B">
      <w:pPr>
        <w:pStyle w:val="4"/>
        <w:numPr>
          <w:ilvl w:val="2"/>
          <w:numId w:val="1"/>
        </w:numPr>
      </w:pPr>
      <w:bookmarkStart w:id="385" w:name="_Toc25230"/>
      <w:r>
        <w:rPr>
          <w:rFonts w:hint="eastAsia"/>
        </w:rPr>
        <w:t>建立环境监测档案</w:t>
      </w:r>
      <w:bookmarkEnd w:id="385"/>
    </w:p>
    <w:p w14:paraId="36766F07">
      <w:pPr>
        <w:ind w:firstLine="480"/>
      </w:pPr>
      <w:r>
        <w:t>进行环境监测时，应注重监测数据的完整性和准确性，建立环保档案，搞好数据积累工作。对厂内环保治理工程设施的运行状态与处理效果进行管理与监控；监测结果需定期向有关部门上报，发现问题及时反映，并积极协助解决。</w:t>
      </w:r>
    </w:p>
    <w:p w14:paraId="50B0CC80">
      <w:pPr>
        <w:ind w:firstLine="480"/>
      </w:pPr>
      <w:r>
        <w:t>厂内需具有全套操作规则和岗位责任制。制度应包括定期监测、安全</w:t>
      </w:r>
      <w:r>
        <w:rPr>
          <w:rFonts w:hint="eastAsia"/>
          <w:lang w:eastAsia="zh-CN"/>
        </w:rPr>
        <w:t>检查</w:t>
      </w:r>
      <w:r>
        <w:t>、事故检查、事故预防措施、风险应急计划等。</w:t>
      </w:r>
    </w:p>
    <w:p w14:paraId="5853B49A">
      <w:pPr>
        <w:ind w:firstLine="480"/>
      </w:pPr>
      <w:r>
        <w:t>发生事故时，为防止本项目排放的废水、废气对周围环境造成严重的不良影响，事故发生后，应及时将事故发生的原因、处理方案和处理结果上报环保主管部门进行备案。</w:t>
      </w:r>
    </w:p>
    <w:p w14:paraId="21105997">
      <w:pPr>
        <w:pStyle w:val="4"/>
        <w:numPr>
          <w:ilvl w:val="2"/>
          <w:numId w:val="1"/>
        </w:numPr>
      </w:pPr>
      <w:bookmarkStart w:id="386" w:name="_Toc17510"/>
      <w:r>
        <w:rPr>
          <w:rFonts w:hint="eastAsia"/>
        </w:rPr>
        <w:t>审核制度</w:t>
      </w:r>
      <w:bookmarkEnd w:id="386"/>
    </w:p>
    <w:p w14:paraId="52EF42DA">
      <w:pPr>
        <w:ind w:firstLine="48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t>本项目建成投入运行后，环境监测计划应同时实施。环境管理机构及应对环境监测计划的实施情况进行定期审核，必要时可对监测计划进行修改和补充；对所获的监测资料进行分析，使环境监测计划更好发挥保护环境的作用。</w:t>
      </w:r>
    </w:p>
    <w:p w14:paraId="57D49FEB">
      <w:pPr>
        <w:pStyle w:val="3"/>
        <w:numPr>
          <w:ilvl w:val="1"/>
          <w:numId w:val="1"/>
        </w:numPr>
      </w:pPr>
      <w:bookmarkStart w:id="387" w:name="_Toc28457"/>
      <w:bookmarkStart w:id="388" w:name="_Toc1209"/>
      <w:bookmarkStart w:id="389" w:name="_Toc1124"/>
      <w:r>
        <w:rPr>
          <w:rFonts w:hint="eastAsia"/>
        </w:rPr>
        <w:t>污染物排放管理要求</w:t>
      </w:r>
      <w:bookmarkEnd w:id="387"/>
      <w:bookmarkEnd w:id="388"/>
      <w:bookmarkEnd w:id="389"/>
    </w:p>
    <w:p w14:paraId="5A8F0240">
      <w:pPr>
        <w:pStyle w:val="4"/>
        <w:numPr>
          <w:ilvl w:val="2"/>
          <w:numId w:val="1"/>
        </w:numPr>
      </w:pPr>
      <w:bookmarkStart w:id="390" w:name="_Toc17060"/>
      <w:r>
        <w:rPr>
          <w:rFonts w:hint="eastAsia"/>
        </w:rPr>
        <w:t>污染物排放清单</w:t>
      </w:r>
      <w:bookmarkEnd w:id="390"/>
    </w:p>
    <w:p w14:paraId="0495F6E8">
      <w:pPr>
        <w:ind w:firstLine="480"/>
        <w:rPr>
          <w:rFonts w:hint="eastAsia"/>
          <w:color w:val="auto"/>
        </w:rPr>
      </w:pPr>
      <w:r>
        <w:rPr>
          <w:rFonts w:hint="eastAsia"/>
          <w:color w:val="auto"/>
        </w:rPr>
        <w:t>本项目污染物排放清单见下表。</w:t>
      </w:r>
    </w:p>
    <w:p w14:paraId="7EE5A5B9">
      <w:pPr>
        <w:pStyle w:val="43"/>
        <w:numPr>
          <w:ilvl w:val="5"/>
          <w:numId w:val="1"/>
        </w:numPr>
        <w:bidi w:val="0"/>
        <w:rPr>
          <w:rFonts w:hint="default"/>
          <w:color w:val="auto"/>
        </w:rPr>
      </w:pPr>
      <w:r>
        <w:rPr>
          <w:rFonts w:hint="default"/>
          <w:color w:val="auto"/>
        </w:rPr>
        <w:t>污染物排放清单</w:t>
      </w:r>
    </w:p>
    <w:tbl>
      <w:tblPr>
        <w:tblStyle w:val="32"/>
        <w:tblW w:w="499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064"/>
        <w:gridCol w:w="1321"/>
        <w:gridCol w:w="1731"/>
        <w:gridCol w:w="439"/>
        <w:gridCol w:w="979"/>
        <w:gridCol w:w="1908"/>
        <w:gridCol w:w="1634"/>
        <w:gridCol w:w="1368"/>
        <w:gridCol w:w="1330"/>
        <w:gridCol w:w="1461"/>
        <w:gridCol w:w="1655"/>
        <w:gridCol w:w="1397"/>
        <w:gridCol w:w="4396"/>
      </w:tblGrid>
      <w:tr w14:paraId="4C815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65" w:type="pct"/>
            <w:gridSpan w:val="3"/>
            <w:vMerge w:val="restart"/>
            <w:shd w:val="clear" w:color="auto" w:fill="auto"/>
            <w:vAlign w:val="center"/>
          </w:tcPr>
          <w:p w14:paraId="13A514C0">
            <w:pPr>
              <w:widowControl/>
              <w:spacing w:line="240" w:lineRule="auto"/>
              <w:ind w:firstLine="0" w:firstLineChars="0"/>
              <w:jc w:val="center"/>
              <w:textAlignment w:val="center"/>
              <w:rPr>
                <w:rFonts w:cs="宋体"/>
                <w:b/>
                <w:bCs/>
                <w:color w:val="auto"/>
                <w:sz w:val="21"/>
                <w:szCs w:val="21"/>
              </w:rPr>
            </w:pPr>
            <w:r>
              <w:rPr>
                <w:rFonts w:hint="eastAsia" w:cs="宋体"/>
                <w:b/>
                <w:bCs/>
                <w:color w:val="auto"/>
                <w:kern w:val="0"/>
                <w:sz w:val="21"/>
                <w:szCs w:val="21"/>
              </w:rPr>
              <w:t>类别</w:t>
            </w:r>
          </w:p>
        </w:tc>
        <w:tc>
          <w:tcPr>
            <w:tcW w:w="410" w:type="pct"/>
            <w:vMerge w:val="restart"/>
            <w:shd w:val="clear" w:color="auto" w:fill="auto"/>
            <w:vAlign w:val="center"/>
          </w:tcPr>
          <w:p w14:paraId="2911EE0F">
            <w:pPr>
              <w:widowControl/>
              <w:spacing w:line="240" w:lineRule="auto"/>
              <w:ind w:firstLine="0" w:firstLineChars="0"/>
              <w:jc w:val="center"/>
              <w:textAlignment w:val="center"/>
              <w:rPr>
                <w:rFonts w:cs="宋体"/>
                <w:b/>
                <w:bCs/>
                <w:color w:val="auto"/>
                <w:sz w:val="21"/>
                <w:szCs w:val="21"/>
              </w:rPr>
            </w:pPr>
            <w:r>
              <w:rPr>
                <w:rFonts w:hint="eastAsia" w:cs="宋体"/>
                <w:b/>
                <w:bCs/>
                <w:color w:val="auto"/>
                <w:kern w:val="0"/>
                <w:sz w:val="21"/>
                <w:szCs w:val="21"/>
              </w:rPr>
              <w:t>环保措施</w:t>
            </w:r>
          </w:p>
        </w:tc>
        <w:tc>
          <w:tcPr>
            <w:tcW w:w="103" w:type="pct"/>
            <w:vMerge w:val="restart"/>
            <w:shd w:val="clear" w:color="auto" w:fill="auto"/>
            <w:vAlign w:val="center"/>
          </w:tcPr>
          <w:p w14:paraId="7E4531F9">
            <w:pPr>
              <w:widowControl/>
              <w:spacing w:line="240" w:lineRule="auto"/>
              <w:ind w:firstLine="0" w:firstLineChars="0"/>
              <w:jc w:val="center"/>
              <w:textAlignment w:val="center"/>
              <w:rPr>
                <w:rFonts w:cs="宋体"/>
                <w:b/>
                <w:bCs/>
                <w:color w:val="auto"/>
                <w:sz w:val="21"/>
                <w:szCs w:val="21"/>
              </w:rPr>
            </w:pPr>
            <w:r>
              <w:rPr>
                <w:rFonts w:hint="eastAsia" w:cs="宋体"/>
                <w:b/>
                <w:bCs/>
                <w:color w:val="auto"/>
                <w:kern w:val="0"/>
                <w:sz w:val="21"/>
                <w:szCs w:val="21"/>
              </w:rPr>
              <w:t>数量</w:t>
            </w:r>
          </w:p>
        </w:tc>
        <w:tc>
          <w:tcPr>
            <w:tcW w:w="231" w:type="pct"/>
            <w:vMerge w:val="restart"/>
            <w:shd w:val="clear" w:color="auto" w:fill="auto"/>
            <w:vAlign w:val="center"/>
          </w:tcPr>
          <w:p w14:paraId="7A90A256">
            <w:pPr>
              <w:widowControl/>
              <w:spacing w:line="240" w:lineRule="auto"/>
              <w:ind w:firstLine="0" w:firstLineChars="0"/>
              <w:jc w:val="center"/>
              <w:textAlignment w:val="center"/>
              <w:rPr>
                <w:rFonts w:cs="宋体"/>
                <w:b/>
                <w:bCs/>
                <w:color w:val="auto"/>
                <w:sz w:val="21"/>
                <w:szCs w:val="21"/>
              </w:rPr>
            </w:pPr>
            <w:r>
              <w:rPr>
                <w:rFonts w:hint="eastAsia" w:cs="宋体"/>
                <w:b/>
                <w:bCs/>
                <w:color w:val="auto"/>
                <w:kern w:val="0"/>
                <w:sz w:val="21"/>
                <w:szCs w:val="21"/>
              </w:rPr>
              <w:t>污染因子</w:t>
            </w:r>
          </w:p>
        </w:tc>
        <w:tc>
          <w:tcPr>
            <w:tcW w:w="451" w:type="pct"/>
            <w:vMerge w:val="restart"/>
            <w:shd w:val="clear" w:color="auto" w:fill="auto"/>
            <w:vAlign w:val="center"/>
          </w:tcPr>
          <w:p w14:paraId="54D739A8">
            <w:pPr>
              <w:widowControl/>
              <w:spacing w:line="240" w:lineRule="auto"/>
              <w:ind w:firstLine="0" w:firstLineChars="0"/>
              <w:jc w:val="center"/>
              <w:textAlignment w:val="center"/>
              <w:rPr>
                <w:rFonts w:cs="宋体"/>
                <w:b/>
                <w:bCs/>
                <w:color w:val="auto"/>
                <w:sz w:val="21"/>
                <w:szCs w:val="21"/>
              </w:rPr>
            </w:pPr>
            <w:r>
              <w:rPr>
                <w:rFonts w:hint="eastAsia" w:cs="宋体"/>
                <w:b/>
                <w:bCs/>
                <w:color w:val="auto"/>
                <w:kern w:val="0"/>
                <w:sz w:val="21"/>
                <w:szCs w:val="21"/>
              </w:rPr>
              <w:t>排气筒参数</w:t>
            </w:r>
          </w:p>
        </w:tc>
        <w:tc>
          <w:tcPr>
            <w:tcW w:w="387" w:type="pct"/>
            <w:vMerge w:val="restart"/>
            <w:shd w:val="clear" w:color="auto" w:fill="auto"/>
            <w:vAlign w:val="center"/>
          </w:tcPr>
          <w:p w14:paraId="2C308E47">
            <w:pPr>
              <w:widowControl/>
              <w:spacing w:line="240" w:lineRule="auto"/>
              <w:ind w:firstLine="0" w:firstLineChars="0"/>
              <w:jc w:val="center"/>
              <w:textAlignment w:val="center"/>
              <w:rPr>
                <w:rFonts w:cs="宋体"/>
                <w:b/>
                <w:bCs/>
                <w:color w:val="auto"/>
                <w:sz w:val="21"/>
                <w:szCs w:val="21"/>
              </w:rPr>
            </w:pPr>
            <w:r>
              <w:rPr>
                <w:rFonts w:hint="eastAsia" w:cs="宋体"/>
                <w:b/>
                <w:bCs/>
                <w:color w:val="auto"/>
                <w:kern w:val="0"/>
                <w:sz w:val="21"/>
                <w:szCs w:val="21"/>
              </w:rPr>
              <w:t>废气</w:t>
            </w:r>
            <w:r>
              <w:rPr>
                <w:rFonts w:cs="Times New Roman"/>
                <w:b/>
                <w:bCs/>
                <w:color w:val="auto"/>
                <w:kern w:val="0"/>
                <w:sz w:val="21"/>
                <w:szCs w:val="21"/>
              </w:rPr>
              <w:t>/</w:t>
            </w:r>
            <w:r>
              <w:rPr>
                <w:rFonts w:hint="eastAsia" w:cs="宋体"/>
                <w:b/>
                <w:bCs/>
                <w:color w:val="auto"/>
                <w:kern w:val="0"/>
                <w:sz w:val="21"/>
                <w:szCs w:val="21"/>
              </w:rPr>
              <w:t>废水</w:t>
            </w:r>
            <w:r>
              <w:rPr>
                <w:rFonts w:cs="Times New Roman"/>
                <w:b/>
                <w:bCs/>
                <w:color w:val="auto"/>
                <w:kern w:val="0"/>
                <w:sz w:val="21"/>
                <w:szCs w:val="21"/>
              </w:rPr>
              <w:t>/</w:t>
            </w:r>
            <w:r>
              <w:rPr>
                <w:rFonts w:hint="eastAsia" w:cs="宋体"/>
                <w:b/>
                <w:bCs/>
                <w:color w:val="auto"/>
                <w:kern w:val="0"/>
                <w:sz w:val="21"/>
                <w:szCs w:val="21"/>
              </w:rPr>
              <w:t>固废</w:t>
            </w:r>
            <w:r>
              <w:rPr>
                <w:rFonts w:cs="Times New Roman"/>
                <w:b/>
                <w:bCs/>
                <w:color w:val="auto"/>
                <w:kern w:val="0"/>
                <w:sz w:val="21"/>
                <w:szCs w:val="21"/>
              </w:rPr>
              <w:t>/</w:t>
            </w:r>
            <w:r>
              <w:rPr>
                <w:rFonts w:hint="eastAsia" w:cs="宋体"/>
                <w:b/>
                <w:bCs/>
                <w:color w:val="auto"/>
                <w:kern w:val="0"/>
                <w:sz w:val="21"/>
                <w:szCs w:val="21"/>
              </w:rPr>
              <w:t>噪声量</w:t>
            </w:r>
          </w:p>
        </w:tc>
        <w:tc>
          <w:tcPr>
            <w:tcW w:w="324" w:type="pct"/>
            <w:vMerge w:val="restart"/>
            <w:shd w:val="clear" w:color="auto" w:fill="auto"/>
            <w:vAlign w:val="center"/>
          </w:tcPr>
          <w:p w14:paraId="0A8676F2">
            <w:pPr>
              <w:widowControl/>
              <w:spacing w:line="240" w:lineRule="auto"/>
              <w:ind w:firstLine="0" w:firstLineChars="0"/>
              <w:jc w:val="center"/>
              <w:textAlignment w:val="center"/>
              <w:rPr>
                <w:rFonts w:cs="宋体"/>
                <w:b/>
                <w:bCs/>
                <w:color w:val="auto"/>
                <w:sz w:val="21"/>
                <w:szCs w:val="21"/>
              </w:rPr>
            </w:pPr>
            <w:r>
              <w:rPr>
                <w:rFonts w:hint="eastAsia" w:cs="宋体"/>
                <w:b/>
                <w:bCs/>
                <w:color w:val="auto"/>
                <w:kern w:val="0"/>
                <w:sz w:val="21"/>
                <w:szCs w:val="21"/>
              </w:rPr>
              <w:t>排放浓度（</w:t>
            </w:r>
            <w:r>
              <w:rPr>
                <w:rFonts w:cs="Times New Roman"/>
                <w:b/>
                <w:bCs/>
                <w:color w:val="auto"/>
                <w:kern w:val="0"/>
                <w:sz w:val="21"/>
                <w:szCs w:val="21"/>
              </w:rPr>
              <w:t>mg/Nm</w:t>
            </w:r>
            <w:r>
              <w:rPr>
                <w:rFonts w:cs="Times New Roman"/>
                <w:b/>
                <w:bCs/>
                <w:color w:val="auto"/>
                <w:kern w:val="0"/>
                <w:sz w:val="21"/>
                <w:szCs w:val="21"/>
                <w:vertAlign w:val="superscript"/>
              </w:rPr>
              <w:t>3</w:t>
            </w:r>
            <w:r>
              <w:rPr>
                <w:rFonts w:hint="eastAsia" w:cs="宋体"/>
                <w:b/>
                <w:bCs/>
                <w:color w:val="auto"/>
                <w:kern w:val="0"/>
                <w:sz w:val="21"/>
                <w:szCs w:val="21"/>
              </w:rPr>
              <w:t>）</w:t>
            </w:r>
          </w:p>
        </w:tc>
        <w:tc>
          <w:tcPr>
            <w:tcW w:w="315" w:type="pct"/>
            <w:vMerge w:val="restart"/>
            <w:shd w:val="clear" w:color="auto" w:fill="auto"/>
            <w:vAlign w:val="center"/>
          </w:tcPr>
          <w:p w14:paraId="3590BF17">
            <w:pPr>
              <w:widowControl/>
              <w:spacing w:line="240" w:lineRule="auto"/>
              <w:ind w:firstLine="0" w:firstLineChars="0"/>
              <w:jc w:val="center"/>
              <w:textAlignment w:val="center"/>
              <w:rPr>
                <w:rFonts w:cs="宋体"/>
                <w:b/>
                <w:bCs/>
                <w:color w:val="auto"/>
                <w:sz w:val="21"/>
                <w:szCs w:val="21"/>
              </w:rPr>
            </w:pPr>
            <w:r>
              <w:rPr>
                <w:rFonts w:hint="eastAsia" w:cs="宋体"/>
                <w:b/>
                <w:bCs/>
                <w:color w:val="auto"/>
                <w:kern w:val="0"/>
                <w:sz w:val="21"/>
                <w:szCs w:val="21"/>
              </w:rPr>
              <w:t>排放速率（</w:t>
            </w:r>
            <w:r>
              <w:rPr>
                <w:rFonts w:cs="Times New Roman"/>
                <w:b/>
                <w:bCs/>
                <w:color w:val="auto"/>
                <w:kern w:val="0"/>
                <w:sz w:val="21"/>
                <w:szCs w:val="21"/>
              </w:rPr>
              <w:t>kg/h</w:t>
            </w:r>
            <w:r>
              <w:rPr>
                <w:rFonts w:hint="eastAsia" w:cs="宋体"/>
                <w:b/>
                <w:bCs/>
                <w:color w:val="auto"/>
                <w:kern w:val="0"/>
                <w:sz w:val="21"/>
                <w:szCs w:val="21"/>
              </w:rPr>
              <w:t>）</w:t>
            </w:r>
          </w:p>
        </w:tc>
        <w:tc>
          <w:tcPr>
            <w:tcW w:w="346" w:type="pct"/>
            <w:vMerge w:val="restart"/>
            <w:shd w:val="clear" w:color="auto" w:fill="auto"/>
            <w:vAlign w:val="center"/>
          </w:tcPr>
          <w:p w14:paraId="7B3EE7E6">
            <w:pPr>
              <w:widowControl/>
              <w:spacing w:line="240" w:lineRule="auto"/>
              <w:ind w:firstLine="0" w:firstLineChars="0"/>
              <w:jc w:val="center"/>
              <w:textAlignment w:val="center"/>
              <w:rPr>
                <w:rFonts w:cs="宋体"/>
                <w:b/>
                <w:bCs/>
                <w:color w:val="auto"/>
                <w:sz w:val="21"/>
                <w:szCs w:val="21"/>
              </w:rPr>
            </w:pPr>
            <w:r>
              <w:rPr>
                <w:rFonts w:hint="eastAsia" w:cs="宋体"/>
                <w:b/>
                <w:bCs/>
                <w:color w:val="auto"/>
                <w:kern w:val="0"/>
                <w:sz w:val="21"/>
                <w:szCs w:val="21"/>
              </w:rPr>
              <w:t>污染物排放总量（</w:t>
            </w:r>
            <w:r>
              <w:rPr>
                <w:rFonts w:cs="Times New Roman"/>
                <w:b/>
                <w:bCs/>
                <w:color w:val="auto"/>
                <w:kern w:val="0"/>
                <w:sz w:val="21"/>
                <w:szCs w:val="21"/>
              </w:rPr>
              <w:t>t/a</w:t>
            </w:r>
            <w:r>
              <w:rPr>
                <w:rFonts w:hint="eastAsia" w:cs="宋体"/>
                <w:b/>
                <w:bCs/>
                <w:color w:val="auto"/>
                <w:kern w:val="0"/>
                <w:sz w:val="21"/>
                <w:szCs w:val="21"/>
              </w:rPr>
              <w:t>）</w:t>
            </w:r>
          </w:p>
        </w:tc>
        <w:tc>
          <w:tcPr>
            <w:tcW w:w="722" w:type="pct"/>
            <w:gridSpan w:val="2"/>
            <w:shd w:val="clear" w:color="auto" w:fill="auto"/>
            <w:vAlign w:val="center"/>
          </w:tcPr>
          <w:p w14:paraId="3CA2F2BF">
            <w:pPr>
              <w:widowControl/>
              <w:spacing w:line="240" w:lineRule="auto"/>
              <w:ind w:firstLine="0" w:firstLineChars="0"/>
              <w:jc w:val="center"/>
              <w:textAlignment w:val="center"/>
              <w:rPr>
                <w:rFonts w:cs="宋体"/>
                <w:b/>
                <w:bCs/>
                <w:color w:val="auto"/>
                <w:sz w:val="21"/>
                <w:szCs w:val="21"/>
              </w:rPr>
            </w:pPr>
            <w:r>
              <w:rPr>
                <w:rFonts w:hint="eastAsia" w:cs="宋体"/>
                <w:b/>
                <w:bCs/>
                <w:color w:val="auto"/>
                <w:kern w:val="0"/>
                <w:sz w:val="21"/>
                <w:szCs w:val="21"/>
              </w:rPr>
              <w:t>执行标准</w:t>
            </w:r>
          </w:p>
        </w:tc>
        <w:tc>
          <w:tcPr>
            <w:tcW w:w="1041" w:type="pct"/>
            <w:vMerge w:val="restart"/>
            <w:shd w:val="clear" w:color="auto" w:fill="auto"/>
            <w:vAlign w:val="center"/>
          </w:tcPr>
          <w:p w14:paraId="1138C789">
            <w:pPr>
              <w:widowControl/>
              <w:spacing w:line="240" w:lineRule="auto"/>
              <w:ind w:firstLine="0" w:firstLineChars="0"/>
              <w:jc w:val="center"/>
              <w:textAlignment w:val="center"/>
              <w:rPr>
                <w:rFonts w:cs="宋体"/>
                <w:b/>
                <w:bCs/>
                <w:color w:val="auto"/>
                <w:sz w:val="21"/>
                <w:szCs w:val="21"/>
              </w:rPr>
            </w:pPr>
            <w:r>
              <w:rPr>
                <w:rFonts w:hint="eastAsia" w:cs="宋体"/>
                <w:b/>
                <w:bCs/>
                <w:color w:val="auto"/>
                <w:kern w:val="0"/>
                <w:sz w:val="21"/>
                <w:szCs w:val="21"/>
              </w:rPr>
              <w:t>污染物排放标准名称</w:t>
            </w:r>
          </w:p>
        </w:tc>
      </w:tr>
      <w:tr w14:paraId="3D4B9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65" w:type="pct"/>
            <w:gridSpan w:val="3"/>
            <w:vMerge w:val="continue"/>
            <w:shd w:val="clear" w:color="auto" w:fill="auto"/>
            <w:vAlign w:val="center"/>
          </w:tcPr>
          <w:p w14:paraId="61BAAE50">
            <w:pPr>
              <w:widowControl/>
              <w:spacing w:line="240" w:lineRule="auto"/>
              <w:ind w:firstLine="0" w:firstLineChars="0"/>
              <w:jc w:val="center"/>
              <w:rPr>
                <w:rFonts w:cs="宋体"/>
                <w:b/>
                <w:bCs/>
                <w:color w:val="auto"/>
                <w:sz w:val="21"/>
                <w:szCs w:val="21"/>
              </w:rPr>
            </w:pPr>
          </w:p>
        </w:tc>
        <w:tc>
          <w:tcPr>
            <w:tcW w:w="410" w:type="pct"/>
            <w:vMerge w:val="continue"/>
            <w:shd w:val="clear" w:color="auto" w:fill="auto"/>
            <w:vAlign w:val="center"/>
          </w:tcPr>
          <w:p w14:paraId="603E4CEE">
            <w:pPr>
              <w:widowControl/>
              <w:spacing w:line="240" w:lineRule="auto"/>
              <w:ind w:firstLine="0" w:firstLineChars="0"/>
              <w:jc w:val="center"/>
              <w:rPr>
                <w:rFonts w:cs="宋体"/>
                <w:b/>
                <w:bCs/>
                <w:color w:val="auto"/>
                <w:sz w:val="21"/>
                <w:szCs w:val="21"/>
              </w:rPr>
            </w:pPr>
          </w:p>
        </w:tc>
        <w:tc>
          <w:tcPr>
            <w:tcW w:w="103" w:type="pct"/>
            <w:vMerge w:val="continue"/>
            <w:shd w:val="clear" w:color="auto" w:fill="auto"/>
            <w:vAlign w:val="center"/>
          </w:tcPr>
          <w:p w14:paraId="45D74CE2">
            <w:pPr>
              <w:widowControl/>
              <w:spacing w:line="240" w:lineRule="auto"/>
              <w:ind w:firstLine="0" w:firstLineChars="0"/>
              <w:jc w:val="center"/>
              <w:rPr>
                <w:rFonts w:cs="宋体"/>
                <w:b/>
                <w:bCs/>
                <w:color w:val="auto"/>
                <w:sz w:val="21"/>
                <w:szCs w:val="21"/>
              </w:rPr>
            </w:pPr>
          </w:p>
        </w:tc>
        <w:tc>
          <w:tcPr>
            <w:tcW w:w="231" w:type="pct"/>
            <w:vMerge w:val="continue"/>
            <w:shd w:val="clear" w:color="auto" w:fill="auto"/>
            <w:vAlign w:val="center"/>
          </w:tcPr>
          <w:p w14:paraId="29CB165F">
            <w:pPr>
              <w:widowControl/>
              <w:spacing w:line="240" w:lineRule="auto"/>
              <w:ind w:firstLine="0" w:firstLineChars="0"/>
              <w:jc w:val="center"/>
              <w:rPr>
                <w:rFonts w:cs="宋体"/>
                <w:b/>
                <w:bCs/>
                <w:color w:val="auto"/>
                <w:sz w:val="21"/>
                <w:szCs w:val="21"/>
              </w:rPr>
            </w:pPr>
          </w:p>
        </w:tc>
        <w:tc>
          <w:tcPr>
            <w:tcW w:w="451" w:type="pct"/>
            <w:vMerge w:val="continue"/>
            <w:shd w:val="clear" w:color="auto" w:fill="auto"/>
            <w:vAlign w:val="center"/>
          </w:tcPr>
          <w:p w14:paraId="2990692F">
            <w:pPr>
              <w:widowControl/>
              <w:spacing w:line="240" w:lineRule="auto"/>
              <w:ind w:firstLine="0" w:firstLineChars="0"/>
              <w:jc w:val="center"/>
              <w:rPr>
                <w:rFonts w:cs="宋体"/>
                <w:b/>
                <w:bCs/>
                <w:color w:val="auto"/>
                <w:sz w:val="21"/>
                <w:szCs w:val="21"/>
              </w:rPr>
            </w:pPr>
          </w:p>
        </w:tc>
        <w:tc>
          <w:tcPr>
            <w:tcW w:w="387" w:type="pct"/>
            <w:vMerge w:val="continue"/>
            <w:shd w:val="clear" w:color="auto" w:fill="auto"/>
            <w:vAlign w:val="center"/>
          </w:tcPr>
          <w:p w14:paraId="0198B87B">
            <w:pPr>
              <w:widowControl/>
              <w:spacing w:line="240" w:lineRule="auto"/>
              <w:ind w:firstLine="0" w:firstLineChars="0"/>
              <w:jc w:val="center"/>
              <w:rPr>
                <w:rFonts w:cs="宋体"/>
                <w:b/>
                <w:bCs/>
                <w:color w:val="auto"/>
                <w:sz w:val="21"/>
                <w:szCs w:val="21"/>
              </w:rPr>
            </w:pPr>
          </w:p>
        </w:tc>
        <w:tc>
          <w:tcPr>
            <w:tcW w:w="324" w:type="pct"/>
            <w:vMerge w:val="continue"/>
            <w:shd w:val="clear" w:color="auto" w:fill="auto"/>
            <w:vAlign w:val="center"/>
          </w:tcPr>
          <w:p w14:paraId="19B17238">
            <w:pPr>
              <w:widowControl/>
              <w:spacing w:line="240" w:lineRule="auto"/>
              <w:ind w:firstLine="0" w:firstLineChars="0"/>
              <w:jc w:val="center"/>
              <w:rPr>
                <w:rFonts w:cs="宋体"/>
                <w:b/>
                <w:bCs/>
                <w:color w:val="auto"/>
                <w:sz w:val="21"/>
                <w:szCs w:val="21"/>
              </w:rPr>
            </w:pPr>
          </w:p>
        </w:tc>
        <w:tc>
          <w:tcPr>
            <w:tcW w:w="315" w:type="pct"/>
            <w:vMerge w:val="continue"/>
            <w:shd w:val="clear" w:color="auto" w:fill="auto"/>
            <w:vAlign w:val="center"/>
          </w:tcPr>
          <w:p w14:paraId="17C52614">
            <w:pPr>
              <w:widowControl/>
              <w:spacing w:line="240" w:lineRule="auto"/>
              <w:ind w:firstLine="0" w:firstLineChars="0"/>
              <w:jc w:val="center"/>
              <w:rPr>
                <w:rFonts w:cs="宋体"/>
                <w:b/>
                <w:bCs/>
                <w:color w:val="auto"/>
                <w:sz w:val="21"/>
                <w:szCs w:val="21"/>
              </w:rPr>
            </w:pPr>
          </w:p>
        </w:tc>
        <w:tc>
          <w:tcPr>
            <w:tcW w:w="346" w:type="pct"/>
            <w:vMerge w:val="continue"/>
            <w:shd w:val="clear" w:color="auto" w:fill="auto"/>
            <w:vAlign w:val="center"/>
          </w:tcPr>
          <w:p w14:paraId="719148AE">
            <w:pPr>
              <w:widowControl/>
              <w:spacing w:line="240" w:lineRule="auto"/>
              <w:ind w:firstLine="0" w:firstLineChars="0"/>
              <w:jc w:val="center"/>
              <w:rPr>
                <w:rFonts w:cs="宋体"/>
                <w:b/>
                <w:bCs/>
                <w:color w:val="auto"/>
                <w:sz w:val="21"/>
                <w:szCs w:val="21"/>
              </w:rPr>
            </w:pPr>
          </w:p>
        </w:tc>
        <w:tc>
          <w:tcPr>
            <w:tcW w:w="392" w:type="pct"/>
            <w:shd w:val="clear" w:color="auto" w:fill="auto"/>
            <w:vAlign w:val="center"/>
          </w:tcPr>
          <w:p w14:paraId="726E5D65">
            <w:pPr>
              <w:widowControl/>
              <w:spacing w:line="240" w:lineRule="auto"/>
              <w:ind w:firstLine="0" w:firstLineChars="0"/>
              <w:jc w:val="center"/>
              <w:textAlignment w:val="center"/>
              <w:rPr>
                <w:rFonts w:cs="宋体"/>
                <w:b/>
                <w:bCs/>
                <w:color w:val="auto"/>
                <w:sz w:val="21"/>
                <w:szCs w:val="21"/>
              </w:rPr>
            </w:pPr>
            <w:r>
              <w:rPr>
                <w:rFonts w:hint="eastAsia" w:cs="宋体"/>
                <w:b/>
                <w:bCs/>
                <w:color w:val="auto"/>
                <w:kern w:val="0"/>
                <w:sz w:val="21"/>
                <w:szCs w:val="21"/>
              </w:rPr>
              <w:t>排放浓度（mg/Nm</w:t>
            </w:r>
            <w:r>
              <w:rPr>
                <w:rFonts w:hint="eastAsia" w:cs="宋体"/>
                <w:b/>
                <w:bCs/>
                <w:color w:val="auto"/>
                <w:kern w:val="0"/>
                <w:sz w:val="21"/>
                <w:szCs w:val="21"/>
                <w:vertAlign w:val="superscript"/>
              </w:rPr>
              <w:t>3</w:t>
            </w:r>
            <w:r>
              <w:rPr>
                <w:rFonts w:hint="eastAsia" w:cs="宋体"/>
                <w:b/>
                <w:bCs/>
                <w:color w:val="auto"/>
                <w:kern w:val="0"/>
                <w:sz w:val="21"/>
                <w:szCs w:val="21"/>
              </w:rPr>
              <w:t>）</w:t>
            </w:r>
          </w:p>
        </w:tc>
        <w:tc>
          <w:tcPr>
            <w:tcW w:w="330" w:type="pct"/>
            <w:shd w:val="clear" w:color="auto" w:fill="auto"/>
            <w:vAlign w:val="center"/>
          </w:tcPr>
          <w:p w14:paraId="4722A6BE">
            <w:pPr>
              <w:widowControl/>
              <w:spacing w:line="240" w:lineRule="auto"/>
              <w:ind w:firstLine="0" w:firstLineChars="0"/>
              <w:jc w:val="center"/>
              <w:textAlignment w:val="center"/>
              <w:rPr>
                <w:rFonts w:cs="宋体"/>
                <w:b/>
                <w:bCs/>
                <w:color w:val="auto"/>
                <w:sz w:val="21"/>
                <w:szCs w:val="21"/>
              </w:rPr>
            </w:pPr>
            <w:r>
              <w:rPr>
                <w:rFonts w:hint="eastAsia" w:cs="宋体"/>
                <w:b/>
                <w:bCs/>
                <w:color w:val="auto"/>
                <w:kern w:val="0"/>
                <w:sz w:val="21"/>
                <w:szCs w:val="21"/>
              </w:rPr>
              <w:t>排放速率（kg/h）</w:t>
            </w:r>
          </w:p>
        </w:tc>
        <w:tc>
          <w:tcPr>
            <w:tcW w:w="1041" w:type="pct"/>
            <w:vMerge w:val="continue"/>
            <w:shd w:val="clear" w:color="auto" w:fill="auto"/>
            <w:vAlign w:val="center"/>
          </w:tcPr>
          <w:p w14:paraId="04996818">
            <w:pPr>
              <w:widowControl/>
              <w:spacing w:line="240" w:lineRule="auto"/>
              <w:ind w:firstLine="0" w:firstLineChars="0"/>
              <w:jc w:val="center"/>
              <w:rPr>
                <w:rFonts w:cs="宋体"/>
                <w:b/>
                <w:bCs/>
                <w:color w:val="auto"/>
                <w:sz w:val="21"/>
                <w:szCs w:val="21"/>
              </w:rPr>
            </w:pPr>
          </w:p>
        </w:tc>
      </w:tr>
      <w:tr w14:paraId="4BF39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restart"/>
            <w:shd w:val="clear" w:color="auto" w:fill="auto"/>
            <w:vAlign w:val="center"/>
          </w:tcPr>
          <w:p w14:paraId="2AC154FD">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废气</w:t>
            </w:r>
          </w:p>
        </w:tc>
        <w:tc>
          <w:tcPr>
            <w:tcW w:w="252" w:type="pct"/>
            <w:vMerge w:val="restart"/>
            <w:shd w:val="clear" w:color="auto" w:fill="auto"/>
            <w:vAlign w:val="center"/>
          </w:tcPr>
          <w:p w14:paraId="2D377E9D">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DA001</w:t>
            </w:r>
          </w:p>
        </w:tc>
        <w:tc>
          <w:tcPr>
            <w:tcW w:w="312" w:type="pct"/>
            <w:vMerge w:val="restart"/>
            <w:shd w:val="clear" w:color="auto" w:fill="auto"/>
            <w:vAlign w:val="center"/>
          </w:tcPr>
          <w:p w14:paraId="16F90598">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一次电解尾气</w:t>
            </w:r>
          </w:p>
        </w:tc>
        <w:tc>
          <w:tcPr>
            <w:tcW w:w="410" w:type="pct"/>
            <w:vMerge w:val="restart"/>
            <w:shd w:val="clear" w:color="auto" w:fill="auto"/>
            <w:vAlign w:val="center"/>
          </w:tcPr>
          <w:p w14:paraId="28D91DAD">
            <w:pPr>
              <w:widowControl/>
              <w:spacing w:line="240" w:lineRule="auto"/>
              <w:ind w:firstLine="0" w:firstLineChars="0"/>
              <w:jc w:val="center"/>
              <w:textAlignment w:val="center"/>
              <w:rPr>
                <w:rFonts w:hint="default" w:eastAsia="宋体" w:cs="宋体"/>
                <w:color w:val="auto"/>
                <w:sz w:val="21"/>
                <w:szCs w:val="21"/>
                <w:lang w:val="en-US" w:eastAsia="zh-CN"/>
              </w:rPr>
            </w:pPr>
            <w:r>
              <w:rPr>
                <w:rFonts w:hint="eastAsia" w:cs="宋体"/>
                <w:color w:val="auto"/>
                <w:kern w:val="0"/>
                <w:sz w:val="21"/>
                <w:szCs w:val="21"/>
                <w:lang w:val="en-US" w:eastAsia="zh-CN"/>
              </w:rPr>
              <w:t>盐水洗涤+碱洗+水洗</w:t>
            </w:r>
          </w:p>
        </w:tc>
        <w:tc>
          <w:tcPr>
            <w:tcW w:w="103" w:type="pct"/>
            <w:vMerge w:val="restart"/>
            <w:shd w:val="clear" w:color="auto" w:fill="auto"/>
            <w:vAlign w:val="center"/>
          </w:tcPr>
          <w:p w14:paraId="0C8284DD">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1</w:t>
            </w:r>
          </w:p>
        </w:tc>
        <w:tc>
          <w:tcPr>
            <w:tcW w:w="231" w:type="pct"/>
            <w:shd w:val="clear" w:color="auto" w:fill="auto"/>
            <w:vAlign w:val="center"/>
          </w:tcPr>
          <w:p w14:paraId="75CB6A7F">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Cl</w:t>
            </w:r>
            <w:r>
              <w:rPr>
                <w:rFonts w:cs="Times New Roman"/>
                <w:color w:val="auto"/>
                <w:kern w:val="0"/>
                <w:sz w:val="21"/>
                <w:szCs w:val="21"/>
                <w:vertAlign w:val="subscript"/>
              </w:rPr>
              <w:t>2</w:t>
            </w:r>
          </w:p>
        </w:tc>
        <w:tc>
          <w:tcPr>
            <w:tcW w:w="451" w:type="pct"/>
            <w:vMerge w:val="restart"/>
            <w:shd w:val="clear" w:color="auto" w:fill="auto"/>
            <w:vAlign w:val="center"/>
          </w:tcPr>
          <w:p w14:paraId="193ED933">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排气筒高度2</w:t>
            </w:r>
            <w:r>
              <w:rPr>
                <w:rFonts w:cs="Times New Roman"/>
                <w:color w:val="auto"/>
                <w:kern w:val="0"/>
                <w:sz w:val="21"/>
                <w:szCs w:val="21"/>
              </w:rPr>
              <w:t>5m</w:t>
            </w:r>
            <w:r>
              <w:rPr>
                <w:rFonts w:hint="eastAsia" w:cs="宋体"/>
                <w:color w:val="auto"/>
                <w:kern w:val="0"/>
                <w:sz w:val="21"/>
                <w:szCs w:val="21"/>
              </w:rPr>
              <w:t>，内径</w:t>
            </w:r>
            <w:r>
              <w:rPr>
                <w:rFonts w:cs="Times New Roman"/>
                <w:color w:val="auto"/>
                <w:kern w:val="0"/>
                <w:sz w:val="21"/>
                <w:szCs w:val="21"/>
              </w:rPr>
              <w:t>0.4m</w:t>
            </w:r>
            <w:r>
              <w:rPr>
                <w:rFonts w:hint="eastAsia" w:cs="宋体"/>
                <w:color w:val="auto"/>
                <w:kern w:val="0"/>
                <w:sz w:val="21"/>
                <w:szCs w:val="21"/>
              </w:rPr>
              <w:t>，排放温度</w:t>
            </w:r>
            <w:r>
              <w:rPr>
                <w:rFonts w:cs="Times New Roman"/>
                <w:color w:val="auto"/>
                <w:kern w:val="0"/>
                <w:sz w:val="21"/>
                <w:szCs w:val="21"/>
              </w:rPr>
              <w:t>25℃</w:t>
            </w:r>
          </w:p>
        </w:tc>
        <w:tc>
          <w:tcPr>
            <w:tcW w:w="387" w:type="pct"/>
            <w:vMerge w:val="restart"/>
            <w:shd w:val="clear" w:color="auto" w:fill="auto"/>
            <w:vAlign w:val="center"/>
          </w:tcPr>
          <w:p w14:paraId="6847A91F">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2000Nm</w:t>
            </w:r>
            <w:r>
              <w:rPr>
                <w:rFonts w:cs="Times New Roman"/>
                <w:color w:val="auto"/>
                <w:kern w:val="0"/>
                <w:sz w:val="21"/>
                <w:szCs w:val="21"/>
                <w:vertAlign w:val="superscript"/>
              </w:rPr>
              <w:t>3</w:t>
            </w:r>
            <w:r>
              <w:rPr>
                <w:rFonts w:cs="Times New Roman"/>
                <w:color w:val="auto"/>
                <w:kern w:val="0"/>
                <w:sz w:val="21"/>
                <w:szCs w:val="21"/>
              </w:rPr>
              <w:t>/h</w:t>
            </w:r>
          </w:p>
        </w:tc>
        <w:tc>
          <w:tcPr>
            <w:tcW w:w="324" w:type="pct"/>
            <w:shd w:val="clear" w:color="auto" w:fill="auto"/>
            <w:vAlign w:val="center"/>
          </w:tcPr>
          <w:p w14:paraId="6EBB957C">
            <w:pPr>
              <w:pStyle w:val="45"/>
              <w:bidi w:val="0"/>
              <w:rPr>
                <w:color w:val="auto"/>
              </w:rPr>
            </w:pPr>
            <w:r>
              <w:rPr>
                <w:rFonts w:hint="default"/>
                <w:color w:val="auto"/>
                <w:lang w:val="en-US" w:eastAsia="zh-CN"/>
              </w:rPr>
              <w:t>7.29</w:t>
            </w:r>
          </w:p>
        </w:tc>
        <w:tc>
          <w:tcPr>
            <w:tcW w:w="315" w:type="pct"/>
            <w:shd w:val="clear" w:color="auto" w:fill="auto"/>
            <w:vAlign w:val="center"/>
          </w:tcPr>
          <w:p w14:paraId="4F0C8A40">
            <w:pPr>
              <w:pStyle w:val="45"/>
              <w:bidi w:val="0"/>
              <w:rPr>
                <w:color w:val="auto"/>
              </w:rPr>
            </w:pPr>
            <w:r>
              <w:rPr>
                <w:rFonts w:hint="default"/>
                <w:color w:val="auto"/>
                <w:lang w:val="en-US" w:eastAsia="zh-CN"/>
              </w:rPr>
              <w:t>0.0146</w:t>
            </w:r>
          </w:p>
        </w:tc>
        <w:tc>
          <w:tcPr>
            <w:tcW w:w="346" w:type="pct"/>
            <w:shd w:val="clear" w:color="auto" w:fill="auto"/>
            <w:vAlign w:val="center"/>
          </w:tcPr>
          <w:p w14:paraId="5BA54142">
            <w:pPr>
              <w:pStyle w:val="45"/>
              <w:bidi w:val="0"/>
              <w:rPr>
                <w:color w:val="auto"/>
              </w:rPr>
            </w:pPr>
            <w:r>
              <w:rPr>
                <w:rFonts w:hint="default"/>
                <w:color w:val="auto"/>
                <w:lang w:val="en-US" w:eastAsia="zh-CN"/>
              </w:rPr>
              <w:t>0.105</w:t>
            </w:r>
          </w:p>
        </w:tc>
        <w:tc>
          <w:tcPr>
            <w:tcW w:w="392" w:type="pct"/>
            <w:shd w:val="clear" w:color="auto" w:fill="auto"/>
            <w:vAlign w:val="center"/>
          </w:tcPr>
          <w:p w14:paraId="2CA4BAB2">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8</w:t>
            </w:r>
          </w:p>
        </w:tc>
        <w:tc>
          <w:tcPr>
            <w:tcW w:w="330" w:type="pct"/>
            <w:shd w:val="clear" w:color="auto" w:fill="auto"/>
            <w:vAlign w:val="center"/>
          </w:tcPr>
          <w:p w14:paraId="762D4BC6">
            <w:pPr>
              <w:pStyle w:val="45"/>
              <w:bidi w:val="0"/>
              <w:rPr>
                <w:color w:val="auto"/>
              </w:rPr>
            </w:pPr>
            <w:r>
              <w:rPr>
                <w:color w:val="auto"/>
              </w:rPr>
              <w:t>/</w:t>
            </w:r>
          </w:p>
        </w:tc>
        <w:tc>
          <w:tcPr>
            <w:tcW w:w="1041" w:type="pct"/>
            <w:vMerge w:val="restart"/>
            <w:shd w:val="clear" w:color="auto" w:fill="auto"/>
            <w:vAlign w:val="center"/>
          </w:tcPr>
          <w:p w14:paraId="04B509AC">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《无机化学工业污染物排放标准》（GB31573-2015）表3</w:t>
            </w:r>
          </w:p>
        </w:tc>
      </w:tr>
      <w:tr w14:paraId="295D9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1CF1A50D">
            <w:pPr>
              <w:widowControl/>
              <w:spacing w:line="240" w:lineRule="auto"/>
              <w:ind w:firstLine="0" w:firstLineChars="0"/>
              <w:jc w:val="center"/>
              <w:rPr>
                <w:rFonts w:cs="宋体"/>
                <w:color w:val="auto"/>
                <w:sz w:val="21"/>
                <w:szCs w:val="21"/>
              </w:rPr>
            </w:pPr>
          </w:p>
        </w:tc>
        <w:tc>
          <w:tcPr>
            <w:tcW w:w="252" w:type="pct"/>
            <w:vMerge w:val="continue"/>
            <w:shd w:val="clear" w:color="auto" w:fill="auto"/>
            <w:vAlign w:val="center"/>
          </w:tcPr>
          <w:p w14:paraId="2690E670">
            <w:pPr>
              <w:widowControl/>
              <w:spacing w:line="240" w:lineRule="auto"/>
              <w:ind w:firstLine="0" w:firstLineChars="0"/>
              <w:jc w:val="center"/>
              <w:rPr>
                <w:rFonts w:cs="Times New Roman"/>
                <w:color w:val="auto"/>
                <w:sz w:val="21"/>
                <w:szCs w:val="21"/>
              </w:rPr>
            </w:pPr>
          </w:p>
        </w:tc>
        <w:tc>
          <w:tcPr>
            <w:tcW w:w="312" w:type="pct"/>
            <w:vMerge w:val="continue"/>
            <w:shd w:val="clear" w:color="auto" w:fill="auto"/>
            <w:vAlign w:val="center"/>
          </w:tcPr>
          <w:p w14:paraId="008FB7D4">
            <w:pPr>
              <w:widowControl/>
              <w:spacing w:line="240" w:lineRule="auto"/>
              <w:ind w:firstLine="0" w:firstLineChars="0"/>
              <w:jc w:val="center"/>
              <w:rPr>
                <w:rFonts w:cs="宋体"/>
                <w:color w:val="auto"/>
                <w:sz w:val="21"/>
                <w:szCs w:val="21"/>
              </w:rPr>
            </w:pPr>
          </w:p>
        </w:tc>
        <w:tc>
          <w:tcPr>
            <w:tcW w:w="410" w:type="pct"/>
            <w:vMerge w:val="continue"/>
            <w:shd w:val="clear" w:color="auto" w:fill="auto"/>
            <w:vAlign w:val="center"/>
          </w:tcPr>
          <w:p w14:paraId="33307AA9">
            <w:pPr>
              <w:widowControl/>
              <w:spacing w:line="240" w:lineRule="auto"/>
              <w:ind w:firstLine="0" w:firstLineChars="0"/>
              <w:jc w:val="center"/>
              <w:rPr>
                <w:rFonts w:cs="宋体"/>
                <w:color w:val="auto"/>
                <w:sz w:val="21"/>
                <w:szCs w:val="21"/>
              </w:rPr>
            </w:pPr>
          </w:p>
        </w:tc>
        <w:tc>
          <w:tcPr>
            <w:tcW w:w="103" w:type="pct"/>
            <w:vMerge w:val="continue"/>
            <w:shd w:val="clear" w:color="auto" w:fill="auto"/>
            <w:vAlign w:val="center"/>
          </w:tcPr>
          <w:p w14:paraId="0D4C16E6">
            <w:pPr>
              <w:widowControl/>
              <w:spacing w:line="240" w:lineRule="auto"/>
              <w:ind w:firstLine="0" w:firstLineChars="0"/>
              <w:jc w:val="center"/>
              <w:rPr>
                <w:rFonts w:cs="Times New Roman"/>
                <w:color w:val="auto"/>
                <w:sz w:val="21"/>
                <w:szCs w:val="21"/>
              </w:rPr>
            </w:pPr>
          </w:p>
        </w:tc>
        <w:tc>
          <w:tcPr>
            <w:tcW w:w="231" w:type="pct"/>
            <w:shd w:val="clear" w:color="auto" w:fill="auto"/>
            <w:vAlign w:val="center"/>
          </w:tcPr>
          <w:p w14:paraId="6DA0DF87">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HCl</w:t>
            </w:r>
          </w:p>
        </w:tc>
        <w:tc>
          <w:tcPr>
            <w:tcW w:w="451" w:type="pct"/>
            <w:vMerge w:val="continue"/>
            <w:shd w:val="clear" w:color="auto" w:fill="auto"/>
            <w:vAlign w:val="center"/>
          </w:tcPr>
          <w:p w14:paraId="349C1474">
            <w:pPr>
              <w:widowControl/>
              <w:spacing w:line="240" w:lineRule="auto"/>
              <w:ind w:firstLine="0" w:firstLineChars="0"/>
              <w:jc w:val="center"/>
              <w:rPr>
                <w:rFonts w:cs="宋体"/>
                <w:color w:val="auto"/>
                <w:sz w:val="21"/>
                <w:szCs w:val="21"/>
              </w:rPr>
            </w:pPr>
          </w:p>
        </w:tc>
        <w:tc>
          <w:tcPr>
            <w:tcW w:w="387" w:type="pct"/>
            <w:vMerge w:val="continue"/>
            <w:shd w:val="clear" w:color="auto" w:fill="auto"/>
            <w:vAlign w:val="center"/>
          </w:tcPr>
          <w:p w14:paraId="0B73C2AF">
            <w:pPr>
              <w:widowControl/>
              <w:spacing w:line="240" w:lineRule="auto"/>
              <w:ind w:firstLine="0" w:firstLineChars="0"/>
              <w:jc w:val="center"/>
              <w:rPr>
                <w:rFonts w:cs="Times New Roman"/>
                <w:color w:val="auto"/>
                <w:sz w:val="21"/>
                <w:szCs w:val="21"/>
              </w:rPr>
            </w:pPr>
          </w:p>
        </w:tc>
        <w:tc>
          <w:tcPr>
            <w:tcW w:w="324" w:type="pct"/>
            <w:shd w:val="clear" w:color="auto" w:fill="auto"/>
            <w:vAlign w:val="center"/>
          </w:tcPr>
          <w:p w14:paraId="3F4EACEC">
            <w:pPr>
              <w:pStyle w:val="45"/>
              <w:bidi w:val="0"/>
              <w:rPr>
                <w:color w:val="auto"/>
              </w:rPr>
            </w:pPr>
            <w:r>
              <w:rPr>
                <w:rFonts w:hint="default"/>
                <w:color w:val="auto"/>
                <w:lang w:val="en-US" w:eastAsia="zh-CN"/>
              </w:rPr>
              <w:t>7.53</w:t>
            </w:r>
          </w:p>
        </w:tc>
        <w:tc>
          <w:tcPr>
            <w:tcW w:w="315" w:type="pct"/>
            <w:shd w:val="clear" w:color="auto" w:fill="auto"/>
            <w:vAlign w:val="center"/>
          </w:tcPr>
          <w:p w14:paraId="0BEF8026">
            <w:pPr>
              <w:pStyle w:val="45"/>
              <w:bidi w:val="0"/>
              <w:rPr>
                <w:color w:val="auto"/>
              </w:rPr>
            </w:pPr>
            <w:r>
              <w:rPr>
                <w:rFonts w:hint="default"/>
                <w:color w:val="auto"/>
                <w:lang w:val="en-US" w:eastAsia="zh-CN"/>
              </w:rPr>
              <w:t>0.0151</w:t>
            </w:r>
          </w:p>
        </w:tc>
        <w:tc>
          <w:tcPr>
            <w:tcW w:w="346" w:type="pct"/>
            <w:shd w:val="clear" w:color="auto" w:fill="auto"/>
            <w:vAlign w:val="center"/>
          </w:tcPr>
          <w:p w14:paraId="344211AB">
            <w:pPr>
              <w:pStyle w:val="45"/>
              <w:bidi w:val="0"/>
              <w:rPr>
                <w:color w:val="auto"/>
              </w:rPr>
            </w:pPr>
            <w:r>
              <w:rPr>
                <w:rFonts w:hint="default"/>
                <w:color w:val="auto"/>
                <w:lang w:val="en-US" w:eastAsia="zh-CN"/>
              </w:rPr>
              <w:t>0.1084</w:t>
            </w:r>
          </w:p>
        </w:tc>
        <w:tc>
          <w:tcPr>
            <w:tcW w:w="392" w:type="pct"/>
            <w:shd w:val="clear" w:color="auto" w:fill="auto"/>
            <w:vAlign w:val="center"/>
          </w:tcPr>
          <w:p w14:paraId="055E1987">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20</w:t>
            </w:r>
          </w:p>
        </w:tc>
        <w:tc>
          <w:tcPr>
            <w:tcW w:w="330" w:type="pct"/>
            <w:shd w:val="clear" w:color="auto" w:fill="auto"/>
            <w:vAlign w:val="center"/>
          </w:tcPr>
          <w:p w14:paraId="0FC9D780">
            <w:pPr>
              <w:pStyle w:val="45"/>
              <w:bidi w:val="0"/>
              <w:rPr>
                <w:color w:val="auto"/>
              </w:rPr>
            </w:pPr>
            <w:r>
              <w:rPr>
                <w:color w:val="auto"/>
              </w:rPr>
              <w:t>/</w:t>
            </w:r>
          </w:p>
        </w:tc>
        <w:tc>
          <w:tcPr>
            <w:tcW w:w="1041" w:type="pct"/>
            <w:vMerge w:val="continue"/>
            <w:shd w:val="clear" w:color="auto" w:fill="auto"/>
            <w:vAlign w:val="center"/>
          </w:tcPr>
          <w:p w14:paraId="5EB12873">
            <w:pPr>
              <w:widowControl/>
              <w:spacing w:line="240" w:lineRule="auto"/>
              <w:ind w:firstLine="0" w:firstLineChars="0"/>
              <w:jc w:val="center"/>
              <w:rPr>
                <w:rFonts w:cs="宋体"/>
                <w:color w:val="auto"/>
                <w:sz w:val="21"/>
                <w:szCs w:val="21"/>
              </w:rPr>
            </w:pPr>
          </w:p>
        </w:tc>
      </w:tr>
      <w:tr w14:paraId="2B17A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362BFD5A">
            <w:pPr>
              <w:widowControl/>
              <w:spacing w:line="240" w:lineRule="auto"/>
              <w:ind w:firstLine="0" w:firstLineChars="0"/>
              <w:jc w:val="center"/>
              <w:rPr>
                <w:rFonts w:cs="宋体"/>
                <w:color w:val="auto"/>
                <w:sz w:val="21"/>
                <w:szCs w:val="21"/>
              </w:rPr>
            </w:pPr>
          </w:p>
        </w:tc>
        <w:tc>
          <w:tcPr>
            <w:tcW w:w="252" w:type="pct"/>
            <w:vMerge w:val="restart"/>
            <w:shd w:val="clear" w:color="auto" w:fill="auto"/>
            <w:vAlign w:val="center"/>
          </w:tcPr>
          <w:p w14:paraId="37F959D0">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DA002</w:t>
            </w:r>
          </w:p>
        </w:tc>
        <w:tc>
          <w:tcPr>
            <w:tcW w:w="312" w:type="pct"/>
            <w:vMerge w:val="restart"/>
            <w:shd w:val="clear" w:color="auto" w:fill="auto"/>
            <w:vAlign w:val="center"/>
          </w:tcPr>
          <w:p w14:paraId="544650AF">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除次钠尾气</w:t>
            </w:r>
          </w:p>
        </w:tc>
        <w:tc>
          <w:tcPr>
            <w:tcW w:w="410" w:type="pct"/>
            <w:vMerge w:val="restart"/>
            <w:shd w:val="clear" w:color="auto" w:fill="auto"/>
            <w:vAlign w:val="center"/>
          </w:tcPr>
          <w:p w14:paraId="54D283A6">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一级碱洗</w:t>
            </w:r>
          </w:p>
        </w:tc>
        <w:tc>
          <w:tcPr>
            <w:tcW w:w="103" w:type="pct"/>
            <w:vMerge w:val="restart"/>
            <w:shd w:val="clear" w:color="auto" w:fill="auto"/>
            <w:vAlign w:val="center"/>
          </w:tcPr>
          <w:p w14:paraId="39C28D30">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1</w:t>
            </w:r>
          </w:p>
        </w:tc>
        <w:tc>
          <w:tcPr>
            <w:tcW w:w="231" w:type="pct"/>
            <w:shd w:val="clear" w:color="auto" w:fill="auto"/>
            <w:vAlign w:val="center"/>
          </w:tcPr>
          <w:p w14:paraId="5B74854F">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Cl</w:t>
            </w:r>
            <w:r>
              <w:rPr>
                <w:rFonts w:cs="Times New Roman"/>
                <w:color w:val="auto"/>
                <w:kern w:val="0"/>
                <w:sz w:val="21"/>
                <w:szCs w:val="21"/>
                <w:vertAlign w:val="subscript"/>
              </w:rPr>
              <w:t>2</w:t>
            </w:r>
          </w:p>
        </w:tc>
        <w:tc>
          <w:tcPr>
            <w:tcW w:w="451" w:type="pct"/>
            <w:vMerge w:val="restart"/>
            <w:shd w:val="clear" w:color="auto" w:fill="auto"/>
            <w:vAlign w:val="center"/>
          </w:tcPr>
          <w:p w14:paraId="4DD6E121">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排气筒高度2</w:t>
            </w:r>
            <w:r>
              <w:rPr>
                <w:rFonts w:cs="Times New Roman"/>
                <w:color w:val="auto"/>
                <w:kern w:val="0"/>
                <w:sz w:val="21"/>
                <w:szCs w:val="21"/>
              </w:rPr>
              <w:t>5m</w:t>
            </w:r>
            <w:r>
              <w:rPr>
                <w:rFonts w:hint="eastAsia" w:cs="宋体"/>
                <w:color w:val="auto"/>
                <w:kern w:val="0"/>
                <w:sz w:val="21"/>
                <w:szCs w:val="21"/>
              </w:rPr>
              <w:t>，内径</w:t>
            </w:r>
            <w:r>
              <w:rPr>
                <w:rFonts w:cs="Times New Roman"/>
                <w:color w:val="auto"/>
                <w:kern w:val="0"/>
                <w:sz w:val="21"/>
                <w:szCs w:val="21"/>
              </w:rPr>
              <w:t>0.4m</w:t>
            </w:r>
            <w:r>
              <w:rPr>
                <w:rFonts w:hint="eastAsia" w:cs="宋体"/>
                <w:color w:val="auto"/>
                <w:kern w:val="0"/>
                <w:sz w:val="21"/>
                <w:szCs w:val="21"/>
              </w:rPr>
              <w:t>，排放温度</w:t>
            </w:r>
            <w:r>
              <w:rPr>
                <w:rFonts w:cs="Times New Roman"/>
                <w:color w:val="auto"/>
                <w:kern w:val="0"/>
                <w:sz w:val="21"/>
                <w:szCs w:val="21"/>
              </w:rPr>
              <w:t>25℃</w:t>
            </w:r>
          </w:p>
        </w:tc>
        <w:tc>
          <w:tcPr>
            <w:tcW w:w="387" w:type="pct"/>
            <w:vMerge w:val="restart"/>
            <w:shd w:val="clear" w:color="auto" w:fill="auto"/>
            <w:vAlign w:val="center"/>
          </w:tcPr>
          <w:p w14:paraId="70D9B4BC">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2000Nm</w:t>
            </w:r>
            <w:r>
              <w:rPr>
                <w:rFonts w:cs="Times New Roman"/>
                <w:color w:val="auto"/>
                <w:kern w:val="0"/>
                <w:sz w:val="21"/>
                <w:szCs w:val="21"/>
                <w:vertAlign w:val="superscript"/>
              </w:rPr>
              <w:t>3</w:t>
            </w:r>
            <w:r>
              <w:rPr>
                <w:rFonts w:cs="Times New Roman"/>
                <w:color w:val="auto"/>
                <w:kern w:val="0"/>
                <w:sz w:val="21"/>
                <w:szCs w:val="21"/>
              </w:rPr>
              <w:t>/h</w:t>
            </w:r>
          </w:p>
        </w:tc>
        <w:tc>
          <w:tcPr>
            <w:tcW w:w="324" w:type="pct"/>
            <w:shd w:val="clear" w:color="auto" w:fill="auto"/>
            <w:vAlign w:val="center"/>
          </w:tcPr>
          <w:p w14:paraId="537E3D28">
            <w:pPr>
              <w:pStyle w:val="45"/>
              <w:bidi w:val="0"/>
              <w:rPr>
                <w:color w:val="auto"/>
              </w:rPr>
            </w:pPr>
            <w:r>
              <w:rPr>
                <w:rFonts w:hint="default"/>
                <w:color w:val="auto"/>
                <w:lang w:val="en-US" w:eastAsia="zh-CN"/>
              </w:rPr>
              <w:t>0.51</w:t>
            </w:r>
          </w:p>
        </w:tc>
        <w:tc>
          <w:tcPr>
            <w:tcW w:w="315" w:type="pct"/>
            <w:shd w:val="clear" w:color="auto" w:fill="auto"/>
            <w:vAlign w:val="center"/>
          </w:tcPr>
          <w:p w14:paraId="64BCA72F">
            <w:pPr>
              <w:pStyle w:val="45"/>
              <w:bidi w:val="0"/>
              <w:rPr>
                <w:color w:val="auto"/>
              </w:rPr>
            </w:pPr>
            <w:r>
              <w:rPr>
                <w:rFonts w:hint="default"/>
                <w:color w:val="auto"/>
                <w:lang w:val="en-US" w:eastAsia="zh-CN"/>
              </w:rPr>
              <w:t>0.001</w:t>
            </w:r>
          </w:p>
        </w:tc>
        <w:tc>
          <w:tcPr>
            <w:tcW w:w="346" w:type="pct"/>
            <w:shd w:val="clear" w:color="auto" w:fill="auto"/>
            <w:vAlign w:val="center"/>
          </w:tcPr>
          <w:p w14:paraId="5D2934DC">
            <w:pPr>
              <w:pStyle w:val="45"/>
              <w:bidi w:val="0"/>
              <w:rPr>
                <w:color w:val="auto"/>
              </w:rPr>
            </w:pPr>
            <w:r>
              <w:rPr>
                <w:rFonts w:hint="default"/>
                <w:color w:val="auto"/>
                <w:lang w:val="en-US" w:eastAsia="zh-CN"/>
              </w:rPr>
              <w:t>0.0074</w:t>
            </w:r>
          </w:p>
        </w:tc>
        <w:tc>
          <w:tcPr>
            <w:tcW w:w="392" w:type="pct"/>
            <w:shd w:val="clear" w:color="auto" w:fill="auto"/>
            <w:vAlign w:val="center"/>
          </w:tcPr>
          <w:p w14:paraId="389D49AC">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8</w:t>
            </w:r>
          </w:p>
        </w:tc>
        <w:tc>
          <w:tcPr>
            <w:tcW w:w="330" w:type="pct"/>
            <w:shd w:val="clear" w:color="auto" w:fill="auto"/>
            <w:vAlign w:val="center"/>
          </w:tcPr>
          <w:p w14:paraId="6AFD5DF1">
            <w:pPr>
              <w:pStyle w:val="45"/>
              <w:bidi w:val="0"/>
              <w:rPr>
                <w:color w:val="auto"/>
              </w:rPr>
            </w:pPr>
            <w:r>
              <w:rPr>
                <w:color w:val="auto"/>
              </w:rPr>
              <w:t>/</w:t>
            </w:r>
          </w:p>
        </w:tc>
        <w:tc>
          <w:tcPr>
            <w:tcW w:w="1041" w:type="pct"/>
            <w:vMerge w:val="continue"/>
            <w:shd w:val="clear" w:color="auto" w:fill="auto"/>
            <w:vAlign w:val="center"/>
          </w:tcPr>
          <w:p w14:paraId="1309052B">
            <w:pPr>
              <w:widowControl/>
              <w:spacing w:line="240" w:lineRule="auto"/>
              <w:ind w:firstLine="0" w:firstLineChars="0"/>
              <w:jc w:val="center"/>
              <w:rPr>
                <w:rFonts w:cs="宋体"/>
                <w:color w:val="auto"/>
                <w:sz w:val="21"/>
                <w:szCs w:val="21"/>
              </w:rPr>
            </w:pPr>
          </w:p>
        </w:tc>
      </w:tr>
      <w:tr w14:paraId="5CE13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6CCC1D67">
            <w:pPr>
              <w:widowControl/>
              <w:spacing w:line="240" w:lineRule="auto"/>
              <w:ind w:firstLine="0" w:firstLineChars="0"/>
              <w:jc w:val="center"/>
              <w:rPr>
                <w:rFonts w:cs="宋体"/>
                <w:color w:val="auto"/>
                <w:sz w:val="21"/>
                <w:szCs w:val="21"/>
              </w:rPr>
            </w:pPr>
          </w:p>
        </w:tc>
        <w:tc>
          <w:tcPr>
            <w:tcW w:w="252" w:type="pct"/>
            <w:vMerge w:val="continue"/>
            <w:shd w:val="clear" w:color="auto" w:fill="auto"/>
            <w:vAlign w:val="center"/>
          </w:tcPr>
          <w:p w14:paraId="480AEBC4">
            <w:pPr>
              <w:widowControl/>
              <w:spacing w:line="240" w:lineRule="auto"/>
              <w:ind w:firstLine="0" w:firstLineChars="0"/>
              <w:jc w:val="center"/>
              <w:rPr>
                <w:rFonts w:cs="Times New Roman"/>
                <w:color w:val="auto"/>
                <w:sz w:val="21"/>
                <w:szCs w:val="21"/>
              </w:rPr>
            </w:pPr>
          </w:p>
        </w:tc>
        <w:tc>
          <w:tcPr>
            <w:tcW w:w="312" w:type="pct"/>
            <w:vMerge w:val="continue"/>
            <w:shd w:val="clear" w:color="auto" w:fill="auto"/>
            <w:vAlign w:val="center"/>
          </w:tcPr>
          <w:p w14:paraId="3779930B">
            <w:pPr>
              <w:widowControl/>
              <w:spacing w:line="240" w:lineRule="auto"/>
              <w:ind w:firstLine="0" w:firstLineChars="0"/>
              <w:jc w:val="center"/>
              <w:rPr>
                <w:rFonts w:cs="宋体"/>
                <w:color w:val="auto"/>
                <w:sz w:val="21"/>
                <w:szCs w:val="21"/>
              </w:rPr>
            </w:pPr>
          </w:p>
        </w:tc>
        <w:tc>
          <w:tcPr>
            <w:tcW w:w="410" w:type="pct"/>
            <w:vMerge w:val="continue"/>
            <w:shd w:val="clear" w:color="auto" w:fill="auto"/>
            <w:vAlign w:val="center"/>
          </w:tcPr>
          <w:p w14:paraId="0B899B1B">
            <w:pPr>
              <w:widowControl/>
              <w:spacing w:line="240" w:lineRule="auto"/>
              <w:ind w:firstLine="0" w:firstLineChars="0"/>
              <w:jc w:val="center"/>
              <w:rPr>
                <w:rFonts w:cs="宋体"/>
                <w:color w:val="auto"/>
                <w:sz w:val="21"/>
                <w:szCs w:val="21"/>
              </w:rPr>
            </w:pPr>
          </w:p>
        </w:tc>
        <w:tc>
          <w:tcPr>
            <w:tcW w:w="103" w:type="pct"/>
            <w:vMerge w:val="continue"/>
            <w:shd w:val="clear" w:color="auto" w:fill="auto"/>
            <w:vAlign w:val="center"/>
          </w:tcPr>
          <w:p w14:paraId="5FF1D0D4">
            <w:pPr>
              <w:widowControl/>
              <w:spacing w:line="240" w:lineRule="auto"/>
              <w:ind w:firstLine="0" w:firstLineChars="0"/>
              <w:jc w:val="center"/>
              <w:rPr>
                <w:rFonts w:cs="Times New Roman"/>
                <w:color w:val="auto"/>
                <w:sz w:val="21"/>
                <w:szCs w:val="21"/>
              </w:rPr>
            </w:pPr>
          </w:p>
        </w:tc>
        <w:tc>
          <w:tcPr>
            <w:tcW w:w="231" w:type="pct"/>
            <w:shd w:val="clear" w:color="auto" w:fill="auto"/>
            <w:vAlign w:val="center"/>
          </w:tcPr>
          <w:p w14:paraId="1D82BB01">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HCl</w:t>
            </w:r>
          </w:p>
        </w:tc>
        <w:tc>
          <w:tcPr>
            <w:tcW w:w="451" w:type="pct"/>
            <w:vMerge w:val="continue"/>
            <w:shd w:val="clear" w:color="auto" w:fill="auto"/>
            <w:vAlign w:val="center"/>
          </w:tcPr>
          <w:p w14:paraId="1031AD4A">
            <w:pPr>
              <w:widowControl/>
              <w:spacing w:line="240" w:lineRule="auto"/>
              <w:ind w:firstLine="0" w:firstLineChars="0"/>
              <w:jc w:val="center"/>
              <w:rPr>
                <w:rFonts w:cs="宋体"/>
                <w:color w:val="auto"/>
                <w:sz w:val="21"/>
                <w:szCs w:val="21"/>
              </w:rPr>
            </w:pPr>
          </w:p>
        </w:tc>
        <w:tc>
          <w:tcPr>
            <w:tcW w:w="387" w:type="pct"/>
            <w:vMerge w:val="continue"/>
            <w:shd w:val="clear" w:color="auto" w:fill="auto"/>
            <w:vAlign w:val="center"/>
          </w:tcPr>
          <w:p w14:paraId="039CAE9C">
            <w:pPr>
              <w:widowControl/>
              <w:spacing w:line="240" w:lineRule="auto"/>
              <w:ind w:firstLine="0" w:firstLineChars="0"/>
              <w:jc w:val="center"/>
              <w:rPr>
                <w:rFonts w:cs="Times New Roman"/>
                <w:color w:val="auto"/>
                <w:sz w:val="21"/>
                <w:szCs w:val="21"/>
              </w:rPr>
            </w:pPr>
          </w:p>
        </w:tc>
        <w:tc>
          <w:tcPr>
            <w:tcW w:w="324" w:type="pct"/>
            <w:shd w:val="clear" w:color="auto" w:fill="auto"/>
            <w:vAlign w:val="center"/>
          </w:tcPr>
          <w:p w14:paraId="65791327">
            <w:pPr>
              <w:pStyle w:val="45"/>
              <w:bidi w:val="0"/>
              <w:rPr>
                <w:color w:val="auto"/>
              </w:rPr>
            </w:pPr>
            <w:r>
              <w:rPr>
                <w:rFonts w:hint="default"/>
                <w:color w:val="auto"/>
                <w:lang w:val="en-US" w:eastAsia="zh-CN"/>
              </w:rPr>
              <w:t>0.53</w:t>
            </w:r>
          </w:p>
        </w:tc>
        <w:tc>
          <w:tcPr>
            <w:tcW w:w="315" w:type="pct"/>
            <w:shd w:val="clear" w:color="auto" w:fill="auto"/>
            <w:vAlign w:val="center"/>
          </w:tcPr>
          <w:p w14:paraId="7DAD585E">
            <w:pPr>
              <w:pStyle w:val="45"/>
              <w:bidi w:val="0"/>
              <w:rPr>
                <w:color w:val="auto"/>
              </w:rPr>
            </w:pPr>
            <w:r>
              <w:rPr>
                <w:rFonts w:hint="default"/>
                <w:color w:val="auto"/>
                <w:lang w:val="en-US" w:eastAsia="zh-CN"/>
              </w:rPr>
              <w:t>0.0011</w:t>
            </w:r>
          </w:p>
        </w:tc>
        <w:tc>
          <w:tcPr>
            <w:tcW w:w="346" w:type="pct"/>
            <w:shd w:val="clear" w:color="auto" w:fill="auto"/>
            <w:vAlign w:val="center"/>
          </w:tcPr>
          <w:p w14:paraId="69E30FF7">
            <w:pPr>
              <w:pStyle w:val="45"/>
              <w:bidi w:val="0"/>
              <w:rPr>
                <w:color w:val="auto"/>
              </w:rPr>
            </w:pPr>
            <w:r>
              <w:rPr>
                <w:rFonts w:hint="default"/>
                <w:color w:val="auto"/>
                <w:lang w:val="en-US" w:eastAsia="zh-CN"/>
              </w:rPr>
              <w:t>0.0076</w:t>
            </w:r>
          </w:p>
        </w:tc>
        <w:tc>
          <w:tcPr>
            <w:tcW w:w="392" w:type="pct"/>
            <w:shd w:val="clear" w:color="auto" w:fill="auto"/>
            <w:vAlign w:val="center"/>
          </w:tcPr>
          <w:p w14:paraId="5EC9A154">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20</w:t>
            </w:r>
          </w:p>
        </w:tc>
        <w:tc>
          <w:tcPr>
            <w:tcW w:w="330" w:type="pct"/>
            <w:shd w:val="clear" w:color="auto" w:fill="auto"/>
            <w:vAlign w:val="center"/>
          </w:tcPr>
          <w:p w14:paraId="4FACCAAB">
            <w:pPr>
              <w:pStyle w:val="45"/>
              <w:bidi w:val="0"/>
              <w:rPr>
                <w:color w:val="auto"/>
              </w:rPr>
            </w:pPr>
            <w:r>
              <w:rPr>
                <w:color w:val="auto"/>
              </w:rPr>
              <w:t>/</w:t>
            </w:r>
          </w:p>
        </w:tc>
        <w:tc>
          <w:tcPr>
            <w:tcW w:w="1041" w:type="pct"/>
            <w:vMerge w:val="continue"/>
            <w:shd w:val="clear" w:color="auto" w:fill="auto"/>
            <w:vAlign w:val="center"/>
          </w:tcPr>
          <w:p w14:paraId="51890EBE">
            <w:pPr>
              <w:widowControl/>
              <w:spacing w:line="240" w:lineRule="auto"/>
              <w:ind w:firstLine="0" w:firstLineChars="0"/>
              <w:jc w:val="center"/>
              <w:rPr>
                <w:rFonts w:cs="宋体"/>
                <w:color w:val="auto"/>
                <w:sz w:val="21"/>
                <w:szCs w:val="21"/>
              </w:rPr>
            </w:pPr>
          </w:p>
        </w:tc>
      </w:tr>
      <w:tr w14:paraId="75322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73726918">
            <w:pPr>
              <w:widowControl/>
              <w:spacing w:line="240" w:lineRule="auto"/>
              <w:ind w:firstLine="0" w:firstLineChars="0"/>
              <w:jc w:val="center"/>
              <w:rPr>
                <w:rFonts w:cs="宋体"/>
                <w:color w:val="auto"/>
                <w:sz w:val="21"/>
                <w:szCs w:val="21"/>
              </w:rPr>
            </w:pPr>
          </w:p>
        </w:tc>
        <w:tc>
          <w:tcPr>
            <w:tcW w:w="252" w:type="pct"/>
            <w:vMerge w:val="restart"/>
            <w:shd w:val="clear" w:color="auto" w:fill="auto"/>
            <w:vAlign w:val="center"/>
          </w:tcPr>
          <w:p w14:paraId="666D0811">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DA003</w:t>
            </w:r>
          </w:p>
        </w:tc>
        <w:tc>
          <w:tcPr>
            <w:tcW w:w="312" w:type="pct"/>
            <w:vMerge w:val="restart"/>
            <w:shd w:val="clear" w:color="auto" w:fill="auto"/>
            <w:vAlign w:val="center"/>
          </w:tcPr>
          <w:p w14:paraId="37B62629">
            <w:pPr>
              <w:widowControl/>
              <w:spacing w:line="240" w:lineRule="auto"/>
              <w:ind w:firstLine="0" w:firstLineChars="0"/>
              <w:jc w:val="center"/>
              <w:textAlignment w:val="center"/>
              <w:rPr>
                <w:rFonts w:hint="eastAsia" w:eastAsia="宋体" w:cs="宋体"/>
                <w:color w:val="auto"/>
                <w:sz w:val="21"/>
                <w:szCs w:val="21"/>
                <w:lang w:val="en-US" w:eastAsia="zh-CN"/>
              </w:rPr>
            </w:pPr>
            <w:r>
              <w:rPr>
                <w:rFonts w:hint="eastAsia" w:cs="宋体"/>
                <w:color w:val="auto"/>
                <w:kern w:val="0"/>
                <w:sz w:val="21"/>
                <w:szCs w:val="21"/>
              </w:rPr>
              <w:t>二次电解尾气</w:t>
            </w:r>
            <w:r>
              <w:rPr>
                <w:rFonts w:hint="eastAsia" w:cs="宋体"/>
                <w:color w:val="auto"/>
                <w:kern w:val="0"/>
                <w:sz w:val="21"/>
                <w:szCs w:val="21"/>
                <w:lang w:val="en-US" w:eastAsia="zh-CN"/>
              </w:rPr>
              <w:t>1</w:t>
            </w:r>
          </w:p>
        </w:tc>
        <w:tc>
          <w:tcPr>
            <w:tcW w:w="410" w:type="pct"/>
            <w:vMerge w:val="restart"/>
            <w:shd w:val="clear" w:color="auto" w:fill="auto"/>
            <w:vAlign w:val="center"/>
          </w:tcPr>
          <w:p w14:paraId="33DC5B59">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一级碱洗</w:t>
            </w:r>
          </w:p>
        </w:tc>
        <w:tc>
          <w:tcPr>
            <w:tcW w:w="103" w:type="pct"/>
            <w:vMerge w:val="restart"/>
            <w:shd w:val="clear" w:color="auto" w:fill="auto"/>
            <w:vAlign w:val="center"/>
          </w:tcPr>
          <w:p w14:paraId="25982229">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1</w:t>
            </w:r>
          </w:p>
        </w:tc>
        <w:tc>
          <w:tcPr>
            <w:tcW w:w="231" w:type="pct"/>
            <w:shd w:val="clear" w:color="auto" w:fill="auto"/>
            <w:vAlign w:val="center"/>
          </w:tcPr>
          <w:p w14:paraId="2F7AA3C6">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Cl</w:t>
            </w:r>
            <w:r>
              <w:rPr>
                <w:rFonts w:cs="Times New Roman"/>
                <w:color w:val="auto"/>
                <w:kern w:val="0"/>
                <w:sz w:val="21"/>
                <w:szCs w:val="21"/>
                <w:vertAlign w:val="subscript"/>
              </w:rPr>
              <w:t>2</w:t>
            </w:r>
          </w:p>
        </w:tc>
        <w:tc>
          <w:tcPr>
            <w:tcW w:w="451" w:type="pct"/>
            <w:vMerge w:val="restart"/>
            <w:shd w:val="clear" w:color="auto" w:fill="auto"/>
            <w:vAlign w:val="center"/>
          </w:tcPr>
          <w:p w14:paraId="160AF0FB">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排气筒高度2</w:t>
            </w:r>
            <w:r>
              <w:rPr>
                <w:rFonts w:cs="Times New Roman"/>
                <w:color w:val="auto"/>
                <w:kern w:val="0"/>
                <w:sz w:val="21"/>
                <w:szCs w:val="21"/>
              </w:rPr>
              <w:t>5m</w:t>
            </w:r>
            <w:r>
              <w:rPr>
                <w:rFonts w:hint="eastAsia" w:cs="宋体"/>
                <w:color w:val="auto"/>
                <w:kern w:val="0"/>
                <w:sz w:val="21"/>
                <w:szCs w:val="21"/>
              </w:rPr>
              <w:t>，内径</w:t>
            </w:r>
            <w:r>
              <w:rPr>
                <w:rFonts w:cs="Times New Roman"/>
                <w:color w:val="auto"/>
                <w:kern w:val="0"/>
                <w:sz w:val="21"/>
                <w:szCs w:val="21"/>
              </w:rPr>
              <w:t>0.4m</w:t>
            </w:r>
            <w:r>
              <w:rPr>
                <w:rFonts w:hint="eastAsia" w:cs="宋体"/>
                <w:color w:val="auto"/>
                <w:kern w:val="0"/>
                <w:sz w:val="21"/>
                <w:szCs w:val="21"/>
              </w:rPr>
              <w:t>，排放温度</w:t>
            </w:r>
            <w:r>
              <w:rPr>
                <w:rFonts w:cs="Times New Roman"/>
                <w:color w:val="auto"/>
                <w:kern w:val="0"/>
                <w:sz w:val="21"/>
                <w:szCs w:val="21"/>
              </w:rPr>
              <w:t>25℃</w:t>
            </w:r>
          </w:p>
        </w:tc>
        <w:tc>
          <w:tcPr>
            <w:tcW w:w="387" w:type="pct"/>
            <w:vMerge w:val="restart"/>
            <w:shd w:val="clear" w:color="auto" w:fill="auto"/>
            <w:vAlign w:val="center"/>
          </w:tcPr>
          <w:p w14:paraId="64F795D4">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2000Nm</w:t>
            </w:r>
            <w:r>
              <w:rPr>
                <w:rFonts w:cs="Times New Roman"/>
                <w:color w:val="auto"/>
                <w:kern w:val="0"/>
                <w:sz w:val="21"/>
                <w:szCs w:val="21"/>
                <w:vertAlign w:val="superscript"/>
              </w:rPr>
              <w:t>3</w:t>
            </w:r>
            <w:r>
              <w:rPr>
                <w:rFonts w:cs="Times New Roman"/>
                <w:color w:val="auto"/>
                <w:kern w:val="0"/>
                <w:sz w:val="21"/>
                <w:szCs w:val="21"/>
              </w:rPr>
              <w:t>/h</w:t>
            </w:r>
          </w:p>
        </w:tc>
        <w:tc>
          <w:tcPr>
            <w:tcW w:w="324" w:type="pct"/>
            <w:shd w:val="clear" w:color="auto" w:fill="auto"/>
            <w:vAlign w:val="center"/>
          </w:tcPr>
          <w:p w14:paraId="4D8F496D">
            <w:pPr>
              <w:pStyle w:val="45"/>
              <w:bidi w:val="0"/>
              <w:rPr>
                <w:color w:val="auto"/>
              </w:rPr>
            </w:pPr>
            <w:r>
              <w:rPr>
                <w:rFonts w:hint="default"/>
                <w:color w:val="auto"/>
                <w:lang w:val="en-US" w:eastAsia="zh-CN"/>
              </w:rPr>
              <w:t>5.21</w:t>
            </w:r>
          </w:p>
        </w:tc>
        <w:tc>
          <w:tcPr>
            <w:tcW w:w="315" w:type="pct"/>
            <w:shd w:val="clear" w:color="auto" w:fill="auto"/>
            <w:vAlign w:val="center"/>
          </w:tcPr>
          <w:p w14:paraId="7A476CAD">
            <w:pPr>
              <w:pStyle w:val="45"/>
              <w:bidi w:val="0"/>
              <w:rPr>
                <w:color w:val="auto"/>
              </w:rPr>
            </w:pPr>
            <w:r>
              <w:rPr>
                <w:rFonts w:hint="default"/>
                <w:color w:val="auto"/>
                <w:lang w:val="en-US" w:eastAsia="zh-CN"/>
              </w:rPr>
              <w:t>0.0104</w:t>
            </w:r>
          </w:p>
        </w:tc>
        <w:tc>
          <w:tcPr>
            <w:tcW w:w="346" w:type="pct"/>
            <w:shd w:val="clear" w:color="auto" w:fill="auto"/>
            <w:vAlign w:val="center"/>
          </w:tcPr>
          <w:p w14:paraId="36B43954">
            <w:pPr>
              <w:pStyle w:val="45"/>
              <w:bidi w:val="0"/>
              <w:rPr>
                <w:color w:val="auto"/>
              </w:rPr>
            </w:pPr>
            <w:r>
              <w:rPr>
                <w:rFonts w:hint="default"/>
                <w:color w:val="auto"/>
                <w:lang w:val="en-US" w:eastAsia="zh-CN"/>
              </w:rPr>
              <w:t>0.075</w:t>
            </w:r>
          </w:p>
        </w:tc>
        <w:tc>
          <w:tcPr>
            <w:tcW w:w="392" w:type="pct"/>
            <w:shd w:val="clear" w:color="auto" w:fill="auto"/>
            <w:vAlign w:val="center"/>
          </w:tcPr>
          <w:p w14:paraId="4E1596F8">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8</w:t>
            </w:r>
          </w:p>
        </w:tc>
        <w:tc>
          <w:tcPr>
            <w:tcW w:w="330" w:type="pct"/>
            <w:shd w:val="clear" w:color="auto" w:fill="auto"/>
            <w:vAlign w:val="center"/>
          </w:tcPr>
          <w:p w14:paraId="6275BF1A">
            <w:pPr>
              <w:pStyle w:val="45"/>
              <w:bidi w:val="0"/>
              <w:rPr>
                <w:color w:val="auto"/>
              </w:rPr>
            </w:pPr>
            <w:r>
              <w:rPr>
                <w:color w:val="auto"/>
              </w:rPr>
              <w:t>/</w:t>
            </w:r>
          </w:p>
        </w:tc>
        <w:tc>
          <w:tcPr>
            <w:tcW w:w="1041" w:type="pct"/>
            <w:vMerge w:val="continue"/>
            <w:shd w:val="clear" w:color="auto" w:fill="auto"/>
            <w:vAlign w:val="center"/>
          </w:tcPr>
          <w:p w14:paraId="139726CA">
            <w:pPr>
              <w:widowControl/>
              <w:spacing w:line="240" w:lineRule="auto"/>
              <w:ind w:firstLine="0" w:firstLineChars="0"/>
              <w:jc w:val="center"/>
              <w:rPr>
                <w:rFonts w:cs="宋体"/>
                <w:color w:val="auto"/>
                <w:sz w:val="21"/>
                <w:szCs w:val="21"/>
              </w:rPr>
            </w:pPr>
          </w:p>
        </w:tc>
      </w:tr>
      <w:tr w14:paraId="663B5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3FEABD43">
            <w:pPr>
              <w:widowControl/>
              <w:spacing w:line="240" w:lineRule="auto"/>
              <w:ind w:firstLine="0" w:firstLineChars="0"/>
              <w:jc w:val="center"/>
              <w:rPr>
                <w:rFonts w:cs="宋体"/>
                <w:color w:val="auto"/>
                <w:sz w:val="21"/>
                <w:szCs w:val="21"/>
              </w:rPr>
            </w:pPr>
          </w:p>
        </w:tc>
        <w:tc>
          <w:tcPr>
            <w:tcW w:w="252" w:type="pct"/>
            <w:vMerge w:val="continue"/>
            <w:shd w:val="clear" w:color="auto" w:fill="auto"/>
            <w:vAlign w:val="center"/>
          </w:tcPr>
          <w:p w14:paraId="36EBD6B9">
            <w:pPr>
              <w:widowControl/>
              <w:spacing w:line="240" w:lineRule="auto"/>
              <w:ind w:firstLine="0" w:firstLineChars="0"/>
              <w:jc w:val="center"/>
              <w:rPr>
                <w:rFonts w:cs="Times New Roman"/>
                <w:color w:val="auto"/>
                <w:sz w:val="21"/>
                <w:szCs w:val="21"/>
              </w:rPr>
            </w:pPr>
          </w:p>
        </w:tc>
        <w:tc>
          <w:tcPr>
            <w:tcW w:w="312" w:type="pct"/>
            <w:vMerge w:val="continue"/>
            <w:shd w:val="clear" w:color="auto" w:fill="auto"/>
            <w:vAlign w:val="center"/>
          </w:tcPr>
          <w:p w14:paraId="73A2A201">
            <w:pPr>
              <w:widowControl/>
              <w:spacing w:line="240" w:lineRule="auto"/>
              <w:ind w:firstLine="0" w:firstLineChars="0"/>
              <w:jc w:val="center"/>
              <w:rPr>
                <w:rFonts w:cs="宋体"/>
                <w:color w:val="auto"/>
                <w:sz w:val="21"/>
                <w:szCs w:val="21"/>
              </w:rPr>
            </w:pPr>
          </w:p>
        </w:tc>
        <w:tc>
          <w:tcPr>
            <w:tcW w:w="410" w:type="pct"/>
            <w:vMerge w:val="continue"/>
            <w:shd w:val="clear" w:color="auto" w:fill="auto"/>
            <w:vAlign w:val="center"/>
          </w:tcPr>
          <w:p w14:paraId="2EC088BE">
            <w:pPr>
              <w:widowControl/>
              <w:spacing w:line="240" w:lineRule="auto"/>
              <w:ind w:firstLine="0" w:firstLineChars="0"/>
              <w:jc w:val="center"/>
              <w:rPr>
                <w:rFonts w:cs="宋体"/>
                <w:color w:val="auto"/>
                <w:sz w:val="21"/>
                <w:szCs w:val="21"/>
              </w:rPr>
            </w:pPr>
          </w:p>
        </w:tc>
        <w:tc>
          <w:tcPr>
            <w:tcW w:w="103" w:type="pct"/>
            <w:vMerge w:val="continue"/>
            <w:shd w:val="clear" w:color="auto" w:fill="auto"/>
            <w:vAlign w:val="center"/>
          </w:tcPr>
          <w:p w14:paraId="2C6C09ED">
            <w:pPr>
              <w:widowControl/>
              <w:spacing w:line="240" w:lineRule="auto"/>
              <w:ind w:firstLine="0" w:firstLineChars="0"/>
              <w:jc w:val="center"/>
              <w:rPr>
                <w:rFonts w:cs="Times New Roman"/>
                <w:color w:val="auto"/>
                <w:sz w:val="21"/>
                <w:szCs w:val="21"/>
              </w:rPr>
            </w:pPr>
          </w:p>
        </w:tc>
        <w:tc>
          <w:tcPr>
            <w:tcW w:w="231" w:type="pct"/>
            <w:shd w:val="clear" w:color="auto" w:fill="auto"/>
            <w:vAlign w:val="center"/>
          </w:tcPr>
          <w:p w14:paraId="796CD36A">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HCl</w:t>
            </w:r>
          </w:p>
        </w:tc>
        <w:tc>
          <w:tcPr>
            <w:tcW w:w="451" w:type="pct"/>
            <w:vMerge w:val="continue"/>
            <w:shd w:val="clear" w:color="auto" w:fill="auto"/>
            <w:vAlign w:val="center"/>
          </w:tcPr>
          <w:p w14:paraId="03807A6F">
            <w:pPr>
              <w:widowControl/>
              <w:spacing w:line="240" w:lineRule="auto"/>
              <w:ind w:firstLine="0" w:firstLineChars="0"/>
              <w:jc w:val="center"/>
              <w:rPr>
                <w:rFonts w:cs="宋体"/>
                <w:color w:val="auto"/>
                <w:sz w:val="21"/>
                <w:szCs w:val="21"/>
              </w:rPr>
            </w:pPr>
          </w:p>
        </w:tc>
        <w:tc>
          <w:tcPr>
            <w:tcW w:w="387" w:type="pct"/>
            <w:vMerge w:val="continue"/>
            <w:shd w:val="clear" w:color="auto" w:fill="auto"/>
            <w:vAlign w:val="center"/>
          </w:tcPr>
          <w:p w14:paraId="203D8AD1">
            <w:pPr>
              <w:widowControl/>
              <w:spacing w:line="240" w:lineRule="auto"/>
              <w:ind w:firstLine="0" w:firstLineChars="0"/>
              <w:jc w:val="center"/>
              <w:rPr>
                <w:rFonts w:cs="Times New Roman"/>
                <w:color w:val="auto"/>
                <w:sz w:val="21"/>
                <w:szCs w:val="21"/>
              </w:rPr>
            </w:pPr>
          </w:p>
        </w:tc>
        <w:tc>
          <w:tcPr>
            <w:tcW w:w="324" w:type="pct"/>
            <w:shd w:val="clear" w:color="auto" w:fill="auto"/>
            <w:vAlign w:val="center"/>
          </w:tcPr>
          <w:p w14:paraId="73AE3E03">
            <w:pPr>
              <w:pStyle w:val="45"/>
              <w:bidi w:val="0"/>
              <w:rPr>
                <w:color w:val="auto"/>
              </w:rPr>
            </w:pPr>
            <w:r>
              <w:rPr>
                <w:rFonts w:hint="default"/>
                <w:color w:val="auto"/>
                <w:lang w:val="en-US" w:eastAsia="zh-CN"/>
              </w:rPr>
              <w:t>6.04</w:t>
            </w:r>
          </w:p>
        </w:tc>
        <w:tc>
          <w:tcPr>
            <w:tcW w:w="315" w:type="pct"/>
            <w:shd w:val="clear" w:color="auto" w:fill="auto"/>
            <w:vAlign w:val="center"/>
          </w:tcPr>
          <w:p w14:paraId="7DA053E2">
            <w:pPr>
              <w:pStyle w:val="45"/>
              <w:bidi w:val="0"/>
              <w:rPr>
                <w:color w:val="auto"/>
              </w:rPr>
            </w:pPr>
            <w:r>
              <w:rPr>
                <w:rFonts w:hint="default"/>
                <w:color w:val="auto"/>
                <w:lang w:val="en-US" w:eastAsia="zh-CN"/>
              </w:rPr>
              <w:t>0.0121</w:t>
            </w:r>
          </w:p>
        </w:tc>
        <w:tc>
          <w:tcPr>
            <w:tcW w:w="346" w:type="pct"/>
            <w:shd w:val="clear" w:color="auto" w:fill="auto"/>
            <w:vAlign w:val="center"/>
          </w:tcPr>
          <w:p w14:paraId="7002B10F">
            <w:pPr>
              <w:pStyle w:val="45"/>
              <w:bidi w:val="0"/>
              <w:rPr>
                <w:color w:val="auto"/>
              </w:rPr>
            </w:pPr>
            <w:r>
              <w:rPr>
                <w:rFonts w:hint="default"/>
                <w:color w:val="auto"/>
                <w:lang w:val="en-US" w:eastAsia="zh-CN"/>
              </w:rPr>
              <w:t>0.087</w:t>
            </w:r>
          </w:p>
        </w:tc>
        <w:tc>
          <w:tcPr>
            <w:tcW w:w="392" w:type="pct"/>
            <w:shd w:val="clear" w:color="auto" w:fill="auto"/>
            <w:vAlign w:val="center"/>
          </w:tcPr>
          <w:p w14:paraId="63039A26">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20</w:t>
            </w:r>
          </w:p>
        </w:tc>
        <w:tc>
          <w:tcPr>
            <w:tcW w:w="330" w:type="pct"/>
            <w:shd w:val="clear" w:color="auto" w:fill="auto"/>
            <w:vAlign w:val="center"/>
          </w:tcPr>
          <w:p w14:paraId="5A60058C">
            <w:pPr>
              <w:pStyle w:val="45"/>
              <w:bidi w:val="0"/>
              <w:rPr>
                <w:color w:val="auto"/>
              </w:rPr>
            </w:pPr>
            <w:r>
              <w:rPr>
                <w:color w:val="auto"/>
              </w:rPr>
              <w:t>/</w:t>
            </w:r>
          </w:p>
        </w:tc>
        <w:tc>
          <w:tcPr>
            <w:tcW w:w="1041" w:type="pct"/>
            <w:vMerge w:val="continue"/>
            <w:shd w:val="clear" w:color="auto" w:fill="auto"/>
            <w:vAlign w:val="center"/>
          </w:tcPr>
          <w:p w14:paraId="31A28844">
            <w:pPr>
              <w:widowControl/>
              <w:spacing w:line="240" w:lineRule="auto"/>
              <w:ind w:firstLine="0" w:firstLineChars="0"/>
              <w:jc w:val="center"/>
              <w:rPr>
                <w:rFonts w:cs="宋体"/>
                <w:color w:val="auto"/>
                <w:sz w:val="21"/>
                <w:szCs w:val="21"/>
              </w:rPr>
            </w:pPr>
          </w:p>
        </w:tc>
      </w:tr>
      <w:tr w14:paraId="7A101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4943DE58">
            <w:pPr>
              <w:widowControl/>
              <w:spacing w:line="240" w:lineRule="auto"/>
              <w:ind w:firstLine="0" w:firstLineChars="0"/>
              <w:jc w:val="center"/>
              <w:rPr>
                <w:rFonts w:cs="宋体"/>
                <w:color w:val="auto"/>
                <w:sz w:val="21"/>
                <w:szCs w:val="21"/>
              </w:rPr>
            </w:pPr>
          </w:p>
        </w:tc>
        <w:tc>
          <w:tcPr>
            <w:tcW w:w="252" w:type="pct"/>
            <w:vMerge w:val="restart"/>
            <w:shd w:val="clear" w:color="auto" w:fill="auto"/>
            <w:vAlign w:val="center"/>
          </w:tcPr>
          <w:p w14:paraId="155003FF">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DA004</w:t>
            </w:r>
          </w:p>
        </w:tc>
        <w:tc>
          <w:tcPr>
            <w:tcW w:w="312" w:type="pct"/>
            <w:vMerge w:val="restart"/>
            <w:shd w:val="clear" w:color="auto" w:fill="auto"/>
            <w:vAlign w:val="center"/>
          </w:tcPr>
          <w:p w14:paraId="59DFA608">
            <w:pPr>
              <w:widowControl/>
              <w:spacing w:line="240" w:lineRule="auto"/>
              <w:ind w:firstLine="0" w:firstLineChars="0"/>
              <w:jc w:val="center"/>
              <w:textAlignment w:val="center"/>
              <w:rPr>
                <w:rFonts w:hint="eastAsia" w:eastAsia="宋体" w:cs="宋体"/>
                <w:color w:val="auto"/>
                <w:sz w:val="21"/>
                <w:szCs w:val="21"/>
                <w:lang w:val="en-US" w:eastAsia="zh-CN"/>
              </w:rPr>
            </w:pPr>
            <w:r>
              <w:rPr>
                <w:rFonts w:hint="eastAsia" w:cs="宋体"/>
                <w:color w:val="auto"/>
                <w:kern w:val="0"/>
                <w:sz w:val="21"/>
                <w:szCs w:val="21"/>
              </w:rPr>
              <w:t>二次电解尾气</w:t>
            </w:r>
            <w:r>
              <w:rPr>
                <w:rFonts w:hint="eastAsia" w:cs="宋体"/>
                <w:color w:val="auto"/>
                <w:kern w:val="0"/>
                <w:sz w:val="21"/>
                <w:szCs w:val="21"/>
                <w:lang w:val="en-US" w:eastAsia="zh-CN"/>
              </w:rPr>
              <w:t>2</w:t>
            </w:r>
          </w:p>
        </w:tc>
        <w:tc>
          <w:tcPr>
            <w:tcW w:w="410" w:type="pct"/>
            <w:vMerge w:val="restart"/>
            <w:shd w:val="clear" w:color="auto" w:fill="auto"/>
            <w:vAlign w:val="center"/>
          </w:tcPr>
          <w:p w14:paraId="47085D5E">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一级碱洗</w:t>
            </w:r>
          </w:p>
        </w:tc>
        <w:tc>
          <w:tcPr>
            <w:tcW w:w="103" w:type="pct"/>
            <w:vMerge w:val="restart"/>
            <w:shd w:val="clear" w:color="auto" w:fill="auto"/>
            <w:vAlign w:val="center"/>
          </w:tcPr>
          <w:p w14:paraId="2AA86B17">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1</w:t>
            </w:r>
          </w:p>
        </w:tc>
        <w:tc>
          <w:tcPr>
            <w:tcW w:w="231" w:type="pct"/>
            <w:shd w:val="clear" w:color="auto" w:fill="auto"/>
            <w:vAlign w:val="center"/>
          </w:tcPr>
          <w:p w14:paraId="6D1658A4">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Cl</w:t>
            </w:r>
            <w:r>
              <w:rPr>
                <w:rFonts w:cs="Times New Roman"/>
                <w:color w:val="auto"/>
                <w:kern w:val="0"/>
                <w:sz w:val="21"/>
                <w:szCs w:val="21"/>
                <w:vertAlign w:val="subscript"/>
              </w:rPr>
              <w:t>2</w:t>
            </w:r>
          </w:p>
        </w:tc>
        <w:tc>
          <w:tcPr>
            <w:tcW w:w="451" w:type="pct"/>
            <w:vMerge w:val="restart"/>
            <w:shd w:val="clear" w:color="auto" w:fill="auto"/>
            <w:vAlign w:val="center"/>
          </w:tcPr>
          <w:p w14:paraId="40EB3978">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排气筒高度2</w:t>
            </w:r>
            <w:r>
              <w:rPr>
                <w:rFonts w:cs="Times New Roman"/>
                <w:color w:val="auto"/>
                <w:kern w:val="0"/>
                <w:sz w:val="21"/>
                <w:szCs w:val="21"/>
              </w:rPr>
              <w:t>5m</w:t>
            </w:r>
            <w:r>
              <w:rPr>
                <w:rFonts w:hint="eastAsia" w:cs="宋体"/>
                <w:color w:val="auto"/>
                <w:kern w:val="0"/>
                <w:sz w:val="21"/>
                <w:szCs w:val="21"/>
              </w:rPr>
              <w:t>，内径</w:t>
            </w:r>
            <w:r>
              <w:rPr>
                <w:rFonts w:cs="Times New Roman"/>
                <w:color w:val="auto"/>
                <w:kern w:val="0"/>
                <w:sz w:val="21"/>
                <w:szCs w:val="21"/>
              </w:rPr>
              <w:t>0.4m</w:t>
            </w:r>
            <w:r>
              <w:rPr>
                <w:rFonts w:hint="eastAsia" w:cs="宋体"/>
                <w:color w:val="auto"/>
                <w:kern w:val="0"/>
                <w:sz w:val="21"/>
                <w:szCs w:val="21"/>
              </w:rPr>
              <w:t>，排放温度</w:t>
            </w:r>
            <w:r>
              <w:rPr>
                <w:rFonts w:cs="Times New Roman"/>
                <w:color w:val="auto"/>
                <w:kern w:val="0"/>
                <w:sz w:val="21"/>
                <w:szCs w:val="21"/>
              </w:rPr>
              <w:t>25℃</w:t>
            </w:r>
          </w:p>
        </w:tc>
        <w:tc>
          <w:tcPr>
            <w:tcW w:w="387" w:type="pct"/>
            <w:vMerge w:val="restart"/>
            <w:shd w:val="clear" w:color="auto" w:fill="auto"/>
            <w:vAlign w:val="center"/>
          </w:tcPr>
          <w:p w14:paraId="5B4F5DF3">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2000Nm</w:t>
            </w:r>
            <w:r>
              <w:rPr>
                <w:rFonts w:cs="Times New Roman"/>
                <w:color w:val="auto"/>
                <w:kern w:val="0"/>
                <w:sz w:val="21"/>
                <w:szCs w:val="21"/>
                <w:vertAlign w:val="superscript"/>
              </w:rPr>
              <w:t>3</w:t>
            </w:r>
            <w:r>
              <w:rPr>
                <w:rFonts w:cs="Times New Roman"/>
                <w:color w:val="auto"/>
                <w:kern w:val="0"/>
                <w:sz w:val="21"/>
                <w:szCs w:val="21"/>
              </w:rPr>
              <w:t>/h</w:t>
            </w:r>
          </w:p>
        </w:tc>
        <w:tc>
          <w:tcPr>
            <w:tcW w:w="324" w:type="pct"/>
            <w:shd w:val="clear" w:color="auto" w:fill="auto"/>
            <w:vAlign w:val="center"/>
          </w:tcPr>
          <w:p w14:paraId="0058DAEA">
            <w:pPr>
              <w:pStyle w:val="45"/>
              <w:bidi w:val="0"/>
              <w:rPr>
                <w:color w:val="auto"/>
              </w:rPr>
            </w:pPr>
            <w:r>
              <w:rPr>
                <w:rFonts w:hint="default"/>
                <w:color w:val="auto"/>
                <w:lang w:val="en-US" w:eastAsia="zh-CN"/>
              </w:rPr>
              <w:t>5.21</w:t>
            </w:r>
          </w:p>
        </w:tc>
        <w:tc>
          <w:tcPr>
            <w:tcW w:w="315" w:type="pct"/>
            <w:shd w:val="clear" w:color="auto" w:fill="auto"/>
            <w:vAlign w:val="center"/>
          </w:tcPr>
          <w:p w14:paraId="331E2434">
            <w:pPr>
              <w:pStyle w:val="45"/>
              <w:bidi w:val="0"/>
              <w:rPr>
                <w:color w:val="auto"/>
              </w:rPr>
            </w:pPr>
            <w:r>
              <w:rPr>
                <w:rFonts w:hint="default"/>
                <w:color w:val="auto"/>
                <w:lang w:val="en-US" w:eastAsia="zh-CN"/>
              </w:rPr>
              <w:t>0.0104</w:t>
            </w:r>
          </w:p>
        </w:tc>
        <w:tc>
          <w:tcPr>
            <w:tcW w:w="346" w:type="pct"/>
            <w:shd w:val="clear" w:color="auto" w:fill="auto"/>
            <w:vAlign w:val="center"/>
          </w:tcPr>
          <w:p w14:paraId="76C78E08">
            <w:pPr>
              <w:pStyle w:val="45"/>
              <w:bidi w:val="0"/>
              <w:rPr>
                <w:color w:val="auto"/>
              </w:rPr>
            </w:pPr>
            <w:r>
              <w:rPr>
                <w:rFonts w:hint="default"/>
                <w:color w:val="auto"/>
                <w:lang w:val="en-US" w:eastAsia="zh-CN"/>
              </w:rPr>
              <w:t>0.075</w:t>
            </w:r>
          </w:p>
        </w:tc>
        <w:tc>
          <w:tcPr>
            <w:tcW w:w="392" w:type="pct"/>
            <w:shd w:val="clear" w:color="auto" w:fill="auto"/>
            <w:vAlign w:val="center"/>
          </w:tcPr>
          <w:p w14:paraId="07F0D0E4">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8</w:t>
            </w:r>
          </w:p>
        </w:tc>
        <w:tc>
          <w:tcPr>
            <w:tcW w:w="330" w:type="pct"/>
            <w:shd w:val="clear" w:color="auto" w:fill="auto"/>
            <w:vAlign w:val="center"/>
          </w:tcPr>
          <w:p w14:paraId="056982D7">
            <w:pPr>
              <w:pStyle w:val="45"/>
              <w:bidi w:val="0"/>
              <w:rPr>
                <w:color w:val="auto"/>
              </w:rPr>
            </w:pPr>
            <w:r>
              <w:rPr>
                <w:color w:val="auto"/>
              </w:rPr>
              <w:t>/</w:t>
            </w:r>
          </w:p>
        </w:tc>
        <w:tc>
          <w:tcPr>
            <w:tcW w:w="1041" w:type="pct"/>
            <w:vMerge w:val="continue"/>
            <w:shd w:val="clear" w:color="auto" w:fill="auto"/>
            <w:vAlign w:val="center"/>
          </w:tcPr>
          <w:p w14:paraId="2FBE987B">
            <w:pPr>
              <w:widowControl/>
              <w:spacing w:line="240" w:lineRule="auto"/>
              <w:ind w:firstLine="0" w:firstLineChars="0"/>
              <w:jc w:val="center"/>
              <w:rPr>
                <w:rFonts w:cs="宋体"/>
                <w:color w:val="auto"/>
                <w:sz w:val="21"/>
                <w:szCs w:val="21"/>
              </w:rPr>
            </w:pPr>
          </w:p>
        </w:tc>
      </w:tr>
      <w:tr w14:paraId="5DE69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27B17611">
            <w:pPr>
              <w:widowControl/>
              <w:spacing w:line="240" w:lineRule="auto"/>
              <w:ind w:firstLine="0" w:firstLineChars="0"/>
              <w:jc w:val="center"/>
              <w:rPr>
                <w:rFonts w:cs="宋体"/>
                <w:color w:val="auto"/>
                <w:sz w:val="21"/>
                <w:szCs w:val="21"/>
              </w:rPr>
            </w:pPr>
          </w:p>
        </w:tc>
        <w:tc>
          <w:tcPr>
            <w:tcW w:w="252" w:type="pct"/>
            <w:vMerge w:val="continue"/>
            <w:shd w:val="clear" w:color="auto" w:fill="auto"/>
            <w:vAlign w:val="center"/>
          </w:tcPr>
          <w:p w14:paraId="3B2B7D33">
            <w:pPr>
              <w:widowControl/>
              <w:spacing w:line="240" w:lineRule="auto"/>
              <w:ind w:firstLine="0" w:firstLineChars="0"/>
              <w:jc w:val="center"/>
              <w:rPr>
                <w:rFonts w:cs="Times New Roman"/>
                <w:color w:val="auto"/>
                <w:sz w:val="21"/>
                <w:szCs w:val="21"/>
              </w:rPr>
            </w:pPr>
          </w:p>
        </w:tc>
        <w:tc>
          <w:tcPr>
            <w:tcW w:w="312" w:type="pct"/>
            <w:vMerge w:val="continue"/>
            <w:shd w:val="clear" w:color="auto" w:fill="auto"/>
            <w:vAlign w:val="center"/>
          </w:tcPr>
          <w:p w14:paraId="0E1F5E35">
            <w:pPr>
              <w:widowControl/>
              <w:spacing w:line="240" w:lineRule="auto"/>
              <w:ind w:firstLine="0" w:firstLineChars="0"/>
              <w:jc w:val="center"/>
              <w:rPr>
                <w:rFonts w:cs="宋体"/>
                <w:color w:val="auto"/>
                <w:sz w:val="21"/>
                <w:szCs w:val="21"/>
              </w:rPr>
            </w:pPr>
          </w:p>
        </w:tc>
        <w:tc>
          <w:tcPr>
            <w:tcW w:w="410" w:type="pct"/>
            <w:vMerge w:val="continue"/>
            <w:shd w:val="clear" w:color="auto" w:fill="auto"/>
            <w:vAlign w:val="center"/>
          </w:tcPr>
          <w:p w14:paraId="67CD5601">
            <w:pPr>
              <w:widowControl/>
              <w:spacing w:line="240" w:lineRule="auto"/>
              <w:ind w:firstLine="0" w:firstLineChars="0"/>
              <w:jc w:val="center"/>
              <w:rPr>
                <w:rFonts w:cs="宋体"/>
                <w:color w:val="auto"/>
                <w:sz w:val="21"/>
                <w:szCs w:val="21"/>
              </w:rPr>
            </w:pPr>
          </w:p>
        </w:tc>
        <w:tc>
          <w:tcPr>
            <w:tcW w:w="103" w:type="pct"/>
            <w:vMerge w:val="continue"/>
            <w:shd w:val="clear" w:color="auto" w:fill="auto"/>
            <w:vAlign w:val="center"/>
          </w:tcPr>
          <w:p w14:paraId="5B710866">
            <w:pPr>
              <w:widowControl/>
              <w:spacing w:line="240" w:lineRule="auto"/>
              <w:ind w:firstLine="0" w:firstLineChars="0"/>
              <w:jc w:val="center"/>
              <w:rPr>
                <w:rFonts w:cs="Times New Roman"/>
                <w:color w:val="auto"/>
                <w:sz w:val="21"/>
                <w:szCs w:val="21"/>
              </w:rPr>
            </w:pPr>
          </w:p>
        </w:tc>
        <w:tc>
          <w:tcPr>
            <w:tcW w:w="231" w:type="pct"/>
            <w:shd w:val="clear" w:color="auto" w:fill="auto"/>
            <w:vAlign w:val="center"/>
          </w:tcPr>
          <w:p w14:paraId="095286D8">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HCl</w:t>
            </w:r>
          </w:p>
        </w:tc>
        <w:tc>
          <w:tcPr>
            <w:tcW w:w="451" w:type="pct"/>
            <w:vMerge w:val="continue"/>
            <w:shd w:val="clear" w:color="auto" w:fill="auto"/>
            <w:vAlign w:val="center"/>
          </w:tcPr>
          <w:p w14:paraId="47529B43">
            <w:pPr>
              <w:widowControl/>
              <w:spacing w:line="240" w:lineRule="auto"/>
              <w:ind w:firstLine="0" w:firstLineChars="0"/>
              <w:jc w:val="center"/>
              <w:rPr>
                <w:rFonts w:cs="宋体"/>
                <w:color w:val="auto"/>
                <w:sz w:val="21"/>
                <w:szCs w:val="21"/>
              </w:rPr>
            </w:pPr>
          </w:p>
        </w:tc>
        <w:tc>
          <w:tcPr>
            <w:tcW w:w="387" w:type="pct"/>
            <w:vMerge w:val="continue"/>
            <w:shd w:val="clear" w:color="auto" w:fill="auto"/>
            <w:vAlign w:val="center"/>
          </w:tcPr>
          <w:p w14:paraId="0A4CA25B">
            <w:pPr>
              <w:widowControl/>
              <w:spacing w:line="240" w:lineRule="auto"/>
              <w:ind w:firstLine="0" w:firstLineChars="0"/>
              <w:jc w:val="center"/>
              <w:rPr>
                <w:rFonts w:cs="Times New Roman"/>
                <w:color w:val="auto"/>
                <w:sz w:val="21"/>
                <w:szCs w:val="21"/>
              </w:rPr>
            </w:pPr>
          </w:p>
        </w:tc>
        <w:tc>
          <w:tcPr>
            <w:tcW w:w="324" w:type="pct"/>
            <w:shd w:val="clear" w:color="auto" w:fill="auto"/>
            <w:vAlign w:val="center"/>
          </w:tcPr>
          <w:p w14:paraId="6158EBC0">
            <w:pPr>
              <w:pStyle w:val="45"/>
              <w:bidi w:val="0"/>
              <w:rPr>
                <w:color w:val="auto"/>
              </w:rPr>
            </w:pPr>
            <w:r>
              <w:rPr>
                <w:rFonts w:hint="default"/>
                <w:color w:val="auto"/>
                <w:lang w:val="en-US" w:eastAsia="zh-CN"/>
              </w:rPr>
              <w:t>6.04</w:t>
            </w:r>
          </w:p>
        </w:tc>
        <w:tc>
          <w:tcPr>
            <w:tcW w:w="315" w:type="pct"/>
            <w:shd w:val="clear" w:color="auto" w:fill="auto"/>
            <w:vAlign w:val="center"/>
          </w:tcPr>
          <w:p w14:paraId="01FF133B">
            <w:pPr>
              <w:pStyle w:val="45"/>
              <w:bidi w:val="0"/>
              <w:rPr>
                <w:color w:val="auto"/>
              </w:rPr>
            </w:pPr>
            <w:r>
              <w:rPr>
                <w:rFonts w:hint="default"/>
                <w:color w:val="auto"/>
                <w:lang w:val="en-US" w:eastAsia="zh-CN"/>
              </w:rPr>
              <w:t>0.0121</w:t>
            </w:r>
          </w:p>
        </w:tc>
        <w:tc>
          <w:tcPr>
            <w:tcW w:w="346" w:type="pct"/>
            <w:shd w:val="clear" w:color="auto" w:fill="auto"/>
            <w:vAlign w:val="center"/>
          </w:tcPr>
          <w:p w14:paraId="224E5AE4">
            <w:pPr>
              <w:pStyle w:val="45"/>
              <w:bidi w:val="0"/>
              <w:rPr>
                <w:color w:val="auto"/>
              </w:rPr>
            </w:pPr>
            <w:r>
              <w:rPr>
                <w:rFonts w:hint="default"/>
                <w:color w:val="auto"/>
                <w:lang w:val="en-US" w:eastAsia="zh-CN"/>
              </w:rPr>
              <w:t>0.087</w:t>
            </w:r>
          </w:p>
        </w:tc>
        <w:tc>
          <w:tcPr>
            <w:tcW w:w="392" w:type="pct"/>
            <w:shd w:val="clear" w:color="auto" w:fill="auto"/>
            <w:vAlign w:val="center"/>
          </w:tcPr>
          <w:p w14:paraId="4E1AF7B5">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20</w:t>
            </w:r>
          </w:p>
        </w:tc>
        <w:tc>
          <w:tcPr>
            <w:tcW w:w="330" w:type="pct"/>
            <w:shd w:val="clear" w:color="auto" w:fill="auto"/>
            <w:vAlign w:val="center"/>
          </w:tcPr>
          <w:p w14:paraId="271A0F5C">
            <w:pPr>
              <w:pStyle w:val="45"/>
              <w:bidi w:val="0"/>
              <w:rPr>
                <w:color w:val="auto"/>
              </w:rPr>
            </w:pPr>
            <w:r>
              <w:rPr>
                <w:color w:val="auto"/>
              </w:rPr>
              <w:t>/</w:t>
            </w:r>
          </w:p>
        </w:tc>
        <w:tc>
          <w:tcPr>
            <w:tcW w:w="1041" w:type="pct"/>
            <w:vMerge w:val="continue"/>
            <w:shd w:val="clear" w:color="auto" w:fill="auto"/>
            <w:vAlign w:val="center"/>
          </w:tcPr>
          <w:p w14:paraId="26A4E6D4">
            <w:pPr>
              <w:widowControl/>
              <w:spacing w:line="240" w:lineRule="auto"/>
              <w:ind w:firstLine="0" w:firstLineChars="0"/>
              <w:jc w:val="center"/>
              <w:rPr>
                <w:rFonts w:cs="宋体"/>
                <w:color w:val="auto"/>
                <w:sz w:val="21"/>
                <w:szCs w:val="21"/>
              </w:rPr>
            </w:pPr>
          </w:p>
        </w:tc>
      </w:tr>
      <w:tr w14:paraId="29CBD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6CEF310B">
            <w:pPr>
              <w:widowControl/>
              <w:spacing w:line="240" w:lineRule="auto"/>
              <w:ind w:firstLine="0" w:firstLineChars="0"/>
              <w:jc w:val="center"/>
              <w:rPr>
                <w:rFonts w:cs="宋体"/>
                <w:color w:val="auto"/>
                <w:sz w:val="21"/>
                <w:szCs w:val="21"/>
              </w:rPr>
            </w:pPr>
          </w:p>
        </w:tc>
        <w:tc>
          <w:tcPr>
            <w:tcW w:w="252" w:type="pct"/>
            <w:shd w:val="clear" w:color="auto" w:fill="auto"/>
            <w:vAlign w:val="center"/>
          </w:tcPr>
          <w:p w14:paraId="6E8C194E">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DA005</w:t>
            </w:r>
          </w:p>
        </w:tc>
        <w:tc>
          <w:tcPr>
            <w:tcW w:w="312" w:type="pct"/>
            <w:shd w:val="clear" w:color="auto" w:fill="auto"/>
            <w:vAlign w:val="center"/>
          </w:tcPr>
          <w:p w14:paraId="3FA34E84">
            <w:pPr>
              <w:widowControl/>
              <w:spacing w:line="240" w:lineRule="auto"/>
              <w:ind w:firstLine="0" w:firstLineChars="0"/>
              <w:jc w:val="center"/>
              <w:textAlignment w:val="center"/>
              <w:rPr>
                <w:rFonts w:hint="eastAsia" w:eastAsia="宋体" w:cs="宋体"/>
                <w:color w:val="auto"/>
                <w:sz w:val="21"/>
                <w:szCs w:val="21"/>
                <w:lang w:val="en-US" w:eastAsia="zh-CN"/>
              </w:rPr>
            </w:pPr>
            <w:r>
              <w:rPr>
                <w:rFonts w:hint="eastAsia" w:cs="宋体"/>
                <w:color w:val="auto"/>
                <w:kern w:val="0"/>
                <w:sz w:val="21"/>
                <w:szCs w:val="21"/>
                <w:lang w:val="en-US" w:eastAsia="zh-CN"/>
              </w:rPr>
              <w:t>复分解</w:t>
            </w:r>
            <w:r>
              <w:rPr>
                <w:rFonts w:hint="eastAsia" w:cs="宋体"/>
                <w:color w:val="auto"/>
                <w:kern w:val="0"/>
                <w:sz w:val="21"/>
                <w:szCs w:val="21"/>
              </w:rPr>
              <w:t>干燥粉尘</w:t>
            </w:r>
            <w:r>
              <w:rPr>
                <w:rFonts w:hint="eastAsia" w:cs="宋体"/>
                <w:color w:val="auto"/>
                <w:kern w:val="0"/>
                <w:sz w:val="21"/>
                <w:szCs w:val="21"/>
                <w:lang w:val="en-US" w:eastAsia="zh-CN"/>
              </w:rPr>
              <w:t>1</w:t>
            </w:r>
          </w:p>
        </w:tc>
        <w:tc>
          <w:tcPr>
            <w:tcW w:w="410" w:type="pct"/>
            <w:shd w:val="clear" w:color="auto" w:fill="auto"/>
            <w:vAlign w:val="center"/>
          </w:tcPr>
          <w:p w14:paraId="44338B60">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二次布袋除尘</w:t>
            </w:r>
          </w:p>
        </w:tc>
        <w:tc>
          <w:tcPr>
            <w:tcW w:w="103" w:type="pct"/>
            <w:shd w:val="clear" w:color="auto" w:fill="auto"/>
            <w:vAlign w:val="center"/>
          </w:tcPr>
          <w:p w14:paraId="347C49B1">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1</w:t>
            </w:r>
          </w:p>
        </w:tc>
        <w:tc>
          <w:tcPr>
            <w:tcW w:w="231" w:type="pct"/>
            <w:shd w:val="clear" w:color="auto" w:fill="auto"/>
            <w:vAlign w:val="center"/>
          </w:tcPr>
          <w:p w14:paraId="2AECEE8B">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颗粒物</w:t>
            </w:r>
          </w:p>
        </w:tc>
        <w:tc>
          <w:tcPr>
            <w:tcW w:w="451" w:type="pct"/>
            <w:shd w:val="clear" w:color="auto" w:fill="auto"/>
            <w:vAlign w:val="center"/>
          </w:tcPr>
          <w:p w14:paraId="2C934D4F">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排气筒高度15</w:t>
            </w:r>
            <w:r>
              <w:rPr>
                <w:rFonts w:cs="Times New Roman"/>
                <w:color w:val="auto"/>
                <w:kern w:val="0"/>
                <w:sz w:val="21"/>
                <w:szCs w:val="21"/>
              </w:rPr>
              <w:t>m</w:t>
            </w:r>
            <w:r>
              <w:rPr>
                <w:rFonts w:hint="eastAsia" w:cs="宋体"/>
                <w:color w:val="auto"/>
                <w:kern w:val="0"/>
                <w:sz w:val="21"/>
                <w:szCs w:val="21"/>
              </w:rPr>
              <w:t>，内径</w:t>
            </w:r>
            <w:r>
              <w:rPr>
                <w:rFonts w:cs="Times New Roman"/>
                <w:color w:val="auto"/>
                <w:kern w:val="0"/>
                <w:sz w:val="21"/>
                <w:szCs w:val="21"/>
              </w:rPr>
              <w:t>0.6m</w:t>
            </w:r>
            <w:r>
              <w:rPr>
                <w:rFonts w:hint="eastAsia" w:cs="宋体"/>
                <w:color w:val="auto"/>
                <w:kern w:val="0"/>
                <w:sz w:val="21"/>
                <w:szCs w:val="21"/>
              </w:rPr>
              <w:t>，排放温度</w:t>
            </w:r>
            <w:r>
              <w:rPr>
                <w:rFonts w:cs="Times New Roman"/>
                <w:color w:val="auto"/>
                <w:kern w:val="0"/>
                <w:sz w:val="21"/>
                <w:szCs w:val="21"/>
              </w:rPr>
              <w:t>25℃</w:t>
            </w:r>
          </w:p>
        </w:tc>
        <w:tc>
          <w:tcPr>
            <w:tcW w:w="387" w:type="pct"/>
            <w:shd w:val="clear" w:color="auto" w:fill="auto"/>
            <w:vAlign w:val="center"/>
          </w:tcPr>
          <w:p w14:paraId="4461E19B">
            <w:pPr>
              <w:widowControl/>
              <w:spacing w:line="240" w:lineRule="auto"/>
              <w:ind w:firstLine="0" w:firstLineChars="0"/>
              <w:jc w:val="center"/>
              <w:textAlignment w:val="center"/>
              <w:rPr>
                <w:rFonts w:cs="Times New Roman"/>
                <w:color w:val="auto"/>
                <w:sz w:val="21"/>
                <w:szCs w:val="21"/>
              </w:rPr>
            </w:pPr>
            <w:r>
              <w:rPr>
                <w:rFonts w:hint="eastAsia" w:cs="Times New Roman"/>
                <w:color w:val="auto"/>
                <w:kern w:val="0"/>
                <w:sz w:val="21"/>
                <w:szCs w:val="21"/>
                <w:lang w:val="en-US" w:eastAsia="zh-CN"/>
              </w:rPr>
              <w:t>8</w:t>
            </w:r>
            <w:r>
              <w:rPr>
                <w:rFonts w:cs="Times New Roman"/>
                <w:color w:val="auto"/>
                <w:kern w:val="0"/>
                <w:sz w:val="21"/>
                <w:szCs w:val="21"/>
              </w:rPr>
              <w:t>000Nm</w:t>
            </w:r>
            <w:r>
              <w:rPr>
                <w:rFonts w:cs="Times New Roman"/>
                <w:color w:val="auto"/>
                <w:kern w:val="0"/>
                <w:sz w:val="21"/>
                <w:szCs w:val="21"/>
                <w:vertAlign w:val="superscript"/>
              </w:rPr>
              <w:t>3</w:t>
            </w:r>
            <w:r>
              <w:rPr>
                <w:rFonts w:cs="Times New Roman"/>
                <w:color w:val="auto"/>
                <w:kern w:val="0"/>
                <w:sz w:val="21"/>
                <w:szCs w:val="21"/>
              </w:rPr>
              <w:t>/h</w:t>
            </w:r>
          </w:p>
        </w:tc>
        <w:tc>
          <w:tcPr>
            <w:tcW w:w="324" w:type="pct"/>
            <w:shd w:val="clear" w:color="auto" w:fill="auto"/>
            <w:vAlign w:val="center"/>
          </w:tcPr>
          <w:p w14:paraId="14907178">
            <w:pPr>
              <w:pStyle w:val="45"/>
              <w:bidi w:val="0"/>
              <w:rPr>
                <w:color w:val="auto"/>
              </w:rPr>
            </w:pPr>
            <w:r>
              <w:rPr>
                <w:rFonts w:hint="default"/>
                <w:color w:val="auto"/>
                <w:lang w:val="en-US" w:eastAsia="zh-CN"/>
              </w:rPr>
              <w:t>24.06</w:t>
            </w:r>
          </w:p>
        </w:tc>
        <w:tc>
          <w:tcPr>
            <w:tcW w:w="315" w:type="pct"/>
            <w:shd w:val="clear" w:color="auto" w:fill="auto"/>
            <w:vAlign w:val="center"/>
          </w:tcPr>
          <w:p w14:paraId="4626D16B">
            <w:pPr>
              <w:pStyle w:val="45"/>
              <w:bidi w:val="0"/>
              <w:rPr>
                <w:color w:val="auto"/>
              </w:rPr>
            </w:pPr>
            <w:r>
              <w:rPr>
                <w:rFonts w:hint="default"/>
                <w:color w:val="auto"/>
                <w:lang w:val="en-US" w:eastAsia="zh-CN"/>
              </w:rPr>
              <w:t>0.1925</w:t>
            </w:r>
          </w:p>
        </w:tc>
        <w:tc>
          <w:tcPr>
            <w:tcW w:w="346" w:type="pct"/>
            <w:shd w:val="clear" w:color="auto" w:fill="auto"/>
            <w:vAlign w:val="center"/>
          </w:tcPr>
          <w:p w14:paraId="390806B5">
            <w:pPr>
              <w:pStyle w:val="45"/>
              <w:bidi w:val="0"/>
              <w:rPr>
                <w:rFonts w:hint="default"/>
                <w:color w:val="auto"/>
                <w:lang w:val="en-US"/>
              </w:rPr>
            </w:pPr>
            <w:r>
              <w:rPr>
                <w:rFonts w:hint="eastAsia"/>
                <w:color w:val="auto"/>
                <w:lang w:val="en-US" w:eastAsia="zh-CN"/>
              </w:rPr>
              <w:t>1.386</w:t>
            </w:r>
          </w:p>
        </w:tc>
        <w:tc>
          <w:tcPr>
            <w:tcW w:w="392" w:type="pct"/>
            <w:shd w:val="clear" w:color="auto" w:fill="auto"/>
            <w:vAlign w:val="center"/>
          </w:tcPr>
          <w:p w14:paraId="782BD982">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30</w:t>
            </w:r>
          </w:p>
        </w:tc>
        <w:tc>
          <w:tcPr>
            <w:tcW w:w="330" w:type="pct"/>
            <w:shd w:val="clear" w:color="auto" w:fill="auto"/>
            <w:vAlign w:val="center"/>
          </w:tcPr>
          <w:p w14:paraId="19A6C218">
            <w:pPr>
              <w:pStyle w:val="45"/>
              <w:bidi w:val="0"/>
              <w:rPr>
                <w:color w:val="auto"/>
              </w:rPr>
            </w:pPr>
            <w:r>
              <w:rPr>
                <w:color w:val="auto"/>
              </w:rPr>
              <w:t>/</w:t>
            </w:r>
          </w:p>
        </w:tc>
        <w:tc>
          <w:tcPr>
            <w:tcW w:w="1041" w:type="pct"/>
            <w:vMerge w:val="continue"/>
            <w:shd w:val="clear" w:color="auto" w:fill="auto"/>
            <w:vAlign w:val="center"/>
          </w:tcPr>
          <w:p w14:paraId="40CBA9F5">
            <w:pPr>
              <w:widowControl/>
              <w:spacing w:line="240" w:lineRule="auto"/>
              <w:ind w:firstLine="0" w:firstLineChars="0"/>
              <w:jc w:val="center"/>
              <w:rPr>
                <w:rFonts w:cs="宋体"/>
                <w:color w:val="auto"/>
                <w:sz w:val="21"/>
                <w:szCs w:val="21"/>
              </w:rPr>
            </w:pPr>
          </w:p>
        </w:tc>
      </w:tr>
      <w:tr w14:paraId="48BD1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0A67D783">
            <w:pPr>
              <w:widowControl/>
              <w:spacing w:line="240" w:lineRule="auto"/>
              <w:ind w:firstLine="0" w:firstLineChars="0"/>
              <w:jc w:val="center"/>
              <w:rPr>
                <w:rFonts w:cs="宋体"/>
                <w:color w:val="auto"/>
                <w:sz w:val="21"/>
                <w:szCs w:val="21"/>
              </w:rPr>
            </w:pPr>
          </w:p>
        </w:tc>
        <w:tc>
          <w:tcPr>
            <w:tcW w:w="252" w:type="pct"/>
            <w:shd w:val="clear" w:color="auto" w:fill="auto"/>
            <w:vAlign w:val="center"/>
          </w:tcPr>
          <w:p w14:paraId="038A2EE0">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DA006</w:t>
            </w:r>
          </w:p>
        </w:tc>
        <w:tc>
          <w:tcPr>
            <w:tcW w:w="312" w:type="pct"/>
            <w:shd w:val="clear" w:color="auto" w:fill="auto"/>
            <w:vAlign w:val="center"/>
          </w:tcPr>
          <w:p w14:paraId="51BF6C44">
            <w:pPr>
              <w:widowControl/>
              <w:spacing w:line="240" w:lineRule="auto"/>
              <w:ind w:firstLine="0" w:firstLineChars="0"/>
              <w:jc w:val="center"/>
              <w:textAlignment w:val="center"/>
              <w:rPr>
                <w:rFonts w:hint="eastAsia" w:eastAsia="宋体" w:cs="宋体"/>
                <w:color w:val="auto"/>
                <w:sz w:val="21"/>
                <w:szCs w:val="21"/>
                <w:lang w:val="en-US" w:eastAsia="zh-CN"/>
              </w:rPr>
            </w:pPr>
            <w:r>
              <w:rPr>
                <w:rFonts w:hint="eastAsia" w:cs="宋体"/>
                <w:color w:val="auto"/>
                <w:kern w:val="0"/>
                <w:sz w:val="21"/>
                <w:szCs w:val="21"/>
                <w:lang w:val="en-US" w:eastAsia="zh-CN"/>
              </w:rPr>
              <w:t>复分解</w:t>
            </w:r>
            <w:r>
              <w:rPr>
                <w:rFonts w:hint="eastAsia" w:cs="宋体"/>
                <w:color w:val="auto"/>
                <w:kern w:val="0"/>
                <w:sz w:val="21"/>
                <w:szCs w:val="21"/>
              </w:rPr>
              <w:t>干燥粉尘</w:t>
            </w:r>
            <w:r>
              <w:rPr>
                <w:rFonts w:hint="eastAsia" w:cs="宋体"/>
                <w:color w:val="auto"/>
                <w:kern w:val="0"/>
                <w:sz w:val="21"/>
                <w:szCs w:val="21"/>
                <w:lang w:val="en-US" w:eastAsia="zh-CN"/>
              </w:rPr>
              <w:t>2</w:t>
            </w:r>
          </w:p>
        </w:tc>
        <w:tc>
          <w:tcPr>
            <w:tcW w:w="410" w:type="pct"/>
            <w:shd w:val="clear" w:color="auto" w:fill="auto"/>
            <w:vAlign w:val="center"/>
          </w:tcPr>
          <w:p w14:paraId="2804E88E">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二次布袋除尘</w:t>
            </w:r>
          </w:p>
        </w:tc>
        <w:tc>
          <w:tcPr>
            <w:tcW w:w="103" w:type="pct"/>
            <w:shd w:val="clear" w:color="auto" w:fill="auto"/>
            <w:vAlign w:val="center"/>
          </w:tcPr>
          <w:p w14:paraId="53174743">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1</w:t>
            </w:r>
          </w:p>
        </w:tc>
        <w:tc>
          <w:tcPr>
            <w:tcW w:w="231" w:type="pct"/>
            <w:shd w:val="clear" w:color="auto" w:fill="auto"/>
            <w:vAlign w:val="center"/>
          </w:tcPr>
          <w:p w14:paraId="60556E55">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颗粒物</w:t>
            </w:r>
          </w:p>
        </w:tc>
        <w:tc>
          <w:tcPr>
            <w:tcW w:w="451" w:type="pct"/>
            <w:shd w:val="clear" w:color="auto" w:fill="auto"/>
            <w:vAlign w:val="center"/>
          </w:tcPr>
          <w:p w14:paraId="62F0E059">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排气筒高度15</w:t>
            </w:r>
            <w:r>
              <w:rPr>
                <w:rFonts w:cs="Times New Roman"/>
                <w:color w:val="auto"/>
                <w:kern w:val="0"/>
                <w:sz w:val="21"/>
                <w:szCs w:val="21"/>
              </w:rPr>
              <w:t>m</w:t>
            </w:r>
            <w:r>
              <w:rPr>
                <w:rFonts w:hint="eastAsia" w:cs="宋体"/>
                <w:color w:val="auto"/>
                <w:kern w:val="0"/>
                <w:sz w:val="21"/>
                <w:szCs w:val="21"/>
              </w:rPr>
              <w:t>，内径</w:t>
            </w:r>
            <w:r>
              <w:rPr>
                <w:rFonts w:cs="Times New Roman"/>
                <w:color w:val="auto"/>
                <w:kern w:val="0"/>
                <w:sz w:val="21"/>
                <w:szCs w:val="21"/>
              </w:rPr>
              <w:t>0.6m</w:t>
            </w:r>
            <w:r>
              <w:rPr>
                <w:rFonts w:hint="eastAsia" w:cs="宋体"/>
                <w:color w:val="auto"/>
                <w:kern w:val="0"/>
                <w:sz w:val="21"/>
                <w:szCs w:val="21"/>
              </w:rPr>
              <w:t>，排放温度</w:t>
            </w:r>
            <w:r>
              <w:rPr>
                <w:rFonts w:cs="Times New Roman"/>
                <w:color w:val="auto"/>
                <w:kern w:val="0"/>
                <w:sz w:val="21"/>
                <w:szCs w:val="21"/>
              </w:rPr>
              <w:t>25℃</w:t>
            </w:r>
          </w:p>
        </w:tc>
        <w:tc>
          <w:tcPr>
            <w:tcW w:w="387" w:type="pct"/>
            <w:shd w:val="clear" w:color="auto" w:fill="auto"/>
            <w:vAlign w:val="center"/>
          </w:tcPr>
          <w:p w14:paraId="0BA550FB">
            <w:pPr>
              <w:widowControl/>
              <w:spacing w:line="240" w:lineRule="auto"/>
              <w:ind w:firstLine="0" w:firstLineChars="0"/>
              <w:jc w:val="center"/>
              <w:textAlignment w:val="center"/>
              <w:rPr>
                <w:rFonts w:cs="Times New Roman"/>
                <w:color w:val="auto"/>
                <w:sz w:val="21"/>
                <w:szCs w:val="21"/>
              </w:rPr>
            </w:pPr>
            <w:r>
              <w:rPr>
                <w:rFonts w:hint="eastAsia" w:cs="Times New Roman"/>
                <w:color w:val="auto"/>
                <w:kern w:val="0"/>
                <w:sz w:val="21"/>
                <w:szCs w:val="21"/>
                <w:lang w:val="en-US" w:eastAsia="zh-CN"/>
              </w:rPr>
              <w:t>8</w:t>
            </w:r>
            <w:r>
              <w:rPr>
                <w:rFonts w:cs="Times New Roman"/>
                <w:color w:val="auto"/>
                <w:kern w:val="0"/>
                <w:sz w:val="21"/>
                <w:szCs w:val="21"/>
              </w:rPr>
              <w:t>000Nm</w:t>
            </w:r>
            <w:r>
              <w:rPr>
                <w:rFonts w:cs="Times New Roman"/>
                <w:color w:val="auto"/>
                <w:kern w:val="0"/>
                <w:sz w:val="21"/>
                <w:szCs w:val="21"/>
                <w:vertAlign w:val="superscript"/>
              </w:rPr>
              <w:t>3</w:t>
            </w:r>
            <w:r>
              <w:rPr>
                <w:rFonts w:cs="Times New Roman"/>
                <w:color w:val="auto"/>
                <w:kern w:val="0"/>
                <w:sz w:val="21"/>
                <w:szCs w:val="21"/>
              </w:rPr>
              <w:t>/h</w:t>
            </w:r>
          </w:p>
        </w:tc>
        <w:tc>
          <w:tcPr>
            <w:tcW w:w="324" w:type="pct"/>
            <w:shd w:val="clear" w:color="auto" w:fill="auto"/>
            <w:vAlign w:val="center"/>
          </w:tcPr>
          <w:p w14:paraId="12924BB6">
            <w:pPr>
              <w:pStyle w:val="45"/>
              <w:bidi w:val="0"/>
              <w:rPr>
                <w:color w:val="auto"/>
              </w:rPr>
            </w:pPr>
            <w:r>
              <w:rPr>
                <w:rFonts w:hint="default"/>
                <w:color w:val="auto"/>
                <w:lang w:val="en-US" w:eastAsia="zh-CN"/>
              </w:rPr>
              <w:t>24.06</w:t>
            </w:r>
          </w:p>
        </w:tc>
        <w:tc>
          <w:tcPr>
            <w:tcW w:w="315" w:type="pct"/>
            <w:shd w:val="clear" w:color="auto" w:fill="auto"/>
            <w:vAlign w:val="center"/>
          </w:tcPr>
          <w:p w14:paraId="194DCC15">
            <w:pPr>
              <w:pStyle w:val="45"/>
              <w:bidi w:val="0"/>
              <w:rPr>
                <w:color w:val="auto"/>
              </w:rPr>
            </w:pPr>
            <w:r>
              <w:rPr>
                <w:rFonts w:hint="default"/>
                <w:color w:val="auto"/>
                <w:lang w:val="en-US" w:eastAsia="zh-CN"/>
              </w:rPr>
              <w:t>0.1925</w:t>
            </w:r>
          </w:p>
        </w:tc>
        <w:tc>
          <w:tcPr>
            <w:tcW w:w="346" w:type="pct"/>
            <w:shd w:val="clear" w:color="auto" w:fill="auto"/>
            <w:vAlign w:val="center"/>
          </w:tcPr>
          <w:p w14:paraId="76D3A0C2">
            <w:pPr>
              <w:pStyle w:val="45"/>
              <w:bidi w:val="0"/>
              <w:rPr>
                <w:rFonts w:hint="default"/>
                <w:color w:val="auto"/>
                <w:lang w:val="en-US"/>
              </w:rPr>
            </w:pPr>
            <w:r>
              <w:rPr>
                <w:rFonts w:hint="eastAsia"/>
                <w:color w:val="auto"/>
                <w:lang w:val="en-US" w:eastAsia="zh-CN"/>
              </w:rPr>
              <w:t>1.386</w:t>
            </w:r>
          </w:p>
        </w:tc>
        <w:tc>
          <w:tcPr>
            <w:tcW w:w="392" w:type="pct"/>
            <w:shd w:val="clear" w:color="auto" w:fill="auto"/>
            <w:vAlign w:val="center"/>
          </w:tcPr>
          <w:p w14:paraId="7972689D">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30</w:t>
            </w:r>
          </w:p>
        </w:tc>
        <w:tc>
          <w:tcPr>
            <w:tcW w:w="330" w:type="pct"/>
            <w:shd w:val="clear" w:color="auto" w:fill="auto"/>
            <w:vAlign w:val="center"/>
          </w:tcPr>
          <w:p w14:paraId="2561E342">
            <w:pPr>
              <w:pStyle w:val="45"/>
              <w:bidi w:val="0"/>
              <w:rPr>
                <w:color w:val="auto"/>
              </w:rPr>
            </w:pPr>
            <w:r>
              <w:rPr>
                <w:color w:val="auto"/>
              </w:rPr>
              <w:t>/</w:t>
            </w:r>
          </w:p>
        </w:tc>
        <w:tc>
          <w:tcPr>
            <w:tcW w:w="1041" w:type="pct"/>
            <w:vMerge w:val="continue"/>
            <w:shd w:val="clear" w:color="auto" w:fill="auto"/>
            <w:vAlign w:val="center"/>
          </w:tcPr>
          <w:p w14:paraId="1C0B9530">
            <w:pPr>
              <w:widowControl/>
              <w:spacing w:line="240" w:lineRule="auto"/>
              <w:ind w:firstLine="0" w:firstLineChars="0"/>
              <w:jc w:val="center"/>
              <w:rPr>
                <w:rFonts w:cs="宋体"/>
                <w:color w:val="auto"/>
                <w:sz w:val="21"/>
                <w:szCs w:val="21"/>
              </w:rPr>
            </w:pPr>
          </w:p>
        </w:tc>
      </w:tr>
      <w:tr w14:paraId="03D5D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0E82420B">
            <w:pPr>
              <w:widowControl/>
              <w:spacing w:line="240" w:lineRule="auto"/>
              <w:ind w:firstLine="0" w:firstLineChars="0"/>
              <w:jc w:val="center"/>
              <w:rPr>
                <w:rFonts w:cs="宋体"/>
                <w:color w:val="auto"/>
                <w:sz w:val="21"/>
                <w:szCs w:val="21"/>
              </w:rPr>
            </w:pPr>
          </w:p>
        </w:tc>
        <w:tc>
          <w:tcPr>
            <w:tcW w:w="252" w:type="pct"/>
            <w:shd w:val="clear" w:color="auto" w:fill="auto"/>
            <w:vAlign w:val="center"/>
          </w:tcPr>
          <w:p w14:paraId="4994A3DF">
            <w:pPr>
              <w:widowControl/>
              <w:spacing w:line="240" w:lineRule="auto"/>
              <w:ind w:firstLine="0" w:firstLineChars="0"/>
              <w:jc w:val="center"/>
              <w:textAlignment w:val="center"/>
              <w:rPr>
                <w:rFonts w:hint="default" w:eastAsia="宋体" w:cs="Times New Roman"/>
                <w:color w:val="auto"/>
                <w:kern w:val="0"/>
                <w:sz w:val="21"/>
                <w:szCs w:val="21"/>
                <w:lang w:val="en-US" w:eastAsia="zh-CN"/>
              </w:rPr>
            </w:pPr>
            <w:r>
              <w:rPr>
                <w:rFonts w:hint="eastAsia" w:cs="Times New Roman"/>
                <w:color w:val="auto"/>
                <w:kern w:val="0"/>
                <w:sz w:val="21"/>
                <w:szCs w:val="21"/>
                <w:lang w:val="en-US" w:eastAsia="zh-CN"/>
              </w:rPr>
              <w:t>DA007</w:t>
            </w:r>
          </w:p>
        </w:tc>
        <w:tc>
          <w:tcPr>
            <w:tcW w:w="312" w:type="pct"/>
            <w:shd w:val="clear" w:color="auto" w:fill="auto"/>
            <w:vAlign w:val="center"/>
          </w:tcPr>
          <w:p w14:paraId="32F23223">
            <w:pPr>
              <w:widowControl/>
              <w:spacing w:line="240" w:lineRule="auto"/>
              <w:ind w:firstLine="0" w:firstLineChars="0"/>
              <w:jc w:val="center"/>
              <w:textAlignment w:val="center"/>
              <w:rPr>
                <w:rFonts w:hint="default" w:eastAsia="宋体" w:cs="宋体"/>
                <w:color w:val="auto"/>
                <w:kern w:val="0"/>
                <w:sz w:val="21"/>
                <w:szCs w:val="21"/>
                <w:lang w:val="en-US" w:eastAsia="zh-CN"/>
              </w:rPr>
            </w:pPr>
            <w:r>
              <w:rPr>
                <w:rFonts w:hint="eastAsia" w:cs="宋体"/>
                <w:color w:val="auto"/>
                <w:kern w:val="0"/>
                <w:sz w:val="21"/>
                <w:szCs w:val="21"/>
                <w:lang w:val="en-US" w:eastAsia="zh-CN"/>
              </w:rPr>
              <w:t>锂盐中和尾气</w:t>
            </w:r>
          </w:p>
        </w:tc>
        <w:tc>
          <w:tcPr>
            <w:tcW w:w="410" w:type="pct"/>
            <w:shd w:val="clear" w:color="auto" w:fill="auto"/>
            <w:vAlign w:val="center"/>
          </w:tcPr>
          <w:p w14:paraId="265EFB24">
            <w:pPr>
              <w:widowControl/>
              <w:spacing w:line="240" w:lineRule="auto"/>
              <w:ind w:firstLine="0" w:firstLineChars="0"/>
              <w:jc w:val="center"/>
              <w:textAlignment w:val="center"/>
              <w:rPr>
                <w:rFonts w:hint="eastAsia" w:cs="宋体"/>
                <w:color w:val="auto"/>
                <w:kern w:val="0"/>
                <w:sz w:val="21"/>
                <w:szCs w:val="21"/>
              </w:rPr>
            </w:pPr>
            <w:r>
              <w:rPr>
                <w:rFonts w:hint="eastAsia" w:cs="宋体"/>
                <w:color w:val="auto"/>
                <w:kern w:val="0"/>
                <w:sz w:val="21"/>
                <w:szCs w:val="21"/>
              </w:rPr>
              <w:t>一级碱洗</w:t>
            </w:r>
          </w:p>
        </w:tc>
        <w:tc>
          <w:tcPr>
            <w:tcW w:w="103" w:type="pct"/>
            <w:shd w:val="clear" w:color="auto" w:fill="auto"/>
            <w:vAlign w:val="center"/>
          </w:tcPr>
          <w:p w14:paraId="3F2789D5">
            <w:pPr>
              <w:widowControl/>
              <w:spacing w:line="240" w:lineRule="auto"/>
              <w:ind w:firstLine="0" w:firstLineChars="0"/>
              <w:jc w:val="center"/>
              <w:textAlignment w:val="center"/>
              <w:rPr>
                <w:rFonts w:hint="eastAsia" w:eastAsia="宋体" w:cs="Times New Roman"/>
                <w:color w:val="auto"/>
                <w:kern w:val="0"/>
                <w:sz w:val="21"/>
                <w:szCs w:val="21"/>
                <w:lang w:val="en-US" w:eastAsia="zh-CN"/>
              </w:rPr>
            </w:pPr>
            <w:r>
              <w:rPr>
                <w:rFonts w:hint="eastAsia" w:cs="Times New Roman"/>
                <w:color w:val="auto"/>
                <w:kern w:val="0"/>
                <w:sz w:val="21"/>
                <w:szCs w:val="21"/>
                <w:lang w:val="en-US" w:eastAsia="zh-CN"/>
              </w:rPr>
              <w:t>1</w:t>
            </w:r>
          </w:p>
        </w:tc>
        <w:tc>
          <w:tcPr>
            <w:tcW w:w="231" w:type="pct"/>
            <w:shd w:val="clear" w:color="auto" w:fill="auto"/>
            <w:vAlign w:val="center"/>
          </w:tcPr>
          <w:p w14:paraId="65839697">
            <w:pPr>
              <w:widowControl/>
              <w:spacing w:line="240" w:lineRule="auto"/>
              <w:ind w:firstLine="0" w:firstLineChars="0"/>
              <w:jc w:val="center"/>
              <w:textAlignment w:val="center"/>
              <w:rPr>
                <w:rFonts w:hint="eastAsia" w:cs="宋体"/>
                <w:color w:val="auto"/>
                <w:kern w:val="0"/>
                <w:sz w:val="21"/>
                <w:szCs w:val="21"/>
              </w:rPr>
            </w:pPr>
            <w:r>
              <w:rPr>
                <w:rFonts w:cs="Times New Roman"/>
                <w:color w:val="auto"/>
                <w:kern w:val="0"/>
                <w:sz w:val="21"/>
                <w:szCs w:val="21"/>
              </w:rPr>
              <w:t>HCl</w:t>
            </w:r>
          </w:p>
        </w:tc>
        <w:tc>
          <w:tcPr>
            <w:tcW w:w="451" w:type="pct"/>
            <w:shd w:val="clear" w:color="auto" w:fill="auto"/>
            <w:vAlign w:val="center"/>
          </w:tcPr>
          <w:p w14:paraId="353FEC4C">
            <w:pPr>
              <w:widowControl/>
              <w:spacing w:line="240" w:lineRule="auto"/>
              <w:ind w:firstLine="0" w:firstLineChars="0"/>
              <w:jc w:val="center"/>
              <w:textAlignment w:val="center"/>
              <w:rPr>
                <w:rFonts w:hint="eastAsia" w:cs="宋体"/>
                <w:color w:val="auto"/>
                <w:kern w:val="0"/>
                <w:sz w:val="21"/>
                <w:szCs w:val="21"/>
              </w:rPr>
            </w:pPr>
            <w:r>
              <w:rPr>
                <w:rFonts w:hint="eastAsia" w:cs="宋体"/>
                <w:color w:val="auto"/>
                <w:kern w:val="0"/>
                <w:sz w:val="21"/>
                <w:szCs w:val="21"/>
              </w:rPr>
              <w:t>排气筒高度</w:t>
            </w:r>
            <w:r>
              <w:rPr>
                <w:rFonts w:hint="eastAsia" w:cs="宋体"/>
                <w:color w:val="auto"/>
                <w:kern w:val="0"/>
                <w:sz w:val="21"/>
                <w:szCs w:val="21"/>
                <w:lang w:val="en-US" w:eastAsia="zh-CN"/>
              </w:rPr>
              <w:t>1</w:t>
            </w:r>
            <w:r>
              <w:rPr>
                <w:rFonts w:cs="Times New Roman"/>
                <w:color w:val="auto"/>
                <w:kern w:val="0"/>
                <w:sz w:val="21"/>
                <w:szCs w:val="21"/>
              </w:rPr>
              <w:t>5m</w:t>
            </w:r>
            <w:r>
              <w:rPr>
                <w:rFonts w:hint="eastAsia" w:cs="宋体"/>
                <w:color w:val="auto"/>
                <w:kern w:val="0"/>
                <w:sz w:val="21"/>
                <w:szCs w:val="21"/>
              </w:rPr>
              <w:t>，内径</w:t>
            </w:r>
            <w:r>
              <w:rPr>
                <w:rFonts w:cs="Times New Roman"/>
                <w:color w:val="auto"/>
                <w:kern w:val="0"/>
                <w:sz w:val="21"/>
                <w:szCs w:val="21"/>
              </w:rPr>
              <w:t>0.4m</w:t>
            </w:r>
            <w:r>
              <w:rPr>
                <w:rFonts w:hint="eastAsia" w:cs="宋体"/>
                <w:color w:val="auto"/>
                <w:kern w:val="0"/>
                <w:sz w:val="21"/>
                <w:szCs w:val="21"/>
              </w:rPr>
              <w:t>，排放温度</w:t>
            </w:r>
            <w:r>
              <w:rPr>
                <w:rFonts w:cs="Times New Roman"/>
                <w:color w:val="auto"/>
                <w:kern w:val="0"/>
                <w:sz w:val="21"/>
                <w:szCs w:val="21"/>
              </w:rPr>
              <w:t>25℃</w:t>
            </w:r>
          </w:p>
        </w:tc>
        <w:tc>
          <w:tcPr>
            <w:tcW w:w="387" w:type="pct"/>
            <w:shd w:val="clear" w:color="auto" w:fill="auto"/>
            <w:vAlign w:val="center"/>
          </w:tcPr>
          <w:p w14:paraId="53C8AF5E">
            <w:pPr>
              <w:widowControl/>
              <w:spacing w:line="240" w:lineRule="auto"/>
              <w:ind w:firstLine="0" w:firstLineChars="0"/>
              <w:jc w:val="center"/>
              <w:textAlignment w:val="center"/>
              <w:rPr>
                <w:rFonts w:cs="Times New Roman"/>
                <w:color w:val="auto"/>
                <w:kern w:val="0"/>
                <w:sz w:val="21"/>
                <w:szCs w:val="21"/>
              </w:rPr>
            </w:pPr>
            <w:r>
              <w:rPr>
                <w:rFonts w:cs="Times New Roman"/>
                <w:color w:val="auto"/>
                <w:kern w:val="0"/>
                <w:sz w:val="21"/>
                <w:szCs w:val="21"/>
              </w:rPr>
              <w:t>2000Nm</w:t>
            </w:r>
            <w:r>
              <w:rPr>
                <w:rFonts w:cs="Times New Roman"/>
                <w:color w:val="auto"/>
                <w:kern w:val="0"/>
                <w:sz w:val="21"/>
                <w:szCs w:val="21"/>
                <w:vertAlign w:val="superscript"/>
              </w:rPr>
              <w:t>3</w:t>
            </w:r>
            <w:r>
              <w:rPr>
                <w:rFonts w:cs="Times New Roman"/>
                <w:color w:val="auto"/>
                <w:kern w:val="0"/>
                <w:sz w:val="21"/>
                <w:szCs w:val="21"/>
              </w:rPr>
              <w:t>/h</w:t>
            </w:r>
          </w:p>
        </w:tc>
        <w:tc>
          <w:tcPr>
            <w:tcW w:w="324" w:type="pct"/>
            <w:shd w:val="clear" w:color="auto" w:fill="auto"/>
            <w:vAlign w:val="center"/>
          </w:tcPr>
          <w:p w14:paraId="441B3F28">
            <w:pPr>
              <w:widowControl/>
              <w:spacing w:line="240" w:lineRule="auto"/>
              <w:ind w:firstLine="0" w:firstLineChars="0"/>
              <w:jc w:val="center"/>
              <w:textAlignment w:val="center"/>
              <w:rPr>
                <w:rFonts w:hint="default" w:eastAsia="宋体" w:cs="Times New Roman"/>
                <w:color w:val="auto"/>
                <w:kern w:val="0"/>
                <w:sz w:val="21"/>
                <w:szCs w:val="21"/>
                <w:lang w:val="en-US" w:eastAsia="zh-CN"/>
              </w:rPr>
            </w:pPr>
            <w:r>
              <w:rPr>
                <w:rFonts w:hint="eastAsia" w:cs="Times New Roman"/>
                <w:color w:val="auto"/>
                <w:kern w:val="0"/>
                <w:sz w:val="21"/>
                <w:szCs w:val="21"/>
                <w:lang w:val="en-US" w:eastAsia="zh-CN"/>
              </w:rPr>
              <w:t>7.22</w:t>
            </w:r>
          </w:p>
        </w:tc>
        <w:tc>
          <w:tcPr>
            <w:tcW w:w="315" w:type="pct"/>
            <w:shd w:val="clear" w:color="auto" w:fill="auto"/>
            <w:vAlign w:val="center"/>
          </w:tcPr>
          <w:p w14:paraId="4C06EC3D">
            <w:pPr>
              <w:pStyle w:val="45"/>
              <w:bidi w:val="0"/>
              <w:rPr>
                <w:color w:val="auto"/>
              </w:rPr>
            </w:pPr>
            <w:r>
              <w:rPr>
                <w:rFonts w:hint="default"/>
                <w:color w:val="auto"/>
                <w:lang w:val="en-US" w:eastAsia="zh-CN"/>
              </w:rPr>
              <w:t>0.0144</w:t>
            </w:r>
          </w:p>
        </w:tc>
        <w:tc>
          <w:tcPr>
            <w:tcW w:w="346" w:type="pct"/>
            <w:shd w:val="clear" w:color="auto" w:fill="auto"/>
            <w:vAlign w:val="center"/>
          </w:tcPr>
          <w:p w14:paraId="0017C11C">
            <w:pPr>
              <w:pStyle w:val="45"/>
              <w:bidi w:val="0"/>
              <w:rPr>
                <w:color w:val="auto"/>
              </w:rPr>
            </w:pPr>
            <w:r>
              <w:rPr>
                <w:rFonts w:hint="default"/>
                <w:color w:val="auto"/>
                <w:lang w:val="en-US" w:eastAsia="zh-CN"/>
              </w:rPr>
              <w:t>0.104</w:t>
            </w:r>
          </w:p>
        </w:tc>
        <w:tc>
          <w:tcPr>
            <w:tcW w:w="392" w:type="pct"/>
            <w:shd w:val="clear" w:color="auto" w:fill="auto"/>
            <w:vAlign w:val="center"/>
          </w:tcPr>
          <w:p w14:paraId="42564337">
            <w:pPr>
              <w:widowControl/>
              <w:spacing w:line="240" w:lineRule="auto"/>
              <w:ind w:firstLine="0" w:firstLineChars="0"/>
              <w:jc w:val="center"/>
              <w:textAlignment w:val="center"/>
              <w:rPr>
                <w:rFonts w:hint="default" w:eastAsia="宋体" w:cs="Times New Roman"/>
                <w:color w:val="auto"/>
                <w:kern w:val="0"/>
                <w:sz w:val="21"/>
                <w:szCs w:val="21"/>
                <w:lang w:val="en-US" w:eastAsia="zh-CN"/>
              </w:rPr>
            </w:pPr>
            <w:r>
              <w:rPr>
                <w:rFonts w:hint="eastAsia" w:cs="Times New Roman"/>
                <w:color w:val="auto"/>
                <w:kern w:val="0"/>
                <w:sz w:val="21"/>
                <w:szCs w:val="21"/>
                <w:lang w:val="en-US" w:eastAsia="zh-CN"/>
              </w:rPr>
              <w:t>20</w:t>
            </w:r>
          </w:p>
        </w:tc>
        <w:tc>
          <w:tcPr>
            <w:tcW w:w="330" w:type="pct"/>
            <w:shd w:val="clear" w:color="auto" w:fill="auto"/>
            <w:vAlign w:val="center"/>
          </w:tcPr>
          <w:p w14:paraId="61E65458">
            <w:pPr>
              <w:pStyle w:val="45"/>
              <w:bidi w:val="0"/>
              <w:rPr>
                <w:color w:val="auto"/>
              </w:rPr>
            </w:pPr>
            <w:r>
              <w:rPr>
                <w:color w:val="auto"/>
              </w:rPr>
              <w:t>/</w:t>
            </w:r>
          </w:p>
        </w:tc>
        <w:tc>
          <w:tcPr>
            <w:tcW w:w="1041" w:type="pct"/>
            <w:vMerge w:val="continue"/>
            <w:shd w:val="clear" w:color="auto" w:fill="auto"/>
            <w:vAlign w:val="center"/>
          </w:tcPr>
          <w:p w14:paraId="20DB9522">
            <w:pPr>
              <w:widowControl/>
              <w:spacing w:line="240" w:lineRule="auto"/>
              <w:ind w:firstLine="0" w:firstLineChars="0"/>
              <w:jc w:val="center"/>
              <w:rPr>
                <w:rFonts w:cs="宋体"/>
                <w:color w:val="auto"/>
                <w:sz w:val="21"/>
                <w:szCs w:val="21"/>
              </w:rPr>
            </w:pPr>
          </w:p>
        </w:tc>
      </w:tr>
      <w:tr w14:paraId="495EA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1CA7C329">
            <w:pPr>
              <w:widowControl/>
              <w:spacing w:line="240" w:lineRule="auto"/>
              <w:ind w:firstLine="0" w:firstLineChars="0"/>
              <w:jc w:val="center"/>
              <w:rPr>
                <w:rFonts w:cs="宋体"/>
                <w:color w:val="auto"/>
                <w:sz w:val="21"/>
                <w:szCs w:val="21"/>
              </w:rPr>
            </w:pPr>
          </w:p>
        </w:tc>
        <w:tc>
          <w:tcPr>
            <w:tcW w:w="252" w:type="pct"/>
            <w:vMerge w:val="restart"/>
            <w:shd w:val="clear" w:color="auto" w:fill="auto"/>
            <w:vAlign w:val="center"/>
          </w:tcPr>
          <w:p w14:paraId="181E8575">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无组织废气</w:t>
            </w:r>
          </w:p>
        </w:tc>
        <w:tc>
          <w:tcPr>
            <w:tcW w:w="312" w:type="pct"/>
            <w:vMerge w:val="restart"/>
            <w:shd w:val="clear" w:color="auto" w:fill="auto"/>
            <w:noWrap/>
            <w:vAlign w:val="center"/>
          </w:tcPr>
          <w:p w14:paraId="6D6701F9">
            <w:pPr>
              <w:pStyle w:val="45"/>
              <w:bidi w:val="0"/>
              <w:rPr>
                <w:color w:val="auto"/>
              </w:rPr>
            </w:pPr>
            <w:r>
              <w:rPr>
                <w:rFonts w:hint="eastAsia"/>
                <w:color w:val="auto"/>
                <w:lang w:val="en-US" w:eastAsia="zh-CN"/>
              </w:rPr>
              <w:t>电解区无组织氯气及氯化氢</w:t>
            </w:r>
          </w:p>
        </w:tc>
        <w:tc>
          <w:tcPr>
            <w:tcW w:w="410" w:type="pct"/>
            <w:vMerge w:val="restart"/>
            <w:shd w:val="clear" w:color="auto" w:fill="auto"/>
            <w:vAlign w:val="center"/>
          </w:tcPr>
          <w:p w14:paraId="1A66A281">
            <w:pPr>
              <w:widowControl/>
              <w:spacing w:line="240" w:lineRule="auto"/>
              <w:ind w:firstLine="0" w:firstLineChars="0"/>
              <w:jc w:val="center"/>
              <w:textAlignment w:val="center"/>
              <w:rPr>
                <w:rFonts w:hint="default" w:eastAsia="宋体" w:cs="Times New Roman"/>
                <w:color w:val="auto"/>
                <w:sz w:val="21"/>
                <w:szCs w:val="21"/>
                <w:lang w:val="en-US" w:eastAsia="zh-CN"/>
              </w:rPr>
            </w:pPr>
            <w:r>
              <w:rPr>
                <w:rFonts w:hint="eastAsia" w:cs="Times New Roman"/>
                <w:color w:val="auto"/>
                <w:sz w:val="21"/>
                <w:szCs w:val="21"/>
                <w:lang w:val="en-US" w:eastAsia="zh-CN"/>
              </w:rPr>
              <w:t>机械通风</w:t>
            </w:r>
          </w:p>
        </w:tc>
        <w:tc>
          <w:tcPr>
            <w:tcW w:w="103" w:type="pct"/>
            <w:vMerge w:val="restart"/>
            <w:shd w:val="clear" w:color="auto" w:fill="auto"/>
            <w:vAlign w:val="center"/>
          </w:tcPr>
          <w:p w14:paraId="77323D2F">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231" w:type="pct"/>
            <w:shd w:val="clear" w:color="auto" w:fill="auto"/>
            <w:vAlign w:val="center"/>
          </w:tcPr>
          <w:p w14:paraId="67099346">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Cl</w:t>
            </w:r>
            <w:r>
              <w:rPr>
                <w:rFonts w:cs="Times New Roman"/>
                <w:color w:val="auto"/>
                <w:kern w:val="0"/>
                <w:sz w:val="21"/>
                <w:szCs w:val="21"/>
                <w:vertAlign w:val="subscript"/>
              </w:rPr>
              <w:t>2</w:t>
            </w:r>
          </w:p>
        </w:tc>
        <w:tc>
          <w:tcPr>
            <w:tcW w:w="451" w:type="pct"/>
            <w:vMerge w:val="restart"/>
            <w:shd w:val="clear" w:color="auto" w:fill="auto"/>
            <w:vAlign w:val="center"/>
          </w:tcPr>
          <w:p w14:paraId="79E369D8">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387" w:type="pct"/>
            <w:vMerge w:val="restart"/>
            <w:shd w:val="clear" w:color="auto" w:fill="auto"/>
            <w:vAlign w:val="center"/>
          </w:tcPr>
          <w:p w14:paraId="796D7D04">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324" w:type="pct"/>
            <w:vMerge w:val="restart"/>
            <w:shd w:val="clear" w:color="auto" w:fill="auto"/>
            <w:vAlign w:val="center"/>
          </w:tcPr>
          <w:p w14:paraId="0E187AB2">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315" w:type="pct"/>
            <w:shd w:val="clear" w:color="auto" w:fill="auto"/>
            <w:vAlign w:val="center"/>
          </w:tcPr>
          <w:p w14:paraId="5EDA6DE6">
            <w:pPr>
              <w:pStyle w:val="45"/>
              <w:bidi w:val="0"/>
              <w:rPr>
                <w:color w:val="auto"/>
              </w:rPr>
            </w:pPr>
            <w:r>
              <w:rPr>
                <w:rFonts w:hint="default"/>
                <w:color w:val="auto"/>
                <w:lang w:val="en-US" w:eastAsia="zh-CN"/>
              </w:rPr>
              <w:t>0.0008</w:t>
            </w:r>
          </w:p>
        </w:tc>
        <w:tc>
          <w:tcPr>
            <w:tcW w:w="346" w:type="pct"/>
            <w:shd w:val="clear" w:color="auto" w:fill="auto"/>
            <w:vAlign w:val="center"/>
          </w:tcPr>
          <w:p w14:paraId="3BD388BC">
            <w:pPr>
              <w:pStyle w:val="45"/>
              <w:bidi w:val="0"/>
              <w:rPr>
                <w:color w:val="auto"/>
              </w:rPr>
            </w:pPr>
            <w:r>
              <w:rPr>
                <w:rFonts w:hint="default"/>
                <w:color w:val="auto"/>
                <w:lang w:val="en-US" w:eastAsia="zh-CN"/>
              </w:rPr>
              <w:t>0.006</w:t>
            </w:r>
          </w:p>
        </w:tc>
        <w:tc>
          <w:tcPr>
            <w:tcW w:w="392" w:type="pct"/>
            <w:vMerge w:val="restart"/>
            <w:shd w:val="clear" w:color="auto" w:fill="auto"/>
            <w:vAlign w:val="center"/>
          </w:tcPr>
          <w:p w14:paraId="65867F63">
            <w:pPr>
              <w:widowControl/>
              <w:spacing w:line="240" w:lineRule="auto"/>
              <w:ind w:firstLine="0" w:firstLineChars="0"/>
              <w:jc w:val="center"/>
              <w:textAlignment w:val="center"/>
              <w:rPr>
                <w:rFonts w:hint="eastAsia" w:eastAsia="宋体" w:cs="宋体"/>
                <w:color w:val="auto"/>
                <w:sz w:val="21"/>
                <w:szCs w:val="22"/>
                <w:lang w:eastAsia="zh-CN"/>
              </w:rPr>
            </w:pPr>
            <w:r>
              <w:rPr>
                <w:rFonts w:hint="eastAsia" w:cs="Times New Roman"/>
                <w:color w:val="auto"/>
                <w:kern w:val="0"/>
                <w:sz w:val="21"/>
                <w:szCs w:val="21"/>
                <w:lang w:val="en-US" w:eastAsia="zh-CN"/>
              </w:rPr>
              <w:t>/</w:t>
            </w:r>
          </w:p>
        </w:tc>
        <w:tc>
          <w:tcPr>
            <w:tcW w:w="330" w:type="pct"/>
            <w:vMerge w:val="restart"/>
            <w:shd w:val="clear" w:color="auto" w:fill="auto"/>
            <w:vAlign w:val="center"/>
          </w:tcPr>
          <w:p w14:paraId="2B004EA6">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1041" w:type="pct"/>
            <w:vMerge w:val="restart"/>
            <w:shd w:val="clear" w:color="auto" w:fill="auto"/>
            <w:vAlign w:val="center"/>
          </w:tcPr>
          <w:p w14:paraId="7233C74C">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《无机化学工业污染物排放标准》（GB31573-2015）表5</w:t>
            </w:r>
          </w:p>
        </w:tc>
      </w:tr>
      <w:tr w14:paraId="4E4EA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0D4B6FCE">
            <w:pPr>
              <w:widowControl/>
              <w:spacing w:line="240" w:lineRule="auto"/>
              <w:ind w:firstLine="0" w:firstLineChars="0"/>
              <w:jc w:val="center"/>
              <w:rPr>
                <w:rFonts w:cs="宋体"/>
                <w:color w:val="auto"/>
                <w:sz w:val="21"/>
                <w:szCs w:val="21"/>
              </w:rPr>
            </w:pPr>
          </w:p>
        </w:tc>
        <w:tc>
          <w:tcPr>
            <w:tcW w:w="252" w:type="pct"/>
            <w:vMerge w:val="continue"/>
            <w:shd w:val="clear" w:color="auto" w:fill="auto"/>
            <w:vAlign w:val="center"/>
          </w:tcPr>
          <w:p w14:paraId="62783130">
            <w:pPr>
              <w:widowControl/>
              <w:spacing w:line="240" w:lineRule="auto"/>
              <w:ind w:firstLine="0" w:firstLineChars="0"/>
              <w:jc w:val="center"/>
              <w:rPr>
                <w:rFonts w:cs="宋体"/>
                <w:color w:val="auto"/>
                <w:sz w:val="21"/>
                <w:szCs w:val="21"/>
              </w:rPr>
            </w:pPr>
          </w:p>
        </w:tc>
        <w:tc>
          <w:tcPr>
            <w:tcW w:w="312" w:type="pct"/>
            <w:vMerge w:val="continue"/>
            <w:shd w:val="clear" w:color="auto" w:fill="auto"/>
            <w:noWrap/>
            <w:vAlign w:val="center"/>
          </w:tcPr>
          <w:p w14:paraId="18344295">
            <w:pPr>
              <w:pStyle w:val="45"/>
              <w:bidi w:val="0"/>
              <w:rPr>
                <w:color w:val="auto"/>
              </w:rPr>
            </w:pPr>
          </w:p>
        </w:tc>
        <w:tc>
          <w:tcPr>
            <w:tcW w:w="410" w:type="pct"/>
            <w:vMerge w:val="continue"/>
            <w:shd w:val="clear" w:color="auto" w:fill="auto"/>
            <w:vAlign w:val="center"/>
          </w:tcPr>
          <w:p w14:paraId="2B83C1E0">
            <w:pPr>
              <w:widowControl/>
              <w:spacing w:line="240" w:lineRule="auto"/>
              <w:ind w:firstLine="0" w:firstLineChars="0"/>
              <w:jc w:val="center"/>
              <w:rPr>
                <w:rFonts w:cs="Times New Roman"/>
                <w:color w:val="auto"/>
                <w:sz w:val="21"/>
                <w:szCs w:val="21"/>
              </w:rPr>
            </w:pPr>
          </w:p>
        </w:tc>
        <w:tc>
          <w:tcPr>
            <w:tcW w:w="103" w:type="pct"/>
            <w:vMerge w:val="continue"/>
            <w:shd w:val="clear" w:color="auto" w:fill="auto"/>
            <w:vAlign w:val="center"/>
          </w:tcPr>
          <w:p w14:paraId="5279DFB0">
            <w:pPr>
              <w:widowControl/>
              <w:spacing w:line="240" w:lineRule="auto"/>
              <w:ind w:firstLine="0" w:firstLineChars="0"/>
              <w:jc w:val="center"/>
              <w:rPr>
                <w:rFonts w:cs="Times New Roman"/>
                <w:color w:val="auto"/>
                <w:sz w:val="21"/>
                <w:szCs w:val="21"/>
              </w:rPr>
            </w:pPr>
          </w:p>
        </w:tc>
        <w:tc>
          <w:tcPr>
            <w:tcW w:w="231" w:type="pct"/>
            <w:shd w:val="clear" w:color="auto" w:fill="auto"/>
            <w:vAlign w:val="center"/>
          </w:tcPr>
          <w:p w14:paraId="55796BFA">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HCl</w:t>
            </w:r>
          </w:p>
        </w:tc>
        <w:tc>
          <w:tcPr>
            <w:tcW w:w="451" w:type="pct"/>
            <w:vMerge w:val="continue"/>
            <w:shd w:val="clear" w:color="auto" w:fill="auto"/>
            <w:vAlign w:val="center"/>
          </w:tcPr>
          <w:p w14:paraId="1C64FEAE">
            <w:pPr>
              <w:widowControl/>
              <w:spacing w:line="240" w:lineRule="auto"/>
              <w:ind w:firstLine="0" w:firstLineChars="0"/>
              <w:jc w:val="center"/>
              <w:rPr>
                <w:rFonts w:cs="Times New Roman"/>
                <w:color w:val="auto"/>
                <w:sz w:val="21"/>
                <w:szCs w:val="21"/>
              </w:rPr>
            </w:pPr>
          </w:p>
        </w:tc>
        <w:tc>
          <w:tcPr>
            <w:tcW w:w="387" w:type="pct"/>
            <w:vMerge w:val="continue"/>
            <w:shd w:val="clear" w:color="auto" w:fill="auto"/>
            <w:vAlign w:val="center"/>
          </w:tcPr>
          <w:p w14:paraId="58EE6273">
            <w:pPr>
              <w:widowControl/>
              <w:spacing w:line="240" w:lineRule="auto"/>
              <w:ind w:firstLine="0" w:firstLineChars="0"/>
              <w:jc w:val="center"/>
              <w:rPr>
                <w:rFonts w:cs="Times New Roman"/>
                <w:color w:val="auto"/>
                <w:sz w:val="21"/>
                <w:szCs w:val="21"/>
              </w:rPr>
            </w:pPr>
          </w:p>
        </w:tc>
        <w:tc>
          <w:tcPr>
            <w:tcW w:w="324" w:type="pct"/>
            <w:vMerge w:val="continue"/>
            <w:shd w:val="clear" w:color="auto" w:fill="auto"/>
            <w:vAlign w:val="center"/>
          </w:tcPr>
          <w:p w14:paraId="554644B6">
            <w:pPr>
              <w:widowControl/>
              <w:spacing w:line="240" w:lineRule="auto"/>
              <w:ind w:firstLine="0" w:firstLineChars="0"/>
              <w:jc w:val="center"/>
              <w:rPr>
                <w:rFonts w:cs="Times New Roman"/>
                <w:color w:val="auto"/>
                <w:sz w:val="21"/>
                <w:szCs w:val="21"/>
              </w:rPr>
            </w:pPr>
          </w:p>
        </w:tc>
        <w:tc>
          <w:tcPr>
            <w:tcW w:w="315" w:type="pct"/>
            <w:shd w:val="clear" w:color="auto" w:fill="auto"/>
            <w:vAlign w:val="center"/>
          </w:tcPr>
          <w:p w14:paraId="6D6B5F93">
            <w:pPr>
              <w:pStyle w:val="45"/>
              <w:bidi w:val="0"/>
              <w:rPr>
                <w:color w:val="auto"/>
              </w:rPr>
            </w:pPr>
            <w:r>
              <w:rPr>
                <w:rFonts w:hint="default"/>
                <w:color w:val="auto"/>
                <w:lang w:val="en-US" w:eastAsia="zh-CN"/>
              </w:rPr>
              <w:t>0.0009</w:t>
            </w:r>
          </w:p>
        </w:tc>
        <w:tc>
          <w:tcPr>
            <w:tcW w:w="346" w:type="pct"/>
            <w:shd w:val="clear" w:color="auto" w:fill="auto"/>
            <w:vAlign w:val="center"/>
          </w:tcPr>
          <w:p w14:paraId="0272E48B">
            <w:pPr>
              <w:pStyle w:val="45"/>
              <w:bidi w:val="0"/>
              <w:rPr>
                <w:color w:val="auto"/>
              </w:rPr>
            </w:pPr>
            <w:r>
              <w:rPr>
                <w:rFonts w:hint="default"/>
                <w:color w:val="auto"/>
                <w:lang w:val="en-US" w:eastAsia="zh-CN"/>
              </w:rPr>
              <w:t>0.0063</w:t>
            </w:r>
          </w:p>
        </w:tc>
        <w:tc>
          <w:tcPr>
            <w:tcW w:w="392" w:type="pct"/>
            <w:vMerge w:val="continue"/>
            <w:shd w:val="clear" w:color="auto" w:fill="auto"/>
            <w:vAlign w:val="center"/>
          </w:tcPr>
          <w:p w14:paraId="6B16562B">
            <w:pPr>
              <w:widowControl/>
              <w:spacing w:line="240" w:lineRule="auto"/>
              <w:ind w:firstLine="0" w:firstLineChars="0"/>
              <w:jc w:val="center"/>
              <w:textAlignment w:val="center"/>
              <w:rPr>
                <w:rFonts w:cs="Times New Roman"/>
                <w:color w:val="auto"/>
                <w:sz w:val="21"/>
                <w:szCs w:val="21"/>
              </w:rPr>
            </w:pPr>
          </w:p>
        </w:tc>
        <w:tc>
          <w:tcPr>
            <w:tcW w:w="330" w:type="pct"/>
            <w:vMerge w:val="continue"/>
            <w:shd w:val="clear" w:color="auto" w:fill="auto"/>
            <w:vAlign w:val="center"/>
          </w:tcPr>
          <w:p w14:paraId="311D8A71">
            <w:pPr>
              <w:widowControl/>
              <w:spacing w:line="240" w:lineRule="auto"/>
              <w:ind w:firstLine="0" w:firstLineChars="0"/>
              <w:jc w:val="center"/>
              <w:rPr>
                <w:rFonts w:cs="Times New Roman"/>
                <w:color w:val="auto"/>
                <w:sz w:val="21"/>
                <w:szCs w:val="21"/>
              </w:rPr>
            </w:pPr>
          </w:p>
        </w:tc>
        <w:tc>
          <w:tcPr>
            <w:tcW w:w="1041" w:type="pct"/>
            <w:vMerge w:val="continue"/>
            <w:shd w:val="clear" w:color="auto" w:fill="auto"/>
            <w:vAlign w:val="center"/>
          </w:tcPr>
          <w:p w14:paraId="6E04BEA3">
            <w:pPr>
              <w:widowControl/>
              <w:spacing w:line="240" w:lineRule="auto"/>
              <w:ind w:firstLine="0" w:firstLineChars="0"/>
              <w:jc w:val="center"/>
              <w:rPr>
                <w:rFonts w:cs="宋体"/>
                <w:color w:val="auto"/>
                <w:sz w:val="21"/>
                <w:szCs w:val="21"/>
              </w:rPr>
            </w:pPr>
          </w:p>
        </w:tc>
      </w:tr>
      <w:tr w14:paraId="4C3A5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5E99F051">
            <w:pPr>
              <w:widowControl/>
              <w:spacing w:line="240" w:lineRule="auto"/>
              <w:ind w:firstLine="0" w:firstLineChars="0"/>
              <w:jc w:val="center"/>
              <w:rPr>
                <w:rFonts w:cs="宋体"/>
                <w:color w:val="auto"/>
                <w:sz w:val="21"/>
                <w:szCs w:val="21"/>
              </w:rPr>
            </w:pPr>
          </w:p>
        </w:tc>
        <w:tc>
          <w:tcPr>
            <w:tcW w:w="252" w:type="pct"/>
            <w:vMerge w:val="continue"/>
            <w:shd w:val="clear" w:color="auto" w:fill="auto"/>
            <w:vAlign w:val="center"/>
          </w:tcPr>
          <w:p w14:paraId="4F3F7555">
            <w:pPr>
              <w:widowControl/>
              <w:spacing w:line="240" w:lineRule="auto"/>
              <w:ind w:firstLine="0" w:firstLineChars="0"/>
              <w:jc w:val="center"/>
              <w:rPr>
                <w:rFonts w:cs="宋体"/>
                <w:color w:val="auto"/>
                <w:sz w:val="21"/>
                <w:szCs w:val="21"/>
              </w:rPr>
            </w:pPr>
          </w:p>
        </w:tc>
        <w:tc>
          <w:tcPr>
            <w:tcW w:w="312" w:type="pct"/>
            <w:shd w:val="clear" w:color="auto" w:fill="auto"/>
            <w:noWrap/>
            <w:vAlign w:val="center"/>
          </w:tcPr>
          <w:p w14:paraId="2F332CF5">
            <w:pPr>
              <w:pStyle w:val="45"/>
              <w:bidi w:val="0"/>
              <w:rPr>
                <w:color w:val="auto"/>
              </w:rPr>
            </w:pPr>
            <w:r>
              <w:rPr>
                <w:rFonts w:hint="eastAsia"/>
                <w:color w:val="auto"/>
                <w:lang w:val="en-US" w:eastAsia="zh-CN"/>
              </w:rPr>
              <w:t>盐酸储罐大小呼吸</w:t>
            </w:r>
          </w:p>
        </w:tc>
        <w:tc>
          <w:tcPr>
            <w:tcW w:w="410" w:type="pct"/>
            <w:shd w:val="clear" w:color="auto" w:fill="auto"/>
            <w:vAlign w:val="center"/>
          </w:tcPr>
          <w:p w14:paraId="6E608404">
            <w:pPr>
              <w:pStyle w:val="45"/>
              <w:bidi w:val="0"/>
              <w:rPr>
                <w:color w:val="auto"/>
              </w:rPr>
            </w:pPr>
            <w:r>
              <w:rPr>
                <w:rFonts w:hint="eastAsia"/>
                <w:color w:val="auto"/>
                <w:lang w:val="en-US" w:eastAsia="zh-CN"/>
              </w:rPr>
              <w:t>碱封</w:t>
            </w:r>
            <w:r>
              <w:rPr>
                <w:rFonts w:hint="default"/>
                <w:color w:val="auto"/>
                <w:lang w:val="en-US" w:eastAsia="zh-CN"/>
              </w:rPr>
              <w:t>+</w:t>
            </w:r>
            <w:r>
              <w:rPr>
                <w:rFonts w:hint="eastAsia"/>
                <w:color w:val="auto"/>
                <w:lang w:val="en-US" w:eastAsia="zh-CN"/>
              </w:rPr>
              <w:t>通风</w:t>
            </w:r>
          </w:p>
        </w:tc>
        <w:tc>
          <w:tcPr>
            <w:tcW w:w="103" w:type="pct"/>
            <w:vMerge w:val="continue"/>
            <w:shd w:val="clear" w:color="auto" w:fill="auto"/>
            <w:vAlign w:val="center"/>
          </w:tcPr>
          <w:p w14:paraId="45F30B48">
            <w:pPr>
              <w:widowControl/>
              <w:spacing w:line="240" w:lineRule="auto"/>
              <w:ind w:firstLine="0" w:firstLineChars="0"/>
              <w:jc w:val="center"/>
              <w:rPr>
                <w:rFonts w:cs="Times New Roman"/>
                <w:color w:val="auto"/>
                <w:sz w:val="21"/>
                <w:szCs w:val="21"/>
              </w:rPr>
            </w:pPr>
          </w:p>
        </w:tc>
        <w:tc>
          <w:tcPr>
            <w:tcW w:w="231" w:type="pct"/>
            <w:shd w:val="clear" w:color="auto" w:fill="auto"/>
            <w:vAlign w:val="center"/>
          </w:tcPr>
          <w:p w14:paraId="37C2CFB1">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HCl</w:t>
            </w:r>
          </w:p>
        </w:tc>
        <w:tc>
          <w:tcPr>
            <w:tcW w:w="451" w:type="pct"/>
            <w:vMerge w:val="continue"/>
            <w:shd w:val="clear" w:color="auto" w:fill="auto"/>
            <w:vAlign w:val="center"/>
          </w:tcPr>
          <w:p w14:paraId="6299DE34">
            <w:pPr>
              <w:widowControl/>
              <w:spacing w:line="240" w:lineRule="auto"/>
              <w:ind w:firstLine="0" w:firstLineChars="0"/>
              <w:jc w:val="center"/>
              <w:rPr>
                <w:rFonts w:cs="Times New Roman"/>
                <w:color w:val="auto"/>
                <w:sz w:val="21"/>
                <w:szCs w:val="21"/>
              </w:rPr>
            </w:pPr>
          </w:p>
        </w:tc>
        <w:tc>
          <w:tcPr>
            <w:tcW w:w="387" w:type="pct"/>
            <w:vMerge w:val="continue"/>
            <w:shd w:val="clear" w:color="auto" w:fill="auto"/>
            <w:vAlign w:val="center"/>
          </w:tcPr>
          <w:p w14:paraId="2A431332">
            <w:pPr>
              <w:widowControl/>
              <w:spacing w:line="240" w:lineRule="auto"/>
              <w:ind w:firstLine="0" w:firstLineChars="0"/>
              <w:jc w:val="center"/>
              <w:rPr>
                <w:rFonts w:cs="Times New Roman"/>
                <w:color w:val="auto"/>
                <w:sz w:val="21"/>
                <w:szCs w:val="21"/>
              </w:rPr>
            </w:pPr>
          </w:p>
        </w:tc>
        <w:tc>
          <w:tcPr>
            <w:tcW w:w="324" w:type="pct"/>
            <w:vMerge w:val="continue"/>
            <w:shd w:val="clear" w:color="auto" w:fill="auto"/>
            <w:vAlign w:val="center"/>
          </w:tcPr>
          <w:p w14:paraId="12A78188">
            <w:pPr>
              <w:widowControl/>
              <w:spacing w:line="240" w:lineRule="auto"/>
              <w:ind w:firstLine="0" w:firstLineChars="0"/>
              <w:jc w:val="center"/>
              <w:rPr>
                <w:rFonts w:cs="Times New Roman"/>
                <w:color w:val="auto"/>
                <w:sz w:val="21"/>
                <w:szCs w:val="21"/>
              </w:rPr>
            </w:pPr>
          </w:p>
        </w:tc>
        <w:tc>
          <w:tcPr>
            <w:tcW w:w="315" w:type="pct"/>
            <w:shd w:val="clear" w:color="auto" w:fill="auto"/>
            <w:noWrap/>
            <w:vAlign w:val="center"/>
          </w:tcPr>
          <w:p w14:paraId="542D762B">
            <w:pPr>
              <w:pStyle w:val="45"/>
              <w:bidi w:val="0"/>
              <w:rPr>
                <w:color w:val="auto"/>
              </w:rPr>
            </w:pPr>
            <w:r>
              <w:rPr>
                <w:rFonts w:hint="default"/>
                <w:color w:val="auto"/>
                <w:lang w:val="en-US" w:eastAsia="zh-CN"/>
              </w:rPr>
              <w:t>0.000546</w:t>
            </w:r>
          </w:p>
        </w:tc>
        <w:tc>
          <w:tcPr>
            <w:tcW w:w="346" w:type="pct"/>
            <w:shd w:val="clear" w:color="auto" w:fill="auto"/>
            <w:noWrap/>
            <w:vAlign w:val="center"/>
          </w:tcPr>
          <w:p w14:paraId="49B4EAEB">
            <w:pPr>
              <w:pStyle w:val="45"/>
              <w:bidi w:val="0"/>
              <w:rPr>
                <w:color w:val="auto"/>
              </w:rPr>
            </w:pPr>
            <w:r>
              <w:rPr>
                <w:rFonts w:hint="default"/>
                <w:color w:val="auto"/>
                <w:lang w:val="en-US" w:eastAsia="zh-CN"/>
              </w:rPr>
              <w:t>0.0039312</w:t>
            </w:r>
          </w:p>
        </w:tc>
        <w:tc>
          <w:tcPr>
            <w:tcW w:w="392" w:type="pct"/>
            <w:vMerge w:val="continue"/>
            <w:shd w:val="clear" w:color="auto" w:fill="auto"/>
            <w:vAlign w:val="center"/>
          </w:tcPr>
          <w:p w14:paraId="019B2095">
            <w:pPr>
              <w:widowControl/>
              <w:spacing w:line="240" w:lineRule="auto"/>
              <w:ind w:firstLine="0" w:firstLineChars="0"/>
              <w:jc w:val="center"/>
              <w:textAlignment w:val="center"/>
              <w:rPr>
                <w:rFonts w:cs="Times New Roman"/>
                <w:color w:val="auto"/>
                <w:sz w:val="21"/>
                <w:szCs w:val="21"/>
              </w:rPr>
            </w:pPr>
          </w:p>
        </w:tc>
        <w:tc>
          <w:tcPr>
            <w:tcW w:w="330" w:type="pct"/>
            <w:vMerge w:val="continue"/>
            <w:shd w:val="clear" w:color="auto" w:fill="auto"/>
            <w:vAlign w:val="center"/>
          </w:tcPr>
          <w:p w14:paraId="53DC8F4E">
            <w:pPr>
              <w:widowControl/>
              <w:spacing w:line="240" w:lineRule="auto"/>
              <w:ind w:firstLine="0" w:firstLineChars="0"/>
              <w:jc w:val="center"/>
              <w:rPr>
                <w:rFonts w:cs="Times New Roman"/>
                <w:color w:val="auto"/>
                <w:sz w:val="21"/>
                <w:szCs w:val="21"/>
              </w:rPr>
            </w:pPr>
          </w:p>
        </w:tc>
        <w:tc>
          <w:tcPr>
            <w:tcW w:w="1041" w:type="pct"/>
            <w:vMerge w:val="continue"/>
            <w:shd w:val="clear" w:color="auto" w:fill="auto"/>
            <w:vAlign w:val="center"/>
          </w:tcPr>
          <w:p w14:paraId="5C83B641">
            <w:pPr>
              <w:widowControl/>
              <w:spacing w:line="240" w:lineRule="auto"/>
              <w:ind w:firstLine="0" w:firstLineChars="0"/>
              <w:jc w:val="center"/>
              <w:rPr>
                <w:rFonts w:cs="宋体"/>
                <w:color w:val="auto"/>
                <w:sz w:val="21"/>
                <w:szCs w:val="21"/>
              </w:rPr>
            </w:pPr>
          </w:p>
        </w:tc>
      </w:tr>
      <w:tr w14:paraId="44CA1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203899F5">
            <w:pPr>
              <w:widowControl/>
              <w:spacing w:line="240" w:lineRule="auto"/>
              <w:ind w:firstLine="0" w:firstLineChars="0"/>
              <w:jc w:val="center"/>
              <w:rPr>
                <w:rFonts w:cs="宋体"/>
                <w:color w:val="auto"/>
                <w:sz w:val="21"/>
                <w:szCs w:val="21"/>
              </w:rPr>
            </w:pPr>
          </w:p>
        </w:tc>
        <w:tc>
          <w:tcPr>
            <w:tcW w:w="252" w:type="pct"/>
            <w:vMerge w:val="continue"/>
            <w:shd w:val="clear" w:color="auto" w:fill="auto"/>
            <w:vAlign w:val="center"/>
          </w:tcPr>
          <w:p w14:paraId="3CE19693">
            <w:pPr>
              <w:widowControl/>
              <w:spacing w:line="240" w:lineRule="auto"/>
              <w:ind w:firstLine="0" w:firstLineChars="0"/>
              <w:jc w:val="center"/>
              <w:rPr>
                <w:rFonts w:cs="宋体"/>
                <w:color w:val="auto"/>
                <w:sz w:val="21"/>
                <w:szCs w:val="21"/>
              </w:rPr>
            </w:pPr>
          </w:p>
        </w:tc>
        <w:tc>
          <w:tcPr>
            <w:tcW w:w="312" w:type="pct"/>
            <w:shd w:val="clear" w:color="auto" w:fill="auto"/>
            <w:vAlign w:val="center"/>
          </w:tcPr>
          <w:p w14:paraId="43436AA3">
            <w:pPr>
              <w:pStyle w:val="45"/>
              <w:bidi w:val="0"/>
              <w:rPr>
                <w:rFonts w:hint="eastAsia"/>
                <w:color w:val="auto"/>
              </w:rPr>
            </w:pPr>
            <w:r>
              <w:rPr>
                <w:rFonts w:hint="eastAsia"/>
                <w:color w:val="auto"/>
                <w:lang w:val="en-US" w:eastAsia="zh-CN"/>
              </w:rPr>
              <w:t>无组织干燥包装粉尘（钠钾盐）</w:t>
            </w:r>
          </w:p>
        </w:tc>
        <w:tc>
          <w:tcPr>
            <w:tcW w:w="410" w:type="pct"/>
            <w:shd w:val="clear" w:color="auto" w:fill="auto"/>
            <w:vAlign w:val="center"/>
          </w:tcPr>
          <w:p w14:paraId="1CE4AC42">
            <w:pPr>
              <w:pStyle w:val="45"/>
              <w:bidi w:val="0"/>
              <w:rPr>
                <w:color w:val="auto"/>
              </w:rPr>
            </w:pPr>
            <w:r>
              <w:rPr>
                <w:rFonts w:hint="eastAsia"/>
                <w:color w:val="auto"/>
                <w:lang w:val="en-US" w:eastAsia="zh-CN"/>
              </w:rPr>
              <w:t>机械通风</w:t>
            </w:r>
          </w:p>
        </w:tc>
        <w:tc>
          <w:tcPr>
            <w:tcW w:w="103" w:type="pct"/>
            <w:vMerge w:val="continue"/>
            <w:shd w:val="clear" w:color="auto" w:fill="auto"/>
            <w:vAlign w:val="center"/>
          </w:tcPr>
          <w:p w14:paraId="3CA2A09F">
            <w:pPr>
              <w:widowControl/>
              <w:spacing w:line="240" w:lineRule="auto"/>
              <w:ind w:firstLine="0" w:firstLineChars="0"/>
              <w:jc w:val="center"/>
              <w:rPr>
                <w:rFonts w:cs="Times New Roman"/>
                <w:color w:val="auto"/>
                <w:sz w:val="21"/>
                <w:szCs w:val="21"/>
              </w:rPr>
            </w:pPr>
          </w:p>
        </w:tc>
        <w:tc>
          <w:tcPr>
            <w:tcW w:w="231" w:type="pct"/>
            <w:shd w:val="clear" w:color="auto" w:fill="auto"/>
            <w:noWrap/>
            <w:vAlign w:val="center"/>
          </w:tcPr>
          <w:p w14:paraId="5843CD02">
            <w:pPr>
              <w:widowControl/>
              <w:spacing w:line="240" w:lineRule="auto"/>
              <w:ind w:firstLine="0" w:firstLineChars="0"/>
              <w:jc w:val="center"/>
              <w:textAlignment w:val="center"/>
              <w:rPr>
                <w:rFonts w:hint="eastAsia" w:eastAsia="宋体" w:cs="宋体"/>
                <w:color w:val="auto"/>
                <w:kern w:val="0"/>
                <w:sz w:val="21"/>
                <w:szCs w:val="22"/>
                <w:lang w:val="en-US" w:eastAsia="zh-CN"/>
              </w:rPr>
            </w:pPr>
            <w:r>
              <w:rPr>
                <w:rFonts w:hint="eastAsia" w:cs="宋体"/>
                <w:color w:val="auto"/>
                <w:kern w:val="0"/>
                <w:sz w:val="21"/>
                <w:szCs w:val="22"/>
                <w:lang w:val="en-US" w:eastAsia="zh-CN"/>
              </w:rPr>
              <w:t>颗粒物</w:t>
            </w:r>
          </w:p>
        </w:tc>
        <w:tc>
          <w:tcPr>
            <w:tcW w:w="451" w:type="pct"/>
            <w:vMerge w:val="continue"/>
            <w:shd w:val="clear" w:color="auto" w:fill="auto"/>
            <w:vAlign w:val="center"/>
          </w:tcPr>
          <w:p w14:paraId="03752EAB">
            <w:pPr>
              <w:widowControl/>
              <w:spacing w:line="240" w:lineRule="auto"/>
              <w:ind w:firstLine="0" w:firstLineChars="0"/>
              <w:jc w:val="center"/>
              <w:rPr>
                <w:rFonts w:cs="Times New Roman"/>
                <w:color w:val="auto"/>
                <w:sz w:val="21"/>
                <w:szCs w:val="21"/>
              </w:rPr>
            </w:pPr>
          </w:p>
        </w:tc>
        <w:tc>
          <w:tcPr>
            <w:tcW w:w="387" w:type="pct"/>
            <w:vMerge w:val="continue"/>
            <w:shd w:val="clear" w:color="auto" w:fill="auto"/>
            <w:vAlign w:val="center"/>
          </w:tcPr>
          <w:p w14:paraId="54301480">
            <w:pPr>
              <w:widowControl/>
              <w:spacing w:line="240" w:lineRule="auto"/>
              <w:ind w:firstLine="0" w:firstLineChars="0"/>
              <w:jc w:val="center"/>
              <w:rPr>
                <w:rFonts w:cs="Times New Roman"/>
                <w:color w:val="auto"/>
                <w:sz w:val="21"/>
                <w:szCs w:val="21"/>
              </w:rPr>
            </w:pPr>
          </w:p>
        </w:tc>
        <w:tc>
          <w:tcPr>
            <w:tcW w:w="324" w:type="pct"/>
            <w:vMerge w:val="continue"/>
            <w:shd w:val="clear" w:color="auto" w:fill="auto"/>
            <w:vAlign w:val="center"/>
          </w:tcPr>
          <w:p w14:paraId="1980EC31">
            <w:pPr>
              <w:widowControl/>
              <w:spacing w:line="240" w:lineRule="auto"/>
              <w:ind w:firstLine="0" w:firstLineChars="0"/>
              <w:jc w:val="center"/>
              <w:rPr>
                <w:rFonts w:cs="Times New Roman"/>
                <w:color w:val="auto"/>
                <w:sz w:val="21"/>
                <w:szCs w:val="21"/>
              </w:rPr>
            </w:pPr>
          </w:p>
        </w:tc>
        <w:tc>
          <w:tcPr>
            <w:tcW w:w="315" w:type="pct"/>
            <w:shd w:val="clear" w:color="auto" w:fill="auto"/>
            <w:noWrap/>
            <w:vAlign w:val="center"/>
          </w:tcPr>
          <w:p w14:paraId="7F89AE38">
            <w:pPr>
              <w:pStyle w:val="45"/>
              <w:bidi w:val="0"/>
              <w:rPr>
                <w:color w:val="auto"/>
              </w:rPr>
            </w:pPr>
            <w:r>
              <w:rPr>
                <w:rFonts w:hint="default"/>
                <w:color w:val="auto"/>
                <w:lang w:val="en-US" w:eastAsia="zh-CN"/>
              </w:rPr>
              <w:t>0.3556</w:t>
            </w:r>
          </w:p>
        </w:tc>
        <w:tc>
          <w:tcPr>
            <w:tcW w:w="346" w:type="pct"/>
            <w:shd w:val="clear" w:color="auto" w:fill="auto"/>
            <w:noWrap/>
            <w:vAlign w:val="center"/>
          </w:tcPr>
          <w:p w14:paraId="4178B76E">
            <w:pPr>
              <w:pStyle w:val="45"/>
              <w:bidi w:val="0"/>
              <w:rPr>
                <w:color w:val="auto"/>
              </w:rPr>
            </w:pPr>
            <w:r>
              <w:rPr>
                <w:rFonts w:hint="default"/>
                <w:color w:val="auto"/>
                <w:lang w:val="en-US" w:eastAsia="zh-CN"/>
              </w:rPr>
              <w:t>2.56</w:t>
            </w:r>
          </w:p>
        </w:tc>
        <w:tc>
          <w:tcPr>
            <w:tcW w:w="392" w:type="pct"/>
            <w:vMerge w:val="continue"/>
            <w:shd w:val="clear" w:color="auto" w:fill="auto"/>
            <w:vAlign w:val="center"/>
          </w:tcPr>
          <w:p w14:paraId="433F8A8D">
            <w:pPr>
              <w:widowControl/>
              <w:spacing w:line="240" w:lineRule="auto"/>
              <w:ind w:firstLine="0" w:firstLineChars="0"/>
              <w:jc w:val="center"/>
              <w:textAlignment w:val="center"/>
              <w:rPr>
                <w:rFonts w:cs="Times New Roman"/>
                <w:color w:val="auto"/>
                <w:kern w:val="0"/>
                <w:sz w:val="21"/>
                <w:szCs w:val="21"/>
              </w:rPr>
            </w:pPr>
          </w:p>
        </w:tc>
        <w:tc>
          <w:tcPr>
            <w:tcW w:w="330" w:type="pct"/>
            <w:vMerge w:val="continue"/>
            <w:shd w:val="clear" w:color="auto" w:fill="auto"/>
            <w:vAlign w:val="center"/>
          </w:tcPr>
          <w:p w14:paraId="7EF992DD">
            <w:pPr>
              <w:widowControl/>
              <w:spacing w:line="240" w:lineRule="auto"/>
              <w:ind w:firstLine="0" w:firstLineChars="0"/>
              <w:jc w:val="center"/>
              <w:rPr>
                <w:rFonts w:cs="Times New Roman"/>
                <w:color w:val="auto"/>
                <w:sz w:val="21"/>
                <w:szCs w:val="21"/>
              </w:rPr>
            </w:pPr>
          </w:p>
        </w:tc>
        <w:tc>
          <w:tcPr>
            <w:tcW w:w="1041" w:type="pct"/>
            <w:vMerge w:val="restart"/>
            <w:shd w:val="clear" w:color="auto" w:fill="auto"/>
            <w:vAlign w:val="center"/>
          </w:tcPr>
          <w:p w14:paraId="7D1C426C">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《大气污染物综合排放标准》（GB16297-1996）表2</w:t>
            </w:r>
          </w:p>
        </w:tc>
      </w:tr>
      <w:tr w14:paraId="4683E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3B432515">
            <w:pPr>
              <w:widowControl/>
              <w:spacing w:line="240" w:lineRule="auto"/>
              <w:ind w:firstLine="0" w:firstLineChars="0"/>
              <w:jc w:val="center"/>
              <w:rPr>
                <w:rFonts w:cs="宋体"/>
                <w:color w:val="auto"/>
                <w:sz w:val="21"/>
                <w:szCs w:val="21"/>
              </w:rPr>
            </w:pPr>
          </w:p>
        </w:tc>
        <w:tc>
          <w:tcPr>
            <w:tcW w:w="252" w:type="pct"/>
            <w:vMerge w:val="continue"/>
            <w:shd w:val="clear" w:color="auto" w:fill="auto"/>
            <w:vAlign w:val="center"/>
          </w:tcPr>
          <w:p w14:paraId="06159C4F">
            <w:pPr>
              <w:widowControl/>
              <w:spacing w:line="240" w:lineRule="auto"/>
              <w:ind w:firstLine="0" w:firstLineChars="0"/>
              <w:jc w:val="center"/>
              <w:rPr>
                <w:rFonts w:cs="宋体"/>
                <w:color w:val="auto"/>
                <w:sz w:val="21"/>
                <w:szCs w:val="21"/>
              </w:rPr>
            </w:pPr>
          </w:p>
        </w:tc>
        <w:tc>
          <w:tcPr>
            <w:tcW w:w="312" w:type="pct"/>
            <w:shd w:val="clear" w:color="auto" w:fill="auto"/>
            <w:vAlign w:val="center"/>
          </w:tcPr>
          <w:p w14:paraId="7B774FAF">
            <w:pPr>
              <w:pStyle w:val="45"/>
              <w:bidi w:val="0"/>
              <w:rPr>
                <w:color w:val="auto"/>
              </w:rPr>
            </w:pPr>
            <w:r>
              <w:rPr>
                <w:rFonts w:hint="eastAsia"/>
                <w:color w:val="auto"/>
                <w:lang w:val="en-US" w:eastAsia="zh-CN"/>
              </w:rPr>
              <w:t>无组织干燥包装粉尘（锂盐）</w:t>
            </w:r>
          </w:p>
        </w:tc>
        <w:tc>
          <w:tcPr>
            <w:tcW w:w="410" w:type="pct"/>
            <w:shd w:val="clear" w:color="auto" w:fill="auto"/>
            <w:vAlign w:val="center"/>
          </w:tcPr>
          <w:p w14:paraId="763497B6">
            <w:pPr>
              <w:pStyle w:val="45"/>
              <w:bidi w:val="0"/>
              <w:rPr>
                <w:color w:val="auto"/>
              </w:rPr>
            </w:pPr>
            <w:r>
              <w:rPr>
                <w:rFonts w:hint="eastAsia"/>
                <w:color w:val="auto"/>
                <w:lang w:val="en-US" w:eastAsia="zh-CN"/>
              </w:rPr>
              <w:t>机械通风</w:t>
            </w:r>
          </w:p>
        </w:tc>
        <w:tc>
          <w:tcPr>
            <w:tcW w:w="103" w:type="pct"/>
            <w:vMerge w:val="continue"/>
            <w:shd w:val="clear" w:color="auto" w:fill="auto"/>
            <w:vAlign w:val="center"/>
          </w:tcPr>
          <w:p w14:paraId="27149E91">
            <w:pPr>
              <w:widowControl/>
              <w:spacing w:line="240" w:lineRule="auto"/>
              <w:ind w:firstLine="0" w:firstLineChars="0"/>
              <w:jc w:val="center"/>
              <w:rPr>
                <w:rFonts w:cs="Times New Roman"/>
                <w:color w:val="auto"/>
                <w:sz w:val="21"/>
                <w:szCs w:val="21"/>
              </w:rPr>
            </w:pPr>
          </w:p>
        </w:tc>
        <w:tc>
          <w:tcPr>
            <w:tcW w:w="231" w:type="pct"/>
            <w:shd w:val="clear" w:color="auto" w:fill="auto"/>
            <w:noWrap/>
            <w:vAlign w:val="center"/>
          </w:tcPr>
          <w:p w14:paraId="602EE6BB">
            <w:pPr>
              <w:widowControl/>
              <w:spacing w:line="240" w:lineRule="auto"/>
              <w:ind w:firstLine="0" w:firstLineChars="0"/>
              <w:jc w:val="center"/>
              <w:textAlignment w:val="center"/>
              <w:rPr>
                <w:rFonts w:cs="宋体"/>
                <w:color w:val="auto"/>
                <w:sz w:val="21"/>
                <w:szCs w:val="22"/>
              </w:rPr>
            </w:pPr>
            <w:r>
              <w:rPr>
                <w:rFonts w:hint="eastAsia" w:cs="宋体"/>
                <w:color w:val="auto"/>
                <w:kern w:val="0"/>
                <w:sz w:val="21"/>
                <w:szCs w:val="22"/>
              </w:rPr>
              <w:t>颗粒物</w:t>
            </w:r>
          </w:p>
        </w:tc>
        <w:tc>
          <w:tcPr>
            <w:tcW w:w="451" w:type="pct"/>
            <w:vMerge w:val="continue"/>
            <w:shd w:val="clear" w:color="auto" w:fill="auto"/>
            <w:vAlign w:val="center"/>
          </w:tcPr>
          <w:p w14:paraId="7E85BD88">
            <w:pPr>
              <w:widowControl/>
              <w:spacing w:line="240" w:lineRule="auto"/>
              <w:ind w:firstLine="0" w:firstLineChars="0"/>
              <w:jc w:val="center"/>
              <w:rPr>
                <w:rFonts w:cs="Times New Roman"/>
                <w:color w:val="auto"/>
                <w:sz w:val="21"/>
                <w:szCs w:val="21"/>
              </w:rPr>
            </w:pPr>
          </w:p>
        </w:tc>
        <w:tc>
          <w:tcPr>
            <w:tcW w:w="387" w:type="pct"/>
            <w:vMerge w:val="continue"/>
            <w:shd w:val="clear" w:color="auto" w:fill="auto"/>
            <w:vAlign w:val="center"/>
          </w:tcPr>
          <w:p w14:paraId="589D9F77">
            <w:pPr>
              <w:widowControl/>
              <w:spacing w:line="240" w:lineRule="auto"/>
              <w:ind w:firstLine="0" w:firstLineChars="0"/>
              <w:jc w:val="center"/>
              <w:rPr>
                <w:rFonts w:cs="Times New Roman"/>
                <w:color w:val="auto"/>
                <w:sz w:val="21"/>
                <w:szCs w:val="21"/>
              </w:rPr>
            </w:pPr>
          </w:p>
        </w:tc>
        <w:tc>
          <w:tcPr>
            <w:tcW w:w="324" w:type="pct"/>
            <w:vMerge w:val="continue"/>
            <w:shd w:val="clear" w:color="auto" w:fill="auto"/>
            <w:vAlign w:val="center"/>
          </w:tcPr>
          <w:p w14:paraId="412A1D9B">
            <w:pPr>
              <w:widowControl/>
              <w:spacing w:line="240" w:lineRule="auto"/>
              <w:ind w:firstLine="0" w:firstLineChars="0"/>
              <w:jc w:val="center"/>
              <w:rPr>
                <w:rFonts w:cs="Times New Roman"/>
                <w:color w:val="auto"/>
                <w:sz w:val="21"/>
                <w:szCs w:val="21"/>
              </w:rPr>
            </w:pPr>
          </w:p>
        </w:tc>
        <w:tc>
          <w:tcPr>
            <w:tcW w:w="315" w:type="pct"/>
            <w:shd w:val="clear" w:color="auto" w:fill="auto"/>
            <w:noWrap/>
            <w:vAlign w:val="center"/>
          </w:tcPr>
          <w:p w14:paraId="5F584D53">
            <w:pPr>
              <w:pStyle w:val="45"/>
              <w:bidi w:val="0"/>
              <w:rPr>
                <w:color w:val="auto"/>
              </w:rPr>
            </w:pPr>
            <w:r>
              <w:rPr>
                <w:rFonts w:hint="default"/>
                <w:color w:val="auto"/>
                <w:lang w:val="en-US" w:eastAsia="zh-CN"/>
              </w:rPr>
              <w:t>0.1333</w:t>
            </w:r>
          </w:p>
        </w:tc>
        <w:tc>
          <w:tcPr>
            <w:tcW w:w="346" w:type="pct"/>
            <w:shd w:val="clear" w:color="auto" w:fill="auto"/>
            <w:noWrap/>
            <w:vAlign w:val="center"/>
          </w:tcPr>
          <w:p w14:paraId="030D84FD">
            <w:pPr>
              <w:pStyle w:val="45"/>
              <w:bidi w:val="0"/>
              <w:rPr>
                <w:color w:val="auto"/>
              </w:rPr>
            </w:pPr>
            <w:r>
              <w:rPr>
                <w:rFonts w:hint="default"/>
                <w:color w:val="auto"/>
                <w:lang w:val="en-US" w:eastAsia="zh-CN"/>
              </w:rPr>
              <w:t>0.96</w:t>
            </w:r>
          </w:p>
        </w:tc>
        <w:tc>
          <w:tcPr>
            <w:tcW w:w="392" w:type="pct"/>
            <w:vMerge w:val="continue"/>
            <w:shd w:val="clear" w:color="auto" w:fill="auto"/>
            <w:vAlign w:val="center"/>
          </w:tcPr>
          <w:p w14:paraId="1EE67ACF">
            <w:pPr>
              <w:widowControl/>
              <w:spacing w:line="240" w:lineRule="auto"/>
              <w:ind w:firstLine="0" w:firstLineChars="0"/>
              <w:jc w:val="center"/>
              <w:textAlignment w:val="center"/>
              <w:rPr>
                <w:rFonts w:cs="Times New Roman"/>
                <w:color w:val="auto"/>
                <w:sz w:val="21"/>
                <w:szCs w:val="21"/>
              </w:rPr>
            </w:pPr>
          </w:p>
        </w:tc>
        <w:tc>
          <w:tcPr>
            <w:tcW w:w="330" w:type="pct"/>
            <w:vMerge w:val="continue"/>
            <w:shd w:val="clear" w:color="auto" w:fill="auto"/>
            <w:vAlign w:val="center"/>
          </w:tcPr>
          <w:p w14:paraId="5C46F62F">
            <w:pPr>
              <w:widowControl/>
              <w:spacing w:line="240" w:lineRule="auto"/>
              <w:ind w:firstLine="0" w:firstLineChars="0"/>
              <w:jc w:val="center"/>
              <w:rPr>
                <w:rFonts w:cs="Times New Roman"/>
                <w:color w:val="auto"/>
                <w:sz w:val="21"/>
                <w:szCs w:val="21"/>
              </w:rPr>
            </w:pPr>
          </w:p>
        </w:tc>
        <w:tc>
          <w:tcPr>
            <w:tcW w:w="1041" w:type="pct"/>
            <w:vMerge w:val="continue"/>
            <w:shd w:val="clear" w:color="auto" w:fill="auto"/>
            <w:vAlign w:val="center"/>
          </w:tcPr>
          <w:p w14:paraId="521148B8">
            <w:pPr>
              <w:widowControl/>
              <w:spacing w:line="240" w:lineRule="auto"/>
              <w:ind w:firstLine="0" w:firstLineChars="0"/>
              <w:jc w:val="center"/>
              <w:textAlignment w:val="center"/>
              <w:rPr>
                <w:rFonts w:cs="宋体"/>
                <w:color w:val="auto"/>
                <w:sz w:val="21"/>
                <w:szCs w:val="21"/>
              </w:rPr>
            </w:pPr>
          </w:p>
        </w:tc>
      </w:tr>
      <w:tr w14:paraId="5B67E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1C2CE2A0">
            <w:pPr>
              <w:widowControl/>
              <w:spacing w:line="240" w:lineRule="auto"/>
              <w:ind w:firstLine="0" w:firstLineChars="0"/>
              <w:jc w:val="center"/>
              <w:rPr>
                <w:rFonts w:cs="宋体"/>
                <w:color w:val="auto"/>
                <w:sz w:val="21"/>
                <w:szCs w:val="21"/>
              </w:rPr>
            </w:pPr>
          </w:p>
        </w:tc>
        <w:tc>
          <w:tcPr>
            <w:tcW w:w="252" w:type="pct"/>
            <w:vMerge w:val="continue"/>
            <w:shd w:val="clear" w:color="auto" w:fill="auto"/>
            <w:vAlign w:val="center"/>
          </w:tcPr>
          <w:p w14:paraId="36321980">
            <w:pPr>
              <w:widowControl/>
              <w:spacing w:line="240" w:lineRule="auto"/>
              <w:ind w:firstLine="0" w:firstLineChars="0"/>
              <w:jc w:val="center"/>
              <w:rPr>
                <w:rFonts w:cs="宋体"/>
                <w:color w:val="auto"/>
                <w:sz w:val="21"/>
                <w:szCs w:val="21"/>
              </w:rPr>
            </w:pPr>
          </w:p>
        </w:tc>
        <w:tc>
          <w:tcPr>
            <w:tcW w:w="312" w:type="pct"/>
            <w:shd w:val="clear" w:color="auto" w:fill="auto"/>
            <w:vAlign w:val="center"/>
          </w:tcPr>
          <w:p w14:paraId="15ED8C19">
            <w:pPr>
              <w:pStyle w:val="45"/>
              <w:bidi w:val="0"/>
              <w:rPr>
                <w:color w:val="auto"/>
              </w:rPr>
            </w:pPr>
            <w:r>
              <w:rPr>
                <w:rFonts w:hint="eastAsia"/>
                <w:color w:val="auto"/>
                <w:lang w:val="en-US" w:eastAsia="zh-CN"/>
              </w:rPr>
              <w:t>投料无组织废气</w:t>
            </w:r>
          </w:p>
        </w:tc>
        <w:tc>
          <w:tcPr>
            <w:tcW w:w="410" w:type="pct"/>
            <w:shd w:val="clear" w:color="auto" w:fill="auto"/>
            <w:vAlign w:val="center"/>
          </w:tcPr>
          <w:p w14:paraId="64DE19D7">
            <w:pPr>
              <w:pStyle w:val="45"/>
              <w:bidi w:val="0"/>
              <w:rPr>
                <w:color w:val="auto"/>
              </w:rPr>
            </w:pPr>
            <w:r>
              <w:rPr>
                <w:rFonts w:hint="eastAsia"/>
                <w:color w:val="auto"/>
                <w:lang w:val="en-US" w:eastAsia="zh-CN"/>
              </w:rPr>
              <w:t>机械通风</w:t>
            </w:r>
          </w:p>
        </w:tc>
        <w:tc>
          <w:tcPr>
            <w:tcW w:w="103" w:type="pct"/>
            <w:vMerge w:val="continue"/>
            <w:shd w:val="clear" w:color="auto" w:fill="auto"/>
            <w:vAlign w:val="center"/>
          </w:tcPr>
          <w:p w14:paraId="3D302DEE">
            <w:pPr>
              <w:widowControl/>
              <w:spacing w:line="240" w:lineRule="auto"/>
              <w:ind w:firstLine="0" w:firstLineChars="0"/>
              <w:jc w:val="center"/>
              <w:rPr>
                <w:rFonts w:cs="Times New Roman"/>
                <w:color w:val="auto"/>
                <w:sz w:val="21"/>
                <w:szCs w:val="21"/>
              </w:rPr>
            </w:pPr>
          </w:p>
        </w:tc>
        <w:tc>
          <w:tcPr>
            <w:tcW w:w="231" w:type="pct"/>
            <w:shd w:val="clear" w:color="auto" w:fill="auto"/>
            <w:noWrap/>
            <w:vAlign w:val="center"/>
          </w:tcPr>
          <w:p w14:paraId="1D3CC5A1">
            <w:pPr>
              <w:widowControl/>
              <w:spacing w:line="240" w:lineRule="auto"/>
              <w:ind w:firstLine="0" w:firstLineChars="0"/>
              <w:jc w:val="center"/>
              <w:textAlignment w:val="center"/>
              <w:rPr>
                <w:rFonts w:cs="宋体"/>
                <w:color w:val="auto"/>
                <w:sz w:val="21"/>
                <w:szCs w:val="22"/>
              </w:rPr>
            </w:pPr>
            <w:r>
              <w:rPr>
                <w:rFonts w:hint="eastAsia" w:cs="宋体"/>
                <w:color w:val="auto"/>
                <w:kern w:val="0"/>
                <w:sz w:val="21"/>
                <w:szCs w:val="22"/>
              </w:rPr>
              <w:t>颗粒物</w:t>
            </w:r>
          </w:p>
        </w:tc>
        <w:tc>
          <w:tcPr>
            <w:tcW w:w="451" w:type="pct"/>
            <w:vMerge w:val="continue"/>
            <w:shd w:val="clear" w:color="auto" w:fill="auto"/>
            <w:vAlign w:val="center"/>
          </w:tcPr>
          <w:p w14:paraId="2A15F91E">
            <w:pPr>
              <w:widowControl/>
              <w:spacing w:line="240" w:lineRule="auto"/>
              <w:ind w:firstLine="0" w:firstLineChars="0"/>
              <w:jc w:val="center"/>
              <w:rPr>
                <w:rFonts w:cs="Times New Roman"/>
                <w:color w:val="auto"/>
                <w:sz w:val="21"/>
                <w:szCs w:val="21"/>
              </w:rPr>
            </w:pPr>
          </w:p>
        </w:tc>
        <w:tc>
          <w:tcPr>
            <w:tcW w:w="387" w:type="pct"/>
            <w:vMerge w:val="continue"/>
            <w:shd w:val="clear" w:color="auto" w:fill="auto"/>
            <w:vAlign w:val="center"/>
          </w:tcPr>
          <w:p w14:paraId="710BF46D">
            <w:pPr>
              <w:widowControl/>
              <w:spacing w:line="240" w:lineRule="auto"/>
              <w:ind w:firstLine="0" w:firstLineChars="0"/>
              <w:jc w:val="center"/>
              <w:rPr>
                <w:rFonts w:cs="Times New Roman"/>
                <w:color w:val="auto"/>
                <w:sz w:val="21"/>
                <w:szCs w:val="21"/>
              </w:rPr>
            </w:pPr>
          </w:p>
        </w:tc>
        <w:tc>
          <w:tcPr>
            <w:tcW w:w="324" w:type="pct"/>
            <w:vMerge w:val="continue"/>
            <w:shd w:val="clear" w:color="auto" w:fill="auto"/>
            <w:vAlign w:val="center"/>
          </w:tcPr>
          <w:p w14:paraId="6AC98F7C">
            <w:pPr>
              <w:widowControl/>
              <w:spacing w:line="240" w:lineRule="auto"/>
              <w:ind w:firstLine="0" w:firstLineChars="0"/>
              <w:jc w:val="center"/>
              <w:rPr>
                <w:rFonts w:cs="Times New Roman"/>
                <w:color w:val="auto"/>
                <w:sz w:val="21"/>
                <w:szCs w:val="21"/>
              </w:rPr>
            </w:pPr>
          </w:p>
        </w:tc>
        <w:tc>
          <w:tcPr>
            <w:tcW w:w="315" w:type="pct"/>
            <w:shd w:val="clear" w:color="auto" w:fill="auto"/>
            <w:noWrap/>
            <w:vAlign w:val="center"/>
          </w:tcPr>
          <w:p w14:paraId="335ABE01">
            <w:pPr>
              <w:pStyle w:val="45"/>
              <w:bidi w:val="0"/>
              <w:rPr>
                <w:color w:val="auto"/>
              </w:rPr>
            </w:pPr>
            <w:r>
              <w:rPr>
                <w:rFonts w:hint="default"/>
                <w:color w:val="auto"/>
                <w:lang w:val="en-US" w:eastAsia="zh-CN"/>
              </w:rPr>
              <w:t>0.0683</w:t>
            </w:r>
          </w:p>
        </w:tc>
        <w:tc>
          <w:tcPr>
            <w:tcW w:w="346" w:type="pct"/>
            <w:shd w:val="clear" w:color="auto" w:fill="auto"/>
            <w:noWrap/>
            <w:vAlign w:val="center"/>
          </w:tcPr>
          <w:p w14:paraId="1CDF063A">
            <w:pPr>
              <w:pStyle w:val="45"/>
              <w:bidi w:val="0"/>
              <w:rPr>
                <w:color w:val="auto"/>
              </w:rPr>
            </w:pPr>
            <w:r>
              <w:rPr>
                <w:rFonts w:hint="default"/>
                <w:color w:val="auto"/>
                <w:lang w:val="en-US" w:eastAsia="zh-CN"/>
              </w:rPr>
              <w:t>0.492</w:t>
            </w:r>
          </w:p>
        </w:tc>
        <w:tc>
          <w:tcPr>
            <w:tcW w:w="392" w:type="pct"/>
            <w:vMerge w:val="continue"/>
            <w:shd w:val="clear" w:color="auto" w:fill="auto"/>
            <w:noWrap/>
            <w:vAlign w:val="center"/>
          </w:tcPr>
          <w:p w14:paraId="26B97385">
            <w:pPr>
              <w:widowControl/>
              <w:spacing w:line="240" w:lineRule="auto"/>
              <w:ind w:firstLine="0" w:firstLineChars="0"/>
              <w:jc w:val="center"/>
              <w:textAlignment w:val="center"/>
              <w:rPr>
                <w:rFonts w:cs="宋体"/>
                <w:color w:val="auto"/>
                <w:sz w:val="21"/>
                <w:szCs w:val="22"/>
              </w:rPr>
            </w:pPr>
          </w:p>
        </w:tc>
        <w:tc>
          <w:tcPr>
            <w:tcW w:w="330" w:type="pct"/>
            <w:vMerge w:val="continue"/>
            <w:shd w:val="clear" w:color="auto" w:fill="auto"/>
            <w:vAlign w:val="center"/>
          </w:tcPr>
          <w:p w14:paraId="4CDF866A">
            <w:pPr>
              <w:widowControl/>
              <w:spacing w:line="240" w:lineRule="auto"/>
              <w:ind w:firstLine="0" w:firstLineChars="0"/>
              <w:jc w:val="center"/>
              <w:rPr>
                <w:rFonts w:cs="Times New Roman"/>
                <w:color w:val="auto"/>
                <w:sz w:val="21"/>
                <w:szCs w:val="21"/>
              </w:rPr>
            </w:pPr>
          </w:p>
        </w:tc>
        <w:tc>
          <w:tcPr>
            <w:tcW w:w="1041" w:type="pct"/>
            <w:vMerge w:val="continue"/>
            <w:shd w:val="clear" w:color="auto" w:fill="auto"/>
            <w:vAlign w:val="center"/>
          </w:tcPr>
          <w:p w14:paraId="45FCEED9">
            <w:pPr>
              <w:widowControl/>
              <w:spacing w:line="240" w:lineRule="auto"/>
              <w:ind w:firstLine="0" w:firstLineChars="0"/>
              <w:jc w:val="center"/>
              <w:rPr>
                <w:rFonts w:cs="宋体"/>
                <w:color w:val="auto"/>
                <w:sz w:val="21"/>
                <w:szCs w:val="21"/>
              </w:rPr>
            </w:pPr>
          </w:p>
        </w:tc>
      </w:tr>
      <w:tr w14:paraId="515CB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restart"/>
            <w:shd w:val="clear" w:color="auto" w:fill="auto"/>
            <w:vAlign w:val="center"/>
          </w:tcPr>
          <w:p w14:paraId="75043D63">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废水</w:t>
            </w:r>
          </w:p>
        </w:tc>
        <w:tc>
          <w:tcPr>
            <w:tcW w:w="252" w:type="pct"/>
            <w:shd w:val="clear" w:color="auto" w:fill="auto"/>
            <w:vAlign w:val="center"/>
          </w:tcPr>
          <w:p w14:paraId="7217CA42">
            <w:pPr>
              <w:widowControl/>
              <w:spacing w:line="240" w:lineRule="auto"/>
              <w:ind w:firstLine="0" w:firstLineChars="0"/>
              <w:jc w:val="center"/>
              <w:textAlignment w:val="center"/>
              <w:rPr>
                <w:rFonts w:cs="Times New Roman"/>
                <w:color w:val="auto"/>
                <w:sz w:val="21"/>
                <w:szCs w:val="21"/>
              </w:rPr>
            </w:pPr>
            <w:r>
              <w:rPr>
                <w:rFonts w:hint="eastAsia" w:cs="Times New Roman"/>
                <w:color w:val="auto"/>
                <w:kern w:val="0"/>
                <w:sz w:val="21"/>
                <w:szCs w:val="21"/>
                <w:lang w:val="en-US" w:eastAsia="zh-CN"/>
              </w:rPr>
              <w:t>D</w:t>
            </w:r>
            <w:r>
              <w:rPr>
                <w:rFonts w:cs="Times New Roman"/>
                <w:color w:val="auto"/>
                <w:kern w:val="0"/>
                <w:sz w:val="21"/>
                <w:szCs w:val="21"/>
              </w:rPr>
              <w:t>W</w:t>
            </w:r>
            <w:r>
              <w:rPr>
                <w:rFonts w:hint="eastAsia" w:cs="Times New Roman"/>
                <w:color w:val="auto"/>
                <w:kern w:val="0"/>
                <w:sz w:val="21"/>
                <w:szCs w:val="21"/>
                <w:lang w:val="en-US" w:eastAsia="zh-CN"/>
              </w:rPr>
              <w:t>00</w:t>
            </w:r>
            <w:r>
              <w:rPr>
                <w:rFonts w:cs="Times New Roman"/>
                <w:color w:val="auto"/>
                <w:kern w:val="0"/>
                <w:sz w:val="21"/>
                <w:szCs w:val="21"/>
              </w:rPr>
              <w:t>1</w:t>
            </w:r>
          </w:p>
        </w:tc>
        <w:tc>
          <w:tcPr>
            <w:tcW w:w="312" w:type="pct"/>
            <w:shd w:val="clear" w:color="auto" w:fill="auto"/>
            <w:vAlign w:val="center"/>
          </w:tcPr>
          <w:p w14:paraId="1CB029AF">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lang w:val="en-US" w:eastAsia="zh-CN"/>
              </w:rPr>
              <w:t>生产</w:t>
            </w:r>
            <w:r>
              <w:rPr>
                <w:rFonts w:hint="eastAsia" w:cs="宋体"/>
                <w:color w:val="auto"/>
                <w:kern w:val="0"/>
                <w:sz w:val="21"/>
                <w:szCs w:val="21"/>
              </w:rPr>
              <w:t>废水</w:t>
            </w:r>
          </w:p>
        </w:tc>
        <w:tc>
          <w:tcPr>
            <w:tcW w:w="410" w:type="pct"/>
            <w:shd w:val="clear" w:color="auto" w:fill="auto"/>
            <w:vAlign w:val="center"/>
          </w:tcPr>
          <w:p w14:paraId="1B64B010">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厂区废水站</w:t>
            </w:r>
          </w:p>
        </w:tc>
        <w:tc>
          <w:tcPr>
            <w:tcW w:w="103" w:type="pct"/>
            <w:shd w:val="clear" w:color="auto" w:fill="auto"/>
            <w:vAlign w:val="center"/>
          </w:tcPr>
          <w:p w14:paraId="1D97F819">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1</w:t>
            </w:r>
            <w:r>
              <w:rPr>
                <w:rFonts w:hint="eastAsia" w:cs="宋体"/>
                <w:color w:val="auto"/>
                <w:kern w:val="0"/>
                <w:sz w:val="21"/>
                <w:szCs w:val="21"/>
              </w:rPr>
              <w:t>套</w:t>
            </w:r>
          </w:p>
        </w:tc>
        <w:tc>
          <w:tcPr>
            <w:tcW w:w="2778" w:type="pct"/>
            <w:gridSpan w:val="8"/>
            <w:shd w:val="clear" w:color="auto" w:fill="auto"/>
            <w:vAlign w:val="center"/>
          </w:tcPr>
          <w:p w14:paraId="321618C0">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本项目主要废水有碱喷淋废水、真空冷凝水、电解槽清洗废水、膜酸洗废水、</w:t>
            </w:r>
            <w:r>
              <w:rPr>
                <w:rFonts w:hint="eastAsia" w:cs="宋体"/>
                <w:color w:val="auto"/>
                <w:kern w:val="0"/>
                <w:sz w:val="21"/>
                <w:szCs w:val="21"/>
                <w:lang w:val="en-US" w:eastAsia="zh-CN"/>
              </w:rPr>
              <w:t>离子树脂清洗废水、</w:t>
            </w:r>
            <w:r>
              <w:rPr>
                <w:rFonts w:hint="eastAsia" w:cs="宋体"/>
                <w:color w:val="auto"/>
                <w:kern w:val="0"/>
                <w:sz w:val="21"/>
                <w:szCs w:val="21"/>
              </w:rPr>
              <w:t>纯水制备排水、循环冷却排水、</w:t>
            </w:r>
            <w:r>
              <w:rPr>
                <w:rFonts w:hint="eastAsia" w:cs="宋体"/>
                <w:color w:val="auto"/>
                <w:kern w:val="0"/>
                <w:sz w:val="21"/>
                <w:szCs w:val="21"/>
                <w:lang w:eastAsia="zh-CN"/>
              </w:rPr>
              <w:t>地面清洗废水、洗车废水、员工清洁废水</w:t>
            </w:r>
            <w:r>
              <w:rPr>
                <w:rFonts w:hint="eastAsia" w:cs="宋体"/>
                <w:color w:val="auto"/>
                <w:kern w:val="0"/>
                <w:sz w:val="21"/>
                <w:szCs w:val="21"/>
                <w:lang w:val="en-US" w:eastAsia="zh-CN"/>
              </w:rPr>
              <w:t>、</w:t>
            </w:r>
            <w:r>
              <w:rPr>
                <w:rFonts w:hint="eastAsia" w:cs="宋体"/>
                <w:color w:val="auto"/>
                <w:kern w:val="0"/>
                <w:sz w:val="21"/>
                <w:szCs w:val="21"/>
              </w:rPr>
              <w:t>化验室废水、初期雨水、生活污水等。正常生产期间，碱喷淋废水、真空冷凝水、电解槽清洗废水、膜酸洗废水</w:t>
            </w:r>
            <w:r>
              <w:rPr>
                <w:rFonts w:hint="eastAsia" w:cs="宋体"/>
                <w:color w:val="auto"/>
                <w:kern w:val="0"/>
                <w:sz w:val="21"/>
                <w:szCs w:val="21"/>
                <w:lang w:eastAsia="zh-CN"/>
              </w:rPr>
              <w:t>、</w:t>
            </w:r>
            <w:r>
              <w:rPr>
                <w:rFonts w:hint="eastAsia" w:cs="宋体"/>
                <w:color w:val="auto"/>
                <w:kern w:val="0"/>
                <w:sz w:val="21"/>
                <w:szCs w:val="21"/>
                <w:lang w:val="en-US" w:eastAsia="zh-CN"/>
              </w:rPr>
              <w:t>离子树脂清洗废水</w:t>
            </w:r>
            <w:r>
              <w:rPr>
                <w:rFonts w:hint="eastAsia" w:cs="宋体"/>
                <w:color w:val="auto"/>
                <w:kern w:val="0"/>
                <w:sz w:val="21"/>
                <w:szCs w:val="21"/>
              </w:rPr>
              <w:t>等生产废水直接回用于生产，不外排；纯水制备排水、循环冷却排水、</w:t>
            </w:r>
            <w:r>
              <w:rPr>
                <w:rFonts w:hint="eastAsia" w:cs="宋体"/>
                <w:color w:val="auto"/>
                <w:kern w:val="0"/>
                <w:sz w:val="21"/>
                <w:szCs w:val="21"/>
                <w:lang w:eastAsia="zh-CN"/>
              </w:rPr>
              <w:t>地面清洗废水、洗车废水、员工清洁废水</w:t>
            </w:r>
            <w:r>
              <w:rPr>
                <w:rFonts w:hint="eastAsia" w:cs="宋体"/>
                <w:color w:val="auto"/>
                <w:kern w:val="0"/>
                <w:sz w:val="21"/>
                <w:szCs w:val="21"/>
                <w:lang w:val="en-US" w:eastAsia="zh-CN"/>
              </w:rPr>
              <w:t>、</w:t>
            </w:r>
            <w:r>
              <w:rPr>
                <w:rFonts w:hint="eastAsia" w:cs="宋体"/>
                <w:color w:val="auto"/>
                <w:kern w:val="0"/>
                <w:sz w:val="21"/>
                <w:szCs w:val="21"/>
              </w:rPr>
              <w:t>化验室废水、初期雨水等其他废水进入厂内废水经</w:t>
            </w:r>
            <w:r>
              <w:rPr>
                <w:rFonts w:hint="eastAsia" w:cs="宋体"/>
                <w:color w:val="auto"/>
                <w:kern w:val="0"/>
                <w:sz w:val="21"/>
                <w:szCs w:val="21"/>
                <w:lang w:eastAsia="zh-CN"/>
              </w:rPr>
              <w:t>“</w:t>
            </w:r>
            <w:r>
              <w:rPr>
                <w:rFonts w:hint="eastAsia" w:cs="宋体"/>
                <w:color w:val="auto"/>
                <w:kern w:val="0"/>
                <w:sz w:val="21"/>
                <w:szCs w:val="21"/>
              </w:rPr>
              <w:t>混凝沉淀+砂滤</w:t>
            </w:r>
            <w:r>
              <w:rPr>
                <w:rFonts w:hint="eastAsia" w:cs="宋体"/>
                <w:color w:val="auto"/>
                <w:kern w:val="0"/>
                <w:sz w:val="21"/>
                <w:szCs w:val="21"/>
                <w:lang w:eastAsia="zh-CN"/>
              </w:rPr>
              <w:t>”</w:t>
            </w:r>
            <w:r>
              <w:rPr>
                <w:rFonts w:hint="eastAsia" w:cs="宋体"/>
                <w:color w:val="auto"/>
                <w:kern w:val="0"/>
                <w:sz w:val="21"/>
                <w:szCs w:val="21"/>
              </w:rPr>
              <w:t>处理后回用于生产，不外排。非生产期间，初期雨水经</w:t>
            </w:r>
            <w:r>
              <w:rPr>
                <w:rFonts w:hint="eastAsia" w:cs="宋体"/>
                <w:color w:val="auto"/>
                <w:kern w:val="0"/>
                <w:sz w:val="21"/>
                <w:szCs w:val="21"/>
                <w:lang w:eastAsia="zh-CN"/>
              </w:rPr>
              <w:t>“混凝沉淀+砂滤+离子交换”</w:t>
            </w:r>
            <w:r>
              <w:rPr>
                <w:rFonts w:hint="eastAsia" w:cs="宋体"/>
                <w:color w:val="auto"/>
                <w:kern w:val="0"/>
                <w:sz w:val="21"/>
                <w:szCs w:val="21"/>
              </w:rPr>
              <w:t>处理后达标排入松木污水处理厂进一步处理。</w:t>
            </w:r>
          </w:p>
        </w:tc>
        <w:tc>
          <w:tcPr>
            <w:tcW w:w="1041" w:type="pct"/>
            <w:shd w:val="clear" w:color="auto" w:fill="auto"/>
            <w:vAlign w:val="center"/>
          </w:tcPr>
          <w:p w14:paraId="5E59AC4E">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无机化学工业污染物排放标准》（GB31573-2015）表1间接排放限值、《污水综合排放标准》（GB8978-1996）三级标准及松木污水处理厂纳管标准较严者，高氯酸盐指标值参照《工业废水高氯酸盐污染物排放标准》（征求意见稿）执行</w:t>
            </w:r>
          </w:p>
        </w:tc>
      </w:tr>
      <w:tr w14:paraId="19072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5F587984">
            <w:pPr>
              <w:widowControl/>
              <w:spacing w:line="240" w:lineRule="auto"/>
              <w:ind w:firstLine="0" w:firstLineChars="0"/>
              <w:jc w:val="center"/>
              <w:textAlignment w:val="center"/>
              <w:rPr>
                <w:rFonts w:hint="eastAsia" w:cs="宋体"/>
                <w:color w:val="auto"/>
                <w:kern w:val="0"/>
                <w:sz w:val="21"/>
                <w:szCs w:val="21"/>
              </w:rPr>
            </w:pPr>
          </w:p>
        </w:tc>
        <w:tc>
          <w:tcPr>
            <w:tcW w:w="252" w:type="pct"/>
            <w:shd w:val="clear" w:color="auto" w:fill="auto"/>
            <w:vAlign w:val="center"/>
          </w:tcPr>
          <w:p w14:paraId="77ACC0E2">
            <w:pPr>
              <w:widowControl/>
              <w:spacing w:line="240" w:lineRule="auto"/>
              <w:ind w:firstLine="0" w:firstLineChars="0"/>
              <w:jc w:val="center"/>
              <w:textAlignment w:val="center"/>
              <w:rPr>
                <w:rFonts w:hint="default" w:cs="Times New Roman"/>
                <w:color w:val="auto"/>
                <w:kern w:val="0"/>
                <w:sz w:val="21"/>
                <w:szCs w:val="21"/>
                <w:lang w:val="en-US" w:eastAsia="zh-CN"/>
              </w:rPr>
            </w:pPr>
            <w:r>
              <w:rPr>
                <w:rFonts w:hint="eastAsia" w:cs="Times New Roman"/>
                <w:color w:val="auto"/>
                <w:kern w:val="0"/>
                <w:sz w:val="21"/>
                <w:szCs w:val="21"/>
                <w:lang w:val="en-US" w:eastAsia="zh-CN"/>
              </w:rPr>
              <w:t>D</w:t>
            </w:r>
            <w:r>
              <w:rPr>
                <w:rFonts w:cs="Times New Roman"/>
                <w:color w:val="auto"/>
                <w:kern w:val="0"/>
                <w:sz w:val="21"/>
                <w:szCs w:val="21"/>
              </w:rPr>
              <w:t>W</w:t>
            </w:r>
            <w:r>
              <w:rPr>
                <w:rFonts w:hint="eastAsia" w:cs="Times New Roman"/>
                <w:color w:val="auto"/>
                <w:kern w:val="0"/>
                <w:sz w:val="21"/>
                <w:szCs w:val="21"/>
                <w:lang w:val="en-US" w:eastAsia="zh-CN"/>
              </w:rPr>
              <w:t>002</w:t>
            </w:r>
          </w:p>
        </w:tc>
        <w:tc>
          <w:tcPr>
            <w:tcW w:w="312" w:type="pct"/>
            <w:shd w:val="clear" w:color="auto" w:fill="auto"/>
            <w:vAlign w:val="center"/>
          </w:tcPr>
          <w:p w14:paraId="7A92DF29">
            <w:pPr>
              <w:widowControl/>
              <w:spacing w:line="240" w:lineRule="auto"/>
              <w:ind w:firstLine="0" w:firstLineChars="0"/>
              <w:jc w:val="center"/>
              <w:textAlignment w:val="center"/>
              <w:rPr>
                <w:rFonts w:hint="default" w:cs="宋体"/>
                <w:color w:val="auto"/>
                <w:kern w:val="0"/>
                <w:sz w:val="21"/>
                <w:szCs w:val="21"/>
                <w:lang w:val="en-US" w:eastAsia="zh-CN"/>
              </w:rPr>
            </w:pPr>
            <w:r>
              <w:rPr>
                <w:rFonts w:hint="eastAsia" w:cs="宋体"/>
                <w:color w:val="auto"/>
                <w:kern w:val="0"/>
                <w:sz w:val="21"/>
                <w:szCs w:val="21"/>
                <w:lang w:val="en-US" w:eastAsia="zh-CN"/>
              </w:rPr>
              <w:t>生活污水</w:t>
            </w:r>
          </w:p>
        </w:tc>
        <w:tc>
          <w:tcPr>
            <w:tcW w:w="410" w:type="pct"/>
            <w:shd w:val="clear" w:color="auto" w:fill="auto"/>
            <w:vAlign w:val="center"/>
          </w:tcPr>
          <w:p w14:paraId="637279FE">
            <w:pPr>
              <w:widowControl/>
              <w:spacing w:line="240" w:lineRule="auto"/>
              <w:ind w:firstLine="0" w:firstLineChars="0"/>
              <w:jc w:val="center"/>
              <w:textAlignment w:val="center"/>
              <w:rPr>
                <w:rFonts w:hint="eastAsia" w:cs="宋体"/>
                <w:color w:val="auto"/>
                <w:kern w:val="0"/>
                <w:sz w:val="21"/>
                <w:szCs w:val="21"/>
              </w:rPr>
            </w:pPr>
            <w:r>
              <w:rPr>
                <w:rFonts w:hint="eastAsia" w:cs="宋体"/>
                <w:color w:val="auto"/>
                <w:kern w:val="0"/>
                <w:sz w:val="21"/>
                <w:szCs w:val="21"/>
              </w:rPr>
              <w:t>化粪池</w:t>
            </w:r>
          </w:p>
        </w:tc>
        <w:tc>
          <w:tcPr>
            <w:tcW w:w="103" w:type="pct"/>
            <w:shd w:val="clear" w:color="auto" w:fill="auto"/>
            <w:vAlign w:val="center"/>
          </w:tcPr>
          <w:p w14:paraId="745D8DDF">
            <w:pPr>
              <w:widowControl/>
              <w:spacing w:line="240" w:lineRule="auto"/>
              <w:ind w:firstLine="0" w:firstLineChars="0"/>
              <w:jc w:val="center"/>
              <w:textAlignment w:val="center"/>
              <w:rPr>
                <w:rFonts w:cs="Times New Roman"/>
                <w:color w:val="auto"/>
                <w:kern w:val="0"/>
                <w:sz w:val="21"/>
                <w:szCs w:val="21"/>
              </w:rPr>
            </w:pPr>
          </w:p>
        </w:tc>
        <w:tc>
          <w:tcPr>
            <w:tcW w:w="2778" w:type="pct"/>
            <w:gridSpan w:val="8"/>
            <w:shd w:val="clear" w:color="auto" w:fill="auto"/>
            <w:vAlign w:val="center"/>
          </w:tcPr>
          <w:p w14:paraId="6128B078">
            <w:pPr>
              <w:widowControl/>
              <w:spacing w:line="240" w:lineRule="auto"/>
              <w:ind w:firstLine="0" w:firstLineChars="0"/>
              <w:jc w:val="center"/>
              <w:textAlignment w:val="center"/>
              <w:rPr>
                <w:rFonts w:hint="eastAsia" w:cs="宋体"/>
                <w:color w:val="auto"/>
                <w:kern w:val="0"/>
                <w:sz w:val="21"/>
                <w:szCs w:val="21"/>
              </w:rPr>
            </w:pPr>
            <w:r>
              <w:rPr>
                <w:rFonts w:hint="eastAsia" w:cs="宋体"/>
                <w:color w:val="auto"/>
                <w:kern w:val="0"/>
                <w:sz w:val="21"/>
                <w:szCs w:val="21"/>
              </w:rPr>
              <w:t>生活污水经厂内化粪池预处理达标后通过园区污水管网排入松木污水处理厂进一步处理。</w:t>
            </w:r>
          </w:p>
        </w:tc>
        <w:tc>
          <w:tcPr>
            <w:tcW w:w="1041" w:type="pct"/>
            <w:shd w:val="clear" w:color="auto" w:fill="auto"/>
            <w:vAlign w:val="center"/>
          </w:tcPr>
          <w:p w14:paraId="5110ADC4">
            <w:pPr>
              <w:widowControl/>
              <w:spacing w:line="240" w:lineRule="auto"/>
              <w:ind w:firstLine="0" w:firstLineChars="0"/>
              <w:jc w:val="center"/>
              <w:textAlignment w:val="center"/>
              <w:rPr>
                <w:rFonts w:hint="eastAsia" w:cs="宋体"/>
                <w:color w:val="auto"/>
                <w:kern w:val="0"/>
                <w:sz w:val="21"/>
                <w:szCs w:val="21"/>
              </w:rPr>
            </w:pPr>
            <w:r>
              <w:rPr>
                <w:rFonts w:hint="eastAsia" w:cs="宋体"/>
                <w:color w:val="auto"/>
                <w:kern w:val="0"/>
                <w:sz w:val="21"/>
                <w:szCs w:val="21"/>
              </w:rPr>
              <w:t>《污水综合排放标准》（GB8978-1996）三级标准及松木污水处理厂纳管标准较严者</w:t>
            </w:r>
          </w:p>
        </w:tc>
      </w:tr>
      <w:tr w14:paraId="67733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65" w:type="pct"/>
            <w:gridSpan w:val="3"/>
            <w:vMerge w:val="restart"/>
            <w:shd w:val="clear" w:color="auto" w:fill="auto"/>
            <w:vAlign w:val="center"/>
          </w:tcPr>
          <w:p w14:paraId="2E20E8E2">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噪声</w:t>
            </w:r>
          </w:p>
        </w:tc>
        <w:tc>
          <w:tcPr>
            <w:tcW w:w="410" w:type="pct"/>
            <w:vMerge w:val="restart"/>
            <w:shd w:val="clear" w:color="auto" w:fill="auto"/>
            <w:vAlign w:val="center"/>
          </w:tcPr>
          <w:p w14:paraId="59940E6B">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设备设隔声罩、消声器、减振、厂房隔声、密闭间隔声、消声</w:t>
            </w:r>
          </w:p>
        </w:tc>
        <w:tc>
          <w:tcPr>
            <w:tcW w:w="103" w:type="pct"/>
            <w:vMerge w:val="restart"/>
            <w:shd w:val="clear" w:color="auto" w:fill="auto"/>
            <w:vAlign w:val="center"/>
          </w:tcPr>
          <w:p w14:paraId="34E681A0">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231" w:type="pct"/>
            <w:vMerge w:val="restart"/>
            <w:shd w:val="clear" w:color="auto" w:fill="auto"/>
            <w:vAlign w:val="center"/>
          </w:tcPr>
          <w:p w14:paraId="2765283F">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Leq</w:t>
            </w:r>
            <w:r>
              <w:rPr>
                <w:rFonts w:hint="eastAsia" w:cs="宋体"/>
                <w:color w:val="auto"/>
                <w:kern w:val="0"/>
                <w:sz w:val="21"/>
                <w:szCs w:val="21"/>
              </w:rPr>
              <w:t>（</w:t>
            </w:r>
            <w:r>
              <w:rPr>
                <w:rFonts w:cs="Times New Roman"/>
                <w:color w:val="auto"/>
                <w:kern w:val="0"/>
                <w:sz w:val="21"/>
                <w:szCs w:val="21"/>
              </w:rPr>
              <w:t>A</w:t>
            </w:r>
            <w:r>
              <w:rPr>
                <w:rFonts w:hint="eastAsia" w:cs="宋体"/>
                <w:color w:val="auto"/>
                <w:kern w:val="0"/>
                <w:sz w:val="21"/>
                <w:szCs w:val="21"/>
              </w:rPr>
              <w:t>）</w:t>
            </w:r>
          </w:p>
        </w:tc>
        <w:tc>
          <w:tcPr>
            <w:tcW w:w="451" w:type="pct"/>
            <w:vMerge w:val="restart"/>
            <w:shd w:val="clear" w:color="auto" w:fill="auto"/>
            <w:vAlign w:val="center"/>
          </w:tcPr>
          <w:p w14:paraId="44CEEEA3">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采用低噪声设备</w:t>
            </w:r>
          </w:p>
        </w:tc>
        <w:tc>
          <w:tcPr>
            <w:tcW w:w="1026" w:type="pct"/>
            <w:gridSpan w:val="3"/>
            <w:vMerge w:val="restart"/>
            <w:shd w:val="clear" w:color="auto" w:fill="auto"/>
            <w:vAlign w:val="center"/>
          </w:tcPr>
          <w:p w14:paraId="0A0A40EE">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346" w:type="pct"/>
            <w:vMerge w:val="restart"/>
            <w:shd w:val="clear" w:color="auto" w:fill="auto"/>
            <w:vAlign w:val="center"/>
          </w:tcPr>
          <w:p w14:paraId="1D889F9F">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722" w:type="pct"/>
            <w:gridSpan w:val="2"/>
            <w:shd w:val="clear" w:color="auto" w:fill="auto"/>
            <w:vAlign w:val="center"/>
          </w:tcPr>
          <w:p w14:paraId="7CB7DE03">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西、北厂界：昼间</w:t>
            </w:r>
            <w:r>
              <w:rPr>
                <w:rFonts w:cs="Times New Roman"/>
                <w:color w:val="auto"/>
                <w:kern w:val="0"/>
                <w:sz w:val="21"/>
                <w:szCs w:val="21"/>
              </w:rPr>
              <w:t>≤65dB</w:t>
            </w:r>
            <w:r>
              <w:rPr>
                <w:rFonts w:hint="eastAsia" w:cs="宋体"/>
                <w:color w:val="auto"/>
                <w:kern w:val="0"/>
                <w:sz w:val="21"/>
                <w:szCs w:val="21"/>
              </w:rPr>
              <w:t>（</w:t>
            </w:r>
            <w:r>
              <w:rPr>
                <w:rFonts w:cs="Times New Roman"/>
                <w:color w:val="auto"/>
                <w:kern w:val="0"/>
                <w:sz w:val="21"/>
                <w:szCs w:val="21"/>
              </w:rPr>
              <w:t>A</w:t>
            </w:r>
            <w:r>
              <w:rPr>
                <w:rFonts w:hint="eastAsia" w:cs="宋体"/>
                <w:color w:val="auto"/>
                <w:kern w:val="0"/>
                <w:sz w:val="21"/>
                <w:szCs w:val="21"/>
              </w:rPr>
              <w:t>）</w:t>
            </w:r>
            <w:r>
              <w:rPr>
                <w:rFonts w:cs="Times New Roman"/>
                <w:color w:val="auto"/>
                <w:kern w:val="0"/>
                <w:sz w:val="21"/>
                <w:szCs w:val="21"/>
              </w:rPr>
              <w:t>;</w:t>
            </w:r>
            <w:r>
              <w:rPr>
                <w:rFonts w:hint="eastAsia" w:cs="宋体"/>
                <w:color w:val="auto"/>
                <w:kern w:val="0"/>
                <w:sz w:val="21"/>
                <w:szCs w:val="21"/>
              </w:rPr>
              <w:t>夜间</w:t>
            </w:r>
            <w:r>
              <w:rPr>
                <w:rFonts w:cs="Times New Roman"/>
                <w:color w:val="auto"/>
                <w:kern w:val="0"/>
                <w:sz w:val="21"/>
                <w:szCs w:val="21"/>
              </w:rPr>
              <w:t>≤55dB</w:t>
            </w:r>
            <w:r>
              <w:rPr>
                <w:rFonts w:hint="eastAsia" w:cs="宋体"/>
                <w:color w:val="auto"/>
                <w:kern w:val="0"/>
                <w:sz w:val="21"/>
                <w:szCs w:val="21"/>
              </w:rPr>
              <w:t>（</w:t>
            </w:r>
            <w:r>
              <w:rPr>
                <w:rFonts w:cs="Times New Roman"/>
                <w:color w:val="auto"/>
                <w:kern w:val="0"/>
                <w:sz w:val="21"/>
                <w:szCs w:val="21"/>
              </w:rPr>
              <w:t>A</w:t>
            </w:r>
            <w:r>
              <w:rPr>
                <w:rFonts w:hint="eastAsia" w:cs="宋体"/>
                <w:color w:val="auto"/>
                <w:kern w:val="0"/>
                <w:sz w:val="21"/>
                <w:szCs w:val="21"/>
              </w:rPr>
              <w:t>）；</w:t>
            </w:r>
          </w:p>
        </w:tc>
        <w:tc>
          <w:tcPr>
            <w:tcW w:w="1041" w:type="pct"/>
            <w:vMerge w:val="restart"/>
            <w:shd w:val="clear" w:color="auto" w:fill="auto"/>
            <w:vAlign w:val="center"/>
          </w:tcPr>
          <w:p w14:paraId="5E7E2435">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《工业企业厂界环境噪声排放标准》（</w:t>
            </w:r>
            <w:r>
              <w:rPr>
                <w:rFonts w:cs="Times New Roman"/>
                <w:color w:val="auto"/>
                <w:kern w:val="0"/>
                <w:sz w:val="21"/>
                <w:szCs w:val="21"/>
              </w:rPr>
              <w:t>GB12348-2008</w:t>
            </w:r>
            <w:r>
              <w:rPr>
                <w:rFonts w:hint="eastAsia" w:cs="宋体"/>
                <w:color w:val="auto"/>
                <w:kern w:val="0"/>
                <w:sz w:val="21"/>
                <w:szCs w:val="21"/>
              </w:rPr>
              <w:t>）中的</w:t>
            </w:r>
            <w:r>
              <w:rPr>
                <w:rFonts w:cs="Times New Roman"/>
                <w:color w:val="auto"/>
                <w:kern w:val="0"/>
                <w:sz w:val="21"/>
                <w:szCs w:val="21"/>
              </w:rPr>
              <w:t>3</w:t>
            </w:r>
            <w:r>
              <w:rPr>
                <w:rFonts w:hint="eastAsia" w:cs="宋体"/>
                <w:color w:val="auto"/>
                <w:kern w:val="0"/>
                <w:sz w:val="21"/>
                <w:szCs w:val="21"/>
              </w:rPr>
              <w:t>类、</w:t>
            </w:r>
            <w:r>
              <w:rPr>
                <w:rFonts w:cs="Times New Roman"/>
                <w:color w:val="auto"/>
                <w:kern w:val="0"/>
                <w:sz w:val="21"/>
                <w:szCs w:val="21"/>
              </w:rPr>
              <w:t>4</w:t>
            </w:r>
            <w:r>
              <w:rPr>
                <w:rFonts w:hint="eastAsia" w:cs="宋体"/>
                <w:color w:val="auto"/>
                <w:kern w:val="0"/>
                <w:sz w:val="21"/>
                <w:szCs w:val="21"/>
              </w:rPr>
              <w:t>类标准</w:t>
            </w:r>
          </w:p>
        </w:tc>
      </w:tr>
      <w:tr w14:paraId="14213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65" w:type="pct"/>
            <w:gridSpan w:val="3"/>
            <w:vMerge w:val="continue"/>
            <w:shd w:val="clear" w:color="auto" w:fill="auto"/>
            <w:vAlign w:val="center"/>
          </w:tcPr>
          <w:p w14:paraId="2ADA1861">
            <w:pPr>
              <w:widowControl/>
              <w:spacing w:line="240" w:lineRule="auto"/>
              <w:ind w:firstLine="0" w:firstLineChars="0"/>
              <w:jc w:val="center"/>
              <w:rPr>
                <w:rFonts w:cs="宋体"/>
                <w:color w:val="auto"/>
                <w:sz w:val="21"/>
                <w:szCs w:val="21"/>
              </w:rPr>
            </w:pPr>
          </w:p>
        </w:tc>
        <w:tc>
          <w:tcPr>
            <w:tcW w:w="410" w:type="pct"/>
            <w:vMerge w:val="continue"/>
            <w:shd w:val="clear" w:color="auto" w:fill="auto"/>
            <w:vAlign w:val="center"/>
          </w:tcPr>
          <w:p w14:paraId="12F29F55">
            <w:pPr>
              <w:widowControl/>
              <w:spacing w:line="240" w:lineRule="auto"/>
              <w:ind w:firstLine="0" w:firstLineChars="0"/>
              <w:jc w:val="center"/>
              <w:rPr>
                <w:rFonts w:cs="宋体"/>
                <w:color w:val="auto"/>
                <w:sz w:val="21"/>
                <w:szCs w:val="21"/>
              </w:rPr>
            </w:pPr>
          </w:p>
        </w:tc>
        <w:tc>
          <w:tcPr>
            <w:tcW w:w="103" w:type="pct"/>
            <w:vMerge w:val="continue"/>
            <w:shd w:val="clear" w:color="auto" w:fill="auto"/>
            <w:vAlign w:val="center"/>
          </w:tcPr>
          <w:p w14:paraId="1F826944">
            <w:pPr>
              <w:widowControl/>
              <w:spacing w:line="240" w:lineRule="auto"/>
              <w:ind w:firstLine="0" w:firstLineChars="0"/>
              <w:jc w:val="center"/>
              <w:rPr>
                <w:rFonts w:cs="Times New Roman"/>
                <w:color w:val="auto"/>
                <w:sz w:val="21"/>
                <w:szCs w:val="21"/>
              </w:rPr>
            </w:pPr>
          </w:p>
        </w:tc>
        <w:tc>
          <w:tcPr>
            <w:tcW w:w="231" w:type="pct"/>
            <w:vMerge w:val="continue"/>
            <w:shd w:val="clear" w:color="auto" w:fill="auto"/>
            <w:vAlign w:val="center"/>
          </w:tcPr>
          <w:p w14:paraId="1C759B99">
            <w:pPr>
              <w:widowControl/>
              <w:spacing w:line="240" w:lineRule="auto"/>
              <w:ind w:firstLine="0" w:firstLineChars="0"/>
              <w:jc w:val="center"/>
              <w:rPr>
                <w:rFonts w:cs="Times New Roman"/>
                <w:color w:val="auto"/>
                <w:sz w:val="21"/>
                <w:szCs w:val="21"/>
              </w:rPr>
            </w:pPr>
          </w:p>
        </w:tc>
        <w:tc>
          <w:tcPr>
            <w:tcW w:w="451" w:type="pct"/>
            <w:vMerge w:val="continue"/>
            <w:shd w:val="clear" w:color="auto" w:fill="auto"/>
            <w:vAlign w:val="center"/>
          </w:tcPr>
          <w:p w14:paraId="4F1F43D8">
            <w:pPr>
              <w:widowControl/>
              <w:spacing w:line="240" w:lineRule="auto"/>
              <w:ind w:firstLine="0" w:firstLineChars="0"/>
              <w:jc w:val="center"/>
              <w:rPr>
                <w:rFonts w:cs="宋体"/>
                <w:color w:val="auto"/>
                <w:sz w:val="21"/>
                <w:szCs w:val="21"/>
              </w:rPr>
            </w:pPr>
          </w:p>
        </w:tc>
        <w:tc>
          <w:tcPr>
            <w:tcW w:w="1026" w:type="pct"/>
            <w:gridSpan w:val="3"/>
            <w:vMerge w:val="continue"/>
            <w:shd w:val="clear" w:color="auto" w:fill="auto"/>
            <w:vAlign w:val="center"/>
          </w:tcPr>
          <w:p w14:paraId="25D5E1DB">
            <w:pPr>
              <w:widowControl/>
              <w:spacing w:line="240" w:lineRule="auto"/>
              <w:ind w:firstLine="0" w:firstLineChars="0"/>
              <w:jc w:val="center"/>
              <w:rPr>
                <w:rFonts w:cs="Times New Roman"/>
                <w:color w:val="auto"/>
                <w:sz w:val="21"/>
                <w:szCs w:val="21"/>
              </w:rPr>
            </w:pPr>
          </w:p>
        </w:tc>
        <w:tc>
          <w:tcPr>
            <w:tcW w:w="346" w:type="pct"/>
            <w:vMerge w:val="continue"/>
            <w:shd w:val="clear" w:color="auto" w:fill="auto"/>
            <w:vAlign w:val="center"/>
          </w:tcPr>
          <w:p w14:paraId="49019DA6">
            <w:pPr>
              <w:widowControl/>
              <w:spacing w:line="240" w:lineRule="auto"/>
              <w:ind w:firstLine="0" w:firstLineChars="0"/>
              <w:jc w:val="center"/>
              <w:rPr>
                <w:rFonts w:cs="Times New Roman"/>
                <w:color w:val="auto"/>
                <w:sz w:val="21"/>
                <w:szCs w:val="21"/>
              </w:rPr>
            </w:pPr>
          </w:p>
        </w:tc>
        <w:tc>
          <w:tcPr>
            <w:tcW w:w="722" w:type="pct"/>
            <w:gridSpan w:val="2"/>
            <w:shd w:val="clear" w:color="auto" w:fill="auto"/>
            <w:vAlign w:val="center"/>
          </w:tcPr>
          <w:p w14:paraId="258A4C9B">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东、南厂界：昼间</w:t>
            </w:r>
            <w:r>
              <w:rPr>
                <w:rFonts w:cs="Times New Roman"/>
                <w:color w:val="auto"/>
                <w:kern w:val="0"/>
                <w:sz w:val="21"/>
                <w:szCs w:val="21"/>
              </w:rPr>
              <w:t>≤70dB</w:t>
            </w:r>
            <w:r>
              <w:rPr>
                <w:rFonts w:hint="eastAsia" w:cs="宋体"/>
                <w:color w:val="auto"/>
                <w:kern w:val="0"/>
                <w:sz w:val="21"/>
                <w:szCs w:val="21"/>
              </w:rPr>
              <w:t>（</w:t>
            </w:r>
            <w:r>
              <w:rPr>
                <w:rFonts w:cs="Times New Roman"/>
                <w:color w:val="auto"/>
                <w:kern w:val="0"/>
                <w:sz w:val="21"/>
                <w:szCs w:val="21"/>
              </w:rPr>
              <w:t>A</w:t>
            </w:r>
            <w:r>
              <w:rPr>
                <w:rFonts w:hint="eastAsia" w:cs="宋体"/>
                <w:color w:val="auto"/>
                <w:kern w:val="0"/>
                <w:sz w:val="21"/>
                <w:szCs w:val="21"/>
              </w:rPr>
              <w:t>）</w:t>
            </w:r>
            <w:r>
              <w:rPr>
                <w:rFonts w:cs="Times New Roman"/>
                <w:color w:val="auto"/>
                <w:kern w:val="0"/>
                <w:sz w:val="21"/>
                <w:szCs w:val="21"/>
              </w:rPr>
              <w:t>;</w:t>
            </w:r>
            <w:r>
              <w:rPr>
                <w:rFonts w:hint="eastAsia" w:cs="宋体"/>
                <w:color w:val="auto"/>
                <w:kern w:val="0"/>
                <w:sz w:val="21"/>
                <w:szCs w:val="21"/>
              </w:rPr>
              <w:t>夜间</w:t>
            </w:r>
            <w:r>
              <w:rPr>
                <w:rFonts w:cs="Times New Roman"/>
                <w:color w:val="auto"/>
                <w:kern w:val="0"/>
                <w:sz w:val="21"/>
                <w:szCs w:val="21"/>
              </w:rPr>
              <w:t>≤55dB</w:t>
            </w:r>
            <w:r>
              <w:rPr>
                <w:rFonts w:hint="eastAsia" w:cs="宋体"/>
                <w:color w:val="auto"/>
                <w:kern w:val="0"/>
                <w:sz w:val="21"/>
                <w:szCs w:val="21"/>
              </w:rPr>
              <w:t>（</w:t>
            </w:r>
            <w:r>
              <w:rPr>
                <w:rFonts w:cs="Times New Roman"/>
                <w:color w:val="auto"/>
                <w:kern w:val="0"/>
                <w:sz w:val="21"/>
                <w:szCs w:val="21"/>
              </w:rPr>
              <w:t>A</w:t>
            </w:r>
            <w:r>
              <w:rPr>
                <w:rFonts w:hint="eastAsia" w:cs="宋体"/>
                <w:color w:val="auto"/>
                <w:kern w:val="0"/>
                <w:sz w:val="21"/>
                <w:szCs w:val="21"/>
              </w:rPr>
              <w:t>）</w:t>
            </w:r>
          </w:p>
        </w:tc>
        <w:tc>
          <w:tcPr>
            <w:tcW w:w="1041" w:type="pct"/>
            <w:vMerge w:val="continue"/>
            <w:shd w:val="clear" w:color="auto" w:fill="auto"/>
            <w:vAlign w:val="center"/>
          </w:tcPr>
          <w:p w14:paraId="031B24F2">
            <w:pPr>
              <w:widowControl/>
              <w:spacing w:line="240" w:lineRule="auto"/>
              <w:ind w:firstLine="0" w:firstLineChars="0"/>
              <w:jc w:val="center"/>
              <w:rPr>
                <w:rFonts w:cs="宋体"/>
                <w:color w:val="auto"/>
                <w:sz w:val="21"/>
                <w:szCs w:val="21"/>
              </w:rPr>
            </w:pPr>
          </w:p>
        </w:tc>
      </w:tr>
      <w:tr w14:paraId="1331C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restart"/>
            <w:shd w:val="clear" w:color="auto" w:fill="auto"/>
            <w:vAlign w:val="center"/>
          </w:tcPr>
          <w:p w14:paraId="1D7487B4">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固废</w:t>
            </w:r>
          </w:p>
        </w:tc>
        <w:tc>
          <w:tcPr>
            <w:tcW w:w="564" w:type="pct"/>
            <w:gridSpan w:val="2"/>
            <w:shd w:val="clear" w:color="auto" w:fill="auto"/>
            <w:vAlign w:val="center"/>
          </w:tcPr>
          <w:p w14:paraId="0A2254AC">
            <w:pPr>
              <w:pStyle w:val="45"/>
              <w:bidi w:val="0"/>
              <w:rPr>
                <w:color w:val="auto"/>
              </w:rPr>
            </w:pPr>
            <w:r>
              <w:rPr>
                <w:rFonts w:hint="eastAsia"/>
                <w:color w:val="auto"/>
                <w:lang w:val="en-US" w:eastAsia="zh-CN"/>
              </w:rPr>
              <w:t>生活垃圾</w:t>
            </w:r>
          </w:p>
        </w:tc>
        <w:tc>
          <w:tcPr>
            <w:tcW w:w="410" w:type="pct"/>
            <w:shd w:val="clear" w:color="auto" w:fill="auto"/>
            <w:vAlign w:val="center"/>
          </w:tcPr>
          <w:p w14:paraId="7C1D8F79">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集中收集后交由环卫部门统一清运处置</w:t>
            </w:r>
          </w:p>
        </w:tc>
        <w:tc>
          <w:tcPr>
            <w:tcW w:w="103" w:type="pct"/>
            <w:shd w:val="clear" w:color="auto" w:fill="auto"/>
            <w:vAlign w:val="center"/>
          </w:tcPr>
          <w:p w14:paraId="64270B0D">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683" w:type="pct"/>
            <w:gridSpan w:val="2"/>
            <w:shd w:val="clear" w:color="auto" w:fill="auto"/>
            <w:vAlign w:val="center"/>
          </w:tcPr>
          <w:p w14:paraId="05F75669">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387" w:type="pct"/>
            <w:shd w:val="clear" w:color="auto" w:fill="auto"/>
            <w:vAlign w:val="center"/>
          </w:tcPr>
          <w:p w14:paraId="00EEF09F">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9.75t/a</w:t>
            </w:r>
          </w:p>
        </w:tc>
        <w:tc>
          <w:tcPr>
            <w:tcW w:w="639" w:type="pct"/>
            <w:gridSpan w:val="2"/>
            <w:shd w:val="clear" w:color="auto" w:fill="auto"/>
            <w:vAlign w:val="center"/>
          </w:tcPr>
          <w:p w14:paraId="35C2E08D">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0</w:t>
            </w:r>
          </w:p>
        </w:tc>
        <w:tc>
          <w:tcPr>
            <w:tcW w:w="346" w:type="pct"/>
            <w:shd w:val="clear" w:color="auto" w:fill="auto"/>
            <w:vAlign w:val="center"/>
          </w:tcPr>
          <w:p w14:paraId="0F4FA6CE">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722" w:type="pct"/>
            <w:gridSpan w:val="2"/>
            <w:vMerge w:val="restart"/>
            <w:shd w:val="clear" w:color="auto" w:fill="auto"/>
            <w:vAlign w:val="center"/>
          </w:tcPr>
          <w:p w14:paraId="14713F0F">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妥善处置</w:t>
            </w:r>
          </w:p>
        </w:tc>
        <w:tc>
          <w:tcPr>
            <w:tcW w:w="1041" w:type="pct"/>
            <w:shd w:val="clear" w:color="auto" w:fill="auto"/>
            <w:vAlign w:val="center"/>
          </w:tcPr>
          <w:p w14:paraId="550F9F8A">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r>
      <w:tr w14:paraId="1ED25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092D3A45">
            <w:pPr>
              <w:widowControl/>
              <w:spacing w:line="240" w:lineRule="auto"/>
              <w:ind w:firstLine="0" w:firstLineChars="0"/>
              <w:jc w:val="center"/>
              <w:rPr>
                <w:rFonts w:cs="宋体"/>
                <w:color w:val="auto"/>
                <w:sz w:val="21"/>
                <w:szCs w:val="21"/>
              </w:rPr>
            </w:pPr>
          </w:p>
        </w:tc>
        <w:tc>
          <w:tcPr>
            <w:tcW w:w="564" w:type="pct"/>
            <w:gridSpan w:val="2"/>
            <w:shd w:val="clear" w:color="auto" w:fill="auto"/>
            <w:vAlign w:val="center"/>
          </w:tcPr>
          <w:p w14:paraId="6A698AEC">
            <w:pPr>
              <w:pStyle w:val="45"/>
              <w:bidi w:val="0"/>
              <w:rPr>
                <w:color w:val="auto"/>
              </w:rPr>
            </w:pPr>
            <w:r>
              <w:rPr>
                <w:rFonts w:hint="eastAsia"/>
                <w:color w:val="auto"/>
                <w:lang w:val="en-US" w:eastAsia="zh-CN"/>
              </w:rPr>
              <w:t>布袋收集粉尘</w:t>
            </w:r>
          </w:p>
        </w:tc>
        <w:tc>
          <w:tcPr>
            <w:tcW w:w="410" w:type="pct"/>
            <w:shd w:val="clear" w:color="auto" w:fill="auto"/>
            <w:vAlign w:val="center"/>
          </w:tcPr>
          <w:p w14:paraId="35CE3659">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收集后回用于产品包装</w:t>
            </w:r>
          </w:p>
        </w:tc>
        <w:tc>
          <w:tcPr>
            <w:tcW w:w="103" w:type="pct"/>
            <w:shd w:val="clear" w:color="auto" w:fill="auto"/>
            <w:vAlign w:val="center"/>
          </w:tcPr>
          <w:p w14:paraId="00793596">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683" w:type="pct"/>
            <w:gridSpan w:val="2"/>
            <w:shd w:val="clear" w:color="auto" w:fill="auto"/>
            <w:vAlign w:val="center"/>
          </w:tcPr>
          <w:p w14:paraId="46B8A1A2">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387" w:type="pct"/>
            <w:shd w:val="clear" w:color="auto" w:fill="auto"/>
            <w:vAlign w:val="center"/>
          </w:tcPr>
          <w:p w14:paraId="66EA9F46">
            <w:pPr>
              <w:widowControl/>
              <w:spacing w:line="240" w:lineRule="auto"/>
              <w:ind w:firstLine="0" w:firstLineChars="0"/>
              <w:jc w:val="center"/>
              <w:textAlignment w:val="center"/>
              <w:rPr>
                <w:rFonts w:cs="Times New Roman"/>
                <w:color w:val="auto"/>
                <w:sz w:val="21"/>
                <w:szCs w:val="21"/>
              </w:rPr>
            </w:pPr>
            <w:r>
              <w:rPr>
                <w:rFonts w:hint="eastAsia" w:cs="Times New Roman"/>
                <w:color w:val="auto"/>
                <w:kern w:val="0"/>
                <w:sz w:val="21"/>
                <w:szCs w:val="21"/>
                <w:lang w:val="en-US" w:eastAsia="zh-CN"/>
              </w:rPr>
              <w:t>52.668</w:t>
            </w:r>
            <w:r>
              <w:rPr>
                <w:rFonts w:cs="Times New Roman"/>
                <w:color w:val="auto"/>
                <w:kern w:val="0"/>
                <w:sz w:val="21"/>
                <w:szCs w:val="21"/>
              </w:rPr>
              <w:t>t/a</w:t>
            </w:r>
          </w:p>
        </w:tc>
        <w:tc>
          <w:tcPr>
            <w:tcW w:w="639" w:type="pct"/>
            <w:gridSpan w:val="2"/>
            <w:shd w:val="clear" w:color="auto" w:fill="auto"/>
            <w:vAlign w:val="center"/>
          </w:tcPr>
          <w:p w14:paraId="328F2872">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0</w:t>
            </w:r>
          </w:p>
        </w:tc>
        <w:tc>
          <w:tcPr>
            <w:tcW w:w="346" w:type="pct"/>
            <w:shd w:val="clear" w:color="auto" w:fill="auto"/>
            <w:vAlign w:val="center"/>
          </w:tcPr>
          <w:p w14:paraId="5A81AABC">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722" w:type="pct"/>
            <w:gridSpan w:val="2"/>
            <w:vMerge w:val="continue"/>
            <w:shd w:val="clear" w:color="auto" w:fill="auto"/>
            <w:vAlign w:val="center"/>
          </w:tcPr>
          <w:p w14:paraId="2D57B5A8">
            <w:pPr>
              <w:widowControl/>
              <w:spacing w:line="240" w:lineRule="auto"/>
              <w:ind w:firstLine="0" w:firstLineChars="0"/>
              <w:jc w:val="center"/>
              <w:rPr>
                <w:rFonts w:cs="宋体"/>
                <w:color w:val="auto"/>
                <w:sz w:val="21"/>
                <w:szCs w:val="21"/>
              </w:rPr>
            </w:pPr>
          </w:p>
        </w:tc>
        <w:tc>
          <w:tcPr>
            <w:tcW w:w="1041" w:type="pct"/>
            <w:shd w:val="clear" w:color="auto" w:fill="auto"/>
            <w:vAlign w:val="center"/>
          </w:tcPr>
          <w:p w14:paraId="0AB882D2">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r>
      <w:tr w14:paraId="742C3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45676DF2">
            <w:pPr>
              <w:widowControl/>
              <w:spacing w:line="240" w:lineRule="auto"/>
              <w:ind w:firstLine="0" w:firstLineChars="0"/>
              <w:jc w:val="center"/>
              <w:rPr>
                <w:rFonts w:cs="宋体"/>
                <w:color w:val="auto"/>
                <w:sz w:val="21"/>
                <w:szCs w:val="21"/>
              </w:rPr>
            </w:pPr>
          </w:p>
        </w:tc>
        <w:tc>
          <w:tcPr>
            <w:tcW w:w="564" w:type="pct"/>
            <w:gridSpan w:val="2"/>
            <w:shd w:val="clear" w:color="auto" w:fill="auto"/>
            <w:vAlign w:val="center"/>
          </w:tcPr>
          <w:p w14:paraId="4C5A6940">
            <w:pPr>
              <w:pStyle w:val="45"/>
              <w:bidi w:val="0"/>
              <w:rPr>
                <w:color w:val="auto"/>
              </w:rPr>
            </w:pPr>
            <w:r>
              <w:rPr>
                <w:rFonts w:hint="eastAsia"/>
                <w:color w:val="auto"/>
                <w:lang w:val="en-US" w:eastAsia="zh-CN"/>
              </w:rPr>
              <w:t>普通废包装</w:t>
            </w:r>
          </w:p>
        </w:tc>
        <w:tc>
          <w:tcPr>
            <w:tcW w:w="410" w:type="pct"/>
            <w:shd w:val="clear" w:color="auto" w:fill="auto"/>
            <w:vAlign w:val="center"/>
          </w:tcPr>
          <w:p w14:paraId="4CCD8446">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收集后暂存于一般固废暂存间，外售给回收单位利用</w:t>
            </w:r>
          </w:p>
        </w:tc>
        <w:tc>
          <w:tcPr>
            <w:tcW w:w="439" w:type="dxa"/>
            <w:shd w:val="clear" w:color="auto" w:fill="auto"/>
            <w:vAlign w:val="center"/>
          </w:tcPr>
          <w:p w14:paraId="669FD397">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683" w:type="pct"/>
            <w:gridSpan w:val="2"/>
            <w:shd w:val="clear" w:color="auto" w:fill="auto"/>
            <w:vAlign w:val="center"/>
          </w:tcPr>
          <w:p w14:paraId="27CFCC47">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387" w:type="pct"/>
            <w:shd w:val="clear" w:color="auto" w:fill="auto"/>
            <w:vAlign w:val="center"/>
          </w:tcPr>
          <w:p w14:paraId="0848EB15">
            <w:pPr>
              <w:widowControl/>
              <w:spacing w:line="240" w:lineRule="auto"/>
              <w:ind w:firstLine="0" w:firstLineChars="0"/>
              <w:jc w:val="center"/>
              <w:textAlignment w:val="center"/>
              <w:rPr>
                <w:rFonts w:cs="Times New Roman"/>
                <w:color w:val="auto"/>
                <w:sz w:val="21"/>
                <w:szCs w:val="21"/>
              </w:rPr>
            </w:pPr>
            <w:r>
              <w:rPr>
                <w:rFonts w:hint="eastAsia" w:cs="Times New Roman"/>
                <w:color w:val="auto"/>
                <w:kern w:val="0"/>
                <w:sz w:val="21"/>
                <w:szCs w:val="21"/>
                <w:lang w:val="en-US" w:eastAsia="zh-CN"/>
              </w:rPr>
              <w:t>6.2</w:t>
            </w:r>
            <w:r>
              <w:rPr>
                <w:rFonts w:cs="Times New Roman"/>
                <w:color w:val="auto"/>
                <w:kern w:val="0"/>
                <w:sz w:val="21"/>
                <w:szCs w:val="21"/>
              </w:rPr>
              <w:t>t/a</w:t>
            </w:r>
          </w:p>
        </w:tc>
        <w:tc>
          <w:tcPr>
            <w:tcW w:w="639" w:type="pct"/>
            <w:gridSpan w:val="2"/>
            <w:shd w:val="clear" w:color="auto" w:fill="auto"/>
            <w:vAlign w:val="center"/>
          </w:tcPr>
          <w:p w14:paraId="4B61B33C">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0</w:t>
            </w:r>
          </w:p>
        </w:tc>
        <w:tc>
          <w:tcPr>
            <w:tcW w:w="346" w:type="pct"/>
            <w:shd w:val="clear" w:color="auto" w:fill="auto"/>
            <w:vAlign w:val="center"/>
          </w:tcPr>
          <w:p w14:paraId="104C30A5">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722" w:type="pct"/>
            <w:gridSpan w:val="2"/>
            <w:vMerge w:val="continue"/>
            <w:shd w:val="clear" w:color="auto" w:fill="auto"/>
            <w:vAlign w:val="center"/>
          </w:tcPr>
          <w:p w14:paraId="6DBFEE50">
            <w:pPr>
              <w:widowControl/>
              <w:spacing w:line="240" w:lineRule="auto"/>
              <w:ind w:firstLine="0" w:firstLineChars="0"/>
              <w:jc w:val="center"/>
              <w:rPr>
                <w:rFonts w:cs="宋体"/>
                <w:color w:val="auto"/>
                <w:sz w:val="21"/>
                <w:szCs w:val="21"/>
              </w:rPr>
            </w:pPr>
          </w:p>
        </w:tc>
        <w:tc>
          <w:tcPr>
            <w:tcW w:w="1041" w:type="pct"/>
            <w:shd w:val="clear" w:color="auto" w:fill="auto"/>
            <w:vAlign w:val="center"/>
          </w:tcPr>
          <w:p w14:paraId="14C5871E">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r>
      <w:tr w14:paraId="43435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68D78390">
            <w:pPr>
              <w:widowControl/>
              <w:spacing w:line="240" w:lineRule="auto"/>
              <w:ind w:firstLine="0" w:firstLineChars="0"/>
              <w:jc w:val="center"/>
              <w:rPr>
                <w:rFonts w:cs="宋体"/>
                <w:color w:val="auto"/>
                <w:sz w:val="21"/>
                <w:szCs w:val="21"/>
              </w:rPr>
            </w:pPr>
          </w:p>
        </w:tc>
        <w:tc>
          <w:tcPr>
            <w:tcW w:w="564" w:type="pct"/>
            <w:gridSpan w:val="2"/>
            <w:shd w:val="clear" w:color="auto" w:fill="auto"/>
            <w:vAlign w:val="center"/>
          </w:tcPr>
          <w:p w14:paraId="16232E91">
            <w:pPr>
              <w:pStyle w:val="45"/>
              <w:bidi w:val="0"/>
              <w:rPr>
                <w:color w:val="auto"/>
              </w:rPr>
            </w:pPr>
            <w:r>
              <w:rPr>
                <w:rFonts w:hint="eastAsia"/>
                <w:color w:val="auto"/>
                <w:lang w:val="en-US" w:eastAsia="zh-CN"/>
              </w:rPr>
              <w:t>废</w:t>
            </w:r>
            <w:r>
              <w:rPr>
                <w:rFonts w:hint="default"/>
                <w:color w:val="auto"/>
                <w:lang w:val="en-US" w:eastAsia="zh-CN"/>
              </w:rPr>
              <w:t>RO</w:t>
            </w:r>
            <w:r>
              <w:rPr>
                <w:rFonts w:hint="eastAsia"/>
                <w:color w:val="auto"/>
                <w:lang w:val="en-US" w:eastAsia="zh-CN"/>
              </w:rPr>
              <w:t>膜</w:t>
            </w:r>
          </w:p>
        </w:tc>
        <w:tc>
          <w:tcPr>
            <w:tcW w:w="410" w:type="pct"/>
            <w:vMerge w:val="restart"/>
            <w:shd w:val="clear" w:color="auto" w:fill="auto"/>
            <w:vAlign w:val="center"/>
          </w:tcPr>
          <w:p w14:paraId="27D7D056">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收集后暂存于一般固废暂存间，交由厂家回收</w:t>
            </w:r>
          </w:p>
        </w:tc>
        <w:tc>
          <w:tcPr>
            <w:tcW w:w="439" w:type="dxa"/>
            <w:shd w:val="clear" w:color="auto" w:fill="auto"/>
            <w:vAlign w:val="center"/>
          </w:tcPr>
          <w:p w14:paraId="6A29AA6E">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683" w:type="pct"/>
            <w:gridSpan w:val="2"/>
            <w:shd w:val="clear" w:color="auto" w:fill="auto"/>
            <w:vAlign w:val="center"/>
          </w:tcPr>
          <w:p w14:paraId="749CC6C3">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387" w:type="pct"/>
            <w:shd w:val="clear" w:color="auto" w:fill="auto"/>
            <w:vAlign w:val="center"/>
          </w:tcPr>
          <w:p w14:paraId="3D105224">
            <w:pPr>
              <w:widowControl/>
              <w:spacing w:line="240" w:lineRule="auto"/>
              <w:ind w:firstLine="0" w:firstLineChars="0"/>
              <w:jc w:val="center"/>
              <w:textAlignment w:val="center"/>
              <w:rPr>
                <w:rFonts w:cs="Times New Roman"/>
                <w:color w:val="auto"/>
                <w:sz w:val="21"/>
                <w:szCs w:val="21"/>
              </w:rPr>
            </w:pPr>
            <w:r>
              <w:rPr>
                <w:rFonts w:hint="eastAsia" w:cs="Times New Roman"/>
                <w:color w:val="auto"/>
                <w:kern w:val="0"/>
                <w:sz w:val="21"/>
                <w:szCs w:val="21"/>
                <w:lang w:val="en-US" w:eastAsia="zh-CN"/>
              </w:rPr>
              <w:t>0.25</w:t>
            </w:r>
            <w:r>
              <w:rPr>
                <w:rFonts w:cs="Times New Roman"/>
                <w:color w:val="auto"/>
                <w:kern w:val="0"/>
                <w:sz w:val="21"/>
                <w:szCs w:val="21"/>
              </w:rPr>
              <w:t>t/a</w:t>
            </w:r>
          </w:p>
        </w:tc>
        <w:tc>
          <w:tcPr>
            <w:tcW w:w="639" w:type="pct"/>
            <w:gridSpan w:val="2"/>
            <w:shd w:val="clear" w:color="auto" w:fill="auto"/>
            <w:vAlign w:val="center"/>
          </w:tcPr>
          <w:p w14:paraId="239E1E0C">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0</w:t>
            </w:r>
          </w:p>
        </w:tc>
        <w:tc>
          <w:tcPr>
            <w:tcW w:w="346" w:type="pct"/>
            <w:shd w:val="clear" w:color="auto" w:fill="auto"/>
            <w:vAlign w:val="center"/>
          </w:tcPr>
          <w:p w14:paraId="0045DF61">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722" w:type="pct"/>
            <w:gridSpan w:val="2"/>
            <w:vMerge w:val="continue"/>
            <w:shd w:val="clear" w:color="auto" w:fill="auto"/>
            <w:vAlign w:val="center"/>
          </w:tcPr>
          <w:p w14:paraId="6F79F90A">
            <w:pPr>
              <w:widowControl/>
              <w:spacing w:line="240" w:lineRule="auto"/>
              <w:ind w:firstLine="0" w:firstLineChars="0"/>
              <w:jc w:val="center"/>
              <w:rPr>
                <w:rFonts w:cs="宋体"/>
                <w:color w:val="auto"/>
                <w:sz w:val="21"/>
                <w:szCs w:val="21"/>
              </w:rPr>
            </w:pPr>
          </w:p>
        </w:tc>
        <w:tc>
          <w:tcPr>
            <w:tcW w:w="1041" w:type="pct"/>
            <w:shd w:val="clear" w:color="auto" w:fill="auto"/>
            <w:vAlign w:val="center"/>
          </w:tcPr>
          <w:p w14:paraId="2115AB55">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r>
      <w:tr w14:paraId="0C940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586A16CD">
            <w:pPr>
              <w:widowControl/>
              <w:spacing w:line="240" w:lineRule="auto"/>
              <w:ind w:firstLine="0" w:firstLineChars="0"/>
              <w:jc w:val="center"/>
              <w:rPr>
                <w:rFonts w:cs="宋体"/>
                <w:color w:val="auto"/>
                <w:sz w:val="21"/>
                <w:szCs w:val="21"/>
              </w:rPr>
            </w:pPr>
          </w:p>
        </w:tc>
        <w:tc>
          <w:tcPr>
            <w:tcW w:w="564" w:type="pct"/>
            <w:gridSpan w:val="2"/>
            <w:shd w:val="clear" w:color="auto" w:fill="auto"/>
            <w:vAlign w:val="center"/>
          </w:tcPr>
          <w:p w14:paraId="0794285E">
            <w:pPr>
              <w:pStyle w:val="45"/>
              <w:bidi w:val="0"/>
              <w:rPr>
                <w:rFonts w:hint="eastAsia"/>
                <w:color w:val="auto"/>
              </w:rPr>
            </w:pPr>
            <w:r>
              <w:rPr>
                <w:rFonts w:hint="eastAsia"/>
                <w:color w:val="auto"/>
                <w:lang w:val="en-US" w:eastAsia="zh-CN"/>
              </w:rPr>
              <w:t>废活性炭（纯水制备）</w:t>
            </w:r>
          </w:p>
        </w:tc>
        <w:tc>
          <w:tcPr>
            <w:tcW w:w="410" w:type="pct"/>
            <w:vMerge w:val="continue"/>
            <w:shd w:val="clear" w:color="auto" w:fill="auto"/>
            <w:vAlign w:val="center"/>
          </w:tcPr>
          <w:p w14:paraId="511D79CE">
            <w:pPr>
              <w:widowControl/>
              <w:spacing w:line="240" w:lineRule="auto"/>
              <w:ind w:firstLine="0" w:firstLineChars="0"/>
              <w:jc w:val="center"/>
              <w:textAlignment w:val="center"/>
              <w:rPr>
                <w:rFonts w:hint="eastAsia" w:cs="宋体"/>
                <w:color w:val="auto"/>
                <w:kern w:val="0"/>
                <w:sz w:val="21"/>
                <w:szCs w:val="21"/>
              </w:rPr>
            </w:pPr>
          </w:p>
        </w:tc>
        <w:tc>
          <w:tcPr>
            <w:tcW w:w="439" w:type="dxa"/>
            <w:shd w:val="clear" w:color="auto" w:fill="auto"/>
            <w:vAlign w:val="center"/>
          </w:tcPr>
          <w:p w14:paraId="2A964DFF">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683" w:type="pct"/>
            <w:gridSpan w:val="2"/>
            <w:shd w:val="clear" w:color="auto" w:fill="auto"/>
            <w:vAlign w:val="center"/>
          </w:tcPr>
          <w:p w14:paraId="266267BD">
            <w:pPr>
              <w:widowControl/>
              <w:spacing w:line="240" w:lineRule="auto"/>
              <w:ind w:firstLine="0" w:firstLineChars="0"/>
              <w:jc w:val="center"/>
              <w:textAlignment w:val="center"/>
              <w:rPr>
                <w:rFonts w:cs="Times New Roman"/>
                <w:color w:val="auto"/>
                <w:kern w:val="0"/>
                <w:sz w:val="21"/>
                <w:szCs w:val="21"/>
              </w:rPr>
            </w:pPr>
          </w:p>
        </w:tc>
        <w:tc>
          <w:tcPr>
            <w:tcW w:w="387" w:type="pct"/>
            <w:shd w:val="clear" w:color="auto" w:fill="auto"/>
            <w:vAlign w:val="center"/>
          </w:tcPr>
          <w:p w14:paraId="375B4752">
            <w:pPr>
              <w:widowControl/>
              <w:spacing w:line="240" w:lineRule="auto"/>
              <w:ind w:firstLine="0" w:firstLineChars="0"/>
              <w:jc w:val="center"/>
              <w:textAlignment w:val="center"/>
              <w:rPr>
                <w:rFonts w:hint="default" w:eastAsia="宋体" w:cs="Times New Roman"/>
                <w:color w:val="auto"/>
                <w:kern w:val="0"/>
                <w:sz w:val="21"/>
                <w:szCs w:val="21"/>
                <w:lang w:val="en-US" w:eastAsia="zh-CN"/>
              </w:rPr>
            </w:pPr>
            <w:r>
              <w:rPr>
                <w:rFonts w:hint="eastAsia" w:cs="Times New Roman"/>
                <w:color w:val="auto"/>
                <w:kern w:val="0"/>
                <w:sz w:val="21"/>
                <w:szCs w:val="21"/>
                <w:lang w:val="en-US" w:eastAsia="zh-CN"/>
              </w:rPr>
              <w:t>0.75t/a</w:t>
            </w:r>
          </w:p>
        </w:tc>
        <w:tc>
          <w:tcPr>
            <w:tcW w:w="639" w:type="pct"/>
            <w:gridSpan w:val="2"/>
            <w:shd w:val="clear" w:color="auto" w:fill="auto"/>
            <w:vAlign w:val="center"/>
          </w:tcPr>
          <w:p w14:paraId="333E484A">
            <w:pPr>
              <w:widowControl/>
              <w:spacing w:line="240" w:lineRule="auto"/>
              <w:ind w:firstLine="0" w:firstLineChars="0"/>
              <w:jc w:val="center"/>
              <w:textAlignment w:val="center"/>
              <w:rPr>
                <w:rFonts w:hint="eastAsia" w:eastAsia="宋体" w:cs="Times New Roman"/>
                <w:color w:val="auto"/>
                <w:kern w:val="0"/>
                <w:sz w:val="21"/>
                <w:szCs w:val="21"/>
                <w:lang w:val="en-US" w:eastAsia="zh-CN"/>
              </w:rPr>
            </w:pPr>
            <w:r>
              <w:rPr>
                <w:rFonts w:hint="eastAsia" w:cs="Times New Roman"/>
                <w:color w:val="auto"/>
                <w:kern w:val="0"/>
                <w:sz w:val="21"/>
                <w:szCs w:val="21"/>
                <w:lang w:val="en-US" w:eastAsia="zh-CN"/>
              </w:rPr>
              <w:t>0</w:t>
            </w:r>
          </w:p>
        </w:tc>
        <w:tc>
          <w:tcPr>
            <w:tcW w:w="346" w:type="pct"/>
            <w:shd w:val="clear" w:color="auto" w:fill="auto"/>
            <w:vAlign w:val="center"/>
          </w:tcPr>
          <w:p w14:paraId="25F651E4">
            <w:pPr>
              <w:widowControl/>
              <w:spacing w:line="240" w:lineRule="auto"/>
              <w:ind w:firstLine="0" w:firstLineChars="0"/>
              <w:jc w:val="center"/>
              <w:textAlignment w:val="center"/>
              <w:rPr>
                <w:rFonts w:hint="eastAsia" w:eastAsia="宋体" w:cs="Times New Roman"/>
                <w:color w:val="auto"/>
                <w:kern w:val="0"/>
                <w:sz w:val="21"/>
                <w:szCs w:val="21"/>
                <w:lang w:val="en-US" w:eastAsia="zh-CN"/>
              </w:rPr>
            </w:pPr>
            <w:r>
              <w:rPr>
                <w:rFonts w:hint="eastAsia" w:cs="Times New Roman"/>
                <w:color w:val="auto"/>
                <w:kern w:val="0"/>
                <w:sz w:val="21"/>
                <w:szCs w:val="21"/>
                <w:lang w:val="en-US" w:eastAsia="zh-CN"/>
              </w:rPr>
              <w:t>/</w:t>
            </w:r>
          </w:p>
        </w:tc>
        <w:tc>
          <w:tcPr>
            <w:tcW w:w="722" w:type="pct"/>
            <w:gridSpan w:val="2"/>
            <w:vMerge w:val="continue"/>
            <w:shd w:val="clear" w:color="auto" w:fill="auto"/>
            <w:vAlign w:val="center"/>
          </w:tcPr>
          <w:p w14:paraId="4B031980">
            <w:pPr>
              <w:widowControl/>
              <w:spacing w:line="240" w:lineRule="auto"/>
              <w:ind w:firstLine="0" w:firstLineChars="0"/>
              <w:jc w:val="center"/>
              <w:rPr>
                <w:rFonts w:cs="宋体"/>
                <w:color w:val="auto"/>
                <w:sz w:val="21"/>
                <w:szCs w:val="21"/>
              </w:rPr>
            </w:pPr>
          </w:p>
        </w:tc>
        <w:tc>
          <w:tcPr>
            <w:tcW w:w="1041" w:type="pct"/>
            <w:shd w:val="clear" w:color="auto" w:fill="auto"/>
            <w:vAlign w:val="center"/>
          </w:tcPr>
          <w:p w14:paraId="112DD626">
            <w:pPr>
              <w:widowControl/>
              <w:spacing w:line="240" w:lineRule="auto"/>
              <w:ind w:firstLine="0" w:firstLineChars="0"/>
              <w:jc w:val="center"/>
              <w:textAlignment w:val="center"/>
              <w:rPr>
                <w:rFonts w:cs="Times New Roman"/>
                <w:color w:val="auto"/>
                <w:kern w:val="0"/>
                <w:sz w:val="21"/>
                <w:szCs w:val="21"/>
              </w:rPr>
            </w:pPr>
          </w:p>
        </w:tc>
      </w:tr>
      <w:tr w14:paraId="125C4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6541065A">
            <w:pPr>
              <w:widowControl/>
              <w:spacing w:line="240" w:lineRule="auto"/>
              <w:ind w:firstLine="0" w:firstLineChars="0"/>
              <w:jc w:val="center"/>
              <w:rPr>
                <w:rFonts w:cs="宋体"/>
                <w:color w:val="auto"/>
                <w:sz w:val="21"/>
                <w:szCs w:val="21"/>
              </w:rPr>
            </w:pPr>
          </w:p>
        </w:tc>
        <w:tc>
          <w:tcPr>
            <w:tcW w:w="564" w:type="pct"/>
            <w:gridSpan w:val="2"/>
            <w:shd w:val="clear" w:color="auto" w:fill="auto"/>
            <w:vAlign w:val="center"/>
          </w:tcPr>
          <w:p w14:paraId="25099CAD">
            <w:pPr>
              <w:pStyle w:val="45"/>
              <w:bidi w:val="0"/>
              <w:rPr>
                <w:rFonts w:hint="eastAsia"/>
                <w:color w:val="auto"/>
                <w:lang w:eastAsia="zh-CN"/>
              </w:rPr>
            </w:pPr>
            <w:r>
              <w:rPr>
                <w:rFonts w:hint="eastAsia"/>
                <w:color w:val="auto"/>
                <w:lang w:val="en-US" w:eastAsia="zh-CN"/>
              </w:rPr>
              <w:t>废电极材料</w:t>
            </w:r>
          </w:p>
        </w:tc>
        <w:tc>
          <w:tcPr>
            <w:tcW w:w="410" w:type="pct"/>
            <w:vMerge w:val="continue"/>
            <w:shd w:val="clear" w:color="auto" w:fill="auto"/>
            <w:vAlign w:val="center"/>
          </w:tcPr>
          <w:p w14:paraId="682A5778">
            <w:pPr>
              <w:widowControl/>
              <w:spacing w:line="240" w:lineRule="auto"/>
              <w:ind w:firstLine="0" w:firstLineChars="0"/>
              <w:jc w:val="center"/>
              <w:textAlignment w:val="center"/>
              <w:rPr>
                <w:rFonts w:cs="宋体"/>
                <w:color w:val="auto"/>
                <w:sz w:val="21"/>
                <w:szCs w:val="21"/>
              </w:rPr>
            </w:pPr>
          </w:p>
        </w:tc>
        <w:tc>
          <w:tcPr>
            <w:tcW w:w="439" w:type="dxa"/>
            <w:shd w:val="clear" w:color="auto" w:fill="auto"/>
            <w:vAlign w:val="center"/>
          </w:tcPr>
          <w:p w14:paraId="1309362A">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683" w:type="pct"/>
            <w:gridSpan w:val="2"/>
            <w:shd w:val="clear" w:color="auto" w:fill="auto"/>
            <w:vAlign w:val="center"/>
          </w:tcPr>
          <w:p w14:paraId="60092378">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387" w:type="pct"/>
            <w:shd w:val="clear" w:color="auto" w:fill="auto"/>
            <w:vAlign w:val="center"/>
          </w:tcPr>
          <w:p w14:paraId="0450FAB5">
            <w:pPr>
              <w:widowControl/>
              <w:spacing w:line="240" w:lineRule="auto"/>
              <w:ind w:firstLine="0" w:firstLineChars="0"/>
              <w:jc w:val="center"/>
              <w:textAlignment w:val="center"/>
              <w:rPr>
                <w:rFonts w:cs="Times New Roman"/>
                <w:color w:val="auto"/>
                <w:sz w:val="21"/>
                <w:szCs w:val="21"/>
              </w:rPr>
            </w:pPr>
            <w:r>
              <w:rPr>
                <w:rFonts w:hint="eastAsia" w:cs="Times New Roman"/>
                <w:color w:val="auto"/>
                <w:kern w:val="0"/>
                <w:sz w:val="21"/>
                <w:szCs w:val="21"/>
                <w:lang w:val="en-US" w:eastAsia="zh-CN"/>
              </w:rPr>
              <w:t>0.2</w:t>
            </w:r>
            <w:r>
              <w:rPr>
                <w:rFonts w:cs="Times New Roman"/>
                <w:color w:val="auto"/>
                <w:kern w:val="0"/>
                <w:sz w:val="21"/>
                <w:szCs w:val="21"/>
              </w:rPr>
              <w:t>t/a</w:t>
            </w:r>
          </w:p>
        </w:tc>
        <w:tc>
          <w:tcPr>
            <w:tcW w:w="639" w:type="pct"/>
            <w:gridSpan w:val="2"/>
            <w:shd w:val="clear" w:color="auto" w:fill="auto"/>
            <w:vAlign w:val="center"/>
          </w:tcPr>
          <w:p w14:paraId="65195630">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0</w:t>
            </w:r>
          </w:p>
        </w:tc>
        <w:tc>
          <w:tcPr>
            <w:tcW w:w="346" w:type="pct"/>
            <w:shd w:val="clear" w:color="auto" w:fill="auto"/>
            <w:vAlign w:val="center"/>
          </w:tcPr>
          <w:p w14:paraId="33A22658">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722" w:type="pct"/>
            <w:gridSpan w:val="2"/>
            <w:vMerge w:val="continue"/>
            <w:shd w:val="clear" w:color="auto" w:fill="auto"/>
            <w:vAlign w:val="center"/>
          </w:tcPr>
          <w:p w14:paraId="2151E70C">
            <w:pPr>
              <w:widowControl/>
              <w:spacing w:line="240" w:lineRule="auto"/>
              <w:ind w:firstLine="0" w:firstLineChars="0"/>
              <w:jc w:val="center"/>
              <w:rPr>
                <w:rFonts w:cs="宋体"/>
                <w:color w:val="auto"/>
                <w:sz w:val="21"/>
                <w:szCs w:val="21"/>
              </w:rPr>
            </w:pPr>
          </w:p>
        </w:tc>
        <w:tc>
          <w:tcPr>
            <w:tcW w:w="1041" w:type="pct"/>
            <w:shd w:val="clear" w:color="auto" w:fill="auto"/>
            <w:vAlign w:val="center"/>
          </w:tcPr>
          <w:p w14:paraId="01506E85">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r>
      <w:tr w14:paraId="06926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33EFC891">
            <w:pPr>
              <w:widowControl/>
              <w:spacing w:line="240" w:lineRule="auto"/>
              <w:ind w:firstLine="0" w:firstLineChars="0"/>
              <w:jc w:val="center"/>
              <w:rPr>
                <w:rFonts w:cs="宋体"/>
                <w:color w:val="auto"/>
                <w:sz w:val="21"/>
                <w:szCs w:val="21"/>
              </w:rPr>
            </w:pPr>
          </w:p>
        </w:tc>
        <w:tc>
          <w:tcPr>
            <w:tcW w:w="564" w:type="pct"/>
            <w:gridSpan w:val="2"/>
            <w:shd w:val="clear" w:color="auto" w:fill="auto"/>
            <w:vAlign w:val="center"/>
          </w:tcPr>
          <w:p w14:paraId="5AD929F3">
            <w:pPr>
              <w:pStyle w:val="45"/>
              <w:bidi w:val="0"/>
              <w:rPr>
                <w:rFonts w:hint="eastAsia"/>
                <w:color w:val="auto"/>
              </w:rPr>
            </w:pPr>
            <w:r>
              <w:rPr>
                <w:rFonts w:hint="eastAsia"/>
                <w:color w:val="auto"/>
                <w:lang w:val="en-US" w:eastAsia="zh-CN"/>
              </w:rPr>
              <w:t>除杂滤渣</w:t>
            </w:r>
          </w:p>
        </w:tc>
        <w:tc>
          <w:tcPr>
            <w:tcW w:w="410" w:type="pct"/>
            <w:vMerge w:val="restart"/>
            <w:shd w:val="clear" w:color="auto" w:fill="auto"/>
            <w:vAlign w:val="center"/>
          </w:tcPr>
          <w:p w14:paraId="09E1B5FB">
            <w:pPr>
              <w:widowControl/>
              <w:spacing w:line="240" w:lineRule="auto"/>
              <w:ind w:firstLine="0" w:firstLineChars="0"/>
              <w:jc w:val="center"/>
              <w:textAlignment w:val="center"/>
              <w:rPr>
                <w:rFonts w:hint="eastAsia" w:cs="宋体"/>
                <w:color w:val="auto"/>
                <w:kern w:val="0"/>
                <w:sz w:val="21"/>
                <w:szCs w:val="21"/>
              </w:rPr>
            </w:pPr>
            <w:r>
              <w:rPr>
                <w:rFonts w:hint="eastAsia" w:cs="宋体"/>
                <w:color w:val="auto"/>
                <w:kern w:val="0"/>
                <w:sz w:val="21"/>
                <w:szCs w:val="21"/>
              </w:rPr>
              <w:t>收集后暂存于一般固废暂存间，交由建材厂利用或外售综合利用</w:t>
            </w:r>
          </w:p>
        </w:tc>
        <w:tc>
          <w:tcPr>
            <w:tcW w:w="439" w:type="dxa"/>
            <w:shd w:val="clear" w:color="auto" w:fill="auto"/>
            <w:vAlign w:val="center"/>
          </w:tcPr>
          <w:p w14:paraId="133CBBB6">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683" w:type="pct"/>
            <w:gridSpan w:val="2"/>
            <w:shd w:val="clear" w:color="auto" w:fill="auto"/>
            <w:vAlign w:val="center"/>
          </w:tcPr>
          <w:p w14:paraId="223C70CA">
            <w:pPr>
              <w:widowControl/>
              <w:spacing w:line="240" w:lineRule="auto"/>
              <w:ind w:firstLine="0" w:firstLineChars="0"/>
              <w:jc w:val="center"/>
              <w:textAlignment w:val="center"/>
              <w:rPr>
                <w:rFonts w:cs="Times New Roman"/>
                <w:color w:val="auto"/>
                <w:kern w:val="0"/>
                <w:sz w:val="21"/>
                <w:szCs w:val="21"/>
              </w:rPr>
            </w:pPr>
          </w:p>
        </w:tc>
        <w:tc>
          <w:tcPr>
            <w:tcW w:w="387" w:type="pct"/>
            <w:shd w:val="clear" w:color="auto" w:fill="auto"/>
            <w:vAlign w:val="center"/>
          </w:tcPr>
          <w:p w14:paraId="7357ED84">
            <w:pPr>
              <w:widowControl/>
              <w:spacing w:line="240" w:lineRule="auto"/>
              <w:ind w:firstLine="0" w:firstLineChars="0"/>
              <w:jc w:val="center"/>
              <w:textAlignment w:val="center"/>
              <w:rPr>
                <w:rFonts w:hint="default" w:cs="Times New Roman"/>
                <w:color w:val="auto"/>
                <w:kern w:val="0"/>
                <w:sz w:val="21"/>
                <w:szCs w:val="21"/>
                <w:lang w:val="en-US" w:eastAsia="zh-CN"/>
              </w:rPr>
            </w:pPr>
            <w:r>
              <w:rPr>
                <w:rFonts w:hint="eastAsia" w:cs="Times New Roman"/>
                <w:color w:val="auto"/>
                <w:kern w:val="0"/>
                <w:sz w:val="21"/>
                <w:szCs w:val="21"/>
                <w:lang w:val="en-US" w:eastAsia="zh-CN"/>
              </w:rPr>
              <w:t>2098.83t/a</w:t>
            </w:r>
          </w:p>
        </w:tc>
        <w:tc>
          <w:tcPr>
            <w:tcW w:w="639" w:type="pct"/>
            <w:gridSpan w:val="2"/>
            <w:shd w:val="clear" w:color="auto" w:fill="auto"/>
            <w:vAlign w:val="center"/>
          </w:tcPr>
          <w:p w14:paraId="18A536AB">
            <w:pPr>
              <w:widowControl/>
              <w:spacing w:line="240" w:lineRule="auto"/>
              <w:ind w:firstLine="0" w:firstLineChars="0"/>
              <w:jc w:val="center"/>
              <w:textAlignment w:val="center"/>
              <w:rPr>
                <w:rFonts w:hint="eastAsia" w:eastAsia="宋体" w:cs="Times New Roman"/>
                <w:color w:val="auto"/>
                <w:kern w:val="0"/>
                <w:sz w:val="21"/>
                <w:szCs w:val="21"/>
                <w:lang w:val="en-US" w:eastAsia="zh-CN"/>
              </w:rPr>
            </w:pPr>
            <w:r>
              <w:rPr>
                <w:rFonts w:hint="eastAsia" w:cs="Times New Roman"/>
                <w:color w:val="auto"/>
                <w:kern w:val="0"/>
                <w:sz w:val="21"/>
                <w:szCs w:val="21"/>
                <w:lang w:val="en-US" w:eastAsia="zh-CN"/>
              </w:rPr>
              <w:t>0</w:t>
            </w:r>
          </w:p>
        </w:tc>
        <w:tc>
          <w:tcPr>
            <w:tcW w:w="346" w:type="pct"/>
            <w:shd w:val="clear" w:color="auto" w:fill="auto"/>
            <w:vAlign w:val="center"/>
          </w:tcPr>
          <w:p w14:paraId="03C0576D">
            <w:pPr>
              <w:widowControl/>
              <w:spacing w:line="240" w:lineRule="auto"/>
              <w:ind w:firstLine="0" w:firstLineChars="0"/>
              <w:jc w:val="center"/>
              <w:textAlignment w:val="center"/>
              <w:rPr>
                <w:rFonts w:cs="Times New Roman"/>
                <w:color w:val="auto"/>
                <w:kern w:val="0"/>
                <w:sz w:val="21"/>
                <w:szCs w:val="21"/>
              </w:rPr>
            </w:pPr>
          </w:p>
        </w:tc>
        <w:tc>
          <w:tcPr>
            <w:tcW w:w="722" w:type="pct"/>
            <w:gridSpan w:val="2"/>
            <w:vMerge w:val="continue"/>
            <w:shd w:val="clear" w:color="auto" w:fill="auto"/>
            <w:vAlign w:val="center"/>
          </w:tcPr>
          <w:p w14:paraId="07F168F9">
            <w:pPr>
              <w:widowControl/>
              <w:spacing w:line="240" w:lineRule="auto"/>
              <w:ind w:firstLine="0" w:firstLineChars="0"/>
              <w:jc w:val="center"/>
              <w:rPr>
                <w:rFonts w:cs="宋体"/>
                <w:color w:val="auto"/>
                <w:sz w:val="21"/>
                <w:szCs w:val="21"/>
              </w:rPr>
            </w:pPr>
          </w:p>
        </w:tc>
        <w:tc>
          <w:tcPr>
            <w:tcW w:w="1041" w:type="pct"/>
            <w:shd w:val="clear" w:color="auto" w:fill="auto"/>
            <w:vAlign w:val="center"/>
          </w:tcPr>
          <w:p w14:paraId="3D9A0843">
            <w:pPr>
              <w:widowControl/>
              <w:spacing w:line="240" w:lineRule="auto"/>
              <w:ind w:firstLine="0" w:firstLineChars="0"/>
              <w:jc w:val="center"/>
              <w:textAlignment w:val="center"/>
              <w:rPr>
                <w:rFonts w:cs="Times New Roman"/>
                <w:color w:val="auto"/>
                <w:kern w:val="0"/>
                <w:sz w:val="21"/>
                <w:szCs w:val="21"/>
              </w:rPr>
            </w:pPr>
          </w:p>
        </w:tc>
      </w:tr>
      <w:tr w14:paraId="38AA1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730E4411">
            <w:pPr>
              <w:widowControl/>
              <w:spacing w:line="240" w:lineRule="auto"/>
              <w:ind w:firstLine="0" w:firstLineChars="0"/>
              <w:jc w:val="center"/>
              <w:rPr>
                <w:rFonts w:cs="宋体"/>
                <w:color w:val="auto"/>
                <w:sz w:val="21"/>
                <w:szCs w:val="21"/>
              </w:rPr>
            </w:pPr>
          </w:p>
        </w:tc>
        <w:tc>
          <w:tcPr>
            <w:tcW w:w="564" w:type="pct"/>
            <w:gridSpan w:val="2"/>
            <w:shd w:val="clear" w:color="auto" w:fill="auto"/>
            <w:vAlign w:val="center"/>
          </w:tcPr>
          <w:p w14:paraId="61FEFC3B">
            <w:pPr>
              <w:pStyle w:val="45"/>
              <w:bidi w:val="0"/>
              <w:rPr>
                <w:color w:val="auto"/>
              </w:rPr>
            </w:pPr>
            <w:r>
              <w:rPr>
                <w:rFonts w:hint="eastAsia"/>
                <w:color w:val="auto"/>
                <w:lang w:val="en-US" w:eastAsia="zh-CN"/>
              </w:rPr>
              <w:t>废水站污泥</w:t>
            </w:r>
          </w:p>
        </w:tc>
        <w:tc>
          <w:tcPr>
            <w:tcW w:w="410" w:type="pct"/>
            <w:vMerge w:val="continue"/>
            <w:shd w:val="clear" w:color="auto" w:fill="auto"/>
            <w:vAlign w:val="center"/>
          </w:tcPr>
          <w:p w14:paraId="72FF81D7">
            <w:pPr>
              <w:widowControl/>
              <w:spacing w:line="240" w:lineRule="auto"/>
              <w:ind w:firstLine="0" w:firstLineChars="0"/>
              <w:jc w:val="center"/>
              <w:rPr>
                <w:rFonts w:cs="宋体"/>
                <w:color w:val="auto"/>
                <w:sz w:val="21"/>
                <w:szCs w:val="21"/>
              </w:rPr>
            </w:pPr>
          </w:p>
        </w:tc>
        <w:tc>
          <w:tcPr>
            <w:tcW w:w="439" w:type="dxa"/>
            <w:shd w:val="clear" w:color="auto" w:fill="auto"/>
            <w:vAlign w:val="center"/>
          </w:tcPr>
          <w:p w14:paraId="26F7904B">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683" w:type="pct"/>
            <w:gridSpan w:val="2"/>
            <w:shd w:val="clear" w:color="auto" w:fill="auto"/>
            <w:vAlign w:val="center"/>
          </w:tcPr>
          <w:p w14:paraId="2F74D5B9">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387" w:type="pct"/>
            <w:shd w:val="clear" w:color="auto" w:fill="auto"/>
            <w:vAlign w:val="center"/>
          </w:tcPr>
          <w:p w14:paraId="396933C8">
            <w:pPr>
              <w:widowControl/>
              <w:spacing w:line="240" w:lineRule="auto"/>
              <w:ind w:firstLine="0" w:firstLineChars="0"/>
              <w:jc w:val="center"/>
              <w:textAlignment w:val="center"/>
              <w:rPr>
                <w:rFonts w:cs="Times New Roman"/>
                <w:color w:val="auto"/>
                <w:sz w:val="21"/>
                <w:szCs w:val="21"/>
              </w:rPr>
            </w:pPr>
            <w:r>
              <w:rPr>
                <w:rFonts w:hint="eastAsia" w:cs="Times New Roman"/>
                <w:color w:val="auto"/>
                <w:kern w:val="0"/>
                <w:sz w:val="21"/>
                <w:szCs w:val="21"/>
                <w:lang w:val="en-US" w:eastAsia="zh-CN"/>
              </w:rPr>
              <w:t>72.98</w:t>
            </w:r>
            <w:r>
              <w:rPr>
                <w:rFonts w:cs="Times New Roman"/>
                <w:color w:val="auto"/>
                <w:kern w:val="0"/>
                <w:sz w:val="21"/>
                <w:szCs w:val="21"/>
              </w:rPr>
              <w:t>t/a</w:t>
            </w:r>
          </w:p>
        </w:tc>
        <w:tc>
          <w:tcPr>
            <w:tcW w:w="639" w:type="pct"/>
            <w:gridSpan w:val="2"/>
            <w:shd w:val="clear" w:color="auto" w:fill="auto"/>
            <w:vAlign w:val="center"/>
          </w:tcPr>
          <w:p w14:paraId="388003E6">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0</w:t>
            </w:r>
          </w:p>
        </w:tc>
        <w:tc>
          <w:tcPr>
            <w:tcW w:w="346" w:type="pct"/>
            <w:shd w:val="clear" w:color="auto" w:fill="auto"/>
            <w:vAlign w:val="center"/>
          </w:tcPr>
          <w:p w14:paraId="27632D33">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722" w:type="pct"/>
            <w:gridSpan w:val="2"/>
            <w:vMerge w:val="continue"/>
            <w:shd w:val="clear" w:color="auto" w:fill="auto"/>
            <w:vAlign w:val="center"/>
          </w:tcPr>
          <w:p w14:paraId="7E8AB714">
            <w:pPr>
              <w:widowControl/>
              <w:spacing w:line="240" w:lineRule="auto"/>
              <w:ind w:firstLine="0" w:firstLineChars="0"/>
              <w:jc w:val="center"/>
              <w:rPr>
                <w:rFonts w:cs="宋体"/>
                <w:color w:val="auto"/>
                <w:sz w:val="21"/>
                <w:szCs w:val="21"/>
              </w:rPr>
            </w:pPr>
          </w:p>
        </w:tc>
        <w:tc>
          <w:tcPr>
            <w:tcW w:w="1041" w:type="pct"/>
            <w:shd w:val="clear" w:color="auto" w:fill="auto"/>
            <w:vAlign w:val="center"/>
          </w:tcPr>
          <w:p w14:paraId="749CE094">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r>
      <w:tr w14:paraId="395B0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116CF377">
            <w:pPr>
              <w:widowControl/>
              <w:spacing w:line="240" w:lineRule="auto"/>
              <w:ind w:firstLine="0" w:firstLineChars="0"/>
              <w:jc w:val="center"/>
              <w:rPr>
                <w:rFonts w:cs="宋体"/>
                <w:color w:val="auto"/>
                <w:sz w:val="21"/>
                <w:szCs w:val="21"/>
              </w:rPr>
            </w:pPr>
          </w:p>
        </w:tc>
        <w:tc>
          <w:tcPr>
            <w:tcW w:w="564" w:type="pct"/>
            <w:gridSpan w:val="2"/>
            <w:shd w:val="clear" w:color="auto" w:fill="auto"/>
            <w:vAlign w:val="center"/>
          </w:tcPr>
          <w:p w14:paraId="2B16B354">
            <w:pPr>
              <w:pStyle w:val="45"/>
              <w:bidi w:val="0"/>
              <w:rPr>
                <w:color w:val="auto"/>
              </w:rPr>
            </w:pPr>
            <w:r>
              <w:rPr>
                <w:rFonts w:hint="eastAsia"/>
                <w:color w:val="auto"/>
                <w:lang w:val="en-US" w:eastAsia="zh-CN"/>
              </w:rPr>
              <w:t>一次电解槽沉渣</w:t>
            </w:r>
          </w:p>
        </w:tc>
        <w:tc>
          <w:tcPr>
            <w:tcW w:w="410" w:type="pct"/>
            <w:vMerge w:val="restart"/>
            <w:shd w:val="clear" w:color="auto" w:fill="auto"/>
            <w:vAlign w:val="center"/>
          </w:tcPr>
          <w:p w14:paraId="0E3D67E8">
            <w:pPr>
              <w:widowControl/>
              <w:spacing w:line="240" w:lineRule="auto"/>
              <w:ind w:firstLine="0" w:firstLineChars="0"/>
              <w:jc w:val="center"/>
              <w:textAlignment w:val="center"/>
              <w:rPr>
                <w:rFonts w:cs="宋体"/>
                <w:color w:val="auto"/>
                <w:sz w:val="21"/>
                <w:szCs w:val="21"/>
              </w:rPr>
            </w:pPr>
            <w:r>
              <w:rPr>
                <w:rFonts w:hint="eastAsia" w:cs="宋体"/>
                <w:color w:val="auto"/>
                <w:sz w:val="21"/>
                <w:szCs w:val="21"/>
              </w:rPr>
              <w:t>分类收集后暂存于危废暂存间，交由有资质单位处置</w:t>
            </w:r>
          </w:p>
        </w:tc>
        <w:tc>
          <w:tcPr>
            <w:tcW w:w="439" w:type="dxa"/>
            <w:shd w:val="clear" w:color="auto" w:fill="auto"/>
            <w:vAlign w:val="center"/>
          </w:tcPr>
          <w:p w14:paraId="797EDA9C">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683" w:type="pct"/>
            <w:gridSpan w:val="2"/>
            <w:shd w:val="clear" w:color="auto" w:fill="auto"/>
            <w:vAlign w:val="center"/>
          </w:tcPr>
          <w:p w14:paraId="2E039242">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387" w:type="pct"/>
            <w:shd w:val="clear" w:color="auto" w:fill="auto"/>
            <w:vAlign w:val="center"/>
          </w:tcPr>
          <w:p w14:paraId="2C8176B8">
            <w:pPr>
              <w:widowControl/>
              <w:spacing w:line="240" w:lineRule="auto"/>
              <w:ind w:firstLine="0" w:firstLineChars="0"/>
              <w:jc w:val="center"/>
              <w:textAlignment w:val="center"/>
              <w:rPr>
                <w:rFonts w:cs="Times New Roman"/>
                <w:color w:val="auto"/>
                <w:sz w:val="21"/>
                <w:szCs w:val="21"/>
              </w:rPr>
            </w:pPr>
            <w:r>
              <w:rPr>
                <w:rFonts w:hint="eastAsia" w:cs="Times New Roman"/>
                <w:color w:val="auto"/>
                <w:kern w:val="0"/>
                <w:sz w:val="21"/>
                <w:szCs w:val="21"/>
                <w:lang w:val="en-US" w:eastAsia="zh-CN"/>
              </w:rPr>
              <w:t>0.42</w:t>
            </w:r>
            <w:r>
              <w:rPr>
                <w:rFonts w:cs="Times New Roman"/>
                <w:color w:val="auto"/>
                <w:kern w:val="0"/>
                <w:sz w:val="21"/>
                <w:szCs w:val="21"/>
              </w:rPr>
              <w:t>t/a</w:t>
            </w:r>
          </w:p>
        </w:tc>
        <w:tc>
          <w:tcPr>
            <w:tcW w:w="639" w:type="pct"/>
            <w:gridSpan w:val="2"/>
            <w:shd w:val="clear" w:color="auto" w:fill="auto"/>
            <w:vAlign w:val="center"/>
          </w:tcPr>
          <w:p w14:paraId="5D3D77AB">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0</w:t>
            </w:r>
          </w:p>
        </w:tc>
        <w:tc>
          <w:tcPr>
            <w:tcW w:w="346" w:type="pct"/>
            <w:shd w:val="clear" w:color="auto" w:fill="auto"/>
            <w:vAlign w:val="center"/>
          </w:tcPr>
          <w:p w14:paraId="65D718FF">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722" w:type="pct"/>
            <w:gridSpan w:val="2"/>
            <w:vMerge w:val="continue"/>
            <w:shd w:val="clear" w:color="auto" w:fill="auto"/>
            <w:vAlign w:val="center"/>
          </w:tcPr>
          <w:p w14:paraId="498B458E">
            <w:pPr>
              <w:widowControl/>
              <w:spacing w:line="240" w:lineRule="auto"/>
              <w:ind w:firstLine="0" w:firstLineChars="0"/>
              <w:jc w:val="center"/>
              <w:rPr>
                <w:rFonts w:cs="宋体"/>
                <w:color w:val="auto"/>
                <w:sz w:val="21"/>
                <w:szCs w:val="21"/>
              </w:rPr>
            </w:pPr>
          </w:p>
        </w:tc>
        <w:tc>
          <w:tcPr>
            <w:tcW w:w="1041" w:type="pct"/>
            <w:shd w:val="clear" w:color="auto" w:fill="auto"/>
            <w:vAlign w:val="center"/>
          </w:tcPr>
          <w:p w14:paraId="7E2505B0">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r>
      <w:tr w14:paraId="755B9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28B014F7">
            <w:pPr>
              <w:widowControl/>
              <w:spacing w:line="240" w:lineRule="auto"/>
              <w:ind w:firstLine="0" w:firstLineChars="0"/>
              <w:jc w:val="center"/>
              <w:rPr>
                <w:rFonts w:cs="宋体"/>
                <w:color w:val="auto"/>
                <w:sz w:val="21"/>
                <w:szCs w:val="21"/>
              </w:rPr>
            </w:pPr>
          </w:p>
        </w:tc>
        <w:tc>
          <w:tcPr>
            <w:tcW w:w="564" w:type="pct"/>
            <w:gridSpan w:val="2"/>
            <w:shd w:val="clear" w:color="auto" w:fill="auto"/>
            <w:vAlign w:val="center"/>
          </w:tcPr>
          <w:p w14:paraId="10A599A5">
            <w:pPr>
              <w:pStyle w:val="45"/>
              <w:bidi w:val="0"/>
              <w:rPr>
                <w:color w:val="auto"/>
              </w:rPr>
            </w:pPr>
            <w:r>
              <w:rPr>
                <w:rFonts w:hint="eastAsia"/>
                <w:color w:val="auto"/>
                <w:lang w:val="en-US" w:eastAsia="zh-CN"/>
              </w:rPr>
              <w:t>二次电解槽沉渣</w:t>
            </w:r>
          </w:p>
        </w:tc>
        <w:tc>
          <w:tcPr>
            <w:tcW w:w="410" w:type="pct"/>
            <w:vMerge w:val="continue"/>
            <w:shd w:val="clear" w:color="auto" w:fill="auto"/>
            <w:vAlign w:val="center"/>
          </w:tcPr>
          <w:p w14:paraId="3BA05115">
            <w:pPr>
              <w:widowControl/>
              <w:spacing w:line="240" w:lineRule="auto"/>
              <w:ind w:firstLine="0" w:firstLineChars="0"/>
              <w:jc w:val="center"/>
              <w:textAlignment w:val="center"/>
              <w:rPr>
                <w:rFonts w:cs="宋体"/>
                <w:color w:val="auto"/>
                <w:sz w:val="21"/>
                <w:szCs w:val="21"/>
              </w:rPr>
            </w:pPr>
          </w:p>
        </w:tc>
        <w:tc>
          <w:tcPr>
            <w:tcW w:w="439" w:type="dxa"/>
            <w:shd w:val="clear" w:color="auto" w:fill="auto"/>
            <w:vAlign w:val="center"/>
          </w:tcPr>
          <w:p w14:paraId="442E66F8">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683" w:type="pct"/>
            <w:gridSpan w:val="2"/>
            <w:shd w:val="clear" w:color="auto" w:fill="auto"/>
            <w:vAlign w:val="center"/>
          </w:tcPr>
          <w:p w14:paraId="6B534991">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387" w:type="pct"/>
            <w:shd w:val="clear" w:color="auto" w:fill="auto"/>
            <w:vAlign w:val="center"/>
          </w:tcPr>
          <w:p w14:paraId="1CBCA53E">
            <w:pPr>
              <w:widowControl/>
              <w:spacing w:line="240" w:lineRule="auto"/>
              <w:ind w:firstLine="0" w:firstLineChars="0"/>
              <w:jc w:val="center"/>
              <w:textAlignment w:val="center"/>
              <w:rPr>
                <w:rFonts w:cs="Times New Roman"/>
                <w:color w:val="auto"/>
                <w:sz w:val="21"/>
                <w:szCs w:val="21"/>
              </w:rPr>
            </w:pPr>
            <w:r>
              <w:rPr>
                <w:rFonts w:hint="eastAsia" w:cs="Times New Roman"/>
                <w:color w:val="auto"/>
                <w:kern w:val="0"/>
                <w:sz w:val="21"/>
                <w:szCs w:val="21"/>
                <w:lang w:val="en-US" w:eastAsia="zh-CN"/>
              </w:rPr>
              <w:t>5.1</w:t>
            </w:r>
            <w:r>
              <w:rPr>
                <w:rFonts w:cs="Times New Roman"/>
                <w:color w:val="auto"/>
                <w:kern w:val="0"/>
                <w:sz w:val="21"/>
                <w:szCs w:val="21"/>
              </w:rPr>
              <w:t>t/a</w:t>
            </w:r>
          </w:p>
        </w:tc>
        <w:tc>
          <w:tcPr>
            <w:tcW w:w="639" w:type="pct"/>
            <w:gridSpan w:val="2"/>
            <w:shd w:val="clear" w:color="auto" w:fill="auto"/>
            <w:vAlign w:val="center"/>
          </w:tcPr>
          <w:p w14:paraId="0F4D9440">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0</w:t>
            </w:r>
          </w:p>
        </w:tc>
        <w:tc>
          <w:tcPr>
            <w:tcW w:w="346" w:type="pct"/>
            <w:shd w:val="clear" w:color="auto" w:fill="auto"/>
            <w:vAlign w:val="center"/>
          </w:tcPr>
          <w:p w14:paraId="284E46EF">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722" w:type="pct"/>
            <w:gridSpan w:val="2"/>
            <w:vMerge w:val="continue"/>
            <w:shd w:val="clear" w:color="auto" w:fill="auto"/>
            <w:vAlign w:val="center"/>
          </w:tcPr>
          <w:p w14:paraId="09D46613">
            <w:pPr>
              <w:widowControl/>
              <w:spacing w:line="240" w:lineRule="auto"/>
              <w:ind w:firstLine="0" w:firstLineChars="0"/>
              <w:jc w:val="center"/>
              <w:rPr>
                <w:rFonts w:cs="宋体"/>
                <w:color w:val="auto"/>
                <w:sz w:val="21"/>
                <w:szCs w:val="21"/>
              </w:rPr>
            </w:pPr>
          </w:p>
        </w:tc>
        <w:tc>
          <w:tcPr>
            <w:tcW w:w="1041" w:type="pct"/>
            <w:shd w:val="clear" w:color="auto" w:fill="auto"/>
            <w:vAlign w:val="center"/>
          </w:tcPr>
          <w:p w14:paraId="5F328C1E">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r>
      <w:tr w14:paraId="579B2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72B09953">
            <w:pPr>
              <w:widowControl/>
              <w:spacing w:line="240" w:lineRule="auto"/>
              <w:ind w:firstLine="0" w:firstLineChars="0"/>
              <w:jc w:val="center"/>
              <w:rPr>
                <w:rFonts w:cs="宋体"/>
                <w:color w:val="auto"/>
                <w:sz w:val="21"/>
                <w:szCs w:val="21"/>
              </w:rPr>
            </w:pPr>
          </w:p>
        </w:tc>
        <w:tc>
          <w:tcPr>
            <w:tcW w:w="564" w:type="pct"/>
            <w:gridSpan w:val="2"/>
            <w:shd w:val="clear" w:color="auto" w:fill="auto"/>
            <w:vAlign w:val="center"/>
          </w:tcPr>
          <w:p w14:paraId="31F6BA31">
            <w:pPr>
              <w:pStyle w:val="45"/>
              <w:bidi w:val="0"/>
              <w:rPr>
                <w:color w:val="auto"/>
              </w:rPr>
            </w:pPr>
            <w:r>
              <w:rPr>
                <w:rFonts w:hint="eastAsia"/>
                <w:color w:val="auto"/>
                <w:lang w:val="en-US" w:eastAsia="zh-CN"/>
              </w:rPr>
              <w:t>除铬滤渣</w:t>
            </w:r>
          </w:p>
        </w:tc>
        <w:tc>
          <w:tcPr>
            <w:tcW w:w="410" w:type="pct"/>
            <w:vMerge w:val="continue"/>
            <w:shd w:val="clear" w:color="auto" w:fill="auto"/>
            <w:vAlign w:val="center"/>
          </w:tcPr>
          <w:p w14:paraId="1B587C21">
            <w:pPr>
              <w:widowControl/>
              <w:spacing w:line="240" w:lineRule="auto"/>
              <w:ind w:firstLine="0" w:firstLineChars="0"/>
              <w:jc w:val="center"/>
              <w:rPr>
                <w:rFonts w:cs="宋体"/>
                <w:color w:val="auto"/>
                <w:sz w:val="21"/>
                <w:szCs w:val="21"/>
              </w:rPr>
            </w:pPr>
          </w:p>
        </w:tc>
        <w:tc>
          <w:tcPr>
            <w:tcW w:w="439" w:type="dxa"/>
            <w:shd w:val="clear" w:color="auto" w:fill="auto"/>
            <w:vAlign w:val="center"/>
          </w:tcPr>
          <w:p w14:paraId="1B23678F">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683" w:type="pct"/>
            <w:gridSpan w:val="2"/>
            <w:shd w:val="clear" w:color="auto" w:fill="auto"/>
            <w:vAlign w:val="center"/>
          </w:tcPr>
          <w:p w14:paraId="0CB8D18F">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387" w:type="pct"/>
            <w:shd w:val="clear" w:color="auto" w:fill="auto"/>
            <w:vAlign w:val="center"/>
          </w:tcPr>
          <w:p w14:paraId="040C7D6B">
            <w:pPr>
              <w:widowControl/>
              <w:spacing w:line="240" w:lineRule="auto"/>
              <w:ind w:firstLine="0" w:firstLineChars="0"/>
              <w:jc w:val="center"/>
              <w:textAlignment w:val="center"/>
              <w:rPr>
                <w:rFonts w:cs="Times New Roman"/>
                <w:color w:val="auto"/>
                <w:sz w:val="21"/>
                <w:szCs w:val="21"/>
              </w:rPr>
            </w:pPr>
            <w:r>
              <w:rPr>
                <w:rFonts w:hint="eastAsia" w:cs="Times New Roman"/>
                <w:color w:val="auto"/>
                <w:kern w:val="0"/>
                <w:sz w:val="21"/>
                <w:szCs w:val="21"/>
                <w:lang w:val="en-US" w:eastAsia="zh-CN"/>
              </w:rPr>
              <w:t>60.75</w:t>
            </w:r>
            <w:r>
              <w:rPr>
                <w:rFonts w:cs="Times New Roman"/>
                <w:color w:val="auto"/>
                <w:kern w:val="0"/>
                <w:sz w:val="21"/>
                <w:szCs w:val="21"/>
              </w:rPr>
              <w:t>t/a</w:t>
            </w:r>
          </w:p>
        </w:tc>
        <w:tc>
          <w:tcPr>
            <w:tcW w:w="639" w:type="pct"/>
            <w:gridSpan w:val="2"/>
            <w:shd w:val="clear" w:color="auto" w:fill="auto"/>
            <w:vAlign w:val="center"/>
          </w:tcPr>
          <w:p w14:paraId="1743724F">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0</w:t>
            </w:r>
          </w:p>
        </w:tc>
        <w:tc>
          <w:tcPr>
            <w:tcW w:w="346" w:type="pct"/>
            <w:shd w:val="clear" w:color="auto" w:fill="auto"/>
            <w:vAlign w:val="center"/>
          </w:tcPr>
          <w:p w14:paraId="096AC020">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722" w:type="pct"/>
            <w:gridSpan w:val="2"/>
            <w:vMerge w:val="continue"/>
            <w:shd w:val="clear" w:color="auto" w:fill="auto"/>
            <w:vAlign w:val="center"/>
          </w:tcPr>
          <w:p w14:paraId="0F19AFD3">
            <w:pPr>
              <w:widowControl/>
              <w:spacing w:line="240" w:lineRule="auto"/>
              <w:ind w:firstLine="0" w:firstLineChars="0"/>
              <w:jc w:val="center"/>
              <w:rPr>
                <w:rFonts w:cs="宋体"/>
                <w:color w:val="auto"/>
                <w:sz w:val="21"/>
                <w:szCs w:val="21"/>
              </w:rPr>
            </w:pPr>
          </w:p>
        </w:tc>
        <w:tc>
          <w:tcPr>
            <w:tcW w:w="1041" w:type="pct"/>
            <w:shd w:val="clear" w:color="auto" w:fill="auto"/>
            <w:vAlign w:val="center"/>
          </w:tcPr>
          <w:p w14:paraId="220B5CDE">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r>
      <w:tr w14:paraId="7FB11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54941F00">
            <w:pPr>
              <w:widowControl/>
              <w:spacing w:line="240" w:lineRule="auto"/>
              <w:ind w:firstLine="0" w:firstLineChars="0"/>
              <w:jc w:val="center"/>
              <w:rPr>
                <w:rFonts w:cs="宋体"/>
                <w:color w:val="auto"/>
                <w:sz w:val="21"/>
                <w:szCs w:val="21"/>
              </w:rPr>
            </w:pPr>
          </w:p>
        </w:tc>
        <w:tc>
          <w:tcPr>
            <w:tcW w:w="564" w:type="pct"/>
            <w:gridSpan w:val="2"/>
            <w:shd w:val="clear" w:color="auto" w:fill="auto"/>
            <w:vAlign w:val="center"/>
          </w:tcPr>
          <w:p w14:paraId="3BBF88A3">
            <w:pPr>
              <w:pStyle w:val="45"/>
              <w:bidi w:val="0"/>
              <w:rPr>
                <w:rFonts w:hint="eastAsia"/>
                <w:color w:val="auto"/>
                <w:lang w:eastAsia="zh-CN"/>
              </w:rPr>
            </w:pPr>
            <w:r>
              <w:rPr>
                <w:rFonts w:hint="eastAsia"/>
                <w:color w:val="auto"/>
                <w:lang w:val="en-US" w:eastAsia="zh-CN"/>
              </w:rPr>
              <w:t>危化品废包装</w:t>
            </w:r>
          </w:p>
        </w:tc>
        <w:tc>
          <w:tcPr>
            <w:tcW w:w="410" w:type="pct"/>
            <w:vMerge w:val="continue"/>
            <w:shd w:val="clear" w:color="auto" w:fill="auto"/>
            <w:vAlign w:val="center"/>
          </w:tcPr>
          <w:p w14:paraId="546BF6AC">
            <w:pPr>
              <w:widowControl/>
              <w:spacing w:line="240" w:lineRule="auto"/>
              <w:ind w:firstLine="0" w:firstLineChars="0"/>
              <w:jc w:val="center"/>
              <w:rPr>
                <w:rFonts w:cs="宋体"/>
                <w:color w:val="auto"/>
                <w:sz w:val="21"/>
                <w:szCs w:val="21"/>
              </w:rPr>
            </w:pPr>
          </w:p>
        </w:tc>
        <w:tc>
          <w:tcPr>
            <w:tcW w:w="439" w:type="dxa"/>
            <w:shd w:val="clear" w:color="auto" w:fill="auto"/>
            <w:vAlign w:val="center"/>
          </w:tcPr>
          <w:p w14:paraId="21792DAB">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683" w:type="pct"/>
            <w:gridSpan w:val="2"/>
            <w:shd w:val="clear" w:color="auto" w:fill="auto"/>
            <w:vAlign w:val="center"/>
          </w:tcPr>
          <w:p w14:paraId="68D6C7C7">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387" w:type="pct"/>
            <w:shd w:val="clear" w:color="auto" w:fill="auto"/>
            <w:vAlign w:val="center"/>
          </w:tcPr>
          <w:p w14:paraId="415FA50E">
            <w:pPr>
              <w:widowControl/>
              <w:spacing w:line="240" w:lineRule="auto"/>
              <w:ind w:firstLine="0" w:firstLineChars="0"/>
              <w:jc w:val="center"/>
              <w:textAlignment w:val="center"/>
              <w:rPr>
                <w:rFonts w:cs="Times New Roman"/>
                <w:color w:val="auto"/>
                <w:sz w:val="21"/>
                <w:szCs w:val="21"/>
              </w:rPr>
            </w:pPr>
            <w:r>
              <w:rPr>
                <w:rFonts w:hint="eastAsia" w:cs="Times New Roman"/>
                <w:color w:val="auto"/>
                <w:kern w:val="0"/>
                <w:sz w:val="21"/>
                <w:szCs w:val="21"/>
                <w:lang w:val="en-US" w:eastAsia="zh-CN"/>
              </w:rPr>
              <w:t>0.4</w:t>
            </w:r>
            <w:r>
              <w:rPr>
                <w:rFonts w:cs="Times New Roman"/>
                <w:color w:val="auto"/>
                <w:kern w:val="0"/>
                <w:sz w:val="21"/>
                <w:szCs w:val="21"/>
              </w:rPr>
              <w:t>t/a</w:t>
            </w:r>
          </w:p>
        </w:tc>
        <w:tc>
          <w:tcPr>
            <w:tcW w:w="639" w:type="pct"/>
            <w:gridSpan w:val="2"/>
            <w:shd w:val="clear" w:color="auto" w:fill="auto"/>
            <w:vAlign w:val="center"/>
          </w:tcPr>
          <w:p w14:paraId="17D5F6F7">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0</w:t>
            </w:r>
          </w:p>
        </w:tc>
        <w:tc>
          <w:tcPr>
            <w:tcW w:w="346" w:type="pct"/>
            <w:shd w:val="clear" w:color="auto" w:fill="auto"/>
            <w:vAlign w:val="center"/>
          </w:tcPr>
          <w:p w14:paraId="470F2C79">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722" w:type="pct"/>
            <w:gridSpan w:val="2"/>
            <w:vMerge w:val="continue"/>
            <w:shd w:val="clear" w:color="auto" w:fill="auto"/>
            <w:vAlign w:val="center"/>
          </w:tcPr>
          <w:p w14:paraId="65C3A8DA">
            <w:pPr>
              <w:widowControl/>
              <w:spacing w:line="240" w:lineRule="auto"/>
              <w:ind w:firstLine="0" w:firstLineChars="0"/>
              <w:jc w:val="center"/>
              <w:rPr>
                <w:rFonts w:cs="宋体"/>
                <w:color w:val="auto"/>
                <w:sz w:val="21"/>
                <w:szCs w:val="21"/>
              </w:rPr>
            </w:pPr>
          </w:p>
        </w:tc>
        <w:tc>
          <w:tcPr>
            <w:tcW w:w="1041" w:type="pct"/>
            <w:shd w:val="clear" w:color="auto" w:fill="auto"/>
            <w:vAlign w:val="center"/>
          </w:tcPr>
          <w:p w14:paraId="54B1F53F">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r>
      <w:tr w14:paraId="3012C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76A16EC7">
            <w:pPr>
              <w:widowControl/>
              <w:spacing w:line="240" w:lineRule="auto"/>
              <w:ind w:firstLine="0" w:firstLineChars="0"/>
              <w:jc w:val="center"/>
              <w:rPr>
                <w:rFonts w:cs="宋体"/>
                <w:color w:val="auto"/>
                <w:sz w:val="21"/>
                <w:szCs w:val="21"/>
              </w:rPr>
            </w:pPr>
          </w:p>
        </w:tc>
        <w:tc>
          <w:tcPr>
            <w:tcW w:w="564" w:type="pct"/>
            <w:gridSpan w:val="2"/>
            <w:shd w:val="clear" w:color="auto" w:fill="auto"/>
            <w:vAlign w:val="center"/>
          </w:tcPr>
          <w:p w14:paraId="7F485FE9">
            <w:pPr>
              <w:pStyle w:val="45"/>
              <w:bidi w:val="0"/>
              <w:rPr>
                <w:color w:val="auto"/>
              </w:rPr>
            </w:pPr>
            <w:r>
              <w:rPr>
                <w:rFonts w:hint="eastAsia"/>
                <w:color w:val="auto"/>
                <w:lang w:val="en-US" w:eastAsia="zh-CN"/>
              </w:rPr>
              <w:t>废吸附剂、废催化剂</w:t>
            </w:r>
          </w:p>
        </w:tc>
        <w:tc>
          <w:tcPr>
            <w:tcW w:w="410" w:type="pct"/>
            <w:vMerge w:val="continue"/>
            <w:shd w:val="clear" w:color="auto" w:fill="auto"/>
            <w:vAlign w:val="center"/>
          </w:tcPr>
          <w:p w14:paraId="0CAABA37">
            <w:pPr>
              <w:widowControl/>
              <w:spacing w:line="240" w:lineRule="auto"/>
              <w:ind w:firstLine="0" w:firstLineChars="0"/>
              <w:jc w:val="center"/>
              <w:rPr>
                <w:rFonts w:cs="宋体"/>
                <w:color w:val="auto"/>
                <w:sz w:val="21"/>
                <w:szCs w:val="21"/>
              </w:rPr>
            </w:pPr>
          </w:p>
        </w:tc>
        <w:tc>
          <w:tcPr>
            <w:tcW w:w="439" w:type="dxa"/>
            <w:shd w:val="clear" w:color="auto" w:fill="auto"/>
            <w:vAlign w:val="center"/>
          </w:tcPr>
          <w:p w14:paraId="06BFEF19">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683" w:type="pct"/>
            <w:gridSpan w:val="2"/>
            <w:shd w:val="clear" w:color="auto" w:fill="auto"/>
            <w:vAlign w:val="center"/>
          </w:tcPr>
          <w:p w14:paraId="394FE5DB">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387" w:type="pct"/>
            <w:shd w:val="clear" w:color="auto" w:fill="auto"/>
            <w:vAlign w:val="center"/>
          </w:tcPr>
          <w:p w14:paraId="7837281C">
            <w:pPr>
              <w:widowControl/>
              <w:spacing w:line="240" w:lineRule="auto"/>
              <w:ind w:firstLine="0" w:firstLineChars="0"/>
              <w:jc w:val="center"/>
              <w:textAlignment w:val="center"/>
              <w:rPr>
                <w:rFonts w:cs="Times New Roman"/>
                <w:color w:val="auto"/>
                <w:sz w:val="21"/>
                <w:szCs w:val="21"/>
              </w:rPr>
            </w:pPr>
            <w:r>
              <w:rPr>
                <w:rFonts w:hint="eastAsia" w:cs="Times New Roman"/>
                <w:color w:val="auto"/>
                <w:kern w:val="0"/>
                <w:sz w:val="21"/>
                <w:szCs w:val="21"/>
                <w:lang w:val="en-US" w:eastAsia="zh-CN"/>
              </w:rPr>
              <w:t>0.7</w:t>
            </w:r>
            <w:r>
              <w:rPr>
                <w:rFonts w:cs="Times New Roman"/>
                <w:color w:val="auto"/>
                <w:kern w:val="0"/>
                <w:sz w:val="21"/>
                <w:szCs w:val="21"/>
              </w:rPr>
              <w:t>t/a</w:t>
            </w:r>
          </w:p>
        </w:tc>
        <w:tc>
          <w:tcPr>
            <w:tcW w:w="639" w:type="pct"/>
            <w:gridSpan w:val="2"/>
            <w:shd w:val="clear" w:color="auto" w:fill="auto"/>
            <w:vAlign w:val="center"/>
          </w:tcPr>
          <w:p w14:paraId="7F2321E4">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0</w:t>
            </w:r>
          </w:p>
        </w:tc>
        <w:tc>
          <w:tcPr>
            <w:tcW w:w="346" w:type="pct"/>
            <w:shd w:val="clear" w:color="auto" w:fill="auto"/>
            <w:vAlign w:val="center"/>
          </w:tcPr>
          <w:p w14:paraId="3DBE4629">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722" w:type="pct"/>
            <w:gridSpan w:val="2"/>
            <w:vMerge w:val="continue"/>
            <w:shd w:val="clear" w:color="auto" w:fill="auto"/>
            <w:vAlign w:val="center"/>
          </w:tcPr>
          <w:p w14:paraId="65888A83">
            <w:pPr>
              <w:widowControl/>
              <w:spacing w:line="240" w:lineRule="auto"/>
              <w:ind w:firstLine="0" w:firstLineChars="0"/>
              <w:jc w:val="center"/>
              <w:rPr>
                <w:rFonts w:cs="宋体"/>
                <w:color w:val="auto"/>
                <w:sz w:val="21"/>
                <w:szCs w:val="21"/>
              </w:rPr>
            </w:pPr>
          </w:p>
        </w:tc>
        <w:tc>
          <w:tcPr>
            <w:tcW w:w="1041" w:type="pct"/>
            <w:shd w:val="clear" w:color="auto" w:fill="auto"/>
            <w:vAlign w:val="center"/>
          </w:tcPr>
          <w:p w14:paraId="46E92C0A">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r>
      <w:tr w14:paraId="02A5D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3B8EF93B">
            <w:pPr>
              <w:widowControl/>
              <w:spacing w:line="240" w:lineRule="auto"/>
              <w:ind w:firstLine="0" w:firstLineChars="0"/>
              <w:jc w:val="center"/>
              <w:rPr>
                <w:rFonts w:cs="宋体"/>
                <w:color w:val="auto"/>
                <w:sz w:val="21"/>
                <w:szCs w:val="21"/>
              </w:rPr>
            </w:pPr>
          </w:p>
        </w:tc>
        <w:tc>
          <w:tcPr>
            <w:tcW w:w="564" w:type="pct"/>
            <w:gridSpan w:val="2"/>
            <w:shd w:val="clear" w:color="auto" w:fill="auto"/>
            <w:vAlign w:val="center"/>
          </w:tcPr>
          <w:p w14:paraId="1508ED28">
            <w:pPr>
              <w:pStyle w:val="45"/>
              <w:bidi w:val="0"/>
              <w:rPr>
                <w:color w:val="auto"/>
              </w:rPr>
            </w:pPr>
            <w:r>
              <w:rPr>
                <w:rFonts w:hint="eastAsia"/>
                <w:color w:val="auto"/>
                <w:lang w:val="en-US" w:eastAsia="zh-CN"/>
              </w:rPr>
              <w:t>化验废物</w:t>
            </w:r>
          </w:p>
        </w:tc>
        <w:tc>
          <w:tcPr>
            <w:tcW w:w="410" w:type="pct"/>
            <w:vMerge w:val="continue"/>
            <w:shd w:val="clear" w:color="auto" w:fill="auto"/>
            <w:vAlign w:val="center"/>
          </w:tcPr>
          <w:p w14:paraId="5D873507">
            <w:pPr>
              <w:widowControl/>
              <w:spacing w:line="240" w:lineRule="auto"/>
              <w:ind w:firstLine="0" w:firstLineChars="0"/>
              <w:jc w:val="center"/>
              <w:rPr>
                <w:rFonts w:cs="宋体"/>
                <w:color w:val="auto"/>
                <w:sz w:val="21"/>
                <w:szCs w:val="21"/>
              </w:rPr>
            </w:pPr>
          </w:p>
        </w:tc>
        <w:tc>
          <w:tcPr>
            <w:tcW w:w="439" w:type="dxa"/>
            <w:shd w:val="clear" w:color="auto" w:fill="auto"/>
            <w:vAlign w:val="center"/>
          </w:tcPr>
          <w:p w14:paraId="60FEF1FC">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683" w:type="pct"/>
            <w:gridSpan w:val="2"/>
            <w:shd w:val="clear" w:color="auto" w:fill="auto"/>
            <w:vAlign w:val="center"/>
          </w:tcPr>
          <w:p w14:paraId="27E6E767">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387" w:type="pct"/>
            <w:shd w:val="clear" w:color="auto" w:fill="auto"/>
            <w:vAlign w:val="center"/>
          </w:tcPr>
          <w:p w14:paraId="6D565B14">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0.01t/a</w:t>
            </w:r>
          </w:p>
        </w:tc>
        <w:tc>
          <w:tcPr>
            <w:tcW w:w="639" w:type="pct"/>
            <w:gridSpan w:val="2"/>
            <w:shd w:val="clear" w:color="auto" w:fill="auto"/>
            <w:vAlign w:val="center"/>
          </w:tcPr>
          <w:p w14:paraId="5B679513">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0</w:t>
            </w:r>
          </w:p>
        </w:tc>
        <w:tc>
          <w:tcPr>
            <w:tcW w:w="346" w:type="pct"/>
            <w:shd w:val="clear" w:color="auto" w:fill="auto"/>
            <w:vAlign w:val="center"/>
          </w:tcPr>
          <w:p w14:paraId="3A8FE653">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722" w:type="pct"/>
            <w:gridSpan w:val="2"/>
            <w:vMerge w:val="continue"/>
            <w:shd w:val="clear" w:color="auto" w:fill="auto"/>
            <w:vAlign w:val="center"/>
          </w:tcPr>
          <w:p w14:paraId="5A2A1E95">
            <w:pPr>
              <w:widowControl/>
              <w:spacing w:line="240" w:lineRule="auto"/>
              <w:ind w:firstLine="0" w:firstLineChars="0"/>
              <w:jc w:val="center"/>
              <w:rPr>
                <w:rFonts w:cs="宋体"/>
                <w:color w:val="auto"/>
                <w:sz w:val="21"/>
                <w:szCs w:val="21"/>
              </w:rPr>
            </w:pPr>
          </w:p>
        </w:tc>
        <w:tc>
          <w:tcPr>
            <w:tcW w:w="1041" w:type="pct"/>
            <w:shd w:val="clear" w:color="auto" w:fill="auto"/>
            <w:vAlign w:val="center"/>
          </w:tcPr>
          <w:p w14:paraId="08A464D3">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r>
      <w:tr w14:paraId="20076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00" w:type="pct"/>
            <w:vMerge w:val="continue"/>
            <w:shd w:val="clear" w:color="auto" w:fill="auto"/>
            <w:vAlign w:val="center"/>
          </w:tcPr>
          <w:p w14:paraId="7EFFE96C">
            <w:pPr>
              <w:widowControl/>
              <w:spacing w:line="240" w:lineRule="auto"/>
              <w:ind w:firstLine="0" w:firstLineChars="0"/>
              <w:jc w:val="center"/>
              <w:rPr>
                <w:rFonts w:cs="宋体"/>
                <w:color w:val="auto"/>
                <w:sz w:val="21"/>
                <w:szCs w:val="21"/>
              </w:rPr>
            </w:pPr>
          </w:p>
        </w:tc>
        <w:tc>
          <w:tcPr>
            <w:tcW w:w="564" w:type="pct"/>
            <w:gridSpan w:val="2"/>
            <w:shd w:val="clear" w:color="auto" w:fill="auto"/>
            <w:vAlign w:val="center"/>
          </w:tcPr>
          <w:p w14:paraId="6F96D236">
            <w:pPr>
              <w:pStyle w:val="45"/>
              <w:bidi w:val="0"/>
              <w:rPr>
                <w:rFonts w:hint="eastAsia"/>
                <w:color w:val="auto"/>
                <w:lang w:eastAsia="zh-CN"/>
              </w:rPr>
            </w:pPr>
            <w:r>
              <w:rPr>
                <w:rFonts w:hint="eastAsia"/>
                <w:color w:val="auto"/>
                <w:lang w:val="en-US" w:eastAsia="zh-CN"/>
              </w:rPr>
              <w:t>废机油</w:t>
            </w:r>
          </w:p>
        </w:tc>
        <w:tc>
          <w:tcPr>
            <w:tcW w:w="410" w:type="pct"/>
            <w:vMerge w:val="continue"/>
            <w:shd w:val="clear" w:color="auto" w:fill="auto"/>
            <w:vAlign w:val="center"/>
          </w:tcPr>
          <w:p w14:paraId="43D2A720">
            <w:pPr>
              <w:widowControl/>
              <w:spacing w:line="240" w:lineRule="auto"/>
              <w:ind w:firstLine="0" w:firstLineChars="0"/>
              <w:jc w:val="center"/>
              <w:rPr>
                <w:rFonts w:cs="宋体"/>
                <w:color w:val="auto"/>
                <w:sz w:val="21"/>
                <w:szCs w:val="21"/>
              </w:rPr>
            </w:pPr>
          </w:p>
        </w:tc>
        <w:tc>
          <w:tcPr>
            <w:tcW w:w="439" w:type="dxa"/>
            <w:shd w:val="clear" w:color="auto" w:fill="auto"/>
            <w:vAlign w:val="center"/>
          </w:tcPr>
          <w:p w14:paraId="30659D54">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683" w:type="pct"/>
            <w:gridSpan w:val="2"/>
            <w:shd w:val="clear" w:color="auto" w:fill="auto"/>
            <w:vAlign w:val="center"/>
          </w:tcPr>
          <w:p w14:paraId="5E3F6F5E">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387" w:type="pct"/>
            <w:shd w:val="clear" w:color="auto" w:fill="auto"/>
            <w:vAlign w:val="center"/>
          </w:tcPr>
          <w:p w14:paraId="090BDB11">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0.2t/a</w:t>
            </w:r>
          </w:p>
        </w:tc>
        <w:tc>
          <w:tcPr>
            <w:tcW w:w="639" w:type="pct"/>
            <w:gridSpan w:val="2"/>
            <w:shd w:val="clear" w:color="auto" w:fill="auto"/>
            <w:vAlign w:val="center"/>
          </w:tcPr>
          <w:p w14:paraId="2A585851">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0</w:t>
            </w:r>
          </w:p>
        </w:tc>
        <w:tc>
          <w:tcPr>
            <w:tcW w:w="346" w:type="pct"/>
            <w:shd w:val="clear" w:color="auto" w:fill="auto"/>
            <w:vAlign w:val="center"/>
          </w:tcPr>
          <w:p w14:paraId="43287189">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c>
          <w:tcPr>
            <w:tcW w:w="722" w:type="pct"/>
            <w:gridSpan w:val="2"/>
            <w:vMerge w:val="continue"/>
            <w:shd w:val="clear" w:color="auto" w:fill="auto"/>
            <w:vAlign w:val="center"/>
          </w:tcPr>
          <w:p w14:paraId="50C52AA1">
            <w:pPr>
              <w:widowControl/>
              <w:spacing w:line="240" w:lineRule="auto"/>
              <w:ind w:firstLine="0" w:firstLineChars="0"/>
              <w:jc w:val="center"/>
              <w:rPr>
                <w:rFonts w:cs="宋体"/>
                <w:color w:val="auto"/>
                <w:sz w:val="21"/>
                <w:szCs w:val="21"/>
              </w:rPr>
            </w:pPr>
          </w:p>
        </w:tc>
        <w:tc>
          <w:tcPr>
            <w:tcW w:w="1041" w:type="pct"/>
            <w:shd w:val="clear" w:color="auto" w:fill="auto"/>
            <w:vAlign w:val="center"/>
          </w:tcPr>
          <w:p w14:paraId="6E3D9D20">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r>
      <w:tr w14:paraId="27411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65" w:type="pct"/>
            <w:gridSpan w:val="3"/>
            <w:vMerge w:val="restart"/>
            <w:shd w:val="clear" w:color="auto" w:fill="auto"/>
            <w:vAlign w:val="center"/>
          </w:tcPr>
          <w:p w14:paraId="6B93238C">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环境风险、非正常排放</w:t>
            </w:r>
          </w:p>
        </w:tc>
        <w:tc>
          <w:tcPr>
            <w:tcW w:w="3292" w:type="pct"/>
            <w:gridSpan w:val="10"/>
            <w:shd w:val="clear" w:color="auto" w:fill="auto"/>
            <w:vAlign w:val="center"/>
          </w:tcPr>
          <w:p w14:paraId="78752C05">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各储罐按照“分区设围”原则，分别设置安全围堰，围堰可满足储罐泄漏时的收集暂存要求，围堰内导流沟与事故池联通</w:t>
            </w:r>
          </w:p>
        </w:tc>
        <w:tc>
          <w:tcPr>
            <w:tcW w:w="1041" w:type="pct"/>
            <w:shd w:val="clear" w:color="auto" w:fill="auto"/>
            <w:vAlign w:val="center"/>
          </w:tcPr>
          <w:p w14:paraId="511AAFE3">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r>
      <w:tr w14:paraId="55FE1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65" w:type="pct"/>
            <w:gridSpan w:val="3"/>
            <w:vMerge w:val="continue"/>
            <w:shd w:val="clear" w:color="auto" w:fill="auto"/>
            <w:vAlign w:val="center"/>
          </w:tcPr>
          <w:p w14:paraId="53AA7ED0">
            <w:pPr>
              <w:widowControl/>
              <w:spacing w:line="240" w:lineRule="auto"/>
              <w:ind w:firstLine="0" w:firstLineChars="0"/>
              <w:jc w:val="center"/>
              <w:rPr>
                <w:rFonts w:cs="宋体"/>
                <w:color w:val="auto"/>
                <w:sz w:val="21"/>
                <w:szCs w:val="21"/>
              </w:rPr>
            </w:pPr>
          </w:p>
        </w:tc>
        <w:tc>
          <w:tcPr>
            <w:tcW w:w="3292" w:type="pct"/>
            <w:gridSpan w:val="10"/>
            <w:shd w:val="clear" w:color="auto" w:fill="auto"/>
            <w:vAlign w:val="center"/>
          </w:tcPr>
          <w:p w14:paraId="61740CF2">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设置了初期雨水收集池2</w:t>
            </w:r>
            <w:r>
              <w:rPr>
                <w:rFonts w:cs="Times New Roman"/>
                <w:color w:val="auto"/>
                <w:kern w:val="0"/>
                <w:sz w:val="21"/>
                <w:szCs w:val="21"/>
              </w:rPr>
              <w:t>50m</w:t>
            </w:r>
            <w:r>
              <w:rPr>
                <w:rFonts w:cs="Times New Roman"/>
                <w:color w:val="auto"/>
                <w:kern w:val="0"/>
                <w:sz w:val="21"/>
                <w:szCs w:val="21"/>
                <w:vertAlign w:val="superscript"/>
              </w:rPr>
              <w:t>3</w:t>
            </w:r>
            <w:r>
              <w:rPr>
                <w:rFonts w:hint="eastAsia" w:cs="宋体"/>
                <w:color w:val="auto"/>
                <w:kern w:val="0"/>
                <w:sz w:val="21"/>
                <w:szCs w:val="21"/>
              </w:rPr>
              <w:t>、事故应急池55</w:t>
            </w:r>
            <w:r>
              <w:rPr>
                <w:rFonts w:cs="Times New Roman"/>
                <w:color w:val="auto"/>
                <w:kern w:val="0"/>
                <w:sz w:val="21"/>
                <w:szCs w:val="21"/>
              </w:rPr>
              <w:t>0m</w:t>
            </w:r>
            <w:r>
              <w:rPr>
                <w:rFonts w:cs="Times New Roman"/>
                <w:color w:val="auto"/>
                <w:kern w:val="0"/>
                <w:sz w:val="21"/>
                <w:szCs w:val="21"/>
                <w:vertAlign w:val="superscript"/>
              </w:rPr>
              <w:t>3</w:t>
            </w:r>
          </w:p>
        </w:tc>
        <w:tc>
          <w:tcPr>
            <w:tcW w:w="1041" w:type="pct"/>
            <w:shd w:val="clear" w:color="auto" w:fill="auto"/>
            <w:vAlign w:val="center"/>
          </w:tcPr>
          <w:p w14:paraId="79741A7B">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r>
      <w:tr w14:paraId="404EA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65" w:type="pct"/>
            <w:gridSpan w:val="3"/>
            <w:vMerge w:val="continue"/>
            <w:shd w:val="clear" w:color="auto" w:fill="auto"/>
            <w:vAlign w:val="center"/>
          </w:tcPr>
          <w:p w14:paraId="60A1547B">
            <w:pPr>
              <w:widowControl/>
              <w:spacing w:line="240" w:lineRule="auto"/>
              <w:ind w:firstLine="0" w:firstLineChars="0"/>
              <w:jc w:val="center"/>
              <w:rPr>
                <w:rFonts w:cs="宋体"/>
                <w:color w:val="auto"/>
                <w:sz w:val="21"/>
                <w:szCs w:val="21"/>
              </w:rPr>
            </w:pPr>
          </w:p>
        </w:tc>
        <w:tc>
          <w:tcPr>
            <w:tcW w:w="3292" w:type="pct"/>
            <w:gridSpan w:val="10"/>
            <w:shd w:val="clear" w:color="auto" w:fill="auto"/>
            <w:vAlign w:val="center"/>
          </w:tcPr>
          <w:p w14:paraId="2D9F4454">
            <w:pPr>
              <w:widowControl/>
              <w:spacing w:line="240" w:lineRule="auto"/>
              <w:ind w:firstLine="0" w:firstLineChars="0"/>
              <w:jc w:val="center"/>
              <w:textAlignment w:val="center"/>
              <w:rPr>
                <w:rFonts w:hint="eastAsia" w:eastAsia="宋体" w:cs="宋体"/>
                <w:color w:val="auto"/>
                <w:sz w:val="21"/>
                <w:szCs w:val="21"/>
                <w:lang w:eastAsia="zh-CN"/>
              </w:rPr>
            </w:pPr>
            <w:r>
              <w:rPr>
                <w:rFonts w:hint="eastAsia" w:cs="宋体"/>
                <w:color w:val="auto"/>
                <w:kern w:val="0"/>
                <w:sz w:val="21"/>
                <w:szCs w:val="21"/>
              </w:rPr>
              <w:t>废气处理设施发生故障时，立</w:t>
            </w:r>
            <w:r>
              <w:rPr>
                <w:rFonts w:hint="eastAsia" w:cs="宋体"/>
                <w:b w:val="0"/>
                <w:bCs w:val="0"/>
                <w:color w:val="auto"/>
                <w:kern w:val="0"/>
                <w:sz w:val="21"/>
                <w:szCs w:val="21"/>
                <w:u w:val="none"/>
              </w:rPr>
              <w:t>即停止排风</w:t>
            </w:r>
            <w:r>
              <w:rPr>
                <w:rFonts w:hint="eastAsia" w:cs="宋体"/>
                <w:b w:val="0"/>
                <w:bCs w:val="0"/>
                <w:color w:val="auto"/>
                <w:kern w:val="0"/>
                <w:sz w:val="21"/>
                <w:szCs w:val="21"/>
                <w:u w:val="none"/>
                <w:lang w:eastAsia="zh-CN"/>
              </w:rPr>
              <w:t>；</w:t>
            </w:r>
            <w:r>
              <w:rPr>
                <w:rFonts w:hint="eastAsia" w:ascii="Times New Roman" w:hAnsi="Times New Roman" w:cs="Times New Roman"/>
                <w:b w:val="0"/>
                <w:bCs w:val="0"/>
                <w:color w:val="auto"/>
                <w:sz w:val="21"/>
                <w:szCs w:val="21"/>
                <w:u w:val="none"/>
              </w:rPr>
              <w:t>设置有氯气</w:t>
            </w:r>
            <w:r>
              <w:rPr>
                <w:rFonts w:hint="eastAsia" w:ascii="Times New Roman" w:hAnsi="Times New Roman" w:cs="Times New Roman"/>
                <w:b w:val="0"/>
                <w:bCs w:val="0"/>
                <w:color w:val="auto"/>
                <w:sz w:val="21"/>
                <w:szCs w:val="21"/>
                <w:u w:val="none"/>
                <w:lang w:eastAsia="zh-CN"/>
              </w:rPr>
              <w:t>、</w:t>
            </w:r>
            <w:r>
              <w:rPr>
                <w:rFonts w:hint="eastAsia" w:ascii="Times New Roman" w:hAnsi="Times New Roman" w:cs="Times New Roman"/>
                <w:b w:val="0"/>
                <w:bCs w:val="0"/>
                <w:color w:val="auto"/>
                <w:sz w:val="21"/>
                <w:szCs w:val="21"/>
                <w:u w:val="none"/>
                <w:lang w:val="en-US" w:eastAsia="zh-CN"/>
              </w:rPr>
              <w:t>氯化氢、氢气</w:t>
            </w:r>
            <w:r>
              <w:rPr>
                <w:rFonts w:hint="eastAsia" w:ascii="Times New Roman" w:hAnsi="Times New Roman" w:cs="Times New Roman"/>
                <w:b w:val="0"/>
                <w:bCs w:val="0"/>
                <w:color w:val="auto"/>
                <w:sz w:val="21"/>
                <w:szCs w:val="21"/>
                <w:u w:val="none"/>
              </w:rPr>
              <w:t>报警装置</w:t>
            </w:r>
          </w:p>
        </w:tc>
        <w:tc>
          <w:tcPr>
            <w:tcW w:w="1041" w:type="pct"/>
            <w:shd w:val="clear" w:color="auto" w:fill="auto"/>
            <w:vAlign w:val="center"/>
          </w:tcPr>
          <w:p w14:paraId="521B6DF9">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r>
      <w:tr w14:paraId="48315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65" w:type="pct"/>
            <w:gridSpan w:val="3"/>
            <w:vMerge w:val="continue"/>
            <w:shd w:val="clear" w:color="auto" w:fill="auto"/>
            <w:vAlign w:val="center"/>
          </w:tcPr>
          <w:p w14:paraId="7197BC07">
            <w:pPr>
              <w:widowControl/>
              <w:spacing w:line="240" w:lineRule="auto"/>
              <w:ind w:firstLine="0" w:firstLineChars="0"/>
              <w:jc w:val="center"/>
              <w:rPr>
                <w:rFonts w:cs="宋体"/>
                <w:color w:val="auto"/>
                <w:sz w:val="21"/>
                <w:szCs w:val="21"/>
              </w:rPr>
            </w:pPr>
          </w:p>
        </w:tc>
        <w:tc>
          <w:tcPr>
            <w:tcW w:w="3292" w:type="pct"/>
            <w:gridSpan w:val="10"/>
            <w:shd w:val="clear" w:color="auto" w:fill="auto"/>
            <w:vAlign w:val="center"/>
          </w:tcPr>
          <w:p w14:paraId="44ACAF64">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环境风险应急预案、应急设施、物资，有效防范环境风险，对突发事件进行有效的应急处置</w:t>
            </w:r>
          </w:p>
        </w:tc>
        <w:tc>
          <w:tcPr>
            <w:tcW w:w="1041" w:type="pct"/>
            <w:shd w:val="clear" w:color="auto" w:fill="auto"/>
            <w:vAlign w:val="center"/>
          </w:tcPr>
          <w:p w14:paraId="0CE7EE14">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r>
      <w:tr w14:paraId="22748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665" w:type="pct"/>
            <w:gridSpan w:val="3"/>
            <w:shd w:val="clear" w:color="auto" w:fill="auto"/>
            <w:vAlign w:val="center"/>
          </w:tcPr>
          <w:p w14:paraId="6EE0F069">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地下水、土壤</w:t>
            </w:r>
          </w:p>
        </w:tc>
        <w:tc>
          <w:tcPr>
            <w:tcW w:w="3292" w:type="pct"/>
            <w:gridSpan w:val="10"/>
            <w:shd w:val="clear" w:color="auto" w:fill="auto"/>
            <w:vAlign w:val="center"/>
          </w:tcPr>
          <w:p w14:paraId="38F56B79">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废物暂存场、车间及其他区域进行地面防渗处理，防渗系数满足相应标准要求，厂区上游、厂区内、厂区下游各设置1个地下水监测井（共三个井）</w:t>
            </w:r>
          </w:p>
        </w:tc>
        <w:tc>
          <w:tcPr>
            <w:tcW w:w="1041" w:type="pct"/>
            <w:shd w:val="clear" w:color="auto" w:fill="auto"/>
            <w:vAlign w:val="center"/>
          </w:tcPr>
          <w:p w14:paraId="26C1451C">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r>
      <w:tr w14:paraId="7C4F8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65" w:type="pct"/>
            <w:gridSpan w:val="3"/>
            <w:shd w:val="clear" w:color="auto" w:fill="auto"/>
            <w:vAlign w:val="center"/>
          </w:tcPr>
          <w:p w14:paraId="33FBB2C3">
            <w:pPr>
              <w:widowControl/>
              <w:spacing w:line="240" w:lineRule="auto"/>
              <w:ind w:firstLine="0" w:firstLineChars="0"/>
              <w:jc w:val="center"/>
              <w:textAlignment w:val="center"/>
              <w:rPr>
                <w:rFonts w:cs="宋体"/>
                <w:color w:val="auto"/>
                <w:sz w:val="21"/>
                <w:szCs w:val="21"/>
              </w:rPr>
            </w:pPr>
            <w:r>
              <w:rPr>
                <w:rFonts w:hint="eastAsia" w:cs="宋体"/>
                <w:color w:val="auto"/>
                <w:kern w:val="0"/>
                <w:sz w:val="21"/>
                <w:szCs w:val="21"/>
              </w:rPr>
              <w:t>环境管理</w:t>
            </w:r>
          </w:p>
        </w:tc>
        <w:tc>
          <w:tcPr>
            <w:tcW w:w="3292" w:type="pct"/>
            <w:gridSpan w:val="10"/>
            <w:shd w:val="clear" w:color="auto" w:fill="auto"/>
            <w:vAlign w:val="center"/>
          </w:tcPr>
          <w:p w14:paraId="6C2FA6CF">
            <w:pPr>
              <w:widowControl/>
              <w:spacing w:line="240" w:lineRule="auto"/>
              <w:ind w:firstLine="0" w:firstLineChars="0"/>
              <w:jc w:val="center"/>
              <w:textAlignment w:val="center"/>
              <w:rPr>
                <w:rFonts w:hint="eastAsia" w:eastAsia="宋体" w:cs="宋体"/>
                <w:color w:val="auto"/>
                <w:sz w:val="21"/>
                <w:szCs w:val="21"/>
                <w:lang w:eastAsia="zh-CN"/>
              </w:rPr>
            </w:pPr>
            <w:r>
              <w:rPr>
                <w:rFonts w:hint="eastAsia" w:cs="宋体"/>
                <w:color w:val="auto"/>
                <w:kern w:val="0"/>
                <w:sz w:val="21"/>
                <w:szCs w:val="21"/>
                <w:lang w:eastAsia="zh-CN"/>
              </w:rPr>
              <w:t>（</w:t>
            </w:r>
            <w:r>
              <w:rPr>
                <w:rFonts w:hint="eastAsia" w:cs="宋体"/>
                <w:color w:val="auto"/>
                <w:kern w:val="0"/>
                <w:sz w:val="21"/>
                <w:szCs w:val="21"/>
                <w:lang w:val="en-US" w:eastAsia="zh-CN"/>
              </w:rPr>
              <w:t>1</w:t>
            </w:r>
            <w:r>
              <w:rPr>
                <w:rFonts w:hint="eastAsia" w:cs="宋体"/>
                <w:color w:val="auto"/>
                <w:kern w:val="0"/>
                <w:sz w:val="21"/>
                <w:szCs w:val="21"/>
                <w:lang w:eastAsia="zh-CN"/>
              </w:rPr>
              <w:t>）</w:t>
            </w:r>
            <w:r>
              <w:rPr>
                <w:rFonts w:hint="eastAsia" w:cs="宋体"/>
                <w:color w:val="auto"/>
                <w:kern w:val="0"/>
                <w:sz w:val="21"/>
                <w:szCs w:val="21"/>
              </w:rPr>
              <w:t>生产车间必须设置更衣室、换鞋处，操作工人进出必须更换衣物和鞋子；同时外部人员进出要求使用一次性鞋套，设置专门的一次性废鞋套暂存桶，定期收集后，用废水站处理后的水清洗干净后作为固废处理。（2）车间工人的衣物清洗需在厂区设置专门的清洗场所，清洗后的废水进入废水站处理后回用于生产。（3）成品包装必须用有内衬的包装袋包装。（4）后期雨水设置排放池，需监测合格后方可排放。</w:t>
            </w:r>
            <w:r>
              <w:rPr>
                <w:rFonts w:hint="eastAsia" w:cs="宋体"/>
                <w:color w:val="auto"/>
                <w:kern w:val="0"/>
                <w:sz w:val="21"/>
                <w:szCs w:val="21"/>
                <w:lang w:eastAsia="zh-CN"/>
              </w:rPr>
              <w:t>（</w:t>
            </w:r>
            <w:r>
              <w:rPr>
                <w:rFonts w:hint="eastAsia" w:cs="宋体"/>
                <w:color w:val="auto"/>
                <w:kern w:val="0"/>
                <w:sz w:val="21"/>
                <w:szCs w:val="21"/>
                <w:lang w:val="en-US" w:eastAsia="zh-CN"/>
              </w:rPr>
              <w:t>5</w:t>
            </w:r>
            <w:r>
              <w:rPr>
                <w:rFonts w:hint="eastAsia" w:cs="宋体"/>
                <w:color w:val="auto"/>
                <w:kern w:val="0"/>
                <w:sz w:val="21"/>
                <w:szCs w:val="21"/>
                <w:lang w:eastAsia="zh-CN"/>
              </w:rPr>
              <w:t>）产品从仓库装车后，出厂前要进行车轮清洗。（</w:t>
            </w:r>
            <w:r>
              <w:rPr>
                <w:rFonts w:hint="eastAsia" w:cs="宋体"/>
                <w:color w:val="auto"/>
                <w:kern w:val="0"/>
                <w:sz w:val="21"/>
                <w:szCs w:val="21"/>
                <w:lang w:val="en-US" w:eastAsia="zh-CN"/>
              </w:rPr>
              <w:t>6</w:t>
            </w:r>
            <w:r>
              <w:rPr>
                <w:rFonts w:hint="eastAsia" w:cs="宋体"/>
                <w:color w:val="auto"/>
                <w:kern w:val="0"/>
                <w:sz w:val="21"/>
                <w:szCs w:val="21"/>
                <w:lang w:eastAsia="zh-CN"/>
              </w:rPr>
              <w:t>）</w:t>
            </w:r>
            <w:r>
              <w:rPr>
                <w:rFonts w:hint="eastAsia" w:cs="宋体"/>
                <w:color w:val="auto"/>
                <w:kern w:val="0"/>
                <w:sz w:val="21"/>
                <w:szCs w:val="21"/>
              </w:rPr>
              <w:t>开展日常管理，加强设备巡检，及时维修，配备环境例行监测设备执行营运期环境监测</w:t>
            </w:r>
            <w:r>
              <w:rPr>
                <w:rFonts w:hint="eastAsia" w:cs="宋体"/>
                <w:color w:val="auto"/>
                <w:kern w:val="0"/>
                <w:sz w:val="21"/>
                <w:szCs w:val="21"/>
                <w:lang w:eastAsia="zh-CN"/>
              </w:rPr>
              <w:t>。（</w:t>
            </w:r>
            <w:r>
              <w:rPr>
                <w:rFonts w:hint="eastAsia" w:cs="宋体"/>
                <w:color w:val="auto"/>
                <w:kern w:val="0"/>
                <w:sz w:val="21"/>
                <w:szCs w:val="21"/>
                <w:lang w:val="en-US" w:eastAsia="zh-CN"/>
              </w:rPr>
              <w:t>7</w:t>
            </w:r>
            <w:r>
              <w:rPr>
                <w:rFonts w:hint="eastAsia" w:cs="宋体"/>
                <w:color w:val="auto"/>
                <w:kern w:val="0"/>
                <w:sz w:val="21"/>
                <w:szCs w:val="21"/>
                <w:lang w:eastAsia="zh-CN"/>
              </w:rPr>
              <w:t>）</w:t>
            </w:r>
            <w:r>
              <w:rPr>
                <w:rFonts w:hint="eastAsia" w:cs="宋体"/>
                <w:color w:val="auto"/>
                <w:kern w:val="0"/>
                <w:sz w:val="21"/>
                <w:szCs w:val="21"/>
                <w:lang w:val="en-US" w:eastAsia="zh-CN"/>
              </w:rPr>
              <w:t>建立健全</w:t>
            </w:r>
            <w:r>
              <w:rPr>
                <w:rFonts w:hint="eastAsia" w:cs="宋体"/>
                <w:color w:val="auto"/>
                <w:kern w:val="0"/>
                <w:sz w:val="21"/>
                <w:szCs w:val="21"/>
              </w:rPr>
              <w:t>环境管理体系、制度、文件、机构设置、人员配置</w:t>
            </w:r>
            <w:r>
              <w:rPr>
                <w:rFonts w:hint="eastAsia" w:cs="宋体"/>
                <w:color w:val="auto"/>
                <w:kern w:val="0"/>
                <w:sz w:val="21"/>
                <w:szCs w:val="21"/>
                <w:lang w:val="en-US" w:eastAsia="zh-CN"/>
              </w:rPr>
              <w:t>等。</w:t>
            </w:r>
          </w:p>
        </w:tc>
        <w:tc>
          <w:tcPr>
            <w:tcW w:w="1041" w:type="pct"/>
            <w:shd w:val="clear" w:color="auto" w:fill="auto"/>
            <w:vAlign w:val="center"/>
          </w:tcPr>
          <w:p w14:paraId="1964BE5B">
            <w:pPr>
              <w:widowControl/>
              <w:spacing w:line="240" w:lineRule="auto"/>
              <w:ind w:firstLine="0" w:firstLineChars="0"/>
              <w:jc w:val="center"/>
              <w:textAlignment w:val="center"/>
              <w:rPr>
                <w:rFonts w:cs="Times New Roman"/>
                <w:color w:val="auto"/>
                <w:sz w:val="21"/>
                <w:szCs w:val="21"/>
              </w:rPr>
            </w:pPr>
            <w:r>
              <w:rPr>
                <w:rFonts w:cs="Times New Roman"/>
                <w:color w:val="auto"/>
                <w:kern w:val="0"/>
                <w:sz w:val="21"/>
                <w:szCs w:val="21"/>
              </w:rPr>
              <w:t>/</w:t>
            </w:r>
          </w:p>
        </w:tc>
      </w:tr>
    </w:tbl>
    <w:p w14:paraId="47660F87">
      <w:pPr>
        <w:ind w:firstLine="0" w:firstLineChars="0"/>
        <w:sectPr>
          <w:pgSz w:w="23811" w:h="16838"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730F2416">
      <w:pPr>
        <w:pStyle w:val="3"/>
        <w:numPr>
          <w:ilvl w:val="1"/>
          <w:numId w:val="1"/>
        </w:numPr>
      </w:pPr>
      <w:bookmarkStart w:id="391" w:name="_Toc31330"/>
      <w:bookmarkStart w:id="392" w:name="_Toc2427"/>
      <w:bookmarkStart w:id="393" w:name="_Toc14418"/>
      <w:r>
        <w:rPr>
          <w:rFonts w:hint="eastAsia"/>
        </w:rPr>
        <w:t>小结</w:t>
      </w:r>
      <w:bookmarkEnd w:id="391"/>
      <w:bookmarkEnd w:id="392"/>
      <w:bookmarkEnd w:id="393"/>
    </w:p>
    <w:p w14:paraId="582EA7C8">
      <w:pPr>
        <w:ind w:firstLine="480"/>
      </w:pPr>
      <w:r>
        <w:t>根据国家及省市生态环境主管部门的有关文件精神，建设单位应建立企业内部的环境管理部门，制定相关管理制度，包括教育制度、日常管理制度、排污口监测制度等；加强环境管理，落实各项管理制度，确保各项环保措施运行状况良好；实施排污口规范化建设，制定环境监测计划。</w:t>
      </w:r>
    </w:p>
    <w:p w14:paraId="3FE00211">
      <w:pPr>
        <w:ind w:firstLine="480"/>
      </w:pPr>
      <w:r>
        <w:t>落实环境保护行动计划，将环境保护措施分解落实到具体机构（人）；做好环境教育和宣传工作，提高各级管理人员和具体施工人员的环境保护意识，加强员工对环境污染防治的责任心，自觉遵守和执行各项环境保护的规章制度；加强与环境保护管理部门的沟通和联系，主动接受环境主管部门的管理、监督和指导。</w:t>
      </w:r>
    </w:p>
    <w:p w14:paraId="0AE52A9A">
      <w:pPr>
        <w:ind w:firstLine="480"/>
      </w:pPr>
    </w:p>
    <w:p w14:paraId="614BAE11">
      <w:pPr>
        <w:pStyle w:val="2"/>
        <w:numPr>
          <w:ilvl w:val="0"/>
          <w:numId w:val="1"/>
        </w:numPr>
        <w:spacing w:before="312" w:after="624"/>
      </w:pPr>
      <w:bookmarkStart w:id="394" w:name="_Toc1490"/>
      <w:bookmarkStart w:id="395" w:name="_Toc21975"/>
      <w:bookmarkStart w:id="396" w:name="_Toc30393"/>
      <w:r>
        <w:rPr>
          <w:rFonts w:hint="eastAsia"/>
        </w:rPr>
        <w:t>结  论</w:t>
      </w:r>
      <w:bookmarkEnd w:id="394"/>
      <w:bookmarkEnd w:id="395"/>
      <w:bookmarkEnd w:id="396"/>
    </w:p>
    <w:p w14:paraId="694EE16C">
      <w:pPr>
        <w:pStyle w:val="3"/>
        <w:numPr>
          <w:ilvl w:val="1"/>
          <w:numId w:val="1"/>
        </w:numPr>
      </w:pPr>
      <w:bookmarkStart w:id="397" w:name="_Toc19114"/>
      <w:bookmarkStart w:id="398" w:name="_Toc18988"/>
      <w:bookmarkStart w:id="399" w:name="_Toc8780"/>
      <w:r>
        <w:rPr>
          <w:rFonts w:hint="eastAsia"/>
        </w:rPr>
        <w:t>建设项目概况及污染源分析结论</w:t>
      </w:r>
      <w:bookmarkEnd w:id="397"/>
      <w:bookmarkEnd w:id="398"/>
      <w:bookmarkEnd w:id="399"/>
    </w:p>
    <w:p w14:paraId="2EDE82AF">
      <w:pPr>
        <w:pStyle w:val="6"/>
        <w:bidi w:val="0"/>
      </w:pPr>
      <w:r>
        <w:rPr>
          <w:rFonts w:hint="eastAsia"/>
        </w:rPr>
        <w:t>工程基本概况</w:t>
      </w:r>
    </w:p>
    <w:p w14:paraId="6D4600D7">
      <w:pPr>
        <w:ind w:firstLine="480"/>
      </w:pPr>
      <w:r>
        <w:rPr>
          <w:rFonts w:hint="eastAsia"/>
        </w:rPr>
        <w:t>湖南鑫钰兴科技有限公司成立于2023年6月，主要从事非食用盐加工；化工产品销售等业务。本项目位于</w:t>
      </w:r>
      <w:r>
        <w:t>衡阳市松木经济开发区</w:t>
      </w:r>
      <w:r>
        <w:rPr>
          <w:rFonts w:hint="eastAsia"/>
        </w:rPr>
        <w:t>金山水泥</w:t>
      </w:r>
      <w:r>
        <w:t>公司</w:t>
      </w:r>
      <w:r>
        <w:rPr>
          <w:rFonts w:hint="eastAsia"/>
        </w:rPr>
        <w:t>南侧，</w:t>
      </w:r>
      <w:r>
        <w:t>新安路和松枫路交汇的地块</w:t>
      </w:r>
      <w:r>
        <w:rPr>
          <w:rFonts w:hint="eastAsia"/>
        </w:rPr>
        <w:t>（厂区中心坐标：东经112.6360045°，北纬26.9696386°）。</w:t>
      </w:r>
    </w:p>
    <w:p w14:paraId="62990C55">
      <w:pPr>
        <w:ind w:firstLine="480"/>
      </w:pPr>
      <w:r>
        <w:rPr>
          <w:rFonts w:hint="eastAsia"/>
        </w:rPr>
        <w:t>本项目厂区用总地面积</w:t>
      </w:r>
      <w:r>
        <w:rPr>
          <w:rFonts w:hint="eastAsia"/>
          <w:lang w:eastAsia="zh-CN"/>
        </w:rPr>
        <w:t>29059.57</w:t>
      </w:r>
      <w:r>
        <w:rPr>
          <w:rFonts w:hint="eastAsia"/>
        </w:rPr>
        <w:t>m</w:t>
      </w:r>
      <w:r>
        <w:rPr>
          <w:rFonts w:hint="eastAsia"/>
          <w:vertAlign w:val="superscript"/>
        </w:rPr>
        <w:t>2</w:t>
      </w:r>
      <w:r>
        <w:rPr>
          <w:rFonts w:hint="eastAsia"/>
        </w:rPr>
        <w:t>，主要建、构筑占地面积为</w:t>
      </w:r>
      <w:r>
        <w:rPr>
          <w:rFonts w:hint="eastAsia"/>
          <w:lang w:eastAsia="zh-CN"/>
        </w:rPr>
        <w:t>11934.38</w:t>
      </w:r>
      <w:r>
        <w:rPr>
          <w:rFonts w:hint="eastAsia"/>
        </w:rPr>
        <w:t>m</w:t>
      </w:r>
      <w:r>
        <w:rPr>
          <w:rFonts w:hint="eastAsia"/>
          <w:vertAlign w:val="superscript"/>
        </w:rPr>
        <w:t>2</w:t>
      </w:r>
      <w:r>
        <w:rPr>
          <w:rFonts w:hint="eastAsia"/>
        </w:rPr>
        <w:t>，总建筑面积</w:t>
      </w:r>
      <w:r>
        <w:rPr>
          <w:rFonts w:hint="eastAsia"/>
          <w:lang w:eastAsia="zh-CN"/>
        </w:rPr>
        <w:t>11155</w:t>
      </w:r>
      <w:r>
        <w:rPr>
          <w:rFonts w:hint="eastAsia"/>
        </w:rPr>
        <w:t>m</w:t>
      </w:r>
      <w:r>
        <w:rPr>
          <w:rFonts w:hint="eastAsia"/>
          <w:vertAlign w:val="superscript"/>
        </w:rPr>
        <w:t>2</w:t>
      </w:r>
      <w:r>
        <w:rPr>
          <w:rFonts w:hint="eastAsia"/>
        </w:rPr>
        <w:t>。建设内容包括生产车间、仓库、配套的辅助用房及公用工程系统、消防系统等。</w:t>
      </w:r>
      <w:r>
        <w:rPr>
          <w:rFonts w:hint="eastAsia"/>
          <w:b/>
          <w:bCs/>
          <w:lang w:val="en-US" w:eastAsia="zh-CN"/>
        </w:rPr>
        <w:t>本项目一次电解装置设计生产规模为2万吨/年氯酸钠，二次电解装置设计生产规模为2万吨/年高氯酸钠，复分解生产装置设计生产规模为2万吨/年氯酸钾或2万吨/年高氯酸钾，锂盐生产装置设计生产规模为600吨/年高氯酸锂；氢气回收系统设计回收规模1500</w:t>
      </w:r>
      <w:r>
        <w:rPr>
          <w:rFonts w:hint="eastAsia" w:cs="Times New Roman"/>
          <w:b/>
          <w:bCs/>
          <w:sz w:val="21"/>
          <w:szCs w:val="21"/>
          <w:highlight w:val="none"/>
          <w:lang w:val="en-US" w:eastAsia="zh-CN"/>
        </w:rPr>
        <w:t>Nm</w:t>
      </w:r>
      <w:r>
        <w:rPr>
          <w:rFonts w:hint="eastAsia" w:cs="Times New Roman"/>
          <w:b/>
          <w:bCs/>
          <w:sz w:val="21"/>
          <w:szCs w:val="21"/>
          <w:highlight w:val="none"/>
          <w:vertAlign w:val="superscript"/>
          <w:lang w:val="en-US" w:eastAsia="zh-CN"/>
        </w:rPr>
        <w:t>3</w:t>
      </w:r>
      <w:r>
        <w:rPr>
          <w:rFonts w:hint="eastAsia" w:cs="Times New Roman"/>
          <w:b/>
          <w:bCs/>
          <w:sz w:val="21"/>
          <w:szCs w:val="21"/>
          <w:highlight w:val="none"/>
          <w:lang w:val="en-US" w:eastAsia="zh-CN"/>
        </w:rPr>
        <w:t>/h</w:t>
      </w:r>
      <w:r>
        <w:rPr>
          <w:rFonts w:hint="eastAsia"/>
          <w:b/>
          <w:bCs/>
          <w:lang w:val="en-US" w:eastAsia="zh-CN"/>
        </w:rPr>
        <w:t>。</w:t>
      </w:r>
    </w:p>
    <w:p w14:paraId="539D3726">
      <w:pPr>
        <w:pStyle w:val="6"/>
        <w:bidi w:val="0"/>
      </w:pPr>
      <w:r>
        <w:rPr>
          <w:rFonts w:hint="eastAsia"/>
        </w:rPr>
        <w:t>污染源分析及拟采取的环保措施</w:t>
      </w:r>
    </w:p>
    <w:p w14:paraId="171DE9D9">
      <w:pPr>
        <w:numPr>
          <w:ilvl w:val="0"/>
          <w:numId w:val="19"/>
        </w:numPr>
        <w:ind w:firstLine="480"/>
      </w:pPr>
      <w:r>
        <w:rPr>
          <w:rFonts w:hint="eastAsia"/>
        </w:rPr>
        <w:t>废水</w:t>
      </w:r>
    </w:p>
    <w:p w14:paraId="7A4DE77F">
      <w:pPr>
        <w:ind w:firstLine="480"/>
        <w:rPr>
          <w:rFonts w:hint="eastAsia"/>
        </w:rPr>
      </w:pPr>
      <w:r>
        <w:rPr>
          <w:rFonts w:hint="eastAsia"/>
        </w:rPr>
        <w:t>本项目主要废水有碱喷淋废水、真空冷凝水、电解槽清洗废水、膜酸洗废水、</w:t>
      </w:r>
      <w:r>
        <w:rPr>
          <w:rFonts w:hint="eastAsia"/>
          <w:lang w:val="en-US" w:eastAsia="zh-CN"/>
        </w:rPr>
        <w:t>离子树脂清洗废水、</w:t>
      </w:r>
      <w:r>
        <w:rPr>
          <w:rFonts w:hint="eastAsia"/>
        </w:rPr>
        <w:t>纯水制备排水、循环冷却排水、</w:t>
      </w:r>
      <w:r>
        <w:rPr>
          <w:rFonts w:hint="eastAsia"/>
          <w:lang w:eastAsia="zh-CN"/>
        </w:rPr>
        <w:t>地面清洗废水、洗车废水、员工清洁废水</w:t>
      </w:r>
      <w:r>
        <w:rPr>
          <w:rFonts w:hint="eastAsia"/>
        </w:rPr>
        <w:t>、化验室废水、初期雨水、生活污水等。正常生产期间，碱喷淋废水、真空冷凝水、电解槽清洗废水、膜酸洗废水</w:t>
      </w:r>
      <w:r>
        <w:rPr>
          <w:rFonts w:hint="eastAsia"/>
          <w:lang w:eastAsia="zh-CN"/>
        </w:rPr>
        <w:t>、</w:t>
      </w:r>
      <w:r>
        <w:rPr>
          <w:rFonts w:hint="eastAsia"/>
          <w:lang w:val="en-US" w:eastAsia="zh-CN"/>
        </w:rPr>
        <w:t>离子树脂清洗废水</w:t>
      </w:r>
      <w:r>
        <w:rPr>
          <w:rFonts w:hint="eastAsia"/>
        </w:rPr>
        <w:t>等生产废水直接回用于生产，不外排；纯水制备排水、循环冷却排水、</w:t>
      </w:r>
      <w:r>
        <w:rPr>
          <w:rFonts w:hint="eastAsia"/>
          <w:lang w:eastAsia="zh-CN"/>
        </w:rPr>
        <w:t>地面清洗废水、洗车废水、员工清洁废水</w:t>
      </w:r>
      <w:r>
        <w:rPr>
          <w:rFonts w:hint="eastAsia"/>
          <w:lang w:val="en-US" w:eastAsia="zh-CN"/>
        </w:rPr>
        <w:t>、</w:t>
      </w:r>
      <w:r>
        <w:rPr>
          <w:rFonts w:hint="eastAsia"/>
        </w:rPr>
        <w:t>化验室废水、初期雨水等其他废水进入厂内废水经混凝沉淀+砂滤处理后回用于生产，不外排。非生产期间，初期雨水经</w:t>
      </w:r>
      <w:r>
        <w:rPr>
          <w:rFonts w:hint="eastAsia"/>
          <w:lang w:eastAsia="zh-CN"/>
        </w:rPr>
        <w:t>混凝沉淀+砂滤+树脂离子交换</w:t>
      </w:r>
      <w:r>
        <w:rPr>
          <w:rFonts w:hint="eastAsia"/>
        </w:rPr>
        <w:t>处理后达标排入松木污水处理厂进一步处理。生活污水经厂内化粪池预处理达标后通过园区污水管网排入松木污水处理厂进一步处理。</w:t>
      </w:r>
    </w:p>
    <w:p w14:paraId="31087D33">
      <w:pPr>
        <w:numPr>
          <w:ilvl w:val="0"/>
          <w:numId w:val="19"/>
        </w:numPr>
        <w:ind w:firstLine="480"/>
      </w:pPr>
      <w:r>
        <w:rPr>
          <w:rFonts w:hint="eastAsia"/>
        </w:rPr>
        <w:t>废气</w:t>
      </w:r>
    </w:p>
    <w:p w14:paraId="76B9E442">
      <w:pPr>
        <w:ind w:firstLine="480"/>
        <w:rPr>
          <w:highlight w:val="none"/>
        </w:rPr>
      </w:pPr>
      <w:r>
        <w:rPr>
          <w:rFonts w:hint="eastAsia"/>
          <w:highlight w:val="none"/>
        </w:rPr>
        <w:t>本项目正常情况下废气污染源可分为有组织排放废气和无组织排放废气。</w:t>
      </w:r>
      <w:r>
        <w:rPr>
          <w:rFonts w:hint="eastAsia"/>
          <w:highlight w:val="none"/>
          <w:lang w:val="en-US" w:eastAsia="zh-CN"/>
        </w:rPr>
        <w:t>不考虑氢气回收情况下，项目</w:t>
      </w:r>
      <w:r>
        <w:rPr>
          <w:rFonts w:hint="eastAsia"/>
          <w:highlight w:val="none"/>
        </w:rPr>
        <w:t>有组织废气包括：一次电解装置产生的一次电解尾气、除次钠尾气，二次电解装置产生的二次电解尾气，复分解生产装置产生的高钾或氯酸钾干燥包装废气，锂盐生产装置产生的</w:t>
      </w:r>
      <w:r>
        <w:rPr>
          <w:rFonts w:hint="eastAsia"/>
          <w:highlight w:val="none"/>
          <w:lang w:val="en-US" w:eastAsia="zh-CN"/>
        </w:rPr>
        <w:t>锂盐中和尾气</w:t>
      </w:r>
      <w:r>
        <w:rPr>
          <w:rFonts w:hint="eastAsia"/>
          <w:highlight w:val="none"/>
        </w:rPr>
        <w:t>；无组织废气包括：电解车间氯气及氯化氢逸散废气、盐酸储罐大小呼吸、干燥包装区无组织粉尘、投料无组织粉尘等。废气主要处理措施：（1）一次电解尾气：采取“</w:t>
      </w:r>
      <w:r>
        <w:rPr>
          <w:rFonts w:hint="eastAsia"/>
          <w:highlight w:val="none"/>
          <w:lang w:val="en-US" w:eastAsia="zh-CN"/>
        </w:rPr>
        <w:t>盐水洗涤+碱洗</w:t>
      </w:r>
      <w:r>
        <w:rPr>
          <w:rFonts w:hint="eastAsia"/>
          <w:highlight w:val="none"/>
        </w:rPr>
        <w:t>+</w:t>
      </w:r>
      <w:r>
        <w:rPr>
          <w:rFonts w:hint="eastAsia"/>
          <w:highlight w:val="none"/>
          <w:lang w:val="en-US" w:eastAsia="zh-CN"/>
        </w:rPr>
        <w:t>水</w:t>
      </w:r>
      <w:r>
        <w:rPr>
          <w:rFonts w:hint="eastAsia"/>
          <w:highlight w:val="none"/>
        </w:rPr>
        <w:t>洗”处理后经25m高排气筒达标排放；（2）除次钠尾气、二次电解尾气：</w:t>
      </w:r>
      <w:r>
        <w:rPr>
          <w:rFonts w:hint="eastAsia"/>
          <w:highlight w:val="none"/>
          <w:lang w:val="en-US" w:eastAsia="zh-CN"/>
        </w:rPr>
        <w:t>采取</w:t>
      </w:r>
      <w:r>
        <w:rPr>
          <w:rFonts w:hint="eastAsia"/>
          <w:highlight w:val="none"/>
        </w:rPr>
        <w:t>“一级碱洗”处理后经25m高排气筒达标排放；（3）</w:t>
      </w:r>
      <w:r>
        <w:rPr>
          <w:rFonts w:hint="eastAsia"/>
          <w:highlight w:val="none"/>
          <w:lang w:val="en-US" w:eastAsia="zh-CN"/>
        </w:rPr>
        <w:t>复分解</w:t>
      </w:r>
      <w:r>
        <w:rPr>
          <w:rFonts w:hint="eastAsia"/>
          <w:highlight w:val="none"/>
        </w:rPr>
        <w:t>干燥粉尘：采取“二次布袋除尘”处理后经15m高排气筒达标排放</w:t>
      </w:r>
      <w:r>
        <w:rPr>
          <w:rFonts w:hint="eastAsia"/>
          <w:highlight w:val="none"/>
          <w:lang w:eastAsia="zh-CN"/>
        </w:rPr>
        <w:t>；（</w:t>
      </w:r>
      <w:r>
        <w:rPr>
          <w:rFonts w:hint="eastAsia"/>
          <w:highlight w:val="none"/>
          <w:lang w:val="en-US" w:eastAsia="zh-CN"/>
        </w:rPr>
        <w:t>4</w:t>
      </w:r>
      <w:r>
        <w:rPr>
          <w:rFonts w:hint="eastAsia"/>
          <w:highlight w:val="none"/>
          <w:lang w:eastAsia="zh-CN"/>
        </w:rPr>
        <w:t>）</w:t>
      </w:r>
      <w:r>
        <w:rPr>
          <w:rFonts w:hint="eastAsia"/>
          <w:highlight w:val="none"/>
          <w:lang w:val="en-US" w:eastAsia="zh-CN"/>
        </w:rPr>
        <w:t>锂盐中和尾气：采取</w:t>
      </w:r>
      <w:r>
        <w:rPr>
          <w:rFonts w:hint="eastAsia"/>
          <w:highlight w:val="none"/>
        </w:rPr>
        <w:t>“一级碱洗”处理后经</w:t>
      </w:r>
      <w:r>
        <w:rPr>
          <w:rFonts w:hint="eastAsia"/>
          <w:highlight w:val="none"/>
          <w:lang w:val="en-US" w:eastAsia="zh-CN"/>
        </w:rPr>
        <w:t>1</w:t>
      </w:r>
      <w:r>
        <w:rPr>
          <w:rFonts w:hint="eastAsia"/>
          <w:highlight w:val="none"/>
        </w:rPr>
        <w:t>5m高排气筒达标排放。经处理后，项目各类废气均满足相应排放标准后排放。</w:t>
      </w:r>
    </w:p>
    <w:p w14:paraId="383CCD8A">
      <w:pPr>
        <w:numPr>
          <w:ilvl w:val="0"/>
          <w:numId w:val="19"/>
        </w:numPr>
        <w:ind w:firstLine="480"/>
      </w:pPr>
      <w:r>
        <w:rPr>
          <w:rFonts w:hint="eastAsia"/>
        </w:rPr>
        <w:t>噪声</w:t>
      </w:r>
    </w:p>
    <w:p w14:paraId="7D56ADA3">
      <w:pPr>
        <w:ind w:firstLine="480"/>
      </w:pPr>
      <w:r>
        <w:t>本项目噪声主要是风机、各类机泵等生产设备噪声，建成后采取减振、隔声等措施后，厂界噪声排放符合《工业企业厂界环境噪声排放标准》（GB12348-2008）3类（西、北厂界）、4类</w:t>
      </w:r>
      <w:r>
        <w:rPr>
          <w:rFonts w:hint="eastAsia"/>
        </w:rPr>
        <w:t>（东、南厂界）</w:t>
      </w:r>
      <w:r>
        <w:t>标准要求。</w:t>
      </w:r>
    </w:p>
    <w:p w14:paraId="6A398BFE">
      <w:pPr>
        <w:numPr>
          <w:ilvl w:val="0"/>
          <w:numId w:val="19"/>
        </w:numPr>
        <w:ind w:firstLine="480"/>
      </w:pPr>
      <w:r>
        <w:rPr>
          <w:rFonts w:hint="eastAsia"/>
        </w:rPr>
        <w:t>固体废物</w:t>
      </w:r>
    </w:p>
    <w:p w14:paraId="182C15A1">
      <w:pPr>
        <w:ind w:firstLine="480"/>
      </w:pPr>
      <w:r>
        <w:t>根据项目的生产工艺和产污环节，</w:t>
      </w:r>
      <w:r>
        <w:rPr>
          <w:rFonts w:hint="eastAsia"/>
        </w:rPr>
        <w:t>危险废物主要包括：</w:t>
      </w:r>
      <w:r>
        <w:rPr>
          <w:rFonts w:hint="eastAsia"/>
          <w:lang w:eastAsia="zh-CN"/>
        </w:rPr>
        <w:t>除铬滤渣</w:t>
      </w:r>
      <w:r>
        <w:rPr>
          <w:rFonts w:hint="eastAsia"/>
        </w:rPr>
        <w:t>、电解槽沉渣、危化品废包装、机修废物、化验室废物</w:t>
      </w:r>
      <w:r>
        <w:rPr>
          <w:rFonts w:hint="eastAsia"/>
          <w:lang w:eastAsia="zh-CN"/>
        </w:rPr>
        <w:t>、</w:t>
      </w:r>
      <w:r>
        <w:rPr>
          <w:rFonts w:hint="eastAsia"/>
          <w:lang w:val="en-US" w:eastAsia="zh-CN"/>
        </w:rPr>
        <w:t>废催化剂、废吸附剂</w:t>
      </w:r>
      <w:r>
        <w:rPr>
          <w:rFonts w:hint="eastAsia"/>
        </w:rPr>
        <w:t>等，危险废物分类收集后暂存于危废暂存间，交由有资质单位处置；一般工业固废主要包括：除杂滤渣、</w:t>
      </w:r>
      <w:r>
        <w:rPr>
          <w:rFonts w:hint="eastAsia"/>
          <w:lang w:eastAsia="zh-CN"/>
        </w:rPr>
        <w:t>废RO膜、废活性炭（纯水制备）</w:t>
      </w:r>
      <w:r>
        <w:rPr>
          <w:rFonts w:hint="eastAsia"/>
        </w:rPr>
        <w:t>、废电极材料、普通废包装、布袋除尘收集粉尘、废水站污泥等，一般固废暂存间一般固废暂存间后回收利用；生活垃圾统集中收集后交由环卫部门统一清运处置。</w:t>
      </w:r>
      <w:r>
        <w:t>综上所述，项目产生的固体废物对周围产生的环境影响较小。</w:t>
      </w:r>
    </w:p>
    <w:p w14:paraId="1E5BCE63">
      <w:pPr>
        <w:numPr>
          <w:ilvl w:val="0"/>
          <w:numId w:val="19"/>
        </w:numPr>
        <w:ind w:firstLine="480"/>
      </w:pPr>
      <w:r>
        <w:rPr>
          <w:rFonts w:hint="eastAsia"/>
        </w:rPr>
        <w:t>地下水和土壤污染防治措施</w:t>
      </w:r>
    </w:p>
    <w:p w14:paraId="5D84A411">
      <w:pPr>
        <w:ind w:firstLine="480"/>
      </w:pPr>
      <w:r>
        <w:rPr>
          <w:rFonts w:hint="eastAsia"/>
        </w:rPr>
        <w:t>本</w:t>
      </w:r>
      <w:r>
        <w:t>项目可能引起地下水和土壤污染的环节主要有</w:t>
      </w:r>
      <w:r>
        <w:rPr>
          <w:rFonts w:hint="eastAsia"/>
        </w:rPr>
        <w:t>：</w:t>
      </w:r>
      <w:r>
        <w:t>车间泄漏、废水收集池、废水处理池、废水管沟、初期雨水及事故池等构筑物渗漏，储罐区、危险废物储存区泄漏等。</w:t>
      </w:r>
    </w:p>
    <w:p w14:paraId="4EDBE910">
      <w:pPr>
        <w:ind w:firstLine="480"/>
      </w:pPr>
      <w:r>
        <w:t>主要采用措施为：减少污水产生量及排放量；</w:t>
      </w:r>
      <w:r>
        <w:rPr>
          <w:rFonts w:hint="eastAsia"/>
        </w:rPr>
        <w:t>电解车间、复分解车间</w:t>
      </w:r>
      <w:r>
        <w:t>、储罐区、废水收集池、废水管沟、初期雨水池、事故池、废水处理池采用用渗标号大于S6（防渗系数≤4.19×10</w:t>
      </w:r>
      <w:r>
        <w:rPr>
          <w:vertAlign w:val="superscript"/>
        </w:rPr>
        <w:t>-9</w:t>
      </w:r>
      <w:r>
        <w:t>）的混凝土进行施工，混凝土厚度大于15cm</w:t>
      </w:r>
      <w:r>
        <w:rPr>
          <w:rFonts w:hint="eastAsia"/>
        </w:rPr>
        <w:t>；</w:t>
      </w:r>
      <w:r>
        <w:t>危险固废暂存区按照《危险废物贮存污染控制标准》（GB18597-2023）的要求设置</w:t>
      </w:r>
      <w:r>
        <w:rPr>
          <w:rFonts w:hint="eastAsia"/>
        </w:rPr>
        <w:t>；其他生产区地面设置基础防渗。</w:t>
      </w:r>
    </w:p>
    <w:p w14:paraId="5B314A11">
      <w:pPr>
        <w:numPr>
          <w:ilvl w:val="0"/>
          <w:numId w:val="19"/>
        </w:numPr>
        <w:ind w:firstLine="480"/>
      </w:pPr>
      <w:r>
        <w:rPr>
          <w:rFonts w:hint="eastAsia"/>
        </w:rPr>
        <w:t>风险防控措施</w:t>
      </w:r>
    </w:p>
    <w:p w14:paraId="7A319696">
      <w:pPr>
        <w:numPr>
          <w:ilvl w:val="0"/>
          <w:numId w:val="20"/>
        </w:numPr>
        <w:ind w:firstLine="480"/>
      </w:pPr>
      <w:r>
        <w:t>项目设置一座容积约为</w:t>
      </w:r>
      <w:r>
        <w:rPr>
          <w:rFonts w:hint="eastAsia"/>
        </w:rPr>
        <w:t>550</w:t>
      </w:r>
      <w:r>
        <w:t>m</w:t>
      </w:r>
      <w:r>
        <w:rPr>
          <w:vertAlign w:val="superscript"/>
        </w:rPr>
        <w:t>3</w:t>
      </w:r>
      <w:r>
        <w:t>的事故应急池</w:t>
      </w:r>
      <w:r>
        <w:rPr>
          <w:rFonts w:hint="eastAsia"/>
        </w:rPr>
        <w:t>，</w:t>
      </w:r>
      <w:r>
        <w:t>位于厂区东侧</w:t>
      </w:r>
      <w:r>
        <w:rPr>
          <w:rFonts w:hint="eastAsia"/>
        </w:rPr>
        <w:t>；</w:t>
      </w:r>
    </w:p>
    <w:p w14:paraId="476A5B41">
      <w:pPr>
        <w:numPr>
          <w:ilvl w:val="0"/>
          <w:numId w:val="20"/>
        </w:numPr>
        <w:ind w:firstLine="480"/>
      </w:pPr>
      <w:r>
        <w:t>根据设计要求，厂区分级防渗，化盐车间、电解车间、复分解车间、废水处理站、储罐区、初期雨水收集池、事故应急池、危废暂存间、一般固废暂存间为重点防渗区；原</w:t>
      </w:r>
      <w:r>
        <w:rPr>
          <w:rFonts w:hint="eastAsia"/>
        </w:rPr>
        <w:t>循环水站、消防水池、原辅料仓库、氢气回收区</w:t>
      </w:r>
      <w:r>
        <w:t>为一般防渗区，其他为简单防渗区</w:t>
      </w:r>
      <w:r>
        <w:rPr>
          <w:rFonts w:hint="eastAsia"/>
        </w:rPr>
        <w:t>；</w:t>
      </w:r>
    </w:p>
    <w:p w14:paraId="4D2FB522">
      <w:pPr>
        <w:numPr>
          <w:ilvl w:val="0"/>
          <w:numId w:val="20"/>
        </w:numPr>
        <w:ind w:firstLine="480"/>
      </w:pPr>
      <w:r>
        <w:t>各储罐按照“分区设围”原则，分别设置安全围堰，能有效防止事故废水和物料泄漏出厂。</w:t>
      </w:r>
    </w:p>
    <w:p w14:paraId="7402BBF9">
      <w:pPr>
        <w:pStyle w:val="3"/>
        <w:numPr>
          <w:ilvl w:val="1"/>
          <w:numId w:val="1"/>
        </w:numPr>
      </w:pPr>
      <w:bookmarkStart w:id="400" w:name="_Toc9212"/>
      <w:bookmarkStart w:id="401" w:name="_Toc7390"/>
      <w:bookmarkStart w:id="402" w:name="_Toc30861"/>
      <w:r>
        <w:rPr>
          <w:rFonts w:hint="eastAsia"/>
        </w:rPr>
        <w:t>环境质量现状调查与评价结论</w:t>
      </w:r>
      <w:bookmarkEnd w:id="400"/>
      <w:bookmarkEnd w:id="401"/>
      <w:bookmarkEnd w:id="402"/>
    </w:p>
    <w:p w14:paraId="57BB5626">
      <w:pPr>
        <w:pStyle w:val="6"/>
        <w:bidi w:val="0"/>
      </w:pPr>
      <w:r>
        <w:rPr>
          <w:rFonts w:hint="eastAsia"/>
        </w:rPr>
        <w:t>地表水现状评价结论</w:t>
      </w:r>
    </w:p>
    <w:p w14:paraId="3FE198ED">
      <w:pPr>
        <w:ind w:firstLine="480"/>
      </w:pPr>
      <w:r>
        <w:rPr>
          <w:rFonts w:hint="eastAsia"/>
        </w:rPr>
        <w:t>本项目所在的园区污水处理厂排污口下游的考核断面鱼石村水质类别可达到《地表水环境质量标准》（GB3838-2002）II类，水质优于该河段水环境功能区划的III类要求。说明该区域的水环境质量为达标区。</w:t>
      </w:r>
    </w:p>
    <w:p w14:paraId="4D5FAF84">
      <w:pPr>
        <w:ind w:firstLine="480"/>
      </w:pPr>
      <w:r>
        <w:rPr>
          <w:rFonts w:hint="eastAsia"/>
        </w:rPr>
        <w:t>根据地表水监测统计结果表明：监测断面各项目污染因子均符合《地表水环境质量标准》（GB3838-2002）的 III 类标准限值要求。</w:t>
      </w:r>
    </w:p>
    <w:p w14:paraId="1C678473">
      <w:pPr>
        <w:pStyle w:val="6"/>
        <w:bidi w:val="0"/>
      </w:pPr>
      <w:r>
        <w:rPr>
          <w:rFonts w:hint="eastAsia"/>
        </w:rPr>
        <w:t>环境空气现状评价结论</w:t>
      </w:r>
    </w:p>
    <w:p w14:paraId="4E44ECE2">
      <w:pPr>
        <w:ind w:firstLine="480"/>
        <w:rPr>
          <w:color w:val="auto"/>
          <w:highlight w:val="none"/>
        </w:rPr>
      </w:pPr>
      <w:r>
        <w:rPr>
          <w:rFonts w:hint="eastAsia"/>
          <w:color w:val="auto"/>
          <w:highlight w:val="none"/>
        </w:rPr>
        <w:t>（1）2023年1-12月，衡阳市城区环境空气质量优良天数比例为89.3%，相比上年同期上升2.2个百分点；市城区空气质量综合指数为3.69，相比上年同期上升6.3%；市城区PM</w:t>
      </w:r>
      <w:r>
        <w:rPr>
          <w:rFonts w:hint="eastAsia"/>
          <w:color w:val="auto"/>
          <w:highlight w:val="none"/>
          <w:vertAlign w:val="subscript"/>
        </w:rPr>
        <w:t>2.5</w:t>
      </w:r>
      <w:r>
        <w:rPr>
          <w:rFonts w:hint="eastAsia"/>
          <w:color w:val="auto"/>
          <w:highlight w:val="none"/>
        </w:rPr>
        <w:t>、PM</w:t>
      </w:r>
      <w:r>
        <w:rPr>
          <w:rFonts w:hint="eastAsia"/>
          <w:color w:val="auto"/>
          <w:highlight w:val="none"/>
          <w:vertAlign w:val="subscript"/>
        </w:rPr>
        <w:t>10</w:t>
      </w:r>
      <w:r>
        <w:rPr>
          <w:rFonts w:hint="eastAsia"/>
          <w:color w:val="auto"/>
          <w:highlight w:val="none"/>
        </w:rPr>
        <w:t>、SO</w:t>
      </w:r>
      <w:r>
        <w:rPr>
          <w:rFonts w:hint="eastAsia"/>
          <w:color w:val="auto"/>
          <w:highlight w:val="none"/>
          <w:vertAlign w:val="subscript"/>
        </w:rPr>
        <w:t>2</w:t>
      </w:r>
      <w:r>
        <w:rPr>
          <w:rFonts w:hint="eastAsia"/>
          <w:color w:val="auto"/>
          <w:highlight w:val="none"/>
        </w:rPr>
        <w:t>、CO的平均浓度分别为39ug/m</w:t>
      </w:r>
      <w:r>
        <w:rPr>
          <w:rFonts w:hint="eastAsia"/>
          <w:color w:val="auto"/>
          <w:highlight w:val="none"/>
          <w:vertAlign w:val="superscript"/>
        </w:rPr>
        <w:t>3</w:t>
      </w:r>
      <w:r>
        <w:rPr>
          <w:rFonts w:hint="eastAsia"/>
          <w:color w:val="auto"/>
          <w:highlight w:val="none"/>
        </w:rPr>
        <w:t>、55ug/m</w:t>
      </w:r>
      <w:r>
        <w:rPr>
          <w:rFonts w:hint="eastAsia"/>
          <w:color w:val="auto"/>
          <w:highlight w:val="none"/>
          <w:vertAlign w:val="superscript"/>
        </w:rPr>
        <w:t>3</w:t>
      </w:r>
      <w:r>
        <w:rPr>
          <w:rFonts w:hint="eastAsia"/>
          <w:color w:val="auto"/>
          <w:highlight w:val="none"/>
        </w:rPr>
        <w:t>、11ug/m</w:t>
      </w:r>
      <w:r>
        <w:rPr>
          <w:rFonts w:hint="eastAsia"/>
          <w:color w:val="auto"/>
          <w:highlight w:val="none"/>
          <w:vertAlign w:val="superscript"/>
        </w:rPr>
        <w:t>3</w:t>
      </w:r>
      <w:r>
        <w:rPr>
          <w:rFonts w:hint="eastAsia"/>
          <w:color w:val="auto"/>
          <w:highlight w:val="none"/>
        </w:rPr>
        <w:t>、1.2ug/m</w:t>
      </w:r>
      <w:r>
        <w:rPr>
          <w:rFonts w:hint="eastAsia"/>
          <w:color w:val="auto"/>
          <w:highlight w:val="none"/>
          <w:vertAlign w:val="superscript"/>
        </w:rPr>
        <w:t>3</w:t>
      </w:r>
      <w:r>
        <w:rPr>
          <w:rFonts w:hint="eastAsia"/>
          <w:color w:val="auto"/>
          <w:highlight w:val="none"/>
        </w:rPr>
        <w:t>，相比上年同期分别上升21.9%、12.2%、10.0%、9.1%；平均浓度城区6个站点均超过国家二级标准值；O</w:t>
      </w:r>
      <w:r>
        <w:rPr>
          <w:rFonts w:hint="eastAsia"/>
          <w:color w:val="auto"/>
          <w:highlight w:val="none"/>
          <w:vertAlign w:val="subscript"/>
        </w:rPr>
        <w:t>3</w:t>
      </w:r>
      <w:r>
        <w:rPr>
          <w:rFonts w:hint="eastAsia"/>
          <w:color w:val="auto"/>
          <w:highlight w:val="none"/>
        </w:rPr>
        <w:t>平均浓度为137ug/m</w:t>
      </w:r>
      <w:r>
        <w:rPr>
          <w:rFonts w:hint="eastAsia"/>
          <w:color w:val="auto"/>
          <w:highlight w:val="none"/>
          <w:vertAlign w:val="superscript"/>
        </w:rPr>
        <w:t>3</w:t>
      </w:r>
      <w:r>
        <w:rPr>
          <w:rFonts w:hint="eastAsia"/>
          <w:color w:val="auto"/>
          <w:highlight w:val="none"/>
        </w:rPr>
        <w:t>，相比上年同期下降11.0%；NO</w:t>
      </w:r>
      <w:r>
        <w:rPr>
          <w:rFonts w:hint="eastAsia"/>
          <w:color w:val="auto"/>
          <w:highlight w:val="none"/>
          <w:vertAlign w:val="subscript"/>
        </w:rPr>
        <w:t>2</w:t>
      </w:r>
      <w:r>
        <w:rPr>
          <w:rFonts w:hint="eastAsia"/>
          <w:color w:val="auto"/>
          <w:highlight w:val="none"/>
        </w:rPr>
        <w:t>平均浓度为18ug/m</w:t>
      </w:r>
      <w:r>
        <w:rPr>
          <w:rFonts w:hint="eastAsia"/>
          <w:color w:val="auto"/>
          <w:highlight w:val="none"/>
          <w:vertAlign w:val="superscript"/>
        </w:rPr>
        <w:t>3</w:t>
      </w:r>
      <w:r>
        <w:rPr>
          <w:rFonts w:hint="eastAsia"/>
          <w:color w:val="auto"/>
          <w:highlight w:val="none"/>
        </w:rPr>
        <w:t>，与上年同期持平。本项目所在区域为</w:t>
      </w:r>
      <w:r>
        <w:rPr>
          <w:rFonts w:hint="eastAsia"/>
          <w:color w:val="auto"/>
          <w:highlight w:val="none"/>
          <w:lang w:val="en-US" w:eastAsia="zh-CN"/>
        </w:rPr>
        <w:t>不</w:t>
      </w:r>
      <w:r>
        <w:rPr>
          <w:rFonts w:hint="eastAsia"/>
          <w:color w:val="auto"/>
          <w:highlight w:val="none"/>
        </w:rPr>
        <w:t>达标区。</w:t>
      </w:r>
    </w:p>
    <w:p w14:paraId="07D85294">
      <w:pPr>
        <w:ind w:firstLine="480"/>
      </w:pPr>
      <w:r>
        <w:rPr>
          <w:rFonts w:hint="eastAsia"/>
        </w:rPr>
        <w:t>（2）根据项目引用的特征污染物监测结果可知，各监测点位</w:t>
      </w:r>
      <w:r>
        <w:rPr>
          <w:rFonts w:hint="eastAsia"/>
          <w:lang w:val="en-US" w:eastAsia="zh-CN"/>
        </w:rPr>
        <w:t>TSP、</w:t>
      </w:r>
      <w:r>
        <w:rPr>
          <w:rFonts w:hint="eastAsia"/>
        </w:rPr>
        <w:t>HCl、Cl</w:t>
      </w:r>
      <w:r>
        <w:rPr>
          <w:rFonts w:hint="eastAsia"/>
          <w:vertAlign w:val="subscript"/>
        </w:rPr>
        <w:t>2</w:t>
      </w:r>
      <w:r>
        <w:rPr>
          <w:rFonts w:hint="eastAsia"/>
        </w:rPr>
        <w:t>监测结果均符合《环境影响评价技术导则  大气环境》（HJ2.2-2018）附录D中标准要求。</w:t>
      </w:r>
    </w:p>
    <w:p w14:paraId="04FE1E12">
      <w:pPr>
        <w:pStyle w:val="6"/>
        <w:bidi w:val="0"/>
      </w:pPr>
      <w:r>
        <w:rPr>
          <w:rFonts w:hint="eastAsia"/>
        </w:rPr>
        <w:t>声环境现状评价结论</w:t>
      </w:r>
    </w:p>
    <w:p w14:paraId="1E424092">
      <w:pPr>
        <w:ind w:firstLine="480"/>
      </w:pPr>
      <w:r>
        <w:rPr>
          <w:rFonts w:hint="eastAsia"/>
        </w:rPr>
        <w:t>监测结果表明：西、北厂界昼、夜间噪声可以达到《声环境质量标准》（GB3096-2008）3类标准（昼间70dB(A)，夜间55dB(A)）要求，其余各厂界昼、夜间噪声均可以达到《声环境质量标准》（GB3096-2008）4a类标准（昼间65dB(A)，夜间55dB(A)）要求。</w:t>
      </w:r>
    </w:p>
    <w:p w14:paraId="1BB08756">
      <w:pPr>
        <w:pStyle w:val="6"/>
        <w:bidi w:val="0"/>
      </w:pPr>
      <w:r>
        <w:rPr>
          <w:rFonts w:hint="eastAsia"/>
        </w:rPr>
        <w:t>地下水环境现状评价结论</w:t>
      </w:r>
    </w:p>
    <w:p w14:paraId="110619AF">
      <w:pPr>
        <w:ind w:firstLine="480"/>
      </w:pPr>
      <w:r>
        <w:rPr>
          <w:rFonts w:hint="eastAsia"/>
        </w:rPr>
        <w:t>根据监测的结果可知：区域各监测因子均满足《地下水质量标准》（GB/T14848-2017）III类标准限值。</w:t>
      </w:r>
    </w:p>
    <w:p w14:paraId="39DFEDCB">
      <w:pPr>
        <w:pStyle w:val="6"/>
        <w:bidi w:val="0"/>
      </w:pPr>
      <w:r>
        <w:rPr>
          <w:rFonts w:hint="eastAsia"/>
        </w:rPr>
        <w:t>土壤环境现状评价结论</w:t>
      </w:r>
    </w:p>
    <w:p w14:paraId="126E005E">
      <w:pPr>
        <w:ind w:firstLine="480"/>
      </w:pPr>
      <w:r>
        <w:t>根据监测结果，本项目厂内表层样45项基础因子、特征因子，厂内柱状样特征因子均未超过《土壤环境质量 建设用地土壤环境污染风险管控标准（试行）》（GB36600-2018）中第二类用地筛选值。</w:t>
      </w:r>
    </w:p>
    <w:p w14:paraId="51781E32">
      <w:pPr>
        <w:pStyle w:val="3"/>
        <w:numPr>
          <w:ilvl w:val="1"/>
          <w:numId w:val="1"/>
        </w:numPr>
      </w:pPr>
      <w:bookmarkStart w:id="403" w:name="_Toc2645"/>
      <w:bookmarkStart w:id="404" w:name="_Toc11340"/>
      <w:bookmarkStart w:id="405" w:name="_Toc14003"/>
      <w:r>
        <w:rPr>
          <w:rFonts w:hint="eastAsia"/>
        </w:rPr>
        <w:t>环境影响预测与评价结论</w:t>
      </w:r>
      <w:bookmarkEnd w:id="403"/>
      <w:bookmarkEnd w:id="404"/>
      <w:bookmarkEnd w:id="405"/>
    </w:p>
    <w:p w14:paraId="354F579B">
      <w:pPr>
        <w:pStyle w:val="6"/>
        <w:bidi w:val="0"/>
      </w:pPr>
      <w:r>
        <w:rPr>
          <w:rFonts w:hint="eastAsia"/>
        </w:rPr>
        <w:t>地表水环境影响预测与评价结论</w:t>
      </w:r>
    </w:p>
    <w:p w14:paraId="0BE7963F">
      <w:pPr>
        <w:ind w:firstLine="480"/>
      </w:pPr>
      <w:r>
        <w:rPr>
          <w:rFonts w:hint="eastAsia"/>
        </w:rPr>
        <w:t>厂区排水系统采用“清污分流、雨污分流、污污分流”。对于管线等污染源隐患点，采取“可视化”原则，尽可能架空布置，做到污染物早发现、早处理。</w:t>
      </w:r>
    </w:p>
    <w:p w14:paraId="008BC4B7">
      <w:pPr>
        <w:ind w:firstLine="480"/>
      </w:pPr>
      <w:r>
        <w:rPr>
          <w:rFonts w:hint="eastAsia"/>
        </w:rPr>
        <w:t>本项目主要废水有碱喷淋废水、真空冷凝水、电解槽清洗废水、膜酸洗废水、</w:t>
      </w:r>
      <w:r>
        <w:rPr>
          <w:rFonts w:hint="eastAsia"/>
          <w:lang w:val="en-US" w:eastAsia="zh-CN"/>
        </w:rPr>
        <w:t>离子树脂清洗废水、</w:t>
      </w:r>
      <w:r>
        <w:rPr>
          <w:rFonts w:hint="eastAsia"/>
        </w:rPr>
        <w:t>纯水制备排水、循环冷却排水、</w:t>
      </w:r>
      <w:r>
        <w:rPr>
          <w:rFonts w:hint="eastAsia"/>
          <w:lang w:eastAsia="zh-CN"/>
        </w:rPr>
        <w:t>地面清洗废水、洗车废水、员工清洁废水</w:t>
      </w:r>
      <w:r>
        <w:rPr>
          <w:rFonts w:hint="eastAsia"/>
          <w:lang w:val="en-US" w:eastAsia="zh-CN"/>
        </w:rPr>
        <w:t>、</w:t>
      </w:r>
      <w:r>
        <w:rPr>
          <w:rFonts w:hint="eastAsia"/>
        </w:rPr>
        <w:t>化验室废水、初期雨水、生活污水等。正常生产期间，碱喷淋废水、真空冷凝水、电解槽清洗废水、膜酸洗废水</w:t>
      </w:r>
      <w:r>
        <w:rPr>
          <w:rFonts w:hint="eastAsia"/>
          <w:lang w:eastAsia="zh-CN"/>
        </w:rPr>
        <w:t>、</w:t>
      </w:r>
      <w:r>
        <w:rPr>
          <w:rFonts w:hint="eastAsia"/>
          <w:lang w:val="en-US" w:eastAsia="zh-CN"/>
        </w:rPr>
        <w:t>离子树脂清洗废水</w:t>
      </w:r>
      <w:r>
        <w:rPr>
          <w:rFonts w:hint="eastAsia"/>
        </w:rPr>
        <w:t>等生产废水直接回用于生产，不外排；纯水制备排水、循环冷却排水、</w:t>
      </w:r>
      <w:r>
        <w:rPr>
          <w:rFonts w:hint="eastAsia"/>
          <w:lang w:eastAsia="zh-CN"/>
        </w:rPr>
        <w:t>地面清洗废水、洗车废水、员工清洁废水</w:t>
      </w:r>
      <w:r>
        <w:rPr>
          <w:rFonts w:hint="eastAsia"/>
          <w:lang w:val="en-US" w:eastAsia="zh-CN"/>
        </w:rPr>
        <w:t>、</w:t>
      </w:r>
      <w:r>
        <w:rPr>
          <w:rFonts w:hint="eastAsia"/>
        </w:rPr>
        <w:t>化验室废水、初期雨水等其他废水进入厂内废水经</w:t>
      </w:r>
      <w:r>
        <w:rPr>
          <w:rFonts w:hint="eastAsia"/>
          <w:lang w:eastAsia="zh-CN"/>
        </w:rPr>
        <w:t>“</w:t>
      </w:r>
      <w:r>
        <w:rPr>
          <w:rFonts w:hint="eastAsia"/>
        </w:rPr>
        <w:t>混凝沉淀+砂滤</w:t>
      </w:r>
      <w:r>
        <w:rPr>
          <w:rFonts w:hint="eastAsia"/>
          <w:lang w:eastAsia="zh-CN"/>
        </w:rPr>
        <w:t>”</w:t>
      </w:r>
      <w:r>
        <w:rPr>
          <w:rFonts w:hint="eastAsia"/>
        </w:rPr>
        <w:t>处理后回用于生产，不外排。非生产期间，初期雨水经</w:t>
      </w:r>
      <w:r>
        <w:rPr>
          <w:rFonts w:hint="eastAsia"/>
          <w:lang w:eastAsia="zh-CN"/>
        </w:rPr>
        <w:t>“混凝沉淀+砂滤+离子交换”</w:t>
      </w:r>
      <w:r>
        <w:rPr>
          <w:rFonts w:hint="eastAsia"/>
        </w:rPr>
        <w:t>处理后达标排入松木污水处理厂进一步处理。生活污水经厂内化粪池预处理达标后通过园区污水管网排入松木污水处理厂进一步处理。对水环境造成影响较小。</w:t>
      </w:r>
    </w:p>
    <w:p w14:paraId="7DC973C9">
      <w:pPr>
        <w:pStyle w:val="6"/>
        <w:bidi w:val="0"/>
      </w:pPr>
      <w:r>
        <w:rPr>
          <w:rFonts w:hint="eastAsia"/>
        </w:rPr>
        <w:t>大气环境影响预测分析结论</w:t>
      </w:r>
    </w:p>
    <w:p w14:paraId="346C5011">
      <w:pPr>
        <w:ind w:firstLine="480"/>
      </w:pPr>
      <w:r>
        <w:rPr>
          <w:rFonts w:hint="eastAsia"/>
        </w:rPr>
        <w:t>正常工况下，项目所排放的各大气污染物最大地面浓度贡献值以及叠加环境质量现状的预测值在各个环境敏感点以及网格内最大落地浓度点均满足环境标准要求，因此正常工况下本项目污染物排放对区域和主要环境敏感目标的环境空气影响均处于可接受范围内。非正常工况下，评价范围内颗粒物（TSP）、Cl</w:t>
      </w:r>
      <w:r>
        <w:rPr>
          <w:rFonts w:hint="eastAsia"/>
          <w:vertAlign w:val="subscript"/>
        </w:rPr>
        <w:t>2</w:t>
      </w:r>
      <w:r>
        <w:rPr>
          <w:rFonts w:hint="eastAsia"/>
        </w:rPr>
        <w:t>对各环境敏感点的最大小时浓度贡献值未超过相关标准要求，HCl对环境敏感点中松木村2的贡献值最大，超过相关标准要求；颗粒物（TSP）、Cl</w:t>
      </w:r>
      <w:r>
        <w:rPr>
          <w:rFonts w:hint="eastAsia"/>
          <w:vertAlign w:val="subscript"/>
        </w:rPr>
        <w:t>2</w:t>
      </w:r>
      <w:r>
        <w:rPr>
          <w:rFonts w:hint="eastAsia"/>
        </w:rPr>
        <w:t>、HCl对区域网格的最大小时浓度贡献值均超过相关标准要求。因此本环评要求项目，建设单位应定时检修废气处理设施，杜绝非正常排放，一旦发生非正常排放必须立即停产检修直至合格后方可恢复生产。</w:t>
      </w:r>
      <w:r>
        <w:rPr>
          <w:rFonts w:hint="eastAsia"/>
          <w:lang w:val="en-US" w:eastAsia="zh-CN"/>
        </w:rPr>
        <w:t>正常工况下，</w:t>
      </w:r>
      <w:r>
        <w:rPr>
          <w:rFonts w:hint="eastAsia"/>
        </w:rPr>
        <w:t>本项目厂界外无超标点，无需设置大气环境防护距离。</w:t>
      </w:r>
    </w:p>
    <w:p w14:paraId="22101809">
      <w:pPr>
        <w:pStyle w:val="6"/>
        <w:bidi w:val="0"/>
      </w:pPr>
      <w:r>
        <w:rPr>
          <w:rFonts w:hint="eastAsia"/>
        </w:rPr>
        <w:t>声环境影响预测分析结论</w:t>
      </w:r>
    </w:p>
    <w:p w14:paraId="122AC604">
      <w:pPr>
        <w:ind w:firstLine="480"/>
      </w:pPr>
      <w:r>
        <w:rPr>
          <w:rFonts w:hint="eastAsia"/>
        </w:rPr>
        <w:t>本项目噪声主要是风机、各类机泵等生产设备噪声，建成后采取减振、隔声等措施后，厂界噪声排放符合《工业企业厂界环境噪声排放标准》（GB12348-2008）3类（西、北厂界）、4类（东、南厂界）标准要求。</w:t>
      </w:r>
    </w:p>
    <w:p w14:paraId="694207E7">
      <w:pPr>
        <w:pStyle w:val="6"/>
        <w:bidi w:val="0"/>
      </w:pPr>
      <w:r>
        <w:rPr>
          <w:rFonts w:hint="eastAsia"/>
        </w:rPr>
        <w:t>固体废物处置影响分析结论</w:t>
      </w:r>
    </w:p>
    <w:p w14:paraId="0563CC70">
      <w:pPr>
        <w:ind w:firstLine="480"/>
      </w:pPr>
      <w:r>
        <w:rPr>
          <w:rFonts w:hint="eastAsia"/>
        </w:rPr>
        <w:t>根据项目的生产工艺和产污环节，本项目危险废物主要包括：</w:t>
      </w:r>
      <w:r>
        <w:rPr>
          <w:rFonts w:hint="eastAsia"/>
          <w:lang w:eastAsia="zh-CN"/>
        </w:rPr>
        <w:t>除铬滤渣</w:t>
      </w:r>
      <w:r>
        <w:rPr>
          <w:rFonts w:hint="eastAsia"/>
        </w:rPr>
        <w:t>、电解槽沉渣、危化品废包装、机修废物、化验室废物</w:t>
      </w:r>
      <w:r>
        <w:rPr>
          <w:rFonts w:hint="eastAsia"/>
          <w:lang w:eastAsia="zh-CN"/>
        </w:rPr>
        <w:t>、</w:t>
      </w:r>
      <w:r>
        <w:rPr>
          <w:rFonts w:hint="eastAsia"/>
          <w:lang w:val="en-US" w:eastAsia="zh-CN"/>
        </w:rPr>
        <w:t>废催化剂、废吸附剂</w:t>
      </w:r>
      <w:r>
        <w:rPr>
          <w:rFonts w:hint="eastAsia"/>
        </w:rPr>
        <w:t>等，危险废物分类收集后暂存于危废暂存间，交由有资质单位处置；一般工业固废主要包括：除杂滤渣、</w:t>
      </w:r>
      <w:r>
        <w:rPr>
          <w:rFonts w:hint="eastAsia"/>
          <w:lang w:eastAsia="zh-CN"/>
        </w:rPr>
        <w:t>废RO膜、废活性炭（纯水制备）</w:t>
      </w:r>
      <w:r>
        <w:rPr>
          <w:rFonts w:hint="eastAsia"/>
        </w:rPr>
        <w:t>、废电极材料、普通废包装、布袋除尘收集粉尘、废水站污泥等，一般固废暂存间一般固废暂存间后回收利用；生活垃圾统集中收集后交由环卫部门统一清运处置。综上所述，项目产生的固体废物对周围产生的环境影响较小。</w:t>
      </w:r>
    </w:p>
    <w:p w14:paraId="4ACF46CF">
      <w:pPr>
        <w:pStyle w:val="6"/>
        <w:bidi w:val="0"/>
      </w:pPr>
      <w:r>
        <w:rPr>
          <w:rFonts w:hint="eastAsia"/>
        </w:rPr>
        <w:t>地下水和土壤环境影响分析结论</w:t>
      </w:r>
    </w:p>
    <w:p w14:paraId="10E427CC">
      <w:pPr>
        <w:ind w:firstLine="480"/>
      </w:pPr>
      <w:r>
        <w:rPr>
          <w:rFonts w:hint="eastAsia"/>
        </w:rPr>
        <w:t>本项目在严格执行环保措施后，造成的地下水和土壤污染影响不会超过现有项目，对地下水质和土壤的环境影响可以接受。</w:t>
      </w:r>
    </w:p>
    <w:p w14:paraId="1A6622C3">
      <w:pPr>
        <w:pStyle w:val="6"/>
        <w:bidi w:val="0"/>
      </w:pPr>
      <w:r>
        <w:rPr>
          <w:rFonts w:hint="eastAsia"/>
        </w:rPr>
        <w:t>生态环境影响分析结论</w:t>
      </w:r>
    </w:p>
    <w:p w14:paraId="647E3A2D">
      <w:pPr>
        <w:ind w:firstLine="480"/>
      </w:pPr>
      <w:r>
        <w:rPr>
          <w:rFonts w:hint="eastAsia"/>
        </w:rPr>
        <w:t>废水、废气采用严格的污染物防治措施，确保达标排放。类比分析可知，本项目营运期对周边环境和敏感点的生态环境影响不明显。</w:t>
      </w:r>
    </w:p>
    <w:p w14:paraId="08850125">
      <w:pPr>
        <w:pStyle w:val="3"/>
        <w:numPr>
          <w:ilvl w:val="1"/>
          <w:numId w:val="1"/>
        </w:numPr>
      </w:pPr>
      <w:bookmarkStart w:id="406" w:name="_Toc4208"/>
      <w:bookmarkStart w:id="407" w:name="_Toc196"/>
      <w:bookmarkStart w:id="408" w:name="_Toc27447"/>
      <w:r>
        <w:rPr>
          <w:rFonts w:hint="eastAsia"/>
        </w:rPr>
        <w:t>环境风险评价结论</w:t>
      </w:r>
      <w:bookmarkEnd w:id="406"/>
      <w:bookmarkEnd w:id="407"/>
      <w:bookmarkEnd w:id="408"/>
    </w:p>
    <w:p w14:paraId="4834AE86">
      <w:pPr>
        <w:ind w:firstLine="480"/>
      </w:pPr>
      <w:r>
        <w:rPr>
          <w:rFonts w:hint="eastAsia"/>
        </w:rPr>
        <w:t>本项目构成重大风险源，项目的环境风险源分别有：废气事故排放、化学品泄漏事故、火灾爆炸带来消防废水、废气等二次污染等。根据预测，建设单位在严格落实本报告书提出的建议和意见，并不断完善风险事故应急预案的前提下，项目运营期的环境风险在可接受范围之内。因本项目环境风险较大，建议参照相关环境影响后评价的要求定期展开环境影响后评价。</w:t>
      </w:r>
    </w:p>
    <w:p w14:paraId="06667302">
      <w:pPr>
        <w:pStyle w:val="3"/>
        <w:numPr>
          <w:ilvl w:val="1"/>
          <w:numId w:val="1"/>
        </w:numPr>
      </w:pPr>
      <w:bookmarkStart w:id="409" w:name="_Toc513"/>
      <w:bookmarkStart w:id="410" w:name="_Toc32494"/>
      <w:bookmarkStart w:id="411" w:name="_Toc31856"/>
      <w:r>
        <w:rPr>
          <w:rFonts w:hint="eastAsia"/>
        </w:rPr>
        <w:t>总量控制结论</w:t>
      </w:r>
      <w:bookmarkEnd w:id="409"/>
      <w:bookmarkEnd w:id="410"/>
      <w:bookmarkEnd w:id="411"/>
    </w:p>
    <w:p w14:paraId="737B0752">
      <w:pPr>
        <w:ind w:firstLine="480"/>
        <w:rPr>
          <w:highlight w:val="none"/>
        </w:rPr>
      </w:pPr>
      <w:r>
        <w:rPr>
          <w:rFonts w:hint="eastAsia"/>
        </w:rPr>
        <w:t>1、生产废水总量指标：</w:t>
      </w:r>
      <w:r>
        <w:rPr>
          <w:rFonts w:hint="eastAsia"/>
          <w:highlight w:val="none"/>
          <w:lang w:val="en-US" w:eastAsia="zh-CN"/>
        </w:rPr>
        <w:t>本项目废水不直接进入外环境，</w:t>
      </w:r>
      <w:r>
        <w:rPr>
          <w:rFonts w:hint="eastAsia"/>
          <w:lang w:val="en-US" w:eastAsia="zh-CN"/>
        </w:rPr>
        <w:t>按照非生产期间核算，本项目排入松木污水厂最大水量约为初期雨水3600m</w:t>
      </w:r>
      <w:r>
        <w:rPr>
          <w:rFonts w:hint="eastAsia"/>
          <w:vertAlign w:val="superscript"/>
          <w:lang w:val="en-US" w:eastAsia="zh-CN"/>
        </w:rPr>
        <w:t>3</w:t>
      </w:r>
      <w:r>
        <w:rPr>
          <w:rFonts w:hint="eastAsia"/>
          <w:lang w:val="en-US" w:eastAsia="zh-CN"/>
        </w:rPr>
        <w:t>/a、生活污水1976m</w:t>
      </w:r>
      <w:r>
        <w:rPr>
          <w:rFonts w:hint="eastAsia"/>
          <w:vertAlign w:val="superscript"/>
          <w:lang w:val="en-US" w:eastAsia="zh-CN"/>
        </w:rPr>
        <w:t>3</w:t>
      </w:r>
      <w:r>
        <w:rPr>
          <w:rFonts w:hint="eastAsia"/>
          <w:lang w:val="en-US" w:eastAsia="zh-CN"/>
        </w:rPr>
        <w:t>/a，总计约5576m</w:t>
      </w:r>
      <w:r>
        <w:rPr>
          <w:rFonts w:hint="eastAsia"/>
          <w:vertAlign w:val="superscript"/>
          <w:lang w:val="en-US" w:eastAsia="zh-CN"/>
        </w:rPr>
        <w:t>3</w:t>
      </w:r>
      <w:r>
        <w:rPr>
          <w:rFonts w:hint="eastAsia"/>
          <w:lang w:val="en-US" w:eastAsia="zh-CN"/>
        </w:rPr>
        <w:t>/a。项目</w:t>
      </w:r>
      <w:r>
        <w:rPr>
          <w:rFonts w:hint="eastAsia"/>
          <w:highlight w:val="none"/>
          <w:lang w:val="en-US" w:eastAsia="zh-CN"/>
        </w:rPr>
        <w:t>进入松木污水厂的COD、氨氮总量分别为1.1152t/a、0.0674t/a。松木污水厂排入外环境</w:t>
      </w:r>
      <w:r>
        <w:rPr>
          <w:rFonts w:hint="eastAsia"/>
          <w:highlight w:val="none"/>
        </w:rPr>
        <w:t>COD、氨氮</w:t>
      </w:r>
      <w:r>
        <w:rPr>
          <w:rFonts w:hint="eastAsia"/>
          <w:highlight w:val="none"/>
          <w:lang w:val="en-US" w:eastAsia="zh-CN"/>
        </w:rPr>
        <w:t>浓度标准分别为50mg/L、8mg/L，据此计算本项目通过松木污水厂排入外环境的COD、氨氮</w:t>
      </w:r>
      <w:r>
        <w:rPr>
          <w:rFonts w:hint="eastAsia"/>
          <w:highlight w:val="none"/>
        </w:rPr>
        <w:t>排放量分别为0.</w:t>
      </w:r>
      <w:r>
        <w:rPr>
          <w:rFonts w:hint="eastAsia"/>
          <w:highlight w:val="none"/>
          <w:lang w:val="en-US" w:eastAsia="zh-CN"/>
        </w:rPr>
        <w:t>279</w:t>
      </w:r>
      <w:r>
        <w:rPr>
          <w:rFonts w:hint="eastAsia"/>
          <w:highlight w:val="none"/>
        </w:rPr>
        <w:t>t/a、</w:t>
      </w:r>
      <w:r>
        <w:rPr>
          <w:rFonts w:hint="eastAsia"/>
          <w:highlight w:val="none"/>
          <w:lang w:val="en-US" w:eastAsia="zh-CN"/>
        </w:rPr>
        <w:t>0.045</w:t>
      </w:r>
      <w:r>
        <w:rPr>
          <w:rFonts w:hint="eastAsia"/>
          <w:highlight w:val="none"/>
        </w:rPr>
        <w:t>t/a。</w:t>
      </w:r>
      <w:r>
        <w:rPr>
          <w:rFonts w:hint="eastAsia"/>
          <w:highlight w:val="none"/>
          <w:lang w:val="en-US" w:eastAsia="zh-CN"/>
        </w:rPr>
        <w:t>本报告建议项目申请</w:t>
      </w:r>
      <w:r>
        <w:rPr>
          <w:rFonts w:hint="eastAsia"/>
          <w:highlight w:val="none"/>
        </w:rPr>
        <w:t>COD、氨氮</w:t>
      </w:r>
      <w:r>
        <w:rPr>
          <w:rFonts w:hint="eastAsia"/>
          <w:highlight w:val="none"/>
          <w:lang w:val="en-US" w:eastAsia="zh-CN"/>
        </w:rPr>
        <w:t>排放总量控制指标分别为1.1152t/a、0.0674t/a</w:t>
      </w:r>
      <w:r>
        <w:rPr>
          <w:rFonts w:hint="eastAsia"/>
          <w:highlight w:val="none"/>
        </w:rPr>
        <w:t>。</w:t>
      </w:r>
    </w:p>
    <w:p w14:paraId="0BD8BF82">
      <w:pPr>
        <w:ind w:firstLine="480"/>
      </w:pPr>
      <w:r>
        <w:rPr>
          <w:rFonts w:hint="eastAsia"/>
        </w:rPr>
        <w:t>2、生产废气总量指标：本项目涉及的废气为氯气、氯化氢、颗粒物。均不属于总量控制因子。因此，本项目无需申请废气总量指标。</w:t>
      </w:r>
    </w:p>
    <w:p w14:paraId="0DBC1C8D">
      <w:pPr>
        <w:pStyle w:val="3"/>
        <w:numPr>
          <w:ilvl w:val="1"/>
          <w:numId w:val="1"/>
        </w:numPr>
      </w:pPr>
      <w:bookmarkStart w:id="412" w:name="_Toc1442"/>
      <w:bookmarkStart w:id="413" w:name="_Toc21412"/>
      <w:bookmarkStart w:id="414" w:name="_Toc18980"/>
      <w:r>
        <w:rPr>
          <w:rFonts w:hint="eastAsia"/>
        </w:rPr>
        <w:t>环保法规相符性分析结论</w:t>
      </w:r>
      <w:bookmarkEnd w:id="412"/>
      <w:bookmarkEnd w:id="413"/>
      <w:bookmarkEnd w:id="414"/>
    </w:p>
    <w:p w14:paraId="515E8E24">
      <w:pPr>
        <w:ind w:firstLine="480"/>
      </w:pPr>
      <w:r>
        <w:rPr>
          <w:rFonts w:hint="eastAsia"/>
        </w:rPr>
        <w:t>综合以上分析，本项目的建设符合国家、湖南省的相关产业政策要求，符合衡阳市的城市总体规划和土地利用规划；符合湖南省、衡阳市的环境保护规划和相关环保政策的要求，因此，从法规政策角度分析，本项目的建设是合理的。</w:t>
      </w:r>
    </w:p>
    <w:p w14:paraId="3FBFEC48">
      <w:pPr>
        <w:pStyle w:val="3"/>
        <w:numPr>
          <w:ilvl w:val="1"/>
          <w:numId w:val="1"/>
        </w:numPr>
        <w:rPr>
          <w:highlight w:val="none"/>
        </w:rPr>
      </w:pPr>
      <w:bookmarkStart w:id="415" w:name="_Toc17323"/>
      <w:bookmarkStart w:id="416" w:name="_Toc6427"/>
      <w:bookmarkStart w:id="417" w:name="_Toc32537"/>
      <w:r>
        <w:rPr>
          <w:rFonts w:hint="eastAsia"/>
          <w:highlight w:val="none"/>
        </w:rPr>
        <w:t>公众参与结论</w:t>
      </w:r>
      <w:bookmarkEnd w:id="415"/>
      <w:bookmarkEnd w:id="416"/>
      <w:bookmarkEnd w:id="417"/>
    </w:p>
    <w:p w14:paraId="26CA2D3D">
      <w:pPr>
        <w:ind w:firstLine="480"/>
        <w:rPr>
          <w:highlight w:val="none"/>
        </w:rPr>
      </w:pPr>
      <w:r>
        <w:rPr>
          <w:rFonts w:hint="eastAsia"/>
          <w:highlight w:val="none"/>
        </w:rPr>
        <w:t>建设单位按照《环境影响评价公众参与办法》（生态环境部令第 4 号）相关要求对《</w:t>
      </w:r>
      <w:r>
        <w:rPr>
          <w:rFonts w:hint="eastAsia"/>
          <w:highlight w:val="none"/>
          <w:lang w:val="en-US" w:eastAsia="zh-CN"/>
        </w:rPr>
        <w:t>2</w:t>
      </w:r>
      <w:r>
        <w:rPr>
          <w:rFonts w:hint="eastAsia"/>
          <w:highlight w:val="none"/>
          <w:lang w:eastAsia="zh-CN"/>
        </w:rPr>
        <w:t>0000吨/年高氯酸钠、</w:t>
      </w:r>
      <w:r>
        <w:rPr>
          <w:rFonts w:hint="eastAsia"/>
          <w:highlight w:val="none"/>
          <w:lang w:val="en-US" w:eastAsia="zh-CN"/>
        </w:rPr>
        <w:t>2</w:t>
      </w:r>
      <w:r>
        <w:rPr>
          <w:rFonts w:hint="eastAsia"/>
          <w:highlight w:val="none"/>
          <w:lang w:eastAsia="zh-CN"/>
        </w:rPr>
        <w:t>0000吨/年高氯酸钾</w:t>
      </w:r>
      <w:r>
        <w:rPr>
          <w:rFonts w:hint="eastAsia"/>
          <w:highlight w:val="none"/>
          <w:lang w:val="en-US" w:eastAsia="zh-CN"/>
        </w:rPr>
        <w:t>等</w:t>
      </w:r>
      <w:r>
        <w:rPr>
          <w:rFonts w:hint="eastAsia"/>
          <w:highlight w:val="none"/>
          <w:lang w:eastAsia="zh-CN"/>
        </w:rPr>
        <w:t>新建项目</w:t>
      </w:r>
      <w:r>
        <w:rPr>
          <w:rFonts w:hint="eastAsia"/>
          <w:highlight w:val="none"/>
        </w:rPr>
        <w:t>》环境影响评价信息进行了两次网上公示以及2次报纸公示。建设单位于202</w:t>
      </w:r>
      <w:r>
        <w:rPr>
          <w:rFonts w:hint="eastAsia"/>
          <w:highlight w:val="none"/>
          <w:lang w:val="en-US" w:eastAsia="zh-CN"/>
        </w:rPr>
        <w:t>4</w:t>
      </w:r>
      <w:r>
        <w:rPr>
          <w:rFonts w:hint="eastAsia"/>
          <w:highlight w:val="none"/>
        </w:rPr>
        <w:t>年</w:t>
      </w:r>
      <w:r>
        <w:rPr>
          <w:rFonts w:hint="eastAsia"/>
          <w:highlight w:val="none"/>
          <w:lang w:val="en-US" w:eastAsia="zh-CN"/>
        </w:rPr>
        <w:t>3</w:t>
      </w:r>
      <w:r>
        <w:rPr>
          <w:rFonts w:hint="eastAsia"/>
          <w:highlight w:val="none"/>
        </w:rPr>
        <w:t>月</w:t>
      </w:r>
      <w:r>
        <w:rPr>
          <w:rFonts w:hint="eastAsia"/>
          <w:highlight w:val="none"/>
          <w:lang w:val="en-US" w:eastAsia="zh-CN"/>
        </w:rPr>
        <w:t>25</w:t>
      </w:r>
      <w:r>
        <w:rPr>
          <w:rFonts w:hint="eastAsia"/>
          <w:highlight w:val="none"/>
        </w:rPr>
        <w:t>日在全国建设项目环境信息公示平台进行第一次网络公示；在项目环境影响报告书形成征求意见稿后，按照《环境影响评价公众参与办法》（部令第4号）的要求在建设单位于202</w:t>
      </w:r>
      <w:r>
        <w:rPr>
          <w:rFonts w:hint="eastAsia"/>
          <w:highlight w:val="none"/>
          <w:lang w:val="en-US" w:eastAsia="zh-CN"/>
        </w:rPr>
        <w:t>4</w:t>
      </w:r>
      <w:r>
        <w:rPr>
          <w:rFonts w:hint="eastAsia"/>
          <w:highlight w:val="none"/>
        </w:rPr>
        <w:t>年</w:t>
      </w:r>
      <w:r>
        <w:rPr>
          <w:rFonts w:hint="eastAsia"/>
          <w:highlight w:val="none"/>
          <w:lang w:val="en-US" w:eastAsia="zh-CN"/>
        </w:rPr>
        <w:t>4</w:t>
      </w:r>
      <w:r>
        <w:rPr>
          <w:rFonts w:hint="eastAsia"/>
          <w:highlight w:val="none"/>
        </w:rPr>
        <w:t>月</w:t>
      </w:r>
      <w:r>
        <w:rPr>
          <w:rFonts w:hint="eastAsia"/>
          <w:highlight w:val="none"/>
          <w:lang w:val="en-US" w:eastAsia="zh-CN"/>
        </w:rPr>
        <w:t>23</w:t>
      </w:r>
      <w:r>
        <w:rPr>
          <w:rFonts w:hint="eastAsia"/>
          <w:highlight w:val="none"/>
        </w:rPr>
        <w:t>日至202</w:t>
      </w:r>
      <w:r>
        <w:rPr>
          <w:rFonts w:hint="eastAsia"/>
          <w:highlight w:val="none"/>
          <w:lang w:val="en-US" w:eastAsia="zh-CN"/>
        </w:rPr>
        <w:t>4</w:t>
      </w:r>
      <w:r>
        <w:rPr>
          <w:rFonts w:hint="eastAsia"/>
          <w:highlight w:val="none"/>
        </w:rPr>
        <w:t>年</w:t>
      </w:r>
      <w:r>
        <w:rPr>
          <w:rFonts w:hint="eastAsia"/>
          <w:highlight w:val="none"/>
          <w:lang w:val="en-US" w:eastAsia="zh-CN"/>
        </w:rPr>
        <w:t>5</w:t>
      </w:r>
      <w:r>
        <w:rPr>
          <w:rFonts w:hint="eastAsia"/>
          <w:highlight w:val="none"/>
        </w:rPr>
        <w:t>月</w:t>
      </w:r>
      <w:r>
        <w:rPr>
          <w:rFonts w:hint="eastAsia"/>
          <w:highlight w:val="none"/>
          <w:lang w:val="en-US" w:eastAsia="zh-CN"/>
        </w:rPr>
        <w:t>9</w:t>
      </w:r>
      <w:r>
        <w:rPr>
          <w:rFonts w:hint="eastAsia"/>
          <w:highlight w:val="none"/>
        </w:rPr>
        <w:t>日在</w:t>
      </w:r>
      <w:r>
        <w:rPr>
          <w:rFonts w:hint="default" w:ascii="Times New Roman" w:hAnsi="Times New Roman" w:eastAsia="宋体" w:cs="Times New Roman"/>
          <w:b w:val="0"/>
          <w:bCs w:val="0"/>
          <w:sz w:val="24"/>
          <w:szCs w:val="24"/>
          <w:highlight w:val="none"/>
          <w:lang w:val="en-US" w:eastAsia="zh-CN"/>
        </w:rPr>
        <w:t>全国建设项目环境信息公示平台网站</w:t>
      </w:r>
      <w:r>
        <w:rPr>
          <w:rFonts w:hint="eastAsia"/>
          <w:highlight w:val="none"/>
        </w:rPr>
        <w:t>进行征求意见稿公示（第二次网络公示）；202</w:t>
      </w:r>
      <w:r>
        <w:rPr>
          <w:rFonts w:hint="eastAsia"/>
          <w:highlight w:val="none"/>
          <w:lang w:val="en-US" w:eastAsia="zh-CN"/>
        </w:rPr>
        <w:t>4</w:t>
      </w:r>
      <w:r>
        <w:rPr>
          <w:rFonts w:hint="eastAsia"/>
          <w:highlight w:val="none"/>
        </w:rPr>
        <w:t>年</w:t>
      </w:r>
      <w:r>
        <w:rPr>
          <w:rFonts w:hint="eastAsia"/>
          <w:highlight w:val="none"/>
          <w:lang w:val="en-US" w:eastAsia="zh-CN"/>
        </w:rPr>
        <w:t>4</w:t>
      </w:r>
      <w:r>
        <w:rPr>
          <w:rFonts w:hint="eastAsia"/>
          <w:highlight w:val="none"/>
        </w:rPr>
        <w:t>月</w:t>
      </w:r>
      <w:r>
        <w:rPr>
          <w:rFonts w:hint="eastAsia"/>
          <w:highlight w:val="none"/>
          <w:lang w:val="en-US" w:eastAsia="zh-CN"/>
        </w:rPr>
        <w:t>25</w:t>
      </w:r>
      <w:r>
        <w:rPr>
          <w:rFonts w:hint="eastAsia"/>
          <w:highlight w:val="none"/>
        </w:rPr>
        <w:t>日和202</w:t>
      </w:r>
      <w:r>
        <w:rPr>
          <w:rFonts w:hint="eastAsia"/>
          <w:highlight w:val="none"/>
          <w:lang w:val="en-US" w:eastAsia="zh-CN"/>
        </w:rPr>
        <w:t>4</w:t>
      </w:r>
      <w:r>
        <w:rPr>
          <w:rFonts w:hint="eastAsia"/>
          <w:highlight w:val="none"/>
        </w:rPr>
        <w:t>年</w:t>
      </w:r>
      <w:r>
        <w:rPr>
          <w:rFonts w:hint="eastAsia"/>
          <w:highlight w:val="none"/>
          <w:lang w:val="en-US" w:eastAsia="zh-CN"/>
        </w:rPr>
        <w:t>4</w:t>
      </w:r>
      <w:r>
        <w:rPr>
          <w:rFonts w:hint="eastAsia"/>
          <w:highlight w:val="none"/>
        </w:rPr>
        <w:t>月</w:t>
      </w:r>
      <w:r>
        <w:rPr>
          <w:rFonts w:hint="eastAsia"/>
          <w:highlight w:val="none"/>
          <w:lang w:val="en-US" w:eastAsia="zh-CN"/>
        </w:rPr>
        <w:t>28</w:t>
      </w:r>
      <w:r>
        <w:rPr>
          <w:rFonts w:hint="eastAsia"/>
          <w:highlight w:val="none"/>
        </w:rPr>
        <w:t>日分别在《环球时报》上进行了2次报纸刊登公示。在环境影响报告书征求意见稿编制过程中，未收到公众提出的与本项目环境影响评价相关的意见；在征求意见稿公示期间，未收到公众提出的与本项目环境影响有关的意见和建议。</w:t>
      </w:r>
    </w:p>
    <w:p w14:paraId="1BA7DBE0">
      <w:pPr>
        <w:ind w:firstLine="480"/>
        <w:rPr>
          <w:highlight w:val="none"/>
        </w:rPr>
      </w:pPr>
      <w:r>
        <w:rPr>
          <w:rFonts w:hint="eastAsia"/>
          <w:highlight w:val="none"/>
        </w:rPr>
        <w:t>建设单位严格按照国家、地方有关规定，落实各项污染防治措施，确保废水、废气、噪声达标排放，确保对周围环境的影响降至最低程度。</w:t>
      </w:r>
    </w:p>
    <w:p w14:paraId="2AA4D24C">
      <w:pPr>
        <w:pStyle w:val="3"/>
        <w:numPr>
          <w:ilvl w:val="1"/>
          <w:numId w:val="1"/>
        </w:numPr>
      </w:pPr>
      <w:bookmarkStart w:id="418" w:name="_Toc30335"/>
      <w:bookmarkStart w:id="419" w:name="_Toc31988"/>
      <w:bookmarkStart w:id="420" w:name="_Toc3934"/>
      <w:r>
        <w:rPr>
          <w:rFonts w:hint="eastAsia"/>
        </w:rPr>
        <w:t>综合结论</w:t>
      </w:r>
      <w:bookmarkEnd w:id="418"/>
      <w:bookmarkEnd w:id="419"/>
      <w:bookmarkEnd w:id="420"/>
    </w:p>
    <w:p w14:paraId="480768A0">
      <w:pPr>
        <w:ind w:firstLine="480"/>
      </w:pPr>
      <w:r>
        <w:rPr>
          <w:rFonts w:hint="eastAsia"/>
        </w:rPr>
        <w:t>本项目在贯彻落实国家和地方制定的有关环保法律、法规和实现本评价提出的各项环境保护措施和建议的前提下，确保各种治理设施正常运转和废气、废水、噪声等污染物达标排放，贯彻执行国家规定的“达标排放、总量控制”的原则，制定应急计划和落实环境风险防范措施，从环境保护角度出发，本项目的建设是可行的。建议项目投入运营前申领排污许可证、按证排污。</w:t>
      </w:r>
    </w:p>
    <w:sectPr>
      <w:footerReference r:id="rId13"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Sim Sun">
    <w:altName w:val="宋体"/>
    <w:panose1 w:val="00000000000000000000"/>
    <w:charset w:val="86"/>
    <w:family w:val="auto"/>
    <w:pitch w:val="default"/>
    <w:sig w:usb0="00000000" w:usb1="00000000" w:usb2="00000010" w:usb3="00000000" w:csb0="00040000" w:csb1="00000000"/>
  </w:font>
  <w:font w:name="Cambria Math">
    <w:panose1 w:val="02040503050406030204"/>
    <w:charset w:val="00"/>
    <w:family w:val="roman"/>
    <w:pitch w:val="default"/>
    <w:sig w:usb0="E00006FF" w:usb1="420024FF" w:usb2="02000000" w:usb3="00000000" w:csb0="2000019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仿宋 .瑨:..">
    <w:altName w:val="宋体"/>
    <w:panose1 w:val="00000000000000000000"/>
    <w:charset w:val="86"/>
    <w:family w:val="roman"/>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CIDFont+F5">
    <w:altName w:val="Yu Gothic"/>
    <w:panose1 w:val="00000000000000000000"/>
    <w:charset w:val="80"/>
    <w:family w:val="auto"/>
    <w:pitch w:val="default"/>
    <w:sig w:usb0="00000000" w:usb1="00000000" w:usb2="00000000" w:usb3="00000000" w:csb0="00020000" w:csb1="00000000"/>
  </w:font>
  <w:font w:name="Yu Gothic">
    <w:panose1 w:val="020B0400000000000000"/>
    <w:charset w:val="80"/>
    <w:family w:val="auto"/>
    <w:pitch w:val="default"/>
    <w:sig w:usb0="E00002FF" w:usb1="2AC7FDFF" w:usb2="00000016" w:usb3="00000000" w:csb0="2002009F" w:csb1="00000000"/>
  </w:font>
  <w:font w:name="MS Mincho">
    <w:altName w:val="Yu Gothic UI"/>
    <w:panose1 w:val="02020609040205080304"/>
    <w:charset w:val="80"/>
    <w:family w:val="modern"/>
    <w:pitch w:val="default"/>
    <w:sig w:usb0="00000000" w:usb1="00000000" w:usb2="00000010" w:usb3="00000000" w:csb0="0002009F" w:csb1="00000000"/>
  </w:font>
  <w:font w:name="Yu Gothic UI">
    <w:panose1 w:val="020B0500000000000000"/>
    <w:charset w:val="80"/>
    <w:family w:val="auto"/>
    <w:pitch w:val="default"/>
    <w:sig w:usb0="E00002FF" w:usb1="2AC7FDFF" w:usb2="00000016" w:usb3="00000000" w:csb0="2002009F" w:csb1="00000000"/>
  </w:font>
  <w:font w:name="Wingdings 2">
    <w:altName w:val="Wingdings"/>
    <w:panose1 w:val="05020102010507070707"/>
    <w:charset w:val="02"/>
    <w:family w:val="roman"/>
    <w:pitch w:val="default"/>
    <w:sig w:usb0="00000000" w:usb1="00000000" w:usb2="00000000" w:usb3="00000000" w:csb0="80000000" w:csb1="00000000"/>
  </w:font>
  <w:font w:name="TimesNewRomanPSMT">
    <w:altName w:val="Times New Roman"/>
    <w:panose1 w:val="00000000000000000000"/>
    <w:charset w:val="86"/>
    <w:family w:val="auto"/>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FD70C4">
    <w:pPr>
      <w:pStyle w:val="22"/>
      <w:ind w:firstLine="360"/>
      <w:rPr>
        <w:rFonts w:hint="default"/>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741D0D">
    <w:pPr>
      <w:pStyle w:val="22"/>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956982">
    <w:pPr>
      <w:pStyle w:val="22"/>
      <w:widowControl/>
      <w:adjustRightInd/>
      <w:spacing w:line="240" w:lineRule="auto"/>
      <w:ind w:firstLine="360" w:firstLineChars="0"/>
      <w:rPr>
        <w:rFonts w:hint="default"/>
      </w:rPr>
    </w:pPr>
    <w:r>
      <w:rPr>
        <w:rFonts w:hint="eastAsia"/>
        <w:lang w:eastAsia="zh-CN"/>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DC7D97">
    <w:pPr>
      <w:pStyle w:val="22"/>
      <w:widowControl/>
      <w:adjustRightInd/>
      <w:spacing w:line="240" w:lineRule="auto"/>
      <w:ind w:firstLine="360" w:firstLineChars="0"/>
      <w:rPr>
        <w:rFonts w:hint="default"/>
      </w:rPr>
    </w:pPr>
    <w:r>
      <w:rPr>
        <w:rFonts w:hint="eastAsia"/>
        <w:lang w:eastAsia="zh-CN"/>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58872E">
    <w:pPr>
      <w:pStyle w:val="22"/>
      <w:widowControl/>
      <w:adjustRightInd/>
      <w:spacing w:line="240" w:lineRule="auto"/>
      <w:ind w:firstLine="360" w:firstLineChars="0"/>
      <w:rPr>
        <w:rFonts w:hint="default"/>
      </w:rPr>
    </w:pPr>
    <w:r>
      <w:rPr>
        <w:rFonts w:hint="default"/>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3E5A0B26">
                          <w:pPr>
                            <w:pStyle w:val="22"/>
                            <w:ind w:firstLine="360"/>
                            <w:rPr>
                              <w:rFonts w:hint="default"/>
                            </w:rPr>
                          </w:pPr>
                          <w:r>
                            <w:fldChar w:fldCharType="begin"/>
                          </w:r>
                          <w:r>
                            <w:instrText xml:space="preserve"> PAGE  \* MERGEFORMAT </w:instrText>
                          </w:r>
                          <w:r>
                            <w:fldChar w:fldCharType="separate"/>
                          </w:r>
                          <w:r>
                            <w:rPr>
                              <w:rFonts w:hint="default"/>
                            </w:rPr>
                            <w:t>327</w:t>
                          </w:r>
                          <w:r>
                            <w:rPr>
                              <w:rFonts w:hint="default"/>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G8Zm0MQIAAGMEAAAOAAAAAAAAAAEAIAAAAB8BAABkcnMvZTJvRG9jLnhtbFBLBQYA&#10;AAAABgAGAFkBAADCBQAAAAA=&#10;">
              <v:fill on="f" focussize="0,0"/>
              <v:stroke on="f" weight="0.5pt"/>
              <v:imagedata o:title=""/>
              <o:lock v:ext="edit" aspectratio="f"/>
              <v:textbox inset="0mm,0mm,0mm,0mm" style="mso-fit-shape-to-text:t;">
                <w:txbxContent>
                  <w:p w14:paraId="3E5A0B26">
                    <w:pPr>
                      <w:pStyle w:val="22"/>
                      <w:ind w:firstLine="360"/>
                      <w:rPr>
                        <w:rFonts w:hint="default"/>
                      </w:rPr>
                    </w:pPr>
                    <w:r>
                      <w:fldChar w:fldCharType="begin"/>
                    </w:r>
                    <w:r>
                      <w:instrText xml:space="preserve"> PAGE  \* MERGEFORMAT </w:instrText>
                    </w:r>
                    <w:r>
                      <w:fldChar w:fldCharType="separate"/>
                    </w:r>
                    <w:r>
                      <w:rPr>
                        <w:rFonts w:hint="default"/>
                      </w:rPr>
                      <w:t>327</w:t>
                    </w:r>
                    <w:r>
                      <w:rPr>
                        <w:rFonts w:hint="default"/>
                      </w:rPr>
                      <w:fldChar w:fldCharType="end"/>
                    </w:r>
                  </w:p>
                </w:txbxContent>
              </v:textbox>
            </v:shape>
          </w:pict>
        </mc:Fallback>
      </mc:AlternateContent>
    </w:r>
    <w: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8A4EBE">
    <w:pPr>
      <w:pStyle w:val="22"/>
      <w:widowControl/>
      <w:adjustRightInd/>
      <w:spacing w:line="240" w:lineRule="auto"/>
      <w:ind w:firstLine="360" w:firstLineChars="0"/>
      <w:rPr>
        <w:rFonts w:hint="default"/>
      </w:rPr>
    </w:pPr>
    <w:r>
      <w:rPr>
        <w:rFonts w:hint="default"/>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3F541117">
                          <w:pPr>
                            <w:pStyle w:val="22"/>
                            <w:ind w:firstLine="360"/>
                            <w:rPr>
                              <w:rFonts w:hint="default"/>
                            </w:rPr>
                          </w:pPr>
                          <w:r>
                            <w:fldChar w:fldCharType="begin"/>
                          </w:r>
                          <w:r>
                            <w:instrText xml:space="preserve"> PAGE  \* MERGEFORMAT </w:instrText>
                          </w:r>
                          <w:r>
                            <w:fldChar w:fldCharType="separate"/>
                          </w:r>
                          <w:r>
                            <w:rPr>
                              <w:rFonts w:hint="default"/>
                            </w:rPr>
                            <w:t>331</w:t>
                          </w:r>
                          <w:r>
                            <w:rPr>
                              <w:rFonts w:hint="default"/>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DAEMRiOgIAAHEEAAAOAAAAAAAAAAEAIAAAAB8BAABkcnMvZTJvRG9j&#10;LnhtbFBLBQYAAAAABgAGAFkBAADLBQAAAAA=&#10;">
              <v:fill on="f" focussize="0,0"/>
              <v:stroke on="f" weight="0.5pt"/>
              <v:imagedata o:title=""/>
              <o:lock v:ext="edit" aspectratio="f"/>
              <v:textbox inset="0mm,0mm,0mm,0mm" style="mso-fit-shape-to-text:t;">
                <w:txbxContent>
                  <w:p w14:paraId="3F541117">
                    <w:pPr>
                      <w:pStyle w:val="22"/>
                      <w:ind w:firstLine="360"/>
                      <w:rPr>
                        <w:rFonts w:hint="default"/>
                      </w:rPr>
                    </w:pPr>
                    <w:r>
                      <w:fldChar w:fldCharType="begin"/>
                    </w:r>
                    <w:r>
                      <w:instrText xml:space="preserve"> PAGE  \* MERGEFORMAT </w:instrText>
                    </w:r>
                    <w:r>
                      <w:fldChar w:fldCharType="separate"/>
                    </w:r>
                    <w:r>
                      <w:rPr>
                        <w:rFonts w:hint="default"/>
                      </w:rPr>
                      <w:t>331</w:t>
                    </w:r>
                    <w:r>
                      <w:rPr>
                        <w:rFonts w:hint="default"/>
                      </w:rPr>
                      <w:fldChar w:fldCharType="end"/>
                    </w:r>
                  </w:p>
                </w:txbxContent>
              </v:textbox>
            </v:shape>
          </w:pict>
        </mc:Fallback>
      </mc:AlternateContent>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BF2BB0">
    <w:pPr>
      <w:widowControl/>
      <w:adjustRightInd/>
      <w:spacing w:line="240" w:lineRule="auto"/>
      <w:ind w:firstLine="0" w:firstLineChars="0"/>
      <w:jc w:val="left"/>
      <w:rPr>
        <w:rFonts w:ascii="宋体" w:hAnsi="宋体" w:cs="宋体"/>
        <w:kern w:val="0"/>
      </w:rPr>
    </w:pPr>
    <w:r>
      <w:rPr>
        <w:rFonts w:hint="eastAsia" w:ascii="宋体" w:hAnsi="宋体" w:cs="宋体"/>
        <w:kern w:val="0"/>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859644">
    <w:pPr>
      <w:pStyle w:val="23"/>
      <w:pBdr>
        <w:bottom w:val="none" w:color="auto" w:sz="0" w:space="1"/>
      </w:pBdr>
      <w:ind w:firstLine="360"/>
      <w:jc w:val="both"/>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D2EB60">
    <w:pPr>
      <w:pStyle w:val="23"/>
      <w:jc w:val="both"/>
      <w:rPr>
        <w:rFonts w:hint="eastAsia"/>
        <w:lang w:val="zh-CN"/>
      </w:rPr>
    </w:pPr>
    <w:r>
      <w:rPr>
        <w:rFonts w:hint="eastAsia"/>
        <w:lang w:val="zh-CN"/>
      </w:rPr>
      <w:t>湖南鑫钰兴科技有限公司</w:t>
    </w:r>
    <w:r>
      <w:rPr>
        <w:rFonts w:hint="eastAsia"/>
        <w:lang w:val="en-US" w:eastAsia="zh-CN"/>
      </w:rPr>
      <w:t>2</w:t>
    </w:r>
    <w:r>
      <w:rPr>
        <w:rFonts w:hint="eastAsia"/>
        <w:lang w:val="zh-CN"/>
      </w:rPr>
      <w:t>0000吨/年高氯酸钠、</w:t>
    </w:r>
    <w:r>
      <w:rPr>
        <w:rFonts w:hint="eastAsia"/>
        <w:lang w:val="en-US" w:eastAsia="zh-CN"/>
      </w:rPr>
      <w:t>2</w:t>
    </w:r>
    <w:r>
      <w:rPr>
        <w:rFonts w:hint="eastAsia"/>
        <w:lang w:val="zh-CN"/>
      </w:rPr>
      <w:t>0000吨/年高氯酸钾</w:t>
    </w:r>
    <w:r>
      <w:rPr>
        <w:rFonts w:hint="eastAsia"/>
        <w:lang w:val="en-US" w:eastAsia="zh-CN"/>
      </w:rPr>
      <w:t>等</w:t>
    </w:r>
    <w:r>
      <w:rPr>
        <w:rFonts w:hint="eastAsia"/>
        <w:lang w:val="zh-CN"/>
      </w:rPr>
      <w:t>新建项目环境影响报告书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4273EB1"/>
    <w:multiLevelType w:val="multilevel"/>
    <w:tmpl w:val="94273EB1"/>
    <w:lvl w:ilvl="0" w:tentative="0">
      <w:start w:val="1"/>
      <w:numFmt w:val="decimal"/>
      <w:pStyle w:val="2"/>
      <w:isLgl/>
      <w:suff w:val="space"/>
      <w:lvlText w:val="%1"/>
      <w:lvlJc w:val="center"/>
      <w:pPr>
        <w:tabs>
          <w:tab w:val="left" w:pos="420"/>
        </w:tabs>
        <w:ind w:left="0" w:firstLine="0"/>
      </w:pPr>
      <w:rPr>
        <w:rFonts w:hint="default" w:ascii="Times New Roman" w:hAnsi="Times New Roman" w:eastAsia="宋体" w:cs="Times New Roman"/>
        <w:b/>
        <w:bCs/>
        <w:sz w:val="44"/>
        <w:szCs w:val="44"/>
      </w:rPr>
    </w:lvl>
    <w:lvl w:ilvl="1" w:tentative="0">
      <w:start w:val="1"/>
      <w:numFmt w:val="decimal"/>
      <w:pStyle w:val="3"/>
      <w:isLgl/>
      <w:suff w:val="space"/>
      <w:lvlText w:val="%1.%2"/>
      <w:lvlJc w:val="left"/>
      <w:pPr>
        <w:tabs>
          <w:tab w:val="left" w:pos="0"/>
        </w:tabs>
        <w:ind w:left="0" w:firstLine="0"/>
      </w:pPr>
      <w:rPr>
        <w:rFonts w:hint="default" w:ascii="Times New Roman" w:hAnsi="Times New Roman" w:eastAsia="宋体" w:cs="Times New Roman"/>
        <w:b/>
        <w:bCs/>
        <w:sz w:val="32"/>
        <w:szCs w:val="32"/>
      </w:rPr>
    </w:lvl>
    <w:lvl w:ilvl="2" w:tentative="0">
      <w:start w:val="1"/>
      <w:numFmt w:val="decimal"/>
      <w:pStyle w:val="4"/>
      <w:isLgl/>
      <w:suff w:val="space"/>
      <w:lvlText w:val="%1.%2.%3"/>
      <w:lvlJc w:val="left"/>
      <w:pPr>
        <w:tabs>
          <w:tab w:val="left" w:pos="420"/>
        </w:tabs>
        <w:ind w:left="0" w:firstLine="0"/>
      </w:pPr>
      <w:rPr>
        <w:rFonts w:hint="default" w:ascii="Times New Roman" w:hAnsi="Times New Roman" w:eastAsia="宋体" w:cs="Times New Roman"/>
        <w:b/>
        <w:bCs/>
        <w:sz w:val="28"/>
        <w:szCs w:val="28"/>
      </w:rPr>
    </w:lvl>
    <w:lvl w:ilvl="3" w:tentative="0">
      <w:start w:val="1"/>
      <w:numFmt w:val="decimal"/>
      <w:pStyle w:val="5"/>
      <w:isLgl/>
      <w:suff w:val="space"/>
      <w:lvlText w:val="%1.%2.%3.%4"/>
      <w:lvlJc w:val="left"/>
      <w:pPr>
        <w:tabs>
          <w:tab w:val="left" w:pos="0"/>
        </w:tabs>
        <w:ind w:left="0" w:firstLine="0"/>
      </w:pPr>
      <w:rPr>
        <w:rFonts w:hint="default" w:ascii="Times New Roman" w:hAnsi="Times New Roman" w:eastAsia="宋体" w:cs="Times New Roman"/>
        <w:b/>
        <w:bCs/>
        <w:sz w:val="24"/>
        <w:szCs w:val="24"/>
      </w:rPr>
    </w:lvl>
    <w:lvl w:ilvl="4" w:tentative="0">
      <w:start w:val="1"/>
      <w:numFmt w:val="decimal"/>
      <w:pStyle w:val="6"/>
      <w:suff w:val="nothing"/>
      <w:lvlText w:val="%5、"/>
      <w:lvlJc w:val="left"/>
      <w:pPr>
        <w:tabs>
          <w:tab w:val="left" w:pos="0"/>
        </w:tabs>
        <w:ind w:left="420" w:hanging="420"/>
      </w:pPr>
      <w:rPr>
        <w:rFonts w:hint="default" w:ascii="Times New Roman" w:hAnsi="Times New Roman" w:eastAsia="宋体" w:cs="Times New Roman"/>
        <w:b/>
        <w:bCs/>
        <w:sz w:val="24"/>
        <w:szCs w:val="24"/>
      </w:rPr>
    </w:lvl>
    <w:lvl w:ilvl="5" w:tentative="0">
      <w:start w:val="1"/>
      <w:numFmt w:val="decimal"/>
      <w:lvlRestart w:val="2"/>
      <w:pStyle w:val="43"/>
      <w:isLgl/>
      <w:suff w:val="space"/>
      <w:lvlText w:val="表%1.%2-%6"/>
      <w:lvlJc w:val="center"/>
      <w:pPr>
        <w:tabs>
          <w:tab w:val="left" w:pos="420"/>
        </w:tabs>
        <w:ind w:left="0" w:firstLine="0"/>
      </w:pPr>
      <w:rPr>
        <w:rFonts w:hint="default" w:ascii="Times New Roman" w:hAnsi="Times New Roman" w:eastAsia="宋体" w:cs="Times New Roman"/>
        <w:b/>
        <w:bCs/>
        <w:sz w:val="21"/>
        <w:szCs w:val="21"/>
      </w:rPr>
    </w:lvl>
    <w:lvl w:ilvl="6" w:tentative="0">
      <w:start w:val="1"/>
      <w:numFmt w:val="decimal"/>
      <w:lvlRestart w:val="2"/>
      <w:pStyle w:val="42"/>
      <w:isLgl/>
      <w:suff w:val="space"/>
      <w:lvlText w:val="图%1.%2-%7"/>
      <w:lvlJc w:val="center"/>
      <w:pPr>
        <w:tabs>
          <w:tab w:val="left" w:pos="420"/>
        </w:tabs>
        <w:ind w:left="0" w:firstLine="0"/>
      </w:pPr>
      <w:rPr>
        <w:rFonts w:hint="default" w:ascii="Times New Roman" w:hAnsi="Times New Roman" w:eastAsia="宋体" w:cs="Times New Roman"/>
        <w:b/>
        <w:bCs/>
        <w:sz w:val="21"/>
        <w:szCs w:val="21"/>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abstractNum w:abstractNumId="1">
    <w:nsid w:val="A1A8A23D"/>
    <w:multiLevelType w:val="singleLevel"/>
    <w:tmpl w:val="A1A8A23D"/>
    <w:lvl w:ilvl="0" w:tentative="0">
      <w:start w:val="1"/>
      <w:numFmt w:val="decimal"/>
      <w:suff w:val="nothing"/>
      <w:lvlText w:val="（%1）"/>
      <w:lvlJc w:val="left"/>
    </w:lvl>
  </w:abstractNum>
  <w:abstractNum w:abstractNumId="2">
    <w:nsid w:val="AD6A739E"/>
    <w:multiLevelType w:val="singleLevel"/>
    <w:tmpl w:val="AD6A739E"/>
    <w:lvl w:ilvl="0" w:tentative="0">
      <w:start w:val="2"/>
      <w:numFmt w:val="decimal"/>
      <w:suff w:val="nothing"/>
      <w:lvlText w:val="%1、"/>
      <w:lvlJc w:val="left"/>
    </w:lvl>
  </w:abstractNum>
  <w:abstractNum w:abstractNumId="3">
    <w:nsid w:val="B66F9F2F"/>
    <w:multiLevelType w:val="singleLevel"/>
    <w:tmpl w:val="B66F9F2F"/>
    <w:lvl w:ilvl="0" w:tentative="0">
      <w:start w:val="1"/>
      <w:numFmt w:val="decimal"/>
      <w:suff w:val="nothing"/>
      <w:lvlText w:val="（%1）"/>
      <w:lvlJc w:val="left"/>
    </w:lvl>
  </w:abstractNum>
  <w:abstractNum w:abstractNumId="4">
    <w:nsid w:val="BE281C43"/>
    <w:multiLevelType w:val="singleLevel"/>
    <w:tmpl w:val="BE281C43"/>
    <w:lvl w:ilvl="0" w:tentative="0">
      <w:start w:val="1"/>
      <w:numFmt w:val="decimal"/>
      <w:suff w:val="nothing"/>
      <w:lvlText w:val="（%1）"/>
      <w:lvlJc w:val="left"/>
    </w:lvl>
  </w:abstractNum>
  <w:abstractNum w:abstractNumId="5">
    <w:nsid w:val="C10E2511"/>
    <w:multiLevelType w:val="singleLevel"/>
    <w:tmpl w:val="C10E2511"/>
    <w:lvl w:ilvl="0" w:tentative="0">
      <w:start w:val="1"/>
      <w:numFmt w:val="decimal"/>
      <w:suff w:val="nothing"/>
      <w:lvlText w:val="（%1）"/>
      <w:lvlJc w:val="left"/>
    </w:lvl>
  </w:abstractNum>
  <w:abstractNum w:abstractNumId="6">
    <w:nsid w:val="F429B1F2"/>
    <w:multiLevelType w:val="singleLevel"/>
    <w:tmpl w:val="F429B1F2"/>
    <w:lvl w:ilvl="0" w:tentative="0">
      <w:start w:val="1"/>
      <w:numFmt w:val="decimal"/>
      <w:suff w:val="nothing"/>
      <w:lvlText w:val="%1）"/>
      <w:lvlJc w:val="left"/>
    </w:lvl>
  </w:abstractNum>
  <w:abstractNum w:abstractNumId="7">
    <w:nsid w:val="FE3E19D7"/>
    <w:multiLevelType w:val="singleLevel"/>
    <w:tmpl w:val="FE3E19D7"/>
    <w:lvl w:ilvl="0" w:tentative="0">
      <w:start w:val="1"/>
      <w:numFmt w:val="decimal"/>
      <w:suff w:val="nothing"/>
      <w:lvlText w:val="（%1）"/>
      <w:lvlJc w:val="left"/>
    </w:lvl>
  </w:abstractNum>
  <w:abstractNum w:abstractNumId="8">
    <w:nsid w:val="25302EB0"/>
    <w:multiLevelType w:val="singleLevel"/>
    <w:tmpl w:val="25302EB0"/>
    <w:lvl w:ilvl="0" w:tentative="0">
      <w:start w:val="2"/>
      <w:numFmt w:val="chineseCounting"/>
      <w:suff w:val="nothing"/>
      <w:lvlText w:val="（%1）"/>
      <w:lvlJc w:val="left"/>
      <w:rPr>
        <w:rFonts w:hint="eastAsia"/>
      </w:rPr>
    </w:lvl>
  </w:abstractNum>
  <w:abstractNum w:abstractNumId="9">
    <w:nsid w:val="26D5C1DC"/>
    <w:multiLevelType w:val="singleLevel"/>
    <w:tmpl w:val="26D5C1DC"/>
    <w:lvl w:ilvl="0" w:tentative="0">
      <w:start w:val="1"/>
      <w:numFmt w:val="decimal"/>
      <w:suff w:val="nothing"/>
      <w:lvlText w:val="（%1）"/>
      <w:lvlJc w:val="left"/>
    </w:lvl>
  </w:abstractNum>
  <w:abstractNum w:abstractNumId="10">
    <w:nsid w:val="30E52B5F"/>
    <w:multiLevelType w:val="singleLevel"/>
    <w:tmpl w:val="30E52B5F"/>
    <w:lvl w:ilvl="0" w:tentative="0">
      <w:start w:val="1"/>
      <w:numFmt w:val="decimal"/>
      <w:suff w:val="nothing"/>
      <w:lvlText w:val="（%1）"/>
      <w:lvlJc w:val="left"/>
    </w:lvl>
  </w:abstractNum>
  <w:abstractNum w:abstractNumId="11">
    <w:nsid w:val="315B981A"/>
    <w:multiLevelType w:val="singleLevel"/>
    <w:tmpl w:val="315B981A"/>
    <w:lvl w:ilvl="0" w:tentative="0">
      <w:start w:val="1"/>
      <w:numFmt w:val="decimal"/>
      <w:suff w:val="nothing"/>
      <w:lvlText w:val="（%1）"/>
      <w:lvlJc w:val="left"/>
    </w:lvl>
  </w:abstractNum>
  <w:abstractNum w:abstractNumId="12">
    <w:nsid w:val="45440F4F"/>
    <w:multiLevelType w:val="multilevel"/>
    <w:tmpl w:val="45440F4F"/>
    <w:lvl w:ilvl="0" w:tentative="0">
      <w:start w:val="1"/>
      <w:numFmt w:val="decimal"/>
      <w:suff w:val="nothing"/>
      <w:lvlText w:val="%1."/>
      <w:lvlJc w:val="left"/>
      <w:pPr>
        <w:ind w:left="1320" w:hanging="84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3">
    <w:nsid w:val="46A9079A"/>
    <w:multiLevelType w:val="multilevel"/>
    <w:tmpl w:val="46A9079A"/>
    <w:lvl w:ilvl="0" w:tentative="0">
      <w:start w:val="1"/>
      <w:numFmt w:val="decimal"/>
      <w:suff w:val="nothing"/>
      <w:lvlText w:val="%1."/>
      <w:lvlJc w:val="left"/>
      <w:pPr>
        <w:ind w:left="1320" w:hanging="840"/>
      </w:pPr>
      <w:rPr>
        <w:rFonts w:hint="default"/>
        <w:color w:val="auto"/>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4">
    <w:nsid w:val="621B032E"/>
    <w:multiLevelType w:val="multilevel"/>
    <w:tmpl w:val="621B032E"/>
    <w:lvl w:ilvl="0" w:tentative="0">
      <w:start w:val="1"/>
      <w:numFmt w:val="decimal"/>
      <w:suff w:val="nothing"/>
      <w:lvlText w:val="%1."/>
      <w:lvlJc w:val="left"/>
      <w:pPr>
        <w:ind w:left="1320" w:hanging="840"/>
      </w:pPr>
      <w:rPr>
        <w:rFonts w:hint="default"/>
      </w:rPr>
    </w:lvl>
    <w:lvl w:ilvl="1" w:tentative="0">
      <w:start w:val="1"/>
      <w:numFmt w:val="decimalEnclosedCircle"/>
      <w:lvlText w:val="%2_x0001_"/>
      <w:lvlJc w:val="left"/>
      <w:pPr>
        <w:ind w:left="1260" w:hanging="360"/>
      </w:pPr>
      <w:rPr>
        <w:rFonts w:hint="default" w:ascii="宋体" w:hAnsi="宋体" w:cs="宋体"/>
      </w:r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5">
    <w:nsid w:val="653AF8F9"/>
    <w:multiLevelType w:val="singleLevel"/>
    <w:tmpl w:val="653AF8F9"/>
    <w:lvl w:ilvl="0" w:tentative="0">
      <w:start w:val="1"/>
      <w:numFmt w:val="decimal"/>
      <w:suff w:val="nothing"/>
      <w:lvlText w:val="（%1）"/>
      <w:lvlJc w:val="left"/>
    </w:lvl>
  </w:abstractNum>
  <w:abstractNum w:abstractNumId="16">
    <w:nsid w:val="6B95067D"/>
    <w:multiLevelType w:val="singleLevel"/>
    <w:tmpl w:val="6B95067D"/>
    <w:lvl w:ilvl="0" w:tentative="0">
      <w:start w:val="1"/>
      <w:numFmt w:val="decimal"/>
      <w:suff w:val="nothing"/>
      <w:lvlText w:val="%1）"/>
      <w:lvlJc w:val="left"/>
    </w:lvl>
  </w:abstractNum>
  <w:abstractNum w:abstractNumId="17">
    <w:nsid w:val="6FA7DAED"/>
    <w:multiLevelType w:val="singleLevel"/>
    <w:tmpl w:val="6FA7DAED"/>
    <w:lvl w:ilvl="0" w:tentative="0">
      <w:start w:val="1"/>
      <w:numFmt w:val="decimal"/>
      <w:suff w:val="nothing"/>
      <w:lvlText w:val="（%1）"/>
      <w:lvlJc w:val="left"/>
    </w:lvl>
  </w:abstractNum>
  <w:abstractNum w:abstractNumId="18">
    <w:nsid w:val="7AAA27EF"/>
    <w:multiLevelType w:val="multilevel"/>
    <w:tmpl w:val="7AAA27EF"/>
    <w:lvl w:ilvl="0" w:tentative="0">
      <w:start w:val="1"/>
      <w:numFmt w:val="decimal"/>
      <w:isLgl/>
      <w:suff w:val="space"/>
      <w:lvlText w:val="%1"/>
      <w:lvlJc w:val="center"/>
      <w:pPr>
        <w:tabs>
          <w:tab w:val="left" w:pos="420"/>
        </w:tabs>
        <w:ind w:left="0" w:firstLine="0"/>
      </w:pPr>
      <w:rPr>
        <w:rFonts w:hint="default" w:ascii="Times New Roman" w:hAnsi="Times New Roman" w:eastAsia="宋体" w:cs="Times New Roman"/>
        <w:b/>
        <w:bCs/>
        <w:sz w:val="44"/>
        <w:szCs w:val="44"/>
      </w:rPr>
    </w:lvl>
    <w:lvl w:ilvl="1" w:tentative="0">
      <w:start w:val="1"/>
      <w:numFmt w:val="decimal"/>
      <w:isLgl/>
      <w:suff w:val="space"/>
      <w:lvlText w:val="%1.%2"/>
      <w:lvlJc w:val="left"/>
      <w:pPr>
        <w:tabs>
          <w:tab w:val="left" w:pos="0"/>
        </w:tabs>
        <w:ind w:left="0" w:firstLine="0"/>
      </w:pPr>
      <w:rPr>
        <w:rFonts w:hint="default" w:ascii="Times New Roman" w:hAnsi="Times New Roman" w:eastAsia="宋体" w:cs="Times New Roman"/>
        <w:b/>
        <w:bCs/>
        <w:sz w:val="32"/>
        <w:szCs w:val="32"/>
      </w:rPr>
    </w:lvl>
    <w:lvl w:ilvl="2" w:tentative="0">
      <w:start w:val="1"/>
      <w:numFmt w:val="decimal"/>
      <w:isLgl/>
      <w:suff w:val="space"/>
      <w:lvlText w:val="%1.%2.%3"/>
      <w:lvlJc w:val="left"/>
      <w:pPr>
        <w:tabs>
          <w:tab w:val="left" w:pos="420"/>
        </w:tabs>
        <w:ind w:left="0" w:firstLine="0"/>
      </w:pPr>
      <w:rPr>
        <w:rFonts w:hint="default" w:ascii="Times New Roman" w:hAnsi="Times New Roman" w:eastAsia="宋体" w:cs="Times New Roman"/>
        <w:b/>
        <w:bCs/>
        <w:sz w:val="28"/>
        <w:szCs w:val="28"/>
      </w:rPr>
    </w:lvl>
    <w:lvl w:ilvl="3" w:tentative="0">
      <w:start w:val="1"/>
      <w:numFmt w:val="decimal"/>
      <w:isLgl/>
      <w:suff w:val="space"/>
      <w:lvlText w:val="%1.%2.%3.%4"/>
      <w:lvlJc w:val="left"/>
      <w:pPr>
        <w:tabs>
          <w:tab w:val="left" w:pos="420"/>
        </w:tabs>
        <w:ind w:left="0" w:firstLine="0"/>
      </w:pPr>
      <w:rPr>
        <w:rFonts w:hint="default" w:ascii="Times New Roman" w:hAnsi="Times New Roman" w:eastAsia="宋体" w:cs="Times New Roman"/>
        <w:b/>
        <w:bCs/>
        <w:sz w:val="24"/>
        <w:szCs w:val="24"/>
      </w:rPr>
    </w:lvl>
    <w:lvl w:ilvl="4" w:tentative="0">
      <w:start w:val="1"/>
      <w:numFmt w:val="none"/>
      <w:lvlRestart w:val="2"/>
      <w:isLgl/>
      <w:suff w:val="space"/>
      <w:lvlText w:val="表%1.%2-%5"/>
      <w:lvlJc w:val="center"/>
      <w:pPr>
        <w:tabs>
          <w:tab w:val="left" w:pos="420"/>
        </w:tabs>
        <w:ind w:left="0" w:firstLine="0"/>
      </w:pPr>
      <w:rPr>
        <w:rFonts w:hint="default" w:ascii="Times New Roman" w:hAnsi="Times New Roman" w:eastAsia="宋体" w:cs="Times New Roman"/>
        <w:b/>
        <w:bCs/>
        <w:sz w:val="21"/>
      </w:rPr>
    </w:lvl>
    <w:lvl w:ilvl="5" w:tentative="0">
      <w:start w:val="1"/>
      <w:numFmt w:val="decimal"/>
      <w:lvlRestart w:val="2"/>
      <w:isLgl/>
      <w:suff w:val="space"/>
      <w:lvlText w:val="图%1.%2-%6"/>
      <w:lvlJc w:val="center"/>
      <w:pPr>
        <w:tabs>
          <w:tab w:val="left" w:pos="420"/>
        </w:tabs>
        <w:ind w:left="0" w:firstLine="0"/>
      </w:pPr>
      <w:rPr>
        <w:rFonts w:hint="default" w:ascii="Times New Roman" w:hAnsi="Times New Roman" w:eastAsia="宋体" w:cs="Times New Roman"/>
        <w:b/>
        <w:bCs/>
        <w:sz w:val="21"/>
        <w:szCs w:val="21"/>
      </w:rPr>
    </w:lvl>
    <w:lvl w:ilvl="6" w:tentative="0">
      <w:start w:val="1"/>
      <w:numFmt w:val="decimal"/>
      <w:pStyle w:val="8"/>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19">
    <w:nsid w:val="7CC56A99"/>
    <w:multiLevelType w:val="singleLevel"/>
    <w:tmpl w:val="7CC56A99"/>
    <w:lvl w:ilvl="0" w:tentative="0">
      <w:start w:val="1"/>
      <w:numFmt w:val="decimal"/>
      <w:suff w:val="nothing"/>
      <w:lvlText w:val="（%1）"/>
      <w:lvlJc w:val="left"/>
    </w:lvl>
  </w:abstractNum>
  <w:num w:numId="1">
    <w:abstractNumId w:val="0"/>
  </w:num>
  <w:num w:numId="2">
    <w:abstractNumId w:val="18"/>
  </w:num>
  <w:num w:numId="3">
    <w:abstractNumId w:val="16"/>
  </w:num>
  <w:num w:numId="4">
    <w:abstractNumId w:val="13"/>
  </w:num>
  <w:num w:numId="5">
    <w:abstractNumId w:val="12"/>
  </w:num>
  <w:num w:numId="6">
    <w:abstractNumId w:val="14"/>
  </w:num>
  <w:num w:numId="7">
    <w:abstractNumId w:val="3"/>
  </w:num>
  <w:num w:numId="8">
    <w:abstractNumId w:val="9"/>
  </w:num>
  <w:num w:numId="9">
    <w:abstractNumId w:val="7"/>
  </w:num>
  <w:num w:numId="10">
    <w:abstractNumId w:val="19"/>
  </w:num>
  <w:num w:numId="11">
    <w:abstractNumId w:val="17"/>
  </w:num>
  <w:num w:numId="12">
    <w:abstractNumId w:val="10"/>
  </w:num>
  <w:num w:numId="13">
    <w:abstractNumId w:val="4"/>
  </w:num>
  <w:num w:numId="14">
    <w:abstractNumId w:val="11"/>
  </w:num>
  <w:num w:numId="15">
    <w:abstractNumId w:val="2"/>
  </w:num>
  <w:num w:numId="16">
    <w:abstractNumId w:val="15"/>
  </w:num>
  <w:num w:numId="17">
    <w:abstractNumId w:val="8"/>
  </w:num>
  <w:num w:numId="18">
    <w:abstractNumId w:val="1"/>
  </w:num>
  <w:num w:numId="19">
    <w:abstractNumId w:val="5"/>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ZlNGIwZmI4ZTFmN2U2MzBlYTUxMzQyY2VkMWEwOWQifQ=="/>
  </w:docVars>
  <w:rsids>
    <w:rsidRoot w:val="00172A27"/>
    <w:rsid w:val="00000BBF"/>
    <w:rsid w:val="00002BF1"/>
    <w:rsid w:val="00006FEE"/>
    <w:rsid w:val="00014601"/>
    <w:rsid w:val="00015474"/>
    <w:rsid w:val="0008426A"/>
    <w:rsid w:val="000928DD"/>
    <w:rsid w:val="000C2264"/>
    <w:rsid w:val="000F3881"/>
    <w:rsid w:val="000F5B89"/>
    <w:rsid w:val="00112850"/>
    <w:rsid w:val="00115F0D"/>
    <w:rsid w:val="00127B1F"/>
    <w:rsid w:val="00133387"/>
    <w:rsid w:val="0015564A"/>
    <w:rsid w:val="00172A27"/>
    <w:rsid w:val="001C07AD"/>
    <w:rsid w:val="001C5839"/>
    <w:rsid w:val="001F095B"/>
    <w:rsid w:val="00207E40"/>
    <w:rsid w:val="00213CF6"/>
    <w:rsid w:val="00215A08"/>
    <w:rsid w:val="00245CF6"/>
    <w:rsid w:val="002550E2"/>
    <w:rsid w:val="00272F1E"/>
    <w:rsid w:val="002B1B2D"/>
    <w:rsid w:val="003059F8"/>
    <w:rsid w:val="003236AB"/>
    <w:rsid w:val="003260AC"/>
    <w:rsid w:val="0035317A"/>
    <w:rsid w:val="003650A2"/>
    <w:rsid w:val="003663C5"/>
    <w:rsid w:val="00386560"/>
    <w:rsid w:val="003E1F69"/>
    <w:rsid w:val="003E6441"/>
    <w:rsid w:val="00416EB7"/>
    <w:rsid w:val="0042655D"/>
    <w:rsid w:val="00437041"/>
    <w:rsid w:val="00473ECE"/>
    <w:rsid w:val="0049232E"/>
    <w:rsid w:val="004A0092"/>
    <w:rsid w:val="004A3297"/>
    <w:rsid w:val="004D3A5D"/>
    <w:rsid w:val="0050016B"/>
    <w:rsid w:val="00525817"/>
    <w:rsid w:val="005507F7"/>
    <w:rsid w:val="005840AA"/>
    <w:rsid w:val="005A35C5"/>
    <w:rsid w:val="005D425D"/>
    <w:rsid w:val="005F0DC1"/>
    <w:rsid w:val="005F150B"/>
    <w:rsid w:val="00611EFC"/>
    <w:rsid w:val="00640472"/>
    <w:rsid w:val="006734D6"/>
    <w:rsid w:val="006A07D2"/>
    <w:rsid w:val="006B7DC5"/>
    <w:rsid w:val="006C0484"/>
    <w:rsid w:val="006E6C59"/>
    <w:rsid w:val="006F7F0B"/>
    <w:rsid w:val="00724E9B"/>
    <w:rsid w:val="00761848"/>
    <w:rsid w:val="007756C4"/>
    <w:rsid w:val="00787E75"/>
    <w:rsid w:val="00797A27"/>
    <w:rsid w:val="007C7CC5"/>
    <w:rsid w:val="007E2C79"/>
    <w:rsid w:val="007F1CE2"/>
    <w:rsid w:val="007F291C"/>
    <w:rsid w:val="007F742A"/>
    <w:rsid w:val="008326B1"/>
    <w:rsid w:val="008446FE"/>
    <w:rsid w:val="00846033"/>
    <w:rsid w:val="00873F67"/>
    <w:rsid w:val="008A20DA"/>
    <w:rsid w:val="008B7703"/>
    <w:rsid w:val="00917BE8"/>
    <w:rsid w:val="00925135"/>
    <w:rsid w:val="00963324"/>
    <w:rsid w:val="00984B6F"/>
    <w:rsid w:val="00995982"/>
    <w:rsid w:val="009B0006"/>
    <w:rsid w:val="009C2A1C"/>
    <w:rsid w:val="009C7328"/>
    <w:rsid w:val="009E19AD"/>
    <w:rsid w:val="00A37684"/>
    <w:rsid w:val="00A46CC8"/>
    <w:rsid w:val="00A612D9"/>
    <w:rsid w:val="00A61ECC"/>
    <w:rsid w:val="00AA03E9"/>
    <w:rsid w:val="00AB2CB0"/>
    <w:rsid w:val="00AB5FDD"/>
    <w:rsid w:val="00B206CF"/>
    <w:rsid w:val="00B37D76"/>
    <w:rsid w:val="00B540AA"/>
    <w:rsid w:val="00B5771D"/>
    <w:rsid w:val="00B627A2"/>
    <w:rsid w:val="00B66B47"/>
    <w:rsid w:val="00B779B9"/>
    <w:rsid w:val="00B77CA7"/>
    <w:rsid w:val="00BB3674"/>
    <w:rsid w:val="00BD5017"/>
    <w:rsid w:val="00C104B3"/>
    <w:rsid w:val="00C16146"/>
    <w:rsid w:val="00C27E9E"/>
    <w:rsid w:val="00C60B00"/>
    <w:rsid w:val="00C90875"/>
    <w:rsid w:val="00C942C0"/>
    <w:rsid w:val="00CC2B6F"/>
    <w:rsid w:val="00CE0008"/>
    <w:rsid w:val="00CF39FA"/>
    <w:rsid w:val="00D06B12"/>
    <w:rsid w:val="00D179CF"/>
    <w:rsid w:val="00D36218"/>
    <w:rsid w:val="00D373BF"/>
    <w:rsid w:val="00D50A42"/>
    <w:rsid w:val="00D61652"/>
    <w:rsid w:val="00D93ACA"/>
    <w:rsid w:val="00D97A96"/>
    <w:rsid w:val="00DA7FFD"/>
    <w:rsid w:val="00DB39A5"/>
    <w:rsid w:val="00DC7982"/>
    <w:rsid w:val="00DD4F4B"/>
    <w:rsid w:val="00DF4795"/>
    <w:rsid w:val="00E10AF4"/>
    <w:rsid w:val="00E152BE"/>
    <w:rsid w:val="00E42686"/>
    <w:rsid w:val="00E55555"/>
    <w:rsid w:val="00E63A92"/>
    <w:rsid w:val="00E84CAF"/>
    <w:rsid w:val="00EC2AA1"/>
    <w:rsid w:val="00ED1826"/>
    <w:rsid w:val="00ED3AC1"/>
    <w:rsid w:val="00F13199"/>
    <w:rsid w:val="00F25E79"/>
    <w:rsid w:val="00F47682"/>
    <w:rsid w:val="00F5110B"/>
    <w:rsid w:val="00F87E04"/>
    <w:rsid w:val="00FD2BDB"/>
    <w:rsid w:val="00FE0769"/>
    <w:rsid w:val="0116360A"/>
    <w:rsid w:val="011B64AF"/>
    <w:rsid w:val="011E0236"/>
    <w:rsid w:val="0139378E"/>
    <w:rsid w:val="014C3A9F"/>
    <w:rsid w:val="016814B1"/>
    <w:rsid w:val="016D177E"/>
    <w:rsid w:val="017E4639"/>
    <w:rsid w:val="01802434"/>
    <w:rsid w:val="01834672"/>
    <w:rsid w:val="01972F44"/>
    <w:rsid w:val="019B3634"/>
    <w:rsid w:val="019E1406"/>
    <w:rsid w:val="01AC75F0"/>
    <w:rsid w:val="01CE4015"/>
    <w:rsid w:val="01DD2E1B"/>
    <w:rsid w:val="01E50D53"/>
    <w:rsid w:val="02140B04"/>
    <w:rsid w:val="021B6373"/>
    <w:rsid w:val="023038A1"/>
    <w:rsid w:val="024B52AA"/>
    <w:rsid w:val="025C30E2"/>
    <w:rsid w:val="02636E2A"/>
    <w:rsid w:val="02685C0C"/>
    <w:rsid w:val="0295334F"/>
    <w:rsid w:val="02A76009"/>
    <w:rsid w:val="02BB74CC"/>
    <w:rsid w:val="02F46893"/>
    <w:rsid w:val="02FA5EB5"/>
    <w:rsid w:val="031F56D4"/>
    <w:rsid w:val="03222EC1"/>
    <w:rsid w:val="03362146"/>
    <w:rsid w:val="034B34AF"/>
    <w:rsid w:val="036A277D"/>
    <w:rsid w:val="03836A76"/>
    <w:rsid w:val="03862C40"/>
    <w:rsid w:val="039365C4"/>
    <w:rsid w:val="03C5328B"/>
    <w:rsid w:val="03CD028D"/>
    <w:rsid w:val="03D67D30"/>
    <w:rsid w:val="03E01030"/>
    <w:rsid w:val="03E87D86"/>
    <w:rsid w:val="04126A28"/>
    <w:rsid w:val="041E72EC"/>
    <w:rsid w:val="042C3164"/>
    <w:rsid w:val="04357D70"/>
    <w:rsid w:val="043E753D"/>
    <w:rsid w:val="04501303"/>
    <w:rsid w:val="045A259B"/>
    <w:rsid w:val="0490144A"/>
    <w:rsid w:val="04951CB8"/>
    <w:rsid w:val="04AE63D5"/>
    <w:rsid w:val="04D94B9F"/>
    <w:rsid w:val="04D96B34"/>
    <w:rsid w:val="04EB058F"/>
    <w:rsid w:val="04FF33D1"/>
    <w:rsid w:val="050D5268"/>
    <w:rsid w:val="052D4AAD"/>
    <w:rsid w:val="053B0092"/>
    <w:rsid w:val="054144F3"/>
    <w:rsid w:val="05423B3A"/>
    <w:rsid w:val="054364BD"/>
    <w:rsid w:val="0546231E"/>
    <w:rsid w:val="054D6802"/>
    <w:rsid w:val="056011EB"/>
    <w:rsid w:val="056120BB"/>
    <w:rsid w:val="0562201E"/>
    <w:rsid w:val="05667BD6"/>
    <w:rsid w:val="0575419C"/>
    <w:rsid w:val="058429D5"/>
    <w:rsid w:val="05A26130"/>
    <w:rsid w:val="05D42BBE"/>
    <w:rsid w:val="05E96383"/>
    <w:rsid w:val="060A2B37"/>
    <w:rsid w:val="0614628B"/>
    <w:rsid w:val="063F3CB8"/>
    <w:rsid w:val="06515254"/>
    <w:rsid w:val="06545732"/>
    <w:rsid w:val="065F10D4"/>
    <w:rsid w:val="06672F05"/>
    <w:rsid w:val="06847E54"/>
    <w:rsid w:val="068A00FA"/>
    <w:rsid w:val="06A502D4"/>
    <w:rsid w:val="06A61DF0"/>
    <w:rsid w:val="06E64B36"/>
    <w:rsid w:val="072915B0"/>
    <w:rsid w:val="07320FFD"/>
    <w:rsid w:val="073D330B"/>
    <w:rsid w:val="074C3ACA"/>
    <w:rsid w:val="077618E7"/>
    <w:rsid w:val="07883367"/>
    <w:rsid w:val="079E38B5"/>
    <w:rsid w:val="07B47BF0"/>
    <w:rsid w:val="07BB4078"/>
    <w:rsid w:val="07BE54A8"/>
    <w:rsid w:val="07CF0913"/>
    <w:rsid w:val="07D01B5E"/>
    <w:rsid w:val="07D5642C"/>
    <w:rsid w:val="07F43580"/>
    <w:rsid w:val="080F654C"/>
    <w:rsid w:val="08435355"/>
    <w:rsid w:val="087E0086"/>
    <w:rsid w:val="088C0F9B"/>
    <w:rsid w:val="089F4014"/>
    <w:rsid w:val="08FA50E4"/>
    <w:rsid w:val="08FB6DD6"/>
    <w:rsid w:val="08FD1A03"/>
    <w:rsid w:val="090D05AD"/>
    <w:rsid w:val="090F596E"/>
    <w:rsid w:val="092D6D3C"/>
    <w:rsid w:val="093305F6"/>
    <w:rsid w:val="09397A61"/>
    <w:rsid w:val="094D16B8"/>
    <w:rsid w:val="095933D7"/>
    <w:rsid w:val="096B5FE2"/>
    <w:rsid w:val="098079F0"/>
    <w:rsid w:val="099C1C70"/>
    <w:rsid w:val="09E65669"/>
    <w:rsid w:val="09EC6139"/>
    <w:rsid w:val="09FB55B8"/>
    <w:rsid w:val="0A0745F7"/>
    <w:rsid w:val="0A086C45"/>
    <w:rsid w:val="0A424195"/>
    <w:rsid w:val="0A443683"/>
    <w:rsid w:val="0A5D052E"/>
    <w:rsid w:val="0A9B643B"/>
    <w:rsid w:val="0AC24CCA"/>
    <w:rsid w:val="0ADD2F10"/>
    <w:rsid w:val="0AF148FB"/>
    <w:rsid w:val="0AF53DA4"/>
    <w:rsid w:val="0AF71927"/>
    <w:rsid w:val="0B0009AC"/>
    <w:rsid w:val="0B025111"/>
    <w:rsid w:val="0B0F437F"/>
    <w:rsid w:val="0B1338B8"/>
    <w:rsid w:val="0B297F03"/>
    <w:rsid w:val="0B2F1529"/>
    <w:rsid w:val="0B5A630E"/>
    <w:rsid w:val="0B990BF4"/>
    <w:rsid w:val="0B9B1793"/>
    <w:rsid w:val="0BEA0255"/>
    <w:rsid w:val="0BF73CBB"/>
    <w:rsid w:val="0C0031ED"/>
    <w:rsid w:val="0C0C2114"/>
    <w:rsid w:val="0C2846EE"/>
    <w:rsid w:val="0C343B59"/>
    <w:rsid w:val="0C441AC5"/>
    <w:rsid w:val="0C4F284A"/>
    <w:rsid w:val="0C4F3D90"/>
    <w:rsid w:val="0C775DC5"/>
    <w:rsid w:val="0CA13F0D"/>
    <w:rsid w:val="0CE30091"/>
    <w:rsid w:val="0D0E01FB"/>
    <w:rsid w:val="0D135272"/>
    <w:rsid w:val="0D357E8A"/>
    <w:rsid w:val="0D5B09C4"/>
    <w:rsid w:val="0D5C0DA0"/>
    <w:rsid w:val="0D6D057B"/>
    <w:rsid w:val="0D7D0092"/>
    <w:rsid w:val="0D7D5762"/>
    <w:rsid w:val="0D907DC5"/>
    <w:rsid w:val="0DA466A2"/>
    <w:rsid w:val="0DDA0622"/>
    <w:rsid w:val="0DF847B5"/>
    <w:rsid w:val="0E066414"/>
    <w:rsid w:val="0E2B49F7"/>
    <w:rsid w:val="0E503C16"/>
    <w:rsid w:val="0E65628D"/>
    <w:rsid w:val="0E684475"/>
    <w:rsid w:val="0E6A4C34"/>
    <w:rsid w:val="0E6A6EBD"/>
    <w:rsid w:val="0E8553DE"/>
    <w:rsid w:val="0EA32E48"/>
    <w:rsid w:val="0EC266A4"/>
    <w:rsid w:val="0EE859DF"/>
    <w:rsid w:val="0EEF6D6E"/>
    <w:rsid w:val="0EFC5FF9"/>
    <w:rsid w:val="0F0A004B"/>
    <w:rsid w:val="0F164DE4"/>
    <w:rsid w:val="0F1C14C9"/>
    <w:rsid w:val="0F517A28"/>
    <w:rsid w:val="0F65475B"/>
    <w:rsid w:val="0F6E6D13"/>
    <w:rsid w:val="0F7A01D4"/>
    <w:rsid w:val="0F7C2CF7"/>
    <w:rsid w:val="0F893B20"/>
    <w:rsid w:val="0FB02239"/>
    <w:rsid w:val="0FBF1EFD"/>
    <w:rsid w:val="0FC60CFE"/>
    <w:rsid w:val="0FDF5034"/>
    <w:rsid w:val="0FF24D69"/>
    <w:rsid w:val="100078FC"/>
    <w:rsid w:val="10025274"/>
    <w:rsid w:val="10187FC5"/>
    <w:rsid w:val="1065378B"/>
    <w:rsid w:val="10676E4B"/>
    <w:rsid w:val="10757746"/>
    <w:rsid w:val="10817E99"/>
    <w:rsid w:val="10A167F9"/>
    <w:rsid w:val="10AA5642"/>
    <w:rsid w:val="10BE796E"/>
    <w:rsid w:val="10C36704"/>
    <w:rsid w:val="10D118FD"/>
    <w:rsid w:val="10D63085"/>
    <w:rsid w:val="10EF6CB2"/>
    <w:rsid w:val="11094C37"/>
    <w:rsid w:val="110A60E1"/>
    <w:rsid w:val="11293FF3"/>
    <w:rsid w:val="1158780D"/>
    <w:rsid w:val="11850FF5"/>
    <w:rsid w:val="119618E8"/>
    <w:rsid w:val="11B50645"/>
    <w:rsid w:val="11B56CA5"/>
    <w:rsid w:val="11B76268"/>
    <w:rsid w:val="11BD3680"/>
    <w:rsid w:val="11C81F20"/>
    <w:rsid w:val="11CF23E7"/>
    <w:rsid w:val="11F43979"/>
    <w:rsid w:val="122512B0"/>
    <w:rsid w:val="1225782D"/>
    <w:rsid w:val="12262A15"/>
    <w:rsid w:val="124B2917"/>
    <w:rsid w:val="12527D3F"/>
    <w:rsid w:val="126A4CA5"/>
    <w:rsid w:val="126D3DBB"/>
    <w:rsid w:val="12723E23"/>
    <w:rsid w:val="127728CD"/>
    <w:rsid w:val="127A55E5"/>
    <w:rsid w:val="127C6BC4"/>
    <w:rsid w:val="127D546B"/>
    <w:rsid w:val="128B6FA1"/>
    <w:rsid w:val="129A19FD"/>
    <w:rsid w:val="12A10CC7"/>
    <w:rsid w:val="12A37585"/>
    <w:rsid w:val="12AA1929"/>
    <w:rsid w:val="12DA3FF8"/>
    <w:rsid w:val="12DD1CFF"/>
    <w:rsid w:val="12E73DD3"/>
    <w:rsid w:val="12FB6C31"/>
    <w:rsid w:val="13037183"/>
    <w:rsid w:val="13077B29"/>
    <w:rsid w:val="13113756"/>
    <w:rsid w:val="131B5657"/>
    <w:rsid w:val="13251EC4"/>
    <w:rsid w:val="13255454"/>
    <w:rsid w:val="132D673F"/>
    <w:rsid w:val="13377109"/>
    <w:rsid w:val="136F7F1C"/>
    <w:rsid w:val="138B5129"/>
    <w:rsid w:val="13A40152"/>
    <w:rsid w:val="13AA436C"/>
    <w:rsid w:val="13AC16D1"/>
    <w:rsid w:val="141334FE"/>
    <w:rsid w:val="142777E7"/>
    <w:rsid w:val="143567BC"/>
    <w:rsid w:val="1436094F"/>
    <w:rsid w:val="14396A7F"/>
    <w:rsid w:val="143D1571"/>
    <w:rsid w:val="14542F0B"/>
    <w:rsid w:val="1461253D"/>
    <w:rsid w:val="149E5704"/>
    <w:rsid w:val="14A97BF1"/>
    <w:rsid w:val="14B70B0D"/>
    <w:rsid w:val="14D07065"/>
    <w:rsid w:val="14FD6A90"/>
    <w:rsid w:val="14FE3332"/>
    <w:rsid w:val="151421E8"/>
    <w:rsid w:val="1514624F"/>
    <w:rsid w:val="151F5A36"/>
    <w:rsid w:val="15273705"/>
    <w:rsid w:val="15311E8E"/>
    <w:rsid w:val="154C5EF3"/>
    <w:rsid w:val="15762B2B"/>
    <w:rsid w:val="158739D9"/>
    <w:rsid w:val="158F5F97"/>
    <w:rsid w:val="15B40ADC"/>
    <w:rsid w:val="15C1206E"/>
    <w:rsid w:val="15D157EE"/>
    <w:rsid w:val="15D77901"/>
    <w:rsid w:val="16141DA7"/>
    <w:rsid w:val="162C2754"/>
    <w:rsid w:val="16650E99"/>
    <w:rsid w:val="166E12B1"/>
    <w:rsid w:val="167069E6"/>
    <w:rsid w:val="16991970"/>
    <w:rsid w:val="169C51BD"/>
    <w:rsid w:val="16AF04E6"/>
    <w:rsid w:val="16BA1690"/>
    <w:rsid w:val="16BB0E93"/>
    <w:rsid w:val="16D6791E"/>
    <w:rsid w:val="16E41182"/>
    <w:rsid w:val="16ED265A"/>
    <w:rsid w:val="16F50D2F"/>
    <w:rsid w:val="16FB3049"/>
    <w:rsid w:val="172C39D6"/>
    <w:rsid w:val="17457E73"/>
    <w:rsid w:val="17A656D6"/>
    <w:rsid w:val="17C94078"/>
    <w:rsid w:val="17D2114D"/>
    <w:rsid w:val="17DF5345"/>
    <w:rsid w:val="17F510C4"/>
    <w:rsid w:val="17F531ED"/>
    <w:rsid w:val="18135708"/>
    <w:rsid w:val="18301FC6"/>
    <w:rsid w:val="18321E40"/>
    <w:rsid w:val="18581E27"/>
    <w:rsid w:val="18607E79"/>
    <w:rsid w:val="186622ED"/>
    <w:rsid w:val="186B3909"/>
    <w:rsid w:val="18730EFE"/>
    <w:rsid w:val="18794B9A"/>
    <w:rsid w:val="188C387F"/>
    <w:rsid w:val="189F1E2A"/>
    <w:rsid w:val="18AF5E76"/>
    <w:rsid w:val="18CC3E32"/>
    <w:rsid w:val="18D53BAF"/>
    <w:rsid w:val="18E0305B"/>
    <w:rsid w:val="18FF0F35"/>
    <w:rsid w:val="1902181D"/>
    <w:rsid w:val="191E1C0D"/>
    <w:rsid w:val="192B28F9"/>
    <w:rsid w:val="192F183A"/>
    <w:rsid w:val="19356A88"/>
    <w:rsid w:val="194C186C"/>
    <w:rsid w:val="195C6AB9"/>
    <w:rsid w:val="19634069"/>
    <w:rsid w:val="19646E06"/>
    <w:rsid w:val="19670574"/>
    <w:rsid w:val="1977452F"/>
    <w:rsid w:val="197751C3"/>
    <w:rsid w:val="19793089"/>
    <w:rsid w:val="197E3CFC"/>
    <w:rsid w:val="1981715C"/>
    <w:rsid w:val="19922DCC"/>
    <w:rsid w:val="19B51BF8"/>
    <w:rsid w:val="19DE258D"/>
    <w:rsid w:val="1A1A3838"/>
    <w:rsid w:val="1A622AE9"/>
    <w:rsid w:val="1A801C88"/>
    <w:rsid w:val="1A941432"/>
    <w:rsid w:val="1A980448"/>
    <w:rsid w:val="1AAC37BC"/>
    <w:rsid w:val="1AAE3FFD"/>
    <w:rsid w:val="1ACB553A"/>
    <w:rsid w:val="1AD532A6"/>
    <w:rsid w:val="1B0F533E"/>
    <w:rsid w:val="1B18320C"/>
    <w:rsid w:val="1B214E1E"/>
    <w:rsid w:val="1B2453AC"/>
    <w:rsid w:val="1B2B2518"/>
    <w:rsid w:val="1B4B0CCD"/>
    <w:rsid w:val="1B595375"/>
    <w:rsid w:val="1B674B7B"/>
    <w:rsid w:val="1B8C2514"/>
    <w:rsid w:val="1BAA0D48"/>
    <w:rsid w:val="1BC021BE"/>
    <w:rsid w:val="1BDC79DA"/>
    <w:rsid w:val="1BDE6AB9"/>
    <w:rsid w:val="1BDF5DF0"/>
    <w:rsid w:val="1BEF4851"/>
    <w:rsid w:val="1BF34341"/>
    <w:rsid w:val="1BF6039D"/>
    <w:rsid w:val="1BF9663D"/>
    <w:rsid w:val="1BFD6F6E"/>
    <w:rsid w:val="1C1357D3"/>
    <w:rsid w:val="1C177D46"/>
    <w:rsid w:val="1C450F1F"/>
    <w:rsid w:val="1C454471"/>
    <w:rsid w:val="1C5534E2"/>
    <w:rsid w:val="1C6C6CC6"/>
    <w:rsid w:val="1C7C530F"/>
    <w:rsid w:val="1CA62FB2"/>
    <w:rsid w:val="1CAB5C60"/>
    <w:rsid w:val="1CB4466D"/>
    <w:rsid w:val="1CE04199"/>
    <w:rsid w:val="1CF6363D"/>
    <w:rsid w:val="1D185658"/>
    <w:rsid w:val="1D433CD9"/>
    <w:rsid w:val="1D7274E7"/>
    <w:rsid w:val="1D7C2114"/>
    <w:rsid w:val="1D7F3841"/>
    <w:rsid w:val="1D807E56"/>
    <w:rsid w:val="1D8D00CA"/>
    <w:rsid w:val="1DAF7454"/>
    <w:rsid w:val="1DBC497B"/>
    <w:rsid w:val="1DD45AAC"/>
    <w:rsid w:val="1DF1311D"/>
    <w:rsid w:val="1DF2419D"/>
    <w:rsid w:val="1DF931AC"/>
    <w:rsid w:val="1E01091B"/>
    <w:rsid w:val="1E094757"/>
    <w:rsid w:val="1E2C6AB5"/>
    <w:rsid w:val="1E656172"/>
    <w:rsid w:val="1E79106A"/>
    <w:rsid w:val="1E79668E"/>
    <w:rsid w:val="1E85324A"/>
    <w:rsid w:val="1EA60C1C"/>
    <w:rsid w:val="1ECE6BC7"/>
    <w:rsid w:val="1EDA65D9"/>
    <w:rsid w:val="1EDF6ABB"/>
    <w:rsid w:val="1EE25EC2"/>
    <w:rsid w:val="1EEE089D"/>
    <w:rsid w:val="1EEE44E6"/>
    <w:rsid w:val="1EFE07C0"/>
    <w:rsid w:val="1F337419"/>
    <w:rsid w:val="1F356A1F"/>
    <w:rsid w:val="1F4D0E9B"/>
    <w:rsid w:val="1F5D09FF"/>
    <w:rsid w:val="1F6317DE"/>
    <w:rsid w:val="1F942DE2"/>
    <w:rsid w:val="1FAB0F2E"/>
    <w:rsid w:val="1FB172F4"/>
    <w:rsid w:val="1FCF65F6"/>
    <w:rsid w:val="1FD62F5D"/>
    <w:rsid w:val="1FDB5818"/>
    <w:rsid w:val="1FDC62F1"/>
    <w:rsid w:val="1FE45AC8"/>
    <w:rsid w:val="1FF42436"/>
    <w:rsid w:val="1FFC1385"/>
    <w:rsid w:val="1FFC6AE1"/>
    <w:rsid w:val="1FFF092A"/>
    <w:rsid w:val="200B31DA"/>
    <w:rsid w:val="20280331"/>
    <w:rsid w:val="203C1EDE"/>
    <w:rsid w:val="203F1551"/>
    <w:rsid w:val="2040567B"/>
    <w:rsid w:val="20483003"/>
    <w:rsid w:val="207434EF"/>
    <w:rsid w:val="207B1BE6"/>
    <w:rsid w:val="207E7DB3"/>
    <w:rsid w:val="20953F8C"/>
    <w:rsid w:val="209E05F3"/>
    <w:rsid w:val="209F64C7"/>
    <w:rsid w:val="20C35284"/>
    <w:rsid w:val="20C602FC"/>
    <w:rsid w:val="20DF1F3E"/>
    <w:rsid w:val="2102443C"/>
    <w:rsid w:val="21132D8F"/>
    <w:rsid w:val="214B6711"/>
    <w:rsid w:val="21760DC8"/>
    <w:rsid w:val="218703AA"/>
    <w:rsid w:val="21922653"/>
    <w:rsid w:val="219B7A9E"/>
    <w:rsid w:val="21B81235"/>
    <w:rsid w:val="21BD7D55"/>
    <w:rsid w:val="21C978F2"/>
    <w:rsid w:val="21D34797"/>
    <w:rsid w:val="21E32E28"/>
    <w:rsid w:val="21E8421C"/>
    <w:rsid w:val="21FC52B6"/>
    <w:rsid w:val="21FE0593"/>
    <w:rsid w:val="22237002"/>
    <w:rsid w:val="22297C26"/>
    <w:rsid w:val="222B6610"/>
    <w:rsid w:val="22356D36"/>
    <w:rsid w:val="224D7283"/>
    <w:rsid w:val="225D5123"/>
    <w:rsid w:val="2265761B"/>
    <w:rsid w:val="228049FF"/>
    <w:rsid w:val="22D840F4"/>
    <w:rsid w:val="22DF56C1"/>
    <w:rsid w:val="22FF4132"/>
    <w:rsid w:val="23042EFF"/>
    <w:rsid w:val="23077058"/>
    <w:rsid w:val="232571DD"/>
    <w:rsid w:val="232738CC"/>
    <w:rsid w:val="232B0864"/>
    <w:rsid w:val="232E0826"/>
    <w:rsid w:val="23442AFC"/>
    <w:rsid w:val="235950DA"/>
    <w:rsid w:val="23665B38"/>
    <w:rsid w:val="236B3F49"/>
    <w:rsid w:val="238928E8"/>
    <w:rsid w:val="239857CE"/>
    <w:rsid w:val="23BC7A8C"/>
    <w:rsid w:val="23DD4D65"/>
    <w:rsid w:val="23F43D2D"/>
    <w:rsid w:val="24077429"/>
    <w:rsid w:val="24157582"/>
    <w:rsid w:val="243428CC"/>
    <w:rsid w:val="2440499A"/>
    <w:rsid w:val="244514B2"/>
    <w:rsid w:val="244E7A9B"/>
    <w:rsid w:val="24771887"/>
    <w:rsid w:val="24976EE2"/>
    <w:rsid w:val="24AA1FC1"/>
    <w:rsid w:val="24C22B02"/>
    <w:rsid w:val="25022852"/>
    <w:rsid w:val="251066D0"/>
    <w:rsid w:val="2531250A"/>
    <w:rsid w:val="25396B3D"/>
    <w:rsid w:val="2555579C"/>
    <w:rsid w:val="255A07AA"/>
    <w:rsid w:val="25891A63"/>
    <w:rsid w:val="25A06270"/>
    <w:rsid w:val="25E116AE"/>
    <w:rsid w:val="25E611B9"/>
    <w:rsid w:val="25F431FB"/>
    <w:rsid w:val="261849A4"/>
    <w:rsid w:val="26386F09"/>
    <w:rsid w:val="26430F4D"/>
    <w:rsid w:val="266B0F78"/>
    <w:rsid w:val="26881977"/>
    <w:rsid w:val="26954750"/>
    <w:rsid w:val="26B61A49"/>
    <w:rsid w:val="26B85E81"/>
    <w:rsid w:val="26B91654"/>
    <w:rsid w:val="26F67101"/>
    <w:rsid w:val="272E1912"/>
    <w:rsid w:val="27343A60"/>
    <w:rsid w:val="273E5401"/>
    <w:rsid w:val="27532348"/>
    <w:rsid w:val="27590CDB"/>
    <w:rsid w:val="27807D96"/>
    <w:rsid w:val="27893DAB"/>
    <w:rsid w:val="27960B86"/>
    <w:rsid w:val="27B25AEC"/>
    <w:rsid w:val="27BA6BF1"/>
    <w:rsid w:val="27CB3083"/>
    <w:rsid w:val="27D112AE"/>
    <w:rsid w:val="27E5140A"/>
    <w:rsid w:val="27E64B3D"/>
    <w:rsid w:val="2827581B"/>
    <w:rsid w:val="284E0B51"/>
    <w:rsid w:val="28873116"/>
    <w:rsid w:val="28956780"/>
    <w:rsid w:val="28B753DB"/>
    <w:rsid w:val="28BE67B4"/>
    <w:rsid w:val="28F2204D"/>
    <w:rsid w:val="29126DB4"/>
    <w:rsid w:val="291E0C65"/>
    <w:rsid w:val="293304FB"/>
    <w:rsid w:val="29336A3F"/>
    <w:rsid w:val="293B10D5"/>
    <w:rsid w:val="293E6A5C"/>
    <w:rsid w:val="29440C01"/>
    <w:rsid w:val="294B4916"/>
    <w:rsid w:val="294E3385"/>
    <w:rsid w:val="2964687E"/>
    <w:rsid w:val="298E334F"/>
    <w:rsid w:val="299E3412"/>
    <w:rsid w:val="29C92D8E"/>
    <w:rsid w:val="29CF7FCE"/>
    <w:rsid w:val="29DA7884"/>
    <w:rsid w:val="29EE6148"/>
    <w:rsid w:val="29FB0865"/>
    <w:rsid w:val="2A0E1BB8"/>
    <w:rsid w:val="2A430D05"/>
    <w:rsid w:val="2A480F21"/>
    <w:rsid w:val="2A603B99"/>
    <w:rsid w:val="2A617DCD"/>
    <w:rsid w:val="2A6B1546"/>
    <w:rsid w:val="2A785067"/>
    <w:rsid w:val="2A8645D2"/>
    <w:rsid w:val="2AA11EC3"/>
    <w:rsid w:val="2AA15A63"/>
    <w:rsid w:val="2AAF1D7B"/>
    <w:rsid w:val="2AB67CD5"/>
    <w:rsid w:val="2AB7478C"/>
    <w:rsid w:val="2ACD3FAF"/>
    <w:rsid w:val="2B0F4224"/>
    <w:rsid w:val="2B144ABE"/>
    <w:rsid w:val="2B4F0E68"/>
    <w:rsid w:val="2B545CF3"/>
    <w:rsid w:val="2B57559C"/>
    <w:rsid w:val="2B62064A"/>
    <w:rsid w:val="2B697608"/>
    <w:rsid w:val="2B7C0C4F"/>
    <w:rsid w:val="2B83088A"/>
    <w:rsid w:val="2B897C77"/>
    <w:rsid w:val="2B934083"/>
    <w:rsid w:val="2BA31F43"/>
    <w:rsid w:val="2BBD7DCB"/>
    <w:rsid w:val="2BDF0FC2"/>
    <w:rsid w:val="2BE045A2"/>
    <w:rsid w:val="2C1C3440"/>
    <w:rsid w:val="2C2045B2"/>
    <w:rsid w:val="2C39240A"/>
    <w:rsid w:val="2C3D1169"/>
    <w:rsid w:val="2C626979"/>
    <w:rsid w:val="2C654A2F"/>
    <w:rsid w:val="2C782F49"/>
    <w:rsid w:val="2C8E776E"/>
    <w:rsid w:val="2C8F2FE4"/>
    <w:rsid w:val="2C974875"/>
    <w:rsid w:val="2C9C632F"/>
    <w:rsid w:val="2CA814B4"/>
    <w:rsid w:val="2CB67DC5"/>
    <w:rsid w:val="2CD05826"/>
    <w:rsid w:val="2CD07D6F"/>
    <w:rsid w:val="2CF540CF"/>
    <w:rsid w:val="2CFC0B7C"/>
    <w:rsid w:val="2D142369"/>
    <w:rsid w:val="2D3C366E"/>
    <w:rsid w:val="2D436F09"/>
    <w:rsid w:val="2D700F57"/>
    <w:rsid w:val="2D880661"/>
    <w:rsid w:val="2D8E201B"/>
    <w:rsid w:val="2DA435C0"/>
    <w:rsid w:val="2DBE0D16"/>
    <w:rsid w:val="2DCA4203"/>
    <w:rsid w:val="2DCB21CD"/>
    <w:rsid w:val="2DD03E80"/>
    <w:rsid w:val="2DE67AD8"/>
    <w:rsid w:val="2DF9149C"/>
    <w:rsid w:val="2DFF6EC1"/>
    <w:rsid w:val="2E06332C"/>
    <w:rsid w:val="2E273203"/>
    <w:rsid w:val="2E36630F"/>
    <w:rsid w:val="2E4E4463"/>
    <w:rsid w:val="2E4F38B8"/>
    <w:rsid w:val="2E581E2E"/>
    <w:rsid w:val="2E744901"/>
    <w:rsid w:val="2E74707F"/>
    <w:rsid w:val="2E8F109F"/>
    <w:rsid w:val="2E9F3EB4"/>
    <w:rsid w:val="2EAC037F"/>
    <w:rsid w:val="2EBC6814"/>
    <w:rsid w:val="2ED40901"/>
    <w:rsid w:val="2EE67D35"/>
    <w:rsid w:val="2F000237"/>
    <w:rsid w:val="2F051922"/>
    <w:rsid w:val="2F1877C3"/>
    <w:rsid w:val="2F2C21F6"/>
    <w:rsid w:val="2F307EE2"/>
    <w:rsid w:val="2F421003"/>
    <w:rsid w:val="2F4A088A"/>
    <w:rsid w:val="2F5E78CC"/>
    <w:rsid w:val="2F960D2A"/>
    <w:rsid w:val="2FA31782"/>
    <w:rsid w:val="2FF8764A"/>
    <w:rsid w:val="301E14CD"/>
    <w:rsid w:val="30393953"/>
    <w:rsid w:val="304564A3"/>
    <w:rsid w:val="305F4F6B"/>
    <w:rsid w:val="30814E91"/>
    <w:rsid w:val="3083128A"/>
    <w:rsid w:val="309354DD"/>
    <w:rsid w:val="30AC28B9"/>
    <w:rsid w:val="30C85B0C"/>
    <w:rsid w:val="30CF704B"/>
    <w:rsid w:val="30D77936"/>
    <w:rsid w:val="30E7479C"/>
    <w:rsid w:val="30ED53AB"/>
    <w:rsid w:val="31256BD8"/>
    <w:rsid w:val="312608BD"/>
    <w:rsid w:val="313A1C72"/>
    <w:rsid w:val="31401D64"/>
    <w:rsid w:val="315232A5"/>
    <w:rsid w:val="31666F0B"/>
    <w:rsid w:val="316C0B2D"/>
    <w:rsid w:val="31973123"/>
    <w:rsid w:val="31A079BE"/>
    <w:rsid w:val="31BB6084"/>
    <w:rsid w:val="31C003CA"/>
    <w:rsid w:val="31C96B55"/>
    <w:rsid w:val="31F41069"/>
    <w:rsid w:val="31F70EE7"/>
    <w:rsid w:val="31FC35B0"/>
    <w:rsid w:val="320E77D3"/>
    <w:rsid w:val="32116E77"/>
    <w:rsid w:val="321C080D"/>
    <w:rsid w:val="321C0B09"/>
    <w:rsid w:val="325772C6"/>
    <w:rsid w:val="32760EDE"/>
    <w:rsid w:val="327A7A60"/>
    <w:rsid w:val="32892EB1"/>
    <w:rsid w:val="329D7CBE"/>
    <w:rsid w:val="32AA49CA"/>
    <w:rsid w:val="32B92CEC"/>
    <w:rsid w:val="334F4122"/>
    <w:rsid w:val="33782832"/>
    <w:rsid w:val="337E678E"/>
    <w:rsid w:val="33BE4066"/>
    <w:rsid w:val="33E04D53"/>
    <w:rsid w:val="340279D6"/>
    <w:rsid w:val="340B73E4"/>
    <w:rsid w:val="34227071"/>
    <w:rsid w:val="342828A1"/>
    <w:rsid w:val="342D5ABF"/>
    <w:rsid w:val="348F7BC9"/>
    <w:rsid w:val="349B4B8C"/>
    <w:rsid w:val="34A00986"/>
    <w:rsid w:val="34B92695"/>
    <w:rsid w:val="34BB30CA"/>
    <w:rsid w:val="34BF260B"/>
    <w:rsid w:val="34CB5A60"/>
    <w:rsid w:val="34D11B16"/>
    <w:rsid w:val="34E52BB0"/>
    <w:rsid w:val="34F767F8"/>
    <w:rsid w:val="34F8265B"/>
    <w:rsid w:val="350362E8"/>
    <w:rsid w:val="35127301"/>
    <w:rsid w:val="351C366B"/>
    <w:rsid w:val="3534120B"/>
    <w:rsid w:val="3566474C"/>
    <w:rsid w:val="357B63F7"/>
    <w:rsid w:val="357B78A3"/>
    <w:rsid w:val="357B7F5B"/>
    <w:rsid w:val="358B0839"/>
    <w:rsid w:val="359758E5"/>
    <w:rsid w:val="35B9229B"/>
    <w:rsid w:val="35C96B92"/>
    <w:rsid w:val="35DB4C08"/>
    <w:rsid w:val="35E676D9"/>
    <w:rsid w:val="360C41FF"/>
    <w:rsid w:val="36277E40"/>
    <w:rsid w:val="364C4922"/>
    <w:rsid w:val="364F62A7"/>
    <w:rsid w:val="365B655D"/>
    <w:rsid w:val="365C1AF5"/>
    <w:rsid w:val="368F6D74"/>
    <w:rsid w:val="36962041"/>
    <w:rsid w:val="36A7600A"/>
    <w:rsid w:val="36B44B1E"/>
    <w:rsid w:val="36BC5949"/>
    <w:rsid w:val="36D052C3"/>
    <w:rsid w:val="36D13079"/>
    <w:rsid w:val="37030A5B"/>
    <w:rsid w:val="370C0E9C"/>
    <w:rsid w:val="37113475"/>
    <w:rsid w:val="371E0A3C"/>
    <w:rsid w:val="372137AD"/>
    <w:rsid w:val="37421AD7"/>
    <w:rsid w:val="375F0685"/>
    <w:rsid w:val="376932B2"/>
    <w:rsid w:val="376B0771"/>
    <w:rsid w:val="3787198A"/>
    <w:rsid w:val="37B00E01"/>
    <w:rsid w:val="37CB0FFA"/>
    <w:rsid w:val="37E5602D"/>
    <w:rsid w:val="37F354B9"/>
    <w:rsid w:val="380B6117"/>
    <w:rsid w:val="381725CA"/>
    <w:rsid w:val="381F2104"/>
    <w:rsid w:val="382348E7"/>
    <w:rsid w:val="383754DF"/>
    <w:rsid w:val="38563836"/>
    <w:rsid w:val="38705B1B"/>
    <w:rsid w:val="388521D7"/>
    <w:rsid w:val="388C054E"/>
    <w:rsid w:val="38996F86"/>
    <w:rsid w:val="38AD5420"/>
    <w:rsid w:val="38E81ADE"/>
    <w:rsid w:val="38EF56F5"/>
    <w:rsid w:val="38F06979"/>
    <w:rsid w:val="390232E7"/>
    <w:rsid w:val="391675F2"/>
    <w:rsid w:val="39264643"/>
    <w:rsid w:val="39377C63"/>
    <w:rsid w:val="39574487"/>
    <w:rsid w:val="3978683C"/>
    <w:rsid w:val="39836DED"/>
    <w:rsid w:val="39847A2C"/>
    <w:rsid w:val="39987AEB"/>
    <w:rsid w:val="39B32DFB"/>
    <w:rsid w:val="39BF116B"/>
    <w:rsid w:val="39C23395"/>
    <w:rsid w:val="39CF7174"/>
    <w:rsid w:val="39D767C1"/>
    <w:rsid w:val="39E8122B"/>
    <w:rsid w:val="39EE7036"/>
    <w:rsid w:val="3A011618"/>
    <w:rsid w:val="3A155D47"/>
    <w:rsid w:val="3A273CF4"/>
    <w:rsid w:val="3A2B5F20"/>
    <w:rsid w:val="3A32019C"/>
    <w:rsid w:val="3A3567F4"/>
    <w:rsid w:val="3A517056"/>
    <w:rsid w:val="3A55449C"/>
    <w:rsid w:val="3A6166A7"/>
    <w:rsid w:val="3A6F41AD"/>
    <w:rsid w:val="3A890024"/>
    <w:rsid w:val="3A982496"/>
    <w:rsid w:val="3ACE12D0"/>
    <w:rsid w:val="3AD2102A"/>
    <w:rsid w:val="3AD9074E"/>
    <w:rsid w:val="3AEF376B"/>
    <w:rsid w:val="3B026117"/>
    <w:rsid w:val="3B0C0677"/>
    <w:rsid w:val="3B0E1D7C"/>
    <w:rsid w:val="3B2D6C6F"/>
    <w:rsid w:val="3B317BD9"/>
    <w:rsid w:val="3B3565B9"/>
    <w:rsid w:val="3B4F5766"/>
    <w:rsid w:val="3B512F70"/>
    <w:rsid w:val="3BB870A5"/>
    <w:rsid w:val="3BC02033"/>
    <w:rsid w:val="3BCE3934"/>
    <w:rsid w:val="3C057EB7"/>
    <w:rsid w:val="3C1D47AB"/>
    <w:rsid w:val="3C38217E"/>
    <w:rsid w:val="3C3C2D43"/>
    <w:rsid w:val="3C410359"/>
    <w:rsid w:val="3C6A4742"/>
    <w:rsid w:val="3CB37850"/>
    <w:rsid w:val="3CCC0C7A"/>
    <w:rsid w:val="3CD85C93"/>
    <w:rsid w:val="3D1917A4"/>
    <w:rsid w:val="3D7B010B"/>
    <w:rsid w:val="3D8B67D3"/>
    <w:rsid w:val="3DA3012C"/>
    <w:rsid w:val="3DAB1ED3"/>
    <w:rsid w:val="3DAF51DD"/>
    <w:rsid w:val="3DBC05DF"/>
    <w:rsid w:val="3DC70960"/>
    <w:rsid w:val="3DCD41B5"/>
    <w:rsid w:val="3E0E7BD0"/>
    <w:rsid w:val="3E104A16"/>
    <w:rsid w:val="3E3302FE"/>
    <w:rsid w:val="3E3C2D44"/>
    <w:rsid w:val="3E603E7D"/>
    <w:rsid w:val="3E79027E"/>
    <w:rsid w:val="3E8F04BB"/>
    <w:rsid w:val="3E9571B9"/>
    <w:rsid w:val="3ED355FD"/>
    <w:rsid w:val="3F126122"/>
    <w:rsid w:val="3F235B23"/>
    <w:rsid w:val="3F474DD6"/>
    <w:rsid w:val="3F6C32EC"/>
    <w:rsid w:val="3F7171A7"/>
    <w:rsid w:val="3F7A4198"/>
    <w:rsid w:val="3F7E4498"/>
    <w:rsid w:val="3F98381E"/>
    <w:rsid w:val="3FA22C79"/>
    <w:rsid w:val="3FB833DA"/>
    <w:rsid w:val="3FC22286"/>
    <w:rsid w:val="3FC27A03"/>
    <w:rsid w:val="3FD55988"/>
    <w:rsid w:val="3FEC71BC"/>
    <w:rsid w:val="400A0CB0"/>
    <w:rsid w:val="401D2E8B"/>
    <w:rsid w:val="4026789D"/>
    <w:rsid w:val="40295A61"/>
    <w:rsid w:val="40331A0B"/>
    <w:rsid w:val="4033445D"/>
    <w:rsid w:val="40512B35"/>
    <w:rsid w:val="40624D42"/>
    <w:rsid w:val="407252D9"/>
    <w:rsid w:val="407362CB"/>
    <w:rsid w:val="40A9471F"/>
    <w:rsid w:val="40C978F2"/>
    <w:rsid w:val="40D20797"/>
    <w:rsid w:val="40D27EE9"/>
    <w:rsid w:val="40E63754"/>
    <w:rsid w:val="40ED0AAF"/>
    <w:rsid w:val="40ED503A"/>
    <w:rsid w:val="41085B90"/>
    <w:rsid w:val="41113062"/>
    <w:rsid w:val="41131B29"/>
    <w:rsid w:val="4114428E"/>
    <w:rsid w:val="41277F12"/>
    <w:rsid w:val="41390E1D"/>
    <w:rsid w:val="418716DD"/>
    <w:rsid w:val="41A36135"/>
    <w:rsid w:val="41B55234"/>
    <w:rsid w:val="41B72DAB"/>
    <w:rsid w:val="41C671FC"/>
    <w:rsid w:val="41D278EE"/>
    <w:rsid w:val="41F60B07"/>
    <w:rsid w:val="41FA0A9A"/>
    <w:rsid w:val="421C443C"/>
    <w:rsid w:val="42251146"/>
    <w:rsid w:val="423947C3"/>
    <w:rsid w:val="424732B7"/>
    <w:rsid w:val="42561A77"/>
    <w:rsid w:val="425B6ED1"/>
    <w:rsid w:val="426E12D0"/>
    <w:rsid w:val="428C68F4"/>
    <w:rsid w:val="428F1D27"/>
    <w:rsid w:val="42AC7F1B"/>
    <w:rsid w:val="42B84E9E"/>
    <w:rsid w:val="4303280C"/>
    <w:rsid w:val="430D2114"/>
    <w:rsid w:val="431F3DBD"/>
    <w:rsid w:val="432A1241"/>
    <w:rsid w:val="432A5FEB"/>
    <w:rsid w:val="43453515"/>
    <w:rsid w:val="435E3EE6"/>
    <w:rsid w:val="435F392E"/>
    <w:rsid w:val="43662E38"/>
    <w:rsid w:val="438810F3"/>
    <w:rsid w:val="438C0A54"/>
    <w:rsid w:val="438F1DE7"/>
    <w:rsid w:val="43913858"/>
    <w:rsid w:val="4396325B"/>
    <w:rsid w:val="43C3747E"/>
    <w:rsid w:val="43C50C2B"/>
    <w:rsid w:val="43C527ED"/>
    <w:rsid w:val="43C7530D"/>
    <w:rsid w:val="43CA157C"/>
    <w:rsid w:val="441B4936"/>
    <w:rsid w:val="443469F5"/>
    <w:rsid w:val="443B3B23"/>
    <w:rsid w:val="445443AC"/>
    <w:rsid w:val="44852B14"/>
    <w:rsid w:val="44872AB2"/>
    <w:rsid w:val="44A818BD"/>
    <w:rsid w:val="44A90E8E"/>
    <w:rsid w:val="44C109DD"/>
    <w:rsid w:val="44CE1986"/>
    <w:rsid w:val="44D02BC2"/>
    <w:rsid w:val="44F86903"/>
    <w:rsid w:val="45144F91"/>
    <w:rsid w:val="451902D1"/>
    <w:rsid w:val="45244D75"/>
    <w:rsid w:val="45327AA4"/>
    <w:rsid w:val="45611ABC"/>
    <w:rsid w:val="456D1FC3"/>
    <w:rsid w:val="457B0D80"/>
    <w:rsid w:val="45837C34"/>
    <w:rsid w:val="458409C2"/>
    <w:rsid w:val="459736E0"/>
    <w:rsid w:val="45976CA1"/>
    <w:rsid w:val="45AB09C3"/>
    <w:rsid w:val="45B276FF"/>
    <w:rsid w:val="45BD217B"/>
    <w:rsid w:val="45E1377D"/>
    <w:rsid w:val="45FE15CC"/>
    <w:rsid w:val="46041CA0"/>
    <w:rsid w:val="462C207A"/>
    <w:rsid w:val="464C4B2A"/>
    <w:rsid w:val="46584E7A"/>
    <w:rsid w:val="46685E10"/>
    <w:rsid w:val="468B4FF2"/>
    <w:rsid w:val="46A81C35"/>
    <w:rsid w:val="46AF5EE9"/>
    <w:rsid w:val="46BE03F2"/>
    <w:rsid w:val="46C41912"/>
    <w:rsid w:val="46C95B1B"/>
    <w:rsid w:val="46CE50D8"/>
    <w:rsid w:val="46CF724C"/>
    <w:rsid w:val="46D37A04"/>
    <w:rsid w:val="46E556B4"/>
    <w:rsid w:val="46ED7A5B"/>
    <w:rsid w:val="46F16D10"/>
    <w:rsid w:val="46FB7EEA"/>
    <w:rsid w:val="47037A9F"/>
    <w:rsid w:val="4722300E"/>
    <w:rsid w:val="472F1E22"/>
    <w:rsid w:val="4732757F"/>
    <w:rsid w:val="47341D77"/>
    <w:rsid w:val="47406EE8"/>
    <w:rsid w:val="4747205C"/>
    <w:rsid w:val="47727599"/>
    <w:rsid w:val="47760556"/>
    <w:rsid w:val="4780698F"/>
    <w:rsid w:val="47830603"/>
    <w:rsid w:val="478A34FC"/>
    <w:rsid w:val="478D4D9A"/>
    <w:rsid w:val="478F3682"/>
    <w:rsid w:val="479671EC"/>
    <w:rsid w:val="47A125F4"/>
    <w:rsid w:val="47E66258"/>
    <w:rsid w:val="47ED3A8B"/>
    <w:rsid w:val="47F646ED"/>
    <w:rsid w:val="47F808B6"/>
    <w:rsid w:val="47FC6233"/>
    <w:rsid w:val="4814491D"/>
    <w:rsid w:val="48210C25"/>
    <w:rsid w:val="48291C70"/>
    <w:rsid w:val="483A1678"/>
    <w:rsid w:val="483A2BEA"/>
    <w:rsid w:val="4843496F"/>
    <w:rsid w:val="484F5A94"/>
    <w:rsid w:val="48735D3E"/>
    <w:rsid w:val="487F438D"/>
    <w:rsid w:val="48B3438D"/>
    <w:rsid w:val="48B93545"/>
    <w:rsid w:val="48BD18D9"/>
    <w:rsid w:val="48C03D52"/>
    <w:rsid w:val="48C60564"/>
    <w:rsid w:val="48D4506E"/>
    <w:rsid w:val="48F94A0D"/>
    <w:rsid w:val="49137801"/>
    <w:rsid w:val="49184B37"/>
    <w:rsid w:val="4929636C"/>
    <w:rsid w:val="493059DD"/>
    <w:rsid w:val="49431385"/>
    <w:rsid w:val="49454A10"/>
    <w:rsid w:val="49644631"/>
    <w:rsid w:val="49706721"/>
    <w:rsid w:val="49E55BA4"/>
    <w:rsid w:val="49F349E3"/>
    <w:rsid w:val="4A054B02"/>
    <w:rsid w:val="4A143A3D"/>
    <w:rsid w:val="4A3F0FE2"/>
    <w:rsid w:val="4A420FDA"/>
    <w:rsid w:val="4A513169"/>
    <w:rsid w:val="4A6430D4"/>
    <w:rsid w:val="4A784ED7"/>
    <w:rsid w:val="4A7B22EF"/>
    <w:rsid w:val="4A9A27AA"/>
    <w:rsid w:val="4AA97FA3"/>
    <w:rsid w:val="4AD430F4"/>
    <w:rsid w:val="4AF010C2"/>
    <w:rsid w:val="4B0943D0"/>
    <w:rsid w:val="4B3346E7"/>
    <w:rsid w:val="4B34391F"/>
    <w:rsid w:val="4B3C2D5F"/>
    <w:rsid w:val="4B615B19"/>
    <w:rsid w:val="4B69201D"/>
    <w:rsid w:val="4B710D89"/>
    <w:rsid w:val="4B7C1F42"/>
    <w:rsid w:val="4B8D3A1E"/>
    <w:rsid w:val="4B993830"/>
    <w:rsid w:val="4B9E2CE6"/>
    <w:rsid w:val="4B9E5818"/>
    <w:rsid w:val="4BA87039"/>
    <w:rsid w:val="4BA87334"/>
    <w:rsid w:val="4BB81145"/>
    <w:rsid w:val="4BBC5F41"/>
    <w:rsid w:val="4BD42F98"/>
    <w:rsid w:val="4BFF3EDC"/>
    <w:rsid w:val="4C0262C7"/>
    <w:rsid w:val="4C126CDE"/>
    <w:rsid w:val="4C1C1455"/>
    <w:rsid w:val="4C44501F"/>
    <w:rsid w:val="4C6F3D39"/>
    <w:rsid w:val="4C7079FD"/>
    <w:rsid w:val="4C9441DF"/>
    <w:rsid w:val="4C9D7B5A"/>
    <w:rsid w:val="4CA42211"/>
    <w:rsid w:val="4CA60FA8"/>
    <w:rsid w:val="4CB14022"/>
    <w:rsid w:val="4CCA5F82"/>
    <w:rsid w:val="4CDC7ED3"/>
    <w:rsid w:val="4CDE1E6A"/>
    <w:rsid w:val="4D4C045F"/>
    <w:rsid w:val="4D735C5C"/>
    <w:rsid w:val="4D77007F"/>
    <w:rsid w:val="4D7D3A62"/>
    <w:rsid w:val="4DC12B22"/>
    <w:rsid w:val="4DC26656"/>
    <w:rsid w:val="4DE135AC"/>
    <w:rsid w:val="4E0C5A74"/>
    <w:rsid w:val="4E0C74F5"/>
    <w:rsid w:val="4E5A6D5A"/>
    <w:rsid w:val="4E747792"/>
    <w:rsid w:val="4E8F4E48"/>
    <w:rsid w:val="4E9F0AE7"/>
    <w:rsid w:val="4E9F2261"/>
    <w:rsid w:val="4EAC3D58"/>
    <w:rsid w:val="4EC8490A"/>
    <w:rsid w:val="4ECC1346"/>
    <w:rsid w:val="4EF97262"/>
    <w:rsid w:val="4F0C2A48"/>
    <w:rsid w:val="4F567C4A"/>
    <w:rsid w:val="4F6B570B"/>
    <w:rsid w:val="4F6C34E7"/>
    <w:rsid w:val="4F714FF8"/>
    <w:rsid w:val="4F843AC1"/>
    <w:rsid w:val="4F86103B"/>
    <w:rsid w:val="4F975F35"/>
    <w:rsid w:val="4FE265CA"/>
    <w:rsid w:val="4FEA1D16"/>
    <w:rsid w:val="5009087C"/>
    <w:rsid w:val="501F70A3"/>
    <w:rsid w:val="5048427D"/>
    <w:rsid w:val="50591CBD"/>
    <w:rsid w:val="505A55DD"/>
    <w:rsid w:val="506B1E14"/>
    <w:rsid w:val="50744E06"/>
    <w:rsid w:val="508613C7"/>
    <w:rsid w:val="508C20E2"/>
    <w:rsid w:val="508E2177"/>
    <w:rsid w:val="50BC5E30"/>
    <w:rsid w:val="50D013BE"/>
    <w:rsid w:val="50E81293"/>
    <w:rsid w:val="50F35EE5"/>
    <w:rsid w:val="51096E67"/>
    <w:rsid w:val="512F0226"/>
    <w:rsid w:val="514136FF"/>
    <w:rsid w:val="514E3325"/>
    <w:rsid w:val="51645C82"/>
    <w:rsid w:val="51666385"/>
    <w:rsid w:val="51686869"/>
    <w:rsid w:val="51B25138"/>
    <w:rsid w:val="51F1358A"/>
    <w:rsid w:val="522602C5"/>
    <w:rsid w:val="522B762E"/>
    <w:rsid w:val="5233479C"/>
    <w:rsid w:val="523B3C3D"/>
    <w:rsid w:val="5268443A"/>
    <w:rsid w:val="52791F39"/>
    <w:rsid w:val="528209B5"/>
    <w:rsid w:val="5287538C"/>
    <w:rsid w:val="52947FEA"/>
    <w:rsid w:val="52BB6C5F"/>
    <w:rsid w:val="52C35C8F"/>
    <w:rsid w:val="52C5524E"/>
    <w:rsid w:val="52CD24EF"/>
    <w:rsid w:val="5308442B"/>
    <w:rsid w:val="531B6190"/>
    <w:rsid w:val="53330A34"/>
    <w:rsid w:val="53360F60"/>
    <w:rsid w:val="53373E0C"/>
    <w:rsid w:val="53445A98"/>
    <w:rsid w:val="538A11F9"/>
    <w:rsid w:val="53937701"/>
    <w:rsid w:val="53A03325"/>
    <w:rsid w:val="53A27A50"/>
    <w:rsid w:val="53F723AB"/>
    <w:rsid w:val="54003C67"/>
    <w:rsid w:val="540A43B4"/>
    <w:rsid w:val="540F1545"/>
    <w:rsid w:val="541A0886"/>
    <w:rsid w:val="541D6950"/>
    <w:rsid w:val="545B7F3F"/>
    <w:rsid w:val="5488491F"/>
    <w:rsid w:val="549E2FBE"/>
    <w:rsid w:val="54A6041E"/>
    <w:rsid w:val="54AC092B"/>
    <w:rsid w:val="54D904CD"/>
    <w:rsid w:val="54E43F27"/>
    <w:rsid w:val="55037414"/>
    <w:rsid w:val="550500A4"/>
    <w:rsid w:val="55256102"/>
    <w:rsid w:val="552E1C93"/>
    <w:rsid w:val="55377F1F"/>
    <w:rsid w:val="55425416"/>
    <w:rsid w:val="55523477"/>
    <w:rsid w:val="5568126E"/>
    <w:rsid w:val="55683ADA"/>
    <w:rsid w:val="55902EBD"/>
    <w:rsid w:val="559A176C"/>
    <w:rsid w:val="55BE6488"/>
    <w:rsid w:val="55E66211"/>
    <w:rsid w:val="55F67FAE"/>
    <w:rsid w:val="561E6345"/>
    <w:rsid w:val="562D45C0"/>
    <w:rsid w:val="562D5C85"/>
    <w:rsid w:val="5630526E"/>
    <w:rsid w:val="564E4AE2"/>
    <w:rsid w:val="56504669"/>
    <w:rsid w:val="567B1032"/>
    <w:rsid w:val="569E5949"/>
    <w:rsid w:val="56A97BED"/>
    <w:rsid w:val="56B13CD2"/>
    <w:rsid w:val="56B36FC4"/>
    <w:rsid w:val="56D96A1E"/>
    <w:rsid w:val="56F5351E"/>
    <w:rsid w:val="572B1EDA"/>
    <w:rsid w:val="572B1F3F"/>
    <w:rsid w:val="5740096B"/>
    <w:rsid w:val="574D2CCC"/>
    <w:rsid w:val="57541431"/>
    <w:rsid w:val="5754167B"/>
    <w:rsid w:val="57580BF5"/>
    <w:rsid w:val="57597B29"/>
    <w:rsid w:val="575D5944"/>
    <w:rsid w:val="576443C5"/>
    <w:rsid w:val="5770733F"/>
    <w:rsid w:val="57911D3D"/>
    <w:rsid w:val="579B39A4"/>
    <w:rsid w:val="57A30A97"/>
    <w:rsid w:val="57AB4815"/>
    <w:rsid w:val="57AB49EF"/>
    <w:rsid w:val="57C17C05"/>
    <w:rsid w:val="57D20D9B"/>
    <w:rsid w:val="57D81003"/>
    <w:rsid w:val="57DF2977"/>
    <w:rsid w:val="58005114"/>
    <w:rsid w:val="581D385E"/>
    <w:rsid w:val="5822234A"/>
    <w:rsid w:val="585039A6"/>
    <w:rsid w:val="585E2A1E"/>
    <w:rsid w:val="587304CC"/>
    <w:rsid w:val="58776AA4"/>
    <w:rsid w:val="5898150B"/>
    <w:rsid w:val="589A7317"/>
    <w:rsid w:val="589D0547"/>
    <w:rsid w:val="58AE7002"/>
    <w:rsid w:val="58B633A9"/>
    <w:rsid w:val="58C9394D"/>
    <w:rsid w:val="58CB282D"/>
    <w:rsid w:val="5902312C"/>
    <w:rsid w:val="5909228A"/>
    <w:rsid w:val="595D2B50"/>
    <w:rsid w:val="596661AB"/>
    <w:rsid w:val="59B23A87"/>
    <w:rsid w:val="59F63D76"/>
    <w:rsid w:val="59F973BE"/>
    <w:rsid w:val="5A11487B"/>
    <w:rsid w:val="5A1F37FE"/>
    <w:rsid w:val="5A2C7545"/>
    <w:rsid w:val="5A372C5E"/>
    <w:rsid w:val="5A4053EF"/>
    <w:rsid w:val="5A41544E"/>
    <w:rsid w:val="5A4779B9"/>
    <w:rsid w:val="5A4F0676"/>
    <w:rsid w:val="5A52668C"/>
    <w:rsid w:val="5A584313"/>
    <w:rsid w:val="5A6A1D41"/>
    <w:rsid w:val="5A71560E"/>
    <w:rsid w:val="5A8B33BB"/>
    <w:rsid w:val="5A992006"/>
    <w:rsid w:val="5A9B0599"/>
    <w:rsid w:val="5AB11486"/>
    <w:rsid w:val="5AD85A9C"/>
    <w:rsid w:val="5ADD173D"/>
    <w:rsid w:val="5AEB0ABF"/>
    <w:rsid w:val="5B145400"/>
    <w:rsid w:val="5B1C2265"/>
    <w:rsid w:val="5B2F1F99"/>
    <w:rsid w:val="5B550AF6"/>
    <w:rsid w:val="5B5C638D"/>
    <w:rsid w:val="5B932284"/>
    <w:rsid w:val="5B9A68BC"/>
    <w:rsid w:val="5B9D5D5C"/>
    <w:rsid w:val="5BB73D3C"/>
    <w:rsid w:val="5BBA55DA"/>
    <w:rsid w:val="5BCF1086"/>
    <w:rsid w:val="5BFD6077"/>
    <w:rsid w:val="5BFF57C3"/>
    <w:rsid w:val="5C197AB2"/>
    <w:rsid w:val="5C1E507B"/>
    <w:rsid w:val="5C2C7A48"/>
    <w:rsid w:val="5C4E0BC5"/>
    <w:rsid w:val="5C665A54"/>
    <w:rsid w:val="5C8207EE"/>
    <w:rsid w:val="5C985579"/>
    <w:rsid w:val="5CAB2B33"/>
    <w:rsid w:val="5CB86B3B"/>
    <w:rsid w:val="5CE80BCF"/>
    <w:rsid w:val="5D0D1984"/>
    <w:rsid w:val="5D121B72"/>
    <w:rsid w:val="5D1B6E7C"/>
    <w:rsid w:val="5D52443D"/>
    <w:rsid w:val="5D660E00"/>
    <w:rsid w:val="5D812C18"/>
    <w:rsid w:val="5D8D2E63"/>
    <w:rsid w:val="5D8E7892"/>
    <w:rsid w:val="5DA03A12"/>
    <w:rsid w:val="5DA531BA"/>
    <w:rsid w:val="5DD21B0F"/>
    <w:rsid w:val="5DE30751"/>
    <w:rsid w:val="5DF71793"/>
    <w:rsid w:val="5E022CC9"/>
    <w:rsid w:val="5E196F30"/>
    <w:rsid w:val="5E1C22F4"/>
    <w:rsid w:val="5E1C5C61"/>
    <w:rsid w:val="5E3109DA"/>
    <w:rsid w:val="5E3767E4"/>
    <w:rsid w:val="5E55449B"/>
    <w:rsid w:val="5E5D7A80"/>
    <w:rsid w:val="5E6C2615"/>
    <w:rsid w:val="5E7F3237"/>
    <w:rsid w:val="5E87381B"/>
    <w:rsid w:val="5EB97A9B"/>
    <w:rsid w:val="5EBC2236"/>
    <w:rsid w:val="5EBD70FE"/>
    <w:rsid w:val="5ECD5372"/>
    <w:rsid w:val="5EDC16D8"/>
    <w:rsid w:val="5EE66E12"/>
    <w:rsid w:val="5EEC63F2"/>
    <w:rsid w:val="5EF377E7"/>
    <w:rsid w:val="5EF90962"/>
    <w:rsid w:val="5F045D97"/>
    <w:rsid w:val="5F0B7D72"/>
    <w:rsid w:val="5F202C83"/>
    <w:rsid w:val="5F221E14"/>
    <w:rsid w:val="5F2C7490"/>
    <w:rsid w:val="5F396447"/>
    <w:rsid w:val="5F3A4E55"/>
    <w:rsid w:val="5F561EAA"/>
    <w:rsid w:val="5F6D7533"/>
    <w:rsid w:val="5F7121A3"/>
    <w:rsid w:val="5F835F23"/>
    <w:rsid w:val="5F91691F"/>
    <w:rsid w:val="5FAD5B82"/>
    <w:rsid w:val="5FC61BD3"/>
    <w:rsid w:val="5FCD2FA1"/>
    <w:rsid w:val="5FD96977"/>
    <w:rsid w:val="5FDD04AA"/>
    <w:rsid w:val="5FE46444"/>
    <w:rsid w:val="5FF732A1"/>
    <w:rsid w:val="6007745D"/>
    <w:rsid w:val="60082DB8"/>
    <w:rsid w:val="60287E81"/>
    <w:rsid w:val="603242D9"/>
    <w:rsid w:val="6033491A"/>
    <w:rsid w:val="604C465E"/>
    <w:rsid w:val="60504374"/>
    <w:rsid w:val="605C2BF9"/>
    <w:rsid w:val="607054D9"/>
    <w:rsid w:val="607A25EC"/>
    <w:rsid w:val="607C0291"/>
    <w:rsid w:val="60863BD5"/>
    <w:rsid w:val="60890F25"/>
    <w:rsid w:val="608E59B3"/>
    <w:rsid w:val="608E7761"/>
    <w:rsid w:val="60975862"/>
    <w:rsid w:val="60A95064"/>
    <w:rsid w:val="60AD7861"/>
    <w:rsid w:val="60BF7000"/>
    <w:rsid w:val="60D17EC4"/>
    <w:rsid w:val="60DA29A7"/>
    <w:rsid w:val="60DD2499"/>
    <w:rsid w:val="60F11A9E"/>
    <w:rsid w:val="61185134"/>
    <w:rsid w:val="611A2F99"/>
    <w:rsid w:val="61217955"/>
    <w:rsid w:val="613125FF"/>
    <w:rsid w:val="614918DA"/>
    <w:rsid w:val="616225B2"/>
    <w:rsid w:val="61734BC9"/>
    <w:rsid w:val="617408C3"/>
    <w:rsid w:val="617A78E0"/>
    <w:rsid w:val="61805BC1"/>
    <w:rsid w:val="61B33C31"/>
    <w:rsid w:val="61D66893"/>
    <w:rsid w:val="61E60B36"/>
    <w:rsid w:val="61F82B91"/>
    <w:rsid w:val="62174C5E"/>
    <w:rsid w:val="624348D1"/>
    <w:rsid w:val="62477335"/>
    <w:rsid w:val="624F15CB"/>
    <w:rsid w:val="62711AE2"/>
    <w:rsid w:val="628C693C"/>
    <w:rsid w:val="628E01CE"/>
    <w:rsid w:val="6292105F"/>
    <w:rsid w:val="62A457F1"/>
    <w:rsid w:val="62AE3965"/>
    <w:rsid w:val="62B16443"/>
    <w:rsid w:val="62B752A7"/>
    <w:rsid w:val="62C85E73"/>
    <w:rsid w:val="62DE6545"/>
    <w:rsid w:val="62DF1FB5"/>
    <w:rsid w:val="62E04D55"/>
    <w:rsid w:val="62EB1EBF"/>
    <w:rsid w:val="62F06CB2"/>
    <w:rsid w:val="62F12229"/>
    <w:rsid w:val="62FB4E56"/>
    <w:rsid w:val="63112B2D"/>
    <w:rsid w:val="63471E49"/>
    <w:rsid w:val="635E1BAB"/>
    <w:rsid w:val="63681E5B"/>
    <w:rsid w:val="63750765"/>
    <w:rsid w:val="63754B40"/>
    <w:rsid w:val="6397692D"/>
    <w:rsid w:val="63995C3A"/>
    <w:rsid w:val="639B1125"/>
    <w:rsid w:val="63BA6ABF"/>
    <w:rsid w:val="63C112E0"/>
    <w:rsid w:val="63CB4828"/>
    <w:rsid w:val="63DD7D72"/>
    <w:rsid w:val="63E30934"/>
    <w:rsid w:val="63E94CAF"/>
    <w:rsid w:val="63F87553"/>
    <w:rsid w:val="63FD075A"/>
    <w:rsid w:val="64041422"/>
    <w:rsid w:val="6407281E"/>
    <w:rsid w:val="64145EFA"/>
    <w:rsid w:val="641B1A28"/>
    <w:rsid w:val="642B6BC7"/>
    <w:rsid w:val="643979E4"/>
    <w:rsid w:val="643C59B3"/>
    <w:rsid w:val="643D1A63"/>
    <w:rsid w:val="643D6FD7"/>
    <w:rsid w:val="64402CE3"/>
    <w:rsid w:val="64406FC4"/>
    <w:rsid w:val="64550CD8"/>
    <w:rsid w:val="646D67FB"/>
    <w:rsid w:val="64776543"/>
    <w:rsid w:val="647851DB"/>
    <w:rsid w:val="64852C29"/>
    <w:rsid w:val="64C87C38"/>
    <w:rsid w:val="64D37E39"/>
    <w:rsid w:val="64EB0744"/>
    <w:rsid w:val="64FC4B54"/>
    <w:rsid w:val="651160CA"/>
    <w:rsid w:val="65215518"/>
    <w:rsid w:val="652B7557"/>
    <w:rsid w:val="6537334B"/>
    <w:rsid w:val="65503446"/>
    <w:rsid w:val="656211BC"/>
    <w:rsid w:val="65822D8E"/>
    <w:rsid w:val="65854249"/>
    <w:rsid w:val="65874642"/>
    <w:rsid w:val="65A250D1"/>
    <w:rsid w:val="65C55F39"/>
    <w:rsid w:val="65CC0A57"/>
    <w:rsid w:val="65EF28F1"/>
    <w:rsid w:val="662D3578"/>
    <w:rsid w:val="66304E17"/>
    <w:rsid w:val="663F0999"/>
    <w:rsid w:val="664254EC"/>
    <w:rsid w:val="66435512"/>
    <w:rsid w:val="66652D12"/>
    <w:rsid w:val="66675622"/>
    <w:rsid w:val="666E45E2"/>
    <w:rsid w:val="66884C53"/>
    <w:rsid w:val="66996277"/>
    <w:rsid w:val="669F3353"/>
    <w:rsid w:val="66A20FE4"/>
    <w:rsid w:val="66A562F6"/>
    <w:rsid w:val="66C349C3"/>
    <w:rsid w:val="66C623E6"/>
    <w:rsid w:val="66CA7019"/>
    <w:rsid w:val="66ED7B53"/>
    <w:rsid w:val="671B13ED"/>
    <w:rsid w:val="671B2869"/>
    <w:rsid w:val="672F1572"/>
    <w:rsid w:val="67461993"/>
    <w:rsid w:val="67544B35"/>
    <w:rsid w:val="677A24DB"/>
    <w:rsid w:val="678936FD"/>
    <w:rsid w:val="679818A7"/>
    <w:rsid w:val="679F0D69"/>
    <w:rsid w:val="67CE0D8B"/>
    <w:rsid w:val="67F23D25"/>
    <w:rsid w:val="67FD341E"/>
    <w:rsid w:val="682C6C85"/>
    <w:rsid w:val="685B5B4A"/>
    <w:rsid w:val="68716FB6"/>
    <w:rsid w:val="68741433"/>
    <w:rsid w:val="6874548F"/>
    <w:rsid w:val="6897375B"/>
    <w:rsid w:val="68A65D12"/>
    <w:rsid w:val="68B5496B"/>
    <w:rsid w:val="68C70F89"/>
    <w:rsid w:val="68CE18BC"/>
    <w:rsid w:val="68F64541"/>
    <w:rsid w:val="68F90D35"/>
    <w:rsid w:val="690D3331"/>
    <w:rsid w:val="691A4D1C"/>
    <w:rsid w:val="691C78D4"/>
    <w:rsid w:val="6942677C"/>
    <w:rsid w:val="69452BA9"/>
    <w:rsid w:val="69466766"/>
    <w:rsid w:val="6962178B"/>
    <w:rsid w:val="69735746"/>
    <w:rsid w:val="69777E45"/>
    <w:rsid w:val="69897695"/>
    <w:rsid w:val="69A7698E"/>
    <w:rsid w:val="69B0699A"/>
    <w:rsid w:val="69BA3375"/>
    <w:rsid w:val="69BA79CF"/>
    <w:rsid w:val="69BD10B7"/>
    <w:rsid w:val="69BF2078"/>
    <w:rsid w:val="69CD3E3C"/>
    <w:rsid w:val="69FE2AAA"/>
    <w:rsid w:val="6A202D2A"/>
    <w:rsid w:val="6A22463D"/>
    <w:rsid w:val="6A264CC2"/>
    <w:rsid w:val="6A2C5734"/>
    <w:rsid w:val="6A393A08"/>
    <w:rsid w:val="6A411362"/>
    <w:rsid w:val="6A4D498C"/>
    <w:rsid w:val="6A6B2A5B"/>
    <w:rsid w:val="6A890F99"/>
    <w:rsid w:val="6A8D413B"/>
    <w:rsid w:val="6AAC30B7"/>
    <w:rsid w:val="6ABE50E7"/>
    <w:rsid w:val="6AC56475"/>
    <w:rsid w:val="6AC741C0"/>
    <w:rsid w:val="6AEE024A"/>
    <w:rsid w:val="6B057C82"/>
    <w:rsid w:val="6B170353"/>
    <w:rsid w:val="6B347157"/>
    <w:rsid w:val="6B493FAE"/>
    <w:rsid w:val="6B5635F5"/>
    <w:rsid w:val="6B785296"/>
    <w:rsid w:val="6B7D0AFE"/>
    <w:rsid w:val="6B7E4876"/>
    <w:rsid w:val="6BB54572"/>
    <w:rsid w:val="6BE37A33"/>
    <w:rsid w:val="6C023054"/>
    <w:rsid w:val="6C121F0F"/>
    <w:rsid w:val="6C310370"/>
    <w:rsid w:val="6C4B2800"/>
    <w:rsid w:val="6C57134F"/>
    <w:rsid w:val="6C79329D"/>
    <w:rsid w:val="6C9616D5"/>
    <w:rsid w:val="6CA43E69"/>
    <w:rsid w:val="6CE46674"/>
    <w:rsid w:val="6CE759B6"/>
    <w:rsid w:val="6CED3A62"/>
    <w:rsid w:val="6CF86BDF"/>
    <w:rsid w:val="6CFA2256"/>
    <w:rsid w:val="6D1246FB"/>
    <w:rsid w:val="6D1715DB"/>
    <w:rsid w:val="6D1C288C"/>
    <w:rsid w:val="6D3671B7"/>
    <w:rsid w:val="6D3B21C6"/>
    <w:rsid w:val="6D3F51E5"/>
    <w:rsid w:val="6D4549E6"/>
    <w:rsid w:val="6D4568C4"/>
    <w:rsid w:val="6D7F2F8E"/>
    <w:rsid w:val="6D81381D"/>
    <w:rsid w:val="6D9B1C7D"/>
    <w:rsid w:val="6DA07D03"/>
    <w:rsid w:val="6DA80AC6"/>
    <w:rsid w:val="6DBB2AE7"/>
    <w:rsid w:val="6DD8026E"/>
    <w:rsid w:val="6DE769EE"/>
    <w:rsid w:val="6E1E1FFA"/>
    <w:rsid w:val="6E2711F5"/>
    <w:rsid w:val="6E29517D"/>
    <w:rsid w:val="6E2A6BC7"/>
    <w:rsid w:val="6E672CE6"/>
    <w:rsid w:val="6E6F018B"/>
    <w:rsid w:val="6E74080E"/>
    <w:rsid w:val="6E7A73F3"/>
    <w:rsid w:val="6E843632"/>
    <w:rsid w:val="6E8C1058"/>
    <w:rsid w:val="6E9145FA"/>
    <w:rsid w:val="6E92002E"/>
    <w:rsid w:val="6E930AA9"/>
    <w:rsid w:val="6EA07177"/>
    <w:rsid w:val="6EBB60CE"/>
    <w:rsid w:val="6ED24CBD"/>
    <w:rsid w:val="6EDF387E"/>
    <w:rsid w:val="6EFA4736"/>
    <w:rsid w:val="6EFC57AA"/>
    <w:rsid w:val="6F0B30BA"/>
    <w:rsid w:val="6F100247"/>
    <w:rsid w:val="6F6738C7"/>
    <w:rsid w:val="6F6E3519"/>
    <w:rsid w:val="6FA7439C"/>
    <w:rsid w:val="6FC00A49"/>
    <w:rsid w:val="6FC5671F"/>
    <w:rsid w:val="6FF13164"/>
    <w:rsid w:val="6FF52365"/>
    <w:rsid w:val="6FFE7D34"/>
    <w:rsid w:val="700E12E0"/>
    <w:rsid w:val="70523F94"/>
    <w:rsid w:val="70597B8F"/>
    <w:rsid w:val="70920570"/>
    <w:rsid w:val="70A408DB"/>
    <w:rsid w:val="70CB40BA"/>
    <w:rsid w:val="70FE50F2"/>
    <w:rsid w:val="7108368A"/>
    <w:rsid w:val="71203E71"/>
    <w:rsid w:val="71236203"/>
    <w:rsid w:val="713917DE"/>
    <w:rsid w:val="715069EC"/>
    <w:rsid w:val="7168698E"/>
    <w:rsid w:val="71840D41"/>
    <w:rsid w:val="71867C60"/>
    <w:rsid w:val="718B2225"/>
    <w:rsid w:val="719E01F9"/>
    <w:rsid w:val="71A36DE5"/>
    <w:rsid w:val="71A62431"/>
    <w:rsid w:val="71A72BD8"/>
    <w:rsid w:val="71AA3543"/>
    <w:rsid w:val="71BC1338"/>
    <w:rsid w:val="71C254BD"/>
    <w:rsid w:val="71C54997"/>
    <w:rsid w:val="71C943F1"/>
    <w:rsid w:val="71D310CC"/>
    <w:rsid w:val="71D73FC4"/>
    <w:rsid w:val="72040A7E"/>
    <w:rsid w:val="72181581"/>
    <w:rsid w:val="72182B7B"/>
    <w:rsid w:val="7222723A"/>
    <w:rsid w:val="72232486"/>
    <w:rsid w:val="724F534A"/>
    <w:rsid w:val="72586BE8"/>
    <w:rsid w:val="726631D8"/>
    <w:rsid w:val="72676064"/>
    <w:rsid w:val="72734A09"/>
    <w:rsid w:val="72784469"/>
    <w:rsid w:val="727B1105"/>
    <w:rsid w:val="72907369"/>
    <w:rsid w:val="72AD7B00"/>
    <w:rsid w:val="72BE6085"/>
    <w:rsid w:val="72C60FDD"/>
    <w:rsid w:val="72D37CD7"/>
    <w:rsid w:val="72E37031"/>
    <w:rsid w:val="73055C8E"/>
    <w:rsid w:val="730E236B"/>
    <w:rsid w:val="73335029"/>
    <w:rsid w:val="73515253"/>
    <w:rsid w:val="73584E4C"/>
    <w:rsid w:val="736425A4"/>
    <w:rsid w:val="736B748E"/>
    <w:rsid w:val="73864416"/>
    <w:rsid w:val="738D4520"/>
    <w:rsid w:val="73934CE0"/>
    <w:rsid w:val="73984CC8"/>
    <w:rsid w:val="739E10ED"/>
    <w:rsid w:val="73A4189A"/>
    <w:rsid w:val="73AD30AD"/>
    <w:rsid w:val="73B61051"/>
    <w:rsid w:val="73C108F9"/>
    <w:rsid w:val="73D07858"/>
    <w:rsid w:val="73D7244B"/>
    <w:rsid w:val="73FA644D"/>
    <w:rsid w:val="740D2D80"/>
    <w:rsid w:val="742D4DA2"/>
    <w:rsid w:val="744F4384"/>
    <w:rsid w:val="74564163"/>
    <w:rsid w:val="746A66AA"/>
    <w:rsid w:val="7470052D"/>
    <w:rsid w:val="747522A7"/>
    <w:rsid w:val="749505C1"/>
    <w:rsid w:val="74A918EB"/>
    <w:rsid w:val="74B14E2F"/>
    <w:rsid w:val="74BD3B8D"/>
    <w:rsid w:val="74CC338A"/>
    <w:rsid w:val="74FA31C0"/>
    <w:rsid w:val="74FB5E71"/>
    <w:rsid w:val="751A7E7D"/>
    <w:rsid w:val="75285293"/>
    <w:rsid w:val="752F185F"/>
    <w:rsid w:val="75420CAE"/>
    <w:rsid w:val="755A6352"/>
    <w:rsid w:val="75660855"/>
    <w:rsid w:val="757840E4"/>
    <w:rsid w:val="75AD4614"/>
    <w:rsid w:val="75C16C65"/>
    <w:rsid w:val="75CD470E"/>
    <w:rsid w:val="75CE5754"/>
    <w:rsid w:val="75D27C98"/>
    <w:rsid w:val="75D92DD5"/>
    <w:rsid w:val="75DE2035"/>
    <w:rsid w:val="75E27CB8"/>
    <w:rsid w:val="75E940AF"/>
    <w:rsid w:val="76037848"/>
    <w:rsid w:val="763571AA"/>
    <w:rsid w:val="763D4899"/>
    <w:rsid w:val="763E0E8A"/>
    <w:rsid w:val="764A3CD3"/>
    <w:rsid w:val="7673460F"/>
    <w:rsid w:val="76882128"/>
    <w:rsid w:val="769C51C5"/>
    <w:rsid w:val="76A747B8"/>
    <w:rsid w:val="76EC72AE"/>
    <w:rsid w:val="76F86BF7"/>
    <w:rsid w:val="76F965EB"/>
    <w:rsid w:val="77045839"/>
    <w:rsid w:val="77117455"/>
    <w:rsid w:val="771334C3"/>
    <w:rsid w:val="771816DB"/>
    <w:rsid w:val="771D3F25"/>
    <w:rsid w:val="773D55E5"/>
    <w:rsid w:val="773D6A0C"/>
    <w:rsid w:val="77445FBB"/>
    <w:rsid w:val="775F08E1"/>
    <w:rsid w:val="77707769"/>
    <w:rsid w:val="77753393"/>
    <w:rsid w:val="777A0D21"/>
    <w:rsid w:val="77933457"/>
    <w:rsid w:val="77964667"/>
    <w:rsid w:val="77A23253"/>
    <w:rsid w:val="77B37656"/>
    <w:rsid w:val="77BD442A"/>
    <w:rsid w:val="77BF5457"/>
    <w:rsid w:val="77C516F1"/>
    <w:rsid w:val="77CC00B3"/>
    <w:rsid w:val="77E95EBE"/>
    <w:rsid w:val="77F36FA1"/>
    <w:rsid w:val="77F53A38"/>
    <w:rsid w:val="78107914"/>
    <w:rsid w:val="78137969"/>
    <w:rsid w:val="78263FA6"/>
    <w:rsid w:val="782947DC"/>
    <w:rsid w:val="78475E19"/>
    <w:rsid w:val="784A620C"/>
    <w:rsid w:val="784C7F9F"/>
    <w:rsid w:val="78546D83"/>
    <w:rsid w:val="789E59B1"/>
    <w:rsid w:val="78A01CE3"/>
    <w:rsid w:val="78AD3650"/>
    <w:rsid w:val="78B117DB"/>
    <w:rsid w:val="78CD4747"/>
    <w:rsid w:val="78D50472"/>
    <w:rsid w:val="78D80E75"/>
    <w:rsid w:val="793A6280"/>
    <w:rsid w:val="793F73F3"/>
    <w:rsid w:val="796513A0"/>
    <w:rsid w:val="79972004"/>
    <w:rsid w:val="79A431A4"/>
    <w:rsid w:val="79A66E1C"/>
    <w:rsid w:val="79B55830"/>
    <w:rsid w:val="79BF1C81"/>
    <w:rsid w:val="79D84385"/>
    <w:rsid w:val="79DD2C1A"/>
    <w:rsid w:val="79E121CE"/>
    <w:rsid w:val="79F17D49"/>
    <w:rsid w:val="7A0C1B0A"/>
    <w:rsid w:val="7A1F5B36"/>
    <w:rsid w:val="7A4539B7"/>
    <w:rsid w:val="7A4A24F3"/>
    <w:rsid w:val="7A644013"/>
    <w:rsid w:val="7A6D0604"/>
    <w:rsid w:val="7A7F2359"/>
    <w:rsid w:val="7AC15919"/>
    <w:rsid w:val="7AF057E5"/>
    <w:rsid w:val="7AF659C2"/>
    <w:rsid w:val="7AFD5155"/>
    <w:rsid w:val="7B0F7863"/>
    <w:rsid w:val="7B111D46"/>
    <w:rsid w:val="7B193C74"/>
    <w:rsid w:val="7B3C1B82"/>
    <w:rsid w:val="7B4C4049"/>
    <w:rsid w:val="7B605EAE"/>
    <w:rsid w:val="7B6B37F2"/>
    <w:rsid w:val="7BC44A62"/>
    <w:rsid w:val="7BDD196E"/>
    <w:rsid w:val="7BE922F4"/>
    <w:rsid w:val="7C1521AD"/>
    <w:rsid w:val="7C204268"/>
    <w:rsid w:val="7C3135A0"/>
    <w:rsid w:val="7C320528"/>
    <w:rsid w:val="7C37047A"/>
    <w:rsid w:val="7C3C1FE5"/>
    <w:rsid w:val="7C610936"/>
    <w:rsid w:val="7C725D31"/>
    <w:rsid w:val="7C7970C0"/>
    <w:rsid w:val="7C7E512C"/>
    <w:rsid w:val="7C9712F4"/>
    <w:rsid w:val="7C974E98"/>
    <w:rsid w:val="7CA95717"/>
    <w:rsid w:val="7CC320E9"/>
    <w:rsid w:val="7CC93BED"/>
    <w:rsid w:val="7CCD1206"/>
    <w:rsid w:val="7CEA58C8"/>
    <w:rsid w:val="7CFF1A84"/>
    <w:rsid w:val="7D0B2C4B"/>
    <w:rsid w:val="7D2418B7"/>
    <w:rsid w:val="7D2B70C2"/>
    <w:rsid w:val="7D5176F5"/>
    <w:rsid w:val="7D67430C"/>
    <w:rsid w:val="7D696399"/>
    <w:rsid w:val="7D70437E"/>
    <w:rsid w:val="7D933520"/>
    <w:rsid w:val="7D983576"/>
    <w:rsid w:val="7DA277C2"/>
    <w:rsid w:val="7DAF2E93"/>
    <w:rsid w:val="7DAF3428"/>
    <w:rsid w:val="7DBA173E"/>
    <w:rsid w:val="7DC0348C"/>
    <w:rsid w:val="7DEE6AB1"/>
    <w:rsid w:val="7E01111B"/>
    <w:rsid w:val="7E067477"/>
    <w:rsid w:val="7E2B2F3E"/>
    <w:rsid w:val="7E396311"/>
    <w:rsid w:val="7E41656B"/>
    <w:rsid w:val="7E7379C5"/>
    <w:rsid w:val="7E741B4A"/>
    <w:rsid w:val="7E8D770C"/>
    <w:rsid w:val="7EC826E6"/>
    <w:rsid w:val="7ED32EFE"/>
    <w:rsid w:val="7EF80147"/>
    <w:rsid w:val="7EFB6528"/>
    <w:rsid w:val="7F18692D"/>
    <w:rsid w:val="7F3B2492"/>
    <w:rsid w:val="7F4777E4"/>
    <w:rsid w:val="7F5F1772"/>
    <w:rsid w:val="7F7E3D6B"/>
    <w:rsid w:val="7F8E324D"/>
    <w:rsid w:val="7F91256B"/>
    <w:rsid w:val="7F963F66"/>
    <w:rsid w:val="7F98423A"/>
    <w:rsid w:val="7FBE4640"/>
    <w:rsid w:val="7FD10FC1"/>
    <w:rsid w:val="7FF74A47"/>
    <w:rsid w:val="7FFC429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0" w:semiHidden="0" w:name="toc 3"/>
    <w:lsdException w:qFormat="1" w:unhideWhenUsed="0" w:uiPriority="0" w:semiHidden="0" w:name="toc 4"/>
    <w:lsdException w:qFormat="1"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iPriority="1" w:semiHidden="0" w:name="Title"/>
    <w:lsdException w:unhideWhenUsed="0" w:uiPriority="0" w:semiHidden="0" w:name="Closing"/>
    <w:lsdException w:unhideWhenUsed="0" w:uiPriority="0" w:semiHidden="0" w:name="Signature"/>
    <w:lsdException w:qFormat="1" w:uiPriority="1" w:name="Default Paragraph Font"/>
    <w:lsdException w:qFormat="1"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99"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99"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adjustRightInd w:val="0"/>
      <w:snapToGrid w:val="0"/>
      <w:spacing w:line="360" w:lineRule="auto"/>
      <w:ind w:firstLine="420" w:firstLineChars="200"/>
      <w:jc w:val="both"/>
    </w:pPr>
    <w:rPr>
      <w:rFonts w:ascii="Times New Roman" w:hAnsi="Times New Roman" w:eastAsia="宋体" w:cstheme="minorBidi"/>
      <w:kern w:val="2"/>
      <w:sz w:val="24"/>
      <w:szCs w:val="24"/>
      <w:lang w:val="en-US" w:eastAsia="zh-CN" w:bidi="ar-SA"/>
    </w:rPr>
  </w:style>
  <w:style w:type="paragraph" w:styleId="2">
    <w:name w:val="heading 1"/>
    <w:basedOn w:val="1"/>
    <w:next w:val="1"/>
    <w:autoRedefine/>
    <w:qFormat/>
    <w:uiPriority w:val="0"/>
    <w:pPr>
      <w:keepNext/>
      <w:pageBreakBefore/>
      <w:numPr>
        <w:ilvl w:val="0"/>
        <w:numId w:val="1"/>
      </w:numPr>
      <w:overflowPunct w:val="0"/>
      <w:snapToGrid w:val="0"/>
      <w:spacing w:beforeLines="100" w:afterLines="200"/>
      <w:ind w:firstLineChars="0"/>
      <w:jc w:val="center"/>
      <w:outlineLvl w:val="0"/>
    </w:pPr>
    <w:rPr>
      <w:b/>
      <w:bCs/>
      <w:color w:val="000000"/>
      <w:kern w:val="0"/>
      <w:sz w:val="44"/>
      <w:szCs w:val="44"/>
    </w:rPr>
  </w:style>
  <w:style w:type="paragraph" w:styleId="3">
    <w:name w:val="heading 2"/>
    <w:basedOn w:val="1"/>
    <w:next w:val="1"/>
    <w:autoRedefine/>
    <w:unhideWhenUsed/>
    <w:qFormat/>
    <w:uiPriority w:val="0"/>
    <w:pPr>
      <w:keepNext/>
      <w:keepLines/>
      <w:numPr>
        <w:ilvl w:val="1"/>
        <w:numId w:val="1"/>
      </w:numPr>
      <w:tabs>
        <w:tab w:val="left" w:pos="420"/>
        <w:tab w:val="clear" w:pos="0"/>
      </w:tabs>
      <w:ind w:firstLineChars="0"/>
      <w:outlineLvl w:val="1"/>
    </w:pPr>
    <w:rPr>
      <w:b/>
      <w:bCs/>
      <w:sz w:val="32"/>
      <w:szCs w:val="32"/>
    </w:rPr>
  </w:style>
  <w:style w:type="paragraph" w:styleId="4">
    <w:name w:val="heading 3"/>
    <w:basedOn w:val="1"/>
    <w:next w:val="1"/>
    <w:autoRedefine/>
    <w:unhideWhenUsed/>
    <w:qFormat/>
    <w:uiPriority w:val="0"/>
    <w:pPr>
      <w:keepNext/>
      <w:keepLines/>
      <w:numPr>
        <w:ilvl w:val="2"/>
        <w:numId w:val="1"/>
      </w:numPr>
      <w:ind w:firstLineChars="0"/>
      <w:outlineLvl w:val="2"/>
    </w:pPr>
    <w:rPr>
      <w:b/>
      <w:sz w:val="28"/>
      <w:szCs w:val="28"/>
    </w:rPr>
  </w:style>
  <w:style w:type="paragraph" w:styleId="5">
    <w:name w:val="heading 4"/>
    <w:basedOn w:val="1"/>
    <w:next w:val="1"/>
    <w:autoRedefine/>
    <w:unhideWhenUsed/>
    <w:qFormat/>
    <w:uiPriority w:val="0"/>
    <w:pPr>
      <w:keepNext/>
      <w:keepLines/>
      <w:numPr>
        <w:ilvl w:val="3"/>
        <w:numId w:val="1"/>
      </w:numPr>
      <w:tabs>
        <w:tab w:val="left" w:pos="420"/>
        <w:tab w:val="clear" w:pos="0"/>
      </w:tabs>
      <w:ind w:firstLineChars="0"/>
      <w:outlineLvl w:val="3"/>
    </w:pPr>
    <w:rPr>
      <w:b/>
      <w:bCs/>
    </w:rPr>
  </w:style>
  <w:style w:type="paragraph" w:styleId="6">
    <w:name w:val="heading 5"/>
    <w:basedOn w:val="1"/>
    <w:next w:val="1"/>
    <w:link w:val="76"/>
    <w:autoRedefine/>
    <w:unhideWhenUsed/>
    <w:qFormat/>
    <w:uiPriority w:val="0"/>
    <w:pPr>
      <w:keepNext/>
      <w:keepLines/>
      <w:numPr>
        <w:ilvl w:val="4"/>
        <w:numId w:val="1"/>
      </w:numPr>
      <w:ind w:left="0" w:firstLine="1044"/>
      <w:outlineLvl w:val="4"/>
    </w:pPr>
    <w:rPr>
      <w:b/>
      <w:bCs/>
    </w:rPr>
  </w:style>
  <w:style w:type="paragraph" w:styleId="7">
    <w:name w:val="heading 6"/>
    <w:basedOn w:val="1"/>
    <w:next w:val="1"/>
    <w:autoRedefine/>
    <w:unhideWhenUsed/>
    <w:qFormat/>
    <w:uiPriority w:val="0"/>
    <w:pPr>
      <w:keepNext/>
      <w:keepLines/>
      <w:outlineLvl w:val="5"/>
    </w:pPr>
    <w:rPr>
      <w:b/>
    </w:rPr>
  </w:style>
  <w:style w:type="paragraph" w:styleId="8">
    <w:name w:val="heading 7"/>
    <w:basedOn w:val="1"/>
    <w:next w:val="1"/>
    <w:autoRedefine/>
    <w:semiHidden/>
    <w:unhideWhenUsed/>
    <w:qFormat/>
    <w:uiPriority w:val="0"/>
    <w:pPr>
      <w:keepNext/>
      <w:keepLines/>
      <w:numPr>
        <w:ilvl w:val="6"/>
        <w:numId w:val="2"/>
      </w:numPr>
      <w:spacing w:before="240" w:after="64" w:line="317" w:lineRule="auto"/>
      <w:ind w:firstLine="0" w:firstLineChars="0"/>
      <w:outlineLvl w:val="6"/>
    </w:pPr>
    <w:rPr>
      <w:b/>
    </w:rPr>
  </w:style>
  <w:style w:type="paragraph" w:styleId="9">
    <w:name w:val="heading 8"/>
    <w:basedOn w:val="1"/>
    <w:next w:val="1"/>
    <w:autoRedefine/>
    <w:semiHidden/>
    <w:unhideWhenUsed/>
    <w:qFormat/>
    <w:uiPriority w:val="0"/>
    <w:pPr>
      <w:keepNext/>
      <w:keepLines/>
      <w:numPr>
        <w:ilvl w:val="7"/>
        <w:numId w:val="1"/>
      </w:numPr>
      <w:spacing w:before="240" w:after="64" w:line="317" w:lineRule="auto"/>
      <w:ind w:firstLine="0" w:firstLineChars="0"/>
      <w:outlineLvl w:val="7"/>
    </w:pPr>
    <w:rPr>
      <w:rFonts w:ascii="Arial" w:hAnsi="Arial" w:eastAsia="黑体"/>
    </w:rPr>
  </w:style>
  <w:style w:type="paragraph" w:styleId="10">
    <w:name w:val="heading 9"/>
    <w:basedOn w:val="1"/>
    <w:next w:val="1"/>
    <w:autoRedefine/>
    <w:semiHidden/>
    <w:unhideWhenUsed/>
    <w:qFormat/>
    <w:uiPriority w:val="0"/>
    <w:pPr>
      <w:keepNext/>
      <w:keepLines/>
      <w:numPr>
        <w:ilvl w:val="8"/>
        <w:numId w:val="1"/>
      </w:numPr>
      <w:spacing w:before="240" w:after="64" w:line="317" w:lineRule="auto"/>
      <w:ind w:firstLine="0" w:firstLineChars="0"/>
      <w:outlineLvl w:val="8"/>
    </w:pPr>
    <w:rPr>
      <w:rFonts w:ascii="Arial" w:hAnsi="Arial" w:eastAsia="黑体"/>
      <w:sz w:val="21"/>
    </w:rPr>
  </w:style>
  <w:style w:type="character" w:default="1" w:styleId="34">
    <w:name w:val="Default Paragraph Font"/>
    <w:autoRedefine/>
    <w:semiHidden/>
    <w:unhideWhenUsed/>
    <w:qFormat/>
    <w:uiPriority w:val="1"/>
  </w:style>
  <w:style w:type="table" w:default="1" w:styleId="32">
    <w:name w:val="Normal Table"/>
    <w:autoRedefine/>
    <w:semiHidden/>
    <w:unhideWhenUsed/>
    <w:qFormat/>
    <w:uiPriority w:val="99"/>
    <w:tblPr>
      <w:tblCellMar>
        <w:top w:w="0" w:type="dxa"/>
        <w:left w:w="108" w:type="dxa"/>
        <w:bottom w:w="0" w:type="dxa"/>
        <w:right w:w="108" w:type="dxa"/>
      </w:tblCellMar>
    </w:tblPr>
  </w:style>
  <w:style w:type="paragraph" w:styleId="11">
    <w:name w:val="Normal Indent"/>
    <w:autoRedefine/>
    <w:qFormat/>
    <w:uiPriority w:val="0"/>
    <w:pPr>
      <w:widowControl w:val="0"/>
      <w:jc w:val="both"/>
    </w:pPr>
    <w:rPr>
      <w:rFonts w:ascii="Calibri" w:hAnsi="Calibri" w:eastAsia="宋体" w:cs="Times New Roman"/>
      <w:kern w:val="2"/>
      <w:sz w:val="24"/>
      <w:szCs w:val="24"/>
      <w:lang w:val="en-US" w:eastAsia="zh-CN" w:bidi="ar-SA"/>
    </w:rPr>
  </w:style>
  <w:style w:type="paragraph" w:styleId="12">
    <w:name w:val="Document Map"/>
    <w:basedOn w:val="1"/>
    <w:link w:val="80"/>
    <w:autoRedefine/>
    <w:qFormat/>
    <w:uiPriority w:val="0"/>
    <w:rPr>
      <w:rFonts w:ascii="宋体"/>
      <w:sz w:val="18"/>
      <w:szCs w:val="18"/>
    </w:rPr>
  </w:style>
  <w:style w:type="paragraph" w:styleId="13">
    <w:name w:val="annotation text"/>
    <w:basedOn w:val="1"/>
    <w:link w:val="81"/>
    <w:autoRedefine/>
    <w:qFormat/>
    <w:uiPriority w:val="99"/>
    <w:pPr>
      <w:jc w:val="left"/>
    </w:pPr>
  </w:style>
  <w:style w:type="paragraph" w:styleId="14">
    <w:name w:val="Body Text"/>
    <w:basedOn w:val="1"/>
    <w:autoRedefine/>
    <w:unhideWhenUsed/>
    <w:qFormat/>
    <w:uiPriority w:val="0"/>
    <w:pPr>
      <w:spacing w:after="120"/>
      <w:ind w:firstLine="0" w:firstLineChars="0"/>
    </w:pPr>
    <w:rPr>
      <w:rFonts w:hint="eastAsia" w:ascii="Calibri" w:hAnsi="Calibri" w:cs="Times New Roman"/>
      <w:color w:val="000000"/>
      <w:sz w:val="18"/>
      <w:szCs w:val="18"/>
    </w:rPr>
  </w:style>
  <w:style w:type="paragraph" w:styleId="15">
    <w:name w:val="Body Text Indent"/>
    <w:basedOn w:val="1"/>
    <w:next w:val="16"/>
    <w:autoRedefine/>
    <w:qFormat/>
    <w:uiPriority w:val="0"/>
    <w:pPr>
      <w:spacing w:after="120"/>
      <w:ind w:left="420" w:leftChars="200" w:firstLine="0" w:firstLineChars="0"/>
    </w:pPr>
    <w:rPr>
      <w:rFonts w:hint="eastAsia" w:ascii="Calibri" w:hAnsi="Calibri" w:cs="Times New Roman"/>
      <w:color w:val="000000"/>
      <w:sz w:val="18"/>
      <w:szCs w:val="18"/>
    </w:rPr>
  </w:style>
  <w:style w:type="paragraph" w:styleId="16">
    <w:name w:val="Body Text First Indent 2"/>
    <w:basedOn w:val="15"/>
    <w:next w:val="15"/>
    <w:autoRedefine/>
    <w:qFormat/>
    <w:uiPriority w:val="0"/>
    <w:pPr>
      <w:ind w:firstLine="420" w:firstLineChars="200"/>
    </w:pPr>
    <w:rPr>
      <w:rFonts w:ascii="宋体" w:hAnsi="宋体"/>
      <w:szCs w:val="24"/>
    </w:rPr>
  </w:style>
  <w:style w:type="paragraph" w:styleId="17">
    <w:name w:val="toc 5"/>
    <w:basedOn w:val="1"/>
    <w:next w:val="1"/>
    <w:autoRedefine/>
    <w:qFormat/>
    <w:uiPriority w:val="0"/>
    <w:pPr>
      <w:ind w:left="1680" w:leftChars="800"/>
    </w:pPr>
  </w:style>
  <w:style w:type="paragraph" w:styleId="18">
    <w:name w:val="toc 3"/>
    <w:basedOn w:val="1"/>
    <w:next w:val="1"/>
    <w:autoRedefine/>
    <w:qFormat/>
    <w:uiPriority w:val="0"/>
    <w:pPr>
      <w:ind w:left="840" w:leftChars="400"/>
    </w:pPr>
  </w:style>
  <w:style w:type="paragraph" w:styleId="19">
    <w:name w:val="Plain Text"/>
    <w:basedOn w:val="1"/>
    <w:autoRedefine/>
    <w:qFormat/>
    <w:uiPriority w:val="99"/>
    <w:pPr>
      <w:ind w:firstLine="0" w:firstLineChars="0"/>
    </w:pPr>
    <w:rPr>
      <w:rFonts w:hint="eastAsia" w:hAnsi="Courier New" w:cs="Times New Roman"/>
      <w:color w:val="000000"/>
      <w:sz w:val="18"/>
      <w:szCs w:val="21"/>
    </w:rPr>
  </w:style>
  <w:style w:type="paragraph" w:styleId="20">
    <w:name w:val="Body Text Indent 2"/>
    <w:basedOn w:val="1"/>
    <w:autoRedefine/>
    <w:qFormat/>
    <w:uiPriority w:val="0"/>
    <w:pPr>
      <w:snapToGrid w:val="0"/>
      <w:spacing w:after="143" w:line="460" w:lineRule="atLeast"/>
      <w:ind w:firstLine="480" w:firstLineChars="0"/>
    </w:pPr>
    <w:rPr>
      <w:rFonts w:hint="eastAsia" w:cs="Times New Roman"/>
      <w:color w:val="000000"/>
    </w:rPr>
  </w:style>
  <w:style w:type="paragraph" w:styleId="21">
    <w:name w:val="Balloon Text"/>
    <w:basedOn w:val="1"/>
    <w:link w:val="79"/>
    <w:autoRedefine/>
    <w:qFormat/>
    <w:uiPriority w:val="0"/>
    <w:pPr>
      <w:spacing w:line="240" w:lineRule="auto"/>
    </w:pPr>
    <w:rPr>
      <w:sz w:val="18"/>
      <w:szCs w:val="18"/>
    </w:rPr>
  </w:style>
  <w:style w:type="paragraph" w:styleId="22">
    <w:name w:val="footer"/>
    <w:basedOn w:val="1"/>
    <w:autoRedefine/>
    <w:qFormat/>
    <w:uiPriority w:val="99"/>
    <w:pPr>
      <w:tabs>
        <w:tab w:val="center" w:pos="4153"/>
        <w:tab w:val="right" w:pos="8306"/>
      </w:tabs>
      <w:snapToGrid w:val="0"/>
      <w:jc w:val="left"/>
    </w:pPr>
    <w:rPr>
      <w:rFonts w:hint="eastAsia" w:cs="Times New Roman"/>
      <w:color w:val="000000"/>
      <w:sz w:val="18"/>
      <w:szCs w:val="18"/>
    </w:rPr>
  </w:style>
  <w:style w:type="paragraph" w:styleId="23">
    <w:name w:val="header"/>
    <w:basedOn w:val="1"/>
    <w:autoRedefine/>
    <w:qFormat/>
    <w:uiPriority w:val="0"/>
    <w:pPr>
      <w:pBdr>
        <w:bottom w:val="single" w:color="auto" w:sz="6" w:space="1"/>
      </w:pBdr>
      <w:tabs>
        <w:tab w:val="center" w:pos="4153"/>
        <w:tab w:val="right" w:pos="8306"/>
      </w:tabs>
      <w:snapToGrid w:val="0"/>
      <w:jc w:val="center"/>
    </w:pPr>
    <w:rPr>
      <w:rFonts w:hint="eastAsia" w:ascii="Times New Roman" w:hAnsi="Times New Roman" w:eastAsia="宋体" w:cs="Times New Roman"/>
      <w:color w:val="000000"/>
      <w:sz w:val="18"/>
      <w:szCs w:val="18"/>
    </w:rPr>
  </w:style>
  <w:style w:type="paragraph" w:styleId="24">
    <w:name w:val="toc 1"/>
    <w:next w:val="1"/>
    <w:autoRedefine/>
    <w:qFormat/>
    <w:uiPriority w:val="39"/>
    <w:pPr>
      <w:tabs>
        <w:tab w:val="right" w:leader="dot" w:pos="8364"/>
      </w:tabs>
      <w:spacing w:line="360" w:lineRule="auto"/>
    </w:pPr>
    <w:rPr>
      <w:rFonts w:ascii="宋体" w:hAnsi="宋体" w:eastAsia="宋体" w:cs="宋体"/>
      <w:b/>
      <w:bCs/>
      <w:caps/>
      <w:sz w:val="28"/>
      <w:szCs w:val="28"/>
      <w:lang w:val="en-US" w:eastAsia="zh-CN" w:bidi="ar-SA"/>
    </w:rPr>
  </w:style>
  <w:style w:type="paragraph" w:styleId="25">
    <w:name w:val="toc 4"/>
    <w:basedOn w:val="1"/>
    <w:next w:val="1"/>
    <w:autoRedefine/>
    <w:qFormat/>
    <w:uiPriority w:val="0"/>
    <w:pPr>
      <w:ind w:left="1260" w:leftChars="600"/>
    </w:pPr>
  </w:style>
  <w:style w:type="paragraph" w:styleId="26">
    <w:name w:val="table of figures"/>
    <w:basedOn w:val="1"/>
    <w:next w:val="1"/>
    <w:autoRedefine/>
    <w:qFormat/>
    <w:uiPriority w:val="0"/>
    <w:pPr>
      <w:ind w:firstLine="1044"/>
      <w:jc w:val="left"/>
    </w:pPr>
    <w:rPr>
      <w:rFonts w:cs="Times New Roman"/>
      <w:smallCaps/>
    </w:rPr>
  </w:style>
  <w:style w:type="paragraph" w:styleId="27">
    <w:name w:val="toc 2"/>
    <w:basedOn w:val="1"/>
    <w:next w:val="1"/>
    <w:autoRedefine/>
    <w:qFormat/>
    <w:uiPriority w:val="39"/>
  </w:style>
  <w:style w:type="paragraph" w:styleId="28">
    <w:name w:val="Normal (Web)"/>
    <w:basedOn w:val="1"/>
    <w:autoRedefine/>
    <w:qFormat/>
    <w:uiPriority w:val="99"/>
    <w:pPr>
      <w:widowControl/>
      <w:spacing w:before="100" w:beforeAutospacing="1" w:after="100" w:afterAutospacing="1"/>
      <w:ind w:firstLine="0" w:firstLineChars="0"/>
      <w:jc w:val="left"/>
    </w:pPr>
    <w:rPr>
      <w:rFonts w:ascii="宋体" w:hAnsi="宋体" w:cs="宋体"/>
      <w:kern w:val="0"/>
    </w:rPr>
  </w:style>
  <w:style w:type="paragraph" w:styleId="29">
    <w:name w:val="Title"/>
    <w:basedOn w:val="1"/>
    <w:autoRedefine/>
    <w:unhideWhenUsed/>
    <w:qFormat/>
    <w:uiPriority w:val="1"/>
    <w:pPr>
      <w:spacing w:before="1"/>
    </w:pPr>
    <w:rPr>
      <w:rFonts w:eastAsia="Times New Roman"/>
    </w:rPr>
  </w:style>
  <w:style w:type="paragraph" w:styleId="30">
    <w:name w:val="annotation subject"/>
    <w:basedOn w:val="13"/>
    <w:next w:val="13"/>
    <w:link w:val="82"/>
    <w:autoRedefine/>
    <w:qFormat/>
    <w:uiPriority w:val="0"/>
    <w:rPr>
      <w:b/>
      <w:bCs/>
    </w:rPr>
  </w:style>
  <w:style w:type="paragraph" w:styleId="31">
    <w:name w:val="Body Text First Indent"/>
    <w:basedOn w:val="14"/>
    <w:autoRedefine/>
    <w:qFormat/>
    <w:uiPriority w:val="99"/>
    <w:pPr>
      <w:ind w:firstLine="420" w:firstLineChars="100"/>
    </w:pPr>
    <w:rPr>
      <w:rFonts w:ascii="宋体" w:hAnsi="宋体"/>
      <w:szCs w:val="24"/>
    </w:rPr>
  </w:style>
  <w:style w:type="table" w:styleId="33">
    <w:name w:val="Table Grid"/>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
  </w:style>
  <w:style w:type="character" w:styleId="35">
    <w:name w:val="Strong"/>
    <w:basedOn w:val="34"/>
    <w:autoRedefine/>
    <w:qFormat/>
    <w:uiPriority w:val="0"/>
    <w:rPr>
      <w:b/>
    </w:rPr>
  </w:style>
  <w:style w:type="character" w:styleId="36">
    <w:name w:val="Hyperlink"/>
    <w:basedOn w:val="34"/>
    <w:autoRedefine/>
    <w:qFormat/>
    <w:uiPriority w:val="0"/>
    <w:rPr>
      <w:color w:val="0000FF"/>
      <w:u w:val="single"/>
    </w:rPr>
  </w:style>
  <w:style w:type="character" w:styleId="37">
    <w:name w:val="annotation reference"/>
    <w:basedOn w:val="34"/>
    <w:autoRedefine/>
    <w:qFormat/>
    <w:uiPriority w:val="0"/>
    <w:rPr>
      <w:sz w:val="21"/>
      <w:szCs w:val="21"/>
    </w:rPr>
  </w:style>
  <w:style w:type="paragraph" w:customStyle="1" w:styleId="38">
    <w:name w:val="Default"/>
    <w:basedOn w:val="39"/>
    <w:autoRedefine/>
    <w:qFormat/>
    <w:uiPriority w:val="0"/>
    <w:pPr>
      <w:autoSpaceDE w:val="0"/>
      <w:autoSpaceDN w:val="0"/>
    </w:pPr>
    <w:rPr>
      <w:rFonts w:ascii="Sim Sun" w:eastAsia="Sim Sun"/>
      <w:sz w:val="24"/>
      <w:szCs w:val="24"/>
    </w:rPr>
  </w:style>
  <w:style w:type="paragraph" w:customStyle="1" w:styleId="39">
    <w:name w:val="纯文本1"/>
    <w:basedOn w:val="1"/>
    <w:autoRedefine/>
    <w:qFormat/>
    <w:uiPriority w:val="0"/>
    <w:pPr>
      <w:ind w:firstLine="0" w:firstLineChars="0"/>
    </w:pPr>
    <w:rPr>
      <w:rFonts w:hint="eastAsia" w:hAnsi="Courier New" w:cs="Times New Roman"/>
      <w:color w:val="000000"/>
      <w:sz w:val="21"/>
      <w:szCs w:val="21"/>
    </w:rPr>
  </w:style>
  <w:style w:type="paragraph" w:customStyle="1" w:styleId="40">
    <w:name w:val="xl27"/>
    <w:basedOn w:val="1"/>
    <w:autoRedefine/>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Cambria Math" w:cs="Courier New"/>
      <w:kern w:val="0"/>
      <w:sz w:val="22"/>
      <w:szCs w:val="22"/>
    </w:rPr>
  </w:style>
  <w:style w:type="paragraph" w:customStyle="1" w:styleId="41">
    <w:name w:val="zh正文"/>
    <w:autoRedefine/>
    <w:qFormat/>
    <w:uiPriority w:val="0"/>
    <w:pPr>
      <w:spacing w:line="360" w:lineRule="exact"/>
      <w:ind w:firstLine="560" w:firstLineChars="200"/>
    </w:pPr>
    <w:rPr>
      <w:rFonts w:ascii="宋体" w:hAnsi="宋体" w:eastAsia="宋体" w:cs="宋体"/>
      <w:sz w:val="28"/>
      <w:szCs w:val="24"/>
      <w:lang w:val="en-US" w:eastAsia="zh-CN" w:bidi="ar-SA"/>
    </w:rPr>
  </w:style>
  <w:style w:type="paragraph" w:customStyle="1" w:styleId="42">
    <w:name w:val="图件标题"/>
    <w:basedOn w:val="1"/>
    <w:next w:val="1"/>
    <w:link w:val="83"/>
    <w:autoRedefine/>
    <w:qFormat/>
    <w:uiPriority w:val="0"/>
    <w:pPr>
      <w:widowControl/>
      <w:numPr>
        <w:ilvl w:val="6"/>
        <w:numId w:val="1"/>
      </w:numPr>
      <w:spacing w:line="240" w:lineRule="auto"/>
      <w:ind w:firstLineChars="0"/>
      <w:jc w:val="center"/>
      <w:textAlignment w:val="center"/>
    </w:pPr>
    <w:rPr>
      <w:rFonts w:hint="eastAsia"/>
      <w:b/>
      <w:bCs/>
      <w:snapToGrid w:val="0"/>
      <w:kern w:val="0"/>
      <w:sz w:val="21"/>
      <w:szCs w:val="21"/>
    </w:rPr>
  </w:style>
  <w:style w:type="paragraph" w:customStyle="1" w:styleId="43">
    <w:name w:val="表格标题"/>
    <w:basedOn w:val="1"/>
    <w:next w:val="1"/>
    <w:link w:val="44"/>
    <w:autoRedefine/>
    <w:qFormat/>
    <w:uiPriority w:val="0"/>
    <w:pPr>
      <w:keepNext/>
      <w:numPr>
        <w:ilvl w:val="5"/>
        <w:numId w:val="1"/>
      </w:numPr>
      <w:snapToGrid w:val="0"/>
      <w:spacing w:line="240" w:lineRule="auto"/>
      <w:ind w:firstLineChars="0"/>
      <w:jc w:val="center"/>
    </w:pPr>
    <w:rPr>
      <w:rFonts w:hint="eastAsia"/>
      <w:b/>
      <w:bCs/>
      <w:sz w:val="21"/>
      <w:szCs w:val="21"/>
    </w:rPr>
  </w:style>
  <w:style w:type="character" w:customStyle="1" w:styleId="44">
    <w:name w:val="表格标题 Char"/>
    <w:link w:val="43"/>
    <w:autoRedefine/>
    <w:qFormat/>
    <w:uiPriority w:val="0"/>
    <w:rPr>
      <w:rFonts w:hint="eastAsia" w:ascii="Times New Roman" w:hAnsi="Times New Roman" w:eastAsia="宋体"/>
      <w:b/>
      <w:bCs/>
      <w:sz w:val="21"/>
      <w:szCs w:val="21"/>
    </w:rPr>
  </w:style>
  <w:style w:type="paragraph" w:customStyle="1" w:styleId="45">
    <w:name w:val="表格"/>
    <w:basedOn w:val="1"/>
    <w:link w:val="66"/>
    <w:autoRedefine/>
    <w:qFormat/>
    <w:uiPriority w:val="0"/>
    <w:pPr>
      <w:snapToGrid w:val="0"/>
      <w:spacing w:line="240" w:lineRule="auto"/>
      <w:ind w:firstLine="0" w:firstLineChars="0"/>
      <w:jc w:val="center"/>
      <w:textAlignment w:val="baseline"/>
    </w:pPr>
    <w:rPr>
      <w:rFonts w:hint="eastAsia" w:ascii="Times New Roman" w:hAnsi="Times New Roman" w:eastAsia="宋体" w:cs="Times New Roman"/>
      <w:kern w:val="0"/>
      <w:sz w:val="21"/>
      <w:szCs w:val="21"/>
    </w:rPr>
  </w:style>
  <w:style w:type="paragraph" w:customStyle="1" w:styleId="46">
    <w:name w:val="缩进"/>
    <w:basedOn w:val="1"/>
    <w:autoRedefine/>
    <w:qFormat/>
    <w:uiPriority w:val="0"/>
    <w:pPr>
      <w:widowControl/>
      <w:autoSpaceDE w:val="0"/>
      <w:autoSpaceDN w:val="0"/>
      <w:spacing w:line="400" w:lineRule="atLeast"/>
      <w:ind w:firstLine="425" w:firstLineChars="0"/>
      <w:jc w:val="left"/>
      <w:textAlignment w:val="baseline"/>
    </w:pPr>
    <w:rPr>
      <w:rFonts w:hint="eastAsia" w:cs="Times New Roman"/>
      <w:color w:val="000000"/>
      <w:szCs w:val="18"/>
    </w:rPr>
  </w:style>
  <w:style w:type="paragraph" w:customStyle="1" w:styleId="47">
    <w:name w:val="表文"/>
    <w:autoRedefine/>
    <w:qFormat/>
    <w:uiPriority w:val="0"/>
    <w:pPr>
      <w:adjustRightInd w:val="0"/>
      <w:spacing w:before="80" w:line="326" w:lineRule="auto"/>
      <w:jc w:val="center"/>
      <w:textAlignment w:val="baseline"/>
    </w:pPr>
    <w:rPr>
      <w:rFonts w:ascii="宋体" w:hAnsi="宋体" w:eastAsia="宋体" w:cs="宋体"/>
      <w:sz w:val="24"/>
      <w:lang w:val="en-US" w:eastAsia="zh-CN" w:bidi="ar-SA"/>
    </w:rPr>
  </w:style>
  <w:style w:type="paragraph" w:customStyle="1" w:styleId="48">
    <w:name w:val="font6"/>
    <w:basedOn w:val="1"/>
    <w:next w:val="27"/>
    <w:autoRedefine/>
    <w:qFormat/>
    <w:uiPriority w:val="0"/>
    <w:pPr>
      <w:spacing w:before="100" w:beforeAutospacing="1" w:after="100" w:afterAutospacing="1"/>
    </w:pPr>
  </w:style>
  <w:style w:type="paragraph" w:customStyle="1" w:styleId="49">
    <w:name w:val="图文框"/>
    <w:basedOn w:val="1"/>
    <w:autoRedefine/>
    <w:qFormat/>
    <w:uiPriority w:val="0"/>
    <w:pPr>
      <w:spacing w:line="0" w:lineRule="atLeast"/>
      <w:ind w:firstLine="0" w:firstLineChars="0"/>
      <w:jc w:val="center"/>
    </w:pPr>
    <w:rPr>
      <w:rFonts w:eastAsia="仿宋_GB2312"/>
    </w:rPr>
  </w:style>
  <w:style w:type="paragraph" w:customStyle="1" w:styleId="50">
    <w:name w:val="报告正文"/>
    <w:basedOn w:val="1"/>
    <w:autoRedefine/>
    <w:qFormat/>
    <w:uiPriority w:val="0"/>
    <w:pPr>
      <w:snapToGrid w:val="0"/>
    </w:pPr>
    <w:rPr>
      <w:rFonts w:hint="eastAsia" w:cs="Times New Roman"/>
      <w:color w:val="000000"/>
      <w:szCs w:val="18"/>
    </w:rPr>
  </w:style>
  <w:style w:type="paragraph" w:customStyle="1" w:styleId="51">
    <w:name w:val="环评正文"/>
    <w:basedOn w:val="1"/>
    <w:next w:val="1"/>
    <w:autoRedefine/>
    <w:qFormat/>
    <w:uiPriority w:val="0"/>
    <w:pPr>
      <w:ind w:firstLine="720"/>
    </w:pPr>
    <w:rPr>
      <w:rFonts w:cs="宋体"/>
    </w:rPr>
  </w:style>
  <w:style w:type="paragraph" w:customStyle="1" w:styleId="52">
    <w:name w:val="表格内容"/>
    <w:basedOn w:val="43"/>
    <w:autoRedefine/>
    <w:qFormat/>
    <w:uiPriority w:val="99"/>
    <w:rPr>
      <w:rFonts w:cs="宋体"/>
      <w:b w:val="0"/>
    </w:rPr>
  </w:style>
  <w:style w:type="paragraph" w:styleId="53">
    <w:name w:val="List Paragraph"/>
    <w:basedOn w:val="1"/>
    <w:autoRedefine/>
    <w:unhideWhenUsed/>
    <w:qFormat/>
    <w:uiPriority w:val="1"/>
  </w:style>
  <w:style w:type="paragraph" w:customStyle="1" w:styleId="54">
    <w:name w:val="cucd-0"/>
    <w:basedOn w:val="1"/>
    <w:autoRedefine/>
    <w:qFormat/>
    <w:uiPriority w:val="0"/>
    <w:pPr>
      <w:widowControl/>
      <w:ind w:firstLine="480"/>
      <w:jc w:val="left"/>
    </w:pPr>
    <w:rPr>
      <w:rFonts w:ascii="宋体" w:hAnsi="宋体" w:cs="宋体"/>
    </w:rPr>
  </w:style>
  <w:style w:type="paragraph" w:customStyle="1" w:styleId="55">
    <w:name w:val="样式35"/>
    <w:next w:val="48"/>
    <w:autoRedefine/>
    <w:qFormat/>
    <w:uiPriority w:val="0"/>
    <w:pPr>
      <w:widowControl w:val="0"/>
      <w:spacing w:line="312" w:lineRule="auto"/>
      <w:ind w:firstLine="567"/>
      <w:jc w:val="both"/>
    </w:pPr>
    <w:rPr>
      <w:rFonts w:ascii="宋体" w:hAnsi="Times New Roman" w:eastAsia="宋体" w:cs="Times New Roman"/>
      <w:kern w:val="2"/>
      <w:sz w:val="21"/>
      <w:szCs w:val="22"/>
      <w:lang w:val="en-US" w:eastAsia="zh-CN" w:bidi="ar-SA"/>
    </w:rPr>
  </w:style>
  <w:style w:type="paragraph" w:customStyle="1" w:styleId="56">
    <w:name w:val="报告书正文"/>
    <w:basedOn w:val="1"/>
    <w:autoRedefine/>
    <w:qFormat/>
    <w:uiPriority w:val="0"/>
    <w:pPr>
      <w:ind w:firstLine="480"/>
    </w:pPr>
    <w:rPr>
      <w:rFonts w:hint="eastAsia" w:cs="Times New Roman"/>
      <w:color w:val="000000"/>
    </w:rPr>
  </w:style>
  <w:style w:type="character" w:customStyle="1" w:styleId="57">
    <w:name w:val="font21"/>
    <w:basedOn w:val="34"/>
    <w:autoRedefine/>
    <w:qFormat/>
    <w:uiPriority w:val="0"/>
    <w:rPr>
      <w:rFonts w:hint="eastAsia" w:ascii="宋体" w:hAnsi="宋体" w:eastAsia="宋体" w:cs="宋体"/>
      <w:b/>
      <w:bCs/>
      <w:color w:val="000000"/>
      <w:sz w:val="21"/>
      <w:szCs w:val="21"/>
      <w:u w:val="none"/>
    </w:rPr>
  </w:style>
  <w:style w:type="character" w:customStyle="1" w:styleId="58">
    <w:name w:val="font31"/>
    <w:basedOn w:val="34"/>
    <w:autoRedefine/>
    <w:qFormat/>
    <w:uiPriority w:val="0"/>
    <w:rPr>
      <w:rFonts w:hint="default" w:ascii="Times New Roman" w:hAnsi="Times New Roman" w:cs="Times New Roman"/>
      <w:b/>
      <w:bCs/>
      <w:color w:val="000000"/>
      <w:sz w:val="21"/>
      <w:szCs w:val="21"/>
      <w:u w:val="none"/>
    </w:rPr>
  </w:style>
  <w:style w:type="character" w:customStyle="1" w:styleId="59">
    <w:name w:val="font61"/>
    <w:basedOn w:val="34"/>
    <w:autoRedefine/>
    <w:qFormat/>
    <w:uiPriority w:val="0"/>
    <w:rPr>
      <w:rFonts w:hint="eastAsia" w:ascii="宋体" w:hAnsi="宋体" w:eastAsia="宋体" w:cs="宋体"/>
      <w:b/>
      <w:bCs/>
      <w:color w:val="000000"/>
      <w:sz w:val="24"/>
      <w:szCs w:val="24"/>
      <w:u w:val="none"/>
    </w:rPr>
  </w:style>
  <w:style w:type="character" w:customStyle="1" w:styleId="60">
    <w:name w:val="font51"/>
    <w:basedOn w:val="34"/>
    <w:autoRedefine/>
    <w:qFormat/>
    <w:uiPriority w:val="0"/>
    <w:rPr>
      <w:rFonts w:hint="eastAsia" w:ascii="宋体" w:hAnsi="宋体" w:eastAsia="宋体" w:cs="宋体"/>
      <w:color w:val="000000"/>
      <w:sz w:val="21"/>
      <w:szCs w:val="21"/>
      <w:u w:val="none"/>
    </w:rPr>
  </w:style>
  <w:style w:type="character" w:customStyle="1" w:styleId="61">
    <w:name w:val="font41"/>
    <w:basedOn w:val="34"/>
    <w:autoRedefine/>
    <w:qFormat/>
    <w:uiPriority w:val="0"/>
    <w:rPr>
      <w:rFonts w:hint="default" w:ascii="Times New Roman" w:hAnsi="Times New Roman" w:cs="Times New Roman"/>
      <w:color w:val="000000"/>
      <w:sz w:val="21"/>
      <w:szCs w:val="21"/>
      <w:u w:val="none"/>
      <w:vertAlign w:val="subscript"/>
    </w:rPr>
  </w:style>
  <w:style w:type="character" w:customStyle="1" w:styleId="62">
    <w:name w:val="font81"/>
    <w:basedOn w:val="34"/>
    <w:autoRedefine/>
    <w:qFormat/>
    <w:uiPriority w:val="0"/>
    <w:rPr>
      <w:rFonts w:hint="default" w:ascii="Times New Roman" w:hAnsi="Times New Roman" w:cs="Times New Roman"/>
      <w:color w:val="000000"/>
      <w:sz w:val="21"/>
      <w:szCs w:val="21"/>
      <w:u w:val="none"/>
    </w:rPr>
  </w:style>
  <w:style w:type="character" w:customStyle="1" w:styleId="63">
    <w:name w:val="font71"/>
    <w:basedOn w:val="34"/>
    <w:autoRedefine/>
    <w:qFormat/>
    <w:uiPriority w:val="0"/>
    <w:rPr>
      <w:rFonts w:hint="default" w:ascii="Times New Roman" w:hAnsi="Times New Roman" w:cs="Times New Roman"/>
      <w:color w:val="000000"/>
      <w:sz w:val="21"/>
      <w:szCs w:val="21"/>
      <w:u w:val="none"/>
    </w:rPr>
  </w:style>
  <w:style w:type="character" w:customStyle="1" w:styleId="64">
    <w:name w:val="font91"/>
    <w:basedOn w:val="34"/>
    <w:autoRedefine/>
    <w:qFormat/>
    <w:uiPriority w:val="0"/>
    <w:rPr>
      <w:rFonts w:hint="default" w:ascii="Times New Roman" w:hAnsi="Times New Roman" w:cs="Times New Roman"/>
      <w:color w:val="000000"/>
      <w:sz w:val="21"/>
      <w:szCs w:val="21"/>
      <w:u w:val="none"/>
      <w:vertAlign w:val="subscript"/>
    </w:rPr>
  </w:style>
  <w:style w:type="paragraph" w:customStyle="1" w:styleId="65">
    <w:name w:val="Table Paragraph"/>
    <w:autoRedefine/>
    <w:qFormat/>
    <w:uiPriority w:val="0"/>
    <w:pPr>
      <w:widowControl w:val="0"/>
      <w:autoSpaceDE w:val="0"/>
      <w:autoSpaceDN w:val="0"/>
      <w:adjustRightInd w:val="0"/>
      <w:spacing w:line="360" w:lineRule="auto"/>
    </w:pPr>
    <w:rPr>
      <w:rFonts w:ascii="Times New Roman" w:hAnsi="Times New Roman" w:eastAsia="宋体" w:cs="Times New Roman"/>
      <w:sz w:val="24"/>
      <w:szCs w:val="24"/>
      <w:lang w:val="en-US" w:eastAsia="zh-CN" w:bidi="ar-SA"/>
    </w:rPr>
  </w:style>
  <w:style w:type="character" w:customStyle="1" w:styleId="66">
    <w:name w:val="表格 Char1"/>
    <w:link w:val="45"/>
    <w:autoRedefine/>
    <w:qFormat/>
    <w:uiPriority w:val="0"/>
    <w:rPr>
      <w:rFonts w:hint="eastAsia" w:ascii="Times New Roman" w:hAnsi="Times New Roman" w:eastAsia="宋体" w:cs="Times New Roman"/>
      <w:kern w:val="0"/>
      <w:sz w:val="21"/>
      <w:szCs w:val="21"/>
    </w:rPr>
  </w:style>
  <w:style w:type="character" w:customStyle="1" w:styleId="67">
    <w:name w:val="font11"/>
    <w:basedOn w:val="34"/>
    <w:autoRedefine/>
    <w:qFormat/>
    <w:uiPriority w:val="0"/>
    <w:rPr>
      <w:rFonts w:hint="eastAsia" w:ascii="仿宋" w:hAnsi="仿宋" w:eastAsia="仿宋" w:cs="仿宋"/>
      <w:color w:val="000000"/>
      <w:sz w:val="21"/>
      <w:szCs w:val="21"/>
      <w:u w:val="none"/>
    </w:rPr>
  </w:style>
  <w:style w:type="paragraph" w:customStyle="1" w:styleId="68">
    <w:name w:val="环评书标题3"/>
    <w:basedOn w:val="1"/>
    <w:next w:val="1"/>
    <w:autoRedefine/>
    <w:qFormat/>
    <w:uiPriority w:val="0"/>
    <w:pPr>
      <w:snapToGrid w:val="0"/>
      <w:spacing w:line="500" w:lineRule="exact"/>
    </w:pPr>
    <w:rPr>
      <w:rFonts w:cs="Times New Roman"/>
      <w:b/>
    </w:rPr>
  </w:style>
  <w:style w:type="character" w:customStyle="1" w:styleId="69">
    <w:name w:val="font101"/>
    <w:basedOn w:val="34"/>
    <w:autoRedefine/>
    <w:qFormat/>
    <w:uiPriority w:val="0"/>
    <w:rPr>
      <w:rFonts w:ascii="Arial" w:hAnsi="Arial" w:cs="Arial"/>
      <w:b/>
      <w:bCs/>
      <w:color w:val="000000"/>
      <w:sz w:val="20"/>
      <w:szCs w:val="20"/>
      <w:u w:val="none"/>
    </w:rPr>
  </w:style>
  <w:style w:type="character" w:customStyle="1" w:styleId="70">
    <w:name w:val="font111"/>
    <w:basedOn w:val="34"/>
    <w:autoRedefine/>
    <w:qFormat/>
    <w:uiPriority w:val="0"/>
    <w:rPr>
      <w:rFonts w:hint="eastAsia" w:ascii="宋体" w:hAnsi="宋体" w:eastAsia="宋体" w:cs="宋体"/>
      <w:b/>
      <w:bCs/>
      <w:color w:val="000000"/>
      <w:sz w:val="20"/>
      <w:szCs w:val="20"/>
      <w:u w:val="none"/>
    </w:rPr>
  </w:style>
  <w:style w:type="character" w:customStyle="1" w:styleId="71">
    <w:name w:val="font121"/>
    <w:basedOn w:val="34"/>
    <w:autoRedefine/>
    <w:qFormat/>
    <w:uiPriority w:val="0"/>
    <w:rPr>
      <w:rFonts w:hint="eastAsia" w:ascii="宋体" w:hAnsi="宋体" w:eastAsia="宋体" w:cs="宋体"/>
      <w:color w:val="000000"/>
      <w:sz w:val="22"/>
      <w:szCs w:val="22"/>
      <w:u w:val="none"/>
    </w:rPr>
  </w:style>
  <w:style w:type="character" w:customStyle="1" w:styleId="72">
    <w:name w:val="font131"/>
    <w:basedOn w:val="34"/>
    <w:autoRedefine/>
    <w:qFormat/>
    <w:uiPriority w:val="0"/>
    <w:rPr>
      <w:rFonts w:hint="default" w:ascii="Arial" w:hAnsi="Arial" w:cs="Arial"/>
      <w:color w:val="000000"/>
      <w:sz w:val="22"/>
      <w:szCs w:val="22"/>
      <w:u w:val="none"/>
    </w:rPr>
  </w:style>
  <w:style w:type="character" w:customStyle="1" w:styleId="73">
    <w:name w:val="font14"/>
    <w:basedOn w:val="34"/>
    <w:autoRedefine/>
    <w:qFormat/>
    <w:uiPriority w:val="0"/>
    <w:rPr>
      <w:rFonts w:ascii="Arial" w:hAnsi="Arial" w:eastAsia="Arial" w:cs="Arial"/>
      <w:color w:val="000000"/>
      <w:sz w:val="20"/>
      <w:szCs w:val="20"/>
      <w:u w:val="none"/>
    </w:rPr>
  </w:style>
  <w:style w:type="character" w:customStyle="1" w:styleId="74">
    <w:name w:val="font112"/>
    <w:basedOn w:val="34"/>
    <w:autoRedefine/>
    <w:qFormat/>
    <w:uiPriority w:val="0"/>
    <w:rPr>
      <w:rFonts w:hint="eastAsia" w:ascii="宋体" w:hAnsi="宋体" w:eastAsia="宋体" w:cs="宋体"/>
      <w:b/>
      <w:bCs/>
      <w:color w:val="000000"/>
      <w:sz w:val="22"/>
      <w:szCs w:val="22"/>
      <w:u w:val="none"/>
    </w:rPr>
  </w:style>
  <w:style w:type="character" w:customStyle="1" w:styleId="75">
    <w:name w:val="font141"/>
    <w:basedOn w:val="34"/>
    <w:autoRedefine/>
    <w:qFormat/>
    <w:uiPriority w:val="0"/>
    <w:rPr>
      <w:rFonts w:hint="default" w:ascii="Times New Roman" w:hAnsi="Times New Roman" w:cs="Times New Roman"/>
      <w:b/>
      <w:bCs/>
      <w:color w:val="000000"/>
      <w:sz w:val="20"/>
      <w:szCs w:val="20"/>
      <w:u w:val="none"/>
    </w:rPr>
  </w:style>
  <w:style w:type="character" w:customStyle="1" w:styleId="76">
    <w:name w:val="标题 5 Char"/>
    <w:link w:val="6"/>
    <w:autoRedefine/>
    <w:qFormat/>
    <w:uiPriority w:val="0"/>
    <w:rPr>
      <w:b/>
      <w:bCs/>
    </w:rPr>
  </w:style>
  <w:style w:type="character" w:customStyle="1" w:styleId="77">
    <w:name w:val="apple-style-span"/>
    <w:autoRedefine/>
    <w:qFormat/>
    <w:uiPriority w:val="0"/>
    <w:rPr>
      <w:rFonts w:ascii="Times New Roman" w:hAnsi="Times New Roman" w:eastAsia="宋体" w:cs="Times New Roman"/>
    </w:rPr>
  </w:style>
  <w:style w:type="character" w:customStyle="1" w:styleId="78">
    <w:name w:val="font01"/>
    <w:basedOn w:val="34"/>
    <w:autoRedefine/>
    <w:qFormat/>
    <w:uiPriority w:val="0"/>
    <w:rPr>
      <w:rFonts w:hint="eastAsia" w:ascii="宋体" w:hAnsi="宋体" w:eastAsia="宋体" w:cs="宋体"/>
      <w:color w:val="000000"/>
      <w:sz w:val="22"/>
      <w:szCs w:val="22"/>
      <w:u w:val="none"/>
    </w:rPr>
  </w:style>
  <w:style w:type="character" w:customStyle="1" w:styleId="79">
    <w:name w:val="批注框文本 Char"/>
    <w:basedOn w:val="34"/>
    <w:link w:val="21"/>
    <w:autoRedefine/>
    <w:qFormat/>
    <w:uiPriority w:val="0"/>
    <w:rPr>
      <w:rFonts w:cstheme="minorBidi"/>
      <w:kern w:val="2"/>
      <w:sz w:val="18"/>
      <w:szCs w:val="18"/>
    </w:rPr>
  </w:style>
  <w:style w:type="character" w:customStyle="1" w:styleId="80">
    <w:name w:val="文档结构图 Char"/>
    <w:basedOn w:val="34"/>
    <w:link w:val="12"/>
    <w:autoRedefine/>
    <w:qFormat/>
    <w:uiPriority w:val="0"/>
    <w:rPr>
      <w:rFonts w:ascii="宋体" w:cstheme="minorBidi"/>
      <w:kern w:val="2"/>
      <w:sz w:val="18"/>
      <w:szCs w:val="18"/>
    </w:rPr>
  </w:style>
  <w:style w:type="character" w:customStyle="1" w:styleId="81">
    <w:name w:val="批注文字 Char"/>
    <w:basedOn w:val="34"/>
    <w:link w:val="13"/>
    <w:autoRedefine/>
    <w:qFormat/>
    <w:uiPriority w:val="99"/>
    <w:rPr>
      <w:rFonts w:cstheme="minorBidi"/>
      <w:kern w:val="2"/>
      <w:sz w:val="24"/>
      <w:szCs w:val="24"/>
    </w:rPr>
  </w:style>
  <w:style w:type="character" w:customStyle="1" w:styleId="82">
    <w:name w:val="批注主题 Char"/>
    <w:basedOn w:val="81"/>
    <w:link w:val="30"/>
    <w:autoRedefine/>
    <w:qFormat/>
    <w:uiPriority w:val="0"/>
  </w:style>
  <w:style w:type="character" w:customStyle="1" w:styleId="83">
    <w:name w:val="图件标题 Char"/>
    <w:link w:val="42"/>
    <w:autoRedefine/>
    <w:qFormat/>
    <w:uiPriority w:val="0"/>
    <w:rPr>
      <w:rFonts w:hint="eastAsia"/>
      <w:b/>
      <w:bCs/>
      <w:snapToGrid w:val="0"/>
      <w:kern w:val="0"/>
      <w:sz w:val="21"/>
      <w:szCs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43.wmf"/><Relationship Id="rId98" Type="http://schemas.openxmlformats.org/officeDocument/2006/relationships/oleObject" Target="embeddings/oleObject42.bin"/><Relationship Id="rId97" Type="http://schemas.openxmlformats.org/officeDocument/2006/relationships/image" Target="media/image42.wmf"/><Relationship Id="rId96" Type="http://schemas.openxmlformats.org/officeDocument/2006/relationships/oleObject" Target="embeddings/oleObject41.bin"/><Relationship Id="rId95" Type="http://schemas.openxmlformats.org/officeDocument/2006/relationships/image" Target="media/image41.wmf"/><Relationship Id="rId94" Type="http://schemas.openxmlformats.org/officeDocument/2006/relationships/oleObject" Target="embeddings/oleObject40.bin"/><Relationship Id="rId93" Type="http://schemas.openxmlformats.org/officeDocument/2006/relationships/image" Target="media/image40.wmf"/><Relationship Id="rId92" Type="http://schemas.openxmlformats.org/officeDocument/2006/relationships/oleObject" Target="embeddings/oleObject39.bin"/><Relationship Id="rId91" Type="http://schemas.openxmlformats.org/officeDocument/2006/relationships/image" Target="media/image39.wmf"/><Relationship Id="rId90" Type="http://schemas.openxmlformats.org/officeDocument/2006/relationships/oleObject" Target="embeddings/oleObject38.bin"/><Relationship Id="rId9" Type="http://schemas.openxmlformats.org/officeDocument/2006/relationships/header" Target="header3.xml"/><Relationship Id="rId89" Type="http://schemas.openxmlformats.org/officeDocument/2006/relationships/image" Target="media/image38.wmf"/><Relationship Id="rId88" Type="http://schemas.openxmlformats.org/officeDocument/2006/relationships/oleObject" Target="embeddings/oleObject37.bin"/><Relationship Id="rId87" Type="http://schemas.openxmlformats.org/officeDocument/2006/relationships/image" Target="media/image37.wmf"/><Relationship Id="rId86" Type="http://schemas.openxmlformats.org/officeDocument/2006/relationships/oleObject" Target="embeddings/oleObject36.bin"/><Relationship Id="rId85" Type="http://schemas.openxmlformats.org/officeDocument/2006/relationships/image" Target="media/image36.wmf"/><Relationship Id="rId84" Type="http://schemas.openxmlformats.org/officeDocument/2006/relationships/oleObject" Target="embeddings/oleObject35.bin"/><Relationship Id="rId83" Type="http://schemas.openxmlformats.org/officeDocument/2006/relationships/image" Target="media/image35.wmf"/><Relationship Id="rId82" Type="http://schemas.openxmlformats.org/officeDocument/2006/relationships/oleObject" Target="embeddings/oleObject34.bin"/><Relationship Id="rId81" Type="http://schemas.openxmlformats.org/officeDocument/2006/relationships/image" Target="media/image34.wmf"/><Relationship Id="rId80" Type="http://schemas.openxmlformats.org/officeDocument/2006/relationships/oleObject" Target="embeddings/oleObject33.bin"/><Relationship Id="rId8" Type="http://schemas.openxmlformats.org/officeDocument/2006/relationships/footer" Target="footer2.xml"/><Relationship Id="rId79" Type="http://schemas.openxmlformats.org/officeDocument/2006/relationships/image" Target="media/image33.wmf"/><Relationship Id="rId78" Type="http://schemas.openxmlformats.org/officeDocument/2006/relationships/oleObject" Target="embeddings/oleObject32.bin"/><Relationship Id="rId77" Type="http://schemas.openxmlformats.org/officeDocument/2006/relationships/image" Target="media/image32.emf"/><Relationship Id="rId76" Type="http://schemas.openxmlformats.org/officeDocument/2006/relationships/oleObject" Target="embeddings/oleObject31.bin"/><Relationship Id="rId75" Type="http://schemas.openxmlformats.org/officeDocument/2006/relationships/image" Target="media/image31.emf"/><Relationship Id="rId74" Type="http://schemas.openxmlformats.org/officeDocument/2006/relationships/oleObject" Target="embeddings/oleObject30.bin"/><Relationship Id="rId73" Type="http://schemas.openxmlformats.org/officeDocument/2006/relationships/image" Target="media/image30.emf"/><Relationship Id="rId72" Type="http://schemas.openxmlformats.org/officeDocument/2006/relationships/oleObject" Target="embeddings/oleObject29.bin"/><Relationship Id="rId71" Type="http://schemas.openxmlformats.org/officeDocument/2006/relationships/oleObject" Target="embeddings/oleObject28.bin"/><Relationship Id="rId70" Type="http://schemas.openxmlformats.org/officeDocument/2006/relationships/image" Target="media/image29.wmf"/><Relationship Id="rId7" Type="http://schemas.openxmlformats.org/officeDocument/2006/relationships/header" Target="header2.xml"/><Relationship Id="rId69" Type="http://schemas.openxmlformats.org/officeDocument/2006/relationships/oleObject" Target="embeddings/oleObject27.bin"/><Relationship Id="rId68" Type="http://schemas.openxmlformats.org/officeDocument/2006/relationships/image" Target="media/image28.emf"/><Relationship Id="rId67" Type="http://schemas.openxmlformats.org/officeDocument/2006/relationships/oleObject" Target="embeddings/oleObject26.bin"/><Relationship Id="rId66" Type="http://schemas.openxmlformats.org/officeDocument/2006/relationships/image" Target="media/image27.emf"/><Relationship Id="rId65" Type="http://schemas.openxmlformats.org/officeDocument/2006/relationships/oleObject" Target="embeddings/oleObject25.bin"/><Relationship Id="rId64" Type="http://schemas.openxmlformats.org/officeDocument/2006/relationships/image" Target="media/image26.emf"/><Relationship Id="rId63" Type="http://schemas.openxmlformats.org/officeDocument/2006/relationships/oleObject" Target="embeddings/oleObject24.bin"/><Relationship Id="rId62" Type="http://schemas.openxmlformats.org/officeDocument/2006/relationships/image" Target="media/image25.wmf"/><Relationship Id="rId61" Type="http://schemas.openxmlformats.org/officeDocument/2006/relationships/oleObject" Target="embeddings/oleObject23.bin"/><Relationship Id="rId60" Type="http://schemas.openxmlformats.org/officeDocument/2006/relationships/image" Target="media/image24.wmf"/><Relationship Id="rId6" Type="http://schemas.openxmlformats.org/officeDocument/2006/relationships/footer" Target="footer1.xml"/><Relationship Id="rId59" Type="http://schemas.openxmlformats.org/officeDocument/2006/relationships/oleObject" Target="embeddings/oleObject22.bin"/><Relationship Id="rId58" Type="http://schemas.openxmlformats.org/officeDocument/2006/relationships/image" Target="media/image23.wmf"/><Relationship Id="rId57" Type="http://schemas.openxmlformats.org/officeDocument/2006/relationships/oleObject" Target="embeddings/oleObject21.bin"/><Relationship Id="rId56" Type="http://schemas.openxmlformats.org/officeDocument/2006/relationships/oleObject" Target="embeddings/oleObject20.bin"/><Relationship Id="rId55" Type="http://schemas.openxmlformats.org/officeDocument/2006/relationships/image" Target="media/image22.emf"/><Relationship Id="rId54" Type="http://schemas.openxmlformats.org/officeDocument/2006/relationships/oleObject" Target="embeddings/oleObject19.bin"/><Relationship Id="rId53" Type="http://schemas.openxmlformats.org/officeDocument/2006/relationships/image" Target="media/image21.emf"/><Relationship Id="rId52" Type="http://schemas.openxmlformats.org/officeDocument/2006/relationships/oleObject" Target="embeddings/oleObject18.bin"/><Relationship Id="rId51" Type="http://schemas.openxmlformats.org/officeDocument/2006/relationships/image" Target="media/image20.wmf"/><Relationship Id="rId50" Type="http://schemas.openxmlformats.org/officeDocument/2006/relationships/oleObject" Target="embeddings/oleObject17.bin"/><Relationship Id="rId5" Type="http://schemas.openxmlformats.org/officeDocument/2006/relationships/header" Target="header1.xml"/><Relationship Id="rId49" Type="http://schemas.openxmlformats.org/officeDocument/2006/relationships/oleObject" Target="embeddings/oleObject16.bin"/><Relationship Id="rId48" Type="http://schemas.openxmlformats.org/officeDocument/2006/relationships/image" Target="media/image19.emf"/><Relationship Id="rId47" Type="http://schemas.openxmlformats.org/officeDocument/2006/relationships/oleObject" Target="embeddings/oleObject15.bin"/><Relationship Id="rId46" Type="http://schemas.openxmlformats.org/officeDocument/2006/relationships/image" Target="media/image18.emf"/><Relationship Id="rId45" Type="http://schemas.openxmlformats.org/officeDocument/2006/relationships/oleObject" Target="embeddings/oleObject14.bin"/><Relationship Id="rId44" Type="http://schemas.openxmlformats.org/officeDocument/2006/relationships/image" Target="media/image17.emf"/><Relationship Id="rId43" Type="http://schemas.openxmlformats.org/officeDocument/2006/relationships/oleObject" Target="embeddings/oleObject13.bin"/><Relationship Id="rId42" Type="http://schemas.openxmlformats.org/officeDocument/2006/relationships/image" Target="media/image16.wmf"/><Relationship Id="rId41" Type="http://schemas.openxmlformats.org/officeDocument/2006/relationships/oleObject" Target="embeddings/oleObject12.bin"/><Relationship Id="rId40" Type="http://schemas.openxmlformats.org/officeDocument/2006/relationships/image" Target="media/image15.emf"/><Relationship Id="rId4" Type="http://schemas.openxmlformats.org/officeDocument/2006/relationships/endnotes" Target="endnotes.xml"/><Relationship Id="rId39" Type="http://schemas.openxmlformats.org/officeDocument/2006/relationships/oleObject" Target="embeddings/oleObject11.bin"/><Relationship Id="rId38" Type="http://schemas.openxmlformats.org/officeDocument/2006/relationships/image" Target="media/image14.emf"/><Relationship Id="rId37" Type="http://schemas.openxmlformats.org/officeDocument/2006/relationships/oleObject" Target="embeddings/oleObject10.bin"/><Relationship Id="rId36" Type="http://schemas.openxmlformats.org/officeDocument/2006/relationships/image" Target="media/image13.emf"/><Relationship Id="rId35" Type="http://schemas.openxmlformats.org/officeDocument/2006/relationships/oleObject" Target="embeddings/oleObject9.bin"/><Relationship Id="rId34" Type="http://schemas.openxmlformats.org/officeDocument/2006/relationships/image" Target="media/image12.wmf"/><Relationship Id="rId33" Type="http://schemas.openxmlformats.org/officeDocument/2006/relationships/oleObject" Target="embeddings/oleObject8.bin"/><Relationship Id="rId32" Type="http://schemas.openxmlformats.org/officeDocument/2006/relationships/image" Target="media/image11.emf"/><Relationship Id="rId31" Type="http://schemas.openxmlformats.org/officeDocument/2006/relationships/oleObject" Target="embeddings/oleObject7.bin"/><Relationship Id="rId30" Type="http://schemas.openxmlformats.org/officeDocument/2006/relationships/image" Target="media/image10.emf"/><Relationship Id="rId3" Type="http://schemas.openxmlformats.org/officeDocument/2006/relationships/footnotes" Target="footnotes.xml"/><Relationship Id="rId29" Type="http://schemas.openxmlformats.org/officeDocument/2006/relationships/oleObject" Target="embeddings/oleObject6.bin"/><Relationship Id="rId28" Type="http://schemas.openxmlformats.org/officeDocument/2006/relationships/image" Target="media/image9.emf"/><Relationship Id="rId27" Type="http://schemas.openxmlformats.org/officeDocument/2006/relationships/oleObject" Target="embeddings/oleObject5.bin"/><Relationship Id="rId26" Type="http://schemas.openxmlformats.org/officeDocument/2006/relationships/image" Target="media/image8.wmf"/><Relationship Id="rId25" Type="http://schemas.openxmlformats.org/officeDocument/2006/relationships/oleObject" Target="embeddings/oleObject4.bin"/><Relationship Id="rId24" Type="http://schemas.openxmlformats.org/officeDocument/2006/relationships/image" Target="media/image7.wmf"/><Relationship Id="rId23" Type="http://schemas.openxmlformats.org/officeDocument/2006/relationships/oleObject" Target="embeddings/oleObject3.bin"/><Relationship Id="rId22" Type="http://schemas.openxmlformats.org/officeDocument/2006/relationships/image" Target="media/image6.png"/><Relationship Id="rId21" Type="http://schemas.openxmlformats.org/officeDocument/2006/relationships/image" Target="media/image5.wmf"/><Relationship Id="rId20" Type="http://schemas.openxmlformats.org/officeDocument/2006/relationships/oleObject" Target="embeddings/oleObject2.bin"/><Relationship Id="rId2" Type="http://schemas.openxmlformats.org/officeDocument/2006/relationships/settings" Target="settings.xml"/><Relationship Id="rId198" Type="http://schemas.openxmlformats.org/officeDocument/2006/relationships/fontTable" Target="fontTable.xml"/><Relationship Id="rId197" Type="http://schemas.openxmlformats.org/officeDocument/2006/relationships/numbering" Target="numbering.xml"/><Relationship Id="rId196" Type="http://schemas.openxmlformats.org/officeDocument/2006/relationships/customXml" Target="../customXml/item1.xml"/><Relationship Id="rId195" Type="http://schemas.openxmlformats.org/officeDocument/2006/relationships/image" Target="media/image110.png"/><Relationship Id="rId194" Type="http://schemas.openxmlformats.org/officeDocument/2006/relationships/image" Target="media/image109.png"/><Relationship Id="rId193" Type="http://schemas.openxmlformats.org/officeDocument/2006/relationships/image" Target="media/image108.png"/><Relationship Id="rId192" Type="http://schemas.openxmlformats.org/officeDocument/2006/relationships/image" Target="media/image107.png"/><Relationship Id="rId191" Type="http://schemas.openxmlformats.org/officeDocument/2006/relationships/image" Target="media/image106.png"/><Relationship Id="rId190" Type="http://schemas.openxmlformats.org/officeDocument/2006/relationships/image" Target="media/image105.wmf"/><Relationship Id="rId19" Type="http://schemas.openxmlformats.org/officeDocument/2006/relationships/image" Target="media/image4.emf"/><Relationship Id="rId189" Type="http://schemas.openxmlformats.org/officeDocument/2006/relationships/image" Target="media/image104.png"/><Relationship Id="rId188" Type="http://schemas.openxmlformats.org/officeDocument/2006/relationships/image" Target="media/image103.png"/><Relationship Id="rId187" Type="http://schemas.openxmlformats.org/officeDocument/2006/relationships/image" Target="media/image102.emf"/><Relationship Id="rId186" Type="http://schemas.openxmlformats.org/officeDocument/2006/relationships/oleObject" Target="embeddings/oleObject66.bin"/><Relationship Id="rId185" Type="http://schemas.openxmlformats.org/officeDocument/2006/relationships/image" Target="media/image101.emf"/><Relationship Id="rId184" Type="http://schemas.openxmlformats.org/officeDocument/2006/relationships/oleObject" Target="embeddings/oleObject65.bin"/><Relationship Id="rId183" Type="http://schemas.openxmlformats.org/officeDocument/2006/relationships/image" Target="media/image100.emf"/><Relationship Id="rId182" Type="http://schemas.openxmlformats.org/officeDocument/2006/relationships/image" Target="media/image99.png"/><Relationship Id="rId181" Type="http://schemas.openxmlformats.org/officeDocument/2006/relationships/image" Target="media/image98.png"/><Relationship Id="rId180" Type="http://schemas.openxmlformats.org/officeDocument/2006/relationships/image" Target="media/image97.png"/><Relationship Id="rId18" Type="http://schemas.openxmlformats.org/officeDocument/2006/relationships/oleObject" Target="embeddings/oleObject1.bin"/><Relationship Id="rId179" Type="http://schemas.openxmlformats.org/officeDocument/2006/relationships/image" Target="media/image96.png"/><Relationship Id="rId178" Type="http://schemas.openxmlformats.org/officeDocument/2006/relationships/image" Target="media/image95.wmf"/><Relationship Id="rId177" Type="http://schemas.openxmlformats.org/officeDocument/2006/relationships/oleObject" Target="embeddings/oleObject64.bin"/><Relationship Id="rId176" Type="http://schemas.openxmlformats.org/officeDocument/2006/relationships/image" Target="media/image94.png"/><Relationship Id="rId175" Type="http://schemas.openxmlformats.org/officeDocument/2006/relationships/image" Target="media/image93.png"/><Relationship Id="rId174" Type="http://schemas.openxmlformats.org/officeDocument/2006/relationships/image" Target="media/image92.png"/><Relationship Id="rId173" Type="http://schemas.openxmlformats.org/officeDocument/2006/relationships/image" Target="media/image91.png"/><Relationship Id="rId172" Type="http://schemas.openxmlformats.org/officeDocument/2006/relationships/image" Target="media/image90.png"/><Relationship Id="rId171" Type="http://schemas.openxmlformats.org/officeDocument/2006/relationships/image" Target="media/image89.png"/><Relationship Id="rId170" Type="http://schemas.openxmlformats.org/officeDocument/2006/relationships/image" Target="media/image88.png"/><Relationship Id="rId17" Type="http://schemas.openxmlformats.org/officeDocument/2006/relationships/image" Target="media/image3.png"/><Relationship Id="rId169" Type="http://schemas.openxmlformats.org/officeDocument/2006/relationships/image" Target="media/image87.png"/><Relationship Id="rId168" Type="http://schemas.openxmlformats.org/officeDocument/2006/relationships/image" Target="media/image86.png"/><Relationship Id="rId167" Type="http://schemas.openxmlformats.org/officeDocument/2006/relationships/image" Target="media/image85.wmf"/><Relationship Id="rId166" Type="http://schemas.openxmlformats.org/officeDocument/2006/relationships/oleObject" Target="embeddings/oleObject63.bin"/><Relationship Id="rId165" Type="http://schemas.openxmlformats.org/officeDocument/2006/relationships/image" Target="media/image84.wmf"/><Relationship Id="rId164" Type="http://schemas.openxmlformats.org/officeDocument/2006/relationships/image" Target="media/image83.png"/><Relationship Id="rId163" Type="http://schemas.openxmlformats.org/officeDocument/2006/relationships/image" Target="media/image82.png"/><Relationship Id="rId162" Type="http://schemas.openxmlformats.org/officeDocument/2006/relationships/image" Target="media/image81.png"/><Relationship Id="rId161" Type="http://schemas.openxmlformats.org/officeDocument/2006/relationships/image" Target="media/image80.png"/><Relationship Id="rId160" Type="http://schemas.openxmlformats.org/officeDocument/2006/relationships/image" Target="media/image79.png"/><Relationship Id="rId16" Type="http://schemas.openxmlformats.org/officeDocument/2006/relationships/image" Target="media/image2.png"/><Relationship Id="rId159" Type="http://schemas.openxmlformats.org/officeDocument/2006/relationships/image" Target="media/image78.png"/><Relationship Id="rId158" Type="http://schemas.openxmlformats.org/officeDocument/2006/relationships/image" Target="media/image77.png"/><Relationship Id="rId157" Type="http://schemas.openxmlformats.org/officeDocument/2006/relationships/image" Target="media/image76.png"/><Relationship Id="rId156" Type="http://schemas.openxmlformats.org/officeDocument/2006/relationships/image" Target="media/image75.png"/><Relationship Id="rId155" Type="http://schemas.openxmlformats.org/officeDocument/2006/relationships/image" Target="media/image74.png"/><Relationship Id="rId154" Type="http://schemas.openxmlformats.org/officeDocument/2006/relationships/image" Target="media/image73.png"/><Relationship Id="rId153" Type="http://schemas.openxmlformats.org/officeDocument/2006/relationships/image" Target="media/image72.png"/><Relationship Id="rId152" Type="http://schemas.openxmlformats.org/officeDocument/2006/relationships/image" Target="media/image71.png"/><Relationship Id="rId151" Type="http://schemas.openxmlformats.org/officeDocument/2006/relationships/image" Target="media/image70.emf"/><Relationship Id="rId150" Type="http://schemas.openxmlformats.org/officeDocument/2006/relationships/chart" Target="charts/chart5.xml"/><Relationship Id="rId15" Type="http://schemas.openxmlformats.org/officeDocument/2006/relationships/image" Target="media/image1.png"/><Relationship Id="rId149" Type="http://schemas.openxmlformats.org/officeDocument/2006/relationships/image" Target="media/image69.png"/><Relationship Id="rId148" Type="http://schemas.openxmlformats.org/officeDocument/2006/relationships/chart" Target="charts/chart4.xml"/><Relationship Id="rId147" Type="http://schemas.openxmlformats.org/officeDocument/2006/relationships/chart" Target="charts/chart3.xml"/><Relationship Id="rId146" Type="http://schemas.openxmlformats.org/officeDocument/2006/relationships/chart" Target="charts/chart2.xml"/><Relationship Id="rId145" Type="http://schemas.openxmlformats.org/officeDocument/2006/relationships/image" Target="media/image68.png"/><Relationship Id="rId144" Type="http://schemas.openxmlformats.org/officeDocument/2006/relationships/image" Target="media/image67.png"/><Relationship Id="rId143" Type="http://schemas.openxmlformats.org/officeDocument/2006/relationships/chart" Target="charts/chart1.xml"/><Relationship Id="rId142" Type="http://schemas.openxmlformats.org/officeDocument/2006/relationships/image" Target="media/image66.png"/><Relationship Id="rId141" Type="http://schemas.openxmlformats.org/officeDocument/2006/relationships/image" Target="media/image65.png"/><Relationship Id="rId140" Type="http://schemas.openxmlformats.org/officeDocument/2006/relationships/image" Target="media/image64.png"/><Relationship Id="rId14" Type="http://schemas.openxmlformats.org/officeDocument/2006/relationships/theme" Target="theme/theme1.xml"/><Relationship Id="rId139" Type="http://schemas.openxmlformats.org/officeDocument/2006/relationships/image" Target="media/image63.png"/><Relationship Id="rId138" Type="http://schemas.openxmlformats.org/officeDocument/2006/relationships/image" Target="media/image62.png"/><Relationship Id="rId137" Type="http://schemas.openxmlformats.org/officeDocument/2006/relationships/image" Target="media/image61.png"/><Relationship Id="rId136" Type="http://schemas.openxmlformats.org/officeDocument/2006/relationships/image" Target="media/image60.png"/><Relationship Id="rId135" Type="http://schemas.openxmlformats.org/officeDocument/2006/relationships/image" Target="media/image59.png"/><Relationship Id="rId134" Type="http://schemas.openxmlformats.org/officeDocument/2006/relationships/image" Target="media/image58.png"/><Relationship Id="rId133" Type="http://schemas.openxmlformats.org/officeDocument/2006/relationships/image" Target="media/image57.png"/><Relationship Id="rId132" Type="http://schemas.openxmlformats.org/officeDocument/2006/relationships/image" Target="media/image56.png"/><Relationship Id="rId131" Type="http://schemas.openxmlformats.org/officeDocument/2006/relationships/image" Target="media/image55.emf"/><Relationship Id="rId130" Type="http://schemas.openxmlformats.org/officeDocument/2006/relationships/oleObject" Target="embeddings/oleObject62.bin"/><Relationship Id="rId13" Type="http://schemas.openxmlformats.org/officeDocument/2006/relationships/footer" Target="footer6.xml"/><Relationship Id="rId129" Type="http://schemas.openxmlformats.org/officeDocument/2006/relationships/image" Target="media/image54.emf"/><Relationship Id="rId128" Type="http://schemas.openxmlformats.org/officeDocument/2006/relationships/oleObject" Target="embeddings/oleObject61.bin"/><Relationship Id="rId127" Type="http://schemas.openxmlformats.org/officeDocument/2006/relationships/image" Target="media/image53.emf"/><Relationship Id="rId126" Type="http://schemas.openxmlformats.org/officeDocument/2006/relationships/oleObject" Target="embeddings/oleObject60.bin"/><Relationship Id="rId125" Type="http://schemas.openxmlformats.org/officeDocument/2006/relationships/image" Target="media/image52.emf"/><Relationship Id="rId124" Type="http://schemas.openxmlformats.org/officeDocument/2006/relationships/oleObject" Target="embeddings/oleObject59.bin"/><Relationship Id="rId123" Type="http://schemas.openxmlformats.org/officeDocument/2006/relationships/image" Target="media/image51.emf"/><Relationship Id="rId122" Type="http://schemas.openxmlformats.org/officeDocument/2006/relationships/oleObject" Target="embeddings/oleObject58.bin"/><Relationship Id="rId121" Type="http://schemas.openxmlformats.org/officeDocument/2006/relationships/oleObject" Target="embeddings/oleObject57.bin"/><Relationship Id="rId120" Type="http://schemas.openxmlformats.org/officeDocument/2006/relationships/image" Target="media/image50.wmf"/><Relationship Id="rId12" Type="http://schemas.openxmlformats.org/officeDocument/2006/relationships/footer" Target="footer5.xml"/><Relationship Id="rId119" Type="http://schemas.openxmlformats.org/officeDocument/2006/relationships/oleObject" Target="embeddings/oleObject56.bin"/><Relationship Id="rId118" Type="http://schemas.openxmlformats.org/officeDocument/2006/relationships/oleObject" Target="embeddings/oleObject55.bin"/><Relationship Id="rId117" Type="http://schemas.openxmlformats.org/officeDocument/2006/relationships/oleObject" Target="embeddings/oleObject54.bin"/><Relationship Id="rId116" Type="http://schemas.openxmlformats.org/officeDocument/2006/relationships/oleObject" Target="embeddings/oleObject53.bin"/><Relationship Id="rId115" Type="http://schemas.openxmlformats.org/officeDocument/2006/relationships/image" Target="media/image49.emf"/><Relationship Id="rId114" Type="http://schemas.openxmlformats.org/officeDocument/2006/relationships/oleObject" Target="embeddings/oleObject52.bin"/><Relationship Id="rId113" Type="http://schemas.openxmlformats.org/officeDocument/2006/relationships/oleObject" Target="embeddings/oleObject51.bin"/><Relationship Id="rId112" Type="http://schemas.openxmlformats.org/officeDocument/2006/relationships/oleObject" Target="embeddings/oleObject50.bin"/><Relationship Id="rId111" Type="http://schemas.openxmlformats.org/officeDocument/2006/relationships/image" Target="media/image48.emf"/><Relationship Id="rId110" Type="http://schemas.openxmlformats.org/officeDocument/2006/relationships/oleObject" Target="embeddings/oleObject49.bin"/><Relationship Id="rId11" Type="http://schemas.openxmlformats.org/officeDocument/2006/relationships/footer" Target="footer4.xml"/><Relationship Id="rId109" Type="http://schemas.openxmlformats.org/officeDocument/2006/relationships/oleObject" Target="embeddings/oleObject48.bin"/><Relationship Id="rId108" Type="http://schemas.openxmlformats.org/officeDocument/2006/relationships/image" Target="media/image47.emf"/><Relationship Id="rId107" Type="http://schemas.openxmlformats.org/officeDocument/2006/relationships/oleObject" Target="embeddings/oleObject47.bin"/><Relationship Id="rId106" Type="http://schemas.openxmlformats.org/officeDocument/2006/relationships/oleObject" Target="embeddings/oleObject46.bin"/><Relationship Id="rId105" Type="http://schemas.openxmlformats.org/officeDocument/2006/relationships/image" Target="media/image46.emf"/><Relationship Id="rId104" Type="http://schemas.openxmlformats.org/officeDocument/2006/relationships/oleObject" Target="embeddings/oleObject45.bin"/><Relationship Id="rId103" Type="http://schemas.openxmlformats.org/officeDocument/2006/relationships/image" Target="media/image45.wmf"/><Relationship Id="rId102" Type="http://schemas.openxmlformats.org/officeDocument/2006/relationships/oleObject" Target="embeddings/oleObject44.bin"/><Relationship Id="rId101" Type="http://schemas.openxmlformats.org/officeDocument/2006/relationships/image" Target="media/image44.wmf"/><Relationship Id="rId100" Type="http://schemas.openxmlformats.org/officeDocument/2006/relationships/oleObject" Target="embeddings/oleObject43.bin"/><Relationship Id="rId10" Type="http://schemas.openxmlformats.org/officeDocument/2006/relationships/footer" Target="footer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D:\&#26700;&#38754;&#25991;&#20214;\&#26700;&#38754;&#24120;&#29992;\&#22320;&#19979;&#27700;&#39044;&#27979;&#34920;\&#22320;&#19979;&#27700;&#23548;&#21017;2016&#20844;&#24335;D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dministrator\Desktop\2022&#24180;&#34913;&#38451;&#27668;&#35937;&#31449;&#27668;&#35937;&#32479;&#35745;.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dministrator\Desktop\2022&#24180;&#34913;&#38451;&#27668;&#35937;&#31449;&#27668;&#35937;&#32479;&#35745;.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dministrator\Desktop\2022&#24180;&#34913;&#38451;&#27668;&#35937;&#31449;&#27668;&#35937;&#32479;&#35745;.XLS" TargetMode="External"/></Relationships>
</file>

<file path=word/charts/_rels/chart5.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C:\Users\Administrator\Desktop\2022&#24180;&#34913;&#38451;&#27668;&#35937;&#31449;&#27668;&#35937;&#32479;&#35745;.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0" i="0" u="none" strike="noStrike" kern="1200" spc="0" baseline="0">
                <a:solidFill>
                  <a:srgbClr val="595959">
                    <a:lumMod val="65000"/>
                    <a:lumOff val="35000"/>
                  </a:srgbClr>
                </a:solidFill>
                <a:latin typeface="+mn-lt"/>
                <a:ea typeface="+mn-ea"/>
                <a:cs typeface="+mn-cs"/>
              </a:defRPr>
            </a:pPr>
            <a:r>
              <a:t>地下水影响预测结果</a:t>
            </a:r>
          </a:p>
        </c:rich>
      </c:tx>
      <c:layout/>
      <c:overlay val="0"/>
      <c:spPr>
        <a:noFill/>
        <a:ln>
          <a:noFill/>
        </a:ln>
        <a:effectLst/>
      </c:spPr>
    </c:title>
    <c:autoTitleDeleted val="0"/>
    <c:plotArea>
      <c:layout>
        <c:manualLayout>
          <c:layoutTarget val="inner"/>
          <c:xMode val="edge"/>
          <c:yMode val="edge"/>
          <c:x val="0.078993497314108"/>
          <c:y val="0.095381149079985"/>
          <c:w val="0.901074356799548"/>
          <c:h val="0.777994742771311"/>
        </c:manualLayout>
      </c:layout>
      <c:scatterChart>
        <c:scatterStyle val="smoothMarker"/>
        <c:varyColors val="0"/>
        <c:ser>
          <c:idx val="0"/>
          <c:order val="0"/>
          <c:tx>
            <c:strRef>
              <c:f>"预测30天"</c:f>
              <c:strCache>
                <c:ptCount val="1"/>
                <c:pt idx="0">
                  <c:v>预测30天</c:v>
                </c:pt>
              </c:strCache>
            </c:strRef>
          </c:tx>
          <c:spPr>
            <a:ln w="19050" cap="rnd">
              <a:solidFill>
                <a:srgbClr val="4F81BD"/>
              </a:solidFill>
              <a:round/>
            </a:ln>
            <a:effectLst/>
          </c:spPr>
          <c:marker>
            <c:symbol val="circle"/>
            <c:size val="5"/>
            <c:spPr>
              <a:solidFill>
                <a:srgbClr val="4F81BD"/>
              </a:solidFill>
              <a:ln w="9525">
                <a:solidFill>
                  <a:srgbClr val="4F81BD"/>
                </a:solidFill>
              </a:ln>
              <a:effectLst/>
            </c:spPr>
          </c:marker>
          <c:dLbls>
            <c:delete val="1"/>
          </c:dLbls>
          <c:xVal>
            <c:numRef>
              <c:f>'[地下水导则2016公式D2.xlsx]公式D2（一维定浓度）'!$B$8:$B$44</c:f>
              <c:numCache>
                <c:formatCode>General</c:formatCode>
                <c:ptCount val="37"/>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250</c:v>
                </c:pt>
                <c:pt idx="22">
                  <c:v>300</c:v>
                </c:pt>
                <c:pt idx="23">
                  <c:v>350</c:v>
                </c:pt>
                <c:pt idx="24">
                  <c:v>400</c:v>
                </c:pt>
                <c:pt idx="25">
                  <c:v>450</c:v>
                </c:pt>
                <c:pt idx="26">
                  <c:v>500</c:v>
                </c:pt>
                <c:pt idx="27">
                  <c:v>550</c:v>
                </c:pt>
                <c:pt idx="28">
                  <c:v>600</c:v>
                </c:pt>
                <c:pt idx="29">
                  <c:v>650</c:v>
                </c:pt>
                <c:pt idx="30">
                  <c:v>700</c:v>
                </c:pt>
                <c:pt idx="31">
                  <c:v>750</c:v>
                </c:pt>
                <c:pt idx="32">
                  <c:v>800</c:v>
                </c:pt>
                <c:pt idx="33">
                  <c:v>850</c:v>
                </c:pt>
                <c:pt idx="34">
                  <c:v>900</c:v>
                </c:pt>
                <c:pt idx="35">
                  <c:v>950</c:v>
                </c:pt>
                <c:pt idx="36">
                  <c:v>1000</c:v>
                </c:pt>
              </c:numCache>
            </c:numRef>
          </c:xVal>
          <c:yVal>
            <c:numRef>
              <c:f>'[地下水导则2016公式D2.xlsx]公式D2（一维定浓度）'!$C$8:$C$44</c:f>
              <c:numCache>
                <c:formatCode>0.00_ </c:formatCode>
                <c:ptCount val="37"/>
                <c:pt idx="0">
                  <c:v>1150000</c:v>
                </c:pt>
                <c:pt idx="1">
                  <c:v>433402.272051443</c:v>
                </c:pt>
                <c:pt idx="2">
                  <c:v>55655.7072021671</c:v>
                </c:pt>
                <c:pt idx="3">
                  <c:v>2112.70609572979</c:v>
                </c:pt>
                <c:pt idx="4">
                  <c:v>22.2471407989767</c:v>
                </c:pt>
                <c:pt idx="5">
                  <c:v>0.0629895596677095</c:v>
                </c:pt>
                <c:pt idx="6">
                  <c:v>4.71563515799398e-5</c:v>
                </c:pt>
                <c:pt idx="7">
                  <c:v>4.85167461761193e-9</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numCache>
            </c:numRef>
          </c:yVal>
          <c:smooth val="1"/>
        </c:ser>
        <c:ser>
          <c:idx val="1"/>
          <c:order val="1"/>
          <c:tx>
            <c:strRef>
              <c:f>"预测60天"</c:f>
              <c:strCache>
                <c:ptCount val="1"/>
                <c:pt idx="0">
                  <c:v>预测60天</c:v>
                </c:pt>
              </c:strCache>
            </c:strRef>
          </c:tx>
          <c:spPr>
            <a:ln w="19050" cap="rnd">
              <a:solidFill>
                <a:srgbClr val="C0504D"/>
              </a:solidFill>
              <a:round/>
            </a:ln>
            <a:effectLst/>
          </c:spPr>
          <c:marker>
            <c:symbol val="circle"/>
            <c:size val="5"/>
            <c:spPr>
              <a:solidFill>
                <a:srgbClr val="C0504D"/>
              </a:solidFill>
              <a:ln w="9525">
                <a:solidFill>
                  <a:srgbClr val="C0504D"/>
                </a:solidFill>
              </a:ln>
              <a:effectLst/>
            </c:spPr>
          </c:marker>
          <c:dLbls>
            <c:delete val="1"/>
          </c:dLbls>
          <c:xVal>
            <c:numRef>
              <c:f>'[地下水导则2016公式D2.xlsx]公式D2（一维定浓度）'!$B$8:$B$44</c:f>
              <c:numCache>
                <c:formatCode>General</c:formatCode>
                <c:ptCount val="37"/>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250</c:v>
                </c:pt>
                <c:pt idx="22">
                  <c:v>300</c:v>
                </c:pt>
                <c:pt idx="23">
                  <c:v>350</c:v>
                </c:pt>
                <c:pt idx="24">
                  <c:v>400</c:v>
                </c:pt>
                <c:pt idx="25">
                  <c:v>450</c:v>
                </c:pt>
                <c:pt idx="26">
                  <c:v>500</c:v>
                </c:pt>
                <c:pt idx="27">
                  <c:v>550</c:v>
                </c:pt>
                <c:pt idx="28">
                  <c:v>600</c:v>
                </c:pt>
                <c:pt idx="29">
                  <c:v>650</c:v>
                </c:pt>
                <c:pt idx="30">
                  <c:v>700</c:v>
                </c:pt>
                <c:pt idx="31">
                  <c:v>750</c:v>
                </c:pt>
                <c:pt idx="32">
                  <c:v>800</c:v>
                </c:pt>
                <c:pt idx="33">
                  <c:v>850</c:v>
                </c:pt>
                <c:pt idx="34">
                  <c:v>900</c:v>
                </c:pt>
                <c:pt idx="35">
                  <c:v>950</c:v>
                </c:pt>
                <c:pt idx="36">
                  <c:v>1000</c:v>
                </c:pt>
              </c:numCache>
            </c:numRef>
          </c:xVal>
          <c:yVal>
            <c:numRef>
              <c:f>'[地下水导则2016公式D2.xlsx]公式D2（一维定浓度）'!$D$8:$D$44</c:f>
              <c:numCache>
                <c:formatCode>0.00_ </c:formatCode>
                <c:ptCount val="37"/>
                <c:pt idx="0">
                  <c:v>1150000</c:v>
                </c:pt>
                <c:pt idx="1">
                  <c:v>708346.728548039</c:v>
                </c:pt>
                <c:pt idx="2">
                  <c:v>267857.654896381</c:v>
                </c:pt>
                <c:pt idx="3">
                  <c:v>57406.3211266702</c:v>
                </c:pt>
                <c:pt idx="4">
                  <c:v>6676.04638549653</c:v>
                </c:pt>
                <c:pt idx="5">
                  <c:v>411.194392751214</c:v>
                </c:pt>
                <c:pt idx="6">
                  <c:v>13.223392383116</c:v>
                </c:pt>
                <c:pt idx="7">
                  <c:v>0.220060756248153</c:v>
                </c:pt>
                <c:pt idx="8">
                  <c:v>0.00188424338870474</c:v>
                </c:pt>
                <c:pt idx="9">
                  <c:v>8.02329613503467e-6</c:v>
                </c:pt>
                <c:pt idx="10">
                  <c:v>9.95870053088766e-9</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numCache>
            </c:numRef>
          </c:yVal>
          <c:smooth val="1"/>
        </c:ser>
        <c:ser>
          <c:idx val="2"/>
          <c:order val="2"/>
          <c:tx>
            <c:strRef>
              <c:f>"预测100天"</c:f>
              <c:strCache>
                <c:ptCount val="1"/>
                <c:pt idx="0">
                  <c:v>预测100天</c:v>
                </c:pt>
              </c:strCache>
            </c:strRef>
          </c:tx>
          <c:spPr>
            <a:ln w="19050" cap="rnd">
              <a:solidFill>
                <a:srgbClr val="9BBB59"/>
              </a:solidFill>
              <a:round/>
            </a:ln>
            <a:effectLst/>
          </c:spPr>
          <c:marker>
            <c:symbol val="circle"/>
            <c:size val="5"/>
            <c:spPr>
              <a:solidFill>
                <a:srgbClr val="9BBB59"/>
              </a:solidFill>
              <a:ln w="9525">
                <a:solidFill>
                  <a:srgbClr val="9BBB59"/>
                </a:solidFill>
              </a:ln>
              <a:effectLst/>
            </c:spPr>
          </c:marker>
          <c:dLbls>
            <c:delete val="1"/>
          </c:dLbls>
          <c:xVal>
            <c:numRef>
              <c:f>'[地下水导则2016公式D2.xlsx]公式D2（一维定浓度）'!$B$8:$B$44</c:f>
              <c:numCache>
                <c:formatCode>General</c:formatCode>
                <c:ptCount val="37"/>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250</c:v>
                </c:pt>
                <c:pt idx="22">
                  <c:v>300</c:v>
                </c:pt>
                <c:pt idx="23">
                  <c:v>350</c:v>
                </c:pt>
                <c:pt idx="24">
                  <c:v>400</c:v>
                </c:pt>
                <c:pt idx="25">
                  <c:v>450</c:v>
                </c:pt>
                <c:pt idx="26">
                  <c:v>500</c:v>
                </c:pt>
                <c:pt idx="27">
                  <c:v>550</c:v>
                </c:pt>
                <c:pt idx="28">
                  <c:v>600</c:v>
                </c:pt>
                <c:pt idx="29">
                  <c:v>650</c:v>
                </c:pt>
                <c:pt idx="30">
                  <c:v>700</c:v>
                </c:pt>
                <c:pt idx="31">
                  <c:v>750</c:v>
                </c:pt>
                <c:pt idx="32">
                  <c:v>800</c:v>
                </c:pt>
                <c:pt idx="33">
                  <c:v>850</c:v>
                </c:pt>
                <c:pt idx="34">
                  <c:v>900</c:v>
                </c:pt>
                <c:pt idx="35">
                  <c:v>950</c:v>
                </c:pt>
                <c:pt idx="36">
                  <c:v>1000</c:v>
                </c:pt>
              </c:numCache>
            </c:numRef>
          </c:xVal>
          <c:yVal>
            <c:numRef>
              <c:f>'[地下水导则2016公式D2.xlsx]公式D2（一维定浓度）'!$E$8:$E$44</c:f>
              <c:numCache>
                <c:formatCode>0.00_ </c:formatCode>
                <c:ptCount val="37"/>
                <c:pt idx="0">
                  <c:v>1150000</c:v>
                </c:pt>
                <c:pt idx="1">
                  <c:v>878076.050788697</c:v>
                </c:pt>
                <c:pt idx="2">
                  <c:v>516446.479595807</c:v>
                </c:pt>
                <c:pt idx="3">
                  <c:v>222131.195846091</c:v>
                </c:pt>
                <c:pt idx="4">
                  <c:v>67633.4626445911</c:v>
                </c:pt>
                <c:pt idx="5">
                  <c:v>14288.4426817005</c:v>
                </c:pt>
                <c:pt idx="6">
                  <c:v>2068.31746839216</c:v>
                </c:pt>
                <c:pt idx="7">
                  <c:v>203.474572694063</c:v>
                </c:pt>
                <c:pt idx="8">
                  <c:v>13.5292073515111</c:v>
                </c:pt>
                <c:pt idx="9">
                  <c:v>0.605668159073287</c:v>
                </c:pt>
                <c:pt idx="10">
                  <c:v>0.0182052118971109</c:v>
                </c:pt>
                <c:pt idx="11">
                  <c:v>0.000368547504658325</c:v>
                </c:pt>
                <c:pt idx="12">
                  <c:v>2.7094049226406e-6</c:v>
                </c:pt>
                <c:pt idx="13">
                  <c:v>2.42583730880597e-8</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numCache>
            </c:numRef>
          </c:yVal>
          <c:smooth val="1"/>
        </c:ser>
        <c:ser>
          <c:idx val="3"/>
          <c:order val="3"/>
          <c:tx>
            <c:strRef>
              <c:f>"预测180天"</c:f>
              <c:strCache>
                <c:ptCount val="1"/>
                <c:pt idx="0">
                  <c:v>预测180天</c:v>
                </c:pt>
              </c:strCache>
            </c:strRef>
          </c:tx>
          <c:spPr>
            <a:ln w="19050" cap="rnd">
              <a:solidFill>
                <a:srgbClr val="8064A2"/>
              </a:solidFill>
              <a:round/>
            </a:ln>
            <a:effectLst/>
          </c:spPr>
          <c:marker>
            <c:symbol val="circle"/>
            <c:size val="5"/>
            <c:spPr>
              <a:solidFill>
                <a:srgbClr val="8064A2"/>
              </a:solidFill>
              <a:ln w="9525">
                <a:solidFill>
                  <a:srgbClr val="8064A2"/>
                </a:solidFill>
              </a:ln>
              <a:effectLst/>
            </c:spPr>
          </c:marker>
          <c:dLbls>
            <c:delete val="1"/>
          </c:dLbls>
          <c:xVal>
            <c:numRef>
              <c:f>'[地下水导则2016公式D2.xlsx]公式D2（一维定浓度）'!$B$8:$B$44</c:f>
              <c:numCache>
                <c:formatCode>General</c:formatCode>
                <c:ptCount val="37"/>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250</c:v>
                </c:pt>
                <c:pt idx="22">
                  <c:v>300</c:v>
                </c:pt>
                <c:pt idx="23">
                  <c:v>350</c:v>
                </c:pt>
                <c:pt idx="24">
                  <c:v>400</c:v>
                </c:pt>
                <c:pt idx="25">
                  <c:v>450</c:v>
                </c:pt>
                <c:pt idx="26">
                  <c:v>500</c:v>
                </c:pt>
                <c:pt idx="27">
                  <c:v>550</c:v>
                </c:pt>
                <c:pt idx="28">
                  <c:v>600</c:v>
                </c:pt>
                <c:pt idx="29">
                  <c:v>650</c:v>
                </c:pt>
                <c:pt idx="30">
                  <c:v>700</c:v>
                </c:pt>
                <c:pt idx="31">
                  <c:v>750</c:v>
                </c:pt>
                <c:pt idx="32">
                  <c:v>800</c:v>
                </c:pt>
                <c:pt idx="33">
                  <c:v>850</c:v>
                </c:pt>
                <c:pt idx="34">
                  <c:v>900</c:v>
                </c:pt>
                <c:pt idx="35">
                  <c:v>950</c:v>
                </c:pt>
                <c:pt idx="36">
                  <c:v>1000</c:v>
                </c:pt>
              </c:numCache>
            </c:numRef>
          </c:xVal>
          <c:yVal>
            <c:numRef>
              <c:f>'[地下水导则2016公式D2.xlsx]公式D2（一维定浓度）'!$F$8:$F$44</c:f>
              <c:numCache>
                <c:formatCode>0.00_ </c:formatCode>
                <c:ptCount val="37"/>
                <c:pt idx="0">
                  <c:v>1150000</c:v>
                </c:pt>
                <c:pt idx="1">
                  <c:v>1018890.01716573</c:v>
                </c:pt>
                <c:pt idx="2">
                  <c:v>803831.281948087</c:v>
                </c:pt>
                <c:pt idx="3">
                  <c:v>547756.189669782</c:v>
                </c:pt>
                <c:pt idx="4">
                  <c:v>315177.80324424</c:v>
                </c:pt>
                <c:pt idx="5">
                  <c:v>150708.150889364</c:v>
                </c:pt>
                <c:pt idx="6">
                  <c:v>59229.1989677346</c:v>
                </c:pt>
                <c:pt idx="7">
                  <c:v>18985.7867956675</c:v>
                </c:pt>
                <c:pt idx="8">
                  <c:v>4937.16417971821</c:v>
                </c:pt>
                <c:pt idx="9">
                  <c:v>1037.54571779576</c:v>
                </c:pt>
                <c:pt idx="10">
                  <c:v>175.707740584246</c:v>
                </c:pt>
                <c:pt idx="11">
                  <c:v>23.9282697448178</c:v>
                </c:pt>
                <c:pt idx="12">
                  <c:v>2.61619298434027</c:v>
                </c:pt>
                <c:pt idx="13">
                  <c:v>0.229371750228315</c:v>
                </c:pt>
                <c:pt idx="14">
                  <c:v>0.0160803552346429</c:v>
                </c:pt>
                <c:pt idx="15">
                  <c:v>0.000515561288105815</c:v>
                </c:pt>
                <c:pt idx="16">
                  <c:v>2.3017110439838e-5</c:v>
                </c:pt>
                <c:pt idx="17">
                  <c:v>8.22103496389559e-7</c:v>
                </c:pt>
                <c:pt idx="18">
                  <c:v>2.34923192010683e-8</c:v>
                </c:pt>
                <c:pt idx="19">
                  <c:v>5.10702591327572e-10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numCache>
            </c:numRef>
          </c:yVal>
          <c:smooth val="1"/>
        </c:ser>
        <c:ser>
          <c:idx val="4"/>
          <c:order val="4"/>
          <c:tx>
            <c:strRef>
              <c:f>"预测365天"</c:f>
              <c:strCache>
                <c:ptCount val="1"/>
                <c:pt idx="0">
                  <c:v>预测365天</c:v>
                </c:pt>
              </c:strCache>
            </c:strRef>
          </c:tx>
          <c:spPr>
            <a:ln w="19050" cap="rnd">
              <a:solidFill>
                <a:srgbClr val="4BACC6"/>
              </a:solidFill>
              <a:round/>
            </a:ln>
            <a:effectLst/>
          </c:spPr>
          <c:marker>
            <c:symbol val="circle"/>
            <c:size val="5"/>
            <c:spPr>
              <a:solidFill>
                <a:srgbClr val="4BACC6"/>
              </a:solidFill>
              <a:ln w="9525">
                <a:solidFill>
                  <a:srgbClr val="4BACC6"/>
                </a:solidFill>
              </a:ln>
              <a:effectLst/>
            </c:spPr>
          </c:marker>
          <c:dLbls>
            <c:delete val="1"/>
          </c:dLbls>
          <c:xVal>
            <c:numRef>
              <c:f>'[地下水导则2016公式D2.xlsx]公式D2（一维定浓度）'!$B$8:$B$44</c:f>
              <c:numCache>
                <c:formatCode>General</c:formatCode>
                <c:ptCount val="37"/>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250</c:v>
                </c:pt>
                <c:pt idx="22">
                  <c:v>300</c:v>
                </c:pt>
                <c:pt idx="23">
                  <c:v>350</c:v>
                </c:pt>
                <c:pt idx="24">
                  <c:v>400</c:v>
                </c:pt>
                <c:pt idx="25">
                  <c:v>450</c:v>
                </c:pt>
                <c:pt idx="26">
                  <c:v>500</c:v>
                </c:pt>
                <c:pt idx="27">
                  <c:v>550</c:v>
                </c:pt>
                <c:pt idx="28">
                  <c:v>600</c:v>
                </c:pt>
                <c:pt idx="29">
                  <c:v>650</c:v>
                </c:pt>
                <c:pt idx="30">
                  <c:v>700</c:v>
                </c:pt>
                <c:pt idx="31">
                  <c:v>750</c:v>
                </c:pt>
                <c:pt idx="32">
                  <c:v>800</c:v>
                </c:pt>
                <c:pt idx="33">
                  <c:v>850</c:v>
                </c:pt>
                <c:pt idx="34">
                  <c:v>900</c:v>
                </c:pt>
                <c:pt idx="35">
                  <c:v>950</c:v>
                </c:pt>
                <c:pt idx="36">
                  <c:v>1000</c:v>
                </c:pt>
              </c:numCache>
            </c:numRef>
          </c:xVal>
          <c:yVal>
            <c:numRef>
              <c:f>'[地下水导则2016公式D2.xlsx]公式D2（一维定浓度）'!$G$8:$G$44</c:f>
              <c:numCache>
                <c:formatCode>0.00_ </c:formatCode>
                <c:ptCount val="37"/>
                <c:pt idx="0">
                  <c:v>1150000</c:v>
                </c:pt>
                <c:pt idx="1">
                  <c:v>1111825.7407712</c:v>
                </c:pt>
                <c:pt idx="2">
                  <c:v>1039280.15115949</c:v>
                </c:pt>
                <c:pt idx="3">
                  <c:v>927162.919203145</c:v>
                </c:pt>
                <c:pt idx="4">
                  <c:v>779811.052053021</c:v>
                </c:pt>
                <c:pt idx="5">
                  <c:v>611787.058807642</c:v>
                </c:pt>
                <c:pt idx="6">
                  <c:v>443785.62930006</c:v>
                </c:pt>
                <c:pt idx="7">
                  <c:v>295580.663543157</c:v>
                </c:pt>
                <c:pt idx="8">
                  <c:v>179782.507833732</c:v>
                </c:pt>
                <c:pt idx="9">
                  <c:v>99440.9951555926</c:v>
                </c:pt>
                <c:pt idx="10">
                  <c:v>49856.9847628734</c:v>
                </c:pt>
                <c:pt idx="11">
                  <c:v>22601.7924651981</c:v>
                </c:pt>
                <c:pt idx="12">
                  <c:v>9246.33921904836</c:v>
                </c:pt>
                <c:pt idx="13">
                  <c:v>3408.329204772</c:v>
                </c:pt>
                <c:pt idx="14">
                  <c:v>1130.65405712937</c:v>
                </c:pt>
                <c:pt idx="15">
                  <c:v>337.217911055539</c:v>
                </c:pt>
                <c:pt idx="16">
                  <c:v>90.3521223045004</c:v>
                </c:pt>
                <c:pt idx="17">
                  <c:v>21.7332544111092</c:v>
                </c:pt>
                <c:pt idx="18">
                  <c:v>4.69089959507668</c:v>
                </c:pt>
                <c:pt idx="19">
                  <c:v>0.904387052482543</c:v>
                </c:pt>
                <c:pt idx="20">
                  <c:v>0.0953441443574121</c:v>
                </c:pt>
                <c:pt idx="21">
                  <c:v>2.79635203881412e-6</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numCache>
            </c:numRef>
          </c:yVal>
          <c:smooth val="1"/>
        </c:ser>
        <c:ser>
          <c:idx val="5"/>
          <c:order val="5"/>
          <c:tx>
            <c:strRef>
              <c:f>"预测1000天"</c:f>
              <c:strCache>
                <c:ptCount val="1"/>
                <c:pt idx="0">
                  <c:v>预测1000天</c:v>
                </c:pt>
              </c:strCache>
            </c:strRef>
          </c:tx>
          <c:spPr>
            <a:ln w="19050" cap="rnd">
              <a:solidFill>
                <a:srgbClr val="F79646"/>
              </a:solidFill>
              <a:round/>
            </a:ln>
            <a:effectLst/>
          </c:spPr>
          <c:marker>
            <c:symbol val="circle"/>
            <c:size val="5"/>
            <c:spPr>
              <a:solidFill>
                <a:srgbClr val="F79646"/>
              </a:solidFill>
              <a:ln w="9525">
                <a:solidFill>
                  <a:srgbClr val="F79646"/>
                </a:solidFill>
              </a:ln>
              <a:effectLst/>
            </c:spPr>
          </c:marker>
          <c:dLbls>
            <c:delete val="1"/>
          </c:dLbls>
          <c:xVal>
            <c:numRef>
              <c:f>'[地下水导则2016公式D2.xlsx]公式D2（一维定浓度）'!$B$8:$B$44</c:f>
              <c:numCache>
                <c:formatCode>General</c:formatCode>
                <c:ptCount val="37"/>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250</c:v>
                </c:pt>
                <c:pt idx="22">
                  <c:v>300</c:v>
                </c:pt>
                <c:pt idx="23">
                  <c:v>350</c:v>
                </c:pt>
                <c:pt idx="24">
                  <c:v>400</c:v>
                </c:pt>
                <c:pt idx="25">
                  <c:v>450</c:v>
                </c:pt>
                <c:pt idx="26">
                  <c:v>500</c:v>
                </c:pt>
                <c:pt idx="27">
                  <c:v>550</c:v>
                </c:pt>
                <c:pt idx="28">
                  <c:v>600</c:v>
                </c:pt>
                <c:pt idx="29">
                  <c:v>650</c:v>
                </c:pt>
                <c:pt idx="30">
                  <c:v>700</c:v>
                </c:pt>
                <c:pt idx="31">
                  <c:v>750</c:v>
                </c:pt>
                <c:pt idx="32">
                  <c:v>800</c:v>
                </c:pt>
                <c:pt idx="33">
                  <c:v>850</c:v>
                </c:pt>
                <c:pt idx="34">
                  <c:v>900</c:v>
                </c:pt>
                <c:pt idx="35">
                  <c:v>950</c:v>
                </c:pt>
                <c:pt idx="36">
                  <c:v>1000</c:v>
                </c:pt>
              </c:numCache>
            </c:numRef>
          </c:xVal>
          <c:yVal>
            <c:numRef>
              <c:f>'[地下水导则2016公式D2.xlsx]公式D2（一维定浓度）'!$H$8:$H$44</c:f>
              <c:numCache>
                <c:formatCode>0.00_ </c:formatCode>
                <c:ptCount val="37"/>
                <c:pt idx="0">
                  <c:v>1150000</c:v>
                </c:pt>
                <c:pt idx="1">
                  <c:v>1148136.33830717</c:v>
                </c:pt>
                <c:pt idx="2">
                  <c:v>1144206.43747827</c:v>
                </c:pt>
                <c:pt idx="3">
                  <c:v>1136939.53005593</c:v>
                </c:pt>
                <c:pt idx="4">
                  <c:v>1124689.9541751</c:v>
                </c:pt>
                <c:pt idx="5">
                  <c:v>1105514.78830698</c:v>
                </c:pt>
                <c:pt idx="6">
                  <c:v>1077353.02215264</c:v>
                </c:pt>
                <c:pt idx="7">
                  <c:v>1038304.76162981</c:v>
                </c:pt>
                <c:pt idx="8">
                  <c:v>986978.55168274</c:v>
                </c:pt>
                <c:pt idx="9">
                  <c:v>922844.172069706</c:v>
                </c:pt>
                <c:pt idx="10">
                  <c:v>846508.637376298</c:v>
                </c:pt>
                <c:pt idx="11">
                  <c:v>759834.89869352</c:v>
                </c:pt>
                <c:pt idx="12">
                  <c:v>665850.150644986</c:v>
                </c:pt>
                <c:pt idx="13">
                  <c:v>568438.709633874</c:v>
                </c:pt>
                <c:pt idx="14">
                  <c:v>471869.446525275</c:v>
                </c:pt>
                <c:pt idx="15">
                  <c:v>380251.920436248</c:v>
                </c:pt>
                <c:pt idx="16">
                  <c:v>297033.697695033</c:v>
                </c:pt>
                <c:pt idx="17">
                  <c:v>224637.847297561</c:v>
                </c:pt>
                <c:pt idx="18">
                  <c:v>164299.619484558</c:v>
                </c:pt>
                <c:pt idx="19">
                  <c:v>116109.043362555</c:v>
                </c:pt>
                <c:pt idx="20">
                  <c:v>79218.6809720274</c:v>
                </c:pt>
                <c:pt idx="21">
                  <c:v>6769.637479979</c:v>
                </c:pt>
                <c:pt idx="22">
                  <c:v>154.353124405576</c:v>
                </c:pt>
                <c:pt idx="23">
                  <c:v>1.85194459557114</c:v>
                </c:pt>
                <c:pt idx="24">
                  <c:v>0.00828622717108374</c:v>
                </c:pt>
                <c:pt idx="25">
                  <c:v>1.36778921522307e-5</c:v>
                </c:pt>
                <c:pt idx="26">
                  <c:v>8.29891710907305e-9</c:v>
                </c:pt>
                <c:pt idx="27">
                  <c:v>0</c:v>
                </c:pt>
                <c:pt idx="28">
                  <c:v>0</c:v>
                </c:pt>
                <c:pt idx="29">
                  <c:v>0</c:v>
                </c:pt>
                <c:pt idx="30">
                  <c:v>0</c:v>
                </c:pt>
                <c:pt idx="31">
                  <c:v>0</c:v>
                </c:pt>
                <c:pt idx="32">
                  <c:v>0</c:v>
                </c:pt>
                <c:pt idx="33">
                  <c:v>0</c:v>
                </c:pt>
                <c:pt idx="34">
                  <c:v>0</c:v>
                </c:pt>
                <c:pt idx="35">
                  <c:v>0</c:v>
                </c:pt>
                <c:pt idx="36">
                  <c:v>0</c:v>
                </c:pt>
              </c:numCache>
            </c:numRef>
          </c:yVal>
          <c:smooth val="1"/>
        </c:ser>
        <c:ser>
          <c:idx val="6"/>
          <c:order val="6"/>
          <c:tx>
            <c:strRef>
              <c:f>"预测1800天"</c:f>
              <c:strCache>
                <c:ptCount val="1"/>
                <c:pt idx="0">
                  <c:v>预测1800天</c:v>
                </c:pt>
              </c:strCache>
            </c:strRef>
          </c:tx>
          <c:spPr>
            <a:ln w="19050" cap="rnd">
              <a:solidFill>
                <a:srgbClr val="2C4D75">
                  <a:lumMod val="60000"/>
                </a:srgbClr>
              </a:solidFill>
              <a:round/>
            </a:ln>
            <a:effectLst/>
          </c:spPr>
          <c:marker>
            <c:symbol val="circle"/>
            <c:size val="5"/>
            <c:spPr>
              <a:solidFill>
                <a:srgbClr val="2C4D75">
                  <a:lumMod val="60000"/>
                </a:srgbClr>
              </a:solidFill>
              <a:ln w="9525">
                <a:solidFill>
                  <a:srgbClr val="2C4D75">
                    <a:lumMod val="60000"/>
                  </a:srgbClr>
                </a:solidFill>
              </a:ln>
              <a:effectLst/>
            </c:spPr>
          </c:marker>
          <c:dLbls>
            <c:delete val="1"/>
          </c:dLbls>
          <c:xVal>
            <c:numRef>
              <c:f>'[地下水导则2016公式D2.xlsx]公式D2（一维定浓度）'!$B$8:$B$44</c:f>
              <c:numCache>
                <c:formatCode>General</c:formatCode>
                <c:ptCount val="37"/>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250</c:v>
                </c:pt>
                <c:pt idx="22">
                  <c:v>300</c:v>
                </c:pt>
                <c:pt idx="23">
                  <c:v>350</c:v>
                </c:pt>
                <c:pt idx="24">
                  <c:v>400</c:v>
                </c:pt>
                <c:pt idx="25">
                  <c:v>450</c:v>
                </c:pt>
                <c:pt idx="26">
                  <c:v>500</c:v>
                </c:pt>
                <c:pt idx="27">
                  <c:v>550</c:v>
                </c:pt>
                <c:pt idx="28">
                  <c:v>600</c:v>
                </c:pt>
                <c:pt idx="29">
                  <c:v>650</c:v>
                </c:pt>
                <c:pt idx="30">
                  <c:v>700</c:v>
                </c:pt>
                <c:pt idx="31">
                  <c:v>750</c:v>
                </c:pt>
                <c:pt idx="32">
                  <c:v>800</c:v>
                </c:pt>
                <c:pt idx="33">
                  <c:v>850</c:v>
                </c:pt>
                <c:pt idx="34">
                  <c:v>900</c:v>
                </c:pt>
                <c:pt idx="35">
                  <c:v>950</c:v>
                </c:pt>
                <c:pt idx="36">
                  <c:v>1000</c:v>
                </c:pt>
              </c:numCache>
            </c:numRef>
          </c:xVal>
          <c:yVal>
            <c:numRef>
              <c:f>'[地下水导则2016公式D2.xlsx]公式D2（一维定浓度）'!$I$8:$I$44</c:f>
              <c:numCache>
                <c:formatCode>0.00_ </c:formatCode>
                <c:ptCount val="37"/>
                <c:pt idx="0">
                  <c:v>1150000</c:v>
                </c:pt>
                <c:pt idx="1">
                  <c:v>1149916.5935311</c:v>
                </c:pt>
                <c:pt idx="2">
                  <c:v>1149735.28738601</c:v>
                </c:pt>
                <c:pt idx="3">
                  <c:v>1149382.37207553</c:v>
                </c:pt>
                <c:pt idx="4">
                  <c:v>1148744.37577752</c:v>
                </c:pt>
                <c:pt idx="5">
                  <c:v>1147654.03976446</c:v>
                </c:pt>
                <c:pt idx="6">
                  <c:v>1145874.83767139</c:v>
                </c:pt>
                <c:pt idx="7">
                  <c:v>1143085.60450567</c:v>
                </c:pt>
                <c:pt idx="8">
                  <c:v>1138867.64458696</c:v>
                </c:pt>
                <c:pt idx="9">
                  <c:v>1132697.40933667</c:v>
                </c:pt>
                <c:pt idx="10">
                  <c:v>1123948.27283647</c:v>
                </c:pt>
                <c:pt idx="11">
                  <c:v>1111904.8618529</c:v>
                </c:pt>
                <c:pt idx="12">
                  <c:v>1095792.62622356</c:v>
                </c:pt>
                <c:pt idx="13">
                  <c:v>1074823.77106561</c:v>
                </c:pt>
                <c:pt idx="14">
                  <c:v>1048258.37712735</c:v>
                </c:pt>
                <c:pt idx="15">
                  <c:v>1015476.76908523</c:v>
                </c:pt>
                <c:pt idx="16">
                  <c:v>976056.395602172</c:v>
                </c:pt>
                <c:pt idx="17">
                  <c:v>929844.233988305</c:v>
                </c:pt>
                <c:pt idx="18">
                  <c:v>877014.592945921</c:v>
                </c:pt>
                <c:pt idx="19">
                  <c:v>818102.633229593</c:v>
                </c:pt>
                <c:pt idx="20">
                  <c:v>754006.12956166</c:v>
                </c:pt>
                <c:pt idx="21">
                  <c:v>405666.543924828</c:v>
                </c:pt>
                <c:pt idx="22">
                  <c:v>143726.688118565</c:v>
                </c:pt>
                <c:pt idx="23">
                  <c:v>24828.4817815998</c:v>
                </c:pt>
                <c:pt idx="24">
                  <c:v>3160.17384538727</c:v>
                </c:pt>
                <c:pt idx="25">
                  <c:v>238.140582856899</c:v>
                </c:pt>
                <c:pt idx="26">
                  <c:v>10.4905657591914</c:v>
                </c:pt>
                <c:pt idx="27">
                  <c:v>0.26792821465893</c:v>
                </c:pt>
                <c:pt idx="28">
                  <c:v>0.00394517483681689</c:v>
                </c:pt>
                <c:pt idx="29">
                  <c:v>3.3361391427178e-5</c:v>
                </c:pt>
                <c:pt idx="30">
                  <c:v>1.61509694507345e-7</c:v>
                </c:pt>
                <c:pt idx="31">
                  <c:v>5.10702591327572e-10</c:v>
                </c:pt>
                <c:pt idx="32">
                  <c:v>0</c:v>
                </c:pt>
                <c:pt idx="33">
                  <c:v>0</c:v>
                </c:pt>
                <c:pt idx="34">
                  <c:v>0</c:v>
                </c:pt>
                <c:pt idx="35">
                  <c:v>0</c:v>
                </c:pt>
                <c:pt idx="36">
                  <c:v>0</c:v>
                </c:pt>
              </c:numCache>
            </c:numRef>
          </c:yVal>
          <c:smooth val="1"/>
        </c:ser>
        <c:ser>
          <c:idx val="7"/>
          <c:order val="7"/>
          <c:tx>
            <c:strRef>
              <c:f>"预测3650天"</c:f>
              <c:strCache>
                <c:ptCount val="1"/>
                <c:pt idx="0">
                  <c:v>预测3650天</c:v>
                </c:pt>
              </c:strCache>
            </c:strRef>
          </c:tx>
          <c:spPr>
            <a:ln w="19050" cap="rnd">
              <a:solidFill>
                <a:srgbClr val="772C2A">
                  <a:lumMod val="60000"/>
                </a:srgbClr>
              </a:solidFill>
              <a:round/>
            </a:ln>
            <a:effectLst/>
          </c:spPr>
          <c:marker>
            <c:symbol val="circle"/>
            <c:size val="5"/>
            <c:spPr>
              <a:solidFill>
                <a:srgbClr val="772C2A">
                  <a:lumMod val="60000"/>
                </a:srgbClr>
              </a:solidFill>
              <a:ln w="9525">
                <a:solidFill>
                  <a:srgbClr val="772C2A">
                    <a:lumMod val="60000"/>
                  </a:srgbClr>
                </a:solidFill>
              </a:ln>
              <a:effectLst/>
            </c:spPr>
          </c:marker>
          <c:dLbls>
            <c:delete val="1"/>
          </c:dLbls>
          <c:xVal>
            <c:numRef>
              <c:f>'[地下水导则2016公式D2.xlsx]公式D2（一维定浓度）'!$B$8:$B$44</c:f>
              <c:numCache>
                <c:formatCode>General</c:formatCode>
                <c:ptCount val="37"/>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250</c:v>
                </c:pt>
                <c:pt idx="22">
                  <c:v>300</c:v>
                </c:pt>
                <c:pt idx="23">
                  <c:v>350</c:v>
                </c:pt>
                <c:pt idx="24">
                  <c:v>400</c:v>
                </c:pt>
                <c:pt idx="25">
                  <c:v>450</c:v>
                </c:pt>
                <c:pt idx="26">
                  <c:v>500</c:v>
                </c:pt>
                <c:pt idx="27">
                  <c:v>550</c:v>
                </c:pt>
                <c:pt idx="28">
                  <c:v>600</c:v>
                </c:pt>
                <c:pt idx="29">
                  <c:v>650</c:v>
                </c:pt>
                <c:pt idx="30">
                  <c:v>700</c:v>
                </c:pt>
                <c:pt idx="31">
                  <c:v>750</c:v>
                </c:pt>
                <c:pt idx="32">
                  <c:v>800</c:v>
                </c:pt>
                <c:pt idx="33">
                  <c:v>850</c:v>
                </c:pt>
                <c:pt idx="34">
                  <c:v>900</c:v>
                </c:pt>
                <c:pt idx="35">
                  <c:v>950</c:v>
                </c:pt>
                <c:pt idx="36">
                  <c:v>1000</c:v>
                </c:pt>
              </c:numCache>
            </c:numRef>
          </c:xVal>
          <c:yVal>
            <c:numRef>
              <c:f>'[地下水导则2016公式D2.xlsx]公式D2（一维定浓度）'!$J$8:$J$44</c:f>
              <c:numCache>
                <c:formatCode>0.00_ </c:formatCode>
                <c:ptCount val="37"/>
                <c:pt idx="0">
                  <c:v>1150000</c:v>
                </c:pt>
                <c:pt idx="1">
                  <c:v>1149999.86338901</c:v>
                </c:pt>
                <c:pt idx="2">
                  <c:v>1149999.56014135</c:v>
                </c:pt>
                <c:pt idx="3">
                  <c:v>1149998.94882165</c:v>
                </c:pt>
                <c:pt idx="4">
                  <c:v>1149997.7901475</c:v>
                </c:pt>
                <c:pt idx="5">
                  <c:v>1149995.68977522</c:v>
                </c:pt>
                <c:pt idx="6">
                  <c:v>1149992.01289715</c:v>
                </c:pt>
                <c:pt idx="7">
                  <c:v>1149985.75936383</c:v>
                </c:pt>
                <c:pt idx="8">
                  <c:v>1149975.38474637</c:v>
                </c:pt>
                <c:pt idx="9">
                  <c:v>1149958.54903453</c:v>
                </c:pt>
                <c:pt idx="10">
                  <c:v>1149931.77072692</c:v>
                </c:pt>
                <c:pt idx="11">
                  <c:v>1149889.96025436</c:v>
                </c:pt>
                <c:pt idx="12">
                  <c:v>1149825.80350753</c:v>
                </c:pt>
                <c:pt idx="13">
                  <c:v>1149728.96438173</c:v>
                </c:pt>
                <c:pt idx="14">
                  <c:v>1149585.07576448</c:v>
                </c:pt>
                <c:pt idx="15">
                  <c:v>1149374.49140799</c:v>
                </c:pt>
                <c:pt idx="16">
                  <c:v>1149070.78189952</c:v>
                </c:pt>
                <c:pt idx="17">
                  <c:v>1148638.96345132</c:v>
                </c:pt>
                <c:pt idx="18">
                  <c:v>1148033.48968826</c:v>
                </c:pt>
                <c:pt idx="19">
                  <c:v>1147196.00272604</c:v>
                </c:pt>
                <c:pt idx="20">
                  <c:v>1146053.00689071</c:v>
                </c:pt>
                <c:pt idx="21">
                  <c:v>1131844.75307381</c:v>
                </c:pt>
                <c:pt idx="22">
                  <c:v>1087421.44691446</c:v>
                </c:pt>
                <c:pt idx="23">
                  <c:v>948125.250781462</c:v>
                </c:pt>
                <c:pt idx="24">
                  <c:v>754862.416407781</c:v>
                </c:pt>
                <c:pt idx="25">
                  <c:v>516819.329020138</c:v>
                </c:pt>
                <c:pt idx="26">
                  <c:v>293937.430869587</c:v>
                </c:pt>
                <c:pt idx="27">
                  <c:v>135301.781718606</c:v>
                </c:pt>
                <c:pt idx="28">
                  <c:v>49478.1671567355</c:v>
                </c:pt>
                <c:pt idx="29">
                  <c:v>14188.6658438429</c:v>
                </c:pt>
                <c:pt idx="30">
                  <c:v>3161.83420895522</c:v>
                </c:pt>
                <c:pt idx="31">
                  <c:v>544.015280045163</c:v>
                </c:pt>
                <c:pt idx="32">
                  <c:v>71.9356856684061</c:v>
                </c:pt>
                <c:pt idx="33">
                  <c:v>7.285522947581</c:v>
                </c:pt>
                <c:pt idx="34">
                  <c:v>0.563706982931178</c:v>
                </c:pt>
                <c:pt idx="35">
                  <c:v>0.0332566361116449</c:v>
                </c:pt>
                <c:pt idx="36">
                  <c:v>0.00149375835034604</c:v>
                </c:pt>
              </c:numCache>
            </c:numRef>
          </c:yVal>
          <c:smooth val="1"/>
        </c:ser>
        <c:ser>
          <c:idx val="10"/>
          <c:order val="8"/>
          <c:tx>
            <c:strRef>
              <c:f>'[地下水导则2016公式D2.xlsx]公式D2（一维定浓度）'!$K$7</c:f>
              <c:strCache>
                <c:ptCount val="1"/>
                <c:pt idx="0">
                  <c:v>标准值</c:v>
                </c:pt>
              </c:strCache>
            </c:strRef>
          </c:tx>
          <c:spPr>
            <a:ln w="19050" cap="rnd">
              <a:solidFill>
                <a:srgbClr val="276A7C">
                  <a:lumMod val="60000"/>
                </a:srgbClr>
              </a:solidFill>
              <a:round/>
            </a:ln>
            <a:effectLst/>
          </c:spPr>
          <c:marker>
            <c:symbol val="circle"/>
            <c:size val="5"/>
            <c:spPr>
              <a:solidFill>
                <a:srgbClr val="276A7C">
                  <a:lumMod val="60000"/>
                </a:srgbClr>
              </a:solidFill>
              <a:ln w="9525">
                <a:solidFill>
                  <a:srgbClr val="276A7C">
                    <a:lumMod val="60000"/>
                  </a:srgbClr>
                </a:solidFill>
              </a:ln>
              <a:effectLst/>
            </c:spPr>
          </c:marker>
          <c:dLbls>
            <c:delete val="1"/>
          </c:dLbls>
          <c:trendline>
            <c:spPr>
              <a:ln w="38100" cap="rnd">
                <a:solidFill>
                  <a:srgbClr val="FF0000"/>
                </a:solidFill>
                <a:prstDash val="sysDash"/>
              </a:ln>
              <a:effectLst/>
            </c:spPr>
            <c:trendlineType val="linear"/>
            <c:dispRSqr val="0"/>
            <c:dispEq val="0"/>
          </c:trendline>
          <c:xVal>
            <c:numRef>
              <c:f>'[地下水导则2016公式D2.xlsx]公式D2（一维定浓度）'!$B$8:$B$44</c:f>
              <c:numCache>
                <c:formatCode>General</c:formatCode>
                <c:ptCount val="37"/>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250</c:v>
                </c:pt>
                <c:pt idx="22">
                  <c:v>300</c:v>
                </c:pt>
                <c:pt idx="23">
                  <c:v>350</c:v>
                </c:pt>
                <c:pt idx="24">
                  <c:v>400</c:v>
                </c:pt>
                <c:pt idx="25">
                  <c:v>450</c:v>
                </c:pt>
                <c:pt idx="26">
                  <c:v>500</c:v>
                </c:pt>
                <c:pt idx="27">
                  <c:v>550</c:v>
                </c:pt>
                <c:pt idx="28">
                  <c:v>600</c:v>
                </c:pt>
                <c:pt idx="29">
                  <c:v>650</c:v>
                </c:pt>
                <c:pt idx="30">
                  <c:v>700</c:v>
                </c:pt>
                <c:pt idx="31">
                  <c:v>750</c:v>
                </c:pt>
                <c:pt idx="32">
                  <c:v>800</c:v>
                </c:pt>
                <c:pt idx="33">
                  <c:v>850</c:v>
                </c:pt>
                <c:pt idx="34">
                  <c:v>900</c:v>
                </c:pt>
                <c:pt idx="35">
                  <c:v>950</c:v>
                </c:pt>
                <c:pt idx="36">
                  <c:v>1000</c:v>
                </c:pt>
              </c:numCache>
            </c:numRef>
          </c:xVal>
          <c:yVal>
            <c:numRef>
              <c:f>'[地下水导则2016公式D2.xlsx]公式D2（一维定浓度）'!$K$8:$K$44</c:f>
              <c:numCache>
                <c:formatCode>General</c:formatCode>
                <c:ptCount val="37"/>
                <c:pt idx="0">
                  <c:v>250</c:v>
                </c:pt>
                <c:pt idx="1">
                  <c:v>250</c:v>
                </c:pt>
                <c:pt idx="2">
                  <c:v>250</c:v>
                </c:pt>
                <c:pt idx="3">
                  <c:v>250</c:v>
                </c:pt>
                <c:pt idx="4">
                  <c:v>250</c:v>
                </c:pt>
                <c:pt idx="5">
                  <c:v>250</c:v>
                </c:pt>
                <c:pt idx="6">
                  <c:v>250</c:v>
                </c:pt>
                <c:pt idx="7">
                  <c:v>250</c:v>
                </c:pt>
                <c:pt idx="8">
                  <c:v>250</c:v>
                </c:pt>
                <c:pt idx="9">
                  <c:v>250</c:v>
                </c:pt>
                <c:pt idx="10">
                  <c:v>250</c:v>
                </c:pt>
                <c:pt idx="11">
                  <c:v>250</c:v>
                </c:pt>
                <c:pt idx="12">
                  <c:v>250</c:v>
                </c:pt>
                <c:pt idx="13">
                  <c:v>250</c:v>
                </c:pt>
                <c:pt idx="14">
                  <c:v>250</c:v>
                </c:pt>
                <c:pt idx="15">
                  <c:v>250</c:v>
                </c:pt>
                <c:pt idx="16">
                  <c:v>250</c:v>
                </c:pt>
                <c:pt idx="17">
                  <c:v>250</c:v>
                </c:pt>
                <c:pt idx="18">
                  <c:v>250</c:v>
                </c:pt>
                <c:pt idx="19">
                  <c:v>250</c:v>
                </c:pt>
                <c:pt idx="20">
                  <c:v>250</c:v>
                </c:pt>
                <c:pt idx="21">
                  <c:v>250</c:v>
                </c:pt>
                <c:pt idx="22">
                  <c:v>250</c:v>
                </c:pt>
                <c:pt idx="23">
                  <c:v>250</c:v>
                </c:pt>
                <c:pt idx="24">
                  <c:v>250</c:v>
                </c:pt>
                <c:pt idx="25">
                  <c:v>250</c:v>
                </c:pt>
                <c:pt idx="26">
                  <c:v>250</c:v>
                </c:pt>
                <c:pt idx="27">
                  <c:v>250</c:v>
                </c:pt>
                <c:pt idx="28">
                  <c:v>250</c:v>
                </c:pt>
                <c:pt idx="29">
                  <c:v>250</c:v>
                </c:pt>
                <c:pt idx="30">
                  <c:v>250</c:v>
                </c:pt>
                <c:pt idx="31">
                  <c:v>250</c:v>
                </c:pt>
                <c:pt idx="32">
                  <c:v>250</c:v>
                </c:pt>
                <c:pt idx="33">
                  <c:v>250</c:v>
                </c:pt>
                <c:pt idx="34">
                  <c:v>250</c:v>
                </c:pt>
                <c:pt idx="35">
                  <c:v>250</c:v>
                </c:pt>
                <c:pt idx="36">
                  <c:v>250</c:v>
                </c:pt>
              </c:numCache>
            </c:numRef>
          </c:yVal>
          <c:smooth val="1"/>
        </c:ser>
        <c:dLbls>
          <c:showLegendKey val="0"/>
          <c:showVal val="0"/>
          <c:showCatName val="0"/>
          <c:showSerName val="0"/>
          <c:showPercent val="0"/>
          <c:showBubbleSize val="0"/>
        </c:dLbls>
        <c:axId val="113877376"/>
        <c:axId val="113879296"/>
      </c:scatterChart>
      <c:valAx>
        <c:axId val="113877376"/>
        <c:scaling>
          <c:orientation val="minMax"/>
        </c:scaling>
        <c:delete val="0"/>
        <c:axPos val="b"/>
        <c:majorGridlines>
          <c:spPr>
            <a:ln w="9525" cap="flat" cmpd="sng" algn="ctr">
              <a:solidFill>
                <a:srgbClr val="D9D9D9">
                  <a:lumMod val="15000"/>
                  <a:lumOff val="85000"/>
                </a:srgb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rgbClr val="595959">
                        <a:lumMod val="65000"/>
                        <a:lumOff val="35000"/>
                      </a:srgbClr>
                    </a:solidFill>
                    <a:latin typeface="+mn-lt"/>
                    <a:ea typeface="+mn-ea"/>
                    <a:cs typeface="+mn-cs"/>
                  </a:defRPr>
                </a:pPr>
                <a:r>
                  <a:rPr>
                    <a:solidFill>
                      <a:srgbClr val="000000"/>
                    </a:solidFill>
                  </a:rPr>
                  <a:t>距注入点距离（</a:t>
                </a:r>
                <a:r>
                  <a:rPr lang="en-US" altLang="zh-CN">
                    <a:solidFill>
                      <a:srgbClr val="000000"/>
                    </a:solidFill>
                  </a:rPr>
                  <a:t>m)</a:t>
                </a:r>
                <a:endParaRPr lang="en-US" altLang="zh-CN">
                  <a:solidFill>
                    <a:srgbClr val="000000"/>
                  </a:solidFill>
                </a:endParaRPr>
              </a:p>
            </c:rich>
          </c:tx>
          <c:layout/>
          <c:overlay val="0"/>
          <c:spPr>
            <a:noFill/>
            <a:ln>
              <a:noFill/>
            </a:ln>
            <a:effectLst/>
          </c:spPr>
        </c:title>
        <c:numFmt formatCode="General" sourceLinked="1"/>
        <c:majorTickMark val="none"/>
        <c:minorTickMark val="none"/>
        <c:tickLblPos val="nextTo"/>
        <c:spPr>
          <a:noFill/>
          <a:ln w="9525" cap="flat" cmpd="sng" algn="ctr">
            <a:solidFill>
              <a:srgbClr val="BFBFBF">
                <a:lumMod val="25000"/>
                <a:lumOff val="75000"/>
              </a:srgbClr>
            </a:solidFill>
            <a:round/>
          </a:ln>
          <a:effectLst/>
        </c:spPr>
        <c:txPr>
          <a:bodyPr rot="-60000000" spcFirstLastPara="0"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p>
        </c:txPr>
        <c:crossAx val="113879296"/>
        <c:crosses val="autoZero"/>
        <c:crossBetween val="midCat"/>
      </c:valAx>
      <c:valAx>
        <c:axId val="113879296"/>
        <c:scaling>
          <c:orientation val="minMax"/>
        </c:scaling>
        <c:delete val="0"/>
        <c:axPos val="l"/>
        <c:majorGridlines>
          <c:spPr>
            <a:ln w="9525" cap="flat" cmpd="sng" algn="ctr">
              <a:solidFill>
                <a:srgbClr val="D9D9D9">
                  <a:lumMod val="15000"/>
                  <a:lumOff val="85000"/>
                </a:srgb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rgbClr val="595959">
                        <a:lumMod val="65000"/>
                        <a:lumOff val="35000"/>
                      </a:srgbClr>
                    </a:solidFill>
                    <a:latin typeface="+mn-lt"/>
                    <a:ea typeface="+mn-ea"/>
                    <a:cs typeface="+mn-cs"/>
                  </a:defRPr>
                </a:pPr>
                <a:r>
                  <a:rPr altLang="en-US">
                    <a:solidFill>
                      <a:srgbClr val="000000"/>
                    </a:solidFill>
                  </a:rPr>
                  <a:t>预测浓度</a:t>
                </a:r>
                <a:r>
                  <a:rPr lang="en-US" altLang="zh-CN">
                    <a:solidFill>
                      <a:srgbClr val="000000"/>
                    </a:solidFill>
                  </a:rPr>
                  <a:t>(mg/L)</a:t>
                </a:r>
                <a:endParaRPr lang="en-US" altLang="zh-CN">
                  <a:solidFill>
                    <a:srgbClr val="000000"/>
                  </a:solidFill>
                </a:endParaRPr>
              </a:p>
            </c:rich>
          </c:tx>
          <c:layout/>
          <c:overlay val="0"/>
          <c:spPr>
            <a:noFill/>
            <a:ln>
              <a:noFill/>
            </a:ln>
            <a:effectLst/>
          </c:spPr>
        </c:title>
        <c:numFmt formatCode="0.00_ " sourceLinked="1"/>
        <c:majorTickMark val="none"/>
        <c:minorTickMark val="none"/>
        <c:tickLblPos val="nextTo"/>
        <c:spPr>
          <a:noFill/>
          <a:ln w="9525" cap="flat" cmpd="sng" algn="ctr">
            <a:solidFill>
              <a:srgbClr val="BFBFBF">
                <a:lumMod val="25000"/>
                <a:lumOff val="75000"/>
              </a:srgbClr>
            </a:solidFill>
            <a:round/>
          </a:ln>
          <a:effectLst/>
        </c:spPr>
        <c:txPr>
          <a:bodyPr rot="-60000000" spcFirstLastPara="0"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p>
        </c:txPr>
        <c:crossAx val="113877376"/>
        <c:crosses val="autoZero"/>
        <c:crossBetween val="midCat"/>
      </c:valAx>
      <c:spPr>
        <a:noFill/>
        <a:ln>
          <a:noFill/>
        </a:ln>
        <a:effectLst/>
      </c:spPr>
    </c:plotArea>
    <c:legend>
      <c:legendPos val="b"/>
      <c:layout>
        <c:manualLayout>
          <c:xMode val="edge"/>
          <c:yMode val="edge"/>
          <c:x val="0.422038450664405"/>
          <c:y val="0.180998873450995"/>
          <c:w val="0.400339270568278"/>
          <c:h val="0.323194392289398"/>
        </c:manualLayout>
      </c:layout>
      <c:overlay val="0"/>
      <c:spPr>
        <a:noFill/>
        <a:ln>
          <a:noFill/>
        </a:ln>
        <a:effectLst/>
      </c:spPr>
      <c:txPr>
        <a:bodyPr rot="0" spcFirstLastPara="0"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p>
      </c:txPr>
    </c:legend>
    <c:plotVisOnly val="1"/>
    <c:dispBlanksAs val="gap"/>
    <c:showDLblsOverMax val="0"/>
    <c:extLst>
      <c:ext uri="{0b15fc19-7d7d-44ad-8c2d-2c3a37ce22c3}">
        <chartProps xmlns="https://web.wps.cn/et/2018/main" chartId="{b68c4b03-89e1-43a5-81fc-f4728524123e}"/>
      </c:ext>
    </c:extLst>
  </c:chart>
  <c:spPr>
    <a:solidFill>
      <a:srgbClr val="FFFFFF"/>
    </a:solidFill>
    <a:ln w="12700" cap="flat" cmpd="sng" algn="ctr">
      <a:solidFill>
        <a:srgbClr val="D9D9D9">
          <a:lumMod val="15000"/>
          <a:lumOff val="85000"/>
        </a:srgb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0199975906517"/>
          <c:y val="0.147887276435519"/>
          <c:w val="0.84375"/>
          <c:h val="0.63975"/>
        </c:manualLayout>
      </c:layout>
      <c:lineChart>
        <c:grouping val="standard"/>
        <c:varyColors val="0"/>
        <c:ser>
          <c:idx val="0"/>
          <c:order val="0"/>
          <c:tx>
            <c:strRef>
              <c:f>[2022年衡阳气象站气象统计.XLS]数据!$A$3</c:f>
              <c:strCache>
                <c:ptCount val="1"/>
                <c:pt idx="0">
                  <c:v>  温度(℃)  </c:v>
                </c:pt>
              </c:strCache>
            </c:strRef>
          </c:tx>
          <c:spPr>
            <a:ln w="12700" cap="rnd" cmpd="sng" algn="ctr">
              <a:solidFill>
                <a:srgbClr val="000080"/>
              </a:solidFill>
              <a:prstDash val="solid"/>
              <a:round/>
            </a:ln>
          </c:spPr>
          <c:marker>
            <c:symbol val="diamond"/>
            <c:size val="5"/>
            <c:spPr>
              <a:solidFill>
                <a:srgbClr val="000080"/>
              </a:solidFill>
              <a:ln w="6350" cap="flat" cmpd="sng" algn="ctr">
                <a:solidFill>
                  <a:srgbClr val="000080"/>
                </a:solidFill>
                <a:prstDash val="solid"/>
                <a:round/>
              </a:ln>
            </c:spPr>
          </c:marker>
          <c:dLbls>
            <c:delete val="1"/>
          </c:dLbls>
          <c:cat>
            <c:strRef>
              <c:f>[2022年衡阳气象站气象统计.XLS]数据!$B$2:$M$2</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[2022年衡阳气象站气象统计.XLS]数据!$B$3:$M$3</c:f>
              <c:numCache>
                <c:formatCode>0.00_ </c:formatCode>
                <c:ptCount val="12"/>
                <c:pt idx="0">
                  <c:v>7.11999988555908</c:v>
                </c:pt>
                <c:pt idx="1">
                  <c:v>5.48000001907349</c:v>
                </c:pt>
                <c:pt idx="2">
                  <c:v>16.6800003051758</c:v>
                </c:pt>
                <c:pt idx="3">
                  <c:v>19.8299999237061</c:v>
                </c:pt>
                <c:pt idx="4">
                  <c:v>21.1800003051758</c:v>
                </c:pt>
                <c:pt idx="5">
                  <c:v>27.8899993896484</c:v>
                </c:pt>
                <c:pt idx="6">
                  <c:v>31.3400001525879</c:v>
                </c:pt>
                <c:pt idx="7">
                  <c:v>32.7599983215332</c:v>
                </c:pt>
                <c:pt idx="8">
                  <c:v>28.7299995422363</c:v>
                </c:pt>
                <c:pt idx="9">
                  <c:v>21.3999996185303</c:v>
                </c:pt>
                <c:pt idx="10">
                  <c:v>18.1700000762939</c:v>
                </c:pt>
                <c:pt idx="11">
                  <c:v>7.6399998664856</c:v>
                </c:pt>
              </c:numCache>
            </c:numRef>
          </c:val>
          <c:smooth val="0"/>
        </c:ser>
        <c:dLbls>
          <c:showLegendKey val="0"/>
          <c:showVal val="0"/>
          <c:showCatName val="0"/>
          <c:showSerName val="0"/>
          <c:showPercent val="0"/>
          <c:showBubbleSize val="0"/>
        </c:dLbls>
        <c:marker val="1"/>
        <c:smooth val="0"/>
        <c:axId val="114005888"/>
        <c:axId val="126164992"/>
      </c:lineChart>
      <c:catAx>
        <c:axId val="114005888"/>
        <c:scaling>
          <c:orientation val="minMax"/>
        </c:scaling>
        <c:delete val="0"/>
        <c:axPos val="b"/>
        <c:majorTickMark val="in"/>
        <c:minorTickMark val="none"/>
        <c:tickLblPos val="nextTo"/>
        <c:spPr>
          <a:ln w="3175" cap="flat" cmpd="sng" algn="ctr">
            <a:solidFill>
              <a:srgbClr val="000000"/>
            </a:solidFill>
            <a:prstDash val="solid"/>
            <a:round/>
          </a:ln>
        </c:spPr>
        <c:txPr>
          <a:bodyPr rot="-600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126164992"/>
        <c:crosses val="autoZero"/>
        <c:auto val="1"/>
        <c:lblAlgn val="ctr"/>
        <c:lblOffset val="100"/>
        <c:noMultiLvlLbl val="0"/>
      </c:catAx>
      <c:valAx>
        <c:axId val="126164992"/>
        <c:scaling>
          <c:orientation val="minMax"/>
        </c:scaling>
        <c:delete val="0"/>
        <c:axPos val="l"/>
        <c:majorGridlines>
          <c:spPr>
            <a:ln w="3175" cap="flat" cmpd="sng" algn="ctr">
              <a:solidFill>
                <a:srgbClr val="000000">
                  <a:alpha val="100000"/>
                </a:srgbClr>
              </a:solidFill>
              <a:prstDash val="solid"/>
              <a:round/>
            </a:ln>
          </c:spPr>
        </c:majorGridlines>
        <c:title>
          <c:tx>
            <c:rich>
              <a:bodyPr rot="-5400000" spcFirstLastPara="0" vertOverflow="ellipsis" vert="horz" wrap="square" anchor="ctr" anchorCtr="1"/>
              <a:lstStyle/>
              <a:p>
                <a:pPr defTabSz="914400">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t>温度(℃) </a:t>
                </a:r>
                <a:endParaRPr sz="1200" b="0" i="0" u="none" strike="noStrike" baseline="0">
                  <a:solidFill>
                    <a:srgbClr val="000000"/>
                  </a:solidFill>
                  <a:latin typeface="宋体" panose="02010600030101010101" charset="-122"/>
                  <a:ea typeface="宋体" panose="02010600030101010101" charset="-122"/>
                  <a:cs typeface="宋体" panose="02010600030101010101" charset="-122"/>
                </a:endParaRPr>
              </a:p>
            </c:rich>
          </c:tx>
          <c:layout>
            <c:manualLayout>
              <c:xMode val="edge"/>
              <c:yMode val="edge"/>
              <c:x val="0.00518009878327912"/>
              <c:y val="0.343583307185441"/>
            </c:manualLayout>
          </c:layout>
          <c:overlay val="0"/>
        </c:title>
        <c:numFmt formatCode="0.00_ " sourceLinked="1"/>
        <c:majorTickMark val="in"/>
        <c:minorTickMark val="none"/>
        <c:tickLblPos val="nextTo"/>
        <c:spPr>
          <a:ln w="3175" cap="flat" cmpd="sng" algn="ctr">
            <a:solidFill>
              <a:srgbClr val="000000"/>
            </a:solidFill>
            <a:prstDash val="solid"/>
            <a:round/>
          </a:ln>
        </c:spPr>
        <c:txPr>
          <a:bodyPr rot="-600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114005888"/>
        <c:crosses val="autoZero"/>
        <c:crossBetween val="between"/>
      </c:valAx>
      <c:spPr>
        <a:solidFill>
          <a:srgbClr val="C0C0C0">
            <a:alpha val="100000"/>
          </a:srgbClr>
        </a:solidFill>
        <a:ln w="12700">
          <a:solidFill>
            <a:srgbClr val="808080">
              <a:alpha val="100000"/>
            </a:srgbClr>
          </a:solidFill>
          <a:prstDash val="solid"/>
        </a:ln>
      </c:spPr>
    </c:plotArea>
    <c:plotVisOnly val="1"/>
    <c:dispBlanksAs val="gap"/>
    <c:showDLblsOverMax val="0"/>
    <c:extLst>
      <c:ext uri="{0b15fc19-7d7d-44ad-8c2d-2c3a37ce22c3}">
        <chartProps xmlns="https://web.wps.cn/et/2018/main" chartId="{088abff7-6dd9-4b17-8cce-8d67e63c12ed}"/>
      </c:ext>
    </c:extLst>
  </c:chart>
  <c:spPr>
    <a:solidFill>
      <a:srgbClr val="FFFFFF"/>
    </a:solidFill>
    <a:ln w="3175" cap="flat" cmpd="sng" algn="ctr">
      <a:solidFill>
        <a:srgbClr val="000000">
          <a:alpha val="100000"/>
        </a:srgbClr>
      </a:solidFill>
      <a:prstDash val="solid"/>
      <a:round/>
    </a:ln>
  </c:spPr>
  <c:txPr>
    <a:bodyPr rot="0" wrap="square" anchor="ctr" anchorCtr="1"/>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
          <c:y val="0.20225"/>
          <c:w val="0.83075"/>
          <c:h val="0.63975"/>
        </c:manualLayout>
      </c:layout>
      <c:lineChart>
        <c:grouping val="standard"/>
        <c:varyColors val="0"/>
        <c:ser>
          <c:idx val="0"/>
          <c:order val="0"/>
          <c:tx>
            <c:strRef>
              <c:f>[2022年衡阳气象站气象统计.XLS]数据!$A$7</c:f>
              <c:strCache>
                <c:ptCount val="1"/>
                <c:pt idx="0">
                  <c:v> 风速(m/s)  </c:v>
                </c:pt>
              </c:strCache>
            </c:strRef>
          </c:tx>
          <c:spPr>
            <a:ln w="12700" cap="rnd" cmpd="sng" algn="ctr">
              <a:solidFill>
                <a:srgbClr val="000080"/>
              </a:solidFill>
              <a:prstDash val="solid"/>
              <a:round/>
            </a:ln>
          </c:spPr>
          <c:marker>
            <c:symbol val="diamond"/>
            <c:size val="5"/>
            <c:spPr>
              <a:solidFill>
                <a:srgbClr val="000080"/>
              </a:solidFill>
              <a:ln w="6350" cap="flat" cmpd="sng" algn="ctr">
                <a:solidFill>
                  <a:srgbClr val="000080"/>
                </a:solidFill>
                <a:prstDash val="solid"/>
                <a:round/>
              </a:ln>
            </c:spPr>
          </c:marker>
          <c:dLbls>
            <c:delete val="1"/>
          </c:dLbls>
          <c:cat>
            <c:strRef>
              <c:f>[2022年衡阳气象站气象统计.XLS]数据!$B$6:$M$6</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[2022年衡阳气象站气象统计.XLS]数据!$B$7:$M$7</c:f>
              <c:numCache>
                <c:formatCode>0.00_ </c:formatCode>
                <c:ptCount val="12"/>
                <c:pt idx="0">
                  <c:v>1.38999998569489</c:v>
                </c:pt>
                <c:pt idx="1">
                  <c:v>1.36000001430511</c:v>
                </c:pt>
                <c:pt idx="2">
                  <c:v>1.69000005722046</c:v>
                </c:pt>
                <c:pt idx="3">
                  <c:v>1.5900000333786</c:v>
                </c:pt>
                <c:pt idx="4">
                  <c:v>1.30999994277954</c:v>
                </c:pt>
                <c:pt idx="5">
                  <c:v>1.91999995708466</c:v>
                </c:pt>
                <c:pt idx="6">
                  <c:v>2.16000008583069</c:v>
                </c:pt>
                <c:pt idx="7">
                  <c:v>2.27999997138977</c:v>
                </c:pt>
                <c:pt idx="8">
                  <c:v>2.20000004768372</c:v>
                </c:pt>
                <c:pt idx="9">
                  <c:v>2.17000007629395</c:v>
                </c:pt>
                <c:pt idx="10">
                  <c:v>1.77999997138977</c:v>
                </c:pt>
                <c:pt idx="11">
                  <c:v>1.44000005722046</c:v>
                </c:pt>
              </c:numCache>
            </c:numRef>
          </c:val>
          <c:smooth val="0"/>
        </c:ser>
        <c:dLbls>
          <c:showLegendKey val="0"/>
          <c:showVal val="0"/>
          <c:showCatName val="0"/>
          <c:showSerName val="0"/>
          <c:showPercent val="0"/>
          <c:showBubbleSize val="0"/>
        </c:dLbls>
        <c:marker val="1"/>
        <c:smooth val="0"/>
        <c:axId val="114018944"/>
        <c:axId val="126186240"/>
      </c:lineChart>
      <c:catAx>
        <c:axId val="114018944"/>
        <c:scaling>
          <c:orientation val="minMax"/>
        </c:scaling>
        <c:delete val="0"/>
        <c:axPos val="b"/>
        <c:majorTickMark val="in"/>
        <c:minorTickMark val="none"/>
        <c:tickLblPos val="nextTo"/>
        <c:spPr>
          <a:ln w="3175" cap="flat" cmpd="sng" algn="ctr">
            <a:solidFill>
              <a:srgbClr val="000000"/>
            </a:solidFill>
            <a:prstDash val="solid"/>
            <a:round/>
          </a:ln>
        </c:spPr>
        <c:txPr>
          <a:bodyPr rot="-600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126186240"/>
        <c:crosses val="autoZero"/>
        <c:auto val="1"/>
        <c:lblAlgn val="ctr"/>
        <c:lblOffset val="100"/>
        <c:noMultiLvlLbl val="0"/>
      </c:catAx>
      <c:valAx>
        <c:axId val="126186240"/>
        <c:scaling>
          <c:orientation val="minMax"/>
        </c:scaling>
        <c:delete val="0"/>
        <c:axPos val="l"/>
        <c:majorGridlines>
          <c:spPr>
            <a:ln w="3175" cap="flat" cmpd="sng" algn="ctr">
              <a:solidFill>
                <a:srgbClr val="000000">
                  <a:alpha val="100000"/>
                </a:srgbClr>
              </a:solidFill>
              <a:prstDash val="solid"/>
              <a:round/>
            </a:ln>
          </c:spPr>
        </c:majorGridlines>
        <c:title>
          <c:tx>
            <c:rich>
              <a:bodyPr rot="-5400000" spcFirstLastPara="0" vertOverflow="ellipsis" vert="horz" wrap="square" anchor="ctr" anchorCtr="1"/>
              <a:lstStyle/>
              <a:p>
                <a:pPr defTabSz="914400">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t>风速(m/s) </a:t>
                </a:r>
                <a:endParaRPr sz="1200" b="0" i="0" u="none" strike="noStrike" baseline="0">
                  <a:solidFill>
                    <a:srgbClr val="000000"/>
                  </a:solidFill>
                  <a:latin typeface="宋体" panose="02010600030101010101" charset="-122"/>
                  <a:ea typeface="宋体" panose="02010600030101010101" charset="-122"/>
                  <a:cs typeface="宋体" panose="02010600030101010101" charset="-122"/>
                </a:endParaRPr>
              </a:p>
            </c:rich>
          </c:tx>
          <c:layout>
            <c:manualLayout>
              <c:xMode val="edge"/>
              <c:yMode val="edge"/>
              <c:x val="0"/>
              <c:y val="0.374480107058126"/>
            </c:manualLayout>
          </c:layout>
          <c:overlay val="0"/>
        </c:title>
        <c:numFmt formatCode="0.00_ " sourceLinked="0"/>
        <c:majorTickMark val="in"/>
        <c:minorTickMark val="none"/>
        <c:tickLblPos val="nextTo"/>
        <c:spPr>
          <a:ln w="3175" cap="flat" cmpd="sng" algn="ctr">
            <a:solidFill>
              <a:srgbClr val="000000"/>
            </a:solidFill>
            <a:prstDash val="solid"/>
            <a:round/>
          </a:ln>
        </c:spPr>
        <c:txPr>
          <a:bodyPr rot="-600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114018944"/>
        <c:crosses val="autoZero"/>
        <c:crossBetween val="between"/>
      </c:valAx>
      <c:spPr>
        <a:solidFill>
          <a:srgbClr val="C0C0C0">
            <a:alpha val="100000"/>
          </a:srgbClr>
        </a:solidFill>
        <a:ln w="12700">
          <a:solidFill>
            <a:srgbClr val="808080">
              <a:alpha val="100000"/>
            </a:srgbClr>
          </a:solidFill>
          <a:prstDash val="solid"/>
        </a:ln>
      </c:spPr>
    </c:plotArea>
    <c:plotVisOnly val="1"/>
    <c:dispBlanksAs val="gap"/>
    <c:showDLblsOverMax val="0"/>
    <c:extLst>
      <c:ext uri="{0b15fc19-7d7d-44ad-8c2d-2c3a37ce22c3}">
        <chartProps xmlns="https://web.wps.cn/et/2018/main" chartId="{4ec495e3-2958-4c7f-9a27-585eae082dd8}"/>
      </c:ext>
    </c:extLst>
  </c:chart>
  <c:spPr>
    <a:solidFill>
      <a:srgbClr val="FFFFFF"/>
    </a:solidFill>
    <a:ln w="3175" cap="flat" cmpd="sng" algn="ctr">
      <a:solidFill>
        <a:srgbClr val="000000">
          <a:alpha val="100000"/>
        </a:srgbClr>
      </a:solidFill>
      <a:prstDash val="solid"/>
      <a:round/>
    </a:ln>
  </c:spPr>
  <c:txPr>
    <a:bodyPr rot="0" wrap="square" anchor="ctr" anchorCtr="1"/>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5"/>
          <c:y val="0.142"/>
          <c:w val="0.7285"/>
          <c:h val="0.71275"/>
        </c:manualLayout>
      </c:layout>
      <c:lineChart>
        <c:grouping val="standard"/>
        <c:varyColors val="0"/>
        <c:ser>
          <c:idx val="0"/>
          <c:order val="0"/>
          <c:tx>
            <c:strRef>
              <c:f>[2022年衡阳气象站气象统计.XLS]图形!$A$167</c:f>
              <c:strCache>
                <c:ptCount val="1"/>
                <c:pt idx="0">
                  <c:v>春季                </c:v>
                </c:pt>
              </c:strCache>
            </c:strRef>
          </c:tx>
          <c:spPr>
            <a:ln w="12700" cap="rnd" cmpd="sng" algn="ctr">
              <a:solidFill>
                <a:srgbClr val="000080"/>
              </a:solidFill>
              <a:prstDash val="solid"/>
              <a:round/>
            </a:ln>
          </c:spPr>
          <c:marker>
            <c:symbol val="diamond"/>
            <c:size val="5"/>
            <c:spPr>
              <a:solidFill>
                <a:srgbClr val="000080"/>
              </a:solidFill>
              <a:ln w="6350" cap="flat" cmpd="sng" algn="ctr">
                <a:solidFill>
                  <a:srgbClr val="000080"/>
                </a:solidFill>
                <a:prstDash val="solid"/>
                <a:round/>
              </a:ln>
            </c:spPr>
          </c:marker>
          <c:dLbls>
            <c:delete val="1"/>
          </c:dLbls>
          <c:val>
            <c:numRef>
              <c:f>[2022年衡阳气象站气象统计.XLS]图形!$B$167:$Y$167</c:f>
              <c:numCache>
                <c:formatCode>General</c:formatCode>
                <c:ptCount val="24"/>
                <c:pt idx="0">
                  <c:v>1.33000004291534</c:v>
                </c:pt>
                <c:pt idx="1">
                  <c:v>1.30999994277954</c:v>
                </c:pt>
                <c:pt idx="2">
                  <c:v>1.25</c:v>
                </c:pt>
                <c:pt idx="3">
                  <c:v>1.26999998092651</c:v>
                </c:pt>
                <c:pt idx="4">
                  <c:v>1.25</c:v>
                </c:pt>
                <c:pt idx="5">
                  <c:v>1.21000003814697</c:v>
                </c:pt>
                <c:pt idx="6">
                  <c:v>1.17999994754791</c:v>
                </c:pt>
                <c:pt idx="7">
                  <c:v>1.35000002384186</c:v>
                </c:pt>
                <c:pt idx="8">
                  <c:v>1.38999998569489</c:v>
                </c:pt>
                <c:pt idx="9">
                  <c:v>1.60000002384186</c:v>
                </c:pt>
                <c:pt idx="10">
                  <c:v>1.77999997138977</c:v>
                </c:pt>
                <c:pt idx="11">
                  <c:v>1.72000002861023</c:v>
                </c:pt>
                <c:pt idx="12">
                  <c:v>1.76999998092651</c:v>
                </c:pt>
                <c:pt idx="13">
                  <c:v>1.98000001907349</c:v>
                </c:pt>
                <c:pt idx="14">
                  <c:v>1.83000004291534</c:v>
                </c:pt>
                <c:pt idx="15">
                  <c:v>1.79999995231628</c:v>
                </c:pt>
                <c:pt idx="16">
                  <c:v>1.91999995708466</c:v>
                </c:pt>
                <c:pt idx="17">
                  <c:v>1.76999998092651</c:v>
                </c:pt>
                <c:pt idx="18">
                  <c:v>1.6599999666214</c:v>
                </c:pt>
                <c:pt idx="19">
                  <c:v>1.51999998092651</c:v>
                </c:pt>
                <c:pt idx="20">
                  <c:v>1.5</c:v>
                </c:pt>
                <c:pt idx="21">
                  <c:v>1.54999995231628</c:v>
                </c:pt>
                <c:pt idx="22">
                  <c:v>1.39999997615814</c:v>
                </c:pt>
                <c:pt idx="23">
                  <c:v>1.35000002384186</c:v>
                </c:pt>
              </c:numCache>
            </c:numRef>
          </c:val>
          <c:smooth val="0"/>
        </c:ser>
        <c:ser>
          <c:idx val="1"/>
          <c:order val="1"/>
          <c:tx>
            <c:strRef>
              <c:f>[2022年衡阳气象站气象统计.XLS]图形!$A$168</c:f>
              <c:strCache>
                <c:ptCount val="1"/>
                <c:pt idx="0">
                  <c:v>夏季                </c:v>
                </c:pt>
              </c:strCache>
            </c:strRef>
          </c:tx>
          <c:spPr>
            <a:ln w="12700" cap="rnd" cmpd="sng" algn="ctr">
              <a:solidFill>
                <a:srgbClr val="FF00FF"/>
              </a:solidFill>
              <a:prstDash val="solid"/>
              <a:round/>
            </a:ln>
          </c:spPr>
          <c:marker>
            <c:symbol val="square"/>
            <c:size val="5"/>
            <c:spPr>
              <a:solidFill>
                <a:srgbClr val="FF00FF"/>
              </a:solidFill>
              <a:ln w="6350" cap="flat" cmpd="sng" algn="ctr">
                <a:solidFill>
                  <a:srgbClr val="FF00FF"/>
                </a:solidFill>
                <a:prstDash val="solid"/>
                <a:round/>
              </a:ln>
            </c:spPr>
          </c:marker>
          <c:dLbls>
            <c:delete val="1"/>
          </c:dLbls>
          <c:val>
            <c:numRef>
              <c:f>[2022年衡阳气象站气象统计.XLS]图形!$B$168:$Y$168</c:f>
              <c:numCache>
                <c:formatCode>General</c:formatCode>
                <c:ptCount val="24"/>
                <c:pt idx="0">
                  <c:v>1.83000004291534</c:v>
                </c:pt>
                <c:pt idx="1">
                  <c:v>1.86000001430511</c:v>
                </c:pt>
                <c:pt idx="2">
                  <c:v>1.6599999666214</c:v>
                </c:pt>
                <c:pt idx="3">
                  <c:v>1.5900000333786</c:v>
                </c:pt>
                <c:pt idx="4">
                  <c:v>1.60000002384186</c:v>
                </c:pt>
                <c:pt idx="5">
                  <c:v>1.66999995708466</c:v>
                </c:pt>
                <c:pt idx="6">
                  <c:v>1.67999994754791</c:v>
                </c:pt>
                <c:pt idx="7">
                  <c:v>1.99000000953674</c:v>
                </c:pt>
                <c:pt idx="8">
                  <c:v>2.23000001907349</c:v>
                </c:pt>
                <c:pt idx="9">
                  <c:v>2.38000011444092</c:v>
                </c:pt>
                <c:pt idx="10">
                  <c:v>2.59999990463257</c:v>
                </c:pt>
                <c:pt idx="11">
                  <c:v>2.42000007629395</c:v>
                </c:pt>
                <c:pt idx="12">
                  <c:v>2.55999994277954</c:v>
                </c:pt>
                <c:pt idx="13">
                  <c:v>2.73000001907349</c:v>
                </c:pt>
                <c:pt idx="14">
                  <c:v>2.54999995231628</c:v>
                </c:pt>
                <c:pt idx="15">
                  <c:v>2.55999994277954</c:v>
                </c:pt>
                <c:pt idx="16">
                  <c:v>2.48000001907349</c:v>
                </c:pt>
                <c:pt idx="17">
                  <c:v>2.3199999332428</c:v>
                </c:pt>
                <c:pt idx="18">
                  <c:v>2.21000003814697</c:v>
                </c:pt>
                <c:pt idx="19">
                  <c:v>1.92999994754791</c:v>
                </c:pt>
                <c:pt idx="20">
                  <c:v>1.89999997615814</c:v>
                </c:pt>
                <c:pt idx="21">
                  <c:v>2.09999990463257</c:v>
                </c:pt>
                <c:pt idx="22">
                  <c:v>2.07999992370605</c:v>
                </c:pt>
                <c:pt idx="23">
                  <c:v>1.94000005722046</c:v>
                </c:pt>
              </c:numCache>
            </c:numRef>
          </c:val>
          <c:smooth val="0"/>
        </c:ser>
        <c:ser>
          <c:idx val="2"/>
          <c:order val="2"/>
          <c:tx>
            <c:strRef>
              <c:f>[2022年衡阳气象站气象统计.XLS]图形!$A$169</c:f>
              <c:strCache>
                <c:ptCount val="1"/>
                <c:pt idx="0">
                  <c:v>秋季                </c:v>
                </c:pt>
              </c:strCache>
            </c:strRef>
          </c:tx>
          <c:spPr>
            <a:ln w="12700" cap="rnd" cmpd="sng" algn="ctr">
              <a:solidFill>
                <a:srgbClr val="FFFF00"/>
              </a:solidFill>
              <a:prstDash val="solid"/>
              <a:round/>
            </a:ln>
          </c:spPr>
          <c:marker>
            <c:symbol val="triangle"/>
            <c:size val="5"/>
            <c:spPr>
              <a:solidFill>
                <a:srgbClr val="FFFF00"/>
              </a:solidFill>
              <a:ln w="6350" cap="flat" cmpd="sng" algn="ctr">
                <a:solidFill>
                  <a:srgbClr val="FFFF00"/>
                </a:solidFill>
                <a:prstDash val="solid"/>
                <a:round/>
              </a:ln>
            </c:spPr>
          </c:marker>
          <c:dLbls>
            <c:delete val="1"/>
          </c:dLbls>
          <c:val>
            <c:numRef>
              <c:f>[2022年衡阳气象站气象统计.XLS]图形!$B$169:$Y$169</c:f>
              <c:numCache>
                <c:formatCode>General</c:formatCode>
                <c:ptCount val="24"/>
                <c:pt idx="0">
                  <c:v>1.73000001907349</c:v>
                </c:pt>
                <c:pt idx="1">
                  <c:v>1.5900000333786</c:v>
                </c:pt>
                <c:pt idx="2">
                  <c:v>1.5</c:v>
                </c:pt>
                <c:pt idx="3">
                  <c:v>1.37999999523163</c:v>
                </c:pt>
                <c:pt idx="4">
                  <c:v>1.52999997138977</c:v>
                </c:pt>
                <c:pt idx="5">
                  <c:v>1.42999994754791</c:v>
                </c:pt>
                <c:pt idx="6">
                  <c:v>1.5</c:v>
                </c:pt>
                <c:pt idx="7">
                  <c:v>1.57000005245209</c:v>
                </c:pt>
                <c:pt idx="8">
                  <c:v>1.94000005722046</c:v>
                </c:pt>
                <c:pt idx="9">
                  <c:v>2.01999998092651</c:v>
                </c:pt>
                <c:pt idx="10">
                  <c:v>2.17000007629395</c:v>
                </c:pt>
                <c:pt idx="11">
                  <c:v>2.3199999332428</c:v>
                </c:pt>
                <c:pt idx="12">
                  <c:v>2.41000008583069</c:v>
                </c:pt>
                <c:pt idx="13">
                  <c:v>2.42000007629395</c:v>
                </c:pt>
                <c:pt idx="14">
                  <c:v>2.6800000667572</c:v>
                </c:pt>
                <c:pt idx="15">
                  <c:v>2.64000010490417</c:v>
                </c:pt>
                <c:pt idx="16">
                  <c:v>2.80999994277954</c:v>
                </c:pt>
                <c:pt idx="17">
                  <c:v>2.57999992370605</c:v>
                </c:pt>
                <c:pt idx="18">
                  <c:v>2.40000009536743</c:v>
                </c:pt>
                <c:pt idx="19">
                  <c:v>2.20000004768372</c:v>
                </c:pt>
                <c:pt idx="20">
                  <c:v>2.29999995231628</c:v>
                </c:pt>
                <c:pt idx="21">
                  <c:v>2.20000004768372</c:v>
                </c:pt>
                <c:pt idx="22">
                  <c:v>1.96000003814697</c:v>
                </c:pt>
                <c:pt idx="23">
                  <c:v>1.87999999523163</c:v>
                </c:pt>
              </c:numCache>
            </c:numRef>
          </c:val>
          <c:smooth val="0"/>
        </c:ser>
        <c:ser>
          <c:idx val="3"/>
          <c:order val="3"/>
          <c:tx>
            <c:strRef>
              <c:f>[2022年衡阳气象站气象统计.XLS]图形!$A$170</c:f>
              <c:strCache>
                <c:ptCount val="1"/>
                <c:pt idx="0">
                  <c:v>冬季                </c:v>
                </c:pt>
              </c:strCache>
            </c:strRef>
          </c:tx>
          <c:spPr>
            <a:ln w="12700" cap="rnd" cmpd="sng" algn="ctr">
              <a:solidFill>
                <a:srgbClr val="00FFFF"/>
              </a:solidFill>
              <a:prstDash val="solid"/>
              <a:round/>
            </a:ln>
          </c:spPr>
          <c:marker>
            <c:symbol val="x"/>
            <c:size val="5"/>
            <c:spPr>
              <a:noFill/>
              <a:ln w="6350" cap="flat" cmpd="sng" algn="ctr">
                <a:solidFill>
                  <a:srgbClr val="00FFFF"/>
                </a:solidFill>
                <a:prstDash val="solid"/>
                <a:round/>
              </a:ln>
            </c:spPr>
          </c:marker>
          <c:dLbls>
            <c:delete val="1"/>
          </c:dLbls>
          <c:val>
            <c:numRef>
              <c:f>[2022年衡阳气象站气象统计.XLS]图形!$B$170:$Y$170</c:f>
              <c:numCache>
                <c:formatCode>General</c:formatCode>
                <c:ptCount val="24"/>
                <c:pt idx="0">
                  <c:v>1.24000000953674</c:v>
                </c:pt>
                <c:pt idx="1">
                  <c:v>1.29999995231628</c:v>
                </c:pt>
                <c:pt idx="2">
                  <c:v>1.19000005722046</c:v>
                </c:pt>
                <c:pt idx="3">
                  <c:v>1.14999997615814</c:v>
                </c:pt>
                <c:pt idx="4">
                  <c:v>1.21000003814697</c:v>
                </c:pt>
                <c:pt idx="5">
                  <c:v>1.21000003814697</c:v>
                </c:pt>
                <c:pt idx="6">
                  <c:v>1.20000004768372</c:v>
                </c:pt>
                <c:pt idx="7">
                  <c:v>1.1599999666214</c:v>
                </c:pt>
                <c:pt idx="8">
                  <c:v>1.25999999046326</c:v>
                </c:pt>
                <c:pt idx="9">
                  <c:v>1.35000002384186</c:v>
                </c:pt>
                <c:pt idx="10">
                  <c:v>1.55999994277954</c:v>
                </c:pt>
                <c:pt idx="11">
                  <c:v>1.52999997138977</c:v>
                </c:pt>
                <c:pt idx="12">
                  <c:v>1.54999995231628</c:v>
                </c:pt>
                <c:pt idx="13">
                  <c:v>1.57000005245209</c:v>
                </c:pt>
                <c:pt idx="14">
                  <c:v>1.53999996185303</c:v>
                </c:pt>
                <c:pt idx="15">
                  <c:v>1.55999994277954</c:v>
                </c:pt>
                <c:pt idx="16">
                  <c:v>1.5900000333786</c:v>
                </c:pt>
                <c:pt idx="17">
                  <c:v>1.70000004768372</c:v>
                </c:pt>
                <c:pt idx="18">
                  <c:v>1.70000004768372</c:v>
                </c:pt>
                <c:pt idx="19">
                  <c:v>1.53999996185303</c:v>
                </c:pt>
                <c:pt idx="20">
                  <c:v>1.49000000953674</c:v>
                </c:pt>
                <c:pt idx="21">
                  <c:v>1.48000001907349</c:v>
                </c:pt>
                <c:pt idx="22">
                  <c:v>1.35000002384186</c:v>
                </c:pt>
                <c:pt idx="23">
                  <c:v>1.19000005722046</c:v>
                </c:pt>
              </c:numCache>
            </c:numRef>
          </c:val>
          <c:smooth val="0"/>
        </c:ser>
        <c:dLbls>
          <c:showLegendKey val="0"/>
          <c:showVal val="0"/>
          <c:showCatName val="0"/>
          <c:showSerName val="0"/>
          <c:showPercent val="0"/>
          <c:showBubbleSize val="0"/>
        </c:dLbls>
        <c:marker val="1"/>
        <c:smooth val="0"/>
        <c:axId val="126221696"/>
        <c:axId val="127936000"/>
      </c:lineChart>
      <c:catAx>
        <c:axId val="126221696"/>
        <c:scaling>
          <c:orientation val="minMax"/>
        </c:scaling>
        <c:delete val="0"/>
        <c:axPos val="b"/>
        <c:majorTickMark val="in"/>
        <c:minorTickMark val="none"/>
        <c:tickLblPos val="nextTo"/>
        <c:spPr>
          <a:ln w="3175" cap="flat" cmpd="sng" algn="ctr">
            <a:solidFill>
              <a:srgbClr val="000000"/>
            </a:solidFill>
            <a:prstDash val="solid"/>
            <a:round/>
          </a:ln>
        </c:spPr>
        <c:txPr>
          <a:bodyPr rot="-600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127936000"/>
        <c:crosses val="autoZero"/>
        <c:auto val="1"/>
        <c:lblAlgn val="ctr"/>
        <c:lblOffset val="100"/>
        <c:noMultiLvlLbl val="0"/>
      </c:catAx>
      <c:valAx>
        <c:axId val="127936000"/>
        <c:scaling>
          <c:orientation val="minMax"/>
        </c:scaling>
        <c:delete val="0"/>
        <c:axPos val="l"/>
        <c:majorGridlines>
          <c:spPr>
            <a:ln w="3175" cap="flat" cmpd="sng" algn="ctr">
              <a:solidFill>
                <a:srgbClr val="000000">
                  <a:alpha val="100000"/>
                </a:srgbClr>
              </a:solidFill>
              <a:prstDash val="solid"/>
              <a:round/>
            </a:ln>
          </c:spPr>
        </c:majorGridlines>
        <c:title>
          <c:tx>
            <c:rich>
              <a:bodyPr rot="-5400000" spcFirstLastPara="0" vertOverflow="ellipsis" vert="horz" wrap="square" anchor="ctr" anchorCtr="1"/>
              <a:lstStyle/>
              <a:p>
                <a:pPr defTabSz="914400">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t>风速(m/s)</a:t>
                </a:r>
                <a:endParaRPr sz="1200" b="0" i="0" u="none" strike="noStrike" baseline="0">
                  <a:solidFill>
                    <a:srgbClr val="000000"/>
                  </a:solidFill>
                  <a:latin typeface="宋体" panose="02010600030101010101" charset="-122"/>
                  <a:ea typeface="宋体" panose="02010600030101010101" charset="-122"/>
                  <a:cs typeface="宋体" panose="02010600030101010101" charset="-122"/>
                </a:endParaRPr>
              </a:p>
            </c:rich>
          </c:tx>
          <c:layout/>
          <c:overlay val="0"/>
        </c:title>
        <c:numFmt formatCode="0.00_ " sourceLinked="0"/>
        <c:majorTickMark val="in"/>
        <c:minorTickMark val="none"/>
        <c:tickLblPos val="nextTo"/>
        <c:spPr>
          <a:ln w="3175" cap="flat" cmpd="sng" algn="ctr">
            <a:solidFill>
              <a:srgbClr val="000000"/>
            </a:solidFill>
            <a:prstDash val="solid"/>
            <a:round/>
          </a:ln>
        </c:spPr>
        <c:txPr>
          <a:bodyPr rot="-600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126221696"/>
        <c:crosses val="autoZero"/>
        <c:crossBetween val="between"/>
      </c:valAx>
      <c:spPr>
        <a:solidFill>
          <a:srgbClr val="C0C0C0">
            <a:alpha val="100000"/>
          </a:srgbClr>
        </a:solidFill>
        <a:ln w="12700">
          <a:solidFill>
            <a:srgbClr val="808080">
              <a:alpha val="100000"/>
            </a:srgbClr>
          </a:solidFill>
          <a:prstDash val="solid"/>
        </a:ln>
      </c:spPr>
    </c:plotArea>
    <c:legend>
      <c:legendPos val="r"/>
      <c:layout>
        <c:manualLayout>
          <c:xMode val="edge"/>
          <c:yMode val="edge"/>
          <c:x val="0.85975"/>
          <c:y val="0.18475"/>
          <c:w val="0.12568306010929"/>
          <c:h val="0.505446623093682"/>
        </c:manualLayout>
      </c:layout>
      <c:overlay val="0"/>
      <c:spPr>
        <a:solidFill>
          <a:srgbClr val="FFFFFF"/>
        </a:solidFill>
        <a:ln w="3175">
          <a:solidFill>
            <a:srgbClr val="000000">
              <a:alpha val="100000"/>
            </a:srgbClr>
          </a:solidFill>
          <a:prstDash val="soli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legend>
    <c:plotVisOnly val="1"/>
    <c:dispBlanksAs val="gap"/>
    <c:showDLblsOverMax val="0"/>
    <c:extLst>
      <c:ext uri="{0b15fc19-7d7d-44ad-8c2d-2c3a37ce22c3}">
        <chartProps xmlns="https://web.wps.cn/et/2018/main" chartId="{be5fc138-f9f0-4bd1-8d95-d655e73d4998}"/>
      </c:ext>
    </c:extLst>
  </c:chart>
  <c:spPr>
    <a:solidFill>
      <a:srgbClr val="FFFFFF"/>
    </a:solidFill>
    <a:ln w="3175" cap="flat" cmpd="sng" algn="ctr">
      <a:solidFill>
        <a:srgbClr val="000000">
          <a:alpha val="100000"/>
        </a:srgbClr>
      </a:solidFill>
      <a:prstDash val="solid"/>
      <a:round/>
    </a:ln>
  </c:spPr>
  <c:txPr>
    <a:bodyPr rot="0" wrap="square" anchor="ctr" anchorCtr="1"/>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[2022年衡阳气象站气象统计.XLS]数据!$B$22</c:f>
              <c:strCache>
                <c:ptCount val="1"/>
                <c:pt idx="0">
                  <c:v>N</c:v>
                </c:pt>
              </c:strCache>
            </c:strRef>
          </c:tx>
          <c:spPr>
            <a:solidFill>
              <a:schemeClr val="accent1"/>
            </a:solidFill>
            <a:ln>
              <a:noFill/>
            </a:ln>
            <a:effectLst/>
          </c:spPr>
          <c:invertIfNegative val="0"/>
          <c:dLbls>
            <c:delete val="1"/>
          </c:dLbls>
          <c:cat>
            <c:strRef>
              <c:f>[2022年衡阳气象站气象统计.XLS]数据!$A$23:$A$34</c:f>
              <c:strCache>
                <c:ptCount val="12"/>
                <c:pt idx="0">
                  <c:v>一月           </c:v>
                </c:pt>
                <c:pt idx="1">
                  <c:v>二月           </c:v>
                </c:pt>
                <c:pt idx="2">
                  <c:v>三月           </c:v>
                </c:pt>
                <c:pt idx="3">
                  <c:v>四月           </c:v>
                </c:pt>
                <c:pt idx="4">
                  <c:v>五月           </c:v>
                </c:pt>
                <c:pt idx="5">
                  <c:v>六月           </c:v>
                </c:pt>
                <c:pt idx="6">
                  <c:v>七月           </c:v>
                </c:pt>
                <c:pt idx="7">
                  <c:v>八月           </c:v>
                </c:pt>
                <c:pt idx="8">
                  <c:v>九月           </c:v>
                </c:pt>
                <c:pt idx="9">
                  <c:v>十月           </c:v>
                </c:pt>
                <c:pt idx="10">
                  <c:v>十一月         </c:v>
                </c:pt>
                <c:pt idx="11">
                  <c:v>十二月         </c:v>
                </c:pt>
              </c:strCache>
            </c:strRef>
          </c:cat>
          <c:val>
            <c:numRef>
              <c:f>[2022年衡阳气象站气象统计.XLS]数据!$B$23:$B$34</c:f>
              <c:numCache>
                <c:formatCode>0.00_ </c:formatCode>
                <c:ptCount val="12"/>
                <c:pt idx="0">
                  <c:v>13.710000038147</c:v>
                </c:pt>
                <c:pt idx="1">
                  <c:v>20.3899993896484</c:v>
                </c:pt>
                <c:pt idx="2">
                  <c:v>10.8900003433228</c:v>
                </c:pt>
                <c:pt idx="3">
                  <c:v>11.3900003433228</c:v>
                </c:pt>
                <c:pt idx="4">
                  <c:v>13.9799995422363</c:v>
                </c:pt>
                <c:pt idx="5">
                  <c:v>5.69000005722046</c:v>
                </c:pt>
                <c:pt idx="6">
                  <c:v>1.3400000333786</c:v>
                </c:pt>
                <c:pt idx="7">
                  <c:v>1.61000001430511</c:v>
                </c:pt>
                <c:pt idx="8">
                  <c:v>15.2799997329712</c:v>
                </c:pt>
                <c:pt idx="9">
                  <c:v>19.7600002288818</c:v>
                </c:pt>
                <c:pt idx="10">
                  <c:v>12.5</c:v>
                </c:pt>
                <c:pt idx="11">
                  <c:v>18.1499996185303</c:v>
                </c:pt>
              </c:numCache>
            </c:numRef>
          </c:val>
        </c:ser>
        <c:ser>
          <c:idx val="1"/>
          <c:order val="1"/>
          <c:tx>
            <c:strRef>
              <c:f>[2022年衡阳气象站气象统计.XLS]数据!$C$22</c:f>
              <c:strCache>
                <c:ptCount val="1"/>
                <c:pt idx="0">
                  <c:v>NNE</c:v>
                </c:pt>
              </c:strCache>
            </c:strRef>
          </c:tx>
          <c:spPr>
            <a:solidFill>
              <a:schemeClr val="accent2"/>
            </a:solidFill>
            <a:ln>
              <a:noFill/>
            </a:ln>
            <a:effectLst/>
          </c:spPr>
          <c:invertIfNegative val="0"/>
          <c:dLbls>
            <c:delete val="1"/>
          </c:dLbls>
          <c:cat>
            <c:strRef>
              <c:f>[2022年衡阳气象站气象统计.XLS]数据!$A$23:$A$34</c:f>
              <c:strCache>
                <c:ptCount val="12"/>
                <c:pt idx="0">
                  <c:v>一月           </c:v>
                </c:pt>
                <c:pt idx="1">
                  <c:v>二月           </c:v>
                </c:pt>
                <c:pt idx="2">
                  <c:v>三月           </c:v>
                </c:pt>
                <c:pt idx="3">
                  <c:v>四月           </c:v>
                </c:pt>
                <c:pt idx="4">
                  <c:v>五月           </c:v>
                </c:pt>
                <c:pt idx="5">
                  <c:v>六月           </c:v>
                </c:pt>
                <c:pt idx="6">
                  <c:v>七月           </c:v>
                </c:pt>
                <c:pt idx="7">
                  <c:v>八月           </c:v>
                </c:pt>
                <c:pt idx="8">
                  <c:v>九月           </c:v>
                </c:pt>
                <c:pt idx="9">
                  <c:v>十月           </c:v>
                </c:pt>
                <c:pt idx="10">
                  <c:v>十一月         </c:v>
                </c:pt>
                <c:pt idx="11">
                  <c:v>十二月         </c:v>
                </c:pt>
              </c:strCache>
            </c:strRef>
          </c:cat>
          <c:val>
            <c:numRef>
              <c:f>[2022年衡阳气象站气象统计.XLS]数据!$C$23:$C$34</c:f>
              <c:numCache>
                <c:formatCode>0.00_ </c:formatCode>
                <c:ptCount val="12"/>
                <c:pt idx="0">
                  <c:v>16.6700000762939</c:v>
                </c:pt>
                <c:pt idx="1">
                  <c:v>17.4099998474121</c:v>
                </c:pt>
                <c:pt idx="2">
                  <c:v>12.8999996185303</c:v>
                </c:pt>
                <c:pt idx="3">
                  <c:v>11.6700000762939</c:v>
                </c:pt>
                <c:pt idx="4">
                  <c:v>13.4399995803833</c:v>
                </c:pt>
                <c:pt idx="5">
                  <c:v>7.78000020980835</c:v>
                </c:pt>
                <c:pt idx="6">
                  <c:v>5.23999977111816</c:v>
                </c:pt>
                <c:pt idx="7">
                  <c:v>4.17000007629395</c:v>
                </c:pt>
                <c:pt idx="8">
                  <c:v>20.6900005340576</c:v>
                </c:pt>
                <c:pt idx="9">
                  <c:v>19.3500003814697</c:v>
                </c:pt>
                <c:pt idx="10">
                  <c:v>14.7200002670288</c:v>
                </c:pt>
                <c:pt idx="11">
                  <c:v>16.1299991607666</c:v>
                </c:pt>
              </c:numCache>
            </c:numRef>
          </c:val>
        </c:ser>
        <c:ser>
          <c:idx val="2"/>
          <c:order val="2"/>
          <c:tx>
            <c:strRef>
              <c:f>[2022年衡阳气象站气象统计.XLS]数据!$D$22</c:f>
              <c:strCache>
                <c:ptCount val="1"/>
                <c:pt idx="0">
                  <c:v>NE</c:v>
                </c:pt>
              </c:strCache>
            </c:strRef>
          </c:tx>
          <c:spPr>
            <a:solidFill>
              <a:schemeClr val="accent3"/>
            </a:solidFill>
            <a:ln>
              <a:noFill/>
            </a:ln>
            <a:effectLst/>
          </c:spPr>
          <c:invertIfNegative val="0"/>
          <c:dLbls>
            <c:delete val="1"/>
          </c:dLbls>
          <c:cat>
            <c:strRef>
              <c:f>[2022年衡阳气象站气象统计.XLS]数据!$A$23:$A$34</c:f>
              <c:strCache>
                <c:ptCount val="12"/>
                <c:pt idx="0">
                  <c:v>一月           </c:v>
                </c:pt>
                <c:pt idx="1">
                  <c:v>二月           </c:v>
                </c:pt>
                <c:pt idx="2">
                  <c:v>三月           </c:v>
                </c:pt>
                <c:pt idx="3">
                  <c:v>四月           </c:v>
                </c:pt>
                <c:pt idx="4">
                  <c:v>五月           </c:v>
                </c:pt>
                <c:pt idx="5">
                  <c:v>六月           </c:v>
                </c:pt>
                <c:pt idx="6">
                  <c:v>七月           </c:v>
                </c:pt>
                <c:pt idx="7">
                  <c:v>八月           </c:v>
                </c:pt>
                <c:pt idx="8">
                  <c:v>九月           </c:v>
                </c:pt>
                <c:pt idx="9">
                  <c:v>十月           </c:v>
                </c:pt>
                <c:pt idx="10">
                  <c:v>十一月         </c:v>
                </c:pt>
                <c:pt idx="11">
                  <c:v>十二月         </c:v>
                </c:pt>
              </c:strCache>
            </c:strRef>
          </c:cat>
          <c:val>
            <c:numRef>
              <c:f>[2022年衡阳气象站气象统计.XLS]数据!$D$23:$D$34</c:f>
              <c:numCache>
                <c:formatCode>0.00_ </c:formatCode>
                <c:ptCount val="12"/>
                <c:pt idx="0">
                  <c:v>24.8700008392334</c:v>
                </c:pt>
                <c:pt idx="1">
                  <c:v>16.5200004577637</c:v>
                </c:pt>
                <c:pt idx="2">
                  <c:v>19.8899993896484</c:v>
                </c:pt>
                <c:pt idx="3">
                  <c:v>14.3100004196167</c:v>
                </c:pt>
                <c:pt idx="4">
                  <c:v>13.5799999237061</c:v>
                </c:pt>
                <c:pt idx="5">
                  <c:v>10.9700002670288</c:v>
                </c:pt>
                <c:pt idx="6">
                  <c:v>13.039999961853</c:v>
                </c:pt>
                <c:pt idx="7">
                  <c:v>10.4799995422363</c:v>
                </c:pt>
                <c:pt idx="8">
                  <c:v>34.7200012207031</c:v>
                </c:pt>
                <c:pt idx="9">
                  <c:v>25.3999996185303</c:v>
                </c:pt>
                <c:pt idx="10">
                  <c:v>30.8299999237061</c:v>
                </c:pt>
                <c:pt idx="11">
                  <c:v>19.6200008392334</c:v>
                </c:pt>
              </c:numCache>
            </c:numRef>
          </c:val>
        </c:ser>
        <c:ser>
          <c:idx val="3"/>
          <c:order val="3"/>
          <c:tx>
            <c:strRef>
              <c:f>[2022年衡阳气象站气象统计.XLS]数据!$E$22</c:f>
              <c:strCache>
                <c:ptCount val="1"/>
                <c:pt idx="0">
                  <c:v>ENE</c:v>
                </c:pt>
              </c:strCache>
            </c:strRef>
          </c:tx>
          <c:spPr>
            <a:solidFill>
              <a:schemeClr val="accent4"/>
            </a:solidFill>
            <a:ln>
              <a:noFill/>
            </a:ln>
            <a:effectLst/>
          </c:spPr>
          <c:invertIfNegative val="0"/>
          <c:dLbls>
            <c:delete val="1"/>
          </c:dLbls>
          <c:cat>
            <c:strRef>
              <c:f>[2022年衡阳气象站气象统计.XLS]数据!$A$23:$A$34</c:f>
              <c:strCache>
                <c:ptCount val="12"/>
                <c:pt idx="0">
                  <c:v>一月           </c:v>
                </c:pt>
                <c:pt idx="1">
                  <c:v>二月           </c:v>
                </c:pt>
                <c:pt idx="2">
                  <c:v>三月           </c:v>
                </c:pt>
                <c:pt idx="3">
                  <c:v>四月           </c:v>
                </c:pt>
                <c:pt idx="4">
                  <c:v>五月           </c:v>
                </c:pt>
                <c:pt idx="5">
                  <c:v>六月           </c:v>
                </c:pt>
                <c:pt idx="6">
                  <c:v>七月           </c:v>
                </c:pt>
                <c:pt idx="7">
                  <c:v>八月           </c:v>
                </c:pt>
                <c:pt idx="8">
                  <c:v>九月           </c:v>
                </c:pt>
                <c:pt idx="9">
                  <c:v>十月           </c:v>
                </c:pt>
                <c:pt idx="10">
                  <c:v>十一月         </c:v>
                </c:pt>
                <c:pt idx="11">
                  <c:v>十二月         </c:v>
                </c:pt>
              </c:strCache>
            </c:strRef>
          </c:cat>
          <c:val>
            <c:numRef>
              <c:f>[2022年衡阳气象站气象统计.XLS]数据!$E$23:$E$34</c:f>
              <c:numCache>
                <c:formatCode>0.00_ </c:formatCode>
                <c:ptCount val="12"/>
                <c:pt idx="0">
                  <c:v>5.78000020980835</c:v>
                </c:pt>
                <c:pt idx="1">
                  <c:v>3.26999998092651</c:v>
                </c:pt>
                <c:pt idx="2">
                  <c:v>5.78000020980835</c:v>
                </c:pt>
                <c:pt idx="3">
                  <c:v>4.8600001335144</c:v>
                </c:pt>
                <c:pt idx="4">
                  <c:v>3.90000009536743</c:v>
                </c:pt>
                <c:pt idx="5">
                  <c:v>2.64000010490417</c:v>
                </c:pt>
                <c:pt idx="6">
                  <c:v>2.01999998092651</c:v>
                </c:pt>
                <c:pt idx="7">
                  <c:v>2.54999995231628</c:v>
                </c:pt>
                <c:pt idx="8">
                  <c:v>4.17000007629395</c:v>
                </c:pt>
                <c:pt idx="9">
                  <c:v>4.03000020980835</c:v>
                </c:pt>
                <c:pt idx="10">
                  <c:v>3.75</c:v>
                </c:pt>
                <c:pt idx="11">
                  <c:v>2.69000005722046</c:v>
                </c:pt>
              </c:numCache>
            </c:numRef>
          </c:val>
        </c:ser>
        <c:ser>
          <c:idx val="4"/>
          <c:order val="4"/>
          <c:tx>
            <c:strRef>
              <c:f>[2022年衡阳气象站气象统计.XLS]数据!$F$22</c:f>
              <c:strCache>
                <c:ptCount val="1"/>
                <c:pt idx="0">
                  <c:v>E</c:v>
                </c:pt>
              </c:strCache>
            </c:strRef>
          </c:tx>
          <c:spPr>
            <a:solidFill>
              <a:schemeClr val="accent5"/>
            </a:solidFill>
            <a:ln>
              <a:noFill/>
            </a:ln>
            <a:effectLst/>
          </c:spPr>
          <c:invertIfNegative val="0"/>
          <c:dLbls>
            <c:delete val="1"/>
          </c:dLbls>
          <c:cat>
            <c:strRef>
              <c:f>[2022年衡阳气象站气象统计.XLS]数据!$A$23:$A$34</c:f>
              <c:strCache>
                <c:ptCount val="12"/>
                <c:pt idx="0">
                  <c:v>一月           </c:v>
                </c:pt>
                <c:pt idx="1">
                  <c:v>二月           </c:v>
                </c:pt>
                <c:pt idx="2">
                  <c:v>三月           </c:v>
                </c:pt>
                <c:pt idx="3">
                  <c:v>四月           </c:v>
                </c:pt>
                <c:pt idx="4">
                  <c:v>五月           </c:v>
                </c:pt>
                <c:pt idx="5">
                  <c:v>六月           </c:v>
                </c:pt>
                <c:pt idx="6">
                  <c:v>七月           </c:v>
                </c:pt>
                <c:pt idx="7">
                  <c:v>八月           </c:v>
                </c:pt>
                <c:pt idx="8">
                  <c:v>九月           </c:v>
                </c:pt>
                <c:pt idx="9">
                  <c:v>十月           </c:v>
                </c:pt>
                <c:pt idx="10">
                  <c:v>十一月         </c:v>
                </c:pt>
                <c:pt idx="11">
                  <c:v>十二月         </c:v>
                </c:pt>
              </c:strCache>
            </c:strRef>
          </c:cat>
          <c:val>
            <c:numRef>
              <c:f>[2022年衡阳气象站气象统计.XLS]数据!$F$23:$F$34</c:f>
              <c:numCache>
                <c:formatCode>0.00_ </c:formatCode>
                <c:ptCount val="12"/>
                <c:pt idx="0">
                  <c:v>1.08000004291534</c:v>
                </c:pt>
                <c:pt idx="1">
                  <c:v>1.92999994754791</c:v>
                </c:pt>
                <c:pt idx="2">
                  <c:v>3.49000000953674</c:v>
                </c:pt>
                <c:pt idx="3">
                  <c:v>3.05999994277954</c:v>
                </c:pt>
                <c:pt idx="4">
                  <c:v>2.27999997138977</c:v>
                </c:pt>
                <c:pt idx="5">
                  <c:v>1.25</c:v>
                </c:pt>
                <c:pt idx="6">
                  <c:v>1.48000001907349</c:v>
                </c:pt>
                <c:pt idx="7">
                  <c:v>3.35999989509583</c:v>
                </c:pt>
                <c:pt idx="8">
                  <c:v>1.94000005722046</c:v>
                </c:pt>
                <c:pt idx="9">
                  <c:v>0.939999997615814</c:v>
                </c:pt>
                <c:pt idx="10">
                  <c:v>2.35999989509583</c:v>
                </c:pt>
                <c:pt idx="11">
                  <c:v>1.08000004291534</c:v>
                </c:pt>
              </c:numCache>
            </c:numRef>
          </c:val>
        </c:ser>
        <c:ser>
          <c:idx val="5"/>
          <c:order val="5"/>
          <c:tx>
            <c:strRef>
              <c:f>[2022年衡阳气象站气象统计.XLS]数据!$G$22</c:f>
              <c:strCache>
                <c:ptCount val="1"/>
                <c:pt idx="0">
                  <c:v>ESE</c:v>
                </c:pt>
              </c:strCache>
            </c:strRef>
          </c:tx>
          <c:spPr>
            <a:solidFill>
              <a:schemeClr val="accent6"/>
            </a:solidFill>
            <a:ln>
              <a:noFill/>
            </a:ln>
            <a:effectLst/>
          </c:spPr>
          <c:invertIfNegative val="0"/>
          <c:dLbls>
            <c:delete val="1"/>
          </c:dLbls>
          <c:cat>
            <c:strRef>
              <c:f>[2022年衡阳气象站气象统计.XLS]数据!$A$23:$A$34</c:f>
              <c:strCache>
                <c:ptCount val="12"/>
                <c:pt idx="0">
                  <c:v>一月           </c:v>
                </c:pt>
                <c:pt idx="1">
                  <c:v>二月           </c:v>
                </c:pt>
                <c:pt idx="2">
                  <c:v>三月           </c:v>
                </c:pt>
                <c:pt idx="3">
                  <c:v>四月           </c:v>
                </c:pt>
                <c:pt idx="4">
                  <c:v>五月           </c:v>
                </c:pt>
                <c:pt idx="5">
                  <c:v>六月           </c:v>
                </c:pt>
                <c:pt idx="6">
                  <c:v>七月           </c:v>
                </c:pt>
                <c:pt idx="7">
                  <c:v>八月           </c:v>
                </c:pt>
                <c:pt idx="8">
                  <c:v>九月           </c:v>
                </c:pt>
                <c:pt idx="9">
                  <c:v>十月           </c:v>
                </c:pt>
                <c:pt idx="10">
                  <c:v>十一月         </c:v>
                </c:pt>
                <c:pt idx="11">
                  <c:v>十二月         </c:v>
                </c:pt>
              </c:strCache>
            </c:strRef>
          </c:cat>
          <c:val>
            <c:numRef>
              <c:f>[2022年衡阳气象站气象统计.XLS]数据!$G$23:$G$34</c:f>
              <c:numCache>
                <c:formatCode>0.00_ </c:formatCode>
                <c:ptCount val="12"/>
                <c:pt idx="0">
                  <c:v>0.810000002384186</c:v>
                </c:pt>
                <c:pt idx="1">
                  <c:v>0.150000005960464</c:v>
                </c:pt>
                <c:pt idx="2">
                  <c:v>3.49000000953674</c:v>
                </c:pt>
                <c:pt idx="3">
                  <c:v>2.22000002861023</c:v>
                </c:pt>
                <c:pt idx="4">
                  <c:v>3.08999991416931</c:v>
                </c:pt>
                <c:pt idx="5">
                  <c:v>2.77999997138977</c:v>
                </c:pt>
                <c:pt idx="6">
                  <c:v>2.01999998092651</c:v>
                </c:pt>
                <c:pt idx="7">
                  <c:v>6.84999990463257</c:v>
                </c:pt>
                <c:pt idx="8">
                  <c:v>0.419999986886978</c:v>
                </c:pt>
                <c:pt idx="9">
                  <c:v>0.670000016689301</c:v>
                </c:pt>
                <c:pt idx="10">
                  <c:v>1.80999994277954</c:v>
                </c:pt>
                <c:pt idx="11">
                  <c:v>1.48000001907349</c:v>
                </c:pt>
              </c:numCache>
            </c:numRef>
          </c:val>
        </c:ser>
        <c:ser>
          <c:idx val="6"/>
          <c:order val="6"/>
          <c:tx>
            <c:strRef>
              <c:f>[2022年衡阳气象站气象统计.XLS]数据!$H$22</c:f>
              <c:strCache>
                <c:ptCount val="1"/>
                <c:pt idx="0">
                  <c:v>SE</c:v>
                </c:pt>
              </c:strCache>
            </c:strRef>
          </c:tx>
          <c:spPr>
            <a:solidFill>
              <a:schemeClr val="accent1">
                <a:lumMod val="60000"/>
              </a:schemeClr>
            </a:solidFill>
            <a:ln>
              <a:noFill/>
            </a:ln>
            <a:effectLst/>
          </c:spPr>
          <c:invertIfNegative val="0"/>
          <c:dLbls>
            <c:delete val="1"/>
          </c:dLbls>
          <c:cat>
            <c:strRef>
              <c:f>[2022年衡阳气象站气象统计.XLS]数据!$A$23:$A$34</c:f>
              <c:strCache>
                <c:ptCount val="12"/>
                <c:pt idx="0">
                  <c:v>一月           </c:v>
                </c:pt>
                <c:pt idx="1">
                  <c:v>二月           </c:v>
                </c:pt>
                <c:pt idx="2">
                  <c:v>三月           </c:v>
                </c:pt>
                <c:pt idx="3">
                  <c:v>四月           </c:v>
                </c:pt>
                <c:pt idx="4">
                  <c:v>五月           </c:v>
                </c:pt>
                <c:pt idx="5">
                  <c:v>六月           </c:v>
                </c:pt>
                <c:pt idx="6">
                  <c:v>七月           </c:v>
                </c:pt>
                <c:pt idx="7">
                  <c:v>八月           </c:v>
                </c:pt>
                <c:pt idx="8">
                  <c:v>九月           </c:v>
                </c:pt>
                <c:pt idx="9">
                  <c:v>十月           </c:v>
                </c:pt>
                <c:pt idx="10">
                  <c:v>十一月         </c:v>
                </c:pt>
                <c:pt idx="11">
                  <c:v>十二月         </c:v>
                </c:pt>
              </c:strCache>
            </c:strRef>
          </c:cat>
          <c:val>
            <c:numRef>
              <c:f>[2022年衡阳气象站气象统计.XLS]数据!$H$23:$H$34</c:f>
              <c:numCache>
                <c:formatCode>0.00_ </c:formatCode>
                <c:ptCount val="12"/>
                <c:pt idx="0">
                  <c:v>0.270000010728836</c:v>
                </c:pt>
                <c:pt idx="1">
                  <c:v>0.600000023841858</c:v>
                </c:pt>
                <c:pt idx="2">
                  <c:v>3.75999999046326</c:v>
                </c:pt>
                <c:pt idx="3">
                  <c:v>4.17000007629395</c:v>
                </c:pt>
                <c:pt idx="4">
                  <c:v>2.8199999332428</c:v>
                </c:pt>
                <c:pt idx="5">
                  <c:v>4.44000005722046</c:v>
                </c:pt>
                <c:pt idx="6">
                  <c:v>3.23000001907349</c:v>
                </c:pt>
                <c:pt idx="7">
                  <c:v>7.65999984741211</c:v>
                </c:pt>
                <c:pt idx="8">
                  <c:v>0.689999997615814</c:v>
                </c:pt>
                <c:pt idx="9">
                  <c:v>0.540000021457672</c:v>
                </c:pt>
                <c:pt idx="10">
                  <c:v>3.32999992370605</c:v>
                </c:pt>
                <c:pt idx="11">
                  <c:v>0</c:v>
                </c:pt>
              </c:numCache>
            </c:numRef>
          </c:val>
        </c:ser>
        <c:ser>
          <c:idx val="7"/>
          <c:order val="7"/>
          <c:tx>
            <c:strRef>
              <c:f>[2022年衡阳气象站气象统计.XLS]数据!$I$22</c:f>
              <c:strCache>
                <c:ptCount val="1"/>
                <c:pt idx="0">
                  <c:v>SSE</c:v>
                </c:pt>
              </c:strCache>
            </c:strRef>
          </c:tx>
          <c:spPr>
            <a:solidFill>
              <a:schemeClr val="accent2">
                <a:lumMod val="60000"/>
              </a:schemeClr>
            </a:solidFill>
            <a:ln>
              <a:noFill/>
            </a:ln>
            <a:effectLst/>
          </c:spPr>
          <c:invertIfNegative val="0"/>
          <c:dLbls>
            <c:delete val="1"/>
          </c:dLbls>
          <c:cat>
            <c:strRef>
              <c:f>[2022年衡阳气象站气象统计.XLS]数据!$A$23:$A$34</c:f>
              <c:strCache>
                <c:ptCount val="12"/>
                <c:pt idx="0">
                  <c:v>一月           </c:v>
                </c:pt>
                <c:pt idx="1">
                  <c:v>二月           </c:v>
                </c:pt>
                <c:pt idx="2">
                  <c:v>三月           </c:v>
                </c:pt>
                <c:pt idx="3">
                  <c:v>四月           </c:v>
                </c:pt>
                <c:pt idx="4">
                  <c:v>五月           </c:v>
                </c:pt>
                <c:pt idx="5">
                  <c:v>六月           </c:v>
                </c:pt>
                <c:pt idx="6">
                  <c:v>七月           </c:v>
                </c:pt>
                <c:pt idx="7">
                  <c:v>八月           </c:v>
                </c:pt>
                <c:pt idx="8">
                  <c:v>九月           </c:v>
                </c:pt>
                <c:pt idx="9">
                  <c:v>十月           </c:v>
                </c:pt>
                <c:pt idx="10">
                  <c:v>十一月         </c:v>
                </c:pt>
                <c:pt idx="11">
                  <c:v>十二月         </c:v>
                </c:pt>
              </c:strCache>
            </c:strRef>
          </c:cat>
          <c:val>
            <c:numRef>
              <c:f>[2022年衡阳气象站气象统计.XLS]数据!$I$23:$I$34</c:f>
              <c:numCache>
                <c:formatCode>0.00_ </c:formatCode>
                <c:ptCount val="12"/>
                <c:pt idx="0">
                  <c:v>1.21000003814697</c:v>
                </c:pt>
                <c:pt idx="1">
                  <c:v>0.600000023841858</c:v>
                </c:pt>
                <c:pt idx="2">
                  <c:v>4.57000017166138</c:v>
                </c:pt>
                <c:pt idx="3">
                  <c:v>7.07999992370605</c:v>
                </c:pt>
                <c:pt idx="4">
                  <c:v>5.65000009536743</c:v>
                </c:pt>
                <c:pt idx="5">
                  <c:v>14.3100004196167</c:v>
                </c:pt>
                <c:pt idx="6">
                  <c:v>8.19999980926514</c:v>
                </c:pt>
                <c:pt idx="7">
                  <c:v>16.3999996185303</c:v>
                </c:pt>
                <c:pt idx="8">
                  <c:v>1.11000001430511</c:v>
                </c:pt>
                <c:pt idx="9">
                  <c:v>1.61000001430511</c:v>
                </c:pt>
                <c:pt idx="10">
                  <c:v>3.75</c:v>
                </c:pt>
                <c:pt idx="11">
                  <c:v>1.21000003814697</c:v>
                </c:pt>
              </c:numCache>
            </c:numRef>
          </c:val>
        </c:ser>
        <c:ser>
          <c:idx val="8"/>
          <c:order val="8"/>
          <c:tx>
            <c:strRef>
              <c:f>[2022年衡阳气象站气象统计.XLS]数据!$J$22</c:f>
              <c:strCache>
                <c:ptCount val="1"/>
                <c:pt idx="0">
                  <c:v>S</c:v>
                </c:pt>
              </c:strCache>
            </c:strRef>
          </c:tx>
          <c:spPr>
            <a:solidFill>
              <a:schemeClr val="accent3">
                <a:lumMod val="60000"/>
              </a:schemeClr>
            </a:solidFill>
            <a:ln>
              <a:noFill/>
            </a:ln>
            <a:effectLst/>
          </c:spPr>
          <c:invertIfNegative val="0"/>
          <c:dLbls>
            <c:delete val="1"/>
          </c:dLbls>
          <c:cat>
            <c:strRef>
              <c:f>[2022年衡阳气象站气象统计.XLS]数据!$A$23:$A$34</c:f>
              <c:strCache>
                <c:ptCount val="12"/>
                <c:pt idx="0">
                  <c:v>一月           </c:v>
                </c:pt>
                <c:pt idx="1">
                  <c:v>二月           </c:v>
                </c:pt>
                <c:pt idx="2">
                  <c:v>三月           </c:v>
                </c:pt>
                <c:pt idx="3">
                  <c:v>四月           </c:v>
                </c:pt>
                <c:pt idx="4">
                  <c:v>五月           </c:v>
                </c:pt>
                <c:pt idx="5">
                  <c:v>六月           </c:v>
                </c:pt>
                <c:pt idx="6">
                  <c:v>七月           </c:v>
                </c:pt>
                <c:pt idx="7">
                  <c:v>八月           </c:v>
                </c:pt>
                <c:pt idx="8">
                  <c:v>九月           </c:v>
                </c:pt>
                <c:pt idx="9">
                  <c:v>十月           </c:v>
                </c:pt>
                <c:pt idx="10">
                  <c:v>十一月         </c:v>
                </c:pt>
                <c:pt idx="11">
                  <c:v>十二月         </c:v>
                </c:pt>
              </c:strCache>
            </c:strRef>
          </c:cat>
          <c:val>
            <c:numRef>
              <c:f>[2022年衡阳气象站气象统计.XLS]数据!$J$23:$J$34</c:f>
              <c:numCache>
                <c:formatCode>0.00_ </c:formatCode>
                <c:ptCount val="12"/>
                <c:pt idx="0">
                  <c:v>1.3400000333786</c:v>
                </c:pt>
                <c:pt idx="1">
                  <c:v>1.03999996185303</c:v>
                </c:pt>
                <c:pt idx="2">
                  <c:v>6.44999980926514</c:v>
                </c:pt>
                <c:pt idx="3">
                  <c:v>9.17000007629395</c:v>
                </c:pt>
                <c:pt idx="4">
                  <c:v>6.84999990463257</c:v>
                </c:pt>
                <c:pt idx="5">
                  <c:v>24.0300006866455</c:v>
                </c:pt>
                <c:pt idx="6">
                  <c:v>27.2800006866455</c:v>
                </c:pt>
                <c:pt idx="7">
                  <c:v>23.6599998474121</c:v>
                </c:pt>
                <c:pt idx="8">
                  <c:v>1.80999994277954</c:v>
                </c:pt>
                <c:pt idx="9">
                  <c:v>5.23999977111816</c:v>
                </c:pt>
                <c:pt idx="10">
                  <c:v>5.55999994277954</c:v>
                </c:pt>
                <c:pt idx="11">
                  <c:v>1.61000001430511</c:v>
                </c:pt>
              </c:numCache>
            </c:numRef>
          </c:val>
        </c:ser>
        <c:ser>
          <c:idx val="9"/>
          <c:order val="9"/>
          <c:tx>
            <c:strRef>
              <c:f>[2022年衡阳气象站气象统计.XLS]数据!$K$22</c:f>
              <c:strCache>
                <c:ptCount val="1"/>
                <c:pt idx="0">
                  <c:v>SSW</c:v>
                </c:pt>
              </c:strCache>
            </c:strRef>
          </c:tx>
          <c:spPr>
            <a:solidFill>
              <a:schemeClr val="accent4">
                <a:lumMod val="60000"/>
              </a:schemeClr>
            </a:solidFill>
            <a:ln>
              <a:noFill/>
            </a:ln>
            <a:effectLst/>
          </c:spPr>
          <c:invertIfNegative val="0"/>
          <c:dLbls>
            <c:delete val="1"/>
          </c:dLbls>
          <c:cat>
            <c:strRef>
              <c:f>[2022年衡阳气象站气象统计.XLS]数据!$A$23:$A$34</c:f>
              <c:strCache>
                <c:ptCount val="12"/>
                <c:pt idx="0">
                  <c:v>一月           </c:v>
                </c:pt>
                <c:pt idx="1">
                  <c:v>二月           </c:v>
                </c:pt>
                <c:pt idx="2">
                  <c:v>三月           </c:v>
                </c:pt>
                <c:pt idx="3">
                  <c:v>四月           </c:v>
                </c:pt>
                <c:pt idx="4">
                  <c:v>五月           </c:v>
                </c:pt>
                <c:pt idx="5">
                  <c:v>六月           </c:v>
                </c:pt>
                <c:pt idx="6">
                  <c:v>七月           </c:v>
                </c:pt>
                <c:pt idx="7">
                  <c:v>八月           </c:v>
                </c:pt>
                <c:pt idx="8">
                  <c:v>九月           </c:v>
                </c:pt>
                <c:pt idx="9">
                  <c:v>十月           </c:v>
                </c:pt>
                <c:pt idx="10">
                  <c:v>十一月         </c:v>
                </c:pt>
                <c:pt idx="11">
                  <c:v>十二月         </c:v>
                </c:pt>
              </c:strCache>
            </c:strRef>
          </c:cat>
          <c:val>
            <c:numRef>
              <c:f>[2022年衡阳气象站气象统计.XLS]数据!$K$23:$K$34</c:f>
              <c:numCache>
                <c:formatCode>0.00_ </c:formatCode>
                <c:ptCount val="12"/>
                <c:pt idx="0">
                  <c:v>1.87999999523163</c:v>
                </c:pt>
                <c:pt idx="1">
                  <c:v>0.889999985694885</c:v>
                </c:pt>
                <c:pt idx="2">
                  <c:v>3.23000001907349</c:v>
                </c:pt>
                <c:pt idx="3">
                  <c:v>6.1100001335144</c:v>
                </c:pt>
                <c:pt idx="4">
                  <c:v>4.69999980926514</c:v>
                </c:pt>
                <c:pt idx="5">
                  <c:v>10.6899995803833</c:v>
                </c:pt>
                <c:pt idx="6">
                  <c:v>16.1299991607666</c:v>
                </c:pt>
                <c:pt idx="7">
                  <c:v>11.1599998474121</c:v>
                </c:pt>
                <c:pt idx="8">
                  <c:v>0.970000028610229</c:v>
                </c:pt>
                <c:pt idx="9">
                  <c:v>2.42000007629395</c:v>
                </c:pt>
                <c:pt idx="10">
                  <c:v>3.05999994277954</c:v>
                </c:pt>
                <c:pt idx="11">
                  <c:v>2.27999997138977</c:v>
                </c:pt>
              </c:numCache>
            </c:numRef>
          </c:val>
        </c:ser>
        <c:ser>
          <c:idx val="10"/>
          <c:order val="10"/>
          <c:tx>
            <c:strRef>
              <c:f>[2022年衡阳气象站气象统计.XLS]数据!$L$22</c:f>
              <c:strCache>
                <c:ptCount val="1"/>
                <c:pt idx="0">
                  <c:v>SW</c:v>
                </c:pt>
              </c:strCache>
            </c:strRef>
          </c:tx>
          <c:spPr>
            <a:solidFill>
              <a:schemeClr val="accent5">
                <a:lumMod val="60000"/>
              </a:schemeClr>
            </a:solidFill>
            <a:ln>
              <a:noFill/>
            </a:ln>
            <a:effectLst/>
          </c:spPr>
          <c:invertIfNegative val="0"/>
          <c:dLbls>
            <c:delete val="1"/>
          </c:dLbls>
          <c:cat>
            <c:strRef>
              <c:f>[2022年衡阳气象站气象统计.XLS]数据!$A$23:$A$34</c:f>
              <c:strCache>
                <c:ptCount val="12"/>
                <c:pt idx="0">
                  <c:v>一月           </c:v>
                </c:pt>
                <c:pt idx="1">
                  <c:v>二月           </c:v>
                </c:pt>
                <c:pt idx="2">
                  <c:v>三月           </c:v>
                </c:pt>
                <c:pt idx="3">
                  <c:v>四月           </c:v>
                </c:pt>
                <c:pt idx="4">
                  <c:v>五月           </c:v>
                </c:pt>
                <c:pt idx="5">
                  <c:v>六月           </c:v>
                </c:pt>
                <c:pt idx="6">
                  <c:v>七月           </c:v>
                </c:pt>
                <c:pt idx="7">
                  <c:v>八月           </c:v>
                </c:pt>
                <c:pt idx="8">
                  <c:v>九月           </c:v>
                </c:pt>
                <c:pt idx="9">
                  <c:v>十月           </c:v>
                </c:pt>
                <c:pt idx="10">
                  <c:v>十一月         </c:v>
                </c:pt>
                <c:pt idx="11">
                  <c:v>十二月         </c:v>
                </c:pt>
              </c:strCache>
            </c:strRef>
          </c:cat>
          <c:val>
            <c:numRef>
              <c:f>[2022年衡阳气象站气象统计.XLS]数据!$L$23:$L$34</c:f>
              <c:numCache>
                <c:formatCode>0.00_ </c:formatCode>
                <c:ptCount val="12"/>
                <c:pt idx="0">
                  <c:v>1.21000003814697</c:v>
                </c:pt>
                <c:pt idx="1">
                  <c:v>0.889999985694885</c:v>
                </c:pt>
                <c:pt idx="2">
                  <c:v>4.69999980926514</c:v>
                </c:pt>
                <c:pt idx="3">
                  <c:v>5.69000005722046</c:v>
                </c:pt>
                <c:pt idx="4">
                  <c:v>3.23000001907349</c:v>
                </c:pt>
                <c:pt idx="5">
                  <c:v>5.28000020980835</c:v>
                </c:pt>
                <c:pt idx="6">
                  <c:v>9.53999996185303</c:v>
                </c:pt>
                <c:pt idx="7">
                  <c:v>6.17999982833862</c:v>
                </c:pt>
                <c:pt idx="8">
                  <c:v>0.970000028610229</c:v>
                </c:pt>
                <c:pt idx="9">
                  <c:v>2.42000007629395</c:v>
                </c:pt>
                <c:pt idx="10">
                  <c:v>1.66999995708466</c:v>
                </c:pt>
                <c:pt idx="11">
                  <c:v>1.61000001430511</c:v>
                </c:pt>
              </c:numCache>
            </c:numRef>
          </c:val>
        </c:ser>
        <c:ser>
          <c:idx val="11"/>
          <c:order val="11"/>
          <c:tx>
            <c:strRef>
              <c:f>[2022年衡阳气象站气象统计.XLS]数据!$M$22</c:f>
              <c:strCache>
                <c:ptCount val="1"/>
                <c:pt idx="0">
                  <c:v>WSW</c:v>
                </c:pt>
              </c:strCache>
            </c:strRef>
          </c:tx>
          <c:spPr>
            <a:solidFill>
              <a:schemeClr val="accent6">
                <a:lumMod val="60000"/>
              </a:schemeClr>
            </a:solidFill>
            <a:ln>
              <a:noFill/>
            </a:ln>
            <a:effectLst/>
          </c:spPr>
          <c:invertIfNegative val="0"/>
          <c:dLbls>
            <c:delete val="1"/>
          </c:dLbls>
          <c:cat>
            <c:strRef>
              <c:f>[2022年衡阳气象站气象统计.XLS]数据!$A$23:$A$34</c:f>
              <c:strCache>
                <c:ptCount val="12"/>
                <c:pt idx="0">
                  <c:v>一月           </c:v>
                </c:pt>
                <c:pt idx="1">
                  <c:v>二月           </c:v>
                </c:pt>
                <c:pt idx="2">
                  <c:v>三月           </c:v>
                </c:pt>
                <c:pt idx="3">
                  <c:v>四月           </c:v>
                </c:pt>
                <c:pt idx="4">
                  <c:v>五月           </c:v>
                </c:pt>
                <c:pt idx="5">
                  <c:v>六月           </c:v>
                </c:pt>
                <c:pt idx="6">
                  <c:v>七月           </c:v>
                </c:pt>
                <c:pt idx="7">
                  <c:v>八月           </c:v>
                </c:pt>
                <c:pt idx="8">
                  <c:v>九月           </c:v>
                </c:pt>
                <c:pt idx="9">
                  <c:v>十月           </c:v>
                </c:pt>
                <c:pt idx="10">
                  <c:v>十一月         </c:v>
                </c:pt>
                <c:pt idx="11">
                  <c:v>十二月         </c:v>
                </c:pt>
              </c:strCache>
            </c:strRef>
          </c:cat>
          <c:val>
            <c:numRef>
              <c:f>[2022年衡阳气象站气象统计.XLS]数据!$M$23:$M$34</c:f>
              <c:numCache>
                <c:formatCode>0.00_ </c:formatCode>
                <c:ptCount val="12"/>
                <c:pt idx="0">
                  <c:v>1.87999999523163</c:v>
                </c:pt>
                <c:pt idx="1">
                  <c:v>3.5699999332428</c:v>
                </c:pt>
                <c:pt idx="2">
                  <c:v>3.08999991416931</c:v>
                </c:pt>
                <c:pt idx="3">
                  <c:v>2.5</c:v>
                </c:pt>
                <c:pt idx="4">
                  <c:v>2.8199999332428</c:v>
                </c:pt>
                <c:pt idx="5">
                  <c:v>3.32999992370605</c:v>
                </c:pt>
                <c:pt idx="6">
                  <c:v>5.1100001335144</c:v>
                </c:pt>
                <c:pt idx="7">
                  <c:v>2.42000007629395</c:v>
                </c:pt>
                <c:pt idx="8">
                  <c:v>0.970000028610229</c:v>
                </c:pt>
                <c:pt idx="9">
                  <c:v>1.21000003814697</c:v>
                </c:pt>
                <c:pt idx="10">
                  <c:v>1.52999997138977</c:v>
                </c:pt>
                <c:pt idx="11">
                  <c:v>1.75</c:v>
                </c:pt>
              </c:numCache>
            </c:numRef>
          </c:val>
        </c:ser>
        <c:ser>
          <c:idx val="12"/>
          <c:order val="12"/>
          <c:tx>
            <c:strRef>
              <c:f>[2022年衡阳气象站气象统计.XLS]数据!$N$22</c:f>
              <c:strCache>
                <c:ptCount val="1"/>
                <c:pt idx="0">
                  <c:v>W</c:v>
                </c:pt>
              </c:strCache>
            </c:strRef>
          </c:tx>
          <c:spPr>
            <a:solidFill>
              <a:schemeClr val="accent1">
                <a:lumMod val="80000"/>
                <a:lumOff val="20000"/>
              </a:schemeClr>
            </a:solidFill>
            <a:ln>
              <a:noFill/>
            </a:ln>
            <a:effectLst/>
          </c:spPr>
          <c:invertIfNegative val="0"/>
          <c:dLbls>
            <c:delete val="1"/>
          </c:dLbls>
          <c:cat>
            <c:strRef>
              <c:f>[2022年衡阳气象站气象统计.XLS]数据!$A$23:$A$34</c:f>
              <c:strCache>
                <c:ptCount val="12"/>
                <c:pt idx="0">
                  <c:v>一月           </c:v>
                </c:pt>
                <c:pt idx="1">
                  <c:v>二月           </c:v>
                </c:pt>
                <c:pt idx="2">
                  <c:v>三月           </c:v>
                </c:pt>
                <c:pt idx="3">
                  <c:v>四月           </c:v>
                </c:pt>
                <c:pt idx="4">
                  <c:v>五月           </c:v>
                </c:pt>
                <c:pt idx="5">
                  <c:v>六月           </c:v>
                </c:pt>
                <c:pt idx="6">
                  <c:v>七月           </c:v>
                </c:pt>
                <c:pt idx="7">
                  <c:v>八月           </c:v>
                </c:pt>
                <c:pt idx="8">
                  <c:v>九月           </c:v>
                </c:pt>
                <c:pt idx="9">
                  <c:v>十月           </c:v>
                </c:pt>
                <c:pt idx="10">
                  <c:v>十一月         </c:v>
                </c:pt>
                <c:pt idx="11">
                  <c:v>十二月         </c:v>
                </c:pt>
              </c:strCache>
            </c:strRef>
          </c:cat>
          <c:val>
            <c:numRef>
              <c:f>[2022年衡阳气象站气象统计.XLS]数据!$N$23:$N$34</c:f>
              <c:numCache>
                <c:formatCode>0.00_ </c:formatCode>
                <c:ptCount val="12"/>
                <c:pt idx="0">
                  <c:v>3.75999999046326</c:v>
                </c:pt>
                <c:pt idx="1">
                  <c:v>4.90999984741211</c:v>
                </c:pt>
                <c:pt idx="2">
                  <c:v>2.96000003814697</c:v>
                </c:pt>
                <c:pt idx="3">
                  <c:v>2.5</c:v>
                </c:pt>
                <c:pt idx="4">
                  <c:v>3.63000011444092</c:v>
                </c:pt>
                <c:pt idx="5">
                  <c:v>2.35999989509583</c:v>
                </c:pt>
                <c:pt idx="6">
                  <c:v>3.08999991416931</c:v>
                </c:pt>
                <c:pt idx="7">
                  <c:v>1.75</c:v>
                </c:pt>
                <c:pt idx="8">
                  <c:v>1.94000005722046</c:v>
                </c:pt>
                <c:pt idx="9">
                  <c:v>1.3400000333786</c:v>
                </c:pt>
                <c:pt idx="10">
                  <c:v>1.94000005722046</c:v>
                </c:pt>
                <c:pt idx="11">
                  <c:v>4.17000007629395</c:v>
                </c:pt>
              </c:numCache>
            </c:numRef>
          </c:val>
        </c:ser>
        <c:ser>
          <c:idx val="13"/>
          <c:order val="13"/>
          <c:tx>
            <c:strRef>
              <c:f>[2022年衡阳气象站气象统计.XLS]数据!$O$22</c:f>
              <c:strCache>
                <c:ptCount val="1"/>
                <c:pt idx="0">
                  <c:v>WNW</c:v>
                </c:pt>
              </c:strCache>
            </c:strRef>
          </c:tx>
          <c:spPr>
            <a:solidFill>
              <a:schemeClr val="accent2">
                <a:lumMod val="80000"/>
                <a:lumOff val="20000"/>
              </a:schemeClr>
            </a:solidFill>
            <a:ln>
              <a:noFill/>
            </a:ln>
            <a:effectLst/>
          </c:spPr>
          <c:invertIfNegative val="0"/>
          <c:dLbls>
            <c:delete val="1"/>
          </c:dLbls>
          <c:cat>
            <c:strRef>
              <c:f>[2022年衡阳气象站气象统计.XLS]数据!$A$23:$A$34</c:f>
              <c:strCache>
                <c:ptCount val="12"/>
                <c:pt idx="0">
                  <c:v>一月           </c:v>
                </c:pt>
                <c:pt idx="1">
                  <c:v>二月           </c:v>
                </c:pt>
                <c:pt idx="2">
                  <c:v>三月           </c:v>
                </c:pt>
                <c:pt idx="3">
                  <c:v>四月           </c:v>
                </c:pt>
                <c:pt idx="4">
                  <c:v>五月           </c:v>
                </c:pt>
                <c:pt idx="5">
                  <c:v>六月           </c:v>
                </c:pt>
                <c:pt idx="6">
                  <c:v>七月           </c:v>
                </c:pt>
                <c:pt idx="7">
                  <c:v>八月           </c:v>
                </c:pt>
                <c:pt idx="8">
                  <c:v>九月           </c:v>
                </c:pt>
                <c:pt idx="9">
                  <c:v>十月           </c:v>
                </c:pt>
                <c:pt idx="10">
                  <c:v>十一月         </c:v>
                </c:pt>
                <c:pt idx="11">
                  <c:v>十二月         </c:v>
                </c:pt>
              </c:strCache>
            </c:strRef>
          </c:cat>
          <c:val>
            <c:numRef>
              <c:f>[2022年衡阳气象站气象统计.XLS]数据!$O$23:$O$34</c:f>
              <c:numCache>
                <c:formatCode>0.00_ </c:formatCode>
                <c:ptCount val="12"/>
                <c:pt idx="0">
                  <c:v>5.23999977111816</c:v>
                </c:pt>
                <c:pt idx="1">
                  <c:v>4.76000022888184</c:v>
                </c:pt>
                <c:pt idx="2">
                  <c:v>4.17000007629395</c:v>
                </c:pt>
                <c:pt idx="3">
                  <c:v>3.89000010490417</c:v>
                </c:pt>
                <c:pt idx="4">
                  <c:v>4.03000020980835</c:v>
                </c:pt>
                <c:pt idx="5">
                  <c:v>0.829999983310699</c:v>
                </c:pt>
                <c:pt idx="6">
                  <c:v>0.810000002384186</c:v>
                </c:pt>
                <c:pt idx="7">
                  <c:v>0.270000010728836</c:v>
                </c:pt>
                <c:pt idx="8">
                  <c:v>2.22000002861023</c:v>
                </c:pt>
                <c:pt idx="9">
                  <c:v>2.69000005722046</c:v>
                </c:pt>
                <c:pt idx="10">
                  <c:v>2.07999992370605</c:v>
                </c:pt>
                <c:pt idx="11">
                  <c:v>5.90999984741211</c:v>
                </c:pt>
              </c:numCache>
            </c:numRef>
          </c:val>
        </c:ser>
        <c:ser>
          <c:idx val="14"/>
          <c:order val="14"/>
          <c:tx>
            <c:strRef>
              <c:f>[2022年衡阳气象站气象统计.XLS]数据!$P$22</c:f>
              <c:strCache>
                <c:ptCount val="1"/>
                <c:pt idx="0">
                  <c:v>NW</c:v>
                </c:pt>
              </c:strCache>
            </c:strRef>
          </c:tx>
          <c:spPr>
            <a:solidFill>
              <a:schemeClr val="accent3">
                <a:lumMod val="80000"/>
                <a:lumOff val="20000"/>
              </a:schemeClr>
            </a:solidFill>
            <a:ln>
              <a:noFill/>
            </a:ln>
            <a:effectLst/>
          </c:spPr>
          <c:invertIfNegative val="0"/>
          <c:dLbls>
            <c:delete val="1"/>
          </c:dLbls>
          <c:cat>
            <c:strRef>
              <c:f>[2022年衡阳气象站气象统计.XLS]数据!$A$23:$A$34</c:f>
              <c:strCache>
                <c:ptCount val="12"/>
                <c:pt idx="0">
                  <c:v>一月           </c:v>
                </c:pt>
                <c:pt idx="1">
                  <c:v>二月           </c:v>
                </c:pt>
                <c:pt idx="2">
                  <c:v>三月           </c:v>
                </c:pt>
                <c:pt idx="3">
                  <c:v>四月           </c:v>
                </c:pt>
                <c:pt idx="4">
                  <c:v>五月           </c:v>
                </c:pt>
                <c:pt idx="5">
                  <c:v>六月           </c:v>
                </c:pt>
                <c:pt idx="6">
                  <c:v>七月           </c:v>
                </c:pt>
                <c:pt idx="7">
                  <c:v>八月           </c:v>
                </c:pt>
                <c:pt idx="8">
                  <c:v>九月           </c:v>
                </c:pt>
                <c:pt idx="9">
                  <c:v>十月           </c:v>
                </c:pt>
                <c:pt idx="10">
                  <c:v>十一月         </c:v>
                </c:pt>
                <c:pt idx="11">
                  <c:v>十二月         </c:v>
                </c:pt>
              </c:strCache>
            </c:strRef>
          </c:cat>
          <c:val>
            <c:numRef>
              <c:f>[2022年衡阳气象站气象统计.XLS]数据!$P$23:$P$34</c:f>
              <c:numCache>
                <c:formatCode>0.00_ </c:formatCode>
                <c:ptCount val="12"/>
                <c:pt idx="0">
                  <c:v>9.01000022888184</c:v>
                </c:pt>
                <c:pt idx="1">
                  <c:v>7.44000005722046</c:v>
                </c:pt>
                <c:pt idx="2">
                  <c:v>4.30000019073486</c:v>
                </c:pt>
                <c:pt idx="3">
                  <c:v>4.71999979019165</c:v>
                </c:pt>
                <c:pt idx="4">
                  <c:v>5.78000020980835</c:v>
                </c:pt>
                <c:pt idx="5">
                  <c:v>1.80999994277954</c:v>
                </c:pt>
                <c:pt idx="6">
                  <c:v>0.670000016689301</c:v>
                </c:pt>
                <c:pt idx="7">
                  <c:v>0.129999995231628</c:v>
                </c:pt>
                <c:pt idx="8">
                  <c:v>4.03000020980835</c:v>
                </c:pt>
                <c:pt idx="9">
                  <c:v>5.38000011444092</c:v>
                </c:pt>
                <c:pt idx="10">
                  <c:v>4.8600001335144</c:v>
                </c:pt>
                <c:pt idx="11">
                  <c:v>9.01000022888184</c:v>
                </c:pt>
              </c:numCache>
            </c:numRef>
          </c:val>
        </c:ser>
        <c:ser>
          <c:idx val="15"/>
          <c:order val="15"/>
          <c:tx>
            <c:strRef>
              <c:f>[2022年衡阳气象站气象统计.XLS]数据!$Q$22</c:f>
              <c:strCache>
                <c:ptCount val="1"/>
                <c:pt idx="0">
                  <c:v>NNW</c:v>
                </c:pt>
              </c:strCache>
            </c:strRef>
          </c:tx>
          <c:spPr>
            <a:solidFill>
              <a:schemeClr val="accent4">
                <a:lumMod val="80000"/>
                <a:lumOff val="20000"/>
              </a:schemeClr>
            </a:solidFill>
            <a:ln>
              <a:noFill/>
            </a:ln>
            <a:effectLst/>
          </c:spPr>
          <c:invertIfNegative val="0"/>
          <c:dLbls>
            <c:delete val="1"/>
          </c:dLbls>
          <c:cat>
            <c:strRef>
              <c:f>[2022年衡阳气象站气象统计.XLS]数据!$A$23:$A$34</c:f>
              <c:strCache>
                <c:ptCount val="12"/>
                <c:pt idx="0">
                  <c:v>一月           </c:v>
                </c:pt>
                <c:pt idx="1">
                  <c:v>二月           </c:v>
                </c:pt>
                <c:pt idx="2">
                  <c:v>三月           </c:v>
                </c:pt>
                <c:pt idx="3">
                  <c:v>四月           </c:v>
                </c:pt>
                <c:pt idx="4">
                  <c:v>五月           </c:v>
                </c:pt>
                <c:pt idx="5">
                  <c:v>六月           </c:v>
                </c:pt>
                <c:pt idx="6">
                  <c:v>七月           </c:v>
                </c:pt>
                <c:pt idx="7">
                  <c:v>八月           </c:v>
                </c:pt>
                <c:pt idx="8">
                  <c:v>九月           </c:v>
                </c:pt>
                <c:pt idx="9">
                  <c:v>十月           </c:v>
                </c:pt>
                <c:pt idx="10">
                  <c:v>十一月         </c:v>
                </c:pt>
                <c:pt idx="11">
                  <c:v>十二月         </c:v>
                </c:pt>
              </c:strCache>
            </c:strRef>
          </c:cat>
          <c:val>
            <c:numRef>
              <c:f>[2022年衡阳气象站气象统计.XLS]数据!$Q$23:$Q$34</c:f>
              <c:numCache>
                <c:formatCode>0.00_ </c:formatCode>
                <c:ptCount val="12"/>
                <c:pt idx="0">
                  <c:v>9.53999996185303</c:v>
                </c:pt>
                <c:pt idx="1">
                  <c:v>13.539999961853</c:v>
                </c:pt>
                <c:pt idx="2">
                  <c:v>5.38000011444092</c:v>
                </c:pt>
                <c:pt idx="3">
                  <c:v>5.82999992370605</c:v>
                </c:pt>
                <c:pt idx="4">
                  <c:v>8.0600004196167</c:v>
                </c:pt>
                <c:pt idx="5">
                  <c:v>0.970000028610229</c:v>
                </c:pt>
                <c:pt idx="6">
                  <c:v>0.810000002384186</c:v>
                </c:pt>
                <c:pt idx="7">
                  <c:v>1.3400000333786</c:v>
                </c:pt>
                <c:pt idx="8">
                  <c:v>7.3600001335144</c:v>
                </c:pt>
                <c:pt idx="9">
                  <c:v>6.84999990463257</c:v>
                </c:pt>
                <c:pt idx="10">
                  <c:v>5.69000005722046</c:v>
                </c:pt>
                <c:pt idx="11">
                  <c:v>11.8299999237061</c:v>
                </c:pt>
              </c:numCache>
            </c:numRef>
          </c:val>
        </c:ser>
        <c:ser>
          <c:idx val="16"/>
          <c:order val="16"/>
          <c:tx>
            <c:strRef>
              <c:f>[2022年衡阳气象站气象统计.XLS]数据!$R$22</c:f>
              <c:strCache>
                <c:ptCount val="1"/>
                <c:pt idx="0">
                  <c:v> C </c:v>
                </c:pt>
              </c:strCache>
            </c:strRef>
          </c:tx>
          <c:spPr>
            <a:solidFill>
              <a:schemeClr val="accent5">
                <a:lumMod val="80000"/>
                <a:lumOff val="20000"/>
              </a:schemeClr>
            </a:solidFill>
            <a:ln>
              <a:noFill/>
            </a:ln>
            <a:effectLst/>
          </c:spPr>
          <c:invertIfNegative val="0"/>
          <c:dLbls>
            <c:delete val="1"/>
          </c:dLbls>
          <c:cat>
            <c:strRef>
              <c:f>[2022年衡阳气象站气象统计.XLS]数据!$A$23:$A$34</c:f>
              <c:strCache>
                <c:ptCount val="12"/>
                <c:pt idx="0">
                  <c:v>一月           </c:v>
                </c:pt>
                <c:pt idx="1">
                  <c:v>二月           </c:v>
                </c:pt>
                <c:pt idx="2">
                  <c:v>三月           </c:v>
                </c:pt>
                <c:pt idx="3">
                  <c:v>四月           </c:v>
                </c:pt>
                <c:pt idx="4">
                  <c:v>五月           </c:v>
                </c:pt>
                <c:pt idx="5">
                  <c:v>六月           </c:v>
                </c:pt>
                <c:pt idx="6">
                  <c:v>七月           </c:v>
                </c:pt>
                <c:pt idx="7">
                  <c:v>八月           </c:v>
                </c:pt>
                <c:pt idx="8">
                  <c:v>九月           </c:v>
                </c:pt>
                <c:pt idx="9">
                  <c:v>十月           </c:v>
                </c:pt>
                <c:pt idx="10">
                  <c:v>十一月         </c:v>
                </c:pt>
                <c:pt idx="11">
                  <c:v>十二月         </c:v>
                </c:pt>
              </c:strCache>
            </c:strRef>
          </c:cat>
          <c:val>
            <c:numRef>
              <c:f>[2022年衡阳气象站气象统计.XLS]数据!$R$23:$R$34</c:f>
              <c:numCache>
                <c:formatCode>0.00_ </c:formatCode>
                <c:ptCount val="12"/>
                <c:pt idx="0">
                  <c:v>1.75</c:v>
                </c:pt>
                <c:pt idx="1">
                  <c:v>2.07999992370605</c:v>
                </c:pt>
                <c:pt idx="2">
                  <c:v>0.939999997615814</c:v>
                </c:pt>
                <c:pt idx="3">
                  <c:v>0.829999983310699</c:v>
                </c:pt>
                <c:pt idx="4">
                  <c:v>2.15000009536743</c:v>
                </c:pt>
                <c:pt idx="5">
                  <c:v>0.829999983310699</c:v>
                </c:pt>
                <c:pt idx="6">
                  <c:v>0</c:v>
                </c:pt>
                <c:pt idx="7">
                  <c:v>0</c:v>
                </c:pt>
                <c:pt idx="8">
                  <c:v>0.689999997615814</c:v>
                </c:pt>
                <c:pt idx="9">
                  <c:v>0.129999995231628</c:v>
                </c:pt>
                <c:pt idx="10">
                  <c:v>0.560000002384186</c:v>
                </c:pt>
                <c:pt idx="11">
                  <c:v>1.48000001907349</c:v>
                </c:pt>
              </c:numCache>
            </c:numRef>
          </c:val>
        </c:ser>
        <c:dLbls>
          <c:showLegendKey val="0"/>
          <c:showVal val="0"/>
          <c:showCatName val="0"/>
          <c:showSerName val="0"/>
          <c:showPercent val="0"/>
          <c:showBubbleSize val="0"/>
        </c:dLbls>
        <c:gapWidth val="150"/>
        <c:overlap val="100"/>
        <c:axId val="126399232"/>
        <c:axId val="126400768"/>
      </c:barChart>
      <c:catAx>
        <c:axId val="12639923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mn-lt"/>
                <a:ea typeface="+mn-ea"/>
                <a:cs typeface="+mn-cs"/>
              </a:defRPr>
            </a:pPr>
          </a:p>
        </c:txPr>
        <c:crossAx val="126400768"/>
        <c:crosses val="autoZero"/>
        <c:auto val="1"/>
        <c:lblAlgn val="ctr"/>
        <c:lblOffset val="100"/>
        <c:noMultiLvlLbl val="0"/>
      </c:catAx>
      <c:valAx>
        <c:axId val="1264007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26399232"/>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5c1baf08-b172-458c-8797-eabb4eedd2d6}"/>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rgbClr val="4F81BD"/>
  <a:srgbClr val="C0504D"/>
  <a:srgbClr val="9BBB59"/>
  <a:srgbClr val="8064A2"/>
  <a:srgbClr val="4BACC6"/>
  <a:srgbClr val="F7964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rgbClr val="595959">
        <a:lumMod val="65000"/>
        <a:lumOff val="35000"/>
      </a:srgbClr>
    </cs:fontRef>
    <cs:defRPr sz="1000" kern="1200"/>
  </cs:axisTitle>
  <cs:categoryAxis>
    <cs:lnRef idx="0"/>
    <cs:fillRef idx="0"/>
    <cs:effectRef idx="0"/>
    <cs:fontRef idx="minor">
      <a:srgbClr val="595959">
        <a:lumMod val="65000"/>
        <a:lumOff val="35000"/>
      </a:srgbClr>
    </cs:fontRef>
    <cs:spPr>
      <a:ln w="9525" cap="flat" cmpd="sng" algn="ctr">
        <a:solidFill>
          <a:srgbClr val="BFBFBF">
            <a:lumMod val="25000"/>
            <a:lumOff val="75000"/>
          </a:srgbClr>
        </a:solidFill>
        <a:round/>
      </a:ln>
    </cs:spPr>
    <cs:defRPr sz="900" kern="1200"/>
  </cs:categoryAxis>
  <cs:chartArea mods="allowNoFillOverride allowNoLineOverride">
    <cs:lnRef idx="0"/>
    <cs:fillRef idx="0"/>
    <cs:effectRef idx="0"/>
    <cs:fontRef idx="minor">
      <a:srgbClr val="000000"/>
    </cs:fontRef>
    <cs:spPr>
      <a:solidFill>
        <a:srgbClr val="FFFFFF"/>
      </a:solidFill>
      <a:ln w="9525" cap="flat" cmpd="sng" algn="ctr">
        <a:solidFill>
          <a:srgbClr val="D9D9D9">
            <a:lumMod val="15000"/>
            <a:lumOff val="85000"/>
          </a:srgbClr>
        </a:solidFill>
        <a:round/>
      </a:ln>
    </cs:spPr>
    <cs:defRPr sz="1000" kern="1200"/>
  </cs:chartArea>
  <cs:dataLabel>
    <cs:lnRef idx="0"/>
    <cs:fillRef idx="0"/>
    <cs:effectRef idx="0"/>
    <cs:fontRef idx="minor">
      <a:srgbClr val="404040">
        <a:lumMod val="75000"/>
        <a:lumOff val="25000"/>
      </a:srgbClr>
    </cs:fontRef>
    <cs:defRPr sz="900" kern="1200"/>
  </cs:dataLabel>
  <cs:dataLabelCallout>
    <cs:lnRef idx="0"/>
    <cs:fillRef idx="0"/>
    <cs:effectRef idx="0"/>
    <cs:fontRef idx="minor">
      <a:srgbClr val="595959">
        <a:lumMod val="65000"/>
        <a:lumOff val="35000"/>
      </a:srgbClr>
    </cs:fontRef>
    <cs:spPr>
      <a:solidFill>
        <a:srgbClr val="FFFFFF"/>
      </a:solidFill>
      <a:ln>
        <a:solidFill>
          <a:srgbClr val="BFBFBF">
            <a:lumMod val="25000"/>
            <a:lumOff val="75000"/>
          </a:srgb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rgbClr val="000000"/>
    </cs:fontRef>
  </cs:dataPoint>
  <cs:dataPoint3D>
    <cs:lnRef idx="0"/>
    <cs:fillRef idx="1">
      <cs:styleClr val="auto"/>
    </cs:fillRef>
    <cs:effectRef idx="0"/>
    <cs:fontRef idx="minor">
      <a:srgbClr val="000000"/>
    </cs:fontRef>
  </cs:dataPoint3D>
  <cs:dataPointLine>
    <cs:lnRef idx="0">
      <cs:styleClr val="auto"/>
    </cs:lnRef>
    <cs:fillRef idx="1"/>
    <cs:effectRef idx="0"/>
    <cs:fontRef idx="minor">
      <a:srgbClr val="000000"/>
    </cs:fontRef>
    <cs:spPr>
      <a:ln w="19050" cap="rnd">
        <a:solidFill>
          <a:srgbClr val="FFFFFF"/>
        </a:solidFill>
        <a:round/>
      </a:ln>
    </cs:spPr>
  </cs:dataPointLine>
  <cs:dataPointMarker>
    <cs:lnRef idx="0">
      <cs:styleClr val="auto"/>
    </cs:lnRef>
    <cs:fillRef idx="1">
      <cs:styleClr val="auto"/>
    </cs:fillRef>
    <cs:effectRef idx="0"/>
    <cs:fontRef idx="minor">
      <a:srgbClr val="000000"/>
    </cs:fontRef>
    <cs:spPr>
      <a:ln w="9525">
        <a:solidFill>
          <a:srgbClr val="FFFFFF"/>
        </a:solidFill>
      </a:ln>
    </cs:spPr>
  </cs:dataPointMarker>
  <cs:dataPointMarkerLayout symbol="circle" size="5"/>
  <cs:dataPointWireframe>
    <cs:lnRef idx="0">
      <cs:styleClr val="auto"/>
    </cs:lnRef>
    <cs:fillRef idx="0"/>
    <cs:effectRef idx="0"/>
    <cs:fontRef idx="minor">
      <a:srgbClr val="000000"/>
    </cs:fontRef>
    <cs:spPr>
      <a:ln w="9525" cap="rnd">
        <a:solidFill>
          <a:srgbClr val="FFFFFF"/>
        </a:solidFill>
        <a:round/>
      </a:ln>
    </cs:spPr>
  </cs:dataPointWireframe>
  <cs:dataTable>
    <cs:lnRef idx="0"/>
    <cs:fillRef idx="0"/>
    <cs:effectRef idx="0"/>
    <cs:fontRef idx="minor">
      <a:srgbClr val="595959">
        <a:lumMod val="65000"/>
        <a:lumOff val="35000"/>
      </a:srgbClr>
    </cs:fontRef>
    <cs:spPr>
      <a:noFill/>
      <a:ln w="9525" cap="flat" cmpd="sng" algn="ctr">
        <a:solidFill>
          <a:srgbClr val="D9D9D9">
            <a:lumMod val="15000"/>
            <a:lumOff val="85000"/>
          </a:srgbClr>
        </a:solidFill>
        <a:round/>
      </a:ln>
    </cs:spPr>
    <cs:defRPr sz="900" kern="1200"/>
  </cs:dataTable>
  <cs:downBar>
    <cs:lnRef idx="0"/>
    <cs:fillRef idx="0"/>
    <cs:effectRef idx="0"/>
    <cs:fontRef idx="minor">
      <a:srgbClr val="000000"/>
    </cs:fontRef>
    <cs:spPr>
      <a:solidFill>
        <a:srgbClr val="404040">
          <a:lumMod val="75000"/>
          <a:lumOff val="25000"/>
        </a:srgbClr>
      </a:solidFill>
      <a:ln w="9525" cap="flat" cmpd="sng" algn="ctr">
        <a:solidFill>
          <a:srgbClr val="595959">
            <a:lumMod val="65000"/>
            <a:lumOff val="35000"/>
          </a:srgbClr>
        </a:solidFill>
        <a:round/>
      </a:ln>
    </cs:spPr>
  </cs:downBar>
  <cs:dropLine>
    <cs:lnRef idx="0"/>
    <cs:fillRef idx="0"/>
    <cs:effectRef idx="0"/>
    <cs:fontRef idx="minor">
      <a:srgbClr val="000000"/>
    </cs:fontRef>
    <cs:spPr>
      <a:ln w="9525" cap="flat" cmpd="sng" algn="ctr">
        <a:solidFill>
          <a:srgbClr val="A6A6A6">
            <a:lumMod val="35000"/>
            <a:lumOff val="65000"/>
          </a:srgbClr>
        </a:solidFill>
        <a:round/>
      </a:ln>
    </cs:spPr>
  </cs:dropLine>
  <cs:errorBar>
    <cs:lnRef idx="0"/>
    <cs:fillRef idx="0"/>
    <cs:effectRef idx="0"/>
    <cs:fontRef idx="minor">
      <a:srgbClr val="000000"/>
    </cs:fontRef>
    <cs:spPr>
      <a:ln w="9525" cap="flat" cmpd="sng" algn="ctr">
        <a:solidFill>
          <a:srgbClr val="595959">
            <a:lumMod val="65000"/>
            <a:lumOff val="35000"/>
          </a:srgbClr>
        </a:solidFill>
        <a:round/>
      </a:ln>
    </cs:spPr>
  </cs:errorBar>
  <cs:floor>
    <cs:lnRef idx="0"/>
    <cs:fillRef idx="0"/>
    <cs:effectRef idx="0"/>
    <cs:fontRef idx="minor">
      <a:srgbClr val="000000"/>
    </cs:fontRef>
    <cs:spPr>
      <a:noFill/>
      <a:ln>
        <a:noFill/>
      </a:ln>
    </cs:spPr>
  </cs:floor>
  <cs:gridlineMajor>
    <cs:lnRef idx="0"/>
    <cs:fillRef idx="0"/>
    <cs:effectRef idx="0"/>
    <cs:fontRef idx="minor">
      <a:srgbClr val="000000"/>
    </cs:fontRef>
    <cs:spPr>
      <a:ln w="9525" cap="flat" cmpd="sng" algn="ctr">
        <a:solidFill>
          <a:srgbClr val="D9D9D9">
            <a:lumMod val="15000"/>
            <a:lumOff val="85000"/>
          </a:srgbClr>
        </a:solidFill>
        <a:round/>
      </a:ln>
    </cs:spPr>
  </cs:gridlineMajor>
  <cs:gridlineMinor>
    <cs:lnRef idx="0"/>
    <cs:fillRef idx="0"/>
    <cs:effectRef idx="0"/>
    <cs:fontRef idx="minor">
      <a:srgbClr val="000000"/>
    </cs:fontRef>
    <cs:spPr>
      <a:ln w="9525" cap="flat" cmpd="sng" algn="ctr">
        <a:solidFill>
          <a:srgbClr val="F2F2F2">
            <a:lumMod val="5000"/>
            <a:lumOff val="95000"/>
          </a:srgbClr>
        </a:solidFill>
        <a:round/>
      </a:ln>
    </cs:spPr>
  </cs:gridlineMinor>
  <cs:hiLoLine>
    <cs:lnRef idx="0"/>
    <cs:fillRef idx="0"/>
    <cs:effectRef idx="0"/>
    <cs:fontRef idx="minor">
      <a:srgbClr val="000000"/>
    </cs:fontRef>
    <cs:spPr>
      <a:ln w="9525" cap="flat" cmpd="sng" algn="ctr">
        <a:solidFill>
          <a:srgbClr val="808080">
            <a:lumMod val="50000"/>
            <a:lumOff val="50000"/>
          </a:srgbClr>
        </a:solidFill>
        <a:round/>
      </a:ln>
    </cs:spPr>
  </cs:hiLoLine>
  <cs:leaderLine>
    <cs:lnRef idx="0"/>
    <cs:fillRef idx="0"/>
    <cs:effectRef idx="0"/>
    <cs:fontRef idx="minor">
      <a:srgbClr val="000000"/>
    </cs:fontRef>
    <cs:spPr>
      <a:ln w="9525" cap="flat" cmpd="sng" algn="ctr">
        <a:solidFill>
          <a:srgbClr val="A6A6A6">
            <a:lumMod val="35000"/>
            <a:lumOff val="65000"/>
          </a:srgbClr>
        </a:solidFill>
        <a:round/>
      </a:ln>
    </cs:spPr>
  </cs:leaderLine>
  <cs:legend>
    <cs:lnRef idx="0"/>
    <cs:fillRef idx="0"/>
    <cs:effectRef idx="0"/>
    <cs:fontRef idx="minor">
      <a:srgbClr val="595959">
        <a:lumMod val="65000"/>
        <a:lumOff val="35000"/>
      </a:srgbClr>
    </cs:fontRef>
    <cs:defRPr sz="900" kern="1200"/>
  </cs:legend>
  <cs:plotArea mods="allowNoFillOverride allowNoLineOverride">
    <cs:lnRef idx="0"/>
    <cs:fillRef idx="0"/>
    <cs:effectRef idx="0"/>
    <cs:fontRef idx="minor">
      <a:srgbClr val="000000"/>
    </cs:fontRef>
  </cs:plotArea>
  <cs:plotArea3D mods="allowNoFillOverride allowNoLineOverride">
    <cs:lnRef idx="0"/>
    <cs:fillRef idx="0"/>
    <cs:effectRef idx="0"/>
    <cs:fontRef idx="minor">
      <a:srgbClr val="000000"/>
    </cs:fontRef>
  </cs:plotArea3D>
  <cs:seriesAxis>
    <cs:lnRef idx="0"/>
    <cs:fillRef idx="0"/>
    <cs:effectRef idx="0"/>
    <cs:fontRef idx="minor">
      <a:srgbClr val="595959">
        <a:lumMod val="65000"/>
        <a:lumOff val="35000"/>
      </a:srgbClr>
    </cs:fontRef>
    <cs:defRPr sz="900" kern="1200"/>
  </cs:seriesAxis>
  <cs:seriesLine>
    <cs:lnRef idx="0"/>
    <cs:fillRef idx="0"/>
    <cs:effectRef idx="0"/>
    <cs:fontRef idx="minor">
      <a:srgbClr val="000000"/>
    </cs:fontRef>
    <cs:spPr>
      <a:ln w="9525" cap="flat" cmpd="sng" algn="ctr">
        <a:solidFill>
          <a:srgbClr val="A6A6A6">
            <a:lumMod val="35000"/>
            <a:lumOff val="65000"/>
          </a:srgbClr>
        </a:solidFill>
        <a:round/>
      </a:ln>
    </cs:spPr>
  </cs:seriesLine>
  <cs:title>
    <cs:lnRef idx="0"/>
    <cs:fillRef idx="0"/>
    <cs:effectRef idx="0"/>
    <cs:fontRef idx="minor">
      <a:srgbClr val="595959">
        <a:lumMod val="65000"/>
        <a:lumOff val="35000"/>
      </a:srgbClr>
    </cs:fontRef>
    <cs:defRPr sz="1400" b="0" kern="1200" spc="0" baseline="0"/>
  </cs:title>
  <cs:trendline>
    <cs:lnRef idx="0">
      <cs:styleClr val="auto"/>
    </cs:lnRef>
    <cs:fillRef idx="0"/>
    <cs:effectRef idx="0"/>
    <cs:fontRef idx="minor">
      <a:srgbClr val="000000"/>
    </cs:fontRef>
    <cs:spPr>
      <a:ln w="19050" cap="rnd">
        <a:solidFill>
          <a:srgbClr val="FFFFFF"/>
        </a:solidFill>
        <a:prstDash val="sysDot"/>
      </a:ln>
    </cs:spPr>
  </cs:trendline>
  <cs:trendlineLabel>
    <cs:lnRef idx="0"/>
    <cs:fillRef idx="0"/>
    <cs:effectRef idx="0"/>
    <cs:fontRef idx="minor">
      <a:srgbClr val="595959">
        <a:lumMod val="65000"/>
        <a:lumOff val="35000"/>
      </a:srgbClr>
    </cs:fontRef>
    <cs:defRPr sz="900" kern="1200"/>
  </cs:trendlineLabel>
  <cs:upBar>
    <cs:lnRef idx="0"/>
    <cs:fillRef idx="0"/>
    <cs:effectRef idx="0"/>
    <cs:fontRef idx="minor">
      <a:srgbClr val="000000"/>
    </cs:fontRef>
    <cs:spPr>
      <a:solidFill>
        <a:srgbClr val="FFFFFF"/>
      </a:solidFill>
      <a:ln w="9525" cap="flat" cmpd="sng" algn="ctr">
        <a:solidFill>
          <a:srgbClr val="595959">
            <a:lumMod val="65000"/>
            <a:lumOff val="35000"/>
          </a:srgbClr>
        </a:solidFill>
        <a:round/>
      </a:ln>
    </cs:spPr>
  </cs:upBar>
  <cs:valueAxis>
    <cs:lnRef idx="0"/>
    <cs:fillRef idx="0"/>
    <cs:effectRef idx="0"/>
    <cs:fontRef idx="minor">
      <a:srgbClr val="595959">
        <a:lumMod val="65000"/>
        <a:lumOff val="35000"/>
      </a:srgbClr>
    </cs:fontRef>
    <cs:spPr>
      <a:ln w="9525" cap="flat" cmpd="sng" algn="ctr">
        <a:solidFill>
          <a:srgbClr val="BFBFBF">
            <a:lumMod val="25000"/>
            <a:lumOff val="75000"/>
          </a:srgbClr>
        </a:solidFill>
        <a:round/>
      </a:ln>
    </cs:spPr>
    <cs:defRPr sz="900" kern="1200"/>
  </cs:valueAxis>
  <cs:wall>
    <cs:lnRef idx="0"/>
    <cs:fillRef idx="0"/>
    <cs:effectRef idx="0"/>
    <cs:fontRef idx="minor">
      <a:srgbClr val="000000"/>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130</Pages>
  <Words>4079</Words>
  <Characters>4484</Characters>
  <Lines>641</Lines>
  <Paragraphs>532</Paragraphs>
  <TotalTime>14</TotalTime>
  <ScaleCrop>false</ScaleCrop>
  <LinksUpToDate>false</LinksUpToDate>
  <CharactersWithSpaces>4687</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2023-07-28T08:09:00Z</dcterms:created>
  <dc:creator>Administrator</dc:creator>
  <cp:lastModifiedBy>邓婷</cp:lastModifiedBy>
  <cp:lastPrinted>2023-10-24T04:38:00Z</cp:lastPrinted>
  <dcterms:modified xsi:type="dcterms:W3CDTF">2025-07-09T06:34:50Z</dcterms:modified>
  <cp:revision>123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F3FE375D5FBF40C9940F426162FCA866_13</vt:lpwstr>
  </property>
  <property fmtid="{D5CDD505-2E9C-101B-9397-08002B2CF9AE}" pid="4" name="KSOTemplateDocerSaveRecord">
    <vt:lpwstr>eyJoZGlkIjoiZTY2MWM4MWY1Nzc3YTU2NWFiNzU3MWZmM2EwMGNkMjgiLCJ1c2VySWQiOiIxMDY5MjgzMDcxIn0=</vt:lpwstr>
  </property>
</Properties>
</file>